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Caption w:val="Cover page header for AASB amending Standard"/>
        <w:tblDescription w:val="Identification that the pronouncement is an AASB Standard, the Standard number, and the month of issue of the AASB amending Standard"/>
      </w:tblPr>
      <w:tblGrid>
        <w:gridCol w:w="4082"/>
        <w:gridCol w:w="5670"/>
      </w:tblGrid>
      <w:tr w:rsidR="00090A6F" w:rsidRPr="0000292B" w:rsidTr="00CC7746">
        <w:tc>
          <w:tcPr>
            <w:tcW w:w="4082" w:type="dxa"/>
          </w:tcPr>
          <w:p w:rsidR="00090A6F" w:rsidRPr="0000292B" w:rsidRDefault="00364B30">
            <w:pPr>
              <w:pStyle w:val="CoverStandard"/>
            </w:pPr>
            <w:bookmarkStart w:id="0" w:name="_GoBack"/>
            <w:bookmarkEnd w:id="0"/>
            <w:r>
              <w:t>AASB</w:t>
            </w:r>
            <w:r w:rsidR="00831497">
              <w:t xml:space="preserve"> Standard</w:t>
            </w:r>
          </w:p>
        </w:tc>
        <w:tc>
          <w:tcPr>
            <w:tcW w:w="5670" w:type="dxa"/>
          </w:tcPr>
          <w:p w:rsidR="00090A6F" w:rsidRPr="0000292B" w:rsidRDefault="00831497">
            <w:pPr>
              <w:pStyle w:val="CoverNumber"/>
            </w:pPr>
            <w:r>
              <w:t>AASB</w:t>
            </w:r>
            <w:r w:rsidR="00090A6F" w:rsidRPr="0000292B">
              <w:t xml:space="preserve"> </w:t>
            </w:r>
            <w:bookmarkStart w:id="1" w:name="DocNo"/>
            <w:r w:rsidR="00AE0AF1">
              <w:t>2013-7</w:t>
            </w:r>
            <w:bookmarkEnd w:id="1"/>
          </w:p>
          <w:p w:rsidR="00090A6F" w:rsidRPr="0000292B" w:rsidRDefault="00F85736">
            <w:pPr>
              <w:pStyle w:val="CoverDate"/>
            </w:pPr>
            <w:bookmarkStart w:id="2" w:name="DocDate"/>
            <w:r>
              <w:t>October 2013</w:t>
            </w:r>
            <w:bookmarkEnd w:id="2"/>
          </w:p>
        </w:tc>
      </w:tr>
    </w:tbl>
    <w:p w:rsidR="00090A6F" w:rsidRPr="0000292B" w:rsidRDefault="00831497">
      <w:pPr>
        <w:pStyle w:val="CoverTitle"/>
      </w:pPr>
      <w:r>
        <w:t xml:space="preserve">Amendments to </w:t>
      </w:r>
      <w:r w:rsidR="0097424C">
        <w:t>AASB 1038</w:t>
      </w:r>
      <w:r>
        <w:t xml:space="preserve"> arising from </w:t>
      </w:r>
      <w:bookmarkStart w:id="3" w:name="ArisingNo"/>
      <w:r w:rsidR="00A35547">
        <w:t>AASB 10</w:t>
      </w:r>
      <w:bookmarkEnd w:id="3"/>
      <w:r w:rsidR="00D66225">
        <w:t xml:space="preserve"> in R</w:t>
      </w:r>
      <w:r w:rsidR="0097424C">
        <w:t xml:space="preserve">elation to </w:t>
      </w:r>
      <w:r w:rsidR="00D66225">
        <w:t>C</w:t>
      </w:r>
      <w:r w:rsidR="0097424C">
        <w:t xml:space="preserve">onsolidation and </w:t>
      </w:r>
      <w:r w:rsidR="00D66225">
        <w:t>I</w:t>
      </w:r>
      <w:r w:rsidR="0097424C">
        <w:t xml:space="preserve">nterests of </w:t>
      </w:r>
      <w:r w:rsidR="00D66225">
        <w:t>P</w:t>
      </w:r>
      <w:r w:rsidR="0097424C">
        <w:t>olicyholders</w:t>
      </w:r>
    </w:p>
    <w:p w:rsidR="00C5022C" w:rsidRPr="00C5022C" w:rsidRDefault="002B7803" w:rsidP="00C5022C">
      <w:pPr>
        <w:pStyle w:val="CoverSubtitle"/>
      </w:pPr>
      <w:r>
        <w:t>[</w:t>
      </w:r>
      <w:bookmarkStart w:id="4" w:name="AmendingNos"/>
      <w:r w:rsidR="00445A6C">
        <w:t>AASB 1038</w:t>
      </w:r>
      <w:bookmarkEnd w:id="4"/>
      <w:r>
        <w:t>]</w:t>
      </w:r>
    </w:p>
    <w:p w:rsidR="00737714" w:rsidRPr="0000292B" w:rsidRDefault="00737714" w:rsidP="00737714"/>
    <w:p w:rsidR="00090A6F" w:rsidRPr="0000292B" w:rsidRDefault="008B643A">
      <w:pPr>
        <w:sectPr w:rsidR="00090A6F" w:rsidRPr="0000292B" w:rsidSect="00CC7746">
          <w:pgSz w:w="11907" w:h="16840" w:code="9"/>
          <w:pgMar w:top="1134" w:right="1134" w:bottom="1134" w:left="1134" w:header="720" w:footer="720" w:gutter="0"/>
          <w:cols w:space="720"/>
        </w:sectPr>
      </w:pPr>
      <w:r>
        <w:rPr>
          <w:noProof/>
          <w:lang w:eastAsia="en-AU"/>
        </w:rPr>
        <w:drawing>
          <wp:anchor distT="0" distB="0" distL="114300" distR="114300" simplePos="0" relativeHeight="251657728" behindDoc="0" locked="1" layoutInCell="1" allowOverlap="1" wp14:anchorId="2B01FFD4" wp14:editId="06C032DF">
            <wp:simplePos x="0" y="0"/>
            <wp:positionH relativeFrom="margin">
              <wp:posOffset>0</wp:posOffset>
            </wp:positionH>
            <wp:positionV relativeFrom="page">
              <wp:posOffset>8893175</wp:posOffset>
            </wp:positionV>
            <wp:extent cx="1677600" cy="1332000"/>
            <wp:effectExtent l="0" t="0" r="0" b="1905"/>
            <wp:wrapNone/>
            <wp:docPr id="5" name="Picture 5"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7714" w:rsidRPr="0000292B" w:rsidRDefault="00737714" w:rsidP="00737714">
      <w:pPr>
        <w:pStyle w:val="Heading2"/>
      </w:pPr>
      <w:r w:rsidRPr="0000292B">
        <w:lastRenderedPageBreak/>
        <w:t xml:space="preserve">Obtaining a Copy of this </w:t>
      </w:r>
      <w:r w:rsidR="00C5022C">
        <w:t>Accounting Standard</w:t>
      </w:r>
    </w:p>
    <w:p w:rsidR="00737714" w:rsidRPr="0000292B" w:rsidRDefault="00737714" w:rsidP="00737714">
      <w:pPr>
        <w:pStyle w:val="CommentsPage"/>
      </w:pPr>
      <w:r w:rsidRPr="0000292B">
        <w:t xml:space="preserve">This </w:t>
      </w:r>
      <w:r w:rsidR="00C5022C">
        <w:t>Standard</w:t>
      </w:r>
      <w:r w:rsidRPr="0000292B">
        <w:t xml:space="preserve"> is available o</w:t>
      </w:r>
      <w:r w:rsidR="00923261">
        <w:t>n the AASB website: www.aasb.gov</w:t>
      </w:r>
      <w:r w:rsidRPr="0000292B">
        <w:t>.au.</w:t>
      </w:r>
    </w:p>
    <w:p w:rsidR="00737714" w:rsidRPr="0000292B" w:rsidRDefault="00737714" w:rsidP="003E0A68">
      <w:pPr>
        <w:pStyle w:val="CommentsPage"/>
        <w:ind w:right="-146"/>
      </w:pPr>
      <w:r w:rsidRPr="0000292B">
        <w:t xml:space="preserve">Alternatively, printed copies of this </w:t>
      </w:r>
      <w:r w:rsidR="00C5022C">
        <w:t>Standard</w:t>
      </w:r>
      <w:r w:rsidR="003E0A68" w:rsidRPr="0000292B">
        <w:t xml:space="preserve"> are available </w:t>
      </w:r>
      <w:r w:rsidR="00C5022C">
        <w:t xml:space="preserve">for purchase </w:t>
      </w:r>
      <w:r w:rsidR="003E0A68" w:rsidRPr="0000292B">
        <w:t>by contacting:</w:t>
      </w:r>
    </w:p>
    <w:p w:rsidR="00737714" w:rsidRPr="0000292B" w:rsidRDefault="00737714" w:rsidP="00737714"/>
    <w:tbl>
      <w:tblPr>
        <w:tblW w:w="0" w:type="auto"/>
        <w:tblLook w:val="0000" w:firstRow="0" w:lastRow="0" w:firstColumn="0" w:lastColumn="0" w:noHBand="0" w:noVBand="0"/>
        <w:tblCaption w:val="AASB contact details"/>
        <w:tblDescription w:val="Street address, postal address and other contact details for the AASB"/>
      </w:tblPr>
      <w:tblGrid>
        <w:gridCol w:w="3856"/>
        <w:gridCol w:w="1928"/>
      </w:tblGrid>
      <w:tr w:rsidR="00737714" w:rsidRPr="0000292B" w:rsidTr="001C225F">
        <w:trPr>
          <w:cantSplit/>
        </w:trPr>
        <w:tc>
          <w:tcPr>
            <w:tcW w:w="3856" w:type="dxa"/>
          </w:tcPr>
          <w:p w:rsidR="00737714" w:rsidRPr="0000292B" w:rsidRDefault="00737714" w:rsidP="00E24399">
            <w:r w:rsidRPr="0000292B">
              <w:t xml:space="preserve">The </w:t>
            </w:r>
            <w:r w:rsidR="003E0A68" w:rsidRPr="0000292B">
              <w:t>Customer Service Officer</w:t>
            </w:r>
          </w:p>
          <w:p w:rsidR="00737714" w:rsidRPr="0000292B" w:rsidRDefault="00737714" w:rsidP="00E24399">
            <w:r w:rsidRPr="0000292B">
              <w:t>Australian Accounting Standards Board</w:t>
            </w:r>
          </w:p>
          <w:p w:rsidR="00737714" w:rsidRPr="0000292B" w:rsidRDefault="003E0A68" w:rsidP="00E24399">
            <w:r w:rsidRPr="0000292B">
              <w:t>Level 7</w:t>
            </w:r>
          </w:p>
          <w:p w:rsidR="00737714" w:rsidRPr="0000292B" w:rsidRDefault="003E0A68" w:rsidP="00E24399">
            <w:r w:rsidRPr="0000292B">
              <w:t>600 Bourke Street</w:t>
            </w:r>
          </w:p>
          <w:p w:rsidR="003E0A68" w:rsidRPr="0000292B" w:rsidRDefault="007455F0" w:rsidP="00E24399">
            <w:r>
              <w:t>Melbourne   Victoria</w:t>
            </w:r>
          </w:p>
          <w:p w:rsidR="00737714" w:rsidRDefault="00737714" w:rsidP="00E24399">
            <w:r w:rsidRPr="0000292B">
              <w:t>AUSTRALIA</w:t>
            </w:r>
          </w:p>
          <w:p w:rsidR="00C5022C" w:rsidRPr="0000292B" w:rsidRDefault="00C5022C" w:rsidP="00E24399"/>
        </w:tc>
        <w:tc>
          <w:tcPr>
            <w:tcW w:w="1928" w:type="dxa"/>
            <w:tcMar>
              <w:left w:w="108" w:type="dxa"/>
              <w:right w:w="108" w:type="dxa"/>
            </w:tcMar>
          </w:tcPr>
          <w:p w:rsidR="00C5022C" w:rsidRDefault="00C5022C" w:rsidP="00C5022C"/>
          <w:p w:rsidR="00C5022C" w:rsidRPr="00C5022C" w:rsidRDefault="00C5022C" w:rsidP="00C5022C">
            <w:pPr>
              <w:rPr>
                <w:b/>
              </w:rPr>
            </w:pPr>
            <w:r w:rsidRPr="00C5022C">
              <w:rPr>
                <w:b/>
              </w:rPr>
              <w:t>Postal address:</w:t>
            </w:r>
          </w:p>
          <w:p w:rsidR="00E06C2F" w:rsidRDefault="00C5022C" w:rsidP="00C5022C">
            <w:r w:rsidRPr="00C5022C">
              <w:t>PO Box 204</w:t>
            </w:r>
          </w:p>
          <w:p w:rsidR="00B271BA" w:rsidRDefault="00C5022C" w:rsidP="00C5022C">
            <w:r w:rsidRPr="00C5022C">
              <w:t>Collins St</w:t>
            </w:r>
            <w:r w:rsidR="00AD42DA">
              <w:t>reet</w:t>
            </w:r>
            <w:r w:rsidRPr="00C5022C">
              <w:t xml:space="preserve"> West</w:t>
            </w:r>
          </w:p>
          <w:p w:rsidR="003E0A68" w:rsidRDefault="00C5022C" w:rsidP="00C5022C">
            <w:r w:rsidRPr="00C5022C">
              <w:t>Vic</w:t>
            </w:r>
            <w:r>
              <w:t>toria</w:t>
            </w:r>
            <w:r w:rsidRPr="00C5022C">
              <w:t xml:space="preserve">   8007</w:t>
            </w:r>
          </w:p>
          <w:p w:rsidR="00C5022C" w:rsidRPr="0000292B" w:rsidRDefault="00C5022C" w:rsidP="00C5022C">
            <w:r>
              <w:t>AUSTRALIA</w:t>
            </w:r>
          </w:p>
        </w:tc>
      </w:tr>
      <w:tr w:rsidR="00C5022C" w:rsidRPr="0000292B" w:rsidTr="001C225F">
        <w:trPr>
          <w:cantSplit/>
        </w:trPr>
        <w:tc>
          <w:tcPr>
            <w:tcW w:w="3856" w:type="dxa"/>
          </w:tcPr>
          <w:p w:rsidR="00C5022C" w:rsidRPr="00C5022C" w:rsidRDefault="00C5022C" w:rsidP="00C5022C">
            <w:pPr>
              <w:tabs>
                <w:tab w:val="left" w:pos="907"/>
              </w:tabs>
            </w:pPr>
            <w:r w:rsidRPr="00C5022C">
              <w:t>Phone:</w:t>
            </w:r>
            <w:r w:rsidRPr="00C5022C">
              <w:tab/>
              <w:t>(03) 9617 7637</w:t>
            </w:r>
          </w:p>
          <w:p w:rsidR="00C5022C" w:rsidRPr="00C5022C" w:rsidRDefault="00C5022C" w:rsidP="00C5022C">
            <w:pPr>
              <w:tabs>
                <w:tab w:val="left" w:pos="907"/>
              </w:tabs>
            </w:pPr>
            <w:r w:rsidRPr="00C5022C">
              <w:t>Fax:</w:t>
            </w:r>
            <w:r w:rsidRPr="00C5022C">
              <w:tab/>
              <w:t>(03) 9617 7608</w:t>
            </w:r>
          </w:p>
          <w:p w:rsidR="00C5022C" w:rsidRDefault="00923261" w:rsidP="00C5022C">
            <w:pPr>
              <w:tabs>
                <w:tab w:val="left" w:pos="907"/>
              </w:tabs>
            </w:pPr>
            <w:r>
              <w:t>E-mail:</w:t>
            </w:r>
            <w:r>
              <w:tab/>
              <w:t>publications@aasb.gov</w:t>
            </w:r>
            <w:r w:rsidR="00C5022C" w:rsidRPr="00C5022C">
              <w:t>.au</w:t>
            </w:r>
          </w:p>
          <w:p w:rsidR="00C5022C" w:rsidRPr="00C5022C" w:rsidRDefault="00923261" w:rsidP="00C5022C">
            <w:pPr>
              <w:tabs>
                <w:tab w:val="left" w:pos="907"/>
              </w:tabs>
            </w:pPr>
            <w:r>
              <w:t>Website:</w:t>
            </w:r>
            <w:r>
              <w:tab/>
              <w:t>www.aasb.gov</w:t>
            </w:r>
            <w:r w:rsidR="00C5022C">
              <w:t>.au</w:t>
            </w:r>
          </w:p>
          <w:p w:rsidR="00C5022C" w:rsidRPr="00C5022C" w:rsidRDefault="00C5022C" w:rsidP="00C5022C"/>
        </w:tc>
        <w:tc>
          <w:tcPr>
            <w:tcW w:w="1928" w:type="dxa"/>
            <w:tcMar>
              <w:left w:w="0" w:type="dxa"/>
              <w:right w:w="0" w:type="dxa"/>
            </w:tcMar>
          </w:tcPr>
          <w:p w:rsidR="00C5022C" w:rsidRPr="007455F0" w:rsidRDefault="00C5022C" w:rsidP="007455F0">
            <w:pPr>
              <w:tabs>
                <w:tab w:val="left" w:pos="802"/>
              </w:tabs>
              <w:ind w:left="77"/>
              <w:rPr>
                <w:b/>
              </w:rPr>
            </w:pPr>
          </w:p>
        </w:tc>
      </w:tr>
    </w:tbl>
    <w:p w:rsidR="00737714" w:rsidRPr="0000292B" w:rsidRDefault="00737714" w:rsidP="00737714"/>
    <w:p w:rsidR="00090A6F" w:rsidRPr="0000292B" w:rsidRDefault="00090A6F">
      <w:pPr>
        <w:pStyle w:val="Heading2"/>
      </w:pPr>
      <w:r w:rsidRPr="0000292B">
        <w:t xml:space="preserve">Other </w:t>
      </w:r>
      <w:r w:rsidR="003E0A68" w:rsidRPr="0000292B">
        <w:t>Enquiries</w:t>
      </w:r>
    </w:p>
    <w:p w:rsidR="00090A6F" w:rsidRPr="0000292B" w:rsidRDefault="00090A6F">
      <w:pPr>
        <w:pStyle w:val="CoverContact"/>
      </w:pPr>
      <w:r w:rsidRPr="0000292B">
        <w:t>Phone:</w:t>
      </w:r>
      <w:r w:rsidRPr="0000292B">
        <w:tab/>
        <w:t>(03) 9617 7600</w:t>
      </w:r>
    </w:p>
    <w:p w:rsidR="00090A6F" w:rsidRPr="0000292B" w:rsidRDefault="00090A6F">
      <w:pPr>
        <w:pStyle w:val="CoverContact"/>
      </w:pPr>
      <w:r w:rsidRPr="0000292B">
        <w:t>Fax:</w:t>
      </w:r>
      <w:r w:rsidRPr="0000292B">
        <w:tab/>
        <w:t>(03) 9617 7608</w:t>
      </w:r>
    </w:p>
    <w:p w:rsidR="00090A6F" w:rsidRPr="0000292B" w:rsidRDefault="00923261">
      <w:pPr>
        <w:pStyle w:val="CoverContact"/>
      </w:pPr>
      <w:r>
        <w:t>E-mail:</w:t>
      </w:r>
      <w:r>
        <w:tab/>
        <w:t>standard@aasb.gov</w:t>
      </w:r>
      <w:r w:rsidR="00090A6F" w:rsidRPr="0000292B">
        <w:t>.au</w:t>
      </w:r>
    </w:p>
    <w:p w:rsidR="00115DC6" w:rsidRDefault="00115DC6" w:rsidP="006D4700">
      <w:pPr>
        <w:spacing w:before="2000"/>
      </w:pPr>
      <w:bookmarkStart w:id="5" w:name="CopyrightText"/>
      <w:r>
        <w:t>COPYRIGHT</w:t>
      </w:r>
    </w:p>
    <w:p w:rsidR="00115DC6" w:rsidRDefault="00115DC6" w:rsidP="006D4700"/>
    <w:p w:rsidR="00115DC6" w:rsidRDefault="00115DC6" w:rsidP="006D4700">
      <w:r>
        <w:t xml:space="preserve">© Commonwealth of Australia </w:t>
      </w:r>
      <w:bookmarkStart w:id="6" w:name="Year"/>
      <w:r w:rsidR="00F85736">
        <w:t>2013</w:t>
      </w:r>
      <w:bookmarkEnd w:id="6"/>
    </w:p>
    <w:p w:rsidR="00115DC6" w:rsidRDefault="00115DC6" w:rsidP="006D4700"/>
    <w:p w:rsidR="00115DC6" w:rsidRDefault="00115DC6" w:rsidP="006D4700">
      <w:r>
        <w:t>This work is copyright.  Apart from any use as permitted under the Copyright Act 1968, no part may be reproduced by any process without prior written permission.  Requests and enquiries concerning reproduction and rights should be addressed to The Director of Finance and Administration, Australian Accounting Standards Board, PO Box 204, Collins Street West, Victoria 8007.</w:t>
      </w:r>
    </w:p>
    <w:bookmarkEnd w:id="5"/>
    <w:p w:rsidR="006D4700" w:rsidRDefault="006D4700" w:rsidP="006D4700"/>
    <w:p w:rsidR="007455F0" w:rsidRPr="0000292B" w:rsidRDefault="006D4700" w:rsidP="006D4700">
      <w:r>
        <w:t xml:space="preserve">ISSN </w:t>
      </w:r>
      <w:bookmarkStart w:id="7" w:name="ISSN"/>
      <w:r w:rsidR="00445A6C">
        <w:t>1036-4803</w:t>
      </w:r>
      <w:bookmarkEnd w:id="7"/>
    </w:p>
    <w:p w:rsidR="00090A6F" w:rsidRPr="0000292B" w:rsidRDefault="00090A6F">
      <w:pPr>
        <w:sectPr w:rsidR="00090A6F" w:rsidRPr="0000292B" w:rsidSect="00CC7746">
          <w:footerReference w:type="default" r:id="rId9"/>
          <w:pgSz w:w="11907" w:h="16840" w:code="9"/>
          <w:pgMar w:top="1134" w:right="1134" w:bottom="1134" w:left="1134" w:header="706" w:footer="720" w:gutter="0"/>
          <w:cols w:space="720"/>
        </w:sectPr>
      </w:pPr>
    </w:p>
    <w:p w:rsidR="00090A6F" w:rsidRPr="0000292B" w:rsidRDefault="00090A6F">
      <w:pPr>
        <w:pStyle w:val="Heading1"/>
      </w:pPr>
      <w:r w:rsidRPr="0000292B">
        <w:lastRenderedPageBreak/>
        <w:t>CONTENTS</w:t>
      </w:r>
    </w:p>
    <w:p w:rsidR="00090A6F" w:rsidRPr="0000292B" w:rsidRDefault="00090A6F">
      <w:pPr>
        <w:pStyle w:val="ContentsCapsPlain"/>
      </w:pPr>
      <w:r w:rsidRPr="0000292B">
        <w:t>Preface</w:t>
      </w:r>
    </w:p>
    <w:p w:rsidR="00090A6F" w:rsidRPr="0000292B" w:rsidRDefault="00090A6F">
      <w:pPr>
        <w:pStyle w:val="ContentsCapsBold"/>
      </w:pPr>
      <w:r w:rsidRPr="0000292B">
        <w:t>Accounting Standard</w:t>
      </w:r>
    </w:p>
    <w:p w:rsidR="00090A6F" w:rsidRDefault="00090A6F">
      <w:pPr>
        <w:pStyle w:val="ContentsCapsBold"/>
        <w:rPr>
          <w:i/>
          <w:iCs/>
        </w:rPr>
      </w:pPr>
      <w:r w:rsidRPr="0000292B">
        <w:t xml:space="preserve">AASB </w:t>
      </w:r>
      <w:r w:rsidR="009C2479" w:rsidRPr="00BC0D5D">
        <w:rPr>
          <w:iCs/>
        </w:rPr>
        <w:fldChar w:fldCharType="begin" w:fldLock="1"/>
      </w:r>
      <w:r w:rsidR="009C2479" w:rsidRPr="00BC0D5D">
        <w:rPr>
          <w:iCs/>
        </w:rPr>
        <w:instrText xml:space="preserve"> REF </w:instrText>
      </w:r>
      <w:r w:rsidR="009C2479">
        <w:rPr>
          <w:iCs/>
        </w:rPr>
        <w:instrText>Doc</w:instrText>
      </w:r>
      <w:r w:rsidR="009C2479" w:rsidRPr="00BC0D5D">
        <w:rPr>
          <w:iCs/>
        </w:rPr>
        <w:instrText xml:space="preserve">No \* charformat </w:instrText>
      </w:r>
      <w:r w:rsidR="009C2479" w:rsidRPr="00BC0D5D">
        <w:rPr>
          <w:iCs/>
        </w:rPr>
        <w:fldChar w:fldCharType="separate"/>
      </w:r>
      <w:r w:rsidR="00AE0AF1" w:rsidRPr="00AE0AF1">
        <w:rPr>
          <w:iCs/>
        </w:rPr>
        <w:t>2013-7</w:t>
      </w:r>
      <w:r w:rsidR="009C2479" w:rsidRPr="00BC0D5D">
        <w:rPr>
          <w:iCs/>
        </w:rPr>
        <w:fldChar w:fldCharType="end"/>
      </w:r>
      <w:r w:rsidRPr="0000292B">
        <w:t xml:space="preserve"> </w:t>
      </w:r>
      <w:r w:rsidR="009C2479" w:rsidRPr="009C2479">
        <w:rPr>
          <w:i/>
        </w:rPr>
        <w:t xml:space="preserve">AmenDMENTS TO </w:t>
      </w:r>
      <w:r w:rsidR="0097424C">
        <w:rPr>
          <w:i/>
        </w:rPr>
        <w:t>AASB 1038</w:t>
      </w:r>
      <w:r w:rsidR="009C2479" w:rsidRPr="009C2479">
        <w:rPr>
          <w:i/>
        </w:rPr>
        <w:t xml:space="preserve"> aRISING FROM </w:t>
      </w:r>
      <w:r w:rsidR="009C2479" w:rsidRPr="009C2479">
        <w:rPr>
          <w:i/>
          <w:iCs/>
        </w:rPr>
        <w:fldChar w:fldCharType="begin" w:fldLock="1"/>
      </w:r>
      <w:r w:rsidR="009C2479" w:rsidRPr="009C2479">
        <w:rPr>
          <w:i/>
          <w:iCs/>
        </w:rPr>
        <w:instrText xml:space="preserve"> REF aRISINGNo \* charformat</w:instrText>
      </w:r>
      <w:r w:rsidR="009C2479">
        <w:rPr>
          <w:i/>
          <w:iCs/>
        </w:rPr>
        <w:instrText xml:space="preserve"> </w:instrText>
      </w:r>
      <w:r w:rsidR="009C2479" w:rsidRPr="009C2479">
        <w:rPr>
          <w:i/>
          <w:iCs/>
        </w:rPr>
        <w:fldChar w:fldCharType="separate"/>
      </w:r>
      <w:r w:rsidR="00AE0AF1" w:rsidRPr="00AE0AF1">
        <w:rPr>
          <w:i/>
          <w:iCs/>
        </w:rPr>
        <w:t>AASB 10</w:t>
      </w:r>
      <w:r w:rsidR="009C2479" w:rsidRPr="009C2479">
        <w:rPr>
          <w:i/>
          <w:iCs/>
        </w:rPr>
        <w:fldChar w:fldCharType="end"/>
      </w:r>
      <w:r w:rsidR="0097424C">
        <w:rPr>
          <w:i/>
          <w:iCs/>
        </w:rPr>
        <w:t xml:space="preserve"> in relation to consolidation and interests of policyholders</w:t>
      </w:r>
    </w:p>
    <w:p w:rsidR="002B7803" w:rsidRPr="002B7803" w:rsidRDefault="002B7803" w:rsidP="002B7803"/>
    <w:p w:rsidR="00090A6F" w:rsidRPr="0000292B" w:rsidRDefault="00090A6F" w:rsidP="00CC7746">
      <w:pPr>
        <w:pStyle w:val="ContentsParaHead"/>
        <w:ind w:right="1134"/>
      </w:pPr>
      <w:r w:rsidRPr="0000292B">
        <w:t>Paragraphs</w:t>
      </w:r>
    </w:p>
    <w:p w:rsidR="00090A6F" w:rsidRPr="0000292B" w:rsidRDefault="00090A6F" w:rsidP="00CC7746">
      <w:pPr>
        <w:pStyle w:val="ContentsLevel1"/>
        <w:tabs>
          <w:tab w:val="clear" w:pos="6237"/>
          <w:tab w:val="right" w:pos="8505"/>
        </w:tabs>
      </w:pPr>
      <w:bookmarkStart w:id="8" w:name="TOCRange"/>
      <w:r w:rsidRPr="0000292B">
        <w:t>Objective</w:t>
      </w:r>
      <w:r w:rsidRPr="0000292B">
        <w:tab/>
      </w:r>
      <w:r w:rsidR="00E439D4">
        <w:t>1</w:t>
      </w:r>
    </w:p>
    <w:p w:rsidR="00090A6F" w:rsidRDefault="00090A6F" w:rsidP="00CC7746">
      <w:pPr>
        <w:pStyle w:val="ContentsLevel1"/>
        <w:tabs>
          <w:tab w:val="clear" w:pos="6237"/>
          <w:tab w:val="right" w:pos="8505"/>
        </w:tabs>
      </w:pPr>
      <w:r w:rsidRPr="0000292B">
        <w:t>Application</w:t>
      </w:r>
      <w:r w:rsidRPr="0000292B">
        <w:tab/>
      </w:r>
      <w:r w:rsidR="00E439D4">
        <w:t xml:space="preserve">2 – 5 </w:t>
      </w:r>
    </w:p>
    <w:p w:rsidR="00445A6C" w:rsidRDefault="00445A6C" w:rsidP="00CC7746">
      <w:pPr>
        <w:pStyle w:val="ContentsLevel1"/>
        <w:tabs>
          <w:tab w:val="clear" w:pos="6237"/>
          <w:tab w:val="right" w:pos="8505"/>
        </w:tabs>
      </w:pPr>
      <w:r>
        <w:t>Amendments to AASB 1038</w:t>
      </w:r>
      <w:r>
        <w:tab/>
      </w:r>
      <w:r w:rsidR="00E439D4">
        <w:t xml:space="preserve">6 – 8 </w:t>
      </w:r>
    </w:p>
    <w:p w:rsidR="00E439D4" w:rsidRPr="00E439D4" w:rsidRDefault="00E439D4" w:rsidP="00CC7746">
      <w:pPr>
        <w:pStyle w:val="ContentsLevel1"/>
        <w:tabs>
          <w:tab w:val="clear" w:pos="6237"/>
          <w:tab w:val="right" w:pos="8505"/>
        </w:tabs>
        <w:spacing w:before="240" w:after="240"/>
        <w:rPr>
          <w:i/>
        </w:rPr>
      </w:pPr>
      <w:r>
        <w:t>BASIS FOR CONCLUSIONS</w:t>
      </w:r>
      <w:r>
        <w:tab/>
      </w:r>
      <w:r>
        <w:rPr>
          <w:i/>
        </w:rPr>
        <w:t xml:space="preserve">Page </w:t>
      </w:r>
      <w:r w:rsidR="00F817DF">
        <w:rPr>
          <w:i/>
        </w:rPr>
        <w:t>6</w:t>
      </w:r>
    </w:p>
    <w:p w:rsidR="00090A6F" w:rsidRPr="0000292B" w:rsidRDefault="00090A6F">
      <w:pPr>
        <w:pStyle w:val="ContentsBox"/>
      </w:pPr>
      <w:bookmarkStart w:id="9" w:name="ContentsMarker"/>
      <w:bookmarkEnd w:id="9"/>
      <w:bookmarkEnd w:id="8"/>
      <w:r w:rsidRPr="0000292B">
        <w:t xml:space="preserve">Australian Accounting Standard AASB </w:t>
      </w:r>
      <w:r w:rsidR="00BC0D5D" w:rsidRPr="00BC0D5D">
        <w:rPr>
          <w:iCs/>
        </w:rPr>
        <w:fldChar w:fldCharType="begin" w:fldLock="1"/>
      </w:r>
      <w:r w:rsidR="00BC0D5D" w:rsidRPr="00BC0D5D">
        <w:rPr>
          <w:iCs/>
        </w:rPr>
        <w:instrText xml:space="preserve"> REF </w:instrText>
      </w:r>
      <w:r w:rsidR="009C2479">
        <w:rPr>
          <w:iCs/>
        </w:rPr>
        <w:instrText>Doc</w:instrText>
      </w:r>
      <w:r w:rsidR="00BC0D5D" w:rsidRPr="00BC0D5D">
        <w:rPr>
          <w:iCs/>
        </w:rPr>
        <w:instrText xml:space="preserve">No \* charformat </w:instrText>
      </w:r>
      <w:r w:rsidR="00BC0D5D" w:rsidRPr="00BC0D5D">
        <w:rPr>
          <w:iCs/>
        </w:rPr>
        <w:fldChar w:fldCharType="separate"/>
      </w:r>
      <w:r w:rsidR="00AE0AF1" w:rsidRPr="00AE0AF1">
        <w:rPr>
          <w:iCs/>
        </w:rPr>
        <w:t>2013-7</w:t>
      </w:r>
      <w:r w:rsidR="00BC0D5D" w:rsidRPr="00BC0D5D">
        <w:rPr>
          <w:iCs/>
        </w:rPr>
        <w:fldChar w:fldCharType="end"/>
      </w:r>
      <w:r w:rsidRPr="0000292B">
        <w:t xml:space="preserve"> </w:t>
      </w:r>
      <w:r w:rsidR="009C2479" w:rsidRPr="009C2479">
        <w:rPr>
          <w:i/>
        </w:rPr>
        <w:t xml:space="preserve">Amendments to </w:t>
      </w:r>
      <w:r w:rsidR="0097424C">
        <w:rPr>
          <w:i/>
        </w:rPr>
        <w:t>AASB 1038</w:t>
      </w:r>
      <w:r w:rsidR="009C2479" w:rsidRPr="009C2479">
        <w:rPr>
          <w:i/>
        </w:rPr>
        <w:t xml:space="preserve"> </w:t>
      </w:r>
      <w:r w:rsidR="00460FBB">
        <w:rPr>
          <w:i/>
        </w:rPr>
        <w:t>a</w:t>
      </w:r>
      <w:r w:rsidR="009C2479" w:rsidRPr="009C2479">
        <w:rPr>
          <w:i/>
        </w:rPr>
        <w:t xml:space="preserve">rising </w:t>
      </w:r>
      <w:r w:rsidR="00460FBB">
        <w:rPr>
          <w:i/>
        </w:rPr>
        <w:t>f</w:t>
      </w:r>
      <w:r w:rsidR="009C2479" w:rsidRPr="009C2479">
        <w:rPr>
          <w:i/>
        </w:rPr>
        <w:t>rom</w:t>
      </w:r>
      <w:r w:rsidR="009C2479">
        <w:t xml:space="preserve"> </w:t>
      </w:r>
      <w:r w:rsidRPr="0000292B">
        <w:rPr>
          <w:i/>
          <w:iCs/>
        </w:rPr>
        <w:fldChar w:fldCharType="begin" w:fldLock="1"/>
      </w:r>
      <w:r w:rsidRPr="0000292B">
        <w:rPr>
          <w:i/>
          <w:iCs/>
        </w:rPr>
        <w:instrText xml:space="preserve"> REF </w:instrText>
      </w:r>
      <w:r w:rsidR="009C2479">
        <w:rPr>
          <w:i/>
          <w:iCs/>
        </w:rPr>
        <w:instrText>ArisingNo</w:instrText>
      </w:r>
      <w:r w:rsidRPr="0000292B">
        <w:rPr>
          <w:i/>
          <w:iCs/>
        </w:rPr>
        <w:instrText xml:space="preserve"> \* charformat </w:instrText>
      </w:r>
      <w:r w:rsidRPr="0000292B">
        <w:rPr>
          <w:i/>
          <w:iCs/>
        </w:rPr>
        <w:fldChar w:fldCharType="separate"/>
      </w:r>
      <w:r w:rsidR="00AE0AF1" w:rsidRPr="00AE0AF1">
        <w:rPr>
          <w:i/>
          <w:iCs/>
        </w:rPr>
        <w:t>AASB 10</w:t>
      </w:r>
      <w:r w:rsidRPr="0000292B">
        <w:rPr>
          <w:i/>
          <w:iCs/>
        </w:rPr>
        <w:fldChar w:fldCharType="end"/>
      </w:r>
      <w:r w:rsidR="0097424C">
        <w:rPr>
          <w:i/>
          <w:iCs/>
        </w:rPr>
        <w:t xml:space="preserve"> in relation to </w:t>
      </w:r>
      <w:r w:rsidR="00D66225">
        <w:rPr>
          <w:i/>
          <w:iCs/>
        </w:rPr>
        <w:t>C</w:t>
      </w:r>
      <w:r w:rsidR="0097424C">
        <w:rPr>
          <w:i/>
          <w:iCs/>
        </w:rPr>
        <w:t xml:space="preserve">onsolidation and </w:t>
      </w:r>
      <w:r w:rsidR="00D66225">
        <w:rPr>
          <w:i/>
          <w:iCs/>
        </w:rPr>
        <w:t>I</w:t>
      </w:r>
      <w:r w:rsidR="0097424C">
        <w:rPr>
          <w:i/>
          <w:iCs/>
        </w:rPr>
        <w:t xml:space="preserve">nterests of </w:t>
      </w:r>
      <w:r w:rsidR="00D66225">
        <w:rPr>
          <w:i/>
          <w:iCs/>
        </w:rPr>
        <w:t>P</w:t>
      </w:r>
      <w:r w:rsidR="0097424C">
        <w:rPr>
          <w:i/>
          <w:iCs/>
        </w:rPr>
        <w:t>olicyholders</w:t>
      </w:r>
      <w:r w:rsidRPr="0000292B">
        <w:rPr>
          <w:i/>
          <w:iCs/>
        </w:rPr>
        <w:t xml:space="preserve"> </w:t>
      </w:r>
      <w:r w:rsidRPr="0000292B">
        <w:t>is set out in paragraphs</w:t>
      </w:r>
      <w:r w:rsidR="00115DC6">
        <w:t xml:space="preserve"> </w:t>
      </w:r>
      <w:r w:rsidR="00E439D4">
        <w:t>1 – 8</w:t>
      </w:r>
      <w:r w:rsidRPr="0000292B">
        <w:t xml:space="preserve">. </w:t>
      </w:r>
      <w:r w:rsidR="00E439D4">
        <w:t xml:space="preserve"> </w:t>
      </w:r>
      <w:r w:rsidRPr="0000292B">
        <w:t>All the pa</w:t>
      </w:r>
      <w:r w:rsidR="009C2479">
        <w:t>ragraphs have equal authority.</w:t>
      </w:r>
    </w:p>
    <w:p w:rsidR="00090A6F" w:rsidRPr="0000292B" w:rsidRDefault="00090A6F" w:rsidP="001B6098">
      <w:pPr>
        <w:pStyle w:val="Heading1"/>
        <w:spacing w:before="720"/>
      </w:pPr>
      <w:r w:rsidRPr="0000292B">
        <w:t>Preface</w:t>
      </w:r>
    </w:p>
    <w:p w:rsidR="000F64CC" w:rsidRPr="0000292B" w:rsidRDefault="005A2514">
      <w:pPr>
        <w:pStyle w:val="Heading2"/>
      </w:pPr>
      <w:r>
        <w:t>Introduction</w:t>
      </w:r>
    </w:p>
    <w:p w:rsidR="00074133" w:rsidRDefault="009C2479" w:rsidP="005A2514">
      <w:pPr>
        <w:pStyle w:val="NoNumPlain1"/>
      </w:pPr>
      <w:r>
        <w:t>This Standard makes amendments to Australian Accounting Standard</w:t>
      </w:r>
      <w:r w:rsidR="00E6779E">
        <w:t xml:space="preserve"> </w:t>
      </w:r>
      <w:r w:rsidR="00A35547">
        <w:t xml:space="preserve">AASB 1038 </w:t>
      </w:r>
      <w:r w:rsidR="00A35547">
        <w:rPr>
          <w:i/>
        </w:rPr>
        <w:t>Life Insurance Contracts</w:t>
      </w:r>
      <w:r w:rsidR="005A2514">
        <w:t>.</w:t>
      </w:r>
      <w:r w:rsidR="005A2514" w:rsidRPr="005A2514">
        <w:t xml:space="preserve"> </w:t>
      </w:r>
    </w:p>
    <w:p w:rsidR="00401ECA" w:rsidRDefault="00401ECA" w:rsidP="00401ECA">
      <w:pPr>
        <w:pStyle w:val="NoNumPlain1"/>
      </w:pPr>
      <w:r>
        <w:t xml:space="preserve">These </w:t>
      </w:r>
      <w:r w:rsidR="00460FBB">
        <w:t>a</w:t>
      </w:r>
      <w:r>
        <w:t>mendments arise from</w:t>
      </w:r>
      <w:r w:rsidR="00D00FD5">
        <w:t xml:space="preserve"> </w:t>
      </w:r>
      <w:r w:rsidR="00D00FD5" w:rsidRPr="0000292B">
        <w:fldChar w:fldCharType="begin" w:fldLock="1"/>
      </w:r>
      <w:r w:rsidR="00D00FD5" w:rsidRPr="0000292B">
        <w:instrText xml:space="preserve"> REF </w:instrText>
      </w:r>
      <w:r w:rsidR="00D00FD5">
        <w:instrText>ArisingNo</w:instrText>
      </w:r>
      <w:r w:rsidR="00D00FD5" w:rsidRPr="0000292B">
        <w:instrText xml:space="preserve">  \* charformat </w:instrText>
      </w:r>
      <w:r w:rsidR="00D00FD5" w:rsidRPr="0000292B">
        <w:fldChar w:fldCharType="separate"/>
      </w:r>
      <w:r w:rsidR="00AE0AF1">
        <w:t>AASB 10</w:t>
      </w:r>
      <w:r w:rsidR="00D00FD5" w:rsidRPr="0000292B">
        <w:fldChar w:fldCharType="end"/>
      </w:r>
      <w:r w:rsidR="00D00FD5">
        <w:t xml:space="preserve"> </w:t>
      </w:r>
      <w:r w:rsidR="00E6779E">
        <w:rPr>
          <w:i/>
        </w:rPr>
        <w:t>Consolidated Financial Statements</w:t>
      </w:r>
      <w:r w:rsidR="00E6779E">
        <w:t xml:space="preserve"> in relation to consolidation and interests of policyholders.</w:t>
      </w:r>
    </w:p>
    <w:p w:rsidR="00E6779E" w:rsidRDefault="00E6779E" w:rsidP="00E6779E">
      <w:pPr>
        <w:pStyle w:val="Heading2"/>
      </w:pPr>
      <w:r w:rsidRPr="00E6779E">
        <w:t>Main Features of this Standard</w:t>
      </w:r>
    </w:p>
    <w:p w:rsidR="00E6779E" w:rsidRPr="00E6779E" w:rsidRDefault="00E6779E" w:rsidP="00115DC6">
      <w:pPr>
        <w:pStyle w:val="Heading3"/>
      </w:pPr>
      <w:r w:rsidRPr="00E6779E">
        <w:t>Application Date</w:t>
      </w:r>
    </w:p>
    <w:p w:rsidR="00E6779E" w:rsidRDefault="00E6779E" w:rsidP="00401ECA">
      <w:pPr>
        <w:pStyle w:val="NoNumPlain1"/>
      </w:pPr>
      <w:bookmarkStart w:id="10" w:name="ApplyDateEarlyAdoption"/>
      <w:r w:rsidRPr="00E6779E">
        <w:t xml:space="preserve">This Standard is applicable to annual reporting periods </w:t>
      </w:r>
      <w:fldSimple w:instr=" REF ApplyText  \* charformat " w:fldLock="1">
        <w:r w:rsidR="00AE0AF1" w:rsidRPr="00027E8B">
          <w:t>beginning</w:t>
        </w:r>
      </w:fldSimple>
      <w:r w:rsidRPr="00E6779E">
        <w:t xml:space="preserve"> on or after </w:t>
      </w:r>
      <w:fldSimple w:instr=" REF ApplyDate  \* charformat " w:fldLock="1">
        <w:r w:rsidR="00AE0AF1">
          <w:t>1 January 2014</w:t>
        </w:r>
      </w:fldSimple>
      <w:r w:rsidRPr="00E6779E">
        <w:t xml:space="preserve"> with early adoption permitted for annual reporting periods </w:t>
      </w:r>
      <w:fldSimple w:instr=" REF EarlyText  \* charformat " w:fldLock="1">
        <w:r w:rsidR="00AE0AF1" w:rsidRPr="0000292B">
          <w:t>beginning</w:t>
        </w:r>
      </w:fldSimple>
      <w:r w:rsidRPr="00E6779E">
        <w:t xml:space="preserve"> on or after </w:t>
      </w:r>
      <w:fldSimple w:instr=" REF EarlyDate  \* charformat " w:fldLock="1">
        <w:r w:rsidR="00AE0AF1">
          <w:t>1 January 2005</w:t>
        </w:r>
      </w:fldSimple>
      <w:r w:rsidRPr="00E6779E">
        <w:t>.</w:t>
      </w:r>
      <w:bookmarkEnd w:id="10"/>
    </w:p>
    <w:p w:rsidR="00A35547" w:rsidRPr="00115DC6" w:rsidRDefault="00A35547" w:rsidP="00A35547">
      <w:pPr>
        <w:pStyle w:val="Heading3"/>
      </w:pPr>
      <w:r>
        <w:t>Main Requirements</w:t>
      </w:r>
    </w:p>
    <w:p w:rsidR="00A35547" w:rsidRPr="00E6779E" w:rsidRDefault="00A35547" w:rsidP="00A35547">
      <w:pPr>
        <w:pStyle w:val="NoNumPlain1"/>
      </w:pPr>
      <w:r>
        <w:t>T</w:t>
      </w:r>
      <w:r w:rsidRPr="00E6779E">
        <w:t>his Standard remove</w:t>
      </w:r>
      <w:r>
        <w:t>s</w:t>
      </w:r>
      <w:r w:rsidRPr="00E6779E">
        <w:t xml:space="preserve"> </w:t>
      </w:r>
      <w:r>
        <w:t xml:space="preserve">the </w:t>
      </w:r>
      <w:r w:rsidRPr="00E6779E">
        <w:t>specific requirements in relation to consolidation from AASB 1038 (in particular, paragraphs 1.1.1, 4.1, 4.1.1, and 4.2 – 4.2.2), which leave</w:t>
      </w:r>
      <w:r>
        <w:t>s</w:t>
      </w:r>
      <w:r w:rsidRPr="00E6779E">
        <w:t xml:space="preserve"> AASB 10 as the sole source for consolidation requirements applicable to life insurer entities.</w:t>
      </w:r>
    </w:p>
    <w:p w:rsidR="00A35547" w:rsidRPr="00E6779E" w:rsidRDefault="00A35547" w:rsidP="00401ECA">
      <w:pPr>
        <w:pStyle w:val="NoNumPlain1"/>
      </w:pPr>
    </w:p>
    <w:p w:rsidR="00090A6F" w:rsidRPr="0000292B" w:rsidRDefault="00090A6F"/>
    <w:p w:rsidR="00090A6F" w:rsidRPr="0000292B" w:rsidRDefault="00090A6F">
      <w:pPr>
        <w:sectPr w:rsidR="00090A6F" w:rsidRPr="0000292B" w:rsidSect="00CC7746">
          <w:footerReference w:type="default" r:id="rId10"/>
          <w:pgSz w:w="11907" w:h="16840" w:code="9"/>
          <w:pgMar w:top="1134" w:right="1134" w:bottom="1134" w:left="1134" w:header="706" w:footer="720" w:gutter="0"/>
          <w:cols w:space="720"/>
        </w:sectPr>
      </w:pPr>
    </w:p>
    <w:p w:rsidR="001662B8" w:rsidRPr="0000292B" w:rsidRDefault="001662B8" w:rsidP="001662B8">
      <w:pPr>
        <w:pStyle w:val="Heading1"/>
      </w:pPr>
      <w:r w:rsidRPr="0000292B">
        <w:lastRenderedPageBreak/>
        <w:t xml:space="preserve">aCCOUNTING STANDARD AASB </w:t>
      </w:r>
      <w:r w:rsidRPr="00BC0D5D">
        <w:rPr>
          <w:iCs/>
        </w:rPr>
        <w:fldChar w:fldCharType="begin" w:fldLock="1"/>
      </w:r>
      <w:r w:rsidRPr="00BC0D5D">
        <w:rPr>
          <w:iCs/>
        </w:rPr>
        <w:instrText xml:space="preserve"> REF </w:instrText>
      </w:r>
      <w:r>
        <w:rPr>
          <w:iCs/>
        </w:rPr>
        <w:instrText>Doc</w:instrText>
      </w:r>
      <w:r w:rsidRPr="00BC0D5D">
        <w:rPr>
          <w:iCs/>
        </w:rPr>
        <w:instrText xml:space="preserve">No \* charformat </w:instrText>
      </w:r>
      <w:r w:rsidRPr="00BC0D5D">
        <w:rPr>
          <w:iCs/>
        </w:rPr>
        <w:fldChar w:fldCharType="separate"/>
      </w:r>
      <w:r w:rsidR="00AE0AF1" w:rsidRPr="00AE0AF1">
        <w:rPr>
          <w:iCs/>
        </w:rPr>
        <w:t>2013-7</w:t>
      </w:r>
      <w:r w:rsidRPr="00BC0D5D">
        <w:rPr>
          <w:iCs/>
        </w:rPr>
        <w:fldChar w:fldCharType="end"/>
      </w:r>
    </w:p>
    <w:p w:rsidR="001662B8" w:rsidRDefault="001662B8" w:rsidP="00CC7746">
      <w:pPr>
        <w:spacing w:after="1200"/>
      </w:pPr>
      <w:r>
        <w:t>The Australian Accounting Standards Board makes Accounting Standard AASB </w:t>
      </w:r>
      <w:fldSimple w:instr=" REF DocNo  \* charformat " w:fldLock="1">
        <w:r w:rsidR="00AE0AF1">
          <w:t>2013-7</w:t>
        </w:r>
      </w:fldSimple>
      <w:r>
        <w:t xml:space="preserve"> </w:t>
      </w:r>
      <w:r w:rsidRPr="001662B8">
        <w:rPr>
          <w:i/>
        </w:rPr>
        <w:t xml:space="preserve">Amendments to </w:t>
      </w:r>
      <w:r w:rsidR="008C4BD7">
        <w:rPr>
          <w:i/>
        </w:rPr>
        <w:t>AASB 1038</w:t>
      </w:r>
      <w:r w:rsidRPr="001662B8">
        <w:rPr>
          <w:i/>
        </w:rPr>
        <w:t xml:space="preserve"> arising from </w:t>
      </w:r>
      <w:r w:rsidRPr="001662B8">
        <w:rPr>
          <w:i/>
          <w:iCs/>
        </w:rPr>
        <w:fldChar w:fldCharType="begin" w:fldLock="1"/>
      </w:r>
      <w:r w:rsidRPr="001662B8">
        <w:rPr>
          <w:i/>
          <w:iCs/>
        </w:rPr>
        <w:instrText xml:space="preserve"> REF ArisingNo  \* charformat </w:instrText>
      </w:r>
      <w:r w:rsidRPr="001662B8">
        <w:rPr>
          <w:i/>
          <w:iCs/>
        </w:rPr>
        <w:fldChar w:fldCharType="separate"/>
      </w:r>
      <w:r w:rsidR="00AE0AF1" w:rsidRPr="00AE0AF1">
        <w:rPr>
          <w:i/>
          <w:iCs/>
        </w:rPr>
        <w:t>AASB 10</w:t>
      </w:r>
      <w:r w:rsidRPr="001662B8">
        <w:rPr>
          <w:i/>
          <w:iCs/>
        </w:rPr>
        <w:fldChar w:fldCharType="end"/>
      </w:r>
      <w:r w:rsidR="00D66225">
        <w:rPr>
          <w:i/>
          <w:iCs/>
        </w:rPr>
        <w:t xml:space="preserve"> in relation to C</w:t>
      </w:r>
      <w:r w:rsidR="008C4BD7">
        <w:rPr>
          <w:i/>
          <w:iCs/>
        </w:rPr>
        <w:t xml:space="preserve">onsolidation and </w:t>
      </w:r>
      <w:r w:rsidR="00D66225">
        <w:rPr>
          <w:i/>
          <w:iCs/>
        </w:rPr>
        <w:t>I</w:t>
      </w:r>
      <w:r w:rsidR="008C4BD7">
        <w:rPr>
          <w:i/>
          <w:iCs/>
        </w:rPr>
        <w:t xml:space="preserve">nterests of </w:t>
      </w:r>
      <w:r w:rsidR="00D66225">
        <w:rPr>
          <w:i/>
          <w:iCs/>
        </w:rPr>
        <w:t>P</w:t>
      </w:r>
      <w:r w:rsidR="008C4BD7">
        <w:rPr>
          <w:i/>
          <w:iCs/>
        </w:rPr>
        <w:t>olicyholders</w:t>
      </w:r>
      <w:r w:rsidR="002B7803">
        <w:rPr>
          <w:i/>
          <w:iCs/>
        </w:rPr>
        <w:t xml:space="preserve"> </w:t>
      </w:r>
      <w:r>
        <w:t xml:space="preserve">under section 334 of the </w:t>
      </w:r>
      <w:r>
        <w:rPr>
          <w:i/>
          <w:iCs/>
        </w:rPr>
        <w:t>Corporations Act 2001</w:t>
      </w:r>
      <w:r>
        <w:t>.</w:t>
      </w:r>
    </w:p>
    <w:p w:rsidR="00C03C7B" w:rsidRDefault="00C03C7B" w:rsidP="00C03C7B"/>
    <w:tbl>
      <w:tblPr>
        <w:tblW w:w="0" w:type="auto"/>
        <w:tblLook w:val="0000" w:firstRow="0" w:lastRow="0" w:firstColumn="0" w:lastColumn="0" w:noHBand="0" w:noVBand="0"/>
        <w:tblCaption w:val="Authorisation of the statement that the AASB has made the Standard"/>
        <w:tblDescription w:val="Date when the Standard was made by the AASB, the name of the AASB Chair, and the statement of that position"/>
      </w:tblPr>
      <w:tblGrid>
        <w:gridCol w:w="3402"/>
        <w:gridCol w:w="6237"/>
      </w:tblGrid>
      <w:tr w:rsidR="00C03C7B" w:rsidTr="00CC7746">
        <w:tc>
          <w:tcPr>
            <w:tcW w:w="3402" w:type="dxa"/>
          </w:tcPr>
          <w:p w:rsidR="00C03C7B" w:rsidRDefault="00C03C7B" w:rsidP="0048155F"/>
        </w:tc>
        <w:tc>
          <w:tcPr>
            <w:tcW w:w="6237" w:type="dxa"/>
          </w:tcPr>
          <w:p w:rsidR="00C03C7B" w:rsidRDefault="00C03C7B" w:rsidP="0048155F">
            <w:pPr>
              <w:jc w:val="right"/>
            </w:pPr>
            <w:r>
              <w:t xml:space="preserve">Kevin </w:t>
            </w:r>
            <w:r w:rsidR="000B733C">
              <w:t xml:space="preserve">M. </w:t>
            </w:r>
            <w:r>
              <w:t>Stevenson</w:t>
            </w:r>
          </w:p>
        </w:tc>
      </w:tr>
      <w:tr w:rsidR="00C03C7B" w:rsidTr="00CC7746">
        <w:tc>
          <w:tcPr>
            <w:tcW w:w="3402" w:type="dxa"/>
          </w:tcPr>
          <w:p w:rsidR="00C03C7B" w:rsidRDefault="00C03C7B" w:rsidP="0048155F">
            <w:r>
              <w:t xml:space="preserve">Dated </w:t>
            </w:r>
            <w:bookmarkStart w:id="11" w:name="DateSigned"/>
            <w:r w:rsidR="00F85736">
              <w:t>14 October 2013</w:t>
            </w:r>
            <w:bookmarkEnd w:id="11"/>
          </w:p>
        </w:tc>
        <w:tc>
          <w:tcPr>
            <w:tcW w:w="6237" w:type="dxa"/>
          </w:tcPr>
          <w:p w:rsidR="00C03C7B" w:rsidRDefault="00C03C7B" w:rsidP="0048155F">
            <w:pPr>
              <w:jc w:val="right"/>
            </w:pPr>
            <w:r>
              <w:t>Chair – AASB</w:t>
            </w:r>
          </w:p>
        </w:tc>
      </w:tr>
    </w:tbl>
    <w:p w:rsidR="00C03C7B" w:rsidRDefault="00C03C7B" w:rsidP="00C03C7B"/>
    <w:p w:rsidR="00C03C7B" w:rsidRDefault="00C03C7B" w:rsidP="00C03C7B"/>
    <w:p w:rsidR="00090A6F" w:rsidRPr="0000292B" w:rsidRDefault="00090A6F">
      <w:pPr>
        <w:pStyle w:val="Heading1"/>
      </w:pPr>
      <w:r w:rsidRPr="0000292B">
        <w:t xml:space="preserve">aCCOUNTING STANDARD AASB </w:t>
      </w:r>
      <w:r w:rsidR="00BC0D5D" w:rsidRPr="00BC0D5D">
        <w:rPr>
          <w:iCs/>
        </w:rPr>
        <w:fldChar w:fldCharType="begin" w:fldLock="1"/>
      </w:r>
      <w:r w:rsidR="00BC0D5D" w:rsidRPr="00BC0D5D">
        <w:rPr>
          <w:iCs/>
        </w:rPr>
        <w:instrText xml:space="preserve"> REF </w:instrText>
      </w:r>
      <w:r w:rsidR="001662B8">
        <w:rPr>
          <w:iCs/>
        </w:rPr>
        <w:instrText>Doc</w:instrText>
      </w:r>
      <w:r w:rsidR="00BC0D5D" w:rsidRPr="00BC0D5D">
        <w:rPr>
          <w:iCs/>
        </w:rPr>
        <w:instrText xml:space="preserve">No \* charformat </w:instrText>
      </w:r>
      <w:r w:rsidR="00BC0D5D" w:rsidRPr="00BC0D5D">
        <w:rPr>
          <w:iCs/>
        </w:rPr>
        <w:fldChar w:fldCharType="separate"/>
      </w:r>
      <w:r w:rsidR="00AE0AF1" w:rsidRPr="00AE0AF1">
        <w:rPr>
          <w:iCs/>
        </w:rPr>
        <w:t>2013-7</w:t>
      </w:r>
      <w:r w:rsidR="00BC0D5D" w:rsidRPr="00BC0D5D">
        <w:rPr>
          <w:iCs/>
        </w:rPr>
        <w:fldChar w:fldCharType="end"/>
      </w:r>
    </w:p>
    <w:p w:rsidR="00090A6F" w:rsidRDefault="001662B8">
      <w:pPr>
        <w:pStyle w:val="Heading1Italic"/>
      </w:pPr>
      <w:r>
        <w:t xml:space="preserve">AMENDMENTS TO </w:t>
      </w:r>
      <w:r w:rsidR="008C4BD7">
        <w:t>AASB 1038</w:t>
      </w:r>
      <w:r>
        <w:t xml:space="preserve"> ARISING FROM </w:t>
      </w:r>
      <w:r w:rsidR="00090A6F" w:rsidRPr="0000292B">
        <w:fldChar w:fldCharType="begin" w:fldLock="1"/>
      </w:r>
      <w:r w:rsidR="00090A6F" w:rsidRPr="0000292B">
        <w:instrText xml:space="preserve"> REF </w:instrText>
      </w:r>
      <w:r>
        <w:instrText>ArisingNo</w:instrText>
      </w:r>
      <w:r w:rsidR="00090A6F" w:rsidRPr="0000292B">
        <w:instrText xml:space="preserve">  \* charformat </w:instrText>
      </w:r>
      <w:r w:rsidR="00090A6F" w:rsidRPr="0000292B">
        <w:fldChar w:fldCharType="separate"/>
      </w:r>
      <w:r w:rsidR="00AE0AF1">
        <w:t>AASB 10</w:t>
      </w:r>
      <w:r w:rsidR="00090A6F" w:rsidRPr="0000292B">
        <w:fldChar w:fldCharType="end"/>
      </w:r>
      <w:r w:rsidR="008C4BD7">
        <w:t xml:space="preserve"> in relation to consolidation and interests of policyholders</w:t>
      </w:r>
    </w:p>
    <w:p w:rsidR="00090A6F" w:rsidRPr="0000292B" w:rsidRDefault="00090A6F">
      <w:pPr>
        <w:pStyle w:val="Heading2"/>
      </w:pPr>
      <w:bookmarkStart w:id="12" w:name="TOCStart"/>
      <w:bookmarkEnd w:id="12"/>
      <w:r w:rsidRPr="0000292B">
        <w:t>Objective</w:t>
      </w:r>
    </w:p>
    <w:p w:rsidR="008C4BD7" w:rsidRPr="008C4BD7" w:rsidRDefault="008C4BD7" w:rsidP="003C4D16">
      <w:pPr>
        <w:pStyle w:val="NumPlain1"/>
      </w:pPr>
      <w:r w:rsidRPr="008C4BD7">
        <w:t xml:space="preserve">The objective of this Standard is to remove the specific consolidation requirements from AASB 1038 </w:t>
      </w:r>
      <w:r w:rsidRPr="008C4BD7">
        <w:rPr>
          <w:i/>
        </w:rPr>
        <w:t>Life Insurance Contracts</w:t>
      </w:r>
      <w:r w:rsidRPr="008C4BD7">
        <w:t xml:space="preserve">, and thereby leave AASB 10 </w:t>
      </w:r>
      <w:r w:rsidRPr="008C4BD7">
        <w:rPr>
          <w:i/>
        </w:rPr>
        <w:t>Consolidated Financial Statements</w:t>
      </w:r>
      <w:r w:rsidRPr="008C4BD7">
        <w:t xml:space="preserve"> as the sole source for consolidation requirements applicable to life insurer entities.</w:t>
      </w:r>
    </w:p>
    <w:p w:rsidR="00090A6F" w:rsidRPr="0000292B" w:rsidRDefault="00090A6F">
      <w:pPr>
        <w:pStyle w:val="Heading2"/>
      </w:pPr>
      <w:r w:rsidRPr="0000292B">
        <w:t>Application</w:t>
      </w:r>
    </w:p>
    <w:p w:rsidR="00511C34" w:rsidRDefault="00361448" w:rsidP="003C4D16">
      <w:pPr>
        <w:pStyle w:val="NumBold1"/>
      </w:pPr>
      <w:r w:rsidRPr="00361448">
        <w:t>This Standard applies to each entity that is:</w:t>
      </w:r>
    </w:p>
    <w:p w:rsidR="00361448" w:rsidRPr="00E4345B" w:rsidRDefault="00361448" w:rsidP="00361448">
      <w:pPr>
        <w:pStyle w:val="NumBold2"/>
      </w:pPr>
      <w:r w:rsidRPr="00E4345B">
        <w:t>a life insurer; or</w:t>
      </w:r>
    </w:p>
    <w:p w:rsidR="00D74038" w:rsidRDefault="00361448" w:rsidP="00361448">
      <w:pPr>
        <w:pStyle w:val="NumBold2"/>
      </w:pPr>
      <w:r w:rsidRPr="00E4345B">
        <w:t>the parent in a group that includes a life insurer;</w:t>
      </w:r>
    </w:p>
    <w:p w:rsidR="00361448" w:rsidRDefault="00361448" w:rsidP="00361448">
      <w:pPr>
        <w:pStyle w:val="NumBold2"/>
        <w:numPr>
          <w:ilvl w:val="0"/>
          <w:numId w:val="0"/>
        </w:numPr>
        <w:ind w:left="510"/>
      </w:pPr>
      <w:proofErr w:type="gramStart"/>
      <w:r>
        <w:t>when</w:t>
      </w:r>
      <w:proofErr w:type="gramEnd"/>
      <w:r>
        <w:t xml:space="preserve"> the entity:</w:t>
      </w:r>
    </w:p>
    <w:p w:rsidR="00361448" w:rsidRPr="00361448" w:rsidRDefault="00361448" w:rsidP="00361448">
      <w:pPr>
        <w:pStyle w:val="NumBold2"/>
      </w:pPr>
      <w:r w:rsidRPr="00361448">
        <w:t>is a reporting entity that is required to prepare financial reports in accordance with Part 2M.3 of the Corporations Act;</w:t>
      </w:r>
    </w:p>
    <w:p w:rsidR="00361448" w:rsidRPr="00361448" w:rsidRDefault="00361448" w:rsidP="00361448">
      <w:pPr>
        <w:pStyle w:val="NumBold2"/>
      </w:pPr>
      <w:r w:rsidRPr="00361448">
        <w:t xml:space="preserve">is </w:t>
      </w:r>
      <w:proofErr w:type="spellStart"/>
      <w:r w:rsidRPr="00361448">
        <w:t>an other</w:t>
      </w:r>
      <w:proofErr w:type="spellEnd"/>
      <w:r w:rsidRPr="00361448">
        <w:t xml:space="preserve"> reporting entity and prepares general purpose financial statements; or</w:t>
      </w:r>
    </w:p>
    <w:p w:rsidR="00361448" w:rsidRPr="00361448" w:rsidRDefault="00361448" w:rsidP="00361448">
      <w:pPr>
        <w:pStyle w:val="NumBold2"/>
      </w:pPr>
      <w:proofErr w:type="gramStart"/>
      <w:r w:rsidRPr="00361448">
        <w:t>prepares</w:t>
      </w:r>
      <w:proofErr w:type="gramEnd"/>
      <w:r w:rsidRPr="00361448">
        <w:t xml:space="preserve"> financial statements that are, or are held out to be, general purpose financial statements.</w:t>
      </w:r>
    </w:p>
    <w:p w:rsidR="00090A6F" w:rsidRPr="00027E8B" w:rsidRDefault="00090A6F" w:rsidP="00027E8B">
      <w:pPr>
        <w:pStyle w:val="NumBold1"/>
      </w:pPr>
      <w:r w:rsidRPr="00027E8B">
        <w:t xml:space="preserve">This Standard applies to annual reporting periods </w:t>
      </w:r>
      <w:bookmarkStart w:id="13" w:name="ApplyText"/>
      <w:r w:rsidRPr="00027E8B">
        <w:t>beginning</w:t>
      </w:r>
      <w:bookmarkEnd w:id="13"/>
      <w:r w:rsidRPr="00027E8B">
        <w:t xml:space="preserve"> on or after </w:t>
      </w:r>
      <w:bookmarkStart w:id="14" w:name="ApplyDate"/>
      <w:r w:rsidR="00445A6C">
        <w:t>1 January 2014</w:t>
      </w:r>
      <w:bookmarkEnd w:id="14"/>
      <w:r w:rsidRPr="00027E8B">
        <w:t>.</w:t>
      </w:r>
    </w:p>
    <w:p w:rsidR="00090A6F" w:rsidRPr="0000292B" w:rsidRDefault="00F2677A" w:rsidP="00027E8B">
      <w:pPr>
        <w:pStyle w:val="NumBold1"/>
      </w:pPr>
      <w:bookmarkStart w:id="15" w:name="EarlyYesPara"/>
      <w:r>
        <w:t xml:space="preserve">This Standard shall be applied when </w:t>
      </w:r>
      <w:r w:rsidRPr="0000292B">
        <w:fldChar w:fldCharType="begin" w:fldLock="1"/>
      </w:r>
      <w:r w:rsidRPr="0000292B">
        <w:instrText xml:space="preserve"> REF </w:instrText>
      </w:r>
      <w:r>
        <w:instrText>ArisingNo</w:instrText>
      </w:r>
      <w:r w:rsidRPr="0000292B">
        <w:instrText xml:space="preserve">  \* charformat </w:instrText>
      </w:r>
      <w:r w:rsidRPr="0000292B">
        <w:fldChar w:fldCharType="separate"/>
      </w:r>
      <w:r w:rsidR="00AE0AF1">
        <w:t>AASB 10</w:t>
      </w:r>
      <w:r w:rsidRPr="0000292B">
        <w:fldChar w:fldCharType="end"/>
      </w:r>
      <w:r>
        <w:t xml:space="preserve"> is applied.  </w:t>
      </w:r>
      <w:r w:rsidR="00090A6F" w:rsidRPr="0000292B">
        <w:t xml:space="preserve">This Standard may be applied to annual reporting periods </w:t>
      </w:r>
      <w:bookmarkStart w:id="16" w:name="EarlyText"/>
      <w:r w:rsidR="00E839DA" w:rsidRPr="0000292B">
        <w:t>beginning</w:t>
      </w:r>
      <w:bookmarkEnd w:id="16"/>
      <w:r w:rsidR="00090A6F" w:rsidRPr="0000292B">
        <w:t xml:space="preserve"> on or after </w:t>
      </w:r>
      <w:bookmarkStart w:id="17" w:name="EarlyDate"/>
      <w:r w:rsidR="00445A6C">
        <w:t>1 January 2005</w:t>
      </w:r>
      <w:bookmarkEnd w:id="17"/>
      <w:r w:rsidR="0078116B" w:rsidRPr="0000292B">
        <w:t xml:space="preserve"> </w:t>
      </w:r>
      <w:bookmarkStart w:id="18" w:name="EarlyWord"/>
      <w:r w:rsidR="0078116B" w:rsidRPr="0000292B">
        <w:t>but</w:t>
      </w:r>
      <w:bookmarkEnd w:id="18"/>
      <w:r w:rsidR="0078116B" w:rsidRPr="0000292B">
        <w:t xml:space="preserve"> before </w:t>
      </w:r>
      <w:fldSimple w:instr=" REF ApplyDate  \* charformat  " w:fldLock="1">
        <w:r w:rsidR="00AE0AF1">
          <w:t>1 January 2014</w:t>
        </w:r>
      </w:fldSimple>
      <w:r w:rsidR="00090A6F" w:rsidRPr="0000292B">
        <w:t xml:space="preserve">.  When an entity applies this Standard to </w:t>
      </w:r>
      <w:r w:rsidR="00590051">
        <w:t xml:space="preserve">such </w:t>
      </w:r>
      <w:r w:rsidR="00090A6F" w:rsidRPr="0000292B">
        <w:t>an annual reporting period</w:t>
      </w:r>
      <w:r w:rsidR="00590051">
        <w:t>,</w:t>
      </w:r>
      <w:r w:rsidR="00090A6F" w:rsidRPr="0000292B">
        <w:t xml:space="preserve"> it shall disclose that fact.</w:t>
      </w:r>
    </w:p>
    <w:bookmarkEnd w:id="15"/>
    <w:p w:rsidR="00361448" w:rsidRDefault="00361448" w:rsidP="0048155F">
      <w:pPr>
        <w:pStyle w:val="NumBold1"/>
      </w:pPr>
      <w:r w:rsidRPr="00361448">
        <w:t>The requi</w:t>
      </w:r>
      <w:bookmarkStart w:id="19" w:name="MaterialPara"/>
      <w:bookmarkEnd w:id="19"/>
      <w:r w:rsidRPr="00361448">
        <w:t xml:space="preserve">rements specified in this Standard apply to the financial statements where information resulting from their application is material in accordance with AASB 1031 </w:t>
      </w:r>
      <w:r w:rsidRPr="00361448">
        <w:rPr>
          <w:i/>
          <w:iCs/>
        </w:rPr>
        <w:t>Materiality</w:t>
      </w:r>
      <w:r w:rsidRPr="00361448">
        <w:t>.</w:t>
      </w:r>
    </w:p>
    <w:p w:rsidR="00445A6C" w:rsidRDefault="00445A6C">
      <w:pPr>
        <w:pStyle w:val="Heading2"/>
      </w:pPr>
      <w:r>
        <w:t xml:space="preserve">Amendments to </w:t>
      </w:r>
      <w:bookmarkStart w:id="20" w:name="StndNo2"/>
      <w:r>
        <w:t>AASB 1038</w:t>
      </w:r>
      <w:bookmarkEnd w:id="20"/>
    </w:p>
    <w:p w:rsidR="00445A6C" w:rsidRDefault="00361448">
      <w:pPr>
        <w:pStyle w:val="NumPlain1"/>
      </w:pPr>
      <w:r w:rsidRPr="00361448">
        <w:t>The sub-heading above paragraph 4.1 is deleted and the heading above paragraph 4.1 is amended to read as follows:</w:t>
      </w:r>
    </w:p>
    <w:p w:rsidR="00361448" w:rsidRDefault="00361448" w:rsidP="00361448">
      <w:pPr>
        <w:pStyle w:val="NoNumBold2"/>
        <w:ind w:left="1134" w:hanging="624"/>
      </w:pPr>
      <w:r>
        <w:t>4</w:t>
      </w:r>
      <w:r>
        <w:tab/>
      </w:r>
      <w:r w:rsidRPr="00361448">
        <w:t>Equity in a Shareholder-Owned Life Insurer</w:t>
      </w:r>
    </w:p>
    <w:p w:rsidR="00361448" w:rsidRDefault="00361448" w:rsidP="00361448">
      <w:pPr>
        <w:pStyle w:val="NumPlain1"/>
      </w:pPr>
      <w:r w:rsidRPr="00361448">
        <w:t>Paragraphs 1.1.1, 4.1 and 4.1.1 are deleted.</w:t>
      </w:r>
    </w:p>
    <w:p w:rsidR="00361448" w:rsidRDefault="00361448" w:rsidP="00361448">
      <w:pPr>
        <w:pStyle w:val="NumPlain1"/>
      </w:pPr>
      <w:r w:rsidRPr="00361448">
        <w:t>Paragraphs 4.2, 4.2.1 and 4.2.2 and the heading above paragraph 4.2 are deleted.</w:t>
      </w:r>
    </w:p>
    <w:p w:rsidR="00E439D4" w:rsidRDefault="00E439D4" w:rsidP="001C01B9">
      <w:pPr>
        <w:pStyle w:val="AppendixTitle"/>
        <w:sectPr w:rsidR="00E439D4" w:rsidSect="00CC7746">
          <w:headerReference w:type="default" r:id="rId11"/>
          <w:footerReference w:type="default" r:id="rId12"/>
          <w:headerReference w:type="first" r:id="rId13"/>
          <w:footerReference w:type="first" r:id="rId14"/>
          <w:pgSz w:w="11907" w:h="16840" w:code="9"/>
          <w:pgMar w:top="1134" w:right="1134" w:bottom="1134" w:left="1134" w:header="709" w:footer="720" w:gutter="0"/>
          <w:cols w:space="720"/>
          <w:docGrid w:linePitch="65"/>
        </w:sectPr>
      </w:pPr>
    </w:p>
    <w:p w:rsidR="00E6779E" w:rsidRPr="0000292B" w:rsidRDefault="00E6779E" w:rsidP="001C01B9">
      <w:pPr>
        <w:pStyle w:val="AppendixTitle"/>
      </w:pPr>
      <w:r w:rsidRPr="0000292B">
        <w:lastRenderedPageBreak/>
        <w:t>BASIS FOR CONCLUSIONS</w:t>
      </w:r>
    </w:p>
    <w:p w:rsidR="00E6779E" w:rsidRPr="0000292B" w:rsidRDefault="00E6779E">
      <w:pPr>
        <w:pStyle w:val="AppendixNote"/>
      </w:pPr>
      <w:r w:rsidRPr="0000292B">
        <w:t>Th</w:t>
      </w:r>
      <w:r>
        <w:t>is</w:t>
      </w:r>
      <w:r w:rsidRPr="0000292B">
        <w:t xml:space="preserve"> Basis for Conclusions accompanies, but is not part of, AASB </w:t>
      </w:r>
      <w:r>
        <w:rPr>
          <w:iCs w:val="0"/>
        </w:rPr>
        <w:fldChar w:fldCharType="begin" w:fldLock="1"/>
      </w:r>
      <w:r>
        <w:rPr>
          <w:iCs w:val="0"/>
        </w:rPr>
        <w:instrText xml:space="preserve"> REF \* charformat DocNo </w:instrText>
      </w:r>
      <w:r>
        <w:rPr>
          <w:iCs w:val="0"/>
        </w:rPr>
        <w:fldChar w:fldCharType="separate"/>
      </w:r>
      <w:r w:rsidR="00AE0AF1" w:rsidRPr="00AE0AF1">
        <w:rPr>
          <w:iCs w:val="0"/>
        </w:rPr>
        <w:t>2013-7</w:t>
      </w:r>
      <w:r>
        <w:rPr>
          <w:iCs w:val="0"/>
        </w:rPr>
        <w:fldChar w:fldCharType="end"/>
      </w:r>
      <w:r w:rsidRPr="0000292B">
        <w:t>.</w:t>
      </w:r>
    </w:p>
    <w:p w:rsidR="00E6779E" w:rsidRPr="0000292B" w:rsidRDefault="00E6779E">
      <w:pPr>
        <w:pStyle w:val="Heading2"/>
      </w:pPr>
      <w:r>
        <w:t>Background</w:t>
      </w:r>
    </w:p>
    <w:p w:rsidR="00E6779E" w:rsidRPr="0000292B" w:rsidRDefault="00E6779E" w:rsidP="00E6779E">
      <w:pPr>
        <w:pStyle w:val="NumBC1"/>
        <w:numPr>
          <w:ilvl w:val="0"/>
          <w:numId w:val="11"/>
        </w:numPr>
      </w:pPr>
      <w:r>
        <w:t xml:space="preserve">This Basis for Conclusions summarises the Australian Accounting Standards Board’s considerations in reaching the conclusions in the </w:t>
      </w:r>
      <w:r w:rsidR="00716124">
        <w:t>Standard</w:t>
      </w:r>
      <w:r>
        <w:t>.  Individual Board members gave greater weight to some factors than to others.</w:t>
      </w:r>
    </w:p>
    <w:p w:rsidR="00E6779E" w:rsidRPr="0000292B" w:rsidRDefault="00E6779E">
      <w:pPr>
        <w:pStyle w:val="Heading2"/>
      </w:pPr>
      <w:r w:rsidRPr="0000292B">
        <w:t>Significant Issues</w:t>
      </w:r>
    </w:p>
    <w:p w:rsidR="00E6779E" w:rsidRPr="009D2164" w:rsidRDefault="00E6779E" w:rsidP="00E6779E">
      <w:pPr>
        <w:pStyle w:val="NumBC1"/>
        <w:numPr>
          <w:ilvl w:val="0"/>
          <w:numId w:val="11"/>
        </w:numPr>
      </w:pPr>
      <w:r w:rsidRPr="009D2164">
        <w:t>In May 2011 the I</w:t>
      </w:r>
      <w:r>
        <w:t>nternational Accounting Standards Board (I</w:t>
      </w:r>
      <w:r w:rsidRPr="009D2164">
        <w:t>ASB</w:t>
      </w:r>
      <w:r>
        <w:t>)</w:t>
      </w:r>
      <w:r w:rsidRPr="009D2164">
        <w:t xml:space="preserve"> issued IFRS 10 </w:t>
      </w:r>
      <w:r w:rsidRPr="009D2164">
        <w:rPr>
          <w:i/>
        </w:rPr>
        <w:t>Consolidated Financial Statements</w:t>
      </w:r>
      <w:r w:rsidRPr="005C0318">
        <w:rPr>
          <w:rStyle w:val="FootnoteReference"/>
        </w:rPr>
        <w:footnoteReference w:id="1"/>
      </w:r>
      <w:r w:rsidRPr="009D2164">
        <w:t xml:space="preserve"> to replace </w:t>
      </w:r>
      <w:r>
        <w:t xml:space="preserve">the consolidation requirements in </w:t>
      </w:r>
      <w:r w:rsidRPr="009D2164">
        <w:t xml:space="preserve">IAS 27 </w:t>
      </w:r>
      <w:r w:rsidRPr="009D2164">
        <w:rPr>
          <w:i/>
        </w:rPr>
        <w:t>Consolidated and Separate Financial Statements</w:t>
      </w:r>
      <w:r w:rsidR="00716124">
        <w:rPr>
          <w:i/>
        </w:rPr>
        <w:t>.</w:t>
      </w:r>
      <w:r w:rsidRPr="005C0318">
        <w:rPr>
          <w:rStyle w:val="FootnoteReference"/>
        </w:rPr>
        <w:footnoteReference w:id="2"/>
      </w:r>
      <w:r w:rsidRPr="009D2164">
        <w:t xml:space="preserve">  IFRS 10 also incorporates the guidance contained in SIC-12 </w:t>
      </w:r>
      <w:r w:rsidRPr="009D2164">
        <w:rPr>
          <w:i/>
        </w:rPr>
        <w:t>Consolidation –</w:t>
      </w:r>
      <w:r>
        <w:rPr>
          <w:i/>
        </w:rPr>
        <w:t xml:space="preserve"> </w:t>
      </w:r>
      <w:r w:rsidRPr="009D2164">
        <w:rPr>
          <w:i/>
        </w:rPr>
        <w:t>Special Purpose Entities</w:t>
      </w:r>
      <w:r w:rsidR="00716124">
        <w:rPr>
          <w:i/>
        </w:rPr>
        <w:t>.</w:t>
      </w:r>
      <w:r w:rsidRPr="005C0318">
        <w:rPr>
          <w:rStyle w:val="FootnoteReference"/>
        </w:rPr>
        <w:footnoteReference w:id="3"/>
      </w:r>
      <w:r w:rsidRPr="009D2164">
        <w:t xml:space="preserve">  IFRS</w:t>
      </w:r>
      <w:r>
        <w:t> </w:t>
      </w:r>
      <w:r w:rsidRPr="009D2164">
        <w:t xml:space="preserve">12 </w:t>
      </w:r>
      <w:r w:rsidRPr="009D2164">
        <w:rPr>
          <w:i/>
        </w:rPr>
        <w:t>Disclosure of Interests in Other Entities</w:t>
      </w:r>
      <w:r w:rsidR="00716124">
        <w:rPr>
          <w:i/>
        </w:rPr>
        <w:t>,</w:t>
      </w:r>
      <w:r w:rsidRPr="005C0318">
        <w:rPr>
          <w:rStyle w:val="FootnoteReference"/>
        </w:rPr>
        <w:footnoteReference w:id="4"/>
      </w:r>
      <w:r w:rsidRPr="009D2164">
        <w:t xml:space="preserve"> also issued in May</w:t>
      </w:r>
      <w:r>
        <w:t> </w:t>
      </w:r>
      <w:r w:rsidRPr="009D2164">
        <w:t xml:space="preserve">2011, replaced the disclosure requirements in IAS 27 </w:t>
      </w:r>
      <w:r w:rsidRPr="009D2164">
        <w:rPr>
          <w:i/>
        </w:rPr>
        <w:t>Consolidated and Separate Financial Statements</w:t>
      </w:r>
      <w:r w:rsidRPr="009D2164">
        <w:t>.</w:t>
      </w:r>
      <w:r>
        <w:t xml:space="preserve"> </w:t>
      </w:r>
    </w:p>
    <w:p w:rsidR="00E6779E" w:rsidRPr="009D2164" w:rsidRDefault="00E6779E" w:rsidP="00E6779E">
      <w:pPr>
        <w:pStyle w:val="NumBC1"/>
        <w:numPr>
          <w:ilvl w:val="0"/>
          <w:numId w:val="11"/>
        </w:numPr>
      </w:pPr>
      <w:r w:rsidRPr="009D2164">
        <w:t xml:space="preserve">Paragraph 4.1 of AASB 1038 </w:t>
      </w:r>
      <w:r>
        <w:t xml:space="preserve">currently </w:t>
      </w:r>
      <w:r w:rsidRPr="009D2164">
        <w:t>requires a life insurer to recognise in its financial statements the assets, liabilities, income, expenses and equity of the entity, whether they are designated as relating to policyholders or to shareholders.  The rationale given in paragraph</w:t>
      </w:r>
      <w:r>
        <w:rPr>
          <w:rStyle w:val="CommentReference"/>
        </w:rPr>
        <w:t> </w:t>
      </w:r>
      <w:r>
        <w:t>4.1</w:t>
      </w:r>
      <w:r w:rsidRPr="009D2164">
        <w:t>.1 of AASB 1038 for this requirement is that the interests of policyholders and shareholders are intertwined and form the basis of a single entity, with the boundaries of the entity defined by control.</w:t>
      </w:r>
    </w:p>
    <w:p w:rsidR="00E6779E" w:rsidRPr="009D2164" w:rsidRDefault="00E6779E" w:rsidP="00E6779E">
      <w:pPr>
        <w:pStyle w:val="NumBC1"/>
        <w:numPr>
          <w:ilvl w:val="0"/>
          <w:numId w:val="11"/>
        </w:numPr>
        <w:rPr>
          <w:lang w:eastAsia="en-AU"/>
        </w:rPr>
      </w:pPr>
      <w:r w:rsidRPr="009D2164">
        <w:rPr>
          <w:lang w:eastAsia="en-AU"/>
        </w:rPr>
        <w:t xml:space="preserve">The consolidation requirements in AASB 1038 were originally written in the context of AASB 1024 </w:t>
      </w:r>
      <w:r w:rsidRPr="009D2164">
        <w:rPr>
          <w:i/>
          <w:iCs/>
          <w:lang w:eastAsia="en-AU"/>
        </w:rPr>
        <w:t xml:space="preserve">Consolidated Accounts </w:t>
      </w:r>
      <w:r w:rsidRPr="009D2164">
        <w:rPr>
          <w:lang w:eastAsia="en-AU"/>
        </w:rPr>
        <w:t xml:space="preserve">(1992). Those requirements were considered to be consistent with AASB 127 </w:t>
      </w:r>
      <w:r w:rsidRPr="009D2164">
        <w:rPr>
          <w:i/>
          <w:iCs/>
          <w:lang w:eastAsia="en-AU"/>
        </w:rPr>
        <w:t xml:space="preserve">Consolidated and Separate Financial Statements </w:t>
      </w:r>
      <w:r w:rsidRPr="009D2164">
        <w:rPr>
          <w:lang w:eastAsia="en-AU"/>
        </w:rPr>
        <w:t xml:space="preserve">when it was made in 2004 </w:t>
      </w:r>
      <w:r>
        <w:rPr>
          <w:lang w:eastAsia="en-AU"/>
        </w:rPr>
        <w:t>(</w:t>
      </w:r>
      <w:r w:rsidRPr="009D2164">
        <w:rPr>
          <w:lang w:eastAsia="en-AU"/>
        </w:rPr>
        <w:t xml:space="preserve">and subsequent </w:t>
      </w:r>
      <w:r>
        <w:rPr>
          <w:lang w:eastAsia="en-AU"/>
        </w:rPr>
        <w:t>amendments to the consolidation requirements</w:t>
      </w:r>
      <w:r w:rsidRPr="009D2164">
        <w:rPr>
          <w:lang w:eastAsia="en-AU"/>
        </w:rPr>
        <w:t xml:space="preserve"> of AASB 127 thereafter</w:t>
      </w:r>
      <w:r>
        <w:rPr>
          <w:lang w:eastAsia="en-AU"/>
        </w:rPr>
        <w:t>)</w:t>
      </w:r>
      <w:r w:rsidRPr="009D2164">
        <w:rPr>
          <w:lang w:eastAsia="en-AU"/>
        </w:rPr>
        <w:t xml:space="preserve">.  </w:t>
      </w:r>
      <w:r w:rsidRPr="00355052">
        <w:rPr>
          <w:lang w:eastAsia="en-AU"/>
        </w:rPr>
        <w:t xml:space="preserve">Accordingly, </w:t>
      </w:r>
      <w:r>
        <w:rPr>
          <w:lang w:eastAsia="en-AU"/>
        </w:rPr>
        <w:t>AASB </w:t>
      </w:r>
      <w:r w:rsidRPr="00355052">
        <w:rPr>
          <w:lang w:eastAsia="en-AU"/>
        </w:rPr>
        <w:t xml:space="preserve">1038 was not amended as a consequence of </w:t>
      </w:r>
      <w:r>
        <w:rPr>
          <w:lang w:eastAsia="en-AU"/>
        </w:rPr>
        <w:t xml:space="preserve">the issue of the original </w:t>
      </w:r>
      <w:r w:rsidRPr="00355052">
        <w:rPr>
          <w:lang w:eastAsia="en-AU"/>
        </w:rPr>
        <w:t xml:space="preserve">or subsequent </w:t>
      </w:r>
      <w:r>
        <w:rPr>
          <w:lang w:eastAsia="en-AU"/>
        </w:rPr>
        <w:t>amendments to AASB 127.</w:t>
      </w:r>
    </w:p>
    <w:p w:rsidR="00E6779E" w:rsidRPr="009D2164" w:rsidRDefault="00E6779E" w:rsidP="00E6779E">
      <w:pPr>
        <w:pStyle w:val="NumBC1"/>
        <w:numPr>
          <w:ilvl w:val="0"/>
          <w:numId w:val="11"/>
        </w:numPr>
        <w:rPr>
          <w:lang w:eastAsia="en-AU"/>
        </w:rPr>
      </w:pPr>
      <w:r w:rsidRPr="009D2164">
        <w:rPr>
          <w:lang w:eastAsia="en-AU"/>
        </w:rPr>
        <w:t xml:space="preserve">Although </w:t>
      </w:r>
      <w:r w:rsidRPr="009D2164">
        <w:t>the consolidation requirements in AASB 10 and AASB </w:t>
      </w:r>
      <w:r>
        <w:t>1</w:t>
      </w:r>
      <w:r w:rsidRPr="009D2164">
        <w:t>27</w:t>
      </w:r>
      <w:r>
        <w:t xml:space="preserve"> </w:t>
      </w:r>
      <w:r w:rsidRPr="009D2164">
        <w:t>are both based on the concept of ‘control’</w:t>
      </w:r>
      <w:r>
        <w:t>,</w:t>
      </w:r>
      <w:r w:rsidRPr="009D2164">
        <w:t xml:space="preserve"> </w:t>
      </w:r>
      <w:r>
        <w:t>AASB</w:t>
      </w:r>
      <w:r w:rsidRPr="009D2164">
        <w:t xml:space="preserve"> 10 contains a revised definition of control.  </w:t>
      </w:r>
      <w:r>
        <w:t>AASB</w:t>
      </w:r>
      <w:r w:rsidRPr="009D2164">
        <w:t xml:space="preserve"> 10 also contains requirements in relation to portions of an investee that are </w:t>
      </w:r>
      <w:r>
        <w:t>‘</w:t>
      </w:r>
      <w:r w:rsidRPr="009D2164">
        <w:t>deemed separate entities</w:t>
      </w:r>
      <w:r>
        <w:t>’</w:t>
      </w:r>
      <w:r w:rsidRPr="009D2164">
        <w:t xml:space="preserve">, and </w:t>
      </w:r>
      <w:r>
        <w:t xml:space="preserve">on </w:t>
      </w:r>
      <w:r w:rsidRPr="009D2164">
        <w:t>whether an investor controls the deemed separate entit</w:t>
      </w:r>
      <w:r>
        <w:t>ies</w:t>
      </w:r>
      <w:r w:rsidRPr="009D2164">
        <w:t>.</w:t>
      </w:r>
    </w:p>
    <w:p w:rsidR="00E6779E" w:rsidRPr="009D2164" w:rsidRDefault="00E6779E" w:rsidP="00E6779E">
      <w:pPr>
        <w:pStyle w:val="NumBC1"/>
        <w:numPr>
          <w:ilvl w:val="0"/>
          <w:numId w:val="11"/>
        </w:numPr>
      </w:pPr>
      <w:r w:rsidRPr="00E4345B">
        <w:t>T</w:t>
      </w:r>
      <w:r w:rsidRPr="009D2164">
        <w:t xml:space="preserve">he Board is aware of the view that, under AASB 10, it is conceivable there could be circumstances in which policyholder interests are not controlled by a life insurer.  In particular, it is conceivable </w:t>
      </w:r>
      <w:r>
        <w:t>that a ‘</w:t>
      </w:r>
      <w:r w:rsidRPr="009D2164">
        <w:t xml:space="preserve">deemed separate entity’ </w:t>
      </w:r>
      <w:r>
        <w:t xml:space="preserve">that would meet the description in AASB 10 </w:t>
      </w:r>
      <w:r w:rsidRPr="009D2164">
        <w:t>(often called a ‘silo’)</w:t>
      </w:r>
      <w:r>
        <w:t xml:space="preserve"> could exist as a result of the </w:t>
      </w:r>
      <w:r w:rsidRPr="009D2164">
        <w:t>characteristics</w:t>
      </w:r>
      <w:r>
        <w:t xml:space="preserve"> of some </w:t>
      </w:r>
      <w:r w:rsidRPr="009D2164">
        <w:t>insurance contracts for which the life insurer entity would need to assess whether the deemed separate entity is controlled (</w:t>
      </w:r>
      <w:r>
        <w:t xml:space="preserve">see </w:t>
      </w:r>
      <w:r w:rsidRPr="009D2164">
        <w:t>paragraphs B76 to B79</w:t>
      </w:r>
      <w:r>
        <w:t xml:space="preserve"> of AASB 10</w:t>
      </w:r>
      <w:r w:rsidRPr="009D2164">
        <w:t>).</w:t>
      </w:r>
    </w:p>
    <w:p w:rsidR="00445A6C" w:rsidRPr="00BC0794" w:rsidRDefault="00E6779E" w:rsidP="00BC0794">
      <w:pPr>
        <w:pStyle w:val="NumBC1"/>
        <w:numPr>
          <w:ilvl w:val="0"/>
          <w:numId w:val="11"/>
        </w:numPr>
      </w:pPr>
      <w:r>
        <w:t xml:space="preserve">The Board is </w:t>
      </w:r>
      <w:r w:rsidR="002C74F1">
        <w:t xml:space="preserve">also </w:t>
      </w:r>
      <w:r>
        <w:t>aware of</w:t>
      </w:r>
      <w:r w:rsidRPr="00E4345B">
        <w:t xml:space="preserve"> concerns that removing the consolidation requirements from AASB 1038 could lead to diversity in practice</w:t>
      </w:r>
      <w:r>
        <w:t>.</w:t>
      </w:r>
      <w:r w:rsidR="00716124">
        <w:t xml:space="preserve">  However, feedback to AASB ED 241 issued in May 2013 was supportive of the proposed amendments. </w:t>
      </w:r>
      <w:r>
        <w:t xml:space="preserve"> Accordingly</w:t>
      </w:r>
      <w:r w:rsidRPr="00E4345B">
        <w:t>, t</w:t>
      </w:r>
      <w:r w:rsidRPr="009D2164">
        <w:t xml:space="preserve">he Board decided to issue this </w:t>
      </w:r>
      <w:r>
        <w:t>Standard</w:t>
      </w:r>
      <w:r w:rsidRPr="009D2164">
        <w:t xml:space="preserve"> to </w:t>
      </w:r>
      <w:r>
        <w:t>remov</w:t>
      </w:r>
      <w:r w:rsidR="00716124">
        <w:t>e</w:t>
      </w:r>
      <w:r>
        <w:t xml:space="preserve"> </w:t>
      </w:r>
      <w:r w:rsidRPr="009D2164">
        <w:t>the explicit consolidation requirement</w:t>
      </w:r>
      <w:r>
        <w:t>s</w:t>
      </w:r>
      <w:r w:rsidRPr="009D2164">
        <w:t xml:space="preserve"> in AASB 1038, thereby leaving AASB 10 as the sole source for consolidation requirements applicable to life insurer entities to avoid any potential conflict with AASB 10</w:t>
      </w:r>
      <w:r>
        <w:t xml:space="preserve"> – including in relation to the requirement relating to ‘uniform accounting policies for like transactions and other events in similar circumstances’ (see paragraph 19 of AASB 10)</w:t>
      </w:r>
      <w:r w:rsidRPr="009D2164">
        <w:t>.  Th</w:t>
      </w:r>
      <w:r>
        <w:t xml:space="preserve">e </w:t>
      </w:r>
      <w:r w:rsidR="002C74F1">
        <w:t>amendments</w:t>
      </w:r>
      <w:r>
        <w:t xml:space="preserve"> in this Standard</w:t>
      </w:r>
      <w:r w:rsidRPr="009D2164">
        <w:t xml:space="preserve"> </w:t>
      </w:r>
      <w:r>
        <w:t>are</w:t>
      </w:r>
      <w:r w:rsidRPr="009D2164">
        <w:t xml:space="preserve"> consistent with the Board’s </w:t>
      </w:r>
      <w:r>
        <w:t xml:space="preserve">policies of </w:t>
      </w:r>
      <w:r w:rsidRPr="009D2164">
        <w:t>transaction neutral</w:t>
      </w:r>
      <w:r>
        <w:t xml:space="preserve"> standards</w:t>
      </w:r>
      <w:r w:rsidRPr="009D2164">
        <w:t xml:space="preserve"> and of not issuing interpretations of IFRS (without first following the Interpretations Protocols</w:t>
      </w:r>
      <w:r w:rsidR="00716124">
        <w:t>).</w:t>
      </w:r>
    </w:p>
    <w:sectPr w:rsidR="00445A6C" w:rsidRPr="00BC0794" w:rsidSect="00CC7746">
      <w:footerReference w:type="default" r:id="rId15"/>
      <w:pgSz w:w="11907" w:h="16840" w:code="9"/>
      <w:pgMar w:top="1134" w:right="1134" w:bottom="1134" w:left="1134" w:header="709" w:footer="720" w:gutter="0"/>
      <w:cols w:space="720"/>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A6C" w:rsidRDefault="00445A6C">
      <w:r>
        <w:separator/>
      </w:r>
    </w:p>
  </w:endnote>
  <w:endnote w:type="continuationSeparator" w:id="0">
    <w:p w:rsidR="00445A6C" w:rsidRDefault="00445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02" w:rsidRDefault="00A96702" w:rsidP="00CC7746">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00AE0AF1" w:rsidRPr="00AE0AF1">
      <w:rPr>
        <w:b/>
      </w:rPr>
      <w:t>2013-7</w:t>
    </w:r>
    <w:r>
      <w:rPr>
        <w:b/>
      </w:rPr>
      <w:fldChar w:fldCharType="end"/>
    </w:r>
    <w:r>
      <w:rPr>
        <w:b/>
      </w:rPr>
      <w:tab/>
    </w:r>
    <w:r>
      <w:fldChar w:fldCharType="begin"/>
    </w:r>
    <w:r>
      <w:instrText>PAGE</w:instrText>
    </w:r>
    <w:r>
      <w:fldChar w:fldCharType="separate"/>
    </w:r>
    <w:r w:rsidR="000A203E">
      <w:rPr>
        <w:noProof/>
      </w:rPr>
      <w:t>2</w:t>
    </w:r>
    <w:r>
      <w:fldChar w:fldCharType="end"/>
    </w:r>
    <w:r>
      <w:tab/>
    </w:r>
    <w:r>
      <w:rPr>
        <w:b/>
        <w:bCs/>
      </w:rPr>
      <w:t>COPYRIGHT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02" w:rsidRDefault="00A96702" w:rsidP="00CC7746">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00AE0AF1" w:rsidRPr="00AE0AF1">
      <w:rPr>
        <w:b/>
      </w:rPr>
      <w:t>2013-7</w:t>
    </w:r>
    <w:r>
      <w:rPr>
        <w:b/>
      </w:rPr>
      <w:fldChar w:fldCharType="end"/>
    </w:r>
    <w:r>
      <w:rPr>
        <w:b/>
      </w:rPr>
      <w:tab/>
    </w:r>
    <w:r>
      <w:fldChar w:fldCharType="begin"/>
    </w:r>
    <w:r>
      <w:instrText>PAGE</w:instrText>
    </w:r>
    <w:r>
      <w:fldChar w:fldCharType="separate"/>
    </w:r>
    <w:r w:rsidR="000A203E">
      <w:rPr>
        <w:noProof/>
      </w:rPr>
      <w:t>3</w:t>
    </w:r>
    <w:r>
      <w:fldChar w:fldCharType="end"/>
    </w:r>
    <w:r>
      <w:tab/>
    </w:r>
    <w:r w:rsidR="001B6098">
      <w:rPr>
        <w:b/>
      </w:rPr>
      <w:t xml:space="preserve">CONTENTS &amp; </w:t>
    </w:r>
    <w:r>
      <w:rPr>
        <w:b/>
        <w:bCs/>
      </w:rPr>
      <w:t>PREFACE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02" w:rsidRDefault="00A96702" w:rsidP="00CC7746">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00AE0AF1" w:rsidRPr="00AE0AF1">
      <w:rPr>
        <w:b/>
      </w:rPr>
      <w:t>2013-7</w:t>
    </w:r>
    <w:r>
      <w:rPr>
        <w:b/>
      </w:rPr>
      <w:fldChar w:fldCharType="end"/>
    </w:r>
    <w:r>
      <w:rPr>
        <w:b/>
      </w:rPr>
      <w:tab/>
    </w:r>
    <w:r>
      <w:fldChar w:fldCharType="begin"/>
    </w:r>
    <w:r>
      <w:instrText>PAGE</w:instrText>
    </w:r>
    <w:r>
      <w:fldChar w:fldCharType="separate"/>
    </w:r>
    <w:r w:rsidR="000A203E">
      <w:rPr>
        <w:noProof/>
      </w:rPr>
      <w:t>4</w:t>
    </w:r>
    <w:r>
      <w:fldChar w:fldCharType="end"/>
    </w:r>
    <w:r>
      <w:tab/>
    </w:r>
    <w:r w:rsidR="00E439D4">
      <w:rPr>
        <w:b/>
        <w:bCs/>
      </w:rPr>
      <w:t>STANDARD</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02" w:rsidRDefault="00A9670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9D4" w:rsidRDefault="00E439D4" w:rsidP="00CC7746">
    <w:pPr>
      <w:pStyle w:val="Footer"/>
      <w:tabs>
        <w:tab w:val="clear" w:pos="3119"/>
        <w:tab w:val="clear" w:pos="6237"/>
        <w:tab w:val="center" w:pos="4820"/>
        <w:tab w:val="right" w:pos="9639"/>
      </w:tabs>
      <w:rPr>
        <w:b/>
      </w:rPr>
    </w:pPr>
    <w:r>
      <w:rPr>
        <w:b/>
      </w:rPr>
      <w:t xml:space="preserve">AASB </w:t>
    </w:r>
    <w:r>
      <w:rPr>
        <w:b/>
      </w:rPr>
      <w:fldChar w:fldCharType="begin" w:fldLock="1"/>
    </w:r>
    <w:r>
      <w:rPr>
        <w:b/>
      </w:rPr>
      <w:instrText xml:space="preserve"> REF DocNo  \* charformat </w:instrText>
    </w:r>
    <w:r>
      <w:rPr>
        <w:b/>
      </w:rPr>
      <w:fldChar w:fldCharType="separate"/>
    </w:r>
    <w:r w:rsidR="00AE0AF1" w:rsidRPr="00AE0AF1">
      <w:rPr>
        <w:b/>
      </w:rPr>
      <w:t>2013-7</w:t>
    </w:r>
    <w:r>
      <w:rPr>
        <w:b/>
      </w:rPr>
      <w:fldChar w:fldCharType="end"/>
    </w:r>
    <w:r>
      <w:rPr>
        <w:b/>
      </w:rPr>
      <w:tab/>
    </w:r>
    <w:r>
      <w:fldChar w:fldCharType="begin"/>
    </w:r>
    <w:r>
      <w:instrText>PAGE</w:instrText>
    </w:r>
    <w:r>
      <w:fldChar w:fldCharType="separate"/>
    </w:r>
    <w:r w:rsidR="000A203E">
      <w:rPr>
        <w:noProof/>
      </w:rPr>
      <w:t>5</w:t>
    </w:r>
    <w:r>
      <w:fldChar w:fldCharType="end"/>
    </w:r>
    <w:r>
      <w:tab/>
    </w:r>
    <w:r>
      <w:rPr>
        <w:b/>
        <w:bCs/>
      </w:rPr>
      <w:t>BASIS FOR CONCLUSIONS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A6C" w:rsidRDefault="00445A6C">
      <w:r>
        <w:separator/>
      </w:r>
    </w:p>
  </w:footnote>
  <w:footnote w:type="continuationSeparator" w:id="0">
    <w:p w:rsidR="00445A6C" w:rsidRDefault="00445A6C">
      <w:r>
        <w:continuationSeparator/>
      </w:r>
    </w:p>
  </w:footnote>
  <w:footnote w:id="1">
    <w:p w:rsidR="00E6779E" w:rsidRPr="00945F2D" w:rsidRDefault="00E6779E" w:rsidP="00E6779E">
      <w:pPr>
        <w:pStyle w:val="FootnoteText"/>
        <w:rPr>
          <w:lang w:val="en-US"/>
        </w:rPr>
      </w:pPr>
      <w:r w:rsidRPr="00BE6A48">
        <w:rPr>
          <w:rStyle w:val="FootnoteReference"/>
          <w:vertAlign w:val="baseline"/>
        </w:rPr>
        <w:footnoteRef/>
      </w:r>
      <w:r>
        <w:tab/>
        <w:t>Incorporated into AASB </w:t>
      </w:r>
      <w:r w:rsidRPr="009D2164">
        <w:t xml:space="preserve">10 </w:t>
      </w:r>
      <w:r w:rsidRPr="009D2164">
        <w:rPr>
          <w:i/>
        </w:rPr>
        <w:t>Consolidated Financial Statements</w:t>
      </w:r>
      <w:r>
        <w:t xml:space="preserve">.  (As a consequence of issuing AASB 10, in August 2011, the AASB issued AASB 2011-7 </w:t>
      </w:r>
      <w:r>
        <w:rPr>
          <w:i/>
        </w:rPr>
        <w:t>Amendments to Australian Accounting Standards arising from the Consolidation and Joint Arrangements Standards</w:t>
      </w:r>
      <w:r>
        <w:t xml:space="preserve"> which made amendments to AASB 1038.)</w:t>
      </w:r>
    </w:p>
  </w:footnote>
  <w:footnote w:id="2">
    <w:p w:rsidR="00E6779E" w:rsidRPr="00945F2D" w:rsidRDefault="00E6779E" w:rsidP="00E6779E">
      <w:pPr>
        <w:pStyle w:val="FootnoteText"/>
        <w:rPr>
          <w:lang w:val="en-US"/>
        </w:rPr>
      </w:pPr>
      <w:r w:rsidRPr="00BE6A48">
        <w:rPr>
          <w:rStyle w:val="FootnoteReference"/>
          <w:vertAlign w:val="baseline"/>
        </w:rPr>
        <w:footnoteRef/>
      </w:r>
      <w:r>
        <w:tab/>
        <w:t>I</w:t>
      </w:r>
      <w:r w:rsidRPr="009D2164">
        <w:t xml:space="preserve">ncorporated into AASB 127 </w:t>
      </w:r>
      <w:r w:rsidRPr="009D2164">
        <w:rPr>
          <w:i/>
        </w:rPr>
        <w:t>Consolidated and Separate Financial Statements</w:t>
      </w:r>
      <w:r>
        <w:t>.</w:t>
      </w:r>
    </w:p>
  </w:footnote>
  <w:footnote w:id="3">
    <w:p w:rsidR="00E6779E" w:rsidRPr="00945F2D" w:rsidRDefault="00E6779E" w:rsidP="00E6779E">
      <w:pPr>
        <w:pStyle w:val="FootnoteText"/>
        <w:rPr>
          <w:lang w:val="en-US"/>
        </w:rPr>
      </w:pPr>
      <w:r w:rsidRPr="00BE6A48">
        <w:rPr>
          <w:rStyle w:val="FootnoteReference"/>
          <w:vertAlign w:val="baseline"/>
        </w:rPr>
        <w:footnoteRef/>
      </w:r>
      <w:r>
        <w:tab/>
      </w:r>
      <w:proofErr w:type="gramStart"/>
      <w:r>
        <w:t>Incorporated into Interpretation </w:t>
      </w:r>
      <w:r w:rsidRPr="009D2164">
        <w:t xml:space="preserve">112 </w:t>
      </w:r>
      <w:r w:rsidRPr="009D2164">
        <w:rPr>
          <w:i/>
        </w:rPr>
        <w:t>Consolidation – Special Purpose Entities</w:t>
      </w:r>
      <w:r>
        <w:t>.</w:t>
      </w:r>
      <w:proofErr w:type="gramEnd"/>
    </w:p>
  </w:footnote>
  <w:footnote w:id="4">
    <w:p w:rsidR="00E6779E" w:rsidRPr="00945F2D" w:rsidRDefault="00E6779E" w:rsidP="00E6779E">
      <w:pPr>
        <w:pStyle w:val="FootnoteText"/>
        <w:rPr>
          <w:lang w:val="en-US"/>
        </w:rPr>
      </w:pPr>
      <w:r w:rsidRPr="00BE6A48">
        <w:rPr>
          <w:rStyle w:val="FootnoteReference"/>
          <w:vertAlign w:val="baseline"/>
        </w:rPr>
        <w:footnoteRef/>
      </w:r>
      <w:r>
        <w:tab/>
        <w:t xml:space="preserve">Incorporated into AASB 12 </w:t>
      </w:r>
      <w:proofErr w:type="gramStart"/>
      <w:r w:rsidRPr="00355052">
        <w:rPr>
          <w:i/>
        </w:rPr>
        <w:t>Disclosure</w:t>
      </w:r>
      <w:proofErr w:type="gramEnd"/>
      <w:r w:rsidRPr="00355052">
        <w:rPr>
          <w:i/>
        </w:rPr>
        <w:t xml:space="preserve"> of Interests in Other Entities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02" w:rsidRDefault="00A967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02" w:rsidRDefault="00A967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1">
    <w:nsid w:val="03F92581"/>
    <w:multiLevelType w:val="multilevel"/>
    <w:tmpl w:val="AD5ABFF2"/>
    <w:numStyleLink w:val="AASBSubNumbers"/>
  </w:abstractNum>
  <w:abstractNum w:abstractNumId="2">
    <w:nsid w:val="13E035C2"/>
    <w:multiLevelType w:val="multilevel"/>
    <w:tmpl w:val="95A2D1B2"/>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3">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4">
    <w:nsid w:val="24E64954"/>
    <w:multiLevelType w:val="multilevel"/>
    <w:tmpl w:val="AC6E7A16"/>
    <w:lvl w:ilvl="0">
      <w:start w:val="1"/>
      <w:numFmt w:val="decimal"/>
      <w:lvlText w:val="BC%1"/>
      <w:lvlJc w:val="left"/>
      <w:pPr>
        <w:tabs>
          <w:tab w:val="num" w:pos="624"/>
        </w:tabs>
        <w:ind w:left="624" w:hanging="624"/>
      </w:pPr>
      <w:rPr>
        <w:rFonts w:hint="default"/>
        <w:b w:val="0"/>
        <w:bCs w:val="0"/>
        <w:u w:val="none"/>
      </w:rPr>
    </w:lvl>
    <w:lvl w:ilvl="1">
      <w:start w:val="1"/>
      <w:numFmt w:val="lowerLetter"/>
      <w:lvlText w:val="(%2)"/>
      <w:lvlJc w:val="left"/>
      <w:pPr>
        <w:tabs>
          <w:tab w:val="num" w:pos="1247"/>
        </w:tabs>
        <w:ind w:left="1247" w:hanging="623"/>
      </w:pPr>
      <w:rPr>
        <w:rFonts w:hint="default"/>
        <w:b w:val="0"/>
        <w:bCs w:val="0"/>
        <w:u w:val="none"/>
      </w:rPr>
    </w:lvl>
    <w:lvl w:ilvl="2">
      <w:start w:val="1"/>
      <w:numFmt w:val="lowerRoman"/>
      <w:lvlText w:val="(%3)"/>
      <w:lvlJc w:val="left"/>
      <w:pPr>
        <w:tabs>
          <w:tab w:val="num" w:pos="1871"/>
        </w:tabs>
        <w:ind w:left="1871" w:hanging="624"/>
      </w:pPr>
      <w:rPr>
        <w:rFonts w:hint="default"/>
        <w:b w:val="0"/>
        <w:bCs w:val="0"/>
        <w:u w:val="none"/>
      </w:rPr>
    </w:lvl>
    <w:lvl w:ilvl="3">
      <w:start w:val="1"/>
      <w:numFmt w:val="upperLetter"/>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5">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2A7A35E2"/>
    <w:multiLevelType w:val="multilevel"/>
    <w:tmpl w:val="AD5ABFF2"/>
    <w:styleLink w:val="AASBSubNumbers"/>
    <w:lvl w:ilvl="0">
      <w:start w:val="1"/>
      <w:numFmt w:val="none"/>
      <w:pStyle w:val="SubNumPlain1"/>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7">
    <w:nsid w:val="61542243"/>
    <w:multiLevelType w:val="multilevel"/>
    <w:tmpl w:val="D848019A"/>
    <w:lvl w:ilvl="0">
      <w:start w:val="1"/>
      <w:numFmt w:val="decimal"/>
      <w:pStyle w:val="NumPlain1"/>
      <w:lvlText w:val="%1"/>
      <w:lvlJc w:val="left"/>
      <w:pPr>
        <w:tabs>
          <w:tab w:val="num" w:pos="510"/>
        </w:tabs>
        <w:ind w:left="510" w:hanging="51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NumPlain2"/>
      <w:lvlText w:val="(%2)"/>
      <w:lvlJc w:val="left"/>
      <w:pPr>
        <w:tabs>
          <w:tab w:val="num" w:pos="1021"/>
        </w:tabs>
        <w:ind w:left="1021" w:hanging="511"/>
      </w:pPr>
      <w:rPr>
        <w:rFonts w:hint="default"/>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8">
    <w:nsid w:val="6D2B46A3"/>
    <w:multiLevelType w:val="multilevel"/>
    <w:tmpl w:val="A80ECEA6"/>
    <w:lvl w:ilvl="0">
      <w:start w:val="1"/>
      <w:numFmt w:val="bullet"/>
      <w:pStyle w:val="Bullet1"/>
      <w:lvlText w:val=""/>
      <w:lvlJc w:val="left"/>
      <w:pPr>
        <w:ind w:left="504" w:hanging="504"/>
      </w:pPr>
      <w:rPr>
        <w:rFonts w:ascii="Symbol" w:hAnsi="Symbol" w:hint="default"/>
        <w:color w:val="auto"/>
      </w:rPr>
    </w:lvl>
    <w:lvl w:ilvl="1">
      <w:start w:val="1"/>
      <w:numFmt w:val="bullet"/>
      <w:pStyle w:val="Bullet2"/>
      <w:lvlText w:val=""/>
      <w:lvlJc w:val="left"/>
      <w:pPr>
        <w:ind w:left="1008" w:hanging="504"/>
      </w:pPr>
      <w:rPr>
        <w:rFonts w:ascii="Symbol" w:hAnsi="Symbol" w:hint="default"/>
        <w:color w:val="auto"/>
      </w:rPr>
    </w:lvl>
    <w:lvl w:ilvl="2">
      <w:start w:val="1"/>
      <w:numFmt w:val="bullet"/>
      <w:pStyle w:val="Bullet3"/>
      <w:lvlText w:val=""/>
      <w:lvlJc w:val="left"/>
      <w:pPr>
        <w:ind w:left="1512" w:hanging="504"/>
      </w:pPr>
      <w:rPr>
        <w:rFonts w:ascii="Symbol" w:hAnsi="Symbol" w:hint="default"/>
        <w:color w:val="auto"/>
      </w:rPr>
    </w:lvl>
    <w:lvl w:ilvl="3">
      <w:start w:val="1"/>
      <w:numFmt w:val="bullet"/>
      <w:pStyle w:val="Bullet4"/>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9">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3"/>
  </w:num>
  <w:num w:numId="6">
    <w:abstractNumId w:val="8"/>
  </w:num>
  <w:num w:numId="7">
    <w:abstractNumId w:val="5"/>
  </w:num>
  <w:num w:numId="8">
    <w:abstractNumId w:val="6"/>
  </w:num>
  <w:num w:numId="9">
    <w:abstractNumId w:val="1"/>
  </w:num>
  <w:num w:numId="10">
    <w:abstractNumId w:val="0"/>
  </w:num>
  <w:num w:numId="1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AU"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24"/>
  <w:displayHorizontalDrawingGridEvery w:val="0"/>
  <w:displayVerticalDrawingGridEvery w:val="0"/>
  <w:doNotShadeFormData/>
  <w:noPunctuationKerning/>
  <w:characterSpacingControl w:val="doNotCompress"/>
  <w:hdrShapeDefaults>
    <o:shapedefaults v:ext="edit" spidmax="20481">
      <o:colormru v:ext="edit" colors="#ddd,silver,#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A6C"/>
    <w:rsid w:val="0000292B"/>
    <w:rsid w:val="00027E8B"/>
    <w:rsid w:val="0004455B"/>
    <w:rsid w:val="00074133"/>
    <w:rsid w:val="00090A6F"/>
    <w:rsid w:val="00096027"/>
    <w:rsid w:val="000A203E"/>
    <w:rsid w:val="000B733C"/>
    <w:rsid w:val="000C3EB0"/>
    <w:rsid w:val="000D7B40"/>
    <w:rsid w:val="000F64CC"/>
    <w:rsid w:val="00110B96"/>
    <w:rsid w:val="00115DC6"/>
    <w:rsid w:val="001162C5"/>
    <w:rsid w:val="001206CF"/>
    <w:rsid w:val="001662B8"/>
    <w:rsid w:val="00171F51"/>
    <w:rsid w:val="001761C6"/>
    <w:rsid w:val="001864D4"/>
    <w:rsid w:val="0019286F"/>
    <w:rsid w:val="001B33A5"/>
    <w:rsid w:val="001B6098"/>
    <w:rsid w:val="001C225F"/>
    <w:rsid w:val="001F78DF"/>
    <w:rsid w:val="0022022E"/>
    <w:rsid w:val="0028086D"/>
    <w:rsid w:val="00283482"/>
    <w:rsid w:val="0029647E"/>
    <w:rsid w:val="002A201D"/>
    <w:rsid w:val="002B7803"/>
    <w:rsid w:val="002C74F1"/>
    <w:rsid w:val="002F1CD0"/>
    <w:rsid w:val="00307F26"/>
    <w:rsid w:val="003251D8"/>
    <w:rsid w:val="0033581C"/>
    <w:rsid w:val="00361448"/>
    <w:rsid w:val="00364B30"/>
    <w:rsid w:val="00367DC9"/>
    <w:rsid w:val="00377B8D"/>
    <w:rsid w:val="00382796"/>
    <w:rsid w:val="0039009E"/>
    <w:rsid w:val="003A488F"/>
    <w:rsid w:val="003B0CAA"/>
    <w:rsid w:val="003B0E71"/>
    <w:rsid w:val="003C4D16"/>
    <w:rsid w:val="003D1DD4"/>
    <w:rsid w:val="003E0A68"/>
    <w:rsid w:val="00401ECA"/>
    <w:rsid w:val="004150BD"/>
    <w:rsid w:val="00422E4D"/>
    <w:rsid w:val="00426876"/>
    <w:rsid w:val="00434D86"/>
    <w:rsid w:val="00436A2D"/>
    <w:rsid w:val="00445A6C"/>
    <w:rsid w:val="0044702C"/>
    <w:rsid w:val="00460FBB"/>
    <w:rsid w:val="00470CE9"/>
    <w:rsid w:val="0047683E"/>
    <w:rsid w:val="0048155F"/>
    <w:rsid w:val="00487CF6"/>
    <w:rsid w:val="004961F8"/>
    <w:rsid w:val="004A417F"/>
    <w:rsid w:val="004B038C"/>
    <w:rsid w:val="004B736C"/>
    <w:rsid w:val="004C5BDE"/>
    <w:rsid w:val="004D3809"/>
    <w:rsid w:val="004D4D1C"/>
    <w:rsid w:val="004F55FE"/>
    <w:rsid w:val="00500E80"/>
    <w:rsid w:val="00511C34"/>
    <w:rsid w:val="005166B2"/>
    <w:rsid w:val="0053452C"/>
    <w:rsid w:val="00535EC5"/>
    <w:rsid w:val="0056274D"/>
    <w:rsid w:val="00577065"/>
    <w:rsid w:val="0058004D"/>
    <w:rsid w:val="00590051"/>
    <w:rsid w:val="005A2514"/>
    <w:rsid w:val="005B146F"/>
    <w:rsid w:val="005E6BE4"/>
    <w:rsid w:val="00602261"/>
    <w:rsid w:val="00641282"/>
    <w:rsid w:val="00652DF8"/>
    <w:rsid w:val="006A3AE9"/>
    <w:rsid w:val="006A40E5"/>
    <w:rsid w:val="006B0CD6"/>
    <w:rsid w:val="006C2E37"/>
    <w:rsid w:val="006D055E"/>
    <w:rsid w:val="006D134A"/>
    <w:rsid w:val="006D4700"/>
    <w:rsid w:val="006D7679"/>
    <w:rsid w:val="006E2C39"/>
    <w:rsid w:val="00714340"/>
    <w:rsid w:val="00716124"/>
    <w:rsid w:val="007333C2"/>
    <w:rsid w:val="00737714"/>
    <w:rsid w:val="00742E4B"/>
    <w:rsid w:val="007455F0"/>
    <w:rsid w:val="00751F6A"/>
    <w:rsid w:val="007554ED"/>
    <w:rsid w:val="00755E40"/>
    <w:rsid w:val="00756FF6"/>
    <w:rsid w:val="0076127E"/>
    <w:rsid w:val="0078116B"/>
    <w:rsid w:val="007A6BC3"/>
    <w:rsid w:val="007F1D3D"/>
    <w:rsid w:val="007F6019"/>
    <w:rsid w:val="00812637"/>
    <w:rsid w:val="00813227"/>
    <w:rsid w:val="00820794"/>
    <w:rsid w:val="00831497"/>
    <w:rsid w:val="008459E8"/>
    <w:rsid w:val="00864ADE"/>
    <w:rsid w:val="00871A12"/>
    <w:rsid w:val="00881BBE"/>
    <w:rsid w:val="008A6182"/>
    <w:rsid w:val="008B1D94"/>
    <w:rsid w:val="008B643A"/>
    <w:rsid w:val="008C4BD7"/>
    <w:rsid w:val="008C60B1"/>
    <w:rsid w:val="008C6BD0"/>
    <w:rsid w:val="008D2EBD"/>
    <w:rsid w:val="008F0A81"/>
    <w:rsid w:val="008F5963"/>
    <w:rsid w:val="00923261"/>
    <w:rsid w:val="009256B7"/>
    <w:rsid w:val="00970C7A"/>
    <w:rsid w:val="009721DB"/>
    <w:rsid w:val="0097424C"/>
    <w:rsid w:val="009B6535"/>
    <w:rsid w:val="009C2479"/>
    <w:rsid w:val="009D06F8"/>
    <w:rsid w:val="009D5060"/>
    <w:rsid w:val="009D73F1"/>
    <w:rsid w:val="00A05041"/>
    <w:rsid w:val="00A13F82"/>
    <w:rsid w:val="00A16664"/>
    <w:rsid w:val="00A35547"/>
    <w:rsid w:val="00A41ED3"/>
    <w:rsid w:val="00A47FA2"/>
    <w:rsid w:val="00A55F4F"/>
    <w:rsid w:val="00A748BA"/>
    <w:rsid w:val="00A83862"/>
    <w:rsid w:val="00A8486C"/>
    <w:rsid w:val="00A96702"/>
    <w:rsid w:val="00A97EB2"/>
    <w:rsid w:val="00AA14A9"/>
    <w:rsid w:val="00AB780A"/>
    <w:rsid w:val="00AC4315"/>
    <w:rsid w:val="00AD42DA"/>
    <w:rsid w:val="00AE0AF1"/>
    <w:rsid w:val="00AF61B8"/>
    <w:rsid w:val="00B110AD"/>
    <w:rsid w:val="00B271BA"/>
    <w:rsid w:val="00B3429E"/>
    <w:rsid w:val="00B74237"/>
    <w:rsid w:val="00BA3AB4"/>
    <w:rsid w:val="00BA4622"/>
    <w:rsid w:val="00BB4C9F"/>
    <w:rsid w:val="00BC0794"/>
    <w:rsid w:val="00BC0D5D"/>
    <w:rsid w:val="00BE2F68"/>
    <w:rsid w:val="00BE38FC"/>
    <w:rsid w:val="00C03C7B"/>
    <w:rsid w:val="00C3493B"/>
    <w:rsid w:val="00C37458"/>
    <w:rsid w:val="00C438DD"/>
    <w:rsid w:val="00C43CD1"/>
    <w:rsid w:val="00C45020"/>
    <w:rsid w:val="00C5022C"/>
    <w:rsid w:val="00C552FD"/>
    <w:rsid w:val="00C63573"/>
    <w:rsid w:val="00C9261B"/>
    <w:rsid w:val="00C95D8A"/>
    <w:rsid w:val="00CB719A"/>
    <w:rsid w:val="00CC6FCD"/>
    <w:rsid w:val="00CC7746"/>
    <w:rsid w:val="00CD5D1C"/>
    <w:rsid w:val="00CE2F8C"/>
    <w:rsid w:val="00CF75CA"/>
    <w:rsid w:val="00CF7B67"/>
    <w:rsid w:val="00D00FD5"/>
    <w:rsid w:val="00D52086"/>
    <w:rsid w:val="00D54F5C"/>
    <w:rsid w:val="00D66225"/>
    <w:rsid w:val="00D67336"/>
    <w:rsid w:val="00D74038"/>
    <w:rsid w:val="00D942EB"/>
    <w:rsid w:val="00D96A64"/>
    <w:rsid w:val="00DA2A7B"/>
    <w:rsid w:val="00DC7E1B"/>
    <w:rsid w:val="00DD1DDC"/>
    <w:rsid w:val="00DD7E7A"/>
    <w:rsid w:val="00DF39E3"/>
    <w:rsid w:val="00E06C2F"/>
    <w:rsid w:val="00E24399"/>
    <w:rsid w:val="00E274C6"/>
    <w:rsid w:val="00E41399"/>
    <w:rsid w:val="00E439D4"/>
    <w:rsid w:val="00E63279"/>
    <w:rsid w:val="00E6779E"/>
    <w:rsid w:val="00E74BD5"/>
    <w:rsid w:val="00E7592A"/>
    <w:rsid w:val="00E839DA"/>
    <w:rsid w:val="00E90B4F"/>
    <w:rsid w:val="00E915E3"/>
    <w:rsid w:val="00E94DA2"/>
    <w:rsid w:val="00E97B4B"/>
    <w:rsid w:val="00EB4197"/>
    <w:rsid w:val="00EB4756"/>
    <w:rsid w:val="00EC4AFD"/>
    <w:rsid w:val="00ED06E4"/>
    <w:rsid w:val="00EE2509"/>
    <w:rsid w:val="00EE3D03"/>
    <w:rsid w:val="00EE740D"/>
    <w:rsid w:val="00F14BDB"/>
    <w:rsid w:val="00F2677A"/>
    <w:rsid w:val="00F27D29"/>
    <w:rsid w:val="00F424C9"/>
    <w:rsid w:val="00F66B41"/>
    <w:rsid w:val="00F817DF"/>
    <w:rsid w:val="00F85736"/>
    <w:rsid w:val="00F970FB"/>
    <w:rsid w:val="00FB39CB"/>
    <w:rsid w:val="00FC2254"/>
    <w:rsid w:val="00FC64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3429E"/>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3Indent1">
    <w:name w:val="Heading 3 Indent1"/>
    <w:basedOn w:val="Heading3"/>
    <w:next w:val="Normal"/>
    <w:pP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pPr>
      <w:tabs>
        <w:tab w:val="center" w:pos="3119"/>
        <w:tab w:val="right" w:pos="6237"/>
      </w:tabs>
    </w:pPr>
  </w:style>
  <w:style w:type="paragraph" w:styleId="Footer">
    <w:name w:val="footer"/>
    <w:basedOn w:val="Normal"/>
    <w:link w:val="FooterChar"/>
    <w:pPr>
      <w:tabs>
        <w:tab w:val="center" w:pos="3119"/>
        <w:tab w:val="right" w:pos="6237"/>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6237"/>
      </w:tabs>
      <w:spacing w:after="200"/>
      <w:ind w:left="170" w:right="1134" w:hanging="170"/>
    </w:pPr>
    <w:rPr>
      <w:caps/>
    </w:rPr>
  </w:style>
  <w:style w:type="paragraph" w:customStyle="1" w:styleId="ContentsLevel1">
    <w:name w:val="Contents Level1"/>
    <w:basedOn w:val="Normal"/>
    <w:pPr>
      <w:tabs>
        <w:tab w:val="right" w:pos="6237"/>
      </w:tabs>
      <w:spacing w:after="60"/>
      <w:ind w:left="170" w:right="1134" w:hanging="170"/>
    </w:pPr>
  </w:style>
  <w:style w:type="paragraph" w:customStyle="1" w:styleId="ContentsCapsBoldPg">
    <w:name w:val="Contents CapsBoldPg"/>
    <w:basedOn w:val="ContentsCapsPlainPg"/>
    <w:next w:val="ContentsLevel1"/>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3B0CAA"/>
    <w:pPr>
      <w:numPr>
        <w:numId w:val="7"/>
      </w:numPr>
      <w:spacing w:after="200"/>
    </w:pPr>
  </w:style>
  <w:style w:type="paragraph" w:customStyle="1" w:styleId="NoNumPlain1">
    <w:name w:val="NoNum Plain1"/>
    <w:basedOn w:val="Normal"/>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426876"/>
    <w:pPr>
      <w:numPr>
        <w:numId w:val="1"/>
      </w:numPr>
      <w:spacing w:after="200"/>
    </w:pPr>
  </w:style>
  <w:style w:type="paragraph" w:customStyle="1" w:styleId="NumPlain2">
    <w:name w:val="Num Plain2"/>
    <w:basedOn w:val="NumPlain1"/>
    <w:rsid w:val="00426876"/>
    <w:pPr>
      <w:numPr>
        <w:ilvl w:val="1"/>
      </w:numPr>
    </w:pPr>
  </w:style>
  <w:style w:type="paragraph" w:customStyle="1" w:styleId="NumPlain3">
    <w:name w:val="Num Plain3"/>
    <w:basedOn w:val="NumPlain2"/>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F27D29"/>
    <w:pPr>
      <w:numPr>
        <w:numId w:val="6"/>
      </w:numPr>
      <w:spacing w:after="200"/>
    </w:pPr>
  </w:style>
  <w:style w:type="paragraph" w:customStyle="1" w:styleId="Bullet2">
    <w:name w:val="Bullet2"/>
    <w:basedOn w:val="Normal"/>
    <w:rsid w:val="00F27D29"/>
    <w:pPr>
      <w:numPr>
        <w:ilvl w:val="1"/>
        <w:numId w:val="6"/>
      </w:numPr>
      <w:spacing w:after="200"/>
    </w:pPr>
  </w:style>
  <w:style w:type="paragraph" w:customStyle="1" w:styleId="Bullet3">
    <w:name w:val="Bullet3"/>
    <w:basedOn w:val="Normal"/>
    <w:rsid w:val="00F27D29"/>
    <w:pPr>
      <w:numPr>
        <w:ilvl w:val="2"/>
        <w:numId w:val="6"/>
      </w:numPr>
      <w:spacing w:after="200"/>
    </w:pPr>
  </w:style>
  <w:style w:type="paragraph" w:customStyle="1" w:styleId="CommentsPage">
    <w:name w:val="CommentsPage"/>
    <w:basedOn w:val="Normal"/>
    <w:next w:val="Normal"/>
  </w:style>
  <w:style w:type="paragraph" w:customStyle="1" w:styleId="Bullet4">
    <w:name w:val="Bullet4"/>
    <w:basedOn w:val="Normal"/>
    <w:rsid w:val="00F27D29"/>
    <w:pPr>
      <w:numPr>
        <w:ilvl w:val="3"/>
        <w:numId w:val="6"/>
      </w:numPr>
      <w:spacing w:after="200"/>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rsid w:val="0058004D"/>
    <w:pPr>
      <w:keepNext/>
      <w:spacing w:after="200" w:line="280" w:lineRule="exact"/>
      <w:jc w:val="center"/>
      <w:outlineLvl w:val="0"/>
    </w:pPr>
    <w:rPr>
      <w:b/>
      <w:caps/>
      <w:sz w:val="28"/>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2A201D"/>
    <w:pPr>
      <w:spacing w:after="200"/>
    </w:pPr>
    <w:rPr>
      <w:i/>
      <w:iCs/>
    </w:rPr>
  </w:style>
  <w:style w:type="paragraph" w:customStyle="1" w:styleId="AppendixText">
    <w:name w:val="AppendixText"/>
    <w:basedOn w:val="Normal"/>
    <w:rsid w:val="002A201D"/>
    <w:pPr>
      <w:spacing w:after="200"/>
    </w:pPr>
  </w:style>
  <w:style w:type="paragraph" w:customStyle="1" w:styleId="AppendixTitle">
    <w:name w:val="AppendixTitle"/>
    <w:basedOn w:val="Normal"/>
    <w:next w:val="AppendixNote"/>
    <w:rsid w:val="002A201D"/>
    <w:pPr>
      <w:keepNext/>
      <w:spacing w:after="200" w:line="280" w:lineRule="exact"/>
      <w:jc w:val="center"/>
      <w:outlineLvl w:val="0"/>
    </w:pPr>
    <w:rPr>
      <w:b/>
      <w:caps/>
      <w:sz w:val="28"/>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401ECA"/>
    <w:pPr>
      <w:numPr>
        <w:numId w:val="3"/>
      </w:numPr>
      <w:spacing w:after="2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426876"/>
    <w:pPr>
      <w:numPr>
        <w:numId w:val="4"/>
      </w:numPr>
      <w:spacing w:after="2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rsid w:val="00445A6C"/>
    <w:rPr>
      <w:lang w:eastAsia="en-US"/>
    </w:rPr>
  </w:style>
  <w:style w:type="character" w:customStyle="1" w:styleId="FooterChar">
    <w:name w:val="Footer Char"/>
    <w:basedOn w:val="DefaultParagraphFont"/>
    <w:link w:val="Footer"/>
    <w:rsid w:val="00E6779E"/>
    <w:rPr>
      <w:lang w:eastAsia="en-US"/>
    </w:rPr>
  </w:style>
  <w:style w:type="character" w:styleId="FootnoteReference">
    <w:name w:val="footnote reference"/>
    <w:basedOn w:val="DefaultParagraphFont"/>
    <w:rsid w:val="00E6779E"/>
    <w:rPr>
      <w:vertAlign w:val="superscript"/>
    </w:rPr>
  </w:style>
  <w:style w:type="character" w:styleId="CommentReference">
    <w:name w:val="annotation reference"/>
    <w:basedOn w:val="DefaultParagraphFont"/>
    <w:rsid w:val="00E6779E"/>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3429E"/>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3Indent1">
    <w:name w:val="Heading 3 Indent1"/>
    <w:basedOn w:val="Heading3"/>
    <w:next w:val="Normal"/>
    <w:pP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pPr>
      <w:tabs>
        <w:tab w:val="center" w:pos="3119"/>
        <w:tab w:val="right" w:pos="6237"/>
      </w:tabs>
    </w:pPr>
  </w:style>
  <w:style w:type="paragraph" w:styleId="Footer">
    <w:name w:val="footer"/>
    <w:basedOn w:val="Normal"/>
    <w:link w:val="FooterChar"/>
    <w:pPr>
      <w:tabs>
        <w:tab w:val="center" w:pos="3119"/>
        <w:tab w:val="right" w:pos="6237"/>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6237"/>
      </w:tabs>
      <w:spacing w:after="200"/>
      <w:ind w:left="170" w:right="1134" w:hanging="170"/>
    </w:pPr>
    <w:rPr>
      <w:caps/>
    </w:rPr>
  </w:style>
  <w:style w:type="paragraph" w:customStyle="1" w:styleId="ContentsLevel1">
    <w:name w:val="Contents Level1"/>
    <w:basedOn w:val="Normal"/>
    <w:pPr>
      <w:tabs>
        <w:tab w:val="right" w:pos="6237"/>
      </w:tabs>
      <w:spacing w:after="60"/>
      <w:ind w:left="170" w:right="1134" w:hanging="170"/>
    </w:pPr>
  </w:style>
  <w:style w:type="paragraph" w:customStyle="1" w:styleId="ContentsCapsBoldPg">
    <w:name w:val="Contents CapsBoldPg"/>
    <w:basedOn w:val="ContentsCapsPlainPg"/>
    <w:next w:val="ContentsLevel1"/>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3B0CAA"/>
    <w:pPr>
      <w:numPr>
        <w:numId w:val="7"/>
      </w:numPr>
      <w:spacing w:after="200"/>
    </w:pPr>
  </w:style>
  <w:style w:type="paragraph" w:customStyle="1" w:styleId="NoNumPlain1">
    <w:name w:val="NoNum Plain1"/>
    <w:basedOn w:val="Normal"/>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426876"/>
    <w:pPr>
      <w:numPr>
        <w:numId w:val="1"/>
      </w:numPr>
      <w:spacing w:after="200"/>
    </w:pPr>
  </w:style>
  <w:style w:type="paragraph" w:customStyle="1" w:styleId="NumPlain2">
    <w:name w:val="Num Plain2"/>
    <w:basedOn w:val="NumPlain1"/>
    <w:rsid w:val="00426876"/>
    <w:pPr>
      <w:numPr>
        <w:ilvl w:val="1"/>
      </w:numPr>
    </w:pPr>
  </w:style>
  <w:style w:type="paragraph" w:customStyle="1" w:styleId="NumPlain3">
    <w:name w:val="Num Plain3"/>
    <w:basedOn w:val="NumPlain2"/>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F27D29"/>
    <w:pPr>
      <w:numPr>
        <w:numId w:val="6"/>
      </w:numPr>
      <w:spacing w:after="200"/>
    </w:pPr>
  </w:style>
  <w:style w:type="paragraph" w:customStyle="1" w:styleId="Bullet2">
    <w:name w:val="Bullet2"/>
    <w:basedOn w:val="Normal"/>
    <w:rsid w:val="00F27D29"/>
    <w:pPr>
      <w:numPr>
        <w:ilvl w:val="1"/>
        <w:numId w:val="6"/>
      </w:numPr>
      <w:spacing w:after="200"/>
    </w:pPr>
  </w:style>
  <w:style w:type="paragraph" w:customStyle="1" w:styleId="Bullet3">
    <w:name w:val="Bullet3"/>
    <w:basedOn w:val="Normal"/>
    <w:rsid w:val="00F27D29"/>
    <w:pPr>
      <w:numPr>
        <w:ilvl w:val="2"/>
        <w:numId w:val="6"/>
      </w:numPr>
      <w:spacing w:after="200"/>
    </w:pPr>
  </w:style>
  <w:style w:type="paragraph" w:customStyle="1" w:styleId="CommentsPage">
    <w:name w:val="CommentsPage"/>
    <w:basedOn w:val="Normal"/>
    <w:next w:val="Normal"/>
  </w:style>
  <w:style w:type="paragraph" w:customStyle="1" w:styleId="Bullet4">
    <w:name w:val="Bullet4"/>
    <w:basedOn w:val="Normal"/>
    <w:rsid w:val="00F27D29"/>
    <w:pPr>
      <w:numPr>
        <w:ilvl w:val="3"/>
        <w:numId w:val="6"/>
      </w:numPr>
      <w:spacing w:after="200"/>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rsid w:val="0058004D"/>
    <w:pPr>
      <w:keepNext/>
      <w:spacing w:after="200" w:line="280" w:lineRule="exact"/>
      <w:jc w:val="center"/>
      <w:outlineLvl w:val="0"/>
    </w:pPr>
    <w:rPr>
      <w:b/>
      <w:caps/>
      <w:sz w:val="28"/>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2A201D"/>
    <w:pPr>
      <w:spacing w:after="200"/>
    </w:pPr>
    <w:rPr>
      <w:i/>
      <w:iCs/>
    </w:rPr>
  </w:style>
  <w:style w:type="paragraph" w:customStyle="1" w:styleId="AppendixText">
    <w:name w:val="AppendixText"/>
    <w:basedOn w:val="Normal"/>
    <w:rsid w:val="002A201D"/>
    <w:pPr>
      <w:spacing w:after="200"/>
    </w:pPr>
  </w:style>
  <w:style w:type="paragraph" w:customStyle="1" w:styleId="AppendixTitle">
    <w:name w:val="AppendixTitle"/>
    <w:basedOn w:val="Normal"/>
    <w:next w:val="AppendixNote"/>
    <w:rsid w:val="002A201D"/>
    <w:pPr>
      <w:keepNext/>
      <w:spacing w:after="200" w:line="280" w:lineRule="exact"/>
      <w:jc w:val="center"/>
      <w:outlineLvl w:val="0"/>
    </w:pPr>
    <w:rPr>
      <w:b/>
      <w:caps/>
      <w:sz w:val="28"/>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401ECA"/>
    <w:pPr>
      <w:numPr>
        <w:numId w:val="3"/>
      </w:numPr>
      <w:spacing w:after="2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426876"/>
    <w:pPr>
      <w:numPr>
        <w:numId w:val="4"/>
      </w:numPr>
      <w:spacing w:after="2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rsid w:val="00445A6C"/>
    <w:rPr>
      <w:lang w:eastAsia="en-US"/>
    </w:rPr>
  </w:style>
  <w:style w:type="character" w:customStyle="1" w:styleId="FooterChar">
    <w:name w:val="Footer Char"/>
    <w:basedOn w:val="DefaultParagraphFont"/>
    <w:link w:val="Footer"/>
    <w:rsid w:val="00E6779E"/>
    <w:rPr>
      <w:lang w:eastAsia="en-US"/>
    </w:rPr>
  </w:style>
  <w:style w:type="character" w:styleId="FootnoteReference">
    <w:name w:val="footnote reference"/>
    <w:basedOn w:val="DefaultParagraphFont"/>
    <w:rsid w:val="00E6779E"/>
    <w:rPr>
      <w:vertAlign w:val="superscript"/>
    </w:rPr>
  </w:style>
  <w:style w:type="character" w:styleId="CommentReference">
    <w:name w:val="annotation reference"/>
    <w:basedOn w:val="DefaultParagraphFont"/>
    <w:rsid w:val="00E6779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8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apollo\AA-Templates-2010\WordGlobal\Amending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AmendingStandard.dotx</Template>
  <TotalTime>15</TotalTime>
  <Pages>5</Pages>
  <Words>1219</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Amending Standard</vt:lpstr>
    </vt:vector>
  </TitlesOfParts>
  <Company>Australian Accounting Standards Board</Company>
  <LinksUpToDate>false</LinksUpToDate>
  <CharactersWithSpaces>8560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Amending Standard</dc:title>
  <dc:creator>Shaun Steenkamp</dc:creator>
  <cp:lastModifiedBy>Kathleen John</cp:lastModifiedBy>
  <cp:revision>9</cp:revision>
  <cp:lastPrinted>2013-10-16T22:57:00Z</cp:lastPrinted>
  <dcterms:created xsi:type="dcterms:W3CDTF">2013-10-14T22:29:00Z</dcterms:created>
  <dcterms:modified xsi:type="dcterms:W3CDTF">2013-10-16T22:57:00Z</dcterms:modified>
</cp:coreProperties>
</file>