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A6" w:rsidRPr="00710DDD" w:rsidRDefault="00C374A6" w:rsidP="002E42B8">
      <w:pPr>
        <w:keepNext/>
        <w:spacing w:before="240"/>
        <w:jc w:val="center"/>
        <w:rPr>
          <w:rFonts w:ascii="Arial" w:hAnsi="Arial" w:cs="Arial"/>
          <w:b/>
          <w:bCs/>
          <w:sz w:val="28"/>
          <w:szCs w:val="28"/>
        </w:rPr>
      </w:pPr>
      <w:r w:rsidRPr="00710DDD">
        <w:rPr>
          <w:rFonts w:ascii="Arial" w:hAnsi="Arial" w:cs="Arial"/>
          <w:b/>
          <w:bCs/>
          <w:sz w:val="28"/>
          <w:szCs w:val="28"/>
        </w:rPr>
        <w:t>EXPLANATORY STATEMENT</w:t>
      </w:r>
    </w:p>
    <w:p w:rsidR="00C374A6" w:rsidRPr="005805F9" w:rsidRDefault="006F0D6D" w:rsidP="002E42B8">
      <w:pPr>
        <w:keepNext/>
        <w:spacing w:before="240"/>
        <w:rPr>
          <w:rFonts w:ascii="Arial" w:hAnsi="Arial" w:cs="Arial"/>
          <w:b/>
          <w:bCs/>
          <w:sz w:val="26"/>
          <w:szCs w:val="28"/>
        </w:rPr>
      </w:pPr>
      <w:bookmarkStart w:id="0" w:name="OLE_LINK3"/>
      <w:bookmarkStart w:id="1" w:name="OLE_LINK4"/>
      <w:r w:rsidRPr="005805F9">
        <w:rPr>
          <w:rFonts w:ascii="Arial" w:hAnsi="Arial" w:cs="Arial"/>
          <w:b/>
          <w:bCs/>
          <w:sz w:val="26"/>
          <w:szCs w:val="28"/>
        </w:rPr>
        <w:t xml:space="preserve">Social </w:t>
      </w:r>
      <w:r w:rsidR="004978FD" w:rsidRPr="005805F9">
        <w:rPr>
          <w:rFonts w:ascii="Arial" w:hAnsi="Arial" w:cs="Arial"/>
          <w:b/>
          <w:bCs/>
          <w:sz w:val="26"/>
          <w:szCs w:val="28"/>
        </w:rPr>
        <w:t>Security (</w:t>
      </w:r>
      <w:r w:rsidR="002A5A7A">
        <w:rPr>
          <w:rFonts w:ascii="Arial" w:hAnsi="Arial" w:cs="Arial"/>
          <w:b/>
          <w:bCs/>
          <w:sz w:val="26"/>
          <w:szCs w:val="28"/>
        </w:rPr>
        <w:t>Declared Overseas Terrorist Act) Declaration 2013</w:t>
      </w:r>
      <w:r w:rsidR="00CE6B21" w:rsidRPr="005805F9">
        <w:rPr>
          <w:rFonts w:ascii="Arial" w:hAnsi="Arial" w:cs="Arial"/>
          <w:b/>
          <w:bCs/>
          <w:sz w:val="26"/>
          <w:szCs w:val="28"/>
        </w:rPr>
        <w:t> </w:t>
      </w:r>
    </w:p>
    <w:bookmarkEnd w:id="0"/>
    <w:bookmarkEnd w:id="1"/>
    <w:p w:rsidR="00032767" w:rsidRPr="002E42B8" w:rsidRDefault="004F38A6" w:rsidP="002E42B8">
      <w:pPr>
        <w:spacing w:before="240"/>
        <w:rPr>
          <w:rFonts w:ascii="Arial" w:hAnsi="Arial" w:cs="Arial"/>
          <w:bCs/>
        </w:rPr>
      </w:pPr>
      <w:r w:rsidRPr="002E42B8">
        <w:rPr>
          <w:rFonts w:ascii="Arial" w:hAnsi="Arial" w:cs="Arial"/>
          <w:bCs/>
        </w:rPr>
        <w:t>The</w:t>
      </w:r>
      <w:r w:rsidRPr="002E42B8">
        <w:rPr>
          <w:rFonts w:ascii="Arial" w:hAnsi="Arial" w:cs="Arial"/>
          <w:bCs/>
          <w:i/>
        </w:rPr>
        <w:t xml:space="preserve"> </w:t>
      </w:r>
      <w:r w:rsidR="006E5E4E">
        <w:rPr>
          <w:rFonts w:ascii="Arial" w:hAnsi="Arial" w:cs="Arial"/>
          <w:bCs/>
        </w:rPr>
        <w:t>Social Security</w:t>
      </w:r>
      <w:r w:rsidR="00085984" w:rsidRPr="002E42B8">
        <w:rPr>
          <w:rFonts w:ascii="Arial" w:hAnsi="Arial" w:cs="Arial"/>
          <w:bCs/>
        </w:rPr>
        <w:t xml:space="preserve"> (</w:t>
      </w:r>
      <w:r w:rsidR="002A5A7A">
        <w:rPr>
          <w:rFonts w:ascii="Arial" w:hAnsi="Arial" w:cs="Arial"/>
          <w:bCs/>
        </w:rPr>
        <w:t>Declared Overseas Terrorist Act</w:t>
      </w:r>
      <w:r w:rsidR="00A90A9B" w:rsidRPr="002E42B8">
        <w:rPr>
          <w:rFonts w:ascii="Arial" w:hAnsi="Arial" w:cs="Arial"/>
          <w:bCs/>
        </w:rPr>
        <w:t xml:space="preserve">) </w:t>
      </w:r>
      <w:r w:rsidR="002A5A7A">
        <w:rPr>
          <w:rFonts w:ascii="Arial" w:hAnsi="Arial" w:cs="Arial"/>
          <w:bCs/>
        </w:rPr>
        <w:t>Declaration </w:t>
      </w:r>
      <w:r w:rsidR="00085984" w:rsidRPr="002E42B8">
        <w:rPr>
          <w:rFonts w:ascii="Arial" w:hAnsi="Arial" w:cs="Arial"/>
          <w:bCs/>
        </w:rPr>
        <w:t>20</w:t>
      </w:r>
      <w:r w:rsidR="00CD1CD6" w:rsidRPr="002E42B8">
        <w:rPr>
          <w:rFonts w:ascii="Arial" w:hAnsi="Arial" w:cs="Arial"/>
          <w:bCs/>
        </w:rPr>
        <w:t>1</w:t>
      </w:r>
      <w:r w:rsidR="002A5A7A">
        <w:rPr>
          <w:rFonts w:ascii="Arial" w:hAnsi="Arial" w:cs="Arial"/>
          <w:bCs/>
        </w:rPr>
        <w:t>3</w:t>
      </w:r>
      <w:r w:rsidR="00085984" w:rsidRPr="002E42B8">
        <w:rPr>
          <w:rFonts w:ascii="Arial" w:hAnsi="Arial" w:cs="Arial"/>
          <w:bCs/>
        </w:rPr>
        <w:t xml:space="preserve"> (the </w:t>
      </w:r>
      <w:r w:rsidR="002A5A7A">
        <w:rPr>
          <w:rFonts w:ascii="Arial" w:hAnsi="Arial" w:cs="Arial"/>
          <w:bCs/>
        </w:rPr>
        <w:t>Declaration</w:t>
      </w:r>
      <w:r w:rsidR="00722668" w:rsidRPr="002E42B8">
        <w:rPr>
          <w:rFonts w:ascii="Arial" w:hAnsi="Arial" w:cs="Arial"/>
          <w:bCs/>
        </w:rPr>
        <w:t xml:space="preserve">) </w:t>
      </w:r>
      <w:r w:rsidR="002A5A7A">
        <w:rPr>
          <w:rFonts w:ascii="Arial" w:hAnsi="Arial" w:cs="Arial"/>
          <w:bCs/>
        </w:rPr>
        <w:t>is</w:t>
      </w:r>
      <w:r w:rsidR="002A5A7A" w:rsidRPr="002E42B8">
        <w:rPr>
          <w:rFonts w:ascii="Arial" w:hAnsi="Arial" w:cs="Arial"/>
          <w:bCs/>
        </w:rPr>
        <w:t xml:space="preserve"> </w:t>
      </w:r>
      <w:r w:rsidR="00187F82" w:rsidRPr="002E42B8">
        <w:rPr>
          <w:rFonts w:ascii="Arial" w:hAnsi="Arial" w:cs="Arial"/>
          <w:bCs/>
        </w:rPr>
        <w:t>made under subsection</w:t>
      </w:r>
      <w:r w:rsidR="00085984" w:rsidRPr="002E42B8">
        <w:rPr>
          <w:rFonts w:ascii="Arial" w:hAnsi="Arial" w:cs="Arial"/>
          <w:bCs/>
        </w:rPr>
        <w:t> </w:t>
      </w:r>
      <w:proofErr w:type="gramStart"/>
      <w:r w:rsidR="002A5A7A">
        <w:rPr>
          <w:rFonts w:ascii="Arial" w:hAnsi="Arial" w:cs="Arial"/>
          <w:bCs/>
        </w:rPr>
        <w:t>35B(</w:t>
      </w:r>
      <w:proofErr w:type="gramEnd"/>
      <w:r w:rsidR="002A5A7A">
        <w:rPr>
          <w:rFonts w:ascii="Arial" w:hAnsi="Arial" w:cs="Arial"/>
          <w:bCs/>
        </w:rPr>
        <w:t>1)</w:t>
      </w:r>
      <w:r w:rsidR="002A5A7A" w:rsidRPr="002E42B8">
        <w:rPr>
          <w:rFonts w:ascii="Arial" w:hAnsi="Arial" w:cs="Arial"/>
          <w:bCs/>
        </w:rPr>
        <w:t xml:space="preserve"> </w:t>
      </w:r>
      <w:r w:rsidR="00085984" w:rsidRPr="002E42B8">
        <w:rPr>
          <w:rFonts w:ascii="Arial" w:hAnsi="Arial" w:cs="Arial"/>
          <w:bCs/>
        </w:rPr>
        <w:t xml:space="preserve">of the </w:t>
      </w:r>
      <w:r w:rsidR="00085984" w:rsidRPr="002E42B8">
        <w:rPr>
          <w:rFonts w:ascii="Arial" w:hAnsi="Arial" w:cs="Arial"/>
          <w:bCs/>
          <w:i/>
        </w:rPr>
        <w:t xml:space="preserve">Social </w:t>
      </w:r>
      <w:r w:rsidR="006D2DF2">
        <w:rPr>
          <w:rFonts w:ascii="Arial" w:hAnsi="Arial" w:cs="Arial"/>
          <w:bCs/>
          <w:i/>
        </w:rPr>
        <w:t>Security Act </w:t>
      </w:r>
      <w:r w:rsidR="00085984" w:rsidRPr="002E42B8">
        <w:rPr>
          <w:rFonts w:ascii="Arial" w:hAnsi="Arial" w:cs="Arial"/>
          <w:bCs/>
          <w:i/>
        </w:rPr>
        <w:t>199</w:t>
      </w:r>
      <w:r w:rsidR="00032767" w:rsidRPr="002E42B8">
        <w:rPr>
          <w:rFonts w:ascii="Arial" w:hAnsi="Arial" w:cs="Arial"/>
          <w:bCs/>
          <w:i/>
        </w:rPr>
        <w:t>1</w:t>
      </w:r>
      <w:r w:rsidR="00FF26BE" w:rsidRPr="002E42B8">
        <w:rPr>
          <w:rFonts w:ascii="Arial" w:hAnsi="Arial" w:cs="Arial"/>
          <w:bCs/>
        </w:rPr>
        <w:t xml:space="preserve"> (the</w:t>
      </w:r>
      <w:r w:rsidR="00C3074D" w:rsidRPr="002E42B8">
        <w:rPr>
          <w:rFonts w:ascii="Arial" w:hAnsi="Arial" w:cs="Arial"/>
          <w:bCs/>
        </w:rPr>
        <w:t xml:space="preserve"> </w:t>
      </w:r>
      <w:r w:rsidR="00085984" w:rsidRPr="002E42B8">
        <w:rPr>
          <w:rFonts w:ascii="Arial" w:hAnsi="Arial" w:cs="Arial"/>
          <w:bCs/>
        </w:rPr>
        <w:t>Act)</w:t>
      </w:r>
      <w:r w:rsidR="00032767" w:rsidRPr="002E42B8">
        <w:rPr>
          <w:rFonts w:ascii="Arial" w:hAnsi="Arial" w:cs="Arial"/>
          <w:bCs/>
        </w:rPr>
        <w:t xml:space="preserve"> by the </w:t>
      </w:r>
      <w:r w:rsidR="002A5A7A">
        <w:rPr>
          <w:rFonts w:ascii="Arial" w:hAnsi="Arial" w:cs="Arial"/>
          <w:bCs/>
        </w:rPr>
        <w:t>Prime Minister</w:t>
      </w:r>
      <w:r w:rsidR="00085984" w:rsidRPr="002E42B8">
        <w:rPr>
          <w:rFonts w:ascii="Arial" w:hAnsi="Arial" w:cs="Arial"/>
          <w:bCs/>
        </w:rPr>
        <w:t xml:space="preserve">. </w:t>
      </w:r>
      <w:r w:rsidR="00032767" w:rsidRPr="002E42B8">
        <w:rPr>
          <w:rFonts w:ascii="Arial" w:hAnsi="Arial" w:cs="Arial"/>
          <w:bCs/>
        </w:rPr>
        <w:t xml:space="preserve"> </w:t>
      </w:r>
    </w:p>
    <w:p w:rsidR="001927E3" w:rsidRPr="002E42B8" w:rsidRDefault="001927E3" w:rsidP="002E42B8">
      <w:pPr>
        <w:keepNext/>
        <w:spacing w:before="240"/>
        <w:rPr>
          <w:rFonts w:ascii="Arial" w:hAnsi="Arial" w:cs="Arial"/>
          <w:b/>
          <w:bCs/>
        </w:rPr>
      </w:pPr>
      <w:r w:rsidRPr="002E42B8">
        <w:rPr>
          <w:rFonts w:ascii="Arial" w:hAnsi="Arial" w:cs="Arial"/>
          <w:b/>
          <w:bCs/>
        </w:rPr>
        <w:t>Background</w:t>
      </w:r>
    </w:p>
    <w:p w:rsidR="00BB2661" w:rsidRPr="002E42B8" w:rsidRDefault="00783E73" w:rsidP="002E42B8">
      <w:pPr>
        <w:spacing w:before="240"/>
        <w:rPr>
          <w:rFonts w:ascii="Arial" w:hAnsi="Arial" w:cs="Arial"/>
          <w:bCs/>
        </w:rPr>
      </w:pPr>
      <w:r>
        <w:rPr>
          <w:rFonts w:ascii="Arial" w:hAnsi="Arial" w:cs="Arial"/>
          <w:bCs/>
        </w:rPr>
        <w:t xml:space="preserve">Part 2.24AA of the </w:t>
      </w:r>
      <w:r w:rsidR="00BB2661" w:rsidRPr="002E42B8">
        <w:rPr>
          <w:rFonts w:ascii="Arial" w:hAnsi="Arial" w:cs="Arial"/>
          <w:bCs/>
          <w:i/>
        </w:rPr>
        <w:t xml:space="preserve">Social Security </w:t>
      </w:r>
      <w:r w:rsidR="00026901">
        <w:rPr>
          <w:rFonts w:ascii="Arial" w:hAnsi="Arial" w:cs="Arial"/>
          <w:bCs/>
          <w:i/>
        </w:rPr>
        <w:t xml:space="preserve">Act 1991 </w:t>
      </w:r>
      <w:r w:rsidR="00BB2661" w:rsidRPr="002E42B8">
        <w:rPr>
          <w:rFonts w:ascii="Arial" w:hAnsi="Arial" w:cs="Arial"/>
          <w:bCs/>
        </w:rPr>
        <w:t>provide</w:t>
      </w:r>
      <w:r>
        <w:rPr>
          <w:rFonts w:ascii="Arial" w:hAnsi="Arial" w:cs="Arial"/>
          <w:bCs/>
        </w:rPr>
        <w:t>s</w:t>
      </w:r>
      <w:r w:rsidR="00BB2661" w:rsidRPr="002E42B8">
        <w:rPr>
          <w:rFonts w:ascii="Arial" w:hAnsi="Arial" w:cs="Arial"/>
          <w:bCs/>
        </w:rPr>
        <w:t xml:space="preserve"> </w:t>
      </w:r>
      <w:r w:rsidR="00AA1AD1">
        <w:rPr>
          <w:rFonts w:ascii="Arial" w:hAnsi="Arial" w:cs="Arial"/>
          <w:bCs/>
        </w:rPr>
        <w:t xml:space="preserve">a scheme </w:t>
      </w:r>
      <w:r w:rsidR="00BB2661" w:rsidRPr="002E42B8">
        <w:rPr>
          <w:rFonts w:ascii="Arial" w:hAnsi="Arial" w:cs="Arial"/>
          <w:bCs/>
        </w:rPr>
        <w:t xml:space="preserve">for financial assistance to Australians who are </w:t>
      </w:r>
      <w:r w:rsidR="00BA0E1B" w:rsidRPr="002E42B8">
        <w:rPr>
          <w:rFonts w:ascii="Arial" w:hAnsi="Arial" w:cs="Arial"/>
          <w:bCs/>
        </w:rPr>
        <w:t xml:space="preserve">victims of a declared overseas terrorist act.  Victims are Australians who </w:t>
      </w:r>
      <w:proofErr w:type="gramStart"/>
      <w:r w:rsidR="00BA0E1B" w:rsidRPr="002E42B8">
        <w:rPr>
          <w:rFonts w:ascii="Arial" w:hAnsi="Arial" w:cs="Arial"/>
          <w:bCs/>
        </w:rPr>
        <w:t xml:space="preserve">are </w:t>
      </w:r>
      <w:r w:rsidR="00BB2661" w:rsidRPr="002E42B8">
        <w:rPr>
          <w:rFonts w:ascii="Arial" w:hAnsi="Arial" w:cs="Arial"/>
          <w:bCs/>
        </w:rPr>
        <w:t>harmed</w:t>
      </w:r>
      <w:proofErr w:type="gramEnd"/>
      <w:r w:rsidR="00172C06">
        <w:rPr>
          <w:rFonts w:ascii="Arial" w:hAnsi="Arial" w:cs="Arial"/>
          <w:bCs/>
        </w:rPr>
        <w:t xml:space="preserve"> as a </w:t>
      </w:r>
      <w:r w:rsidR="00E227B9">
        <w:rPr>
          <w:rFonts w:ascii="Arial" w:hAnsi="Arial" w:cs="Arial"/>
          <w:bCs/>
        </w:rPr>
        <w:t xml:space="preserve">direct </w:t>
      </w:r>
      <w:r w:rsidR="00172C06">
        <w:rPr>
          <w:rFonts w:ascii="Arial" w:hAnsi="Arial" w:cs="Arial"/>
          <w:bCs/>
        </w:rPr>
        <w:t>result of the declared overseas terrorist act</w:t>
      </w:r>
      <w:r w:rsidR="00BB2661" w:rsidRPr="002E42B8">
        <w:rPr>
          <w:rFonts w:ascii="Arial" w:hAnsi="Arial" w:cs="Arial"/>
          <w:bCs/>
        </w:rPr>
        <w:t xml:space="preserve"> or who</w:t>
      </w:r>
      <w:r w:rsidR="00BA0E1B" w:rsidRPr="002E42B8">
        <w:rPr>
          <w:rFonts w:ascii="Arial" w:hAnsi="Arial" w:cs="Arial"/>
          <w:bCs/>
        </w:rPr>
        <w:t xml:space="preserve"> are the </w:t>
      </w:r>
      <w:r w:rsidR="00BB2661" w:rsidRPr="002E42B8">
        <w:rPr>
          <w:rFonts w:ascii="Arial" w:hAnsi="Arial" w:cs="Arial"/>
          <w:bCs/>
        </w:rPr>
        <w:t>close family member</w:t>
      </w:r>
      <w:r w:rsidR="00BA0E1B" w:rsidRPr="002E42B8">
        <w:rPr>
          <w:rFonts w:ascii="Arial" w:hAnsi="Arial" w:cs="Arial"/>
          <w:bCs/>
        </w:rPr>
        <w:t xml:space="preserve"> of a person who </w:t>
      </w:r>
      <w:r w:rsidR="00BB2661" w:rsidRPr="002E42B8">
        <w:rPr>
          <w:rFonts w:ascii="Arial" w:hAnsi="Arial" w:cs="Arial"/>
          <w:bCs/>
        </w:rPr>
        <w:t xml:space="preserve">dies </w:t>
      </w:r>
      <w:r w:rsidR="00BA0E1B" w:rsidRPr="002E42B8">
        <w:rPr>
          <w:rFonts w:ascii="Arial" w:hAnsi="Arial" w:cs="Arial"/>
          <w:bCs/>
        </w:rPr>
        <w:t>as a direct result of</w:t>
      </w:r>
      <w:r w:rsidR="00BB2661" w:rsidRPr="002E42B8">
        <w:rPr>
          <w:rFonts w:ascii="Arial" w:hAnsi="Arial" w:cs="Arial"/>
          <w:bCs/>
        </w:rPr>
        <w:t xml:space="preserve"> a</w:t>
      </w:r>
      <w:r w:rsidR="00BA0E1B" w:rsidRPr="002E42B8">
        <w:rPr>
          <w:rFonts w:ascii="Arial" w:hAnsi="Arial" w:cs="Arial"/>
          <w:bCs/>
        </w:rPr>
        <w:t xml:space="preserve"> declared</w:t>
      </w:r>
      <w:r w:rsidR="00BB2661" w:rsidRPr="002E42B8">
        <w:rPr>
          <w:rFonts w:ascii="Arial" w:hAnsi="Arial" w:cs="Arial"/>
          <w:bCs/>
        </w:rPr>
        <w:t xml:space="preserve"> overseas terrorist act.</w:t>
      </w:r>
    </w:p>
    <w:p w:rsidR="00BB2661" w:rsidRDefault="006F12D4" w:rsidP="002E42B8">
      <w:pPr>
        <w:spacing w:before="240"/>
        <w:rPr>
          <w:rFonts w:ascii="Arial" w:hAnsi="Arial" w:cs="Arial"/>
          <w:bCs/>
        </w:rPr>
      </w:pPr>
      <w:r w:rsidRPr="002E42B8">
        <w:rPr>
          <w:rFonts w:ascii="Arial" w:hAnsi="Arial" w:cs="Arial"/>
          <w:bCs/>
        </w:rPr>
        <w:t xml:space="preserve">The </w:t>
      </w:r>
      <w:r w:rsidR="00A90A9B" w:rsidRPr="002E42B8">
        <w:rPr>
          <w:rFonts w:ascii="Arial" w:hAnsi="Arial" w:cs="Arial"/>
          <w:bCs/>
        </w:rPr>
        <w:t xml:space="preserve">Act </w:t>
      </w:r>
      <w:r w:rsidRPr="002E42B8">
        <w:rPr>
          <w:rFonts w:ascii="Arial" w:hAnsi="Arial" w:cs="Arial"/>
          <w:bCs/>
        </w:rPr>
        <w:t>ena</w:t>
      </w:r>
      <w:r w:rsidR="00BB2661" w:rsidRPr="002E42B8">
        <w:rPr>
          <w:rFonts w:ascii="Arial" w:hAnsi="Arial" w:cs="Arial"/>
          <w:bCs/>
        </w:rPr>
        <w:t>ble</w:t>
      </w:r>
      <w:r w:rsidR="00A90A9B" w:rsidRPr="002E42B8">
        <w:rPr>
          <w:rFonts w:ascii="Arial" w:hAnsi="Arial" w:cs="Arial"/>
          <w:bCs/>
        </w:rPr>
        <w:t>s</w:t>
      </w:r>
      <w:r w:rsidR="00BB2661" w:rsidRPr="002E42B8">
        <w:rPr>
          <w:rFonts w:ascii="Arial" w:hAnsi="Arial" w:cs="Arial"/>
          <w:bCs/>
        </w:rPr>
        <w:t xml:space="preserve"> the Prime Minister to declare that a</w:t>
      </w:r>
      <w:r w:rsidR="00BA0E1B" w:rsidRPr="002E42B8">
        <w:rPr>
          <w:rFonts w:ascii="Arial" w:hAnsi="Arial" w:cs="Arial"/>
          <w:bCs/>
        </w:rPr>
        <w:t>n</w:t>
      </w:r>
      <w:r w:rsidR="00BB2661" w:rsidRPr="002E42B8">
        <w:rPr>
          <w:rFonts w:ascii="Arial" w:hAnsi="Arial" w:cs="Arial"/>
          <w:bCs/>
        </w:rPr>
        <w:t xml:space="preserve"> overseas terrorist incident is one to which the scheme applies</w:t>
      </w:r>
      <w:r w:rsidRPr="002E42B8">
        <w:rPr>
          <w:rFonts w:ascii="Arial" w:hAnsi="Arial" w:cs="Arial"/>
          <w:bCs/>
        </w:rPr>
        <w:t xml:space="preserve">.  </w:t>
      </w:r>
      <w:r w:rsidR="00BB2661" w:rsidRPr="002E42B8">
        <w:rPr>
          <w:rFonts w:ascii="Arial" w:hAnsi="Arial" w:cs="Arial"/>
          <w:bCs/>
        </w:rPr>
        <w:t xml:space="preserve">Australians who </w:t>
      </w:r>
      <w:proofErr w:type="gramStart"/>
      <w:r w:rsidR="00172C06" w:rsidRPr="002E42B8">
        <w:rPr>
          <w:rFonts w:ascii="Arial" w:hAnsi="Arial" w:cs="Arial"/>
          <w:bCs/>
        </w:rPr>
        <w:t>are harmed</w:t>
      </w:r>
      <w:proofErr w:type="gramEnd"/>
      <w:r w:rsidR="00BB2661" w:rsidRPr="002E42B8">
        <w:rPr>
          <w:rFonts w:ascii="Arial" w:hAnsi="Arial" w:cs="Arial"/>
          <w:bCs/>
        </w:rPr>
        <w:t xml:space="preserve"> as a direct result of such an incident </w:t>
      </w:r>
      <w:r w:rsidRPr="002E42B8">
        <w:rPr>
          <w:rFonts w:ascii="Arial" w:hAnsi="Arial" w:cs="Arial"/>
          <w:bCs/>
        </w:rPr>
        <w:t xml:space="preserve">will be able </w:t>
      </w:r>
      <w:r w:rsidR="00BB2661" w:rsidRPr="002E42B8">
        <w:rPr>
          <w:rFonts w:ascii="Arial" w:hAnsi="Arial" w:cs="Arial"/>
          <w:bCs/>
        </w:rPr>
        <w:t xml:space="preserve">to claim financial </w:t>
      </w:r>
      <w:r w:rsidR="00BA0E1B" w:rsidRPr="002E42B8">
        <w:rPr>
          <w:rFonts w:ascii="Arial" w:hAnsi="Arial" w:cs="Arial"/>
          <w:bCs/>
        </w:rPr>
        <w:t>assistance</w:t>
      </w:r>
      <w:r w:rsidR="00BB2661" w:rsidRPr="002E42B8">
        <w:rPr>
          <w:rFonts w:ascii="Arial" w:hAnsi="Arial" w:cs="Arial"/>
          <w:bCs/>
        </w:rPr>
        <w:t xml:space="preserve"> of up to $75,000</w:t>
      </w:r>
      <w:r w:rsidRPr="002E42B8">
        <w:rPr>
          <w:rFonts w:ascii="Arial" w:hAnsi="Arial" w:cs="Arial"/>
          <w:bCs/>
        </w:rPr>
        <w:t xml:space="preserve">. </w:t>
      </w:r>
      <w:r w:rsidR="00C3074D" w:rsidRPr="002E42B8">
        <w:rPr>
          <w:rFonts w:ascii="Arial" w:hAnsi="Arial" w:cs="Arial"/>
          <w:bCs/>
        </w:rPr>
        <w:t xml:space="preserve"> </w:t>
      </w:r>
      <w:r w:rsidRPr="002E42B8">
        <w:rPr>
          <w:rFonts w:ascii="Arial" w:hAnsi="Arial" w:cs="Arial"/>
          <w:bCs/>
        </w:rPr>
        <w:t>In addition, Au</w:t>
      </w:r>
      <w:r w:rsidR="00BB2661" w:rsidRPr="002E42B8">
        <w:rPr>
          <w:rFonts w:ascii="Arial" w:hAnsi="Arial" w:cs="Arial"/>
          <w:bCs/>
        </w:rPr>
        <w:t>stralians who</w:t>
      </w:r>
      <w:r w:rsidR="00BA0E1B" w:rsidRPr="002E42B8">
        <w:rPr>
          <w:rFonts w:ascii="Arial" w:hAnsi="Arial" w:cs="Arial"/>
          <w:bCs/>
        </w:rPr>
        <w:t xml:space="preserve"> are the close family member of a person who dies </w:t>
      </w:r>
      <w:r w:rsidR="00BB2661" w:rsidRPr="002E42B8">
        <w:rPr>
          <w:rFonts w:ascii="Arial" w:hAnsi="Arial" w:cs="Arial"/>
          <w:bCs/>
        </w:rPr>
        <w:t>as a direct result of such an incident</w:t>
      </w:r>
      <w:r w:rsidRPr="002E42B8">
        <w:rPr>
          <w:rFonts w:ascii="Arial" w:hAnsi="Arial" w:cs="Arial"/>
          <w:bCs/>
        </w:rPr>
        <w:t xml:space="preserve"> will be able to</w:t>
      </w:r>
      <w:r w:rsidR="00BB2661" w:rsidRPr="002E42B8">
        <w:rPr>
          <w:rFonts w:ascii="Arial" w:hAnsi="Arial" w:cs="Arial"/>
          <w:bCs/>
        </w:rPr>
        <w:t xml:space="preserve"> claim financial </w:t>
      </w:r>
      <w:r w:rsidR="00BA0E1B" w:rsidRPr="002E42B8">
        <w:rPr>
          <w:rFonts w:ascii="Arial" w:hAnsi="Arial" w:cs="Arial"/>
          <w:bCs/>
        </w:rPr>
        <w:t xml:space="preserve">assistance </w:t>
      </w:r>
      <w:r w:rsidR="00BB2661" w:rsidRPr="002E42B8">
        <w:rPr>
          <w:rFonts w:ascii="Arial" w:hAnsi="Arial" w:cs="Arial"/>
          <w:bCs/>
        </w:rPr>
        <w:t>of up to $75,000</w:t>
      </w:r>
      <w:r w:rsidRPr="002E42B8">
        <w:rPr>
          <w:rFonts w:ascii="Arial" w:hAnsi="Arial" w:cs="Arial"/>
          <w:bCs/>
        </w:rPr>
        <w:t xml:space="preserve">. </w:t>
      </w:r>
      <w:r w:rsidR="00545CF9" w:rsidRPr="002E42B8">
        <w:rPr>
          <w:rFonts w:ascii="Arial" w:hAnsi="Arial" w:cs="Arial"/>
          <w:bCs/>
        </w:rPr>
        <w:t xml:space="preserve"> </w:t>
      </w:r>
    </w:p>
    <w:p w:rsidR="002702FE" w:rsidRPr="002E42B8" w:rsidRDefault="002702FE" w:rsidP="002E42B8">
      <w:pPr>
        <w:keepNext/>
        <w:spacing w:before="240"/>
        <w:rPr>
          <w:rFonts w:ascii="Arial" w:hAnsi="Arial" w:cs="Arial"/>
          <w:b/>
          <w:bCs/>
        </w:rPr>
      </w:pPr>
      <w:r w:rsidRPr="002E42B8">
        <w:rPr>
          <w:rFonts w:ascii="Arial" w:hAnsi="Arial" w:cs="Arial"/>
          <w:b/>
          <w:bCs/>
        </w:rPr>
        <w:t>Purpose</w:t>
      </w:r>
    </w:p>
    <w:p w:rsidR="002702FE" w:rsidRPr="002E42B8" w:rsidRDefault="002702FE" w:rsidP="002E42B8">
      <w:pPr>
        <w:spacing w:before="240"/>
        <w:rPr>
          <w:rFonts w:ascii="Arial" w:hAnsi="Arial" w:cs="Arial"/>
          <w:bCs/>
        </w:rPr>
      </w:pPr>
      <w:r w:rsidRPr="002E42B8">
        <w:rPr>
          <w:rFonts w:ascii="Arial" w:hAnsi="Arial" w:cs="Arial"/>
          <w:bCs/>
        </w:rPr>
        <w:t xml:space="preserve">The </w:t>
      </w:r>
      <w:r w:rsidR="002A5A7A">
        <w:rPr>
          <w:rFonts w:ascii="Arial" w:hAnsi="Arial" w:cs="Arial"/>
          <w:bCs/>
        </w:rPr>
        <w:t>Declaration triggers the application of the scheme to specific overseas terrorist acts</w:t>
      </w:r>
      <w:r w:rsidR="003C1581">
        <w:rPr>
          <w:rFonts w:ascii="Arial" w:hAnsi="Arial" w:cs="Arial"/>
          <w:bCs/>
        </w:rPr>
        <w:t xml:space="preserve"> set out in this </w:t>
      </w:r>
      <w:r w:rsidR="00783E73">
        <w:rPr>
          <w:rFonts w:ascii="Arial" w:hAnsi="Arial" w:cs="Arial"/>
          <w:bCs/>
        </w:rPr>
        <w:t>Declaration</w:t>
      </w:r>
      <w:r w:rsidR="002A5A7A">
        <w:rPr>
          <w:rFonts w:ascii="Arial" w:hAnsi="Arial" w:cs="Arial"/>
          <w:bCs/>
        </w:rPr>
        <w:t>.</w:t>
      </w:r>
      <w:r w:rsidRPr="002E42B8">
        <w:rPr>
          <w:rFonts w:ascii="Arial" w:hAnsi="Arial" w:cs="Arial"/>
          <w:bCs/>
        </w:rPr>
        <w:t xml:space="preserve">  </w:t>
      </w:r>
    </w:p>
    <w:p w:rsidR="00F27027" w:rsidRPr="002E42B8" w:rsidRDefault="00F27027" w:rsidP="002E42B8">
      <w:pPr>
        <w:keepNext/>
        <w:spacing w:before="240"/>
        <w:rPr>
          <w:rFonts w:ascii="Arial" w:hAnsi="Arial" w:cs="Arial"/>
          <w:b/>
          <w:bCs/>
        </w:rPr>
      </w:pPr>
      <w:r w:rsidRPr="002E42B8">
        <w:rPr>
          <w:rFonts w:ascii="Arial" w:hAnsi="Arial" w:cs="Arial"/>
          <w:b/>
          <w:bCs/>
        </w:rPr>
        <w:t xml:space="preserve">Explanation </w:t>
      </w:r>
      <w:r w:rsidR="00DB14E6" w:rsidRPr="002E42B8">
        <w:rPr>
          <w:rFonts w:ascii="Arial" w:hAnsi="Arial" w:cs="Arial"/>
          <w:b/>
          <w:bCs/>
        </w:rPr>
        <w:t xml:space="preserve">and effect </w:t>
      </w:r>
      <w:r w:rsidRPr="002E42B8">
        <w:rPr>
          <w:rFonts w:ascii="Arial" w:hAnsi="Arial" w:cs="Arial"/>
          <w:b/>
          <w:bCs/>
        </w:rPr>
        <w:t>of provisions</w:t>
      </w:r>
    </w:p>
    <w:p w:rsidR="003C1581" w:rsidRDefault="002A5A7A" w:rsidP="003E0BA4">
      <w:pPr>
        <w:spacing w:before="240"/>
        <w:rPr>
          <w:rFonts w:ascii="Arial" w:hAnsi="Arial" w:cs="Arial"/>
          <w:b/>
          <w:bCs/>
        </w:rPr>
      </w:pPr>
      <w:r>
        <w:rPr>
          <w:rFonts w:ascii="Arial" w:hAnsi="Arial" w:cs="Arial"/>
          <w:b/>
          <w:bCs/>
        </w:rPr>
        <w:t xml:space="preserve">Section 1 </w:t>
      </w:r>
      <w:r>
        <w:rPr>
          <w:rFonts w:ascii="Arial" w:hAnsi="Arial" w:cs="Arial"/>
          <w:b/>
          <w:bCs/>
        </w:rPr>
        <w:noBreakHyphen/>
        <w:t xml:space="preserve"> Name of </w:t>
      </w:r>
      <w:r w:rsidR="00783E73">
        <w:rPr>
          <w:rFonts w:ascii="Arial" w:hAnsi="Arial" w:cs="Arial"/>
          <w:b/>
          <w:bCs/>
        </w:rPr>
        <w:t>D</w:t>
      </w:r>
      <w:r>
        <w:rPr>
          <w:rFonts w:ascii="Arial" w:hAnsi="Arial" w:cs="Arial"/>
          <w:b/>
          <w:bCs/>
        </w:rPr>
        <w:t>eclaration</w:t>
      </w:r>
    </w:p>
    <w:p w:rsidR="002A5A7A" w:rsidRPr="003E0BA4" w:rsidRDefault="002A5A7A" w:rsidP="003E0BA4">
      <w:pPr>
        <w:spacing w:before="240"/>
        <w:rPr>
          <w:rFonts w:ascii="Arial" w:hAnsi="Arial" w:cs="Arial"/>
          <w:bCs/>
        </w:rPr>
      </w:pPr>
      <w:proofErr w:type="gramStart"/>
      <w:r w:rsidRPr="003E0BA4">
        <w:rPr>
          <w:rFonts w:ascii="Arial" w:hAnsi="Arial" w:cs="Arial"/>
          <w:bCs/>
        </w:rPr>
        <w:t>Secti</w:t>
      </w:r>
      <w:r w:rsidR="00783E73">
        <w:rPr>
          <w:rFonts w:ascii="Arial" w:hAnsi="Arial" w:cs="Arial"/>
          <w:bCs/>
        </w:rPr>
        <w:t>on 1 sets out the title of the D</w:t>
      </w:r>
      <w:r w:rsidRPr="003E0BA4">
        <w:rPr>
          <w:rFonts w:ascii="Arial" w:hAnsi="Arial" w:cs="Arial"/>
          <w:bCs/>
        </w:rPr>
        <w:t xml:space="preserve">eclaration as the </w:t>
      </w:r>
      <w:r w:rsidRPr="003E0BA4">
        <w:rPr>
          <w:rFonts w:ascii="Arial" w:hAnsi="Arial" w:cs="Arial"/>
          <w:bCs/>
          <w:i/>
        </w:rPr>
        <w:t>Social Security (Declared Over</w:t>
      </w:r>
      <w:r w:rsidR="003C1581">
        <w:rPr>
          <w:rFonts w:ascii="Arial" w:hAnsi="Arial" w:cs="Arial"/>
          <w:bCs/>
          <w:i/>
        </w:rPr>
        <w:t>seas Terrorist Act) Declaration </w:t>
      </w:r>
      <w:r w:rsidRPr="003E0BA4">
        <w:rPr>
          <w:rFonts w:ascii="Arial" w:hAnsi="Arial" w:cs="Arial"/>
          <w:bCs/>
          <w:i/>
        </w:rPr>
        <w:t>2013</w:t>
      </w:r>
      <w:r w:rsidRPr="003E0BA4">
        <w:rPr>
          <w:rFonts w:ascii="Arial" w:hAnsi="Arial" w:cs="Arial"/>
          <w:bCs/>
        </w:rPr>
        <w:t>.</w:t>
      </w:r>
      <w:proofErr w:type="gramEnd"/>
    </w:p>
    <w:p w:rsidR="002A5A7A" w:rsidRDefault="002A5A7A" w:rsidP="002E42B8">
      <w:pPr>
        <w:spacing w:before="240"/>
        <w:rPr>
          <w:rFonts w:ascii="Arial" w:hAnsi="Arial" w:cs="Arial"/>
          <w:b/>
          <w:bCs/>
        </w:rPr>
      </w:pPr>
      <w:r>
        <w:rPr>
          <w:rFonts w:ascii="Arial" w:hAnsi="Arial" w:cs="Arial"/>
          <w:b/>
          <w:bCs/>
        </w:rPr>
        <w:t>Section 2 – Commencement</w:t>
      </w:r>
    </w:p>
    <w:p w:rsidR="003C1581" w:rsidRDefault="002A5A7A" w:rsidP="002E42B8">
      <w:pPr>
        <w:spacing w:before="240"/>
        <w:rPr>
          <w:rFonts w:ascii="Arial" w:hAnsi="Arial" w:cs="Arial"/>
          <w:bCs/>
        </w:rPr>
      </w:pPr>
      <w:r>
        <w:rPr>
          <w:rFonts w:ascii="Arial" w:hAnsi="Arial" w:cs="Arial"/>
          <w:bCs/>
        </w:rPr>
        <w:t xml:space="preserve">Section 2 of the </w:t>
      </w:r>
      <w:r w:rsidR="00783E73">
        <w:rPr>
          <w:rFonts w:ascii="Arial" w:hAnsi="Arial" w:cs="Arial"/>
          <w:bCs/>
        </w:rPr>
        <w:t>Declaration</w:t>
      </w:r>
      <w:r>
        <w:rPr>
          <w:rFonts w:ascii="Arial" w:hAnsi="Arial" w:cs="Arial"/>
          <w:bCs/>
        </w:rPr>
        <w:t xml:space="preserve"> provides that </w:t>
      </w:r>
      <w:r w:rsidR="003C1581">
        <w:rPr>
          <w:rFonts w:ascii="Arial" w:hAnsi="Arial" w:cs="Arial"/>
          <w:bCs/>
        </w:rPr>
        <w:t xml:space="preserve">the </w:t>
      </w:r>
      <w:r w:rsidR="00783E73">
        <w:rPr>
          <w:rFonts w:ascii="Arial" w:hAnsi="Arial" w:cs="Arial"/>
          <w:bCs/>
        </w:rPr>
        <w:t>Declaration</w:t>
      </w:r>
      <w:r w:rsidR="003C1581">
        <w:rPr>
          <w:rFonts w:ascii="Arial" w:hAnsi="Arial" w:cs="Arial"/>
          <w:bCs/>
        </w:rPr>
        <w:t xml:space="preserve"> </w:t>
      </w:r>
      <w:proofErr w:type="gramStart"/>
      <w:r w:rsidR="003C1581">
        <w:rPr>
          <w:rFonts w:ascii="Arial" w:hAnsi="Arial" w:cs="Arial"/>
          <w:bCs/>
        </w:rPr>
        <w:t>commences</w:t>
      </w:r>
      <w:proofErr w:type="gramEnd"/>
      <w:r w:rsidR="003C1581">
        <w:rPr>
          <w:rFonts w:ascii="Arial" w:hAnsi="Arial" w:cs="Arial"/>
          <w:bCs/>
        </w:rPr>
        <w:t xml:space="preserve"> on 21 </w:t>
      </w:r>
      <w:r>
        <w:rPr>
          <w:rFonts w:ascii="Arial" w:hAnsi="Arial" w:cs="Arial"/>
          <w:bCs/>
        </w:rPr>
        <w:t>October</w:t>
      </w:r>
      <w:r w:rsidR="003C1581">
        <w:rPr>
          <w:rFonts w:ascii="Arial" w:hAnsi="Arial" w:cs="Arial"/>
          <w:bCs/>
        </w:rPr>
        <w:t> </w:t>
      </w:r>
      <w:r>
        <w:rPr>
          <w:rFonts w:ascii="Arial" w:hAnsi="Arial" w:cs="Arial"/>
          <w:bCs/>
        </w:rPr>
        <w:t>2013.</w:t>
      </w:r>
    </w:p>
    <w:p w:rsidR="00574DB6" w:rsidRDefault="002A5A7A" w:rsidP="002E42B8">
      <w:pPr>
        <w:spacing w:before="240"/>
        <w:rPr>
          <w:rFonts w:ascii="Arial" w:hAnsi="Arial" w:cs="Arial"/>
          <w:b/>
          <w:bCs/>
        </w:rPr>
      </w:pPr>
      <w:r>
        <w:rPr>
          <w:rFonts w:ascii="Arial" w:hAnsi="Arial" w:cs="Arial"/>
          <w:b/>
          <w:bCs/>
        </w:rPr>
        <w:t xml:space="preserve">Section 3 </w:t>
      </w:r>
      <w:r w:rsidR="00574DB6">
        <w:rPr>
          <w:rFonts w:ascii="Arial" w:hAnsi="Arial" w:cs="Arial"/>
          <w:b/>
          <w:bCs/>
        </w:rPr>
        <w:t>–</w:t>
      </w:r>
      <w:r>
        <w:rPr>
          <w:rFonts w:ascii="Arial" w:hAnsi="Arial" w:cs="Arial"/>
          <w:b/>
          <w:bCs/>
        </w:rPr>
        <w:t xml:space="preserve"> Definitions</w:t>
      </w:r>
    </w:p>
    <w:p w:rsidR="002A5A7A" w:rsidRDefault="003C1581" w:rsidP="002E42B8">
      <w:pPr>
        <w:spacing w:before="240"/>
        <w:rPr>
          <w:rFonts w:ascii="Arial" w:hAnsi="Arial" w:cs="Arial"/>
          <w:bCs/>
        </w:rPr>
      </w:pPr>
      <w:r>
        <w:rPr>
          <w:rFonts w:ascii="Arial" w:hAnsi="Arial" w:cs="Arial"/>
          <w:bCs/>
        </w:rPr>
        <w:t>Section </w:t>
      </w:r>
      <w:proofErr w:type="gramStart"/>
      <w:r w:rsidR="002A5A7A">
        <w:rPr>
          <w:rFonts w:ascii="Arial" w:hAnsi="Arial" w:cs="Arial"/>
          <w:bCs/>
        </w:rPr>
        <w:t>3</w:t>
      </w:r>
      <w:proofErr w:type="gramEnd"/>
      <w:r w:rsidR="002A5A7A">
        <w:rPr>
          <w:rFonts w:ascii="Arial" w:hAnsi="Arial" w:cs="Arial"/>
          <w:bCs/>
        </w:rPr>
        <w:t xml:space="preserve"> of the </w:t>
      </w:r>
      <w:r w:rsidR="00783E73">
        <w:rPr>
          <w:rFonts w:ascii="Arial" w:hAnsi="Arial" w:cs="Arial"/>
          <w:bCs/>
        </w:rPr>
        <w:t>Declaration</w:t>
      </w:r>
      <w:r w:rsidR="002A5A7A">
        <w:rPr>
          <w:rFonts w:ascii="Arial" w:hAnsi="Arial" w:cs="Arial"/>
          <w:bCs/>
        </w:rPr>
        <w:t xml:space="preserve"> sets out the interpretive provisions that are relevant to the Declaration as follows:</w:t>
      </w:r>
    </w:p>
    <w:p w:rsidR="002A5A7A" w:rsidRPr="003E0BA4" w:rsidRDefault="002A5A7A" w:rsidP="0078755B">
      <w:pPr>
        <w:numPr>
          <w:ilvl w:val="0"/>
          <w:numId w:val="3"/>
        </w:numPr>
        <w:spacing w:before="240"/>
        <w:rPr>
          <w:rFonts w:ascii="Arial" w:hAnsi="Arial" w:cs="Arial"/>
          <w:bCs/>
        </w:rPr>
      </w:pPr>
      <w:r w:rsidRPr="003E0BA4">
        <w:rPr>
          <w:rFonts w:ascii="Arial" w:hAnsi="Arial" w:cs="Arial"/>
          <w:b/>
          <w:bCs/>
          <w:i/>
        </w:rPr>
        <w:lastRenderedPageBreak/>
        <w:t>Act</w:t>
      </w:r>
      <w:r>
        <w:rPr>
          <w:rFonts w:ascii="Arial" w:hAnsi="Arial" w:cs="Arial"/>
          <w:bCs/>
        </w:rPr>
        <w:t xml:space="preserve"> means the </w:t>
      </w:r>
      <w:r>
        <w:rPr>
          <w:rFonts w:ascii="Arial" w:hAnsi="Arial" w:cs="Arial"/>
          <w:bCs/>
          <w:i/>
        </w:rPr>
        <w:t>Social Security Act 1991.</w:t>
      </w:r>
    </w:p>
    <w:p w:rsidR="002A5A7A" w:rsidRDefault="002A5A7A" w:rsidP="0078755B">
      <w:pPr>
        <w:numPr>
          <w:ilvl w:val="0"/>
          <w:numId w:val="3"/>
        </w:numPr>
        <w:spacing w:before="240"/>
        <w:rPr>
          <w:rFonts w:ascii="Arial" w:hAnsi="Arial" w:cs="Arial"/>
          <w:bCs/>
        </w:rPr>
      </w:pPr>
      <w:proofErr w:type="gramStart"/>
      <w:r>
        <w:rPr>
          <w:rFonts w:ascii="Arial" w:hAnsi="Arial" w:cs="Arial"/>
          <w:b/>
          <w:bCs/>
          <w:i/>
        </w:rPr>
        <w:t>terrorist</w:t>
      </w:r>
      <w:proofErr w:type="gramEnd"/>
      <w:r>
        <w:rPr>
          <w:rFonts w:ascii="Arial" w:hAnsi="Arial" w:cs="Arial"/>
          <w:b/>
          <w:bCs/>
          <w:i/>
        </w:rPr>
        <w:t xml:space="preserve"> act</w:t>
      </w:r>
      <w:r>
        <w:rPr>
          <w:rFonts w:ascii="Arial" w:hAnsi="Arial" w:cs="Arial"/>
          <w:bCs/>
        </w:rPr>
        <w:t xml:space="preserve"> has the same </w:t>
      </w:r>
      <w:r w:rsidR="00751481">
        <w:rPr>
          <w:rFonts w:ascii="Arial" w:hAnsi="Arial" w:cs="Arial"/>
          <w:bCs/>
        </w:rPr>
        <w:t>meaning</w:t>
      </w:r>
      <w:r w:rsidR="003C1581">
        <w:rPr>
          <w:rFonts w:ascii="Arial" w:hAnsi="Arial" w:cs="Arial"/>
          <w:bCs/>
        </w:rPr>
        <w:t xml:space="preserve"> it has in subsection </w:t>
      </w:r>
      <w:r>
        <w:rPr>
          <w:rFonts w:ascii="Arial" w:hAnsi="Arial" w:cs="Arial"/>
          <w:bCs/>
        </w:rPr>
        <w:t>100.1</w:t>
      </w:r>
      <w:r w:rsidR="00751481">
        <w:rPr>
          <w:rFonts w:ascii="Arial" w:hAnsi="Arial" w:cs="Arial"/>
          <w:bCs/>
        </w:rPr>
        <w:t>(1)</w:t>
      </w:r>
      <w:r>
        <w:rPr>
          <w:rFonts w:ascii="Arial" w:hAnsi="Arial" w:cs="Arial"/>
          <w:bCs/>
        </w:rPr>
        <w:t xml:space="preserve"> of the </w:t>
      </w:r>
      <w:r w:rsidRPr="003E0BA4">
        <w:rPr>
          <w:rFonts w:ascii="Arial" w:hAnsi="Arial" w:cs="Arial"/>
          <w:bCs/>
          <w:i/>
        </w:rPr>
        <w:t>Criminal Code</w:t>
      </w:r>
      <w:r>
        <w:rPr>
          <w:rFonts w:ascii="Arial" w:hAnsi="Arial" w:cs="Arial"/>
          <w:bCs/>
        </w:rPr>
        <w:t>.</w:t>
      </w:r>
    </w:p>
    <w:p w:rsidR="002A5A7A" w:rsidRPr="003E0BA4" w:rsidRDefault="00DA1E75" w:rsidP="002E42B8">
      <w:pPr>
        <w:spacing w:before="240"/>
        <w:rPr>
          <w:rFonts w:ascii="Arial" w:hAnsi="Arial" w:cs="Arial"/>
          <w:b/>
          <w:bCs/>
        </w:rPr>
      </w:pPr>
      <w:r>
        <w:rPr>
          <w:rFonts w:ascii="Arial" w:hAnsi="Arial" w:cs="Arial"/>
          <w:b/>
          <w:bCs/>
        </w:rPr>
        <w:t>Section </w:t>
      </w:r>
      <w:proofErr w:type="gramStart"/>
      <w:r w:rsidR="002A5A7A">
        <w:rPr>
          <w:rFonts w:ascii="Arial" w:hAnsi="Arial" w:cs="Arial"/>
          <w:b/>
          <w:bCs/>
        </w:rPr>
        <w:t>4</w:t>
      </w:r>
      <w:proofErr w:type="gramEnd"/>
      <w:r w:rsidR="002A5A7A">
        <w:rPr>
          <w:rFonts w:ascii="Arial" w:hAnsi="Arial" w:cs="Arial"/>
          <w:b/>
          <w:bCs/>
        </w:rPr>
        <w:t xml:space="preserve"> – Declared overseas terrorist act</w:t>
      </w:r>
    </w:p>
    <w:p w:rsidR="00574DB6" w:rsidRDefault="00DA1E75" w:rsidP="002E42B8">
      <w:pPr>
        <w:spacing w:before="240"/>
        <w:rPr>
          <w:rFonts w:ascii="Arial" w:hAnsi="Arial" w:cs="Arial"/>
          <w:bCs/>
        </w:rPr>
      </w:pPr>
      <w:r>
        <w:rPr>
          <w:rFonts w:ascii="Arial" w:hAnsi="Arial" w:cs="Arial"/>
          <w:bCs/>
        </w:rPr>
        <w:t>Section </w:t>
      </w:r>
      <w:r w:rsidR="002A5A7A">
        <w:rPr>
          <w:rFonts w:ascii="Arial" w:hAnsi="Arial" w:cs="Arial"/>
          <w:bCs/>
        </w:rPr>
        <w:t xml:space="preserve">4 of the </w:t>
      </w:r>
      <w:r w:rsidR="00783E73">
        <w:rPr>
          <w:rFonts w:ascii="Arial" w:hAnsi="Arial" w:cs="Arial"/>
          <w:bCs/>
        </w:rPr>
        <w:t>D</w:t>
      </w:r>
      <w:r w:rsidR="00751481">
        <w:rPr>
          <w:rFonts w:ascii="Arial" w:hAnsi="Arial" w:cs="Arial"/>
          <w:bCs/>
        </w:rPr>
        <w:t xml:space="preserve">eclaration sets out each </w:t>
      </w:r>
      <w:r w:rsidR="002A5A7A">
        <w:rPr>
          <w:rFonts w:ascii="Arial" w:hAnsi="Arial" w:cs="Arial"/>
          <w:bCs/>
        </w:rPr>
        <w:t xml:space="preserve">of </w:t>
      </w:r>
      <w:r w:rsidR="00751481">
        <w:rPr>
          <w:rFonts w:ascii="Arial" w:hAnsi="Arial" w:cs="Arial"/>
          <w:bCs/>
        </w:rPr>
        <w:t xml:space="preserve">the </w:t>
      </w:r>
      <w:r w:rsidR="002A5A7A">
        <w:rPr>
          <w:rFonts w:ascii="Arial" w:hAnsi="Arial" w:cs="Arial"/>
          <w:bCs/>
        </w:rPr>
        <w:t>overseas terrorist acts that the Prime Minister is declaring</w:t>
      </w:r>
      <w:r w:rsidR="00D75D55">
        <w:rPr>
          <w:rFonts w:ascii="Arial" w:hAnsi="Arial" w:cs="Arial"/>
          <w:bCs/>
        </w:rPr>
        <w:t xml:space="preserve"> under subsection </w:t>
      </w:r>
      <w:proofErr w:type="gramStart"/>
      <w:r w:rsidR="00574DB6">
        <w:rPr>
          <w:rFonts w:ascii="Arial" w:hAnsi="Arial" w:cs="Arial"/>
          <w:bCs/>
        </w:rPr>
        <w:t>35B(</w:t>
      </w:r>
      <w:proofErr w:type="gramEnd"/>
      <w:r w:rsidR="00574DB6">
        <w:rPr>
          <w:rFonts w:ascii="Arial" w:hAnsi="Arial" w:cs="Arial"/>
          <w:bCs/>
        </w:rPr>
        <w:t>1) of the Act</w:t>
      </w:r>
      <w:r w:rsidR="002A5A7A">
        <w:rPr>
          <w:rFonts w:ascii="Arial" w:hAnsi="Arial" w:cs="Arial"/>
          <w:bCs/>
        </w:rPr>
        <w:t xml:space="preserve">.  These particular acts </w:t>
      </w:r>
      <w:proofErr w:type="gramStart"/>
      <w:r w:rsidR="00574DB6">
        <w:rPr>
          <w:rFonts w:ascii="Arial" w:hAnsi="Arial" w:cs="Arial"/>
          <w:bCs/>
        </w:rPr>
        <w:t>are declared</w:t>
      </w:r>
      <w:proofErr w:type="gramEnd"/>
      <w:r w:rsidR="00574DB6">
        <w:rPr>
          <w:rFonts w:ascii="Arial" w:hAnsi="Arial" w:cs="Arial"/>
          <w:bCs/>
        </w:rPr>
        <w:t xml:space="preserve"> because</w:t>
      </w:r>
      <w:r w:rsidR="002A5A7A">
        <w:rPr>
          <w:rFonts w:ascii="Arial" w:hAnsi="Arial" w:cs="Arial"/>
          <w:bCs/>
        </w:rPr>
        <w:t xml:space="preserve"> </w:t>
      </w:r>
      <w:r w:rsidR="00D75D55">
        <w:rPr>
          <w:rFonts w:ascii="Arial" w:hAnsi="Arial" w:cs="Arial"/>
          <w:bCs/>
        </w:rPr>
        <w:t>of the</w:t>
      </w:r>
      <w:r w:rsidR="002A5A7A">
        <w:rPr>
          <w:rFonts w:ascii="Arial" w:hAnsi="Arial" w:cs="Arial"/>
          <w:bCs/>
        </w:rPr>
        <w:t xml:space="preserve"> direct impact they had o</w:t>
      </w:r>
      <w:r w:rsidR="00574DB6">
        <w:rPr>
          <w:rFonts w:ascii="Arial" w:hAnsi="Arial" w:cs="Arial"/>
          <w:bCs/>
        </w:rPr>
        <w:t>n Australian nationals</w:t>
      </w:r>
      <w:r w:rsidR="00D75D55">
        <w:rPr>
          <w:rFonts w:ascii="Arial" w:hAnsi="Arial" w:cs="Arial"/>
          <w:bCs/>
        </w:rPr>
        <w:t xml:space="preserve"> and because of the extent </w:t>
      </w:r>
      <w:r w:rsidR="00751481">
        <w:rPr>
          <w:rFonts w:ascii="Arial" w:hAnsi="Arial" w:cs="Arial"/>
          <w:bCs/>
        </w:rPr>
        <w:t xml:space="preserve">to which the </w:t>
      </w:r>
      <w:r w:rsidR="00D75D55">
        <w:rPr>
          <w:rFonts w:ascii="Arial" w:hAnsi="Arial" w:cs="Arial"/>
          <w:bCs/>
        </w:rPr>
        <w:t>terrorist act</w:t>
      </w:r>
      <w:r w:rsidR="00751481">
        <w:rPr>
          <w:rFonts w:ascii="Arial" w:hAnsi="Arial" w:cs="Arial"/>
          <w:bCs/>
        </w:rPr>
        <w:t>s</w:t>
      </w:r>
      <w:r w:rsidR="00D75D55">
        <w:rPr>
          <w:rFonts w:ascii="Arial" w:hAnsi="Arial" w:cs="Arial"/>
          <w:bCs/>
        </w:rPr>
        <w:t xml:space="preserve"> </w:t>
      </w:r>
      <w:r w:rsidR="00751481">
        <w:rPr>
          <w:rFonts w:ascii="Arial" w:hAnsi="Arial" w:cs="Arial"/>
          <w:bCs/>
        </w:rPr>
        <w:t xml:space="preserve">were </w:t>
      </w:r>
      <w:r w:rsidR="00D75D55">
        <w:rPr>
          <w:rFonts w:ascii="Arial" w:hAnsi="Arial" w:cs="Arial"/>
          <w:bCs/>
        </w:rPr>
        <w:t xml:space="preserve">targeted </w:t>
      </w:r>
      <w:r w:rsidR="00751481">
        <w:rPr>
          <w:rFonts w:ascii="Arial" w:hAnsi="Arial" w:cs="Arial"/>
          <w:bCs/>
        </w:rPr>
        <w:t>against western interests</w:t>
      </w:r>
      <w:r w:rsidR="00D75D55">
        <w:rPr>
          <w:rFonts w:ascii="Arial" w:hAnsi="Arial" w:cs="Arial"/>
          <w:bCs/>
        </w:rPr>
        <w:t>.  Hundreds of Australians were either injured or killed in these acts and for that reason it is appropriate for the scheme to apply.</w:t>
      </w:r>
    </w:p>
    <w:p w:rsidR="00026901" w:rsidRDefault="00DA1E75" w:rsidP="003C1581">
      <w:pPr>
        <w:spacing w:before="240"/>
        <w:rPr>
          <w:rFonts w:ascii="Arial" w:hAnsi="Arial" w:cs="Arial"/>
          <w:bCs/>
        </w:rPr>
      </w:pPr>
      <w:r>
        <w:rPr>
          <w:rFonts w:ascii="Arial" w:hAnsi="Arial" w:cs="Arial"/>
          <w:bCs/>
        </w:rPr>
        <w:t>Subsection </w:t>
      </w:r>
      <w:r w:rsidR="00574DB6">
        <w:rPr>
          <w:rFonts w:ascii="Arial" w:hAnsi="Arial" w:cs="Arial"/>
          <w:bCs/>
        </w:rPr>
        <w:t xml:space="preserve">4(1) provides that </w:t>
      </w:r>
      <w:r w:rsidR="003C1581">
        <w:rPr>
          <w:rFonts w:ascii="Arial" w:hAnsi="Arial" w:cs="Arial"/>
          <w:bCs/>
        </w:rPr>
        <w:t xml:space="preserve">the </w:t>
      </w:r>
      <w:r w:rsidR="00026901">
        <w:rPr>
          <w:rFonts w:ascii="Arial" w:hAnsi="Arial" w:cs="Arial"/>
          <w:bCs/>
        </w:rPr>
        <w:t>hijacking and crashing of four commercial airliners:</w:t>
      </w:r>
    </w:p>
    <w:p w:rsidR="00026901" w:rsidRDefault="00026901" w:rsidP="0078755B">
      <w:pPr>
        <w:numPr>
          <w:ilvl w:val="0"/>
          <w:numId w:val="6"/>
        </w:numPr>
        <w:spacing w:before="120"/>
        <w:ind w:left="714" w:hanging="357"/>
        <w:contextualSpacing/>
        <w:rPr>
          <w:rFonts w:ascii="Arial" w:hAnsi="Arial" w:cs="Arial"/>
          <w:bCs/>
        </w:rPr>
      </w:pPr>
      <w:r>
        <w:rPr>
          <w:rFonts w:ascii="Arial" w:hAnsi="Arial" w:cs="Arial"/>
          <w:bCs/>
        </w:rPr>
        <w:t xml:space="preserve">into the World Trade </w:t>
      </w:r>
      <w:proofErr w:type="spellStart"/>
      <w:r>
        <w:rPr>
          <w:rFonts w:ascii="Arial" w:hAnsi="Arial" w:cs="Arial"/>
          <w:bCs/>
        </w:rPr>
        <w:t>Center</w:t>
      </w:r>
      <w:proofErr w:type="spellEnd"/>
      <w:r>
        <w:rPr>
          <w:rFonts w:ascii="Arial" w:hAnsi="Arial" w:cs="Arial"/>
          <w:bCs/>
        </w:rPr>
        <w:t xml:space="preserve"> in New York, </w:t>
      </w:r>
    </w:p>
    <w:p w:rsidR="00026901" w:rsidRDefault="00026901" w:rsidP="0078755B">
      <w:pPr>
        <w:numPr>
          <w:ilvl w:val="0"/>
          <w:numId w:val="6"/>
        </w:numPr>
        <w:spacing w:before="120"/>
        <w:ind w:left="714" w:hanging="357"/>
        <w:contextualSpacing/>
        <w:rPr>
          <w:rFonts w:ascii="Arial" w:hAnsi="Arial" w:cs="Arial"/>
          <w:bCs/>
        </w:rPr>
      </w:pPr>
      <w:r w:rsidRPr="00026901">
        <w:rPr>
          <w:rFonts w:ascii="Arial" w:hAnsi="Arial" w:cs="Arial"/>
          <w:bCs/>
        </w:rPr>
        <w:t>into the Pentagon building in Washington DC</w:t>
      </w:r>
      <w:r w:rsidR="00751481">
        <w:rPr>
          <w:rFonts w:ascii="Arial" w:hAnsi="Arial" w:cs="Arial"/>
          <w:bCs/>
        </w:rPr>
        <w:t>,</w:t>
      </w:r>
      <w:r w:rsidRPr="00026901">
        <w:rPr>
          <w:rFonts w:ascii="Arial" w:hAnsi="Arial" w:cs="Arial"/>
          <w:bCs/>
        </w:rPr>
        <w:t xml:space="preserve"> and</w:t>
      </w:r>
    </w:p>
    <w:p w:rsidR="00026901" w:rsidRPr="00026901" w:rsidRDefault="00026901" w:rsidP="0078755B">
      <w:pPr>
        <w:numPr>
          <w:ilvl w:val="0"/>
          <w:numId w:val="6"/>
        </w:numPr>
        <w:spacing w:before="120"/>
        <w:ind w:left="714" w:hanging="357"/>
        <w:contextualSpacing/>
        <w:rPr>
          <w:rFonts w:ascii="Arial" w:hAnsi="Arial" w:cs="Arial"/>
          <w:bCs/>
        </w:rPr>
      </w:pPr>
      <w:r w:rsidRPr="00026901">
        <w:rPr>
          <w:rFonts w:ascii="Arial" w:hAnsi="Arial" w:cs="Arial"/>
          <w:bCs/>
        </w:rPr>
        <w:t xml:space="preserve">near </w:t>
      </w:r>
      <w:proofErr w:type="spellStart"/>
      <w:r w:rsidRPr="00026901">
        <w:rPr>
          <w:rFonts w:ascii="Arial" w:hAnsi="Arial" w:cs="Arial"/>
          <w:bCs/>
        </w:rPr>
        <w:t>Shanksville</w:t>
      </w:r>
      <w:proofErr w:type="spellEnd"/>
      <w:r w:rsidRPr="00026901">
        <w:rPr>
          <w:rFonts w:ascii="Arial" w:hAnsi="Arial" w:cs="Arial"/>
          <w:bCs/>
        </w:rPr>
        <w:t>, Pennsylvania</w:t>
      </w:r>
    </w:p>
    <w:p w:rsidR="003C1581" w:rsidRDefault="003C1581" w:rsidP="00783E73">
      <w:pPr>
        <w:rPr>
          <w:rFonts w:ascii="Arial" w:hAnsi="Arial" w:cs="Arial"/>
          <w:bCs/>
        </w:rPr>
      </w:pPr>
      <w:proofErr w:type="gramStart"/>
      <w:r>
        <w:rPr>
          <w:rFonts w:ascii="Arial" w:hAnsi="Arial" w:cs="Arial"/>
          <w:bCs/>
        </w:rPr>
        <w:t>in</w:t>
      </w:r>
      <w:proofErr w:type="gramEnd"/>
      <w:r>
        <w:rPr>
          <w:rFonts w:ascii="Arial" w:hAnsi="Arial" w:cs="Arial"/>
          <w:bCs/>
        </w:rPr>
        <w:t xml:space="preserve"> the United States</w:t>
      </w:r>
      <w:r w:rsidR="00026901">
        <w:rPr>
          <w:rFonts w:ascii="Arial" w:hAnsi="Arial" w:cs="Arial"/>
          <w:bCs/>
        </w:rPr>
        <w:t xml:space="preserve"> </w:t>
      </w:r>
      <w:r w:rsidR="00B76BDE">
        <w:rPr>
          <w:rFonts w:ascii="Arial" w:hAnsi="Arial" w:cs="Arial"/>
          <w:bCs/>
        </w:rPr>
        <w:t xml:space="preserve">of America </w:t>
      </w:r>
      <w:r w:rsidR="00026901">
        <w:rPr>
          <w:rFonts w:ascii="Arial" w:hAnsi="Arial" w:cs="Arial"/>
          <w:bCs/>
        </w:rPr>
        <w:t>on 11 September 2001</w:t>
      </w:r>
      <w:r>
        <w:rPr>
          <w:rFonts w:ascii="Arial" w:hAnsi="Arial" w:cs="Arial"/>
          <w:bCs/>
        </w:rPr>
        <w:t xml:space="preserve"> is a declared overseas terrorist act for the purposes of subsection 35B(1) of the Act:</w:t>
      </w:r>
    </w:p>
    <w:p w:rsidR="00026901" w:rsidRDefault="00D75D55" w:rsidP="002E42B8">
      <w:pPr>
        <w:spacing w:before="240"/>
        <w:rPr>
          <w:rFonts w:ascii="Arial" w:hAnsi="Arial" w:cs="Arial"/>
          <w:bCs/>
        </w:rPr>
      </w:pPr>
      <w:r>
        <w:rPr>
          <w:rFonts w:ascii="Arial" w:hAnsi="Arial" w:cs="Arial"/>
          <w:bCs/>
        </w:rPr>
        <w:t>Subsection 4(2</w:t>
      </w:r>
      <w:r w:rsidR="00751481">
        <w:rPr>
          <w:rFonts w:ascii="Arial" w:hAnsi="Arial" w:cs="Arial"/>
          <w:bCs/>
        </w:rPr>
        <w:t>) provides that the bombings</w:t>
      </w:r>
      <w:r w:rsidR="00026901">
        <w:rPr>
          <w:rFonts w:ascii="Arial" w:hAnsi="Arial" w:cs="Arial"/>
          <w:bCs/>
        </w:rPr>
        <w:t>:</w:t>
      </w:r>
    </w:p>
    <w:p w:rsidR="00026901" w:rsidRDefault="00026901" w:rsidP="0078755B">
      <w:pPr>
        <w:numPr>
          <w:ilvl w:val="0"/>
          <w:numId w:val="6"/>
        </w:numPr>
        <w:ind w:left="714" w:hanging="357"/>
        <w:rPr>
          <w:rFonts w:ascii="Arial" w:hAnsi="Arial" w:cs="Arial"/>
          <w:bCs/>
        </w:rPr>
      </w:pPr>
      <w:r>
        <w:rPr>
          <w:rFonts w:ascii="Arial" w:hAnsi="Arial" w:cs="Arial"/>
          <w:bCs/>
        </w:rPr>
        <w:t xml:space="preserve">at </w:t>
      </w:r>
      <w:r w:rsidR="00D75D55">
        <w:rPr>
          <w:rFonts w:ascii="Arial" w:hAnsi="Arial" w:cs="Arial"/>
          <w:bCs/>
        </w:rPr>
        <w:t>Pa</w:t>
      </w:r>
      <w:r>
        <w:rPr>
          <w:rFonts w:ascii="Arial" w:hAnsi="Arial" w:cs="Arial"/>
          <w:bCs/>
        </w:rPr>
        <w:t xml:space="preserve">ddy’s Bar on </w:t>
      </w:r>
      <w:proofErr w:type="spellStart"/>
      <w:r>
        <w:rPr>
          <w:rFonts w:ascii="Arial" w:hAnsi="Arial" w:cs="Arial"/>
          <w:bCs/>
        </w:rPr>
        <w:t>Jelan</w:t>
      </w:r>
      <w:proofErr w:type="spellEnd"/>
      <w:r>
        <w:rPr>
          <w:rFonts w:ascii="Arial" w:hAnsi="Arial" w:cs="Arial"/>
          <w:bCs/>
        </w:rPr>
        <w:t xml:space="preserve"> Legion, </w:t>
      </w:r>
      <w:proofErr w:type="spellStart"/>
      <w:r>
        <w:rPr>
          <w:rFonts w:ascii="Arial" w:hAnsi="Arial" w:cs="Arial"/>
          <w:bCs/>
        </w:rPr>
        <w:t>Kuta</w:t>
      </w:r>
      <w:proofErr w:type="spellEnd"/>
    </w:p>
    <w:p w:rsidR="00026901" w:rsidRDefault="00026901" w:rsidP="0078755B">
      <w:pPr>
        <w:numPr>
          <w:ilvl w:val="0"/>
          <w:numId w:val="6"/>
        </w:numPr>
        <w:ind w:left="714" w:hanging="357"/>
        <w:rPr>
          <w:rFonts w:ascii="Arial" w:hAnsi="Arial" w:cs="Arial"/>
          <w:bCs/>
        </w:rPr>
      </w:pPr>
      <w:r>
        <w:rPr>
          <w:rFonts w:ascii="Arial" w:hAnsi="Arial" w:cs="Arial"/>
          <w:bCs/>
        </w:rPr>
        <w:t xml:space="preserve">at </w:t>
      </w:r>
      <w:r w:rsidR="00D75D55">
        <w:rPr>
          <w:rFonts w:ascii="Arial" w:hAnsi="Arial" w:cs="Arial"/>
          <w:bCs/>
        </w:rPr>
        <w:t>the Sari Club</w:t>
      </w:r>
      <w:r w:rsidR="00DA1E75">
        <w:rPr>
          <w:rFonts w:ascii="Arial" w:hAnsi="Arial" w:cs="Arial"/>
          <w:bCs/>
        </w:rPr>
        <w:t xml:space="preserve"> in </w:t>
      </w:r>
      <w:proofErr w:type="spellStart"/>
      <w:r w:rsidR="00DA1E75">
        <w:rPr>
          <w:rFonts w:ascii="Arial" w:hAnsi="Arial" w:cs="Arial"/>
          <w:bCs/>
        </w:rPr>
        <w:t>Kuta</w:t>
      </w:r>
      <w:proofErr w:type="spellEnd"/>
      <w:r>
        <w:rPr>
          <w:rFonts w:ascii="Arial" w:hAnsi="Arial" w:cs="Arial"/>
          <w:bCs/>
        </w:rPr>
        <w:t>,</w:t>
      </w:r>
      <w:r w:rsidR="00DA1E75">
        <w:rPr>
          <w:rFonts w:ascii="Arial" w:hAnsi="Arial" w:cs="Arial"/>
          <w:bCs/>
        </w:rPr>
        <w:t xml:space="preserve"> and </w:t>
      </w:r>
    </w:p>
    <w:p w:rsidR="00026901" w:rsidRDefault="00DA1E75" w:rsidP="0078755B">
      <w:pPr>
        <w:numPr>
          <w:ilvl w:val="0"/>
          <w:numId w:val="6"/>
        </w:numPr>
        <w:ind w:left="714" w:hanging="357"/>
        <w:rPr>
          <w:rFonts w:ascii="Arial" w:hAnsi="Arial" w:cs="Arial"/>
          <w:bCs/>
        </w:rPr>
      </w:pPr>
      <w:r>
        <w:rPr>
          <w:rFonts w:ascii="Arial" w:hAnsi="Arial" w:cs="Arial"/>
          <w:bCs/>
        </w:rPr>
        <w:t>in the vicinity of th</w:t>
      </w:r>
      <w:r w:rsidR="00026901">
        <w:rPr>
          <w:rFonts w:ascii="Arial" w:hAnsi="Arial" w:cs="Arial"/>
          <w:bCs/>
        </w:rPr>
        <w:t xml:space="preserve">e US Consulate, </w:t>
      </w:r>
      <w:proofErr w:type="spellStart"/>
      <w:r w:rsidR="00026901">
        <w:rPr>
          <w:rFonts w:ascii="Arial" w:hAnsi="Arial" w:cs="Arial"/>
          <w:bCs/>
        </w:rPr>
        <w:t>Renon</w:t>
      </w:r>
      <w:proofErr w:type="spellEnd"/>
      <w:r w:rsidR="00026901">
        <w:rPr>
          <w:rFonts w:ascii="Arial" w:hAnsi="Arial" w:cs="Arial"/>
          <w:bCs/>
        </w:rPr>
        <w:t>, Denpasar</w:t>
      </w:r>
    </w:p>
    <w:p w:rsidR="00D75D55" w:rsidRDefault="00DA1E75" w:rsidP="00751481">
      <w:pPr>
        <w:rPr>
          <w:rFonts w:ascii="Arial" w:hAnsi="Arial" w:cs="Arial"/>
          <w:bCs/>
        </w:rPr>
      </w:pPr>
      <w:proofErr w:type="gramStart"/>
      <w:r>
        <w:rPr>
          <w:rFonts w:ascii="Arial" w:hAnsi="Arial" w:cs="Arial"/>
          <w:bCs/>
        </w:rPr>
        <w:t>in</w:t>
      </w:r>
      <w:proofErr w:type="gramEnd"/>
      <w:r>
        <w:rPr>
          <w:rFonts w:ascii="Arial" w:hAnsi="Arial" w:cs="Arial"/>
          <w:bCs/>
        </w:rPr>
        <w:t xml:space="preserve"> B</w:t>
      </w:r>
      <w:r w:rsidR="00B76BDE">
        <w:rPr>
          <w:rFonts w:ascii="Arial" w:hAnsi="Arial" w:cs="Arial"/>
          <w:bCs/>
        </w:rPr>
        <w:t>ali, Indonesia on 12 October </w:t>
      </w:r>
      <w:r>
        <w:rPr>
          <w:rFonts w:ascii="Arial" w:hAnsi="Arial" w:cs="Arial"/>
          <w:bCs/>
        </w:rPr>
        <w:t>2002</w:t>
      </w:r>
      <w:r w:rsidR="0041591D">
        <w:rPr>
          <w:rFonts w:ascii="Arial" w:hAnsi="Arial" w:cs="Arial"/>
          <w:bCs/>
        </w:rPr>
        <w:t xml:space="preserve"> is a decl</w:t>
      </w:r>
      <w:r w:rsidR="00751481">
        <w:rPr>
          <w:rFonts w:ascii="Arial" w:hAnsi="Arial" w:cs="Arial"/>
          <w:bCs/>
        </w:rPr>
        <w:t>ared overseas terrorist act for</w:t>
      </w:r>
      <w:r w:rsidR="00B76BDE">
        <w:rPr>
          <w:rFonts w:ascii="Arial" w:hAnsi="Arial" w:cs="Arial"/>
          <w:bCs/>
        </w:rPr>
        <w:t xml:space="preserve"> the purposes of subsection </w:t>
      </w:r>
      <w:r w:rsidR="0041591D">
        <w:rPr>
          <w:rFonts w:ascii="Arial" w:hAnsi="Arial" w:cs="Arial"/>
          <w:bCs/>
        </w:rPr>
        <w:t>35B(1) of the Act</w:t>
      </w:r>
      <w:r>
        <w:rPr>
          <w:rFonts w:ascii="Arial" w:hAnsi="Arial" w:cs="Arial"/>
          <w:bCs/>
        </w:rPr>
        <w:t xml:space="preserve">.  </w:t>
      </w:r>
    </w:p>
    <w:p w:rsidR="00783E73" w:rsidRDefault="003E0BA4" w:rsidP="00783E73">
      <w:pPr>
        <w:spacing w:before="240"/>
        <w:rPr>
          <w:rFonts w:ascii="Arial" w:hAnsi="Arial" w:cs="Arial"/>
          <w:bCs/>
        </w:rPr>
      </w:pPr>
      <w:r>
        <w:rPr>
          <w:rFonts w:ascii="Arial" w:hAnsi="Arial" w:cs="Arial"/>
          <w:bCs/>
        </w:rPr>
        <w:t>Subsection 4(3) provides that the</w:t>
      </w:r>
      <w:r w:rsidR="00783E73">
        <w:rPr>
          <w:rFonts w:ascii="Arial" w:hAnsi="Arial" w:cs="Arial"/>
          <w:bCs/>
        </w:rPr>
        <w:t xml:space="preserve"> </w:t>
      </w:r>
      <w:r>
        <w:rPr>
          <w:rFonts w:ascii="Arial" w:hAnsi="Arial" w:cs="Arial"/>
          <w:bCs/>
        </w:rPr>
        <w:t>bus bombing</w:t>
      </w:r>
      <w:r w:rsidR="002D7040">
        <w:rPr>
          <w:rFonts w:ascii="Arial" w:hAnsi="Arial" w:cs="Arial"/>
          <w:bCs/>
        </w:rPr>
        <w:t xml:space="preserve">s at </w:t>
      </w:r>
      <w:proofErr w:type="spellStart"/>
      <w:r w:rsidR="002D7040">
        <w:rPr>
          <w:rFonts w:ascii="Arial" w:hAnsi="Arial" w:cs="Arial"/>
          <w:bCs/>
        </w:rPr>
        <w:t>Tavistoc</w:t>
      </w:r>
      <w:r w:rsidR="00783E73">
        <w:rPr>
          <w:rFonts w:ascii="Arial" w:hAnsi="Arial" w:cs="Arial"/>
          <w:bCs/>
        </w:rPr>
        <w:t>k</w:t>
      </w:r>
      <w:proofErr w:type="spellEnd"/>
      <w:r w:rsidR="00783E73">
        <w:rPr>
          <w:rFonts w:ascii="Arial" w:hAnsi="Arial" w:cs="Arial"/>
          <w:bCs/>
        </w:rPr>
        <w:t xml:space="preserve"> Square and the train bombings:</w:t>
      </w:r>
    </w:p>
    <w:p w:rsidR="00783E73" w:rsidRDefault="00783E73" w:rsidP="0078755B">
      <w:pPr>
        <w:numPr>
          <w:ilvl w:val="0"/>
          <w:numId w:val="4"/>
        </w:numPr>
        <w:ind w:left="714" w:hanging="357"/>
        <w:rPr>
          <w:rFonts w:ascii="Arial" w:hAnsi="Arial" w:cs="Arial"/>
          <w:bCs/>
        </w:rPr>
      </w:pPr>
      <w:r>
        <w:rPr>
          <w:rFonts w:ascii="Arial" w:hAnsi="Arial" w:cs="Arial"/>
          <w:bCs/>
        </w:rPr>
        <w:t>in the Circle Line tunnel between Liverpool Street and Aldgate stations,</w:t>
      </w:r>
    </w:p>
    <w:p w:rsidR="00783E73" w:rsidRDefault="00783E73" w:rsidP="0078755B">
      <w:pPr>
        <w:numPr>
          <w:ilvl w:val="0"/>
          <w:numId w:val="4"/>
        </w:numPr>
        <w:ind w:left="714" w:hanging="357"/>
        <w:rPr>
          <w:rFonts w:ascii="Arial" w:hAnsi="Arial" w:cs="Arial"/>
          <w:bCs/>
        </w:rPr>
      </w:pPr>
      <w:r>
        <w:rPr>
          <w:rFonts w:ascii="Arial" w:hAnsi="Arial" w:cs="Arial"/>
          <w:bCs/>
        </w:rPr>
        <w:t xml:space="preserve">on the Circle Line outside Edgware Road, and </w:t>
      </w:r>
    </w:p>
    <w:p w:rsidR="00783E73" w:rsidRDefault="00783E73" w:rsidP="0078755B">
      <w:pPr>
        <w:numPr>
          <w:ilvl w:val="0"/>
          <w:numId w:val="4"/>
        </w:numPr>
        <w:ind w:left="714" w:hanging="357"/>
        <w:rPr>
          <w:rFonts w:ascii="Arial" w:hAnsi="Arial" w:cs="Arial"/>
          <w:bCs/>
        </w:rPr>
      </w:pPr>
      <w:r>
        <w:rPr>
          <w:rFonts w:ascii="Arial" w:hAnsi="Arial" w:cs="Arial"/>
          <w:bCs/>
        </w:rPr>
        <w:t>in the Piccadilly Line tunnel between King’s Cross and Russell Square</w:t>
      </w:r>
    </w:p>
    <w:p w:rsidR="002D7040" w:rsidRDefault="00783E73" w:rsidP="00783E73">
      <w:pPr>
        <w:rPr>
          <w:rFonts w:ascii="Arial" w:hAnsi="Arial" w:cs="Arial"/>
          <w:bCs/>
        </w:rPr>
      </w:pPr>
      <w:proofErr w:type="gramStart"/>
      <w:r>
        <w:rPr>
          <w:rFonts w:ascii="Arial" w:hAnsi="Arial" w:cs="Arial"/>
          <w:bCs/>
        </w:rPr>
        <w:t>in</w:t>
      </w:r>
      <w:proofErr w:type="gramEnd"/>
      <w:r>
        <w:rPr>
          <w:rFonts w:ascii="Arial" w:hAnsi="Arial" w:cs="Arial"/>
          <w:bCs/>
        </w:rPr>
        <w:t xml:space="preserve"> London, United Kingdom </w:t>
      </w:r>
      <w:r w:rsidR="00E7105C">
        <w:rPr>
          <w:rFonts w:ascii="Arial" w:hAnsi="Arial" w:cs="Arial"/>
          <w:bCs/>
        </w:rPr>
        <w:t>on 7 July </w:t>
      </w:r>
      <w:r w:rsidR="002D7040">
        <w:rPr>
          <w:rFonts w:ascii="Arial" w:hAnsi="Arial" w:cs="Arial"/>
          <w:bCs/>
        </w:rPr>
        <w:t xml:space="preserve">2005 is a declared overseas terrorist </w:t>
      </w:r>
      <w:r>
        <w:rPr>
          <w:rFonts w:ascii="Arial" w:hAnsi="Arial" w:cs="Arial"/>
          <w:bCs/>
        </w:rPr>
        <w:t>act for the purposes of sub</w:t>
      </w:r>
      <w:r w:rsidR="00E7105C">
        <w:rPr>
          <w:rFonts w:ascii="Arial" w:hAnsi="Arial" w:cs="Arial"/>
          <w:bCs/>
        </w:rPr>
        <w:t>section </w:t>
      </w:r>
      <w:r>
        <w:rPr>
          <w:rFonts w:ascii="Arial" w:hAnsi="Arial" w:cs="Arial"/>
          <w:bCs/>
        </w:rPr>
        <w:t>35B(1) of the Act.</w:t>
      </w:r>
    </w:p>
    <w:p w:rsidR="00783E73" w:rsidRDefault="0041591D" w:rsidP="002E42B8">
      <w:pPr>
        <w:spacing w:before="240"/>
        <w:rPr>
          <w:rFonts w:ascii="Arial" w:hAnsi="Arial" w:cs="Arial"/>
          <w:bCs/>
        </w:rPr>
      </w:pPr>
      <w:r>
        <w:rPr>
          <w:rFonts w:ascii="Arial" w:hAnsi="Arial" w:cs="Arial"/>
          <w:bCs/>
        </w:rPr>
        <w:t xml:space="preserve">Subsection 4(4) provides that the suicide bombings </w:t>
      </w:r>
      <w:proofErr w:type="gramStart"/>
      <w:r w:rsidR="002D7040">
        <w:rPr>
          <w:rFonts w:ascii="Arial" w:hAnsi="Arial" w:cs="Arial"/>
          <w:bCs/>
        </w:rPr>
        <w:t>in the vicinity of</w:t>
      </w:r>
      <w:proofErr w:type="gramEnd"/>
      <w:r w:rsidR="00783E73">
        <w:rPr>
          <w:rFonts w:ascii="Arial" w:hAnsi="Arial" w:cs="Arial"/>
          <w:bCs/>
        </w:rPr>
        <w:t>:</w:t>
      </w:r>
    </w:p>
    <w:p w:rsidR="00783E73" w:rsidRDefault="00783E73" w:rsidP="0078755B">
      <w:pPr>
        <w:numPr>
          <w:ilvl w:val="0"/>
          <w:numId w:val="5"/>
        </w:numPr>
        <w:ind w:left="714" w:hanging="357"/>
        <w:rPr>
          <w:rFonts w:ascii="Arial" w:hAnsi="Arial" w:cs="Arial"/>
          <w:bCs/>
        </w:rPr>
      </w:pPr>
      <w:r w:rsidRPr="002D7040">
        <w:rPr>
          <w:rFonts w:ascii="Arial" w:hAnsi="Arial" w:cs="Arial"/>
          <w:bCs/>
        </w:rPr>
        <w:t xml:space="preserve">the Four Seasons Hotel, </w:t>
      </w:r>
      <w:proofErr w:type="spellStart"/>
      <w:r w:rsidRPr="002D7040">
        <w:rPr>
          <w:rFonts w:ascii="Arial" w:hAnsi="Arial" w:cs="Arial"/>
          <w:bCs/>
        </w:rPr>
        <w:t>Jimbaran</w:t>
      </w:r>
      <w:proofErr w:type="spellEnd"/>
      <w:r w:rsidRPr="002D7040">
        <w:rPr>
          <w:rFonts w:ascii="Arial" w:hAnsi="Arial" w:cs="Arial"/>
          <w:bCs/>
        </w:rPr>
        <w:t xml:space="preserve"> Beach, </w:t>
      </w:r>
      <w:proofErr w:type="spellStart"/>
      <w:r w:rsidRPr="002D7040">
        <w:rPr>
          <w:rFonts w:ascii="Arial" w:hAnsi="Arial" w:cs="Arial"/>
          <w:bCs/>
        </w:rPr>
        <w:t>Kuta</w:t>
      </w:r>
      <w:proofErr w:type="spellEnd"/>
    </w:p>
    <w:p w:rsidR="00783E73" w:rsidRDefault="00783E73" w:rsidP="0078755B">
      <w:pPr>
        <w:numPr>
          <w:ilvl w:val="0"/>
          <w:numId w:val="5"/>
        </w:numPr>
        <w:ind w:left="714" w:hanging="357"/>
        <w:rPr>
          <w:rFonts w:ascii="Arial" w:hAnsi="Arial" w:cs="Arial"/>
          <w:bCs/>
        </w:rPr>
      </w:pPr>
      <w:r>
        <w:rPr>
          <w:rFonts w:ascii="Arial" w:hAnsi="Arial" w:cs="Arial"/>
          <w:bCs/>
        </w:rPr>
        <w:t xml:space="preserve">the </w:t>
      </w:r>
      <w:proofErr w:type="spellStart"/>
      <w:r>
        <w:rPr>
          <w:rFonts w:ascii="Arial" w:hAnsi="Arial" w:cs="Arial"/>
          <w:bCs/>
        </w:rPr>
        <w:t>Kuta</w:t>
      </w:r>
      <w:proofErr w:type="spellEnd"/>
      <w:r>
        <w:rPr>
          <w:rFonts w:ascii="Arial" w:hAnsi="Arial" w:cs="Arial"/>
          <w:bCs/>
        </w:rPr>
        <w:t xml:space="preserve"> Shopping Centre, </w:t>
      </w:r>
      <w:proofErr w:type="spellStart"/>
      <w:r>
        <w:rPr>
          <w:rFonts w:ascii="Arial" w:hAnsi="Arial" w:cs="Arial"/>
          <w:bCs/>
        </w:rPr>
        <w:t>Kuta</w:t>
      </w:r>
      <w:proofErr w:type="spellEnd"/>
      <w:r>
        <w:rPr>
          <w:rFonts w:ascii="Arial" w:hAnsi="Arial" w:cs="Arial"/>
          <w:bCs/>
        </w:rPr>
        <w:t>, and</w:t>
      </w:r>
    </w:p>
    <w:p w:rsidR="00783E73" w:rsidRPr="002D7040" w:rsidRDefault="00751481" w:rsidP="0078755B">
      <w:pPr>
        <w:numPr>
          <w:ilvl w:val="0"/>
          <w:numId w:val="5"/>
        </w:numPr>
        <w:ind w:left="714" w:hanging="357"/>
        <w:rPr>
          <w:rFonts w:ascii="Arial" w:hAnsi="Arial" w:cs="Arial"/>
          <w:bCs/>
        </w:rPr>
      </w:pPr>
      <w:r>
        <w:rPr>
          <w:rFonts w:ascii="Arial" w:hAnsi="Arial" w:cs="Arial"/>
          <w:bCs/>
        </w:rPr>
        <w:t xml:space="preserve">the </w:t>
      </w:r>
      <w:r w:rsidR="00783E73">
        <w:rPr>
          <w:rFonts w:ascii="Arial" w:hAnsi="Arial" w:cs="Arial"/>
          <w:bCs/>
        </w:rPr>
        <w:t xml:space="preserve">Raja Bar and Restaurant, </w:t>
      </w:r>
      <w:proofErr w:type="spellStart"/>
      <w:r w:rsidR="00783E73">
        <w:rPr>
          <w:rFonts w:ascii="Arial" w:hAnsi="Arial" w:cs="Arial"/>
          <w:bCs/>
        </w:rPr>
        <w:t>Kuta</w:t>
      </w:r>
      <w:proofErr w:type="spellEnd"/>
    </w:p>
    <w:p w:rsidR="002D7040" w:rsidRDefault="00783E73" w:rsidP="00783E73">
      <w:pPr>
        <w:rPr>
          <w:rFonts w:ascii="Arial" w:hAnsi="Arial" w:cs="Arial"/>
          <w:bCs/>
        </w:rPr>
      </w:pPr>
      <w:proofErr w:type="gramStart"/>
      <w:r>
        <w:rPr>
          <w:rFonts w:ascii="Arial" w:hAnsi="Arial" w:cs="Arial"/>
          <w:bCs/>
        </w:rPr>
        <w:t>in</w:t>
      </w:r>
      <w:proofErr w:type="gramEnd"/>
      <w:r>
        <w:rPr>
          <w:rFonts w:ascii="Arial" w:hAnsi="Arial" w:cs="Arial"/>
          <w:bCs/>
        </w:rPr>
        <w:t xml:space="preserve"> Bali, Indonesia </w:t>
      </w:r>
      <w:r w:rsidR="00E7105C">
        <w:rPr>
          <w:rFonts w:ascii="Arial" w:hAnsi="Arial" w:cs="Arial"/>
          <w:bCs/>
        </w:rPr>
        <w:t>on 1 October </w:t>
      </w:r>
      <w:r w:rsidR="002D7040">
        <w:rPr>
          <w:rFonts w:ascii="Arial" w:hAnsi="Arial" w:cs="Arial"/>
          <w:bCs/>
        </w:rPr>
        <w:t xml:space="preserve">2005 is a declared overseas terrorist act for the purposes </w:t>
      </w:r>
      <w:r w:rsidR="00E7105C">
        <w:rPr>
          <w:rFonts w:ascii="Arial" w:hAnsi="Arial" w:cs="Arial"/>
          <w:bCs/>
        </w:rPr>
        <w:t>of subsection </w:t>
      </w:r>
      <w:r>
        <w:rPr>
          <w:rFonts w:ascii="Arial" w:hAnsi="Arial" w:cs="Arial"/>
          <w:bCs/>
        </w:rPr>
        <w:t>35B(1) of the Act.</w:t>
      </w:r>
    </w:p>
    <w:p w:rsidR="00783E73" w:rsidRDefault="0041591D" w:rsidP="009A0CEF">
      <w:pPr>
        <w:spacing w:before="240"/>
        <w:rPr>
          <w:rFonts w:ascii="Arial" w:hAnsi="Arial" w:cs="Arial"/>
          <w:bCs/>
        </w:rPr>
      </w:pPr>
      <w:r w:rsidRPr="002D7040">
        <w:rPr>
          <w:rFonts w:ascii="Arial" w:hAnsi="Arial" w:cs="Arial"/>
          <w:bCs/>
        </w:rPr>
        <w:lastRenderedPageBreak/>
        <w:t xml:space="preserve">Subsection 4(5) </w:t>
      </w:r>
      <w:r w:rsidR="009A0CEF">
        <w:rPr>
          <w:rFonts w:ascii="Arial" w:hAnsi="Arial" w:cs="Arial"/>
          <w:bCs/>
        </w:rPr>
        <w:t xml:space="preserve">provides that </w:t>
      </w:r>
      <w:r w:rsidR="009A0CEF" w:rsidRPr="009A0CEF">
        <w:rPr>
          <w:rFonts w:ascii="Arial" w:hAnsi="Arial" w:cs="Arial"/>
          <w:bCs/>
        </w:rPr>
        <w:t xml:space="preserve">the bombings </w:t>
      </w:r>
      <w:proofErr w:type="gramStart"/>
      <w:r w:rsidR="00783E73">
        <w:rPr>
          <w:rFonts w:ascii="Arial" w:hAnsi="Arial" w:cs="Arial"/>
          <w:bCs/>
        </w:rPr>
        <w:t>in the vicinity of</w:t>
      </w:r>
      <w:proofErr w:type="gramEnd"/>
      <w:r w:rsidR="00783E73">
        <w:rPr>
          <w:rFonts w:ascii="Arial" w:hAnsi="Arial" w:cs="Arial"/>
          <w:bCs/>
        </w:rPr>
        <w:t>:</w:t>
      </w:r>
    </w:p>
    <w:p w:rsidR="00783E73" w:rsidRPr="009A0CEF" w:rsidRDefault="00751481" w:rsidP="0078755B">
      <w:pPr>
        <w:numPr>
          <w:ilvl w:val="0"/>
          <w:numId w:val="5"/>
        </w:numPr>
        <w:ind w:left="714" w:hanging="357"/>
        <w:rPr>
          <w:rFonts w:ascii="Arial" w:hAnsi="Arial" w:cs="Arial"/>
          <w:bCs/>
        </w:rPr>
      </w:pPr>
      <w:r>
        <w:rPr>
          <w:rFonts w:ascii="Arial" w:hAnsi="Arial" w:cs="Arial"/>
          <w:bCs/>
        </w:rPr>
        <w:t xml:space="preserve">the </w:t>
      </w:r>
      <w:r w:rsidR="00783E73" w:rsidRPr="009A0CEF">
        <w:rPr>
          <w:rFonts w:ascii="Arial" w:hAnsi="Arial" w:cs="Arial"/>
          <w:bCs/>
        </w:rPr>
        <w:t xml:space="preserve">Nelson restaurant, </w:t>
      </w:r>
    </w:p>
    <w:p w:rsidR="00783E73" w:rsidRDefault="00783E73" w:rsidP="0078755B">
      <w:pPr>
        <w:numPr>
          <w:ilvl w:val="0"/>
          <w:numId w:val="5"/>
        </w:numPr>
        <w:ind w:left="714" w:hanging="357"/>
        <w:rPr>
          <w:rFonts w:ascii="Arial" w:hAnsi="Arial" w:cs="Arial"/>
          <w:bCs/>
        </w:rPr>
      </w:pPr>
      <w:r w:rsidRPr="00783E73">
        <w:rPr>
          <w:rFonts w:ascii="Arial" w:hAnsi="Arial" w:cs="Arial"/>
          <w:bCs/>
        </w:rPr>
        <w:t xml:space="preserve">the Aladdin café, and </w:t>
      </w:r>
    </w:p>
    <w:p w:rsidR="00783E73" w:rsidRPr="00783E73" w:rsidRDefault="00783E73" w:rsidP="0078755B">
      <w:pPr>
        <w:numPr>
          <w:ilvl w:val="0"/>
          <w:numId w:val="5"/>
        </w:numPr>
        <w:ind w:left="714" w:hanging="357"/>
        <w:rPr>
          <w:rFonts w:ascii="Arial" w:hAnsi="Arial" w:cs="Arial"/>
          <w:bCs/>
        </w:rPr>
      </w:pPr>
      <w:r w:rsidRPr="00783E73">
        <w:rPr>
          <w:rFonts w:ascii="Arial" w:hAnsi="Arial" w:cs="Arial"/>
          <w:bCs/>
        </w:rPr>
        <w:t xml:space="preserve">the </w:t>
      </w:r>
      <w:proofErr w:type="spellStart"/>
      <w:r w:rsidRPr="00783E73">
        <w:rPr>
          <w:rFonts w:ascii="Arial" w:hAnsi="Arial" w:cs="Arial"/>
          <w:bCs/>
        </w:rPr>
        <w:t>Ghazala</w:t>
      </w:r>
      <w:proofErr w:type="spellEnd"/>
      <w:r w:rsidRPr="00783E73">
        <w:rPr>
          <w:rFonts w:ascii="Arial" w:hAnsi="Arial" w:cs="Arial"/>
          <w:bCs/>
        </w:rPr>
        <w:t xml:space="preserve"> market </w:t>
      </w:r>
    </w:p>
    <w:p w:rsidR="009A0CEF" w:rsidRPr="009A0CEF" w:rsidRDefault="00751481" w:rsidP="00783E73">
      <w:pPr>
        <w:rPr>
          <w:rFonts w:ascii="Arial" w:hAnsi="Arial" w:cs="Arial"/>
          <w:bCs/>
        </w:rPr>
      </w:pPr>
      <w:proofErr w:type="gramStart"/>
      <w:r>
        <w:rPr>
          <w:rFonts w:ascii="Arial" w:hAnsi="Arial" w:cs="Arial"/>
          <w:bCs/>
        </w:rPr>
        <w:t>in</w:t>
      </w:r>
      <w:proofErr w:type="gramEnd"/>
      <w:r>
        <w:rPr>
          <w:rFonts w:ascii="Arial" w:hAnsi="Arial" w:cs="Arial"/>
          <w:bCs/>
        </w:rPr>
        <w:t xml:space="preserve"> </w:t>
      </w:r>
      <w:proofErr w:type="spellStart"/>
      <w:r>
        <w:rPr>
          <w:rFonts w:ascii="Arial" w:hAnsi="Arial" w:cs="Arial"/>
          <w:bCs/>
        </w:rPr>
        <w:t>Dahab</w:t>
      </w:r>
      <w:proofErr w:type="spellEnd"/>
      <w:r>
        <w:rPr>
          <w:rFonts w:ascii="Arial" w:hAnsi="Arial" w:cs="Arial"/>
          <w:bCs/>
        </w:rPr>
        <w:t xml:space="preserve">, </w:t>
      </w:r>
      <w:r w:rsidR="009A0CEF" w:rsidRPr="009A0CEF">
        <w:rPr>
          <w:rFonts w:ascii="Arial" w:hAnsi="Arial" w:cs="Arial"/>
          <w:bCs/>
        </w:rPr>
        <w:t xml:space="preserve">Egypt </w:t>
      </w:r>
      <w:r w:rsidR="00E7105C">
        <w:rPr>
          <w:rFonts w:ascii="Arial" w:hAnsi="Arial" w:cs="Arial"/>
          <w:bCs/>
        </w:rPr>
        <w:t>on 24 April </w:t>
      </w:r>
      <w:r w:rsidR="00783E73" w:rsidRPr="009A0CEF">
        <w:rPr>
          <w:rFonts w:ascii="Arial" w:hAnsi="Arial" w:cs="Arial"/>
          <w:bCs/>
        </w:rPr>
        <w:t>2006</w:t>
      </w:r>
      <w:r w:rsidR="00783E73">
        <w:rPr>
          <w:rFonts w:ascii="Arial" w:hAnsi="Arial" w:cs="Arial"/>
          <w:bCs/>
        </w:rPr>
        <w:t xml:space="preserve"> </w:t>
      </w:r>
      <w:r w:rsidR="009A0CEF" w:rsidRPr="009A0CEF">
        <w:rPr>
          <w:rFonts w:ascii="Arial" w:hAnsi="Arial" w:cs="Arial"/>
          <w:bCs/>
        </w:rPr>
        <w:t>is a declared overseas terrorist act</w:t>
      </w:r>
      <w:r w:rsidR="00783E73">
        <w:rPr>
          <w:rFonts w:ascii="Arial" w:hAnsi="Arial" w:cs="Arial"/>
          <w:bCs/>
        </w:rPr>
        <w:t xml:space="preserve"> for the purposes of</w:t>
      </w:r>
      <w:r w:rsidR="00783E73" w:rsidRPr="00783E73">
        <w:rPr>
          <w:rFonts w:ascii="Arial" w:hAnsi="Arial" w:cs="Arial"/>
          <w:bCs/>
        </w:rPr>
        <w:t xml:space="preserve"> </w:t>
      </w:r>
      <w:r w:rsidR="00E7105C">
        <w:rPr>
          <w:rFonts w:ascii="Arial" w:hAnsi="Arial" w:cs="Arial"/>
          <w:bCs/>
        </w:rPr>
        <w:t>subsection </w:t>
      </w:r>
      <w:r w:rsidR="00783E73">
        <w:rPr>
          <w:rFonts w:ascii="Arial" w:hAnsi="Arial" w:cs="Arial"/>
          <w:bCs/>
        </w:rPr>
        <w:t>35B(1) of the Act.</w:t>
      </w:r>
    </w:p>
    <w:p w:rsidR="0041591D" w:rsidRDefault="009A0CEF" w:rsidP="002D7040">
      <w:pPr>
        <w:spacing w:before="240"/>
        <w:rPr>
          <w:rFonts w:ascii="Arial" w:hAnsi="Arial" w:cs="Arial"/>
          <w:bCs/>
        </w:rPr>
      </w:pPr>
      <w:r>
        <w:rPr>
          <w:rFonts w:ascii="Arial" w:hAnsi="Arial" w:cs="Arial"/>
          <w:bCs/>
        </w:rPr>
        <w:t xml:space="preserve">Subsection 4(6) </w:t>
      </w:r>
      <w:r w:rsidR="002D7040">
        <w:rPr>
          <w:rFonts w:ascii="Arial" w:hAnsi="Arial" w:cs="Arial"/>
          <w:bCs/>
        </w:rPr>
        <w:t xml:space="preserve">provides that the small arms assault </w:t>
      </w:r>
      <w:r w:rsidR="00783E73">
        <w:rPr>
          <w:rFonts w:ascii="Arial" w:hAnsi="Arial" w:cs="Arial"/>
          <w:bCs/>
        </w:rPr>
        <w:t xml:space="preserve">that occurred </w:t>
      </w:r>
      <w:proofErr w:type="gramStart"/>
      <w:r w:rsidR="00783E73">
        <w:rPr>
          <w:rFonts w:ascii="Arial" w:hAnsi="Arial" w:cs="Arial"/>
          <w:bCs/>
        </w:rPr>
        <w:t xml:space="preserve">in </w:t>
      </w:r>
      <w:r w:rsidR="000C188C">
        <w:rPr>
          <w:rFonts w:ascii="Arial" w:hAnsi="Arial" w:cs="Arial"/>
          <w:bCs/>
        </w:rPr>
        <w:t xml:space="preserve">the </w:t>
      </w:r>
      <w:r w:rsidR="00783E73">
        <w:rPr>
          <w:rFonts w:ascii="Arial" w:hAnsi="Arial" w:cs="Arial"/>
          <w:bCs/>
        </w:rPr>
        <w:t>vicinity of</w:t>
      </w:r>
      <w:proofErr w:type="gramEnd"/>
      <w:r w:rsidR="00783E73">
        <w:rPr>
          <w:rFonts w:ascii="Arial" w:hAnsi="Arial" w:cs="Arial"/>
          <w:bCs/>
        </w:rPr>
        <w:t>:</w:t>
      </w:r>
    </w:p>
    <w:p w:rsidR="009A0CEF" w:rsidRDefault="009A0CEF" w:rsidP="0078755B">
      <w:pPr>
        <w:numPr>
          <w:ilvl w:val="0"/>
          <w:numId w:val="5"/>
        </w:numPr>
        <w:ind w:left="714" w:hanging="357"/>
        <w:rPr>
          <w:rFonts w:ascii="Arial" w:hAnsi="Arial" w:cs="Arial"/>
          <w:bCs/>
        </w:rPr>
      </w:pPr>
      <w:proofErr w:type="spellStart"/>
      <w:r>
        <w:rPr>
          <w:rFonts w:ascii="Arial" w:hAnsi="Arial" w:cs="Arial"/>
          <w:bCs/>
        </w:rPr>
        <w:t>Chatrapati</w:t>
      </w:r>
      <w:proofErr w:type="spellEnd"/>
      <w:r>
        <w:rPr>
          <w:rFonts w:ascii="Arial" w:hAnsi="Arial" w:cs="Arial"/>
          <w:bCs/>
        </w:rPr>
        <w:t xml:space="preserve"> </w:t>
      </w:r>
      <w:proofErr w:type="spellStart"/>
      <w:r>
        <w:rPr>
          <w:rFonts w:ascii="Arial" w:hAnsi="Arial" w:cs="Arial"/>
          <w:bCs/>
        </w:rPr>
        <w:t>Shivaji</w:t>
      </w:r>
      <w:proofErr w:type="spellEnd"/>
      <w:r>
        <w:rPr>
          <w:rFonts w:ascii="Arial" w:hAnsi="Arial" w:cs="Arial"/>
          <w:bCs/>
        </w:rPr>
        <w:t xml:space="preserve"> Terminus</w:t>
      </w:r>
    </w:p>
    <w:p w:rsidR="009A0CEF" w:rsidRDefault="009A0CEF" w:rsidP="0078755B">
      <w:pPr>
        <w:numPr>
          <w:ilvl w:val="0"/>
          <w:numId w:val="5"/>
        </w:numPr>
        <w:ind w:left="714" w:hanging="357"/>
        <w:rPr>
          <w:rFonts w:ascii="Arial" w:hAnsi="Arial" w:cs="Arial"/>
          <w:bCs/>
        </w:rPr>
      </w:pPr>
      <w:r>
        <w:rPr>
          <w:rFonts w:ascii="Arial" w:hAnsi="Arial" w:cs="Arial"/>
          <w:bCs/>
        </w:rPr>
        <w:t>Leopold Café</w:t>
      </w:r>
    </w:p>
    <w:p w:rsidR="009A0CEF" w:rsidRDefault="009A0CEF" w:rsidP="0078755B">
      <w:pPr>
        <w:numPr>
          <w:ilvl w:val="0"/>
          <w:numId w:val="5"/>
        </w:numPr>
        <w:ind w:left="714" w:hanging="357"/>
        <w:rPr>
          <w:rFonts w:ascii="Arial" w:hAnsi="Arial" w:cs="Arial"/>
          <w:bCs/>
        </w:rPr>
      </w:pPr>
      <w:r>
        <w:rPr>
          <w:rFonts w:ascii="Arial" w:hAnsi="Arial" w:cs="Arial"/>
          <w:bCs/>
        </w:rPr>
        <w:t>Taj Hotel</w:t>
      </w:r>
    </w:p>
    <w:p w:rsidR="009A0CEF" w:rsidRDefault="009A0CEF" w:rsidP="0078755B">
      <w:pPr>
        <w:numPr>
          <w:ilvl w:val="0"/>
          <w:numId w:val="5"/>
        </w:numPr>
        <w:ind w:left="714" w:hanging="357"/>
        <w:rPr>
          <w:rFonts w:ascii="Arial" w:hAnsi="Arial" w:cs="Arial"/>
          <w:bCs/>
        </w:rPr>
      </w:pPr>
      <w:proofErr w:type="spellStart"/>
      <w:r>
        <w:rPr>
          <w:rFonts w:ascii="Arial" w:hAnsi="Arial" w:cs="Arial"/>
          <w:bCs/>
        </w:rPr>
        <w:t>Oberoi</w:t>
      </w:r>
      <w:proofErr w:type="spellEnd"/>
      <w:r>
        <w:rPr>
          <w:rFonts w:ascii="Arial" w:hAnsi="Arial" w:cs="Arial"/>
          <w:bCs/>
        </w:rPr>
        <w:t xml:space="preserve"> – Trident Hotel</w:t>
      </w:r>
      <w:r w:rsidR="00783E73">
        <w:rPr>
          <w:rFonts w:ascii="Arial" w:hAnsi="Arial" w:cs="Arial"/>
          <w:bCs/>
        </w:rPr>
        <w:t>, and</w:t>
      </w:r>
    </w:p>
    <w:p w:rsidR="009A0CEF" w:rsidRDefault="009A0CEF" w:rsidP="0078755B">
      <w:pPr>
        <w:numPr>
          <w:ilvl w:val="0"/>
          <w:numId w:val="5"/>
        </w:numPr>
        <w:ind w:left="714" w:hanging="357"/>
        <w:rPr>
          <w:rFonts w:ascii="Arial" w:hAnsi="Arial" w:cs="Arial"/>
          <w:bCs/>
        </w:rPr>
      </w:pPr>
      <w:proofErr w:type="spellStart"/>
      <w:r>
        <w:rPr>
          <w:rFonts w:ascii="Arial" w:hAnsi="Arial" w:cs="Arial"/>
          <w:bCs/>
        </w:rPr>
        <w:t>Nariman</w:t>
      </w:r>
      <w:proofErr w:type="spellEnd"/>
      <w:r>
        <w:rPr>
          <w:rFonts w:ascii="Arial" w:hAnsi="Arial" w:cs="Arial"/>
          <w:bCs/>
        </w:rPr>
        <w:t xml:space="preserve"> House</w:t>
      </w:r>
    </w:p>
    <w:p w:rsidR="00783E73" w:rsidRDefault="00783E73" w:rsidP="00783E73">
      <w:pPr>
        <w:rPr>
          <w:rFonts w:ascii="Arial" w:hAnsi="Arial" w:cs="Arial"/>
          <w:bCs/>
        </w:rPr>
      </w:pPr>
      <w:proofErr w:type="gramStart"/>
      <w:r>
        <w:rPr>
          <w:rFonts w:ascii="Arial" w:hAnsi="Arial" w:cs="Arial"/>
          <w:bCs/>
        </w:rPr>
        <w:t>in</w:t>
      </w:r>
      <w:proofErr w:type="gramEnd"/>
      <w:r>
        <w:rPr>
          <w:rFonts w:ascii="Arial" w:hAnsi="Arial" w:cs="Arial"/>
          <w:bCs/>
        </w:rPr>
        <w:t xml:space="preserve"> Mumbai, India between 26 Nov</w:t>
      </w:r>
      <w:r w:rsidR="00E7105C">
        <w:rPr>
          <w:rFonts w:ascii="Arial" w:hAnsi="Arial" w:cs="Arial"/>
          <w:bCs/>
        </w:rPr>
        <w:t>ember 2008</w:t>
      </w:r>
      <w:r w:rsidR="000C188C">
        <w:rPr>
          <w:rFonts w:ascii="Arial" w:hAnsi="Arial" w:cs="Arial"/>
          <w:bCs/>
        </w:rPr>
        <w:t xml:space="preserve"> and</w:t>
      </w:r>
      <w:r w:rsidR="003F68D6">
        <w:rPr>
          <w:rFonts w:ascii="Arial" w:hAnsi="Arial" w:cs="Arial"/>
          <w:bCs/>
        </w:rPr>
        <w:t xml:space="preserve"> </w:t>
      </w:r>
      <w:r>
        <w:rPr>
          <w:rFonts w:ascii="Arial" w:hAnsi="Arial" w:cs="Arial"/>
          <w:bCs/>
        </w:rPr>
        <w:t xml:space="preserve">28 November 2008 is a declared overseas terrorist act for the purposes of </w:t>
      </w:r>
      <w:r w:rsidR="00751481">
        <w:rPr>
          <w:rFonts w:ascii="Arial" w:hAnsi="Arial" w:cs="Arial"/>
          <w:bCs/>
        </w:rPr>
        <w:t>subsection </w:t>
      </w:r>
      <w:r>
        <w:rPr>
          <w:rFonts w:ascii="Arial" w:hAnsi="Arial" w:cs="Arial"/>
          <w:bCs/>
        </w:rPr>
        <w:t>35B(1) of the Act.</w:t>
      </w:r>
    </w:p>
    <w:p w:rsidR="009A0CEF" w:rsidRDefault="009A0CEF" w:rsidP="009A0CEF">
      <w:pPr>
        <w:spacing w:before="240"/>
        <w:rPr>
          <w:rFonts w:ascii="Arial" w:hAnsi="Arial" w:cs="Arial"/>
          <w:bCs/>
        </w:rPr>
      </w:pPr>
      <w:r>
        <w:rPr>
          <w:rFonts w:ascii="Arial" w:hAnsi="Arial" w:cs="Arial"/>
          <w:bCs/>
        </w:rPr>
        <w:t xml:space="preserve">Subsection 4(7) provides that the suicide bombings </w:t>
      </w:r>
      <w:r w:rsidR="00783E73">
        <w:rPr>
          <w:rFonts w:ascii="Arial" w:hAnsi="Arial" w:cs="Arial"/>
          <w:bCs/>
        </w:rPr>
        <w:t xml:space="preserve">in the vicinity of </w:t>
      </w:r>
      <w:r w:rsidR="00751481">
        <w:rPr>
          <w:rFonts w:ascii="Arial" w:hAnsi="Arial" w:cs="Arial"/>
          <w:bCs/>
        </w:rPr>
        <w:t>the JW </w:t>
      </w:r>
      <w:r>
        <w:rPr>
          <w:rFonts w:ascii="Arial" w:hAnsi="Arial" w:cs="Arial"/>
          <w:bCs/>
        </w:rPr>
        <w:t>Marriott and Ritz-Carlton hotels in Jakarta</w:t>
      </w:r>
      <w:r w:rsidR="00783E73">
        <w:rPr>
          <w:rFonts w:ascii="Arial" w:hAnsi="Arial" w:cs="Arial"/>
          <w:bCs/>
        </w:rPr>
        <w:t>,</w:t>
      </w:r>
      <w:r w:rsidR="00751481">
        <w:rPr>
          <w:rFonts w:ascii="Arial" w:hAnsi="Arial" w:cs="Arial"/>
          <w:bCs/>
        </w:rPr>
        <w:t xml:space="preserve"> Indonesia on 17 July </w:t>
      </w:r>
      <w:r>
        <w:rPr>
          <w:rFonts w:ascii="Arial" w:hAnsi="Arial" w:cs="Arial"/>
          <w:bCs/>
        </w:rPr>
        <w:t>2009 is a declared overseas terrorist act</w:t>
      </w:r>
      <w:r w:rsidR="00E7105C">
        <w:rPr>
          <w:rFonts w:ascii="Arial" w:hAnsi="Arial" w:cs="Arial"/>
          <w:bCs/>
        </w:rPr>
        <w:t xml:space="preserve"> for the purposes of subsection </w:t>
      </w:r>
      <w:r>
        <w:rPr>
          <w:rFonts w:ascii="Arial" w:hAnsi="Arial" w:cs="Arial"/>
          <w:bCs/>
        </w:rPr>
        <w:t>35B(1) of the Act.</w:t>
      </w:r>
    </w:p>
    <w:p w:rsidR="00325819" w:rsidRPr="00FD579A" w:rsidRDefault="00325819" w:rsidP="00325819">
      <w:pPr>
        <w:keepNext/>
        <w:spacing w:before="240"/>
        <w:rPr>
          <w:rFonts w:ascii="Arial" w:hAnsi="Arial" w:cs="Arial"/>
          <w:b/>
          <w:bCs/>
        </w:rPr>
      </w:pPr>
      <w:r w:rsidRPr="00FD579A">
        <w:rPr>
          <w:rFonts w:ascii="Arial" w:hAnsi="Arial" w:cs="Arial"/>
          <w:b/>
          <w:bCs/>
        </w:rPr>
        <w:t xml:space="preserve">Human rights implications of the Declaration </w:t>
      </w:r>
    </w:p>
    <w:p w:rsidR="00E61802" w:rsidRDefault="00E61802" w:rsidP="00E61802">
      <w:pPr>
        <w:spacing w:before="240"/>
        <w:rPr>
          <w:rFonts w:ascii="Arial" w:hAnsi="Arial" w:cs="Arial"/>
          <w:bCs/>
        </w:rPr>
      </w:pPr>
      <w:r>
        <w:rPr>
          <w:rFonts w:ascii="Arial" w:hAnsi="Arial" w:cs="Arial"/>
          <w:bCs/>
        </w:rPr>
        <w:t xml:space="preserve">This declaration is compatible with the human rights and freedoms recognised or declared in the international instruments listed in section 3 of the </w:t>
      </w:r>
      <w:r w:rsidRPr="0023201D">
        <w:rPr>
          <w:rFonts w:ascii="Arial" w:hAnsi="Arial" w:cs="Arial"/>
          <w:bCs/>
          <w:i/>
        </w:rPr>
        <w:t>H</w:t>
      </w:r>
      <w:r>
        <w:rPr>
          <w:rFonts w:ascii="Arial" w:hAnsi="Arial" w:cs="Arial"/>
          <w:bCs/>
          <w:i/>
        </w:rPr>
        <w:t>uman Rights (Parliamentary Scrutiny) Act 2011</w:t>
      </w:r>
      <w:r>
        <w:rPr>
          <w:rFonts w:ascii="Arial" w:hAnsi="Arial" w:cs="Arial"/>
          <w:bCs/>
        </w:rPr>
        <w:t>.</w:t>
      </w:r>
    </w:p>
    <w:p w:rsidR="00E61802" w:rsidRDefault="00E61802" w:rsidP="00E61802">
      <w:pPr>
        <w:spacing w:before="240"/>
        <w:rPr>
          <w:rFonts w:ascii="Arial" w:hAnsi="Arial" w:cs="Arial"/>
          <w:bCs/>
        </w:rPr>
      </w:pPr>
      <w:r>
        <w:rPr>
          <w:rFonts w:ascii="Arial" w:hAnsi="Arial" w:cs="Arial"/>
          <w:bCs/>
        </w:rPr>
        <w:t xml:space="preserve">This statement has been prepared in accordance with Part 3 of the </w:t>
      </w:r>
      <w:r>
        <w:rPr>
          <w:rFonts w:ascii="Arial" w:hAnsi="Arial" w:cs="Arial"/>
          <w:bCs/>
          <w:i/>
        </w:rPr>
        <w:t>Human Rights (Parliamentary Scrutiny) Act 2011</w:t>
      </w:r>
      <w:r>
        <w:rPr>
          <w:rFonts w:ascii="Arial" w:hAnsi="Arial" w:cs="Arial"/>
          <w:bCs/>
        </w:rPr>
        <w:t>.</w:t>
      </w:r>
    </w:p>
    <w:p w:rsidR="00E61802" w:rsidRDefault="00E61802" w:rsidP="00E61802">
      <w:pPr>
        <w:spacing w:before="240"/>
        <w:rPr>
          <w:rFonts w:ascii="Arial" w:hAnsi="Arial" w:cs="Arial"/>
          <w:bCs/>
        </w:rPr>
      </w:pPr>
      <w:r>
        <w:rPr>
          <w:rFonts w:ascii="Arial" w:hAnsi="Arial" w:cs="Arial"/>
          <w:bCs/>
        </w:rPr>
        <w:t xml:space="preserve">The Declaration activates the AVTOP scheme to apply to Australian victims of </w:t>
      </w:r>
      <w:r w:rsidR="00D029E2">
        <w:rPr>
          <w:rFonts w:ascii="Arial" w:hAnsi="Arial" w:cs="Arial"/>
          <w:bCs/>
        </w:rPr>
        <w:t>the September 2001, Bali 2002, London 2005, Bali 2005, Egypt 2006, Mumbai 2008 and Jakarta 2009 terrorist acts</w:t>
      </w:r>
      <w:r>
        <w:rPr>
          <w:rFonts w:ascii="Arial" w:hAnsi="Arial" w:cs="Arial"/>
          <w:bCs/>
        </w:rPr>
        <w:t>.</w:t>
      </w:r>
    </w:p>
    <w:p w:rsidR="00E61802" w:rsidRDefault="00E61802" w:rsidP="00E61802">
      <w:pPr>
        <w:spacing w:before="240"/>
        <w:rPr>
          <w:rFonts w:ascii="Arial" w:hAnsi="Arial" w:cs="Arial"/>
          <w:bCs/>
        </w:rPr>
      </w:pPr>
      <w:r>
        <w:rPr>
          <w:rFonts w:ascii="Arial" w:hAnsi="Arial" w:cs="Arial"/>
          <w:bCs/>
        </w:rPr>
        <w:t xml:space="preserve">The Declaration promotes the economic and social rights of victims of terrorism and members of their families, specifically their rights </w:t>
      </w:r>
      <w:proofErr w:type="gramStart"/>
      <w:r>
        <w:rPr>
          <w:rFonts w:ascii="Arial" w:hAnsi="Arial" w:cs="Arial"/>
          <w:bCs/>
        </w:rPr>
        <w:t>to</w:t>
      </w:r>
      <w:proofErr w:type="gramEnd"/>
      <w:r>
        <w:rPr>
          <w:rFonts w:ascii="Arial" w:hAnsi="Arial" w:cs="Arial"/>
          <w:bCs/>
        </w:rPr>
        <w:t xml:space="preserve">: </w:t>
      </w:r>
    </w:p>
    <w:p w:rsidR="00E61802" w:rsidRDefault="00E61802" w:rsidP="0078755B">
      <w:pPr>
        <w:numPr>
          <w:ilvl w:val="0"/>
          <w:numId w:val="7"/>
        </w:numPr>
        <w:spacing w:before="240"/>
        <w:rPr>
          <w:rFonts w:ascii="Arial" w:hAnsi="Arial" w:cs="Arial"/>
          <w:bCs/>
        </w:rPr>
      </w:pPr>
      <w:r>
        <w:rPr>
          <w:rFonts w:ascii="Arial" w:hAnsi="Arial" w:cs="Arial"/>
          <w:bCs/>
        </w:rPr>
        <w:t>social security (Article 9, International Covenant on Economic, Social and Cultural Rights (ICESCR)</w:t>
      </w:r>
    </w:p>
    <w:p w:rsidR="00E61802" w:rsidRDefault="00E61802" w:rsidP="0078755B">
      <w:pPr>
        <w:numPr>
          <w:ilvl w:val="0"/>
          <w:numId w:val="7"/>
        </w:numPr>
        <w:spacing w:before="240"/>
        <w:rPr>
          <w:rFonts w:ascii="Arial" w:hAnsi="Arial" w:cs="Arial"/>
          <w:bCs/>
        </w:rPr>
      </w:pPr>
      <w:r>
        <w:rPr>
          <w:rFonts w:ascii="Arial" w:hAnsi="Arial" w:cs="Arial"/>
          <w:bCs/>
        </w:rPr>
        <w:t>an adequate standard of living (Article 11, ICESCR)</w:t>
      </w:r>
    </w:p>
    <w:p w:rsidR="00E61802" w:rsidRDefault="00E61802" w:rsidP="0078755B">
      <w:pPr>
        <w:numPr>
          <w:ilvl w:val="0"/>
          <w:numId w:val="7"/>
        </w:numPr>
        <w:spacing w:before="240"/>
        <w:rPr>
          <w:rFonts w:ascii="Arial" w:hAnsi="Arial" w:cs="Arial"/>
          <w:bCs/>
        </w:rPr>
      </w:pPr>
      <w:r>
        <w:rPr>
          <w:rFonts w:ascii="Arial" w:hAnsi="Arial" w:cs="Arial"/>
          <w:bCs/>
        </w:rPr>
        <w:t xml:space="preserve">health (Article 12, ICESCR) </w:t>
      </w:r>
    </w:p>
    <w:p w:rsidR="00E61802" w:rsidRDefault="00E61802" w:rsidP="0078755B">
      <w:pPr>
        <w:numPr>
          <w:ilvl w:val="0"/>
          <w:numId w:val="7"/>
        </w:numPr>
        <w:spacing w:before="240"/>
        <w:rPr>
          <w:rFonts w:ascii="Arial" w:hAnsi="Arial" w:cs="Arial"/>
          <w:bCs/>
        </w:rPr>
      </w:pPr>
      <w:r>
        <w:rPr>
          <w:rFonts w:ascii="Arial" w:hAnsi="Arial" w:cs="Arial"/>
          <w:bCs/>
        </w:rPr>
        <w:lastRenderedPageBreak/>
        <w:t xml:space="preserve">family life (Article 10, ICESCR), and </w:t>
      </w:r>
    </w:p>
    <w:p w:rsidR="00E61802" w:rsidRDefault="00E61802" w:rsidP="0078755B">
      <w:pPr>
        <w:numPr>
          <w:ilvl w:val="0"/>
          <w:numId w:val="7"/>
        </w:numPr>
        <w:spacing w:before="240"/>
        <w:rPr>
          <w:rFonts w:ascii="Arial" w:hAnsi="Arial" w:cs="Arial"/>
          <w:bCs/>
        </w:rPr>
      </w:pPr>
      <w:r>
        <w:rPr>
          <w:rFonts w:ascii="Arial" w:hAnsi="Arial" w:cs="Arial"/>
          <w:bCs/>
        </w:rPr>
        <w:t>rights of persons with a disability under the Convention on the Rights of Persons with Disabilities (CRPD), particularly:</w:t>
      </w:r>
    </w:p>
    <w:p w:rsidR="00E61802" w:rsidRDefault="00E61802" w:rsidP="0078755B">
      <w:pPr>
        <w:numPr>
          <w:ilvl w:val="1"/>
          <w:numId w:val="7"/>
        </w:numPr>
        <w:spacing w:before="240"/>
        <w:rPr>
          <w:rFonts w:ascii="Arial" w:hAnsi="Arial" w:cs="Arial"/>
          <w:bCs/>
        </w:rPr>
      </w:pPr>
      <w:r>
        <w:rPr>
          <w:rFonts w:ascii="Arial" w:hAnsi="Arial" w:cs="Arial"/>
          <w:bCs/>
        </w:rPr>
        <w:t xml:space="preserve">Article 25 – the right to the enjoyment of the highest attainable standard of health without discrimination on the basis of disability, and </w:t>
      </w:r>
    </w:p>
    <w:p w:rsidR="00E61802" w:rsidRDefault="00E61802" w:rsidP="0078755B">
      <w:pPr>
        <w:numPr>
          <w:ilvl w:val="1"/>
          <w:numId w:val="7"/>
        </w:numPr>
        <w:spacing w:before="240"/>
        <w:rPr>
          <w:rFonts w:ascii="Arial" w:hAnsi="Arial" w:cs="Arial"/>
          <w:bCs/>
        </w:rPr>
      </w:pPr>
      <w:r>
        <w:rPr>
          <w:rFonts w:ascii="Arial" w:hAnsi="Arial" w:cs="Arial"/>
          <w:bCs/>
        </w:rPr>
        <w:t>Article 26 - effective and appropriate measures, including through peer support, to enable persons with disabilities to attain and maintain maximum independence, full physical, mental, social and vocational ability, and full inclusion and participation in all aspects of life.</w:t>
      </w:r>
    </w:p>
    <w:p w:rsidR="00E61802" w:rsidRDefault="00E61802" w:rsidP="00E61802">
      <w:pPr>
        <w:spacing w:before="240"/>
        <w:rPr>
          <w:rFonts w:ascii="Arial" w:hAnsi="Arial" w:cs="Arial"/>
          <w:bCs/>
        </w:rPr>
      </w:pPr>
      <w:r>
        <w:rPr>
          <w:rFonts w:ascii="Arial" w:hAnsi="Arial" w:cs="Arial"/>
          <w:bCs/>
        </w:rPr>
        <w:t>Terrorist attacks impose a heavy burden on victims and their families.  In some cases, this burden will endure for life.  Primary victims of declared overseas terrorist acts may:</w:t>
      </w:r>
    </w:p>
    <w:p w:rsidR="00E61802" w:rsidRDefault="00E61802" w:rsidP="0078755B">
      <w:pPr>
        <w:numPr>
          <w:ilvl w:val="0"/>
          <w:numId w:val="7"/>
        </w:numPr>
        <w:spacing w:before="240"/>
        <w:rPr>
          <w:rFonts w:ascii="Arial" w:hAnsi="Arial" w:cs="Arial"/>
          <w:bCs/>
        </w:rPr>
      </w:pPr>
      <w:r>
        <w:rPr>
          <w:rFonts w:ascii="Arial" w:hAnsi="Arial" w:cs="Arial"/>
          <w:bCs/>
        </w:rPr>
        <w:t>lose their life</w:t>
      </w:r>
    </w:p>
    <w:p w:rsidR="00E61802" w:rsidRDefault="00E61802" w:rsidP="0078755B">
      <w:pPr>
        <w:numPr>
          <w:ilvl w:val="0"/>
          <w:numId w:val="7"/>
        </w:numPr>
        <w:spacing w:before="240"/>
        <w:rPr>
          <w:rFonts w:ascii="Arial" w:hAnsi="Arial" w:cs="Arial"/>
          <w:bCs/>
        </w:rPr>
      </w:pPr>
      <w:r>
        <w:rPr>
          <w:rFonts w:ascii="Arial" w:hAnsi="Arial" w:cs="Arial"/>
          <w:bCs/>
        </w:rPr>
        <w:t>require medical treatment</w:t>
      </w:r>
    </w:p>
    <w:p w:rsidR="00E61802" w:rsidRDefault="00E61802" w:rsidP="0078755B">
      <w:pPr>
        <w:numPr>
          <w:ilvl w:val="0"/>
          <w:numId w:val="7"/>
        </w:numPr>
        <w:spacing w:before="240"/>
        <w:rPr>
          <w:rFonts w:ascii="Arial" w:hAnsi="Arial" w:cs="Arial"/>
          <w:bCs/>
        </w:rPr>
      </w:pPr>
      <w:r>
        <w:rPr>
          <w:rFonts w:ascii="Arial" w:hAnsi="Arial" w:cs="Arial"/>
          <w:bCs/>
        </w:rPr>
        <w:t>require ongoing domestic care and assistance</w:t>
      </w:r>
    </w:p>
    <w:p w:rsidR="00E61802" w:rsidRDefault="00E61802" w:rsidP="0078755B">
      <w:pPr>
        <w:numPr>
          <w:ilvl w:val="0"/>
          <w:numId w:val="7"/>
        </w:numPr>
        <w:spacing w:before="240"/>
        <w:rPr>
          <w:rFonts w:ascii="Arial" w:hAnsi="Arial" w:cs="Arial"/>
          <w:bCs/>
        </w:rPr>
      </w:pPr>
      <w:r>
        <w:rPr>
          <w:rFonts w:ascii="Arial" w:hAnsi="Arial" w:cs="Arial"/>
          <w:bCs/>
        </w:rPr>
        <w:t>lose some or all of their capacity to work and earn income, and</w:t>
      </w:r>
    </w:p>
    <w:p w:rsidR="00E61802" w:rsidRDefault="00E61802" w:rsidP="0078755B">
      <w:pPr>
        <w:numPr>
          <w:ilvl w:val="0"/>
          <w:numId w:val="7"/>
        </w:numPr>
        <w:spacing w:before="240"/>
        <w:rPr>
          <w:rFonts w:ascii="Arial" w:hAnsi="Arial" w:cs="Arial"/>
          <w:bCs/>
        </w:rPr>
      </w:pPr>
      <w:proofErr w:type="gramStart"/>
      <w:r>
        <w:rPr>
          <w:rFonts w:ascii="Arial" w:hAnsi="Arial" w:cs="Arial"/>
          <w:bCs/>
        </w:rPr>
        <w:t>experience</w:t>
      </w:r>
      <w:proofErr w:type="gramEnd"/>
      <w:r>
        <w:rPr>
          <w:rFonts w:ascii="Arial" w:hAnsi="Arial" w:cs="Arial"/>
          <w:bCs/>
        </w:rPr>
        <w:t xml:space="preserve"> mental health problems. </w:t>
      </w:r>
    </w:p>
    <w:p w:rsidR="00E61802" w:rsidRDefault="00E61802" w:rsidP="00E61802">
      <w:pPr>
        <w:spacing w:before="240"/>
        <w:rPr>
          <w:rFonts w:ascii="Arial" w:hAnsi="Arial" w:cs="Arial"/>
          <w:bCs/>
        </w:rPr>
      </w:pPr>
      <w:r>
        <w:rPr>
          <w:rFonts w:ascii="Arial" w:hAnsi="Arial" w:cs="Arial"/>
          <w:bCs/>
        </w:rPr>
        <w:t>Secondary victims of declared overseas terrorist acts may:</w:t>
      </w:r>
    </w:p>
    <w:p w:rsidR="00E61802" w:rsidRDefault="00E61802" w:rsidP="0078755B">
      <w:pPr>
        <w:numPr>
          <w:ilvl w:val="0"/>
          <w:numId w:val="7"/>
        </w:numPr>
        <w:spacing w:before="240"/>
        <w:rPr>
          <w:rFonts w:ascii="Arial" w:hAnsi="Arial" w:cs="Arial"/>
          <w:bCs/>
        </w:rPr>
      </w:pPr>
      <w:r>
        <w:rPr>
          <w:rFonts w:ascii="Arial" w:hAnsi="Arial" w:cs="Arial"/>
          <w:bCs/>
        </w:rPr>
        <w:t>lose some or all of their family members, and</w:t>
      </w:r>
    </w:p>
    <w:p w:rsidR="00E61802" w:rsidRDefault="00E61802" w:rsidP="0078755B">
      <w:pPr>
        <w:numPr>
          <w:ilvl w:val="0"/>
          <w:numId w:val="7"/>
        </w:numPr>
        <w:spacing w:before="240"/>
        <w:rPr>
          <w:rFonts w:ascii="Arial" w:hAnsi="Arial" w:cs="Arial"/>
          <w:bCs/>
        </w:rPr>
      </w:pPr>
      <w:proofErr w:type="gramStart"/>
      <w:r>
        <w:rPr>
          <w:rFonts w:ascii="Arial" w:hAnsi="Arial" w:cs="Arial"/>
          <w:bCs/>
        </w:rPr>
        <w:t>experience</w:t>
      </w:r>
      <w:proofErr w:type="gramEnd"/>
      <w:r>
        <w:rPr>
          <w:rFonts w:ascii="Arial" w:hAnsi="Arial" w:cs="Arial"/>
          <w:bCs/>
        </w:rPr>
        <w:t xml:space="preserve"> a loss of support that they received from their family member.</w:t>
      </w:r>
    </w:p>
    <w:p w:rsidR="00E61802" w:rsidRDefault="00E61802" w:rsidP="00E61802">
      <w:pPr>
        <w:spacing w:before="240"/>
        <w:rPr>
          <w:rFonts w:ascii="Arial" w:hAnsi="Arial" w:cs="Arial"/>
          <w:bCs/>
          <w:i/>
        </w:rPr>
      </w:pPr>
      <w:r>
        <w:rPr>
          <w:rFonts w:ascii="Arial" w:hAnsi="Arial" w:cs="Arial"/>
          <w:bCs/>
          <w:i/>
        </w:rPr>
        <w:t>Right to social security</w:t>
      </w:r>
    </w:p>
    <w:p w:rsidR="00E61802" w:rsidRDefault="00E61802" w:rsidP="00E61802">
      <w:pPr>
        <w:spacing w:before="240"/>
        <w:rPr>
          <w:rFonts w:ascii="Arial" w:hAnsi="Arial" w:cs="Arial"/>
          <w:bCs/>
        </w:rPr>
      </w:pPr>
      <w:proofErr w:type="gramStart"/>
      <w:r>
        <w:rPr>
          <w:rFonts w:ascii="Arial" w:hAnsi="Arial" w:cs="Arial"/>
          <w:bCs/>
        </w:rPr>
        <w:t>Article 9 of ICESCR requires that States establish a social security system and, within its maximum available resources, ensure access to a social security scheme that provides a minimum essential level of benefits to all individuals and families that will enable them to acquire at least essential health care, basic shelter and housing, water and sanitation, foodstuffs, and the most basic forms of education.</w:t>
      </w:r>
      <w:proofErr w:type="gramEnd"/>
      <w:r>
        <w:rPr>
          <w:rFonts w:ascii="Arial" w:hAnsi="Arial" w:cs="Arial"/>
          <w:bCs/>
        </w:rPr>
        <w:t xml:space="preserve"> </w:t>
      </w:r>
    </w:p>
    <w:p w:rsidR="00E61802" w:rsidRDefault="00E61802" w:rsidP="00E61802">
      <w:pPr>
        <w:spacing w:before="240"/>
        <w:rPr>
          <w:rFonts w:ascii="Arial" w:hAnsi="Arial" w:cs="Arial"/>
          <w:bCs/>
        </w:rPr>
      </w:pPr>
      <w:r>
        <w:rPr>
          <w:rFonts w:ascii="Arial" w:hAnsi="Arial" w:cs="Arial"/>
          <w:bCs/>
        </w:rPr>
        <w:lastRenderedPageBreak/>
        <w:t xml:space="preserve">This declaration promotes the rights of people who are primary and secondary victims of the declared overseas terrorist act in a number of ways.  The declaration enables victims to access their right to social security.  The payments to Australians who </w:t>
      </w:r>
      <w:proofErr w:type="gramStart"/>
      <w:r>
        <w:rPr>
          <w:rFonts w:ascii="Arial" w:hAnsi="Arial" w:cs="Arial"/>
          <w:bCs/>
        </w:rPr>
        <w:t>have been harmed</w:t>
      </w:r>
      <w:proofErr w:type="gramEnd"/>
      <w:r>
        <w:rPr>
          <w:rFonts w:ascii="Arial" w:hAnsi="Arial" w:cs="Arial"/>
          <w:bCs/>
        </w:rPr>
        <w:t xml:space="preserve"> in the declared overseas terrorist act are awarded on a sliding scale.  A larger payment </w:t>
      </w:r>
      <w:proofErr w:type="gramStart"/>
      <w:r>
        <w:rPr>
          <w:rFonts w:ascii="Arial" w:hAnsi="Arial" w:cs="Arial"/>
          <w:bCs/>
        </w:rPr>
        <w:t>is awarded</w:t>
      </w:r>
      <w:proofErr w:type="gramEnd"/>
      <w:r>
        <w:rPr>
          <w:rFonts w:ascii="Arial" w:hAnsi="Arial" w:cs="Arial"/>
          <w:bCs/>
        </w:rPr>
        <w:t xml:space="preserve"> to victims who experience injuries that are more significant or the loss of a close family member because of the act.  For example, a person who loses both legs is eligible for a payment of $75,000 whereas a person who has fractured their toes would only be entitled to $6,000.  AVTOP </w:t>
      </w:r>
      <w:proofErr w:type="gramStart"/>
      <w:r>
        <w:rPr>
          <w:rFonts w:ascii="Arial" w:hAnsi="Arial" w:cs="Arial"/>
          <w:bCs/>
        </w:rPr>
        <w:t>is not intended</w:t>
      </w:r>
      <w:proofErr w:type="gramEnd"/>
      <w:r>
        <w:rPr>
          <w:rFonts w:ascii="Arial" w:hAnsi="Arial" w:cs="Arial"/>
          <w:bCs/>
        </w:rPr>
        <w:t xml:space="preserve"> to replace other forms of government assistance.</w:t>
      </w:r>
    </w:p>
    <w:p w:rsidR="00E61802" w:rsidRDefault="00E61802" w:rsidP="00E61802">
      <w:pPr>
        <w:spacing w:before="240"/>
        <w:rPr>
          <w:rFonts w:ascii="Arial" w:hAnsi="Arial" w:cs="Arial"/>
          <w:bCs/>
        </w:rPr>
      </w:pPr>
      <w:r>
        <w:rPr>
          <w:rFonts w:ascii="Arial" w:hAnsi="Arial" w:cs="Arial"/>
          <w:bCs/>
        </w:rPr>
        <w:t>On this basis, the declaration promotes the right to social security.</w:t>
      </w:r>
    </w:p>
    <w:p w:rsidR="00E61802" w:rsidRDefault="00E61802" w:rsidP="00E61802">
      <w:pPr>
        <w:spacing w:before="240"/>
        <w:rPr>
          <w:rFonts w:ascii="Arial" w:hAnsi="Arial" w:cs="Arial"/>
          <w:bCs/>
          <w:i/>
        </w:rPr>
      </w:pPr>
      <w:r>
        <w:rPr>
          <w:rFonts w:ascii="Arial" w:hAnsi="Arial" w:cs="Arial"/>
          <w:bCs/>
          <w:i/>
        </w:rPr>
        <w:t>Right to health</w:t>
      </w:r>
    </w:p>
    <w:p w:rsidR="00E61802" w:rsidRDefault="00E61802" w:rsidP="00E61802">
      <w:pPr>
        <w:pStyle w:val="Paragraph"/>
        <w:rPr>
          <w:rFonts w:ascii="Arial" w:hAnsi="Arial" w:cs="Arial"/>
          <w:bCs/>
          <w:szCs w:val="24"/>
          <w:lang w:eastAsia="en-US"/>
        </w:rPr>
      </w:pPr>
      <w:r>
        <w:rPr>
          <w:rFonts w:ascii="Arial" w:hAnsi="Arial" w:cs="Arial"/>
          <w:bCs/>
          <w:szCs w:val="24"/>
          <w:lang w:eastAsia="en-US"/>
        </w:rPr>
        <w:t xml:space="preserve">Article 12 of ICESCR provides the right to the enjoyment of the highest attainable standard of physical and mental health.  The scheme awards a larger payment to victims who suffer serious injuries.  These types of injuries require extensive medical treatment and/or domestic care and assistance.  The scheme will promote the right to health by providing </w:t>
      </w:r>
      <w:proofErr w:type="gramStart"/>
      <w:r>
        <w:rPr>
          <w:rFonts w:ascii="Arial" w:hAnsi="Arial" w:cs="Arial"/>
          <w:bCs/>
          <w:szCs w:val="24"/>
          <w:lang w:eastAsia="en-US"/>
        </w:rPr>
        <w:t>money which</w:t>
      </w:r>
      <w:proofErr w:type="gramEnd"/>
      <w:r>
        <w:rPr>
          <w:rFonts w:ascii="Arial" w:hAnsi="Arial" w:cs="Arial"/>
          <w:bCs/>
          <w:szCs w:val="24"/>
          <w:lang w:eastAsia="en-US"/>
        </w:rPr>
        <w:t xml:space="preserve"> can be used in any way by the recipient including for medical expenses.  </w:t>
      </w:r>
    </w:p>
    <w:p w:rsidR="00E61802" w:rsidRDefault="00E61802" w:rsidP="00E61802">
      <w:pPr>
        <w:pStyle w:val="Paragraph"/>
        <w:rPr>
          <w:rFonts w:ascii="Arial" w:hAnsi="Arial" w:cs="Arial"/>
          <w:bCs/>
          <w:szCs w:val="24"/>
          <w:lang w:eastAsia="en-US"/>
        </w:rPr>
      </w:pPr>
      <w:r>
        <w:rPr>
          <w:rFonts w:ascii="Arial" w:hAnsi="Arial" w:cs="Arial"/>
          <w:bCs/>
          <w:szCs w:val="24"/>
          <w:lang w:eastAsia="en-US"/>
        </w:rPr>
        <w:t>The amount paid to the victim will depend on a range of factors including:</w:t>
      </w:r>
    </w:p>
    <w:p w:rsidR="00E61802" w:rsidRDefault="00E61802" w:rsidP="0078755B">
      <w:pPr>
        <w:numPr>
          <w:ilvl w:val="0"/>
          <w:numId w:val="7"/>
        </w:numPr>
        <w:spacing w:before="240"/>
        <w:rPr>
          <w:rFonts w:ascii="Arial" w:hAnsi="Arial" w:cs="Arial"/>
          <w:bCs/>
        </w:rPr>
      </w:pPr>
      <w:r>
        <w:rPr>
          <w:rFonts w:ascii="Arial" w:hAnsi="Arial" w:cs="Arial"/>
          <w:bCs/>
        </w:rPr>
        <w:t>the nature of the victim’s injuries</w:t>
      </w:r>
    </w:p>
    <w:p w:rsidR="00E61802" w:rsidRDefault="00E61802" w:rsidP="0078755B">
      <w:pPr>
        <w:numPr>
          <w:ilvl w:val="0"/>
          <w:numId w:val="7"/>
        </w:numPr>
        <w:spacing w:before="240"/>
        <w:rPr>
          <w:rFonts w:ascii="Arial" w:hAnsi="Arial" w:cs="Arial"/>
          <w:bCs/>
        </w:rPr>
      </w:pPr>
      <w:r>
        <w:rPr>
          <w:rFonts w:ascii="Arial" w:hAnsi="Arial" w:cs="Arial"/>
          <w:bCs/>
        </w:rPr>
        <w:t>the impact of the terrorist act on the victim’s life</w:t>
      </w:r>
    </w:p>
    <w:p w:rsidR="00E61802" w:rsidRDefault="00E61802" w:rsidP="0078755B">
      <w:pPr>
        <w:numPr>
          <w:ilvl w:val="0"/>
          <w:numId w:val="7"/>
        </w:numPr>
        <w:spacing w:before="240"/>
        <w:rPr>
          <w:rFonts w:ascii="Arial" w:hAnsi="Arial" w:cs="Arial"/>
          <w:bCs/>
        </w:rPr>
      </w:pPr>
      <w:r>
        <w:rPr>
          <w:rFonts w:ascii="Arial" w:hAnsi="Arial" w:cs="Arial"/>
          <w:bCs/>
        </w:rPr>
        <w:t xml:space="preserve">if, and to what extent, the victim contributed to their injuries, and </w:t>
      </w:r>
    </w:p>
    <w:p w:rsidR="00E61802" w:rsidRDefault="00E61802" w:rsidP="0078755B">
      <w:pPr>
        <w:numPr>
          <w:ilvl w:val="0"/>
          <w:numId w:val="7"/>
        </w:numPr>
        <w:spacing w:before="240"/>
        <w:rPr>
          <w:rFonts w:ascii="Arial" w:hAnsi="Arial" w:cs="Arial"/>
          <w:bCs/>
        </w:rPr>
      </w:pPr>
      <w:proofErr w:type="gramStart"/>
      <w:r>
        <w:rPr>
          <w:rFonts w:ascii="Arial" w:hAnsi="Arial" w:cs="Arial"/>
          <w:bCs/>
        </w:rPr>
        <w:t>if</w:t>
      </w:r>
      <w:proofErr w:type="gramEnd"/>
      <w:r>
        <w:rPr>
          <w:rFonts w:ascii="Arial" w:hAnsi="Arial" w:cs="Arial"/>
          <w:bCs/>
        </w:rPr>
        <w:t xml:space="preserve">, and to what extent, the victim received financial assistance from a foreign country for the injury arising from the terrorist act. </w:t>
      </w:r>
    </w:p>
    <w:p w:rsidR="00E61802" w:rsidRDefault="00E61802" w:rsidP="00E61802">
      <w:pPr>
        <w:spacing w:before="240"/>
        <w:rPr>
          <w:rFonts w:ascii="Arial" w:hAnsi="Arial" w:cs="Arial"/>
          <w:bCs/>
        </w:rPr>
      </w:pPr>
      <w:r>
        <w:rPr>
          <w:rFonts w:ascii="Arial" w:hAnsi="Arial" w:cs="Arial"/>
          <w:bCs/>
        </w:rPr>
        <w:t>On this basis, the declaration promotes the right of everyone to the enjoyment of the highest attainable standard of physical and mental health.</w:t>
      </w:r>
    </w:p>
    <w:p w:rsidR="00E61802" w:rsidRDefault="00E61802" w:rsidP="00E61802">
      <w:pPr>
        <w:spacing w:before="240"/>
        <w:rPr>
          <w:rFonts w:ascii="Arial" w:hAnsi="Arial" w:cs="Arial"/>
          <w:bCs/>
          <w:i/>
        </w:rPr>
      </w:pPr>
      <w:r>
        <w:rPr>
          <w:rFonts w:ascii="Arial" w:hAnsi="Arial" w:cs="Arial"/>
          <w:bCs/>
          <w:i/>
        </w:rPr>
        <w:t>Right to family life</w:t>
      </w:r>
    </w:p>
    <w:p w:rsidR="00E61802" w:rsidRDefault="00E61802" w:rsidP="00E61802">
      <w:pPr>
        <w:pStyle w:val="Paragraph"/>
        <w:rPr>
          <w:rFonts w:ascii="Arial" w:hAnsi="Arial" w:cs="Arial"/>
          <w:bCs/>
          <w:szCs w:val="24"/>
          <w:lang w:eastAsia="en-US"/>
        </w:rPr>
      </w:pPr>
      <w:r>
        <w:rPr>
          <w:rFonts w:ascii="Arial" w:hAnsi="Arial" w:cs="Arial"/>
          <w:bCs/>
          <w:szCs w:val="24"/>
          <w:lang w:eastAsia="en-US"/>
        </w:rPr>
        <w:t xml:space="preserve">The Declaration promotes the victims’ right to family life.  The family is the fundamental and natural unit of society and requires the full protection of the state.  Human rights law upholds the positive right of all peoples to marry and found a family.  The scheme awards payment to secondary victims who have a close family relationship with the deceased person.  This </w:t>
      </w:r>
      <w:proofErr w:type="gramStart"/>
      <w:r>
        <w:rPr>
          <w:rFonts w:ascii="Arial" w:hAnsi="Arial" w:cs="Arial"/>
          <w:bCs/>
          <w:szCs w:val="24"/>
          <w:lang w:eastAsia="en-US"/>
        </w:rPr>
        <w:t>makes</w:t>
      </w:r>
      <w:r w:rsidR="000312CB">
        <w:rPr>
          <w:rFonts w:ascii="Arial" w:hAnsi="Arial" w:cs="Arial"/>
          <w:bCs/>
          <w:szCs w:val="24"/>
          <w:lang w:eastAsia="en-US"/>
        </w:rPr>
        <w:t xml:space="preserve"> </w:t>
      </w:r>
      <w:bookmarkStart w:id="2" w:name="_GoBack"/>
      <w:bookmarkEnd w:id="2"/>
      <w:r>
        <w:rPr>
          <w:rFonts w:ascii="Arial" w:hAnsi="Arial" w:cs="Arial"/>
          <w:bCs/>
          <w:szCs w:val="24"/>
          <w:lang w:eastAsia="en-US"/>
        </w:rPr>
        <w:t>a contribution</w:t>
      </w:r>
      <w:proofErr w:type="gramEnd"/>
      <w:r>
        <w:rPr>
          <w:rFonts w:ascii="Arial" w:hAnsi="Arial" w:cs="Arial"/>
          <w:bCs/>
          <w:szCs w:val="24"/>
          <w:lang w:eastAsia="en-US"/>
        </w:rPr>
        <w:t xml:space="preserve"> to preserving the integrity of the family unit during a difficult time.  </w:t>
      </w:r>
      <w:r>
        <w:rPr>
          <w:rFonts w:ascii="Arial" w:hAnsi="Arial" w:cs="Arial"/>
          <w:bCs/>
          <w:szCs w:val="24"/>
          <w:lang w:eastAsia="en-US"/>
        </w:rPr>
        <w:lastRenderedPageBreak/>
        <w:t>The scheme gives priority of payment to</w:t>
      </w:r>
      <w:r w:rsidR="0023201D">
        <w:rPr>
          <w:rFonts w:ascii="Arial" w:hAnsi="Arial" w:cs="Arial"/>
          <w:bCs/>
          <w:szCs w:val="24"/>
          <w:lang w:eastAsia="en-US"/>
        </w:rPr>
        <w:t xml:space="preserve"> a</w:t>
      </w:r>
      <w:r>
        <w:rPr>
          <w:rFonts w:ascii="Arial" w:hAnsi="Arial" w:cs="Arial"/>
          <w:bCs/>
          <w:szCs w:val="24"/>
          <w:lang w:eastAsia="en-US"/>
        </w:rPr>
        <w:t xml:space="preserve"> deceased person’s partner and child, followed by their parent, then sibling.</w:t>
      </w:r>
    </w:p>
    <w:p w:rsidR="00E61802" w:rsidRDefault="00E61802" w:rsidP="00E61802">
      <w:pPr>
        <w:pStyle w:val="Paragraph"/>
        <w:rPr>
          <w:rFonts w:ascii="Arial" w:hAnsi="Arial" w:cs="Arial"/>
          <w:bCs/>
          <w:szCs w:val="24"/>
          <w:lang w:eastAsia="en-US"/>
        </w:rPr>
      </w:pPr>
      <w:r>
        <w:rPr>
          <w:rFonts w:ascii="Arial" w:hAnsi="Arial" w:cs="Arial"/>
          <w:bCs/>
          <w:szCs w:val="24"/>
          <w:lang w:eastAsia="en-US"/>
        </w:rPr>
        <w:t xml:space="preserve">On this basis, the declaration promotes the right of protection of and assistance to the family.  </w:t>
      </w:r>
    </w:p>
    <w:p w:rsidR="00E61802" w:rsidRDefault="00E61802" w:rsidP="000312CB">
      <w:pPr>
        <w:keepNext/>
        <w:spacing w:before="240"/>
        <w:rPr>
          <w:rFonts w:ascii="Arial" w:hAnsi="Arial" w:cs="Arial"/>
          <w:bCs/>
          <w:u w:val="single"/>
        </w:rPr>
      </w:pPr>
      <w:r>
        <w:rPr>
          <w:rFonts w:ascii="Arial" w:hAnsi="Arial" w:cs="Arial"/>
          <w:bCs/>
          <w:u w:val="single"/>
        </w:rPr>
        <w:t xml:space="preserve">Conclusion </w:t>
      </w:r>
    </w:p>
    <w:p w:rsidR="00E61802" w:rsidRDefault="00E61802" w:rsidP="00E61802">
      <w:pPr>
        <w:spacing w:before="240"/>
        <w:rPr>
          <w:rFonts w:ascii="Arial" w:hAnsi="Arial" w:cs="Arial"/>
          <w:bCs/>
        </w:rPr>
      </w:pPr>
      <w:r>
        <w:rPr>
          <w:rFonts w:ascii="Arial" w:hAnsi="Arial" w:cs="Arial"/>
          <w:bCs/>
        </w:rPr>
        <w:t>The Declaration is compatible with human rights because it promotes the protection of human rights.</w:t>
      </w:r>
    </w:p>
    <w:p w:rsidR="009A0CEF" w:rsidRPr="0078755B" w:rsidRDefault="0078755B" w:rsidP="0078755B">
      <w:pPr>
        <w:keepNext/>
        <w:spacing w:before="240"/>
        <w:rPr>
          <w:rFonts w:ascii="Arial" w:hAnsi="Arial" w:cs="Arial"/>
          <w:b/>
          <w:bCs/>
        </w:rPr>
      </w:pPr>
      <w:r w:rsidRPr="0078755B">
        <w:rPr>
          <w:rFonts w:ascii="Arial" w:hAnsi="Arial" w:cs="Arial"/>
          <w:b/>
          <w:bCs/>
        </w:rPr>
        <w:t>Consultation</w:t>
      </w:r>
    </w:p>
    <w:p w:rsidR="0078755B" w:rsidRDefault="0078755B" w:rsidP="0078755B">
      <w:pPr>
        <w:keepNext/>
        <w:spacing w:before="240"/>
        <w:rPr>
          <w:rFonts w:ascii="Arial" w:hAnsi="Arial" w:cs="Arial"/>
          <w:bCs/>
        </w:rPr>
      </w:pPr>
      <w:r>
        <w:rPr>
          <w:rFonts w:ascii="Arial" w:hAnsi="Arial" w:cs="Arial"/>
          <w:bCs/>
        </w:rPr>
        <w:t xml:space="preserve">Consultation on this Declaration </w:t>
      </w:r>
      <w:proofErr w:type="gramStart"/>
      <w:r>
        <w:rPr>
          <w:rFonts w:ascii="Arial" w:hAnsi="Arial" w:cs="Arial"/>
          <w:bCs/>
        </w:rPr>
        <w:t>was undertaken</w:t>
      </w:r>
      <w:proofErr w:type="gramEnd"/>
      <w:r>
        <w:rPr>
          <w:rFonts w:ascii="Arial" w:hAnsi="Arial" w:cs="Arial"/>
          <w:bCs/>
        </w:rPr>
        <w:t xml:space="preserve"> with key stakeholders.  In </w:t>
      </w:r>
      <w:proofErr w:type="gramStart"/>
      <w:r>
        <w:rPr>
          <w:rFonts w:ascii="Arial" w:hAnsi="Arial" w:cs="Arial"/>
          <w:bCs/>
        </w:rPr>
        <w:t>particular</w:t>
      </w:r>
      <w:proofErr w:type="gramEnd"/>
      <w:r>
        <w:rPr>
          <w:rFonts w:ascii="Arial" w:hAnsi="Arial" w:cs="Arial"/>
          <w:bCs/>
        </w:rPr>
        <w:t xml:space="preserve"> consultation was undertaken with:</w:t>
      </w:r>
    </w:p>
    <w:p w:rsidR="0078755B" w:rsidRDefault="000312CB" w:rsidP="0078755B">
      <w:pPr>
        <w:keepNext/>
        <w:numPr>
          <w:ilvl w:val="0"/>
          <w:numId w:val="8"/>
        </w:numPr>
        <w:spacing w:before="240"/>
        <w:rPr>
          <w:rFonts w:ascii="Arial" w:hAnsi="Arial" w:cs="Arial"/>
          <w:bCs/>
        </w:rPr>
      </w:pPr>
      <w:r>
        <w:rPr>
          <w:rFonts w:ascii="Arial" w:hAnsi="Arial" w:cs="Arial"/>
          <w:bCs/>
        </w:rPr>
        <w:t>Attorney-</w:t>
      </w:r>
      <w:r w:rsidR="0078755B">
        <w:rPr>
          <w:rFonts w:ascii="Arial" w:hAnsi="Arial" w:cs="Arial"/>
          <w:bCs/>
        </w:rPr>
        <w:t>General’s Department</w:t>
      </w:r>
    </w:p>
    <w:p w:rsidR="0078755B" w:rsidRDefault="0078755B" w:rsidP="0078755B">
      <w:pPr>
        <w:keepNext/>
        <w:numPr>
          <w:ilvl w:val="0"/>
          <w:numId w:val="8"/>
        </w:numPr>
        <w:spacing w:before="240"/>
        <w:rPr>
          <w:rFonts w:ascii="Arial" w:hAnsi="Arial" w:cs="Arial"/>
          <w:bCs/>
        </w:rPr>
      </w:pPr>
      <w:r>
        <w:rPr>
          <w:rFonts w:ascii="Arial" w:hAnsi="Arial" w:cs="Arial"/>
          <w:bCs/>
        </w:rPr>
        <w:t>Department of Human Services and</w:t>
      </w:r>
    </w:p>
    <w:p w:rsidR="0078755B" w:rsidRPr="002D7040" w:rsidRDefault="0078755B" w:rsidP="0078755B">
      <w:pPr>
        <w:keepNext/>
        <w:numPr>
          <w:ilvl w:val="0"/>
          <w:numId w:val="8"/>
        </w:numPr>
        <w:spacing w:before="240"/>
        <w:rPr>
          <w:rFonts w:ascii="Arial" w:hAnsi="Arial" w:cs="Arial"/>
          <w:bCs/>
        </w:rPr>
      </w:pPr>
      <w:proofErr w:type="gramStart"/>
      <w:r>
        <w:rPr>
          <w:rFonts w:ascii="Arial" w:hAnsi="Arial" w:cs="Arial"/>
          <w:bCs/>
        </w:rPr>
        <w:t>Department of Foreign Affairs and Trade.</w:t>
      </w:r>
      <w:proofErr w:type="gramEnd"/>
    </w:p>
    <w:sectPr w:rsidR="0078755B" w:rsidRPr="002D7040" w:rsidSect="00F226A2">
      <w:footerReference w:type="default" r:id="rId9"/>
      <w:pgSz w:w="11906" w:h="16838" w:code="9"/>
      <w:pgMar w:top="1296" w:right="1800" w:bottom="1296"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7A" w:rsidRDefault="002A5A7A">
      <w:r>
        <w:separator/>
      </w:r>
    </w:p>
  </w:endnote>
  <w:endnote w:type="continuationSeparator" w:id="0">
    <w:p w:rsidR="002A5A7A" w:rsidRDefault="002A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7A" w:rsidRDefault="002A5A7A" w:rsidP="00CE6B21">
    <w:pPr>
      <w:spacing w:line="200" w:lineRule="exact"/>
    </w:pPr>
  </w:p>
  <w:tbl>
    <w:tblPr>
      <w:tblW w:w="8388" w:type="dxa"/>
      <w:tblBorders>
        <w:top w:val="single" w:sz="4" w:space="0" w:color="auto"/>
      </w:tblBorders>
      <w:tblLayout w:type="fixed"/>
      <w:tblLook w:val="01E0" w:firstRow="1" w:lastRow="1" w:firstColumn="1" w:lastColumn="1" w:noHBand="0" w:noVBand="0"/>
    </w:tblPr>
    <w:tblGrid>
      <w:gridCol w:w="250"/>
      <w:gridCol w:w="7902"/>
      <w:gridCol w:w="236"/>
    </w:tblGrid>
    <w:tr w:rsidR="002A5A7A" w:rsidRPr="00521917" w:rsidTr="000B3A1D">
      <w:tc>
        <w:tcPr>
          <w:tcW w:w="250" w:type="dxa"/>
        </w:tcPr>
        <w:p w:rsidR="002A5A7A" w:rsidRPr="00521917" w:rsidRDefault="002A5A7A" w:rsidP="00CE6B21">
          <w:pPr>
            <w:spacing w:line="240" w:lineRule="exact"/>
            <w:rPr>
              <w:rFonts w:ascii="Arial" w:hAnsi="Arial" w:cs="Arial"/>
            </w:rPr>
          </w:pPr>
        </w:p>
      </w:tc>
      <w:tc>
        <w:tcPr>
          <w:tcW w:w="7902" w:type="dxa"/>
        </w:tcPr>
        <w:p w:rsidR="002A5A7A" w:rsidRPr="00903F26" w:rsidRDefault="002A5A7A" w:rsidP="00307820">
          <w:pPr>
            <w:pStyle w:val="FooterCitation"/>
            <w:spacing w:before="60" w:after="60"/>
            <w:jc w:val="left"/>
            <w:rPr>
              <w:rFonts w:cs="Arial"/>
              <w:i w:val="0"/>
              <w:iCs/>
              <w:sz w:val="20"/>
              <w:szCs w:val="20"/>
            </w:rPr>
          </w:pPr>
        </w:p>
      </w:tc>
      <w:tc>
        <w:tcPr>
          <w:tcW w:w="236" w:type="dxa"/>
        </w:tcPr>
        <w:p w:rsidR="002A5A7A" w:rsidRPr="00521917" w:rsidRDefault="002A5A7A" w:rsidP="008C39D0">
          <w:pPr>
            <w:spacing w:before="60" w:after="60" w:line="240" w:lineRule="exact"/>
            <w:jc w:val="right"/>
            <w:rPr>
              <w:rStyle w:val="PageNumber"/>
              <w:rFonts w:ascii="Arial" w:hAnsi="Arial" w:cs="Arial"/>
              <w:sz w:val="20"/>
              <w:szCs w:val="20"/>
            </w:rPr>
          </w:pPr>
          <w:r w:rsidRPr="00521917">
            <w:rPr>
              <w:rStyle w:val="PageNumber"/>
              <w:rFonts w:ascii="Arial" w:hAnsi="Arial" w:cs="Arial"/>
              <w:sz w:val="20"/>
              <w:szCs w:val="20"/>
            </w:rPr>
            <w:fldChar w:fldCharType="begin"/>
          </w:r>
          <w:r w:rsidRPr="00521917">
            <w:rPr>
              <w:rStyle w:val="PageNumber"/>
              <w:rFonts w:ascii="Arial" w:hAnsi="Arial" w:cs="Arial"/>
              <w:sz w:val="20"/>
              <w:szCs w:val="20"/>
            </w:rPr>
            <w:instrText xml:space="preserve"> PAGE </w:instrText>
          </w:r>
          <w:r w:rsidRPr="00521917">
            <w:rPr>
              <w:rStyle w:val="PageNumber"/>
              <w:rFonts w:ascii="Arial" w:hAnsi="Arial" w:cs="Arial"/>
              <w:sz w:val="20"/>
              <w:szCs w:val="20"/>
            </w:rPr>
            <w:fldChar w:fldCharType="separate"/>
          </w:r>
          <w:r w:rsidR="000312CB">
            <w:rPr>
              <w:rStyle w:val="PageNumber"/>
              <w:rFonts w:ascii="Arial" w:hAnsi="Arial" w:cs="Arial"/>
              <w:noProof/>
              <w:sz w:val="20"/>
              <w:szCs w:val="20"/>
            </w:rPr>
            <w:t>5</w:t>
          </w:r>
          <w:r w:rsidRPr="00521917">
            <w:rPr>
              <w:rStyle w:val="PageNumber"/>
              <w:rFonts w:ascii="Arial" w:hAnsi="Arial" w:cs="Arial"/>
              <w:sz w:val="20"/>
              <w:szCs w:val="20"/>
            </w:rPr>
            <w:fldChar w:fldCharType="end"/>
          </w:r>
        </w:p>
      </w:tc>
    </w:tr>
  </w:tbl>
  <w:p w:rsidR="002A5A7A" w:rsidRDefault="002A5A7A" w:rsidP="00CE6B2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7A" w:rsidRDefault="002A5A7A">
      <w:r>
        <w:separator/>
      </w:r>
    </w:p>
  </w:footnote>
  <w:footnote w:type="continuationSeparator" w:id="0">
    <w:p w:rsidR="002A5A7A" w:rsidRDefault="002A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1F"/>
    <w:multiLevelType w:val="hybridMultilevel"/>
    <w:tmpl w:val="80524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E124B2"/>
    <w:multiLevelType w:val="hybridMultilevel"/>
    <w:tmpl w:val="F932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DD46AE"/>
    <w:multiLevelType w:val="hybridMultilevel"/>
    <w:tmpl w:val="95A4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45AC3"/>
    <w:multiLevelType w:val="hybridMultilevel"/>
    <w:tmpl w:val="6E24B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324456"/>
    <w:multiLevelType w:val="hybridMultilevel"/>
    <w:tmpl w:val="D5F84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856DBE"/>
    <w:multiLevelType w:val="hybridMultilevel"/>
    <w:tmpl w:val="E2B83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D03C89"/>
    <w:multiLevelType w:val="singleLevel"/>
    <w:tmpl w:val="3AD08AEA"/>
    <w:lvl w:ilvl="0">
      <w:start w:val="1"/>
      <w:numFmt w:val="bullet"/>
      <w:pStyle w:val="Bullet1"/>
      <w:lvlText w:val=""/>
      <w:lvlJc w:val="left"/>
      <w:pPr>
        <w:tabs>
          <w:tab w:val="num" w:pos="425"/>
        </w:tabs>
        <w:ind w:left="425" w:hanging="425"/>
      </w:pPr>
      <w:rPr>
        <w:rFonts w:ascii="Symbol" w:hAnsi="Symbol" w:hint="default"/>
        <w:color w:val="auto"/>
      </w:rPr>
    </w:lvl>
  </w:abstractNum>
  <w:abstractNum w:abstractNumId="7">
    <w:nsid w:val="4E2E0478"/>
    <w:multiLevelType w:val="singleLevel"/>
    <w:tmpl w:val="EA6E1C66"/>
    <w:lvl w:ilvl="0">
      <w:start w:val="2"/>
      <w:numFmt w:val="decimal"/>
      <w:pStyle w:val="Paragraphnumbered"/>
      <w:lvlText w:val="%1."/>
      <w:legacy w:legacy="1" w:legacySpace="0" w:legacyIndent="567"/>
      <w:lvlJc w:val="left"/>
      <w:pPr>
        <w:ind w:left="567" w:hanging="567"/>
      </w:pPr>
    </w:lvl>
  </w:abstractNum>
  <w:num w:numId="1">
    <w:abstractNumId w:val="6"/>
  </w:num>
  <w:num w:numId="2">
    <w:abstractNumId w:val="7"/>
  </w:num>
  <w:num w:numId="3">
    <w:abstractNumId w:val="5"/>
  </w:num>
  <w:num w:numId="4">
    <w:abstractNumId w:val="2"/>
  </w:num>
  <w:num w:numId="5">
    <w:abstractNumId w:val="3"/>
  </w:num>
  <w:num w:numId="6">
    <w:abstractNumId w:val="1"/>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4A6"/>
    <w:rsid w:val="0000141A"/>
    <w:rsid w:val="00001A8A"/>
    <w:rsid w:val="0000389F"/>
    <w:rsid w:val="0000632F"/>
    <w:rsid w:val="00007AF5"/>
    <w:rsid w:val="000116BA"/>
    <w:rsid w:val="00011967"/>
    <w:rsid w:val="00012E2D"/>
    <w:rsid w:val="00014769"/>
    <w:rsid w:val="00015509"/>
    <w:rsid w:val="00015675"/>
    <w:rsid w:val="000216C0"/>
    <w:rsid w:val="00023F0B"/>
    <w:rsid w:val="0002467B"/>
    <w:rsid w:val="00025C5A"/>
    <w:rsid w:val="00026901"/>
    <w:rsid w:val="00026955"/>
    <w:rsid w:val="00026A40"/>
    <w:rsid w:val="00026A53"/>
    <w:rsid w:val="000275FA"/>
    <w:rsid w:val="000312CB"/>
    <w:rsid w:val="00032767"/>
    <w:rsid w:val="00035584"/>
    <w:rsid w:val="0003663B"/>
    <w:rsid w:val="00037B46"/>
    <w:rsid w:val="0004047E"/>
    <w:rsid w:val="000407C3"/>
    <w:rsid w:val="000503F1"/>
    <w:rsid w:val="000504C8"/>
    <w:rsid w:val="00053E3A"/>
    <w:rsid w:val="00054D7D"/>
    <w:rsid w:val="00056243"/>
    <w:rsid w:val="0006043D"/>
    <w:rsid w:val="00061204"/>
    <w:rsid w:val="000622ED"/>
    <w:rsid w:val="0006369A"/>
    <w:rsid w:val="00063B8A"/>
    <w:rsid w:val="0006407F"/>
    <w:rsid w:val="000667A4"/>
    <w:rsid w:val="00067DBA"/>
    <w:rsid w:val="00071320"/>
    <w:rsid w:val="00071815"/>
    <w:rsid w:val="0007419E"/>
    <w:rsid w:val="00076EA2"/>
    <w:rsid w:val="00077F1E"/>
    <w:rsid w:val="00084520"/>
    <w:rsid w:val="00085984"/>
    <w:rsid w:val="00085F32"/>
    <w:rsid w:val="00091A4F"/>
    <w:rsid w:val="000953BA"/>
    <w:rsid w:val="000954C3"/>
    <w:rsid w:val="00095929"/>
    <w:rsid w:val="0009613F"/>
    <w:rsid w:val="0009692C"/>
    <w:rsid w:val="00097227"/>
    <w:rsid w:val="00097630"/>
    <w:rsid w:val="000A1738"/>
    <w:rsid w:val="000A3650"/>
    <w:rsid w:val="000A621A"/>
    <w:rsid w:val="000A7A1C"/>
    <w:rsid w:val="000A7FE3"/>
    <w:rsid w:val="000B0AF7"/>
    <w:rsid w:val="000B0E18"/>
    <w:rsid w:val="000B1B39"/>
    <w:rsid w:val="000B3A1D"/>
    <w:rsid w:val="000B4828"/>
    <w:rsid w:val="000B4BEC"/>
    <w:rsid w:val="000B5DEE"/>
    <w:rsid w:val="000B6238"/>
    <w:rsid w:val="000B6756"/>
    <w:rsid w:val="000B6A2C"/>
    <w:rsid w:val="000B7F6C"/>
    <w:rsid w:val="000C188C"/>
    <w:rsid w:val="000C20BA"/>
    <w:rsid w:val="000C44D3"/>
    <w:rsid w:val="000C4765"/>
    <w:rsid w:val="000C5B6A"/>
    <w:rsid w:val="000C5BE8"/>
    <w:rsid w:val="000C6E97"/>
    <w:rsid w:val="000D17BC"/>
    <w:rsid w:val="000D2C68"/>
    <w:rsid w:val="000E4F6B"/>
    <w:rsid w:val="000E61A1"/>
    <w:rsid w:val="000E7B4E"/>
    <w:rsid w:val="000F15AD"/>
    <w:rsid w:val="000F28C7"/>
    <w:rsid w:val="000F2C75"/>
    <w:rsid w:val="000F2F52"/>
    <w:rsid w:val="000F3064"/>
    <w:rsid w:val="000F38EB"/>
    <w:rsid w:val="000F5230"/>
    <w:rsid w:val="000F6513"/>
    <w:rsid w:val="000F6A4B"/>
    <w:rsid w:val="000F76D7"/>
    <w:rsid w:val="0010275D"/>
    <w:rsid w:val="00102E33"/>
    <w:rsid w:val="0010576A"/>
    <w:rsid w:val="00105D50"/>
    <w:rsid w:val="00110E4C"/>
    <w:rsid w:val="00112128"/>
    <w:rsid w:val="00112C4A"/>
    <w:rsid w:val="001148D6"/>
    <w:rsid w:val="00115BAA"/>
    <w:rsid w:val="0011661C"/>
    <w:rsid w:val="00116819"/>
    <w:rsid w:val="00120449"/>
    <w:rsid w:val="00121F2D"/>
    <w:rsid w:val="001224D1"/>
    <w:rsid w:val="001227CE"/>
    <w:rsid w:val="00122805"/>
    <w:rsid w:val="00122FFC"/>
    <w:rsid w:val="00123A1F"/>
    <w:rsid w:val="00123C3D"/>
    <w:rsid w:val="00123DD2"/>
    <w:rsid w:val="001244A7"/>
    <w:rsid w:val="00127400"/>
    <w:rsid w:val="00127667"/>
    <w:rsid w:val="00127E7B"/>
    <w:rsid w:val="001322B7"/>
    <w:rsid w:val="001378BA"/>
    <w:rsid w:val="0014143F"/>
    <w:rsid w:val="0014203D"/>
    <w:rsid w:val="00142430"/>
    <w:rsid w:val="00142496"/>
    <w:rsid w:val="0014312E"/>
    <w:rsid w:val="00152717"/>
    <w:rsid w:val="00153168"/>
    <w:rsid w:val="001542D2"/>
    <w:rsid w:val="001545A4"/>
    <w:rsid w:val="001549E3"/>
    <w:rsid w:val="0015665B"/>
    <w:rsid w:val="00157DBA"/>
    <w:rsid w:val="001610D7"/>
    <w:rsid w:val="00161DA0"/>
    <w:rsid w:val="00162ED9"/>
    <w:rsid w:val="0016421B"/>
    <w:rsid w:val="00167F10"/>
    <w:rsid w:val="001712A6"/>
    <w:rsid w:val="00171CF1"/>
    <w:rsid w:val="00172C06"/>
    <w:rsid w:val="001732CF"/>
    <w:rsid w:val="00175151"/>
    <w:rsid w:val="00175749"/>
    <w:rsid w:val="0017663B"/>
    <w:rsid w:val="00180D51"/>
    <w:rsid w:val="00181438"/>
    <w:rsid w:val="001818D7"/>
    <w:rsid w:val="00183DC7"/>
    <w:rsid w:val="00187F82"/>
    <w:rsid w:val="001916BA"/>
    <w:rsid w:val="001927E3"/>
    <w:rsid w:val="00196E7C"/>
    <w:rsid w:val="001A137F"/>
    <w:rsid w:val="001A4C99"/>
    <w:rsid w:val="001A53E9"/>
    <w:rsid w:val="001B2264"/>
    <w:rsid w:val="001B4588"/>
    <w:rsid w:val="001C2302"/>
    <w:rsid w:val="001C4EAE"/>
    <w:rsid w:val="001D0643"/>
    <w:rsid w:val="001D1FC1"/>
    <w:rsid w:val="001D4D50"/>
    <w:rsid w:val="001D5445"/>
    <w:rsid w:val="001D7179"/>
    <w:rsid w:val="001E2322"/>
    <w:rsid w:val="001E47BE"/>
    <w:rsid w:val="001E4DF7"/>
    <w:rsid w:val="001F0144"/>
    <w:rsid w:val="001F0C40"/>
    <w:rsid w:val="002005E3"/>
    <w:rsid w:val="00205AC5"/>
    <w:rsid w:val="00207845"/>
    <w:rsid w:val="002141B7"/>
    <w:rsid w:val="00214A1C"/>
    <w:rsid w:val="00215C65"/>
    <w:rsid w:val="00216491"/>
    <w:rsid w:val="002169F1"/>
    <w:rsid w:val="00217C3B"/>
    <w:rsid w:val="00220F01"/>
    <w:rsid w:val="00222E70"/>
    <w:rsid w:val="00223E04"/>
    <w:rsid w:val="002250F2"/>
    <w:rsid w:val="0023201D"/>
    <w:rsid w:val="0023266E"/>
    <w:rsid w:val="00232711"/>
    <w:rsid w:val="002349C9"/>
    <w:rsid w:val="00236031"/>
    <w:rsid w:val="0023631A"/>
    <w:rsid w:val="00241EBB"/>
    <w:rsid w:val="00243603"/>
    <w:rsid w:val="00246183"/>
    <w:rsid w:val="002465B6"/>
    <w:rsid w:val="00246655"/>
    <w:rsid w:val="00247A8A"/>
    <w:rsid w:val="00251050"/>
    <w:rsid w:val="00252B4E"/>
    <w:rsid w:val="00252D67"/>
    <w:rsid w:val="00252E0E"/>
    <w:rsid w:val="002544DE"/>
    <w:rsid w:val="0025535B"/>
    <w:rsid w:val="002570B4"/>
    <w:rsid w:val="002627F3"/>
    <w:rsid w:val="00262D31"/>
    <w:rsid w:val="00263CE1"/>
    <w:rsid w:val="00266366"/>
    <w:rsid w:val="00267FB4"/>
    <w:rsid w:val="002702FE"/>
    <w:rsid w:val="002704B6"/>
    <w:rsid w:val="0027133E"/>
    <w:rsid w:val="00272055"/>
    <w:rsid w:val="00273D2C"/>
    <w:rsid w:val="00274F9B"/>
    <w:rsid w:val="00275258"/>
    <w:rsid w:val="00276415"/>
    <w:rsid w:val="0027724C"/>
    <w:rsid w:val="0028366D"/>
    <w:rsid w:val="002859A3"/>
    <w:rsid w:val="002867C8"/>
    <w:rsid w:val="0029075A"/>
    <w:rsid w:val="00295212"/>
    <w:rsid w:val="002A0985"/>
    <w:rsid w:val="002A298B"/>
    <w:rsid w:val="002A35E4"/>
    <w:rsid w:val="002A360D"/>
    <w:rsid w:val="002A5A7A"/>
    <w:rsid w:val="002A63D8"/>
    <w:rsid w:val="002B5119"/>
    <w:rsid w:val="002B7EA0"/>
    <w:rsid w:val="002B7F10"/>
    <w:rsid w:val="002C0E36"/>
    <w:rsid w:val="002C276D"/>
    <w:rsid w:val="002C2BA5"/>
    <w:rsid w:val="002D00D4"/>
    <w:rsid w:val="002D25E8"/>
    <w:rsid w:val="002D410F"/>
    <w:rsid w:val="002D6A03"/>
    <w:rsid w:val="002D7040"/>
    <w:rsid w:val="002D70A2"/>
    <w:rsid w:val="002D7F06"/>
    <w:rsid w:val="002E09F5"/>
    <w:rsid w:val="002E188E"/>
    <w:rsid w:val="002E40EC"/>
    <w:rsid w:val="002E42B8"/>
    <w:rsid w:val="002F0679"/>
    <w:rsid w:val="002F36BA"/>
    <w:rsid w:val="002F3DE2"/>
    <w:rsid w:val="002F3FF2"/>
    <w:rsid w:val="002F4012"/>
    <w:rsid w:val="002F43F7"/>
    <w:rsid w:val="002F4AE5"/>
    <w:rsid w:val="002F67CF"/>
    <w:rsid w:val="00302724"/>
    <w:rsid w:val="00302F5F"/>
    <w:rsid w:val="00303146"/>
    <w:rsid w:val="003055E0"/>
    <w:rsid w:val="00305F39"/>
    <w:rsid w:val="0030618A"/>
    <w:rsid w:val="00307820"/>
    <w:rsid w:val="00310CED"/>
    <w:rsid w:val="00313C4A"/>
    <w:rsid w:val="00315376"/>
    <w:rsid w:val="0031574D"/>
    <w:rsid w:val="00316AFA"/>
    <w:rsid w:val="0031707B"/>
    <w:rsid w:val="0031721B"/>
    <w:rsid w:val="003173C4"/>
    <w:rsid w:val="00317C1C"/>
    <w:rsid w:val="00321231"/>
    <w:rsid w:val="00322F3B"/>
    <w:rsid w:val="0032434C"/>
    <w:rsid w:val="0032508D"/>
    <w:rsid w:val="00325819"/>
    <w:rsid w:val="00330921"/>
    <w:rsid w:val="00333AF3"/>
    <w:rsid w:val="0033460F"/>
    <w:rsid w:val="00334D03"/>
    <w:rsid w:val="0034095A"/>
    <w:rsid w:val="003432D0"/>
    <w:rsid w:val="0034460A"/>
    <w:rsid w:val="00344B1A"/>
    <w:rsid w:val="00345A2B"/>
    <w:rsid w:val="0034631A"/>
    <w:rsid w:val="00346475"/>
    <w:rsid w:val="00350506"/>
    <w:rsid w:val="00351D4C"/>
    <w:rsid w:val="003539CB"/>
    <w:rsid w:val="00354DD5"/>
    <w:rsid w:val="00355019"/>
    <w:rsid w:val="003553B0"/>
    <w:rsid w:val="0035553A"/>
    <w:rsid w:val="00356E40"/>
    <w:rsid w:val="00360022"/>
    <w:rsid w:val="003646CA"/>
    <w:rsid w:val="00366404"/>
    <w:rsid w:val="00367D05"/>
    <w:rsid w:val="003730FD"/>
    <w:rsid w:val="0037340E"/>
    <w:rsid w:val="00373B44"/>
    <w:rsid w:val="00373DFD"/>
    <w:rsid w:val="003774C3"/>
    <w:rsid w:val="00377BAB"/>
    <w:rsid w:val="003817BC"/>
    <w:rsid w:val="003829C8"/>
    <w:rsid w:val="0038328A"/>
    <w:rsid w:val="00383677"/>
    <w:rsid w:val="00383F86"/>
    <w:rsid w:val="0038509D"/>
    <w:rsid w:val="003A06E2"/>
    <w:rsid w:val="003A4288"/>
    <w:rsid w:val="003A5615"/>
    <w:rsid w:val="003A6DB6"/>
    <w:rsid w:val="003A70D9"/>
    <w:rsid w:val="003B16A3"/>
    <w:rsid w:val="003B4526"/>
    <w:rsid w:val="003B4DCF"/>
    <w:rsid w:val="003B5110"/>
    <w:rsid w:val="003B60A7"/>
    <w:rsid w:val="003C07A8"/>
    <w:rsid w:val="003C0A0E"/>
    <w:rsid w:val="003C0A35"/>
    <w:rsid w:val="003C1581"/>
    <w:rsid w:val="003C1FFA"/>
    <w:rsid w:val="003C212E"/>
    <w:rsid w:val="003C58B3"/>
    <w:rsid w:val="003C6408"/>
    <w:rsid w:val="003C6DD9"/>
    <w:rsid w:val="003D3608"/>
    <w:rsid w:val="003D4D49"/>
    <w:rsid w:val="003E0BA4"/>
    <w:rsid w:val="003E14C4"/>
    <w:rsid w:val="003E2067"/>
    <w:rsid w:val="003E5826"/>
    <w:rsid w:val="003E6306"/>
    <w:rsid w:val="003E72C0"/>
    <w:rsid w:val="003F1011"/>
    <w:rsid w:val="003F3C36"/>
    <w:rsid w:val="003F4369"/>
    <w:rsid w:val="003F451B"/>
    <w:rsid w:val="003F536A"/>
    <w:rsid w:val="003F6417"/>
    <w:rsid w:val="003F68D6"/>
    <w:rsid w:val="003F79D8"/>
    <w:rsid w:val="0040120A"/>
    <w:rsid w:val="00405545"/>
    <w:rsid w:val="00405B72"/>
    <w:rsid w:val="00405DDE"/>
    <w:rsid w:val="00406049"/>
    <w:rsid w:val="004100C5"/>
    <w:rsid w:val="00410DEE"/>
    <w:rsid w:val="00412116"/>
    <w:rsid w:val="004127DC"/>
    <w:rsid w:val="00412EE3"/>
    <w:rsid w:val="0041390F"/>
    <w:rsid w:val="00415864"/>
    <w:rsid w:val="0041591D"/>
    <w:rsid w:val="004170DE"/>
    <w:rsid w:val="0042465B"/>
    <w:rsid w:val="004254FD"/>
    <w:rsid w:val="0042621C"/>
    <w:rsid w:val="00426CDA"/>
    <w:rsid w:val="004277AF"/>
    <w:rsid w:val="00430461"/>
    <w:rsid w:val="00430757"/>
    <w:rsid w:val="00431D85"/>
    <w:rsid w:val="0043789B"/>
    <w:rsid w:val="00440353"/>
    <w:rsid w:val="0044279F"/>
    <w:rsid w:val="00444499"/>
    <w:rsid w:val="004448AB"/>
    <w:rsid w:val="00444A3C"/>
    <w:rsid w:val="004467F2"/>
    <w:rsid w:val="0045394C"/>
    <w:rsid w:val="004546DF"/>
    <w:rsid w:val="00455640"/>
    <w:rsid w:val="00457208"/>
    <w:rsid w:val="0046147B"/>
    <w:rsid w:val="00461FE5"/>
    <w:rsid w:val="00462046"/>
    <w:rsid w:val="00463E6D"/>
    <w:rsid w:val="00465A22"/>
    <w:rsid w:val="0046670D"/>
    <w:rsid w:val="00470D94"/>
    <w:rsid w:val="00470F5C"/>
    <w:rsid w:val="00471EF1"/>
    <w:rsid w:val="004740A4"/>
    <w:rsid w:val="00474EBC"/>
    <w:rsid w:val="00476236"/>
    <w:rsid w:val="0048012E"/>
    <w:rsid w:val="00481824"/>
    <w:rsid w:val="0048185A"/>
    <w:rsid w:val="0048639D"/>
    <w:rsid w:val="00493565"/>
    <w:rsid w:val="004978FD"/>
    <w:rsid w:val="004A0D39"/>
    <w:rsid w:val="004A4557"/>
    <w:rsid w:val="004A4E4E"/>
    <w:rsid w:val="004A6952"/>
    <w:rsid w:val="004B19E2"/>
    <w:rsid w:val="004B38F8"/>
    <w:rsid w:val="004B4134"/>
    <w:rsid w:val="004B4A6F"/>
    <w:rsid w:val="004B65CA"/>
    <w:rsid w:val="004B7339"/>
    <w:rsid w:val="004B772A"/>
    <w:rsid w:val="004C0149"/>
    <w:rsid w:val="004C0437"/>
    <w:rsid w:val="004C0D2A"/>
    <w:rsid w:val="004C1900"/>
    <w:rsid w:val="004C2886"/>
    <w:rsid w:val="004C2BB0"/>
    <w:rsid w:val="004C2C8C"/>
    <w:rsid w:val="004C2DAC"/>
    <w:rsid w:val="004C3236"/>
    <w:rsid w:val="004C5CA9"/>
    <w:rsid w:val="004C5FA0"/>
    <w:rsid w:val="004C6A48"/>
    <w:rsid w:val="004C6E18"/>
    <w:rsid w:val="004C7A9B"/>
    <w:rsid w:val="004D055E"/>
    <w:rsid w:val="004D1187"/>
    <w:rsid w:val="004D37CE"/>
    <w:rsid w:val="004D4BA6"/>
    <w:rsid w:val="004D7A34"/>
    <w:rsid w:val="004E0101"/>
    <w:rsid w:val="004E14CF"/>
    <w:rsid w:val="004E3AEF"/>
    <w:rsid w:val="004E3F45"/>
    <w:rsid w:val="004E541A"/>
    <w:rsid w:val="004E5B65"/>
    <w:rsid w:val="004E709D"/>
    <w:rsid w:val="004F2123"/>
    <w:rsid w:val="004F28FA"/>
    <w:rsid w:val="004F2AA3"/>
    <w:rsid w:val="004F37D4"/>
    <w:rsid w:val="004F38A6"/>
    <w:rsid w:val="004F4462"/>
    <w:rsid w:val="004F5391"/>
    <w:rsid w:val="004F69A1"/>
    <w:rsid w:val="00501BED"/>
    <w:rsid w:val="00502378"/>
    <w:rsid w:val="00504505"/>
    <w:rsid w:val="00504BFF"/>
    <w:rsid w:val="0050507C"/>
    <w:rsid w:val="00510049"/>
    <w:rsid w:val="00510A3F"/>
    <w:rsid w:val="00511F81"/>
    <w:rsid w:val="00516D6A"/>
    <w:rsid w:val="00520AC0"/>
    <w:rsid w:val="00520EB1"/>
    <w:rsid w:val="00521917"/>
    <w:rsid w:val="0052228B"/>
    <w:rsid w:val="00522D2C"/>
    <w:rsid w:val="005270BF"/>
    <w:rsid w:val="00530579"/>
    <w:rsid w:val="0053120F"/>
    <w:rsid w:val="00531940"/>
    <w:rsid w:val="005353A2"/>
    <w:rsid w:val="005368D4"/>
    <w:rsid w:val="00536A39"/>
    <w:rsid w:val="00541323"/>
    <w:rsid w:val="00543159"/>
    <w:rsid w:val="00544D3C"/>
    <w:rsid w:val="00545CF9"/>
    <w:rsid w:val="00547756"/>
    <w:rsid w:val="005508AC"/>
    <w:rsid w:val="005524D0"/>
    <w:rsid w:val="0055262B"/>
    <w:rsid w:val="0055508C"/>
    <w:rsid w:val="0055618F"/>
    <w:rsid w:val="00561A96"/>
    <w:rsid w:val="00561AEB"/>
    <w:rsid w:val="00562D6C"/>
    <w:rsid w:val="0056699D"/>
    <w:rsid w:val="00566DEB"/>
    <w:rsid w:val="00572841"/>
    <w:rsid w:val="00574DB6"/>
    <w:rsid w:val="00575447"/>
    <w:rsid w:val="005758AC"/>
    <w:rsid w:val="00577092"/>
    <w:rsid w:val="00577B13"/>
    <w:rsid w:val="00577E68"/>
    <w:rsid w:val="005805F9"/>
    <w:rsid w:val="0058229F"/>
    <w:rsid w:val="00582978"/>
    <w:rsid w:val="00584884"/>
    <w:rsid w:val="00584DE0"/>
    <w:rsid w:val="00586FDA"/>
    <w:rsid w:val="00587540"/>
    <w:rsid w:val="00592692"/>
    <w:rsid w:val="005954BE"/>
    <w:rsid w:val="00596FA0"/>
    <w:rsid w:val="0059756A"/>
    <w:rsid w:val="005A080E"/>
    <w:rsid w:val="005A0C31"/>
    <w:rsid w:val="005A42C1"/>
    <w:rsid w:val="005A7F02"/>
    <w:rsid w:val="005A7FDB"/>
    <w:rsid w:val="005B093A"/>
    <w:rsid w:val="005B1A8F"/>
    <w:rsid w:val="005B2E91"/>
    <w:rsid w:val="005B61F8"/>
    <w:rsid w:val="005B62A8"/>
    <w:rsid w:val="005B6D86"/>
    <w:rsid w:val="005C200F"/>
    <w:rsid w:val="005C24BE"/>
    <w:rsid w:val="005C253D"/>
    <w:rsid w:val="005C2872"/>
    <w:rsid w:val="005C5C2E"/>
    <w:rsid w:val="005C72F7"/>
    <w:rsid w:val="005D13CF"/>
    <w:rsid w:val="005D3720"/>
    <w:rsid w:val="005D6464"/>
    <w:rsid w:val="005E1794"/>
    <w:rsid w:val="005E2E0C"/>
    <w:rsid w:val="005E61D2"/>
    <w:rsid w:val="005E6B6C"/>
    <w:rsid w:val="005E768C"/>
    <w:rsid w:val="005F04CE"/>
    <w:rsid w:val="005F0F14"/>
    <w:rsid w:val="005F262E"/>
    <w:rsid w:val="005F2C10"/>
    <w:rsid w:val="005F2F3A"/>
    <w:rsid w:val="005F2FB0"/>
    <w:rsid w:val="005F4B42"/>
    <w:rsid w:val="005F5133"/>
    <w:rsid w:val="00600BE9"/>
    <w:rsid w:val="00600D05"/>
    <w:rsid w:val="00602857"/>
    <w:rsid w:val="00610180"/>
    <w:rsid w:val="006102C7"/>
    <w:rsid w:val="0061319D"/>
    <w:rsid w:val="00613395"/>
    <w:rsid w:val="006152A8"/>
    <w:rsid w:val="00615338"/>
    <w:rsid w:val="00616F1A"/>
    <w:rsid w:val="006202BA"/>
    <w:rsid w:val="00622209"/>
    <w:rsid w:val="00622451"/>
    <w:rsid w:val="00623F34"/>
    <w:rsid w:val="006241FA"/>
    <w:rsid w:val="006252D2"/>
    <w:rsid w:val="00626488"/>
    <w:rsid w:val="0062719C"/>
    <w:rsid w:val="00627841"/>
    <w:rsid w:val="00630D66"/>
    <w:rsid w:val="00631783"/>
    <w:rsid w:val="00631890"/>
    <w:rsid w:val="00635558"/>
    <w:rsid w:val="00641114"/>
    <w:rsid w:val="00642462"/>
    <w:rsid w:val="006458F9"/>
    <w:rsid w:val="00647C28"/>
    <w:rsid w:val="00651008"/>
    <w:rsid w:val="00651A7D"/>
    <w:rsid w:val="0065220E"/>
    <w:rsid w:val="006544D1"/>
    <w:rsid w:val="00656EF6"/>
    <w:rsid w:val="006578F4"/>
    <w:rsid w:val="006623D2"/>
    <w:rsid w:val="0066458E"/>
    <w:rsid w:val="00667A40"/>
    <w:rsid w:val="00667EB4"/>
    <w:rsid w:val="00670165"/>
    <w:rsid w:val="0067020C"/>
    <w:rsid w:val="0067051A"/>
    <w:rsid w:val="00670E98"/>
    <w:rsid w:val="00670F55"/>
    <w:rsid w:val="006712B6"/>
    <w:rsid w:val="006774E0"/>
    <w:rsid w:val="00680140"/>
    <w:rsid w:val="006830BB"/>
    <w:rsid w:val="00683739"/>
    <w:rsid w:val="00683FC7"/>
    <w:rsid w:val="00685432"/>
    <w:rsid w:val="00694BB1"/>
    <w:rsid w:val="006A1ECA"/>
    <w:rsid w:val="006A4337"/>
    <w:rsid w:val="006A5731"/>
    <w:rsid w:val="006A5E23"/>
    <w:rsid w:val="006A6517"/>
    <w:rsid w:val="006B079B"/>
    <w:rsid w:val="006B0CD0"/>
    <w:rsid w:val="006B177E"/>
    <w:rsid w:val="006B38A2"/>
    <w:rsid w:val="006B54B6"/>
    <w:rsid w:val="006B6C71"/>
    <w:rsid w:val="006C0B31"/>
    <w:rsid w:val="006C37C4"/>
    <w:rsid w:val="006C417B"/>
    <w:rsid w:val="006C5E40"/>
    <w:rsid w:val="006C6232"/>
    <w:rsid w:val="006C626E"/>
    <w:rsid w:val="006C6ACA"/>
    <w:rsid w:val="006C6CEB"/>
    <w:rsid w:val="006D2DF2"/>
    <w:rsid w:val="006D37DA"/>
    <w:rsid w:val="006D44BA"/>
    <w:rsid w:val="006D48A1"/>
    <w:rsid w:val="006D5419"/>
    <w:rsid w:val="006D6943"/>
    <w:rsid w:val="006E0E26"/>
    <w:rsid w:val="006E2B64"/>
    <w:rsid w:val="006E4336"/>
    <w:rsid w:val="006E4428"/>
    <w:rsid w:val="006E567C"/>
    <w:rsid w:val="006E5E4E"/>
    <w:rsid w:val="006E6512"/>
    <w:rsid w:val="006E6FFD"/>
    <w:rsid w:val="006F0D6D"/>
    <w:rsid w:val="006F12D4"/>
    <w:rsid w:val="006F4012"/>
    <w:rsid w:val="006F6A39"/>
    <w:rsid w:val="006F6D6E"/>
    <w:rsid w:val="006F784A"/>
    <w:rsid w:val="006F79B3"/>
    <w:rsid w:val="00700444"/>
    <w:rsid w:val="007031D5"/>
    <w:rsid w:val="00704F0E"/>
    <w:rsid w:val="00705492"/>
    <w:rsid w:val="00706404"/>
    <w:rsid w:val="00706EBC"/>
    <w:rsid w:val="00710DDD"/>
    <w:rsid w:val="007111B8"/>
    <w:rsid w:val="0071385F"/>
    <w:rsid w:val="007148CF"/>
    <w:rsid w:val="007153B6"/>
    <w:rsid w:val="007153F5"/>
    <w:rsid w:val="007156AF"/>
    <w:rsid w:val="00715D1B"/>
    <w:rsid w:val="00715EA5"/>
    <w:rsid w:val="007166CA"/>
    <w:rsid w:val="00716A6E"/>
    <w:rsid w:val="00720FC0"/>
    <w:rsid w:val="00721092"/>
    <w:rsid w:val="00722668"/>
    <w:rsid w:val="00723A22"/>
    <w:rsid w:val="007255A3"/>
    <w:rsid w:val="007257BF"/>
    <w:rsid w:val="007274D5"/>
    <w:rsid w:val="007314A2"/>
    <w:rsid w:val="0073443A"/>
    <w:rsid w:val="00737508"/>
    <w:rsid w:val="00737F18"/>
    <w:rsid w:val="00741293"/>
    <w:rsid w:val="00745313"/>
    <w:rsid w:val="00750CE0"/>
    <w:rsid w:val="00751481"/>
    <w:rsid w:val="00752435"/>
    <w:rsid w:val="00753A64"/>
    <w:rsid w:val="00753D93"/>
    <w:rsid w:val="00753DE5"/>
    <w:rsid w:val="00755BC4"/>
    <w:rsid w:val="007626A9"/>
    <w:rsid w:val="00764922"/>
    <w:rsid w:val="0076568D"/>
    <w:rsid w:val="0076593B"/>
    <w:rsid w:val="007661F3"/>
    <w:rsid w:val="00767915"/>
    <w:rsid w:val="00770971"/>
    <w:rsid w:val="007718F2"/>
    <w:rsid w:val="00771AA6"/>
    <w:rsid w:val="00774235"/>
    <w:rsid w:val="00775604"/>
    <w:rsid w:val="007756C2"/>
    <w:rsid w:val="00775D34"/>
    <w:rsid w:val="00776714"/>
    <w:rsid w:val="007769E3"/>
    <w:rsid w:val="00776ECD"/>
    <w:rsid w:val="00780A47"/>
    <w:rsid w:val="00780CF7"/>
    <w:rsid w:val="00783E73"/>
    <w:rsid w:val="0078465C"/>
    <w:rsid w:val="0078514D"/>
    <w:rsid w:val="00785874"/>
    <w:rsid w:val="00785DB8"/>
    <w:rsid w:val="00787071"/>
    <w:rsid w:val="007872C5"/>
    <w:rsid w:val="0078755B"/>
    <w:rsid w:val="0079023C"/>
    <w:rsid w:val="00793625"/>
    <w:rsid w:val="00793B40"/>
    <w:rsid w:val="00794020"/>
    <w:rsid w:val="00795B10"/>
    <w:rsid w:val="00797DA1"/>
    <w:rsid w:val="007A0C19"/>
    <w:rsid w:val="007A1120"/>
    <w:rsid w:val="007A3CB0"/>
    <w:rsid w:val="007A471F"/>
    <w:rsid w:val="007A4B94"/>
    <w:rsid w:val="007A4D72"/>
    <w:rsid w:val="007B008C"/>
    <w:rsid w:val="007B6FCE"/>
    <w:rsid w:val="007B7579"/>
    <w:rsid w:val="007C0A00"/>
    <w:rsid w:val="007C0B91"/>
    <w:rsid w:val="007C124F"/>
    <w:rsid w:val="007C15FF"/>
    <w:rsid w:val="007C6797"/>
    <w:rsid w:val="007D0190"/>
    <w:rsid w:val="007D1830"/>
    <w:rsid w:val="007D5BC8"/>
    <w:rsid w:val="007D6E33"/>
    <w:rsid w:val="007E0764"/>
    <w:rsid w:val="007E1787"/>
    <w:rsid w:val="007E22B8"/>
    <w:rsid w:val="007E2307"/>
    <w:rsid w:val="007E5FB8"/>
    <w:rsid w:val="007E6442"/>
    <w:rsid w:val="007E6B4F"/>
    <w:rsid w:val="007F1A39"/>
    <w:rsid w:val="007F1D48"/>
    <w:rsid w:val="007F1D4D"/>
    <w:rsid w:val="007F3DA6"/>
    <w:rsid w:val="007F4BDC"/>
    <w:rsid w:val="00801CF0"/>
    <w:rsid w:val="00801FEC"/>
    <w:rsid w:val="00805C24"/>
    <w:rsid w:val="00805DB8"/>
    <w:rsid w:val="00806FFA"/>
    <w:rsid w:val="00807D39"/>
    <w:rsid w:val="008102B4"/>
    <w:rsid w:val="00810A99"/>
    <w:rsid w:val="00812246"/>
    <w:rsid w:val="00812342"/>
    <w:rsid w:val="00821C45"/>
    <w:rsid w:val="00823618"/>
    <w:rsid w:val="00827834"/>
    <w:rsid w:val="00830E5D"/>
    <w:rsid w:val="00834557"/>
    <w:rsid w:val="00834EB4"/>
    <w:rsid w:val="0083525C"/>
    <w:rsid w:val="0085326F"/>
    <w:rsid w:val="00857161"/>
    <w:rsid w:val="00861819"/>
    <w:rsid w:val="008618D1"/>
    <w:rsid w:val="0086426A"/>
    <w:rsid w:val="008643D7"/>
    <w:rsid w:val="00866191"/>
    <w:rsid w:val="0087212B"/>
    <w:rsid w:val="00874CF3"/>
    <w:rsid w:val="00875CD9"/>
    <w:rsid w:val="0087651B"/>
    <w:rsid w:val="00880F44"/>
    <w:rsid w:val="00886C04"/>
    <w:rsid w:val="00891E9D"/>
    <w:rsid w:val="00894E5D"/>
    <w:rsid w:val="008A08B6"/>
    <w:rsid w:val="008B0862"/>
    <w:rsid w:val="008B0B0F"/>
    <w:rsid w:val="008B0C94"/>
    <w:rsid w:val="008B2471"/>
    <w:rsid w:val="008B6527"/>
    <w:rsid w:val="008B667F"/>
    <w:rsid w:val="008C02A2"/>
    <w:rsid w:val="008C0B63"/>
    <w:rsid w:val="008C1809"/>
    <w:rsid w:val="008C3080"/>
    <w:rsid w:val="008C390F"/>
    <w:rsid w:val="008C39D0"/>
    <w:rsid w:val="008C73C8"/>
    <w:rsid w:val="008D233E"/>
    <w:rsid w:val="008D3B41"/>
    <w:rsid w:val="008D4EED"/>
    <w:rsid w:val="008D7027"/>
    <w:rsid w:val="008D7845"/>
    <w:rsid w:val="008E2E8B"/>
    <w:rsid w:val="008E4A2E"/>
    <w:rsid w:val="008E5D83"/>
    <w:rsid w:val="008E75E5"/>
    <w:rsid w:val="008E7AED"/>
    <w:rsid w:val="008F3019"/>
    <w:rsid w:val="008F402F"/>
    <w:rsid w:val="008F61B9"/>
    <w:rsid w:val="008F6EA2"/>
    <w:rsid w:val="00903AC3"/>
    <w:rsid w:val="00903CA0"/>
    <w:rsid w:val="00903F26"/>
    <w:rsid w:val="00904522"/>
    <w:rsid w:val="00904BCD"/>
    <w:rsid w:val="009059BB"/>
    <w:rsid w:val="00905F68"/>
    <w:rsid w:val="00907059"/>
    <w:rsid w:val="00907422"/>
    <w:rsid w:val="00907B74"/>
    <w:rsid w:val="009102FA"/>
    <w:rsid w:val="00910873"/>
    <w:rsid w:val="00910C3C"/>
    <w:rsid w:val="00910D31"/>
    <w:rsid w:val="00911F7A"/>
    <w:rsid w:val="00911F8F"/>
    <w:rsid w:val="00912F09"/>
    <w:rsid w:val="009146C6"/>
    <w:rsid w:val="009157AB"/>
    <w:rsid w:val="0091605C"/>
    <w:rsid w:val="009164CA"/>
    <w:rsid w:val="00917AB2"/>
    <w:rsid w:val="00917B75"/>
    <w:rsid w:val="00920ED2"/>
    <w:rsid w:val="009220AA"/>
    <w:rsid w:val="0092472E"/>
    <w:rsid w:val="00927C28"/>
    <w:rsid w:val="00930B14"/>
    <w:rsid w:val="00932BC4"/>
    <w:rsid w:val="00935B07"/>
    <w:rsid w:val="00936869"/>
    <w:rsid w:val="00941142"/>
    <w:rsid w:val="00942D90"/>
    <w:rsid w:val="00943314"/>
    <w:rsid w:val="00944788"/>
    <w:rsid w:val="00950983"/>
    <w:rsid w:val="00950FCD"/>
    <w:rsid w:val="00953D04"/>
    <w:rsid w:val="00954484"/>
    <w:rsid w:val="009574F6"/>
    <w:rsid w:val="00957A2F"/>
    <w:rsid w:val="009624FA"/>
    <w:rsid w:val="00964450"/>
    <w:rsid w:val="00965DFF"/>
    <w:rsid w:val="009666AE"/>
    <w:rsid w:val="0096683F"/>
    <w:rsid w:val="009674C7"/>
    <w:rsid w:val="00970D43"/>
    <w:rsid w:val="009716B8"/>
    <w:rsid w:val="00973187"/>
    <w:rsid w:val="00973A6B"/>
    <w:rsid w:val="0097514B"/>
    <w:rsid w:val="009752F0"/>
    <w:rsid w:val="0097733E"/>
    <w:rsid w:val="00984674"/>
    <w:rsid w:val="009863D7"/>
    <w:rsid w:val="00996D2F"/>
    <w:rsid w:val="009A0CEF"/>
    <w:rsid w:val="009A10AC"/>
    <w:rsid w:val="009A3D03"/>
    <w:rsid w:val="009A50DD"/>
    <w:rsid w:val="009A6030"/>
    <w:rsid w:val="009B0283"/>
    <w:rsid w:val="009B0DD0"/>
    <w:rsid w:val="009B13BD"/>
    <w:rsid w:val="009B1BE0"/>
    <w:rsid w:val="009B712D"/>
    <w:rsid w:val="009C5534"/>
    <w:rsid w:val="009D04FE"/>
    <w:rsid w:val="009D1747"/>
    <w:rsid w:val="009D2B2E"/>
    <w:rsid w:val="009D3675"/>
    <w:rsid w:val="009D6567"/>
    <w:rsid w:val="009D6BCA"/>
    <w:rsid w:val="009D7BA5"/>
    <w:rsid w:val="009E1D48"/>
    <w:rsid w:val="009E2068"/>
    <w:rsid w:val="009E25CD"/>
    <w:rsid w:val="009E3A7C"/>
    <w:rsid w:val="009E3A93"/>
    <w:rsid w:val="009E4A3D"/>
    <w:rsid w:val="009E4C9F"/>
    <w:rsid w:val="009E5727"/>
    <w:rsid w:val="009E704D"/>
    <w:rsid w:val="009E73DE"/>
    <w:rsid w:val="009E76C3"/>
    <w:rsid w:val="009E7BE4"/>
    <w:rsid w:val="009F0698"/>
    <w:rsid w:val="009F4857"/>
    <w:rsid w:val="009F7953"/>
    <w:rsid w:val="00A017AF"/>
    <w:rsid w:val="00A01829"/>
    <w:rsid w:val="00A03EF6"/>
    <w:rsid w:val="00A05327"/>
    <w:rsid w:val="00A06298"/>
    <w:rsid w:val="00A06E04"/>
    <w:rsid w:val="00A1031C"/>
    <w:rsid w:val="00A112FC"/>
    <w:rsid w:val="00A118BE"/>
    <w:rsid w:val="00A1238A"/>
    <w:rsid w:val="00A131D6"/>
    <w:rsid w:val="00A13E47"/>
    <w:rsid w:val="00A14BB0"/>
    <w:rsid w:val="00A16D03"/>
    <w:rsid w:val="00A2334F"/>
    <w:rsid w:val="00A23871"/>
    <w:rsid w:val="00A23EA6"/>
    <w:rsid w:val="00A246F7"/>
    <w:rsid w:val="00A25F3A"/>
    <w:rsid w:val="00A26158"/>
    <w:rsid w:val="00A3112A"/>
    <w:rsid w:val="00A32C52"/>
    <w:rsid w:val="00A345AF"/>
    <w:rsid w:val="00A350CC"/>
    <w:rsid w:val="00A40D1F"/>
    <w:rsid w:val="00A425E2"/>
    <w:rsid w:val="00A42A63"/>
    <w:rsid w:val="00A53C6C"/>
    <w:rsid w:val="00A57FBC"/>
    <w:rsid w:val="00A60DBF"/>
    <w:rsid w:val="00A651F0"/>
    <w:rsid w:val="00A652C9"/>
    <w:rsid w:val="00A65A16"/>
    <w:rsid w:val="00A660D7"/>
    <w:rsid w:val="00A66791"/>
    <w:rsid w:val="00A66CA7"/>
    <w:rsid w:val="00A6707C"/>
    <w:rsid w:val="00A700BD"/>
    <w:rsid w:val="00A701FC"/>
    <w:rsid w:val="00A731FB"/>
    <w:rsid w:val="00A76973"/>
    <w:rsid w:val="00A7791D"/>
    <w:rsid w:val="00A77DF6"/>
    <w:rsid w:val="00A82BCF"/>
    <w:rsid w:val="00A87652"/>
    <w:rsid w:val="00A87EC0"/>
    <w:rsid w:val="00A90A9B"/>
    <w:rsid w:val="00A90E9A"/>
    <w:rsid w:val="00A91076"/>
    <w:rsid w:val="00A94AAA"/>
    <w:rsid w:val="00A96F90"/>
    <w:rsid w:val="00A97724"/>
    <w:rsid w:val="00AA1AD1"/>
    <w:rsid w:val="00AA3B98"/>
    <w:rsid w:val="00AA6E48"/>
    <w:rsid w:val="00AA7245"/>
    <w:rsid w:val="00AB08D4"/>
    <w:rsid w:val="00AB2D71"/>
    <w:rsid w:val="00AB4664"/>
    <w:rsid w:val="00AB4878"/>
    <w:rsid w:val="00AB6CD8"/>
    <w:rsid w:val="00AB7465"/>
    <w:rsid w:val="00AC0F10"/>
    <w:rsid w:val="00AC2E51"/>
    <w:rsid w:val="00AC2EFD"/>
    <w:rsid w:val="00AC6352"/>
    <w:rsid w:val="00AC6F06"/>
    <w:rsid w:val="00AC76A6"/>
    <w:rsid w:val="00AD1559"/>
    <w:rsid w:val="00AD2871"/>
    <w:rsid w:val="00AD2F6D"/>
    <w:rsid w:val="00AE1A39"/>
    <w:rsid w:val="00AE1D90"/>
    <w:rsid w:val="00AE2FC2"/>
    <w:rsid w:val="00AE76E4"/>
    <w:rsid w:val="00AF057B"/>
    <w:rsid w:val="00AF2CC9"/>
    <w:rsid w:val="00B0121D"/>
    <w:rsid w:val="00B02CDC"/>
    <w:rsid w:val="00B04D87"/>
    <w:rsid w:val="00B064B9"/>
    <w:rsid w:val="00B13BA0"/>
    <w:rsid w:val="00B159DD"/>
    <w:rsid w:val="00B179D6"/>
    <w:rsid w:val="00B23FD6"/>
    <w:rsid w:val="00B2635D"/>
    <w:rsid w:val="00B31F51"/>
    <w:rsid w:val="00B32EF4"/>
    <w:rsid w:val="00B34E7D"/>
    <w:rsid w:val="00B34EDF"/>
    <w:rsid w:val="00B3587F"/>
    <w:rsid w:val="00B36268"/>
    <w:rsid w:val="00B362CC"/>
    <w:rsid w:val="00B378D0"/>
    <w:rsid w:val="00B43A76"/>
    <w:rsid w:val="00B4720C"/>
    <w:rsid w:val="00B50A31"/>
    <w:rsid w:val="00B50C16"/>
    <w:rsid w:val="00B50FB7"/>
    <w:rsid w:val="00B51E1F"/>
    <w:rsid w:val="00B530A5"/>
    <w:rsid w:val="00B541BE"/>
    <w:rsid w:val="00B544CD"/>
    <w:rsid w:val="00B54D32"/>
    <w:rsid w:val="00B563E2"/>
    <w:rsid w:val="00B62248"/>
    <w:rsid w:val="00B623AF"/>
    <w:rsid w:val="00B62CD6"/>
    <w:rsid w:val="00B6310C"/>
    <w:rsid w:val="00B63789"/>
    <w:rsid w:val="00B638DA"/>
    <w:rsid w:val="00B666D6"/>
    <w:rsid w:val="00B707C5"/>
    <w:rsid w:val="00B70FEC"/>
    <w:rsid w:val="00B71144"/>
    <w:rsid w:val="00B73DF2"/>
    <w:rsid w:val="00B74D30"/>
    <w:rsid w:val="00B75273"/>
    <w:rsid w:val="00B75629"/>
    <w:rsid w:val="00B75995"/>
    <w:rsid w:val="00B75F0B"/>
    <w:rsid w:val="00B76BDE"/>
    <w:rsid w:val="00B828EB"/>
    <w:rsid w:val="00B82D17"/>
    <w:rsid w:val="00B842EC"/>
    <w:rsid w:val="00B84E62"/>
    <w:rsid w:val="00B91D9E"/>
    <w:rsid w:val="00B93124"/>
    <w:rsid w:val="00B93837"/>
    <w:rsid w:val="00B943DC"/>
    <w:rsid w:val="00B95231"/>
    <w:rsid w:val="00B9550B"/>
    <w:rsid w:val="00BA0E1B"/>
    <w:rsid w:val="00BA1244"/>
    <w:rsid w:val="00BA1903"/>
    <w:rsid w:val="00BA248D"/>
    <w:rsid w:val="00BA2721"/>
    <w:rsid w:val="00BA6879"/>
    <w:rsid w:val="00BB069F"/>
    <w:rsid w:val="00BB18BE"/>
    <w:rsid w:val="00BB2661"/>
    <w:rsid w:val="00BB2692"/>
    <w:rsid w:val="00BB716C"/>
    <w:rsid w:val="00BC2904"/>
    <w:rsid w:val="00BC32C3"/>
    <w:rsid w:val="00BC4ECD"/>
    <w:rsid w:val="00BC76E5"/>
    <w:rsid w:val="00BD0E84"/>
    <w:rsid w:val="00BD18F4"/>
    <w:rsid w:val="00BD2227"/>
    <w:rsid w:val="00BD2EF9"/>
    <w:rsid w:val="00BD3412"/>
    <w:rsid w:val="00BD70BF"/>
    <w:rsid w:val="00BE2045"/>
    <w:rsid w:val="00BE24AC"/>
    <w:rsid w:val="00BE2CF5"/>
    <w:rsid w:val="00BE555E"/>
    <w:rsid w:val="00BE7A4F"/>
    <w:rsid w:val="00BE7FF8"/>
    <w:rsid w:val="00BF1753"/>
    <w:rsid w:val="00BF1DA7"/>
    <w:rsid w:val="00BF1EFC"/>
    <w:rsid w:val="00BF4327"/>
    <w:rsid w:val="00BF553A"/>
    <w:rsid w:val="00BF6C45"/>
    <w:rsid w:val="00C00D1F"/>
    <w:rsid w:val="00C0301E"/>
    <w:rsid w:val="00C059C2"/>
    <w:rsid w:val="00C07693"/>
    <w:rsid w:val="00C103F4"/>
    <w:rsid w:val="00C12516"/>
    <w:rsid w:val="00C163FE"/>
    <w:rsid w:val="00C17724"/>
    <w:rsid w:val="00C2027D"/>
    <w:rsid w:val="00C226C5"/>
    <w:rsid w:val="00C24C2F"/>
    <w:rsid w:val="00C3074D"/>
    <w:rsid w:val="00C32917"/>
    <w:rsid w:val="00C34B6B"/>
    <w:rsid w:val="00C353AD"/>
    <w:rsid w:val="00C358E0"/>
    <w:rsid w:val="00C36FEC"/>
    <w:rsid w:val="00C374A6"/>
    <w:rsid w:val="00C411DD"/>
    <w:rsid w:val="00C412FD"/>
    <w:rsid w:val="00C461E6"/>
    <w:rsid w:val="00C510CD"/>
    <w:rsid w:val="00C513B5"/>
    <w:rsid w:val="00C52368"/>
    <w:rsid w:val="00C524A2"/>
    <w:rsid w:val="00C5468D"/>
    <w:rsid w:val="00C5742A"/>
    <w:rsid w:val="00C60FC4"/>
    <w:rsid w:val="00C612DD"/>
    <w:rsid w:val="00C62BD8"/>
    <w:rsid w:val="00C6398C"/>
    <w:rsid w:val="00C63ABE"/>
    <w:rsid w:val="00C658D5"/>
    <w:rsid w:val="00C67F44"/>
    <w:rsid w:val="00C70707"/>
    <w:rsid w:val="00C7108D"/>
    <w:rsid w:val="00C71323"/>
    <w:rsid w:val="00C71E69"/>
    <w:rsid w:val="00C72542"/>
    <w:rsid w:val="00C754ED"/>
    <w:rsid w:val="00C75B9F"/>
    <w:rsid w:val="00C81286"/>
    <w:rsid w:val="00C833B1"/>
    <w:rsid w:val="00C87061"/>
    <w:rsid w:val="00C874DF"/>
    <w:rsid w:val="00C9223C"/>
    <w:rsid w:val="00C92D10"/>
    <w:rsid w:val="00C93D72"/>
    <w:rsid w:val="00C962D9"/>
    <w:rsid w:val="00C97134"/>
    <w:rsid w:val="00CA4547"/>
    <w:rsid w:val="00CB0C75"/>
    <w:rsid w:val="00CB2030"/>
    <w:rsid w:val="00CB3BA1"/>
    <w:rsid w:val="00CB3C8B"/>
    <w:rsid w:val="00CB3EBD"/>
    <w:rsid w:val="00CB5C9A"/>
    <w:rsid w:val="00CB6387"/>
    <w:rsid w:val="00CC1272"/>
    <w:rsid w:val="00CC1EE1"/>
    <w:rsid w:val="00CC2042"/>
    <w:rsid w:val="00CC20DA"/>
    <w:rsid w:val="00CC2423"/>
    <w:rsid w:val="00CC28A5"/>
    <w:rsid w:val="00CC4EB8"/>
    <w:rsid w:val="00CC5062"/>
    <w:rsid w:val="00CC62AD"/>
    <w:rsid w:val="00CC710E"/>
    <w:rsid w:val="00CC7B29"/>
    <w:rsid w:val="00CD01A2"/>
    <w:rsid w:val="00CD1CD6"/>
    <w:rsid w:val="00CD2596"/>
    <w:rsid w:val="00CD3E32"/>
    <w:rsid w:val="00CD6558"/>
    <w:rsid w:val="00CE319D"/>
    <w:rsid w:val="00CE32B2"/>
    <w:rsid w:val="00CE419B"/>
    <w:rsid w:val="00CE597A"/>
    <w:rsid w:val="00CE6B21"/>
    <w:rsid w:val="00CF1C83"/>
    <w:rsid w:val="00CF4849"/>
    <w:rsid w:val="00D00079"/>
    <w:rsid w:val="00D00C02"/>
    <w:rsid w:val="00D0205A"/>
    <w:rsid w:val="00D020D2"/>
    <w:rsid w:val="00D02515"/>
    <w:rsid w:val="00D029E2"/>
    <w:rsid w:val="00D05577"/>
    <w:rsid w:val="00D05E31"/>
    <w:rsid w:val="00D13D09"/>
    <w:rsid w:val="00D15E28"/>
    <w:rsid w:val="00D16383"/>
    <w:rsid w:val="00D170A1"/>
    <w:rsid w:val="00D22E72"/>
    <w:rsid w:val="00D26893"/>
    <w:rsid w:val="00D26906"/>
    <w:rsid w:val="00D26C45"/>
    <w:rsid w:val="00D278F7"/>
    <w:rsid w:val="00D313FA"/>
    <w:rsid w:val="00D3151D"/>
    <w:rsid w:val="00D32C67"/>
    <w:rsid w:val="00D3506B"/>
    <w:rsid w:val="00D36FB8"/>
    <w:rsid w:val="00D3726A"/>
    <w:rsid w:val="00D3744C"/>
    <w:rsid w:val="00D37B26"/>
    <w:rsid w:val="00D43032"/>
    <w:rsid w:val="00D440A5"/>
    <w:rsid w:val="00D5107E"/>
    <w:rsid w:val="00D518B7"/>
    <w:rsid w:val="00D51E83"/>
    <w:rsid w:val="00D541A7"/>
    <w:rsid w:val="00D550C8"/>
    <w:rsid w:val="00D5534B"/>
    <w:rsid w:val="00D55F41"/>
    <w:rsid w:val="00D55F96"/>
    <w:rsid w:val="00D605A9"/>
    <w:rsid w:val="00D60832"/>
    <w:rsid w:val="00D670F1"/>
    <w:rsid w:val="00D674A4"/>
    <w:rsid w:val="00D67FB7"/>
    <w:rsid w:val="00D7113A"/>
    <w:rsid w:val="00D725A4"/>
    <w:rsid w:val="00D7266B"/>
    <w:rsid w:val="00D737AD"/>
    <w:rsid w:val="00D74ADE"/>
    <w:rsid w:val="00D75D55"/>
    <w:rsid w:val="00D77ACC"/>
    <w:rsid w:val="00D80B3E"/>
    <w:rsid w:val="00D811E3"/>
    <w:rsid w:val="00D81B42"/>
    <w:rsid w:val="00D824E4"/>
    <w:rsid w:val="00D82738"/>
    <w:rsid w:val="00D82DF7"/>
    <w:rsid w:val="00D8432E"/>
    <w:rsid w:val="00D905D0"/>
    <w:rsid w:val="00D93810"/>
    <w:rsid w:val="00DA1E75"/>
    <w:rsid w:val="00DA2418"/>
    <w:rsid w:val="00DA33DC"/>
    <w:rsid w:val="00DA3C6A"/>
    <w:rsid w:val="00DA45A5"/>
    <w:rsid w:val="00DA574D"/>
    <w:rsid w:val="00DA654F"/>
    <w:rsid w:val="00DA6D57"/>
    <w:rsid w:val="00DA7AAB"/>
    <w:rsid w:val="00DB14E6"/>
    <w:rsid w:val="00DB7203"/>
    <w:rsid w:val="00DB7A41"/>
    <w:rsid w:val="00DC0E91"/>
    <w:rsid w:val="00DC5DDB"/>
    <w:rsid w:val="00DC6301"/>
    <w:rsid w:val="00DD0011"/>
    <w:rsid w:val="00DD056B"/>
    <w:rsid w:val="00DD1AD4"/>
    <w:rsid w:val="00DD2BC5"/>
    <w:rsid w:val="00DD2F72"/>
    <w:rsid w:val="00DD32EB"/>
    <w:rsid w:val="00DD34CB"/>
    <w:rsid w:val="00DD43EF"/>
    <w:rsid w:val="00DD5BBD"/>
    <w:rsid w:val="00DD76AA"/>
    <w:rsid w:val="00DD7F2A"/>
    <w:rsid w:val="00DE2721"/>
    <w:rsid w:val="00DE3892"/>
    <w:rsid w:val="00DE487F"/>
    <w:rsid w:val="00DE48D2"/>
    <w:rsid w:val="00DE79A2"/>
    <w:rsid w:val="00DE7D48"/>
    <w:rsid w:val="00DF3764"/>
    <w:rsid w:val="00DF3FCC"/>
    <w:rsid w:val="00DF4138"/>
    <w:rsid w:val="00DF4D52"/>
    <w:rsid w:val="00DF73F2"/>
    <w:rsid w:val="00E013CB"/>
    <w:rsid w:val="00E044F7"/>
    <w:rsid w:val="00E06F1A"/>
    <w:rsid w:val="00E073A9"/>
    <w:rsid w:val="00E133A7"/>
    <w:rsid w:val="00E14AFC"/>
    <w:rsid w:val="00E20751"/>
    <w:rsid w:val="00E21BDF"/>
    <w:rsid w:val="00E2276F"/>
    <w:rsid w:val="00E227B9"/>
    <w:rsid w:val="00E24290"/>
    <w:rsid w:val="00E25534"/>
    <w:rsid w:val="00E271B1"/>
    <w:rsid w:val="00E3002D"/>
    <w:rsid w:val="00E30FA6"/>
    <w:rsid w:val="00E31B81"/>
    <w:rsid w:val="00E328B0"/>
    <w:rsid w:val="00E35551"/>
    <w:rsid w:val="00E35625"/>
    <w:rsid w:val="00E35FE3"/>
    <w:rsid w:val="00E371E3"/>
    <w:rsid w:val="00E40AD2"/>
    <w:rsid w:val="00E43411"/>
    <w:rsid w:val="00E45233"/>
    <w:rsid w:val="00E463D9"/>
    <w:rsid w:val="00E4781F"/>
    <w:rsid w:val="00E504EE"/>
    <w:rsid w:val="00E50878"/>
    <w:rsid w:val="00E53B53"/>
    <w:rsid w:val="00E53E2D"/>
    <w:rsid w:val="00E544B8"/>
    <w:rsid w:val="00E558B4"/>
    <w:rsid w:val="00E55A56"/>
    <w:rsid w:val="00E55B77"/>
    <w:rsid w:val="00E55C16"/>
    <w:rsid w:val="00E5686C"/>
    <w:rsid w:val="00E57AF8"/>
    <w:rsid w:val="00E57DE0"/>
    <w:rsid w:val="00E61802"/>
    <w:rsid w:val="00E622A4"/>
    <w:rsid w:val="00E629A2"/>
    <w:rsid w:val="00E65F8B"/>
    <w:rsid w:val="00E6689F"/>
    <w:rsid w:val="00E669DA"/>
    <w:rsid w:val="00E7105C"/>
    <w:rsid w:val="00E710AF"/>
    <w:rsid w:val="00E72729"/>
    <w:rsid w:val="00E72779"/>
    <w:rsid w:val="00E73B40"/>
    <w:rsid w:val="00E741FE"/>
    <w:rsid w:val="00E7792E"/>
    <w:rsid w:val="00E813A4"/>
    <w:rsid w:val="00E81896"/>
    <w:rsid w:val="00E827E4"/>
    <w:rsid w:val="00E828A6"/>
    <w:rsid w:val="00E842C0"/>
    <w:rsid w:val="00E8452C"/>
    <w:rsid w:val="00E85C0B"/>
    <w:rsid w:val="00E85CFA"/>
    <w:rsid w:val="00E90FE5"/>
    <w:rsid w:val="00E91428"/>
    <w:rsid w:val="00E91AA8"/>
    <w:rsid w:val="00E94F05"/>
    <w:rsid w:val="00E966B5"/>
    <w:rsid w:val="00E96DCA"/>
    <w:rsid w:val="00EA05E5"/>
    <w:rsid w:val="00EA1A68"/>
    <w:rsid w:val="00EA221D"/>
    <w:rsid w:val="00EA400C"/>
    <w:rsid w:val="00EA5E65"/>
    <w:rsid w:val="00EB1356"/>
    <w:rsid w:val="00EB193A"/>
    <w:rsid w:val="00EB2762"/>
    <w:rsid w:val="00EB3AAA"/>
    <w:rsid w:val="00EB590D"/>
    <w:rsid w:val="00EB7326"/>
    <w:rsid w:val="00EC0286"/>
    <w:rsid w:val="00EC09C7"/>
    <w:rsid w:val="00EC0B23"/>
    <w:rsid w:val="00EC3702"/>
    <w:rsid w:val="00EC44F8"/>
    <w:rsid w:val="00EC5F40"/>
    <w:rsid w:val="00ED25E3"/>
    <w:rsid w:val="00ED3D42"/>
    <w:rsid w:val="00ED5F71"/>
    <w:rsid w:val="00ED6AA5"/>
    <w:rsid w:val="00ED7B6F"/>
    <w:rsid w:val="00ED7CF3"/>
    <w:rsid w:val="00EE08DF"/>
    <w:rsid w:val="00EE169D"/>
    <w:rsid w:val="00EE4038"/>
    <w:rsid w:val="00EE4B22"/>
    <w:rsid w:val="00EE4D86"/>
    <w:rsid w:val="00EE62C5"/>
    <w:rsid w:val="00EE70FE"/>
    <w:rsid w:val="00EF15B7"/>
    <w:rsid w:val="00EF39A2"/>
    <w:rsid w:val="00EF4F69"/>
    <w:rsid w:val="00F0062F"/>
    <w:rsid w:val="00F013E7"/>
    <w:rsid w:val="00F07864"/>
    <w:rsid w:val="00F10DD4"/>
    <w:rsid w:val="00F1135A"/>
    <w:rsid w:val="00F12558"/>
    <w:rsid w:val="00F129CB"/>
    <w:rsid w:val="00F138FB"/>
    <w:rsid w:val="00F2086D"/>
    <w:rsid w:val="00F20C72"/>
    <w:rsid w:val="00F226A2"/>
    <w:rsid w:val="00F240BC"/>
    <w:rsid w:val="00F2649A"/>
    <w:rsid w:val="00F27027"/>
    <w:rsid w:val="00F277AD"/>
    <w:rsid w:val="00F300A7"/>
    <w:rsid w:val="00F337EA"/>
    <w:rsid w:val="00F34146"/>
    <w:rsid w:val="00F3667A"/>
    <w:rsid w:val="00F36F81"/>
    <w:rsid w:val="00F4034A"/>
    <w:rsid w:val="00F40A8D"/>
    <w:rsid w:val="00F45D01"/>
    <w:rsid w:val="00F45E02"/>
    <w:rsid w:val="00F5583A"/>
    <w:rsid w:val="00F600CF"/>
    <w:rsid w:val="00F6051A"/>
    <w:rsid w:val="00F61EE1"/>
    <w:rsid w:val="00F64E4A"/>
    <w:rsid w:val="00F6797F"/>
    <w:rsid w:val="00F73707"/>
    <w:rsid w:val="00F73E26"/>
    <w:rsid w:val="00F743C3"/>
    <w:rsid w:val="00F77ADF"/>
    <w:rsid w:val="00F8054F"/>
    <w:rsid w:val="00F833FA"/>
    <w:rsid w:val="00F86431"/>
    <w:rsid w:val="00F87C84"/>
    <w:rsid w:val="00F91505"/>
    <w:rsid w:val="00F91C84"/>
    <w:rsid w:val="00F93BDB"/>
    <w:rsid w:val="00F95C8E"/>
    <w:rsid w:val="00F9786F"/>
    <w:rsid w:val="00F97C3D"/>
    <w:rsid w:val="00FA0529"/>
    <w:rsid w:val="00FA0591"/>
    <w:rsid w:val="00FA0F6A"/>
    <w:rsid w:val="00FA1E84"/>
    <w:rsid w:val="00FA235D"/>
    <w:rsid w:val="00FA2F26"/>
    <w:rsid w:val="00FB0E32"/>
    <w:rsid w:val="00FB444A"/>
    <w:rsid w:val="00FB5C1C"/>
    <w:rsid w:val="00FB74A7"/>
    <w:rsid w:val="00FC099E"/>
    <w:rsid w:val="00FC1492"/>
    <w:rsid w:val="00FC2EC8"/>
    <w:rsid w:val="00FC4600"/>
    <w:rsid w:val="00FC4C55"/>
    <w:rsid w:val="00FC6DED"/>
    <w:rsid w:val="00FD3743"/>
    <w:rsid w:val="00FD42B4"/>
    <w:rsid w:val="00FD513B"/>
    <w:rsid w:val="00FD5815"/>
    <w:rsid w:val="00FD5D24"/>
    <w:rsid w:val="00FD744C"/>
    <w:rsid w:val="00FD7711"/>
    <w:rsid w:val="00FE077F"/>
    <w:rsid w:val="00FE1868"/>
    <w:rsid w:val="00FE1FD3"/>
    <w:rsid w:val="00FE4389"/>
    <w:rsid w:val="00FE5D89"/>
    <w:rsid w:val="00FF18A7"/>
    <w:rsid w:val="00FF257B"/>
    <w:rsid w:val="00FF26BE"/>
    <w:rsid w:val="00FF29A2"/>
    <w:rsid w:val="00FF3424"/>
    <w:rsid w:val="00FF40BA"/>
    <w:rsid w:val="00FF56C1"/>
    <w:rsid w:val="00FF5A6F"/>
    <w:rsid w:val="00FF5E05"/>
    <w:rsid w:val="00FF6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aliases w:val="h2,p"/>
    <w:basedOn w:val="Normal"/>
    <w:next w:val="Normal"/>
    <w:qFormat/>
    <w:rsid w:val="00805DB8"/>
    <w:pPr>
      <w:keepNext/>
      <w:spacing w:before="240" w:after="60"/>
      <w:outlineLvl w:val="1"/>
    </w:pPr>
    <w:rPr>
      <w:rFonts w:ascii="Arial"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2068"/>
    <w:rPr>
      <w:rFonts w:ascii="Tahoma" w:hAnsi="Tahoma" w:cs="Tahoma"/>
      <w:sz w:val="16"/>
      <w:szCs w:val="16"/>
    </w:rPr>
  </w:style>
  <w:style w:type="paragraph" w:styleId="Header">
    <w:name w:val="header"/>
    <w:basedOn w:val="Normal"/>
    <w:rsid w:val="007C15FF"/>
    <w:pPr>
      <w:tabs>
        <w:tab w:val="center" w:pos="4153"/>
        <w:tab w:val="right" w:pos="8306"/>
      </w:tabs>
    </w:pPr>
  </w:style>
  <w:style w:type="paragraph" w:styleId="Footer">
    <w:name w:val="footer"/>
    <w:basedOn w:val="Normal"/>
    <w:rsid w:val="007C15FF"/>
    <w:pPr>
      <w:tabs>
        <w:tab w:val="center" w:pos="4153"/>
        <w:tab w:val="right" w:pos="8306"/>
      </w:tabs>
    </w:pPr>
  </w:style>
  <w:style w:type="character" w:styleId="PageNumber">
    <w:name w:val="page number"/>
    <w:basedOn w:val="DefaultParagraphFont"/>
    <w:rsid w:val="00D22E72"/>
  </w:style>
  <w:style w:type="paragraph" w:customStyle="1" w:styleId="FooterCitation">
    <w:name w:val="FooterCitation"/>
    <w:basedOn w:val="Footer"/>
    <w:rsid w:val="00CE6B21"/>
    <w:pPr>
      <w:spacing w:before="20" w:line="240" w:lineRule="exact"/>
      <w:jc w:val="center"/>
    </w:pPr>
    <w:rPr>
      <w:rFonts w:ascii="Arial" w:hAnsi="Arial"/>
      <w:i/>
      <w:sz w:val="18"/>
      <w:lang w:eastAsia="en-AU"/>
    </w:rPr>
  </w:style>
  <w:style w:type="paragraph" w:customStyle="1" w:styleId="a">
    <w:basedOn w:val="Normal"/>
    <w:rsid w:val="00CE6B21"/>
    <w:pPr>
      <w:spacing w:after="160" w:line="240" w:lineRule="exact"/>
    </w:pPr>
    <w:rPr>
      <w:rFonts w:ascii="Verdana" w:hAnsi="Verdana"/>
      <w:sz w:val="20"/>
      <w:lang w:val="en-US"/>
    </w:rPr>
  </w:style>
  <w:style w:type="paragraph" w:customStyle="1" w:styleId="Char">
    <w:name w:val="Char"/>
    <w:basedOn w:val="Normal"/>
    <w:rsid w:val="006830BB"/>
    <w:pPr>
      <w:spacing w:after="160" w:line="240" w:lineRule="exact"/>
    </w:pPr>
    <w:rPr>
      <w:rFonts w:ascii="Verdana" w:hAnsi="Verdana"/>
      <w:sz w:val="20"/>
      <w:lang w:val="en-US"/>
    </w:rPr>
  </w:style>
  <w:style w:type="paragraph" w:customStyle="1" w:styleId="Bullet1">
    <w:name w:val="Bullet 1"/>
    <w:basedOn w:val="Normal"/>
    <w:rsid w:val="00BB2661"/>
    <w:pPr>
      <w:numPr>
        <w:numId w:val="1"/>
      </w:numPr>
      <w:spacing w:before="120" w:line="360" w:lineRule="auto"/>
    </w:pPr>
    <w:rPr>
      <w:szCs w:val="20"/>
      <w:lang w:eastAsia="en-AU"/>
    </w:rPr>
  </w:style>
  <w:style w:type="paragraph" w:customStyle="1" w:styleId="Paragraph">
    <w:name w:val="Paragraph"/>
    <w:basedOn w:val="Normal"/>
    <w:link w:val="ParagraphChar"/>
    <w:rsid w:val="00BB2661"/>
    <w:pPr>
      <w:numPr>
        <w:ilvl w:val="12"/>
      </w:numPr>
      <w:spacing w:before="240"/>
    </w:pPr>
    <w:rPr>
      <w:szCs w:val="20"/>
      <w:lang w:eastAsia="en-AU"/>
    </w:rPr>
  </w:style>
  <w:style w:type="character" w:customStyle="1" w:styleId="ParagraphChar">
    <w:name w:val="Paragraph Char"/>
    <w:link w:val="Paragraph"/>
    <w:rsid w:val="00BB2661"/>
    <w:rPr>
      <w:sz w:val="24"/>
    </w:rPr>
  </w:style>
  <w:style w:type="paragraph" w:customStyle="1" w:styleId="Default">
    <w:name w:val="Default"/>
    <w:rsid w:val="00C612DD"/>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7E22B8"/>
    <w:pPr>
      <w:spacing w:before="100" w:beforeAutospacing="1" w:after="100" w:afterAutospacing="1"/>
    </w:pPr>
    <w:rPr>
      <w:rFonts w:eastAsia="Calibri"/>
      <w:lang w:eastAsia="en-AU"/>
    </w:rPr>
  </w:style>
  <w:style w:type="paragraph" w:styleId="ListParagraph">
    <w:name w:val="List Paragraph"/>
    <w:basedOn w:val="Normal"/>
    <w:uiPriority w:val="34"/>
    <w:qFormat/>
    <w:rsid w:val="00F337EA"/>
    <w:pPr>
      <w:ind w:left="720"/>
    </w:pPr>
  </w:style>
  <w:style w:type="paragraph" w:styleId="PlainText">
    <w:name w:val="Plain Text"/>
    <w:basedOn w:val="Normal"/>
    <w:link w:val="PlainTextChar"/>
    <w:uiPriority w:val="99"/>
    <w:semiHidden/>
    <w:unhideWhenUsed/>
    <w:rsid w:val="000B7F6C"/>
    <w:rPr>
      <w:rFonts w:ascii="Calibri" w:eastAsia="Calibri" w:hAnsi="Calibri"/>
      <w:color w:val="1F497D"/>
      <w:szCs w:val="21"/>
    </w:rPr>
  </w:style>
  <w:style w:type="character" w:customStyle="1" w:styleId="PlainTextChar">
    <w:name w:val="Plain Text Char"/>
    <w:link w:val="PlainText"/>
    <w:uiPriority w:val="99"/>
    <w:semiHidden/>
    <w:rsid w:val="000B7F6C"/>
    <w:rPr>
      <w:rFonts w:ascii="Calibri" w:eastAsia="Calibri" w:hAnsi="Calibri"/>
      <w:color w:val="1F497D"/>
      <w:sz w:val="24"/>
      <w:szCs w:val="21"/>
      <w:lang w:eastAsia="en-US"/>
    </w:rPr>
  </w:style>
  <w:style w:type="character" w:styleId="CommentReference">
    <w:name w:val="annotation reference"/>
    <w:uiPriority w:val="99"/>
    <w:semiHidden/>
    <w:unhideWhenUsed/>
    <w:rsid w:val="00545CF9"/>
    <w:rPr>
      <w:sz w:val="16"/>
      <w:szCs w:val="16"/>
    </w:rPr>
  </w:style>
  <w:style w:type="paragraph" w:styleId="CommentText">
    <w:name w:val="annotation text"/>
    <w:basedOn w:val="Normal"/>
    <w:link w:val="CommentTextChar"/>
    <w:uiPriority w:val="99"/>
    <w:semiHidden/>
    <w:unhideWhenUsed/>
    <w:rsid w:val="00545CF9"/>
    <w:rPr>
      <w:sz w:val="20"/>
      <w:szCs w:val="20"/>
    </w:rPr>
  </w:style>
  <w:style w:type="character" w:customStyle="1" w:styleId="CommentTextChar">
    <w:name w:val="Comment Text Char"/>
    <w:link w:val="CommentText"/>
    <w:uiPriority w:val="99"/>
    <w:semiHidden/>
    <w:rsid w:val="00545CF9"/>
    <w:rPr>
      <w:lang w:eastAsia="en-US"/>
    </w:rPr>
  </w:style>
  <w:style w:type="paragraph" w:styleId="CommentSubject">
    <w:name w:val="annotation subject"/>
    <w:basedOn w:val="CommentText"/>
    <w:next w:val="CommentText"/>
    <w:link w:val="CommentSubjectChar"/>
    <w:uiPriority w:val="99"/>
    <w:semiHidden/>
    <w:unhideWhenUsed/>
    <w:rsid w:val="00545CF9"/>
    <w:rPr>
      <w:b/>
      <w:bCs/>
    </w:rPr>
  </w:style>
  <w:style w:type="character" w:customStyle="1" w:styleId="CommentSubjectChar">
    <w:name w:val="Comment Subject Char"/>
    <w:link w:val="CommentSubject"/>
    <w:uiPriority w:val="99"/>
    <w:semiHidden/>
    <w:rsid w:val="00545CF9"/>
    <w:rPr>
      <w:b/>
      <w:bCs/>
      <w:lang w:eastAsia="en-US"/>
    </w:rPr>
  </w:style>
  <w:style w:type="paragraph" w:customStyle="1" w:styleId="Paragraphnumbered">
    <w:name w:val="Paragraph (numbered)"/>
    <w:basedOn w:val="Normal"/>
    <w:uiPriority w:val="99"/>
    <w:rsid w:val="00313C4A"/>
    <w:pPr>
      <w:numPr>
        <w:numId w:val="2"/>
      </w:numPr>
      <w:spacing w:before="240" w:line="360" w:lineRule="auto"/>
    </w:pPr>
    <w:rPr>
      <w:szCs w:val="20"/>
      <w:lang w:eastAsia="en-AU"/>
    </w:rPr>
  </w:style>
  <w:style w:type="paragraph" w:styleId="Revision">
    <w:name w:val="Revision"/>
    <w:hidden/>
    <w:uiPriority w:val="99"/>
    <w:semiHidden/>
    <w:rsid w:val="00B34EDF"/>
    <w:rPr>
      <w:sz w:val="24"/>
      <w:szCs w:val="24"/>
      <w:lang w:eastAsia="en-US"/>
    </w:rPr>
  </w:style>
  <w:style w:type="paragraph" w:customStyle="1" w:styleId="R2">
    <w:name w:val="R2"/>
    <w:aliases w:val="(2)"/>
    <w:basedOn w:val="Normal"/>
    <w:rsid w:val="009A0CEF"/>
    <w:pPr>
      <w:keepLines/>
      <w:tabs>
        <w:tab w:val="right" w:pos="794"/>
      </w:tabs>
      <w:spacing w:before="180" w:line="260" w:lineRule="exact"/>
      <w:ind w:left="964" w:hanging="964"/>
      <w:jc w:val="both"/>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1218">
      <w:bodyDiv w:val="1"/>
      <w:marLeft w:val="0"/>
      <w:marRight w:val="0"/>
      <w:marTop w:val="0"/>
      <w:marBottom w:val="0"/>
      <w:divBdr>
        <w:top w:val="none" w:sz="0" w:space="0" w:color="auto"/>
        <w:left w:val="none" w:sz="0" w:space="0" w:color="auto"/>
        <w:bottom w:val="none" w:sz="0" w:space="0" w:color="auto"/>
        <w:right w:val="none" w:sz="0" w:space="0" w:color="auto"/>
      </w:divBdr>
    </w:div>
    <w:div w:id="2060006364">
      <w:bodyDiv w:val="1"/>
      <w:marLeft w:val="0"/>
      <w:marRight w:val="0"/>
      <w:marTop w:val="0"/>
      <w:marBottom w:val="0"/>
      <w:divBdr>
        <w:top w:val="none" w:sz="0" w:space="0" w:color="auto"/>
        <w:left w:val="none" w:sz="0" w:space="0" w:color="auto"/>
        <w:bottom w:val="none" w:sz="0" w:space="0" w:color="auto"/>
        <w:right w:val="none" w:sz="0" w:space="0" w:color="auto"/>
      </w:divBdr>
    </w:div>
    <w:div w:id="2137213866">
      <w:bodyDiv w:val="1"/>
      <w:marLeft w:val="0"/>
      <w:marRight w:val="0"/>
      <w:marTop w:val="45"/>
      <w:marBottom w:val="0"/>
      <w:divBdr>
        <w:top w:val="none" w:sz="0" w:space="0" w:color="auto"/>
        <w:left w:val="none" w:sz="0" w:space="0" w:color="auto"/>
        <w:bottom w:val="none" w:sz="0" w:space="0" w:color="auto"/>
        <w:right w:val="none" w:sz="0" w:space="0" w:color="auto"/>
      </w:divBdr>
      <w:divsChild>
        <w:div w:id="2011902302">
          <w:marLeft w:val="0"/>
          <w:marRight w:val="0"/>
          <w:marTop w:val="0"/>
          <w:marBottom w:val="0"/>
          <w:divBdr>
            <w:top w:val="none" w:sz="0" w:space="0" w:color="auto"/>
            <w:left w:val="none" w:sz="0" w:space="0" w:color="auto"/>
            <w:bottom w:val="none" w:sz="0" w:space="0" w:color="auto"/>
            <w:right w:val="none" w:sz="0" w:space="0" w:color="auto"/>
          </w:divBdr>
          <w:divsChild>
            <w:div w:id="84690605">
              <w:marLeft w:val="0"/>
              <w:marRight w:val="0"/>
              <w:marTop w:val="0"/>
              <w:marBottom w:val="0"/>
              <w:divBdr>
                <w:top w:val="none" w:sz="0" w:space="0" w:color="auto"/>
                <w:left w:val="none" w:sz="0" w:space="0" w:color="auto"/>
                <w:bottom w:val="none" w:sz="0" w:space="0" w:color="auto"/>
                <w:right w:val="none" w:sz="0" w:space="0" w:color="auto"/>
              </w:divBdr>
              <w:divsChild>
                <w:div w:id="1543129837">
                  <w:marLeft w:val="0"/>
                  <w:marRight w:val="0"/>
                  <w:marTop w:val="0"/>
                  <w:marBottom w:val="0"/>
                  <w:divBdr>
                    <w:top w:val="none" w:sz="0" w:space="0" w:color="auto"/>
                    <w:left w:val="none" w:sz="0" w:space="0" w:color="auto"/>
                    <w:bottom w:val="none" w:sz="0" w:space="0" w:color="auto"/>
                    <w:right w:val="none" w:sz="0" w:space="0" w:color="auto"/>
                  </w:divBdr>
                  <w:divsChild>
                    <w:div w:id="801074736">
                      <w:marLeft w:val="0"/>
                      <w:marRight w:val="0"/>
                      <w:marTop w:val="0"/>
                      <w:marBottom w:val="0"/>
                      <w:divBdr>
                        <w:top w:val="none" w:sz="0" w:space="0" w:color="auto"/>
                        <w:left w:val="none" w:sz="0" w:space="0" w:color="auto"/>
                        <w:bottom w:val="none" w:sz="0" w:space="0" w:color="auto"/>
                        <w:right w:val="none" w:sz="0" w:space="0" w:color="auto"/>
                      </w:divBdr>
                      <w:divsChild>
                        <w:div w:id="1820996142">
                          <w:marLeft w:val="150"/>
                          <w:marRight w:val="0"/>
                          <w:marTop w:val="0"/>
                          <w:marBottom w:val="0"/>
                          <w:divBdr>
                            <w:top w:val="none" w:sz="0" w:space="0" w:color="auto"/>
                            <w:left w:val="none" w:sz="0" w:space="0" w:color="auto"/>
                            <w:bottom w:val="none" w:sz="0" w:space="0" w:color="auto"/>
                            <w:right w:val="none" w:sz="0" w:space="0" w:color="auto"/>
                          </w:divBdr>
                          <w:divsChild>
                            <w:div w:id="750546077">
                              <w:marLeft w:val="0"/>
                              <w:marRight w:val="0"/>
                              <w:marTop w:val="0"/>
                              <w:marBottom w:val="0"/>
                              <w:divBdr>
                                <w:top w:val="none" w:sz="0" w:space="0" w:color="auto"/>
                                <w:left w:val="none" w:sz="0" w:space="0" w:color="auto"/>
                                <w:bottom w:val="none" w:sz="0" w:space="0" w:color="auto"/>
                                <w:right w:val="none" w:sz="0" w:space="0" w:color="auto"/>
                              </w:divBdr>
                              <w:divsChild>
                                <w:div w:id="2103601781">
                                  <w:marLeft w:val="0"/>
                                  <w:marRight w:val="0"/>
                                  <w:marTop w:val="0"/>
                                  <w:marBottom w:val="0"/>
                                  <w:divBdr>
                                    <w:top w:val="none" w:sz="0" w:space="0" w:color="auto"/>
                                    <w:left w:val="none" w:sz="0" w:space="0" w:color="auto"/>
                                    <w:bottom w:val="none" w:sz="0" w:space="0" w:color="auto"/>
                                    <w:right w:val="none" w:sz="0" w:space="0" w:color="auto"/>
                                  </w:divBdr>
                                  <w:divsChild>
                                    <w:div w:id="660158344">
                                      <w:marLeft w:val="0"/>
                                      <w:marRight w:val="0"/>
                                      <w:marTop w:val="0"/>
                                      <w:marBottom w:val="0"/>
                                      <w:divBdr>
                                        <w:top w:val="none" w:sz="0" w:space="0" w:color="auto"/>
                                        <w:left w:val="none" w:sz="0" w:space="0" w:color="auto"/>
                                        <w:bottom w:val="none" w:sz="0" w:space="0" w:color="auto"/>
                                        <w:right w:val="none" w:sz="0" w:space="0" w:color="auto"/>
                                      </w:divBdr>
                                      <w:divsChild>
                                        <w:div w:id="1789809124">
                                          <w:marLeft w:val="0"/>
                                          <w:marRight w:val="0"/>
                                          <w:marTop w:val="0"/>
                                          <w:marBottom w:val="0"/>
                                          <w:divBdr>
                                            <w:top w:val="none" w:sz="0" w:space="0" w:color="auto"/>
                                            <w:left w:val="none" w:sz="0" w:space="0" w:color="auto"/>
                                            <w:bottom w:val="none" w:sz="0" w:space="0" w:color="auto"/>
                                            <w:right w:val="none" w:sz="0" w:space="0" w:color="auto"/>
                                          </w:divBdr>
                                          <w:divsChild>
                                            <w:div w:id="1277100445">
                                              <w:marLeft w:val="0"/>
                                              <w:marRight w:val="0"/>
                                              <w:marTop w:val="0"/>
                                              <w:marBottom w:val="0"/>
                                              <w:divBdr>
                                                <w:top w:val="none" w:sz="0" w:space="0" w:color="auto"/>
                                                <w:left w:val="none" w:sz="0" w:space="0" w:color="auto"/>
                                                <w:bottom w:val="none" w:sz="0" w:space="0" w:color="auto"/>
                                                <w:right w:val="none" w:sz="0" w:space="0" w:color="auto"/>
                                              </w:divBdr>
                                              <w:divsChild>
                                                <w:div w:id="992681414">
                                                  <w:marLeft w:val="0"/>
                                                  <w:marRight w:val="0"/>
                                                  <w:marTop w:val="0"/>
                                                  <w:marBottom w:val="0"/>
                                                  <w:divBdr>
                                                    <w:top w:val="none" w:sz="0" w:space="0" w:color="auto"/>
                                                    <w:left w:val="none" w:sz="0" w:space="0" w:color="auto"/>
                                                    <w:bottom w:val="none" w:sz="0" w:space="0" w:color="auto"/>
                                                    <w:right w:val="none" w:sz="0" w:space="0" w:color="auto"/>
                                                  </w:divBdr>
                                                  <w:divsChild>
                                                    <w:div w:id="249698307">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800655347">
                                                              <w:marLeft w:val="0"/>
                                                              <w:marRight w:val="0"/>
                                                              <w:marTop w:val="0"/>
                                                              <w:marBottom w:val="0"/>
                                                              <w:divBdr>
                                                                <w:top w:val="none" w:sz="0" w:space="0" w:color="auto"/>
                                                                <w:left w:val="none" w:sz="0" w:space="0" w:color="auto"/>
                                                                <w:bottom w:val="none" w:sz="0" w:space="0" w:color="auto"/>
                                                                <w:right w:val="none" w:sz="0" w:space="0" w:color="auto"/>
                                                              </w:divBdr>
                                                              <w:divsChild>
                                                                <w:div w:id="1725254923">
                                                                  <w:marLeft w:val="0"/>
                                                                  <w:marRight w:val="0"/>
                                                                  <w:marTop w:val="0"/>
                                                                  <w:marBottom w:val="0"/>
                                                                  <w:divBdr>
                                                                    <w:top w:val="none" w:sz="0" w:space="0" w:color="auto"/>
                                                                    <w:left w:val="none" w:sz="0" w:space="0" w:color="auto"/>
                                                                    <w:bottom w:val="none" w:sz="0" w:space="0" w:color="auto"/>
                                                                    <w:right w:val="none" w:sz="0" w:space="0" w:color="auto"/>
                                                                  </w:divBdr>
                                                                  <w:divsChild>
                                                                    <w:div w:id="2108038062">
                                                                      <w:marLeft w:val="0"/>
                                                                      <w:marRight w:val="0"/>
                                                                      <w:marTop w:val="0"/>
                                                                      <w:marBottom w:val="0"/>
                                                                      <w:divBdr>
                                                                        <w:top w:val="none" w:sz="0" w:space="0" w:color="auto"/>
                                                                        <w:left w:val="none" w:sz="0" w:space="0" w:color="auto"/>
                                                                        <w:bottom w:val="none" w:sz="0" w:space="0" w:color="auto"/>
                                                                        <w:right w:val="none" w:sz="0" w:space="0" w:color="auto"/>
                                                                      </w:divBdr>
                                                                      <w:divsChild>
                                                                        <w:div w:id="2091080814">
                                                                          <w:marLeft w:val="0"/>
                                                                          <w:marRight w:val="0"/>
                                                                          <w:marTop w:val="0"/>
                                                                          <w:marBottom w:val="0"/>
                                                                          <w:divBdr>
                                                                            <w:top w:val="none" w:sz="0" w:space="0" w:color="auto"/>
                                                                            <w:left w:val="none" w:sz="0" w:space="0" w:color="auto"/>
                                                                            <w:bottom w:val="none" w:sz="0" w:space="0" w:color="auto"/>
                                                                            <w:right w:val="none" w:sz="0" w:space="0" w:color="auto"/>
                                                                          </w:divBdr>
                                                                          <w:divsChild>
                                                                            <w:div w:id="2095005467">
                                                                              <w:marLeft w:val="0"/>
                                                                              <w:marRight w:val="0"/>
                                                                              <w:marTop w:val="0"/>
                                                                              <w:marBottom w:val="0"/>
                                                                              <w:divBdr>
                                                                                <w:top w:val="none" w:sz="0" w:space="0" w:color="auto"/>
                                                                                <w:left w:val="none" w:sz="0" w:space="0" w:color="auto"/>
                                                                                <w:bottom w:val="none" w:sz="0" w:space="0" w:color="auto"/>
                                                                                <w:right w:val="none" w:sz="0" w:space="0" w:color="auto"/>
                                                                              </w:divBdr>
                                                                              <w:divsChild>
                                                                                <w:div w:id="16089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57517">
                                                          <w:marLeft w:val="0"/>
                                                          <w:marRight w:val="0"/>
                                                          <w:marTop w:val="0"/>
                                                          <w:marBottom w:val="0"/>
                                                          <w:divBdr>
                                                            <w:top w:val="none" w:sz="0" w:space="0" w:color="auto"/>
                                                            <w:left w:val="none" w:sz="0" w:space="0" w:color="auto"/>
                                                            <w:bottom w:val="none" w:sz="0" w:space="0" w:color="auto"/>
                                                            <w:right w:val="none" w:sz="0" w:space="0" w:color="auto"/>
                                                          </w:divBdr>
                                                          <w:divsChild>
                                                            <w:div w:id="12121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9F90-4D51-4F2E-B0A7-99178BD3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
  <cp:keywords/>
  <cp:lastModifiedBy/>
  <cp:revision>1</cp:revision>
  <cp:lastPrinted>2010-07-20T05:46:00Z</cp:lastPrinted>
  <dcterms:created xsi:type="dcterms:W3CDTF">2013-12-19T02:41:00Z</dcterms:created>
  <dcterms:modified xsi:type="dcterms:W3CDTF">2014-01-16T23:47:00Z</dcterms:modified>
</cp:coreProperties>
</file>