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7A" w:rsidRDefault="00322F7A" w:rsidP="006F76AC">
      <w:pPr>
        <w:jc w:val="center"/>
        <w:rPr>
          <w:b/>
        </w:rPr>
      </w:pPr>
    </w:p>
    <w:p w:rsidR="006F76AC" w:rsidRPr="006F76AC" w:rsidRDefault="006F76AC" w:rsidP="006F76AC">
      <w:pPr>
        <w:jc w:val="center"/>
        <w:rPr>
          <w:b/>
        </w:rPr>
      </w:pPr>
      <w:r w:rsidRPr="006F76AC">
        <w:rPr>
          <w:b/>
        </w:rPr>
        <w:t>Australian Securities and Investments Commission</w:t>
      </w:r>
    </w:p>
    <w:p w:rsidR="006F76AC" w:rsidRPr="006F76AC" w:rsidRDefault="006F76AC" w:rsidP="006F76AC">
      <w:pPr>
        <w:jc w:val="center"/>
        <w:rPr>
          <w:b/>
        </w:rPr>
      </w:pPr>
      <w:r w:rsidRPr="006F76AC">
        <w:rPr>
          <w:b/>
        </w:rPr>
        <w:t>Corporations Act 2001</w:t>
      </w:r>
      <w:r w:rsidR="008D5892">
        <w:rPr>
          <w:b/>
        </w:rPr>
        <w:t>—</w:t>
      </w:r>
      <w:r w:rsidR="00060817">
        <w:rPr>
          <w:b/>
        </w:rPr>
        <w:t>Subs</w:t>
      </w:r>
      <w:r w:rsidR="00096E3B">
        <w:rPr>
          <w:b/>
        </w:rPr>
        <w:t>ections</w:t>
      </w:r>
      <w:r w:rsidR="00096E3B" w:rsidRPr="006F76AC">
        <w:rPr>
          <w:b/>
        </w:rPr>
        <w:t xml:space="preserve"> </w:t>
      </w:r>
      <w:proofErr w:type="gramStart"/>
      <w:r w:rsidR="00322F7A">
        <w:rPr>
          <w:b/>
        </w:rPr>
        <w:t>601QA(</w:t>
      </w:r>
      <w:proofErr w:type="gramEnd"/>
      <w:r w:rsidR="00322F7A">
        <w:rPr>
          <w:b/>
        </w:rPr>
        <w:t>1)</w:t>
      </w:r>
      <w:r w:rsidR="00797831">
        <w:rPr>
          <w:b/>
        </w:rPr>
        <w:t>, 1020F(1)</w:t>
      </w:r>
      <w:r w:rsidR="00060817">
        <w:rPr>
          <w:b/>
        </w:rPr>
        <w:t>,</w:t>
      </w:r>
      <w:r w:rsidR="0095337C">
        <w:rPr>
          <w:b/>
        </w:rPr>
        <w:t xml:space="preserve"> </w:t>
      </w:r>
      <w:r w:rsidR="00797831">
        <w:rPr>
          <w:b/>
        </w:rPr>
        <w:t>655A(1) and 673(1)</w:t>
      </w:r>
      <w:r w:rsidR="008D5892">
        <w:rPr>
          <w:b/>
        </w:rPr>
        <w:t>—</w:t>
      </w:r>
      <w:r w:rsidRPr="006F76AC">
        <w:rPr>
          <w:b/>
        </w:rPr>
        <w:t xml:space="preserve"> Exemption</w:t>
      </w:r>
      <w:r w:rsidR="00FF1C07">
        <w:rPr>
          <w:b/>
        </w:rPr>
        <w:t xml:space="preserve">s </w:t>
      </w:r>
      <w:r w:rsidR="0095337C">
        <w:rPr>
          <w:b/>
        </w:rPr>
        <w:t>and Declaration</w:t>
      </w:r>
      <w:r w:rsidR="00FF1C07">
        <w:rPr>
          <w:b/>
        </w:rPr>
        <w:t>s</w:t>
      </w:r>
    </w:p>
    <w:p w:rsidR="006F76AC" w:rsidRDefault="006F76AC" w:rsidP="006F76AC">
      <w:pPr>
        <w:rPr>
          <w:b/>
        </w:rPr>
      </w:pPr>
    </w:p>
    <w:p w:rsidR="00322F7A" w:rsidRPr="006F76AC" w:rsidRDefault="00322F7A" w:rsidP="006F76AC">
      <w:pPr>
        <w:rPr>
          <w:b/>
        </w:rPr>
      </w:pPr>
    </w:p>
    <w:p w:rsidR="006F76AC" w:rsidRPr="006F76AC" w:rsidRDefault="006F76AC" w:rsidP="006F76AC">
      <w:pPr>
        <w:rPr>
          <w:b/>
        </w:rPr>
      </w:pPr>
      <w:r w:rsidRPr="006F76AC">
        <w:rPr>
          <w:b/>
        </w:rPr>
        <w:t xml:space="preserve">Enabling Legislation </w:t>
      </w:r>
    </w:p>
    <w:p w:rsidR="006F76AC" w:rsidRPr="006F76AC" w:rsidRDefault="006F76AC" w:rsidP="006F76AC">
      <w:pPr>
        <w:rPr>
          <w:b/>
        </w:rPr>
      </w:pPr>
    </w:p>
    <w:p w:rsidR="006F76AC" w:rsidRPr="006F76AC" w:rsidRDefault="006F76AC" w:rsidP="00E4445D">
      <w:pPr>
        <w:numPr>
          <w:ilvl w:val="0"/>
          <w:numId w:val="1"/>
        </w:numPr>
        <w:ind w:left="567" w:hanging="567"/>
      </w:pPr>
      <w:r w:rsidRPr="006F76AC">
        <w:t xml:space="preserve">The Australian Securities and Investments Commission </w:t>
      </w:r>
      <w:r w:rsidRPr="006F76AC">
        <w:rPr>
          <w:i/>
        </w:rPr>
        <w:t>(</w:t>
      </w:r>
      <w:r w:rsidRPr="006F76AC">
        <w:rPr>
          <w:b/>
          <w:i/>
        </w:rPr>
        <w:t>ASIC</w:t>
      </w:r>
      <w:r w:rsidRPr="006F76AC">
        <w:t xml:space="preserve">) makes this instrument under </w:t>
      </w:r>
      <w:r w:rsidR="00060817">
        <w:t>sub</w:t>
      </w:r>
      <w:r w:rsidR="00096E3B">
        <w:t>sections</w:t>
      </w:r>
      <w:r w:rsidR="00096E3B" w:rsidRPr="006F76AC">
        <w:t xml:space="preserve"> </w:t>
      </w:r>
      <w:proofErr w:type="gramStart"/>
      <w:r w:rsidR="00322F7A">
        <w:t>601QA(</w:t>
      </w:r>
      <w:proofErr w:type="gramEnd"/>
      <w:r w:rsidR="00322F7A">
        <w:t>1)</w:t>
      </w:r>
      <w:r w:rsidR="00317C87">
        <w:t>,</w:t>
      </w:r>
      <w:r w:rsidR="0095337C">
        <w:t xml:space="preserve"> </w:t>
      </w:r>
      <w:r w:rsidR="00317C87" w:rsidRPr="00317C87">
        <w:t>1020F(1)</w:t>
      </w:r>
      <w:r w:rsidR="00060817">
        <w:t xml:space="preserve">, </w:t>
      </w:r>
      <w:r w:rsidR="003058F7">
        <w:t>655A(1) and 673</w:t>
      </w:r>
      <w:r w:rsidR="00797831">
        <w:t>(1)</w:t>
      </w:r>
      <w:r w:rsidR="00322F7A">
        <w:t xml:space="preserve"> </w:t>
      </w:r>
      <w:r w:rsidRPr="006F76AC">
        <w:t xml:space="preserve">of the </w:t>
      </w:r>
      <w:r w:rsidRPr="006F76AC">
        <w:rPr>
          <w:i/>
        </w:rPr>
        <w:t>Corporations Act 2001</w:t>
      </w:r>
      <w:r w:rsidRPr="006F76AC">
        <w:t xml:space="preserve"> (the </w:t>
      </w:r>
      <w:r w:rsidRPr="006F76AC">
        <w:rPr>
          <w:b/>
          <w:i/>
        </w:rPr>
        <w:t>Act</w:t>
      </w:r>
      <w:r w:rsidRPr="006F76AC">
        <w:t xml:space="preserve">). </w:t>
      </w:r>
    </w:p>
    <w:p w:rsidR="006F76AC" w:rsidRPr="006F76AC" w:rsidRDefault="006F76AC" w:rsidP="006F76AC">
      <w:pPr>
        <w:rPr>
          <w:b/>
        </w:rPr>
      </w:pPr>
    </w:p>
    <w:p w:rsidR="006F76AC" w:rsidRPr="006F76AC" w:rsidRDefault="006F76AC" w:rsidP="006F76AC">
      <w:pPr>
        <w:rPr>
          <w:b/>
        </w:rPr>
      </w:pPr>
      <w:r w:rsidRPr="006F76AC">
        <w:rPr>
          <w:b/>
        </w:rPr>
        <w:t>Title</w:t>
      </w:r>
    </w:p>
    <w:p w:rsidR="006F76AC" w:rsidRPr="001A09A3" w:rsidRDefault="006F76AC" w:rsidP="006F76AC">
      <w:pPr>
        <w:rPr>
          <w:b/>
        </w:rPr>
      </w:pPr>
    </w:p>
    <w:p w:rsidR="001A09A3" w:rsidRPr="001A09A3" w:rsidRDefault="006F76AC" w:rsidP="00E4445D">
      <w:pPr>
        <w:numPr>
          <w:ilvl w:val="0"/>
          <w:numId w:val="1"/>
        </w:numPr>
        <w:ind w:left="567" w:hanging="567"/>
        <w:rPr>
          <w:lang w:val="en-US"/>
        </w:rPr>
      </w:pPr>
      <w:r w:rsidRPr="001A09A3">
        <w:t xml:space="preserve">This instrument is ASIC </w:t>
      </w:r>
      <w:r w:rsidR="00E9521D">
        <w:t xml:space="preserve">Class Order </w:t>
      </w:r>
      <w:r w:rsidR="00C841B7">
        <w:t>[</w:t>
      </w:r>
      <w:r w:rsidR="00E9521D">
        <w:t xml:space="preserve">CO </w:t>
      </w:r>
      <w:r w:rsidR="00C841B7">
        <w:t>13/721].</w:t>
      </w:r>
    </w:p>
    <w:p w:rsidR="006F76AC" w:rsidRPr="006F76AC" w:rsidRDefault="006F76AC" w:rsidP="006F76AC"/>
    <w:p w:rsidR="006F76AC" w:rsidRPr="006F76AC" w:rsidRDefault="006F76AC" w:rsidP="006F76AC">
      <w:pPr>
        <w:rPr>
          <w:b/>
        </w:rPr>
      </w:pPr>
      <w:r w:rsidRPr="006F76AC">
        <w:rPr>
          <w:b/>
        </w:rPr>
        <w:t>Commencement</w:t>
      </w:r>
    </w:p>
    <w:p w:rsidR="006F76AC" w:rsidRPr="006F76AC" w:rsidRDefault="006F76AC" w:rsidP="006F76AC">
      <w:pPr>
        <w:rPr>
          <w:b/>
        </w:rPr>
      </w:pPr>
    </w:p>
    <w:p w:rsidR="00C56B7A" w:rsidRDefault="006F76AC" w:rsidP="00E4445D">
      <w:pPr>
        <w:numPr>
          <w:ilvl w:val="0"/>
          <w:numId w:val="1"/>
        </w:numPr>
        <w:ind w:left="567" w:hanging="567"/>
      </w:pPr>
      <w:r w:rsidRPr="006F76AC">
        <w:t xml:space="preserve">This instrument commences </w:t>
      </w:r>
      <w:r w:rsidR="000A5F14" w:rsidRPr="000A5F14">
        <w:rPr>
          <w:lang w:val="en-US"/>
        </w:rPr>
        <w:t xml:space="preserve">on </w:t>
      </w:r>
      <w:r w:rsidR="00E37B84">
        <w:rPr>
          <w:lang w:val="en-US"/>
        </w:rPr>
        <w:t>t</w:t>
      </w:r>
      <w:r w:rsidR="00765725" w:rsidRPr="00FB7CDD">
        <w:rPr>
          <w:lang w:val="en-US"/>
        </w:rPr>
        <w:t xml:space="preserve">he date it is registered under the </w:t>
      </w:r>
      <w:r w:rsidR="00765725" w:rsidRPr="00C56B7A">
        <w:rPr>
          <w:i/>
          <w:lang w:val="en-US"/>
        </w:rPr>
        <w:t>Legislative Instruments Act 2003</w:t>
      </w:r>
      <w:r w:rsidR="00765725">
        <w:rPr>
          <w:lang w:val="en-US"/>
        </w:rPr>
        <w:t>.</w:t>
      </w:r>
    </w:p>
    <w:p w:rsidR="00C56B7A" w:rsidRPr="008D5892" w:rsidRDefault="00C56B7A" w:rsidP="00C56B7A">
      <w:pPr>
        <w:ind w:left="720"/>
        <w:rPr>
          <w:lang w:val="en-US"/>
        </w:rPr>
      </w:pPr>
    </w:p>
    <w:p w:rsidR="006732A1" w:rsidRDefault="00C56B7A" w:rsidP="00044925">
      <w:pPr>
        <w:ind w:left="1134" w:hanging="567"/>
        <w:rPr>
          <w:sz w:val="20"/>
          <w:szCs w:val="20"/>
        </w:rPr>
      </w:pPr>
      <w:r w:rsidRPr="00C56B7A">
        <w:rPr>
          <w:sz w:val="20"/>
          <w:szCs w:val="20"/>
        </w:rPr>
        <w:t>Note</w:t>
      </w:r>
      <w:r w:rsidR="008D5892" w:rsidRPr="00C56B7A">
        <w:rPr>
          <w:sz w:val="20"/>
          <w:szCs w:val="20"/>
        </w:rPr>
        <w:t>:</w:t>
      </w:r>
      <w:r w:rsidR="008D5892">
        <w:rPr>
          <w:sz w:val="20"/>
          <w:szCs w:val="20"/>
        </w:rPr>
        <w:tab/>
      </w:r>
      <w:r w:rsidRPr="00C56B7A">
        <w:rPr>
          <w:sz w:val="20"/>
          <w:szCs w:val="20"/>
        </w:rPr>
        <w:t>An instrument is registered when it is recorded on the Federal Register of Legislative Instruments (</w:t>
      </w:r>
      <w:r w:rsidR="006732A1" w:rsidRPr="007667D2">
        <w:rPr>
          <w:b/>
          <w:i/>
          <w:sz w:val="20"/>
          <w:szCs w:val="20"/>
        </w:rPr>
        <w:t>FRLI</w:t>
      </w:r>
      <w:r w:rsidRPr="00C56B7A">
        <w:rPr>
          <w:sz w:val="20"/>
          <w:szCs w:val="20"/>
        </w:rPr>
        <w:t xml:space="preserve">) in electronic form: see </w:t>
      </w:r>
      <w:r w:rsidR="006732A1" w:rsidRPr="006732A1">
        <w:rPr>
          <w:i/>
          <w:sz w:val="20"/>
          <w:szCs w:val="20"/>
        </w:rPr>
        <w:t>Legislative Instruments Act 2003</w:t>
      </w:r>
      <w:r w:rsidRPr="00C56B7A">
        <w:rPr>
          <w:sz w:val="20"/>
          <w:szCs w:val="20"/>
        </w:rPr>
        <w:t xml:space="preserve">, section 4 (definition of </w:t>
      </w:r>
      <w:r w:rsidR="006732A1" w:rsidRPr="006732A1">
        <w:rPr>
          <w:b/>
          <w:i/>
          <w:sz w:val="20"/>
          <w:szCs w:val="20"/>
        </w:rPr>
        <w:t>register</w:t>
      </w:r>
      <w:r w:rsidRPr="00C56B7A">
        <w:rPr>
          <w:sz w:val="20"/>
          <w:szCs w:val="20"/>
        </w:rPr>
        <w:t xml:space="preserve">). The FRLI may be accessed at </w:t>
      </w:r>
      <w:hyperlink r:id="rId8" w:history="1">
        <w:r w:rsidR="006732A1" w:rsidRPr="006732A1">
          <w:rPr>
            <w:rStyle w:val="Hyperlink"/>
            <w:color w:val="000000" w:themeColor="text1"/>
            <w:sz w:val="20"/>
            <w:szCs w:val="20"/>
          </w:rPr>
          <w:t>http://www.frli.gov.au/</w:t>
        </w:r>
      </w:hyperlink>
      <w:r w:rsidRPr="008D5892">
        <w:rPr>
          <w:sz w:val="20"/>
          <w:szCs w:val="20"/>
        </w:rPr>
        <w:t>.</w:t>
      </w:r>
    </w:p>
    <w:p w:rsidR="006F76AC" w:rsidRPr="006F76AC" w:rsidRDefault="006F76AC" w:rsidP="006F76AC">
      <w:pPr>
        <w:rPr>
          <w:b/>
        </w:rPr>
      </w:pPr>
    </w:p>
    <w:p w:rsidR="006F76AC" w:rsidRPr="00295D37" w:rsidRDefault="005D50E5" w:rsidP="006F76AC">
      <w:pPr>
        <w:rPr>
          <w:b/>
        </w:rPr>
      </w:pPr>
      <w:r w:rsidRPr="00295D37">
        <w:rPr>
          <w:b/>
        </w:rPr>
        <w:t>Exemption</w:t>
      </w:r>
      <w:r w:rsidR="007667D2">
        <w:rPr>
          <w:b/>
        </w:rPr>
        <w:t>—</w:t>
      </w:r>
      <w:r w:rsidRPr="00295D37">
        <w:rPr>
          <w:b/>
        </w:rPr>
        <w:t xml:space="preserve">Unequal </w:t>
      </w:r>
      <w:r w:rsidR="00504E9F">
        <w:rPr>
          <w:b/>
        </w:rPr>
        <w:t>t</w:t>
      </w:r>
      <w:r w:rsidRPr="00295D37">
        <w:rPr>
          <w:b/>
        </w:rPr>
        <w:t>reatment</w:t>
      </w:r>
      <w:r w:rsidR="005B28ED">
        <w:rPr>
          <w:b/>
        </w:rPr>
        <w:t xml:space="preserve"> in withdraw</w:t>
      </w:r>
      <w:r w:rsidR="00504E9F">
        <w:rPr>
          <w:b/>
        </w:rPr>
        <w:t>al</w:t>
      </w:r>
      <w:r w:rsidR="005B28ED">
        <w:rPr>
          <w:b/>
        </w:rPr>
        <w:t xml:space="preserve"> from </w:t>
      </w:r>
      <w:r w:rsidR="007667D2">
        <w:rPr>
          <w:b/>
        </w:rPr>
        <w:t>an</w:t>
      </w:r>
      <w:r w:rsidR="000C6489">
        <w:rPr>
          <w:b/>
        </w:rPr>
        <w:t xml:space="preserve"> AQUA exchange traded fund </w:t>
      </w:r>
    </w:p>
    <w:p w:rsidR="006F76AC" w:rsidRPr="00D9231C" w:rsidRDefault="006F76AC" w:rsidP="006F76AC">
      <w:pPr>
        <w:rPr>
          <w:b/>
        </w:rPr>
      </w:pPr>
    </w:p>
    <w:p w:rsidR="00FF14C2" w:rsidRPr="00FF14C2" w:rsidRDefault="00B01B0A" w:rsidP="00E4445D">
      <w:pPr>
        <w:numPr>
          <w:ilvl w:val="0"/>
          <w:numId w:val="1"/>
        </w:numPr>
        <w:ind w:left="567" w:hanging="567"/>
        <w:jc w:val="both"/>
      </w:pPr>
      <w:r>
        <w:t>A r</w:t>
      </w:r>
      <w:r w:rsidR="003A6390">
        <w:t xml:space="preserve">esponsible </w:t>
      </w:r>
      <w:r>
        <w:t>e</w:t>
      </w:r>
      <w:r w:rsidR="003A6390">
        <w:t>ntity</w:t>
      </w:r>
      <w:r w:rsidR="00DB07B7">
        <w:t xml:space="preserve"> </w:t>
      </w:r>
      <w:r w:rsidR="00305B7C">
        <w:t>of a</w:t>
      </w:r>
      <w:r w:rsidR="007D2CB3">
        <w:t>n AQUA exchange traded fund</w:t>
      </w:r>
      <w:r w:rsidR="00305B7C">
        <w:t xml:space="preserve"> </w:t>
      </w:r>
      <w:r w:rsidR="00504E9F">
        <w:t>does not have</w:t>
      </w:r>
      <w:r w:rsidR="003A6390">
        <w:t xml:space="preserve"> </w:t>
      </w:r>
      <w:r w:rsidR="00D25EDC" w:rsidRPr="00AA35C8">
        <w:rPr>
          <w:bCs/>
        </w:rPr>
        <w:t xml:space="preserve">to comply with </w:t>
      </w:r>
      <w:r w:rsidR="0083240E">
        <w:rPr>
          <w:bCs/>
        </w:rPr>
        <w:t xml:space="preserve">paragraph </w:t>
      </w:r>
      <w:r w:rsidR="00D25EDC" w:rsidRPr="00AA35C8">
        <w:rPr>
          <w:bCs/>
        </w:rPr>
        <w:t xml:space="preserve">601FC(1)(d) </w:t>
      </w:r>
      <w:r w:rsidR="00D3063F">
        <w:rPr>
          <w:bCs/>
        </w:rPr>
        <w:t xml:space="preserve">of the Act </w:t>
      </w:r>
      <w:r w:rsidR="00925DD7" w:rsidRPr="00AA35C8">
        <w:rPr>
          <w:bCs/>
        </w:rPr>
        <w:t xml:space="preserve">to the extent that </w:t>
      </w:r>
      <w:r w:rsidR="008D5892">
        <w:rPr>
          <w:bCs/>
        </w:rPr>
        <w:t xml:space="preserve">it </w:t>
      </w:r>
      <w:r w:rsidR="00504E9F">
        <w:rPr>
          <w:bCs/>
        </w:rPr>
        <w:t xml:space="preserve">would prevent </w:t>
      </w:r>
      <w:r w:rsidR="00DC0927">
        <w:rPr>
          <w:bCs/>
        </w:rPr>
        <w:t>the responsible entity</w:t>
      </w:r>
      <w:r w:rsidR="00504E9F">
        <w:rPr>
          <w:bCs/>
        </w:rPr>
        <w:t xml:space="preserve"> from </w:t>
      </w:r>
      <w:r w:rsidR="0083240E">
        <w:rPr>
          <w:bCs/>
        </w:rPr>
        <w:t>permitting</w:t>
      </w:r>
      <w:r w:rsidR="00765725">
        <w:rPr>
          <w:bCs/>
        </w:rPr>
        <w:t xml:space="preserve"> </w:t>
      </w:r>
      <w:r w:rsidR="00FF14C2" w:rsidRPr="00AA35C8">
        <w:rPr>
          <w:bCs/>
        </w:rPr>
        <w:t xml:space="preserve">only </w:t>
      </w:r>
      <w:r>
        <w:rPr>
          <w:bCs/>
        </w:rPr>
        <w:t>a</w:t>
      </w:r>
      <w:r w:rsidR="00FF14C2" w:rsidRPr="00AA35C8">
        <w:rPr>
          <w:bCs/>
        </w:rPr>
        <w:t xml:space="preserve">uthorised </w:t>
      </w:r>
      <w:r>
        <w:rPr>
          <w:bCs/>
        </w:rPr>
        <w:t>p</w:t>
      </w:r>
      <w:r w:rsidR="00FF14C2" w:rsidRPr="00AA35C8">
        <w:rPr>
          <w:bCs/>
        </w:rPr>
        <w:t xml:space="preserve">articipants to </w:t>
      </w:r>
      <w:r w:rsidR="00C03D1F">
        <w:rPr>
          <w:bCs/>
        </w:rPr>
        <w:t>withdraw</w:t>
      </w:r>
      <w:r w:rsidR="00FF14C2" w:rsidRPr="00AA35C8">
        <w:rPr>
          <w:bCs/>
        </w:rPr>
        <w:t xml:space="preserve"> </w:t>
      </w:r>
      <w:r w:rsidR="00807D5E">
        <w:rPr>
          <w:bCs/>
        </w:rPr>
        <w:t xml:space="preserve">from </w:t>
      </w:r>
      <w:r w:rsidR="000C6489">
        <w:rPr>
          <w:bCs/>
        </w:rPr>
        <w:t>the fund</w:t>
      </w:r>
      <w:r w:rsidR="005E3510">
        <w:rPr>
          <w:bCs/>
        </w:rPr>
        <w:t>.</w:t>
      </w:r>
    </w:p>
    <w:p w:rsidR="00FA7114" w:rsidRDefault="00FA7114" w:rsidP="006A1A37">
      <w:pPr>
        <w:autoSpaceDE w:val="0"/>
        <w:autoSpaceDN w:val="0"/>
        <w:adjustRightInd w:val="0"/>
        <w:spacing w:line="240" w:lineRule="atLeast"/>
        <w:ind w:left="567"/>
        <w:jc w:val="both"/>
      </w:pPr>
    </w:p>
    <w:p w:rsidR="00096E3B" w:rsidRPr="00295D37" w:rsidRDefault="00096E3B" w:rsidP="004E289D">
      <w:pPr>
        <w:autoSpaceDE w:val="0"/>
        <w:autoSpaceDN w:val="0"/>
        <w:adjustRightInd w:val="0"/>
        <w:spacing w:line="240" w:lineRule="atLeast"/>
        <w:jc w:val="both"/>
        <w:rPr>
          <w:i/>
        </w:rPr>
      </w:pPr>
      <w:r w:rsidRPr="00295D37">
        <w:rPr>
          <w:i/>
        </w:rPr>
        <w:t xml:space="preserve">Where </w:t>
      </w:r>
      <w:r w:rsidR="009E5F46" w:rsidRPr="00295D37">
        <w:rPr>
          <w:i/>
        </w:rPr>
        <w:t>the</w:t>
      </w:r>
      <w:r w:rsidR="005D50E5" w:rsidRPr="00295D37">
        <w:rPr>
          <w:i/>
        </w:rPr>
        <w:t xml:space="preserve"> exemption applies </w:t>
      </w:r>
    </w:p>
    <w:p w:rsidR="00096E3B" w:rsidRDefault="00096E3B" w:rsidP="006A1A37">
      <w:pPr>
        <w:autoSpaceDE w:val="0"/>
        <w:autoSpaceDN w:val="0"/>
        <w:adjustRightInd w:val="0"/>
        <w:spacing w:line="240" w:lineRule="atLeast"/>
        <w:ind w:left="567"/>
        <w:jc w:val="both"/>
      </w:pPr>
    </w:p>
    <w:p w:rsidR="00F71F8B" w:rsidRDefault="00096E3B" w:rsidP="00E4445D">
      <w:pPr>
        <w:numPr>
          <w:ilvl w:val="0"/>
          <w:numId w:val="1"/>
        </w:numPr>
        <w:autoSpaceDE w:val="0"/>
        <w:autoSpaceDN w:val="0"/>
        <w:adjustRightInd w:val="0"/>
        <w:spacing w:line="240" w:lineRule="atLeast"/>
        <w:ind w:left="567" w:hanging="567"/>
        <w:jc w:val="both"/>
      </w:pPr>
      <w:r>
        <w:t>The exemption applies where</w:t>
      </w:r>
      <w:r w:rsidR="00CC62E8">
        <w:t xml:space="preserve"> all of the following are satisfied</w:t>
      </w:r>
      <w:r>
        <w:t xml:space="preserve">: </w:t>
      </w:r>
    </w:p>
    <w:p w:rsidR="00FA7114" w:rsidRDefault="00FA7114" w:rsidP="006A1A37">
      <w:pPr>
        <w:autoSpaceDE w:val="0"/>
        <w:autoSpaceDN w:val="0"/>
        <w:adjustRightInd w:val="0"/>
        <w:spacing w:line="240" w:lineRule="atLeast"/>
        <w:ind w:left="1134"/>
        <w:jc w:val="both"/>
      </w:pPr>
    </w:p>
    <w:p w:rsidR="00F71F8B" w:rsidRDefault="005B13D0" w:rsidP="00E4445D">
      <w:pPr>
        <w:pStyle w:val="ListParagraph"/>
        <w:numPr>
          <w:ilvl w:val="0"/>
          <w:numId w:val="5"/>
        </w:numPr>
        <w:ind w:left="1134" w:hanging="567"/>
        <w:jc w:val="both"/>
      </w:pPr>
      <w:r>
        <w:t xml:space="preserve">there </w:t>
      </w:r>
      <w:r w:rsidR="0066489B">
        <w:t xml:space="preserve">is a </w:t>
      </w:r>
      <w:r w:rsidR="006B772A">
        <w:t>Product Disclosure Statement</w:t>
      </w:r>
      <w:r w:rsidR="006B772A">
        <w:rPr>
          <w:b/>
        </w:rPr>
        <w:t xml:space="preserve"> </w:t>
      </w:r>
      <w:r w:rsidR="00895ADF">
        <w:t xml:space="preserve">in relation to interests </w:t>
      </w:r>
      <w:r w:rsidR="0066489B" w:rsidRPr="0066489B">
        <w:t xml:space="preserve">in the AQUA exchange traded fund </w:t>
      </w:r>
      <w:r w:rsidR="00895ADF">
        <w:t xml:space="preserve">that are admitted or are to be </w:t>
      </w:r>
      <w:r w:rsidR="00031E4B" w:rsidRPr="00031E4B">
        <w:t xml:space="preserve">admitted to Trading Status as ETF Securities </w:t>
      </w:r>
      <w:r w:rsidR="0066489B">
        <w:t xml:space="preserve">that </w:t>
      </w:r>
      <w:r w:rsidR="00FA7114">
        <w:t>contains statement</w:t>
      </w:r>
      <w:r w:rsidR="00CE7079">
        <w:t>s</w:t>
      </w:r>
      <w:r w:rsidR="00914215">
        <w:t xml:space="preserve"> </w:t>
      </w:r>
      <w:r w:rsidR="00FA7114">
        <w:t>to the effect</w:t>
      </w:r>
      <w:r w:rsidR="00FA7114" w:rsidRPr="008B175D">
        <w:t xml:space="preserve"> that</w:t>
      </w:r>
      <w:r w:rsidR="00CE7079">
        <w:t>:</w:t>
      </w:r>
    </w:p>
    <w:p w:rsidR="0099550C" w:rsidRDefault="0099550C">
      <w:pPr>
        <w:pStyle w:val="ListParagraph"/>
      </w:pPr>
    </w:p>
    <w:p w:rsidR="00F71F8B" w:rsidRDefault="00765725" w:rsidP="00E4445D">
      <w:pPr>
        <w:pStyle w:val="ListParagraph"/>
        <w:ind w:left="1701" w:hanging="567"/>
        <w:jc w:val="both"/>
      </w:pPr>
      <w:r>
        <w:t>(</w:t>
      </w:r>
      <w:proofErr w:type="spellStart"/>
      <w:r>
        <w:t>i</w:t>
      </w:r>
      <w:proofErr w:type="spellEnd"/>
      <w:r>
        <w:t>)</w:t>
      </w:r>
      <w:r>
        <w:tab/>
      </w:r>
      <w:proofErr w:type="gramStart"/>
      <w:r>
        <w:t>the</w:t>
      </w:r>
      <w:proofErr w:type="gramEnd"/>
      <w:r>
        <w:t xml:space="preserve"> responsible entity </w:t>
      </w:r>
      <w:r w:rsidR="00895ADF">
        <w:t>will not</w:t>
      </w:r>
      <w:r>
        <w:t xml:space="preserve"> treat members of the same class equally</w:t>
      </w:r>
      <w:r w:rsidR="0083240E" w:rsidRPr="0083240E">
        <w:rPr>
          <w:bCs/>
        </w:rPr>
        <w:t xml:space="preserve"> </w:t>
      </w:r>
      <w:r w:rsidR="0083240E" w:rsidRPr="00AA35C8">
        <w:rPr>
          <w:bCs/>
        </w:rPr>
        <w:t xml:space="preserve">to the extent that </w:t>
      </w:r>
      <w:r w:rsidR="0083240E">
        <w:rPr>
          <w:bCs/>
        </w:rPr>
        <w:t xml:space="preserve">it </w:t>
      </w:r>
      <w:r w:rsidR="00AF7B0B">
        <w:t>restrict</w:t>
      </w:r>
      <w:r w:rsidR="00895ADF">
        <w:t>s</w:t>
      </w:r>
      <w:r w:rsidR="00AF7B0B">
        <w:t xml:space="preserve"> withdrawal from </w:t>
      </w:r>
      <w:r w:rsidR="000C6489">
        <w:t>the fund</w:t>
      </w:r>
      <w:r w:rsidR="000717A5">
        <w:t xml:space="preserve"> </w:t>
      </w:r>
      <w:r w:rsidR="00AF7B0B">
        <w:t>to authorised participants</w:t>
      </w:r>
      <w:r w:rsidR="00884972">
        <w:t>;</w:t>
      </w:r>
      <w:r w:rsidR="005B13D0">
        <w:t xml:space="preserve"> and</w:t>
      </w:r>
    </w:p>
    <w:p w:rsidR="00914215" w:rsidRDefault="00914215" w:rsidP="00914215">
      <w:pPr>
        <w:pStyle w:val="ListParagraph"/>
        <w:ind w:left="1800"/>
        <w:jc w:val="both"/>
      </w:pPr>
    </w:p>
    <w:p w:rsidR="00E4445D" w:rsidRDefault="0083240E" w:rsidP="00E4445D">
      <w:pPr>
        <w:pStyle w:val="ListParagraph"/>
        <w:ind w:left="1701" w:hanging="567"/>
      </w:pPr>
      <w:r>
        <w:t>(ii)</w:t>
      </w:r>
      <w:r w:rsidR="00E4445D">
        <w:t xml:space="preserve"> </w:t>
      </w:r>
      <w:r w:rsidR="00E4445D">
        <w:tab/>
      </w:r>
      <w:proofErr w:type="gramStart"/>
      <w:r w:rsidR="00895ADF">
        <w:t>except</w:t>
      </w:r>
      <w:proofErr w:type="gramEnd"/>
      <w:r w:rsidR="00895ADF">
        <w:t xml:space="preserve"> in exceptional circumstances only</w:t>
      </w:r>
      <w:r w:rsidR="009B19DD">
        <w:t xml:space="preserve"> </w:t>
      </w:r>
      <w:r w:rsidR="00305B7C">
        <w:t xml:space="preserve">authorised participants may </w:t>
      </w:r>
    </w:p>
    <w:p w:rsidR="00F71F8B" w:rsidRDefault="00E4445D" w:rsidP="00E4445D">
      <w:pPr>
        <w:pStyle w:val="ListParagraph"/>
        <w:ind w:left="1701" w:hanging="567"/>
      </w:pPr>
      <w:r>
        <w:tab/>
      </w:r>
      <w:proofErr w:type="gramStart"/>
      <w:r w:rsidR="009B19DD">
        <w:t>withdraw</w:t>
      </w:r>
      <w:proofErr w:type="gramEnd"/>
      <w:r w:rsidR="009B19DD">
        <w:t xml:space="preserve"> from </w:t>
      </w:r>
      <w:r w:rsidR="004E289D">
        <w:t>the fund</w:t>
      </w:r>
      <w:r w:rsidR="00305B7C">
        <w:t xml:space="preserve">, but other members may </w:t>
      </w:r>
      <w:r w:rsidR="0066489B">
        <w:t xml:space="preserve">sell </w:t>
      </w:r>
      <w:r w:rsidR="00305B7C" w:rsidRPr="00E4445D">
        <w:rPr>
          <w:bCs/>
        </w:rPr>
        <w:t>their</w:t>
      </w:r>
      <w:r w:rsidR="00895ADF" w:rsidRPr="00E4445D">
        <w:rPr>
          <w:bCs/>
        </w:rPr>
        <w:t xml:space="preserve"> interests on the AQUA market</w:t>
      </w:r>
      <w:r w:rsidR="00F449C1" w:rsidRPr="00E4445D">
        <w:rPr>
          <w:bCs/>
          <w:iCs/>
        </w:rPr>
        <w:t>;</w:t>
      </w:r>
      <w:r w:rsidR="00575342" w:rsidRPr="00E4445D">
        <w:rPr>
          <w:iCs/>
        </w:rPr>
        <w:t xml:space="preserve"> </w:t>
      </w:r>
      <w:r w:rsidR="00CE7079">
        <w:t xml:space="preserve">and </w:t>
      </w:r>
    </w:p>
    <w:p w:rsidR="00F71F8B" w:rsidRDefault="00F71F8B" w:rsidP="00E4445D">
      <w:pPr>
        <w:pStyle w:val="ListParagraph"/>
        <w:ind w:left="2127"/>
      </w:pPr>
    </w:p>
    <w:p w:rsidR="00E4445D" w:rsidRDefault="00E4445D" w:rsidP="00E4445D">
      <w:pPr>
        <w:pStyle w:val="ListParagraph"/>
        <w:ind w:left="1701" w:hanging="567"/>
      </w:pPr>
      <w:r>
        <w:t xml:space="preserve">(iii) </w:t>
      </w:r>
      <w:r>
        <w:tab/>
      </w:r>
      <w:proofErr w:type="gramStart"/>
      <w:r w:rsidR="00305B7C" w:rsidRPr="00305B7C">
        <w:t>when</w:t>
      </w:r>
      <w:proofErr w:type="gramEnd"/>
      <w:r w:rsidR="00305B7C" w:rsidRPr="00305B7C">
        <w:t xml:space="preserve"> interests in </w:t>
      </w:r>
      <w:r w:rsidR="000C6489">
        <w:t xml:space="preserve">the AQUA exchange traded fund </w:t>
      </w:r>
      <w:r w:rsidR="00305B7C" w:rsidRPr="00305B7C">
        <w:t xml:space="preserve">are suspended </w:t>
      </w:r>
    </w:p>
    <w:p w:rsidR="00281BA3" w:rsidRDefault="00305B7C" w:rsidP="00E4445D">
      <w:pPr>
        <w:ind w:left="1701"/>
      </w:pPr>
      <w:proofErr w:type="gramStart"/>
      <w:r w:rsidRPr="00305B7C">
        <w:t>from</w:t>
      </w:r>
      <w:proofErr w:type="gramEnd"/>
      <w:r w:rsidR="00E4445D">
        <w:t xml:space="preserve"> </w:t>
      </w:r>
      <w:r w:rsidR="00107CBA">
        <w:t xml:space="preserve">trading </w:t>
      </w:r>
      <w:r w:rsidRPr="00305B7C">
        <w:t xml:space="preserve">on the AQUA market for more than 5 consecutive </w:t>
      </w:r>
      <w:r w:rsidR="00D85927">
        <w:t>T</w:t>
      </w:r>
      <w:r w:rsidRPr="00305B7C">
        <w:t xml:space="preserve">rading </w:t>
      </w:r>
      <w:r w:rsidR="00D85927">
        <w:t>D</w:t>
      </w:r>
      <w:r w:rsidRPr="00305B7C">
        <w:t>ays</w:t>
      </w:r>
      <w:r>
        <w:t xml:space="preserve">, </w:t>
      </w:r>
      <w:r w:rsidR="00CE7079" w:rsidRPr="00CE7079">
        <w:t>members have a right to</w:t>
      </w:r>
      <w:r w:rsidR="00895ADF">
        <w:t xml:space="preserve"> withdraw</w:t>
      </w:r>
      <w:r w:rsidR="003E7342">
        <w:t xml:space="preserve"> </w:t>
      </w:r>
      <w:r w:rsidR="00A67CC2">
        <w:t xml:space="preserve">from the </w:t>
      </w:r>
      <w:r w:rsidR="000C6489" w:rsidRPr="000C6489">
        <w:t>fund</w:t>
      </w:r>
      <w:r w:rsidR="000C6489" w:rsidRPr="000C6489" w:rsidDel="000C6489">
        <w:t xml:space="preserve"> </w:t>
      </w:r>
      <w:r w:rsidR="003E7342">
        <w:t xml:space="preserve">and receive </w:t>
      </w:r>
      <w:r w:rsidR="003E7342">
        <w:lastRenderedPageBreak/>
        <w:t>payment for their interests in money within a reasonable time of request</w:t>
      </w:r>
      <w:r w:rsidR="00281BA3">
        <w:t xml:space="preserve"> </w:t>
      </w:r>
      <w:r w:rsidR="00281BA3" w:rsidRPr="00281BA3">
        <w:t xml:space="preserve">unless </w:t>
      </w:r>
      <w:r w:rsidR="00281BA3">
        <w:t>any of the following apply:</w:t>
      </w:r>
    </w:p>
    <w:p w:rsidR="00281BA3" w:rsidRDefault="00281BA3" w:rsidP="00CE0280">
      <w:pPr>
        <w:pStyle w:val="ListParagraph"/>
        <w:ind w:left="2127" w:hanging="698"/>
      </w:pPr>
    </w:p>
    <w:p w:rsidR="006732A1" w:rsidRDefault="00281BA3" w:rsidP="00044925">
      <w:pPr>
        <w:pStyle w:val="ListParagraph"/>
        <w:ind w:left="2268" w:hanging="567"/>
      </w:pPr>
      <w:r>
        <w:t>(A)</w:t>
      </w:r>
      <w:r>
        <w:tab/>
      </w:r>
      <w:proofErr w:type="gramStart"/>
      <w:r w:rsidRPr="00281BA3">
        <w:t>the</w:t>
      </w:r>
      <w:proofErr w:type="gramEnd"/>
      <w:r w:rsidRPr="00281BA3">
        <w:t xml:space="preserve"> fund is</w:t>
      </w:r>
      <w:r>
        <w:t xml:space="preserve"> being wound-up;</w:t>
      </w:r>
    </w:p>
    <w:p w:rsidR="00ED3A74" w:rsidRDefault="00ED3A74" w:rsidP="00044925">
      <w:pPr>
        <w:pStyle w:val="ListParagraph"/>
        <w:ind w:left="2268" w:hanging="567"/>
      </w:pPr>
    </w:p>
    <w:p w:rsidR="006732A1" w:rsidRDefault="00281BA3" w:rsidP="00044925">
      <w:pPr>
        <w:pStyle w:val="ListParagraph"/>
        <w:ind w:left="2268" w:hanging="567"/>
      </w:pPr>
      <w:r>
        <w:t>(B)</w:t>
      </w:r>
      <w:r>
        <w:tab/>
      </w:r>
      <w:proofErr w:type="gramStart"/>
      <w:r>
        <w:t>the</w:t>
      </w:r>
      <w:proofErr w:type="gramEnd"/>
      <w:r>
        <w:t xml:space="preserve"> fund </w:t>
      </w:r>
      <w:r w:rsidRPr="00281BA3">
        <w:t xml:space="preserve">is not </w:t>
      </w:r>
      <w:r>
        <w:t>l</w:t>
      </w:r>
      <w:r w:rsidRPr="00281BA3">
        <w:t>iquid as defined in subsection 601KA(4)</w:t>
      </w:r>
      <w:r w:rsidR="004E289D">
        <w:t xml:space="preserve"> of the Act</w:t>
      </w:r>
      <w:r>
        <w:t>;</w:t>
      </w:r>
    </w:p>
    <w:p w:rsidR="00ED3A74" w:rsidRDefault="00ED3A74" w:rsidP="00044925">
      <w:pPr>
        <w:pStyle w:val="ListParagraph"/>
        <w:ind w:left="2268" w:hanging="567"/>
      </w:pPr>
    </w:p>
    <w:p w:rsidR="006732A1" w:rsidRDefault="00281BA3" w:rsidP="00044925">
      <w:pPr>
        <w:pStyle w:val="ListParagraph"/>
        <w:ind w:left="2268" w:hanging="567"/>
      </w:pPr>
      <w:r>
        <w:t>(C)</w:t>
      </w:r>
      <w:r>
        <w:tab/>
      </w:r>
      <w:proofErr w:type="gramStart"/>
      <w:r w:rsidRPr="00281BA3">
        <w:t>the</w:t>
      </w:r>
      <w:proofErr w:type="gramEnd"/>
      <w:r w:rsidRPr="00281BA3">
        <w:t xml:space="preserve"> responsible entity suspends withdrawals in accordance with the constitution</w:t>
      </w:r>
      <w:r w:rsidR="00CE7079">
        <w:t>;</w:t>
      </w:r>
      <w:r w:rsidR="003E7342">
        <w:t xml:space="preserve"> </w:t>
      </w:r>
    </w:p>
    <w:p w:rsidR="00F71F8B" w:rsidRDefault="00F71F8B">
      <w:pPr>
        <w:pStyle w:val="ListParagraph"/>
      </w:pPr>
    </w:p>
    <w:p w:rsidR="00FE0959" w:rsidRDefault="005B13D0" w:rsidP="00E4445D">
      <w:pPr>
        <w:pStyle w:val="ListParagraph"/>
        <w:numPr>
          <w:ilvl w:val="0"/>
          <w:numId w:val="5"/>
        </w:numPr>
        <w:ind w:left="1134" w:hanging="567"/>
      </w:pPr>
      <w:r w:rsidRPr="00526695">
        <w:t xml:space="preserve">the </w:t>
      </w:r>
      <w:r w:rsidR="004F1D09" w:rsidRPr="00526695">
        <w:t xml:space="preserve">constitution of </w:t>
      </w:r>
      <w:r w:rsidR="00577C16" w:rsidRPr="00526695">
        <w:t>the AQUA exchange traded fund</w:t>
      </w:r>
      <w:r w:rsidR="00577C16" w:rsidRPr="00526695" w:rsidDel="00577C16">
        <w:t xml:space="preserve"> </w:t>
      </w:r>
      <w:r w:rsidR="00305B7C" w:rsidRPr="00526695">
        <w:t xml:space="preserve">does not permit </w:t>
      </w:r>
      <w:r w:rsidR="007F5A37" w:rsidRPr="00526695">
        <w:t>a withdrawal fee per interest</w:t>
      </w:r>
      <w:r w:rsidR="00263631">
        <w:t xml:space="preserve"> in the fund</w:t>
      </w:r>
      <w:r w:rsidR="007F5A37" w:rsidRPr="00526695">
        <w:t xml:space="preserve"> </w:t>
      </w:r>
      <w:r w:rsidR="000717A5" w:rsidRPr="00526695">
        <w:t>t</w:t>
      </w:r>
      <w:r w:rsidR="008336F7" w:rsidRPr="00526695">
        <w:t xml:space="preserve">o be </w:t>
      </w:r>
      <w:r w:rsidR="007F5A37" w:rsidRPr="00526695">
        <w:t>payable</w:t>
      </w:r>
      <w:r w:rsidR="00305B7C" w:rsidRPr="00526695">
        <w:t xml:space="preserve"> by </w:t>
      </w:r>
      <w:r w:rsidR="00CC62E8" w:rsidRPr="00526695">
        <w:t xml:space="preserve">a member who is not an authorised participant </w:t>
      </w:r>
      <w:r w:rsidR="007F5A37" w:rsidRPr="00526695">
        <w:t>that is greater</w:t>
      </w:r>
      <w:r w:rsidR="00305B7C" w:rsidRPr="00526695">
        <w:t xml:space="preserve"> than</w:t>
      </w:r>
      <w:r w:rsidR="007F5A37" w:rsidRPr="00526695">
        <w:t xml:space="preserve"> the withdrawal fee</w:t>
      </w:r>
      <w:r w:rsidR="008336F7" w:rsidRPr="00526695">
        <w:t xml:space="preserve"> per interest</w:t>
      </w:r>
      <w:r w:rsidR="007F5A37" w:rsidRPr="00526695">
        <w:t xml:space="preserve"> that</w:t>
      </w:r>
      <w:r w:rsidR="00305B7C" w:rsidRPr="00526695">
        <w:t xml:space="preserve"> would generally be payable by an authorised participant</w:t>
      </w:r>
      <w:r w:rsidR="003F0023">
        <w:t xml:space="preserve"> </w:t>
      </w:r>
      <w:r w:rsidR="003F0023" w:rsidRPr="003F0023">
        <w:t xml:space="preserve">receiving redemption proceeds in cash </w:t>
      </w:r>
      <w:r w:rsidR="00305B7C" w:rsidRPr="00526695">
        <w:t xml:space="preserve">while interests in </w:t>
      </w:r>
      <w:r w:rsidR="000C6489" w:rsidRPr="00526695">
        <w:t xml:space="preserve">the AQUA exchange traded fund </w:t>
      </w:r>
      <w:r w:rsidR="00305B7C" w:rsidRPr="00526695">
        <w:t>are quoted when withdrawing the minimum parcel</w:t>
      </w:r>
      <w:r w:rsidR="00FE0959" w:rsidRPr="00526695">
        <w:t>;</w:t>
      </w:r>
      <w:r w:rsidR="00FE0959">
        <w:t xml:space="preserve"> </w:t>
      </w:r>
    </w:p>
    <w:p w:rsidR="00577C16" w:rsidRDefault="00577C16">
      <w:pPr>
        <w:pStyle w:val="ListParagraph"/>
      </w:pPr>
    </w:p>
    <w:p w:rsidR="006732A1" w:rsidRDefault="00FE0959" w:rsidP="00E4445D">
      <w:pPr>
        <w:pStyle w:val="ListParagraph"/>
        <w:numPr>
          <w:ilvl w:val="0"/>
          <w:numId w:val="5"/>
        </w:numPr>
        <w:ind w:left="1134" w:hanging="567"/>
      </w:pPr>
      <w:r>
        <w:t>ASIC has not notified the responsible entity in writing that it is excluded from reliance on the exemption</w:t>
      </w:r>
      <w:r w:rsidR="00305B7C">
        <w:t>.</w:t>
      </w:r>
      <w:r w:rsidR="00305B7C" w:rsidRPr="004F1D09" w:rsidDel="00305B7C">
        <w:t xml:space="preserve"> </w:t>
      </w:r>
    </w:p>
    <w:p w:rsidR="00F71F8B" w:rsidRDefault="00F71F8B" w:rsidP="00F71F8B">
      <w:pPr>
        <w:pStyle w:val="ListParagraph"/>
        <w:ind w:left="1418"/>
      </w:pPr>
    </w:p>
    <w:p w:rsidR="00E4445D" w:rsidRDefault="0098764C" w:rsidP="00E4445D">
      <w:pPr>
        <w:ind w:left="1701" w:hanging="567"/>
        <w:rPr>
          <w:sz w:val="20"/>
          <w:szCs w:val="20"/>
        </w:rPr>
      </w:pPr>
      <w:r w:rsidRPr="0098764C">
        <w:rPr>
          <w:sz w:val="20"/>
          <w:szCs w:val="20"/>
        </w:rPr>
        <w:t>Note:</w:t>
      </w:r>
      <w:r w:rsidRPr="0098764C">
        <w:rPr>
          <w:sz w:val="20"/>
          <w:szCs w:val="20"/>
        </w:rPr>
        <w:tab/>
        <w:t>Subparagraph 5(b) applies regardless of whether the withdrawal fees for the fund are calculated on a per interest basis or otherwise.</w:t>
      </w:r>
    </w:p>
    <w:p w:rsidR="000C7134" w:rsidRDefault="000C7134" w:rsidP="00F71F8B">
      <w:pPr>
        <w:pStyle w:val="ListParagraph"/>
        <w:ind w:left="1418"/>
      </w:pPr>
    </w:p>
    <w:p w:rsidR="00D9231C" w:rsidRPr="00504E9F" w:rsidRDefault="00F71F8B" w:rsidP="00D9231C">
      <w:pPr>
        <w:rPr>
          <w:b/>
        </w:rPr>
      </w:pPr>
      <w:r w:rsidRPr="00F71F8B">
        <w:rPr>
          <w:b/>
        </w:rPr>
        <w:t>Exemption</w:t>
      </w:r>
      <w:r w:rsidR="004E289D">
        <w:rPr>
          <w:b/>
        </w:rPr>
        <w:t>—</w:t>
      </w:r>
      <w:r w:rsidRPr="00F71F8B">
        <w:rPr>
          <w:b/>
        </w:rPr>
        <w:t xml:space="preserve">Unequal </w:t>
      </w:r>
      <w:r w:rsidR="00504E9F">
        <w:rPr>
          <w:b/>
        </w:rPr>
        <w:t>t</w:t>
      </w:r>
      <w:r w:rsidRPr="00F71F8B">
        <w:rPr>
          <w:b/>
        </w:rPr>
        <w:t>reatment in provision of information to authorised participants</w:t>
      </w:r>
    </w:p>
    <w:p w:rsidR="00D9231C" w:rsidRDefault="00D9231C" w:rsidP="00D9231C">
      <w:pPr>
        <w:pStyle w:val="ListParagraph"/>
      </w:pPr>
    </w:p>
    <w:p w:rsidR="00F71F8B" w:rsidRDefault="00504E9F" w:rsidP="00E4445D">
      <w:pPr>
        <w:numPr>
          <w:ilvl w:val="0"/>
          <w:numId w:val="1"/>
        </w:numPr>
        <w:ind w:left="567" w:hanging="567"/>
      </w:pPr>
      <w:r>
        <w:t xml:space="preserve">A responsible entity </w:t>
      </w:r>
      <w:r w:rsidR="007D2CB3">
        <w:t xml:space="preserve">of an AQUA exchange traded fund </w:t>
      </w:r>
      <w:r>
        <w:t xml:space="preserve">does not have </w:t>
      </w:r>
      <w:r w:rsidRPr="00093249">
        <w:rPr>
          <w:bCs/>
        </w:rPr>
        <w:t xml:space="preserve">to comply with paragraph 601FC(1)(d) of the Act to the extent that </w:t>
      </w:r>
      <w:r w:rsidR="00CC62E8">
        <w:rPr>
          <w:bCs/>
        </w:rPr>
        <w:t>it</w:t>
      </w:r>
      <w:r w:rsidR="0077540D" w:rsidRPr="00093249">
        <w:rPr>
          <w:bCs/>
        </w:rPr>
        <w:t xml:space="preserve"> </w:t>
      </w:r>
      <w:r w:rsidRPr="00093249">
        <w:rPr>
          <w:bCs/>
        </w:rPr>
        <w:t xml:space="preserve">would prevent </w:t>
      </w:r>
      <w:r w:rsidR="0077540D" w:rsidRPr="00093249">
        <w:rPr>
          <w:bCs/>
        </w:rPr>
        <w:t>the responsible entity</w:t>
      </w:r>
      <w:r w:rsidRPr="00093249">
        <w:rPr>
          <w:bCs/>
        </w:rPr>
        <w:t xml:space="preserve"> from </w:t>
      </w:r>
      <w:r w:rsidR="005973FC">
        <w:t>providing information</w:t>
      </w:r>
      <w:r w:rsidR="00093249">
        <w:t xml:space="preserve"> </w:t>
      </w:r>
      <w:r w:rsidR="00CC62E8" w:rsidRPr="00CC62E8">
        <w:t xml:space="preserve">to authorised participants before other members </w:t>
      </w:r>
      <w:r w:rsidR="00093249">
        <w:t>about:</w:t>
      </w:r>
      <w:r w:rsidR="005973FC">
        <w:t xml:space="preserve"> </w:t>
      </w:r>
    </w:p>
    <w:p w:rsidR="00093249" w:rsidRDefault="00093249" w:rsidP="00093249">
      <w:pPr>
        <w:ind w:left="720"/>
      </w:pPr>
    </w:p>
    <w:p w:rsidR="00F71F8B" w:rsidRDefault="00285A79" w:rsidP="00E4445D">
      <w:pPr>
        <w:ind w:left="1134" w:hanging="567"/>
      </w:pPr>
      <w:r>
        <w:t>(a)</w:t>
      </w:r>
      <w:r>
        <w:tab/>
      </w:r>
      <w:proofErr w:type="gramStart"/>
      <w:r w:rsidR="00E361DF" w:rsidRPr="00E361DF">
        <w:t>the</w:t>
      </w:r>
      <w:proofErr w:type="gramEnd"/>
      <w:r w:rsidR="00E361DF" w:rsidRPr="00E361DF">
        <w:t xml:space="preserve"> index </w:t>
      </w:r>
      <w:r w:rsidR="000C6489">
        <w:t xml:space="preserve">the fund </w:t>
      </w:r>
      <w:r w:rsidR="00E361DF" w:rsidRPr="00E361DF">
        <w:t>aims to track as its investment strate</w:t>
      </w:r>
      <w:r w:rsidR="00860F06">
        <w:t>gy</w:t>
      </w:r>
      <w:r>
        <w:t>; and</w:t>
      </w:r>
    </w:p>
    <w:p w:rsidR="00F71F8B" w:rsidRDefault="00F71F8B" w:rsidP="00F71F8B">
      <w:pPr>
        <w:ind w:left="1440" w:hanging="720"/>
      </w:pPr>
    </w:p>
    <w:p w:rsidR="00F71F8B" w:rsidRDefault="00285A79" w:rsidP="00E4445D">
      <w:pPr>
        <w:ind w:left="1134" w:hanging="567"/>
      </w:pPr>
      <w:r>
        <w:t>(b)</w:t>
      </w:r>
      <w:r>
        <w:tab/>
      </w:r>
      <w:proofErr w:type="gramStart"/>
      <w:r w:rsidR="00E768B4">
        <w:t>scheme</w:t>
      </w:r>
      <w:proofErr w:type="gramEnd"/>
      <w:r w:rsidR="00E768B4">
        <w:t xml:space="preserve"> property </w:t>
      </w:r>
      <w:r w:rsidR="00ED7A1E">
        <w:t>specifying</w:t>
      </w:r>
      <w:r w:rsidR="00305B7C">
        <w:t>:</w:t>
      </w:r>
    </w:p>
    <w:p w:rsidR="00F71F8B" w:rsidRDefault="00F71F8B" w:rsidP="00F71F8B">
      <w:pPr>
        <w:pStyle w:val="ListParagraph"/>
        <w:ind w:left="2127" w:hanging="709"/>
        <w:jc w:val="both"/>
      </w:pPr>
    </w:p>
    <w:p w:rsidR="00F71F8B" w:rsidRDefault="00EA5CB3" w:rsidP="00E4445D">
      <w:pPr>
        <w:pStyle w:val="ListParagraph"/>
        <w:ind w:left="1701" w:hanging="567"/>
        <w:jc w:val="both"/>
      </w:pPr>
      <w:r>
        <w:t>(</w:t>
      </w:r>
      <w:proofErr w:type="spellStart"/>
      <w:r>
        <w:t>i</w:t>
      </w:r>
      <w:proofErr w:type="spellEnd"/>
      <w:r>
        <w:t>)</w:t>
      </w:r>
      <w:r>
        <w:tab/>
      </w:r>
      <w:r w:rsidR="00305B7C" w:rsidRPr="00305B7C">
        <w:t>the number</w:t>
      </w:r>
      <w:r w:rsidR="00E768B4">
        <w:t xml:space="preserve"> and </w:t>
      </w:r>
      <w:r w:rsidR="00BD6C03">
        <w:t xml:space="preserve">class </w:t>
      </w:r>
      <w:r w:rsidR="00146B89">
        <w:t>of</w:t>
      </w:r>
      <w:r w:rsidR="00E768B4">
        <w:t xml:space="preserve"> </w:t>
      </w:r>
      <w:r w:rsidR="00BD6C03">
        <w:t xml:space="preserve">securities and any other property </w:t>
      </w:r>
      <w:r w:rsidR="00305B7C" w:rsidRPr="00305B7C">
        <w:t xml:space="preserve">required to acquire an interest in </w:t>
      </w:r>
      <w:r w:rsidR="000C6489">
        <w:t xml:space="preserve">the fund </w:t>
      </w:r>
      <w:r w:rsidR="00305B7C" w:rsidRPr="00305B7C">
        <w:t xml:space="preserve">by authorised participants on the </w:t>
      </w:r>
      <w:r w:rsidR="00D85927">
        <w:t>T</w:t>
      </w:r>
      <w:r w:rsidR="00305B7C" w:rsidRPr="00305B7C">
        <w:t xml:space="preserve">rading </w:t>
      </w:r>
      <w:r w:rsidR="00D85927">
        <w:t>D</w:t>
      </w:r>
      <w:r w:rsidR="00305B7C" w:rsidRPr="00305B7C">
        <w:t>ay</w:t>
      </w:r>
      <w:r w:rsidR="0022181B">
        <w:t xml:space="preserve"> that first ends after the </w:t>
      </w:r>
      <w:r w:rsidR="00095063">
        <w:t>information is provided</w:t>
      </w:r>
      <w:r w:rsidR="00305B7C" w:rsidRPr="00305B7C">
        <w:t>;</w:t>
      </w:r>
      <w:r w:rsidR="00305B7C">
        <w:t xml:space="preserve"> and</w:t>
      </w:r>
    </w:p>
    <w:p w:rsidR="00F71F8B" w:rsidRDefault="00F71F8B" w:rsidP="00F71F8B">
      <w:pPr>
        <w:pStyle w:val="ListParagraph"/>
        <w:ind w:left="2127" w:hanging="709"/>
        <w:jc w:val="both"/>
      </w:pPr>
    </w:p>
    <w:p w:rsidR="00F71F8B" w:rsidRDefault="00EA5CB3" w:rsidP="00E4445D">
      <w:pPr>
        <w:pStyle w:val="ListParagraph"/>
        <w:ind w:left="1701" w:hanging="567"/>
        <w:jc w:val="both"/>
      </w:pPr>
      <w:r>
        <w:t>(ii)</w:t>
      </w:r>
      <w:r>
        <w:tab/>
      </w:r>
      <w:proofErr w:type="gramStart"/>
      <w:r w:rsidR="00305B7C" w:rsidRPr="00305B7C">
        <w:t>the</w:t>
      </w:r>
      <w:proofErr w:type="gramEnd"/>
      <w:r w:rsidR="00305B7C" w:rsidRPr="00305B7C">
        <w:t xml:space="preserve"> number </w:t>
      </w:r>
      <w:r w:rsidR="00E768B4">
        <w:t xml:space="preserve">and </w:t>
      </w:r>
      <w:r w:rsidR="00BD6C03">
        <w:t>class of securities and any other property</w:t>
      </w:r>
      <w:r w:rsidR="00E768B4">
        <w:t xml:space="preserve"> </w:t>
      </w:r>
      <w:r w:rsidR="00305B7C" w:rsidRPr="00305B7C">
        <w:t xml:space="preserve">transferred on withdrawal from an interest in </w:t>
      </w:r>
      <w:r w:rsidR="000C6489">
        <w:t xml:space="preserve">the fund </w:t>
      </w:r>
      <w:r w:rsidR="00305B7C" w:rsidRPr="00305B7C">
        <w:t>by authorised participants</w:t>
      </w:r>
      <w:r w:rsidR="00305B7C">
        <w:t xml:space="preserve"> on the </w:t>
      </w:r>
      <w:r w:rsidR="00D85927">
        <w:t>T</w:t>
      </w:r>
      <w:r w:rsidR="00305B7C">
        <w:t xml:space="preserve">rading </w:t>
      </w:r>
      <w:r w:rsidR="00D85927">
        <w:t>D</w:t>
      </w:r>
      <w:r w:rsidR="00305B7C">
        <w:t>ay</w:t>
      </w:r>
      <w:r w:rsidR="0022181B">
        <w:t xml:space="preserve"> that first ends after the </w:t>
      </w:r>
      <w:r w:rsidR="00095063">
        <w:t>information is provided</w:t>
      </w:r>
      <w:r w:rsidR="005973FC">
        <w:t>.</w:t>
      </w:r>
    </w:p>
    <w:p w:rsidR="00093249" w:rsidRDefault="00093249" w:rsidP="00F71F8B">
      <w:pPr>
        <w:pStyle w:val="ListParagraph"/>
        <w:ind w:left="2127" w:hanging="709"/>
        <w:jc w:val="both"/>
      </w:pPr>
    </w:p>
    <w:p w:rsidR="00775B14" w:rsidRPr="00775B14" w:rsidRDefault="00775B14" w:rsidP="004E289D">
      <w:pPr>
        <w:jc w:val="both"/>
        <w:rPr>
          <w:i/>
        </w:rPr>
      </w:pPr>
      <w:r w:rsidRPr="00775B14">
        <w:rPr>
          <w:i/>
        </w:rPr>
        <w:t xml:space="preserve">Where the exemption applies </w:t>
      </w:r>
    </w:p>
    <w:p w:rsidR="00775B14" w:rsidRDefault="00775B14" w:rsidP="00775B14">
      <w:pPr>
        <w:jc w:val="both"/>
      </w:pPr>
    </w:p>
    <w:p w:rsidR="00B867B9" w:rsidRDefault="00775B14" w:rsidP="00E4445D">
      <w:pPr>
        <w:numPr>
          <w:ilvl w:val="0"/>
          <w:numId w:val="1"/>
        </w:numPr>
        <w:ind w:left="567" w:hanging="567"/>
      </w:pPr>
      <w:r>
        <w:t>The exemption applies where</w:t>
      </w:r>
      <w:r w:rsidR="00B867B9">
        <w:t xml:space="preserve"> both of the following apply:</w:t>
      </w:r>
    </w:p>
    <w:p w:rsidR="006732A1" w:rsidRDefault="006732A1" w:rsidP="006732A1"/>
    <w:p w:rsidR="006732A1" w:rsidRDefault="00B867B9" w:rsidP="00E4445D">
      <w:pPr>
        <w:pStyle w:val="ListParagraph"/>
        <w:numPr>
          <w:ilvl w:val="0"/>
          <w:numId w:val="18"/>
        </w:numPr>
        <w:tabs>
          <w:tab w:val="left" w:pos="2552"/>
        </w:tabs>
        <w:ind w:left="1134" w:hanging="567"/>
      </w:pPr>
      <w:r>
        <w:t>there is a</w:t>
      </w:r>
      <w:r w:rsidR="00504E9F">
        <w:t xml:space="preserve"> Product Disclosure Statement</w:t>
      </w:r>
      <w:r w:rsidR="006732A1" w:rsidRPr="006732A1">
        <w:t xml:space="preserve"> </w:t>
      </w:r>
      <w:r w:rsidR="00504E9F">
        <w:t xml:space="preserve">in relation to interests </w:t>
      </w:r>
      <w:r w:rsidRPr="00B867B9">
        <w:t xml:space="preserve">in the AQUA exchange traded fund </w:t>
      </w:r>
      <w:r w:rsidR="00504E9F">
        <w:t xml:space="preserve">that are admitted or are to be </w:t>
      </w:r>
      <w:r w:rsidR="00031E4B" w:rsidRPr="00031E4B">
        <w:t xml:space="preserve">admitted to Trading Status as ETF Securities </w:t>
      </w:r>
      <w:r>
        <w:t xml:space="preserve">that </w:t>
      </w:r>
      <w:r w:rsidR="000D1164">
        <w:t>contains</w:t>
      </w:r>
      <w:r w:rsidR="00504E9F">
        <w:t xml:space="preserve"> </w:t>
      </w:r>
      <w:r w:rsidR="004E289D">
        <w:t>a statement</w:t>
      </w:r>
      <w:r w:rsidR="00504E9F">
        <w:t xml:space="preserve"> to the effect</w:t>
      </w:r>
      <w:r w:rsidR="00504E9F" w:rsidRPr="008B175D">
        <w:t xml:space="preserve"> that</w:t>
      </w:r>
      <w:r w:rsidR="00504E9F" w:rsidRPr="00504E9F">
        <w:t xml:space="preserve"> </w:t>
      </w:r>
      <w:r w:rsidR="00504E9F" w:rsidRPr="00775B14">
        <w:t xml:space="preserve">the responsible </w:t>
      </w:r>
      <w:r w:rsidR="00504E9F" w:rsidRPr="00775B14">
        <w:lastRenderedPageBreak/>
        <w:t xml:space="preserve">entity </w:t>
      </w:r>
      <w:r w:rsidR="00285A79">
        <w:t>will</w:t>
      </w:r>
      <w:r w:rsidR="00504E9F" w:rsidRPr="00775B14">
        <w:t xml:space="preserve"> </w:t>
      </w:r>
      <w:r w:rsidR="00504E9F">
        <w:t xml:space="preserve">provide information about the index </w:t>
      </w:r>
      <w:r w:rsidR="0022181B">
        <w:t xml:space="preserve">that </w:t>
      </w:r>
      <w:r w:rsidR="000C6489">
        <w:t xml:space="preserve">the </w:t>
      </w:r>
      <w:r w:rsidR="000D1164">
        <w:t>fund aims</w:t>
      </w:r>
      <w:r w:rsidR="00504E9F">
        <w:t xml:space="preserve"> to track as its investment strategy and </w:t>
      </w:r>
      <w:r w:rsidR="00FE5D73">
        <w:t xml:space="preserve">the number and identity </w:t>
      </w:r>
      <w:r w:rsidR="0022181B">
        <w:t xml:space="preserve">of </w:t>
      </w:r>
      <w:r w:rsidR="004E289D">
        <w:t>securities</w:t>
      </w:r>
      <w:r w:rsidR="00504E9F">
        <w:t xml:space="preserve"> in </w:t>
      </w:r>
      <w:r w:rsidR="000C6489">
        <w:t xml:space="preserve">the fund </w:t>
      </w:r>
      <w:r w:rsidR="00285A79">
        <w:t xml:space="preserve">to </w:t>
      </w:r>
      <w:r w:rsidR="00504E9F">
        <w:t>authorised participants before other members</w:t>
      </w:r>
      <w:r>
        <w:t>;</w:t>
      </w:r>
    </w:p>
    <w:p w:rsidR="006732A1" w:rsidRDefault="006732A1" w:rsidP="006732A1">
      <w:pPr>
        <w:pStyle w:val="ListParagraph"/>
      </w:pPr>
    </w:p>
    <w:p w:rsidR="006732A1" w:rsidRDefault="00B867B9" w:rsidP="00E4445D">
      <w:pPr>
        <w:pStyle w:val="ListParagraph"/>
        <w:numPr>
          <w:ilvl w:val="0"/>
          <w:numId w:val="18"/>
        </w:numPr>
        <w:ind w:left="1134" w:hanging="567"/>
        <w:jc w:val="both"/>
      </w:pPr>
      <w:r w:rsidRPr="00093249">
        <w:t>ASIC has not notified the responsible entity in writing that it is excluded from reliance on the exemption</w:t>
      </w:r>
      <w:r w:rsidR="00285A79">
        <w:t>.</w:t>
      </w:r>
    </w:p>
    <w:p w:rsidR="00F71F8B" w:rsidRDefault="00F71F8B" w:rsidP="00F71F8B"/>
    <w:p w:rsidR="00F71F8B" w:rsidRDefault="00775B14" w:rsidP="004E289D">
      <w:pPr>
        <w:autoSpaceDE w:val="0"/>
        <w:autoSpaceDN w:val="0"/>
        <w:adjustRightInd w:val="0"/>
        <w:spacing w:line="240" w:lineRule="atLeast"/>
        <w:jc w:val="both"/>
        <w:rPr>
          <w:i/>
        </w:rPr>
      </w:pPr>
      <w:r w:rsidRPr="00295D37">
        <w:rPr>
          <w:i/>
        </w:rPr>
        <w:t>Conditions</w:t>
      </w:r>
    </w:p>
    <w:p w:rsidR="00F71F8B" w:rsidRDefault="00F71F8B" w:rsidP="00F71F8B">
      <w:pPr>
        <w:autoSpaceDE w:val="0"/>
        <w:autoSpaceDN w:val="0"/>
        <w:adjustRightInd w:val="0"/>
        <w:spacing w:line="240" w:lineRule="atLeast"/>
        <w:ind w:left="709"/>
        <w:jc w:val="both"/>
        <w:rPr>
          <w:i/>
        </w:rPr>
      </w:pPr>
    </w:p>
    <w:p w:rsidR="00F71F8B" w:rsidRDefault="00775B14" w:rsidP="00E4445D">
      <w:pPr>
        <w:numPr>
          <w:ilvl w:val="0"/>
          <w:numId w:val="1"/>
        </w:numPr>
        <w:autoSpaceDE w:val="0"/>
        <w:autoSpaceDN w:val="0"/>
        <w:adjustRightInd w:val="0"/>
        <w:spacing w:line="240" w:lineRule="atLeast"/>
        <w:ind w:left="567" w:hanging="567"/>
      </w:pPr>
      <w:r>
        <w:t xml:space="preserve">The responsible entity </w:t>
      </w:r>
      <w:r w:rsidRPr="006F76AC">
        <w:t>must:</w:t>
      </w:r>
    </w:p>
    <w:p w:rsidR="00F71F8B" w:rsidRDefault="00F71F8B" w:rsidP="00F71F8B">
      <w:pPr>
        <w:autoSpaceDE w:val="0"/>
        <w:autoSpaceDN w:val="0"/>
        <w:adjustRightInd w:val="0"/>
        <w:spacing w:line="240" w:lineRule="atLeast"/>
        <w:ind w:left="720"/>
      </w:pPr>
    </w:p>
    <w:p w:rsidR="00F71F8B" w:rsidRDefault="00504E9F" w:rsidP="00E4445D">
      <w:pPr>
        <w:numPr>
          <w:ilvl w:val="1"/>
          <w:numId w:val="1"/>
        </w:numPr>
        <w:autoSpaceDE w:val="0"/>
        <w:autoSpaceDN w:val="0"/>
        <w:adjustRightInd w:val="0"/>
        <w:spacing w:line="240" w:lineRule="atLeast"/>
        <w:ind w:left="1134" w:hanging="567"/>
      </w:pPr>
      <w:r>
        <w:t>publicly d</w:t>
      </w:r>
      <w:r w:rsidR="00775B14">
        <w:t>isclose</w:t>
      </w:r>
      <w:r w:rsidR="00305B7C">
        <w:t xml:space="preserve"> </w:t>
      </w:r>
      <w:r w:rsidR="00305B7C" w:rsidRPr="00305B7C">
        <w:t>any information which has been disclosed to authorised participants as permitted by the exemption</w:t>
      </w:r>
      <w:r w:rsidR="00775B14">
        <w:t xml:space="preserve"> </w:t>
      </w:r>
      <w:r w:rsidR="00775B14" w:rsidRPr="00694E11">
        <w:t xml:space="preserve">before the commencement of the </w:t>
      </w:r>
      <w:r w:rsidR="00D85927">
        <w:t>T</w:t>
      </w:r>
      <w:r w:rsidR="00775B14" w:rsidRPr="00694E11">
        <w:t xml:space="preserve">rading </w:t>
      </w:r>
      <w:r w:rsidR="00D85927">
        <w:t>D</w:t>
      </w:r>
      <w:r w:rsidR="00775B14" w:rsidRPr="00694E11">
        <w:t xml:space="preserve">ay after the day on which </w:t>
      </w:r>
      <w:r w:rsidR="00775B14">
        <w:t xml:space="preserve">such </w:t>
      </w:r>
      <w:r w:rsidR="00775B14" w:rsidRPr="00694E11">
        <w:t xml:space="preserve">disclosure </w:t>
      </w:r>
      <w:r w:rsidR="00775B14">
        <w:t>was</w:t>
      </w:r>
      <w:r w:rsidR="00775B14" w:rsidRPr="00694E11">
        <w:t xml:space="preserve"> made to authorised participants</w:t>
      </w:r>
      <w:r w:rsidR="00EA5CB3">
        <w:t>; and</w:t>
      </w:r>
    </w:p>
    <w:p w:rsidR="00F71F8B" w:rsidRDefault="00F71F8B" w:rsidP="00F71F8B">
      <w:pPr>
        <w:jc w:val="both"/>
      </w:pPr>
    </w:p>
    <w:p w:rsidR="006732A1" w:rsidRDefault="00E46768" w:rsidP="00E4445D">
      <w:pPr>
        <w:numPr>
          <w:ilvl w:val="1"/>
          <w:numId w:val="1"/>
        </w:numPr>
        <w:autoSpaceDE w:val="0"/>
        <w:autoSpaceDN w:val="0"/>
        <w:adjustRightInd w:val="0"/>
        <w:spacing w:line="240" w:lineRule="atLeast"/>
        <w:ind w:left="1134" w:hanging="567"/>
      </w:pPr>
      <w:r>
        <w:rPr>
          <w:lang w:val="en-US"/>
        </w:rPr>
        <w:t xml:space="preserve">take reasonable steps to </w:t>
      </w:r>
      <w:r w:rsidR="00B932FC" w:rsidRPr="00B932FC">
        <w:rPr>
          <w:lang w:val="en-US"/>
        </w:rPr>
        <w:t>ensure that</w:t>
      </w:r>
      <w:r w:rsidR="00B867B9">
        <w:rPr>
          <w:lang w:val="en-US"/>
        </w:rPr>
        <w:t xml:space="preserve"> the following information is </w:t>
      </w:r>
      <w:r w:rsidR="00B867B9" w:rsidRPr="00B867B9">
        <w:rPr>
          <w:lang w:val="en-US"/>
        </w:rPr>
        <w:t xml:space="preserve">publicly available and </w:t>
      </w:r>
      <w:r w:rsidR="00B867B9" w:rsidRPr="00B867B9">
        <w:t xml:space="preserve">updated every 15 minutes during each </w:t>
      </w:r>
      <w:r w:rsidR="00D85927">
        <w:t>T</w:t>
      </w:r>
      <w:r w:rsidR="00B867B9" w:rsidRPr="00B867B9">
        <w:t xml:space="preserve">rading </w:t>
      </w:r>
      <w:r w:rsidR="00D85927">
        <w:t>D</w:t>
      </w:r>
      <w:r w:rsidR="00B867B9" w:rsidRPr="00B867B9">
        <w:t>ay</w:t>
      </w:r>
      <w:r w:rsidR="00EA5CB3">
        <w:rPr>
          <w:lang w:val="en-US"/>
        </w:rPr>
        <w:t>:</w:t>
      </w:r>
    </w:p>
    <w:p w:rsidR="00F71F8B" w:rsidRDefault="00F71F8B" w:rsidP="00F71F8B">
      <w:pPr>
        <w:autoSpaceDE w:val="0"/>
        <w:autoSpaceDN w:val="0"/>
        <w:adjustRightInd w:val="0"/>
        <w:spacing w:line="240" w:lineRule="atLeast"/>
        <w:ind w:left="1440"/>
        <w:rPr>
          <w:lang w:val="en-US"/>
        </w:rPr>
      </w:pPr>
    </w:p>
    <w:p w:rsidR="00F71F8B" w:rsidRDefault="00EA5CB3" w:rsidP="00E4445D">
      <w:pPr>
        <w:pStyle w:val="ListParagraph"/>
        <w:ind w:left="1701" w:hanging="567"/>
        <w:jc w:val="both"/>
      </w:pPr>
      <w:r>
        <w:t>(</w:t>
      </w:r>
      <w:proofErr w:type="spellStart"/>
      <w:r>
        <w:t>i</w:t>
      </w:r>
      <w:proofErr w:type="spellEnd"/>
      <w:r>
        <w:t>)</w:t>
      </w:r>
      <w:r>
        <w:tab/>
      </w:r>
      <w:r w:rsidR="00710E8B">
        <w:t xml:space="preserve">where </w:t>
      </w:r>
      <w:r w:rsidR="000C6489">
        <w:t>the AQUA exchange traded fund</w:t>
      </w:r>
      <w:r w:rsidR="00FE5D73">
        <w:t xml:space="preserve"> has </w:t>
      </w:r>
      <w:r w:rsidR="00710E8B">
        <w:t xml:space="preserve">only one class of </w:t>
      </w:r>
      <w:r w:rsidR="00F57214">
        <w:t>interests—</w:t>
      </w:r>
      <w:r w:rsidR="00F71F8B" w:rsidRPr="00F71F8B">
        <w:t xml:space="preserve">the </w:t>
      </w:r>
      <w:r>
        <w:t xml:space="preserve">indicative net asset value per interest in </w:t>
      </w:r>
      <w:r w:rsidR="000C6489">
        <w:t>the AQUA exchange traded fund</w:t>
      </w:r>
      <w:r>
        <w:t>; or</w:t>
      </w:r>
    </w:p>
    <w:p w:rsidR="00F71F8B" w:rsidRDefault="00F71F8B" w:rsidP="00F71F8B">
      <w:pPr>
        <w:pStyle w:val="ListParagraph"/>
        <w:ind w:left="2127" w:hanging="709"/>
        <w:jc w:val="both"/>
      </w:pPr>
    </w:p>
    <w:p w:rsidR="006732A1" w:rsidRDefault="00710E8B" w:rsidP="00E4445D">
      <w:pPr>
        <w:pStyle w:val="ListParagraph"/>
        <w:ind w:left="1701" w:hanging="567"/>
        <w:jc w:val="both"/>
      </w:pPr>
      <w:r>
        <w:t>(ii)</w:t>
      </w:r>
      <w:r>
        <w:tab/>
      </w:r>
      <w:proofErr w:type="gramStart"/>
      <w:r w:rsidR="00F57214">
        <w:t>otherwise—</w:t>
      </w:r>
      <w:proofErr w:type="gramEnd"/>
      <w:r>
        <w:t xml:space="preserve">the indicative net asset value per interest </w:t>
      </w:r>
      <w:r w:rsidR="00E067CD">
        <w:t>for</w:t>
      </w:r>
      <w:r>
        <w:t xml:space="preserve"> each class</w:t>
      </w:r>
      <w:r w:rsidR="00F57214">
        <w:t xml:space="preserve"> of interests</w:t>
      </w:r>
      <w:r w:rsidR="00805593">
        <w:t>.</w:t>
      </w:r>
    </w:p>
    <w:p w:rsidR="006732A1" w:rsidRDefault="006732A1" w:rsidP="006732A1">
      <w:pPr>
        <w:autoSpaceDE w:val="0"/>
        <w:autoSpaceDN w:val="0"/>
        <w:adjustRightInd w:val="0"/>
        <w:spacing w:line="240" w:lineRule="atLeast"/>
        <w:ind w:left="1418" w:firstLine="22"/>
      </w:pPr>
    </w:p>
    <w:p w:rsidR="00D761D3" w:rsidRPr="00295D37" w:rsidRDefault="005D50E5" w:rsidP="001A296F">
      <w:pPr>
        <w:pStyle w:val="Subtitle"/>
        <w:jc w:val="both"/>
        <w:rPr>
          <w:lang w:val="en-US"/>
        </w:rPr>
      </w:pPr>
      <w:r w:rsidRPr="00295D37">
        <w:rPr>
          <w:lang w:val="en-US"/>
        </w:rPr>
        <w:t>Exemption</w:t>
      </w:r>
      <w:r w:rsidR="004E289D">
        <w:rPr>
          <w:lang w:val="en-US"/>
        </w:rPr>
        <w:t>—</w:t>
      </w:r>
      <w:r w:rsidR="00F449C1" w:rsidRPr="00F449C1">
        <w:t>Ongoing disclosure</w:t>
      </w:r>
    </w:p>
    <w:p w:rsidR="00D761D3" w:rsidRDefault="00D761D3" w:rsidP="001A296F">
      <w:pPr>
        <w:pStyle w:val="Subtitle"/>
        <w:jc w:val="both"/>
        <w:rPr>
          <w:lang w:val="en-US"/>
        </w:rPr>
      </w:pPr>
    </w:p>
    <w:p w:rsidR="00F71F8B" w:rsidRDefault="00565864" w:rsidP="00E4445D">
      <w:pPr>
        <w:numPr>
          <w:ilvl w:val="0"/>
          <w:numId w:val="1"/>
        </w:numPr>
        <w:ind w:left="567" w:hanging="567"/>
      </w:pPr>
      <w:r>
        <w:t>A</w:t>
      </w:r>
      <w:r w:rsidR="00D761D3">
        <w:t xml:space="preserve"> </w:t>
      </w:r>
      <w:r>
        <w:rPr>
          <w:bCs/>
        </w:rPr>
        <w:t>r</w:t>
      </w:r>
      <w:r w:rsidR="006B507A" w:rsidRPr="006B507A">
        <w:rPr>
          <w:bCs/>
        </w:rPr>
        <w:t xml:space="preserve">esponsible </w:t>
      </w:r>
      <w:r>
        <w:rPr>
          <w:bCs/>
        </w:rPr>
        <w:t>e</w:t>
      </w:r>
      <w:r w:rsidR="006B507A" w:rsidRPr="006B507A">
        <w:rPr>
          <w:bCs/>
        </w:rPr>
        <w:t>ntity</w:t>
      </w:r>
      <w:r w:rsidR="00E46768" w:rsidRPr="00E46768">
        <w:rPr>
          <w:lang w:val="en-US"/>
        </w:rPr>
        <w:t xml:space="preserve"> </w:t>
      </w:r>
      <w:r w:rsidR="00E46768">
        <w:rPr>
          <w:lang w:val="en-US"/>
        </w:rPr>
        <w:t xml:space="preserve">of </w:t>
      </w:r>
      <w:r w:rsidR="0011773A">
        <w:rPr>
          <w:lang w:val="en-US"/>
        </w:rPr>
        <w:t>an</w:t>
      </w:r>
      <w:r w:rsidR="00E46768">
        <w:rPr>
          <w:lang w:val="en-US"/>
        </w:rPr>
        <w:t xml:space="preserve"> </w:t>
      </w:r>
      <w:r w:rsidR="00E46768" w:rsidRPr="00D761D3">
        <w:rPr>
          <w:lang w:val="en-US"/>
        </w:rPr>
        <w:t xml:space="preserve">AQUA </w:t>
      </w:r>
      <w:r w:rsidR="006822CB">
        <w:rPr>
          <w:lang w:val="en-US"/>
        </w:rPr>
        <w:t>e</w:t>
      </w:r>
      <w:r w:rsidR="006822CB" w:rsidRPr="00D761D3">
        <w:rPr>
          <w:lang w:val="en-US"/>
        </w:rPr>
        <w:t xml:space="preserve">xchange </w:t>
      </w:r>
      <w:r w:rsidR="006822CB">
        <w:rPr>
          <w:lang w:val="en-US"/>
        </w:rPr>
        <w:t>t</w:t>
      </w:r>
      <w:r w:rsidR="006822CB" w:rsidRPr="00D761D3">
        <w:rPr>
          <w:lang w:val="en-US"/>
        </w:rPr>
        <w:t xml:space="preserve">raded </w:t>
      </w:r>
      <w:r w:rsidR="006822CB">
        <w:rPr>
          <w:lang w:val="en-US"/>
        </w:rPr>
        <w:t>f</w:t>
      </w:r>
      <w:r w:rsidR="006822CB" w:rsidRPr="00D761D3">
        <w:rPr>
          <w:lang w:val="en-US"/>
        </w:rPr>
        <w:t>und</w:t>
      </w:r>
      <w:r w:rsidR="006822CB">
        <w:rPr>
          <w:bCs/>
        </w:rPr>
        <w:t xml:space="preserve"> </w:t>
      </w:r>
      <w:r w:rsidR="00687C25">
        <w:rPr>
          <w:bCs/>
        </w:rPr>
        <w:t xml:space="preserve">does not have to </w:t>
      </w:r>
      <w:r w:rsidR="00A21469">
        <w:rPr>
          <w:bCs/>
        </w:rPr>
        <w:t>comply with s</w:t>
      </w:r>
      <w:r w:rsidR="005B28ED">
        <w:rPr>
          <w:bCs/>
        </w:rPr>
        <w:t xml:space="preserve">ection </w:t>
      </w:r>
      <w:r w:rsidR="00A21469">
        <w:rPr>
          <w:bCs/>
        </w:rPr>
        <w:t>1017</w:t>
      </w:r>
      <w:r w:rsidR="00AE14B3">
        <w:rPr>
          <w:bCs/>
        </w:rPr>
        <w:t xml:space="preserve">B of the Act in relation to </w:t>
      </w:r>
      <w:r w:rsidR="002C2E50">
        <w:rPr>
          <w:bCs/>
        </w:rPr>
        <w:t xml:space="preserve">interests in a class of interests in </w:t>
      </w:r>
      <w:r w:rsidR="000C6489">
        <w:rPr>
          <w:bCs/>
        </w:rPr>
        <w:t xml:space="preserve">the </w:t>
      </w:r>
      <w:r w:rsidR="0011773A">
        <w:rPr>
          <w:bCs/>
        </w:rPr>
        <w:t>fund</w:t>
      </w:r>
      <w:r w:rsidR="002C2E50">
        <w:rPr>
          <w:bCs/>
        </w:rPr>
        <w:t xml:space="preserve"> that are admitted to </w:t>
      </w:r>
      <w:r w:rsidR="00D85927">
        <w:rPr>
          <w:bCs/>
        </w:rPr>
        <w:t>T</w:t>
      </w:r>
      <w:r w:rsidR="002C2E50">
        <w:rPr>
          <w:bCs/>
        </w:rPr>
        <w:t xml:space="preserve">rading </w:t>
      </w:r>
      <w:r w:rsidR="00D85927">
        <w:rPr>
          <w:bCs/>
        </w:rPr>
        <w:t>Status as ETF S</w:t>
      </w:r>
      <w:r w:rsidR="002C2E50">
        <w:rPr>
          <w:bCs/>
        </w:rPr>
        <w:t>ecurities</w:t>
      </w:r>
      <w:r w:rsidR="0011773A">
        <w:rPr>
          <w:bCs/>
        </w:rPr>
        <w:t xml:space="preserve"> for</w:t>
      </w:r>
      <w:r w:rsidR="00AE14B3">
        <w:rPr>
          <w:bCs/>
        </w:rPr>
        <w:t xml:space="preserve"> as long as the conditions </w:t>
      </w:r>
      <w:r w:rsidR="00E46768">
        <w:rPr>
          <w:bCs/>
        </w:rPr>
        <w:t xml:space="preserve">in paragraph 10 </w:t>
      </w:r>
      <w:r w:rsidR="00AE14B3">
        <w:rPr>
          <w:bCs/>
        </w:rPr>
        <w:t>are met.</w:t>
      </w:r>
    </w:p>
    <w:p w:rsidR="006B507A" w:rsidRDefault="006B507A" w:rsidP="006B507A">
      <w:pPr>
        <w:ind w:left="720"/>
        <w:jc w:val="both"/>
      </w:pPr>
    </w:p>
    <w:p w:rsidR="00AE14B3" w:rsidRPr="00E46768" w:rsidRDefault="00F71F8B" w:rsidP="004E289D">
      <w:pPr>
        <w:jc w:val="both"/>
        <w:rPr>
          <w:i/>
        </w:rPr>
      </w:pPr>
      <w:r w:rsidRPr="00F71F8B">
        <w:rPr>
          <w:i/>
        </w:rPr>
        <w:t>Conditions</w:t>
      </w:r>
    </w:p>
    <w:p w:rsidR="00AE14B3" w:rsidRDefault="00AE14B3" w:rsidP="00987302">
      <w:pPr>
        <w:ind w:left="720"/>
        <w:jc w:val="both"/>
      </w:pPr>
    </w:p>
    <w:p w:rsidR="00F71F8B" w:rsidRDefault="00E46768" w:rsidP="00E4445D">
      <w:pPr>
        <w:ind w:left="567" w:hanging="567"/>
        <w:jc w:val="both"/>
      </w:pPr>
      <w:r>
        <w:t>10.</w:t>
      </w:r>
      <w:r>
        <w:tab/>
      </w:r>
      <w:r w:rsidR="00D761D3" w:rsidRPr="00D761D3">
        <w:t xml:space="preserve">The </w:t>
      </w:r>
      <w:r w:rsidR="00271858">
        <w:t>r</w:t>
      </w:r>
      <w:r w:rsidR="00D761D3" w:rsidRPr="00D761D3">
        <w:t xml:space="preserve">esponsible </w:t>
      </w:r>
      <w:r w:rsidR="006B772A">
        <w:t>e</w:t>
      </w:r>
      <w:r w:rsidR="00D761D3" w:rsidRPr="00D761D3">
        <w:t>ntity must:</w:t>
      </w:r>
    </w:p>
    <w:p w:rsidR="0099550C" w:rsidRDefault="0099550C">
      <w:pPr>
        <w:jc w:val="both"/>
      </w:pPr>
    </w:p>
    <w:p w:rsidR="006B507A" w:rsidRPr="006B507A" w:rsidRDefault="00D761D3" w:rsidP="00E4445D">
      <w:pPr>
        <w:pStyle w:val="ListParagraph"/>
        <w:numPr>
          <w:ilvl w:val="0"/>
          <w:numId w:val="14"/>
        </w:numPr>
        <w:ind w:left="1134" w:hanging="567"/>
        <w:jc w:val="both"/>
        <w:rPr>
          <w:lang w:val="en-US"/>
        </w:rPr>
      </w:pPr>
      <w:r w:rsidRPr="00D761D3">
        <w:rPr>
          <w:lang w:val="en-US"/>
        </w:rPr>
        <w:t xml:space="preserve">comply with </w:t>
      </w:r>
      <w:r w:rsidR="00BC385D">
        <w:rPr>
          <w:lang w:val="en-US"/>
        </w:rPr>
        <w:t>section 675 of the Act</w:t>
      </w:r>
      <w:r w:rsidRPr="00D761D3">
        <w:rPr>
          <w:lang w:val="en-US"/>
        </w:rPr>
        <w:t xml:space="preserve"> as if </w:t>
      </w:r>
      <w:r w:rsidR="000C6489">
        <w:rPr>
          <w:lang w:val="en-US"/>
        </w:rPr>
        <w:t>the AQUA exchange traded fund</w:t>
      </w:r>
      <w:r w:rsidR="00805593">
        <w:rPr>
          <w:lang w:val="en-US"/>
        </w:rPr>
        <w:t xml:space="preserve"> </w:t>
      </w:r>
      <w:r w:rsidRPr="00D761D3">
        <w:rPr>
          <w:lang w:val="en-US"/>
        </w:rPr>
        <w:t>were an unlisted disclosing entity; and</w:t>
      </w:r>
    </w:p>
    <w:p w:rsidR="006B507A" w:rsidRPr="006B507A" w:rsidRDefault="006B507A" w:rsidP="002C2E50">
      <w:pPr>
        <w:pStyle w:val="ListParagraph"/>
        <w:ind w:left="1418" w:hanging="709"/>
        <w:jc w:val="both"/>
        <w:rPr>
          <w:lang w:val="en-US"/>
        </w:rPr>
      </w:pPr>
    </w:p>
    <w:p w:rsidR="00F71F8B" w:rsidRDefault="00D761D3" w:rsidP="00E4445D">
      <w:pPr>
        <w:pStyle w:val="ListParagraph"/>
        <w:numPr>
          <w:ilvl w:val="0"/>
          <w:numId w:val="14"/>
        </w:numPr>
        <w:ind w:left="1134" w:hanging="567"/>
        <w:rPr>
          <w:lang w:val="en-US"/>
        </w:rPr>
      </w:pPr>
      <w:r w:rsidRPr="001B3898">
        <w:rPr>
          <w:lang w:val="en-US"/>
        </w:rPr>
        <w:t>include statements in any Product Disclosure Statement</w:t>
      </w:r>
      <w:r w:rsidR="00E46768">
        <w:rPr>
          <w:lang w:val="en-US"/>
        </w:rPr>
        <w:t xml:space="preserve"> </w:t>
      </w:r>
      <w:r w:rsidRPr="001B3898">
        <w:rPr>
          <w:lang w:val="en-US"/>
        </w:rPr>
        <w:t xml:space="preserve">for interests in </w:t>
      </w:r>
      <w:r w:rsidR="000C6489">
        <w:rPr>
          <w:lang w:val="en-US"/>
        </w:rPr>
        <w:t xml:space="preserve">the AQUA exchange traded fund </w:t>
      </w:r>
      <w:r w:rsidRPr="001B3898">
        <w:rPr>
          <w:lang w:val="en-US"/>
        </w:rPr>
        <w:t xml:space="preserve">to the effect that the </w:t>
      </w:r>
      <w:r w:rsidR="00E46768">
        <w:rPr>
          <w:lang w:val="en-US"/>
        </w:rPr>
        <w:t>r</w:t>
      </w:r>
      <w:r w:rsidRPr="001B3898">
        <w:rPr>
          <w:lang w:val="en-US"/>
        </w:rPr>
        <w:t xml:space="preserve">esponsible </w:t>
      </w:r>
      <w:r w:rsidR="00E46768">
        <w:rPr>
          <w:lang w:val="en-US"/>
        </w:rPr>
        <w:t>e</w:t>
      </w:r>
      <w:r w:rsidRPr="001B3898">
        <w:rPr>
          <w:lang w:val="en-US"/>
        </w:rPr>
        <w:t xml:space="preserve">ntity will comply with the </w:t>
      </w:r>
      <w:r w:rsidR="006061CB">
        <w:rPr>
          <w:lang w:val="en-US"/>
        </w:rPr>
        <w:t xml:space="preserve">continuous disclosure requirements </w:t>
      </w:r>
      <w:r w:rsidRPr="001B3898">
        <w:rPr>
          <w:lang w:val="en-US"/>
        </w:rPr>
        <w:t xml:space="preserve">of the Act as if </w:t>
      </w:r>
      <w:r w:rsidR="000C6489">
        <w:rPr>
          <w:lang w:val="en-US"/>
        </w:rPr>
        <w:t>the fund</w:t>
      </w:r>
      <w:r w:rsidR="00805593">
        <w:rPr>
          <w:lang w:val="en-US"/>
        </w:rPr>
        <w:t xml:space="preserve"> </w:t>
      </w:r>
      <w:r w:rsidRPr="001B3898">
        <w:rPr>
          <w:lang w:val="en-US"/>
        </w:rPr>
        <w:t>were an unlisted disclosing entity</w:t>
      </w:r>
      <w:r w:rsidR="001B3898">
        <w:rPr>
          <w:lang w:val="en-US"/>
        </w:rPr>
        <w:t>.</w:t>
      </w:r>
    </w:p>
    <w:p w:rsidR="004E289D" w:rsidRDefault="004E289D" w:rsidP="001A296F">
      <w:pPr>
        <w:pStyle w:val="Subtitle"/>
        <w:jc w:val="both"/>
        <w:rPr>
          <w:lang w:val="en-US"/>
        </w:rPr>
      </w:pPr>
    </w:p>
    <w:p w:rsidR="001A296F" w:rsidRPr="00CA07A7" w:rsidRDefault="001A296F" w:rsidP="001A296F">
      <w:pPr>
        <w:pStyle w:val="Subtitle"/>
        <w:jc w:val="both"/>
        <w:rPr>
          <w:lang w:val="en-US"/>
        </w:rPr>
      </w:pPr>
      <w:r>
        <w:rPr>
          <w:lang w:val="en-US"/>
        </w:rPr>
        <w:t>D</w:t>
      </w:r>
      <w:r w:rsidRPr="00CA07A7">
        <w:rPr>
          <w:lang w:val="en-US"/>
        </w:rPr>
        <w:t>eclaration</w:t>
      </w:r>
      <w:r w:rsidR="0066323E">
        <w:rPr>
          <w:lang w:val="en-US"/>
        </w:rPr>
        <w:t>—</w:t>
      </w:r>
      <w:r w:rsidR="0039413A">
        <w:rPr>
          <w:lang w:val="en-US"/>
        </w:rPr>
        <w:t>Relevant Interest</w:t>
      </w:r>
    </w:p>
    <w:p w:rsidR="001A296F" w:rsidRDefault="001A296F" w:rsidP="001A296F">
      <w:pPr>
        <w:pStyle w:val="Subtitle"/>
        <w:jc w:val="both"/>
      </w:pPr>
    </w:p>
    <w:p w:rsidR="005973FC" w:rsidRPr="005973FC" w:rsidRDefault="00E46768" w:rsidP="00E4445D">
      <w:pPr>
        <w:ind w:left="567" w:hanging="567"/>
        <w:rPr>
          <w:bCs/>
        </w:rPr>
      </w:pPr>
      <w:r>
        <w:t>11</w:t>
      </w:r>
      <w:r w:rsidR="005973FC">
        <w:t>.</w:t>
      </w:r>
      <w:r w:rsidR="005973FC">
        <w:tab/>
      </w:r>
      <w:r w:rsidR="005973FC" w:rsidRPr="005973FC">
        <w:t>Chapter</w:t>
      </w:r>
      <w:r w:rsidR="00713767">
        <w:t>s</w:t>
      </w:r>
      <w:r w:rsidR="005973FC" w:rsidRPr="005973FC">
        <w:t xml:space="preserve"> 6</w:t>
      </w:r>
      <w:r w:rsidR="002E078D">
        <w:t xml:space="preserve"> </w:t>
      </w:r>
      <w:r w:rsidR="00713767">
        <w:t xml:space="preserve">and 6C </w:t>
      </w:r>
      <w:r w:rsidR="005973FC" w:rsidRPr="005973FC">
        <w:t>of the Act appl</w:t>
      </w:r>
      <w:r w:rsidR="002E078D">
        <w:t>y</w:t>
      </w:r>
      <w:r w:rsidR="005973FC" w:rsidRPr="005973FC">
        <w:t xml:space="preserve"> to all persons as if section 609 were modified or varied by inserting after subsection 609(16) (as notionally inserted by ASIC Class Order [CO 12/1209])</w:t>
      </w:r>
      <w:r w:rsidR="005973FC" w:rsidRPr="005973FC">
        <w:rPr>
          <w:lang w:val="en-US"/>
        </w:rPr>
        <w:t xml:space="preserve">: </w:t>
      </w:r>
    </w:p>
    <w:p w:rsidR="005973FC" w:rsidRPr="005973FC" w:rsidRDefault="005973FC" w:rsidP="005973FC">
      <w:pPr>
        <w:ind w:left="709" w:hanging="709"/>
      </w:pPr>
    </w:p>
    <w:p w:rsidR="005973FC" w:rsidRPr="005973FC" w:rsidRDefault="00CA3FBA" w:rsidP="007724C2">
      <w:pPr>
        <w:ind w:left="426"/>
      </w:pPr>
      <w:r>
        <w:t>“</w:t>
      </w:r>
      <w:r w:rsidR="0008623E" w:rsidRPr="0008623E">
        <w:rPr>
          <w:i/>
        </w:rPr>
        <w:t>ETF Securities</w:t>
      </w:r>
    </w:p>
    <w:p w:rsidR="005973FC" w:rsidRPr="005973FC" w:rsidRDefault="005973FC" w:rsidP="005973FC">
      <w:pPr>
        <w:ind w:left="709" w:hanging="709"/>
      </w:pPr>
    </w:p>
    <w:p w:rsidR="00E35F90" w:rsidRDefault="009C0A63" w:rsidP="007724C2">
      <w:pPr>
        <w:ind w:left="1134" w:hanging="708"/>
      </w:pPr>
      <w:r>
        <w:t>(19A)</w:t>
      </w:r>
      <w:r w:rsidR="002B7A88">
        <w:t xml:space="preserve"> </w:t>
      </w:r>
      <w:r w:rsidR="007724C2">
        <w:t xml:space="preserve">  </w:t>
      </w:r>
      <w:r w:rsidR="005973FC" w:rsidRPr="005973FC">
        <w:t xml:space="preserve">A </w:t>
      </w:r>
      <w:r w:rsidR="00C21C15">
        <w:t>member of a registered scheme</w:t>
      </w:r>
      <w:r w:rsidR="003A543A">
        <w:t xml:space="preserve"> who is an authorised participant</w:t>
      </w:r>
      <w:r w:rsidR="00C21C15" w:rsidRPr="005973FC">
        <w:t xml:space="preserve"> </w:t>
      </w:r>
      <w:r w:rsidR="00286330">
        <w:t xml:space="preserve">in relation to the scheme </w:t>
      </w:r>
      <w:r w:rsidR="005973FC" w:rsidRPr="005973FC">
        <w:t xml:space="preserve">does not have a relevant interest in securities that form part of scheme property of </w:t>
      </w:r>
      <w:r w:rsidR="00C21C15">
        <w:t>the</w:t>
      </w:r>
      <w:r w:rsidR="005973FC" w:rsidRPr="005973FC">
        <w:t xml:space="preserve"> scheme merely because </w:t>
      </w:r>
      <w:r w:rsidR="0044691A">
        <w:t xml:space="preserve">the scheme has </w:t>
      </w:r>
      <w:r w:rsidR="005973FC" w:rsidRPr="005973FC">
        <w:t>an acquisition and withdrawal facility, provided that:</w:t>
      </w:r>
      <w:r w:rsidR="00C21C15">
        <w:t xml:space="preserve"> </w:t>
      </w:r>
    </w:p>
    <w:p w:rsidR="005973FC" w:rsidRPr="005973FC" w:rsidRDefault="005973FC" w:rsidP="005973FC">
      <w:pPr>
        <w:ind w:left="709" w:hanging="709"/>
      </w:pPr>
    </w:p>
    <w:p w:rsidR="00F30DC2" w:rsidRDefault="005973FC" w:rsidP="007724C2">
      <w:pPr>
        <w:pStyle w:val="ListParagraph"/>
        <w:numPr>
          <w:ilvl w:val="0"/>
          <w:numId w:val="17"/>
        </w:numPr>
        <w:ind w:left="1701" w:hanging="567"/>
        <w:rPr>
          <w:bCs/>
        </w:rPr>
      </w:pPr>
      <w:r w:rsidRPr="005973FC">
        <w:rPr>
          <w:bCs/>
        </w:rPr>
        <w:t xml:space="preserve">interests in the scheme are </w:t>
      </w:r>
      <w:r w:rsidR="003167BC">
        <w:rPr>
          <w:bCs/>
        </w:rPr>
        <w:t>ETF Securities</w:t>
      </w:r>
      <w:r w:rsidR="0077763A">
        <w:rPr>
          <w:bCs/>
        </w:rPr>
        <w:t xml:space="preserve"> </w:t>
      </w:r>
      <w:r w:rsidR="00EE6114">
        <w:rPr>
          <w:bCs/>
        </w:rPr>
        <w:t xml:space="preserve">that are </w:t>
      </w:r>
      <w:r w:rsidRPr="005973FC">
        <w:rPr>
          <w:bCs/>
        </w:rPr>
        <w:t xml:space="preserve">admitted to </w:t>
      </w:r>
      <w:r w:rsidR="00D85927">
        <w:rPr>
          <w:bCs/>
        </w:rPr>
        <w:t>T</w:t>
      </w:r>
      <w:r w:rsidRPr="005973FC">
        <w:rPr>
          <w:bCs/>
        </w:rPr>
        <w:t xml:space="preserve">rading </w:t>
      </w:r>
      <w:r w:rsidR="00D85927">
        <w:rPr>
          <w:bCs/>
        </w:rPr>
        <w:t>S</w:t>
      </w:r>
      <w:r w:rsidRPr="005973FC">
        <w:rPr>
          <w:bCs/>
        </w:rPr>
        <w:t>tatus</w:t>
      </w:r>
      <w:r w:rsidR="00F30DC2">
        <w:rPr>
          <w:bCs/>
        </w:rPr>
        <w:t>;</w:t>
      </w:r>
      <w:r w:rsidR="00FA6E59">
        <w:rPr>
          <w:bCs/>
        </w:rPr>
        <w:t xml:space="preserve"> and</w:t>
      </w:r>
    </w:p>
    <w:p w:rsidR="0096289F" w:rsidRDefault="0096289F">
      <w:pPr>
        <w:pStyle w:val="ListParagraph"/>
        <w:rPr>
          <w:bCs/>
        </w:rPr>
      </w:pPr>
    </w:p>
    <w:p w:rsidR="00BD029B" w:rsidRDefault="00460187" w:rsidP="009C0A63">
      <w:pPr>
        <w:pStyle w:val="ListParagraph"/>
        <w:ind w:left="1701" w:hanging="567"/>
        <w:rPr>
          <w:bCs/>
        </w:rPr>
      </w:pPr>
      <w:r>
        <w:rPr>
          <w:bCs/>
        </w:rPr>
        <w:t>(b)</w:t>
      </w:r>
      <w:r>
        <w:rPr>
          <w:bCs/>
        </w:rPr>
        <w:tab/>
      </w:r>
      <w:r w:rsidR="00B52AA5">
        <w:rPr>
          <w:bCs/>
        </w:rPr>
        <w:t>the</w:t>
      </w:r>
      <w:r w:rsidR="00B52AA5" w:rsidRPr="002A1C47">
        <w:rPr>
          <w:bCs/>
        </w:rPr>
        <w:t xml:space="preserve"> </w:t>
      </w:r>
      <w:r w:rsidR="003764DC">
        <w:rPr>
          <w:bCs/>
        </w:rPr>
        <w:t xml:space="preserve">current PDS </w:t>
      </w:r>
      <w:r w:rsidR="004204E5">
        <w:rPr>
          <w:bCs/>
        </w:rPr>
        <w:t xml:space="preserve">contains a statement to the effect </w:t>
      </w:r>
      <w:r w:rsidR="00B52AA5">
        <w:rPr>
          <w:bCs/>
        </w:rPr>
        <w:t xml:space="preserve">that the </w:t>
      </w:r>
      <w:r w:rsidR="002568CA">
        <w:rPr>
          <w:bCs/>
        </w:rPr>
        <w:t xml:space="preserve">investment strategy </w:t>
      </w:r>
      <w:r w:rsidR="00B52AA5">
        <w:rPr>
          <w:bCs/>
        </w:rPr>
        <w:t>for the scheme is to make investments that</w:t>
      </w:r>
      <w:r w:rsidR="00263631">
        <w:rPr>
          <w:bCs/>
        </w:rPr>
        <w:t xml:space="preserve"> </w:t>
      </w:r>
      <w:r>
        <w:rPr>
          <w:bCs/>
        </w:rPr>
        <w:t xml:space="preserve">are expected to </w:t>
      </w:r>
      <w:r w:rsidR="00263631">
        <w:rPr>
          <w:bCs/>
        </w:rPr>
        <w:t>result in</w:t>
      </w:r>
      <w:r w:rsidR="00B52AA5">
        <w:rPr>
          <w:bCs/>
        </w:rPr>
        <w:t xml:space="preserve"> the value of </w:t>
      </w:r>
      <w:r w:rsidR="004204E5">
        <w:rPr>
          <w:bCs/>
        </w:rPr>
        <w:t xml:space="preserve">an </w:t>
      </w:r>
      <w:r w:rsidR="00B52AA5">
        <w:rPr>
          <w:bCs/>
        </w:rPr>
        <w:t>interest in the scheme chang</w:t>
      </w:r>
      <w:r w:rsidR="00263631">
        <w:rPr>
          <w:bCs/>
        </w:rPr>
        <w:t>ing</w:t>
      </w:r>
      <w:r w:rsidR="00B52AA5">
        <w:rPr>
          <w:bCs/>
        </w:rPr>
        <w:t xml:space="preserve"> in proportion to the value of a published</w:t>
      </w:r>
      <w:r w:rsidR="002568CA">
        <w:rPr>
          <w:bCs/>
        </w:rPr>
        <w:t xml:space="preserve"> index</w:t>
      </w:r>
      <w:r w:rsidR="00263631">
        <w:rPr>
          <w:bCs/>
        </w:rPr>
        <w:t xml:space="preserve"> of securities</w:t>
      </w:r>
      <w:r w:rsidR="00536A5C">
        <w:rPr>
          <w:bCs/>
        </w:rPr>
        <w:t>,</w:t>
      </w:r>
      <w:r w:rsidR="00263631">
        <w:rPr>
          <w:bCs/>
        </w:rPr>
        <w:t xml:space="preserve"> </w:t>
      </w:r>
      <w:r w:rsidR="004204E5">
        <w:rPr>
          <w:bCs/>
        </w:rPr>
        <w:t>ignor</w:t>
      </w:r>
      <w:r w:rsidR="00536A5C">
        <w:rPr>
          <w:bCs/>
        </w:rPr>
        <w:t>ing</w:t>
      </w:r>
      <w:r w:rsidR="00263631">
        <w:rPr>
          <w:bCs/>
        </w:rPr>
        <w:t xml:space="preserve"> the effect of fees</w:t>
      </w:r>
      <w:r w:rsidR="00FA6E59">
        <w:rPr>
          <w:bCs/>
        </w:rPr>
        <w:t xml:space="preserve"> and other</w:t>
      </w:r>
      <w:r w:rsidR="00536A5C">
        <w:rPr>
          <w:bCs/>
        </w:rPr>
        <w:t xml:space="preserve"> costs</w:t>
      </w:r>
      <w:r w:rsidR="00FA6E59">
        <w:rPr>
          <w:bCs/>
        </w:rPr>
        <w:t xml:space="preserve"> (including taxes)</w:t>
      </w:r>
      <w:r w:rsidR="00A24C7B">
        <w:rPr>
          <w:bCs/>
        </w:rPr>
        <w:t xml:space="preserve"> </w:t>
      </w:r>
      <w:r w:rsidR="00FA6E59">
        <w:rPr>
          <w:bCs/>
        </w:rPr>
        <w:t>in relation to</w:t>
      </w:r>
      <w:r w:rsidR="00263631">
        <w:rPr>
          <w:bCs/>
        </w:rPr>
        <w:t xml:space="preserve"> the scheme</w:t>
      </w:r>
      <w:r w:rsidR="00801E0F">
        <w:rPr>
          <w:bCs/>
        </w:rPr>
        <w:t>;</w:t>
      </w:r>
      <w:r w:rsidR="00E61214">
        <w:rPr>
          <w:bCs/>
        </w:rPr>
        <w:t xml:space="preserve"> </w:t>
      </w:r>
      <w:r w:rsidR="00C64100">
        <w:rPr>
          <w:bCs/>
        </w:rPr>
        <w:t>and</w:t>
      </w:r>
    </w:p>
    <w:p w:rsidR="00E618DC" w:rsidRDefault="00E618DC"/>
    <w:p w:rsidR="00E35F90" w:rsidRPr="00460187" w:rsidRDefault="00460187" w:rsidP="009C0A63">
      <w:pPr>
        <w:ind w:left="1701" w:hanging="567"/>
        <w:rPr>
          <w:bCs/>
        </w:rPr>
      </w:pPr>
      <w:r>
        <w:rPr>
          <w:bCs/>
        </w:rPr>
        <w:t>(c)</w:t>
      </w:r>
      <w:r>
        <w:rPr>
          <w:bCs/>
        </w:rPr>
        <w:tab/>
      </w:r>
      <w:r w:rsidR="006C02B2" w:rsidRPr="00460187">
        <w:rPr>
          <w:bCs/>
        </w:rPr>
        <w:t>the current</w:t>
      </w:r>
      <w:r w:rsidR="003764DC" w:rsidRPr="00460187">
        <w:rPr>
          <w:bCs/>
        </w:rPr>
        <w:t xml:space="preserve"> PDS </w:t>
      </w:r>
      <w:r>
        <w:rPr>
          <w:bCs/>
        </w:rPr>
        <w:t>contains a statement to the effect</w:t>
      </w:r>
      <w:r w:rsidRPr="00460187" w:rsidDel="00460187">
        <w:rPr>
          <w:bCs/>
        </w:rPr>
        <w:t xml:space="preserve"> </w:t>
      </w:r>
      <w:r w:rsidR="002A1C47" w:rsidRPr="00460187">
        <w:rPr>
          <w:bCs/>
        </w:rPr>
        <w:t xml:space="preserve">that </w:t>
      </w:r>
      <w:r w:rsidR="00B577D6" w:rsidRPr="00460187">
        <w:rPr>
          <w:bCs/>
        </w:rPr>
        <w:t xml:space="preserve">at the time </w:t>
      </w:r>
      <w:r w:rsidR="002A1C47" w:rsidRPr="00460187">
        <w:rPr>
          <w:bCs/>
        </w:rPr>
        <w:t>the investment strategy</w:t>
      </w:r>
      <w:r w:rsidR="00604A06" w:rsidRPr="00460187">
        <w:rPr>
          <w:bCs/>
        </w:rPr>
        <w:t xml:space="preserve"> for the scheme</w:t>
      </w:r>
      <w:r w:rsidR="002A1C47" w:rsidRPr="00460187">
        <w:rPr>
          <w:bCs/>
        </w:rPr>
        <w:t xml:space="preserve"> disclosed in the </w:t>
      </w:r>
      <w:r w:rsidR="00663270" w:rsidRPr="00460187">
        <w:rPr>
          <w:bCs/>
        </w:rPr>
        <w:t>current PDS</w:t>
      </w:r>
      <w:r w:rsidR="002A1C47" w:rsidRPr="00460187">
        <w:rPr>
          <w:bCs/>
        </w:rPr>
        <w:t xml:space="preserve"> was first published </w:t>
      </w:r>
      <w:r w:rsidR="00450941" w:rsidRPr="00460187">
        <w:rPr>
          <w:bCs/>
        </w:rPr>
        <w:t xml:space="preserve">in a Product Disclosure Statement for </w:t>
      </w:r>
      <w:r w:rsidR="00500A59" w:rsidRPr="00460187">
        <w:rPr>
          <w:bCs/>
        </w:rPr>
        <w:t>interests</w:t>
      </w:r>
      <w:r w:rsidR="00FA6E59" w:rsidRPr="00460187">
        <w:rPr>
          <w:bCs/>
        </w:rPr>
        <w:t xml:space="preserve"> in the scheme</w:t>
      </w:r>
      <w:r w:rsidR="00500A59" w:rsidRPr="00460187">
        <w:rPr>
          <w:bCs/>
        </w:rPr>
        <w:t>, there were reasonable grounds to believe that implementation of the investment strategy would not be likely to lead to scheme property including se</w:t>
      </w:r>
      <w:r w:rsidR="00575555" w:rsidRPr="00460187">
        <w:rPr>
          <w:bCs/>
        </w:rPr>
        <w:t xml:space="preserve">curities </w:t>
      </w:r>
      <w:r w:rsidR="00997D55" w:rsidRPr="00460187">
        <w:rPr>
          <w:bCs/>
        </w:rPr>
        <w:t>in a</w:t>
      </w:r>
      <w:r w:rsidR="00575555" w:rsidRPr="00460187">
        <w:rPr>
          <w:bCs/>
        </w:rPr>
        <w:t xml:space="preserve"> class</w:t>
      </w:r>
      <w:r w:rsidR="00997D55" w:rsidRPr="00460187">
        <w:rPr>
          <w:bCs/>
        </w:rPr>
        <w:t xml:space="preserve"> of securities </w:t>
      </w:r>
      <w:r w:rsidR="00A747B5" w:rsidRPr="00460187">
        <w:rPr>
          <w:bCs/>
        </w:rPr>
        <w:t>that</w:t>
      </w:r>
      <w:r w:rsidR="00FC7467" w:rsidRPr="00460187">
        <w:rPr>
          <w:bCs/>
        </w:rPr>
        <w:t>:</w:t>
      </w:r>
      <w:r w:rsidR="009E73FD" w:rsidRPr="00460187">
        <w:rPr>
          <w:bCs/>
        </w:rPr>
        <w:br/>
      </w:r>
    </w:p>
    <w:p w:rsidR="00E35F90" w:rsidRDefault="009E73FD" w:rsidP="009C0A63">
      <w:pPr>
        <w:pStyle w:val="ListParagraph"/>
        <w:ind w:left="2268" w:hanging="567"/>
        <w:rPr>
          <w:bCs/>
        </w:rPr>
      </w:pPr>
      <w:r>
        <w:rPr>
          <w:bCs/>
        </w:rPr>
        <w:t>(</w:t>
      </w:r>
      <w:proofErr w:type="spellStart"/>
      <w:r>
        <w:rPr>
          <w:bCs/>
        </w:rPr>
        <w:t>i</w:t>
      </w:r>
      <w:proofErr w:type="spellEnd"/>
      <w:r>
        <w:rPr>
          <w:bCs/>
        </w:rPr>
        <w:t>)</w:t>
      </w:r>
      <w:r>
        <w:rPr>
          <w:bCs/>
        </w:rPr>
        <w:tab/>
      </w:r>
      <w:proofErr w:type="gramStart"/>
      <w:r>
        <w:rPr>
          <w:bCs/>
        </w:rPr>
        <w:t>would</w:t>
      </w:r>
      <w:proofErr w:type="gramEnd"/>
      <w:r>
        <w:rPr>
          <w:bCs/>
        </w:rPr>
        <w:t xml:space="preserve"> </w:t>
      </w:r>
      <w:r w:rsidR="00575555">
        <w:rPr>
          <w:bCs/>
        </w:rPr>
        <w:t>represent more than 10% by value of scheme property; and</w:t>
      </w:r>
    </w:p>
    <w:p w:rsidR="00E35F90" w:rsidRDefault="00E35F90" w:rsidP="00E35F90">
      <w:pPr>
        <w:pStyle w:val="ListParagraph"/>
        <w:ind w:left="2835" w:hanging="708"/>
        <w:rPr>
          <w:bCs/>
        </w:rPr>
      </w:pPr>
    </w:p>
    <w:p w:rsidR="00E35F90" w:rsidRDefault="009E73FD" w:rsidP="009C0A63">
      <w:pPr>
        <w:pStyle w:val="ListParagraph"/>
        <w:ind w:left="2268" w:hanging="567"/>
        <w:rPr>
          <w:bCs/>
        </w:rPr>
      </w:pPr>
      <w:r>
        <w:rPr>
          <w:bCs/>
        </w:rPr>
        <w:t>(ii)</w:t>
      </w:r>
      <w:r>
        <w:rPr>
          <w:bCs/>
        </w:rPr>
        <w:tab/>
      </w:r>
      <w:proofErr w:type="gramStart"/>
      <w:r w:rsidR="00A747B5">
        <w:rPr>
          <w:bCs/>
        </w:rPr>
        <w:t>were</w:t>
      </w:r>
      <w:proofErr w:type="gramEnd"/>
      <w:r>
        <w:rPr>
          <w:bCs/>
        </w:rPr>
        <w:t xml:space="preserve">, or would </w:t>
      </w:r>
      <w:r w:rsidR="00B577D6">
        <w:rPr>
          <w:bCs/>
        </w:rPr>
        <w:t>result in</w:t>
      </w:r>
      <w:r>
        <w:rPr>
          <w:bCs/>
        </w:rPr>
        <w:t xml:space="preserve"> </w:t>
      </w:r>
      <w:r w:rsidR="00E415AB">
        <w:rPr>
          <w:bCs/>
        </w:rPr>
        <w:t>the responsible entity hav</w:t>
      </w:r>
      <w:r w:rsidR="00B577D6">
        <w:rPr>
          <w:bCs/>
        </w:rPr>
        <w:t>ing</w:t>
      </w:r>
      <w:r w:rsidR="00E415AB">
        <w:rPr>
          <w:bCs/>
        </w:rPr>
        <w:t xml:space="preserve"> a relevant interest in</w:t>
      </w:r>
      <w:r>
        <w:rPr>
          <w:bCs/>
        </w:rPr>
        <w:t>,</w:t>
      </w:r>
      <w:r w:rsidR="00E415AB">
        <w:rPr>
          <w:bCs/>
        </w:rPr>
        <w:t xml:space="preserve"> securities in</w:t>
      </w:r>
      <w:r w:rsidR="00575555">
        <w:rPr>
          <w:bCs/>
        </w:rPr>
        <w:t>:</w:t>
      </w:r>
      <w:r w:rsidR="00E415AB">
        <w:rPr>
          <w:bCs/>
        </w:rPr>
        <w:t xml:space="preserve"> </w:t>
      </w:r>
      <w:r w:rsidR="00575555">
        <w:rPr>
          <w:bCs/>
        </w:rPr>
        <w:br/>
      </w:r>
    </w:p>
    <w:p w:rsidR="002568CA" w:rsidRDefault="00575555" w:rsidP="009C0A63">
      <w:pPr>
        <w:pStyle w:val="ListParagraph"/>
        <w:ind w:left="2835" w:hanging="567"/>
        <w:rPr>
          <w:bCs/>
        </w:rPr>
      </w:pPr>
      <w:r>
        <w:rPr>
          <w:bCs/>
        </w:rPr>
        <w:t>(</w:t>
      </w:r>
      <w:r w:rsidR="009E73FD">
        <w:rPr>
          <w:bCs/>
        </w:rPr>
        <w:t>A</w:t>
      </w:r>
      <w:r>
        <w:rPr>
          <w:bCs/>
        </w:rPr>
        <w:t>)</w:t>
      </w:r>
      <w:r>
        <w:rPr>
          <w:bCs/>
        </w:rPr>
        <w:tab/>
      </w:r>
      <w:proofErr w:type="gramStart"/>
      <w:r w:rsidR="00E415AB">
        <w:rPr>
          <w:bCs/>
        </w:rPr>
        <w:t>a</w:t>
      </w:r>
      <w:proofErr w:type="gramEnd"/>
      <w:r w:rsidR="00E415AB">
        <w:rPr>
          <w:bCs/>
        </w:rPr>
        <w:t xml:space="preserve"> listed company</w:t>
      </w:r>
      <w:r w:rsidR="000458A1">
        <w:rPr>
          <w:bCs/>
        </w:rPr>
        <w:t>;</w:t>
      </w:r>
      <w:r w:rsidR="000F1C6D">
        <w:rPr>
          <w:bCs/>
        </w:rPr>
        <w:t xml:space="preserve"> </w:t>
      </w:r>
      <w:r w:rsidR="000458A1">
        <w:rPr>
          <w:bCs/>
        </w:rPr>
        <w:t>or</w:t>
      </w:r>
    </w:p>
    <w:p w:rsidR="002568CA" w:rsidRDefault="002568CA">
      <w:pPr>
        <w:pStyle w:val="ListParagraph"/>
        <w:ind w:left="3544" w:hanging="709"/>
        <w:rPr>
          <w:bCs/>
        </w:rPr>
      </w:pPr>
    </w:p>
    <w:p w:rsidR="00E35F90" w:rsidRDefault="000458A1" w:rsidP="009C0A63">
      <w:pPr>
        <w:pStyle w:val="ListParagraph"/>
        <w:ind w:left="2835" w:hanging="567"/>
        <w:rPr>
          <w:bCs/>
        </w:rPr>
      </w:pPr>
      <w:r>
        <w:rPr>
          <w:bCs/>
        </w:rPr>
        <w:t>(B)</w:t>
      </w:r>
      <w:r>
        <w:rPr>
          <w:bCs/>
        </w:rPr>
        <w:tab/>
      </w:r>
      <w:proofErr w:type="gramStart"/>
      <w:r w:rsidR="000F1C6D">
        <w:rPr>
          <w:bCs/>
        </w:rPr>
        <w:t>an</w:t>
      </w:r>
      <w:proofErr w:type="gramEnd"/>
      <w:r w:rsidR="000F1C6D">
        <w:rPr>
          <w:bCs/>
        </w:rPr>
        <w:t xml:space="preserve"> unlisted company with more than 50 members</w:t>
      </w:r>
      <w:r w:rsidR="00575555">
        <w:rPr>
          <w:bCs/>
        </w:rPr>
        <w:t xml:space="preserve">; or </w:t>
      </w:r>
    </w:p>
    <w:p w:rsidR="00E35F90" w:rsidRDefault="00E35F90" w:rsidP="00E35F90">
      <w:pPr>
        <w:pStyle w:val="ListParagraph"/>
        <w:ind w:left="3544" w:hanging="709"/>
        <w:rPr>
          <w:bCs/>
        </w:rPr>
      </w:pPr>
    </w:p>
    <w:p w:rsidR="00E35F90" w:rsidRDefault="000458A1" w:rsidP="009C0A63">
      <w:pPr>
        <w:pStyle w:val="ListParagraph"/>
        <w:ind w:left="2835" w:hanging="567"/>
        <w:rPr>
          <w:bCs/>
        </w:rPr>
      </w:pPr>
      <w:r>
        <w:rPr>
          <w:bCs/>
        </w:rPr>
        <w:t>(C</w:t>
      </w:r>
      <w:r w:rsidR="000F1C6D">
        <w:rPr>
          <w:bCs/>
        </w:rPr>
        <w:t>)</w:t>
      </w:r>
      <w:r w:rsidR="000F1C6D">
        <w:rPr>
          <w:bCs/>
        </w:rPr>
        <w:tab/>
      </w:r>
      <w:proofErr w:type="gramStart"/>
      <w:r w:rsidR="000F1C6D">
        <w:rPr>
          <w:bCs/>
        </w:rPr>
        <w:t>a</w:t>
      </w:r>
      <w:proofErr w:type="gramEnd"/>
      <w:r w:rsidR="000F1C6D">
        <w:rPr>
          <w:bCs/>
        </w:rPr>
        <w:t xml:space="preserve"> listed body</w:t>
      </w:r>
      <w:r w:rsidR="003211E6">
        <w:rPr>
          <w:bCs/>
        </w:rPr>
        <w:t xml:space="preserve"> that is formed or incorporated in Australia</w:t>
      </w:r>
      <w:r w:rsidR="000F1C6D">
        <w:rPr>
          <w:bCs/>
        </w:rPr>
        <w:t>; or</w:t>
      </w:r>
      <w:r w:rsidR="00E415AB">
        <w:rPr>
          <w:bCs/>
        </w:rPr>
        <w:t xml:space="preserve"> </w:t>
      </w:r>
      <w:r w:rsidR="00575555">
        <w:rPr>
          <w:bCs/>
        </w:rPr>
        <w:br/>
      </w:r>
    </w:p>
    <w:p w:rsidR="00E35F90" w:rsidRDefault="00575555" w:rsidP="009C0A63">
      <w:pPr>
        <w:pStyle w:val="ListParagraph"/>
        <w:ind w:left="2835" w:hanging="567"/>
        <w:rPr>
          <w:bCs/>
        </w:rPr>
      </w:pPr>
      <w:r>
        <w:rPr>
          <w:bCs/>
        </w:rPr>
        <w:t>(</w:t>
      </w:r>
      <w:r w:rsidR="000458A1">
        <w:rPr>
          <w:bCs/>
        </w:rPr>
        <w:t>D</w:t>
      </w:r>
      <w:r>
        <w:rPr>
          <w:bCs/>
        </w:rPr>
        <w:t>)</w:t>
      </w:r>
      <w:r>
        <w:rPr>
          <w:bCs/>
        </w:rPr>
        <w:tab/>
      </w:r>
      <w:proofErr w:type="gramStart"/>
      <w:r>
        <w:rPr>
          <w:bCs/>
        </w:rPr>
        <w:t>a</w:t>
      </w:r>
      <w:proofErr w:type="gramEnd"/>
      <w:r>
        <w:rPr>
          <w:bCs/>
        </w:rPr>
        <w:t xml:space="preserve"> </w:t>
      </w:r>
      <w:r w:rsidR="00E415AB">
        <w:rPr>
          <w:bCs/>
        </w:rPr>
        <w:t>listed scheme</w:t>
      </w:r>
      <w:r w:rsidR="000F1C6D">
        <w:rPr>
          <w:bCs/>
        </w:rPr>
        <w:t>.</w:t>
      </w:r>
      <w:r w:rsidR="00E415AB">
        <w:rPr>
          <w:bCs/>
        </w:rPr>
        <w:t xml:space="preserve"> </w:t>
      </w:r>
      <w:r>
        <w:rPr>
          <w:bCs/>
        </w:rPr>
        <w:br/>
      </w:r>
    </w:p>
    <w:p w:rsidR="00E35F90" w:rsidRDefault="00E35F90" w:rsidP="009C0A63">
      <w:pPr>
        <w:pStyle w:val="ListParagraph"/>
        <w:ind w:left="2835" w:hanging="567"/>
        <w:rPr>
          <w:bCs/>
        </w:rPr>
      </w:pPr>
      <w:r w:rsidRPr="00E35F90">
        <w:rPr>
          <w:bCs/>
          <w:sz w:val="20"/>
          <w:szCs w:val="20"/>
        </w:rPr>
        <w:t>Note:</w:t>
      </w:r>
      <w:r w:rsidR="009E73FD">
        <w:rPr>
          <w:bCs/>
        </w:rPr>
        <w:t xml:space="preserve"> </w:t>
      </w:r>
      <w:r w:rsidR="009E73FD">
        <w:rPr>
          <w:bCs/>
        </w:rPr>
        <w:tab/>
      </w:r>
      <w:r w:rsidRPr="00E35F90">
        <w:rPr>
          <w:bCs/>
          <w:sz w:val="20"/>
          <w:szCs w:val="20"/>
        </w:rPr>
        <w:t>The responsible entity may have a relevant interest in securities that do not form part of scheme property because of paragraph 608(3</w:t>
      </w:r>
      <w:proofErr w:type="gramStart"/>
      <w:r w:rsidRPr="00E35F90">
        <w:rPr>
          <w:bCs/>
          <w:sz w:val="20"/>
          <w:szCs w:val="20"/>
        </w:rPr>
        <w:t>)(</w:t>
      </w:r>
      <w:proofErr w:type="gramEnd"/>
      <w:r w:rsidRPr="00E35F90">
        <w:rPr>
          <w:bCs/>
          <w:sz w:val="20"/>
          <w:szCs w:val="20"/>
        </w:rPr>
        <w:t>b).</w:t>
      </w:r>
      <w:r w:rsidR="009E73FD">
        <w:rPr>
          <w:bCs/>
        </w:rPr>
        <w:t xml:space="preserve"> </w:t>
      </w:r>
      <w:r w:rsidR="009E73FD">
        <w:rPr>
          <w:bCs/>
        </w:rPr>
        <w:br/>
      </w:r>
      <w:r w:rsidR="00C21C15">
        <w:rPr>
          <w:bCs/>
        </w:rPr>
        <w:t xml:space="preserve"> </w:t>
      </w:r>
    </w:p>
    <w:p w:rsidR="00F61D1A" w:rsidRDefault="009C0A63" w:rsidP="00F61D1A">
      <w:pPr>
        <w:ind w:left="1134" w:hanging="708"/>
      </w:pPr>
      <w:r>
        <w:t>(19B)</w:t>
      </w:r>
      <w:r w:rsidR="002B7A88">
        <w:t xml:space="preserve"> </w:t>
      </w:r>
      <w:r w:rsidR="007724C2">
        <w:t xml:space="preserve">  </w:t>
      </w:r>
      <w:proofErr w:type="gramStart"/>
      <w:r w:rsidR="001870EC">
        <w:t>If</w:t>
      </w:r>
      <w:proofErr w:type="gramEnd"/>
      <w:r w:rsidR="001870EC">
        <w:t xml:space="preserve"> </w:t>
      </w:r>
      <w:r w:rsidR="009F07BF">
        <w:t xml:space="preserve">subsection (19A) applies in relation to a member and the </w:t>
      </w:r>
      <w:r w:rsidR="005973FC" w:rsidRPr="005973FC">
        <w:t xml:space="preserve">member makes a withdrawal request </w:t>
      </w:r>
      <w:r w:rsidR="008A46FD">
        <w:t xml:space="preserve">under </w:t>
      </w:r>
      <w:r w:rsidR="009F07BF">
        <w:t>the</w:t>
      </w:r>
      <w:r w:rsidR="008A46FD">
        <w:t xml:space="preserve"> acquisition and withdrawal facility</w:t>
      </w:r>
      <w:r w:rsidR="001870EC">
        <w:t>:</w:t>
      </w:r>
      <w:r w:rsidR="008A46FD">
        <w:t xml:space="preserve"> </w:t>
      </w:r>
    </w:p>
    <w:p w:rsidR="00255CE7" w:rsidRDefault="00255CE7">
      <w:pPr>
        <w:ind w:left="1418" w:hanging="709"/>
      </w:pPr>
    </w:p>
    <w:p w:rsidR="001F6D9D" w:rsidRDefault="001870EC" w:rsidP="007724C2">
      <w:pPr>
        <w:ind w:left="1701" w:hanging="567"/>
      </w:pPr>
      <w:r w:rsidRPr="001870EC">
        <w:t>(a)</w:t>
      </w:r>
      <w:r w:rsidRPr="001870EC">
        <w:tab/>
        <w:t>subsection (19A) stops applying in relation to</w:t>
      </w:r>
      <w:r w:rsidR="00690108">
        <w:t xml:space="preserve"> any securities that the member would</w:t>
      </w:r>
      <w:r w:rsidRPr="001870EC">
        <w:t xml:space="preserve"> receive </w:t>
      </w:r>
      <w:r w:rsidR="00DE65E1">
        <w:t xml:space="preserve">if the responsible entity </w:t>
      </w:r>
      <w:r w:rsidR="000554FD">
        <w:t xml:space="preserve">transferred securities to the member in </w:t>
      </w:r>
      <w:r w:rsidR="0037794E">
        <w:t>accordance with</w:t>
      </w:r>
      <w:r w:rsidR="00DE65E1">
        <w:t xml:space="preserve"> the</w:t>
      </w:r>
      <w:r w:rsidRPr="001870EC">
        <w:t xml:space="preserve"> withdrawal request; and</w:t>
      </w:r>
      <w:r w:rsidR="00A24C7B">
        <w:br/>
      </w:r>
    </w:p>
    <w:p w:rsidR="003F0023" w:rsidRDefault="001870EC" w:rsidP="007724C2">
      <w:pPr>
        <w:spacing w:after="120"/>
        <w:ind w:left="1701" w:hanging="567"/>
      </w:pPr>
      <w:r>
        <w:t>(b)</w:t>
      </w:r>
      <w:r>
        <w:tab/>
      </w:r>
      <w:proofErr w:type="gramStart"/>
      <w:r w:rsidR="003A543A" w:rsidRPr="00D27D13">
        <w:t>the</w:t>
      </w:r>
      <w:proofErr w:type="gramEnd"/>
      <w:r w:rsidR="003A543A" w:rsidRPr="00D27D13">
        <w:t xml:space="preserve"> </w:t>
      </w:r>
      <w:r w:rsidR="0044691A">
        <w:t>member</w:t>
      </w:r>
      <w:r w:rsidR="0044691A" w:rsidRPr="00D27D13">
        <w:t xml:space="preserve"> </w:t>
      </w:r>
      <w:r w:rsidR="003A543A" w:rsidRPr="00D27D13">
        <w:t>is taken to acquire a relevant interest in th</w:t>
      </w:r>
      <w:r>
        <w:t>os</w:t>
      </w:r>
      <w:r w:rsidR="003A543A" w:rsidRPr="00D27D13">
        <w:t xml:space="preserve">e securities at that time </w:t>
      </w:r>
      <w:r>
        <w:t>through</w:t>
      </w:r>
      <w:r w:rsidRPr="00D27D13">
        <w:t xml:space="preserve"> </w:t>
      </w:r>
      <w:r w:rsidR="003A543A" w:rsidRPr="00D27D13">
        <w:t>a transaction in relation to the securities</w:t>
      </w:r>
      <w:r w:rsidR="00CE2A69">
        <w:t xml:space="preserve"> entered into by the member</w:t>
      </w:r>
      <w:r>
        <w:t>.</w:t>
      </w:r>
    </w:p>
    <w:p w:rsidR="00BD029B" w:rsidRPr="00BD029B" w:rsidRDefault="00960563" w:rsidP="009C0A63">
      <w:pPr>
        <w:spacing w:after="120"/>
        <w:ind w:left="2268" w:hanging="567"/>
        <w:rPr>
          <w:sz w:val="20"/>
          <w:szCs w:val="20"/>
        </w:rPr>
      </w:pPr>
      <w:r w:rsidRPr="00960563">
        <w:rPr>
          <w:sz w:val="20"/>
          <w:szCs w:val="20"/>
        </w:rPr>
        <w:lastRenderedPageBreak/>
        <w:t xml:space="preserve">Note: </w:t>
      </w:r>
      <w:r w:rsidRPr="00960563">
        <w:rPr>
          <w:sz w:val="20"/>
          <w:szCs w:val="20"/>
        </w:rPr>
        <w:tab/>
        <w:t>If the member makes a withdrawal request only in relation to some of the member’s interests</w:t>
      </w:r>
      <w:r w:rsidR="00BD029B">
        <w:rPr>
          <w:sz w:val="20"/>
          <w:szCs w:val="20"/>
        </w:rPr>
        <w:t xml:space="preserve"> in the scheme</w:t>
      </w:r>
      <w:r w:rsidRPr="00960563">
        <w:rPr>
          <w:sz w:val="20"/>
          <w:szCs w:val="20"/>
        </w:rPr>
        <w:t xml:space="preserve">, subsection (19A) may still apply in relation to the </w:t>
      </w:r>
      <w:r w:rsidR="00BD029B">
        <w:rPr>
          <w:sz w:val="20"/>
          <w:szCs w:val="20"/>
        </w:rPr>
        <w:t xml:space="preserve">member’s </w:t>
      </w:r>
      <w:r w:rsidRPr="00960563">
        <w:rPr>
          <w:sz w:val="20"/>
          <w:szCs w:val="20"/>
        </w:rPr>
        <w:t>remaining interests.</w:t>
      </w:r>
    </w:p>
    <w:p w:rsidR="003F0023" w:rsidRDefault="009F07BF" w:rsidP="007724C2">
      <w:pPr>
        <w:ind w:left="1134" w:hanging="708"/>
      </w:pPr>
      <w:r>
        <w:t>(19C)</w:t>
      </w:r>
      <w:r>
        <w:tab/>
        <w:t xml:space="preserve">If: </w:t>
      </w:r>
    </w:p>
    <w:p w:rsidR="003F0023" w:rsidRDefault="003F0023">
      <w:pPr>
        <w:ind w:left="1418" w:hanging="709"/>
      </w:pPr>
    </w:p>
    <w:p w:rsidR="003F0023" w:rsidRDefault="009F07BF" w:rsidP="007724C2">
      <w:pPr>
        <w:ind w:left="1701" w:hanging="567"/>
      </w:pPr>
      <w:r>
        <w:t>(a)</w:t>
      </w:r>
      <w:r>
        <w:tab/>
      </w:r>
      <w:proofErr w:type="gramStart"/>
      <w:r>
        <w:t>other</w:t>
      </w:r>
      <w:proofErr w:type="gramEnd"/>
      <w:r>
        <w:t xml:space="preserve"> than because of subsection (19B), a member has a relevant interest in securities that form part of scheme property because subsection (19A) </w:t>
      </w:r>
      <w:r w:rsidR="002C3DDF">
        <w:t>has stopped</w:t>
      </w:r>
      <w:r>
        <w:t xml:space="preserve"> applying in relation to the scheme;</w:t>
      </w:r>
      <w:r w:rsidR="00B63A8A">
        <w:t xml:space="preserve"> and</w:t>
      </w:r>
      <w:r w:rsidR="00B63A8A">
        <w:br/>
      </w:r>
    </w:p>
    <w:p w:rsidR="003F0023" w:rsidRDefault="009F07BF" w:rsidP="007724C2">
      <w:pPr>
        <w:ind w:left="1701" w:hanging="567"/>
      </w:pPr>
      <w:r>
        <w:t>(b)</w:t>
      </w:r>
      <w:r w:rsidR="00B63A8A">
        <w:tab/>
      </w:r>
      <w:proofErr w:type="gramStart"/>
      <w:r w:rsidR="00B63A8A">
        <w:t>the</w:t>
      </w:r>
      <w:proofErr w:type="gramEnd"/>
      <w:r w:rsidR="00B63A8A">
        <w:t xml:space="preserve"> member makes a withdrawal request in relation to the</w:t>
      </w:r>
      <w:r w:rsidR="00BF4FF8">
        <w:t xml:space="preserve"> </w:t>
      </w:r>
      <w:r w:rsidR="00C64100">
        <w:t>interests in the registered scheme</w:t>
      </w:r>
      <w:r w:rsidR="00A24C7B">
        <w:t>;</w:t>
      </w:r>
    </w:p>
    <w:p w:rsidR="003F0023" w:rsidRDefault="003F0023">
      <w:pPr>
        <w:ind w:left="1418" w:hanging="709"/>
      </w:pPr>
    </w:p>
    <w:p w:rsidR="003F0023" w:rsidRDefault="00B63A8A" w:rsidP="00AB0790">
      <w:pPr>
        <w:ind w:left="1134"/>
      </w:pPr>
      <w:proofErr w:type="gramStart"/>
      <w:r>
        <w:t>then</w:t>
      </w:r>
      <w:proofErr w:type="gramEnd"/>
      <w:r w:rsidR="0082592E">
        <w:t xml:space="preserve"> for the purposes of section 606</w:t>
      </w:r>
      <w:r w:rsidR="004175D2">
        <w:t>, at the time of the withdrawal request</w:t>
      </w:r>
      <w:r>
        <w:t xml:space="preserve">: </w:t>
      </w:r>
    </w:p>
    <w:p w:rsidR="003F0023" w:rsidRDefault="003F0023" w:rsidP="00BF4FF8">
      <w:pPr>
        <w:ind w:left="2127" w:hanging="709"/>
      </w:pPr>
    </w:p>
    <w:p w:rsidR="0037794E" w:rsidRDefault="00B63A8A" w:rsidP="00AB0790">
      <w:pPr>
        <w:ind w:left="1701" w:hanging="567"/>
      </w:pPr>
      <w:r>
        <w:t>(c)</w:t>
      </w:r>
      <w:r>
        <w:tab/>
      </w:r>
      <w:proofErr w:type="gramStart"/>
      <w:r>
        <w:t>the</w:t>
      </w:r>
      <w:proofErr w:type="gramEnd"/>
      <w:r>
        <w:t xml:space="preserve"> member is taken to acquire a relevant </w:t>
      </w:r>
      <w:r w:rsidR="0082592E">
        <w:t xml:space="preserve">interest </w:t>
      </w:r>
      <w:r>
        <w:t>in</w:t>
      </w:r>
      <w:r w:rsidR="009F07BF">
        <w:t xml:space="preserve"> </w:t>
      </w:r>
      <w:r w:rsidR="0037794E">
        <w:t xml:space="preserve">any </w:t>
      </w:r>
      <w:r>
        <w:t>securities</w:t>
      </w:r>
      <w:r w:rsidR="00C64100">
        <w:t xml:space="preserve"> that the member would receive</w:t>
      </w:r>
      <w:r>
        <w:t xml:space="preserve"> </w:t>
      </w:r>
      <w:r w:rsidR="004175D2">
        <w:t xml:space="preserve">if the responsible entity </w:t>
      </w:r>
      <w:r w:rsidR="0037794E">
        <w:t xml:space="preserve">transferred securities to the member in accordance with the withdrawal request; </w:t>
      </w:r>
      <w:r w:rsidR="00B45E93">
        <w:t>and</w:t>
      </w:r>
    </w:p>
    <w:p w:rsidR="0037794E" w:rsidRDefault="0037794E" w:rsidP="00AB0790">
      <w:pPr>
        <w:ind w:left="1701" w:hanging="567"/>
      </w:pPr>
    </w:p>
    <w:p w:rsidR="00E618DC" w:rsidRDefault="00460187" w:rsidP="00AB0790">
      <w:pPr>
        <w:ind w:left="1701" w:hanging="567"/>
      </w:pPr>
      <w:r>
        <w:t>(d)</w:t>
      </w:r>
      <w:r>
        <w:tab/>
      </w:r>
      <w:proofErr w:type="gramStart"/>
      <w:r w:rsidR="0037794E">
        <w:t>the</w:t>
      </w:r>
      <w:proofErr w:type="gramEnd"/>
      <w:r w:rsidR="0037794E">
        <w:t xml:space="preserve"> member is taken to have acquired the relevant interest </w:t>
      </w:r>
      <w:r w:rsidR="00B63A8A">
        <w:t>through a transaction</w:t>
      </w:r>
      <w:r w:rsidR="002140F5">
        <w:t xml:space="preserve"> </w:t>
      </w:r>
      <w:r w:rsidR="002140F5" w:rsidRPr="002140F5">
        <w:t>entered into by the member</w:t>
      </w:r>
      <w:r w:rsidR="00B63A8A">
        <w:t xml:space="preserve"> in relation to th</w:t>
      </w:r>
      <w:r w:rsidR="0037794E">
        <w:t>os</w:t>
      </w:r>
      <w:r w:rsidR="00B63A8A">
        <w:t>e securities; and</w:t>
      </w:r>
    </w:p>
    <w:p w:rsidR="003F0023" w:rsidRDefault="003F0023" w:rsidP="007724C2">
      <w:pPr>
        <w:ind w:left="1843" w:hanging="709"/>
      </w:pPr>
    </w:p>
    <w:p w:rsidR="003F0023" w:rsidRDefault="00460187" w:rsidP="00AB0790">
      <w:pPr>
        <w:ind w:left="1701" w:hanging="567"/>
      </w:pPr>
      <w:r>
        <w:t>(e)</w:t>
      </w:r>
      <w:r>
        <w:tab/>
      </w:r>
      <w:proofErr w:type="gramStart"/>
      <w:r w:rsidR="0082592E">
        <w:t>the</w:t>
      </w:r>
      <w:proofErr w:type="gramEnd"/>
      <w:r w:rsidR="0082592E">
        <w:t xml:space="preserve"> member’s voting power is taken to have increased from what it would have been before the withdrawal request if the votes attached to those securities were disregarded to what it was after the withdrawal request (taking the votes attached to those securities</w:t>
      </w:r>
      <w:r w:rsidR="002140F5">
        <w:t xml:space="preserve"> </w:t>
      </w:r>
      <w:r w:rsidR="0082592E">
        <w:t>into account).</w:t>
      </w:r>
      <w:r w:rsidR="002C3DDF">
        <w:t xml:space="preserve"> </w:t>
      </w:r>
    </w:p>
    <w:p w:rsidR="009F07BF" w:rsidRDefault="009F07BF" w:rsidP="00BF4FF8">
      <w:pPr>
        <w:ind w:left="2127" w:hanging="709"/>
      </w:pPr>
    </w:p>
    <w:p w:rsidR="003F0023" w:rsidRDefault="0096289F" w:rsidP="007724C2">
      <w:pPr>
        <w:spacing w:after="120"/>
        <w:ind w:left="1134" w:hanging="708"/>
      </w:pPr>
      <w:r>
        <w:t>(</w:t>
      </w:r>
      <w:r w:rsidR="0082592E">
        <w:t>19D</w:t>
      </w:r>
      <w:r>
        <w:t>)</w:t>
      </w:r>
      <w:r>
        <w:tab/>
      </w:r>
      <w:r w:rsidR="0082592E">
        <w:t>I</w:t>
      </w:r>
      <w:r>
        <w:t xml:space="preserve">f, in the previous 6 months: </w:t>
      </w:r>
    </w:p>
    <w:p w:rsidR="00255CE7" w:rsidRDefault="0096289F" w:rsidP="007724C2">
      <w:pPr>
        <w:spacing w:after="120"/>
        <w:ind w:left="1701" w:hanging="567"/>
      </w:pPr>
      <w:r>
        <w:t>(</w:t>
      </w:r>
      <w:r w:rsidR="007012C5">
        <w:t>a</w:t>
      </w:r>
      <w:r>
        <w:t>)</w:t>
      </w:r>
      <w:r>
        <w:tab/>
      </w:r>
      <w:proofErr w:type="gramStart"/>
      <w:r>
        <w:t>a</w:t>
      </w:r>
      <w:proofErr w:type="gramEnd"/>
      <w:r>
        <w:t xml:space="preserve"> member’s voting power has increased because subsection (19A) stopped applying in relation to securities; and</w:t>
      </w:r>
    </w:p>
    <w:p w:rsidR="00255CE7" w:rsidRDefault="0096289F" w:rsidP="007724C2">
      <w:pPr>
        <w:spacing w:after="120"/>
        <w:ind w:left="1701" w:hanging="567"/>
      </w:pPr>
      <w:r>
        <w:t>(</w:t>
      </w:r>
      <w:r w:rsidR="007012C5">
        <w:t>b</w:t>
      </w:r>
      <w:r>
        <w:t>)</w:t>
      </w:r>
      <w:r>
        <w:tab/>
      </w:r>
      <w:proofErr w:type="gramStart"/>
      <w:r w:rsidR="006A36A4">
        <w:t>the</w:t>
      </w:r>
      <w:proofErr w:type="gramEnd"/>
      <w:r w:rsidR="006A36A4">
        <w:t xml:space="preserve"> member </w:t>
      </w:r>
      <w:r w:rsidR="002C3DDF">
        <w:t xml:space="preserve">has </w:t>
      </w:r>
      <w:r w:rsidR="006A36A4">
        <w:t xml:space="preserve">not </w:t>
      </w:r>
      <w:r w:rsidR="002C3DDF">
        <w:t xml:space="preserve">been </w:t>
      </w:r>
      <w:r w:rsidR="006A36A4">
        <w:t xml:space="preserve">taken to acquire a relevant interest in the securities under </w:t>
      </w:r>
      <w:r w:rsidR="002C3DDF">
        <w:t>subsection</w:t>
      </w:r>
      <w:r w:rsidR="00431D77">
        <w:t xml:space="preserve"> (19B) or (19C)</w:t>
      </w:r>
      <w:r w:rsidR="006A36A4">
        <w:t>;</w:t>
      </w:r>
    </w:p>
    <w:p w:rsidR="00255CE7" w:rsidRDefault="006A36A4" w:rsidP="00F437EE">
      <w:pPr>
        <w:spacing w:after="120"/>
        <w:ind w:left="1134"/>
      </w:pPr>
      <w:proofErr w:type="gramStart"/>
      <w:r>
        <w:t>the</w:t>
      </w:r>
      <w:proofErr w:type="gramEnd"/>
      <w:r>
        <w:t xml:space="preserve"> increase</w:t>
      </w:r>
      <w:r w:rsidR="004172B9">
        <w:t xml:space="preserve"> in</w:t>
      </w:r>
      <w:r>
        <w:t xml:space="preserve"> voting power is to be disregarded in determining the member</w:t>
      </w:r>
      <w:r w:rsidR="0068542B">
        <w:t>’s</w:t>
      </w:r>
      <w:r>
        <w:t>, or any other person’s</w:t>
      </w:r>
      <w:r w:rsidR="00A24C7B">
        <w:t>,</w:t>
      </w:r>
      <w:r>
        <w:t xml:space="preserve"> voting power for the purposes of item 9 of </w:t>
      </w:r>
      <w:r w:rsidR="00A770E7">
        <w:t xml:space="preserve">the table in </w:t>
      </w:r>
      <w:r>
        <w:t>s</w:t>
      </w:r>
      <w:r w:rsidR="009D7DD5">
        <w:t xml:space="preserve">ection </w:t>
      </w:r>
      <w:r>
        <w:t>611.</w:t>
      </w:r>
      <w:r w:rsidR="00DB366C">
        <w:t xml:space="preserve"> </w:t>
      </w:r>
    </w:p>
    <w:p w:rsidR="0096289F" w:rsidRPr="005973FC" w:rsidRDefault="0096289F" w:rsidP="005973FC">
      <w:pPr>
        <w:ind w:left="709" w:hanging="709"/>
      </w:pPr>
    </w:p>
    <w:p w:rsidR="00E35F90" w:rsidRDefault="005973FC" w:rsidP="00ED1956">
      <w:pPr>
        <w:tabs>
          <w:tab w:val="left" w:pos="1134"/>
        </w:tabs>
        <w:ind w:left="993" w:hanging="567"/>
      </w:pPr>
      <w:r w:rsidRPr="005973FC">
        <w:t>(</w:t>
      </w:r>
      <w:r w:rsidR="00931292" w:rsidRPr="005973FC">
        <w:t>19</w:t>
      </w:r>
      <w:r w:rsidR="00931292">
        <w:t>E</w:t>
      </w:r>
      <w:r w:rsidRPr="005973FC">
        <w:t>)</w:t>
      </w:r>
      <w:r w:rsidRPr="005973FC">
        <w:tab/>
      </w:r>
      <w:r w:rsidR="00ED1956">
        <w:tab/>
      </w:r>
      <w:proofErr w:type="gramStart"/>
      <w:r w:rsidRPr="005973FC">
        <w:t>In</w:t>
      </w:r>
      <w:proofErr w:type="gramEnd"/>
      <w:r w:rsidRPr="005973FC">
        <w:t xml:space="preserve"> subsection</w:t>
      </w:r>
      <w:r w:rsidR="001C58EC">
        <w:t>s</w:t>
      </w:r>
      <w:r w:rsidRPr="005973FC">
        <w:t xml:space="preserve"> (19A)</w:t>
      </w:r>
      <w:r w:rsidR="001C58EC">
        <w:t xml:space="preserve"> </w:t>
      </w:r>
      <w:r w:rsidR="00931292">
        <w:t xml:space="preserve">to </w:t>
      </w:r>
      <w:r w:rsidR="001C58EC">
        <w:t>(19</w:t>
      </w:r>
      <w:r w:rsidR="00931292">
        <w:t>D</w:t>
      </w:r>
      <w:r w:rsidR="001C58EC">
        <w:t xml:space="preserve">) and </w:t>
      </w:r>
      <w:r w:rsidR="000458A1">
        <w:t xml:space="preserve">in </w:t>
      </w:r>
      <w:r w:rsidR="001C58EC">
        <w:t>this subsection</w:t>
      </w:r>
      <w:r w:rsidRPr="005973FC">
        <w:t>:</w:t>
      </w:r>
    </w:p>
    <w:p w:rsidR="005973FC" w:rsidRPr="005973FC" w:rsidRDefault="005973FC" w:rsidP="00AB0790">
      <w:pPr>
        <w:ind w:left="1135" w:hanging="709"/>
      </w:pPr>
    </w:p>
    <w:p w:rsidR="00AB0790" w:rsidRDefault="005973FC" w:rsidP="00AB0790">
      <w:pPr>
        <w:ind w:left="1134"/>
        <w:rPr>
          <w:bCs/>
        </w:rPr>
      </w:pPr>
      <w:r w:rsidRPr="005973FC">
        <w:rPr>
          <w:b/>
          <w:i/>
        </w:rPr>
        <w:t xml:space="preserve">acquisition and withdrawal facility </w:t>
      </w:r>
      <w:r w:rsidRPr="005973FC">
        <w:t>means</w:t>
      </w:r>
      <w:r w:rsidR="00040C30">
        <w:t>,</w:t>
      </w:r>
      <w:r w:rsidRPr="005973FC">
        <w:t xml:space="preserve"> in relation to a registered scheme, a facility</w:t>
      </w:r>
      <w:r w:rsidR="00E61214">
        <w:t xml:space="preserve"> </w:t>
      </w:r>
      <w:r w:rsidR="00F30DC2">
        <w:t xml:space="preserve">that the responsible entity has stated </w:t>
      </w:r>
      <w:r w:rsidR="00B52AA5">
        <w:t xml:space="preserve">in </w:t>
      </w:r>
      <w:r w:rsidR="006740AC">
        <w:t xml:space="preserve">the </w:t>
      </w:r>
      <w:r w:rsidR="006C02B2">
        <w:t xml:space="preserve">current </w:t>
      </w:r>
      <w:r w:rsidR="00663270">
        <w:t xml:space="preserve">PDS </w:t>
      </w:r>
      <w:r w:rsidR="00F30DC2">
        <w:t xml:space="preserve">that it intends to </w:t>
      </w:r>
      <w:r w:rsidRPr="005973FC">
        <w:t>offer</w:t>
      </w:r>
      <w:r w:rsidR="00F30DC2">
        <w:t xml:space="preserve"> on each Trading Day on which interests in the scheme are traded</w:t>
      </w:r>
      <w:r w:rsidR="00883980">
        <w:rPr>
          <w:bCs/>
        </w:rPr>
        <w:t xml:space="preserve"> </w:t>
      </w:r>
      <w:r w:rsidR="006E7494">
        <w:rPr>
          <w:bCs/>
        </w:rPr>
        <w:t xml:space="preserve">on the financial market operated by ASX Limited </w:t>
      </w:r>
      <w:r w:rsidR="00676694" w:rsidRPr="00676694">
        <w:rPr>
          <w:bCs/>
        </w:rPr>
        <w:t>(ACN 008 624 691)</w:t>
      </w:r>
      <w:r w:rsidR="00676694">
        <w:rPr>
          <w:bCs/>
        </w:rPr>
        <w:t xml:space="preserve"> </w:t>
      </w:r>
      <w:r w:rsidR="00883980">
        <w:rPr>
          <w:bCs/>
        </w:rPr>
        <w:t>which allows</w:t>
      </w:r>
      <w:r w:rsidR="00810A35">
        <w:rPr>
          <w:bCs/>
        </w:rPr>
        <w:t>:</w:t>
      </w:r>
      <w:r w:rsidR="00810A35">
        <w:rPr>
          <w:bCs/>
        </w:rPr>
        <w:br/>
      </w:r>
      <w:r w:rsidR="00801E0F">
        <w:rPr>
          <w:bCs/>
        </w:rPr>
        <w:t xml:space="preserve"> </w:t>
      </w:r>
      <w:r w:rsidR="00AB0790">
        <w:rPr>
          <w:bCs/>
        </w:rPr>
        <w:br w:type="page"/>
      </w:r>
    </w:p>
    <w:p w:rsidR="00255CE7" w:rsidRDefault="00255CE7" w:rsidP="00F437EE">
      <w:pPr>
        <w:ind w:left="1134"/>
        <w:rPr>
          <w:bCs/>
        </w:rPr>
      </w:pPr>
    </w:p>
    <w:p w:rsidR="00E35F90" w:rsidRDefault="00810A35" w:rsidP="00ED1956">
      <w:pPr>
        <w:ind w:left="1701" w:hanging="567"/>
        <w:rPr>
          <w:bCs/>
        </w:rPr>
      </w:pPr>
      <w:r w:rsidRPr="00810A35">
        <w:rPr>
          <w:bCs/>
        </w:rPr>
        <w:t>(a)</w:t>
      </w:r>
      <w:r w:rsidRPr="00810A35">
        <w:rPr>
          <w:bCs/>
        </w:rPr>
        <w:tab/>
      </w:r>
      <w:proofErr w:type="gramStart"/>
      <w:r w:rsidRPr="00810A35">
        <w:rPr>
          <w:bCs/>
        </w:rPr>
        <w:t>a</w:t>
      </w:r>
      <w:proofErr w:type="gramEnd"/>
      <w:r w:rsidRPr="00810A35">
        <w:rPr>
          <w:bCs/>
        </w:rPr>
        <w:t xml:space="preserve"> person</w:t>
      </w:r>
      <w:r w:rsidR="00690108">
        <w:rPr>
          <w:bCs/>
        </w:rPr>
        <w:t xml:space="preserve"> who is an authorised participant</w:t>
      </w:r>
      <w:r w:rsidRPr="00810A35">
        <w:rPr>
          <w:bCs/>
        </w:rPr>
        <w:t xml:space="preserve"> to acquire an interest in the scheme b</w:t>
      </w:r>
      <w:r w:rsidR="009F728E">
        <w:rPr>
          <w:bCs/>
        </w:rPr>
        <w:t>y contributing to the scheme; and</w:t>
      </w:r>
      <w:r w:rsidRPr="00810A35">
        <w:rPr>
          <w:bCs/>
        </w:rPr>
        <w:br/>
      </w:r>
    </w:p>
    <w:p w:rsidR="00E35F90" w:rsidRDefault="00810A35" w:rsidP="00ED1956">
      <w:pPr>
        <w:ind w:left="1701" w:hanging="567"/>
        <w:rPr>
          <w:bCs/>
        </w:rPr>
      </w:pPr>
      <w:r w:rsidRPr="00810A35">
        <w:rPr>
          <w:bCs/>
        </w:rPr>
        <w:t>(b)</w:t>
      </w:r>
      <w:r w:rsidRPr="00810A35">
        <w:rPr>
          <w:bCs/>
        </w:rPr>
        <w:tab/>
      </w:r>
      <w:proofErr w:type="gramStart"/>
      <w:r w:rsidRPr="00810A35">
        <w:rPr>
          <w:bCs/>
        </w:rPr>
        <w:t>a</w:t>
      </w:r>
      <w:proofErr w:type="gramEnd"/>
      <w:r w:rsidRPr="00810A35">
        <w:rPr>
          <w:bCs/>
        </w:rPr>
        <w:t xml:space="preserve"> member</w:t>
      </w:r>
      <w:r w:rsidR="00130D6E">
        <w:rPr>
          <w:bCs/>
        </w:rPr>
        <w:t xml:space="preserve"> </w:t>
      </w:r>
      <w:r w:rsidR="00690108">
        <w:rPr>
          <w:bCs/>
        </w:rPr>
        <w:t>who is an authorised participant</w:t>
      </w:r>
      <w:r w:rsidR="00130D6E">
        <w:rPr>
          <w:bCs/>
        </w:rPr>
        <w:t xml:space="preserve"> </w:t>
      </w:r>
      <w:r w:rsidRPr="00810A35">
        <w:rPr>
          <w:bCs/>
        </w:rPr>
        <w:t>to r</w:t>
      </w:r>
      <w:r w:rsidR="00212604">
        <w:rPr>
          <w:bCs/>
        </w:rPr>
        <w:t xml:space="preserve">equest </w:t>
      </w:r>
      <w:r w:rsidR="0044691A">
        <w:rPr>
          <w:bCs/>
        </w:rPr>
        <w:t xml:space="preserve">that </w:t>
      </w:r>
      <w:r w:rsidRPr="00810A35">
        <w:rPr>
          <w:bCs/>
        </w:rPr>
        <w:t>the responsible entity satisfy a withdrawal request</w:t>
      </w:r>
      <w:r>
        <w:rPr>
          <w:bCs/>
        </w:rPr>
        <w:t xml:space="preserve"> </w:t>
      </w:r>
      <w:r w:rsidR="009F728E">
        <w:rPr>
          <w:bCs/>
        </w:rPr>
        <w:t>in relation to an interest in the scheme</w:t>
      </w:r>
      <w:r w:rsidR="00212604">
        <w:rPr>
          <w:bCs/>
        </w:rPr>
        <w:t xml:space="preserve"> </w:t>
      </w:r>
      <w:r w:rsidR="009F728E">
        <w:rPr>
          <w:bCs/>
        </w:rPr>
        <w:t>b</w:t>
      </w:r>
      <w:r w:rsidRPr="00810A35">
        <w:rPr>
          <w:bCs/>
        </w:rPr>
        <w:t xml:space="preserve">y </w:t>
      </w:r>
      <w:r w:rsidR="009F728E">
        <w:rPr>
          <w:bCs/>
        </w:rPr>
        <w:t>transferring</w:t>
      </w:r>
      <w:r w:rsidRPr="00810A35">
        <w:rPr>
          <w:bCs/>
        </w:rPr>
        <w:t xml:space="preserve"> to the member;</w:t>
      </w:r>
      <w:r w:rsidR="002C3DDF">
        <w:rPr>
          <w:bCs/>
        </w:rPr>
        <w:t xml:space="preserve"> </w:t>
      </w:r>
      <w:r w:rsidRPr="00810A35">
        <w:rPr>
          <w:bCs/>
        </w:rPr>
        <w:br/>
      </w:r>
    </w:p>
    <w:p w:rsidR="00A15C91" w:rsidRDefault="00810A35" w:rsidP="00676694">
      <w:pPr>
        <w:ind w:left="1134"/>
        <w:rPr>
          <w:bCs/>
        </w:rPr>
      </w:pPr>
      <w:proofErr w:type="gramStart"/>
      <w:r w:rsidRPr="00810A35">
        <w:rPr>
          <w:bCs/>
        </w:rPr>
        <w:t>consideration</w:t>
      </w:r>
      <w:proofErr w:type="gramEnd"/>
      <w:r w:rsidRPr="00810A35">
        <w:rPr>
          <w:bCs/>
        </w:rPr>
        <w:t xml:space="preserve"> that </w:t>
      </w:r>
      <w:r w:rsidR="0099733E">
        <w:rPr>
          <w:bCs/>
        </w:rPr>
        <w:t>predominantly</w:t>
      </w:r>
      <w:r w:rsidRPr="00810A35">
        <w:rPr>
          <w:bCs/>
        </w:rPr>
        <w:t xml:space="preserve"> comprises a parcel of securities</w:t>
      </w:r>
      <w:r w:rsidR="000234FD">
        <w:rPr>
          <w:bCs/>
        </w:rPr>
        <w:t xml:space="preserve">, the </w:t>
      </w:r>
      <w:r w:rsidRPr="00810A35">
        <w:rPr>
          <w:bCs/>
        </w:rPr>
        <w:t xml:space="preserve">composition </w:t>
      </w:r>
      <w:r w:rsidR="000234FD">
        <w:rPr>
          <w:bCs/>
        </w:rPr>
        <w:t xml:space="preserve">of which </w:t>
      </w:r>
      <w:r w:rsidR="009F728E">
        <w:rPr>
          <w:bCs/>
        </w:rPr>
        <w:t xml:space="preserve">in relation to </w:t>
      </w:r>
      <w:r w:rsidR="00A24C7B">
        <w:rPr>
          <w:bCs/>
        </w:rPr>
        <w:t xml:space="preserve">an </w:t>
      </w:r>
      <w:r w:rsidR="009F728E">
        <w:rPr>
          <w:bCs/>
        </w:rPr>
        <w:t xml:space="preserve">acquisition </w:t>
      </w:r>
      <w:r w:rsidR="0099733E">
        <w:rPr>
          <w:bCs/>
        </w:rPr>
        <w:t>and</w:t>
      </w:r>
      <w:r w:rsidR="009F728E">
        <w:rPr>
          <w:bCs/>
        </w:rPr>
        <w:t xml:space="preserve"> </w:t>
      </w:r>
      <w:r w:rsidR="00A24C7B">
        <w:rPr>
          <w:bCs/>
        </w:rPr>
        <w:t xml:space="preserve">a </w:t>
      </w:r>
      <w:r w:rsidR="009F728E">
        <w:rPr>
          <w:bCs/>
        </w:rPr>
        <w:t xml:space="preserve">withdrawal </w:t>
      </w:r>
      <w:r w:rsidRPr="00810A35">
        <w:rPr>
          <w:bCs/>
        </w:rPr>
        <w:t>is published by or on behalf of the responsible entity from time to time.</w:t>
      </w:r>
      <w:r>
        <w:rPr>
          <w:bCs/>
        </w:rPr>
        <w:t xml:space="preserve"> </w:t>
      </w:r>
    </w:p>
    <w:p w:rsidR="00A15C91" w:rsidRDefault="00A15C91" w:rsidP="00810A35">
      <w:pPr>
        <w:ind w:left="1440"/>
        <w:rPr>
          <w:bCs/>
        </w:rPr>
      </w:pPr>
    </w:p>
    <w:p w:rsidR="00E35F90" w:rsidRPr="00E35F90" w:rsidRDefault="00E35F90" w:rsidP="00676694">
      <w:pPr>
        <w:ind w:left="1701" w:hanging="567"/>
        <w:rPr>
          <w:bCs/>
          <w:sz w:val="20"/>
          <w:szCs w:val="20"/>
        </w:rPr>
      </w:pPr>
      <w:r w:rsidRPr="00E35F90">
        <w:rPr>
          <w:bCs/>
          <w:sz w:val="20"/>
          <w:szCs w:val="20"/>
        </w:rPr>
        <w:t xml:space="preserve">Note: </w:t>
      </w:r>
      <w:r w:rsidR="00A15C91">
        <w:rPr>
          <w:bCs/>
          <w:sz w:val="20"/>
          <w:szCs w:val="20"/>
        </w:rPr>
        <w:tab/>
      </w:r>
      <w:r w:rsidRPr="00E35F90">
        <w:rPr>
          <w:bCs/>
          <w:sz w:val="20"/>
          <w:szCs w:val="20"/>
        </w:rPr>
        <w:t>The composition of the parcel of securities may be different for an acquisition and a withdrawal.</w:t>
      </w:r>
    </w:p>
    <w:p w:rsidR="00E35F90" w:rsidRDefault="00E35F90" w:rsidP="00E35F90">
      <w:pPr>
        <w:rPr>
          <w:bCs/>
        </w:rPr>
      </w:pPr>
    </w:p>
    <w:p w:rsidR="00255CE7" w:rsidRPr="00F437EE" w:rsidRDefault="00E35F90" w:rsidP="00F437EE">
      <w:pPr>
        <w:ind w:left="1134"/>
      </w:pPr>
      <w:r w:rsidRPr="00E35F90">
        <w:rPr>
          <w:b/>
          <w:bCs/>
          <w:i/>
        </w:rPr>
        <w:t>Australian resident for tax purposes</w:t>
      </w:r>
      <w:r w:rsidR="001C58EC">
        <w:rPr>
          <w:bCs/>
        </w:rPr>
        <w:t xml:space="preserve"> means</w:t>
      </w:r>
      <w:r w:rsidR="00263631">
        <w:rPr>
          <w:bCs/>
        </w:rPr>
        <w:t xml:space="preserve">, </w:t>
      </w:r>
      <w:r w:rsidR="00A013A4">
        <w:rPr>
          <w:bCs/>
        </w:rPr>
        <w:t>for a particular financial year,</w:t>
      </w:r>
      <w:r w:rsidR="00D32C12">
        <w:rPr>
          <w:bCs/>
        </w:rPr>
        <w:t xml:space="preserve"> a</w:t>
      </w:r>
      <w:r w:rsidR="00263631">
        <w:rPr>
          <w:bCs/>
        </w:rPr>
        <w:t xml:space="preserve"> person </w:t>
      </w:r>
      <w:r w:rsidR="00D32C12">
        <w:rPr>
          <w:bCs/>
        </w:rPr>
        <w:t>who</w:t>
      </w:r>
      <w:r w:rsidR="00A013A4">
        <w:rPr>
          <w:bCs/>
        </w:rPr>
        <w:t xml:space="preserve"> </w:t>
      </w:r>
      <w:r w:rsidR="00263631">
        <w:rPr>
          <w:bCs/>
        </w:rPr>
        <w:t xml:space="preserve">is an </w:t>
      </w:r>
      <w:r w:rsidR="001C58EC" w:rsidRPr="001C58EC">
        <w:rPr>
          <w:bCs/>
        </w:rPr>
        <w:t>Australia</w:t>
      </w:r>
      <w:r w:rsidR="0074740D">
        <w:rPr>
          <w:bCs/>
        </w:rPr>
        <w:t>n resident</w:t>
      </w:r>
      <w:r w:rsidR="001C58EC" w:rsidRPr="001C58EC">
        <w:rPr>
          <w:bCs/>
        </w:rPr>
        <w:t xml:space="preserve"> for the purposes of the</w:t>
      </w:r>
      <w:r w:rsidR="001C58EC">
        <w:rPr>
          <w:bCs/>
        </w:rPr>
        <w:t xml:space="preserve"> </w:t>
      </w:r>
      <w:r w:rsidRPr="00E35F90">
        <w:rPr>
          <w:bCs/>
          <w:i/>
        </w:rPr>
        <w:t>Income Tax Assessment Act 19</w:t>
      </w:r>
      <w:r w:rsidR="00402DEF">
        <w:rPr>
          <w:bCs/>
          <w:i/>
        </w:rPr>
        <w:t>97</w:t>
      </w:r>
      <w:r w:rsidR="00263631">
        <w:rPr>
          <w:bCs/>
        </w:rPr>
        <w:t xml:space="preserve"> </w:t>
      </w:r>
      <w:r w:rsidR="00A24C7B">
        <w:rPr>
          <w:bCs/>
        </w:rPr>
        <w:t>for the whole of</w:t>
      </w:r>
      <w:r w:rsidR="00A013A4">
        <w:rPr>
          <w:bCs/>
        </w:rPr>
        <w:t xml:space="preserve"> that financial year.</w:t>
      </w:r>
      <w:r w:rsidR="006E7494">
        <w:rPr>
          <w:bCs/>
        </w:rPr>
        <w:t xml:space="preserve"> </w:t>
      </w:r>
    </w:p>
    <w:p w:rsidR="00BF4FF8" w:rsidRDefault="00BF4FF8" w:rsidP="00F437EE">
      <w:pPr>
        <w:ind w:left="1157"/>
        <w:rPr>
          <w:bCs/>
        </w:rPr>
      </w:pPr>
    </w:p>
    <w:p w:rsidR="00A013A4" w:rsidRPr="00F437EE" w:rsidRDefault="003A543A" w:rsidP="00F437EE">
      <w:pPr>
        <w:ind w:left="1134"/>
        <w:rPr>
          <w:bCs/>
        </w:rPr>
      </w:pPr>
      <w:proofErr w:type="gramStart"/>
      <w:r>
        <w:rPr>
          <w:b/>
          <w:bCs/>
          <w:i/>
        </w:rPr>
        <w:t>authorised</w:t>
      </w:r>
      <w:proofErr w:type="gramEnd"/>
      <w:r>
        <w:rPr>
          <w:b/>
          <w:bCs/>
          <w:i/>
        </w:rPr>
        <w:t xml:space="preserve"> participant </w:t>
      </w:r>
      <w:r w:rsidRPr="00FA7114">
        <w:t>means</w:t>
      </w:r>
      <w:r w:rsidR="00A013A4">
        <w:t xml:space="preserve">, in relation to </w:t>
      </w:r>
      <w:r w:rsidR="00A6722E">
        <w:t>a registered scheme</w:t>
      </w:r>
      <w:r w:rsidR="00A013A4">
        <w:t>, a person</w:t>
      </w:r>
      <w:r w:rsidR="00D32C12">
        <w:t xml:space="preserve"> who</w:t>
      </w:r>
      <w:r w:rsidR="00A013A4">
        <w:t>:</w:t>
      </w:r>
    </w:p>
    <w:p w:rsidR="00A013A4" w:rsidRDefault="00A013A4" w:rsidP="00E74824">
      <w:pPr>
        <w:ind w:left="1418"/>
      </w:pPr>
    </w:p>
    <w:p w:rsidR="007B056B" w:rsidRDefault="00A013A4" w:rsidP="00ED1956">
      <w:pPr>
        <w:ind w:left="1701" w:hanging="567"/>
      </w:pPr>
      <w:r>
        <w:t>(a)</w:t>
      </w:r>
      <w:r>
        <w:tab/>
      </w:r>
      <w:proofErr w:type="gramStart"/>
      <w:r>
        <w:t>has</w:t>
      </w:r>
      <w:proofErr w:type="gramEnd"/>
      <w:r>
        <w:t xml:space="preserve"> an agreement with the responsible entity of </w:t>
      </w:r>
      <w:r w:rsidR="006E7494">
        <w:t xml:space="preserve">the </w:t>
      </w:r>
      <w:r w:rsidR="00A6722E">
        <w:t>scheme</w:t>
      </w:r>
      <w:r>
        <w:t xml:space="preserve"> in relation to making applications to acquire and withdraw interests in</w:t>
      </w:r>
      <w:r w:rsidR="00A6722E">
        <w:t xml:space="preserve"> the scheme</w:t>
      </w:r>
      <w:r>
        <w:t>; and</w:t>
      </w:r>
    </w:p>
    <w:p w:rsidR="007B056B" w:rsidRDefault="007B056B" w:rsidP="009C0A63">
      <w:pPr>
        <w:ind w:left="2268" w:hanging="567"/>
      </w:pPr>
    </w:p>
    <w:p w:rsidR="007B056B" w:rsidRDefault="00A013A4" w:rsidP="00ED1956">
      <w:pPr>
        <w:ind w:left="1701" w:hanging="567"/>
      </w:pPr>
      <w:r>
        <w:t>(b)</w:t>
      </w:r>
      <w:r>
        <w:tab/>
      </w:r>
      <w:r w:rsidR="00D32C12">
        <w:t xml:space="preserve">has notified the responsible entity in writing that </w:t>
      </w:r>
      <w:r w:rsidR="00847A59">
        <w:t xml:space="preserve">the person expects </w:t>
      </w:r>
      <w:r w:rsidR="00BF4FF8">
        <w:t xml:space="preserve">they will be </w:t>
      </w:r>
      <w:r w:rsidR="00D32C12">
        <w:t>an Australian resident for tax purposes</w:t>
      </w:r>
      <w:r w:rsidR="00BF4FF8">
        <w:t xml:space="preserve"> </w:t>
      </w:r>
      <w:r w:rsidR="00A24C7B">
        <w:t>for</w:t>
      </w:r>
      <w:r w:rsidR="00BF4FF8">
        <w:t xml:space="preserve"> the financial year</w:t>
      </w:r>
      <w:r w:rsidR="00A24C7B">
        <w:t xml:space="preserve"> of the scheme</w:t>
      </w:r>
      <w:r w:rsidR="00BF4FF8">
        <w:t xml:space="preserve"> in which the notification is made and </w:t>
      </w:r>
      <w:r w:rsidR="00A24C7B">
        <w:t xml:space="preserve">for </w:t>
      </w:r>
      <w:r w:rsidR="00847A59">
        <w:t>each</w:t>
      </w:r>
      <w:r w:rsidR="00BF4FF8">
        <w:t xml:space="preserve"> subsequent financial year</w:t>
      </w:r>
      <w:r w:rsidR="00D32C12">
        <w:t>, and has not subsequently notif</w:t>
      </w:r>
      <w:r w:rsidR="00A6722E">
        <w:t>i</w:t>
      </w:r>
      <w:r w:rsidR="00D32C12">
        <w:t xml:space="preserve">ed the responsible entity </w:t>
      </w:r>
      <w:r w:rsidR="00A24C7B">
        <w:t xml:space="preserve">to </w:t>
      </w:r>
      <w:r w:rsidR="00D32C12">
        <w:t>the contrary; and</w:t>
      </w:r>
    </w:p>
    <w:p w:rsidR="00663270" w:rsidRDefault="00663270" w:rsidP="009C0A63">
      <w:pPr>
        <w:ind w:left="2268" w:hanging="567"/>
      </w:pPr>
    </w:p>
    <w:p w:rsidR="007B056B" w:rsidRDefault="00663270" w:rsidP="00ED1956">
      <w:pPr>
        <w:ind w:left="1701" w:hanging="567"/>
      </w:pPr>
      <w:r>
        <w:t>(</w:t>
      </w:r>
      <w:proofErr w:type="gramStart"/>
      <w:r w:rsidR="00A24C7B">
        <w:t>c</w:t>
      </w:r>
      <w:proofErr w:type="gramEnd"/>
      <w:r>
        <w:t>)</w:t>
      </w:r>
      <w:r>
        <w:tab/>
      </w:r>
      <w:r w:rsidR="00D32C12">
        <w:t>is either a Trading Participant or has engaged a Trading Participant to act on its behalf</w:t>
      </w:r>
      <w:r w:rsidR="00BF4FF8">
        <w:t xml:space="preserve"> to acquire and dispose of interests in the scheme</w:t>
      </w:r>
      <w:r w:rsidR="00D32C12">
        <w:t>.</w:t>
      </w:r>
      <w:r w:rsidR="00D32C12" w:rsidDel="00D32C12">
        <w:t xml:space="preserve">  </w:t>
      </w:r>
      <w:r w:rsidR="00402DEF">
        <w:t xml:space="preserve"> </w:t>
      </w:r>
    </w:p>
    <w:p w:rsidR="008021D8" w:rsidRDefault="008021D8" w:rsidP="009C0A63">
      <w:pPr>
        <w:ind w:left="2268" w:hanging="567"/>
        <w:rPr>
          <w:b/>
          <w:bCs/>
          <w:i/>
          <w:highlight w:val="yellow"/>
        </w:rPr>
      </w:pPr>
    </w:p>
    <w:p w:rsidR="005973FC" w:rsidRPr="00F437EE" w:rsidRDefault="003764DC" w:rsidP="00F437EE">
      <w:pPr>
        <w:ind w:left="1134"/>
      </w:pPr>
      <w:proofErr w:type="gramStart"/>
      <w:r>
        <w:rPr>
          <w:b/>
          <w:bCs/>
          <w:i/>
        </w:rPr>
        <w:t>current</w:t>
      </w:r>
      <w:proofErr w:type="gramEnd"/>
      <w:r>
        <w:rPr>
          <w:b/>
          <w:bCs/>
          <w:i/>
        </w:rPr>
        <w:t xml:space="preserve"> PDS</w:t>
      </w:r>
      <w:r w:rsidRPr="003764DC">
        <w:rPr>
          <w:bCs/>
        </w:rPr>
        <w:t>, in relation</w:t>
      </w:r>
      <w:r>
        <w:rPr>
          <w:bCs/>
        </w:rPr>
        <w:t xml:space="preserve"> to a registered scheme,</w:t>
      </w:r>
      <w:r w:rsidRPr="003764DC">
        <w:rPr>
          <w:bCs/>
        </w:rPr>
        <w:t xml:space="preserve"> </w:t>
      </w:r>
      <w:r>
        <w:rPr>
          <w:bCs/>
        </w:rPr>
        <w:t xml:space="preserve">means the most recently lodged Product Disclosure Statement relating to interests in the scheme.  </w:t>
      </w:r>
    </w:p>
    <w:p w:rsidR="00D32C12" w:rsidRPr="005973FC" w:rsidRDefault="00D32C12" w:rsidP="00E74824">
      <w:pPr>
        <w:ind w:left="1418"/>
        <w:rPr>
          <w:bCs/>
        </w:rPr>
      </w:pPr>
    </w:p>
    <w:p w:rsidR="0096289F" w:rsidRPr="00F437EE" w:rsidRDefault="005973FC" w:rsidP="00F437EE">
      <w:pPr>
        <w:ind w:left="1134"/>
      </w:pPr>
      <w:r w:rsidRPr="005973FC">
        <w:rPr>
          <w:b/>
          <w:i/>
        </w:rPr>
        <w:t>ETF Security</w:t>
      </w:r>
      <w:r w:rsidR="00D85927">
        <w:rPr>
          <w:b/>
          <w:i/>
        </w:rPr>
        <w:t>, Trading Day</w:t>
      </w:r>
      <w:r w:rsidR="003A543A">
        <w:rPr>
          <w:b/>
          <w:i/>
        </w:rPr>
        <w:t>, Trading Participant</w:t>
      </w:r>
      <w:r w:rsidRPr="005973FC">
        <w:t xml:space="preserve"> and </w:t>
      </w:r>
      <w:r w:rsidRPr="005973FC">
        <w:rPr>
          <w:b/>
          <w:i/>
        </w:rPr>
        <w:t>Trading Status</w:t>
      </w:r>
      <w:r w:rsidRPr="005973FC">
        <w:rPr>
          <w:i/>
        </w:rPr>
        <w:t xml:space="preserve"> </w:t>
      </w:r>
      <w:r w:rsidRPr="005973FC">
        <w:t xml:space="preserve">have the meanings given </w:t>
      </w:r>
      <w:r w:rsidR="000C7134">
        <w:t>by</w:t>
      </w:r>
      <w:r w:rsidRPr="005973FC">
        <w:t xml:space="preserve"> the operating rules of ASX Limited </w:t>
      </w:r>
      <w:r w:rsidR="00676694" w:rsidRPr="00676694">
        <w:rPr>
          <w:bCs/>
        </w:rPr>
        <w:t>(ACN 008 624 691)</w:t>
      </w:r>
      <w:r w:rsidR="00676694">
        <w:rPr>
          <w:bCs/>
        </w:rPr>
        <w:t xml:space="preserve"> </w:t>
      </w:r>
      <w:r w:rsidRPr="005973FC">
        <w:t xml:space="preserve">on </w:t>
      </w:r>
      <w:r w:rsidR="003D6AA5">
        <w:t>9 October</w:t>
      </w:r>
      <w:r w:rsidR="007574DA">
        <w:t xml:space="preserve"> 2013</w:t>
      </w:r>
      <w:r w:rsidRPr="005973FC">
        <w:t>.</w:t>
      </w:r>
      <w:proofErr w:type="gramStart"/>
      <w:r w:rsidR="00883980">
        <w:t>”.</w:t>
      </w:r>
      <w:proofErr w:type="gramEnd"/>
    </w:p>
    <w:p w:rsidR="001A296F" w:rsidRDefault="001A296F" w:rsidP="001A296F">
      <w:pPr>
        <w:jc w:val="both"/>
        <w:rPr>
          <w:b/>
          <w:bCs/>
          <w:lang w:val="en-US"/>
        </w:rPr>
      </w:pPr>
    </w:p>
    <w:p w:rsidR="001A296F" w:rsidRPr="00CF7A2E" w:rsidRDefault="00525B67" w:rsidP="001A296F">
      <w:pPr>
        <w:jc w:val="both"/>
        <w:rPr>
          <w:b/>
          <w:bCs/>
          <w:lang w:val="en-US"/>
        </w:rPr>
      </w:pPr>
      <w:r w:rsidRPr="00CF7A2E">
        <w:rPr>
          <w:b/>
          <w:bCs/>
          <w:lang w:val="en-US"/>
        </w:rPr>
        <w:t>Declaration</w:t>
      </w:r>
      <w:r w:rsidR="003D6AA5">
        <w:rPr>
          <w:b/>
          <w:bCs/>
          <w:lang w:val="en-US"/>
        </w:rPr>
        <w:t>—</w:t>
      </w:r>
      <w:r w:rsidRPr="00CF7A2E">
        <w:rPr>
          <w:b/>
          <w:bCs/>
          <w:lang w:val="en-US"/>
        </w:rPr>
        <w:t>Substantial Interest</w:t>
      </w:r>
      <w:r w:rsidR="00F95FD9">
        <w:rPr>
          <w:b/>
          <w:bCs/>
          <w:lang w:val="en-US"/>
        </w:rPr>
        <w:t xml:space="preserve"> and Beneficial Tracing</w:t>
      </w:r>
    </w:p>
    <w:p w:rsidR="001A296F" w:rsidRDefault="001A296F" w:rsidP="001A296F">
      <w:pPr>
        <w:jc w:val="both"/>
      </w:pPr>
    </w:p>
    <w:p w:rsidR="00F95FD9" w:rsidRDefault="00065AEA" w:rsidP="0057696A">
      <w:pPr>
        <w:pStyle w:val="Subtitle"/>
        <w:ind w:left="567" w:hanging="567"/>
        <w:jc w:val="both"/>
        <w:rPr>
          <w:b w:val="0"/>
        </w:rPr>
      </w:pPr>
      <w:r>
        <w:rPr>
          <w:b w:val="0"/>
        </w:rPr>
        <w:t>1</w:t>
      </w:r>
      <w:r w:rsidR="008B0985">
        <w:rPr>
          <w:b w:val="0"/>
        </w:rPr>
        <w:t>2</w:t>
      </w:r>
      <w:r w:rsidR="001A296F">
        <w:rPr>
          <w:b w:val="0"/>
        </w:rPr>
        <w:t>.</w:t>
      </w:r>
      <w:r w:rsidR="001A296F">
        <w:rPr>
          <w:b w:val="0"/>
        </w:rPr>
        <w:tab/>
      </w:r>
      <w:r w:rsidR="005E2048">
        <w:rPr>
          <w:b w:val="0"/>
        </w:rPr>
        <w:t>Chapter</w:t>
      </w:r>
      <w:r w:rsidR="00AE2643">
        <w:rPr>
          <w:b w:val="0"/>
        </w:rPr>
        <w:t xml:space="preserve"> 6C</w:t>
      </w:r>
      <w:r w:rsidR="00D32C12">
        <w:rPr>
          <w:b w:val="0"/>
        </w:rPr>
        <w:t xml:space="preserve"> </w:t>
      </w:r>
      <w:r w:rsidR="00B7352B" w:rsidRPr="00B7352B">
        <w:rPr>
          <w:b w:val="0"/>
        </w:rPr>
        <w:t>of the Act applies to all persons</w:t>
      </w:r>
      <w:r w:rsidR="00B678F5" w:rsidRPr="00B678F5">
        <w:rPr>
          <w:bCs w:val="0"/>
        </w:rPr>
        <w:t xml:space="preserve"> </w:t>
      </w:r>
      <w:r w:rsidR="00B678F5" w:rsidRPr="00B678F5">
        <w:rPr>
          <w:b w:val="0"/>
        </w:rPr>
        <w:t>as if provisions of that Chapter were modified or varied</w:t>
      </w:r>
      <w:r w:rsidR="00F95FD9">
        <w:rPr>
          <w:b w:val="0"/>
        </w:rPr>
        <w:t>:</w:t>
      </w:r>
    </w:p>
    <w:p w:rsidR="00F95FD9" w:rsidRDefault="00F95FD9" w:rsidP="00B7352B">
      <w:pPr>
        <w:pStyle w:val="Subtitle"/>
        <w:ind w:left="709" w:hanging="709"/>
        <w:jc w:val="both"/>
        <w:rPr>
          <w:b w:val="0"/>
        </w:rPr>
      </w:pPr>
    </w:p>
    <w:p w:rsidR="003F5DAA" w:rsidRDefault="00F95FD9" w:rsidP="00ED1956">
      <w:pPr>
        <w:pStyle w:val="Subtitle"/>
        <w:ind w:left="1134" w:hanging="567"/>
        <w:jc w:val="both"/>
        <w:rPr>
          <w:b w:val="0"/>
        </w:rPr>
      </w:pPr>
      <w:r>
        <w:rPr>
          <w:b w:val="0"/>
        </w:rPr>
        <w:t>(a)</w:t>
      </w:r>
      <w:r>
        <w:rPr>
          <w:b w:val="0"/>
        </w:rPr>
        <w:tab/>
      </w:r>
      <w:proofErr w:type="gramStart"/>
      <w:r>
        <w:rPr>
          <w:b w:val="0"/>
        </w:rPr>
        <w:t>by</w:t>
      </w:r>
      <w:proofErr w:type="gramEnd"/>
      <w:r>
        <w:rPr>
          <w:b w:val="0"/>
        </w:rPr>
        <w:t xml:space="preserve"> inserting after section 671A:</w:t>
      </w:r>
    </w:p>
    <w:p w:rsidR="003F5DAA" w:rsidRDefault="003F5DAA" w:rsidP="003F5DAA">
      <w:pPr>
        <w:pStyle w:val="Subtitle"/>
        <w:ind w:left="1418" w:hanging="709"/>
        <w:jc w:val="both"/>
        <w:rPr>
          <w:b w:val="0"/>
        </w:rPr>
      </w:pPr>
    </w:p>
    <w:p w:rsidR="003F5DAA" w:rsidRDefault="00F95FD9" w:rsidP="0088131D">
      <w:pPr>
        <w:pStyle w:val="Subtitle"/>
        <w:ind w:left="1276" w:hanging="142"/>
        <w:jc w:val="left"/>
      </w:pPr>
      <w:r w:rsidRPr="00335A5C">
        <w:rPr>
          <w:b w:val="0"/>
        </w:rPr>
        <w:t>“</w:t>
      </w:r>
      <w:r w:rsidRPr="00F95FD9">
        <w:t>671A</w:t>
      </w:r>
      <w:r>
        <w:t>A</w:t>
      </w:r>
      <w:r>
        <w:tab/>
        <w:t>ETF securities</w:t>
      </w:r>
    </w:p>
    <w:p w:rsidR="003F5DAA" w:rsidRDefault="003F5DAA" w:rsidP="003F5DAA">
      <w:pPr>
        <w:pStyle w:val="Subtitle"/>
        <w:ind w:left="1418"/>
        <w:jc w:val="both"/>
        <w:rPr>
          <w:b w:val="0"/>
        </w:rPr>
      </w:pPr>
    </w:p>
    <w:p w:rsidR="003F5DAA" w:rsidRDefault="003F5DAA" w:rsidP="0088131D">
      <w:pPr>
        <w:pStyle w:val="Subtitle"/>
        <w:ind w:left="1134"/>
        <w:jc w:val="both"/>
        <w:rPr>
          <w:b w:val="0"/>
        </w:rPr>
      </w:pPr>
      <w:r w:rsidRPr="003F5DAA">
        <w:rPr>
          <w:b w:val="0"/>
        </w:rPr>
        <w:lastRenderedPageBreak/>
        <w:t xml:space="preserve">For the purposes of this Chapter and the definition of </w:t>
      </w:r>
      <w:r w:rsidR="00F95FD9" w:rsidRPr="00F95FD9">
        <w:rPr>
          <w:i/>
        </w:rPr>
        <w:t>substantial holding</w:t>
      </w:r>
      <w:r w:rsidRPr="003F5DAA">
        <w:rPr>
          <w:b w:val="0"/>
        </w:rPr>
        <w:t xml:space="preserve"> in section 9, subsection 609(19A) applies as if paragraph 609(19A</w:t>
      </w:r>
      <w:proofErr w:type="gramStart"/>
      <w:r w:rsidRPr="003F5DAA">
        <w:rPr>
          <w:b w:val="0"/>
        </w:rPr>
        <w:t>)(</w:t>
      </w:r>
      <w:proofErr w:type="gramEnd"/>
      <w:r w:rsidRPr="003F5DAA">
        <w:rPr>
          <w:b w:val="0"/>
        </w:rPr>
        <w:t>c) were omitted.</w:t>
      </w:r>
      <w:r w:rsidR="00F95FD9">
        <w:rPr>
          <w:b w:val="0"/>
        </w:rPr>
        <w:t>”; and</w:t>
      </w:r>
    </w:p>
    <w:p w:rsidR="00F95FD9" w:rsidRDefault="00F95FD9" w:rsidP="00B7352B">
      <w:pPr>
        <w:pStyle w:val="Subtitle"/>
        <w:ind w:left="709" w:hanging="709"/>
        <w:jc w:val="both"/>
        <w:rPr>
          <w:b w:val="0"/>
        </w:rPr>
      </w:pPr>
    </w:p>
    <w:p w:rsidR="003F5DAA" w:rsidRDefault="00F95FD9" w:rsidP="0057696A">
      <w:pPr>
        <w:pStyle w:val="Subtitle"/>
        <w:ind w:left="1134" w:hanging="567"/>
        <w:jc w:val="both"/>
      </w:pPr>
      <w:r>
        <w:rPr>
          <w:b w:val="0"/>
        </w:rPr>
        <w:t>(b)</w:t>
      </w:r>
      <w:r>
        <w:rPr>
          <w:b w:val="0"/>
        </w:rPr>
        <w:tab/>
      </w:r>
      <w:proofErr w:type="gramStart"/>
      <w:r w:rsidR="00B7352B" w:rsidRPr="00B7352B">
        <w:rPr>
          <w:b w:val="0"/>
        </w:rPr>
        <w:t>by</w:t>
      </w:r>
      <w:proofErr w:type="gramEnd"/>
      <w:r w:rsidR="00B7352B" w:rsidRPr="00B7352B">
        <w:rPr>
          <w:b w:val="0"/>
        </w:rPr>
        <w:t xml:space="preserve"> inserting after subsection 671B(7):</w:t>
      </w:r>
      <w:r w:rsidR="00AE2643">
        <w:rPr>
          <w:b w:val="0"/>
        </w:rPr>
        <w:t xml:space="preserve"> </w:t>
      </w:r>
    </w:p>
    <w:p w:rsidR="00B7352B" w:rsidRPr="00B7352B" w:rsidRDefault="00B7352B" w:rsidP="00B7352B">
      <w:pPr>
        <w:pStyle w:val="Subtitle"/>
        <w:ind w:left="709" w:hanging="709"/>
      </w:pPr>
    </w:p>
    <w:p w:rsidR="003F5DAA" w:rsidRDefault="0008623E" w:rsidP="009C0A63">
      <w:pPr>
        <w:pStyle w:val="Subtitle"/>
        <w:ind w:left="1134"/>
        <w:jc w:val="left"/>
      </w:pPr>
      <w:r w:rsidRPr="0008623E">
        <w:rPr>
          <w:b w:val="0"/>
        </w:rPr>
        <w:t>“</w:t>
      </w:r>
      <w:r w:rsidRPr="0008623E">
        <w:rPr>
          <w:b w:val="0"/>
          <w:i/>
        </w:rPr>
        <w:t>ETF securities</w:t>
      </w:r>
      <w:r w:rsidR="00B7352B" w:rsidRPr="00B7352B">
        <w:rPr>
          <w:i/>
        </w:rPr>
        <w:t xml:space="preserve"> </w:t>
      </w:r>
    </w:p>
    <w:p w:rsidR="003F5DAA" w:rsidRDefault="003F5DAA" w:rsidP="003F5DAA">
      <w:pPr>
        <w:pStyle w:val="Subtitle"/>
        <w:jc w:val="both"/>
        <w:rPr>
          <w:b w:val="0"/>
        </w:rPr>
      </w:pPr>
    </w:p>
    <w:p w:rsidR="003F5DAA" w:rsidRDefault="00B7352B" w:rsidP="00F437EE">
      <w:pPr>
        <w:pStyle w:val="Subtitle"/>
        <w:ind w:left="1701" w:hanging="567"/>
        <w:jc w:val="left"/>
        <w:rPr>
          <w:b w:val="0"/>
        </w:rPr>
      </w:pPr>
      <w:r w:rsidRPr="00B7352B">
        <w:rPr>
          <w:b w:val="0"/>
        </w:rPr>
        <w:t>(7</w:t>
      </w:r>
      <w:r w:rsidR="00037792">
        <w:rPr>
          <w:b w:val="0"/>
        </w:rPr>
        <w:t>A</w:t>
      </w:r>
      <w:r w:rsidRPr="00B7352B">
        <w:rPr>
          <w:b w:val="0"/>
        </w:rPr>
        <w:t>)</w:t>
      </w:r>
      <w:r w:rsidRPr="00B7352B">
        <w:rPr>
          <w:b w:val="0"/>
        </w:rPr>
        <w:tab/>
      </w:r>
      <w:r w:rsidR="001C58EC">
        <w:rPr>
          <w:b w:val="0"/>
        </w:rPr>
        <w:t>If</w:t>
      </w:r>
      <w:r w:rsidR="0095247D">
        <w:rPr>
          <w:b w:val="0"/>
        </w:rPr>
        <w:t xml:space="preserve"> </w:t>
      </w:r>
      <w:r w:rsidR="001E3AB0">
        <w:rPr>
          <w:b w:val="0"/>
        </w:rPr>
        <w:t>a</w:t>
      </w:r>
      <w:r w:rsidR="001E3AB0" w:rsidRPr="00B7352B">
        <w:rPr>
          <w:b w:val="0"/>
        </w:rPr>
        <w:t xml:space="preserve"> </w:t>
      </w:r>
      <w:r w:rsidR="001854BE">
        <w:rPr>
          <w:b w:val="0"/>
        </w:rPr>
        <w:t>member of a registered scheme</w:t>
      </w:r>
      <w:r w:rsidR="001854BE" w:rsidRPr="00B7352B">
        <w:rPr>
          <w:b w:val="0"/>
        </w:rPr>
        <w:t xml:space="preserve"> </w:t>
      </w:r>
      <w:r w:rsidR="0084537D">
        <w:rPr>
          <w:b w:val="0"/>
        </w:rPr>
        <w:t>that has</w:t>
      </w:r>
      <w:r w:rsidR="00665975">
        <w:rPr>
          <w:b w:val="0"/>
        </w:rPr>
        <w:t xml:space="preserve"> an acquisition and withdrawal </w:t>
      </w:r>
      <w:r w:rsidR="0095247D">
        <w:rPr>
          <w:b w:val="0"/>
        </w:rPr>
        <w:t xml:space="preserve">facility </w:t>
      </w:r>
      <w:r w:rsidRPr="00B7352B">
        <w:rPr>
          <w:b w:val="0"/>
        </w:rPr>
        <w:t>does not have a relevant interest</w:t>
      </w:r>
      <w:r w:rsidR="0095247D">
        <w:rPr>
          <w:b w:val="0"/>
        </w:rPr>
        <w:t xml:space="preserve"> </w:t>
      </w:r>
      <w:r w:rsidRPr="00B7352B">
        <w:rPr>
          <w:b w:val="0"/>
        </w:rPr>
        <w:t>in securities that form part of scheme property</w:t>
      </w:r>
      <w:r w:rsidR="0095247D">
        <w:rPr>
          <w:b w:val="0"/>
        </w:rPr>
        <w:t xml:space="preserve"> </w:t>
      </w:r>
      <w:r w:rsidRPr="00B7352B">
        <w:rPr>
          <w:b w:val="0"/>
        </w:rPr>
        <w:t>because of subsection 609(1</w:t>
      </w:r>
      <w:r w:rsidRPr="00037792">
        <w:rPr>
          <w:b w:val="0"/>
        </w:rPr>
        <w:t>9A</w:t>
      </w:r>
      <w:r w:rsidRPr="00B7352B">
        <w:rPr>
          <w:b w:val="0"/>
        </w:rPr>
        <w:t>)</w:t>
      </w:r>
      <w:r w:rsidR="000F7CE1">
        <w:rPr>
          <w:b w:val="0"/>
        </w:rPr>
        <w:t xml:space="preserve"> (</w:t>
      </w:r>
      <w:r w:rsidR="00F95FD9">
        <w:rPr>
          <w:b w:val="0"/>
        </w:rPr>
        <w:t xml:space="preserve">as affected by </w:t>
      </w:r>
      <w:r w:rsidR="006225EE">
        <w:rPr>
          <w:b w:val="0"/>
        </w:rPr>
        <w:t>section 67</w:t>
      </w:r>
      <w:r w:rsidR="003F5DAA" w:rsidRPr="003F5DAA">
        <w:rPr>
          <w:b w:val="0"/>
        </w:rPr>
        <w:t>1AA</w:t>
      </w:r>
      <w:r w:rsidR="006225EE">
        <w:rPr>
          <w:b w:val="0"/>
        </w:rPr>
        <w:t>),</w:t>
      </w:r>
      <w:r w:rsidR="0084537D">
        <w:rPr>
          <w:b w:val="0"/>
        </w:rPr>
        <w:t xml:space="preserve"> </w:t>
      </w:r>
      <w:r w:rsidR="001E3AB0">
        <w:rPr>
          <w:b w:val="0"/>
        </w:rPr>
        <w:t xml:space="preserve">then for the purposes of this section and the </w:t>
      </w:r>
      <w:r w:rsidR="001E3AB0" w:rsidRPr="001E3AB0">
        <w:rPr>
          <w:b w:val="0"/>
        </w:rPr>
        <w:t xml:space="preserve">definition of </w:t>
      </w:r>
      <w:r w:rsidR="0008623E" w:rsidRPr="0008623E">
        <w:rPr>
          <w:i/>
        </w:rPr>
        <w:t>substantial holding</w:t>
      </w:r>
      <w:r w:rsidR="001E3AB0">
        <w:rPr>
          <w:b w:val="0"/>
        </w:rPr>
        <w:t xml:space="preserve"> in section 9</w:t>
      </w:r>
      <w:r w:rsidR="00665975">
        <w:rPr>
          <w:b w:val="0"/>
        </w:rPr>
        <w:t>,</w:t>
      </w:r>
      <w:r w:rsidR="00383228">
        <w:rPr>
          <w:b w:val="0"/>
        </w:rPr>
        <w:t xml:space="preserve"> the member </w:t>
      </w:r>
      <w:r w:rsidRPr="001E3AB0">
        <w:rPr>
          <w:b w:val="0"/>
        </w:rPr>
        <w:t xml:space="preserve">is taken to have a relevant interest </w:t>
      </w:r>
      <w:r w:rsidR="007574DA" w:rsidRPr="001E3AB0">
        <w:rPr>
          <w:b w:val="0"/>
        </w:rPr>
        <w:t xml:space="preserve">in </w:t>
      </w:r>
      <w:r w:rsidR="006D5736" w:rsidRPr="001E3AB0">
        <w:rPr>
          <w:b w:val="0"/>
        </w:rPr>
        <w:t xml:space="preserve">the securities that would </w:t>
      </w:r>
      <w:r w:rsidR="00084FCE" w:rsidRPr="001E3AB0">
        <w:rPr>
          <w:b w:val="0"/>
        </w:rPr>
        <w:t>be</w:t>
      </w:r>
      <w:r w:rsidR="006D5736" w:rsidRPr="001E3AB0">
        <w:rPr>
          <w:b w:val="0"/>
        </w:rPr>
        <w:t xml:space="preserve"> transferred </w:t>
      </w:r>
      <w:r w:rsidR="00AE0FD4" w:rsidRPr="001E3AB0">
        <w:rPr>
          <w:b w:val="0"/>
        </w:rPr>
        <w:t>to the member if</w:t>
      </w:r>
      <w:r w:rsidR="00084FCE" w:rsidRPr="001E3AB0">
        <w:rPr>
          <w:b w:val="0"/>
        </w:rPr>
        <w:t>:</w:t>
      </w:r>
      <w:r w:rsidR="00AE0FD4" w:rsidRPr="001E3AB0">
        <w:rPr>
          <w:b w:val="0"/>
        </w:rPr>
        <w:t xml:space="preserve"> </w:t>
      </w:r>
    </w:p>
    <w:p w:rsidR="003F5DAA" w:rsidRDefault="003F5DAA" w:rsidP="00F437EE">
      <w:pPr>
        <w:pStyle w:val="Subtitle"/>
        <w:ind w:left="2269"/>
        <w:jc w:val="both"/>
        <w:rPr>
          <w:b w:val="0"/>
        </w:rPr>
      </w:pPr>
    </w:p>
    <w:p w:rsidR="003F5DAA" w:rsidRDefault="00084FCE" w:rsidP="00F437EE">
      <w:pPr>
        <w:pStyle w:val="Subtitle"/>
        <w:ind w:left="2269" w:hanging="568"/>
        <w:jc w:val="left"/>
        <w:rPr>
          <w:b w:val="0"/>
        </w:rPr>
      </w:pPr>
      <w:r>
        <w:rPr>
          <w:b w:val="0"/>
        </w:rPr>
        <w:t>(a)</w:t>
      </w:r>
      <w:r>
        <w:rPr>
          <w:b w:val="0"/>
        </w:rPr>
        <w:tab/>
      </w:r>
      <w:r w:rsidR="00AE0FD4">
        <w:rPr>
          <w:b w:val="0"/>
        </w:rPr>
        <w:t xml:space="preserve">the member </w:t>
      </w:r>
      <w:r w:rsidR="00F04C73">
        <w:rPr>
          <w:b w:val="0"/>
        </w:rPr>
        <w:t xml:space="preserve">made a withdrawal request </w:t>
      </w:r>
      <w:r w:rsidR="006D5736">
        <w:rPr>
          <w:b w:val="0"/>
        </w:rPr>
        <w:t xml:space="preserve">under the </w:t>
      </w:r>
      <w:r w:rsidR="00665975">
        <w:rPr>
          <w:b w:val="0"/>
        </w:rPr>
        <w:t>acquisition and withdrawal</w:t>
      </w:r>
      <w:r w:rsidR="006D5736">
        <w:rPr>
          <w:b w:val="0"/>
        </w:rPr>
        <w:t xml:space="preserve"> facility</w:t>
      </w:r>
      <w:r w:rsidR="00F04C73" w:rsidRPr="00F04C73">
        <w:rPr>
          <w:bCs w:val="0"/>
        </w:rPr>
        <w:t xml:space="preserve"> </w:t>
      </w:r>
      <w:r w:rsidR="00F04C73" w:rsidRPr="00F04C73">
        <w:rPr>
          <w:b w:val="0"/>
        </w:rPr>
        <w:t>for all their interest</w:t>
      </w:r>
      <w:r w:rsidR="00BD029B">
        <w:rPr>
          <w:b w:val="0"/>
        </w:rPr>
        <w:t>s</w:t>
      </w:r>
      <w:r w:rsidR="00F04C73" w:rsidRPr="00F04C73">
        <w:rPr>
          <w:b w:val="0"/>
        </w:rPr>
        <w:t xml:space="preserve"> in the scheme</w:t>
      </w:r>
      <w:r w:rsidR="00BD029B">
        <w:rPr>
          <w:b w:val="0"/>
        </w:rPr>
        <w:t xml:space="preserve">, </w:t>
      </w:r>
      <w:r w:rsidR="00FA6E59">
        <w:rPr>
          <w:b w:val="0"/>
        </w:rPr>
        <w:t>other than</w:t>
      </w:r>
      <w:r w:rsidR="00BD029B">
        <w:rPr>
          <w:b w:val="0"/>
        </w:rPr>
        <w:t xml:space="preserve"> any interests </w:t>
      </w:r>
      <w:r w:rsidR="001003AD">
        <w:rPr>
          <w:b w:val="0"/>
        </w:rPr>
        <w:t>in relation to which</w:t>
      </w:r>
      <w:r w:rsidR="004017A7">
        <w:rPr>
          <w:b w:val="0"/>
        </w:rPr>
        <w:t xml:space="preserve"> the member has a relevant interest in securities that form part of scheme property because of subsection 609(19B); and</w:t>
      </w:r>
      <w:r w:rsidR="00BD029B">
        <w:rPr>
          <w:b w:val="0"/>
        </w:rPr>
        <w:t xml:space="preserve"> </w:t>
      </w:r>
    </w:p>
    <w:p w:rsidR="003F5DAA" w:rsidRDefault="003F5DAA" w:rsidP="00F437EE">
      <w:pPr>
        <w:pStyle w:val="Subtitle"/>
        <w:ind w:left="2989"/>
        <w:jc w:val="both"/>
        <w:rPr>
          <w:b w:val="0"/>
        </w:rPr>
      </w:pPr>
    </w:p>
    <w:p w:rsidR="003F5DAA" w:rsidRDefault="00960563" w:rsidP="00F437EE">
      <w:pPr>
        <w:pStyle w:val="Subtitle"/>
        <w:ind w:left="2835" w:hanging="567"/>
        <w:jc w:val="left"/>
        <w:rPr>
          <w:b w:val="0"/>
          <w:sz w:val="20"/>
          <w:szCs w:val="20"/>
        </w:rPr>
      </w:pPr>
      <w:r w:rsidRPr="00960563">
        <w:rPr>
          <w:b w:val="0"/>
          <w:sz w:val="20"/>
          <w:szCs w:val="20"/>
        </w:rPr>
        <w:t>Note:</w:t>
      </w:r>
      <w:r w:rsidR="004017A7">
        <w:rPr>
          <w:b w:val="0"/>
          <w:sz w:val="20"/>
          <w:szCs w:val="20"/>
        </w:rPr>
        <w:tab/>
        <w:t xml:space="preserve">Subsection 609(19B) may give a member a relevant interest in securities that form part of scheme property if the member has made a withdrawal request in relation to some or all of their interests in the scheme. </w:t>
      </w:r>
    </w:p>
    <w:p w:rsidR="003F5DAA" w:rsidRDefault="003F5DAA" w:rsidP="00F437EE">
      <w:pPr>
        <w:pStyle w:val="Subtitle"/>
        <w:ind w:left="2989"/>
        <w:jc w:val="both"/>
        <w:rPr>
          <w:b w:val="0"/>
        </w:rPr>
      </w:pPr>
    </w:p>
    <w:p w:rsidR="003F5DAA" w:rsidRDefault="00A631EA" w:rsidP="00F437EE">
      <w:pPr>
        <w:pStyle w:val="Subtitle"/>
        <w:ind w:left="2269" w:hanging="568"/>
        <w:jc w:val="left"/>
        <w:rPr>
          <w:b w:val="0"/>
        </w:rPr>
      </w:pPr>
      <w:r>
        <w:rPr>
          <w:b w:val="0"/>
        </w:rPr>
        <w:t>(b)</w:t>
      </w:r>
      <w:r>
        <w:rPr>
          <w:b w:val="0"/>
        </w:rPr>
        <w:tab/>
      </w:r>
      <w:proofErr w:type="gramStart"/>
      <w:r w:rsidR="00084FCE">
        <w:rPr>
          <w:b w:val="0"/>
        </w:rPr>
        <w:t>the</w:t>
      </w:r>
      <w:proofErr w:type="gramEnd"/>
      <w:r w:rsidR="00AE0FD4">
        <w:rPr>
          <w:b w:val="0"/>
        </w:rPr>
        <w:t xml:space="preserve"> </w:t>
      </w:r>
      <w:r w:rsidR="00084FCE">
        <w:rPr>
          <w:b w:val="0"/>
        </w:rPr>
        <w:t>number</w:t>
      </w:r>
      <w:r w:rsidR="00976E65">
        <w:rPr>
          <w:b w:val="0"/>
        </w:rPr>
        <w:t>s and classes</w:t>
      </w:r>
      <w:r w:rsidR="00084FCE">
        <w:rPr>
          <w:b w:val="0"/>
        </w:rPr>
        <w:t xml:space="preserve"> of securities transferred to the member under the facility </w:t>
      </w:r>
      <w:r w:rsidR="00383228" w:rsidRPr="00383228">
        <w:rPr>
          <w:b w:val="0"/>
        </w:rPr>
        <w:t xml:space="preserve">for each interest in the scheme </w:t>
      </w:r>
      <w:r w:rsidR="00976E65">
        <w:rPr>
          <w:b w:val="0"/>
        </w:rPr>
        <w:t xml:space="preserve">were </w:t>
      </w:r>
      <w:r w:rsidR="00084FCE">
        <w:rPr>
          <w:b w:val="0"/>
        </w:rPr>
        <w:t>the same as the number</w:t>
      </w:r>
      <w:r w:rsidR="00976E65">
        <w:rPr>
          <w:b w:val="0"/>
        </w:rPr>
        <w:t>s and classes of securities</w:t>
      </w:r>
      <w:r w:rsidR="00084FCE">
        <w:rPr>
          <w:b w:val="0"/>
        </w:rPr>
        <w:t xml:space="preserve"> most recently disclosed </w:t>
      </w:r>
      <w:r w:rsidR="0099733E">
        <w:rPr>
          <w:b w:val="0"/>
        </w:rPr>
        <w:t xml:space="preserve">to the member </w:t>
      </w:r>
      <w:r w:rsidR="00084FCE">
        <w:rPr>
          <w:b w:val="0"/>
        </w:rPr>
        <w:t xml:space="preserve">by the responsible entity in relation to a withdrawal </w:t>
      </w:r>
      <w:r w:rsidR="00976E65">
        <w:rPr>
          <w:b w:val="0"/>
        </w:rPr>
        <w:t xml:space="preserve">request for an interest </w:t>
      </w:r>
      <w:r w:rsidR="00084FCE">
        <w:rPr>
          <w:b w:val="0"/>
        </w:rPr>
        <w:t>under the facility.</w:t>
      </w:r>
    </w:p>
    <w:p w:rsidR="00946E25" w:rsidRDefault="00946E25" w:rsidP="00F437EE">
      <w:pPr>
        <w:pStyle w:val="Subtitle"/>
        <w:ind w:left="142"/>
        <w:jc w:val="both"/>
        <w:rPr>
          <w:b w:val="0"/>
        </w:rPr>
      </w:pPr>
    </w:p>
    <w:p w:rsidR="003F5DAA" w:rsidRDefault="005B6409" w:rsidP="00F437EE">
      <w:pPr>
        <w:pStyle w:val="Subtitle"/>
        <w:ind w:left="1701" w:hanging="567"/>
        <w:jc w:val="both"/>
      </w:pPr>
      <w:r>
        <w:rPr>
          <w:b w:val="0"/>
        </w:rPr>
        <w:t>(</w:t>
      </w:r>
      <w:r w:rsidR="000B18C3">
        <w:rPr>
          <w:b w:val="0"/>
        </w:rPr>
        <w:t>7</w:t>
      </w:r>
      <w:r w:rsidR="00037792">
        <w:rPr>
          <w:b w:val="0"/>
        </w:rPr>
        <w:t>B</w:t>
      </w:r>
      <w:r>
        <w:rPr>
          <w:b w:val="0"/>
        </w:rPr>
        <w:t>)</w:t>
      </w:r>
      <w:r>
        <w:rPr>
          <w:b w:val="0"/>
        </w:rPr>
        <w:tab/>
      </w:r>
      <w:r w:rsidR="0008623E" w:rsidRPr="0008623E">
        <w:rPr>
          <w:b w:val="0"/>
        </w:rPr>
        <w:t>In subsection (7</w:t>
      </w:r>
      <w:r w:rsidR="00037792">
        <w:rPr>
          <w:b w:val="0"/>
        </w:rPr>
        <w:t>A</w:t>
      </w:r>
      <w:r w:rsidR="0008623E" w:rsidRPr="0008623E">
        <w:rPr>
          <w:b w:val="0"/>
        </w:rPr>
        <w:t>)</w:t>
      </w:r>
      <w:r w:rsidR="00513860">
        <w:rPr>
          <w:b w:val="0"/>
        </w:rPr>
        <w:t xml:space="preserve">, </w:t>
      </w:r>
      <w:r w:rsidR="006378D4" w:rsidRPr="006378D4">
        <w:rPr>
          <w:i/>
        </w:rPr>
        <w:t>acquisition and withdrawal facility</w:t>
      </w:r>
      <w:r w:rsidR="00E35F90" w:rsidRPr="00E35F90">
        <w:rPr>
          <w:b w:val="0"/>
          <w:i/>
        </w:rPr>
        <w:t xml:space="preserve"> </w:t>
      </w:r>
      <w:r w:rsidR="00926DC8" w:rsidRPr="00DF2DAA">
        <w:rPr>
          <w:b w:val="0"/>
        </w:rPr>
        <w:t xml:space="preserve">has the same </w:t>
      </w:r>
      <w:r w:rsidR="008179C6" w:rsidRPr="003B60E4">
        <w:rPr>
          <w:b w:val="0"/>
        </w:rPr>
        <w:t>meaning as in subsection 609(19E).</w:t>
      </w:r>
      <w:proofErr w:type="gramStart"/>
      <w:r w:rsidR="00A24C7B">
        <w:rPr>
          <w:b w:val="0"/>
        </w:rPr>
        <w:t>”</w:t>
      </w:r>
      <w:r w:rsidR="00F95FD9">
        <w:rPr>
          <w:b w:val="0"/>
        </w:rPr>
        <w:t>;</w:t>
      </w:r>
      <w:proofErr w:type="gramEnd"/>
      <w:r w:rsidR="00F95FD9">
        <w:rPr>
          <w:b w:val="0"/>
        </w:rPr>
        <w:t xml:space="preserve"> and</w:t>
      </w:r>
    </w:p>
    <w:p w:rsidR="00FF1800" w:rsidRDefault="00FF1800">
      <w:pPr>
        <w:pStyle w:val="ListParagraph"/>
        <w:ind w:left="1418" w:hanging="709"/>
      </w:pPr>
    </w:p>
    <w:p w:rsidR="003F5DAA" w:rsidRDefault="003F5DAA" w:rsidP="0057696A">
      <w:pPr>
        <w:pStyle w:val="ListParagraph"/>
        <w:ind w:left="1134" w:hanging="567"/>
        <w:rPr>
          <w:bCs/>
        </w:rPr>
      </w:pPr>
      <w:r w:rsidRPr="003F5DAA">
        <w:rPr>
          <w:bCs/>
          <w:lang w:val="en-US"/>
        </w:rPr>
        <w:t>(c)</w:t>
      </w:r>
      <w:r w:rsidRPr="003F5DAA">
        <w:rPr>
          <w:bCs/>
          <w:lang w:val="en-US"/>
        </w:rPr>
        <w:tab/>
      </w:r>
      <w:proofErr w:type="gramStart"/>
      <w:r w:rsidR="006225EE">
        <w:rPr>
          <w:bCs/>
        </w:rPr>
        <w:t>by</w:t>
      </w:r>
      <w:proofErr w:type="gramEnd"/>
      <w:r w:rsidR="006225EE">
        <w:rPr>
          <w:bCs/>
        </w:rPr>
        <w:t xml:space="preserve"> inserting after subsection 672B(1): </w:t>
      </w:r>
    </w:p>
    <w:p w:rsidR="00E35F90" w:rsidRDefault="00FF1800" w:rsidP="00E35F90">
      <w:pPr>
        <w:pStyle w:val="ListParagraph"/>
        <w:ind w:left="709" w:hanging="709"/>
        <w:rPr>
          <w:bCs/>
        </w:rPr>
      </w:pPr>
      <w:r>
        <w:rPr>
          <w:bCs/>
        </w:rPr>
        <w:tab/>
      </w:r>
    </w:p>
    <w:p w:rsidR="003F5DAA" w:rsidRDefault="00FF1800" w:rsidP="0088131D">
      <w:pPr>
        <w:pStyle w:val="ListParagraph"/>
        <w:ind w:left="1134"/>
        <w:rPr>
          <w:bCs/>
        </w:rPr>
      </w:pPr>
      <w:r>
        <w:rPr>
          <w:bCs/>
        </w:rPr>
        <w:t>“(1AA)</w:t>
      </w:r>
      <w:r w:rsidR="00926DC8">
        <w:rPr>
          <w:bCs/>
        </w:rPr>
        <w:t xml:space="preserve"> </w:t>
      </w:r>
      <w:r w:rsidR="00E35F90" w:rsidRPr="00E35F90">
        <w:rPr>
          <w:bCs/>
        </w:rPr>
        <w:t>If a member of a registered scheme does not have a relevant interest in securities that form part of scheme property because of subsection 609(19A)</w:t>
      </w:r>
      <w:r w:rsidR="00037792">
        <w:rPr>
          <w:bCs/>
        </w:rPr>
        <w:t xml:space="preserve"> (as affected by section</w:t>
      </w:r>
      <w:r w:rsidR="00F95FD9">
        <w:rPr>
          <w:bCs/>
        </w:rPr>
        <w:t xml:space="preserve"> 671AA)</w:t>
      </w:r>
      <w:r w:rsidR="006225EE">
        <w:rPr>
          <w:bCs/>
        </w:rPr>
        <w:t>,</w:t>
      </w:r>
      <w:r w:rsidR="00E35F90" w:rsidRPr="00E35F90">
        <w:rPr>
          <w:bCs/>
        </w:rPr>
        <w:t xml:space="preserve"> then for the purposes of this section</w:t>
      </w:r>
      <w:r w:rsidR="00B32894">
        <w:rPr>
          <w:bCs/>
        </w:rPr>
        <w:t xml:space="preserve"> and section 672DA</w:t>
      </w:r>
      <w:r w:rsidR="00E35F90" w:rsidRPr="00E35F90">
        <w:rPr>
          <w:bCs/>
        </w:rPr>
        <w:t xml:space="preserve">, the member is taken to have a relevant interest in securities </w:t>
      </w:r>
      <w:r w:rsidR="006070BD">
        <w:rPr>
          <w:bCs/>
        </w:rPr>
        <w:t xml:space="preserve">that the member </w:t>
      </w:r>
      <w:r w:rsidR="00F04C73">
        <w:rPr>
          <w:bCs/>
        </w:rPr>
        <w:t>has</w:t>
      </w:r>
      <w:r w:rsidR="006070BD">
        <w:rPr>
          <w:bCs/>
        </w:rPr>
        <w:t xml:space="preserve"> a relevant interest in for the purposes of section 671B because of subsection </w:t>
      </w:r>
      <w:proofErr w:type="gramStart"/>
      <w:r w:rsidR="006070BD">
        <w:rPr>
          <w:bCs/>
        </w:rPr>
        <w:t>671B(</w:t>
      </w:r>
      <w:proofErr w:type="gramEnd"/>
      <w:r w:rsidR="006070BD">
        <w:rPr>
          <w:bCs/>
        </w:rPr>
        <w:t>7</w:t>
      </w:r>
      <w:r w:rsidR="00037792">
        <w:rPr>
          <w:bCs/>
        </w:rPr>
        <w:t>A</w:t>
      </w:r>
      <w:r w:rsidR="006070BD">
        <w:rPr>
          <w:bCs/>
        </w:rPr>
        <w:t>).</w:t>
      </w:r>
      <w:r w:rsidR="00026F76">
        <w:rPr>
          <w:bCs/>
        </w:rPr>
        <w:t>”.</w:t>
      </w:r>
    </w:p>
    <w:p w:rsidR="0088131D" w:rsidRDefault="0088131D" w:rsidP="006A1A37">
      <w:pPr>
        <w:jc w:val="both"/>
        <w:rPr>
          <w:b/>
        </w:rPr>
      </w:pPr>
    </w:p>
    <w:p w:rsidR="006F76AC" w:rsidRPr="006F76AC" w:rsidRDefault="006F76AC" w:rsidP="006A1A37">
      <w:pPr>
        <w:jc w:val="both"/>
        <w:rPr>
          <w:b/>
        </w:rPr>
      </w:pPr>
      <w:r w:rsidRPr="006F76AC">
        <w:rPr>
          <w:b/>
        </w:rPr>
        <w:t>Interpretation</w:t>
      </w:r>
    </w:p>
    <w:p w:rsidR="006F76AC" w:rsidRPr="006F76AC" w:rsidRDefault="006F76AC" w:rsidP="006A1A37">
      <w:pPr>
        <w:jc w:val="both"/>
        <w:rPr>
          <w:b/>
        </w:rPr>
      </w:pPr>
    </w:p>
    <w:p w:rsidR="00C56B7A" w:rsidRDefault="00D26754" w:rsidP="0057696A">
      <w:pPr>
        <w:ind w:left="567" w:hanging="567"/>
        <w:jc w:val="both"/>
      </w:pPr>
      <w:r>
        <w:t>1</w:t>
      </w:r>
      <w:r w:rsidR="00B678F5">
        <w:t>3</w:t>
      </w:r>
      <w:r>
        <w:t>.</w:t>
      </w:r>
      <w:r>
        <w:tab/>
      </w:r>
      <w:proofErr w:type="gramStart"/>
      <w:r w:rsidR="00AD32BA">
        <w:t>In</w:t>
      </w:r>
      <w:proofErr w:type="gramEnd"/>
      <w:r w:rsidR="00AD32BA">
        <w:t xml:space="preserve"> </w:t>
      </w:r>
      <w:r w:rsidR="006F76AC" w:rsidRPr="006F76AC">
        <w:t>this instrument:</w:t>
      </w:r>
    </w:p>
    <w:p w:rsidR="006F76AC" w:rsidRDefault="006F76AC" w:rsidP="006A1A37">
      <w:pPr>
        <w:jc w:val="both"/>
      </w:pPr>
    </w:p>
    <w:p w:rsidR="006732A1" w:rsidRDefault="00792591" w:rsidP="0057696A">
      <w:pPr>
        <w:ind w:left="567"/>
        <w:jc w:val="both"/>
        <w:rPr>
          <w:bCs/>
        </w:rPr>
      </w:pPr>
      <w:r w:rsidRPr="00792591">
        <w:rPr>
          <w:b/>
          <w:bCs/>
          <w:i/>
        </w:rPr>
        <w:t xml:space="preserve">AQUA </w:t>
      </w:r>
      <w:r w:rsidR="005C1E4C">
        <w:rPr>
          <w:b/>
          <w:bCs/>
          <w:i/>
        </w:rPr>
        <w:t>e</w:t>
      </w:r>
      <w:r w:rsidRPr="00792591">
        <w:rPr>
          <w:b/>
          <w:bCs/>
          <w:i/>
        </w:rPr>
        <w:t xml:space="preserve">xchange </w:t>
      </w:r>
      <w:r w:rsidR="005C1E4C">
        <w:rPr>
          <w:b/>
          <w:bCs/>
          <w:i/>
        </w:rPr>
        <w:t>t</w:t>
      </w:r>
      <w:r w:rsidRPr="00792591">
        <w:rPr>
          <w:b/>
          <w:bCs/>
          <w:i/>
        </w:rPr>
        <w:t xml:space="preserve">raded </w:t>
      </w:r>
      <w:r w:rsidR="00AD32BA">
        <w:rPr>
          <w:b/>
          <w:bCs/>
          <w:i/>
        </w:rPr>
        <w:t>f</w:t>
      </w:r>
      <w:r w:rsidRPr="00792591">
        <w:rPr>
          <w:b/>
          <w:bCs/>
          <w:i/>
        </w:rPr>
        <w:t xml:space="preserve">und </w:t>
      </w:r>
      <w:r w:rsidR="00EA0999">
        <w:rPr>
          <w:bCs/>
        </w:rPr>
        <w:t>means</w:t>
      </w:r>
      <w:r w:rsidRPr="00792591">
        <w:rPr>
          <w:bCs/>
        </w:rPr>
        <w:t xml:space="preserve"> a registered scheme with interests admitted to </w:t>
      </w:r>
      <w:r w:rsidR="00D85927">
        <w:rPr>
          <w:bCs/>
        </w:rPr>
        <w:t>T</w:t>
      </w:r>
      <w:r w:rsidR="005063DC" w:rsidRPr="00792591">
        <w:rPr>
          <w:bCs/>
        </w:rPr>
        <w:t xml:space="preserve">rading </w:t>
      </w:r>
      <w:r w:rsidR="00D85927">
        <w:rPr>
          <w:bCs/>
        </w:rPr>
        <w:t>S</w:t>
      </w:r>
      <w:r w:rsidR="005063DC" w:rsidRPr="00792591">
        <w:rPr>
          <w:bCs/>
        </w:rPr>
        <w:t xml:space="preserve">tatus </w:t>
      </w:r>
      <w:r w:rsidRPr="00792591">
        <w:rPr>
          <w:bCs/>
        </w:rPr>
        <w:t xml:space="preserve">as an ETF </w:t>
      </w:r>
      <w:r w:rsidR="00AD32BA">
        <w:rPr>
          <w:bCs/>
        </w:rPr>
        <w:t>s</w:t>
      </w:r>
      <w:r w:rsidRPr="00792591">
        <w:rPr>
          <w:bCs/>
        </w:rPr>
        <w:t xml:space="preserve">ecurity on the financial market operated by ASX </w:t>
      </w:r>
      <w:r w:rsidR="00970D06">
        <w:rPr>
          <w:bCs/>
        </w:rPr>
        <w:t xml:space="preserve">under </w:t>
      </w:r>
      <w:r w:rsidR="00970D06">
        <w:rPr>
          <w:bCs/>
        </w:rPr>
        <w:lastRenderedPageBreak/>
        <w:t xml:space="preserve">the provisions of the operating rules of ASX relating to what is </w:t>
      </w:r>
      <w:r w:rsidR="00BD22AF">
        <w:rPr>
          <w:bCs/>
        </w:rPr>
        <w:t>referred to in those rules</w:t>
      </w:r>
      <w:r w:rsidR="00BD22AF" w:rsidRPr="00792591">
        <w:rPr>
          <w:bCs/>
        </w:rPr>
        <w:t xml:space="preserve"> </w:t>
      </w:r>
      <w:r w:rsidRPr="00792591">
        <w:rPr>
          <w:bCs/>
        </w:rPr>
        <w:t>as the AQUA market.</w:t>
      </w:r>
    </w:p>
    <w:p w:rsidR="00D32C12" w:rsidRDefault="00D32C12" w:rsidP="0057696A">
      <w:pPr>
        <w:ind w:left="567"/>
        <w:jc w:val="both"/>
        <w:rPr>
          <w:bCs/>
        </w:rPr>
      </w:pPr>
    </w:p>
    <w:p w:rsidR="006732A1" w:rsidRDefault="00F2138C" w:rsidP="0057696A">
      <w:pPr>
        <w:ind w:left="567"/>
        <w:jc w:val="both"/>
        <w:rPr>
          <w:bCs/>
        </w:rPr>
      </w:pPr>
      <w:r>
        <w:rPr>
          <w:b/>
          <w:bCs/>
          <w:i/>
        </w:rPr>
        <w:t xml:space="preserve">ASX </w:t>
      </w:r>
      <w:r>
        <w:rPr>
          <w:bCs/>
        </w:rPr>
        <w:t>means ASX Limited (ACN 008 624</w:t>
      </w:r>
      <w:r w:rsidR="003D6AA5">
        <w:rPr>
          <w:bCs/>
        </w:rPr>
        <w:t xml:space="preserve"> 691</w:t>
      </w:r>
      <w:r>
        <w:rPr>
          <w:bCs/>
        </w:rPr>
        <w:t>).</w:t>
      </w:r>
    </w:p>
    <w:p w:rsidR="00A24C7B" w:rsidRDefault="00A24C7B" w:rsidP="0057696A">
      <w:pPr>
        <w:ind w:left="567"/>
        <w:jc w:val="both"/>
        <w:rPr>
          <w:bCs/>
        </w:rPr>
      </w:pPr>
    </w:p>
    <w:p w:rsidR="00A24C7B" w:rsidRDefault="00A24C7B" w:rsidP="0057696A">
      <w:pPr>
        <w:ind w:left="567"/>
        <w:jc w:val="both"/>
        <w:rPr>
          <w:bCs/>
        </w:rPr>
      </w:pPr>
      <w:r w:rsidRPr="00A24C7B">
        <w:rPr>
          <w:b/>
          <w:bCs/>
          <w:i/>
        </w:rPr>
        <w:t>Australian resident for tax purposes</w:t>
      </w:r>
      <w:r w:rsidRPr="00A24C7B">
        <w:rPr>
          <w:bCs/>
        </w:rPr>
        <w:t xml:space="preserve"> means, for a particular financial year, a person who is an Australian resident for the purposes of the </w:t>
      </w:r>
      <w:r w:rsidRPr="00A24C7B">
        <w:rPr>
          <w:bCs/>
          <w:i/>
        </w:rPr>
        <w:t>Income Tax Assessment Act 1997</w:t>
      </w:r>
      <w:r w:rsidRPr="00A24C7B">
        <w:rPr>
          <w:bCs/>
        </w:rPr>
        <w:t xml:space="preserve"> for the whole of that financial year. </w:t>
      </w:r>
    </w:p>
    <w:p w:rsidR="006732A1" w:rsidRDefault="006732A1" w:rsidP="0057696A">
      <w:pPr>
        <w:ind w:left="567"/>
        <w:jc w:val="both"/>
        <w:rPr>
          <w:b/>
          <w:i/>
        </w:rPr>
      </w:pPr>
    </w:p>
    <w:p w:rsidR="00255CE7" w:rsidRDefault="00D32C12" w:rsidP="0057696A">
      <w:pPr>
        <w:ind w:left="567"/>
      </w:pPr>
      <w:proofErr w:type="gramStart"/>
      <w:r>
        <w:rPr>
          <w:b/>
          <w:bCs/>
          <w:i/>
        </w:rPr>
        <w:t>authorised</w:t>
      </w:r>
      <w:proofErr w:type="gramEnd"/>
      <w:r>
        <w:rPr>
          <w:b/>
          <w:bCs/>
          <w:i/>
        </w:rPr>
        <w:t xml:space="preserve"> participant </w:t>
      </w:r>
      <w:r w:rsidRPr="00FA7114">
        <w:t>means</w:t>
      </w:r>
      <w:r>
        <w:t>, in relation to an AQUA exchange traded fund, a person who:</w:t>
      </w:r>
    </w:p>
    <w:p w:rsidR="00D32C12" w:rsidRDefault="00D32C12" w:rsidP="00D32C12">
      <w:pPr>
        <w:ind w:left="1418"/>
      </w:pPr>
    </w:p>
    <w:p w:rsidR="00255CE7" w:rsidRDefault="00D32C12" w:rsidP="0057696A">
      <w:pPr>
        <w:ind w:left="1134" w:hanging="567"/>
      </w:pPr>
      <w:r>
        <w:t>(a)</w:t>
      </w:r>
      <w:r>
        <w:tab/>
      </w:r>
      <w:proofErr w:type="gramStart"/>
      <w:r>
        <w:t>has</w:t>
      </w:r>
      <w:proofErr w:type="gramEnd"/>
      <w:r>
        <w:t xml:space="preserve"> an agreement with the responsible entity of that fund in relation to making applications to acquire and withdraw interests in the fund; and</w:t>
      </w:r>
    </w:p>
    <w:p w:rsidR="00D32C12" w:rsidRDefault="00D32C12" w:rsidP="00D32C12">
      <w:pPr>
        <w:ind w:left="2153" w:hanging="735"/>
      </w:pPr>
    </w:p>
    <w:p w:rsidR="00255CE7" w:rsidRDefault="00D32C12" w:rsidP="0057696A">
      <w:pPr>
        <w:ind w:left="1134" w:hanging="567"/>
      </w:pPr>
      <w:r>
        <w:t>(b)</w:t>
      </w:r>
      <w:r>
        <w:tab/>
        <w:t xml:space="preserve">has notified the responsible entity in writing that </w:t>
      </w:r>
      <w:r w:rsidR="00847A59">
        <w:t xml:space="preserve">the person expects they will be an Australian resident for tax purposes </w:t>
      </w:r>
      <w:r w:rsidR="00A24C7B">
        <w:t xml:space="preserve">for </w:t>
      </w:r>
      <w:r w:rsidR="00847A59">
        <w:t xml:space="preserve">the financial year </w:t>
      </w:r>
      <w:r w:rsidR="00A24C7B">
        <w:t xml:space="preserve">of the fund </w:t>
      </w:r>
      <w:r w:rsidR="00847A59">
        <w:t xml:space="preserve">in which the notification is made and </w:t>
      </w:r>
      <w:r w:rsidR="00A24C7B">
        <w:t xml:space="preserve">for </w:t>
      </w:r>
      <w:r w:rsidR="00847A59">
        <w:t>each subsequent financial year</w:t>
      </w:r>
      <w:r>
        <w:t xml:space="preserve">, </w:t>
      </w:r>
      <w:r w:rsidR="00A24C7B">
        <w:t xml:space="preserve">and </w:t>
      </w:r>
      <w:r>
        <w:t>has not subsequently notif</w:t>
      </w:r>
      <w:r w:rsidR="00A6722E">
        <w:t>i</w:t>
      </w:r>
      <w:r>
        <w:t xml:space="preserve">ed the responsible entity </w:t>
      </w:r>
      <w:r w:rsidR="00A24C7B">
        <w:t xml:space="preserve">to </w:t>
      </w:r>
      <w:r>
        <w:t>the contrary; and</w:t>
      </w:r>
    </w:p>
    <w:p w:rsidR="00255CE7" w:rsidRDefault="00255CE7">
      <w:pPr>
        <w:ind w:left="1418" w:hanging="698"/>
      </w:pPr>
    </w:p>
    <w:p w:rsidR="00255CE7" w:rsidRDefault="00D32C12" w:rsidP="0057696A">
      <w:pPr>
        <w:pStyle w:val="ListParagraph"/>
        <w:numPr>
          <w:ilvl w:val="0"/>
          <w:numId w:val="14"/>
        </w:numPr>
        <w:ind w:left="1134" w:hanging="567"/>
      </w:pPr>
      <w:proofErr w:type="gramStart"/>
      <w:r>
        <w:t>is</w:t>
      </w:r>
      <w:proofErr w:type="gramEnd"/>
      <w:r>
        <w:t xml:space="preserve"> either a Trading Participant or has engaged a Trading Participant to act on its behalf</w:t>
      </w:r>
      <w:r w:rsidR="00847A59">
        <w:t xml:space="preserve"> to acquire and dispose of interests in the registered scheme</w:t>
      </w:r>
      <w:r>
        <w:t>.</w:t>
      </w:r>
      <w:r w:rsidDel="00D32C12">
        <w:t xml:space="preserve"> </w:t>
      </w:r>
      <w:r w:rsidR="00E618DC" w:rsidRPr="00E618DC">
        <w:rPr>
          <w:b/>
          <w:i/>
        </w:rPr>
        <w:t xml:space="preserve"> </w:t>
      </w:r>
    </w:p>
    <w:p w:rsidR="00255CE7" w:rsidRDefault="00255CE7">
      <w:pPr>
        <w:ind w:left="720"/>
      </w:pPr>
    </w:p>
    <w:p w:rsidR="006732A1" w:rsidRDefault="00887EE6" w:rsidP="0057696A">
      <w:pPr>
        <w:ind w:left="567"/>
        <w:jc w:val="both"/>
        <w:rPr>
          <w:bCs/>
        </w:rPr>
      </w:pPr>
      <w:r>
        <w:rPr>
          <w:b/>
          <w:bCs/>
          <w:i/>
        </w:rPr>
        <w:t xml:space="preserve">ETF </w:t>
      </w:r>
      <w:r w:rsidR="00847A59">
        <w:rPr>
          <w:b/>
          <w:bCs/>
          <w:i/>
        </w:rPr>
        <w:t>S</w:t>
      </w:r>
      <w:r>
        <w:rPr>
          <w:b/>
          <w:bCs/>
          <w:i/>
        </w:rPr>
        <w:t xml:space="preserve">ecurity </w:t>
      </w:r>
      <w:r>
        <w:rPr>
          <w:bCs/>
        </w:rPr>
        <w:t xml:space="preserve">has the same meaning as in </w:t>
      </w:r>
      <w:r w:rsidR="00676694">
        <w:rPr>
          <w:bCs/>
        </w:rPr>
        <w:t>the operating rules of ASX</w:t>
      </w:r>
      <w:r>
        <w:rPr>
          <w:bCs/>
        </w:rPr>
        <w:t xml:space="preserve"> as at the date of this instrument.</w:t>
      </w:r>
    </w:p>
    <w:p w:rsidR="006732A1" w:rsidRDefault="006732A1" w:rsidP="006732A1">
      <w:pPr>
        <w:ind w:left="720"/>
        <w:jc w:val="both"/>
        <w:rPr>
          <w:bCs/>
        </w:rPr>
      </w:pPr>
    </w:p>
    <w:p w:rsidR="006732A1" w:rsidRDefault="00EA5CB3" w:rsidP="0057696A">
      <w:pPr>
        <w:ind w:left="567"/>
        <w:jc w:val="both"/>
        <w:rPr>
          <w:bCs/>
        </w:rPr>
      </w:pPr>
      <w:proofErr w:type="gramStart"/>
      <w:r>
        <w:rPr>
          <w:b/>
          <w:bCs/>
          <w:i/>
        </w:rPr>
        <w:t>indicative</w:t>
      </w:r>
      <w:proofErr w:type="gramEnd"/>
      <w:r>
        <w:rPr>
          <w:b/>
          <w:bCs/>
          <w:i/>
        </w:rPr>
        <w:t xml:space="preserve"> net asset value per interest</w:t>
      </w:r>
      <w:r>
        <w:rPr>
          <w:bCs/>
        </w:rPr>
        <w:t xml:space="preserve"> means:</w:t>
      </w:r>
    </w:p>
    <w:p w:rsidR="006732A1" w:rsidRDefault="006732A1" w:rsidP="006732A1">
      <w:pPr>
        <w:ind w:left="720"/>
        <w:jc w:val="both"/>
        <w:rPr>
          <w:bCs/>
        </w:rPr>
      </w:pPr>
    </w:p>
    <w:p w:rsidR="00F96FBB" w:rsidRDefault="004F62C5" w:rsidP="0057696A">
      <w:pPr>
        <w:ind w:left="1134" w:hanging="567"/>
        <w:jc w:val="both"/>
        <w:rPr>
          <w:bCs/>
        </w:rPr>
      </w:pPr>
      <w:r>
        <w:rPr>
          <w:bCs/>
        </w:rPr>
        <w:t>(a)</w:t>
      </w:r>
      <w:r>
        <w:rPr>
          <w:bCs/>
        </w:rPr>
        <w:tab/>
      </w:r>
      <w:r w:rsidR="00EA5CB3" w:rsidRPr="004F62C5">
        <w:rPr>
          <w:bCs/>
        </w:rPr>
        <w:t xml:space="preserve">for </w:t>
      </w:r>
      <w:r w:rsidR="00146B89" w:rsidRPr="004F62C5">
        <w:rPr>
          <w:bCs/>
        </w:rPr>
        <w:t>an AQUA exchange traded fund</w:t>
      </w:r>
      <w:r w:rsidR="006931A5" w:rsidRPr="006931A5">
        <w:rPr>
          <w:bCs/>
        </w:rPr>
        <w:t>, the total assets of the AQUA exchange traded fund less the total liabilities of the AQUA exchange traded fund (disregarding any liability to a member of the AQUA exchange traded fund as a member), divided by the number of interests in the AQUA exchange traded fund</w:t>
      </w:r>
      <w:r>
        <w:rPr>
          <w:bCs/>
        </w:rPr>
        <w:t>; and</w:t>
      </w:r>
    </w:p>
    <w:p w:rsidR="00F96FBB" w:rsidRDefault="00F96FBB">
      <w:pPr>
        <w:ind w:left="1418" w:hanging="709"/>
        <w:jc w:val="both"/>
        <w:rPr>
          <w:bCs/>
        </w:rPr>
      </w:pPr>
    </w:p>
    <w:p w:rsidR="00F96FBB" w:rsidRDefault="004F62C5" w:rsidP="0057696A">
      <w:pPr>
        <w:ind w:left="1134" w:hanging="567"/>
        <w:jc w:val="both"/>
        <w:rPr>
          <w:bCs/>
        </w:rPr>
      </w:pPr>
      <w:r>
        <w:rPr>
          <w:bCs/>
        </w:rPr>
        <w:t>(b)</w:t>
      </w:r>
      <w:r>
        <w:rPr>
          <w:bCs/>
        </w:rPr>
        <w:tab/>
      </w:r>
      <w:r w:rsidR="00710E8B">
        <w:rPr>
          <w:bCs/>
        </w:rPr>
        <w:t xml:space="preserve">for a class of interests in </w:t>
      </w:r>
      <w:r w:rsidR="00577C16">
        <w:rPr>
          <w:bCs/>
        </w:rPr>
        <w:t>an AQUA exchange traded fund</w:t>
      </w:r>
      <w:r w:rsidR="00710E8B">
        <w:rPr>
          <w:bCs/>
        </w:rPr>
        <w:t xml:space="preserve">, the total assets attributable to that class of interests </w:t>
      </w:r>
      <w:r w:rsidR="007F5A37">
        <w:rPr>
          <w:bCs/>
        </w:rPr>
        <w:t>less</w:t>
      </w:r>
      <w:r w:rsidR="00710E8B">
        <w:rPr>
          <w:bCs/>
        </w:rPr>
        <w:t xml:space="preserve"> the total liabilities attributable to that class of interests</w:t>
      </w:r>
      <w:r w:rsidR="004053DA">
        <w:rPr>
          <w:bCs/>
        </w:rPr>
        <w:t xml:space="preserve"> (disregarding any liability to a member of the AQUA exchange traded fund as a member)</w:t>
      </w:r>
      <w:r w:rsidR="00710E8B">
        <w:rPr>
          <w:bCs/>
        </w:rPr>
        <w:t>, divided by the number of interests in that class.</w:t>
      </w:r>
    </w:p>
    <w:p w:rsidR="006732A1" w:rsidRDefault="006732A1" w:rsidP="006732A1">
      <w:pPr>
        <w:ind w:left="720"/>
        <w:jc w:val="both"/>
        <w:rPr>
          <w:bCs/>
        </w:rPr>
      </w:pPr>
    </w:p>
    <w:p w:rsidR="006732A1" w:rsidRDefault="00305B7C" w:rsidP="0057696A">
      <w:pPr>
        <w:ind w:left="567"/>
        <w:jc w:val="both"/>
        <w:rPr>
          <w:bCs/>
        </w:rPr>
      </w:pPr>
      <w:r>
        <w:rPr>
          <w:b/>
          <w:bCs/>
          <w:i/>
        </w:rPr>
        <w:t xml:space="preserve">minimum parcel </w:t>
      </w:r>
      <w:r>
        <w:rPr>
          <w:bCs/>
        </w:rPr>
        <w:t xml:space="preserve">means the smallest number </w:t>
      </w:r>
      <w:r w:rsidR="004053DA">
        <w:rPr>
          <w:bCs/>
        </w:rPr>
        <w:t xml:space="preserve">or value </w:t>
      </w:r>
      <w:r>
        <w:rPr>
          <w:bCs/>
        </w:rPr>
        <w:t xml:space="preserve">of interests in </w:t>
      </w:r>
      <w:r w:rsidR="00577C16">
        <w:rPr>
          <w:bCs/>
        </w:rPr>
        <w:t xml:space="preserve">an AQUA exchange traded fund </w:t>
      </w:r>
      <w:r>
        <w:rPr>
          <w:bCs/>
        </w:rPr>
        <w:t xml:space="preserve">that </w:t>
      </w:r>
      <w:r w:rsidR="004053DA">
        <w:rPr>
          <w:bCs/>
        </w:rPr>
        <w:t xml:space="preserve">are generally permitted to </w:t>
      </w:r>
      <w:r>
        <w:rPr>
          <w:bCs/>
        </w:rPr>
        <w:t xml:space="preserve">be withdrawn from </w:t>
      </w:r>
      <w:r w:rsidR="000C6489">
        <w:rPr>
          <w:bCs/>
        </w:rPr>
        <w:t>the AQUA exchange traded fund</w:t>
      </w:r>
      <w:r>
        <w:rPr>
          <w:bCs/>
        </w:rPr>
        <w:t xml:space="preserve"> by an authorised participant while interests in </w:t>
      </w:r>
      <w:r w:rsidR="000C6489">
        <w:rPr>
          <w:bCs/>
        </w:rPr>
        <w:t xml:space="preserve">the AQUA exchange traded fund </w:t>
      </w:r>
      <w:r>
        <w:rPr>
          <w:bCs/>
        </w:rPr>
        <w:t>are quoted.</w:t>
      </w:r>
    </w:p>
    <w:p w:rsidR="0003069D" w:rsidRDefault="0003069D" w:rsidP="006732A1">
      <w:pPr>
        <w:ind w:left="720"/>
        <w:jc w:val="both"/>
        <w:rPr>
          <w:b/>
          <w:bCs/>
          <w:i/>
          <w:iCs/>
        </w:rPr>
      </w:pPr>
    </w:p>
    <w:p w:rsidR="006732A1" w:rsidRDefault="00D85927" w:rsidP="0057696A">
      <w:pPr>
        <w:ind w:left="567"/>
        <w:jc w:val="both"/>
        <w:rPr>
          <w:bCs/>
          <w:iCs/>
        </w:rPr>
      </w:pPr>
      <w:r>
        <w:rPr>
          <w:b/>
          <w:bCs/>
          <w:i/>
          <w:iCs/>
        </w:rPr>
        <w:t>T</w:t>
      </w:r>
      <w:r w:rsidR="00AD32BA">
        <w:rPr>
          <w:b/>
          <w:bCs/>
          <w:i/>
          <w:iCs/>
        </w:rPr>
        <w:t xml:space="preserve">rading </w:t>
      </w:r>
      <w:r>
        <w:rPr>
          <w:b/>
          <w:bCs/>
          <w:i/>
          <w:iCs/>
        </w:rPr>
        <w:t>D</w:t>
      </w:r>
      <w:r w:rsidR="009213E9">
        <w:rPr>
          <w:b/>
          <w:bCs/>
          <w:i/>
          <w:iCs/>
        </w:rPr>
        <w:t>ay</w:t>
      </w:r>
      <w:r w:rsidR="009213E9">
        <w:rPr>
          <w:bCs/>
          <w:iCs/>
        </w:rPr>
        <w:t xml:space="preserve"> has the same meaning as in </w:t>
      </w:r>
      <w:r w:rsidR="00676694">
        <w:rPr>
          <w:bCs/>
          <w:iCs/>
        </w:rPr>
        <w:t xml:space="preserve">the operating rules of ASX </w:t>
      </w:r>
      <w:r w:rsidR="009213E9">
        <w:rPr>
          <w:bCs/>
          <w:iCs/>
        </w:rPr>
        <w:t>as at the date of this instrument.</w:t>
      </w:r>
    </w:p>
    <w:p w:rsidR="006732A1" w:rsidRDefault="006732A1" w:rsidP="0057696A">
      <w:pPr>
        <w:ind w:left="567"/>
        <w:jc w:val="both"/>
        <w:rPr>
          <w:b/>
          <w:bCs/>
          <w:i/>
          <w:iCs/>
        </w:rPr>
      </w:pPr>
    </w:p>
    <w:p w:rsidR="006732A1" w:rsidRDefault="00D85927" w:rsidP="0057696A">
      <w:pPr>
        <w:ind w:left="567"/>
        <w:jc w:val="both"/>
        <w:rPr>
          <w:bCs/>
          <w:iCs/>
        </w:rPr>
      </w:pPr>
      <w:r>
        <w:rPr>
          <w:b/>
          <w:bCs/>
          <w:i/>
          <w:iCs/>
        </w:rPr>
        <w:t>T</w:t>
      </w:r>
      <w:r w:rsidR="00797831">
        <w:rPr>
          <w:b/>
          <w:bCs/>
          <w:i/>
          <w:iCs/>
        </w:rPr>
        <w:t xml:space="preserve">rading </w:t>
      </w:r>
      <w:r>
        <w:rPr>
          <w:b/>
          <w:bCs/>
          <w:i/>
          <w:iCs/>
        </w:rPr>
        <w:t>P</w:t>
      </w:r>
      <w:r w:rsidR="00797831">
        <w:rPr>
          <w:b/>
          <w:bCs/>
          <w:i/>
          <w:iCs/>
        </w:rPr>
        <w:t xml:space="preserve">articipant </w:t>
      </w:r>
      <w:r w:rsidR="00797831">
        <w:rPr>
          <w:bCs/>
          <w:iCs/>
        </w:rPr>
        <w:t xml:space="preserve">has the same meaning as in </w:t>
      </w:r>
      <w:r w:rsidR="00676694">
        <w:rPr>
          <w:bCs/>
          <w:iCs/>
        </w:rPr>
        <w:t>the operating rules of ASX</w:t>
      </w:r>
      <w:r w:rsidR="00797831">
        <w:rPr>
          <w:bCs/>
          <w:iCs/>
        </w:rPr>
        <w:t xml:space="preserve"> as at the date of this instrument.</w:t>
      </w:r>
    </w:p>
    <w:p w:rsidR="006732A1" w:rsidRDefault="006732A1" w:rsidP="0057696A">
      <w:pPr>
        <w:ind w:left="567"/>
        <w:jc w:val="both"/>
        <w:rPr>
          <w:b/>
          <w:bCs/>
          <w:i/>
          <w:iCs/>
        </w:rPr>
      </w:pPr>
    </w:p>
    <w:p w:rsidR="006732A1" w:rsidRDefault="00D85927" w:rsidP="0057696A">
      <w:pPr>
        <w:ind w:left="567"/>
        <w:jc w:val="both"/>
      </w:pPr>
      <w:r>
        <w:rPr>
          <w:b/>
          <w:bCs/>
          <w:i/>
          <w:iCs/>
        </w:rPr>
        <w:t>T</w:t>
      </w:r>
      <w:r w:rsidR="00FA7114" w:rsidRPr="00FA7114">
        <w:rPr>
          <w:b/>
          <w:bCs/>
          <w:i/>
          <w:iCs/>
        </w:rPr>
        <w:t xml:space="preserve">rading </w:t>
      </w:r>
      <w:r>
        <w:rPr>
          <w:b/>
          <w:bCs/>
          <w:i/>
          <w:iCs/>
        </w:rPr>
        <w:t>S</w:t>
      </w:r>
      <w:r w:rsidR="00FA7114" w:rsidRPr="00FA7114">
        <w:rPr>
          <w:b/>
          <w:bCs/>
          <w:i/>
          <w:iCs/>
        </w:rPr>
        <w:t>tatus</w:t>
      </w:r>
      <w:r w:rsidR="00FA7114" w:rsidRPr="00FA7114">
        <w:t xml:space="preserve"> has the same meaning as in </w:t>
      </w:r>
      <w:r w:rsidR="00676694">
        <w:t>the operating rules of ASX</w:t>
      </w:r>
      <w:r w:rsidR="00FA7114" w:rsidRPr="00FA7114">
        <w:t xml:space="preserve"> as at the date of this instrument.  </w:t>
      </w:r>
    </w:p>
    <w:p w:rsidR="000C7134" w:rsidRDefault="000C7134" w:rsidP="0057696A">
      <w:pPr>
        <w:ind w:left="567"/>
        <w:jc w:val="both"/>
      </w:pPr>
    </w:p>
    <w:p w:rsidR="000C7134" w:rsidRPr="000C7134" w:rsidRDefault="000C7134" w:rsidP="0057696A">
      <w:pPr>
        <w:ind w:left="567"/>
        <w:jc w:val="both"/>
      </w:pPr>
      <w:proofErr w:type="gramStart"/>
      <w:r>
        <w:rPr>
          <w:b/>
          <w:i/>
        </w:rPr>
        <w:t>withdrawal</w:t>
      </w:r>
      <w:proofErr w:type="gramEnd"/>
      <w:r>
        <w:rPr>
          <w:b/>
          <w:i/>
        </w:rPr>
        <w:t xml:space="preserve"> fee per interest </w:t>
      </w:r>
      <w:r>
        <w:t>means, in relation an AQUA exchange traded fund, the fee that is payable in relation to a withdrawal from the fund divided by the number of interests in the fund to which the withdrawal relates.</w:t>
      </w:r>
    </w:p>
    <w:p w:rsidR="00FA7114" w:rsidRDefault="00FA7114" w:rsidP="006A1A37">
      <w:pPr>
        <w:jc w:val="both"/>
      </w:pPr>
    </w:p>
    <w:p w:rsidR="006A1A37" w:rsidRPr="00FA7114" w:rsidRDefault="006A1A37" w:rsidP="006A1A37">
      <w:pPr>
        <w:jc w:val="both"/>
      </w:pPr>
    </w:p>
    <w:p w:rsidR="001A09A3" w:rsidRPr="001A09A3" w:rsidRDefault="001A09A3" w:rsidP="006A1A37">
      <w:pPr>
        <w:jc w:val="both"/>
      </w:pPr>
      <w:r w:rsidRPr="001A09A3">
        <w:t xml:space="preserve">Dated this </w:t>
      </w:r>
      <w:r w:rsidR="00F437EE">
        <w:t>9</w:t>
      </w:r>
      <w:r w:rsidR="00F437EE" w:rsidRPr="00F437EE">
        <w:rPr>
          <w:vertAlign w:val="superscript"/>
        </w:rPr>
        <w:t>th</w:t>
      </w:r>
      <w:r w:rsidR="00335A5C">
        <w:t xml:space="preserve"> </w:t>
      </w:r>
      <w:r w:rsidRPr="001A09A3">
        <w:t xml:space="preserve">day of </w:t>
      </w:r>
      <w:r w:rsidR="00335A5C">
        <w:t>October</w:t>
      </w:r>
      <w:r w:rsidR="00155EA5">
        <w:t xml:space="preserve"> </w:t>
      </w:r>
      <w:r w:rsidR="00B618C5" w:rsidRPr="001A09A3">
        <w:t>2013</w:t>
      </w:r>
    </w:p>
    <w:p w:rsidR="001A09A3" w:rsidRDefault="001A09A3" w:rsidP="006A1A37">
      <w:pPr>
        <w:jc w:val="both"/>
      </w:pPr>
    </w:p>
    <w:p w:rsidR="00335A5C" w:rsidRPr="001A09A3" w:rsidRDefault="00335A5C" w:rsidP="006A1A37">
      <w:pPr>
        <w:jc w:val="both"/>
      </w:pPr>
    </w:p>
    <w:p w:rsidR="001A09A3" w:rsidRPr="001A09A3" w:rsidRDefault="001A09A3" w:rsidP="006A1A37">
      <w:pPr>
        <w:jc w:val="both"/>
      </w:pPr>
    </w:p>
    <w:p w:rsidR="001A09A3" w:rsidRPr="001A09A3" w:rsidRDefault="001A09A3" w:rsidP="006A1A37">
      <w:pPr>
        <w:jc w:val="both"/>
      </w:pPr>
    </w:p>
    <w:p w:rsidR="001A09A3" w:rsidRPr="001A09A3" w:rsidRDefault="001A09A3" w:rsidP="006A1A37">
      <w:pPr>
        <w:jc w:val="both"/>
      </w:pPr>
      <w:r w:rsidRPr="001A09A3">
        <w:t xml:space="preserve">Signed by </w:t>
      </w:r>
      <w:r w:rsidR="00FB7CDD">
        <w:t>Stephen Yen PSM</w:t>
      </w:r>
      <w:r w:rsidRPr="001A09A3">
        <w:t xml:space="preserve"> </w:t>
      </w:r>
    </w:p>
    <w:p w:rsidR="001A09A3" w:rsidRPr="001A09A3" w:rsidRDefault="001A09A3" w:rsidP="006A1A37">
      <w:pPr>
        <w:jc w:val="both"/>
      </w:pPr>
      <w:proofErr w:type="gramStart"/>
      <w:r w:rsidRPr="001A09A3">
        <w:t>as</w:t>
      </w:r>
      <w:proofErr w:type="gramEnd"/>
      <w:r w:rsidRPr="001A09A3">
        <w:t xml:space="preserve"> a delegate of the Australian Securities and Investments Commission</w:t>
      </w:r>
    </w:p>
    <w:p w:rsidR="005513FB" w:rsidRDefault="005513FB"/>
    <w:p w:rsidR="00E415AB" w:rsidRDefault="00E415AB" w:rsidP="00E415AB"/>
    <w:sectPr w:rsidR="00E415AB" w:rsidSect="00273C36">
      <w:headerReference w:type="default" r:id="rId9"/>
      <w:footerReference w:type="default" r:id="rId10"/>
      <w:pgSz w:w="11906" w:h="16838"/>
      <w:pgMar w:top="1440" w:right="170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CC" w:rsidRDefault="00385FCC" w:rsidP="006F76AC">
      <w:r>
        <w:separator/>
      </w:r>
    </w:p>
  </w:endnote>
  <w:endnote w:type="continuationSeparator" w:id="0">
    <w:p w:rsidR="00385FCC" w:rsidRDefault="00385FCC" w:rsidP="006F7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1D" w:rsidRDefault="0088131D">
    <w:pPr>
      <w:pStyle w:val="Footer"/>
      <w:jc w:val="center"/>
    </w:pPr>
  </w:p>
  <w:p w:rsidR="0088131D" w:rsidRDefault="0088131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CC" w:rsidRDefault="00385FCC" w:rsidP="006F76AC">
      <w:r>
        <w:separator/>
      </w:r>
    </w:p>
  </w:footnote>
  <w:footnote w:type="continuationSeparator" w:id="0">
    <w:p w:rsidR="00385FCC" w:rsidRDefault="00385FCC" w:rsidP="006F7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63798"/>
      <w:docPartObj>
        <w:docPartGallery w:val="Page Numbers (Top of Page)"/>
        <w:docPartUnique/>
      </w:docPartObj>
    </w:sdtPr>
    <w:sdtContent>
      <w:p w:rsidR="0088131D" w:rsidRDefault="00DE1B53">
        <w:pPr>
          <w:pStyle w:val="Header"/>
          <w:jc w:val="center"/>
        </w:pPr>
        <w:fldSimple w:instr=" PAGE   \* MERGEFORMAT ">
          <w:r w:rsidR="0066323E">
            <w:rPr>
              <w:noProof/>
            </w:rPr>
            <w:t>9</w:t>
          </w:r>
        </w:fldSimple>
      </w:p>
    </w:sdtContent>
  </w:sdt>
  <w:p w:rsidR="0088131D" w:rsidRPr="007667D2" w:rsidRDefault="0088131D" w:rsidP="007667D2">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38B"/>
    <w:multiLevelType w:val="hybridMultilevel"/>
    <w:tmpl w:val="146CC7B8"/>
    <w:lvl w:ilvl="0" w:tplc="0C09000F">
      <w:start w:val="1"/>
      <w:numFmt w:val="decimal"/>
      <w:lvlText w:val="%1."/>
      <w:lvlJc w:val="left"/>
      <w:pPr>
        <w:ind w:left="720" w:hanging="360"/>
      </w:pPr>
      <w:rPr>
        <w:rFonts w:hint="default"/>
      </w:rPr>
    </w:lvl>
    <w:lvl w:ilvl="1" w:tplc="4612B238">
      <w:start w:val="1"/>
      <w:numFmt w:val="lowerLetter"/>
      <w:lvlText w:val="(%2)"/>
      <w:lvlJc w:val="left"/>
      <w:pPr>
        <w:ind w:left="1440" w:hanging="360"/>
      </w:pPr>
      <w:rPr>
        <w:rFonts w:hint="default"/>
      </w:rPr>
    </w:lvl>
    <w:lvl w:ilvl="2" w:tplc="FA762FFA">
      <w:start w:val="1"/>
      <w:numFmt w:val="lowerRoman"/>
      <w:lvlText w:val="(%3)"/>
      <w:lvlJc w:val="left"/>
      <w:pPr>
        <w:ind w:left="2700" w:hanging="720"/>
      </w:pPr>
      <w:rPr>
        <w:rFonts w:hint="default"/>
        <w:b w:val="0"/>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DB3BFF"/>
    <w:multiLevelType w:val="hybridMultilevel"/>
    <w:tmpl w:val="44C6F35A"/>
    <w:lvl w:ilvl="0" w:tplc="4612B238">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3741822"/>
    <w:multiLevelType w:val="hybridMultilevel"/>
    <w:tmpl w:val="96301FE8"/>
    <w:lvl w:ilvl="0" w:tplc="459A864A">
      <w:start w:val="1"/>
      <w:numFmt w:val="lowerLetter"/>
      <w:lvlText w:val="(%1)"/>
      <w:lvlJc w:val="left"/>
      <w:pPr>
        <w:ind w:left="1080" w:hanging="360"/>
      </w:pPr>
      <w:rPr>
        <w:rFonts w:hint="default"/>
      </w:rPr>
    </w:lvl>
    <w:lvl w:ilvl="1" w:tplc="84B46D72">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050583"/>
    <w:multiLevelType w:val="hybridMultilevel"/>
    <w:tmpl w:val="A2668DF0"/>
    <w:lvl w:ilvl="0" w:tplc="FC16706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EA2F30"/>
    <w:multiLevelType w:val="hybridMultilevel"/>
    <w:tmpl w:val="36FE3478"/>
    <w:lvl w:ilvl="0" w:tplc="0B10A8A0">
      <w:start w:val="1"/>
      <w:numFmt w:val="lowerLetter"/>
      <w:lvlText w:val="(%1)"/>
      <w:lvlJc w:val="left"/>
      <w:pPr>
        <w:ind w:left="1800" w:hanging="360"/>
      </w:pPr>
      <w:rPr>
        <w:rFonts w:hint="default"/>
      </w:rPr>
    </w:lvl>
    <w:lvl w:ilvl="1" w:tplc="0C090019">
      <w:start w:val="1"/>
      <w:numFmt w:val="lowerLetter"/>
      <w:lvlText w:val="%2."/>
      <w:lvlJc w:val="left"/>
      <w:pPr>
        <w:ind w:left="2814" w:hanging="360"/>
      </w:pPr>
    </w:lvl>
    <w:lvl w:ilvl="2" w:tplc="0C09001B">
      <w:start w:val="1"/>
      <w:numFmt w:val="lowerRoman"/>
      <w:lvlText w:val="%3."/>
      <w:lvlJc w:val="right"/>
      <w:pPr>
        <w:ind w:left="3534" w:hanging="180"/>
      </w:pPr>
    </w:lvl>
    <w:lvl w:ilvl="3" w:tplc="0C09000F" w:tentative="1">
      <w:start w:val="1"/>
      <w:numFmt w:val="decimal"/>
      <w:lvlText w:val="%4."/>
      <w:lvlJc w:val="left"/>
      <w:pPr>
        <w:ind w:left="4254" w:hanging="360"/>
      </w:pPr>
    </w:lvl>
    <w:lvl w:ilvl="4" w:tplc="0C090019" w:tentative="1">
      <w:start w:val="1"/>
      <w:numFmt w:val="lowerLetter"/>
      <w:lvlText w:val="%5."/>
      <w:lvlJc w:val="left"/>
      <w:pPr>
        <w:ind w:left="4974" w:hanging="360"/>
      </w:pPr>
    </w:lvl>
    <w:lvl w:ilvl="5" w:tplc="0C09001B" w:tentative="1">
      <w:start w:val="1"/>
      <w:numFmt w:val="lowerRoman"/>
      <w:lvlText w:val="%6."/>
      <w:lvlJc w:val="right"/>
      <w:pPr>
        <w:ind w:left="5694" w:hanging="180"/>
      </w:pPr>
    </w:lvl>
    <w:lvl w:ilvl="6" w:tplc="0C09000F" w:tentative="1">
      <w:start w:val="1"/>
      <w:numFmt w:val="decimal"/>
      <w:lvlText w:val="%7."/>
      <w:lvlJc w:val="left"/>
      <w:pPr>
        <w:ind w:left="6414" w:hanging="360"/>
      </w:pPr>
    </w:lvl>
    <w:lvl w:ilvl="7" w:tplc="0C090019" w:tentative="1">
      <w:start w:val="1"/>
      <w:numFmt w:val="lowerLetter"/>
      <w:lvlText w:val="%8."/>
      <w:lvlJc w:val="left"/>
      <w:pPr>
        <w:ind w:left="7134" w:hanging="360"/>
      </w:pPr>
    </w:lvl>
    <w:lvl w:ilvl="8" w:tplc="0C09001B" w:tentative="1">
      <w:start w:val="1"/>
      <w:numFmt w:val="lowerRoman"/>
      <w:lvlText w:val="%9."/>
      <w:lvlJc w:val="right"/>
      <w:pPr>
        <w:ind w:left="7854" w:hanging="180"/>
      </w:pPr>
    </w:lvl>
  </w:abstractNum>
  <w:abstractNum w:abstractNumId="5">
    <w:nsid w:val="2BF75796"/>
    <w:multiLevelType w:val="hybridMultilevel"/>
    <w:tmpl w:val="86D2A5BA"/>
    <w:lvl w:ilvl="0" w:tplc="9516DBF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380440B2"/>
    <w:multiLevelType w:val="hybridMultilevel"/>
    <w:tmpl w:val="C576BDE6"/>
    <w:lvl w:ilvl="0" w:tplc="F7A06ACE">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7">
    <w:nsid w:val="3EA56FDF"/>
    <w:multiLevelType w:val="hybridMultilevel"/>
    <w:tmpl w:val="F16A0F0C"/>
    <w:lvl w:ilvl="0" w:tplc="84B46D72">
      <w:start w:val="1"/>
      <w:numFmt w:val="lowerRoman"/>
      <w:lvlText w:val="(%1)"/>
      <w:lvlJc w:val="left"/>
      <w:pPr>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081913"/>
    <w:multiLevelType w:val="hybridMultilevel"/>
    <w:tmpl w:val="D9A8A5A4"/>
    <w:lvl w:ilvl="0" w:tplc="0C09000F">
      <w:start w:val="1"/>
      <w:numFmt w:val="decimal"/>
      <w:lvlText w:val="%1."/>
      <w:lvlJc w:val="left"/>
      <w:pPr>
        <w:ind w:left="720" w:hanging="360"/>
      </w:pPr>
      <w:rPr>
        <w:rFonts w:hint="default"/>
      </w:rPr>
    </w:lvl>
    <w:lvl w:ilvl="1" w:tplc="44D62CC4">
      <w:start w:val="1"/>
      <w:numFmt w:val="lowerLetter"/>
      <w:lvlText w:val="(%2)"/>
      <w:lvlJc w:val="left"/>
      <w:pPr>
        <w:ind w:left="107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6B1F28"/>
    <w:multiLevelType w:val="hybridMultilevel"/>
    <w:tmpl w:val="9A3C8D86"/>
    <w:lvl w:ilvl="0" w:tplc="ADB486E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E3226CA"/>
    <w:multiLevelType w:val="hybridMultilevel"/>
    <w:tmpl w:val="E776422E"/>
    <w:lvl w:ilvl="0" w:tplc="0ABC393A">
      <w:start w:val="1"/>
      <w:numFmt w:val="lowerLetter"/>
      <w:lvlText w:val="(%1)"/>
      <w:lvlJc w:val="left"/>
      <w:pPr>
        <w:ind w:left="2295" w:hanging="73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4ED90DFE"/>
    <w:multiLevelType w:val="hybridMultilevel"/>
    <w:tmpl w:val="E36AF2C4"/>
    <w:lvl w:ilvl="0" w:tplc="0C090001">
      <w:start w:val="1"/>
      <w:numFmt w:val="bullet"/>
      <w:lvlText w:val=""/>
      <w:lvlJc w:val="left"/>
      <w:pPr>
        <w:ind w:left="2895" w:hanging="360"/>
      </w:pPr>
      <w:rPr>
        <w:rFonts w:ascii="Symbol" w:hAnsi="Symbol" w:hint="default"/>
      </w:rPr>
    </w:lvl>
    <w:lvl w:ilvl="1" w:tplc="0C090003">
      <w:start w:val="1"/>
      <w:numFmt w:val="bullet"/>
      <w:lvlText w:val="o"/>
      <w:lvlJc w:val="left"/>
      <w:pPr>
        <w:ind w:left="3615" w:hanging="360"/>
      </w:pPr>
      <w:rPr>
        <w:rFonts w:ascii="Courier New" w:hAnsi="Courier New" w:cs="Courier New" w:hint="default"/>
      </w:rPr>
    </w:lvl>
    <w:lvl w:ilvl="2" w:tplc="0C090005" w:tentative="1">
      <w:start w:val="1"/>
      <w:numFmt w:val="bullet"/>
      <w:lvlText w:val=""/>
      <w:lvlJc w:val="left"/>
      <w:pPr>
        <w:ind w:left="4335" w:hanging="360"/>
      </w:pPr>
      <w:rPr>
        <w:rFonts w:ascii="Wingdings" w:hAnsi="Wingdings" w:hint="default"/>
      </w:rPr>
    </w:lvl>
    <w:lvl w:ilvl="3" w:tplc="0C090001" w:tentative="1">
      <w:start w:val="1"/>
      <w:numFmt w:val="bullet"/>
      <w:lvlText w:val=""/>
      <w:lvlJc w:val="left"/>
      <w:pPr>
        <w:ind w:left="5055" w:hanging="360"/>
      </w:pPr>
      <w:rPr>
        <w:rFonts w:ascii="Symbol" w:hAnsi="Symbol" w:hint="default"/>
      </w:rPr>
    </w:lvl>
    <w:lvl w:ilvl="4" w:tplc="0C090003" w:tentative="1">
      <w:start w:val="1"/>
      <w:numFmt w:val="bullet"/>
      <w:lvlText w:val="o"/>
      <w:lvlJc w:val="left"/>
      <w:pPr>
        <w:ind w:left="5775" w:hanging="360"/>
      </w:pPr>
      <w:rPr>
        <w:rFonts w:ascii="Courier New" w:hAnsi="Courier New" w:cs="Courier New" w:hint="default"/>
      </w:rPr>
    </w:lvl>
    <w:lvl w:ilvl="5" w:tplc="0C090005" w:tentative="1">
      <w:start w:val="1"/>
      <w:numFmt w:val="bullet"/>
      <w:lvlText w:val=""/>
      <w:lvlJc w:val="left"/>
      <w:pPr>
        <w:ind w:left="6495" w:hanging="360"/>
      </w:pPr>
      <w:rPr>
        <w:rFonts w:ascii="Wingdings" w:hAnsi="Wingdings" w:hint="default"/>
      </w:rPr>
    </w:lvl>
    <w:lvl w:ilvl="6" w:tplc="0C090001" w:tentative="1">
      <w:start w:val="1"/>
      <w:numFmt w:val="bullet"/>
      <w:lvlText w:val=""/>
      <w:lvlJc w:val="left"/>
      <w:pPr>
        <w:ind w:left="7215" w:hanging="360"/>
      </w:pPr>
      <w:rPr>
        <w:rFonts w:ascii="Symbol" w:hAnsi="Symbol" w:hint="default"/>
      </w:rPr>
    </w:lvl>
    <w:lvl w:ilvl="7" w:tplc="0C090003" w:tentative="1">
      <w:start w:val="1"/>
      <w:numFmt w:val="bullet"/>
      <w:lvlText w:val="o"/>
      <w:lvlJc w:val="left"/>
      <w:pPr>
        <w:ind w:left="7935" w:hanging="360"/>
      </w:pPr>
      <w:rPr>
        <w:rFonts w:ascii="Courier New" w:hAnsi="Courier New" w:cs="Courier New" w:hint="default"/>
      </w:rPr>
    </w:lvl>
    <w:lvl w:ilvl="8" w:tplc="0C090005" w:tentative="1">
      <w:start w:val="1"/>
      <w:numFmt w:val="bullet"/>
      <w:lvlText w:val=""/>
      <w:lvlJc w:val="left"/>
      <w:pPr>
        <w:ind w:left="8655" w:hanging="360"/>
      </w:pPr>
      <w:rPr>
        <w:rFonts w:ascii="Wingdings" w:hAnsi="Wingdings" w:hint="default"/>
      </w:rPr>
    </w:lvl>
  </w:abstractNum>
  <w:abstractNum w:abstractNumId="12">
    <w:nsid w:val="53AF2803"/>
    <w:multiLevelType w:val="hybridMultilevel"/>
    <w:tmpl w:val="B336D014"/>
    <w:lvl w:ilvl="0" w:tplc="41C0E7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5211DAB"/>
    <w:multiLevelType w:val="hybridMultilevel"/>
    <w:tmpl w:val="4C665FCC"/>
    <w:lvl w:ilvl="0" w:tplc="4612B238">
      <w:start w:val="1"/>
      <w:numFmt w:val="lowerLetter"/>
      <w:lvlText w:val="(%1)"/>
      <w:lvlJc w:val="left"/>
      <w:pPr>
        <w:ind w:left="1778" w:hanging="360"/>
      </w:pPr>
      <w:rPr>
        <w:rFonts w:hint="default"/>
      </w:rPr>
    </w:lvl>
    <w:lvl w:ilvl="1" w:tplc="0C09001B">
      <w:start w:val="1"/>
      <w:numFmt w:val="lowerRoman"/>
      <w:lvlText w:val="%2."/>
      <w:lvlJc w:val="right"/>
      <w:pPr>
        <w:ind w:left="2106" w:hanging="360"/>
      </w:pPr>
    </w:lvl>
    <w:lvl w:ilvl="2" w:tplc="0C09001B">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14">
    <w:nsid w:val="56BB16E0"/>
    <w:multiLevelType w:val="hybridMultilevel"/>
    <w:tmpl w:val="83F84D96"/>
    <w:lvl w:ilvl="0" w:tplc="3296F320">
      <w:start w:val="1"/>
      <w:numFmt w:val="lowerLetter"/>
      <w:lvlText w:val="(%1)"/>
      <w:lvlJc w:val="left"/>
      <w:pPr>
        <w:ind w:left="1908" w:hanging="360"/>
      </w:pPr>
      <w:rPr>
        <w:rFonts w:hint="default"/>
      </w:rPr>
    </w:lvl>
    <w:lvl w:ilvl="1" w:tplc="E8ACCC0A">
      <w:start w:val="1"/>
      <w:numFmt w:val="lowerRoman"/>
      <w:lvlText w:val="%2."/>
      <w:lvlJc w:val="right"/>
      <w:pPr>
        <w:ind w:left="2628" w:hanging="360"/>
      </w:pPr>
      <w:rPr>
        <w:rFonts w:hint="default"/>
        <w:b w:val="0"/>
        <w:i w:val="0"/>
      </w:rPr>
    </w:lvl>
    <w:lvl w:ilvl="2" w:tplc="0C09001B">
      <w:start w:val="1"/>
      <w:numFmt w:val="lowerRoman"/>
      <w:lvlText w:val="%3."/>
      <w:lvlJc w:val="right"/>
      <w:pPr>
        <w:ind w:left="3348" w:hanging="180"/>
      </w:pPr>
    </w:lvl>
    <w:lvl w:ilvl="3" w:tplc="0C09000F" w:tentative="1">
      <w:start w:val="1"/>
      <w:numFmt w:val="decimal"/>
      <w:lvlText w:val="%4."/>
      <w:lvlJc w:val="left"/>
      <w:pPr>
        <w:ind w:left="4068" w:hanging="360"/>
      </w:pPr>
    </w:lvl>
    <w:lvl w:ilvl="4" w:tplc="0C090019" w:tentative="1">
      <w:start w:val="1"/>
      <w:numFmt w:val="lowerLetter"/>
      <w:lvlText w:val="%5."/>
      <w:lvlJc w:val="left"/>
      <w:pPr>
        <w:ind w:left="4788" w:hanging="360"/>
      </w:pPr>
    </w:lvl>
    <w:lvl w:ilvl="5" w:tplc="0C09001B" w:tentative="1">
      <w:start w:val="1"/>
      <w:numFmt w:val="lowerRoman"/>
      <w:lvlText w:val="%6."/>
      <w:lvlJc w:val="right"/>
      <w:pPr>
        <w:ind w:left="5508" w:hanging="180"/>
      </w:pPr>
    </w:lvl>
    <w:lvl w:ilvl="6" w:tplc="0C09000F" w:tentative="1">
      <w:start w:val="1"/>
      <w:numFmt w:val="decimal"/>
      <w:lvlText w:val="%7."/>
      <w:lvlJc w:val="left"/>
      <w:pPr>
        <w:ind w:left="6228" w:hanging="360"/>
      </w:pPr>
    </w:lvl>
    <w:lvl w:ilvl="7" w:tplc="0C090019" w:tentative="1">
      <w:start w:val="1"/>
      <w:numFmt w:val="lowerLetter"/>
      <w:lvlText w:val="%8."/>
      <w:lvlJc w:val="left"/>
      <w:pPr>
        <w:ind w:left="6948" w:hanging="360"/>
      </w:pPr>
    </w:lvl>
    <w:lvl w:ilvl="8" w:tplc="0C09001B" w:tentative="1">
      <w:start w:val="1"/>
      <w:numFmt w:val="lowerRoman"/>
      <w:lvlText w:val="%9."/>
      <w:lvlJc w:val="right"/>
      <w:pPr>
        <w:ind w:left="7668" w:hanging="180"/>
      </w:pPr>
    </w:lvl>
  </w:abstractNum>
  <w:abstractNum w:abstractNumId="15">
    <w:nsid w:val="570C2F45"/>
    <w:multiLevelType w:val="hybridMultilevel"/>
    <w:tmpl w:val="4B78CBFE"/>
    <w:lvl w:ilvl="0" w:tplc="84B46D72">
      <w:start w:val="1"/>
      <w:numFmt w:val="lowerRoman"/>
      <w:lvlText w:val="(%1)"/>
      <w:lvlJc w:val="left"/>
      <w:pPr>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8F57AB1"/>
    <w:multiLevelType w:val="hybridMultilevel"/>
    <w:tmpl w:val="83F84D96"/>
    <w:lvl w:ilvl="0" w:tplc="3296F320">
      <w:start w:val="1"/>
      <w:numFmt w:val="lowerLetter"/>
      <w:lvlText w:val="(%1)"/>
      <w:lvlJc w:val="left"/>
      <w:pPr>
        <w:ind w:left="1908" w:hanging="360"/>
      </w:pPr>
      <w:rPr>
        <w:rFonts w:hint="default"/>
      </w:rPr>
    </w:lvl>
    <w:lvl w:ilvl="1" w:tplc="E8ACCC0A">
      <w:start w:val="1"/>
      <w:numFmt w:val="lowerRoman"/>
      <w:lvlText w:val="%2."/>
      <w:lvlJc w:val="right"/>
      <w:pPr>
        <w:ind w:left="2628" w:hanging="360"/>
      </w:pPr>
      <w:rPr>
        <w:rFonts w:hint="default"/>
        <w:b w:val="0"/>
        <w:i w:val="0"/>
      </w:rPr>
    </w:lvl>
    <w:lvl w:ilvl="2" w:tplc="0C09001B">
      <w:start w:val="1"/>
      <w:numFmt w:val="lowerRoman"/>
      <w:lvlText w:val="%3."/>
      <w:lvlJc w:val="right"/>
      <w:pPr>
        <w:ind w:left="3348" w:hanging="180"/>
      </w:pPr>
    </w:lvl>
    <w:lvl w:ilvl="3" w:tplc="0C09000F" w:tentative="1">
      <w:start w:val="1"/>
      <w:numFmt w:val="decimal"/>
      <w:lvlText w:val="%4."/>
      <w:lvlJc w:val="left"/>
      <w:pPr>
        <w:ind w:left="4068" w:hanging="360"/>
      </w:pPr>
    </w:lvl>
    <w:lvl w:ilvl="4" w:tplc="0C090019" w:tentative="1">
      <w:start w:val="1"/>
      <w:numFmt w:val="lowerLetter"/>
      <w:lvlText w:val="%5."/>
      <w:lvlJc w:val="left"/>
      <w:pPr>
        <w:ind w:left="4788" w:hanging="360"/>
      </w:pPr>
    </w:lvl>
    <w:lvl w:ilvl="5" w:tplc="0C09001B" w:tentative="1">
      <w:start w:val="1"/>
      <w:numFmt w:val="lowerRoman"/>
      <w:lvlText w:val="%6."/>
      <w:lvlJc w:val="right"/>
      <w:pPr>
        <w:ind w:left="5508" w:hanging="180"/>
      </w:pPr>
    </w:lvl>
    <w:lvl w:ilvl="6" w:tplc="0C09000F" w:tentative="1">
      <w:start w:val="1"/>
      <w:numFmt w:val="decimal"/>
      <w:lvlText w:val="%7."/>
      <w:lvlJc w:val="left"/>
      <w:pPr>
        <w:ind w:left="6228" w:hanging="360"/>
      </w:pPr>
    </w:lvl>
    <w:lvl w:ilvl="7" w:tplc="0C090019" w:tentative="1">
      <w:start w:val="1"/>
      <w:numFmt w:val="lowerLetter"/>
      <w:lvlText w:val="%8."/>
      <w:lvlJc w:val="left"/>
      <w:pPr>
        <w:ind w:left="6948" w:hanging="360"/>
      </w:pPr>
    </w:lvl>
    <w:lvl w:ilvl="8" w:tplc="0C09001B" w:tentative="1">
      <w:start w:val="1"/>
      <w:numFmt w:val="lowerRoman"/>
      <w:lvlText w:val="%9."/>
      <w:lvlJc w:val="right"/>
      <w:pPr>
        <w:ind w:left="7668" w:hanging="180"/>
      </w:pPr>
    </w:lvl>
  </w:abstractNum>
  <w:abstractNum w:abstractNumId="17">
    <w:nsid w:val="5CB84A8A"/>
    <w:multiLevelType w:val="hybridMultilevel"/>
    <w:tmpl w:val="F5C649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84B46D72">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7E47F5"/>
    <w:multiLevelType w:val="hybridMultilevel"/>
    <w:tmpl w:val="96A26DC0"/>
    <w:lvl w:ilvl="0" w:tplc="459A864A">
      <w:start w:val="1"/>
      <w:numFmt w:val="lowerLetter"/>
      <w:lvlText w:val="(%1)"/>
      <w:lvlJc w:val="left"/>
      <w:pPr>
        <w:ind w:left="1080" w:hanging="360"/>
      </w:pPr>
      <w:rPr>
        <w:rFonts w:hint="default"/>
      </w:rPr>
    </w:lvl>
    <w:lvl w:ilvl="1" w:tplc="84B46D72">
      <w:start w:val="1"/>
      <w:numFmt w:val="lowerRoman"/>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2162B77"/>
    <w:multiLevelType w:val="hybridMultilevel"/>
    <w:tmpl w:val="6EDC66F2"/>
    <w:lvl w:ilvl="0" w:tplc="6DC47D48">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6E0C111F"/>
    <w:multiLevelType w:val="hybridMultilevel"/>
    <w:tmpl w:val="F16A0F0C"/>
    <w:lvl w:ilvl="0" w:tplc="84B46D72">
      <w:start w:val="1"/>
      <w:numFmt w:val="lowerRoman"/>
      <w:lvlText w:val="(%1)"/>
      <w:lvlJc w:val="left"/>
      <w:pPr>
        <w:ind w:left="2160" w:hanging="72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21">
    <w:nsid w:val="71F80C37"/>
    <w:multiLevelType w:val="hybridMultilevel"/>
    <w:tmpl w:val="AAB45BEA"/>
    <w:lvl w:ilvl="0" w:tplc="459A864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nsid w:val="75F87F36"/>
    <w:multiLevelType w:val="hybridMultilevel"/>
    <w:tmpl w:val="E776422E"/>
    <w:lvl w:ilvl="0" w:tplc="0ABC393A">
      <w:start w:val="1"/>
      <w:numFmt w:val="lowerLetter"/>
      <w:lvlText w:val="(%1)"/>
      <w:lvlJc w:val="left"/>
      <w:pPr>
        <w:ind w:left="2175" w:hanging="73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7F467B76"/>
    <w:multiLevelType w:val="hybridMultilevel"/>
    <w:tmpl w:val="36FE3478"/>
    <w:lvl w:ilvl="0" w:tplc="0B10A8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6"/>
  </w:num>
  <w:num w:numId="3">
    <w:abstractNumId w:val="15"/>
  </w:num>
  <w:num w:numId="4">
    <w:abstractNumId w:val="14"/>
  </w:num>
  <w:num w:numId="5">
    <w:abstractNumId w:val="13"/>
  </w:num>
  <w:num w:numId="6">
    <w:abstractNumId w:val="8"/>
  </w:num>
  <w:num w:numId="7">
    <w:abstractNumId w:val="18"/>
  </w:num>
  <w:num w:numId="8">
    <w:abstractNumId w:val="20"/>
  </w:num>
  <w:num w:numId="9">
    <w:abstractNumId w:val="17"/>
  </w:num>
  <w:num w:numId="10">
    <w:abstractNumId w:val="23"/>
  </w:num>
  <w:num w:numId="11">
    <w:abstractNumId w:val="4"/>
  </w:num>
  <w:num w:numId="12">
    <w:abstractNumId w:val="7"/>
  </w:num>
  <w:num w:numId="13">
    <w:abstractNumId w:val="21"/>
  </w:num>
  <w:num w:numId="14">
    <w:abstractNumId w:val="2"/>
  </w:num>
  <w:num w:numId="15">
    <w:abstractNumId w:val="1"/>
  </w:num>
  <w:num w:numId="16">
    <w:abstractNumId w:val="3"/>
  </w:num>
  <w:num w:numId="17">
    <w:abstractNumId w:val="10"/>
  </w:num>
  <w:num w:numId="18">
    <w:abstractNumId w:val="19"/>
  </w:num>
  <w:num w:numId="19">
    <w:abstractNumId w:val="11"/>
  </w:num>
  <w:num w:numId="20">
    <w:abstractNumId w:val="5"/>
  </w:num>
  <w:num w:numId="21">
    <w:abstractNumId w:val="22"/>
  </w:num>
  <w:num w:numId="22">
    <w:abstractNumId w:val="12"/>
  </w:num>
  <w:num w:numId="23">
    <w:abstractNumId w:val="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oNotTrackMoves/>
  <w:doNotTrackFormatting/>
  <w:defaultTabStop w:val="720"/>
  <w:noPunctuationKerning/>
  <w:characterSpacingControl w:val="doNotCompress"/>
  <w:hdrShapeDefaults>
    <o:shapedefaults v:ext="edit" spidmax="29698"/>
  </w:hdrShapeDefaults>
  <w:footnotePr>
    <w:footnote w:id="-1"/>
    <w:footnote w:id="0"/>
  </w:footnotePr>
  <w:endnotePr>
    <w:endnote w:id="-1"/>
    <w:endnote w:id="0"/>
  </w:endnotePr>
  <w:compat/>
  <w:rsids>
    <w:rsidRoot w:val="006F76AC"/>
    <w:rsid w:val="00007164"/>
    <w:rsid w:val="00007F81"/>
    <w:rsid w:val="00011123"/>
    <w:rsid w:val="000146C2"/>
    <w:rsid w:val="00014AF1"/>
    <w:rsid w:val="00021B0D"/>
    <w:rsid w:val="000234FD"/>
    <w:rsid w:val="00026DB1"/>
    <w:rsid w:val="00026F76"/>
    <w:rsid w:val="0003069D"/>
    <w:rsid w:val="0003124C"/>
    <w:rsid w:val="000313E7"/>
    <w:rsid w:val="00031E4B"/>
    <w:rsid w:val="00037792"/>
    <w:rsid w:val="00040C30"/>
    <w:rsid w:val="000425AA"/>
    <w:rsid w:val="00044925"/>
    <w:rsid w:val="000458A1"/>
    <w:rsid w:val="000554FD"/>
    <w:rsid w:val="00060817"/>
    <w:rsid w:val="000640CF"/>
    <w:rsid w:val="00065AEA"/>
    <w:rsid w:val="00070DC5"/>
    <w:rsid w:val="00071480"/>
    <w:rsid w:val="000717A5"/>
    <w:rsid w:val="00074AAA"/>
    <w:rsid w:val="00081A6A"/>
    <w:rsid w:val="00084FCE"/>
    <w:rsid w:val="0008596D"/>
    <w:rsid w:val="0008623E"/>
    <w:rsid w:val="0008748F"/>
    <w:rsid w:val="00090DC7"/>
    <w:rsid w:val="00091297"/>
    <w:rsid w:val="000912BE"/>
    <w:rsid w:val="00093249"/>
    <w:rsid w:val="00095063"/>
    <w:rsid w:val="00096E3B"/>
    <w:rsid w:val="00097629"/>
    <w:rsid w:val="00097E84"/>
    <w:rsid w:val="000A050C"/>
    <w:rsid w:val="000A16C9"/>
    <w:rsid w:val="000A5F14"/>
    <w:rsid w:val="000B0FE2"/>
    <w:rsid w:val="000B18C3"/>
    <w:rsid w:val="000B5AA2"/>
    <w:rsid w:val="000B5DFB"/>
    <w:rsid w:val="000C1E13"/>
    <w:rsid w:val="000C3571"/>
    <w:rsid w:val="000C6489"/>
    <w:rsid w:val="000C7134"/>
    <w:rsid w:val="000D0681"/>
    <w:rsid w:val="000D0F85"/>
    <w:rsid w:val="000D1164"/>
    <w:rsid w:val="000E0E52"/>
    <w:rsid w:val="000E1F2B"/>
    <w:rsid w:val="000E314E"/>
    <w:rsid w:val="000E4196"/>
    <w:rsid w:val="000E454D"/>
    <w:rsid w:val="000E4777"/>
    <w:rsid w:val="000E6CAD"/>
    <w:rsid w:val="000F1C6D"/>
    <w:rsid w:val="000F740D"/>
    <w:rsid w:val="000F7446"/>
    <w:rsid w:val="000F7CE1"/>
    <w:rsid w:val="001003AD"/>
    <w:rsid w:val="00107CBA"/>
    <w:rsid w:val="00111FDB"/>
    <w:rsid w:val="0011625D"/>
    <w:rsid w:val="001170E4"/>
    <w:rsid w:val="0011773A"/>
    <w:rsid w:val="00130D6E"/>
    <w:rsid w:val="0013167C"/>
    <w:rsid w:val="00140542"/>
    <w:rsid w:val="00143E77"/>
    <w:rsid w:val="00146B89"/>
    <w:rsid w:val="00147F3A"/>
    <w:rsid w:val="00151B01"/>
    <w:rsid w:val="00153300"/>
    <w:rsid w:val="0015417B"/>
    <w:rsid w:val="00155EA5"/>
    <w:rsid w:val="0016064B"/>
    <w:rsid w:val="001615B6"/>
    <w:rsid w:val="001632B7"/>
    <w:rsid w:val="00170D0F"/>
    <w:rsid w:val="00172514"/>
    <w:rsid w:val="00185052"/>
    <w:rsid w:val="001854BE"/>
    <w:rsid w:val="001870EC"/>
    <w:rsid w:val="00192540"/>
    <w:rsid w:val="001A09A3"/>
    <w:rsid w:val="001A296F"/>
    <w:rsid w:val="001A3720"/>
    <w:rsid w:val="001B3898"/>
    <w:rsid w:val="001C38F6"/>
    <w:rsid w:val="001C58EC"/>
    <w:rsid w:val="001D1736"/>
    <w:rsid w:val="001D58DA"/>
    <w:rsid w:val="001D7987"/>
    <w:rsid w:val="001E3AB0"/>
    <w:rsid w:val="001E5C2F"/>
    <w:rsid w:val="001E5DDB"/>
    <w:rsid w:val="001F2DEF"/>
    <w:rsid w:val="001F6D9D"/>
    <w:rsid w:val="001F7F06"/>
    <w:rsid w:val="0020339A"/>
    <w:rsid w:val="00212604"/>
    <w:rsid w:val="00212F9E"/>
    <w:rsid w:val="002140F5"/>
    <w:rsid w:val="00214B8B"/>
    <w:rsid w:val="002162DC"/>
    <w:rsid w:val="00216476"/>
    <w:rsid w:val="0022169C"/>
    <w:rsid w:val="0022181B"/>
    <w:rsid w:val="00236BA9"/>
    <w:rsid w:val="00245448"/>
    <w:rsid w:val="00245CA9"/>
    <w:rsid w:val="002509AF"/>
    <w:rsid w:val="00252348"/>
    <w:rsid w:val="00255CE7"/>
    <w:rsid w:val="002568CA"/>
    <w:rsid w:val="00256D6B"/>
    <w:rsid w:val="00263631"/>
    <w:rsid w:val="00265A53"/>
    <w:rsid w:val="002702D0"/>
    <w:rsid w:val="00271858"/>
    <w:rsid w:val="00273C36"/>
    <w:rsid w:val="00277D17"/>
    <w:rsid w:val="00277D56"/>
    <w:rsid w:val="00280705"/>
    <w:rsid w:val="00281BA3"/>
    <w:rsid w:val="00285A79"/>
    <w:rsid w:val="00286330"/>
    <w:rsid w:val="0029186A"/>
    <w:rsid w:val="00295D37"/>
    <w:rsid w:val="00297B3A"/>
    <w:rsid w:val="002A1C47"/>
    <w:rsid w:val="002A5208"/>
    <w:rsid w:val="002A5CE8"/>
    <w:rsid w:val="002B64E9"/>
    <w:rsid w:val="002B7A88"/>
    <w:rsid w:val="002C16DD"/>
    <w:rsid w:val="002C2E50"/>
    <w:rsid w:val="002C3DDF"/>
    <w:rsid w:val="002C68DA"/>
    <w:rsid w:val="002D0EDB"/>
    <w:rsid w:val="002D1D01"/>
    <w:rsid w:val="002E078D"/>
    <w:rsid w:val="002F54C4"/>
    <w:rsid w:val="002F6005"/>
    <w:rsid w:val="003051B8"/>
    <w:rsid w:val="00305635"/>
    <w:rsid w:val="003058F7"/>
    <w:rsid w:val="00305B7C"/>
    <w:rsid w:val="0031660E"/>
    <w:rsid w:val="003167BC"/>
    <w:rsid w:val="00317C87"/>
    <w:rsid w:val="003211E6"/>
    <w:rsid w:val="00322F7A"/>
    <w:rsid w:val="0032481E"/>
    <w:rsid w:val="0033082B"/>
    <w:rsid w:val="00331D7F"/>
    <w:rsid w:val="0033443F"/>
    <w:rsid w:val="00335A5C"/>
    <w:rsid w:val="00335C11"/>
    <w:rsid w:val="00336871"/>
    <w:rsid w:val="003443DA"/>
    <w:rsid w:val="003459DE"/>
    <w:rsid w:val="00350DBA"/>
    <w:rsid w:val="00360AB7"/>
    <w:rsid w:val="00360C5E"/>
    <w:rsid w:val="003617AA"/>
    <w:rsid w:val="00373D32"/>
    <w:rsid w:val="003764DC"/>
    <w:rsid w:val="0037794E"/>
    <w:rsid w:val="00383228"/>
    <w:rsid w:val="00383AEE"/>
    <w:rsid w:val="00385FCC"/>
    <w:rsid w:val="00386BD2"/>
    <w:rsid w:val="00387E64"/>
    <w:rsid w:val="0039413A"/>
    <w:rsid w:val="003A543A"/>
    <w:rsid w:val="003A6390"/>
    <w:rsid w:val="003A7D90"/>
    <w:rsid w:val="003B0D8C"/>
    <w:rsid w:val="003B19BF"/>
    <w:rsid w:val="003B530C"/>
    <w:rsid w:val="003B60E4"/>
    <w:rsid w:val="003D5623"/>
    <w:rsid w:val="003D6AA5"/>
    <w:rsid w:val="003D76C9"/>
    <w:rsid w:val="003E0633"/>
    <w:rsid w:val="003E2C5F"/>
    <w:rsid w:val="003E7342"/>
    <w:rsid w:val="003F0023"/>
    <w:rsid w:val="003F0A39"/>
    <w:rsid w:val="003F5DAA"/>
    <w:rsid w:val="004017A7"/>
    <w:rsid w:val="00402965"/>
    <w:rsid w:val="00402DEF"/>
    <w:rsid w:val="00402FAA"/>
    <w:rsid w:val="004036C6"/>
    <w:rsid w:val="00403FB8"/>
    <w:rsid w:val="004053DA"/>
    <w:rsid w:val="00407794"/>
    <w:rsid w:val="004103D1"/>
    <w:rsid w:val="004172B9"/>
    <w:rsid w:val="004175D2"/>
    <w:rsid w:val="004204E5"/>
    <w:rsid w:val="00421171"/>
    <w:rsid w:val="004300AC"/>
    <w:rsid w:val="00431516"/>
    <w:rsid w:val="00431D77"/>
    <w:rsid w:val="00431FFF"/>
    <w:rsid w:val="0043279C"/>
    <w:rsid w:val="0044094B"/>
    <w:rsid w:val="00442B25"/>
    <w:rsid w:val="00443A06"/>
    <w:rsid w:val="0044691A"/>
    <w:rsid w:val="004508D7"/>
    <w:rsid w:val="00450941"/>
    <w:rsid w:val="0045412C"/>
    <w:rsid w:val="00460187"/>
    <w:rsid w:val="0046026C"/>
    <w:rsid w:val="004611D2"/>
    <w:rsid w:val="00462F8C"/>
    <w:rsid w:val="00466EDA"/>
    <w:rsid w:val="004674F6"/>
    <w:rsid w:val="00482322"/>
    <w:rsid w:val="0048599A"/>
    <w:rsid w:val="00486659"/>
    <w:rsid w:val="0048734F"/>
    <w:rsid w:val="00492F27"/>
    <w:rsid w:val="00496C73"/>
    <w:rsid w:val="004A2DFD"/>
    <w:rsid w:val="004A5E11"/>
    <w:rsid w:val="004B0842"/>
    <w:rsid w:val="004C516E"/>
    <w:rsid w:val="004C6F4B"/>
    <w:rsid w:val="004D0BB4"/>
    <w:rsid w:val="004D739F"/>
    <w:rsid w:val="004E1C05"/>
    <w:rsid w:val="004E289D"/>
    <w:rsid w:val="004E3DE2"/>
    <w:rsid w:val="004E5BF2"/>
    <w:rsid w:val="004F0300"/>
    <w:rsid w:val="004F1504"/>
    <w:rsid w:val="004F1D09"/>
    <w:rsid w:val="004F50BA"/>
    <w:rsid w:val="004F62C5"/>
    <w:rsid w:val="004F6C99"/>
    <w:rsid w:val="00500A59"/>
    <w:rsid w:val="005022FA"/>
    <w:rsid w:val="00504E9F"/>
    <w:rsid w:val="005063DC"/>
    <w:rsid w:val="005074C2"/>
    <w:rsid w:val="00513860"/>
    <w:rsid w:val="00513A7F"/>
    <w:rsid w:val="005140B0"/>
    <w:rsid w:val="00514DDA"/>
    <w:rsid w:val="00514EDE"/>
    <w:rsid w:val="00515AF0"/>
    <w:rsid w:val="00516AF9"/>
    <w:rsid w:val="00521565"/>
    <w:rsid w:val="00525B67"/>
    <w:rsid w:val="00526695"/>
    <w:rsid w:val="0052794C"/>
    <w:rsid w:val="00536A5C"/>
    <w:rsid w:val="00541B9E"/>
    <w:rsid w:val="00542400"/>
    <w:rsid w:val="005463D0"/>
    <w:rsid w:val="005513FB"/>
    <w:rsid w:val="00554689"/>
    <w:rsid w:val="00563DD9"/>
    <w:rsid w:val="00564255"/>
    <w:rsid w:val="005642C2"/>
    <w:rsid w:val="005649E6"/>
    <w:rsid w:val="00565864"/>
    <w:rsid w:val="005730B4"/>
    <w:rsid w:val="00575342"/>
    <w:rsid w:val="00575555"/>
    <w:rsid w:val="0057696A"/>
    <w:rsid w:val="00577C16"/>
    <w:rsid w:val="00577D37"/>
    <w:rsid w:val="0058096D"/>
    <w:rsid w:val="0058223A"/>
    <w:rsid w:val="0058511B"/>
    <w:rsid w:val="0059168C"/>
    <w:rsid w:val="00594856"/>
    <w:rsid w:val="005973FC"/>
    <w:rsid w:val="005979BA"/>
    <w:rsid w:val="005A69E7"/>
    <w:rsid w:val="005A77AC"/>
    <w:rsid w:val="005B13D0"/>
    <w:rsid w:val="005B1BB7"/>
    <w:rsid w:val="005B28ED"/>
    <w:rsid w:val="005B4686"/>
    <w:rsid w:val="005B6409"/>
    <w:rsid w:val="005C1E4C"/>
    <w:rsid w:val="005D1DAF"/>
    <w:rsid w:val="005D429A"/>
    <w:rsid w:val="005D50E5"/>
    <w:rsid w:val="005D61D7"/>
    <w:rsid w:val="005E1797"/>
    <w:rsid w:val="005E2048"/>
    <w:rsid w:val="005E22EC"/>
    <w:rsid w:val="005E3510"/>
    <w:rsid w:val="005F26DA"/>
    <w:rsid w:val="00604A06"/>
    <w:rsid w:val="006061CB"/>
    <w:rsid w:val="006070BD"/>
    <w:rsid w:val="006171ED"/>
    <w:rsid w:val="006201D9"/>
    <w:rsid w:val="006225EE"/>
    <w:rsid w:val="006276F1"/>
    <w:rsid w:val="00631B6F"/>
    <w:rsid w:val="006378D4"/>
    <w:rsid w:val="00643A0A"/>
    <w:rsid w:val="00645812"/>
    <w:rsid w:val="00645B69"/>
    <w:rsid w:val="00647C34"/>
    <w:rsid w:val="006544C6"/>
    <w:rsid w:val="0066323E"/>
    <w:rsid w:val="00663270"/>
    <w:rsid w:val="00663B3B"/>
    <w:rsid w:val="0066489B"/>
    <w:rsid w:val="00664D48"/>
    <w:rsid w:val="00665975"/>
    <w:rsid w:val="006732A1"/>
    <w:rsid w:val="006740AC"/>
    <w:rsid w:val="00674DFA"/>
    <w:rsid w:val="0067517B"/>
    <w:rsid w:val="00676694"/>
    <w:rsid w:val="006822CB"/>
    <w:rsid w:val="0068542B"/>
    <w:rsid w:val="00686A27"/>
    <w:rsid w:val="00687C25"/>
    <w:rsid w:val="00690108"/>
    <w:rsid w:val="006931A5"/>
    <w:rsid w:val="00694E11"/>
    <w:rsid w:val="00697B23"/>
    <w:rsid w:val="006A1A37"/>
    <w:rsid w:val="006A36A4"/>
    <w:rsid w:val="006A7511"/>
    <w:rsid w:val="006B2D48"/>
    <w:rsid w:val="006B507A"/>
    <w:rsid w:val="006B772A"/>
    <w:rsid w:val="006C02B2"/>
    <w:rsid w:val="006C2ADD"/>
    <w:rsid w:val="006C318B"/>
    <w:rsid w:val="006C45AF"/>
    <w:rsid w:val="006C4E82"/>
    <w:rsid w:val="006C63E6"/>
    <w:rsid w:val="006D4CDF"/>
    <w:rsid w:val="006D5736"/>
    <w:rsid w:val="006E646E"/>
    <w:rsid w:val="006E7157"/>
    <w:rsid w:val="006E7494"/>
    <w:rsid w:val="006F2F76"/>
    <w:rsid w:val="006F3C53"/>
    <w:rsid w:val="006F476C"/>
    <w:rsid w:val="006F76AC"/>
    <w:rsid w:val="006F7B66"/>
    <w:rsid w:val="007007CA"/>
    <w:rsid w:val="007012C5"/>
    <w:rsid w:val="007033EF"/>
    <w:rsid w:val="00703660"/>
    <w:rsid w:val="00710E8B"/>
    <w:rsid w:val="00713211"/>
    <w:rsid w:val="00713767"/>
    <w:rsid w:val="00713A1F"/>
    <w:rsid w:val="00713F8F"/>
    <w:rsid w:val="00715A02"/>
    <w:rsid w:val="007170FC"/>
    <w:rsid w:val="00720E2C"/>
    <w:rsid w:val="00721F33"/>
    <w:rsid w:val="007233B4"/>
    <w:rsid w:val="0072639B"/>
    <w:rsid w:val="0073267B"/>
    <w:rsid w:val="007327D3"/>
    <w:rsid w:val="0074009C"/>
    <w:rsid w:val="0074065C"/>
    <w:rsid w:val="0074740D"/>
    <w:rsid w:val="00753A39"/>
    <w:rsid w:val="007563EC"/>
    <w:rsid w:val="007574DA"/>
    <w:rsid w:val="007626E6"/>
    <w:rsid w:val="00765725"/>
    <w:rsid w:val="007667D2"/>
    <w:rsid w:val="00771D78"/>
    <w:rsid w:val="007724C2"/>
    <w:rsid w:val="0077540D"/>
    <w:rsid w:val="00775B14"/>
    <w:rsid w:val="0077763A"/>
    <w:rsid w:val="00777719"/>
    <w:rsid w:val="00784F75"/>
    <w:rsid w:val="00791521"/>
    <w:rsid w:val="00792591"/>
    <w:rsid w:val="00797831"/>
    <w:rsid w:val="007A5D16"/>
    <w:rsid w:val="007B056B"/>
    <w:rsid w:val="007B697F"/>
    <w:rsid w:val="007B7A71"/>
    <w:rsid w:val="007C06E7"/>
    <w:rsid w:val="007D2CB3"/>
    <w:rsid w:val="007D6AB3"/>
    <w:rsid w:val="007E2DE9"/>
    <w:rsid w:val="007F2204"/>
    <w:rsid w:val="007F5A37"/>
    <w:rsid w:val="00801E0F"/>
    <w:rsid w:val="008021D8"/>
    <w:rsid w:val="008024BA"/>
    <w:rsid w:val="00805593"/>
    <w:rsid w:val="0080595A"/>
    <w:rsid w:val="00807D5E"/>
    <w:rsid w:val="00810A35"/>
    <w:rsid w:val="008112CE"/>
    <w:rsid w:val="00811305"/>
    <w:rsid w:val="00812333"/>
    <w:rsid w:val="00816ACD"/>
    <w:rsid w:val="008179C6"/>
    <w:rsid w:val="00817C06"/>
    <w:rsid w:val="0082592E"/>
    <w:rsid w:val="00826484"/>
    <w:rsid w:val="0082786B"/>
    <w:rsid w:val="0083240E"/>
    <w:rsid w:val="008336F7"/>
    <w:rsid w:val="0084263A"/>
    <w:rsid w:val="00842A9D"/>
    <w:rsid w:val="0084537D"/>
    <w:rsid w:val="00846248"/>
    <w:rsid w:val="00846F94"/>
    <w:rsid w:val="00847374"/>
    <w:rsid w:val="00847A59"/>
    <w:rsid w:val="008500A9"/>
    <w:rsid w:val="008542B8"/>
    <w:rsid w:val="00857328"/>
    <w:rsid w:val="00860410"/>
    <w:rsid w:val="008605BB"/>
    <w:rsid w:val="00860F06"/>
    <w:rsid w:val="00861220"/>
    <w:rsid w:val="008621E5"/>
    <w:rsid w:val="008636B3"/>
    <w:rsid w:val="00876FD3"/>
    <w:rsid w:val="0088131D"/>
    <w:rsid w:val="0088166B"/>
    <w:rsid w:val="00881E26"/>
    <w:rsid w:val="00883980"/>
    <w:rsid w:val="00884972"/>
    <w:rsid w:val="00887EE6"/>
    <w:rsid w:val="00895ADF"/>
    <w:rsid w:val="008A46FD"/>
    <w:rsid w:val="008A578D"/>
    <w:rsid w:val="008A6304"/>
    <w:rsid w:val="008A7619"/>
    <w:rsid w:val="008B0985"/>
    <w:rsid w:val="008B195B"/>
    <w:rsid w:val="008B1D40"/>
    <w:rsid w:val="008B5C9F"/>
    <w:rsid w:val="008C73AD"/>
    <w:rsid w:val="008C7B89"/>
    <w:rsid w:val="008D0224"/>
    <w:rsid w:val="008D5447"/>
    <w:rsid w:val="008D5892"/>
    <w:rsid w:val="008E55D8"/>
    <w:rsid w:val="008E687A"/>
    <w:rsid w:val="008F1938"/>
    <w:rsid w:val="00902145"/>
    <w:rsid w:val="009039CE"/>
    <w:rsid w:val="00913286"/>
    <w:rsid w:val="00914215"/>
    <w:rsid w:val="009167CF"/>
    <w:rsid w:val="009213E9"/>
    <w:rsid w:val="00923AB2"/>
    <w:rsid w:val="00925A0D"/>
    <w:rsid w:val="00925DD7"/>
    <w:rsid w:val="00926DC8"/>
    <w:rsid w:val="00927D1F"/>
    <w:rsid w:val="00931292"/>
    <w:rsid w:val="00932905"/>
    <w:rsid w:val="00937104"/>
    <w:rsid w:val="009425EC"/>
    <w:rsid w:val="00946E25"/>
    <w:rsid w:val="00951FBA"/>
    <w:rsid w:val="0095247D"/>
    <w:rsid w:val="00952D8A"/>
    <w:rsid w:val="0095337C"/>
    <w:rsid w:val="00953A5D"/>
    <w:rsid w:val="00957309"/>
    <w:rsid w:val="00960563"/>
    <w:rsid w:val="0096289F"/>
    <w:rsid w:val="00964212"/>
    <w:rsid w:val="009672AE"/>
    <w:rsid w:val="00970D06"/>
    <w:rsid w:val="00976E65"/>
    <w:rsid w:val="00982E7F"/>
    <w:rsid w:val="0098379C"/>
    <w:rsid w:val="00987302"/>
    <w:rsid w:val="0098764C"/>
    <w:rsid w:val="0099058C"/>
    <w:rsid w:val="0099550C"/>
    <w:rsid w:val="00995EF7"/>
    <w:rsid w:val="0099733E"/>
    <w:rsid w:val="00997D55"/>
    <w:rsid w:val="00997F49"/>
    <w:rsid w:val="009A0BCA"/>
    <w:rsid w:val="009A28CE"/>
    <w:rsid w:val="009A5E65"/>
    <w:rsid w:val="009B09B6"/>
    <w:rsid w:val="009B19DD"/>
    <w:rsid w:val="009B271B"/>
    <w:rsid w:val="009B32B4"/>
    <w:rsid w:val="009B774F"/>
    <w:rsid w:val="009C0A63"/>
    <w:rsid w:val="009C2A29"/>
    <w:rsid w:val="009C2F88"/>
    <w:rsid w:val="009D7DD5"/>
    <w:rsid w:val="009E4FD4"/>
    <w:rsid w:val="009E5F46"/>
    <w:rsid w:val="009E6731"/>
    <w:rsid w:val="009E73FD"/>
    <w:rsid w:val="009F07BF"/>
    <w:rsid w:val="009F0F87"/>
    <w:rsid w:val="009F728E"/>
    <w:rsid w:val="00A013A4"/>
    <w:rsid w:val="00A10AC1"/>
    <w:rsid w:val="00A13C85"/>
    <w:rsid w:val="00A15C91"/>
    <w:rsid w:val="00A21469"/>
    <w:rsid w:val="00A24C7B"/>
    <w:rsid w:val="00A27BB3"/>
    <w:rsid w:val="00A37736"/>
    <w:rsid w:val="00A427AC"/>
    <w:rsid w:val="00A43D91"/>
    <w:rsid w:val="00A46FE7"/>
    <w:rsid w:val="00A47C2C"/>
    <w:rsid w:val="00A5380B"/>
    <w:rsid w:val="00A60649"/>
    <w:rsid w:val="00A60BD9"/>
    <w:rsid w:val="00A6293D"/>
    <w:rsid w:val="00A631EA"/>
    <w:rsid w:val="00A665ED"/>
    <w:rsid w:val="00A6722E"/>
    <w:rsid w:val="00A67CC2"/>
    <w:rsid w:val="00A72448"/>
    <w:rsid w:val="00A747B5"/>
    <w:rsid w:val="00A770E7"/>
    <w:rsid w:val="00A80114"/>
    <w:rsid w:val="00A83526"/>
    <w:rsid w:val="00A944E7"/>
    <w:rsid w:val="00AA35C8"/>
    <w:rsid w:val="00AA6AA3"/>
    <w:rsid w:val="00AB0790"/>
    <w:rsid w:val="00AB3E2F"/>
    <w:rsid w:val="00AC1751"/>
    <w:rsid w:val="00AC2FB8"/>
    <w:rsid w:val="00AC79A5"/>
    <w:rsid w:val="00AD32BA"/>
    <w:rsid w:val="00AE0FD4"/>
    <w:rsid w:val="00AE14B3"/>
    <w:rsid w:val="00AE2643"/>
    <w:rsid w:val="00AE45B5"/>
    <w:rsid w:val="00AF7A9A"/>
    <w:rsid w:val="00AF7B0B"/>
    <w:rsid w:val="00B01121"/>
    <w:rsid w:val="00B01B0A"/>
    <w:rsid w:val="00B03F81"/>
    <w:rsid w:val="00B06F9E"/>
    <w:rsid w:val="00B26AD9"/>
    <w:rsid w:val="00B32894"/>
    <w:rsid w:val="00B37ABE"/>
    <w:rsid w:val="00B44767"/>
    <w:rsid w:val="00B45E93"/>
    <w:rsid w:val="00B514A9"/>
    <w:rsid w:val="00B52AA5"/>
    <w:rsid w:val="00B56234"/>
    <w:rsid w:val="00B577D6"/>
    <w:rsid w:val="00B618C5"/>
    <w:rsid w:val="00B6205C"/>
    <w:rsid w:val="00B63A8A"/>
    <w:rsid w:val="00B64ED1"/>
    <w:rsid w:val="00B65DF8"/>
    <w:rsid w:val="00B678F5"/>
    <w:rsid w:val="00B71658"/>
    <w:rsid w:val="00B7352B"/>
    <w:rsid w:val="00B766F5"/>
    <w:rsid w:val="00B76894"/>
    <w:rsid w:val="00B8408F"/>
    <w:rsid w:val="00B867B9"/>
    <w:rsid w:val="00B91B64"/>
    <w:rsid w:val="00B91F7D"/>
    <w:rsid w:val="00B925A9"/>
    <w:rsid w:val="00B932FC"/>
    <w:rsid w:val="00B93B4B"/>
    <w:rsid w:val="00B93D89"/>
    <w:rsid w:val="00BA113F"/>
    <w:rsid w:val="00BB250A"/>
    <w:rsid w:val="00BB72F6"/>
    <w:rsid w:val="00BC385D"/>
    <w:rsid w:val="00BC59A7"/>
    <w:rsid w:val="00BC64DE"/>
    <w:rsid w:val="00BD029B"/>
    <w:rsid w:val="00BD22AF"/>
    <w:rsid w:val="00BD2705"/>
    <w:rsid w:val="00BD6C03"/>
    <w:rsid w:val="00BE1393"/>
    <w:rsid w:val="00BE13D4"/>
    <w:rsid w:val="00BE3135"/>
    <w:rsid w:val="00BE7476"/>
    <w:rsid w:val="00BF29D2"/>
    <w:rsid w:val="00BF4D07"/>
    <w:rsid w:val="00BF4FF8"/>
    <w:rsid w:val="00BF5194"/>
    <w:rsid w:val="00C00BC9"/>
    <w:rsid w:val="00C019C5"/>
    <w:rsid w:val="00C03D1F"/>
    <w:rsid w:val="00C0698A"/>
    <w:rsid w:val="00C13CCB"/>
    <w:rsid w:val="00C140F0"/>
    <w:rsid w:val="00C21C15"/>
    <w:rsid w:val="00C37336"/>
    <w:rsid w:val="00C411A3"/>
    <w:rsid w:val="00C4647D"/>
    <w:rsid w:val="00C47D08"/>
    <w:rsid w:val="00C56B7A"/>
    <w:rsid w:val="00C61DC7"/>
    <w:rsid w:val="00C64100"/>
    <w:rsid w:val="00C64191"/>
    <w:rsid w:val="00C7162D"/>
    <w:rsid w:val="00C768F3"/>
    <w:rsid w:val="00C82D99"/>
    <w:rsid w:val="00C841B7"/>
    <w:rsid w:val="00C8463C"/>
    <w:rsid w:val="00C84E09"/>
    <w:rsid w:val="00C87A55"/>
    <w:rsid w:val="00C9328F"/>
    <w:rsid w:val="00C96ACF"/>
    <w:rsid w:val="00C97B0E"/>
    <w:rsid w:val="00C97B14"/>
    <w:rsid w:val="00CA0342"/>
    <w:rsid w:val="00CA3FBA"/>
    <w:rsid w:val="00CB1DEF"/>
    <w:rsid w:val="00CB4889"/>
    <w:rsid w:val="00CB5CB2"/>
    <w:rsid w:val="00CB7DAF"/>
    <w:rsid w:val="00CC1DAD"/>
    <w:rsid w:val="00CC62E8"/>
    <w:rsid w:val="00CC7003"/>
    <w:rsid w:val="00CD0FBF"/>
    <w:rsid w:val="00CD3831"/>
    <w:rsid w:val="00CD5757"/>
    <w:rsid w:val="00CD63F0"/>
    <w:rsid w:val="00CD69FC"/>
    <w:rsid w:val="00CE0280"/>
    <w:rsid w:val="00CE1067"/>
    <w:rsid w:val="00CE2A69"/>
    <w:rsid w:val="00CE7079"/>
    <w:rsid w:val="00CF003D"/>
    <w:rsid w:val="00CF4434"/>
    <w:rsid w:val="00CF7A2E"/>
    <w:rsid w:val="00D04ED5"/>
    <w:rsid w:val="00D12C5A"/>
    <w:rsid w:val="00D133EF"/>
    <w:rsid w:val="00D15702"/>
    <w:rsid w:val="00D16BB1"/>
    <w:rsid w:val="00D25EDC"/>
    <w:rsid w:val="00D26754"/>
    <w:rsid w:val="00D30621"/>
    <w:rsid w:val="00D3063F"/>
    <w:rsid w:val="00D30A84"/>
    <w:rsid w:val="00D32C12"/>
    <w:rsid w:val="00D34B92"/>
    <w:rsid w:val="00D354B0"/>
    <w:rsid w:val="00D35D24"/>
    <w:rsid w:val="00D46CA1"/>
    <w:rsid w:val="00D46E0B"/>
    <w:rsid w:val="00D47565"/>
    <w:rsid w:val="00D55360"/>
    <w:rsid w:val="00D60036"/>
    <w:rsid w:val="00D60694"/>
    <w:rsid w:val="00D61169"/>
    <w:rsid w:val="00D64A95"/>
    <w:rsid w:val="00D761D3"/>
    <w:rsid w:val="00D76CE7"/>
    <w:rsid w:val="00D81261"/>
    <w:rsid w:val="00D83167"/>
    <w:rsid w:val="00D84E1D"/>
    <w:rsid w:val="00D85927"/>
    <w:rsid w:val="00D87476"/>
    <w:rsid w:val="00D9231C"/>
    <w:rsid w:val="00D96A0C"/>
    <w:rsid w:val="00DA1702"/>
    <w:rsid w:val="00DA2998"/>
    <w:rsid w:val="00DB07B7"/>
    <w:rsid w:val="00DB366C"/>
    <w:rsid w:val="00DB5219"/>
    <w:rsid w:val="00DC0927"/>
    <w:rsid w:val="00DC282B"/>
    <w:rsid w:val="00DD1A20"/>
    <w:rsid w:val="00DD683B"/>
    <w:rsid w:val="00DE0B0C"/>
    <w:rsid w:val="00DE1B53"/>
    <w:rsid w:val="00DE65E1"/>
    <w:rsid w:val="00DF2DAA"/>
    <w:rsid w:val="00E02695"/>
    <w:rsid w:val="00E033E5"/>
    <w:rsid w:val="00E067CD"/>
    <w:rsid w:val="00E07849"/>
    <w:rsid w:val="00E1197C"/>
    <w:rsid w:val="00E123F3"/>
    <w:rsid w:val="00E21F8B"/>
    <w:rsid w:val="00E2687A"/>
    <w:rsid w:val="00E35F90"/>
    <w:rsid w:val="00E361DF"/>
    <w:rsid w:val="00E37B84"/>
    <w:rsid w:val="00E415AB"/>
    <w:rsid w:val="00E4445D"/>
    <w:rsid w:val="00E46768"/>
    <w:rsid w:val="00E531A0"/>
    <w:rsid w:val="00E55866"/>
    <w:rsid w:val="00E55E26"/>
    <w:rsid w:val="00E61214"/>
    <w:rsid w:val="00E618DC"/>
    <w:rsid w:val="00E62ABC"/>
    <w:rsid w:val="00E637EA"/>
    <w:rsid w:val="00E64B4A"/>
    <w:rsid w:val="00E70D00"/>
    <w:rsid w:val="00E72A4E"/>
    <w:rsid w:val="00E74824"/>
    <w:rsid w:val="00E756AF"/>
    <w:rsid w:val="00E768B4"/>
    <w:rsid w:val="00E809FD"/>
    <w:rsid w:val="00E8506A"/>
    <w:rsid w:val="00E85FAB"/>
    <w:rsid w:val="00E94E57"/>
    <w:rsid w:val="00E9521D"/>
    <w:rsid w:val="00EA0999"/>
    <w:rsid w:val="00EA27C7"/>
    <w:rsid w:val="00EA5526"/>
    <w:rsid w:val="00EA5CB3"/>
    <w:rsid w:val="00EA641A"/>
    <w:rsid w:val="00EA6C39"/>
    <w:rsid w:val="00EB5A19"/>
    <w:rsid w:val="00EC634B"/>
    <w:rsid w:val="00ED1956"/>
    <w:rsid w:val="00ED3A74"/>
    <w:rsid w:val="00ED4E44"/>
    <w:rsid w:val="00ED7A1E"/>
    <w:rsid w:val="00EE1A4B"/>
    <w:rsid w:val="00EE596B"/>
    <w:rsid w:val="00EE6114"/>
    <w:rsid w:val="00F04C73"/>
    <w:rsid w:val="00F10FFE"/>
    <w:rsid w:val="00F15C6D"/>
    <w:rsid w:val="00F2138C"/>
    <w:rsid w:val="00F25B71"/>
    <w:rsid w:val="00F261A3"/>
    <w:rsid w:val="00F30DC2"/>
    <w:rsid w:val="00F34B0E"/>
    <w:rsid w:val="00F437EE"/>
    <w:rsid w:val="00F449C1"/>
    <w:rsid w:val="00F44DBF"/>
    <w:rsid w:val="00F47CD6"/>
    <w:rsid w:val="00F5484B"/>
    <w:rsid w:val="00F57214"/>
    <w:rsid w:val="00F61D1A"/>
    <w:rsid w:val="00F71F8B"/>
    <w:rsid w:val="00F73752"/>
    <w:rsid w:val="00F75B0D"/>
    <w:rsid w:val="00F9133E"/>
    <w:rsid w:val="00F92FC2"/>
    <w:rsid w:val="00F95180"/>
    <w:rsid w:val="00F95FD9"/>
    <w:rsid w:val="00F96FBB"/>
    <w:rsid w:val="00FA6E59"/>
    <w:rsid w:val="00FA7114"/>
    <w:rsid w:val="00FB079D"/>
    <w:rsid w:val="00FB484C"/>
    <w:rsid w:val="00FB4D7D"/>
    <w:rsid w:val="00FB6576"/>
    <w:rsid w:val="00FB7CDD"/>
    <w:rsid w:val="00FC7467"/>
    <w:rsid w:val="00FD5CDE"/>
    <w:rsid w:val="00FE01BC"/>
    <w:rsid w:val="00FE0959"/>
    <w:rsid w:val="00FE1F23"/>
    <w:rsid w:val="00FE5D73"/>
    <w:rsid w:val="00FF14C2"/>
    <w:rsid w:val="00FF1800"/>
    <w:rsid w:val="00FF1C07"/>
    <w:rsid w:val="00FF2D5B"/>
    <w:rsid w:val="00FF45C3"/>
    <w:rsid w:val="00FF4643"/>
    <w:rsid w:val="00FF498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FB"/>
    <w:rPr>
      <w:sz w:val="24"/>
      <w:szCs w:val="24"/>
      <w:lang w:eastAsia="en-US"/>
    </w:rPr>
  </w:style>
  <w:style w:type="paragraph" w:styleId="Heading1">
    <w:name w:val="heading 1"/>
    <w:basedOn w:val="Normal"/>
    <w:next w:val="Normal"/>
    <w:link w:val="Heading1Char"/>
    <w:qFormat/>
    <w:rsid w:val="001A296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6AC"/>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6F76AC"/>
    <w:rPr>
      <w:rFonts w:ascii="Calibri" w:eastAsia="Calibri" w:hAnsi="Calibri"/>
      <w:sz w:val="22"/>
      <w:szCs w:val="22"/>
      <w:lang w:eastAsia="en-US"/>
    </w:rPr>
  </w:style>
  <w:style w:type="paragraph" w:styleId="Footer">
    <w:name w:val="footer"/>
    <w:basedOn w:val="Normal"/>
    <w:link w:val="FooterChar"/>
    <w:uiPriority w:val="99"/>
    <w:unhideWhenUsed/>
    <w:rsid w:val="006F76AC"/>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6F76AC"/>
    <w:rPr>
      <w:rFonts w:ascii="Calibri" w:eastAsia="Calibri" w:hAnsi="Calibri"/>
      <w:sz w:val="22"/>
      <w:szCs w:val="22"/>
      <w:lang w:eastAsia="en-US"/>
    </w:rPr>
  </w:style>
  <w:style w:type="paragraph" w:styleId="ListParagraph">
    <w:name w:val="List Paragraph"/>
    <w:basedOn w:val="Normal"/>
    <w:uiPriority w:val="34"/>
    <w:qFormat/>
    <w:rsid w:val="00FA7114"/>
    <w:pPr>
      <w:ind w:left="720"/>
      <w:contextualSpacing/>
    </w:pPr>
  </w:style>
  <w:style w:type="character" w:styleId="Hyperlink">
    <w:name w:val="Hyperlink"/>
    <w:basedOn w:val="DefaultParagraphFont"/>
    <w:uiPriority w:val="99"/>
    <w:unhideWhenUsed/>
    <w:rsid w:val="00BB72F6"/>
    <w:rPr>
      <w:color w:val="0000FF" w:themeColor="hyperlink"/>
      <w:u w:val="single"/>
    </w:rPr>
  </w:style>
  <w:style w:type="character" w:styleId="CommentReference">
    <w:name w:val="annotation reference"/>
    <w:basedOn w:val="DefaultParagraphFont"/>
    <w:uiPriority w:val="99"/>
    <w:semiHidden/>
    <w:unhideWhenUsed/>
    <w:rsid w:val="008605BB"/>
    <w:rPr>
      <w:sz w:val="16"/>
      <w:szCs w:val="16"/>
    </w:rPr>
  </w:style>
  <w:style w:type="paragraph" w:styleId="CommentText">
    <w:name w:val="annotation text"/>
    <w:basedOn w:val="Normal"/>
    <w:link w:val="CommentTextChar"/>
    <w:uiPriority w:val="99"/>
    <w:unhideWhenUsed/>
    <w:rsid w:val="008605BB"/>
    <w:rPr>
      <w:sz w:val="20"/>
      <w:szCs w:val="20"/>
    </w:rPr>
  </w:style>
  <w:style w:type="character" w:customStyle="1" w:styleId="CommentTextChar">
    <w:name w:val="Comment Text Char"/>
    <w:basedOn w:val="DefaultParagraphFont"/>
    <w:link w:val="CommentText"/>
    <w:uiPriority w:val="99"/>
    <w:rsid w:val="008605BB"/>
    <w:rPr>
      <w:lang w:eastAsia="en-US"/>
    </w:rPr>
  </w:style>
  <w:style w:type="paragraph" w:styleId="CommentSubject">
    <w:name w:val="annotation subject"/>
    <w:basedOn w:val="CommentText"/>
    <w:next w:val="CommentText"/>
    <w:link w:val="CommentSubjectChar"/>
    <w:uiPriority w:val="99"/>
    <w:semiHidden/>
    <w:unhideWhenUsed/>
    <w:rsid w:val="008605BB"/>
    <w:rPr>
      <w:b/>
      <w:bCs/>
    </w:rPr>
  </w:style>
  <w:style w:type="character" w:customStyle="1" w:styleId="CommentSubjectChar">
    <w:name w:val="Comment Subject Char"/>
    <w:basedOn w:val="CommentTextChar"/>
    <w:link w:val="CommentSubject"/>
    <w:uiPriority w:val="99"/>
    <w:semiHidden/>
    <w:rsid w:val="008605BB"/>
    <w:rPr>
      <w:b/>
      <w:bCs/>
    </w:rPr>
  </w:style>
  <w:style w:type="paragraph" w:styleId="BalloonText">
    <w:name w:val="Balloon Text"/>
    <w:basedOn w:val="Normal"/>
    <w:link w:val="BalloonTextChar"/>
    <w:uiPriority w:val="99"/>
    <w:semiHidden/>
    <w:unhideWhenUsed/>
    <w:rsid w:val="008605BB"/>
    <w:rPr>
      <w:rFonts w:ascii="Tahoma" w:hAnsi="Tahoma" w:cs="Tahoma"/>
      <w:sz w:val="16"/>
      <w:szCs w:val="16"/>
    </w:rPr>
  </w:style>
  <w:style w:type="character" w:customStyle="1" w:styleId="BalloonTextChar">
    <w:name w:val="Balloon Text Char"/>
    <w:basedOn w:val="DefaultParagraphFont"/>
    <w:link w:val="BalloonText"/>
    <w:uiPriority w:val="99"/>
    <w:semiHidden/>
    <w:rsid w:val="008605BB"/>
    <w:rPr>
      <w:rFonts w:ascii="Tahoma" w:hAnsi="Tahoma" w:cs="Tahoma"/>
      <w:sz w:val="16"/>
      <w:szCs w:val="16"/>
      <w:lang w:eastAsia="en-US"/>
    </w:rPr>
  </w:style>
  <w:style w:type="character" w:customStyle="1" w:styleId="Heading1Char">
    <w:name w:val="Heading 1 Char"/>
    <w:basedOn w:val="DefaultParagraphFont"/>
    <w:link w:val="Heading1"/>
    <w:rsid w:val="001A296F"/>
    <w:rPr>
      <w:b/>
      <w:bCs/>
      <w:sz w:val="24"/>
      <w:szCs w:val="24"/>
      <w:lang w:eastAsia="en-US"/>
    </w:rPr>
  </w:style>
  <w:style w:type="paragraph" w:styleId="Subtitle">
    <w:name w:val="Subtitle"/>
    <w:basedOn w:val="Normal"/>
    <w:link w:val="SubtitleChar"/>
    <w:qFormat/>
    <w:rsid w:val="001A296F"/>
    <w:pPr>
      <w:jc w:val="center"/>
    </w:pPr>
    <w:rPr>
      <w:b/>
      <w:bCs/>
    </w:rPr>
  </w:style>
  <w:style w:type="character" w:customStyle="1" w:styleId="SubtitleChar">
    <w:name w:val="Subtitle Char"/>
    <w:basedOn w:val="DefaultParagraphFont"/>
    <w:link w:val="Subtitle"/>
    <w:rsid w:val="001A296F"/>
    <w:rPr>
      <w:b/>
      <w:bCs/>
      <w:sz w:val="24"/>
      <w:szCs w:val="24"/>
      <w:lang w:eastAsia="en-US"/>
    </w:rPr>
  </w:style>
  <w:style w:type="paragraph" w:styleId="Revision">
    <w:name w:val="Revision"/>
    <w:hidden/>
    <w:uiPriority w:val="99"/>
    <w:semiHidden/>
    <w:rsid w:val="00143E77"/>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297F-7C2E-4696-84FB-A86AB463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 Quach</dc:creator>
  <cp:lastModifiedBy>Stephen Yen</cp:lastModifiedBy>
  <cp:revision>3</cp:revision>
  <cp:lastPrinted>2013-10-09T05:04:00Z</cp:lastPrinted>
  <dcterms:created xsi:type="dcterms:W3CDTF">2013-10-09T05:03:00Z</dcterms:created>
  <dcterms:modified xsi:type="dcterms:W3CDTF">2013-10-09T05:08:00Z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A3890095</vt:lpwstr>
  </property>
  <property fmtid="{D5CDD505-2E9C-101B-9397-08002B2CF9AE}" pid="4" name="Objective-Title">
    <vt:lpwstr>Class Order CO 13-721</vt:lpwstr>
  </property>
  <property fmtid="{D5CDD505-2E9C-101B-9397-08002B2CF9AE}" pid="5" name="Objective-Comment">
    <vt:lpwstr/>
  </property>
  <property fmtid="{D5CDD505-2E9C-101B-9397-08002B2CF9AE}" pid="6" name="Objective-CreationStamp">
    <vt:filetime>2013-07-09T23:27:15Z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2013-07-17T04:37:55Z</vt:filetime>
  </property>
  <property fmtid="{D5CDD505-2E9C-101B-9397-08002B2CF9AE}" pid="11" name="Objective-Owner">
    <vt:lpwstr>Kami Prasad</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Being Drafted</vt:lpwstr>
  </property>
  <property fmtid="{D5CDD505-2E9C-101B-9397-08002B2CF9AE}" pid="15" name="Objective-Version">
    <vt:lpwstr>0.7</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