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AA7" w:rsidRDefault="00C54AA7" w:rsidP="00C54AA7">
      <w:pPr>
        <w:pStyle w:val="BodyText"/>
        <w:jc w:val="center"/>
        <w:rPr>
          <w:b/>
          <w:bCs/>
        </w:rPr>
      </w:pPr>
      <w:r>
        <w:rPr>
          <w:b/>
          <w:bCs/>
        </w:rPr>
        <w:t>Australian Securities and Investments Commission</w:t>
      </w:r>
      <w:r>
        <w:rPr>
          <w:b/>
          <w:bCs/>
        </w:rPr>
        <w:br/>
      </w:r>
      <w:r w:rsidRPr="00C07930">
        <w:rPr>
          <w:b/>
          <w:bCs/>
        </w:rPr>
        <w:t>Corporations Act 2001 — Paragraph 1020F(1)</w:t>
      </w:r>
      <w:r>
        <w:rPr>
          <w:b/>
          <w:bCs/>
        </w:rPr>
        <w:t>(c</w:t>
      </w:r>
      <w:r w:rsidRPr="00C07930">
        <w:rPr>
          <w:b/>
          <w:bCs/>
        </w:rPr>
        <w:t>) —</w:t>
      </w:r>
      <w:r>
        <w:rPr>
          <w:b/>
          <w:bCs/>
        </w:rPr>
        <w:t xml:space="preserve"> Amendment</w:t>
      </w:r>
    </w:p>
    <w:p w:rsidR="00C54AA7" w:rsidRDefault="00C54AA7" w:rsidP="00C54AA7">
      <w:pPr>
        <w:pStyle w:val="BodyText"/>
        <w:spacing w:before="0" w:after="0" w:line="240" w:lineRule="auto"/>
        <w:ind w:left="567" w:hanging="567"/>
        <w:rPr>
          <w:b/>
          <w:bCs/>
        </w:rPr>
      </w:pPr>
      <w:r>
        <w:rPr>
          <w:b/>
          <w:bCs/>
        </w:rPr>
        <w:t>Enabling legislation</w:t>
      </w:r>
    </w:p>
    <w:p w:rsidR="00C54AA7" w:rsidRDefault="00C54AA7" w:rsidP="00C54AA7">
      <w:pPr>
        <w:pStyle w:val="BodyText"/>
        <w:spacing w:before="0" w:after="0" w:line="240" w:lineRule="auto"/>
        <w:ind w:left="567" w:hanging="567"/>
        <w:rPr>
          <w:b/>
          <w:bCs/>
        </w:rPr>
      </w:pPr>
    </w:p>
    <w:p w:rsidR="00C54AA7" w:rsidRPr="00683D6B" w:rsidRDefault="00C54AA7" w:rsidP="00C54AA7">
      <w:pPr>
        <w:pStyle w:val="BodyText"/>
        <w:spacing w:before="0" w:after="0" w:line="240" w:lineRule="auto"/>
        <w:ind w:left="567" w:hanging="567"/>
        <w:rPr>
          <w:color w:val="auto"/>
        </w:rPr>
      </w:pPr>
      <w:r>
        <w:t>1.</w:t>
      </w:r>
      <w:r>
        <w:tab/>
        <w:t xml:space="preserve">The Australian Securities and Investments Commission makes this instrument under paragraph 1020F(1)(c) of the </w:t>
      </w:r>
      <w:r>
        <w:rPr>
          <w:i/>
          <w:iCs/>
        </w:rPr>
        <w:t xml:space="preserve">Corporations Act </w:t>
      </w:r>
      <w:r w:rsidRPr="00683D6B">
        <w:rPr>
          <w:i/>
          <w:iCs/>
          <w:color w:val="auto"/>
        </w:rPr>
        <w:t>2001</w:t>
      </w:r>
      <w:r w:rsidR="00472CF3" w:rsidRPr="00683D6B">
        <w:rPr>
          <w:color w:val="auto"/>
        </w:rPr>
        <w:t xml:space="preserve"> (the </w:t>
      </w:r>
      <w:r w:rsidR="00472CF3" w:rsidRPr="00683D6B">
        <w:rPr>
          <w:b/>
          <w:i/>
          <w:color w:val="auto"/>
        </w:rPr>
        <w:t>Act</w:t>
      </w:r>
      <w:r w:rsidR="00472CF3" w:rsidRPr="00683D6B">
        <w:rPr>
          <w:color w:val="auto"/>
        </w:rPr>
        <w:t>).</w:t>
      </w:r>
    </w:p>
    <w:p w:rsidR="00C54AA7" w:rsidRDefault="00C54AA7" w:rsidP="00C54AA7">
      <w:pPr>
        <w:pStyle w:val="BodyText"/>
        <w:spacing w:before="0" w:after="0" w:line="240" w:lineRule="auto"/>
        <w:ind w:left="567" w:hanging="567"/>
      </w:pPr>
    </w:p>
    <w:p w:rsidR="00C54AA7" w:rsidRDefault="00C54AA7" w:rsidP="00C54AA7">
      <w:pPr>
        <w:pStyle w:val="BodyText"/>
        <w:spacing w:before="0" w:after="0" w:line="240" w:lineRule="auto"/>
        <w:ind w:left="709" w:hanging="709"/>
        <w:rPr>
          <w:b/>
          <w:bCs/>
        </w:rPr>
      </w:pPr>
      <w:r>
        <w:rPr>
          <w:b/>
          <w:bCs/>
        </w:rPr>
        <w:t>Title</w:t>
      </w:r>
    </w:p>
    <w:p w:rsidR="00C54AA7" w:rsidRDefault="00C54AA7" w:rsidP="00C54AA7">
      <w:pPr>
        <w:pStyle w:val="BodyText"/>
        <w:spacing w:before="0" w:after="0" w:line="240" w:lineRule="auto"/>
        <w:ind w:left="567" w:hanging="567"/>
      </w:pPr>
    </w:p>
    <w:p w:rsidR="00C54AA7" w:rsidRDefault="00C54AA7" w:rsidP="00C54AA7">
      <w:pPr>
        <w:pStyle w:val="BodyText"/>
        <w:spacing w:before="0" w:after="0" w:line="240" w:lineRule="auto"/>
        <w:ind w:left="567" w:hanging="567"/>
      </w:pPr>
      <w:r>
        <w:t>2.</w:t>
      </w:r>
      <w:r>
        <w:tab/>
        <w:t>This instrument is ASIC Class Order [CO 13/</w:t>
      </w:r>
      <w:r w:rsidR="0088493B">
        <w:t>1128</w:t>
      </w:r>
      <w:r>
        <w:t>].</w:t>
      </w:r>
    </w:p>
    <w:p w:rsidR="00C54AA7" w:rsidRPr="00683D6B" w:rsidRDefault="00C54AA7" w:rsidP="00C54AA7">
      <w:pPr>
        <w:pStyle w:val="BodyText"/>
        <w:spacing w:before="0" w:after="0" w:line="240" w:lineRule="auto"/>
        <w:ind w:left="709" w:hanging="709"/>
        <w:rPr>
          <w:b/>
          <w:bCs/>
          <w:color w:val="auto"/>
        </w:rPr>
      </w:pPr>
    </w:p>
    <w:p w:rsidR="00C54AA7" w:rsidRPr="00683D6B" w:rsidRDefault="00C54AA7" w:rsidP="00C54AA7">
      <w:pPr>
        <w:pStyle w:val="BodyText"/>
        <w:spacing w:before="0" w:after="0" w:line="240" w:lineRule="auto"/>
        <w:ind w:left="709" w:hanging="709"/>
        <w:rPr>
          <w:b/>
          <w:bCs/>
          <w:color w:val="auto"/>
        </w:rPr>
      </w:pPr>
      <w:r w:rsidRPr="00683D6B">
        <w:rPr>
          <w:b/>
          <w:bCs/>
          <w:color w:val="auto"/>
        </w:rPr>
        <w:t>Commencement</w:t>
      </w:r>
    </w:p>
    <w:p w:rsidR="00C54AA7" w:rsidRPr="00683D6B" w:rsidRDefault="00C54AA7" w:rsidP="00C54AA7">
      <w:pPr>
        <w:pStyle w:val="BodyText"/>
        <w:spacing w:before="0" w:after="0" w:line="240" w:lineRule="auto"/>
        <w:ind w:left="567" w:hanging="567"/>
        <w:rPr>
          <w:color w:val="auto"/>
        </w:rPr>
      </w:pPr>
    </w:p>
    <w:p w:rsidR="00C54AA7" w:rsidRPr="00683D6B" w:rsidRDefault="00C54AA7" w:rsidP="0028388D">
      <w:pPr>
        <w:pStyle w:val="BodyText"/>
        <w:spacing w:before="0" w:after="0" w:line="240" w:lineRule="auto"/>
        <w:ind w:left="567" w:hanging="567"/>
        <w:rPr>
          <w:iCs/>
          <w:color w:val="auto"/>
        </w:rPr>
      </w:pPr>
      <w:r w:rsidRPr="00683D6B">
        <w:rPr>
          <w:color w:val="auto"/>
        </w:rPr>
        <w:t>3.</w:t>
      </w:r>
      <w:r w:rsidRPr="00683D6B">
        <w:rPr>
          <w:color w:val="auto"/>
        </w:rPr>
        <w:tab/>
        <w:t xml:space="preserve">This instrument commences on the </w:t>
      </w:r>
      <w:r w:rsidR="0028388D" w:rsidRPr="00683D6B">
        <w:rPr>
          <w:color w:val="auto"/>
        </w:rPr>
        <w:t xml:space="preserve">date it is </w:t>
      </w:r>
      <w:r w:rsidRPr="00683D6B">
        <w:rPr>
          <w:iCs/>
          <w:color w:val="auto"/>
        </w:rPr>
        <w:t xml:space="preserve">registered under the </w:t>
      </w:r>
      <w:r w:rsidRPr="00683D6B">
        <w:rPr>
          <w:i/>
          <w:iCs/>
          <w:color w:val="auto"/>
        </w:rPr>
        <w:t>Legislative Instruments Act 2003</w:t>
      </w:r>
      <w:r w:rsidR="0028388D" w:rsidRPr="00683D6B">
        <w:rPr>
          <w:iCs/>
          <w:color w:val="auto"/>
        </w:rPr>
        <w:t>.</w:t>
      </w:r>
    </w:p>
    <w:p w:rsidR="00C54AA7" w:rsidRPr="00683D6B" w:rsidRDefault="00C54AA7" w:rsidP="00C54AA7">
      <w:pPr>
        <w:pStyle w:val="BodyText"/>
        <w:spacing w:before="0" w:after="0" w:line="240" w:lineRule="auto"/>
        <w:ind w:left="1701" w:hanging="567"/>
        <w:rPr>
          <w:iCs/>
          <w:color w:val="auto"/>
        </w:rPr>
      </w:pPr>
    </w:p>
    <w:p w:rsidR="00C54AA7" w:rsidRPr="0040573B" w:rsidRDefault="00C54AA7" w:rsidP="00C54AA7">
      <w:pPr>
        <w:pStyle w:val="BodyTextIndent"/>
        <w:ind w:left="1134" w:hanging="567"/>
        <w:rPr>
          <w:sz w:val="18"/>
          <w:szCs w:val="18"/>
        </w:rPr>
      </w:pPr>
      <w:r w:rsidRPr="0040573B">
        <w:rPr>
          <w:sz w:val="18"/>
          <w:szCs w:val="18"/>
        </w:rPr>
        <w:t>Note:</w:t>
      </w:r>
      <w:r w:rsidRPr="0040573B">
        <w:rPr>
          <w:sz w:val="18"/>
          <w:szCs w:val="18"/>
        </w:rPr>
        <w:tab/>
        <w:t>An instrument is registered when it is recorded on the Federal Register of Legislative Instruments (</w:t>
      </w:r>
      <w:r w:rsidRPr="0040573B">
        <w:rPr>
          <w:b/>
          <w:bCs/>
          <w:i/>
          <w:iCs/>
          <w:sz w:val="18"/>
          <w:szCs w:val="18"/>
        </w:rPr>
        <w:t>FRLI</w:t>
      </w:r>
      <w:r w:rsidRPr="0040573B">
        <w:rPr>
          <w:sz w:val="18"/>
          <w:szCs w:val="18"/>
        </w:rPr>
        <w:t xml:space="preserve">) in electronic form: see </w:t>
      </w:r>
      <w:r w:rsidRPr="0040573B">
        <w:rPr>
          <w:i/>
          <w:iCs/>
          <w:sz w:val="18"/>
          <w:szCs w:val="18"/>
        </w:rPr>
        <w:t>Legislative Instruments Act 2003</w:t>
      </w:r>
      <w:r w:rsidRPr="0040573B">
        <w:rPr>
          <w:sz w:val="18"/>
          <w:szCs w:val="18"/>
        </w:rPr>
        <w:t xml:space="preserve">, section 4 (definition of </w:t>
      </w:r>
      <w:r w:rsidRPr="0040573B">
        <w:rPr>
          <w:b/>
          <w:bCs/>
          <w:i/>
          <w:iCs/>
          <w:sz w:val="18"/>
          <w:szCs w:val="18"/>
        </w:rPr>
        <w:t>register</w:t>
      </w:r>
      <w:r w:rsidRPr="0040573B">
        <w:rPr>
          <w:sz w:val="18"/>
          <w:szCs w:val="18"/>
        </w:rPr>
        <w:t xml:space="preserve">).  The FRLI may be accessed at </w:t>
      </w:r>
      <w:hyperlink r:id="rId8" w:history="1">
        <w:r w:rsidRPr="0040573B">
          <w:rPr>
            <w:rStyle w:val="Hyperlink"/>
            <w:sz w:val="18"/>
            <w:szCs w:val="18"/>
          </w:rPr>
          <w:t>http://www.frli.gov.au/</w:t>
        </w:r>
      </w:hyperlink>
      <w:r w:rsidRPr="0040573B">
        <w:rPr>
          <w:sz w:val="18"/>
          <w:szCs w:val="18"/>
        </w:rPr>
        <w:t>.</w:t>
      </w:r>
    </w:p>
    <w:p w:rsidR="00C54AA7" w:rsidRDefault="00C54AA7" w:rsidP="00C54AA7">
      <w:pPr>
        <w:pStyle w:val="BodyTextIndent"/>
        <w:ind w:left="1134" w:hanging="567"/>
        <w:rPr>
          <w:b/>
          <w:bCs/>
        </w:rPr>
      </w:pPr>
    </w:p>
    <w:p w:rsidR="00C54AA7" w:rsidRDefault="00C54AA7" w:rsidP="00C54AA7">
      <w:pPr>
        <w:pStyle w:val="BodyText"/>
        <w:spacing w:before="0" w:after="0" w:line="240" w:lineRule="auto"/>
        <w:ind w:left="709" w:hanging="709"/>
        <w:rPr>
          <w:b/>
          <w:bCs/>
        </w:rPr>
      </w:pPr>
      <w:r>
        <w:rPr>
          <w:b/>
          <w:bCs/>
        </w:rPr>
        <w:t>Amendment</w:t>
      </w:r>
    </w:p>
    <w:p w:rsidR="00C54AA7" w:rsidRDefault="00C54AA7" w:rsidP="00C54AA7">
      <w:pPr>
        <w:pStyle w:val="BodyText"/>
        <w:spacing w:before="0" w:after="0" w:line="240" w:lineRule="auto"/>
        <w:ind w:left="709" w:hanging="709"/>
        <w:rPr>
          <w:b/>
          <w:bCs/>
        </w:rPr>
      </w:pPr>
    </w:p>
    <w:p w:rsidR="00792CD4" w:rsidRDefault="00C54AA7" w:rsidP="00C54AA7">
      <w:pPr>
        <w:ind w:left="567" w:hanging="567"/>
      </w:pPr>
      <w:r>
        <w:t>4</w:t>
      </w:r>
      <w:r w:rsidRPr="00F36C1F">
        <w:t>.</w:t>
      </w:r>
      <w:r w:rsidRPr="00F36C1F">
        <w:tab/>
      </w:r>
      <w:r>
        <w:t xml:space="preserve">ASIC Class Order [CO 12/749] is </w:t>
      </w:r>
      <w:r w:rsidR="00792CD4">
        <w:t>amended as follows:</w:t>
      </w:r>
    </w:p>
    <w:p w:rsidR="00792CD4" w:rsidRDefault="00792CD4" w:rsidP="00C54AA7">
      <w:pPr>
        <w:ind w:left="567" w:hanging="567"/>
      </w:pPr>
    </w:p>
    <w:p w:rsidR="00172298" w:rsidRDefault="00172298" w:rsidP="00792CD4">
      <w:pPr>
        <w:ind w:left="1134" w:hanging="567"/>
      </w:pPr>
      <w:r>
        <w:t>(a)</w:t>
      </w:r>
      <w:r>
        <w:tab/>
        <w:t xml:space="preserve">before the definition of </w:t>
      </w:r>
      <w:r w:rsidR="00B30714" w:rsidRPr="00B30714">
        <w:rPr>
          <w:b/>
          <w:i/>
        </w:rPr>
        <w:t>fund of hedge funds</w:t>
      </w:r>
      <w:r>
        <w:t xml:space="preserve"> insert:</w:t>
      </w:r>
    </w:p>
    <w:p w:rsidR="00172298" w:rsidRDefault="00172298" w:rsidP="00792CD4">
      <w:pPr>
        <w:ind w:left="1134" w:hanging="567"/>
      </w:pPr>
    </w:p>
    <w:p w:rsidR="00552206" w:rsidRPr="00405B5F" w:rsidRDefault="00172298">
      <w:pPr>
        <w:ind w:left="1134"/>
      </w:pPr>
      <w:r w:rsidRPr="00405B5F">
        <w:t>“</w:t>
      </w:r>
      <w:r w:rsidR="00B30714" w:rsidRPr="00405B5F">
        <w:rPr>
          <w:b/>
          <w:i/>
        </w:rPr>
        <w:t>derivative</w:t>
      </w:r>
      <w:r w:rsidRPr="00405B5F">
        <w:t xml:space="preserve"> includes </w:t>
      </w:r>
      <w:r w:rsidR="00552206" w:rsidRPr="00405B5F">
        <w:t>an agreement under which:</w:t>
      </w:r>
    </w:p>
    <w:p w:rsidR="00552206" w:rsidRPr="00405B5F" w:rsidRDefault="00552206">
      <w:pPr>
        <w:ind w:left="1134"/>
      </w:pPr>
    </w:p>
    <w:p w:rsidR="00DC6478" w:rsidRPr="00405B5F" w:rsidRDefault="00552206" w:rsidP="00552206">
      <w:pPr>
        <w:ind w:left="1701" w:hanging="567"/>
      </w:pPr>
      <w:r w:rsidRPr="00405B5F">
        <w:t>(a)</w:t>
      </w:r>
      <w:r w:rsidRPr="00405B5F">
        <w:tab/>
        <w:t>a person agrees to deliver securities or interests in a managed investment scheme (</w:t>
      </w:r>
      <w:r w:rsidR="005A526D" w:rsidRPr="00405B5F">
        <w:t xml:space="preserve">each a </w:t>
      </w:r>
      <w:r w:rsidRPr="00405B5F">
        <w:rPr>
          <w:b/>
          <w:i/>
        </w:rPr>
        <w:t>delivery product</w:t>
      </w:r>
      <w:r w:rsidRPr="00405B5F">
        <w:t>) to another person</w:t>
      </w:r>
      <w:r w:rsidR="00181B9D" w:rsidRPr="00405B5F">
        <w:t xml:space="preserve"> at a time (</w:t>
      </w:r>
      <w:r w:rsidR="00181B9D" w:rsidRPr="00405B5F">
        <w:rPr>
          <w:b/>
          <w:i/>
        </w:rPr>
        <w:t>maturity</w:t>
      </w:r>
      <w:r w:rsidR="00181B9D" w:rsidRPr="00405B5F">
        <w:t>) in the future</w:t>
      </w:r>
      <w:r w:rsidR="00DC6478" w:rsidRPr="00405B5F">
        <w:t>;</w:t>
      </w:r>
    </w:p>
    <w:p w:rsidR="00DC6478" w:rsidRPr="00405B5F" w:rsidRDefault="00DC6478" w:rsidP="00552206">
      <w:pPr>
        <w:ind w:left="1701" w:hanging="567"/>
      </w:pPr>
    </w:p>
    <w:p w:rsidR="005A526D" w:rsidRPr="00405B5F" w:rsidRDefault="00DC6478" w:rsidP="00552206">
      <w:pPr>
        <w:ind w:left="1701" w:hanging="567"/>
      </w:pPr>
      <w:r w:rsidRPr="00405B5F">
        <w:t>(b)</w:t>
      </w:r>
      <w:r w:rsidRPr="00405B5F">
        <w:tab/>
        <w:t xml:space="preserve">the </w:t>
      </w:r>
      <w:r w:rsidR="00181B9D" w:rsidRPr="00405B5F">
        <w:t xml:space="preserve">maturity is determined by reference to </w:t>
      </w:r>
      <w:r w:rsidR="003D2F03" w:rsidRPr="00405B5F">
        <w:t xml:space="preserve">a specified time or </w:t>
      </w:r>
      <w:r w:rsidR="00181B9D" w:rsidRPr="00405B5F">
        <w:t xml:space="preserve">the occurrence </w:t>
      </w:r>
      <w:r w:rsidR="003D2F03" w:rsidRPr="00405B5F">
        <w:t xml:space="preserve">or non-occurrence </w:t>
      </w:r>
      <w:r w:rsidR="00181B9D" w:rsidRPr="00405B5F">
        <w:t>of a specified event or circumstance;</w:t>
      </w:r>
    </w:p>
    <w:p w:rsidR="005A526D" w:rsidRPr="00405B5F" w:rsidRDefault="005A526D" w:rsidP="00552206">
      <w:pPr>
        <w:ind w:left="1701" w:hanging="567"/>
      </w:pPr>
    </w:p>
    <w:p w:rsidR="00552206" w:rsidRPr="00405B5F" w:rsidRDefault="005A526D" w:rsidP="00DC6478">
      <w:pPr>
        <w:ind w:left="1701" w:hanging="567"/>
        <w:rPr>
          <w:szCs w:val="20"/>
        </w:rPr>
      </w:pPr>
      <w:r w:rsidRPr="00405B5F">
        <w:t>(</w:t>
      </w:r>
      <w:r w:rsidR="00DC6478" w:rsidRPr="00405B5F">
        <w:t>c</w:t>
      </w:r>
      <w:r w:rsidRPr="00405B5F">
        <w:t>)</w:t>
      </w:r>
      <w:r w:rsidRPr="00405B5F">
        <w:tab/>
      </w:r>
      <w:r w:rsidR="00552206" w:rsidRPr="00405B5F">
        <w:rPr>
          <w:szCs w:val="20"/>
        </w:rPr>
        <w:t>the number and value of the delivery products to be delivered at maturity is ultimately determined or derived from the value or amount of one or more of the following:</w:t>
      </w:r>
    </w:p>
    <w:p w:rsidR="00552206" w:rsidRPr="00405B5F" w:rsidRDefault="00552206" w:rsidP="00552206">
      <w:pPr>
        <w:overflowPunct w:val="0"/>
        <w:autoSpaceDE w:val="0"/>
        <w:autoSpaceDN w:val="0"/>
        <w:adjustRightInd w:val="0"/>
        <w:ind w:left="1134" w:hanging="567"/>
        <w:textAlignment w:val="baseline"/>
        <w:rPr>
          <w:szCs w:val="20"/>
        </w:rPr>
      </w:pPr>
    </w:p>
    <w:p w:rsidR="00552206" w:rsidRPr="00405B5F" w:rsidRDefault="00552206" w:rsidP="00552206">
      <w:pPr>
        <w:overflowPunct w:val="0"/>
        <w:autoSpaceDE w:val="0"/>
        <w:autoSpaceDN w:val="0"/>
        <w:adjustRightInd w:val="0"/>
        <w:ind w:left="2268" w:hanging="567"/>
        <w:textAlignment w:val="baseline"/>
        <w:rPr>
          <w:szCs w:val="20"/>
        </w:rPr>
      </w:pPr>
      <w:r w:rsidRPr="00405B5F">
        <w:rPr>
          <w:szCs w:val="20"/>
        </w:rPr>
        <w:t>(i)</w:t>
      </w:r>
      <w:r w:rsidRPr="00405B5F">
        <w:rPr>
          <w:szCs w:val="20"/>
        </w:rPr>
        <w:tab/>
        <w:t>other financial products;</w:t>
      </w:r>
    </w:p>
    <w:p w:rsidR="00552206" w:rsidRPr="00405B5F" w:rsidRDefault="00552206" w:rsidP="00552206">
      <w:pPr>
        <w:overflowPunct w:val="0"/>
        <w:autoSpaceDE w:val="0"/>
        <w:autoSpaceDN w:val="0"/>
        <w:adjustRightInd w:val="0"/>
        <w:ind w:left="2268" w:hanging="567"/>
        <w:textAlignment w:val="baseline"/>
        <w:rPr>
          <w:szCs w:val="20"/>
        </w:rPr>
      </w:pPr>
    </w:p>
    <w:p w:rsidR="00552206" w:rsidRPr="00405B5F" w:rsidRDefault="00552206" w:rsidP="00552206">
      <w:pPr>
        <w:overflowPunct w:val="0"/>
        <w:autoSpaceDE w:val="0"/>
        <w:autoSpaceDN w:val="0"/>
        <w:adjustRightInd w:val="0"/>
        <w:ind w:left="2268" w:hanging="567"/>
        <w:textAlignment w:val="baseline"/>
        <w:rPr>
          <w:szCs w:val="20"/>
        </w:rPr>
      </w:pPr>
      <w:r w:rsidRPr="00405B5F">
        <w:rPr>
          <w:szCs w:val="20"/>
        </w:rPr>
        <w:t>(ii)</w:t>
      </w:r>
      <w:r w:rsidRPr="00405B5F">
        <w:rPr>
          <w:szCs w:val="20"/>
        </w:rPr>
        <w:tab/>
        <w:t>an asset;</w:t>
      </w:r>
    </w:p>
    <w:p w:rsidR="00552206" w:rsidRPr="00405B5F" w:rsidRDefault="00552206" w:rsidP="00552206">
      <w:pPr>
        <w:overflowPunct w:val="0"/>
        <w:autoSpaceDE w:val="0"/>
        <w:autoSpaceDN w:val="0"/>
        <w:adjustRightInd w:val="0"/>
        <w:ind w:left="2268" w:hanging="567"/>
        <w:textAlignment w:val="baseline"/>
        <w:rPr>
          <w:szCs w:val="20"/>
        </w:rPr>
      </w:pPr>
    </w:p>
    <w:p w:rsidR="00552206" w:rsidRPr="00405B5F" w:rsidRDefault="00552206" w:rsidP="00552206">
      <w:pPr>
        <w:overflowPunct w:val="0"/>
        <w:autoSpaceDE w:val="0"/>
        <w:autoSpaceDN w:val="0"/>
        <w:adjustRightInd w:val="0"/>
        <w:ind w:left="2268" w:hanging="567"/>
        <w:textAlignment w:val="baseline"/>
        <w:rPr>
          <w:szCs w:val="20"/>
        </w:rPr>
      </w:pPr>
      <w:r w:rsidRPr="00405B5F">
        <w:rPr>
          <w:szCs w:val="20"/>
        </w:rPr>
        <w:t>(iii)</w:t>
      </w:r>
      <w:r w:rsidRPr="00405B5F">
        <w:rPr>
          <w:szCs w:val="20"/>
        </w:rPr>
        <w:tab/>
        <w:t>a rate (including an interest rate or exchange rate);</w:t>
      </w:r>
    </w:p>
    <w:p w:rsidR="00552206" w:rsidRPr="00405B5F" w:rsidRDefault="00552206" w:rsidP="00552206">
      <w:pPr>
        <w:overflowPunct w:val="0"/>
        <w:autoSpaceDE w:val="0"/>
        <w:autoSpaceDN w:val="0"/>
        <w:adjustRightInd w:val="0"/>
        <w:ind w:left="2268" w:hanging="567"/>
        <w:textAlignment w:val="baseline"/>
        <w:rPr>
          <w:szCs w:val="20"/>
        </w:rPr>
      </w:pPr>
    </w:p>
    <w:p w:rsidR="00552206" w:rsidRPr="00405B5F" w:rsidRDefault="00552206" w:rsidP="00552206">
      <w:pPr>
        <w:overflowPunct w:val="0"/>
        <w:autoSpaceDE w:val="0"/>
        <w:autoSpaceDN w:val="0"/>
        <w:adjustRightInd w:val="0"/>
        <w:ind w:left="2268" w:hanging="567"/>
        <w:textAlignment w:val="baseline"/>
        <w:rPr>
          <w:szCs w:val="20"/>
        </w:rPr>
      </w:pPr>
      <w:r w:rsidRPr="00405B5F">
        <w:rPr>
          <w:szCs w:val="20"/>
        </w:rPr>
        <w:t>(iv)</w:t>
      </w:r>
      <w:r w:rsidRPr="00405B5F">
        <w:rPr>
          <w:szCs w:val="20"/>
        </w:rPr>
        <w:tab/>
        <w:t>an index;</w:t>
      </w:r>
    </w:p>
    <w:p w:rsidR="00552206" w:rsidRPr="00405B5F" w:rsidRDefault="00552206" w:rsidP="00552206">
      <w:pPr>
        <w:overflowPunct w:val="0"/>
        <w:autoSpaceDE w:val="0"/>
        <w:autoSpaceDN w:val="0"/>
        <w:adjustRightInd w:val="0"/>
        <w:ind w:left="2268" w:hanging="567"/>
        <w:textAlignment w:val="baseline"/>
        <w:rPr>
          <w:szCs w:val="20"/>
        </w:rPr>
      </w:pPr>
    </w:p>
    <w:p w:rsidR="00552206" w:rsidRPr="00405B5F" w:rsidRDefault="00552206" w:rsidP="00552206">
      <w:pPr>
        <w:overflowPunct w:val="0"/>
        <w:autoSpaceDE w:val="0"/>
        <w:autoSpaceDN w:val="0"/>
        <w:adjustRightInd w:val="0"/>
        <w:ind w:left="2268" w:hanging="567"/>
        <w:textAlignment w:val="baseline"/>
      </w:pPr>
      <w:r w:rsidRPr="00405B5F">
        <w:rPr>
          <w:szCs w:val="20"/>
        </w:rPr>
        <w:t>(v)</w:t>
      </w:r>
      <w:r w:rsidRPr="00405B5F">
        <w:rPr>
          <w:szCs w:val="20"/>
        </w:rPr>
        <w:tab/>
        <w:t>a commodity.”;</w:t>
      </w:r>
    </w:p>
    <w:p w:rsidR="009C152C" w:rsidRDefault="009C152C">
      <w:pPr>
        <w:overflowPunct w:val="0"/>
        <w:autoSpaceDE w:val="0"/>
        <w:autoSpaceDN w:val="0"/>
        <w:adjustRightInd w:val="0"/>
        <w:ind w:left="1701" w:hanging="567"/>
        <w:textAlignment w:val="baseline"/>
        <w:rPr>
          <w:szCs w:val="20"/>
        </w:rPr>
      </w:pPr>
    </w:p>
    <w:p w:rsidR="00B767DE" w:rsidRDefault="00B767DE" w:rsidP="00792CD4">
      <w:pPr>
        <w:ind w:left="1134" w:hanging="567"/>
      </w:pPr>
    </w:p>
    <w:p w:rsidR="00C54AA7" w:rsidRDefault="00792CD4" w:rsidP="00792CD4">
      <w:pPr>
        <w:ind w:left="1134" w:hanging="567"/>
      </w:pPr>
      <w:r>
        <w:lastRenderedPageBreak/>
        <w:t>(</w:t>
      </w:r>
      <w:r w:rsidR="00172298">
        <w:t>b</w:t>
      </w:r>
      <w:r>
        <w:t>)</w:t>
      </w:r>
      <w:r>
        <w:tab/>
        <w:t xml:space="preserve">in the definition of </w:t>
      </w:r>
      <w:r w:rsidRPr="00792CD4">
        <w:rPr>
          <w:b/>
          <w:i/>
        </w:rPr>
        <w:t>hedge fund</w:t>
      </w:r>
      <w:r>
        <w:t>:</w:t>
      </w:r>
    </w:p>
    <w:p w:rsidR="00792CD4" w:rsidRDefault="00792CD4" w:rsidP="00792CD4">
      <w:pPr>
        <w:ind w:left="1134" w:hanging="567"/>
      </w:pPr>
    </w:p>
    <w:p w:rsidR="000D0692" w:rsidRDefault="002B1CA7" w:rsidP="00792CD4">
      <w:pPr>
        <w:ind w:left="1701" w:hanging="567"/>
      </w:pPr>
      <w:r>
        <w:t>(i)</w:t>
      </w:r>
      <w:r>
        <w:tab/>
      </w:r>
      <w:r w:rsidR="000D0692">
        <w:t xml:space="preserve">omit </w:t>
      </w:r>
      <w:r w:rsidR="000D0692" w:rsidRPr="000D0692">
        <w:t>sub</w:t>
      </w:r>
      <w:r w:rsidR="00E221AF">
        <w:t>-</w:t>
      </w:r>
      <w:r w:rsidR="000D0692" w:rsidRPr="000D0692">
        <w:t xml:space="preserve">subparagraph </w:t>
      </w:r>
      <w:r w:rsidR="000D0692">
        <w:t>(</w:t>
      </w:r>
      <w:r>
        <w:t>b)(i)(A)</w:t>
      </w:r>
      <w:r w:rsidR="000D0692">
        <w:t>, substitute:</w:t>
      </w:r>
    </w:p>
    <w:p w:rsidR="000D0692" w:rsidRDefault="000D0692" w:rsidP="00792CD4">
      <w:pPr>
        <w:ind w:left="1701" w:hanging="567"/>
      </w:pPr>
    </w:p>
    <w:p w:rsidR="00702625" w:rsidRPr="009E4A81" w:rsidRDefault="000D0692" w:rsidP="00757CE1">
      <w:pPr>
        <w:ind w:left="2268" w:hanging="567"/>
        <w:rPr>
          <w:sz w:val="20"/>
          <w:szCs w:val="20"/>
        </w:rPr>
      </w:pPr>
      <w:r>
        <w:t>“(A)</w:t>
      </w:r>
      <w:r>
        <w:tab/>
        <w:t xml:space="preserve">deals in financial products in accordance with investment strategies intended to produce a return with low correlation </w:t>
      </w:r>
      <w:r w:rsidR="00E974F2">
        <w:t xml:space="preserve">(including no correlation) </w:t>
      </w:r>
      <w:r>
        <w:t xml:space="preserve">to </w:t>
      </w:r>
      <w:r w:rsidR="00E974F2">
        <w:t xml:space="preserve">each of the </w:t>
      </w:r>
      <w:r w:rsidR="00702625" w:rsidRPr="00183D5D">
        <w:t xml:space="preserve">prescribed </w:t>
      </w:r>
      <w:r w:rsidRPr="00183D5D">
        <w:t xml:space="preserve">published </w:t>
      </w:r>
      <w:r w:rsidR="0078721E" w:rsidRPr="00183D5D">
        <w:t>ind</w:t>
      </w:r>
      <w:r w:rsidR="00940C1C" w:rsidRPr="00183D5D">
        <w:t>exes</w:t>
      </w:r>
      <w:r w:rsidR="00E974F2">
        <w:t xml:space="preserve"> or any combination of them</w:t>
      </w:r>
      <w:r w:rsidR="0078721E" w:rsidRPr="00183D5D">
        <w:t>; or</w:t>
      </w:r>
      <w:r w:rsidR="0078721E">
        <w:t>”;</w:t>
      </w:r>
    </w:p>
    <w:p w:rsidR="002B1CA7" w:rsidRDefault="002B1CA7" w:rsidP="00792CD4">
      <w:pPr>
        <w:ind w:left="1701" w:hanging="567"/>
      </w:pPr>
    </w:p>
    <w:p w:rsidR="00AB5596" w:rsidRPr="00A94ADE" w:rsidRDefault="00230772" w:rsidP="00792CD4">
      <w:pPr>
        <w:ind w:left="1701" w:hanging="567"/>
      </w:pPr>
      <w:r>
        <w:t>(ii)</w:t>
      </w:r>
      <w:r>
        <w:tab/>
        <w:t xml:space="preserve">after subparagraph (b)(i) insert on </w:t>
      </w:r>
      <w:r w:rsidR="00523292">
        <w:t xml:space="preserve">a </w:t>
      </w:r>
      <w:r>
        <w:t>new line:</w:t>
      </w:r>
    </w:p>
    <w:p w:rsidR="00AB5596" w:rsidRPr="00A94ADE" w:rsidRDefault="00AB5596" w:rsidP="00792CD4">
      <w:pPr>
        <w:ind w:left="1701" w:hanging="567"/>
      </w:pPr>
    </w:p>
    <w:p w:rsidR="00A522C6" w:rsidRPr="00405B5F" w:rsidRDefault="002F0FE4" w:rsidP="00A37C10">
      <w:pPr>
        <w:ind w:left="1701"/>
      </w:pPr>
      <w:r w:rsidRPr="00405B5F">
        <w:t>“(</w:t>
      </w:r>
      <w:r w:rsidR="006870E4" w:rsidRPr="00405B5F">
        <w:t>F</w:t>
      </w:r>
      <w:r w:rsidRPr="00405B5F">
        <w:t>or the purposes of sub-subparagraph (B)</w:t>
      </w:r>
      <w:r w:rsidR="00A37C10" w:rsidRPr="00405B5F">
        <w:t xml:space="preserve">, </w:t>
      </w:r>
      <w:r w:rsidR="0005131E" w:rsidRPr="00405B5F">
        <w:t xml:space="preserve">the calculation </w:t>
      </w:r>
      <w:r w:rsidR="006870E4" w:rsidRPr="00405B5F">
        <w:t xml:space="preserve">of the number of interposed entities through which the scheme acquires an economic interest in a financial product </w:t>
      </w:r>
      <w:r w:rsidR="0005131E" w:rsidRPr="00405B5F">
        <w:t xml:space="preserve">is to be performed by reference to </w:t>
      </w:r>
      <w:r w:rsidR="00866C22" w:rsidRPr="00405B5F">
        <w:t xml:space="preserve">each </w:t>
      </w:r>
      <w:r w:rsidR="00C27F78" w:rsidRPr="00405B5F">
        <w:t xml:space="preserve">separate </w:t>
      </w:r>
      <w:r w:rsidR="0005131E" w:rsidRPr="00405B5F">
        <w:t>vertical stream of interposed entities</w:t>
      </w:r>
      <w:r w:rsidR="00A37C10" w:rsidRPr="00405B5F">
        <w:t>.</w:t>
      </w:r>
    </w:p>
    <w:p w:rsidR="00BD4777" w:rsidRPr="00405B5F" w:rsidRDefault="00BD4777" w:rsidP="00A522C6">
      <w:pPr>
        <w:ind w:left="2268" w:hanging="567"/>
      </w:pPr>
    </w:p>
    <w:p w:rsidR="00BD4777" w:rsidRPr="00405B5F" w:rsidRDefault="00BD4777" w:rsidP="00A37C10">
      <w:pPr>
        <w:ind w:left="2552" w:hanging="851"/>
        <w:rPr>
          <w:sz w:val="20"/>
          <w:szCs w:val="20"/>
        </w:rPr>
      </w:pPr>
      <w:r w:rsidRPr="00405B5F">
        <w:rPr>
          <w:sz w:val="20"/>
          <w:szCs w:val="20"/>
        </w:rPr>
        <w:t>Example:</w:t>
      </w:r>
      <w:r w:rsidR="00293860" w:rsidRPr="00405B5F">
        <w:rPr>
          <w:sz w:val="20"/>
          <w:szCs w:val="20"/>
        </w:rPr>
        <w:tab/>
      </w:r>
      <w:r w:rsidRPr="00405B5F">
        <w:rPr>
          <w:sz w:val="20"/>
          <w:szCs w:val="20"/>
        </w:rPr>
        <w:t xml:space="preserve">Where a head scheme </w:t>
      </w:r>
      <w:r w:rsidR="00A37C10" w:rsidRPr="00405B5F">
        <w:rPr>
          <w:sz w:val="20"/>
          <w:szCs w:val="20"/>
        </w:rPr>
        <w:t xml:space="preserve">directly </w:t>
      </w:r>
      <w:r w:rsidRPr="00405B5F">
        <w:rPr>
          <w:sz w:val="20"/>
          <w:szCs w:val="20"/>
        </w:rPr>
        <w:t xml:space="preserve">invests in </w:t>
      </w:r>
      <w:r w:rsidR="00293860" w:rsidRPr="00405B5F">
        <w:rPr>
          <w:sz w:val="20"/>
          <w:szCs w:val="20"/>
        </w:rPr>
        <w:t>s</w:t>
      </w:r>
      <w:r w:rsidRPr="00405B5F">
        <w:rPr>
          <w:sz w:val="20"/>
          <w:szCs w:val="20"/>
        </w:rPr>
        <w:t>cheme</w:t>
      </w:r>
      <w:r w:rsidR="00A37C10" w:rsidRPr="00405B5F">
        <w:rPr>
          <w:sz w:val="20"/>
          <w:szCs w:val="20"/>
        </w:rPr>
        <w:t>s</w:t>
      </w:r>
      <w:r w:rsidRPr="00405B5F">
        <w:rPr>
          <w:sz w:val="20"/>
          <w:szCs w:val="20"/>
        </w:rPr>
        <w:t xml:space="preserve"> A and B, and both </w:t>
      </w:r>
      <w:r w:rsidR="00293860" w:rsidRPr="00405B5F">
        <w:rPr>
          <w:sz w:val="20"/>
          <w:szCs w:val="20"/>
        </w:rPr>
        <w:t>s</w:t>
      </w:r>
      <w:r w:rsidRPr="00405B5F">
        <w:rPr>
          <w:sz w:val="20"/>
          <w:szCs w:val="20"/>
        </w:rPr>
        <w:t>cheme</w:t>
      </w:r>
      <w:r w:rsidR="00A37C10" w:rsidRPr="00405B5F">
        <w:rPr>
          <w:sz w:val="20"/>
          <w:szCs w:val="20"/>
        </w:rPr>
        <w:t>s</w:t>
      </w:r>
      <w:r w:rsidRPr="00405B5F">
        <w:rPr>
          <w:sz w:val="20"/>
          <w:szCs w:val="20"/>
        </w:rPr>
        <w:t xml:space="preserve"> A and B </w:t>
      </w:r>
      <w:r w:rsidR="00A37C10" w:rsidRPr="00405B5F">
        <w:rPr>
          <w:sz w:val="20"/>
          <w:szCs w:val="20"/>
        </w:rPr>
        <w:t xml:space="preserve">directly </w:t>
      </w:r>
      <w:r w:rsidRPr="00405B5F">
        <w:rPr>
          <w:sz w:val="20"/>
          <w:szCs w:val="20"/>
        </w:rPr>
        <w:t xml:space="preserve">invest in </w:t>
      </w:r>
      <w:r w:rsidR="00293860" w:rsidRPr="00405B5F">
        <w:rPr>
          <w:sz w:val="20"/>
          <w:szCs w:val="20"/>
        </w:rPr>
        <w:t>s</w:t>
      </w:r>
      <w:r w:rsidRPr="00405B5F">
        <w:rPr>
          <w:sz w:val="20"/>
          <w:szCs w:val="20"/>
        </w:rPr>
        <w:t xml:space="preserve">cheme C, there are </w:t>
      </w:r>
      <w:r w:rsidR="00A37C10" w:rsidRPr="00405B5F">
        <w:rPr>
          <w:sz w:val="20"/>
          <w:szCs w:val="20"/>
        </w:rPr>
        <w:t xml:space="preserve">2 </w:t>
      </w:r>
      <w:r w:rsidRPr="00405B5F">
        <w:rPr>
          <w:sz w:val="20"/>
          <w:szCs w:val="20"/>
        </w:rPr>
        <w:t>vertical stream</w:t>
      </w:r>
      <w:r w:rsidR="00293860" w:rsidRPr="00405B5F">
        <w:rPr>
          <w:sz w:val="20"/>
          <w:szCs w:val="20"/>
        </w:rPr>
        <w:t xml:space="preserve">s, with each stream comprising </w:t>
      </w:r>
      <w:r w:rsidR="00A37C10" w:rsidRPr="00405B5F">
        <w:rPr>
          <w:sz w:val="20"/>
          <w:szCs w:val="20"/>
        </w:rPr>
        <w:t xml:space="preserve">2 </w:t>
      </w:r>
      <w:r w:rsidR="00293860" w:rsidRPr="00405B5F">
        <w:rPr>
          <w:sz w:val="20"/>
          <w:szCs w:val="20"/>
        </w:rPr>
        <w:t>interposed entities. The first vertical stream</w:t>
      </w:r>
      <w:r w:rsidRPr="00405B5F">
        <w:rPr>
          <w:sz w:val="20"/>
          <w:szCs w:val="20"/>
        </w:rPr>
        <w:t xml:space="preserve"> </w:t>
      </w:r>
      <w:r w:rsidR="00293860" w:rsidRPr="00405B5F">
        <w:rPr>
          <w:sz w:val="20"/>
          <w:szCs w:val="20"/>
        </w:rPr>
        <w:t>comprises scheme</w:t>
      </w:r>
      <w:r w:rsidR="00A37C10" w:rsidRPr="00405B5F">
        <w:rPr>
          <w:sz w:val="20"/>
          <w:szCs w:val="20"/>
        </w:rPr>
        <w:t>s</w:t>
      </w:r>
      <w:r w:rsidR="00293860" w:rsidRPr="00405B5F">
        <w:rPr>
          <w:sz w:val="20"/>
          <w:szCs w:val="20"/>
        </w:rPr>
        <w:t xml:space="preserve"> A and C. The second vertical stream comprises scheme</w:t>
      </w:r>
      <w:r w:rsidR="00A37C10" w:rsidRPr="00405B5F">
        <w:rPr>
          <w:sz w:val="20"/>
          <w:szCs w:val="20"/>
        </w:rPr>
        <w:t>s</w:t>
      </w:r>
      <w:r w:rsidR="00293860" w:rsidRPr="00405B5F">
        <w:rPr>
          <w:sz w:val="20"/>
          <w:szCs w:val="20"/>
        </w:rPr>
        <w:t xml:space="preserve"> B and C. There </w:t>
      </w:r>
      <w:r w:rsidR="00A37C10" w:rsidRPr="00405B5F">
        <w:rPr>
          <w:sz w:val="20"/>
          <w:szCs w:val="20"/>
        </w:rPr>
        <w:t>is no single vertical stream comprising schemes A, B and C</w:t>
      </w:r>
      <w:r w:rsidR="00C27F78" w:rsidRPr="00405B5F">
        <w:rPr>
          <w:sz w:val="20"/>
          <w:szCs w:val="20"/>
        </w:rPr>
        <w:t>)”;</w:t>
      </w:r>
    </w:p>
    <w:p w:rsidR="00652182" w:rsidRDefault="00652182" w:rsidP="00792CD4">
      <w:pPr>
        <w:ind w:left="1701" w:hanging="567"/>
      </w:pPr>
    </w:p>
    <w:p w:rsidR="0077352E" w:rsidRDefault="0077352E" w:rsidP="00792CD4">
      <w:pPr>
        <w:ind w:left="1701" w:hanging="567"/>
      </w:pPr>
      <w:r>
        <w:t>(iii)</w:t>
      </w:r>
      <w:r>
        <w:tab/>
        <w:t xml:space="preserve">in </w:t>
      </w:r>
      <w:r w:rsidRPr="0077352E">
        <w:t>subparagraph (b)(iii)</w:t>
      </w:r>
      <w:r>
        <w:t xml:space="preserve"> omit “unless;”, substitute “excluding dealings covered by one or more of the following sub-subparagraphs</w:t>
      </w:r>
      <w:r w:rsidR="00C146D8">
        <w:t>:”;</w:t>
      </w:r>
    </w:p>
    <w:p w:rsidR="0077352E" w:rsidRDefault="0077352E" w:rsidP="00792CD4">
      <w:pPr>
        <w:ind w:left="1701" w:hanging="567"/>
      </w:pPr>
    </w:p>
    <w:p w:rsidR="0038290B" w:rsidRDefault="00F81A53" w:rsidP="00792CD4">
      <w:pPr>
        <w:ind w:left="1701" w:hanging="567"/>
      </w:pPr>
      <w:r>
        <w:t>(</w:t>
      </w:r>
      <w:r w:rsidR="00C146D8">
        <w:t>iv</w:t>
      </w:r>
      <w:r>
        <w:t>)</w:t>
      </w:r>
      <w:r>
        <w:tab/>
      </w:r>
      <w:r w:rsidR="0038290B">
        <w:t>at the end of</w:t>
      </w:r>
      <w:r w:rsidR="00021D45">
        <w:t xml:space="preserve"> </w:t>
      </w:r>
      <w:r>
        <w:t>sub-subparagraph (b)(iii)</w:t>
      </w:r>
      <w:r w:rsidR="00021D45">
        <w:t>(B)</w:t>
      </w:r>
      <w:r w:rsidR="0038290B">
        <w:t xml:space="preserve"> insert “or”;</w:t>
      </w:r>
    </w:p>
    <w:p w:rsidR="0038290B" w:rsidRDefault="0038290B" w:rsidP="00792CD4">
      <w:pPr>
        <w:ind w:left="1701" w:hanging="567"/>
      </w:pPr>
    </w:p>
    <w:p w:rsidR="00F81A53" w:rsidRDefault="0038290B" w:rsidP="00792CD4">
      <w:pPr>
        <w:ind w:left="1701" w:hanging="567"/>
      </w:pPr>
      <w:r>
        <w:t>(</w:t>
      </w:r>
      <w:r w:rsidR="00774FB4">
        <w:t>v</w:t>
      </w:r>
      <w:r>
        <w:t>)</w:t>
      </w:r>
      <w:r>
        <w:tab/>
        <w:t>after</w:t>
      </w:r>
      <w:r w:rsidR="00757CE1" w:rsidRPr="00757CE1">
        <w:t xml:space="preserve"> sub-subparagraph (b)(iii)(B) insert</w:t>
      </w:r>
      <w:r w:rsidR="00021D45">
        <w:t>:</w:t>
      </w:r>
    </w:p>
    <w:p w:rsidR="00A92CEC" w:rsidRDefault="00A92CEC" w:rsidP="00021D45">
      <w:pPr>
        <w:spacing w:after="240"/>
        <w:ind w:left="3402" w:hanging="567"/>
        <w:contextualSpacing/>
      </w:pPr>
    </w:p>
    <w:p w:rsidR="00A92CEC" w:rsidRPr="00757CE1" w:rsidRDefault="00757CE1" w:rsidP="00757CE1">
      <w:pPr>
        <w:spacing w:after="240"/>
        <w:ind w:left="2268" w:hanging="567"/>
        <w:contextualSpacing/>
      </w:pPr>
      <w:r>
        <w:t>“</w:t>
      </w:r>
      <w:r w:rsidR="00A92CEC" w:rsidRPr="00757CE1">
        <w:t>(C)</w:t>
      </w:r>
      <w:r w:rsidR="00A92CEC" w:rsidRPr="00757CE1">
        <w:tab/>
      </w:r>
      <w:r w:rsidR="00E221AF" w:rsidRPr="00757CE1">
        <w:t>both</w:t>
      </w:r>
      <w:r w:rsidR="00A92CEC" w:rsidRPr="00757CE1">
        <w:t xml:space="preserve"> of the following apply:</w:t>
      </w:r>
    </w:p>
    <w:p w:rsidR="00A92CEC" w:rsidRPr="00757CE1" w:rsidRDefault="00A92CEC" w:rsidP="00757CE1">
      <w:pPr>
        <w:spacing w:after="240"/>
        <w:ind w:left="2268" w:hanging="567"/>
        <w:contextualSpacing/>
      </w:pPr>
    </w:p>
    <w:p w:rsidR="00A92CEC" w:rsidRPr="00757CE1" w:rsidRDefault="00A92CEC" w:rsidP="00757CE1">
      <w:pPr>
        <w:spacing w:after="240"/>
        <w:ind w:left="2835" w:hanging="567"/>
        <w:contextualSpacing/>
      </w:pPr>
      <w:r w:rsidRPr="00757CE1">
        <w:t>(I)</w:t>
      </w:r>
      <w:r w:rsidRPr="00757CE1">
        <w:tab/>
        <w:t>the dealing takes place on a financial market;</w:t>
      </w:r>
    </w:p>
    <w:p w:rsidR="00A92CEC" w:rsidRPr="00757CE1" w:rsidRDefault="00A92CEC" w:rsidP="00757CE1">
      <w:pPr>
        <w:spacing w:after="240"/>
        <w:ind w:left="2835" w:hanging="567"/>
        <w:contextualSpacing/>
      </w:pPr>
    </w:p>
    <w:p w:rsidR="00C146D8" w:rsidRDefault="0004695E" w:rsidP="00C146D8">
      <w:pPr>
        <w:spacing w:after="240"/>
        <w:ind w:left="2835" w:hanging="567"/>
        <w:contextualSpacing/>
      </w:pPr>
      <w:r w:rsidRPr="00AD76B6">
        <w:t>(II)</w:t>
      </w:r>
      <w:r w:rsidRPr="00AD76B6">
        <w:tab/>
        <w:t>the notional derivatives exposure of the scheme (excluding derivatives covered by sub-subparagraph (A) or (B)) at any point in time does not exceed 10% of the net asset value of the scheme at that time unless the exposure is attributable to circumstances that were not  reasonably foreseeable by the responsible entity and the exposure is for a period of no more than 3 consecutive business days;</w:t>
      </w:r>
    </w:p>
    <w:p w:rsidR="00C146D8" w:rsidRDefault="00C146D8" w:rsidP="00C146D8">
      <w:pPr>
        <w:spacing w:after="240"/>
        <w:ind w:left="2835" w:hanging="567"/>
        <w:contextualSpacing/>
      </w:pPr>
    </w:p>
    <w:p w:rsidR="00757CE1" w:rsidRDefault="00D17976" w:rsidP="00757CE1">
      <w:pPr>
        <w:spacing w:after="240"/>
        <w:ind w:left="3402" w:hanging="1701"/>
        <w:contextualSpacing/>
      </w:pPr>
      <w:r>
        <w:t>(</w:t>
      </w:r>
      <w:r w:rsidR="00757CE1">
        <w:t>For the purposes of sub-subparagraph (B):</w:t>
      </w:r>
    </w:p>
    <w:p w:rsidR="00757CE1" w:rsidRDefault="00757CE1" w:rsidP="00757CE1">
      <w:pPr>
        <w:spacing w:after="240"/>
        <w:ind w:left="3402" w:hanging="567"/>
        <w:contextualSpacing/>
      </w:pPr>
    </w:p>
    <w:p w:rsidR="001968E9" w:rsidRDefault="007C4C6E">
      <w:pPr>
        <w:spacing w:after="240"/>
        <w:ind w:left="2268" w:hanging="567"/>
        <w:contextualSpacing/>
      </w:pPr>
      <w:r w:rsidRPr="007C4C6E">
        <w:t>(</w:t>
      </w:r>
      <w:r>
        <w:t>a</w:t>
      </w:r>
      <w:r w:rsidRPr="007C4C6E">
        <w:t>)</w:t>
      </w:r>
      <w:r w:rsidRPr="007C4C6E">
        <w:tab/>
      </w:r>
      <w:r>
        <w:t>a dealing in a derivative</w:t>
      </w:r>
      <w:r w:rsidRPr="007C4C6E">
        <w:t xml:space="preserve"> for the dominant purpose of managing the financial risk arising from deferring a proposed dealing in another financial product</w:t>
      </w:r>
      <w:r>
        <w:t xml:space="preserve"> </w:t>
      </w:r>
      <w:r w:rsidR="003D1D46">
        <w:t xml:space="preserve">that is not a derivative </w:t>
      </w:r>
      <w:r>
        <w:t xml:space="preserve">is taken to be </w:t>
      </w:r>
      <w:r w:rsidRPr="007C4C6E">
        <w:t xml:space="preserve">for </w:t>
      </w:r>
      <w:r>
        <w:t xml:space="preserve">a period of deferral of </w:t>
      </w:r>
      <w:r w:rsidRPr="00405B5F">
        <w:t>28</w:t>
      </w:r>
      <w:r w:rsidR="00C631FF" w:rsidRPr="00405B5F">
        <w:t xml:space="preserve"> </w:t>
      </w:r>
      <w:r w:rsidRPr="00405B5F">
        <w:t>days</w:t>
      </w:r>
      <w:r>
        <w:t xml:space="preserve"> or more </w:t>
      </w:r>
      <w:r w:rsidR="00C631FF">
        <w:t>if</w:t>
      </w:r>
      <w:r w:rsidR="005123EA">
        <w:t xml:space="preserve"> </w:t>
      </w:r>
      <w:r w:rsidR="00C631FF">
        <w:t>the dealing</w:t>
      </w:r>
      <w:r w:rsidRPr="007C4C6E">
        <w:t xml:space="preserve">, </w:t>
      </w:r>
      <w:r w:rsidR="003D1D46">
        <w:t xml:space="preserve">and </w:t>
      </w:r>
      <w:r w:rsidRPr="007C4C6E">
        <w:t xml:space="preserve">any previous dealing in derivatives that takes </w:t>
      </w:r>
      <w:r w:rsidRPr="007C4C6E">
        <w:lastRenderedPageBreak/>
        <w:t xml:space="preserve">place on a financial market, </w:t>
      </w:r>
      <w:r w:rsidR="003D1D46">
        <w:t xml:space="preserve">together are </w:t>
      </w:r>
      <w:r w:rsidRPr="007C4C6E">
        <w:t xml:space="preserve">for the dominant purpose of </w:t>
      </w:r>
      <w:r w:rsidR="00C631FF" w:rsidRPr="00C631FF">
        <w:t xml:space="preserve">managing the financial risk arising from deferring </w:t>
      </w:r>
      <w:r w:rsidR="003D1D46">
        <w:t xml:space="preserve">the same </w:t>
      </w:r>
      <w:r w:rsidR="00C631FF" w:rsidRPr="00C631FF">
        <w:t xml:space="preserve">proposed dealing in </w:t>
      </w:r>
      <w:r w:rsidR="003D1D46">
        <w:t xml:space="preserve">the </w:t>
      </w:r>
      <w:r w:rsidR="00C631FF" w:rsidRPr="00C631FF">
        <w:t xml:space="preserve">other financial product </w:t>
      </w:r>
      <w:r w:rsidR="00C631FF">
        <w:t>for a period of 28 days or more</w:t>
      </w:r>
      <w:r w:rsidR="003D1D46">
        <w:t>;</w:t>
      </w:r>
    </w:p>
    <w:p w:rsidR="007C4C6E" w:rsidRDefault="007C4C6E" w:rsidP="007C4C6E">
      <w:pPr>
        <w:spacing w:after="240"/>
        <w:ind w:left="2268" w:hanging="567"/>
        <w:contextualSpacing/>
      </w:pPr>
    </w:p>
    <w:p w:rsidR="00757CE1" w:rsidRDefault="00757CE1" w:rsidP="00757CE1">
      <w:pPr>
        <w:spacing w:after="240"/>
        <w:ind w:left="2268" w:hanging="567"/>
        <w:contextualSpacing/>
      </w:pPr>
      <w:r>
        <w:t>(</w:t>
      </w:r>
      <w:r w:rsidR="003D1D46">
        <w:t>b</w:t>
      </w:r>
      <w:r>
        <w:t>)</w:t>
      </w:r>
      <w:r>
        <w:tab/>
        <w:t xml:space="preserve">a dealing in a derivative for the dominant purpose of managing the financial risk arising from deferring a proposed dealing in another financial product is not taken to satisfy the sub-subparagraph merely because the derivative has </w:t>
      </w:r>
      <w:r w:rsidR="003951CF">
        <w:t xml:space="preserve">a </w:t>
      </w:r>
      <w:r>
        <w:t>term of 28 days or more</w:t>
      </w:r>
      <w:r w:rsidR="00D17976">
        <w:t>)”;</w:t>
      </w:r>
    </w:p>
    <w:p w:rsidR="00757CE1" w:rsidRDefault="00757CE1" w:rsidP="00880010">
      <w:pPr>
        <w:spacing w:after="240"/>
        <w:ind w:left="3402" w:hanging="567"/>
        <w:contextualSpacing/>
        <w:rPr>
          <w:highlight w:val="yellow"/>
        </w:rPr>
      </w:pPr>
    </w:p>
    <w:p w:rsidR="00792CD4" w:rsidRDefault="00792CD4" w:rsidP="00792CD4">
      <w:pPr>
        <w:ind w:left="1701" w:hanging="567"/>
      </w:pPr>
      <w:r>
        <w:t>(</w:t>
      </w:r>
      <w:r w:rsidR="00774FB4">
        <w:t>v</w:t>
      </w:r>
      <w:r w:rsidR="00C146D8">
        <w:t>i</w:t>
      </w:r>
      <w:r>
        <w:t>)</w:t>
      </w:r>
      <w:r>
        <w:tab/>
        <w:t>omit subparagraph (b)(v), substitute:</w:t>
      </w:r>
    </w:p>
    <w:p w:rsidR="00792CD4" w:rsidRDefault="00792CD4" w:rsidP="00792CD4">
      <w:pPr>
        <w:ind w:left="1701" w:hanging="567"/>
      </w:pPr>
    </w:p>
    <w:p w:rsidR="00792CD4" w:rsidRDefault="00792CD4" w:rsidP="00792CD4">
      <w:pPr>
        <w:ind w:left="2268" w:hanging="567"/>
      </w:pPr>
      <w:r>
        <w:t>“(v)</w:t>
      </w:r>
      <w:r>
        <w:tab/>
      </w:r>
      <w:r w:rsidR="00874454">
        <w:t xml:space="preserve">both </w:t>
      </w:r>
      <w:r w:rsidR="00B30714" w:rsidRPr="00B30714">
        <w:t>of the following are satisfied:</w:t>
      </w:r>
    </w:p>
    <w:p w:rsidR="00792CD4" w:rsidRDefault="00792CD4" w:rsidP="00792CD4">
      <w:pPr>
        <w:ind w:left="2268" w:hanging="567"/>
      </w:pPr>
    </w:p>
    <w:p w:rsidR="00792CD4" w:rsidRDefault="00792CD4" w:rsidP="00792CD4">
      <w:pPr>
        <w:ind w:left="2835" w:hanging="567"/>
      </w:pPr>
      <w:r>
        <w:t>(A)</w:t>
      </w:r>
      <w:r>
        <w:tab/>
      </w:r>
      <w:r w:rsidRPr="00792CD4">
        <w:t xml:space="preserve">the responsible entity of the scheme or a person who manages some or all of the scheme property has rights to be paid fees </w:t>
      </w:r>
      <w:r w:rsidR="00B30714" w:rsidRPr="00B30714">
        <w:t>(</w:t>
      </w:r>
      <w:r w:rsidR="00B30714" w:rsidRPr="00B30714">
        <w:rPr>
          <w:b/>
          <w:i/>
        </w:rPr>
        <w:t>performance fees</w:t>
      </w:r>
      <w:r w:rsidR="00B30714" w:rsidRPr="00B30714">
        <w:t>)</w:t>
      </w:r>
      <w:r>
        <w:t xml:space="preserve"> </w:t>
      </w:r>
      <w:r w:rsidRPr="00792CD4">
        <w:t>substantially based on the performance of that property whether or not the responsible entity or the person also has rights to be paid fees substantially based on the gross or net value of all of the scheme property</w:t>
      </w:r>
      <w:r>
        <w:t>;</w:t>
      </w:r>
    </w:p>
    <w:p w:rsidR="00792CD4" w:rsidRDefault="00792CD4" w:rsidP="00792CD4">
      <w:pPr>
        <w:ind w:left="2835" w:hanging="567"/>
      </w:pPr>
    </w:p>
    <w:p w:rsidR="006F7153" w:rsidRPr="00405B5F" w:rsidRDefault="00774FB4" w:rsidP="0051575D">
      <w:pPr>
        <w:ind w:left="2835" w:hanging="567"/>
      </w:pPr>
      <w:r w:rsidRPr="00405B5F">
        <w:t>(B)</w:t>
      </w:r>
      <w:r w:rsidRPr="00405B5F">
        <w:tab/>
        <w:t xml:space="preserve">the </w:t>
      </w:r>
      <w:r w:rsidR="006009EC" w:rsidRPr="00405B5F">
        <w:t>responsible entity has made a statement in writing (whether in a Product Disclosure Statement or</w:t>
      </w:r>
      <w:r w:rsidR="00874454" w:rsidRPr="00405B5F">
        <w:t xml:space="preserve"> </w:t>
      </w:r>
      <w:r w:rsidR="006009EC" w:rsidRPr="00405B5F">
        <w:t xml:space="preserve">otherwise) </w:t>
      </w:r>
      <w:r w:rsidR="003A31E4" w:rsidRPr="00405B5F">
        <w:t>to the effect that performance fees will be payable in the event the responsible entity or the person satisfy certain criteria related to the performance of the scheme property</w:t>
      </w:r>
      <w:r w:rsidR="00874454" w:rsidRPr="00405B5F">
        <w:t xml:space="preserve"> and has not withdrawn that statement.”;</w:t>
      </w:r>
    </w:p>
    <w:p w:rsidR="009C152C" w:rsidRDefault="009C152C" w:rsidP="009C152C">
      <w:pPr>
        <w:ind w:left="2835" w:hanging="567"/>
      </w:pPr>
    </w:p>
    <w:p w:rsidR="001968E9" w:rsidRDefault="00E11CA6">
      <w:pPr>
        <w:ind w:left="1701" w:hanging="567"/>
      </w:pPr>
      <w:r>
        <w:t>(</w:t>
      </w:r>
      <w:r w:rsidR="00774FB4">
        <w:t>vi</w:t>
      </w:r>
      <w:r w:rsidR="00C146D8">
        <w:t>i</w:t>
      </w:r>
      <w:r>
        <w:t>)</w:t>
      </w:r>
      <w:r>
        <w:tab/>
        <w:t xml:space="preserve">at the end of the definition of </w:t>
      </w:r>
      <w:r w:rsidR="00B30714" w:rsidRPr="00B30714">
        <w:rPr>
          <w:b/>
          <w:i/>
        </w:rPr>
        <w:t>hedge fund</w:t>
      </w:r>
      <w:r>
        <w:t xml:space="preserve"> insert</w:t>
      </w:r>
      <w:r w:rsidR="00A61597">
        <w:t xml:space="preserve"> on a new line</w:t>
      </w:r>
      <w:r>
        <w:t>:</w:t>
      </w:r>
    </w:p>
    <w:p w:rsidR="001968E9" w:rsidRDefault="001968E9">
      <w:pPr>
        <w:ind w:left="1701" w:hanging="567"/>
      </w:pPr>
    </w:p>
    <w:p w:rsidR="00943B99" w:rsidRPr="00652182" w:rsidRDefault="00EA2D3B">
      <w:pPr>
        <w:ind w:left="1701"/>
      </w:pPr>
      <w:r w:rsidRPr="00652182">
        <w:t>“For the purposes of determining whether a registered managed investment scheme is covered by two or more subparagraphs of paragraph (b) of this definition, a scheme that deals in derivatives which, but for this provision, results in the scheme being covered by:</w:t>
      </w:r>
    </w:p>
    <w:p w:rsidR="00943B99" w:rsidRPr="00652182" w:rsidRDefault="00943B99">
      <w:pPr>
        <w:ind w:left="1701"/>
      </w:pPr>
    </w:p>
    <w:p w:rsidR="00943B99" w:rsidRPr="00652182" w:rsidRDefault="00EA2D3B" w:rsidP="00652182">
      <w:pPr>
        <w:ind w:left="2268" w:hanging="567"/>
      </w:pPr>
      <w:r w:rsidRPr="00652182">
        <w:t>(a)</w:t>
      </w:r>
      <w:r w:rsidRPr="00652182">
        <w:tab/>
        <w:t xml:space="preserve">subparagraph (iii) (the </w:t>
      </w:r>
      <w:r w:rsidRPr="00652182">
        <w:rPr>
          <w:b/>
          <w:i/>
        </w:rPr>
        <w:t>derivatives limb</w:t>
      </w:r>
      <w:r w:rsidRPr="00652182">
        <w:t>); and</w:t>
      </w:r>
    </w:p>
    <w:p w:rsidR="00943B99" w:rsidRPr="00652182" w:rsidRDefault="00943B99" w:rsidP="00652182">
      <w:pPr>
        <w:ind w:left="2268" w:hanging="567"/>
      </w:pPr>
    </w:p>
    <w:p w:rsidR="00943B99" w:rsidRPr="00652182" w:rsidRDefault="00EA2D3B" w:rsidP="00652182">
      <w:pPr>
        <w:ind w:left="2268" w:hanging="567"/>
      </w:pPr>
      <w:r w:rsidRPr="00652182">
        <w:t>(b)</w:t>
      </w:r>
      <w:r w:rsidRPr="00652182">
        <w:tab/>
        <w:t>either or both of the following:</w:t>
      </w:r>
    </w:p>
    <w:p w:rsidR="00943B99" w:rsidRPr="00652182" w:rsidRDefault="00943B99">
      <w:pPr>
        <w:ind w:left="2268" w:hanging="567"/>
      </w:pPr>
    </w:p>
    <w:p w:rsidR="00943B99" w:rsidRPr="00652182" w:rsidRDefault="00EA2D3B">
      <w:pPr>
        <w:ind w:left="2835" w:hanging="567"/>
      </w:pPr>
      <w:r w:rsidRPr="00652182">
        <w:t>(i)</w:t>
      </w:r>
      <w:r w:rsidRPr="00652182">
        <w:tab/>
        <w:t xml:space="preserve">subparagraph (ii) (the </w:t>
      </w:r>
      <w:r w:rsidRPr="00652182">
        <w:rPr>
          <w:b/>
          <w:i/>
        </w:rPr>
        <w:t>leverage limb</w:t>
      </w:r>
      <w:r w:rsidRPr="00652182">
        <w:t>);</w:t>
      </w:r>
    </w:p>
    <w:p w:rsidR="00943B99" w:rsidRPr="00652182" w:rsidRDefault="00943B99">
      <w:pPr>
        <w:ind w:left="2835" w:hanging="567"/>
      </w:pPr>
    </w:p>
    <w:p w:rsidR="00943B99" w:rsidRPr="00652182" w:rsidRDefault="00EA2D3B">
      <w:pPr>
        <w:ind w:left="2835" w:hanging="567"/>
      </w:pPr>
      <w:r w:rsidRPr="00652182">
        <w:t>(ii)</w:t>
      </w:r>
      <w:r w:rsidRPr="00652182">
        <w:tab/>
        <w:t xml:space="preserve">subparagraph (iv) (the </w:t>
      </w:r>
      <w:r w:rsidRPr="00652182">
        <w:rPr>
          <w:b/>
          <w:i/>
        </w:rPr>
        <w:t>short selling limb</w:t>
      </w:r>
      <w:r w:rsidRPr="00652182">
        <w:t>);</w:t>
      </w:r>
    </w:p>
    <w:p w:rsidR="00943B99" w:rsidRPr="00652182" w:rsidRDefault="00943B99">
      <w:pPr>
        <w:ind w:left="2835" w:hanging="567"/>
      </w:pPr>
    </w:p>
    <w:p w:rsidR="00943B99" w:rsidRDefault="00EA2D3B">
      <w:pPr>
        <w:ind w:left="1701"/>
      </w:pPr>
      <w:r w:rsidRPr="00652182">
        <w:t>is taken not to be covered by the leverage limb or the short selling limb unless the scheme is covered by the leverage limb or the short selling limb for some other reason.</w:t>
      </w:r>
    </w:p>
    <w:p w:rsidR="00AD76B6" w:rsidRDefault="00AD76B6">
      <w:pPr>
        <w:ind w:left="1701"/>
      </w:pPr>
    </w:p>
    <w:p w:rsidR="001968E9" w:rsidRDefault="00E11CA6">
      <w:pPr>
        <w:ind w:left="1701"/>
      </w:pPr>
      <w:r w:rsidRPr="00E11CA6">
        <w:lastRenderedPageBreak/>
        <w:t xml:space="preserve">A registered managed investment scheme is taken to be covered by two or more subparagraphs </w:t>
      </w:r>
      <w:r w:rsidR="006F124D">
        <w:t xml:space="preserve">of </w:t>
      </w:r>
      <w:r w:rsidRPr="00E11CA6">
        <w:t>paragraph (b) of this definition</w:t>
      </w:r>
      <w:r w:rsidR="008875A0">
        <w:t xml:space="preserve"> </w:t>
      </w:r>
      <w:r w:rsidRPr="00E11CA6">
        <w:t>if all of the following apply:</w:t>
      </w:r>
    </w:p>
    <w:p w:rsidR="00E11CA6" w:rsidRPr="00E11CA6" w:rsidRDefault="00E11CA6" w:rsidP="00E11CA6">
      <w:pPr>
        <w:ind w:left="1701" w:hanging="567"/>
      </w:pPr>
    </w:p>
    <w:p w:rsidR="00E11CA6" w:rsidRPr="00E11CA6" w:rsidRDefault="00E11CA6" w:rsidP="00E11CA6">
      <w:pPr>
        <w:ind w:left="2268" w:hanging="567"/>
      </w:pPr>
      <w:r w:rsidRPr="00E11CA6">
        <w:t>(a)</w:t>
      </w:r>
      <w:r>
        <w:tab/>
      </w:r>
      <w:r w:rsidRPr="00E11CA6">
        <w:t xml:space="preserve">the scheme and </w:t>
      </w:r>
      <w:r w:rsidRPr="00054FB1">
        <w:t xml:space="preserve">any </w:t>
      </w:r>
      <w:r w:rsidR="005D6548" w:rsidRPr="00054FB1">
        <w:t xml:space="preserve">other </w:t>
      </w:r>
      <w:r w:rsidRPr="00054FB1">
        <w:t xml:space="preserve">entity </w:t>
      </w:r>
      <w:r w:rsidR="00FF0B92" w:rsidRPr="00054FB1">
        <w:t>(including, for the avoidance of doubt, a registered scheme or foreign entity)</w:t>
      </w:r>
      <w:r w:rsidR="00FF0B92">
        <w:t xml:space="preserve"> </w:t>
      </w:r>
      <w:r w:rsidRPr="00E11CA6">
        <w:t>through which the scheme acquires an economic interest in financial products, taken together, would be covered by two or more of those subparagraphs;</w:t>
      </w:r>
    </w:p>
    <w:p w:rsidR="00E11CA6" w:rsidRPr="00E11CA6" w:rsidRDefault="00E11CA6" w:rsidP="00E11CA6">
      <w:pPr>
        <w:ind w:left="2268" w:hanging="567"/>
      </w:pPr>
    </w:p>
    <w:p w:rsidR="00E11CA6" w:rsidRPr="00E11CA6" w:rsidRDefault="00E11CA6" w:rsidP="00E11CA6">
      <w:pPr>
        <w:ind w:left="2268" w:hanging="567"/>
      </w:pPr>
      <w:r w:rsidRPr="00E11CA6">
        <w:t>(b)</w:t>
      </w:r>
      <w:r w:rsidR="008875A0">
        <w:tab/>
      </w:r>
      <w:r w:rsidRPr="00E11CA6">
        <w:t>the scheme, taken alone, would not be covered by two or more of those subparagraphs;</w:t>
      </w:r>
    </w:p>
    <w:p w:rsidR="00E11CA6" w:rsidRPr="00E11CA6" w:rsidRDefault="00E11CA6" w:rsidP="00E11CA6">
      <w:pPr>
        <w:ind w:left="2268" w:hanging="567"/>
      </w:pPr>
    </w:p>
    <w:p w:rsidR="001968E9" w:rsidRDefault="00E11CA6">
      <w:pPr>
        <w:ind w:left="2268" w:hanging="567"/>
      </w:pPr>
      <w:r w:rsidRPr="00E11CA6">
        <w:t>(c)</w:t>
      </w:r>
      <w:r w:rsidR="008875A0">
        <w:tab/>
      </w:r>
      <w:r w:rsidRPr="00E11CA6">
        <w:t xml:space="preserve">a reasonable person would conclude that </w:t>
      </w:r>
      <w:r w:rsidR="00774FB4">
        <w:t xml:space="preserve">the use of one or more </w:t>
      </w:r>
      <w:r w:rsidR="005D6548" w:rsidRPr="00054FB1">
        <w:t>of those other entities</w:t>
      </w:r>
      <w:r w:rsidR="005D6548">
        <w:t xml:space="preserve"> </w:t>
      </w:r>
      <w:r w:rsidR="00774FB4">
        <w:t xml:space="preserve">as a means </w:t>
      </w:r>
      <w:r w:rsidR="00545E96" w:rsidRPr="00183D5D">
        <w:t>through</w:t>
      </w:r>
      <w:r w:rsidR="00774FB4">
        <w:t xml:space="preserve"> which the scheme acquires an economic interest in financial products is for the sole or dominant purpose of bringing</w:t>
      </w:r>
      <w:r w:rsidRPr="00E11CA6">
        <w:t xml:space="preserve"> about a result that the scheme, taken alone, would not be covered by two or more of those subparagraphs.</w:t>
      </w:r>
      <w:r w:rsidR="008875A0">
        <w:t>”;</w:t>
      </w:r>
    </w:p>
    <w:p w:rsidR="00611476" w:rsidRDefault="00611476" w:rsidP="005661F4">
      <w:pPr>
        <w:ind w:left="1134" w:hanging="567"/>
      </w:pPr>
    </w:p>
    <w:p w:rsidR="005661F4" w:rsidRDefault="005661F4" w:rsidP="005661F4">
      <w:pPr>
        <w:ind w:left="1134" w:hanging="567"/>
      </w:pPr>
      <w:r>
        <w:t>(</w:t>
      </w:r>
      <w:r w:rsidR="0005085F">
        <w:t>c</w:t>
      </w:r>
      <w:r>
        <w:t>)</w:t>
      </w:r>
      <w:r>
        <w:tab/>
        <w:t xml:space="preserve">after the definition of </w:t>
      </w:r>
      <w:r w:rsidRPr="00792CD4">
        <w:rPr>
          <w:b/>
          <w:i/>
        </w:rPr>
        <w:t>hedge fund</w:t>
      </w:r>
      <w:r>
        <w:t xml:space="preserve"> insert:</w:t>
      </w:r>
    </w:p>
    <w:p w:rsidR="00792CD4" w:rsidRDefault="00792CD4" w:rsidP="00792CD4">
      <w:pPr>
        <w:ind w:left="2268" w:hanging="567"/>
      </w:pPr>
    </w:p>
    <w:p w:rsidR="0073656F" w:rsidRPr="00D132D3" w:rsidRDefault="0073656F" w:rsidP="007B3D9B">
      <w:pPr>
        <w:ind w:left="1134"/>
      </w:pPr>
      <w:r w:rsidRPr="00D132D3">
        <w:t>“</w:t>
      </w:r>
      <w:r w:rsidRPr="00D132D3">
        <w:rPr>
          <w:b/>
          <w:i/>
        </w:rPr>
        <w:t>interposed entity</w:t>
      </w:r>
      <w:r w:rsidR="00C321ED">
        <w:t xml:space="preserve">, </w:t>
      </w:r>
      <w:r w:rsidR="00C321ED" w:rsidRPr="00183D5D">
        <w:t>in relation to a scheme,</w:t>
      </w:r>
      <w:r w:rsidRPr="00183D5D">
        <w:t xml:space="preserve"> </w:t>
      </w:r>
      <w:r w:rsidR="00255199" w:rsidRPr="00183D5D">
        <w:t>means a</w:t>
      </w:r>
      <w:r w:rsidR="00542B0C" w:rsidRPr="00183D5D">
        <w:t>n</w:t>
      </w:r>
      <w:r w:rsidR="00255199" w:rsidRPr="00183D5D">
        <w:t xml:space="preserve"> entity</w:t>
      </w:r>
      <w:r w:rsidR="00542B0C" w:rsidRPr="00183D5D">
        <w:t xml:space="preserve"> that is</w:t>
      </w:r>
      <w:r w:rsidR="007B3D9B" w:rsidRPr="00183D5D">
        <w:t xml:space="preserve"> interposed between the scheme and a financial product in which the scheme has an economic interest</w:t>
      </w:r>
      <w:r w:rsidR="007B3D9B">
        <w:t xml:space="preserve"> </w:t>
      </w:r>
      <w:r w:rsidR="00255199" w:rsidRPr="00D132D3">
        <w:t xml:space="preserve">but </w:t>
      </w:r>
      <w:r w:rsidRPr="00D132D3">
        <w:t>does not include:</w:t>
      </w:r>
    </w:p>
    <w:p w:rsidR="0073656F" w:rsidRPr="00D132D3" w:rsidRDefault="0073656F" w:rsidP="005661F4">
      <w:pPr>
        <w:ind w:left="1134"/>
      </w:pPr>
    </w:p>
    <w:p w:rsidR="00255199" w:rsidRPr="00D132D3" w:rsidRDefault="0073656F" w:rsidP="0073656F">
      <w:pPr>
        <w:ind w:left="1701" w:hanging="567"/>
      </w:pPr>
      <w:r w:rsidRPr="00D132D3">
        <w:t>(</w:t>
      </w:r>
      <w:r w:rsidR="007B3D9B">
        <w:t>a</w:t>
      </w:r>
      <w:r w:rsidRPr="00D132D3">
        <w:t>)</w:t>
      </w:r>
      <w:r w:rsidRPr="00D132D3">
        <w:tab/>
        <w:t>a registered</w:t>
      </w:r>
      <w:r w:rsidR="00255199" w:rsidRPr="00D132D3">
        <w:t xml:space="preserve"> scheme; or</w:t>
      </w:r>
    </w:p>
    <w:p w:rsidR="00255199" w:rsidRPr="00D132D3" w:rsidRDefault="00255199" w:rsidP="0073656F">
      <w:pPr>
        <w:ind w:left="1701" w:hanging="567"/>
      </w:pPr>
    </w:p>
    <w:p w:rsidR="000E442F" w:rsidRPr="00D132D3" w:rsidRDefault="00255199" w:rsidP="000E442F">
      <w:pPr>
        <w:ind w:left="1701" w:hanging="567"/>
      </w:pPr>
      <w:r w:rsidRPr="00D132D3">
        <w:t>(</w:t>
      </w:r>
      <w:r w:rsidR="007B3D9B">
        <w:t>b</w:t>
      </w:r>
      <w:r w:rsidRPr="00D132D3">
        <w:t>)</w:t>
      </w:r>
      <w:r w:rsidRPr="00D132D3">
        <w:tab/>
      </w:r>
      <w:r w:rsidR="001968E9">
        <w:t>an entity</w:t>
      </w:r>
      <w:r w:rsidRPr="00D132D3">
        <w:t xml:space="preserve"> </w:t>
      </w:r>
      <w:r w:rsidR="004E2685" w:rsidRPr="00D132D3">
        <w:t>which</w:t>
      </w:r>
      <w:r w:rsidR="000E442F" w:rsidRPr="00D132D3">
        <w:t>:</w:t>
      </w:r>
    </w:p>
    <w:p w:rsidR="000E442F" w:rsidRPr="00D132D3" w:rsidRDefault="000E442F" w:rsidP="000E442F">
      <w:pPr>
        <w:ind w:left="1701" w:hanging="567"/>
      </w:pPr>
    </w:p>
    <w:p w:rsidR="004E2685" w:rsidRPr="00D132D3" w:rsidRDefault="004E2685" w:rsidP="004E2685">
      <w:pPr>
        <w:ind w:left="2268" w:hanging="567"/>
      </w:pPr>
      <w:r w:rsidRPr="00D132D3">
        <w:t>(i)</w:t>
      </w:r>
      <w:r w:rsidRPr="00D132D3">
        <w:tab/>
        <w:t>is incorporated</w:t>
      </w:r>
      <w:r w:rsidR="001666CF">
        <w:t>,</w:t>
      </w:r>
      <w:r w:rsidRPr="00D132D3">
        <w:t xml:space="preserve"> formed </w:t>
      </w:r>
      <w:r w:rsidR="001666CF">
        <w:t xml:space="preserve">or registered </w:t>
      </w:r>
      <w:r w:rsidRPr="00D132D3">
        <w:t xml:space="preserve">in </w:t>
      </w:r>
      <w:r w:rsidR="00774FB4">
        <w:t>a foreign jurisdiction in relation to which a prescribed foreign regulatory authority regulates financial services</w:t>
      </w:r>
      <w:r w:rsidRPr="00D132D3">
        <w:t>; and</w:t>
      </w:r>
    </w:p>
    <w:p w:rsidR="004E2685" w:rsidRPr="00D132D3" w:rsidRDefault="004E2685" w:rsidP="004E2685">
      <w:pPr>
        <w:ind w:left="2268" w:hanging="567"/>
      </w:pPr>
    </w:p>
    <w:p w:rsidR="00C8533B" w:rsidRPr="00183D5D" w:rsidRDefault="004E2685" w:rsidP="004E2685">
      <w:pPr>
        <w:ind w:left="2268" w:hanging="567"/>
      </w:pPr>
      <w:r w:rsidRPr="00D132D3">
        <w:t>(ii)</w:t>
      </w:r>
      <w:r w:rsidRPr="00D132D3">
        <w:tab/>
      </w:r>
      <w:r w:rsidR="00774FB4">
        <w:t>either:</w:t>
      </w:r>
    </w:p>
    <w:p w:rsidR="00C8533B" w:rsidRPr="00183D5D" w:rsidRDefault="00C8533B" w:rsidP="004E2685">
      <w:pPr>
        <w:ind w:left="2268" w:hanging="567"/>
      </w:pPr>
    </w:p>
    <w:p w:rsidR="00774FB4" w:rsidRDefault="00774FB4" w:rsidP="00774FB4">
      <w:pPr>
        <w:ind w:left="2835" w:hanging="567"/>
      </w:pPr>
      <w:r>
        <w:t>(A)</w:t>
      </w:r>
      <w:r>
        <w:tab/>
        <w:t xml:space="preserve">is, or whose operator is, specifically authorised by that regulatory authority to make offers of financial products that comprise rights or interests in the entity to the </w:t>
      </w:r>
      <w:r w:rsidR="001B680D">
        <w:t xml:space="preserve">general </w:t>
      </w:r>
      <w:r>
        <w:t>public in that foreign jurisdiction; or</w:t>
      </w:r>
    </w:p>
    <w:p w:rsidR="00774FB4" w:rsidRDefault="00774FB4" w:rsidP="00774FB4">
      <w:pPr>
        <w:ind w:left="2835" w:hanging="567"/>
      </w:pPr>
    </w:p>
    <w:p w:rsidR="00BA58E5" w:rsidRDefault="00774FB4" w:rsidP="00AB5596">
      <w:pPr>
        <w:ind w:left="2835" w:hanging="567"/>
        <w:rPr>
          <w:highlight w:val="yellow"/>
        </w:rPr>
      </w:pPr>
      <w:r>
        <w:t>(B)</w:t>
      </w:r>
      <w:r>
        <w:tab/>
        <w:t xml:space="preserve">is, or whose operator is, specifically authorised to make offers of financial products that comprise rights or </w:t>
      </w:r>
      <w:r w:rsidRPr="00405B5F">
        <w:t xml:space="preserve">interests in the entity to the </w:t>
      </w:r>
      <w:r w:rsidR="001B680D" w:rsidRPr="00405B5F">
        <w:t xml:space="preserve">general </w:t>
      </w:r>
      <w:r w:rsidRPr="00405B5F">
        <w:t xml:space="preserve">public in another foreign jurisdiction </w:t>
      </w:r>
      <w:r w:rsidR="00874454" w:rsidRPr="00405B5F">
        <w:t>by a</w:t>
      </w:r>
      <w:r w:rsidRPr="00405B5F">
        <w:t xml:space="preserve"> prescribed foreign regulatory authority </w:t>
      </w:r>
      <w:r w:rsidR="00874454" w:rsidRPr="00405B5F">
        <w:t xml:space="preserve">that </w:t>
      </w:r>
      <w:r w:rsidRPr="00405B5F">
        <w:t>regulates financial services</w:t>
      </w:r>
      <w:r w:rsidR="00874454" w:rsidRPr="00405B5F">
        <w:t xml:space="preserve"> in that other jurisdiction</w:t>
      </w:r>
      <w:r>
        <w:t>.</w:t>
      </w:r>
    </w:p>
    <w:p w:rsidR="00BA58E5" w:rsidRPr="00802489" w:rsidRDefault="00BA58E5" w:rsidP="005661F4">
      <w:pPr>
        <w:ind w:left="1134"/>
        <w:rPr>
          <w:highlight w:val="yellow"/>
        </w:rPr>
      </w:pPr>
    </w:p>
    <w:p w:rsidR="00A826C1" w:rsidRDefault="00B30714" w:rsidP="005661F4">
      <w:pPr>
        <w:ind w:left="1134"/>
      </w:pPr>
      <w:r w:rsidRPr="00B30714">
        <w:rPr>
          <w:b/>
          <w:i/>
        </w:rPr>
        <w:t>net asset value</w:t>
      </w:r>
      <w:r w:rsidR="00E0255E">
        <w:t xml:space="preserve">, </w:t>
      </w:r>
      <w:r w:rsidRPr="00B30714">
        <w:t>in relation to a scheme</w:t>
      </w:r>
      <w:r w:rsidR="00E0255E">
        <w:t xml:space="preserve">, means the </w:t>
      </w:r>
      <w:r w:rsidR="00A826C1">
        <w:t xml:space="preserve">value of the </w:t>
      </w:r>
      <w:r w:rsidR="00E0255E">
        <w:t>asset</w:t>
      </w:r>
      <w:r w:rsidR="00A826C1">
        <w:t>s</w:t>
      </w:r>
      <w:r w:rsidR="00E0255E">
        <w:t xml:space="preserve"> of the scheme</w:t>
      </w:r>
      <w:r w:rsidR="00A826C1">
        <w:t xml:space="preserve"> less the value of the liabilities of the scheme (other than </w:t>
      </w:r>
      <w:r w:rsidR="00A826C1">
        <w:lastRenderedPageBreak/>
        <w:t>liabilities to members as members of the scheme)</w:t>
      </w:r>
      <w:r w:rsidR="00B20793">
        <w:t>,</w:t>
      </w:r>
      <w:r w:rsidR="00A16CF8" w:rsidRPr="00A16CF8">
        <w:rPr>
          <w:rFonts w:ascii="Verdana" w:hAnsi="Verdana" w:cs="Arial"/>
          <w:sz w:val="16"/>
          <w:szCs w:val="16"/>
        </w:rPr>
        <w:t xml:space="preserve"> </w:t>
      </w:r>
      <w:r w:rsidR="00A16CF8" w:rsidRPr="00A16CF8">
        <w:t xml:space="preserve">as they would appear on a balance sheet at the time of calculation made up for lodgment as part of a financial report under Chapter 2M </w:t>
      </w:r>
      <w:r w:rsidR="00B20793">
        <w:t xml:space="preserve">of the Act </w:t>
      </w:r>
      <w:r w:rsidR="00A16CF8" w:rsidRPr="00A16CF8">
        <w:t xml:space="preserve">if the </w:t>
      </w:r>
      <w:r w:rsidR="00B20793">
        <w:t xml:space="preserve">scheme </w:t>
      </w:r>
      <w:r w:rsidR="00A16CF8" w:rsidRPr="00A16CF8">
        <w:t>were a reporting entity</w:t>
      </w:r>
      <w:r w:rsidR="00A826C1">
        <w:t>.</w:t>
      </w:r>
    </w:p>
    <w:p w:rsidR="00652182" w:rsidRPr="00652182" w:rsidRDefault="00652182" w:rsidP="000B3EED">
      <w:pPr>
        <w:ind w:left="1134"/>
      </w:pPr>
    </w:p>
    <w:p w:rsidR="00B75C7B" w:rsidRDefault="00B75C7B" w:rsidP="000B3EED">
      <w:pPr>
        <w:ind w:left="1134"/>
      </w:pPr>
      <w:r>
        <w:rPr>
          <w:b/>
          <w:i/>
        </w:rPr>
        <w:t>notional derivatives exposure</w:t>
      </w:r>
      <w:r w:rsidRPr="00A6602C">
        <w:t>,</w:t>
      </w:r>
      <w:r>
        <w:t xml:space="preserve"> in relation to a scheme, means</w:t>
      </w:r>
      <w:r w:rsidR="000B3EED">
        <w:t xml:space="preserve"> </w:t>
      </w:r>
      <w:r>
        <w:t xml:space="preserve">the </w:t>
      </w:r>
      <w:r w:rsidR="00874454" w:rsidRPr="00405B5F">
        <w:t>absolute</w:t>
      </w:r>
      <w:r w:rsidR="00874454">
        <w:t xml:space="preserve"> </w:t>
      </w:r>
      <w:r>
        <w:t>sum of:</w:t>
      </w:r>
    </w:p>
    <w:p w:rsidR="000B3EED" w:rsidRDefault="000B3EED" w:rsidP="000B3EED">
      <w:pPr>
        <w:ind w:left="1134"/>
      </w:pPr>
    </w:p>
    <w:p w:rsidR="00B75C7B" w:rsidRDefault="00B75C7B" w:rsidP="000B3EED">
      <w:pPr>
        <w:ind w:left="1701" w:hanging="567"/>
      </w:pPr>
      <w:r>
        <w:t>(a)</w:t>
      </w:r>
      <w:r>
        <w:tab/>
      </w:r>
      <w:r w:rsidR="00774FB4">
        <w:t>the face value of, or the notional amount in respect of, each derivative as at the date on which the derivative is entered into,</w:t>
      </w:r>
      <w:r>
        <w:t xml:space="preserve"> held by the scheme </w:t>
      </w:r>
      <w:r w:rsidR="00FB2906">
        <w:t>that gives rise to an exposure (</w:t>
      </w:r>
      <w:r w:rsidR="00261037" w:rsidRPr="00261037">
        <w:rPr>
          <w:b/>
          <w:i/>
        </w:rPr>
        <w:t>long exposure</w:t>
      </w:r>
      <w:r w:rsidR="00FB2906">
        <w:t xml:space="preserve">) because </w:t>
      </w:r>
      <w:r>
        <w:t xml:space="preserve">the scheme would benefit by an increase in the price or value of the </w:t>
      </w:r>
      <w:r w:rsidR="00E0255E">
        <w:t xml:space="preserve">underlying or </w:t>
      </w:r>
      <w:r>
        <w:t>reference asset to which the derivative relates; and</w:t>
      </w:r>
    </w:p>
    <w:p w:rsidR="00B75C7B" w:rsidRDefault="00B75C7B" w:rsidP="000B3EED">
      <w:pPr>
        <w:ind w:left="1701" w:hanging="567"/>
      </w:pPr>
    </w:p>
    <w:p w:rsidR="000B3EED" w:rsidRDefault="00B75C7B" w:rsidP="000B3EED">
      <w:pPr>
        <w:ind w:left="1701" w:hanging="567"/>
      </w:pPr>
      <w:r>
        <w:t>(b)</w:t>
      </w:r>
      <w:r>
        <w:tab/>
      </w:r>
      <w:r w:rsidR="00774FB4">
        <w:t>the face value of, or the notional amount in respect of, each derivative as at the date on which the derivative is entered into,</w:t>
      </w:r>
      <w:r w:rsidR="005A3530" w:rsidRPr="005A3530">
        <w:t xml:space="preserve"> </w:t>
      </w:r>
      <w:r w:rsidRPr="00A6602C">
        <w:t xml:space="preserve">held by the scheme </w:t>
      </w:r>
      <w:r w:rsidR="00FB2906" w:rsidRPr="00FB2906">
        <w:t>that gives rise to an exposure (</w:t>
      </w:r>
      <w:r w:rsidR="00261037" w:rsidRPr="00261037">
        <w:rPr>
          <w:b/>
          <w:i/>
        </w:rPr>
        <w:t>short</w:t>
      </w:r>
      <w:r w:rsidR="00FB2906">
        <w:t xml:space="preserve"> </w:t>
      </w:r>
      <w:r w:rsidR="00FB2906" w:rsidRPr="00FB2906">
        <w:rPr>
          <w:b/>
          <w:i/>
        </w:rPr>
        <w:t>exposure</w:t>
      </w:r>
      <w:r w:rsidR="00FB2906" w:rsidRPr="00FB2906">
        <w:t xml:space="preserve">) </w:t>
      </w:r>
      <w:r w:rsidR="00FB2906">
        <w:t xml:space="preserve">because </w:t>
      </w:r>
      <w:r w:rsidRPr="00A6602C">
        <w:t xml:space="preserve">the scheme would benefit by a </w:t>
      </w:r>
      <w:r>
        <w:t>decrease</w:t>
      </w:r>
      <w:r w:rsidRPr="00A6602C">
        <w:t xml:space="preserve"> in the price or value of the </w:t>
      </w:r>
      <w:r w:rsidR="00E0255E">
        <w:t xml:space="preserve">underlying or </w:t>
      </w:r>
      <w:r>
        <w:t xml:space="preserve">reference </w:t>
      </w:r>
      <w:r w:rsidRPr="00A6602C">
        <w:t>asset to which the derivative relates</w:t>
      </w:r>
      <w:r w:rsidR="000B3EED">
        <w:t>;</w:t>
      </w:r>
    </w:p>
    <w:p w:rsidR="000B3EED" w:rsidRDefault="000B3EED" w:rsidP="000B3EED">
      <w:pPr>
        <w:ind w:left="1701" w:hanging="567"/>
      </w:pPr>
    </w:p>
    <w:p w:rsidR="000B3EED" w:rsidRDefault="000B3EED" w:rsidP="000B3EED">
      <w:pPr>
        <w:ind w:left="1701" w:hanging="567"/>
      </w:pPr>
      <w:r>
        <w:t>adjusted as follows:</w:t>
      </w:r>
    </w:p>
    <w:p w:rsidR="000B3EED" w:rsidRDefault="000B3EED" w:rsidP="000B3EED">
      <w:pPr>
        <w:ind w:left="1701" w:hanging="567"/>
      </w:pPr>
    </w:p>
    <w:p w:rsidR="00EA2D3B" w:rsidRDefault="00EA2D3B" w:rsidP="00EA2D3B">
      <w:pPr>
        <w:ind w:left="1701" w:hanging="567"/>
      </w:pPr>
      <w:r w:rsidRPr="00652182">
        <w:t>(c)</w:t>
      </w:r>
      <w:r w:rsidRPr="00652182">
        <w:tab/>
        <w:t>if a derivative gives rise to a long exposure and another derivative gives rise to a short exposure, and both derivatives are otherwise on the same terms and relate to an underlying or reference asset of the same class, the face value of, or notional amount in respect of, each</w:t>
      </w:r>
      <w:r w:rsidR="000F6964" w:rsidRPr="00652182">
        <w:t xml:space="preserve"> </w:t>
      </w:r>
      <w:r w:rsidRPr="00652182">
        <w:t>derivative is to be offset against each other.</w:t>
      </w:r>
    </w:p>
    <w:p w:rsidR="00D30B72" w:rsidRPr="00530FDD" w:rsidRDefault="00D30B72" w:rsidP="00880010">
      <w:pPr>
        <w:ind w:left="1134"/>
      </w:pPr>
    </w:p>
    <w:p w:rsidR="00774FB4" w:rsidRDefault="00774FB4" w:rsidP="00774FB4">
      <w:pPr>
        <w:ind w:left="1134"/>
        <w:rPr>
          <w:bCs/>
        </w:rPr>
      </w:pPr>
      <w:r w:rsidRPr="00774FB4">
        <w:rPr>
          <w:b/>
          <w:i/>
        </w:rPr>
        <w:t>prescribed foreign regulatory authority</w:t>
      </w:r>
      <w:r w:rsidRPr="00774FB4">
        <w:t xml:space="preserve"> means </w:t>
      </w:r>
      <w:r>
        <w:t xml:space="preserve">a </w:t>
      </w:r>
      <w:r w:rsidR="001968E9" w:rsidRPr="00183D5D">
        <w:t>foreign regulatory authority</w:t>
      </w:r>
      <w:r>
        <w:t xml:space="preserve"> included in Schedule 10F.</w:t>
      </w:r>
    </w:p>
    <w:p w:rsidR="00E83934" w:rsidRPr="00E83934" w:rsidRDefault="00E83934" w:rsidP="00E83934">
      <w:pPr>
        <w:ind w:left="1701" w:hanging="567"/>
      </w:pPr>
    </w:p>
    <w:p w:rsidR="00702625" w:rsidRPr="00702625" w:rsidRDefault="00B30714" w:rsidP="00702625">
      <w:pPr>
        <w:ind w:left="1134"/>
      </w:pPr>
      <w:r w:rsidRPr="00B30714">
        <w:rPr>
          <w:b/>
          <w:i/>
        </w:rPr>
        <w:t>prescribed published index</w:t>
      </w:r>
      <w:r w:rsidR="00702625" w:rsidRPr="00702625">
        <w:t xml:space="preserve"> means a</w:t>
      </w:r>
      <w:r w:rsidR="00702625">
        <w:t xml:space="preserve"> published </w:t>
      </w:r>
      <w:r w:rsidR="00702625" w:rsidRPr="00702625">
        <w:t xml:space="preserve">index </w:t>
      </w:r>
      <w:r w:rsidR="00774FB4">
        <w:t>which is widely used for benchmarking purposes</w:t>
      </w:r>
      <w:r w:rsidR="00DA6783">
        <w:t xml:space="preserve"> </w:t>
      </w:r>
      <w:r w:rsidR="00161E40">
        <w:t>and is</w:t>
      </w:r>
      <w:r w:rsidR="00702625">
        <w:t xml:space="preserve"> solely or predominantly comprise</w:t>
      </w:r>
      <w:r w:rsidR="00161E40">
        <w:t>d of</w:t>
      </w:r>
      <w:r w:rsidR="00702625">
        <w:t xml:space="preserve"> </w:t>
      </w:r>
      <w:r w:rsidR="00702625" w:rsidRPr="00702625">
        <w:t>one or more of the following asset classes:</w:t>
      </w:r>
    </w:p>
    <w:p w:rsidR="00702625" w:rsidRPr="00702625" w:rsidRDefault="00702625" w:rsidP="00702625">
      <w:pPr>
        <w:ind w:left="1134"/>
      </w:pPr>
    </w:p>
    <w:p w:rsidR="00702625" w:rsidRPr="00702625" w:rsidRDefault="00702625" w:rsidP="00702625">
      <w:pPr>
        <w:ind w:left="1701" w:hanging="567"/>
      </w:pPr>
      <w:r w:rsidRPr="00702625">
        <w:t>(</w:t>
      </w:r>
      <w:r>
        <w:t>a</w:t>
      </w:r>
      <w:r w:rsidRPr="00702625">
        <w:t>)</w:t>
      </w:r>
      <w:r w:rsidRPr="00702625">
        <w:tab/>
        <w:t>shares that are able to be traded on a financial market;</w:t>
      </w:r>
    </w:p>
    <w:p w:rsidR="00702625" w:rsidRPr="00702625" w:rsidRDefault="00702625" w:rsidP="00702625">
      <w:pPr>
        <w:ind w:left="1701" w:hanging="567"/>
      </w:pPr>
    </w:p>
    <w:p w:rsidR="00702625" w:rsidRPr="00702625" w:rsidRDefault="00702625" w:rsidP="00702625">
      <w:pPr>
        <w:ind w:left="1701" w:hanging="567"/>
      </w:pPr>
      <w:r w:rsidRPr="00702625">
        <w:t>(</w:t>
      </w:r>
      <w:r>
        <w:t>b</w:t>
      </w:r>
      <w:r w:rsidRPr="00702625">
        <w:t>)</w:t>
      </w:r>
      <w:r w:rsidRPr="00702625">
        <w:tab/>
        <w:t>interests in managed investment schemes that are able to be traded on a financial market;</w:t>
      </w:r>
    </w:p>
    <w:p w:rsidR="00702625" w:rsidRPr="00702625" w:rsidRDefault="00702625" w:rsidP="00702625">
      <w:pPr>
        <w:ind w:left="1701" w:hanging="567"/>
      </w:pPr>
    </w:p>
    <w:p w:rsidR="00702625" w:rsidRPr="00702625" w:rsidRDefault="00702625" w:rsidP="00702625">
      <w:pPr>
        <w:ind w:left="1701" w:hanging="567"/>
      </w:pPr>
      <w:r w:rsidRPr="00702625">
        <w:t>(</w:t>
      </w:r>
      <w:r>
        <w:t>c</w:t>
      </w:r>
      <w:r w:rsidRPr="00702625">
        <w:t>)</w:t>
      </w:r>
      <w:r w:rsidRPr="00702625">
        <w:tab/>
        <w:t>debentures of a body corporate;</w:t>
      </w:r>
    </w:p>
    <w:p w:rsidR="00702625" w:rsidRPr="00702625" w:rsidRDefault="00702625" w:rsidP="00702625">
      <w:pPr>
        <w:ind w:left="1701" w:hanging="567"/>
      </w:pPr>
    </w:p>
    <w:p w:rsidR="00702625" w:rsidRPr="00702625" w:rsidRDefault="00702625" w:rsidP="00702625">
      <w:pPr>
        <w:ind w:left="1701" w:hanging="567"/>
      </w:pPr>
      <w:r w:rsidRPr="00702625">
        <w:t>(</w:t>
      </w:r>
      <w:r>
        <w:t>d</w:t>
      </w:r>
      <w:r w:rsidRPr="00702625">
        <w:t>)</w:t>
      </w:r>
      <w:r w:rsidRPr="00702625">
        <w:tab/>
        <w:t>debentures, stocks or bonds issued by a government;</w:t>
      </w:r>
    </w:p>
    <w:p w:rsidR="00702625" w:rsidRPr="00702625" w:rsidRDefault="00702625" w:rsidP="00702625">
      <w:pPr>
        <w:ind w:left="1701" w:hanging="567"/>
      </w:pPr>
    </w:p>
    <w:p w:rsidR="005822DF" w:rsidRDefault="00702625" w:rsidP="005339B9">
      <w:pPr>
        <w:ind w:left="1701" w:hanging="567"/>
      </w:pPr>
      <w:r w:rsidRPr="00702625">
        <w:t>(</w:t>
      </w:r>
      <w:r>
        <w:t>e</w:t>
      </w:r>
      <w:r w:rsidRPr="00702625">
        <w:t>)</w:t>
      </w:r>
      <w:r w:rsidRPr="00702625">
        <w:tab/>
      </w:r>
      <w:r w:rsidR="00774FB4">
        <w:t>bills of exchange</w:t>
      </w:r>
      <w:r w:rsidR="00EE12AB">
        <w:t xml:space="preserve">, promissory notes, certificates of deposit or other </w:t>
      </w:r>
      <w:r w:rsidR="00A158D4">
        <w:t xml:space="preserve">negotiable </w:t>
      </w:r>
      <w:r w:rsidR="00EE12AB" w:rsidRPr="00EE12AB">
        <w:t>short-term money market instruments</w:t>
      </w:r>
      <w:r w:rsidR="00EE12AB">
        <w:t>.</w:t>
      </w:r>
      <w:r w:rsidR="0005085F">
        <w:t>”</w:t>
      </w:r>
      <w:r w:rsidR="004B1055">
        <w:t>;</w:t>
      </w:r>
    </w:p>
    <w:p w:rsidR="004B1055" w:rsidRDefault="004B1055" w:rsidP="005339B9">
      <w:pPr>
        <w:ind w:left="1701" w:hanging="567"/>
      </w:pPr>
    </w:p>
    <w:p w:rsidR="00774FB4" w:rsidRDefault="005822DF" w:rsidP="00774FB4">
      <w:pPr>
        <w:ind w:left="1134" w:hanging="567"/>
      </w:pPr>
      <w:r w:rsidRPr="00183D5D">
        <w:t>(d)</w:t>
      </w:r>
      <w:r w:rsidRPr="00183D5D">
        <w:tab/>
        <w:t>after paragraph 5 insert:</w:t>
      </w:r>
    </w:p>
    <w:p w:rsidR="00774FB4" w:rsidRDefault="00774FB4" w:rsidP="00774FB4">
      <w:pPr>
        <w:ind w:left="1134" w:hanging="567"/>
      </w:pPr>
    </w:p>
    <w:p w:rsidR="00774FB4" w:rsidRDefault="005822DF" w:rsidP="00774FB4">
      <w:pPr>
        <w:ind w:left="1701" w:hanging="567"/>
      </w:pPr>
      <w:r w:rsidRPr="00183D5D">
        <w:t>“</w:t>
      </w:r>
      <w:r w:rsidR="00545E96" w:rsidRPr="00183D5D">
        <w:t>5A</w:t>
      </w:r>
      <w:r w:rsidRPr="00183D5D">
        <w:t>.</w:t>
      </w:r>
      <w:r w:rsidRPr="00183D5D">
        <w:tab/>
        <w:t>Part 7.9 of the Act applies in relation to all persons as if the Regulations were modified or varied by, after Schedule 10E, inserting:</w:t>
      </w:r>
    </w:p>
    <w:p w:rsidR="00774FB4" w:rsidRDefault="00774FB4" w:rsidP="00774FB4">
      <w:pPr>
        <w:ind w:left="1701" w:hanging="567"/>
      </w:pPr>
    </w:p>
    <w:p w:rsidR="00774FB4" w:rsidRDefault="005822DF" w:rsidP="00774FB4">
      <w:pPr>
        <w:ind w:left="2268" w:hanging="567"/>
        <w:rPr>
          <w:b/>
        </w:rPr>
      </w:pPr>
      <w:r w:rsidRPr="00183D5D">
        <w:t>“</w:t>
      </w:r>
      <w:r w:rsidR="00774FB4" w:rsidRPr="00774FB4">
        <w:rPr>
          <w:b/>
        </w:rPr>
        <w:t xml:space="preserve">Schedule 10F </w:t>
      </w:r>
      <w:r w:rsidR="00A063CC" w:rsidRPr="00183D5D">
        <w:rPr>
          <w:b/>
        </w:rPr>
        <w:tab/>
      </w:r>
      <w:r w:rsidR="00774FB4" w:rsidRPr="00774FB4">
        <w:rPr>
          <w:b/>
        </w:rPr>
        <w:t>Prescribed foreign regulatory authorities</w:t>
      </w:r>
    </w:p>
    <w:p w:rsidR="00774FB4" w:rsidRPr="00774FB4" w:rsidRDefault="00774FB4" w:rsidP="00774FB4">
      <w:pPr>
        <w:ind w:left="3141" w:firstLine="459"/>
        <w:rPr>
          <w:sz w:val="20"/>
          <w:szCs w:val="20"/>
        </w:rPr>
      </w:pPr>
      <w:r w:rsidRPr="00774FB4">
        <w:rPr>
          <w:sz w:val="20"/>
          <w:szCs w:val="20"/>
        </w:rPr>
        <w:t>(</w:t>
      </w:r>
      <w:r w:rsidR="0064387A">
        <w:rPr>
          <w:sz w:val="20"/>
          <w:szCs w:val="20"/>
        </w:rPr>
        <w:t>sub</w:t>
      </w:r>
      <w:r w:rsidRPr="00774FB4">
        <w:rPr>
          <w:sz w:val="20"/>
          <w:szCs w:val="20"/>
        </w:rPr>
        <w:t>regulation 7.9.11S(8))</w:t>
      </w:r>
    </w:p>
    <w:p w:rsidR="00774FB4" w:rsidRDefault="00774FB4" w:rsidP="00774FB4">
      <w:pPr>
        <w:ind w:left="1701"/>
      </w:pPr>
    </w:p>
    <w:p w:rsidR="00774FB4" w:rsidRPr="00774FB4" w:rsidRDefault="00774FB4" w:rsidP="00405B5F">
      <w:pPr>
        <w:pBdr>
          <w:bottom w:val="single" w:sz="4" w:space="1" w:color="auto"/>
        </w:pBdr>
        <w:ind w:left="2552" w:hanging="851"/>
        <w:rPr>
          <w:b/>
          <w:sz w:val="20"/>
          <w:szCs w:val="20"/>
        </w:rPr>
      </w:pPr>
      <w:r w:rsidRPr="00774FB4">
        <w:rPr>
          <w:b/>
          <w:sz w:val="20"/>
          <w:szCs w:val="20"/>
        </w:rPr>
        <w:t>Item</w:t>
      </w:r>
      <w:r w:rsidR="00405B5F">
        <w:rPr>
          <w:b/>
          <w:sz w:val="20"/>
          <w:szCs w:val="20"/>
        </w:rPr>
        <w:tab/>
      </w:r>
      <w:r w:rsidRPr="00774FB4">
        <w:rPr>
          <w:b/>
          <w:sz w:val="20"/>
          <w:szCs w:val="20"/>
        </w:rPr>
        <w:t>Foreign regulatory authorit</w:t>
      </w:r>
      <w:r w:rsidR="006B0A92" w:rsidRPr="00183D5D">
        <w:rPr>
          <w:b/>
          <w:sz w:val="20"/>
          <w:szCs w:val="20"/>
        </w:rPr>
        <w:t>ies</w:t>
      </w:r>
    </w:p>
    <w:p w:rsidR="00774FB4" w:rsidRPr="00774FB4" w:rsidRDefault="00774FB4" w:rsidP="00774FB4">
      <w:pPr>
        <w:ind w:left="1701"/>
        <w:rPr>
          <w:sz w:val="20"/>
          <w:szCs w:val="20"/>
        </w:rPr>
      </w:pPr>
    </w:p>
    <w:p w:rsidR="00774FB4" w:rsidRPr="00774FB4" w:rsidRDefault="00774FB4" w:rsidP="00405B5F">
      <w:pPr>
        <w:ind w:left="2552" w:hanging="851"/>
        <w:rPr>
          <w:sz w:val="20"/>
          <w:szCs w:val="20"/>
        </w:rPr>
      </w:pPr>
      <w:r w:rsidRPr="00774FB4">
        <w:rPr>
          <w:sz w:val="20"/>
          <w:szCs w:val="20"/>
        </w:rPr>
        <w:t>1</w:t>
      </w:r>
      <w:r w:rsidRPr="00774FB4">
        <w:rPr>
          <w:sz w:val="20"/>
          <w:szCs w:val="20"/>
        </w:rPr>
        <w:tab/>
      </w:r>
      <w:r w:rsidR="001B680D" w:rsidRPr="001B680D">
        <w:rPr>
          <w:sz w:val="20"/>
          <w:szCs w:val="20"/>
        </w:rPr>
        <w:t>Alberta Securities Commission</w:t>
      </w:r>
    </w:p>
    <w:p w:rsidR="001B680D" w:rsidRPr="001B680D" w:rsidRDefault="00774FB4" w:rsidP="00405B5F">
      <w:pPr>
        <w:ind w:left="2552" w:hanging="851"/>
        <w:rPr>
          <w:sz w:val="20"/>
          <w:szCs w:val="20"/>
        </w:rPr>
      </w:pPr>
      <w:r w:rsidRPr="00774FB4">
        <w:rPr>
          <w:sz w:val="20"/>
          <w:szCs w:val="20"/>
        </w:rPr>
        <w:t>2</w:t>
      </w:r>
      <w:r w:rsidRPr="00774FB4">
        <w:rPr>
          <w:sz w:val="20"/>
          <w:szCs w:val="20"/>
        </w:rPr>
        <w:tab/>
      </w:r>
      <w:r w:rsidR="001B680D" w:rsidRPr="001B680D">
        <w:rPr>
          <w:sz w:val="20"/>
          <w:szCs w:val="20"/>
        </w:rPr>
        <w:t>Finanzmarktaufsicht</w:t>
      </w:r>
      <w:r w:rsidR="001B680D">
        <w:rPr>
          <w:sz w:val="20"/>
          <w:szCs w:val="20"/>
        </w:rPr>
        <w:t xml:space="preserve"> of Austria</w:t>
      </w:r>
    </w:p>
    <w:p w:rsidR="001B680D" w:rsidRPr="001B680D" w:rsidRDefault="00E112A1" w:rsidP="00405B5F">
      <w:pPr>
        <w:ind w:left="2552" w:hanging="851"/>
        <w:rPr>
          <w:sz w:val="20"/>
          <w:szCs w:val="20"/>
        </w:rPr>
      </w:pPr>
      <w:r>
        <w:rPr>
          <w:sz w:val="20"/>
          <w:szCs w:val="20"/>
        </w:rPr>
        <w:t>3</w:t>
      </w:r>
      <w:r w:rsidR="001B680D">
        <w:rPr>
          <w:b/>
          <w:sz w:val="20"/>
          <w:szCs w:val="20"/>
        </w:rPr>
        <w:tab/>
      </w:r>
      <w:r w:rsidR="001B680D" w:rsidRPr="001B680D">
        <w:rPr>
          <w:sz w:val="20"/>
          <w:szCs w:val="20"/>
        </w:rPr>
        <w:t>Financial Services and Markets Authority</w:t>
      </w:r>
      <w:r w:rsidR="001B680D">
        <w:rPr>
          <w:sz w:val="20"/>
          <w:szCs w:val="20"/>
        </w:rPr>
        <w:t xml:space="preserve"> of Belgium</w:t>
      </w:r>
    </w:p>
    <w:p w:rsidR="001B680D" w:rsidRPr="001B680D" w:rsidRDefault="00E112A1" w:rsidP="00405B5F">
      <w:pPr>
        <w:ind w:left="2552" w:hanging="851"/>
        <w:rPr>
          <w:sz w:val="20"/>
          <w:szCs w:val="20"/>
        </w:rPr>
      </w:pPr>
      <w:r>
        <w:rPr>
          <w:sz w:val="20"/>
          <w:szCs w:val="20"/>
        </w:rPr>
        <w:t>4</w:t>
      </w:r>
      <w:r w:rsidR="001B680D">
        <w:rPr>
          <w:sz w:val="20"/>
          <w:szCs w:val="20"/>
        </w:rPr>
        <w:tab/>
      </w:r>
      <w:r w:rsidR="001B680D" w:rsidRPr="001B680D">
        <w:rPr>
          <w:sz w:val="20"/>
          <w:szCs w:val="20"/>
        </w:rPr>
        <w:t>British Columbia Securities Commission</w:t>
      </w:r>
    </w:p>
    <w:p w:rsidR="001B680D" w:rsidRPr="001B680D" w:rsidRDefault="00E112A1" w:rsidP="00405B5F">
      <w:pPr>
        <w:ind w:left="2552" w:hanging="851"/>
        <w:rPr>
          <w:sz w:val="20"/>
          <w:szCs w:val="20"/>
        </w:rPr>
      </w:pPr>
      <w:r w:rsidRPr="00E112A1">
        <w:rPr>
          <w:sz w:val="20"/>
          <w:szCs w:val="20"/>
        </w:rPr>
        <w:t>5</w:t>
      </w:r>
      <w:r w:rsidR="001B680D">
        <w:rPr>
          <w:b/>
          <w:sz w:val="20"/>
          <w:szCs w:val="20"/>
        </w:rPr>
        <w:tab/>
      </w:r>
      <w:r w:rsidR="001B680D" w:rsidRPr="001B680D">
        <w:rPr>
          <w:sz w:val="20"/>
          <w:szCs w:val="20"/>
        </w:rPr>
        <w:t>Financial Supervision Commission</w:t>
      </w:r>
      <w:r w:rsidR="001B680D">
        <w:rPr>
          <w:sz w:val="20"/>
          <w:szCs w:val="20"/>
        </w:rPr>
        <w:t xml:space="preserve"> of Bulgaria</w:t>
      </w:r>
    </w:p>
    <w:p w:rsidR="001B680D" w:rsidRPr="001B680D" w:rsidRDefault="00E112A1" w:rsidP="00405B5F">
      <w:pPr>
        <w:ind w:left="2552" w:hanging="851"/>
        <w:rPr>
          <w:sz w:val="20"/>
          <w:szCs w:val="20"/>
        </w:rPr>
      </w:pPr>
      <w:r>
        <w:rPr>
          <w:sz w:val="20"/>
          <w:szCs w:val="20"/>
        </w:rPr>
        <w:t>6</w:t>
      </w:r>
      <w:r w:rsidR="001B680D">
        <w:rPr>
          <w:sz w:val="20"/>
          <w:szCs w:val="20"/>
        </w:rPr>
        <w:tab/>
      </w:r>
      <w:r w:rsidR="001B680D" w:rsidRPr="001B680D">
        <w:rPr>
          <w:sz w:val="20"/>
          <w:szCs w:val="20"/>
        </w:rPr>
        <w:t>Cyprus Securities and Exchange Commission</w:t>
      </w:r>
    </w:p>
    <w:p w:rsidR="001B680D" w:rsidRPr="001B680D" w:rsidRDefault="00E112A1" w:rsidP="00405B5F">
      <w:pPr>
        <w:ind w:left="2552" w:hanging="851"/>
        <w:rPr>
          <w:sz w:val="20"/>
          <w:szCs w:val="20"/>
        </w:rPr>
      </w:pPr>
      <w:r>
        <w:rPr>
          <w:sz w:val="20"/>
          <w:szCs w:val="20"/>
        </w:rPr>
        <w:t>7</w:t>
      </w:r>
      <w:r w:rsidR="001B680D">
        <w:rPr>
          <w:sz w:val="20"/>
          <w:szCs w:val="20"/>
        </w:rPr>
        <w:tab/>
      </w:r>
      <w:r w:rsidR="001B680D" w:rsidRPr="001B680D">
        <w:rPr>
          <w:sz w:val="20"/>
          <w:szCs w:val="20"/>
        </w:rPr>
        <w:t>Czech National Bank</w:t>
      </w:r>
    </w:p>
    <w:p w:rsidR="001B680D" w:rsidRPr="001B680D" w:rsidRDefault="00E112A1" w:rsidP="00405B5F">
      <w:pPr>
        <w:ind w:left="2552" w:hanging="851"/>
        <w:rPr>
          <w:sz w:val="20"/>
          <w:szCs w:val="20"/>
        </w:rPr>
      </w:pPr>
      <w:r w:rsidRPr="00E112A1">
        <w:rPr>
          <w:sz w:val="20"/>
          <w:szCs w:val="20"/>
        </w:rPr>
        <w:t>8</w:t>
      </w:r>
      <w:r w:rsidR="001B680D">
        <w:rPr>
          <w:b/>
          <w:sz w:val="20"/>
          <w:szCs w:val="20"/>
        </w:rPr>
        <w:tab/>
      </w:r>
      <w:r w:rsidR="001B680D" w:rsidRPr="001B680D">
        <w:rPr>
          <w:sz w:val="20"/>
          <w:szCs w:val="20"/>
        </w:rPr>
        <w:t>Finanstilsynet</w:t>
      </w:r>
      <w:r w:rsidR="001B680D">
        <w:rPr>
          <w:sz w:val="20"/>
          <w:szCs w:val="20"/>
        </w:rPr>
        <w:t xml:space="preserve"> of Denmark</w:t>
      </w:r>
    </w:p>
    <w:p w:rsidR="001B680D" w:rsidRPr="001B680D" w:rsidRDefault="00E112A1" w:rsidP="00405B5F">
      <w:pPr>
        <w:ind w:left="2552" w:hanging="851"/>
        <w:rPr>
          <w:sz w:val="20"/>
          <w:szCs w:val="20"/>
        </w:rPr>
      </w:pPr>
      <w:r>
        <w:rPr>
          <w:sz w:val="20"/>
          <w:szCs w:val="20"/>
        </w:rPr>
        <w:t>9</w:t>
      </w:r>
      <w:r w:rsidR="001B680D">
        <w:rPr>
          <w:sz w:val="20"/>
          <w:szCs w:val="20"/>
        </w:rPr>
        <w:tab/>
      </w:r>
      <w:r w:rsidR="001B680D" w:rsidRPr="001B680D">
        <w:rPr>
          <w:sz w:val="20"/>
          <w:szCs w:val="20"/>
        </w:rPr>
        <w:t>Dubai Financial Services Authority</w:t>
      </w:r>
    </w:p>
    <w:p w:rsidR="001B680D" w:rsidRPr="001B680D" w:rsidRDefault="00E112A1" w:rsidP="00405B5F">
      <w:pPr>
        <w:ind w:left="2552" w:hanging="851"/>
        <w:rPr>
          <w:sz w:val="20"/>
          <w:szCs w:val="20"/>
        </w:rPr>
      </w:pPr>
      <w:r>
        <w:rPr>
          <w:sz w:val="20"/>
          <w:szCs w:val="20"/>
        </w:rPr>
        <w:t>10</w:t>
      </w:r>
      <w:r w:rsidR="001B680D">
        <w:rPr>
          <w:sz w:val="20"/>
          <w:szCs w:val="20"/>
        </w:rPr>
        <w:tab/>
      </w:r>
      <w:r w:rsidR="001B680D" w:rsidRPr="001B680D">
        <w:rPr>
          <w:sz w:val="20"/>
          <w:szCs w:val="20"/>
        </w:rPr>
        <w:t>Estonian Financial Supervision Authority</w:t>
      </w:r>
    </w:p>
    <w:p w:rsidR="00E112A1" w:rsidRDefault="001B680D" w:rsidP="00E112A1">
      <w:pPr>
        <w:ind w:left="2552" w:hanging="851"/>
        <w:rPr>
          <w:sz w:val="20"/>
          <w:szCs w:val="20"/>
        </w:rPr>
      </w:pPr>
      <w:r>
        <w:rPr>
          <w:sz w:val="20"/>
          <w:szCs w:val="20"/>
        </w:rPr>
        <w:t>1</w:t>
      </w:r>
      <w:r w:rsidR="00E112A1">
        <w:rPr>
          <w:sz w:val="20"/>
          <w:szCs w:val="20"/>
        </w:rPr>
        <w:t>1</w:t>
      </w:r>
      <w:r>
        <w:rPr>
          <w:sz w:val="20"/>
          <w:szCs w:val="20"/>
        </w:rPr>
        <w:tab/>
      </w:r>
      <w:r w:rsidR="00E112A1" w:rsidRPr="00E112A1">
        <w:rPr>
          <w:sz w:val="20"/>
          <w:szCs w:val="20"/>
        </w:rPr>
        <w:t>Finanssivalvonta of Finland</w:t>
      </w:r>
    </w:p>
    <w:p w:rsidR="00E112A1" w:rsidRPr="00E112A1" w:rsidRDefault="00E112A1" w:rsidP="00E112A1">
      <w:pPr>
        <w:ind w:left="2552" w:hanging="851"/>
        <w:rPr>
          <w:sz w:val="20"/>
          <w:szCs w:val="20"/>
        </w:rPr>
      </w:pPr>
      <w:r>
        <w:rPr>
          <w:sz w:val="20"/>
          <w:szCs w:val="20"/>
        </w:rPr>
        <w:t>12</w:t>
      </w:r>
      <w:r>
        <w:rPr>
          <w:sz w:val="20"/>
          <w:szCs w:val="20"/>
        </w:rPr>
        <w:tab/>
      </w:r>
      <w:r w:rsidRPr="00E112A1">
        <w:rPr>
          <w:sz w:val="20"/>
          <w:szCs w:val="20"/>
        </w:rPr>
        <w:t>Autorité des Marchés Financiers of France</w:t>
      </w:r>
    </w:p>
    <w:p w:rsidR="001B680D" w:rsidRPr="001B680D" w:rsidRDefault="001B680D" w:rsidP="00405B5F">
      <w:pPr>
        <w:ind w:left="2552" w:hanging="851"/>
        <w:rPr>
          <w:sz w:val="20"/>
          <w:szCs w:val="20"/>
        </w:rPr>
      </w:pPr>
      <w:r>
        <w:rPr>
          <w:sz w:val="20"/>
          <w:szCs w:val="20"/>
        </w:rPr>
        <w:t>1</w:t>
      </w:r>
      <w:r w:rsidR="00E112A1">
        <w:rPr>
          <w:sz w:val="20"/>
          <w:szCs w:val="20"/>
        </w:rPr>
        <w:t>3</w:t>
      </w:r>
      <w:r>
        <w:rPr>
          <w:sz w:val="20"/>
          <w:szCs w:val="20"/>
        </w:rPr>
        <w:tab/>
      </w:r>
      <w:r w:rsidRPr="001B680D">
        <w:rPr>
          <w:sz w:val="20"/>
          <w:szCs w:val="20"/>
        </w:rPr>
        <w:t>Bundesanstalt für Finanzdienstleistungsaufsicht of Germany</w:t>
      </w:r>
    </w:p>
    <w:p w:rsidR="001B680D" w:rsidRPr="001B680D" w:rsidRDefault="001B680D" w:rsidP="00405B5F">
      <w:pPr>
        <w:ind w:left="2552" w:hanging="851"/>
        <w:rPr>
          <w:sz w:val="20"/>
          <w:szCs w:val="20"/>
        </w:rPr>
      </w:pPr>
      <w:r w:rsidRPr="001B680D">
        <w:rPr>
          <w:sz w:val="20"/>
          <w:szCs w:val="20"/>
        </w:rPr>
        <w:t>1</w:t>
      </w:r>
      <w:r w:rsidR="00E112A1">
        <w:rPr>
          <w:sz w:val="20"/>
          <w:szCs w:val="20"/>
        </w:rPr>
        <w:t>4</w:t>
      </w:r>
      <w:r w:rsidRPr="001B680D">
        <w:rPr>
          <w:sz w:val="20"/>
          <w:szCs w:val="20"/>
        </w:rPr>
        <w:tab/>
        <w:t>Hellenic Capital Market Commission</w:t>
      </w:r>
      <w:r>
        <w:rPr>
          <w:sz w:val="20"/>
          <w:szCs w:val="20"/>
        </w:rPr>
        <w:t xml:space="preserve"> of Greece</w:t>
      </w:r>
    </w:p>
    <w:p w:rsidR="001B680D" w:rsidRPr="001B680D" w:rsidRDefault="001B680D" w:rsidP="00405B5F">
      <w:pPr>
        <w:ind w:left="2552" w:hanging="851"/>
        <w:rPr>
          <w:sz w:val="20"/>
          <w:szCs w:val="20"/>
        </w:rPr>
      </w:pPr>
      <w:r>
        <w:rPr>
          <w:sz w:val="20"/>
          <w:szCs w:val="20"/>
        </w:rPr>
        <w:t>1</w:t>
      </w:r>
      <w:r w:rsidR="00E112A1">
        <w:rPr>
          <w:sz w:val="20"/>
          <w:szCs w:val="20"/>
        </w:rPr>
        <w:t>5</w:t>
      </w:r>
      <w:r>
        <w:rPr>
          <w:sz w:val="20"/>
          <w:szCs w:val="20"/>
        </w:rPr>
        <w:tab/>
      </w:r>
      <w:r w:rsidRPr="001B680D">
        <w:rPr>
          <w:sz w:val="20"/>
          <w:szCs w:val="20"/>
        </w:rPr>
        <w:t>Guernsey Financial Services Commission</w:t>
      </w:r>
    </w:p>
    <w:p w:rsidR="001B680D" w:rsidRPr="001B680D" w:rsidRDefault="00E112A1" w:rsidP="00405B5F">
      <w:pPr>
        <w:ind w:left="2552" w:hanging="851"/>
        <w:rPr>
          <w:sz w:val="20"/>
          <w:szCs w:val="20"/>
        </w:rPr>
      </w:pPr>
      <w:r>
        <w:rPr>
          <w:sz w:val="20"/>
          <w:szCs w:val="20"/>
        </w:rPr>
        <w:t>16</w:t>
      </w:r>
      <w:r w:rsidR="001B680D">
        <w:rPr>
          <w:sz w:val="20"/>
          <w:szCs w:val="20"/>
        </w:rPr>
        <w:tab/>
      </w:r>
      <w:r w:rsidR="001B680D" w:rsidRPr="001B680D">
        <w:rPr>
          <w:sz w:val="20"/>
          <w:szCs w:val="20"/>
        </w:rPr>
        <w:t>Hong Kong Securities and Futures Commission</w:t>
      </w:r>
    </w:p>
    <w:p w:rsidR="001B680D" w:rsidRPr="001B680D" w:rsidRDefault="00E112A1" w:rsidP="00405B5F">
      <w:pPr>
        <w:ind w:left="2552" w:hanging="851"/>
        <w:rPr>
          <w:sz w:val="20"/>
          <w:szCs w:val="20"/>
        </w:rPr>
      </w:pPr>
      <w:r>
        <w:rPr>
          <w:sz w:val="20"/>
          <w:szCs w:val="20"/>
        </w:rPr>
        <w:t>17</w:t>
      </w:r>
      <w:r w:rsidR="001B680D" w:rsidRPr="001B680D">
        <w:rPr>
          <w:sz w:val="20"/>
          <w:szCs w:val="20"/>
        </w:rPr>
        <w:tab/>
        <w:t>Pénzügyi Szervezetek Állami Felügyelete of Hungary</w:t>
      </w:r>
    </w:p>
    <w:p w:rsidR="001B680D" w:rsidRPr="001B680D" w:rsidRDefault="00E112A1" w:rsidP="00405B5F">
      <w:pPr>
        <w:ind w:left="2552" w:hanging="851"/>
        <w:rPr>
          <w:sz w:val="20"/>
          <w:szCs w:val="20"/>
        </w:rPr>
      </w:pPr>
      <w:r>
        <w:rPr>
          <w:sz w:val="20"/>
          <w:szCs w:val="20"/>
        </w:rPr>
        <w:t>18</w:t>
      </w:r>
      <w:r w:rsidR="001B680D" w:rsidRPr="001B680D">
        <w:rPr>
          <w:sz w:val="20"/>
          <w:szCs w:val="20"/>
        </w:rPr>
        <w:tab/>
        <w:t>Fjármálaeftirlitið of Iceland</w:t>
      </w:r>
    </w:p>
    <w:p w:rsidR="00E112A1" w:rsidRPr="00E112A1" w:rsidRDefault="00E112A1" w:rsidP="00E112A1">
      <w:pPr>
        <w:ind w:left="2552" w:hanging="851"/>
        <w:rPr>
          <w:sz w:val="20"/>
          <w:szCs w:val="20"/>
        </w:rPr>
      </w:pPr>
      <w:r>
        <w:rPr>
          <w:sz w:val="20"/>
          <w:szCs w:val="20"/>
        </w:rPr>
        <w:t>19</w:t>
      </w:r>
      <w:r>
        <w:rPr>
          <w:sz w:val="20"/>
          <w:szCs w:val="20"/>
        </w:rPr>
        <w:tab/>
      </w:r>
      <w:r w:rsidRPr="00E112A1">
        <w:rPr>
          <w:sz w:val="20"/>
          <w:szCs w:val="20"/>
        </w:rPr>
        <w:t>Central Bank of Ireland</w:t>
      </w:r>
    </w:p>
    <w:p w:rsidR="001B680D" w:rsidRPr="001B680D" w:rsidRDefault="00E112A1" w:rsidP="00405B5F">
      <w:pPr>
        <w:ind w:left="2552" w:hanging="851"/>
        <w:rPr>
          <w:sz w:val="20"/>
          <w:szCs w:val="20"/>
        </w:rPr>
      </w:pPr>
      <w:r>
        <w:rPr>
          <w:sz w:val="20"/>
          <w:szCs w:val="20"/>
        </w:rPr>
        <w:t>20</w:t>
      </w:r>
      <w:r w:rsidR="001B680D" w:rsidRPr="001B680D">
        <w:rPr>
          <w:sz w:val="20"/>
          <w:szCs w:val="20"/>
        </w:rPr>
        <w:tab/>
        <w:t>Isle of Man Financial Supervision Commission</w:t>
      </w:r>
    </w:p>
    <w:p w:rsidR="001B680D" w:rsidRPr="001B680D" w:rsidRDefault="001B680D" w:rsidP="00405B5F">
      <w:pPr>
        <w:ind w:left="2552" w:hanging="851"/>
        <w:rPr>
          <w:sz w:val="20"/>
          <w:szCs w:val="20"/>
        </w:rPr>
      </w:pPr>
      <w:r w:rsidRPr="001B680D">
        <w:rPr>
          <w:sz w:val="20"/>
          <w:szCs w:val="20"/>
        </w:rPr>
        <w:t>2</w:t>
      </w:r>
      <w:r w:rsidR="00E112A1">
        <w:rPr>
          <w:sz w:val="20"/>
          <w:szCs w:val="20"/>
        </w:rPr>
        <w:t>1</w:t>
      </w:r>
      <w:r w:rsidRPr="001B680D">
        <w:rPr>
          <w:sz w:val="20"/>
          <w:szCs w:val="20"/>
        </w:rPr>
        <w:tab/>
        <w:t>Israel Securities Authority</w:t>
      </w:r>
    </w:p>
    <w:p w:rsidR="001B680D" w:rsidRDefault="001B680D" w:rsidP="00405B5F">
      <w:pPr>
        <w:ind w:left="2552" w:hanging="851"/>
        <w:rPr>
          <w:sz w:val="20"/>
          <w:szCs w:val="20"/>
        </w:rPr>
      </w:pPr>
      <w:r w:rsidRPr="001B680D">
        <w:rPr>
          <w:sz w:val="20"/>
          <w:szCs w:val="20"/>
        </w:rPr>
        <w:t>2</w:t>
      </w:r>
      <w:r w:rsidR="00E112A1">
        <w:rPr>
          <w:sz w:val="20"/>
          <w:szCs w:val="20"/>
        </w:rPr>
        <w:t>2</w:t>
      </w:r>
      <w:r w:rsidRPr="001B680D">
        <w:rPr>
          <w:sz w:val="20"/>
          <w:szCs w:val="20"/>
        </w:rPr>
        <w:tab/>
        <w:t>Commissione Nazionale per le Società e la Borsa of Italy</w:t>
      </w:r>
    </w:p>
    <w:p w:rsidR="00E112A1" w:rsidRDefault="00E112A1" w:rsidP="00E112A1">
      <w:pPr>
        <w:ind w:left="2552" w:hanging="851"/>
        <w:rPr>
          <w:sz w:val="20"/>
          <w:szCs w:val="20"/>
        </w:rPr>
      </w:pPr>
      <w:r>
        <w:rPr>
          <w:sz w:val="20"/>
          <w:szCs w:val="20"/>
        </w:rPr>
        <w:t>23</w:t>
      </w:r>
      <w:r>
        <w:rPr>
          <w:sz w:val="20"/>
          <w:szCs w:val="20"/>
        </w:rPr>
        <w:tab/>
      </w:r>
      <w:r w:rsidRPr="00E112A1">
        <w:rPr>
          <w:sz w:val="20"/>
          <w:szCs w:val="20"/>
        </w:rPr>
        <w:t>Financial Services Agency of Japan</w:t>
      </w:r>
    </w:p>
    <w:p w:rsidR="00E112A1" w:rsidRPr="00E112A1" w:rsidRDefault="00E112A1" w:rsidP="00E112A1">
      <w:pPr>
        <w:ind w:left="2552" w:hanging="851"/>
        <w:rPr>
          <w:sz w:val="20"/>
          <w:szCs w:val="20"/>
        </w:rPr>
      </w:pPr>
      <w:r>
        <w:rPr>
          <w:sz w:val="20"/>
          <w:szCs w:val="20"/>
        </w:rPr>
        <w:t>24</w:t>
      </w:r>
      <w:r w:rsidRPr="00E112A1">
        <w:rPr>
          <w:sz w:val="20"/>
          <w:szCs w:val="20"/>
        </w:rPr>
        <w:tab/>
        <w:t>Jersey Financial Services Commission</w:t>
      </w:r>
    </w:p>
    <w:p w:rsidR="001B680D" w:rsidRPr="001B680D" w:rsidRDefault="001B680D" w:rsidP="00405B5F">
      <w:pPr>
        <w:ind w:left="2552" w:hanging="851"/>
        <w:rPr>
          <w:sz w:val="20"/>
          <w:szCs w:val="20"/>
        </w:rPr>
      </w:pPr>
      <w:r w:rsidRPr="001B680D">
        <w:rPr>
          <w:sz w:val="20"/>
          <w:szCs w:val="20"/>
        </w:rPr>
        <w:t>2</w:t>
      </w:r>
      <w:r w:rsidR="00E112A1">
        <w:rPr>
          <w:sz w:val="20"/>
          <w:szCs w:val="20"/>
        </w:rPr>
        <w:t>5</w:t>
      </w:r>
      <w:r w:rsidRPr="001B680D">
        <w:rPr>
          <w:sz w:val="20"/>
          <w:szCs w:val="20"/>
        </w:rPr>
        <w:tab/>
        <w:t>Finanšu un kapitāla tirgus komisija of Latvia</w:t>
      </w:r>
    </w:p>
    <w:p w:rsidR="001B680D" w:rsidRPr="001B680D" w:rsidRDefault="001B680D" w:rsidP="00405B5F">
      <w:pPr>
        <w:ind w:left="2552" w:hanging="851"/>
        <w:rPr>
          <w:sz w:val="20"/>
          <w:szCs w:val="20"/>
        </w:rPr>
      </w:pPr>
      <w:r w:rsidRPr="001B680D">
        <w:rPr>
          <w:sz w:val="20"/>
          <w:szCs w:val="20"/>
        </w:rPr>
        <w:t>2</w:t>
      </w:r>
      <w:r w:rsidR="00E112A1">
        <w:rPr>
          <w:sz w:val="20"/>
          <w:szCs w:val="20"/>
        </w:rPr>
        <w:t>6</w:t>
      </w:r>
      <w:r w:rsidRPr="001B680D">
        <w:rPr>
          <w:sz w:val="20"/>
          <w:szCs w:val="20"/>
        </w:rPr>
        <w:tab/>
        <w:t>Finanzmarktaufsicht of Liechtenstein</w:t>
      </w:r>
    </w:p>
    <w:p w:rsidR="00E112A1" w:rsidRPr="00E112A1" w:rsidRDefault="00E112A1" w:rsidP="00E112A1">
      <w:pPr>
        <w:ind w:left="2552" w:hanging="851"/>
        <w:rPr>
          <w:sz w:val="20"/>
          <w:szCs w:val="20"/>
        </w:rPr>
      </w:pPr>
      <w:r>
        <w:rPr>
          <w:sz w:val="20"/>
          <w:szCs w:val="20"/>
        </w:rPr>
        <w:t>27</w:t>
      </w:r>
      <w:r>
        <w:rPr>
          <w:sz w:val="20"/>
          <w:szCs w:val="20"/>
        </w:rPr>
        <w:tab/>
      </w:r>
      <w:r w:rsidRPr="00E112A1">
        <w:rPr>
          <w:sz w:val="20"/>
          <w:szCs w:val="20"/>
        </w:rPr>
        <w:t>Bank of Lithuania</w:t>
      </w:r>
    </w:p>
    <w:p w:rsidR="001B680D" w:rsidRPr="001B680D" w:rsidRDefault="001B680D" w:rsidP="00405B5F">
      <w:pPr>
        <w:ind w:left="2552" w:hanging="851"/>
        <w:rPr>
          <w:sz w:val="20"/>
          <w:szCs w:val="20"/>
        </w:rPr>
      </w:pPr>
      <w:r w:rsidRPr="001B680D">
        <w:rPr>
          <w:sz w:val="20"/>
          <w:szCs w:val="20"/>
        </w:rPr>
        <w:t>2</w:t>
      </w:r>
      <w:r w:rsidR="00E112A1">
        <w:rPr>
          <w:sz w:val="20"/>
          <w:szCs w:val="20"/>
        </w:rPr>
        <w:t>8</w:t>
      </w:r>
      <w:r>
        <w:rPr>
          <w:b/>
          <w:sz w:val="20"/>
          <w:szCs w:val="20"/>
        </w:rPr>
        <w:tab/>
      </w:r>
      <w:r w:rsidRPr="001B680D">
        <w:rPr>
          <w:sz w:val="20"/>
          <w:szCs w:val="20"/>
        </w:rPr>
        <w:t>Commission de Surveillance du Secteur Financier</w:t>
      </w:r>
      <w:r>
        <w:rPr>
          <w:sz w:val="20"/>
          <w:szCs w:val="20"/>
        </w:rPr>
        <w:t xml:space="preserve"> of Luxembourg</w:t>
      </w:r>
    </w:p>
    <w:p w:rsidR="00E112A1" w:rsidRPr="00E112A1" w:rsidRDefault="00E112A1" w:rsidP="00E112A1">
      <w:pPr>
        <w:ind w:left="2552" w:hanging="851"/>
        <w:rPr>
          <w:sz w:val="20"/>
          <w:szCs w:val="20"/>
        </w:rPr>
      </w:pPr>
      <w:r>
        <w:rPr>
          <w:sz w:val="20"/>
          <w:szCs w:val="20"/>
        </w:rPr>
        <w:t>29</w:t>
      </w:r>
      <w:r w:rsidRPr="00E112A1">
        <w:rPr>
          <w:sz w:val="20"/>
          <w:szCs w:val="20"/>
        </w:rPr>
        <w:tab/>
        <w:t>Securities Commission of Malaysia</w:t>
      </w:r>
    </w:p>
    <w:p w:rsidR="001B680D" w:rsidRPr="001B680D" w:rsidRDefault="00E112A1" w:rsidP="00405B5F">
      <w:pPr>
        <w:ind w:left="2552" w:hanging="851"/>
        <w:rPr>
          <w:sz w:val="20"/>
          <w:szCs w:val="20"/>
        </w:rPr>
      </w:pPr>
      <w:r>
        <w:rPr>
          <w:sz w:val="20"/>
          <w:szCs w:val="20"/>
        </w:rPr>
        <w:t>30</w:t>
      </w:r>
      <w:r w:rsidR="001B680D">
        <w:rPr>
          <w:sz w:val="20"/>
          <w:szCs w:val="20"/>
        </w:rPr>
        <w:tab/>
      </w:r>
      <w:r w:rsidR="001B680D" w:rsidRPr="001B680D">
        <w:rPr>
          <w:sz w:val="20"/>
          <w:szCs w:val="20"/>
        </w:rPr>
        <w:t>Malta Financial Services Authority</w:t>
      </w:r>
    </w:p>
    <w:p w:rsidR="00E112A1" w:rsidRPr="00E112A1" w:rsidRDefault="00E112A1" w:rsidP="00E112A1">
      <w:pPr>
        <w:ind w:left="2552" w:hanging="851"/>
        <w:rPr>
          <w:sz w:val="20"/>
          <w:szCs w:val="20"/>
        </w:rPr>
      </w:pPr>
      <w:r>
        <w:rPr>
          <w:sz w:val="20"/>
          <w:szCs w:val="20"/>
        </w:rPr>
        <w:t>31</w:t>
      </w:r>
      <w:r w:rsidRPr="00E112A1">
        <w:rPr>
          <w:sz w:val="20"/>
          <w:szCs w:val="20"/>
        </w:rPr>
        <w:tab/>
        <w:t>Autoriteit Financiële Markten of the Netherlands</w:t>
      </w:r>
    </w:p>
    <w:p w:rsidR="001B680D" w:rsidRPr="001B680D" w:rsidRDefault="001B680D" w:rsidP="00405B5F">
      <w:pPr>
        <w:ind w:left="2552" w:hanging="851"/>
        <w:rPr>
          <w:sz w:val="20"/>
          <w:szCs w:val="20"/>
        </w:rPr>
      </w:pPr>
      <w:r>
        <w:rPr>
          <w:sz w:val="20"/>
          <w:szCs w:val="20"/>
        </w:rPr>
        <w:t>3</w:t>
      </w:r>
      <w:r w:rsidR="00E112A1">
        <w:rPr>
          <w:sz w:val="20"/>
          <w:szCs w:val="20"/>
        </w:rPr>
        <w:t>2</w:t>
      </w:r>
      <w:r>
        <w:rPr>
          <w:sz w:val="20"/>
          <w:szCs w:val="20"/>
        </w:rPr>
        <w:tab/>
      </w:r>
      <w:r w:rsidRPr="001B680D">
        <w:rPr>
          <w:sz w:val="20"/>
          <w:szCs w:val="20"/>
        </w:rPr>
        <w:t>New Zealand Financial Markets Authority</w:t>
      </w:r>
    </w:p>
    <w:p w:rsidR="001B680D" w:rsidRPr="00405B5F" w:rsidRDefault="001B680D" w:rsidP="00405B5F">
      <w:pPr>
        <w:ind w:left="2552" w:hanging="851"/>
        <w:rPr>
          <w:sz w:val="20"/>
          <w:szCs w:val="20"/>
        </w:rPr>
      </w:pPr>
      <w:r w:rsidRPr="00405B5F">
        <w:rPr>
          <w:sz w:val="20"/>
          <w:szCs w:val="20"/>
        </w:rPr>
        <w:t>3</w:t>
      </w:r>
      <w:r w:rsidR="00E112A1">
        <w:rPr>
          <w:sz w:val="20"/>
          <w:szCs w:val="20"/>
        </w:rPr>
        <w:t>3</w:t>
      </w:r>
      <w:r w:rsidRPr="00405B5F">
        <w:rPr>
          <w:sz w:val="20"/>
          <w:szCs w:val="20"/>
        </w:rPr>
        <w:tab/>
        <w:t>Finanstilsynet of Norway</w:t>
      </w:r>
    </w:p>
    <w:p w:rsidR="001B680D" w:rsidRDefault="001B680D" w:rsidP="00405B5F">
      <w:pPr>
        <w:ind w:left="2552" w:hanging="851"/>
        <w:rPr>
          <w:sz w:val="20"/>
          <w:szCs w:val="20"/>
        </w:rPr>
      </w:pPr>
      <w:r w:rsidRPr="00405B5F">
        <w:rPr>
          <w:sz w:val="20"/>
          <w:szCs w:val="20"/>
        </w:rPr>
        <w:t>3</w:t>
      </w:r>
      <w:r w:rsidR="00E112A1">
        <w:rPr>
          <w:sz w:val="20"/>
          <w:szCs w:val="20"/>
        </w:rPr>
        <w:t>4</w:t>
      </w:r>
      <w:r w:rsidRPr="00405B5F">
        <w:rPr>
          <w:sz w:val="20"/>
          <w:szCs w:val="20"/>
        </w:rPr>
        <w:tab/>
        <w:t>Ontario Securities Commission</w:t>
      </w:r>
    </w:p>
    <w:p w:rsidR="00E112A1" w:rsidRPr="00E112A1" w:rsidRDefault="00E112A1" w:rsidP="00E112A1">
      <w:pPr>
        <w:ind w:left="2552" w:hanging="851"/>
        <w:rPr>
          <w:sz w:val="20"/>
          <w:szCs w:val="20"/>
        </w:rPr>
      </w:pPr>
      <w:r>
        <w:rPr>
          <w:sz w:val="20"/>
          <w:szCs w:val="20"/>
        </w:rPr>
        <w:t>35</w:t>
      </w:r>
      <w:r>
        <w:rPr>
          <w:sz w:val="20"/>
          <w:szCs w:val="20"/>
        </w:rPr>
        <w:tab/>
      </w:r>
      <w:r w:rsidRPr="00E112A1">
        <w:rPr>
          <w:sz w:val="20"/>
          <w:szCs w:val="20"/>
        </w:rPr>
        <w:t>Securities and Exchange Commission of Pakistan</w:t>
      </w:r>
    </w:p>
    <w:p w:rsidR="001B680D" w:rsidRPr="00405B5F" w:rsidRDefault="001B680D" w:rsidP="00405B5F">
      <w:pPr>
        <w:ind w:left="2552" w:hanging="851"/>
        <w:rPr>
          <w:sz w:val="20"/>
          <w:szCs w:val="20"/>
        </w:rPr>
      </w:pPr>
      <w:r w:rsidRPr="00405B5F">
        <w:rPr>
          <w:sz w:val="20"/>
          <w:szCs w:val="20"/>
        </w:rPr>
        <w:t>3</w:t>
      </w:r>
      <w:r w:rsidR="00E112A1">
        <w:rPr>
          <w:sz w:val="20"/>
          <w:szCs w:val="20"/>
        </w:rPr>
        <w:t>6</w:t>
      </w:r>
      <w:r w:rsidRPr="00405B5F">
        <w:rPr>
          <w:sz w:val="20"/>
          <w:szCs w:val="20"/>
        </w:rPr>
        <w:tab/>
        <w:t>Polish Financial Supervision Authority</w:t>
      </w:r>
    </w:p>
    <w:p w:rsidR="001B680D" w:rsidRPr="001B680D" w:rsidRDefault="001B680D" w:rsidP="00405B5F">
      <w:pPr>
        <w:ind w:left="2552" w:hanging="851"/>
        <w:rPr>
          <w:sz w:val="20"/>
          <w:szCs w:val="20"/>
        </w:rPr>
      </w:pPr>
      <w:r w:rsidRPr="00405B5F">
        <w:rPr>
          <w:sz w:val="20"/>
          <w:szCs w:val="20"/>
        </w:rPr>
        <w:t>3</w:t>
      </w:r>
      <w:r w:rsidR="00E112A1">
        <w:rPr>
          <w:sz w:val="20"/>
          <w:szCs w:val="20"/>
        </w:rPr>
        <w:t>7</w:t>
      </w:r>
      <w:r>
        <w:rPr>
          <w:b/>
          <w:sz w:val="20"/>
          <w:szCs w:val="20"/>
        </w:rPr>
        <w:tab/>
      </w:r>
      <w:r w:rsidRPr="001B680D">
        <w:rPr>
          <w:sz w:val="20"/>
          <w:szCs w:val="20"/>
        </w:rPr>
        <w:t>Comissão do Mercado de Valores Mobiliários</w:t>
      </w:r>
      <w:r>
        <w:rPr>
          <w:sz w:val="20"/>
          <w:szCs w:val="20"/>
        </w:rPr>
        <w:t xml:space="preserve"> of Portugal</w:t>
      </w:r>
    </w:p>
    <w:p w:rsidR="001B680D" w:rsidRPr="001B680D" w:rsidRDefault="001B680D" w:rsidP="00405B5F">
      <w:pPr>
        <w:ind w:left="2552" w:hanging="851"/>
        <w:rPr>
          <w:sz w:val="20"/>
          <w:szCs w:val="20"/>
        </w:rPr>
      </w:pPr>
      <w:r>
        <w:rPr>
          <w:sz w:val="20"/>
          <w:szCs w:val="20"/>
        </w:rPr>
        <w:t>3</w:t>
      </w:r>
      <w:r w:rsidR="00E112A1">
        <w:rPr>
          <w:sz w:val="20"/>
          <w:szCs w:val="20"/>
        </w:rPr>
        <w:t>8</w:t>
      </w:r>
      <w:r>
        <w:rPr>
          <w:sz w:val="20"/>
          <w:szCs w:val="20"/>
        </w:rPr>
        <w:tab/>
      </w:r>
      <w:r w:rsidRPr="001B680D">
        <w:rPr>
          <w:sz w:val="20"/>
          <w:szCs w:val="20"/>
        </w:rPr>
        <w:t>Quebec Autorité des Marchés Financiers</w:t>
      </w:r>
    </w:p>
    <w:p w:rsidR="001B680D" w:rsidRPr="001B680D" w:rsidRDefault="001B680D" w:rsidP="00405B5F">
      <w:pPr>
        <w:ind w:left="2552" w:hanging="851"/>
        <w:rPr>
          <w:sz w:val="20"/>
          <w:szCs w:val="20"/>
        </w:rPr>
      </w:pPr>
      <w:r>
        <w:rPr>
          <w:sz w:val="20"/>
          <w:szCs w:val="20"/>
        </w:rPr>
        <w:t>3</w:t>
      </w:r>
      <w:r w:rsidR="00E112A1">
        <w:rPr>
          <w:sz w:val="20"/>
          <w:szCs w:val="20"/>
        </w:rPr>
        <w:t>9</w:t>
      </w:r>
      <w:r>
        <w:rPr>
          <w:sz w:val="20"/>
          <w:szCs w:val="20"/>
        </w:rPr>
        <w:tab/>
      </w:r>
      <w:r w:rsidRPr="001B680D">
        <w:rPr>
          <w:sz w:val="20"/>
          <w:szCs w:val="20"/>
        </w:rPr>
        <w:t>Romanian National Securities Commission</w:t>
      </w:r>
    </w:p>
    <w:p w:rsidR="00E112A1" w:rsidRPr="00E112A1" w:rsidRDefault="00E112A1" w:rsidP="00E112A1">
      <w:pPr>
        <w:ind w:left="2552" w:hanging="851"/>
        <w:rPr>
          <w:sz w:val="20"/>
          <w:szCs w:val="20"/>
        </w:rPr>
      </w:pPr>
      <w:r>
        <w:rPr>
          <w:sz w:val="20"/>
          <w:szCs w:val="20"/>
        </w:rPr>
        <w:t>40</w:t>
      </w:r>
      <w:r w:rsidRPr="00E112A1">
        <w:rPr>
          <w:sz w:val="20"/>
          <w:szCs w:val="20"/>
        </w:rPr>
        <w:tab/>
        <w:t>The Monetary Authority of Singapore</w:t>
      </w:r>
    </w:p>
    <w:p w:rsidR="00E112A1" w:rsidRPr="00E112A1" w:rsidRDefault="00E112A1" w:rsidP="00E112A1">
      <w:pPr>
        <w:ind w:left="2552" w:hanging="851"/>
        <w:rPr>
          <w:sz w:val="20"/>
          <w:szCs w:val="20"/>
        </w:rPr>
      </w:pPr>
      <w:r>
        <w:rPr>
          <w:sz w:val="20"/>
          <w:szCs w:val="20"/>
        </w:rPr>
        <w:t>41</w:t>
      </w:r>
      <w:r>
        <w:rPr>
          <w:sz w:val="20"/>
          <w:szCs w:val="20"/>
        </w:rPr>
        <w:tab/>
      </w:r>
      <w:r w:rsidRPr="00E112A1">
        <w:rPr>
          <w:sz w:val="20"/>
          <w:szCs w:val="20"/>
        </w:rPr>
        <w:t>Národná banka Slovenska</w:t>
      </w:r>
    </w:p>
    <w:p w:rsidR="00E112A1" w:rsidRPr="00E112A1" w:rsidRDefault="00E112A1" w:rsidP="00E112A1">
      <w:pPr>
        <w:ind w:left="2552" w:hanging="851"/>
        <w:rPr>
          <w:sz w:val="20"/>
          <w:szCs w:val="20"/>
        </w:rPr>
      </w:pPr>
      <w:r>
        <w:rPr>
          <w:sz w:val="20"/>
          <w:szCs w:val="20"/>
        </w:rPr>
        <w:t>42</w:t>
      </w:r>
      <w:r>
        <w:rPr>
          <w:sz w:val="20"/>
          <w:szCs w:val="20"/>
        </w:rPr>
        <w:tab/>
      </w:r>
      <w:r w:rsidRPr="00E112A1">
        <w:rPr>
          <w:sz w:val="20"/>
          <w:szCs w:val="20"/>
        </w:rPr>
        <w:t>Financial Services Board of the Republic of South Africa</w:t>
      </w:r>
    </w:p>
    <w:p w:rsidR="001B680D" w:rsidRPr="00405B5F" w:rsidRDefault="001B680D" w:rsidP="00405B5F">
      <w:pPr>
        <w:ind w:left="2552" w:hanging="851"/>
        <w:rPr>
          <w:sz w:val="20"/>
          <w:szCs w:val="20"/>
        </w:rPr>
      </w:pPr>
      <w:r w:rsidRPr="00405B5F">
        <w:rPr>
          <w:sz w:val="20"/>
          <w:szCs w:val="20"/>
        </w:rPr>
        <w:t>4</w:t>
      </w:r>
      <w:r w:rsidR="00E112A1">
        <w:rPr>
          <w:sz w:val="20"/>
          <w:szCs w:val="20"/>
        </w:rPr>
        <w:t>3</w:t>
      </w:r>
      <w:r w:rsidRPr="00405B5F">
        <w:rPr>
          <w:sz w:val="20"/>
          <w:szCs w:val="20"/>
        </w:rPr>
        <w:tab/>
        <w:t>Comisión Nacional del Mercado de Valores</w:t>
      </w:r>
      <w:r w:rsidR="00405B5F" w:rsidRPr="00405B5F">
        <w:rPr>
          <w:sz w:val="20"/>
          <w:szCs w:val="20"/>
        </w:rPr>
        <w:t xml:space="preserve"> of Spain</w:t>
      </w:r>
    </w:p>
    <w:p w:rsidR="001B680D" w:rsidRPr="00405B5F" w:rsidRDefault="001B680D" w:rsidP="00405B5F">
      <w:pPr>
        <w:ind w:left="2552" w:hanging="851"/>
        <w:rPr>
          <w:sz w:val="20"/>
          <w:szCs w:val="20"/>
        </w:rPr>
      </w:pPr>
      <w:r w:rsidRPr="00405B5F">
        <w:rPr>
          <w:sz w:val="20"/>
          <w:szCs w:val="20"/>
        </w:rPr>
        <w:t>4</w:t>
      </w:r>
      <w:r w:rsidR="00E112A1">
        <w:rPr>
          <w:sz w:val="20"/>
          <w:szCs w:val="20"/>
        </w:rPr>
        <w:t>4</w:t>
      </w:r>
      <w:r w:rsidRPr="00405B5F">
        <w:rPr>
          <w:sz w:val="20"/>
          <w:szCs w:val="20"/>
        </w:rPr>
        <w:tab/>
        <w:t>Finansinspektionen</w:t>
      </w:r>
      <w:r w:rsidR="00405B5F" w:rsidRPr="00405B5F">
        <w:rPr>
          <w:sz w:val="20"/>
          <w:szCs w:val="20"/>
        </w:rPr>
        <w:t xml:space="preserve"> of Sweden</w:t>
      </w:r>
    </w:p>
    <w:p w:rsidR="001B680D" w:rsidRPr="00405B5F" w:rsidRDefault="001B680D" w:rsidP="00405B5F">
      <w:pPr>
        <w:ind w:left="2552" w:hanging="851"/>
        <w:rPr>
          <w:sz w:val="20"/>
          <w:szCs w:val="20"/>
        </w:rPr>
      </w:pPr>
      <w:r w:rsidRPr="00405B5F">
        <w:rPr>
          <w:sz w:val="20"/>
          <w:szCs w:val="20"/>
        </w:rPr>
        <w:t>45</w:t>
      </w:r>
      <w:r w:rsidRPr="00405B5F">
        <w:rPr>
          <w:sz w:val="20"/>
          <w:szCs w:val="20"/>
        </w:rPr>
        <w:tab/>
        <w:t>Securities Commodities Authority</w:t>
      </w:r>
      <w:r w:rsidR="00405B5F" w:rsidRPr="00405B5F">
        <w:rPr>
          <w:sz w:val="20"/>
          <w:szCs w:val="20"/>
        </w:rPr>
        <w:t xml:space="preserve"> of the United Arab Emirates</w:t>
      </w:r>
    </w:p>
    <w:p w:rsidR="001B680D" w:rsidRDefault="00E112A1" w:rsidP="00405B5F">
      <w:pPr>
        <w:ind w:left="2552" w:hanging="851"/>
        <w:rPr>
          <w:sz w:val="20"/>
          <w:szCs w:val="20"/>
        </w:rPr>
      </w:pPr>
      <w:r>
        <w:rPr>
          <w:sz w:val="20"/>
          <w:szCs w:val="20"/>
        </w:rPr>
        <w:t>4</w:t>
      </w:r>
      <w:r w:rsidR="005E0AC9">
        <w:rPr>
          <w:sz w:val="20"/>
          <w:szCs w:val="20"/>
        </w:rPr>
        <w:t>6</w:t>
      </w:r>
      <w:r>
        <w:rPr>
          <w:sz w:val="20"/>
          <w:szCs w:val="20"/>
        </w:rPr>
        <w:tab/>
      </w:r>
      <w:r w:rsidR="001B680D" w:rsidRPr="00405B5F">
        <w:rPr>
          <w:sz w:val="20"/>
          <w:szCs w:val="20"/>
        </w:rPr>
        <w:t>Financial Conduct Authority</w:t>
      </w:r>
      <w:r w:rsidR="00405B5F" w:rsidRPr="00405B5F">
        <w:rPr>
          <w:sz w:val="20"/>
          <w:szCs w:val="20"/>
        </w:rPr>
        <w:t xml:space="preserve"> of the United Kingdom</w:t>
      </w:r>
    </w:p>
    <w:p w:rsidR="005E0AC9" w:rsidRPr="00405B5F" w:rsidRDefault="005E0AC9" w:rsidP="00405B5F">
      <w:pPr>
        <w:ind w:left="2552" w:hanging="851"/>
        <w:rPr>
          <w:sz w:val="20"/>
          <w:szCs w:val="20"/>
        </w:rPr>
      </w:pPr>
      <w:r w:rsidRPr="005E0AC9">
        <w:rPr>
          <w:sz w:val="20"/>
          <w:szCs w:val="20"/>
        </w:rPr>
        <w:t>4</w:t>
      </w:r>
      <w:r>
        <w:rPr>
          <w:sz w:val="20"/>
          <w:szCs w:val="20"/>
        </w:rPr>
        <w:t>7</w:t>
      </w:r>
      <w:r w:rsidRPr="005E0AC9">
        <w:rPr>
          <w:sz w:val="20"/>
          <w:szCs w:val="20"/>
        </w:rPr>
        <w:tab/>
        <w:t>U.S. Securities and Exchange Commission</w:t>
      </w:r>
    </w:p>
    <w:p w:rsidR="00774FB4" w:rsidRPr="00774FB4" w:rsidRDefault="006B0A92" w:rsidP="00774FB4">
      <w:pPr>
        <w:ind w:left="1701"/>
        <w:rPr>
          <w:sz w:val="20"/>
          <w:szCs w:val="20"/>
        </w:rPr>
      </w:pPr>
      <w:r w:rsidRPr="00183D5D">
        <w:rPr>
          <w:sz w:val="20"/>
          <w:szCs w:val="20"/>
        </w:rPr>
        <w:t>______________________________________________________________</w:t>
      </w:r>
      <w:r w:rsidR="00774FB4" w:rsidRPr="00774FB4">
        <w:t xml:space="preserve">.”.”. </w:t>
      </w:r>
    </w:p>
    <w:p w:rsidR="00472CF3" w:rsidRPr="00683D6B" w:rsidRDefault="00472CF3" w:rsidP="00774FB4">
      <w:pPr>
        <w:ind w:left="1701" w:hanging="567"/>
      </w:pPr>
    </w:p>
    <w:p w:rsidR="005822DF" w:rsidRPr="00683D6B" w:rsidRDefault="0028388D" w:rsidP="007A5DE1">
      <w:pPr>
        <w:rPr>
          <w:b/>
        </w:rPr>
      </w:pPr>
      <w:r w:rsidRPr="00683D6B">
        <w:rPr>
          <w:b/>
        </w:rPr>
        <w:t>Transitional</w:t>
      </w:r>
    </w:p>
    <w:p w:rsidR="0028388D" w:rsidRPr="00683D6B" w:rsidRDefault="0028388D" w:rsidP="007A5DE1"/>
    <w:p w:rsidR="00261CB3" w:rsidRPr="00683D6B" w:rsidRDefault="0028388D" w:rsidP="0028388D">
      <w:pPr>
        <w:pStyle w:val="BodyText"/>
        <w:ind w:left="567" w:hanging="567"/>
        <w:rPr>
          <w:color w:val="auto"/>
        </w:rPr>
      </w:pPr>
      <w:r w:rsidRPr="00683D6B">
        <w:rPr>
          <w:color w:val="auto"/>
        </w:rPr>
        <w:t>5.</w:t>
      </w:r>
      <w:r w:rsidRPr="00683D6B">
        <w:rPr>
          <w:color w:val="auto"/>
        </w:rPr>
        <w:tab/>
      </w:r>
      <w:r w:rsidR="00D027BF">
        <w:rPr>
          <w:color w:val="auto"/>
        </w:rPr>
        <w:t>A responsible entity of</w:t>
      </w:r>
      <w:r w:rsidR="00261CB3" w:rsidRPr="00683D6B">
        <w:rPr>
          <w:color w:val="auto"/>
        </w:rPr>
        <w:t xml:space="preserve"> </w:t>
      </w:r>
      <w:r w:rsidR="00D027BF">
        <w:rPr>
          <w:color w:val="auto"/>
        </w:rPr>
        <w:t xml:space="preserve">a </w:t>
      </w:r>
      <w:r w:rsidR="00261CB3" w:rsidRPr="00683D6B">
        <w:rPr>
          <w:color w:val="auto"/>
        </w:rPr>
        <w:t>simple managed investment scheme:</w:t>
      </w:r>
    </w:p>
    <w:p w:rsidR="00261CB3" w:rsidRPr="00683D6B" w:rsidRDefault="00261CB3" w:rsidP="00261CB3">
      <w:pPr>
        <w:pStyle w:val="BodyText"/>
        <w:ind w:left="1134" w:hanging="567"/>
        <w:rPr>
          <w:color w:val="auto"/>
        </w:rPr>
      </w:pPr>
      <w:r w:rsidRPr="00683D6B">
        <w:rPr>
          <w:color w:val="auto"/>
        </w:rPr>
        <w:t>(a)</w:t>
      </w:r>
      <w:r w:rsidRPr="00683D6B">
        <w:rPr>
          <w:color w:val="auto"/>
        </w:rPr>
        <w:tab/>
        <w:t xml:space="preserve">that was </w:t>
      </w:r>
      <w:r w:rsidR="00C063C8" w:rsidRPr="00683D6B">
        <w:rPr>
          <w:color w:val="auto"/>
        </w:rPr>
        <w:t xml:space="preserve">either </w:t>
      </w:r>
      <w:r w:rsidRPr="00683D6B">
        <w:rPr>
          <w:color w:val="auto"/>
        </w:rPr>
        <w:t xml:space="preserve">a </w:t>
      </w:r>
      <w:r w:rsidRPr="00683D6B">
        <w:rPr>
          <w:b/>
          <w:i/>
          <w:color w:val="auto"/>
        </w:rPr>
        <w:t>hedge fund</w:t>
      </w:r>
      <w:r w:rsidRPr="00683D6B">
        <w:rPr>
          <w:color w:val="auto"/>
        </w:rPr>
        <w:t xml:space="preserve"> or </w:t>
      </w:r>
      <w:r w:rsidRPr="00683D6B">
        <w:rPr>
          <w:b/>
          <w:i/>
          <w:color w:val="auto"/>
        </w:rPr>
        <w:t>fund of hedge funds</w:t>
      </w:r>
      <w:r w:rsidRPr="00683D6B">
        <w:rPr>
          <w:color w:val="auto"/>
        </w:rPr>
        <w:t xml:space="preserve"> </w:t>
      </w:r>
      <w:r w:rsidR="00C063C8" w:rsidRPr="00683D6B">
        <w:rPr>
          <w:color w:val="auto"/>
        </w:rPr>
        <w:t xml:space="preserve">within the meaning </w:t>
      </w:r>
      <w:r w:rsidR="000115AE" w:rsidRPr="00683D6B">
        <w:rPr>
          <w:color w:val="auto"/>
        </w:rPr>
        <w:t xml:space="preserve">of subregulation 7.9.11S(8) of the Regulations </w:t>
      </w:r>
      <w:r w:rsidR="00C063C8" w:rsidRPr="00683D6B">
        <w:rPr>
          <w:color w:val="auto"/>
        </w:rPr>
        <w:t xml:space="preserve">as in force </w:t>
      </w:r>
      <w:r w:rsidRPr="00683D6B">
        <w:rPr>
          <w:color w:val="auto"/>
        </w:rPr>
        <w:t xml:space="preserve">immediately before the commencement of this </w:t>
      </w:r>
      <w:r w:rsidR="0092519B">
        <w:rPr>
          <w:color w:val="auto"/>
        </w:rPr>
        <w:t>instrument</w:t>
      </w:r>
      <w:r w:rsidRPr="00683D6B">
        <w:rPr>
          <w:color w:val="auto"/>
        </w:rPr>
        <w:t>; and</w:t>
      </w:r>
    </w:p>
    <w:p w:rsidR="005E0FFF" w:rsidRPr="00683D6B" w:rsidRDefault="005E0FFF" w:rsidP="00261CB3">
      <w:pPr>
        <w:pStyle w:val="BodyText"/>
        <w:ind w:left="1134" w:hanging="567"/>
        <w:rPr>
          <w:color w:val="auto"/>
        </w:rPr>
      </w:pPr>
      <w:r w:rsidRPr="00683D6B">
        <w:rPr>
          <w:color w:val="auto"/>
        </w:rPr>
        <w:t>(b)</w:t>
      </w:r>
      <w:r w:rsidRPr="00683D6B">
        <w:rPr>
          <w:color w:val="auto"/>
        </w:rPr>
        <w:tab/>
        <w:t xml:space="preserve">that is neither a </w:t>
      </w:r>
      <w:r w:rsidRPr="00683D6B">
        <w:rPr>
          <w:b/>
          <w:i/>
          <w:color w:val="auto"/>
        </w:rPr>
        <w:t>hedge fund</w:t>
      </w:r>
      <w:r w:rsidRPr="00683D6B">
        <w:rPr>
          <w:color w:val="auto"/>
        </w:rPr>
        <w:t xml:space="preserve"> </w:t>
      </w:r>
      <w:r w:rsidR="00C063C8" w:rsidRPr="00683D6B">
        <w:rPr>
          <w:color w:val="auto"/>
        </w:rPr>
        <w:t>n</w:t>
      </w:r>
      <w:r w:rsidRPr="00683D6B">
        <w:rPr>
          <w:color w:val="auto"/>
        </w:rPr>
        <w:t xml:space="preserve">or </w:t>
      </w:r>
      <w:r w:rsidRPr="00683D6B">
        <w:rPr>
          <w:b/>
          <w:i/>
          <w:color w:val="auto"/>
        </w:rPr>
        <w:t>fund of hedge funds</w:t>
      </w:r>
      <w:r w:rsidRPr="00683D6B">
        <w:rPr>
          <w:color w:val="auto"/>
        </w:rPr>
        <w:t xml:space="preserve"> </w:t>
      </w:r>
      <w:r w:rsidR="00C063C8" w:rsidRPr="00683D6B">
        <w:rPr>
          <w:color w:val="auto"/>
        </w:rPr>
        <w:t xml:space="preserve">within the meaning of </w:t>
      </w:r>
      <w:r w:rsidR="000115AE" w:rsidRPr="00683D6B">
        <w:rPr>
          <w:color w:val="auto"/>
        </w:rPr>
        <w:t>subregulation 7.9.11S(8) of the Regulations a</w:t>
      </w:r>
      <w:r w:rsidR="00C063C8" w:rsidRPr="00683D6B">
        <w:rPr>
          <w:color w:val="auto"/>
        </w:rPr>
        <w:t xml:space="preserve">s in force </w:t>
      </w:r>
      <w:r w:rsidR="000115AE" w:rsidRPr="00683D6B">
        <w:rPr>
          <w:color w:val="auto"/>
        </w:rPr>
        <w:t xml:space="preserve">immediately after </w:t>
      </w:r>
      <w:r w:rsidR="00C063C8" w:rsidRPr="00683D6B">
        <w:rPr>
          <w:color w:val="auto"/>
        </w:rPr>
        <w:t xml:space="preserve">the commencement of this </w:t>
      </w:r>
      <w:r w:rsidR="0092519B">
        <w:rPr>
          <w:color w:val="auto"/>
        </w:rPr>
        <w:t>instrument</w:t>
      </w:r>
      <w:r w:rsidR="00C063C8" w:rsidRPr="00683D6B">
        <w:rPr>
          <w:color w:val="auto"/>
        </w:rPr>
        <w:t>;</w:t>
      </w:r>
      <w:r w:rsidR="006A29AD" w:rsidRPr="00683D6B">
        <w:rPr>
          <w:color w:val="auto"/>
        </w:rPr>
        <w:t xml:space="preserve"> and</w:t>
      </w:r>
    </w:p>
    <w:p w:rsidR="00472CF3" w:rsidRPr="00683D6B" w:rsidRDefault="00261CB3" w:rsidP="00261CB3">
      <w:pPr>
        <w:pStyle w:val="BodyText"/>
        <w:ind w:left="1134" w:hanging="567"/>
        <w:rPr>
          <w:color w:val="auto"/>
        </w:rPr>
      </w:pPr>
      <w:r w:rsidRPr="00683D6B">
        <w:rPr>
          <w:color w:val="auto"/>
        </w:rPr>
        <w:t>(</w:t>
      </w:r>
      <w:r w:rsidR="00EF02A8">
        <w:rPr>
          <w:color w:val="auto"/>
        </w:rPr>
        <w:t>c</w:t>
      </w:r>
      <w:r w:rsidRPr="00683D6B">
        <w:rPr>
          <w:color w:val="auto"/>
        </w:rPr>
        <w:t>)</w:t>
      </w:r>
      <w:r w:rsidRPr="00683D6B">
        <w:rPr>
          <w:color w:val="auto"/>
        </w:rPr>
        <w:tab/>
        <w:t xml:space="preserve">in relation to which a Product Disclosure Statement prepared or purported to be prepared in accordance with Part 7.9 of the Act as it applies but for Subdivision 4.2C of Division 4 of Part 7.9 of the </w:t>
      </w:r>
      <w:r w:rsidR="004B1055" w:rsidRPr="00683D6B">
        <w:rPr>
          <w:color w:val="auto"/>
        </w:rPr>
        <w:t xml:space="preserve">Regulations </w:t>
      </w:r>
      <w:r w:rsidR="00472CF3" w:rsidRPr="00683D6B">
        <w:rPr>
          <w:color w:val="auto"/>
        </w:rPr>
        <w:t xml:space="preserve">was in use immediately before the commencement of this </w:t>
      </w:r>
      <w:r w:rsidR="0092519B">
        <w:rPr>
          <w:color w:val="auto"/>
        </w:rPr>
        <w:t>instrument</w:t>
      </w:r>
      <w:r w:rsidR="00472CF3" w:rsidRPr="00683D6B">
        <w:rPr>
          <w:color w:val="auto"/>
        </w:rPr>
        <w:t>;</w:t>
      </w:r>
    </w:p>
    <w:p w:rsidR="00472CF3" w:rsidRPr="00683D6B" w:rsidRDefault="00472CF3" w:rsidP="005E0FFF">
      <w:pPr>
        <w:pStyle w:val="BodyText"/>
        <w:ind w:left="567"/>
        <w:rPr>
          <w:color w:val="auto"/>
        </w:rPr>
      </w:pPr>
      <w:r w:rsidRPr="00683D6B">
        <w:rPr>
          <w:color w:val="auto"/>
        </w:rPr>
        <w:t xml:space="preserve">may </w:t>
      </w:r>
      <w:r w:rsidR="005E0FFF" w:rsidRPr="00683D6B">
        <w:rPr>
          <w:color w:val="auto"/>
        </w:rPr>
        <w:t xml:space="preserve">continue to use that Product Disclosure Statement until 1 February 2014 despite the amendments made by this </w:t>
      </w:r>
      <w:r w:rsidR="0092519B">
        <w:rPr>
          <w:color w:val="auto"/>
        </w:rPr>
        <w:t>instrument</w:t>
      </w:r>
      <w:r w:rsidR="005E0FFF" w:rsidRPr="00683D6B">
        <w:rPr>
          <w:color w:val="auto"/>
        </w:rPr>
        <w:t>.</w:t>
      </w:r>
    </w:p>
    <w:p w:rsidR="00C54AA7" w:rsidRPr="00683D6B" w:rsidRDefault="00C54AA7" w:rsidP="007A5DE1">
      <w:pPr>
        <w:pStyle w:val="BodyText"/>
        <w:spacing w:before="0" w:after="0" w:line="240" w:lineRule="auto"/>
        <w:rPr>
          <w:color w:val="auto"/>
        </w:rPr>
      </w:pPr>
    </w:p>
    <w:p w:rsidR="004B1055" w:rsidRPr="00683D6B" w:rsidRDefault="004B1055" w:rsidP="007A5DE1">
      <w:pPr>
        <w:pStyle w:val="BodyText"/>
        <w:spacing w:before="0" w:after="0" w:line="240" w:lineRule="auto"/>
        <w:rPr>
          <w:b/>
          <w:color w:val="auto"/>
        </w:rPr>
      </w:pPr>
      <w:r w:rsidRPr="00683D6B">
        <w:rPr>
          <w:b/>
          <w:color w:val="auto"/>
        </w:rPr>
        <w:t>Interpretation</w:t>
      </w:r>
    </w:p>
    <w:p w:rsidR="004B1055" w:rsidRPr="00683D6B" w:rsidRDefault="004B1055" w:rsidP="007A5DE1">
      <w:pPr>
        <w:pStyle w:val="BodyText"/>
        <w:spacing w:before="0" w:after="0" w:line="240" w:lineRule="auto"/>
        <w:rPr>
          <w:color w:val="auto"/>
        </w:rPr>
      </w:pPr>
    </w:p>
    <w:p w:rsidR="004B1055" w:rsidRPr="00683D6B" w:rsidRDefault="004B1055" w:rsidP="004B1055">
      <w:pPr>
        <w:pStyle w:val="BodyText"/>
        <w:spacing w:before="0" w:after="0" w:line="240" w:lineRule="auto"/>
        <w:ind w:left="567" w:hanging="567"/>
        <w:rPr>
          <w:color w:val="auto"/>
        </w:rPr>
      </w:pPr>
      <w:r w:rsidRPr="00683D6B">
        <w:rPr>
          <w:color w:val="auto"/>
        </w:rPr>
        <w:t>6.</w:t>
      </w:r>
      <w:r w:rsidRPr="00683D6B">
        <w:rPr>
          <w:color w:val="auto"/>
        </w:rPr>
        <w:tab/>
        <w:t>In this instrument:</w:t>
      </w:r>
    </w:p>
    <w:p w:rsidR="004B1055" w:rsidRPr="00683D6B" w:rsidRDefault="004B1055" w:rsidP="004B1055">
      <w:pPr>
        <w:pStyle w:val="BodyText"/>
        <w:spacing w:before="0" w:after="0" w:line="240" w:lineRule="auto"/>
        <w:ind w:left="567" w:hanging="567"/>
        <w:rPr>
          <w:color w:val="auto"/>
        </w:rPr>
      </w:pPr>
    </w:p>
    <w:p w:rsidR="004B1055" w:rsidRPr="00683D6B" w:rsidRDefault="004B1055" w:rsidP="004B1055">
      <w:pPr>
        <w:pStyle w:val="BodyText"/>
        <w:spacing w:before="0" w:after="0" w:line="240" w:lineRule="auto"/>
        <w:ind w:left="567"/>
        <w:rPr>
          <w:color w:val="auto"/>
        </w:rPr>
      </w:pPr>
      <w:r w:rsidRPr="00683D6B">
        <w:rPr>
          <w:b/>
          <w:i/>
          <w:color w:val="auto"/>
        </w:rPr>
        <w:t>Regulations</w:t>
      </w:r>
      <w:r w:rsidRPr="00683D6B">
        <w:rPr>
          <w:color w:val="auto"/>
        </w:rPr>
        <w:t xml:space="preserve"> means the </w:t>
      </w:r>
      <w:r w:rsidRPr="00683D6B">
        <w:rPr>
          <w:i/>
          <w:color w:val="auto"/>
        </w:rPr>
        <w:t>Corporations Regulations 2001</w:t>
      </w:r>
      <w:r w:rsidRPr="00683D6B">
        <w:rPr>
          <w:color w:val="auto"/>
        </w:rPr>
        <w:t>.</w:t>
      </w:r>
    </w:p>
    <w:p w:rsidR="004B1055" w:rsidRPr="00683D6B" w:rsidRDefault="004B1055" w:rsidP="004B1055">
      <w:pPr>
        <w:pStyle w:val="BodyText"/>
        <w:spacing w:before="0" w:after="0" w:line="240" w:lineRule="auto"/>
        <w:ind w:left="567"/>
        <w:rPr>
          <w:color w:val="auto"/>
        </w:rPr>
      </w:pPr>
    </w:p>
    <w:p w:rsidR="004B1055" w:rsidRPr="00683D6B" w:rsidRDefault="004B1055" w:rsidP="004B1055">
      <w:pPr>
        <w:pStyle w:val="BodyText"/>
        <w:spacing w:before="0" w:after="0" w:line="240" w:lineRule="auto"/>
        <w:ind w:left="567"/>
        <w:rPr>
          <w:color w:val="auto"/>
        </w:rPr>
      </w:pPr>
      <w:r w:rsidRPr="00683D6B">
        <w:rPr>
          <w:b/>
          <w:i/>
          <w:color w:val="auto"/>
        </w:rPr>
        <w:t>simple managed investment scheme</w:t>
      </w:r>
      <w:r w:rsidRPr="00683D6B">
        <w:rPr>
          <w:color w:val="auto"/>
        </w:rPr>
        <w:t xml:space="preserve"> has the meaning given </w:t>
      </w:r>
      <w:r w:rsidR="000115AE" w:rsidRPr="00683D6B">
        <w:rPr>
          <w:color w:val="auto"/>
        </w:rPr>
        <w:t>by</w:t>
      </w:r>
      <w:r w:rsidRPr="00683D6B">
        <w:rPr>
          <w:color w:val="auto"/>
        </w:rPr>
        <w:t xml:space="preserve"> subregulation 1.0.02(1) of the Regulations.</w:t>
      </w:r>
    </w:p>
    <w:p w:rsidR="004B1055" w:rsidRPr="00683D6B" w:rsidRDefault="004B1055" w:rsidP="007A5DE1">
      <w:pPr>
        <w:pStyle w:val="BodyText"/>
        <w:spacing w:before="0" w:after="0" w:line="240" w:lineRule="auto"/>
        <w:rPr>
          <w:color w:val="auto"/>
        </w:rPr>
      </w:pPr>
    </w:p>
    <w:p w:rsidR="000115AE" w:rsidRDefault="000115AE" w:rsidP="007A5DE1">
      <w:pPr>
        <w:pStyle w:val="BodyText"/>
        <w:spacing w:before="0" w:after="0" w:line="240" w:lineRule="auto"/>
      </w:pPr>
    </w:p>
    <w:p w:rsidR="000115AE" w:rsidRDefault="000115AE" w:rsidP="007A5DE1">
      <w:pPr>
        <w:pStyle w:val="BodyText"/>
        <w:spacing w:before="0" w:after="0" w:line="240" w:lineRule="auto"/>
      </w:pPr>
    </w:p>
    <w:p w:rsidR="000115AE" w:rsidRDefault="000115AE" w:rsidP="007A5DE1">
      <w:pPr>
        <w:pStyle w:val="BodyText"/>
        <w:spacing w:before="0" w:after="0" w:line="240" w:lineRule="auto"/>
      </w:pPr>
    </w:p>
    <w:p w:rsidR="00C54AA7" w:rsidRDefault="00C54AA7" w:rsidP="00C54AA7">
      <w:pPr>
        <w:pStyle w:val="NormalSpacebefore12pt"/>
        <w:spacing w:before="0"/>
      </w:pPr>
      <w:r>
        <w:t xml:space="preserve">Dated this </w:t>
      </w:r>
      <w:r w:rsidR="000115AE">
        <w:t>25</w:t>
      </w:r>
      <w:r w:rsidR="000115AE" w:rsidRPr="000115AE">
        <w:rPr>
          <w:vertAlign w:val="superscript"/>
        </w:rPr>
        <w:t>th</w:t>
      </w:r>
      <w:r w:rsidR="000115AE">
        <w:t xml:space="preserve"> </w:t>
      </w:r>
      <w:r>
        <w:t xml:space="preserve">day of </w:t>
      </w:r>
      <w:r w:rsidR="006B0A92">
        <w:t>September</w:t>
      </w:r>
      <w:r w:rsidR="00F81A53">
        <w:t xml:space="preserve"> </w:t>
      </w:r>
      <w:r>
        <w:t>2013</w:t>
      </w:r>
    </w:p>
    <w:p w:rsidR="00C54AA7" w:rsidRDefault="00C54AA7" w:rsidP="00C54AA7"/>
    <w:p w:rsidR="000115AE" w:rsidRDefault="000115AE" w:rsidP="00C54AA7"/>
    <w:p w:rsidR="000115AE" w:rsidRDefault="000115AE" w:rsidP="00C54AA7"/>
    <w:p w:rsidR="007A5DE1" w:rsidRDefault="007A5DE1" w:rsidP="00C54AA7"/>
    <w:p w:rsidR="00C54AA7" w:rsidRDefault="00C54AA7" w:rsidP="00C54AA7">
      <w:r>
        <w:t>Signed by Grant Moodie</w:t>
      </w:r>
    </w:p>
    <w:p w:rsidR="00C54AA7" w:rsidRPr="00B463BC" w:rsidRDefault="00C54AA7" w:rsidP="00C54AA7">
      <w:r w:rsidRPr="00B463BC">
        <w:t xml:space="preserve">as a delegate of the </w:t>
      </w:r>
      <w:r>
        <w:t>Australian Securities and Investments Commission</w:t>
      </w:r>
    </w:p>
    <w:p w:rsidR="000429B6" w:rsidRDefault="000429B6"/>
    <w:p w:rsidR="001B680D" w:rsidRDefault="001B680D"/>
    <w:sectPr w:rsidR="001B680D" w:rsidSect="00901DBD">
      <w:headerReference w:type="even" r:id="rId9"/>
      <w:headerReference w:type="default" r:id="rId10"/>
      <w:pgSz w:w="11906" w:h="16838"/>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36B2" w:rsidRDefault="005636B2" w:rsidP="00FE4FBE">
      <w:r>
        <w:separator/>
      </w:r>
    </w:p>
  </w:endnote>
  <w:endnote w:type="continuationSeparator" w:id="0">
    <w:p w:rsidR="005636B2" w:rsidRDefault="005636B2" w:rsidP="00FE4F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36B2" w:rsidRDefault="005636B2" w:rsidP="00FE4FBE">
      <w:r>
        <w:separator/>
      </w:r>
    </w:p>
  </w:footnote>
  <w:footnote w:type="continuationSeparator" w:id="0">
    <w:p w:rsidR="005636B2" w:rsidRDefault="005636B2" w:rsidP="00FE4F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EC8" w:rsidRDefault="00DE6C69">
    <w:pPr>
      <w:pStyle w:val="Header"/>
      <w:framePr w:wrap="around" w:vAnchor="text" w:hAnchor="margin" w:xAlign="center" w:y="1"/>
      <w:rPr>
        <w:rStyle w:val="PageNumber"/>
      </w:rPr>
    </w:pPr>
    <w:r>
      <w:rPr>
        <w:rStyle w:val="PageNumber"/>
      </w:rPr>
      <w:fldChar w:fldCharType="begin"/>
    </w:r>
    <w:r w:rsidR="005222EF">
      <w:rPr>
        <w:rStyle w:val="PageNumber"/>
      </w:rPr>
      <w:instrText xml:space="preserve">PAGE  </w:instrText>
    </w:r>
    <w:r>
      <w:rPr>
        <w:rStyle w:val="PageNumber"/>
      </w:rPr>
      <w:fldChar w:fldCharType="separate"/>
    </w:r>
    <w:r w:rsidR="005222EF">
      <w:rPr>
        <w:rStyle w:val="PageNumber"/>
        <w:noProof/>
      </w:rPr>
      <w:t>6</w:t>
    </w:r>
    <w:r>
      <w:rPr>
        <w:rStyle w:val="PageNumber"/>
      </w:rPr>
      <w:fldChar w:fldCharType="end"/>
    </w:r>
  </w:p>
  <w:p w:rsidR="00CE1EC8" w:rsidRDefault="005636B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EC8" w:rsidRDefault="00DE6C69">
    <w:pPr>
      <w:pStyle w:val="Header"/>
      <w:framePr w:wrap="around" w:vAnchor="text" w:hAnchor="margin" w:xAlign="center" w:y="1"/>
      <w:rPr>
        <w:rStyle w:val="PageNumber"/>
      </w:rPr>
    </w:pPr>
    <w:r>
      <w:rPr>
        <w:rStyle w:val="PageNumber"/>
      </w:rPr>
      <w:fldChar w:fldCharType="begin"/>
    </w:r>
    <w:r w:rsidR="005222EF">
      <w:rPr>
        <w:rStyle w:val="PageNumber"/>
      </w:rPr>
      <w:instrText xml:space="preserve">PAGE  </w:instrText>
    </w:r>
    <w:r>
      <w:rPr>
        <w:rStyle w:val="PageNumber"/>
      </w:rPr>
      <w:fldChar w:fldCharType="separate"/>
    </w:r>
    <w:r w:rsidR="00D027BF">
      <w:rPr>
        <w:rStyle w:val="PageNumber"/>
        <w:noProof/>
      </w:rPr>
      <w:t>7</w:t>
    </w:r>
    <w:r>
      <w:rPr>
        <w:rStyle w:val="PageNumber"/>
      </w:rPr>
      <w:fldChar w:fldCharType="end"/>
    </w:r>
  </w:p>
  <w:p w:rsidR="00CE1EC8" w:rsidRDefault="005636B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9A6B540"/>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sz w:val="22"/>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noPunctuationKerning/>
  <w:characterSpacingControl w:val="doNotCompress"/>
  <w:footnotePr>
    <w:footnote w:id="-1"/>
    <w:footnote w:id="0"/>
  </w:footnotePr>
  <w:endnotePr>
    <w:endnote w:id="-1"/>
    <w:endnote w:id="0"/>
  </w:endnotePr>
  <w:compat/>
  <w:rsids>
    <w:rsidRoot w:val="00C54AA7"/>
    <w:rsid w:val="000115AE"/>
    <w:rsid w:val="00017CEE"/>
    <w:rsid w:val="00021D45"/>
    <w:rsid w:val="000315DA"/>
    <w:rsid w:val="00035AB9"/>
    <w:rsid w:val="000429B6"/>
    <w:rsid w:val="000436CA"/>
    <w:rsid w:val="0004695E"/>
    <w:rsid w:val="0005085F"/>
    <w:rsid w:val="0005131E"/>
    <w:rsid w:val="00054527"/>
    <w:rsid w:val="00054FB1"/>
    <w:rsid w:val="00061235"/>
    <w:rsid w:val="00076EC1"/>
    <w:rsid w:val="0007704E"/>
    <w:rsid w:val="0009077E"/>
    <w:rsid w:val="000B1AF3"/>
    <w:rsid w:val="000B3EED"/>
    <w:rsid w:val="000B5933"/>
    <w:rsid w:val="000C18D5"/>
    <w:rsid w:val="000C6E20"/>
    <w:rsid w:val="000D0692"/>
    <w:rsid w:val="000E442F"/>
    <w:rsid w:val="000E5F8E"/>
    <w:rsid w:val="000F6964"/>
    <w:rsid w:val="00131FBE"/>
    <w:rsid w:val="00131FC4"/>
    <w:rsid w:val="00143DCB"/>
    <w:rsid w:val="00154BE6"/>
    <w:rsid w:val="00156669"/>
    <w:rsid w:val="00161E40"/>
    <w:rsid w:val="001656C0"/>
    <w:rsid w:val="001666CF"/>
    <w:rsid w:val="00172298"/>
    <w:rsid w:val="0017380C"/>
    <w:rsid w:val="00181B9D"/>
    <w:rsid w:val="00181EFF"/>
    <w:rsid w:val="001838CE"/>
    <w:rsid w:val="00183D5D"/>
    <w:rsid w:val="001849EF"/>
    <w:rsid w:val="001902CE"/>
    <w:rsid w:val="00191C9F"/>
    <w:rsid w:val="001968E9"/>
    <w:rsid w:val="001A24D8"/>
    <w:rsid w:val="001B680D"/>
    <w:rsid w:val="001C72A6"/>
    <w:rsid w:val="001E3D8A"/>
    <w:rsid w:val="001F7FF6"/>
    <w:rsid w:val="00210E6F"/>
    <w:rsid w:val="00227FC7"/>
    <w:rsid w:val="00230772"/>
    <w:rsid w:val="00240FBE"/>
    <w:rsid w:val="00243DA5"/>
    <w:rsid w:val="00255199"/>
    <w:rsid w:val="00261037"/>
    <w:rsid w:val="00261CB3"/>
    <w:rsid w:val="0028388D"/>
    <w:rsid w:val="00293860"/>
    <w:rsid w:val="0029400B"/>
    <w:rsid w:val="002B1CA7"/>
    <w:rsid w:val="002F0FE4"/>
    <w:rsid w:val="0030576C"/>
    <w:rsid w:val="0038290B"/>
    <w:rsid w:val="003951CF"/>
    <w:rsid w:val="003A31E4"/>
    <w:rsid w:val="003A7CE1"/>
    <w:rsid w:val="003B4850"/>
    <w:rsid w:val="003C100A"/>
    <w:rsid w:val="003C55C6"/>
    <w:rsid w:val="003D1D46"/>
    <w:rsid w:val="003D2F03"/>
    <w:rsid w:val="003D7E8F"/>
    <w:rsid w:val="004045C0"/>
    <w:rsid w:val="00405B5F"/>
    <w:rsid w:val="00472CF3"/>
    <w:rsid w:val="00486CA7"/>
    <w:rsid w:val="00493B3D"/>
    <w:rsid w:val="004B1055"/>
    <w:rsid w:val="004D04D6"/>
    <w:rsid w:val="004E2685"/>
    <w:rsid w:val="004E595E"/>
    <w:rsid w:val="004E6A81"/>
    <w:rsid w:val="00507D92"/>
    <w:rsid w:val="00511AEE"/>
    <w:rsid w:val="005123EA"/>
    <w:rsid w:val="0051575D"/>
    <w:rsid w:val="005222EF"/>
    <w:rsid w:val="00522CDF"/>
    <w:rsid w:val="00523292"/>
    <w:rsid w:val="00527035"/>
    <w:rsid w:val="00530FDD"/>
    <w:rsid w:val="005339B9"/>
    <w:rsid w:val="00542B0C"/>
    <w:rsid w:val="00545E96"/>
    <w:rsid w:val="00552206"/>
    <w:rsid w:val="005636B2"/>
    <w:rsid w:val="00565CD2"/>
    <w:rsid w:val="005661F4"/>
    <w:rsid w:val="0057335D"/>
    <w:rsid w:val="005820F4"/>
    <w:rsid w:val="005822DF"/>
    <w:rsid w:val="00596481"/>
    <w:rsid w:val="005A0490"/>
    <w:rsid w:val="005A3530"/>
    <w:rsid w:val="005A526D"/>
    <w:rsid w:val="005D3376"/>
    <w:rsid w:val="005D6548"/>
    <w:rsid w:val="005E0AC9"/>
    <w:rsid w:val="005E0FFF"/>
    <w:rsid w:val="006009EC"/>
    <w:rsid w:val="00611476"/>
    <w:rsid w:val="006136FC"/>
    <w:rsid w:val="0064387A"/>
    <w:rsid w:val="00644A50"/>
    <w:rsid w:val="00651E98"/>
    <w:rsid w:val="00652182"/>
    <w:rsid w:val="006620BD"/>
    <w:rsid w:val="00662E27"/>
    <w:rsid w:val="006655A2"/>
    <w:rsid w:val="00665E62"/>
    <w:rsid w:val="00683D6B"/>
    <w:rsid w:val="006870E4"/>
    <w:rsid w:val="00687C6D"/>
    <w:rsid w:val="006A29AD"/>
    <w:rsid w:val="006A3B48"/>
    <w:rsid w:val="006B0A92"/>
    <w:rsid w:val="006D20F1"/>
    <w:rsid w:val="006D611B"/>
    <w:rsid w:val="006F124D"/>
    <w:rsid w:val="006F7153"/>
    <w:rsid w:val="00702625"/>
    <w:rsid w:val="00704FDF"/>
    <w:rsid w:val="0070773F"/>
    <w:rsid w:val="0073656F"/>
    <w:rsid w:val="00747638"/>
    <w:rsid w:val="00757CE1"/>
    <w:rsid w:val="0077346B"/>
    <w:rsid w:val="0077352E"/>
    <w:rsid w:val="00774FB4"/>
    <w:rsid w:val="0077731E"/>
    <w:rsid w:val="0078721E"/>
    <w:rsid w:val="00792CD4"/>
    <w:rsid w:val="00794EBA"/>
    <w:rsid w:val="007A5DE1"/>
    <w:rsid w:val="007B029F"/>
    <w:rsid w:val="007B3D9B"/>
    <w:rsid w:val="007B6485"/>
    <w:rsid w:val="007B6802"/>
    <w:rsid w:val="007C4C6E"/>
    <w:rsid w:val="007E19B4"/>
    <w:rsid w:val="00802489"/>
    <w:rsid w:val="00807FDD"/>
    <w:rsid w:val="00810D9A"/>
    <w:rsid w:val="008167D8"/>
    <w:rsid w:val="008313AE"/>
    <w:rsid w:val="00836C5E"/>
    <w:rsid w:val="008422EC"/>
    <w:rsid w:val="00850822"/>
    <w:rsid w:val="00850BCE"/>
    <w:rsid w:val="00863E06"/>
    <w:rsid w:val="00866C22"/>
    <w:rsid w:val="00874454"/>
    <w:rsid w:val="00880010"/>
    <w:rsid w:val="0088493B"/>
    <w:rsid w:val="008875A0"/>
    <w:rsid w:val="008911BE"/>
    <w:rsid w:val="008A7D0F"/>
    <w:rsid w:val="008B659D"/>
    <w:rsid w:val="008B7564"/>
    <w:rsid w:val="008C6D3A"/>
    <w:rsid w:val="008D459B"/>
    <w:rsid w:val="0090082E"/>
    <w:rsid w:val="00900A84"/>
    <w:rsid w:val="0092519B"/>
    <w:rsid w:val="00930319"/>
    <w:rsid w:val="00936424"/>
    <w:rsid w:val="00940C1C"/>
    <w:rsid w:val="00943B99"/>
    <w:rsid w:val="00966726"/>
    <w:rsid w:val="0096684B"/>
    <w:rsid w:val="00973604"/>
    <w:rsid w:val="009B2177"/>
    <w:rsid w:val="009C1296"/>
    <w:rsid w:val="009C152C"/>
    <w:rsid w:val="009D7833"/>
    <w:rsid w:val="009E2851"/>
    <w:rsid w:val="009E4A81"/>
    <w:rsid w:val="009F17CE"/>
    <w:rsid w:val="00A063CC"/>
    <w:rsid w:val="00A1051A"/>
    <w:rsid w:val="00A158D4"/>
    <w:rsid w:val="00A16CF8"/>
    <w:rsid w:val="00A22974"/>
    <w:rsid w:val="00A37C10"/>
    <w:rsid w:val="00A37FD4"/>
    <w:rsid w:val="00A4457E"/>
    <w:rsid w:val="00A452C5"/>
    <w:rsid w:val="00A4633C"/>
    <w:rsid w:val="00A50DE7"/>
    <w:rsid w:val="00A522C6"/>
    <w:rsid w:val="00A57ABA"/>
    <w:rsid w:val="00A61597"/>
    <w:rsid w:val="00A61F69"/>
    <w:rsid w:val="00A6602C"/>
    <w:rsid w:val="00A826C1"/>
    <w:rsid w:val="00A92CEC"/>
    <w:rsid w:val="00A9338C"/>
    <w:rsid w:val="00A94ADE"/>
    <w:rsid w:val="00AA30C4"/>
    <w:rsid w:val="00AB5596"/>
    <w:rsid w:val="00AC79AD"/>
    <w:rsid w:val="00AD76B6"/>
    <w:rsid w:val="00AE4FE6"/>
    <w:rsid w:val="00B02201"/>
    <w:rsid w:val="00B1560F"/>
    <w:rsid w:val="00B20793"/>
    <w:rsid w:val="00B209AA"/>
    <w:rsid w:val="00B30714"/>
    <w:rsid w:val="00B44AB1"/>
    <w:rsid w:val="00B47B92"/>
    <w:rsid w:val="00B75595"/>
    <w:rsid w:val="00B75C7B"/>
    <w:rsid w:val="00B767DE"/>
    <w:rsid w:val="00B9092C"/>
    <w:rsid w:val="00BA58E5"/>
    <w:rsid w:val="00BB2C96"/>
    <w:rsid w:val="00BD36AD"/>
    <w:rsid w:val="00BD4777"/>
    <w:rsid w:val="00C063C8"/>
    <w:rsid w:val="00C146D8"/>
    <w:rsid w:val="00C27F78"/>
    <w:rsid w:val="00C321ED"/>
    <w:rsid w:val="00C4493B"/>
    <w:rsid w:val="00C54AA7"/>
    <w:rsid w:val="00C631FF"/>
    <w:rsid w:val="00C8533B"/>
    <w:rsid w:val="00C957D9"/>
    <w:rsid w:val="00CA1607"/>
    <w:rsid w:val="00CD502C"/>
    <w:rsid w:val="00CF5C73"/>
    <w:rsid w:val="00D027BF"/>
    <w:rsid w:val="00D02A89"/>
    <w:rsid w:val="00D036FA"/>
    <w:rsid w:val="00D132D3"/>
    <w:rsid w:val="00D17976"/>
    <w:rsid w:val="00D245F5"/>
    <w:rsid w:val="00D30B72"/>
    <w:rsid w:val="00D40BE3"/>
    <w:rsid w:val="00D571CC"/>
    <w:rsid w:val="00D579F5"/>
    <w:rsid w:val="00D75615"/>
    <w:rsid w:val="00D91012"/>
    <w:rsid w:val="00DA6783"/>
    <w:rsid w:val="00DC6478"/>
    <w:rsid w:val="00DD44A7"/>
    <w:rsid w:val="00DD4DA4"/>
    <w:rsid w:val="00DE6C69"/>
    <w:rsid w:val="00E0255E"/>
    <w:rsid w:val="00E112A1"/>
    <w:rsid w:val="00E11534"/>
    <w:rsid w:val="00E11CA6"/>
    <w:rsid w:val="00E221AF"/>
    <w:rsid w:val="00E50936"/>
    <w:rsid w:val="00E64C7A"/>
    <w:rsid w:val="00E67976"/>
    <w:rsid w:val="00E7470D"/>
    <w:rsid w:val="00E774C9"/>
    <w:rsid w:val="00E83934"/>
    <w:rsid w:val="00E974F2"/>
    <w:rsid w:val="00EA2D3B"/>
    <w:rsid w:val="00ED77C8"/>
    <w:rsid w:val="00EE12AB"/>
    <w:rsid w:val="00EF02A8"/>
    <w:rsid w:val="00EF3C97"/>
    <w:rsid w:val="00F05509"/>
    <w:rsid w:val="00F11DA1"/>
    <w:rsid w:val="00F1699B"/>
    <w:rsid w:val="00F44EAC"/>
    <w:rsid w:val="00F6125D"/>
    <w:rsid w:val="00F74FA7"/>
    <w:rsid w:val="00F81A53"/>
    <w:rsid w:val="00FB2220"/>
    <w:rsid w:val="00FB2906"/>
    <w:rsid w:val="00FD006B"/>
    <w:rsid w:val="00FE3F94"/>
    <w:rsid w:val="00FE4FBE"/>
    <w:rsid w:val="00FF0B9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AA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pacebefore12pt">
    <w:name w:val="Normal + Space before 12pt"/>
    <w:basedOn w:val="Normal"/>
    <w:rsid w:val="00C54AA7"/>
    <w:pPr>
      <w:spacing w:before="240"/>
    </w:pPr>
  </w:style>
  <w:style w:type="paragraph" w:styleId="BodyText">
    <w:name w:val="Body Text"/>
    <w:link w:val="BodyTextChar"/>
    <w:semiHidden/>
    <w:rsid w:val="00C54AA7"/>
    <w:pPr>
      <w:overflowPunct w:val="0"/>
      <w:autoSpaceDE w:val="0"/>
      <w:autoSpaceDN w:val="0"/>
      <w:adjustRightInd w:val="0"/>
      <w:spacing w:before="40" w:after="160" w:line="300" w:lineRule="atLeast"/>
    </w:pPr>
    <w:rPr>
      <w:color w:val="000000"/>
      <w:sz w:val="24"/>
      <w:lang w:eastAsia="en-US"/>
    </w:rPr>
  </w:style>
  <w:style w:type="character" w:customStyle="1" w:styleId="BodyTextChar">
    <w:name w:val="Body Text Char"/>
    <w:basedOn w:val="DefaultParagraphFont"/>
    <w:link w:val="BodyText"/>
    <w:semiHidden/>
    <w:rsid w:val="00C54AA7"/>
    <w:rPr>
      <w:color w:val="000000"/>
      <w:sz w:val="24"/>
      <w:lang w:eastAsia="en-US"/>
    </w:rPr>
  </w:style>
  <w:style w:type="paragraph" w:styleId="BodyTextIndent">
    <w:name w:val="Body Text Indent"/>
    <w:basedOn w:val="Normal"/>
    <w:link w:val="BodyTextIndentChar"/>
    <w:semiHidden/>
    <w:rsid w:val="00C54AA7"/>
    <w:pPr>
      <w:overflowPunct w:val="0"/>
      <w:autoSpaceDE w:val="0"/>
      <w:autoSpaceDN w:val="0"/>
      <w:adjustRightInd w:val="0"/>
      <w:ind w:left="709" w:hanging="709"/>
      <w:textAlignment w:val="baseline"/>
    </w:pPr>
    <w:rPr>
      <w:szCs w:val="20"/>
    </w:rPr>
  </w:style>
  <w:style w:type="character" w:customStyle="1" w:styleId="BodyTextIndentChar">
    <w:name w:val="Body Text Indent Char"/>
    <w:basedOn w:val="DefaultParagraphFont"/>
    <w:link w:val="BodyTextIndent"/>
    <w:semiHidden/>
    <w:rsid w:val="00C54AA7"/>
    <w:rPr>
      <w:sz w:val="24"/>
      <w:lang w:eastAsia="en-US"/>
    </w:rPr>
  </w:style>
  <w:style w:type="character" w:styleId="Hyperlink">
    <w:name w:val="Hyperlink"/>
    <w:basedOn w:val="DefaultParagraphFont"/>
    <w:semiHidden/>
    <w:rsid w:val="00C54AA7"/>
    <w:rPr>
      <w:color w:val="0000FF"/>
      <w:u w:val="single"/>
    </w:rPr>
  </w:style>
  <w:style w:type="paragraph" w:styleId="Header">
    <w:name w:val="header"/>
    <w:basedOn w:val="Normal"/>
    <w:link w:val="HeaderChar"/>
    <w:uiPriority w:val="99"/>
    <w:rsid w:val="00C54AA7"/>
    <w:pPr>
      <w:tabs>
        <w:tab w:val="center" w:pos="4153"/>
        <w:tab w:val="right" w:pos="8306"/>
      </w:tabs>
    </w:pPr>
  </w:style>
  <w:style w:type="character" w:customStyle="1" w:styleId="HeaderChar">
    <w:name w:val="Header Char"/>
    <w:basedOn w:val="DefaultParagraphFont"/>
    <w:link w:val="Header"/>
    <w:uiPriority w:val="99"/>
    <w:rsid w:val="00C54AA7"/>
    <w:rPr>
      <w:sz w:val="24"/>
      <w:szCs w:val="24"/>
      <w:lang w:eastAsia="en-US"/>
    </w:rPr>
  </w:style>
  <w:style w:type="character" w:styleId="PageNumber">
    <w:name w:val="page number"/>
    <w:basedOn w:val="DefaultParagraphFont"/>
    <w:semiHidden/>
    <w:rsid w:val="00C54AA7"/>
  </w:style>
  <w:style w:type="paragraph" w:styleId="BalloonText">
    <w:name w:val="Balloon Text"/>
    <w:basedOn w:val="Normal"/>
    <w:link w:val="BalloonTextChar"/>
    <w:uiPriority w:val="99"/>
    <w:semiHidden/>
    <w:unhideWhenUsed/>
    <w:rsid w:val="00C146D8"/>
    <w:rPr>
      <w:rFonts w:ascii="Tahoma" w:hAnsi="Tahoma" w:cs="Tahoma"/>
      <w:sz w:val="16"/>
      <w:szCs w:val="16"/>
    </w:rPr>
  </w:style>
  <w:style w:type="character" w:customStyle="1" w:styleId="BalloonTextChar">
    <w:name w:val="Balloon Text Char"/>
    <w:basedOn w:val="DefaultParagraphFont"/>
    <w:link w:val="BalloonText"/>
    <w:uiPriority w:val="99"/>
    <w:semiHidden/>
    <w:rsid w:val="00C146D8"/>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rli.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9DE36-3D9C-47BB-989B-B79F6167D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2404</TotalTime>
  <Pages>7</Pages>
  <Words>1970</Words>
  <Characters>11231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13175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Moodie</dc:creator>
  <cp:keywords/>
  <dc:description/>
  <cp:lastModifiedBy>Grant Moodie</cp:lastModifiedBy>
  <cp:revision>83</cp:revision>
  <cp:lastPrinted>2013-09-17T05:14:00Z</cp:lastPrinted>
  <dcterms:created xsi:type="dcterms:W3CDTF">2013-07-16T05:40:00Z</dcterms:created>
  <dcterms:modified xsi:type="dcterms:W3CDTF">2013-09-25T06:55:00Z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A3895527</vt:lpwstr>
  </property>
  <property fmtid="{D5CDD505-2E9C-101B-9397-08002B2CF9AE}" pid="4" name="Objective-Title">
    <vt:lpwstr>Class Order CO 13-1128</vt:lpwstr>
  </property>
  <property fmtid="{D5CDD505-2E9C-101B-9397-08002B2CF9AE}" pid="5" name="Objective-Comment">
    <vt:lpwstr/>
  </property>
  <property fmtid="{D5CDD505-2E9C-101B-9397-08002B2CF9AE}" pid="6" name="Objective-CreationStamp">
    <vt:filetime>2013-07-16T06:31:34Z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2013-09-25T07:12:15Z</vt:filetime>
  </property>
  <property fmtid="{D5CDD505-2E9C-101B-9397-08002B2CF9AE}" pid="10" name="Objective-ModificationStamp">
    <vt:filetime>2013-09-25T07:12:15Z</vt:filetime>
  </property>
  <property fmtid="{D5CDD505-2E9C-101B-9397-08002B2CF9AE}" pid="11" name="Objective-Owner">
    <vt:lpwstr>Grant Moodie</vt:lpwstr>
  </property>
  <property fmtid="{D5CDD505-2E9C-101B-9397-08002B2CF9AE}" pid="12" name="Objective-Path">
    <vt:lpwstr>ASIC BCS:LEGAL SERVICES:Advice:Class Orders:Class Orders 2013:</vt:lpwstr>
  </property>
  <property fmtid="{D5CDD505-2E9C-101B-9397-08002B2CF9AE}" pid="13" name="Objective-Parent">
    <vt:lpwstr>Class Orders 2013</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33</vt:i4>
  </property>
  <property fmtid="{D5CDD505-2E9C-101B-9397-08002B2CF9AE}" pid="17" name="Objective-VersionComment">
    <vt:lpwstr/>
  </property>
  <property fmtid="{D5CDD505-2E9C-101B-9397-08002B2CF9AE}" pid="18" name="Objective-FileNumber">
    <vt:lpwstr>2012 - 006258</vt:lpwstr>
  </property>
  <property fmtid="{D5CDD505-2E9C-101B-9397-08002B2CF9AE}" pid="19" name="Objective-Classification">
    <vt:lpwstr>[Inherited - IN-CONFIDENCE]</vt:lpwstr>
  </property>
  <property fmtid="{D5CDD505-2E9C-101B-9397-08002B2CF9AE}" pid="20" name="Objective-Caveats">
    <vt:lpwstr/>
  </property>
  <property fmtid="{D5CDD505-2E9C-101B-9397-08002B2CF9AE}" pid="21" name="Objective-Category [system]">
    <vt:lpwstr/>
  </property>
</Properties>
</file>