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69" w:rsidRPr="00085819" w:rsidRDefault="00741069" w:rsidP="00741069">
      <w:pPr>
        <w:rPr>
          <w:rFonts w:cs="Times New Roman"/>
          <w:sz w:val="28"/>
        </w:rPr>
      </w:pPr>
      <w:r w:rsidRPr="00085819">
        <w:rPr>
          <w:rFonts w:cs="Times New Roman"/>
          <w:noProof/>
          <w:lang w:eastAsia="en-AU"/>
        </w:rPr>
        <w:drawing>
          <wp:inline distT="0" distB="0" distL="0" distR="0" wp14:anchorId="46F090B0" wp14:editId="15EB7A1F">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rsidR="00741069" w:rsidRPr="00085819" w:rsidRDefault="00EC78E0" w:rsidP="00741069">
      <w:pPr>
        <w:pStyle w:val="ShortT"/>
        <w:spacing w:before="240"/>
      </w:pPr>
      <w:r w:rsidRPr="00375484">
        <w:t>Determination under subsection 24(3)</w:t>
      </w:r>
      <w:r>
        <w:t xml:space="preserve"> - </w:t>
      </w:r>
      <w:r w:rsidR="00B36DD3">
        <w:br/>
      </w:r>
      <w:r w:rsidR="005829ED" w:rsidRPr="005829ED">
        <w:t>Non</w:t>
      </w:r>
      <w:r w:rsidR="00C772C1">
        <w:t>-</w:t>
      </w:r>
      <w:r w:rsidR="005829ED" w:rsidRPr="005829ED">
        <w:t>SES employees moved between APS agencies to give effect to the Administrative Arrangements Orders made by the Governor-General in Council on 18 September 2013</w:t>
      </w:r>
    </w:p>
    <w:p w:rsidR="00741069" w:rsidRPr="00085819" w:rsidRDefault="00741069" w:rsidP="00741069">
      <w:pPr>
        <w:pStyle w:val="CompiledActNo"/>
        <w:spacing w:before="240"/>
      </w:pPr>
      <w:r w:rsidRPr="00085819">
        <w:t>as amended</w:t>
      </w:r>
    </w:p>
    <w:p w:rsidR="00741069" w:rsidRPr="00085819" w:rsidRDefault="00741069" w:rsidP="00741069">
      <w:pPr>
        <w:pStyle w:val="MadeunderText"/>
      </w:pPr>
      <w:r w:rsidRPr="00085819">
        <w:t xml:space="preserve">made under </w:t>
      </w:r>
      <w:r>
        <w:t>section 24(3)</w:t>
      </w:r>
      <w:r w:rsidRPr="00085819">
        <w:t xml:space="preserve"> of the</w:t>
      </w:r>
    </w:p>
    <w:p w:rsidR="00741069" w:rsidRPr="00085819" w:rsidRDefault="00741069" w:rsidP="00741069">
      <w:pPr>
        <w:pStyle w:val="CompiledMadeUnder"/>
        <w:spacing w:before="240"/>
      </w:pPr>
      <w:r>
        <w:t>Public Service Act 1999</w:t>
      </w:r>
    </w:p>
    <w:p w:rsidR="00741069" w:rsidRPr="00085819" w:rsidRDefault="00741069" w:rsidP="00C90C20">
      <w:pPr>
        <w:spacing w:before="1000"/>
        <w:ind w:left="3686" w:hanging="3686"/>
        <w:rPr>
          <w:rFonts w:cs="Times New Roman"/>
          <w:sz w:val="24"/>
        </w:rPr>
      </w:pPr>
      <w:r w:rsidRPr="00085819">
        <w:rPr>
          <w:rFonts w:cs="Times New Roman"/>
          <w:b/>
          <w:sz w:val="24"/>
        </w:rPr>
        <w:t>Compilation start date:</w:t>
      </w:r>
      <w:r w:rsidRPr="00085819">
        <w:rPr>
          <w:rFonts w:cs="Times New Roman"/>
          <w:b/>
          <w:sz w:val="24"/>
        </w:rPr>
        <w:tab/>
      </w:r>
      <w:r w:rsidR="00087AE9">
        <w:rPr>
          <w:rFonts w:cs="Times New Roman"/>
          <w:szCs w:val="22"/>
        </w:rPr>
        <w:t>30 January 2014</w:t>
      </w:r>
    </w:p>
    <w:p w:rsidR="00741069" w:rsidRPr="00085819" w:rsidRDefault="00741069" w:rsidP="00EC78E0">
      <w:pPr>
        <w:spacing w:before="240"/>
        <w:ind w:left="3686" w:hanging="3686"/>
        <w:rPr>
          <w:rFonts w:cs="Times New Roman"/>
          <w:sz w:val="24"/>
        </w:rPr>
      </w:pPr>
      <w:r w:rsidRPr="00085819">
        <w:rPr>
          <w:rFonts w:cs="Times New Roman"/>
          <w:b/>
          <w:sz w:val="24"/>
        </w:rPr>
        <w:t>Includes amendments up to:</w:t>
      </w:r>
      <w:r w:rsidRPr="00085819">
        <w:rPr>
          <w:rFonts w:cs="Times New Roman"/>
          <w:b/>
          <w:sz w:val="24"/>
        </w:rPr>
        <w:tab/>
      </w:r>
      <w:r w:rsidR="00C90C20" w:rsidRPr="000E6727">
        <w:rPr>
          <w:rFonts w:cs="Times New Roman"/>
          <w:sz w:val="24"/>
        </w:rPr>
        <w:t xml:space="preserve">Determination under subsection 24(3) – </w:t>
      </w:r>
      <w:r w:rsidR="00A079A9">
        <w:rPr>
          <w:rFonts w:cs="Times New Roman"/>
          <w:sz w:val="24"/>
        </w:rPr>
        <w:t>Non-</w:t>
      </w:r>
      <w:r w:rsidR="00C90C20" w:rsidRPr="000E6727">
        <w:rPr>
          <w:rFonts w:cs="Times New Roman"/>
          <w:sz w:val="24"/>
        </w:rPr>
        <w:t>SES employees - amendment of determination of 18 September 2013 (No.</w:t>
      </w:r>
      <w:r w:rsidR="00E832E8">
        <w:rPr>
          <w:rFonts w:cs="Times New Roman"/>
          <w:sz w:val="24"/>
        </w:rPr>
        <w:t xml:space="preserve"> </w:t>
      </w:r>
      <w:r w:rsidR="00087AE9">
        <w:rPr>
          <w:rFonts w:cs="Times New Roman"/>
          <w:sz w:val="24"/>
        </w:rPr>
        <w:t>2</w:t>
      </w:r>
      <w:r w:rsidR="00C90C20" w:rsidRPr="000E6727">
        <w:rPr>
          <w:rFonts w:cs="Times New Roman"/>
          <w:sz w:val="24"/>
        </w:rPr>
        <w:t>)</w:t>
      </w:r>
    </w:p>
    <w:p w:rsidR="00741069" w:rsidRPr="00085819" w:rsidRDefault="00741069" w:rsidP="00741069">
      <w:pPr>
        <w:pageBreakBefore/>
        <w:rPr>
          <w:rFonts w:cs="Times New Roman"/>
          <w:b/>
          <w:sz w:val="32"/>
          <w:szCs w:val="32"/>
        </w:rPr>
      </w:pPr>
      <w:r w:rsidRPr="00085819">
        <w:rPr>
          <w:rFonts w:cs="Times New Roman"/>
          <w:b/>
          <w:sz w:val="32"/>
          <w:szCs w:val="32"/>
        </w:rPr>
        <w:lastRenderedPageBreak/>
        <w:t>About this compilation</w:t>
      </w:r>
    </w:p>
    <w:p w:rsidR="00741069" w:rsidRPr="00085819" w:rsidRDefault="00741069" w:rsidP="00741069">
      <w:pPr>
        <w:spacing w:before="240"/>
        <w:rPr>
          <w:rFonts w:cs="Times New Roman"/>
          <w:szCs w:val="22"/>
        </w:rPr>
      </w:pPr>
      <w:r w:rsidRPr="00085819">
        <w:rPr>
          <w:rFonts w:cs="Times New Roman"/>
          <w:b/>
          <w:szCs w:val="22"/>
        </w:rPr>
        <w:t>This compilation</w:t>
      </w:r>
    </w:p>
    <w:p w:rsidR="00741069" w:rsidRPr="00085819" w:rsidRDefault="00741069" w:rsidP="00741069">
      <w:pPr>
        <w:spacing w:before="120" w:after="120" w:line="240" w:lineRule="auto"/>
        <w:rPr>
          <w:rFonts w:cs="Times New Roman"/>
          <w:szCs w:val="22"/>
        </w:rPr>
      </w:pPr>
      <w:r w:rsidRPr="00085819">
        <w:rPr>
          <w:rFonts w:cs="Times New Roman"/>
          <w:szCs w:val="22"/>
        </w:rPr>
        <w:t xml:space="preserve">This is a compilation of the </w:t>
      </w:r>
      <w:r w:rsidR="00FC3D10" w:rsidRPr="00AE215C">
        <w:rPr>
          <w:i/>
          <w:szCs w:val="22"/>
        </w:rPr>
        <w:fldChar w:fldCharType="begin"/>
      </w:r>
      <w:r w:rsidR="00FC3D10" w:rsidRPr="00AE215C">
        <w:rPr>
          <w:i/>
          <w:szCs w:val="22"/>
        </w:rPr>
        <w:instrText xml:space="preserve"> DOCPROPERTY ShortT </w:instrText>
      </w:r>
      <w:r w:rsidR="00FC3D10" w:rsidRPr="00AE215C">
        <w:rPr>
          <w:i/>
          <w:szCs w:val="22"/>
        </w:rPr>
        <w:fldChar w:fldCharType="separate"/>
      </w:r>
      <w:r w:rsidR="00087AE9">
        <w:rPr>
          <w:i/>
          <w:szCs w:val="22"/>
        </w:rPr>
        <w:t>Determination under subsection 24(3) - Non-SES employees moved between APS agencies to give effect to the Administrative Arrangements Orders made by the Governor-General in Council on 18 September 2013</w:t>
      </w:r>
      <w:r w:rsidR="00FC3D10" w:rsidRPr="00AE215C">
        <w:rPr>
          <w:i/>
          <w:szCs w:val="22"/>
        </w:rPr>
        <w:fldChar w:fldCharType="end"/>
      </w:r>
      <w:r w:rsidRPr="00AE215C">
        <w:rPr>
          <w:rFonts w:cs="Times New Roman"/>
          <w:szCs w:val="22"/>
        </w:rPr>
        <w:t xml:space="preserve"> </w:t>
      </w:r>
      <w:r w:rsidRPr="00085819">
        <w:rPr>
          <w:rFonts w:cs="Times New Roman"/>
          <w:szCs w:val="22"/>
        </w:rPr>
        <w:t xml:space="preserve">as in force on </w:t>
      </w:r>
      <w:r w:rsidR="00087AE9">
        <w:rPr>
          <w:rFonts w:cs="Times New Roman"/>
          <w:szCs w:val="22"/>
        </w:rPr>
        <w:t>30 January 2014</w:t>
      </w:r>
      <w:r w:rsidR="00D76BA7">
        <w:rPr>
          <w:rFonts w:cs="Times New Roman"/>
          <w:szCs w:val="22"/>
        </w:rPr>
        <w:t>.</w:t>
      </w:r>
      <w:r w:rsidR="00C90C20">
        <w:rPr>
          <w:rFonts w:cs="Times New Roman"/>
          <w:szCs w:val="22"/>
        </w:rPr>
        <w:t xml:space="preserve"> </w:t>
      </w:r>
      <w:r w:rsidRPr="00085819">
        <w:rPr>
          <w:rFonts w:cs="Times New Roman"/>
          <w:szCs w:val="22"/>
        </w:rPr>
        <w:t>It includes any commenced amendment affecting the legislation to that date.</w:t>
      </w:r>
    </w:p>
    <w:p w:rsidR="00741069" w:rsidRPr="00085819" w:rsidRDefault="00741069" w:rsidP="00741069">
      <w:pPr>
        <w:spacing w:after="120" w:line="240" w:lineRule="auto"/>
        <w:rPr>
          <w:rFonts w:cs="Times New Roman"/>
          <w:szCs w:val="22"/>
        </w:rPr>
      </w:pPr>
      <w:r w:rsidRPr="00085819">
        <w:rPr>
          <w:rFonts w:cs="Times New Roman"/>
          <w:szCs w:val="22"/>
        </w:rPr>
        <w:t xml:space="preserve">This compilation was prepared on </w:t>
      </w:r>
      <w:r w:rsidR="00087AE9">
        <w:rPr>
          <w:rFonts w:cs="Times New Roman"/>
          <w:szCs w:val="22"/>
        </w:rPr>
        <w:t>30 January 2014</w:t>
      </w:r>
      <w:r w:rsidRPr="00085819">
        <w:rPr>
          <w:rFonts w:cs="Times New Roman"/>
          <w:szCs w:val="22"/>
        </w:rPr>
        <w:t>.</w:t>
      </w:r>
    </w:p>
    <w:p w:rsidR="00741069" w:rsidRPr="00085819" w:rsidRDefault="00741069" w:rsidP="00741069">
      <w:pPr>
        <w:spacing w:after="120" w:line="240" w:lineRule="auto"/>
        <w:rPr>
          <w:rFonts w:cs="Times New Roman"/>
          <w:szCs w:val="22"/>
        </w:rPr>
      </w:pPr>
      <w:r w:rsidRPr="00085819">
        <w:rPr>
          <w:rFonts w:cs="Times New Roman"/>
          <w:szCs w:val="22"/>
        </w:rPr>
        <w:t xml:space="preserve">The notes at the end of this compilation (the </w:t>
      </w:r>
      <w:r w:rsidRPr="00085819">
        <w:rPr>
          <w:rFonts w:cs="Times New Roman"/>
          <w:b/>
          <w:i/>
          <w:szCs w:val="22"/>
        </w:rPr>
        <w:t>endnotes</w:t>
      </w:r>
      <w:r w:rsidRPr="00085819">
        <w:rPr>
          <w:rFonts w:cs="Times New Roman"/>
          <w:szCs w:val="22"/>
        </w:rPr>
        <w:t>) include information about amending laws and the amendment history of each amended provision.</w:t>
      </w:r>
    </w:p>
    <w:p w:rsidR="00741069" w:rsidRPr="00085819" w:rsidRDefault="00741069" w:rsidP="00741069">
      <w:pPr>
        <w:tabs>
          <w:tab w:val="left" w:pos="5640"/>
        </w:tabs>
        <w:spacing w:before="120" w:after="120" w:line="240" w:lineRule="auto"/>
        <w:rPr>
          <w:rFonts w:cs="Times New Roman"/>
          <w:b/>
          <w:szCs w:val="22"/>
        </w:rPr>
      </w:pPr>
      <w:proofErr w:type="spellStart"/>
      <w:r w:rsidRPr="00085819">
        <w:rPr>
          <w:rFonts w:cs="Times New Roman"/>
          <w:b/>
          <w:szCs w:val="22"/>
        </w:rPr>
        <w:t>Uncommenced</w:t>
      </w:r>
      <w:proofErr w:type="spellEnd"/>
      <w:r w:rsidRPr="00085819">
        <w:rPr>
          <w:rFonts w:cs="Times New Roman"/>
          <w:b/>
          <w:szCs w:val="22"/>
        </w:rPr>
        <w:t xml:space="preserve"> amendments</w:t>
      </w:r>
    </w:p>
    <w:p w:rsidR="00741069" w:rsidRPr="00085819" w:rsidRDefault="00741069" w:rsidP="00741069">
      <w:pPr>
        <w:spacing w:after="120" w:line="240" w:lineRule="auto"/>
        <w:rPr>
          <w:rFonts w:cs="Times New Roman"/>
          <w:szCs w:val="22"/>
        </w:rPr>
      </w:pPr>
      <w:r w:rsidRPr="00085819">
        <w:rPr>
          <w:rFonts w:cs="Times New Roman"/>
          <w:szCs w:val="22"/>
        </w:rPr>
        <w:t xml:space="preserve">The effect of </w:t>
      </w:r>
      <w:proofErr w:type="spellStart"/>
      <w:r w:rsidRPr="00085819">
        <w:rPr>
          <w:rFonts w:cs="Times New Roman"/>
          <w:szCs w:val="22"/>
        </w:rPr>
        <w:t>uncommenced</w:t>
      </w:r>
      <w:proofErr w:type="spellEnd"/>
      <w:r w:rsidRPr="00085819">
        <w:rPr>
          <w:rFonts w:cs="Times New Roman"/>
          <w:szCs w:val="22"/>
        </w:rPr>
        <w:t xml:space="preserve"> amendments is not reflected in the text of the compiled law but the text of the amendments is included in the endnotes.</w:t>
      </w:r>
    </w:p>
    <w:p w:rsidR="00741069" w:rsidRPr="00085819" w:rsidRDefault="00741069" w:rsidP="00741069">
      <w:pPr>
        <w:spacing w:before="120" w:after="120" w:line="240" w:lineRule="auto"/>
        <w:rPr>
          <w:rFonts w:cs="Times New Roman"/>
          <w:b/>
          <w:szCs w:val="22"/>
        </w:rPr>
      </w:pPr>
      <w:r w:rsidRPr="00085819">
        <w:rPr>
          <w:rFonts w:cs="Times New Roman"/>
          <w:b/>
          <w:szCs w:val="22"/>
        </w:rPr>
        <w:t>Application, saving and transitional provisions for provisions and amendments</w:t>
      </w:r>
    </w:p>
    <w:p w:rsidR="00741069" w:rsidRPr="00085819" w:rsidRDefault="00741069" w:rsidP="00741069">
      <w:pPr>
        <w:spacing w:after="120"/>
        <w:rPr>
          <w:rFonts w:cs="Times New Roman"/>
          <w:szCs w:val="22"/>
        </w:rPr>
      </w:pPr>
      <w:r w:rsidRPr="00085819">
        <w:rPr>
          <w:rFonts w:cs="Times New Roman"/>
          <w:szCs w:val="22"/>
        </w:rPr>
        <w:t>If the operation of a provision or amendment is affected by an application, saving or transitional provision that is not included in this compilation, details are included in the endnotes.</w:t>
      </w:r>
    </w:p>
    <w:p w:rsidR="00741069" w:rsidRPr="00085819" w:rsidRDefault="00741069" w:rsidP="00741069">
      <w:pPr>
        <w:spacing w:before="120" w:after="120" w:line="240" w:lineRule="auto"/>
        <w:rPr>
          <w:rFonts w:cs="Times New Roman"/>
          <w:b/>
          <w:szCs w:val="22"/>
        </w:rPr>
      </w:pPr>
      <w:r w:rsidRPr="00085819">
        <w:rPr>
          <w:rFonts w:cs="Times New Roman"/>
          <w:b/>
          <w:szCs w:val="22"/>
        </w:rPr>
        <w:t>Modifications</w:t>
      </w:r>
    </w:p>
    <w:p w:rsidR="00741069" w:rsidRPr="00085819" w:rsidRDefault="00741069" w:rsidP="00741069">
      <w:pPr>
        <w:spacing w:after="120" w:line="240" w:lineRule="auto"/>
        <w:rPr>
          <w:rFonts w:cs="Times New Roman"/>
          <w:szCs w:val="22"/>
        </w:rPr>
      </w:pPr>
      <w:r w:rsidRPr="00085819">
        <w:rPr>
          <w:rFonts w:cs="Times New Roman"/>
          <w:szCs w:val="22"/>
        </w:rPr>
        <w:t xml:space="preserve">If a provision of the compiled law is affected by a modification that is in force, details are included in the endnotes. </w:t>
      </w:r>
    </w:p>
    <w:p w:rsidR="00741069" w:rsidRPr="00085819" w:rsidRDefault="00741069" w:rsidP="00741069">
      <w:pPr>
        <w:spacing w:before="80" w:after="120"/>
        <w:rPr>
          <w:rFonts w:cs="Times New Roman"/>
          <w:b/>
          <w:szCs w:val="22"/>
        </w:rPr>
      </w:pPr>
      <w:r w:rsidRPr="00085819">
        <w:rPr>
          <w:rFonts w:cs="Times New Roman"/>
          <w:b/>
          <w:szCs w:val="22"/>
        </w:rPr>
        <w:t>Provisions ceasing to have effect</w:t>
      </w:r>
    </w:p>
    <w:p w:rsidR="00741069" w:rsidRPr="00085819" w:rsidRDefault="00741069" w:rsidP="00741069">
      <w:pPr>
        <w:spacing w:after="120"/>
        <w:rPr>
          <w:rFonts w:cs="Times New Roman"/>
          <w:szCs w:val="22"/>
        </w:rPr>
      </w:pPr>
      <w:r w:rsidRPr="00085819">
        <w:rPr>
          <w:rFonts w:cs="Times New Roman"/>
          <w:szCs w:val="22"/>
        </w:rPr>
        <w:t>If a provision of the compiled law has expired or otherwise ceased to have effect in accordance with a provision of the law, details are included in the endnotes.</w:t>
      </w:r>
    </w:p>
    <w:p w:rsidR="00741069" w:rsidRPr="00085819" w:rsidRDefault="00741069" w:rsidP="00741069">
      <w:pPr>
        <w:pStyle w:val="Header"/>
        <w:tabs>
          <w:tab w:val="clear" w:pos="4150"/>
          <w:tab w:val="clear" w:pos="8307"/>
        </w:tabs>
        <w:rPr>
          <w:szCs w:val="16"/>
        </w:rPr>
      </w:pPr>
      <w:r w:rsidRPr="00085819">
        <w:rPr>
          <w:rStyle w:val="CharChapNo"/>
          <w:szCs w:val="16"/>
        </w:rPr>
        <w:t xml:space="preserve"> </w:t>
      </w:r>
      <w:r w:rsidRPr="00085819">
        <w:rPr>
          <w:rStyle w:val="CharChapText"/>
          <w:szCs w:val="16"/>
        </w:rPr>
        <w:t xml:space="preserve"> </w:t>
      </w:r>
    </w:p>
    <w:p w:rsidR="00741069" w:rsidRPr="00085819" w:rsidRDefault="00741069" w:rsidP="00741069">
      <w:pPr>
        <w:pStyle w:val="Header"/>
        <w:tabs>
          <w:tab w:val="clear" w:pos="4150"/>
          <w:tab w:val="clear" w:pos="8307"/>
        </w:tabs>
        <w:rPr>
          <w:szCs w:val="16"/>
        </w:rPr>
      </w:pPr>
      <w:r w:rsidRPr="00085819">
        <w:rPr>
          <w:rStyle w:val="CharPartNo"/>
          <w:szCs w:val="16"/>
        </w:rPr>
        <w:t xml:space="preserve"> </w:t>
      </w:r>
      <w:r w:rsidRPr="00085819">
        <w:rPr>
          <w:rStyle w:val="CharPartText"/>
          <w:szCs w:val="16"/>
        </w:rPr>
        <w:t xml:space="preserve"> </w:t>
      </w:r>
    </w:p>
    <w:p w:rsidR="00741069" w:rsidRPr="00085819" w:rsidRDefault="00741069" w:rsidP="00741069">
      <w:pPr>
        <w:pStyle w:val="Header"/>
        <w:tabs>
          <w:tab w:val="clear" w:pos="4150"/>
          <w:tab w:val="clear" w:pos="8307"/>
        </w:tabs>
        <w:rPr>
          <w:szCs w:val="16"/>
        </w:rPr>
      </w:pPr>
      <w:r w:rsidRPr="00085819">
        <w:rPr>
          <w:rStyle w:val="CharDivNo"/>
          <w:szCs w:val="16"/>
        </w:rPr>
        <w:t xml:space="preserve"> </w:t>
      </w:r>
      <w:r w:rsidRPr="00085819">
        <w:rPr>
          <w:rStyle w:val="CharDivText"/>
          <w:szCs w:val="16"/>
        </w:rPr>
        <w:t xml:space="preserve"> </w:t>
      </w:r>
    </w:p>
    <w:p w:rsidR="00741069" w:rsidRDefault="00741069" w:rsidP="00741069">
      <w:pPr>
        <w:rPr>
          <w:rFonts w:cs="Times New Roman"/>
          <w:szCs w:val="22"/>
        </w:rPr>
      </w:pPr>
    </w:p>
    <w:p w:rsidR="00741069" w:rsidRPr="00085819" w:rsidRDefault="00741069" w:rsidP="00741069">
      <w:pPr>
        <w:rPr>
          <w:rFonts w:cs="Times New Roman"/>
          <w:szCs w:val="22"/>
        </w:rPr>
        <w:sectPr w:rsidR="00741069" w:rsidRPr="00085819" w:rsidSect="00D273F8">
          <w:headerReference w:type="even" r:id="rId10"/>
          <w:headerReference w:type="default" r:id="rId11"/>
          <w:footerReference w:type="even" r:id="rId12"/>
          <w:footerReference w:type="first" r:id="rId13"/>
          <w:pgSz w:w="11907" w:h="16839"/>
          <w:pgMar w:top="1440" w:right="1797" w:bottom="1440" w:left="1797" w:header="720" w:footer="3402" w:gutter="0"/>
          <w:cols w:space="708"/>
          <w:titlePg/>
          <w:docGrid w:linePitch="360"/>
        </w:sectPr>
      </w:pPr>
    </w:p>
    <w:p w:rsidR="005829ED" w:rsidRPr="00536E36" w:rsidRDefault="005829ED" w:rsidP="0014405B">
      <w:pPr>
        <w:spacing w:after="220"/>
        <w:rPr>
          <w:rFonts w:cs="Times New Roman"/>
          <w:b/>
          <w:szCs w:val="22"/>
        </w:rPr>
      </w:pPr>
      <w:bookmarkStart w:id="1" w:name="OPCSB_BodyPrincipleA4"/>
      <w:r w:rsidRPr="00536E36">
        <w:rPr>
          <w:rFonts w:cs="Times New Roman"/>
          <w:b/>
          <w:sz w:val="24"/>
          <w:szCs w:val="24"/>
        </w:rPr>
        <w:lastRenderedPageBreak/>
        <w:t xml:space="preserve">Determination under subsection 24(3) – Non-SES employees moved between APS agencies to give effect to the Administrative Arrangements Orders made by the </w:t>
      </w:r>
      <w:r w:rsidRPr="00536E36">
        <w:rPr>
          <w:rFonts w:cs="Times New Roman"/>
          <w:b/>
          <w:szCs w:val="22"/>
        </w:rPr>
        <w:t>Governor-General in Council on 18 September 2013</w:t>
      </w:r>
    </w:p>
    <w:p w:rsidR="005829ED" w:rsidRPr="00536E36" w:rsidRDefault="005829ED" w:rsidP="00A079A9">
      <w:pPr>
        <w:spacing w:after="220"/>
        <w:rPr>
          <w:rFonts w:cs="Times New Roman"/>
          <w:i/>
          <w:szCs w:val="22"/>
        </w:rPr>
      </w:pPr>
      <w:r w:rsidRPr="00536E36">
        <w:rPr>
          <w:rFonts w:cs="Times New Roman"/>
          <w:szCs w:val="22"/>
        </w:rPr>
        <w:t xml:space="preserve">I, Eric </w:t>
      </w:r>
      <w:proofErr w:type="spellStart"/>
      <w:r w:rsidRPr="00536E36">
        <w:rPr>
          <w:rFonts w:cs="Times New Roman"/>
          <w:szCs w:val="22"/>
        </w:rPr>
        <w:t>Abetz</w:t>
      </w:r>
      <w:proofErr w:type="spellEnd"/>
      <w:r w:rsidRPr="00536E36">
        <w:rPr>
          <w:rFonts w:cs="Times New Roman"/>
          <w:szCs w:val="22"/>
        </w:rPr>
        <w:t xml:space="preserve">, </w:t>
      </w:r>
      <w:r w:rsidR="00B56F2E" w:rsidRPr="00EC78E0">
        <w:rPr>
          <w:szCs w:val="22"/>
        </w:rPr>
        <w:t>M</w:t>
      </w:r>
      <w:r w:rsidR="00B56F2E" w:rsidRPr="00EC78E0">
        <w:rPr>
          <w:rFonts w:cs="Times New Roman"/>
          <w:szCs w:val="22"/>
        </w:rPr>
        <w:t>inister Assisting the Prime Minister for the Public Service</w:t>
      </w:r>
      <w:r w:rsidRPr="00536E36">
        <w:rPr>
          <w:rFonts w:cs="Times New Roman"/>
          <w:szCs w:val="22"/>
        </w:rPr>
        <w:t xml:space="preserve">, being of the opinion that it is desirable to do so because of exceptional circumstances, hereby determine pursuant to section 24(3) of the </w:t>
      </w:r>
      <w:r w:rsidRPr="00536E36">
        <w:rPr>
          <w:rFonts w:cs="Times New Roman"/>
          <w:i/>
          <w:szCs w:val="22"/>
        </w:rPr>
        <w:t xml:space="preserve">Public Service Act 1999 </w:t>
      </w:r>
      <w:r w:rsidRPr="00536E36">
        <w:rPr>
          <w:rFonts w:cs="Times New Roman"/>
          <w:szCs w:val="22"/>
        </w:rPr>
        <w:t>the terms and conditions of employment of employees to whom this Determination applies</w:t>
      </w:r>
      <w:r w:rsidRPr="00536E36">
        <w:rPr>
          <w:rFonts w:cs="Times New Roman"/>
          <w:i/>
          <w:szCs w:val="22"/>
        </w:rPr>
        <w:t xml:space="preserve">. </w:t>
      </w:r>
    </w:p>
    <w:p w:rsidR="005829ED" w:rsidRPr="00E32AE4" w:rsidRDefault="005829ED" w:rsidP="00A079A9">
      <w:pPr>
        <w:spacing w:after="220"/>
        <w:rPr>
          <w:rFonts w:cs="Times New Roman"/>
          <w:b/>
          <w:sz w:val="24"/>
          <w:szCs w:val="24"/>
        </w:rPr>
      </w:pPr>
      <w:r w:rsidRPr="00E32AE4">
        <w:rPr>
          <w:rFonts w:cs="Times New Roman"/>
          <w:b/>
          <w:sz w:val="24"/>
          <w:szCs w:val="24"/>
        </w:rPr>
        <w:t xml:space="preserve">Application of Determination </w:t>
      </w:r>
    </w:p>
    <w:p w:rsidR="00B56F2E" w:rsidRPr="00EC78E0" w:rsidRDefault="00B56F2E" w:rsidP="00EC78E0">
      <w:pPr>
        <w:spacing w:before="240"/>
        <w:ind w:left="567" w:hanging="567"/>
        <w:rPr>
          <w:szCs w:val="22"/>
        </w:rPr>
      </w:pPr>
      <w:r w:rsidRPr="00EC78E0">
        <w:rPr>
          <w:rStyle w:val="CharSectno"/>
        </w:rPr>
        <w:t>1</w:t>
      </w:r>
      <w:r w:rsidRPr="00EC78E0">
        <w:rPr>
          <w:szCs w:val="22"/>
        </w:rPr>
        <w:t>.</w:t>
      </w:r>
      <w:r w:rsidRPr="00EC78E0">
        <w:rPr>
          <w:szCs w:val="22"/>
        </w:rPr>
        <w:tab/>
        <w:t>This Determination applies to an APS employee (other than a Senior Executive Service employee) who has been, or will be, moved from an APS Agency (</w:t>
      </w:r>
      <w:r w:rsidRPr="00EC78E0">
        <w:rPr>
          <w:b/>
          <w:szCs w:val="22"/>
        </w:rPr>
        <w:t>Losing Agency</w:t>
      </w:r>
      <w:r w:rsidRPr="00EC78E0">
        <w:rPr>
          <w:szCs w:val="22"/>
        </w:rPr>
        <w:t>) to another APS Agency (</w:t>
      </w:r>
      <w:r w:rsidRPr="00EC78E0">
        <w:rPr>
          <w:b/>
          <w:szCs w:val="22"/>
        </w:rPr>
        <w:t>Gaining Agency</w:t>
      </w:r>
      <w:r w:rsidRPr="00EC78E0">
        <w:rPr>
          <w:szCs w:val="22"/>
        </w:rPr>
        <w:t xml:space="preserve">) by determination in writing under section 72(1)(a) of the </w:t>
      </w:r>
      <w:r w:rsidRPr="00EC78E0">
        <w:rPr>
          <w:i/>
          <w:szCs w:val="22"/>
        </w:rPr>
        <w:t xml:space="preserve">Public Service Act 1999 </w:t>
      </w:r>
      <w:r w:rsidRPr="00EC78E0">
        <w:rPr>
          <w:szCs w:val="22"/>
        </w:rPr>
        <w:t>in order to give effect to the Administrative Arrangements Orders made by the Governor-General in Council on 18 September 2013 as amended on 3 October 2013 (</w:t>
      </w:r>
      <w:r w:rsidRPr="00EC78E0">
        <w:rPr>
          <w:b/>
          <w:szCs w:val="22"/>
        </w:rPr>
        <w:t>Moving Employee</w:t>
      </w:r>
      <w:r w:rsidRPr="00EC78E0">
        <w:rPr>
          <w:szCs w:val="22"/>
        </w:rPr>
        <w:t>).</w:t>
      </w:r>
    </w:p>
    <w:p w:rsidR="005829ED" w:rsidRPr="00536E36" w:rsidRDefault="00E32AE4" w:rsidP="00E32AE4">
      <w:pPr>
        <w:spacing w:before="240"/>
        <w:ind w:left="567" w:hanging="567"/>
        <w:rPr>
          <w:rFonts w:cs="Times New Roman"/>
          <w:szCs w:val="22"/>
        </w:rPr>
      </w:pPr>
      <w:r w:rsidRPr="00A967D1">
        <w:rPr>
          <w:rStyle w:val="CharSectno"/>
        </w:rPr>
        <w:t>2</w:t>
      </w:r>
      <w:r>
        <w:rPr>
          <w:rFonts w:cs="Times New Roman"/>
          <w:szCs w:val="22"/>
        </w:rPr>
        <w:t>.</w:t>
      </w:r>
      <w:r>
        <w:rPr>
          <w:rFonts w:cs="Times New Roman"/>
          <w:szCs w:val="22"/>
        </w:rPr>
        <w:tab/>
      </w:r>
      <w:r w:rsidR="005829ED" w:rsidRPr="00536E36">
        <w:rPr>
          <w:rFonts w:cs="Times New Roman"/>
          <w:szCs w:val="22"/>
        </w:rPr>
        <w:t xml:space="preserve">This Determination also </w:t>
      </w:r>
      <w:r w:rsidR="00B56F2E" w:rsidRPr="00EC78E0">
        <w:rPr>
          <w:rFonts w:cs="Times New Roman"/>
          <w:szCs w:val="22"/>
        </w:rPr>
        <w:t>applies to an APS employee</w:t>
      </w:r>
      <w:r w:rsidR="005829ED" w:rsidRPr="00536E36">
        <w:rPr>
          <w:rFonts w:cs="Times New Roman"/>
          <w:szCs w:val="22"/>
        </w:rPr>
        <w:t xml:space="preserve"> (other than a Senior Executive Service employee) who:</w:t>
      </w:r>
    </w:p>
    <w:p w:rsidR="005829ED" w:rsidRPr="00536E36" w:rsidRDefault="00E32AE4" w:rsidP="00EC78E0">
      <w:pPr>
        <w:pStyle w:val="paragraph"/>
        <w:tabs>
          <w:tab w:val="clear" w:pos="1531"/>
          <w:tab w:val="left" w:pos="709"/>
        </w:tabs>
        <w:spacing w:before="60"/>
        <w:ind w:left="1417" w:hanging="1559"/>
        <w:rPr>
          <w:szCs w:val="22"/>
        </w:rPr>
      </w:pPr>
      <w:r>
        <w:rPr>
          <w:szCs w:val="22"/>
        </w:rPr>
        <w:tab/>
      </w:r>
      <w:r w:rsidRPr="00B36573">
        <w:rPr>
          <w:szCs w:val="22"/>
        </w:rPr>
        <w:t>(a)</w:t>
      </w:r>
      <w:r w:rsidRPr="00B36573">
        <w:rPr>
          <w:szCs w:val="22"/>
        </w:rPr>
        <w:tab/>
      </w:r>
      <w:r w:rsidR="005829ED" w:rsidRPr="00536E36">
        <w:rPr>
          <w:szCs w:val="22"/>
        </w:rPr>
        <w:t>is not a Moving Employee; and</w:t>
      </w:r>
    </w:p>
    <w:p w:rsidR="005829ED" w:rsidRPr="00536E36" w:rsidRDefault="00E32AE4" w:rsidP="00EC78E0">
      <w:pPr>
        <w:pStyle w:val="paragraph"/>
        <w:tabs>
          <w:tab w:val="clear" w:pos="1531"/>
          <w:tab w:val="left" w:pos="709"/>
        </w:tabs>
        <w:spacing w:before="60"/>
        <w:ind w:left="1417" w:hanging="1559"/>
        <w:rPr>
          <w:szCs w:val="22"/>
        </w:rPr>
      </w:pPr>
      <w:r>
        <w:rPr>
          <w:szCs w:val="22"/>
        </w:rPr>
        <w:tab/>
      </w:r>
      <w:r w:rsidRPr="00B36573">
        <w:rPr>
          <w:szCs w:val="22"/>
        </w:rPr>
        <w:t>(</w:t>
      </w:r>
      <w:r>
        <w:rPr>
          <w:szCs w:val="22"/>
        </w:rPr>
        <w:t>b</w:t>
      </w:r>
      <w:r w:rsidRPr="00B36573">
        <w:rPr>
          <w:szCs w:val="22"/>
        </w:rPr>
        <w:t>)</w:t>
      </w:r>
      <w:r w:rsidRPr="00B36573">
        <w:rPr>
          <w:szCs w:val="22"/>
        </w:rPr>
        <w:tab/>
      </w:r>
      <w:r w:rsidR="005829ED" w:rsidRPr="00536E36">
        <w:rPr>
          <w:szCs w:val="22"/>
        </w:rPr>
        <w:t>after the date of this Determination:</w:t>
      </w:r>
    </w:p>
    <w:p w:rsidR="005829ED" w:rsidRPr="00E32AE4" w:rsidRDefault="00E32AE4" w:rsidP="00EC78E0">
      <w:pPr>
        <w:pStyle w:val="paragraph"/>
        <w:tabs>
          <w:tab w:val="clear" w:pos="1531"/>
          <w:tab w:val="left" w:pos="1418"/>
        </w:tabs>
        <w:spacing w:before="60"/>
        <w:ind w:left="1984" w:hanging="2126"/>
      </w:pPr>
      <w:r>
        <w:tab/>
        <w:t>(</w:t>
      </w:r>
      <w:proofErr w:type="spellStart"/>
      <w:r>
        <w:t>i</w:t>
      </w:r>
      <w:proofErr w:type="spellEnd"/>
      <w:r>
        <w:t>)</w:t>
      </w:r>
      <w:r>
        <w:tab/>
      </w:r>
      <w:r w:rsidR="005829ED" w:rsidRPr="00E32AE4">
        <w:t xml:space="preserve">commences employment in </w:t>
      </w:r>
      <w:r w:rsidR="00B56F2E" w:rsidRPr="00EC78E0">
        <w:t>a Gaining Agency</w:t>
      </w:r>
      <w:r w:rsidR="005829ED" w:rsidRPr="00E32AE4">
        <w:t xml:space="preserve"> (whether by engagement as an APS employee pursuant to section 22(1) of the </w:t>
      </w:r>
      <w:r w:rsidR="005829ED" w:rsidRPr="00E32AE4">
        <w:rPr>
          <w:i/>
        </w:rPr>
        <w:t>Public Service Act 1999</w:t>
      </w:r>
      <w:r w:rsidR="005829ED" w:rsidRPr="00E32AE4">
        <w:t xml:space="preserve"> or by movement from another APS agency pursuant to section 26 or 27 of the </w:t>
      </w:r>
      <w:r w:rsidR="005829ED" w:rsidRPr="00E32AE4">
        <w:rPr>
          <w:i/>
        </w:rPr>
        <w:t>Public Service Act 1999</w:t>
      </w:r>
      <w:r w:rsidR="005829ED" w:rsidRPr="00E32AE4">
        <w:t xml:space="preserve">); and  </w:t>
      </w:r>
    </w:p>
    <w:p w:rsidR="00B56F2E" w:rsidRPr="00EC78E0" w:rsidRDefault="00B56F2E" w:rsidP="00EC78E0">
      <w:pPr>
        <w:pStyle w:val="paragraph"/>
        <w:tabs>
          <w:tab w:val="clear" w:pos="1531"/>
          <w:tab w:val="left" w:pos="1418"/>
        </w:tabs>
        <w:spacing w:before="60"/>
        <w:ind w:left="1984" w:hanging="2126"/>
        <w:rPr>
          <w:szCs w:val="22"/>
        </w:rPr>
      </w:pPr>
      <w:r>
        <w:rPr>
          <w:szCs w:val="22"/>
        </w:rPr>
        <w:tab/>
      </w:r>
      <w:r w:rsidRPr="00EC78E0">
        <w:rPr>
          <w:szCs w:val="22"/>
        </w:rPr>
        <w:t>(ii)</w:t>
      </w:r>
      <w:r w:rsidRPr="00EC78E0">
        <w:rPr>
          <w:szCs w:val="22"/>
        </w:rPr>
        <w:tab/>
        <w:t xml:space="preserve">performs a function that was transferred to that Gaining Agency from a Losing Agency by the Administrative Arrangements Orders made by the Governor-General in Council on 18 September 2013 as amended on </w:t>
      </w:r>
      <w:r w:rsidRPr="00EC78E0">
        <w:rPr>
          <w:rFonts w:eastAsiaTheme="minorHAnsi"/>
          <w:szCs w:val="22"/>
          <w:lang w:eastAsia="en-US"/>
        </w:rPr>
        <w:t>3 October 2013 (</w:t>
      </w:r>
      <w:r w:rsidRPr="00EC78E0">
        <w:rPr>
          <w:rFonts w:eastAsiaTheme="minorHAnsi"/>
          <w:b/>
          <w:szCs w:val="22"/>
          <w:lang w:eastAsia="en-US"/>
        </w:rPr>
        <w:t>New</w:t>
      </w:r>
      <w:r w:rsidRPr="00EC78E0">
        <w:rPr>
          <w:b/>
          <w:szCs w:val="22"/>
        </w:rPr>
        <w:t xml:space="preserve"> Employee</w:t>
      </w:r>
      <w:r w:rsidRPr="00EC78E0">
        <w:rPr>
          <w:szCs w:val="22"/>
        </w:rPr>
        <w:t>).</w:t>
      </w:r>
    </w:p>
    <w:p w:rsidR="00B56F2E" w:rsidRDefault="00B56F2E" w:rsidP="00EC78E0">
      <w:pPr>
        <w:spacing w:before="240"/>
        <w:ind w:left="567" w:hanging="567"/>
        <w:rPr>
          <w:sz w:val="24"/>
          <w:szCs w:val="24"/>
        </w:rPr>
      </w:pPr>
      <w:r w:rsidRPr="00EC78E0">
        <w:rPr>
          <w:rStyle w:val="CharSectno"/>
        </w:rPr>
        <w:t>2A</w:t>
      </w:r>
      <w:r w:rsidRPr="00EC78E0">
        <w:rPr>
          <w:rFonts w:cs="Times New Roman"/>
          <w:szCs w:val="22"/>
        </w:rPr>
        <w:t>.</w:t>
      </w:r>
      <w:r w:rsidRPr="00EC78E0">
        <w:rPr>
          <w:rFonts w:cs="Times New Roman"/>
          <w:szCs w:val="22"/>
        </w:rPr>
        <w:tab/>
        <w:t>This Determination applies to an APS employee (other than a Senior Executive Service employee) who will be moved from the Australian Agency for International Development (</w:t>
      </w:r>
      <w:proofErr w:type="spellStart"/>
      <w:r w:rsidRPr="00EC78E0">
        <w:rPr>
          <w:rFonts w:cs="Times New Roman"/>
          <w:b/>
          <w:szCs w:val="22"/>
        </w:rPr>
        <w:t>AusAID</w:t>
      </w:r>
      <w:proofErr w:type="spellEnd"/>
      <w:r w:rsidRPr="00EC78E0">
        <w:rPr>
          <w:rFonts w:cs="Times New Roman"/>
          <w:szCs w:val="22"/>
        </w:rPr>
        <w:t>) to the Department of Foreign Affairs and Trade (</w:t>
      </w:r>
      <w:proofErr w:type="spellStart"/>
      <w:r w:rsidRPr="00EC78E0">
        <w:rPr>
          <w:rFonts w:cs="Times New Roman"/>
          <w:b/>
          <w:szCs w:val="22"/>
        </w:rPr>
        <w:t>DFAT</w:t>
      </w:r>
      <w:proofErr w:type="spellEnd"/>
      <w:r w:rsidRPr="00EC78E0">
        <w:rPr>
          <w:rFonts w:cs="Times New Roman"/>
          <w:szCs w:val="22"/>
        </w:rPr>
        <w:t xml:space="preserve">) by determination in writing under section 72(1)(a) of the </w:t>
      </w:r>
      <w:r w:rsidRPr="00906C01">
        <w:rPr>
          <w:rFonts w:cs="Times New Roman"/>
          <w:i/>
          <w:szCs w:val="22"/>
        </w:rPr>
        <w:t>Public Service Act 1999</w:t>
      </w:r>
      <w:r w:rsidRPr="00EC78E0">
        <w:rPr>
          <w:rFonts w:cs="Times New Roman"/>
          <w:szCs w:val="22"/>
        </w:rPr>
        <w:t xml:space="preserve"> to give effect to the order made by the Administrator of the Commonwealth of Australia acting with the advice of the Federal Executive Council on 17 October 2013, pursuant to section 65 of the </w:t>
      </w:r>
      <w:r w:rsidRPr="00EC78E0">
        <w:rPr>
          <w:rFonts w:cs="Times New Roman"/>
          <w:i/>
          <w:szCs w:val="22"/>
        </w:rPr>
        <w:t>Public Service Act 1999</w:t>
      </w:r>
      <w:r w:rsidRPr="00EC78E0">
        <w:rPr>
          <w:rFonts w:cs="Times New Roman"/>
          <w:szCs w:val="22"/>
        </w:rPr>
        <w:t xml:space="preserve">, which has the effect of abolishing </w:t>
      </w:r>
      <w:proofErr w:type="spellStart"/>
      <w:r w:rsidRPr="00EC78E0">
        <w:rPr>
          <w:rFonts w:cs="Times New Roman"/>
          <w:szCs w:val="22"/>
        </w:rPr>
        <w:t>AusAID</w:t>
      </w:r>
      <w:proofErr w:type="spellEnd"/>
      <w:r w:rsidRPr="00EC78E0">
        <w:rPr>
          <w:rFonts w:cs="Times New Roman"/>
          <w:szCs w:val="22"/>
        </w:rPr>
        <w:t xml:space="preserve"> as an Executive Agency on 1 November 2013 (</w:t>
      </w:r>
      <w:r w:rsidRPr="00EC78E0">
        <w:rPr>
          <w:rFonts w:cs="Times New Roman"/>
          <w:b/>
          <w:szCs w:val="22"/>
        </w:rPr>
        <w:t>Moving Aid</w:t>
      </w:r>
      <w:r w:rsidRPr="00B56F2E">
        <w:rPr>
          <w:b/>
          <w:sz w:val="24"/>
          <w:szCs w:val="24"/>
        </w:rPr>
        <w:t xml:space="preserve"> Employee</w:t>
      </w:r>
      <w:r w:rsidRPr="00122C26">
        <w:rPr>
          <w:sz w:val="24"/>
          <w:szCs w:val="24"/>
        </w:rPr>
        <w:t>).</w:t>
      </w:r>
    </w:p>
    <w:p w:rsidR="00B56F2E" w:rsidRPr="00EC78E0" w:rsidRDefault="00B56F2E" w:rsidP="00EC78E0">
      <w:pPr>
        <w:spacing w:before="240"/>
        <w:ind w:left="567" w:hanging="567"/>
        <w:rPr>
          <w:rFonts w:cs="Times New Roman"/>
          <w:szCs w:val="22"/>
        </w:rPr>
      </w:pPr>
      <w:r w:rsidRPr="00EC78E0">
        <w:rPr>
          <w:rStyle w:val="CharSectno"/>
        </w:rPr>
        <w:t>2B</w:t>
      </w:r>
      <w:r w:rsidRPr="00EC78E0">
        <w:rPr>
          <w:rFonts w:cs="Times New Roman"/>
          <w:szCs w:val="22"/>
        </w:rPr>
        <w:t>.</w:t>
      </w:r>
      <w:r w:rsidRPr="00EC78E0">
        <w:rPr>
          <w:rFonts w:cs="Times New Roman"/>
          <w:szCs w:val="22"/>
        </w:rPr>
        <w:tab/>
        <w:t xml:space="preserve">This Determination will also apply to an APS employee (other than a Senior Executive Service employee) who: </w:t>
      </w:r>
    </w:p>
    <w:p w:rsidR="00B56F2E" w:rsidRPr="00EC78E0" w:rsidRDefault="00B56F2E" w:rsidP="00EC78E0">
      <w:pPr>
        <w:pStyle w:val="paragraph"/>
        <w:tabs>
          <w:tab w:val="clear" w:pos="1531"/>
          <w:tab w:val="left" w:pos="709"/>
        </w:tabs>
        <w:spacing w:before="60"/>
        <w:ind w:left="1417" w:hanging="1559"/>
        <w:rPr>
          <w:szCs w:val="22"/>
        </w:rPr>
      </w:pPr>
      <w:r>
        <w:rPr>
          <w:szCs w:val="22"/>
        </w:rPr>
        <w:tab/>
        <w:t>(a)</w:t>
      </w:r>
      <w:r>
        <w:rPr>
          <w:szCs w:val="22"/>
        </w:rPr>
        <w:tab/>
      </w:r>
      <w:r w:rsidRPr="00EC78E0">
        <w:rPr>
          <w:szCs w:val="22"/>
        </w:rPr>
        <w:t xml:space="preserve">is not a Moving Aid Employee; </w:t>
      </w:r>
    </w:p>
    <w:p w:rsidR="00B56F2E" w:rsidRPr="00EC78E0" w:rsidRDefault="00B56F2E" w:rsidP="00EC78E0">
      <w:pPr>
        <w:pStyle w:val="paragraph"/>
        <w:tabs>
          <w:tab w:val="clear" w:pos="1531"/>
          <w:tab w:val="left" w:pos="709"/>
        </w:tabs>
        <w:spacing w:before="60"/>
        <w:ind w:left="1417" w:hanging="1559"/>
        <w:rPr>
          <w:szCs w:val="22"/>
        </w:rPr>
      </w:pPr>
      <w:r>
        <w:rPr>
          <w:szCs w:val="22"/>
        </w:rPr>
        <w:tab/>
        <w:t>(b)</w:t>
      </w:r>
      <w:r>
        <w:rPr>
          <w:szCs w:val="22"/>
        </w:rPr>
        <w:tab/>
      </w:r>
      <w:r w:rsidRPr="00EC78E0">
        <w:rPr>
          <w:szCs w:val="22"/>
        </w:rPr>
        <w:t xml:space="preserve">on </w:t>
      </w:r>
      <w:r w:rsidRPr="00BC4AF2">
        <w:rPr>
          <w:szCs w:val="22"/>
        </w:rPr>
        <w:t>or</w:t>
      </w:r>
      <w:r w:rsidRPr="00EC78E0">
        <w:rPr>
          <w:szCs w:val="22"/>
        </w:rPr>
        <w:t xml:space="preserve"> after 1 November 2013: </w:t>
      </w:r>
    </w:p>
    <w:p w:rsidR="00B56F2E" w:rsidRPr="00EC78E0" w:rsidRDefault="00B56F2E" w:rsidP="00EC78E0">
      <w:pPr>
        <w:pStyle w:val="paragraph"/>
        <w:tabs>
          <w:tab w:val="clear" w:pos="1531"/>
          <w:tab w:val="left" w:pos="1418"/>
        </w:tabs>
        <w:spacing w:before="60"/>
        <w:ind w:left="1984" w:hanging="2126"/>
      </w:pPr>
      <w:r>
        <w:tab/>
        <w:t>(</w:t>
      </w:r>
      <w:proofErr w:type="spellStart"/>
      <w:r>
        <w:t>i</w:t>
      </w:r>
      <w:proofErr w:type="spellEnd"/>
      <w:r>
        <w:t>)</w:t>
      </w:r>
      <w:r>
        <w:tab/>
      </w:r>
      <w:r w:rsidRPr="00EC78E0">
        <w:t xml:space="preserve">commences employment in </w:t>
      </w:r>
      <w:proofErr w:type="spellStart"/>
      <w:r w:rsidRPr="00EC78E0">
        <w:t>DFAT</w:t>
      </w:r>
      <w:proofErr w:type="spellEnd"/>
      <w:r w:rsidRPr="00EC78E0">
        <w:t xml:space="preserve"> (whether by engagement as an APS employee pursuant to section 22(1) of the </w:t>
      </w:r>
      <w:r w:rsidRPr="00EC78E0">
        <w:rPr>
          <w:i/>
        </w:rPr>
        <w:t>Public Service Act 1999</w:t>
      </w:r>
      <w:r w:rsidRPr="00EC78E0">
        <w:t xml:space="preserve"> or </w:t>
      </w:r>
      <w:r w:rsidRPr="00EC78E0">
        <w:lastRenderedPageBreak/>
        <w:t xml:space="preserve">by movement from another APS agency pursuant to section 26 or 27 of the </w:t>
      </w:r>
      <w:r w:rsidRPr="00906C01">
        <w:rPr>
          <w:i/>
        </w:rPr>
        <w:t>Public Service Act 1999</w:t>
      </w:r>
      <w:r w:rsidRPr="00EC78E0">
        <w:t>); and</w:t>
      </w:r>
    </w:p>
    <w:p w:rsidR="00B56F2E" w:rsidRPr="00EC78E0" w:rsidRDefault="00B56F2E" w:rsidP="00EC78E0">
      <w:pPr>
        <w:pStyle w:val="paragraph"/>
        <w:tabs>
          <w:tab w:val="clear" w:pos="1531"/>
          <w:tab w:val="left" w:pos="1418"/>
        </w:tabs>
        <w:spacing w:before="60"/>
        <w:ind w:left="1984" w:hanging="2126"/>
        <w:rPr>
          <w:szCs w:val="22"/>
        </w:rPr>
      </w:pPr>
      <w:r w:rsidRPr="00EC78E0">
        <w:rPr>
          <w:szCs w:val="22"/>
        </w:rPr>
        <w:tab/>
        <w:t>(i</w:t>
      </w:r>
      <w:r w:rsidR="00906C01">
        <w:rPr>
          <w:szCs w:val="22"/>
        </w:rPr>
        <w:t>i</w:t>
      </w:r>
      <w:r w:rsidRPr="00EC78E0">
        <w:rPr>
          <w:szCs w:val="22"/>
        </w:rPr>
        <w:t>)</w:t>
      </w:r>
      <w:r w:rsidRPr="00EC78E0">
        <w:rPr>
          <w:szCs w:val="22"/>
        </w:rPr>
        <w:tab/>
        <w:t xml:space="preserve">performs a function that was transferred from </w:t>
      </w:r>
      <w:proofErr w:type="spellStart"/>
      <w:r w:rsidRPr="00EC78E0">
        <w:rPr>
          <w:szCs w:val="22"/>
        </w:rPr>
        <w:t>AusAID</w:t>
      </w:r>
      <w:proofErr w:type="spellEnd"/>
      <w:r w:rsidRPr="00EC78E0">
        <w:rPr>
          <w:szCs w:val="22"/>
        </w:rPr>
        <w:t xml:space="preserve"> to </w:t>
      </w:r>
      <w:proofErr w:type="spellStart"/>
      <w:r w:rsidRPr="00EC78E0">
        <w:rPr>
          <w:szCs w:val="22"/>
        </w:rPr>
        <w:t>DFAT</w:t>
      </w:r>
      <w:proofErr w:type="spellEnd"/>
      <w:r w:rsidRPr="00EC78E0">
        <w:rPr>
          <w:szCs w:val="22"/>
        </w:rPr>
        <w:t xml:space="preserve"> as a result of the order made by the Administrator of the Commonwealth of Australia acting with the advice of the Federal Executive Council on 17</w:t>
      </w:r>
      <w:r w:rsidR="00906C01">
        <w:rPr>
          <w:szCs w:val="22"/>
        </w:rPr>
        <w:t> </w:t>
      </w:r>
      <w:r w:rsidRPr="00EC78E0">
        <w:rPr>
          <w:szCs w:val="22"/>
        </w:rPr>
        <w:t>October 2013 (New Aid Employee).</w:t>
      </w:r>
    </w:p>
    <w:p w:rsidR="00B56F2E" w:rsidRPr="00EC78E0" w:rsidRDefault="00B56F2E" w:rsidP="00EC78E0">
      <w:pPr>
        <w:spacing w:before="240"/>
        <w:ind w:left="567" w:hanging="567"/>
        <w:rPr>
          <w:rFonts w:cs="Times New Roman"/>
          <w:szCs w:val="22"/>
        </w:rPr>
      </w:pPr>
      <w:r w:rsidRPr="00EC78E0">
        <w:rPr>
          <w:rStyle w:val="CharSectno"/>
        </w:rPr>
        <w:t>2C</w:t>
      </w:r>
      <w:r w:rsidRPr="00EC78E0">
        <w:rPr>
          <w:rFonts w:cs="Times New Roman"/>
          <w:szCs w:val="22"/>
        </w:rPr>
        <w:t>.</w:t>
      </w:r>
      <w:r w:rsidRPr="00EC78E0">
        <w:rPr>
          <w:rFonts w:cs="Times New Roman"/>
          <w:szCs w:val="22"/>
        </w:rPr>
        <w:tab/>
        <w:t>For the purposes of this Determination, in relation to a Moving Aid Employee or New Aid Employee:</w:t>
      </w:r>
    </w:p>
    <w:p w:rsidR="00B56F2E" w:rsidRPr="00EC78E0" w:rsidRDefault="00B56F2E" w:rsidP="00EC78E0">
      <w:pPr>
        <w:pStyle w:val="paragraph"/>
        <w:tabs>
          <w:tab w:val="clear" w:pos="1531"/>
          <w:tab w:val="left" w:pos="709"/>
        </w:tabs>
        <w:spacing w:before="60"/>
        <w:ind w:left="1417" w:hanging="1559"/>
        <w:rPr>
          <w:szCs w:val="22"/>
        </w:rPr>
      </w:pPr>
      <w:r>
        <w:rPr>
          <w:szCs w:val="22"/>
        </w:rPr>
        <w:tab/>
        <w:t>(a)</w:t>
      </w:r>
      <w:r>
        <w:rPr>
          <w:szCs w:val="22"/>
        </w:rPr>
        <w:tab/>
      </w:r>
      <w:proofErr w:type="spellStart"/>
      <w:r w:rsidRPr="00EC78E0">
        <w:rPr>
          <w:szCs w:val="22"/>
        </w:rPr>
        <w:t>AusAID</w:t>
      </w:r>
      <w:proofErr w:type="spellEnd"/>
      <w:r w:rsidRPr="00EC78E0">
        <w:rPr>
          <w:szCs w:val="22"/>
        </w:rPr>
        <w:t xml:space="preserve"> is the employee</w:t>
      </w:r>
      <w:r w:rsidR="003A10A8">
        <w:rPr>
          <w:szCs w:val="22"/>
        </w:rPr>
        <w:t>’</w:t>
      </w:r>
      <w:r w:rsidRPr="00EC78E0">
        <w:rPr>
          <w:szCs w:val="22"/>
        </w:rPr>
        <w:t xml:space="preserve">s Losing Agency; and </w:t>
      </w:r>
    </w:p>
    <w:p w:rsidR="00B56F2E" w:rsidRPr="00EC78E0" w:rsidRDefault="00B56F2E" w:rsidP="00EC78E0">
      <w:pPr>
        <w:pStyle w:val="paragraph"/>
        <w:tabs>
          <w:tab w:val="clear" w:pos="1531"/>
          <w:tab w:val="left" w:pos="709"/>
        </w:tabs>
        <w:spacing w:before="60"/>
        <w:ind w:left="1417" w:hanging="1559"/>
        <w:rPr>
          <w:szCs w:val="22"/>
        </w:rPr>
      </w:pPr>
      <w:r>
        <w:rPr>
          <w:szCs w:val="22"/>
        </w:rPr>
        <w:tab/>
        <w:t>(</w:t>
      </w:r>
      <w:r w:rsidR="000F08DF">
        <w:rPr>
          <w:szCs w:val="22"/>
        </w:rPr>
        <w:t>b</w:t>
      </w:r>
      <w:r>
        <w:rPr>
          <w:szCs w:val="22"/>
        </w:rPr>
        <w:t>)</w:t>
      </w:r>
      <w:r>
        <w:rPr>
          <w:szCs w:val="22"/>
        </w:rPr>
        <w:tab/>
      </w:r>
      <w:proofErr w:type="spellStart"/>
      <w:r w:rsidRPr="00EC78E0">
        <w:rPr>
          <w:szCs w:val="22"/>
        </w:rPr>
        <w:t>DFAT</w:t>
      </w:r>
      <w:proofErr w:type="spellEnd"/>
      <w:r w:rsidRPr="00EC78E0">
        <w:rPr>
          <w:szCs w:val="22"/>
        </w:rPr>
        <w:t xml:space="preserve"> is the employee</w:t>
      </w:r>
      <w:r w:rsidR="003A10A8">
        <w:rPr>
          <w:szCs w:val="22"/>
        </w:rPr>
        <w:t>’</w:t>
      </w:r>
      <w:r w:rsidRPr="00EC78E0">
        <w:rPr>
          <w:szCs w:val="22"/>
        </w:rPr>
        <w:t>s Gaining Agency.</w:t>
      </w:r>
    </w:p>
    <w:p w:rsidR="005829ED" w:rsidRPr="00E32AE4" w:rsidRDefault="005829ED" w:rsidP="000F08DF">
      <w:pPr>
        <w:keepNext/>
        <w:keepLines/>
        <w:spacing w:before="240"/>
        <w:rPr>
          <w:rFonts w:cs="Times New Roman"/>
          <w:b/>
          <w:sz w:val="24"/>
          <w:szCs w:val="24"/>
        </w:rPr>
      </w:pPr>
      <w:r w:rsidRPr="00E32AE4">
        <w:rPr>
          <w:rFonts w:cs="Times New Roman"/>
          <w:b/>
          <w:sz w:val="24"/>
          <w:szCs w:val="24"/>
        </w:rPr>
        <w:t>Period of operation</w:t>
      </w:r>
    </w:p>
    <w:p w:rsidR="005829ED" w:rsidRPr="00536E36" w:rsidRDefault="00E32AE4" w:rsidP="00E32AE4">
      <w:pPr>
        <w:spacing w:before="240"/>
        <w:ind w:left="567" w:hanging="567"/>
        <w:rPr>
          <w:rFonts w:cs="Times New Roman"/>
          <w:i/>
          <w:szCs w:val="22"/>
        </w:rPr>
      </w:pPr>
      <w:r w:rsidRPr="00A967D1">
        <w:rPr>
          <w:rStyle w:val="CharSectno"/>
        </w:rPr>
        <w:t>3</w:t>
      </w:r>
      <w:r>
        <w:rPr>
          <w:rFonts w:cs="Times New Roman"/>
          <w:szCs w:val="22"/>
        </w:rPr>
        <w:t>.</w:t>
      </w:r>
      <w:r>
        <w:rPr>
          <w:rFonts w:cs="Times New Roman"/>
          <w:szCs w:val="22"/>
        </w:rPr>
        <w:tab/>
      </w:r>
      <w:r w:rsidR="005829ED" w:rsidRPr="00536E36">
        <w:rPr>
          <w:rFonts w:cs="Times New Roman"/>
          <w:szCs w:val="22"/>
        </w:rPr>
        <w:t>This Determination takes effect on and from 18 September 2013</w:t>
      </w:r>
      <w:r w:rsidR="005829ED" w:rsidRPr="00536E36">
        <w:rPr>
          <w:rFonts w:cs="Times New Roman"/>
          <w:i/>
          <w:szCs w:val="22"/>
        </w:rPr>
        <w:t>.</w:t>
      </w:r>
    </w:p>
    <w:p w:rsidR="005829ED" w:rsidRPr="00536E36" w:rsidRDefault="00E32AE4" w:rsidP="00E32AE4">
      <w:pPr>
        <w:spacing w:before="240"/>
        <w:ind w:left="567" w:hanging="567"/>
        <w:rPr>
          <w:rFonts w:cs="Times New Roman"/>
          <w:szCs w:val="22"/>
        </w:rPr>
      </w:pPr>
      <w:r w:rsidRPr="00A967D1">
        <w:rPr>
          <w:rStyle w:val="CharSectno"/>
        </w:rPr>
        <w:t>4</w:t>
      </w:r>
      <w:r>
        <w:rPr>
          <w:rFonts w:cs="Times New Roman"/>
          <w:szCs w:val="22"/>
        </w:rPr>
        <w:t>.</w:t>
      </w:r>
      <w:r>
        <w:rPr>
          <w:rFonts w:cs="Times New Roman"/>
          <w:szCs w:val="22"/>
        </w:rPr>
        <w:tab/>
      </w:r>
      <w:r w:rsidR="005829ED" w:rsidRPr="00536E36">
        <w:rPr>
          <w:rFonts w:cs="Times New Roman"/>
          <w:szCs w:val="22"/>
        </w:rPr>
        <w:t xml:space="preserve">This Determination will continue in force until: </w:t>
      </w:r>
    </w:p>
    <w:p w:rsidR="005829ED" w:rsidRPr="00536E36" w:rsidRDefault="00E32AE4" w:rsidP="00EC78E0">
      <w:pPr>
        <w:pStyle w:val="paragraph"/>
        <w:tabs>
          <w:tab w:val="clear" w:pos="1531"/>
          <w:tab w:val="left" w:pos="709"/>
        </w:tabs>
        <w:spacing w:before="60"/>
        <w:ind w:left="1417" w:hanging="1559"/>
        <w:rPr>
          <w:szCs w:val="22"/>
        </w:rPr>
      </w:pPr>
      <w:r>
        <w:rPr>
          <w:szCs w:val="22"/>
        </w:rPr>
        <w:tab/>
        <w:t>(a)</w:t>
      </w:r>
      <w:r>
        <w:rPr>
          <w:szCs w:val="22"/>
        </w:rPr>
        <w:tab/>
      </w:r>
      <w:r w:rsidR="005829ED" w:rsidRPr="00536E36">
        <w:rPr>
          <w:szCs w:val="22"/>
        </w:rPr>
        <w:t xml:space="preserve">it is replaced in its entirety by another determination made under section 24(3) of the </w:t>
      </w:r>
      <w:r w:rsidR="005829ED" w:rsidRPr="00536E36">
        <w:rPr>
          <w:i/>
          <w:szCs w:val="22"/>
        </w:rPr>
        <w:t>Public Service Act 1999</w:t>
      </w:r>
      <w:r w:rsidR="005829ED" w:rsidRPr="00536E36">
        <w:rPr>
          <w:szCs w:val="22"/>
        </w:rPr>
        <w:t>; or</w:t>
      </w:r>
    </w:p>
    <w:p w:rsidR="005829ED" w:rsidRPr="00536E36" w:rsidRDefault="00E32AE4" w:rsidP="00EC78E0">
      <w:pPr>
        <w:pStyle w:val="paragraph"/>
        <w:tabs>
          <w:tab w:val="clear" w:pos="1531"/>
          <w:tab w:val="left" w:pos="709"/>
        </w:tabs>
        <w:spacing w:before="60"/>
        <w:ind w:left="1417" w:hanging="1559"/>
        <w:rPr>
          <w:szCs w:val="22"/>
        </w:rPr>
      </w:pPr>
      <w:r>
        <w:rPr>
          <w:szCs w:val="22"/>
        </w:rPr>
        <w:tab/>
        <w:t>(b)</w:t>
      </w:r>
      <w:r>
        <w:rPr>
          <w:szCs w:val="22"/>
        </w:rPr>
        <w:tab/>
      </w:r>
      <w:r w:rsidR="005829ED" w:rsidRPr="00536E36">
        <w:rPr>
          <w:szCs w:val="22"/>
        </w:rPr>
        <w:t>it is revoked.</w:t>
      </w:r>
    </w:p>
    <w:p w:rsidR="000F08DF" w:rsidRPr="00790C05" w:rsidRDefault="000F08DF" w:rsidP="000F08DF">
      <w:pPr>
        <w:keepNext/>
        <w:keepLines/>
        <w:spacing w:before="240"/>
        <w:rPr>
          <w:b/>
          <w:sz w:val="24"/>
          <w:szCs w:val="24"/>
        </w:rPr>
      </w:pPr>
      <w:r w:rsidRPr="00790C05">
        <w:rPr>
          <w:b/>
          <w:sz w:val="24"/>
          <w:szCs w:val="24"/>
        </w:rPr>
        <w:t xml:space="preserve">When the </w:t>
      </w:r>
      <w:r w:rsidRPr="000F08DF">
        <w:rPr>
          <w:rFonts w:cs="Times New Roman"/>
          <w:b/>
          <w:sz w:val="24"/>
          <w:szCs w:val="24"/>
        </w:rPr>
        <w:t>Determination</w:t>
      </w:r>
      <w:r w:rsidRPr="00790C05">
        <w:rPr>
          <w:b/>
          <w:sz w:val="24"/>
          <w:szCs w:val="24"/>
        </w:rPr>
        <w:t xml:space="preserve"> ceases to apply to an employee</w:t>
      </w:r>
    </w:p>
    <w:p w:rsidR="00B56F2E" w:rsidRPr="00EC78E0" w:rsidRDefault="00B56F2E" w:rsidP="00EC78E0">
      <w:pPr>
        <w:spacing w:before="240"/>
        <w:ind w:left="567" w:hanging="567"/>
        <w:rPr>
          <w:rFonts w:cs="Times New Roman"/>
          <w:szCs w:val="22"/>
        </w:rPr>
      </w:pPr>
      <w:r w:rsidRPr="00EC78E0">
        <w:rPr>
          <w:rStyle w:val="CharSectno"/>
        </w:rPr>
        <w:t>5</w:t>
      </w:r>
      <w:r w:rsidRPr="00EC78E0">
        <w:rPr>
          <w:rFonts w:cs="Times New Roman"/>
          <w:szCs w:val="22"/>
        </w:rPr>
        <w:t>.</w:t>
      </w:r>
      <w:r w:rsidRPr="00EC78E0">
        <w:rPr>
          <w:rFonts w:cs="Times New Roman"/>
          <w:szCs w:val="22"/>
        </w:rPr>
        <w:tab/>
        <w:t>This Determination ceases to apply to an employee if:</w:t>
      </w:r>
    </w:p>
    <w:p w:rsidR="00B56F2E" w:rsidRPr="00087AE9" w:rsidRDefault="00B56F2E" w:rsidP="00087AE9">
      <w:pPr>
        <w:pStyle w:val="paragraph"/>
        <w:tabs>
          <w:tab w:val="clear" w:pos="1531"/>
          <w:tab w:val="left" w:pos="709"/>
        </w:tabs>
        <w:ind w:left="1418" w:hanging="1560"/>
        <w:rPr>
          <w:szCs w:val="22"/>
        </w:rPr>
      </w:pPr>
      <w:r w:rsidRPr="00087AE9">
        <w:rPr>
          <w:szCs w:val="22"/>
        </w:rPr>
        <w:tab/>
        <w:t>(a)</w:t>
      </w:r>
      <w:r w:rsidRPr="00087AE9">
        <w:rPr>
          <w:szCs w:val="22"/>
        </w:rPr>
        <w:tab/>
        <w:t>an enterprise agreement that covers the employee commences operation; or</w:t>
      </w:r>
    </w:p>
    <w:p w:rsidR="00B56F2E" w:rsidRPr="00EC78E0" w:rsidRDefault="00B56F2E" w:rsidP="00EC78E0">
      <w:pPr>
        <w:pStyle w:val="paragraph"/>
        <w:tabs>
          <w:tab w:val="clear" w:pos="1531"/>
          <w:tab w:val="left" w:pos="709"/>
        </w:tabs>
        <w:ind w:left="1418" w:hanging="1560"/>
        <w:rPr>
          <w:szCs w:val="22"/>
        </w:rPr>
      </w:pPr>
      <w:r>
        <w:rPr>
          <w:szCs w:val="22"/>
        </w:rPr>
        <w:tab/>
      </w:r>
      <w:r w:rsidRPr="00EC78E0">
        <w:rPr>
          <w:szCs w:val="22"/>
        </w:rPr>
        <w:t>(b)</w:t>
      </w:r>
      <w:r w:rsidRPr="00EC78E0">
        <w:rPr>
          <w:szCs w:val="22"/>
        </w:rPr>
        <w:tab/>
        <w:t xml:space="preserve">the employee commences employment in an APS agency that is not a Gaining Agency to which the employee was moved by determination in writing under section 72(1)(a) of the </w:t>
      </w:r>
      <w:r w:rsidRPr="00EC78E0">
        <w:rPr>
          <w:i/>
          <w:szCs w:val="22"/>
        </w:rPr>
        <w:t>Public Service Act 1999</w:t>
      </w:r>
      <w:r w:rsidRPr="00EC78E0">
        <w:rPr>
          <w:szCs w:val="22"/>
        </w:rPr>
        <w:t xml:space="preserve"> (whether by engagement as an APS employee pursuant to section 22(1) of the </w:t>
      </w:r>
      <w:r w:rsidRPr="00EC78E0">
        <w:rPr>
          <w:i/>
          <w:szCs w:val="22"/>
        </w:rPr>
        <w:t>Public Service Act 1999</w:t>
      </w:r>
      <w:r w:rsidRPr="00EC78E0">
        <w:rPr>
          <w:szCs w:val="22"/>
        </w:rPr>
        <w:t xml:space="preserve"> or by movement from another APS agency pursuant to section 26 or 27 of the </w:t>
      </w:r>
      <w:r w:rsidRPr="00EC78E0">
        <w:rPr>
          <w:i/>
          <w:szCs w:val="22"/>
        </w:rPr>
        <w:t>Public Service Act 1999</w:t>
      </w:r>
      <w:r w:rsidRPr="00EC78E0">
        <w:rPr>
          <w:szCs w:val="22"/>
        </w:rPr>
        <w:t>).</w:t>
      </w:r>
    </w:p>
    <w:p w:rsidR="00087AE9" w:rsidRPr="00F51519" w:rsidRDefault="00087AE9" w:rsidP="00087AE9">
      <w:pPr>
        <w:spacing w:before="240"/>
        <w:ind w:left="567" w:hanging="567"/>
      </w:pPr>
      <w:r w:rsidRPr="00F51519">
        <w:rPr>
          <w:rStyle w:val="CharSectno"/>
        </w:rPr>
        <w:t>5A.</w:t>
      </w:r>
      <w:r w:rsidRPr="00F51519">
        <w:rPr>
          <w:rStyle w:val="CharSectno"/>
        </w:rPr>
        <w:tab/>
      </w:r>
      <w:r w:rsidRPr="00F51519">
        <w:t>This Determination ceases to apply to an employee with effect from 30 January 2014 if the employee is an employee in:</w:t>
      </w:r>
    </w:p>
    <w:p w:rsidR="00087AE9" w:rsidRPr="00F51519" w:rsidRDefault="00087AE9" w:rsidP="00F51519">
      <w:pPr>
        <w:pStyle w:val="paragraph"/>
        <w:tabs>
          <w:tab w:val="clear" w:pos="1531"/>
          <w:tab w:val="left" w:pos="709"/>
        </w:tabs>
        <w:ind w:left="1418" w:hanging="1560"/>
        <w:rPr>
          <w:szCs w:val="22"/>
        </w:rPr>
      </w:pPr>
      <w:r w:rsidRPr="00F51519">
        <w:rPr>
          <w:szCs w:val="22"/>
        </w:rPr>
        <w:tab/>
        <w:t xml:space="preserve">(a) </w:t>
      </w:r>
      <w:r w:rsidRPr="00F51519">
        <w:rPr>
          <w:szCs w:val="22"/>
        </w:rPr>
        <w:tab/>
        <w:t>the Attorney-General’s Department; or</w:t>
      </w:r>
    </w:p>
    <w:p w:rsidR="00087AE9" w:rsidRPr="00F51519" w:rsidRDefault="00087AE9" w:rsidP="00F51519">
      <w:pPr>
        <w:pStyle w:val="paragraph"/>
        <w:tabs>
          <w:tab w:val="clear" w:pos="1531"/>
          <w:tab w:val="left" w:pos="709"/>
        </w:tabs>
        <w:ind w:left="1418" w:hanging="1560"/>
        <w:rPr>
          <w:szCs w:val="22"/>
        </w:rPr>
      </w:pPr>
      <w:r w:rsidRPr="00F51519">
        <w:rPr>
          <w:szCs w:val="22"/>
        </w:rPr>
        <w:tab/>
        <w:t>(b)</w:t>
      </w:r>
      <w:r w:rsidRPr="00F51519">
        <w:rPr>
          <w:szCs w:val="22"/>
        </w:rPr>
        <w:tab/>
        <w:t>the Australian Trade Commission; or</w:t>
      </w:r>
    </w:p>
    <w:p w:rsidR="00087AE9" w:rsidRPr="00F51519" w:rsidRDefault="00087AE9" w:rsidP="00F51519">
      <w:pPr>
        <w:pStyle w:val="paragraph"/>
        <w:tabs>
          <w:tab w:val="clear" w:pos="1531"/>
          <w:tab w:val="left" w:pos="709"/>
        </w:tabs>
        <w:ind w:left="1418" w:hanging="1560"/>
        <w:rPr>
          <w:szCs w:val="22"/>
        </w:rPr>
      </w:pPr>
      <w:r w:rsidRPr="00F51519">
        <w:rPr>
          <w:szCs w:val="22"/>
        </w:rPr>
        <w:tab/>
        <w:t>(c)</w:t>
      </w:r>
      <w:r w:rsidRPr="00F51519">
        <w:rPr>
          <w:szCs w:val="22"/>
        </w:rPr>
        <w:tab/>
        <w:t>the Department of the Environment; or</w:t>
      </w:r>
    </w:p>
    <w:p w:rsidR="00087AE9" w:rsidRPr="00F51519" w:rsidRDefault="00087AE9" w:rsidP="00F51519">
      <w:pPr>
        <w:pStyle w:val="paragraph"/>
        <w:tabs>
          <w:tab w:val="clear" w:pos="1531"/>
          <w:tab w:val="left" w:pos="709"/>
        </w:tabs>
        <w:ind w:left="1418" w:hanging="1560"/>
        <w:rPr>
          <w:szCs w:val="22"/>
        </w:rPr>
      </w:pPr>
      <w:r w:rsidRPr="00F51519">
        <w:rPr>
          <w:szCs w:val="22"/>
        </w:rPr>
        <w:tab/>
        <w:t>(d)</w:t>
      </w:r>
      <w:r w:rsidRPr="00F51519">
        <w:rPr>
          <w:szCs w:val="22"/>
        </w:rPr>
        <w:tab/>
        <w:t>the Department of Foreign Affairs and Trade; or</w:t>
      </w:r>
    </w:p>
    <w:p w:rsidR="00087AE9" w:rsidRPr="00F51519" w:rsidRDefault="00087AE9" w:rsidP="00F51519">
      <w:pPr>
        <w:pStyle w:val="paragraph"/>
        <w:tabs>
          <w:tab w:val="clear" w:pos="1531"/>
          <w:tab w:val="left" w:pos="709"/>
        </w:tabs>
        <w:ind w:left="1418" w:hanging="1560"/>
        <w:rPr>
          <w:szCs w:val="22"/>
        </w:rPr>
      </w:pPr>
      <w:r w:rsidRPr="00F51519">
        <w:rPr>
          <w:szCs w:val="22"/>
        </w:rPr>
        <w:tab/>
        <w:t>(e)</w:t>
      </w:r>
      <w:r w:rsidRPr="00F51519">
        <w:rPr>
          <w:szCs w:val="22"/>
        </w:rPr>
        <w:tab/>
        <w:t>the Department of Industry; or</w:t>
      </w:r>
    </w:p>
    <w:p w:rsidR="00087AE9" w:rsidRPr="00F51519" w:rsidRDefault="00087AE9" w:rsidP="00F51519">
      <w:pPr>
        <w:pStyle w:val="paragraph"/>
        <w:tabs>
          <w:tab w:val="clear" w:pos="1531"/>
          <w:tab w:val="left" w:pos="709"/>
        </w:tabs>
        <w:ind w:left="1418" w:hanging="1560"/>
        <w:rPr>
          <w:szCs w:val="22"/>
        </w:rPr>
      </w:pPr>
      <w:r w:rsidRPr="00F51519">
        <w:rPr>
          <w:szCs w:val="22"/>
        </w:rPr>
        <w:tab/>
        <w:t>(f)</w:t>
      </w:r>
      <w:r w:rsidRPr="00F51519">
        <w:rPr>
          <w:szCs w:val="22"/>
        </w:rPr>
        <w:tab/>
        <w:t>the Department of the Treasury.</w:t>
      </w:r>
    </w:p>
    <w:p w:rsidR="00087AE9" w:rsidRPr="00F51519" w:rsidRDefault="00087AE9" w:rsidP="00087AE9">
      <w:pPr>
        <w:spacing w:before="240"/>
        <w:ind w:left="567" w:hanging="567"/>
      </w:pPr>
      <w:r w:rsidRPr="00F51519">
        <w:rPr>
          <w:rStyle w:val="CharSectno"/>
        </w:rPr>
        <w:t>5B.</w:t>
      </w:r>
      <w:r w:rsidRPr="00F51519">
        <w:rPr>
          <w:rStyle w:val="CharSectno"/>
        </w:rPr>
        <w:tab/>
      </w:r>
      <w:r w:rsidRPr="00F51519">
        <w:t>However, the annual salary that applies to the employee on 30 January 2014 is the greater of:</w:t>
      </w:r>
    </w:p>
    <w:p w:rsidR="00087AE9" w:rsidRPr="00C8302D" w:rsidRDefault="00087AE9" w:rsidP="00F51519">
      <w:pPr>
        <w:pStyle w:val="paragraph"/>
        <w:tabs>
          <w:tab w:val="clear" w:pos="1531"/>
          <w:tab w:val="left" w:pos="709"/>
        </w:tabs>
        <w:ind w:left="1418" w:hanging="1560"/>
        <w:rPr>
          <w:szCs w:val="22"/>
        </w:rPr>
      </w:pPr>
      <w:r w:rsidRPr="00C8302D">
        <w:rPr>
          <w:szCs w:val="22"/>
        </w:rPr>
        <w:tab/>
        <w:t>(a)</w:t>
      </w:r>
      <w:r w:rsidRPr="00C8302D">
        <w:rPr>
          <w:szCs w:val="22"/>
        </w:rPr>
        <w:tab/>
        <w:t>the annual salary that applied to the e</w:t>
      </w:r>
      <w:r>
        <w:rPr>
          <w:szCs w:val="22"/>
        </w:rPr>
        <w:t>mployee immediately before 30</w:t>
      </w:r>
      <w:r w:rsidRPr="00C8302D">
        <w:rPr>
          <w:szCs w:val="22"/>
        </w:rPr>
        <w:t xml:space="preserve"> January 2014; and</w:t>
      </w:r>
    </w:p>
    <w:p w:rsidR="00087AE9" w:rsidRPr="00C8302D" w:rsidRDefault="00087AE9" w:rsidP="00F51519">
      <w:pPr>
        <w:pStyle w:val="paragraph"/>
        <w:tabs>
          <w:tab w:val="clear" w:pos="1531"/>
          <w:tab w:val="left" w:pos="709"/>
        </w:tabs>
        <w:ind w:left="1418" w:hanging="1560"/>
        <w:rPr>
          <w:szCs w:val="22"/>
        </w:rPr>
      </w:pPr>
      <w:r w:rsidRPr="00C8302D">
        <w:rPr>
          <w:szCs w:val="22"/>
        </w:rPr>
        <w:lastRenderedPageBreak/>
        <w:tab/>
        <w:t>(b)</w:t>
      </w:r>
      <w:r w:rsidRPr="00C8302D">
        <w:rPr>
          <w:szCs w:val="22"/>
        </w:rPr>
        <w:tab/>
        <w:t>the annual salary that would, apart from this clause, apply to the employee</w:t>
      </w:r>
      <w:r>
        <w:rPr>
          <w:szCs w:val="22"/>
        </w:rPr>
        <w:t xml:space="preserve"> on 30 </w:t>
      </w:r>
      <w:r w:rsidRPr="00C8302D">
        <w:rPr>
          <w:szCs w:val="22"/>
        </w:rPr>
        <w:t>January 2014.</w:t>
      </w:r>
    </w:p>
    <w:p w:rsidR="00087AE9" w:rsidRPr="00F51519" w:rsidRDefault="00087AE9">
      <w:pPr>
        <w:spacing w:before="240"/>
        <w:ind w:left="567" w:hanging="567"/>
      </w:pPr>
      <w:r w:rsidRPr="00F51519">
        <w:rPr>
          <w:rStyle w:val="CharSectno"/>
        </w:rPr>
        <w:t>5C.</w:t>
      </w:r>
      <w:r w:rsidRPr="00F51519">
        <w:rPr>
          <w:rStyle w:val="CharSectno"/>
        </w:rPr>
        <w:tab/>
      </w:r>
      <w:r w:rsidRPr="00F51519">
        <w:t>The annual salary worked out under clause 5B ceases to apply when the salary of the employee is increased by:</w:t>
      </w:r>
    </w:p>
    <w:p w:rsidR="00087AE9" w:rsidRPr="00C8302D" w:rsidRDefault="00087AE9" w:rsidP="00F51519">
      <w:pPr>
        <w:pStyle w:val="paragraph"/>
        <w:tabs>
          <w:tab w:val="clear" w:pos="1531"/>
          <w:tab w:val="left" w:pos="709"/>
        </w:tabs>
        <w:ind w:left="1418" w:hanging="1560"/>
        <w:rPr>
          <w:szCs w:val="22"/>
        </w:rPr>
      </w:pPr>
      <w:r w:rsidRPr="00C8302D">
        <w:rPr>
          <w:szCs w:val="22"/>
        </w:rPr>
        <w:tab/>
        <w:t>(a)</w:t>
      </w:r>
      <w:r w:rsidRPr="00C8302D">
        <w:rPr>
          <w:szCs w:val="22"/>
        </w:rPr>
        <w:tab/>
        <w:t xml:space="preserve">a fair work instrument within the meaning of the </w:t>
      </w:r>
      <w:r w:rsidRPr="00D4362B">
        <w:rPr>
          <w:i/>
          <w:szCs w:val="22"/>
        </w:rPr>
        <w:t>Fair Work Act 2009</w:t>
      </w:r>
      <w:r w:rsidRPr="00C8302D">
        <w:rPr>
          <w:szCs w:val="22"/>
        </w:rPr>
        <w:t>; or</w:t>
      </w:r>
    </w:p>
    <w:p w:rsidR="00087AE9" w:rsidRPr="00F51519" w:rsidRDefault="00087AE9" w:rsidP="00F51519">
      <w:pPr>
        <w:pStyle w:val="paragraph"/>
        <w:tabs>
          <w:tab w:val="clear" w:pos="1531"/>
          <w:tab w:val="left" w:pos="709"/>
        </w:tabs>
        <w:ind w:left="1418" w:hanging="1560"/>
        <w:rPr>
          <w:szCs w:val="22"/>
        </w:rPr>
      </w:pPr>
      <w:r w:rsidRPr="00C8302D">
        <w:rPr>
          <w:szCs w:val="22"/>
        </w:rPr>
        <w:tab/>
        <w:t>(b)</w:t>
      </w:r>
      <w:r w:rsidRPr="00C8302D">
        <w:rPr>
          <w:szCs w:val="22"/>
        </w:rPr>
        <w:tab/>
        <w:t xml:space="preserve">a transitional instrument within the meaning of the </w:t>
      </w:r>
      <w:r w:rsidRPr="00D4362B">
        <w:rPr>
          <w:i/>
          <w:szCs w:val="22"/>
        </w:rPr>
        <w:t>Fair Work (Transitional Provisions and Consequential Amendments) Act 2009</w:t>
      </w:r>
      <w:r w:rsidRPr="00F51519">
        <w:rPr>
          <w:szCs w:val="22"/>
        </w:rPr>
        <w:t>; or</w:t>
      </w:r>
    </w:p>
    <w:p w:rsidR="00087AE9" w:rsidRPr="00F51519" w:rsidRDefault="00087AE9" w:rsidP="00F51519">
      <w:pPr>
        <w:pStyle w:val="paragraph"/>
        <w:tabs>
          <w:tab w:val="clear" w:pos="1531"/>
          <w:tab w:val="left" w:pos="709"/>
        </w:tabs>
        <w:ind w:left="1418" w:hanging="1560"/>
        <w:rPr>
          <w:szCs w:val="22"/>
        </w:rPr>
      </w:pPr>
      <w:r w:rsidRPr="00F51519">
        <w:rPr>
          <w:szCs w:val="22"/>
        </w:rPr>
        <w:tab/>
        <w:t>(c)</w:t>
      </w:r>
      <w:r w:rsidRPr="00C8302D">
        <w:rPr>
          <w:szCs w:val="22"/>
        </w:rPr>
        <w:tab/>
      </w:r>
      <w:r w:rsidRPr="00F51519">
        <w:rPr>
          <w:szCs w:val="22"/>
        </w:rPr>
        <w:t xml:space="preserve">a determination under subsection 24(1) or (3) of the </w:t>
      </w:r>
      <w:r w:rsidRPr="00D4362B">
        <w:rPr>
          <w:i/>
          <w:szCs w:val="22"/>
        </w:rPr>
        <w:t>Public Service Act 1999</w:t>
      </w:r>
      <w:r w:rsidRPr="00F51519">
        <w:rPr>
          <w:szCs w:val="22"/>
        </w:rPr>
        <w:t xml:space="preserve">; or </w:t>
      </w:r>
    </w:p>
    <w:p w:rsidR="00087AE9" w:rsidRPr="00F51519" w:rsidRDefault="00087AE9" w:rsidP="00F51519">
      <w:pPr>
        <w:pStyle w:val="paragraph"/>
        <w:tabs>
          <w:tab w:val="clear" w:pos="1531"/>
          <w:tab w:val="left" w:pos="709"/>
        </w:tabs>
        <w:ind w:left="1418" w:hanging="1560"/>
        <w:rPr>
          <w:szCs w:val="22"/>
        </w:rPr>
      </w:pPr>
      <w:r w:rsidRPr="00F51519">
        <w:rPr>
          <w:szCs w:val="22"/>
        </w:rPr>
        <w:tab/>
        <w:t>(d)</w:t>
      </w:r>
      <w:r w:rsidRPr="00F51519">
        <w:rPr>
          <w:szCs w:val="22"/>
        </w:rPr>
        <w:tab/>
        <w:t>a written contract of employment.</w:t>
      </w:r>
    </w:p>
    <w:p w:rsidR="005829ED" w:rsidRPr="00E32AE4" w:rsidRDefault="005829ED" w:rsidP="00192AA3">
      <w:pPr>
        <w:keepNext/>
        <w:keepLines/>
        <w:spacing w:before="240"/>
        <w:rPr>
          <w:rFonts w:cs="Times New Roman"/>
          <w:b/>
          <w:sz w:val="24"/>
          <w:szCs w:val="24"/>
        </w:rPr>
      </w:pPr>
      <w:r w:rsidRPr="00E32AE4">
        <w:rPr>
          <w:rFonts w:cs="Times New Roman"/>
          <w:b/>
          <w:sz w:val="24"/>
          <w:szCs w:val="24"/>
        </w:rPr>
        <w:t xml:space="preserve">Operation of other instruments </w:t>
      </w:r>
    </w:p>
    <w:p w:rsidR="005829ED" w:rsidRPr="00536E36" w:rsidRDefault="00192AA3" w:rsidP="00192AA3">
      <w:pPr>
        <w:spacing w:before="240"/>
        <w:ind w:left="567" w:hanging="567"/>
        <w:rPr>
          <w:rFonts w:cs="Times New Roman"/>
          <w:szCs w:val="22"/>
        </w:rPr>
      </w:pPr>
      <w:r w:rsidRPr="00A967D1">
        <w:rPr>
          <w:rStyle w:val="CharSectno"/>
        </w:rPr>
        <w:t>6</w:t>
      </w:r>
      <w:r>
        <w:rPr>
          <w:rFonts w:cs="Times New Roman"/>
          <w:szCs w:val="22"/>
        </w:rPr>
        <w:t>.</w:t>
      </w:r>
      <w:r>
        <w:rPr>
          <w:rFonts w:cs="Times New Roman"/>
          <w:szCs w:val="22"/>
        </w:rPr>
        <w:tab/>
      </w:r>
      <w:r w:rsidR="005829ED" w:rsidRPr="00536E36">
        <w:rPr>
          <w:rFonts w:cs="Times New Roman"/>
          <w:szCs w:val="22"/>
        </w:rPr>
        <w:t>Employees to whom this Determination applies will not be covered by:</w:t>
      </w:r>
    </w:p>
    <w:p w:rsidR="005829ED" w:rsidRPr="00536E36" w:rsidRDefault="00192AA3" w:rsidP="00192AA3">
      <w:pPr>
        <w:pStyle w:val="paragraph"/>
        <w:tabs>
          <w:tab w:val="clear" w:pos="1531"/>
          <w:tab w:val="left" w:pos="709"/>
        </w:tabs>
        <w:ind w:left="1418" w:hanging="1560"/>
        <w:rPr>
          <w:szCs w:val="22"/>
        </w:rPr>
      </w:pPr>
      <w:r>
        <w:rPr>
          <w:szCs w:val="22"/>
        </w:rPr>
        <w:tab/>
        <w:t>(a)</w:t>
      </w:r>
      <w:r>
        <w:rPr>
          <w:szCs w:val="22"/>
        </w:rPr>
        <w:tab/>
      </w:r>
      <w:r w:rsidR="005829ED" w:rsidRPr="00536E36">
        <w:rPr>
          <w:szCs w:val="22"/>
        </w:rPr>
        <w:t>any enterprise agreement (other than an enterprise agreement that commences operation after the date on which this Determination takes effect);</w:t>
      </w:r>
      <w:r w:rsidR="005829ED" w:rsidRPr="00192AA3">
        <w:rPr>
          <w:szCs w:val="22"/>
        </w:rPr>
        <w:t xml:space="preserve"> </w:t>
      </w:r>
    </w:p>
    <w:p w:rsidR="005829ED" w:rsidRPr="00536E36" w:rsidRDefault="00192AA3" w:rsidP="00192AA3">
      <w:pPr>
        <w:pStyle w:val="paragraph"/>
        <w:tabs>
          <w:tab w:val="clear" w:pos="1531"/>
          <w:tab w:val="left" w:pos="709"/>
        </w:tabs>
        <w:ind w:left="1418" w:hanging="1560"/>
        <w:rPr>
          <w:szCs w:val="22"/>
        </w:rPr>
      </w:pPr>
      <w:r>
        <w:rPr>
          <w:szCs w:val="22"/>
        </w:rPr>
        <w:tab/>
        <w:t>(b)</w:t>
      </w:r>
      <w:r>
        <w:rPr>
          <w:szCs w:val="22"/>
        </w:rPr>
        <w:tab/>
      </w:r>
      <w:r w:rsidR="005829ED" w:rsidRPr="00536E36">
        <w:rPr>
          <w:szCs w:val="22"/>
        </w:rPr>
        <w:t xml:space="preserve">the </w:t>
      </w:r>
      <w:r w:rsidR="005829ED" w:rsidRPr="00192AA3">
        <w:rPr>
          <w:i/>
          <w:szCs w:val="22"/>
        </w:rPr>
        <w:t>Australian Public Service Award 1998</w:t>
      </w:r>
      <w:r w:rsidR="005829ED" w:rsidRPr="00536E36">
        <w:rPr>
          <w:szCs w:val="22"/>
        </w:rPr>
        <w:t>; or</w:t>
      </w:r>
    </w:p>
    <w:p w:rsidR="005829ED" w:rsidRPr="00536E36" w:rsidRDefault="00192AA3" w:rsidP="00192AA3">
      <w:pPr>
        <w:pStyle w:val="paragraph"/>
        <w:tabs>
          <w:tab w:val="clear" w:pos="1531"/>
          <w:tab w:val="left" w:pos="709"/>
        </w:tabs>
        <w:ind w:left="1418" w:hanging="1560"/>
        <w:rPr>
          <w:szCs w:val="22"/>
        </w:rPr>
      </w:pPr>
      <w:r>
        <w:rPr>
          <w:szCs w:val="22"/>
        </w:rPr>
        <w:tab/>
        <w:t>(c)</w:t>
      </w:r>
      <w:r>
        <w:rPr>
          <w:szCs w:val="22"/>
        </w:rPr>
        <w:tab/>
      </w:r>
      <w:r w:rsidR="005829ED" w:rsidRPr="00536E36">
        <w:rPr>
          <w:szCs w:val="22"/>
        </w:rPr>
        <w:t xml:space="preserve">any other fair work instrument or </w:t>
      </w:r>
      <w:proofErr w:type="spellStart"/>
      <w:r w:rsidR="005829ED" w:rsidRPr="00536E36">
        <w:rPr>
          <w:szCs w:val="22"/>
        </w:rPr>
        <w:t>WR</w:t>
      </w:r>
      <w:proofErr w:type="spellEnd"/>
      <w:r w:rsidR="005829ED" w:rsidRPr="00536E36">
        <w:rPr>
          <w:szCs w:val="22"/>
        </w:rPr>
        <w:t xml:space="preserve"> Act transitional instrument (as those terms are defined in the </w:t>
      </w:r>
      <w:r w:rsidR="005829ED" w:rsidRPr="00192AA3">
        <w:rPr>
          <w:i/>
          <w:szCs w:val="22"/>
        </w:rPr>
        <w:t>Public Service Act 1999</w:t>
      </w:r>
      <w:r w:rsidR="005829ED" w:rsidRPr="00536E36">
        <w:rPr>
          <w:szCs w:val="22"/>
        </w:rPr>
        <w:t xml:space="preserve">) that would otherwise cover the employee. </w:t>
      </w:r>
    </w:p>
    <w:p w:rsidR="005829ED" w:rsidRPr="00E32AE4" w:rsidRDefault="005829ED" w:rsidP="00192AA3">
      <w:pPr>
        <w:keepNext/>
        <w:keepLines/>
        <w:spacing w:before="240"/>
        <w:rPr>
          <w:rFonts w:cs="Times New Roman"/>
          <w:b/>
          <w:sz w:val="24"/>
          <w:szCs w:val="24"/>
        </w:rPr>
      </w:pPr>
      <w:r w:rsidRPr="00E32AE4">
        <w:rPr>
          <w:rFonts w:cs="Times New Roman"/>
          <w:b/>
          <w:sz w:val="24"/>
          <w:szCs w:val="24"/>
        </w:rPr>
        <w:t xml:space="preserve">Terms and conditions applying to employees </w:t>
      </w:r>
    </w:p>
    <w:p w:rsidR="005829ED" w:rsidRPr="00536E36" w:rsidRDefault="00192AA3" w:rsidP="00192AA3">
      <w:pPr>
        <w:spacing w:before="240"/>
        <w:ind w:left="567" w:hanging="567"/>
        <w:rPr>
          <w:rFonts w:cs="Times New Roman"/>
          <w:i/>
          <w:szCs w:val="22"/>
        </w:rPr>
      </w:pPr>
      <w:bookmarkStart w:id="2" w:name="_Ref367096093"/>
      <w:r w:rsidRPr="00A967D1">
        <w:rPr>
          <w:rStyle w:val="CharSectno"/>
        </w:rPr>
        <w:t>7</w:t>
      </w:r>
      <w:r>
        <w:rPr>
          <w:rFonts w:cs="Times New Roman"/>
          <w:szCs w:val="22"/>
        </w:rPr>
        <w:t>.</w:t>
      </w:r>
      <w:r>
        <w:rPr>
          <w:rFonts w:cs="Times New Roman"/>
          <w:szCs w:val="22"/>
        </w:rPr>
        <w:tab/>
      </w:r>
      <w:r w:rsidR="005829ED" w:rsidRPr="00536E36">
        <w:rPr>
          <w:rFonts w:cs="Times New Roman"/>
          <w:szCs w:val="22"/>
        </w:rPr>
        <w:t>The terms and conditions of employment (including remuneration) of:</w:t>
      </w:r>
      <w:bookmarkEnd w:id="2"/>
    </w:p>
    <w:p w:rsidR="005829ED" w:rsidRPr="00536E36" w:rsidRDefault="00192AA3" w:rsidP="00A33DF9">
      <w:pPr>
        <w:pStyle w:val="paragraph"/>
        <w:tabs>
          <w:tab w:val="clear" w:pos="1531"/>
          <w:tab w:val="left" w:pos="709"/>
        </w:tabs>
        <w:ind w:left="1417" w:hanging="1559"/>
        <w:rPr>
          <w:szCs w:val="22"/>
        </w:rPr>
      </w:pPr>
      <w:r>
        <w:rPr>
          <w:szCs w:val="22"/>
        </w:rPr>
        <w:tab/>
        <w:t>(a)</w:t>
      </w:r>
      <w:r>
        <w:rPr>
          <w:szCs w:val="22"/>
        </w:rPr>
        <w:tab/>
      </w:r>
      <w:r w:rsidR="005829ED" w:rsidRPr="00536E36">
        <w:rPr>
          <w:szCs w:val="22"/>
        </w:rPr>
        <w:t xml:space="preserve">a Moving Employee shall be the same as they would have been if the Governor-General in Council had not made the Administrative Arrangements Orders on 18 September 2013; </w:t>
      </w:r>
    </w:p>
    <w:p w:rsidR="005829ED" w:rsidRPr="00536E36" w:rsidRDefault="00192AA3" w:rsidP="00192AA3">
      <w:pPr>
        <w:pStyle w:val="paragraph"/>
        <w:tabs>
          <w:tab w:val="clear" w:pos="1531"/>
          <w:tab w:val="left" w:pos="709"/>
        </w:tabs>
        <w:ind w:left="1418" w:hanging="1560"/>
        <w:rPr>
          <w:szCs w:val="22"/>
        </w:rPr>
      </w:pPr>
      <w:bookmarkStart w:id="3" w:name="_Ref366865139"/>
      <w:r>
        <w:rPr>
          <w:szCs w:val="22"/>
        </w:rPr>
        <w:tab/>
        <w:t>(b)</w:t>
      </w:r>
      <w:r>
        <w:rPr>
          <w:szCs w:val="22"/>
        </w:rPr>
        <w:tab/>
      </w:r>
      <w:r w:rsidR="005829ED" w:rsidRPr="00536E36">
        <w:rPr>
          <w:szCs w:val="22"/>
        </w:rPr>
        <w:t xml:space="preserve">a New Employee shall be the terms and conditions (including remuneration) contained in the enterprise agreement that, immediately before the Governor-General in Council made the Administrative Arrangements Orders on 18 September 2013, applied to employees in the Losing Agency performing the function to be </w:t>
      </w:r>
      <w:bookmarkEnd w:id="3"/>
      <w:r w:rsidR="009C6FBA" w:rsidRPr="003B51AE">
        <w:rPr>
          <w:szCs w:val="22"/>
        </w:rPr>
        <w:t>performed by the New Employee;</w:t>
      </w:r>
    </w:p>
    <w:p w:rsidR="009C6FBA" w:rsidRPr="000F08DF" w:rsidRDefault="009C6FBA" w:rsidP="000F08DF">
      <w:pPr>
        <w:pStyle w:val="paragraph"/>
        <w:tabs>
          <w:tab w:val="clear" w:pos="1531"/>
          <w:tab w:val="left" w:pos="709"/>
        </w:tabs>
        <w:ind w:left="1418" w:hanging="1560"/>
        <w:rPr>
          <w:szCs w:val="22"/>
        </w:rPr>
      </w:pPr>
      <w:bookmarkStart w:id="4" w:name="_Ref366742921"/>
      <w:r>
        <w:rPr>
          <w:szCs w:val="22"/>
        </w:rPr>
        <w:tab/>
      </w:r>
      <w:r w:rsidRPr="000F08DF">
        <w:rPr>
          <w:szCs w:val="22"/>
        </w:rPr>
        <w:t>(c)</w:t>
      </w:r>
      <w:r w:rsidRPr="000F08DF">
        <w:rPr>
          <w:szCs w:val="22"/>
        </w:rPr>
        <w:tab/>
        <w:t xml:space="preserve">a Moving Aid Employee shall be the same as they would have been if the Administrator of the Commonwealth of Australia had not made the order on 17 October 2013 abolishing </w:t>
      </w:r>
      <w:proofErr w:type="spellStart"/>
      <w:r w:rsidRPr="000F08DF">
        <w:rPr>
          <w:szCs w:val="22"/>
        </w:rPr>
        <w:t>AusAID</w:t>
      </w:r>
      <w:proofErr w:type="spellEnd"/>
      <w:r w:rsidRPr="000F08DF">
        <w:rPr>
          <w:szCs w:val="22"/>
        </w:rPr>
        <w:t xml:space="preserve"> as an Executive Agency; </w:t>
      </w:r>
    </w:p>
    <w:p w:rsidR="009C6FBA" w:rsidRPr="000F08DF" w:rsidRDefault="009C6FBA" w:rsidP="009C6FBA">
      <w:pPr>
        <w:pStyle w:val="paragraph"/>
        <w:tabs>
          <w:tab w:val="clear" w:pos="1531"/>
          <w:tab w:val="left" w:pos="709"/>
        </w:tabs>
        <w:spacing w:before="60"/>
        <w:ind w:left="1417" w:hanging="1559"/>
        <w:rPr>
          <w:szCs w:val="22"/>
        </w:rPr>
      </w:pPr>
      <w:r>
        <w:rPr>
          <w:szCs w:val="22"/>
        </w:rPr>
        <w:tab/>
      </w:r>
      <w:r w:rsidRPr="000F08DF">
        <w:rPr>
          <w:szCs w:val="22"/>
        </w:rPr>
        <w:t>(d)</w:t>
      </w:r>
      <w:r w:rsidRPr="000F08DF">
        <w:rPr>
          <w:szCs w:val="22"/>
        </w:rPr>
        <w:tab/>
        <w:t xml:space="preserve">a New Aid employee shall be the terms and conditions contained in the </w:t>
      </w:r>
      <w:proofErr w:type="spellStart"/>
      <w:r w:rsidRPr="000F08DF">
        <w:rPr>
          <w:i/>
          <w:szCs w:val="22"/>
        </w:rPr>
        <w:t>AusAID</w:t>
      </w:r>
      <w:proofErr w:type="spellEnd"/>
      <w:r w:rsidRPr="000F08DF">
        <w:rPr>
          <w:i/>
          <w:szCs w:val="22"/>
        </w:rPr>
        <w:t xml:space="preserve"> Enterprise Agreement 2011 – 2014</w:t>
      </w:r>
      <w:r w:rsidRPr="000F08DF">
        <w:rPr>
          <w:szCs w:val="22"/>
        </w:rPr>
        <w:t>,</w:t>
      </w:r>
    </w:p>
    <w:p w:rsidR="009C6FBA" w:rsidRPr="00536E36" w:rsidRDefault="009C6FBA" w:rsidP="009C6FBA">
      <w:pPr>
        <w:pStyle w:val="paragraph"/>
        <w:tabs>
          <w:tab w:val="clear" w:pos="1531"/>
          <w:tab w:val="left" w:pos="709"/>
        </w:tabs>
        <w:spacing w:before="120"/>
        <w:ind w:left="708" w:hanging="1559"/>
        <w:rPr>
          <w:szCs w:val="22"/>
        </w:rPr>
      </w:pPr>
      <w:r>
        <w:rPr>
          <w:szCs w:val="22"/>
        </w:rPr>
        <w:tab/>
      </w:r>
      <w:r w:rsidRPr="00536E36">
        <w:rPr>
          <w:szCs w:val="22"/>
        </w:rPr>
        <w:t>except that any reference in the terms and conditions to the relevant Losing Agency is substituted with a reference to the relevant Gaining Agency.</w:t>
      </w:r>
    </w:p>
    <w:p w:rsidR="005829ED" w:rsidRPr="00536E36" w:rsidRDefault="00A967D1" w:rsidP="00A967D1">
      <w:pPr>
        <w:spacing w:before="240"/>
        <w:ind w:left="567" w:hanging="567"/>
        <w:rPr>
          <w:rFonts w:cs="Times New Roman"/>
          <w:szCs w:val="22"/>
        </w:rPr>
      </w:pPr>
      <w:r w:rsidRPr="00A967D1">
        <w:rPr>
          <w:rStyle w:val="CharSectno"/>
        </w:rPr>
        <w:t>8</w:t>
      </w:r>
      <w:r>
        <w:rPr>
          <w:rFonts w:cs="Times New Roman"/>
          <w:szCs w:val="22"/>
        </w:rPr>
        <w:t>.</w:t>
      </w:r>
      <w:r>
        <w:rPr>
          <w:rFonts w:cs="Times New Roman"/>
          <w:szCs w:val="22"/>
        </w:rPr>
        <w:tab/>
      </w:r>
      <w:r w:rsidR="005829ED" w:rsidRPr="00536E36">
        <w:rPr>
          <w:rFonts w:cs="Times New Roman"/>
          <w:szCs w:val="22"/>
        </w:rPr>
        <w:t>It is not</w:t>
      </w:r>
      <w:bookmarkEnd w:id="4"/>
      <w:r w:rsidR="005829ED" w:rsidRPr="00536E36">
        <w:rPr>
          <w:rFonts w:cs="Times New Roman"/>
          <w:szCs w:val="22"/>
        </w:rPr>
        <w:t xml:space="preserve"> inconsistent with this Determination for an Agency Head to make a determination pursuant to section 24(1) of the </w:t>
      </w:r>
      <w:r w:rsidR="005829ED" w:rsidRPr="00536E36">
        <w:rPr>
          <w:rFonts w:cs="Times New Roman"/>
          <w:i/>
          <w:szCs w:val="22"/>
        </w:rPr>
        <w:t>Public Service Act 1999</w:t>
      </w:r>
      <w:r w:rsidR="005829ED" w:rsidRPr="00536E36">
        <w:rPr>
          <w:rFonts w:cs="Times New Roman"/>
          <w:szCs w:val="22"/>
        </w:rPr>
        <w:t xml:space="preserve"> supplementing the terms and conditions of employment that apply to an employee by operation of this Determination.</w:t>
      </w:r>
    </w:p>
    <w:p w:rsidR="005829ED" w:rsidRPr="00E32AE4" w:rsidRDefault="005829ED" w:rsidP="00192AA3">
      <w:pPr>
        <w:keepNext/>
        <w:keepLines/>
        <w:spacing w:before="240"/>
        <w:rPr>
          <w:rFonts w:cs="Times New Roman"/>
          <w:b/>
          <w:sz w:val="24"/>
          <w:szCs w:val="24"/>
        </w:rPr>
      </w:pPr>
      <w:r w:rsidRPr="00E32AE4">
        <w:rPr>
          <w:rFonts w:cs="Times New Roman"/>
          <w:b/>
          <w:sz w:val="24"/>
          <w:szCs w:val="24"/>
        </w:rPr>
        <w:lastRenderedPageBreak/>
        <w:t>Policies, guidelines and procedures that applied to the employee in the Losing Agency</w:t>
      </w:r>
    </w:p>
    <w:p w:rsidR="005829ED" w:rsidRPr="00536E36" w:rsidRDefault="00A967D1" w:rsidP="00A967D1">
      <w:pPr>
        <w:spacing w:before="240"/>
        <w:ind w:left="567" w:hanging="567"/>
        <w:rPr>
          <w:rFonts w:cs="Times New Roman"/>
          <w:szCs w:val="22"/>
        </w:rPr>
      </w:pPr>
      <w:bookmarkStart w:id="5" w:name="_Ref367097212"/>
      <w:r w:rsidRPr="00A967D1">
        <w:rPr>
          <w:rStyle w:val="CharSectno"/>
        </w:rPr>
        <w:t>9</w:t>
      </w:r>
      <w:r>
        <w:rPr>
          <w:rFonts w:cs="Times New Roman"/>
          <w:szCs w:val="22"/>
        </w:rPr>
        <w:t>.</w:t>
      </w:r>
      <w:r>
        <w:rPr>
          <w:rFonts w:cs="Times New Roman"/>
          <w:szCs w:val="22"/>
        </w:rPr>
        <w:tab/>
      </w:r>
      <w:r w:rsidR="005829ED" w:rsidRPr="00536E36">
        <w:rPr>
          <w:rFonts w:cs="Times New Roman"/>
          <w:szCs w:val="22"/>
        </w:rPr>
        <w:t xml:space="preserve">This clause </w:t>
      </w:r>
      <w:r>
        <w:rPr>
          <w:rFonts w:cs="Times New Roman"/>
          <w:szCs w:val="22"/>
        </w:rPr>
        <w:t>9</w:t>
      </w:r>
      <w:r w:rsidR="005829ED" w:rsidRPr="00536E36">
        <w:rPr>
          <w:rFonts w:cs="Times New Roman"/>
          <w:szCs w:val="22"/>
        </w:rPr>
        <w:t xml:space="preserve"> applies where the terms and conditions of employment preserved by operation of clause </w:t>
      </w:r>
      <w:r>
        <w:rPr>
          <w:rFonts w:cs="Times New Roman"/>
          <w:szCs w:val="22"/>
        </w:rPr>
        <w:t xml:space="preserve">7 </w:t>
      </w:r>
      <w:r w:rsidR="005829ED" w:rsidRPr="00536E36">
        <w:rPr>
          <w:rFonts w:cs="Times New Roman"/>
          <w:szCs w:val="22"/>
        </w:rPr>
        <w:t xml:space="preserve">refer </w:t>
      </w:r>
      <w:bookmarkEnd w:id="5"/>
      <w:r w:rsidR="005829ED" w:rsidRPr="00536E36">
        <w:rPr>
          <w:rFonts w:cs="Times New Roman"/>
          <w:szCs w:val="22"/>
        </w:rPr>
        <w:t>to various policies, guidelines and procedures (however described) which applied to the employee</w:t>
      </w:r>
      <w:r>
        <w:rPr>
          <w:rFonts w:cs="Times New Roman"/>
          <w:szCs w:val="22"/>
        </w:rPr>
        <w:t>’</w:t>
      </w:r>
      <w:r w:rsidR="005829ED" w:rsidRPr="00536E36">
        <w:rPr>
          <w:rFonts w:cs="Times New Roman"/>
          <w:szCs w:val="22"/>
        </w:rPr>
        <w:t>s employment in the Losing Agency.  Any such policies, guidelines and procedures:</w:t>
      </w:r>
    </w:p>
    <w:p w:rsidR="005829ED" w:rsidRPr="00536E36" w:rsidRDefault="00A967D1" w:rsidP="00A967D1">
      <w:pPr>
        <w:pStyle w:val="paragraph"/>
        <w:tabs>
          <w:tab w:val="clear" w:pos="1531"/>
          <w:tab w:val="left" w:pos="709"/>
        </w:tabs>
        <w:ind w:left="1418" w:hanging="1560"/>
        <w:rPr>
          <w:szCs w:val="22"/>
        </w:rPr>
      </w:pPr>
      <w:r>
        <w:rPr>
          <w:szCs w:val="22"/>
        </w:rPr>
        <w:tab/>
        <w:t>(a)</w:t>
      </w:r>
      <w:r>
        <w:rPr>
          <w:szCs w:val="22"/>
        </w:rPr>
        <w:tab/>
      </w:r>
      <w:r w:rsidR="005829ED" w:rsidRPr="00536E36">
        <w:rPr>
          <w:szCs w:val="22"/>
        </w:rPr>
        <w:t>will continue to apply to the employee in their current form, except to the extent that a policy, guideline or procedure is not capable of meaningful operation because of the movement of the employee to the Gaining Agency; and</w:t>
      </w:r>
    </w:p>
    <w:p w:rsidR="005829ED" w:rsidRPr="00536E36" w:rsidRDefault="00A967D1" w:rsidP="00A967D1">
      <w:pPr>
        <w:pStyle w:val="paragraph"/>
        <w:tabs>
          <w:tab w:val="clear" w:pos="1531"/>
          <w:tab w:val="left" w:pos="709"/>
        </w:tabs>
        <w:ind w:left="1418" w:hanging="1560"/>
        <w:rPr>
          <w:szCs w:val="22"/>
        </w:rPr>
      </w:pPr>
      <w:r>
        <w:rPr>
          <w:szCs w:val="22"/>
        </w:rPr>
        <w:tab/>
        <w:t>(b)</w:t>
      </w:r>
      <w:r>
        <w:rPr>
          <w:szCs w:val="22"/>
        </w:rPr>
        <w:tab/>
      </w:r>
      <w:r w:rsidR="005829ED" w:rsidRPr="00536E36">
        <w:rPr>
          <w:szCs w:val="22"/>
        </w:rPr>
        <w:t>do not form part of this Determination and this Determination prevails over any policies, guidelines or procedures to the extent of any inconsistency.</w:t>
      </w:r>
    </w:p>
    <w:p w:rsidR="005829ED" w:rsidRPr="00536E36" w:rsidRDefault="005829ED" w:rsidP="005829ED">
      <w:pPr>
        <w:rPr>
          <w:rFonts w:cs="Times New Roman"/>
          <w:szCs w:val="22"/>
        </w:rPr>
      </w:pPr>
    </w:p>
    <w:p w:rsidR="00741069" w:rsidRDefault="00741069" w:rsidP="004A1E86"/>
    <w:p w:rsidR="00571388" w:rsidRPr="004F34D7" w:rsidRDefault="00571388" w:rsidP="004A1E86">
      <w:pPr>
        <w:sectPr w:rsidR="00571388" w:rsidRPr="004F34D7" w:rsidSect="00D273F8">
          <w:headerReference w:type="even" r:id="rId14"/>
          <w:headerReference w:type="default" r:id="rId15"/>
          <w:footerReference w:type="even" r:id="rId16"/>
          <w:footerReference w:type="default" r:id="rId17"/>
          <w:headerReference w:type="first" r:id="rId18"/>
          <w:footerReference w:type="first" r:id="rId19"/>
          <w:pgSz w:w="11907" w:h="16839" w:code="9"/>
          <w:pgMar w:top="2378" w:right="1797" w:bottom="1843" w:left="1797" w:header="720" w:footer="709" w:gutter="0"/>
          <w:pgNumType w:start="1"/>
          <w:cols w:space="708"/>
          <w:docGrid w:linePitch="360"/>
        </w:sectPr>
      </w:pPr>
    </w:p>
    <w:p w:rsidR="00571388" w:rsidRPr="00C41F08" w:rsidRDefault="00571388" w:rsidP="00061AA0">
      <w:pPr>
        <w:pStyle w:val="ENotesHeading1"/>
        <w:pageBreakBefore/>
        <w:spacing w:line="200" w:lineRule="atLeast"/>
        <w:outlineLvl w:val="9"/>
      </w:pPr>
      <w:bookmarkStart w:id="6" w:name="_Toc368562690"/>
      <w:bookmarkEnd w:id="1"/>
      <w:r w:rsidRPr="00C41F08">
        <w:lastRenderedPageBreak/>
        <w:t>Endnotes</w:t>
      </w:r>
      <w:bookmarkEnd w:id="6"/>
    </w:p>
    <w:p w:rsidR="00741069" w:rsidRPr="00BC57F4" w:rsidRDefault="00741069" w:rsidP="00061AA0">
      <w:pPr>
        <w:pStyle w:val="ENotesHeading2"/>
        <w:spacing w:line="200" w:lineRule="atLeast"/>
      </w:pPr>
      <w:r w:rsidRPr="00BC57F4">
        <w:t>Endnote 1—About the endnotes</w:t>
      </w:r>
    </w:p>
    <w:p w:rsidR="00741069" w:rsidRPr="00BC57F4" w:rsidRDefault="00741069" w:rsidP="00061AA0">
      <w:pPr>
        <w:spacing w:line="200" w:lineRule="atLeast"/>
      </w:pPr>
      <w:r w:rsidRPr="00BC57F4">
        <w:t xml:space="preserve">The endnotes provide details of the history of this </w:t>
      </w:r>
      <w:r>
        <w:t>legislation</w:t>
      </w:r>
      <w:r w:rsidRPr="00BC57F4">
        <w:t xml:space="preserve"> and its provisions. The following endnotes are included in each compilation:</w:t>
      </w:r>
    </w:p>
    <w:p w:rsidR="00741069" w:rsidRPr="00061AA0" w:rsidRDefault="00741069" w:rsidP="00061AA0">
      <w:pPr>
        <w:spacing w:line="180" w:lineRule="atLeast"/>
        <w:rPr>
          <w:sz w:val="18"/>
          <w:szCs w:val="18"/>
        </w:rPr>
      </w:pPr>
    </w:p>
    <w:p w:rsidR="00741069" w:rsidRPr="00BC57F4" w:rsidRDefault="00741069" w:rsidP="00061AA0">
      <w:pPr>
        <w:spacing w:line="200" w:lineRule="atLeast"/>
      </w:pPr>
      <w:r w:rsidRPr="00BC57F4">
        <w:t>Endnote 1—About the endnotes</w:t>
      </w:r>
    </w:p>
    <w:p w:rsidR="00741069" w:rsidRPr="00BC57F4" w:rsidRDefault="00741069" w:rsidP="00061AA0">
      <w:pPr>
        <w:spacing w:line="200" w:lineRule="atLeast"/>
      </w:pPr>
      <w:r w:rsidRPr="00BC57F4">
        <w:t>Endnote 2—Abbreviation key</w:t>
      </w:r>
    </w:p>
    <w:p w:rsidR="00741069" w:rsidRPr="00BC57F4" w:rsidRDefault="00741069" w:rsidP="00061AA0">
      <w:pPr>
        <w:spacing w:line="200" w:lineRule="atLeast"/>
      </w:pPr>
      <w:r w:rsidRPr="00BC57F4">
        <w:t>Endnote 3—Legislation history</w:t>
      </w:r>
    </w:p>
    <w:p w:rsidR="00741069" w:rsidRPr="00BC57F4" w:rsidRDefault="00741069" w:rsidP="00061AA0">
      <w:pPr>
        <w:spacing w:line="200" w:lineRule="atLeast"/>
      </w:pPr>
      <w:r w:rsidRPr="00BC57F4">
        <w:t>Endnote 4—Amendment history</w:t>
      </w:r>
    </w:p>
    <w:p w:rsidR="00741069" w:rsidRPr="00BC57F4" w:rsidRDefault="00741069" w:rsidP="00061AA0">
      <w:pPr>
        <w:spacing w:line="200" w:lineRule="atLeast"/>
      </w:pPr>
      <w:r w:rsidRPr="00BC57F4">
        <w:t>Endnote 5—</w:t>
      </w:r>
      <w:proofErr w:type="spellStart"/>
      <w:r w:rsidRPr="00BC57F4">
        <w:t>Uncommenced</w:t>
      </w:r>
      <w:proofErr w:type="spellEnd"/>
      <w:r w:rsidRPr="00BC57F4">
        <w:t xml:space="preserve"> amendments</w:t>
      </w:r>
    </w:p>
    <w:p w:rsidR="00741069" w:rsidRPr="00BC57F4" w:rsidRDefault="00741069" w:rsidP="00061AA0">
      <w:pPr>
        <w:spacing w:line="200" w:lineRule="atLeast"/>
      </w:pPr>
      <w:r w:rsidRPr="00BC57F4">
        <w:t>Endnote 6—Modifications</w:t>
      </w:r>
    </w:p>
    <w:p w:rsidR="00741069" w:rsidRPr="00BC57F4" w:rsidRDefault="00741069" w:rsidP="00061AA0">
      <w:pPr>
        <w:spacing w:line="200" w:lineRule="atLeast"/>
      </w:pPr>
      <w:r w:rsidRPr="00BC57F4">
        <w:t>Endnote 7—</w:t>
      </w:r>
      <w:proofErr w:type="spellStart"/>
      <w:r w:rsidRPr="00BC57F4">
        <w:t>Misdescribed</w:t>
      </w:r>
      <w:proofErr w:type="spellEnd"/>
      <w:r w:rsidRPr="00BC57F4">
        <w:t xml:space="preserve"> amendments</w:t>
      </w:r>
    </w:p>
    <w:p w:rsidR="00741069" w:rsidRPr="00BC57F4" w:rsidRDefault="00741069" w:rsidP="00061AA0">
      <w:pPr>
        <w:spacing w:line="200" w:lineRule="atLeast"/>
      </w:pPr>
      <w:r w:rsidRPr="00BC57F4">
        <w:t>Endnote 8—Miscellaneous</w:t>
      </w:r>
    </w:p>
    <w:p w:rsidR="00741069" w:rsidRPr="00061AA0" w:rsidRDefault="00741069" w:rsidP="00061AA0">
      <w:pPr>
        <w:spacing w:line="180" w:lineRule="atLeast"/>
        <w:rPr>
          <w:sz w:val="18"/>
          <w:szCs w:val="18"/>
        </w:rPr>
      </w:pPr>
    </w:p>
    <w:p w:rsidR="00741069" w:rsidRPr="00BC57F4" w:rsidRDefault="00741069" w:rsidP="00061AA0">
      <w:pPr>
        <w:spacing w:line="200" w:lineRule="atLeast"/>
      </w:pPr>
      <w:r w:rsidRPr="00BC57F4">
        <w:t>If there is no information under a particular endnote, the word “none” will appear in square brackets after the endnote heading.</w:t>
      </w:r>
    </w:p>
    <w:p w:rsidR="00741069" w:rsidRPr="00061AA0" w:rsidRDefault="00741069" w:rsidP="00061AA0">
      <w:pPr>
        <w:spacing w:line="180" w:lineRule="atLeast"/>
        <w:rPr>
          <w:sz w:val="18"/>
          <w:szCs w:val="18"/>
        </w:rPr>
      </w:pPr>
    </w:p>
    <w:p w:rsidR="00741069" w:rsidRPr="00BC57F4" w:rsidRDefault="00741069" w:rsidP="00061AA0">
      <w:pPr>
        <w:spacing w:line="200" w:lineRule="atLeast"/>
      </w:pPr>
      <w:r w:rsidRPr="00BC57F4">
        <w:rPr>
          <w:b/>
        </w:rPr>
        <w:t>Abbreviation key—</w:t>
      </w:r>
      <w:r>
        <w:rPr>
          <w:b/>
        </w:rPr>
        <w:t>E</w:t>
      </w:r>
      <w:r w:rsidRPr="00BC57F4">
        <w:rPr>
          <w:b/>
        </w:rPr>
        <w:t>ndnote 2</w:t>
      </w:r>
    </w:p>
    <w:p w:rsidR="00741069" w:rsidRPr="00BC57F4" w:rsidRDefault="00741069" w:rsidP="00061AA0">
      <w:pPr>
        <w:spacing w:line="200" w:lineRule="atLeast"/>
      </w:pPr>
      <w:r w:rsidRPr="00BC57F4">
        <w:t xml:space="preserve">The abbreviation key in this endnote sets out abbreviations </w:t>
      </w:r>
      <w:r>
        <w:t xml:space="preserve">that may be </w:t>
      </w:r>
      <w:r w:rsidRPr="00BC57F4">
        <w:t>used in the endnotes.</w:t>
      </w:r>
    </w:p>
    <w:p w:rsidR="00741069" w:rsidRPr="00061AA0" w:rsidRDefault="00741069" w:rsidP="00061AA0">
      <w:pPr>
        <w:spacing w:line="180" w:lineRule="atLeast"/>
        <w:rPr>
          <w:sz w:val="18"/>
          <w:szCs w:val="18"/>
        </w:rPr>
      </w:pPr>
    </w:p>
    <w:p w:rsidR="00741069" w:rsidRPr="00BC57F4" w:rsidRDefault="00741069" w:rsidP="00061AA0">
      <w:pPr>
        <w:spacing w:line="200" w:lineRule="atLeast"/>
        <w:rPr>
          <w:b/>
        </w:rPr>
      </w:pPr>
      <w:r w:rsidRPr="00BC57F4">
        <w:rPr>
          <w:b/>
        </w:rPr>
        <w:t>Legislation history and amendment history—</w:t>
      </w:r>
      <w:r>
        <w:rPr>
          <w:b/>
        </w:rPr>
        <w:t>E</w:t>
      </w:r>
      <w:r w:rsidRPr="00BC57F4">
        <w:rPr>
          <w:b/>
        </w:rPr>
        <w:t>ndnotes 3 and 4</w:t>
      </w:r>
    </w:p>
    <w:p w:rsidR="00741069" w:rsidRPr="00BC57F4" w:rsidRDefault="00741069" w:rsidP="00061AA0">
      <w:pPr>
        <w:spacing w:line="200" w:lineRule="atLeast"/>
      </w:pPr>
      <w:r w:rsidRPr="00BC57F4">
        <w:t>Amending laws are annotated in the legislation history and amendment history.</w:t>
      </w:r>
    </w:p>
    <w:p w:rsidR="00741069" w:rsidRPr="00061AA0" w:rsidRDefault="00741069" w:rsidP="00061AA0">
      <w:pPr>
        <w:spacing w:line="180" w:lineRule="atLeast"/>
        <w:rPr>
          <w:sz w:val="18"/>
          <w:szCs w:val="18"/>
        </w:rPr>
      </w:pPr>
    </w:p>
    <w:p w:rsidR="00741069" w:rsidRPr="00BC57F4" w:rsidRDefault="00741069" w:rsidP="00061AA0">
      <w:pPr>
        <w:spacing w:line="200" w:lineRule="atLeast"/>
      </w:pPr>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741069" w:rsidRPr="00061AA0" w:rsidRDefault="00741069" w:rsidP="00061AA0">
      <w:pPr>
        <w:spacing w:line="180" w:lineRule="atLeast"/>
        <w:rPr>
          <w:sz w:val="18"/>
          <w:szCs w:val="18"/>
        </w:rPr>
      </w:pPr>
    </w:p>
    <w:p w:rsidR="00741069" w:rsidRDefault="00741069" w:rsidP="00061AA0">
      <w:pPr>
        <w:spacing w:line="200" w:lineRule="atLeast"/>
      </w:pPr>
      <w:r w:rsidRPr="00BC57F4">
        <w:t>The amendment history in endnote 4 provides information about amendments at the provision level. It also includes information about any provisions that have expired or otherwise ceased to have effect in accordance with a</w:t>
      </w:r>
      <w:r>
        <w:t xml:space="preserve"> provision of the compiled law.</w:t>
      </w:r>
    </w:p>
    <w:p w:rsidR="00741069" w:rsidRPr="00061AA0" w:rsidRDefault="00741069" w:rsidP="00061AA0">
      <w:pPr>
        <w:spacing w:line="180" w:lineRule="atLeast"/>
        <w:rPr>
          <w:sz w:val="18"/>
          <w:szCs w:val="18"/>
        </w:rPr>
      </w:pPr>
    </w:p>
    <w:p w:rsidR="00741069" w:rsidRPr="00BC57F4" w:rsidRDefault="00741069" w:rsidP="00061AA0">
      <w:pPr>
        <w:spacing w:line="200" w:lineRule="atLeast"/>
        <w:rPr>
          <w:b/>
        </w:rPr>
      </w:pPr>
      <w:proofErr w:type="spellStart"/>
      <w:r w:rsidRPr="00BC57F4">
        <w:rPr>
          <w:b/>
        </w:rPr>
        <w:t>Uncommenced</w:t>
      </w:r>
      <w:proofErr w:type="spellEnd"/>
      <w:r w:rsidRPr="00BC57F4">
        <w:rPr>
          <w:b/>
        </w:rPr>
        <w:t xml:space="preserve"> amendments—</w:t>
      </w:r>
      <w:r>
        <w:rPr>
          <w:b/>
        </w:rPr>
        <w:t>E</w:t>
      </w:r>
      <w:r w:rsidRPr="00BC57F4">
        <w:rPr>
          <w:b/>
        </w:rPr>
        <w:t>ndnote 5</w:t>
      </w:r>
    </w:p>
    <w:p w:rsidR="00741069" w:rsidRDefault="00741069" w:rsidP="00061AA0">
      <w:pPr>
        <w:spacing w:line="200" w:lineRule="atLeast"/>
      </w:pPr>
      <w:r w:rsidRPr="00BC57F4">
        <w:t xml:space="preserve">The effect of </w:t>
      </w:r>
      <w:proofErr w:type="spellStart"/>
      <w:r w:rsidRPr="00BC57F4">
        <w:t>uncommenced</w:t>
      </w:r>
      <w:proofErr w:type="spellEnd"/>
      <w:r w:rsidRPr="00BC57F4">
        <w:t xml:space="preserve"> amendments is not reflected </w:t>
      </w:r>
      <w:r>
        <w:t>in the text of the compiled law</w:t>
      </w:r>
      <w:r w:rsidRPr="00BC57F4">
        <w:t xml:space="preserve"> but the text of the amendments </w:t>
      </w:r>
      <w:r>
        <w:t>is</w:t>
      </w:r>
      <w:r w:rsidRPr="00BC57F4">
        <w:t xml:space="preserve"> included in endnote 5.</w:t>
      </w:r>
    </w:p>
    <w:p w:rsidR="00061AA0" w:rsidRPr="00061AA0" w:rsidRDefault="00061AA0" w:rsidP="00061AA0">
      <w:pPr>
        <w:spacing w:line="180" w:lineRule="atLeast"/>
        <w:rPr>
          <w:sz w:val="18"/>
          <w:szCs w:val="18"/>
        </w:rPr>
      </w:pPr>
    </w:p>
    <w:p w:rsidR="00741069" w:rsidRPr="00BC57F4" w:rsidRDefault="00741069" w:rsidP="00061AA0">
      <w:pPr>
        <w:keepNext/>
        <w:spacing w:line="200" w:lineRule="atLeast"/>
        <w:rPr>
          <w:b/>
        </w:rPr>
      </w:pPr>
      <w:r w:rsidRPr="00BC57F4">
        <w:rPr>
          <w:b/>
        </w:rPr>
        <w:t>Modifications—</w:t>
      </w:r>
      <w:r>
        <w:rPr>
          <w:b/>
        </w:rPr>
        <w:t>E</w:t>
      </w:r>
      <w:r w:rsidRPr="00BC57F4">
        <w:rPr>
          <w:b/>
        </w:rPr>
        <w:t>ndnote 6</w:t>
      </w:r>
    </w:p>
    <w:p w:rsidR="00741069" w:rsidRPr="00BC57F4" w:rsidRDefault="00741069" w:rsidP="00061AA0">
      <w:pPr>
        <w:spacing w:line="200" w:lineRule="atLeast"/>
      </w:pPr>
      <w:r w:rsidRPr="00BC57F4">
        <w:t>If the compiled law is affected by a modification that is in force, details of the modification are included in endnote 6.</w:t>
      </w:r>
    </w:p>
    <w:p w:rsidR="00741069" w:rsidRPr="00061AA0" w:rsidRDefault="00741069" w:rsidP="00061AA0">
      <w:pPr>
        <w:spacing w:line="180" w:lineRule="atLeast"/>
        <w:rPr>
          <w:sz w:val="18"/>
          <w:szCs w:val="18"/>
        </w:rPr>
      </w:pPr>
    </w:p>
    <w:p w:rsidR="00741069" w:rsidRPr="00BC57F4" w:rsidRDefault="00741069" w:rsidP="00061AA0">
      <w:pPr>
        <w:keepNext/>
        <w:spacing w:line="200" w:lineRule="atLeast"/>
      </w:pPr>
      <w:proofErr w:type="spellStart"/>
      <w:r w:rsidRPr="00BC57F4">
        <w:rPr>
          <w:b/>
        </w:rPr>
        <w:t>Misdescribed</w:t>
      </w:r>
      <w:proofErr w:type="spellEnd"/>
      <w:r w:rsidRPr="00BC57F4">
        <w:rPr>
          <w:b/>
        </w:rPr>
        <w:t xml:space="preserve"> amendments—</w:t>
      </w:r>
      <w:r>
        <w:rPr>
          <w:b/>
        </w:rPr>
        <w:t>E</w:t>
      </w:r>
      <w:r w:rsidRPr="00BC57F4">
        <w:rPr>
          <w:b/>
        </w:rPr>
        <w:t>ndnote 7</w:t>
      </w:r>
    </w:p>
    <w:p w:rsidR="00741069" w:rsidRPr="00BC57F4" w:rsidRDefault="00741069" w:rsidP="00061AA0">
      <w:pPr>
        <w:spacing w:line="200" w:lineRule="atLeast"/>
      </w:pPr>
      <w:r w:rsidRPr="00BC57F4">
        <w:t xml:space="preserve">An amendment is a </w:t>
      </w:r>
      <w:proofErr w:type="spellStart"/>
      <w:r w:rsidRPr="00BC57F4">
        <w:t>misdescribed</w:t>
      </w:r>
      <w:proofErr w:type="spellEnd"/>
      <w:r w:rsidRPr="00BC57F4">
        <w:t xml:space="preserve"> amendment if the effect of the amendment cannot be incorporated into the text of the compilation</w:t>
      </w:r>
      <w:r>
        <w:t>.</w:t>
      </w:r>
      <w:r w:rsidRPr="00BC57F4">
        <w:t xml:space="preserve"> Any </w:t>
      </w:r>
      <w:proofErr w:type="spellStart"/>
      <w:r w:rsidRPr="00BC57F4">
        <w:t>misdescribed</w:t>
      </w:r>
      <w:proofErr w:type="spellEnd"/>
      <w:r w:rsidRPr="00BC57F4">
        <w:t xml:space="preserve"> amendment is included in endnote </w:t>
      </w:r>
      <w:r>
        <w:t>7</w:t>
      </w:r>
      <w:r w:rsidRPr="00BC57F4">
        <w:t>.</w:t>
      </w:r>
    </w:p>
    <w:p w:rsidR="00741069" w:rsidRPr="00061AA0" w:rsidRDefault="00741069" w:rsidP="00061AA0">
      <w:pPr>
        <w:spacing w:line="180" w:lineRule="atLeast"/>
        <w:rPr>
          <w:sz w:val="18"/>
          <w:szCs w:val="18"/>
        </w:rPr>
      </w:pPr>
    </w:p>
    <w:p w:rsidR="00741069" w:rsidRPr="00BC57F4" w:rsidRDefault="00741069" w:rsidP="00061AA0">
      <w:pPr>
        <w:spacing w:line="200" w:lineRule="atLeast"/>
        <w:rPr>
          <w:b/>
        </w:rPr>
      </w:pPr>
      <w:r w:rsidRPr="00BC57F4">
        <w:rPr>
          <w:b/>
        </w:rPr>
        <w:t>Miscellaneous—</w:t>
      </w:r>
      <w:r>
        <w:rPr>
          <w:b/>
        </w:rPr>
        <w:t>E</w:t>
      </w:r>
      <w:r w:rsidRPr="00BC57F4">
        <w:rPr>
          <w:b/>
        </w:rPr>
        <w:t xml:space="preserve">ndnote </w:t>
      </w:r>
      <w:r>
        <w:rPr>
          <w:b/>
        </w:rPr>
        <w:t>8</w:t>
      </w:r>
    </w:p>
    <w:p w:rsidR="00741069" w:rsidRPr="00BC57F4" w:rsidRDefault="00741069" w:rsidP="00061AA0">
      <w:pPr>
        <w:spacing w:line="200" w:lineRule="atLeast"/>
      </w:pPr>
      <w:r w:rsidRPr="00BC57F4">
        <w:t xml:space="preserve">Endnote </w:t>
      </w:r>
      <w:r>
        <w:t>8</w:t>
      </w:r>
      <w:r w:rsidRPr="00BC57F4">
        <w:t xml:space="preserve"> includes any additional information </w:t>
      </w:r>
      <w:r>
        <w:t>that may</w:t>
      </w:r>
      <w:r w:rsidRPr="00BC57F4">
        <w:t xml:space="preserve"> be helpful for a reader of the compilation.</w:t>
      </w:r>
    </w:p>
    <w:p w:rsidR="00741069" w:rsidRPr="00BC57F4" w:rsidRDefault="00741069" w:rsidP="003A27EB">
      <w:pPr>
        <w:pStyle w:val="ENotesHeading2"/>
        <w:pageBreakBefore/>
        <w:outlineLvl w:val="9"/>
      </w:pPr>
      <w:r w:rsidRPr="00BC57F4">
        <w:lastRenderedPageBreak/>
        <w:t>Endnote 2—Abbreviation key</w:t>
      </w:r>
    </w:p>
    <w:p w:rsidR="00741069" w:rsidRDefault="00741069" w:rsidP="003A27EB">
      <w:pPr>
        <w:pStyle w:val="Tabletext"/>
      </w:pPr>
    </w:p>
    <w:tbl>
      <w:tblPr>
        <w:tblW w:w="0" w:type="auto"/>
        <w:tblInd w:w="113" w:type="dxa"/>
        <w:tblLayout w:type="fixed"/>
        <w:tblLook w:val="0000" w:firstRow="0" w:lastRow="0" w:firstColumn="0" w:lastColumn="0" w:noHBand="0" w:noVBand="0"/>
      </w:tblPr>
      <w:tblGrid>
        <w:gridCol w:w="3543"/>
        <w:gridCol w:w="3543"/>
      </w:tblGrid>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ad = added or inserted</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pres</w:t>
            </w:r>
            <w:proofErr w:type="spellEnd"/>
            <w:r w:rsidRPr="007114C6">
              <w:rPr>
                <w:sz w:val="20"/>
              </w:rPr>
              <w:t xml:space="preserve"> = present</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am = amended</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prev</w:t>
            </w:r>
            <w:proofErr w:type="spellEnd"/>
            <w:r w:rsidRPr="007114C6">
              <w:rPr>
                <w:sz w:val="20"/>
              </w:rPr>
              <w:t xml:space="preserve"> = previous</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c = clause(s)</w:t>
            </w:r>
          </w:p>
        </w:tc>
        <w:tc>
          <w:tcPr>
            <w:tcW w:w="3543" w:type="dxa"/>
            <w:shd w:val="clear" w:color="auto" w:fill="auto"/>
          </w:tcPr>
          <w:p w:rsidR="00741069" w:rsidRPr="007114C6" w:rsidRDefault="00741069" w:rsidP="003A27EB">
            <w:pPr>
              <w:pStyle w:val="ENoteTableText"/>
              <w:rPr>
                <w:sz w:val="20"/>
              </w:rPr>
            </w:pPr>
            <w:r w:rsidRPr="007114C6">
              <w:rPr>
                <w:sz w:val="20"/>
              </w:rPr>
              <w:t>(</w:t>
            </w:r>
            <w:proofErr w:type="spellStart"/>
            <w:r w:rsidRPr="007114C6">
              <w:rPr>
                <w:sz w:val="20"/>
              </w:rPr>
              <w:t>prev</w:t>
            </w:r>
            <w:proofErr w:type="spellEnd"/>
            <w:r w:rsidRPr="007114C6">
              <w:rPr>
                <w:sz w:val="20"/>
              </w:rPr>
              <w:t>) = previously</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Ch</w:t>
            </w:r>
            <w:proofErr w:type="spellEnd"/>
            <w:r w:rsidRPr="007114C6">
              <w:rPr>
                <w:sz w:val="20"/>
              </w:rPr>
              <w:t xml:space="preserve"> = Chapter(s)</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Pt</w:t>
            </w:r>
            <w:proofErr w:type="spellEnd"/>
            <w:r w:rsidRPr="007114C6">
              <w:rPr>
                <w:sz w:val="20"/>
              </w:rPr>
              <w:t xml:space="preserve"> = Part(s)</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def</w:t>
            </w:r>
            <w:proofErr w:type="spellEnd"/>
            <w:r w:rsidRPr="007114C6">
              <w:rPr>
                <w:sz w:val="20"/>
              </w:rPr>
              <w:t xml:space="preserve"> = definition(s)</w:t>
            </w:r>
          </w:p>
        </w:tc>
        <w:tc>
          <w:tcPr>
            <w:tcW w:w="3543" w:type="dxa"/>
            <w:shd w:val="clear" w:color="auto" w:fill="auto"/>
          </w:tcPr>
          <w:p w:rsidR="00741069" w:rsidRPr="007114C6" w:rsidRDefault="00741069" w:rsidP="003A27EB">
            <w:pPr>
              <w:pStyle w:val="ENoteTableText"/>
              <w:rPr>
                <w:sz w:val="20"/>
              </w:rPr>
            </w:pPr>
            <w:r w:rsidRPr="007114C6">
              <w:rPr>
                <w:sz w:val="20"/>
              </w:rPr>
              <w:t>r = regulation(s)/rule(s)</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Dict</w:t>
            </w:r>
            <w:proofErr w:type="spellEnd"/>
            <w:r w:rsidRPr="007114C6">
              <w:rPr>
                <w:sz w:val="20"/>
              </w:rPr>
              <w:t xml:space="preserve"> = Dictionary</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Reg</w:t>
            </w:r>
            <w:proofErr w:type="spellEnd"/>
            <w:r w:rsidRPr="007114C6">
              <w:rPr>
                <w:sz w:val="20"/>
              </w:rPr>
              <w:t xml:space="preserve"> = Regulation/Regulations</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disallowed = disallowed by Parliament</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reloc</w:t>
            </w:r>
            <w:proofErr w:type="spellEnd"/>
            <w:r w:rsidRPr="007114C6">
              <w:rPr>
                <w:sz w:val="20"/>
              </w:rPr>
              <w:t xml:space="preserve"> = relocated</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Div</w:t>
            </w:r>
            <w:proofErr w:type="spellEnd"/>
            <w:r w:rsidRPr="007114C6">
              <w:rPr>
                <w:sz w:val="20"/>
              </w:rPr>
              <w:t xml:space="preserve"> = Division(s)</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renum</w:t>
            </w:r>
            <w:proofErr w:type="spellEnd"/>
            <w:r w:rsidRPr="007114C6">
              <w:rPr>
                <w:sz w:val="20"/>
              </w:rPr>
              <w:t xml:space="preserve"> = renumbered</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exp</w:t>
            </w:r>
            <w:proofErr w:type="spellEnd"/>
            <w:r w:rsidRPr="007114C6">
              <w:rPr>
                <w:sz w:val="20"/>
              </w:rPr>
              <w:t xml:space="preserve"> = expired or ceased to have effect</w:t>
            </w:r>
          </w:p>
        </w:tc>
        <w:tc>
          <w:tcPr>
            <w:tcW w:w="3543" w:type="dxa"/>
            <w:shd w:val="clear" w:color="auto" w:fill="auto"/>
          </w:tcPr>
          <w:p w:rsidR="00741069" w:rsidRPr="007114C6" w:rsidRDefault="00741069" w:rsidP="003A27EB">
            <w:pPr>
              <w:pStyle w:val="ENoteTableText"/>
              <w:rPr>
                <w:sz w:val="20"/>
              </w:rPr>
            </w:pPr>
            <w:r w:rsidRPr="007114C6">
              <w:rPr>
                <w:sz w:val="20"/>
              </w:rPr>
              <w:t>rep = repealed</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hdg</w:t>
            </w:r>
            <w:proofErr w:type="spellEnd"/>
            <w:r w:rsidRPr="007114C6">
              <w:rPr>
                <w:sz w:val="20"/>
              </w:rPr>
              <w:t xml:space="preserve"> = heading(s)</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rs</w:t>
            </w:r>
            <w:proofErr w:type="spellEnd"/>
            <w:r w:rsidRPr="007114C6">
              <w:rPr>
                <w:sz w:val="20"/>
              </w:rPr>
              <w:t xml:space="preserve"> = repealed and substituted</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LI = Legislative Instrument</w:t>
            </w:r>
          </w:p>
        </w:tc>
        <w:tc>
          <w:tcPr>
            <w:tcW w:w="3543" w:type="dxa"/>
            <w:shd w:val="clear" w:color="auto" w:fill="auto"/>
          </w:tcPr>
          <w:p w:rsidR="00741069" w:rsidRPr="007114C6" w:rsidRDefault="00741069" w:rsidP="003A27EB">
            <w:pPr>
              <w:pStyle w:val="ENoteTableText"/>
              <w:rPr>
                <w:sz w:val="20"/>
              </w:rPr>
            </w:pPr>
            <w:r w:rsidRPr="007114C6">
              <w:rPr>
                <w:sz w:val="20"/>
              </w:rPr>
              <w:t>s = section(s)</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LIA</w:t>
            </w:r>
            <w:proofErr w:type="spellEnd"/>
            <w:r w:rsidRPr="007114C6">
              <w:rPr>
                <w:sz w:val="20"/>
              </w:rPr>
              <w:t xml:space="preserve"> = </w:t>
            </w:r>
            <w:r w:rsidRPr="005A30E5">
              <w:rPr>
                <w:i/>
                <w:sz w:val="20"/>
              </w:rPr>
              <w:t>Legislative Instruments Act 2003</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Sch</w:t>
            </w:r>
            <w:proofErr w:type="spellEnd"/>
            <w:r w:rsidRPr="007114C6">
              <w:rPr>
                <w:sz w:val="20"/>
              </w:rPr>
              <w:t xml:space="preserve"> = Schedule(s)</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mod = modified/modification</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Sdiv</w:t>
            </w:r>
            <w:proofErr w:type="spellEnd"/>
            <w:r w:rsidRPr="007114C6">
              <w:rPr>
                <w:sz w:val="20"/>
              </w:rPr>
              <w:t xml:space="preserve"> = Subdivision(s)</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No = Number(s)</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SLI</w:t>
            </w:r>
            <w:proofErr w:type="spellEnd"/>
            <w:r w:rsidRPr="007114C6">
              <w:rPr>
                <w:sz w:val="20"/>
              </w:rPr>
              <w:t xml:space="preserve"> = Select Legislative Instrument</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o = order(s)</w:t>
            </w:r>
          </w:p>
        </w:tc>
        <w:tc>
          <w:tcPr>
            <w:tcW w:w="3543" w:type="dxa"/>
            <w:shd w:val="clear" w:color="auto" w:fill="auto"/>
          </w:tcPr>
          <w:p w:rsidR="00741069" w:rsidRPr="007114C6" w:rsidRDefault="00741069" w:rsidP="003A27EB">
            <w:pPr>
              <w:pStyle w:val="ENoteTableText"/>
              <w:rPr>
                <w:sz w:val="20"/>
              </w:rPr>
            </w:pPr>
            <w:r w:rsidRPr="007114C6">
              <w:rPr>
                <w:sz w:val="20"/>
              </w:rPr>
              <w:t>SR = Statutory Rules</w:t>
            </w:r>
          </w:p>
        </w:tc>
      </w:tr>
      <w:tr w:rsidR="00741069" w:rsidRPr="007114C6" w:rsidTr="003A27EB">
        <w:tc>
          <w:tcPr>
            <w:tcW w:w="3543" w:type="dxa"/>
            <w:shd w:val="clear" w:color="auto" w:fill="auto"/>
          </w:tcPr>
          <w:p w:rsidR="00741069" w:rsidRPr="007114C6" w:rsidRDefault="00741069" w:rsidP="003A27EB">
            <w:pPr>
              <w:pStyle w:val="ENoteTableText"/>
              <w:rPr>
                <w:sz w:val="20"/>
              </w:rPr>
            </w:pPr>
            <w:r w:rsidRPr="007114C6">
              <w:rPr>
                <w:sz w:val="20"/>
              </w:rPr>
              <w:t>Ord = Ordinance</w:t>
            </w:r>
          </w:p>
        </w:tc>
        <w:tc>
          <w:tcPr>
            <w:tcW w:w="3543" w:type="dxa"/>
            <w:shd w:val="clear" w:color="auto" w:fill="auto"/>
          </w:tcPr>
          <w:p w:rsidR="00741069" w:rsidRPr="007114C6" w:rsidRDefault="00741069" w:rsidP="003A27EB">
            <w:pPr>
              <w:pStyle w:val="ENoteTableText"/>
              <w:rPr>
                <w:sz w:val="20"/>
              </w:rPr>
            </w:pPr>
            <w:r w:rsidRPr="007114C6">
              <w:rPr>
                <w:sz w:val="20"/>
              </w:rPr>
              <w:t>Sub-</w:t>
            </w:r>
            <w:proofErr w:type="spellStart"/>
            <w:r w:rsidRPr="007114C6">
              <w:rPr>
                <w:sz w:val="20"/>
              </w:rPr>
              <w:t>Ch</w:t>
            </w:r>
            <w:proofErr w:type="spellEnd"/>
            <w:r w:rsidRPr="007114C6">
              <w:rPr>
                <w:sz w:val="20"/>
              </w:rPr>
              <w:t xml:space="preserve"> = Sub-Chapter(s)</w:t>
            </w:r>
          </w:p>
        </w:tc>
      </w:tr>
      <w:tr w:rsidR="00741069" w:rsidRPr="007114C6" w:rsidTr="003A27EB">
        <w:tc>
          <w:tcPr>
            <w:tcW w:w="3543" w:type="dxa"/>
            <w:shd w:val="clear" w:color="auto" w:fill="auto"/>
          </w:tcPr>
          <w:p w:rsidR="00741069" w:rsidRPr="007114C6" w:rsidRDefault="00741069" w:rsidP="003A27EB">
            <w:pPr>
              <w:pStyle w:val="ENoteTableText"/>
              <w:rPr>
                <w:sz w:val="20"/>
              </w:rPr>
            </w:pPr>
            <w:proofErr w:type="spellStart"/>
            <w:r w:rsidRPr="007114C6">
              <w:rPr>
                <w:sz w:val="20"/>
              </w:rPr>
              <w:t>orig</w:t>
            </w:r>
            <w:proofErr w:type="spellEnd"/>
            <w:r w:rsidRPr="007114C6">
              <w:rPr>
                <w:sz w:val="20"/>
              </w:rPr>
              <w:t xml:space="preserve"> = original</w:t>
            </w:r>
          </w:p>
        </w:tc>
        <w:tc>
          <w:tcPr>
            <w:tcW w:w="3543" w:type="dxa"/>
            <w:shd w:val="clear" w:color="auto" w:fill="auto"/>
          </w:tcPr>
          <w:p w:rsidR="00741069" w:rsidRPr="007114C6" w:rsidRDefault="00741069" w:rsidP="003A27EB">
            <w:pPr>
              <w:pStyle w:val="ENoteTableText"/>
              <w:rPr>
                <w:sz w:val="20"/>
              </w:rPr>
            </w:pPr>
            <w:proofErr w:type="spellStart"/>
            <w:r w:rsidRPr="007114C6">
              <w:rPr>
                <w:sz w:val="20"/>
              </w:rPr>
              <w:t>SubPt</w:t>
            </w:r>
            <w:proofErr w:type="spellEnd"/>
            <w:r w:rsidRPr="007114C6">
              <w:rPr>
                <w:sz w:val="20"/>
              </w:rPr>
              <w:t xml:space="preserve"> = Subpart(s)</w:t>
            </w:r>
          </w:p>
        </w:tc>
      </w:tr>
      <w:tr w:rsidR="00741069" w:rsidRPr="007114C6" w:rsidTr="003A27EB">
        <w:tc>
          <w:tcPr>
            <w:tcW w:w="3543" w:type="dxa"/>
            <w:shd w:val="clear" w:color="auto" w:fill="auto"/>
          </w:tcPr>
          <w:p w:rsidR="00741069" w:rsidRPr="007114C6" w:rsidRDefault="00741069" w:rsidP="0066417A">
            <w:pPr>
              <w:pStyle w:val="ENoteTableText"/>
              <w:ind w:left="454" w:hanging="454"/>
              <w:rPr>
                <w:sz w:val="20"/>
              </w:rPr>
            </w:pPr>
            <w:r w:rsidRPr="007114C6">
              <w:rPr>
                <w:sz w:val="20"/>
              </w:rPr>
              <w:t>par = paragraph(s)/subparagraph(s)</w:t>
            </w:r>
            <w:r w:rsidR="0066417A">
              <w:rPr>
                <w:sz w:val="20"/>
              </w:rPr>
              <w:br/>
            </w:r>
            <w:r w:rsidRPr="007114C6">
              <w:rPr>
                <w:sz w:val="20"/>
              </w:rPr>
              <w:t>/sub-subparagraph(s)</w:t>
            </w:r>
          </w:p>
        </w:tc>
        <w:tc>
          <w:tcPr>
            <w:tcW w:w="3543" w:type="dxa"/>
            <w:shd w:val="clear" w:color="auto" w:fill="auto"/>
          </w:tcPr>
          <w:p w:rsidR="00741069" w:rsidRPr="007114C6" w:rsidRDefault="00741069" w:rsidP="003A27EB">
            <w:pPr>
              <w:pStyle w:val="ENoteTableText"/>
              <w:rPr>
                <w:sz w:val="20"/>
              </w:rPr>
            </w:pPr>
          </w:p>
        </w:tc>
      </w:tr>
    </w:tbl>
    <w:p w:rsidR="00741069" w:rsidRPr="00BC57F4" w:rsidRDefault="00741069" w:rsidP="003A27EB">
      <w:pPr>
        <w:pStyle w:val="Tabletext"/>
      </w:pPr>
    </w:p>
    <w:p w:rsidR="00741069" w:rsidRDefault="00741069" w:rsidP="00B16FC0">
      <w:pPr>
        <w:pStyle w:val="ENotesHeading2"/>
        <w:pageBreakBefore/>
      </w:pPr>
      <w:r>
        <w:lastRenderedPageBreak/>
        <w:t>Endnote 3—Legislation history</w:t>
      </w:r>
    </w:p>
    <w:p w:rsidR="00741069" w:rsidRDefault="00741069" w:rsidP="00B16FC0">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843"/>
        <w:gridCol w:w="1843"/>
        <w:gridCol w:w="1843"/>
      </w:tblGrid>
      <w:tr w:rsidR="00741069" w:rsidRPr="0098546F" w:rsidTr="000F08DF">
        <w:trPr>
          <w:cantSplit/>
          <w:tblHeader/>
        </w:trPr>
        <w:tc>
          <w:tcPr>
            <w:tcW w:w="2830" w:type="dxa"/>
            <w:tcBorders>
              <w:top w:val="single" w:sz="12" w:space="0" w:color="auto"/>
              <w:bottom w:val="single" w:sz="12" w:space="0" w:color="auto"/>
            </w:tcBorders>
            <w:shd w:val="clear" w:color="auto" w:fill="auto"/>
          </w:tcPr>
          <w:p w:rsidR="00741069" w:rsidRPr="00E117A3" w:rsidRDefault="00741069" w:rsidP="00B16FC0">
            <w:pPr>
              <w:pStyle w:val="ENoteTableHeading"/>
            </w:pPr>
            <w:r>
              <w:t>Name</w:t>
            </w:r>
          </w:p>
        </w:tc>
        <w:tc>
          <w:tcPr>
            <w:tcW w:w="1843" w:type="dxa"/>
            <w:tcBorders>
              <w:top w:val="single" w:sz="12" w:space="0" w:color="auto"/>
              <w:bottom w:val="single" w:sz="12" w:space="0" w:color="auto"/>
            </w:tcBorders>
            <w:shd w:val="clear" w:color="auto" w:fill="auto"/>
          </w:tcPr>
          <w:p w:rsidR="00741069" w:rsidRPr="00E117A3" w:rsidRDefault="00741069" w:rsidP="00B16FC0">
            <w:pPr>
              <w:pStyle w:val="ENoteTableHeading"/>
            </w:pPr>
            <w:r w:rsidRPr="00E117A3">
              <w:t>FRLI registration</w:t>
            </w:r>
          </w:p>
        </w:tc>
        <w:tc>
          <w:tcPr>
            <w:tcW w:w="1843" w:type="dxa"/>
            <w:tcBorders>
              <w:top w:val="single" w:sz="12" w:space="0" w:color="auto"/>
              <w:bottom w:val="single" w:sz="12" w:space="0" w:color="auto"/>
            </w:tcBorders>
            <w:shd w:val="clear" w:color="auto" w:fill="auto"/>
          </w:tcPr>
          <w:p w:rsidR="00741069" w:rsidRPr="00E117A3" w:rsidRDefault="00741069" w:rsidP="00B16FC0">
            <w:pPr>
              <w:pStyle w:val="ENoteTableHeading"/>
            </w:pPr>
            <w:r>
              <w:t>Commencement</w:t>
            </w:r>
          </w:p>
        </w:tc>
        <w:tc>
          <w:tcPr>
            <w:tcW w:w="1843" w:type="dxa"/>
            <w:tcBorders>
              <w:top w:val="single" w:sz="12" w:space="0" w:color="auto"/>
              <w:bottom w:val="single" w:sz="12" w:space="0" w:color="auto"/>
            </w:tcBorders>
            <w:shd w:val="clear" w:color="auto" w:fill="auto"/>
          </w:tcPr>
          <w:p w:rsidR="00741069" w:rsidRPr="00E117A3" w:rsidRDefault="00741069" w:rsidP="00B16FC0">
            <w:pPr>
              <w:pStyle w:val="ENoteTableHeading"/>
            </w:pPr>
            <w:r w:rsidRPr="00E117A3">
              <w:t>Application, saving and transitional provisions</w:t>
            </w:r>
          </w:p>
        </w:tc>
      </w:tr>
      <w:tr w:rsidR="00741069" w:rsidRPr="00E117A3" w:rsidTr="000F08DF">
        <w:trPr>
          <w:cantSplit/>
        </w:trPr>
        <w:tc>
          <w:tcPr>
            <w:tcW w:w="2830" w:type="dxa"/>
            <w:tcBorders>
              <w:top w:val="single" w:sz="12" w:space="0" w:color="auto"/>
              <w:bottom w:val="single" w:sz="4" w:space="0" w:color="auto"/>
            </w:tcBorders>
            <w:shd w:val="clear" w:color="auto" w:fill="auto"/>
          </w:tcPr>
          <w:p w:rsidR="00741069" w:rsidRPr="007C20C1" w:rsidRDefault="007C20C1" w:rsidP="00B16FC0">
            <w:pPr>
              <w:pStyle w:val="ENoteTableText"/>
            </w:pPr>
            <w:r w:rsidRPr="000F08DF">
              <w:rPr>
                <w:szCs w:val="22"/>
              </w:rPr>
              <w:t xml:space="preserve">Determination under subsection 24(3) – </w:t>
            </w:r>
            <w:r w:rsidR="007C225B">
              <w:rPr>
                <w:szCs w:val="22"/>
              </w:rPr>
              <w:t>Non-</w:t>
            </w:r>
            <w:r w:rsidRPr="000F08DF">
              <w:rPr>
                <w:szCs w:val="22"/>
              </w:rPr>
              <w:t>SES employees moved between APS agencies to give effect to the Administrative Arrangements Orders made by the Governor-General in Council on 18 September 2013</w:t>
            </w:r>
          </w:p>
        </w:tc>
        <w:tc>
          <w:tcPr>
            <w:tcW w:w="1843" w:type="dxa"/>
            <w:tcBorders>
              <w:top w:val="single" w:sz="12" w:space="0" w:color="auto"/>
              <w:bottom w:val="single" w:sz="4" w:space="0" w:color="auto"/>
            </w:tcBorders>
            <w:shd w:val="clear" w:color="auto" w:fill="auto"/>
          </w:tcPr>
          <w:p w:rsidR="00741069" w:rsidRPr="00E117A3" w:rsidRDefault="007C20C1" w:rsidP="00A33DF9">
            <w:pPr>
              <w:pStyle w:val="ENoteTableText"/>
            </w:pPr>
            <w:r>
              <w:t>20 Sept 2013 (</w:t>
            </w:r>
            <w:r w:rsidRPr="000F08DF">
              <w:rPr>
                <w:i/>
              </w:rPr>
              <w:t xml:space="preserve">see </w:t>
            </w:r>
            <w:r>
              <w:t>F2</w:t>
            </w:r>
            <w:r w:rsidR="00A33DF9">
              <w:t>0</w:t>
            </w:r>
            <w:r>
              <w:t>13L0172</w:t>
            </w:r>
            <w:r w:rsidR="007C225B">
              <w:t>8</w:t>
            </w:r>
            <w:r>
              <w:t>)</w:t>
            </w:r>
          </w:p>
        </w:tc>
        <w:tc>
          <w:tcPr>
            <w:tcW w:w="1843" w:type="dxa"/>
            <w:tcBorders>
              <w:top w:val="single" w:sz="12" w:space="0" w:color="auto"/>
              <w:bottom w:val="single" w:sz="4" w:space="0" w:color="auto"/>
            </w:tcBorders>
            <w:shd w:val="clear" w:color="auto" w:fill="auto"/>
          </w:tcPr>
          <w:p w:rsidR="00741069" w:rsidRPr="00E117A3" w:rsidRDefault="007C20C1" w:rsidP="00B16FC0">
            <w:pPr>
              <w:pStyle w:val="ENoteTableText"/>
            </w:pPr>
            <w:r>
              <w:t>18 Sept 2013</w:t>
            </w:r>
          </w:p>
        </w:tc>
        <w:tc>
          <w:tcPr>
            <w:tcW w:w="1843" w:type="dxa"/>
            <w:tcBorders>
              <w:top w:val="single" w:sz="12" w:space="0" w:color="auto"/>
              <w:bottom w:val="single" w:sz="4" w:space="0" w:color="auto"/>
            </w:tcBorders>
            <w:shd w:val="clear" w:color="auto" w:fill="auto"/>
          </w:tcPr>
          <w:p w:rsidR="00741069" w:rsidRPr="00E117A3" w:rsidRDefault="00741069" w:rsidP="00B16FC0">
            <w:pPr>
              <w:pStyle w:val="ENoteTableText"/>
            </w:pPr>
          </w:p>
        </w:tc>
      </w:tr>
      <w:tr w:rsidR="00741069" w:rsidTr="00087AE9">
        <w:trPr>
          <w:cantSplit/>
        </w:trPr>
        <w:tc>
          <w:tcPr>
            <w:tcW w:w="2830" w:type="dxa"/>
            <w:shd w:val="clear" w:color="auto" w:fill="auto"/>
          </w:tcPr>
          <w:p w:rsidR="00741069" w:rsidRPr="00E117A3" w:rsidRDefault="007C20C1" w:rsidP="00B16FC0">
            <w:pPr>
              <w:pStyle w:val="ENoteTableText"/>
            </w:pPr>
            <w:r w:rsidRPr="000F08DF">
              <w:t xml:space="preserve">Determination under subsection 24(3) – </w:t>
            </w:r>
            <w:r w:rsidR="007C225B">
              <w:t>Non-</w:t>
            </w:r>
            <w:r w:rsidRPr="000F08DF">
              <w:t>SES employees - amendment of determination of 18 September 2013 (No.</w:t>
            </w:r>
            <w:r w:rsidR="000F08DF">
              <w:t xml:space="preserve"> </w:t>
            </w:r>
            <w:r w:rsidRPr="000F08DF">
              <w:t>1)</w:t>
            </w:r>
          </w:p>
        </w:tc>
        <w:tc>
          <w:tcPr>
            <w:tcW w:w="1843" w:type="dxa"/>
            <w:shd w:val="clear" w:color="auto" w:fill="auto"/>
          </w:tcPr>
          <w:p w:rsidR="00741069" w:rsidRPr="00E117A3" w:rsidRDefault="007C20C1" w:rsidP="000F08DF">
            <w:pPr>
              <w:pStyle w:val="ENoteTableText"/>
            </w:pPr>
            <w:r>
              <w:t>31 Oct 2013 (</w:t>
            </w:r>
            <w:r w:rsidRPr="000F08DF">
              <w:rPr>
                <w:i/>
              </w:rPr>
              <w:t xml:space="preserve">see </w:t>
            </w:r>
            <w:r>
              <w:t>F2013L0186</w:t>
            </w:r>
            <w:r w:rsidR="007C225B">
              <w:t>7</w:t>
            </w:r>
            <w:r>
              <w:t>)</w:t>
            </w:r>
          </w:p>
        </w:tc>
        <w:tc>
          <w:tcPr>
            <w:tcW w:w="1843" w:type="dxa"/>
            <w:shd w:val="clear" w:color="auto" w:fill="auto"/>
          </w:tcPr>
          <w:p w:rsidR="00741069" w:rsidRPr="00E117A3" w:rsidRDefault="007C20C1" w:rsidP="00B16FC0">
            <w:pPr>
              <w:pStyle w:val="ENoteTableText"/>
            </w:pPr>
            <w:r>
              <w:t>31 Oct 2013</w:t>
            </w:r>
          </w:p>
        </w:tc>
        <w:tc>
          <w:tcPr>
            <w:tcW w:w="1843" w:type="dxa"/>
            <w:shd w:val="clear" w:color="auto" w:fill="auto"/>
          </w:tcPr>
          <w:p w:rsidR="00741069" w:rsidRPr="00E117A3" w:rsidRDefault="007C20C1" w:rsidP="00B16FC0">
            <w:pPr>
              <w:pStyle w:val="ENoteTableText"/>
            </w:pPr>
            <w:r>
              <w:t>—</w:t>
            </w:r>
          </w:p>
        </w:tc>
      </w:tr>
      <w:tr w:rsidR="00087AE9" w:rsidTr="000F08DF">
        <w:trPr>
          <w:cantSplit/>
        </w:trPr>
        <w:tc>
          <w:tcPr>
            <w:tcW w:w="2830" w:type="dxa"/>
            <w:tcBorders>
              <w:bottom w:val="single" w:sz="12" w:space="0" w:color="auto"/>
            </w:tcBorders>
            <w:shd w:val="clear" w:color="auto" w:fill="auto"/>
          </w:tcPr>
          <w:p w:rsidR="00087AE9" w:rsidRPr="000F08DF" w:rsidRDefault="00087AE9" w:rsidP="00F51519">
            <w:pPr>
              <w:pStyle w:val="ENoteTableText"/>
            </w:pPr>
            <w:r w:rsidRPr="000F08DF">
              <w:t xml:space="preserve">Determination under subsection 24(3) – </w:t>
            </w:r>
            <w:r>
              <w:t>Non-</w:t>
            </w:r>
            <w:r w:rsidRPr="000F08DF">
              <w:t>SES employees - amendment of determination of 18 September 2013 (No.</w:t>
            </w:r>
            <w:r>
              <w:t xml:space="preserve"> 2</w:t>
            </w:r>
            <w:r w:rsidRPr="000F08DF">
              <w:t>)</w:t>
            </w:r>
          </w:p>
        </w:tc>
        <w:tc>
          <w:tcPr>
            <w:tcW w:w="1843" w:type="dxa"/>
            <w:tcBorders>
              <w:bottom w:val="single" w:sz="12" w:space="0" w:color="auto"/>
            </w:tcBorders>
            <w:shd w:val="clear" w:color="auto" w:fill="auto"/>
          </w:tcPr>
          <w:p w:rsidR="00087AE9" w:rsidRPr="00174361" w:rsidRDefault="00087AE9" w:rsidP="00A3696C">
            <w:pPr>
              <w:pStyle w:val="ENoteTableText"/>
            </w:pPr>
            <w:r>
              <w:t>29 Jan 2014 (</w:t>
            </w:r>
            <w:r w:rsidRPr="00A3696C">
              <w:t>see</w:t>
            </w:r>
            <w:r>
              <w:t xml:space="preserve"> F2014L00106)</w:t>
            </w:r>
          </w:p>
        </w:tc>
        <w:tc>
          <w:tcPr>
            <w:tcW w:w="1843" w:type="dxa"/>
            <w:tcBorders>
              <w:bottom w:val="single" w:sz="12" w:space="0" w:color="auto"/>
            </w:tcBorders>
            <w:shd w:val="clear" w:color="auto" w:fill="auto"/>
          </w:tcPr>
          <w:p w:rsidR="00087AE9" w:rsidRDefault="00087AE9" w:rsidP="00B16FC0">
            <w:pPr>
              <w:pStyle w:val="ENoteTableText"/>
            </w:pPr>
            <w:r>
              <w:t>30 Jan 2014</w:t>
            </w:r>
          </w:p>
        </w:tc>
        <w:tc>
          <w:tcPr>
            <w:tcW w:w="1843" w:type="dxa"/>
            <w:tcBorders>
              <w:bottom w:val="single" w:sz="12" w:space="0" w:color="auto"/>
            </w:tcBorders>
            <w:shd w:val="clear" w:color="auto" w:fill="auto"/>
          </w:tcPr>
          <w:p w:rsidR="00087AE9" w:rsidRDefault="00087AE9" w:rsidP="00B16FC0">
            <w:pPr>
              <w:pStyle w:val="ENoteTableText"/>
            </w:pPr>
            <w:r>
              <w:t>—</w:t>
            </w:r>
          </w:p>
        </w:tc>
      </w:tr>
    </w:tbl>
    <w:p w:rsidR="00741069" w:rsidRDefault="00741069" w:rsidP="00B16FC0"/>
    <w:p w:rsidR="00741069" w:rsidRDefault="00741069" w:rsidP="00E241FE">
      <w:pPr>
        <w:pStyle w:val="ENotesHeading2"/>
        <w:pageBreakBefore/>
      </w:pPr>
      <w:r>
        <w:lastRenderedPageBreak/>
        <w:t>Endnote 4—Amendment history</w:t>
      </w:r>
    </w:p>
    <w:p w:rsidR="00741069" w:rsidRDefault="00741069" w:rsidP="00E241FE">
      <w:pPr>
        <w:pStyle w:val="Tabletext"/>
      </w:pPr>
    </w:p>
    <w:tbl>
      <w:tblPr>
        <w:tblW w:w="8359" w:type="dxa"/>
        <w:tblInd w:w="113" w:type="dxa"/>
        <w:tblLayout w:type="fixed"/>
        <w:tblLook w:val="0000" w:firstRow="0" w:lastRow="0" w:firstColumn="0" w:lastColumn="0" w:noHBand="0" w:noVBand="0"/>
      </w:tblPr>
      <w:tblGrid>
        <w:gridCol w:w="2405"/>
        <w:gridCol w:w="5954"/>
      </w:tblGrid>
      <w:tr w:rsidR="00741069" w:rsidRPr="0098546F" w:rsidTr="00A84F95">
        <w:trPr>
          <w:cantSplit/>
          <w:tblHeader/>
        </w:trPr>
        <w:tc>
          <w:tcPr>
            <w:tcW w:w="2405" w:type="dxa"/>
            <w:tcBorders>
              <w:top w:val="single" w:sz="12" w:space="0" w:color="auto"/>
              <w:bottom w:val="single" w:sz="12" w:space="0" w:color="auto"/>
            </w:tcBorders>
            <w:shd w:val="clear" w:color="auto" w:fill="auto"/>
          </w:tcPr>
          <w:p w:rsidR="00741069" w:rsidRPr="00E117A3" w:rsidRDefault="00741069" w:rsidP="00E241FE">
            <w:pPr>
              <w:pStyle w:val="ENoteTableHeading"/>
            </w:pPr>
            <w:r w:rsidRPr="00E117A3">
              <w:t>Provision affected</w:t>
            </w:r>
          </w:p>
        </w:tc>
        <w:tc>
          <w:tcPr>
            <w:tcW w:w="5954" w:type="dxa"/>
            <w:tcBorders>
              <w:top w:val="single" w:sz="12" w:space="0" w:color="auto"/>
              <w:bottom w:val="single" w:sz="12" w:space="0" w:color="auto"/>
            </w:tcBorders>
            <w:shd w:val="clear" w:color="auto" w:fill="auto"/>
          </w:tcPr>
          <w:p w:rsidR="00741069" w:rsidRPr="00E117A3" w:rsidRDefault="00741069" w:rsidP="00E241FE">
            <w:pPr>
              <w:pStyle w:val="ENoteTableHeading"/>
            </w:pPr>
            <w:r w:rsidRPr="00E117A3">
              <w:t>How affected</w:t>
            </w:r>
          </w:p>
        </w:tc>
      </w:tr>
      <w:tr w:rsidR="00C357DF" w:rsidRPr="007C20C1" w:rsidTr="00A84F95">
        <w:trPr>
          <w:cantSplit/>
        </w:trPr>
        <w:tc>
          <w:tcPr>
            <w:tcW w:w="2405" w:type="dxa"/>
            <w:tcBorders>
              <w:top w:val="single" w:sz="12" w:space="0" w:color="auto"/>
            </w:tcBorders>
            <w:shd w:val="clear" w:color="auto" w:fill="auto"/>
          </w:tcPr>
          <w:p w:rsidR="00C357DF" w:rsidRDefault="00A84F95">
            <w:pPr>
              <w:pStyle w:val="ENoteTableText"/>
              <w:tabs>
                <w:tab w:val="center" w:leader="dot" w:pos="2268"/>
              </w:tabs>
            </w:pPr>
            <w:r>
              <w:t>enabling par</w:t>
            </w:r>
            <w:r w:rsidR="00C357DF">
              <w:tab/>
            </w:r>
          </w:p>
        </w:tc>
        <w:tc>
          <w:tcPr>
            <w:tcW w:w="5954" w:type="dxa"/>
            <w:tcBorders>
              <w:top w:val="single" w:sz="12" w:space="0" w:color="auto"/>
            </w:tcBorders>
            <w:shd w:val="clear" w:color="auto" w:fill="auto"/>
          </w:tcPr>
          <w:p w:rsidR="00C357DF" w:rsidRDefault="00C357DF">
            <w:pPr>
              <w:pStyle w:val="ENoteTableText"/>
              <w:tabs>
                <w:tab w:val="center" w:leader="dot" w:pos="2268"/>
              </w:tabs>
            </w:pPr>
            <w:r>
              <w:t>am F2013L01867</w:t>
            </w:r>
          </w:p>
        </w:tc>
      </w:tr>
      <w:tr w:rsidR="00C357DF" w:rsidRPr="007C20C1" w:rsidTr="00A84F95">
        <w:trPr>
          <w:cantSplit/>
        </w:trPr>
        <w:tc>
          <w:tcPr>
            <w:tcW w:w="2405" w:type="dxa"/>
            <w:shd w:val="clear" w:color="auto" w:fill="auto"/>
          </w:tcPr>
          <w:p w:rsidR="00C357DF" w:rsidRPr="00E117A3" w:rsidRDefault="00C357DF" w:rsidP="00A84F95">
            <w:pPr>
              <w:pStyle w:val="ENoteTableText"/>
              <w:tabs>
                <w:tab w:val="center" w:leader="dot" w:pos="2268"/>
              </w:tabs>
            </w:pPr>
            <w:r>
              <w:t>c 1</w:t>
            </w:r>
            <w:r w:rsidRPr="00DA0C58">
              <w:tab/>
            </w:r>
          </w:p>
        </w:tc>
        <w:tc>
          <w:tcPr>
            <w:tcW w:w="5954" w:type="dxa"/>
            <w:shd w:val="clear" w:color="auto" w:fill="auto"/>
          </w:tcPr>
          <w:p w:rsidR="00C357DF" w:rsidRPr="00E117A3" w:rsidRDefault="00C357DF" w:rsidP="00A84F95">
            <w:pPr>
              <w:pStyle w:val="ENoteTableText"/>
              <w:tabs>
                <w:tab w:val="center" w:leader="dot" w:pos="2268"/>
              </w:tabs>
            </w:pPr>
            <w:proofErr w:type="spellStart"/>
            <w:r>
              <w:t>rs</w:t>
            </w:r>
            <w:proofErr w:type="spellEnd"/>
            <w:r>
              <w:t xml:space="preserve"> F2013L01867</w:t>
            </w:r>
          </w:p>
        </w:tc>
      </w:tr>
      <w:tr w:rsidR="00C357DF" w:rsidRPr="007C20C1" w:rsidTr="00A84F95">
        <w:trPr>
          <w:cantSplit/>
        </w:trPr>
        <w:tc>
          <w:tcPr>
            <w:tcW w:w="2405" w:type="dxa"/>
            <w:shd w:val="clear" w:color="auto" w:fill="auto"/>
          </w:tcPr>
          <w:p w:rsidR="00C357DF" w:rsidRPr="00E117A3" w:rsidRDefault="00C357DF" w:rsidP="00A84F95">
            <w:pPr>
              <w:pStyle w:val="ENoteTableText"/>
              <w:tabs>
                <w:tab w:val="center" w:leader="dot" w:pos="2268"/>
              </w:tabs>
            </w:pPr>
            <w:r>
              <w:t>c 2</w:t>
            </w:r>
            <w:r w:rsidRPr="00DA0C58">
              <w:tab/>
            </w:r>
          </w:p>
        </w:tc>
        <w:tc>
          <w:tcPr>
            <w:tcW w:w="5954" w:type="dxa"/>
            <w:shd w:val="clear" w:color="auto" w:fill="auto"/>
          </w:tcPr>
          <w:p w:rsidR="00C357DF" w:rsidRPr="00E117A3" w:rsidRDefault="00C357DF" w:rsidP="00A84F95">
            <w:pPr>
              <w:pStyle w:val="ENoteTableText"/>
              <w:tabs>
                <w:tab w:val="center" w:leader="dot" w:pos="2268"/>
              </w:tabs>
            </w:pPr>
            <w:r>
              <w:t>am F2013L01867</w:t>
            </w:r>
          </w:p>
        </w:tc>
      </w:tr>
      <w:tr w:rsidR="00C357DF" w:rsidRPr="00E832E8" w:rsidTr="007C20C1">
        <w:trPr>
          <w:cantSplit/>
        </w:trPr>
        <w:tc>
          <w:tcPr>
            <w:tcW w:w="2405" w:type="dxa"/>
            <w:shd w:val="clear" w:color="auto" w:fill="auto"/>
          </w:tcPr>
          <w:p w:rsidR="00C357DF" w:rsidRDefault="00C357DF">
            <w:pPr>
              <w:pStyle w:val="ENoteTableText"/>
              <w:tabs>
                <w:tab w:val="center" w:leader="dot" w:pos="2268"/>
              </w:tabs>
            </w:pPr>
            <w:r>
              <w:t>c 2A</w:t>
            </w:r>
            <w:r>
              <w:tab/>
            </w:r>
          </w:p>
        </w:tc>
        <w:tc>
          <w:tcPr>
            <w:tcW w:w="5954" w:type="dxa"/>
            <w:shd w:val="clear" w:color="auto" w:fill="auto"/>
          </w:tcPr>
          <w:p w:rsidR="00C357DF" w:rsidRDefault="00C357DF" w:rsidP="00A84F95">
            <w:pPr>
              <w:pStyle w:val="ENoteTableText"/>
              <w:tabs>
                <w:tab w:val="center" w:leader="dot" w:pos="2268"/>
              </w:tabs>
            </w:pPr>
            <w:r>
              <w:t>ad F2013L01867</w:t>
            </w:r>
          </w:p>
        </w:tc>
      </w:tr>
      <w:tr w:rsidR="00C357DF" w:rsidRPr="00E832E8" w:rsidTr="007C20C1">
        <w:trPr>
          <w:cantSplit/>
        </w:trPr>
        <w:tc>
          <w:tcPr>
            <w:tcW w:w="2405" w:type="dxa"/>
            <w:shd w:val="clear" w:color="auto" w:fill="auto"/>
          </w:tcPr>
          <w:p w:rsidR="00C357DF" w:rsidRDefault="00C357DF" w:rsidP="00A84F95">
            <w:pPr>
              <w:pStyle w:val="ENoteTableText"/>
              <w:tabs>
                <w:tab w:val="center" w:leader="dot" w:pos="2268"/>
              </w:tabs>
            </w:pPr>
            <w:r>
              <w:t>c 2B</w:t>
            </w:r>
            <w:r>
              <w:tab/>
            </w:r>
          </w:p>
        </w:tc>
        <w:tc>
          <w:tcPr>
            <w:tcW w:w="5954" w:type="dxa"/>
            <w:shd w:val="clear" w:color="auto" w:fill="auto"/>
          </w:tcPr>
          <w:p w:rsidR="00C357DF" w:rsidRDefault="00C357DF" w:rsidP="00A84F95">
            <w:pPr>
              <w:pStyle w:val="ENoteTableText"/>
              <w:tabs>
                <w:tab w:val="center" w:leader="dot" w:pos="2268"/>
              </w:tabs>
            </w:pPr>
            <w:r>
              <w:t>ad F2013L01867</w:t>
            </w:r>
          </w:p>
        </w:tc>
      </w:tr>
      <w:tr w:rsidR="00A84F95" w:rsidRPr="00E832E8" w:rsidTr="007C20C1">
        <w:trPr>
          <w:cantSplit/>
        </w:trPr>
        <w:tc>
          <w:tcPr>
            <w:tcW w:w="2405" w:type="dxa"/>
            <w:shd w:val="clear" w:color="auto" w:fill="auto"/>
          </w:tcPr>
          <w:p w:rsidR="00A84F95" w:rsidRDefault="00A84F95" w:rsidP="00A84F95">
            <w:pPr>
              <w:pStyle w:val="ENoteTableText"/>
              <w:tabs>
                <w:tab w:val="center" w:leader="dot" w:pos="2268"/>
              </w:tabs>
            </w:pPr>
            <w:r>
              <w:t>c 2C</w:t>
            </w:r>
            <w:r>
              <w:tab/>
            </w:r>
          </w:p>
        </w:tc>
        <w:tc>
          <w:tcPr>
            <w:tcW w:w="5954" w:type="dxa"/>
            <w:shd w:val="clear" w:color="auto" w:fill="auto"/>
          </w:tcPr>
          <w:p w:rsidR="00A84F95" w:rsidRDefault="00A84F95" w:rsidP="00A84F95">
            <w:pPr>
              <w:pStyle w:val="ENoteTableText"/>
              <w:tabs>
                <w:tab w:val="center" w:leader="dot" w:pos="2268"/>
              </w:tabs>
            </w:pPr>
            <w:r>
              <w:t>ad F2013L01867</w:t>
            </w:r>
          </w:p>
        </w:tc>
      </w:tr>
      <w:tr w:rsidR="00A84F95" w:rsidRPr="00E832E8" w:rsidTr="007C20C1">
        <w:trPr>
          <w:cantSplit/>
        </w:trPr>
        <w:tc>
          <w:tcPr>
            <w:tcW w:w="2405" w:type="dxa"/>
            <w:shd w:val="clear" w:color="auto" w:fill="auto"/>
          </w:tcPr>
          <w:p w:rsidR="00A84F95" w:rsidRDefault="00A84F95" w:rsidP="00A84F95">
            <w:pPr>
              <w:pStyle w:val="ENoteTableText"/>
              <w:tabs>
                <w:tab w:val="center" w:leader="dot" w:pos="2268"/>
              </w:tabs>
            </w:pPr>
            <w:proofErr w:type="spellStart"/>
            <w:r>
              <w:t>hdg</w:t>
            </w:r>
            <w:proofErr w:type="spellEnd"/>
            <w:r>
              <w:t xml:space="preserve"> to c 5</w:t>
            </w:r>
            <w:r>
              <w:tab/>
            </w:r>
          </w:p>
        </w:tc>
        <w:tc>
          <w:tcPr>
            <w:tcW w:w="5954" w:type="dxa"/>
            <w:shd w:val="clear" w:color="auto" w:fill="auto"/>
          </w:tcPr>
          <w:p w:rsidR="00A84F95" w:rsidRDefault="00A84F95" w:rsidP="00A84F95">
            <w:pPr>
              <w:pStyle w:val="ENoteTableText"/>
              <w:tabs>
                <w:tab w:val="center" w:leader="dot" w:pos="2268"/>
              </w:tabs>
            </w:pPr>
            <w:r>
              <w:t>ad F2013L01867</w:t>
            </w:r>
          </w:p>
        </w:tc>
      </w:tr>
      <w:tr w:rsidR="00C357DF" w:rsidRPr="007C20C1" w:rsidTr="00A84F95">
        <w:trPr>
          <w:cantSplit/>
        </w:trPr>
        <w:tc>
          <w:tcPr>
            <w:tcW w:w="2405" w:type="dxa"/>
            <w:shd w:val="clear" w:color="auto" w:fill="auto"/>
          </w:tcPr>
          <w:p w:rsidR="00C357DF" w:rsidRPr="007C20C1" w:rsidRDefault="00C357DF" w:rsidP="00A84F95">
            <w:pPr>
              <w:pStyle w:val="ENoteTableText"/>
              <w:tabs>
                <w:tab w:val="center" w:leader="dot" w:pos="2268"/>
              </w:tabs>
            </w:pPr>
            <w:r>
              <w:t>c 5</w:t>
            </w:r>
            <w:r>
              <w:tab/>
            </w:r>
          </w:p>
        </w:tc>
        <w:tc>
          <w:tcPr>
            <w:tcW w:w="5954" w:type="dxa"/>
            <w:shd w:val="clear" w:color="auto" w:fill="auto"/>
          </w:tcPr>
          <w:p w:rsidR="00C357DF" w:rsidRPr="007C20C1" w:rsidRDefault="00C357DF" w:rsidP="00A84F95">
            <w:pPr>
              <w:pStyle w:val="ENoteTableText"/>
              <w:tabs>
                <w:tab w:val="center" w:leader="dot" w:pos="2268"/>
              </w:tabs>
            </w:pPr>
            <w:proofErr w:type="spellStart"/>
            <w:r>
              <w:t>rs</w:t>
            </w:r>
            <w:proofErr w:type="spellEnd"/>
            <w:r>
              <w:t xml:space="preserve"> F2013L01867</w:t>
            </w:r>
          </w:p>
        </w:tc>
      </w:tr>
      <w:tr w:rsidR="00087AE9" w:rsidRPr="007C20C1" w:rsidTr="00A84F95">
        <w:trPr>
          <w:cantSplit/>
        </w:trPr>
        <w:tc>
          <w:tcPr>
            <w:tcW w:w="2405" w:type="dxa"/>
            <w:shd w:val="clear" w:color="auto" w:fill="auto"/>
          </w:tcPr>
          <w:p w:rsidR="00087AE9" w:rsidRDefault="00087AE9" w:rsidP="00A84F95">
            <w:pPr>
              <w:pStyle w:val="ENoteTableText"/>
              <w:tabs>
                <w:tab w:val="center" w:leader="dot" w:pos="2268"/>
              </w:tabs>
            </w:pPr>
            <w:r>
              <w:t>c 5A</w:t>
            </w:r>
            <w:r>
              <w:tab/>
            </w:r>
          </w:p>
        </w:tc>
        <w:tc>
          <w:tcPr>
            <w:tcW w:w="5954" w:type="dxa"/>
            <w:shd w:val="clear" w:color="auto" w:fill="auto"/>
          </w:tcPr>
          <w:p w:rsidR="00087AE9" w:rsidRDefault="00087AE9" w:rsidP="00A84F95">
            <w:pPr>
              <w:pStyle w:val="ENoteTableText"/>
              <w:tabs>
                <w:tab w:val="center" w:leader="dot" w:pos="2268"/>
              </w:tabs>
            </w:pPr>
            <w:r>
              <w:t>ad F2014L00106</w:t>
            </w:r>
          </w:p>
        </w:tc>
      </w:tr>
      <w:tr w:rsidR="00087AE9" w:rsidRPr="007C20C1" w:rsidTr="00A84F95">
        <w:trPr>
          <w:cantSplit/>
        </w:trPr>
        <w:tc>
          <w:tcPr>
            <w:tcW w:w="2405" w:type="dxa"/>
            <w:shd w:val="clear" w:color="auto" w:fill="auto"/>
          </w:tcPr>
          <w:p w:rsidR="00087AE9" w:rsidRDefault="00087AE9" w:rsidP="00A84F95">
            <w:pPr>
              <w:pStyle w:val="ENoteTableText"/>
              <w:tabs>
                <w:tab w:val="center" w:leader="dot" w:pos="2268"/>
              </w:tabs>
            </w:pPr>
            <w:r>
              <w:t>c 5B</w:t>
            </w:r>
            <w:r>
              <w:tab/>
            </w:r>
          </w:p>
        </w:tc>
        <w:tc>
          <w:tcPr>
            <w:tcW w:w="5954" w:type="dxa"/>
            <w:shd w:val="clear" w:color="auto" w:fill="auto"/>
          </w:tcPr>
          <w:p w:rsidR="00087AE9" w:rsidRDefault="00087AE9" w:rsidP="00A84F95">
            <w:pPr>
              <w:pStyle w:val="ENoteTableText"/>
              <w:tabs>
                <w:tab w:val="center" w:leader="dot" w:pos="2268"/>
              </w:tabs>
            </w:pPr>
            <w:r w:rsidRPr="00DA495B">
              <w:t>ad F2014L00106</w:t>
            </w:r>
          </w:p>
        </w:tc>
      </w:tr>
      <w:tr w:rsidR="00087AE9" w:rsidRPr="007C20C1" w:rsidTr="00A84F95">
        <w:trPr>
          <w:cantSplit/>
        </w:trPr>
        <w:tc>
          <w:tcPr>
            <w:tcW w:w="2405" w:type="dxa"/>
            <w:shd w:val="clear" w:color="auto" w:fill="auto"/>
          </w:tcPr>
          <w:p w:rsidR="00087AE9" w:rsidRDefault="00087AE9" w:rsidP="00A84F95">
            <w:pPr>
              <w:pStyle w:val="ENoteTableText"/>
              <w:tabs>
                <w:tab w:val="center" w:leader="dot" w:pos="2268"/>
              </w:tabs>
            </w:pPr>
            <w:r>
              <w:t>c 5C</w:t>
            </w:r>
            <w:r>
              <w:tab/>
            </w:r>
          </w:p>
        </w:tc>
        <w:tc>
          <w:tcPr>
            <w:tcW w:w="5954" w:type="dxa"/>
            <w:shd w:val="clear" w:color="auto" w:fill="auto"/>
          </w:tcPr>
          <w:p w:rsidR="00087AE9" w:rsidRDefault="00087AE9" w:rsidP="00A84F95">
            <w:pPr>
              <w:pStyle w:val="ENoteTableText"/>
              <w:tabs>
                <w:tab w:val="center" w:leader="dot" w:pos="2268"/>
              </w:tabs>
            </w:pPr>
            <w:r w:rsidRPr="00DA495B">
              <w:t>ad F2014L00106</w:t>
            </w:r>
          </w:p>
        </w:tc>
      </w:tr>
      <w:tr w:rsidR="00C357DF" w:rsidRPr="007C20C1" w:rsidTr="007C20C1">
        <w:trPr>
          <w:cantSplit/>
        </w:trPr>
        <w:tc>
          <w:tcPr>
            <w:tcW w:w="2405" w:type="dxa"/>
            <w:tcBorders>
              <w:bottom w:val="single" w:sz="12" w:space="0" w:color="auto"/>
            </w:tcBorders>
            <w:shd w:val="clear" w:color="auto" w:fill="auto"/>
          </w:tcPr>
          <w:p w:rsidR="00C357DF" w:rsidRDefault="00C357DF" w:rsidP="00C357DF">
            <w:pPr>
              <w:pStyle w:val="ENoteTableText"/>
              <w:tabs>
                <w:tab w:val="center" w:leader="dot" w:pos="2268"/>
              </w:tabs>
            </w:pPr>
            <w:r>
              <w:t>c 7</w:t>
            </w:r>
            <w:r>
              <w:tab/>
            </w:r>
          </w:p>
        </w:tc>
        <w:tc>
          <w:tcPr>
            <w:tcW w:w="5954" w:type="dxa"/>
            <w:tcBorders>
              <w:bottom w:val="single" w:sz="12" w:space="0" w:color="auto"/>
            </w:tcBorders>
            <w:shd w:val="clear" w:color="auto" w:fill="auto"/>
          </w:tcPr>
          <w:p w:rsidR="00C357DF" w:rsidRDefault="00C357DF">
            <w:pPr>
              <w:pStyle w:val="ENoteTableText"/>
              <w:tabs>
                <w:tab w:val="center" w:leader="dot" w:pos="2268"/>
              </w:tabs>
            </w:pPr>
            <w:r>
              <w:t>am F2013L01867</w:t>
            </w:r>
          </w:p>
        </w:tc>
      </w:tr>
    </w:tbl>
    <w:p w:rsidR="00741069" w:rsidRDefault="00741069" w:rsidP="00E241FE">
      <w:pPr>
        <w:pStyle w:val="Tabletext"/>
      </w:pPr>
    </w:p>
    <w:p w:rsidR="00741069" w:rsidRDefault="00741069" w:rsidP="00E241FE">
      <w:pPr>
        <w:pStyle w:val="ENotesHeading2"/>
        <w:pageBreakBefore/>
      </w:pPr>
      <w:r>
        <w:lastRenderedPageBreak/>
        <w:t>Endnote 5—</w:t>
      </w:r>
      <w:proofErr w:type="spellStart"/>
      <w:r>
        <w:t>Uncommenced</w:t>
      </w:r>
      <w:proofErr w:type="spellEnd"/>
      <w:r>
        <w:t xml:space="preserve"> amendments</w:t>
      </w:r>
      <w:r w:rsidR="0066417A">
        <w:t xml:space="preserve"> [none]</w:t>
      </w:r>
    </w:p>
    <w:p w:rsidR="00741069" w:rsidRDefault="00741069" w:rsidP="0066417A">
      <w:pPr>
        <w:pStyle w:val="ENotesHeading2"/>
      </w:pPr>
      <w:r>
        <w:t>Endn</w:t>
      </w:r>
      <w:r w:rsidRPr="00786FBC">
        <w:t xml:space="preserve">ote </w:t>
      </w:r>
      <w:r>
        <w:t>6</w:t>
      </w:r>
      <w:r w:rsidRPr="00786FBC">
        <w:t>—Modifications</w:t>
      </w:r>
      <w:r w:rsidR="0066417A">
        <w:t xml:space="preserve"> [none]</w:t>
      </w:r>
    </w:p>
    <w:p w:rsidR="00741069" w:rsidRPr="00723CF8" w:rsidRDefault="00741069" w:rsidP="0066417A">
      <w:pPr>
        <w:pStyle w:val="ENotesHeading2"/>
      </w:pPr>
      <w:r>
        <w:t>Endnote 7</w:t>
      </w:r>
      <w:r w:rsidRPr="00723CF8">
        <w:t>—</w:t>
      </w:r>
      <w:proofErr w:type="spellStart"/>
      <w:r w:rsidRPr="00723CF8">
        <w:t>Misdescribed</w:t>
      </w:r>
      <w:proofErr w:type="spellEnd"/>
      <w:r w:rsidRPr="00723CF8">
        <w:t xml:space="preserve"> </w:t>
      </w:r>
      <w:r>
        <w:t>a</w:t>
      </w:r>
      <w:r w:rsidRPr="00723CF8">
        <w:t>mendments</w:t>
      </w:r>
      <w:r w:rsidR="0066417A">
        <w:t xml:space="preserve"> [none]</w:t>
      </w:r>
    </w:p>
    <w:p w:rsidR="00741069" w:rsidRDefault="00741069" w:rsidP="0066417A">
      <w:pPr>
        <w:pStyle w:val="ENotesHeading2"/>
      </w:pPr>
      <w:r>
        <w:t>Endnote 8—Miscellaneous</w:t>
      </w:r>
      <w:r w:rsidR="0066417A">
        <w:t xml:space="preserve"> [none]</w:t>
      </w:r>
    </w:p>
    <w:p w:rsidR="00741069" w:rsidRDefault="00741069" w:rsidP="00E241FE"/>
    <w:p w:rsidR="00741069" w:rsidRDefault="00741069" w:rsidP="001A0BEE">
      <w:pPr>
        <w:sectPr w:rsidR="00741069" w:rsidSect="00D273F8">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741069" w:rsidRPr="00152412" w:rsidRDefault="00741069" w:rsidP="00741069"/>
    <w:sectPr w:rsidR="00741069" w:rsidRPr="00152412" w:rsidSect="00D273F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69" w:rsidRDefault="00741069" w:rsidP="00715914">
      <w:pPr>
        <w:spacing w:line="240" w:lineRule="auto"/>
      </w:pPr>
      <w:r>
        <w:separator/>
      </w:r>
    </w:p>
  </w:endnote>
  <w:endnote w:type="continuationSeparator" w:id="0">
    <w:p w:rsidR="00741069" w:rsidRDefault="007410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Default="00741069" w:rsidP="00983541">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 xml:space="preserve">Determination under subsection 24(3) - </w:t>
          </w:r>
          <w:r w:rsidR="00087AE9">
            <w:rPr>
              <w:i/>
              <w:sz w:val="18"/>
            </w:rPr>
            <w:br/>
            <w:t>Non-SES employees moved between APS agencies to give effect to the Administrative Arrangements Orders made by the Governor-General in Council on 18 September 2013</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008F">
            <w:rPr>
              <w:i/>
              <w:noProof/>
              <w:sz w:val="18"/>
            </w:rPr>
            <w:t>7</w:t>
          </w:r>
          <w:r w:rsidRPr="00ED79B6">
            <w:rPr>
              <w:i/>
              <w:sz w:val="18"/>
            </w:rPr>
            <w:fldChar w:fldCharType="end"/>
          </w:r>
        </w:p>
      </w:tc>
    </w:tr>
  </w:tbl>
  <w:p w:rsidR="007500C8" w:rsidRPr="00ED79B6" w:rsidRDefault="007500C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88" w:rsidRPr="00ED79B6" w:rsidRDefault="00571388" w:rsidP="00571388">
    <w:pPr>
      <w:pStyle w:val="Footer"/>
      <w:tabs>
        <w:tab w:val="clear" w:pos="4153"/>
        <w:tab w:val="clear" w:pos="8306"/>
        <w:tab w:val="center" w:pos="4150"/>
        <w:tab w:val="right" w:pos="8307"/>
      </w:tabs>
      <w:spacing w:before="120"/>
    </w:pPr>
    <w:r>
      <w:t>Prepared by the Office of Parliamentary Counsel, Canberra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E33C1C" w:rsidRDefault="00741069" w:rsidP="0066417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1069" w:rsidTr="00220682">
      <w:tc>
        <w:tcPr>
          <w:tcW w:w="709" w:type="dxa"/>
          <w:tcBorders>
            <w:top w:val="nil"/>
            <w:left w:val="nil"/>
            <w:bottom w:val="nil"/>
            <w:right w:val="nil"/>
          </w:tcBorders>
        </w:tcPr>
        <w:p w:rsidR="00741069" w:rsidRDefault="00741069"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782">
            <w:rPr>
              <w:i/>
              <w:noProof/>
              <w:sz w:val="18"/>
            </w:rPr>
            <w:t>4</w:t>
          </w:r>
          <w:r w:rsidRPr="00ED79B6">
            <w:rPr>
              <w:i/>
              <w:sz w:val="18"/>
            </w:rPr>
            <w:fldChar w:fldCharType="end"/>
          </w:r>
        </w:p>
      </w:tc>
      <w:tc>
        <w:tcPr>
          <w:tcW w:w="6379" w:type="dxa"/>
          <w:tcBorders>
            <w:top w:val="nil"/>
            <w:left w:val="nil"/>
            <w:bottom w:val="nil"/>
            <w:right w:val="nil"/>
          </w:tcBorders>
        </w:tcPr>
        <w:p w:rsidR="00741069" w:rsidRDefault="00741069" w:rsidP="00E807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Determination under subsection 24(3) - Non-SES employees moved between APS agencies to give effect to the Administrative Arrangements Orders made by the Governor-General in Council on 18 September 2013</w:t>
          </w:r>
          <w:r w:rsidRPr="007A1328">
            <w:rPr>
              <w:i/>
              <w:sz w:val="18"/>
            </w:rPr>
            <w:fldChar w:fldCharType="end"/>
          </w:r>
        </w:p>
      </w:tc>
      <w:tc>
        <w:tcPr>
          <w:tcW w:w="1384" w:type="dxa"/>
          <w:tcBorders>
            <w:top w:val="nil"/>
            <w:left w:val="nil"/>
            <w:bottom w:val="nil"/>
            <w:right w:val="nil"/>
          </w:tcBorders>
        </w:tcPr>
        <w:p w:rsidR="00741069" w:rsidRDefault="00741069" w:rsidP="004A1E86">
          <w:pPr>
            <w:spacing w:line="0" w:lineRule="atLeast"/>
            <w:jc w:val="right"/>
            <w:rPr>
              <w:sz w:val="18"/>
            </w:rPr>
          </w:pPr>
        </w:p>
      </w:tc>
    </w:tr>
  </w:tbl>
  <w:p w:rsidR="00741069" w:rsidRPr="00ED79B6" w:rsidRDefault="00741069" w:rsidP="004A1E86">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E33C1C" w:rsidRDefault="00741069" w:rsidP="0066417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1069" w:rsidTr="004A1E86">
      <w:tc>
        <w:tcPr>
          <w:tcW w:w="1384" w:type="dxa"/>
          <w:tcBorders>
            <w:top w:val="nil"/>
            <w:left w:val="nil"/>
            <w:bottom w:val="nil"/>
            <w:right w:val="nil"/>
          </w:tcBorders>
        </w:tcPr>
        <w:p w:rsidR="00741069" w:rsidRDefault="00741069" w:rsidP="004A1E86">
          <w:pPr>
            <w:spacing w:line="0" w:lineRule="atLeast"/>
            <w:rPr>
              <w:sz w:val="18"/>
            </w:rPr>
          </w:pPr>
        </w:p>
      </w:tc>
      <w:tc>
        <w:tcPr>
          <w:tcW w:w="6379" w:type="dxa"/>
          <w:tcBorders>
            <w:top w:val="nil"/>
            <w:left w:val="nil"/>
            <w:bottom w:val="nil"/>
            <w:right w:val="nil"/>
          </w:tcBorders>
        </w:tcPr>
        <w:p w:rsidR="00741069" w:rsidRDefault="00741069" w:rsidP="00E807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Determination under subsection 24(3) - Non-SES employees moved between APS agencies to give effect to the Administrative Arrangements Orders made by the Governor-General in Council on 18 September 2013</w:t>
          </w:r>
          <w:r w:rsidRPr="007A1328">
            <w:rPr>
              <w:i/>
              <w:sz w:val="18"/>
            </w:rPr>
            <w:fldChar w:fldCharType="end"/>
          </w:r>
        </w:p>
      </w:tc>
      <w:tc>
        <w:tcPr>
          <w:tcW w:w="709" w:type="dxa"/>
          <w:tcBorders>
            <w:top w:val="nil"/>
            <w:left w:val="nil"/>
            <w:bottom w:val="nil"/>
            <w:right w:val="nil"/>
          </w:tcBorders>
        </w:tcPr>
        <w:p w:rsidR="00741069" w:rsidRDefault="00741069"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782">
            <w:rPr>
              <w:i/>
              <w:noProof/>
              <w:sz w:val="18"/>
            </w:rPr>
            <w:t>3</w:t>
          </w:r>
          <w:r w:rsidRPr="00ED79B6">
            <w:rPr>
              <w:i/>
              <w:sz w:val="18"/>
            </w:rPr>
            <w:fldChar w:fldCharType="end"/>
          </w:r>
        </w:p>
      </w:tc>
    </w:tr>
  </w:tbl>
  <w:p w:rsidR="00741069" w:rsidRPr="00ED79B6" w:rsidRDefault="00741069" w:rsidP="004A1E8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E33C1C" w:rsidRDefault="00741069" w:rsidP="004A1E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1069" w:rsidTr="004A1E86">
      <w:tc>
        <w:tcPr>
          <w:tcW w:w="1384" w:type="dxa"/>
          <w:tcBorders>
            <w:top w:val="nil"/>
            <w:left w:val="nil"/>
            <w:bottom w:val="nil"/>
            <w:right w:val="nil"/>
          </w:tcBorders>
        </w:tcPr>
        <w:p w:rsidR="00741069" w:rsidRDefault="00741069" w:rsidP="004A1E86">
          <w:pPr>
            <w:spacing w:line="0" w:lineRule="atLeast"/>
            <w:rPr>
              <w:sz w:val="18"/>
            </w:rPr>
          </w:pPr>
        </w:p>
      </w:tc>
      <w:tc>
        <w:tcPr>
          <w:tcW w:w="6379" w:type="dxa"/>
          <w:tcBorders>
            <w:top w:val="nil"/>
            <w:left w:val="nil"/>
            <w:bottom w:val="nil"/>
            <w:right w:val="nil"/>
          </w:tcBorders>
        </w:tcPr>
        <w:p w:rsidR="00741069" w:rsidRDefault="00741069"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 xml:space="preserve">Determination under subsection 24(3) - </w:t>
          </w:r>
          <w:r w:rsidR="00087AE9">
            <w:rPr>
              <w:i/>
              <w:sz w:val="18"/>
            </w:rPr>
            <w:br/>
            <w:t>Non-SES employees moved between APS agencies to give effect to the Administrative Arrangements Orders made by the Governor-General in Council on 18 September 2013</w:t>
          </w:r>
          <w:r w:rsidRPr="007A1328">
            <w:rPr>
              <w:i/>
              <w:sz w:val="18"/>
            </w:rPr>
            <w:fldChar w:fldCharType="end"/>
          </w:r>
        </w:p>
      </w:tc>
      <w:tc>
        <w:tcPr>
          <w:tcW w:w="709" w:type="dxa"/>
          <w:tcBorders>
            <w:top w:val="nil"/>
            <w:left w:val="nil"/>
            <w:bottom w:val="nil"/>
            <w:right w:val="nil"/>
          </w:tcBorders>
        </w:tcPr>
        <w:p w:rsidR="00741069" w:rsidRDefault="00741069"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008F">
            <w:rPr>
              <w:i/>
              <w:noProof/>
              <w:sz w:val="18"/>
            </w:rPr>
            <w:t>7</w:t>
          </w:r>
          <w:r w:rsidRPr="00ED79B6">
            <w:rPr>
              <w:i/>
              <w:sz w:val="18"/>
            </w:rPr>
            <w:fldChar w:fldCharType="end"/>
          </w:r>
        </w:p>
      </w:tc>
    </w:tr>
  </w:tbl>
  <w:p w:rsidR="00741069" w:rsidRPr="00ED79B6" w:rsidRDefault="00741069" w:rsidP="004A1E8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E33C1C" w:rsidRDefault="00741069" w:rsidP="00061A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1069" w:rsidTr="00220682">
      <w:tc>
        <w:tcPr>
          <w:tcW w:w="709" w:type="dxa"/>
          <w:tcBorders>
            <w:top w:val="nil"/>
            <w:left w:val="nil"/>
            <w:bottom w:val="nil"/>
            <w:right w:val="nil"/>
          </w:tcBorders>
        </w:tcPr>
        <w:p w:rsidR="00741069" w:rsidRDefault="00741069"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782">
            <w:rPr>
              <w:i/>
              <w:noProof/>
              <w:sz w:val="18"/>
            </w:rPr>
            <w:t>6</w:t>
          </w:r>
          <w:r w:rsidRPr="00ED79B6">
            <w:rPr>
              <w:i/>
              <w:sz w:val="18"/>
            </w:rPr>
            <w:fldChar w:fldCharType="end"/>
          </w:r>
        </w:p>
      </w:tc>
      <w:tc>
        <w:tcPr>
          <w:tcW w:w="6379" w:type="dxa"/>
          <w:tcBorders>
            <w:top w:val="nil"/>
            <w:left w:val="nil"/>
            <w:bottom w:val="nil"/>
            <w:right w:val="nil"/>
          </w:tcBorders>
        </w:tcPr>
        <w:p w:rsidR="00741069" w:rsidRDefault="00741069" w:rsidP="00E807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Determination under subsection 24(3) - Non-SES employees moved between APS agencies to give effect to the Administrative Arrangements Orders made by the Governor-General in Council on 18 September 2013</w:t>
          </w:r>
          <w:r w:rsidRPr="007A1328">
            <w:rPr>
              <w:i/>
              <w:sz w:val="18"/>
            </w:rPr>
            <w:fldChar w:fldCharType="end"/>
          </w:r>
        </w:p>
      </w:tc>
      <w:tc>
        <w:tcPr>
          <w:tcW w:w="1384" w:type="dxa"/>
          <w:tcBorders>
            <w:top w:val="nil"/>
            <w:left w:val="nil"/>
            <w:bottom w:val="nil"/>
            <w:right w:val="nil"/>
          </w:tcBorders>
        </w:tcPr>
        <w:p w:rsidR="00741069" w:rsidRDefault="00741069" w:rsidP="001A0BEE">
          <w:pPr>
            <w:spacing w:line="0" w:lineRule="atLeast"/>
            <w:jc w:val="right"/>
            <w:rPr>
              <w:sz w:val="18"/>
            </w:rPr>
          </w:pPr>
        </w:p>
      </w:tc>
    </w:tr>
  </w:tbl>
  <w:p w:rsidR="00741069" w:rsidRPr="00ED79B6" w:rsidRDefault="00741069" w:rsidP="001A0BE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E33C1C" w:rsidRDefault="00741069" w:rsidP="0066417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1069" w:rsidTr="001A0BEE">
      <w:tc>
        <w:tcPr>
          <w:tcW w:w="1384" w:type="dxa"/>
          <w:tcBorders>
            <w:top w:val="nil"/>
            <w:left w:val="nil"/>
            <w:bottom w:val="nil"/>
            <w:right w:val="nil"/>
          </w:tcBorders>
        </w:tcPr>
        <w:p w:rsidR="00741069" w:rsidRDefault="00741069" w:rsidP="001A0BEE">
          <w:pPr>
            <w:spacing w:line="0" w:lineRule="atLeast"/>
            <w:rPr>
              <w:sz w:val="18"/>
            </w:rPr>
          </w:pPr>
        </w:p>
      </w:tc>
      <w:tc>
        <w:tcPr>
          <w:tcW w:w="6379" w:type="dxa"/>
          <w:tcBorders>
            <w:top w:val="nil"/>
            <w:left w:val="nil"/>
            <w:bottom w:val="nil"/>
            <w:right w:val="nil"/>
          </w:tcBorders>
        </w:tcPr>
        <w:p w:rsidR="00741069" w:rsidRDefault="00741069" w:rsidP="00E8078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Determination under subsection 24(3) - Non-SES employees moved between APS agencies to give effect to the Administrative Arrangements Orders made by the Governor-General in Council on 18 September 2013</w:t>
          </w:r>
          <w:r w:rsidRPr="007A1328">
            <w:rPr>
              <w:i/>
              <w:sz w:val="18"/>
            </w:rPr>
            <w:fldChar w:fldCharType="end"/>
          </w:r>
        </w:p>
      </w:tc>
      <w:tc>
        <w:tcPr>
          <w:tcW w:w="709" w:type="dxa"/>
          <w:tcBorders>
            <w:top w:val="nil"/>
            <w:left w:val="nil"/>
            <w:bottom w:val="nil"/>
            <w:right w:val="nil"/>
          </w:tcBorders>
        </w:tcPr>
        <w:p w:rsidR="00741069" w:rsidRDefault="00741069"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782">
            <w:rPr>
              <w:i/>
              <w:noProof/>
              <w:sz w:val="18"/>
            </w:rPr>
            <w:t>5</w:t>
          </w:r>
          <w:r w:rsidRPr="00ED79B6">
            <w:rPr>
              <w:i/>
              <w:sz w:val="18"/>
            </w:rPr>
            <w:fldChar w:fldCharType="end"/>
          </w:r>
        </w:p>
      </w:tc>
    </w:tr>
  </w:tbl>
  <w:p w:rsidR="00741069" w:rsidRPr="00ED79B6" w:rsidRDefault="00741069" w:rsidP="001A0BE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3740BB">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008F">
            <w:rPr>
              <w:i/>
              <w:noProof/>
              <w:sz w:val="18"/>
            </w:rPr>
            <w:t>7</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 xml:space="preserve">Determination under subsection 24(3) - </w:t>
          </w:r>
          <w:r w:rsidR="00087AE9">
            <w:rPr>
              <w:i/>
              <w:sz w:val="18"/>
            </w:rPr>
            <w:br/>
            <w:t>Non-SES employees moved between APS agencies to give effect to the Administrative Arrangements Orders made by the Governor-General in Council on 18 September 2013</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ED79B6" w:rsidRDefault="007500C8" w:rsidP="007500C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7AE9">
            <w:rPr>
              <w:i/>
              <w:sz w:val="18"/>
            </w:rPr>
            <w:t xml:space="preserve">Determination under subsection 24(3) - </w:t>
          </w:r>
          <w:r w:rsidR="00087AE9">
            <w:rPr>
              <w:i/>
              <w:sz w:val="18"/>
            </w:rPr>
            <w:br/>
            <w:t>Non-SES employees moved between APS agencies to give effect to the Administrative Arrangements Orders made by the Governor-General in Council on 18 September 2013</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008F">
            <w:rPr>
              <w:i/>
              <w:noProof/>
              <w:sz w:val="18"/>
            </w:rPr>
            <w:t>7</w:t>
          </w:r>
          <w:r w:rsidRPr="00ED79B6">
            <w:rPr>
              <w:i/>
              <w:sz w:val="18"/>
            </w:rPr>
            <w:fldChar w:fldCharType="end"/>
          </w:r>
        </w:p>
      </w:tc>
    </w:tr>
  </w:tbl>
  <w:p w:rsidR="00472DBE" w:rsidRPr="00ED79B6" w:rsidRDefault="00472DBE" w:rsidP="00472DB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69" w:rsidRDefault="00741069" w:rsidP="00715914">
      <w:pPr>
        <w:spacing w:line="240" w:lineRule="auto"/>
      </w:pPr>
      <w:r>
        <w:separator/>
      </w:r>
    </w:p>
  </w:footnote>
  <w:footnote w:type="continuationSeparator" w:id="0">
    <w:p w:rsidR="00741069" w:rsidRDefault="0074106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Default="00741069" w:rsidP="0076547B">
    <w:pPr>
      <w:pStyle w:val="Header"/>
      <w:pBdr>
        <w:bottom w:val="single" w:sz="4" w:space="1" w:color="auto"/>
      </w:pBdr>
      <w:tabs>
        <w:tab w:val="clear" w:pos="4150"/>
        <w:tab w:val="clear" w:pos="8307"/>
      </w:tabs>
    </w:pPr>
  </w:p>
  <w:p w:rsidR="00741069" w:rsidRDefault="00741069" w:rsidP="0076547B">
    <w:pPr>
      <w:pStyle w:val="Header"/>
      <w:pBdr>
        <w:bottom w:val="single" w:sz="4" w:space="1" w:color="auto"/>
      </w:pBdr>
      <w:tabs>
        <w:tab w:val="clear" w:pos="4150"/>
        <w:tab w:val="clear" w:pos="8307"/>
      </w:tabs>
    </w:pPr>
  </w:p>
  <w:p w:rsidR="00741069" w:rsidRPr="005F1388" w:rsidRDefault="00741069" w:rsidP="0076547B">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88347D" w:rsidRDefault="00741069" w:rsidP="0088347D">
    <w:pPr>
      <w:pStyle w:val="Header"/>
      <w:pBdr>
        <w:bottom w:val="single" w:sz="4" w:space="1" w:color="auto"/>
      </w:pBdr>
      <w:tabs>
        <w:tab w:val="clear" w:pos="4150"/>
        <w:tab w:val="clear" w:pos="8307"/>
      </w:tabs>
      <w:rPr>
        <w:szCs w:val="16"/>
      </w:rPr>
    </w:pPr>
  </w:p>
  <w:p w:rsidR="00741069" w:rsidRPr="0088347D" w:rsidRDefault="00741069" w:rsidP="0088347D">
    <w:pPr>
      <w:pStyle w:val="Header"/>
      <w:pBdr>
        <w:bottom w:val="single" w:sz="4" w:space="1" w:color="auto"/>
      </w:pBdr>
      <w:tabs>
        <w:tab w:val="clear" w:pos="4150"/>
        <w:tab w:val="clear" w:pos="8307"/>
      </w:tabs>
      <w:rPr>
        <w:szCs w:val="16"/>
      </w:rPr>
    </w:pPr>
  </w:p>
  <w:p w:rsidR="00741069" w:rsidRPr="0088347D" w:rsidRDefault="00741069" w:rsidP="0088347D">
    <w:pPr>
      <w:pStyle w:val="Header"/>
      <w:pBdr>
        <w:bottom w:val="single" w:sz="4" w:space="1" w:color="auto"/>
      </w:pBdr>
      <w:tabs>
        <w:tab w:val="clear" w:pos="4150"/>
        <w:tab w:val="clear" w:pos="8307"/>
      </w:tabs>
      <w:rPr>
        <w:szCs w:val="16"/>
      </w:rPr>
    </w:pPr>
  </w:p>
  <w:p w:rsidR="00741069" w:rsidRPr="0088347D" w:rsidRDefault="00741069" w:rsidP="0088347D">
    <w:pPr>
      <w:pStyle w:val="Header"/>
      <w:tabs>
        <w:tab w:val="clear" w:pos="4150"/>
        <w:tab w:val="clear" w:pos="8307"/>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Default="00741069"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1069" w:rsidRDefault="00741069"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41069" w:rsidRPr="007A1328" w:rsidRDefault="00741069"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1069" w:rsidRPr="007A1328" w:rsidRDefault="00741069" w:rsidP="004A1E86">
    <w:pPr>
      <w:rPr>
        <w:b/>
        <w:sz w:val="24"/>
      </w:rPr>
    </w:pPr>
  </w:p>
  <w:p w:rsidR="00741069" w:rsidRPr="007A1328" w:rsidRDefault="00741069" w:rsidP="004A1E86">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87AE9">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80782">
      <w:rPr>
        <w:noProof/>
        <w:sz w:val="24"/>
      </w:rPr>
      <w:t>9</w:t>
    </w:r>
    <w:r w:rsidRPr="007A1328">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E8" w:rsidRPr="007A1328" w:rsidRDefault="00E832E8" w:rsidP="00E832E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832E8" w:rsidRPr="007A1328" w:rsidRDefault="00E832E8" w:rsidP="00E832E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832E8" w:rsidRPr="007A1328" w:rsidRDefault="00E832E8" w:rsidP="00E832E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832E8" w:rsidRPr="007A1328" w:rsidRDefault="00E832E8" w:rsidP="00E832E8">
    <w:pPr>
      <w:jc w:val="right"/>
      <w:rPr>
        <w:b/>
        <w:sz w:val="24"/>
      </w:rPr>
    </w:pPr>
  </w:p>
  <w:p w:rsidR="00E832E8" w:rsidRPr="007A1328" w:rsidRDefault="00E832E8" w:rsidP="00E832E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87AE9">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80782">
      <w:rPr>
        <w:noProof/>
        <w:sz w:val="24"/>
      </w:rPr>
      <w:t>5C.</w:t>
    </w:r>
    <w:r w:rsidRPr="007A1328">
      <w:rPr>
        <w:sz w:val="24"/>
      </w:rPr>
      <w:fldChar w:fldCharType="end"/>
    </w:r>
  </w:p>
  <w:p w:rsidR="00E832E8" w:rsidRPr="00E832E8" w:rsidRDefault="00E832E8" w:rsidP="00E832E8">
    <w:pPr>
      <w:pStyle w:val="Head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7A1328" w:rsidRDefault="00741069" w:rsidP="004A1E8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C4473E" w:rsidRDefault="00741069" w:rsidP="001A0BEE">
    <w:pPr>
      <w:rPr>
        <w:sz w:val="26"/>
        <w:szCs w:val="26"/>
      </w:rPr>
    </w:pPr>
  </w:p>
  <w:p w:rsidR="00741069" w:rsidRPr="00965EE7" w:rsidRDefault="00741069" w:rsidP="001A0BEE">
    <w:pPr>
      <w:rPr>
        <w:b/>
        <w:sz w:val="20"/>
      </w:rPr>
    </w:pPr>
    <w:r w:rsidRPr="00965EE7">
      <w:rPr>
        <w:b/>
        <w:sz w:val="20"/>
      </w:rPr>
      <w:t>Endnotes</w:t>
    </w:r>
  </w:p>
  <w:p w:rsidR="00741069" w:rsidRDefault="00741069" w:rsidP="001A0BEE">
    <w:pPr>
      <w:rPr>
        <w:sz w:val="20"/>
      </w:rPr>
    </w:pPr>
  </w:p>
  <w:p w:rsidR="0066417A" w:rsidRPr="0066417A" w:rsidRDefault="0066417A" w:rsidP="001A0BEE">
    <w:pPr>
      <w:rPr>
        <w:b/>
        <w:sz w:val="24"/>
        <w:szCs w:val="24"/>
      </w:rPr>
    </w:pPr>
  </w:p>
  <w:p w:rsidR="0066417A" w:rsidRPr="00C4473E" w:rsidRDefault="0066417A" w:rsidP="0066417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80782">
      <w:rPr>
        <w:noProof/>
        <w:szCs w:val="22"/>
      </w:rPr>
      <w:t>Endnote 2—Abbreviation key</w:t>
    </w:r>
    <w:r w:rsidRPr="00C4473E">
      <w:rPr>
        <w:szCs w:val="22"/>
      </w:rPr>
      <w:fldChar w:fldCharType="end"/>
    </w:r>
  </w:p>
  <w:p w:rsidR="0066417A" w:rsidRPr="00061AA0" w:rsidRDefault="0066417A" w:rsidP="00061AA0">
    <w:pPr>
      <w:spacing w:line="180" w:lineRule="atLeas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69" w:rsidRPr="00C4473E" w:rsidRDefault="00741069" w:rsidP="001A0BEE">
    <w:pPr>
      <w:jc w:val="right"/>
      <w:rPr>
        <w:sz w:val="26"/>
        <w:szCs w:val="26"/>
      </w:rPr>
    </w:pPr>
  </w:p>
  <w:p w:rsidR="00741069" w:rsidRPr="00965EE7" w:rsidRDefault="00741069" w:rsidP="001A0BEE">
    <w:pPr>
      <w:jc w:val="right"/>
      <w:rPr>
        <w:b/>
        <w:sz w:val="20"/>
      </w:rPr>
    </w:pPr>
    <w:r w:rsidRPr="00965EE7">
      <w:rPr>
        <w:b/>
        <w:sz w:val="20"/>
      </w:rPr>
      <w:t>Endnotes</w:t>
    </w:r>
  </w:p>
  <w:p w:rsidR="00741069" w:rsidRPr="007A1328" w:rsidRDefault="00741069" w:rsidP="001A0BEE">
    <w:pPr>
      <w:jc w:val="right"/>
      <w:rPr>
        <w:sz w:val="20"/>
      </w:rPr>
    </w:pPr>
  </w:p>
  <w:p w:rsidR="00741069" w:rsidRPr="007A1328" w:rsidRDefault="00741069" w:rsidP="001A0BEE">
    <w:pPr>
      <w:jc w:val="right"/>
      <w:rPr>
        <w:b/>
        <w:sz w:val="24"/>
      </w:rPr>
    </w:pPr>
  </w:p>
  <w:p w:rsidR="00741069" w:rsidRPr="00C4473E" w:rsidRDefault="00741069"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80782">
      <w:rPr>
        <w:noProof/>
        <w:szCs w:val="22"/>
      </w:rPr>
      <w:t>Endnote 1—About the endnotes</w:t>
    </w:r>
    <w:r w:rsidRPr="00C4473E">
      <w:rPr>
        <w:szCs w:val="22"/>
      </w:rPr>
      <w:fldChar w:fldCharType="end"/>
    </w:r>
  </w:p>
  <w:p w:rsidR="00741069" w:rsidRPr="00061AA0" w:rsidRDefault="00741069" w:rsidP="00061AA0">
    <w:pPr>
      <w:spacing w:line="180" w:lineRule="atLeas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15914">
    <w:pPr>
      <w:pBdr>
        <w:bottom w:val="single" w:sz="6" w:space="1" w:color="auto"/>
      </w:pBdr>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87AE9">
      <w:rPr>
        <w:sz w:val="24"/>
      </w:rPr>
      <w:t>Clause</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87AE9">
      <w:rPr>
        <w:noProof/>
        <w:sz w:val="24"/>
      </w:rPr>
      <w:t>9</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15914">
    <w:pPr>
      <w:pBdr>
        <w:bottom w:val="single" w:sz="6" w:space="1" w:color="auto"/>
      </w:pBdr>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87AE9">
      <w:rPr>
        <w:sz w:val="24"/>
      </w:rPr>
      <w:t>Clause</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87AE9">
      <w:rPr>
        <w:noProof/>
        <w:sz w:val="24"/>
      </w:rPr>
      <w:t>9</w:t>
    </w:r>
    <w:r w:rsidR="00F83989"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46D812"/>
    <w:lvl w:ilvl="0">
      <w:start w:val="1"/>
      <w:numFmt w:val="decimal"/>
      <w:lvlText w:val="%1."/>
      <w:lvlJc w:val="left"/>
      <w:pPr>
        <w:tabs>
          <w:tab w:val="num" w:pos="1492"/>
        </w:tabs>
        <w:ind w:left="1492" w:hanging="360"/>
      </w:pPr>
    </w:lvl>
  </w:abstractNum>
  <w:abstractNum w:abstractNumId="1">
    <w:nsid w:val="FFFFFF7D"/>
    <w:multiLevelType w:val="singleLevel"/>
    <w:tmpl w:val="6A467474"/>
    <w:lvl w:ilvl="0">
      <w:start w:val="1"/>
      <w:numFmt w:val="decimal"/>
      <w:lvlText w:val="%1."/>
      <w:lvlJc w:val="left"/>
      <w:pPr>
        <w:tabs>
          <w:tab w:val="num" w:pos="1209"/>
        </w:tabs>
        <w:ind w:left="1209" w:hanging="360"/>
      </w:pPr>
    </w:lvl>
  </w:abstractNum>
  <w:abstractNum w:abstractNumId="2">
    <w:nsid w:val="FFFFFF7E"/>
    <w:multiLevelType w:val="singleLevel"/>
    <w:tmpl w:val="4EDEEABA"/>
    <w:lvl w:ilvl="0">
      <w:start w:val="1"/>
      <w:numFmt w:val="decimal"/>
      <w:lvlText w:val="%1."/>
      <w:lvlJc w:val="left"/>
      <w:pPr>
        <w:tabs>
          <w:tab w:val="num" w:pos="926"/>
        </w:tabs>
        <w:ind w:left="926" w:hanging="360"/>
      </w:pPr>
    </w:lvl>
  </w:abstractNum>
  <w:abstractNum w:abstractNumId="3">
    <w:nsid w:val="FFFFFF7F"/>
    <w:multiLevelType w:val="singleLevel"/>
    <w:tmpl w:val="C0F046C4"/>
    <w:lvl w:ilvl="0">
      <w:start w:val="1"/>
      <w:numFmt w:val="decimal"/>
      <w:lvlText w:val="%1."/>
      <w:lvlJc w:val="left"/>
      <w:pPr>
        <w:tabs>
          <w:tab w:val="num" w:pos="643"/>
        </w:tabs>
        <w:ind w:left="643" w:hanging="360"/>
      </w:pPr>
    </w:lvl>
  </w:abstractNum>
  <w:abstractNum w:abstractNumId="4">
    <w:nsid w:val="FFFFFF80"/>
    <w:multiLevelType w:val="singleLevel"/>
    <w:tmpl w:val="452880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F4A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72C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B4DA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2FB84"/>
    <w:lvl w:ilvl="0">
      <w:start w:val="1"/>
      <w:numFmt w:val="decimal"/>
      <w:lvlText w:val="%1."/>
      <w:lvlJc w:val="left"/>
      <w:pPr>
        <w:tabs>
          <w:tab w:val="num" w:pos="360"/>
        </w:tabs>
        <w:ind w:left="360" w:hanging="360"/>
      </w:pPr>
    </w:lvl>
  </w:abstractNum>
  <w:abstractNum w:abstractNumId="9">
    <w:nsid w:val="FFFFFF89"/>
    <w:multiLevelType w:val="singleLevel"/>
    <w:tmpl w:val="71BEE51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8A63579"/>
    <w:multiLevelType w:val="hybridMultilevel"/>
    <w:tmpl w:val="63343CC8"/>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7545DF5"/>
    <w:multiLevelType w:val="multilevel"/>
    <w:tmpl w:val="6D6E9A16"/>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lvlOverride w:ilvl="0">
      <w:lvl w:ilvl="0">
        <w:start w:val="1"/>
        <w:numFmt w:val="decimal"/>
        <w:pStyle w:val="Level1"/>
        <w:lvlText w:val="%1."/>
        <w:lvlJc w:val="left"/>
        <w:pPr>
          <w:tabs>
            <w:tab w:val="num" w:pos="782"/>
          </w:tabs>
          <w:ind w:left="782" w:hanging="782"/>
        </w:pPr>
        <w:rPr>
          <w:rFonts w:ascii="Times New Roman" w:hAnsi="Times New Roman" w:cs="Times New Roman" w:hint="default"/>
          <w:b w:val="0"/>
          <w:i w:val="0"/>
          <w:sz w:val="24"/>
          <w:szCs w:val="24"/>
        </w:rPr>
      </w:lvl>
    </w:lvlOverride>
  </w:num>
  <w:num w:numId="14">
    <w:abstractNumId w:val="13"/>
  </w:num>
  <w:num w:numId="15">
    <w:abstractNumId w:val="13"/>
    <w:lvlOverride w:ilvl="0">
      <w:lvl w:ilvl="0">
        <w:start w:val="1"/>
        <w:numFmt w:val="decimal"/>
        <w:pStyle w:val="Level1"/>
        <w:lvlText w:val="%1."/>
        <w:lvlJc w:val="left"/>
        <w:pPr>
          <w:tabs>
            <w:tab w:val="num" w:pos="782"/>
          </w:tabs>
          <w:ind w:left="782" w:hanging="782"/>
        </w:pPr>
        <w:rPr>
          <w:rFonts w:ascii="Times New Roman" w:hAnsi="Times New Roman" w:cs="Times New Roman" w:hint="default"/>
          <w:b w:val="0"/>
          <w:i w:val="0"/>
          <w:sz w:val="24"/>
          <w:szCs w:val="24"/>
        </w:rPr>
      </w:lvl>
    </w:lvlOverride>
  </w:num>
  <w:num w:numId="16">
    <w:abstractNumId w:val="13"/>
    <w:lvlOverride w:ilvl="0">
      <w:lvl w:ilvl="0">
        <w:start w:val="1"/>
        <w:numFmt w:val="decimal"/>
        <w:pStyle w:val="Level1"/>
        <w:lvlText w:val="%1."/>
        <w:lvlJc w:val="left"/>
        <w:pPr>
          <w:tabs>
            <w:tab w:val="num" w:pos="782"/>
          </w:tabs>
          <w:ind w:left="782" w:hanging="782"/>
        </w:pPr>
        <w:rPr>
          <w:rFonts w:ascii="Times New Roman" w:hAnsi="Times New Roman" w:cs="Times New Roman" w:hint="default"/>
          <w:b w:val="0"/>
          <w:i w:val="0"/>
          <w:sz w:val="24"/>
          <w:szCs w:val="24"/>
        </w:rPr>
      </w:lvl>
    </w:lvlOverride>
  </w:num>
  <w:num w:numId="17">
    <w:abstractNumId w:val="13"/>
    <w:lvlOverride w:ilvl="0">
      <w:lvl w:ilvl="0">
        <w:start w:val="1"/>
        <w:numFmt w:val="decimal"/>
        <w:pStyle w:val="Level1"/>
        <w:lvlText w:val="%1."/>
        <w:lvlJc w:val="left"/>
        <w:pPr>
          <w:tabs>
            <w:tab w:val="num" w:pos="782"/>
          </w:tabs>
          <w:ind w:left="782" w:hanging="782"/>
        </w:pPr>
        <w:rPr>
          <w:rFonts w:ascii="Times New Roman" w:hAnsi="Times New Roman" w:cs="Times New Roman" w:hint="default"/>
          <w:b w:val="0"/>
          <w:i w:val="0"/>
          <w:sz w:val="24"/>
          <w:szCs w:val="24"/>
        </w:rPr>
      </w:lvl>
    </w:lvlOverride>
  </w:num>
  <w:num w:numId="18">
    <w:abstractNumId w:val="13"/>
    <w:lvlOverride w:ilvl="0">
      <w:lvl w:ilvl="0">
        <w:start w:val="1"/>
        <w:numFmt w:val="decimal"/>
        <w:pStyle w:val="Level1"/>
        <w:lvlText w:val="%1."/>
        <w:lvlJc w:val="left"/>
        <w:pPr>
          <w:tabs>
            <w:tab w:val="num" w:pos="782"/>
          </w:tabs>
          <w:ind w:left="782" w:hanging="782"/>
        </w:pPr>
        <w:rPr>
          <w:rFonts w:ascii="Arial" w:hAnsi="Arial" w:cs="Arial" w:hint="default"/>
          <w:b w:val="0"/>
          <w:i w:val="0"/>
          <w:sz w:val="24"/>
          <w:szCs w:val="24"/>
        </w:rPr>
      </w:lvl>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abstractNumId w:val="11"/>
  </w:num>
  <w:num w:numId="21">
    <w:abstractNumId w:val="13"/>
    <w:lvlOverride w:ilvl="0">
      <w:lvl w:ilvl="0">
        <w:start w:val="1"/>
        <w:numFmt w:val="decimal"/>
        <w:pStyle w:val="Level1"/>
        <w:lvlText w:val="%1."/>
        <w:lvlJc w:val="left"/>
        <w:pPr>
          <w:tabs>
            <w:tab w:val="num" w:pos="782"/>
          </w:tabs>
          <w:ind w:left="782" w:hanging="782"/>
        </w:pPr>
        <w:rPr>
          <w:rFonts w:ascii="Times New Roman" w:hAnsi="Times New Roman" w:cs="Times New Roman" w:hint="default"/>
          <w:b w:val="0"/>
          <w:i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69"/>
    <w:rsid w:val="000136AF"/>
    <w:rsid w:val="00023112"/>
    <w:rsid w:val="00051CF8"/>
    <w:rsid w:val="0005365D"/>
    <w:rsid w:val="000614BF"/>
    <w:rsid w:val="00061AA0"/>
    <w:rsid w:val="00087AE9"/>
    <w:rsid w:val="000D05EF"/>
    <w:rsid w:val="000D4D84"/>
    <w:rsid w:val="000E2261"/>
    <w:rsid w:val="000E64FA"/>
    <w:rsid w:val="000E7BB5"/>
    <w:rsid w:val="000F08DF"/>
    <w:rsid w:val="000F21C1"/>
    <w:rsid w:val="000F6EF2"/>
    <w:rsid w:val="0010745C"/>
    <w:rsid w:val="00117038"/>
    <w:rsid w:val="00142B62"/>
    <w:rsid w:val="0014405B"/>
    <w:rsid w:val="00152412"/>
    <w:rsid w:val="00157B8B"/>
    <w:rsid w:val="001605C2"/>
    <w:rsid w:val="00166C2F"/>
    <w:rsid w:val="00174361"/>
    <w:rsid w:val="0017524C"/>
    <w:rsid w:val="001809D7"/>
    <w:rsid w:val="00192AA3"/>
    <w:rsid w:val="001939E1"/>
    <w:rsid w:val="00194C3E"/>
    <w:rsid w:val="00195382"/>
    <w:rsid w:val="001B5C60"/>
    <w:rsid w:val="001C69C4"/>
    <w:rsid w:val="001D37EF"/>
    <w:rsid w:val="001E010D"/>
    <w:rsid w:val="001E3590"/>
    <w:rsid w:val="001E7407"/>
    <w:rsid w:val="001F5D5E"/>
    <w:rsid w:val="001F6219"/>
    <w:rsid w:val="00202FD4"/>
    <w:rsid w:val="00206C4D"/>
    <w:rsid w:val="00212236"/>
    <w:rsid w:val="00215ADB"/>
    <w:rsid w:val="00215E3D"/>
    <w:rsid w:val="00217783"/>
    <w:rsid w:val="00220682"/>
    <w:rsid w:val="0024010F"/>
    <w:rsid w:val="00240749"/>
    <w:rsid w:val="00245C2B"/>
    <w:rsid w:val="002564A4"/>
    <w:rsid w:val="0026736C"/>
    <w:rsid w:val="00281308"/>
    <w:rsid w:val="00297ECB"/>
    <w:rsid w:val="002A7BCF"/>
    <w:rsid w:val="002B0B63"/>
    <w:rsid w:val="002C15EA"/>
    <w:rsid w:val="002D043A"/>
    <w:rsid w:val="002D5446"/>
    <w:rsid w:val="002D6224"/>
    <w:rsid w:val="002E04D4"/>
    <w:rsid w:val="00300304"/>
    <w:rsid w:val="00304F8B"/>
    <w:rsid w:val="003217A5"/>
    <w:rsid w:val="00335BC6"/>
    <w:rsid w:val="003415D3"/>
    <w:rsid w:val="003474A5"/>
    <w:rsid w:val="00352B0F"/>
    <w:rsid w:val="00360459"/>
    <w:rsid w:val="0036224F"/>
    <w:rsid w:val="00371193"/>
    <w:rsid w:val="003740BB"/>
    <w:rsid w:val="00375484"/>
    <w:rsid w:val="00383103"/>
    <w:rsid w:val="003967B9"/>
    <w:rsid w:val="003A10A8"/>
    <w:rsid w:val="003B51AE"/>
    <w:rsid w:val="003C6231"/>
    <w:rsid w:val="003D0BFE"/>
    <w:rsid w:val="003D5700"/>
    <w:rsid w:val="003E341B"/>
    <w:rsid w:val="004116CD"/>
    <w:rsid w:val="00417EB9"/>
    <w:rsid w:val="00421ED5"/>
    <w:rsid w:val="00424CA9"/>
    <w:rsid w:val="00427678"/>
    <w:rsid w:val="00431E9B"/>
    <w:rsid w:val="004379E3"/>
    <w:rsid w:val="0044291A"/>
    <w:rsid w:val="00467661"/>
    <w:rsid w:val="00472DBE"/>
    <w:rsid w:val="00496F97"/>
    <w:rsid w:val="004B11A1"/>
    <w:rsid w:val="004C3A07"/>
    <w:rsid w:val="004D4C8A"/>
    <w:rsid w:val="004D7216"/>
    <w:rsid w:val="004E3537"/>
    <w:rsid w:val="004E370A"/>
    <w:rsid w:val="004E7BEC"/>
    <w:rsid w:val="00500CC6"/>
    <w:rsid w:val="00505D3D"/>
    <w:rsid w:val="00506AF6"/>
    <w:rsid w:val="00516B8D"/>
    <w:rsid w:val="00537FBC"/>
    <w:rsid w:val="00555EA3"/>
    <w:rsid w:val="00571388"/>
    <w:rsid w:val="005829ED"/>
    <w:rsid w:val="00584811"/>
    <w:rsid w:val="00585784"/>
    <w:rsid w:val="00593AA6"/>
    <w:rsid w:val="00594161"/>
    <w:rsid w:val="00594749"/>
    <w:rsid w:val="00596721"/>
    <w:rsid w:val="005B4067"/>
    <w:rsid w:val="005C008F"/>
    <w:rsid w:val="005C0CFA"/>
    <w:rsid w:val="005C3F41"/>
    <w:rsid w:val="005D2164"/>
    <w:rsid w:val="005D2D09"/>
    <w:rsid w:val="005D3B89"/>
    <w:rsid w:val="00600219"/>
    <w:rsid w:val="00620076"/>
    <w:rsid w:val="006451CF"/>
    <w:rsid w:val="0066417A"/>
    <w:rsid w:val="00670263"/>
    <w:rsid w:val="00672EBE"/>
    <w:rsid w:val="00677CC2"/>
    <w:rsid w:val="006905DE"/>
    <w:rsid w:val="0069207B"/>
    <w:rsid w:val="006A6B66"/>
    <w:rsid w:val="006B78FE"/>
    <w:rsid w:val="006C7F8C"/>
    <w:rsid w:val="006E2776"/>
    <w:rsid w:val="006E6246"/>
    <w:rsid w:val="006F318F"/>
    <w:rsid w:val="00700B2C"/>
    <w:rsid w:val="007050A2"/>
    <w:rsid w:val="00713084"/>
    <w:rsid w:val="007133DB"/>
    <w:rsid w:val="00714F20"/>
    <w:rsid w:val="00715896"/>
    <w:rsid w:val="0071590F"/>
    <w:rsid w:val="00715914"/>
    <w:rsid w:val="007177E0"/>
    <w:rsid w:val="00731E00"/>
    <w:rsid w:val="00732021"/>
    <w:rsid w:val="00735CA6"/>
    <w:rsid w:val="00741069"/>
    <w:rsid w:val="007418AC"/>
    <w:rsid w:val="007440B7"/>
    <w:rsid w:val="007500C8"/>
    <w:rsid w:val="007715C9"/>
    <w:rsid w:val="00774EDD"/>
    <w:rsid w:val="007757EC"/>
    <w:rsid w:val="00793915"/>
    <w:rsid w:val="007C20C1"/>
    <w:rsid w:val="007C2253"/>
    <w:rsid w:val="007C225B"/>
    <w:rsid w:val="007E163D"/>
    <w:rsid w:val="007E667A"/>
    <w:rsid w:val="007F55C2"/>
    <w:rsid w:val="008117E9"/>
    <w:rsid w:val="00817F88"/>
    <w:rsid w:val="00821111"/>
    <w:rsid w:val="0084628E"/>
    <w:rsid w:val="008477E0"/>
    <w:rsid w:val="00856A31"/>
    <w:rsid w:val="00867B37"/>
    <w:rsid w:val="008754D0"/>
    <w:rsid w:val="00886456"/>
    <w:rsid w:val="008A46E1"/>
    <w:rsid w:val="008B2706"/>
    <w:rsid w:val="008B6CB0"/>
    <w:rsid w:val="008D0EE0"/>
    <w:rsid w:val="008D28AB"/>
    <w:rsid w:val="008F54E7"/>
    <w:rsid w:val="00903422"/>
    <w:rsid w:val="00906C01"/>
    <w:rsid w:val="009268B9"/>
    <w:rsid w:val="00932377"/>
    <w:rsid w:val="00935B36"/>
    <w:rsid w:val="009469C4"/>
    <w:rsid w:val="00947D5A"/>
    <w:rsid w:val="009532A5"/>
    <w:rsid w:val="00983541"/>
    <w:rsid w:val="009843DA"/>
    <w:rsid w:val="009868E9"/>
    <w:rsid w:val="009938CC"/>
    <w:rsid w:val="009C6FBA"/>
    <w:rsid w:val="00A079A9"/>
    <w:rsid w:val="00A12128"/>
    <w:rsid w:val="00A22C98"/>
    <w:rsid w:val="00A231E2"/>
    <w:rsid w:val="00A33DF9"/>
    <w:rsid w:val="00A3696C"/>
    <w:rsid w:val="00A40724"/>
    <w:rsid w:val="00A64071"/>
    <w:rsid w:val="00A64912"/>
    <w:rsid w:val="00A70A74"/>
    <w:rsid w:val="00A71519"/>
    <w:rsid w:val="00A84F95"/>
    <w:rsid w:val="00A95AAA"/>
    <w:rsid w:val="00A967D1"/>
    <w:rsid w:val="00AB0A08"/>
    <w:rsid w:val="00AD5641"/>
    <w:rsid w:val="00AE215C"/>
    <w:rsid w:val="00AE71AD"/>
    <w:rsid w:val="00AF06CF"/>
    <w:rsid w:val="00B07CDB"/>
    <w:rsid w:val="00B16A31"/>
    <w:rsid w:val="00B17DFD"/>
    <w:rsid w:val="00B308FE"/>
    <w:rsid w:val="00B33709"/>
    <w:rsid w:val="00B33B3C"/>
    <w:rsid w:val="00B36573"/>
    <w:rsid w:val="00B36DD3"/>
    <w:rsid w:val="00B527D2"/>
    <w:rsid w:val="00B56F2E"/>
    <w:rsid w:val="00B61A16"/>
    <w:rsid w:val="00B63834"/>
    <w:rsid w:val="00B75849"/>
    <w:rsid w:val="00B80199"/>
    <w:rsid w:val="00BA220B"/>
    <w:rsid w:val="00BA3A57"/>
    <w:rsid w:val="00BB4E1A"/>
    <w:rsid w:val="00BC015E"/>
    <w:rsid w:val="00BC3AE3"/>
    <w:rsid w:val="00BC76AC"/>
    <w:rsid w:val="00BE61CE"/>
    <w:rsid w:val="00BE719A"/>
    <w:rsid w:val="00BE720A"/>
    <w:rsid w:val="00BF0D73"/>
    <w:rsid w:val="00BF2465"/>
    <w:rsid w:val="00C25E7F"/>
    <w:rsid w:val="00C2746F"/>
    <w:rsid w:val="00C324A0"/>
    <w:rsid w:val="00C343BC"/>
    <w:rsid w:val="00C357DF"/>
    <w:rsid w:val="00C42BF8"/>
    <w:rsid w:val="00C50043"/>
    <w:rsid w:val="00C7573B"/>
    <w:rsid w:val="00C772C1"/>
    <w:rsid w:val="00C90C20"/>
    <w:rsid w:val="00CA7AB1"/>
    <w:rsid w:val="00CC49C3"/>
    <w:rsid w:val="00CE051D"/>
    <w:rsid w:val="00CE493D"/>
    <w:rsid w:val="00CF0BB2"/>
    <w:rsid w:val="00CF3EE8"/>
    <w:rsid w:val="00D13441"/>
    <w:rsid w:val="00D150E7"/>
    <w:rsid w:val="00D154A2"/>
    <w:rsid w:val="00D273F8"/>
    <w:rsid w:val="00D4362B"/>
    <w:rsid w:val="00D43FF6"/>
    <w:rsid w:val="00D70DFB"/>
    <w:rsid w:val="00D766DF"/>
    <w:rsid w:val="00D76BA7"/>
    <w:rsid w:val="00DA186E"/>
    <w:rsid w:val="00DB251C"/>
    <w:rsid w:val="00DC19FA"/>
    <w:rsid w:val="00DC4F88"/>
    <w:rsid w:val="00DD5491"/>
    <w:rsid w:val="00DE09CF"/>
    <w:rsid w:val="00DE0E8C"/>
    <w:rsid w:val="00E01075"/>
    <w:rsid w:val="00E05704"/>
    <w:rsid w:val="00E32AE4"/>
    <w:rsid w:val="00E338EF"/>
    <w:rsid w:val="00E44430"/>
    <w:rsid w:val="00E648B6"/>
    <w:rsid w:val="00E700BF"/>
    <w:rsid w:val="00E74DC7"/>
    <w:rsid w:val="00E8075A"/>
    <w:rsid w:val="00E80782"/>
    <w:rsid w:val="00E832E8"/>
    <w:rsid w:val="00E8502F"/>
    <w:rsid w:val="00E94D5E"/>
    <w:rsid w:val="00E95C79"/>
    <w:rsid w:val="00EA10AC"/>
    <w:rsid w:val="00EA7100"/>
    <w:rsid w:val="00EA7F9F"/>
    <w:rsid w:val="00EC78E0"/>
    <w:rsid w:val="00ED2BB6"/>
    <w:rsid w:val="00EF24ED"/>
    <w:rsid w:val="00EF2E3A"/>
    <w:rsid w:val="00F05FE7"/>
    <w:rsid w:val="00F072A7"/>
    <w:rsid w:val="00F078DC"/>
    <w:rsid w:val="00F22885"/>
    <w:rsid w:val="00F349F1"/>
    <w:rsid w:val="00F4350D"/>
    <w:rsid w:val="00F51519"/>
    <w:rsid w:val="00F567F7"/>
    <w:rsid w:val="00F73BD6"/>
    <w:rsid w:val="00F83029"/>
    <w:rsid w:val="00F83989"/>
    <w:rsid w:val="00F85099"/>
    <w:rsid w:val="00F9379C"/>
    <w:rsid w:val="00F9632C"/>
    <w:rsid w:val="00FA1E52"/>
    <w:rsid w:val="00FC3D10"/>
    <w:rsid w:val="00FC5EE3"/>
    <w:rsid w:val="00FF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FreeForm">
    <w:name w:val="FreeForm"/>
    <w:rsid w:val="006A6B66"/>
    <w:rPr>
      <w:rFonts w:ascii="Arial" w:hAnsi="Arial"/>
      <w:sz w:val="22"/>
    </w:rPr>
  </w:style>
  <w:style w:type="paragraph" w:customStyle="1" w:styleId="SOText">
    <w:name w:val="SO Text"/>
    <w:aliases w:val="sot"/>
    <w:link w:val="SOTextChar"/>
    <w:rsid w:val="007158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5896"/>
    <w:rPr>
      <w:sz w:val="22"/>
    </w:rPr>
  </w:style>
  <w:style w:type="paragraph" w:customStyle="1" w:styleId="SOTextNote">
    <w:name w:val="SO TextNote"/>
    <w:aliases w:val="sont"/>
    <w:basedOn w:val="SOText"/>
    <w:qFormat/>
    <w:rsid w:val="00FF5E25"/>
    <w:pPr>
      <w:spacing w:before="122" w:line="198" w:lineRule="exact"/>
      <w:ind w:left="1843" w:hanging="709"/>
    </w:pPr>
    <w:rPr>
      <w:sz w:val="18"/>
    </w:rPr>
  </w:style>
  <w:style w:type="paragraph" w:customStyle="1" w:styleId="SOPara">
    <w:name w:val="SO Para"/>
    <w:aliases w:val="soa"/>
    <w:basedOn w:val="SOText"/>
    <w:link w:val="SOParaChar"/>
    <w:qFormat/>
    <w:rsid w:val="00672EBE"/>
    <w:pPr>
      <w:tabs>
        <w:tab w:val="right" w:pos="1786"/>
      </w:tabs>
      <w:spacing w:before="40"/>
      <w:ind w:left="2070" w:hanging="936"/>
    </w:pPr>
  </w:style>
  <w:style w:type="character" w:customStyle="1" w:styleId="SOParaChar">
    <w:name w:val="SO Para Char"/>
    <w:aliases w:val="soa Char"/>
    <w:basedOn w:val="DefaultParagraphFont"/>
    <w:link w:val="SOPara"/>
    <w:rsid w:val="00672EBE"/>
    <w:rPr>
      <w:sz w:val="22"/>
    </w:rPr>
  </w:style>
  <w:style w:type="paragraph" w:customStyle="1" w:styleId="FileName">
    <w:name w:val="FileName"/>
    <w:basedOn w:val="Normal"/>
    <w:rsid w:val="004C3A07"/>
  </w:style>
  <w:style w:type="paragraph" w:customStyle="1" w:styleId="TableHeading">
    <w:name w:val="TableHeading"/>
    <w:aliases w:val="th"/>
    <w:basedOn w:val="OPCParaBase"/>
    <w:next w:val="Tabletext"/>
    <w:rsid w:val="00215ADB"/>
    <w:pPr>
      <w:keepNext/>
      <w:spacing w:before="60" w:line="240" w:lineRule="atLeast"/>
    </w:pPr>
    <w:rPr>
      <w:b/>
      <w:sz w:val="20"/>
    </w:rPr>
  </w:style>
  <w:style w:type="paragraph" w:customStyle="1" w:styleId="SOHeadBold">
    <w:name w:val="SO HeadBold"/>
    <w:aliases w:val="sohb"/>
    <w:basedOn w:val="SOText"/>
    <w:next w:val="SOText"/>
    <w:link w:val="SOHeadBoldChar"/>
    <w:qFormat/>
    <w:rsid w:val="005D2164"/>
    <w:rPr>
      <w:b/>
    </w:rPr>
  </w:style>
  <w:style w:type="character" w:customStyle="1" w:styleId="SOHeadBoldChar">
    <w:name w:val="SO HeadBold Char"/>
    <w:aliases w:val="sohb Char"/>
    <w:basedOn w:val="DefaultParagraphFont"/>
    <w:link w:val="SOHeadBold"/>
    <w:rsid w:val="005D2164"/>
    <w:rPr>
      <w:b/>
      <w:sz w:val="22"/>
    </w:rPr>
  </w:style>
  <w:style w:type="paragraph" w:customStyle="1" w:styleId="SOHeadItalic">
    <w:name w:val="SO HeadItalic"/>
    <w:aliases w:val="sohi"/>
    <w:basedOn w:val="SOText"/>
    <w:next w:val="SOText"/>
    <w:link w:val="SOHeadItalicChar"/>
    <w:qFormat/>
    <w:rsid w:val="00BE61CE"/>
    <w:rPr>
      <w:i/>
    </w:rPr>
  </w:style>
  <w:style w:type="character" w:customStyle="1" w:styleId="SOHeadItalicChar">
    <w:name w:val="SO HeadItalic Char"/>
    <w:aliases w:val="sohi Char"/>
    <w:basedOn w:val="DefaultParagraphFont"/>
    <w:link w:val="SOHeadItalic"/>
    <w:rsid w:val="00BE61CE"/>
    <w:rPr>
      <w:i/>
      <w:sz w:val="22"/>
    </w:rPr>
  </w:style>
  <w:style w:type="paragraph" w:customStyle="1" w:styleId="SOBullet">
    <w:name w:val="SO Bullet"/>
    <w:aliases w:val="sotb"/>
    <w:basedOn w:val="SOText"/>
    <w:link w:val="SOBulletChar"/>
    <w:qFormat/>
    <w:rsid w:val="00555EA3"/>
    <w:pPr>
      <w:ind w:left="1559" w:hanging="425"/>
    </w:pPr>
  </w:style>
  <w:style w:type="character" w:customStyle="1" w:styleId="SOBulletChar">
    <w:name w:val="SO Bullet Char"/>
    <w:aliases w:val="sotb Char"/>
    <w:basedOn w:val="DefaultParagraphFont"/>
    <w:link w:val="SOBullet"/>
    <w:rsid w:val="00555EA3"/>
    <w:rPr>
      <w:sz w:val="22"/>
    </w:rPr>
  </w:style>
  <w:style w:type="paragraph" w:customStyle="1" w:styleId="SOBulletNote">
    <w:name w:val="SO BulletNote"/>
    <w:aliases w:val="sonb"/>
    <w:basedOn w:val="SOTextNote"/>
    <w:link w:val="SOBulletNoteChar"/>
    <w:qFormat/>
    <w:rsid w:val="00DC19FA"/>
    <w:pPr>
      <w:tabs>
        <w:tab w:val="left" w:pos="1560"/>
      </w:tabs>
      <w:ind w:left="2268" w:hanging="1134"/>
    </w:pPr>
  </w:style>
  <w:style w:type="character" w:customStyle="1" w:styleId="SOBulletNoteChar">
    <w:name w:val="SO BulletNote Char"/>
    <w:aliases w:val="sonb Char"/>
    <w:basedOn w:val="DefaultParagraphFont"/>
    <w:link w:val="SOBulletNote"/>
    <w:rsid w:val="00DC19FA"/>
    <w:rPr>
      <w:sz w:val="18"/>
    </w:rPr>
  </w:style>
  <w:style w:type="paragraph" w:customStyle="1" w:styleId="Level1fo">
    <w:name w:val="Level 1.fo"/>
    <w:basedOn w:val="Normal"/>
    <w:uiPriority w:val="4"/>
    <w:rsid w:val="00741069"/>
    <w:pPr>
      <w:tabs>
        <w:tab w:val="left" w:pos="1406"/>
      </w:tabs>
      <w:spacing w:after="220" w:line="264" w:lineRule="auto"/>
      <w:ind w:left="782"/>
      <w:jc w:val="both"/>
    </w:pPr>
    <w:rPr>
      <w:rFonts w:ascii="Verdana" w:hAnsi="Verdana"/>
      <w:sz w:val="18"/>
      <w:szCs w:val="18"/>
    </w:rPr>
  </w:style>
  <w:style w:type="paragraph" w:customStyle="1" w:styleId="Level1">
    <w:name w:val="Level 1."/>
    <w:basedOn w:val="Normal"/>
    <w:next w:val="Level1fo"/>
    <w:uiPriority w:val="4"/>
    <w:rsid w:val="00741069"/>
    <w:pPr>
      <w:numPr>
        <w:numId w:val="13"/>
      </w:numPr>
      <w:spacing w:after="220" w:line="264" w:lineRule="auto"/>
      <w:jc w:val="both"/>
      <w:outlineLvl w:val="0"/>
    </w:pPr>
    <w:rPr>
      <w:rFonts w:ascii="Verdana" w:hAnsi="Verdana"/>
      <w:sz w:val="18"/>
      <w:szCs w:val="18"/>
    </w:rPr>
  </w:style>
  <w:style w:type="paragraph" w:customStyle="1" w:styleId="Level11">
    <w:name w:val="Level 1.1"/>
    <w:basedOn w:val="Normal"/>
    <w:next w:val="Normal"/>
    <w:uiPriority w:val="5"/>
    <w:rsid w:val="00741069"/>
    <w:pPr>
      <w:numPr>
        <w:ilvl w:val="1"/>
        <w:numId w:val="13"/>
      </w:numPr>
      <w:spacing w:after="220" w:line="264" w:lineRule="auto"/>
      <w:jc w:val="both"/>
      <w:outlineLvl w:val="1"/>
    </w:pPr>
    <w:rPr>
      <w:rFonts w:ascii="Verdana" w:hAnsi="Verdana"/>
      <w:sz w:val="18"/>
      <w:szCs w:val="18"/>
    </w:rPr>
  </w:style>
  <w:style w:type="paragraph" w:customStyle="1" w:styleId="Levela">
    <w:name w:val="Level (a)"/>
    <w:basedOn w:val="Normal"/>
    <w:next w:val="Normal"/>
    <w:uiPriority w:val="6"/>
    <w:rsid w:val="00741069"/>
    <w:pPr>
      <w:numPr>
        <w:ilvl w:val="2"/>
        <w:numId w:val="13"/>
      </w:numPr>
      <w:spacing w:after="220" w:line="264" w:lineRule="auto"/>
      <w:jc w:val="both"/>
      <w:outlineLvl w:val="2"/>
    </w:pPr>
    <w:rPr>
      <w:rFonts w:ascii="Verdana" w:hAnsi="Verdana"/>
      <w:sz w:val="18"/>
      <w:szCs w:val="18"/>
    </w:rPr>
  </w:style>
  <w:style w:type="paragraph" w:customStyle="1" w:styleId="Leveli">
    <w:name w:val="Level (i)"/>
    <w:basedOn w:val="Normal"/>
    <w:next w:val="Normal"/>
    <w:uiPriority w:val="6"/>
    <w:rsid w:val="00741069"/>
    <w:pPr>
      <w:numPr>
        <w:ilvl w:val="3"/>
        <w:numId w:val="13"/>
      </w:numPr>
      <w:spacing w:after="220" w:line="264" w:lineRule="auto"/>
      <w:jc w:val="both"/>
      <w:outlineLvl w:val="3"/>
    </w:pPr>
    <w:rPr>
      <w:rFonts w:ascii="Verdana" w:hAnsi="Verdana"/>
      <w:sz w:val="18"/>
      <w:szCs w:val="18"/>
    </w:rPr>
  </w:style>
  <w:style w:type="paragraph" w:customStyle="1" w:styleId="LevelA0">
    <w:name w:val="Level(A)"/>
    <w:basedOn w:val="Normal"/>
    <w:next w:val="Normal"/>
    <w:uiPriority w:val="6"/>
    <w:rsid w:val="00741069"/>
    <w:pPr>
      <w:numPr>
        <w:ilvl w:val="4"/>
        <w:numId w:val="13"/>
      </w:numPr>
      <w:spacing w:after="220" w:line="264" w:lineRule="auto"/>
      <w:jc w:val="both"/>
      <w:outlineLvl w:val="4"/>
    </w:pPr>
    <w:rPr>
      <w:rFonts w:ascii="Verdana" w:hAnsi="Verdana"/>
      <w:sz w:val="18"/>
      <w:szCs w:val="18"/>
    </w:rPr>
  </w:style>
  <w:style w:type="paragraph" w:customStyle="1" w:styleId="Levelaa">
    <w:name w:val="Level(aa)"/>
    <w:basedOn w:val="Normal"/>
    <w:next w:val="Normal"/>
    <w:uiPriority w:val="6"/>
    <w:rsid w:val="00741069"/>
    <w:pPr>
      <w:numPr>
        <w:ilvl w:val="5"/>
        <w:numId w:val="13"/>
      </w:numPr>
      <w:spacing w:after="220" w:line="264" w:lineRule="auto"/>
      <w:jc w:val="both"/>
      <w:outlineLvl w:val="5"/>
    </w:pPr>
    <w:rPr>
      <w:rFonts w:ascii="Verdana" w:hAnsi="Verdana"/>
      <w:sz w:val="18"/>
      <w:szCs w:val="18"/>
    </w:rPr>
  </w:style>
  <w:style w:type="numbering" w:customStyle="1" w:styleId="OutlineList1">
    <w:name w:val="OutlineList1"/>
    <w:uiPriority w:val="99"/>
    <w:rsid w:val="00741069"/>
    <w:pPr>
      <w:numPr>
        <w:numId w:val="14"/>
      </w:numPr>
    </w:pPr>
  </w:style>
  <w:style w:type="paragraph" w:customStyle="1" w:styleId="Levelalower">
    <w:name w:val="Level (a) lower"/>
    <w:basedOn w:val="Normal"/>
    <w:next w:val="Normal"/>
    <w:uiPriority w:val="7"/>
    <w:rsid w:val="00741069"/>
    <w:pPr>
      <w:numPr>
        <w:ilvl w:val="6"/>
        <w:numId w:val="13"/>
      </w:numPr>
      <w:spacing w:after="220" w:line="264" w:lineRule="auto"/>
      <w:jc w:val="both"/>
    </w:pPr>
    <w:rPr>
      <w:rFonts w:ascii="Verdana" w:hAnsi="Verdana"/>
      <w:sz w:val="18"/>
      <w:szCs w:val="18"/>
    </w:rPr>
  </w:style>
  <w:style w:type="paragraph" w:customStyle="1" w:styleId="Levelilower">
    <w:name w:val="Level (i) lower"/>
    <w:basedOn w:val="Normal"/>
    <w:next w:val="Normal"/>
    <w:uiPriority w:val="8"/>
    <w:rsid w:val="00741069"/>
    <w:pPr>
      <w:numPr>
        <w:ilvl w:val="7"/>
        <w:numId w:val="13"/>
      </w:numPr>
      <w:spacing w:after="220" w:line="264" w:lineRule="auto"/>
      <w:jc w:val="both"/>
    </w:pPr>
    <w:rPr>
      <w:rFonts w:ascii="Verdana" w:hAnsi="Verdana"/>
      <w:sz w:val="18"/>
      <w:szCs w:val="18"/>
    </w:rPr>
  </w:style>
  <w:style w:type="character" w:customStyle="1" w:styleId="ActHead5Char">
    <w:name w:val="ActHead 5 Char"/>
    <w:aliases w:val="s Char"/>
    <w:basedOn w:val="DefaultParagraphFont"/>
    <w:link w:val="ActHead5"/>
    <w:rsid w:val="00E832E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FreeForm">
    <w:name w:val="FreeForm"/>
    <w:rsid w:val="006A6B66"/>
    <w:rPr>
      <w:rFonts w:ascii="Arial" w:hAnsi="Arial"/>
      <w:sz w:val="22"/>
    </w:rPr>
  </w:style>
  <w:style w:type="paragraph" w:customStyle="1" w:styleId="SOText">
    <w:name w:val="SO Text"/>
    <w:aliases w:val="sot"/>
    <w:link w:val="SOTextChar"/>
    <w:rsid w:val="007158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5896"/>
    <w:rPr>
      <w:sz w:val="22"/>
    </w:rPr>
  </w:style>
  <w:style w:type="paragraph" w:customStyle="1" w:styleId="SOTextNote">
    <w:name w:val="SO TextNote"/>
    <w:aliases w:val="sont"/>
    <w:basedOn w:val="SOText"/>
    <w:qFormat/>
    <w:rsid w:val="00FF5E25"/>
    <w:pPr>
      <w:spacing w:before="122" w:line="198" w:lineRule="exact"/>
      <w:ind w:left="1843" w:hanging="709"/>
    </w:pPr>
    <w:rPr>
      <w:sz w:val="18"/>
    </w:rPr>
  </w:style>
  <w:style w:type="paragraph" w:customStyle="1" w:styleId="SOPara">
    <w:name w:val="SO Para"/>
    <w:aliases w:val="soa"/>
    <w:basedOn w:val="SOText"/>
    <w:link w:val="SOParaChar"/>
    <w:qFormat/>
    <w:rsid w:val="00672EBE"/>
    <w:pPr>
      <w:tabs>
        <w:tab w:val="right" w:pos="1786"/>
      </w:tabs>
      <w:spacing w:before="40"/>
      <w:ind w:left="2070" w:hanging="936"/>
    </w:pPr>
  </w:style>
  <w:style w:type="character" w:customStyle="1" w:styleId="SOParaChar">
    <w:name w:val="SO Para Char"/>
    <w:aliases w:val="soa Char"/>
    <w:basedOn w:val="DefaultParagraphFont"/>
    <w:link w:val="SOPara"/>
    <w:rsid w:val="00672EBE"/>
    <w:rPr>
      <w:sz w:val="22"/>
    </w:rPr>
  </w:style>
  <w:style w:type="paragraph" w:customStyle="1" w:styleId="FileName">
    <w:name w:val="FileName"/>
    <w:basedOn w:val="Normal"/>
    <w:rsid w:val="004C3A07"/>
  </w:style>
  <w:style w:type="paragraph" w:customStyle="1" w:styleId="TableHeading">
    <w:name w:val="TableHeading"/>
    <w:aliases w:val="th"/>
    <w:basedOn w:val="OPCParaBase"/>
    <w:next w:val="Tabletext"/>
    <w:rsid w:val="00215ADB"/>
    <w:pPr>
      <w:keepNext/>
      <w:spacing w:before="60" w:line="240" w:lineRule="atLeast"/>
    </w:pPr>
    <w:rPr>
      <w:b/>
      <w:sz w:val="20"/>
    </w:rPr>
  </w:style>
  <w:style w:type="paragraph" w:customStyle="1" w:styleId="SOHeadBold">
    <w:name w:val="SO HeadBold"/>
    <w:aliases w:val="sohb"/>
    <w:basedOn w:val="SOText"/>
    <w:next w:val="SOText"/>
    <w:link w:val="SOHeadBoldChar"/>
    <w:qFormat/>
    <w:rsid w:val="005D2164"/>
    <w:rPr>
      <w:b/>
    </w:rPr>
  </w:style>
  <w:style w:type="character" w:customStyle="1" w:styleId="SOHeadBoldChar">
    <w:name w:val="SO HeadBold Char"/>
    <w:aliases w:val="sohb Char"/>
    <w:basedOn w:val="DefaultParagraphFont"/>
    <w:link w:val="SOHeadBold"/>
    <w:rsid w:val="005D2164"/>
    <w:rPr>
      <w:b/>
      <w:sz w:val="22"/>
    </w:rPr>
  </w:style>
  <w:style w:type="paragraph" w:customStyle="1" w:styleId="SOHeadItalic">
    <w:name w:val="SO HeadItalic"/>
    <w:aliases w:val="sohi"/>
    <w:basedOn w:val="SOText"/>
    <w:next w:val="SOText"/>
    <w:link w:val="SOHeadItalicChar"/>
    <w:qFormat/>
    <w:rsid w:val="00BE61CE"/>
    <w:rPr>
      <w:i/>
    </w:rPr>
  </w:style>
  <w:style w:type="character" w:customStyle="1" w:styleId="SOHeadItalicChar">
    <w:name w:val="SO HeadItalic Char"/>
    <w:aliases w:val="sohi Char"/>
    <w:basedOn w:val="DefaultParagraphFont"/>
    <w:link w:val="SOHeadItalic"/>
    <w:rsid w:val="00BE61CE"/>
    <w:rPr>
      <w:i/>
      <w:sz w:val="22"/>
    </w:rPr>
  </w:style>
  <w:style w:type="paragraph" w:customStyle="1" w:styleId="SOBullet">
    <w:name w:val="SO Bullet"/>
    <w:aliases w:val="sotb"/>
    <w:basedOn w:val="SOText"/>
    <w:link w:val="SOBulletChar"/>
    <w:qFormat/>
    <w:rsid w:val="00555EA3"/>
    <w:pPr>
      <w:ind w:left="1559" w:hanging="425"/>
    </w:pPr>
  </w:style>
  <w:style w:type="character" w:customStyle="1" w:styleId="SOBulletChar">
    <w:name w:val="SO Bullet Char"/>
    <w:aliases w:val="sotb Char"/>
    <w:basedOn w:val="DefaultParagraphFont"/>
    <w:link w:val="SOBullet"/>
    <w:rsid w:val="00555EA3"/>
    <w:rPr>
      <w:sz w:val="22"/>
    </w:rPr>
  </w:style>
  <w:style w:type="paragraph" w:customStyle="1" w:styleId="SOBulletNote">
    <w:name w:val="SO BulletNote"/>
    <w:aliases w:val="sonb"/>
    <w:basedOn w:val="SOTextNote"/>
    <w:link w:val="SOBulletNoteChar"/>
    <w:qFormat/>
    <w:rsid w:val="00DC19FA"/>
    <w:pPr>
      <w:tabs>
        <w:tab w:val="left" w:pos="1560"/>
      </w:tabs>
      <w:ind w:left="2268" w:hanging="1134"/>
    </w:pPr>
  </w:style>
  <w:style w:type="character" w:customStyle="1" w:styleId="SOBulletNoteChar">
    <w:name w:val="SO BulletNote Char"/>
    <w:aliases w:val="sonb Char"/>
    <w:basedOn w:val="DefaultParagraphFont"/>
    <w:link w:val="SOBulletNote"/>
    <w:rsid w:val="00DC19FA"/>
    <w:rPr>
      <w:sz w:val="18"/>
    </w:rPr>
  </w:style>
  <w:style w:type="paragraph" w:customStyle="1" w:styleId="Level1fo">
    <w:name w:val="Level 1.fo"/>
    <w:basedOn w:val="Normal"/>
    <w:uiPriority w:val="4"/>
    <w:rsid w:val="00741069"/>
    <w:pPr>
      <w:tabs>
        <w:tab w:val="left" w:pos="1406"/>
      </w:tabs>
      <w:spacing w:after="220" w:line="264" w:lineRule="auto"/>
      <w:ind w:left="782"/>
      <w:jc w:val="both"/>
    </w:pPr>
    <w:rPr>
      <w:rFonts w:ascii="Verdana" w:hAnsi="Verdana"/>
      <w:sz w:val="18"/>
      <w:szCs w:val="18"/>
    </w:rPr>
  </w:style>
  <w:style w:type="paragraph" w:customStyle="1" w:styleId="Level1">
    <w:name w:val="Level 1."/>
    <w:basedOn w:val="Normal"/>
    <w:next w:val="Level1fo"/>
    <w:uiPriority w:val="4"/>
    <w:rsid w:val="00741069"/>
    <w:pPr>
      <w:numPr>
        <w:numId w:val="13"/>
      </w:numPr>
      <w:spacing w:after="220" w:line="264" w:lineRule="auto"/>
      <w:jc w:val="both"/>
      <w:outlineLvl w:val="0"/>
    </w:pPr>
    <w:rPr>
      <w:rFonts w:ascii="Verdana" w:hAnsi="Verdana"/>
      <w:sz w:val="18"/>
      <w:szCs w:val="18"/>
    </w:rPr>
  </w:style>
  <w:style w:type="paragraph" w:customStyle="1" w:styleId="Level11">
    <w:name w:val="Level 1.1"/>
    <w:basedOn w:val="Normal"/>
    <w:next w:val="Normal"/>
    <w:uiPriority w:val="5"/>
    <w:rsid w:val="00741069"/>
    <w:pPr>
      <w:numPr>
        <w:ilvl w:val="1"/>
        <w:numId w:val="13"/>
      </w:numPr>
      <w:spacing w:after="220" w:line="264" w:lineRule="auto"/>
      <w:jc w:val="both"/>
      <w:outlineLvl w:val="1"/>
    </w:pPr>
    <w:rPr>
      <w:rFonts w:ascii="Verdana" w:hAnsi="Verdana"/>
      <w:sz w:val="18"/>
      <w:szCs w:val="18"/>
    </w:rPr>
  </w:style>
  <w:style w:type="paragraph" w:customStyle="1" w:styleId="Levela">
    <w:name w:val="Level (a)"/>
    <w:basedOn w:val="Normal"/>
    <w:next w:val="Normal"/>
    <w:uiPriority w:val="6"/>
    <w:rsid w:val="00741069"/>
    <w:pPr>
      <w:numPr>
        <w:ilvl w:val="2"/>
        <w:numId w:val="13"/>
      </w:numPr>
      <w:spacing w:after="220" w:line="264" w:lineRule="auto"/>
      <w:jc w:val="both"/>
      <w:outlineLvl w:val="2"/>
    </w:pPr>
    <w:rPr>
      <w:rFonts w:ascii="Verdana" w:hAnsi="Verdana"/>
      <w:sz w:val="18"/>
      <w:szCs w:val="18"/>
    </w:rPr>
  </w:style>
  <w:style w:type="paragraph" w:customStyle="1" w:styleId="Leveli">
    <w:name w:val="Level (i)"/>
    <w:basedOn w:val="Normal"/>
    <w:next w:val="Normal"/>
    <w:uiPriority w:val="6"/>
    <w:rsid w:val="00741069"/>
    <w:pPr>
      <w:numPr>
        <w:ilvl w:val="3"/>
        <w:numId w:val="13"/>
      </w:numPr>
      <w:spacing w:after="220" w:line="264" w:lineRule="auto"/>
      <w:jc w:val="both"/>
      <w:outlineLvl w:val="3"/>
    </w:pPr>
    <w:rPr>
      <w:rFonts w:ascii="Verdana" w:hAnsi="Verdana"/>
      <w:sz w:val="18"/>
      <w:szCs w:val="18"/>
    </w:rPr>
  </w:style>
  <w:style w:type="paragraph" w:customStyle="1" w:styleId="LevelA0">
    <w:name w:val="Level(A)"/>
    <w:basedOn w:val="Normal"/>
    <w:next w:val="Normal"/>
    <w:uiPriority w:val="6"/>
    <w:rsid w:val="00741069"/>
    <w:pPr>
      <w:numPr>
        <w:ilvl w:val="4"/>
        <w:numId w:val="13"/>
      </w:numPr>
      <w:spacing w:after="220" w:line="264" w:lineRule="auto"/>
      <w:jc w:val="both"/>
      <w:outlineLvl w:val="4"/>
    </w:pPr>
    <w:rPr>
      <w:rFonts w:ascii="Verdana" w:hAnsi="Verdana"/>
      <w:sz w:val="18"/>
      <w:szCs w:val="18"/>
    </w:rPr>
  </w:style>
  <w:style w:type="paragraph" w:customStyle="1" w:styleId="Levelaa">
    <w:name w:val="Level(aa)"/>
    <w:basedOn w:val="Normal"/>
    <w:next w:val="Normal"/>
    <w:uiPriority w:val="6"/>
    <w:rsid w:val="00741069"/>
    <w:pPr>
      <w:numPr>
        <w:ilvl w:val="5"/>
        <w:numId w:val="13"/>
      </w:numPr>
      <w:spacing w:after="220" w:line="264" w:lineRule="auto"/>
      <w:jc w:val="both"/>
      <w:outlineLvl w:val="5"/>
    </w:pPr>
    <w:rPr>
      <w:rFonts w:ascii="Verdana" w:hAnsi="Verdana"/>
      <w:sz w:val="18"/>
      <w:szCs w:val="18"/>
    </w:rPr>
  </w:style>
  <w:style w:type="numbering" w:customStyle="1" w:styleId="OutlineList1">
    <w:name w:val="OutlineList1"/>
    <w:uiPriority w:val="99"/>
    <w:rsid w:val="00741069"/>
    <w:pPr>
      <w:numPr>
        <w:numId w:val="14"/>
      </w:numPr>
    </w:pPr>
  </w:style>
  <w:style w:type="paragraph" w:customStyle="1" w:styleId="Levelalower">
    <w:name w:val="Level (a) lower"/>
    <w:basedOn w:val="Normal"/>
    <w:next w:val="Normal"/>
    <w:uiPriority w:val="7"/>
    <w:rsid w:val="00741069"/>
    <w:pPr>
      <w:numPr>
        <w:ilvl w:val="6"/>
        <w:numId w:val="13"/>
      </w:numPr>
      <w:spacing w:after="220" w:line="264" w:lineRule="auto"/>
      <w:jc w:val="both"/>
    </w:pPr>
    <w:rPr>
      <w:rFonts w:ascii="Verdana" w:hAnsi="Verdana"/>
      <w:sz w:val="18"/>
      <w:szCs w:val="18"/>
    </w:rPr>
  </w:style>
  <w:style w:type="paragraph" w:customStyle="1" w:styleId="Levelilower">
    <w:name w:val="Level (i) lower"/>
    <w:basedOn w:val="Normal"/>
    <w:next w:val="Normal"/>
    <w:uiPriority w:val="8"/>
    <w:rsid w:val="00741069"/>
    <w:pPr>
      <w:numPr>
        <w:ilvl w:val="7"/>
        <w:numId w:val="13"/>
      </w:numPr>
      <w:spacing w:after="220" w:line="264" w:lineRule="auto"/>
      <w:jc w:val="both"/>
    </w:pPr>
    <w:rPr>
      <w:rFonts w:ascii="Verdana" w:hAnsi="Verdana"/>
      <w:sz w:val="18"/>
      <w:szCs w:val="18"/>
    </w:rPr>
  </w:style>
  <w:style w:type="character" w:customStyle="1" w:styleId="ActHead5Char">
    <w:name w:val="ActHead 5 Char"/>
    <w:aliases w:val="s Char"/>
    <w:basedOn w:val="DefaultParagraphFont"/>
    <w:link w:val="ActHead5"/>
    <w:rsid w:val="00E832E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5D12-EC7B-4CA9-8FF7-CC3B8B9D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2182</Words>
  <Characters>11460</Characters>
  <Application>Microsoft Office Word</Application>
  <DocSecurity>0</DocSecurity>
  <PresentationFormat/>
  <Lines>337</Lines>
  <Paragraphs>220</Paragraphs>
  <ScaleCrop>false</ScaleCrop>
  <HeadingPairs>
    <vt:vector size="2" baseType="variant">
      <vt:variant>
        <vt:lpstr>Title</vt:lpstr>
      </vt:variant>
      <vt:variant>
        <vt:i4>1</vt:i4>
      </vt:variant>
    </vt:vector>
  </HeadingPairs>
  <TitlesOfParts>
    <vt:vector size="1" baseType="lpstr">
      <vt:lpstr>Determination under subsection 24(3) - _x000b_Non-SES employees moved between APS agencies to give effect to the Administrative Arrangements Orders made by the Governor-General in Council on 18 September 2013</vt:lpstr>
    </vt:vector>
  </TitlesOfParts>
  <Manager/>
  <Company/>
  <LinksUpToDate>false</LinksUpToDate>
  <CharactersWithSpaces>13422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under subsection 24(3) - _x000b_Non-SES employees moved between APS agencies to give effect to the Administrative Arrangements Orders made by the Governor-General in Council on 18 September 2013</dc:title>
  <dc:subject/>
  <dc:creator/>
  <cp:keywords/>
  <dc:description/>
  <cp:lastModifiedBy/>
  <cp:revision>1</cp:revision>
  <cp:lastPrinted>2013-11-17T23:11:00Z</cp:lastPrinted>
  <dcterms:created xsi:type="dcterms:W3CDTF">2014-02-11T03:09:00Z</dcterms:created>
  <dcterms:modified xsi:type="dcterms:W3CDTF">2014-02-11T03:13:00Z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2013</vt:lpwstr>
  </property>
  <property fmtid="{D5CDD505-2E9C-101B-9397-08002B2CF9AE}" pid="3" name="ShortT">
    <vt:lpwstr>Determination under subsection 24(3) - _x000b_Non-SES employees moved between APS agencies to give effect to the Administrative Arrangements Orders made by the Governor-General in Council on 18 September 2013</vt:lpwstr>
  </property>
  <property fmtid="{D5CDD505-2E9C-101B-9397-08002B2CF9AE}" pid="4" name="Header">
    <vt:lpwstr>Clause</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2013</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UNCLASSIFIED</vt:lpwstr>
  </property>
  <property fmtid="{D5CDD505-2E9C-101B-9397-08002B2CF9AE}" pid="15" name="DLM">
    <vt:lpwstr>No DLM</vt:lpwstr>
  </property>
  <property fmtid="{D5CDD505-2E9C-101B-9397-08002B2CF9AE}" pid="16" name="DoNotAsk">
    <vt:lpwstr>0</vt:lpwstr>
  </property>
  <property fmtid="{D5CDD505-2E9C-101B-9397-08002B2CF9AE}" pid="17" name="ChangedTitle">
    <vt:lpwstr/>
  </property>
  <property fmtid="{D5CDD505-2E9C-101B-9397-08002B2CF9AE}" pid="18" name="Converted">
    <vt:bool>false</vt:bool>
  </property>
</Properties>
</file>