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D24BD" w14:textId="77777777" w:rsidR="004152F2" w:rsidRPr="0077409C" w:rsidRDefault="004152F2" w:rsidP="004152F2">
      <w:pPr>
        <w:pStyle w:val="Title"/>
        <w:rPr>
          <w:rFonts w:ascii="Arial" w:hAnsi="Arial" w:cs="Arial"/>
          <w:sz w:val="22"/>
          <w:szCs w:val="22"/>
        </w:rPr>
      </w:pPr>
      <w:bookmarkStart w:id="0" w:name="IsForm"/>
      <w:bookmarkStart w:id="1" w:name="x"/>
      <w:bookmarkStart w:id="2" w:name="_GoBack"/>
      <w:bookmarkEnd w:id="0"/>
      <w:bookmarkEnd w:id="1"/>
      <w:bookmarkEnd w:id="2"/>
    </w:p>
    <w:p w14:paraId="4E1D24BE" w14:textId="77777777" w:rsidR="004152F2" w:rsidRPr="0030798D" w:rsidRDefault="004152F2" w:rsidP="0030798D">
      <w:pPr>
        <w:pStyle w:val="Title"/>
        <w:rPr>
          <w:rFonts w:ascii="Arial" w:hAnsi="Arial" w:cs="Arial"/>
          <w:sz w:val="36"/>
          <w:szCs w:val="36"/>
          <w:u w:val="none"/>
        </w:rPr>
      </w:pPr>
      <w:r w:rsidRPr="0030798D">
        <w:rPr>
          <w:rFonts w:ascii="Arial" w:hAnsi="Arial" w:cs="Arial"/>
          <w:sz w:val="36"/>
          <w:szCs w:val="36"/>
          <w:u w:val="none"/>
        </w:rPr>
        <w:t>EXPLANATORY STATEMENT</w:t>
      </w:r>
    </w:p>
    <w:p w14:paraId="4E1D24BF" w14:textId="77777777" w:rsidR="004152F2" w:rsidRPr="0077409C" w:rsidRDefault="004152F2" w:rsidP="004152F2">
      <w:pPr>
        <w:pStyle w:val="Title"/>
        <w:rPr>
          <w:rFonts w:ascii="Arial" w:hAnsi="Arial" w:cs="Arial"/>
          <w:sz w:val="22"/>
          <w:szCs w:val="22"/>
        </w:rPr>
      </w:pPr>
    </w:p>
    <w:p w14:paraId="4E1D24C1" w14:textId="3506A32B" w:rsidR="004152F2" w:rsidRPr="0077409C" w:rsidRDefault="004152F2" w:rsidP="007F0E9F">
      <w:pPr>
        <w:jc w:val="center"/>
        <w:rPr>
          <w:rFonts w:cs="Arial"/>
        </w:rPr>
      </w:pPr>
      <w:r w:rsidRPr="0077409C">
        <w:rPr>
          <w:rFonts w:cs="Arial"/>
        </w:rPr>
        <w:t>Issued by the Authority of the Private Health Insurance Administration Council</w:t>
      </w:r>
    </w:p>
    <w:p w14:paraId="4E1D24C3" w14:textId="7431C95B" w:rsidR="004152F2" w:rsidRPr="0030798D" w:rsidRDefault="004152F2" w:rsidP="007F0E9F">
      <w:pPr>
        <w:jc w:val="center"/>
        <w:rPr>
          <w:rFonts w:cs="Arial"/>
          <w:b/>
          <w:sz w:val="24"/>
          <w:szCs w:val="24"/>
          <w:u w:val="single"/>
        </w:rPr>
      </w:pPr>
      <w:r w:rsidRPr="0030798D">
        <w:rPr>
          <w:rFonts w:cs="Arial"/>
          <w:b/>
          <w:sz w:val="24"/>
          <w:szCs w:val="24"/>
          <w:u w:val="single"/>
        </w:rPr>
        <w:t>Private Health Insurance Act 2007</w:t>
      </w:r>
    </w:p>
    <w:p w14:paraId="4E1D24C4" w14:textId="22AB7C60" w:rsidR="004152F2" w:rsidRPr="003303EF" w:rsidRDefault="004152F2" w:rsidP="004152F2">
      <w:pPr>
        <w:jc w:val="center"/>
        <w:rPr>
          <w:rFonts w:cs="Arial"/>
          <w:b/>
          <w:i/>
          <w:sz w:val="24"/>
          <w:szCs w:val="24"/>
        </w:rPr>
      </w:pPr>
      <w:r w:rsidRPr="003303EF">
        <w:rPr>
          <w:rFonts w:cs="Arial"/>
          <w:b/>
          <w:i/>
          <w:sz w:val="24"/>
          <w:szCs w:val="24"/>
        </w:rPr>
        <w:t>Private Health Insurance (</w:t>
      </w:r>
      <w:r w:rsidR="009F5452" w:rsidRPr="003303EF">
        <w:rPr>
          <w:rFonts w:cs="Arial"/>
          <w:b/>
          <w:i/>
          <w:sz w:val="24"/>
          <w:szCs w:val="24"/>
        </w:rPr>
        <w:t>Insurer Obligations) Amendment Rule 2013 (No.1)</w:t>
      </w:r>
    </w:p>
    <w:p w14:paraId="4E1D24C6" w14:textId="77777777" w:rsidR="004152F2" w:rsidRPr="0077409C" w:rsidRDefault="004152F2" w:rsidP="00340D35">
      <w:pPr>
        <w:pStyle w:val="Subtitle"/>
        <w:spacing w:after="120" w:line="276" w:lineRule="auto"/>
        <w:rPr>
          <w:rFonts w:ascii="Arial" w:hAnsi="Arial" w:cs="Arial"/>
          <w:b/>
          <w:sz w:val="22"/>
          <w:szCs w:val="22"/>
          <w:u w:val="none"/>
        </w:rPr>
      </w:pPr>
    </w:p>
    <w:p w14:paraId="4E1D24C8" w14:textId="26A30D42" w:rsidR="004152F2" w:rsidRPr="004B66B3" w:rsidRDefault="004152F2" w:rsidP="00340D35">
      <w:pPr>
        <w:pStyle w:val="Subtitle"/>
        <w:spacing w:after="120" w:line="276" w:lineRule="auto"/>
        <w:rPr>
          <w:rFonts w:ascii="Arial" w:hAnsi="Arial" w:cs="Arial"/>
          <w:b/>
          <w:sz w:val="22"/>
          <w:szCs w:val="22"/>
          <w:u w:val="none"/>
        </w:rPr>
      </w:pPr>
      <w:r w:rsidRPr="0077409C">
        <w:rPr>
          <w:rFonts w:ascii="Arial" w:hAnsi="Arial" w:cs="Arial"/>
          <w:b/>
          <w:sz w:val="22"/>
          <w:szCs w:val="22"/>
          <w:u w:val="none"/>
        </w:rPr>
        <w:t>Authority for the Rules</w:t>
      </w:r>
    </w:p>
    <w:p w14:paraId="268C488D" w14:textId="77777777" w:rsidR="009F5452" w:rsidRPr="009F5452" w:rsidRDefault="009F5452" w:rsidP="00340D35">
      <w:pPr>
        <w:spacing w:before="100" w:beforeAutospacing="1" w:after="120"/>
        <w:rPr>
          <w:rFonts w:eastAsia="Times New Roman" w:cs="Arial"/>
          <w:lang w:eastAsia="en-AU"/>
        </w:rPr>
      </w:pPr>
      <w:r w:rsidRPr="009F5452">
        <w:rPr>
          <w:rFonts w:eastAsia="Times New Roman" w:cs="Arial"/>
          <w:lang w:eastAsia="en-AU"/>
        </w:rPr>
        <w:t xml:space="preserve">The Private Health Insurance Administration Council (the Council) is empowered by section 163-1 of the </w:t>
      </w:r>
      <w:r w:rsidRPr="00CA4DFB">
        <w:rPr>
          <w:rFonts w:eastAsia="Times New Roman" w:cs="Arial"/>
          <w:i/>
          <w:lang w:eastAsia="en-AU"/>
        </w:rPr>
        <w:t>Private Health Insurance Act 2007</w:t>
      </w:r>
      <w:r w:rsidRPr="009F5452">
        <w:rPr>
          <w:rFonts w:eastAsia="Times New Roman" w:cs="Arial"/>
          <w:lang w:eastAsia="en-AU"/>
        </w:rPr>
        <w:t xml:space="preserve"> (the Act) and under item 2 of the table in section 333-25 of the Act to make the </w:t>
      </w:r>
      <w:r w:rsidRPr="00CA4DFB">
        <w:rPr>
          <w:rFonts w:eastAsia="Times New Roman" w:cs="Arial"/>
          <w:i/>
          <w:lang w:eastAsia="en-AU"/>
        </w:rPr>
        <w:t>Private Health Insurance (Insurer Obligations) Rules</w:t>
      </w:r>
      <w:r w:rsidRPr="009F5452">
        <w:rPr>
          <w:rFonts w:eastAsia="Times New Roman" w:cs="Arial"/>
          <w:lang w:eastAsia="en-AU"/>
        </w:rPr>
        <w:t>.</w:t>
      </w:r>
    </w:p>
    <w:p w14:paraId="097B2D99" w14:textId="170C7515" w:rsidR="009F5452" w:rsidRPr="00DC59C9" w:rsidRDefault="009F5452" w:rsidP="00340D35">
      <w:pPr>
        <w:spacing w:before="100" w:beforeAutospacing="1" w:after="120"/>
        <w:rPr>
          <w:rFonts w:eastAsia="Times New Roman" w:cs="Arial"/>
          <w:lang w:eastAsia="en-AU"/>
        </w:rPr>
      </w:pPr>
      <w:r w:rsidRPr="00DC59C9">
        <w:rPr>
          <w:rFonts w:eastAsia="Times New Roman" w:cs="Arial"/>
          <w:lang w:eastAsia="en-AU"/>
        </w:rPr>
        <w:t> Section 163-1 of the Act provides that:</w:t>
      </w:r>
    </w:p>
    <w:p w14:paraId="74FEC613" w14:textId="77777777" w:rsidR="00DC59C9" w:rsidRPr="00DC59C9" w:rsidRDefault="009F5452" w:rsidP="00340D35">
      <w:pPr>
        <w:pStyle w:val="ListParagraph"/>
        <w:numPr>
          <w:ilvl w:val="0"/>
          <w:numId w:val="35"/>
        </w:numPr>
        <w:spacing w:before="240" w:after="120" w:line="276" w:lineRule="auto"/>
        <w:contextualSpacing w:val="0"/>
        <w:rPr>
          <w:rFonts w:ascii="Arial" w:hAnsi="Arial" w:cs="Arial"/>
          <w:sz w:val="22"/>
          <w:szCs w:val="22"/>
        </w:rPr>
      </w:pPr>
      <w:r w:rsidRPr="00DC59C9">
        <w:rPr>
          <w:rFonts w:ascii="Arial" w:hAnsi="Arial" w:cs="Arial"/>
          <w:sz w:val="22"/>
          <w:szCs w:val="22"/>
        </w:rPr>
        <w:t>The Private Health Insurance (Insurer Obligations) Rules may establish prudential standards relating to *prudential matters for private health insurers.</w:t>
      </w:r>
    </w:p>
    <w:p w14:paraId="4EED40E1" w14:textId="6D01C215" w:rsidR="009F5452" w:rsidRPr="00DC59C9" w:rsidRDefault="009F5452" w:rsidP="00340D35">
      <w:pPr>
        <w:pStyle w:val="ListParagraph"/>
        <w:numPr>
          <w:ilvl w:val="0"/>
          <w:numId w:val="35"/>
        </w:numPr>
        <w:spacing w:before="240" w:after="120" w:line="276" w:lineRule="auto"/>
        <w:contextualSpacing w:val="0"/>
        <w:rPr>
          <w:rFonts w:ascii="Arial" w:hAnsi="Arial" w:cs="Arial"/>
          <w:sz w:val="22"/>
          <w:szCs w:val="22"/>
        </w:rPr>
      </w:pPr>
      <w:r w:rsidRPr="00DC59C9">
        <w:rPr>
          <w:rFonts w:ascii="Arial" w:hAnsi="Arial" w:cs="Arial"/>
          <w:sz w:val="22"/>
          <w:szCs w:val="22"/>
        </w:rPr>
        <w:t>Prudential matters are matters relating to:</w:t>
      </w:r>
    </w:p>
    <w:p w14:paraId="4617E10F" w14:textId="284FFDF8" w:rsidR="009F5452" w:rsidRPr="00DC59C9" w:rsidRDefault="009F5452" w:rsidP="00340D35">
      <w:pPr>
        <w:pStyle w:val="ListParagraph"/>
        <w:numPr>
          <w:ilvl w:val="0"/>
          <w:numId w:val="37"/>
        </w:numPr>
        <w:spacing w:before="240" w:after="120" w:line="276" w:lineRule="auto"/>
        <w:contextualSpacing w:val="0"/>
        <w:rPr>
          <w:rFonts w:ascii="Arial" w:hAnsi="Arial" w:cs="Arial"/>
          <w:sz w:val="22"/>
          <w:szCs w:val="22"/>
        </w:rPr>
      </w:pPr>
      <w:r w:rsidRPr="00DC59C9">
        <w:rPr>
          <w:rFonts w:ascii="Arial" w:hAnsi="Arial" w:cs="Arial"/>
          <w:sz w:val="22"/>
          <w:szCs w:val="22"/>
        </w:rPr>
        <w:t>the conduct by private health insurers of any of their affairs in such a way as:</w:t>
      </w:r>
    </w:p>
    <w:p w14:paraId="1D21C49C" w14:textId="2083279F" w:rsidR="009F5452" w:rsidRPr="00DC59C9" w:rsidRDefault="009F5452" w:rsidP="00340D35">
      <w:pPr>
        <w:spacing w:before="240" w:after="120"/>
        <w:ind w:left="2138" w:hanging="720"/>
        <w:rPr>
          <w:rFonts w:eastAsia="Times New Roman" w:cs="Arial"/>
          <w:lang w:eastAsia="en-AU"/>
        </w:rPr>
      </w:pPr>
      <w:r w:rsidRPr="00DC59C9">
        <w:rPr>
          <w:rFonts w:eastAsia="Times New Roman" w:cs="Arial"/>
          <w:lang w:eastAsia="en-AU"/>
        </w:rPr>
        <w:t>(i)         to keep themselves in a sound financial position; or</w:t>
      </w:r>
    </w:p>
    <w:p w14:paraId="33804514" w14:textId="3CFFABF1" w:rsidR="009F5452" w:rsidRPr="00DC59C9" w:rsidRDefault="00DC59C9" w:rsidP="00340D35">
      <w:pPr>
        <w:spacing w:before="240" w:after="120"/>
        <w:ind w:left="2138" w:hanging="720"/>
        <w:rPr>
          <w:rFonts w:eastAsia="Times New Roman" w:cs="Arial"/>
          <w:lang w:eastAsia="en-AU"/>
        </w:rPr>
      </w:pPr>
      <w:r w:rsidRPr="00DC59C9">
        <w:rPr>
          <w:rFonts w:eastAsia="Times New Roman" w:cs="Arial"/>
          <w:lang w:eastAsia="en-AU"/>
        </w:rPr>
        <w:t>(ii)        </w:t>
      </w:r>
      <w:r w:rsidR="009F5452" w:rsidRPr="00DC59C9">
        <w:rPr>
          <w:rFonts w:eastAsia="Times New Roman" w:cs="Arial"/>
          <w:lang w:eastAsia="en-AU"/>
        </w:rPr>
        <w:t>not to cause or promote instability in the Australian private health insurance system; or</w:t>
      </w:r>
    </w:p>
    <w:p w14:paraId="5AE6D0C7" w14:textId="2D0476D3" w:rsidR="009F5452" w:rsidRPr="00DC59C9" w:rsidRDefault="009F5452" w:rsidP="00340D35">
      <w:pPr>
        <w:pStyle w:val="ListParagraph"/>
        <w:numPr>
          <w:ilvl w:val="0"/>
          <w:numId w:val="37"/>
        </w:numPr>
        <w:spacing w:before="240" w:after="120" w:line="276" w:lineRule="auto"/>
        <w:contextualSpacing w:val="0"/>
        <w:rPr>
          <w:rFonts w:ascii="Arial" w:hAnsi="Arial" w:cs="Arial"/>
          <w:sz w:val="22"/>
          <w:szCs w:val="22"/>
        </w:rPr>
      </w:pPr>
      <w:r w:rsidRPr="00DC59C9">
        <w:rPr>
          <w:rFonts w:ascii="Arial" w:hAnsi="Arial" w:cs="Arial"/>
          <w:sz w:val="22"/>
          <w:szCs w:val="22"/>
        </w:rPr>
        <w:t>the conduct by private health insurers of any of their affairs with integrity, prudence and professional skill; but does not include matters relating to the solvency or capital adequacy of *health benefits funds.</w:t>
      </w:r>
    </w:p>
    <w:p w14:paraId="61140197" w14:textId="56D99FDD" w:rsidR="009F5452" w:rsidRPr="00DC59C9" w:rsidRDefault="009F5452" w:rsidP="00340D35">
      <w:pPr>
        <w:pStyle w:val="ListParagraph"/>
        <w:numPr>
          <w:ilvl w:val="0"/>
          <w:numId w:val="35"/>
        </w:numPr>
        <w:spacing w:before="240" w:after="120" w:line="276" w:lineRule="auto"/>
        <w:contextualSpacing w:val="0"/>
        <w:rPr>
          <w:rFonts w:ascii="Arial" w:hAnsi="Arial" w:cs="Arial"/>
          <w:sz w:val="22"/>
          <w:szCs w:val="22"/>
        </w:rPr>
      </w:pPr>
      <w:r w:rsidRPr="00DC59C9">
        <w:rPr>
          <w:rFonts w:ascii="Arial" w:hAnsi="Arial" w:cs="Arial"/>
          <w:sz w:val="22"/>
          <w:szCs w:val="22"/>
        </w:rPr>
        <w:t>A *prudential standard may impose different requirements to be complied with:</w:t>
      </w:r>
    </w:p>
    <w:p w14:paraId="578DF105" w14:textId="1F7CBE5E" w:rsidR="009F5452" w:rsidRPr="00DC59C9" w:rsidRDefault="009F5452" w:rsidP="0002059C">
      <w:pPr>
        <w:pStyle w:val="ListParagraph"/>
        <w:numPr>
          <w:ilvl w:val="0"/>
          <w:numId w:val="38"/>
        </w:numPr>
        <w:spacing w:before="240" w:after="120" w:line="276" w:lineRule="auto"/>
        <w:contextualSpacing w:val="0"/>
        <w:rPr>
          <w:rFonts w:ascii="Arial" w:hAnsi="Arial" w:cs="Arial"/>
          <w:sz w:val="22"/>
          <w:szCs w:val="22"/>
        </w:rPr>
      </w:pPr>
      <w:r w:rsidRPr="00DC59C9">
        <w:rPr>
          <w:rFonts w:ascii="Arial" w:hAnsi="Arial" w:cs="Arial"/>
          <w:sz w:val="22"/>
          <w:szCs w:val="22"/>
        </w:rPr>
        <w:t>by different classes of private health insurers; or</w:t>
      </w:r>
    </w:p>
    <w:p w14:paraId="7B642D9F" w14:textId="5D610C2E" w:rsidR="009F5452" w:rsidRPr="00DC59C9" w:rsidRDefault="009F5452" w:rsidP="0002059C">
      <w:pPr>
        <w:pStyle w:val="ListParagraph"/>
        <w:numPr>
          <w:ilvl w:val="0"/>
          <w:numId w:val="38"/>
        </w:numPr>
        <w:spacing w:before="240" w:after="120" w:line="276" w:lineRule="auto"/>
        <w:contextualSpacing w:val="0"/>
        <w:rPr>
          <w:rFonts w:ascii="Arial" w:hAnsi="Arial" w:cs="Arial"/>
          <w:sz w:val="22"/>
          <w:szCs w:val="22"/>
        </w:rPr>
      </w:pPr>
      <w:r w:rsidRPr="00DC59C9">
        <w:rPr>
          <w:rFonts w:ascii="Arial" w:hAnsi="Arial" w:cs="Arial"/>
          <w:sz w:val="22"/>
          <w:szCs w:val="22"/>
        </w:rPr>
        <w:t>in different situations; or</w:t>
      </w:r>
    </w:p>
    <w:p w14:paraId="4D3720AD" w14:textId="73CE9290" w:rsidR="009F5452" w:rsidRPr="00DC59C9" w:rsidRDefault="009F5452" w:rsidP="0002059C">
      <w:pPr>
        <w:pStyle w:val="ListParagraph"/>
        <w:numPr>
          <w:ilvl w:val="0"/>
          <w:numId w:val="38"/>
        </w:numPr>
        <w:spacing w:before="240" w:after="120" w:line="276" w:lineRule="auto"/>
        <w:contextualSpacing w:val="0"/>
        <w:rPr>
          <w:rFonts w:ascii="Arial" w:hAnsi="Arial" w:cs="Arial"/>
          <w:sz w:val="22"/>
          <w:szCs w:val="22"/>
        </w:rPr>
      </w:pPr>
      <w:r w:rsidRPr="00DC59C9">
        <w:rPr>
          <w:rFonts w:ascii="Arial" w:hAnsi="Arial" w:cs="Arial"/>
          <w:sz w:val="22"/>
          <w:szCs w:val="22"/>
        </w:rPr>
        <w:t>in respect of different activities.</w:t>
      </w:r>
    </w:p>
    <w:p w14:paraId="685A1D0F" w14:textId="74C630E4" w:rsidR="009F5452" w:rsidRPr="00DC59C9" w:rsidRDefault="009F5452" w:rsidP="00340D35">
      <w:pPr>
        <w:pStyle w:val="ListParagraph"/>
        <w:numPr>
          <w:ilvl w:val="0"/>
          <w:numId w:val="35"/>
        </w:numPr>
        <w:spacing w:before="240" w:after="120" w:line="276" w:lineRule="auto"/>
        <w:contextualSpacing w:val="0"/>
        <w:rPr>
          <w:rFonts w:ascii="Arial" w:hAnsi="Arial" w:cs="Arial"/>
          <w:sz w:val="22"/>
          <w:szCs w:val="22"/>
        </w:rPr>
      </w:pPr>
      <w:r w:rsidRPr="00DC59C9">
        <w:rPr>
          <w:rFonts w:ascii="Arial" w:hAnsi="Arial" w:cs="Arial"/>
          <w:sz w:val="22"/>
          <w:szCs w:val="22"/>
        </w:rPr>
        <w:t>A *prudential standard may provide for the Council to exercise powers and discretions under the standard, including but not limited to discretions to approve, impose, adjust or exclude specific prudential requirements in relation to a particular private health insurer or a particular class of private health insurers.</w:t>
      </w:r>
    </w:p>
    <w:p w14:paraId="4A78D441" w14:textId="5B7B1374" w:rsidR="009F5452" w:rsidRPr="00DC59C9" w:rsidRDefault="009F5452" w:rsidP="00340D35">
      <w:pPr>
        <w:pStyle w:val="ListParagraph"/>
        <w:numPr>
          <w:ilvl w:val="0"/>
          <w:numId w:val="35"/>
        </w:numPr>
        <w:spacing w:before="240" w:after="120" w:line="276" w:lineRule="auto"/>
        <w:contextualSpacing w:val="0"/>
        <w:rPr>
          <w:rFonts w:ascii="Arial" w:hAnsi="Arial" w:cs="Arial"/>
          <w:sz w:val="22"/>
          <w:szCs w:val="22"/>
        </w:rPr>
      </w:pPr>
      <w:r w:rsidRPr="00DC59C9">
        <w:rPr>
          <w:rFonts w:ascii="Arial" w:hAnsi="Arial" w:cs="Arial"/>
          <w:sz w:val="22"/>
          <w:szCs w:val="22"/>
        </w:rPr>
        <w:t>A *prudential standard takes effect on the day on which it is established in the Private Health Insurance (Insurer Obligations) Rules</w:t>
      </w:r>
      <w:r w:rsidR="004B66B3" w:rsidRPr="00DC59C9">
        <w:rPr>
          <w:rFonts w:ascii="Arial" w:hAnsi="Arial" w:cs="Arial"/>
          <w:sz w:val="22"/>
          <w:szCs w:val="22"/>
        </w:rPr>
        <w:t>, or on such later day as is spe</w:t>
      </w:r>
      <w:r w:rsidRPr="00DC59C9">
        <w:rPr>
          <w:rFonts w:ascii="Arial" w:hAnsi="Arial" w:cs="Arial"/>
          <w:sz w:val="22"/>
          <w:szCs w:val="22"/>
        </w:rPr>
        <w:t>cified in the Private Health Insurance (Insurer Obligations) Rules. </w:t>
      </w:r>
    </w:p>
    <w:p w14:paraId="292D5FA3" w14:textId="40338E12" w:rsidR="009F5452" w:rsidRPr="009F5452" w:rsidRDefault="009F5452" w:rsidP="00340D35">
      <w:pPr>
        <w:spacing w:before="100" w:beforeAutospacing="1" w:after="120"/>
        <w:rPr>
          <w:rFonts w:eastAsia="Times New Roman" w:cs="Arial"/>
          <w:lang w:eastAsia="en-AU"/>
        </w:rPr>
      </w:pPr>
      <w:r w:rsidRPr="009F5452">
        <w:rPr>
          <w:rFonts w:eastAsia="Times New Roman" w:cs="Arial"/>
          <w:lang w:eastAsia="en-AU"/>
        </w:rPr>
        <w:lastRenderedPageBreak/>
        <w:t xml:space="preserve">The </w:t>
      </w:r>
      <w:r w:rsidRPr="00CA4DFB">
        <w:rPr>
          <w:rFonts w:eastAsia="Times New Roman" w:cs="Arial"/>
          <w:i/>
          <w:lang w:eastAsia="en-AU"/>
        </w:rPr>
        <w:t>Private Health Insurance (Insurer Obligations) Amendment Rule 2012 (No. 1)</w:t>
      </w:r>
      <w:r w:rsidRPr="009F5452">
        <w:rPr>
          <w:rFonts w:eastAsia="Times New Roman" w:cs="Arial"/>
          <w:lang w:eastAsia="en-AU"/>
        </w:rPr>
        <w:t xml:space="preserve"> (the Amendment Rule) </w:t>
      </w:r>
      <w:r w:rsidR="00CA6352" w:rsidRPr="00CA4DFB">
        <w:rPr>
          <w:rFonts w:eastAsia="Times New Roman" w:cs="Arial"/>
          <w:i/>
          <w:lang w:eastAsia="en-AU"/>
        </w:rPr>
        <w:t>amends</w:t>
      </w:r>
      <w:r w:rsidRPr="00CA4DFB">
        <w:rPr>
          <w:rFonts w:eastAsia="Times New Roman" w:cs="Arial"/>
          <w:i/>
          <w:lang w:eastAsia="en-AU"/>
        </w:rPr>
        <w:t xml:space="preserve"> the Private Health Insurance (Insurer Obligations) Rules 2009</w:t>
      </w:r>
      <w:r w:rsidR="00CA4DFB">
        <w:rPr>
          <w:rFonts w:eastAsia="Times New Roman" w:cs="Arial"/>
          <w:lang w:eastAsia="en-AU"/>
        </w:rPr>
        <w:t xml:space="preserve"> (the Rules).</w:t>
      </w:r>
    </w:p>
    <w:p w14:paraId="33931C05" w14:textId="5F713C06" w:rsidR="009F5452" w:rsidRPr="009F5452" w:rsidRDefault="009F5452" w:rsidP="00340D35">
      <w:pPr>
        <w:spacing w:before="100" w:beforeAutospacing="1" w:after="120"/>
        <w:rPr>
          <w:rFonts w:eastAsia="Times New Roman" w:cs="Arial"/>
          <w:lang w:eastAsia="en-AU"/>
        </w:rPr>
      </w:pPr>
      <w:r w:rsidRPr="009F5452">
        <w:rPr>
          <w:rFonts w:eastAsia="Times New Roman" w:cs="Arial"/>
          <w:lang w:eastAsia="en-AU"/>
        </w:rPr>
        <w:t xml:space="preserve">The Amendment Rule is a legislative instrument for the purposes of the </w:t>
      </w:r>
      <w:r w:rsidRPr="00CA4DFB">
        <w:rPr>
          <w:rFonts w:eastAsia="Times New Roman" w:cs="Arial"/>
          <w:i/>
          <w:lang w:eastAsia="en-AU"/>
        </w:rPr>
        <w:t>Legislative Instruments Act 2003</w:t>
      </w:r>
      <w:r w:rsidRPr="009F5452">
        <w:rPr>
          <w:rFonts w:eastAsia="Times New Roman" w:cs="Arial"/>
          <w:lang w:eastAsia="en-AU"/>
        </w:rPr>
        <w:t>.</w:t>
      </w:r>
    </w:p>
    <w:p w14:paraId="4E1D24E0" w14:textId="0BD0EB77" w:rsidR="004152F2" w:rsidRDefault="009F5452" w:rsidP="00340D35">
      <w:pPr>
        <w:spacing w:before="100" w:beforeAutospacing="1" w:after="120"/>
        <w:rPr>
          <w:rFonts w:eastAsia="Times New Roman" w:cs="Arial"/>
          <w:lang w:eastAsia="en-AU"/>
        </w:rPr>
      </w:pPr>
      <w:r w:rsidRPr="009F5452">
        <w:rPr>
          <w:rFonts w:eastAsia="Times New Roman" w:cs="Arial"/>
          <w:lang w:eastAsia="en-AU"/>
        </w:rPr>
        <w:t>All legal and other requirements for making the Amendment Rule have been met.</w:t>
      </w:r>
    </w:p>
    <w:p w14:paraId="655BA2AA" w14:textId="77777777" w:rsidR="00340D35" w:rsidRPr="009F5452" w:rsidRDefault="00340D35" w:rsidP="00340D35">
      <w:pPr>
        <w:spacing w:before="100" w:beforeAutospacing="1" w:after="120"/>
        <w:rPr>
          <w:rFonts w:eastAsia="Times New Roman" w:cs="Arial"/>
          <w:lang w:eastAsia="en-AU"/>
        </w:rPr>
      </w:pPr>
    </w:p>
    <w:p w14:paraId="4E1D24E3" w14:textId="77777777" w:rsidR="004152F2" w:rsidRPr="0077409C" w:rsidRDefault="004152F2" w:rsidP="00340D35">
      <w:pPr>
        <w:keepNext/>
        <w:spacing w:after="120"/>
        <w:rPr>
          <w:rFonts w:cs="Arial"/>
          <w:b/>
        </w:rPr>
      </w:pPr>
      <w:r w:rsidRPr="0077409C">
        <w:rPr>
          <w:rFonts w:cs="Arial"/>
          <w:b/>
        </w:rPr>
        <w:t xml:space="preserve">Purpose of the Rules </w:t>
      </w:r>
    </w:p>
    <w:p w14:paraId="1B7A8D92" w14:textId="448C820C" w:rsidR="00FC01A4" w:rsidRPr="0077409C" w:rsidRDefault="009F5452" w:rsidP="00340D35">
      <w:pPr>
        <w:keepNext/>
        <w:spacing w:after="120"/>
        <w:rPr>
          <w:rFonts w:cs="Arial"/>
        </w:rPr>
      </w:pPr>
      <w:r>
        <w:t xml:space="preserve">The purpose of the Amendment Rule is to </w:t>
      </w:r>
      <w:r w:rsidR="00CA4DFB">
        <w:t>make minor and machinery c</w:t>
      </w:r>
      <w:r w:rsidR="00BB3AEE">
        <w:t xml:space="preserve">onsequential amendments to the </w:t>
      </w:r>
      <w:r w:rsidR="007A3D08">
        <w:t xml:space="preserve">reporting and notification requirements contained in Part 2 of the Rules and the </w:t>
      </w:r>
      <w:r w:rsidR="00BB3AEE">
        <w:t>appointed actuaries s</w:t>
      </w:r>
      <w:r w:rsidR="00CA4DFB">
        <w:t xml:space="preserve">tandard contained in Schedule 2 of the Rules. The consequential amendments are a result of changes to the </w:t>
      </w:r>
      <w:r w:rsidR="00CA4DFB" w:rsidRPr="00CA4DFB">
        <w:rPr>
          <w:i/>
        </w:rPr>
        <w:t>Private Health Insurance (Health Benefits Fund Administration) Rules 2007</w:t>
      </w:r>
      <w:r w:rsidR="00CA4DFB">
        <w:t xml:space="preserve"> by the </w:t>
      </w:r>
      <w:r w:rsidR="00CA4DFB" w:rsidRPr="00CA4DFB">
        <w:rPr>
          <w:i/>
        </w:rPr>
        <w:t xml:space="preserve">Private Health Insurance (Health Benefits Fund Administration) </w:t>
      </w:r>
      <w:r w:rsidR="00CA4DFB">
        <w:rPr>
          <w:i/>
        </w:rPr>
        <w:t xml:space="preserve">Amendment </w:t>
      </w:r>
      <w:r w:rsidR="00CA4DFB" w:rsidRPr="00CA4DFB">
        <w:rPr>
          <w:i/>
        </w:rPr>
        <w:t xml:space="preserve">Rules </w:t>
      </w:r>
      <w:r w:rsidR="00CA4DFB">
        <w:rPr>
          <w:i/>
        </w:rPr>
        <w:t xml:space="preserve">2013 (no. 1). </w:t>
      </w:r>
    </w:p>
    <w:p w14:paraId="4E1D24F0" w14:textId="77777777" w:rsidR="004152F2" w:rsidRPr="0077409C" w:rsidRDefault="004152F2" w:rsidP="00340D35">
      <w:pPr>
        <w:spacing w:after="120"/>
        <w:rPr>
          <w:rFonts w:cs="Arial"/>
        </w:rPr>
      </w:pPr>
      <w:r w:rsidRPr="0077409C">
        <w:rPr>
          <w:rFonts w:cs="Arial"/>
        </w:rPr>
        <w:t xml:space="preserve">An explanation of each of the rules is set out in the </w:t>
      </w:r>
      <w:r w:rsidRPr="00C22544">
        <w:rPr>
          <w:rFonts w:cs="Arial"/>
          <w:b/>
        </w:rPr>
        <w:t>Attachment</w:t>
      </w:r>
      <w:r w:rsidRPr="00C22544">
        <w:rPr>
          <w:rFonts w:cs="Arial"/>
        </w:rPr>
        <w:t>.</w:t>
      </w:r>
    </w:p>
    <w:p w14:paraId="4E1D24F1" w14:textId="77777777" w:rsidR="004152F2" w:rsidRPr="0077409C" w:rsidRDefault="004152F2" w:rsidP="00340D35">
      <w:pPr>
        <w:spacing w:after="120"/>
        <w:rPr>
          <w:rFonts w:cs="Arial"/>
        </w:rPr>
      </w:pPr>
    </w:p>
    <w:p w14:paraId="4E1D24F2" w14:textId="77777777" w:rsidR="004152F2" w:rsidRPr="0077409C" w:rsidRDefault="004152F2" w:rsidP="00340D35">
      <w:pPr>
        <w:spacing w:after="120"/>
        <w:rPr>
          <w:rFonts w:cs="Arial"/>
          <w:b/>
        </w:rPr>
      </w:pPr>
      <w:r w:rsidRPr="0077409C">
        <w:rPr>
          <w:rFonts w:cs="Arial"/>
          <w:b/>
        </w:rPr>
        <w:t>Summary of impact of the Rules</w:t>
      </w:r>
    </w:p>
    <w:p w14:paraId="4E1D24F5" w14:textId="54516EC4" w:rsidR="004152F2" w:rsidRPr="0077409C" w:rsidRDefault="004152F2" w:rsidP="00340D35">
      <w:pPr>
        <w:spacing w:after="120"/>
        <w:rPr>
          <w:rFonts w:cs="Arial"/>
        </w:rPr>
      </w:pPr>
      <w:r w:rsidRPr="0077409C">
        <w:rPr>
          <w:rFonts w:cs="Arial"/>
        </w:rPr>
        <w:t xml:space="preserve">These Rules were prepared </w:t>
      </w:r>
      <w:r w:rsidRPr="00DC59C9">
        <w:rPr>
          <w:rFonts w:cs="Arial"/>
        </w:rPr>
        <w:t xml:space="preserve">under </w:t>
      </w:r>
      <w:r w:rsidR="00DC59C9">
        <w:rPr>
          <w:rFonts w:cs="Arial"/>
        </w:rPr>
        <w:t xml:space="preserve">Office of Best Practice Regulation </w:t>
      </w:r>
      <w:r w:rsidR="0077409C" w:rsidRPr="00DC59C9">
        <w:rPr>
          <w:rFonts w:cs="Arial"/>
        </w:rPr>
        <w:t xml:space="preserve">RIS ID </w:t>
      </w:r>
      <w:r w:rsidR="00DC59C9" w:rsidRPr="00DC59C9">
        <w:rPr>
          <w:rFonts w:cs="Arial"/>
        </w:rPr>
        <w:t xml:space="preserve">No. </w:t>
      </w:r>
      <w:r w:rsidR="00DC59C9" w:rsidRPr="00DC59C9">
        <w:t>2012 14174</w:t>
      </w:r>
      <w:r w:rsidR="0077409C" w:rsidRPr="00DC59C9">
        <w:rPr>
          <w:rFonts w:cs="Arial"/>
        </w:rPr>
        <w:t>.</w:t>
      </w:r>
      <w:r w:rsidR="005657EC">
        <w:rPr>
          <w:rFonts w:cs="Arial"/>
        </w:rPr>
        <w:t xml:space="preserve"> All the amendments are in essence minor and machinery consequential amendments.</w:t>
      </w:r>
    </w:p>
    <w:p w14:paraId="5D65E06C" w14:textId="15DE740E" w:rsidR="007A3D08" w:rsidRDefault="007A3D08" w:rsidP="00340D35">
      <w:pPr>
        <w:spacing w:before="100" w:beforeAutospacing="1" w:after="120"/>
        <w:rPr>
          <w:rFonts w:cs="Arial"/>
        </w:rPr>
      </w:pPr>
      <w:r>
        <w:rPr>
          <w:rFonts w:cs="Arial"/>
        </w:rPr>
        <w:t xml:space="preserve">The impact of the changes to the reporting and notification requirements </w:t>
      </w:r>
      <w:r w:rsidR="00765430">
        <w:rPr>
          <w:rFonts w:cs="Arial"/>
        </w:rPr>
        <w:t xml:space="preserve">is </w:t>
      </w:r>
      <w:r w:rsidR="005657EC">
        <w:rPr>
          <w:rFonts w:cs="Arial"/>
        </w:rPr>
        <w:t xml:space="preserve">minor as it simply </w:t>
      </w:r>
      <w:r w:rsidR="00765430">
        <w:rPr>
          <w:rFonts w:cs="Arial"/>
        </w:rPr>
        <w:t>remove</w:t>
      </w:r>
      <w:r w:rsidR="005657EC">
        <w:rPr>
          <w:rFonts w:cs="Arial"/>
        </w:rPr>
        <w:t>s</w:t>
      </w:r>
      <w:r w:rsidR="00765430">
        <w:rPr>
          <w:rFonts w:cs="Arial"/>
        </w:rPr>
        <w:t xml:space="preserve"> redundant requirements for the Board of an insurer to make statements in relation to margins used to calculate capital requirements and for an insurer to make certifications in relation to the veracity of certain accounts and s</w:t>
      </w:r>
      <w:r w:rsidR="005657EC">
        <w:rPr>
          <w:rFonts w:cs="Arial"/>
        </w:rPr>
        <w:t>tatements given to the Council.</w:t>
      </w:r>
    </w:p>
    <w:p w14:paraId="0A005B9B" w14:textId="731A8283" w:rsidR="00CA4DFB" w:rsidRDefault="009F5452" w:rsidP="00340D35">
      <w:pPr>
        <w:spacing w:before="100" w:beforeAutospacing="1" w:after="120"/>
        <w:rPr>
          <w:rFonts w:cs="Arial"/>
        </w:rPr>
      </w:pPr>
      <w:r w:rsidRPr="009F5452">
        <w:rPr>
          <w:rFonts w:cs="Arial"/>
        </w:rPr>
        <w:t>The likel</w:t>
      </w:r>
      <w:r w:rsidR="00BB3AEE">
        <w:rPr>
          <w:rFonts w:cs="Arial"/>
        </w:rPr>
        <w:t>y impact of the changes to the appointed actuaries s</w:t>
      </w:r>
      <w:r w:rsidRPr="009F5452">
        <w:rPr>
          <w:rFonts w:cs="Arial"/>
        </w:rPr>
        <w:t xml:space="preserve">tandard contained in the Rule is </w:t>
      </w:r>
      <w:r w:rsidR="005657EC">
        <w:rPr>
          <w:rFonts w:cs="Arial"/>
        </w:rPr>
        <w:t>minor</w:t>
      </w:r>
      <w:r w:rsidRPr="009F5452">
        <w:rPr>
          <w:rFonts w:cs="Arial"/>
        </w:rPr>
        <w:t xml:space="preserve">, as the provisions in question merely </w:t>
      </w:r>
      <w:r w:rsidR="00CA4DFB">
        <w:rPr>
          <w:rFonts w:cs="Arial"/>
        </w:rPr>
        <w:t xml:space="preserve">update the definitions section and one provision to reflect changes </w:t>
      </w:r>
      <w:r w:rsidR="00CA4DFB">
        <w:t xml:space="preserve">to the </w:t>
      </w:r>
      <w:r w:rsidR="00CA4DFB" w:rsidRPr="00CA4DFB">
        <w:rPr>
          <w:i/>
        </w:rPr>
        <w:t>Private Health Insurance (Health Benefits Fund Administration) Rules 2007</w:t>
      </w:r>
      <w:r w:rsidR="00CA4DFB">
        <w:t xml:space="preserve"> by the </w:t>
      </w:r>
      <w:r w:rsidR="00CA4DFB" w:rsidRPr="00CA4DFB">
        <w:rPr>
          <w:i/>
        </w:rPr>
        <w:t xml:space="preserve">Private Health Insurance (Health Benefits Fund Administration) </w:t>
      </w:r>
      <w:r w:rsidR="00CA4DFB">
        <w:rPr>
          <w:i/>
        </w:rPr>
        <w:t xml:space="preserve">Amendment </w:t>
      </w:r>
      <w:r w:rsidR="00DC59C9">
        <w:rPr>
          <w:i/>
        </w:rPr>
        <w:t>Rule</w:t>
      </w:r>
      <w:r w:rsidR="00CA4DFB" w:rsidRPr="00CA4DFB">
        <w:rPr>
          <w:i/>
        </w:rPr>
        <w:t xml:space="preserve"> </w:t>
      </w:r>
      <w:r w:rsidR="00DC59C9">
        <w:rPr>
          <w:i/>
        </w:rPr>
        <w:t>2013 (N</w:t>
      </w:r>
      <w:r w:rsidR="00CA4DFB">
        <w:rPr>
          <w:i/>
        </w:rPr>
        <w:t>o. 1)</w:t>
      </w:r>
      <w:r w:rsidR="00331F39">
        <w:rPr>
          <w:i/>
        </w:rPr>
        <w:t>.</w:t>
      </w:r>
    </w:p>
    <w:p w14:paraId="4E1D24FD" w14:textId="77777777" w:rsidR="004152F2" w:rsidRPr="0077409C" w:rsidRDefault="004152F2" w:rsidP="00340D35">
      <w:pPr>
        <w:spacing w:after="120"/>
        <w:rPr>
          <w:rFonts w:cs="Arial"/>
        </w:rPr>
      </w:pPr>
    </w:p>
    <w:p w14:paraId="4E1D24FE" w14:textId="77777777" w:rsidR="004152F2" w:rsidRPr="0077409C" w:rsidRDefault="004152F2" w:rsidP="00340D35">
      <w:pPr>
        <w:spacing w:after="120"/>
        <w:rPr>
          <w:rFonts w:cs="Arial"/>
          <w:b/>
        </w:rPr>
      </w:pPr>
      <w:r w:rsidRPr="0077409C">
        <w:rPr>
          <w:rFonts w:cs="Arial"/>
          <w:b/>
        </w:rPr>
        <w:t>Consultation</w:t>
      </w:r>
    </w:p>
    <w:p w14:paraId="4E1D2505" w14:textId="47CCCA68" w:rsidR="004152F2" w:rsidRDefault="00CA4DFB" w:rsidP="00340D35">
      <w:pPr>
        <w:spacing w:after="120"/>
        <w:rPr>
          <w:rFonts w:cs="Arial"/>
        </w:rPr>
      </w:pPr>
      <w:r>
        <w:rPr>
          <w:rFonts w:cs="Arial"/>
        </w:rPr>
        <w:t xml:space="preserve">As these amendments are consequential </w:t>
      </w:r>
      <w:r w:rsidR="00331F39">
        <w:rPr>
          <w:rFonts w:cs="Arial"/>
        </w:rPr>
        <w:t xml:space="preserve">arising from changes </w:t>
      </w:r>
      <w:r w:rsidR="00331F39">
        <w:t xml:space="preserve">to the </w:t>
      </w:r>
      <w:r w:rsidR="00331F39" w:rsidRPr="00CA4DFB">
        <w:rPr>
          <w:i/>
        </w:rPr>
        <w:t>Private Health Insurance (Health Benefits Fund Administration) Rules 2007</w:t>
      </w:r>
      <w:r w:rsidR="00331F39">
        <w:t xml:space="preserve"> by the </w:t>
      </w:r>
      <w:r w:rsidR="00331F39" w:rsidRPr="00CA4DFB">
        <w:rPr>
          <w:i/>
        </w:rPr>
        <w:t xml:space="preserve">Private Health Insurance (Health Benefits Fund Administration) </w:t>
      </w:r>
      <w:r w:rsidR="00331F39">
        <w:rPr>
          <w:i/>
        </w:rPr>
        <w:t xml:space="preserve">Amendment </w:t>
      </w:r>
      <w:r w:rsidR="00097A62">
        <w:rPr>
          <w:i/>
        </w:rPr>
        <w:t>Rule</w:t>
      </w:r>
      <w:r w:rsidR="00331F39" w:rsidRPr="00CA4DFB">
        <w:rPr>
          <w:i/>
        </w:rPr>
        <w:t xml:space="preserve"> </w:t>
      </w:r>
      <w:r w:rsidR="00097A62">
        <w:rPr>
          <w:i/>
        </w:rPr>
        <w:t>2013 (N</w:t>
      </w:r>
      <w:r w:rsidR="00331F39">
        <w:rPr>
          <w:i/>
        </w:rPr>
        <w:t xml:space="preserve">o. 1) </w:t>
      </w:r>
      <w:r w:rsidR="00331F39">
        <w:t xml:space="preserve">consultation was undertaken as part of the </w:t>
      </w:r>
      <w:r>
        <w:t xml:space="preserve">significant and comprehensive consultation as set out in the explanatory statement to the </w:t>
      </w:r>
      <w:r w:rsidRPr="00CA4DFB">
        <w:rPr>
          <w:i/>
        </w:rPr>
        <w:t xml:space="preserve">Private Health Insurance (Health Benefits Fund Administration) </w:t>
      </w:r>
      <w:r>
        <w:rPr>
          <w:i/>
        </w:rPr>
        <w:t xml:space="preserve">Amendment </w:t>
      </w:r>
      <w:r w:rsidR="00097A62">
        <w:rPr>
          <w:i/>
        </w:rPr>
        <w:t>Rule</w:t>
      </w:r>
      <w:r w:rsidRPr="00CA4DFB">
        <w:rPr>
          <w:i/>
        </w:rPr>
        <w:t xml:space="preserve"> </w:t>
      </w:r>
      <w:r w:rsidR="00097A62">
        <w:rPr>
          <w:i/>
        </w:rPr>
        <w:t>2013 (N</w:t>
      </w:r>
      <w:r>
        <w:rPr>
          <w:i/>
        </w:rPr>
        <w:t>o. 1)</w:t>
      </w:r>
      <w:r>
        <w:t>.</w:t>
      </w:r>
    </w:p>
    <w:p w14:paraId="24F7D8EE" w14:textId="77777777" w:rsidR="009F5452" w:rsidRPr="0077409C" w:rsidRDefault="009F5452" w:rsidP="00340D35">
      <w:pPr>
        <w:spacing w:after="120"/>
        <w:rPr>
          <w:rFonts w:cs="Arial"/>
        </w:rPr>
      </w:pPr>
    </w:p>
    <w:p w14:paraId="4E1D2506" w14:textId="77777777" w:rsidR="004152F2" w:rsidRPr="0077409C" w:rsidRDefault="004152F2" w:rsidP="005657EC">
      <w:pPr>
        <w:keepNext/>
        <w:spacing w:after="120"/>
        <w:rPr>
          <w:rFonts w:cs="Arial"/>
          <w:b/>
        </w:rPr>
      </w:pPr>
      <w:r w:rsidRPr="0077409C">
        <w:rPr>
          <w:rFonts w:cs="Arial"/>
          <w:b/>
        </w:rPr>
        <w:lastRenderedPageBreak/>
        <w:t>Documents incorporated by reference</w:t>
      </w:r>
    </w:p>
    <w:p w14:paraId="1C7FE757" w14:textId="77777777" w:rsidR="0072202D" w:rsidRDefault="009F5452" w:rsidP="005657EC">
      <w:pPr>
        <w:keepNext/>
        <w:spacing w:after="120"/>
      </w:pPr>
      <w:r>
        <w:t>The Amendment Rule incorporates no other documents by reference.</w:t>
      </w:r>
    </w:p>
    <w:p w14:paraId="6C9CFD3B" w14:textId="77777777" w:rsidR="0072202D" w:rsidRDefault="0072202D">
      <w:r>
        <w:br w:type="page"/>
      </w:r>
    </w:p>
    <w:p w14:paraId="4E1D250E" w14:textId="71DAA947" w:rsidR="004152F2" w:rsidRPr="0030798D" w:rsidRDefault="004152F2" w:rsidP="00340D35">
      <w:pPr>
        <w:spacing w:after="120"/>
        <w:rPr>
          <w:rFonts w:cs="Arial"/>
          <w:b/>
          <w:bCs/>
          <w:sz w:val="28"/>
          <w:szCs w:val="28"/>
          <w:u w:val="single"/>
        </w:rPr>
      </w:pPr>
      <w:r w:rsidRPr="0030798D">
        <w:rPr>
          <w:rFonts w:cs="Arial"/>
          <w:b/>
          <w:bCs/>
          <w:sz w:val="28"/>
          <w:szCs w:val="28"/>
          <w:u w:val="single"/>
        </w:rPr>
        <w:lastRenderedPageBreak/>
        <w:t xml:space="preserve">ATTACHMENT </w:t>
      </w:r>
    </w:p>
    <w:p w14:paraId="4E1D250F" w14:textId="77777777" w:rsidR="004152F2" w:rsidRPr="0077409C" w:rsidRDefault="004152F2" w:rsidP="00340D35">
      <w:pPr>
        <w:pStyle w:val="Header"/>
        <w:spacing w:after="120" w:line="276" w:lineRule="auto"/>
        <w:rPr>
          <w:rFonts w:cs="Arial"/>
        </w:rPr>
      </w:pPr>
    </w:p>
    <w:p w14:paraId="4E1D2510" w14:textId="503DDAB5" w:rsidR="004152F2" w:rsidRPr="001B6B5A" w:rsidRDefault="004152F2" w:rsidP="00340D35">
      <w:pPr>
        <w:pStyle w:val="Heading6"/>
        <w:tabs>
          <w:tab w:val="left" w:pos="1418"/>
        </w:tabs>
        <w:spacing w:after="120"/>
        <w:rPr>
          <w:rFonts w:ascii="Arial" w:hAnsi="Arial" w:cs="Arial"/>
          <w:b/>
          <w:caps/>
          <w:color w:val="auto"/>
        </w:rPr>
      </w:pPr>
      <w:r w:rsidRPr="001B6B5A">
        <w:rPr>
          <w:rFonts w:ascii="Arial" w:hAnsi="Arial" w:cs="Arial"/>
          <w:b/>
          <w:i w:val="0"/>
          <w:color w:val="auto"/>
        </w:rPr>
        <w:t xml:space="preserve">DETAILS OF THE </w:t>
      </w:r>
      <w:r w:rsidRPr="001B6B5A">
        <w:rPr>
          <w:rFonts w:ascii="Arial" w:hAnsi="Arial" w:cs="Arial"/>
          <w:b/>
          <w:color w:val="auto"/>
        </w:rPr>
        <w:t>PRIVATE HEALTH INSURANCE (</w:t>
      </w:r>
      <w:r w:rsidR="009F5452">
        <w:rPr>
          <w:rFonts w:ascii="Arial" w:hAnsi="Arial" w:cs="Arial"/>
          <w:b/>
          <w:color w:val="auto"/>
        </w:rPr>
        <w:t>INSURER OBLIGATIONS) AMENDMENT RULE 2013 (NO.1)</w:t>
      </w:r>
    </w:p>
    <w:p w14:paraId="4E1D2513" w14:textId="77777777" w:rsidR="004152F2" w:rsidRPr="001B6B5A" w:rsidRDefault="004152F2" w:rsidP="00340D35">
      <w:pPr>
        <w:pStyle w:val="Header"/>
        <w:spacing w:after="120" w:line="276" w:lineRule="auto"/>
        <w:rPr>
          <w:rFonts w:cs="Arial"/>
          <w:b/>
        </w:rPr>
      </w:pPr>
    </w:p>
    <w:p w14:paraId="4E1D2515" w14:textId="353714B1" w:rsidR="004152F2" w:rsidRPr="0077409C" w:rsidRDefault="00CB638F" w:rsidP="00340D35">
      <w:pPr>
        <w:pStyle w:val="Header"/>
        <w:widowControl w:val="0"/>
        <w:numPr>
          <w:ilvl w:val="0"/>
          <w:numId w:val="1"/>
        </w:numPr>
        <w:tabs>
          <w:tab w:val="clear" w:pos="4513"/>
          <w:tab w:val="clear" w:pos="9026"/>
        </w:tabs>
        <w:spacing w:after="120" w:line="276" w:lineRule="auto"/>
        <w:rPr>
          <w:rFonts w:cs="Arial"/>
        </w:rPr>
      </w:pPr>
      <w:r w:rsidRPr="0077409C">
        <w:rPr>
          <w:rFonts w:cs="Arial"/>
          <w:b/>
          <w:bCs/>
        </w:rPr>
        <w:t>Name of rule</w:t>
      </w:r>
    </w:p>
    <w:p w14:paraId="4E1D2517" w14:textId="2462686A" w:rsidR="004152F2" w:rsidRDefault="009F5452" w:rsidP="00340D35">
      <w:pPr>
        <w:pStyle w:val="Header"/>
        <w:spacing w:after="120" w:line="276" w:lineRule="auto"/>
        <w:rPr>
          <w:rFonts w:ascii="Helvetica Neue" w:hAnsi="Helvetica Neue"/>
          <w:i/>
          <w:iCs/>
        </w:rPr>
      </w:pPr>
      <w:r w:rsidRPr="009F5452">
        <w:rPr>
          <w:rFonts w:ascii="Helvetica Neue" w:hAnsi="Helvetica Neue"/>
        </w:rPr>
        <w:t xml:space="preserve">Rule 1 provides that the title of the Rule is the </w:t>
      </w:r>
      <w:r w:rsidRPr="009F5452">
        <w:rPr>
          <w:rFonts w:ascii="Helvetica Neue" w:hAnsi="Helvetica Neue"/>
          <w:i/>
          <w:iCs/>
        </w:rPr>
        <w:t xml:space="preserve">Private Health Insurance (Insurer Obligations) Amendment Rule 2013 (No. 1) </w:t>
      </w:r>
      <w:r w:rsidRPr="009F5452">
        <w:rPr>
          <w:rFonts w:ascii="Helvetica Neue" w:hAnsi="Helvetica Neue"/>
        </w:rPr>
        <w:t xml:space="preserve">(the </w:t>
      </w:r>
      <w:r w:rsidRPr="009F5452">
        <w:rPr>
          <w:rFonts w:ascii="Helvetica Neue" w:hAnsi="Helvetica Neue"/>
          <w:b/>
          <w:bCs/>
        </w:rPr>
        <w:t>Amendment Rule</w:t>
      </w:r>
      <w:r w:rsidRPr="009F5452">
        <w:rPr>
          <w:rFonts w:ascii="Helvetica Neue" w:hAnsi="Helvetica Neue"/>
        </w:rPr>
        <w:t>)</w:t>
      </w:r>
      <w:r w:rsidRPr="009F5452">
        <w:rPr>
          <w:rFonts w:ascii="Helvetica Neue" w:hAnsi="Helvetica Neue"/>
          <w:i/>
          <w:iCs/>
        </w:rPr>
        <w:t>.</w:t>
      </w:r>
    </w:p>
    <w:p w14:paraId="7586C3D2" w14:textId="77777777" w:rsidR="009F5452" w:rsidRPr="009F5452" w:rsidRDefault="009F5452" w:rsidP="00340D35">
      <w:pPr>
        <w:pStyle w:val="Header"/>
        <w:spacing w:after="120" w:line="276" w:lineRule="auto"/>
        <w:rPr>
          <w:rFonts w:cs="Arial"/>
        </w:rPr>
      </w:pPr>
    </w:p>
    <w:p w14:paraId="4E1D2518" w14:textId="77777777" w:rsidR="004152F2" w:rsidRDefault="004152F2" w:rsidP="00340D35">
      <w:pPr>
        <w:pStyle w:val="Header"/>
        <w:widowControl w:val="0"/>
        <w:numPr>
          <w:ilvl w:val="0"/>
          <w:numId w:val="1"/>
        </w:numPr>
        <w:tabs>
          <w:tab w:val="clear" w:pos="4513"/>
          <w:tab w:val="clear" w:pos="9026"/>
        </w:tabs>
        <w:spacing w:after="120" w:line="276" w:lineRule="auto"/>
        <w:rPr>
          <w:rFonts w:cs="Arial"/>
          <w:b/>
          <w:bCs/>
        </w:rPr>
      </w:pPr>
      <w:r w:rsidRPr="0077409C">
        <w:rPr>
          <w:rFonts w:cs="Arial"/>
          <w:b/>
          <w:bCs/>
        </w:rPr>
        <w:t>Commencement</w:t>
      </w:r>
    </w:p>
    <w:p w14:paraId="036B5338" w14:textId="77777777" w:rsidR="00C457D6" w:rsidRDefault="00C457D6" w:rsidP="00340D35">
      <w:pPr>
        <w:pStyle w:val="Header"/>
        <w:widowControl w:val="0"/>
        <w:tabs>
          <w:tab w:val="clear" w:pos="4513"/>
          <w:tab w:val="clear" w:pos="9026"/>
        </w:tabs>
        <w:spacing w:after="120" w:line="276" w:lineRule="auto"/>
        <w:rPr>
          <w:rFonts w:cs="Arial"/>
          <w:bCs/>
        </w:rPr>
      </w:pPr>
      <w:r>
        <w:rPr>
          <w:rFonts w:cs="Arial"/>
          <w:bCs/>
        </w:rPr>
        <w:t>Section 2 provides details in relation to the commencement of the provisions of the Amendment Rule. The section stipulates that the provision of the Amendment Rule specified in column 1 of the table commences in accordance with column 2 of the table. In effect the table results in the following commencement:</w:t>
      </w:r>
    </w:p>
    <w:p w14:paraId="6A665FFF" w14:textId="4A0B0669" w:rsidR="00C457D6" w:rsidRDefault="00C457D6" w:rsidP="00340D35">
      <w:pPr>
        <w:pStyle w:val="Header"/>
        <w:widowControl w:val="0"/>
        <w:numPr>
          <w:ilvl w:val="0"/>
          <w:numId w:val="34"/>
        </w:numPr>
        <w:tabs>
          <w:tab w:val="clear" w:pos="4513"/>
          <w:tab w:val="clear" w:pos="9026"/>
        </w:tabs>
        <w:spacing w:after="120" w:line="276" w:lineRule="auto"/>
        <w:rPr>
          <w:rFonts w:cs="Arial"/>
          <w:bCs/>
        </w:rPr>
      </w:pPr>
      <w:r>
        <w:rPr>
          <w:rFonts w:cs="Arial"/>
          <w:bCs/>
        </w:rPr>
        <w:t>Sections 1 to 3 of the Amendment Rule and anything else not covered by the table commence the day after the rule is registered on the federal register of legislative instruments;</w:t>
      </w:r>
    </w:p>
    <w:p w14:paraId="747D9F50" w14:textId="03AD5FD1" w:rsidR="00C457D6" w:rsidRDefault="00C457D6" w:rsidP="00340D35">
      <w:pPr>
        <w:pStyle w:val="Header"/>
        <w:widowControl w:val="0"/>
        <w:numPr>
          <w:ilvl w:val="0"/>
          <w:numId w:val="34"/>
        </w:numPr>
        <w:tabs>
          <w:tab w:val="clear" w:pos="4513"/>
          <w:tab w:val="clear" w:pos="9026"/>
        </w:tabs>
        <w:spacing w:after="120" w:line="276" w:lineRule="auto"/>
        <w:rPr>
          <w:rFonts w:cs="Arial"/>
          <w:bCs/>
        </w:rPr>
      </w:pPr>
      <w:r>
        <w:rPr>
          <w:rFonts w:cs="Arial"/>
          <w:bCs/>
        </w:rPr>
        <w:t>Schedule 1 of the</w:t>
      </w:r>
      <w:r w:rsidR="005657EC">
        <w:rPr>
          <w:rFonts w:cs="Arial"/>
          <w:bCs/>
        </w:rPr>
        <w:t xml:space="preserve"> Amendment Rule Items [1] to [4</w:t>
      </w:r>
      <w:r>
        <w:rPr>
          <w:rFonts w:cs="Arial"/>
          <w:bCs/>
        </w:rPr>
        <w:t>] commence on 31 March 2014.</w:t>
      </w:r>
    </w:p>
    <w:p w14:paraId="4E1D251D" w14:textId="77777777" w:rsidR="004152F2" w:rsidRPr="0077409C" w:rsidRDefault="004152F2" w:rsidP="00340D35">
      <w:pPr>
        <w:pStyle w:val="Header"/>
        <w:spacing w:after="120" w:line="276" w:lineRule="auto"/>
        <w:rPr>
          <w:rFonts w:cs="Arial"/>
        </w:rPr>
      </w:pPr>
    </w:p>
    <w:p w14:paraId="34E9424B" w14:textId="69BBCF95" w:rsidR="006012DD" w:rsidRPr="006012DD" w:rsidRDefault="006012DD" w:rsidP="00340D35">
      <w:pPr>
        <w:pStyle w:val="Header"/>
        <w:widowControl w:val="0"/>
        <w:numPr>
          <w:ilvl w:val="0"/>
          <w:numId w:val="1"/>
        </w:numPr>
        <w:tabs>
          <w:tab w:val="clear" w:pos="4513"/>
          <w:tab w:val="clear" w:pos="9026"/>
        </w:tabs>
        <w:spacing w:after="120" w:line="276" w:lineRule="auto"/>
        <w:rPr>
          <w:rFonts w:cs="Arial"/>
          <w:b/>
          <w:bCs/>
        </w:rPr>
      </w:pPr>
      <w:r w:rsidRPr="006012DD">
        <w:rPr>
          <w:rFonts w:cs="Arial"/>
          <w:b/>
          <w:bCs/>
        </w:rPr>
        <w:t>Amendment of Private Health Insurance (Insurer Obligations) Rule 2009</w:t>
      </w:r>
    </w:p>
    <w:p w14:paraId="02C9254F" w14:textId="55D4B9B9" w:rsidR="006012DD" w:rsidRPr="006012DD" w:rsidRDefault="00C457D6" w:rsidP="00340D35">
      <w:pPr>
        <w:pStyle w:val="Header"/>
        <w:widowControl w:val="0"/>
        <w:tabs>
          <w:tab w:val="clear" w:pos="4513"/>
          <w:tab w:val="clear" w:pos="9026"/>
        </w:tabs>
        <w:spacing w:after="120" w:line="276" w:lineRule="auto"/>
        <w:rPr>
          <w:rFonts w:cs="Arial"/>
          <w:bCs/>
        </w:rPr>
      </w:pPr>
      <w:r>
        <w:rPr>
          <w:rFonts w:cs="Arial"/>
          <w:bCs/>
        </w:rPr>
        <w:t xml:space="preserve">Section 3 provides that </w:t>
      </w:r>
      <w:r w:rsidR="006012DD" w:rsidRPr="006012DD">
        <w:rPr>
          <w:rFonts w:cs="Arial"/>
          <w:bCs/>
        </w:rPr>
        <w:t xml:space="preserve">Schedule 1 amends the </w:t>
      </w:r>
      <w:r w:rsidR="006012DD" w:rsidRPr="00C457D6">
        <w:rPr>
          <w:rFonts w:cs="Arial"/>
          <w:bCs/>
          <w:i/>
        </w:rPr>
        <w:t>Private Health Insurance (Insurer Obligations) Rule 2009</w:t>
      </w:r>
      <w:r w:rsidR="006012DD" w:rsidRPr="006012DD">
        <w:rPr>
          <w:rFonts w:cs="Arial"/>
          <w:bCs/>
        </w:rPr>
        <w:t>.</w:t>
      </w:r>
    </w:p>
    <w:p w14:paraId="5EE259E6" w14:textId="77777777" w:rsidR="006012DD" w:rsidRPr="006012DD" w:rsidRDefault="006012DD" w:rsidP="00340D35">
      <w:pPr>
        <w:pStyle w:val="Header"/>
        <w:widowControl w:val="0"/>
        <w:tabs>
          <w:tab w:val="clear" w:pos="4513"/>
          <w:tab w:val="clear" w:pos="9026"/>
        </w:tabs>
        <w:spacing w:after="120" w:line="276" w:lineRule="auto"/>
        <w:rPr>
          <w:rFonts w:cs="Arial"/>
          <w:b/>
          <w:bCs/>
        </w:rPr>
      </w:pPr>
    </w:p>
    <w:p w14:paraId="4E1D2521" w14:textId="5023280D" w:rsidR="004152F2" w:rsidRDefault="0090172D" w:rsidP="00340D35">
      <w:pPr>
        <w:pStyle w:val="Header"/>
        <w:spacing w:after="120" w:line="276" w:lineRule="auto"/>
        <w:rPr>
          <w:rFonts w:cs="Arial"/>
          <w:b/>
          <w:bCs/>
          <w:u w:val="single"/>
        </w:rPr>
      </w:pPr>
      <w:r w:rsidRPr="001B6B5A">
        <w:rPr>
          <w:rFonts w:cs="Arial"/>
          <w:b/>
          <w:bCs/>
          <w:u w:val="single"/>
        </w:rPr>
        <w:t xml:space="preserve">SCHEDULE 1 </w:t>
      </w:r>
      <w:r w:rsidR="008B4EC2">
        <w:rPr>
          <w:rFonts w:cs="Arial"/>
          <w:b/>
          <w:bCs/>
          <w:u w:val="single"/>
        </w:rPr>
        <w:t>–</w:t>
      </w:r>
      <w:r w:rsidR="001B6B5A">
        <w:rPr>
          <w:rFonts w:cs="Arial"/>
          <w:b/>
          <w:bCs/>
          <w:u w:val="single"/>
        </w:rPr>
        <w:t xml:space="preserve"> </w:t>
      </w:r>
      <w:r w:rsidR="00CB638F" w:rsidRPr="001B6B5A">
        <w:rPr>
          <w:rFonts w:cs="Arial"/>
          <w:b/>
          <w:bCs/>
          <w:u w:val="single"/>
        </w:rPr>
        <w:t>AMENDMENTS</w:t>
      </w:r>
    </w:p>
    <w:p w14:paraId="2C9FB681" w14:textId="77777777" w:rsidR="006012DD" w:rsidRDefault="006012DD" w:rsidP="00340D35">
      <w:pPr>
        <w:pStyle w:val="Header"/>
        <w:spacing w:after="120" w:line="276" w:lineRule="auto"/>
        <w:rPr>
          <w:rFonts w:cs="Arial"/>
          <w:b/>
          <w:bCs/>
          <w:u w:val="single"/>
        </w:rPr>
      </w:pPr>
    </w:p>
    <w:p w14:paraId="1708E33F" w14:textId="0B62040B" w:rsidR="00C457D6" w:rsidRPr="00340D35" w:rsidRDefault="00C457D6" w:rsidP="00340D35">
      <w:pPr>
        <w:pStyle w:val="Header"/>
        <w:spacing w:after="120" w:line="276" w:lineRule="auto"/>
        <w:rPr>
          <w:rFonts w:cs="Arial"/>
          <w:b/>
          <w:bCs/>
        </w:rPr>
      </w:pPr>
      <w:r w:rsidRPr="00340D35">
        <w:rPr>
          <w:rFonts w:cs="Arial"/>
          <w:b/>
          <w:bCs/>
        </w:rPr>
        <w:t>Item [1] Part 1, Preliminary, Rule 4 Definitions, after the definition of related person</w:t>
      </w:r>
    </w:p>
    <w:p w14:paraId="512B8FDE" w14:textId="1CB852F6" w:rsidR="00C457D6" w:rsidRDefault="00C457D6" w:rsidP="00340D35">
      <w:pPr>
        <w:pStyle w:val="Header"/>
        <w:spacing w:after="120" w:line="276" w:lineRule="auto"/>
      </w:pPr>
      <w:r>
        <w:rPr>
          <w:rFonts w:cs="Arial"/>
          <w:bCs/>
        </w:rPr>
        <w:t xml:space="preserve">This item provides that the Amendment Rule inserts a new definition being the definition of the “stress test amount”. The definition indicates that the stress test amount has the meaning given by </w:t>
      </w:r>
      <w:r>
        <w:t>sub</w:t>
      </w:r>
      <w:r w:rsidRPr="00B6395C">
        <w:t>clause 10</w:t>
      </w:r>
      <w:r>
        <w:t xml:space="preserve"> (1)</w:t>
      </w:r>
      <w:r w:rsidRPr="00B6395C">
        <w:t xml:space="preserve"> of Schedule 3 of the </w:t>
      </w:r>
      <w:r w:rsidRPr="00C457D6">
        <w:rPr>
          <w:i/>
        </w:rPr>
        <w:t>Private Health Insurance (Health Benefits Fund Administration) Rules 2007</w:t>
      </w:r>
      <w:r>
        <w:t>.</w:t>
      </w:r>
    </w:p>
    <w:p w14:paraId="4073A671" w14:textId="07A2EB63" w:rsidR="00C457D6" w:rsidRDefault="00C457D6" w:rsidP="00340D35">
      <w:pPr>
        <w:pStyle w:val="Header"/>
        <w:spacing w:after="120" w:line="276" w:lineRule="auto"/>
        <w:rPr>
          <w:rFonts w:cs="Arial"/>
          <w:bCs/>
        </w:rPr>
      </w:pPr>
      <w:r>
        <w:t xml:space="preserve">This new definition supports the interpretation of the substitution of subrule 7 (2) (c) of the </w:t>
      </w:r>
      <w:r w:rsidRPr="00C457D6">
        <w:rPr>
          <w:rFonts w:cs="Arial"/>
          <w:bCs/>
          <w:i/>
        </w:rPr>
        <w:t>Private Health Insurance (Insurer Obligations) Rule 2009</w:t>
      </w:r>
      <w:r>
        <w:rPr>
          <w:rFonts w:cs="Arial"/>
          <w:bCs/>
          <w:i/>
        </w:rPr>
        <w:t xml:space="preserve"> </w:t>
      </w:r>
      <w:r w:rsidR="002B333E">
        <w:rPr>
          <w:rFonts w:cs="Arial"/>
          <w:bCs/>
        </w:rPr>
        <w:t>affected</w:t>
      </w:r>
      <w:r>
        <w:rPr>
          <w:rFonts w:cs="Arial"/>
          <w:bCs/>
        </w:rPr>
        <w:t xml:space="preserve"> by Item [</w:t>
      </w:r>
      <w:r w:rsidR="005657EC">
        <w:rPr>
          <w:rFonts w:cs="Arial"/>
          <w:bCs/>
        </w:rPr>
        <w:t>4</w:t>
      </w:r>
      <w:r>
        <w:rPr>
          <w:rFonts w:cs="Arial"/>
          <w:bCs/>
        </w:rPr>
        <w:t>] of the Amendment Rule.</w:t>
      </w:r>
    </w:p>
    <w:p w14:paraId="3BDEE662" w14:textId="77777777" w:rsidR="00340D35" w:rsidRPr="00C457D6" w:rsidRDefault="00340D35" w:rsidP="00340D35">
      <w:pPr>
        <w:pStyle w:val="Header"/>
        <w:spacing w:after="120" w:line="276" w:lineRule="auto"/>
      </w:pPr>
    </w:p>
    <w:p w14:paraId="7836EAC2" w14:textId="2FAAEE55" w:rsidR="00AF58DD" w:rsidRPr="00340D35" w:rsidRDefault="00AF58DD" w:rsidP="00AF58DD">
      <w:pPr>
        <w:pStyle w:val="Header"/>
        <w:spacing w:after="120" w:line="276" w:lineRule="auto"/>
        <w:rPr>
          <w:rFonts w:cs="Arial"/>
          <w:b/>
          <w:bCs/>
        </w:rPr>
      </w:pPr>
      <w:r w:rsidRPr="00340D35">
        <w:rPr>
          <w:rFonts w:cs="Arial"/>
          <w:b/>
          <w:bCs/>
        </w:rPr>
        <w:t xml:space="preserve">Item </w:t>
      </w:r>
      <w:r>
        <w:rPr>
          <w:rFonts w:cs="Arial"/>
          <w:b/>
          <w:bCs/>
        </w:rPr>
        <w:t xml:space="preserve">[2] </w:t>
      </w:r>
      <w:r w:rsidRPr="00340D35">
        <w:rPr>
          <w:rFonts w:cs="Arial"/>
          <w:b/>
          <w:bCs/>
        </w:rPr>
        <w:t>Part 2</w:t>
      </w:r>
      <w:r>
        <w:rPr>
          <w:rFonts w:cs="Arial"/>
          <w:b/>
          <w:bCs/>
        </w:rPr>
        <w:t>,</w:t>
      </w:r>
      <w:r w:rsidRPr="00340D35">
        <w:rPr>
          <w:rFonts w:cs="Arial"/>
          <w:b/>
          <w:bCs/>
        </w:rPr>
        <w:t xml:space="preserve"> </w:t>
      </w:r>
      <w:r>
        <w:rPr>
          <w:rFonts w:cs="Arial"/>
          <w:b/>
          <w:bCs/>
        </w:rPr>
        <w:t>Reporting and notification requirements, Rule 6 Information to be given annually to the Council</w:t>
      </w:r>
    </w:p>
    <w:p w14:paraId="6DD9168D" w14:textId="222E4106" w:rsidR="00AF58DD" w:rsidRPr="005657EC" w:rsidRDefault="00AF58DD" w:rsidP="00AF58DD">
      <w:pPr>
        <w:pStyle w:val="Header"/>
        <w:spacing w:after="120" w:line="276" w:lineRule="auto"/>
        <w:rPr>
          <w:rFonts w:cs="Arial"/>
          <w:bCs/>
        </w:rPr>
      </w:pPr>
      <w:r w:rsidRPr="005657EC">
        <w:rPr>
          <w:rFonts w:cs="Arial"/>
          <w:bCs/>
        </w:rPr>
        <w:t>This item repeals Rule</w:t>
      </w:r>
      <w:r w:rsidR="009F3737" w:rsidRPr="005657EC">
        <w:rPr>
          <w:rFonts w:cs="Arial"/>
          <w:bCs/>
        </w:rPr>
        <w:t xml:space="preserve"> 6</w:t>
      </w:r>
      <w:r w:rsidRPr="005657EC">
        <w:rPr>
          <w:rFonts w:cs="Arial"/>
          <w:bCs/>
        </w:rPr>
        <w:t>, which in effect, removes the obligation for the private health insurer to provide Council with a number of different pieces of information, within 3 months after the end of each financial year, or within such further time as the Council allows.</w:t>
      </w:r>
    </w:p>
    <w:p w14:paraId="3C4305A6" w14:textId="77777777" w:rsidR="00AF58DD" w:rsidRDefault="00AF58DD" w:rsidP="00AF58DD">
      <w:pPr>
        <w:pStyle w:val="Header"/>
        <w:spacing w:after="120" w:line="276" w:lineRule="auto"/>
        <w:rPr>
          <w:rFonts w:cs="Arial"/>
          <w:b/>
          <w:bCs/>
          <w:u w:val="single"/>
        </w:rPr>
      </w:pPr>
    </w:p>
    <w:p w14:paraId="577743A4" w14:textId="0EF9DB52" w:rsidR="00AF58DD" w:rsidRPr="00340D35" w:rsidRDefault="00AF58DD" w:rsidP="00AF58DD">
      <w:pPr>
        <w:pStyle w:val="Header"/>
        <w:spacing w:after="120" w:line="276" w:lineRule="auto"/>
        <w:rPr>
          <w:rFonts w:cs="Arial"/>
          <w:b/>
          <w:bCs/>
        </w:rPr>
      </w:pPr>
      <w:r w:rsidRPr="00340D35">
        <w:rPr>
          <w:rFonts w:cs="Arial"/>
          <w:b/>
          <w:bCs/>
        </w:rPr>
        <w:t xml:space="preserve">Item </w:t>
      </w:r>
      <w:r>
        <w:rPr>
          <w:rFonts w:cs="Arial"/>
          <w:b/>
          <w:bCs/>
        </w:rPr>
        <w:t>[</w:t>
      </w:r>
      <w:r w:rsidR="00A62533">
        <w:rPr>
          <w:rFonts w:cs="Arial"/>
          <w:b/>
          <w:bCs/>
        </w:rPr>
        <w:t>3</w:t>
      </w:r>
      <w:r>
        <w:rPr>
          <w:rFonts w:cs="Arial"/>
          <w:b/>
          <w:bCs/>
        </w:rPr>
        <w:t xml:space="preserve">] </w:t>
      </w:r>
      <w:r w:rsidRPr="00340D35">
        <w:rPr>
          <w:rFonts w:cs="Arial"/>
          <w:b/>
          <w:bCs/>
        </w:rPr>
        <w:t>Part 2</w:t>
      </w:r>
      <w:r>
        <w:rPr>
          <w:rFonts w:cs="Arial"/>
          <w:b/>
          <w:bCs/>
        </w:rPr>
        <w:t>,</w:t>
      </w:r>
      <w:r w:rsidRPr="00340D35">
        <w:rPr>
          <w:rFonts w:cs="Arial"/>
          <w:b/>
          <w:bCs/>
        </w:rPr>
        <w:t xml:space="preserve"> </w:t>
      </w:r>
      <w:r>
        <w:rPr>
          <w:rFonts w:cs="Arial"/>
          <w:b/>
          <w:bCs/>
        </w:rPr>
        <w:t xml:space="preserve">Reporting and notification requirements, Rule </w:t>
      </w:r>
      <w:r w:rsidR="009F3737">
        <w:rPr>
          <w:rFonts w:cs="Arial"/>
          <w:b/>
          <w:bCs/>
        </w:rPr>
        <w:t>7</w:t>
      </w:r>
      <w:r>
        <w:rPr>
          <w:rFonts w:cs="Arial"/>
          <w:b/>
          <w:bCs/>
        </w:rPr>
        <w:t xml:space="preserve"> Certification requirements</w:t>
      </w:r>
    </w:p>
    <w:p w14:paraId="197347F1" w14:textId="35F1D0F4" w:rsidR="00AF58DD" w:rsidRPr="005657EC" w:rsidRDefault="00AF58DD" w:rsidP="00AF58DD">
      <w:pPr>
        <w:pStyle w:val="Header"/>
        <w:spacing w:after="120" w:line="276" w:lineRule="auto"/>
        <w:rPr>
          <w:rFonts w:cs="Arial"/>
          <w:bCs/>
        </w:rPr>
      </w:pPr>
      <w:r w:rsidRPr="005657EC">
        <w:rPr>
          <w:rFonts w:cs="Arial"/>
          <w:bCs/>
        </w:rPr>
        <w:t>This item repeals Rule</w:t>
      </w:r>
      <w:r w:rsidR="009F3737" w:rsidRPr="005657EC">
        <w:rPr>
          <w:rFonts w:cs="Arial"/>
          <w:bCs/>
        </w:rPr>
        <w:t xml:space="preserve"> 7</w:t>
      </w:r>
      <w:r w:rsidRPr="005657EC">
        <w:rPr>
          <w:rFonts w:cs="Arial"/>
          <w:bCs/>
        </w:rPr>
        <w:t xml:space="preserve">, which in effect, removes the obligation for private health insurers to </w:t>
      </w:r>
      <w:r w:rsidR="005657EC">
        <w:rPr>
          <w:rFonts w:cs="Arial"/>
          <w:bCs/>
        </w:rPr>
        <w:t>certify</w:t>
      </w:r>
      <w:r w:rsidRPr="005657EC">
        <w:rPr>
          <w:rFonts w:cs="Arial"/>
          <w:bCs/>
        </w:rPr>
        <w:t xml:space="preserve"> accounts or statements to </w:t>
      </w:r>
      <w:r w:rsidR="005657EC">
        <w:rPr>
          <w:rFonts w:cs="Arial"/>
          <w:bCs/>
        </w:rPr>
        <w:t xml:space="preserve">be provided to </w:t>
      </w:r>
      <w:r w:rsidRPr="005657EC">
        <w:rPr>
          <w:rFonts w:cs="Arial"/>
          <w:bCs/>
        </w:rPr>
        <w:t>Council under subsection 169-5(2) of the Act.</w:t>
      </w:r>
    </w:p>
    <w:p w14:paraId="4DD74841" w14:textId="77777777" w:rsidR="00A62533" w:rsidRDefault="00A62533" w:rsidP="00AF58DD">
      <w:pPr>
        <w:pStyle w:val="Header"/>
        <w:spacing w:after="120" w:line="276" w:lineRule="auto"/>
        <w:rPr>
          <w:rFonts w:cs="Arial"/>
          <w:b/>
          <w:bCs/>
        </w:rPr>
      </w:pPr>
    </w:p>
    <w:p w14:paraId="62A8B6EC" w14:textId="625E3118" w:rsidR="00C457D6" w:rsidRPr="00340D35" w:rsidRDefault="00C457D6" w:rsidP="00AF58DD">
      <w:pPr>
        <w:pStyle w:val="Header"/>
        <w:spacing w:after="120" w:line="276" w:lineRule="auto"/>
        <w:rPr>
          <w:rFonts w:cs="Arial"/>
          <w:b/>
          <w:bCs/>
        </w:rPr>
      </w:pPr>
      <w:r w:rsidRPr="00340D35">
        <w:rPr>
          <w:rFonts w:cs="Arial"/>
          <w:b/>
          <w:bCs/>
        </w:rPr>
        <w:t xml:space="preserve">Item </w:t>
      </w:r>
      <w:r w:rsidR="00BB3AEE">
        <w:rPr>
          <w:rFonts w:cs="Arial"/>
          <w:b/>
          <w:bCs/>
        </w:rPr>
        <w:t>[</w:t>
      </w:r>
      <w:r w:rsidR="00AF58DD">
        <w:rPr>
          <w:rFonts w:cs="Arial"/>
          <w:b/>
          <w:bCs/>
        </w:rPr>
        <w:t>4</w:t>
      </w:r>
      <w:r w:rsidR="00BB3AEE">
        <w:rPr>
          <w:rFonts w:cs="Arial"/>
          <w:b/>
          <w:bCs/>
        </w:rPr>
        <w:t>] Schedule 2 Appointed Actuaries</w:t>
      </w:r>
      <w:r w:rsidRPr="00340D35">
        <w:rPr>
          <w:rFonts w:cs="Arial"/>
          <w:b/>
          <w:bCs/>
        </w:rPr>
        <w:t xml:space="preserve"> Standard, Part 2 Duties and powers of appointed actuaries, subrule 7 (2) (c)</w:t>
      </w:r>
    </w:p>
    <w:p w14:paraId="74BC6204" w14:textId="7EC08F5E" w:rsidR="00C457D6" w:rsidRDefault="00C457D6" w:rsidP="00340D35">
      <w:pPr>
        <w:pStyle w:val="Header"/>
        <w:spacing w:after="120" w:line="276" w:lineRule="auto"/>
      </w:pPr>
      <w:r>
        <w:rPr>
          <w:rFonts w:cs="Arial"/>
          <w:bCs/>
        </w:rPr>
        <w:t xml:space="preserve">This item provides that the Amendment Rule repeals and </w:t>
      </w:r>
      <w:r w:rsidR="002B333E">
        <w:rPr>
          <w:rFonts w:cs="Arial"/>
          <w:bCs/>
        </w:rPr>
        <w:t>substitutes</w:t>
      </w:r>
      <w:r>
        <w:rPr>
          <w:rFonts w:cs="Arial"/>
          <w:bCs/>
        </w:rPr>
        <w:t xml:space="preserve"> a new </w:t>
      </w:r>
      <w:r>
        <w:t xml:space="preserve">subrule 7 (2) (c) of the </w:t>
      </w:r>
      <w:r w:rsidRPr="00C457D6">
        <w:rPr>
          <w:rFonts w:cs="Arial"/>
          <w:bCs/>
          <w:i/>
        </w:rPr>
        <w:t>Private Health Insurance (Insurer Obligations) Rule 2009</w:t>
      </w:r>
      <w:r>
        <w:rPr>
          <w:rFonts w:cs="Arial"/>
          <w:bCs/>
          <w:i/>
        </w:rPr>
        <w:t xml:space="preserve">. </w:t>
      </w:r>
      <w:r>
        <w:rPr>
          <w:rFonts w:cs="Arial"/>
          <w:bCs/>
        </w:rPr>
        <w:t xml:space="preserve">The new subrule </w:t>
      </w:r>
      <w:r>
        <w:t xml:space="preserve">7 (2) (c) is a consequential amendment arising from the amendments to the </w:t>
      </w:r>
      <w:r w:rsidRPr="00CA4DFB">
        <w:rPr>
          <w:i/>
        </w:rPr>
        <w:t>Private Health Insurance (Health Benefits Fund Administration) Rules 2007</w:t>
      </w:r>
      <w:r>
        <w:t xml:space="preserve"> by the </w:t>
      </w:r>
      <w:r w:rsidRPr="00CA4DFB">
        <w:rPr>
          <w:i/>
        </w:rPr>
        <w:t xml:space="preserve">Private Health Insurance (Health Benefits Fund Administration) </w:t>
      </w:r>
      <w:r>
        <w:rPr>
          <w:i/>
        </w:rPr>
        <w:t xml:space="preserve">Amendment </w:t>
      </w:r>
      <w:r w:rsidR="001D4375">
        <w:rPr>
          <w:i/>
        </w:rPr>
        <w:t>Rule</w:t>
      </w:r>
      <w:r w:rsidRPr="00CA4DFB">
        <w:rPr>
          <w:i/>
        </w:rPr>
        <w:t xml:space="preserve"> </w:t>
      </w:r>
      <w:r>
        <w:rPr>
          <w:i/>
        </w:rPr>
        <w:t>2013 (no. 1).</w:t>
      </w:r>
    </w:p>
    <w:p w14:paraId="56A904B9" w14:textId="00BE3048" w:rsidR="008B4EC2" w:rsidRDefault="00C457D6" w:rsidP="00340D35">
      <w:pPr>
        <w:pStyle w:val="Header"/>
        <w:spacing w:after="120" w:line="276" w:lineRule="auto"/>
      </w:pPr>
      <w:r>
        <w:t xml:space="preserve">The new subrule 7 (2) (c) specifies </w:t>
      </w:r>
      <w:r w:rsidR="00B615B1">
        <w:t xml:space="preserve">a duty </w:t>
      </w:r>
      <w:r>
        <w:t>of appointed actuaries and which include</w:t>
      </w:r>
      <w:r w:rsidR="00B615B1">
        <w:t>s</w:t>
      </w:r>
      <w:r>
        <w:t xml:space="preserve"> </w:t>
      </w:r>
      <w:r w:rsidR="00B615B1">
        <w:t xml:space="preserve">the duty to assess </w:t>
      </w:r>
      <w:r>
        <w:t xml:space="preserve">the </w:t>
      </w:r>
      <w:r w:rsidRPr="00832B2F">
        <w:t>reasonableness of the amount of uncertainty allowed for by the insurer in calculating the stress test amount in th</w:t>
      </w:r>
      <w:r>
        <w:t>e capital adequacy standard</w:t>
      </w:r>
      <w:r w:rsidR="00B615B1">
        <w:t>.</w:t>
      </w:r>
    </w:p>
    <w:p w14:paraId="5601FDF6" w14:textId="453E0AF3" w:rsidR="00AF58DD" w:rsidRPr="00340D35" w:rsidRDefault="00AF58DD" w:rsidP="00AF58DD">
      <w:pPr>
        <w:pStyle w:val="Header"/>
        <w:spacing w:after="120" w:line="276" w:lineRule="auto"/>
        <w:rPr>
          <w:rFonts w:cs="Arial"/>
          <w:b/>
          <w:bCs/>
        </w:rPr>
      </w:pPr>
    </w:p>
    <w:p w14:paraId="0F099233" w14:textId="77777777" w:rsidR="00AF58DD" w:rsidRDefault="00AF58DD" w:rsidP="00340D35">
      <w:pPr>
        <w:pStyle w:val="Header"/>
        <w:spacing w:after="120" w:line="276" w:lineRule="auto"/>
        <w:rPr>
          <w:rFonts w:cs="Arial"/>
          <w:b/>
          <w:bCs/>
          <w:u w:val="single"/>
        </w:rPr>
      </w:pPr>
    </w:p>
    <w:p w14:paraId="0C1E071F" w14:textId="77777777" w:rsidR="00581902" w:rsidRDefault="00581902" w:rsidP="00340D35">
      <w:pPr>
        <w:spacing w:before="360" w:after="120"/>
        <w:jc w:val="center"/>
        <w:rPr>
          <w:rFonts w:cs="Arial"/>
          <w:b/>
          <w:sz w:val="28"/>
          <w:szCs w:val="28"/>
        </w:rPr>
      </w:pPr>
      <w:r>
        <w:rPr>
          <w:rFonts w:cs="Arial"/>
          <w:b/>
          <w:sz w:val="28"/>
          <w:szCs w:val="28"/>
        </w:rPr>
        <w:br w:type="page"/>
      </w:r>
    </w:p>
    <w:p w14:paraId="45714D48" w14:textId="584C8F30" w:rsidR="00581902" w:rsidRPr="00E14569" w:rsidRDefault="00581902" w:rsidP="00340D35">
      <w:pPr>
        <w:spacing w:before="360" w:after="120"/>
        <w:jc w:val="center"/>
        <w:rPr>
          <w:rFonts w:cs="Arial"/>
          <w:b/>
          <w:sz w:val="28"/>
          <w:szCs w:val="28"/>
        </w:rPr>
      </w:pPr>
      <w:r w:rsidRPr="00E14569">
        <w:rPr>
          <w:rFonts w:cs="Arial"/>
          <w:b/>
          <w:sz w:val="28"/>
          <w:szCs w:val="28"/>
        </w:rPr>
        <w:lastRenderedPageBreak/>
        <w:t>Statement of Compatibility with Human Rights</w:t>
      </w:r>
    </w:p>
    <w:p w14:paraId="26AE9548" w14:textId="77777777" w:rsidR="00581902" w:rsidRPr="00E14569" w:rsidRDefault="00581902" w:rsidP="00340D35">
      <w:pPr>
        <w:spacing w:before="120" w:after="120"/>
        <w:jc w:val="center"/>
        <w:rPr>
          <w:rFonts w:cs="Arial"/>
          <w:sz w:val="24"/>
          <w:szCs w:val="24"/>
        </w:rPr>
      </w:pPr>
      <w:r w:rsidRPr="00E14569">
        <w:rPr>
          <w:rFonts w:cs="Arial"/>
          <w:i/>
          <w:sz w:val="24"/>
          <w:szCs w:val="24"/>
        </w:rPr>
        <w:t>Prepared in accordance with Part 3 of the Human Rights (Parliamentary Scrutiny) Act 2011</w:t>
      </w:r>
    </w:p>
    <w:p w14:paraId="12A1A1A2" w14:textId="77777777" w:rsidR="00581902" w:rsidRPr="006012DD" w:rsidRDefault="00581902" w:rsidP="00340D35">
      <w:pPr>
        <w:spacing w:before="120" w:after="120"/>
        <w:jc w:val="center"/>
        <w:rPr>
          <w:rFonts w:cs="Arial"/>
          <w:b/>
          <w:sz w:val="24"/>
          <w:szCs w:val="24"/>
        </w:rPr>
      </w:pPr>
    </w:p>
    <w:p w14:paraId="52D2AA90" w14:textId="77777777" w:rsidR="006012DD" w:rsidRPr="006012DD" w:rsidRDefault="006012DD" w:rsidP="00340D35">
      <w:pPr>
        <w:spacing w:after="120"/>
        <w:jc w:val="center"/>
        <w:rPr>
          <w:rFonts w:cs="Arial"/>
          <w:b/>
          <w:i/>
          <w:sz w:val="24"/>
          <w:szCs w:val="24"/>
        </w:rPr>
      </w:pPr>
      <w:r w:rsidRPr="006012DD">
        <w:rPr>
          <w:rFonts w:cs="Arial"/>
          <w:b/>
          <w:i/>
          <w:sz w:val="24"/>
          <w:szCs w:val="24"/>
        </w:rPr>
        <w:t>Private Health Insurance (Insurer Obligations) Amendment Rule 2013 (No.1)</w:t>
      </w:r>
    </w:p>
    <w:p w14:paraId="08B63FB3" w14:textId="77777777" w:rsidR="00581902" w:rsidRPr="00E14569" w:rsidRDefault="00581902" w:rsidP="00340D35">
      <w:pPr>
        <w:spacing w:before="120" w:after="120"/>
        <w:jc w:val="center"/>
        <w:rPr>
          <w:rFonts w:cs="Arial"/>
        </w:rPr>
      </w:pPr>
    </w:p>
    <w:p w14:paraId="52B66CE0" w14:textId="77777777" w:rsidR="00581902" w:rsidRPr="00E14569" w:rsidRDefault="00581902" w:rsidP="00340D35">
      <w:pPr>
        <w:spacing w:after="120"/>
        <w:rPr>
          <w:rFonts w:cs="Arial"/>
        </w:rPr>
      </w:pPr>
      <w:r w:rsidRPr="00E14569">
        <w:rPr>
          <w:rFonts w:cs="Arial"/>
        </w:rPr>
        <w:t xml:space="preserve">This Legislative Instrument is compatible with the human rights and freedoms recognised or declared in the international instruments listed in section 3 of the </w:t>
      </w:r>
      <w:r w:rsidRPr="00E14569">
        <w:rPr>
          <w:rFonts w:cs="Arial"/>
          <w:i/>
        </w:rPr>
        <w:t>Human Rights (Parliamentary Scrutiny) Act 2011</w:t>
      </w:r>
      <w:r w:rsidRPr="00E14569">
        <w:rPr>
          <w:rFonts w:cs="Arial"/>
        </w:rPr>
        <w:t>.</w:t>
      </w:r>
    </w:p>
    <w:p w14:paraId="3B7BA5B7" w14:textId="77777777" w:rsidR="00581902" w:rsidRPr="00E14569" w:rsidRDefault="00581902" w:rsidP="00340D35">
      <w:pPr>
        <w:spacing w:after="120"/>
        <w:jc w:val="both"/>
        <w:rPr>
          <w:rFonts w:cs="Arial"/>
          <w:b/>
        </w:rPr>
      </w:pPr>
      <w:r w:rsidRPr="00E14569">
        <w:rPr>
          <w:rFonts w:cs="Arial"/>
          <w:b/>
        </w:rPr>
        <w:t>Overview of the Legislative Instrument</w:t>
      </w:r>
    </w:p>
    <w:p w14:paraId="4FBD039E" w14:textId="092FE63D" w:rsidR="001B38A5" w:rsidRDefault="00CC14EC" w:rsidP="00340D35">
      <w:pPr>
        <w:spacing w:after="120"/>
      </w:pPr>
      <w:r>
        <w:rPr>
          <w:rFonts w:cs="Arial"/>
        </w:rPr>
        <w:t xml:space="preserve">The </w:t>
      </w:r>
      <w:r>
        <w:rPr>
          <w:rFonts w:cs="Arial"/>
          <w:i/>
          <w:iCs/>
        </w:rPr>
        <w:t xml:space="preserve">Private Health Insurance (Insurer Obligations) Amendment Rule 2013 (No. 1) </w:t>
      </w:r>
      <w:r>
        <w:rPr>
          <w:rFonts w:cs="Arial"/>
        </w:rPr>
        <w:t xml:space="preserve">comprises </w:t>
      </w:r>
      <w:r w:rsidR="00BF761E">
        <w:rPr>
          <w:rFonts w:cs="Arial"/>
        </w:rPr>
        <w:t>four</w:t>
      </w:r>
      <w:r>
        <w:rPr>
          <w:rFonts w:cs="Arial"/>
        </w:rPr>
        <w:t xml:space="preserve"> amendments to the </w:t>
      </w:r>
      <w:r>
        <w:rPr>
          <w:rFonts w:cs="Arial"/>
          <w:i/>
          <w:iCs/>
        </w:rPr>
        <w:t>Private Health Insurance (Insurer Obligations) Rule</w:t>
      </w:r>
      <w:r w:rsidR="00CA5B6E">
        <w:rPr>
          <w:rFonts w:cs="Arial"/>
          <w:i/>
          <w:iCs/>
        </w:rPr>
        <w:t>s</w:t>
      </w:r>
      <w:r>
        <w:rPr>
          <w:rFonts w:cs="Arial"/>
          <w:i/>
          <w:iCs/>
        </w:rPr>
        <w:t xml:space="preserve"> 2009 </w:t>
      </w:r>
      <w:r w:rsidR="00331F39">
        <w:rPr>
          <w:rFonts w:cs="Arial"/>
        </w:rPr>
        <w:t>(the Rule</w:t>
      </w:r>
      <w:r w:rsidR="00CA5B6E">
        <w:rPr>
          <w:rFonts w:cs="Arial"/>
        </w:rPr>
        <w:t>s</w:t>
      </w:r>
      <w:r w:rsidR="00331F39">
        <w:rPr>
          <w:rFonts w:cs="Arial"/>
        </w:rPr>
        <w:t>). T</w:t>
      </w:r>
      <w:r w:rsidR="00331F39" w:rsidRPr="009F5452">
        <w:rPr>
          <w:rFonts w:cs="Arial"/>
        </w:rPr>
        <w:t xml:space="preserve">he provisions in question merely </w:t>
      </w:r>
      <w:r w:rsidR="00331F39">
        <w:rPr>
          <w:rFonts w:cs="Arial"/>
        </w:rPr>
        <w:t>update the definitions section to support the interpretation of one substituted substantive</w:t>
      </w:r>
      <w:r w:rsidR="00BF761E">
        <w:rPr>
          <w:rFonts w:cs="Arial"/>
        </w:rPr>
        <w:t xml:space="preserve"> and removes two redundant provisions</w:t>
      </w:r>
      <w:r w:rsidR="00331F39">
        <w:rPr>
          <w:rFonts w:cs="Arial"/>
        </w:rPr>
        <w:t xml:space="preserve">. </w:t>
      </w:r>
      <w:r w:rsidR="00BF761E">
        <w:rPr>
          <w:rFonts w:cs="Arial"/>
        </w:rPr>
        <w:t xml:space="preserve">In essence the amendments </w:t>
      </w:r>
      <w:r w:rsidR="00331F39">
        <w:rPr>
          <w:rFonts w:cs="Arial"/>
        </w:rPr>
        <w:t>simply reflects amendments</w:t>
      </w:r>
      <w:r w:rsidR="00331F39">
        <w:t xml:space="preserve"> to the </w:t>
      </w:r>
      <w:r w:rsidR="00331F39" w:rsidRPr="00CA4DFB">
        <w:rPr>
          <w:i/>
        </w:rPr>
        <w:t>Private Health Insurance (Health Benefits Fund Administration) Rules 2007</w:t>
      </w:r>
      <w:r w:rsidR="00331F39">
        <w:t xml:space="preserve"> by the </w:t>
      </w:r>
      <w:r w:rsidR="00331F39" w:rsidRPr="00CA4DFB">
        <w:rPr>
          <w:i/>
        </w:rPr>
        <w:t xml:space="preserve">Private Health Insurance (Health Benefits Fund Administration) </w:t>
      </w:r>
      <w:r w:rsidR="00331F39">
        <w:rPr>
          <w:i/>
        </w:rPr>
        <w:t xml:space="preserve">Amendment </w:t>
      </w:r>
      <w:r w:rsidR="001D4375">
        <w:rPr>
          <w:i/>
        </w:rPr>
        <w:t>Rule</w:t>
      </w:r>
      <w:r w:rsidR="00331F39" w:rsidRPr="00CA4DFB">
        <w:rPr>
          <w:i/>
        </w:rPr>
        <w:t xml:space="preserve"> </w:t>
      </w:r>
      <w:r w:rsidR="001D4375">
        <w:rPr>
          <w:i/>
        </w:rPr>
        <w:t>2013 (N</w:t>
      </w:r>
      <w:r w:rsidR="00331F39">
        <w:rPr>
          <w:i/>
        </w:rPr>
        <w:t>o. 1)</w:t>
      </w:r>
      <w:r w:rsidR="00331F39">
        <w:t>.</w:t>
      </w:r>
    </w:p>
    <w:p w14:paraId="0600F531" w14:textId="180E5F31" w:rsidR="001D4375" w:rsidRDefault="001D4375" w:rsidP="00340D35">
      <w:pPr>
        <w:spacing w:after="120"/>
      </w:pPr>
      <w:r>
        <w:t xml:space="preserve">The ultimate purpose of this amendment is to bring the </w:t>
      </w:r>
      <w:r w:rsidR="00CA5B6E">
        <w:t>Rules</w:t>
      </w:r>
      <w:r>
        <w:t xml:space="preserve"> into line with the changes to the capital adequacy and solvency standards introduced by these </w:t>
      </w:r>
      <w:r w:rsidR="00B61F03">
        <w:t xml:space="preserve">abovementioned </w:t>
      </w:r>
      <w:r>
        <w:t>amendments</w:t>
      </w:r>
      <w:r w:rsidR="00B61F03">
        <w:t xml:space="preserve"> to the </w:t>
      </w:r>
      <w:r w:rsidR="00B61F03" w:rsidRPr="00CA4DFB">
        <w:rPr>
          <w:i/>
        </w:rPr>
        <w:t>Private Health Insurance (Health Benefits Fund Administration) Rules 2007</w:t>
      </w:r>
      <w:r>
        <w:t>, by clarifying definitions and their use</w:t>
      </w:r>
      <w:r w:rsidR="00BF761E">
        <w:t>, and to remove redundant provisions</w:t>
      </w:r>
      <w:r>
        <w:t>.  The amendment</w:t>
      </w:r>
      <w:r w:rsidR="00BF761E">
        <w:t>s are</w:t>
      </w:r>
      <w:r>
        <w:t xml:space="preserve"> of a minor</w:t>
      </w:r>
      <w:r w:rsidR="00BF761E">
        <w:t xml:space="preserve"> and technical nature, and do</w:t>
      </w:r>
      <w:r>
        <w:t xml:space="preserve"> not materially alter the substance of the appointed actuaries standard, or workloads and obligations of individuals subject to it.</w:t>
      </w:r>
    </w:p>
    <w:p w14:paraId="3F87C519" w14:textId="265278E0" w:rsidR="004B709C" w:rsidRDefault="001D4375" w:rsidP="00340D35">
      <w:pPr>
        <w:spacing w:after="120"/>
      </w:pPr>
      <w:r>
        <w:t xml:space="preserve">The effect of the amendment is </w:t>
      </w:r>
      <w:r w:rsidR="00CA5B6E">
        <w:t>three</w:t>
      </w:r>
      <w:r>
        <w:t xml:space="preserve">fold.  </w:t>
      </w:r>
    </w:p>
    <w:p w14:paraId="21B4C680" w14:textId="77777777" w:rsidR="004B709C" w:rsidRDefault="004B709C" w:rsidP="004B709C">
      <w:pPr>
        <w:pStyle w:val="Header"/>
        <w:spacing w:after="120" w:line="276" w:lineRule="auto"/>
      </w:pPr>
      <w:r>
        <w:rPr>
          <w:rFonts w:cs="Arial"/>
          <w:bCs/>
        </w:rPr>
        <w:t xml:space="preserve">The first item provides that the Amendment Rule inserts a new definition being the definition of the “stress test amount”. The definition indicates that the stress test amount has the meaning given by </w:t>
      </w:r>
      <w:r>
        <w:t>sub</w:t>
      </w:r>
      <w:r w:rsidRPr="00B6395C">
        <w:t>clause 10</w:t>
      </w:r>
      <w:r>
        <w:t xml:space="preserve"> (1)</w:t>
      </w:r>
      <w:r w:rsidRPr="00B6395C">
        <w:t xml:space="preserve"> of Schedule 3 of the </w:t>
      </w:r>
      <w:r w:rsidRPr="00C457D6">
        <w:rPr>
          <w:i/>
        </w:rPr>
        <w:t>Private Health Insurance (Health Benefits Fund Administration) Rules 2007</w:t>
      </w:r>
      <w:r>
        <w:t>.</w:t>
      </w:r>
    </w:p>
    <w:p w14:paraId="4C507822" w14:textId="17C38766" w:rsidR="001D4375" w:rsidRDefault="004B709C" w:rsidP="00340D35">
      <w:pPr>
        <w:spacing w:after="120"/>
      </w:pPr>
      <w:r>
        <w:t>Under this amendment, private health insurers</w:t>
      </w:r>
      <w:r w:rsidR="001D4375">
        <w:t xml:space="preserve"> and their appointed actuaries </w:t>
      </w:r>
      <w:r>
        <w:t>will use</w:t>
      </w:r>
      <w:r w:rsidR="00CA6352">
        <w:t xml:space="preserve"> the term</w:t>
      </w:r>
      <w:r w:rsidR="001D4375">
        <w:t xml:space="preserve"> “stress test amount” for the purposes of making calculations relating to the financial standing of the private health insurer.  </w:t>
      </w:r>
    </w:p>
    <w:p w14:paraId="618B1AAA" w14:textId="6EC0A912" w:rsidR="00331F39" w:rsidRPr="00C457D6" w:rsidRDefault="00331F39" w:rsidP="00340D35">
      <w:pPr>
        <w:pStyle w:val="Header"/>
        <w:spacing w:after="120" w:line="276" w:lineRule="auto"/>
      </w:pPr>
      <w:r>
        <w:t xml:space="preserve">This new definition supports the interpretation of the substitution of subrule 7 (2) (c) of the </w:t>
      </w:r>
      <w:r w:rsidRPr="00C457D6">
        <w:rPr>
          <w:rFonts w:cs="Arial"/>
          <w:bCs/>
          <w:i/>
        </w:rPr>
        <w:t>Private Health Insurance (Insurer Obligations) Rule 2009</w:t>
      </w:r>
      <w:r>
        <w:rPr>
          <w:rFonts w:cs="Arial"/>
          <w:bCs/>
          <w:i/>
        </w:rPr>
        <w:t xml:space="preserve"> </w:t>
      </w:r>
      <w:r w:rsidR="002B333E">
        <w:rPr>
          <w:rFonts w:cs="Arial"/>
          <w:bCs/>
        </w:rPr>
        <w:t>affected</w:t>
      </w:r>
      <w:r>
        <w:rPr>
          <w:rFonts w:cs="Arial"/>
          <w:bCs/>
        </w:rPr>
        <w:t xml:space="preserve"> by Item [2] of the Amendment Rule.</w:t>
      </w:r>
    </w:p>
    <w:p w14:paraId="601BF45C" w14:textId="44F3F820" w:rsidR="00CA5B6E" w:rsidRPr="00BF761E" w:rsidRDefault="00331F39" w:rsidP="00CA5B6E">
      <w:pPr>
        <w:pStyle w:val="Header"/>
        <w:spacing w:after="120" w:line="276" w:lineRule="auto"/>
        <w:rPr>
          <w:rFonts w:cs="Arial"/>
          <w:bCs/>
        </w:rPr>
      </w:pPr>
      <w:r>
        <w:rPr>
          <w:rFonts w:cs="Arial"/>
          <w:bCs/>
        </w:rPr>
        <w:t xml:space="preserve">This second </w:t>
      </w:r>
      <w:r w:rsidR="00CA5B6E" w:rsidRPr="00BF761E">
        <w:rPr>
          <w:rFonts w:cs="Arial"/>
          <w:bCs/>
        </w:rPr>
        <w:t>repeals the Rule relating to “information to be given annually to the Council”,, which in effect, removes the obligation for the private health insurer to provide Council with a number of different pieces of information, within 3 months after the end of each financial year, or within such further time as the Council allows.  This amendment removes an obligation on private health insurers, and so does not materially affect the rights of any individual subject to the Rules.</w:t>
      </w:r>
    </w:p>
    <w:p w14:paraId="52A600BD" w14:textId="474EB180" w:rsidR="00CA5B6E" w:rsidRPr="00BF761E" w:rsidRDefault="00CA5B6E" w:rsidP="005657EC">
      <w:pPr>
        <w:spacing w:after="120"/>
        <w:rPr>
          <w:rFonts w:cs="Arial"/>
          <w:bCs/>
        </w:rPr>
      </w:pPr>
      <w:r w:rsidRPr="00BF761E">
        <w:rPr>
          <w:rFonts w:cs="Arial"/>
          <w:bCs/>
        </w:rPr>
        <w:lastRenderedPageBreak/>
        <w:t>The third item repeals the Rule relating to “certification requirements”, which in effect, removes the obligation for private health insurers to have accounts or statements due to Council under subsection 169-5(2) of the Act.</w:t>
      </w:r>
    </w:p>
    <w:p w14:paraId="7563E400" w14:textId="77777777" w:rsidR="00CA5B6E" w:rsidRDefault="00CA5B6E" w:rsidP="004B709C">
      <w:pPr>
        <w:spacing w:after="120"/>
        <w:rPr>
          <w:rFonts w:cs="Arial"/>
          <w:bCs/>
        </w:rPr>
      </w:pPr>
    </w:p>
    <w:p w14:paraId="2CAE3FB1" w14:textId="7A66A726" w:rsidR="004B709C" w:rsidRDefault="00CA5B6E" w:rsidP="004B709C">
      <w:pPr>
        <w:spacing w:after="120"/>
      </w:pPr>
      <w:r>
        <w:rPr>
          <w:rFonts w:cs="Arial"/>
          <w:bCs/>
        </w:rPr>
        <w:t>The fourth</w:t>
      </w:r>
      <w:r w:rsidR="00331F39">
        <w:rPr>
          <w:rFonts w:cs="Arial"/>
          <w:bCs/>
        </w:rPr>
        <w:t xml:space="preserve"> item provides that the Amendment Rule repeals and substitutes a new </w:t>
      </w:r>
      <w:r w:rsidR="00BF761E">
        <w:rPr>
          <w:rFonts w:cs="Arial"/>
          <w:bCs/>
        </w:rPr>
        <w:br/>
      </w:r>
      <w:r w:rsidR="00331F39">
        <w:t xml:space="preserve">subrule 7 (2) (c) of the </w:t>
      </w:r>
      <w:r w:rsidR="00331F39" w:rsidRPr="00C457D6">
        <w:rPr>
          <w:rFonts w:cs="Arial"/>
          <w:bCs/>
          <w:i/>
        </w:rPr>
        <w:t>Private Health Insurance (Insurer Obligations) Rule 2009</w:t>
      </w:r>
      <w:r w:rsidR="00331F39">
        <w:rPr>
          <w:rFonts w:cs="Arial"/>
          <w:bCs/>
          <w:i/>
        </w:rPr>
        <w:t xml:space="preserve">. </w:t>
      </w:r>
      <w:r w:rsidR="00331F39">
        <w:rPr>
          <w:rFonts w:cs="Arial"/>
          <w:bCs/>
        </w:rPr>
        <w:t xml:space="preserve">The new subrule </w:t>
      </w:r>
      <w:r w:rsidR="00331F39">
        <w:t xml:space="preserve">7 (2) (c) is a consequential amendment arising from the amendments to the </w:t>
      </w:r>
      <w:r w:rsidR="00331F39" w:rsidRPr="00CA4DFB">
        <w:rPr>
          <w:i/>
        </w:rPr>
        <w:t>Private Health Insurance (Health Benefits Fund Administration) Rules 2007</w:t>
      </w:r>
      <w:r w:rsidR="00331F39">
        <w:t xml:space="preserve"> by the </w:t>
      </w:r>
      <w:r w:rsidR="00331F39" w:rsidRPr="00CA4DFB">
        <w:rPr>
          <w:i/>
        </w:rPr>
        <w:t xml:space="preserve">Private Health Insurance (Health Benefits Fund Administration) </w:t>
      </w:r>
      <w:r w:rsidR="00331F39">
        <w:rPr>
          <w:i/>
        </w:rPr>
        <w:t xml:space="preserve">Amendment </w:t>
      </w:r>
      <w:r w:rsidR="00331F39" w:rsidRPr="00CA4DFB">
        <w:rPr>
          <w:i/>
        </w:rPr>
        <w:t xml:space="preserve">Rules </w:t>
      </w:r>
      <w:r w:rsidR="00331F39">
        <w:rPr>
          <w:i/>
        </w:rPr>
        <w:t>2013 (no. 1).</w:t>
      </w:r>
      <w:r w:rsidR="004B709C">
        <w:rPr>
          <w:i/>
        </w:rPr>
        <w:t xml:space="preserve">  </w:t>
      </w:r>
      <w:r w:rsidR="004B709C">
        <w:t>The effect of this amendment is to ensure that appointed actuaries and the private health insurers they work for apply the newly inserted “stress test” and notions of “reasonableness” in assessing their compliance under the capital adequacy standard.</w:t>
      </w:r>
    </w:p>
    <w:p w14:paraId="45771FA0" w14:textId="2500D9BF" w:rsidR="00331F39" w:rsidRDefault="00331F39" w:rsidP="00340D35">
      <w:pPr>
        <w:pStyle w:val="Header"/>
        <w:spacing w:after="120" w:line="276" w:lineRule="auto"/>
      </w:pPr>
    </w:p>
    <w:p w14:paraId="0D0C8ADF" w14:textId="5C2B58F7" w:rsidR="00331F39" w:rsidRDefault="00331F39" w:rsidP="00340D35">
      <w:pPr>
        <w:pStyle w:val="Header"/>
        <w:spacing w:after="120" w:line="276" w:lineRule="auto"/>
        <w:rPr>
          <w:rFonts w:cs="Arial"/>
          <w:b/>
          <w:bCs/>
          <w:u w:val="single"/>
        </w:rPr>
      </w:pPr>
      <w:r>
        <w:t xml:space="preserve">The new subrule 7 (2) (c) specifies a duty </w:t>
      </w:r>
      <w:r w:rsidR="002B333E">
        <w:t>of appointed actuaries and specifies</w:t>
      </w:r>
      <w:r>
        <w:t xml:space="preserve"> the duty to assess the </w:t>
      </w:r>
      <w:r w:rsidRPr="00832B2F">
        <w:t>reasonableness of the amount of uncertainty allowed for by the insurer in calculating the stress test amount in th</w:t>
      </w:r>
      <w:r>
        <w:t>e capital adequacy standard.</w:t>
      </w:r>
      <w:r w:rsidR="001D4375">
        <w:t xml:space="preserve">  It is important to note that this provision does not impose additional or strenuous obligations on those individuals holding the position of Appointed Actuary – rather, it focuses the conversation they will be having with the private health insurers they work with.  As such, this provision will not directly impact on the human rights Appointed Actuaries.</w:t>
      </w:r>
    </w:p>
    <w:p w14:paraId="6927DBFD" w14:textId="77777777" w:rsidR="002B333E" w:rsidRDefault="002B333E" w:rsidP="00340D35">
      <w:pPr>
        <w:spacing w:after="120"/>
        <w:rPr>
          <w:rFonts w:cs="Arial"/>
          <w:b/>
        </w:rPr>
      </w:pPr>
    </w:p>
    <w:p w14:paraId="687CBD3C" w14:textId="77777777" w:rsidR="00581902" w:rsidRPr="00E14569" w:rsidRDefault="00581902" w:rsidP="00340D35">
      <w:pPr>
        <w:spacing w:after="120"/>
        <w:rPr>
          <w:rFonts w:cs="Arial"/>
          <w:b/>
        </w:rPr>
      </w:pPr>
      <w:r w:rsidRPr="00E14569">
        <w:rPr>
          <w:rFonts w:cs="Arial"/>
          <w:b/>
        </w:rPr>
        <w:t>Human rights implications</w:t>
      </w:r>
    </w:p>
    <w:p w14:paraId="1474959E" w14:textId="05EB77A0" w:rsidR="00581902" w:rsidRPr="00995F77" w:rsidRDefault="00581902" w:rsidP="00340D35">
      <w:pPr>
        <w:spacing w:after="120"/>
        <w:rPr>
          <w:rFonts w:cs="Arial"/>
        </w:rPr>
      </w:pPr>
      <w:r w:rsidRPr="00995F77">
        <w:rPr>
          <w:rFonts w:cs="Arial"/>
        </w:rPr>
        <w:t xml:space="preserve">The </w:t>
      </w:r>
      <w:r w:rsidR="00BB3AEE">
        <w:rPr>
          <w:rFonts w:cs="Arial"/>
        </w:rPr>
        <w:t>appointed actuaries s</w:t>
      </w:r>
      <w:r w:rsidR="00CC14EC">
        <w:rPr>
          <w:rFonts w:cs="Arial"/>
        </w:rPr>
        <w:t>tandard</w:t>
      </w:r>
      <w:r w:rsidR="001B38A5">
        <w:rPr>
          <w:rFonts w:cs="Arial"/>
        </w:rPr>
        <w:t xml:space="preserve"> </w:t>
      </w:r>
      <w:r w:rsidRPr="00995F77">
        <w:rPr>
          <w:rFonts w:cs="Arial"/>
        </w:rPr>
        <w:t>place</w:t>
      </w:r>
      <w:r w:rsidR="00B415FB">
        <w:rPr>
          <w:rFonts w:cs="Arial"/>
        </w:rPr>
        <w:t>s</w:t>
      </w:r>
      <w:r w:rsidRPr="00995F77">
        <w:rPr>
          <w:rFonts w:cs="Arial"/>
        </w:rPr>
        <w:t xml:space="preserve"> restrictions and requirements on</w:t>
      </w:r>
      <w:r>
        <w:rPr>
          <w:rFonts w:cs="Arial"/>
        </w:rPr>
        <w:t xml:space="preserve"> private health</w:t>
      </w:r>
      <w:r w:rsidR="000062AE">
        <w:rPr>
          <w:rFonts w:cs="Arial"/>
        </w:rPr>
        <w:t xml:space="preserve"> insurance</w:t>
      </w:r>
      <w:r w:rsidRPr="00995F77">
        <w:rPr>
          <w:rFonts w:cs="Arial"/>
        </w:rPr>
        <w:t xml:space="preserve"> businesses</w:t>
      </w:r>
      <w:r>
        <w:rPr>
          <w:rFonts w:cs="Arial"/>
        </w:rPr>
        <w:t xml:space="preserve">.  All of these businesses are, subject to the registration provisions of the </w:t>
      </w:r>
      <w:r>
        <w:rPr>
          <w:rFonts w:cs="Arial"/>
          <w:i/>
        </w:rPr>
        <w:t xml:space="preserve">Private Health Insurance Act 2007 </w:t>
      </w:r>
      <w:r>
        <w:rPr>
          <w:rFonts w:cs="Arial"/>
        </w:rPr>
        <w:t>(Cth)</w:t>
      </w:r>
      <w:r w:rsidRPr="00995F77">
        <w:rPr>
          <w:rFonts w:cs="Arial"/>
        </w:rPr>
        <w:t>,</w:t>
      </w:r>
      <w:r>
        <w:rPr>
          <w:rStyle w:val="FootnoteReference"/>
          <w:rFonts w:cs="Arial"/>
        </w:rPr>
        <w:footnoteReference w:id="2"/>
      </w:r>
      <w:r w:rsidRPr="00995F77">
        <w:rPr>
          <w:rFonts w:cs="Arial"/>
        </w:rPr>
        <w:t xml:space="preserve"> </w:t>
      </w:r>
      <w:r>
        <w:rPr>
          <w:rFonts w:cs="Arial"/>
        </w:rPr>
        <w:t>companies or constitutional corporations.</w:t>
      </w:r>
      <w:r>
        <w:rPr>
          <w:rStyle w:val="FootnoteReference"/>
          <w:rFonts w:cs="Arial"/>
        </w:rPr>
        <w:footnoteReference w:id="3"/>
      </w:r>
      <w:r w:rsidRPr="00995F77">
        <w:rPr>
          <w:rFonts w:cs="Arial"/>
        </w:rPr>
        <w:t xml:space="preserve">  As human rights are </w:t>
      </w:r>
      <w:r>
        <w:rPr>
          <w:rFonts w:cs="Arial"/>
        </w:rPr>
        <w:t xml:space="preserve">inherent in </w:t>
      </w:r>
      <w:r w:rsidRPr="00995F77">
        <w:rPr>
          <w:rFonts w:cs="Arial"/>
        </w:rPr>
        <w:t xml:space="preserve">human beings, </w:t>
      </w:r>
      <w:r>
        <w:rPr>
          <w:rFonts w:cs="Arial"/>
        </w:rPr>
        <w:t xml:space="preserve">as opposed to corporate entities, </w:t>
      </w:r>
      <w:r w:rsidRPr="00995F77">
        <w:rPr>
          <w:rFonts w:cs="Arial"/>
        </w:rPr>
        <w:t xml:space="preserve">this part of the instrument </w:t>
      </w:r>
      <w:r>
        <w:rPr>
          <w:rFonts w:cs="Arial"/>
        </w:rPr>
        <w:t xml:space="preserve">will not directly engage </w:t>
      </w:r>
      <w:r w:rsidRPr="00995F77">
        <w:rPr>
          <w:rFonts w:cs="Arial"/>
        </w:rPr>
        <w:t xml:space="preserve">human rights. </w:t>
      </w:r>
    </w:p>
    <w:p w14:paraId="29CCB873" w14:textId="5ED4E945" w:rsidR="0076428A" w:rsidRDefault="00581902" w:rsidP="00340D35">
      <w:pPr>
        <w:spacing w:after="120"/>
        <w:rPr>
          <w:rFonts w:cs="Arial"/>
        </w:rPr>
      </w:pPr>
      <w:r>
        <w:rPr>
          <w:rFonts w:cs="Arial"/>
        </w:rPr>
        <w:t xml:space="preserve">The </w:t>
      </w:r>
      <w:r w:rsidR="00BB3AEE">
        <w:rPr>
          <w:rFonts w:cs="Arial"/>
        </w:rPr>
        <w:t>amendment to the standard</w:t>
      </w:r>
      <w:r>
        <w:rPr>
          <w:rFonts w:cs="Arial"/>
        </w:rPr>
        <w:t xml:space="preserve"> </w:t>
      </w:r>
      <w:r w:rsidR="00963C0A">
        <w:rPr>
          <w:rFonts w:cs="Arial"/>
        </w:rPr>
        <w:t>do</w:t>
      </w:r>
      <w:r w:rsidR="00BB3AEE">
        <w:rPr>
          <w:rFonts w:cs="Arial"/>
        </w:rPr>
        <w:t>es</w:t>
      </w:r>
      <w:r w:rsidR="002B333E">
        <w:rPr>
          <w:rFonts w:cs="Arial"/>
        </w:rPr>
        <w:t>,</w:t>
      </w:r>
      <w:r>
        <w:rPr>
          <w:rFonts w:cs="Arial"/>
        </w:rPr>
        <w:t xml:space="preserve"> however; indirectly promote the human rights of private health insurance consumers.</w:t>
      </w:r>
      <w:r w:rsidR="00B415FB">
        <w:rPr>
          <w:rFonts w:cs="Arial"/>
        </w:rPr>
        <w:t xml:space="preserve">  Paradoxically, assurance in relation to the prudential status of private health insurance promotes the use of the private health system and thus reduces the impact on the public system thereby allowing the public system to focus on servicing those in economic need or clinical need.  </w:t>
      </w:r>
    </w:p>
    <w:p w14:paraId="2DE6B53E" w14:textId="77777777" w:rsidR="00581902" w:rsidRPr="00F14FE0" w:rsidRDefault="00581902" w:rsidP="00340D35">
      <w:pPr>
        <w:spacing w:after="120"/>
        <w:rPr>
          <w:rFonts w:cs="Arial"/>
          <w:i/>
        </w:rPr>
      </w:pPr>
      <w:r>
        <w:rPr>
          <w:rFonts w:cs="Arial"/>
          <w:i/>
        </w:rPr>
        <w:t>Right to health</w:t>
      </w:r>
    </w:p>
    <w:p w14:paraId="5E7AD2D5" w14:textId="77777777" w:rsidR="00B415FB" w:rsidRPr="00A02A58" w:rsidRDefault="00B415FB" w:rsidP="00B415FB">
      <w:pPr>
        <w:autoSpaceDE w:val="0"/>
        <w:autoSpaceDN w:val="0"/>
        <w:adjustRightInd w:val="0"/>
        <w:spacing w:after="120"/>
        <w:rPr>
          <w:rFonts w:cs="Arial"/>
        </w:rPr>
      </w:pPr>
      <w:r>
        <w:rPr>
          <w:rFonts w:cs="Arial"/>
        </w:rPr>
        <w:t>T</w:t>
      </w:r>
      <w:r w:rsidRPr="00A02A58">
        <w:rPr>
          <w:rFonts w:cs="Arial"/>
        </w:rPr>
        <w:t xml:space="preserve">he right to health </w:t>
      </w:r>
      <w:r>
        <w:rPr>
          <w:rFonts w:cs="Arial"/>
        </w:rPr>
        <w:t>appears in a number of treaties under the definition of ‘human rights’ in the Human Rights (Parliamentary Scrutiny) Act, most notably</w:t>
      </w:r>
      <w:r w:rsidRPr="00A02A58">
        <w:rPr>
          <w:rFonts w:cs="Arial"/>
        </w:rPr>
        <w:t xml:space="preserve"> in Article 12 of the </w:t>
      </w:r>
      <w:r w:rsidRPr="009B594C">
        <w:rPr>
          <w:rFonts w:cs="Arial"/>
          <w:i/>
        </w:rPr>
        <w:t>International Covenant on Economic, Social and Cultural Rights</w:t>
      </w:r>
      <w:r>
        <w:rPr>
          <w:rFonts w:cs="Arial"/>
        </w:rPr>
        <w:t xml:space="preserve"> which protects </w:t>
      </w:r>
      <w:r w:rsidRPr="00A02A58">
        <w:rPr>
          <w:rFonts w:cs="Arial"/>
        </w:rPr>
        <w:t>“the right of everyone</w:t>
      </w:r>
      <w:r>
        <w:rPr>
          <w:rFonts w:cs="Arial"/>
        </w:rPr>
        <w:t xml:space="preserve"> </w:t>
      </w:r>
      <w:r w:rsidRPr="0016372B">
        <w:rPr>
          <w:rFonts w:cs="Arial"/>
        </w:rPr>
        <w:t>to the enjoyment of the highest attainable standard of physical and mental</w:t>
      </w:r>
      <w:r>
        <w:rPr>
          <w:rFonts w:cs="Arial"/>
        </w:rPr>
        <w:t xml:space="preserve"> </w:t>
      </w:r>
      <w:r w:rsidRPr="0016372B">
        <w:rPr>
          <w:rFonts w:cs="Arial"/>
        </w:rPr>
        <w:t>health</w:t>
      </w:r>
      <w:r>
        <w:rPr>
          <w:rFonts w:cs="Arial"/>
        </w:rPr>
        <w:t>”</w:t>
      </w:r>
      <w:r w:rsidRPr="0016372B">
        <w:rPr>
          <w:rFonts w:cs="Arial"/>
        </w:rPr>
        <w:t>.</w:t>
      </w:r>
      <w:r w:rsidRPr="0016372B">
        <w:rPr>
          <w:rStyle w:val="FootnoteReference"/>
        </w:rPr>
        <w:footnoteReference w:id="4"/>
      </w:r>
    </w:p>
    <w:p w14:paraId="20FE7818" w14:textId="31EE6784" w:rsidR="00581902" w:rsidRPr="00E14569" w:rsidRDefault="00581902" w:rsidP="00340D35">
      <w:pPr>
        <w:spacing w:after="120"/>
        <w:rPr>
          <w:rFonts w:cs="Arial"/>
        </w:rPr>
      </w:pPr>
      <w:r w:rsidRPr="00E14569">
        <w:rPr>
          <w:rFonts w:cs="Arial"/>
        </w:rPr>
        <w:lastRenderedPageBreak/>
        <w:t xml:space="preserve">By placing particular restrictions and obligations on insurers to ensure that they act with prudence in conducting business operations, PHIAC aims to protect the private health insurance industry and its consumers from </w:t>
      </w:r>
      <w:r>
        <w:rPr>
          <w:rFonts w:cs="Arial"/>
        </w:rPr>
        <w:t>potential financial and information losses.</w:t>
      </w:r>
    </w:p>
    <w:p w14:paraId="5D51EDB5" w14:textId="407A54B8" w:rsidR="00581902" w:rsidRDefault="00581902" w:rsidP="00340D35">
      <w:pPr>
        <w:spacing w:after="120"/>
        <w:rPr>
          <w:rFonts w:cs="Arial"/>
        </w:rPr>
      </w:pPr>
      <w:r w:rsidRPr="00E14569">
        <w:rPr>
          <w:rFonts w:cs="Arial"/>
        </w:rPr>
        <w:t xml:space="preserve">In providing </w:t>
      </w:r>
      <w:r>
        <w:rPr>
          <w:rFonts w:cs="Arial"/>
        </w:rPr>
        <w:t>this</w:t>
      </w:r>
      <w:r w:rsidRPr="00E14569">
        <w:rPr>
          <w:rFonts w:cs="Arial"/>
        </w:rPr>
        <w:t xml:space="preserve"> </w:t>
      </w:r>
      <w:r>
        <w:rPr>
          <w:rFonts w:cs="Arial"/>
        </w:rPr>
        <w:t>consumer protection in a strong and stable industry</w:t>
      </w:r>
      <w:r w:rsidRPr="00E14569">
        <w:rPr>
          <w:rFonts w:cs="Arial"/>
        </w:rPr>
        <w:t>,</w:t>
      </w:r>
      <w:r>
        <w:rPr>
          <w:rFonts w:cs="Arial"/>
        </w:rPr>
        <w:t xml:space="preserve"> the </w:t>
      </w:r>
      <w:r w:rsidR="00BB3AEE">
        <w:rPr>
          <w:rFonts w:cs="Arial"/>
        </w:rPr>
        <w:t>amended appointed actuaries s</w:t>
      </w:r>
      <w:r w:rsidR="00CC14EC">
        <w:rPr>
          <w:rFonts w:cs="Arial"/>
        </w:rPr>
        <w:t>tandard</w:t>
      </w:r>
      <w:r>
        <w:rPr>
          <w:rFonts w:cs="Arial"/>
        </w:rPr>
        <w:t xml:space="preserve"> will work to indirectly promote the right to health of private he</w:t>
      </w:r>
      <w:r w:rsidR="00BB3AEE">
        <w:rPr>
          <w:rFonts w:cs="Arial"/>
        </w:rPr>
        <w:t>alth insurance consumers.  The s</w:t>
      </w:r>
      <w:r>
        <w:rPr>
          <w:rFonts w:cs="Arial"/>
        </w:rPr>
        <w:t xml:space="preserve">tandard will do this by ensuring that the systems through which consumers of private health insurance access the Australian health system are financially sound and efficient. </w:t>
      </w:r>
    </w:p>
    <w:p w14:paraId="2B19336A" w14:textId="77777777" w:rsidR="00581902" w:rsidRDefault="00581902" w:rsidP="00340D35">
      <w:pPr>
        <w:spacing w:after="120"/>
        <w:rPr>
          <w:rFonts w:cs="Arial"/>
        </w:rPr>
      </w:pPr>
      <w:r>
        <w:rPr>
          <w:rFonts w:cs="Arial"/>
        </w:rPr>
        <w:t>The Office of the United Nations High Commissioner for Human Rights explains that some key freedoms and entitlements comprised in the right to health are:</w:t>
      </w:r>
    </w:p>
    <w:p w14:paraId="00D62A40" w14:textId="77777777" w:rsidR="00581902" w:rsidRPr="001B38A5" w:rsidRDefault="00581902" w:rsidP="00340D35">
      <w:pPr>
        <w:pStyle w:val="ListParagraph"/>
        <w:numPr>
          <w:ilvl w:val="0"/>
          <w:numId w:val="33"/>
        </w:numPr>
        <w:spacing w:after="120" w:line="276" w:lineRule="auto"/>
        <w:contextualSpacing w:val="0"/>
        <w:rPr>
          <w:rFonts w:ascii="Arial" w:hAnsi="Arial" w:cs="Arial"/>
          <w:sz w:val="22"/>
          <w:szCs w:val="22"/>
        </w:rPr>
      </w:pPr>
      <w:r w:rsidRPr="001B38A5">
        <w:rPr>
          <w:rFonts w:ascii="Arial" w:hAnsi="Arial" w:cs="Arial"/>
          <w:sz w:val="22"/>
          <w:szCs w:val="22"/>
        </w:rPr>
        <w:t>the right to a system of health protection providing equality of opportunity for everyone to enjoy the highest attainable level of health;</w:t>
      </w:r>
    </w:p>
    <w:p w14:paraId="331F8A54" w14:textId="77777777" w:rsidR="00581902" w:rsidRPr="001B38A5" w:rsidRDefault="00581902" w:rsidP="00340D35">
      <w:pPr>
        <w:pStyle w:val="ListParagraph"/>
        <w:numPr>
          <w:ilvl w:val="0"/>
          <w:numId w:val="33"/>
        </w:numPr>
        <w:spacing w:after="120" w:line="276" w:lineRule="auto"/>
        <w:contextualSpacing w:val="0"/>
        <w:rPr>
          <w:rFonts w:ascii="Arial" w:hAnsi="Arial" w:cs="Arial"/>
          <w:sz w:val="22"/>
          <w:szCs w:val="22"/>
        </w:rPr>
      </w:pPr>
      <w:r w:rsidRPr="001B38A5">
        <w:rPr>
          <w:rFonts w:ascii="Arial" w:hAnsi="Arial" w:cs="Arial"/>
          <w:sz w:val="22"/>
          <w:szCs w:val="22"/>
        </w:rPr>
        <w:t>access to essential medicines;</w:t>
      </w:r>
    </w:p>
    <w:p w14:paraId="5C0A9161" w14:textId="77777777" w:rsidR="00581902" w:rsidRPr="001B38A5" w:rsidRDefault="00581902" w:rsidP="00340D35">
      <w:pPr>
        <w:pStyle w:val="ListParagraph"/>
        <w:numPr>
          <w:ilvl w:val="0"/>
          <w:numId w:val="33"/>
        </w:numPr>
        <w:spacing w:after="120" w:line="276" w:lineRule="auto"/>
        <w:contextualSpacing w:val="0"/>
        <w:rPr>
          <w:rFonts w:ascii="Arial" w:hAnsi="Arial" w:cs="Arial"/>
          <w:sz w:val="22"/>
          <w:szCs w:val="22"/>
        </w:rPr>
      </w:pPr>
      <w:r w:rsidRPr="001B38A5">
        <w:rPr>
          <w:rFonts w:ascii="Arial" w:hAnsi="Arial" w:cs="Arial"/>
          <w:sz w:val="22"/>
          <w:szCs w:val="22"/>
        </w:rPr>
        <w:t>equal and timely access to basic health services;</w:t>
      </w:r>
    </w:p>
    <w:p w14:paraId="1C782BEA" w14:textId="77777777" w:rsidR="00581902" w:rsidRPr="001B38A5" w:rsidRDefault="00581902" w:rsidP="00340D35">
      <w:pPr>
        <w:pStyle w:val="ListParagraph"/>
        <w:numPr>
          <w:ilvl w:val="0"/>
          <w:numId w:val="33"/>
        </w:numPr>
        <w:spacing w:after="120" w:line="276" w:lineRule="auto"/>
        <w:contextualSpacing w:val="0"/>
        <w:rPr>
          <w:rFonts w:ascii="Arial" w:hAnsi="Arial" w:cs="Arial"/>
          <w:sz w:val="22"/>
          <w:szCs w:val="22"/>
        </w:rPr>
      </w:pPr>
      <w:r w:rsidRPr="001B38A5">
        <w:rPr>
          <w:rFonts w:ascii="Arial" w:hAnsi="Arial" w:cs="Arial"/>
          <w:sz w:val="22"/>
          <w:szCs w:val="22"/>
        </w:rPr>
        <w:t xml:space="preserve">the provision of health-related education and information; </w:t>
      </w:r>
    </w:p>
    <w:p w14:paraId="493980EE" w14:textId="77777777" w:rsidR="00581902" w:rsidRPr="001B38A5" w:rsidRDefault="00581902" w:rsidP="00340D35">
      <w:pPr>
        <w:pStyle w:val="ListParagraph"/>
        <w:numPr>
          <w:ilvl w:val="0"/>
          <w:numId w:val="33"/>
        </w:numPr>
        <w:spacing w:after="120" w:line="276" w:lineRule="auto"/>
        <w:contextualSpacing w:val="0"/>
        <w:rPr>
          <w:rFonts w:ascii="Arial" w:hAnsi="Arial" w:cs="Arial"/>
          <w:sz w:val="22"/>
          <w:szCs w:val="22"/>
        </w:rPr>
      </w:pPr>
      <w:r w:rsidRPr="001B38A5">
        <w:rPr>
          <w:rFonts w:ascii="Arial" w:hAnsi="Arial" w:cs="Arial"/>
          <w:sz w:val="22"/>
          <w:szCs w:val="22"/>
        </w:rPr>
        <w:t>participation of the population in health-related decision-making at the national and community levels; and</w:t>
      </w:r>
    </w:p>
    <w:p w14:paraId="3E140AE5" w14:textId="77777777" w:rsidR="00581902" w:rsidRPr="001B38A5" w:rsidRDefault="00581902" w:rsidP="00340D35">
      <w:pPr>
        <w:pStyle w:val="ListParagraph"/>
        <w:numPr>
          <w:ilvl w:val="0"/>
          <w:numId w:val="33"/>
        </w:numPr>
        <w:spacing w:after="120" w:line="276" w:lineRule="auto"/>
        <w:contextualSpacing w:val="0"/>
        <w:rPr>
          <w:rFonts w:ascii="Arial" w:hAnsi="Arial" w:cs="Arial"/>
          <w:sz w:val="22"/>
          <w:szCs w:val="22"/>
        </w:rPr>
      </w:pPr>
      <w:r w:rsidRPr="001B38A5">
        <w:rPr>
          <w:rFonts w:ascii="Arial" w:hAnsi="Arial" w:cs="Arial"/>
          <w:sz w:val="22"/>
          <w:szCs w:val="22"/>
        </w:rPr>
        <w:t>all health services, goods and facilities must be available, accessible, acceptable and of good quality.</w:t>
      </w:r>
      <w:r w:rsidRPr="001B38A5">
        <w:rPr>
          <w:rStyle w:val="FootnoteReference"/>
          <w:rFonts w:ascii="Arial" w:hAnsi="Arial" w:cs="Arial"/>
          <w:sz w:val="22"/>
          <w:szCs w:val="22"/>
        </w:rPr>
        <w:footnoteReference w:id="5"/>
      </w:r>
    </w:p>
    <w:p w14:paraId="79602CB5" w14:textId="33CB1A1F" w:rsidR="00581902" w:rsidRPr="00E14569" w:rsidRDefault="00581902" w:rsidP="00340D35">
      <w:pPr>
        <w:spacing w:after="120"/>
        <w:rPr>
          <w:rFonts w:cs="Arial"/>
        </w:rPr>
      </w:pPr>
      <w:r>
        <w:rPr>
          <w:rFonts w:cs="Arial"/>
        </w:rPr>
        <w:t xml:space="preserve">The </w:t>
      </w:r>
      <w:r w:rsidR="00BB3AEE">
        <w:rPr>
          <w:rFonts w:cs="Arial"/>
        </w:rPr>
        <w:t>appointed actuaries s</w:t>
      </w:r>
      <w:r w:rsidR="00CC14EC">
        <w:rPr>
          <w:rFonts w:cs="Arial"/>
        </w:rPr>
        <w:t>tandard</w:t>
      </w:r>
      <w:r>
        <w:rPr>
          <w:rFonts w:cs="Arial"/>
        </w:rPr>
        <w:t xml:space="preserve"> will promote these key aspects of the right to health by making sure private health insurers effectively manage the risks associated with their </w:t>
      </w:r>
      <w:r w:rsidR="009E0030">
        <w:rPr>
          <w:rFonts w:cs="Arial"/>
        </w:rPr>
        <w:t>capital arrangements</w:t>
      </w:r>
      <w:r>
        <w:rPr>
          <w:rFonts w:cs="Arial"/>
        </w:rPr>
        <w:t>.  In turn, this practice provides people who choose to access the health system with the assistance of a private health insurer, with financial protections.</w:t>
      </w:r>
    </w:p>
    <w:p w14:paraId="79A00AF2" w14:textId="77777777" w:rsidR="00581902" w:rsidRDefault="00581902" w:rsidP="006D1188">
      <w:pPr>
        <w:keepNext/>
        <w:spacing w:after="120"/>
        <w:rPr>
          <w:rFonts w:cs="Arial"/>
          <w:b/>
        </w:rPr>
      </w:pPr>
      <w:r w:rsidRPr="00E14569">
        <w:rPr>
          <w:rFonts w:cs="Arial"/>
          <w:b/>
        </w:rPr>
        <w:t xml:space="preserve">Conclusion </w:t>
      </w:r>
    </w:p>
    <w:p w14:paraId="0BD0D509" w14:textId="0D2E6F34" w:rsidR="00581902" w:rsidRPr="009E0030" w:rsidRDefault="00581902" w:rsidP="006D1188">
      <w:pPr>
        <w:keepNext/>
        <w:spacing w:after="120"/>
        <w:rPr>
          <w:rFonts w:cs="Arial"/>
        </w:rPr>
      </w:pPr>
      <w:r w:rsidRPr="00E14569">
        <w:rPr>
          <w:rFonts w:cs="Arial"/>
        </w:rPr>
        <w:t xml:space="preserve">The </w:t>
      </w:r>
      <w:r w:rsidRPr="00E14569">
        <w:rPr>
          <w:rFonts w:cs="Arial"/>
          <w:i/>
        </w:rPr>
        <w:t>Private Health Insurance (</w:t>
      </w:r>
      <w:r w:rsidR="00CC14EC">
        <w:rPr>
          <w:rFonts w:cs="Arial"/>
          <w:i/>
        </w:rPr>
        <w:t>Insurer Obligations) Amendment Rule 2013</w:t>
      </w:r>
      <w:r w:rsidR="009E0030">
        <w:rPr>
          <w:rFonts w:cs="Arial"/>
          <w:i/>
        </w:rPr>
        <w:t xml:space="preserve"> (No. 1</w:t>
      </w:r>
      <w:r w:rsidRPr="00E14569">
        <w:rPr>
          <w:rFonts w:cs="Arial"/>
          <w:i/>
        </w:rPr>
        <w:t xml:space="preserve">) </w:t>
      </w:r>
      <w:r w:rsidRPr="009E0030">
        <w:rPr>
          <w:rFonts w:cs="Arial"/>
        </w:rPr>
        <w:t>is compatible with human rights because:</w:t>
      </w:r>
    </w:p>
    <w:p w14:paraId="65897C21" w14:textId="77777777" w:rsidR="00581902" w:rsidRPr="009E0030" w:rsidRDefault="00581902" w:rsidP="00340D35">
      <w:pPr>
        <w:pStyle w:val="ListParagraph"/>
        <w:numPr>
          <w:ilvl w:val="0"/>
          <w:numId w:val="32"/>
        </w:numPr>
        <w:spacing w:after="120" w:line="276" w:lineRule="auto"/>
        <w:contextualSpacing w:val="0"/>
        <w:rPr>
          <w:rFonts w:ascii="Arial" w:hAnsi="Arial" w:cs="Arial"/>
          <w:color w:val="000000"/>
          <w:sz w:val="22"/>
          <w:szCs w:val="22"/>
        </w:rPr>
      </w:pPr>
      <w:r w:rsidRPr="009E0030">
        <w:rPr>
          <w:rFonts w:ascii="Arial" w:hAnsi="Arial" w:cs="Arial"/>
          <w:color w:val="000000"/>
          <w:sz w:val="22"/>
          <w:szCs w:val="22"/>
        </w:rPr>
        <w:t>it does not directly engage human rights, as it applies substantively only to companies and constitutional corporations; and</w:t>
      </w:r>
    </w:p>
    <w:p w14:paraId="666BF13A" w14:textId="6AB675AD" w:rsidR="00581902" w:rsidRPr="002B333E" w:rsidRDefault="002B333E" w:rsidP="00340D35">
      <w:pPr>
        <w:pStyle w:val="ListParagraph"/>
        <w:numPr>
          <w:ilvl w:val="0"/>
          <w:numId w:val="32"/>
        </w:numPr>
        <w:spacing w:after="120" w:line="276" w:lineRule="auto"/>
        <w:contextualSpacing w:val="0"/>
        <w:rPr>
          <w:rFonts w:ascii="Arial" w:hAnsi="Arial" w:cs="Arial"/>
          <w:color w:val="000000"/>
          <w:sz w:val="22"/>
          <w:szCs w:val="22"/>
        </w:rPr>
      </w:pPr>
      <w:r w:rsidRPr="002B333E">
        <w:rPr>
          <w:rFonts w:ascii="Arial" w:hAnsi="Arial" w:cs="Arial"/>
          <w:color w:val="000000"/>
          <w:sz w:val="22"/>
          <w:szCs w:val="22"/>
        </w:rPr>
        <w:t>where it indirectly engages with the human rights of consumers of private health insurance, it promotes these rights.</w:t>
      </w:r>
    </w:p>
    <w:sectPr w:rsidR="00581902" w:rsidRPr="002B333E" w:rsidSect="007F0E9F">
      <w:headerReference w:type="even" r:id="rId13"/>
      <w:headerReference w:type="default" r:id="rId14"/>
      <w:footerReference w:type="default" r:id="rId15"/>
      <w:pgSz w:w="11906" w:h="16838"/>
      <w:pgMar w:top="1304" w:right="1440" w:bottom="1304" w:left="1440"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7A300" w14:textId="77777777" w:rsidR="007A3D08" w:rsidRDefault="007A3D08" w:rsidP="00244418">
      <w:pPr>
        <w:spacing w:after="0" w:line="240" w:lineRule="auto"/>
      </w:pPr>
      <w:r>
        <w:separator/>
      </w:r>
    </w:p>
  </w:endnote>
  <w:endnote w:type="continuationSeparator" w:id="0">
    <w:p w14:paraId="5CA9234A" w14:textId="77777777" w:rsidR="007A3D08" w:rsidRDefault="007A3D08" w:rsidP="00244418">
      <w:pPr>
        <w:spacing w:after="0" w:line="240" w:lineRule="auto"/>
      </w:pPr>
      <w:r>
        <w:continuationSeparator/>
      </w:r>
    </w:p>
  </w:endnote>
  <w:endnote w:type="continuationNotice" w:id="1">
    <w:p w14:paraId="3FD2F6B6" w14:textId="77777777" w:rsidR="007A3D08" w:rsidRDefault="007A3D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Neue">
    <w:altName w:val="Helvetica Ne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047083"/>
      <w:docPartObj>
        <w:docPartGallery w:val="Page Numbers (Bottom of Page)"/>
        <w:docPartUnique/>
      </w:docPartObj>
    </w:sdtPr>
    <w:sdtEndPr>
      <w:rPr>
        <w:noProof/>
      </w:rPr>
    </w:sdtEndPr>
    <w:sdtContent>
      <w:p w14:paraId="70E9324A" w14:textId="22A1D8BF" w:rsidR="007A3D08" w:rsidRDefault="007A3D08">
        <w:pPr>
          <w:pStyle w:val="Footer"/>
        </w:pPr>
        <w:r>
          <w:fldChar w:fldCharType="begin"/>
        </w:r>
        <w:r>
          <w:instrText xml:space="preserve"> PAGE   \* MERGEFORMAT </w:instrText>
        </w:r>
        <w:r>
          <w:fldChar w:fldCharType="separate"/>
        </w:r>
        <w:r w:rsidR="00284344">
          <w:rPr>
            <w:noProof/>
          </w:rPr>
          <w:t>8</w:t>
        </w:r>
        <w:r>
          <w:rPr>
            <w:noProof/>
          </w:rPr>
          <w:fldChar w:fldCharType="end"/>
        </w:r>
      </w:p>
    </w:sdtContent>
  </w:sdt>
  <w:p w14:paraId="3AC3C00D" w14:textId="77777777" w:rsidR="007A3D08" w:rsidRDefault="007A3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A5A9A" w14:textId="77777777" w:rsidR="007A3D08" w:rsidRDefault="007A3D08" w:rsidP="00244418">
      <w:pPr>
        <w:spacing w:after="0" w:line="240" w:lineRule="auto"/>
      </w:pPr>
      <w:r>
        <w:separator/>
      </w:r>
    </w:p>
  </w:footnote>
  <w:footnote w:type="continuationSeparator" w:id="0">
    <w:p w14:paraId="6A819E2B" w14:textId="77777777" w:rsidR="007A3D08" w:rsidRDefault="007A3D08" w:rsidP="00244418">
      <w:pPr>
        <w:spacing w:after="0" w:line="240" w:lineRule="auto"/>
      </w:pPr>
      <w:r>
        <w:continuationSeparator/>
      </w:r>
    </w:p>
  </w:footnote>
  <w:footnote w:type="continuationNotice" w:id="1">
    <w:p w14:paraId="061D3A76" w14:textId="77777777" w:rsidR="007A3D08" w:rsidRDefault="007A3D08">
      <w:pPr>
        <w:spacing w:after="0" w:line="240" w:lineRule="auto"/>
      </w:pPr>
    </w:p>
  </w:footnote>
  <w:footnote w:id="2">
    <w:p w14:paraId="4C254ABA" w14:textId="77777777" w:rsidR="007A3D08" w:rsidRPr="00841D7C" w:rsidRDefault="007A3D08" w:rsidP="00581902">
      <w:pPr>
        <w:pStyle w:val="FootnoteText"/>
      </w:pPr>
      <w:r>
        <w:rPr>
          <w:rStyle w:val="FootnoteReference"/>
        </w:rPr>
        <w:footnoteRef/>
      </w:r>
      <w:r>
        <w:t xml:space="preserve"> S 126-10 </w:t>
      </w:r>
      <w:r>
        <w:rPr>
          <w:i/>
        </w:rPr>
        <w:t xml:space="preserve">Private Health Insurance Act 2007 </w:t>
      </w:r>
      <w:r>
        <w:t>(Cth).</w:t>
      </w:r>
    </w:p>
  </w:footnote>
  <w:footnote w:id="3">
    <w:p w14:paraId="4DB0AE37" w14:textId="77777777" w:rsidR="007A3D08" w:rsidRPr="00841D7C" w:rsidRDefault="007A3D08" w:rsidP="00581902">
      <w:pPr>
        <w:pStyle w:val="FootnoteText"/>
      </w:pPr>
      <w:r>
        <w:rPr>
          <w:rStyle w:val="FootnoteReference"/>
        </w:rPr>
        <w:footnoteRef/>
      </w:r>
      <w:r>
        <w:t xml:space="preserve"> As defined in the </w:t>
      </w:r>
      <w:r>
        <w:rPr>
          <w:i/>
        </w:rPr>
        <w:t>Private Health Insurance Act 2007</w:t>
      </w:r>
      <w:r>
        <w:t xml:space="preserve"> (Cth).</w:t>
      </w:r>
    </w:p>
  </w:footnote>
  <w:footnote w:id="4">
    <w:p w14:paraId="28F71391" w14:textId="77777777" w:rsidR="007A3D08" w:rsidRDefault="007A3D08" w:rsidP="00B415FB">
      <w:pPr>
        <w:pStyle w:val="FootnoteText"/>
      </w:pPr>
      <w:r>
        <w:rPr>
          <w:rStyle w:val="FootnoteReference"/>
        </w:rPr>
        <w:footnoteRef/>
      </w:r>
      <w:r>
        <w:t xml:space="preserve"> Article 12, International Covenant on Economic, Social and Cultural Rights, done at New York on 16 December 1966 ([1976] ATS 5).</w:t>
      </w:r>
    </w:p>
  </w:footnote>
  <w:footnote w:id="5">
    <w:p w14:paraId="579BE9DF" w14:textId="77777777" w:rsidR="007A3D08" w:rsidRPr="00A11200" w:rsidRDefault="007A3D08" w:rsidP="00581902">
      <w:pPr>
        <w:pStyle w:val="FootnoteText"/>
      </w:pPr>
      <w:r>
        <w:rPr>
          <w:rStyle w:val="FootnoteReference"/>
        </w:rPr>
        <w:footnoteRef/>
      </w:r>
      <w:r>
        <w:t xml:space="preserve"> Office of the United Nations High Commissioner for Human Rights and World Health Organisation, </w:t>
      </w:r>
      <w:r>
        <w:rPr>
          <w:i/>
        </w:rPr>
        <w:t>The Right To Health – Fact Sheet No. 31</w:t>
      </w:r>
      <w:r>
        <w:t xml:space="preserve">, </w:t>
      </w:r>
      <w:hyperlink r:id="rId1" w:history="1">
        <w:r w:rsidRPr="00EE291A">
          <w:rPr>
            <w:rStyle w:val="Hyperlink"/>
          </w:rPr>
          <w:t>http://www.ohchr.org/Documents/Publications/Factsheet31.pdf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D2695" w14:textId="77777777" w:rsidR="007A3D08" w:rsidRDefault="007A3D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1D2696" w14:textId="77777777" w:rsidR="007A3D08" w:rsidRDefault="007A3D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D2697" w14:textId="7477522A" w:rsidR="007A3D08" w:rsidRDefault="007A3D08">
    <w:pPr>
      <w:pStyle w:val="Header"/>
      <w:framePr w:wrap="around" w:vAnchor="text" w:hAnchor="margin" w:xAlign="center" w:y="1"/>
      <w:rPr>
        <w:rStyle w:val="PageNumber"/>
      </w:rPr>
    </w:pPr>
  </w:p>
  <w:p w14:paraId="4E1D2698" w14:textId="77777777" w:rsidR="007A3D08" w:rsidRDefault="007A3D08" w:rsidP="00712A5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D42"/>
    <w:multiLevelType w:val="hybridMultilevel"/>
    <w:tmpl w:val="B1E89720"/>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
    <w:nsid w:val="018F07DE"/>
    <w:multiLevelType w:val="hybridMultilevel"/>
    <w:tmpl w:val="3D66F678"/>
    <w:lvl w:ilvl="0" w:tplc="D1B83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A52379"/>
    <w:multiLevelType w:val="hybridMultilevel"/>
    <w:tmpl w:val="595205E6"/>
    <w:lvl w:ilvl="0" w:tplc="BCE427D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4AD1488"/>
    <w:multiLevelType w:val="hybridMultilevel"/>
    <w:tmpl w:val="EA8C7974"/>
    <w:lvl w:ilvl="0" w:tplc="88E4F3BA">
      <w:start w:val="1"/>
      <w:numFmt w:val="lowerLetter"/>
      <w:lvlText w:val="%1)"/>
      <w:lvlJc w:val="left"/>
      <w:pPr>
        <w:ind w:left="720" w:hanging="360"/>
      </w:pPr>
      <w:rPr>
        <w:rFonts w:ascii="Arial" w:hAnsi="Arial" w:cs="Aria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446B9F"/>
    <w:multiLevelType w:val="hybridMultilevel"/>
    <w:tmpl w:val="3806CB82"/>
    <w:lvl w:ilvl="0" w:tplc="9ED876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72116A"/>
    <w:multiLevelType w:val="hybridMultilevel"/>
    <w:tmpl w:val="86D2C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B7569C"/>
    <w:multiLevelType w:val="hybridMultilevel"/>
    <w:tmpl w:val="E81AB13E"/>
    <w:lvl w:ilvl="0" w:tplc="3806A8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31A0737"/>
    <w:multiLevelType w:val="hybridMultilevel"/>
    <w:tmpl w:val="3BD6ED00"/>
    <w:lvl w:ilvl="0" w:tplc="3BA0E9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5355B2"/>
    <w:multiLevelType w:val="hybridMultilevel"/>
    <w:tmpl w:val="F0020D6C"/>
    <w:lvl w:ilvl="0" w:tplc="3FE80126">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61C745A"/>
    <w:multiLevelType w:val="hybridMultilevel"/>
    <w:tmpl w:val="7C2876A8"/>
    <w:lvl w:ilvl="0" w:tplc="3BA0E9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7803E51"/>
    <w:multiLevelType w:val="hybridMultilevel"/>
    <w:tmpl w:val="FEF0C362"/>
    <w:lvl w:ilvl="0" w:tplc="82D6B88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8FB098C"/>
    <w:multiLevelType w:val="hybridMultilevel"/>
    <w:tmpl w:val="A800939C"/>
    <w:lvl w:ilvl="0" w:tplc="10B66C2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A9F7884"/>
    <w:multiLevelType w:val="multilevel"/>
    <w:tmpl w:val="1DFA5EF4"/>
    <w:lvl w:ilvl="0">
      <w:start w:val="1"/>
      <w:numFmt w:val="bullet"/>
      <w:pStyle w:val="points"/>
      <w:lvlText w:val=""/>
      <w:lvlJc w:val="left"/>
      <w:pPr>
        <w:ind w:left="360" w:hanging="360"/>
      </w:pPr>
      <w:rPr>
        <w:rFonts w:ascii="Symbol" w:hAnsi="Symbol" w:hint="default"/>
      </w:rPr>
    </w:lvl>
    <w:lvl w:ilvl="1">
      <w:start w:val="1"/>
      <w:numFmt w:val="lowerLetter"/>
      <w:lvlText w:val="%2. "/>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E375A57"/>
    <w:multiLevelType w:val="hybridMultilevel"/>
    <w:tmpl w:val="489A90A4"/>
    <w:lvl w:ilvl="0" w:tplc="3594E7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ECD684D"/>
    <w:multiLevelType w:val="hybridMultilevel"/>
    <w:tmpl w:val="F6F01DFA"/>
    <w:lvl w:ilvl="0" w:tplc="CC101DDC">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5">
    <w:nsid w:val="20046B4C"/>
    <w:multiLevelType w:val="hybridMultilevel"/>
    <w:tmpl w:val="E68C3966"/>
    <w:lvl w:ilvl="0" w:tplc="73CAB0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A0E2158"/>
    <w:multiLevelType w:val="hybridMultilevel"/>
    <w:tmpl w:val="26C6C2E6"/>
    <w:lvl w:ilvl="0" w:tplc="3BA0E9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AE548ED"/>
    <w:multiLevelType w:val="hybridMultilevel"/>
    <w:tmpl w:val="889E9222"/>
    <w:lvl w:ilvl="0" w:tplc="CB1C6EFE">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035191B"/>
    <w:multiLevelType w:val="hybridMultilevel"/>
    <w:tmpl w:val="168E845C"/>
    <w:lvl w:ilvl="0" w:tplc="95DA3C4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30B005E5"/>
    <w:multiLevelType w:val="hybridMultilevel"/>
    <w:tmpl w:val="3BD6ED00"/>
    <w:lvl w:ilvl="0" w:tplc="3BA0E9A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3A03DBD"/>
    <w:multiLevelType w:val="hybridMultilevel"/>
    <w:tmpl w:val="C9F8D626"/>
    <w:lvl w:ilvl="0" w:tplc="E0B2A5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6175325"/>
    <w:multiLevelType w:val="hybridMultilevel"/>
    <w:tmpl w:val="2D4E7430"/>
    <w:lvl w:ilvl="0" w:tplc="AF8C3C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E9642E2"/>
    <w:multiLevelType w:val="hybridMultilevel"/>
    <w:tmpl w:val="13864742"/>
    <w:lvl w:ilvl="0" w:tplc="8274068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3EE05D9E"/>
    <w:multiLevelType w:val="hybridMultilevel"/>
    <w:tmpl w:val="7332BB62"/>
    <w:lvl w:ilvl="0" w:tplc="4992C8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19B1ABA"/>
    <w:multiLevelType w:val="hybridMultilevel"/>
    <w:tmpl w:val="4962A630"/>
    <w:lvl w:ilvl="0" w:tplc="9634DEE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1C564FD"/>
    <w:multiLevelType w:val="hybridMultilevel"/>
    <w:tmpl w:val="4418C010"/>
    <w:lvl w:ilvl="0" w:tplc="802C9C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F292EB9"/>
    <w:multiLevelType w:val="hybridMultilevel"/>
    <w:tmpl w:val="B466405A"/>
    <w:lvl w:ilvl="0" w:tplc="58981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571A4271"/>
    <w:multiLevelType w:val="hybridMultilevel"/>
    <w:tmpl w:val="8D649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CF55E60"/>
    <w:multiLevelType w:val="hybridMultilevel"/>
    <w:tmpl w:val="D0F2859A"/>
    <w:lvl w:ilvl="0" w:tplc="F0C66B5C">
      <w:start w:val="1"/>
      <w:numFmt w:val="lowerLetter"/>
      <w:lvlText w:val="%1)"/>
      <w:lvlJc w:val="left"/>
      <w:pPr>
        <w:ind w:left="1800" w:hanging="360"/>
      </w:pPr>
      <w:rPr>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nsid w:val="5D5F4C2D"/>
    <w:multiLevelType w:val="hybridMultilevel"/>
    <w:tmpl w:val="595205E6"/>
    <w:lvl w:ilvl="0" w:tplc="BCE427D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5FF74069"/>
    <w:multiLevelType w:val="hybridMultilevel"/>
    <w:tmpl w:val="674A1790"/>
    <w:lvl w:ilvl="0" w:tplc="FE84D3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0A576BE"/>
    <w:multiLevelType w:val="hybridMultilevel"/>
    <w:tmpl w:val="7C2876A8"/>
    <w:lvl w:ilvl="0" w:tplc="3BA0E9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61A51CB"/>
    <w:multiLevelType w:val="hybridMultilevel"/>
    <w:tmpl w:val="EED8611A"/>
    <w:lvl w:ilvl="0" w:tplc="3BA0E9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4582FA6"/>
    <w:multiLevelType w:val="hybridMultilevel"/>
    <w:tmpl w:val="604CC670"/>
    <w:lvl w:ilvl="0" w:tplc="362206B8">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9224FC4"/>
    <w:multiLevelType w:val="hybridMultilevel"/>
    <w:tmpl w:val="CA442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ADA5439"/>
    <w:multiLevelType w:val="hybridMultilevel"/>
    <w:tmpl w:val="3BD6ED00"/>
    <w:lvl w:ilvl="0" w:tplc="3BA0E9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D015E5B"/>
    <w:multiLevelType w:val="hybridMultilevel"/>
    <w:tmpl w:val="6F06D5FA"/>
    <w:lvl w:ilvl="0" w:tplc="A4EEC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6217CF"/>
    <w:multiLevelType w:val="hybridMultilevel"/>
    <w:tmpl w:val="489A90A4"/>
    <w:lvl w:ilvl="0" w:tplc="3594E7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34"/>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8"/>
  </w:num>
  <w:num w:numId="6">
    <w:abstractNumId w:val="9"/>
  </w:num>
  <w:num w:numId="7">
    <w:abstractNumId w:val="15"/>
  </w:num>
  <w:num w:numId="8">
    <w:abstractNumId w:val="6"/>
  </w:num>
  <w:num w:numId="9">
    <w:abstractNumId w:val="36"/>
  </w:num>
  <w:num w:numId="10">
    <w:abstractNumId w:val="30"/>
  </w:num>
  <w:num w:numId="11">
    <w:abstractNumId w:val="25"/>
  </w:num>
  <w:num w:numId="12">
    <w:abstractNumId w:val="1"/>
  </w:num>
  <w:num w:numId="13">
    <w:abstractNumId w:val="4"/>
  </w:num>
  <w:num w:numId="14">
    <w:abstractNumId w:val="23"/>
  </w:num>
  <w:num w:numId="15">
    <w:abstractNumId w:val="31"/>
  </w:num>
  <w:num w:numId="16">
    <w:abstractNumId w:val="16"/>
  </w:num>
  <w:num w:numId="17">
    <w:abstractNumId w:val="32"/>
  </w:num>
  <w:num w:numId="18">
    <w:abstractNumId w:val="11"/>
  </w:num>
  <w:num w:numId="19">
    <w:abstractNumId w:val="7"/>
  </w:num>
  <w:num w:numId="20">
    <w:abstractNumId w:val="24"/>
  </w:num>
  <w:num w:numId="21">
    <w:abstractNumId w:val="14"/>
  </w:num>
  <w:num w:numId="22">
    <w:abstractNumId w:val="19"/>
  </w:num>
  <w:num w:numId="23">
    <w:abstractNumId w:val="35"/>
  </w:num>
  <w:num w:numId="24">
    <w:abstractNumId w:val="10"/>
  </w:num>
  <w:num w:numId="25">
    <w:abstractNumId w:val="20"/>
  </w:num>
  <w:num w:numId="26">
    <w:abstractNumId w:val="26"/>
  </w:num>
  <w:num w:numId="27">
    <w:abstractNumId w:val="22"/>
  </w:num>
  <w:num w:numId="28">
    <w:abstractNumId w:val="13"/>
  </w:num>
  <w:num w:numId="29">
    <w:abstractNumId w:val="37"/>
  </w:num>
  <w:num w:numId="30">
    <w:abstractNumId w:val="28"/>
  </w:num>
  <w:num w:numId="31">
    <w:abstractNumId w:val="5"/>
  </w:num>
  <w:num w:numId="32">
    <w:abstractNumId w:val="3"/>
  </w:num>
  <w:num w:numId="33">
    <w:abstractNumId w:val="0"/>
  </w:num>
  <w:num w:numId="34">
    <w:abstractNumId w:val="27"/>
  </w:num>
  <w:num w:numId="35">
    <w:abstractNumId w:val="17"/>
  </w:num>
  <w:num w:numId="36">
    <w:abstractNumId w:val="33"/>
  </w:num>
  <w:num w:numId="37">
    <w:abstractNumId w:val="29"/>
  </w:num>
  <w:num w:numId="3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418"/>
    <w:rsid w:val="000062AE"/>
    <w:rsid w:val="0002059C"/>
    <w:rsid w:val="00020B7D"/>
    <w:rsid w:val="00024627"/>
    <w:rsid w:val="000370D3"/>
    <w:rsid w:val="00043AE1"/>
    <w:rsid w:val="00066688"/>
    <w:rsid w:val="00097A62"/>
    <w:rsid w:val="000B48FD"/>
    <w:rsid w:val="000F635E"/>
    <w:rsid w:val="001025EB"/>
    <w:rsid w:val="001144F6"/>
    <w:rsid w:val="0016416E"/>
    <w:rsid w:val="00164AD3"/>
    <w:rsid w:val="0016671A"/>
    <w:rsid w:val="00183B8E"/>
    <w:rsid w:val="0019178B"/>
    <w:rsid w:val="001A62A5"/>
    <w:rsid w:val="001B1902"/>
    <w:rsid w:val="001B38A5"/>
    <w:rsid w:val="001B6B5A"/>
    <w:rsid w:val="001D01CA"/>
    <w:rsid w:val="001D4375"/>
    <w:rsid w:val="001D7202"/>
    <w:rsid w:val="001F3DFB"/>
    <w:rsid w:val="00222244"/>
    <w:rsid w:val="00244418"/>
    <w:rsid w:val="00262873"/>
    <w:rsid w:val="00264971"/>
    <w:rsid w:val="00284344"/>
    <w:rsid w:val="002868BC"/>
    <w:rsid w:val="002B333E"/>
    <w:rsid w:val="0030798D"/>
    <w:rsid w:val="003132D9"/>
    <w:rsid w:val="003278BB"/>
    <w:rsid w:val="003303EF"/>
    <w:rsid w:val="00331F39"/>
    <w:rsid w:val="00340D35"/>
    <w:rsid w:val="00343826"/>
    <w:rsid w:val="00344306"/>
    <w:rsid w:val="0034647F"/>
    <w:rsid w:val="00352878"/>
    <w:rsid w:val="003608E2"/>
    <w:rsid w:val="00364F67"/>
    <w:rsid w:val="0036536A"/>
    <w:rsid w:val="003659ED"/>
    <w:rsid w:val="00367647"/>
    <w:rsid w:val="003A324A"/>
    <w:rsid w:val="003C23A9"/>
    <w:rsid w:val="003C4815"/>
    <w:rsid w:val="003C68DD"/>
    <w:rsid w:val="003D3158"/>
    <w:rsid w:val="003D4602"/>
    <w:rsid w:val="003D4E2F"/>
    <w:rsid w:val="003E1117"/>
    <w:rsid w:val="003F2D11"/>
    <w:rsid w:val="004152F2"/>
    <w:rsid w:val="00420AFB"/>
    <w:rsid w:val="00441C19"/>
    <w:rsid w:val="004542B1"/>
    <w:rsid w:val="00460533"/>
    <w:rsid w:val="004660C0"/>
    <w:rsid w:val="00476AF4"/>
    <w:rsid w:val="00481F3B"/>
    <w:rsid w:val="004B66B3"/>
    <w:rsid w:val="004B6E09"/>
    <w:rsid w:val="004B709C"/>
    <w:rsid w:val="004F6D86"/>
    <w:rsid w:val="0051284F"/>
    <w:rsid w:val="005518F5"/>
    <w:rsid w:val="005657EC"/>
    <w:rsid w:val="00581902"/>
    <w:rsid w:val="005A4458"/>
    <w:rsid w:val="005A7B9E"/>
    <w:rsid w:val="005E2782"/>
    <w:rsid w:val="005E5C0A"/>
    <w:rsid w:val="005F23DF"/>
    <w:rsid w:val="005F27E9"/>
    <w:rsid w:val="005F4340"/>
    <w:rsid w:val="005F6098"/>
    <w:rsid w:val="005F63D6"/>
    <w:rsid w:val="005F6A31"/>
    <w:rsid w:val="006012DD"/>
    <w:rsid w:val="006069E7"/>
    <w:rsid w:val="00622F70"/>
    <w:rsid w:val="006354C0"/>
    <w:rsid w:val="00655010"/>
    <w:rsid w:val="00660BB0"/>
    <w:rsid w:val="00671D1E"/>
    <w:rsid w:val="00680913"/>
    <w:rsid w:val="006B71AC"/>
    <w:rsid w:val="006C4901"/>
    <w:rsid w:val="006D07F7"/>
    <w:rsid w:val="006D1188"/>
    <w:rsid w:val="006F1960"/>
    <w:rsid w:val="006F510E"/>
    <w:rsid w:val="007127AA"/>
    <w:rsid w:val="00712A5D"/>
    <w:rsid w:val="007167DF"/>
    <w:rsid w:val="0072202D"/>
    <w:rsid w:val="00722773"/>
    <w:rsid w:val="0073102F"/>
    <w:rsid w:val="007373ED"/>
    <w:rsid w:val="0074546D"/>
    <w:rsid w:val="00760A9C"/>
    <w:rsid w:val="0076428A"/>
    <w:rsid w:val="00765430"/>
    <w:rsid w:val="0077409C"/>
    <w:rsid w:val="007A3D08"/>
    <w:rsid w:val="007F0E9F"/>
    <w:rsid w:val="008027D1"/>
    <w:rsid w:val="00805AA5"/>
    <w:rsid w:val="00821095"/>
    <w:rsid w:val="00821E60"/>
    <w:rsid w:val="0083369A"/>
    <w:rsid w:val="0087108C"/>
    <w:rsid w:val="00885D33"/>
    <w:rsid w:val="00897BB7"/>
    <w:rsid w:val="008A2904"/>
    <w:rsid w:val="008B0167"/>
    <w:rsid w:val="008B2DDE"/>
    <w:rsid w:val="008B3F6D"/>
    <w:rsid w:val="008B4EC2"/>
    <w:rsid w:val="008D1E73"/>
    <w:rsid w:val="008E0AA9"/>
    <w:rsid w:val="008E1A90"/>
    <w:rsid w:val="0090172D"/>
    <w:rsid w:val="009018E9"/>
    <w:rsid w:val="009209C7"/>
    <w:rsid w:val="0092152E"/>
    <w:rsid w:val="00933098"/>
    <w:rsid w:val="009418D8"/>
    <w:rsid w:val="0094612F"/>
    <w:rsid w:val="00963C0A"/>
    <w:rsid w:val="00972003"/>
    <w:rsid w:val="009778B6"/>
    <w:rsid w:val="00980C08"/>
    <w:rsid w:val="00985C6F"/>
    <w:rsid w:val="00991412"/>
    <w:rsid w:val="009A5D65"/>
    <w:rsid w:val="009C1CDB"/>
    <w:rsid w:val="009D4AC0"/>
    <w:rsid w:val="009D7041"/>
    <w:rsid w:val="009E0030"/>
    <w:rsid w:val="009F3737"/>
    <w:rsid w:val="009F5452"/>
    <w:rsid w:val="00A05DD5"/>
    <w:rsid w:val="00A34BF8"/>
    <w:rsid w:val="00A44CE1"/>
    <w:rsid w:val="00A51235"/>
    <w:rsid w:val="00A62533"/>
    <w:rsid w:val="00AC3C5E"/>
    <w:rsid w:val="00AD7092"/>
    <w:rsid w:val="00AE06DF"/>
    <w:rsid w:val="00AF58DD"/>
    <w:rsid w:val="00B17AC3"/>
    <w:rsid w:val="00B20FE6"/>
    <w:rsid w:val="00B31E9D"/>
    <w:rsid w:val="00B378B0"/>
    <w:rsid w:val="00B415FB"/>
    <w:rsid w:val="00B419EC"/>
    <w:rsid w:val="00B615B1"/>
    <w:rsid w:val="00B61F03"/>
    <w:rsid w:val="00B70E9B"/>
    <w:rsid w:val="00B90FFD"/>
    <w:rsid w:val="00B92169"/>
    <w:rsid w:val="00BA031E"/>
    <w:rsid w:val="00BA5235"/>
    <w:rsid w:val="00BB0045"/>
    <w:rsid w:val="00BB3AEE"/>
    <w:rsid w:val="00BC32D1"/>
    <w:rsid w:val="00BE1579"/>
    <w:rsid w:val="00BF761E"/>
    <w:rsid w:val="00C22544"/>
    <w:rsid w:val="00C245E3"/>
    <w:rsid w:val="00C248EB"/>
    <w:rsid w:val="00C4576C"/>
    <w:rsid w:val="00C457D6"/>
    <w:rsid w:val="00C64513"/>
    <w:rsid w:val="00C858EE"/>
    <w:rsid w:val="00C90E63"/>
    <w:rsid w:val="00CA4DFB"/>
    <w:rsid w:val="00CA5B6E"/>
    <w:rsid w:val="00CA6352"/>
    <w:rsid w:val="00CB638F"/>
    <w:rsid w:val="00CC14EC"/>
    <w:rsid w:val="00CE50A3"/>
    <w:rsid w:val="00CF3F84"/>
    <w:rsid w:val="00D036BE"/>
    <w:rsid w:val="00D10EE0"/>
    <w:rsid w:val="00D50D92"/>
    <w:rsid w:val="00DB0EA6"/>
    <w:rsid w:val="00DB4B90"/>
    <w:rsid w:val="00DC1423"/>
    <w:rsid w:val="00DC59C9"/>
    <w:rsid w:val="00DD0A88"/>
    <w:rsid w:val="00DE62AF"/>
    <w:rsid w:val="00DF65E0"/>
    <w:rsid w:val="00E017B0"/>
    <w:rsid w:val="00E0252A"/>
    <w:rsid w:val="00E11E68"/>
    <w:rsid w:val="00E2059E"/>
    <w:rsid w:val="00E30D00"/>
    <w:rsid w:val="00E86338"/>
    <w:rsid w:val="00E97F3D"/>
    <w:rsid w:val="00EA390B"/>
    <w:rsid w:val="00EB5498"/>
    <w:rsid w:val="00ED371A"/>
    <w:rsid w:val="00F20547"/>
    <w:rsid w:val="00F270CA"/>
    <w:rsid w:val="00F3311B"/>
    <w:rsid w:val="00F53EB8"/>
    <w:rsid w:val="00F6128A"/>
    <w:rsid w:val="00F827E9"/>
    <w:rsid w:val="00FA42AD"/>
    <w:rsid w:val="00FC01A4"/>
    <w:rsid w:val="00FE4D61"/>
    <w:rsid w:val="00FF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D00"/>
    <w:rPr>
      <w:rFonts w:ascii="Arial" w:hAnsi="Arial"/>
    </w:rPr>
  </w:style>
  <w:style w:type="paragraph" w:styleId="Heading1">
    <w:name w:val="heading 1"/>
    <w:basedOn w:val="Normal"/>
    <w:next w:val="Normal"/>
    <w:link w:val="Heading1Char"/>
    <w:autoRedefine/>
    <w:qFormat/>
    <w:rsid w:val="00264971"/>
    <w:pPr>
      <w:keepNext/>
      <w:pBdr>
        <w:bottom w:val="single" w:sz="4" w:space="1" w:color="C3C800"/>
      </w:pBdr>
      <w:tabs>
        <w:tab w:val="left" w:pos="567"/>
      </w:tabs>
      <w:spacing w:before="120" w:after="240" w:line="360" w:lineRule="auto"/>
      <w:jc w:val="both"/>
      <w:outlineLvl w:val="0"/>
    </w:pPr>
    <w:rPr>
      <w:rFonts w:eastAsia="Times" w:cs="Arial"/>
      <w:smallCaps/>
      <w:color w:val="594A32"/>
      <w:kern w:val="72"/>
      <w:sz w:val="28"/>
      <w:szCs w:val="28"/>
    </w:rPr>
  </w:style>
  <w:style w:type="paragraph" w:styleId="Heading2">
    <w:name w:val="heading 2"/>
    <w:basedOn w:val="Normal"/>
    <w:next w:val="Normal"/>
    <w:link w:val="Heading2Char"/>
    <w:unhideWhenUsed/>
    <w:qFormat/>
    <w:rsid w:val="00043AE1"/>
    <w:pPr>
      <w:keepNext/>
      <w:keepLines/>
      <w:spacing w:before="200" w:after="0"/>
      <w:outlineLvl w:val="1"/>
    </w:pPr>
    <w:rPr>
      <w:rFonts w:eastAsiaTheme="majorEastAsia" w:cstheme="majorBidi"/>
      <w:bCs/>
      <w:smallCaps/>
      <w:color w:val="594A32"/>
      <w:sz w:val="26"/>
      <w:szCs w:val="26"/>
    </w:rPr>
  </w:style>
  <w:style w:type="paragraph" w:styleId="Heading3">
    <w:name w:val="heading 3"/>
    <w:basedOn w:val="Normal"/>
    <w:next w:val="Normal"/>
    <w:link w:val="Heading3Char"/>
    <w:unhideWhenUsed/>
    <w:qFormat/>
    <w:rsid w:val="00043AE1"/>
    <w:pPr>
      <w:keepNext/>
      <w:keepLines/>
      <w:spacing w:before="200" w:after="0"/>
      <w:outlineLvl w:val="2"/>
    </w:pPr>
    <w:rPr>
      <w:rFonts w:eastAsiaTheme="majorEastAsia" w:cstheme="majorBidi"/>
      <w:bCs/>
      <w:i/>
      <w:color w:val="C3C800"/>
    </w:rPr>
  </w:style>
  <w:style w:type="paragraph" w:styleId="Heading6">
    <w:name w:val="heading 6"/>
    <w:basedOn w:val="Normal"/>
    <w:next w:val="Normal"/>
    <w:link w:val="Heading6Char"/>
    <w:unhideWhenUsed/>
    <w:qFormat/>
    <w:rsid w:val="004152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4546D"/>
  </w:style>
  <w:style w:type="character" w:customStyle="1" w:styleId="Style1Char">
    <w:name w:val="Style1 Char"/>
    <w:basedOn w:val="DefaultParagraphFont"/>
    <w:link w:val="Style1"/>
    <w:rsid w:val="0074546D"/>
    <w:rPr>
      <w:rFonts w:ascii="Arial" w:hAnsi="Arial"/>
    </w:rPr>
  </w:style>
  <w:style w:type="character" w:customStyle="1" w:styleId="Heading1Char">
    <w:name w:val="Heading 1 Char"/>
    <w:basedOn w:val="DefaultParagraphFont"/>
    <w:link w:val="Heading1"/>
    <w:rsid w:val="00264971"/>
    <w:rPr>
      <w:rFonts w:ascii="Arial" w:eastAsia="Times" w:hAnsi="Arial" w:cs="Arial"/>
      <w:smallCaps/>
      <w:color w:val="594A32"/>
      <w:kern w:val="72"/>
      <w:sz w:val="28"/>
      <w:szCs w:val="28"/>
    </w:rPr>
  </w:style>
  <w:style w:type="character" w:customStyle="1" w:styleId="Heading2Char">
    <w:name w:val="Heading 2 Char"/>
    <w:basedOn w:val="DefaultParagraphFont"/>
    <w:link w:val="Heading2"/>
    <w:rsid w:val="00043AE1"/>
    <w:rPr>
      <w:rFonts w:ascii="Arial" w:eastAsiaTheme="majorEastAsia" w:hAnsi="Arial" w:cstheme="majorBidi"/>
      <w:bCs/>
      <w:smallCaps/>
      <w:color w:val="594A32"/>
      <w:sz w:val="26"/>
      <w:szCs w:val="26"/>
    </w:rPr>
  </w:style>
  <w:style w:type="character" w:customStyle="1" w:styleId="Heading3Char">
    <w:name w:val="Heading 3 Char"/>
    <w:basedOn w:val="DefaultParagraphFont"/>
    <w:link w:val="Heading3"/>
    <w:rsid w:val="00043AE1"/>
    <w:rPr>
      <w:rFonts w:ascii="Arial" w:eastAsiaTheme="majorEastAsia" w:hAnsi="Arial" w:cstheme="majorBidi"/>
      <w:bCs/>
      <w:i/>
      <w:color w:val="C3C800"/>
    </w:rPr>
  </w:style>
  <w:style w:type="paragraph" w:styleId="Footer">
    <w:name w:val="footer"/>
    <w:basedOn w:val="Normal"/>
    <w:link w:val="FooterChar"/>
    <w:uiPriority w:val="99"/>
    <w:unhideWhenUsed/>
    <w:rsid w:val="00244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418"/>
    <w:rPr>
      <w:rFonts w:ascii="Arial" w:hAnsi="Arial"/>
    </w:rPr>
  </w:style>
  <w:style w:type="paragraph" w:styleId="Header">
    <w:name w:val="header"/>
    <w:basedOn w:val="Normal"/>
    <w:link w:val="HeaderChar"/>
    <w:uiPriority w:val="99"/>
    <w:unhideWhenUsed/>
    <w:rsid w:val="00244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418"/>
    <w:rPr>
      <w:rFonts w:ascii="Arial" w:hAnsi="Arial"/>
    </w:rPr>
  </w:style>
  <w:style w:type="character" w:styleId="PlaceholderText">
    <w:name w:val="Placeholder Text"/>
    <w:basedOn w:val="DefaultParagraphFont"/>
    <w:uiPriority w:val="99"/>
    <w:semiHidden/>
    <w:rsid w:val="00680913"/>
    <w:rPr>
      <w:color w:val="808080"/>
    </w:rPr>
  </w:style>
  <w:style w:type="paragraph" w:styleId="BalloonText">
    <w:name w:val="Balloon Text"/>
    <w:basedOn w:val="Normal"/>
    <w:link w:val="BalloonTextChar"/>
    <w:semiHidden/>
    <w:unhideWhenUsed/>
    <w:rsid w:val="00680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80913"/>
    <w:rPr>
      <w:rFonts w:ascii="Tahoma" w:hAnsi="Tahoma" w:cs="Tahoma"/>
      <w:sz w:val="16"/>
      <w:szCs w:val="16"/>
    </w:rPr>
  </w:style>
  <w:style w:type="table" w:styleId="TableGrid">
    <w:name w:val="Table Grid"/>
    <w:basedOn w:val="TableNormal"/>
    <w:rsid w:val="000370D3"/>
    <w:pPr>
      <w:spacing w:after="0" w:line="240" w:lineRule="auto"/>
    </w:pPr>
    <w:rPr>
      <w:rFonts w:ascii="Times New Roman" w:eastAsia="MS Mincho"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4152F2"/>
    <w:rPr>
      <w:rFonts w:asciiTheme="majorHAnsi" w:eastAsiaTheme="majorEastAsia" w:hAnsiTheme="majorHAnsi" w:cstheme="majorBidi"/>
      <w:i/>
      <w:iCs/>
      <w:color w:val="243F60" w:themeColor="accent1" w:themeShade="7F"/>
    </w:rPr>
  </w:style>
  <w:style w:type="paragraph" w:styleId="Title">
    <w:name w:val="Title"/>
    <w:basedOn w:val="Normal"/>
    <w:link w:val="TitleChar"/>
    <w:qFormat/>
    <w:rsid w:val="004152F2"/>
    <w:pPr>
      <w:spacing w:after="0" w:line="240" w:lineRule="auto"/>
      <w:jc w:val="center"/>
    </w:pPr>
    <w:rPr>
      <w:rFonts w:ascii="Times New Roman" w:eastAsia="Times New Roman" w:hAnsi="Times New Roman" w:cs="Times New Roman"/>
      <w:b/>
      <w:sz w:val="24"/>
      <w:szCs w:val="20"/>
      <w:u w:val="single"/>
      <w:lang w:eastAsia="en-AU"/>
    </w:rPr>
  </w:style>
  <w:style w:type="character" w:customStyle="1" w:styleId="TitleChar">
    <w:name w:val="Title Char"/>
    <w:basedOn w:val="DefaultParagraphFont"/>
    <w:link w:val="Title"/>
    <w:rsid w:val="004152F2"/>
    <w:rPr>
      <w:rFonts w:ascii="Times New Roman" w:eastAsia="Times New Roman" w:hAnsi="Times New Roman" w:cs="Times New Roman"/>
      <w:b/>
      <w:sz w:val="24"/>
      <w:szCs w:val="20"/>
      <w:u w:val="single"/>
      <w:lang w:eastAsia="en-AU"/>
    </w:rPr>
  </w:style>
  <w:style w:type="paragraph" w:styleId="Subtitle">
    <w:name w:val="Subtitle"/>
    <w:basedOn w:val="Normal"/>
    <w:link w:val="SubtitleChar"/>
    <w:uiPriority w:val="11"/>
    <w:qFormat/>
    <w:rsid w:val="004152F2"/>
    <w:pPr>
      <w:spacing w:after="0" w:line="240" w:lineRule="auto"/>
    </w:pPr>
    <w:rPr>
      <w:rFonts w:ascii="Times New Roman" w:eastAsia="Times New Roman" w:hAnsi="Times New Roman" w:cs="Times New Roman"/>
      <w:sz w:val="24"/>
      <w:szCs w:val="20"/>
      <w:u w:val="single"/>
      <w:lang w:eastAsia="en-AU"/>
    </w:rPr>
  </w:style>
  <w:style w:type="character" w:customStyle="1" w:styleId="SubtitleChar">
    <w:name w:val="Subtitle Char"/>
    <w:basedOn w:val="DefaultParagraphFont"/>
    <w:link w:val="Subtitle"/>
    <w:uiPriority w:val="11"/>
    <w:rsid w:val="004152F2"/>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4152F2"/>
    <w:pPr>
      <w:spacing w:after="0" w:line="240" w:lineRule="auto"/>
    </w:pPr>
    <w:rPr>
      <w:rFonts w:ascii="Times New Roman" w:eastAsia="Times New Roman" w:hAnsi="Times New Roman" w:cs="Times New Roman"/>
      <w:b/>
      <w:sz w:val="24"/>
      <w:szCs w:val="20"/>
      <w:lang w:eastAsia="en-AU"/>
    </w:rPr>
  </w:style>
  <w:style w:type="character" w:customStyle="1" w:styleId="BodyTextChar">
    <w:name w:val="Body Text Char"/>
    <w:basedOn w:val="DefaultParagraphFont"/>
    <w:link w:val="BodyText"/>
    <w:rsid w:val="004152F2"/>
    <w:rPr>
      <w:rFonts w:ascii="Times New Roman" w:eastAsia="Times New Roman" w:hAnsi="Times New Roman" w:cs="Times New Roman"/>
      <w:b/>
      <w:sz w:val="24"/>
      <w:szCs w:val="20"/>
      <w:lang w:eastAsia="en-AU"/>
    </w:rPr>
  </w:style>
  <w:style w:type="paragraph" w:styleId="BodyText2">
    <w:name w:val="Body Text 2"/>
    <w:basedOn w:val="Normal"/>
    <w:link w:val="BodyText2Char"/>
    <w:rsid w:val="004152F2"/>
    <w:pPr>
      <w:spacing w:after="0" w:line="240" w:lineRule="auto"/>
    </w:pPr>
    <w:rPr>
      <w:rFonts w:ascii="Times New Roman" w:eastAsia="Times New Roman" w:hAnsi="Times New Roman" w:cs="Times New Roman"/>
      <w:snapToGrid w:val="0"/>
      <w:color w:val="000000"/>
      <w:sz w:val="24"/>
      <w:szCs w:val="20"/>
    </w:rPr>
  </w:style>
  <w:style w:type="character" w:customStyle="1" w:styleId="BodyText2Char">
    <w:name w:val="Body Text 2 Char"/>
    <w:basedOn w:val="DefaultParagraphFont"/>
    <w:link w:val="BodyText2"/>
    <w:rsid w:val="004152F2"/>
    <w:rPr>
      <w:rFonts w:ascii="Times New Roman" w:eastAsia="Times New Roman" w:hAnsi="Times New Roman" w:cs="Times New Roman"/>
      <w:snapToGrid w:val="0"/>
      <w:color w:val="000000"/>
      <w:sz w:val="24"/>
      <w:szCs w:val="20"/>
    </w:rPr>
  </w:style>
  <w:style w:type="character" w:styleId="PageNumber">
    <w:name w:val="page number"/>
    <w:basedOn w:val="DefaultParagraphFont"/>
    <w:rsid w:val="004152F2"/>
  </w:style>
  <w:style w:type="paragraph" w:styleId="NormalWeb">
    <w:name w:val="Normal (Web)"/>
    <w:basedOn w:val="Normal"/>
    <w:rsid w:val="004152F2"/>
    <w:pPr>
      <w:spacing w:before="100" w:beforeAutospacing="1" w:after="100" w:afterAutospacing="1" w:line="240" w:lineRule="auto"/>
    </w:pPr>
    <w:rPr>
      <w:rFonts w:ascii="Verdana" w:eastAsia="Times New Roman" w:hAnsi="Verdana" w:cs="Times New Roman"/>
      <w:sz w:val="24"/>
      <w:szCs w:val="24"/>
      <w:lang w:eastAsia="en-AU"/>
    </w:rPr>
  </w:style>
  <w:style w:type="character" w:styleId="Emphasis">
    <w:name w:val="Emphasis"/>
    <w:basedOn w:val="DefaultParagraphFont"/>
    <w:qFormat/>
    <w:rsid w:val="004152F2"/>
    <w:rPr>
      <w:i/>
      <w:iCs/>
    </w:rPr>
  </w:style>
  <w:style w:type="character" w:styleId="CommentReference">
    <w:name w:val="annotation reference"/>
    <w:basedOn w:val="DefaultParagraphFont"/>
    <w:semiHidden/>
    <w:rsid w:val="004152F2"/>
    <w:rPr>
      <w:sz w:val="16"/>
      <w:szCs w:val="16"/>
    </w:rPr>
  </w:style>
  <w:style w:type="paragraph" w:styleId="CommentText">
    <w:name w:val="annotation text"/>
    <w:basedOn w:val="Normal"/>
    <w:link w:val="CommentTextChar"/>
    <w:semiHidden/>
    <w:rsid w:val="004152F2"/>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semiHidden/>
    <w:rsid w:val="004152F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rsid w:val="004152F2"/>
    <w:rPr>
      <w:b/>
      <w:bCs/>
    </w:rPr>
  </w:style>
  <w:style w:type="character" w:customStyle="1" w:styleId="CommentSubjectChar">
    <w:name w:val="Comment Subject Char"/>
    <w:basedOn w:val="CommentTextChar"/>
    <w:link w:val="CommentSubject"/>
    <w:semiHidden/>
    <w:rsid w:val="004152F2"/>
    <w:rPr>
      <w:rFonts w:ascii="Times New Roman" w:eastAsia="Times New Roman" w:hAnsi="Times New Roman" w:cs="Times New Roman"/>
      <w:b/>
      <w:bCs/>
      <w:sz w:val="20"/>
      <w:szCs w:val="20"/>
      <w:lang w:eastAsia="en-AU"/>
    </w:rPr>
  </w:style>
  <w:style w:type="character" w:styleId="Hyperlink">
    <w:name w:val="Hyperlink"/>
    <w:basedOn w:val="DefaultParagraphFont"/>
    <w:rsid w:val="004152F2"/>
    <w:rPr>
      <w:color w:val="0000FF"/>
      <w:u w:val="single"/>
    </w:rPr>
  </w:style>
  <w:style w:type="paragraph" w:styleId="ListParagraph">
    <w:name w:val="List Paragraph"/>
    <w:basedOn w:val="Normal"/>
    <w:uiPriority w:val="34"/>
    <w:qFormat/>
    <w:rsid w:val="004152F2"/>
    <w:pPr>
      <w:spacing w:after="0" w:line="240" w:lineRule="auto"/>
      <w:ind w:left="720"/>
      <w:contextualSpacing/>
    </w:pPr>
    <w:rPr>
      <w:rFonts w:ascii="Times New Roman" w:eastAsia="Times New Roman" w:hAnsi="Times New Roman" w:cs="Times New Roman"/>
      <w:sz w:val="24"/>
      <w:szCs w:val="20"/>
      <w:lang w:eastAsia="en-AU"/>
    </w:rPr>
  </w:style>
  <w:style w:type="paragraph" w:customStyle="1" w:styleId="Default">
    <w:name w:val="Default"/>
    <w:rsid w:val="004152F2"/>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pointsChar">
    <w:name w:val="points Char"/>
    <w:basedOn w:val="DefaultParagraphFont"/>
    <w:link w:val="points"/>
    <w:locked/>
    <w:rsid w:val="004152F2"/>
    <w:rPr>
      <w:rFonts w:ascii="Arial" w:hAnsi="Arial" w:cs="Arial"/>
    </w:rPr>
  </w:style>
  <w:style w:type="paragraph" w:customStyle="1" w:styleId="points">
    <w:name w:val="points"/>
    <w:basedOn w:val="ListParagraph"/>
    <w:link w:val="pointsChar"/>
    <w:autoRedefine/>
    <w:qFormat/>
    <w:rsid w:val="004152F2"/>
    <w:pPr>
      <w:numPr>
        <w:numId w:val="3"/>
      </w:numPr>
      <w:spacing w:after="240"/>
    </w:pPr>
    <w:rPr>
      <w:rFonts w:ascii="Arial" w:eastAsiaTheme="minorHAnsi" w:hAnsi="Arial" w:cs="Arial"/>
      <w:sz w:val="22"/>
      <w:szCs w:val="22"/>
      <w:lang w:eastAsia="en-US"/>
    </w:rPr>
  </w:style>
  <w:style w:type="paragraph" w:customStyle="1" w:styleId="R1">
    <w:name w:val="R1"/>
    <w:aliases w:val="1. or 1.(1)"/>
    <w:basedOn w:val="Normal"/>
    <w:next w:val="Normal"/>
    <w:rsid w:val="00581902"/>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581902"/>
    <w:pPr>
      <w:spacing w:after="0" w:line="240" w:lineRule="auto"/>
    </w:pPr>
    <w:rPr>
      <w:rFonts w:asciiTheme="minorHAnsi" w:eastAsiaTheme="minorEastAsia" w:hAnsiTheme="minorHAnsi"/>
      <w:sz w:val="20"/>
      <w:szCs w:val="20"/>
      <w:lang w:eastAsia="en-AU"/>
    </w:rPr>
  </w:style>
  <w:style w:type="character" w:customStyle="1" w:styleId="FootnoteTextChar">
    <w:name w:val="Footnote Text Char"/>
    <w:basedOn w:val="DefaultParagraphFont"/>
    <w:link w:val="FootnoteText"/>
    <w:uiPriority w:val="99"/>
    <w:semiHidden/>
    <w:rsid w:val="00581902"/>
    <w:rPr>
      <w:rFonts w:eastAsiaTheme="minorEastAsia"/>
      <w:sz w:val="20"/>
      <w:szCs w:val="20"/>
      <w:lang w:eastAsia="en-AU"/>
    </w:rPr>
  </w:style>
  <w:style w:type="character" w:styleId="FootnoteReference">
    <w:name w:val="footnote reference"/>
    <w:basedOn w:val="DefaultParagraphFont"/>
    <w:uiPriority w:val="99"/>
    <w:semiHidden/>
    <w:unhideWhenUsed/>
    <w:rsid w:val="005819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D00"/>
    <w:rPr>
      <w:rFonts w:ascii="Arial" w:hAnsi="Arial"/>
    </w:rPr>
  </w:style>
  <w:style w:type="paragraph" w:styleId="Heading1">
    <w:name w:val="heading 1"/>
    <w:basedOn w:val="Normal"/>
    <w:next w:val="Normal"/>
    <w:link w:val="Heading1Char"/>
    <w:autoRedefine/>
    <w:qFormat/>
    <w:rsid w:val="00264971"/>
    <w:pPr>
      <w:keepNext/>
      <w:pBdr>
        <w:bottom w:val="single" w:sz="4" w:space="1" w:color="C3C800"/>
      </w:pBdr>
      <w:tabs>
        <w:tab w:val="left" w:pos="567"/>
      </w:tabs>
      <w:spacing w:before="120" w:after="240" w:line="360" w:lineRule="auto"/>
      <w:jc w:val="both"/>
      <w:outlineLvl w:val="0"/>
    </w:pPr>
    <w:rPr>
      <w:rFonts w:eastAsia="Times" w:cs="Arial"/>
      <w:smallCaps/>
      <w:color w:val="594A32"/>
      <w:kern w:val="72"/>
      <w:sz w:val="28"/>
      <w:szCs w:val="28"/>
    </w:rPr>
  </w:style>
  <w:style w:type="paragraph" w:styleId="Heading2">
    <w:name w:val="heading 2"/>
    <w:basedOn w:val="Normal"/>
    <w:next w:val="Normal"/>
    <w:link w:val="Heading2Char"/>
    <w:unhideWhenUsed/>
    <w:qFormat/>
    <w:rsid w:val="00043AE1"/>
    <w:pPr>
      <w:keepNext/>
      <w:keepLines/>
      <w:spacing w:before="200" w:after="0"/>
      <w:outlineLvl w:val="1"/>
    </w:pPr>
    <w:rPr>
      <w:rFonts w:eastAsiaTheme="majorEastAsia" w:cstheme="majorBidi"/>
      <w:bCs/>
      <w:smallCaps/>
      <w:color w:val="594A32"/>
      <w:sz w:val="26"/>
      <w:szCs w:val="26"/>
    </w:rPr>
  </w:style>
  <w:style w:type="paragraph" w:styleId="Heading3">
    <w:name w:val="heading 3"/>
    <w:basedOn w:val="Normal"/>
    <w:next w:val="Normal"/>
    <w:link w:val="Heading3Char"/>
    <w:unhideWhenUsed/>
    <w:qFormat/>
    <w:rsid w:val="00043AE1"/>
    <w:pPr>
      <w:keepNext/>
      <w:keepLines/>
      <w:spacing w:before="200" w:after="0"/>
      <w:outlineLvl w:val="2"/>
    </w:pPr>
    <w:rPr>
      <w:rFonts w:eastAsiaTheme="majorEastAsia" w:cstheme="majorBidi"/>
      <w:bCs/>
      <w:i/>
      <w:color w:val="C3C800"/>
    </w:rPr>
  </w:style>
  <w:style w:type="paragraph" w:styleId="Heading6">
    <w:name w:val="heading 6"/>
    <w:basedOn w:val="Normal"/>
    <w:next w:val="Normal"/>
    <w:link w:val="Heading6Char"/>
    <w:unhideWhenUsed/>
    <w:qFormat/>
    <w:rsid w:val="004152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4546D"/>
  </w:style>
  <w:style w:type="character" w:customStyle="1" w:styleId="Style1Char">
    <w:name w:val="Style1 Char"/>
    <w:basedOn w:val="DefaultParagraphFont"/>
    <w:link w:val="Style1"/>
    <w:rsid w:val="0074546D"/>
    <w:rPr>
      <w:rFonts w:ascii="Arial" w:hAnsi="Arial"/>
    </w:rPr>
  </w:style>
  <w:style w:type="character" w:customStyle="1" w:styleId="Heading1Char">
    <w:name w:val="Heading 1 Char"/>
    <w:basedOn w:val="DefaultParagraphFont"/>
    <w:link w:val="Heading1"/>
    <w:rsid w:val="00264971"/>
    <w:rPr>
      <w:rFonts w:ascii="Arial" w:eastAsia="Times" w:hAnsi="Arial" w:cs="Arial"/>
      <w:smallCaps/>
      <w:color w:val="594A32"/>
      <w:kern w:val="72"/>
      <w:sz w:val="28"/>
      <w:szCs w:val="28"/>
    </w:rPr>
  </w:style>
  <w:style w:type="character" w:customStyle="1" w:styleId="Heading2Char">
    <w:name w:val="Heading 2 Char"/>
    <w:basedOn w:val="DefaultParagraphFont"/>
    <w:link w:val="Heading2"/>
    <w:rsid w:val="00043AE1"/>
    <w:rPr>
      <w:rFonts w:ascii="Arial" w:eastAsiaTheme="majorEastAsia" w:hAnsi="Arial" w:cstheme="majorBidi"/>
      <w:bCs/>
      <w:smallCaps/>
      <w:color w:val="594A32"/>
      <w:sz w:val="26"/>
      <w:szCs w:val="26"/>
    </w:rPr>
  </w:style>
  <w:style w:type="character" w:customStyle="1" w:styleId="Heading3Char">
    <w:name w:val="Heading 3 Char"/>
    <w:basedOn w:val="DefaultParagraphFont"/>
    <w:link w:val="Heading3"/>
    <w:rsid w:val="00043AE1"/>
    <w:rPr>
      <w:rFonts w:ascii="Arial" w:eastAsiaTheme="majorEastAsia" w:hAnsi="Arial" w:cstheme="majorBidi"/>
      <w:bCs/>
      <w:i/>
      <w:color w:val="C3C800"/>
    </w:rPr>
  </w:style>
  <w:style w:type="paragraph" w:styleId="Footer">
    <w:name w:val="footer"/>
    <w:basedOn w:val="Normal"/>
    <w:link w:val="FooterChar"/>
    <w:uiPriority w:val="99"/>
    <w:unhideWhenUsed/>
    <w:rsid w:val="00244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418"/>
    <w:rPr>
      <w:rFonts w:ascii="Arial" w:hAnsi="Arial"/>
    </w:rPr>
  </w:style>
  <w:style w:type="paragraph" w:styleId="Header">
    <w:name w:val="header"/>
    <w:basedOn w:val="Normal"/>
    <w:link w:val="HeaderChar"/>
    <w:uiPriority w:val="99"/>
    <w:unhideWhenUsed/>
    <w:rsid w:val="00244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418"/>
    <w:rPr>
      <w:rFonts w:ascii="Arial" w:hAnsi="Arial"/>
    </w:rPr>
  </w:style>
  <w:style w:type="character" w:styleId="PlaceholderText">
    <w:name w:val="Placeholder Text"/>
    <w:basedOn w:val="DefaultParagraphFont"/>
    <w:uiPriority w:val="99"/>
    <w:semiHidden/>
    <w:rsid w:val="00680913"/>
    <w:rPr>
      <w:color w:val="808080"/>
    </w:rPr>
  </w:style>
  <w:style w:type="paragraph" w:styleId="BalloonText">
    <w:name w:val="Balloon Text"/>
    <w:basedOn w:val="Normal"/>
    <w:link w:val="BalloonTextChar"/>
    <w:semiHidden/>
    <w:unhideWhenUsed/>
    <w:rsid w:val="00680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80913"/>
    <w:rPr>
      <w:rFonts w:ascii="Tahoma" w:hAnsi="Tahoma" w:cs="Tahoma"/>
      <w:sz w:val="16"/>
      <w:szCs w:val="16"/>
    </w:rPr>
  </w:style>
  <w:style w:type="table" w:styleId="TableGrid">
    <w:name w:val="Table Grid"/>
    <w:basedOn w:val="TableNormal"/>
    <w:rsid w:val="000370D3"/>
    <w:pPr>
      <w:spacing w:after="0" w:line="240" w:lineRule="auto"/>
    </w:pPr>
    <w:rPr>
      <w:rFonts w:ascii="Times New Roman" w:eastAsia="MS Mincho"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4152F2"/>
    <w:rPr>
      <w:rFonts w:asciiTheme="majorHAnsi" w:eastAsiaTheme="majorEastAsia" w:hAnsiTheme="majorHAnsi" w:cstheme="majorBidi"/>
      <w:i/>
      <w:iCs/>
      <w:color w:val="243F60" w:themeColor="accent1" w:themeShade="7F"/>
    </w:rPr>
  </w:style>
  <w:style w:type="paragraph" w:styleId="Title">
    <w:name w:val="Title"/>
    <w:basedOn w:val="Normal"/>
    <w:link w:val="TitleChar"/>
    <w:qFormat/>
    <w:rsid w:val="004152F2"/>
    <w:pPr>
      <w:spacing w:after="0" w:line="240" w:lineRule="auto"/>
      <w:jc w:val="center"/>
    </w:pPr>
    <w:rPr>
      <w:rFonts w:ascii="Times New Roman" w:eastAsia="Times New Roman" w:hAnsi="Times New Roman" w:cs="Times New Roman"/>
      <w:b/>
      <w:sz w:val="24"/>
      <w:szCs w:val="20"/>
      <w:u w:val="single"/>
      <w:lang w:eastAsia="en-AU"/>
    </w:rPr>
  </w:style>
  <w:style w:type="character" w:customStyle="1" w:styleId="TitleChar">
    <w:name w:val="Title Char"/>
    <w:basedOn w:val="DefaultParagraphFont"/>
    <w:link w:val="Title"/>
    <w:rsid w:val="004152F2"/>
    <w:rPr>
      <w:rFonts w:ascii="Times New Roman" w:eastAsia="Times New Roman" w:hAnsi="Times New Roman" w:cs="Times New Roman"/>
      <w:b/>
      <w:sz w:val="24"/>
      <w:szCs w:val="20"/>
      <w:u w:val="single"/>
      <w:lang w:eastAsia="en-AU"/>
    </w:rPr>
  </w:style>
  <w:style w:type="paragraph" w:styleId="Subtitle">
    <w:name w:val="Subtitle"/>
    <w:basedOn w:val="Normal"/>
    <w:link w:val="SubtitleChar"/>
    <w:uiPriority w:val="11"/>
    <w:qFormat/>
    <w:rsid w:val="004152F2"/>
    <w:pPr>
      <w:spacing w:after="0" w:line="240" w:lineRule="auto"/>
    </w:pPr>
    <w:rPr>
      <w:rFonts w:ascii="Times New Roman" w:eastAsia="Times New Roman" w:hAnsi="Times New Roman" w:cs="Times New Roman"/>
      <w:sz w:val="24"/>
      <w:szCs w:val="20"/>
      <w:u w:val="single"/>
      <w:lang w:eastAsia="en-AU"/>
    </w:rPr>
  </w:style>
  <w:style w:type="character" w:customStyle="1" w:styleId="SubtitleChar">
    <w:name w:val="Subtitle Char"/>
    <w:basedOn w:val="DefaultParagraphFont"/>
    <w:link w:val="Subtitle"/>
    <w:uiPriority w:val="11"/>
    <w:rsid w:val="004152F2"/>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4152F2"/>
    <w:pPr>
      <w:spacing w:after="0" w:line="240" w:lineRule="auto"/>
    </w:pPr>
    <w:rPr>
      <w:rFonts w:ascii="Times New Roman" w:eastAsia="Times New Roman" w:hAnsi="Times New Roman" w:cs="Times New Roman"/>
      <w:b/>
      <w:sz w:val="24"/>
      <w:szCs w:val="20"/>
      <w:lang w:eastAsia="en-AU"/>
    </w:rPr>
  </w:style>
  <w:style w:type="character" w:customStyle="1" w:styleId="BodyTextChar">
    <w:name w:val="Body Text Char"/>
    <w:basedOn w:val="DefaultParagraphFont"/>
    <w:link w:val="BodyText"/>
    <w:rsid w:val="004152F2"/>
    <w:rPr>
      <w:rFonts w:ascii="Times New Roman" w:eastAsia="Times New Roman" w:hAnsi="Times New Roman" w:cs="Times New Roman"/>
      <w:b/>
      <w:sz w:val="24"/>
      <w:szCs w:val="20"/>
      <w:lang w:eastAsia="en-AU"/>
    </w:rPr>
  </w:style>
  <w:style w:type="paragraph" w:styleId="BodyText2">
    <w:name w:val="Body Text 2"/>
    <w:basedOn w:val="Normal"/>
    <w:link w:val="BodyText2Char"/>
    <w:rsid w:val="004152F2"/>
    <w:pPr>
      <w:spacing w:after="0" w:line="240" w:lineRule="auto"/>
    </w:pPr>
    <w:rPr>
      <w:rFonts w:ascii="Times New Roman" w:eastAsia="Times New Roman" w:hAnsi="Times New Roman" w:cs="Times New Roman"/>
      <w:snapToGrid w:val="0"/>
      <w:color w:val="000000"/>
      <w:sz w:val="24"/>
      <w:szCs w:val="20"/>
    </w:rPr>
  </w:style>
  <w:style w:type="character" w:customStyle="1" w:styleId="BodyText2Char">
    <w:name w:val="Body Text 2 Char"/>
    <w:basedOn w:val="DefaultParagraphFont"/>
    <w:link w:val="BodyText2"/>
    <w:rsid w:val="004152F2"/>
    <w:rPr>
      <w:rFonts w:ascii="Times New Roman" w:eastAsia="Times New Roman" w:hAnsi="Times New Roman" w:cs="Times New Roman"/>
      <w:snapToGrid w:val="0"/>
      <w:color w:val="000000"/>
      <w:sz w:val="24"/>
      <w:szCs w:val="20"/>
    </w:rPr>
  </w:style>
  <w:style w:type="character" w:styleId="PageNumber">
    <w:name w:val="page number"/>
    <w:basedOn w:val="DefaultParagraphFont"/>
    <w:rsid w:val="004152F2"/>
  </w:style>
  <w:style w:type="paragraph" w:styleId="NormalWeb">
    <w:name w:val="Normal (Web)"/>
    <w:basedOn w:val="Normal"/>
    <w:rsid w:val="004152F2"/>
    <w:pPr>
      <w:spacing w:before="100" w:beforeAutospacing="1" w:after="100" w:afterAutospacing="1" w:line="240" w:lineRule="auto"/>
    </w:pPr>
    <w:rPr>
      <w:rFonts w:ascii="Verdana" w:eastAsia="Times New Roman" w:hAnsi="Verdana" w:cs="Times New Roman"/>
      <w:sz w:val="24"/>
      <w:szCs w:val="24"/>
      <w:lang w:eastAsia="en-AU"/>
    </w:rPr>
  </w:style>
  <w:style w:type="character" w:styleId="Emphasis">
    <w:name w:val="Emphasis"/>
    <w:basedOn w:val="DefaultParagraphFont"/>
    <w:qFormat/>
    <w:rsid w:val="004152F2"/>
    <w:rPr>
      <w:i/>
      <w:iCs/>
    </w:rPr>
  </w:style>
  <w:style w:type="character" w:styleId="CommentReference">
    <w:name w:val="annotation reference"/>
    <w:basedOn w:val="DefaultParagraphFont"/>
    <w:semiHidden/>
    <w:rsid w:val="004152F2"/>
    <w:rPr>
      <w:sz w:val="16"/>
      <w:szCs w:val="16"/>
    </w:rPr>
  </w:style>
  <w:style w:type="paragraph" w:styleId="CommentText">
    <w:name w:val="annotation text"/>
    <w:basedOn w:val="Normal"/>
    <w:link w:val="CommentTextChar"/>
    <w:semiHidden/>
    <w:rsid w:val="004152F2"/>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semiHidden/>
    <w:rsid w:val="004152F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rsid w:val="004152F2"/>
    <w:rPr>
      <w:b/>
      <w:bCs/>
    </w:rPr>
  </w:style>
  <w:style w:type="character" w:customStyle="1" w:styleId="CommentSubjectChar">
    <w:name w:val="Comment Subject Char"/>
    <w:basedOn w:val="CommentTextChar"/>
    <w:link w:val="CommentSubject"/>
    <w:semiHidden/>
    <w:rsid w:val="004152F2"/>
    <w:rPr>
      <w:rFonts w:ascii="Times New Roman" w:eastAsia="Times New Roman" w:hAnsi="Times New Roman" w:cs="Times New Roman"/>
      <w:b/>
      <w:bCs/>
      <w:sz w:val="20"/>
      <w:szCs w:val="20"/>
      <w:lang w:eastAsia="en-AU"/>
    </w:rPr>
  </w:style>
  <w:style w:type="character" w:styleId="Hyperlink">
    <w:name w:val="Hyperlink"/>
    <w:basedOn w:val="DefaultParagraphFont"/>
    <w:rsid w:val="004152F2"/>
    <w:rPr>
      <w:color w:val="0000FF"/>
      <w:u w:val="single"/>
    </w:rPr>
  </w:style>
  <w:style w:type="paragraph" w:styleId="ListParagraph">
    <w:name w:val="List Paragraph"/>
    <w:basedOn w:val="Normal"/>
    <w:uiPriority w:val="34"/>
    <w:qFormat/>
    <w:rsid w:val="004152F2"/>
    <w:pPr>
      <w:spacing w:after="0" w:line="240" w:lineRule="auto"/>
      <w:ind w:left="720"/>
      <w:contextualSpacing/>
    </w:pPr>
    <w:rPr>
      <w:rFonts w:ascii="Times New Roman" w:eastAsia="Times New Roman" w:hAnsi="Times New Roman" w:cs="Times New Roman"/>
      <w:sz w:val="24"/>
      <w:szCs w:val="20"/>
      <w:lang w:eastAsia="en-AU"/>
    </w:rPr>
  </w:style>
  <w:style w:type="paragraph" w:customStyle="1" w:styleId="Default">
    <w:name w:val="Default"/>
    <w:rsid w:val="004152F2"/>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pointsChar">
    <w:name w:val="points Char"/>
    <w:basedOn w:val="DefaultParagraphFont"/>
    <w:link w:val="points"/>
    <w:locked/>
    <w:rsid w:val="004152F2"/>
    <w:rPr>
      <w:rFonts w:ascii="Arial" w:hAnsi="Arial" w:cs="Arial"/>
    </w:rPr>
  </w:style>
  <w:style w:type="paragraph" w:customStyle="1" w:styleId="points">
    <w:name w:val="points"/>
    <w:basedOn w:val="ListParagraph"/>
    <w:link w:val="pointsChar"/>
    <w:autoRedefine/>
    <w:qFormat/>
    <w:rsid w:val="004152F2"/>
    <w:pPr>
      <w:numPr>
        <w:numId w:val="3"/>
      </w:numPr>
      <w:spacing w:after="240"/>
    </w:pPr>
    <w:rPr>
      <w:rFonts w:ascii="Arial" w:eastAsiaTheme="minorHAnsi" w:hAnsi="Arial" w:cs="Arial"/>
      <w:sz w:val="22"/>
      <w:szCs w:val="22"/>
      <w:lang w:eastAsia="en-US"/>
    </w:rPr>
  </w:style>
  <w:style w:type="paragraph" w:customStyle="1" w:styleId="R1">
    <w:name w:val="R1"/>
    <w:aliases w:val="1. or 1.(1)"/>
    <w:basedOn w:val="Normal"/>
    <w:next w:val="Normal"/>
    <w:rsid w:val="00581902"/>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581902"/>
    <w:pPr>
      <w:spacing w:after="0" w:line="240" w:lineRule="auto"/>
    </w:pPr>
    <w:rPr>
      <w:rFonts w:asciiTheme="minorHAnsi" w:eastAsiaTheme="minorEastAsia" w:hAnsiTheme="minorHAnsi"/>
      <w:sz w:val="20"/>
      <w:szCs w:val="20"/>
      <w:lang w:eastAsia="en-AU"/>
    </w:rPr>
  </w:style>
  <w:style w:type="character" w:customStyle="1" w:styleId="FootnoteTextChar">
    <w:name w:val="Footnote Text Char"/>
    <w:basedOn w:val="DefaultParagraphFont"/>
    <w:link w:val="FootnoteText"/>
    <w:uiPriority w:val="99"/>
    <w:semiHidden/>
    <w:rsid w:val="00581902"/>
    <w:rPr>
      <w:rFonts w:eastAsiaTheme="minorEastAsia"/>
      <w:sz w:val="20"/>
      <w:szCs w:val="20"/>
      <w:lang w:eastAsia="en-AU"/>
    </w:rPr>
  </w:style>
  <w:style w:type="character" w:styleId="FootnoteReference">
    <w:name w:val="footnote reference"/>
    <w:basedOn w:val="DefaultParagraphFont"/>
    <w:uiPriority w:val="99"/>
    <w:semiHidden/>
    <w:unhideWhenUsed/>
    <w:rsid w:val="005819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64761">
      <w:bodyDiv w:val="1"/>
      <w:marLeft w:val="0"/>
      <w:marRight w:val="0"/>
      <w:marTop w:val="0"/>
      <w:marBottom w:val="0"/>
      <w:divBdr>
        <w:top w:val="none" w:sz="0" w:space="0" w:color="auto"/>
        <w:left w:val="none" w:sz="0" w:space="0" w:color="auto"/>
        <w:bottom w:val="none" w:sz="0" w:space="0" w:color="auto"/>
        <w:right w:val="none" w:sz="0" w:space="0" w:color="auto"/>
      </w:divBdr>
      <w:divsChild>
        <w:div w:id="414087631">
          <w:marLeft w:val="0"/>
          <w:marRight w:val="0"/>
          <w:marTop w:val="0"/>
          <w:marBottom w:val="0"/>
          <w:divBdr>
            <w:top w:val="none" w:sz="0" w:space="0" w:color="auto"/>
            <w:left w:val="none" w:sz="0" w:space="0" w:color="auto"/>
            <w:bottom w:val="none" w:sz="0" w:space="0" w:color="auto"/>
            <w:right w:val="none" w:sz="0" w:space="0" w:color="auto"/>
          </w:divBdr>
          <w:divsChild>
            <w:div w:id="388768234">
              <w:marLeft w:val="0"/>
              <w:marRight w:val="0"/>
              <w:marTop w:val="0"/>
              <w:marBottom w:val="0"/>
              <w:divBdr>
                <w:top w:val="none" w:sz="0" w:space="0" w:color="auto"/>
                <w:left w:val="none" w:sz="0" w:space="0" w:color="auto"/>
                <w:bottom w:val="none" w:sz="0" w:space="0" w:color="auto"/>
                <w:right w:val="none" w:sz="0" w:space="0" w:color="auto"/>
              </w:divBdr>
              <w:divsChild>
                <w:div w:id="1554541933">
                  <w:marLeft w:val="0"/>
                  <w:marRight w:val="0"/>
                  <w:marTop w:val="0"/>
                  <w:marBottom w:val="0"/>
                  <w:divBdr>
                    <w:top w:val="none" w:sz="0" w:space="0" w:color="auto"/>
                    <w:left w:val="none" w:sz="0" w:space="0" w:color="auto"/>
                    <w:bottom w:val="none" w:sz="0" w:space="0" w:color="auto"/>
                    <w:right w:val="none" w:sz="0" w:space="0" w:color="auto"/>
                  </w:divBdr>
                  <w:divsChild>
                    <w:div w:id="1992707814">
                      <w:marLeft w:val="0"/>
                      <w:marRight w:val="0"/>
                      <w:marTop w:val="0"/>
                      <w:marBottom w:val="0"/>
                      <w:divBdr>
                        <w:top w:val="none" w:sz="0" w:space="0" w:color="auto"/>
                        <w:left w:val="none" w:sz="0" w:space="0" w:color="auto"/>
                        <w:bottom w:val="none" w:sz="0" w:space="0" w:color="auto"/>
                        <w:right w:val="none" w:sz="0" w:space="0" w:color="auto"/>
                      </w:divBdr>
                      <w:divsChild>
                        <w:div w:id="931398696">
                          <w:marLeft w:val="0"/>
                          <w:marRight w:val="0"/>
                          <w:marTop w:val="0"/>
                          <w:marBottom w:val="0"/>
                          <w:divBdr>
                            <w:top w:val="single" w:sz="6" w:space="0" w:color="828282"/>
                            <w:left w:val="single" w:sz="6" w:space="0" w:color="828282"/>
                            <w:bottom w:val="single" w:sz="6" w:space="0" w:color="828282"/>
                            <w:right w:val="single" w:sz="6" w:space="0" w:color="828282"/>
                          </w:divBdr>
                          <w:divsChild>
                            <w:div w:id="1367175384">
                              <w:marLeft w:val="0"/>
                              <w:marRight w:val="0"/>
                              <w:marTop w:val="0"/>
                              <w:marBottom w:val="0"/>
                              <w:divBdr>
                                <w:top w:val="none" w:sz="0" w:space="0" w:color="auto"/>
                                <w:left w:val="none" w:sz="0" w:space="0" w:color="auto"/>
                                <w:bottom w:val="none" w:sz="0" w:space="0" w:color="auto"/>
                                <w:right w:val="none" w:sz="0" w:space="0" w:color="auto"/>
                              </w:divBdr>
                              <w:divsChild>
                                <w:div w:id="2038310540">
                                  <w:marLeft w:val="0"/>
                                  <w:marRight w:val="0"/>
                                  <w:marTop w:val="0"/>
                                  <w:marBottom w:val="0"/>
                                  <w:divBdr>
                                    <w:top w:val="none" w:sz="0" w:space="0" w:color="auto"/>
                                    <w:left w:val="none" w:sz="0" w:space="0" w:color="auto"/>
                                    <w:bottom w:val="none" w:sz="0" w:space="0" w:color="auto"/>
                                    <w:right w:val="none" w:sz="0" w:space="0" w:color="auto"/>
                                  </w:divBdr>
                                  <w:divsChild>
                                    <w:div w:id="472409533">
                                      <w:marLeft w:val="0"/>
                                      <w:marRight w:val="0"/>
                                      <w:marTop w:val="0"/>
                                      <w:marBottom w:val="0"/>
                                      <w:divBdr>
                                        <w:top w:val="none" w:sz="0" w:space="0" w:color="auto"/>
                                        <w:left w:val="none" w:sz="0" w:space="0" w:color="auto"/>
                                        <w:bottom w:val="none" w:sz="0" w:space="0" w:color="auto"/>
                                        <w:right w:val="none" w:sz="0" w:space="0" w:color="auto"/>
                                      </w:divBdr>
                                      <w:divsChild>
                                        <w:div w:id="334382279">
                                          <w:marLeft w:val="0"/>
                                          <w:marRight w:val="0"/>
                                          <w:marTop w:val="0"/>
                                          <w:marBottom w:val="0"/>
                                          <w:divBdr>
                                            <w:top w:val="none" w:sz="0" w:space="0" w:color="auto"/>
                                            <w:left w:val="none" w:sz="0" w:space="0" w:color="auto"/>
                                            <w:bottom w:val="none" w:sz="0" w:space="0" w:color="auto"/>
                                            <w:right w:val="none" w:sz="0" w:space="0" w:color="auto"/>
                                          </w:divBdr>
                                          <w:divsChild>
                                            <w:div w:id="220797033">
                                              <w:marLeft w:val="0"/>
                                              <w:marRight w:val="0"/>
                                              <w:marTop w:val="0"/>
                                              <w:marBottom w:val="0"/>
                                              <w:divBdr>
                                                <w:top w:val="none" w:sz="0" w:space="0" w:color="auto"/>
                                                <w:left w:val="none" w:sz="0" w:space="0" w:color="auto"/>
                                                <w:bottom w:val="none" w:sz="0" w:space="0" w:color="auto"/>
                                                <w:right w:val="none" w:sz="0" w:space="0" w:color="auto"/>
                                              </w:divBdr>
                                              <w:divsChild>
                                                <w:div w:id="234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553853">
      <w:bodyDiv w:val="1"/>
      <w:marLeft w:val="0"/>
      <w:marRight w:val="0"/>
      <w:marTop w:val="0"/>
      <w:marBottom w:val="0"/>
      <w:divBdr>
        <w:top w:val="none" w:sz="0" w:space="0" w:color="auto"/>
        <w:left w:val="none" w:sz="0" w:space="0" w:color="auto"/>
        <w:bottom w:val="none" w:sz="0" w:space="0" w:color="auto"/>
        <w:right w:val="none" w:sz="0" w:space="0" w:color="auto"/>
      </w:divBdr>
      <w:divsChild>
        <w:div w:id="220675017">
          <w:marLeft w:val="0"/>
          <w:marRight w:val="0"/>
          <w:marTop w:val="0"/>
          <w:marBottom w:val="0"/>
          <w:divBdr>
            <w:top w:val="none" w:sz="0" w:space="0" w:color="auto"/>
            <w:left w:val="none" w:sz="0" w:space="0" w:color="auto"/>
            <w:bottom w:val="none" w:sz="0" w:space="0" w:color="auto"/>
            <w:right w:val="none" w:sz="0" w:space="0" w:color="auto"/>
          </w:divBdr>
          <w:divsChild>
            <w:div w:id="240911914">
              <w:marLeft w:val="0"/>
              <w:marRight w:val="0"/>
              <w:marTop w:val="0"/>
              <w:marBottom w:val="0"/>
              <w:divBdr>
                <w:top w:val="none" w:sz="0" w:space="0" w:color="auto"/>
                <w:left w:val="none" w:sz="0" w:space="0" w:color="auto"/>
                <w:bottom w:val="none" w:sz="0" w:space="0" w:color="auto"/>
                <w:right w:val="none" w:sz="0" w:space="0" w:color="auto"/>
              </w:divBdr>
              <w:divsChild>
                <w:div w:id="407921658">
                  <w:marLeft w:val="0"/>
                  <w:marRight w:val="0"/>
                  <w:marTop w:val="0"/>
                  <w:marBottom w:val="0"/>
                  <w:divBdr>
                    <w:top w:val="none" w:sz="0" w:space="0" w:color="auto"/>
                    <w:left w:val="none" w:sz="0" w:space="0" w:color="auto"/>
                    <w:bottom w:val="none" w:sz="0" w:space="0" w:color="auto"/>
                    <w:right w:val="none" w:sz="0" w:space="0" w:color="auto"/>
                  </w:divBdr>
                  <w:divsChild>
                    <w:div w:id="1937442583">
                      <w:marLeft w:val="0"/>
                      <w:marRight w:val="0"/>
                      <w:marTop w:val="0"/>
                      <w:marBottom w:val="0"/>
                      <w:divBdr>
                        <w:top w:val="none" w:sz="0" w:space="0" w:color="auto"/>
                        <w:left w:val="none" w:sz="0" w:space="0" w:color="auto"/>
                        <w:bottom w:val="none" w:sz="0" w:space="0" w:color="auto"/>
                        <w:right w:val="none" w:sz="0" w:space="0" w:color="auto"/>
                      </w:divBdr>
                      <w:divsChild>
                        <w:div w:id="935941629">
                          <w:marLeft w:val="0"/>
                          <w:marRight w:val="0"/>
                          <w:marTop w:val="0"/>
                          <w:marBottom w:val="0"/>
                          <w:divBdr>
                            <w:top w:val="single" w:sz="6" w:space="0" w:color="828282"/>
                            <w:left w:val="single" w:sz="6" w:space="0" w:color="828282"/>
                            <w:bottom w:val="single" w:sz="6" w:space="0" w:color="828282"/>
                            <w:right w:val="single" w:sz="6" w:space="0" w:color="828282"/>
                          </w:divBdr>
                          <w:divsChild>
                            <w:div w:id="1634141289">
                              <w:marLeft w:val="0"/>
                              <w:marRight w:val="0"/>
                              <w:marTop w:val="0"/>
                              <w:marBottom w:val="0"/>
                              <w:divBdr>
                                <w:top w:val="none" w:sz="0" w:space="0" w:color="auto"/>
                                <w:left w:val="none" w:sz="0" w:space="0" w:color="auto"/>
                                <w:bottom w:val="none" w:sz="0" w:space="0" w:color="auto"/>
                                <w:right w:val="none" w:sz="0" w:space="0" w:color="auto"/>
                              </w:divBdr>
                              <w:divsChild>
                                <w:div w:id="1748503148">
                                  <w:marLeft w:val="0"/>
                                  <w:marRight w:val="0"/>
                                  <w:marTop w:val="0"/>
                                  <w:marBottom w:val="0"/>
                                  <w:divBdr>
                                    <w:top w:val="none" w:sz="0" w:space="0" w:color="auto"/>
                                    <w:left w:val="none" w:sz="0" w:space="0" w:color="auto"/>
                                    <w:bottom w:val="none" w:sz="0" w:space="0" w:color="auto"/>
                                    <w:right w:val="none" w:sz="0" w:space="0" w:color="auto"/>
                                  </w:divBdr>
                                  <w:divsChild>
                                    <w:div w:id="1843202599">
                                      <w:marLeft w:val="0"/>
                                      <w:marRight w:val="0"/>
                                      <w:marTop w:val="0"/>
                                      <w:marBottom w:val="0"/>
                                      <w:divBdr>
                                        <w:top w:val="none" w:sz="0" w:space="0" w:color="auto"/>
                                        <w:left w:val="none" w:sz="0" w:space="0" w:color="auto"/>
                                        <w:bottom w:val="none" w:sz="0" w:space="0" w:color="auto"/>
                                        <w:right w:val="none" w:sz="0" w:space="0" w:color="auto"/>
                                      </w:divBdr>
                                      <w:divsChild>
                                        <w:div w:id="539129257">
                                          <w:marLeft w:val="0"/>
                                          <w:marRight w:val="0"/>
                                          <w:marTop w:val="0"/>
                                          <w:marBottom w:val="0"/>
                                          <w:divBdr>
                                            <w:top w:val="none" w:sz="0" w:space="0" w:color="auto"/>
                                            <w:left w:val="none" w:sz="0" w:space="0" w:color="auto"/>
                                            <w:bottom w:val="none" w:sz="0" w:space="0" w:color="auto"/>
                                            <w:right w:val="none" w:sz="0" w:space="0" w:color="auto"/>
                                          </w:divBdr>
                                          <w:divsChild>
                                            <w:div w:id="1466192812">
                                              <w:marLeft w:val="0"/>
                                              <w:marRight w:val="0"/>
                                              <w:marTop w:val="0"/>
                                              <w:marBottom w:val="0"/>
                                              <w:divBdr>
                                                <w:top w:val="none" w:sz="0" w:space="0" w:color="auto"/>
                                                <w:left w:val="none" w:sz="0" w:space="0" w:color="auto"/>
                                                <w:bottom w:val="none" w:sz="0" w:space="0" w:color="auto"/>
                                                <w:right w:val="none" w:sz="0" w:space="0" w:color="auto"/>
                                              </w:divBdr>
                                              <w:divsChild>
                                                <w:div w:id="10656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867286">
      <w:bodyDiv w:val="1"/>
      <w:marLeft w:val="0"/>
      <w:marRight w:val="0"/>
      <w:marTop w:val="0"/>
      <w:marBottom w:val="0"/>
      <w:divBdr>
        <w:top w:val="none" w:sz="0" w:space="0" w:color="auto"/>
        <w:left w:val="none" w:sz="0" w:space="0" w:color="auto"/>
        <w:bottom w:val="none" w:sz="0" w:space="0" w:color="auto"/>
        <w:right w:val="none" w:sz="0" w:space="0" w:color="auto"/>
      </w:divBdr>
      <w:divsChild>
        <w:div w:id="1746953696">
          <w:marLeft w:val="0"/>
          <w:marRight w:val="0"/>
          <w:marTop w:val="0"/>
          <w:marBottom w:val="0"/>
          <w:divBdr>
            <w:top w:val="none" w:sz="0" w:space="0" w:color="auto"/>
            <w:left w:val="none" w:sz="0" w:space="0" w:color="auto"/>
            <w:bottom w:val="none" w:sz="0" w:space="0" w:color="auto"/>
            <w:right w:val="none" w:sz="0" w:space="0" w:color="auto"/>
          </w:divBdr>
          <w:divsChild>
            <w:div w:id="761224852">
              <w:marLeft w:val="0"/>
              <w:marRight w:val="0"/>
              <w:marTop w:val="0"/>
              <w:marBottom w:val="0"/>
              <w:divBdr>
                <w:top w:val="none" w:sz="0" w:space="0" w:color="auto"/>
                <w:left w:val="none" w:sz="0" w:space="0" w:color="auto"/>
                <w:bottom w:val="none" w:sz="0" w:space="0" w:color="auto"/>
                <w:right w:val="none" w:sz="0" w:space="0" w:color="auto"/>
              </w:divBdr>
              <w:divsChild>
                <w:div w:id="1165440665">
                  <w:marLeft w:val="0"/>
                  <w:marRight w:val="0"/>
                  <w:marTop w:val="0"/>
                  <w:marBottom w:val="0"/>
                  <w:divBdr>
                    <w:top w:val="none" w:sz="0" w:space="0" w:color="auto"/>
                    <w:left w:val="none" w:sz="0" w:space="0" w:color="auto"/>
                    <w:bottom w:val="none" w:sz="0" w:space="0" w:color="auto"/>
                    <w:right w:val="none" w:sz="0" w:space="0" w:color="auto"/>
                  </w:divBdr>
                  <w:divsChild>
                    <w:div w:id="302738154">
                      <w:marLeft w:val="0"/>
                      <w:marRight w:val="0"/>
                      <w:marTop w:val="0"/>
                      <w:marBottom w:val="0"/>
                      <w:divBdr>
                        <w:top w:val="none" w:sz="0" w:space="0" w:color="auto"/>
                        <w:left w:val="none" w:sz="0" w:space="0" w:color="auto"/>
                        <w:bottom w:val="none" w:sz="0" w:space="0" w:color="auto"/>
                        <w:right w:val="none" w:sz="0" w:space="0" w:color="auto"/>
                      </w:divBdr>
                      <w:divsChild>
                        <w:div w:id="1162815471">
                          <w:marLeft w:val="0"/>
                          <w:marRight w:val="0"/>
                          <w:marTop w:val="0"/>
                          <w:marBottom w:val="0"/>
                          <w:divBdr>
                            <w:top w:val="single" w:sz="6" w:space="0" w:color="828282"/>
                            <w:left w:val="single" w:sz="6" w:space="0" w:color="828282"/>
                            <w:bottom w:val="single" w:sz="6" w:space="0" w:color="828282"/>
                            <w:right w:val="single" w:sz="6" w:space="0" w:color="828282"/>
                          </w:divBdr>
                          <w:divsChild>
                            <w:div w:id="1790077764">
                              <w:marLeft w:val="0"/>
                              <w:marRight w:val="0"/>
                              <w:marTop w:val="0"/>
                              <w:marBottom w:val="0"/>
                              <w:divBdr>
                                <w:top w:val="none" w:sz="0" w:space="0" w:color="auto"/>
                                <w:left w:val="none" w:sz="0" w:space="0" w:color="auto"/>
                                <w:bottom w:val="none" w:sz="0" w:space="0" w:color="auto"/>
                                <w:right w:val="none" w:sz="0" w:space="0" w:color="auto"/>
                              </w:divBdr>
                              <w:divsChild>
                                <w:div w:id="1912497702">
                                  <w:marLeft w:val="0"/>
                                  <w:marRight w:val="0"/>
                                  <w:marTop w:val="0"/>
                                  <w:marBottom w:val="0"/>
                                  <w:divBdr>
                                    <w:top w:val="none" w:sz="0" w:space="0" w:color="auto"/>
                                    <w:left w:val="none" w:sz="0" w:space="0" w:color="auto"/>
                                    <w:bottom w:val="none" w:sz="0" w:space="0" w:color="auto"/>
                                    <w:right w:val="none" w:sz="0" w:space="0" w:color="auto"/>
                                  </w:divBdr>
                                  <w:divsChild>
                                    <w:div w:id="968826265">
                                      <w:marLeft w:val="0"/>
                                      <w:marRight w:val="0"/>
                                      <w:marTop w:val="0"/>
                                      <w:marBottom w:val="0"/>
                                      <w:divBdr>
                                        <w:top w:val="none" w:sz="0" w:space="0" w:color="auto"/>
                                        <w:left w:val="none" w:sz="0" w:space="0" w:color="auto"/>
                                        <w:bottom w:val="none" w:sz="0" w:space="0" w:color="auto"/>
                                        <w:right w:val="none" w:sz="0" w:space="0" w:color="auto"/>
                                      </w:divBdr>
                                      <w:divsChild>
                                        <w:div w:id="1711950211">
                                          <w:marLeft w:val="0"/>
                                          <w:marRight w:val="0"/>
                                          <w:marTop w:val="0"/>
                                          <w:marBottom w:val="0"/>
                                          <w:divBdr>
                                            <w:top w:val="none" w:sz="0" w:space="0" w:color="auto"/>
                                            <w:left w:val="none" w:sz="0" w:space="0" w:color="auto"/>
                                            <w:bottom w:val="none" w:sz="0" w:space="0" w:color="auto"/>
                                            <w:right w:val="none" w:sz="0" w:space="0" w:color="auto"/>
                                          </w:divBdr>
                                          <w:divsChild>
                                            <w:div w:id="231278565">
                                              <w:marLeft w:val="0"/>
                                              <w:marRight w:val="0"/>
                                              <w:marTop w:val="0"/>
                                              <w:marBottom w:val="0"/>
                                              <w:divBdr>
                                                <w:top w:val="none" w:sz="0" w:space="0" w:color="auto"/>
                                                <w:left w:val="none" w:sz="0" w:space="0" w:color="auto"/>
                                                <w:bottom w:val="none" w:sz="0" w:space="0" w:color="auto"/>
                                                <w:right w:val="none" w:sz="0" w:space="0" w:color="auto"/>
                                              </w:divBdr>
                                              <w:divsChild>
                                                <w:div w:id="11883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Documents/Publications/Factsheet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ertified_x0020_copy xmlns="95055ff2-0f05-4beb-977c-8caf01a94407">false</Certified_x0020_copy>
    <Year xmlns="95055ff2-0f05-4beb-977c-8caf01a94407">2013</Year>
    <SecurityClassification xmlns="95055ff2-0f05-4beb-977c-8caf01a94407">SEC=UNCLASSIFIED</SecurityClassification>
    <_dlc_DocId xmlns="95055ff2-0f05-4beb-977c-8caf01a94407">PHIAC-344-1370</_dlc_DocId>
    <_dlc_DocIdUrl xmlns="95055ff2-0f05-4beb-977c-8caf01a94407">
      <Url>http://intranet.phiac.gov.au/Industry/Policy/_layouts/DocIdRedir.aspx?ID=PHIAC-344-1370</Url>
      <Description>PHIAC-344-1370</Description>
    </_dlc_DocIdUrl>
    <Policy_x0020_Document_x0020_Type xmlns="da9bfdf1-bce3-47f1-836f-4f8e951b3b0b">Prudential Standards</Policy_x0020_Document_x0020_Type>
    <Policy_x0020_Sub_x0020_Type xmlns="da9bfdf1-bce3-47f1-836f-4f8e951b3b0b">Appointed actuary</Policy_x0020_Sub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HI prudential regulation administrative tasks" ma:contentTypeID="0x010100778F530D152EEA4E90185A25BBC21E3B00674FB848432AB349ACFCECA17B038EDE" ma:contentTypeVersion="13" ma:contentTypeDescription="" ma:contentTypeScope="" ma:versionID="d534c862d72a412e42fea1a434b2dbca">
  <xsd:schema xmlns:xsd="http://www.w3.org/2001/XMLSchema" xmlns:xs="http://www.w3.org/2001/XMLSchema" xmlns:p="http://schemas.microsoft.com/office/2006/metadata/properties" xmlns:ns3="95055ff2-0f05-4beb-977c-8caf01a94407" xmlns:ns4="da9bfdf1-bce3-47f1-836f-4f8e951b3b0b" targetNamespace="http://schemas.microsoft.com/office/2006/metadata/properties" ma:root="true" ma:fieldsID="b9f063666f154d201b21188c40f1e0d5" ns3:_="" ns4:_="">
    <xsd:import namespace="95055ff2-0f05-4beb-977c-8caf01a94407"/>
    <xsd:import namespace="da9bfdf1-bce3-47f1-836f-4f8e951b3b0b"/>
    <xsd:element name="properties">
      <xsd:complexType>
        <xsd:sequence>
          <xsd:element name="documentManagement">
            <xsd:complexType>
              <xsd:all>
                <xsd:element ref="ns3:_dlc_DocId" minOccurs="0"/>
                <xsd:element ref="ns3:_dlc_DocIdUrl" minOccurs="0"/>
                <xsd:element ref="ns3:_dlc_DocIdPersistId" minOccurs="0"/>
                <xsd:element ref="ns3:Certified_x0020_copy" minOccurs="0"/>
                <xsd:element ref="ns3:SecurityClassification" minOccurs="0"/>
                <xsd:element ref="ns3:Year" minOccurs="0"/>
                <xsd:element ref="ns4:Policy_x0020_Document_x0020_Type" minOccurs="0"/>
                <xsd:element ref="ns4:Policy_x0020_Sub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55ff2-0f05-4beb-977c-8caf01a94407"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Certified_x0020_copy" ma:index="12" nillable="true" ma:displayName="Certified copy" ma:default="0" ma:internalName="Certified_x0020_copy">
      <xsd:simpleType>
        <xsd:restriction base="dms:Boolean"/>
      </xsd:simpleType>
    </xsd:element>
    <xsd:element name="SecurityClassification" ma:index="13" nillable="true" ma:displayName="Confidence Classifications" ma:format="Dropdown" ma:internalName="SecurityClassification">
      <xsd:simpleType>
        <xsd:restriction base="dms:Choice">
          <xsd:enumeration value="SEC=UNOFFICIAL"/>
          <xsd:enumeration value="SEC=UNCLASSIFIED"/>
          <xsd:enumeration value="DLM=For-Official-Use-Only"/>
          <xsd:enumeration value="DLM=Sensitive"/>
          <xsd:enumeration value="DLM=Sensitive:Legal"/>
          <xsd:enumeration value="DLM=Sensitive:Personal"/>
          <xsd:enumeration value="SEC=Protected"/>
          <xsd:enumeration value="SEC=Protected|DLM=Sensitive"/>
          <xsd:enumeration value="SEC=Protected|DLM=Sensitive:Legal"/>
          <xsd:enumeration value="SEC=Protected|DLM=Sensitive:Personal"/>
          <xsd:enumeration value="SEC=Protected|DLM=Sensitive:Cabinet"/>
        </xsd:restriction>
      </xsd:simpleType>
    </xsd:element>
    <xsd:element name="Year" ma:index="14" nillable="true" ma:displayName="Year" ma:default="2013" ma:format="Dropdown" ma:internalName="Year">
      <xsd:simpleType>
        <xsd:restriction base="dms:Choice">
          <xsd:enumeration value="2007"/>
          <xsd:enumeration value="2008"/>
          <xsd:enumeration value="2009"/>
          <xsd:enumeration value="2010"/>
          <xsd:enumeration value="2011"/>
          <xsd:enumeration value="2012"/>
          <xsd:enumeration value="2013"/>
          <xsd:enumeration value="2014"/>
          <xsd:enumeration value="2015"/>
        </xsd:restriction>
      </xsd:simpleType>
    </xsd:element>
  </xsd:schema>
  <xsd:schema xmlns:xsd="http://www.w3.org/2001/XMLSchema" xmlns:xs="http://www.w3.org/2001/XMLSchema" xmlns:dms="http://schemas.microsoft.com/office/2006/documentManagement/types" xmlns:pc="http://schemas.microsoft.com/office/infopath/2007/PartnerControls" targetNamespace="da9bfdf1-bce3-47f1-836f-4f8e951b3b0b" elementFormDefault="qualified">
    <xsd:import namespace="http://schemas.microsoft.com/office/2006/documentManagement/types"/>
    <xsd:import namespace="http://schemas.microsoft.com/office/infopath/2007/PartnerControls"/>
    <xsd:element name="Policy_x0020_Document_x0020_Type" ma:index="15" nillable="true" ma:displayName="Policy Documents" ma:format="Dropdown" ma:internalName="Policy_x0020_Document_x0020_Type">
      <xsd:simpleType>
        <xsd:restriction base="dms:Choice">
          <xsd:enumeration value="Regulatory Case Studies"/>
          <xsd:enumeration value="Prudential Standards"/>
          <xsd:enumeration value="Brokers"/>
          <xsd:enumeration value="Lifetime Health Cover"/>
          <xsd:enumeration value="Circulating Resolutions"/>
          <xsd:enumeration value="International Request"/>
          <xsd:enumeration value="Standard Operating Procedures"/>
          <xsd:enumeration value="Stakeholder Survey"/>
          <xsd:enumeration value="Capital Standards"/>
          <xsd:enumeration value="Competition Policy"/>
        </xsd:restriction>
      </xsd:simpleType>
    </xsd:element>
    <xsd:element name="Policy_x0020_Sub_x0020_Type" ma:index="16" nillable="true" ma:displayName="Policy Documents Sub" ma:format="Dropdown" ma:internalName="Policy_x0020_Sub_x0020_Type">
      <xsd:simpleType>
        <xsd:union memberTypes="dms:Text">
          <xsd:simpleType>
            <xsd:restriction base="dms:Choice">
              <xsd:enumeration value="Fit and Proper"/>
              <xsd:enumeration value="Governance"/>
              <xsd:enumeration value="Disclosure"/>
              <xsd:enumeration value="Appointed actuary"/>
              <xsd:enumeration value="Outsourcing"/>
              <xsd:enumeration value="Risk Management"/>
              <xsd:enumeration value="Whistleblower"/>
              <xsd:enumeration value="Solvency  and Capital Adequacy"/>
              <xsd:enumeration value="SOP 1: Enforceable Undertakings"/>
              <xsd:enumeration value="SOP 2: Council Directions"/>
              <xsd:enumeration value="SOP 3: Information Acquisition Powers"/>
              <xsd:enumeration value="SOP 4: Appointing an Inspector"/>
              <xsd:enumeration value="SOP 5: Appointing an External Manager"/>
              <xsd:enumeration value="SOP 6: Managing Capital Adequacy"/>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6063F-5D41-4F82-A16A-F4251B9D3D2A}">
  <ds:schemaRefs>
    <ds:schemaRef ds:uri="http://purl.org/dc/dcmitype/"/>
    <ds:schemaRef ds:uri="http://purl.org/dc/terms/"/>
    <ds:schemaRef ds:uri="http://www.w3.org/XML/1998/namespace"/>
    <ds:schemaRef ds:uri="da9bfdf1-bce3-47f1-836f-4f8e951b3b0b"/>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95055ff2-0f05-4beb-977c-8caf01a94407"/>
    <ds:schemaRef ds:uri="http://purl.org/dc/elements/1.1/"/>
  </ds:schemaRefs>
</ds:datastoreItem>
</file>

<file path=customXml/itemProps2.xml><?xml version="1.0" encoding="utf-8"?>
<ds:datastoreItem xmlns:ds="http://schemas.openxmlformats.org/officeDocument/2006/customXml" ds:itemID="{72273841-C052-4E5F-B6BD-3252F07DB92E}">
  <ds:schemaRefs>
    <ds:schemaRef ds:uri="http://schemas.microsoft.com/sharepoint/v3/contenttype/forms"/>
  </ds:schemaRefs>
</ds:datastoreItem>
</file>

<file path=customXml/itemProps3.xml><?xml version="1.0" encoding="utf-8"?>
<ds:datastoreItem xmlns:ds="http://schemas.openxmlformats.org/officeDocument/2006/customXml" ds:itemID="{CD3148C7-4834-4911-B75E-1F3A0E0D5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55ff2-0f05-4beb-977c-8caf01a94407"/>
    <ds:schemaRef ds:uri="da9bfdf1-bce3-47f1-836f-4f8e951b3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225B6-AF53-4F1F-99B3-DDE907FC8E8C}">
  <ds:schemaRefs>
    <ds:schemaRef ds:uri="http://schemas.microsoft.com/sharepoint/events"/>
  </ds:schemaRefs>
</ds:datastoreItem>
</file>

<file path=customXml/itemProps5.xml><?xml version="1.0" encoding="utf-8"?>
<ds:datastoreItem xmlns:ds="http://schemas.openxmlformats.org/officeDocument/2006/customXml" ds:itemID="{AE7F99A5-124D-45C6-A78A-057F3AFB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2257</Words>
  <Characters>12866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PHIAC</Company>
  <LinksUpToDate>false</LinksUpToDate>
  <CharactersWithSpaces>15093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annemaree.gray</dc:creator>
  <cp:lastModifiedBy>Emma Shaw</cp:lastModifiedBy>
  <cp:revision>2</cp:revision>
  <dcterms:created xsi:type="dcterms:W3CDTF">2013-09-09T01:20:00Z</dcterms:created>
  <dcterms:modified xsi:type="dcterms:W3CDTF">2013-09-09T01:20:00Z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0x010100778F530D152EEA4E90185A25BBC21E3B00674FB848432AB349ACFCECA17B038EDE</vt:lpwstr>
  </property>
  <property fmtid="{D5CDD505-2E9C-101B-9397-08002B2CF9AE}" pid="3" name="Hardcopy">
    <vt:bool>false</vt:bool>
  </property>
  <property fmtid="{D5CDD505-2E9C-101B-9397-08002B2CF9AE}" pid="4" name="Certified copy">
    <vt:lpwstr>false</vt:lpwstr>
  </property>
  <property fmtid="{D5CDD505-2E9C-101B-9397-08002B2CF9AE}" pid="5" name="File Name">
    <vt:lpwstr/>
  </property>
  <property fmtid="{D5CDD505-2E9C-101B-9397-08002B2CF9AE}" pid="6" name="_dlc_DocIdItemGuid">
    <vt:lpwstr>380eaab5-1b56-43df-9932-16a9ae9cf30d</vt:lpwstr>
  </property>
  <property fmtid="{D5CDD505-2E9C-101B-9397-08002B2CF9AE}" pid="7" name="_dlc_policyId">
    <vt:lpwstr>0x0101007BF107D16ACD9E45A1A1844C90507EC0|-1459032695</vt:lpwstr>
  </property>
  <property fmtid="{D5CDD505-2E9C-101B-9397-08002B2CF9AE}" pid="8"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9" name="Document Type">
    <vt:lpwstr>Board paper</vt:lpwstr>
  </property>
  <property fmtid="{D5CDD505-2E9C-101B-9397-08002B2CF9AE}" pid="10" name="_dlc_ExpireDate">
    <vt:filetime>2014-08-29T03:53:50Z</vt:filetime>
  </property>
</Properties>
</file>