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36C" w:rsidRDefault="0024036C" w:rsidP="0024036C">
      <w:pPr>
        <w:spacing w:before="80" w:after="120" w:line="280" w:lineRule="atLeast"/>
        <w:jc w:val="center"/>
        <w:rPr>
          <w:rFonts w:ascii="Arial" w:hAnsi="Arial" w:cs="Arial"/>
          <w:b/>
          <w:szCs w:val="20"/>
        </w:rPr>
      </w:pPr>
      <w:r w:rsidRPr="00993194">
        <w:rPr>
          <w:rFonts w:ascii="Arial" w:hAnsi="Arial" w:cs="Arial"/>
          <w:b/>
          <w:szCs w:val="20"/>
        </w:rPr>
        <w:t>EX</w:t>
      </w:r>
      <w:r>
        <w:rPr>
          <w:rFonts w:ascii="Arial" w:hAnsi="Arial" w:cs="Arial"/>
          <w:b/>
          <w:szCs w:val="20"/>
        </w:rPr>
        <w:t>P</w:t>
      </w:r>
      <w:r w:rsidRPr="00993194">
        <w:rPr>
          <w:rFonts w:ascii="Arial" w:hAnsi="Arial" w:cs="Arial"/>
          <w:b/>
          <w:szCs w:val="20"/>
        </w:rPr>
        <w:t>LANATORY STATEMENT</w:t>
      </w:r>
    </w:p>
    <w:p w:rsidR="0024036C" w:rsidRPr="00993194" w:rsidRDefault="0024036C" w:rsidP="0024036C">
      <w:pPr>
        <w:spacing w:before="80" w:after="120" w:line="280" w:lineRule="atLeast"/>
        <w:jc w:val="center"/>
        <w:rPr>
          <w:rFonts w:ascii="Arial" w:hAnsi="Arial" w:cs="Arial"/>
          <w:b/>
          <w:szCs w:val="20"/>
        </w:rPr>
      </w:pPr>
      <w:r w:rsidRPr="00993194">
        <w:rPr>
          <w:rFonts w:ascii="Arial" w:hAnsi="Arial" w:cs="Arial"/>
          <w:b/>
          <w:szCs w:val="20"/>
        </w:rPr>
        <w:t>Issued by the Australian Communications and Media Authority</w:t>
      </w:r>
    </w:p>
    <w:p w:rsidR="0024036C" w:rsidRPr="00993194" w:rsidRDefault="0024036C" w:rsidP="0024036C">
      <w:pPr>
        <w:spacing w:before="80" w:after="120" w:line="280" w:lineRule="atLeast"/>
        <w:jc w:val="center"/>
        <w:rPr>
          <w:rFonts w:ascii="Arial" w:hAnsi="Arial" w:cs="Arial"/>
          <w:b/>
          <w:i/>
          <w:szCs w:val="20"/>
        </w:rPr>
      </w:pPr>
      <w:bookmarkStart w:id="0" w:name="OLE_LINK1"/>
      <w:bookmarkStart w:id="1" w:name="OLE_LINK2"/>
      <w:r>
        <w:rPr>
          <w:rFonts w:ascii="Arial" w:hAnsi="Arial" w:cs="Arial"/>
          <w:b/>
          <w:i/>
          <w:szCs w:val="20"/>
        </w:rPr>
        <w:t xml:space="preserve">Telecommunications </w:t>
      </w:r>
      <w:r w:rsidR="003A3243">
        <w:rPr>
          <w:rFonts w:ascii="Arial" w:hAnsi="Arial" w:cs="Arial"/>
          <w:b/>
          <w:i/>
          <w:szCs w:val="20"/>
        </w:rPr>
        <w:t>Numbering Plan Variation</w:t>
      </w:r>
      <w:r>
        <w:rPr>
          <w:rFonts w:ascii="Arial" w:hAnsi="Arial" w:cs="Arial"/>
          <w:b/>
          <w:i/>
          <w:szCs w:val="20"/>
        </w:rPr>
        <w:t xml:space="preserve"> 2013 (No. 1</w:t>
      </w:r>
      <w:r w:rsidRPr="0030003E">
        <w:rPr>
          <w:rFonts w:ascii="Arial" w:hAnsi="Arial" w:cs="Arial"/>
          <w:b/>
          <w:i/>
          <w:szCs w:val="20"/>
        </w:rPr>
        <w:t>)</w:t>
      </w:r>
    </w:p>
    <w:bookmarkEnd w:id="0"/>
    <w:bookmarkEnd w:id="1"/>
    <w:p w:rsidR="0024036C" w:rsidRDefault="0024036C" w:rsidP="0024036C">
      <w:pPr>
        <w:pStyle w:val="ACMABodyText"/>
        <w:spacing w:before="0" w:after="0" w:line="240" w:lineRule="atLeast"/>
        <w:rPr>
          <w:rFonts w:ascii="HelveticaNeueLT Std Lt" w:hAnsi="HelveticaNeueLT Std Lt" w:cs="Arial"/>
          <w:snapToGrid/>
          <w:sz w:val="20"/>
        </w:rPr>
      </w:pPr>
    </w:p>
    <w:p w:rsidR="0024036C" w:rsidRPr="00993194" w:rsidRDefault="0024036C" w:rsidP="0024036C">
      <w:pPr>
        <w:spacing w:before="80" w:after="120" w:line="280" w:lineRule="atLeast"/>
        <w:jc w:val="both"/>
        <w:rPr>
          <w:rFonts w:ascii="Arial" w:hAnsi="Arial" w:cs="Arial"/>
          <w:b/>
          <w:szCs w:val="20"/>
        </w:rPr>
      </w:pPr>
      <w:r w:rsidRPr="00993194">
        <w:rPr>
          <w:rFonts w:ascii="Arial" w:hAnsi="Arial" w:cs="Arial"/>
          <w:b/>
          <w:szCs w:val="20"/>
        </w:rPr>
        <w:t>Purpose</w:t>
      </w:r>
    </w:p>
    <w:p w:rsidR="003A3243" w:rsidRDefault="003A3243" w:rsidP="003A3243">
      <w:r>
        <w:t xml:space="preserve">The </w:t>
      </w:r>
      <w:r w:rsidRPr="003A3243">
        <w:rPr>
          <w:i/>
        </w:rPr>
        <w:t xml:space="preserve">Telecommunications Numbering Plan </w:t>
      </w:r>
      <w:r w:rsidR="00B32A35">
        <w:rPr>
          <w:i/>
        </w:rPr>
        <w:t>Variation 2013 (No. 1)</w:t>
      </w:r>
      <w:r>
        <w:t xml:space="preserve"> (the </w:t>
      </w:r>
      <w:r w:rsidR="00B32A35">
        <w:t>Variation)</w:t>
      </w:r>
      <w:r>
        <w:t xml:space="preserve"> will introduce rules to limit the allocation of </w:t>
      </w:r>
      <w:r w:rsidR="00E6498E">
        <w:t>carriage service provider identification (</w:t>
      </w:r>
      <w:r>
        <w:t>CSPID</w:t>
      </w:r>
      <w:r w:rsidR="00E6498E">
        <w:t>)</w:t>
      </w:r>
      <w:r>
        <w:t xml:space="preserve"> codes to one number per </w:t>
      </w:r>
      <w:r w:rsidR="00E6498E">
        <w:t>carriage service provider (</w:t>
      </w:r>
      <w:r>
        <w:t>CSP</w:t>
      </w:r>
      <w:r w:rsidR="00E6498E">
        <w:t>)</w:t>
      </w:r>
      <w:r>
        <w:t xml:space="preserve"> after they are exempt from the annual numbering charge (ANC). </w:t>
      </w:r>
    </w:p>
    <w:p w:rsidR="003A3243" w:rsidRDefault="003A3243" w:rsidP="003A3243"/>
    <w:p w:rsidR="003A3243" w:rsidRDefault="003A3243" w:rsidP="003A3243">
      <w:r>
        <w:t xml:space="preserve">In addition to </w:t>
      </w:r>
      <w:r w:rsidR="00B9246A">
        <w:t>the V</w:t>
      </w:r>
      <w:r>
        <w:t xml:space="preserve">ariation, the ACMA </w:t>
      </w:r>
      <w:r w:rsidR="00E6498E">
        <w:t xml:space="preserve">has </w:t>
      </w:r>
      <w:r>
        <w:t xml:space="preserve">separately </w:t>
      </w:r>
      <w:r w:rsidR="00E6498E">
        <w:t xml:space="preserve">made </w:t>
      </w:r>
      <w:r>
        <w:t xml:space="preserve">the </w:t>
      </w:r>
      <w:r w:rsidRPr="00882B01">
        <w:rPr>
          <w:i/>
        </w:rPr>
        <w:t>Telecommunications (Annual Charge) Amendment Determination 2013 (No. 1)</w:t>
      </w:r>
      <w:r>
        <w:t xml:space="preserve"> (the Amendment Determination), which will exempt four types of short-digit special services numbers</w:t>
      </w:r>
      <w:r>
        <w:rPr>
          <w:rStyle w:val="FootnoteReference"/>
        </w:rPr>
        <w:footnoteReference w:id="1"/>
      </w:r>
      <w:r>
        <w:t xml:space="preserve">, including the CSPID codes from the ANC. </w:t>
      </w:r>
    </w:p>
    <w:p w:rsidR="003A3243" w:rsidRDefault="003A3243" w:rsidP="003A3243"/>
    <w:p w:rsidR="003A3243" w:rsidRPr="002D3E46" w:rsidRDefault="003A3243" w:rsidP="003A3243">
      <w:pPr>
        <w:rPr>
          <w:szCs w:val="20"/>
        </w:rPr>
      </w:pPr>
      <w:r>
        <w:rPr>
          <w:rFonts w:cs="Arial"/>
        </w:rPr>
        <w:t xml:space="preserve">The purpose of the Variation is to ensure that </w:t>
      </w:r>
      <w:r>
        <w:t xml:space="preserve">CSPID codes are managed efficiently following their exemption from the ANC </w:t>
      </w:r>
      <w:r>
        <w:rPr>
          <w:rFonts w:cs="Arial"/>
        </w:rPr>
        <w:t>as the amount of these numbers available to be allocated by the ACMA is limited</w:t>
      </w:r>
      <w:r>
        <w:rPr>
          <w:rStyle w:val="FootnoteReference"/>
          <w:rFonts w:cs="Arial"/>
        </w:rPr>
        <w:footnoteReference w:id="2"/>
      </w:r>
      <w:r>
        <w:rPr>
          <w:rFonts w:cs="Arial"/>
        </w:rPr>
        <w:t xml:space="preserve">. </w:t>
      </w:r>
      <w:r>
        <w:t xml:space="preserve">The </w:t>
      </w:r>
      <w:r w:rsidR="00B9246A">
        <w:t>V</w:t>
      </w:r>
      <w:r>
        <w:t xml:space="preserve">ariation amends the </w:t>
      </w:r>
      <w:r w:rsidR="00B9246A" w:rsidRPr="00FF6D93">
        <w:rPr>
          <w:i/>
        </w:rPr>
        <w:t>Teleco</w:t>
      </w:r>
      <w:r w:rsidR="00FF6D93" w:rsidRPr="00FF6D93">
        <w:rPr>
          <w:i/>
        </w:rPr>
        <w:t xml:space="preserve">mmunications </w:t>
      </w:r>
      <w:r w:rsidRPr="00FF6D93">
        <w:rPr>
          <w:i/>
        </w:rPr>
        <w:t>Numbering Plan</w:t>
      </w:r>
      <w:r w:rsidR="00FF6D93" w:rsidRPr="00FF6D93">
        <w:rPr>
          <w:i/>
        </w:rPr>
        <w:t xml:space="preserve"> 1997</w:t>
      </w:r>
      <w:r w:rsidR="00FF6D93">
        <w:t xml:space="preserve"> (the Numbering Plan)</w:t>
      </w:r>
      <w:r>
        <w:t xml:space="preserve"> by introducing the following rules which apply specifically to the allocation of </w:t>
      </w:r>
      <w:r>
        <w:rPr>
          <w:rFonts w:cs="Arial"/>
        </w:rPr>
        <w:t>CSPID codes</w:t>
      </w:r>
      <w:r>
        <w:t>:</w:t>
      </w:r>
      <w:r>
        <w:br/>
      </w:r>
    </w:p>
    <w:p w:rsidR="003A3243" w:rsidRPr="002D3E46" w:rsidRDefault="003A3243" w:rsidP="003A3243">
      <w:pPr>
        <w:pStyle w:val="ListParagraph"/>
        <w:numPr>
          <w:ilvl w:val="0"/>
          <w:numId w:val="5"/>
        </w:numPr>
        <w:rPr>
          <w:rFonts w:ascii="HelveticaNeueLT Std Lt" w:hAnsi="HelveticaNeueLT Std Lt"/>
          <w:sz w:val="20"/>
          <w:szCs w:val="20"/>
        </w:rPr>
      </w:pPr>
      <w:r w:rsidRPr="002D3E46">
        <w:rPr>
          <w:rFonts w:ascii="HelveticaNeueLT Std Lt" w:hAnsi="HelveticaNeueLT Std Lt"/>
          <w:sz w:val="20"/>
          <w:szCs w:val="20"/>
        </w:rPr>
        <w:t>the allocation of CSPID codes</w:t>
      </w:r>
      <w:r w:rsidR="00E6498E">
        <w:rPr>
          <w:rFonts w:ascii="HelveticaNeueLT Std Lt" w:hAnsi="HelveticaNeueLT Std Lt"/>
          <w:sz w:val="20"/>
          <w:szCs w:val="20"/>
        </w:rPr>
        <w:t xml:space="preserve"> will be limited</w:t>
      </w:r>
      <w:r w:rsidRPr="002D3E46">
        <w:rPr>
          <w:rFonts w:ascii="HelveticaNeueLT Std Lt" w:hAnsi="HelveticaNeueLT Std Lt"/>
          <w:sz w:val="20"/>
          <w:szCs w:val="20"/>
        </w:rPr>
        <w:t xml:space="preserve"> to one number per </w:t>
      </w:r>
      <w:r w:rsidR="00FC0750">
        <w:rPr>
          <w:rFonts w:ascii="HelveticaNeueLT Std Lt" w:hAnsi="HelveticaNeueLT Std Lt"/>
          <w:sz w:val="20"/>
          <w:szCs w:val="20"/>
        </w:rPr>
        <w:t xml:space="preserve">CSP </w:t>
      </w:r>
      <w:r>
        <w:rPr>
          <w:rFonts w:ascii="HelveticaNeueLT Std Lt" w:hAnsi="HelveticaNeueLT Std Lt"/>
          <w:sz w:val="20"/>
          <w:szCs w:val="20"/>
        </w:rPr>
        <w:t>after the commencement of the Variation</w:t>
      </w:r>
      <w:r w:rsidRPr="002D3E46">
        <w:rPr>
          <w:rFonts w:ascii="HelveticaNeueLT Std Lt" w:hAnsi="HelveticaNeueLT Std Lt"/>
          <w:sz w:val="20"/>
          <w:szCs w:val="20"/>
        </w:rPr>
        <w:t>; and</w:t>
      </w:r>
    </w:p>
    <w:p w:rsidR="003A3243" w:rsidRDefault="003A3243" w:rsidP="003A3243">
      <w:pPr>
        <w:pStyle w:val="ListParagraph"/>
        <w:numPr>
          <w:ilvl w:val="0"/>
          <w:numId w:val="5"/>
        </w:numPr>
        <w:rPr>
          <w:rFonts w:ascii="HelveticaNeueLT Std Lt" w:hAnsi="HelveticaNeueLT Std Lt"/>
          <w:sz w:val="20"/>
          <w:szCs w:val="20"/>
        </w:rPr>
      </w:pPr>
      <w:proofErr w:type="gramStart"/>
      <w:r w:rsidRPr="002D3E46">
        <w:rPr>
          <w:rFonts w:ascii="HelveticaNeueLT Std Lt" w:hAnsi="HelveticaNeueLT Std Lt"/>
          <w:sz w:val="20"/>
          <w:szCs w:val="20"/>
        </w:rPr>
        <w:t>the</w:t>
      </w:r>
      <w:proofErr w:type="gramEnd"/>
      <w:r w:rsidRPr="002D3E46">
        <w:rPr>
          <w:rFonts w:ascii="HelveticaNeueLT Std Lt" w:hAnsi="HelveticaNeueLT Std Lt"/>
          <w:sz w:val="20"/>
          <w:szCs w:val="20"/>
        </w:rPr>
        <w:t xml:space="preserve"> ACMA </w:t>
      </w:r>
      <w:r w:rsidR="00E6498E">
        <w:rPr>
          <w:rFonts w:ascii="HelveticaNeueLT Std Lt" w:hAnsi="HelveticaNeueLT Std Lt"/>
          <w:sz w:val="20"/>
          <w:szCs w:val="20"/>
        </w:rPr>
        <w:t xml:space="preserve">will be able </w:t>
      </w:r>
      <w:r w:rsidRPr="002D3E46">
        <w:rPr>
          <w:rFonts w:ascii="HelveticaNeueLT Std Lt" w:hAnsi="HelveticaNeueLT Std Lt"/>
          <w:sz w:val="20"/>
          <w:szCs w:val="20"/>
        </w:rPr>
        <w:t>to allocate additional CSPID codes if the ACMA is satisfied that special circumstances justify the allocation.</w:t>
      </w:r>
      <w:r w:rsidR="00E6498E">
        <w:rPr>
          <w:rFonts w:ascii="HelveticaNeueLT Std Lt" w:hAnsi="HelveticaNeueLT Std Lt"/>
          <w:sz w:val="20"/>
          <w:szCs w:val="20"/>
        </w:rPr>
        <w:t xml:space="preserve"> The ACMA proposes to publish guidelines on its website about how it will exercise this discretion from time to time. </w:t>
      </w:r>
    </w:p>
    <w:p w:rsidR="003A3243" w:rsidRDefault="00E6498E" w:rsidP="003A3243">
      <w:pPr>
        <w:rPr>
          <w:rFonts w:cs="Arial"/>
          <w:szCs w:val="20"/>
        </w:rPr>
      </w:pPr>
      <w:r>
        <w:t>These rules</w:t>
      </w:r>
      <w:r w:rsidR="003A3243">
        <w:t xml:space="preserve"> will apply to the allocation of CSPID codes </w:t>
      </w:r>
      <w:r>
        <w:t xml:space="preserve">occurring </w:t>
      </w:r>
      <w:r w:rsidR="003A3243">
        <w:t>after the commencement</w:t>
      </w:r>
      <w:r>
        <w:t xml:space="preserve"> of the Variation</w:t>
      </w:r>
      <w:r w:rsidR="003A3243">
        <w:t xml:space="preserve">, irrespective of whether a CSP already holds a CSPID code. </w:t>
      </w:r>
    </w:p>
    <w:p w:rsidR="00E6498E" w:rsidRDefault="00E6498E" w:rsidP="003A3243">
      <w:pPr>
        <w:rPr>
          <w:rFonts w:cs="Arial"/>
          <w:szCs w:val="20"/>
        </w:rPr>
      </w:pPr>
    </w:p>
    <w:p w:rsidR="003A3243" w:rsidRPr="007907E8" w:rsidRDefault="003A3243" w:rsidP="003A3243">
      <w:pPr>
        <w:rPr>
          <w:szCs w:val="20"/>
        </w:rPr>
      </w:pPr>
      <w:r w:rsidRPr="005F6F2E">
        <w:rPr>
          <w:rFonts w:cs="Arial"/>
          <w:szCs w:val="20"/>
        </w:rPr>
        <w:t>The</w:t>
      </w:r>
      <w:r w:rsidR="00BE2E83">
        <w:rPr>
          <w:rFonts w:cs="Arial"/>
          <w:szCs w:val="20"/>
        </w:rPr>
        <w:t>se</w:t>
      </w:r>
      <w:r w:rsidRPr="005F6F2E">
        <w:rPr>
          <w:rFonts w:cs="Arial"/>
          <w:szCs w:val="20"/>
        </w:rPr>
        <w:t xml:space="preserve"> rules will remain in force until such time as the ACMA declares that an industry code, developed by </w:t>
      </w:r>
      <w:r>
        <w:rPr>
          <w:rFonts w:cs="Arial"/>
          <w:szCs w:val="20"/>
        </w:rPr>
        <w:t>industry</w:t>
      </w:r>
      <w:r w:rsidRPr="005F6F2E">
        <w:rPr>
          <w:rFonts w:cs="Arial"/>
          <w:szCs w:val="20"/>
        </w:rPr>
        <w:t xml:space="preserve"> and registered by the ACMA under Part 6 of</w:t>
      </w:r>
      <w:r w:rsidR="00FF6D93">
        <w:rPr>
          <w:rFonts w:cs="Arial"/>
          <w:szCs w:val="20"/>
        </w:rPr>
        <w:t xml:space="preserve"> </w:t>
      </w:r>
      <w:r w:rsidR="00FF6D93">
        <w:t xml:space="preserve">the </w:t>
      </w:r>
      <w:r w:rsidR="00FF6D93" w:rsidRPr="00621573">
        <w:rPr>
          <w:i/>
        </w:rPr>
        <w:t xml:space="preserve">Telecommunications Act 1997 </w:t>
      </w:r>
      <w:r w:rsidR="00FF6D93">
        <w:t>(the Telecommunications Act)</w:t>
      </w:r>
      <w:r w:rsidRPr="005F6F2E">
        <w:rPr>
          <w:rFonts w:cs="Arial"/>
          <w:szCs w:val="20"/>
        </w:rPr>
        <w:t>, is a replacement code</w:t>
      </w:r>
      <w:r>
        <w:rPr>
          <w:rFonts w:cs="Arial"/>
          <w:szCs w:val="20"/>
        </w:rPr>
        <w:t xml:space="preserve"> for the matters covered by the Variation</w:t>
      </w:r>
      <w:r w:rsidRPr="005F6F2E">
        <w:rPr>
          <w:rFonts w:cs="Arial"/>
          <w:szCs w:val="20"/>
        </w:rPr>
        <w:t xml:space="preserve">. </w:t>
      </w:r>
    </w:p>
    <w:p w:rsidR="0024036C" w:rsidRDefault="0024036C" w:rsidP="0024036C">
      <w:pPr>
        <w:pStyle w:val="ACMABodyText"/>
        <w:spacing w:before="0" w:after="0" w:line="240" w:lineRule="atLeast"/>
        <w:rPr>
          <w:rFonts w:ascii="HelveticaNeueLT Std Lt" w:hAnsi="HelveticaNeueLT Std Lt" w:cs="Arial"/>
          <w:snapToGrid/>
          <w:sz w:val="20"/>
        </w:rPr>
      </w:pPr>
    </w:p>
    <w:p w:rsidR="0024036C" w:rsidRPr="00993194" w:rsidRDefault="0024036C" w:rsidP="0024036C">
      <w:pPr>
        <w:spacing w:before="80" w:after="120" w:line="280" w:lineRule="atLeast"/>
        <w:jc w:val="both"/>
        <w:rPr>
          <w:rFonts w:ascii="Arial" w:hAnsi="Arial" w:cs="Arial"/>
          <w:b/>
          <w:szCs w:val="20"/>
        </w:rPr>
      </w:pPr>
      <w:r w:rsidRPr="00402512">
        <w:rPr>
          <w:rFonts w:ascii="Arial" w:hAnsi="Arial" w:cs="Arial"/>
          <w:b/>
          <w:szCs w:val="20"/>
        </w:rPr>
        <w:t>Legislative provisions</w:t>
      </w:r>
    </w:p>
    <w:p w:rsidR="00BE2E83" w:rsidRDefault="00BE2E83" w:rsidP="00BE2E83">
      <w:r>
        <w:t xml:space="preserve">The ACMA has made the Numbering Plan under </w:t>
      </w:r>
      <w:r w:rsidR="009256C8">
        <w:t>sub</w:t>
      </w:r>
      <w:r>
        <w:t xml:space="preserve">section 455(1) </w:t>
      </w:r>
      <w:r w:rsidR="00FF6D93">
        <w:t xml:space="preserve">of </w:t>
      </w:r>
      <w:r w:rsidR="00FF6D93" w:rsidRPr="005F6F2E">
        <w:rPr>
          <w:rFonts w:cs="Arial"/>
          <w:szCs w:val="20"/>
        </w:rPr>
        <w:t xml:space="preserve">the </w:t>
      </w:r>
      <w:r w:rsidR="00FF6D93">
        <w:rPr>
          <w:rFonts w:cs="Arial"/>
          <w:szCs w:val="20"/>
        </w:rPr>
        <w:t xml:space="preserve">Telecommunications </w:t>
      </w:r>
      <w:r w:rsidR="00FF6D93" w:rsidRPr="005F6F2E">
        <w:rPr>
          <w:rFonts w:cs="Arial"/>
          <w:szCs w:val="20"/>
        </w:rPr>
        <w:t>Act</w:t>
      </w:r>
      <w:r w:rsidR="00FF6D93">
        <w:t xml:space="preserve">. </w:t>
      </w:r>
      <w:r>
        <w:t xml:space="preserve">The Numbering Plan sets out the rules in relation to the numbering of carriage services in Australia and the use of numbers in connection with the supply of such services. Chapter 6 of the Numbering Plan sets out the rules for the ACMA to allocate certain numbers to CSPs, including short-digit special services numbers.  </w:t>
      </w:r>
    </w:p>
    <w:p w:rsidR="00517856" w:rsidRDefault="00517856" w:rsidP="00BE2E83"/>
    <w:p w:rsidR="00517856" w:rsidRPr="00DF1414" w:rsidRDefault="00517856" w:rsidP="00517856">
      <w:pPr>
        <w:jc w:val="both"/>
        <w:rPr>
          <w:szCs w:val="20"/>
        </w:rPr>
      </w:pPr>
      <w:r w:rsidRPr="00DF1414">
        <w:rPr>
          <w:szCs w:val="20"/>
        </w:rPr>
        <w:t xml:space="preserve">Subsection 33(3) of the </w:t>
      </w:r>
      <w:r w:rsidRPr="00DF1414">
        <w:rPr>
          <w:i/>
          <w:iCs/>
          <w:szCs w:val="20"/>
        </w:rPr>
        <w:t xml:space="preserve">Acts Interpretation Act 1901 </w:t>
      </w:r>
      <w:r w:rsidRPr="00B9201A">
        <w:rPr>
          <w:iCs/>
          <w:szCs w:val="20"/>
        </w:rPr>
        <w:t>(the AIA)</w:t>
      </w:r>
      <w:r>
        <w:rPr>
          <w:i/>
          <w:iCs/>
          <w:szCs w:val="20"/>
        </w:rPr>
        <w:t xml:space="preserve"> </w:t>
      </w:r>
      <w:r w:rsidRPr="00DF1414">
        <w:rPr>
          <w:szCs w:val="20"/>
        </w:rPr>
        <w:t>provides that where an Act confers a power to make, grant or issue any instrument, the power includes a power to amend or vary that instrument, in the like manner and subject to the like conditions as making the instrument.</w:t>
      </w:r>
    </w:p>
    <w:p w:rsidR="00517856" w:rsidRDefault="00517856" w:rsidP="00BE2E83"/>
    <w:p w:rsidR="00BE2E83" w:rsidRDefault="00BE2E83" w:rsidP="00BE2E83">
      <w:r>
        <w:t xml:space="preserve">The ACMA has varied the Numbering Plan by </w:t>
      </w:r>
      <w:r w:rsidR="009256C8">
        <w:t>means of</w:t>
      </w:r>
      <w:r>
        <w:t xml:space="preserve"> the Variation. The Variation has been made under subsection 455(1) of the Telecommunications Act, taking into account the relevant matters listed under subsection 455(10) of the Telecommunications Act</w:t>
      </w:r>
      <w:r w:rsidR="00517856">
        <w:t>, and subsection 33(3) of the AIA</w:t>
      </w:r>
      <w:r>
        <w:t xml:space="preserve">. </w:t>
      </w:r>
    </w:p>
    <w:p w:rsidR="00FC0750" w:rsidRDefault="00FC0750" w:rsidP="00BE2E83"/>
    <w:p w:rsidR="00822FD2" w:rsidRDefault="00822FD2" w:rsidP="00822FD2">
      <w:pPr>
        <w:spacing w:before="80" w:after="120" w:line="280" w:lineRule="atLeast"/>
        <w:jc w:val="both"/>
        <w:rPr>
          <w:rFonts w:ascii="Arial" w:hAnsi="Arial" w:cs="Arial"/>
          <w:b/>
          <w:szCs w:val="20"/>
        </w:rPr>
      </w:pPr>
    </w:p>
    <w:p w:rsidR="00822FD2" w:rsidRDefault="00822FD2" w:rsidP="00822FD2">
      <w:pPr>
        <w:spacing w:before="80" w:after="120" w:line="280" w:lineRule="atLeast"/>
        <w:jc w:val="both"/>
        <w:rPr>
          <w:rFonts w:ascii="Arial" w:hAnsi="Arial" w:cs="Arial"/>
          <w:b/>
          <w:szCs w:val="20"/>
        </w:rPr>
      </w:pPr>
    </w:p>
    <w:p w:rsidR="00822FD2" w:rsidRDefault="0024036C" w:rsidP="00822FD2">
      <w:pPr>
        <w:spacing w:before="80" w:after="120" w:line="280" w:lineRule="atLeast"/>
        <w:jc w:val="both"/>
      </w:pPr>
      <w:r w:rsidRPr="0052744D">
        <w:rPr>
          <w:rFonts w:ascii="Arial" w:hAnsi="Arial" w:cs="Arial"/>
          <w:b/>
          <w:szCs w:val="20"/>
        </w:rPr>
        <w:lastRenderedPageBreak/>
        <w:t>Background</w:t>
      </w:r>
    </w:p>
    <w:p w:rsidR="00FC0750" w:rsidRDefault="00FC0750" w:rsidP="001E5071">
      <w:pPr>
        <w:spacing w:before="80" w:after="120" w:line="280" w:lineRule="atLeast"/>
      </w:pPr>
      <w:r>
        <w:t>During 2010 and 2011 the ACMA examined a wide range of issues rela</w:t>
      </w:r>
      <w:r w:rsidR="001E5071">
        <w:t xml:space="preserve">ted to the regulatory framework </w:t>
      </w:r>
      <w:r>
        <w:t xml:space="preserve">for telephone numbers. These issues emerged as a result of changes in industry structures, service offerings and consumer behaviour since the </w:t>
      </w:r>
      <w:r w:rsidR="009256C8">
        <w:t>Numbering P</w:t>
      </w:r>
      <w:r>
        <w:t xml:space="preserve">lan was created. </w:t>
      </w:r>
    </w:p>
    <w:p w:rsidR="00FC0750" w:rsidRDefault="00FC0750" w:rsidP="00FC0750">
      <w:pPr>
        <w:rPr>
          <w:rFonts w:ascii="Arial" w:eastAsiaTheme="minorEastAsia" w:hAnsi="Arial" w:cs="Arial"/>
          <w:bCs/>
          <w:noProof/>
          <w:szCs w:val="20"/>
        </w:rPr>
      </w:pPr>
    </w:p>
    <w:p w:rsidR="00FC0750" w:rsidRDefault="00FC0750" w:rsidP="00FC0750">
      <w:pPr>
        <w:rPr>
          <w:rFonts w:eastAsiaTheme="minorEastAsia" w:cs="Arial"/>
          <w:bCs/>
          <w:noProof/>
          <w:szCs w:val="20"/>
        </w:rPr>
      </w:pPr>
      <w:r w:rsidRPr="00995068">
        <w:rPr>
          <w:rFonts w:eastAsiaTheme="minorEastAsia" w:cs="Arial"/>
          <w:bCs/>
          <w:noProof/>
          <w:szCs w:val="20"/>
        </w:rPr>
        <w:t xml:space="preserve">The aim of this work program was to consider existing arrangements for telephone numbers to ensure that they were efficent and effective, as well as what transitional arrangements might be necessary to ensure that they continue to remain so in the future.  </w:t>
      </w:r>
    </w:p>
    <w:p w:rsidR="00FC0750" w:rsidRPr="00F136E8" w:rsidRDefault="00FC0750" w:rsidP="00FC0750">
      <w:pPr>
        <w:rPr>
          <w:rFonts w:eastAsiaTheme="minorEastAsia" w:cs="Arial"/>
          <w:bCs/>
          <w:noProof/>
          <w:szCs w:val="20"/>
        </w:rPr>
      </w:pPr>
    </w:p>
    <w:p w:rsidR="00FC0750" w:rsidRPr="008127E8" w:rsidRDefault="00FC0750" w:rsidP="00FC0750">
      <w:pPr>
        <w:rPr>
          <w:rFonts w:cs="Arial"/>
          <w:szCs w:val="20"/>
        </w:rPr>
      </w:pPr>
      <w:r w:rsidRPr="008127E8">
        <w:rPr>
          <w:rFonts w:cs="Arial"/>
          <w:szCs w:val="20"/>
        </w:rPr>
        <w:t xml:space="preserve">An issue of concern raised by the ACMA with stakeholders was the impact on </w:t>
      </w:r>
      <w:r>
        <w:rPr>
          <w:rFonts w:cs="Arial"/>
          <w:szCs w:val="20"/>
        </w:rPr>
        <w:t xml:space="preserve">competition in </w:t>
      </w:r>
      <w:r w:rsidRPr="008127E8">
        <w:rPr>
          <w:rFonts w:cs="Arial"/>
          <w:szCs w:val="20"/>
        </w:rPr>
        <w:t xml:space="preserve">the telecommunications market caused by the ANC levied on short-digit special services numbers. </w:t>
      </w:r>
      <w:r>
        <w:rPr>
          <w:rFonts w:cs="Arial"/>
          <w:szCs w:val="20"/>
        </w:rPr>
        <w:t>Submissions to the ACMA stated that t</w:t>
      </w:r>
      <w:r w:rsidRPr="008127E8">
        <w:rPr>
          <w:rFonts w:cs="Arial"/>
          <w:szCs w:val="20"/>
        </w:rPr>
        <w:t>h</w:t>
      </w:r>
      <w:r>
        <w:rPr>
          <w:rFonts w:cs="Arial"/>
          <w:szCs w:val="20"/>
        </w:rPr>
        <w:t xml:space="preserve">e high </w:t>
      </w:r>
      <w:r w:rsidRPr="008127E8">
        <w:rPr>
          <w:rFonts w:cs="Arial"/>
          <w:szCs w:val="20"/>
        </w:rPr>
        <w:t>ongoing cost</w:t>
      </w:r>
      <w:r>
        <w:rPr>
          <w:rFonts w:cs="Arial"/>
          <w:szCs w:val="20"/>
        </w:rPr>
        <w:t xml:space="preserve"> of ANC</w:t>
      </w:r>
      <w:r w:rsidRPr="008127E8">
        <w:rPr>
          <w:rFonts w:cs="Arial"/>
          <w:szCs w:val="20"/>
        </w:rPr>
        <w:t xml:space="preserve"> acted as a barrier to market entrants </w:t>
      </w:r>
      <w:r>
        <w:rPr>
          <w:rFonts w:cs="Arial"/>
          <w:szCs w:val="20"/>
        </w:rPr>
        <w:t xml:space="preserve">and disproportionately affected smaller CSPs. </w:t>
      </w:r>
      <w:r w:rsidRPr="008127E8">
        <w:rPr>
          <w:rFonts w:cs="Arial"/>
          <w:szCs w:val="20"/>
        </w:rPr>
        <w:t xml:space="preserve">Submissions </w:t>
      </w:r>
      <w:r>
        <w:rPr>
          <w:rFonts w:cs="Arial"/>
          <w:szCs w:val="20"/>
        </w:rPr>
        <w:t xml:space="preserve">also raised concerns with that the removal of ANC from CSPID codes </w:t>
      </w:r>
      <w:r w:rsidR="009256C8">
        <w:rPr>
          <w:rFonts w:cs="Arial"/>
          <w:szCs w:val="20"/>
        </w:rPr>
        <w:t>may</w:t>
      </w:r>
      <w:r w:rsidR="00822FD2">
        <w:rPr>
          <w:rFonts w:cs="Arial"/>
          <w:szCs w:val="20"/>
        </w:rPr>
        <w:t xml:space="preserve"> </w:t>
      </w:r>
      <w:r>
        <w:rPr>
          <w:rFonts w:cs="Arial"/>
          <w:szCs w:val="20"/>
        </w:rPr>
        <w:t xml:space="preserve">cause a high demand for these numbers and result in exhaustion of their available supply. </w:t>
      </w:r>
    </w:p>
    <w:p w:rsidR="00FC0750" w:rsidRPr="00995068" w:rsidRDefault="00FC0750" w:rsidP="00FC0750">
      <w:pPr>
        <w:rPr>
          <w:rFonts w:cs="Arial"/>
        </w:rPr>
      </w:pPr>
    </w:p>
    <w:p w:rsidR="00FC0750" w:rsidRDefault="00FC0750" w:rsidP="00FC0750">
      <w:r>
        <w:t>On 27 September 2012, the ACMA announced its decision to implement 24 actions in response to consultation on the review of numbering arrangements. One of the actions arising from the review was to consult on the proposal to exempt the four types of short-digit special services numbers from the ANC.</w:t>
      </w:r>
    </w:p>
    <w:p w:rsidR="00FC0750" w:rsidRDefault="00FC0750" w:rsidP="00FC0750"/>
    <w:p w:rsidR="0024036C" w:rsidRDefault="00FC0750" w:rsidP="0024036C">
      <w:r>
        <w:t xml:space="preserve">The Variation has been made to ensure that CSPID codes are managed efficiently when they are no longer subject to the ANC. </w:t>
      </w:r>
    </w:p>
    <w:p w:rsidR="001A0B9E" w:rsidRDefault="001A0B9E" w:rsidP="0024036C">
      <w:pPr>
        <w:rPr>
          <w:rFonts w:cs="Arial"/>
        </w:rPr>
      </w:pPr>
    </w:p>
    <w:p w:rsidR="0024036C" w:rsidRPr="00993194" w:rsidRDefault="0024036C" w:rsidP="0024036C">
      <w:pPr>
        <w:keepNext/>
        <w:spacing w:before="80" w:after="120" w:line="280" w:lineRule="atLeast"/>
        <w:jc w:val="both"/>
        <w:rPr>
          <w:rFonts w:ascii="Arial" w:hAnsi="Arial" w:cs="Arial"/>
          <w:szCs w:val="20"/>
        </w:rPr>
      </w:pPr>
      <w:r w:rsidRPr="00993194">
        <w:rPr>
          <w:rFonts w:ascii="Arial" w:hAnsi="Arial" w:cs="Arial"/>
          <w:b/>
          <w:szCs w:val="20"/>
        </w:rPr>
        <w:t>Consultation</w:t>
      </w:r>
    </w:p>
    <w:p w:rsidR="0024036C" w:rsidRDefault="008B684F" w:rsidP="0024036C">
      <w:pPr>
        <w:keepNext/>
        <w:rPr>
          <w:rFonts w:cs="Arial"/>
          <w:color w:val="000000"/>
        </w:rPr>
      </w:pPr>
      <w:r w:rsidRPr="0060231A">
        <w:rPr>
          <w:rFonts w:cs="Arial"/>
        </w:rPr>
        <w:t xml:space="preserve">Section 17 of the </w:t>
      </w:r>
      <w:r w:rsidRPr="009256C8">
        <w:rPr>
          <w:rFonts w:cs="Arial"/>
          <w:i/>
        </w:rPr>
        <w:t xml:space="preserve">Legislative Instruments Act </w:t>
      </w:r>
      <w:r w:rsidR="009256C8" w:rsidRPr="009256C8">
        <w:rPr>
          <w:rFonts w:cs="Arial"/>
          <w:i/>
        </w:rPr>
        <w:t>2003</w:t>
      </w:r>
      <w:r w:rsidR="009256C8">
        <w:rPr>
          <w:rFonts w:cs="Arial"/>
        </w:rPr>
        <w:t xml:space="preserve"> </w:t>
      </w:r>
      <w:r w:rsidRPr="0060231A">
        <w:rPr>
          <w:rFonts w:cs="Arial"/>
        </w:rPr>
        <w:t xml:space="preserve">(LIA) requires rule makers to be satisfied that consultation that is appropriate and reasonably practicable to undertake </w:t>
      </w:r>
      <w:r w:rsidRPr="0060231A">
        <w:rPr>
          <w:rFonts w:cs="Arial"/>
          <w:color w:val="000000"/>
        </w:rPr>
        <w:t>has been undertaken before a legislative instrument is made.</w:t>
      </w:r>
      <w:r w:rsidR="0024036C">
        <w:rPr>
          <w:rFonts w:cs="Arial"/>
          <w:color w:val="000000"/>
        </w:rPr>
        <w:t xml:space="preserve"> </w:t>
      </w:r>
    </w:p>
    <w:p w:rsidR="0024036C" w:rsidRDefault="0024036C" w:rsidP="0024036C">
      <w:pPr>
        <w:rPr>
          <w:rFonts w:cs="Arial"/>
          <w:color w:val="000000"/>
        </w:rPr>
      </w:pPr>
    </w:p>
    <w:p w:rsidR="00A92A21" w:rsidRDefault="00A92A21" w:rsidP="00A92A21">
      <w:pPr>
        <w:pStyle w:val="ACMABodyText"/>
        <w:spacing w:before="0" w:after="0" w:line="240" w:lineRule="atLeast"/>
        <w:rPr>
          <w:rFonts w:ascii="HelveticaNeueLT Std Lt" w:hAnsi="HelveticaNeueLT Std Lt" w:cs="Arial"/>
          <w:color w:val="000000"/>
          <w:sz w:val="20"/>
        </w:rPr>
      </w:pPr>
      <w:r w:rsidRPr="00744FE4">
        <w:rPr>
          <w:rFonts w:ascii="HelveticaNeueLT Std Lt" w:hAnsi="HelveticaNeueLT Std Lt" w:cs="Arial"/>
          <w:color w:val="000000"/>
          <w:sz w:val="20"/>
        </w:rPr>
        <w:t xml:space="preserve">Subsection 460(3) of the </w:t>
      </w:r>
      <w:r>
        <w:rPr>
          <w:rFonts w:ascii="HelveticaNeueLT Std Lt" w:hAnsi="HelveticaNeueLT Std Lt" w:cs="Arial"/>
          <w:color w:val="000000"/>
          <w:sz w:val="20"/>
        </w:rPr>
        <w:t xml:space="preserve">Telecommunications </w:t>
      </w:r>
      <w:r w:rsidRPr="00744FE4">
        <w:rPr>
          <w:rFonts w:ascii="HelveticaNeueLT Std Lt" w:hAnsi="HelveticaNeueLT Std Lt" w:cs="Arial"/>
          <w:color w:val="000000"/>
          <w:sz w:val="20"/>
        </w:rPr>
        <w:t xml:space="preserve">Act requires the ACMA to undertake public consultation on a variation to the </w:t>
      </w:r>
      <w:r>
        <w:rPr>
          <w:rFonts w:ascii="HelveticaNeueLT Std Lt" w:hAnsi="HelveticaNeueLT Std Lt" w:cs="Arial"/>
          <w:color w:val="000000"/>
          <w:sz w:val="20"/>
        </w:rPr>
        <w:t xml:space="preserve">Numbering </w:t>
      </w:r>
      <w:r w:rsidRPr="00744FE4">
        <w:rPr>
          <w:rFonts w:ascii="HelveticaNeueLT Std Lt" w:hAnsi="HelveticaNeueLT Std Lt" w:cs="Arial"/>
          <w:color w:val="000000"/>
          <w:sz w:val="20"/>
        </w:rPr>
        <w:t xml:space="preserve">Plan if the ACMA considers that the proposed variation will affect a number issued to a customer of a CSP in a particular State, or that it is in the public interest that the public in a particular State be consulted about the variation.  </w:t>
      </w:r>
    </w:p>
    <w:p w:rsidR="00A92A21" w:rsidRDefault="00A92A21" w:rsidP="00A92A21">
      <w:pPr>
        <w:pStyle w:val="ACMABodyText"/>
        <w:spacing w:before="0" w:after="0" w:line="240" w:lineRule="atLeast"/>
        <w:rPr>
          <w:rFonts w:ascii="HelveticaNeueLT Std Lt" w:hAnsi="HelveticaNeueLT Std Lt" w:cs="Arial"/>
          <w:color w:val="000000"/>
          <w:sz w:val="20"/>
        </w:rPr>
      </w:pPr>
    </w:p>
    <w:p w:rsidR="00A92A21" w:rsidRDefault="00A92A21" w:rsidP="00A92A21">
      <w:pPr>
        <w:pStyle w:val="ACMABodyText"/>
        <w:spacing w:before="0" w:after="0" w:line="240" w:lineRule="atLeast"/>
        <w:rPr>
          <w:rFonts w:ascii="HelveticaNeueLT Std Lt" w:hAnsi="HelveticaNeueLT Std Lt" w:cs="Arial"/>
          <w:color w:val="000000"/>
          <w:sz w:val="20"/>
        </w:rPr>
      </w:pPr>
      <w:r>
        <w:rPr>
          <w:rFonts w:ascii="HelveticaNeueLT Std Lt" w:hAnsi="HelveticaNeueLT Std Lt" w:cs="Arial"/>
          <w:color w:val="000000"/>
          <w:sz w:val="20"/>
        </w:rPr>
        <w:t xml:space="preserve">Although the Variation will </w:t>
      </w:r>
      <w:r w:rsidRPr="00744FE4">
        <w:rPr>
          <w:rFonts w:ascii="HelveticaNeueLT Std Lt" w:hAnsi="HelveticaNeueLT Std Lt" w:cs="Arial"/>
          <w:color w:val="000000"/>
          <w:sz w:val="20"/>
        </w:rPr>
        <w:t>affect current and/or future holders of short-digit special services numbers</w:t>
      </w:r>
      <w:r>
        <w:rPr>
          <w:rFonts w:ascii="HelveticaNeueLT Std Lt" w:hAnsi="HelveticaNeueLT Std Lt" w:cs="Arial"/>
          <w:color w:val="000000"/>
          <w:sz w:val="20"/>
        </w:rPr>
        <w:t>,</w:t>
      </w:r>
      <w:r w:rsidRPr="00744FE4">
        <w:rPr>
          <w:rFonts w:ascii="HelveticaNeueLT Std Lt" w:hAnsi="HelveticaNeueLT Std Lt" w:cs="Arial"/>
          <w:color w:val="000000"/>
          <w:sz w:val="20"/>
        </w:rPr>
        <w:t xml:space="preserve"> these numbers are not issued to customers</w:t>
      </w:r>
      <w:r>
        <w:rPr>
          <w:rFonts w:ascii="HelveticaNeueLT Std Lt" w:hAnsi="HelveticaNeueLT Std Lt" w:cs="Arial"/>
          <w:color w:val="000000"/>
          <w:sz w:val="20"/>
        </w:rPr>
        <w:t xml:space="preserve"> and it is not in the public interest that the public in a particular State be consulted</w:t>
      </w:r>
      <w:r w:rsidRPr="00744FE4">
        <w:rPr>
          <w:rFonts w:ascii="HelveticaNeueLT Std Lt" w:hAnsi="HelveticaNeueLT Std Lt" w:cs="Arial"/>
          <w:color w:val="000000"/>
          <w:sz w:val="20"/>
        </w:rPr>
        <w:t>. The parties who have the greatest interest in the changes are CSPs who pay the ANC.</w:t>
      </w:r>
      <w:r>
        <w:rPr>
          <w:rFonts w:ascii="HelveticaNeueLT Std Lt" w:hAnsi="HelveticaNeueLT Std Lt" w:cs="Arial"/>
          <w:color w:val="000000"/>
          <w:sz w:val="20"/>
        </w:rPr>
        <w:t xml:space="preserve"> Accordingly, the steps in subsection 460(3) were not taken.</w:t>
      </w:r>
    </w:p>
    <w:p w:rsidR="0024036C" w:rsidRPr="00BD5F9F" w:rsidRDefault="0024036C" w:rsidP="0024036C">
      <w:pPr>
        <w:pStyle w:val="ACMABodyText"/>
        <w:rPr>
          <w:rFonts w:ascii="HelveticaNeueLT Std Lt" w:hAnsi="HelveticaNeueLT Std Lt"/>
          <w:sz w:val="20"/>
        </w:rPr>
      </w:pPr>
      <w:r w:rsidRPr="00BD5F9F">
        <w:rPr>
          <w:rFonts w:ascii="HelveticaNeueLT Std Lt" w:hAnsi="HelveticaNeueLT Std Lt" w:cs="Arial"/>
          <w:color w:val="000000"/>
          <w:sz w:val="20"/>
        </w:rPr>
        <w:t xml:space="preserve">In November </w:t>
      </w:r>
      <w:r>
        <w:rPr>
          <w:rFonts w:ascii="HelveticaNeueLT Std Lt" w:hAnsi="HelveticaNeueLT Std Lt" w:cs="Arial"/>
          <w:color w:val="000000"/>
          <w:sz w:val="20"/>
        </w:rPr>
        <w:t xml:space="preserve">and December </w:t>
      </w:r>
      <w:r w:rsidRPr="00BD5F9F">
        <w:rPr>
          <w:rFonts w:ascii="HelveticaNeueLT Std Lt" w:hAnsi="HelveticaNeueLT Std Lt" w:cs="Arial"/>
          <w:color w:val="000000"/>
          <w:sz w:val="20"/>
        </w:rPr>
        <w:t xml:space="preserve">2012, the ACMA consulted </w:t>
      </w:r>
      <w:r w:rsidRPr="00BD5F9F">
        <w:rPr>
          <w:rFonts w:ascii="HelveticaNeueLT Std Lt" w:hAnsi="HelveticaNeueLT Std Lt"/>
          <w:sz w:val="20"/>
        </w:rPr>
        <w:t xml:space="preserve">with industry and other affected parties </w:t>
      </w:r>
      <w:r w:rsidR="00681146">
        <w:rPr>
          <w:rFonts w:ascii="HelveticaNeueLT Std Lt" w:hAnsi="HelveticaNeueLT Std Lt"/>
          <w:sz w:val="20"/>
        </w:rPr>
        <w:t xml:space="preserve">on the proposed changes in accordance with section 17 of the LIA </w:t>
      </w:r>
      <w:r w:rsidRPr="00BD5F9F">
        <w:rPr>
          <w:rFonts w:ascii="HelveticaNeueLT Std Lt" w:hAnsi="HelveticaNeueLT Std Lt"/>
          <w:sz w:val="20"/>
        </w:rPr>
        <w:t xml:space="preserve">by providing copies of the draft </w:t>
      </w:r>
      <w:r w:rsidR="009256C8">
        <w:rPr>
          <w:rFonts w:ascii="HelveticaNeueLT Std Lt" w:hAnsi="HelveticaNeueLT Std Lt"/>
          <w:sz w:val="20"/>
        </w:rPr>
        <w:t>Variation</w:t>
      </w:r>
      <w:r w:rsidRPr="00BD5F9F">
        <w:rPr>
          <w:rFonts w:ascii="HelveticaNeueLT Std Lt" w:hAnsi="HelveticaNeueLT Std Lt"/>
          <w:sz w:val="20"/>
        </w:rPr>
        <w:t xml:space="preserve"> to: </w:t>
      </w:r>
    </w:p>
    <w:p w:rsidR="0024036C" w:rsidRPr="00BD5F9F" w:rsidRDefault="0024036C" w:rsidP="0024036C">
      <w:pPr>
        <w:pStyle w:val="ACMANumberedList"/>
        <w:numPr>
          <w:ilvl w:val="0"/>
          <w:numId w:val="3"/>
        </w:numPr>
        <w:rPr>
          <w:rFonts w:ascii="HelveticaNeueLT Std Lt" w:hAnsi="HelveticaNeueLT Std Lt"/>
          <w:sz w:val="20"/>
        </w:rPr>
      </w:pPr>
      <w:r w:rsidRPr="00BD5F9F">
        <w:rPr>
          <w:rFonts w:ascii="HelveticaNeueLT Std Lt" w:hAnsi="HelveticaNeueLT Std Lt"/>
          <w:sz w:val="20"/>
        </w:rPr>
        <w:t>all providers who pay ANC; and</w:t>
      </w:r>
    </w:p>
    <w:p w:rsidR="0024036C" w:rsidRPr="00BD5F9F" w:rsidRDefault="0024036C" w:rsidP="0024036C">
      <w:pPr>
        <w:pStyle w:val="ACMANumberedList"/>
        <w:numPr>
          <w:ilvl w:val="0"/>
          <w:numId w:val="3"/>
        </w:numPr>
        <w:rPr>
          <w:rFonts w:ascii="HelveticaNeueLT Std Lt" w:hAnsi="HelveticaNeueLT Std Lt"/>
          <w:sz w:val="20"/>
        </w:rPr>
      </w:pPr>
      <w:r w:rsidRPr="00BD5F9F">
        <w:rPr>
          <w:rFonts w:ascii="HelveticaNeueLT Std Lt" w:hAnsi="HelveticaNeueLT Std Lt"/>
          <w:sz w:val="20"/>
        </w:rPr>
        <w:t>the Numbering Advisory Committee</w:t>
      </w:r>
      <w:r>
        <w:rPr>
          <w:rFonts w:ascii="HelveticaNeueLT Std Lt" w:hAnsi="HelveticaNeueLT Std Lt"/>
          <w:sz w:val="20"/>
        </w:rPr>
        <w:t>,</w:t>
      </w:r>
      <w:r w:rsidRPr="00BD5F9F">
        <w:rPr>
          <w:rFonts w:ascii="HelveticaNeueLT Std Lt" w:hAnsi="HelveticaNeueLT Std Lt"/>
          <w:sz w:val="20"/>
        </w:rPr>
        <w:t xml:space="preserve"> whose membership includes the larger</w:t>
      </w:r>
      <w:r>
        <w:rPr>
          <w:rFonts w:ascii="HelveticaNeueLT Std Lt" w:hAnsi="HelveticaNeueLT Std Lt"/>
          <w:sz w:val="20"/>
        </w:rPr>
        <w:t xml:space="preserve"> service</w:t>
      </w:r>
      <w:r w:rsidRPr="00BD5F9F">
        <w:rPr>
          <w:rFonts w:ascii="HelveticaNeueLT Std Lt" w:hAnsi="HelveticaNeueLT Std Lt"/>
          <w:sz w:val="20"/>
        </w:rPr>
        <w:t xml:space="preserve"> providers</w:t>
      </w:r>
      <w:r>
        <w:rPr>
          <w:rFonts w:ascii="HelveticaNeueLT Std Lt" w:hAnsi="HelveticaNeueLT Std Lt"/>
          <w:sz w:val="20"/>
        </w:rPr>
        <w:t>,</w:t>
      </w:r>
      <w:r w:rsidRPr="00BD5F9F">
        <w:rPr>
          <w:rFonts w:ascii="HelveticaNeueLT Std Lt" w:hAnsi="HelveticaNeueLT Std Lt"/>
          <w:sz w:val="20"/>
        </w:rPr>
        <w:t xml:space="preserve"> Communications Alliance and other industry and consumer organisations.</w:t>
      </w:r>
    </w:p>
    <w:p w:rsidR="00A23E36" w:rsidRDefault="00A23E36" w:rsidP="0024036C">
      <w:pPr>
        <w:pStyle w:val="ACMANumberedList"/>
        <w:numPr>
          <w:ilvl w:val="0"/>
          <w:numId w:val="0"/>
        </w:numPr>
        <w:rPr>
          <w:rFonts w:ascii="HelveticaNeueLT Std Lt" w:hAnsi="HelveticaNeueLT Std Lt"/>
          <w:sz w:val="20"/>
        </w:rPr>
      </w:pPr>
    </w:p>
    <w:p w:rsidR="00A23E36" w:rsidRDefault="00A23E36" w:rsidP="00A23E36">
      <w:pPr>
        <w:pStyle w:val="ACMABodyText"/>
        <w:spacing w:before="0" w:after="0" w:line="240" w:lineRule="atLeast"/>
        <w:rPr>
          <w:rFonts w:ascii="HelveticaNeueLT Std Lt" w:hAnsi="HelveticaNeueLT Std Lt" w:cs="Arial"/>
          <w:color w:val="000000"/>
          <w:sz w:val="20"/>
        </w:rPr>
      </w:pPr>
      <w:r>
        <w:rPr>
          <w:rFonts w:ascii="HelveticaNeueLT Std Lt" w:hAnsi="HelveticaNeueLT Std Lt" w:cs="Arial"/>
          <w:color w:val="000000"/>
          <w:sz w:val="20"/>
        </w:rPr>
        <w:t xml:space="preserve">The ACMA </w:t>
      </w:r>
      <w:r w:rsidR="009256C8">
        <w:rPr>
          <w:rFonts w:ascii="HelveticaNeueLT Std Lt" w:hAnsi="HelveticaNeueLT Std Lt" w:cs="Arial"/>
          <w:color w:val="000000"/>
          <w:sz w:val="20"/>
        </w:rPr>
        <w:t xml:space="preserve">also </w:t>
      </w:r>
      <w:r>
        <w:rPr>
          <w:rFonts w:ascii="HelveticaNeueLT Std Lt" w:hAnsi="HelveticaNeueLT Std Lt" w:cs="Arial"/>
          <w:color w:val="000000"/>
          <w:sz w:val="20"/>
        </w:rPr>
        <w:t xml:space="preserve">consulted with the ACCC on the proposed Variation in accordance with the requirements of subsection 461(1) of the Telecommunications Act.   </w:t>
      </w:r>
    </w:p>
    <w:p w:rsidR="00A23E36" w:rsidRDefault="00A23E36" w:rsidP="0024036C">
      <w:pPr>
        <w:pStyle w:val="ACMANumberedList"/>
        <w:numPr>
          <w:ilvl w:val="0"/>
          <w:numId w:val="0"/>
        </w:numPr>
        <w:rPr>
          <w:rFonts w:ascii="HelveticaNeueLT Std Lt" w:hAnsi="HelveticaNeueLT Std Lt"/>
          <w:sz w:val="20"/>
        </w:rPr>
      </w:pPr>
    </w:p>
    <w:p w:rsidR="0024036C" w:rsidRDefault="0024036C" w:rsidP="0024036C">
      <w:pPr>
        <w:pStyle w:val="ACMANumberedList"/>
        <w:numPr>
          <w:ilvl w:val="0"/>
          <w:numId w:val="0"/>
        </w:numPr>
        <w:rPr>
          <w:rFonts w:ascii="HelveticaNeueLT Std Lt" w:hAnsi="HelveticaNeueLT Std Lt"/>
          <w:sz w:val="20"/>
        </w:rPr>
      </w:pPr>
      <w:r w:rsidRPr="00BD5F9F">
        <w:rPr>
          <w:rFonts w:ascii="HelveticaNeueLT Std Lt" w:hAnsi="HelveticaNeueLT Std Lt"/>
          <w:sz w:val="20"/>
        </w:rPr>
        <w:t xml:space="preserve">The ACMA also published information about the changes and the draft </w:t>
      </w:r>
      <w:r w:rsidR="008B684F" w:rsidRPr="00B97E32">
        <w:rPr>
          <w:rFonts w:ascii="HelveticaNeueLT Std Lt" w:hAnsi="HelveticaNeueLT Std Lt"/>
          <w:sz w:val="20"/>
        </w:rPr>
        <w:t>instruments on its website</w:t>
      </w:r>
      <w:r w:rsidRPr="00BD5F9F">
        <w:rPr>
          <w:rFonts w:ascii="HelveticaNeueLT Std Lt" w:hAnsi="HelveticaNeueLT Std Lt"/>
          <w:sz w:val="20"/>
        </w:rPr>
        <w:t xml:space="preserve"> for comment by interested persons. </w:t>
      </w:r>
    </w:p>
    <w:p w:rsidR="00517856" w:rsidRDefault="00517856" w:rsidP="0024036C">
      <w:pPr>
        <w:pStyle w:val="ACMANumberedList"/>
        <w:numPr>
          <w:ilvl w:val="0"/>
          <w:numId w:val="0"/>
        </w:numPr>
        <w:rPr>
          <w:rFonts w:ascii="HelveticaNeueLT Std Lt" w:hAnsi="HelveticaNeueLT Std Lt"/>
          <w:sz w:val="20"/>
        </w:rPr>
      </w:pPr>
    </w:p>
    <w:p w:rsidR="001A0B9E" w:rsidRDefault="001A0B9E" w:rsidP="0024036C">
      <w:pPr>
        <w:rPr>
          <w:rFonts w:cs="Arial"/>
          <w:b/>
        </w:rPr>
      </w:pPr>
    </w:p>
    <w:p w:rsidR="001A0B9E" w:rsidRDefault="001A0B9E" w:rsidP="0024036C">
      <w:pPr>
        <w:rPr>
          <w:rFonts w:cs="Arial"/>
          <w:b/>
        </w:rPr>
      </w:pPr>
    </w:p>
    <w:p w:rsidR="001A0B9E" w:rsidRDefault="001A0B9E" w:rsidP="0024036C">
      <w:pPr>
        <w:rPr>
          <w:rFonts w:cs="Arial"/>
          <w:b/>
        </w:rPr>
      </w:pPr>
    </w:p>
    <w:p w:rsidR="001A0B9E" w:rsidRDefault="001A0B9E" w:rsidP="0024036C">
      <w:pPr>
        <w:rPr>
          <w:rFonts w:cs="Arial"/>
          <w:b/>
        </w:rPr>
      </w:pPr>
    </w:p>
    <w:p w:rsidR="0024036C" w:rsidRPr="00C3506E" w:rsidRDefault="0024036C" w:rsidP="0024036C">
      <w:pPr>
        <w:rPr>
          <w:rFonts w:cs="Arial"/>
          <w:b/>
        </w:rPr>
      </w:pPr>
      <w:r w:rsidRPr="00C3506E">
        <w:rPr>
          <w:rFonts w:cs="Arial"/>
          <w:b/>
        </w:rPr>
        <w:lastRenderedPageBreak/>
        <w:t xml:space="preserve">Submissions received </w:t>
      </w:r>
    </w:p>
    <w:p w:rsidR="00822FD2" w:rsidRDefault="00822FD2" w:rsidP="0024036C">
      <w:pPr>
        <w:rPr>
          <w:rFonts w:cs="Arial"/>
        </w:rPr>
      </w:pPr>
    </w:p>
    <w:p w:rsidR="0024036C" w:rsidRDefault="0024036C" w:rsidP="0024036C">
      <w:r>
        <w:rPr>
          <w:rFonts w:cs="Arial"/>
        </w:rPr>
        <w:t xml:space="preserve">Six submissions were received in response to consultation by the ACMA. </w:t>
      </w:r>
      <w:r w:rsidRPr="0047721A">
        <w:rPr>
          <w:rFonts w:cs="Arial"/>
        </w:rPr>
        <w:t>The complete list of submissions</w:t>
      </w:r>
      <w:r>
        <w:rPr>
          <w:rFonts w:cs="Arial"/>
        </w:rPr>
        <w:t xml:space="preserve"> has been made available on the ACMA’s website. In finalising the Variation, the ACMA has considered the submissions it received.</w:t>
      </w:r>
    </w:p>
    <w:p w:rsidR="00125AF3" w:rsidRPr="00993194" w:rsidRDefault="00125AF3" w:rsidP="00125AF3">
      <w:pPr>
        <w:keepNext/>
        <w:spacing w:before="80" w:after="120" w:line="280" w:lineRule="atLeast"/>
        <w:jc w:val="both"/>
        <w:rPr>
          <w:rFonts w:ascii="Arial" w:hAnsi="Arial" w:cs="Arial"/>
          <w:szCs w:val="20"/>
        </w:rPr>
      </w:pPr>
      <w:r>
        <w:rPr>
          <w:rFonts w:ascii="Arial" w:hAnsi="Arial" w:cs="Arial"/>
          <w:b/>
          <w:szCs w:val="20"/>
        </w:rPr>
        <w:t>Regulation impact</w:t>
      </w:r>
    </w:p>
    <w:p w:rsidR="0024036C" w:rsidRDefault="0024036C" w:rsidP="0024036C">
      <w:r>
        <w:t xml:space="preserve">The Office of Best Practice Regulation (OBPR) requested that the ACMA lodge a Regulation Impact Statement (RIS) for the proposed ANC exemption. </w:t>
      </w:r>
    </w:p>
    <w:p w:rsidR="0024036C" w:rsidRDefault="0024036C" w:rsidP="0024036C"/>
    <w:p w:rsidR="0024036C" w:rsidRPr="00FA2900" w:rsidRDefault="0024036C" w:rsidP="0024036C">
      <w:r>
        <w:t xml:space="preserve">The OBPR approved the </w:t>
      </w:r>
      <w:r w:rsidR="00D56BB1">
        <w:t>RIS</w:t>
      </w:r>
      <w:r>
        <w:t xml:space="preserve"> on 22 July 2013. </w:t>
      </w:r>
    </w:p>
    <w:p w:rsidR="00D56BB1" w:rsidRDefault="00D56BB1" w:rsidP="00D56BB1">
      <w:pPr>
        <w:pStyle w:val="ACMAHeading3"/>
        <w:rPr>
          <w:rFonts w:cs="Arial"/>
          <w:sz w:val="20"/>
        </w:rPr>
      </w:pPr>
      <w:r w:rsidRPr="00E230F2">
        <w:rPr>
          <w:rFonts w:cs="Arial"/>
          <w:sz w:val="20"/>
        </w:rPr>
        <w:t xml:space="preserve">Detailed </w:t>
      </w:r>
      <w:r>
        <w:rPr>
          <w:rFonts w:cs="Arial"/>
          <w:sz w:val="20"/>
        </w:rPr>
        <w:t>d</w:t>
      </w:r>
      <w:r w:rsidRPr="00E230F2">
        <w:rPr>
          <w:rFonts w:cs="Arial"/>
          <w:sz w:val="20"/>
        </w:rPr>
        <w:t>escription of the Instrument</w:t>
      </w:r>
    </w:p>
    <w:p w:rsidR="00A23E36" w:rsidRDefault="00A23E36" w:rsidP="00A23E36">
      <w:pPr>
        <w:rPr>
          <w:u w:val="single"/>
        </w:rPr>
      </w:pPr>
    </w:p>
    <w:p w:rsidR="00A23E36" w:rsidRPr="00765282" w:rsidRDefault="00A23E36" w:rsidP="00A23E36">
      <w:pPr>
        <w:rPr>
          <w:i/>
        </w:rPr>
      </w:pPr>
      <w:r w:rsidRPr="001449B6">
        <w:rPr>
          <w:u w:val="single"/>
        </w:rPr>
        <w:t>Section 1</w:t>
      </w:r>
      <w:r>
        <w:t xml:space="preserve"> names the instrument as the </w:t>
      </w:r>
      <w:r w:rsidRPr="00765282">
        <w:rPr>
          <w:i/>
        </w:rPr>
        <w:t>Telecommunications Numbering Plan Variation 2013 (No. 1).</w:t>
      </w:r>
    </w:p>
    <w:p w:rsidR="00A23E36" w:rsidRDefault="00A23E36" w:rsidP="00A23E36"/>
    <w:p w:rsidR="00A23E36" w:rsidRDefault="00A23E36" w:rsidP="00A23E36">
      <w:r w:rsidRPr="001449B6">
        <w:rPr>
          <w:u w:val="single"/>
        </w:rPr>
        <w:t>Section 2</w:t>
      </w:r>
      <w:r>
        <w:t xml:space="preserve"> provides that the instrument commences on the day after it is registered.</w:t>
      </w:r>
    </w:p>
    <w:p w:rsidR="00A23E36" w:rsidRDefault="00A23E36" w:rsidP="00A23E36"/>
    <w:p w:rsidR="00A23E36" w:rsidRDefault="00A23E36" w:rsidP="00A23E36">
      <w:r w:rsidRPr="0051726A">
        <w:rPr>
          <w:u w:val="single"/>
        </w:rPr>
        <w:t>Section 3</w:t>
      </w:r>
      <w:r>
        <w:t xml:space="preserve"> specifies that the Numbering Plan is amended as set out in Schedule 1.</w:t>
      </w:r>
    </w:p>
    <w:p w:rsidR="00A23E36" w:rsidRDefault="00A23E36" w:rsidP="00A23E36"/>
    <w:p w:rsidR="00A23E36" w:rsidRPr="00B67B30" w:rsidRDefault="00A23E36" w:rsidP="00A23E36">
      <w:pPr>
        <w:rPr>
          <w:b/>
        </w:rPr>
      </w:pPr>
      <w:r w:rsidRPr="00B67B30">
        <w:rPr>
          <w:b/>
        </w:rPr>
        <w:t>Schedule 1 Variations</w:t>
      </w:r>
    </w:p>
    <w:p w:rsidR="00A23E36" w:rsidRDefault="00A23E36" w:rsidP="00A23E36"/>
    <w:p w:rsidR="00A23E36" w:rsidRDefault="00A23E36" w:rsidP="00A23E36">
      <w:r w:rsidRPr="00F93226">
        <w:rPr>
          <w:u w:val="single"/>
        </w:rPr>
        <w:t>Item 1</w:t>
      </w:r>
      <w:r>
        <w:t xml:space="preserve"> inserts a new section, 6.21A, into the Numbering Plan after section 6.21. This new section places a limit on the allocation of certain special services numbers into the Numbering Plan. </w:t>
      </w:r>
    </w:p>
    <w:p w:rsidR="00A23E36" w:rsidRDefault="00A23E36" w:rsidP="00A23E36"/>
    <w:p w:rsidR="00A23E36" w:rsidRPr="00754E0A" w:rsidRDefault="00A23E36" w:rsidP="00A23E36">
      <w:pPr>
        <w:rPr>
          <w:u w:val="single"/>
        </w:rPr>
      </w:pPr>
      <w:r>
        <w:rPr>
          <w:u w:val="single"/>
        </w:rPr>
        <w:t>Subsection</w:t>
      </w:r>
      <w:r w:rsidRPr="00754E0A">
        <w:rPr>
          <w:u w:val="single"/>
        </w:rPr>
        <w:t xml:space="preserve"> </w:t>
      </w:r>
      <w:r>
        <w:rPr>
          <w:u w:val="single"/>
        </w:rPr>
        <w:t>(</w:t>
      </w:r>
      <w:r w:rsidRPr="00557CCC">
        <w:t>1</w:t>
      </w:r>
      <w:r>
        <w:t xml:space="preserve">) </w:t>
      </w:r>
      <w:r w:rsidRPr="00557CCC">
        <w:t>defin</w:t>
      </w:r>
      <w:r>
        <w:t xml:space="preserve">es the term </w:t>
      </w:r>
      <w:r w:rsidRPr="00936C14">
        <w:rPr>
          <w:i/>
        </w:rPr>
        <w:t>relevant number</w:t>
      </w:r>
      <w:r>
        <w:t xml:space="preserve"> as being a special services number</w:t>
      </w:r>
      <w:r w:rsidR="009256C8">
        <w:t xml:space="preserve"> as defined</w:t>
      </w:r>
      <w:r>
        <w:t xml:space="preserve"> in Part 3 of Schedule 4 to the Numbering Plan.</w:t>
      </w:r>
    </w:p>
    <w:p w:rsidR="00A23E36" w:rsidRDefault="00A23E36" w:rsidP="00A23E36"/>
    <w:p w:rsidR="00A23E36" w:rsidRDefault="00A23E36" w:rsidP="00A23E36">
      <w:r>
        <w:rPr>
          <w:u w:val="single"/>
        </w:rPr>
        <w:t>Subsection</w:t>
      </w:r>
      <w:r w:rsidRPr="00754E0A">
        <w:rPr>
          <w:u w:val="single"/>
        </w:rPr>
        <w:t xml:space="preserve"> </w:t>
      </w:r>
      <w:r>
        <w:rPr>
          <w:u w:val="single"/>
        </w:rPr>
        <w:t>(</w:t>
      </w:r>
      <w:r w:rsidRPr="00754E0A">
        <w:rPr>
          <w:u w:val="single"/>
        </w:rPr>
        <w:t>2</w:t>
      </w:r>
      <w:r>
        <w:rPr>
          <w:u w:val="single"/>
        </w:rPr>
        <w:t>)</w:t>
      </w:r>
      <w:r>
        <w:t xml:space="preserve"> confirms the ACMA must not allocate a relevant number to a CSP if the CSP already holds a relevant number that was allocated on or after commencement of section 6.21A of the Numbering Plan.  </w:t>
      </w:r>
    </w:p>
    <w:p w:rsidR="00A23E36" w:rsidRDefault="00A23E36" w:rsidP="00A23E36"/>
    <w:p w:rsidR="00A23E36" w:rsidRDefault="00A23E36" w:rsidP="00A23E36">
      <w:r>
        <w:rPr>
          <w:u w:val="single"/>
        </w:rPr>
        <w:t>Subsection</w:t>
      </w:r>
      <w:r w:rsidRPr="00754E0A">
        <w:rPr>
          <w:u w:val="single"/>
        </w:rPr>
        <w:t xml:space="preserve"> </w:t>
      </w:r>
      <w:r>
        <w:rPr>
          <w:u w:val="single"/>
        </w:rPr>
        <w:t>(</w:t>
      </w:r>
      <w:r w:rsidRPr="00754E0A">
        <w:rPr>
          <w:u w:val="single"/>
        </w:rPr>
        <w:t>3</w:t>
      </w:r>
      <w:r>
        <w:rPr>
          <w:u w:val="single"/>
        </w:rPr>
        <w:t>)</w:t>
      </w:r>
      <w:r>
        <w:t xml:space="preserve"> allows the ACMA to allocate a relevant number to a CSP that already holds a relevant number allocated after the commencement of section 6.21A, if it is satisfied that special circumstances justify the allocation of an additional relevant number in the particular case.</w:t>
      </w:r>
    </w:p>
    <w:p w:rsidR="00A23E36" w:rsidRDefault="00A23E36" w:rsidP="00A23E36"/>
    <w:p w:rsidR="00A23E36" w:rsidRPr="00A30C66" w:rsidRDefault="00A23E36" w:rsidP="00A23E36">
      <w:r>
        <w:rPr>
          <w:u w:val="single"/>
        </w:rPr>
        <w:t>Subsection</w:t>
      </w:r>
      <w:r w:rsidRPr="00754E0A">
        <w:rPr>
          <w:u w:val="single"/>
        </w:rPr>
        <w:t xml:space="preserve"> </w:t>
      </w:r>
      <w:r>
        <w:rPr>
          <w:u w:val="single"/>
        </w:rPr>
        <w:t>(</w:t>
      </w:r>
      <w:r w:rsidRPr="00754E0A">
        <w:rPr>
          <w:u w:val="single"/>
        </w:rPr>
        <w:t>4</w:t>
      </w:r>
      <w:r>
        <w:rPr>
          <w:u w:val="single"/>
        </w:rPr>
        <w:t>)</w:t>
      </w:r>
      <w:r>
        <w:t xml:space="preserve"> states that in instances when a relevant number was allocated to a CSP after </w:t>
      </w:r>
      <w:r w:rsidR="009256C8">
        <w:t>section 6.21A</w:t>
      </w:r>
      <w:r>
        <w:t xml:space="preserve"> commenced, and subsequently surrendered by the CSP, the relevant number will not be taken as allocated to the CSP for the purposes of subsection 6.21A(2). This will allow a CSP to apply again for a relevant number.</w:t>
      </w:r>
    </w:p>
    <w:p w:rsidR="00A23E36" w:rsidRDefault="00A23E36" w:rsidP="00A23E36">
      <w:pPr>
        <w:rPr>
          <w:u w:val="single"/>
        </w:rPr>
      </w:pPr>
    </w:p>
    <w:p w:rsidR="0024036C" w:rsidRDefault="00A23E36" w:rsidP="0024036C">
      <w:r>
        <w:rPr>
          <w:u w:val="single"/>
        </w:rPr>
        <w:t>Subsection (</w:t>
      </w:r>
      <w:r w:rsidRPr="00754E0A">
        <w:rPr>
          <w:u w:val="single"/>
        </w:rPr>
        <w:t>5</w:t>
      </w:r>
      <w:r>
        <w:rPr>
          <w:u w:val="single"/>
        </w:rPr>
        <w:t>)</w:t>
      </w:r>
      <w:r>
        <w:t xml:space="preserve"> provides that the allocation rule set out in subsection </w:t>
      </w:r>
      <w:proofErr w:type="gramStart"/>
      <w:r>
        <w:t>6.21A(</w:t>
      </w:r>
      <w:proofErr w:type="gramEnd"/>
      <w:r>
        <w:t xml:space="preserve">2) will not apply if an industry code, registered in the Register of Industry Codes kept under section 136 of the Telecommunications Act, is declared by the ACMA </w:t>
      </w:r>
      <w:r w:rsidR="009256C8">
        <w:t xml:space="preserve">to be </w:t>
      </w:r>
      <w:r>
        <w:t>a replacement code for the purposes of subsection 6.21A(</w:t>
      </w:r>
      <w:r w:rsidR="009256C8">
        <w:t>5</w:t>
      </w:r>
      <w:r>
        <w:t>).</w:t>
      </w:r>
    </w:p>
    <w:p w:rsidR="00D56BB1" w:rsidRPr="008E730A" w:rsidRDefault="00D56BB1" w:rsidP="00D56BB1">
      <w:pPr>
        <w:pStyle w:val="ACMAHeading3"/>
        <w:rPr>
          <w:rFonts w:cs="Arial"/>
          <w:sz w:val="20"/>
        </w:rPr>
      </w:pPr>
      <w:r w:rsidRPr="008E730A">
        <w:rPr>
          <w:rFonts w:cs="Arial"/>
          <w:sz w:val="20"/>
        </w:rPr>
        <w:t>Statement of compatibility with human rights</w:t>
      </w:r>
    </w:p>
    <w:p w:rsidR="00D56BB1" w:rsidRPr="008E730A" w:rsidRDefault="00D56BB1" w:rsidP="00D56BB1">
      <w:pPr>
        <w:pStyle w:val="ACMABodyText"/>
        <w:rPr>
          <w:rFonts w:ascii="Arial" w:hAnsi="Arial" w:cs="Arial"/>
          <w:sz w:val="20"/>
          <w:lang w:val="en-US"/>
        </w:rPr>
      </w:pPr>
      <w:r w:rsidRPr="008E730A">
        <w:rPr>
          <w:rFonts w:ascii="Arial" w:hAnsi="Arial" w:cs="Arial"/>
          <w:sz w:val="20"/>
          <w:lang w:val="en-US"/>
        </w:rPr>
        <w:t xml:space="preserve">Subsection 9(1) of the </w:t>
      </w:r>
      <w:r w:rsidRPr="00943694">
        <w:rPr>
          <w:rFonts w:ascii="Arial" w:hAnsi="Arial" w:cs="Arial"/>
          <w:i/>
          <w:sz w:val="20"/>
          <w:lang w:val="en-US"/>
        </w:rPr>
        <w:t>Human Rights (Parliamentary Scrutiny) Act 2011</w:t>
      </w:r>
      <w:r w:rsidRPr="008E730A">
        <w:rPr>
          <w:rFonts w:ascii="Arial" w:hAnsi="Arial" w:cs="Arial"/>
          <w:sz w:val="20"/>
          <w:lang w:val="en-US"/>
        </w:rPr>
        <w:t xml:space="preserve"> requires the rule maker in relation to a legislative instrument to which section 42 (disallowance) of the</w:t>
      </w:r>
      <w:r w:rsidR="00717627">
        <w:rPr>
          <w:rFonts w:ascii="Arial" w:hAnsi="Arial" w:cs="Arial"/>
          <w:sz w:val="20"/>
          <w:lang w:val="en-US"/>
        </w:rPr>
        <w:t xml:space="preserve"> LIA</w:t>
      </w:r>
      <w:r w:rsidRPr="008E730A">
        <w:rPr>
          <w:rFonts w:ascii="Arial" w:hAnsi="Arial" w:cs="Arial"/>
          <w:sz w:val="20"/>
          <w:lang w:val="en-US"/>
        </w:rPr>
        <w:t xml:space="preserve"> applies to cause a statement of compatibility to be prepared in respect of that legislative instrument. This statement is Attachment </w:t>
      </w:r>
      <w:r w:rsidR="0060231A">
        <w:rPr>
          <w:rFonts w:ascii="Arial" w:hAnsi="Arial" w:cs="Arial"/>
          <w:sz w:val="20"/>
          <w:lang w:val="en-US"/>
        </w:rPr>
        <w:t>A</w:t>
      </w:r>
      <w:r w:rsidRPr="008E730A">
        <w:rPr>
          <w:rFonts w:ascii="Arial" w:hAnsi="Arial" w:cs="Arial"/>
          <w:sz w:val="20"/>
          <w:lang w:val="en-US"/>
        </w:rPr>
        <w:t>.</w:t>
      </w:r>
    </w:p>
    <w:p w:rsidR="0024036C" w:rsidRDefault="0024036C" w:rsidP="0024036C"/>
    <w:p w:rsidR="00822FD2" w:rsidRDefault="00822FD2">
      <w:pPr>
        <w:spacing w:after="200" w:line="276" w:lineRule="auto"/>
        <w:rPr>
          <w:b/>
          <w:szCs w:val="20"/>
        </w:rPr>
      </w:pPr>
    </w:p>
    <w:p w:rsidR="00822FD2" w:rsidRDefault="00822FD2">
      <w:pPr>
        <w:spacing w:after="200" w:line="276" w:lineRule="auto"/>
        <w:rPr>
          <w:b/>
          <w:szCs w:val="20"/>
        </w:rPr>
      </w:pPr>
    </w:p>
    <w:p w:rsidR="00D56BB1" w:rsidRDefault="00D56BB1">
      <w:pPr>
        <w:spacing w:after="200" w:line="276" w:lineRule="auto"/>
        <w:rPr>
          <w:b/>
          <w:szCs w:val="20"/>
        </w:rPr>
      </w:pPr>
      <w:r>
        <w:rPr>
          <w:b/>
          <w:szCs w:val="20"/>
        </w:rPr>
        <w:br w:type="page"/>
      </w:r>
    </w:p>
    <w:p w:rsidR="00D56BB1" w:rsidRPr="00D56BB1" w:rsidRDefault="008B684F" w:rsidP="0024036C">
      <w:pPr>
        <w:spacing w:before="360" w:after="120"/>
        <w:rPr>
          <w:b/>
          <w:szCs w:val="20"/>
        </w:rPr>
      </w:pPr>
      <w:r w:rsidRPr="008B684F">
        <w:rPr>
          <w:rFonts w:ascii="Arial" w:hAnsi="Arial" w:cs="Arial"/>
          <w:b/>
          <w:sz w:val="24"/>
        </w:rPr>
        <w:lastRenderedPageBreak/>
        <w:t>Attachment A</w:t>
      </w:r>
    </w:p>
    <w:p w:rsidR="0024036C" w:rsidRPr="004F6033" w:rsidRDefault="0024036C" w:rsidP="0024036C">
      <w:pPr>
        <w:spacing w:before="360" w:after="120"/>
        <w:rPr>
          <w:b/>
          <w:szCs w:val="20"/>
        </w:rPr>
      </w:pPr>
      <w:r w:rsidRPr="004F6033">
        <w:rPr>
          <w:b/>
          <w:szCs w:val="20"/>
        </w:rPr>
        <w:t>Statement of Compatibility with Human Rights</w:t>
      </w:r>
    </w:p>
    <w:p w:rsidR="00FA5229" w:rsidRDefault="0024036C">
      <w:pPr>
        <w:spacing w:before="120" w:after="120"/>
        <w:rPr>
          <w:b/>
          <w:i/>
          <w:szCs w:val="20"/>
        </w:rPr>
      </w:pPr>
      <w:r w:rsidRPr="004F6033">
        <w:rPr>
          <w:i/>
          <w:szCs w:val="20"/>
        </w:rPr>
        <w:t>Prepared in accordance with Part 3 of the Human Rights (Parliamentary Scrutiny) Act 2011</w:t>
      </w:r>
      <w:r>
        <w:rPr>
          <w:i/>
          <w:szCs w:val="20"/>
        </w:rPr>
        <w:t>.</w:t>
      </w:r>
      <w:r w:rsidR="008717FB">
        <w:rPr>
          <w:b/>
          <w:i/>
          <w:szCs w:val="20"/>
        </w:rPr>
        <w:br/>
      </w:r>
      <w:r w:rsidR="008717FB">
        <w:rPr>
          <w:b/>
          <w:i/>
          <w:szCs w:val="20"/>
        </w:rPr>
        <w:br/>
      </w:r>
      <w:r w:rsidR="008717FB" w:rsidRPr="004F6033">
        <w:rPr>
          <w:b/>
          <w:i/>
          <w:szCs w:val="20"/>
        </w:rPr>
        <w:t xml:space="preserve">Telecommunications Numbering Plan Variation 2013 (No.1)  </w:t>
      </w:r>
    </w:p>
    <w:p w:rsidR="008717FB" w:rsidRPr="004F6033" w:rsidRDefault="008717FB" w:rsidP="008717FB">
      <w:pPr>
        <w:rPr>
          <w:szCs w:val="20"/>
        </w:rPr>
      </w:pPr>
      <w:r w:rsidRPr="004F6033">
        <w:rPr>
          <w:szCs w:val="20"/>
        </w:rPr>
        <w:t xml:space="preserve">This Legislative Instrument is compatible with the human rights and freedoms recognised or declared in the international instruments listed in section 3 of the </w:t>
      </w:r>
      <w:r w:rsidRPr="004F6033">
        <w:rPr>
          <w:i/>
          <w:szCs w:val="20"/>
        </w:rPr>
        <w:t>Human Rights (Parliamentary Scrutiny) Act 2011</w:t>
      </w:r>
      <w:r w:rsidRPr="004F6033">
        <w:rPr>
          <w:szCs w:val="20"/>
        </w:rPr>
        <w:t>.</w:t>
      </w:r>
    </w:p>
    <w:p w:rsidR="008717FB" w:rsidRDefault="008717FB" w:rsidP="008717FB">
      <w:pPr>
        <w:jc w:val="both"/>
        <w:rPr>
          <w:b/>
          <w:szCs w:val="20"/>
        </w:rPr>
      </w:pPr>
    </w:p>
    <w:p w:rsidR="008717FB" w:rsidRDefault="008717FB" w:rsidP="008717FB">
      <w:pPr>
        <w:jc w:val="both"/>
        <w:rPr>
          <w:b/>
          <w:szCs w:val="20"/>
        </w:rPr>
      </w:pPr>
      <w:r w:rsidRPr="004F6033">
        <w:rPr>
          <w:b/>
          <w:szCs w:val="20"/>
        </w:rPr>
        <w:t>Overview of the Legislative Instrument</w:t>
      </w:r>
    </w:p>
    <w:p w:rsidR="008717FB" w:rsidRPr="002D3E46" w:rsidRDefault="008717FB" w:rsidP="008717FB">
      <w:pPr>
        <w:rPr>
          <w:szCs w:val="20"/>
        </w:rPr>
      </w:pPr>
      <w:r>
        <w:rPr>
          <w:b/>
          <w:szCs w:val="20"/>
        </w:rPr>
        <w:br/>
      </w:r>
      <w:r>
        <w:t xml:space="preserve">The legislative instrument varies the </w:t>
      </w:r>
      <w:r w:rsidRPr="00414E89">
        <w:rPr>
          <w:i/>
        </w:rPr>
        <w:t>Telecommunications Numbering Plan 1997</w:t>
      </w:r>
      <w:r w:rsidRPr="004F6033">
        <w:t xml:space="preserve"> </w:t>
      </w:r>
      <w:r>
        <w:t xml:space="preserve">by introducing the following rules which apply specifically to the allocation of </w:t>
      </w:r>
      <w:r>
        <w:rPr>
          <w:rFonts w:cs="Arial"/>
        </w:rPr>
        <w:t xml:space="preserve">one type of short-digit special services number, </w:t>
      </w:r>
      <w:r w:rsidR="002D7EBE">
        <w:rPr>
          <w:rFonts w:cs="Arial"/>
        </w:rPr>
        <w:t xml:space="preserve">being </w:t>
      </w:r>
      <w:r>
        <w:rPr>
          <w:rFonts w:cs="Arial"/>
        </w:rPr>
        <w:t>CSPID codes</w:t>
      </w:r>
      <w:r>
        <w:t>:</w:t>
      </w:r>
    </w:p>
    <w:p w:rsidR="008717FB" w:rsidRPr="002D3E46" w:rsidRDefault="007A62AD" w:rsidP="008717FB">
      <w:pPr>
        <w:pStyle w:val="ListParagraph"/>
        <w:numPr>
          <w:ilvl w:val="0"/>
          <w:numId w:val="5"/>
        </w:numPr>
        <w:spacing w:after="0" w:line="240" w:lineRule="atLeast"/>
        <w:ind w:left="777" w:hanging="357"/>
        <w:rPr>
          <w:rFonts w:ascii="HelveticaNeueLT Std Lt" w:hAnsi="HelveticaNeueLT Std Lt"/>
          <w:sz w:val="20"/>
          <w:szCs w:val="20"/>
        </w:rPr>
      </w:pPr>
      <w:r>
        <w:rPr>
          <w:rFonts w:ascii="HelveticaNeueLT Std Lt" w:hAnsi="HelveticaNeueLT Std Lt"/>
          <w:sz w:val="20"/>
          <w:szCs w:val="20"/>
        </w:rPr>
        <w:t>a limitation on the</w:t>
      </w:r>
      <w:r w:rsidRPr="002D3E46">
        <w:rPr>
          <w:rFonts w:ascii="HelveticaNeueLT Std Lt" w:hAnsi="HelveticaNeueLT Std Lt"/>
          <w:sz w:val="20"/>
          <w:szCs w:val="20"/>
        </w:rPr>
        <w:t xml:space="preserve"> </w:t>
      </w:r>
      <w:r w:rsidR="008717FB" w:rsidRPr="002D3E46">
        <w:rPr>
          <w:rFonts w:ascii="HelveticaNeueLT Std Lt" w:hAnsi="HelveticaNeueLT Std Lt"/>
          <w:sz w:val="20"/>
          <w:szCs w:val="20"/>
        </w:rPr>
        <w:t xml:space="preserve">allocation of </w:t>
      </w:r>
      <w:r w:rsidR="008717FB">
        <w:rPr>
          <w:rFonts w:ascii="HelveticaNeueLT Std Lt" w:hAnsi="HelveticaNeueLT Std Lt"/>
          <w:sz w:val="20"/>
          <w:szCs w:val="20"/>
        </w:rPr>
        <w:t xml:space="preserve">CSPID </w:t>
      </w:r>
      <w:r w:rsidR="008717FB" w:rsidRPr="002D3E46">
        <w:rPr>
          <w:rFonts w:ascii="HelveticaNeueLT Std Lt" w:hAnsi="HelveticaNeueLT Std Lt"/>
          <w:sz w:val="20"/>
          <w:szCs w:val="20"/>
        </w:rPr>
        <w:t xml:space="preserve">codes to one </w:t>
      </w:r>
      <w:r w:rsidR="00F75943">
        <w:rPr>
          <w:rFonts w:ascii="HelveticaNeueLT Std Lt" w:hAnsi="HelveticaNeueLT Std Lt"/>
          <w:sz w:val="20"/>
          <w:szCs w:val="20"/>
        </w:rPr>
        <w:t xml:space="preserve">number </w:t>
      </w:r>
      <w:r w:rsidR="008717FB" w:rsidRPr="002D3E46">
        <w:rPr>
          <w:rFonts w:ascii="HelveticaNeueLT Std Lt" w:hAnsi="HelveticaNeueLT Std Lt"/>
          <w:sz w:val="20"/>
          <w:szCs w:val="20"/>
        </w:rPr>
        <w:t xml:space="preserve">per </w:t>
      </w:r>
      <w:r w:rsidR="008717FB">
        <w:rPr>
          <w:rFonts w:ascii="HelveticaNeueLT Std Lt" w:hAnsi="HelveticaNeueLT Std Lt"/>
          <w:sz w:val="20"/>
          <w:szCs w:val="20"/>
        </w:rPr>
        <w:t xml:space="preserve">CSP after the commencement of </w:t>
      </w:r>
      <w:r>
        <w:rPr>
          <w:rFonts w:ascii="HelveticaNeueLT Std Lt" w:hAnsi="HelveticaNeueLT Std Lt"/>
          <w:sz w:val="20"/>
          <w:szCs w:val="20"/>
        </w:rPr>
        <w:t>the instrument</w:t>
      </w:r>
      <w:r w:rsidR="008717FB">
        <w:rPr>
          <w:rFonts w:ascii="HelveticaNeueLT Std Lt" w:hAnsi="HelveticaNeueLT Std Lt"/>
          <w:sz w:val="20"/>
          <w:szCs w:val="20"/>
        </w:rPr>
        <w:t>;</w:t>
      </w:r>
      <w:r w:rsidR="008717FB" w:rsidRPr="002D3E46">
        <w:rPr>
          <w:rFonts w:ascii="HelveticaNeueLT Std Lt" w:hAnsi="HelveticaNeueLT Std Lt"/>
          <w:sz w:val="20"/>
          <w:szCs w:val="20"/>
        </w:rPr>
        <w:t xml:space="preserve"> and</w:t>
      </w:r>
    </w:p>
    <w:p w:rsidR="008717FB" w:rsidRPr="002D3E46" w:rsidRDefault="007A62AD" w:rsidP="008717FB">
      <w:pPr>
        <w:pStyle w:val="ListParagraph"/>
        <w:numPr>
          <w:ilvl w:val="0"/>
          <w:numId w:val="5"/>
        </w:numPr>
        <w:spacing w:after="0" w:line="240" w:lineRule="atLeast"/>
        <w:rPr>
          <w:rFonts w:ascii="HelveticaNeueLT Std Lt" w:hAnsi="HelveticaNeueLT Std Lt"/>
          <w:sz w:val="20"/>
          <w:szCs w:val="20"/>
        </w:rPr>
      </w:pPr>
      <w:proofErr w:type="gramStart"/>
      <w:r>
        <w:rPr>
          <w:rFonts w:ascii="HelveticaNeueLT Std Lt" w:hAnsi="HelveticaNeueLT Std Lt"/>
          <w:sz w:val="20"/>
          <w:szCs w:val="20"/>
        </w:rPr>
        <w:t>a</w:t>
      </w:r>
      <w:proofErr w:type="gramEnd"/>
      <w:r>
        <w:rPr>
          <w:rFonts w:ascii="HelveticaNeueLT Std Lt" w:hAnsi="HelveticaNeueLT Std Lt"/>
          <w:sz w:val="20"/>
          <w:szCs w:val="20"/>
        </w:rPr>
        <w:t xml:space="preserve"> rule enabling </w:t>
      </w:r>
      <w:r w:rsidR="008717FB" w:rsidRPr="002D3E46">
        <w:rPr>
          <w:rFonts w:ascii="HelveticaNeueLT Std Lt" w:hAnsi="HelveticaNeueLT Std Lt"/>
          <w:sz w:val="20"/>
          <w:szCs w:val="20"/>
        </w:rPr>
        <w:t xml:space="preserve">the ACMA to allocate additional </w:t>
      </w:r>
      <w:r w:rsidR="00F75943">
        <w:rPr>
          <w:rFonts w:ascii="HelveticaNeueLT Std Lt" w:hAnsi="HelveticaNeueLT Std Lt"/>
          <w:sz w:val="20"/>
          <w:szCs w:val="20"/>
        </w:rPr>
        <w:t>CSPID</w:t>
      </w:r>
      <w:r w:rsidR="008717FB" w:rsidRPr="002D3E46">
        <w:rPr>
          <w:rFonts w:ascii="HelveticaNeueLT Std Lt" w:hAnsi="HelveticaNeueLT Std Lt"/>
          <w:sz w:val="20"/>
          <w:szCs w:val="20"/>
        </w:rPr>
        <w:t xml:space="preserve"> codes if the ACMA is satisfied that special circumstances justify the</w:t>
      </w:r>
      <w:r w:rsidR="008717FB">
        <w:rPr>
          <w:rFonts w:ascii="HelveticaNeueLT Std Lt" w:hAnsi="HelveticaNeueLT Std Lt"/>
          <w:sz w:val="20"/>
          <w:szCs w:val="20"/>
        </w:rPr>
        <w:t>ir</w:t>
      </w:r>
      <w:r w:rsidR="008717FB" w:rsidRPr="002D3E46">
        <w:rPr>
          <w:rFonts w:ascii="HelveticaNeueLT Std Lt" w:hAnsi="HelveticaNeueLT Std Lt"/>
          <w:sz w:val="20"/>
          <w:szCs w:val="20"/>
        </w:rPr>
        <w:t xml:space="preserve"> allocation.</w:t>
      </w:r>
    </w:p>
    <w:p w:rsidR="008717FB" w:rsidRDefault="008717FB" w:rsidP="008717FB">
      <w:pPr>
        <w:pStyle w:val="ACMABodyText"/>
        <w:spacing w:before="0" w:after="0" w:line="240" w:lineRule="atLeast"/>
        <w:rPr>
          <w:rFonts w:ascii="HelveticaNeueLT Std Lt" w:hAnsi="HelveticaNeueLT Std Lt"/>
          <w:sz w:val="20"/>
        </w:rPr>
      </w:pPr>
    </w:p>
    <w:p w:rsidR="008717FB" w:rsidRPr="00B74A6B" w:rsidRDefault="008717FB" w:rsidP="008717FB">
      <w:pPr>
        <w:pStyle w:val="ACMABodyText"/>
        <w:spacing w:before="0" w:after="0" w:line="240" w:lineRule="atLeast"/>
        <w:rPr>
          <w:rFonts w:ascii="HelveticaNeueLT Std Lt" w:hAnsi="HelveticaNeueLT Std Lt"/>
          <w:sz w:val="20"/>
        </w:rPr>
      </w:pPr>
      <w:r>
        <w:rPr>
          <w:rFonts w:ascii="HelveticaNeueLT Std Lt" w:hAnsi="HelveticaNeueLT Std Lt"/>
          <w:sz w:val="20"/>
        </w:rPr>
        <w:t xml:space="preserve">The intended impact and effect of the legislative instrument is </w:t>
      </w:r>
      <w:r w:rsidRPr="00B74A6B">
        <w:rPr>
          <w:rFonts w:ascii="HelveticaNeueLT Std Lt" w:hAnsi="HelveticaNeueLT Std Lt"/>
          <w:sz w:val="20"/>
        </w:rPr>
        <w:t>to</w:t>
      </w:r>
      <w:r>
        <w:rPr>
          <w:rFonts w:ascii="HelveticaNeueLT Std Lt" w:hAnsi="HelveticaNeueLT Std Lt"/>
          <w:sz w:val="20"/>
        </w:rPr>
        <w:t xml:space="preserve"> ensure that </w:t>
      </w:r>
      <w:r w:rsidR="00517E82">
        <w:rPr>
          <w:rFonts w:ascii="HelveticaNeueLT Std Lt" w:hAnsi="HelveticaNeueLT Std Lt" w:cs="Arial"/>
          <w:sz w:val="20"/>
        </w:rPr>
        <w:t>CSPID codes</w:t>
      </w:r>
      <w:r>
        <w:rPr>
          <w:rFonts w:ascii="HelveticaNeueLT Std Lt" w:hAnsi="HelveticaNeueLT Std Lt" w:cs="Arial"/>
          <w:sz w:val="20"/>
        </w:rPr>
        <w:t xml:space="preserve"> are </w:t>
      </w:r>
      <w:r w:rsidR="00517E82">
        <w:rPr>
          <w:rFonts w:ascii="HelveticaNeueLT Std Lt" w:hAnsi="HelveticaNeueLT Std Lt" w:cs="Arial"/>
          <w:sz w:val="20"/>
        </w:rPr>
        <w:t>managed</w:t>
      </w:r>
      <w:r>
        <w:rPr>
          <w:rFonts w:ascii="HelveticaNeueLT Std Lt" w:hAnsi="HelveticaNeueLT Std Lt" w:cs="Arial"/>
          <w:sz w:val="20"/>
        </w:rPr>
        <w:t xml:space="preserve"> efficiently </w:t>
      </w:r>
      <w:r w:rsidR="00517E82">
        <w:rPr>
          <w:rFonts w:ascii="HelveticaNeueLT Std Lt" w:hAnsi="HelveticaNeueLT Std Lt"/>
          <w:sz w:val="20"/>
        </w:rPr>
        <w:t>when they are no longer subject to</w:t>
      </w:r>
      <w:r w:rsidRPr="00B74A6B">
        <w:rPr>
          <w:rFonts w:ascii="HelveticaNeueLT Std Lt" w:hAnsi="HelveticaNeueLT Std Lt"/>
          <w:sz w:val="20"/>
        </w:rPr>
        <w:t xml:space="preserve"> the annual numbering charge.  </w:t>
      </w:r>
    </w:p>
    <w:p w:rsidR="008717FB" w:rsidRPr="00B74A6B" w:rsidRDefault="008717FB" w:rsidP="008717FB">
      <w:pPr>
        <w:pStyle w:val="ACMABodyText"/>
        <w:spacing w:before="0" w:after="0" w:line="240" w:lineRule="atLeast"/>
        <w:rPr>
          <w:rFonts w:ascii="HelveticaNeueLT Std Lt" w:hAnsi="HelveticaNeueLT Std Lt"/>
          <w:sz w:val="20"/>
        </w:rPr>
      </w:pPr>
    </w:p>
    <w:p w:rsidR="00FA5229" w:rsidRDefault="008717FB">
      <w:pPr>
        <w:rPr>
          <w:szCs w:val="20"/>
        </w:rPr>
      </w:pPr>
      <w:r w:rsidRPr="005F6F2E">
        <w:rPr>
          <w:rFonts w:cs="Arial"/>
          <w:szCs w:val="20"/>
        </w:rPr>
        <w:t xml:space="preserve">The allocation rules will remain in force until such time as the ACMA declares that an industry code, developed by </w:t>
      </w:r>
      <w:r w:rsidR="00F75943">
        <w:rPr>
          <w:rFonts w:cs="Arial"/>
          <w:szCs w:val="20"/>
        </w:rPr>
        <w:t>industry</w:t>
      </w:r>
      <w:r w:rsidRPr="005F6F2E">
        <w:rPr>
          <w:rFonts w:cs="Arial"/>
          <w:szCs w:val="20"/>
        </w:rPr>
        <w:t xml:space="preserve"> and registered by the ACMA under Part 6 of the </w:t>
      </w:r>
      <w:r w:rsidR="007A62AD">
        <w:rPr>
          <w:rFonts w:cs="Arial"/>
          <w:i/>
          <w:szCs w:val="20"/>
        </w:rPr>
        <w:t>Telecommunications Act 1997</w:t>
      </w:r>
      <w:r w:rsidRPr="005F6F2E">
        <w:rPr>
          <w:rFonts w:cs="Arial"/>
          <w:szCs w:val="20"/>
        </w:rPr>
        <w:t>, is a replacement code</w:t>
      </w:r>
      <w:r>
        <w:rPr>
          <w:rFonts w:cs="Arial"/>
          <w:szCs w:val="20"/>
        </w:rPr>
        <w:t xml:space="preserve"> for the matters covered by the </w:t>
      </w:r>
      <w:r w:rsidR="007A62AD">
        <w:rPr>
          <w:rFonts w:cs="Arial"/>
          <w:szCs w:val="20"/>
        </w:rPr>
        <w:t>instrument</w:t>
      </w:r>
      <w:r w:rsidRPr="005F6F2E">
        <w:rPr>
          <w:rFonts w:cs="Arial"/>
          <w:szCs w:val="20"/>
        </w:rPr>
        <w:t xml:space="preserve">. </w:t>
      </w:r>
      <w:r>
        <w:rPr>
          <w:rFonts w:cs="Arial"/>
          <w:szCs w:val="20"/>
        </w:rPr>
        <w:br/>
      </w:r>
      <w:r>
        <w:rPr>
          <w:rFonts w:cs="Arial"/>
          <w:szCs w:val="20"/>
        </w:rPr>
        <w:br/>
      </w:r>
      <w:r w:rsidR="0024036C" w:rsidRPr="004F6033">
        <w:rPr>
          <w:b/>
          <w:szCs w:val="20"/>
        </w:rPr>
        <w:t>Human rights implications</w:t>
      </w:r>
      <w:r>
        <w:rPr>
          <w:szCs w:val="20"/>
        </w:rPr>
        <w:br/>
      </w:r>
      <w:r>
        <w:rPr>
          <w:szCs w:val="20"/>
        </w:rPr>
        <w:br/>
      </w:r>
      <w:r w:rsidR="0024036C" w:rsidRPr="004F6033">
        <w:rPr>
          <w:szCs w:val="20"/>
        </w:rPr>
        <w:t>This Legislative Instrument does not engage any of the applicable rights or freedoms.</w:t>
      </w:r>
    </w:p>
    <w:p w:rsidR="0024036C" w:rsidRPr="004F6033" w:rsidRDefault="0024036C" w:rsidP="0024036C">
      <w:pPr>
        <w:spacing w:before="120" w:after="120"/>
        <w:rPr>
          <w:b/>
          <w:szCs w:val="20"/>
        </w:rPr>
      </w:pPr>
      <w:r w:rsidRPr="004F6033">
        <w:rPr>
          <w:b/>
          <w:szCs w:val="20"/>
        </w:rPr>
        <w:t>Conclusion</w:t>
      </w:r>
    </w:p>
    <w:p w:rsidR="0024036C" w:rsidRPr="002708D3" w:rsidRDefault="0024036C" w:rsidP="0024036C">
      <w:pPr>
        <w:spacing w:before="120" w:after="120"/>
        <w:rPr>
          <w:szCs w:val="20"/>
        </w:rPr>
      </w:pPr>
      <w:r w:rsidRPr="004F6033">
        <w:rPr>
          <w:szCs w:val="20"/>
        </w:rPr>
        <w:t>This Legislative Instrument is compatible with human rights as it does not raise any human rights issues.</w:t>
      </w:r>
    </w:p>
    <w:p w:rsidR="0024036C" w:rsidRDefault="0024036C" w:rsidP="0024036C"/>
    <w:p w:rsidR="0024036C" w:rsidRDefault="0024036C"/>
    <w:p w:rsidR="0024036C" w:rsidRDefault="0024036C"/>
    <w:sectPr w:rsidR="0024036C" w:rsidSect="00822FD2">
      <w:footerReference w:type="default" r:id="rId7"/>
      <w:pgSz w:w="11906" w:h="16838"/>
      <w:pgMar w:top="1134"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7FB" w:rsidRDefault="008717FB" w:rsidP="0024036C">
      <w:pPr>
        <w:spacing w:line="240" w:lineRule="auto"/>
      </w:pPr>
      <w:r>
        <w:separator/>
      </w:r>
    </w:p>
  </w:endnote>
  <w:endnote w:type="continuationSeparator" w:id="0">
    <w:p w:rsidR="008717FB" w:rsidRDefault="008717FB" w:rsidP="0024036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NeueLT Std L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89112"/>
      <w:docPartObj>
        <w:docPartGallery w:val="Page Numbers (Bottom of Page)"/>
        <w:docPartUnique/>
      </w:docPartObj>
    </w:sdtPr>
    <w:sdtContent>
      <w:p w:rsidR="008717FB" w:rsidRDefault="00FD5A22">
        <w:pPr>
          <w:pStyle w:val="Footer"/>
          <w:jc w:val="center"/>
        </w:pPr>
        <w:fldSimple w:instr=" PAGE   \* MERGEFORMAT ">
          <w:r w:rsidR="002D7EBE">
            <w:rPr>
              <w:noProof/>
            </w:rPr>
            <w:t>1</w:t>
          </w:r>
        </w:fldSimple>
      </w:p>
    </w:sdtContent>
  </w:sdt>
  <w:p w:rsidR="008717FB" w:rsidRDefault="008717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7FB" w:rsidRDefault="008717FB" w:rsidP="0024036C">
      <w:pPr>
        <w:spacing w:line="240" w:lineRule="auto"/>
      </w:pPr>
      <w:r>
        <w:separator/>
      </w:r>
    </w:p>
  </w:footnote>
  <w:footnote w:type="continuationSeparator" w:id="0">
    <w:p w:rsidR="008717FB" w:rsidRDefault="008717FB" w:rsidP="0024036C">
      <w:pPr>
        <w:spacing w:line="240" w:lineRule="auto"/>
      </w:pPr>
      <w:r>
        <w:continuationSeparator/>
      </w:r>
    </w:p>
  </w:footnote>
  <w:footnote w:id="1">
    <w:p w:rsidR="008717FB" w:rsidRDefault="008717FB" w:rsidP="003A3243">
      <w:pPr>
        <w:pStyle w:val="FootnoteText"/>
      </w:pPr>
      <w:r>
        <w:rPr>
          <w:rStyle w:val="FootnoteReference"/>
        </w:rPr>
        <w:footnoteRef/>
      </w:r>
      <w:r>
        <w:t xml:space="preserve"> Four and five digit international access codes, carriage service provider identification codes, virtual private network access codes and incoming-only international access codes.</w:t>
      </w:r>
    </w:p>
  </w:footnote>
  <w:footnote w:id="2">
    <w:p w:rsidR="008717FB" w:rsidRDefault="008717FB" w:rsidP="003A3243">
      <w:pPr>
        <w:pStyle w:val="FootnoteText"/>
      </w:pPr>
      <w:r>
        <w:rPr>
          <w:rStyle w:val="FootnoteReference"/>
        </w:rPr>
        <w:footnoteRef/>
      </w:r>
      <w:r>
        <w:t xml:space="preserve"> 90 CSPID codes are available for allocation.  As at August 2013, 18 CSPID Codes had been allocated by the ACMA, leaving 72 still available for allocation.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3C95"/>
    <w:multiLevelType w:val="hybridMultilevel"/>
    <w:tmpl w:val="A664D13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nsid w:val="20627739"/>
    <w:multiLevelType w:val="hybridMultilevel"/>
    <w:tmpl w:val="306C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3582C21"/>
    <w:multiLevelType w:val="hybridMultilevel"/>
    <w:tmpl w:val="4358D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1D1869"/>
    <w:multiLevelType w:val="hybridMultilevel"/>
    <w:tmpl w:val="FEDE127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BA391F"/>
    <w:multiLevelType w:val="hybridMultilevel"/>
    <w:tmpl w:val="256C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036C"/>
    <w:rsid w:val="00014444"/>
    <w:rsid w:val="000848FB"/>
    <w:rsid w:val="0012543F"/>
    <w:rsid w:val="00125AF3"/>
    <w:rsid w:val="00176090"/>
    <w:rsid w:val="001A0B9E"/>
    <w:rsid w:val="001E5071"/>
    <w:rsid w:val="0024036C"/>
    <w:rsid w:val="00270ACA"/>
    <w:rsid w:val="002D7EBE"/>
    <w:rsid w:val="002E73EE"/>
    <w:rsid w:val="0038604A"/>
    <w:rsid w:val="00395F6C"/>
    <w:rsid w:val="003A3243"/>
    <w:rsid w:val="00471323"/>
    <w:rsid w:val="00517856"/>
    <w:rsid w:val="00517E82"/>
    <w:rsid w:val="005C2187"/>
    <w:rsid w:val="0060231A"/>
    <w:rsid w:val="006452CA"/>
    <w:rsid w:val="00681146"/>
    <w:rsid w:val="00717627"/>
    <w:rsid w:val="00751CB4"/>
    <w:rsid w:val="007A62AD"/>
    <w:rsid w:val="00805B76"/>
    <w:rsid w:val="00822FD2"/>
    <w:rsid w:val="008717FB"/>
    <w:rsid w:val="008B684F"/>
    <w:rsid w:val="009256C8"/>
    <w:rsid w:val="009D4B16"/>
    <w:rsid w:val="00A23E36"/>
    <w:rsid w:val="00A92A21"/>
    <w:rsid w:val="00B32A35"/>
    <w:rsid w:val="00B70FB5"/>
    <w:rsid w:val="00B9246A"/>
    <w:rsid w:val="00B97E32"/>
    <w:rsid w:val="00BC2F81"/>
    <w:rsid w:val="00BE2E83"/>
    <w:rsid w:val="00C71988"/>
    <w:rsid w:val="00C77355"/>
    <w:rsid w:val="00D12013"/>
    <w:rsid w:val="00D56BB1"/>
    <w:rsid w:val="00E43BF9"/>
    <w:rsid w:val="00E6498E"/>
    <w:rsid w:val="00EC1558"/>
    <w:rsid w:val="00F75943"/>
    <w:rsid w:val="00F878F7"/>
    <w:rsid w:val="00FA02C1"/>
    <w:rsid w:val="00FA5229"/>
    <w:rsid w:val="00FC0750"/>
    <w:rsid w:val="00FD5A22"/>
    <w:rsid w:val="00FF6D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36C"/>
    <w:pPr>
      <w:spacing w:after="0" w:line="240" w:lineRule="atLeast"/>
    </w:pPr>
    <w:rPr>
      <w:rFonts w:ascii="HelveticaNeueLT Std Lt" w:eastAsia="Times New Roman" w:hAnsi="HelveticaNeueLT Std Lt" w:cs="Times New Roman"/>
      <w:sz w:val="20"/>
      <w:szCs w:val="24"/>
      <w:lang w:eastAsia="en-AU"/>
    </w:rPr>
  </w:style>
  <w:style w:type="paragraph" w:styleId="Heading1">
    <w:name w:val="heading 1"/>
    <w:basedOn w:val="Normal"/>
    <w:next w:val="Normal"/>
    <w:link w:val="Heading1Char"/>
    <w:qFormat/>
    <w:rsid w:val="0024036C"/>
    <w:pPr>
      <w:keepNext/>
      <w:pageBreakBefore/>
      <w:widowControl w:val="0"/>
      <w:spacing w:after="360" w:line="550" w:lineRule="exact"/>
      <w:outlineLvl w:val="0"/>
    </w:pPr>
    <w:rPr>
      <w:rFonts w:cs="Arial"/>
      <w:bCs/>
      <w:color w:val="4D4D4F"/>
      <w:kern w:val="32"/>
      <w:sz w:val="53"/>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36C"/>
    <w:rPr>
      <w:rFonts w:ascii="HelveticaNeueLT Std Lt" w:eastAsia="Times New Roman" w:hAnsi="HelveticaNeueLT Std Lt" w:cs="Arial"/>
      <w:bCs/>
      <w:color w:val="4D4D4F"/>
      <w:kern w:val="32"/>
      <w:sz w:val="53"/>
      <w:szCs w:val="32"/>
      <w:lang w:eastAsia="en-AU"/>
    </w:rPr>
  </w:style>
  <w:style w:type="character" w:styleId="Hyperlink">
    <w:name w:val="Hyperlink"/>
    <w:basedOn w:val="DefaultParagraphFont"/>
    <w:rsid w:val="0024036C"/>
    <w:rPr>
      <w:color w:val="0000FF"/>
      <w:u w:val="single"/>
    </w:rPr>
  </w:style>
  <w:style w:type="character" w:styleId="FootnoteReference">
    <w:name w:val="footnote reference"/>
    <w:aliases w:val="(NECG) Footnote Reference,(NECG) Footnote Reference1,(NECG) Footnote Reference2,o,Appel note de bas de p,Appel note de bas de p + 11 pt,Italic,Footnote,Appel note de bas de p1,Appel note de bas de p2,Appel note de bas de p3,Style 12"/>
    <w:basedOn w:val="DefaultParagraphFont"/>
    <w:rsid w:val="0024036C"/>
    <w:rPr>
      <w:rFonts w:ascii="Arial" w:hAnsi="Arial"/>
      <w:vertAlign w:val="superscript"/>
    </w:rPr>
  </w:style>
  <w:style w:type="paragraph" w:styleId="FootnoteText">
    <w:name w:val="footnote text"/>
    <w:aliases w:val="ACMA Footnote Text,ABA Footnote Text,ALTS FOOTNOTE,(NECG) Footnote Text,Footnote text,AR Footnote Text,AR Footnote Text Char Char Char Char Char,Footnote Text Char1 Char Char,Footnote Text Char Char Char Char Char Char,footnote text,f,fn"/>
    <w:basedOn w:val="Normal"/>
    <w:link w:val="FootnoteTextChar"/>
    <w:rsid w:val="0024036C"/>
    <w:rPr>
      <w:sz w:val="16"/>
      <w:szCs w:val="16"/>
    </w:rPr>
  </w:style>
  <w:style w:type="character" w:customStyle="1" w:styleId="FootnoteTextChar">
    <w:name w:val="Footnote Text Char"/>
    <w:aliases w:val="ACMA Footnote Text Char,ABA Footnote Text Char,ALTS FOOTNOTE Char,(NECG) Footnote Text Char,Footnote text Char,AR Footnote Text Char,AR Footnote Text Char Char Char Char Char Char,Footnote Text Char1 Char Char Char,footnote text Char"/>
    <w:basedOn w:val="DefaultParagraphFont"/>
    <w:link w:val="FootnoteText"/>
    <w:rsid w:val="0024036C"/>
    <w:rPr>
      <w:rFonts w:ascii="HelveticaNeueLT Std Lt" w:eastAsia="Times New Roman" w:hAnsi="HelveticaNeueLT Std Lt" w:cs="Times New Roman"/>
      <w:sz w:val="16"/>
      <w:szCs w:val="16"/>
      <w:lang w:eastAsia="en-AU"/>
    </w:rPr>
  </w:style>
  <w:style w:type="paragraph" w:styleId="ListParagraph">
    <w:name w:val="List Paragraph"/>
    <w:basedOn w:val="Normal"/>
    <w:uiPriority w:val="34"/>
    <w:qFormat/>
    <w:rsid w:val="0024036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MABodyText">
    <w:name w:val="ACMA Body Text"/>
    <w:link w:val="ACMABodyTextChar"/>
    <w:rsid w:val="0024036C"/>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
    <w:name w:val="ACMA Body Text Char"/>
    <w:basedOn w:val="DefaultParagraphFont"/>
    <w:link w:val="ACMABodyText"/>
    <w:locked/>
    <w:rsid w:val="0024036C"/>
    <w:rPr>
      <w:rFonts w:ascii="Times New Roman" w:eastAsia="Times New Roman" w:hAnsi="Times New Roman" w:cs="Times New Roman"/>
      <w:snapToGrid w:val="0"/>
      <w:sz w:val="24"/>
      <w:szCs w:val="20"/>
    </w:rPr>
  </w:style>
  <w:style w:type="character" w:styleId="CommentReference">
    <w:name w:val="annotation reference"/>
    <w:basedOn w:val="DefaultParagraphFont"/>
    <w:semiHidden/>
    <w:rsid w:val="0024036C"/>
    <w:rPr>
      <w:sz w:val="16"/>
      <w:szCs w:val="16"/>
    </w:rPr>
  </w:style>
  <w:style w:type="paragraph" w:styleId="CommentText">
    <w:name w:val="annotation text"/>
    <w:basedOn w:val="Normal"/>
    <w:link w:val="CommentTextChar"/>
    <w:semiHidden/>
    <w:rsid w:val="0024036C"/>
    <w:pPr>
      <w:spacing w:line="240" w:lineRule="auto"/>
    </w:pPr>
    <w:rPr>
      <w:szCs w:val="20"/>
    </w:rPr>
  </w:style>
  <w:style w:type="character" w:customStyle="1" w:styleId="CommentTextChar">
    <w:name w:val="Comment Text Char"/>
    <w:basedOn w:val="DefaultParagraphFont"/>
    <w:link w:val="CommentText"/>
    <w:semiHidden/>
    <w:rsid w:val="0024036C"/>
    <w:rPr>
      <w:rFonts w:ascii="HelveticaNeueLT Std Lt" w:eastAsia="Times New Roman" w:hAnsi="HelveticaNeueLT Std Lt" w:cs="Times New Roman"/>
      <w:sz w:val="20"/>
      <w:szCs w:val="20"/>
      <w:lang w:eastAsia="en-AU"/>
    </w:rPr>
  </w:style>
  <w:style w:type="paragraph" w:customStyle="1" w:styleId="ACMANumberedList">
    <w:name w:val="ACMA Numbered List"/>
    <w:link w:val="ACMANumberedListChar"/>
    <w:rsid w:val="0024036C"/>
    <w:pPr>
      <w:numPr>
        <w:numId w:val="2"/>
      </w:numPr>
      <w:spacing w:before="20" w:after="20" w:line="240" w:lineRule="auto"/>
    </w:pPr>
    <w:rPr>
      <w:rFonts w:ascii="Times New Roman" w:eastAsia="Times New Roman" w:hAnsi="Times New Roman" w:cs="Times New Roman"/>
      <w:sz w:val="24"/>
      <w:szCs w:val="20"/>
    </w:rPr>
  </w:style>
  <w:style w:type="character" w:customStyle="1" w:styleId="ACMANumberedListChar">
    <w:name w:val="ACMA Numbered List Char"/>
    <w:basedOn w:val="DefaultParagraphFont"/>
    <w:link w:val="ACMANumberedList"/>
    <w:rsid w:val="0024036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403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36C"/>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24036C"/>
    <w:rPr>
      <w:b/>
      <w:bCs/>
    </w:rPr>
  </w:style>
  <w:style w:type="character" w:customStyle="1" w:styleId="CommentSubjectChar">
    <w:name w:val="Comment Subject Char"/>
    <w:basedOn w:val="CommentTextChar"/>
    <w:link w:val="CommentSubject"/>
    <w:uiPriority w:val="99"/>
    <w:semiHidden/>
    <w:rsid w:val="0024036C"/>
    <w:rPr>
      <w:b/>
      <w:bCs/>
    </w:rPr>
  </w:style>
  <w:style w:type="paragraph" w:customStyle="1" w:styleId="ACMAHeading3">
    <w:name w:val="ACMA Heading 3"/>
    <w:next w:val="ACMABodyText"/>
    <w:rsid w:val="00D56BB1"/>
    <w:pPr>
      <w:keepNext/>
      <w:suppressAutoHyphens/>
      <w:spacing w:before="240" w:after="0" w:line="240" w:lineRule="auto"/>
      <w:outlineLvl w:val="3"/>
    </w:pPr>
    <w:rPr>
      <w:rFonts w:ascii="Arial" w:eastAsia="Times New Roman" w:hAnsi="Arial" w:cs="Times New Roman"/>
      <w:b/>
      <w:sz w:val="24"/>
      <w:szCs w:val="20"/>
      <w:lang w:val="en-US"/>
    </w:rPr>
  </w:style>
  <w:style w:type="character" w:customStyle="1" w:styleId="ACMABodyTextChar1">
    <w:name w:val="ACMA Body Text Char1"/>
    <w:basedOn w:val="DefaultParagraphFont"/>
    <w:uiPriority w:val="99"/>
    <w:rsid w:val="00D56BB1"/>
    <w:rPr>
      <w:snapToGrid w:val="0"/>
      <w:sz w:val="24"/>
      <w:lang w:val="en-AU" w:eastAsia="en-US" w:bidi="ar-SA"/>
    </w:rPr>
  </w:style>
  <w:style w:type="paragraph" w:styleId="Header">
    <w:name w:val="header"/>
    <w:basedOn w:val="Normal"/>
    <w:link w:val="HeaderChar"/>
    <w:uiPriority w:val="99"/>
    <w:semiHidden/>
    <w:unhideWhenUsed/>
    <w:rsid w:val="00FC075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C0750"/>
    <w:rPr>
      <w:rFonts w:ascii="HelveticaNeueLT Std Lt" w:eastAsia="Times New Roman" w:hAnsi="HelveticaNeueLT Std Lt" w:cs="Times New Roman"/>
      <w:sz w:val="20"/>
      <w:szCs w:val="24"/>
      <w:lang w:eastAsia="en-AU"/>
    </w:rPr>
  </w:style>
  <w:style w:type="paragraph" w:styleId="Footer">
    <w:name w:val="footer"/>
    <w:basedOn w:val="Normal"/>
    <w:link w:val="FooterChar"/>
    <w:uiPriority w:val="99"/>
    <w:unhideWhenUsed/>
    <w:rsid w:val="00FC0750"/>
    <w:pPr>
      <w:tabs>
        <w:tab w:val="center" w:pos="4513"/>
        <w:tab w:val="right" w:pos="9026"/>
      </w:tabs>
      <w:spacing w:line="240" w:lineRule="auto"/>
    </w:pPr>
  </w:style>
  <w:style w:type="character" w:customStyle="1" w:styleId="FooterChar">
    <w:name w:val="Footer Char"/>
    <w:basedOn w:val="DefaultParagraphFont"/>
    <w:link w:val="Footer"/>
    <w:uiPriority w:val="99"/>
    <w:rsid w:val="00FC0750"/>
    <w:rPr>
      <w:rFonts w:ascii="HelveticaNeueLT Std Lt" w:eastAsia="Times New Roman" w:hAnsi="HelveticaNeueLT Std Lt" w:cs="Times New Roman"/>
      <w:sz w:val="20"/>
      <w:szCs w:val="24"/>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mstavrop</dc:creator>
  <cp:lastModifiedBy>Mary Stavropoulos</cp:lastModifiedBy>
  <cp:revision>7</cp:revision>
  <cp:lastPrinted>2013-08-13T06:22:00Z</cp:lastPrinted>
  <dcterms:created xsi:type="dcterms:W3CDTF">2013-08-20T07:12:00Z</dcterms:created>
  <dcterms:modified xsi:type="dcterms:W3CDTF">2013-08-21T01:01:00Z</dcterms:modified>
</cp:coreProperties>
</file>