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CC9" w:rsidRPr="006E210A" w:rsidRDefault="00680CC9" w:rsidP="00CD6569">
      <w:pPr>
        <w:pStyle w:val="CoverTitle"/>
        <w:spacing w:before="3960"/>
        <w:jc w:val="center"/>
      </w:pPr>
      <w:r w:rsidRPr="006E210A">
        <w:t>Regulation Impact Statement</w:t>
      </w:r>
    </w:p>
    <w:p w:rsidR="00680CC9" w:rsidRPr="006E210A" w:rsidRDefault="00680CC9" w:rsidP="00680CC9">
      <w:pPr>
        <w:pStyle w:val="CoverTitle"/>
        <w:jc w:val="center"/>
      </w:pPr>
    </w:p>
    <w:p w:rsidR="00680CC9" w:rsidRPr="00081649" w:rsidRDefault="00023B37" w:rsidP="00680CC9">
      <w:pPr>
        <w:pStyle w:val="CoverTitle"/>
        <w:jc w:val="center"/>
        <w:rPr>
          <w:sz w:val="32"/>
          <w:szCs w:val="32"/>
        </w:rPr>
      </w:pPr>
      <w:r>
        <w:rPr>
          <w:sz w:val="32"/>
          <w:szCs w:val="32"/>
        </w:rPr>
        <w:t>Amendments to Australian Accounting Standards – Investment Entities</w:t>
      </w:r>
    </w:p>
    <w:p w:rsidR="00680CC9" w:rsidRPr="006E210A" w:rsidRDefault="000977F9" w:rsidP="005D3F71">
      <w:pPr>
        <w:pStyle w:val="CoverDate"/>
        <w:tabs>
          <w:tab w:val="left" w:pos="3794"/>
          <w:tab w:val="left" w:pos="6232"/>
        </w:tabs>
        <w:spacing w:before="1800"/>
        <w:rPr>
          <w:b/>
          <w:sz w:val="28"/>
          <w:szCs w:val="28"/>
        </w:rPr>
      </w:pPr>
      <w:r>
        <w:rPr>
          <w:b/>
          <w:sz w:val="28"/>
          <w:szCs w:val="28"/>
        </w:rPr>
        <w:t>August</w:t>
      </w:r>
      <w:r w:rsidR="006661E4">
        <w:rPr>
          <w:b/>
          <w:sz w:val="28"/>
          <w:szCs w:val="28"/>
        </w:rPr>
        <w:t xml:space="preserve"> 201</w:t>
      </w:r>
      <w:r w:rsidR="00023B37">
        <w:rPr>
          <w:b/>
          <w:sz w:val="28"/>
          <w:szCs w:val="28"/>
        </w:rPr>
        <w:t>3</w:t>
      </w:r>
    </w:p>
    <w:p w:rsidR="00680CC9" w:rsidRPr="006E210A" w:rsidRDefault="0063750B" w:rsidP="00680CC9">
      <w:r>
        <w:rPr>
          <w:noProof/>
          <w:lang w:eastAsia="en-AU"/>
        </w:rPr>
        <w:drawing>
          <wp:anchor distT="0" distB="0" distL="114300" distR="114300" simplePos="0" relativeHeight="251659264" behindDoc="0" locked="1" layoutInCell="1" allowOverlap="1" wp14:anchorId="7E3501F6" wp14:editId="52992E6E">
            <wp:simplePos x="0" y="0"/>
            <wp:positionH relativeFrom="margin">
              <wp:posOffset>0</wp:posOffset>
            </wp:positionH>
            <wp:positionV relativeFrom="page">
              <wp:posOffset>8893175</wp:posOffset>
            </wp:positionV>
            <wp:extent cx="1677600" cy="1332000"/>
            <wp:effectExtent l="0" t="0" r="0" b="1905"/>
            <wp:wrapNone/>
            <wp:docPr id="5" name="Picture 5" descr="AASB_stacked" title="AASB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0CC9" w:rsidRPr="006E210A" w:rsidRDefault="00680CC9" w:rsidP="00680CC9">
      <w:pPr>
        <w:spacing w:line="240" w:lineRule="auto"/>
        <w:sectPr w:rsidR="00680CC9" w:rsidRPr="006E210A" w:rsidSect="00CD6569">
          <w:headerReference w:type="even" r:id="rId10"/>
          <w:headerReference w:type="default" r:id="rId11"/>
          <w:headerReference w:type="first" r:id="rId12"/>
          <w:pgSz w:w="11907" w:h="16840" w:code="9"/>
          <w:pgMar w:top="1134" w:right="1134" w:bottom="1134" w:left="1134" w:header="720" w:footer="720" w:gutter="0"/>
          <w:cols w:space="720"/>
        </w:sectPr>
      </w:pPr>
    </w:p>
    <w:p w:rsidR="00437B53" w:rsidRPr="006E210A" w:rsidRDefault="00E626D4" w:rsidP="00CD6569">
      <w:pPr>
        <w:pStyle w:val="TopHeading1"/>
      </w:pPr>
      <w:r w:rsidRPr="006E210A">
        <w:rPr>
          <w:caps w:val="0"/>
        </w:rPr>
        <w:lastRenderedPageBreak/>
        <w:t>Regulation Impact Statement</w:t>
      </w:r>
    </w:p>
    <w:p w:rsidR="008212CA" w:rsidRPr="00081649" w:rsidRDefault="00230A68" w:rsidP="002126C6">
      <w:pPr>
        <w:spacing w:line="240" w:lineRule="auto"/>
        <w:ind w:right="-4"/>
        <w:jc w:val="center"/>
        <w:rPr>
          <w:iCs/>
          <w:sz w:val="24"/>
          <w:szCs w:val="24"/>
        </w:rPr>
      </w:pPr>
      <w:r>
        <w:rPr>
          <w:b/>
          <w:bCs/>
          <w:iCs/>
          <w:sz w:val="24"/>
          <w:szCs w:val="24"/>
        </w:rPr>
        <w:t>Amendments to Australian Accounting Standards – Investment Entities</w:t>
      </w:r>
    </w:p>
    <w:p w:rsidR="00B35190" w:rsidRDefault="00B35190" w:rsidP="003B3343">
      <w:pPr>
        <w:pStyle w:val="TopHeading2"/>
        <w:rPr>
          <w:sz w:val="24"/>
          <w:szCs w:val="24"/>
        </w:rPr>
      </w:pPr>
    </w:p>
    <w:p w:rsidR="003B3343" w:rsidRPr="003413D5" w:rsidRDefault="003B3343" w:rsidP="00022605">
      <w:pPr>
        <w:pStyle w:val="TopHeading2"/>
        <w:spacing w:line="200" w:lineRule="exact"/>
        <w:rPr>
          <w:sz w:val="24"/>
          <w:szCs w:val="24"/>
        </w:rPr>
      </w:pPr>
      <w:r w:rsidRPr="003413D5">
        <w:rPr>
          <w:sz w:val="24"/>
          <w:szCs w:val="24"/>
        </w:rPr>
        <w:t>Background</w:t>
      </w:r>
    </w:p>
    <w:p w:rsidR="00B37519" w:rsidRPr="006E210A" w:rsidRDefault="00B37519" w:rsidP="0054000A">
      <w:pPr>
        <w:pStyle w:val="TextPara"/>
      </w:pPr>
      <w:r w:rsidRPr="006E210A">
        <w:t xml:space="preserve">Under section 227(1) of the </w:t>
      </w:r>
      <w:r w:rsidRPr="006E210A">
        <w:rPr>
          <w:i/>
          <w:iCs/>
        </w:rPr>
        <w:t>Australian Securities and Investments Commission Act 2001</w:t>
      </w:r>
      <w:r w:rsidRPr="006E210A">
        <w:t xml:space="preserve"> (ASIC Act), the functions of the </w:t>
      </w:r>
      <w:r w:rsidR="000B7C6F">
        <w:t>Australian Accounting Standards Board (</w:t>
      </w:r>
      <w:r w:rsidRPr="006E210A">
        <w:t>AASB</w:t>
      </w:r>
      <w:r w:rsidR="000B7C6F">
        <w:t>)</w:t>
      </w:r>
      <w:r w:rsidRPr="006E210A">
        <w:t xml:space="preserve"> </w:t>
      </w:r>
      <w:bookmarkStart w:id="0" w:name="_GoBack"/>
      <w:bookmarkEnd w:id="0"/>
      <w:r w:rsidRPr="006E210A">
        <w:t>are to:</w:t>
      </w:r>
    </w:p>
    <w:p w:rsidR="00B37519" w:rsidRPr="006E210A" w:rsidRDefault="00B37519" w:rsidP="00272B61">
      <w:pPr>
        <w:pStyle w:val="TextPoint"/>
        <w:ind w:left="397" w:hanging="397"/>
      </w:pPr>
      <w:r w:rsidRPr="006E210A">
        <w:sym w:font="Symbol" w:char="F0B7"/>
      </w:r>
      <w:r w:rsidRPr="006E210A">
        <w:tab/>
      </w:r>
      <w:proofErr w:type="gramStart"/>
      <w:r w:rsidRPr="006E210A">
        <w:t>develop</w:t>
      </w:r>
      <w:proofErr w:type="gramEnd"/>
      <w:r w:rsidRPr="006E210A">
        <w:t xml:space="preserve"> a conceptual framework, not having the force of an accounting standard, for the purpose of evaluating proposed accounting standards and international standards;</w:t>
      </w:r>
    </w:p>
    <w:p w:rsidR="00B37519" w:rsidRPr="006E210A" w:rsidRDefault="00B37519" w:rsidP="00272B61">
      <w:pPr>
        <w:pStyle w:val="TextPoint"/>
        <w:ind w:left="397" w:hanging="397"/>
      </w:pPr>
      <w:r w:rsidRPr="006E210A">
        <w:sym w:font="Symbol" w:char="F0B7"/>
      </w:r>
      <w:r w:rsidRPr="006E210A">
        <w:tab/>
      </w:r>
      <w:proofErr w:type="gramStart"/>
      <w:r w:rsidRPr="006E210A">
        <w:t>make</w:t>
      </w:r>
      <w:proofErr w:type="gramEnd"/>
      <w:r w:rsidRPr="006E210A">
        <w:t xml:space="preserve"> accounting standards under section 334 of the </w:t>
      </w:r>
      <w:r w:rsidRPr="006E210A">
        <w:rPr>
          <w:i/>
          <w:iCs/>
        </w:rPr>
        <w:t>Corporations Act</w:t>
      </w:r>
      <w:r w:rsidRPr="006E210A">
        <w:t xml:space="preserve"> for the purposes of the corporations legislation;</w:t>
      </w:r>
    </w:p>
    <w:p w:rsidR="00B37519" w:rsidRPr="006E210A" w:rsidRDefault="00B37519" w:rsidP="00272B61">
      <w:pPr>
        <w:pStyle w:val="TextPoint"/>
        <w:ind w:left="397" w:hanging="397"/>
      </w:pPr>
      <w:r w:rsidRPr="006E210A">
        <w:sym w:font="Symbol" w:char="F0B7"/>
      </w:r>
      <w:r w:rsidRPr="006E210A">
        <w:tab/>
      </w:r>
      <w:proofErr w:type="gramStart"/>
      <w:r w:rsidRPr="006E210A">
        <w:t>formulate</w:t>
      </w:r>
      <w:proofErr w:type="gramEnd"/>
      <w:r w:rsidRPr="006E210A">
        <w:t xml:space="preserve"> accounting standards for other purposes; and</w:t>
      </w:r>
    </w:p>
    <w:p w:rsidR="00B37519" w:rsidRPr="006E210A" w:rsidRDefault="00B37519" w:rsidP="00272B61">
      <w:pPr>
        <w:pStyle w:val="TextPoint"/>
        <w:ind w:left="397" w:hanging="397"/>
      </w:pPr>
      <w:r w:rsidRPr="006E210A">
        <w:sym w:font="Symbol" w:char="F0B7"/>
      </w:r>
      <w:r w:rsidRPr="006E210A">
        <w:tab/>
      </w:r>
      <w:proofErr w:type="gramStart"/>
      <w:r w:rsidRPr="006E210A">
        <w:t>participate</w:t>
      </w:r>
      <w:proofErr w:type="gramEnd"/>
      <w:r w:rsidRPr="006E210A">
        <w:t xml:space="preserve"> in and contribute to the development of a single set of accounting standards for world-wide use having regard to the interests of Australian corporations that raise or propose to raise capital in major international financial centres.</w:t>
      </w:r>
    </w:p>
    <w:p w:rsidR="00150F8F" w:rsidRPr="006E210A" w:rsidRDefault="00412EF9" w:rsidP="00412EF9">
      <w:pPr>
        <w:pStyle w:val="TextPara"/>
      </w:pPr>
      <w:r>
        <w:t>In general, t</w:t>
      </w:r>
      <w:r w:rsidR="00437B53" w:rsidRPr="006E210A">
        <w:t>he AASB issu</w:t>
      </w:r>
      <w:r w:rsidR="00B37519">
        <w:t>es</w:t>
      </w:r>
      <w:r w:rsidR="00437B53" w:rsidRPr="006E210A">
        <w:t xml:space="preserve"> Australian </w:t>
      </w:r>
      <w:r w:rsidR="00FA7477">
        <w:t>Accounting</w:t>
      </w:r>
      <w:r w:rsidR="00B37519">
        <w:t xml:space="preserve"> </w:t>
      </w:r>
      <w:r w:rsidR="00FA7477">
        <w:t>Standards</w:t>
      </w:r>
      <w:r w:rsidR="00B37519">
        <w:t xml:space="preserve"> that incorporate International Financial Reporting </w:t>
      </w:r>
      <w:r w:rsidR="00FA7477">
        <w:t>Standards</w:t>
      </w:r>
      <w:r w:rsidR="00B37519">
        <w:t xml:space="preserve"> (IFRSs) issued by the International </w:t>
      </w:r>
      <w:r w:rsidR="00FA7477">
        <w:t>Accounting</w:t>
      </w:r>
      <w:r w:rsidR="00B37519">
        <w:t xml:space="preserve"> </w:t>
      </w:r>
      <w:r w:rsidR="00FA7477">
        <w:t>Standards</w:t>
      </w:r>
      <w:r w:rsidR="00B37519">
        <w:t xml:space="preserve"> Board (</w:t>
      </w:r>
      <w:r w:rsidR="00437B53" w:rsidRPr="006E210A">
        <w:t>IASB</w:t>
      </w:r>
      <w:r w:rsidR="00B37519">
        <w:t>).</w:t>
      </w:r>
      <w:r w:rsidR="00437B53" w:rsidRPr="006E210A">
        <w:t xml:space="preserve"> </w:t>
      </w:r>
    </w:p>
    <w:p w:rsidR="00150F8F" w:rsidRPr="006E210A" w:rsidRDefault="00437B53" w:rsidP="00B37519">
      <w:pPr>
        <w:pStyle w:val="TextPara"/>
      </w:pPr>
      <w:r w:rsidRPr="006E210A">
        <w:t>The AASB issue</w:t>
      </w:r>
      <w:r w:rsidR="00B37519">
        <w:t>s</w:t>
      </w:r>
      <w:r w:rsidRPr="006E210A">
        <w:t xml:space="preserve"> one series of Standards applicable to both for-profit and not-for-profit entities, including public sector entities. </w:t>
      </w:r>
      <w:r w:rsidR="00FD5884">
        <w:t xml:space="preserve"> </w:t>
      </w:r>
    </w:p>
    <w:p w:rsidR="006661E4" w:rsidRDefault="002126C6" w:rsidP="00DE0020">
      <w:pPr>
        <w:pStyle w:val="TextPara"/>
      </w:pPr>
      <w:r w:rsidRPr="00EB3916">
        <w:t>The AASB includes some disclosure requirements that are in addition to the IFRSs, but aims to keep these to a minimum on the basis that the IFRSs represent best international practice for general purpose financial reporting of publicly accountable for-profit entities</w:t>
      </w:r>
      <w:r w:rsidR="006661E4">
        <w:t>.</w:t>
      </w:r>
    </w:p>
    <w:p w:rsidR="00022605" w:rsidRDefault="00022605" w:rsidP="00272B61">
      <w:pPr>
        <w:pStyle w:val="TextPara"/>
      </w:pPr>
      <w:r>
        <w:t>The AASB has decided to prepare</w:t>
      </w:r>
      <w:r w:rsidRPr="00597729">
        <w:t xml:space="preserve"> a single stage RIS f</w:t>
      </w:r>
      <w:r w:rsidRPr="007C62D9">
        <w:t>or AASB</w:t>
      </w:r>
      <w:r>
        <w:t> </w:t>
      </w:r>
      <w:r w:rsidR="00CA4FA8">
        <w:t>2013</w:t>
      </w:r>
      <w:r w:rsidR="00CA4FA8">
        <w:noBreakHyphen/>
      </w:r>
      <w:r w:rsidR="00430461">
        <w:t>5</w:t>
      </w:r>
      <w:r w:rsidR="00CA4FA8">
        <w:t xml:space="preserve"> </w:t>
      </w:r>
      <w:r w:rsidRPr="00597729">
        <w:rPr>
          <w:i/>
        </w:rPr>
        <w:t>Amendments to Australian Accounting Standards – Investment Entities</w:t>
      </w:r>
      <w:r>
        <w:rPr>
          <w:i/>
        </w:rPr>
        <w:t xml:space="preserve"> </w:t>
      </w:r>
      <w:r w:rsidR="00B044E4">
        <w:t xml:space="preserve">on the grounds that </w:t>
      </w:r>
      <w:r>
        <w:t>t</w:t>
      </w:r>
      <w:r w:rsidRPr="00022605">
        <w:t xml:space="preserve">he </w:t>
      </w:r>
      <w:r>
        <w:t xml:space="preserve">two consultation documents </w:t>
      </w:r>
      <w:r w:rsidR="00B044E4">
        <w:t xml:space="preserve">issued by the AASB </w:t>
      </w:r>
      <w:r>
        <w:t>in relation</w:t>
      </w:r>
      <w:r w:rsidR="008F6103">
        <w:t xml:space="preserve"> to AASB 2013-</w:t>
      </w:r>
      <w:r w:rsidR="00430461">
        <w:t>5</w:t>
      </w:r>
      <w:r w:rsidR="00B044E4">
        <w:t xml:space="preserve"> </w:t>
      </w:r>
      <w:r w:rsidR="005E095F">
        <w:t>were each accompanied by</w:t>
      </w:r>
      <w:r w:rsidR="00B044E4">
        <w:t xml:space="preserve"> Bases for Conclusions that included an outline of benefits and costs of the proposals. </w:t>
      </w:r>
      <w:r>
        <w:t xml:space="preserve"> </w:t>
      </w:r>
      <w:r w:rsidRPr="00022605">
        <w:t xml:space="preserve">Exposure Draft ED 220 </w:t>
      </w:r>
      <w:r w:rsidRPr="00597729">
        <w:rPr>
          <w:i/>
        </w:rPr>
        <w:t>Investment Entities</w:t>
      </w:r>
      <w:r w:rsidRPr="00022605">
        <w:t xml:space="preserve"> (AASB ED 220)</w:t>
      </w:r>
      <w:r w:rsidR="008F6103" w:rsidRPr="008F6103">
        <w:t xml:space="preserve"> </w:t>
      </w:r>
      <w:r w:rsidR="00B044E4">
        <w:t xml:space="preserve">was </w:t>
      </w:r>
      <w:r w:rsidR="008F6103">
        <w:t>accompanied by the IASB’s Basis for Conclusions</w:t>
      </w:r>
      <w:r w:rsidR="00B044E4">
        <w:t xml:space="preserve">, which focused on why the consolidation exemption for investment entities should be established and also included dissenting views of those IASB members opposed to the exemption. </w:t>
      </w:r>
      <w:r w:rsidRPr="00022605">
        <w:t xml:space="preserve"> </w:t>
      </w:r>
      <w:r>
        <w:t xml:space="preserve">Exposure Draft </w:t>
      </w:r>
      <w:r w:rsidRPr="00022605">
        <w:t xml:space="preserve">ED 233 </w:t>
      </w:r>
      <w:r w:rsidRPr="00597729">
        <w:rPr>
          <w:i/>
        </w:rPr>
        <w:t>Australian Additional Disclosures – Investment Entities</w:t>
      </w:r>
      <w:r w:rsidR="008F6103">
        <w:t xml:space="preserve"> </w:t>
      </w:r>
      <w:r w:rsidR="00B044E4">
        <w:t xml:space="preserve">was </w:t>
      </w:r>
      <w:r>
        <w:t xml:space="preserve">accompanied by the AASB’s Basis </w:t>
      </w:r>
      <w:r w:rsidR="00AF6ABB">
        <w:t xml:space="preserve">for </w:t>
      </w:r>
      <w:r>
        <w:t>Conclusions</w:t>
      </w:r>
      <w:r w:rsidR="00AF6ABB">
        <w:t xml:space="preserve">, which outlined arguments for and against requiring Australian additional disclosures on adopting the exemption from consolidation for investment entities and </w:t>
      </w:r>
      <w:r w:rsidR="005E095F">
        <w:t xml:space="preserve">also </w:t>
      </w:r>
      <w:r w:rsidR="00AF6ABB">
        <w:t>the arguments against adopting the exemption.</w:t>
      </w:r>
      <w:r>
        <w:t xml:space="preserve">. </w:t>
      </w:r>
    </w:p>
    <w:p w:rsidR="004D5875" w:rsidRDefault="004D5875" w:rsidP="00272B61">
      <w:pPr>
        <w:pStyle w:val="TextPara"/>
      </w:pPr>
      <w:r>
        <w:t>The AASB has prepared a single-stage RIS, and as no decision has been previously announced, an options-stage RIS is not required.</w:t>
      </w:r>
    </w:p>
    <w:p w:rsidR="00437B53" w:rsidRPr="00482A4F" w:rsidRDefault="00437B53" w:rsidP="00823665">
      <w:pPr>
        <w:pStyle w:val="TopHeading2"/>
        <w:keepNext/>
        <w:numPr>
          <w:ilvl w:val="0"/>
          <w:numId w:val="36"/>
        </w:numPr>
        <w:spacing w:before="200"/>
        <w:ind w:left="397" w:hanging="397"/>
        <w:rPr>
          <w:sz w:val="24"/>
          <w:szCs w:val="24"/>
        </w:rPr>
      </w:pPr>
      <w:r w:rsidRPr="00482A4F">
        <w:rPr>
          <w:sz w:val="24"/>
          <w:szCs w:val="24"/>
        </w:rPr>
        <w:t>Problem</w:t>
      </w:r>
    </w:p>
    <w:p w:rsidR="00BB017D" w:rsidRDefault="00BB017D" w:rsidP="001A24B3">
      <w:pPr>
        <w:pStyle w:val="BoldHanging0"/>
        <w:numPr>
          <w:ilvl w:val="1"/>
          <w:numId w:val="30"/>
        </w:numPr>
        <w:ind w:left="397" w:hanging="397"/>
        <w:rPr>
          <w:b w:val="0"/>
        </w:rPr>
      </w:pPr>
      <w:r>
        <w:rPr>
          <w:b w:val="0"/>
        </w:rPr>
        <w:t xml:space="preserve">There are currently two approaches to reporting controlled investees </w:t>
      </w:r>
      <w:r w:rsidR="00AF628C">
        <w:rPr>
          <w:b w:val="0"/>
        </w:rPr>
        <w:t xml:space="preserve">in the group financial statements </w:t>
      </w:r>
      <w:r>
        <w:rPr>
          <w:b w:val="0"/>
        </w:rPr>
        <w:t>of investment entities:</w:t>
      </w:r>
    </w:p>
    <w:p w:rsidR="00BB017D" w:rsidRDefault="00BB017D" w:rsidP="00A0280D">
      <w:pPr>
        <w:pStyle w:val="BoldHanging0"/>
        <w:numPr>
          <w:ilvl w:val="0"/>
          <w:numId w:val="42"/>
        </w:numPr>
        <w:ind w:left="794" w:hanging="397"/>
        <w:rPr>
          <w:b w:val="0"/>
        </w:rPr>
      </w:pPr>
      <w:r>
        <w:rPr>
          <w:b w:val="0"/>
        </w:rPr>
        <w:t>The Australian approach where all reporting entities need to consolidate all their controlled investees, regardless of the nature of the reporting entity; and</w:t>
      </w:r>
    </w:p>
    <w:p w:rsidR="00BB017D" w:rsidRDefault="00BB017D" w:rsidP="00A0280D">
      <w:pPr>
        <w:pStyle w:val="BoldHanging0"/>
        <w:numPr>
          <w:ilvl w:val="0"/>
          <w:numId w:val="42"/>
        </w:numPr>
        <w:ind w:left="794" w:hanging="397"/>
        <w:rPr>
          <w:b w:val="0"/>
        </w:rPr>
      </w:pPr>
      <w:r>
        <w:rPr>
          <w:b w:val="0"/>
        </w:rPr>
        <w:t xml:space="preserve">The international approach (as per the recent IASB amendments referred to below) where entities </w:t>
      </w:r>
      <w:r w:rsidR="00B4723F">
        <w:rPr>
          <w:b w:val="0"/>
        </w:rPr>
        <w:t>that meet the criteria of investment entities report their investments in controlled investees at fair value.</w:t>
      </w:r>
    </w:p>
    <w:p w:rsidR="00B4723F" w:rsidRPr="00A0280D" w:rsidRDefault="00B4723F" w:rsidP="00A0280D">
      <w:pPr>
        <w:pStyle w:val="Heading3"/>
      </w:pPr>
      <w:r w:rsidRPr="00A0280D">
        <w:rPr>
          <w:sz w:val="20"/>
          <w:szCs w:val="20"/>
        </w:rPr>
        <w:t>Australian approach</w:t>
      </w:r>
    </w:p>
    <w:p w:rsidR="0085534A" w:rsidRDefault="00B4723F" w:rsidP="00960329">
      <w:pPr>
        <w:pStyle w:val="BoldHanging0"/>
        <w:numPr>
          <w:ilvl w:val="1"/>
          <w:numId w:val="30"/>
        </w:numPr>
        <w:rPr>
          <w:b w:val="0"/>
        </w:rPr>
      </w:pPr>
      <w:r>
        <w:rPr>
          <w:b w:val="0"/>
        </w:rPr>
        <w:t xml:space="preserve">The Australian approach </w:t>
      </w:r>
      <w:r w:rsidR="007946A5">
        <w:rPr>
          <w:b w:val="0"/>
        </w:rPr>
        <w:t>requires investment</w:t>
      </w:r>
      <w:r>
        <w:rPr>
          <w:b w:val="0"/>
        </w:rPr>
        <w:t xml:space="preserve"> entities to </w:t>
      </w:r>
      <w:r w:rsidR="007946A5">
        <w:rPr>
          <w:b w:val="0"/>
        </w:rPr>
        <w:t>consolidate the financial statement</w:t>
      </w:r>
      <w:r w:rsidR="00AF628C">
        <w:rPr>
          <w:b w:val="0"/>
        </w:rPr>
        <w:t>s</w:t>
      </w:r>
      <w:r w:rsidR="007946A5">
        <w:rPr>
          <w:b w:val="0"/>
        </w:rPr>
        <w:t xml:space="preserve"> of </w:t>
      </w:r>
      <w:r w:rsidR="00960329">
        <w:rPr>
          <w:b w:val="0"/>
        </w:rPr>
        <w:t>the parent entity and its controlled investees. This requires a</w:t>
      </w:r>
      <w:r>
        <w:rPr>
          <w:b w:val="0"/>
        </w:rPr>
        <w:t xml:space="preserve"> </w:t>
      </w:r>
      <w:r w:rsidRPr="00B4723F">
        <w:rPr>
          <w:b w:val="0"/>
        </w:rPr>
        <w:t xml:space="preserve">line-by-line </w:t>
      </w:r>
      <w:r w:rsidR="00960329">
        <w:rPr>
          <w:b w:val="0"/>
        </w:rPr>
        <w:t xml:space="preserve">aggregation of </w:t>
      </w:r>
      <w:r w:rsidRPr="00B4723F">
        <w:rPr>
          <w:b w:val="0"/>
        </w:rPr>
        <w:t>all the items in the parent entity and its controlled investees’ financial statements and presen</w:t>
      </w:r>
      <w:r>
        <w:rPr>
          <w:b w:val="0"/>
        </w:rPr>
        <w:t>t</w:t>
      </w:r>
      <w:r w:rsidR="00960329">
        <w:rPr>
          <w:b w:val="0"/>
        </w:rPr>
        <w:t>ing</w:t>
      </w:r>
      <w:r w:rsidRPr="00B4723F">
        <w:rPr>
          <w:b w:val="0"/>
        </w:rPr>
        <w:t xml:space="preserve"> them in consolidated financial statements after eliminating intra-group transactions</w:t>
      </w:r>
      <w:r>
        <w:rPr>
          <w:b w:val="0"/>
        </w:rPr>
        <w:t>.</w:t>
      </w:r>
      <w:r w:rsidR="007946A5">
        <w:rPr>
          <w:b w:val="0"/>
        </w:rPr>
        <w:t xml:space="preserve"> </w:t>
      </w:r>
    </w:p>
    <w:p w:rsidR="007D10CA" w:rsidRPr="006459CB" w:rsidRDefault="00D36488" w:rsidP="006459CB">
      <w:pPr>
        <w:pStyle w:val="BoldHanging0"/>
        <w:numPr>
          <w:ilvl w:val="1"/>
          <w:numId w:val="30"/>
        </w:numPr>
        <w:rPr>
          <w:b w:val="0"/>
        </w:rPr>
      </w:pPr>
      <w:r w:rsidRPr="006459CB">
        <w:rPr>
          <w:b w:val="0"/>
        </w:rPr>
        <w:t>Most Australian superannuation entities, listed investment companies, pooled investment trusts and Federal, State and Territory fund management authorities that are reporting entities would meet the criteria of investment entities.</w:t>
      </w:r>
      <w:r w:rsidR="00AF628C">
        <w:rPr>
          <w:b w:val="0"/>
        </w:rPr>
        <w:t xml:space="preserve"> </w:t>
      </w:r>
      <w:r w:rsidRPr="006459CB">
        <w:rPr>
          <w:b w:val="0"/>
        </w:rPr>
        <w:t>Some significant number of th</w:t>
      </w:r>
      <w:r w:rsidR="00D76C67">
        <w:rPr>
          <w:b w:val="0"/>
        </w:rPr>
        <w:t>is</w:t>
      </w:r>
      <w:r w:rsidRPr="006459CB">
        <w:rPr>
          <w:b w:val="0"/>
        </w:rPr>
        <w:t xml:space="preserve"> population of entities would, from time to time, have controlling interest</w:t>
      </w:r>
      <w:r w:rsidR="00AF628C">
        <w:rPr>
          <w:b w:val="0"/>
        </w:rPr>
        <w:t>s</w:t>
      </w:r>
      <w:r w:rsidRPr="006459CB">
        <w:rPr>
          <w:b w:val="0"/>
        </w:rPr>
        <w:t xml:space="preserve"> in one or more of their investees. </w:t>
      </w:r>
      <w:r w:rsidR="00AF628C">
        <w:rPr>
          <w:b w:val="0"/>
        </w:rPr>
        <w:t>There are a</w:t>
      </w:r>
      <w:r w:rsidR="00D76C67">
        <w:rPr>
          <w:b w:val="0"/>
        </w:rPr>
        <w:t>lso</w:t>
      </w:r>
      <w:r w:rsidR="00AF628C">
        <w:rPr>
          <w:b w:val="0"/>
        </w:rPr>
        <w:t xml:space="preserve"> investment entities that are intermediate entities in a larger group that would have controlling interests in one or more of their investees.</w:t>
      </w:r>
    </w:p>
    <w:p w:rsidR="007946A5" w:rsidRPr="00A0280D" w:rsidRDefault="007946A5" w:rsidP="00A0280D">
      <w:pPr>
        <w:pStyle w:val="Heading3"/>
      </w:pPr>
      <w:r w:rsidRPr="00A0280D">
        <w:rPr>
          <w:iCs w:val="0"/>
          <w:sz w:val="20"/>
        </w:rPr>
        <w:lastRenderedPageBreak/>
        <w:t>International approach</w:t>
      </w:r>
    </w:p>
    <w:p w:rsidR="007946A5" w:rsidRDefault="007946A5" w:rsidP="00B4723F">
      <w:pPr>
        <w:pStyle w:val="BoldHanging0"/>
        <w:numPr>
          <w:ilvl w:val="1"/>
          <w:numId w:val="30"/>
        </w:numPr>
        <w:rPr>
          <w:b w:val="0"/>
        </w:rPr>
      </w:pPr>
      <w:r>
        <w:rPr>
          <w:b w:val="0"/>
        </w:rPr>
        <w:t xml:space="preserve">The international approach </w:t>
      </w:r>
      <w:r w:rsidR="0085534A">
        <w:rPr>
          <w:b w:val="0"/>
        </w:rPr>
        <w:t xml:space="preserve">provides an exception to consolidation to investment entities and requires them to fair value their controlled investees </w:t>
      </w:r>
      <w:r w:rsidR="00A41867">
        <w:rPr>
          <w:b w:val="0"/>
        </w:rPr>
        <w:t xml:space="preserve">every reporting period </w:t>
      </w:r>
      <w:r w:rsidR="0085534A">
        <w:rPr>
          <w:b w:val="0"/>
        </w:rPr>
        <w:t>and take any gain or loss arising to the income statement</w:t>
      </w:r>
      <w:r w:rsidR="00A41867">
        <w:rPr>
          <w:b w:val="0"/>
        </w:rPr>
        <w:t xml:space="preserve"> for the period.</w:t>
      </w:r>
    </w:p>
    <w:p w:rsidR="00042C00" w:rsidRPr="00A0280D" w:rsidRDefault="00042C00" w:rsidP="00A0280D">
      <w:pPr>
        <w:pStyle w:val="Heading3"/>
      </w:pPr>
      <w:r w:rsidRPr="00A0280D">
        <w:rPr>
          <w:iCs w:val="0"/>
          <w:sz w:val="20"/>
        </w:rPr>
        <w:t>Possible issues from having an approach that is inconsistent with the international approach</w:t>
      </w:r>
    </w:p>
    <w:p w:rsidR="007D10CA" w:rsidRDefault="007D10CA" w:rsidP="007D10CA">
      <w:pPr>
        <w:pStyle w:val="BoldHanging0"/>
        <w:numPr>
          <w:ilvl w:val="1"/>
          <w:numId w:val="30"/>
        </w:numPr>
        <w:rPr>
          <w:b w:val="0"/>
        </w:rPr>
      </w:pPr>
      <w:r>
        <w:rPr>
          <w:b w:val="0"/>
        </w:rPr>
        <w:t>A</w:t>
      </w:r>
      <w:r w:rsidRPr="007D10CA">
        <w:rPr>
          <w:b w:val="0"/>
        </w:rPr>
        <w:t>n investment entity’s strategy is generally the same for all its investments regardless of the significance of the investments</w:t>
      </w:r>
      <w:r>
        <w:rPr>
          <w:b w:val="0"/>
        </w:rPr>
        <w:t xml:space="preserve"> and f</w:t>
      </w:r>
      <w:r w:rsidR="00042C00">
        <w:rPr>
          <w:b w:val="0"/>
        </w:rPr>
        <w:t xml:space="preserve">eedback from constituents </w:t>
      </w:r>
      <w:r w:rsidR="001F6935">
        <w:rPr>
          <w:b w:val="0"/>
        </w:rPr>
        <w:t>suggest</w:t>
      </w:r>
      <w:r w:rsidR="00AF628C">
        <w:rPr>
          <w:b w:val="0"/>
        </w:rPr>
        <w:t>s</w:t>
      </w:r>
      <w:r w:rsidR="001F6935">
        <w:rPr>
          <w:b w:val="0"/>
        </w:rPr>
        <w:t xml:space="preserve"> that</w:t>
      </w:r>
      <w:r w:rsidR="00AF628C">
        <w:rPr>
          <w:b w:val="0"/>
        </w:rPr>
        <w:t xml:space="preserve"> </w:t>
      </w:r>
      <w:r w:rsidR="001F6935">
        <w:rPr>
          <w:b w:val="0"/>
        </w:rPr>
        <w:t xml:space="preserve">fair value information about the controlled investees is more relevant than consolidated information of the investment entity and its controlled investees in making decisions about the performance and financial position of the investment entity. </w:t>
      </w:r>
    </w:p>
    <w:p w:rsidR="007D10CA" w:rsidRDefault="00042C00" w:rsidP="00042C00">
      <w:pPr>
        <w:pStyle w:val="BoldHanging0"/>
        <w:numPr>
          <w:ilvl w:val="1"/>
          <w:numId w:val="30"/>
        </w:numPr>
        <w:rPr>
          <w:b w:val="0"/>
        </w:rPr>
      </w:pPr>
      <w:r>
        <w:rPr>
          <w:b w:val="0"/>
        </w:rPr>
        <w:t xml:space="preserve">Australian investment entities </w:t>
      </w:r>
      <w:r w:rsidR="001F6935">
        <w:rPr>
          <w:b w:val="0"/>
        </w:rPr>
        <w:t xml:space="preserve">that are currently consolidating their controlled investees </w:t>
      </w:r>
      <w:r w:rsidRPr="00042C00">
        <w:rPr>
          <w:b w:val="0"/>
        </w:rPr>
        <w:t>incur higher costs of compliance relative to their international counterparts for little or no additional benefits, resulting in a competitive disadvantage for them</w:t>
      </w:r>
      <w:r w:rsidR="001F6935">
        <w:rPr>
          <w:b w:val="0"/>
        </w:rPr>
        <w:t xml:space="preserve">. </w:t>
      </w:r>
    </w:p>
    <w:p w:rsidR="00A41867" w:rsidRDefault="001F6935" w:rsidP="00042C00">
      <w:pPr>
        <w:pStyle w:val="BoldHanging0"/>
        <w:numPr>
          <w:ilvl w:val="1"/>
          <w:numId w:val="30"/>
        </w:numPr>
        <w:rPr>
          <w:b w:val="0"/>
        </w:rPr>
      </w:pPr>
      <w:r>
        <w:rPr>
          <w:b w:val="0"/>
        </w:rPr>
        <w:t xml:space="preserve">For entities </w:t>
      </w:r>
      <w:r w:rsidR="00AF628C">
        <w:rPr>
          <w:b w:val="0"/>
        </w:rPr>
        <w:t>such as</w:t>
      </w:r>
      <w:r>
        <w:rPr>
          <w:b w:val="0"/>
        </w:rPr>
        <w:t xml:space="preserve"> superannuation entities where investment holdings change frequently due to change</w:t>
      </w:r>
      <w:r w:rsidR="00AF628C">
        <w:rPr>
          <w:b w:val="0"/>
        </w:rPr>
        <w:t>s</w:t>
      </w:r>
      <w:r>
        <w:rPr>
          <w:b w:val="0"/>
        </w:rPr>
        <w:t xml:space="preserve"> in </w:t>
      </w:r>
      <w:r w:rsidR="00AF628C">
        <w:rPr>
          <w:b w:val="0"/>
        </w:rPr>
        <w:t>members’</w:t>
      </w:r>
      <w:r>
        <w:rPr>
          <w:b w:val="0"/>
        </w:rPr>
        <w:t xml:space="preserve"> preferences, there is the added burden of having to monitor their investments closely throughout the reporting period to determine whether </w:t>
      </w:r>
      <w:r w:rsidR="00AF628C">
        <w:rPr>
          <w:b w:val="0"/>
        </w:rPr>
        <w:t xml:space="preserve">or not it controls any of its investees and, therefore, whether it </w:t>
      </w:r>
      <w:r>
        <w:rPr>
          <w:b w:val="0"/>
        </w:rPr>
        <w:t>need</w:t>
      </w:r>
      <w:r w:rsidR="00AF628C">
        <w:rPr>
          <w:b w:val="0"/>
        </w:rPr>
        <w:t>s</w:t>
      </w:r>
      <w:r>
        <w:rPr>
          <w:b w:val="0"/>
        </w:rPr>
        <w:t xml:space="preserve"> to </w:t>
      </w:r>
      <w:r w:rsidR="00AF628C">
        <w:rPr>
          <w:b w:val="0"/>
        </w:rPr>
        <w:t xml:space="preserve">prepare </w:t>
      </w:r>
      <w:r>
        <w:rPr>
          <w:b w:val="0"/>
        </w:rPr>
        <w:t xml:space="preserve">consolidated </w:t>
      </w:r>
      <w:r w:rsidR="00AF628C">
        <w:rPr>
          <w:b w:val="0"/>
        </w:rPr>
        <w:t>financial statements</w:t>
      </w:r>
      <w:r>
        <w:rPr>
          <w:b w:val="0"/>
        </w:rPr>
        <w:t>.</w:t>
      </w:r>
    </w:p>
    <w:p w:rsidR="007D10CA" w:rsidRPr="007D10CA" w:rsidRDefault="007D10CA" w:rsidP="00A0280D">
      <w:pPr>
        <w:pStyle w:val="Heading3"/>
      </w:pPr>
      <w:r>
        <w:t>Background to problem</w:t>
      </w:r>
    </w:p>
    <w:p w:rsidR="000E15FC" w:rsidRDefault="00D71B85" w:rsidP="001A24B3">
      <w:pPr>
        <w:pStyle w:val="BoldHanging0"/>
        <w:numPr>
          <w:ilvl w:val="1"/>
          <w:numId w:val="30"/>
        </w:numPr>
        <w:ind w:left="397" w:hanging="397"/>
        <w:rPr>
          <w:b w:val="0"/>
        </w:rPr>
      </w:pPr>
      <w:r w:rsidRPr="000E15FC">
        <w:rPr>
          <w:b w:val="0"/>
        </w:rPr>
        <w:t xml:space="preserve">Accounting Standard </w:t>
      </w:r>
      <w:r w:rsidR="005C0426" w:rsidRPr="000E15FC">
        <w:rPr>
          <w:b w:val="0"/>
        </w:rPr>
        <w:t xml:space="preserve">AASB 10 </w:t>
      </w:r>
      <w:r w:rsidR="005C0426" w:rsidRPr="000E15FC">
        <w:rPr>
          <w:b w:val="0"/>
          <w:i/>
        </w:rPr>
        <w:t xml:space="preserve">Consolidated Financial </w:t>
      </w:r>
      <w:proofErr w:type="gramStart"/>
      <w:r w:rsidR="005C0426" w:rsidRPr="000E15FC">
        <w:rPr>
          <w:b w:val="0"/>
          <w:i/>
        </w:rPr>
        <w:t>Statements</w:t>
      </w:r>
      <w:r w:rsidR="005C0426" w:rsidRPr="000E15FC">
        <w:rPr>
          <w:b w:val="0"/>
        </w:rPr>
        <w:t xml:space="preserve"> </w:t>
      </w:r>
      <w:r w:rsidRPr="000E15FC">
        <w:rPr>
          <w:b w:val="0"/>
        </w:rPr>
        <w:t xml:space="preserve"> incorporates</w:t>
      </w:r>
      <w:proofErr w:type="gramEnd"/>
      <w:r w:rsidRPr="000E15FC">
        <w:rPr>
          <w:b w:val="0"/>
        </w:rPr>
        <w:t xml:space="preserve"> International Financial Reporting Standard </w:t>
      </w:r>
      <w:r w:rsidR="000E15FC" w:rsidRPr="000E15FC">
        <w:rPr>
          <w:b w:val="0"/>
        </w:rPr>
        <w:t xml:space="preserve">IFRS 10 </w:t>
      </w:r>
      <w:r w:rsidRPr="000E15FC">
        <w:rPr>
          <w:b w:val="0"/>
          <w:i/>
        </w:rPr>
        <w:t>Consolidated Financial Statements</w:t>
      </w:r>
      <w:r w:rsidR="00AB0478">
        <w:rPr>
          <w:b w:val="0"/>
        </w:rPr>
        <w:t xml:space="preserve"> (issued in </w:t>
      </w:r>
      <w:r w:rsidR="00CC4A86">
        <w:rPr>
          <w:b w:val="0"/>
        </w:rPr>
        <w:t>2011)</w:t>
      </w:r>
      <w:r w:rsidRPr="000E15FC">
        <w:rPr>
          <w:b w:val="0"/>
        </w:rPr>
        <w:t xml:space="preserve">. </w:t>
      </w:r>
      <w:r w:rsidR="00CC4A86">
        <w:rPr>
          <w:b w:val="0"/>
        </w:rPr>
        <w:t xml:space="preserve"> AASB</w:t>
      </w:r>
      <w:r w:rsidR="000E15FC" w:rsidRPr="000E15FC">
        <w:rPr>
          <w:b w:val="0"/>
        </w:rPr>
        <w:t xml:space="preserve"> 10 requires reporting entities to consolidate all controlled entities, regardless of the nature of the reporting entity. </w:t>
      </w:r>
    </w:p>
    <w:p w:rsidR="005C0426" w:rsidRDefault="000E15FC" w:rsidP="001A24B3">
      <w:pPr>
        <w:pStyle w:val="BoldHanging0"/>
        <w:numPr>
          <w:ilvl w:val="1"/>
          <w:numId w:val="30"/>
        </w:numPr>
        <w:ind w:left="397" w:hanging="397"/>
        <w:rPr>
          <w:b w:val="0"/>
        </w:rPr>
      </w:pPr>
      <w:r w:rsidRPr="000E15FC">
        <w:rPr>
          <w:b w:val="0"/>
        </w:rPr>
        <w:t xml:space="preserve">Some respondents to the </w:t>
      </w:r>
      <w:r w:rsidR="007D011C">
        <w:rPr>
          <w:b w:val="0"/>
        </w:rPr>
        <w:t xml:space="preserve">IASB </w:t>
      </w:r>
      <w:r w:rsidRPr="000E15FC">
        <w:rPr>
          <w:b w:val="0"/>
        </w:rPr>
        <w:t xml:space="preserve">Exposure Draft (ED 10) that preceded IFRS 10 questioned the usefulness of financial statements of investment entities that consolidate investees that the investment entity controls. They pointed out that some national accounting requirements, including United States Generally Accepted Accounting Principles (US GAAP), have historically provided industry–specific </w:t>
      </w:r>
      <w:r w:rsidR="00CC4A86">
        <w:rPr>
          <w:b w:val="0"/>
        </w:rPr>
        <w:t xml:space="preserve">requirements for </w:t>
      </w:r>
      <w:r w:rsidRPr="000E15FC">
        <w:rPr>
          <w:b w:val="0"/>
        </w:rPr>
        <w:t>investment entities to measure all of their investments, including those that they control, at fair value. The</w:t>
      </w:r>
      <w:r w:rsidR="00CC4A86">
        <w:rPr>
          <w:b w:val="0"/>
        </w:rPr>
        <w:t>se</w:t>
      </w:r>
      <w:r w:rsidRPr="000E15FC">
        <w:rPr>
          <w:b w:val="0"/>
        </w:rPr>
        <w:t xml:space="preserve"> respondents argued that an investment entity holds investments for the sole purpose of capital appreciation, investment income (such as dividends or interest), or both. </w:t>
      </w:r>
      <w:r w:rsidR="00CC4A86">
        <w:rPr>
          <w:b w:val="0"/>
        </w:rPr>
        <w:t xml:space="preserve"> Some u</w:t>
      </w:r>
      <w:r w:rsidRPr="000E15FC">
        <w:rPr>
          <w:b w:val="0"/>
        </w:rPr>
        <w:t xml:space="preserve">sers of the financial statements of these investment entities told the IASB that the fair value of the investments and an understanding of how the investment entity measures the fair value of its investments is the most useful information. </w:t>
      </w:r>
    </w:p>
    <w:p w:rsidR="00434515" w:rsidRDefault="007D011C" w:rsidP="001A24B3">
      <w:pPr>
        <w:pStyle w:val="BoldHanging0"/>
        <w:numPr>
          <w:ilvl w:val="1"/>
          <w:numId w:val="30"/>
        </w:numPr>
        <w:ind w:left="397" w:hanging="397"/>
        <w:rPr>
          <w:b w:val="0"/>
        </w:rPr>
      </w:pPr>
      <w:r w:rsidRPr="007D011C">
        <w:rPr>
          <w:b w:val="0"/>
        </w:rPr>
        <w:t xml:space="preserve">In </w:t>
      </w:r>
      <w:r w:rsidR="00CC4A86">
        <w:rPr>
          <w:b w:val="0"/>
        </w:rPr>
        <w:t>weighing up the feedback, the IASB decided to issue IFRS 10 to require consolidation of all controlled entities and to undertake further due process in relation to investment entities.  T</w:t>
      </w:r>
      <w:r w:rsidRPr="007D011C">
        <w:rPr>
          <w:b w:val="0"/>
        </w:rPr>
        <w:t xml:space="preserve">he </w:t>
      </w:r>
      <w:r>
        <w:rPr>
          <w:b w:val="0"/>
        </w:rPr>
        <w:t>IASB</w:t>
      </w:r>
      <w:r w:rsidRPr="007D011C">
        <w:rPr>
          <w:b w:val="0"/>
        </w:rPr>
        <w:t xml:space="preserve"> </w:t>
      </w:r>
      <w:r>
        <w:rPr>
          <w:b w:val="0"/>
        </w:rPr>
        <w:t>published</w:t>
      </w:r>
      <w:r w:rsidRPr="007D011C">
        <w:rPr>
          <w:b w:val="0"/>
        </w:rPr>
        <w:t xml:space="preserve"> ED/2011/4</w:t>
      </w:r>
      <w:r>
        <w:rPr>
          <w:b w:val="0"/>
        </w:rPr>
        <w:t xml:space="preserve"> </w:t>
      </w:r>
      <w:r w:rsidRPr="007D011C">
        <w:rPr>
          <w:b w:val="0"/>
          <w:i/>
        </w:rPr>
        <w:t>Investment Entities</w:t>
      </w:r>
      <w:r w:rsidRPr="007D011C">
        <w:rPr>
          <w:b w:val="0"/>
        </w:rPr>
        <w:t xml:space="preserve"> in August 2011</w:t>
      </w:r>
      <w:r>
        <w:rPr>
          <w:b w:val="0"/>
        </w:rPr>
        <w:t xml:space="preserve"> </w:t>
      </w:r>
      <w:r w:rsidRPr="007D011C">
        <w:rPr>
          <w:b w:val="0"/>
        </w:rPr>
        <w:t>propos</w:t>
      </w:r>
      <w:r w:rsidR="00CC4A86">
        <w:rPr>
          <w:b w:val="0"/>
        </w:rPr>
        <w:t>ing</w:t>
      </w:r>
      <w:r w:rsidRPr="007D011C">
        <w:rPr>
          <w:b w:val="0"/>
        </w:rPr>
        <w:t xml:space="preserve"> that investment entities would be required to measure their investments in subsidiaries (except those subsidiaries that provide investment–related services) at fair value through profit or loss in accordance with IFRS 9 </w:t>
      </w:r>
      <w:r w:rsidRPr="007D011C">
        <w:rPr>
          <w:b w:val="0"/>
          <w:i/>
        </w:rPr>
        <w:t>Financial Instruments</w:t>
      </w:r>
      <w:r w:rsidRPr="007D011C">
        <w:rPr>
          <w:b w:val="0"/>
        </w:rPr>
        <w:t xml:space="preserve"> (or IAS 39</w:t>
      </w:r>
      <w:r>
        <w:rPr>
          <w:b w:val="0"/>
        </w:rPr>
        <w:t xml:space="preserve"> </w:t>
      </w:r>
      <w:r w:rsidRPr="007D011C">
        <w:rPr>
          <w:b w:val="0"/>
          <w:i/>
        </w:rPr>
        <w:t>Financial Instruments: Recognition and Measurement</w:t>
      </w:r>
      <w:r w:rsidRPr="007D011C">
        <w:rPr>
          <w:b w:val="0"/>
        </w:rPr>
        <w:t xml:space="preserve">, if IFRS 9 has not yet been adopted). </w:t>
      </w:r>
      <w:r w:rsidR="00CC4A86">
        <w:rPr>
          <w:b w:val="0"/>
        </w:rPr>
        <w:t xml:space="preserve"> ED/2011/4 also set out criteria for identifying investment entities.</w:t>
      </w:r>
    </w:p>
    <w:p w:rsidR="00B52FC9" w:rsidRDefault="00B52FC9" w:rsidP="00B52FC9">
      <w:pPr>
        <w:pStyle w:val="BoldHanging0"/>
        <w:numPr>
          <w:ilvl w:val="1"/>
          <w:numId w:val="30"/>
        </w:numPr>
        <w:ind w:left="397" w:hanging="397"/>
        <w:rPr>
          <w:b w:val="0"/>
        </w:rPr>
      </w:pPr>
      <w:r>
        <w:rPr>
          <w:b w:val="0"/>
        </w:rPr>
        <w:t>An investment entity would be an entity that:</w:t>
      </w:r>
    </w:p>
    <w:p w:rsidR="00B52FC9" w:rsidRDefault="00B52FC9" w:rsidP="00BB017D">
      <w:pPr>
        <w:pStyle w:val="BoldHanging0"/>
        <w:numPr>
          <w:ilvl w:val="0"/>
          <w:numId w:val="38"/>
        </w:numPr>
        <w:ind w:left="794" w:hanging="397"/>
        <w:rPr>
          <w:b w:val="0"/>
        </w:rPr>
      </w:pPr>
      <w:r>
        <w:rPr>
          <w:b w:val="0"/>
        </w:rPr>
        <w:t>obtains funds from one or more investors for the purpose of providing those investor(s) with investment management services;</w:t>
      </w:r>
    </w:p>
    <w:p w:rsidR="00B52FC9" w:rsidRDefault="00B52FC9" w:rsidP="00B52FC9">
      <w:pPr>
        <w:pStyle w:val="BoldHanging0"/>
        <w:numPr>
          <w:ilvl w:val="0"/>
          <w:numId w:val="38"/>
        </w:numPr>
        <w:ind w:left="794" w:hanging="397"/>
        <w:rPr>
          <w:b w:val="0"/>
        </w:rPr>
      </w:pPr>
      <w:r>
        <w:rPr>
          <w:b w:val="0"/>
        </w:rPr>
        <w:t>commits to its investors(s) that its business purpose is to invest funds solely for returns from capital appreciation, investment income, or both; and</w:t>
      </w:r>
    </w:p>
    <w:p w:rsidR="00B52FC9" w:rsidRDefault="00B52FC9" w:rsidP="00B52FC9">
      <w:pPr>
        <w:pStyle w:val="BoldHanging0"/>
        <w:numPr>
          <w:ilvl w:val="0"/>
          <w:numId w:val="38"/>
        </w:numPr>
        <w:ind w:left="794" w:hanging="397"/>
        <w:rPr>
          <w:b w:val="0"/>
        </w:rPr>
      </w:pPr>
      <w:proofErr w:type="gramStart"/>
      <w:r>
        <w:rPr>
          <w:b w:val="0"/>
        </w:rPr>
        <w:t>measures</w:t>
      </w:r>
      <w:proofErr w:type="gramEnd"/>
      <w:r>
        <w:rPr>
          <w:b w:val="0"/>
        </w:rPr>
        <w:t xml:space="preserve"> and evaluates the performance of substantially all of its investments on a fair value basis.</w:t>
      </w:r>
    </w:p>
    <w:p w:rsidR="00B52FC9" w:rsidRDefault="00B52FC9" w:rsidP="00CE7B22">
      <w:pPr>
        <w:pStyle w:val="BoldHanging0"/>
        <w:ind w:left="397" w:firstLine="0"/>
        <w:rPr>
          <w:b w:val="0"/>
        </w:rPr>
      </w:pPr>
      <w:r>
        <w:rPr>
          <w:b w:val="0"/>
        </w:rPr>
        <w:t xml:space="preserve">An entity that has the objective of obtaining </w:t>
      </w:r>
      <w:r w:rsidRPr="00451259">
        <w:rPr>
          <w:b w:val="0"/>
        </w:rPr>
        <w:t>other benefits from the entity’s investments</w:t>
      </w:r>
      <w:r>
        <w:rPr>
          <w:b w:val="0"/>
        </w:rPr>
        <w:t xml:space="preserve"> (other than returns from capital appreciation or investment income) </w:t>
      </w:r>
      <w:r w:rsidRPr="00451259">
        <w:rPr>
          <w:b w:val="0"/>
        </w:rPr>
        <w:t>that are not available to other parties that are not related to the investee</w:t>
      </w:r>
      <w:r>
        <w:rPr>
          <w:b w:val="0"/>
        </w:rPr>
        <w:t xml:space="preserve"> would generally not be an investment entity</w:t>
      </w:r>
      <w:r w:rsidRPr="00451259">
        <w:rPr>
          <w:b w:val="0"/>
        </w:rPr>
        <w:t xml:space="preserve">. </w:t>
      </w:r>
      <w:r>
        <w:rPr>
          <w:b w:val="0"/>
        </w:rPr>
        <w:t>Such benefits would include, for example, the</w:t>
      </w:r>
      <w:r w:rsidRPr="00451259">
        <w:rPr>
          <w:b w:val="0"/>
        </w:rPr>
        <w:t xml:space="preserve"> acquisition, use, exchange or exploitation of the processes, assets or technology of an investee</w:t>
      </w:r>
      <w:r>
        <w:rPr>
          <w:b w:val="0"/>
        </w:rPr>
        <w:t>.</w:t>
      </w:r>
    </w:p>
    <w:p w:rsidR="002F3C19" w:rsidRDefault="006B266D" w:rsidP="001A24B3">
      <w:pPr>
        <w:pStyle w:val="BoldHanging0"/>
        <w:numPr>
          <w:ilvl w:val="1"/>
          <w:numId w:val="30"/>
        </w:numPr>
        <w:ind w:left="397" w:hanging="397"/>
        <w:rPr>
          <w:b w:val="0"/>
        </w:rPr>
      </w:pPr>
      <w:r>
        <w:rPr>
          <w:b w:val="0"/>
        </w:rPr>
        <w:t xml:space="preserve">Examples of </w:t>
      </w:r>
      <w:r w:rsidR="002F3C19">
        <w:rPr>
          <w:b w:val="0"/>
        </w:rPr>
        <w:t>investment entit</w:t>
      </w:r>
      <w:r>
        <w:rPr>
          <w:b w:val="0"/>
        </w:rPr>
        <w:t>ies</w:t>
      </w:r>
      <w:r w:rsidR="002F3C19">
        <w:rPr>
          <w:b w:val="0"/>
        </w:rPr>
        <w:t xml:space="preserve"> would </w:t>
      </w:r>
      <w:r>
        <w:rPr>
          <w:b w:val="0"/>
        </w:rPr>
        <w:t>include the following</w:t>
      </w:r>
      <w:r w:rsidR="007A5EFC">
        <w:rPr>
          <w:b w:val="0"/>
        </w:rPr>
        <w:t>.</w:t>
      </w:r>
    </w:p>
    <w:p w:rsidR="002F3C19" w:rsidRDefault="00231E20" w:rsidP="00B52FC9">
      <w:pPr>
        <w:pStyle w:val="BoldHanging0"/>
        <w:numPr>
          <w:ilvl w:val="0"/>
          <w:numId w:val="41"/>
        </w:numPr>
        <w:ind w:left="794" w:hanging="397"/>
        <w:rPr>
          <w:b w:val="0"/>
        </w:rPr>
      </w:pPr>
      <w:r>
        <w:rPr>
          <w:b w:val="0"/>
        </w:rPr>
        <w:t>M</w:t>
      </w:r>
      <w:r w:rsidR="006B266D">
        <w:rPr>
          <w:b w:val="0"/>
        </w:rPr>
        <w:t>a</w:t>
      </w:r>
      <w:r>
        <w:rPr>
          <w:b w:val="0"/>
        </w:rPr>
        <w:t>naged Investment S</w:t>
      </w:r>
      <w:r w:rsidR="006B266D">
        <w:rPr>
          <w:b w:val="0"/>
        </w:rPr>
        <w:t xml:space="preserve">cheme </w:t>
      </w:r>
      <w:r>
        <w:rPr>
          <w:b w:val="0"/>
        </w:rPr>
        <w:t xml:space="preserve">ABC </w:t>
      </w:r>
      <w:r w:rsidR="00451259">
        <w:rPr>
          <w:b w:val="0"/>
        </w:rPr>
        <w:t>o</w:t>
      </w:r>
      <w:r w:rsidR="002F3C19">
        <w:rPr>
          <w:b w:val="0"/>
        </w:rPr>
        <w:t xml:space="preserve">btains funds </w:t>
      </w:r>
      <w:r w:rsidR="00D65B44">
        <w:rPr>
          <w:b w:val="0"/>
        </w:rPr>
        <w:t>from investors</w:t>
      </w:r>
      <w:r w:rsidR="002F3C19">
        <w:rPr>
          <w:b w:val="0"/>
        </w:rPr>
        <w:t xml:space="preserve"> for the purpose of </w:t>
      </w:r>
      <w:r w:rsidR="006B266D">
        <w:rPr>
          <w:b w:val="0"/>
        </w:rPr>
        <w:t xml:space="preserve">investing in the equity of Australian companies.  Most of </w:t>
      </w:r>
      <w:r>
        <w:rPr>
          <w:b w:val="0"/>
        </w:rPr>
        <w:t>S</w:t>
      </w:r>
      <w:r w:rsidR="006B266D">
        <w:rPr>
          <w:b w:val="0"/>
        </w:rPr>
        <w:t>cheme</w:t>
      </w:r>
      <w:r>
        <w:rPr>
          <w:b w:val="0"/>
        </w:rPr>
        <w:t xml:space="preserve"> ABC</w:t>
      </w:r>
      <w:r w:rsidR="006B266D">
        <w:rPr>
          <w:b w:val="0"/>
        </w:rPr>
        <w:t>’s investments may be holdings of small proportion</w:t>
      </w:r>
      <w:r>
        <w:rPr>
          <w:b w:val="0"/>
        </w:rPr>
        <w:t>s</w:t>
      </w:r>
      <w:r w:rsidR="006B266D">
        <w:rPr>
          <w:b w:val="0"/>
        </w:rPr>
        <w:t xml:space="preserve"> of the total equity of each company.  However, </w:t>
      </w:r>
      <w:r w:rsidR="00D31A41">
        <w:rPr>
          <w:b w:val="0"/>
        </w:rPr>
        <w:t>one</w:t>
      </w:r>
      <w:r w:rsidR="006B266D">
        <w:rPr>
          <w:b w:val="0"/>
        </w:rPr>
        <w:t xml:space="preserve"> of </w:t>
      </w:r>
      <w:r>
        <w:rPr>
          <w:b w:val="0"/>
        </w:rPr>
        <w:t>S</w:t>
      </w:r>
      <w:r w:rsidR="006B266D">
        <w:rPr>
          <w:b w:val="0"/>
        </w:rPr>
        <w:t>cheme</w:t>
      </w:r>
      <w:r>
        <w:rPr>
          <w:b w:val="0"/>
        </w:rPr>
        <w:t xml:space="preserve"> ABC</w:t>
      </w:r>
      <w:r w:rsidR="006B266D">
        <w:rPr>
          <w:b w:val="0"/>
        </w:rPr>
        <w:t xml:space="preserve">’s holdings </w:t>
      </w:r>
      <w:r w:rsidR="00D31A41">
        <w:rPr>
          <w:b w:val="0"/>
        </w:rPr>
        <w:t xml:space="preserve">(in Company EFG) is </w:t>
      </w:r>
      <w:r w:rsidR="006B266D">
        <w:rPr>
          <w:b w:val="0"/>
        </w:rPr>
        <w:t xml:space="preserve">such a high proportion of the equity of </w:t>
      </w:r>
      <w:r w:rsidR="00D31A41">
        <w:rPr>
          <w:b w:val="0"/>
        </w:rPr>
        <w:t xml:space="preserve">Company EFG </w:t>
      </w:r>
      <w:r>
        <w:rPr>
          <w:b w:val="0"/>
        </w:rPr>
        <w:t>that</w:t>
      </w:r>
      <w:r w:rsidR="007A5EFC">
        <w:rPr>
          <w:b w:val="0"/>
        </w:rPr>
        <w:t xml:space="preserve"> </w:t>
      </w:r>
      <w:r>
        <w:rPr>
          <w:b w:val="0"/>
        </w:rPr>
        <w:t>S</w:t>
      </w:r>
      <w:r w:rsidR="006B266D">
        <w:rPr>
          <w:b w:val="0"/>
        </w:rPr>
        <w:t xml:space="preserve">cheme </w:t>
      </w:r>
      <w:r>
        <w:rPr>
          <w:b w:val="0"/>
        </w:rPr>
        <w:t xml:space="preserve">ABC has </w:t>
      </w:r>
      <w:r w:rsidR="007A5EFC">
        <w:rPr>
          <w:b w:val="0"/>
        </w:rPr>
        <w:t xml:space="preserve">the capacity to </w:t>
      </w:r>
      <w:r w:rsidR="006B266D">
        <w:rPr>
          <w:b w:val="0"/>
        </w:rPr>
        <w:t xml:space="preserve">control </w:t>
      </w:r>
      <w:r w:rsidR="00D31A41">
        <w:rPr>
          <w:b w:val="0"/>
        </w:rPr>
        <w:t xml:space="preserve">Company </w:t>
      </w:r>
      <w:proofErr w:type="gramStart"/>
      <w:r w:rsidR="00D31A41">
        <w:rPr>
          <w:b w:val="0"/>
        </w:rPr>
        <w:t>EFG .</w:t>
      </w:r>
      <w:proofErr w:type="gramEnd"/>
      <w:r w:rsidR="00D31A41">
        <w:rPr>
          <w:b w:val="0"/>
        </w:rPr>
        <w:t xml:space="preserve">  Although S</w:t>
      </w:r>
      <w:r w:rsidR="007A5EFC">
        <w:rPr>
          <w:b w:val="0"/>
        </w:rPr>
        <w:t xml:space="preserve">cheme </w:t>
      </w:r>
      <w:r w:rsidR="00D31A41">
        <w:rPr>
          <w:b w:val="0"/>
        </w:rPr>
        <w:t xml:space="preserve">ABC </w:t>
      </w:r>
      <w:r w:rsidR="007A5EFC">
        <w:rPr>
          <w:b w:val="0"/>
        </w:rPr>
        <w:t>has no intention of exercising that capacity</w:t>
      </w:r>
      <w:r w:rsidR="00D31A41">
        <w:rPr>
          <w:b w:val="0"/>
        </w:rPr>
        <w:t>,</w:t>
      </w:r>
      <w:r w:rsidR="007A5EFC">
        <w:rPr>
          <w:b w:val="0"/>
        </w:rPr>
        <w:t xml:space="preserve"> because it is only interested in receiving dividends and reaping capital gains from its investment, </w:t>
      </w:r>
      <w:r w:rsidR="00D31A41">
        <w:rPr>
          <w:b w:val="0"/>
        </w:rPr>
        <w:t xml:space="preserve">Company EFG </w:t>
      </w:r>
      <w:r w:rsidR="007A5EFC">
        <w:rPr>
          <w:b w:val="0"/>
        </w:rPr>
        <w:t xml:space="preserve">would still be </w:t>
      </w:r>
      <w:r w:rsidR="00D31A41">
        <w:rPr>
          <w:b w:val="0"/>
        </w:rPr>
        <w:t xml:space="preserve">a </w:t>
      </w:r>
      <w:r w:rsidR="007A5EFC">
        <w:rPr>
          <w:b w:val="0"/>
        </w:rPr>
        <w:t>subsidiar</w:t>
      </w:r>
      <w:r w:rsidR="00D31A41">
        <w:rPr>
          <w:b w:val="0"/>
        </w:rPr>
        <w:t>y</w:t>
      </w:r>
      <w:r w:rsidR="007A5EFC">
        <w:rPr>
          <w:b w:val="0"/>
        </w:rPr>
        <w:t xml:space="preserve"> of </w:t>
      </w:r>
      <w:r w:rsidR="00D31A41">
        <w:rPr>
          <w:b w:val="0"/>
        </w:rPr>
        <w:t>S</w:t>
      </w:r>
      <w:r w:rsidR="007A5EFC">
        <w:rPr>
          <w:b w:val="0"/>
        </w:rPr>
        <w:t>cheme</w:t>
      </w:r>
      <w:r w:rsidR="00D31A41">
        <w:rPr>
          <w:b w:val="0"/>
        </w:rPr>
        <w:t xml:space="preserve"> ABC</w:t>
      </w:r>
      <w:r w:rsidR="007A5EFC">
        <w:rPr>
          <w:b w:val="0"/>
        </w:rPr>
        <w:t>.</w:t>
      </w:r>
    </w:p>
    <w:p w:rsidR="00451259" w:rsidRDefault="00D31A41" w:rsidP="00B52FC9">
      <w:pPr>
        <w:pStyle w:val="BoldHanging0"/>
        <w:numPr>
          <w:ilvl w:val="0"/>
          <w:numId w:val="41"/>
        </w:numPr>
        <w:ind w:left="794" w:hanging="397"/>
        <w:rPr>
          <w:b w:val="0"/>
        </w:rPr>
      </w:pPr>
      <w:r>
        <w:rPr>
          <w:b w:val="0"/>
        </w:rPr>
        <w:lastRenderedPageBreak/>
        <w:t xml:space="preserve">One of the investment choices that </w:t>
      </w:r>
      <w:r w:rsidR="00231E20">
        <w:rPr>
          <w:b w:val="0"/>
        </w:rPr>
        <w:t>S</w:t>
      </w:r>
      <w:r w:rsidR="006B266D">
        <w:rPr>
          <w:b w:val="0"/>
        </w:rPr>
        <w:t xml:space="preserve">uperannuation </w:t>
      </w:r>
      <w:r>
        <w:rPr>
          <w:b w:val="0"/>
        </w:rPr>
        <w:t>P</w:t>
      </w:r>
      <w:r w:rsidR="006B266D">
        <w:rPr>
          <w:b w:val="0"/>
        </w:rPr>
        <w:t xml:space="preserve">lan </w:t>
      </w:r>
      <w:r>
        <w:rPr>
          <w:b w:val="0"/>
        </w:rPr>
        <w:t xml:space="preserve">XYZ </w:t>
      </w:r>
      <w:r w:rsidR="007A5EFC">
        <w:rPr>
          <w:b w:val="0"/>
        </w:rPr>
        <w:t xml:space="preserve">offers its members </w:t>
      </w:r>
      <w:r>
        <w:rPr>
          <w:b w:val="0"/>
        </w:rPr>
        <w:t xml:space="preserve">is </w:t>
      </w:r>
      <w:r w:rsidR="007A5EFC">
        <w:rPr>
          <w:b w:val="0"/>
        </w:rPr>
        <w:t>exposure to</w:t>
      </w:r>
      <w:r>
        <w:rPr>
          <w:b w:val="0"/>
        </w:rPr>
        <w:t xml:space="preserve"> interest-bearing</w:t>
      </w:r>
      <w:r w:rsidR="007A5EFC">
        <w:rPr>
          <w:b w:val="0"/>
        </w:rPr>
        <w:t xml:space="preserve"> debt securities</w:t>
      </w:r>
      <w:r w:rsidR="001A757F">
        <w:rPr>
          <w:b w:val="0"/>
        </w:rPr>
        <w:t>.  Plan XYZ</w:t>
      </w:r>
      <w:r w:rsidR="007A5EFC">
        <w:rPr>
          <w:b w:val="0"/>
        </w:rPr>
        <w:t xml:space="preserve"> obtain</w:t>
      </w:r>
      <w:r>
        <w:rPr>
          <w:b w:val="0"/>
        </w:rPr>
        <w:t>s</w:t>
      </w:r>
      <w:r w:rsidR="007A5EFC">
        <w:rPr>
          <w:b w:val="0"/>
        </w:rPr>
        <w:t xml:space="preserve"> that exposure by acquiring units in </w:t>
      </w:r>
      <w:r>
        <w:rPr>
          <w:b w:val="0"/>
        </w:rPr>
        <w:t>S</w:t>
      </w:r>
      <w:r w:rsidR="00231E20">
        <w:rPr>
          <w:b w:val="0"/>
        </w:rPr>
        <w:t xml:space="preserve">pecialist </w:t>
      </w:r>
      <w:r>
        <w:rPr>
          <w:b w:val="0"/>
        </w:rPr>
        <w:t>Debt F</w:t>
      </w:r>
      <w:r w:rsidR="007A5EFC">
        <w:rPr>
          <w:b w:val="0"/>
        </w:rPr>
        <w:t>und</w:t>
      </w:r>
      <w:r>
        <w:rPr>
          <w:b w:val="0"/>
        </w:rPr>
        <w:t>, which</w:t>
      </w:r>
      <w:r w:rsidR="007A5EFC">
        <w:rPr>
          <w:b w:val="0"/>
        </w:rPr>
        <w:t xml:space="preserve"> </w:t>
      </w:r>
      <w:r w:rsidR="00231E20">
        <w:rPr>
          <w:b w:val="0"/>
        </w:rPr>
        <w:t xml:space="preserve">focuses on investing </w:t>
      </w:r>
      <w:r w:rsidR="007A5EFC">
        <w:rPr>
          <w:b w:val="0"/>
        </w:rPr>
        <w:t xml:space="preserve">in </w:t>
      </w:r>
      <w:r>
        <w:rPr>
          <w:b w:val="0"/>
        </w:rPr>
        <w:t>interest-bearing debt securities</w:t>
      </w:r>
      <w:r w:rsidR="007A5EFC">
        <w:rPr>
          <w:b w:val="0"/>
        </w:rPr>
        <w:t xml:space="preserve">.  </w:t>
      </w:r>
      <w:r>
        <w:rPr>
          <w:b w:val="0"/>
        </w:rPr>
        <w:t>P</w:t>
      </w:r>
      <w:r w:rsidR="007A5EFC">
        <w:rPr>
          <w:b w:val="0"/>
        </w:rPr>
        <w:t xml:space="preserve">lan </w:t>
      </w:r>
      <w:r>
        <w:rPr>
          <w:b w:val="0"/>
        </w:rPr>
        <w:t xml:space="preserve">XYZ </w:t>
      </w:r>
      <w:r w:rsidR="007A5EFC">
        <w:rPr>
          <w:b w:val="0"/>
        </w:rPr>
        <w:t>acquire</w:t>
      </w:r>
      <w:r>
        <w:rPr>
          <w:b w:val="0"/>
        </w:rPr>
        <w:t>s</w:t>
      </w:r>
      <w:r w:rsidR="007A5EFC">
        <w:rPr>
          <w:b w:val="0"/>
        </w:rPr>
        <w:t xml:space="preserve"> </w:t>
      </w:r>
      <w:r w:rsidR="00231E20">
        <w:rPr>
          <w:b w:val="0"/>
        </w:rPr>
        <w:t xml:space="preserve">such a significant proportion of the units in </w:t>
      </w:r>
      <w:r>
        <w:rPr>
          <w:b w:val="0"/>
        </w:rPr>
        <w:t xml:space="preserve">Specialist Debt Fund </w:t>
      </w:r>
      <w:r w:rsidR="00231E20">
        <w:rPr>
          <w:b w:val="0"/>
        </w:rPr>
        <w:t xml:space="preserve">that </w:t>
      </w:r>
      <w:r>
        <w:rPr>
          <w:b w:val="0"/>
        </w:rPr>
        <w:t>P</w:t>
      </w:r>
      <w:r w:rsidR="00231E20">
        <w:rPr>
          <w:b w:val="0"/>
        </w:rPr>
        <w:t xml:space="preserve">lan </w:t>
      </w:r>
      <w:r>
        <w:rPr>
          <w:b w:val="0"/>
        </w:rPr>
        <w:t xml:space="preserve">XYZ obtains </w:t>
      </w:r>
      <w:r w:rsidR="00231E20">
        <w:rPr>
          <w:b w:val="0"/>
        </w:rPr>
        <w:t>the capacity to control</w:t>
      </w:r>
      <w:r>
        <w:rPr>
          <w:b w:val="0"/>
        </w:rPr>
        <w:t xml:space="preserve"> Specialist Debt Fund</w:t>
      </w:r>
      <w:r w:rsidR="00231E20">
        <w:rPr>
          <w:b w:val="0"/>
        </w:rPr>
        <w:t xml:space="preserve">.  Although </w:t>
      </w:r>
      <w:r>
        <w:rPr>
          <w:b w:val="0"/>
        </w:rPr>
        <w:t>Plan XYZ</w:t>
      </w:r>
      <w:r w:rsidR="00231E20">
        <w:rPr>
          <w:b w:val="0"/>
        </w:rPr>
        <w:t xml:space="preserve"> has no intention of exercising that capacity</w:t>
      </w:r>
      <w:r>
        <w:rPr>
          <w:b w:val="0"/>
        </w:rPr>
        <w:t>,</w:t>
      </w:r>
      <w:r w:rsidR="00231E20">
        <w:rPr>
          <w:b w:val="0"/>
        </w:rPr>
        <w:t xml:space="preserve"> because it is only interested in receiving </w:t>
      </w:r>
      <w:r>
        <w:rPr>
          <w:b w:val="0"/>
        </w:rPr>
        <w:t>investment returns on the units for its members (which are based on interest</w:t>
      </w:r>
      <w:r w:rsidR="00231E20">
        <w:rPr>
          <w:b w:val="0"/>
        </w:rPr>
        <w:t xml:space="preserve"> and capital gains </w:t>
      </w:r>
      <w:r>
        <w:rPr>
          <w:b w:val="0"/>
        </w:rPr>
        <w:t xml:space="preserve">earned by Specialist Debt Fund), Specialist Debt Fund </w:t>
      </w:r>
      <w:r w:rsidR="00231E20">
        <w:rPr>
          <w:b w:val="0"/>
        </w:rPr>
        <w:t xml:space="preserve">would still be </w:t>
      </w:r>
      <w:r>
        <w:rPr>
          <w:b w:val="0"/>
        </w:rPr>
        <w:t xml:space="preserve">a </w:t>
      </w:r>
      <w:r w:rsidR="00231E20">
        <w:rPr>
          <w:b w:val="0"/>
        </w:rPr>
        <w:t>subsidiar</w:t>
      </w:r>
      <w:r>
        <w:rPr>
          <w:b w:val="0"/>
        </w:rPr>
        <w:t>y of Plan XYZ.</w:t>
      </w:r>
    </w:p>
    <w:p w:rsidR="00434515" w:rsidRDefault="00434515" w:rsidP="00752FDF">
      <w:pPr>
        <w:pStyle w:val="BoldHanging0"/>
        <w:numPr>
          <w:ilvl w:val="1"/>
          <w:numId w:val="39"/>
        </w:numPr>
        <w:rPr>
          <w:b w:val="0"/>
        </w:rPr>
      </w:pPr>
      <w:r>
        <w:rPr>
          <w:b w:val="0"/>
        </w:rPr>
        <w:t>T</w:t>
      </w:r>
      <w:r w:rsidRPr="00434515">
        <w:rPr>
          <w:b w:val="0"/>
        </w:rPr>
        <w:t>h</w:t>
      </w:r>
      <w:r>
        <w:rPr>
          <w:b w:val="0"/>
        </w:rPr>
        <w:t xml:space="preserve">e AASB issued </w:t>
      </w:r>
      <w:r w:rsidRPr="00434515">
        <w:rPr>
          <w:b w:val="0"/>
        </w:rPr>
        <w:t>ED 220</w:t>
      </w:r>
      <w:r w:rsidR="002F3C19">
        <w:rPr>
          <w:b w:val="0"/>
        </w:rPr>
        <w:t xml:space="preserve"> </w:t>
      </w:r>
      <w:r w:rsidRPr="00434515">
        <w:rPr>
          <w:b w:val="0"/>
        </w:rPr>
        <w:t>in September 2011 (incorporating IASB ED/2011/4).</w:t>
      </w:r>
    </w:p>
    <w:p w:rsidR="00434515" w:rsidRPr="00434515" w:rsidRDefault="00434515" w:rsidP="00CE7B22">
      <w:pPr>
        <w:pStyle w:val="BoldHanging0"/>
        <w:numPr>
          <w:ilvl w:val="1"/>
          <w:numId w:val="39"/>
        </w:numPr>
        <w:ind w:left="397" w:hanging="397"/>
        <w:rPr>
          <w:b w:val="0"/>
        </w:rPr>
      </w:pPr>
      <w:r w:rsidRPr="00434515">
        <w:rPr>
          <w:b w:val="0"/>
        </w:rPr>
        <w:t xml:space="preserve">In the material accompanying ED 220, </w:t>
      </w:r>
      <w:r w:rsidR="00D76C67">
        <w:rPr>
          <w:b w:val="0"/>
        </w:rPr>
        <w:t xml:space="preserve">some </w:t>
      </w:r>
      <w:r w:rsidRPr="00434515">
        <w:rPr>
          <w:b w:val="0"/>
        </w:rPr>
        <w:t>AASB members expressed concerns with the ED/2011/4 proposals, including:</w:t>
      </w:r>
    </w:p>
    <w:p w:rsidR="00434515" w:rsidRPr="00434515" w:rsidRDefault="00434515" w:rsidP="007E7EEA">
      <w:pPr>
        <w:pStyle w:val="BoldHanging0"/>
        <w:numPr>
          <w:ilvl w:val="0"/>
          <w:numId w:val="32"/>
        </w:numPr>
        <w:ind w:left="794" w:hanging="397"/>
        <w:rPr>
          <w:b w:val="0"/>
        </w:rPr>
      </w:pPr>
      <w:r w:rsidRPr="00434515">
        <w:rPr>
          <w:b w:val="0"/>
        </w:rPr>
        <w:t>the exception to consolidation goes against the application of the well-established accounting concept of control, which is designed to result in the presentation of all the assets, liabilities, income and expenses of the group, and the amendments would result in a loss of relevant information for users of financial statements;</w:t>
      </w:r>
    </w:p>
    <w:p w:rsidR="00434515" w:rsidRPr="00434515" w:rsidRDefault="00434515" w:rsidP="007E7EEA">
      <w:pPr>
        <w:pStyle w:val="BoldHanging0"/>
        <w:numPr>
          <w:ilvl w:val="0"/>
          <w:numId w:val="32"/>
        </w:numPr>
        <w:ind w:left="794" w:hanging="397"/>
        <w:rPr>
          <w:b w:val="0"/>
        </w:rPr>
      </w:pPr>
      <w:r w:rsidRPr="00434515">
        <w:rPr>
          <w:b w:val="0"/>
        </w:rPr>
        <w:t>the basis of the exception to consolidation is the type of entity, rather than the underlying relationship between investors and investees; and</w:t>
      </w:r>
    </w:p>
    <w:p w:rsidR="00434515" w:rsidRDefault="00434515" w:rsidP="007E7EEA">
      <w:pPr>
        <w:pStyle w:val="BoldHanging0"/>
        <w:numPr>
          <w:ilvl w:val="0"/>
          <w:numId w:val="32"/>
        </w:numPr>
        <w:ind w:left="794" w:hanging="397"/>
        <w:rPr>
          <w:b w:val="0"/>
        </w:rPr>
      </w:pPr>
      <w:proofErr w:type="gramStart"/>
      <w:r w:rsidRPr="00434515">
        <w:rPr>
          <w:b w:val="0"/>
        </w:rPr>
        <w:t>there</w:t>
      </w:r>
      <w:proofErr w:type="gramEnd"/>
      <w:r w:rsidRPr="00434515">
        <w:rPr>
          <w:b w:val="0"/>
        </w:rPr>
        <w:t xml:space="preserve"> are no clear principles underpinning the classification of entities as investment entities and the criteria for identifying investment entities are rule-based and open to opportunistic behaviour.  </w:t>
      </w:r>
    </w:p>
    <w:p w:rsidR="00CD0472" w:rsidRDefault="00CD0472" w:rsidP="00B52FC9">
      <w:pPr>
        <w:pStyle w:val="BoldHanging0"/>
        <w:numPr>
          <w:ilvl w:val="1"/>
          <w:numId w:val="39"/>
        </w:numPr>
        <w:ind w:left="397" w:hanging="397"/>
        <w:rPr>
          <w:b w:val="0"/>
        </w:rPr>
      </w:pPr>
      <w:r w:rsidRPr="00CD0472">
        <w:rPr>
          <w:b w:val="0"/>
        </w:rPr>
        <w:t>As evident from the responses to AASB ED 220, views were divided among Australian constituents.  Some expressed concerns similar to those of the AASB members.  However, others expressed broad support for requiring some types of entities to account for controlled investees at fair value through profit or loss, rather than having them consolidate such entities.</w:t>
      </w:r>
    </w:p>
    <w:p w:rsidR="00CD0472" w:rsidRDefault="00CD0472" w:rsidP="00B52FC9">
      <w:pPr>
        <w:pStyle w:val="BoldHanging0"/>
        <w:numPr>
          <w:ilvl w:val="1"/>
          <w:numId w:val="39"/>
        </w:numPr>
        <w:ind w:left="397" w:hanging="397"/>
        <w:rPr>
          <w:b w:val="0"/>
        </w:rPr>
      </w:pPr>
      <w:r w:rsidRPr="00CD0472">
        <w:rPr>
          <w:b w:val="0"/>
        </w:rPr>
        <w:t>The AASB expressed its concerns in its submission to the IASB on IASB ED/2011/4.</w:t>
      </w:r>
    </w:p>
    <w:p w:rsidR="001A24B3" w:rsidRDefault="00CD0472" w:rsidP="00B52FC9">
      <w:pPr>
        <w:pStyle w:val="BoldHanging0"/>
        <w:numPr>
          <w:ilvl w:val="1"/>
          <w:numId w:val="39"/>
        </w:numPr>
        <w:ind w:left="397" w:hanging="397"/>
        <w:rPr>
          <w:b w:val="0"/>
        </w:rPr>
      </w:pPr>
      <w:r w:rsidRPr="00CD0472">
        <w:rPr>
          <w:b w:val="0"/>
        </w:rPr>
        <w:t>In October</w:t>
      </w:r>
      <w:r>
        <w:rPr>
          <w:b w:val="0"/>
        </w:rPr>
        <w:t xml:space="preserve"> 2012, the IASB amended IFRS 10</w:t>
      </w:r>
      <w:r w:rsidRPr="00CD0472">
        <w:rPr>
          <w:b w:val="0"/>
        </w:rPr>
        <w:t xml:space="preserve">, IFRS 12 </w:t>
      </w:r>
      <w:r w:rsidRPr="00CD0472">
        <w:rPr>
          <w:b w:val="0"/>
          <w:i/>
        </w:rPr>
        <w:t>Disclosures of Interest in Other Entities</w:t>
      </w:r>
      <w:r>
        <w:rPr>
          <w:b w:val="0"/>
        </w:rPr>
        <w:t xml:space="preserve"> and IAS </w:t>
      </w:r>
      <w:r w:rsidRPr="00CD0472">
        <w:rPr>
          <w:b w:val="0"/>
        </w:rPr>
        <w:t xml:space="preserve">27 </w:t>
      </w:r>
      <w:r w:rsidRPr="00CD0472">
        <w:rPr>
          <w:b w:val="0"/>
          <w:i/>
        </w:rPr>
        <w:t>Separate Financial Statements</w:t>
      </w:r>
      <w:r w:rsidRPr="00CD0472">
        <w:rPr>
          <w:b w:val="0"/>
        </w:rPr>
        <w:t xml:space="preserve"> </w:t>
      </w:r>
      <w:r w:rsidR="00536BB7">
        <w:rPr>
          <w:b w:val="0"/>
        </w:rPr>
        <w:t xml:space="preserve">(‘IASB amendments’) </w:t>
      </w:r>
      <w:r w:rsidRPr="00CD0472">
        <w:rPr>
          <w:b w:val="0"/>
        </w:rPr>
        <w:t>for investment entities to provide an exception to consolidating particular subsidiaries for investment entities, requiring them instead to measure their investments in unconsolidated subsidiaries at fair value through profit or loss.</w:t>
      </w:r>
    </w:p>
    <w:p w:rsidR="00CD0472" w:rsidRDefault="00CD0472" w:rsidP="00B52FC9">
      <w:pPr>
        <w:pStyle w:val="BoldHanging0"/>
        <w:numPr>
          <w:ilvl w:val="1"/>
          <w:numId w:val="39"/>
        </w:numPr>
        <w:ind w:left="397" w:hanging="397"/>
        <w:rPr>
          <w:b w:val="0"/>
        </w:rPr>
      </w:pPr>
      <w:r w:rsidRPr="001A24B3">
        <w:rPr>
          <w:b w:val="0"/>
        </w:rPr>
        <w:t>The AASB noted that its concerns with the ED/2011/4 proposals were not adequately addressed in the IASB amendments. The AASB also considered the disclosures required by the IASB amendments and noted that they require an investment entity to provide information about the exception to consolidation rather than addressing the loss of consolidation information.</w:t>
      </w:r>
    </w:p>
    <w:p w:rsidR="001A24B3" w:rsidRPr="001A24B3" w:rsidRDefault="001A24B3" w:rsidP="00B52FC9">
      <w:pPr>
        <w:pStyle w:val="BoldHanging0"/>
        <w:keepNext/>
        <w:numPr>
          <w:ilvl w:val="1"/>
          <w:numId w:val="39"/>
        </w:numPr>
        <w:ind w:left="397" w:hanging="397"/>
        <w:rPr>
          <w:b w:val="0"/>
        </w:rPr>
      </w:pPr>
      <w:r w:rsidRPr="001A24B3">
        <w:rPr>
          <w:b w:val="0"/>
        </w:rPr>
        <w:t>Because of its concerns with the IASB amendments, the AASB decided to undertake further due process. After considering a number of different possible approaches to the recognition and measurement of controlled investees of investment entities, including (</w:t>
      </w:r>
      <w:proofErr w:type="spellStart"/>
      <w:r w:rsidRPr="001A24B3">
        <w:rPr>
          <w:b w:val="0"/>
        </w:rPr>
        <w:t>i</w:t>
      </w:r>
      <w:proofErr w:type="spellEnd"/>
      <w:r w:rsidRPr="001A24B3">
        <w:rPr>
          <w:b w:val="0"/>
        </w:rPr>
        <w:t>) consolidation and (ii) fair value measurement with compensating disclosures, the AASB issued ED 233 in December 2012. It proposed to introduce the exception to consolidation for investment entities (as per the IASB amendments) and to require Australian additional disclosures for Australian entities that meet the IASB’s investment entity criteria. The Australian additional disclosures proposed in ED 233 were in the form of:</w:t>
      </w:r>
    </w:p>
    <w:p w:rsidR="001A24B3" w:rsidRPr="001A24B3" w:rsidRDefault="001A24B3" w:rsidP="007E7EEA">
      <w:pPr>
        <w:pStyle w:val="BoldHanging0"/>
        <w:numPr>
          <w:ilvl w:val="0"/>
          <w:numId w:val="35"/>
        </w:numPr>
        <w:ind w:left="794" w:hanging="397"/>
        <w:rPr>
          <w:b w:val="0"/>
        </w:rPr>
      </w:pPr>
      <w:r w:rsidRPr="001A24B3">
        <w:rPr>
          <w:b w:val="0"/>
        </w:rPr>
        <w:t>consolidated financial statements prepared in a manner consistent with the definition of consolidated financial statements in Appendix A of AASB 10; and</w:t>
      </w:r>
    </w:p>
    <w:p w:rsidR="001A24B3" w:rsidRPr="001A24B3" w:rsidRDefault="001A24B3" w:rsidP="007E7EEA">
      <w:pPr>
        <w:pStyle w:val="BoldHanging0"/>
        <w:numPr>
          <w:ilvl w:val="0"/>
          <w:numId w:val="35"/>
        </w:numPr>
        <w:ind w:left="794" w:hanging="397"/>
        <w:rPr>
          <w:b w:val="0"/>
        </w:rPr>
      </w:pPr>
      <w:proofErr w:type="gramStart"/>
      <w:r w:rsidRPr="001A24B3">
        <w:rPr>
          <w:b w:val="0"/>
        </w:rPr>
        <w:t>a</w:t>
      </w:r>
      <w:proofErr w:type="gramEnd"/>
      <w:r w:rsidRPr="001A24B3">
        <w:rPr>
          <w:b w:val="0"/>
        </w:rPr>
        <w:t xml:space="preserve"> summary of the significant accounting policies used in preparing those consolidated financial statements that are not otherwise disclosed in accordance with AASB 101 </w:t>
      </w:r>
      <w:r w:rsidRPr="00272B61">
        <w:rPr>
          <w:b w:val="0"/>
          <w:i/>
        </w:rPr>
        <w:t>Presentation of Financial Statements</w:t>
      </w:r>
      <w:r w:rsidRPr="001A24B3">
        <w:rPr>
          <w:b w:val="0"/>
        </w:rPr>
        <w:t>.</w:t>
      </w:r>
    </w:p>
    <w:p w:rsidR="001A24B3" w:rsidRPr="001A24B3" w:rsidRDefault="001A24B3" w:rsidP="00B52FC9">
      <w:pPr>
        <w:pStyle w:val="BoldHanging0"/>
        <w:numPr>
          <w:ilvl w:val="1"/>
          <w:numId w:val="39"/>
        </w:numPr>
        <w:ind w:left="397" w:hanging="397"/>
        <w:rPr>
          <w:b w:val="0"/>
        </w:rPr>
      </w:pPr>
      <w:r w:rsidRPr="001A24B3">
        <w:rPr>
          <w:b w:val="0"/>
        </w:rPr>
        <w:t xml:space="preserve">ED 233also specifically asked respondents, whether they have any alternative approaches/disclosure strategies that </w:t>
      </w:r>
      <w:r w:rsidR="00CC0DCF">
        <w:rPr>
          <w:b w:val="0"/>
        </w:rPr>
        <w:t xml:space="preserve">could </w:t>
      </w:r>
      <w:r w:rsidRPr="001A24B3">
        <w:rPr>
          <w:b w:val="0"/>
        </w:rPr>
        <w:t xml:space="preserve">be employed to minimise the </w:t>
      </w:r>
      <w:r w:rsidR="00CC0DCF">
        <w:rPr>
          <w:b w:val="0"/>
        </w:rPr>
        <w:t xml:space="preserve">potentially </w:t>
      </w:r>
      <w:r w:rsidRPr="001A24B3">
        <w:rPr>
          <w:b w:val="0"/>
        </w:rPr>
        <w:t>adverse impact on the decision-making of the loss of consolidation information.</w:t>
      </w:r>
    </w:p>
    <w:p w:rsidR="001A24B3" w:rsidRPr="001A24B3" w:rsidRDefault="001A24B3" w:rsidP="00B52FC9">
      <w:pPr>
        <w:pStyle w:val="BoldHanging0"/>
        <w:numPr>
          <w:ilvl w:val="1"/>
          <w:numId w:val="39"/>
        </w:numPr>
        <w:ind w:left="397" w:hanging="397"/>
        <w:rPr>
          <w:b w:val="0"/>
        </w:rPr>
      </w:pPr>
      <w:r w:rsidRPr="001A24B3">
        <w:rPr>
          <w:b w:val="0"/>
        </w:rPr>
        <w:t>The AASB received 29 submissions on ED 233. The vast majority of respondents did not support the proposed Australian additional disclosures.  These respondents expressed support for introducing the IASB amendments without Australian additional disclosures</w:t>
      </w:r>
      <w:r w:rsidR="007D565F">
        <w:rPr>
          <w:b w:val="0"/>
        </w:rPr>
        <w:t xml:space="preserve"> (</w:t>
      </w:r>
      <w:r w:rsidR="00D65B44">
        <w:rPr>
          <w:b w:val="0"/>
        </w:rPr>
        <w:t>i.e.</w:t>
      </w:r>
      <w:r w:rsidR="007D565F">
        <w:rPr>
          <w:b w:val="0"/>
        </w:rPr>
        <w:t xml:space="preserve"> Option 1 below)</w:t>
      </w:r>
      <w:r w:rsidRPr="001A24B3">
        <w:rPr>
          <w:b w:val="0"/>
        </w:rPr>
        <w:t>.</w:t>
      </w:r>
      <w:r w:rsidR="007D565F">
        <w:rPr>
          <w:b w:val="0"/>
        </w:rPr>
        <w:t xml:space="preserve"> They regarded the fair value information </w:t>
      </w:r>
      <w:r w:rsidR="00872CE8">
        <w:rPr>
          <w:b w:val="0"/>
        </w:rPr>
        <w:t xml:space="preserve">about </w:t>
      </w:r>
      <w:r w:rsidR="007D565F">
        <w:rPr>
          <w:b w:val="0"/>
        </w:rPr>
        <w:t>the controlled investees as more relevant than consolidated information of the investment entity and its controlled investees in making decisions about the performance and financial position of the investment entity.</w:t>
      </w:r>
    </w:p>
    <w:p w:rsidR="00437B53" w:rsidRPr="00482A4F" w:rsidRDefault="00823665" w:rsidP="00823665">
      <w:pPr>
        <w:pStyle w:val="TopHeading2"/>
        <w:keepNext/>
        <w:spacing w:before="200"/>
        <w:ind w:left="397" w:hanging="397"/>
        <w:rPr>
          <w:sz w:val="24"/>
          <w:szCs w:val="24"/>
        </w:rPr>
      </w:pPr>
      <w:r>
        <w:rPr>
          <w:sz w:val="24"/>
          <w:szCs w:val="24"/>
        </w:rPr>
        <w:t>2.</w:t>
      </w:r>
      <w:r>
        <w:rPr>
          <w:sz w:val="24"/>
          <w:szCs w:val="24"/>
        </w:rPr>
        <w:tab/>
      </w:r>
      <w:r w:rsidR="0030292E">
        <w:rPr>
          <w:sz w:val="24"/>
          <w:szCs w:val="24"/>
        </w:rPr>
        <w:t>Objective</w:t>
      </w:r>
      <w:r w:rsidR="003C06F8">
        <w:rPr>
          <w:sz w:val="24"/>
          <w:szCs w:val="24"/>
        </w:rPr>
        <w:t>s</w:t>
      </w:r>
    </w:p>
    <w:p w:rsidR="00B63D57" w:rsidRDefault="006D3AB5" w:rsidP="007E7EEA">
      <w:pPr>
        <w:tabs>
          <w:tab w:val="left" w:pos="-2977"/>
        </w:tabs>
        <w:spacing w:before="120" w:after="120"/>
        <w:ind w:left="397" w:hanging="397"/>
      </w:pPr>
      <w:r>
        <w:t>2.1</w:t>
      </w:r>
      <w:r>
        <w:tab/>
      </w:r>
      <w:r w:rsidR="00437B53" w:rsidRPr="006E210A">
        <w:t>The objective</w:t>
      </w:r>
      <w:r w:rsidR="00D76C67">
        <w:t>s</w:t>
      </w:r>
      <w:r w:rsidR="00437B53" w:rsidRPr="006E210A">
        <w:t xml:space="preserve"> </w:t>
      </w:r>
      <w:r w:rsidR="00482A4F">
        <w:t xml:space="preserve">of </w:t>
      </w:r>
      <w:r w:rsidR="001A24B3">
        <w:t xml:space="preserve">issuing </w:t>
      </w:r>
      <w:r w:rsidR="003F1AC0">
        <w:t xml:space="preserve">Amending Standard </w:t>
      </w:r>
      <w:r w:rsidR="00596B7E">
        <w:t>AASB</w:t>
      </w:r>
      <w:r w:rsidR="003F1AC0">
        <w:t> </w:t>
      </w:r>
      <w:r w:rsidR="00E63DCB">
        <w:t>2</w:t>
      </w:r>
      <w:r w:rsidR="005760A2">
        <w:t>0</w:t>
      </w:r>
      <w:r w:rsidR="00E63DCB">
        <w:t>1</w:t>
      </w:r>
      <w:r w:rsidR="0084119B">
        <w:t>3</w:t>
      </w:r>
      <w:r w:rsidR="003F1AC0">
        <w:t>-</w:t>
      </w:r>
      <w:r w:rsidR="00430461">
        <w:t>5</w:t>
      </w:r>
      <w:r w:rsidR="00E63DCB">
        <w:t xml:space="preserve"> </w:t>
      </w:r>
      <w:r w:rsidR="00E63DCB" w:rsidRPr="00E63DCB">
        <w:rPr>
          <w:i/>
        </w:rPr>
        <w:t xml:space="preserve">Amendments to Australian Accounting Standards </w:t>
      </w:r>
      <w:r w:rsidR="001A24B3">
        <w:rPr>
          <w:i/>
        </w:rPr>
        <w:t>– Investment Entities</w:t>
      </w:r>
      <w:r w:rsidR="003F1AC0">
        <w:t xml:space="preserve"> </w:t>
      </w:r>
      <w:r w:rsidR="00D76C67">
        <w:t xml:space="preserve">are </w:t>
      </w:r>
      <w:r w:rsidR="00702BDE">
        <w:t>to</w:t>
      </w:r>
      <w:r w:rsidR="00B63D57">
        <w:t xml:space="preserve">: </w:t>
      </w:r>
    </w:p>
    <w:p w:rsidR="007D10CA" w:rsidRDefault="00CB4E81" w:rsidP="00BE0FF9">
      <w:pPr>
        <w:spacing w:after="200"/>
        <w:ind w:left="794" w:hanging="397"/>
      </w:pPr>
      <w:r>
        <w:t>(a)</w:t>
      </w:r>
      <w:r>
        <w:tab/>
      </w:r>
      <w:r w:rsidR="007D10CA">
        <w:t xml:space="preserve"> </w:t>
      </w:r>
      <w:proofErr w:type="gramStart"/>
      <w:r w:rsidR="007D10CA">
        <w:t>reduce</w:t>
      </w:r>
      <w:proofErr w:type="gramEnd"/>
      <w:r w:rsidR="007D10CA">
        <w:t xml:space="preserve"> the compliance costs of Australian investment entities; </w:t>
      </w:r>
    </w:p>
    <w:p w:rsidR="00CB4E81" w:rsidRDefault="007D10CA" w:rsidP="00BE0FF9">
      <w:pPr>
        <w:spacing w:after="200"/>
        <w:ind w:left="794" w:hanging="397"/>
      </w:pPr>
      <w:r>
        <w:t>(</w:t>
      </w:r>
      <w:r w:rsidR="00144371">
        <w:t>b</w:t>
      </w:r>
      <w:r>
        <w:t>)</w:t>
      </w:r>
      <w:r>
        <w:tab/>
      </w:r>
      <w:proofErr w:type="gramStart"/>
      <w:r>
        <w:t>ensure</w:t>
      </w:r>
      <w:proofErr w:type="gramEnd"/>
      <w:r>
        <w:t xml:space="preserve"> that information that is relevant for decision making is provided</w:t>
      </w:r>
      <w:r w:rsidR="00CB4E81">
        <w:t>;</w:t>
      </w:r>
      <w:r w:rsidR="00CC0DCF">
        <w:t xml:space="preserve"> and</w:t>
      </w:r>
    </w:p>
    <w:p w:rsidR="00CB4E81" w:rsidRDefault="00CB4E81" w:rsidP="007E7EEA">
      <w:pPr>
        <w:spacing w:after="200"/>
        <w:ind w:left="794" w:hanging="397"/>
      </w:pPr>
      <w:r>
        <w:lastRenderedPageBreak/>
        <w:t>(</w:t>
      </w:r>
      <w:r w:rsidR="00144371">
        <w:t>c</w:t>
      </w:r>
      <w:r>
        <w:t>)</w:t>
      </w:r>
      <w:r>
        <w:tab/>
      </w:r>
      <w:proofErr w:type="gramStart"/>
      <w:r w:rsidR="0084119B" w:rsidRPr="006E210A">
        <w:t>contribute</w:t>
      </w:r>
      <w:proofErr w:type="gramEnd"/>
      <w:r w:rsidR="0084119B" w:rsidRPr="006E210A">
        <w:t xml:space="preserve"> to the development of a single set of accounting standards for world-wide use having regard to the interests of Australian </w:t>
      </w:r>
      <w:r w:rsidR="0084119B">
        <w:t>investment entities</w:t>
      </w:r>
      <w:r w:rsidR="0084119B" w:rsidRPr="006E210A">
        <w:t xml:space="preserve"> that raise or propose to raise capital in major international financial centres</w:t>
      </w:r>
      <w:r w:rsidR="00CC0DCF">
        <w:t>.</w:t>
      </w:r>
    </w:p>
    <w:p w:rsidR="00437B53" w:rsidRPr="00482A4F" w:rsidRDefault="00823665" w:rsidP="00823665">
      <w:pPr>
        <w:pStyle w:val="TopHeading2"/>
        <w:keepNext/>
        <w:spacing w:before="200"/>
        <w:ind w:left="397" w:hanging="397"/>
        <w:rPr>
          <w:sz w:val="24"/>
          <w:szCs w:val="24"/>
        </w:rPr>
      </w:pPr>
      <w:r>
        <w:rPr>
          <w:sz w:val="24"/>
          <w:szCs w:val="24"/>
        </w:rPr>
        <w:t>3.</w:t>
      </w:r>
      <w:r>
        <w:rPr>
          <w:sz w:val="24"/>
          <w:szCs w:val="24"/>
        </w:rPr>
        <w:tab/>
      </w:r>
      <w:r w:rsidR="00437B53" w:rsidRPr="00482A4F">
        <w:rPr>
          <w:sz w:val="24"/>
          <w:szCs w:val="24"/>
        </w:rPr>
        <w:t>Options</w:t>
      </w:r>
      <w:r w:rsidR="00C03310" w:rsidRPr="00482A4F">
        <w:rPr>
          <w:sz w:val="24"/>
          <w:szCs w:val="24"/>
        </w:rPr>
        <w:t xml:space="preserve"> </w:t>
      </w:r>
    </w:p>
    <w:p w:rsidR="007C51EA" w:rsidRDefault="00437B53" w:rsidP="006B29D7">
      <w:pPr>
        <w:pStyle w:val="ContentsBold"/>
        <w:keepNext/>
        <w:spacing w:before="0" w:after="120"/>
        <w:rPr>
          <w:i/>
          <w:sz w:val="24"/>
          <w:szCs w:val="24"/>
        </w:rPr>
      </w:pPr>
      <w:r w:rsidRPr="00482A4F">
        <w:rPr>
          <w:i/>
          <w:sz w:val="24"/>
          <w:szCs w:val="24"/>
        </w:rPr>
        <w:t>Option 1</w:t>
      </w:r>
      <w:r w:rsidR="008E7C96">
        <w:rPr>
          <w:i/>
          <w:sz w:val="24"/>
          <w:szCs w:val="24"/>
        </w:rPr>
        <w:t xml:space="preserve"> (Regulatory ‘light handed’ option)</w:t>
      </w:r>
    </w:p>
    <w:p w:rsidR="00AC47EB" w:rsidRDefault="0041734B" w:rsidP="007E7EEA">
      <w:pPr>
        <w:tabs>
          <w:tab w:val="left" w:pos="709"/>
        </w:tabs>
        <w:spacing w:before="120" w:after="120"/>
        <w:ind w:left="397" w:hanging="397"/>
      </w:pPr>
      <w:r>
        <w:t>3.1</w:t>
      </w:r>
      <w:r>
        <w:tab/>
      </w:r>
      <w:r w:rsidR="00430461">
        <w:t>Issue AASB 2013-5</w:t>
      </w:r>
      <w:r w:rsidR="009655D5">
        <w:t xml:space="preserve"> to provide an exception to consolidation to Australian </w:t>
      </w:r>
      <w:r w:rsidR="009655D5" w:rsidRPr="009655D5">
        <w:t xml:space="preserve">investment entities </w:t>
      </w:r>
      <w:r w:rsidR="009655D5">
        <w:t xml:space="preserve">and </w:t>
      </w:r>
      <w:r w:rsidR="009655D5" w:rsidRPr="009655D5">
        <w:t>require</w:t>
      </w:r>
      <w:r w:rsidR="009655D5">
        <w:t xml:space="preserve"> them</w:t>
      </w:r>
      <w:r w:rsidR="009655D5" w:rsidRPr="009655D5">
        <w:t xml:space="preserve"> to measure their investments in subsidiaries (except those subsidiaries that provide investment–related services) at fair value through profit or loss</w:t>
      </w:r>
      <w:r w:rsidR="009655D5">
        <w:t>.</w:t>
      </w:r>
      <w:r w:rsidR="008E7C96">
        <w:t xml:space="preserve"> </w:t>
      </w:r>
      <w:r w:rsidR="00AC7B0D">
        <w:t>Based on the overwhelming support for this approach from respondents to ED 233</w:t>
      </w:r>
      <w:r w:rsidR="00F24F09">
        <w:t xml:space="preserve">, </w:t>
      </w:r>
      <w:r w:rsidR="00AC7B0D">
        <w:t>including specific feedback on the relevance of consolidated information, i</w:t>
      </w:r>
      <w:r w:rsidR="008E7C96">
        <w:t xml:space="preserve">t would appear that there would be no significant </w:t>
      </w:r>
      <w:r w:rsidR="00872CE8">
        <w:t xml:space="preserve">adverse </w:t>
      </w:r>
      <w:r w:rsidR="008E7C96">
        <w:t>impact to decision-making if consolidated information of an investment entity and its controlled investees is not disclosed in the financial statements of an investment entity.</w:t>
      </w:r>
      <w:r w:rsidR="00AC7B0D">
        <w:t xml:space="preserve"> </w:t>
      </w:r>
    </w:p>
    <w:p w:rsidR="00437B53" w:rsidRPr="00482A4F" w:rsidRDefault="008D664C" w:rsidP="00176830">
      <w:pPr>
        <w:pStyle w:val="ContentsBold"/>
        <w:keepNext/>
        <w:spacing w:before="0" w:after="120"/>
        <w:rPr>
          <w:i/>
          <w:sz w:val="24"/>
          <w:szCs w:val="24"/>
        </w:rPr>
      </w:pPr>
      <w:r>
        <w:rPr>
          <w:i/>
          <w:sz w:val="24"/>
          <w:szCs w:val="24"/>
        </w:rPr>
        <w:t xml:space="preserve">Option </w:t>
      </w:r>
      <w:r w:rsidR="006E74A8">
        <w:rPr>
          <w:i/>
          <w:sz w:val="24"/>
          <w:szCs w:val="24"/>
        </w:rPr>
        <w:t>2</w:t>
      </w:r>
      <w:r w:rsidR="008E7C96">
        <w:rPr>
          <w:i/>
          <w:sz w:val="24"/>
          <w:szCs w:val="24"/>
        </w:rPr>
        <w:t xml:space="preserve"> (Status quo)</w:t>
      </w:r>
    </w:p>
    <w:p w:rsidR="00F24F09" w:rsidRDefault="002838CE" w:rsidP="00536BB7">
      <w:pPr>
        <w:spacing w:before="120" w:after="120"/>
        <w:ind w:left="397" w:hanging="397"/>
      </w:pPr>
      <w:r>
        <w:t>3.</w:t>
      </w:r>
      <w:r w:rsidR="006E74A8">
        <w:t>2</w:t>
      </w:r>
      <w:r>
        <w:tab/>
        <w:t>Status quo (d</w:t>
      </w:r>
      <w:r w:rsidRPr="006E210A">
        <w:t>o nothing</w:t>
      </w:r>
      <w:r>
        <w:t>)</w:t>
      </w:r>
      <w:r w:rsidR="008E7C96">
        <w:t>. This option would mean that Australian investment entities would continue to consolidate all their controlled investees as per the current requirements</w:t>
      </w:r>
      <w:r w:rsidR="006E74A8">
        <w:t>.</w:t>
      </w:r>
      <w:r w:rsidR="00873241" w:rsidRPr="00873241">
        <w:t xml:space="preserve"> </w:t>
      </w:r>
      <w:r w:rsidR="00873241">
        <w:t xml:space="preserve"> </w:t>
      </w:r>
    </w:p>
    <w:p w:rsidR="00F24F09" w:rsidRDefault="00F24F09" w:rsidP="00CE7B22">
      <w:pPr>
        <w:spacing w:before="120" w:after="120"/>
        <w:ind w:left="397"/>
      </w:pPr>
      <w:r>
        <w:t>In simple terms, c</w:t>
      </w:r>
      <w:r w:rsidR="00BE0FF9">
        <w:t xml:space="preserve">onsolidation </w:t>
      </w:r>
      <w:r>
        <w:t xml:space="preserve">means </w:t>
      </w:r>
      <w:r w:rsidR="00BE0FF9">
        <w:t>a line</w:t>
      </w:r>
      <w:r w:rsidR="00872CE8">
        <w:t>-</w:t>
      </w:r>
      <w:r w:rsidR="00BE0FF9">
        <w:t>by</w:t>
      </w:r>
      <w:r w:rsidR="00872CE8">
        <w:t>-</w:t>
      </w:r>
      <w:r w:rsidR="00BE0FF9">
        <w:t>line aggregation</w:t>
      </w:r>
      <w:r>
        <w:t xml:space="preserve"> of all the items in the parent entity and its controlled investees’ financial statements</w:t>
      </w:r>
      <w:r w:rsidR="00BE0FF9">
        <w:t xml:space="preserve"> </w:t>
      </w:r>
      <w:r>
        <w:t xml:space="preserve">and presenting </w:t>
      </w:r>
      <w:r w:rsidR="00872CE8">
        <w:t xml:space="preserve">them in </w:t>
      </w:r>
      <w:r>
        <w:t xml:space="preserve">consolidated financial statements after eliminating intra-group transactions. </w:t>
      </w:r>
    </w:p>
    <w:p w:rsidR="006E74A8" w:rsidRPr="00482A4F" w:rsidRDefault="006E74A8" w:rsidP="006E74A8">
      <w:pPr>
        <w:pStyle w:val="ContentsBold"/>
        <w:keepNext/>
        <w:spacing w:before="0" w:after="120"/>
        <w:rPr>
          <w:i/>
          <w:sz w:val="24"/>
          <w:szCs w:val="24"/>
        </w:rPr>
      </w:pPr>
      <w:r>
        <w:rPr>
          <w:i/>
          <w:sz w:val="24"/>
          <w:szCs w:val="24"/>
        </w:rPr>
        <w:t xml:space="preserve">Option </w:t>
      </w:r>
      <w:r w:rsidR="00AF628C">
        <w:rPr>
          <w:i/>
          <w:sz w:val="24"/>
          <w:szCs w:val="24"/>
        </w:rPr>
        <w:t>3</w:t>
      </w:r>
      <w:r w:rsidR="008E7C96">
        <w:rPr>
          <w:i/>
          <w:sz w:val="24"/>
          <w:szCs w:val="24"/>
        </w:rPr>
        <w:t xml:space="preserve"> (Regulatory option)</w:t>
      </w:r>
    </w:p>
    <w:p w:rsidR="00C302D7" w:rsidRDefault="006E74A8" w:rsidP="007E7EEA">
      <w:pPr>
        <w:tabs>
          <w:tab w:val="left" w:pos="709"/>
        </w:tabs>
        <w:spacing w:before="120" w:after="120"/>
        <w:ind w:left="397" w:hanging="397"/>
      </w:pPr>
      <w:r>
        <w:t>3.</w:t>
      </w:r>
      <w:r w:rsidR="00752FDF">
        <w:t>3</w:t>
      </w:r>
      <w:r>
        <w:tab/>
      </w:r>
      <w:r w:rsidR="00C302D7">
        <w:t xml:space="preserve">The AASB considered the option of </w:t>
      </w:r>
      <w:r w:rsidR="00C302D7" w:rsidRPr="00821926">
        <w:t>issu</w:t>
      </w:r>
      <w:r w:rsidR="00C302D7">
        <w:t>ing</w:t>
      </w:r>
      <w:r w:rsidR="00C302D7" w:rsidRPr="00821926">
        <w:t xml:space="preserve"> the IASB amendments with Australian additional disclosures </w:t>
      </w:r>
      <w:r w:rsidR="00873241">
        <w:t xml:space="preserve">in the form of consolidated financial statements and related notes. </w:t>
      </w:r>
      <w:r w:rsidR="00CC0DCF">
        <w:t xml:space="preserve"> </w:t>
      </w:r>
    </w:p>
    <w:p w:rsidR="00F9419E" w:rsidRPr="00811BBB" w:rsidRDefault="00823665" w:rsidP="00CE7B22">
      <w:pPr>
        <w:pStyle w:val="TopHeading2"/>
        <w:keepNext/>
        <w:spacing w:before="200"/>
        <w:ind w:left="397" w:hanging="397"/>
        <w:rPr>
          <w:sz w:val="24"/>
          <w:szCs w:val="24"/>
        </w:rPr>
      </w:pPr>
      <w:r>
        <w:rPr>
          <w:sz w:val="24"/>
          <w:szCs w:val="24"/>
        </w:rPr>
        <w:t>4.</w:t>
      </w:r>
      <w:r>
        <w:rPr>
          <w:sz w:val="24"/>
          <w:szCs w:val="24"/>
        </w:rPr>
        <w:tab/>
      </w:r>
      <w:r w:rsidR="00F9419E" w:rsidRPr="00811BBB">
        <w:rPr>
          <w:sz w:val="24"/>
          <w:szCs w:val="24"/>
        </w:rPr>
        <w:t>Impact Analysis</w:t>
      </w:r>
    </w:p>
    <w:p w:rsidR="007E7EEA" w:rsidRDefault="007E7EEA" w:rsidP="00CE7B22">
      <w:pPr>
        <w:keepNext/>
        <w:autoSpaceDE w:val="0"/>
        <w:autoSpaceDN w:val="0"/>
        <w:adjustRightInd w:val="0"/>
        <w:spacing w:after="120" w:line="240" w:lineRule="auto"/>
        <w:ind w:left="397" w:hanging="397"/>
        <w:rPr>
          <w:b/>
          <w:bCs/>
          <w:i/>
          <w:iCs/>
          <w:lang w:eastAsia="en-AU"/>
        </w:rPr>
      </w:pPr>
      <w:r>
        <w:rPr>
          <w:b/>
          <w:bCs/>
          <w:lang w:eastAsia="en-AU"/>
        </w:rPr>
        <w:t xml:space="preserve">4.1 </w:t>
      </w:r>
      <w:r w:rsidR="00A2113A">
        <w:rPr>
          <w:b/>
          <w:bCs/>
          <w:lang w:eastAsia="en-AU"/>
        </w:rPr>
        <w:tab/>
      </w:r>
      <w:r>
        <w:rPr>
          <w:b/>
          <w:bCs/>
          <w:i/>
          <w:iCs/>
          <w:lang w:eastAsia="en-AU"/>
        </w:rPr>
        <w:t>Affected Parties</w:t>
      </w:r>
    </w:p>
    <w:p w:rsidR="007E7EEA" w:rsidRDefault="008F6103" w:rsidP="00A0280D">
      <w:pPr>
        <w:pStyle w:val="TextPara"/>
        <w:ind w:left="907" w:hanging="510"/>
      </w:pPr>
      <w:r>
        <w:t>4.1.1</w:t>
      </w:r>
      <w:r w:rsidR="001A0E66">
        <w:tab/>
      </w:r>
      <w:r w:rsidR="007E7EEA">
        <w:t>In the process of setting accounting standards, the AASB issues Exposure Drafts and Invitations to Comment to consult with stakeholders.  Comments received from constituents are taken into account in developing the standards.</w:t>
      </w:r>
    </w:p>
    <w:p w:rsidR="007E7EEA" w:rsidRDefault="008F6103" w:rsidP="00A0280D">
      <w:pPr>
        <w:pStyle w:val="TextPara"/>
        <w:ind w:left="907" w:hanging="510"/>
      </w:pPr>
      <w:r>
        <w:t>4.1.2</w:t>
      </w:r>
      <w:r w:rsidR="001A0E66">
        <w:tab/>
      </w:r>
      <w:r w:rsidR="007E7EEA" w:rsidRPr="00150F8F">
        <w:t xml:space="preserve">When issuing Exposure Drafts of Australian </w:t>
      </w:r>
      <w:r w:rsidR="007E7EEA">
        <w:t>Accounting Standards that incorporate</w:t>
      </w:r>
      <w:r w:rsidR="007E7EEA" w:rsidRPr="00150F8F">
        <w:t xml:space="preserve"> IASB Standards, the AASB specifically seeks comment from constituents on whether the proposals are in the best interests of the Australian economy and on whether there are regulatory or other issues that may affect the implementation of the proposals.  </w:t>
      </w:r>
    </w:p>
    <w:p w:rsidR="007E7EEA" w:rsidRDefault="008F6103" w:rsidP="00A0280D">
      <w:pPr>
        <w:pStyle w:val="TextPara"/>
        <w:spacing w:after="120" w:line="240" w:lineRule="auto"/>
        <w:ind w:left="907" w:hanging="510"/>
        <w:rPr>
          <w:lang w:eastAsia="en-AU"/>
        </w:rPr>
      </w:pPr>
      <w:r>
        <w:rPr>
          <w:lang w:eastAsia="en-AU"/>
        </w:rPr>
        <w:t>4.1.3</w:t>
      </w:r>
      <w:r w:rsidR="001A0E66">
        <w:rPr>
          <w:lang w:eastAsia="en-AU"/>
        </w:rPr>
        <w:tab/>
      </w:r>
      <w:r w:rsidR="007E7EEA">
        <w:rPr>
          <w:lang w:eastAsia="en-AU"/>
        </w:rPr>
        <w:t>Parties likely to be most directly affected by the Standard are:</w:t>
      </w:r>
    </w:p>
    <w:p w:rsidR="007E7EEA" w:rsidRDefault="007E7EEA" w:rsidP="00A0280D">
      <w:pPr>
        <w:pStyle w:val="TextPara"/>
        <w:spacing w:after="120" w:line="240" w:lineRule="auto"/>
        <w:ind w:left="1304" w:hanging="397"/>
        <w:rPr>
          <w:lang w:eastAsia="en-AU"/>
        </w:rPr>
      </w:pPr>
      <w:r>
        <w:rPr>
          <w:lang w:eastAsia="en-AU"/>
        </w:rPr>
        <w:t>(a)</w:t>
      </w:r>
      <w:r>
        <w:rPr>
          <w:lang w:eastAsia="en-AU"/>
        </w:rPr>
        <w:tab/>
      </w:r>
      <w:proofErr w:type="gramStart"/>
      <w:r>
        <w:rPr>
          <w:lang w:eastAsia="en-AU"/>
        </w:rPr>
        <w:t>reporting</w:t>
      </w:r>
      <w:proofErr w:type="gramEnd"/>
      <w:r>
        <w:rPr>
          <w:lang w:eastAsia="en-AU"/>
        </w:rPr>
        <w:t xml:space="preserve"> entities required to prepare general purpose financial reports and that meet the ‘investment entity’ </w:t>
      </w:r>
      <w:r w:rsidR="007B6CC3">
        <w:rPr>
          <w:lang w:eastAsia="en-AU"/>
        </w:rPr>
        <w:t xml:space="preserve">criteria </w:t>
      </w:r>
      <w:r>
        <w:rPr>
          <w:lang w:eastAsia="en-AU"/>
        </w:rPr>
        <w:t>in AASB 2013-</w:t>
      </w:r>
      <w:r w:rsidR="00430461">
        <w:rPr>
          <w:lang w:eastAsia="en-AU"/>
        </w:rPr>
        <w:t>5</w:t>
      </w:r>
      <w:r>
        <w:rPr>
          <w:lang w:eastAsia="en-AU"/>
        </w:rPr>
        <w:t>;</w:t>
      </w:r>
    </w:p>
    <w:p w:rsidR="007E7EEA" w:rsidRDefault="007E7EEA" w:rsidP="00A0280D">
      <w:pPr>
        <w:pStyle w:val="TextPara"/>
        <w:spacing w:after="120" w:line="240" w:lineRule="auto"/>
        <w:ind w:left="1304" w:hanging="397"/>
        <w:rPr>
          <w:lang w:eastAsia="en-AU"/>
        </w:rPr>
      </w:pPr>
      <w:r>
        <w:rPr>
          <w:lang w:eastAsia="en-AU"/>
        </w:rPr>
        <w:t>(b)</w:t>
      </w:r>
      <w:r>
        <w:rPr>
          <w:lang w:eastAsia="en-AU"/>
        </w:rPr>
        <w:tab/>
      </w:r>
      <w:proofErr w:type="gramStart"/>
      <w:r>
        <w:rPr>
          <w:lang w:eastAsia="en-AU"/>
        </w:rPr>
        <w:t>users</w:t>
      </w:r>
      <w:proofErr w:type="gramEnd"/>
      <w:r>
        <w:rPr>
          <w:lang w:eastAsia="en-AU"/>
        </w:rPr>
        <w:t xml:space="preserve"> of reports identified in (a) such as: </w:t>
      </w:r>
    </w:p>
    <w:p w:rsidR="007E7EEA" w:rsidRDefault="007E7EEA" w:rsidP="00A0280D">
      <w:pPr>
        <w:pStyle w:val="TextPara"/>
        <w:spacing w:after="120" w:line="240" w:lineRule="auto"/>
        <w:ind w:left="1814" w:hanging="510"/>
        <w:rPr>
          <w:lang w:eastAsia="en-AU"/>
        </w:rPr>
      </w:pPr>
      <w:r>
        <w:rPr>
          <w:lang w:eastAsia="en-AU"/>
        </w:rPr>
        <w:t>(</w:t>
      </w:r>
      <w:proofErr w:type="spellStart"/>
      <w:r>
        <w:rPr>
          <w:lang w:eastAsia="en-AU"/>
        </w:rPr>
        <w:t>i</w:t>
      </w:r>
      <w:proofErr w:type="spellEnd"/>
      <w:r>
        <w:rPr>
          <w:lang w:eastAsia="en-AU"/>
        </w:rPr>
        <w:t>)</w:t>
      </w:r>
      <w:r>
        <w:rPr>
          <w:lang w:eastAsia="en-AU"/>
        </w:rPr>
        <w:tab/>
      </w:r>
      <w:proofErr w:type="gramStart"/>
      <w:r>
        <w:rPr>
          <w:lang w:eastAsia="en-AU"/>
        </w:rPr>
        <w:t>resource</w:t>
      </w:r>
      <w:proofErr w:type="gramEnd"/>
      <w:r>
        <w:rPr>
          <w:lang w:eastAsia="en-AU"/>
        </w:rPr>
        <w:t xml:space="preserve"> providers (including fund managers, investors, creditors and employees);</w:t>
      </w:r>
    </w:p>
    <w:p w:rsidR="007E7EEA" w:rsidRDefault="007E7EEA" w:rsidP="00A0280D">
      <w:pPr>
        <w:pStyle w:val="TextPara"/>
        <w:spacing w:after="120" w:line="240" w:lineRule="auto"/>
        <w:ind w:left="1814" w:hanging="510"/>
        <w:rPr>
          <w:lang w:eastAsia="en-AU"/>
        </w:rPr>
      </w:pPr>
      <w:r>
        <w:rPr>
          <w:lang w:eastAsia="en-AU"/>
        </w:rPr>
        <w:t>(ii)</w:t>
      </w:r>
      <w:r>
        <w:rPr>
          <w:lang w:eastAsia="en-AU"/>
        </w:rPr>
        <w:tab/>
      </w:r>
      <w:proofErr w:type="gramStart"/>
      <w:r>
        <w:rPr>
          <w:lang w:eastAsia="en-AU"/>
        </w:rPr>
        <w:t>participants</w:t>
      </w:r>
      <w:proofErr w:type="gramEnd"/>
      <w:r>
        <w:rPr>
          <w:lang w:eastAsia="en-AU"/>
        </w:rPr>
        <w:t xml:space="preserve"> in the Australian capital markets;</w:t>
      </w:r>
    </w:p>
    <w:p w:rsidR="007E7EEA" w:rsidRDefault="007E7EEA" w:rsidP="00A0280D">
      <w:pPr>
        <w:pStyle w:val="TextPara"/>
        <w:spacing w:after="120" w:line="240" w:lineRule="auto"/>
        <w:ind w:left="1814" w:hanging="510"/>
        <w:rPr>
          <w:lang w:eastAsia="en-AU"/>
        </w:rPr>
      </w:pPr>
      <w:r>
        <w:rPr>
          <w:lang w:eastAsia="en-AU"/>
        </w:rPr>
        <w:t>(iii)</w:t>
      </w:r>
      <w:r>
        <w:rPr>
          <w:lang w:eastAsia="en-AU"/>
        </w:rPr>
        <w:tab/>
      </w:r>
      <w:proofErr w:type="gramStart"/>
      <w:r>
        <w:rPr>
          <w:lang w:eastAsia="en-AU"/>
        </w:rPr>
        <w:t>parties</w:t>
      </w:r>
      <w:proofErr w:type="gramEnd"/>
      <w:r>
        <w:rPr>
          <w:lang w:eastAsia="en-AU"/>
        </w:rPr>
        <w:t xml:space="preserve"> performing a review or oversight function (including analysts, ASIC and ASX); and</w:t>
      </w:r>
    </w:p>
    <w:p w:rsidR="007E7EEA" w:rsidRDefault="00A2113A" w:rsidP="00A0280D">
      <w:pPr>
        <w:pStyle w:val="TextPara"/>
        <w:spacing w:after="120" w:line="240" w:lineRule="auto"/>
        <w:ind w:left="1814" w:hanging="510"/>
        <w:rPr>
          <w:lang w:eastAsia="en-AU"/>
        </w:rPr>
      </w:pPr>
      <w:r>
        <w:rPr>
          <w:lang w:eastAsia="en-AU"/>
        </w:rPr>
        <w:t>(iv)</w:t>
      </w:r>
      <w:r>
        <w:rPr>
          <w:lang w:eastAsia="en-AU"/>
        </w:rPr>
        <w:tab/>
      </w:r>
      <w:proofErr w:type="gramStart"/>
      <w:r w:rsidR="007E7EEA">
        <w:rPr>
          <w:lang w:eastAsia="en-AU"/>
        </w:rPr>
        <w:t>management</w:t>
      </w:r>
      <w:proofErr w:type="gramEnd"/>
      <w:r w:rsidR="007E7EEA">
        <w:rPr>
          <w:lang w:eastAsia="en-AU"/>
        </w:rPr>
        <w:t xml:space="preserve"> and governing bodies (including use of these reports in the discharge of accountability).</w:t>
      </w:r>
    </w:p>
    <w:p w:rsidR="00D9662F" w:rsidRDefault="00D9662F" w:rsidP="00D9662F">
      <w:pPr>
        <w:autoSpaceDE w:val="0"/>
        <w:autoSpaceDN w:val="0"/>
        <w:adjustRightInd w:val="0"/>
        <w:spacing w:before="200" w:after="120" w:line="240" w:lineRule="auto"/>
        <w:ind w:left="397" w:hanging="397"/>
        <w:rPr>
          <w:b/>
          <w:bCs/>
          <w:i/>
          <w:iCs/>
          <w:lang w:eastAsia="en-AU"/>
        </w:rPr>
      </w:pPr>
      <w:r>
        <w:rPr>
          <w:b/>
          <w:bCs/>
          <w:lang w:eastAsia="en-AU"/>
        </w:rPr>
        <w:t>4.</w:t>
      </w:r>
      <w:r w:rsidR="00961FCE">
        <w:rPr>
          <w:b/>
          <w:bCs/>
          <w:lang w:eastAsia="en-AU"/>
        </w:rPr>
        <w:t>2</w:t>
      </w:r>
      <w:r>
        <w:rPr>
          <w:b/>
          <w:bCs/>
          <w:lang w:eastAsia="en-AU"/>
        </w:rPr>
        <w:t xml:space="preserve"> </w:t>
      </w:r>
      <w:r>
        <w:rPr>
          <w:b/>
          <w:bCs/>
          <w:lang w:eastAsia="en-AU"/>
        </w:rPr>
        <w:tab/>
      </w:r>
      <w:r>
        <w:rPr>
          <w:b/>
          <w:bCs/>
          <w:i/>
          <w:iCs/>
          <w:lang w:eastAsia="en-AU"/>
        </w:rPr>
        <w:t>Costs and Benefits</w:t>
      </w:r>
    </w:p>
    <w:p w:rsidR="00876413" w:rsidRDefault="0078592E" w:rsidP="00A0280D">
      <w:pPr>
        <w:pStyle w:val="TextPara"/>
        <w:ind w:left="907" w:hanging="510"/>
      </w:pPr>
      <w:r>
        <w:t>4.2.1</w:t>
      </w:r>
      <w:r>
        <w:tab/>
      </w:r>
      <w:r w:rsidR="00D9662F" w:rsidRPr="00150F8F">
        <w:t>The AASB assesses from a public interest perspective whether the costs of providing certain financial information exceed the benefits to be derived from its provision.  There is no universally accepted methodology for quantitatively measuring costs and benefits of information presented in financial reports</w:t>
      </w:r>
      <w:r w:rsidR="00D9662F">
        <w:t>.</w:t>
      </w:r>
      <w:r w:rsidR="00D9662F" w:rsidRPr="00150F8F">
        <w:t xml:space="preserve">  The costs of providing financial information are incurred, in the main, by reporting entities, but extend in various direct and indirect ways to the user</w:t>
      </w:r>
      <w:r w:rsidR="00D9662F">
        <w:t>s of general purpose financial statement</w:t>
      </w:r>
      <w:r w:rsidR="00D9662F" w:rsidRPr="00150F8F">
        <w:t xml:space="preserve">s.  </w:t>
      </w:r>
      <w:r w:rsidR="00D9662F">
        <w:t xml:space="preserve">In this context, the AASB is often guided by the feedback received from constituents as to the costs that may be involved in implementing newly issued accounting requirements.  This feedback is both from the AASB’s due process and also from the IASB’s due process.  </w:t>
      </w:r>
      <w:r w:rsidR="00D9662F" w:rsidRPr="00150F8F">
        <w:t>For example, entities are likely to incur one-off costs in the transition to implement an</w:t>
      </w:r>
      <w:r w:rsidR="00D9662F">
        <w:t>y systems changes and their revi</w:t>
      </w:r>
      <w:r w:rsidR="00D9662F" w:rsidRPr="00150F8F">
        <w:t>ew for external audit purposes.</w:t>
      </w:r>
      <w:r w:rsidR="00D9662F">
        <w:t xml:space="preserve">  However, t</w:t>
      </w:r>
      <w:r w:rsidR="00D9662F" w:rsidRPr="00150F8F">
        <w:t xml:space="preserve">here is no guarantee that the costs are borne ultimately by those who derive the benefits.  </w:t>
      </w:r>
    </w:p>
    <w:p w:rsidR="003B31F9" w:rsidRDefault="0078592E" w:rsidP="00A0280D">
      <w:pPr>
        <w:pStyle w:val="PlainHanging0"/>
        <w:ind w:left="907"/>
      </w:pPr>
      <w:r>
        <w:t>4.2.2</w:t>
      </w:r>
      <w:r w:rsidR="00E46E9A" w:rsidRPr="00E46E9A">
        <w:t xml:space="preserve"> </w:t>
      </w:r>
      <w:r w:rsidR="00DE79BC">
        <w:tab/>
      </w:r>
      <w:r w:rsidR="00E46E9A">
        <w:t xml:space="preserve">Under option 1, investment entities would need to report the fair value of their controlled investments, along with any dividends and capital gains instead of reporting consolidated information of the investment entity </w:t>
      </w:r>
      <w:r w:rsidR="00E46E9A">
        <w:lastRenderedPageBreak/>
        <w:t>parent and its controlled entities</w:t>
      </w:r>
      <w:r w:rsidR="003B31F9">
        <w:t xml:space="preserve"> as per current requirement</w:t>
      </w:r>
      <w:r w:rsidR="00E46E9A">
        <w:t>.</w:t>
      </w:r>
      <w:r w:rsidR="003B31F9">
        <w:t xml:space="preserve"> Those fair values would, for example, be based on quoted share prices or fair value measurement models already employed for management purposes. </w:t>
      </w:r>
    </w:p>
    <w:p w:rsidR="003B31F9" w:rsidRDefault="003B31F9" w:rsidP="00A0280D">
      <w:pPr>
        <w:pStyle w:val="PlainHanging0"/>
        <w:ind w:left="907"/>
      </w:pPr>
      <w:r>
        <w:t>4.2.3</w:t>
      </w:r>
      <w:r w:rsidR="00DE79BC">
        <w:tab/>
      </w:r>
      <w:r w:rsidR="00876413">
        <w:t xml:space="preserve">The AASB </w:t>
      </w:r>
      <w:r w:rsidR="00026D55">
        <w:t>expects</w:t>
      </w:r>
      <w:r w:rsidR="00876413">
        <w:t xml:space="preserve"> that the introduction of AASB 2013-</w:t>
      </w:r>
      <w:r w:rsidR="00430461">
        <w:t>5</w:t>
      </w:r>
      <w:r w:rsidR="00876413">
        <w:t xml:space="preserve"> </w:t>
      </w:r>
      <w:r w:rsidR="00144371">
        <w:t xml:space="preserve">(i.e. option 1) </w:t>
      </w:r>
      <w:r w:rsidR="00876413">
        <w:t>wil</w:t>
      </w:r>
      <w:r w:rsidR="00026D55">
        <w:t>l</w:t>
      </w:r>
      <w:r w:rsidR="00876413">
        <w:t xml:space="preserve"> result in significant compliance cost savings for preparers</w:t>
      </w:r>
      <w:r w:rsidR="00026D55">
        <w:t xml:space="preserve"> due to the exception to consolidation</w:t>
      </w:r>
      <w:r w:rsidR="00876413">
        <w:t>, particularly on an ongoing basis. This expectati</w:t>
      </w:r>
      <w:r w:rsidR="00026D55">
        <w:t xml:space="preserve">on is based on the feedback the AASB has received from respondents to AASB ED 220 and AASB ED 233 and the feedback the IASB has received from respondents to IASB </w:t>
      </w:r>
      <w:r w:rsidR="00026D55" w:rsidRPr="007D011C">
        <w:t>ED/2011/4</w:t>
      </w:r>
      <w:r w:rsidR="00026D55">
        <w:t>.</w:t>
      </w:r>
      <w:r w:rsidR="00823665">
        <w:t xml:space="preserve"> </w:t>
      </w:r>
    </w:p>
    <w:p w:rsidR="0011547B" w:rsidRDefault="00597E00" w:rsidP="00A0280D">
      <w:pPr>
        <w:pStyle w:val="PlainHanging0"/>
        <w:ind w:left="907"/>
      </w:pPr>
      <w:r>
        <w:t>4.2.</w:t>
      </w:r>
      <w:r w:rsidR="003B31F9">
        <w:t>4</w:t>
      </w:r>
      <w:r w:rsidR="00823665">
        <w:t xml:space="preserve">The AASB also expects </w:t>
      </w:r>
      <w:r w:rsidR="007B6CC3">
        <w:t xml:space="preserve">that some </w:t>
      </w:r>
      <w:r w:rsidR="00823665">
        <w:t xml:space="preserve">users of investment entity financial statements </w:t>
      </w:r>
      <w:r w:rsidR="007B6CC3">
        <w:t xml:space="preserve">would benefit </w:t>
      </w:r>
      <w:r w:rsidR="00823665">
        <w:t>from the provision of more fair value information</w:t>
      </w:r>
      <w:r w:rsidR="007B6CC3">
        <w:t>,</w:t>
      </w:r>
      <w:r w:rsidR="00823665">
        <w:t xml:space="preserve"> based on the </w:t>
      </w:r>
      <w:r w:rsidR="0011547B">
        <w:t xml:space="preserve">outreach conducted by the </w:t>
      </w:r>
      <w:r w:rsidR="00823665">
        <w:t>IASB</w:t>
      </w:r>
      <w:r>
        <w:t xml:space="preserve"> (refer to paragraphs BC304-BC308 of IFRS 10)</w:t>
      </w:r>
      <w:r w:rsidR="0078592E">
        <w:t>. The AASB also note</w:t>
      </w:r>
      <w:r>
        <w:t>s</w:t>
      </w:r>
      <w:r w:rsidR="0078592E">
        <w:t xml:space="preserve"> that constituents responding to the </w:t>
      </w:r>
      <w:r w:rsidR="00486368">
        <w:t xml:space="preserve">proposals for an </w:t>
      </w:r>
      <w:r w:rsidR="0078592E">
        <w:t>exception to consolidation viewed fair value information as most relevant for investors of investment entities in many circumstances</w:t>
      </w:r>
      <w:r w:rsidR="00486368">
        <w:t>.  They also argued that</w:t>
      </w:r>
      <w:r w:rsidR="0078592E">
        <w:t xml:space="preserve"> providing the exception to consolidation to Australian investment entities without Australian additional disclosures would reduce their compliance costs and enable them to maintain </w:t>
      </w:r>
      <w:r w:rsidR="00486368">
        <w:t xml:space="preserve">consistency </w:t>
      </w:r>
      <w:r w:rsidR="0078592E">
        <w:t>relative to their international peers.</w:t>
      </w:r>
    </w:p>
    <w:p w:rsidR="00026D55" w:rsidRDefault="0078592E" w:rsidP="00A0280D">
      <w:pPr>
        <w:pStyle w:val="TextPara"/>
        <w:ind w:left="907" w:hanging="510"/>
      </w:pPr>
      <w:r>
        <w:t>4.2.</w:t>
      </w:r>
      <w:r w:rsidR="003B31F9">
        <w:t>5</w:t>
      </w:r>
      <w:r w:rsidR="00DE79BC">
        <w:tab/>
      </w:r>
      <w:r w:rsidR="00876413">
        <w:t xml:space="preserve">On initial application, there may be some costs involved in identifying and documenting some of the additional disclosures introduced. In particular, investment entities will need to collect information to comply with the general disclosure requirements of </w:t>
      </w:r>
      <w:r w:rsidR="00026D55">
        <w:t>AASB</w:t>
      </w:r>
      <w:r w:rsidR="00876413">
        <w:t xml:space="preserve"> 7</w:t>
      </w:r>
      <w:r w:rsidR="00026D55">
        <w:t xml:space="preserve"> </w:t>
      </w:r>
      <w:r w:rsidR="00026D55" w:rsidRPr="00026D55">
        <w:rPr>
          <w:i/>
        </w:rPr>
        <w:t>Financial Instruments: Disclosures</w:t>
      </w:r>
      <w:r w:rsidR="00876413">
        <w:t xml:space="preserve">, </w:t>
      </w:r>
      <w:r w:rsidR="00026D55">
        <w:t>AASB</w:t>
      </w:r>
      <w:r w:rsidR="00876413">
        <w:t xml:space="preserve"> 13 </w:t>
      </w:r>
      <w:r w:rsidR="00026D55" w:rsidRPr="00026D55">
        <w:rPr>
          <w:i/>
        </w:rPr>
        <w:t>Fair Value Measurement</w:t>
      </w:r>
      <w:r w:rsidR="00026D55">
        <w:t xml:space="preserve"> </w:t>
      </w:r>
      <w:r w:rsidR="00876413">
        <w:t xml:space="preserve">and the amended requirements of </w:t>
      </w:r>
      <w:r w:rsidR="00026D55">
        <w:t>AASB</w:t>
      </w:r>
      <w:r w:rsidR="002A40AC">
        <w:t> </w:t>
      </w:r>
      <w:r w:rsidR="00026D55" w:rsidRPr="00CD0472">
        <w:t xml:space="preserve">12 </w:t>
      </w:r>
      <w:r w:rsidR="00026D55" w:rsidRPr="00CD0472">
        <w:rPr>
          <w:i/>
        </w:rPr>
        <w:t>Disclosures of Interest in Other Entities</w:t>
      </w:r>
      <w:r w:rsidR="00026D55">
        <w:t xml:space="preserve"> and IAS </w:t>
      </w:r>
      <w:r w:rsidR="00026D55" w:rsidRPr="00CD0472">
        <w:t xml:space="preserve">27 </w:t>
      </w:r>
      <w:r w:rsidR="00026D55" w:rsidRPr="00CD0472">
        <w:rPr>
          <w:i/>
        </w:rPr>
        <w:t>Separate Financial Statements</w:t>
      </w:r>
      <w:r w:rsidR="00876413">
        <w:t xml:space="preserve">. </w:t>
      </w:r>
    </w:p>
    <w:p w:rsidR="00026D55" w:rsidRDefault="00597E00" w:rsidP="00A0280D">
      <w:pPr>
        <w:pStyle w:val="TextPara"/>
        <w:ind w:left="907" w:hanging="510"/>
      </w:pPr>
      <w:r>
        <w:t>4.2.</w:t>
      </w:r>
      <w:r w:rsidR="003B31F9">
        <w:t>6</w:t>
      </w:r>
      <w:r w:rsidR="00CA4FA8">
        <w:tab/>
      </w:r>
      <w:r w:rsidR="00876413">
        <w:t xml:space="preserve">However, </w:t>
      </w:r>
      <w:r w:rsidR="00E46E9A">
        <w:t xml:space="preserve">as </w:t>
      </w:r>
      <w:r w:rsidR="00876413">
        <w:t xml:space="preserve">the </w:t>
      </w:r>
      <w:r w:rsidR="00026D55">
        <w:t xml:space="preserve">IASB </w:t>
      </w:r>
      <w:r w:rsidR="00536BB7">
        <w:t>has indicate</w:t>
      </w:r>
      <w:r w:rsidR="007B6CC3">
        <w:t>d</w:t>
      </w:r>
      <w:r w:rsidR="00E46E9A">
        <w:t>,</w:t>
      </w:r>
      <w:r w:rsidR="00536BB7">
        <w:t xml:space="preserve"> </w:t>
      </w:r>
      <w:r w:rsidR="00876413">
        <w:t xml:space="preserve">the majority of investment entities will already have much of the fair value information that they need in order to comply with the new </w:t>
      </w:r>
      <w:r w:rsidR="007B6CC3">
        <w:t xml:space="preserve">disclosure </w:t>
      </w:r>
      <w:r w:rsidR="00876413">
        <w:t xml:space="preserve">requirements, because they already measure substantially all of their investments on a fair value basis and many </w:t>
      </w:r>
      <w:r w:rsidR="007B6CC3">
        <w:t xml:space="preserve">already </w:t>
      </w:r>
      <w:r w:rsidR="00876413">
        <w:t xml:space="preserve">elect to provide this information to their investors. The </w:t>
      </w:r>
      <w:r w:rsidR="00026D55">
        <w:t xml:space="preserve">IASB </w:t>
      </w:r>
      <w:r w:rsidR="00876413">
        <w:t>expects this to mitigate the initial and ongoing costs of applying the exception to consolidation</w:t>
      </w:r>
      <w:r>
        <w:t xml:space="preserve"> (refer to paragraph BC310 of IFRS 10).</w:t>
      </w:r>
    </w:p>
    <w:p w:rsidR="00DE79BC" w:rsidRDefault="00597E00" w:rsidP="00A0280D">
      <w:pPr>
        <w:pStyle w:val="TextPara"/>
        <w:ind w:left="907" w:hanging="510"/>
      </w:pPr>
      <w:r>
        <w:t>4.2.</w:t>
      </w:r>
      <w:r w:rsidR="003B31F9">
        <w:t>7</w:t>
      </w:r>
      <w:r w:rsidR="00CA4FA8">
        <w:tab/>
      </w:r>
      <w:r w:rsidR="001A0E66">
        <w:t>The AASB also notes that by providing Option 1, Australia would remain</w:t>
      </w:r>
      <w:r w:rsidR="00D76C67">
        <w:t xml:space="preserve"> an IFRS compliant jurisdiction, which has significant reputational benefits for Australian financial reporting in general.</w:t>
      </w:r>
    </w:p>
    <w:p w:rsidR="00873241" w:rsidRDefault="00DE79BC" w:rsidP="00A0280D">
      <w:pPr>
        <w:pStyle w:val="TextPara"/>
        <w:ind w:left="907" w:hanging="510"/>
      </w:pPr>
      <w:r>
        <w:t>4.2.8</w:t>
      </w:r>
      <w:r w:rsidR="00CA4FA8">
        <w:tab/>
      </w:r>
      <w:r w:rsidR="00873241">
        <w:t>Thus</w:t>
      </w:r>
      <w:r w:rsidR="00486368">
        <w:t>,</w:t>
      </w:r>
      <w:r w:rsidR="00873241">
        <w:t xml:space="preserve"> in </w:t>
      </w:r>
      <w:r w:rsidR="00873241" w:rsidRPr="00873241">
        <w:t xml:space="preserve">arriving at its decisions, the </w:t>
      </w:r>
      <w:r w:rsidR="00873241">
        <w:t>AASB</w:t>
      </w:r>
      <w:r w:rsidR="00873241" w:rsidRPr="00873241">
        <w:t xml:space="preserve"> has considered th</w:t>
      </w:r>
      <w:r w:rsidR="00873241">
        <w:t>e</w:t>
      </w:r>
      <w:r w:rsidR="00873241" w:rsidRPr="00873241">
        <w:t xml:space="preserve"> costs </w:t>
      </w:r>
      <w:r w:rsidR="00873241">
        <w:t>of complying with AASB 2013-</w:t>
      </w:r>
      <w:r w:rsidR="00430461">
        <w:t>5</w:t>
      </w:r>
      <w:r w:rsidR="00873241">
        <w:t xml:space="preserve"> </w:t>
      </w:r>
      <w:r w:rsidR="00873241" w:rsidRPr="00873241">
        <w:t xml:space="preserve">and believes that the benefits of the information produced </w:t>
      </w:r>
      <w:r w:rsidR="007B6CC3">
        <w:t xml:space="preserve">and the benefits of maintaining IFRS compliance </w:t>
      </w:r>
      <w:r w:rsidR="00873241" w:rsidRPr="00873241">
        <w:t xml:space="preserve">would outweigh the costs of providing that information. In addition, the initial application costs will be more than offset by the cost savings resulting from the removal of the need to gather information from subsidiaries in order to consolidate </w:t>
      </w:r>
      <w:r w:rsidR="007B6CC3">
        <w:t xml:space="preserve">their assets, liabilities, revenues and expenses </w:t>
      </w:r>
      <w:r w:rsidR="00873241" w:rsidRPr="00873241">
        <w:t>on a line by line basis.</w:t>
      </w:r>
    </w:p>
    <w:p w:rsidR="00144371" w:rsidRDefault="00144371" w:rsidP="00A0280D">
      <w:pPr>
        <w:pStyle w:val="TextPara"/>
        <w:ind w:left="907" w:hanging="510"/>
      </w:pPr>
      <w:r>
        <w:t>4.2.</w:t>
      </w:r>
      <w:r w:rsidR="001A0E66">
        <w:t>9</w:t>
      </w:r>
      <w:r w:rsidR="00CA4FA8">
        <w:tab/>
      </w:r>
      <w:r>
        <w:t xml:space="preserve">Option 2 (i.e. </w:t>
      </w:r>
      <w:r w:rsidR="00D65B44">
        <w:t>the</w:t>
      </w:r>
      <w:r w:rsidRPr="00873241">
        <w:t xml:space="preserve"> approach of not adopting the IASB amendments </w:t>
      </w:r>
      <w:r>
        <w:t>in Australia)</w:t>
      </w:r>
      <w:r w:rsidRPr="00873241">
        <w:t xml:space="preserve"> would result in Australian investment entities not being able to assert IFRS compliance, an outcome that would be contrary to the AASB’s policy of having “…Tier 1 for-profit</w:t>
      </w:r>
      <w:r>
        <w:t xml:space="preserve"> entities being IFRS compliant”</w:t>
      </w:r>
      <w:r>
        <w:rPr>
          <w:rStyle w:val="FootnoteReference"/>
        </w:rPr>
        <w:footnoteReference w:id="1"/>
      </w:r>
      <w:r w:rsidRPr="00873241">
        <w:t>.</w:t>
      </w:r>
    </w:p>
    <w:p w:rsidR="006459CB" w:rsidRDefault="00144371" w:rsidP="00A0280D">
      <w:pPr>
        <w:spacing w:before="120" w:after="120"/>
        <w:ind w:left="907" w:hanging="510"/>
      </w:pPr>
      <w:r>
        <w:t>4.2.</w:t>
      </w:r>
      <w:r w:rsidR="001A0E66">
        <w:t>10</w:t>
      </w:r>
      <w:r w:rsidR="006459CB">
        <w:t xml:space="preserve"> </w:t>
      </w:r>
      <w:proofErr w:type="gramStart"/>
      <w:r w:rsidR="003B31F9">
        <w:t>T</w:t>
      </w:r>
      <w:r w:rsidR="006459CB">
        <w:t>he</w:t>
      </w:r>
      <w:proofErr w:type="gramEnd"/>
      <w:r w:rsidR="006459CB">
        <w:t xml:space="preserve"> overwhelming response to ED 233 received from constituents was not supportive of </w:t>
      </w:r>
      <w:r w:rsidR="003B31F9">
        <w:t>Option 3</w:t>
      </w:r>
      <w:r w:rsidR="006459CB">
        <w:t xml:space="preserve">.  The AASB also considered other types of less onerous Australian additional disclosures that could be required, but noted that the responses to ED 233 did not support having any types of additional disclosure, largely on the basis that the cost of providing the additional disclosure would outweigh the benefits and would be a burden that investment entities adopting IFRSs in other jurisdictions would not have to bear. </w:t>
      </w:r>
    </w:p>
    <w:p w:rsidR="00873241" w:rsidRPr="00811BBB" w:rsidRDefault="00823665" w:rsidP="00272B61">
      <w:pPr>
        <w:pStyle w:val="TopHeading2"/>
        <w:keepNext/>
        <w:spacing w:before="200"/>
        <w:ind w:left="397" w:hanging="397"/>
        <w:rPr>
          <w:sz w:val="24"/>
          <w:szCs w:val="24"/>
        </w:rPr>
      </w:pPr>
      <w:r>
        <w:rPr>
          <w:sz w:val="24"/>
          <w:szCs w:val="24"/>
        </w:rPr>
        <w:t>5.</w:t>
      </w:r>
      <w:r>
        <w:rPr>
          <w:sz w:val="24"/>
          <w:szCs w:val="24"/>
        </w:rPr>
        <w:tab/>
      </w:r>
      <w:r w:rsidR="00873241">
        <w:rPr>
          <w:sz w:val="24"/>
          <w:szCs w:val="24"/>
        </w:rPr>
        <w:t>Consultation</w:t>
      </w:r>
    </w:p>
    <w:p w:rsidR="00267A36" w:rsidRDefault="00B437D0" w:rsidP="00823665">
      <w:pPr>
        <w:pStyle w:val="PlainHanging0"/>
        <w:ind w:left="397" w:hanging="397"/>
      </w:pPr>
      <w:r>
        <w:t>5.1</w:t>
      </w:r>
      <w:r>
        <w:tab/>
      </w:r>
      <w:r w:rsidR="00546ED4">
        <w:t>T</w:t>
      </w:r>
      <w:r>
        <w:t xml:space="preserve">he AASB </w:t>
      </w:r>
      <w:r w:rsidR="00267A36">
        <w:t>issued</w:t>
      </w:r>
      <w:r>
        <w:t xml:space="preserve"> ED </w:t>
      </w:r>
      <w:r w:rsidR="00536BB7">
        <w:t xml:space="preserve">220 </w:t>
      </w:r>
      <w:r>
        <w:t xml:space="preserve">in </w:t>
      </w:r>
      <w:r w:rsidR="00536BB7">
        <w:t>September 2011 and ED 233 in Dec</w:t>
      </w:r>
      <w:r w:rsidR="00961FCE">
        <w:t>ember</w:t>
      </w:r>
      <w:r w:rsidR="00536BB7">
        <w:t xml:space="preserve"> 2012 </w:t>
      </w:r>
      <w:r>
        <w:t>for public comment</w:t>
      </w:r>
      <w:r w:rsidR="00536BB7">
        <w:t>. The majority of those who responded to these E</w:t>
      </w:r>
      <w:r w:rsidR="00961FCE">
        <w:t xml:space="preserve">xposure </w:t>
      </w:r>
      <w:r w:rsidR="00536BB7">
        <w:t>D</w:t>
      </w:r>
      <w:r w:rsidR="00961FCE">
        <w:t>raft</w:t>
      </w:r>
      <w:r w:rsidR="00536BB7">
        <w:t>s</w:t>
      </w:r>
      <w:r w:rsidR="00267A36">
        <w:t xml:space="preserve"> expressed support for </w:t>
      </w:r>
      <w:r w:rsidR="00536BB7">
        <w:t xml:space="preserve">providing the exception to consolidation </w:t>
      </w:r>
      <w:r w:rsidR="00961FCE">
        <w:t xml:space="preserve">for </w:t>
      </w:r>
      <w:r w:rsidR="00536BB7">
        <w:t>investment entities and requiring them to measure their subsidiaries at fair value</w:t>
      </w:r>
      <w:r w:rsidR="00267A36">
        <w:t xml:space="preserve">.  In total, over the two Exposure Drafts, </w:t>
      </w:r>
      <w:r w:rsidR="00503C43">
        <w:t xml:space="preserve">there were </w:t>
      </w:r>
      <w:r w:rsidR="00823665">
        <w:t>44 respondents</w:t>
      </w:r>
      <w:r w:rsidR="00267A36">
        <w:t>.</w:t>
      </w:r>
    </w:p>
    <w:p w:rsidR="009F0623" w:rsidRDefault="00CC188E" w:rsidP="00823665">
      <w:pPr>
        <w:pStyle w:val="PlainHanging0"/>
        <w:ind w:left="397" w:hanging="397"/>
      </w:pPr>
      <w:r>
        <w:t>5.2</w:t>
      </w:r>
      <w:r>
        <w:tab/>
      </w:r>
      <w:r w:rsidR="00E34E8C">
        <w:t>The AASB also conducted targeted user consultation to try and identify alternative Australian additional disclosures</w:t>
      </w:r>
      <w:r w:rsidR="0061481E">
        <w:t xml:space="preserve"> might be useful to make decisions about investment entities.</w:t>
      </w:r>
    </w:p>
    <w:p w:rsidR="00437B53" w:rsidRPr="00550F3D" w:rsidRDefault="00823665" w:rsidP="00823665">
      <w:pPr>
        <w:pStyle w:val="TopHeading2"/>
        <w:keepNext/>
        <w:spacing w:after="120"/>
        <w:ind w:left="397" w:hanging="397"/>
        <w:rPr>
          <w:sz w:val="24"/>
          <w:szCs w:val="24"/>
        </w:rPr>
      </w:pPr>
      <w:r>
        <w:rPr>
          <w:sz w:val="24"/>
          <w:szCs w:val="24"/>
        </w:rPr>
        <w:t>6.</w:t>
      </w:r>
      <w:r>
        <w:rPr>
          <w:sz w:val="24"/>
          <w:szCs w:val="24"/>
        </w:rPr>
        <w:tab/>
      </w:r>
      <w:r w:rsidR="00437B53" w:rsidRPr="00550F3D">
        <w:rPr>
          <w:sz w:val="24"/>
          <w:szCs w:val="24"/>
        </w:rPr>
        <w:t>Conclusion and Recommendation</w:t>
      </w:r>
    </w:p>
    <w:p w:rsidR="00E306C5" w:rsidRDefault="007843EC" w:rsidP="00823665">
      <w:pPr>
        <w:tabs>
          <w:tab w:val="left" w:pos="709"/>
        </w:tabs>
        <w:spacing w:before="120" w:after="120"/>
        <w:ind w:left="397" w:hanging="397"/>
      </w:pPr>
      <w:r>
        <w:t>6.1</w:t>
      </w:r>
      <w:r>
        <w:tab/>
      </w:r>
      <w:r w:rsidR="00503C43">
        <w:t>On balance, the AASB conc</w:t>
      </w:r>
      <w:r w:rsidR="00486368">
        <w:t>l</w:t>
      </w:r>
      <w:r w:rsidR="00503C43">
        <w:t>uded</w:t>
      </w:r>
      <w:r w:rsidR="00AC7B0D">
        <w:t>, based on the feedback from respondents to ED 233, that</w:t>
      </w:r>
      <w:r w:rsidR="00E306C5">
        <w:t>:</w:t>
      </w:r>
    </w:p>
    <w:p w:rsidR="00BE0FF9" w:rsidRDefault="007843EC" w:rsidP="00D77092">
      <w:pPr>
        <w:pStyle w:val="ListParagraph"/>
        <w:numPr>
          <w:ilvl w:val="0"/>
          <w:numId w:val="35"/>
        </w:numPr>
        <w:spacing w:after="200"/>
        <w:ind w:left="794" w:hanging="397"/>
        <w:contextualSpacing w:val="0"/>
      </w:pPr>
      <w:r>
        <w:t xml:space="preserve">Option 1 </w:t>
      </w:r>
      <w:r w:rsidR="00EF642E">
        <w:t>offers a greater level of</w:t>
      </w:r>
      <w:r>
        <w:t xml:space="preserve"> benefits </w:t>
      </w:r>
      <w:r w:rsidR="004577B3">
        <w:t xml:space="preserve">to </w:t>
      </w:r>
      <w:r w:rsidR="00815F8A">
        <w:t xml:space="preserve">preparers </w:t>
      </w:r>
      <w:r w:rsidR="0011547B">
        <w:t xml:space="preserve">and users </w:t>
      </w:r>
      <w:r w:rsidR="00815F8A">
        <w:t>of financial statements</w:t>
      </w:r>
      <w:r w:rsidR="004577B3">
        <w:t xml:space="preserve"> </w:t>
      </w:r>
      <w:r w:rsidR="0011547B">
        <w:t>of investment entities</w:t>
      </w:r>
      <w:r w:rsidR="00815F8A">
        <w:t xml:space="preserve"> more generally</w:t>
      </w:r>
      <w:r w:rsidR="00647ADD">
        <w:t xml:space="preserve"> </w:t>
      </w:r>
      <w:r>
        <w:t xml:space="preserve">than </w:t>
      </w:r>
      <w:r w:rsidR="00D27FB3">
        <w:t>Option</w:t>
      </w:r>
      <w:r w:rsidR="00815F8A">
        <w:t> 2</w:t>
      </w:r>
      <w:r w:rsidR="00E306C5">
        <w:t xml:space="preserve"> (the status quo);</w:t>
      </w:r>
    </w:p>
    <w:p w:rsidR="00E306C5" w:rsidRDefault="00E306C5" w:rsidP="00D77092">
      <w:pPr>
        <w:pStyle w:val="ListParagraph"/>
        <w:numPr>
          <w:ilvl w:val="0"/>
          <w:numId w:val="35"/>
        </w:numPr>
        <w:spacing w:after="200"/>
        <w:ind w:left="794" w:hanging="397"/>
        <w:contextualSpacing w:val="0"/>
      </w:pPr>
      <w:r>
        <w:t xml:space="preserve"> </w:t>
      </w:r>
      <w:r w:rsidR="00BE0FF9">
        <w:t>Option 1 achieves the identified objectives in paragraph 2; and</w:t>
      </w:r>
    </w:p>
    <w:p w:rsidR="006C0978" w:rsidRDefault="00E306C5" w:rsidP="00D77092">
      <w:pPr>
        <w:pStyle w:val="ListParagraph"/>
        <w:numPr>
          <w:ilvl w:val="0"/>
          <w:numId w:val="35"/>
        </w:numPr>
        <w:spacing w:after="200"/>
        <w:ind w:left="794" w:hanging="397"/>
      </w:pPr>
      <w:proofErr w:type="gramStart"/>
      <w:r>
        <w:t>users</w:t>
      </w:r>
      <w:proofErr w:type="gramEnd"/>
      <w:r>
        <w:t xml:space="preserve"> would </w:t>
      </w:r>
      <w:r w:rsidR="0011547B">
        <w:t>be better of</w:t>
      </w:r>
      <w:r w:rsidR="00503C43">
        <w:t>f</w:t>
      </w:r>
      <w:r w:rsidR="0011547B">
        <w:t xml:space="preserve"> under </w:t>
      </w:r>
      <w:r>
        <w:t xml:space="preserve">Option 1 than </w:t>
      </w:r>
      <w:r w:rsidR="00CB241D">
        <w:t xml:space="preserve">they are under </w:t>
      </w:r>
      <w:r>
        <w:t>Option 2</w:t>
      </w:r>
      <w:r w:rsidR="00AB0453">
        <w:t xml:space="preserve"> in terms of the </w:t>
      </w:r>
      <w:r w:rsidR="00972498">
        <w:t>availability</w:t>
      </w:r>
      <w:r w:rsidR="00AB0453">
        <w:t xml:space="preserve"> of relevant information, and in the context of IFRS compliance.</w:t>
      </w:r>
    </w:p>
    <w:p w:rsidR="009522E5" w:rsidRDefault="006972E6" w:rsidP="00292F96">
      <w:pPr>
        <w:tabs>
          <w:tab w:val="left" w:pos="709"/>
        </w:tabs>
        <w:spacing w:before="120" w:after="120"/>
        <w:ind w:left="510" w:hanging="510"/>
      </w:pPr>
      <w:r>
        <w:lastRenderedPageBreak/>
        <w:t>6.2</w:t>
      </w:r>
      <w:r w:rsidR="007843EC">
        <w:tab/>
      </w:r>
      <w:r w:rsidR="00815F8A">
        <w:t>Option 2</w:t>
      </w:r>
      <w:r w:rsidR="00BE3F23">
        <w:t>,</w:t>
      </w:r>
      <w:r w:rsidR="009522E5">
        <w:t xml:space="preserve"> </w:t>
      </w:r>
      <w:r w:rsidR="009522E5" w:rsidRPr="007843EC">
        <w:rPr>
          <w:szCs w:val="24"/>
        </w:rPr>
        <w:t>which</w:t>
      </w:r>
      <w:r w:rsidR="009522E5">
        <w:t xml:space="preserve"> </w:t>
      </w:r>
      <w:r w:rsidR="00EF642E">
        <w:t>would keep</w:t>
      </w:r>
      <w:r w:rsidR="009522E5">
        <w:t xml:space="preserve"> the status quo</w:t>
      </w:r>
      <w:r w:rsidR="00BE3F23">
        <w:t>,</w:t>
      </w:r>
      <w:r w:rsidR="009522E5">
        <w:t xml:space="preserve"> is seen as </w:t>
      </w:r>
      <w:r w:rsidR="00D27FB3">
        <w:t xml:space="preserve">inappropriate </w:t>
      </w:r>
      <w:r w:rsidR="009522E5">
        <w:t>as reflected in constituents</w:t>
      </w:r>
      <w:r w:rsidR="002C60CE">
        <w:t>’</w:t>
      </w:r>
      <w:r w:rsidR="009522E5">
        <w:t xml:space="preserve"> comments </w:t>
      </w:r>
      <w:r w:rsidR="00EF642E">
        <w:t>on</w:t>
      </w:r>
      <w:r w:rsidR="000959B7">
        <w:t xml:space="preserve"> </w:t>
      </w:r>
      <w:r w:rsidR="00815F8A">
        <w:t>ED </w:t>
      </w:r>
      <w:r w:rsidR="0011547B">
        <w:t>220</w:t>
      </w:r>
      <w:r w:rsidR="00815F8A">
        <w:t xml:space="preserve"> and ED 2</w:t>
      </w:r>
      <w:r w:rsidR="0011547B">
        <w:t>33</w:t>
      </w:r>
      <w:r w:rsidR="009522E5">
        <w:t>.</w:t>
      </w:r>
    </w:p>
    <w:p w:rsidR="004034C4" w:rsidRDefault="004034C4" w:rsidP="00B52FC9">
      <w:pPr>
        <w:spacing w:before="120" w:after="120"/>
        <w:ind w:left="397"/>
      </w:pPr>
      <w:r>
        <w:t xml:space="preserve">Although </w:t>
      </w:r>
      <w:r w:rsidR="00872CE8">
        <w:t xml:space="preserve">some </w:t>
      </w:r>
      <w:r>
        <w:t xml:space="preserve">AASB </w:t>
      </w:r>
      <w:r w:rsidR="00872CE8">
        <w:t xml:space="preserve">members remain </w:t>
      </w:r>
      <w:r>
        <w:t xml:space="preserve">sceptical that </w:t>
      </w:r>
      <w:r w:rsidR="00872CE8">
        <w:t xml:space="preserve">their </w:t>
      </w:r>
      <w:r>
        <w:t xml:space="preserve">concerns regarding loss of consolidation information may not be fully addressed by Option 1, </w:t>
      </w:r>
      <w:r w:rsidR="00872CE8">
        <w:t xml:space="preserve">overall </w:t>
      </w:r>
      <w:r>
        <w:t xml:space="preserve">the AASB </w:t>
      </w:r>
      <w:r w:rsidR="00872CE8">
        <w:t xml:space="preserve">as a whole </w:t>
      </w:r>
      <w:r>
        <w:t xml:space="preserve">concluded that </w:t>
      </w:r>
      <w:r w:rsidR="00872CE8">
        <w:t>those concerns are significantly mitig</w:t>
      </w:r>
      <w:r w:rsidR="00A277CB">
        <w:t>a</w:t>
      </w:r>
      <w:r w:rsidR="00872CE8">
        <w:t xml:space="preserve">ted by the plan to </w:t>
      </w:r>
      <w:r>
        <w:t xml:space="preserve">monitor the implementation of Option 1 </w:t>
      </w:r>
      <w:r w:rsidR="00872CE8">
        <w:t>(</w:t>
      </w:r>
      <w:r w:rsidR="00A277CB">
        <w:t xml:space="preserve">which may include </w:t>
      </w:r>
      <w:r>
        <w:t>a post implementation review</w:t>
      </w:r>
      <w:r w:rsidR="00A277CB">
        <w:t>,</w:t>
      </w:r>
      <w:r>
        <w:t xml:space="preserve"> as explained in section 7 below)</w:t>
      </w:r>
      <w:r w:rsidR="00872CE8">
        <w:t>.  The AASB noted it would</w:t>
      </w:r>
      <w:r>
        <w:t xml:space="preserve"> evaluate the findings of its review</w:t>
      </w:r>
      <w:r w:rsidR="002975A5" w:rsidRPr="002975A5">
        <w:t xml:space="preserve"> </w:t>
      </w:r>
      <w:r w:rsidR="002975A5">
        <w:t>of the implementation of Option 1 and</w:t>
      </w:r>
      <w:r>
        <w:t xml:space="preserve"> if additional disclosures </w:t>
      </w:r>
      <w:r w:rsidR="002975A5">
        <w:t xml:space="preserve">(either </w:t>
      </w:r>
      <w:r>
        <w:t xml:space="preserve">in the form of consolidated information </w:t>
      </w:r>
      <w:r w:rsidR="002975A5">
        <w:t xml:space="preserve">or less other disclosures) </w:t>
      </w:r>
      <w:r>
        <w:t>are warranted</w:t>
      </w:r>
      <w:r w:rsidR="002975A5">
        <w:t>, they can be introduced at that later stage</w:t>
      </w:r>
      <w:r>
        <w:t>.</w:t>
      </w:r>
    </w:p>
    <w:p w:rsidR="00437B53" w:rsidRPr="002C60CE" w:rsidRDefault="00437B53" w:rsidP="00CA4FA8">
      <w:pPr>
        <w:pStyle w:val="TopHeading2"/>
        <w:keepNext/>
        <w:spacing w:after="120"/>
        <w:ind w:left="397" w:hanging="397"/>
        <w:rPr>
          <w:sz w:val="24"/>
          <w:szCs w:val="24"/>
        </w:rPr>
      </w:pPr>
      <w:r w:rsidRPr="002C60CE">
        <w:rPr>
          <w:sz w:val="24"/>
          <w:szCs w:val="24"/>
        </w:rPr>
        <w:t>7</w:t>
      </w:r>
      <w:r w:rsidR="00570908" w:rsidRPr="002C60CE">
        <w:rPr>
          <w:sz w:val="24"/>
          <w:szCs w:val="24"/>
        </w:rPr>
        <w:t>.</w:t>
      </w:r>
      <w:r w:rsidRPr="002C60CE">
        <w:rPr>
          <w:sz w:val="24"/>
          <w:szCs w:val="24"/>
        </w:rPr>
        <w:tab/>
        <w:t>Implementation and Review</w:t>
      </w:r>
    </w:p>
    <w:p w:rsidR="00EF642E" w:rsidRDefault="00605660" w:rsidP="00272B61">
      <w:pPr>
        <w:spacing w:before="120" w:after="120"/>
        <w:ind w:left="397" w:hanging="397"/>
      </w:pPr>
      <w:r>
        <w:t>7.1</w:t>
      </w:r>
      <w:r>
        <w:tab/>
      </w:r>
      <w:r w:rsidR="002A40AC">
        <w:t>The AASB</w:t>
      </w:r>
      <w:r w:rsidR="002A40AC" w:rsidRPr="002A40AC">
        <w:t xml:space="preserve"> </w:t>
      </w:r>
      <w:r w:rsidR="00486368">
        <w:t xml:space="preserve">will </w:t>
      </w:r>
      <w:r w:rsidR="002A40AC" w:rsidRPr="002A40AC">
        <w:t xml:space="preserve">monitor the implementation of </w:t>
      </w:r>
      <w:r w:rsidR="002A40AC">
        <w:t>AASB 2013-</w:t>
      </w:r>
      <w:r w:rsidR="00430461">
        <w:t>5</w:t>
      </w:r>
      <w:r w:rsidR="002A40AC">
        <w:t xml:space="preserve">, which </w:t>
      </w:r>
      <w:r w:rsidR="00486368">
        <w:t xml:space="preserve">will </w:t>
      </w:r>
      <w:r w:rsidR="002A40AC" w:rsidRPr="002A40AC">
        <w:t>include monitoring the disclosure</w:t>
      </w:r>
      <w:r w:rsidR="002A40AC">
        <w:t>s made in accordance with AASB </w:t>
      </w:r>
      <w:r w:rsidR="002A40AC" w:rsidRPr="002A40AC">
        <w:t xml:space="preserve">12 </w:t>
      </w:r>
      <w:r w:rsidR="002A40AC">
        <w:t>and AASB </w:t>
      </w:r>
      <w:r w:rsidR="002A40AC" w:rsidRPr="002A40AC">
        <w:t xml:space="preserve">101 </w:t>
      </w:r>
      <w:r w:rsidR="002A40AC" w:rsidRPr="00272B61">
        <w:rPr>
          <w:i/>
        </w:rPr>
        <w:t>Presentation of Financial Statements</w:t>
      </w:r>
      <w:r w:rsidR="002A40AC" w:rsidRPr="002A40AC">
        <w:t xml:space="preserve"> paragraph 17(c</w:t>
      </w:r>
      <w:r w:rsidR="00D65B44" w:rsidRPr="002A40AC">
        <w:t xml:space="preserve">). </w:t>
      </w:r>
      <w:r w:rsidR="002A40AC" w:rsidRPr="002A40AC">
        <w:t xml:space="preserve">Such monitoring, which may be via a post-implementation review, </w:t>
      </w:r>
      <w:r w:rsidR="00486368">
        <w:t xml:space="preserve">will </w:t>
      </w:r>
      <w:r w:rsidR="002A40AC" w:rsidRPr="002A40AC">
        <w:t>be undertaken with a view to potentially adding Australian additional disclosure requirements at a later stage, if it were to become evident that additional disclosures are warranted, noting that such disclosures might be differe</w:t>
      </w:r>
      <w:r w:rsidR="002A40AC">
        <w:t>nt from those proposed in ED 23</w:t>
      </w:r>
      <w:r w:rsidR="00486368">
        <w:t>3</w:t>
      </w:r>
      <w:r w:rsidR="002A40AC" w:rsidRPr="002A40AC">
        <w:t>. Monitoring might also lead to the AASB deciding to write to the IASB, informing it of the findings and concerns arising from the Australian experience.</w:t>
      </w:r>
      <w:r w:rsidR="006972E6">
        <w:t xml:space="preserve"> </w:t>
      </w:r>
    </w:p>
    <w:p w:rsidR="00486368" w:rsidRDefault="00486368" w:rsidP="00272B61">
      <w:pPr>
        <w:spacing w:before="120" w:after="120"/>
        <w:ind w:left="397" w:hanging="397"/>
      </w:pPr>
      <w:r>
        <w:t>7.2</w:t>
      </w:r>
      <w:r>
        <w:tab/>
        <w:t>Any post-implementation review would probably need to be conducted with at least two years of application experience.  The ex</w:t>
      </w:r>
      <w:r w:rsidR="008E2745">
        <w:t>ception to consolidation</w:t>
      </w:r>
      <w:r w:rsidR="00272B61">
        <w:t xml:space="preserve"> for investment entities</w:t>
      </w:r>
      <w:r>
        <w:t xml:space="preserve"> takes effect for periods beginning on or after 1 January 2014 and, accordingly, any post-implementation review is unlikely to commence until 2016.</w:t>
      </w:r>
    </w:p>
    <w:p w:rsidR="001E5370" w:rsidRPr="006E210A" w:rsidRDefault="001E5370" w:rsidP="00A17B51">
      <w:pPr>
        <w:pStyle w:val="TextPara"/>
      </w:pPr>
    </w:p>
    <w:sectPr w:rsidR="001E5370" w:rsidRPr="006E210A" w:rsidSect="00CD6569">
      <w:headerReference w:type="even" r:id="rId13"/>
      <w:footerReference w:type="default" r:id="rId14"/>
      <w:headerReference w:type="first" r:id="rId15"/>
      <w:pgSz w:w="11907" w:h="16840" w:code="9"/>
      <w:pgMar w:top="1134" w:right="1134" w:bottom="1134" w:left="1134" w:header="70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3F1" w:rsidRDefault="000053F1">
      <w:r>
        <w:separator/>
      </w:r>
    </w:p>
  </w:endnote>
  <w:endnote w:type="continuationSeparator" w:id="0">
    <w:p w:rsidR="000053F1" w:rsidRDefault="00005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6C5" w:rsidRDefault="00E306C5" w:rsidP="00CD6569">
    <w:pPr>
      <w:pStyle w:val="Footer"/>
      <w:tabs>
        <w:tab w:val="clear" w:pos="3119"/>
        <w:tab w:val="center" w:pos="4820"/>
        <w:tab w:val="right" w:pos="9639"/>
      </w:tabs>
      <w:rPr>
        <w:b/>
      </w:rPr>
    </w:pPr>
    <w:r>
      <w:rPr>
        <w:b/>
      </w:rPr>
      <w:tab/>
    </w:r>
    <w:r>
      <w:fldChar w:fldCharType="begin"/>
    </w:r>
    <w:r>
      <w:instrText>PAGE</w:instrText>
    </w:r>
    <w:r>
      <w:fldChar w:fldCharType="separate"/>
    </w:r>
    <w:r w:rsidR="00CD6569">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3F1" w:rsidRDefault="000053F1">
      <w:r>
        <w:separator/>
      </w:r>
    </w:p>
  </w:footnote>
  <w:footnote w:type="continuationSeparator" w:id="0">
    <w:p w:rsidR="000053F1" w:rsidRDefault="000053F1">
      <w:r>
        <w:continuationSeparator/>
      </w:r>
    </w:p>
  </w:footnote>
  <w:footnote w:id="1">
    <w:p w:rsidR="00144371" w:rsidRDefault="00144371" w:rsidP="00144371">
      <w:pPr>
        <w:pStyle w:val="FootnoteText"/>
        <w:ind w:left="425" w:hanging="425"/>
      </w:pPr>
      <w:r w:rsidRPr="00536BB7">
        <w:rPr>
          <w:rStyle w:val="FootnoteReference"/>
          <w:vertAlign w:val="baseline"/>
        </w:rPr>
        <w:footnoteRef/>
      </w:r>
      <w:r w:rsidRPr="00536BB7">
        <w:t xml:space="preserve"> </w:t>
      </w:r>
      <w:r>
        <w:tab/>
      </w:r>
      <w:r w:rsidRPr="007A645B">
        <w:t>AASB Policy Statement Policies and Processes March 2011, paragraph 7</w:t>
      </w:r>
    </w:p>
    <w:p w:rsidR="00144371" w:rsidRPr="00536BB7" w:rsidRDefault="00144371" w:rsidP="0014437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B61" w:rsidRDefault="00272B61">
    <w:pPr>
      <w:pStyle w:val="Header"/>
    </w:pPr>
  </w:p>
  <w:p w:rsidR="00272B61" w:rsidRPr="00A33C8F" w:rsidRDefault="00CD6569">
    <w:pPr>
      <w:pStyle w:val="Header"/>
      <w:rPr>
        <w:sz w:val="12"/>
      </w:rPr>
    </w:pPr>
    <w:r>
      <w:rPr>
        <w:b/>
        <w:noProof/>
        <w:lang w:val="en-US"/>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51" type="#_x0000_t172" alt="Draft watermark" style="position:absolute;margin-left:141.75pt;margin-top:226.8pt;width:311.8pt;height:256.8pt;z-index:-251653120;mso-wrap-edited:f;mso-position-horizontal-relative:page;mso-position-vertical-relative:page" fillcolor="silver" stroked="f">
          <v:shadow color="#868686"/>
          <v:textpath style="font-family:&quot;Times New Roman&quot;;v-text-kern:t" trim="t" fitpath="t" string="Draft"/>
          <w10:wrap anchorx="page" anchory="pag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6C5" w:rsidRDefault="00E306C5" w:rsidP="00843611">
    <w:pPr>
      <w:pStyle w:val="Header"/>
      <w:tabs>
        <w:tab w:val="clear" w:pos="4320"/>
        <w:tab w:val="right" w:pos="6237"/>
      </w:tabs>
      <w:rPr>
        <w:b/>
      </w:rPr>
    </w:pPr>
  </w:p>
  <w:p w:rsidR="00272B61" w:rsidRPr="00A33C8F" w:rsidRDefault="00272B61" w:rsidP="00843611">
    <w:pPr>
      <w:pStyle w:val="Header"/>
      <w:tabs>
        <w:tab w:val="clear" w:pos="4320"/>
        <w:tab w:val="right" w:pos="6237"/>
      </w:tabs>
      <w:rPr>
        <w:b/>
        <w:sz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B61" w:rsidRDefault="00272B61">
    <w:pPr>
      <w:pStyle w:val="Header"/>
    </w:pPr>
  </w:p>
  <w:p w:rsidR="00272B61" w:rsidRPr="00A33C8F" w:rsidRDefault="00CD6569">
    <w:pPr>
      <w:pStyle w:val="Header"/>
      <w:rPr>
        <w:sz w:val="12"/>
      </w:rPr>
    </w:pPr>
    <w:r>
      <w:rPr>
        <w:b/>
        <w:noProof/>
        <w:lang w:val="en-US"/>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50" type="#_x0000_t172" alt="Draft watermark" style="position:absolute;margin-left:141.75pt;margin-top:226.8pt;width:311.8pt;height:256.8pt;z-index:-251655168;mso-wrap-edited:f;mso-position-horizontal-relative:page;mso-position-vertical-relative:page" fillcolor="silver" stroked="f">
          <v:shadow color="#868686"/>
          <v:textpath style="font-family:&quot;Times New Roman&quot;;v-text-kern:t" trim="t" fitpath="t" string="Draft"/>
          <w10:wrap anchorx="page" anchory="page"/>
          <w10:anchorlock/>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6C5" w:rsidRDefault="00E306C5">
    <w:pPr>
      <w:pStyle w:val="Header"/>
    </w:pPr>
  </w:p>
  <w:p w:rsidR="00272B61" w:rsidRPr="00A33C8F" w:rsidRDefault="00CD6569">
    <w:pPr>
      <w:pStyle w:val="Header"/>
      <w:rPr>
        <w:sz w:val="12"/>
      </w:rPr>
    </w:pPr>
    <w:r>
      <w:rPr>
        <w:b/>
        <w:noProof/>
        <w:lang w:val="en-US"/>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53" type="#_x0000_t172" alt="Draft watermark" style="position:absolute;margin-left:141.75pt;margin-top:226.8pt;width:311.8pt;height:256.8pt;z-index:-251649024;mso-wrap-edited:f;mso-position-horizontal-relative:page;mso-position-vertical-relative:page" fillcolor="silver" stroked="f">
          <v:shadow color="#868686"/>
          <v:textpath style="font-family:&quot;Times New Roman&quot;;v-text-kern:t" trim="t" fitpath="t" string="Draft"/>
          <w10:wrap anchorx="page" anchory="page"/>
          <w10:anchorlock/>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6C5" w:rsidRDefault="00E306C5">
    <w:pPr>
      <w:pStyle w:val="Header"/>
    </w:pPr>
  </w:p>
  <w:p w:rsidR="00272B61" w:rsidRPr="00A33C8F" w:rsidRDefault="00CD6569">
    <w:pPr>
      <w:pStyle w:val="Header"/>
      <w:rPr>
        <w:sz w:val="12"/>
      </w:rPr>
    </w:pPr>
    <w:r>
      <w:rPr>
        <w:b/>
        <w:noProof/>
        <w:lang w:val="en-US"/>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52" type="#_x0000_t172" alt="Draft watermark" style="position:absolute;margin-left:141.75pt;margin-top:226.8pt;width:311.8pt;height:256.8pt;z-index:-251651072;mso-wrap-edited:f;mso-position-horizontal-relative:page;mso-position-vertical-relative:page" fillcolor="silver" stroked="f">
          <v:shadow color="#868686"/>
          <v:textpath style="font-family:&quot;Times New Roman&quot;;v-text-kern:t" trim="t" fitpath="t" string="Draft"/>
          <w10:wrap anchorx="page" anchory="pag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524F3"/>
    <w:multiLevelType w:val="hybridMultilevel"/>
    <w:tmpl w:val="6E481F2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8B06C87"/>
    <w:multiLevelType w:val="hybridMultilevel"/>
    <w:tmpl w:val="59E2C1CE"/>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D897C0D"/>
    <w:multiLevelType w:val="hybridMultilevel"/>
    <w:tmpl w:val="A5EA9F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D8E2A75"/>
    <w:multiLevelType w:val="hybridMultilevel"/>
    <w:tmpl w:val="16C29220"/>
    <w:lvl w:ilvl="0" w:tplc="04CA136A">
      <w:start w:val="1"/>
      <w:numFmt w:val="bullet"/>
      <w:lvlText w:val=""/>
      <w:lvlJc w:val="left"/>
      <w:pPr>
        <w:tabs>
          <w:tab w:val="num" w:pos="360"/>
        </w:tabs>
        <w:ind w:left="360" w:hanging="36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E771088"/>
    <w:multiLevelType w:val="hybridMultilevel"/>
    <w:tmpl w:val="7BD4E21C"/>
    <w:lvl w:ilvl="0" w:tplc="04CA136A">
      <w:start w:val="1"/>
      <w:numFmt w:val="bullet"/>
      <w:lvlText w:val=""/>
      <w:lvlJc w:val="left"/>
      <w:pPr>
        <w:tabs>
          <w:tab w:val="num" w:pos="360"/>
        </w:tabs>
        <w:ind w:left="360" w:hanging="36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11743BF6"/>
    <w:multiLevelType w:val="hybridMultilevel"/>
    <w:tmpl w:val="E4508DC2"/>
    <w:lvl w:ilvl="0" w:tplc="0C090003">
      <w:start w:val="1"/>
      <w:numFmt w:val="bullet"/>
      <w:lvlText w:val="o"/>
      <w:lvlJc w:val="left"/>
      <w:pPr>
        <w:tabs>
          <w:tab w:val="num" w:pos="757"/>
        </w:tabs>
        <w:ind w:left="757" w:hanging="360"/>
      </w:pPr>
      <w:rPr>
        <w:rFonts w:ascii="Courier New" w:hAnsi="Courier New" w:cs="Courier New" w:hint="default"/>
      </w:rPr>
    </w:lvl>
    <w:lvl w:ilvl="1" w:tplc="0C090003">
      <w:start w:val="1"/>
      <w:numFmt w:val="bullet"/>
      <w:lvlText w:val="o"/>
      <w:lvlJc w:val="left"/>
      <w:pPr>
        <w:tabs>
          <w:tab w:val="num" w:pos="1477"/>
        </w:tabs>
        <w:ind w:left="1477" w:hanging="360"/>
      </w:pPr>
      <w:rPr>
        <w:rFonts w:ascii="Courier New" w:hAnsi="Courier New" w:cs="Courier New" w:hint="default"/>
      </w:rPr>
    </w:lvl>
    <w:lvl w:ilvl="2" w:tplc="0C090005" w:tentative="1">
      <w:start w:val="1"/>
      <w:numFmt w:val="bullet"/>
      <w:lvlText w:val=""/>
      <w:lvlJc w:val="left"/>
      <w:pPr>
        <w:tabs>
          <w:tab w:val="num" w:pos="2197"/>
        </w:tabs>
        <w:ind w:left="2197" w:hanging="360"/>
      </w:pPr>
      <w:rPr>
        <w:rFonts w:ascii="Wingdings" w:hAnsi="Wingdings" w:hint="default"/>
      </w:rPr>
    </w:lvl>
    <w:lvl w:ilvl="3" w:tplc="0C090001" w:tentative="1">
      <w:start w:val="1"/>
      <w:numFmt w:val="bullet"/>
      <w:lvlText w:val=""/>
      <w:lvlJc w:val="left"/>
      <w:pPr>
        <w:tabs>
          <w:tab w:val="num" w:pos="2917"/>
        </w:tabs>
        <w:ind w:left="2917" w:hanging="360"/>
      </w:pPr>
      <w:rPr>
        <w:rFonts w:ascii="Symbol" w:hAnsi="Symbol" w:hint="default"/>
      </w:rPr>
    </w:lvl>
    <w:lvl w:ilvl="4" w:tplc="0C090003" w:tentative="1">
      <w:start w:val="1"/>
      <w:numFmt w:val="bullet"/>
      <w:lvlText w:val="o"/>
      <w:lvlJc w:val="left"/>
      <w:pPr>
        <w:tabs>
          <w:tab w:val="num" w:pos="3637"/>
        </w:tabs>
        <w:ind w:left="3637" w:hanging="360"/>
      </w:pPr>
      <w:rPr>
        <w:rFonts w:ascii="Courier New" w:hAnsi="Courier New" w:cs="Courier New" w:hint="default"/>
      </w:rPr>
    </w:lvl>
    <w:lvl w:ilvl="5" w:tplc="0C090005" w:tentative="1">
      <w:start w:val="1"/>
      <w:numFmt w:val="bullet"/>
      <w:lvlText w:val=""/>
      <w:lvlJc w:val="left"/>
      <w:pPr>
        <w:tabs>
          <w:tab w:val="num" w:pos="4357"/>
        </w:tabs>
        <w:ind w:left="4357" w:hanging="360"/>
      </w:pPr>
      <w:rPr>
        <w:rFonts w:ascii="Wingdings" w:hAnsi="Wingdings" w:hint="default"/>
      </w:rPr>
    </w:lvl>
    <w:lvl w:ilvl="6" w:tplc="0C090001" w:tentative="1">
      <w:start w:val="1"/>
      <w:numFmt w:val="bullet"/>
      <w:lvlText w:val=""/>
      <w:lvlJc w:val="left"/>
      <w:pPr>
        <w:tabs>
          <w:tab w:val="num" w:pos="5077"/>
        </w:tabs>
        <w:ind w:left="5077" w:hanging="360"/>
      </w:pPr>
      <w:rPr>
        <w:rFonts w:ascii="Symbol" w:hAnsi="Symbol" w:hint="default"/>
      </w:rPr>
    </w:lvl>
    <w:lvl w:ilvl="7" w:tplc="0C090003" w:tentative="1">
      <w:start w:val="1"/>
      <w:numFmt w:val="bullet"/>
      <w:lvlText w:val="o"/>
      <w:lvlJc w:val="left"/>
      <w:pPr>
        <w:tabs>
          <w:tab w:val="num" w:pos="5797"/>
        </w:tabs>
        <w:ind w:left="5797" w:hanging="360"/>
      </w:pPr>
      <w:rPr>
        <w:rFonts w:ascii="Courier New" w:hAnsi="Courier New" w:cs="Courier New" w:hint="default"/>
      </w:rPr>
    </w:lvl>
    <w:lvl w:ilvl="8" w:tplc="0C090005" w:tentative="1">
      <w:start w:val="1"/>
      <w:numFmt w:val="bullet"/>
      <w:lvlText w:val=""/>
      <w:lvlJc w:val="left"/>
      <w:pPr>
        <w:tabs>
          <w:tab w:val="num" w:pos="6517"/>
        </w:tabs>
        <w:ind w:left="6517" w:hanging="360"/>
      </w:pPr>
      <w:rPr>
        <w:rFonts w:ascii="Wingdings" w:hAnsi="Wingdings" w:hint="default"/>
      </w:rPr>
    </w:lvl>
  </w:abstractNum>
  <w:abstractNum w:abstractNumId="6">
    <w:nsid w:val="120E5B93"/>
    <w:multiLevelType w:val="hybridMultilevel"/>
    <w:tmpl w:val="B3124C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3E035C2"/>
    <w:multiLevelType w:val="multilevel"/>
    <w:tmpl w:val="BE1E3BBE"/>
    <w:lvl w:ilvl="0">
      <w:start w:val="1"/>
      <w:numFmt w:val="decimal"/>
      <w:pStyle w:val="NumBC1"/>
      <w:lvlText w:val="BC%1"/>
      <w:lvlJc w:val="left"/>
      <w:pPr>
        <w:tabs>
          <w:tab w:val="num" w:pos="1334"/>
        </w:tabs>
        <w:ind w:left="1334" w:hanging="624"/>
      </w:pPr>
      <w:rPr>
        <w:rFonts w:hint="default"/>
        <w:b w:val="0"/>
        <w:bCs w:val="0"/>
        <w:u w:val="none"/>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8">
    <w:nsid w:val="16754891"/>
    <w:multiLevelType w:val="hybridMultilevel"/>
    <w:tmpl w:val="9CC494D2"/>
    <w:lvl w:ilvl="0" w:tplc="E11EBD56">
      <w:start w:val="1"/>
      <w:numFmt w:val="bullet"/>
      <w:lvlText w:val=""/>
      <w:lvlJc w:val="left"/>
      <w:pPr>
        <w:tabs>
          <w:tab w:val="num" w:pos="720"/>
        </w:tabs>
        <w:ind w:left="720" w:hanging="360"/>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E926E74"/>
    <w:multiLevelType w:val="hybridMultilevel"/>
    <w:tmpl w:val="6262E24E"/>
    <w:lvl w:ilvl="0" w:tplc="314CBDC2">
      <w:start w:val="1"/>
      <w:numFmt w:val="lowerLetter"/>
      <w:lvlText w:val="(%1)"/>
      <w:lvlJc w:val="left"/>
      <w:pPr>
        <w:ind w:left="757" w:hanging="360"/>
      </w:pPr>
      <w:rPr>
        <w:rFonts w:hint="default"/>
      </w:rPr>
    </w:lvl>
    <w:lvl w:ilvl="1" w:tplc="0C090019" w:tentative="1">
      <w:start w:val="1"/>
      <w:numFmt w:val="lowerLetter"/>
      <w:lvlText w:val="%2."/>
      <w:lvlJc w:val="left"/>
      <w:pPr>
        <w:ind w:left="1477" w:hanging="360"/>
      </w:pPr>
    </w:lvl>
    <w:lvl w:ilvl="2" w:tplc="0C09001B" w:tentative="1">
      <w:start w:val="1"/>
      <w:numFmt w:val="lowerRoman"/>
      <w:lvlText w:val="%3."/>
      <w:lvlJc w:val="right"/>
      <w:pPr>
        <w:ind w:left="2197" w:hanging="180"/>
      </w:pPr>
    </w:lvl>
    <w:lvl w:ilvl="3" w:tplc="0C09000F" w:tentative="1">
      <w:start w:val="1"/>
      <w:numFmt w:val="decimal"/>
      <w:lvlText w:val="%4."/>
      <w:lvlJc w:val="left"/>
      <w:pPr>
        <w:ind w:left="2917" w:hanging="360"/>
      </w:pPr>
    </w:lvl>
    <w:lvl w:ilvl="4" w:tplc="0C090019" w:tentative="1">
      <w:start w:val="1"/>
      <w:numFmt w:val="lowerLetter"/>
      <w:lvlText w:val="%5."/>
      <w:lvlJc w:val="left"/>
      <w:pPr>
        <w:ind w:left="3637" w:hanging="360"/>
      </w:pPr>
    </w:lvl>
    <w:lvl w:ilvl="5" w:tplc="0C09001B" w:tentative="1">
      <w:start w:val="1"/>
      <w:numFmt w:val="lowerRoman"/>
      <w:lvlText w:val="%6."/>
      <w:lvlJc w:val="right"/>
      <w:pPr>
        <w:ind w:left="4357" w:hanging="180"/>
      </w:pPr>
    </w:lvl>
    <w:lvl w:ilvl="6" w:tplc="0C09000F" w:tentative="1">
      <w:start w:val="1"/>
      <w:numFmt w:val="decimal"/>
      <w:lvlText w:val="%7."/>
      <w:lvlJc w:val="left"/>
      <w:pPr>
        <w:ind w:left="5077" w:hanging="360"/>
      </w:pPr>
    </w:lvl>
    <w:lvl w:ilvl="7" w:tplc="0C090019" w:tentative="1">
      <w:start w:val="1"/>
      <w:numFmt w:val="lowerLetter"/>
      <w:lvlText w:val="%8."/>
      <w:lvlJc w:val="left"/>
      <w:pPr>
        <w:ind w:left="5797" w:hanging="360"/>
      </w:pPr>
    </w:lvl>
    <w:lvl w:ilvl="8" w:tplc="0C09001B" w:tentative="1">
      <w:start w:val="1"/>
      <w:numFmt w:val="lowerRoman"/>
      <w:lvlText w:val="%9."/>
      <w:lvlJc w:val="right"/>
      <w:pPr>
        <w:ind w:left="6517" w:hanging="180"/>
      </w:pPr>
    </w:lvl>
  </w:abstractNum>
  <w:abstractNum w:abstractNumId="10">
    <w:nsid w:val="22874FEB"/>
    <w:multiLevelType w:val="hybridMultilevel"/>
    <w:tmpl w:val="461E50B0"/>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3B80223"/>
    <w:multiLevelType w:val="hybridMultilevel"/>
    <w:tmpl w:val="58D432A2"/>
    <w:lvl w:ilvl="0" w:tplc="04CA136A">
      <w:start w:val="1"/>
      <w:numFmt w:val="bullet"/>
      <w:lvlText w:val=""/>
      <w:lvlJc w:val="left"/>
      <w:pPr>
        <w:tabs>
          <w:tab w:val="num" w:pos="360"/>
        </w:tabs>
        <w:ind w:left="360" w:hanging="360"/>
      </w:pPr>
      <w:rPr>
        <w:rFonts w:ascii="Symbol" w:hAnsi="Symbol" w:hint="default"/>
        <w:sz w:val="18"/>
        <w:szCs w:val="18"/>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24C55C76"/>
    <w:multiLevelType w:val="hybridMultilevel"/>
    <w:tmpl w:val="C2E4615A"/>
    <w:lvl w:ilvl="0" w:tplc="04CA136A">
      <w:start w:val="1"/>
      <w:numFmt w:val="bullet"/>
      <w:lvlText w:val=""/>
      <w:lvlJc w:val="left"/>
      <w:pPr>
        <w:tabs>
          <w:tab w:val="num" w:pos="360"/>
        </w:tabs>
        <w:ind w:left="360" w:hanging="36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2E9A16AB"/>
    <w:multiLevelType w:val="hybridMultilevel"/>
    <w:tmpl w:val="83CCC5E8"/>
    <w:lvl w:ilvl="0" w:tplc="04CA136A">
      <w:start w:val="1"/>
      <w:numFmt w:val="bullet"/>
      <w:lvlText w:val=""/>
      <w:lvlJc w:val="left"/>
      <w:pPr>
        <w:tabs>
          <w:tab w:val="num" w:pos="360"/>
        </w:tabs>
        <w:ind w:left="360" w:hanging="36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2FBC07CD"/>
    <w:multiLevelType w:val="hybridMultilevel"/>
    <w:tmpl w:val="D750AB68"/>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34E04517"/>
    <w:multiLevelType w:val="hybridMultilevel"/>
    <w:tmpl w:val="79984746"/>
    <w:lvl w:ilvl="0" w:tplc="04CA136A">
      <w:start w:val="1"/>
      <w:numFmt w:val="bullet"/>
      <w:lvlText w:val=""/>
      <w:lvlJc w:val="left"/>
      <w:pPr>
        <w:tabs>
          <w:tab w:val="num" w:pos="1134"/>
        </w:tabs>
        <w:ind w:left="1134" w:hanging="360"/>
      </w:pPr>
      <w:rPr>
        <w:rFonts w:ascii="Symbol" w:hAnsi="Symbol" w:hint="default"/>
        <w:sz w:val="18"/>
        <w:szCs w:val="18"/>
      </w:rPr>
    </w:lvl>
    <w:lvl w:ilvl="1" w:tplc="0C090003" w:tentative="1">
      <w:start w:val="1"/>
      <w:numFmt w:val="bullet"/>
      <w:lvlText w:val="o"/>
      <w:lvlJc w:val="left"/>
      <w:pPr>
        <w:tabs>
          <w:tab w:val="num" w:pos="2214"/>
        </w:tabs>
        <w:ind w:left="2214" w:hanging="360"/>
      </w:pPr>
      <w:rPr>
        <w:rFonts w:ascii="Courier New" w:hAnsi="Courier New" w:cs="Courier New" w:hint="default"/>
      </w:rPr>
    </w:lvl>
    <w:lvl w:ilvl="2" w:tplc="0C090005" w:tentative="1">
      <w:start w:val="1"/>
      <w:numFmt w:val="bullet"/>
      <w:lvlText w:val=""/>
      <w:lvlJc w:val="left"/>
      <w:pPr>
        <w:tabs>
          <w:tab w:val="num" w:pos="2934"/>
        </w:tabs>
        <w:ind w:left="2934" w:hanging="360"/>
      </w:pPr>
      <w:rPr>
        <w:rFonts w:ascii="Wingdings" w:hAnsi="Wingdings" w:hint="default"/>
      </w:rPr>
    </w:lvl>
    <w:lvl w:ilvl="3" w:tplc="0C090001" w:tentative="1">
      <w:start w:val="1"/>
      <w:numFmt w:val="bullet"/>
      <w:lvlText w:val=""/>
      <w:lvlJc w:val="left"/>
      <w:pPr>
        <w:tabs>
          <w:tab w:val="num" w:pos="3654"/>
        </w:tabs>
        <w:ind w:left="3654" w:hanging="360"/>
      </w:pPr>
      <w:rPr>
        <w:rFonts w:ascii="Symbol" w:hAnsi="Symbol" w:hint="default"/>
      </w:rPr>
    </w:lvl>
    <w:lvl w:ilvl="4" w:tplc="0C090003" w:tentative="1">
      <w:start w:val="1"/>
      <w:numFmt w:val="bullet"/>
      <w:lvlText w:val="o"/>
      <w:lvlJc w:val="left"/>
      <w:pPr>
        <w:tabs>
          <w:tab w:val="num" w:pos="4374"/>
        </w:tabs>
        <w:ind w:left="4374" w:hanging="360"/>
      </w:pPr>
      <w:rPr>
        <w:rFonts w:ascii="Courier New" w:hAnsi="Courier New" w:cs="Courier New" w:hint="default"/>
      </w:rPr>
    </w:lvl>
    <w:lvl w:ilvl="5" w:tplc="0C090005" w:tentative="1">
      <w:start w:val="1"/>
      <w:numFmt w:val="bullet"/>
      <w:lvlText w:val=""/>
      <w:lvlJc w:val="left"/>
      <w:pPr>
        <w:tabs>
          <w:tab w:val="num" w:pos="5094"/>
        </w:tabs>
        <w:ind w:left="5094" w:hanging="360"/>
      </w:pPr>
      <w:rPr>
        <w:rFonts w:ascii="Wingdings" w:hAnsi="Wingdings" w:hint="default"/>
      </w:rPr>
    </w:lvl>
    <w:lvl w:ilvl="6" w:tplc="0C090001" w:tentative="1">
      <w:start w:val="1"/>
      <w:numFmt w:val="bullet"/>
      <w:lvlText w:val=""/>
      <w:lvlJc w:val="left"/>
      <w:pPr>
        <w:tabs>
          <w:tab w:val="num" w:pos="5814"/>
        </w:tabs>
        <w:ind w:left="5814" w:hanging="360"/>
      </w:pPr>
      <w:rPr>
        <w:rFonts w:ascii="Symbol" w:hAnsi="Symbol" w:hint="default"/>
      </w:rPr>
    </w:lvl>
    <w:lvl w:ilvl="7" w:tplc="0C090003" w:tentative="1">
      <w:start w:val="1"/>
      <w:numFmt w:val="bullet"/>
      <w:lvlText w:val="o"/>
      <w:lvlJc w:val="left"/>
      <w:pPr>
        <w:tabs>
          <w:tab w:val="num" w:pos="6534"/>
        </w:tabs>
        <w:ind w:left="6534" w:hanging="360"/>
      </w:pPr>
      <w:rPr>
        <w:rFonts w:ascii="Courier New" w:hAnsi="Courier New" w:cs="Courier New" w:hint="default"/>
      </w:rPr>
    </w:lvl>
    <w:lvl w:ilvl="8" w:tplc="0C090005" w:tentative="1">
      <w:start w:val="1"/>
      <w:numFmt w:val="bullet"/>
      <w:lvlText w:val=""/>
      <w:lvlJc w:val="left"/>
      <w:pPr>
        <w:tabs>
          <w:tab w:val="num" w:pos="7254"/>
        </w:tabs>
        <w:ind w:left="7254" w:hanging="360"/>
      </w:pPr>
      <w:rPr>
        <w:rFonts w:ascii="Wingdings" w:hAnsi="Wingdings" w:hint="default"/>
      </w:rPr>
    </w:lvl>
  </w:abstractNum>
  <w:abstractNum w:abstractNumId="16">
    <w:nsid w:val="368F52F9"/>
    <w:multiLevelType w:val="hybridMultilevel"/>
    <w:tmpl w:val="DA7209AA"/>
    <w:lvl w:ilvl="0" w:tplc="04CA136A">
      <w:start w:val="1"/>
      <w:numFmt w:val="bullet"/>
      <w:lvlText w:val=""/>
      <w:lvlJc w:val="left"/>
      <w:pPr>
        <w:tabs>
          <w:tab w:val="num" w:pos="360"/>
        </w:tabs>
        <w:ind w:left="360" w:hanging="36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38E61BE9"/>
    <w:multiLevelType w:val="hybridMultilevel"/>
    <w:tmpl w:val="FAF89338"/>
    <w:lvl w:ilvl="0" w:tplc="04CA136A">
      <w:start w:val="1"/>
      <w:numFmt w:val="bullet"/>
      <w:lvlText w:val=""/>
      <w:lvlJc w:val="left"/>
      <w:pPr>
        <w:tabs>
          <w:tab w:val="num" w:pos="360"/>
        </w:tabs>
        <w:ind w:left="360" w:hanging="36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3BB13215"/>
    <w:multiLevelType w:val="multilevel"/>
    <w:tmpl w:val="11BA8DF8"/>
    <w:lvl w:ilvl="0">
      <w:start w:val="1"/>
      <w:numFmt w:val="decimal"/>
      <w:lvlText w:val="%1"/>
      <w:lvlJc w:val="left"/>
      <w:pPr>
        <w:ind w:left="360" w:hanging="360"/>
      </w:pPr>
      <w:rPr>
        <w:rFonts w:hint="default"/>
      </w:rPr>
    </w:lvl>
    <w:lvl w:ilvl="1">
      <w:start w:val="1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DF771A0"/>
    <w:multiLevelType w:val="hybridMultilevel"/>
    <w:tmpl w:val="AFA289B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2CD6E9F"/>
    <w:multiLevelType w:val="multilevel"/>
    <w:tmpl w:val="2B66358E"/>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66301FF"/>
    <w:multiLevelType w:val="hybridMultilevel"/>
    <w:tmpl w:val="7890B28E"/>
    <w:lvl w:ilvl="0" w:tplc="AE64B202">
      <w:start w:val="1"/>
      <w:numFmt w:val="bulle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B507801"/>
    <w:multiLevelType w:val="multilevel"/>
    <w:tmpl w:val="17EAEBB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E380D13"/>
    <w:multiLevelType w:val="hybridMultilevel"/>
    <w:tmpl w:val="D8329D32"/>
    <w:lvl w:ilvl="0" w:tplc="18F4B406">
      <w:start w:val="1"/>
      <w:numFmt w:val="lowerLetter"/>
      <w:lvlText w:val="(%1)"/>
      <w:lvlJc w:val="left"/>
      <w:pPr>
        <w:ind w:left="1162" w:hanging="360"/>
      </w:pPr>
      <w:rPr>
        <w:rFonts w:hint="default"/>
      </w:rPr>
    </w:lvl>
    <w:lvl w:ilvl="1" w:tplc="0C090019" w:tentative="1">
      <w:start w:val="1"/>
      <w:numFmt w:val="lowerLetter"/>
      <w:lvlText w:val="%2."/>
      <w:lvlJc w:val="left"/>
      <w:pPr>
        <w:ind w:left="1882" w:hanging="360"/>
      </w:pPr>
    </w:lvl>
    <w:lvl w:ilvl="2" w:tplc="0C09001B" w:tentative="1">
      <w:start w:val="1"/>
      <w:numFmt w:val="lowerRoman"/>
      <w:lvlText w:val="%3."/>
      <w:lvlJc w:val="right"/>
      <w:pPr>
        <w:ind w:left="2602" w:hanging="180"/>
      </w:pPr>
    </w:lvl>
    <w:lvl w:ilvl="3" w:tplc="0C09000F" w:tentative="1">
      <w:start w:val="1"/>
      <w:numFmt w:val="decimal"/>
      <w:lvlText w:val="%4."/>
      <w:lvlJc w:val="left"/>
      <w:pPr>
        <w:ind w:left="3322" w:hanging="360"/>
      </w:pPr>
    </w:lvl>
    <w:lvl w:ilvl="4" w:tplc="0C090019" w:tentative="1">
      <w:start w:val="1"/>
      <w:numFmt w:val="lowerLetter"/>
      <w:lvlText w:val="%5."/>
      <w:lvlJc w:val="left"/>
      <w:pPr>
        <w:ind w:left="4042" w:hanging="360"/>
      </w:pPr>
    </w:lvl>
    <w:lvl w:ilvl="5" w:tplc="0C09001B" w:tentative="1">
      <w:start w:val="1"/>
      <w:numFmt w:val="lowerRoman"/>
      <w:lvlText w:val="%6."/>
      <w:lvlJc w:val="right"/>
      <w:pPr>
        <w:ind w:left="4762" w:hanging="180"/>
      </w:pPr>
    </w:lvl>
    <w:lvl w:ilvl="6" w:tplc="0C09000F" w:tentative="1">
      <w:start w:val="1"/>
      <w:numFmt w:val="decimal"/>
      <w:lvlText w:val="%7."/>
      <w:lvlJc w:val="left"/>
      <w:pPr>
        <w:ind w:left="5482" w:hanging="360"/>
      </w:pPr>
    </w:lvl>
    <w:lvl w:ilvl="7" w:tplc="0C090019" w:tentative="1">
      <w:start w:val="1"/>
      <w:numFmt w:val="lowerLetter"/>
      <w:lvlText w:val="%8."/>
      <w:lvlJc w:val="left"/>
      <w:pPr>
        <w:ind w:left="6202" w:hanging="360"/>
      </w:pPr>
    </w:lvl>
    <w:lvl w:ilvl="8" w:tplc="0C09001B" w:tentative="1">
      <w:start w:val="1"/>
      <w:numFmt w:val="lowerRoman"/>
      <w:lvlText w:val="%9."/>
      <w:lvlJc w:val="right"/>
      <w:pPr>
        <w:ind w:left="6922" w:hanging="180"/>
      </w:pPr>
    </w:lvl>
  </w:abstractNum>
  <w:abstractNum w:abstractNumId="24">
    <w:nsid w:val="56BA5FFD"/>
    <w:multiLevelType w:val="hybridMultilevel"/>
    <w:tmpl w:val="7C08B636"/>
    <w:lvl w:ilvl="0" w:tplc="9F1A5304">
      <w:start w:val="1"/>
      <w:numFmt w:val="bullet"/>
      <w:lvlText w:val=""/>
      <w:lvlJc w:val="left"/>
      <w:pPr>
        <w:tabs>
          <w:tab w:val="num" w:pos="720"/>
        </w:tabs>
        <w:ind w:left="720" w:hanging="360"/>
      </w:pPr>
      <w:rPr>
        <w:rFonts w:ascii="Wingdings" w:hAnsi="Wingdings" w:hint="default"/>
      </w:rPr>
    </w:lvl>
    <w:lvl w:ilvl="1" w:tplc="30B4EF64">
      <w:start w:val="1"/>
      <w:numFmt w:val="bullet"/>
      <w:lvlText w:val="o"/>
      <w:lvlJc w:val="left"/>
      <w:pPr>
        <w:tabs>
          <w:tab w:val="num" w:pos="1440"/>
        </w:tabs>
        <w:ind w:left="1440" w:hanging="360"/>
      </w:pPr>
      <w:rPr>
        <w:rFonts w:ascii="Courier New" w:hAnsi="Courier New" w:cs="Courier New" w:hint="default"/>
      </w:rPr>
    </w:lvl>
    <w:lvl w:ilvl="2" w:tplc="63F67296" w:tentative="1">
      <w:start w:val="1"/>
      <w:numFmt w:val="bullet"/>
      <w:lvlText w:val=""/>
      <w:lvlJc w:val="left"/>
      <w:pPr>
        <w:tabs>
          <w:tab w:val="num" w:pos="2160"/>
        </w:tabs>
        <w:ind w:left="2160" w:hanging="360"/>
      </w:pPr>
      <w:rPr>
        <w:rFonts w:ascii="Wingdings" w:hAnsi="Wingdings" w:hint="default"/>
      </w:rPr>
    </w:lvl>
    <w:lvl w:ilvl="3" w:tplc="3F3C4C86" w:tentative="1">
      <w:start w:val="1"/>
      <w:numFmt w:val="bullet"/>
      <w:lvlText w:val=""/>
      <w:lvlJc w:val="left"/>
      <w:pPr>
        <w:tabs>
          <w:tab w:val="num" w:pos="2880"/>
        </w:tabs>
        <w:ind w:left="2880" w:hanging="360"/>
      </w:pPr>
      <w:rPr>
        <w:rFonts w:ascii="Symbol" w:hAnsi="Symbol" w:hint="default"/>
      </w:rPr>
    </w:lvl>
    <w:lvl w:ilvl="4" w:tplc="02AAA3AE" w:tentative="1">
      <w:start w:val="1"/>
      <w:numFmt w:val="bullet"/>
      <w:lvlText w:val="o"/>
      <w:lvlJc w:val="left"/>
      <w:pPr>
        <w:tabs>
          <w:tab w:val="num" w:pos="3600"/>
        </w:tabs>
        <w:ind w:left="3600" w:hanging="360"/>
      </w:pPr>
      <w:rPr>
        <w:rFonts w:ascii="Courier New" w:hAnsi="Courier New" w:cs="Courier New" w:hint="default"/>
      </w:rPr>
    </w:lvl>
    <w:lvl w:ilvl="5" w:tplc="C24669F4" w:tentative="1">
      <w:start w:val="1"/>
      <w:numFmt w:val="bullet"/>
      <w:lvlText w:val=""/>
      <w:lvlJc w:val="left"/>
      <w:pPr>
        <w:tabs>
          <w:tab w:val="num" w:pos="4320"/>
        </w:tabs>
        <w:ind w:left="4320" w:hanging="360"/>
      </w:pPr>
      <w:rPr>
        <w:rFonts w:ascii="Wingdings" w:hAnsi="Wingdings" w:hint="default"/>
      </w:rPr>
    </w:lvl>
    <w:lvl w:ilvl="6" w:tplc="3FBEA556" w:tentative="1">
      <w:start w:val="1"/>
      <w:numFmt w:val="bullet"/>
      <w:lvlText w:val=""/>
      <w:lvlJc w:val="left"/>
      <w:pPr>
        <w:tabs>
          <w:tab w:val="num" w:pos="5040"/>
        </w:tabs>
        <w:ind w:left="5040" w:hanging="360"/>
      </w:pPr>
      <w:rPr>
        <w:rFonts w:ascii="Symbol" w:hAnsi="Symbol" w:hint="default"/>
      </w:rPr>
    </w:lvl>
    <w:lvl w:ilvl="7" w:tplc="461AE360" w:tentative="1">
      <w:start w:val="1"/>
      <w:numFmt w:val="bullet"/>
      <w:lvlText w:val="o"/>
      <w:lvlJc w:val="left"/>
      <w:pPr>
        <w:tabs>
          <w:tab w:val="num" w:pos="5760"/>
        </w:tabs>
        <w:ind w:left="5760" w:hanging="360"/>
      </w:pPr>
      <w:rPr>
        <w:rFonts w:ascii="Courier New" w:hAnsi="Courier New" w:cs="Courier New" w:hint="default"/>
      </w:rPr>
    </w:lvl>
    <w:lvl w:ilvl="8" w:tplc="92B0F0D6" w:tentative="1">
      <w:start w:val="1"/>
      <w:numFmt w:val="bullet"/>
      <w:lvlText w:val=""/>
      <w:lvlJc w:val="left"/>
      <w:pPr>
        <w:tabs>
          <w:tab w:val="num" w:pos="6480"/>
        </w:tabs>
        <w:ind w:left="6480" w:hanging="360"/>
      </w:pPr>
      <w:rPr>
        <w:rFonts w:ascii="Wingdings" w:hAnsi="Wingdings" w:hint="default"/>
      </w:rPr>
    </w:lvl>
  </w:abstractNum>
  <w:abstractNum w:abstractNumId="25">
    <w:nsid w:val="60892CAC"/>
    <w:multiLevelType w:val="hybridMultilevel"/>
    <w:tmpl w:val="C93A52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6199663C"/>
    <w:multiLevelType w:val="multilevel"/>
    <w:tmpl w:val="D750AB6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31033A9"/>
    <w:multiLevelType w:val="hybridMultilevel"/>
    <w:tmpl w:val="544420F8"/>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64EE57C6"/>
    <w:multiLevelType w:val="hybridMultilevel"/>
    <w:tmpl w:val="17EAEBBE"/>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658144CE"/>
    <w:multiLevelType w:val="multilevel"/>
    <w:tmpl w:val="955C76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667033C7"/>
    <w:multiLevelType w:val="hybridMultilevel"/>
    <w:tmpl w:val="293435D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69B76DE9"/>
    <w:multiLevelType w:val="multilevel"/>
    <w:tmpl w:val="AD74EC9E"/>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32">
    <w:nsid w:val="6C1C48FD"/>
    <w:multiLevelType w:val="hybridMultilevel"/>
    <w:tmpl w:val="B6FC9414"/>
    <w:lvl w:ilvl="0" w:tplc="A0CA12EA">
      <w:start w:val="1"/>
      <w:numFmt w:val="lowerLetter"/>
      <w:lvlText w:val="(%1)"/>
      <w:lvlJc w:val="left"/>
      <w:pPr>
        <w:ind w:left="75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C665B59"/>
    <w:multiLevelType w:val="hybridMultilevel"/>
    <w:tmpl w:val="48AC53E6"/>
    <w:lvl w:ilvl="0" w:tplc="34F277B2">
      <w:start w:val="1"/>
      <w:numFmt w:val="bullet"/>
      <w:lvlText w:val=""/>
      <w:lvlJc w:val="left"/>
      <w:pPr>
        <w:tabs>
          <w:tab w:val="num" w:pos="360"/>
        </w:tabs>
        <w:ind w:left="360" w:hanging="360"/>
      </w:pPr>
      <w:rPr>
        <w:rFonts w:ascii="Symbol" w:hAnsi="Symbol" w:hint="default"/>
        <w:sz w:val="18"/>
        <w:szCs w:val="18"/>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703626F0"/>
    <w:multiLevelType w:val="hybridMultilevel"/>
    <w:tmpl w:val="1E76105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72A872F6"/>
    <w:multiLevelType w:val="multilevel"/>
    <w:tmpl w:val="2B66358E"/>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74C27E72"/>
    <w:multiLevelType w:val="hybridMultilevel"/>
    <w:tmpl w:val="856E7340"/>
    <w:lvl w:ilvl="0" w:tplc="04CA136A">
      <w:start w:val="1"/>
      <w:numFmt w:val="bullet"/>
      <w:lvlText w:val=""/>
      <w:lvlJc w:val="left"/>
      <w:pPr>
        <w:tabs>
          <w:tab w:val="num" w:pos="360"/>
        </w:tabs>
        <w:ind w:left="360" w:hanging="36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nsid w:val="775F5688"/>
    <w:multiLevelType w:val="hybridMultilevel"/>
    <w:tmpl w:val="C35665C0"/>
    <w:lvl w:ilvl="0" w:tplc="ED72B26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B832DF7"/>
    <w:multiLevelType w:val="hybridMultilevel"/>
    <w:tmpl w:val="31D06DCC"/>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39">
    <w:nsid w:val="7B9E2E9D"/>
    <w:multiLevelType w:val="hybridMultilevel"/>
    <w:tmpl w:val="EF6469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nsid w:val="7BE43664"/>
    <w:multiLevelType w:val="singleLevel"/>
    <w:tmpl w:val="14FC603C"/>
    <w:lvl w:ilvl="0">
      <w:start w:val="1"/>
      <w:numFmt w:val="bullet"/>
      <w:pStyle w:val="Bullets"/>
      <w:lvlText w:val=""/>
      <w:lvlJc w:val="left"/>
      <w:pPr>
        <w:tabs>
          <w:tab w:val="num" w:pos="360"/>
        </w:tabs>
        <w:ind w:left="360" w:hanging="360"/>
      </w:pPr>
      <w:rPr>
        <w:rFonts w:ascii="Symbol" w:hAnsi="Symbol" w:hint="default"/>
        <w:sz w:val="20"/>
        <w:szCs w:val="20"/>
      </w:rPr>
    </w:lvl>
  </w:abstractNum>
  <w:abstractNum w:abstractNumId="41">
    <w:nsid w:val="7F146DB9"/>
    <w:multiLevelType w:val="hybridMultilevel"/>
    <w:tmpl w:val="34622466"/>
    <w:lvl w:ilvl="0" w:tplc="6FE624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7"/>
  </w:num>
  <w:num w:numId="3">
    <w:abstractNumId w:val="40"/>
  </w:num>
  <w:num w:numId="4">
    <w:abstractNumId w:val="10"/>
  </w:num>
  <w:num w:numId="5">
    <w:abstractNumId w:val="24"/>
  </w:num>
  <w:num w:numId="6">
    <w:abstractNumId w:val="27"/>
  </w:num>
  <w:num w:numId="7">
    <w:abstractNumId w:val="0"/>
  </w:num>
  <w:num w:numId="8">
    <w:abstractNumId w:val="8"/>
  </w:num>
  <w:num w:numId="9">
    <w:abstractNumId w:val="14"/>
  </w:num>
  <w:num w:numId="10">
    <w:abstractNumId w:val="26"/>
  </w:num>
  <w:num w:numId="11">
    <w:abstractNumId w:val="21"/>
  </w:num>
  <w:num w:numId="12">
    <w:abstractNumId w:val="33"/>
  </w:num>
  <w:num w:numId="13">
    <w:abstractNumId w:val="4"/>
  </w:num>
  <w:num w:numId="14">
    <w:abstractNumId w:val="16"/>
  </w:num>
  <w:num w:numId="15">
    <w:abstractNumId w:val="25"/>
  </w:num>
  <w:num w:numId="16">
    <w:abstractNumId w:val="34"/>
  </w:num>
  <w:num w:numId="17">
    <w:abstractNumId w:val="19"/>
  </w:num>
  <w:num w:numId="18">
    <w:abstractNumId w:val="2"/>
  </w:num>
  <w:num w:numId="19">
    <w:abstractNumId w:val="30"/>
  </w:num>
  <w:num w:numId="20">
    <w:abstractNumId w:val="5"/>
  </w:num>
  <w:num w:numId="21">
    <w:abstractNumId w:val="28"/>
  </w:num>
  <w:num w:numId="22">
    <w:abstractNumId w:val="22"/>
  </w:num>
  <w:num w:numId="23">
    <w:abstractNumId w:val="3"/>
  </w:num>
  <w:num w:numId="24">
    <w:abstractNumId w:val="15"/>
  </w:num>
  <w:num w:numId="25">
    <w:abstractNumId w:val="17"/>
  </w:num>
  <w:num w:numId="26">
    <w:abstractNumId w:val="13"/>
  </w:num>
  <w:num w:numId="27">
    <w:abstractNumId w:val="11"/>
  </w:num>
  <w:num w:numId="28">
    <w:abstractNumId w:val="36"/>
  </w:num>
  <w:num w:numId="29">
    <w:abstractNumId w:val="12"/>
  </w:num>
  <w:num w:numId="30">
    <w:abstractNumId w:val="29"/>
  </w:num>
  <w:num w:numId="31">
    <w:abstractNumId w:val="41"/>
  </w:num>
  <w:num w:numId="32">
    <w:abstractNumId w:val="37"/>
  </w:num>
  <w:num w:numId="33">
    <w:abstractNumId w:val="20"/>
  </w:num>
  <w:num w:numId="34">
    <w:abstractNumId w:val="35"/>
  </w:num>
  <w:num w:numId="35">
    <w:abstractNumId w:val="31"/>
  </w:num>
  <w:num w:numId="36">
    <w:abstractNumId w:val="6"/>
  </w:num>
  <w:num w:numId="37">
    <w:abstractNumId w:val="39"/>
  </w:num>
  <w:num w:numId="38">
    <w:abstractNumId w:val="9"/>
  </w:num>
  <w:num w:numId="39">
    <w:abstractNumId w:val="18"/>
  </w:num>
  <w:num w:numId="40">
    <w:abstractNumId w:val="38"/>
  </w:num>
  <w:num w:numId="41">
    <w:abstractNumId w:val="32"/>
  </w:num>
  <w:num w:numId="42">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activeWritingStyle w:appName="MSWord" w:lang="en-AU" w:vendorID="64" w:dllVersion="131078" w:nlCheck="1" w:checkStyle="1"/>
  <w:activeWritingStyle w:appName="MSWord" w:lang="fr-FR"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EE0"/>
    <w:rsid w:val="0000454C"/>
    <w:rsid w:val="000053F1"/>
    <w:rsid w:val="00013137"/>
    <w:rsid w:val="0001342D"/>
    <w:rsid w:val="00016BEA"/>
    <w:rsid w:val="0002230E"/>
    <w:rsid w:val="00022605"/>
    <w:rsid w:val="00023B37"/>
    <w:rsid w:val="00026D55"/>
    <w:rsid w:val="00027FDD"/>
    <w:rsid w:val="00035D38"/>
    <w:rsid w:val="00037225"/>
    <w:rsid w:val="0004092D"/>
    <w:rsid w:val="00042C00"/>
    <w:rsid w:val="0004444B"/>
    <w:rsid w:val="000453BB"/>
    <w:rsid w:val="000460CB"/>
    <w:rsid w:val="00050562"/>
    <w:rsid w:val="00051677"/>
    <w:rsid w:val="00052C84"/>
    <w:rsid w:val="000531DB"/>
    <w:rsid w:val="00060E82"/>
    <w:rsid w:val="0006138C"/>
    <w:rsid w:val="00072481"/>
    <w:rsid w:val="000800B9"/>
    <w:rsid w:val="00081315"/>
    <w:rsid w:val="00081461"/>
    <w:rsid w:val="00081649"/>
    <w:rsid w:val="00082A46"/>
    <w:rsid w:val="000848D2"/>
    <w:rsid w:val="00094251"/>
    <w:rsid w:val="000959B7"/>
    <w:rsid w:val="000977F9"/>
    <w:rsid w:val="000A152F"/>
    <w:rsid w:val="000A16C3"/>
    <w:rsid w:val="000A4735"/>
    <w:rsid w:val="000A4AA3"/>
    <w:rsid w:val="000A5B1A"/>
    <w:rsid w:val="000A7EF3"/>
    <w:rsid w:val="000B025C"/>
    <w:rsid w:val="000B04EF"/>
    <w:rsid w:val="000B7C6F"/>
    <w:rsid w:val="000C3A4D"/>
    <w:rsid w:val="000C4F57"/>
    <w:rsid w:val="000C60F5"/>
    <w:rsid w:val="000D282A"/>
    <w:rsid w:val="000D7B1C"/>
    <w:rsid w:val="000E15FC"/>
    <w:rsid w:val="000E3AA5"/>
    <w:rsid w:val="000F2879"/>
    <w:rsid w:val="000F3306"/>
    <w:rsid w:val="000F5105"/>
    <w:rsid w:val="000F72FB"/>
    <w:rsid w:val="0010208B"/>
    <w:rsid w:val="00102DC6"/>
    <w:rsid w:val="00105DAB"/>
    <w:rsid w:val="00105F36"/>
    <w:rsid w:val="00106748"/>
    <w:rsid w:val="00107530"/>
    <w:rsid w:val="00107FA9"/>
    <w:rsid w:val="001147BD"/>
    <w:rsid w:val="0011547B"/>
    <w:rsid w:val="0011641C"/>
    <w:rsid w:val="00123316"/>
    <w:rsid w:val="001269EB"/>
    <w:rsid w:val="00136870"/>
    <w:rsid w:val="00140104"/>
    <w:rsid w:val="001401E0"/>
    <w:rsid w:val="001416E6"/>
    <w:rsid w:val="0014290A"/>
    <w:rsid w:val="00144371"/>
    <w:rsid w:val="00150F8F"/>
    <w:rsid w:val="00160068"/>
    <w:rsid w:val="0016126B"/>
    <w:rsid w:val="00163250"/>
    <w:rsid w:val="00163DD1"/>
    <w:rsid w:val="001642FB"/>
    <w:rsid w:val="001653B1"/>
    <w:rsid w:val="00166010"/>
    <w:rsid w:val="00167CDA"/>
    <w:rsid w:val="0017150D"/>
    <w:rsid w:val="00171D8D"/>
    <w:rsid w:val="00173DB5"/>
    <w:rsid w:val="001746D5"/>
    <w:rsid w:val="00176830"/>
    <w:rsid w:val="00187207"/>
    <w:rsid w:val="00191B5C"/>
    <w:rsid w:val="00193433"/>
    <w:rsid w:val="00193AB6"/>
    <w:rsid w:val="001A0520"/>
    <w:rsid w:val="001A0E66"/>
    <w:rsid w:val="001A13F0"/>
    <w:rsid w:val="001A193C"/>
    <w:rsid w:val="001A24B3"/>
    <w:rsid w:val="001A3601"/>
    <w:rsid w:val="001A6ADE"/>
    <w:rsid w:val="001A757F"/>
    <w:rsid w:val="001B733C"/>
    <w:rsid w:val="001C06D0"/>
    <w:rsid w:val="001C0D70"/>
    <w:rsid w:val="001C5992"/>
    <w:rsid w:val="001C75F5"/>
    <w:rsid w:val="001D5705"/>
    <w:rsid w:val="001D621E"/>
    <w:rsid w:val="001E0C9F"/>
    <w:rsid w:val="001E44AE"/>
    <w:rsid w:val="001E46C9"/>
    <w:rsid w:val="001E5370"/>
    <w:rsid w:val="001E6D46"/>
    <w:rsid w:val="001F37A3"/>
    <w:rsid w:val="001F6935"/>
    <w:rsid w:val="001F6C70"/>
    <w:rsid w:val="001F70CF"/>
    <w:rsid w:val="002023CE"/>
    <w:rsid w:val="00203FA1"/>
    <w:rsid w:val="00205B4A"/>
    <w:rsid w:val="00206BD1"/>
    <w:rsid w:val="002126C6"/>
    <w:rsid w:val="002145A8"/>
    <w:rsid w:val="00230A68"/>
    <w:rsid w:val="00231887"/>
    <w:rsid w:val="00231E20"/>
    <w:rsid w:val="00233070"/>
    <w:rsid w:val="00235557"/>
    <w:rsid w:val="00235DE2"/>
    <w:rsid w:val="0024188E"/>
    <w:rsid w:val="00243A72"/>
    <w:rsid w:val="00243B16"/>
    <w:rsid w:val="002456AA"/>
    <w:rsid w:val="00245D80"/>
    <w:rsid w:val="00250949"/>
    <w:rsid w:val="0025236C"/>
    <w:rsid w:val="00253068"/>
    <w:rsid w:val="002535B4"/>
    <w:rsid w:val="00253EF3"/>
    <w:rsid w:val="00257AFF"/>
    <w:rsid w:val="00264452"/>
    <w:rsid w:val="00265895"/>
    <w:rsid w:val="00267A36"/>
    <w:rsid w:val="0027109E"/>
    <w:rsid w:val="00271570"/>
    <w:rsid w:val="00272B61"/>
    <w:rsid w:val="0027664B"/>
    <w:rsid w:val="002838CE"/>
    <w:rsid w:val="00284103"/>
    <w:rsid w:val="0028414D"/>
    <w:rsid w:val="00285D08"/>
    <w:rsid w:val="00287988"/>
    <w:rsid w:val="00292F96"/>
    <w:rsid w:val="00293080"/>
    <w:rsid w:val="002952C6"/>
    <w:rsid w:val="002975A5"/>
    <w:rsid w:val="002A0295"/>
    <w:rsid w:val="002A3AFA"/>
    <w:rsid w:val="002A40AC"/>
    <w:rsid w:val="002A75A1"/>
    <w:rsid w:val="002B0EC3"/>
    <w:rsid w:val="002B58C7"/>
    <w:rsid w:val="002B617D"/>
    <w:rsid w:val="002C17B2"/>
    <w:rsid w:val="002C2751"/>
    <w:rsid w:val="002C3C63"/>
    <w:rsid w:val="002C60CE"/>
    <w:rsid w:val="002C6AEB"/>
    <w:rsid w:val="002D08E3"/>
    <w:rsid w:val="002D4C3A"/>
    <w:rsid w:val="002E1A05"/>
    <w:rsid w:val="002E21FB"/>
    <w:rsid w:val="002E2674"/>
    <w:rsid w:val="002F1D7C"/>
    <w:rsid w:val="002F3C19"/>
    <w:rsid w:val="002F3EBF"/>
    <w:rsid w:val="00300BED"/>
    <w:rsid w:val="0030292E"/>
    <w:rsid w:val="00315AB5"/>
    <w:rsid w:val="00317894"/>
    <w:rsid w:val="00322C3D"/>
    <w:rsid w:val="00323C9F"/>
    <w:rsid w:val="003263BE"/>
    <w:rsid w:val="0033029D"/>
    <w:rsid w:val="0033099B"/>
    <w:rsid w:val="00330FD8"/>
    <w:rsid w:val="0033122C"/>
    <w:rsid w:val="003315CB"/>
    <w:rsid w:val="00332B65"/>
    <w:rsid w:val="00334AF8"/>
    <w:rsid w:val="003413D5"/>
    <w:rsid w:val="00344F5E"/>
    <w:rsid w:val="003604F2"/>
    <w:rsid w:val="00367EC8"/>
    <w:rsid w:val="00373289"/>
    <w:rsid w:val="0037501F"/>
    <w:rsid w:val="00380957"/>
    <w:rsid w:val="003815E0"/>
    <w:rsid w:val="00381688"/>
    <w:rsid w:val="003827CE"/>
    <w:rsid w:val="00383016"/>
    <w:rsid w:val="0038344F"/>
    <w:rsid w:val="00383461"/>
    <w:rsid w:val="003868CD"/>
    <w:rsid w:val="00387BD2"/>
    <w:rsid w:val="003902FA"/>
    <w:rsid w:val="00394EBB"/>
    <w:rsid w:val="003A39F8"/>
    <w:rsid w:val="003A3AE8"/>
    <w:rsid w:val="003B0B8D"/>
    <w:rsid w:val="003B31F9"/>
    <w:rsid w:val="003B3343"/>
    <w:rsid w:val="003B399A"/>
    <w:rsid w:val="003B41D8"/>
    <w:rsid w:val="003C0537"/>
    <w:rsid w:val="003C06F8"/>
    <w:rsid w:val="003C0C6B"/>
    <w:rsid w:val="003C106E"/>
    <w:rsid w:val="003C27E1"/>
    <w:rsid w:val="003C2A5C"/>
    <w:rsid w:val="003C4C8A"/>
    <w:rsid w:val="003C4D0E"/>
    <w:rsid w:val="003C6CF4"/>
    <w:rsid w:val="003C763A"/>
    <w:rsid w:val="003C7703"/>
    <w:rsid w:val="003D6F8D"/>
    <w:rsid w:val="003E6593"/>
    <w:rsid w:val="003F1AC0"/>
    <w:rsid w:val="003F4037"/>
    <w:rsid w:val="003F7B7F"/>
    <w:rsid w:val="0040050D"/>
    <w:rsid w:val="004034C4"/>
    <w:rsid w:val="0040375A"/>
    <w:rsid w:val="00405E89"/>
    <w:rsid w:val="00406337"/>
    <w:rsid w:val="00412EF9"/>
    <w:rsid w:val="0041734B"/>
    <w:rsid w:val="00420ED7"/>
    <w:rsid w:val="0042182C"/>
    <w:rsid w:val="00422B7D"/>
    <w:rsid w:val="004258A3"/>
    <w:rsid w:val="00427D3B"/>
    <w:rsid w:val="00430461"/>
    <w:rsid w:val="00434515"/>
    <w:rsid w:val="0043538E"/>
    <w:rsid w:val="00437B53"/>
    <w:rsid w:val="004445E4"/>
    <w:rsid w:val="00446374"/>
    <w:rsid w:val="00451259"/>
    <w:rsid w:val="00452FAF"/>
    <w:rsid w:val="004561C3"/>
    <w:rsid w:val="00456DE9"/>
    <w:rsid w:val="004577B3"/>
    <w:rsid w:val="0045782A"/>
    <w:rsid w:val="00460202"/>
    <w:rsid w:val="00464B21"/>
    <w:rsid w:val="00467706"/>
    <w:rsid w:val="00472663"/>
    <w:rsid w:val="00473F16"/>
    <w:rsid w:val="004741CA"/>
    <w:rsid w:val="004743AE"/>
    <w:rsid w:val="00474643"/>
    <w:rsid w:val="00476592"/>
    <w:rsid w:val="00482A4F"/>
    <w:rsid w:val="00483DFA"/>
    <w:rsid w:val="00485B60"/>
    <w:rsid w:val="00486368"/>
    <w:rsid w:val="0049048E"/>
    <w:rsid w:val="00491420"/>
    <w:rsid w:val="00493B4D"/>
    <w:rsid w:val="00496958"/>
    <w:rsid w:val="00496963"/>
    <w:rsid w:val="004A07CE"/>
    <w:rsid w:val="004A2580"/>
    <w:rsid w:val="004A5B21"/>
    <w:rsid w:val="004A5FA9"/>
    <w:rsid w:val="004A6A76"/>
    <w:rsid w:val="004B24E1"/>
    <w:rsid w:val="004B351A"/>
    <w:rsid w:val="004B6A14"/>
    <w:rsid w:val="004B722E"/>
    <w:rsid w:val="004B7F7E"/>
    <w:rsid w:val="004C51FB"/>
    <w:rsid w:val="004C7FFE"/>
    <w:rsid w:val="004D2580"/>
    <w:rsid w:val="004D30D4"/>
    <w:rsid w:val="004D4A42"/>
    <w:rsid w:val="004D5875"/>
    <w:rsid w:val="004E01D5"/>
    <w:rsid w:val="004E1BBB"/>
    <w:rsid w:val="004E2837"/>
    <w:rsid w:val="004E2842"/>
    <w:rsid w:val="004E552F"/>
    <w:rsid w:val="004F05E0"/>
    <w:rsid w:val="004F21B7"/>
    <w:rsid w:val="005005A5"/>
    <w:rsid w:val="0050108A"/>
    <w:rsid w:val="00501CC7"/>
    <w:rsid w:val="00503C43"/>
    <w:rsid w:val="00505D7D"/>
    <w:rsid w:val="00513D6B"/>
    <w:rsid w:val="005155A7"/>
    <w:rsid w:val="00517F9B"/>
    <w:rsid w:val="005213B3"/>
    <w:rsid w:val="00524D3C"/>
    <w:rsid w:val="005265CD"/>
    <w:rsid w:val="00526B6B"/>
    <w:rsid w:val="005319D3"/>
    <w:rsid w:val="00534970"/>
    <w:rsid w:val="005349AA"/>
    <w:rsid w:val="005349CA"/>
    <w:rsid w:val="0053503C"/>
    <w:rsid w:val="0053551C"/>
    <w:rsid w:val="00536BB7"/>
    <w:rsid w:val="00536F4E"/>
    <w:rsid w:val="0054000A"/>
    <w:rsid w:val="00546ED4"/>
    <w:rsid w:val="00550B4A"/>
    <w:rsid w:val="00550F3D"/>
    <w:rsid w:val="00551268"/>
    <w:rsid w:val="00562125"/>
    <w:rsid w:val="00565A64"/>
    <w:rsid w:val="00565EF7"/>
    <w:rsid w:val="00570908"/>
    <w:rsid w:val="005724CD"/>
    <w:rsid w:val="005740CF"/>
    <w:rsid w:val="00574513"/>
    <w:rsid w:val="005760A2"/>
    <w:rsid w:val="00576F10"/>
    <w:rsid w:val="00580D39"/>
    <w:rsid w:val="0059365B"/>
    <w:rsid w:val="00593E22"/>
    <w:rsid w:val="00594524"/>
    <w:rsid w:val="00596B7E"/>
    <w:rsid w:val="00597E00"/>
    <w:rsid w:val="005A0F16"/>
    <w:rsid w:val="005A35DB"/>
    <w:rsid w:val="005A4123"/>
    <w:rsid w:val="005A589B"/>
    <w:rsid w:val="005B2F52"/>
    <w:rsid w:val="005B6CD4"/>
    <w:rsid w:val="005C0426"/>
    <w:rsid w:val="005C09A6"/>
    <w:rsid w:val="005C5EED"/>
    <w:rsid w:val="005C68B4"/>
    <w:rsid w:val="005C73A5"/>
    <w:rsid w:val="005D27F2"/>
    <w:rsid w:val="005D3EC3"/>
    <w:rsid w:val="005D3F71"/>
    <w:rsid w:val="005D61F6"/>
    <w:rsid w:val="005E095F"/>
    <w:rsid w:val="005E33D9"/>
    <w:rsid w:val="005E3C84"/>
    <w:rsid w:val="005E41F5"/>
    <w:rsid w:val="005F42F5"/>
    <w:rsid w:val="005F4C23"/>
    <w:rsid w:val="00600A80"/>
    <w:rsid w:val="006038A5"/>
    <w:rsid w:val="00605660"/>
    <w:rsid w:val="00607426"/>
    <w:rsid w:val="0061481E"/>
    <w:rsid w:val="006177DB"/>
    <w:rsid w:val="006213C5"/>
    <w:rsid w:val="006229B5"/>
    <w:rsid w:val="00632EE4"/>
    <w:rsid w:val="00635DDA"/>
    <w:rsid w:val="0063621D"/>
    <w:rsid w:val="0063750B"/>
    <w:rsid w:val="00640544"/>
    <w:rsid w:val="006459CB"/>
    <w:rsid w:val="00647ADD"/>
    <w:rsid w:val="00652F23"/>
    <w:rsid w:val="00654082"/>
    <w:rsid w:val="00655E84"/>
    <w:rsid w:val="0065735F"/>
    <w:rsid w:val="00664998"/>
    <w:rsid w:val="006661E4"/>
    <w:rsid w:val="0067006A"/>
    <w:rsid w:val="00670AF5"/>
    <w:rsid w:val="00673E53"/>
    <w:rsid w:val="00675C99"/>
    <w:rsid w:val="0067620D"/>
    <w:rsid w:val="00680CC9"/>
    <w:rsid w:val="0068134B"/>
    <w:rsid w:val="006840F5"/>
    <w:rsid w:val="00686924"/>
    <w:rsid w:val="00692047"/>
    <w:rsid w:val="00692539"/>
    <w:rsid w:val="006972E6"/>
    <w:rsid w:val="006A2B1F"/>
    <w:rsid w:val="006A5196"/>
    <w:rsid w:val="006A7443"/>
    <w:rsid w:val="006B11CA"/>
    <w:rsid w:val="006B266D"/>
    <w:rsid w:val="006B29D7"/>
    <w:rsid w:val="006C0978"/>
    <w:rsid w:val="006C2B62"/>
    <w:rsid w:val="006C486D"/>
    <w:rsid w:val="006D0F16"/>
    <w:rsid w:val="006D3AB5"/>
    <w:rsid w:val="006E19E2"/>
    <w:rsid w:val="006E1D92"/>
    <w:rsid w:val="006E210A"/>
    <w:rsid w:val="006E4C12"/>
    <w:rsid w:val="006E658E"/>
    <w:rsid w:val="006E700F"/>
    <w:rsid w:val="006E74A8"/>
    <w:rsid w:val="006F5A33"/>
    <w:rsid w:val="006F76DA"/>
    <w:rsid w:val="006F7734"/>
    <w:rsid w:val="00702BDE"/>
    <w:rsid w:val="007030A7"/>
    <w:rsid w:val="0070310F"/>
    <w:rsid w:val="00704792"/>
    <w:rsid w:val="00711992"/>
    <w:rsid w:val="007153AE"/>
    <w:rsid w:val="00716140"/>
    <w:rsid w:val="00716A27"/>
    <w:rsid w:val="00722183"/>
    <w:rsid w:val="00733D0F"/>
    <w:rsid w:val="007353F1"/>
    <w:rsid w:val="00737EB9"/>
    <w:rsid w:val="00740BAB"/>
    <w:rsid w:val="007518DA"/>
    <w:rsid w:val="007523B3"/>
    <w:rsid w:val="00752FDF"/>
    <w:rsid w:val="0076040F"/>
    <w:rsid w:val="00765253"/>
    <w:rsid w:val="007670CA"/>
    <w:rsid w:val="007700C5"/>
    <w:rsid w:val="00770FDE"/>
    <w:rsid w:val="00773987"/>
    <w:rsid w:val="00773B82"/>
    <w:rsid w:val="00773D45"/>
    <w:rsid w:val="007775B1"/>
    <w:rsid w:val="007801AE"/>
    <w:rsid w:val="00780AE9"/>
    <w:rsid w:val="0078119D"/>
    <w:rsid w:val="00782E90"/>
    <w:rsid w:val="00782F25"/>
    <w:rsid w:val="007843EC"/>
    <w:rsid w:val="0078592E"/>
    <w:rsid w:val="00785F08"/>
    <w:rsid w:val="00787218"/>
    <w:rsid w:val="007946A5"/>
    <w:rsid w:val="00796BC8"/>
    <w:rsid w:val="007A5EFC"/>
    <w:rsid w:val="007B0507"/>
    <w:rsid w:val="007B3E62"/>
    <w:rsid w:val="007B57C1"/>
    <w:rsid w:val="007B6CC3"/>
    <w:rsid w:val="007C1A9E"/>
    <w:rsid w:val="007C1B21"/>
    <w:rsid w:val="007C2FFB"/>
    <w:rsid w:val="007C4EC1"/>
    <w:rsid w:val="007C51EA"/>
    <w:rsid w:val="007C62D9"/>
    <w:rsid w:val="007D011C"/>
    <w:rsid w:val="007D10CA"/>
    <w:rsid w:val="007D310F"/>
    <w:rsid w:val="007D558A"/>
    <w:rsid w:val="007D565F"/>
    <w:rsid w:val="007E111F"/>
    <w:rsid w:val="007E34F6"/>
    <w:rsid w:val="007E4B9B"/>
    <w:rsid w:val="007E4CAB"/>
    <w:rsid w:val="007E5E63"/>
    <w:rsid w:val="007E7EEA"/>
    <w:rsid w:val="007F37C8"/>
    <w:rsid w:val="007F6786"/>
    <w:rsid w:val="007F6B9F"/>
    <w:rsid w:val="007F797E"/>
    <w:rsid w:val="008003C9"/>
    <w:rsid w:val="00803587"/>
    <w:rsid w:val="00811BBB"/>
    <w:rsid w:val="008130A4"/>
    <w:rsid w:val="00814649"/>
    <w:rsid w:val="00815176"/>
    <w:rsid w:val="00815C8F"/>
    <w:rsid w:val="00815F8A"/>
    <w:rsid w:val="008212CA"/>
    <w:rsid w:val="00823665"/>
    <w:rsid w:val="00830CDD"/>
    <w:rsid w:val="00830CFB"/>
    <w:rsid w:val="008334C0"/>
    <w:rsid w:val="008338CF"/>
    <w:rsid w:val="0084119B"/>
    <w:rsid w:val="00843611"/>
    <w:rsid w:val="00850BF1"/>
    <w:rsid w:val="00852B7F"/>
    <w:rsid w:val="00853FC1"/>
    <w:rsid w:val="0085534A"/>
    <w:rsid w:val="00855FDE"/>
    <w:rsid w:val="00863F64"/>
    <w:rsid w:val="00864942"/>
    <w:rsid w:val="00864A3E"/>
    <w:rsid w:val="00871F81"/>
    <w:rsid w:val="00872CE8"/>
    <w:rsid w:val="00873241"/>
    <w:rsid w:val="00875FBB"/>
    <w:rsid w:val="00876021"/>
    <w:rsid w:val="00876413"/>
    <w:rsid w:val="008819C1"/>
    <w:rsid w:val="00884C74"/>
    <w:rsid w:val="00884F01"/>
    <w:rsid w:val="00890357"/>
    <w:rsid w:val="00896026"/>
    <w:rsid w:val="00896DE3"/>
    <w:rsid w:val="008A1C08"/>
    <w:rsid w:val="008A4B23"/>
    <w:rsid w:val="008A4D12"/>
    <w:rsid w:val="008B298B"/>
    <w:rsid w:val="008B5E2D"/>
    <w:rsid w:val="008B6E6A"/>
    <w:rsid w:val="008B7B9B"/>
    <w:rsid w:val="008C0EE3"/>
    <w:rsid w:val="008C115A"/>
    <w:rsid w:val="008C46FA"/>
    <w:rsid w:val="008C67FB"/>
    <w:rsid w:val="008D55EF"/>
    <w:rsid w:val="008D664C"/>
    <w:rsid w:val="008E03A1"/>
    <w:rsid w:val="008E1D73"/>
    <w:rsid w:val="008E25F0"/>
    <w:rsid w:val="008E2745"/>
    <w:rsid w:val="008E7C96"/>
    <w:rsid w:val="008F3532"/>
    <w:rsid w:val="008F51B2"/>
    <w:rsid w:val="008F6103"/>
    <w:rsid w:val="008F7A26"/>
    <w:rsid w:val="0090322E"/>
    <w:rsid w:val="009067E6"/>
    <w:rsid w:val="0091005D"/>
    <w:rsid w:val="00913A14"/>
    <w:rsid w:val="00913D3F"/>
    <w:rsid w:val="00916F74"/>
    <w:rsid w:val="00917527"/>
    <w:rsid w:val="009178B3"/>
    <w:rsid w:val="00917A9F"/>
    <w:rsid w:val="0093084F"/>
    <w:rsid w:val="009318D3"/>
    <w:rsid w:val="00937994"/>
    <w:rsid w:val="00943DB7"/>
    <w:rsid w:val="00946818"/>
    <w:rsid w:val="009522E5"/>
    <w:rsid w:val="00952DA9"/>
    <w:rsid w:val="009550EB"/>
    <w:rsid w:val="00955358"/>
    <w:rsid w:val="00960329"/>
    <w:rsid w:val="0096110F"/>
    <w:rsid w:val="00961FCE"/>
    <w:rsid w:val="00962716"/>
    <w:rsid w:val="009655D5"/>
    <w:rsid w:val="00966E69"/>
    <w:rsid w:val="00971EF6"/>
    <w:rsid w:val="00972498"/>
    <w:rsid w:val="00974A30"/>
    <w:rsid w:val="00975A3F"/>
    <w:rsid w:val="00980CC8"/>
    <w:rsid w:val="00986B98"/>
    <w:rsid w:val="00996739"/>
    <w:rsid w:val="00996A4E"/>
    <w:rsid w:val="009A012A"/>
    <w:rsid w:val="009A39D2"/>
    <w:rsid w:val="009A6AA6"/>
    <w:rsid w:val="009B149D"/>
    <w:rsid w:val="009B2A37"/>
    <w:rsid w:val="009B2B2E"/>
    <w:rsid w:val="009B2DDA"/>
    <w:rsid w:val="009B7110"/>
    <w:rsid w:val="009B73EA"/>
    <w:rsid w:val="009C0E7E"/>
    <w:rsid w:val="009C0F2C"/>
    <w:rsid w:val="009C2444"/>
    <w:rsid w:val="009C5029"/>
    <w:rsid w:val="009C5A47"/>
    <w:rsid w:val="009D0236"/>
    <w:rsid w:val="009D0E31"/>
    <w:rsid w:val="009F0623"/>
    <w:rsid w:val="009F0B7F"/>
    <w:rsid w:val="009F5153"/>
    <w:rsid w:val="009F6184"/>
    <w:rsid w:val="009F66AC"/>
    <w:rsid w:val="009F68EC"/>
    <w:rsid w:val="009F6E69"/>
    <w:rsid w:val="009F7CE9"/>
    <w:rsid w:val="00A00C33"/>
    <w:rsid w:val="00A0280D"/>
    <w:rsid w:val="00A0356A"/>
    <w:rsid w:val="00A039EA"/>
    <w:rsid w:val="00A04065"/>
    <w:rsid w:val="00A07024"/>
    <w:rsid w:val="00A11D4C"/>
    <w:rsid w:val="00A17B51"/>
    <w:rsid w:val="00A205CD"/>
    <w:rsid w:val="00A2113A"/>
    <w:rsid w:val="00A2616B"/>
    <w:rsid w:val="00A277CB"/>
    <w:rsid w:val="00A27E14"/>
    <w:rsid w:val="00A303BC"/>
    <w:rsid w:val="00A33C8F"/>
    <w:rsid w:val="00A33DC0"/>
    <w:rsid w:val="00A34129"/>
    <w:rsid w:val="00A41867"/>
    <w:rsid w:val="00A45848"/>
    <w:rsid w:val="00A458E0"/>
    <w:rsid w:val="00A4775E"/>
    <w:rsid w:val="00A47D73"/>
    <w:rsid w:val="00A52E93"/>
    <w:rsid w:val="00A537F3"/>
    <w:rsid w:val="00A61C82"/>
    <w:rsid w:val="00A62A0B"/>
    <w:rsid w:val="00A62BF0"/>
    <w:rsid w:val="00A63066"/>
    <w:rsid w:val="00A63E88"/>
    <w:rsid w:val="00A67C3F"/>
    <w:rsid w:val="00A71580"/>
    <w:rsid w:val="00A724CE"/>
    <w:rsid w:val="00A7399D"/>
    <w:rsid w:val="00A7429A"/>
    <w:rsid w:val="00A75C18"/>
    <w:rsid w:val="00A8264A"/>
    <w:rsid w:val="00A90482"/>
    <w:rsid w:val="00AA1A70"/>
    <w:rsid w:val="00AA2E8B"/>
    <w:rsid w:val="00AA4142"/>
    <w:rsid w:val="00AA7DB8"/>
    <w:rsid w:val="00AB0453"/>
    <w:rsid w:val="00AB0478"/>
    <w:rsid w:val="00AB2FDD"/>
    <w:rsid w:val="00AB4A4F"/>
    <w:rsid w:val="00AB6F57"/>
    <w:rsid w:val="00AC47EB"/>
    <w:rsid w:val="00AC576C"/>
    <w:rsid w:val="00AC6D3F"/>
    <w:rsid w:val="00AC7B0D"/>
    <w:rsid w:val="00AD1C16"/>
    <w:rsid w:val="00AD3D55"/>
    <w:rsid w:val="00AD42E3"/>
    <w:rsid w:val="00AD4739"/>
    <w:rsid w:val="00AD6245"/>
    <w:rsid w:val="00AD78E3"/>
    <w:rsid w:val="00AE34A9"/>
    <w:rsid w:val="00AE3661"/>
    <w:rsid w:val="00AE3A93"/>
    <w:rsid w:val="00AE6CCD"/>
    <w:rsid w:val="00AF153B"/>
    <w:rsid w:val="00AF6277"/>
    <w:rsid w:val="00AF628C"/>
    <w:rsid w:val="00AF6ABB"/>
    <w:rsid w:val="00B044E4"/>
    <w:rsid w:val="00B12FCE"/>
    <w:rsid w:val="00B15AD1"/>
    <w:rsid w:val="00B16C14"/>
    <w:rsid w:val="00B26085"/>
    <w:rsid w:val="00B31B6D"/>
    <w:rsid w:val="00B323B8"/>
    <w:rsid w:val="00B34727"/>
    <w:rsid w:val="00B35190"/>
    <w:rsid w:val="00B35FE1"/>
    <w:rsid w:val="00B37519"/>
    <w:rsid w:val="00B4036B"/>
    <w:rsid w:val="00B437D0"/>
    <w:rsid w:val="00B4681A"/>
    <w:rsid w:val="00B46D70"/>
    <w:rsid w:val="00B4723F"/>
    <w:rsid w:val="00B525C7"/>
    <w:rsid w:val="00B5287D"/>
    <w:rsid w:val="00B52A6A"/>
    <w:rsid w:val="00B52FC9"/>
    <w:rsid w:val="00B60ED3"/>
    <w:rsid w:val="00B6105E"/>
    <w:rsid w:val="00B62D23"/>
    <w:rsid w:val="00B63348"/>
    <w:rsid w:val="00B63D57"/>
    <w:rsid w:val="00B63D66"/>
    <w:rsid w:val="00B67F5D"/>
    <w:rsid w:val="00B72CD2"/>
    <w:rsid w:val="00B73145"/>
    <w:rsid w:val="00B74783"/>
    <w:rsid w:val="00B7638D"/>
    <w:rsid w:val="00B8002B"/>
    <w:rsid w:val="00B80066"/>
    <w:rsid w:val="00B81FCE"/>
    <w:rsid w:val="00B82869"/>
    <w:rsid w:val="00B82CA1"/>
    <w:rsid w:val="00B8600B"/>
    <w:rsid w:val="00B877F2"/>
    <w:rsid w:val="00B92457"/>
    <w:rsid w:val="00B92556"/>
    <w:rsid w:val="00B97788"/>
    <w:rsid w:val="00BA0D4F"/>
    <w:rsid w:val="00BA13BD"/>
    <w:rsid w:val="00BA4605"/>
    <w:rsid w:val="00BA5BC8"/>
    <w:rsid w:val="00BA761A"/>
    <w:rsid w:val="00BB017D"/>
    <w:rsid w:val="00BB10EA"/>
    <w:rsid w:val="00BC0617"/>
    <w:rsid w:val="00BC1D8B"/>
    <w:rsid w:val="00BC2A8B"/>
    <w:rsid w:val="00BC3283"/>
    <w:rsid w:val="00BC5152"/>
    <w:rsid w:val="00BD425B"/>
    <w:rsid w:val="00BD474F"/>
    <w:rsid w:val="00BD7E0A"/>
    <w:rsid w:val="00BE0FF9"/>
    <w:rsid w:val="00BE3671"/>
    <w:rsid w:val="00BE3F23"/>
    <w:rsid w:val="00BE4553"/>
    <w:rsid w:val="00BF2A9A"/>
    <w:rsid w:val="00BF2F73"/>
    <w:rsid w:val="00BF4922"/>
    <w:rsid w:val="00BF5130"/>
    <w:rsid w:val="00C03310"/>
    <w:rsid w:val="00C03B1C"/>
    <w:rsid w:val="00C05970"/>
    <w:rsid w:val="00C06576"/>
    <w:rsid w:val="00C07B44"/>
    <w:rsid w:val="00C101E6"/>
    <w:rsid w:val="00C20081"/>
    <w:rsid w:val="00C246B9"/>
    <w:rsid w:val="00C24A70"/>
    <w:rsid w:val="00C272E0"/>
    <w:rsid w:val="00C300A5"/>
    <w:rsid w:val="00C302D7"/>
    <w:rsid w:val="00C30DAF"/>
    <w:rsid w:val="00C35E8D"/>
    <w:rsid w:val="00C36673"/>
    <w:rsid w:val="00C403A3"/>
    <w:rsid w:val="00C43116"/>
    <w:rsid w:val="00C465C7"/>
    <w:rsid w:val="00C5217A"/>
    <w:rsid w:val="00C54F1C"/>
    <w:rsid w:val="00C5614E"/>
    <w:rsid w:val="00C56B81"/>
    <w:rsid w:val="00C6207F"/>
    <w:rsid w:val="00C65149"/>
    <w:rsid w:val="00C654E9"/>
    <w:rsid w:val="00C76F88"/>
    <w:rsid w:val="00C77AA1"/>
    <w:rsid w:val="00C928A8"/>
    <w:rsid w:val="00C96FFC"/>
    <w:rsid w:val="00CA022A"/>
    <w:rsid w:val="00CA4FA8"/>
    <w:rsid w:val="00CB0BBD"/>
    <w:rsid w:val="00CB12CB"/>
    <w:rsid w:val="00CB241D"/>
    <w:rsid w:val="00CB3B73"/>
    <w:rsid w:val="00CB4E81"/>
    <w:rsid w:val="00CC0DCF"/>
    <w:rsid w:val="00CC0E50"/>
    <w:rsid w:val="00CC188E"/>
    <w:rsid w:val="00CC29BE"/>
    <w:rsid w:val="00CC39DC"/>
    <w:rsid w:val="00CC3AAE"/>
    <w:rsid w:val="00CC4A86"/>
    <w:rsid w:val="00CC6F3E"/>
    <w:rsid w:val="00CC72CB"/>
    <w:rsid w:val="00CC737E"/>
    <w:rsid w:val="00CC7B17"/>
    <w:rsid w:val="00CD0472"/>
    <w:rsid w:val="00CD6569"/>
    <w:rsid w:val="00CD7CAA"/>
    <w:rsid w:val="00CD7FB4"/>
    <w:rsid w:val="00CE7B22"/>
    <w:rsid w:val="00CF44C4"/>
    <w:rsid w:val="00D1072A"/>
    <w:rsid w:val="00D20E16"/>
    <w:rsid w:val="00D2317A"/>
    <w:rsid w:val="00D2337F"/>
    <w:rsid w:val="00D236B0"/>
    <w:rsid w:val="00D23B6F"/>
    <w:rsid w:val="00D2538E"/>
    <w:rsid w:val="00D27D0C"/>
    <w:rsid w:val="00D27FB3"/>
    <w:rsid w:val="00D31A41"/>
    <w:rsid w:val="00D33CA9"/>
    <w:rsid w:val="00D34DBF"/>
    <w:rsid w:val="00D36488"/>
    <w:rsid w:val="00D45016"/>
    <w:rsid w:val="00D45100"/>
    <w:rsid w:val="00D4587E"/>
    <w:rsid w:val="00D45D8F"/>
    <w:rsid w:val="00D47BA3"/>
    <w:rsid w:val="00D57CA8"/>
    <w:rsid w:val="00D62892"/>
    <w:rsid w:val="00D647EA"/>
    <w:rsid w:val="00D65B44"/>
    <w:rsid w:val="00D703A7"/>
    <w:rsid w:val="00D71B36"/>
    <w:rsid w:val="00D71B85"/>
    <w:rsid w:val="00D7227C"/>
    <w:rsid w:val="00D7263D"/>
    <w:rsid w:val="00D76C67"/>
    <w:rsid w:val="00D77092"/>
    <w:rsid w:val="00D8160D"/>
    <w:rsid w:val="00D81728"/>
    <w:rsid w:val="00D85022"/>
    <w:rsid w:val="00D850C3"/>
    <w:rsid w:val="00D86697"/>
    <w:rsid w:val="00D900B7"/>
    <w:rsid w:val="00D90489"/>
    <w:rsid w:val="00D910F8"/>
    <w:rsid w:val="00D9662F"/>
    <w:rsid w:val="00D978F8"/>
    <w:rsid w:val="00D97F9B"/>
    <w:rsid w:val="00DA3EF8"/>
    <w:rsid w:val="00DA57CB"/>
    <w:rsid w:val="00DB18F5"/>
    <w:rsid w:val="00DB20AC"/>
    <w:rsid w:val="00DB43B0"/>
    <w:rsid w:val="00DB4669"/>
    <w:rsid w:val="00DB7562"/>
    <w:rsid w:val="00DC5D87"/>
    <w:rsid w:val="00DC772A"/>
    <w:rsid w:val="00DD396E"/>
    <w:rsid w:val="00DD4C77"/>
    <w:rsid w:val="00DD538E"/>
    <w:rsid w:val="00DD6C13"/>
    <w:rsid w:val="00DE0020"/>
    <w:rsid w:val="00DE01DF"/>
    <w:rsid w:val="00DE16E2"/>
    <w:rsid w:val="00DE2FB3"/>
    <w:rsid w:val="00DE6124"/>
    <w:rsid w:val="00DE79BC"/>
    <w:rsid w:val="00DF3BAA"/>
    <w:rsid w:val="00DF3DC5"/>
    <w:rsid w:val="00DF3E2D"/>
    <w:rsid w:val="00DF569B"/>
    <w:rsid w:val="00DF69AF"/>
    <w:rsid w:val="00E000A2"/>
    <w:rsid w:val="00E15BE6"/>
    <w:rsid w:val="00E1726C"/>
    <w:rsid w:val="00E27EC2"/>
    <w:rsid w:val="00E306C5"/>
    <w:rsid w:val="00E31856"/>
    <w:rsid w:val="00E34484"/>
    <w:rsid w:val="00E34E8C"/>
    <w:rsid w:val="00E362FA"/>
    <w:rsid w:val="00E36AC1"/>
    <w:rsid w:val="00E432C8"/>
    <w:rsid w:val="00E441E6"/>
    <w:rsid w:val="00E46E9A"/>
    <w:rsid w:val="00E47E25"/>
    <w:rsid w:val="00E51510"/>
    <w:rsid w:val="00E52EE0"/>
    <w:rsid w:val="00E53FB1"/>
    <w:rsid w:val="00E578D4"/>
    <w:rsid w:val="00E60950"/>
    <w:rsid w:val="00E6247B"/>
    <w:rsid w:val="00E626D4"/>
    <w:rsid w:val="00E63DCB"/>
    <w:rsid w:val="00E653D6"/>
    <w:rsid w:val="00E716F0"/>
    <w:rsid w:val="00E71B66"/>
    <w:rsid w:val="00E73ACE"/>
    <w:rsid w:val="00E77B65"/>
    <w:rsid w:val="00E8354E"/>
    <w:rsid w:val="00E8536F"/>
    <w:rsid w:val="00E8621F"/>
    <w:rsid w:val="00E94134"/>
    <w:rsid w:val="00E954F5"/>
    <w:rsid w:val="00E96D18"/>
    <w:rsid w:val="00EA1C2A"/>
    <w:rsid w:val="00EA2022"/>
    <w:rsid w:val="00EB0F82"/>
    <w:rsid w:val="00EB33AA"/>
    <w:rsid w:val="00EB3E6F"/>
    <w:rsid w:val="00EB5B7A"/>
    <w:rsid w:val="00EB6E9F"/>
    <w:rsid w:val="00EC0C0C"/>
    <w:rsid w:val="00EC48CC"/>
    <w:rsid w:val="00ED4379"/>
    <w:rsid w:val="00ED4ABE"/>
    <w:rsid w:val="00EE2881"/>
    <w:rsid w:val="00EE462E"/>
    <w:rsid w:val="00EE7020"/>
    <w:rsid w:val="00EF0F9C"/>
    <w:rsid w:val="00EF1089"/>
    <w:rsid w:val="00EF246C"/>
    <w:rsid w:val="00EF56B7"/>
    <w:rsid w:val="00EF642E"/>
    <w:rsid w:val="00F04BE2"/>
    <w:rsid w:val="00F05DCF"/>
    <w:rsid w:val="00F05E0D"/>
    <w:rsid w:val="00F07C83"/>
    <w:rsid w:val="00F16007"/>
    <w:rsid w:val="00F1649C"/>
    <w:rsid w:val="00F17A49"/>
    <w:rsid w:val="00F23F69"/>
    <w:rsid w:val="00F24F09"/>
    <w:rsid w:val="00F438C8"/>
    <w:rsid w:val="00F6015C"/>
    <w:rsid w:val="00F6318B"/>
    <w:rsid w:val="00F64A7A"/>
    <w:rsid w:val="00F64F12"/>
    <w:rsid w:val="00F6619A"/>
    <w:rsid w:val="00F73214"/>
    <w:rsid w:val="00F7573A"/>
    <w:rsid w:val="00F82B77"/>
    <w:rsid w:val="00F84FE1"/>
    <w:rsid w:val="00F9419E"/>
    <w:rsid w:val="00F96601"/>
    <w:rsid w:val="00F97676"/>
    <w:rsid w:val="00F97B2B"/>
    <w:rsid w:val="00FA035F"/>
    <w:rsid w:val="00FA1D88"/>
    <w:rsid w:val="00FA7477"/>
    <w:rsid w:val="00FA7831"/>
    <w:rsid w:val="00FB044B"/>
    <w:rsid w:val="00FB086B"/>
    <w:rsid w:val="00FB3A1C"/>
    <w:rsid w:val="00FB44F1"/>
    <w:rsid w:val="00FB6729"/>
    <w:rsid w:val="00FB7B32"/>
    <w:rsid w:val="00FC2674"/>
    <w:rsid w:val="00FC62F1"/>
    <w:rsid w:val="00FC7852"/>
    <w:rsid w:val="00FC7CD6"/>
    <w:rsid w:val="00FD0048"/>
    <w:rsid w:val="00FD0AEB"/>
    <w:rsid w:val="00FD149E"/>
    <w:rsid w:val="00FD25B3"/>
    <w:rsid w:val="00FD5884"/>
    <w:rsid w:val="00FD7EE7"/>
    <w:rsid w:val="00FE2BC3"/>
    <w:rsid w:val="00FE3DC1"/>
    <w:rsid w:val="00FE4C1F"/>
    <w:rsid w:val="00FF0C23"/>
    <w:rsid w:val="00FF60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5"/>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00" w:lineRule="exact"/>
    </w:pPr>
    <w:rPr>
      <w:lang w:eastAsia="en-US"/>
    </w:rPr>
  </w:style>
  <w:style w:type="paragraph" w:styleId="Heading1">
    <w:name w:val="heading 1"/>
    <w:basedOn w:val="Normal"/>
    <w:next w:val="Normal"/>
    <w:link w:val="Heading1Char"/>
    <w:qFormat/>
    <w:rsid w:val="00206BD1"/>
    <w:pPr>
      <w:keepNext/>
      <w:spacing w:before="240" w:after="60"/>
      <w:outlineLvl w:val="0"/>
    </w:pPr>
    <w:rPr>
      <w:rFonts w:ascii="Cambria" w:hAnsi="Cambria"/>
      <w:b/>
      <w:bCs/>
      <w:kern w:val="32"/>
      <w:sz w:val="32"/>
      <w:szCs w:val="32"/>
    </w:rPr>
  </w:style>
  <w:style w:type="paragraph" w:styleId="Heading2">
    <w:name w:val="heading 2"/>
    <w:basedOn w:val="Heading1"/>
    <w:next w:val="Normal"/>
    <w:link w:val="Heading2Char"/>
    <w:qFormat/>
    <w:rsid w:val="00206BD1"/>
    <w:pPr>
      <w:spacing w:before="0" w:after="200" w:line="280" w:lineRule="exact"/>
      <w:outlineLvl w:val="1"/>
    </w:pPr>
    <w:rPr>
      <w:rFonts w:ascii="Times New Roman" w:hAnsi="Times New Roman" w:cs="Arial"/>
      <w:bCs w:val="0"/>
      <w:iCs/>
      <w:kern w:val="0"/>
      <w:sz w:val="28"/>
      <w:szCs w:val="28"/>
    </w:rPr>
  </w:style>
  <w:style w:type="paragraph" w:styleId="Heading3">
    <w:name w:val="heading 3"/>
    <w:basedOn w:val="Heading2"/>
    <w:next w:val="Normal"/>
    <w:link w:val="Heading3Char"/>
    <w:qFormat/>
    <w:rsid w:val="00206BD1"/>
    <w:pPr>
      <w:spacing w:line="240" w:lineRule="exact"/>
      <w:outlineLvl w:val="2"/>
    </w:pPr>
    <w:rPr>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semiHidden/>
    <w:pPr>
      <w:tabs>
        <w:tab w:val="center" w:leader="dot" w:pos="5760"/>
      </w:tabs>
      <w:ind w:left="1440"/>
    </w:pPr>
  </w:style>
  <w:style w:type="paragraph" w:styleId="TOC2">
    <w:name w:val="toc 2"/>
    <w:basedOn w:val="Normal"/>
    <w:next w:val="Normal"/>
    <w:semiHidden/>
    <w:pPr>
      <w:tabs>
        <w:tab w:val="center" w:leader="dot" w:pos="5760"/>
      </w:tabs>
      <w:ind w:left="720"/>
    </w:pPr>
  </w:style>
  <w:style w:type="paragraph" w:styleId="TOC1">
    <w:name w:val="toc 1"/>
    <w:basedOn w:val="Normal"/>
    <w:next w:val="Normal"/>
    <w:semiHidden/>
    <w:pPr>
      <w:tabs>
        <w:tab w:val="center" w:leader="dot" w:pos="5760"/>
      </w:tabs>
      <w:spacing w:before="240"/>
    </w:pPr>
  </w:style>
  <w:style w:type="paragraph" w:styleId="Footer">
    <w:name w:val="footer"/>
    <w:basedOn w:val="Normal"/>
    <w:pPr>
      <w:tabs>
        <w:tab w:val="center" w:pos="3119"/>
      </w:tabs>
      <w:spacing w:line="240" w:lineRule="auto"/>
    </w:pPr>
  </w:style>
  <w:style w:type="paragraph" w:styleId="Header">
    <w:name w:val="header"/>
    <w:basedOn w:val="Normal"/>
    <w:pPr>
      <w:tabs>
        <w:tab w:val="center" w:pos="4320"/>
        <w:tab w:val="right" w:pos="8640"/>
      </w:tabs>
      <w:spacing w:line="240" w:lineRule="auto"/>
    </w:pPr>
  </w:style>
  <w:style w:type="paragraph" w:styleId="Title">
    <w:name w:val="Title"/>
    <w:basedOn w:val="Normal"/>
    <w:next w:val="Normal"/>
    <w:qFormat/>
    <w:pPr>
      <w:spacing w:line="500" w:lineRule="exact"/>
      <w:ind w:right="720"/>
    </w:pPr>
    <w:rPr>
      <w:b/>
      <w:sz w:val="50"/>
    </w:rPr>
  </w:style>
  <w:style w:type="paragraph" w:customStyle="1" w:styleId="TopHeading1">
    <w:name w:val="Top Heading 1"/>
    <w:basedOn w:val="Normal"/>
    <w:pPr>
      <w:spacing w:after="200" w:line="280" w:lineRule="exact"/>
      <w:jc w:val="center"/>
    </w:pPr>
    <w:rPr>
      <w:b/>
      <w:caps/>
      <w:sz w:val="28"/>
    </w:rPr>
  </w:style>
  <w:style w:type="paragraph" w:customStyle="1" w:styleId="ParaHeading3">
    <w:name w:val="Para Heading 3"/>
    <w:basedOn w:val="Normal"/>
    <w:next w:val="StandardPara"/>
    <w:pPr>
      <w:keepNext/>
      <w:keepLines/>
      <w:spacing w:before="200" w:after="200" w:line="280" w:lineRule="exact"/>
      <w:ind w:left="720" w:hanging="720"/>
    </w:pPr>
    <w:rPr>
      <w:b/>
      <w:sz w:val="28"/>
    </w:rPr>
  </w:style>
  <w:style w:type="paragraph" w:customStyle="1" w:styleId="StandardPara">
    <w:name w:val="Standard Para"/>
    <w:basedOn w:val="Normal"/>
    <w:pPr>
      <w:spacing w:after="200"/>
      <w:ind w:left="720" w:hanging="720"/>
    </w:pPr>
    <w:rPr>
      <w:b/>
    </w:rPr>
  </w:style>
  <w:style w:type="paragraph" w:customStyle="1" w:styleId="EDNumber">
    <w:name w:val="ED Number"/>
    <w:basedOn w:val="Normal"/>
    <w:pPr>
      <w:tabs>
        <w:tab w:val="right" w:pos="6237"/>
      </w:tabs>
      <w:spacing w:line="240" w:lineRule="auto"/>
    </w:pPr>
  </w:style>
  <w:style w:type="paragraph" w:customStyle="1" w:styleId="ContentsPlain">
    <w:name w:val="Contents Plain"/>
    <w:basedOn w:val="Normal"/>
    <w:pPr>
      <w:spacing w:before="100" w:line="240" w:lineRule="exact"/>
      <w:ind w:right="720"/>
    </w:pPr>
    <w:rPr>
      <w:sz w:val="24"/>
    </w:rPr>
  </w:style>
  <w:style w:type="paragraph" w:customStyle="1" w:styleId="ContentsBold">
    <w:name w:val="Contents Bold"/>
    <w:basedOn w:val="Normal"/>
    <w:pPr>
      <w:tabs>
        <w:tab w:val="left" w:pos="432"/>
      </w:tabs>
      <w:spacing w:before="100" w:line="280" w:lineRule="exact"/>
      <w:ind w:left="720" w:right="720" w:hanging="720"/>
    </w:pPr>
    <w:rPr>
      <w:b/>
      <w:sz w:val="28"/>
    </w:rPr>
  </w:style>
  <w:style w:type="paragraph" w:customStyle="1" w:styleId="ContentsIndent">
    <w:name w:val="Contents Indent"/>
    <w:basedOn w:val="ContentsBold"/>
    <w:pPr>
      <w:tabs>
        <w:tab w:val="clear" w:pos="432"/>
      </w:tabs>
      <w:spacing w:before="0" w:line="240" w:lineRule="exact"/>
      <w:ind w:left="1584" w:hanging="432"/>
    </w:pPr>
    <w:rPr>
      <w:b w:val="0"/>
      <w:sz w:val="24"/>
    </w:rPr>
  </w:style>
  <w:style w:type="paragraph" w:customStyle="1" w:styleId="StandardIndent">
    <w:name w:val="Standard Indent"/>
    <w:basedOn w:val="StandardPara"/>
    <w:pPr>
      <w:ind w:firstLine="0"/>
    </w:pPr>
  </w:style>
  <w:style w:type="paragraph" w:customStyle="1" w:styleId="TopHeading2">
    <w:name w:val="Top Heading 2"/>
    <w:basedOn w:val="TopHeading1"/>
    <w:pPr>
      <w:jc w:val="left"/>
    </w:pPr>
    <w:rPr>
      <w:caps w:val="0"/>
    </w:rPr>
  </w:style>
  <w:style w:type="paragraph" w:customStyle="1" w:styleId="StandardPoint">
    <w:name w:val="Standard Point"/>
    <w:basedOn w:val="StandardPara"/>
    <w:pPr>
      <w:ind w:left="1440"/>
    </w:pPr>
  </w:style>
  <w:style w:type="paragraph" w:customStyle="1" w:styleId="CommentPara">
    <w:name w:val="Comment Para"/>
    <w:basedOn w:val="Normal"/>
    <w:pPr>
      <w:spacing w:after="200"/>
      <w:ind w:left="720" w:hanging="720"/>
      <w:outlineLvl w:val="2"/>
    </w:pPr>
  </w:style>
  <w:style w:type="paragraph" w:customStyle="1" w:styleId="ParaHeading4">
    <w:name w:val="Para Heading 4"/>
    <w:basedOn w:val="ParaHeading3"/>
    <w:next w:val="CommentPara"/>
    <w:pPr>
      <w:spacing w:before="0" w:line="240" w:lineRule="exact"/>
      <w:ind w:firstLine="0"/>
    </w:pPr>
    <w:rPr>
      <w:sz w:val="24"/>
    </w:rPr>
  </w:style>
  <w:style w:type="paragraph" w:customStyle="1" w:styleId="CommentPoint">
    <w:name w:val="Comment Point"/>
    <w:basedOn w:val="CommentPara"/>
    <w:pPr>
      <w:ind w:left="1440"/>
      <w:outlineLvl w:val="4"/>
    </w:pPr>
  </w:style>
  <w:style w:type="paragraph" w:customStyle="1" w:styleId="DefinePara">
    <w:name w:val="Define Para"/>
    <w:basedOn w:val="Normal"/>
    <w:pPr>
      <w:spacing w:after="200"/>
      <w:ind w:left="1080" w:hanging="360"/>
    </w:pPr>
    <w:rPr>
      <w:b/>
    </w:rPr>
  </w:style>
  <w:style w:type="paragraph" w:customStyle="1" w:styleId="DefinePoint">
    <w:name w:val="Define Point"/>
    <w:basedOn w:val="DefinePara"/>
    <w:pPr>
      <w:ind w:left="1800" w:hanging="720"/>
    </w:pPr>
  </w:style>
  <w:style w:type="paragraph" w:customStyle="1" w:styleId="CommentIndent">
    <w:name w:val="Comment Indent"/>
    <w:basedOn w:val="CommentPara"/>
    <w:pPr>
      <w:ind w:firstLine="0"/>
      <w:outlineLvl w:val="9"/>
    </w:pPr>
  </w:style>
  <w:style w:type="paragraph" w:customStyle="1" w:styleId="DefineIndent">
    <w:name w:val="Define Indent"/>
    <w:basedOn w:val="DefinePara"/>
    <w:pPr>
      <w:ind w:firstLine="0"/>
    </w:pPr>
  </w:style>
  <w:style w:type="paragraph" w:customStyle="1" w:styleId="TextPara">
    <w:name w:val="Text Para"/>
    <w:basedOn w:val="Normal"/>
    <w:pPr>
      <w:spacing w:after="200"/>
    </w:pPr>
  </w:style>
  <w:style w:type="paragraph" w:customStyle="1" w:styleId="TextPoint">
    <w:name w:val="Text Point"/>
    <w:basedOn w:val="TextPara"/>
    <w:pPr>
      <w:ind w:left="720" w:hanging="720"/>
    </w:pPr>
  </w:style>
  <w:style w:type="paragraph" w:customStyle="1" w:styleId="Appendices">
    <w:name w:val="Appendices"/>
    <w:basedOn w:val="Normal"/>
    <w:pPr>
      <w:spacing w:before="100" w:line="220" w:lineRule="exact"/>
      <w:ind w:left="864" w:right="720" w:hanging="432"/>
    </w:pPr>
    <w:rPr>
      <w:sz w:val="22"/>
    </w:rPr>
  </w:style>
  <w:style w:type="paragraph" w:customStyle="1" w:styleId="StandardIndentPoint">
    <w:name w:val="Standard Indent Point"/>
    <w:basedOn w:val="StandardPara"/>
    <w:pPr>
      <w:ind w:left="2160"/>
    </w:pPr>
  </w:style>
  <w:style w:type="paragraph" w:customStyle="1" w:styleId="CommentIndentPoint">
    <w:name w:val="Comment Indent Point"/>
    <w:basedOn w:val="CommentPara"/>
    <w:pPr>
      <w:ind w:left="2160"/>
    </w:pPr>
  </w:style>
  <w:style w:type="paragraph" w:customStyle="1" w:styleId="SectionHeading">
    <w:name w:val="Section Heading"/>
    <w:basedOn w:val="Normal"/>
    <w:next w:val="Normal"/>
    <w:pPr>
      <w:spacing w:after="240"/>
    </w:pPr>
    <w:rPr>
      <w:i/>
      <w:u w:val="single"/>
    </w:rPr>
  </w:style>
  <w:style w:type="paragraph" w:customStyle="1" w:styleId="CommentsPage">
    <w:name w:val="CommentsPage"/>
    <w:basedOn w:val="Normal"/>
    <w:next w:val="Normal"/>
  </w:style>
  <w:style w:type="paragraph" w:styleId="FootnoteText">
    <w:name w:val="footnote text"/>
    <w:basedOn w:val="Normal"/>
    <w:link w:val="FootnoteTextChar"/>
    <w:uiPriority w:val="5"/>
    <w:semiHidden/>
    <w:pPr>
      <w:spacing w:line="240" w:lineRule="auto"/>
      <w:ind w:left="432" w:hanging="432"/>
    </w:pPr>
    <w:rPr>
      <w:sz w:val="16"/>
    </w:rPr>
  </w:style>
  <w:style w:type="paragraph" w:styleId="BalloonText">
    <w:name w:val="Balloon Text"/>
    <w:basedOn w:val="Normal"/>
    <w:semiHidden/>
    <w:rsid w:val="00150F8F"/>
    <w:rPr>
      <w:rFonts w:ascii="Tahoma" w:hAnsi="Tahoma" w:cs="Tahoma"/>
      <w:sz w:val="16"/>
      <w:szCs w:val="16"/>
    </w:rPr>
  </w:style>
  <w:style w:type="paragraph" w:customStyle="1" w:styleId="DefineSubPoint">
    <w:name w:val="Define SubPoint"/>
    <w:basedOn w:val="DefinePoint"/>
    <w:pPr>
      <w:ind w:left="2520"/>
    </w:pPr>
  </w:style>
  <w:style w:type="table" w:styleId="TableGrid">
    <w:name w:val="Table Grid"/>
    <w:basedOn w:val="TableNormal"/>
    <w:rsid w:val="002A75A1"/>
    <w:pPr>
      <w:spacing w:line="20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Date">
    <w:name w:val="Cover Date"/>
    <w:basedOn w:val="Normal"/>
    <w:next w:val="Normal"/>
    <w:rsid w:val="00680CC9"/>
    <w:pPr>
      <w:spacing w:line="240" w:lineRule="exact"/>
      <w:jc w:val="right"/>
    </w:pPr>
    <w:rPr>
      <w:sz w:val="24"/>
    </w:rPr>
  </w:style>
  <w:style w:type="paragraph" w:customStyle="1" w:styleId="CoverTitle">
    <w:name w:val="Cover Title"/>
    <w:basedOn w:val="Normal"/>
    <w:rsid w:val="00680CC9"/>
    <w:pPr>
      <w:spacing w:line="500" w:lineRule="exact"/>
    </w:pPr>
    <w:rPr>
      <w:b/>
      <w:sz w:val="50"/>
    </w:rPr>
  </w:style>
  <w:style w:type="character" w:styleId="FootnoteReference">
    <w:name w:val="footnote reference"/>
    <w:rsid w:val="004E2842"/>
    <w:rPr>
      <w:vertAlign w:val="superscript"/>
    </w:rPr>
  </w:style>
  <w:style w:type="paragraph" w:customStyle="1" w:styleId="AppendixText">
    <w:name w:val="AppendixText"/>
    <w:basedOn w:val="Normal"/>
    <w:rsid w:val="003C0537"/>
    <w:pPr>
      <w:spacing w:after="200"/>
    </w:pPr>
  </w:style>
  <w:style w:type="paragraph" w:customStyle="1" w:styleId="NoNumPlain1">
    <w:name w:val="NoNum Plain1"/>
    <w:basedOn w:val="Normal"/>
    <w:rsid w:val="0059365B"/>
    <w:pPr>
      <w:spacing w:after="200" w:line="240" w:lineRule="exact"/>
    </w:pPr>
    <w:rPr>
      <w:sz w:val="24"/>
    </w:rPr>
  </w:style>
  <w:style w:type="paragraph" w:customStyle="1" w:styleId="NumPlain1">
    <w:name w:val="Num Plain1"/>
    <w:basedOn w:val="Normal"/>
    <w:link w:val="NumPlain1Char"/>
    <w:rsid w:val="00FA1D88"/>
    <w:pPr>
      <w:spacing w:after="200"/>
    </w:pPr>
  </w:style>
  <w:style w:type="character" w:customStyle="1" w:styleId="NumPlain1Char">
    <w:name w:val="Num Plain1 Char"/>
    <w:link w:val="NumPlain1"/>
    <w:rsid w:val="00FA1D88"/>
    <w:rPr>
      <w:lang w:val="en-AU" w:eastAsia="en-US" w:bidi="ar-SA"/>
    </w:rPr>
  </w:style>
  <w:style w:type="paragraph" w:customStyle="1" w:styleId="Default">
    <w:name w:val="Default"/>
    <w:rsid w:val="00702BDE"/>
    <w:pPr>
      <w:autoSpaceDE w:val="0"/>
      <w:autoSpaceDN w:val="0"/>
      <w:adjustRightInd w:val="0"/>
    </w:pPr>
    <w:rPr>
      <w:rFonts w:ascii="Arial" w:hAnsi="Arial" w:cs="Arial"/>
      <w:color w:val="000000"/>
      <w:sz w:val="24"/>
      <w:szCs w:val="24"/>
    </w:rPr>
  </w:style>
  <w:style w:type="paragraph" w:customStyle="1" w:styleId="NumBC1">
    <w:name w:val="Num BC1"/>
    <w:basedOn w:val="Normal"/>
    <w:rsid w:val="00D71B36"/>
    <w:pPr>
      <w:numPr>
        <w:numId w:val="2"/>
      </w:numPr>
      <w:spacing w:after="200"/>
    </w:pPr>
  </w:style>
  <w:style w:type="paragraph" w:customStyle="1" w:styleId="NumBC2">
    <w:name w:val="Num BC2"/>
    <w:basedOn w:val="NumBC1"/>
    <w:rsid w:val="00D71B36"/>
    <w:pPr>
      <w:numPr>
        <w:ilvl w:val="1"/>
      </w:numPr>
    </w:pPr>
  </w:style>
  <w:style w:type="paragraph" w:customStyle="1" w:styleId="NumBC3">
    <w:name w:val="Num BC3"/>
    <w:basedOn w:val="NumBC2"/>
    <w:rsid w:val="00D71B36"/>
    <w:pPr>
      <w:numPr>
        <w:ilvl w:val="2"/>
      </w:numPr>
    </w:pPr>
  </w:style>
  <w:style w:type="paragraph" w:customStyle="1" w:styleId="NumBC4">
    <w:name w:val="Num BC4"/>
    <w:basedOn w:val="NumBC3"/>
    <w:rsid w:val="00D71B36"/>
    <w:pPr>
      <w:numPr>
        <w:ilvl w:val="3"/>
      </w:numPr>
    </w:pPr>
  </w:style>
  <w:style w:type="paragraph" w:customStyle="1" w:styleId="NumPlain2">
    <w:name w:val="Num Plain2"/>
    <w:basedOn w:val="NumPlain1"/>
    <w:rsid w:val="008B7B9B"/>
    <w:pPr>
      <w:tabs>
        <w:tab w:val="num" w:pos="1021"/>
      </w:tabs>
      <w:ind w:left="1021" w:hanging="511"/>
    </w:pPr>
  </w:style>
  <w:style w:type="paragraph" w:customStyle="1" w:styleId="NumPlain4">
    <w:name w:val="Num Plain4"/>
    <w:basedOn w:val="Normal"/>
    <w:rsid w:val="008B7B9B"/>
    <w:pPr>
      <w:tabs>
        <w:tab w:val="num" w:pos="2041"/>
        <w:tab w:val="num" w:pos="2495"/>
      </w:tabs>
      <w:spacing w:after="200"/>
      <w:ind w:left="2495" w:hanging="624"/>
    </w:pPr>
  </w:style>
  <w:style w:type="paragraph" w:customStyle="1" w:styleId="Bullet1">
    <w:name w:val="Bullet1"/>
    <w:basedOn w:val="Normal"/>
    <w:rsid w:val="008B7B9B"/>
    <w:pPr>
      <w:tabs>
        <w:tab w:val="num" w:pos="360"/>
      </w:tabs>
      <w:spacing w:after="200"/>
      <w:ind w:left="360" w:hanging="360"/>
    </w:pPr>
  </w:style>
  <w:style w:type="paragraph" w:customStyle="1" w:styleId="Bullets">
    <w:name w:val="Bullets"/>
    <w:basedOn w:val="Normal"/>
    <w:rsid w:val="00191B5C"/>
    <w:pPr>
      <w:numPr>
        <w:numId w:val="3"/>
      </w:numPr>
      <w:tabs>
        <w:tab w:val="clear" w:pos="360"/>
        <w:tab w:val="num" w:pos="1134"/>
      </w:tabs>
      <w:spacing w:line="240" w:lineRule="auto"/>
      <w:ind w:left="1134"/>
    </w:pPr>
    <w:rPr>
      <w:sz w:val="24"/>
    </w:rPr>
  </w:style>
  <w:style w:type="character" w:customStyle="1" w:styleId="Heading2Char">
    <w:name w:val="Heading 2 Char"/>
    <w:link w:val="Heading2"/>
    <w:rsid w:val="00206BD1"/>
    <w:rPr>
      <w:rFonts w:cs="Arial"/>
      <w:b/>
      <w:iCs/>
      <w:sz w:val="28"/>
      <w:szCs w:val="28"/>
      <w:lang w:eastAsia="en-US"/>
    </w:rPr>
  </w:style>
  <w:style w:type="character" w:customStyle="1" w:styleId="Heading3Char">
    <w:name w:val="Heading 3 Char"/>
    <w:link w:val="Heading3"/>
    <w:rsid w:val="00206BD1"/>
    <w:rPr>
      <w:rFonts w:cs="Arial"/>
      <w:b/>
      <w:bCs/>
      <w:iCs/>
      <w:sz w:val="24"/>
      <w:szCs w:val="26"/>
      <w:lang w:eastAsia="en-US"/>
    </w:rPr>
  </w:style>
  <w:style w:type="character" w:customStyle="1" w:styleId="FootnoteTextChar">
    <w:name w:val="Footnote Text Char"/>
    <w:link w:val="FootnoteText"/>
    <w:semiHidden/>
    <w:rsid w:val="00206BD1"/>
    <w:rPr>
      <w:sz w:val="16"/>
      <w:lang w:eastAsia="en-US"/>
    </w:rPr>
  </w:style>
  <w:style w:type="paragraph" w:customStyle="1" w:styleId="PlainHanging1">
    <w:name w:val="Plain Hanging1"/>
    <w:basedOn w:val="Normal"/>
    <w:rsid w:val="00206BD1"/>
    <w:pPr>
      <w:spacing w:after="200"/>
      <w:ind w:left="1020" w:hanging="510"/>
    </w:pPr>
  </w:style>
  <w:style w:type="paragraph" w:customStyle="1" w:styleId="PlainHanging0">
    <w:name w:val="Plain Hanging0"/>
    <w:basedOn w:val="PlainHanging1"/>
    <w:qFormat/>
    <w:rsid w:val="00206BD1"/>
    <w:pPr>
      <w:ind w:left="510"/>
    </w:pPr>
  </w:style>
  <w:style w:type="paragraph" w:customStyle="1" w:styleId="BoldHanging0">
    <w:name w:val="Bold Hanging0"/>
    <w:basedOn w:val="PlainHanging0"/>
    <w:qFormat/>
    <w:rsid w:val="00206BD1"/>
    <w:rPr>
      <w:b/>
    </w:rPr>
  </w:style>
  <w:style w:type="character" w:customStyle="1" w:styleId="Heading1Char">
    <w:name w:val="Heading 1 Char"/>
    <w:link w:val="Heading1"/>
    <w:rsid w:val="00206BD1"/>
    <w:rPr>
      <w:rFonts w:ascii="Cambria" w:eastAsia="Times New Roman" w:hAnsi="Cambria" w:cs="Times New Roman"/>
      <w:b/>
      <w:bCs/>
      <w:kern w:val="32"/>
      <w:sz w:val="32"/>
      <w:szCs w:val="32"/>
      <w:lang w:eastAsia="en-US"/>
    </w:rPr>
  </w:style>
  <w:style w:type="character" w:styleId="CommentReference">
    <w:name w:val="annotation reference"/>
    <w:basedOn w:val="DefaultParagraphFont"/>
    <w:rsid w:val="007B6CC3"/>
    <w:rPr>
      <w:sz w:val="16"/>
      <w:szCs w:val="16"/>
    </w:rPr>
  </w:style>
  <w:style w:type="paragraph" w:styleId="CommentText">
    <w:name w:val="annotation text"/>
    <w:basedOn w:val="Normal"/>
    <w:link w:val="CommentTextChar"/>
    <w:rsid w:val="007B6CC3"/>
    <w:pPr>
      <w:spacing w:line="240" w:lineRule="auto"/>
    </w:pPr>
  </w:style>
  <w:style w:type="character" w:customStyle="1" w:styleId="CommentTextChar">
    <w:name w:val="Comment Text Char"/>
    <w:basedOn w:val="DefaultParagraphFont"/>
    <w:link w:val="CommentText"/>
    <w:rsid w:val="007B6CC3"/>
    <w:rPr>
      <w:lang w:eastAsia="en-US"/>
    </w:rPr>
  </w:style>
  <w:style w:type="paragraph" w:styleId="CommentSubject">
    <w:name w:val="annotation subject"/>
    <w:basedOn w:val="CommentText"/>
    <w:next w:val="CommentText"/>
    <w:link w:val="CommentSubjectChar"/>
    <w:rsid w:val="007B6CC3"/>
    <w:rPr>
      <w:b/>
      <w:bCs/>
    </w:rPr>
  </w:style>
  <w:style w:type="character" w:customStyle="1" w:styleId="CommentSubjectChar">
    <w:name w:val="Comment Subject Char"/>
    <w:basedOn w:val="CommentTextChar"/>
    <w:link w:val="CommentSubject"/>
    <w:rsid w:val="007B6CC3"/>
    <w:rPr>
      <w:b/>
      <w:bCs/>
      <w:lang w:eastAsia="en-US"/>
    </w:rPr>
  </w:style>
  <w:style w:type="paragraph" w:styleId="ListParagraph">
    <w:name w:val="List Paragraph"/>
    <w:basedOn w:val="Normal"/>
    <w:uiPriority w:val="34"/>
    <w:qFormat/>
    <w:rsid w:val="00BE0F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5"/>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00" w:lineRule="exact"/>
    </w:pPr>
    <w:rPr>
      <w:lang w:eastAsia="en-US"/>
    </w:rPr>
  </w:style>
  <w:style w:type="paragraph" w:styleId="Heading1">
    <w:name w:val="heading 1"/>
    <w:basedOn w:val="Normal"/>
    <w:next w:val="Normal"/>
    <w:link w:val="Heading1Char"/>
    <w:qFormat/>
    <w:rsid w:val="00206BD1"/>
    <w:pPr>
      <w:keepNext/>
      <w:spacing w:before="240" w:after="60"/>
      <w:outlineLvl w:val="0"/>
    </w:pPr>
    <w:rPr>
      <w:rFonts w:ascii="Cambria" w:hAnsi="Cambria"/>
      <w:b/>
      <w:bCs/>
      <w:kern w:val="32"/>
      <w:sz w:val="32"/>
      <w:szCs w:val="32"/>
    </w:rPr>
  </w:style>
  <w:style w:type="paragraph" w:styleId="Heading2">
    <w:name w:val="heading 2"/>
    <w:basedOn w:val="Heading1"/>
    <w:next w:val="Normal"/>
    <w:link w:val="Heading2Char"/>
    <w:qFormat/>
    <w:rsid w:val="00206BD1"/>
    <w:pPr>
      <w:spacing w:before="0" w:after="200" w:line="280" w:lineRule="exact"/>
      <w:outlineLvl w:val="1"/>
    </w:pPr>
    <w:rPr>
      <w:rFonts w:ascii="Times New Roman" w:hAnsi="Times New Roman" w:cs="Arial"/>
      <w:bCs w:val="0"/>
      <w:iCs/>
      <w:kern w:val="0"/>
      <w:sz w:val="28"/>
      <w:szCs w:val="28"/>
    </w:rPr>
  </w:style>
  <w:style w:type="paragraph" w:styleId="Heading3">
    <w:name w:val="heading 3"/>
    <w:basedOn w:val="Heading2"/>
    <w:next w:val="Normal"/>
    <w:link w:val="Heading3Char"/>
    <w:qFormat/>
    <w:rsid w:val="00206BD1"/>
    <w:pPr>
      <w:spacing w:line="240" w:lineRule="exact"/>
      <w:outlineLvl w:val="2"/>
    </w:pPr>
    <w:rPr>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semiHidden/>
    <w:pPr>
      <w:tabs>
        <w:tab w:val="center" w:leader="dot" w:pos="5760"/>
      </w:tabs>
      <w:ind w:left="1440"/>
    </w:pPr>
  </w:style>
  <w:style w:type="paragraph" w:styleId="TOC2">
    <w:name w:val="toc 2"/>
    <w:basedOn w:val="Normal"/>
    <w:next w:val="Normal"/>
    <w:semiHidden/>
    <w:pPr>
      <w:tabs>
        <w:tab w:val="center" w:leader="dot" w:pos="5760"/>
      </w:tabs>
      <w:ind w:left="720"/>
    </w:pPr>
  </w:style>
  <w:style w:type="paragraph" w:styleId="TOC1">
    <w:name w:val="toc 1"/>
    <w:basedOn w:val="Normal"/>
    <w:next w:val="Normal"/>
    <w:semiHidden/>
    <w:pPr>
      <w:tabs>
        <w:tab w:val="center" w:leader="dot" w:pos="5760"/>
      </w:tabs>
      <w:spacing w:before="240"/>
    </w:pPr>
  </w:style>
  <w:style w:type="paragraph" w:styleId="Footer">
    <w:name w:val="footer"/>
    <w:basedOn w:val="Normal"/>
    <w:pPr>
      <w:tabs>
        <w:tab w:val="center" w:pos="3119"/>
      </w:tabs>
      <w:spacing w:line="240" w:lineRule="auto"/>
    </w:pPr>
  </w:style>
  <w:style w:type="paragraph" w:styleId="Header">
    <w:name w:val="header"/>
    <w:basedOn w:val="Normal"/>
    <w:pPr>
      <w:tabs>
        <w:tab w:val="center" w:pos="4320"/>
        <w:tab w:val="right" w:pos="8640"/>
      </w:tabs>
      <w:spacing w:line="240" w:lineRule="auto"/>
    </w:pPr>
  </w:style>
  <w:style w:type="paragraph" w:styleId="Title">
    <w:name w:val="Title"/>
    <w:basedOn w:val="Normal"/>
    <w:next w:val="Normal"/>
    <w:qFormat/>
    <w:pPr>
      <w:spacing w:line="500" w:lineRule="exact"/>
      <w:ind w:right="720"/>
    </w:pPr>
    <w:rPr>
      <w:b/>
      <w:sz w:val="50"/>
    </w:rPr>
  </w:style>
  <w:style w:type="paragraph" w:customStyle="1" w:styleId="TopHeading1">
    <w:name w:val="Top Heading 1"/>
    <w:basedOn w:val="Normal"/>
    <w:pPr>
      <w:spacing w:after="200" w:line="280" w:lineRule="exact"/>
      <w:jc w:val="center"/>
    </w:pPr>
    <w:rPr>
      <w:b/>
      <w:caps/>
      <w:sz w:val="28"/>
    </w:rPr>
  </w:style>
  <w:style w:type="paragraph" w:customStyle="1" w:styleId="ParaHeading3">
    <w:name w:val="Para Heading 3"/>
    <w:basedOn w:val="Normal"/>
    <w:next w:val="StandardPara"/>
    <w:pPr>
      <w:keepNext/>
      <w:keepLines/>
      <w:spacing w:before="200" w:after="200" w:line="280" w:lineRule="exact"/>
      <w:ind w:left="720" w:hanging="720"/>
    </w:pPr>
    <w:rPr>
      <w:b/>
      <w:sz w:val="28"/>
    </w:rPr>
  </w:style>
  <w:style w:type="paragraph" w:customStyle="1" w:styleId="StandardPara">
    <w:name w:val="Standard Para"/>
    <w:basedOn w:val="Normal"/>
    <w:pPr>
      <w:spacing w:after="200"/>
      <w:ind w:left="720" w:hanging="720"/>
    </w:pPr>
    <w:rPr>
      <w:b/>
    </w:rPr>
  </w:style>
  <w:style w:type="paragraph" w:customStyle="1" w:styleId="EDNumber">
    <w:name w:val="ED Number"/>
    <w:basedOn w:val="Normal"/>
    <w:pPr>
      <w:tabs>
        <w:tab w:val="right" w:pos="6237"/>
      </w:tabs>
      <w:spacing w:line="240" w:lineRule="auto"/>
    </w:pPr>
  </w:style>
  <w:style w:type="paragraph" w:customStyle="1" w:styleId="ContentsPlain">
    <w:name w:val="Contents Plain"/>
    <w:basedOn w:val="Normal"/>
    <w:pPr>
      <w:spacing w:before="100" w:line="240" w:lineRule="exact"/>
      <w:ind w:right="720"/>
    </w:pPr>
    <w:rPr>
      <w:sz w:val="24"/>
    </w:rPr>
  </w:style>
  <w:style w:type="paragraph" w:customStyle="1" w:styleId="ContentsBold">
    <w:name w:val="Contents Bold"/>
    <w:basedOn w:val="Normal"/>
    <w:pPr>
      <w:tabs>
        <w:tab w:val="left" w:pos="432"/>
      </w:tabs>
      <w:spacing w:before="100" w:line="280" w:lineRule="exact"/>
      <w:ind w:left="720" w:right="720" w:hanging="720"/>
    </w:pPr>
    <w:rPr>
      <w:b/>
      <w:sz w:val="28"/>
    </w:rPr>
  </w:style>
  <w:style w:type="paragraph" w:customStyle="1" w:styleId="ContentsIndent">
    <w:name w:val="Contents Indent"/>
    <w:basedOn w:val="ContentsBold"/>
    <w:pPr>
      <w:tabs>
        <w:tab w:val="clear" w:pos="432"/>
      </w:tabs>
      <w:spacing w:before="0" w:line="240" w:lineRule="exact"/>
      <w:ind w:left="1584" w:hanging="432"/>
    </w:pPr>
    <w:rPr>
      <w:b w:val="0"/>
      <w:sz w:val="24"/>
    </w:rPr>
  </w:style>
  <w:style w:type="paragraph" w:customStyle="1" w:styleId="StandardIndent">
    <w:name w:val="Standard Indent"/>
    <w:basedOn w:val="StandardPara"/>
    <w:pPr>
      <w:ind w:firstLine="0"/>
    </w:pPr>
  </w:style>
  <w:style w:type="paragraph" w:customStyle="1" w:styleId="TopHeading2">
    <w:name w:val="Top Heading 2"/>
    <w:basedOn w:val="TopHeading1"/>
    <w:pPr>
      <w:jc w:val="left"/>
    </w:pPr>
    <w:rPr>
      <w:caps w:val="0"/>
    </w:rPr>
  </w:style>
  <w:style w:type="paragraph" w:customStyle="1" w:styleId="StandardPoint">
    <w:name w:val="Standard Point"/>
    <w:basedOn w:val="StandardPara"/>
    <w:pPr>
      <w:ind w:left="1440"/>
    </w:pPr>
  </w:style>
  <w:style w:type="paragraph" w:customStyle="1" w:styleId="CommentPara">
    <w:name w:val="Comment Para"/>
    <w:basedOn w:val="Normal"/>
    <w:pPr>
      <w:spacing w:after="200"/>
      <w:ind w:left="720" w:hanging="720"/>
      <w:outlineLvl w:val="2"/>
    </w:pPr>
  </w:style>
  <w:style w:type="paragraph" w:customStyle="1" w:styleId="ParaHeading4">
    <w:name w:val="Para Heading 4"/>
    <w:basedOn w:val="ParaHeading3"/>
    <w:next w:val="CommentPara"/>
    <w:pPr>
      <w:spacing w:before="0" w:line="240" w:lineRule="exact"/>
      <w:ind w:firstLine="0"/>
    </w:pPr>
    <w:rPr>
      <w:sz w:val="24"/>
    </w:rPr>
  </w:style>
  <w:style w:type="paragraph" w:customStyle="1" w:styleId="CommentPoint">
    <w:name w:val="Comment Point"/>
    <w:basedOn w:val="CommentPara"/>
    <w:pPr>
      <w:ind w:left="1440"/>
      <w:outlineLvl w:val="4"/>
    </w:pPr>
  </w:style>
  <w:style w:type="paragraph" w:customStyle="1" w:styleId="DefinePara">
    <w:name w:val="Define Para"/>
    <w:basedOn w:val="Normal"/>
    <w:pPr>
      <w:spacing w:after="200"/>
      <w:ind w:left="1080" w:hanging="360"/>
    </w:pPr>
    <w:rPr>
      <w:b/>
    </w:rPr>
  </w:style>
  <w:style w:type="paragraph" w:customStyle="1" w:styleId="DefinePoint">
    <w:name w:val="Define Point"/>
    <w:basedOn w:val="DefinePara"/>
    <w:pPr>
      <w:ind w:left="1800" w:hanging="720"/>
    </w:pPr>
  </w:style>
  <w:style w:type="paragraph" w:customStyle="1" w:styleId="CommentIndent">
    <w:name w:val="Comment Indent"/>
    <w:basedOn w:val="CommentPara"/>
    <w:pPr>
      <w:ind w:firstLine="0"/>
      <w:outlineLvl w:val="9"/>
    </w:pPr>
  </w:style>
  <w:style w:type="paragraph" w:customStyle="1" w:styleId="DefineIndent">
    <w:name w:val="Define Indent"/>
    <w:basedOn w:val="DefinePara"/>
    <w:pPr>
      <w:ind w:firstLine="0"/>
    </w:pPr>
  </w:style>
  <w:style w:type="paragraph" w:customStyle="1" w:styleId="TextPara">
    <w:name w:val="Text Para"/>
    <w:basedOn w:val="Normal"/>
    <w:pPr>
      <w:spacing w:after="200"/>
    </w:pPr>
  </w:style>
  <w:style w:type="paragraph" w:customStyle="1" w:styleId="TextPoint">
    <w:name w:val="Text Point"/>
    <w:basedOn w:val="TextPara"/>
    <w:pPr>
      <w:ind w:left="720" w:hanging="720"/>
    </w:pPr>
  </w:style>
  <w:style w:type="paragraph" w:customStyle="1" w:styleId="Appendices">
    <w:name w:val="Appendices"/>
    <w:basedOn w:val="Normal"/>
    <w:pPr>
      <w:spacing w:before="100" w:line="220" w:lineRule="exact"/>
      <w:ind w:left="864" w:right="720" w:hanging="432"/>
    </w:pPr>
    <w:rPr>
      <w:sz w:val="22"/>
    </w:rPr>
  </w:style>
  <w:style w:type="paragraph" w:customStyle="1" w:styleId="StandardIndentPoint">
    <w:name w:val="Standard Indent Point"/>
    <w:basedOn w:val="StandardPara"/>
    <w:pPr>
      <w:ind w:left="2160"/>
    </w:pPr>
  </w:style>
  <w:style w:type="paragraph" w:customStyle="1" w:styleId="CommentIndentPoint">
    <w:name w:val="Comment Indent Point"/>
    <w:basedOn w:val="CommentPara"/>
    <w:pPr>
      <w:ind w:left="2160"/>
    </w:pPr>
  </w:style>
  <w:style w:type="paragraph" w:customStyle="1" w:styleId="SectionHeading">
    <w:name w:val="Section Heading"/>
    <w:basedOn w:val="Normal"/>
    <w:next w:val="Normal"/>
    <w:pPr>
      <w:spacing w:after="240"/>
    </w:pPr>
    <w:rPr>
      <w:i/>
      <w:u w:val="single"/>
    </w:rPr>
  </w:style>
  <w:style w:type="paragraph" w:customStyle="1" w:styleId="CommentsPage">
    <w:name w:val="CommentsPage"/>
    <w:basedOn w:val="Normal"/>
    <w:next w:val="Normal"/>
  </w:style>
  <w:style w:type="paragraph" w:styleId="FootnoteText">
    <w:name w:val="footnote text"/>
    <w:basedOn w:val="Normal"/>
    <w:link w:val="FootnoteTextChar"/>
    <w:uiPriority w:val="5"/>
    <w:semiHidden/>
    <w:pPr>
      <w:spacing w:line="240" w:lineRule="auto"/>
      <w:ind w:left="432" w:hanging="432"/>
    </w:pPr>
    <w:rPr>
      <w:sz w:val="16"/>
    </w:rPr>
  </w:style>
  <w:style w:type="paragraph" w:styleId="BalloonText">
    <w:name w:val="Balloon Text"/>
    <w:basedOn w:val="Normal"/>
    <w:semiHidden/>
    <w:rsid w:val="00150F8F"/>
    <w:rPr>
      <w:rFonts w:ascii="Tahoma" w:hAnsi="Tahoma" w:cs="Tahoma"/>
      <w:sz w:val="16"/>
      <w:szCs w:val="16"/>
    </w:rPr>
  </w:style>
  <w:style w:type="paragraph" w:customStyle="1" w:styleId="DefineSubPoint">
    <w:name w:val="Define SubPoint"/>
    <w:basedOn w:val="DefinePoint"/>
    <w:pPr>
      <w:ind w:left="2520"/>
    </w:pPr>
  </w:style>
  <w:style w:type="table" w:styleId="TableGrid">
    <w:name w:val="Table Grid"/>
    <w:basedOn w:val="TableNormal"/>
    <w:rsid w:val="002A75A1"/>
    <w:pPr>
      <w:spacing w:line="20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Date">
    <w:name w:val="Cover Date"/>
    <w:basedOn w:val="Normal"/>
    <w:next w:val="Normal"/>
    <w:rsid w:val="00680CC9"/>
    <w:pPr>
      <w:spacing w:line="240" w:lineRule="exact"/>
      <w:jc w:val="right"/>
    </w:pPr>
    <w:rPr>
      <w:sz w:val="24"/>
    </w:rPr>
  </w:style>
  <w:style w:type="paragraph" w:customStyle="1" w:styleId="CoverTitle">
    <w:name w:val="Cover Title"/>
    <w:basedOn w:val="Normal"/>
    <w:rsid w:val="00680CC9"/>
    <w:pPr>
      <w:spacing w:line="500" w:lineRule="exact"/>
    </w:pPr>
    <w:rPr>
      <w:b/>
      <w:sz w:val="50"/>
    </w:rPr>
  </w:style>
  <w:style w:type="character" w:styleId="FootnoteReference">
    <w:name w:val="footnote reference"/>
    <w:rsid w:val="004E2842"/>
    <w:rPr>
      <w:vertAlign w:val="superscript"/>
    </w:rPr>
  </w:style>
  <w:style w:type="paragraph" w:customStyle="1" w:styleId="AppendixText">
    <w:name w:val="AppendixText"/>
    <w:basedOn w:val="Normal"/>
    <w:rsid w:val="003C0537"/>
    <w:pPr>
      <w:spacing w:after="200"/>
    </w:pPr>
  </w:style>
  <w:style w:type="paragraph" w:customStyle="1" w:styleId="NoNumPlain1">
    <w:name w:val="NoNum Plain1"/>
    <w:basedOn w:val="Normal"/>
    <w:rsid w:val="0059365B"/>
    <w:pPr>
      <w:spacing w:after="200" w:line="240" w:lineRule="exact"/>
    </w:pPr>
    <w:rPr>
      <w:sz w:val="24"/>
    </w:rPr>
  </w:style>
  <w:style w:type="paragraph" w:customStyle="1" w:styleId="NumPlain1">
    <w:name w:val="Num Plain1"/>
    <w:basedOn w:val="Normal"/>
    <w:link w:val="NumPlain1Char"/>
    <w:rsid w:val="00FA1D88"/>
    <w:pPr>
      <w:spacing w:after="200"/>
    </w:pPr>
  </w:style>
  <w:style w:type="character" w:customStyle="1" w:styleId="NumPlain1Char">
    <w:name w:val="Num Plain1 Char"/>
    <w:link w:val="NumPlain1"/>
    <w:rsid w:val="00FA1D88"/>
    <w:rPr>
      <w:lang w:val="en-AU" w:eastAsia="en-US" w:bidi="ar-SA"/>
    </w:rPr>
  </w:style>
  <w:style w:type="paragraph" w:customStyle="1" w:styleId="Default">
    <w:name w:val="Default"/>
    <w:rsid w:val="00702BDE"/>
    <w:pPr>
      <w:autoSpaceDE w:val="0"/>
      <w:autoSpaceDN w:val="0"/>
      <w:adjustRightInd w:val="0"/>
    </w:pPr>
    <w:rPr>
      <w:rFonts w:ascii="Arial" w:hAnsi="Arial" w:cs="Arial"/>
      <w:color w:val="000000"/>
      <w:sz w:val="24"/>
      <w:szCs w:val="24"/>
    </w:rPr>
  </w:style>
  <w:style w:type="paragraph" w:customStyle="1" w:styleId="NumBC1">
    <w:name w:val="Num BC1"/>
    <w:basedOn w:val="Normal"/>
    <w:rsid w:val="00D71B36"/>
    <w:pPr>
      <w:numPr>
        <w:numId w:val="2"/>
      </w:numPr>
      <w:spacing w:after="200"/>
    </w:pPr>
  </w:style>
  <w:style w:type="paragraph" w:customStyle="1" w:styleId="NumBC2">
    <w:name w:val="Num BC2"/>
    <w:basedOn w:val="NumBC1"/>
    <w:rsid w:val="00D71B36"/>
    <w:pPr>
      <w:numPr>
        <w:ilvl w:val="1"/>
      </w:numPr>
    </w:pPr>
  </w:style>
  <w:style w:type="paragraph" w:customStyle="1" w:styleId="NumBC3">
    <w:name w:val="Num BC3"/>
    <w:basedOn w:val="NumBC2"/>
    <w:rsid w:val="00D71B36"/>
    <w:pPr>
      <w:numPr>
        <w:ilvl w:val="2"/>
      </w:numPr>
    </w:pPr>
  </w:style>
  <w:style w:type="paragraph" w:customStyle="1" w:styleId="NumBC4">
    <w:name w:val="Num BC4"/>
    <w:basedOn w:val="NumBC3"/>
    <w:rsid w:val="00D71B36"/>
    <w:pPr>
      <w:numPr>
        <w:ilvl w:val="3"/>
      </w:numPr>
    </w:pPr>
  </w:style>
  <w:style w:type="paragraph" w:customStyle="1" w:styleId="NumPlain2">
    <w:name w:val="Num Plain2"/>
    <w:basedOn w:val="NumPlain1"/>
    <w:rsid w:val="008B7B9B"/>
    <w:pPr>
      <w:tabs>
        <w:tab w:val="num" w:pos="1021"/>
      </w:tabs>
      <w:ind w:left="1021" w:hanging="511"/>
    </w:pPr>
  </w:style>
  <w:style w:type="paragraph" w:customStyle="1" w:styleId="NumPlain4">
    <w:name w:val="Num Plain4"/>
    <w:basedOn w:val="Normal"/>
    <w:rsid w:val="008B7B9B"/>
    <w:pPr>
      <w:tabs>
        <w:tab w:val="num" w:pos="2041"/>
        <w:tab w:val="num" w:pos="2495"/>
      </w:tabs>
      <w:spacing w:after="200"/>
      <w:ind w:left="2495" w:hanging="624"/>
    </w:pPr>
  </w:style>
  <w:style w:type="paragraph" w:customStyle="1" w:styleId="Bullet1">
    <w:name w:val="Bullet1"/>
    <w:basedOn w:val="Normal"/>
    <w:rsid w:val="008B7B9B"/>
    <w:pPr>
      <w:tabs>
        <w:tab w:val="num" w:pos="360"/>
      </w:tabs>
      <w:spacing w:after="200"/>
      <w:ind w:left="360" w:hanging="360"/>
    </w:pPr>
  </w:style>
  <w:style w:type="paragraph" w:customStyle="1" w:styleId="Bullets">
    <w:name w:val="Bullets"/>
    <w:basedOn w:val="Normal"/>
    <w:rsid w:val="00191B5C"/>
    <w:pPr>
      <w:numPr>
        <w:numId w:val="3"/>
      </w:numPr>
      <w:tabs>
        <w:tab w:val="clear" w:pos="360"/>
        <w:tab w:val="num" w:pos="1134"/>
      </w:tabs>
      <w:spacing w:line="240" w:lineRule="auto"/>
      <w:ind w:left="1134"/>
    </w:pPr>
    <w:rPr>
      <w:sz w:val="24"/>
    </w:rPr>
  </w:style>
  <w:style w:type="character" w:customStyle="1" w:styleId="Heading2Char">
    <w:name w:val="Heading 2 Char"/>
    <w:link w:val="Heading2"/>
    <w:rsid w:val="00206BD1"/>
    <w:rPr>
      <w:rFonts w:cs="Arial"/>
      <w:b/>
      <w:iCs/>
      <w:sz w:val="28"/>
      <w:szCs w:val="28"/>
      <w:lang w:eastAsia="en-US"/>
    </w:rPr>
  </w:style>
  <w:style w:type="character" w:customStyle="1" w:styleId="Heading3Char">
    <w:name w:val="Heading 3 Char"/>
    <w:link w:val="Heading3"/>
    <w:rsid w:val="00206BD1"/>
    <w:rPr>
      <w:rFonts w:cs="Arial"/>
      <w:b/>
      <w:bCs/>
      <w:iCs/>
      <w:sz w:val="24"/>
      <w:szCs w:val="26"/>
      <w:lang w:eastAsia="en-US"/>
    </w:rPr>
  </w:style>
  <w:style w:type="character" w:customStyle="1" w:styleId="FootnoteTextChar">
    <w:name w:val="Footnote Text Char"/>
    <w:link w:val="FootnoteText"/>
    <w:semiHidden/>
    <w:rsid w:val="00206BD1"/>
    <w:rPr>
      <w:sz w:val="16"/>
      <w:lang w:eastAsia="en-US"/>
    </w:rPr>
  </w:style>
  <w:style w:type="paragraph" w:customStyle="1" w:styleId="PlainHanging1">
    <w:name w:val="Plain Hanging1"/>
    <w:basedOn w:val="Normal"/>
    <w:rsid w:val="00206BD1"/>
    <w:pPr>
      <w:spacing w:after="200"/>
      <w:ind w:left="1020" w:hanging="510"/>
    </w:pPr>
  </w:style>
  <w:style w:type="paragraph" w:customStyle="1" w:styleId="PlainHanging0">
    <w:name w:val="Plain Hanging0"/>
    <w:basedOn w:val="PlainHanging1"/>
    <w:qFormat/>
    <w:rsid w:val="00206BD1"/>
    <w:pPr>
      <w:ind w:left="510"/>
    </w:pPr>
  </w:style>
  <w:style w:type="paragraph" w:customStyle="1" w:styleId="BoldHanging0">
    <w:name w:val="Bold Hanging0"/>
    <w:basedOn w:val="PlainHanging0"/>
    <w:qFormat/>
    <w:rsid w:val="00206BD1"/>
    <w:rPr>
      <w:b/>
    </w:rPr>
  </w:style>
  <w:style w:type="character" w:customStyle="1" w:styleId="Heading1Char">
    <w:name w:val="Heading 1 Char"/>
    <w:link w:val="Heading1"/>
    <w:rsid w:val="00206BD1"/>
    <w:rPr>
      <w:rFonts w:ascii="Cambria" w:eastAsia="Times New Roman" w:hAnsi="Cambria" w:cs="Times New Roman"/>
      <w:b/>
      <w:bCs/>
      <w:kern w:val="32"/>
      <w:sz w:val="32"/>
      <w:szCs w:val="32"/>
      <w:lang w:eastAsia="en-US"/>
    </w:rPr>
  </w:style>
  <w:style w:type="character" w:styleId="CommentReference">
    <w:name w:val="annotation reference"/>
    <w:basedOn w:val="DefaultParagraphFont"/>
    <w:rsid w:val="007B6CC3"/>
    <w:rPr>
      <w:sz w:val="16"/>
      <w:szCs w:val="16"/>
    </w:rPr>
  </w:style>
  <w:style w:type="paragraph" w:styleId="CommentText">
    <w:name w:val="annotation text"/>
    <w:basedOn w:val="Normal"/>
    <w:link w:val="CommentTextChar"/>
    <w:rsid w:val="007B6CC3"/>
    <w:pPr>
      <w:spacing w:line="240" w:lineRule="auto"/>
    </w:pPr>
  </w:style>
  <w:style w:type="character" w:customStyle="1" w:styleId="CommentTextChar">
    <w:name w:val="Comment Text Char"/>
    <w:basedOn w:val="DefaultParagraphFont"/>
    <w:link w:val="CommentText"/>
    <w:rsid w:val="007B6CC3"/>
    <w:rPr>
      <w:lang w:eastAsia="en-US"/>
    </w:rPr>
  </w:style>
  <w:style w:type="paragraph" w:styleId="CommentSubject">
    <w:name w:val="annotation subject"/>
    <w:basedOn w:val="CommentText"/>
    <w:next w:val="CommentText"/>
    <w:link w:val="CommentSubjectChar"/>
    <w:rsid w:val="007B6CC3"/>
    <w:rPr>
      <w:b/>
      <w:bCs/>
    </w:rPr>
  </w:style>
  <w:style w:type="character" w:customStyle="1" w:styleId="CommentSubjectChar">
    <w:name w:val="Comment Subject Char"/>
    <w:basedOn w:val="CommentTextChar"/>
    <w:link w:val="CommentSubject"/>
    <w:rsid w:val="007B6CC3"/>
    <w:rPr>
      <w:b/>
      <w:bCs/>
      <w:lang w:eastAsia="en-US"/>
    </w:rPr>
  </w:style>
  <w:style w:type="paragraph" w:styleId="ListParagraph">
    <w:name w:val="List Paragraph"/>
    <w:basedOn w:val="Normal"/>
    <w:uiPriority w:val="34"/>
    <w:qFormat/>
    <w:rsid w:val="00BE0F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576078">
      <w:bodyDiv w:val="1"/>
      <w:marLeft w:val="0"/>
      <w:marRight w:val="0"/>
      <w:marTop w:val="0"/>
      <w:marBottom w:val="0"/>
      <w:divBdr>
        <w:top w:val="none" w:sz="0" w:space="0" w:color="auto"/>
        <w:left w:val="none" w:sz="0" w:space="0" w:color="auto"/>
        <w:bottom w:val="none" w:sz="0" w:space="0" w:color="auto"/>
        <w:right w:val="none" w:sz="0" w:space="0" w:color="auto"/>
      </w:divBdr>
    </w:div>
    <w:div w:id="881599087">
      <w:bodyDiv w:val="1"/>
      <w:marLeft w:val="0"/>
      <w:marRight w:val="0"/>
      <w:marTop w:val="0"/>
      <w:marBottom w:val="0"/>
      <w:divBdr>
        <w:top w:val="none" w:sz="0" w:space="0" w:color="auto"/>
        <w:left w:val="none" w:sz="0" w:space="0" w:color="auto"/>
        <w:bottom w:val="none" w:sz="0" w:space="0" w:color="auto"/>
        <w:right w:val="none" w:sz="0" w:space="0" w:color="auto"/>
      </w:divBdr>
      <w:divsChild>
        <w:div w:id="1029525581">
          <w:marLeft w:val="0"/>
          <w:marRight w:val="0"/>
          <w:marTop w:val="0"/>
          <w:marBottom w:val="0"/>
          <w:divBdr>
            <w:top w:val="none" w:sz="0" w:space="0" w:color="auto"/>
            <w:left w:val="none" w:sz="0" w:space="0" w:color="auto"/>
            <w:bottom w:val="none" w:sz="0" w:space="0" w:color="auto"/>
            <w:right w:val="none" w:sz="0" w:space="0" w:color="auto"/>
          </w:divBdr>
          <w:divsChild>
            <w:div w:id="287469472">
              <w:marLeft w:val="0"/>
              <w:marRight w:val="0"/>
              <w:marTop w:val="0"/>
              <w:marBottom w:val="0"/>
              <w:divBdr>
                <w:top w:val="none" w:sz="0" w:space="0" w:color="auto"/>
                <w:left w:val="none" w:sz="0" w:space="0" w:color="auto"/>
                <w:bottom w:val="none" w:sz="0" w:space="0" w:color="auto"/>
                <w:right w:val="none" w:sz="0" w:space="0" w:color="auto"/>
              </w:divBdr>
            </w:div>
            <w:div w:id="1148126899">
              <w:marLeft w:val="0"/>
              <w:marRight w:val="0"/>
              <w:marTop w:val="0"/>
              <w:marBottom w:val="0"/>
              <w:divBdr>
                <w:top w:val="none" w:sz="0" w:space="0" w:color="auto"/>
                <w:left w:val="none" w:sz="0" w:space="0" w:color="auto"/>
                <w:bottom w:val="none" w:sz="0" w:space="0" w:color="auto"/>
                <w:right w:val="none" w:sz="0" w:space="0" w:color="auto"/>
              </w:divBdr>
            </w:div>
            <w:div w:id="1305503824">
              <w:marLeft w:val="0"/>
              <w:marRight w:val="0"/>
              <w:marTop w:val="0"/>
              <w:marBottom w:val="0"/>
              <w:divBdr>
                <w:top w:val="none" w:sz="0" w:space="0" w:color="auto"/>
                <w:left w:val="none" w:sz="0" w:space="0" w:color="auto"/>
                <w:bottom w:val="none" w:sz="0" w:space="0" w:color="auto"/>
                <w:right w:val="none" w:sz="0" w:space="0" w:color="auto"/>
              </w:divBdr>
            </w:div>
            <w:div w:id="1469082379">
              <w:marLeft w:val="0"/>
              <w:marRight w:val="0"/>
              <w:marTop w:val="0"/>
              <w:marBottom w:val="0"/>
              <w:divBdr>
                <w:top w:val="none" w:sz="0" w:space="0" w:color="auto"/>
                <w:left w:val="none" w:sz="0" w:space="0" w:color="auto"/>
                <w:bottom w:val="none" w:sz="0" w:space="0" w:color="auto"/>
                <w:right w:val="none" w:sz="0" w:space="0" w:color="auto"/>
              </w:divBdr>
            </w:div>
            <w:div w:id="1935549575">
              <w:marLeft w:val="0"/>
              <w:marRight w:val="0"/>
              <w:marTop w:val="0"/>
              <w:marBottom w:val="0"/>
              <w:divBdr>
                <w:top w:val="none" w:sz="0" w:space="0" w:color="auto"/>
                <w:left w:val="none" w:sz="0" w:space="0" w:color="auto"/>
                <w:bottom w:val="none" w:sz="0" w:space="0" w:color="auto"/>
                <w:right w:val="none" w:sz="0" w:space="0" w:color="auto"/>
              </w:divBdr>
            </w:div>
            <w:div w:id="200196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23598">
      <w:bodyDiv w:val="1"/>
      <w:marLeft w:val="0"/>
      <w:marRight w:val="0"/>
      <w:marTop w:val="0"/>
      <w:marBottom w:val="0"/>
      <w:divBdr>
        <w:top w:val="none" w:sz="0" w:space="0" w:color="auto"/>
        <w:left w:val="none" w:sz="0" w:space="0" w:color="auto"/>
        <w:bottom w:val="none" w:sz="0" w:space="0" w:color="auto"/>
        <w:right w:val="none" w:sz="0" w:space="0" w:color="auto"/>
      </w:divBdr>
      <w:divsChild>
        <w:div w:id="213392391">
          <w:marLeft w:val="0"/>
          <w:marRight w:val="0"/>
          <w:marTop w:val="0"/>
          <w:marBottom w:val="0"/>
          <w:divBdr>
            <w:top w:val="none" w:sz="0" w:space="0" w:color="auto"/>
            <w:left w:val="none" w:sz="0" w:space="0" w:color="auto"/>
            <w:bottom w:val="none" w:sz="0" w:space="0" w:color="auto"/>
            <w:right w:val="none" w:sz="0" w:space="0" w:color="auto"/>
          </w:divBdr>
          <w:divsChild>
            <w:div w:id="1846355784">
              <w:marLeft w:val="0"/>
              <w:marRight w:val="0"/>
              <w:marTop w:val="0"/>
              <w:marBottom w:val="0"/>
              <w:divBdr>
                <w:top w:val="none" w:sz="0" w:space="0" w:color="auto"/>
                <w:left w:val="none" w:sz="0" w:space="0" w:color="auto"/>
                <w:bottom w:val="none" w:sz="0" w:space="0" w:color="auto"/>
                <w:right w:val="none" w:sz="0" w:space="0" w:color="auto"/>
              </w:divBdr>
              <w:divsChild>
                <w:div w:id="1771002592">
                  <w:marLeft w:val="0"/>
                  <w:marRight w:val="0"/>
                  <w:marTop w:val="0"/>
                  <w:marBottom w:val="0"/>
                  <w:divBdr>
                    <w:top w:val="none" w:sz="0" w:space="0" w:color="auto"/>
                    <w:left w:val="none" w:sz="0" w:space="0" w:color="auto"/>
                    <w:bottom w:val="none" w:sz="0" w:space="0" w:color="auto"/>
                    <w:right w:val="none" w:sz="0" w:space="0" w:color="auto"/>
                  </w:divBdr>
                  <w:divsChild>
                    <w:div w:id="1654139639">
                      <w:marLeft w:val="0"/>
                      <w:marRight w:val="0"/>
                      <w:marTop w:val="0"/>
                      <w:marBottom w:val="0"/>
                      <w:divBdr>
                        <w:top w:val="none" w:sz="0" w:space="0" w:color="auto"/>
                        <w:left w:val="none" w:sz="0" w:space="0" w:color="auto"/>
                        <w:bottom w:val="none" w:sz="0" w:space="0" w:color="auto"/>
                        <w:right w:val="none" w:sz="0" w:space="0" w:color="auto"/>
                      </w:divBdr>
                      <w:divsChild>
                        <w:div w:id="271204205">
                          <w:marLeft w:val="150"/>
                          <w:marRight w:val="150"/>
                          <w:marTop w:val="0"/>
                          <w:marBottom w:val="0"/>
                          <w:divBdr>
                            <w:top w:val="none" w:sz="0" w:space="0" w:color="auto"/>
                            <w:left w:val="none" w:sz="0" w:space="0" w:color="auto"/>
                            <w:bottom w:val="none" w:sz="0" w:space="0" w:color="auto"/>
                            <w:right w:val="none" w:sz="0" w:space="0" w:color="auto"/>
                          </w:divBdr>
                          <w:divsChild>
                            <w:div w:id="1536967181">
                              <w:marLeft w:val="2325"/>
                              <w:marRight w:val="0"/>
                              <w:marTop w:val="0"/>
                              <w:marBottom w:val="0"/>
                              <w:divBdr>
                                <w:top w:val="none" w:sz="0" w:space="0" w:color="auto"/>
                                <w:left w:val="none" w:sz="0" w:space="0" w:color="auto"/>
                                <w:bottom w:val="none" w:sz="0" w:space="0" w:color="auto"/>
                                <w:right w:val="none" w:sz="0" w:space="0" w:color="auto"/>
                              </w:divBdr>
                              <w:divsChild>
                                <w:div w:id="1746758459">
                                  <w:marLeft w:val="0"/>
                                  <w:marRight w:val="0"/>
                                  <w:marTop w:val="0"/>
                                  <w:marBottom w:val="0"/>
                                  <w:divBdr>
                                    <w:top w:val="none" w:sz="0" w:space="0" w:color="auto"/>
                                    <w:left w:val="none" w:sz="0" w:space="0" w:color="auto"/>
                                    <w:bottom w:val="none" w:sz="0" w:space="0" w:color="auto"/>
                                    <w:right w:val="none" w:sz="0" w:space="0" w:color="auto"/>
                                  </w:divBdr>
                                  <w:divsChild>
                                    <w:div w:id="1372992965">
                                      <w:marLeft w:val="0"/>
                                      <w:marRight w:val="0"/>
                                      <w:marTop w:val="0"/>
                                      <w:marBottom w:val="0"/>
                                      <w:divBdr>
                                        <w:top w:val="none" w:sz="0" w:space="0" w:color="auto"/>
                                        <w:left w:val="none" w:sz="0" w:space="0" w:color="auto"/>
                                        <w:bottom w:val="single" w:sz="2" w:space="8" w:color="D1D2D4"/>
                                        <w:right w:val="none" w:sz="0" w:space="0" w:color="auto"/>
                                      </w:divBdr>
                                      <w:divsChild>
                                        <w:div w:id="1256091121">
                                          <w:marLeft w:val="0"/>
                                          <w:marRight w:val="0"/>
                                          <w:marTop w:val="0"/>
                                          <w:marBottom w:val="0"/>
                                          <w:divBdr>
                                            <w:top w:val="none" w:sz="0" w:space="0" w:color="auto"/>
                                            <w:left w:val="none" w:sz="0" w:space="0" w:color="auto"/>
                                            <w:bottom w:val="none" w:sz="0" w:space="0" w:color="auto"/>
                                            <w:right w:val="none" w:sz="0" w:space="0" w:color="auto"/>
                                          </w:divBdr>
                                          <w:divsChild>
                                            <w:div w:id="135784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4024143">
      <w:bodyDiv w:val="1"/>
      <w:marLeft w:val="0"/>
      <w:marRight w:val="0"/>
      <w:marTop w:val="0"/>
      <w:marBottom w:val="0"/>
      <w:divBdr>
        <w:top w:val="none" w:sz="0" w:space="0" w:color="auto"/>
        <w:left w:val="none" w:sz="0" w:space="0" w:color="auto"/>
        <w:bottom w:val="none" w:sz="0" w:space="0" w:color="auto"/>
        <w:right w:val="none" w:sz="0" w:space="0" w:color="auto"/>
      </w:divBdr>
      <w:divsChild>
        <w:div w:id="1802532548">
          <w:marLeft w:val="0"/>
          <w:marRight w:val="0"/>
          <w:marTop w:val="0"/>
          <w:marBottom w:val="0"/>
          <w:divBdr>
            <w:top w:val="none" w:sz="0" w:space="0" w:color="auto"/>
            <w:left w:val="none" w:sz="0" w:space="0" w:color="auto"/>
            <w:bottom w:val="none" w:sz="0" w:space="0" w:color="auto"/>
            <w:right w:val="none" w:sz="0" w:space="0" w:color="auto"/>
          </w:divBdr>
          <w:divsChild>
            <w:div w:id="382216817">
              <w:marLeft w:val="0"/>
              <w:marRight w:val="0"/>
              <w:marTop w:val="0"/>
              <w:marBottom w:val="0"/>
              <w:divBdr>
                <w:top w:val="none" w:sz="0" w:space="0" w:color="auto"/>
                <w:left w:val="none" w:sz="0" w:space="0" w:color="auto"/>
                <w:bottom w:val="none" w:sz="0" w:space="0" w:color="auto"/>
                <w:right w:val="none" w:sz="0" w:space="0" w:color="auto"/>
              </w:divBdr>
            </w:div>
            <w:div w:id="1170364238">
              <w:marLeft w:val="0"/>
              <w:marRight w:val="0"/>
              <w:marTop w:val="0"/>
              <w:marBottom w:val="0"/>
              <w:divBdr>
                <w:top w:val="none" w:sz="0" w:space="0" w:color="auto"/>
                <w:left w:val="none" w:sz="0" w:space="0" w:color="auto"/>
                <w:bottom w:val="none" w:sz="0" w:space="0" w:color="auto"/>
                <w:right w:val="none" w:sz="0" w:space="0" w:color="auto"/>
              </w:divBdr>
            </w:div>
            <w:div w:id="1646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35718">
      <w:bodyDiv w:val="1"/>
      <w:marLeft w:val="0"/>
      <w:marRight w:val="0"/>
      <w:marTop w:val="0"/>
      <w:marBottom w:val="0"/>
      <w:divBdr>
        <w:top w:val="none" w:sz="0" w:space="0" w:color="auto"/>
        <w:left w:val="none" w:sz="0" w:space="0" w:color="auto"/>
        <w:bottom w:val="none" w:sz="0" w:space="0" w:color="auto"/>
        <w:right w:val="none" w:sz="0" w:space="0" w:color="auto"/>
      </w:divBdr>
      <w:divsChild>
        <w:div w:id="481504105">
          <w:marLeft w:val="0"/>
          <w:marRight w:val="0"/>
          <w:marTop w:val="0"/>
          <w:marBottom w:val="0"/>
          <w:divBdr>
            <w:top w:val="none" w:sz="0" w:space="0" w:color="auto"/>
            <w:left w:val="none" w:sz="0" w:space="0" w:color="auto"/>
            <w:bottom w:val="none" w:sz="0" w:space="0" w:color="auto"/>
            <w:right w:val="none" w:sz="0" w:space="0" w:color="auto"/>
          </w:divBdr>
          <w:divsChild>
            <w:div w:id="173037762">
              <w:marLeft w:val="0"/>
              <w:marRight w:val="0"/>
              <w:marTop w:val="0"/>
              <w:marBottom w:val="0"/>
              <w:divBdr>
                <w:top w:val="none" w:sz="0" w:space="0" w:color="auto"/>
                <w:left w:val="none" w:sz="0" w:space="0" w:color="auto"/>
                <w:bottom w:val="none" w:sz="0" w:space="0" w:color="auto"/>
                <w:right w:val="none" w:sz="0" w:space="0" w:color="auto"/>
              </w:divBdr>
            </w:div>
            <w:div w:id="711077740">
              <w:marLeft w:val="0"/>
              <w:marRight w:val="0"/>
              <w:marTop w:val="0"/>
              <w:marBottom w:val="0"/>
              <w:divBdr>
                <w:top w:val="none" w:sz="0" w:space="0" w:color="auto"/>
                <w:left w:val="none" w:sz="0" w:space="0" w:color="auto"/>
                <w:bottom w:val="none" w:sz="0" w:space="0" w:color="auto"/>
                <w:right w:val="none" w:sz="0" w:space="0" w:color="auto"/>
              </w:divBdr>
            </w:div>
            <w:div w:id="1571035565">
              <w:marLeft w:val="0"/>
              <w:marRight w:val="0"/>
              <w:marTop w:val="0"/>
              <w:marBottom w:val="0"/>
              <w:divBdr>
                <w:top w:val="none" w:sz="0" w:space="0" w:color="auto"/>
                <w:left w:val="none" w:sz="0" w:space="0" w:color="auto"/>
                <w:bottom w:val="none" w:sz="0" w:space="0" w:color="auto"/>
                <w:right w:val="none" w:sz="0" w:space="0" w:color="auto"/>
              </w:divBdr>
            </w:div>
            <w:div w:id="20655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A2B78-07D6-456E-9EC6-265BD03E1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3678</Words>
  <Characters>21087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AASB 8 RIS (Feb 2007)</vt:lpstr>
    </vt:vector>
  </TitlesOfParts>
  <Company>AASB</Company>
  <LinksUpToDate>false</LinksUpToDate>
  <CharactersWithSpaces>24716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AASB 8 RIS (Feb 2007)</dc:title>
  <dc:creator>Ahmad Hamidi-Ravari</dc:creator>
  <cp:lastModifiedBy>Shaun Steenkamp</cp:lastModifiedBy>
  <cp:revision>3</cp:revision>
  <cp:lastPrinted>2013-08-01T05:33:00Z</cp:lastPrinted>
  <dcterms:created xsi:type="dcterms:W3CDTF">2013-08-13T02:31:00Z</dcterms:created>
  <dcterms:modified xsi:type="dcterms:W3CDTF">2013-08-13T02:34:00Z</dcterms:modified>
</cp:coreProperties>
</file>