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F99" w:rsidRPr="00AA028C" w:rsidRDefault="00E34F99" w:rsidP="00E34F99">
      <w:pPr>
        <w:keepNext/>
        <w:spacing w:after="0"/>
        <w:jc w:val="center"/>
        <w:rPr>
          <w:rFonts w:ascii="Arial" w:hAnsi="Arial" w:cs="Arial"/>
          <w:b/>
        </w:rPr>
      </w:pPr>
      <w:r w:rsidRPr="00AA028C">
        <w:rPr>
          <w:rFonts w:ascii="Arial" w:hAnsi="Arial" w:cs="Arial"/>
          <w:b/>
        </w:rPr>
        <w:t>EXPLANATORY STATEMENT</w:t>
      </w:r>
    </w:p>
    <w:p w:rsidR="00E34F99" w:rsidRPr="00AA028C" w:rsidRDefault="00E34F99" w:rsidP="00E34F99">
      <w:pPr>
        <w:spacing w:after="0"/>
        <w:rPr>
          <w:rFonts w:ascii="Arial" w:hAnsi="Arial" w:cs="Arial"/>
        </w:rPr>
      </w:pPr>
    </w:p>
    <w:p w:rsidR="00E34F99" w:rsidRPr="00AA028C" w:rsidRDefault="00E34F99" w:rsidP="00E34F99">
      <w:pPr>
        <w:spacing w:after="0"/>
        <w:jc w:val="center"/>
        <w:rPr>
          <w:rFonts w:ascii="Arial" w:hAnsi="Arial" w:cs="Arial"/>
          <w:i/>
        </w:rPr>
      </w:pPr>
      <w:r w:rsidRPr="00AA028C">
        <w:rPr>
          <w:rFonts w:ascii="Arial" w:hAnsi="Arial" w:cs="Arial"/>
          <w:i/>
        </w:rPr>
        <w:t>Guidelines issued under section 238-10 of the Higher Education Support Act 2003</w:t>
      </w:r>
    </w:p>
    <w:p w:rsidR="00E34F99" w:rsidRPr="00AA028C" w:rsidRDefault="00E34F99" w:rsidP="00E34F99">
      <w:pPr>
        <w:spacing w:after="0"/>
        <w:jc w:val="center"/>
        <w:rPr>
          <w:rFonts w:ascii="Arial" w:hAnsi="Arial" w:cs="Arial"/>
          <w:u w:val="single"/>
        </w:rPr>
      </w:pPr>
    </w:p>
    <w:p w:rsidR="00E34F99" w:rsidRPr="00AA028C" w:rsidRDefault="00E34F99" w:rsidP="00E34F99">
      <w:pPr>
        <w:spacing w:after="0"/>
        <w:jc w:val="center"/>
        <w:rPr>
          <w:rFonts w:ascii="Arial" w:hAnsi="Arial" w:cs="Arial"/>
        </w:rPr>
      </w:pPr>
      <w:bookmarkStart w:id="0" w:name="OLE_LINK8"/>
      <w:bookmarkStart w:id="1" w:name="OLE_LINK9"/>
      <w:r w:rsidRPr="00AA028C">
        <w:rPr>
          <w:rFonts w:ascii="Arial" w:hAnsi="Arial" w:cs="Arial"/>
        </w:rPr>
        <w:t xml:space="preserve">Amendment No </w:t>
      </w:r>
      <w:r w:rsidR="00AA028C" w:rsidRPr="00AA028C">
        <w:rPr>
          <w:rFonts w:ascii="Arial" w:hAnsi="Arial" w:cs="Arial"/>
        </w:rPr>
        <w:t>2</w:t>
      </w:r>
      <w:r w:rsidRPr="00AA028C">
        <w:rPr>
          <w:rFonts w:ascii="Arial" w:hAnsi="Arial" w:cs="Arial"/>
        </w:rPr>
        <w:t xml:space="preserve"> to the </w:t>
      </w:r>
      <w:r w:rsidRPr="00AA028C">
        <w:rPr>
          <w:rFonts w:ascii="Arial" w:hAnsi="Arial" w:cs="Arial"/>
          <w:i/>
        </w:rPr>
        <w:t>Other Grants Guidelines (Education) 201</w:t>
      </w:r>
      <w:bookmarkEnd w:id="0"/>
      <w:bookmarkEnd w:id="1"/>
      <w:r w:rsidRPr="00AA028C">
        <w:rPr>
          <w:rFonts w:ascii="Arial" w:hAnsi="Arial" w:cs="Arial"/>
          <w:i/>
        </w:rPr>
        <w:t>2</w:t>
      </w:r>
    </w:p>
    <w:p w:rsidR="00E34F99" w:rsidRPr="00AA028C" w:rsidRDefault="00E34F99" w:rsidP="00E34F99">
      <w:pPr>
        <w:spacing w:after="0"/>
        <w:rPr>
          <w:rFonts w:ascii="Arial" w:hAnsi="Arial" w:cs="Arial"/>
        </w:rPr>
      </w:pPr>
    </w:p>
    <w:p w:rsidR="00E34F99" w:rsidRPr="00AA028C" w:rsidRDefault="00E34F99" w:rsidP="00E34F99">
      <w:pPr>
        <w:spacing w:after="0"/>
        <w:rPr>
          <w:rFonts w:ascii="Arial" w:hAnsi="Arial" w:cs="Arial"/>
          <w:u w:val="single"/>
        </w:rPr>
      </w:pPr>
    </w:p>
    <w:p w:rsidR="00E34F99" w:rsidRPr="00AA028C" w:rsidRDefault="00E34F99" w:rsidP="00E34F99">
      <w:pPr>
        <w:spacing w:after="0"/>
        <w:rPr>
          <w:rFonts w:ascii="Arial" w:hAnsi="Arial" w:cs="Arial"/>
          <w:u w:val="single"/>
        </w:rPr>
      </w:pPr>
      <w:r w:rsidRPr="00AA028C">
        <w:rPr>
          <w:rFonts w:ascii="Arial" w:hAnsi="Arial" w:cs="Arial"/>
          <w:u w:val="single"/>
        </w:rPr>
        <w:t xml:space="preserve">Issued by the authority of the Minister for </w:t>
      </w:r>
      <w:r w:rsidR="00AA028C" w:rsidRPr="00AA028C">
        <w:rPr>
          <w:rFonts w:ascii="Arial" w:hAnsi="Arial" w:cs="Arial"/>
          <w:u w:val="single"/>
        </w:rPr>
        <w:t>Higher</w:t>
      </w:r>
      <w:r w:rsidRPr="00AA028C">
        <w:rPr>
          <w:rFonts w:ascii="Arial" w:hAnsi="Arial" w:cs="Arial"/>
          <w:u w:val="single"/>
        </w:rPr>
        <w:t xml:space="preserve"> Education</w:t>
      </w:r>
    </w:p>
    <w:p w:rsidR="00E34F99" w:rsidRPr="00AA028C" w:rsidRDefault="00E34F99" w:rsidP="00E34F99">
      <w:pPr>
        <w:spacing w:after="0"/>
        <w:rPr>
          <w:rFonts w:ascii="Arial" w:hAnsi="Arial" w:cs="Arial"/>
        </w:rPr>
      </w:pPr>
    </w:p>
    <w:p w:rsidR="00E34F99" w:rsidRPr="00AA028C" w:rsidRDefault="00E34F99" w:rsidP="00E34F99">
      <w:pPr>
        <w:spacing w:after="0"/>
        <w:rPr>
          <w:rFonts w:ascii="Arial" w:hAnsi="Arial" w:cs="Arial"/>
        </w:rPr>
      </w:pPr>
      <w:bookmarkStart w:id="2" w:name="_GoBack"/>
      <w:bookmarkEnd w:id="2"/>
    </w:p>
    <w:p w:rsidR="00E34F99" w:rsidRPr="00AA028C" w:rsidRDefault="00E34F99" w:rsidP="00E34F99">
      <w:pPr>
        <w:spacing w:after="0"/>
        <w:rPr>
          <w:rFonts w:ascii="Arial" w:hAnsi="Arial" w:cs="Arial"/>
        </w:rPr>
      </w:pPr>
      <w:r w:rsidRPr="00AA028C">
        <w:rPr>
          <w:rFonts w:ascii="Arial" w:hAnsi="Arial" w:cs="Arial"/>
          <w:b/>
          <w:u w:val="single"/>
        </w:rPr>
        <w:t>Subject:</w:t>
      </w:r>
      <w:r w:rsidRPr="00AA028C">
        <w:rPr>
          <w:rFonts w:ascii="Arial" w:hAnsi="Arial" w:cs="Arial"/>
        </w:rPr>
        <w:tab/>
      </w:r>
      <w:r w:rsidRPr="00AA028C">
        <w:rPr>
          <w:rFonts w:ascii="Arial" w:hAnsi="Arial" w:cs="Arial"/>
        </w:rPr>
        <w:tab/>
      </w:r>
      <w:r w:rsidRPr="00AA028C">
        <w:rPr>
          <w:rFonts w:ascii="Arial" w:hAnsi="Arial" w:cs="Arial"/>
          <w:i/>
        </w:rPr>
        <w:t>Higher Education Support Act 2003</w:t>
      </w:r>
    </w:p>
    <w:p w:rsidR="00E34F99" w:rsidRPr="00AA028C" w:rsidRDefault="00E34F99" w:rsidP="00E34F99">
      <w:pPr>
        <w:spacing w:after="0"/>
        <w:ind w:left="2160"/>
        <w:rPr>
          <w:rFonts w:ascii="Arial" w:hAnsi="Arial" w:cs="Arial"/>
        </w:rPr>
      </w:pPr>
      <w:r w:rsidRPr="00AA028C">
        <w:rPr>
          <w:rFonts w:ascii="Arial" w:hAnsi="Arial" w:cs="Arial"/>
        </w:rPr>
        <w:t xml:space="preserve">Amendment No. </w:t>
      </w:r>
      <w:r w:rsidR="00AA028C" w:rsidRPr="00AA028C">
        <w:rPr>
          <w:rFonts w:ascii="Arial" w:hAnsi="Arial" w:cs="Arial"/>
        </w:rPr>
        <w:t>2</w:t>
      </w:r>
      <w:r w:rsidRPr="00AA028C">
        <w:rPr>
          <w:rFonts w:ascii="Arial" w:hAnsi="Arial" w:cs="Arial"/>
        </w:rPr>
        <w:t xml:space="preserve"> to the Other Grants</w:t>
      </w:r>
      <w:r w:rsidRPr="00AA028C">
        <w:rPr>
          <w:rFonts w:ascii="Arial" w:hAnsi="Arial" w:cs="Arial"/>
          <w:i/>
        </w:rPr>
        <w:t xml:space="preserve"> </w:t>
      </w:r>
      <w:r w:rsidRPr="00AA028C">
        <w:rPr>
          <w:rFonts w:ascii="Arial" w:hAnsi="Arial" w:cs="Arial"/>
        </w:rPr>
        <w:t>Guidelines (Education) 2012</w:t>
      </w:r>
    </w:p>
    <w:p w:rsidR="00E34F99" w:rsidRPr="00AA028C" w:rsidRDefault="00E34F99" w:rsidP="00E34F99">
      <w:pPr>
        <w:spacing w:after="0"/>
        <w:rPr>
          <w:rFonts w:ascii="Arial" w:hAnsi="Arial" w:cs="Arial"/>
        </w:rPr>
      </w:pPr>
    </w:p>
    <w:p w:rsidR="00E34F99" w:rsidRPr="00AA028C" w:rsidRDefault="00E34F99" w:rsidP="00E34F99">
      <w:pPr>
        <w:spacing w:after="0"/>
        <w:rPr>
          <w:rFonts w:ascii="Arial" w:hAnsi="Arial" w:cs="Arial"/>
          <w:b/>
          <w:u w:val="single"/>
        </w:rPr>
      </w:pPr>
      <w:r w:rsidRPr="00AA028C">
        <w:rPr>
          <w:rFonts w:ascii="Arial" w:hAnsi="Arial" w:cs="Arial"/>
          <w:b/>
          <w:u w:val="single"/>
        </w:rPr>
        <w:t>Authority</w:t>
      </w:r>
    </w:p>
    <w:p w:rsidR="00E34F99" w:rsidRPr="00AA028C" w:rsidRDefault="00E34F99" w:rsidP="00E34F99">
      <w:pPr>
        <w:spacing w:after="0"/>
        <w:rPr>
          <w:rFonts w:ascii="Arial" w:hAnsi="Arial" w:cs="Arial"/>
          <w:b/>
          <w:u w:val="single"/>
        </w:rPr>
      </w:pPr>
    </w:p>
    <w:p w:rsidR="00E34F99" w:rsidRPr="00AA028C" w:rsidRDefault="00E34F99" w:rsidP="00E34F99">
      <w:pPr>
        <w:spacing w:after="0"/>
        <w:rPr>
          <w:rFonts w:ascii="Arial" w:hAnsi="Arial" w:cs="Arial"/>
        </w:rPr>
      </w:pPr>
      <w:r w:rsidRPr="00AA028C">
        <w:rPr>
          <w:rFonts w:ascii="Arial" w:hAnsi="Arial" w:cs="Arial"/>
        </w:rPr>
        <w:t xml:space="preserve">Section 238-10 of the </w:t>
      </w:r>
      <w:r w:rsidRPr="00AA028C">
        <w:rPr>
          <w:rFonts w:ascii="Arial" w:hAnsi="Arial" w:cs="Arial"/>
          <w:i/>
        </w:rPr>
        <w:t>Higher Education Support Act 2003</w:t>
      </w:r>
      <w:r w:rsidRPr="00AA028C">
        <w:rPr>
          <w:rFonts w:ascii="Arial" w:hAnsi="Arial" w:cs="Arial"/>
        </w:rPr>
        <w:t xml:space="preserve"> (the Act) provides that the Minister may make guidelines providing for matters required or permitted by the Act necessary or convenient to be provided in order to carry out or give effect to the Act. In particular item 8 of section 238-10 specifies the Minister may make</w:t>
      </w:r>
      <w:r w:rsidRPr="00AA028C">
        <w:rPr>
          <w:rFonts w:ascii="Arial" w:hAnsi="Arial" w:cs="Arial"/>
          <w:i/>
        </w:rPr>
        <w:t xml:space="preserve"> Other Grants Guidelines</w:t>
      </w:r>
      <w:r w:rsidRPr="00AA028C">
        <w:rPr>
          <w:rFonts w:ascii="Arial" w:hAnsi="Arial" w:cs="Arial"/>
        </w:rPr>
        <w:t xml:space="preserve"> to give effect to matters under Part 2-3 of the Act.</w:t>
      </w:r>
    </w:p>
    <w:p w:rsidR="00E34F99" w:rsidRPr="00AA028C" w:rsidRDefault="00E34F99" w:rsidP="00E34F99">
      <w:pPr>
        <w:spacing w:after="0"/>
        <w:rPr>
          <w:rFonts w:ascii="Arial" w:hAnsi="Arial" w:cs="Arial"/>
        </w:rPr>
      </w:pPr>
    </w:p>
    <w:p w:rsidR="00E34F99" w:rsidRPr="00AA028C" w:rsidRDefault="00E34F99" w:rsidP="00E34F99">
      <w:pPr>
        <w:spacing w:after="0"/>
        <w:rPr>
          <w:rFonts w:ascii="Arial" w:hAnsi="Arial" w:cs="Arial"/>
        </w:rPr>
      </w:pPr>
      <w:r w:rsidRPr="00AA028C">
        <w:rPr>
          <w:rFonts w:ascii="Arial" w:hAnsi="Arial" w:cs="Arial"/>
        </w:rPr>
        <w:t>Section 41-15 of the Act provides that the Other Grants Guidelines may specify one or more programs under which grants for particular purposes specified in the table in subsection 41-10(1) are to be paid.</w:t>
      </w:r>
    </w:p>
    <w:p w:rsidR="00E34F99" w:rsidRPr="00EF5752" w:rsidRDefault="00E34F99" w:rsidP="00E34F99">
      <w:pPr>
        <w:spacing w:after="0"/>
        <w:rPr>
          <w:rFonts w:ascii="Arial" w:hAnsi="Arial" w:cs="Arial"/>
          <w:b/>
        </w:rPr>
      </w:pPr>
    </w:p>
    <w:p w:rsidR="00E34F99" w:rsidRPr="00EF5752" w:rsidRDefault="00E34F99" w:rsidP="00E34F99">
      <w:pPr>
        <w:spacing w:after="0"/>
        <w:rPr>
          <w:rFonts w:ascii="Arial" w:hAnsi="Arial" w:cs="Arial"/>
          <w:b/>
          <w:u w:val="single"/>
        </w:rPr>
      </w:pPr>
      <w:r w:rsidRPr="00EF5752">
        <w:rPr>
          <w:rFonts w:ascii="Arial" w:hAnsi="Arial" w:cs="Arial"/>
          <w:b/>
          <w:u w:val="single"/>
        </w:rPr>
        <w:t>Purpose and operation</w:t>
      </w:r>
    </w:p>
    <w:p w:rsidR="00E34F99" w:rsidRPr="00EF5752" w:rsidRDefault="00E34F99" w:rsidP="00E34F99">
      <w:pPr>
        <w:spacing w:after="0"/>
        <w:rPr>
          <w:rFonts w:ascii="Arial" w:hAnsi="Arial" w:cs="Arial"/>
          <w:b/>
        </w:rPr>
      </w:pPr>
    </w:p>
    <w:p w:rsidR="00E34F99" w:rsidRPr="00EF5752" w:rsidRDefault="00E34F99" w:rsidP="00E34F99">
      <w:pPr>
        <w:spacing w:after="0"/>
        <w:rPr>
          <w:rFonts w:ascii="Arial" w:hAnsi="Arial" w:cs="Arial"/>
          <w:b/>
        </w:rPr>
      </w:pPr>
      <w:r w:rsidRPr="00EF5752">
        <w:rPr>
          <w:rFonts w:ascii="Arial" w:hAnsi="Arial" w:cs="Arial"/>
        </w:rPr>
        <w:t xml:space="preserve">This legislative instrument amends the </w:t>
      </w:r>
      <w:r w:rsidRPr="00EF5752">
        <w:rPr>
          <w:rFonts w:ascii="Arial" w:hAnsi="Arial" w:cs="Arial"/>
          <w:i/>
        </w:rPr>
        <w:t xml:space="preserve">Other Grants Guidelines (Education) 2012 </w:t>
      </w:r>
      <w:r w:rsidRPr="00EF5752">
        <w:rPr>
          <w:rFonts w:ascii="Arial" w:hAnsi="Arial" w:cs="Arial"/>
        </w:rPr>
        <w:t>which was registered on the Federal Register of Legislative Instruments on 13 February 2012 and commenced on 14 February 2012 (see F2012L00281).</w:t>
      </w:r>
    </w:p>
    <w:p w:rsidR="00E34F99" w:rsidRPr="00EF5752" w:rsidRDefault="00E34F99" w:rsidP="00E34F99">
      <w:pPr>
        <w:spacing w:after="0"/>
        <w:rPr>
          <w:rFonts w:ascii="Arial" w:hAnsi="Arial" w:cs="Arial"/>
          <w:b/>
          <w:u w:val="single"/>
        </w:rPr>
      </w:pPr>
    </w:p>
    <w:p w:rsidR="00E34F99" w:rsidRPr="00EF5752" w:rsidRDefault="00E34F99" w:rsidP="00E34F99">
      <w:pPr>
        <w:spacing w:after="0"/>
        <w:rPr>
          <w:rFonts w:ascii="Arial" w:hAnsi="Arial" w:cs="Arial"/>
          <w:b/>
          <w:u w:val="single"/>
        </w:rPr>
      </w:pPr>
      <w:r w:rsidRPr="00EF5752">
        <w:rPr>
          <w:rFonts w:ascii="Arial" w:hAnsi="Arial" w:cs="Arial"/>
          <w:b/>
          <w:u w:val="single"/>
        </w:rPr>
        <w:t>Commencement</w:t>
      </w:r>
    </w:p>
    <w:p w:rsidR="00E34F99" w:rsidRPr="00EF5752" w:rsidRDefault="00E34F99" w:rsidP="00E34F99">
      <w:pPr>
        <w:spacing w:after="0"/>
        <w:rPr>
          <w:rFonts w:ascii="Arial" w:hAnsi="Arial" w:cs="Arial"/>
        </w:rPr>
      </w:pPr>
    </w:p>
    <w:p w:rsidR="00E34F99" w:rsidRPr="00EF5752" w:rsidRDefault="00E34F99" w:rsidP="00E34F99">
      <w:pPr>
        <w:spacing w:after="0"/>
        <w:rPr>
          <w:rFonts w:ascii="Arial" w:hAnsi="Arial" w:cs="Arial"/>
          <w:bCs/>
        </w:rPr>
      </w:pPr>
      <w:r w:rsidRPr="00EF5752">
        <w:rPr>
          <w:rFonts w:ascii="Arial" w:hAnsi="Arial" w:cs="Arial"/>
          <w:bCs/>
        </w:rPr>
        <w:t>This legislative instrument shall come into effect on the day it is registered on the Federal Register of Legislative Instruments.</w:t>
      </w:r>
    </w:p>
    <w:p w:rsidR="00E34F99" w:rsidRPr="00EF5752" w:rsidRDefault="00E34F99" w:rsidP="00E34F99">
      <w:pPr>
        <w:spacing w:after="0"/>
        <w:rPr>
          <w:rFonts w:ascii="Arial" w:hAnsi="Arial" w:cs="Arial"/>
        </w:rPr>
      </w:pPr>
    </w:p>
    <w:p w:rsidR="00E34F99" w:rsidRPr="00EF5752" w:rsidRDefault="00E34F99" w:rsidP="00E34F99">
      <w:pPr>
        <w:spacing w:after="0"/>
        <w:rPr>
          <w:rFonts w:ascii="Arial" w:hAnsi="Arial" w:cs="Arial"/>
          <w:b/>
          <w:u w:val="single"/>
        </w:rPr>
      </w:pPr>
      <w:r w:rsidRPr="00EF5752">
        <w:rPr>
          <w:rFonts w:ascii="Arial" w:hAnsi="Arial" w:cs="Arial"/>
          <w:b/>
          <w:u w:val="single"/>
        </w:rPr>
        <w:t>Consultation</w:t>
      </w:r>
    </w:p>
    <w:p w:rsidR="00E34F99" w:rsidRPr="00EF5752" w:rsidRDefault="00E34F99" w:rsidP="00E34F99">
      <w:pPr>
        <w:spacing w:after="0"/>
        <w:rPr>
          <w:rFonts w:ascii="Arial" w:hAnsi="Arial" w:cs="Arial"/>
          <w:u w:val="single"/>
        </w:rPr>
      </w:pPr>
    </w:p>
    <w:p w:rsidR="003A5F1E" w:rsidRPr="00EF5752" w:rsidRDefault="003A5F1E" w:rsidP="00E34F99">
      <w:pPr>
        <w:spacing w:after="0"/>
        <w:rPr>
          <w:rFonts w:ascii="Arial" w:hAnsi="Arial" w:cs="Arial"/>
        </w:rPr>
      </w:pPr>
      <w:r w:rsidRPr="00EF5752">
        <w:rPr>
          <w:rFonts w:ascii="Arial" w:hAnsi="Arial" w:cs="Arial"/>
        </w:rPr>
        <w:t xml:space="preserve">Consultation on the amendments was held with universities at </w:t>
      </w:r>
      <w:proofErr w:type="gramStart"/>
      <w:r w:rsidRPr="00EF5752">
        <w:rPr>
          <w:rFonts w:ascii="Arial" w:hAnsi="Arial" w:cs="Arial"/>
        </w:rPr>
        <w:t>an Equity</w:t>
      </w:r>
      <w:proofErr w:type="gramEnd"/>
      <w:r w:rsidRPr="00EF5752">
        <w:rPr>
          <w:rFonts w:ascii="Arial" w:hAnsi="Arial" w:cs="Arial"/>
        </w:rPr>
        <w:t xml:space="preserve"> in Higher Education Policy Forum held in April 2013.  The proposed amendments received strong support from universities because it reduces their administrative burden, provides a more equitable means of allocating funding and enables research into best practice higher education equity practices. </w:t>
      </w:r>
    </w:p>
    <w:p w:rsidR="00E34F99" w:rsidRPr="00EF5752" w:rsidRDefault="00E34F99" w:rsidP="00E34F99">
      <w:pPr>
        <w:spacing w:after="0"/>
        <w:rPr>
          <w:rFonts w:ascii="Arial" w:hAnsi="Arial" w:cs="Arial"/>
        </w:rPr>
      </w:pPr>
    </w:p>
    <w:p w:rsidR="00E34F99" w:rsidRPr="00EF5752" w:rsidRDefault="00E34F99" w:rsidP="00E34F99">
      <w:pPr>
        <w:spacing w:after="0"/>
        <w:rPr>
          <w:rFonts w:ascii="Arial" w:hAnsi="Arial" w:cs="Arial"/>
          <w:b/>
          <w:u w:val="single"/>
        </w:rPr>
      </w:pPr>
      <w:r w:rsidRPr="00EF5752">
        <w:rPr>
          <w:rFonts w:ascii="Arial" w:hAnsi="Arial" w:cs="Arial"/>
          <w:b/>
          <w:u w:val="single"/>
        </w:rPr>
        <w:t>Detail of provisions</w:t>
      </w:r>
    </w:p>
    <w:p w:rsidR="00E34F99" w:rsidRPr="00EF5752" w:rsidRDefault="00E34F99" w:rsidP="00E34F99">
      <w:pPr>
        <w:spacing w:after="0"/>
        <w:rPr>
          <w:rFonts w:ascii="Arial" w:hAnsi="Arial" w:cs="Arial"/>
        </w:rPr>
      </w:pPr>
    </w:p>
    <w:p w:rsidR="00EF5752" w:rsidRPr="00EF5752" w:rsidRDefault="003A5F1E" w:rsidP="00E34F99">
      <w:pPr>
        <w:tabs>
          <w:tab w:val="left" w:pos="0"/>
        </w:tabs>
        <w:spacing w:after="0"/>
        <w:rPr>
          <w:rFonts w:ascii="Arial" w:hAnsi="Arial" w:cs="Arial"/>
        </w:rPr>
      </w:pPr>
      <w:r w:rsidRPr="00EF5752">
        <w:rPr>
          <w:rFonts w:ascii="Arial" w:hAnsi="Arial" w:cs="Arial"/>
        </w:rPr>
        <w:t>This amendment inserts new subsections: 1.75.1, 1.75.5 and 1.75.6 to provide</w:t>
      </w:r>
      <w:r w:rsidR="00EF5752" w:rsidRPr="00EF5752">
        <w:rPr>
          <w:rFonts w:ascii="Arial" w:hAnsi="Arial" w:cs="Arial"/>
        </w:rPr>
        <w:t>:</w:t>
      </w:r>
    </w:p>
    <w:p w:rsidR="00EF5752" w:rsidRPr="00EF5752" w:rsidRDefault="003A5F1E" w:rsidP="00EF5752">
      <w:pPr>
        <w:pStyle w:val="ListParagraph"/>
        <w:numPr>
          <w:ilvl w:val="0"/>
          <w:numId w:val="9"/>
        </w:numPr>
        <w:tabs>
          <w:tab w:val="left" w:pos="0"/>
        </w:tabs>
        <w:spacing w:after="0"/>
        <w:rPr>
          <w:rFonts w:ascii="Arial" w:hAnsi="Arial" w:cs="Arial"/>
        </w:rPr>
      </w:pPr>
      <w:r w:rsidRPr="00EF5752">
        <w:rPr>
          <w:rFonts w:ascii="Arial" w:hAnsi="Arial" w:cs="Arial"/>
        </w:rPr>
        <w:lastRenderedPageBreak/>
        <w:t>a National Priorities</w:t>
      </w:r>
      <w:r w:rsidR="00EF5752" w:rsidRPr="00EF5752">
        <w:rPr>
          <w:rFonts w:ascii="Arial" w:hAnsi="Arial" w:cs="Arial"/>
        </w:rPr>
        <w:t xml:space="preserve"> Pool that </w:t>
      </w:r>
      <w:r w:rsidR="00EF5752">
        <w:rPr>
          <w:rFonts w:ascii="Arial" w:hAnsi="Arial" w:cs="Arial"/>
        </w:rPr>
        <w:t>provides funding for universities to undertake research, pilot projects and other activities to define and support best practice equity policies and programs in higher education</w:t>
      </w:r>
      <w:r w:rsidR="00EF5752" w:rsidRPr="00EF5752">
        <w:rPr>
          <w:rFonts w:ascii="Arial" w:hAnsi="Arial" w:cs="Arial"/>
        </w:rPr>
        <w:t>; and</w:t>
      </w:r>
    </w:p>
    <w:p w:rsidR="003A5F1E" w:rsidRPr="00EF5752" w:rsidRDefault="00EF5752" w:rsidP="00EF5752">
      <w:pPr>
        <w:pStyle w:val="ListParagraph"/>
        <w:numPr>
          <w:ilvl w:val="0"/>
          <w:numId w:val="9"/>
        </w:numPr>
        <w:tabs>
          <w:tab w:val="left" w:pos="0"/>
        </w:tabs>
        <w:spacing w:after="0"/>
        <w:rPr>
          <w:rFonts w:ascii="Arial" w:hAnsi="Arial" w:cs="Arial"/>
        </w:rPr>
      </w:pPr>
      <w:proofErr w:type="gramStart"/>
      <w:r>
        <w:rPr>
          <w:rFonts w:ascii="Arial" w:hAnsi="Arial" w:cs="Arial"/>
        </w:rPr>
        <w:t>that</w:t>
      </w:r>
      <w:proofErr w:type="gramEnd"/>
      <w:r>
        <w:rPr>
          <w:rFonts w:ascii="Arial" w:hAnsi="Arial" w:cs="Arial"/>
        </w:rPr>
        <w:t xml:space="preserve"> HEPPP Partnership funding will be allocated in accordance with the HEPPP Participation formula based on the number of domestic undergraduate students from low socio-economic status backgrounds at each university</w:t>
      </w:r>
      <w:r w:rsidR="007C7A07">
        <w:rPr>
          <w:rFonts w:ascii="Arial" w:hAnsi="Arial" w:cs="Arial"/>
        </w:rPr>
        <w:t>, or another means determined by the Minister</w:t>
      </w:r>
      <w:r>
        <w:rPr>
          <w:rFonts w:ascii="Arial" w:hAnsi="Arial" w:cs="Arial"/>
        </w:rPr>
        <w:t xml:space="preserve">.  This new arrangement will enable </w:t>
      </w:r>
      <w:r w:rsidRPr="00EF5752">
        <w:rPr>
          <w:rFonts w:ascii="Arial" w:hAnsi="Arial" w:cs="Arial"/>
        </w:rPr>
        <w:t xml:space="preserve">more efficient </w:t>
      </w:r>
      <w:r>
        <w:rPr>
          <w:rFonts w:ascii="Arial" w:hAnsi="Arial" w:cs="Arial"/>
        </w:rPr>
        <w:t xml:space="preserve">and equitable distribution of </w:t>
      </w:r>
      <w:r w:rsidRPr="00EF5752">
        <w:rPr>
          <w:rFonts w:ascii="Arial" w:hAnsi="Arial" w:cs="Arial"/>
        </w:rPr>
        <w:t>HEPPP Partnership funds</w:t>
      </w:r>
      <w:r w:rsidR="007C7A07">
        <w:rPr>
          <w:rFonts w:ascii="Arial" w:hAnsi="Arial" w:cs="Arial"/>
        </w:rPr>
        <w:t xml:space="preserve"> and provide the Minister with flexibility to further streamline </w:t>
      </w:r>
      <w:r w:rsidR="00F258FC">
        <w:rPr>
          <w:rFonts w:ascii="Arial" w:hAnsi="Arial" w:cs="Arial"/>
        </w:rPr>
        <w:t>means of allocation</w:t>
      </w:r>
      <w:r w:rsidR="007C7A07">
        <w:rPr>
          <w:rFonts w:ascii="Arial" w:hAnsi="Arial" w:cs="Arial"/>
        </w:rPr>
        <w:t xml:space="preserve"> if </w:t>
      </w:r>
      <w:r w:rsidR="00D4223C">
        <w:rPr>
          <w:rFonts w:ascii="Arial" w:hAnsi="Arial" w:cs="Arial"/>
        </w:rPr>
        <w:t>necessary</w:t>
      </w:r>
      <w:r w:rsidR="007C7A07">
        <w:rPr>
          <w:rFonts w:ascii="Arial" w:hAnsi="Arial" w:cs="Arial"/>
        </w:rPr>
        <w:t xml:space="preserve">.  </w:t>
      </w:r>
    </w:p>
    <w:p w:rsidR="00E34F99" w:rsidRPr="00EF5752" w:rsidRDefault="00E34F99" w:rsidP="00E34F99">
      <w:pPr>
        <w:tabs>
          <w:tab w:val="left" w:pos="0"/>
        </w:tabs>
        <w:spacing w:after="0"/>
        <w:rPr>
          <w:rFonts w:ascii="Arial" w:hAnsi="Arial" w:cs="Arial"/>
        </w:rPr>
      </w:pPr>
    </w:p>
    <w:p w:rsidR="00E34F99" w:rsidRPr="00EF5752" w:rsidRDefault="00E34F99" w:rsidP="00E34F99">
      <w:pPr>
        <w:spacing w:after="0"/>
        <w:jc w:val="center"/>
        <w:rPr>
          <w:b/>
          <w:sz w:val="28"/>
          <w:szCs w:val="28"/>
        </w:rPr>
      </w:pPr>
    </w:p>
    <w:p w:rsidR="00E34F99" w:rsidRPr="00AA028C" w:rsidRDefault="00E34F99" w:rsidP="00E34F99">
      <w:pPr>
        <w:spacing w:after="0"/>
        <w:jc w:val="center"/>
        <w:rPr>
          <w:b/>
          <w:color w:val="FF0000"/>
          <w:sz w:val="28"/>
          <w:szCs w:val="28"/>
        </w:rPr>
      </w:pPr>
      <w:r w:rsidRPr="00AA028C">
        <w:rPr>
          <w:b/>
          <w:color w:val="FF0000"/>
          <w:sz w:val="28"/>
          <w:szCs w:val="28"/>
        </w:rPr>
        <w:br w:type="page"/>
      </w:r>
    </w:p>
    <w:p w:rsidR="00E34F99" w:rsidRPr="007A2B67" w:rsidRDefault="00E34F99" w:rsidP="00E34F99">
      <w:pPr>
        <w:spacing w:before="360" w:after="120"/>
        <w:jc w:val="center"/>
        <w:rPr>
          <w:b/>
          <w:sz w:val="28"/>
          <w:szCs w:val="28"/>
        </w:rPr>
      </w:pPr>
      <w:r w:rsidRPr="007A2B67">
        <w:rPr>
          <w:b/>
          <w:sz w:val="28"/>
          <w:szCs w:val="28"/>
        </w:rPr>
        <w:lastRenderedPageBreak/>
        <w:t>Statement of Compatibility with Human Rights</w:t>
      </w:r>
    </w:p>
    <w:p w:rsidR="00E34F99" w:rsidRPr="007A2B67" w:rsidRDefault="00E34F99" w:rsidP="00E34F99">
      <w:pPr>
        <w:spacing w:before="120" w:after="120"/>
        <w:jc w:val="center"/>
      </w:pPr>
      <w:r w:rsidRPr="007A2B67">
        <w:rPr>
          <w:i/>
        </w:rPr>
        <w:t>Prepared in accordance with Part 3 of the Human Rights (Parliamentary Scrutiny) Act 2011</w:t>
      </w:r>
    </w:p>
    <w:p w:rsidR="00E34F99" w:rsidRPr="007A2B67" w:rsidRDefault="00E34F99" w:rsidP="00E34F99">
      <w:pPr>
        <w:spacing w:before="120" w:after="120"/>
        <w:jc w:val="center"/>
      </w:pPr>
    </w:p>
    <w:p w:rsidR="00E34F99" w:rsidRPr="007A2B67" w:rsidRDefault="00E34F99" w:rsidP="00E34F99">
      <w:pPr>
        <w:jc w:val="center"/>
        <w:rPr>
          <w:rFonts w:cs="Arial"/>
        </w:rPr>
      </w:pPr>
      <w:r w:rsidRPr="007A2B67">
        <w:rPr>
          <w:b/>
        </w:rPr>
        <w:t xml:space="preserve">Amendment No </w:t>
      </w:r>
      <w:r w:rsidR="007A2B67" w:rsidRPr="007A2B67">
        <w:rPr>
          <w:b/>
        </w:rPr>
        <w:t>2</w:t>
      </w:r>
      <w:r w:rsidRPr="007A2B67">
        <w:rPr>
          <w:b/>
        </w:rPr>
        <w:t xml:space="preserve"> to the Other Grants Guidelines (Education) 2012</w:t>
      </w:r>
    </w:p>
    <w:p w:rsidR="00E34F99" w:rsidRPr="007A2B67" w:rsidRDefault="00E34F99" w:rsidP="00E34F99">
      <w:pPr>
        <w:spacing w:before="120" w:after="120"/>
        <w:jc w:val="center"/>
      </w:pPr>
      <w:r w:rsidRPr="007A2B67">
        <w:t xml:space="preserve">This Legislative Instrument is compatible with the human rights and freedoms recognised or declared in the international instruments listed in section 3 of the </w:t>
      </w:r>
      <w:r w:rsidRPr="007A2B67">
        <w:rPr>
          <w:i/>
        </w:rPr>
        <w:t>Human Rights (Parliamentary Scrutiny) Act 2011</w:t>
      </w:r>
      <w:r w:rsidRPr="007A2B67">
        <w:t>.</w:t>
      </w:r>
    </w:p>
    <w:p w:rsidR="00E34F99" w:rsidRPr="00AA028C" w:rsidRDefault="00E34F99" w:rsidP="00E34F99">
      <w:pPr>
        <w:spacing w:before="120" w:after="120"/>
        <w:jc w:val="center"/>
        <w:rPr>
          <w:color w:val="FF0000"/>
        </w:rPr>
      </w:pPr>
    </w:p>
    <w:p w:rsidR="00E34F99" w:rsidRPr="007A2B67" w:rsidRDefault="00E34F99" w:rsidP="00E34F99">
      <w:pPr>
        <w:spacing w:before="120" w:after="120"/>
        <w:jc w:val="both"/>
        <w:rPr>
          <w:b/>
        </w:rPr>
      </w:pPr>
      <w:r w:rsidRPr="007A2B67">
        <w:rPr>
          <w:b/>
        </w:rPr>
        <w:t>Overview of the Legislative Instrument</w:t>
      </w:r>
    </w:p>
    <w:p w:rsidR="007A2B67" w:rsidRPr="007A2B67" w:rsidRDefault="00E34F99" w:rsidP="007A2B67">
      <w:pPr>
        <w:spacing w:before="120" w:after="120"/>
      </w:pPr>
      <w:r w:rsidRPr="007A2B67">
        <w:t xml:space="preserve">This legislative instrument amends the </w:t>
      </w:r>
      <w:r w:rsidRPr="007A2B67">
        <w:rPr>
          <w:i/>
        </w:rPr>
        <w:t>Other Grants Guideline</w:t>
      </w:r>
      <w:r w:rsidRPr="007A2B67">
        <w:t>s (</w:t>
      </w:r>
      <w:r w:rsidRPr="007A2B67">
        <w:rPr>
          <w:i/>
        </w:rPr>
        <w:t>Education</w:t>
      </w:r>
      <w:r w:rsidRPr="007A2B67">
        <w:t>)</w:t>
      </w:r>
      <w:r w:rsidRPr="007A2B67">
        <w:rPr>
          <w:i/>
        </w:rPr>
        <w:t xml:space="preserve"> </w:t>
      </w:r>
      <w:r w:rsidR="007A2B67" w:rsidRPr="007A2B67">
        <w:rPr>
          <w:i/>
        </w:rPr>
        <w:t xml:space="preserve">2012 </w:t>
      </w:r>
      <w:r w:rsidR="007A2B67" w:rsidRPr="007A2B67">
        <w:t>to provide:</w:t>
      </w:r>
    </w:p>
    <w:p w:rsidR="007A2B67" w:rsidRPr="007A2B67" w:rsidRDefault="003A5F1E" w:rsidP="007A2B67">
      <w:pPr>
        <w:numPr>
          <w:ilvl w:val="0"/>
          <w:numId w:val="9"/>
        </w:numPr>
        <w:spacing w:before="120" w:after="120"/>
      </w:pPr>
      <w:r w:rsidRPr="007A2B67">
        <w:t>a National Priorities</w:t>
      </w:r>
      <w:r w:rsidR="00EF5752" w:rsidRPr="007A2B67">
        <w:t xml:space="preserve"> </w:t>
      </w:r>
      <w:r w:rsidR="007A2B67" w:rsidRPr="007A2B67">
        <w:t xml:space="preserve">Pool </w:t>
      </w:r>
      <w:r w:rsidR="00EF5752" w:rsidRPr="007A2B67">
        <w:t xml:space="preserve">that </w:t>
      </w:r>
      <w:r w:rsidR="007A2B67" w:rsidRPr="007A2B67">
        <w:t xml:space="preserve">provides funding for universities to undertake research, pilot projects and other </w:t>
      </w:r>
      <w:r w:rsidR="007A2B67">
        <w:t xml:space="preserve">related </w:t>
      </w:r>
      <w:r w:rsidR="007A2B67" w:rsidRPr="007A2B67">
        <w:t>activities; and</w:t>
      </w:r>
    </w:p>
    <w:p w:rsidR="003A5F1E" w:rsidRPr="00E92BAC" w:rsidRDefault="007A2B67" w:rsidP="007A2B67">
      <w:pPr>
        <w:numPr>
          <w:ilvl w:val="0"/>
          <w:numId w:val="9"/>
        </w:numPr>
        <w:spacing w:before="120" w:after="120"/>
      </w:pPr>
      <w:proofErr w:type="gramStart"/>
      <w:r w:rsidRPr="007A2B67">
        <w:t>that</w:t>
      </w:r>
      <w:proofErr w:type="gramEnd"/>
      <w:r w:rsidRPr="007A2B67">
        <w:t xml:space="preserve"> HEPPP Partnership funding will be allocated in accordance with the HEPPP Participation formula based </w:t>
      </w:r>
      <w:r w:rsidRPr="00E92BAC">
        <w:t>on the number of domestic undergraduate students from low socio-economic status backgrounds at each university, or</w:t>
      </w:r>
      <w:r w:rsidR="00D4223C">
        <w:t xml:space="preserve"> by</w:t>
      </w:r>
      <w:r w:rsidRPr="00E92BAC">
        <w:t xml:space="preserve"> another means determined by the Minister.  </w:t>
      </w:r>
    </w:p>
    <w:p w:rsidR="00E34F99" w:rsidRPr="00E92BAC" w:rsidRDefault="00E34F99" w:rsidP="007A2B67">
      <w:pPr>
        <w:spacing w:before="120" w:after="120"/>
        <w:rPr>
          <w:b/>
        </w:rPr>
      </w:pPr>
    </w:p>
    <w:p w:rsidR="00E34F99" w:rsidRPr="00E92BAC" w:rsidRDefault="00E34F99" w:rsidP="00E34F99">
      <w:pPr>
        <w:spacing w:before="120" w:after="120"/>
        <w:rPr>
          <w:b/>
        </w:rPr>
      </w:pPr>
      <w:r w:rsidRPr="00E92BAC">
        <w:rPr>
          <w:b/>
        </w:rPr>
        <w:t>Human rights implications</w:t>
      </w:r>
    </w:p>
    <w:p w:rsidR="00E34F99" w:rsidRPr="00E92BAC" w:rsidRDefault="00E34F99" w:rsidP="00E34F99">
      <w:pPr>
        <w:spacing w:before="120" w:after="120"/>
      </w:pPr>
      <w:r w:rsidRPr="00E92BAC">
        <w:t>The Legislative Instrument engages the following human right</w:t>
      </w:r>
      <w:r w:rsidR="00E92BAC" w:rsidRPr="00E92BAC">
        <w:t>s</w:t>
      </w:r>
      <w:r w:rsidRPr="00E92BAC">
        <w:t xml:space="preserve">: </w:t>
      </w:r>
    </w:p>
    <w:p w:rsidR="00E34F99" w:rsidRPr="00E92BAC" w:rsidRDefault="00E34F99" w:rsidP="00E34F99">
      <w:pPr>
        <w:spacing w:before="120" w:after="120"/>
        <w:rPr>
          <w:i/>
        </w:rPr>
      </w:pPr>
      <w:r w:rsidRPr="00E92BAC">
        <w:rPr>
          <w:i/>
        </w:rPr>
        <w:t xml:space="preserve">Right to education </w:t>
      </w:r>
    </w:p>
    <w:p w:rsidR="00E34F99" w:rsidRPr="00E92BAC" w:rsidRDefault="00E34F99" w:rsidP="00E34F99">
      <w:pPr>
        <w:spacing w:before="120" w:after="120"/>
      </w:pPr>
      <w:r w:rsidRPr="00E92BAC">
        <w:t>This instrument positively engages the right to education contained in Article 13 of the International Covenant on Economic, Social and Cultural Rights.</w:t>
      </w:r>
    </w:p>
    <w:p w:rsidR="00E34F99" w:rsidRPr="00E92BAC" w:rsidRDefault="00E34F99" w:rsidP="00E34F99">
      <w:pPr>
        <w:spacing w:before="120" w:after="120"/>
      </w:pPr>
      <w:r w:rsidRPr="00E92BAC">
        <w:t>The UN Committee on Economic Social and Cultural Rights has stated that the right to education requires that functioning educational institutions and programs have to be available in sufficient quantity within a country.</w:t>
      </w:r>
    </w:p>
    <w:p w:rsidR="00E34F99" w:rsidRPr="00E92BAC" w:rsidRDefault="00E34F99" w:rsidP="00E34F99">
      <w:pPr>
        <w:spacing w:before="120" w:after="120"/>
      </w:pPr>
      <w:r w:rsidRPr="00E92BAC">
        <w:t>Th</w:t>
      </w:r>
      <w:r w:rsidR="007A2B67" w:rsidRPr="00E92BAC">
        <w:t xml:space="preserve">is amendment will contribute </w:t>
      </w:r>
      <w:r w:rsidRPr="00E92BAC">
        <w:t>to this requirement and help advance the right to education by:</w:t>
      </w:r>
    </w:p>
    <w:p w:rsidR="00E34F99" w:rsidRPr="00E92BAC" w:rsidRDefault="007A2B67" w:rsidP="00E34F99">
      <w:pPr>
        <w:numPr>
          <w:ilvl w:val="0"/>
          <w:numId w:val="1"/>
        </w:numPr>
        <w:spacing w:before="120" w:after="120" w:line="276" w:lineRule="auto"/>
      </w:pPr>
      <w:r w:rsidRPr="00E92BAC">
        <w:t>supporting best practice equity policies and programs in higher education</w:t>
      </w:r>
      <w:r w:rsidR="006E48B5">
        <w:t xml:space="preserve"> to assist people from disadvantaged backgrounds participate in higher education</w:t>
      </w:r>
      <w:r w:rsidR="00E34F99" w:rsidRPr="00E92BAC">
        <w:t>;</w:t>
      </w:r>
    </w:p>
    <w:p w:rsidR="00E34F99" w:rsidRPr="00E92BAC" w:rsidRDefault="00E34F99" w:rsidP="00E34F99">
      <w:pPr>
        <w:numPr>
          <w:ilvl w:val="0"/>
          <w:numId w:val="1"/>
        </w:numPr>
        <w:spacing w:before="120" w:after="120" w:line="276" w:lineRule="auto"/>
      </w:pPr>
      <w:proofErr w:type="gramStart"/>
      <w:r w:rsidRPr="00E92BAC">
        <w:t>increasing</w:t>
      </w:r>
      <w:proofErr w:type="gramEnd"/>
      <w:r w:rsidRPr="00E92BAC">
        <w:t xml:space="preserve"> the number of students</w:t>
      </w:r>
      <w:r w:rsidR="007A2B67" w:rsidRPr="00E92BAC">
        <w:t xml:space="preserve"> from low socio-economic status backgrounds accessing higher education.</w:t>
      </w:r>
    </w:p>
    <w:p w:rsidR="00E92BAC" w:rsidRPr="00CC2DB7" w:rsidRDefault="00E92BAC" w:rsidP="00E92BAC">
      <w:pPr>
        <w:spacing w:before="120" w:after="120" w:line="276" w:lineRule="auto"/>
        <w:rPr>
          <w:i/>
        </w:rPr>
      </w:pPr>
      <w:r w:rsidRPr="00CC2DB7">
        <w:rPr>
          <w:i/>
        </w:rPr>
        <w:t>Right to self-determination</w:t>
      </w:r>
    </w:p>
    <w:p w:rsidR="00E92BAC" w:rsidRPr="00E92BAC" w:rsidRDefault="00E92BAC" w:rsidP="00E92BAC">
      <w:pPr>
        <w:spacing w:before="120" w:after="120" w:line="276" w:lineRule="auto"/>
      </w:pPr>
      <w:r w:rsidRPr="00E92BAC">
        <w:t>The right to self-determination is contained in Article 1 of the International Covenant on Civil and Political Rights and Article 1 of the International Covenant on Economic, Social and Cultural Rights. This right is also contained in Article 3 of the Declaration on the Rights of Indigenous Peoples which informs the way governments engage with and protect the rights of Indigenous people.</w:t>
      </w:r>
    </w:p>
    <w:p w:rsidR="00E92BAC" w:rsidRPr="00E92BAC" w:rsidRDefault="00E92BAC" w:rsidP="00E92BAC">
      <w:pPr>
        <w:spacing w:before="120" w:after="120" w:line="276" w:lineRule="auto"/>
      </w:pPr>
    </w:p>
    <w:p w:rsidR="00E92BAC" w:rsidRPr="00E92BAC" w:rsidRDefault="00E92BAC" w:rsidP="00E92BAC">
      <w:pPr>
        <w:spacing w:before="120" w:after="120" w:line="276" w:lineRule="auto"/>
      </w:pPr>
      <w:r w:rsidRPr="00E92BAC">
        <w:lastRenderedPageBreak/>
        <w:t>Under these Articles the right to self-determination promotes the rights of all peoples to freely pursue their economic, social and cultural development without outside interference. Self-determination is a right that pertains to groups of people, not individuals. In Australia, it is particularly relevant to Aboriginal and Torres Strait Islander Peoples.</w:t>
      </w:r>
    </w:p>
    <w:p w:rsidR="00E92BAC" w:rsidRPr="00E92BAC" w:rsidRDefault="00E92BAC" w:rsidP="00E92BAC">
      <w:pPr>
        <w:spacing w:before="120" w:after="120" w:line="276" w:lineRule="auto"/>
      </w:pPr>
      <w:r w:rsidRPr="00E92BAC">
        <w:t xml:space="preserve">The legislative instrument engages the right to self-determination as it improves the ability of Indigenous </w:t>
      </w:r>
      <w:r w:rsidR="00D4223C">
        <w:t>P</w:t>
      </w:r>
      <w:r w:rsidRPr="00E92BAC">
        <w:t xml:space="preserve">eople from low socio-economic backgrounds to access and participate in higher education and obtain the resulting economic and social benefits. </w:t>
      </w:r>
    </w:p>
    <w:p w:rsidR="00E34F99" w:rsidRPr="00E92BAC" w:rsidRDefault="00E34F99" w:rsidP="00E34F99">
      <w:pPr>
        <w:spacing w:before="120" w:after="120"/>
        <w:rPr>
          <w:b/>
        </w:rPr>
      </w:pPr>
      <w:r w:rsidRPr="00E92BAC">
        <w:rPr>
          <w:b/>
        </w:rPr>
        <w:t xml:space="preserve">Conclusion </w:t>
      </w:r>
    </w:p>
    <w:p w:rsidR="00E34F99" w:rsidRPr="00E92BAC" w:rsidRDefault="00E34F99" w:rsidP="00E34F99">
      <w:pPr>
        <w:spacing w:before="120" w:after="120"/>
      </w:pPr>
      <w:r w:rsidRPr="00E92BAC">
        <w:t>This Legislative Instrument is compatible with human rights because</w:t>
      </w:r>
      <w:r w:rsidR="00D4223C">
        <w:t xml:space="preserve"> it</w:t>
      </w:r>
      <w:r w:rsidRPr="00E92BAC">
        <w:t xml:space="preserve"> advances the right to education</w:t>
      </w:r>
      <w:r w:rsidR="00D4223C">
        <w:t xml:space="preserve"> and the right to self-determination</w:t>
      </w:r>
      <w:r w:rsidRPr="00E92BAC">
        <w:t>.</w:t>
      </w:r>
    </w:p>
    <w:p w:rsidR="00E34F99" w:rsidRPr="00AA028C" w:rsidRDefault="00E34F99">
      <w:pPr>
        <w:rPr>
          <w:color w:val="FF0000"/>
        </w:rPr>
      </w:pPr>
    </w:p>
    <w:sectPr w:rsidR="00E34F99" w:rsidRPr="00AA0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352"/>
    <w:multiLevelType w:val="multilevel"/>
    <w:tmpl w:val="8C343DD0"/>
    <w:lvl w:ilvl="0">
      <w:start w:val="7"/>
      <w:numFmt w:val="decimal"/>
      <w:lvlText w:val="%1"/>
      <w:lvlJc w:val="left"/>
      <w:pPr>
        <w:tabs>
          <w:tab w:val="num" w:pos="930"/>
        </w:tabs>
        <w:ind w:left="930" w:hanging="930"/>
      </w:pPr>
      <w:rPr>
        <w:rFonts w:ascii="Arial" w:hAnsi="Arial" w:cs="Arial" w:hint="default"/>
        <w:color w:val="000000"/>
        <w:sz w:val="24"/>
      </w:rPr>
    </w:lvl>
    <w:lvl w:ilvl="1">
      <w:start w:val="130"/>
      <w:numFmt w:val="decimal"/>
      <w:lvlText w:val="%1.%2"/>
      <w:lvlJc w:val="left"/>
      <w:pPr>
        <w:tabs>
          <w:tab w:val="num" w:pos="930"/>
        </w:tabs>
        <w:ind w:left="930" w:hanging="930"/>
      </w:pPr>
      <w:rPr>
        <w:rFonts w:ascii="Arial" w:hAnsi="Arial" w:cs="Arial" w:hint="default"/>
        <w:color w:val="000000"/>
        <w:sz w:val="24"/>
      </w:rPr>
    </w:lvl>
    <w:lvl w:ilvl="2">
      <w:start w:val="1"/>
      <w:numFmt w:val="decimal"/>
      <w:lvlText w:val="%1.%2.%3"/>
      <w:lvlJc w:val="left"/>
      <w:pPr>
        <w:tabs>
          <w:tab w:val="num" w:pos="930"/>
        </w:tabs>
        <w:ind w:left="930" w:hanging="930"/>
      </w:pPr>
      <w:rPr>
        <w:rFonts w:ascii="Arial" w:hAnsi="Arial" w:cs="Arial" w:hint="default"/>
        <w:color w:val="000000"/>
        <w:sz w:val="24"/>
      </w:rPr>
    </w:lvl>
    <w:lvl w:ilvl="3">
      <w:start w:val="1"/>
      <w:numFmt w:val="decimal"/>
      <w:lvlText w:val="%1.%2.%3.%4"/>
      <w:lvlJc w:val="left"/>
      <w:pPr>
        <w:tabs>
          <w:tab w:val="num" w:pos="930"/>
        </w:tabs>
        <w:ind w:left="930" w:hanging="930"/>
      </w:pPr>
      <w:rPr>
        <w:rFonts w:ascii="Arial" w:hAnsi="Arial" w:cs="Arial" w:hint="default"/>
        <w:color w:val="000000"/>
        <w:sz w:val="24"/>
      </w:rPr>
    </w:lvl>
    <w:lvl w:ilvl="4">
      <w:start w:val="1"/>
      <w:numFmt w:val="decimal"/>
      <w:lvlText w:val="%1.%2.%3.%4.%5"/>
      <w:lvlJc w:val="left"/>
      <w:pPr>
        <w:tabs>
          <w:tab w:val="num" w:pos="1080"/>
        </w:tabs>
        <w:ind w:left="1080" w:hanging="1080"/>
      </w:pPr>
      <w:rPr>
        <w:rFonts w:ascii="Arial" w:hAnsi="Arial" w:cs="Arial" w:hint="default"/>
        <w:color w:val="000000"/>
        <w:sz w:val="24"/>
      </w:rPr>
    </w:lvl>
    <w:lvl w:ilvl="5">
      <w:start w:val="1"/>
      <w:numFmt w:val="decimal"/>
      <w:lvlText w:val="%1.%2.%3.%4.%5.%6"/>
      <w:lvlJc w:val="left"/>
      <w:pPr>
        <w:tabs>
          <w:tab w:val="num" w:pos="1080"/>
        </w:tabs>
        <w:ind w:left="1080" w:hanging="1080"/>
      </w:pPr>
      <w:rPr>
        <w:rFonts w:ascii="Arial" w:hAnsi="Arial" w:cs="Arial" w:hint="default"/>
        <w:color w:val="000000"/>
        <w:sz w:val="24"/>
      </w:rPr>
    </w:lvl>
    <w:lvl w:ilvl="6">
      <w:start w:val="1"/>
      <w:numFmt w:val="decimal"/>
      <w:lvlText w:val="%1.%2.%3.%4.%5.%6.%7"/>
      <w:lvlJc w:val="left"/>
      <w:pPr>
        <w:tabs>
          <w:tab w:val="num" w:pos="1440"/>
        </w:tabs>
        <w:ind w:left="1440" w:hanging="1440"/>
      </w:pPr>
      <w:rPr>
        <w:rFonts w:ascii="Arial" w:hAnsi="Arial" w:cs="Arial" w:hint="default"/>
        <w:color w:val="000000"/>
        <w:sz w:val="24"/>
      </w:rPr>
    </w:lvl>
    <w:lvl w:ilvl="7">
      <w:start w:val="1"/>
      <w:numFmt w:val="decimal"/>
      <w:lvlText w:val="%1.%2.%3.%4.%5.%6.%7.%8"/>
      <w:lvlJc w:val="left"/>
      <w:pPr>
        <w:tabs>
          <w:tab w:val="num" w:pos="1440"/>
        </w:tabs>
        <w:ind w:left="1440" w:hanging="1440"/>
      </w:pPr>
      <w:rPr>
        <w:rFonts w:ascii="Arial" w:hAnsi="Arial" w:cs="Arial" w:hint="default"/>
        <w:color w:val="000000"/>
        <w:sz w:val="24"/>
      </w:rPr>
    </w:lvl>
    <w:lvl w:ilvl="8">
      <w:start w:val="1"/>
      <w:numFmt w:val="decimal"/>
      <w:lvlText w:val="%1.%2.%3.%4.%5.%6.%7.%8.%9"/>
      <w:lvlJc w:val="left"/>
      <w:pPr>
        <w:tabs>
          <w:tab w:val="num" w:pos="1440"/>
        </w:tabs>
        <w:ind w:left="1440" w:hanging="1440"/>
      </w:pPr>
      <w:rPr>
        <w:rFonts w:ascii="Arial" w:hAnsi="Arial" w:cs="Arial" w:hint="default"/>
        <w:color w:val="000000"/>
        <w:sz w:val="24"/>
      </w:rPr>
    </w:lvl>
  </w:abstractNum>
  <w:abstractNum w:abstractNumId="1">
    <w:nsid w:val="18DB4A33"/>
    <w:multiLevelType w:val="hybridMultilevel"/>
    <w:tmpl w:val="5FC2EC2E"/>
    <w:lvl w:ilvl="0" w:tplc="3044F116">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F41972"/>
    <w:multiLevelType w:val="multilevel"/>
    <w:tmpl w:val="6BE83D12"/>
    <w:lvl w:ilvl="0">
      <w:start w:val="7"/>
      <w:numFmt w:val="decimal"/>
      <w:lvlText w:val="%1"/>
      <w:lvlJc w:val="left"/>
      <w:pPr>
        <w:tabs>
          <w:tab w:val="num" w:pos="795"/>
        </w:tabs>
        <w:ind w:left="795" w:hanging="795"/>
      </w:pPr>
      <w:rPr>
        <w:rFonts w:hint="default"/>
      </w:rPr>
    </w:lvl>
    <w:lvl w:ilvl="1">
      <w:start w:val="125"/>
      <w:numFmt w:val="decimal"/>
      <w:lvlText w:val="%1.%2"/>
      <w:lvlJc w:val="left"/>
      <w:pPr>
        <w:tabs>
          <w:tab w:val="num" w:pos="795"/>
        </w:tabs>
        <w:ind w:left="795" w:hanging="795"/>
      </w:pPr>
      <w:rPr>
        <w:rFonts w:hint="default"/>
      </w:rPr>
    </w:lvl>
    <w:lvl w:ilvl="2">
      <w:start w:val="10"/>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D4B08A7"/>
    <w:multiLevelType w:val="multilevel"/>
    <w:tmpl w:val="5E70866E"/>
    <w:lvl w:ilvl="0">
      <w:start w:val="7"/>
      <w:numFmt w:val="decimal"/>
      <w:lvlText w:val="%1"/>
      <w:lvlJc w:val="left"/>
      <w:pPr>
        <w:tabs>
          <w:tab w:val="num" w:pos="795"/>
        </w:tabs>
        <w:ind w:left="795" w:hanging="795"/>
      </w:pPr>
      <w:rPr>
        <w:rFonts w:hint="default"/>
      </w:rPr>
    </w:lvl>
    <w:lvl w:ilvl="1">
      <w:start w:val="12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463F4"/>
    <w:multiLevelType w:val="multilevel"/>
    <w:tmpl w:val="88464C34"/>
    <w:lvl w:ilvl="0">
      <w:start w:val="7"/>
      <w:numFmt w:val="decimal"/>
      <w:lvlText w:val="%1"/>
      <w:lvlJc w:val="left"/>
      <w:pPr>
        <w:tabs>
          <w:tab w:val="num" w:pos="795"/>
        </w:tabs>
        <w:ind w:left="795" w:hanging="795"/>
      </w:pPr>
      <w:rPr>
        <w:rFonts w:hint="default"/>
      </w:rPr>
    </w:lvl>
    <w:lvl w:ilvl="1">
      <w:start w:val="125"/>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5C20FCD"/>
    <w:multiLevelType w:val="multilevel"/>
    <w:tmpl w:val="83363F14"/>
    <w:lvl w:ilvl="0">
      <w:start w:val="7"/>
      <w:numFmt w:val="decimal"/>
      <w:lvlText w:val="%1"/>
      <w:lvlJc w:val="left"/>
      <w:pPr>
        <w:tabs>
          <w:tab w:val="num" w:pos="795"/>
        </w:tabs>
        <w:ind w:left="795" w:hanging="795"/>
      </w:pPr>
      <w:rPr>
        <w:rFonts w:hint="default"/>
      </w:rPr>
    </w:lvl>
    <w:lvl w:ilvl="1">
      <w:start w:val="110"/>
      <w:numFmt w:val="decimal"/>
      <w:lvlText w:val="%1.%2"/>
      <w:lvlJc w:val="left"/>
      <w:pPr>
        <w:tabs>
          <w:tab w:val="num" w:pos="795"/>
        </w:tabs>
        <w:ind w:left="795" w:hanging="795"/>
      </w:pPr>
      <w:rPr>
        <w:rFonts w:hint="default"/>
      </w:rPr>
    </w:lvl>
    <w:lvl w:ilvl="2">
      <w:start w:val="5"/>
      <w:numFmt w:val="none"/>
      <w:lvlText w:val="7.115.1"/>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5436C7"/>
    <w:multiLevelType w:val="multilevel"/>
    <w:tmpl w:val="528EA656"/>
    <w:lvl w:ilvl="0">
      <w:start w:val="7"/>
      <w:numFmt w:val="decimal"/>
      <w:lvlText w:val="%1"/>
      <w:lvlJc w:val="left"/>
      <w:pPr>
        <w:tabs>
          <w:tab w:val="num" w:pos="795"/>
        </w:tabs>
        <w:ind w:left="795" w:hanging="795"/>
      </w:pPr>
      <w:rPr>
        <w:rFonts w:hint="default"/>
      </w:rPr>
    </w:lvl>
    <w:lvl w:ilvl="1">
      <w:start w:val="110"/>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328767D"/>
    <w:multiLevelType w:val="hybridMultilevel"/>
    <w:tmpl w:val="532661F8"/>
    <w:lvl w:ilvl="0" w:tplc="B5EA7314">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A51EE0"/>
    <w:multiLevelType w:val="multilevel"/>
    <w:tmpl w:val="40601290"/>
    <w:lvl w:ilvl="0">
      <w:start w:val="7"/>
      <w:numFmt w:val="decimal"/>
      <w:lvlText w:val="%1"/>
      <w:lvlJc w:val="left"/>
      <w:pPr>
        <w:tabs>
          <w:tab w:val="num" w:pos="795"/>
        </w:tabs>
        <w:ind w:left="795" w:hanging="795"/>
      </w:pPr>
      <w:rPr>
        <w:rFonts w:hint="default"/>
      </w:rPr>
    </w:lvl>
    <w:lvl w:ilvl="1">
      <w:start w:val="125"/>
      <w:numFmt w:val="decimal"/>
      <w:lvlText w:val="%1.%2"/>
      <w:lvlJc w:val="left"/>
      <w:pPr>
        <w:tabs>
          <w:tab w:val="num" w:pos="795"/>
        </w:tabs>
        <w:ind w:left="795" w:hanging="795"/>
      </w:pPr>
      <w:rPr>
        <w:rFonts w:hint="default"/>
      </w:rPr>
    </w:lvl>
    <w:lvl w:ilvl="2">
      <w:start w:val="5"/>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6"/>
  </w:num>
  <w:num w:numId="4">
    <w:abstractNumId w:val="3"/>
  </w:num>
  <w:num w:numId="5">
    <w:abstractNumId w:val="4"/>
  </w:num>
  <w:num w:numId="6">
    <w:abstractNumId w:val="8"/>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99"/>
    <w:rsid w:val="003A5F1E"/>
    <w:rsid w:val="00496D9A"/>
    <w:rsid w:val="006E48B5"/>
    <w:rsid w:val="007A2B67"/>
    <w:rsid w:val="007C7A07"/>
    <w:rsid w:val="00AA028C"/>
    <w:rsid w:val="00CC2DB7"/>
    <w:rsid w:val="00D4223C"/>
    <w:rsid w:val="00E34F99"/>
    <w:rsid w:val="00E92BAC"/>
    <w:rsid w:val="00EF5752"/>
    <w:rsid w:val="00F25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99"/>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34F99"/>
    <w:rPr>
      <w:sz w:val="16"/>
      <w:szCs w:val="16"/>
    </w:rPr>
  </w:style>
  <w:style w:type="paragraph" w:styleId="ListParagraph">
    <w:name w:val="List Paragraph"/>
    <w:basedOn w:val="Normal"/>
    <w:uiPriority w:val="34"/>
    <w:qFormat/>
    <w:rsid w:val="00EF5752"/>
    <w:pPr>
      <w:ind w:left="720"/>
      <w:contextualSpacing/>
    </w:pPr>
  </w:style>
  <w:style w:type="paragraph" w:styleId="BalloonText">
    <w:name w:val="Balloon Text"/>
    <w:basedOn w:val="Normal"/>
    <w:link w:val="BalloonTextChar"/>
    <w:uiPriority w:val="99"/>
    <w:semiHidden/>
    <w:unhideWhenUsed/>
    <w:rsid w:val="00D422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2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F99"/>
    <w:pPr>
      <w:spacing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34F99"/>
    <w:rPr>
      <w:sz w:val="16"/>
      <w:szCs w:val="16"/>
    </w:rPr>
  </w:style>
  <w:style w:type="paragraph" w:styleId="ListParagraph">
    <w:name w:val="List Paragraph"/>
    <w:basedOn w:val="Normal"/>
    <w:uiPriority w:val="34"/>
    <w:qFormat/>
    <w:rsid w:val="00EF5752"/>
    <w:pPr>
      <w:ind w:left="720"/>
      <w:contextualSpacing/>
    </w:pPr>
  </w:style>
  <w:style w:type="paragraph" w:styleId="BalloonText">
    <w:name w:val="Balloon Text"/>
    <w:basedOn w:val="Normal"/>
    <w:link w:val="BalloonTextChar"/>
    <w:uiPriority w:val="99"/>
    <w:semiHidden/>
    <w:unhideWhenUsed/>
    <w:rsid w:val="00D422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2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Derrig, Matthew</dc:creator>
  <cp:lastModifiedBy>Prest, Alicia</cp:lastModifiedBy>
  <cp:revision>2</cp:revision>
  <dcterms:created xsi:type="dcterms:W3CDTF">2013-08-22T03:45:00Z</dcterms:created>
  <dcterms:modified xsi:type="dcterms:W3CDTF">2013-08-22T03:45:00Z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