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B3" w:rsidRPr="00B32BD1" w:rsidRDefault="00EA14B3" w:rsidP="00514B1D">
      <w:pPr>
        <w:pStyle w:val="Title"/>
      </w:pPr>
      <w:r>
        <w:t xml:space="preserve">ASIC CLASS </w:t>
      </w:r>
      <w:r w:rsidR="0091740C">
        <w:t xml:space="preserve">RULE WAIVER </w:t>
      </w:r>
      <w:r>
        <w:t>[</w:t>
      </w:r>
      <w:r w:rsidRPr="00B32BD1">
        <w:t>C</w:t>
      </w:r>
      <w:r w:rsidR="00262491">
        <w:t>W</w:t>
      </w:r>
      <w:r w:rsidRPr="00B32BD1">
        <w:t xml:space="preserve"> </w:t>
      </w:r>
      <w:r w:rsidR="008A4A4C">
        <w:t>13</w:t>
      </w:r>
      <w:r w:rsidR="00B32BD1" w:rsidRPr="00B32BD1">
        <w:t>/</w:t>
      </w:r>
      <w:r w:rsidR="006F57FD">
        <w:t>972</w:t>
      </w:r>
      <w:r w:rsidRPr="00B32BD1">
        <w:t>]</w:t>
      </w:r>
    </w:p>
    <w:p w:rsidR="00EA14B3" w:rsidRPr="00B32BD1" w:rsidRDefault="00EA14B3" w:rsidP="00514B1D">
      <w:pPr>
        <w:pStyle w:val="Title"/>
      </w:pPr>
    </w:p>
    <w:p w:rsidR="00EA14B3" w:rsidRPr="00B32BD1" w:rsidRDefault="00EA14B3" w:rsidP="00514B1D">
      <w:pPr>
        <w:pStyle w:val="Title"/>
      </w:pPr>
      <w:r w:rsidRPr="00B32BD1">
        <w:t>EXPLANATORY STATEMENT</w:t>
      </w:r>
    </w:p>
    <w:p w:rsidR="00EA14B3" w:rsidRPr="00B32BD1" w:rsidRDefault="00EA14B3" w:rsidP="00514B1D">
      <w:pPr>
        <w:pStyle w:val="BodyTextcentred"/>
      </w:pPr>
      <w:r w:rsidRPr="00B32BD1">
        <w:t>Prepared by the Australian Securities and Investments Commission</w:t>
      </w:r>
    </w:p>
    <w:p w:rsidR="00EA14B3" w:rsidRPr="00B32BD1" w:rsidRDefault="00262491" w:rsidP="00514B1D">
      <w:pPr>
        <w:pStyle w:val="BodyTextcentreditals"/>
      </w:pPr>
      <w:r>
        <w:t>ASIC Market Integrity Rules (ASX 24 Market) 2010</w:t>
      </w:r>
    </w:p>
    <w:p w:rsidR="00C46D02" w:rsidRDefault="0091740C" w:rsidP="00830922">
      <w:pPr>
        <w:pStyle w:val="BodyText"/>
        <w:spacing w:line="240" w:lineRule="auto"/>
        <w:jc w:val="both"/>
      </w:pPr>
      <w:r w:rsidRPr="0091740C">
        <w:t>The Australian Securities and Investments Commission (</w:t>
      </w:r>
      <w:r w:rsidRPr="0091740C">
        <w:rPr>
          <w:b/>
          <w:i/>
        </w:rPr>
        <w:t>ASIC</w:t>
      </w:r>
      <w:r w:rsidRPr="0091740C">
        <w:t xml:space="preserve">) makes this instrument under Rule 1.2.1(1) of the </w:t>
      </w:r>
      <w:r w:rsidRPr="0091740C">
        <w:rPr>
          <w:i/>
        </w:rPr>
        <w:t xml:space="preserve">ASIC Market Integrity Rules (ASX 24 Market) 2010 </w:t>
      </w:r>
      <w:r w:rsidRPr="0091740C">
        <w:t>(the</w:t>
      </w:r>
      <w:r w:rsidR="00C46D02">
        <w:t> </w:t>
      </w:r>
      <w:r w:rsidRPr="0091740C">
        <w:rPr>
          <w:b/>
          <w:i/>
        </w:rPr>
        <w:t>ASX 24 Rules</w:t>
      </w:r>
      <w:r w:rsidRPr="0091740C">
        <w:t>)</w:t>
      </w:r>
      <w:r w:rsidRPr="00C46D02">
        <w:t>.</w:t>
      </w:r>
      <w:r w:rsidR="00C46D02">
        <w:t xml:space="preserve"> </w:t>
      </w:r>
    </w:p>
    <w:p w:rsidR="00EA14B3" w:rsidRDefault="00C46D02" w:rsidP="00514B1D">
      <w:pPr>
        <w:pStyle w:val="BodyText"/>
        <w:jc w:val="both"/>
      </w:pPr>
      <w:r>
        <w:t xml:space="preserve">Under </w:t>
      </w:r>
      <w:r w:rsidR="00110AA6">
        <w:t>R</w:t>
      </w:r>
      <w:r>
        <w:t>ule</w:t>
      </w:r>
      <w:r w:rsidR="00110AA6">
        <w:t xml:space="preserve"> 1.2.1(1)</w:t>
      </w:r>
      <w:r>
        <w:t>, ASIC may relieve any person or class of persons from the obligation to comply with a provision of the ASX 24 Rules</w:t>
      </w:r>
      <w:r w:rsidR="00904914">
        <w:t>.</w:t>
      </w:r>
      <w:r>
        <w:t xml:space="preserve">   </w:t>
      </w:r>
    </w:p>
    <w:p w:rsidR="004E3FBD" w:rsidRPr="00C46D02" w:rsidRDefault="004E3FBD" w:rsidP="00514B1D">
      <w:pPr>
        <w:pStyle w:val="BodyText"/>
        <w:jc w:val="both"/>
      </w:pPr>
      <w:r w:rsidRPr="004E3FBD">
        <w:rPr>
          <w:bCs/>
        </w:rPr>
        <w:t xml:space="preserve">Capitalised terms in this Explanatory Statement refer to defined terms in the ASX 24 Rules. </w:t>
      </w:r>
    </w:p>
    <w:p w:rsidR="00EA14B3" w:rsidRPr="00B32BD1" w:rsidRDefault="00EA14B3" w:rsidP="00514B1D">
      <w:pPr>
        <w:pStyle w:val="Heading1"/>
        <w:tabs>
          <w:tab w:val="clear" w:pos="879"/>
        </w:tabs>
        <w:overflowPunct/>
        <w:autoSpaceDE/>
        <w:autoSpaceDN/>
        <w:adjustRightInd/>
        <w:spacing w:after="60" w:line="240" w:lineRule="auto"/>
        <w:jc w:val="both"/>
        <w:textAlignment w:val="auto"/>
        <w:rPr>
          <w:rFonts w:cs="Arial"/>
          <w:bCs/>
          <w:kern w:val="32"/>
          <w:sz w:val="24"/>
          <w:szCs w:val="32"/>
        </w:rPr>
      </w:pPr>
      <w:bookmarkStart w:id="0" w:name="_Toc158699036"/>
      <w:r w:rsidRPr="00B32BD1">
        <w:rPr>
          <w:rFonts w:cs="Arial"/>
          <w:bCs/>
          <w:kern w:val="32"/>
          <w:sz w:val="24"/>
          <w:szCs w:val="32"/>
        </w:rPr>
        <w:t>1.</w:t>
      </w:r>
      <w:r w:rsidRPr="00B32BD1">
        <w:rPr>
          <w:rFonts w:cs="Arial"/>
          <w:bCs/>
          <w:kern w:val="32"/>
          <w:sz w:val="24"/>
          <w:szCs w:val="32"/>
        </w:rPr>
        <w:tab/>
        <w:t>Background</w:t>
      </w:r>
      <w:bookmarkEnd w:id="0"/>
    </w:p>
    <w:p w:rsidR="007A508E" w:rsidRDefault="007A508E" w:rsidP="00514B1D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  <w:bookmarkStart w:id="1" w:name="_Toc158699037"/>
    </w:p>
    <w:p w:rsidR="00B849F0" w:rsidRPr="00B849F0" w:rsidRDefault="004E3FBD" w:rsidP="00514B1D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  <w:r>
        <w:rPr>
          <w:color w:val="000000"/>
          <w:lang w:eastAsia="en-AU"/>
        </w:rPr>
        <w:t xml:space="preserve">On 4 May 2013, ASIC made the </w:t>
      </w:r>
      <w:r w:rsidRPr="004E3FBD">
        <w:rPr>
          <w:i/>
          <w:color w:val="000000"/>
          <w:lang w:eastAsia="en-AU"/>
        </w:rPr>
        <w:t>ASIC Market Integrity Rules (ASX 24 Market) Amendment 2013 (No. 1)</w:t>
      </w:r>
      <w:r>
        <w:rPr>
          <w:color w:val="000000"/>
          <w:lang w:eastAsia="en-AU"/>
        </w:rPr>
        <w:t>, which amended R</w:t>
      </w:r>
      <w:r w:rsidR="004A3425">
        <w:rPr>
          <w:color w:val="000000"/>
          <w:lang w:eastAsia="en-AU"/>
        </w:rPr>
        <w:t>ule 2.2.1(1) of the ASX 24 Rules by extending the</w:t>
      </w:r>
      <w:r w:rsidR="004A3425" w:rsidRPr="004A3425">
        <w:rPr>
          <w:color w:val="000000"/>
          <w:lang w:eastAsia="en-AU"/>
        </w:rPr>
        <w:t xml:space="preserve"> existing risk management requirements</w:t>
      </w:r>
      <w:r w:rsidR="00474F43">
        <w:rPr>
          <w:color w:val="000000"/>
          <w:lang w:eastAsia="en-AU"/>
        </w:rPr>
        <w:t xml:space="preserve"> </w:t>
      </w:r>
      <w:r w:rsidR="004A3425" w:rsidRPr="004A3425">
        <w:rPr>
          <w:color w:val="000000"/>
          <w:lang w:eastAsia="en-AU"/>
        </w:rPr>
        <w:t>to proprietary trading by Market Participants.</w:t>
      </w:r>
      <w:r w:rsidR="00B849F0">
        <w:rPr>
          <w:color w:val="000000"/>
          <w:lang w:eastAsia="en-AU"/>
        </w:rPr>
        <w:t xml:space="preserve"> </w:t>
      </w:r>
      <w:r w:rsidR="00B849F0" w:rsidRPr="00B849F0">
        <w:rPr>
          <w:color w:val="000000"/>
          <w:lang w:eastAsia="en-AU"/>
        </w:rPr>
        <w:t>Prior to this amendment, the risk management r</w:t>
      </w:r>
      <w:r w:rsidR="00331BD9">
        <w:rPr>
          <w:color w:val="000000"/>
          <w:lang w:eastAsia="en-AU"/>
        </w:rPr>
        <w:t>equirements</w:t>
      </w:r>
      <w:r w:rsidR="00B849F0" w:rsidRPr="00B849F0">
        <w:rPr>
          <w:color w:val="000000"/>
          <w:lang w:eastAsia="en-AU"/>
        </w:rPr>
        <w:t xml:space="preserve"> under Rule 2.2.1(1) applied only to Client Accounts. </w:t>
      </w:r>
    </w:p>
    <w:p w:rsidR="004A3425" w:rsidRDefault="004A3425" w:rsidP="00514B1D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</w:p>
    <w:p w:rsidR="004E3FBD" w:rsidRDefault="00863FCE" w:rsidP="00514B1D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  <w:r>
        <w:rPr>
          <w:color w:val="000000"/>
          <w:lang w:eastAsia="en-AU"/>
        </w:rPr>
        <w:t>In particular, Rule 2.2.1(1) was</w:t>
      </w:r>
      <w:r w:rsidR="00727D6A">
        <w:rPr>
          <w:color w:val="000000"/>
          <w:lang w:eastAsia="en-AU"/>
        </w:rPr>
        <w:t xml:space="preserve"> amended by:</w:t>
      </w:r>
    </w:p>
    <w:p w:rsidR="004A3425" w:rsidRDefault="004A3425" w:rsidP="00514B1D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</w:p>
    <w:p w:rsidR="004A3425" w:rsidRDefault="004A3425" w:rsidP="00514B1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lang w:eastAsia="en-AU"/>
        </w:rPr>
      </w:pPr>
      <w:r>
        <w:rPr>
          <w:color w:val="000000"/>
          <w:lang w:eastAsia="en-AU"/>
        </w:rPr>
        <w:t>inserting a new paragraph 2.2.1(1)(ab) which requires a Market Participant to set and document appropriate pre-determined Order and/or position limits on each of its House Accounts, including a volume per Order limit, an aggregate loss limit</w:t>
      </w:r>
      <w:r w:rsidR="001D35F8">
        <w:rPr>
          <w:color w:val="000000"/>
          <w:lang w:eastAsia="en-AU"/>
        </w:rPr>
        <w:t xml:space="preserve"> </w:t>
      </w:r>
      <w:r w:rsidRPr="004A3425">
        <w:rPr>
          <w:color w:val="000000"/>
          <w:lang w:eastAsia="en-AU"/>
        </w:rPr>
        <w:t>and an aggregate net session limit, based on the Market Participant’s analysis of its financial resources or other relevant factors</w:t>
      </w:r>
      <w:r>
        <w:rPr>
          <w:color w:val="000000"/>
          <w:lang w:eastAsia="en-AU"/>
        </w:rPr>
        <w:t>;</w:t>
      </w:r>
    </w:p>
    <w:p w:rsidR="00727D6A" w:rsidRDefault="00727D6A" w:rsidP="00514B1D">
      <w:pPr>
        <w:pStyle w:val="ListParagraph"/>
        <w:autoSpaceDE w:val="0"/>
        <w:autoSpaceDN w:val="0"/>
        <w:adjustRightInd w:val="0"/>
        <w:jc w:val="both"/>
        <w:rPr>
          <w:color w:val="000000"/>
          <w:lang w:eastAsia="en-AU"/>
        </w:rPr>
      </w:pPr>
    </w:p>
    <w:p w:rsidR="004A3425" w:rsidRDefault="004A3425" w:rsidP="00514B1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lang w:eastAsia="en-AU"/>
        </w:rPr>
      </w:pPr>
      <w:r>
        <w:rPr>
          <w:color w:val="000000"/>
          <w:lang w:eastAsia="en-AU"/>
        </w:rPr>
        <w:t xml:space="preserve">amending </w:t>
      </w:r>
      <w:r w:rsidR="00830922">
        <w:rPr>
          <w:color w:val="000000"/>
          <w:lang w:eastAsia="en-AU"/>
        </w:rPr>
        <w:t xml:space="preserve">existing </w:t>
      </w:r>
      <w:r>
        <w:rPr>
          <w:color w:val="000000"/>
          <w:lang w:eastAsia="en-AU"/>
        </w:rPr>
        <w:t xml:space="preserve">paragraph 2.2.1(1)(c) to require that the </w:t>
      </w:r>
      <w:r w:rsidR="00FA545A" w:rsidRPr="00FA545A">
        <w:rPr>
          <w:color w:val="000000"/>
          <w:lang w:eastAsia="en-AU"/>
        </w:rPr>
        <w:t xml:space="preserve">House Account </w:t>
      </w:r>
      <w:r>
        <w:rPr>
          <w:color w:val="000000"/>
          <w:lang w:eastAsia="en-AU"/>
        </w:rPr>
        <w:t xml:space="preserve">limits determined under </w:t>
      </w:r>
      <w:r w:rsidR="00E11015">
        <w:rPr>
          <w:color w:val="000000"/>
          <w:lang w:eastAsia="en-AU"/>
        </w:rPr>
        <w:t xml:space="preserve">new </w:t>
      </w:r>
      <w:r>
        <w:rPr>
          <w:color w:val="000000"/>
          <w:lang w:eastAsia="en-AU"/>
        </w:rPr>
        <w:t>paragraph 2.2.1(1)(</w:t>
      </w:r>
      <w:proofErr w:type="spellStart"/>
      <w:r>
        <w:rPr>
          <w:color w:val="000000"/>
          <w:lang w:eastAsia="en-AU"/>
        </w:rPr>
        <w:t>ab</w:t>
      </w:r>
      <w:proofErr w:type="spellEnd"/>
      <w:r>
        <w:rPr>
          <w:color w:val="000000"/>
          <w:lang w:eastAsia="en-AU"/>
        </w:rPr>
        <w:t xml:space="preserve">) be input by a Market Participant’s risk manager into Trading Platform account maintenance and will be established as preset </w:t>
      </w:r>
      <w:r w:rsidR="00B6730C">
        <w:rPr>
          <w:color w:val="000000"/>
          <w:lang w:eastAsia="en-AU"/>
        </w:rPr>
        <w:t>accounts</w:t>
      </w:r>
      <w:r>
        <w:rPr>
          <w:color w:val="000000"/>
          <w:lang w:eastAsia="en-AU"/>
        </w:rPr>
        <w:t xml:space="preserve">; and </w:t>
      </w:r>
    </w:p>
    <w:p w:rsidR="00727D6A" w:rsidRPr="00727D6A" w:rsidRDefault="00727D6A" w:rsidP="00514B1D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</w:p>
    <w:p w:rsidR="004A3425" w:rsidRPr="004A3425" w:rsidRDefault="004A3425" w:rsidP="00514B1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lang w:eastAsia="en-AU"/>
        </w:rPr>
      </w:pPr>
      <w:r>
        <w:rPr>
          <w:color w:val="000000"/>
          <w:lang w:eastAsia="en-AU"/>
        </w:rPr>
        <w:t xml:space="preserve">amending </w:t>
      </w:r>
      <w:r w:rsidR="00C82D37">
        <w:rPr>
          <w:color w:val="000000"/>
          <w:lang w:eastAsia="en-AU"/>
        </w:rPr>
        <w:t xml:space="preserve">existing </w:t>
      </w:r>
      <w:r w:rsidR="00727D6A">
        <w:rPr>
          <w:color w:val="000000"/>
          <w:lang w:eastAsia="en-AU"/>
        </w:rPr>
        <w:t xml:space="preserve">paragraph 2.2.1(1)(e) </w:t>
      </w:r>
      <w:r w:rsidR="00863FCE">
        <w:rPr>
          <w:color w:val="000000"/>
          <w:lang w:eastAsia="en-AU"/>
        </w:rPr>
        <w:t xml:space="preserve">to require that, where a Market Participant amends the </w:t>
      </w:r>
      <w:r w:rsidR="00FA545A" w:rsidRPr="00FA545A">
        <w:rPr>
          <w:color w:val="000000"/>
          <w:lang w:eastAsia="en-AU"/>
        </w:rPr>
        <w:t xml:space="preserve">House Account </w:t>
      </w:r>
      <w:r w:rsidR="00863FCE">
        <w:rPr>
          <w:color w:val="000000"/>
          <w:lang w:eastAsia="en-AU"/>
        </w:rPr>
        <w:t xml:space="preserve">limits referred to in </w:t>
      </w:r>
      <w:r w:rsidR="00B9019F">
        <w:rPr>
          <w:color w:val="000000"/>
          <w:lang w:eastAsia="en-AU"/>
        </w:rPr>
        <w:t xml:space="preserve">new </w:t>
      </w:r>
      <w:r w:rsidR="00863FCE">
        <w:rPr>
          <w:color w:val="000000"/>
          <w:lang w:eastAsia="en-AU"/>
        </w:rPr>
        <w:t>paragraph 2.2.1(1)(</w:t>
      </w:r>
      <w:proofErr w:type="spellStart"/>
      <w:r w:rsidR="00863FCE">
        <w:rPr>
          <w:color w:val="000000"/>
          <w:lang w:eastAsia="en-AU"/>
        </w:rPr>
        <w:t>ab</w:t>
      </w:r>
      <w:proofErr w:type="spellEnd"/>
      <w:r w:rsidR="00863FCE">
        <w:rPr>
          <w:color w:val="000000"/>
          <w:lang w:eastAsia="en-AU"/>
        </w:rPr>
        <w:t>), the Market Participant must make these changes based on an analysis of the Market Participant’s financial resources or other relevant factors.</w:t>
      </w:r>
    </w:p>
    <w:p w:rsidR="004A3425" w:rsidRDefault="004A3425" w:rsidP="00514B1D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</w:p>
    <w:p w:rsidR="00E70159" w:rsidRDefault="00E70159" w:rsidP="00514B1D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  <w:r>
        <w:rPr>
          <w:color w:val="000000"/>
          <w:lang w:eastAsia="en-AU"/>
        </w:rPr>
        <w:t xml:space="preserve">In addition to this, Rule 2.2.1(2) was also amended and a new </w:t>
      </w:r>
      <w:proofErr w:type="spellStart"/>
      <w:r>
        <w:rPr>
          <w:color w:val="000000"/>
          <w:lang w:eastAsia="en-AU"/>
        </w:rPr>
        <w:t>subrule</w:t>
      </w:r>
      <w:proofErr w:type="spellEnd"/>
      <w:r>
        <w:rPr>
          <w:color w:val="000000"/>
          <w:lang w:eastAsia="en-AU"/>
        </w:rPr>
        <w:t xml:space="preserve"> 2.2.1(4) was inserted, both of which impose new obligations on a Market Participant that connects to a Terminal for the purposes of Trading on a House Account.</w:t>
      </w:r>
    </w:p>
    <w:p w:rsidR="00331BD9" w:rsidRDefault="00B849F0" w:rsidP="00514B1D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  <w:r>
        <w:rPr>
          <w:color w:val="000000"/>
          <w:lang w:eastAsia="en-AU"/>
        </w:rPr>
        <w:lastRenderedPageBreak/>
        <w:t xml:space="preserve">A Principal Trader is a Market Participant that trades only on its own behalf. </w:t>
      </w:r>
      <w:r w:rsidR="002B6A86">
        <w:rPr>
          <w:color w:val="000000"/>
          <w:lang w:eastAsia="en-AU"/>
        </w:rPr>
        <w:t>A Principal Trader engages in T</w:t>
      </w:r>
      <w:r w:rsidR="00331BD9">
        <w:rPr>
          <w:color w:val="000000"/>
          <w:lang w:eastAsia="en-AU"/>
        </w:rPr>
        <w:t>rading on its</w:t>
      </w:r>
      <w:r w:rsidR="002B6A86">
        <w:rPr>
          <w:color w:val="000000"/>
          <w:lang w:eastAsia="en-AU"/>
        </w:rPr>
        <w:t xml:space="preserve"> House Account</w:t>
      </w:r>
      <w:r w:rsidR="00331BD9">
        <w:rPr>
          <w:color w:val="000000"/>
          <w:lang w:eastAsia="en-AU"/>
        </w:rPr>
        <w:t xml:space="preserve"> and must therefore comply with the new risk management obligations under Rule 2.2.1(1).</w:t>
      </w:r>
    </w:p>
    <w:p w:rsidR="00A6348C" w:rsidRDefault="00A6348C" w:rsidP="00514B1D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</w:p>
    <w:p w:rsidR="00A6348C" w:rsidRDefault="00A6348C" w:rsidP="00514B1D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  <w:r>
        <w:rPr>
          <w:color w:val="000000"/>
          <w:lang w:eastAsia="en-AU"/>
        </w:rPr>
        <w:t xml:space="preserve">In some circumstances, a Principal Trader is a Client of another Market Participant (the </w:t>
      </w:r>
      <w:r w:rsidRPr="00A6348C">
        <w:rPr>
          <w:b/>
          <w:i/>
          <w:color w:val="000000"/>
          <w:lang w:eastAsia="en-AU"/>
        </w:rPr>
        <w:t>Second Market Participant</w:t>
      </w:r>
      <w:r>
        <w:rPr>
          <w:color w:val="000000"/>
          <w:lang w:eastAsia="en-AU"/>
        </w:rPr>
        <w:t>), and the Second Market Participant either:</w:t>
      </w:r>
    </w:p>
    <w:p w:rsidR="00C74CA1" w:rsidRDefault="00C74CA1" w:rsidP="00514B1D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</w:p>
    <w:p w:rsidR="001D35F8" w:rsidRPr="00A6348C" w:rsidRDefault="001D35F8" w:rsidP="00514B1D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color w:val="000000"/>
          <w:lang w:val="en-US" w:eastAsia="en-AU"/>
        </w:rPr>
      </w:pPr>
      <w:r w:rsidRPr="001D35F8">
        <w:rPr>
          <w:color w:val="000000"/>
          <w:lang w:eastAsia="en-AU"/>
        </w:rPr>
        <w:t>permits the Principal Trader to connect to a Terminal for the purposes of Trading for the Principal Trader’s House Account; or</w:t>
      </w:r>
    </w:p>
    <w:p w:rsidR="00A6348C" w:rsidRPr="00A6348C" w:rsidRDefault="00A6348C" w:rsidP="00514B1D">
      <w:pPr>
        <w:autoSpaceDE w:val="0"/>
        <w:autoSpaceDN w:val="0"/>
        <w:adjustRightInd w:val="0"/>
        <w:ind w:left="1080"/>
        <w:jc w:val="both"/>
        <w:rPr>
          <w:color w:val="000000"/>
          <w:lang w:val="en-US" w:eastAsia="en-AU"/>
        </w:rPr>
      </w:pPr>
    </w:p>
    <w:p w:rsidR="001D35F8" w:rsidRPr="00A6348C" w:rsidRDefault="001D35F8" w:rsidP="00514B1D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color w:val="000000"/>
          <w:lang w:val="en-US" w:eastAsia="en-AU"/>
        </w:rPr>
      </w:pPr>
      <w:proofErr w:type="gramStart"/>
      <w:r w:rsidRPr="001D35F8">
        <w:rPr>
          <w:color w:val="000000"/>
          <w:lang w:eastAsia="en-AU"/>
        </w:rPr>
        <w:t>enters</w:t>
      </w:r>
      <w:proofErr w:type="gramEnd"/>
      <w:r w:rsidRPr="001D35F8">
        <w:rPr>
          <w:color w:val="000000"/>
          <w:lang w:eastAsia="en-AU"/>
        </w:rPr>
        <w:t xml:space="preserve"> Orders on the Principal Trader’s House Account into the Trading Platform through the Second Market Participant’s Order System.</w:t>
      </w:r>
    </w:p>
    <w:p w:rsidR="00A6348C" w:rsidRDefault="00A6348C" w:rsidP="00514B1D">
      <w:pPr>
        <w:pStyle w:val="ListParagraph"/>
        <w:jc w:val="both"/>
        <w:rPr>
          <w:color w:val="000000"/>
          <w:lang w:val="en-US" w:eastAsia="en-AU"/>
        </w:rPr>
      </w:pPr>
    </w:p>
    <w:p w:rsidR="00D729DE" w:rsidRDefault="003C2C4D" w:rsidP="00C74CA1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  <w:r>
        <w:rPr>
          <w:color w:val="000000"/>
          <w:lang w:eastAsia="en-AU"/>
        </w:rPr>
        <w:t>T</w:t>
      </w:r>
      <w:r w:rsidR="00D2169F">
        <w:rPr>
          <w:color w:val="000000"/>
          <w:lang w:eastAsia="en-AU"/>
        </w:rPr>
        <w:t xml:space="preserve">he </w:t>
      </w:r>
      <w:r w:rsidR="00A6348C">
        <w:rPr>
          <w:color w:val="000000"/>
          <w:lang w:eastAsia="en-AU"/>
        </w:rPr>
        <w:t xml:space="preserve">Second </w:t>
      </w:r>
      <w:r w:rsidR="00D2169F">
        <w:rPr>
          <w:color w:val="000000"/>
          <w:lang w:eastAsia="en-AU"/>
        </w:rPr>
        <w:t xml:space="preserve">Market Participant </w:t>
      </w:r>
      <w:r w:rsidR="00A6348C">
        <w:rPr>
          <w:color w:val="000000"/>
          <w:lang w:eastAsia="en-AU"/>
        </w:rPr>
        <w:t>must comply with the</w:t>
      </w:r>
      <w:r w:rsidR="00D2169F">
        <w:rPr>
          <w:color w:val="000000"/>
          <w:lang w:eastAsia="en-AU"/>
        </w:rPr>
        <w:t xml:space="preserve"> risk management </w:t>
      </w:r>
      <w:r w:rsidR="00A6348C">
        <w:rPr>
          <w:color w:val="000000"/>
          <w:lang w:eastAsia="en-AU"/>
        </w:rPr>
        <w:t>requirements</w:t>
      </w:r>
      <w:r w:rsidR="00D2169F">
        <w:rPr>
          <w:color w:val="000000"/>
          <w:lang w:eastAsia="en-AU"/>
        </w:rPr>
        <w:t xml:space="preserve"> under Rule 2.2.1(1) with respect to the P</w:t>
      </w:r>
      <w:r w:rsidR="00331BD9">
        <w:rPr>
          <w:color w:val="000000"/>
          <w:lang w:eastAsia="en-AU"/>
        </w:rPr>
        <w:t xml:space="preserve">rincipal Trader as its Client. The </w:t>
      </w:r>
      <w:r w:rsidR="00A6348C">
        <w:rPr>
          <w:color w:val="000000"/>
          <w:lang w:eastAsia="en-AU"/>
        </w:rPr>
        <w:t xml:space="preserve">Second </w:t>
      </w:r>
      <w:r w:rsidR="00331BD9">
        <w:rPr>
          <w:color w:val="000000"/>
          <w:lang w:eastAsia="en-AU"/>
        </w:rPr>
        <w:t>Market Participant will set</w:t>
      </w:r>
      <w:r w:rsidR="00A6348C">
        <w:rPr>
          <w:color w:val="000000"/>
          <w:lang w:eastAsia="en-AU"/>
        </w:rPr>
        <w:t>,</w:t>
      </w:r>
      <w:r w:rsidR="00A6348C" w:rsidRPr="00A6348C">
        <w:rPr>
          <w:iCs/>
          <w:szCs w:val="20"/>
        </w:rPr>
        <w:t xml:space="preserve"> </w:t>
      </w:r>
      <w:r w:rsidR="00A6348C" w:rsidRPr="00A6348C">
        <w:rPr>
          <w:iCs/>
          <w:color w:val="000000"/>
          <w:lang w:eastAsia="en-AU"/>
        </w:rPr>
        <w:t>document and input into trading platform account maintenance</w:t>
      </w:r>
      <w:r w:rsidR="00A6348C">
        <w:rPr>
          <w:iCs/>
          <w:color w:val="000000"/>
          <w:lang w:eastAsia="en-AU"/>
        </w:rPr>
        <w:t>,</w:t>
      </w:r>
      <w:r w:rsidR="00331BD9">
        <w:rPr>
          <w:color w:val="000000"/>
          <w:lang w:eastAsia="en-AU"/>
        </w:rPr>
        <w:t xml:space="preserve"> limits on each of its Client Accounts, including those Clients that are Principal Traders. </w:t>
      </w:r>
    </w:p>
    <w:p w:rsidR="00EA14B3" w:rsidRDefault="00EA14B3" w:rsidP="00514B1D">
      <w:pPr>
        <w:pStyle w:val="Heading1"/>
        <w:tabs>
          <w:tab w:val="clear" w:pos="879"/>
        </w:tabs>
        <w:overflowPunct/>
        <w:autoSpaceDE/>
        <w:autoSpaceDN/>
        <w:adjustRightInd/>
        <w:spacing w:after="60" w:line="240" w:lineRule="auto"/>
        <w:jc w:val="both"/>
        <w:textAlignment w:val="auto"/>
        <w:rPr>
          <w:rFonts w:cs="Arial"/>
          <w:bCs/>
          <w:kern w:val="32"/>
          <w:sz w:val="24"/>
          <w:szCs w:val="32"/>
        </w:rPr>
      </w:pPr>
      <w:r>
        <w:rPr>
          <w:rFonts w:cs="Arial"/>
          <w:bCs/>
          <w:kern w:val="32"/>
          <w:sz w:val="24"/>
          <w:szCs w:val="32"/>
        </w:rPr>
        <w:t>2.</w:t>
      </w:r>
      <w:r>
        <w:rPr>
          <w:rFonts w:cs="Arial"/>
          <w:bCs/>
          <w:kern w:val="32"/>
          <w:sz w:val="24"/>
          <w:szCs w:val="32"/>
        </w:rPr>
        <w:tab/>
        <w:t xml:space="preserve">Purpose of the class </w:t>
      </w:r>
      <w:bookmarkEnd w:id="1"/>
      <w:r w:rsidR="00CF74EE">
        <w:rPr>
          <w:rFonts w:cs="Arial"/>
          <w:bCs/>
          <w:kern w:val="32"/>
          <w:sz w:val="24"/>
          <w:szCs w:val="32"/>
        </w:rPr>
        <w:t xml:space="preserve">rule </w:t>
      </w:r>
      <w:r w:rsidR="00632665">
        <w:rPr>
          <w:rFonts w:cs="Arial"/>
          <w:bCs/>
          <w:kern w:val="32"/>
          <w:sz w:val="24"/>
          <w:szCs w:val="32"/>
        </w:rPr>
        <w:t>waiver</w:t>
      </w:r>
      <w:r>
        <w:rPr>
          <w:rFonts w:cs="Arial"/>
          <w:bCs/>
          <w:kern w:val="32"/>
          <w:sz w:val="24"/>
          <w:szCs w:val="32"/>
        </w:rPr>
        <w:t xml:space="preserve"> </w:t>
      </w:r>
    </w:p>
    <w:p w:rsidR="00474F43" w:rsidRDefault="002275D2" w:rsidP="00C74CA1">
      <w:pPr>
        <w:pStyle w:val="BodyText"/>
        <w:spacing w:line="240" w:lineRule="auto"/>
        <w:jc w:val="both"/>
        <w:rPr>
          <w:iCs/>
        </w:rPr>
      </w:pPr>
      <w:r w:rsidRPr="002275D2">
        <w:rPr>
          <w:iCs/>
        </w:rPr>
        <w:t>The p</w:t>
      </w:r>
      <w:r>
        <w:rPr>
          <w:iCs/>
        </w:rPr>
        <w:t xml:space="preserve">urpose of this </w:t>
      </w:r>
      <w:r w:rsidR="00372B1D">
        <w:rPr>
          <w:iCs/>
        </w:rPr>
        <w:t>C</w:t>
      </w:r>
      <w:r>
        <w:rPr>
          <w:iCs/>
        </w:rPr>
        <w:t xml:space="preserve">lass </w:t>
      </w:r>
      <w:r w:rsidR="008F529D">
        <w:rPr>
          <w:iCs/>
        </w:rPr>
        <w:t xml:space="preserve">Rule </w:t>
      </w:r>
      <w:r w:rsidR="00CC57DD">
        <w:rPr>
          <w:iCs/>
        </w:rPr>
        <w:t xml:space="preserve">Waiver </w:t>
      </w:r>
      <w:r w:rsidR="001C664D">
        <w:rPr>
          <w:iCs/>
        </w:rPr>
        <w:t xml:space="preserve">is </w:t>
      </w:r>
      <w:r w:rsidR="00CC57DD">
        <w:rPr>
          <w:iCs/>
        </w:rPr>
        <w:t xml:space="preserve">to </w:t>
      </w:r>
      <w:r w:rsidR="00CF74EE">
        <w:rPr>
          <w:iCs/>
        </w:rPr>
        <w:t xml:space="preserve">relieve </w:t>
      </w:r>
      <w:r w:rsidR="00474F43">
        <w:rPr>
          <w:iCs/>
        </w:rPr>
        <w:t>a Principal Trader from certain risk management obligations under Rule 2.2.1(1) wi</w:t>
      </w:r>
      <w:r w:rsidR="00703A56">
        <w:rPr>
          <w:iCs/>
        </w:rPr>
        <w:t>th respect to its House Account</w:t>
      </w:r>
      <w:r w:rsidR="00474F43">
        <w:rPr>
          <w:iCs/>
        </w:rPr>
        <w:t xml:space="preserve"> in circumstances where the Principal Trader accesses the market as a Client of </w:t>
      </w:r>
      <w:r w:rsidR="003C2C4D">
        <w:rPr>
          <w:iCs/>
        </w:rPr>
        <w:t>another</w:t>
      </w:r>
      <w:r w:rsidR="00A6348C">
        <w:rPr>
          <w:iCs/>
        </w:rPr>
        <w:t xml:space="preserve"> </w:t>
      </w:r>
      <w:r w:rsidR="00474F43">
        <w:rPr>
          <w:iCs/>
        </w:rPr>
        <w:t xml:space="preserve">Market Participant. </w:t>
      </w:r>
      <w:r w:rsidR="00CF74EE">
        <w:rPr>
          <w:iCs/>
        </w:rPr>
        <w:t xml:space="preserve"> </w:t>
      </w:r>
    </w:p>
    <w:p w:rsidR="00A6348C" w:rsidRPr="00A6348C" w:rsidRDefault="00B71679" w:rsidP="00C74CA1">
      <w:pPr>
        <w:pStyle w:val="BodyText"/>
        <w:spacing w:line="240" w:lineRule="auto"/>
        <w:jc w:val="both"/>
        <w:rPr>
          <w:iCs/>
        </w:rPr>
      </w:pPr>
      <w:r>
        <w:rPr>
          <w:iCs/>
        </w:rPr>
        <w:t xml:space="preserve">This </w:t>
      </w:r>
      <w:r w:rsidR="00CF74EE">
        <w:rPr>
          <w:iCs/>
        </w:rPr>
        <w:t xml:space="preserve">Class Rule Waiver has been </w:t>
      </w:r>
      <w:r w:rsidR="00372B1D">
        <w:rPr>
          <w:iCs/>
        </w:rPr>
        <w:t xml:space="preserve">made </w:t>
      </w:r>
      <w:r>
        <w:rPr>
          <w:iCs/>
        </w:rPr>
        <w:t xml:space="preserve">on the grounds </w:t>
      </w:r>
      <w:r w:rsidR="005312B8">
        <w:rPr>
          <w:iCs/>
        </w:rPr>
        <w:t>that</w:t>
      </w:r>
      <w:r w:rsidR="00474F43">
        <w:rPr>
          <w:iCs/>
        </w:rPr>
        <w:t xml:space="preserve"> the Market Participant responsible for access to the Terminal </w:t>
      </w:r>
      <w:r w:rsidR="00D729DE">
        <w:rPr>
          <w:iCs/>
        </w:rPr>
        <w:t xml:space="preserve">must comply </w:t>
      </w:r>
      <w:r w:rsidR="00D729DE" w:rsidRPr="00D729DE">
        <w:rPr>
          <w:iCs/>
        </w:rPr>
        <w:t xml:space="preserve"> with its risk management obligations under Rule 2.2.1(1) with respect to the Principal Trader as its Client.</w:t>
      </w:r>
      <w:r w:rsidR="00D729DE">
        <w:rPr>
          <w:iCs/>
        </w:rPr>
        <w:t xml:space="preserve"> In these circumstances, the Principal Trader </w:t>
      </w:r>
      <w:bookmarkStart w:id="2" w:name="_Toc158699040"/>
      <w:r w:rsidR="00A6348C" w:rsidRPr="00A6348C">
        <w:rPr>
          <w:iCs/>
        </w:rPr>
        <w:t>may not have the capability to set, document and input into trading platform account maintenance pre-determined order and/or position limits on its House Account</w:t>
      </w:r>
      <w:r w:rsidR="00A6348C">
        <w:rPr>
          <w:iCs/>
        </w:rPr>
        <w:t>.</w:t>
      </w:r>
    </w:p>
    <w:p w:rsidR="00EA14B3" w:rsidRDefault="00EA14B3" w:rsidP="00514B1D">
      <w:pPr>
        <w:pStyle w:val="Heading1"/>
        <w:tabs>
          <w:tab w:val="clear" w:pos="879"/>
        </w:tabs>
        <w:overflowPunct/>
        <w:autoSpaceDE/>
        <w:autoSpaceDN/>
        <w:adjustRightInd/>
        <w:spacing w:after="60" w:line="240" w:lineRule="auto"/>
        <w:jc w:val="both"/>
        <w:textAlignment w:val="auto"/>
        <w:rPr>
          <w:rFonts w:cs="Arial"/>
          <w:bCs/>
          <w:kern w:val="32"/>
          <w:sz w:val="24"/>
          <w:szCs w:val="32"/>
        </w:rPr>
      </w:pPr>
      <w:r w:rsidRPr="00632665">
        <w:rPr>
          <w:rFonts w:cs="Arial"/>
          <w:bCs/>
          <w:kern w:val="32"/>
          <w:sz w:val="24"/>
          <w:szCs w:val="32"/>
        </w:rPr>
        <w:t>3.</w:t>
      </w:r>
      <w:r w:rsidRPr="00632665">
        <w:rPr>
          <w:rFonts w:cs="Arial"/>
          <w:bCs/>
          <w:kern w:val="32"/>
          <w:sz w:val="24"/>
          <w:szCs w:val="32"/>
        </w:rPr>
        <w:tab/>
        <w:t xml:space="preserve">Operation of the class </w:t>
      </w:r>
      <w:bookmarkEnd w:id="2"/>
      <w:r w:rsidR="00CF74EE">
        <w:rPr>
          <w:rFonts w:cs="Arial"/>
          <w:bCs/>
          <w:kern w:val="32"/>
          <w:sz w:val="24"/>
          <w:szCs w:val="32"/>
        </w:rPr>
        <w:t xml:space="preserve">rule </w:t>
      </w:r>
      <w:r w:rsidR="0074058A" w:rsidRPr="00632665">
        <w:rPr>
          <w:rFonts w:cs="Arial"/>
          <w:bCs/>
          <w:kern w:val="32"/>
          <w:sz w:val="24"/>
          <w:szCs w:val="32"/>
        </w:rPr>
        <w:t>waiver</w:t>
      </w:r>
      <w:r w:rsidRPr="00632665">
        <w:rPr>
          <w:rFonts w:cs="Arial"/>
          <w:bCs/>
          <w:kern w:val="32"/>
          <w:sz w:val="24"/>
          <w:szCs w:val="32"/>
        </w:rPr>
        <w:t xml:space="preserve"> </w:t>
      </w:r>
    </w:p>
    <w:p w:rsidR="00331BD9" w:rsidRDefault="00331BD9" w:rsidP="00514B1D">
      <w:pPr>
        <w:pStyle w:val="CommentText"/>
        <w:jc w:val="both"/>
      </w:pPr>
    </w:p>
    <w:p w:rsidR="00E70159" w:rsidRDefault="00E70159" w:rsidP="00C74CA1">
      <w:pPr>
        <w:autoSpaceDE w:val="0"/>
        <w:autoSpaceDN w:val="0"/>
        <w:adjustRightInd w:val="0"/>
        <w:jc w:val="both"/>
        <w:rPr>
          <w:color w:val="000000"/>
          <w:lang w:val="en-US" w:eastAsia="en-AU"/>
        </w:rPr>
      </w:pPr>
      <w:bookmarkStart w:id="3" w:name="_Toc158699041"/>
      <w:r>
        <w:rPr>
          <w:color w:val="000000"/>
          <w:lang w:val="en-US" w:eastAsia="en-AU"/>
        </w:rPr>
        <w:t>Paragraph 4 of the Class Rule Waiver relieves a Principal Trader (within the meaning of Rule 1.4.3) from the obligation to comply with Rules 2.2.1(1</w:t>
      </w:r>
      <w:proofErr w:type="gramStart"/>
      <w:r>
        <w:rPr>
          <w:color w:val="000000"/>
          <w:lang w:val="en-US" w:eastAsia="en-AU"/>
        </w:rPr>
        <w:t>)(</w:t>
      </w:r>
      <w:proofErr w:type="spellStart"/>
      <w:proofErr w:type="gramEnd"/>
      <w:r>
        <w:rPr>
          <w:color w:val="000000"/>
          <w:lang w:val="en-US" w:eastAsia="en-AU"/>
        </w:rPr>
        <w:t>ab</w:t>
      </w:r>
      <w:proofErr w:type="spellEnd"/>
      <w:r>
        <w:rPr>
          <w:color w:val="000000"/>
          <w:lang w:val="en-US" w:eastAsia="en-AU"/>
        </w:rPr>
        <w:t>), (b), (c) and (e).</w:t>
      </w:r>
    </w:p>
    <w:p w:rsidR="00E70159" w:rsidRDefault="00E70159" w:rsidP="00C74CA1">
      <w:pPr>
        <w:autoSpaceDE w:val="0"/>
        <w:autoSpaceDN w:val="0"/>
        <w:adjustRightInd w:val="0"/>
        <w:jc w:val="both"/>
        <w:rPr>
          <w:color w:val="000000"/>
          <w:lang w:val="en-US" w:eastAsia="en-AU"/>
        </w:rPr>
      </w:pPr>
    </w:p>
    <w:p w:rsidR="00331BD9" w:rsidRDefault="00331BD9" w:rsidP="00C74CA1">
      <w:pPr>
        <w:autoSpaceDE w:val="0"/>
        <w:autoSpaceDN w:val="0"/>
        <w:adjustRightInd w:val="0"/>
        <w:jc w:val="both"/>
        <w:rPr>
          <w:color w:val="000000"/>
          <w:lang w:val="en-US" w:eastAsia="en-AU"/>
        </w:rPr>
      </w:pPr>
      <w:r>
        <w:rPr>
          <w:color w:val="000000"/>
          <w:lang w:val="en-US" w:eastAsia="en-AU"/>
        </w:rPr>
        <w:t>A Principal Trader will only be able to rely on the Class Rule Waiver if</w:t>
      </w:r>
      <w:r w:rsidR="00A6348C">
        <w:rPr>
          <w:color w:val="000000"/>
          <w:lang w:val="en-US" w:eastAsia="en-AU"/>
        </w:rPr>
        <w:t xml:space="preserve"> the Principal Trader is a Client of </w:t>
      </w:r>
      <w:r w:rsidR="003C2C4D">
        <w:rPr>
          <w:color w:val="000000"/>
          <w:lang w:val="en-US" w:eastAsia="en-AU"/>
        </w:rPr>
        <w:t xml:space="preserve">the </w:t>
      </w:r>
      <w:r w:rsidR="00A6348C">
        <w:rPr>
          <w:color w:val="000000"/>
          <w:lang w:val="en-US" w:eastAsia="en-AU"/>
        </w:rPr>
        <w:t>Second Market Participant and the Second Market Participant either</w:t>
      </w:r>
      <w:r>
        <w:rPr>
          <w:color w:val="000000"/>
          <w:lang w:val="en-US" w:eastAsia="en-AU"/>
        </w:rPr>
        <w:t>:</w:t>
      </w:r>
    </w:p>
    <w:p w:rsidR="00A6348C" w:rsidRDefault="00A6348C" w:rsidP="00514B1D">
      <w:pPr>
        <w:autoSpaceDE w:val="0"/>
        <w:autoSpaceDN w:val="0"/>
        <w:adjustRightInd w:val="0"/>
        <w:jc w:val="both"/>
        <w:rPr>
          <w:color w:val="000000"/>
          <w:lang w:val="en-US" w:eastAsia="en-AU"/>
        </w:rPr>
      </w:pPr>
    </w:p>
    <w:p w:rsidR="00A6348C" w:rsidRPr="00A6348C" w:rsidRDefault="00A6348C" w:rsidP="00514B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lang w:val="en-US" w:eastAsia="en-AU"/>
        </w:rPr>
      </w:pPr>
      <w:bookmarkStart w:id="4" w:name="_Toc158699042"/>
      <w:bookmarkEnd w:id="3"/>
      <w:r w:rsidRPr="001D35F8">
        <w:rPr>
          <w:color w:val="000000"/>
          <w:lang w:eastAsia="en-AU"/>
        </w:rPr>
        <w:t>permits the Principal Trader to connect to a Terminal for the purposes of Trading for the Principal Trader’s House Account; or</w:t>
      </w:r>
    </w:p>
    <w:p w:rsidR="00A6348C" w:rsidRPr="00A6348C" w:rsidRDefault="00A6348C" w:rsidP="00514B1D">
      <w:pPr>
        <w:autoSpaceDE w:val="0"/>
        <w:autoSpaceDN w:val="0"/>
        <w:adjustRightInd w:val="0"/>
        <w:ind w:left="1080"/>
        <w:jc w:val="both"/>
        <w:rPr>
          <w:color w:val="000000"/>
          <w:lang w:val="en-US" w:eastAsia="en-AU"/>
        </w:rPr>
      </w:pPr>
    </w:p>
    <w:p w:rsidR="00A6348C" w:rsidRPr="00A6348C" w:rsidRDefault="00A6348C" w:rsidP="00514B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lang w:val="en-US" w:eastAsia="en-AU"/>
        </w:rPr>
      </w:pPr>
      <w:proofErr w:type="gramStart"/>
      <w:r w:rsidRPr="001D35F8">
        <w:rPr>
          <w:color w:val="000000"/>
          <w:lang w:eastAsia="en-AU"/>
        </w:rPr>
        <w:t>enters</w:t>
      </w:r>
      <w:proofErr w:type="gramEnd"/>
      <w:r w:rsidRPr="001D35F8">
        <w:rPr>
          <w:color w:val="000000"/>
          <w:lang w:eastAsia="en-AU"/>
        </w:rPr>
        <w:t xml:space="preserve"> Orders on the Principal Trader’s House Account into the Trading Platform through the Second Market Participant’s Order System.</w:t>
      </w:r>
    </w:p>
    <w:p w:rsidR="00EA14B3" w:rsidRDefault="00F93985" w:rsidP="00514B1D">
      <w:pPr>
        <w:pStyle w:val="Heading1"/>
        <w:tabs>
          <w:tab w:val="clear" w:pos="879"/>
        </w:tabs>
        <w:overflowPunct/>
        <w:autoSpaceDE/>
        <w:autoSpaceDN/>
        <w:adjustRightInd/>
        <w:spacing w:after="60" w:line="240" w:lineRule="auto"/>
        <w:jc w:val="both"/>
        <w:textAlignment w:val="auto"/>
        <w:rPr>
          <w:rFonts w:cs="Arial"/>
          <w:bCs/>
          <w:kern w:val="32"/>
          <w:sz w:val="24"/>
          <w:szCs w:val="32"/>
        </w:rPr>
      </w:pPr>
      <w:r>
        <w:rPr>
          <w:rFonts w:cs="Arial"/>
          <w:bCs/>
          <w:kern w:val="32"/>
          <w:sz w:val="24"/>
          <w:szCs w:val="32"/>
        </w:rPr>
        <w:lastRenderedPageBreak/>
        <w:t>4</w:t>
      </w:r>
      <w:r w:rsidR="00EA14B3">
        <w:rPr>
          <w:rFonts w:cs="Arial"/>
          <w:bCs/>
          <w:kern w:val="32"/>
          <w:sz w:val="24"/>
          <w:szCs w:val="32"/>
        </w:rPr>
        <w:t>.</w:t>
      </w:r>
      <w:r w:rsidR="00EA14B3">
        <w:rPr>
          <w:rFonts w:cs="Arial"/>
          <w:bCs/>
          <w:kern w:val="32"/>
          <w:sz w:val="24"/>
          <w:szCs w:val="32"/>
        </w:rPr>
        <w:tab/>
        <w:t>Consultation</w:t>
      </w:r>
      <w:bookmarkEnd w:id="4"/>
    </w:p>
    <w:p w:rsidR="0024574B" w:rsidRDefault="0024574B" w:rsidP="00514B1D">
      <w:pPr>
        <w:pStyle w:val="BodyText"/>
        <w:spacing w:before="0"/>
        <w:jc w:val="both"/>
        <w:rPr>
          <w:iCs/>
        </w:rPr>
      </w:pPr>
    </w:p>
    <w:p w:rsidR="00463BA2" w:rsidRDefault="00E76E8E" w:rsidP="005C2E9D">
      <w:pPr>
        <w:pStyle w:val="BodyText"/>
        <w:spacing w:before="0" w:line="240" w:lineRule="auto"/>
        <w:jc w:val="both"/>
        <w:rPr>
          <w:iCs/>
        </w:rPr>
      </w:pPr>
      <w:r>
        <w:rPr>
          <w:iCs/>
        </w:rPr>
        <w:t xml:space="preserve">ASIC </w:t>
      </w:r>
      <w:r w:rsidR="007B1223">
        <w:rPr>
          <w:iCs/>
        </w:rPr>
        <w:t>consulted on the proposed amendments to</w:t>
      </w:r>
      <w:r w:rsidR="00770BBA">
        <w:rPr>
          <w:iCs/>
        </w:rPr>
        <w:t xml:space="preserve"> the risk management requirements in</w:t>
      </w:r>
      <w:r w:rsidR="007B1223">
        <w:rPr>
          <w:iCs/>
        </w:rPr>
        <w:t xml:space="preserve"> Rule 2.2.1</w:t>
      </w:r>
      <w:r w:rsidR="00770BBA">
        <w:rPr>
          <w:iCs/>
        </w:rPr>
        <w:t xml:space="preserve"> in</w:t>
      </w:r>
      <w:r w:rsidR="007B1223">
        <w:rPr>
          <w:iCs/>
        </w:rPr>
        <w:t xml:space="preserve"> </w:t>
      </w:r>
      <w:r w:rsidR="00D729DE" w:rsidRPr="00D729DE">
        <w:rPr>
          <w:iCs/>
        </w:rPr>
        <w:t xml:space="preserve">Consultation Paper 195 </w:t>
      </w:r>
      <w:r w:rsidR="00D729DE" w:rsidRPr="00D729DE">
        <w:rPr>
          <w:i/>
          <w:iCs/>
        </w:rPr>
        <w:t>Proposed amendments to ASIC market integrity rules: ASX 24 and FEX markets</w:t>
      </w:r>
      <w:r w:rsidR="00D729DE" w:rsidRPr="00D729DE">
        <w:rPr>
          <w:iCs/>
        </w:rPr>
        <w:t xml:space="preserve"> (CP 195)</w:t>
      </w:r>
      <w:r w:rsidR="00D729DE">
        <w:rPr>
          <w:iCs/>
        </w:rPr>
        <w:t xml:space="preserve"> in November 2012. </w:t>
      </w:r>
    </w:p>
    <w:p w:rsidR="00463BA2" w:rsidRDefault="00463BA2" w:rsidP="005C2E9D">
      <w:pPr>
        <w:pStyle w:val="BodyText"/>
        <w:spacing w:before="0" w:line="240" w:lineRule="auto"/>
        <w:jc w:val="both"/>
        <w:rPr>
          <w:iCs/>
        </w:rPr>
      </w:pPr>
    </w:p>
    <w:p w:rsidR="00463BA2" w:rsidRDefault="00463BA2" w:rsidP="005C2E9D">
      <w:pPr>
        <w:pStyle w:val="BodyText"/>
        <w:spacing w:line="240" w:lineRule="auto"/>
        <w:jc w:val="both"/>
        <w:rPr>
          <w:iCs/>
        </w:rPr>
      </w:pPr>
      <w:r w:rsidRPr="00463BA2">
        <w:rPr>
          <w:iCs/>
        </w:rPr>
        <w:t xml:space="preserve">One respondent </w:t>
      </w:r>
      <w:r>
        <w:rPr>
          <w:iCs/>
        </w:rPr>
        <w:t xml:space="preserve">to CP 195 </w:t>
      </w:r>
      <w:r w:rsidRPr="00463BA2">
        <w:rPr>
          <w:iCs/>
        </w:rPr>
        <w:t xml:space="preserve">submitted that, to date, the risk management obligations have </w:t>
      </w:r>
      <w:r w:rsidR="00EA5686">
        <w:rPr>
          <w:iCs/>
        </w:rPr>
        <w:t>been the responsibility of the M</w:t>
      </w:r>
      <w:r w:rsidRPr="00463BA2">
        <w:rPr>
          <w:iCs/>
        </w:rPr>
        <w:t xml:space="preserve">arket </w:t>
      </w:r>
      <w:r w:rsidR="00EA5686">
        <w:rPr>
          <w:iCs/>
        </w:rPr>
        <w:t>P</w:t>
      </w:r>
      <w:r w:rsidR="0079230D">
        <w:rPr>
          <w:iCs/>
        </w:rPr>
        <w:t>articipant that provides its C</w:t>
      </w:r>
      <w:r w:rsidRPr="00463BA2">
        <w:rPr>
          <w:iCs/>
        </w:rPr>
        <w:t xml:space="preserve">lients and </w:t>
      </w:r>
      <w:r w:rsidR="00EA5686">
        <w:rPr>
          <w:iCs/>
        </w:rPr>
        <w:t>P</w:t>
      </w:r>
      <w:r w:rsidRPr="00463BA2">
        <w:rPr>
          <w:iCs/>
        </w:rPr>
        <w:t xml:space="preserve">rincipal </w:t>
      </w:r>
      <w:r w:rsidR="00EA5686">
        <w:rPr>
          <w:iCs/>
        </w:rPr>
        <w:t>T</w:t>
      </w:r>
      <w:r w:rsidRPr="00463BA2">
        <w:rPr>
          <w:iCs/>
        </w:rPr>
        <w:t>raders with access to the ex</w:t>
      </w:r>
      <w:r w:rsidR="0079230D">
        <w:rPr>
          <w:iCs/>
        </w:rPr>
        <w:t>change. That Market P</w:t>
      </w:r>
      <w:r w:rsidRPr="00463BA2">
        <w:rPr>
          <w:iCs/>
        </w:rPr>
        <w:t xml:space="preserve">articipant would generally set trading limits for those </w:t>
      </w:r>
      <w:r w:rsidR="0079230D">
        <w:rPr>
          <w:iCs/>
        </w:rPr>
        <w:t>C</w:t>
      </w:r>
      <w:r w:rsidRPr="00463BA2">
        <w:rPr>
          <w:iCs/>
        </w:rPr>
        <w:t xml:space="preserve">lients and </w:t>
      </w:r>
      <w:r w:rsidR="0079230D">
        <w:rPr>
          <w:iCs/>
        </w:rPr>
        <w:t>Principal T</w:t>
      </w:r>
      <w:r w:rsidRPr="00463BA2">
        <w:rPr>
          <w:iCs/>
        </w:rPr>
        <w:t>raders. The</w:t>
      </w:r>
      <w:r w:rsidR="00043153" w:rsidRPr="00043153">
        <w:rPr>
          <w:iCs/>
        </w:rPr>
        <w:t xml:space="preserve"> respondent submitted that it may be difficult for a </w:t>
      </w:r>
      <w:r w:rsidR="00043153">
        <w:rPr>
          <w:iCs/>
        </w:rPr>
        <w:t>Principal T</w:t>
      </w:r>
      <w:r w:rsidR="00043153" w:rsidRPr="00043153">
        <w:rPr>
          <w:iCs/>
        </w:rPr>
        <w:t>rader that accesse</w:t>
      </w:r>
      <w:r w:rsidR="00043153">
        <w:rPr>
          <w:iCs/>
        </w:rPr>
        <w:t>s the exchange through another Market P</w:t>
      </w:r>
      <w:r w:rsidR="00043153" w:rsidRPr="00043153">
        <w:rPr>
          <w:iCs/>
        </w:rPr>
        <w:t xml:space="preserve">articipant to comply with the </w:t>
      </w:r>
      <w:r w:rsidR="00B50B3F">
        <w:rPr>
          <w:iCs/>
        </w:rPr>
        <w:t>proposed</w:t>
      </w:r>
      <w:r w:rsidR="00043153" w:rsidRPr="00043153">
        <w:rPr>
          <w:iCs/>
        </w:rPr>
        <w:t xml:space="preserve"> rules if the </w:t>
      </w:r>
      <w:r w:rsidR="0013759A">
        <w:rPr>
          <w:iCs/>
        </w:rPr>
        <w:t>Principal T</w:t>
      </w:r>
      <w:r w:rsidR="00043153" w:rsidRPr="00043153">
        <w:rPr>
          <w:iCs/>
        </w:rPr>
        <w:t>rader has no control over the trading limits that are set</w:t>
      </w:r>
      <w:r w:rsidR="00B7773A">
        <w:rPr>
          <w:iCs/>
        </w:rPr>
        <w:t xml:space="preserve"> </w:t>
      </w:r>
      <w:r>
        <w:rPr>
          <w:iCs/>
        </w:rPr>
        <w:t>(see Report 343</w:t>
      </w:r>
      <w:r w:rsidRPr="00463BA2">
        <w:rPr>
          <w:iCs/>
        </w:rPr>
        <w:t xml:space="preserve">: </w:t>
      </w:r>
      <w:r w:rsidRPr="008C7F87">
        <w:rPr>
          <w:i/>
          <w:iCs/>
        </w:rPr>
        <w:t>Response to submissions on CP 195 Proposed amendments to ASIC market integrity rules: ASX 24 and FEX markets</w:t>
      </w:r>
      <w:r>
        <w:rPr>
          <w:iCs/>
        </w:rPr>
        <w:t xml:space="preserve"> </w:t>
      </w:r>
      <w:r w:rsidR="008C7F87" w:rsidRPr="008C7F87">
        <w:rPr>
          <w:iCs/>
        </w:rPr>
        <w:t>(REP 343)</w:t>
      </w:r>
      <w:r w:rsidR="008C7F87">
        <w:rPr>
          <w:iCs/>
        </w:rPr>
        <w:t xml:space="preserve"> </w:t>
      </w:r>
      <w:r>
        <w:rPr>
          <w:iCs/>
        </w:rPr>
        <w:t>at paragraphs 15 to 17).</w:t>
      </w:r>
    </w:p>
    <w:p w:rsidR="00317C06" w:rsidRDefault="00317C06" w:rsidP="005C2E9D">
      <w:pPr>
        <w:pStyle w:val="BodyText"/>
        <w:spacing w:line="240" w:lineRule="auto"/>
        <w:jc w:val="both"/>
        <w:rPr>
          <w:iCs/>
        </w:rPr>
      </w:pPr>
    </w:p>
    <w:p w:rsidR="00703A56" w:rsidRDefault="00D729DE" w:rsidP="00276ADF">
      <w:pPr>
        <w:pStyle w:val="BodyText"/>
        <w:spacing w:before="0" w:line="240" w:lineRule="auto"/>
        <w:jc w:val="both"/>
        <w:rPr>
          <w:iCs/>
        </w:rPr>
      </w:pPr>
      <w:r>
        <w:rPr>
          <w:iCs/>
        </w:rPr>
        <w:t xml:space="preserve">As a result of ASIC’s consideration of the submissions </w:t>
      </w:r>
      <w:r w:rsidR="002138E0">
        <w:rPr>
          <w:iCs/>
        </w:rPr>
        <w:t>to</w:t>
      </w:r>
      <w:r>
        <w:rPr>
          <w:iCs/>
        </w:rPr>
        <w:t xml:space="preserve"> CP 195,</w:t>
      </w:r>
      <w:r w:rsidRPr="00D729DE">
        <w:rPr>
          <w:iCs/>
        </w:rPr>
        <w:t xml:space="preserve"> </w:t>
      </w:r>
      <w:r>
        <w:rPr>
          <w:iCs/>
        </w:rPr>
        <w:t xml:space="preserve">ASIC decided to give </w:t>
      </w:r>
      <w:r w:rsidR="002138E0">
        <w:rPr>
          <w:iCs/>
        </w:rPr>
        <w:t xml:space="preserve">this Class Rule Waiver to </w:t>
      </w:r>
      <w:r>
        <w:rPr>
          <w:iCs/>
        </w:rPr>
        <w:t xml:space="preserve">Principal Traders that access the market as a Client of another Market Participant. </w:t>
      </w:r>
    </w:p>
    <w:p w:rsidR="00D729DE" w:rsidRDefault="00D729DE" w:rsidP="00514B1D">
      <w:pPr>
        <w:pStyle w:val="BodyText"/>
        <w:spacing w:before="0"/>
        <w:jc w:val="both"/>
        <w:rPr>
          <w:iCs/>
        </w:rPr>
      </w:pPr>
    </w:p>
    <w:p w:rsidR="00235AE6" w:rsidRPr="00D729DE" w:rsidRDefault="00235AE6" w:rsidP="00514B1D">
      <w:pPr>
        <w:pStyle w:val="BodyText"/>
        <w:spacing w:before="0"/>
        <w:jc w:val="both"/>
        <w:rPr>
          <w:iCs/>
        </w:rPr>
      </w:pPr>
    </w:p>
    <w:p w:rsidR="00235AE6" w:rsidRDefault="00235AE6" w:rsidP="00514B1D">
      <w:pPr>
        <w:pStyle w:val="BodyText"/>
        <w:spacing w:befor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235AE6">
        <w:rPr>
          <w:rFonts w:ascii="Arial" w:hAnsi="Arial" w:cs="Arial"/>
          <w:b/>
          <w:bCs/>
        </w:rPr>
        <w:t>.</w:t>
      </w:r>
      <w:r w:rsidRPr="00235AE6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Statement of Compatibility with Human Rights</w:t>
      </w:r>
    </w:p>
    <w:p w:rsidR="00703A56" w:rsidRDefault="00703A56" w:rsidP="00514B1D">
      <w:pPr>
        <w:pStyle w:val="BodyText"/>
        <w:spacing w:before="0"/>
        <w:jc w:val="both"/>
        <w:rPr>
          <w:rFonts w:ascii="Arial" w:hAnsi="Arial" w:cs="Arial"/>
          <w:b/>
          <w:bCs/>
        </w:rPr>
      </w:pPr>
    </w:p>
    <w:p w:rsidR="00235AE6" w:rsidRDefault="00235AE6" w:rsidP="00514B1D">
      <w:pPr>
        <w:jc w:val="both"/>
        <w:rPr>
          <w:u w:val="single"/>
        </w:rPr>
      </w:pPr>
      <w:r>
        <w:t xml:space="preserve">A Statement of Compatibility with Human Rights is included in this Explanatory Statement at </w:t>
      </w:r>
      <w:r w:rsidRPr="00235AE6">
        <w:rPr>
          <w:u w:val="single"/>
        </w:rPr>
        <w:t>Attachment A.</w:t>
      </w:r>
      <w:r>
        <w:rPr>
          <w:u w:val="single"/>
        </w:rPr>
        <w:br w:type="page"/>
      </w:r>
    </w:p>
    <w:p w:rsidR="000966DC" w:rsidRPr="000966DC" w:rsidRDefault="000966DC" w:rsidP="00A462A6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ATTACHMENT A</w:t>
      </w:r>
    </w:p>
    <w:p w:rsidR="000966DC" w:rsidRPr="000966DC" w:rsidRDefault="000966DC" w:rsidP="00A462A6">
      <w:pPr>
        <w:jc w:val="center"/>
        <w:rPr>
          <w:b/>
        </w:rPr>
      </w:pPr>
    </w:p>
    <w:p w:rsidR="000966DC" w:rsidRPr="000966DC" w:rsidRDefault="000966DC" w:rsidP="00A462A6">
      <w:pPr>
        <w:jc w:val="center"/>
      </w:pPr>
      <w:r w:rsidRPr="000966DC">
        <w:rPr>
          <w:b/>
          <w:bCs/>
        </w:rPr>
        <w:t>Statement of Compatibility with Human Rights</w:t>
      </w:r>
    </w:p>
    <w:p w:rsidR="000966DC" w:rsidRPr="000966DC" w:rsidRDefault="000966DC" w:rsidP="00A462A6">
      <w:pPr>
        <w:jc w:val="center"/>
      </w:pPr>
    </w:p>
    <w:p w:rsidR="000966DC" w:rsidRPr="000966DC" w:rsidRDefault="000966DC" w:rsidP="00A462A6">
      <w:pPr>
        <w:jc w:val="center"/>
        <w:rPr>
          <w:i/>
        </w:rPr>
      </w:pPr>
      <w:r w:rsidRPr="000966DC">
        <w:rPr>
          <w:i/>
          <w:iCs/>
        </w:rPr>
        <w:t>Prepared in accordance with Part 3 of the Human Rights (Parliamentary Scrutiny) Act 2011.</w:t>
      </w:r>
    </w:p>
    <w:p w:rsidR="000966DC" w:rsidRPr="000966DC" w:rsidRDefault="000966DC" w:rsidP="00514B1D">
      <w:pPr>
        <w:jc w:val="both"/>
        <w:rPr>
          <w:bCs/>
        </w:rPr>
      </w:pPr>
    </w:p>
    <w:p w:rsidR="000966DC" w:rsidRPr="000966DC" w:rsidRDefault="000966DC" w:rsidP="00514B1D">
      <w:pPr>
        <w:jc w:val="both"/>
        <w:rPr>
          <w:b/>
          <w:bCs/>
        </w:rPr>
      </w:pPr>
      <w:r w:rsidRPr="000966DC">
        <w:rPr>
          <w:b/>
          <w:bCs/>
        </w:rPr>
        <w:t>ASIC CLASS RULE WAIVER [CW 13/</w:t>
      </w:r>
      <w:r w:rsidR="006F57FD">
        <w:rPr>
          <w:b/>
          <w:bCs/>
        </w:rPr>
        <w:t>972</w:t>
      </w:r>
      <w:r w:rsidRPr="000966DC">
        <w:rPr>
          <w:b/>
          <w:bCs/>
        </w:rPr>
        <w:t>]</w:t>
      </w:r>
    </w:p>
    <w:p w:rsidR="000966DC" w:rsidRPr="000966DC" w:rsidRDefault="000966DC" w:rsidP="00514B1D">
      <w:pPr>
        <w:jc w:val="both"/>
      </w:pPr>
    </w:p>
    <w:p w:rsidR="000966DC" w:rsidRPr="000966DC" w:rsidRDefault="000966DC" w:rsidP="00514B1D">
      <w:pPr>
        <w:jc w:val="both"/>
      </w:pPr>
      <w:r w:rsidRPr="000966DC">
        <w:t xml:space="preserve">This Legislative Instrument is compatible with the human rights and freedoms recognised or declared in the international instruments listed in section 3 of the </w:t>
      </w:r>
      <w:r w:rsidRPr="000966DC">
        <w:rPr>
          <w:i/>
        </w:rPr>
        <w:t>Human Rights (Parliamentary Scrutiny) Act 2011</w:t>
      </w:r>
      <w:r w:rsidRPr="000966DC">
        <w:t>.</w:t>
      </w:r>
    </w:p>
    <w:p w:rsidR="000966DC" w:rsidRPr="000966DC" w:rsidRDefault="000966DC" w:rsidP="00514B1D">
      <w:pPr>
        <w:jc w:val="both"/>
      </w:pPr>
    </w:p>
    <w:p w:rsidR="000966DC" w:rsidRPr="000966DC" w:rsidRDefault="000966DC" w:rsidP="00514B1D">
      <w:pPr>
        <w:numPr>
          <w:ilvl w:val="0"/>
          <w:numId w:val="12"/>
        </w:numPr>
        <w:jc w:val="both"/>
        <w:rPr>
          <w:b/>
        </w:rPr>
      </w:pPr>
      <w:r w:rsidRPr="000966DC">
        <w:rPr>
          <w:b/>
        </w:rPr>
        <w:t>Overview of the legislative instrument</w:t>
      </w:r>
    </w:p>
    <w:p w:rsidR="000966DC" w:rsidRPr="000966DC" w:rsidRDefault="000966DC" w:rsidP="00514B1D">
      <w:pPr>
        <w:jc w:val="both"/>
        <w:rPr>
          <w:b/>
        </w:rPr>
      </w:pPr>
    </w:p>
    <w:p w:rsidR="000966DC" w:rsidRPr="000966DC" w:rsidRDefault="000966DC" w:rsidP="00514B1D">
      <w:pPr>
        <w:jc w:val="both"/>
      </w:pPr>
      <w:r w:rsidRPr="000966DC">
        <w:t>The Australian Securities and Investments Commission (</w:t>
      </w:r>
      <w:r w:rsidRPr="000966DC">
        <w:rPr>
          <w:b/>
          <w:i/>
        </w:rPr>
        <w:t>ASIC</w:t>
      </w:r>
      <w:r w:rsidRPr="000966DC">
        <w:t xml:space="preserve">) makes this instrument under Rule 1.2.1(1) of the </w:t>
      </w:r>
      <w:r w:rsidRPr="000966DC">
        <w:rPr>
          <w:i/>
        </w:rPr>
        <w:t xml:space="preserve">ASIC Market Integrity Rules (ASX 24 Market) 2010 </w:t>
      </w:r>
      <w:r w:rsidRPr="000966DC">
        <w:t>(the </w:t>
      </w:r>
      <w:r w:rsidRPr="000966DC">
        <w:rPr>
          <w:b/>
          <w:i/>
        </w:rPr>
        <w:t>ASX 24 Rules</w:t>
      </w:r>
      <w:r w:rsidRPr="000966DC">
        <w:t xml:space="preserve">). </w:t>
      </w:r>
    </w:p>
    <w:p w:rsidR="000966DC" w:rsidRPr="000966DC" w:rsidRDefault="000966DC" w:rsidP="00514B1D">
      <w:pPr>
        <w:jc w:val="both"/>
      </w:pPr>
    </w:p>
    <w:p w:rsidR="000966DC" w:rsidRDefault="000966DC" w:rsidP="00514B1D">
      <w:pPr>
        <w:jc w:val="both"/>
      </w:pPr>
      <w:r w:rsidRPr="000966DC">
        <w:t xml:space="preserve">Under that rule, ASIC may relieve any person or class of persons from the obligation to comply with a provision of the ASX 24 Rules.   </w:t>
      </w:r>
    </w:p>
    <w:p w:rsidR="000966DC" w:rsidRDefault="000966DC" w:rsidP="00514B1D">
      <w:pPr>
        <w:jc w:val="both"/>
      </w:pPr>
    </w:p>
    <w:p w:rsidR="000966DC" w:rsidRPr="000966DC" w:rsidRDefault="000966DC" w:rsidP="00514B1D">
      <w:pPr>
        <w:jc w:val="both"/>
      </w:pPr>
      <w:r>
        <w:t>A principal trader is a market p</w:t>
      </w:r>
      <w:r w:rsidRPr="000966DC">
        <w:t xml:space="preserve">articipant </w:t>
      </w:r>
      <w:r>
        <w:t xml:space="preserve">of the ASX 24 market </w:t>
      </w:r>
      <w:r w:rsidRPr="000966DC">
        <w:t xml:space="preserve">that trades only on its own behalf. </w:t>
      </w:r>
      <w:r>
        <w:t>A principal t</w:t>
      </w:r>
      <w:r w:rsidRPr="000966DC">
        <w:t xml:space="preserve">rader engages in trading on </w:t>
      </w:r>
      <w:r w:rsidR="00703A56">
        <w:t xml:space="preserve">a </w:t>
      </w:r>
      <w:r>
        <w:t>house a</w:t>
      </w:r>
      <w:r w:rsidR="00703A56">
        <w:t>ccount</w:t>
      </w:r>
      <w:r w:rsidRPr="000966DC">
        <w:t xml:space="preserve"> and must therefore comply with the new risk management obligations under Rule 2.2.1(1)</w:t>
      </w:r>
      <w:r>
        <w:t xml:space="preserve"> of the ASX 24 Rules</w:t>
      </w:r>
      <w:r w:rsidR="00703A56">
        <w:t xml:space="preserve"> which we made by ASIC pursuant to </w:t>
      </w:r>
      <w:r w:rsidR="00703A56" w:rsidRPr="00703A56">
        <w:t xml:space="preserve">the </w:t>
      </w:r>
      <w:r w:rsidR="00703A56" w:rsidRPr="00703A56">
        <w:rPr>
          <w:i/>
        </w:rPr>
        <w:t>ASIC Market Integrity Rules (ASX 24 Market) Amendment 2013 (No. 1)</w:t>
      </w:r>
      <w:r w:rsidR="00703A56">
        <w:t xml:space="preserve"> </w:t>
      </w:r>
      <w:r w:rsidRPr="000966DC">
        <w:t>.</w:t>
      </w:r>
    </w:p>
    <w:p w:rsidR="000966DC" w:rsidRPr="000966DC" w:rsidRDefault="000966DC" w:rsidP="00514B1D">
      <w:pPr>
        <w:jc w:val="both"/>
      </w:pPr>
    </w:p>
    <w:p w:rsidR="003C2C4D" w:rsidRDefault="003C2C4D" w:rsidP="00514B1D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  <w:r>
        <w:rPr>
          <w:color w:val="000000"/>
          <w:lang w:eastAsia="en-AU"/>
        </w:rPr>
        <w:t xml:space="preserve">In some circumstances, a principal trader is a client of another market participant (the </w:t>
      </w:r>
      <w:r w:rsidRPr="00A6348C">
        <w:rPr>
          <w:b/>
          <w:i/>
          <w:color w:val="000000"/>
          <w:lang w:eastAsia="en-AU"/>
        </w:rPr>
        <w:t>Second Market Participant</w:t>
      </w:r>
      <w:r>
        <w:rPr>
          <w:color w:val="000000"/>
          <w:lang w:eastAsia="en-AU"/>
        </w:rPr>
        <w:t>), and the Second Market Participant either:</w:t>
      </w:r>
    </w:p>
    <w:p w:rsidR="003C2C4D" w:rsidRDefault="003C2C4D" w:rsidP="00514B1D">
      <w:pPr>
        <w:autoSpaceDE w:val="0"/>
        <w:autoSpaceDN w:val="0"/>
        <w:adjustRightInd w:val="0"/>
        <w:jc w:val="both"/>
        <w:rPr>
          <w:color w:val="000000"/>
          <w:lang w:eastAsia="en-AU"/>
        </w:rPr>
      </w:pPr>
    </w:p>
    <w:p w:rsidR="003C2C4D" w:rsidRPr="00A6348C" w:rsidRDefault="003C2C4D" w:rsidP="00514B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lang w:val="en-US" w:eastAsia="en-AU"/>
        </w:rPr>
      </w:pPr>
      <w:r>
        <w:rPr>
          <w:color w:val="000000"/>
          <w:lang w:eastAsia="en-AU"/>
        </w:rPr>
        <w:t>permits the principal trader to connect to a t</w:t>
      </w:r>
      <w:r w:rsidRPr="001D35F8">
        <w:rPr>
          <w:color w:val="000000"/>
          <w:lang w:eastAsia="en-AU"/>
        </w:rPr>
        <w:t xml:space="preserve">erminal </w:t>
      </w:r>
      <w:r>
        <w:rPr>
          <w:color w:val="000000"/>
          <w:lang w:eastAsia="en-AU"/>
        </w:rPr>
        <w:t>for the purposes of t</w:t>
      </w:r>
      <w:r w:rsidRPr="001D35F8">
        <w:rPr>
          <w:color w:val="000000"/>
          <w:lang w:eastAsia="en-AU"/>
        </w:rPr>
        <w:t xml:space="preserve">rading for the </w:t>
      </w:r>
      <w:r>
        <w:rPr>
          <w:color w:val="000000"/>
          <w:lang w:eastAsia="en-AU"/>
        </w:rPr>
        <w:t>p</w:t>
      </w:r>
      <w:r w:rsidRPr="001D35F8">
        <w:rPr>
          <w:color w:val="000000"/>
          <w:lang w:eastAsia="en-AU"/>
        </w:rPr>
        <w:t>rincipal</w:t>
      </w:r>
      <w:r>
        <w:rPr>
          <w:color w:val="000000"/>
          <w:lang w:eastAsia="en-AU"/>
        </w:rPr>
        <w:t xml:space="preserve"> t</w:t>
      </w:r>
      <w:r w:rsidRPr="001D35F8">
        <w:rPr>
          <w:color w:val="000000"/>
          <w:lang w:eastAsia="en-AU"/>
        </w:rPr>
        <w:t>rader’s</w:t>
      </w:r>
      <w:r>
        <w:rPr>
          <w:color w:val="000000"/>
          <w:lang w:eastAsia="en-AU"/>
        </w:rPr>
        <w:t xml:space="preserve"> house a</w:t>
      </w:r>
      <w:r w:rsidRPr="001D35F8">
        <w:rPr>
          <w:color w:val="000000"/>
          <w:lang w:eastAsia="en-AU"/>
        </w:rPr>
        <w:t>ccount; or</w:t>
      </w:r>
    </w:p>
    <w:p w:rsidR="003C2C4D" w:rsidRPr="00A6348C" w:rsidRDefault="003C2C4D" w:rsidP="00514B1D">
      <w:pPr>
        <w:autoSpaceDE w:val="0"/>
        <w:autoSpaceDN w:val="0"/>
        <w:adjustRightInd w:val="0"/>
        <w:ind w:left="1080"/>
        <w:jc w:val="both"/>
        <w:rPr>
          <w:color w:val="000000"/>
          <w:lang w:val="en-US" w:eastAsia="en-AU"/>
        </w:rPr>
      </w:pPr>
    </w:p>
    <w:p w:rsidR="003C2C4D" w:rsidRPr="00A6348C" w:rsidRDefault="003C2C4D" w:rsidP="00514B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lang w:val="en-US" w:eastAsia="en-AU"/>
        </w:rPr>
      </w:pPr>
      <w:proofErr w:type="gramStart"/>
      <w:r w:rsidRPr="001D35F8">
        <w:rPr>
          <w:color w:val="000000"/>
          <w:lang w:eastAsia="en-AU"/>
        </w:rPr>
        <w:t>enters</w:t>
      </w:r>
      <w:proofErr w:type="gramEnd"/>
      <w:r>
        <w:rPr>
          <w:color w:val="000000"/>
          <w:lang w:eastAsia="en-AU"/>
        </w:rPr>
        <w:t xml:space="preserve"> o</w:t>
      </w:r>
      <w:r w:rsidRPr="001D35F8">
        <w:rPr>
          <w:color w:val="000000"/>
          <w:lang w:eastAsia="en-AU"/>
        </w:rPr>
        <w:t xml:space="preserve">rders on the </w:t>
      </w:r>
      <w:r>
        <w:rPr>
          <w:color w:val="000000"/>
          <w:lang w:eastAsia="en-AU"/>
        </w:rPr>
        <w:t>principal trader’s house a</w:t>
      </w:r>
      <w:r w:rsidRPr="001D35F8">
        <w:rPr>
          <w:color w:val="000000"/>
          <w:lang w:eastAsia="en-AU"/>
        </w:rPr>
        <w:t>ccount</w:t>
      </w:r>
      <w:r>
        <w:rPr>
          <w:color w:val="000000"/>
          <w:lang w:eastAsia="en-AU"/>
        </w:rPr>
        <w:t xml:space="preserve"> into the trading p</w:t>
      </w:r>
      <w:r w:rsidRPr="001D35F8">
        <w:rPr>
          <w:color w:val="000000"/>
          <w:lang w:eastAsia="en-AU"/>
        </w:rPr>
        <w:t>latform</w:t>
      </w:r>
      <w:r>
        <w:rPr>
          <w:color w:val="000000"/>
          <w:lang w:eastAsia="en-AU"/>
        </w:rPr>
        <w:t xml:space="preserve"> through the Second Market Participant’s o</w:t>
      </w:r>
      <w:r w:rsidRPr="001D35F8">
        <w:rPr>
          <w:color w:val="000000"/>
          <w:lang w:eastAsia="en-AU"/>
        </w:rPr>
        <w:t xml:space="preserve">rder </w:t>
      </w:r>
      <w:r>
        <w:rPr>
          <w:color w:val="000000"/>
          <w:lang w:eastAsia="en-AU"/>
        </w:rPr>
        <w:t>s</w:t>
      </w:r>
      <w:r w:rsidRPr="001D35F8">
        <w:rPr>
          <w:color w:val="000000"/>
          <w:lang w:eastAsia="en-AU"/>
        </w:rPr>
        <w:t>ystem.</w:t>
      </w:r>
    </w:p>
    <w:p w:rsidR="003C2C4D" w:rsidRDefault="003C2C4D" w:rsidP="00514B1D">
      <w:pPr>
        <w:pStyle w:val="ListParagraph"/>
        <w:jc w:val="both"/>
        <w:rPr>
          <w:color w:val="000000"/>
          <w:lang w:val="en-US" w:eastAsia="en-AU"/>
        </w:rPr>
      </w:pPr>
    </w:p>
    <w:p w:rsidR="000966DC" w:rsidRDefault="000966DC" w:rsidP="00514B1D">
      <w:pPr>
        <w:jc w:val="both"/>
      </w:pPr>
    </w:p>
    <w:p w:rsidR="003C2C4D" w:rsidRPr="003C2C4D" w:rsidRDefault="003C2C4D" w:rsidP="00514B1D">
      <w:pPr>
        <w:jc w:val="both"/>
      </w:pPr>
      <w:r>
        <w:t>T</w:t>
      </w:r>
      <w:r w:rsidRPr="003C2C4D">
        <w:t>he Second Market Participant must comply with the risk management requirements under Rul</w:t>
      </w:r>
      <w:r>
        <w:t>e 2.2.1(1) with respect to the principal t</w:t>
      </w:r>
      <w:r w:rsidRPr="003C2C4D">
        <w:t xml:space="preserve">rader as its </w:t>
      </w:r>
      <w:r>
        <w:t>c</w:t>
      </w:r>
      <w:r w:rsidRPr="003C2C4D">
        <w:t>lient. The Second Market Participant will set,</w:t>
      </w:r>
      <w:r w:rsidRPr="003C2C4D">
        <w:rPr>
          <w:iCs/>
        </w:rPr>
        <w:t xml:space="preserve"> document and input into trading platform account maintenance,</w:t>
      </w:r>
      <w:r w:rsidRPr="003C2C4D">
        <w:t xml:space="preserve"> limits </w:t>
      </w:r>
      <w:r>
        <w:t>on each of its client accounts, including those clients that are principal t</w:t>
      </w:r>
      <w:r w:rsidRPr="003C2C4D">
        <w:t xml:space="preserve">raders. </w:t>
      </w:r>
      <w:r>
        <w:t>T</w:t>
      </w:r>
      <w:r>
        <w:rPr>
          <w:iCs/>
        </w:rPr>
        <w:t>he principal t</w:t>
      </w:r>
      <w:r w:rsidRPr="003C2C4D">
        <w:rPr>
          <w:iCs/>
        </w:rPr>
        <w:t xml:space="preserve">rader may not have the capability to set, document and input into trading platform account maintenance pre-determined order and/or position limits on its </w:t>
      </w:r>
      <w:r>
        <w:rPr>
          <w:iCs/>
        </w:rPr>
        <w:t>h</w:t>
      </w:r>
      <w:r w:rsidRPr="003C2C4D">
        <w:rPr>
          <w:iCs/>
        </w:rPr>
        <w:t xml:space="preserve">ouse </w:t>
      </w:r>
      <w:r>
        <w:rPr>
          <w:iCs/>
        </w:rPr>
        <w:t>a</w:t>
      </w:r>
      <w:r w:rsidRPr="003C2C4D">
        <w:rPr>
          <w:iCs/>
        </w:rPr>
        <w:t>ccount.</w:t>
      </w:r>
    </w:p>
    <w:p w:rsidR="000966DC" w:rsidRPr="000966DC" w:rsidRDefault="000966DC" w:rsidP="00514B1D">
      <w:pPr>
        <w:jc w:val="both"/>
      </w:pPr>
    </w:p>
    <w:p w:rsidR="000966DC" w:rsidRDefault="000966DC" w:rsidP="00514B1D">
      <w:pPr>
        <w:jc w:val="both"/>
        <w:rPr>
          <w:iCs/>
        </w:rPr>
      </w:pPr>
      <w:r w:rsidRPr="000966DC">
        <w:t>The Legislative Instrument</w:t>
      </w:r>
      <w:r w:rsidRPr="000966DC">
        <w:rPr>
          <w:iCs/>
        </w:rPr>
        <w:t xml:space="preserve"> relieve</w:t>
      </w:r>
      <w:r>
        <w:rPr>
          <w:iCs/>
        </w:rPr>
        <w:t>s</w:t>
      </w:r>
      <w:r w:rsidRPr="000966DC">
        <w:rPr>
          <w:iCs/>
        </w:rPr>
        <w:t xml:space="preserve"> </w:t>
      </w:r>
      <w:r>
        <w:rPr>
          <w:iCs/>
        </w:rPr>
        <w:t>a principal t</w:t>
      </w:r>
      <w:r w:rsidRPr="000966DC">
        <w:rPr>
          <w:iCs/>
        </w:rPr>
        <w:t xml:space="preserve">rader from certain risk management obligations under Rule 2.2.1(1) with respect to its </w:t>
      </w:r>
      <w:r>
        <w:rPr>
          <w:iCs/>
        </w:rPr>
        <w:t>house a</w:t>
      </w:r>
      <w:r w:rsidR="00703A56">
        <w:rPr>
          <w:iCs/>
        </w:rPr>
        <w:t>ccount</w:t>
      </w:r>
      <w:r w:rsidRPr="000966DC">
        <w:rPr>
          <w:iCs/>
        </w:rPr>
        <w:t xml:space="preserve"> in </w:t>
      </w:r>
      <w:r w:rsidR="00703A56">
        <w:rPr>
          <w:iCs/>
        </w:rPr>
        <w:t xml:space="preserve">these </w:t>
      </w:r>
      <w:r w:rsidRPr="000966DC">
        <w:rPr>
          <w:iCs/>
        </w:rPr>
        <w:t>circumsta</w:t>
      </w:r>
      <w:r>
        <w:rPr>
          <w:iCs/>
        </w:rPr>
        <w:t>nces where the principal trader accesses the market as a client of another market p</w:t>
      </w:r>
      <w:r w:rsidRPr="000966DC">
        <w:rPr>
          <w:iCs/>
        </w:rPr>
        <w:t xml:space="preserve">articipant.  </w:t>
      </w:r>
    </w:p>
    <w:p w:rsidR="000966DC" w:rsidRPr="000966DC" w:rsidRDefault="000966DC" w:rsidP="00514B1D">
      <w:pPr>
        <w:jc w:val="both"/>
        <w:rPr>
          <w:iCs/>
        </w:rPr>
      </w:pPr>
    </w:p>
    <w:p w:rsidR="000966DC" w:rsidRPr="000966DC" w:rsidRDefault="000966DC" w:rsidP="00514B1D">
      <w:pPr>
        <w:jc w:val="both"/>
      </w:pPr>
    </w:p>
    <w:p w:rsidR="000966DC" w:rsidRPr="000966DC" w:rsidRDefault="000966DC" w:rsidP="00514B1D">
      <w:pPr>
        <w:numPr>
          <w:ilvl w:val="0"/>
          <w:numId w:val="12"/>
        </w:numPr>
        <w:jc w:val="both"/>
        <w:rPr>
          <w:b/>
        </w:rPr>
      </w:pPr>
      <w:r w:rsidRPr="000966DC">
        <w:rPr>
          <w:b/>
        </w:rPr>
        <w:t>Human rights implications</w:t>
      </w:r>
    </w:p>
    <w:p w:rsidR="000966DC" w:rsidRPr="000966DC" w:rsidRDefault="000966DC" w:rsidP="00514B1D">
      <w:pPr>
        <w:jc w:val="both"/>
      </w:pPr>
    </w:p>
    <w:p w:rsidR="000966DC" w:rsidRPr="000966DC" w:rsidRDefault="000966DC" w:rsidP="00514B1D">
      <w:pPr>
        <w:jc w:val="both"/>
      </w:pPr>
      <w:r w:rsidRPr="000966DC">
        <w:t xml:space="preserve">This Legislative Instrument does not have any effect on human rights and freedoms recognised or declared in the international instruments listed in section 3 of the </w:t>
      </w:r>
      <w:r w:rsidRPr="000966DC">
        <w:rPr>
          <w:i/>
        </w:rPr>
        <w:t>Human Rights (Parliamentary Scrutiny) Act 2011</w:t>
      </w:r>
      <w:r w:rsidRPr="000966DC">
        <w:t xml:space="preserve"> because it does not engage any of the applicable rights or freedoms.  </w:t>
      </w:r>
    </w:p>
    <w:p w:rsidR="000966DC" w:rsidRPr="000966DC" w:rsidRDefault="000966DC" w:rsidP="00514B1D">
      <w:pPr>
        <w:jc w:val="both"/>
      </w:pPr>
    </w:p>
    <w:p w:rsidR="000966DC" w:rsidRPr="000966DC" w:rsidRDefault="000966DC" w:rsidP="00514B1D">
      <w:pPr>
        <w:numPr>
          <w:ilvl w:val="0"/>
          <w:numId w:val="12"/>
        </w:numPr>
        <w:jc w:val="both"/>
        <w:rPr>
          <w:b/>
        </w:rPr>
      </w:pPr>
      <w:r w:rsidRPr="000966DC">
        <w:rPr>
          <w:b/>
        </w:rPr>
        <w:t>Consultation</w:t>
      </w:r>
    </w:p>
    <w:p w:rsidR="000966DC" w:rsidRPr="000966DC" w:rsidRDefault="000966DC" w:rsidP="00514B1D">
      <w:pPr>
        <w:jc w:val="both"/>
        <w:rPr>
          <w:iCs/>
        </w:rPr>
      </w:pPr>
    </w:p>
    <w:p w:rsidR="00276ADF" w:rsidRPr="00276ADF" w:rsidRDefault="00276ADF" w:rsidP="00276ADF">
      <w:pPr>
        <w:jc w:val="both"/>
        <w:rPr>
          <w:bCs/>
          <w:iCs/>
        </w:rPr>
      </w:pPr>
      <w:r w:rsidRPr="00276ADF">
        <w:rPr>
          <w:bCs/>
          <w:iCs/>
        </w:rPr>
        <w:t xml:space="preserve">ASIC consulted on the proposed amendments to the risk management requirements in Rule 2.2.1 in Consultation Paper 195 </w:t>
      </w:r>
      <w:r w:rsidRPr="00276ADF">
        <w:rPr>
          <w:bCs/>
          <w:i/>
          <w:iCs/>
        </w:rPr>
        <w:t>Proposed amendments to ASIC market integrity rules: ASX 24 and FEX markets</w:t>
      </w:r>
      <w:r w:rsidRPr="00276ADF">
        <w:rPr>
          <w:bCs/>
          <w:iCs/>
        </w:rPr>
        <w:t xml:space="preserve"> (CP 195) in November 2012. As a result of ASIC’s consideration of the submissions to CP 195, ASIC decided to give th</w:t>
      </w:r>
      <w:r w:rsidR="00F44C01">
        <w:rPr>
          <w:bCs/>
          <w:iCs/>
        </w:rPr>
        <w:t>e relief in the Legislative Instrument</w:t>
      </w:r>
      <w:r w:rsidRPr="00276ADF">
        <w:rPr>
          <w:bCs/>
          <w:iCs/>
        </w:rPr>
        <w:t xml:space="preserve"> to </w:t>
      </w:r>
      <w:r w:rsidR="00F44C01">
        <w:rPr>
          <w:bCs/>
          <w:iCs/>
        </w:rPr>
        <w:t>p</w:t>
      </w:r>
      <w:r w:rsidRPr="00276ADF">
        <w:rPr>
          <w:bCs/>
          <w:iCs/>
        </w:rPr>
        <w:t xml:space="preserve">rincipal </w:t>
      </w:r>
      <w:r w:rsidR="00F44C01">
        <w:rPr>
          <w:bCs/>
          <w:iCs/>
        </w:rPr>
        <w:t>t</w:t>
      </w:r>
      <w:r w:rsidRPr="00276ADF">
        <w:rPr>
          <w:bCs/>
          <w:iCs/>
        </w:rPr>
        <w:t xml:space="preserve">raders that access the market as a </w:t>
      </w:r>
      <w:r w:rsidR="00F44C01">
        <w:rPr>
          <w:bCs/>
          <w:iCs/>
        </w:rPr>
        <w:t>c</w:t>
      </w:r>
      <w:r w:rsidRPr="00276ADF">
        <w:rPr>
          <w:bCs/>
          <w:iCs/>
        </w:rPr>
        <w:t xml:space="preserve">lient of another </w:t>
      </w:r>
      <w:r w:rsidR="00F44C01">
        <w:rPr>
          <w:bCs/>
          <w:iCs/>
        </w:rPr>
        <w:t>m</w:t>
      </w:r>
      <w:r w:rsidRPr="00276ADF">
        <w:rPr>
          <w:bCs/>
          <w:iCs/>
        </w:rPr>
        <w:t xml:space="preserve">arket </w:t>
      </w:r>
      <w:r w:rsidR="00F44C01">
        <w:rPr>
          <w:bCs/>
          <w:iCs/>
        </w:rPr>
        <w:t>p</w:t>
      </w:r>
      <w:r w:rsidRPr="00276ADF">
        <w:rPr>
          <w:bCs/>
          <w:iCs/>
        </w:rPr>
        <w:t xml:space="preserve">articipant. </w:t>
      </w:r>
    </w:p>
    <w:p w:rsidR="000966DC" w:rsidRPr="000966DC" w:rsidRDefault="000966DC" w:rsidP="00514B1D">
      <w:pPr>
        <w:jc w:val="both"/>
        <w:rPr>
          <w:bCs/>
          <w:iCs/>
        </w:rPr>
      </w:pPr>
    </w:p>
    <w:p w:rsidR="00235AE6" w:rsidRDefault="00235AE6" w:rsidP="00514B1D">
      <w:pPr>
        <w:jc w:val="both"/>
      </w:pPr>
    </w:p>
    <w:p w:rsidR="00235AE6" w:rsidRPr="00235AE6" w:rsidRDefault="00235AE6" w:rsidP="00514B1D">
      <w:pPr>
        <w:pStyle w:val="BodyText"/>
        <w:spacing w:before="0"/>
        <w:jc w:val="both"/>
        <w:rPr>
          <w:bCs/>
        </w:rPr>
      </w:pPr>
    </w:p>
    <w:p w:rsidR="00CF44D8" w:rsidRPr="004B6CCD" w:rsidRDefault="00CF44D8" w:rsidP="00514B1D">
      <w:pPr>
        <w:pStyle w:val="BodyText"/>
        <w:spacing w:before="0"/>
        <w:jc w:val="both"/>
      </w:pPr>
    </w:p>
    <w:sectPr w:rsidR="00CF44D8" w:rsidRPr="004B6CCD" w:rsidSect="006E2F45">
      <w:headerReference w:type="default" r:id="rId8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6C1" w:rsidRDefault="007406C1" w:rsidP="00EA14B3">
      <w:r>
        <w:separator/>
      </w:r>
    </w:p>
  </w:endnote>
  <w:endnote w:type="continuationSeparator" w:id="0">
    <w:p w:rsidR="007406C1" w:rsidRDefault="007406C1" w:rsidP="00EA1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6C1" w:rsidRDefault="007406C1" w:rsidP="00EA14B3">
      <w:r>
        <w:separator/>
      </w:r>
    </w:p>
  </w:footnote>
  <w:footnote w:type="continuationSeparator" w:id="0">
    <w:p w:rsidR="007406C1" w:rsidRDefault="007406C1" w:rsidP="00EA1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120516"/>
      <w:docPartObj>
        <w:docPartGallery w:val="Page Numbers (Top of Page)"/>
        <w:docPartUnique/>
      </w:docPartObj>
    </w:sdtPr>
    <w:sdtContent>
      <w:p w:rsidR="000966DC" w:rsidRDefault="0066690C">
        <w:pPr>
          <w:pStyle w:val="Header"/>
          <w:jc w:val="center"/>
        </w:pPr>
        <w:fldSimple w:instr=" PAGE   \* MERGEFORMAT ">
          <w:r w:rsidR="00B6715E">
            <w:rPr>
              <w:noProof/>
            </w:rPr>
            <w:t>2</w:t>
          </w:r>
        </w:fldSimple>
      </w:p>
    </w:sdtContent>
  </w:sdt>
  <w:p w:rsidR="000966DC" w:rsidRDefault="000966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AE9"/>
    <w:multiLevelType w:val="hybridMultilevel"/>
    <w:tmpl w:val="9402B352"/>
    <w:lvl w:ilvl="0" w:tplc="8F02A52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3"/>
        <w:szCs w:val="23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3215C"/>
    <w:multiLevelType w:val="hybridMultilevel"/>
    <w:tmpl w:val="2F482198"/>
    <w:lvl w:ilvl="0" w:tplc="C78024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F5D3E"/>
    <w:multiLevelType w:val="hybridMultilevel"/>
    <w:tmpl w:val="A544B0FE"/>
    <w:lvl w:ilvl="0" w:tplc="8F02A52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3"/>
        <w:szCs w:val="23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D5EBF"/>
    <w:multiLevelType w:val="hybridMultilevel"/>
    <w:tmpl w:val="02AE4EDA"/>
    <w:lvl w:ilvl="0" w:tplc="4DAE7A4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AC763D"/>
    <w:multiLevelType w:val="hybridMultilevel"/>
    <w:tmpl w:val="B0EA8D0C"/>
    <w:lvl w:ilvl="0" w:tplc="26F607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83510"/>
    <w:multiLevelType w:val="hybridMultilevel"/>
    <w:tmpl w:val="B64E51C6"/>
    <w:lvl w:ilvl="0" w:tplc="26F607E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E12992"/>
    <w:multiLevelType w:val="hybridMultilevel"/>
    <w:tmpl w:val="40046D04"/>
    <w:lvl w:ilvl="0" w:tplc="9D02CC36">
      <w:start w:val="1"/>
      <w:numFmt w:val="lowerRoman"/>
      <w:pStyle w:val="Subsubpara"/>
      <w:lvlText w:val="(%1)"/>
      <w:lvlJc w:val="left"/>
      <w:pPr>
        <w:tabs>
          <w:tab w:val="num" w:pos="1799"/>
        </w:tabs>
        <w:ind w:left="1259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D24C2C"/>
    <w:multiLevelType w:val="hybridMultilevel"/>
    <w:tmpl w:val="16F65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134F7"/>
    <w:multiLevelType w:val="hybridMultilevel"/>
    <w:tmpl w:val="4EC8C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927E3"/>
    <w:multiLevelType w:val="hybridMultilevel"/>
    <w:tmpl w:val="CC1AAA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F">
      <w:start w:val="1"/>
      <w:numFmt w:val="decimal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9F5DEE"/>
    <w:multiLevelType w:val="hybridMultilevel"/>
    <w:tmpl w:val="6E5A0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47D69"/>
    <w:multiLevelType w:val="hybridMultilevel"/>
    <w:tmpl w:val="72943942"/>
    <w:lvl w:ilvl="0" w:tplc="C48485D2">
      <w:start w:val="1"/>
      <w:numFmt w:val="lowerLetter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30AFF"/>
    <w:multiLevelType w:val="hybridMultilevel"/>
    <w:tmpl w:val="0A0CB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57696"/>
    <w:multiLevelType w:val="hybridMultilevel"/>
    <w:tmpl w:val="4E6618A8"/>
    <w:lvl w:ilvl="0" w:tplc="5726AC30">
      <w:start w:val="1"/>
      <w:numFmt w:val="lowerLetter"/>
      <w:pStyle w:val="Subpara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8D1D91"/>
    <w:multiLevelType w:val="hybridMultilevel"/>
    <w:tmpl w:val="CFAEF88C"/>
    <w:lvl w:ilvl="0" w:tplc="BA9A5A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6F607E4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CFA2019C">
      <w:start w:val="1"/>
      <w:numFmt w:val="lowerRoman"/>
      <w:lvlText w:val="(%3)"/>
      <w:lvlJc w:val="righ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0"/>
  </w:num>
  <w:num w:numId="5">
    <w:abstractNumId w:val="8"/>
  </w:num>
  <w:num w:numId="6">
    <w:abstractNumId w:val="11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14"/>
  </w:num>
  <w:num w:numId="12">
    <w:abstractNumId w:val="9"/>
  </w:num>
  <w:num w:numId="13">
    <w:abstractNumId w:val="1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227"/>
    <w:rsid w:val="00043153"/>
    <w:rsid w:val="000966DC"/>
    <w:rsid w:val="000D335C"/>
    <w:rsid w:val="000E01C2"/>
    <w:rsid w:val="000E67E1"/>
    <w:rsid w:val="00100BB3"/>
    <w:rsid w:val="00110AA6"/>
    <w:rsid w:val="001139FE"/>
    <w:rsid w:val="0013759A"/>
    <w:rsid w:val="00174A4D"/>
    <w:rsid w:val="001A1A03"/>
    <w:rsid w:val="001C3E48"/>
    <w:rsid w:val="001C664D"/>
    <w:rsid w:val="001D252F"/>
    <w:rsid w:val="001D35F8"/>
    <w:rsid w:val="001E6161"/>
    <w:rsid w:val="00211AE6"/>
    <w:rsid w:val="002138E0"/>
    <w:rsid w:val="002275D2"/>
    <w:rsid w:val="00235AE6"/>
    <w:rsid w:val="0024574B"/>
    <w:rsid w:val="00262491"/>
    <w:rsid w:val="00276ADF"/>
    <w:rsid w:val="002A0AAF"/>
    <w:rsid w:val="002A1709"/>
    <w:rsid w:val="002B6A86"/>
    <w:rsid w:val="0030524E"/>
    <w:rsid w:val="0031485D"/>
    <w:rsid w:val="00317C06"/>
    <w:rsid w:val="00331BD9"/>
    <w:rsid w:val="0034183E"/>
    <w:rsid w:val="00372B1D"/>
    <w:rsid w:val="003B67D1"/>
    <w:rsid w:val="003C2C4D"/>
    <w:rsid w:val="003C6734"/>
    <w:rsid w:val="003E1F71"/>
    <w:rsid w:val="003F27A6"/>
    <w:rsid w:val="00406282"/>
    <w:rsid w:val="00453A5A"/>
    <w:rsid w:val="00463BA2"/>
    <w:rsid w:val="00464601"/>
    <w:rsid w:val="00474F43"/>
    <w:rsid w:val="00477403"/>
    <w:rsid w:val="00491559"/>
    <w:rsid w:val="004A1BC9"/>
    <w:rsid w:val="004A3425"/>
    <w:rsid w:val="004B6CCD"/>
    <w:rsid w:val="004C0EE6"/>
    <w:rsid w:val="004C67C6"/>
    <w:rsid w:val="004E3FBD"/>
    <w:rsid w:val="005077B4"/>
    <w:rsid w:val="00514B1D"/>
    <w:rsid w:val="005312B8"/>
    <w:rsid w:val="00573BB9"/>
    <w:rsid w:val="00593DDC"/>
    <w:rsid w:val="005A52B5"/>
    <w:rsid w:val="005C2E9D"/>
    <w:rsid w:val="005C611E"/>
    <w:rsid w:val="005E5D95"/>
    <w:rsid w:val="005F766B"/>
    <w:rsid w:val="00616190"/>
    <w:rsid w:val="00617D0C"/>
    <w:rsid w:val="0062512C"/>
    <w:rsid w:val="00632665"/>
    <w:rsid w:val="006327C1"/>
    <w:rsid w:val="0065205F"/>
    <w:rsid w:val="0066690C"/>
    <w:rsid w:val="00675B28"/>
    <w:rsid w:val="006918B9"/>
    <w:rsid w:val="006C7B52"/>
    <w:rsid w:val="006E2F45"/>
    <w:rsid w:val="006E7831"/>
    <w:rsid w:val="006F3DF1"/>
    <w:rsid w:val="006F57FD"/>
    <w:rsid w:val="00703A56"/>
    <w:rsid w:val="00727D6A"/>
    <w:rsid w:val="0074058A"/>
    <w:rsid w:val="007406C1"/>
    <w:rsid w:val="00757ED5"/>
    <w:rsid w:val="00770BBA"/>
    <w:rsid w:val="0079230D"/>
    <w:rsid w:val="007A508E"/>
    <w:rsid w:val="007B1223"/>
    <w:rsid w:val="007F06C5"/>
    <w:rsid w:val="00803242"/>
    <w:rsid w:val="008120A3"/>
    <w:rsid w:val="00830922"/>
    <w:rsid w:val="00837ABB"/>
    <w:rsid w:val="00851186"/>
    <w:rsid w:val="00853035"/>
    <w:rsid w:val="00863FCE"/>
    <w:rsid w:val="0087661F"/>
    <w:rsid w:val="00897DB3"/>
    <w:rsid w:val="008A4A4C"/>
    <w:rsid w:val="008B28ED"/>
    <w:rsid w:val="008C7F87"/>
    <w:rsid w:val="008F529D"/>
    <w:rsid w:val="00904914"/>
    <w:rsid w:val="00905E15"/>
    <w:rsid w:val="0091740C"/>
    <w:rsid w:val="00941227"/>
    <w:rsid w:val="00951707"/>
    <w:rsid w:val="00951CD6"/>
    <w:rsid w:val="009534CC"/>
    <w:rsid w:val="009961F6"/>
    <w:rsid w:val="00997819"/>
    <w:rsid w:val="009A69A6"/>
    <w:rsid w:val="009C75E1"/>
    <w:rsid w:val="00A4617F"/>
    <w:rsid w:val="00A462A6"/>
    <w:rsid w:val="00A4766C"/>
    <w:rsid w:val="00A505FB"/>
    <w:rsid w:val="00A6348C"/>
    <w:rsid w:val="00A6367C"/>
    <w:rsid w:val="00AF6871"/>
    <w:rsid w:val="00B13E12"/>
    <w:rsid w:val="00B22B0C"/>
    <w:rsid w:val="00B32BD1"/>
    <w:rsid w:val="00B50B3F"/>
    <w:rsid w:val="00B6715E"/>
    <w:rsid w:val="00B6730C"/>
    <w:rsid w:val="00B71679"/>
    <w:rsid w:val="00B737CA"/>
    <w:rsid w:val="00B7773A"/>
    <w:rsid w:val="00B849F0"/>
    <w:rsid w:val="00B9019F"/>
    <w:rsid w:val="00BB561E"/>
    <w:rsid w:val="00C0201D"/>
    <w:rsid w:val="00C32D51"/>
    <w:rsid w:val="00C46D02"/>
    <w:rsid w:val="00C507DB"/>
    <w:rsid w:val="00C74CA1"/>
    <w:rsid w:val="00C802F5"/>
    <w:rsid w:val="00C8141B"/>
    <w:rsid w:val="00C82D37"/>
    <w:rsid w:val="00CC57DD"/>
    <w:rsid w:val="00CC60A7"/>
    <w:rsid w:val="00CF44D8"/>
    <w:rsid w:val="00CF74EE"/>
    <w:rsid w:val="00D2169F"/>
    <w:rsid w:val="00D46A03"/>
    <w:rsid w:val="00D729DE"/>
    <w:rsid w:val="00D920E5"/>
    <w:rsid w:val="00D9303B"/>
    <w:rsid w:val="00DB12D4"/>
    <w:rsid w:val="00E11015"/>
    <w:rsid w:val="00E70159"/>
    <w:rsid w:val="00E76E8E"/>
    <w:rsid w:val="00E772BC"/>
    <w:rsid w:val="00EA14B3"/>
    <w:rsid w:val="00EA4299"/>
    <w:rsid w:val="00EA5686"/>
    <w:rsid w:val="00EB019D"/>
    <w:rsid w:val="00EB7EC2"/>
    <w:rsid w:val="00F029E2"/>
    <w:rsid w:val="00F03D17"/>
    <w:rsid w:val="00F25F1C"/>
    <w:rsid w:val="00F43207"/>
    <w:rsid w:val="00F44C01"/>
    <w:rsid w:val="00F870B9"/>
    <w:rsid w:val="00F90D57"/>
    <w:rsid w:val="00F93985"/>
    <w:rsid w:val="00FA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51"/>
    <w:rPr>
      <w:sz w:val="24"/>
      <w:szCs w:val="24"/>
      <w:lang w:eastAsia="en-US"/>
    </w:rPr>
  </w:style>
  <w:style w:type="paragraph" w:styleId="Heading1">
    <w:name w:val="heading 1"/>
    <w:aliases w:val="h1,header 1"/>
    <w:next w:val="CommentText"/>
    <w:qFormat/>
    <w:rsid w:val="00C32D51"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rsid w:val="00C32D51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rsid w:val="00C32D51"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semiHidden/>
    <w:rsid w:val="00C32D51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rsid w:val="00C32D51"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  <w:szCs w:val="20"/>
    </w:rPr>
  </w:style>
  <w:style w:type="paragraph" w:customStyle="1" w:styleId="BodyTextcentreditals">
    <w:name w:val="Body Text centred itals"/>
    <w:basedOn w:val="BodyText"/>
    <w:rsid w:val="00C32D51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rsid w:val="00C32D51"/>
    <w:pPr>
      <w:jc w:val="center"/>
    </w:pPr>
  </w:style>
  <w:style w:type="paragraph" w:customStyle="1" w:styleId="Subsubpara">
    <w:name w:val="Sub sub para"/>
    <w:basedOn w:val="Normal"/>
    <w:rsid w:val="00C32D51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rsid w:val="00C32D51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link w:val="CommentTextChar"/>
    <w:semiHidden/>
    <w:rsid w:val="00C32D5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14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4B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A14B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819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2F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F4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E2F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2F4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A34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09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92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092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0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DBF64-38D4-4DC7-99E3-9CF195DA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CLASS ORDER [CO xx/xxx]</vt:lpstr>
    </vt:vector>
  </TitlesOfParts>
  <Company>ASIC</Company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CLASS ORDER [CO xx/xxx]</dc:title>
  <dc:subject/>
  <dc:creator>Helen.Yu</dc:creator>
  <cp:keywords/>
  <dc:description/>
  <cp:lastModifiedBy>Natalie Boulizos</cp:lastModifiedBy>
  <cp:revision>2</cp:revision>
  <cp:lastPrinted>2011-07-14T02:28:00Z</cp:lastPrinted>
  <dcterms:created xsi:type="dcterms:W3CDTF">2013-08-19T01:06:00Z</dcterms:created>
  <dcterms:modified xsi:type="dcterms:W3CDTF">2013-08-19T01:06:00Z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A3921129</vt:lpwstr>
  </property>
  <property fmtid="{D5CDD505-2E9C-101B-9397-08002B2CF9AE}" pid="4" name="Objective-Title">
    <vt:lpwstr>Explanatory Statement for Class Rule Waiver [13-972]</vt:lpwstr>
  </property>
  <property fmtid="{D5CDD505-2E9C-101B-9397-08002B2CF9AE}" pid="5" name="Objective-Comment">
    <vt:lpwstr/>
  </property>
  <property fmtid="{D5CDD505-2E9C-101B-9397-08002B2CF9AE}" pid="6" name="Objective-CreationStamp">
    <vt:filetime>2013-08-19T01:06:55Z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2013-08-19T02:43:29Z</vt:filetime>
  </property>
  <property fmtid="{D5CDD505-2E9C-101B-9397-08002B2CF9AE}" pid="11" name="Objective-Owner">
    <vt:lpwstr>Natalie Boulizos</vt:lpwstr>
  </property>
  <property fmtid="{D5CDD505-2E9C-101B-9397-08002B2CF9AE}" pid="12" name="Objective-Path">
    <vt:lpwstr>ASIC BCS:REGULATION &amp; COMPLIANCE:Assessments, Surveillance &amp; Supervision:Market &amp; Participant Supervision:Legal &amp; Policy:Amendments to ASX 24 Market Integrity Rules 2013 (No.1):Final Documents:</vt:lpwstr>
  </property>
  <property fmtid="{D5CDD505-2E9C-101B-9397-08002B2CF9AE}" pid="13" name="Objective-Parent">
    <vt:lpwstr>Final Documents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i4>2</vt:i4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/>
  </property>
  <property fmtid="{D5CDD505-2E9C-101B-9397-08002B2CF9AE}" pid="21" name="Objective-Category [system]">
    <vt:lpwstr/>
  </property>
</Properties>
</file>