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CB" w:rsidRPr="00B5182B" w:rsidRDefault="005D6703" w:rsidP="00C14ACB">
      <w:pPr>
        <w:spacing w:after="0" w:line="240" w:lineRule="auto"/>
        <w:jc w:val="center"/>
        <w:rPr>
          <w:rFonts w:ascii="Times New Roman" w:eastAsia="Times New Roman" w:hAnsi="Times New Roman"/>
          <w:b/>
          <w:lang w:eastAsia="en-AU"/>
        </w:rPr>
      </w:pPr>
      <w:r w:rsidRPr="005D6703">
        <w:rPr>
          <w:rFonts w:ascii="Times New Roman" w:eastAsia="Times New Roman" w:hAnsi="Times New Roman"/>
          <w:b/>
          <w:lang w:eastAsia="en-AU"/>
        </w:rPr>
        <w:t>EXPLANATORY STATEMENT</w:t>
      </w:r>
    </w:p>
    <w:p w:rsidR="00B7389D" w:rsidRPr="00B5182B" w:rsidRDefault="005D6703">
      <w:pPr>
        <w:spacing w:before="240" w:after="0" w:line="240" w:lineRule="auto"/>
        <w:jc w:val="center"/>
        <w:rPr>
          <w:rFonts w:ascii="Times New Roman" w:eastAsia="Times New Roman" w:hAnsi="Times New Roman"/>
          <w:b/>
          <w:lang w:eastAsia="en-AU"/>
        </w:rPr>
      </w:pPr>
      <w:r w:rsidRPr="005D6703">
        <w:rPr>
          <w:rFonts w:ascii="Times New Roman" w:eastAsia="Times New Roman" w:hAnsi="Times New Roman"/>
          <w:b/>
          <w:lang w:eastAsia="en-AU"/>
        </w:rPr>
        <w:t>Prepared by the Australian Communications and Media Authority</w:t>
      </w:r>
    </w:p>
    <w:p w:rsidR="00574F72" w:rsidRDefault="00574F72" w:rsidP="00574F72">
      <w:pPr>
        <w:pStyle w:val="BodyText"/>
        <w:spacing w:before="80" w:line="280" w:lineRule="atLeast"/>
        <w:jc w:val="center"/>
        <w:rPr>
          <w:i/>
          <w:sz w:val="22"/>
          <w:szCs w:val="22"/>
        </w:rPr>
      </w:pPr>
    </w:p>
    <w:p w:rsidR="00574F72" w:rsidRPr="00B5182B" w:rsidRDefault="005D6703" w:rsidP="00574F72">
      <w:pPr>
        <w:pStyle w:val="BodyText"/>
        <w:spacing w:before="80" w:line="280" w:lineRule="atLeast"/>
        <w:jc w:val="center"/>
        <w:rPr>
          <w:i/>
          <w:sz w:val="21"/>
          <w:szCs w:val="21"/>
        </w:rPr>
      </w:pPr>
      <w:r w:rsidRPr="005D6703">
        <w:rPr>
          <w:i/>
          <w:sz w:val="21"/>
          <w:szCs w:val="21"/>
        </w:rPr>
        <w:t>Radiocommunications (Spectrum Access Charges — 2.5 GHz Mid-band Gap) Determination 2013</w:t>
      </w:r>
    </w:p>
    <w:p w:rsidR="00C14ACB" w:rsidRPr="00C14ACB" w:rsidRDefault="00C14ACB" w:rsidP="00C14ACB">
      <w:pPr>
        <w:spacing w:after="0" w:line="240" w:lineRule="auto"/>
        <w:jc w:val="center"/>
        <w:rPr>
          <w:rFonts w:ascii="Times New Roman" w:eastAsia="Times New Roman" w:hAnsi="Times New Roman"/>
          <w:b/>
          <w:i/>
          <w:sz w:val="24"/>
          <w:szCs w:val="24"/>
          <w:lang w:eastAsia="en-AU"/>
        </w:rPr>
      </w:pPr>
    </w:p>
    <w:p w:rsidR="00574F72" w:rsidRPr="00574F72" w:rsidRDefault="00574F72" w:rsidP="00574F72">
      <w:pPr>
        <w:pStyle w:val="indenta"/>
        <w:tabs>
          <w:tab w:val="left" w:pos="720"/>
        </w:tabs>
        <w:spacing w:before="80" w:after="120" w:line="280" w:lineRule="atLeast"/>
        <w:ind w:left="0" w:firstLine="0"/>
        <w:rPr>
          <w:rFonts w:ascii="Times New Roman" w:hAnsi="Times New Roman"/>
          <w:b/>
          <w:color w:val="262626" w:themeColor="text1" w:themeTint="D9"/>
          <w:szCs w:val="22"/>
        </w:rPr>
      </w:pPr>
      <w:r w:rsidRPr="00574F72">
        <w:rPr>
          <w:rFonts w:ascii="Times New Roman" w:hAnsi="Times New Roman"/>
          <w:b/>
          <w:color w:val="262626" w:themeColor="text1" w:themeTint="D9"/>
          <w:szCs w:val="22"/>
        </w:rPr>
        <w:t>Purpose</w:t>
      </w:r>
    </w:p>
    <w:p w:rsidR="00574F72" w:rsidRPr="00574F72" w:rsidRDefault="00574F72" w:rsidP="00574F72">
      <w:pPr>
        <w:pStyle w:val="BodyText"/>
        <w:spacing w:before="80" w:line="280" w:lineRule="atLeast"/>
        <w:jc w:val="left"/>
        <w:rPr>
          <w:i/>
          <w:sz w:val="22"/>
          <w:szCs w:val="22"/>
        </w:rPr>
      </w:pPr>
      <w:r w:rsidRPr="00574F72">
        <w:rPr>
          <w:color w:val="262626" w:themeColor="text1" w:themeTint="D9"/>
          <w:sz w:val="22"/>
          <w:szCs w:val="22"/>
        </w:rPr>
        <w:t xml:space="preserve">The purpose of the </w:t>
      </w:r>
      <w:r w:rsidRPr="00574F72">
        <w:rPr>
          <w:i/>
          <w:sz w:val="22"/>
          <w:szCs w:val="22"/>
        </w:rPr>
        <w:t>Radiocommunications (Spectrum Access Charges — 2.5 GHz Mid-band Gap) Determination 2013</w:t>
      </w:r>
      <w:r>
        <w:rPr>
          <w:i/>
          <w:sz w:val="22"/>
          <w:szCs w:val="22"/>
        </w:rPr>
        <w:t xml:space="preserve"> </w:t>
      </w:r>
      <w:r w:rsidR="007068FA" w:rsidRPr="007068FA">
        <w:rPr>
          <w:sz w:val="22"/>
          <w:szCs w:val="22"/>
        </w:rPr>
        <w:t>(</w:t>
      </w:r>
      <w:r w:rsidR="007068FA" w:rsidRPr="007068FA">
        <w:rPr>
          <w:b/>
          <w:sz w:val="22"/>
          <w:szCs w:val="22"/>
        </w:rPr>
        <w:t>the Determination</w:t>
      </w:r>
      <w:r w:rsidR="007068FA" w:rsidRPr="007068FA">
        <w:rPr>
          <w:sz w:val="22"/>
          <w:szCs w:val="22"/>
        </w:rPr>
        <w:t>)</w:t>
      </w:r>
      <w:r w:rsidR="007068FA">
        <w:rPr>
          <w:i/>
          <w:sz w:val="22"/>
          <w:szCs w:val="22"/>
        </w:rPr>
        <w:t xml:space="preserve"> </w:t>
      </w:r>
      <w:r w:rsidRPr="00574F72">
        <w:rPr>
          <w:sz w:val="22"/>
          <w:szCs w:val="22"/>
        </w:rPr>
        <w:t xml:space="preserve">is to </w:t>
      </w:r>
      <w:r w:rsidR="007F2F87">
        <w:rPr>
          <w:sz w:val="22"/>
          <w:szCs w:val="22"/>
        </w:rPr>
        <w:t>fix s</w:t>
      </w:r>
      <w:r w:rsidRPr="00574F72">
        <w:rPr>
          <w:sz w:val="22"/>
          <w:szCs w:val="22"/>
        </w:rPr>
        <w:t xml:space="preserve">pectrum </w:t>
      </w:r>
      <w:r w:rsidR="007F2F87">
        <w:rPr>
          <w:sz w:val="22"/>
          <w:szCs w:val="22"/>
        </w:rPr>
        <w:t>a</w:t>
      </w:r>
      <w:r w:rsidRPr="00574F72">
        <w:rPr>
          <w:sz w:val="22"/>
          <w:szCs w:val="22"/>
        </w:rPr>
        <w:t xml:space="preserve">ccess </w:t>
      </w:r>
      <w:r w:rsidR="007F2F87">
        <w:rPr>
          <w:sz w:val="22"/>
          <w:szCs w:val="22"/>
        </w:rPr>
        <w:t>c</w:t>
      </w:r>
      <w:r w:rsidRPr="00574F72">
        <w:rPr>
          <w:sz w:val="22"/>
          <w:szCs w:val="22"/>
        </w:rPr>
        <w:t>harge</w:t>
      </w:r>
      <w:r w:rsidR="007F2F87">
        <w:rPr>
          <w:sz w:val="22"/>
          <w:szCs w:val="22"/>
        </w:rPr>
        <w:t>s</w:t>
      </w:r>
      <w:r w:rsidRPr="00574F72">
        <w:rPr>
          <w:sz w:val="22"/>
          <w:szCs w:val="22"/>
        </w:rPr>
        <w:t xml:space="preserve"> </w:t>
      </w:r>
      <w:r>
        <w:rPr>
          <w:sz w:val="22"/>
          <w:szCs w:val="22"/>
        </w:rPr>
        <w:t xml:space="preserve">for </w:t>
      </w:r>
      <w:r w:rsidR="00AB3C20">
        <w:rPr>
          <w:sz w:val="22"/>
          <w:szCs w:val="22"/>
        </w:rPr>
        <w:t>s</w:t>
      </w:r>
      <w:r>
        <w:rPr>
          <w:sz w:val="22"/>
          <w:szCs w:val="22"/>
        </w:rPr>
        <w:t xml:space="preserve">pectrum </w:t>
      </w:r>
      <w:r w:rsidR="00AB3C20">
        <w:rPr>
          <w:sz w:val="22"/>
          <w:szCs w:val="22"/>
        </w:rPr>
        <w:t>l</w:t>
      </w:r>
      <w:r>
        <w:rPr>
          <w:sz w:val="22"/>
          <w:szCs w:val="22"/>
        </w:rPr>
        <w:t xml:space="preserve">icences </w:t>
      </w:r>
      <w:r w:rsidR="002B7592">
        <w:rPr>
          <w:sz w:val="22"/>
          <w:szCs w:val="22"/>
        </w:rPr>
        <w:t xml:space="preserve">in the </w:t>
      </w:r>
      <w:r w:rsidR="007F2F87">
        <w:rPr>
          <w:sz w:val="22"/>
          <w:szCs w:val="22"/>
        </w:rPr>
        <w:t>frequency band 2570-2620 MHz (</w:t>
      </w:r>
      <w:r w:rsidR="007F2F87" w:rsidRPr="007F2F87">
        <w:rPr>
          <w:b/>
          <w:sz w:val="22"/>
          <w:szCs w:val="22"/>
        </w:rPr>
        <w:t xml:space="preserve">the </w:t>
      </w:r>
      <w:r w:rsidR="002B7592" w:rsidRPr="007F2F87">
        <w:rPr>
          <w:b/>
          <w:sz w:val="22"/>
          <w:szCs w:val="22"/>
        </w:rPr>
        <w:t>2.5 GHz Mid</w:t>
      </w:r>
      <w:r w:rsidR="00C80E5E" w:rsidRPr="007F2F87">
        <w:rPr>
          <w:b/>
          <w:sz w:val="22"/>
          <w:szCs w:val="22"/>
        </w:rPr>
        <w:t>-b</w:t>
      </w:r>
      <w:r w:rsidR="002B7592" w:rsidRPr="007F2F87">
        <w:rPr>
          <w:b/>
          <w:sz w:val="22"/>
          <w:szCs w:val="22"/>
        </w:rPr>
        <w:t xml:space="preserve">and </w:t>
      </w:r>
      <w:r w:rsidR="007F2F87" w:rsidRPr="007F2F87">
        <w:rPr>
          <w:b/>
          <w:sz w:val="22"/>
          <w:szCs w:val="22"/>
        </w:rPr>
        <w:t>Gap</w:t>
      </w:r>
      <w:r w:rsidR="007F2F87">
        <w:rPr>
          <w:sz w:val="22"/>
          <w:szCs w:val="22"/>
        </w:rPr>
        <w:t xml:space="preserve">). </w:t>
      </w:r>
    </w:p>
    <w:p w:rsidR="00BC0A6B" w:rsidRPr="00BC0A6B" w:rsidRDefault="00BC0A6B" w:rsidP="001E1788">
      <w:pPr>
        <w:pStyle w:val="indenta"/>
        <w:tabs>
          <w:tab w:val="left" w:pos="720"/>
        </w:tabs>
        <w:spacing w:before="80" w:after="120" w:line="280" w:lineRule="atLeast"/>
        <w:ind w:left="0" w:firstLine="0"/>
        <w:rPr>
          <w:rFonts w:ascii="Times New Roman" w:hAnsi="Times New Roman"/>
          <w:b/>
          <w:color w:val="262626" w:themeColor="text1" w:themeTint="D9"/>
          <w:szCs w:val="22"/>
        </w:rPr>
      </w:pPr>
      <w:bookmarkStart w:id="0" w:name="_Toc488571218"/>
      <w:r w:rsidRPr="00BC0A6B">
        <w:rPr>
          <w:rFonts w:ascii="Times New Roman" w:hAnsi="Times New Roman"/>
          <w:b/>
          <w:color w:val="262626" w:themeColor="text1" w:themeTint="D9"/>
          <w:szCs w:val="22"/>
        </w:rPr>
        <w:t>Legislative Provisions</w:t>
      </w:r>
    </w:p>
    <w:p w:rsidR="00BC0A6B" w:rsidRPr="00BC0A6B" w:rsidRDefault="00BC0A6B" w:rsidP="00BC0A6B">
      <w:pPr>
        <w:pStyle w:val="indenta"/>
        <w:tabs>
          <w:tab w:val="left" w:pos="720"/>
        </w:tabs>
        <w:spacing w:before="80" w:after="120" w:line="280" w:lineRule="atLeast"/>
        <w:ind w:left="0" w:firstLine="0"/>
        <w:rPr>
          <w:rFonts w:ascii="Times New Roman" w:hAnsi="Times New Roman"/>
          <w:color w:val="262626" w:themeColor="text1" w:themeTint="D9"/>
          <w:szCs w:val="22"/>
        </w:rPr>
      </w:pPr>
      <w:r w:rsidRPr="00BC0A6B">
        <w:rPr>
          <w:rFonts w:ascii="Times New Roman" w:hAnsi="Times New Roman"/>
          <w:color w:val="262626" w:themeColor="text1" w:themeTint="D9"/>
          <w:szCs w:val="22"/>
        </w:rPr>
        <w:t xml:space="preserve">Subsection 294(1) of the </w:t>
      </w:r>
      <w:r w:rsidRPr="00BC0A6B">
        <w:rPr>
          <w:rFonts w:ascii="Times New Roman" w:hAnsi="Times New Roman"/>
          <w:i/>
          <w:color w:val="262626" w:themeColor="text1" w:themeTint="D9"/>
          <w:szCs w:val="22"/>
        </w:rPr>
        <w:t xml:space="preserve">Radiocommunications Act 1992 </w:t>
      </w:r>
      <w:r w:rsidRPr="00BC0A6B">
        <w:rPr>
          <w:rFonts w:ascii="Times New Roman" w:hAnsi="Times New Roman"/>
          <w:color w:val="262626" w:themeColor="text1" w:themeTint="D9"/>
          <w:szCs w:val="22"/>
        </w:rPr>
        <w:t>(</w:t>
      </w:r>
      <w:r w:rsidRPr="007F2F87">
        <w:rPr>
          <w:rFonts w:ascii="Times New Roman" w:hAnsi="Times New Roman"/>
          <w:b/>
          <w:color w:val="262626" w:themeColor="text1" w:themeTint="D9"/>
          <w:szCs w:val="22"/>
        </w:rPr>
        <w:t>the Act</w:t>
      </w:r>
      <w:r w:rsidRPr="00BC0A6B">
        <w:rPr>
          <w:rFonts w:ascii="Times New Roman" w:hAnsi="Times New Roman"/>
          <w:color w:val="262626" w:themeColor="text1" w:themeTint="D9"/>
          <w:szCs w:val="22"/>
        </w:rPr>
        <w:t>) provides that the Australian Communications and Media Authority (</w:t>
      </w:r>
      <w:r w:rsidRPr="007F2F87">
        <w:rPr>
          <w:rFonts w:ascii="Times New Roman" w:hAnsi="Times New Roman"/>
          <w:b/>
          <w:color w:val="262626" w:themeColor="text1" w:themeTint="D9"/>
          <w:szCs w:val="22"/>
        </w:rPr>
        <w:t>the ACMA</w:t>
      </w:r>
      <w:r w:rsidRPr="00BC0A6B">
        <w:rPr>
          <w:rFonts w:ascii="Times New Roman" w:hAnsi="Times New Roman"/>
          <w:color w:val="262626" w:themeColor="text1" w:themeTint="D9"/>
          <w:szCs w:val="22"/>
        </w:rPr>
        <w:t>) may, by written instrument, make determinations fixing spectrum access charges payable by licensees for issuing spectrum licen</w:t>
      </w:r>
      <w:r w:rsidR="00E109EC">
        <w:rPr>
          <w:rFonts w:ascii="Times New Roman" w:hAnsi="Times New Roman"/>
          <w:color w:val="262626" w:themeColor="text1" w:themeTint="D9"/>
          <w:szCs w:val="22"/>
        </w:rPr>
        <w:t>c</w:t>
      </w:r>
      <w:r w:rsidRPr="00BC0A6B">
        <w:rPr>
          <w:rFonts w:ascii="Times New Roman" w:hAnsi="Times New Roman"/>
          <w:color w:val="262626" w:themeColor="text1" w:themeTint="D9"/>
          <w:szCs w:val="22"/>
        </w:rPr>
        <w:t xml:space="preserve">es and specifying the times when spectrum access charges are payable. </w:t>
      </w:r>
    </w:p>
    <w:p w:rsidR="005E7952" w:rsidRPr="001E1788" w:rsidRDefault="005E7952" w:rsidP="001E1788">
      <w:pPr>
        <w:pStyle w:val="indenta"/>
        <w:tabs>
          <w:tab w:val="left" w:pos="720"/>
        </w:tabs>
        <w:spacing w:before="80" w:after="120" w:line="280" w:lineRule="atLeast"/>
        <w:ind w:left="0" w:firstLine="0"/>
        <w:rPr>
          <w:rFonts w:ascii="Times New Roman" w:hAnsi="Times New Roman"/>
          <w:b/>
          <w:color w:val="262626" w:themeColor="text1" w:themeTint="D9"/>
          <w:szCs w:val="22"/>
        </w:rPr>
      </w:pPr>
      <w:r w:rsidRPr="001E1788">
        <w:rPr>
          <w:rFonts w:ascii="Times New Roman" w:hAnsi="Times New Roman"/>
          <w:b/>
          <w:color w:val="262626" w:themeColor="text1" w:themeTint="D9"/>
          <w:szCs w:val="22"/>
        </w:rPr>
        <w:t>Background</w:t>
      </w:r>
    </w:p>
    <w:p w:rsidR="007F2F87" w:rsidRDefault="007F2F87" w:rsidP="00AB3C20">
      <w:pPr>
        <w:pStyle w:val="ACMABulletLevel1"/>
        <w:numPr>
          <w:ilvl w:val="0"/>
          <w:numId w:val="0"/>
        </w:numPr>
        <w:spacing w:line="280" w:lineRule="atLeast"/>
        <w:rPr>
          <w:rStyle w:val="CharSectno"/>
          <w:sz w:val="22"/>
          <w:szCs w:val="22"/>
        </w:rPr>
      </w:pPr>
      <w:r>
        <w:rPr>
          <w:rStyle w:val="CharSectno"/>
          <w:sz w:val="22"/>
          <w:szCs w:val="22"/>
        </w:rPr>
        <w:t xml:space="preserve">On 13 December 2012, the ACMA made the </w:t>
      </w:r>
      <w:r>
        <w:rPr>
          <w:rStyle w:val="CharSectno"/>
          <w:i/>
          <w:sz w:val="22"/>
          <w:szCs w:val="22"/>
        </w:rPr>
        <w:t>Radiocommunications Spectrum Conversion Plan (2.5 GHz Mid-band Gap</w:t>
      </w:r>
      <w:r w:rsidR="00B5182B">
        <w:rPr>
          <w:rStyle w:val="CharSectno"/>
          <w:i/>
          <w:sz w:val="22"/>
          <w:szCs w:val="22"/>
        </w:rPr>
        <w:t>)</w:t>
      </w:r>
      <w:r>
        <w:rPr>
          <w:rStyle w:val="CharSectno"/>
          <w:i/>
          <w:sz w:val="22"/>
          <w:szCs w:val="22"/>
        </w:rPr>
        <w:t xml:space="preserve"> 2012 </w:t>
      </w:r>
      <w:r>
        <w:rPr>
          <w:rStyle w:val="CharSectno"/>
          <w:sz w:val="22"/>
          <w:szCs w:val="22"/>
        </w:rPr>
        <w:t>(</w:t>
      </w:r>
      <w:r>
        <w:rPr>
          <w:rStyle w:val="CharSectno"/>
          <w:b/>
          <w:sz w:val="22"/>
          <w:szCs w:val="22"/>
        </w:rPr>
        <w:t>Conversion Plan</w:t>
      </w:r>
      <w:r>
        <w:rPr>
          <w:rStyle w:val="CharSectno"/>
          <w:sz w:val="22"/>
          <w:szCs w:val="22"/>
        </w:rPr>
        <w:t>).  The Conversion Plan set</w:t>
      </w:r>
      <w:r w:rsidR="00C55968">
        <w:rPr>
          <w:rStyle w:val="CharSectno"/>
          <w:sz w:val="22"/>
          <w:szCs w:val="22"/>
        </w:rPr>
        <w:t>s</w:t>
      </w:r>
      <w:r>
        <w:rPr>
          <w:rStyle w:val="CharSectno"/>
          <w:sz w:val="22"/>
          <w:szCs w:val="22"/>
        </w:rPr>
        <w:t xml:space="preserve"> </w:t>
      </w:r>
      <w:r w:rsidR="00546F0B">
        <w:rPr>
          <w:rStyle w:val="CharSectno"/>
          <w:sz w:val="22"/>
          <w:szCs w:val="22"/>
        </w:rPr>
        <w:t>out how existing apparatus licence holders in the 2500-2690 MHz frequency band (</w:t>
      </w:r>
      <w:r w:rsidR="00546F0B" w:rsidRPr="00546F0B">
        <w:rPr>
          <w:rStyle w:val="CharSectno"/>
          <w:b/>
          <w:sz w:val="22"/>
          <w:szCs w:val="22"/>
        </w:rPr>
        <w:t>the</w:t>
      </w:r>
      <w:r w:rsidR="00546F0B">
        <w:rPr>
          <w:rStyle w:val="CharSectno"/>
          <w:sz w:val="22"/>
          <w:szCs w:val="22"/>
        </w:rPr>
        <w:t xml:space="preserve"> </w:t>
      </w:r>
      <w:r w:rsidR="00546F0B" w:rsidRPr="00546F0B">
        <w:rPr>
          <w:rStyle w:val="CharSectno"/>
          <w:b/>
          <w:sz w:val="22"/>
          <w:szCs w:val="22"/>
        </w:rPr>
        <w:t xml:space="preserve">2.5 GHz </w:t>
      </w:r>
      <w:r w:rsidR="00B9306D">
        <w:rPr>
          <w:rStyle w:val="CharSectno"/>
          <w:b/>
          <w:sz w:val="22"/>
          <w:szCs w:val="22"/>
        </w:rPr>
        <w:t>b</w:t>
      </w:r>
      <w:r w:rsidR="00546F0B" w:rsidRPr="00546F0B">
        <w:rPr>
          <w:rStyle w:val="CharSectno"/>
          <w:b/>
          <w:sz w:val="22"/>
          <w:szCs w:val="22"/>
        </w:rPr>
        <w:t>and</w:t>
      </w:r>
      <w:r w:rsidR="00546F0B">
        <w:rPr>
          <w:rStyle w:val="CharSectno"/>
          <w:sz w:val="22"/>
          <w:szCs w:val="22"/>
        </w:rPr>
        <w:t xml:space="preserve">) will be converted into spectrum licences in the </w:t>
      </w:r>
      <w:r>
        <w:rPr>
          <w:rStyle w:val="CharSectno"/>
          <w:sz w:val="22"/>
          <w:szCs w:val="22"/>
        </w:rPr>
        <w:t xml:space="preserve">2.5 GHz Mid-band Gap.  </w:t>
      </w:r>
      <w:r w:rsidR="00C55968">
        <w:rPr>
          <w:rStyle w:val="CharSectno"/>
          <w:sz w:val="22"/>
          <w:szCs w:val="22"/>
        </w:rPr>
        <w:t xml:space="preserve">The Conversion Plan also sets out the </w:t>
      </w:r>
      <w:r w:rsidR="00546F0B">
        <w:rPr>
          <w:rStyle w:val="CharSectno"/>
          <w:sz w:val="22"/>
          <w:szCs w:val="22"/>
        </w:rPr>
        <w:t>timetable for conversion</w:t>
      </w:r>
      <w:r w:rsidR="00A52A9B">
        <w:rPr>
          <w:rStyle w:val="CharSectno"/>
          <w:sz w:val="22"/>
          <w:szCs w:val="22"/>
        </w:rPr>
        <w:t xml:space="preserve"> and </w:t>
      </w:r>
      <w:r w:rsidR="00546F0B">
        <w:rPr>
          <w:rStyle w:val="CharSectno"/>
          <w:sz w:val="22"/>
          <w:szCs w:val="22"/>
        </w:rPr>
        <w:t xml:space="preserve">the </w:t>
      </w:r>
      <w:r w:rsidR="00C55968">
        <w:rPr>
          <w:rStyle w:val="CharSectno"/>
          <w:sz w:val="22"/>
          <w:szCs w:val="22"/>
        </w:rPr>
        <w:t>conditions that apply to those spectrum licences</w:t>
      </w:r>
      <w:r w:rsidR="00546F0B">
        <w:rPr>
          <w:rStyle w:val="CharSectno"/>
          <w:sz w:val="22"/>
          <w:szCs w:val="22"/>
        </w:rPr>
        <w:t xml:space="preserve">.  It is </w:t>
      </w:r>
      <w:r w:rsidR="00C55968">
        <w:rPr>
          <w:rStyle w:val="CharSectno"/>
          <w:sz w:val="22"/>
          <w:szCs w:val="22"/>
        </w:rPr>
        <w:t>part of a set of legislative instruments which give effect to the spectrum licence framework applicabl</w:t>
      </w:r>
      <w:r w:rsidR="00546F0B">
        <w:rPr>
          <w:rStyle w:val="CharSectno"/>
          <w:sz w:val="22"/>
          <w:szCs w:val="22"/>
        </w:rPr>
        <w:t xml:space="preserve">e to the 2.5 GHz Mid-band Gap.  That framework defines a spectrum licensee’s rights and obligations and provides an interference management framework for the 2.5 GHz Mid-band Gap. </w:t>
      </w:r>
    </w:p>
    <w:p w:rsidR="00C55968" w:rsidRPr="007F2F87" w:rsidRDefault="00C55968" w:rsidP="00AB3C20">
      <w:pPr>
        <w:pStyle w:val="ACMABulletLevel1"/>
        <w:numPr>
          <w:ilvl w:val="0"/>
          <w:numId w:val="0"/>
        </w:numPr>
        <w:spacing w:line="280" w:lineRule="atLeast"/>
        <w:rPr>
          <w:rStyle w:val="CharSectno"/>
          <w:sz w:val="22"/>
          <w:szCs w:val="22"/>
        </w:rPr>
      </w:pPr>
      <w:r>
        <w:rPr>
          <w:rStyle w:val="CharSectno"/>
          <w:sz w:val="22"/>
          <w:szCs w:val="22"/>
        </w:rPr>
        <w:t xml:space="preserve">Section 14 of the Conversion Plan provides that a spectrum access charge is payable by a licensee for the issue of a spectrum licence to replace the licensee’s existing apparatus licence.  </w:t>
      </w:r>
    </w:p>
    <w:p w:rsidR="00AF4298" w:rsidRPr="001E1788" w:rsidRDefault="0046706D" w:rsidP="002B0668">
      <w:pPr>
        <w:pStyle w:val="Body"/>
        <w:keepNext/>
        <w:numPr>
          <w:ilvl w:val="0"/>
          <w:numId w:val="0"/>
        </w:numPr>
        <w:rPr>
          <w:rStyle w:val="CharSectno"/>
          <w:i/>
          <w:sz w:val="22"/>
          <w:szCs w:val="22"/>
          <w:lang w:eastAsia="en-US"/>
        </w:rPr>
      </w:pPr>
      <w:bookmarkStart w:id="1" w:name="designation"/>
      <w:bookmarkStart w:id="2" w:name="reallocation"/>
      <w:bookmarkStart w:id="3" w:name="eng"/>
      <w:bookmarkEnd w:id="0"/>
      <w:bookmarkEnd w:id="1"/>
      <w:bookmarkEnd w:id="2"/>
      <w:bookmarkEnd w:id="3"/>
      <w:r w:rsidRPr="001E1788">
        <w:rPr>
          <w:rStyle w:val="CharSectno"/>
          <w:i/>
          <w:sz w:val="22"/>
          <w:szCs w:val="22"/>
          <w:lang w:eastAsia="en-US"/>
        </w:rPr>
        <w:t>L</w:t>
      </w:r>
      <w:r w:rsidR="00D51A9C" w:rsidRPr="001E1788">
        <w:rPr>
          <w:rStyle w:val="CharSectno"/>
          <w:i/>
          <w:sz w:val="22"/>
          <w:szCs w:val="22"/>
          <w:lang w:eastAsia="en-US"/>
        </w:rPr>
        <w:t>icensees</w:t>
      </w:r>
      <w:r w:rsidR="00C80E5E" w:rsidRPr="001E1788">
        <w:rPr>
          <w:rStyle w:val="CharSectno"/>
          <w:i/>
          <w:sz w:val="22"/>
          <w:szCs w:val="22"/>
          <w:lang w:eastAsia="en-US"/>
        </w:rPr>
        <w:t xml:space="preserve"> </w:t>
      </w:r>
      <w:r w:rsidR="002B0668" w:rsidRPr="001E1788">
        <w:rPr>
          <w:rStyle w:val="CharSectno"/>
          <w:i/>
          <w:sz w:val="22"/>
          <w:szCs w:val="22"/>
          <w:lang w:eastAsia="en-US"/>
        </w:rPr>
        <w:t xml:space="preserve">in the </w:t>
      </w:r>
      <w:r w:rsidRPr="001E1788">
        <w:rPr>
          <w:rStyle w:val="CharSectno"/>
          <w:i/>
          <w:sz w:val="22"/>
          <w:szCs w:val="22"/>
          <w:lang w:eastAsia="en-US"/>
        </w:rPr>
        <w:t xml:space="preserve">2.5 GHz </w:t>
      </w:r>
      <w:r w:rsidR="002B0668" w:rsidRPr="001E1788">
        <w:rPr>
          <w:rStyle w:val="CharSectno"/>
          <w:i/>
          <w:sz w:val="22"/>
          <w:szCs w:val="22"/>
          <w:lang w:eastAsia="en-US"/>
        </w:rPr>
        <w:t>Mi</w:t>
      </w:r>
      <w:r w:rsidR="003D7D50">
        <w:rPr>
          <w:rStyle w:val="CharSectno"/>
          <w:i/>
          <w:sz w:val="22"/>
          <w:szCs w:val="22"/>
          <w:lang w:eastAsia="en-US"/>
        </w:rPr>
        <w:t>d</w:t>
      </w:r>
      <w:r w:rsidRPr="001E1788">
        <w:rPr>
          <w:rStyle w:val="CharSectno"/>
          <w:i/>
          <w:sz w:val="22"/>
          <w:szCs w:val="22"/>
          <w:lang w:eastAsia="en-US"/>
        </w:rPr>
        <w:t>-b</w:t>
      </w:r>
      <w:r w:rsidR="002B0668" w:rsidRPr="001E1788">
        <w:rPr>
          <w:rStyle w:val="CharSectno"/>
          <w:i/>
          <w:sz w:val="22"/>
          <w:szCs w:val="22"/>
          <w:lang w:eastAsia="en-US"/>
        </w:rPr>
        <w:t>and Gap</w:t>
      </w:r>
    </w:p>
    <w:p w:rsidR="009425B8" w:rsidRDefault="0046706D" w:rsidP="002B0668">
      <w:pPr>
        <w:rPr>
          <w:rFonts w:ascii="Times New Roman" w:eastAsiaTheme="minorHAnsi" w:hAnsi="Times New Roman"/>
        </w:rPr>
      </w:pPr>
      <w:r>
        <w:rPr>
          <w:rFonts w:ascii="Times New Roman" w:eastAsiaTheme="minorHAnsi" w:hAnsi="Times New Roman"/>
        </w:rPr>
        <w:t xml:space="preserve">There </w:t>
      </w:r>
      <w:r w:rsidR="00487AA3">
        <w:rPr>
          <w:rFonts w:ascii="Times New Roman" w:eastAsiaTheme="minorHAnsi" w:hAnsi="Times New Roman"/>
        </w:rPr>
        <w:t xml:space="preserve">will be </w:t>
      </w:r>
      <w:r>
        <w:rPr>
          <w:rFonts w:ascii="Times New Roman" w:eastAsiaTheme="minorHAnsi" w:hAnsi="Times New Roman"/>
        </w:rPr>
        <w:t xml:space="preserve">4 </w:t>
      </w:r>
      <w:r w:rsidR="00C80E5E">
        <w:rPr>
          <w:rFonts w:ascii="Times New Roman" w:eastAsiaTheme="minorHAnsi" w:hAnsi="Times New Roman"/>
        </w:rPr>
        <w:t xml:space="preserve">spectrum </w:t>
      </w:r>
      <w:r w:rsidR="00D51A9C">
        <w:rPr>
          <w:rFonts w:ascii="Times New Roman" w:eastAsiaTheme="minorHAnsi" w:hAnsi="Times New Roman"/>
        </w:rPr>
        <w:t>licensees</w:t>
      </w:r>
      <w:r w:rsidR="00FB3191">
        <w:rPr>
          <w:rFonts w:ascii="Times New Roman" w:eastAsiaTheme="minorHAnsi" w:hAnsi="Times New Roman"/>
        </w:rPr>
        <w:t xml:space="preserve"> in the </w:t>
      </w:r>
      <w:r>
        <w:rPr>
          <w:rFonts w:ascii="Times New Roman" w:eastAsiaTheme="minorHAnsi" w:hAnsi="Times New Roman"/>
        </w:rPr>
        <w:t xml:space="preserve">2.5 GHz </w:t>
      </w:r>
      <w:r w:rsidR="00FB3191">
        <w:rPr>
          <w:rFonts w:ascii="Times New Roman" w:eastAsiaTheme="minorHAnsi" w:hAnsi="Times New Roman"/>
        </w:rPr>
        <w:t>Mid</w:t>
      </w:r>
      <w:r>
        <w:rPr>
          <w:rFonts w:ascii="Times New Roman" w:eastAsiaTheme="minorHAnsi" w:hAnsi="Times New Roman"/>
        </w:rPr>
        <w:t>-b</w:t>
      </w:r>
      <w:r w:rsidR="00FB3191">
        <w:rPr>
          <w:rFonts w:ascii="Times New Roman" w:eastAsiaTheme="minorHAnsi" w:hAnsi="Times New Roman"/>
        </w:rPr>
        <w:t>and Gap</w:t>
      </w:r>
      <w:r w:rsidR="00C80E5E">
        <w:rPr>
          <w:rFonts w:ascii="Times New Roman" w:eastAsiaTheme="minorHAnsi" w:hAnsi="Times New Roman"/>
        </w:rPr>
        <w:t>.</w:t>
      </w:r>
      <w:r w:rsidR="00FB3191">
        <w:rPr>
          <w:rFonts w:ascii="Times New Roman" w:eastAsiaTheme="minorHAnsi" w:hAnsi="Times New Roman"/>
        </w:rPr>
        <w:t xml:space="preserve">  </w:t>
      </w:r>
      <w:r w:rsidR="009425B8">
        <w:rPr>
          <w:rFonts w:ascii="Times New Roman" w:eastAsiaTheme="minorHAnsi" w:hAnsi="Times New Roman"/>
        </w:rPr>
        <w:t>The licensees are the free-to-air broadcasters and the Australian Broadcasting Corporation who will be using the spectrum in the 2.5 GHz Mid-band Gap for television outside broadcasting</w:t>
      </w:r>
      <w:r w:rsidR="00B5182B">
        <w:rPr>
          <w:rFonts w:ascii="Times New Roman" w:eastAsiaTheme="minorHAnsi" w:hAnsi="Times New Roman"/>
        </w:rPr>
        <w:t xml:space="preserve"> (</w:t>
      </w:r>
      <w:r w:rsidR="00B5182B">
        <w:rPr>
          <w:rFonts w:ascii="Times New Roman" w:eastAsiaTheme="minorHAnsi" w:hAnsi="Times New Roman"/>
          <w:b/>
        </w:rPr>
        <w:t>TOB</w:t>
      </w:r>
      <w:r w:rsidR="00FF4038" w:rsidRPr="00FF4038">
        <w:rPr>
          <w:rFonts w:ascii="Times New Roman" w:eastAsiaTheme="minorHAnsi" w:hAnsi="Times New Roman"/>
        </w:rPr>
        <w:t>)</w:t>
      </w:r>
      <w:r w:rsidR="00C331ED">
        <w:rPr>
          <w:rFonts w:ascii="Times New Roman" w:eastAsiaTheme="minorHAnsi" w:hAnsi="Times New Roman"/>
        </w:rPr>
        <w:t xml:space="preserve">.  The spectrum licences </w:t>
      </w:r>
      <w:r w:rsidR="005B5D6D">
        <w:rPr>
          <w:rFonts w:ascii="Times New Roman" w:eastAsiaTheme="minorHAnsi" w:hAnsi="Times New Roman"/>
        </w:rPr>
        <w:t xml:space="preserve">will </w:t>
      </w:r>
      <w:r w:rsidR="00C331ED">
        <w:rPr>
          <w:rFonts w:ascii="Times New Roman" w:eastAsiaTheme="minorHAnsi" w:hAnsi="Times New Roman"/>
        </w:rPr>
        <w:t xml:space="preserve">authorise the operation of radiocommunications devices for the purpose of the provision of </w:t>
      </w:r>
      <w:r w:rsidR="008C40A0">
        <w:rPr>
          <w:rFonts w:ascii="Times New Roman" w:eastAsiaTheme="minorHAnsi" w:hAnsi="Times New Roman"/>
        </w:rPr>
        <w:t>a TOB</w:t>
      </w:r>
      <w:r w:rsidR="00C331ED">
        <w:rPr>
          <w:rFonts w:ascii="Times New Roman" w:eastAsiaTheme="minorHAnsi" w:hAnsi="Times New Roman"/>
        </w:rPr>
        <w:t xml:space="preserve"> service </w:t>
      </w:r>
      <w:r w:rsidR="00D5612C">
        <w:rPr>
          <w:rFonts w:ascii="Times New Roman" w:eastAsiaTheme="minorHAnsi" w:hAnsi="Times New Roman"/>
        </w:rPr>
        <w:t xml:space="preserve">only </w:t>
      </w:r>
      <w:r w:rsidR="00C331ED">
        <w:rPr>
          <w:rFonts w:ascii="Times New Roman" w:eastAsiaTheme="minorHAnsi" w:hAnsi="Times New Roman"/>
        </w:rPr>
        <w:t>(</w:t>
      </w:r>
      <w:r w:rsidR="00D5612C">
        <w:rPr>
          <w:rFonts w:ascii="Times New Roman" w:eastAsiaTheme="minorHAnsi" w:hAnsi="Times New Roman"/>
        </w:rPr>
        <w:t>see</w:t>
      </w:r>
      <w:r w:rsidR="007762DD">
        <w:rPr>
          <w:rFonts w:ascii="Times New Roman" w:eastAsiaTheme="minorHAnsi" w:hAnsi="Times New Roman"/>
        </w:rPr>
        <w:t>,</w:t>
      </w:r>
      <w:r w:rsidR="00D5612C">
        <w:rPr>
          <w:rFonts w:ascii="Times New Roman" w:eastAsiaTheme="minorHAnsi" w:hAnsi="Times New Roman"/>
        </w:rPr>
        <w:t xml:space="preserve"> </w:t>
      </w:r>
      <w:r w:rsidR="005B5D6D">
        <w:rPr>
          <w:rFonts w:ascii="Times New Roman" w:eastAsiaTheme="minorHAnsi" w:hAnsi="Times New Roman"/>
        </w:rPr>
        <w:t>for example</w:t>
      </w:r>
      <w:r w:rsidR="007762DD">
        <w:rPr>
          <w:rFonts w:ascii="Times New Roman" w:eastAsiaTheme="minorHAnsi" w:hAnsi="Times New Roman"/>
        </w:rPr>
        <w:t>,</w:t>
      </w:r>
      <w:r w:rsidR="005B5D6D">
        <w:rPr>
          <w:rFonts w:ascii="Times New Roman" w:eastAsiaTheme="minorHAnsi" w:hAnsi="Times New Roman"/>
        </w:rPr>
        <w:t xml:space="preserve"> condition 1 in </w:t>
      </w:r>
      <w:r w:rsidR="008A7AFB">
        <w:rPr>
          <w:rFonts w:ascii="Times New Roman" w:eastAsiaTheme="minorHAnsi" w:hAnsi="Times New Roman"/>
        </w:rPr>
        <w:t>L</w:t>
      </w:r>
      <w:r w:rsidR="005B5D6D">
        <w:rPr>
          <w:rFonts w:ascii="Times New Roman" w:eastAsiaTheme="minorHAnsi" w:hAnsi="Times New Roman"/>
        </w:rPr>
        <w:t xml:space="preserve">icence </w:t>
      </w:r>
      <w:r w:rsidR="008A7AFB">
        <w:rPr>
          <w:rFonts w:ascii="Times New Roman" w:eastAsiaTheme="minorHAnsi" w:hAnsi="Times New Roman"/>
        </w:rPr>
        <w:t>S</w:t>
      </w:r>
      <w:r w:rsidR="005B5D6D">
        <w:rPr>
          <w:rFonts w:ascii="Times New Roman" w:eastAsiaTheme="minorHAnsi" w:hAnsi="Times New Roman"/>
        </w:rPr>
        <w:t>chedule 4 of the sample licence at Schedule 2 of the Conversion Plan)</w:t>
      </w:r>
      <w:r w:rsidR="00C331ED">
        <w:rPr>
          <w:rFonts w:ascii="Times New Roman" w:eastAsiaTheme="minorHAnsi" w:hAnsi="Times New Roman"/>
        </w:rPr>
        <w:t xml:space="preserve">. </w:t>
      </w:r>
    </w:p>
    <w:p w:rsidR="002B0668" w:rsidRPr="009023DA" w:rsidRDefault="002B0668" w:rsidP="002B0668">
      <w:pPr>
        <w:rPr>
          <w:rFonts w:ascii="Times New Roman" w:eastAsiaTheme="minorHAnsi" w:hAnsi="Times New Roman"/>
        </w:rPr>
      </w:pPr>
      <w:r w:rsidRPr="009023DA">
        <w:rPr>
          <w:rFonts w:ascii="Times New Roman" w:eastAsiaTheme="minorHAnsi" w:hAnsi="Times New Roman"/>
        </w:rPr>
        <w:t xml:space="preserve">Two licences in the 2.5 GHz </w:t>
      </w:r>
      <w:r w:rsidR="00A940C4">
        <w:rPr>
          <w:rFonts w:ascii="Times New Roman" w:eastAsiaTheme="minorHAnsi" w:hAnsi="Times New Roman"/>
        </w:rPr>
        <w:t>M</w:t>
      </w:r>
      <w:r w:rsidRPr="009023DA">
        <w:rPr>
          <w:rFonts w:ascii="Times New Roman" w:eastAsiaTheme="minorHAnsi" w:hAnsi="Times New Roman"/>
        </w:rPr>
        <w:t xml:space="preserve">id-band </w:t>
      </w:r>
      <w:r w:rsidR="00B9306D">
        <w:rPr>
          <w:rFonts w:ascii="Times New Roman" w:eastAsiaTheme="minorHAnsi" w:hAnsi="Times New Roman"/>
        </w:rPr>
        <w:t>G</w:t>
      </w:r>
      <w:r w:rsidRPr="009023DA">
        <w:rPr>
          <w:rFonts w:ascii="Times New Roman" w:eastAsiaTheme="minorHAnsi" w:hAnsi="Times New Roman"/>
        </w:rPr>
        <w:t xml:space="preserve">ap </w:t>
      </w:r>
      <w:r w:rsidR="00A940C4">
        <w:rPr>
          <w:rFonts w:ascii="Times New Roman" w:eastAsiaTheme="minorHAnsi" w:hAnsi="Times New Roman"/>
        </w:rPr>
        <w:t xml:space="preserve">will </w:t>
      </w:r>
      <w:r w:rsidRPr="009023DA">
        <w:rPr>
          <w:rFonts w:ascii="Times New Roman" w:eastAsiaTheme="minorHAnsi" w:hAnsi="Times New Roman"/>
        </w:rPr>
        <w:t>authorise access to 15 MHz of spectrum</w:t>
      </w:r>
      <w:r w:rsidR="001D61DA">
        <w:rPr>
          <w:rFonts w:ascii="Times New Roman" w:eastAsiaTheme="minorHAnsi" w:hAnsi="Times New Roman"/>
        </w:rPr>
        <w:t xml:space="preserve"> (those at the lower and upper ends of the 2.5 GHz Mid-band Gap)</w:t>
      </w:r>
      <w:r w:rsidRPr="009023DA">
        <w:rPr>
          <w:rFonts w:ascii="Times New Roman" w:eastAsiaTheme="minorHAnsi" w:hAnsi="Times New Roman"/>
        </w:rPr>
        <w:t xml:space="preserve">, </w:t>
      </w:r>
      <w:r w:rsidR="00A940C4">
        <w:rPr>
          <w:rFonts w:ascii="Times New Roman" w:eastAsiaTheme="minorHAnsi" w:hAnsi="Times New Roman"/>
        </w:rPr>
        <w:t xml:space="preserve">and two licences will authorise access to </w:t>
      </w:r>
      <w:r w:rsidRPr="009023DA">
        <w:rPr>
          <w:rFonts w:ascii="Times New Roman" w:eastAsiaTheme="minorHAnsi" w:hAnsi="Times New Roman"/>
        </w:rPr>
        <w:t>10 MHz</w:t>
      </w:r>
      <w:r w:rsidR="00A940C4">
        <w:rPr>
          <w:rFonts w:ascii="Times New Roman" w:eastAsiaTheme="minorHAnsi" w:hAnsi="Times New Roman"/>
        </w:rPr>
        <w:t xml:space="preserve"> of spectrum</w:t>
      </w:r>
      <w:r w:rsidR="001D61DA">
        <w:rPr>
          <w:rFonts w:ascii="Times New Roman" w:eastAsiaTheme="minorHAnsi" w:hAnsi="Times New Roman"/>
        </w:rPr>
        <w:t xml:space="preserve"> (those in the middle of the 2.5 GHz Mid-band Gap)</w:t>
      </w:r>
      <w:r w:rsidRPr="009023DA">
        <w:rPr>
          <w:rFonts w:ascii="Times New Roman" w:eastAsiaTheme="minorHAnsi" w:hAnsi="Times New Roman"/>
        </w:rPr>
        <w:t xml:space="preserve">. </w:t>
      </w:r>
      <w:r w:rsidR="00FB3191">
        <w:rPr>
          <w:rFonts w:ascii="Times New Roman" w:eastAsiaTheme="minorHAnsi" w:hAnsi="Times New Roman"/>
        </w:rPr>
        <w:t xml:space="preserve"> </w:t>
      </w:r>
      <w:r w:rsidR="001D61DA">
        <w:rPr>
          <w:rFonts w:ascii="Times New Roman" w:eastAsiaTheme="minorHAnsi" w:hAnsi="Times New Roman"/>
        </w:rPr>
        <w:t>T</w:t>
      </w:r>
      <w:r w:rsidRPr="009023DA">
        <w:rPr>
          <w:rFonts w:ascii="Times New Roman" w:eastAsiaTheme="minorHAnsi" w:hAnsi="Times New Roman"/>
        </w:rPr>
        <w:t xml:space="preserve">he technical </w:t>
      </w:r>
      <w:r w:rsidR="00E109EC">
        <w:rPr>
          <w:rFonts w:ascii="Times New Roman" w:eastAsiaTheme="minorHAnsi" w:hAnsi="Times New Roman"/>
        </w:rPr>
        <w:t>parameters</w:t>
      </w:r>
      <w:r w:rsidRPr="009023DA">
        <w:rPr>
          <w:rFonts w:ascii="Times New Roman" w:eastAsiaTheme="minorHAnsi" w:hAnsi="Times New Roman"/>
        </w:rPr>
        <w:t xml:space="preserve"> </w:t>
      </w:r>
      <w:r w:rsidR="00487AA3">
        <w:rPr>
          <w:rFonts w:ascii="Times New Roman" w:eastAsiaTheme="minorHAnsi" w:hAnsi="Times New Roman"/>
        </w:rPr>
        <w:t xml:space="preserve">and licence conditions </w:t>
      </w:r>
      <w:r w:rsidRPr="009023DA">
        <w:rPr>
          <w:rFonts w:ascii="Times New Roman" w:eastAsiaTheme="minorHAnsi" w:hAnsi="Times New Roman"/>
        </w:rPr>
        <w:t xml:space="preserve">applying to licences </w:t>
      </w:r>
      <w:r w:rsidR="00487AA3">
        <w:rPr>
          <w:rFonts w:ascii="Times New Roman" w:eastAsiaTheme="minorHAnsi" w:hAnsi="Times New Roman"/>
        </w:rPr>
        <w:t>in the 2.5 GHz Mid-band Gap</w:t>
      </w:r>
      <w:r w:rsidR="001D61DA">
        <w:rPr>
          <w:rFonts w:ascii="Times New Roman" w:eastAsiaTheme="minorHAnsi" w:hAnsi="Times New Roman"/>
        </w:rPr>
        <w:t xml:space="preserve"> </w:t>
      </w:r>
      <w:r w:rsidR="00A940C4">
        <w:rPr>
          <w:rFonts w:ascii="Times New Roman" w:eastAsiaTheme="minorHAnsi" w:hAnsi="Times New Roman"/>
        </w:rPr>
        <w:t xml:space="preserve">will </w:t>
      </w:r>
      <w:r w:rsidR="00487AA3">
        <w:rPr>
          <w:rFonts w:ascii="Times New Roman" w:eastAsiaTheme="minorHAnsi" w:hAnsi="Times New Roman"/>
        </w:rPr>
        <w:t xml:space="preserve">limit </w:t>
      </w:r>
      <w:r w:rsidR="001D61DA">
        <w:rPr>
          <w:rFonts w:ascii="Times New Roman" w:eastAsiaTheme="minorHAnsi" w:hAnsi="Times New Roman"/>
        </w:rPr>
        <w:t>the types of transmitters and receivers that the</w:t>
      </w:r>
      <w:r w:rsidR="00AF76AA">
        <w:rPr>
          <w:rFonts w:ascii="Times New Roman" w:eastAsiaTheme="minorHAnsi" w:hAnsi="Times New Roman"/>
        </w:rPr>
        <w:t xml:space="preserve"> 15MHz </w:t>
      </w:r>
      <w:r w:rsidR="00487AA3">
        <w:rPr>
          <w:rFonts w:ascii="Times New Roman" w:eastAsiaTheme="minorHAnsi" w:hAnsi="Times New Roman"/>
        </w:rPr>
        <w:t xml:space="preserve">licensees </w:t>
      </w:r>
      <w:r w:rsidR="001D61DA">
        <w:rPr>
          <w:rFonts w:ascii="Times New Roman" w:eastAsiaTheme="minorHAnsi" w:hAnsi="Times New Roman"/>
        </w:rPr>
        <w:t xml:space="preserve">can operate at the </w:t>
      </w:r>
      <w:r w:rsidR="00E3713D">
        <w:rPr>
          <w:rFonts w:ascii="Times New Roman" w:eastAsiaTheme="minorHAnsi" w:hAnsi="Times New Roman"/>
        </w:rPr>
        <w:t xml:space="preserve">upper 5MHz and </w:t>
      </w:r>
      <w:r w:rsidR="001D61DA">
        <w:rPr>
          <w:rFonts w:ascii="Times New Roman" w:eastAsiaTheme="minorHAnsi" w:hAnsi="Times New Roman"/>
        </w:rPr>
        <w:t xml:space="preserve">lower </w:t>
      </w:r>
      <w:r w:rsidR="00E3713D">
        <w:rPr>
          <w:rFonts w:ascii="Times New Roman" w:eastAsiaTheme="minorHAnsi" w:hAnsi="Times New Roman"/>
        </w:rPr>
        <w:t xml:space="preserve">5MHz </w:t>
      </w:r>
      <w:r w:rsidR="001D61DA">
        <w:rPr>
          <w:rFonts w:ascii="Times New Roman" w:eastAsiaTheme="minorHAnsi" w:hAnsi="Times New Roman"/>
        </w:rPr>
        <w:t xml:space="preserve">ends of the 2.5 GHz Mid-band Gap.  </w:t>
      </w:r>
      <w:r w:rsidR="00E3713D">
        <w:rPr>
          <w:rFonts w:ascii="Times New Roman" w:eastAsiaTheme="minorHAnsi" w:hAnsi="Times New Roman"/>
        </w:rPr>
        <w:t>All licensees will therefore</w:t>
      </w:r>
      <w:r w:rsidR="00AF76AA">
        <w:rPr>
          <w:rFonts w:ascii="Times New Roman" w:eastAsiaTheme="minorHAnsi" w:hAnsi="Times New Roman"/>
        </w:rPr>
        <w:t>, in effect,</w:t>
      </w:r>
      <w:r w:rsidR="00E3713D">
        <w:rPr>
          <w:rFonts w:ascii="Times New Roman" w:eastAsiaTheme="minorHAnsi" w:hAnsi="Times New Roman"/>
        </w:rPr>
        <w:t xml:space="preserve"> be restricted </w:t>
      </w:r>
      <w:r w:rsidR="00487AA3">
        <w:rPr>
          <w:rFonts w:ascii="Times New Roman" w:eastAsiaTheme="minorHAnsi" w:hAnsi="Times New Roman"/>
        </w:rPr>
        <w:t xml:space="preserve">to the use of </w:t>
      </w:r>
      <w:r w:rsidRPr="009023DA">
        <w:rPr>
          <w:rFonts w:ascii="Times New Roman" w:eastAsiaTheme="minorHAnsi" w:hAnsi="Times New Roman"/>
        </w:rPr>
        <w:t xml:space="preserve">only 10 MHz of spectrum </w:t>
      </w:r>
      <w:r w:rsidR="00487AA3">
        <w:rPr>
          <w:rFonts w:ascii="Times New Roman" w:eastAsiaTheme="minorHAnsi" w:hAnsi="Times New Roman"/>
        </w:rPr>
        <w:t>each</w:t>
      </w:r>
      <w:r w:rsidRPr="009023DA">
        <w:rPr>
          <w:rFonts w:ascii="Times New Roman" w:eastAsiaTheme="minorHAnsi" w:hAnsi="Times New Roman"/>
        </w:rPr>
        <w:t xml:space="preserve">. </w:t>
      </w:r>
    </w:p>
    <w:p w:rsidR="0029577E" w:rsidRDefault="0029577E">
      <w:pPr>
        <w:rPr>
          <w:rFonts w:ascii="Times New Roman" w:eastAsiaTheme="minorHAnsi" w:hAnsi="Times New Roman"/>
        </w:rPr>
      </w:pPr>
      <w:r>
        <w:rPr>
          <w:rFonts w:ascii="Times New Roman" w:eastAsiaTheme="minorHAnsi" w:hAnsi="Times New Roman"/>
        </w:rPr>
        <w:br w:type="page"/>
      </w:r>
    </w:p>
    <w:p w:rsidR="00A940C4" w:rsidRDefault="00AF76AA" w:rsidP="002B0668">
      <w:pPr>
        <w:rPr>
          <w:rFonts w:ascii="Times New Roman" w:eastAsiaTheme="minorHAnsi" w:hAnsi="Times New Roman"/>
        </w:rPr>
      </w:pPr>
      <w:r>
        <w:rPr>
          <w:rFonts w:ascii="Times New Roman" w:eastAsiaTheme="minorHAnsi" w:hAnsi="Times New Roman"/>
        </w:rPr>
        <w:lastRenderedPageBreak/>
        <w:t>These technical parameters and licence conditions include, f</w:t>
      </w:r>
      <w:r w:rsidR="00A940C4">
        <w:rPr>
          <w:rFonts w:ascii="Times New Roman" w:eastAsiaTheme="minorHAnsi" w:hAnsi="Times New Roman"/>
        </w:rPr>
        <w:t xml:space="preserve">or example: </w:t>
      </w:r>
    </w:p>
    <w:p w:rsidR="00A21D3D" w:rsidRDefault="0097625D" w:rsidP="00A21D3D">
      <w:pPr>
        <w:pStyle w:val="ListParagraph"/>
        <w:numPr>
          <w:ilvl w:val="0"/>
          <w:numId w:val="13"/>
        </w:numPr>
        <w:ind w:left="714" w:hanging="357"/>
        <w:rPr>
          <w:rFonts w:ascii="Times New Roman" w:eastAsiaTheme="minorHAnsi" w:hAnsi="Times New Roman"/>
        </w:rPr>
      </w:pPr>
      <w:r>
        <w:rPr>
          <w:rFonts w:ascii="Times New Roman" w:eastAsiaTheme="minorHAnsi" w:hAnsi="Times New Roman"/>
        </w:rPr>
        <w:t xml:space="preserve">All licence holders </w:t>
      </w:r>
      <w:r w:rsidR="00235F20">
        <w:rPr>
          <w:rFonts w:ascii="Times New Roman" w:eastAsiaTheme="minorHAnsi" w:hAnsi="Times New Roman"/>
        </w:rPr>
        <w:t xml:space="preserve">will be </w:t>
      </w:r>
      <w:r>
        <w:rPr>
          <w:rFonts w:ascii="Times New Roman" w:eastAsiaTheme="minorHAnsi" w:hAnsi="Times New Roman"/>
        </w:rPr>
        <w:t>subject to a core condition (core condition 18</w:t>
      </w:r>
      <w:r w:rsidR="00AD1FC7">
        <w:rPr>
          <w:rFonts w:ascii="Times New Roman" w:eastAsiaTheme="minorHAnsi" w:hAnsi="Times New Roman"/>
        </w:rPr>
        <w:t xml:space="preserve"> in Licence Schedule 2</w:t>
      </w:r>
      <w:r>
        <w:rPr>
          <w:rFonts w:ascii="Times New Roman" w:eastAsiaTheme="minorHAnsi" w:hAnsi="Times New Roman"/>
        </w:rPr>
        <w:t xml:space="preserve">) which restricts </w:t>
      </w:r>
      <w:r w:rsidR="002B0668" w:rsidRPr="00A940C4">
        <w:rPr>
          <w:rFonts w:ascii="Times New Roman" w:eastAsiaTheme="minorHAnsi" w:hAnsi="Times New Roman"/>
        </w:rPr>
        <w:t xml:space="preserve">the maximum permitted level of radio emissions by transmitters operating in the </w:t>
      </w:r>
      <w:r w:rsidR="00DD1C3F">
        <w:rPr>
          <w:rFonts w:ascii="Times New Roman" w:eastAsiaTheme="minorHAnsi" w:hAnsi="Times New Roman"/>
        </w:rPr>
        <w:t xml:space="preserve">lower 5 MHz </w:t>
      </w:r>
      <w:r w:rsidR="002B0668" w:rsidRPr="00A940C4">
        <w:rPr>
          <w:rFonts w:ascii="Times New Roman" w:eastAsiaTheme="minorHAnsi" w:hAnsi="Times New Roman"/>
        </w:rPr>
        <w:t xml:space="preserve">range 2570-2575 MHz </w:t>
      </w:r>
      <w:r>
        <w:rPr>
          <w:rFonts w:ascii="Times New Roman" w:eastAsiaTheme="minorHAnsi" w:hAnsi="Times New Roman"/>
        </w:rPr>
        <w:t xml:space="preserve">to </w:t>
      </w:r>
      <w:r w:rsidR="002B0668" w:rsidRPr="00A940C4">
        <w:rPr>
          <w:rFonts w:ascii="Times New Roman" w:eastAsiaTheme="minorHAnsi" w:hAnsi="Times New Roman"/>
        </w:rPr>
        <w:t xml:space="preserve">only 3 dBm </w:t>
      </w:r>
      <w:r w:rsidR="00FE5224">
        <w:rPr>
          <w:rFonts w:ascii="Times New Roman" w:eastAsiaTheme="minorHAnsi" w:hAnsi="Times New Roman"/>
        </w:rPr>
        <w:t xml:space="preserve">per </w:t>
      </w:r>
      <w:r w:rsidR="00BE7005">
        <w:rPr>
          <w:rFonts w:ascii="Times New Roman" w:eastAsiaTheme="minorHAnsi" w:hAnsi="Times New Roman"/>
        </w:rPr>
        <w:t xml:space="preserve">30 </w:t>
      </w:r>
      <w:r w:rsidR="00DE5921">
        <w:rPr>
          <w:rFonts w:ascii="Times New Roman" w:eastAsiaTheme="minorHAnsi" w:hAnsi="Times New Roman"/>
        </w:rPr>
        <w:t>k</w:t>
      </w:r>
      <w:r w:rsidR="00FE5224">
        <w:rPr>
          <w:rFonts w:ascii="Times New Roman" w:eastAsiaTheme="minorHAnsi" w:hAnsi="Times New Roman"/>
        </w:rPr>
        <w:t xml:space="preserve">Hz </w:t>
      </w:r>
      <w:r w:rsidR="002B0668" w:rsidRPr="00A940C4">
        <w:rPr>
          <w:rFonts w:ascii="Times New Roman" w:eastAsiaTheme="minorHAnsi" w:hAnsi="Times New Roman"/>
        </w:rPr>
        <w:t>EIRP</w:t>
      </w:r>
      <w:r>
        <w:rPr>
          <w:rFonts w:ascii="Times New Roman" w:eastAsiaTheme="minorHAnsi" w:hAnsi="Times New Roman"/>
        </w:rPr>
        <w:t xml:space="preserve"> (for all other ranges the maximum permitt</w:t>
      </w:r>
      <w:r w:rsidR="00235F20">
        <w:rPr>
          <w:rFonts w:ascii="Times New Roman" w:eastAsiaTheme="minorHAnsi" w:hAnsi="Times New Roman"/>
        </w:rPr>
        <w:t>ed level of radio emissions will be</w:t>
      </w:r>
      <w:r w:rsidR="00AD1FC7">
        <w:rPr>
          <w:rFonts w:ascii="Times New Roman" w:eastAsiaTheme="minorHAnsi" w:hAnsi="Times New Roman"/>
        </w:rPr>
        <w:t xml:space="preserve"> </w:t>
      </w:r>
      <w:r w:rsidR="002B0668" w:rsidRPr="00A940C4">
        <w:rPr>
          <w:rFonts w:ascii="Times New Roman" w:eastAsiaTheme="minorHAnsi" w:hAnsi="Times New Roman"/>
        </w:rPr>
        <w:t xml:space="preserve">43 dBm </w:t>
      </w:r>
      <w:r w:rsidR="00FE5224">
        <w:rPr>
          <w:rFonts w:ascii="Times New Roman" w:eastAsiaTheme="minorHAnsi" w:hAnsi="Times New Roman"/>
        </w:rPr>
        <w:t xml:space="preserve">per </w:t>
      </w:r>
      <w:r w:rsidR="00BE7005">
        <w:rPr>
          <w:rFonts w:ascii="Times New Roman" w:eastAsiaTheme="minorHAnsi" w:hAnsi="Times New Roman"/>
        </w:rPr>
        <w:t xml:space="preserve">30 </w:t>
      </w:r>
      <w:r w:rsidR="00DE5921">
        <w:rPr>
          <w:rFonts w:ascii="Times New Roman" w:eastAsiaTheme="minorHAnsi" w:hAnsi="Times New Roman"/>
        </w:rPr>
        <w:t>k</w:t>
      </w:r>
      <w:r w:rsidR="00FE5224">
        <w:rPr>
          <w:rFonts w:ascii="Times New Roman" w:eastAsiaTheme="minorHAnsi" w:hAnsi="Times New Roman"/>
        </w:rPr>
        <w:t xml:space="preserve">Hz </w:t>
      </w:r>
      <w:r w:rsidR="002B0668" w:rsidRPr="00A940C4">
        <w:rPr>
          <w:rFonts w:ascii="Times New Roman" w:eastAsiaTheme="minorHAnsi" w:hAnsi="Times New Roman"/>
        </w:rPr>
        <w:t>EIRP</w:t>
      </w:r>
      <w:r>
        <w:rPr>
          <w:rFonts w:ascii="Times New Roman" w:eastAsiaTheme="minorHAnsi" w:hAnsi="Times New Roman"/>
        </w:rPr>
        <w:t>)</w:t>
      </w:r>
      <w:r w:rsidR="002B0668" w:rsidRPr="00A940C4">
        <w:rPr>
          <w:rFonts w:ascii="Times New Roman" w:eastAsiaTheme="minorHAnsi" w:hAnsi="Times New Roman"/>
        </w:rPr>
        <w:t>. Th</w:t>
      </w:r>
      <w:r w:rsidR="00235F20">
        <w:rPr>
          <w:rFonts w:ascii="Times New Roman" w:eastAsiaTheme="minorHAnsi" w:hAnsi="Times New Roman"/>
        </w:rPr>
        <w:t xml:space="preserve">e effect of this condition </w:t>
      </w:r>
      <w:r w:rsidR="002B0668" w:rsidRPr="00A940C4">
        <w:rPr>
          <w:rFonts w:ascii="Times New Roman" w:eastAsiaTheme="minorHAnsi" w:hAnsi="Times New Roman"/>
        </w:rPr>
        <w:t xml:space="preserve">is that the frequency range 2570-2575 MHz cannot be used in the provision of a </w:t>
      </w:r>
      <w:r w:rsidR="005B0432">
        <w:rPr>
          <w:rFonts w:ascii="Times New Roman" w:eastAsiaTheme="minorHAnsi" w:hAnsi="Times New Roman"/>
        </w:rPr>
        <w:t xml:space="preserve">TOB </w:t>
      </w:r>
      <w:r w:rsidR="002B0668" w:rsidRPr="00A940C4">
        <w:rPr>
          <w:rFonts w:ascii="Times New Roman" w:eastAsiaTheme="minorHAnsi" w:hAnsi="Times New Roman"/>
        </w:rPr>
        <w:t>service</w:t>
      </w:r>
      <w:r w:rsidR="001D61DA">
        <w:rPr>
          <w:rFonts w:ascii="Times New Roman" w:eastAsiaTheme="minorHAnsi" w:hAnsi="Times New Roman"/>
        </w:rPr>
        <w:t xml:space="preserve"> because </w:t>
      </w:r>
      <w:r w:rsidR="00FE5224">
        <w:rPr>
          <w:rFonts w:ascii="Times New Roman" w:eastAsiaTheme="minorHAnsi" w:hAnsi="Times New Roman"/>
        </w:rPr>
        <w:t xml:space="preserve">to provide a TOB service would generally emit power at a level greater than 3 dBm per </w:t>
      </w:r>
      <w:r w:rsidR="00BE7005">
        <w:rPr>
          <w:rFonts w:ascii="Times New Roman" w:eastAsiaTheme="minorHAnsi" w:hAnsi="Times New Roman"/>
        </w:rPr>
        <w:t xml:space="preserve">30 </w:t>
      </w:r>
      <w:r w:rsidR="00DE5921">
        <w:rPr>
          <w:rFonts w:ascii="Times New Roman" w:eastAsiaTheme="minorHAnsi" w:hAnsi="Times New Roman"/>
        </w:rPr>
        <w:t>k</w:t>
      </w:r>
      <w:r w:rsidR="00FE5224">
        <w:rPr>
          <w:rFonts w:ascii="Times New Roman" w:eastAsiaTheme="minorHAnsi" w:hAnsi="Times New Roman"/>
        </w:rPr>
        <w:t>Hz EIRP</w:t>
      </w:r>
      <w:r w:rsidR="002B0668" w:rsidRPr="00A940C4">
        <w:rPr>
          <w:rFonts w:ascii="Times New Roman" w:eastAsiaTheme="minorHAnsi" w:hAnsi="Times New Roman"/>
        </w:rPr>
        <w:t xml:space="preserve">. </w:t>
      </w:r>
    </w:p>
    <w:p w:rsidR="00A21D3D" w:rsidRPr="00A21D3D" w:rsidRDefault="005C003D" w:rsidP="00A21D3D">
      <w:pPr>
        <w:pStyle w:val="ListParagraph"/>
        <w:numPr>
          <w:ilvl w:val="0"/>
          <w:numId w:val="13"/>
        </w:numPr>
        <w:ind w:left="714" w:hanging="357"/>
      </w:pPr>
      <w:r w:rsidRPr="005C003D">
        <w:rPr>
          <w:rFonts w:ascii="Times New Roman" w:hAnsi="Times New Roman"/>
        </w:rPr>
        <w:t xml:space="preserve">Section 4.3 of the </w:t>
      </w:r>
      <w:r w:rsidR="00764C10">
        <w:rPr>
          <w:rFonts w:ascii="Times New Roman" w:hAnsi="Times New Roman"/>
          <w:i/>
          <w:iCs/>
        </w:rPr>
        <w:t>Radiocommunications Advisory Guidelines (Managing Interference to Receivers – the 2.5 GHz Mid-band Gap) 2012</w:t>
      </w:r>
      <w:r w:rsidR="00764C10">
        <w:rPr>
          <w:rFonts w:ascii="Times New Roman" w:hAnsi="Times New Roman"/>
        </w:rPr>
        <w:t xml:space="preserve"> specifies that receivers operating in</w:t>
      </w:r>
      <w:r w:rsidR="00E25F3C">
        <w:rPr>
          <w:rFonts w:ascii="Times New Roman" w:hAnsi="Times New Roman"/>
        </w:rPr>
        <w:t xml:space="preserve"> the upper 5MHz and lower 5 MHz ends of the 2.5 GHz Mid-band Gap (i.e. at </w:t>
      </w:r>
      <w:r w:rsidR="00764C10">
        <w:rPr>
          <w:rFonts w:ascii="Times New Roman" w:hAnsi="Times New Roman"/>
        </w:rPr>
        <w:t>the frequency ranges 2570-2575 MHz and 2615-2620 MHz</w:t>
      </w:r>
      <w:r w:rsidR="00E25F3C">
        <w:rPr>
          <w:rFonts w:ascii="Times New Roman" w:hAnsi="Times New Roman"/>
        </w:rPr>
        <w:t>)</w:t>
      </w:r>
      <w:r w:rsidR="00764C10">
        <w:rPr>
          <w:rFonts w:ascii="Times New Roman" w:hAnsi="Times New Roman"/>
        </w:rPr>
        <w:t xml:space="preserve"> </w:t>
      </w:r>
      <w:r w:rsidR="00DD1C3F">
        <w:rPr>
          <w:rFonts w:ascii="Times New Roman" w:hAnsi="Times New Roman"/>
        </w:rPr>
        <w:t>will not be afforded protection</w:t>
      </w:r>
      <w:r w:rsidR="00B35C4D">
        <w:rPr>
          <w:rFonts w:ascii="Times New Roman" w:hAnsi="Times New Roman"/>
        </w:rPr>
        <w:t xml:space="preserve"> from interference</w:t>
      </w:r>
      <w:r w:rsidR="00DD1C3F">
        <w:rPr>
          <w:rFonts w:ascii="Times New Roman" w:hAnsi="Times New Roman"/>
        </w:rPr>
        <w:t xml:space="preserve">.  </w:t>
      </w:r>
      <w:r w:rsidR="00B35C4D">
        <w:rPr>
          <w:rFonts w:ascii="Times New Roman" w:hAnsi="Times New Roman"/>
        </w:rPr>
        <w:t xml:space="preserve">This lack of protection means </w:t>
      </w:r>
      <w:r w:rsidR="00DD1C3F">
        <w:rPr>
          <w:rFonts w:ascii="Times New Roman" w:hAnsi="Times New Roman"/>
        </w:rPr>
        <w:t xml:space="preserve">receivers operating at </w:t>
      </w:r>
      <w:r w:rsidR="00B35C4D">
        <w:rPr>
          <w:rFonts w:ascii="Times New Roman" w:hAnsi="Times New Roman"/>
        </w:rPr>
        <w:t xml:space="preserve">each of the </w:t>
      </w:r>
      <w:r w:rsidR="00DD1C3F">
        <w:rPr>
          <w:rFonts w:ascii="Times New Roman" w:hAnsi="Times New Roman"/>
        </w:rPr>
        <w:t>5MHz end</w:t>
      </w:r>
      <w:r w:rsidR="00B35C4D">
        <w:rPr>
          <w:rFonts w:ascii="Times New Roman" w:hAnsi="Times New Roman"/>
        </w:rPr>
        <w:t>s</w:t>
      </w:r>
      <w:r w:rsidR="00DD1C3F">
        <w:rPr>
          <w:rFonts w:ascii="Times New Roman" w:hAnsi="Times New Roman"/>
        </w:rPr>
        <w:t xml:space="preserve"> of the 2.5 GHz Mid-band Gap are therefore </w:t>
      </w:r>
      <w:r w:rsidR="00764C10">
        <w:rPr>
          <w:rFonts w:ascii="Times New Roman" w:hAnsi="Times New Roman"/>
        </w:rPr>
        <w:t>unsuitable for the provision of a TOB service.</w:t>
      </w:r>
    </w:p>
    <w:p w:rsidR="00A21D3D" w:rsidRDefault="00FE5224" w:rsidP="00A21D3D">
      <w:pPr>
        <w:pStyle w:val="ListParagraph"/>
        <w:numPr>
          <w:ilvl w:val="0"/>
          <w:numId w:val="13"/>
        </w:numPr>
        <w:ind w:hanging="357"/>
      </w:pPr>
      <w:r>
        <w:rPr>
          <w:rFonts w:ascii="Times New Roman" w:hAnsi="Times New Roman"/>
        </w:rPr>
        <w:t>The n</w:t>
      </w:r>
      <w:r w:rsidR="00764C10">
        <w:rPr>
          <w:rFonts w:ascii="Times New Roman" w:hAnsi="Times New Roman"/>
        </w:rPr>
        <w:t xml:space="preserve">on-spurious out of band emission limits </w:t>
      </w:r>
      <w:r>
        <w:rPr>
          <w:rFonts w:ascii="Times New Roman" w:hAnsi="Times New Roman"/>
        </w:rPr>
        <w:t xml:space="preserve">that are specified </w:t>
      </w:r>
      <w:r w:rsidR="00DD1C3F">
        <w:rPr>
          <w:rFonts w:ascii="Times New Roman" w:hAnsi="Times New Roman"/>
        </w:rPr>
        <w:t xml:space="preserve">in spectrum licences </w:t>
      </w:r>
      <w:r w:rsidR="00764C10">
        <w:rPr>
          <w:rFonts w:ascii="Times New Roman" w:hAnsi="Times New Roman"/>
        </w:rPr>
        <w:t xml:space="preserve">for transmitters </w:t>
      </w:r>
      <w:r>
        <w:rPr>
          <w:rFonts w:ascii="Times New Roman" w:hAnsi="Times New Roman"/>
        </w:rPr>
        <w:t xml:space="preserve">that </w:t>
      </w:r>
      <w:r w:rsidR="00E25F3C">
        <w:rPr>
          <w:rFonts w:ascii="Times New Roman" w:hAnsi="Times New Roman"/>
        </w:rPr>
        <w:t>operat</w:t>
      </w:r>
      <w:r>
        <w:rPr>
          <w:rFonts w:ascii="Times New Roman" w:hAnsi="Times New Roman"/>
        </w:rPr>
        <w:t xml:space="preserve">e </w:t>
      </w:r>
      <w:r w:rsidR="00E25F3C">
        <w:rPr>
          <w:rFonts w:ascii="Times New Roman" w:hAnsi="Times New Roman"/>
        </w:rPr>
        <w:t xml:space="preserve">in spectrum adjacent to the 2.5 GHz Mid-band Gap (i.e. in the 2.5 GHz band) </w:t>
      </w:r>
      <w:r>
        <w:rPr>
          <w:rFonts w:ascii="Times New Roman" w:hAnsi="Times New Roman"/>
        </w:rPr>
        <w:t xml:space="preserve">are such that those transmitters </w:t>
      </w:r>
      <w:r w:rsidR="00E25F3C">
        <w:rPr>
          <w:rFonts w:ascii="Times New Roman" w:hAnsi="Times New Roman"/>
        </w:rPr>
        <w:t xml:space="preserve">may cause interference to transmitters and receivers </w:t>
      </w:r>
      <w:r>
        <w:rPr>
          <w:rFonts w:ascii="Times New Roman" w:hAnsi="Times New Roman"/>
        </w:rPr>
        <w:t xml:space="preserve">if they were to provide </w:t>
      </w:r>
      <w:r w:rsidR="00E25F3C">
        <w:rPr>
          <w:rFonts w:ascii="Times New Roman" w:hAnsi="Times New Roman"/>
        </w:rPr>
        <w:t xml:space="preserve">TOB services in the upper 5MHz and lower 5 MHz ends of the 2.5 GHz Mid-band Gap.  The potential interference from emissions </w:t>
      </w:r>
      <w:r>
        <w:rPr>
          <w:rFonts w:ascii="Times New Roman" w:hAnsi="Times New Roman"/>
        </w:rPr>
        <w:t xml:space="preserve">in the neighbouring bands </w:t>
      </w:r>
      <w:r w:rsidR="00E25F3C">
        <w:rPr>
          <w:rFonts w:ascii="Times New Roman" w:hAnsi="Times New Roman"/>
        </w:rPr>
        <w:t xml:space="preserve">mean that </w:t>
      </w:r>
      <w:r w:rsidR="00DD1C3F">
        <w:rPr>
          <w:rFonts w:ascii="Times New Roman" w:hAnsi="Times New Roman"/>
        </w:rPr>
        <w:t xml:space="preserve">the upper 5MHz and lower 5MHz of the </w:t>
      </w:r>
      <w:r w:rsidR="00E25F3C">
        <w:rPr>
          <w:rFonts w:ascii="Times New Roman" w:hAnsi="Times New Roman"/>
        </w:rPr>
        <w:t xml:space="preserve">2.5 GHz Mid-band Gap cannot be used </w:t>
      </w:r>
      <w:r>
        <w:rPr>
          <w:rFonts w:ascii="Times New Roman" w:hAnsi="Times New Roman"/>
        </w:rPr>
        <w:t xml:space="preserve">for </w:t>
      </w:r>
      <w:r w:rsidR="00E25F3C">
        <w:rPr>
          <w:rFonts w:ascii="Times New Roman" w:hAnsi="Times New Roman"/>
        </w:rPr>
        <w:t>the provision of a TOB service</w:t>
      </w:r>
      <w:r w:rsidR="00764C10">
        <w:rPr>
          <w:rFonts w:ascii="Times New Roman" w:hAnsi="Times New Roman"/>
        </w:rPr>
        <w:t>.</w:t>
      </w:r>
    </w:p>
    <w:p w:rsidR="008E02EE" w:rsidRPr="001E1788" w:rsidRDefault="00131465" w:rsidP="008E02EE">
      <w:pPr>
        <w:pStyle w:val="Body"/>
        <w:keepNext/>
        <w:numPr>
          <w:ilvl w:val="0"/>
          <w:numId w:val="0"/>
        </w:numPr>
        <w:rPr>
          <w:rStyle w:val="CharSectno"/>
          <w:i/>
          <w:sz w:val="22"/>
          <w:szCs w:val="22"/>
        </w:rPr>
      </w:pPr>
      <w:r w:rsidRPr="00131465">
        <w:rPr>
          <w:rStyle w:val="CharSectno"/>
          <w:i/>
          <w:sz w:val="22"/>
          <w:szCs w:val="22"/>
        </w:rPr>
        <w:t xml:space="preserve">Spectrum </w:t>
      </w:r>
      <w:r w:rsidR="004E5431">
        <w:rPr>
          <w:rStyle w:val="CharSectno"/>
          <w:i/>
          <w:sz w:val="22"/>
          <w:szCs w:val="22"/>
        </w:rPr>
        <w:t>a</w:t>
      </w:r>
      <w:r w:rsidRPr="00131465">
        <w:rPr>
          <w:rStyle w:val="CharSectno"/>
          <w:i/>
          <w:sz w:val="22"/>
          <w:szCs w:val="22"/>
        </w:rPr>
        <w:t xml:space="preserve">ccess </w:t>
      </w:r>
      <w:r w:rsidR="004E5431">
        <w:rPr>
          <w:rStyle w:val="CharSectno"/>
          <w:i/>
          <w:sz w:val="22"/>
          <w:szCs w:val="22"/>
        </w:rPr>
        <w:t>c</w:t>
      </w:r>
      <w:r w:rsidRPr="00131465">
        <w:rPr>
          <w:rStyle w:val="CharSectno"/>
          <w:i/>
          <w:sz w:val="22"/>
          <w:szCs w:val="22"/>
        </w:rPr>
        <w:t xml:space="preserve">harge </w:t>
      </w:r>
    </w:p>
    <w:p w:rsidR="0097625D" w:rsidRDefault="0097625D" w:rsidP="00BC6BE8">
      <w:pPr>
        <w:rPr>
          <w:rFonts w:ascii="Times New Roman" w:eastAsiaTheme="minorHAnsi" w:hAnsi="Times New Roman"/>
        </w:rPr>
      </w:pPr>
      <w:r>
        <w:rPr>
          <w:rFonts w:ascii="Times New Roman" w:eastAsiaTheme="minorHAnsi" w:hAnsi="Times New Roman"/>
        </w:rPr>
        <w:t xml:space="preserve">The spectrum access charge </w:t>
      </w:r>
      <w:r w:rsidR="003D7D50">
        <w:rPr>
          <w:rFonts w:ascii="Times New Roman" w:eastAsiaTheme="minorHAnsi" w:hAnsi="Times New Roman"/>
        </w:rPr>
        <w:t xml:space="preserve">that </w:t>
      </w:r>
      <w:r>
        <w:rPr>
          <w:rFonts w:ascii="Times New Roman" w:eastAsiaTheme="minorHAnsi" w:hAnsi="Times New Roman"/>
        </w:rPr>
        <w:t xml:space="preserve">has been calculated in the Determination represents </w:t>
      </w:r>
      <w:r w:rsidR="003D7D50">
        <w:rPr>
          <w:rFonts w:ascii="Times New Roman" w:eastAsiaTheme="minorHAnsi" w:hAnsi="Times New Roman"/>
        </w:rPr>
        <w:t xml:space="preserve">a compensatory amount that is payable by licensees.  The licensees have previously paid apparatus licence taxes for the use of spectrum </w:t>
      </w:r>
      <w:r w:rsidR="009425B8">
        <w:rPr>
          <w:rFonts w:ascii="Times New Roman" w:eastAsiaTheme="minorHAnsi" w:hAnsi="Times New Roman"/>
        </w:rPr>
        <w:t xml:space="preserve">across the entire </w:t>
      </w:r>
      <w:r w:rsidR="003D7D50">
        <w:rPr>
          <w:rFonts w:ascii="Times New Roman" w:eastAsiaTheme="minorHAnsi" w:hAnsi="Times New Roman"/>
        </w:rPr>
        <w:t xml:space="preserve">2.5 GHz </w:t>
      </w:r>
      <w:r w:rsidR="00B9306D">
        <w:rPr>
          <w:rFonts w:ascii="Times New Roman" w:eastAsiaTheme="minorHAnsi" w:hAnsi="Times New Roman"/>
        </w:rPr>
        <w:t>b</w:t>
      </w:r>
      <w:r w:rsidR="003D7D50">
        <w:rPr>
          <w:rFonts w:ascii="Times New Roman" w:eastAsiaTheme="minorHAnsi" w:hAnsi="Times New Roman"/>
        </w:rPr>
        <w:t xml:space="preserve">and and </w:t>
      </w:r>
      <w:r w:rsidR="009425B8">
        <w:rPr>
          <w:rFonts w:ascii="Times New Roman" w:eastAsiaTheme="minorHAnsi" w:hAnsi="Times New Roman"/>
        </w:rPr>
        <w:t xml:space="preserve">following the implementation of the Conversion Plan, will be limited to using </w:t>
      </w:r>
      <w:r w:rsidR="007A3336">
        <w:rPr>
          <w:rFonts w:ascii="Times New Roman" w:eastAsiaTheme="minorHAnsi" w:hAnsi="Times New Roman"/>
        </w:rPr>
        <w:t xml:space="preserve">10 MHz of </w:t>
      </w:r>
      <w:r w:rsidR="009425B8">
        <w:rPr>
          <w:rFonts w:ascii="Times New Roman" w:eastAsiaTheme="minorHAnsi" w:hAnsi="Times New Roman"/>
        </w:rPr>
        <w:t xml:space="preserve">spectrum </w:t>
      </w:r>
      <w:r w:rsidR="00D5612C">
        <w:rPr>
          <w:rFonts w:ascii="Times New Roman" w:eastAsiaTheme="minorHAnsi" w:hAnsi="Times New Roman"/>
        </w:rPr>
        <w:t xml:space="preserve">for TOB services </w:t>
      </w:r>
      <w:r w:rsidR="009425B8">
        <w:rPr>
          <w:rFonts w:ascii="Times New Roman" w:eastAsiaTheme="minorHAnsi" w:hAnsi="Times New Roman"/>
        </w:rPr>
        <w:t xml:space="preserve">within the 2.5 GHz Mid-band Gap.  </w:t>
      </w:r>
    </w:p>
    <w:p w:rsidR="00BC6BE8" w:rsidRPr="0087282E" w:rsidRDefault="009425B8" w:rsidP="00BC6BE8">
      <w:pPr>
        <w:rPr>
          <w:rFonts w:ascii="Times New Roman" w:eastAsiaTheme="minorHAnsi" w:hAnsi="Times New Roman"/>
        </w:rPr>
      </w:pPr>
      <w:r>
        <w:rPr>
          <w:rFonts w:ascii="Times New Roman" w:eastAsiaTheme="minorHAnsi" w:hAnsi="Times New Roman"/>
        </w:rPr>
        <w:t>Under apparatus licences</w:t>
      </w:r>
      <w:r w:rsidR="005B0432">
        <w:rPr>
          <w:rFonts w:ascii="Times New Roman" w:eastAsiaTheme="minorHAnsi" w:hAnsi="Times New Roman"/>
        </w:rPr>
        <w:t xml:space="preserve"> in the 2.5 GHz band</w:t>
      </w:r>
      <w:r>
        <w:rPr>
          <w:rFonts w:ascii="Times New Roman" w:eastAsiaTheme="minorHAnsi" w:hAnsi="Times New Roman"/>
        </w:rPr>
        <w:t>, t</w:t>
      </w:r>
      <w:r w:rsidR="00BC6BE8" w:rsidRPr="0087282E">
        <w:rPr>
          <w:rFonts w:ascii="Times New Roman" w:eastAsiaTheme="minorHAnsi" w:hAnsi="Times New Roman"/>
        </w:rPr>
        <w:t xml:space="preserve">he </w:t>
      </w:r>
      <w:r w:rsidR="005B0432">
        <w:rPr>
          <w:rFonts w:ascii="Times New Roman" w:eastAsiaTheme="minorHAnsi" w:hAnsi="Times New Roman"/>
        </w:rPr>
        <w:t>t</w:t>
      </w:r>
      <w:r w:rsidR="00BC6BE8" w:rsidRPr="0087282E">
        <w:rPr>
          <w:rFonts w:ascii="Times New Roman" w:eastAsiaTheme="minorHAnsi" w:hAnsi="Times New Roman"/>
        </w:rPr>
        <w:t>elevision</w:t>
      </w:r>
      <w:r w:rsidR="00540ECB">
        <w:rPr>
          <w:rFonts w:ascii="Times New Roman" w:eastAsiaTheme="minorHAnsi" w:hAnsi="Times New Roman"/>
        </w:rPr>
        <w:t xml:space="preserve"> </w:t>
      </w:r>
      <w:r w:rsidR="005B0432">
        <w:rPr>
          <w:rFonts w:ascii="Times New Roman" w:eastAsiaTheme="minorHAnsi" w:hAnsi="Times New Roman"/>
        </w:rPr>
        <w:t>o</w:t>
      </w:r>
      <w:r w:rsidR="00BC6BE8" w:rsidRPr="0087282E">
        <w:rPr>
          <w:rFonts w:ascii="Times New Roman" w:eastAsiaTheme="minorHAnsi" w:hAnsi="Times New Roman"/>
        </w:rPr>
        <w:t xml:space="preserve">utside </w:t>
      </w:r>
      <w:r w:rsidR="005B0432">
        <w:rPr>
          <w:rFonts w:ascii="Times New Roman" w:eastAsiaTheme="minorHAnsi" w:hAnsi="Times New Roman"/>
        </w:rPr>
        <w:t>b</w:t>
      </w:r>
      <w:r w:rsidR="00BC6BE8" w:rsidRPr="0087282E">
        <w:rPr>
          <w:rFonts w:ascii="Times New Roman" w:eastAsiaTheme="minorHAnsi" w:hAnsi="Times New Roman"/>
        </w:rPr>
        <w:t xml:space="preserve">roadcast </w:t>
      </w:r>
      <w:r w:rsidR="005B0432">
        <w:rPr>
          <w:rFonts w:ascii="Times New Roman" w:eastAsiaTheme="minorHAnsi" w:hAnsi="Times New Roman"/>
        </w:rPr>
        <w:t>n</w:t>
      </w:r>
      <w:r w:rsidR="00BC6BE8" w:rsidRPr="0087282E">
        <w:rPr>
          <w:rFonts w:ascii="Times New Roman" w:eastAsiaTheme="minorHAnsi" w:hAnsi="Times New Roman"/>
        </w:rPr>
        <w:t>etwork (</w:t>
      </w:r>
      <w:r w:rsidR="00BC6BE8" w:rsidRPr="005B0432">
        <w:rPr>
          <w:rFonts w:ascii="Times New Roman" w:eastAsiaTheme="minorHAnsi" w:hAnsi="Times New Roman"/>
          <w:b/>
        </w:rPr>
        <w:t>TOBN</w:t>
      </w:r>
      <w:r w:rsidR="00BC6BE8" w:rsidRPr="0087282E">
        <w:rPr>
          <w:rFonts w:ascii="Times New Roman" w:eastAsiaTheme="minorHAnsi" w:hAnsi="Times New Roman"/>
        </w:rPr>
        <w:t xml:space="preserve">) licence tax is a fixed or per licence tax </w:t>
      </w:r>
      <w:r w:rsidR="00B5182B">
        <w:rPr>
          <w:rFonts w:ascii="Times New Roman" w:eastAsiaTheme="minorHAnsi" w:hAnsi="Times New Roman"/>
        </w:rPr>
        <w:t xml:space="preserve">calculated </w:t>
      </w:r>
      <w:r w:rsidR="00BC6BE8" w:rsidRPr="0087282E">
        <w:rPr>
          <w:rFonts w:ascii="Times New Roman" w:eastAsiaTheme="minorHAnsi" w:hAnsi="Times New Roman"/>
        </w:rPr>
        <w:t>independent</w:t>
      </w:r>
      <w:r w:rsidR="00B5182B">
        <w:rPr>
          <w:rFonts w:ascii="Times New Roman" w:eastAsiaTheme="minorHAnsi" w:hAnsi="Times New Roman"/>
        </w:rPr>
        <w:t>ly</w:t>
      </w:r>
      <w:r w:rsidR="00BC6BE8" w:rsidRPr="0087282E">
        <w:rPr>
          <w:rFonts w:ascii="Times New Roman" w:eastAsiaTheme="minorHAnsi" w:hAnsi="Times New Roman"/>
        </w:rPr>
        <w:t xml:space="preserve"> </w:t>
      </w:r>
      <w:r w:rsidR="00B5182B">
        <w:rPr>
          <w:rFonts w:ascii="Times New Roman" w:eastAsiaTheme="minorHAnsi" w:hAnsi="Times New Roman"/>
        </w:rPr>
        <w:t xml:space="preserve">from </w:t>
      </w:r>
      <w:r w:rsidR="00BC6BE8" w:rsidRPr="0087282E">
        <w:rPr>
          <w:rFonts w:ascii="Times New Roman" w:eastAsiaTheme="minorHAnsi" w:hAnsi="Times New Roman"/>
        </w:rPr>
        <w:t>the amount of spectrum used by licensees.  In April 2012 the licence tax was $363,564 per TOBN licence</w:t>
      </w:r>
      <w:r w:rsidR="00F348B4">
        <w:rPr>
          <w:rFonts w:ascii="Times New Roman" w:eastAsiaTheme="minorHAnsi" w:hAnsi="Times New Roman"/>
        </w:rPr>
        <w:t>.</w:t>
      </w:r>
      <w:r w:rsidR="00FE5224">
        <w:rPr>
          <w:rStyle w:val="FootnoteReference"/>
          <w:rFonts w:ascii="Times New Roman" w:eastAsiaTheme="minorHAnsi" w:hAnsi="Times New Roman"/>
        </w:rPr>
        <w:footnoteReference w:id="1"/>
      </w:r>
      <w:r w:rsidR="00E25F3C">
        <w:rPr>
          <w:rFonts w:ascii="Times New Roman" w:eastAsiaTheme="minorHAnsi" w:hAnsi="Times New Roman"/>
        </w:rPr>
        <w:t xml:space="preserve"> </w:t>
      </w:r>
      <w:r w:rsidR="00BC6BE8" w:rsidRPr="0087282E">
        <w:rPr>
          <w:rFonts w:ascii="Times New Roman" w:eastAsiaTheme="minorHAnsi" w:hAnsi="Times New Roman"/>
        </w:rPr>
        <w:t xml:space="preserve"> To calculate the basis for the annual value of 10 MHz in the 2.5 GHz </w:t>
      </w:r>
      <w:r w:rsidR="00B9306D">
        <w:rPr>
          <w:rFonts w:ascii="Times New Roman" w:eastAsiaTheme="minorHAnsi" w:hAnsi="Times New Roman"/>
        </w:rPr>
        <w:t>b</w:t>
      </w:r>
      <w:r w:rsidR="00BC6BE8" w:rsidRPr="0087282E">
        <w:rPr>
          <w:rFonts w:ascii="Times New Roman" w:eastAsiaTheme="minorHAnsi" w:hAnsi="Times New Roman"/>
        </w:rPr>
        <w:t xml:space="preserve">and, </w:t>
      </w:r>
      <w:r w:rsidR="000A37C8">
        <w:rPr>
          <w:rFonts w:ascii="Times New Roman" w:eastAsiaTheme="minorHAnsi" w:hAnsi="Times New Roman"/>
        </w:rPr>
        <w:t xml:space="preserve">the </w:t>
      </w:r>
      <w:r w:rsidR="004F0BE0">
        <w:rPr>
          <w:rFonts w:ascii="Times New Roman" w:eastAsiaTheme="minorHAnsi" w:hAnsi="Times New Roman"/>
        </w:rPr>
        <w:t>ACMA</w:t>
      </w:r>
      <w:r w:rsidR="00BC6BE8" w:rsidRPr="0087282E">
        <w:rPr>
          <w:rFonts w:ascii="Times New Roman" w:eastAsiaTheme="minorHAnsi" w:hAnsi="Times New Roman"/>
        </w:rPr>
        <w:t xml:space="preserve"> used the annual tax on what would be typically charged using the “assigned licence tax formula”.</w:t>
      </w:r>
      <w:r w:rsidR="00540ECB">
        <w:rPr>
          <w:rStyle w:val="FootnoteReference"/>
          <w:rFonts w:ascii="Times New Roman" w:eastAsiaTheme="minorHAnsi" w:hAnsi="Times New Roman"/>
        </w:rPr>
        <w:footnoteReference w:id="2"/>
      </w:r>
      <w:r w:rsidR="00BC6BE8" w:rsidRPr="0087282E">
        <w:rPr>
          <w:rFonts w:ascii="Times New Roman" w:eastAsiaTheme="minorHAnsi" w:hAnsi="Times New Roman"/>
        </w:rPr>
        <w:t xml:space="preserve"> </w:t>
      </w:r>
    </w:p>
    <w:p w:rsidR="00BC6BE8" w:rsidRDefault="00BC6BE8" w:rsidP="005D2945">
      <w:r w:rsidRPr="0087282E">
        <w:rPr>
          <w:rFonts w:ascii="Times New Roman" w:eastAsiaTheme="minorHAnsi" w:hAnsi="Times New Roman"/>
        </w:rPr>
        <w:t xml:space="preserve">The ACMA uses the assigned licence tax formula to set its annual taxes where the amount of spectrum </w:t>
      </w:r>
      <w:r w:rsidR="00B5182B">
        <w:rPr>
          <w:rFonts w:ascii="Times New Roman" w:eastAsiaTheme="minorHAnsi" w:hAnsi="Times New Roman"/>
        </w:rPr>
        <w:t xml:space="preserve">used by licensees </w:t>
      </w:r>
      <w:r w:rsidRPr="0087282E">
        <w:rPr>
          <w:rFonts w:ascii="Times New Roman" w:eastAsiaTheme="minorHAnsi" w:hAnsi="Times New Roman"/>
        </w:rPr>
        <w:t>varies</w:t>
      </w:r>
      <w:r w:rsidR="00B5182B">
        <w:rPr>
          <w:rFonts w:ascii="Times New Roman" w:eastAsiaTheme="minorHAnsi" w:hAnsi="Times New Roman"/>
        </w:rPr>
        <w:t xml:space="preserve">.  </w:t>
      </w:r>
      <w:r w:rsidR="00D93D19">
        <w:rPr>
          <w:rFonts w:ascii="Times New Roman" w:eastAsiaTheme="minorHAnsi" w:hAnsi="Times New Roman"/>
        </w:rPr>
        <w:t xml:space="preserve">To compensate the licensees for the issue of spectrum licences for less spectrum than the licensees had previously been issued under the apparatus licences, the ACMA has decided to calculate the spectrum access charge on a value that would be </w:t>
      </w:r>
      <w:r w:rsidR="00D93D19" w:rsidRPr="0087282E">
        <w:rPr>
          <w:rFonts w:ascii="Times New Roman" w:eastAsiaTheme="minorHAnsi" w:hAnsi="Times New Roman"/>
        </w:rPr>
        <w:t xml:space="preserve">equivalent </w:t>
      </w:r>
      <w:r w:rsidR="00D93D19">
        <w:rPr>
          <w:rFonts w:ascii="Times New Roman" w:eastAsiaTheme="minorHAnsi" w:hAnsi="Times New Roman"/>
        </w:rPr>
        <w:t xml:space="preserve">to the use of </w:t>
      </w:r>
      <w:r w:rsidR="00D93D19" w:rsidRPr="0087282E">
        <w:rPr>
          <w:rFonts w:ascii="Times New Roman" w:eastAsiaTheme="minorHAnsi" w:hAnsi="Times New Roman"/>
        </w:rPr>
        <w:t xml:space="preserve">10 MHz in the 2.5 GHz </w:t>
      </w:r>
      <w:r w:rsidR="00D93D19">
        <w:rPr>
          <w:rFonts w:ascii="Times New Roman" w:eastAsiaTheme="minorHAnsi" w:hAnsi="Times New Roman"/>
        </w:rPr>
        <w:t>b</w:t>
      </w:r>
      <w:r w:rsidR="00D93D19" w:rsidRPr="0087282E">
        <w:rPr>
          <w:rFonts w:ascii="Times New Roman" w:eastAsiaTheme="minorHAnsi" w:hAnsi="Times New Roman"/>
        </w:rPr>
        <w:t xml:space="preserve">and for a TOBN licence.  </w:t>
      </w:r>
    </w:p>
    <w:p w:rsidR="00BC6BE8" w:rsidRPr="001E1788" w:rsidRDefault="00BC6BE8" w:rsidP="001E1788">
      <w:pPr>
        <w:pStyle w:val="Body"/>
        <w:keepNext/>
        <w:numPr>
          <w:ilvl w:val="0"/>
          <w:numId w:val="0"/>
        </w:numPr>
        <w:rPr>
          <w:rStyle w:val="CharSectno"/>
          <w:i/>
          <w:sz w:val="22"/>
          <w:szCs w:val="22"/>
        </w:rPr>
      </w:pPr>
      <w:r w:rsidRPr="001E1788">
        <w:rPr>
          <w:rStyle w:val="CharSectno"/>
          <w:i/>
          <w:sz w:val="22"/>
          <w:szCs w:val="22"/>
        </w:rPr>
        <w:t>Net present value of the annual taxes</w:t>
      </w:r>
    </w:p>
    <w:p w:rsidR="00BC6BE8" w:rsidRPr="001E1788" w:rsidRDefault="00096D2F" w:rsidP="00BC6BE8">
      <w:pPr>
        <w:rPr>
          <w:rFonts w:ascii="Times New Roman" w:hAnsi="Times New Roman"/>
        </w:rPr>
      </w:pPr>
      <w:r w:rsidRPr="001E1788">
        <w:rPr>
          <w:rFonts w:ascii="Times New Roman" w:hAnsi="Times New Roman"/>
          <w:color w:val="000000"/>
        </w:rPr>
        <w:t xml:space="preserve">The </w:t>
      </w:r>
      <w:r w:rsidR="00BC6BE8" w:rsidRPr="001E1788">
        <w:rPr>
          <w:rFonts w:ascii="Times New Roman" w:hAnsi="Times New Roman"/>
          <w:color w:val="000000"/>
        </w:rPr>
        <w:t>ACMA use</w:t>
      </w:r>
      <w:r w:rsidR="00A87EB1" w:rsidRPr="001E1788">
        <w:rPr>
          <w:rFonts w:ascii="Times New Roman" w:hAnsi="Times New Roman"/>
          <w:color w:val="000000"/>
        </w:rPr>
        <w:t>d the net present value of a 15 year stream of annual taxes</w:t>
      </w:r>
      <w:r w:rsidR="004F0BE0" w:rsidRPr="001E1788">
        <w:rPr>
          <w:rFonts w:ascii="Times New Roman" w:hAnsi="Times New Roman"/>
          <w:color w:val="000000"/>
        </w:rPr>
        <w:t xml:space="preserve"> </w:t>
      </w:r>
      <w:r w:rsidR="00BC6BE8" w:rsidRPr="001E1788">
        <w:rPr>
          <w:rFonts w:ascii="Times New Roman" w:hAnsi="Times New Roman"/>
          <w:color w:val="000000"/>
        </w:rPr>
        <w:t>for 10 MHz of spectrum in the 2.5 GHz band using April 2012 figures</w:t>
      </w:r>
      <w:r w:rsidR="00DE5FF3" w:rsidRPr="001E1788">
        <w:rPr>
          <w:rFonts w:ascii="Times New Roman" w:hAnsi="Times New Roman"/>
          <w:color w:val="000000"/>
        </w:rPr>
        <w:t xml:space="preserve"> (i.e. $24</w:t>
      </w:r>
      <w:r w:rsidR="00D93D19">
        <w:rPr>
          <w:rFonts w:ascii="Times New Roman" w:hAnsi="Times New Roman"/>
          <w:color w:val="000000"/>
        </w:rPr>
        <w:t>,</w:t>
      </w:r>
      <w:r w:rsidR="00DE5FF3" w:rsidRPr="001E1788">
        <w:rPr>
          <w:rFonts w:ascii="Times New Roman" w:hAnsi="Times New Roman"/>
          <w:color w:val="000000"/>
        </w:rPr>
        <w:t xml:space="preserve">622.98 per annum) </w:t>
      </w:r>
      <w:r w:rsidR="00BC6BE8" w:rsidRPr="001E1788">
        <w:rPr>
          <w:rFonts w:ascii="Times New Roman" w:hAnsi="Times New Roman"/>
          <w:color w:val="000000"/>
        </w:rPr>
        <w:t xml:space="preserve"> as a basis to calculate the proposed spectrum access charge.  To undertake th</w:t>
      </w:r>
      <w:r w:rsidR="007068FA">
        <w:rPr>
          <w:rFonts w:ascii="Times New Roman" w:hAnsi="Times New Roman"/>
          <w:color w:val="000000"/>
        </w:rPr>
        <w:t xml:space="preserve">e net present value </w:t>
      </w:r>
      <w:r w:rsidR="00BC6BE8" w:rsidRPr="001E1788">
        <w:rPr>
          <w:rFonts w:ascii="Times New Roman" w:hAnsi="Times New Roman"/>
          <w:color w:val="000000"/>
        </w:rPr>
        <w:t xml:space="preserve">calculation </w:t>
      </w:r>
      <w:r w:rsidR="004F0BE0" w:rsidRPr="001E1788">
        <w:rPr>
          <w:rFonts w:ascii="Times New Roman" w:hAnsi="Times New Roman"/>
          <w:color w:val="000000"/>
        </w:rPr>
        <w:t xml:space="preserve">ACMA </w:t>
      </w:r>
      <w:r w:rsidR="00BC6BE8" w:rsidRPr="001E1788">
        <w:rPr>
          <w:rFonts w:ascii="Times New Roman" w:hAnsi="Times New Roman"/>
          <w:color w:val="000000"/>
        </w:rPr>
        <w:t>ha</w:t>
      </w:r>
      <w:r w:rsidR="004F0BE0" w:rsidRPr="001E1788">
        <w:rPr>
          <w:rFonts w:ascii="Times New Roman" w:hAnsi="Times New Roman"/>
          <w:color w:val="000000"/>
        </w:rPr>
        <w:t>s</w:t>
      </w:r>
      <w:r w:rsidR="00BC6BE8" w:rsidRPr="001E1788">
        <w:rPr>
          <w:rFonts w:ascii="Times New Roman" w:hAnsi="Times New Roman"/>
          <w:color w:val="000000"/>
        </w:rPr>
        <w:t xml:space="preserve"> also used the following assumptions:</w:t>
      </w:r>
    </w:p>
    <w:p w:rsidR="00BC6BE8" w:rsidRPr="001E1788" w:rsidRDefault="00BC6BE8" w:rsidP="007A3336">
      <w:pPr>
        <w:pStyle w:val="ListParagraph"/>
        <w:numPr>
          <w:ilvl w:val="0"/>
          <w:numId w:val="17"/>
        </w:numPr>
        <w:rPr>
          <w:rFonts w:ascii="Times New Roman" w:hAnsi="Times New Roman"/>
        </w:rPr>
      </w:pPr>
      <w:r w:rsidRPr="001E1788">
        <w:rPr>
          <w:rFonts w:ascii="Times New Roman" w:hAnsi="Times New Roman"/>
          <w:color w:val="000000"/>
        </w:rPr>
        <w:t>CPI Inflation value = 3%</w:t>
      </w:r>
    </w:p>
    <w:p w:rsidR="00BC6BE8" w:rsidRPr="001E1788" w:rsidRDefault="00BC6BE8" w:rsidP="007A3336">
      <w:pPr>
        <w:pStyle w:val="ListParagraph"/>
        <w:numPr>
          <w:ilvl w:val="0"/>
          <w:numId w:val="17"/>
        </w:numPr>
        <w:rPr>
          <w:rFonts w:ascii="Times New Roman" w:hAnsi="Times New Roman"/>
        </w:rPr>
      </w:pPr>
      <w:r w:rsidRPr="001E1788">
        <w:rPr>
          <w:rFonts w:ascii="Times New Roman" w:hAnsi="Times New Roman"/>
          <w:color w:val="000000"/>
        </w:rPr>
        <w:t xml:space="preserve">Discount rate </w:t>
      </w:r>
      <w:r w:rsidR="00403E33">
        <w:rPr>
          <w:rFonts w:ascii="Times New Roman" w:hAnsi="Times New Roman"/>
          <w:color w:val="000000"/>
        </w:rPr>
        <w:t xml:space="preserve">to reflect the present value of the </w:t>
      </w:r>
      <w:r w:rsidR="00403E33" w:rsidRPr="001E1788">
        <w:rPr>
          <w:rFonts w:ascii="Times New Roman" w:hAnsi="Times New Roman"/>
          <w:color w:val="000000"/>
        </w:rPr>
        <w:t>stream of annual taxes</w:t>
      </w:r>
      <w:r w:rsidR="00403E33">
        <w:rPr>
          <w:rFonts w:ascii="Times New Roman" w:hAnsi="Times New Roman"/>
          <w:color w:val="000000"/>
        </w:rPr>
        <w:t xml:space="preserve"> made in the future</w:t>
      </w:r>
      <w:r w:rsidRPr="001E1788">
        <w:rPr>
          <w:rFonts w:ascii="Times New Roman" w:hAnsi="Times New Roman"/>
          <w:color w:val="000000"/>
        </w:rPr>
        <w:t>= 8%</w:t>
      </w:r>
    </w:p>
    <w:p w:rsidR="00BC6BE8" w:rsidRPr="001E1788" w:rsidRDefault="00BC6BE8" w:rsidP="007A3336">
      <w:pPr>
        <w:pStyle w:val="ListParagraph"/>
        <w:numPr>
          <w:ilvl w:val="0"/>
          <w:numId w:val="17"/>
        </w:numPr>
        <w:rPr>
          <w:rFonts w:ascii="Times New Roman" w:hAnsi="Times New Roman"/>
        </w:rPr>
      </w:pPr>
      <w:r w:rsidRPr="001E1788">
        <w:rPr>
          <w:rFonts w:ascii="Times New Roman" w:hAnsi="Times New Roman"/>
          <w:color w:val="000000"/>
        </w:rPr>
        <w:t>Tax adjusted to give a June 2012 figure.</w:t>
      </w:r>
    </w:p>
    <w:p w:rsidR="006E3D5E" w:rsidRPr="001E1788" w:rsidRDefault="006E3D5E" w:rsidP="001E1788">
      <w:pPr>
        <w:pStyle w:val="Body"/>
        <w:keepNext/>
        <w:numPr>
          <w:ilvl w:val="0"/>
          <w:numId w:val="0"/>
        </w:numPr>
        <w:rPr>
          <w:rStyle w:val="CharSectno"/>
          <w:i/>
          <w:sz w:val="22"/>
          <w:szCs w:val="22"/>
        </w:rPr>
      </w:pPr>
      <w:r w:rsidRPr="001E1788">
        <w:rPr>
          <w:rStyle w:val="CharSectno"/>
          <w:i/>
          <w:sz w:val="22"/>
          <w:szCs w:val="22"/>
        </w:rPr>
        <w:t>Implementation</w:t>
      </w:r>
    </w:p>
    <w:p w:rsidR="006E3D5E" w:rsidRPr="009023DA" w:rsidRDefault="00225411" w:rsidP="006E3D5E">
      <w:pPr>
        <w:pStyle w:val="ACMABulletLevel1"/>
        <w:numPr>
          <w:ilvl w:val="0"/>
          <w:numId w:val="0"/>
        </w:numPr>
        <w:spacing w:line="280" w:lineRule="atLeast"/>
        <w:rPr>
          <w:rFonts w:eastAsiaTheme="minorHAnsi"/>
          <w:sz w:val="22"/>
          <w:szCs w:val="22"/>
        </w:rPr>
      </w:pPr>
      <w:r w:rsidRPr="006E3D5E">
        <w:rPr>
          <w:rFonts w:eastAsiaTheme="minorHAnsi"/>
          <w:sz w:val="22"/>
          <w:szCs w:val="22"/>
        </w:rPr>
        <w:t xml:space="preserve">Following consultation with </w:t>
      </w:r>
      <w:r w:rsidR="007A3336">
        <w:rPr>
          <w:rFonts w:eastAsiaTheme="minorHAnsi"/>
          <w:sz w:val="22"/>
          <w:szCs w:val="22"/>
        </w:rPr>
        <w:t xml:space="preserve">free to air </w:t>
      </w:r>
      <w:r w:rsidRPr="006E3D5E">
        <w:rPr>
          <w:rFonts w:eastAsiaTheme="minorHAnsi"/>
          <w:sz w:val="22"/>
          <w:szCs w:val="22"/>
        </w:rPr>
        <w:t xml:space="preserve">broadcasters </w:t>
      </w:r>
      <w:r w:rsidR="007A3336">
        <w:rPr>
          <w:rFonts w:eastAsiaTheme="minorHAnsi"/>
          <w:sz w:val="22"/>
          <w:szCs w:val="22"/>
        </w:rPr>
        <w:t>and the Aust</w:t>
      </w:r>
      <w:r w:rsidR="00F348B4">
        <w:rPr>
          <w:rFonts w:eastAsiaTheme="minorHAnsi"/>
          <w:sz w:val="22"/>
          <w:szCs w:val="22"/>
        </w:rPr>
        <w:t>ralian Broadcasting Corporation</w:t>
      </w:r>
      <w:r w:rsidRPr="006E3D5E">
        <w:rPr>
          <w:rFonts w:eastAsiaTheme="minorHAnsi"/>
          <w:sz w:val="22"/>
          <w:szCs w:val="22"/>
        </w:rPr>
        <w:t xml:space="preserve">, it is proposed that </w:t>
      </w:r>
      <w:r w:rsidR="007A3336">
        <w:rPr>
          <w:rFonts w:eastAsiaTheme="minorHAnsi"/>
          <w:sz w:val="22"/>
          <w:szCs w:val="22"/>
        </w:rPr>
        <w:t xml:space="preserve">each spectrum licence </w:t>
      </w:r>
      <w:r w:rsidR="00F348B4">
        <w:rPr>
          <w:rFonts w:eastAsiaTheme="minorHAnsi"/>
          <w:sz w:val="22"/>
          <w:szCs w:val="22"/>
        </w:rPr>
        <w:t xml:space="preserve">in the 2.5 GHz Mid-band Gap </w:t>
      </w:r>
      <w:r w:rsidR="007A3336">
        <w:rPr>
          <w:rFonts w:eastAsiaTheme="minorHAnsi"/>
          <w:sz w:val="22"/>
          <w:szCs w:val="22"/>
        </w:rPr>
        <w:t xml:space="preserve">be subject to </w:t>
      </w:r>
      <w:r w:rsidRPr="006E3D5E">
        <w:rPr>
          <w:rFonts w:eastAsiaTheme="minorHAnsi"/>
          <w:sz w:val="22"/>
          <w:szCs w:val="22"/>
        </w:rPr>
        <w:t xml:space="preserve">a </w:t>
      </w:r>
      <w:r w:rsidR="00BD2BB3">
        <w:rPr>
          <w:rFonts w:eastAsiaTheme="minorHAnsi"/>
          <w:sz w:val="22"/>
          <w:szCs w:val="22"/>
        </w:rPr>
        <w:t>s</w:t>
      </w:r>
      <w:r w:rsidR="00BD2BB3" w:rsidRPr="006E3D5E">
        <w:rPr>
          <w:rFonts w:eastAsiaTheme="minorHAnsi"/>
          <w:sz w:val="22"/>
          <w:szCs w:val="22"/>
        </w:rPr>
        <w:t xml:space="preserve">pectrum </w:t>
      </w:r>
      <w:r w:rsidR="00BD2BB3">
        <w:rPr>
          <w:rFonts w:eastAsiaTheme="minorHAnsi"/>
          <w:sz w:val="22"/>
          <w:szCs w:val="22"/>
        </w:rPr>
        <w:t>a</w:t>
      </w:r>
      <w:r w:rsidR="00BD2BB3" w:rsidRPr="006E3D5E">
        <w:rPr>
          <w:rFonts w:eastAsiaTheme="minorHAnsi"/>
          <w:sz w:val="22"/>
          <w:szCs w:val="22"/>
        </w:rPr>
        <w:t xml:space="preserve">ccess </w:t>
      </w:r>
      <w:r w:rsidR="00BD2BB3">
        <w:rPr>
          <w:rFonts w:eastAsiaTheme="minorHAnsi"/>
          <w:sz w:val="22"/>
          <w:szCs w:val="22"/>
        </w:rPr>
        <w:t>c</w:t>
      </w:r>
      <w:r w:rsidR="00BD2BB3" w:rsidRPr="006E3D5E">
        <w:rPr>
          <w:rFonts w:eastAsiaTheme="minorHAnsi"/>
          <w:sz w:val="22"/>
          <w:szCs w:val="22"/>
        </w:rPr>
        <w:t xml:space="preserve">harge </w:t>
      </w:r>
      <w:r w:rsidRPr="006E3D5E">
        <w:rPr>
          <w:rFonts w:eastAsiaTheme="minorHAnsi"/>
          <w:sz w:val="22"/>
          <w:szCs w:val="22"/>
        </w:rPr>
        <w:t xml:space="preserve">of $259,403.20.  </w:t>
      </w:r>
      <w:bookmarkStart w:id="4" w:name="citation"/>
      <w:r w:rsidR="006E3D5E" w:rsidRPr="006E3D5E">
        <w:rPr>
          <w:rFonts w:eastAsiaTheme="minorHAnsi"/>
          <w:sz w:val="22"/>
          <w:szCs w:val="22"/>
        </w:rPr>
        <w:t xml:space="preserve">The </w:t>
      </w:r>
      <w:r w:rsidR="007762DD">
        <w:rPr>
          <w:rFonts w:eastAsiaTheme="minorHAnsi"/>
          <w:sz w:val="22"/>
          <w:szCs w:val="22"/>
        </w:rPr>
        <w:t xml:space="preserve">Determination </w:t>
      </w:r>
      <w:bookmarkEnd w:id="4"/>
      <w:r w:rsidR="00BD2BB3">
        <w:rPr>
          <w:rFonts w:eastAsiaTheme="minorHAnsi"/>
          <w:sz w:val="22"/>
          <w:szCs w:val="22"/>
        </w:rPr>
        <w:t>reflects</w:t>
      </w:r>
      <w:r w:rsidR="00BD2BB3" w:rsidRPr="009023DA">
        <w:rPr>
          <w:rFonts w:eastAsiaTheme="minorHAnsi"/>
          <w:sz w:val="22"/>
          <w:szCs w:val="22"/>
        </w:rPr>
        <w:t xml:space="preserve"> </w:t>
      </w:r>
      <w:r w:rsidR="006E3D5E" w:rsidRPr="009023DA">
        <w:rPr>
          <w:rFonts w:eastAsiaTheme="minorHAnsi"/>
          <w:sz w:val="22"/>
          <w:szCs w:val="22"/>
        </w:rPr>
        <w:t xml:space="preserve">this charge </w:t>
      </w:r>
      <w:r w:rsidR="006E3D5E">
        <w:rPr>
          <w:rFonts w:eastAsiaTheme="minorHAnsi"/>
          <w:sz w:val="22"/>
          <w:szCs w:val="22"/>
        </w:rPr>
        <w:t xml:space="preserve">and </w:t>
      </w:r>
      <w:r w:rsidR="006E3D5E" w:rsidRPr="009023DA">
        <w:rPr>
          <w:rFonts w:eastAsiaTheme="minorHAnsi"/>
          <w:sz w:val="22"/>
          <w:szCs w:val="22"/>
        </w:rPr>
        <w:t xml:space="preserve">has been drafted in accordance with section 294(1) of the </w:t>
      </w:r>
      <w:r w:rsidR="00C80E5E">
        <w:rPr>
          <w:rFonts w:eastAsiaTheme="minorHAnsi"/>
          <w:sz w:val="22"/>
          <w:szCs w:val="22"/>
        </w:rPr>
        <w:t>Act</w:t>
      </w:r>
      <w:r w:rsidR="006E3D5E" w:rsidRPr="009023DA">
        <w:rPr>
          <w:rFonts w:eastAsiaTheme="minorHAnsi"/>
          <w:sz w:val="22"/>
          <w:szCs w:val="22"/>
        </w:rPr>
        <w:t xml:space="preserve"> for the following licensees:</w:t>
      </w:r>
    </w:p>
    <w:p w:rsidR="00FF4038" w:rsidRDefault="00225411" w:rsidP="00FF4038">
      <w:pPr>
        <w:pStyle w:val="ACMABodyText"/>
        <w:numPr>
          <w:ilvl w:val="0"/>
          <w:numId w:val="8"/>
        </w:numPr>
        <w:ind w:left="426" w:hanging="284"/>
        <w:rPr>
          <w:rFonts w:eastAsiaTheme="minorHAnsi"/>
          <w:snapToGrid/>
          <w:sz w:val="22"/>
          <w:szCs w:val="22"/>
        </w:rPr>
      </w:pPr>
      <w:r w:rsidRPr="009023DA">
        <w:rPr>
          <w:rFonts w:eastAsiaTheme="minorHAnsi"/>
          <w:snapToGrid/>
          <w:sz w:val="22"/>
          <w:szCs w:val="22"/>
        </w:rPr>
        <w:t xml:space="preserve">Australian Broadcasting Corporation  </w:t>
      </w:r>
      <w:r w:rsidRPr="009023DA">
        <w:rPr>
          <w:rFonts w:eastAsiaTheme="minorHAnsi"/>
          <w:snapToGrid/>
          <w:sz w:val="22"/>
          <w:szCs w:val="22"/>
        </w:rPr>
        <w:tab/>
      </w:r>
      <w:r w:rsidRPr="009023DA">
        <w:rPr>
          <w:rFonts w:eastAsiaTheme="minorHAnsi"/>
          <w:snapToGrid/>
          <w:sz w:val="22"/>
          <w:szCs w:val="22"/>
        </w:rPr>
        <w:tab/>
        <w:t>(A</w:t>
      </w:r>
      <w:r w:rsidR="00D93D19">
        <w:rPr>
          <w:rFonts w:eastAsiaTheme="minorHAnsi"/>
          <w:snapToGrid/>
          <w:sz w:val="22"/>
          <w:szCs w:val="22"/>
        </w:rPr>
        <w:t>B</w:t>
      </w:r>
      <w:r w:rsidRPr="009023DA">
        <w:rPr>
          <w:rFonts w:eastAsiaTheme="minorHAnsi"/>
          <w:snapToGrid/>
          <w:sz w:val="22"/>
          <w:szCs w:val="22"/>
        </w:rPr>
        <w:t>N 52</w:t>
      </w:r>
      <w:r w:rsidR="00D93D19">
        <w:rPr>
          <w:rFonts w:eastAsiaTheme="minorHAnsi"/>
          <w:snapToGrid/>
          <w:sz w:val="22"/>
          <w:szCs w:val="22"/>
        </w:rPr>
        <w:t xml:space="preserve"> </w:t>
      </w:r>
      <w:r w:rsidRPr="009023DA">
        <w:rPr>
          <w:rFonts w:eastAsiaTheme="minorHAnsi"/>
          <w:snapToGrid/>
          <w:sz w:val="22"/>
          <w:szCs w:val="22"/>
        </w:rPr>
        <w:t>429</w:t>
      </w:r>
      <w:r w:rsidR="00D93D19">
        <w:rPr>
          <w:rFonts w:eastAsiaTheme="minorHAnsi"/>
          <w:snapToGrid/>
          <w:sz w:val="22"/>
          <w:szCs w:val="22"/>
        </w:rPr>
        <w:t xml:space="preserve"> </w:t>
      </w:r>
      <w:r w:rsidRPr="009023DA">
        <w:rPr>
          <w:rFonts w:eastAsiaTheme="minorHAnsi"/>
          <w:snapToGrid/>
          <w:sz w:val="22"/>
          <w:szCs w:val="22"/>
        </w:rPr>
        <w:t>278</w:t>
      </w:r>
      <w:r w:rsidR="00D93D19">
        <w:rPr>
          <w:rFonts w:eastAsiaTheme="minorHAnsi"/>
          <w:snapToGrid/>
          <w:sz w:val="22"/>
          <w:szCs w:val="22"/>
        </w:rPr>
        <w:t xml:space="preserve"> </w:t>
      </w:r>
      <w:r w:rsidRPr="009023DA">
        <w:rPr>
          <w:rFonts w:eastAsiaTheme="minorHAnsi"/>
          <w:snapToGrid/>
          <w:sz w:val="22"/>
          <w:szCs w:val="22"/>
        </w:rPr>
        <w:t>345)</w:t>
      </w:r>
    </w:p>
    <w:p w:rsidR="00FF4038" w:rsidRDefault="00225411" w:rsidP="00FF4038">
      <w:pPr>
        <w:numPr>
          <w:ilvl w:val="0"/>
          <w:numId w:val="8"/>
        </w:numPr>
        <w:spacing w:after="0" w:line="240" w:lineRule="auto"/>
        <w:ind w:left="426" w:hanging="284"/>
        <w:rPr>
          <w:rFonts w:ascii="Times New Roman" w:eastAsiaTheme="minorHAnsi" w:hAnsi="Times New Roman"/>
        </w:rPr>
      </w:pPr>
      <w:r w:rsidRPr="009023DA">
        <w:rPr>
          <w:rFonts w:ascii="Times New Roman" w:eastAsiaTheme="minorHAnsi" w:hAnsi="Times New Roman"/>
        </w:rPr>
        <w:t>Channel Seven Sydney Pty Limited</w:t>
      </w:r>
      <w:r w:rsidRPr="009023DA">
        <w:rPr>
          <w:rFonts w:ascii="Times New Roman" w:eastAsiaTheme="minorHAnsi" w:hAnsi="Times New Roman"/>
        </w:rPr>
        <w:tab/>
      </w:r>
      <w:r w:rsidRPr="009023DA">
        <w:rPr>
          <w:rFonts w:ascii="Times New Roman" w:eastAsiaTheme="minorHAnsi" w:hAnsi="Times New Roman"/>
        </w:rPr>
        <w:tab/>
      </w:r>
      <w:r w:rsidR="00B5182B">
        <w:rPr>
          <w:rFonts w:ascii="Times New Roman" w:eastAsiaTheme="minorHAnsi" w:hAnsi="Times New Roman"/>
        </w:rPr>
        <w:tab/>
      </w:r>
      <w:r w:rsidRPr="009023DA">
        <w:rPr>
          <w:rFonts w:ascii="Times New Roman" w:eastAsiaTheme="minorHAnsi" w:hAnsi="Times New Roman"/>
        </w:rPr>
        <w:t>(ACN 000</w:t>
      </w:r>
      <w:r w:rsidR="00D93D19">
        <w:rPr>
          <w:rFonts w:ascii="Times New Roman" w:eastAsiaTheme="minorHAnsi" w:hAnsi="Times New Roman"/>
        </w:rPr>
        <w:t xml:space="preserve"> </w:t>
      </w:r>
      <w:r w:rsidRPr="009023DA">
        <w:rPr>
          <w:rFonts w:ascii="Times New Roman" w:eastAsiaTheme="minorHAnsi" w:hAnsi="Times New Roman"/>
        </w:rPr>
        <w:t>145</w:t>
      </w:r>
      <w:r w:rsidR="00D93D19">
        <w:rPr>
          <w:rFonts w:ascii="Times New Roman" w:eastAsiaTheme="minorHAnsi" w:hAnsi="Times New Roman"/>
        </w:rPr>
        <w:t xml:space="preserve"> </w:t>
      </w:r>
      <w:r w:rsidRPr="009023DA">
        <w:rPr>
          <w:rFonts w:ascii="Times New Roman" w:eastAsiaTheme="minorHAnsi" w:hAnsi="Times New Roman"/>
        </w:rPr>
        <w:t>246)</w:t>
      </w:r>
    </w:p>
    <w:p w:rsidR="00DE5921" w:rsidRDefault="00DE5921" w:rsidP="00DE5921">
      <w:pPr>
        <w:pStyle w:val="ACMABodyText"/>
        <w:numPr>
          <w:ilvl w:val="0"/>
          <w:numId w:val="8"/>
        </w:numPr>
        <w:ind w:left="426" w:hanging="284"/>
        <w:rPr>
          <w:rFonts w:eastAsiaTheme="minorHAnsi"/>
          <w:snapToGrid/>
          <w:sz w:val="22"/>
          <w:szCs w:val="22"/>
        </w:rPr>
      </w:pPr>
      <w:r w:rsidRPr="009023DA">
        <w:rPr>
          <w:rFonts w:eastAsiaTheme="minorHAnsi"/>
          <w:snapToGrid/>
          <w:sz w:val="22"/>
          <w:szCs w:val="22"/>
        </w:rPr>
        <w:t>Nine Network Australia Pty Ltd</w:t>
      </w:r>
      <w:r w:rsidRPr="009023DA">
        <w:rPr>
          <w:rFonts w:eastAsiaTheme="minorHAnsi"/>
          <w:snapToGrid/>
          <w:sz w:val="22"/>
          <w:szCs w:val="22"/>
        </w:rPr>
        <w:tab/>
      </w:r>
      <w:r w:rsidRPr="009023DA">
        <w:rPr>
          <w:rFonts w:eastAsiaTheme="minorHAnsi"/>
          <w:snapToGrid/>
          <w:sz w:val="22"/>
          <w:szCs w:val="22"/>
        </w:rPr>
        <w:tab/>
      </w:r>
      <w:r w:rsidRPr="009023DA">
        <w:rPr>
          <w:rFonts w:eastAsiaTheme="minorHAnsi"/>
          <w:snapToGrid/>
          <w:sz w:val="22"/>
          <w:szCs w:val="22"/>
        </w:rPr>
        <w:tab/>
        <w:t>(ACN 008</w:t>
      </w:r>
      <w:r>
        <w:rPr>
          <w:rFonts w:eastAsiaTheme="minorHAnsi"/>
          <w:snapToGrid/>
          <w:sz w:val="22"/>
          <w:szCs w:val="22"/>
        </w:rPr>
        <w:t xml:space="preserve"> </w:t>
      </w:r>
      <w:r w:rsidRPr="009023DA">
        <w:rPr>
          <w:rFonts w:eastAsiaTheme="minorHAnsi"/>
          <w:snapToGrid/>
          <w:sz w:val="22"/>
          <w:szCs w:val="22"/>
        </w:rPr>
        <w:t>685</w:t>
      </w:r>
      <w:r>
        <w:rPr>
          <w:rFonts w:eastAsiaTheme="minorHAnsi"/>
          <w:snapToGrid/>
          <w:sz w:val="22"/>
          <w:szCs w:val="22"/>
        </w:rPr>
        <w:t xml:space="preserve"> </w:t>
      </w:r>
      <w:r w:rsidRPr="009023DA">
        <w:rPr>
          <w:rFonts w:eastAsiaTheme="minorHAnsi"/>
          <w:snapToGrid/>
          <w:sz w:val="22"/>
          <w:szCs w:val="22"/>
        </w:rPr>
        <w:t>407)</w:t>
      </w:r>
    </w:p>
    <w:p w:rsidR="00FF4038" w:rsidRDefault="00225411" w:rsidP="00FF4038">
      <w:pPr>
        <w:pStyle w:val="ACMABodyText"/>
        <w:numPr>
          <w:ilvl w:val="0"/>
          <w:numId w:val="8"/>
        </w:numPr>
        <w:ind w:left="426" w:hanging="284"/>
        <w:rPr>
          <w:rFonts w:eastAsiaTheme="minorHAnsi"/>
          <w:snapToGrid/>
          <w:sz w:val="22"/>
          <w:szCs w:val="22"/>
        </w:rPr>
      </w:pPr>
      <w:r w:rsidRPr="009023DA">
        <w:rPr>
          <w:rFonts w:eastAsiaTheme="minorHAnsi"/>
          <w:snapToGrid/>
          <w:sz w:val="22"/>
          <w:szCs w:val="22"/>
        </w:rPr>
        <w:t>Network TEN (Sydney) Pty Limited</w:t>
      </w:r>
      <w:r w:rsidRPr="009023DA">
        <w:rPr>
          <w:rFonts w:eastAsiaTheme="minorHAnsi"/>
          <w:snapToGrid/>
          <w:sz w:val="22"/>
          <w:szCs w:val="22"/>
        </w:rPr>
        <w:tab/>
      </w:r>
      <w:r w:rsidRPr="009023DA">
        <w:rPr>
          <w:rFonts w:eastAsiaTheme="minorHAnsi"/>
          <w:snapToGrid/>
          <w:sz w:val="22"/>
          <w:szCs w:val="22"/>
        </w:rPr>
        <w:tab/>
        <w:t>(ACN 008</w:t>
      </w:r>
      <w:r w:rsidR="00D93D19">
        <w:rPr>
          <w:rFonts w:eastAsiaTheme="minorHAnsi"/>
          <w:snapToGrid/>
          <w:sz w:val="22"/>
          <w:szCs w:val="22"/>
        </w:rPr>
        <w:t xml:space="preserve"> </w:t>
      </w:r>
      <w:r w:rsidRPr="009023DA">
        <w:rPr>
          <w:rFonts w:eastAsiaTheme="minorHAnsi"/>
          <w:snapToGrid/>
          <w:sz w:val="22"/>
          <w:szCs w:val="22"/>
        </w:rPr>
        <w:t>664</w:t>
      </w:r>
      <w:r w:rsidR="00D93D19">
        <w:rPr>
          <w:rFonts w:eastAsiaTheme="minorHAnsi"/>
          <w:snapToGrid/>
          <w:sz w:val="22"/>
          <w:szCs w:val="22"/>
        </w:rPr>
        <w:t xml:space="preserve"> </w:t>
      </w:r>
      <w:r w:rsidRPr="009023DA">
        <w:rPr>
          <w:rFonts w:eastAsiaTheme="minorHAnsi"/>
          <w:snapToGrid/>
          <w:sz w:val="22"/>
          <w:szCs w:val="22"/>
        </w:rPr>
        <w:t>962)</w:t>
      </w:r>
      <w:r w:rsidR="00DE5921">
        <w:rPr>
          <w:rFonts w:eastAsiaTheme="minorHAnsi"/>
          <w:snapToGrid/>
          <w:sz w:val="22"/>
          <w:szCs w:val="22"/>
        </w:rPr>
        <w:t>.</w:t>
      </w:r>
    </w:p>
    <w:p w:rsidR="00C14ACB" w:rsidRPr="009023DA" w:rsidRDefault="00C14ACB" w:rsidP="0088741B">
      <w:pPr>
        <w:pStyle w:val="Body"/>
        <w:numPr>
          <w:ilvl w:val="0"/>
          <w:numId w:val="0"/>
        </w:numPr>
        <w:rPr>
          <w:b/>
          <w:sz w:val="22"/>
          <w:szCs w:val="22"/>
        </w:rPr>
      </w:pPr>
      <w:r w:rsidRPr="009023DA">
        <w:rPr>
          <w:b/>
          <w:sz w:val="22"/>
          <w:szCs w:val="22"/>
        </w:rPr>
        <w:t xml:space="preserve">Regulation Impact </w:t>
      </w:r>
    </w:p>
    <w:p w:rsidR="00B5182B" w:rsidRDefault="00833293" w:rsidP="00703A97">
      <w:pPr>
        <w:pStyle w:val="ACMABulletLevel1"/>
        <w:numPr>
          <w:ilvl w:val="0"/>
          <w:numId w:val="0"/>
        </w:numPr>
        <w:spacing w:line="280" w:lineRule="atLeast"/>
        <w:rPr>
          <w:rStyle w:val="CharSectno"/>
          <w:sz w:val="22"/>
          <w:szCs w:val="22"/>
        </w:rPr>
      </w:pPr>
      <w:r w:rsidRPr="009023DA">
        <w:rPr>
          <w:rStyle w:val="CharSectno"/>
          <w:sz w:val="22"/>
          <w:szCs w:val="22"/>
        </w:rPr>
        <w:t>The</w:t>
      </w:r>
      <w:r w:rsidR="00763574" w:rsidRPr="009023DA">
        <w:rPr>
          <w:rStyle w:val="CharSectno"/>
          <w:sz w:val="22"/>
          <w:szCs w:val="22"/>
        </w:rPr>
        <w:t xml:space="preserve"> ACMA has obtained the advice of the </w:t>
      </w:r>
      <w:r w:rsidR="00C14ACB" w:rsidRPr="009023DA">
        <w:rPr>
          <w:rStyle w:val="CharSectno"/>
          <w:sz w:val="22"/>
          <w:szCs w:val="22"/>
        </w:rPr>
        <w:t xml:space="preserve">Office of Best Practice Regulation </w:t>
      </w:r>
      <w:r w:rsidR="00886442" w:rsidRPr="009023DA">
        <w:rPr>
          <w:rStyle w:val="CharSectno"/>
          <w:sz w:val="22"/>
          <w:szCs w:val="22"/>
        </w:rPr>
        <w:t>(</w:t>
      </w:r>
      <w:r w:rsidR="00886442" w:rsidRPr="007A3336">
        <w:rPr>
          <w:rStyle w:val="CharSectno"/>
          <w:b/>
          <w:sz w:val="22"/>
          <w:szCs w:val="22"/>
        </w:rPr>
        <w:t>OBPR</w:t>
      </w:r>
      <w:r w:rsidR="00886442" w:rsidRPr="009023DA">
        <w:rPr>
          <w:rStyle w:val="CharSectno"/>
          <w:sz w:val="22"/>
          <w:szCs w:val="22"/>
        </w:rPr>
        <w:t xml:space="preserve">) </w:t>
      </w:r>
      <w:r w:rsidRPr="009023DA">
        <w:rPr>
          <w:rStyle w:val="CharSectno"/>
          <w:sz w:val="22"/>
          <w:szCs w:val="22"/>
        </w:rPr>
        <w:t xml:space="preserve">that a </w:t>
      </w:r>
      <w:r w:rsidR="00C14ACB" w:rsidRPr="009023DA">
        <w:rPr>
          <w:rStyle w:val="CharSectno"/>
          <w:sz w:val="22"/>
          <w:szCs w:val="22"/>
        </w:rPr>
        <w:t xml:space="preserve">Regulation Impact Statement </w:t>
      </w:r>
      <w:r w:rsidR="00763574" w:rsidRPr="009023DA">
        <w:rPr>
          <w:rStyle w:val="CharSectno"/>
          <w:sz w:val="22"/>
          <w:szCs w:val="22"/>
        </w:rPr>
        <w:t xml:space="preserve">is </w:t>
      </w:r>
      <w:r w:rsidR="008949BD">
        <w:rPr>
          <w:rStyle w:val="CharSectno"/>
          <w:sz w:val="22"/>
          <w:szCs w:val="22"/>
        </w:rPr>
        <w:t xml:space="preserve">not </w:t>
      </w:r>
      <w:r w:rsidR="00C14ACB" w:rsidRPr="009023DA">
        <w:rPr>
          <w:rStyle w:val="CharSectno"/>
          <w:sz w:val="22"/>
          <w:szCs w:val="22"/>
        </w:rPr>
        <w:t>required for the Determination</w:t>
      </w:r>
      <w:r w:rsidR="009E5AA7" w:rsidRPr="009023DA">
        <w:rPr>
          <w:rStyle w:val="CharSectno"/>
          <w:sz w:val="22"/>
          <w:szCs w:val="22"/>
        </w:rPr>
        <w:t xml:space="preserve"> in respect of the </w:t>
      </w:r>
      <w:r w:rsidR="003A4572">
        <w:rPr>
          <w:rStyle w:val="CharSectno"/>
          <w:sz w:val="22"/>
          <w:szCs w:val="22"/>
        </w:rPr>
        <w:t xml:space="preserve">2.5 GHz </w:t>
      </w:r>
      <w:r w:rsidR="007A3336">
        <w:rPr>
          <w:rStyle w:val="CharSectno"/>
          <w:sz w:val="22"/>
          <w:szCs w:val="22"/>
        </w:rPr>
        <w:t>M</w:t>
      </w:r>
      <w:r w:rsidR="003A4572">
        <w:rPr>
          <w:rStyle w:val="CharSectno"/>
          <w:sz w:val="22"/>
          <w:szCs w:val="22"/>
        </w:rPr>
        <w:t>id</w:t>
      </w:r>
      <w:r w:rsidR="007A3336">
        <w:rPr>
          <w:rStyle w:val="CharSectno"/>
          <w:sz w:val="22"/>
          <w:szCs w:val="22"/>
        </w:rPr>
        <w:t>-</w:t>
      </w:r>
      <w:r w:rsidR="003A4572">
        <w:rPr>
          <w:rStyle w:val="CharSectno"/>
          <w:sz w:val="22"/>
          <w:szCs w:val="22"/>
        </w:rPr>
        <w:t xml:space="preserve">band </w:t>
      </w:r>
      <w:r w:rsidR="007A3336">
        <w:rPr>
          <w:rStyle w:val="CharSectno"/>
          <w:sz w:val="22"/>
          <w:szCs w:val="22"/>
        </w:rPr>
        <w:t>G</w:t>
      </w:r>
      <w:r w:rsidR="003A4572">
        <w:rPr>
          <w:rStyle w:val="CharSectno"/>
          <w:sz w:val="22"/>
          <w:szCs w:val="22"/>
        </w:rPr>
        <w:t xml:space="preserve">ap </w:t>
      </w:r>
      <w:r w:rsidR="007A3336">
        <w:rPr>
          <w:rStyle w:val="CharSectno"/>
          <w:sz w:val="22"/>
          <w:szCs w:val="22"/>
        </w:rPr>
        <w:t>s</w:t>
      </w:r>
      <w:r w:rsidR="003A4572">
        <w:rPr>
          <w:rStyle w:val="CharSectno"/>
          <w:sz w:val="22"/>
          <w:szCs w:val="22"/>
        </w:rPr>
        <w:t xml:space="preserve">pectrum </w:t>
      </w:r>
      <w:r w:rsidR="007A3336">
        <w:rPr>
          <w:rStyle w:val="CharSectno"/>
          <w:sz w:val="22"/>
          <w:szCs w:val="22"/>
        </w:rPr>
        <w:t>a</w:t>
      </w:r>
      <w:r w:rsidR="003A4572">
        <w:rPr>
          <w:rStyle w:val="CharSectno"/>
          <w:sz w:val="22"/>
          <w:szCs w:val="22"/>
        </w:rPr>
        <w:t xml:space="preserve">ccess </w:t>
      </w:r>
      <w:r w:rsidR="007A3336">
        <w:rPr>
          <w:rStyle w:val="CharSectno"/>
          <w:sz w:val="22"/>
          <w:szCs w:val="22"/>
        </w:rPr>
        <w:t>c</w:t>
      </w:r>
      <w:r w:rsidR="003A4572">
        <w:rPr>
          <w:rStyle w:val="CharSectno"/>
          <w:sz w:val="22"/>
          <w:szCs w:val="22"/>
        </w:rPr>
        <w:t>harge</w:t>
      </w:r>
      <w:r w:rsidR="00763574" w:rsidRPr="009023DA">
        <w:rPr>
          <w:rStyle w:val="CharSectno"/>
          <w:sz w:val="22"/>
          <w:szCs w:val="22"/>
        </w:rPr>
        <w:t xml:space="preserve">.  </w:t>
      </w:r>
      <w:r w:rsidRPr="009023DA">
        <w:rPr>
          <w:rStyle w:val="CharSectno"/>
          <w:sz w:val="22"/>
          <w:szCs w:val="22"/>
        </w:rPr>
        <w:t xml:space="preserve">The </w:t>
      </w:r>
      <w:r w:rsidR="00886442" w:rsidRPr="009023DA">
        <w:rPr>
          <w:rStyle w:val="CharSectno"/>
          <w:sz w:val="22"/>
          <w:szCs w:val="22"/>
        </w:rPr>
        <w:t xml:space="preserve">OBPR reference </w:t>
      </w:r>
      <w:r w:rsidRPr="009023DA">
        <w:rPr>
          <w:rStyle w:val="CharSectno"/>
          <w:sz w:val="22"/>
          <w:szCs w:val="22"/>
        </w:rPr>
        <w:t>number is</w:t>
      </w:r>
      <w:r w:rsidR="00886442" w:rsidRPr="009023DA">
        <w:rPr>
          <w:rStyle w:val="CharSectno"/>
          <w:sz w:val="22"/>
          <w:szCs w:val="22"/>
        </w:rPr>
        <w:t xml:space="preserve"> </w:t>
      </w:r>
      <w:r w:rsidR="003A4572" w:rsidRPr="009023DA">
        <w:rPr>
          <w:rStyle w:val="CharSectno"/>
          <w:sz w:val="22"/>
          <w:szCs w:val="22"/>
        </w:rPr>
        <w:t>1</w:t>
      </w:r>
      <w:r w:rsidR="003A4572">
        <w:rPr>
          <w:rStyle w:val="CharSectno"/>
          <w:sz w:val="22"/>
          <w:szCs w:val="22"/>
        </w:rPr>
        <w:t>3730</w:t>
      </w:r>
      <w:r w:rsidR="00886442" w:rsidRPr="009023DA">
        <w:rPr>
          <w:rStyle w:val="CharSectno"/>
          <w:sz w:val="22"/>
          <w:szCs w:val="22"/>
        </w:rPr>
        <w:t>.</w:t>
      </w:r>
      <w:r w:rsidR="00763574" w:rsidRPr="009023DA">
        <w:rPr>
          <w:rStyle w:val="CharSectno"/>
          <w:sz w:val="22"/>
          <w:szCs w:val="22"/>
        </w:rPr>
        <w:t xml:space="preserve">  </w:t>
      </w:r>
    </w:p>
    <w:p w:rsidR="00155FDE" w:rsidRPr="009023DA" w:rsidRDefault="00C14ACB">
      <w:pPr>
        <w:pStyle w:val="Body"/>
        <w:keepNext/>
        <w:numPr>
          <w:ilvl w:val="0"/>
          <w:numId w:val="0"/>
        </w:numPr>
        <w:rPr>
          <w:b/>
          <w:sz w:val="22"/>
          <w:szCs w:val="22"/>
        </w:rPr>
      </w:pPr>
      <w:r w:rsidRPr="009023DA">
        <w:rPr>
          <w:b/>
          <w:sz w:val="22"/>
          <w:szCs w:val="22"/>
        </w:rPr>
        <w:t>Consultation</w:t>
      </w:r>
    </w:p>
    <w:p w:rsidR="00AB32B3" w:rsidRPr="009023DA" w:rsidRDefault="00AB32B3" w:rsidP="00AB32B3">
      <w:pPr>
        <w:pStyle w:val="ACMABulletLevel1"/>
        <w:numPr>
          <w:ilvl w:val="0"/>
          <w:numId w:val="0"/>
        </w:numPr>
        <w:spacing w:line="280" w:lineRule="atLeast"/>
        <w:rPr>
          <w:rStyle w:val="CharSectno"/>
          <w:sz w:val="22"/>
          <w:szCs w:val="22"/>
        </w:rPr>
      </w:pPr>
      <w:r w:rsidRPr="009023DA">
        <w:rPr>
          <w:rStyle w:val="CharSectno"/>
          <w:sz w:val="22"/>
          <w:szCs w:val="22"/>
        </w:rPr>
        <w:t xml:space="preserve">Section 17 of the </w:t>
      </w:r>
      <w:r w:rsidR="002D7E70" w:rsidRPr="009023DA">
        <w:rPr>
          <w:rStyle w:val="CharSectno"/>
          <w:i/>
          <w:sz w:val="22"/>
          <w:szCs w:val="22"/>
        </w:rPr>
        <w:t>Legislative Instruments Act 2003</w:t>
      </w:r>
      <w:r w:rsidRPr="009023DA">
        <w:rPr>
          <w:rStyle w:val="CharSectno"/>
          <w:sz w:val="22"/>
          <w:szCs w:val="22"/>
        </w:rPr>
        <w:t xml:space="preserve"> require</w:t>
      </w:r>
      <w:r w:rsidR="00D723AC" w:rsidRPr="009023DA">
        <w:rPr>
          <w:rStyle w:val="CharSectno"/>
          <w:sz w:val="22"/>
          <w:szCs w:val="22"/>
        </w:rPr>
        <w:t>s</w:t>
      </w:r>
      <w:r w:rsidRPr="009023DA">
        <w:rPr>
          <w:rStyle w:val="CharSectno"/>
          <w:sz w:val="22"/>
          <w:szCs w:val="22"/>
        </w:rPr>
        <w:t xml:space="preserve"> the ACMA to be satisfied</w:t>
      </w:r>
      <w:r w:rsidR="009E5AA7" w:rsidRPr="009023DA">
        <w:rPr>
          <w:rStyle w:val="CharSectno"/>
          <w:sz w:val="22"/>
          <w:szCs w:val="22"/>
        </w:rPr>
        <w:t xml:space="preserve"> </w:t>
      </w:r>
      <w:r w:rsidRPr="009023DA">
        <w:rPr>
          <w:rStyle w:val="CharSectno"/>
          <w:sz w:val="22"/>
          <w:szCs w:val="22"/>
        </w:rPr>
        <w:t xml:space="preserve">that any consultation it considered to be appropriate and reasonably practicable to undertake has been undertaken. </w:t>
      </w:r>
    </w:p>
    <w:p w:rsidR="003A4572" w:rsidRDefault="003A4572" w:rsidP="00CF421C">
      <w:pPr>
        <w:pStyle w:val="ACMABulletLevel1"/>
        <w:numPr>
          <w:ilvl w:val="0"/>
          <w:numId w:val="0"/>
        </w:numPr>
        <w:spacing w:line="280" w:lineRule="atLeast"/>
      </w:pPr>
      <w:r>
        <w:rPr>
          <w:rStyle w:val="CharSectno"/>
          <w:sz w:val="22"/>
          <w:szCs w:val="22"/>
        </w:rPr>
        <w:t>Targeted consultation has occurred with impacted broadcasters</w:t>
      </w:r>
      <w:r w:rsidR="00096D2F">
        <w:rPr>
          <w:rStyle w:val="CharSectno"/>
          <w:sz w:val="22"/>
          <w:szCs w:val="22"/>
        </w:rPr>
        <w:t xml:space="preserve"> about the calculation of the spectrum access charge, the resulting amount and the proposed payment date</w:t>
      </w:r>
      <w:r>
        <w:rPr>
          <w:rStyle w:val="CharSectno"/>
          <w:sz w:val="22"/>
          <w:szCs w:val="22"/>
        </w:rPr>
        <w:t>.  The</w:t>
      </w:r>
      <w:r w:rsidR="00096D2F">
        <w:rPr>
          <w:rStyle w:val="CharSectno"/>
          <w:sz w:val="22"/>
          <w:szCs w:val="22"/>
        </w:rPr>
        <w:t xml:space="preserve"> ACMA </w:t>
      </w:r>
      <w:r w:rsidR="00D5612C">
        <w:rPr>
          <w:rStyle w:val="CharSectno"/>
          <w:sz w:val="22"/>
          <w:szCs w:val="22"/>
        </w:rPr>
        <w:t xml:space="preserve">has taken </w:t>
      </w:r>
      <w:r w:rsidR="00096D2F">
        <w:rPr>
          <w:rStyle w:val="CharSectno"/>
          <w:sz w:val="22"/>
          <w:szCs w:val="22"/>
        </w:rPr>
        <w:t>into account the</w:t>
      </w:r>
      <w:r>
        <w:rPr>
          <w:rStyle w:val="CharSectno"/>
          <w:sz w:val="22"/>
          <w:szCs w:val="22"/>
        </w:rPr>
        <w:t xml:space="preserve"> broadcasters </w:t>
      </w:r>
      <w:r w:rsidR="00096D2F">
        <w:rPr>
          <w:rStyle w:val="CharSectno"/>
          <w:sz w:val="22"/>
          <w:szCs w:val="22"/>
        </w:rPr>
        <w:t xml:space="preserve">comments in making this </w:t>
      </w:r>
      <w:r w:rsidR="00F348B4">
        <w:rPr>
          <w:rStyle w:val="CharSectno"/>
          <w:sz w:val="22"/>
          <w:szCs w:val="22"/>
        </w:rPr>
        <w:t>D</w:t>
      </w:r>
      <w:r w:rsidR="00096D2F">
        <w:rPr>
          <w:rStyle w:val="CharSectno"/>
          <w:sz w:val="22"/>
          <w:szCs w:val="22"/>
        </w:rPr>
        <w:t>etermination</w:t>
      </w:r>
      <w:r>
        <w:rPr>
          <w:rStyle w:val="CharSectno"/>
          <w:sz w:val="22"/>
          <w:szCs w:val="22"/>
        </w:rPr>
        <w:t xml:space="preserve">. </w:t>
      </w:r>
    </w:p>
    <w:p w:rsidR="007068FA" w:rsidRPr="007068FA" w:rsidRDefault="007068FA" w:rsidP="007068FA">
      <w:pPr>
        <w:pStyle w:val="Body"/>
        <w:keepNext/>
        <w:numPr>
          <w:ilvl w:val="0"/>
          <w:numId w:val="0"/>
        </w:numPr>
        <w:rPr>
          <w:b/>
          <w:sz w:val="22"/>
          <w:szCs w:val="22"/>
        </w:rPr>
      </w:pPr>
      <w:r w:rsidRPr="007068FA">
        <w:rPr>
          <w:b/>
          <w:sz w:val="22"/>
          <w:szCs w:val="22"/>
        </w:rPr>
        <w:t>Detailed Description of the Determination</w:t>
      </w:r>
    </w:p>
    <w:p w:rsidR="007068FA" w:rsidRPr="007068FA" w:rsidRDefault="007068FA" w:rsidP="007068FA">
      <w:pPr>
        <w:spacing w:line="360" w:lineRule="auto"/>
        <w:jc w:val="both"/>
        <w:outlineLvl w:val="0"/>
        <w:rPr>
          <w:rStyle w:val="CharSectno"/>
          <w:rFonts w:ascii="Times New Roman" w:eastAsia="Times New Roman" w:hAnsi="Times New Roman"/>
        </w:rPr>
      </w:pPr>
      <w:r w:rsidRPr="007068FA">
        <w:rPr>
          <w:rStyle w:val="CharSectno"/>
          <w:rFonts w:ascii="Times New Roman" w:eastAsia="Times New Roman" w:hAnsi="Times New Roman"/>
        </w:rPr>
        <w:t xml:space="preserve">Details of the Determination are set out in Attachment </w:t>
      </w:r>
      <w:r>
        <w:rPr>
          <w:rStyle w:val="CharSectno"/>
          <w:rFonts w:ascii="Times New Roman" w:eastAsia="Times New Roman" w:hAnsi="Times New Roman"/>
        </w:rPr>
        <w:t>1</w:t>
      </w:r>
      <w:r w:rsidRPr="007068FA">
        <w:rPr>
          <w:rStyle w:val="CharSectno"/>
          <w:rFonts w:ascii="Times New Roman" w:eastAsia="Times New Roman" w:hAnsi="Times New Roman"/>
        </w:rPr>
        <w:t>.</w:t>
      </w:r>
    </w:p>
    <w:p w:rsidR="00C14ACB" w:rsidRPr="009023DA" w:rsidRDefault="00C14ACB" w:rsidP="00A7323D">
      <w:pPr>
        <w:pStyle w:val="Body"/>
        <w:numPr>
          <w:ilvl w:val="0"/>
          <w:numId w:val="0"/>
        </w:numPr>
        <w:rPr>
          <w:b/>
          <w:sz w:val="22"/>
          <w:szCs w:val="22"/>
        </w:rPr>
      </w:pPr>
      <w:r w:rsidRPr="009023DA">
        <w:rPr>
          <w:b/>
          <w:sz w:val="22"/>
          <w:szCs w:val="22"/>
        </w:rPr>
        <w:t>Statement of Compatibility with Human Rights</w:t>
      </w:r>
    </w:p>
    <w:p w:rsidR="00C14ACB" w:rsidRPr="009023DA" w:rsidRDefault="00C14ACB" w:rsidP="00C14ACB">
      <w:pPr>
        <w:pStyle w:val="ACMABodyText"/>
        <w:spacing w:before="0" w:after="0" w:line="240" w:lineRule="auto"/>
        <w:rPr>
          <w:sz w:val="22"/>
          <w:szCs w:val="22"/>
        </w:rPr>
      </w:pPr>
      <w:r w:rsidRPr="009023DA">
        <w:rPr>
          <w:sz w:val="22"/>
          <w:szCs w:val="22"/>
        </w:rPr>
        <w:t xml:space="preserve">A statement of compatibility with human rights for the purposes of Part 3 of the </w:t>
      </w:r>
      <w:r w:rsidRPr="009023DA">
        <w:rPr>
          <w:i/>
          <w:sz w:val="22"/>
          <w:szCs w:val="22"/>
        </w:rPr>
        <w:t xml:space="preserve">Human </w:t>
      </w:r>
      <w:r w:rsidR="0046773B">
        <w:rPr>
          <w:i/>
          <w:sz w:val="22"/>
          <w:szCs w:val="22"/>
        </w:rPr>
        <w:t xml:space="preserve">- </w:t>
      </w:r>
      <w:r w:rsidRPr="009023DA">
        <w:rPr>
          <w:i/>
          <w:sz w:val="22"/>
          <w:szCs w:val="22"/>
        </w:rPr>
        <w:t>Rights (Parliamentary Scrutiny) Act 2011</w:t>
      </w:r>
      <w:r w:rsidRPr="009023DA">
        <w:rPr>
          <w:sz w:val="22"/>
          <w:szCs w:val="22"/>
        </w:rPr>
        <w:t xml:space="preserve"> is set out in Attachment </w:t>
      </w:r>
      <w:r w:rsidR="007068FA">
        <w:rPr>
          <w:sz w:val="22"/>
          <w:szCs w:val="22"/>
        </w:rPr>
        <w:t>2</w:t>
      </w:r>
      <w:r w:rsidRPr="009023DA">
        <w:rPr>
          <w:sz w:val="22"/>
          <w:szCs w:val="22"/>
        </w:rPr>
        <w:t>.</w:t>
      </w:r>
    </w:p>
    <w:p w:rsidR="00C14ACB" w:rsidRPr="00703A97" w:rsidRDefault="00C14ACB" w:rsidP="00C14ACB">
      <w:pPr>
        <w:spacing w:after="0"/>
        <w:jc w:val="center"/>
        <w:rPr>
          <w:rFonts w:ascii="Arial" w:hAnsi="Arial" w:cs="Arial"/>
          <w:b/>
        </w:rPr>
        <w:sectPr w:rsidR="00C14ACB" w:rsidRPr="00703A97" w:rsidSect="00E33793">
          <w:footerReference w:type="default" r:id="rId13"/>
          <w:pgSz w:w="11906" w:h="16838"/>
          <w:pgMar w:top="1440" w:right="1797" w:bottom="1440" w:left="1797" w:header="709" w:footer="709" w:gutter="0"/>
          <w:cols w:space="708"/>
          <w:docGrid w:linePitch="360"/>
        </w:sectPr>
      </w:pPr>
    </w:p>
    <w:p w:rsidR="00191C18" w:rsidRPr="00703A97" w:rsidRDefault="00191C18" w:rsidP="00191C18">
      <w:pPr>
        <w:spacing w:after="0" w:line="240" w:lineRule="auto"/>
        <w:jc w:val="right"/>
        <w:rPr>
          <w:rFonts w:ascii="Times New Roman" w:eastAsia="Times New Roman" w:hAnsi="Times New Roman"/>
          <w:b/>
          <w:lang w:eastAsia="en-AU"/>
        </w:rPr>
      </w:pPr>
      <w:r w:rsidRPr="00703A97">
        <w:rPr>
          <w:rFonts w:ascii="Times New Roman" w:eastAsia="Times New Roman" w:hAnsi="Times New Roman"/>
          <w:b/>
          <w:lang w:eastAsia="en-AU"/>
        </w:rPr>
        <w:t>Attachment 1</w:t>
      </w:r>
    </w:p>
    <w:p w:rsidR="00D767CD" w:rsidRDefault="00D767CD" w:rsidP="00D767CD">
      <w:pPr>
        <w:jc w:val="both"/>
        <w:rPr>
          <w:rFonts w:ascii="Arial" w:hAnsi="Arial" w:cs="Arial"/>
          <w:b/>
          <w:sz w:val="20"/>
          <w:szCs w:val="20"/>
        </w:rPr>
      </w:pPr>
    </w:p>
    <w:p w:rsidR="00D767CD" w:rsidRPr="00D767CD" w:rsidRDefault="00422472" w:rsidP="00D767CD">
      <w:pPr>
        <w:jc w:val="both"/>
        <w:rPr>
          <w:rFonts w:ascii="Times New Roman" w:hAnsi="Times New Roman"/>
          <w:b/>
        </w:rPr>
      </w:pPr>
      <w:r w:rsidRPr="00422472">
        <w:rPr>
          <w:rFonts w:ascii="Times New Roman" w:hAnsi="Times New Roman"/>
          <w:b/>
        </w:rPr>
        <w:t xml:space="preserve">DETAILS OF THE RADIOCOMMUNICATIONS (SPECTRUM ACCESS CHARGES – </w:t>
      </w:r>
      <w:r w:rsidR="00D767CD">
        <w:rPr>
          <w:rFonts w:ascii="Times New Roman" w:hAnsi="Times New Roman"/>
          <w:b/>
        </w:rPr>
        <w:t>2.5 GHZ M</w:t>
      </w:r>
      <w:r w:rsidR="009316EC">
        <w:rPr>
          <w:rFonts w:ascii="Times New Roman" w:hAnsi="Times New Roman"/>
          <w:b/>
        </w:rPr>
        <w:t>ID</w:t>
      </w:r>
      <w:r w:rsidR="00D767CD">
        <w:rPr>
          <w:rFonts w:ascii="Times New Roman" w:hAnsi="Times New Roman"/>
          <w:b/>
        </w:rPr>
        <w:t>-B</w:t>
      </w:r>
      <w:r w:rsidRPr="00422472">
        <w:rPr>
          <w:rFonts w:ascii="Times New Roman" w:hAnsi="Times New Roman"/>
          <w:b/>
        </w:rPr>
        <w:t>AND</w:t>
      </w:r>
      <w:r w:rsidR="00D767CD">
        <w:rPr>
          <w:rFonts w:ascii="Times New Roman" w:hAnsi="Times New Roman"/>
          <w:b/>
        </w:rPr>
        <w:t xml:space="preserve"> GAP</w:t>
      </w:r>
      <w:r w:rsidRPr="00422472">
        <w:rPr>
          <w:rFonts w:ascii="Times New Roman" w:hAnsi="Times New Roman"/>
          <w:b/>
        </w:rPr>
        <w:t xml:space="preserve">) DETERMINATION </w:t>
      </w:r>
      <w:r w:rsidR="00D767CD">
        <w:rPr>
          <w:rFonts w:ascii="Times New Roman" w:hAnsi="Times New Roman"/>
          <w:b/>
        </w:rPr>
        <w:t>2013</w:t>
      </w:r>
    </w:p>
    <w:p w:rsidR="00191C18" w:rsidRPr="00C22933" w:rsidRDefault="0046773B" w:rsidP="00191C18">
      <w:pPr>
        <w:rPr>
          <w:rFonts w:ascii="Times New Roman" w:hAnsi="Times New Roman"/>
          <w:b/>
          <w:sz w:val="24"/>
          <w:szCs w:val="24"/>
        </w:rPr>
      </w:pPr>
      <w:r w:rsidRPr="00C22933">
        <w:rPr>
          <w:rFonts w:ascii="Times New Roman" w:hAnsi="Times New Roman"/>
          <w:b/>
          <w:sz w:val="24"/>
          <w:szCs w:val="24"/>
        </w:rPr>
        <w:t>Section 1 – Name of Determination</w:t>
      </w:r>
    </w:p>
    <w:p w:rsidR="00C22933" w:rsidRPr="00C22933" w:rsidRDefault="0046773B" w:rsidP="00C22933">
      <w:pPr>
        <w:pStyle w:val="BodyText"/>
        <w:spacing w:before="80" w:line="280" w:lineRule="atLeast"/>
        <w:jc w:val="left"/>
      </w:pPr>
      <w:r w:rsidRPr="00C22933">
        <w:rPr>
          <w:sz w:val="24"/>
          <w:szCs w:val="24"/>
        </w:rPr>
        <w:t xml:space="preserve">This section provides that the Determination is to be cited as the </w:t>
      </w:r>
      <w:r w:rsidRPr="00C22933">
        <w:rPr>
          <w:i/>
          <w:sz w:val="24"/>
          <w:szCs w:val="24"/>
        </w:rPr>
        <w:t>Radiocommunications (Spectrum Access Charges — 2.5 GHz Mid-band Gap) Determination 2013.</w:t>
      </w:r>
    </w:p>
    <w:p w:rsidR="0046773B" w:rsidRPr="00C22933" w:rsidRDefault="0046773B" w:rsidP="00191C18">
      <w:pPr>
        <w:rPr>
          <w:rFonts w:ascii="Times New Roman" w:hAnsi="Times New Roman"/>
          <w:b/>
          <w:sz w:val="24"/>
          <w:szCs w:val="24"/>
        </w:rPr>
      </w:pPr>
      <w:r w:rsidRPr="00C22933">
        <w:rPr>
          <w:rFonts w:ascii="Times New Roman" w:hAnsi="Times New Roman"/>
          <w:b/>
          <w:sz w:val="24"/>
          <w:szCs w:val="24"/>
        </w:rPr>
        <w:t>Section 2 – Commencement</w:t>
      </w:r>
    </w:p>
    <w:p w:rsidR="00C22933" w:rsidRPr="00C22933" w:rsidRDefault="0046773B" w:rsidP="00191C18">
      <w:pPr>
        <w:rPr>
          <w:rFonts w:ascii="Times New Roman" w:hAnsi="Times New Roman"/>
          <w:sz w:val="24"/>
          <w:szCs w:val="24"/>
        </w:rPr>
      </w:pPr>
      <w:r w:rsidRPr="00C22933">
        <w:rPr>
          <w:rFonts w:ascii="Times New Roman" w:hAnsi="Times New Roman"/>
          <w:sz w:val="24"/>
          <w:szCs w:val="24"/>
        </w:rPr>
        <w:t xml:space="preserve">This section states that the Determination will commence </w:t>
      </w:r>
      <w:r w:rsidR="00C22933">
        <w:rPr>
          <w:rFonts w:ascii="Times New Roman" w:hAnsi="Times New Roman"/>
          <w:sz w:val="24"/>
          <w:szCs w:val="24"/>
        </w:rPr>
        <w:t xml:space="preserve">on </w:t>
      </w:r>
      <w:r w:rsidRPr="00C22933">
        <w:rPr>
          <w:rFonts w:ascii="Times New Roman" w:hAnsi="Times New Roman"/>
          <w:sz w:val="24"/>
          <w:szCs w:val="24"/>
        </w:rPr>
        <w:t xml:space="preserve">the day after it is registered. </w:t>
      </w:r>
    </w:p>
    <w:p w:rsidR="007762DD" w:rsidRDefault="007762DD" w:rsidP="007762DD">
      <w:pPr>
        <w:rPr>
          <w:rFonts w:ascii="Times New Roman" w:hAnsi="Times New Roman"/>
          <w:b/>
          <w:sz w:val="24"/>
          <w:szCs w:val="24"/>
        </w:rPr>
      </w:pPr>
      <w:r w:rsidRPr="00C22933">
        <w:rPr>
          <w:rFonts w:ascii="Times New Roman" w:hAnsi="Times New Roman"/>
          <w:b/>
          <w:sz w:val="24"/>
          <w:szCs w:val="24"/>
        </w:rPr>
        <w:t xml:space="preserve">Section 3 </w:t>
      </w:r>
      <w:r>
        <w:rPr>
          <w:rFonts w:ascii="Times New Roman" w:hAnsi="Times New Roman"/>
          <w:b/>
          <w:sz w:val="24"/>
          <w:szCs w:val="24"/>
        </w:rPr>
        <w:t>–</w:t>
      </w:r>
      <w:r w:rsidRPr="00C22933">
        <w:rPr>
          <w:rFonts w:ascii="Times New Roman" w:hAnsi="Times New Roman"/>
          <w:b/>
          <w:sz w:val="24"/>
          <w:szCs w:val="24"/>
        </w:rPr>
        <w:t xml:space="preserve"> </w:t>
      </w:r>
      <w:r>
        <w:rPr>
          <w:rFonts w:ascii="Times New Roman" w:hAnsi="Times New Roman"/>
          <w:b/>
          <w:sz w:val="24"/>
          <w:szCs w:val="24"/>
        </w:rPr>
        <w:t>Definitions and interpretation</w:t>
      </w:r>
    </w:p>
    <w:p w:rsidR="007762DD" w:rsidRPr="007762DD" w:rsidRDefault="007762DD" w:rsidP="007762DD">
      <w:pPr>
        <w:rPr>
          <w:rFonts w:ascii="Times New Roman" w:hAnsi="Times New Roman"/>
          <w:sz w:val="24"/>
          <w:szCs w:val="24"/>
        </w:rPr>
      </w:pPr>
      <w:r>
        <w:rPr>
          <w:rFonts w:ascii="Times New Roman" w:hAnsi="Times New Roman"/>
          <w:sz w:val="24"/>
          <w:szCs w:val="24"/>
        </w:rPr>
        <w:t xml:space="preserve">This section provides definitions for terms used in the Determination. </w:t>
      </w:r>
    </w:p>
    <w:p w:rsidR="00C22933" w:rsidRPr="00C22933" w:rsidRDefault="0046773B" w:rsidP="00191C18">
      <w:pPr>
        <w:rPr>
          <w:rFonts w:ascii="Times New Roman" w:hAnsi="Times New Roman"/>
          <w:b/>
          <w:sz w:val="24"/>
          <w:szCs w:val="24"/>
        </w:rPr>
      </w:pPr>
      <w:r w:rsidRPr="00C22933">
        <w:rPr>
          <w:rFonts w:ascii="Times New Roman" w:hAnsi="Times New Roman"/>
          <w:b/>
          <w:sz w:val="24"/>
          <w:szCs w:val="24"/>
        </w:rPr>
        <w:t xml:space="preserve">Section </w:t>
      </w:r>
      <w:r w:rsidR="00957D4A">
        <w:rPr>
          <w:rFonts w:ascii="Times New Roman" w:hAnsi="Times New Roman"/>
          <w:b/>
          <w:sz w:val="24"/>
          <w:szCs w:val="24"/>
        </w:rPr>
        <w:t>4</w:t>
      </w:r>
      <w:r w:rsidR="00C22933" w:rsidRPr="00C22933">
        <w:rPr>
          <w:rFonts w:ascii="Times New Roman" w:hAnsi="Times New Roman"/>
          <w:b/>
          <w:sz w:val="24"/>
          <w:szCs w:val="24"/>
        </w:rPr>
        <w:t xml:space="preserve"> - </w:t>
      </w:r>
      <w:r w:rsidRPr="00C22933">
        <w:rPr>
          <w:rFonts w:ascii="Times New Roman" w:hAnsi="Times New Roman"/>
          <w:b/>
          <w:sz w:val="24"/>
          <w:szCs w:val="24"/>
        </w:rPr>
        <w:t>Spectrum access charge payable</w:t>
      </w:r>
    </w:p>
    <w:p w:rsidR="00CD6B99" w:rsidRDefault="00AD537E" w:rsidP="00210B4B">
      <w:pPr>
        <w:rPr>
          <w:rFonts w:ascii="Times New Roman" w:eastAsiaTheme="minorHAnsi" w:hAnsi="Times New Roman"/>
        </w:rPr>
      </w:pPr>
      <w:r>
        <w:rPr>
          <w:rFonts w:ascii="Times New Roman" w:hAnsi="Times New Roman"/>
          <w:sz w:val="24"/>
          <w:szCs w:val="24"/>
        </w:rPr>
        <w:t xml:space="preserve">This section </w:t>
      </w:r>
      <w:r w:rsidR="00C22933" w:rsidRPr="00C22933">
        <w:rPr>
          <w:rFonts w:ascii="Times New Roman" w:hAnsi="Times New Roman"/>
          <w:sz w:val="24"/>
          <w:szCs w:val="24"/>
        </w:rPr>
        <w:t xml:space="preserve">provides </w:t>
      </w:r>
      <w:r w:rsidR="00CD6B99">
        <w:rPr>
          <w:rFonts w:ascii="Times New Roman" w:hAnsi="Times New Roman"/>
          <w:sz w:val="24"/>
          <w:szCs w:val="24"/>
        </w:rPr>
        <w:t xml:space="preserve">that </w:t>
      </w:r>
      <w:r w:rsidR="00C22933" w:rsidRPr="00C22933">
        <w:rPr>
          <w:rFonts w:ascii="Times New Roman" w:hAnsi="Times New Roman"/>
          <w:sz w:val="24"/>
          <w:szCs w:val="24"/>
        </w:rPr>
        <w:t xml:space="preserve">the amount of spectrum charge payable by </w:t>
      </w:r>
      <w:r w:rsidR="007762DD">
        <w:rPr>
          <w:rFonts w:ascii="Times New Roman" w:hAnsi="Times New Roman"/>
          <w:sz w:val="24"/>
          <w:szCs w:val="24"/>
        </w:rPr>
        <w:t xml:space="preserve">each </w:t>
      </w:r>
      <w:r w:rsidR="005B72C0" w:rsidRPr="00C22933">
        <w:rPr>
          <w:rFonts w:ascii="Times New Roman" w:hAnsi="Times New Roman"/>
          <w:sz w:val="24"/>
          <w:szCs w:val="24"/>
        </w:rPr>
        <w:t>licensee</w:t>
      </w:r>
      <w:r w:rsidR="00C22933" w:rsidRPr="00C22933">
        <w:rPr>
          <w:rFonts w:ascii="Times New Roman" w:hAnsi="Times New Roman"/>
          <w:sz w:val="24"/>
          <w:szCs w:val="24"/>
        </w:rPr>
        <w:t xml:space="preserve"> </w:t>
      </w:r>
      <w:r>
        <w:rPr>
          <w:rFonts w:ascii="Times New Roman" w:hAnsi="Times New Roman"/>
          <w:sz w:val="24"/>
          <w:szCs w:val="24"/>
        </w:rPr>
        <w:t xml:space="preserve">listed in the table for the issue of a spectrum licence </w:t>
      </w:r>
      <w:r w:rsidR="007762DD">
        <w:rPr>
          <w:rFonts w:ascii="Times New Roman" w:hAnsi="Times New Roman"/>
          <w:sz w:val="24"/>
          <w:szCs w:val="24"/>
        </w:rPr>
        <w:t xml:space="preserve">in the bandwidths mentioned in column 2 of the table, and for the geographic areas specified in Schedule 1 to the </w:t>
      </w:r>
      <w:r w:rsidR="007762DD">
        <w:rPr>
          <w:rFonts w:ascii="Times New Roman" w:hAnsi="Times New Roman"/>
          <w:i/>
          <w:sz w:val="24"/>
          <w:szCs w:val="24"/>
        </w:rPr>
        <w:t>Radiocommunications Spectrum Conversion Plan (2.5 GHz Mid-band Gap) 2012</w:t>
      </w:r>
      <w:r w:rsidR="00A35496">
        <w:rPr>
          <w:rFonts w:ascii="Times New Roman" w:hAnsi="Times New Roman"/>
          <w:i/>
          <w:sz w:val="24"/>
          <w:szCs w:val="24"/>
        </w:rPr>
        <w:t>,</w:t>
      </w:r>
      <w:r w:rsidR="007762DD">
        <w:rPr>
          <w:rFonts w:ascii="Times New Roman" w:hAnsi="Times New Roman"/>
          <w:i/>
          <w:sz w:val="24"/>
          <w:szCs w:val="24"/>
        </w:rPr>
        <w:t xml:space="preserve"> </w:t>
      </w:r>
      <w:r>
        <w:rPr>
          <w:rFonts w:ascii="Times New Roman" w:hAnsi="Times New Roman"/>
          <w:sz w:val="24"/>
          <w:szCs w:val="24"/>
        </w:rPr>
        <w:t xml:space="preserve">is </w:t>
      </w:r>
      <w:r w:rsidR="00C22933" w:rsidRPr="00C22933">
        <w:rPr>
          <w:rFonts w:ascii="Times New Roman" w:hAnsi="Times New Roman"/>
          <w:sz w:val="24"/>
          <w:szCs w:val="24"/>
        </w:rPr>
        <w:t xml:space="preserve">$259,403.20. </w:t>
      </w:r>
    </w:p>
    <w:p w:rsidR="00C22933" w:rsidRPr="00C22933" w:rsidRDefault="00C22933" w:rsidP="00C22933">
      <w:pPr>
        <w:spacing w:before="100" w:beforeAutospacing="1" w:after="100" w:afterAutospacing="1" w:line="240" w:lineRule="auto"/>
        <w:jc w:val="both"/>
        <w:rPr>
          <w:rFonts w:ascii="Times New Roman" w:eastAsia="Times New Roman" w:hAnsi="Times New Roman"/>
          <w:sz w:val="24"/>
          <w:szCs w:val="24"/>
          <w:lang w:eastAsia="en-AU"/>
        </w:rPr>
      </w:pPr>
      <w:r w:rsidRPr="00C22933">
        <w:rPr>
          <w:rFonts w:ascii="Times New Roman" w:eastAsia="Times New Roman" w:hAnsi="Times New Roman"/>
          <w:b/>
          <w:bCs/>
          <w:sz w:val="24"/>
          <w:szCs w:val="24"/>
          <w:lang w:eastAsia="en-AU"/>
        </w:rPr>
        <w:t xml:space="preserve">Section </w:t>
      </w:r>
      <w:r w:rsidR="00957D4A">
        <w:rPr>
          <w:rFonts w:ascii="Times New Roman" w:eastAsia="Times New Roman" w:hAnsi="Times New Roman"/>
          <w:b/>
          <w:bCs/>
          <w:sz w:val="24"/>
          <w:szCs w:val="24"/>
          <w:lang w:eastAsia="en-AU"/>
        </w:rPr>
        <w:t>5</w:t>
      </w:r>
      <w:r w:rsidRPr="00C22933">
        <w:rPr>
          <w:rFonts w:ascii="Times New Roman" w:eastAsia="Times New Roman" w:hAnsi="Times New Roman"/>
          <w:b/>
          <w:bCs/>
          <w:sz w:val="24"/>
          <w:szCs w:val="24"/>
          <w:lang w:eastAsia="en-AU"/>
        </w:rPr>
        <w:t xml:space="preserve"> – When spectrum access charge is payable</w:t>
      </w:r>
    </w:p>
    <w:p w:rsidR="00C22933" w:rsidRPr="00C22933" w:rsidRDefault="00C22933" w:rsidP="00C22933">
      <w:pPr>
        <w:spacing w:before="100" w:beforeAutospacing="1" w:after="100" w:afterAutospacing="1" w:line="240" w:lineRule="auto"/>
        <w:jc w:val="both"/>
        <w:rPr>
          <w:rFonts w:ascii="Times New Roman" w:eastAsia="Times New Roman" w:hAnsi="Times New Roman"/>
          <w:sz w:val="24"/>
          <w:szCs w:val="24"/>
          <w:lang w:eastAsia="en-AU"/>
        </w:rPr>
      </w:pPr>
      <w:r w:rsidRPr="00C22933">
        <w:rPr>
          <w:rFonts w:ascii="Times New Roman" w:eastAsia="Times New Roman" w:hAnsi="Times New Roman"/>
          <w:sz w:val="24"/>
          <w:szCs w:val="24"/>
          <w:lang w:eastAsia="en-AU"/>
        </w:rPr>
        <w:t>This section provides the date that payment is required for spectrum access charges.</w:t>
      </w:r>
      <w:r w:rsidRPr="00C22933">
        <w:rPr>
          <w:rFonts w:ascii="Times New Roman" w:eastAsia="Times New Roman" w:hAnsi="Times New Roman"/>
          <w:b/>
          <w:bCs/>
          <w:sz w:val="24"/>
          <w:szCs w:val="24"/>
          <w:lang w:eastAsia="en-AU"/>
        </w:rPr>
        <w:t xml:space="preserve"> </w:t>
      </w:r>
      <w:r w:rsidRPr="00C22933">
        <w:rPr>
          <w:rFonts w:ascii="Times New Roman" w:eastAsia="Times New Roman" w:hAnsi="Times New Roman"/>
          <w:sz w:val="24"/>
          <w:szCs w:val="24"/>
          <w:lang w:eastAsia="en-AU"/>
        </w:rPr>
        <w:t>The ACMA has determined that full payment of the spectrum access charge for each licence to be issued is to be made on or before 1 August 2014.</w:t>
      </w:r>
    </w:p>
    <w:p w:rsidR="00C22933" w:rsidRPr="00C22933" w:rsidRDefault="00C22933" w:rsidP="00C22933">
      <w:pPr>
        <w:spacing w:before="100" w:beforeAutospacing="1" w:after="100" w:afterAutospacing="1" w:line="240" w:lineRule="auto"/>
        <w:jc w:val="both"/>
        <w:rPr>
          <w:rFonts w:ascii="Times New Roman" w:eastAsia="Times New Roman" w:hAnsi="Times New Roman"/>
          <w:sz w:val="24"/>
          <w:szCs w:val="24"/>
          <w:lang w:eastAsia="en-AU"/>
        </w:rPr>
      </w:pPr>
      <w:r w:rsidRPr="00C22933">
        <w:rPr>
          <w:rFonts w:ascii="Times New Roman" w:eastAsia="Times New Roman" w:hAnsi="Times New Roman"/>
          <w:b/>
          <w:bCs/>
          <w:sz w:val="24"/>
          <w:szCs w:val="24"/>
          <w:lang w:eastAsia="en-AU"/>
        </w:rPr>
        <w:t xml:space="preserve">Section </w:t>
      </w:r>
      <w:r w:rsidR="00957D4A">
        <w:rPr>
          <w:rFonts w:ascii="Times New Roman" w:eastAsia="Times New Roman" w:hAnsi="Times New Roman"/>
          <w:b/>
          <w:bCs/>
          <w:sz w:val="24"/>
          <w:szCs w:val="24"/>
          <w:lang w:eastAsia="en-AU"/>
        </w:rPr>
        <w:t>6</w:t>
      </w:r>
      <w:r w:rsidRPr="00C22933">
        <w:rPr>
          <w:rFonts w:ascii="Times New Roman" w:eastAsia="Times New Roman" w:hAnsi="Times New Roman"/>
          <w:b/>
          <w:bCs/>
          <w:sz w:val="24"/>
          <w:szCs w:val="24"/>
          <w:lang w:eastAsia="en-AU"/>
        </w:rPr>
        <w:t>– Expiry</w:t>
      </w:r>
    </w:p>
    <w:p w:rsidR="007068FA" w:rsidRPr="00D767CD" w:rsidRDefault="00C22933">
      <w:pPr>
        <w:rPr>
          <w:rFonts w:ascii="Times New Roman" w:hAnsi="Times New Roman"/>
          <w:b/>
        </w:rPr>
      </w:pPr>
      <w:r w:rsidRPr="00C22933">
        <w:rPr>
          <w:rFonts w:ascii="Times New Roman" w:eastAsia="Times New Roman" w:hAnsi="Times New Roman"/>
          <w:sz w:val="24"/>
          <w:szCs w:val="24"/>
          <w:lang w:eastAsia="en-AU"/>
        </w:rPr>
        <w:t>This section provides that the Determination ceases to have effect at the end of 2 October 2014.</w:t>
      </w:r>
      <w:r w:rsidRPr="00C22933">
        <w:rPr>
          <w:rFonts w:ascii="Arial" w:eastAsia="Times New Roman" w:hAnsi="Arial" w:cs="Arial"/>
          <w:sz w:val="20"/>
          <w:szCs w:val="20"/>
          <w:lang w:eastAsia="en-AU"/>
        </w:rPr>
        <w:br w:type="page"/>
      </w:r>
    </w:p>
    <w:p w:rsidR="00BD5310" w:rsidRPr="00703A97" w:rsidRDefault="00BD5310" w:rsidP="00BD5310">
      <w:pPr>
        <w:spacing w:after="0" w:line="240" w:lineRule="auto"/>
        <w:jc w:val="right"/>
        <w:rPr>
          <w:rFonts w:ascii="Times New Roman" w:eastAsia="Times New Roman" w:hAnsi="Times New Roman"/>
          <w:b/>
          <w:lang w:eastAsia="en-AU"/>
        </w:rPr>
      </w:pPr>
      <w:r w:rsidRPr="00703A97">
        <w:rPr>
          <w:rFonts w:ascii="Times New Roman" w:eastAsia="Times New Roman" w:hAnsi="Times New Roman"/>
          <w:b/>
          <w:lang w:eastAsia="en-AU"/>
        </w:rPr>
        <w:t xml:space="preserve">Attachment </w:t>
      </w:r>
      <w:r w:rsidR="007C6B2F">
        <w:rPr>
          <w:rFonts w:ascii="Times New Roman" w:eastAsia="Times New Roman" w:hAnsi="Times New Roman"/>
          <w:b/>
          <w:lang w:eastAsia="en-AU"/>
        </w:rPr>
        <w:t>2</w:t>
      </w:r>
    </w:p>
    <w:p w:rsidR="00BD5310" w:rsidRDefault="00BD5310" w:rsidP="00947B7F">
      <w:pPr>
        <w:jc w:val="center"/>
        <w:rPr>
          <w:rFonts w:ascii="Times New Roman" w:hAnsi="Times New Roman"/>
          <w:b/>
        </w:rPr>
      </w:pPr>
    </w:p>
    <w:p w:rsidR="00BD5310" w:rsidRDefault="00BD5310" w:rsidP="00947B7F">
      <w:pPr>
        <w:jc w:val="center"/>
        <w:rPr>
          <w:rFonts w:ascii="Times New Roman" w:hAnsi="Times New Roman"/>
          <w:b/>
        </w:rPr>
      </w:pPr>
    </w:p>
    <w:p w:rsidR="00947B7F" w:rsidRPr="006868A7" w:rsidRDefault="00947B7F" w:rsidP="00947B7F">
      <w:pPr>
        <w:jc w:val="center"/>
        <w:rPr>
          <w:rFonts w:ascii="Times New Roman" w:hAnsi="Times New Roman"/>
          <w:b/>
        </w:rPr>
      </w:pPr>
      <w:r w:rsidRPr="006868A7">
        <w:rPr>
          <w:rFonts w:ascii="Times New Roman" w:hAnsi="Times New Roman"/>
          <w:b/>
        </w:rPr>
        <w:t>Statement of Compatibility with Human Rights</w:t>
      </w:r>
    </w:p>
    <w:p w:rsidR="00947B7F" w:rsidRPr="007A3336" w:rsidRDefault="00947B7F" w:rsidP="00947B7F">
      <w:pPr>
        <w:spacing w:before="120" w:after="120" w:line="240" w:lineRule="auto"/>
        <w:jc w:val="center"/>
        <w:rPr>
          <w:rFonts w:ascii="Times New Roman" w:eastAsia="Times New Roman" w:hAnsi="Times New Roman"/>
          <w:i/>
          <w:lang w:eastAsia="en-AU"/>
        </w:rPr>
      </w:pPr>
      <w:r w:rsidRPr="007A3336">
        <w:rPr>
          <w:rFonts w:ascii="Times New Roman" w:eastAsia="Times New Roman" w:hAnsi="Times New Roman"/>
          <w:lang w:eastAsia="en-AU"/>
        </w:rPr>
        <w:t xml:space="preserve">Prepared in accordance with Part 3 of the </w:t>
      </w:r>
      <w:r w:rsidRPr="007A3336">
        <w:rPr>
          <w:rFonts w:ascii="Times New Roman" w:eastAsia="Times New Roman" w:hAnsi="Times New Roman"/>
          <w:i/>
          <w:lang w:eastAsia="en-AU"/>
        </w:rPr>
        <w:t>Human Rights (Parliamentary Scrutiny) Act 2011</w:t>
      </w:r>
    </w:p>
    <w:p w:rsidR="00947B7F" w:rsidRPr="007A3336" w:rsidRDefault="00947B7F" w:rsidP="00947B7F">
      <w:pPr>
        <w:spacing w:before="120" w:after="120"/>
        <w:jc w:val="center"/>
        <w:rPr>
          <w:rFonts w:ascii="Times New Roman" w:hAnsi="Times New Roman"/>
        </w:rPr>
      </w:pPr>
    </w:p>
    <w:p w:rsidR="00947B7F" w:rsidRPr="007A3336" w:rsidRDefault="00947B7F" w:rsidP="00947B7F">
      <w:pPr>
        <w:spacing w:before="120" w:after="120" w:line="240" w:lineRule="auto"/>
        <w:jc w:val="center"/>
        <w:rPr>
          <w:rFonts w:ascii="Times New Roman" w:hAnsi="Times New Roman"/>
          <w:i/>
        </w:rPr>
      </w:pPr>
      <w:r w:rsidRPr="007A3336">
        <w:rPr>
          <w:rFonts w:ascii="Times New Roman" w:hAnsi="Times New Roman"/>
          <w:i/>
        </w:rPr>
        <w:t>Radiocommunications (Spectrum Access Charges — 2.5 GHz Mid-band Gap)</w:t>
      </w:r>
      <w:r w:rsidR="00D93D19">
        <w:rPr>
          <w:rFonts w:ascii="Times New Roman" w:hAnsi="Times New Roman"/>
          <w:i/>
        </w:rPr>
        <w:t xml:space="preserve"> </w:t>
      </w:r>
      <w:r w:rsidRPr="007A3336">
        <w:rPr>
          <w:rFonts w:ascii="Times New Roman" w:hAnsi="Times New Roman"/>
          <w:i/>
        </w:rPr>
        <w:t>Determination 2013</w:t>
      </w:r>
    </w:p>
    <w:p w:rsidR="00947B7F" w:rsidRPr="007A3336" w:rsidRDefault="00947B7F" w:rsidP="00947B7F">
      <w:pPr>
        <w:spacing w:before="120" w:after="120" w:line="240" w:lineRule="auto"/>
        <w:rPr>
          <w:rFonts w:ascii="Times New Roman" w:hAnsi="Times New Roman"/>
          <w:i/>
        </w:rPr>
      </w:pPr>
    </w:p>
    <w:p w:rsidR="00947B7F" w:rsidRPr="007A3336" w:rsidRDefault="00947B7F" w:rsidP="00947B7F">
      <w:pPr>
        <w:spacing w:before="120" w:after="120" w:line="240" w:lineRule="auto"/>
        <w:rPr>
          <w:rFonts w:ascii="Times New Roman" w:eastAsia="Times New Roman" w:hAnsi="Times New Roman"/>
          <w:lang w:eastAsia="en-AU"/>
        </w:rPr>
      </w:pPr>
      <w:r w:rsidRPr="007A3336">
        <w:rPr>
          <w:rFonts w:ascii="Times New Roman" w:eastAsia="Times New Roman" w:hAnsi="Times New Roman"/>
          <w:lang w:eastAsia="en-AU"/>
        </w:rPr>
        <w:t xml:space="preserve">This Legislative Instrument is compatible with the human rights and freedoms recognised or declared in the international instruments listed in section 3 of the </w:t>
      </w:r>
      <w:r w:rsidRPr="007A3336">
        <w:rPr>
          <w:rFonts w:ascii="Times New Roman" w:eastAsia="Times New Roman" w:hAnsi="Times New Roman"/>
          <w:i/>
          <w:lang w:eastAsia="en-AU"/>
        </w:rPr>
        <w:t>Human Rights (Parliamentary Scrutiny) Act 2011.</w:t>
      </w:r>
    </w:p>
    <w:p w:rsidR="00947B7F" w:rsidRPr="007A3336" w:rsidRDefault="00947B7F" w:rsidP="00947B7F">
      <w:pPr>
        <w:spacing w:before="120" w:after="120" w:line="240" w:lineRule="auto"/>
        <w:jc w:val="both"/>
        <w:rPr>
          <w:rFonts w:ascii="Times New Roman" w:eastAsia="Times New Roman" w:hAnsi="Times New Roman"/>
          <w:b/>
          <w:lang w:eastAsia="en-AU"/>
        </w:rPr>
      </w:pPr>
    </w:p>
    <w:p w:rsidR="00947B7F" w:rsidRPr="00703A97" w:rsidRDefault="00947B7F" w:rsidP="00947B7F">
      <w:pPr>
        <w:spacing w:before="120" w:after="120" w:line="240" w:lineRule="auto"/>
        <w:jc w:val="both"/>
        <w:rPr>
          <w:rFonts w:ascii="Times New Roman" w:eastAsia="Times New Roman" w:hAnsi="Times New Roman"/>
          <w:b/>
          <w:lang w:eastAsia="en-AU"/>
        </w:rPr>
      </w:pPr>
      <w:r w:rsidRPr="00703A97">
        <w:rPr>
          <w:rFonts w:ascii="Times New Roman" w:eastAsia="Times New Roman" w:hAnsi="Times New Roman"/>
          <w:b/>
          <w:lang w:eastAsia="en-AU"/>
        </w:rPr>
        <w:t>Overview of the Legislative Instrument</w:t>
      </w:r>
    </w:p>
    <w:p w:rsidR="00947B7F" w:rsidRPr="00947B7F" w:rsidRDefault="00947B7F" w:rsidP="00947B7F">
      <w:pPr>
        <w:spacing w:before="120" w:after="120" w:line="240" w:lineRule="auto"/>
        <w:rPr>
          <w:i/>
        </w:rPr>
      </w:pPr>
      <w:r w:rsidRPr="00947B7F">
        <w:rPr>
          <w:rFonts w:ascii="Times New Roman" w:hAnsi="Times New Roman"/>
        </w:rPr>
        <w:t xml:space="preserve">The </w:t>
      </w:r>
      <w:r w:rsidRPr="007A3336">
        <w:rPr>
          <w:rFonts w:ascii="Times New Roman" w:hAnsi="Times New Roman"/>
          <w:i/>
        </w:rPr>
        <w:t>Radiocommunications (Spectrum Access Charges — 2.5 GHz Mid-band Gap) Determination 2013</w:t>
      </w:r>
      <w:r w:rsidRPr="00947B7F">
        <w:rPr>
          <w:rFonts w:ascii="Times New Roman" w:hAnsi="Times New Roman"/>
          <w:i/>
        </w:rPr>
        <w:t xml:space="preserve"> </w:t>
      </w:r>
      <w:r w:rsidR="00B72086">
        <w:rPr>
          <w:rFonts w:ascii="Times New Roman" w:hAnsi="Times New Roman"/>
        </w:rPr>
        <w:t xml:space="preserve">(the </w:t>
      </w:r>
      <w:r w:rsidR="00B72086">
        <w:rPr>
          <w:rFonts w:ascii="Times New Roman" w:hAnsi="Times New Roman"/>
          <w:b/>
        </w:rPr>
        <w:t>Determination</w:t>
      </w:r>
      <w:r w:rsidR="00B72086" w:rsidRPr="00B72086">
        <w:rPr>
          <w:rFonts w:ascii="Times New Roman" w:hAnsi="Times New Roman"/>
        </w:rPr>
        <w:t xml:space="preserve">) </w:t>
      </w:r>
      <w:r w:rsidRPr="00947B7F">
        <w:rPr>
          <w:rFonts w:ascii="Times New Roman" w:hAnsi="Times New Roman"/>
        </w:rPr>
        <w:t>is a legislative instrument made under</w:t>
      </w:r>
      <w:r w:rsidRPr="00947B7F">
        <w:rPr>
          <w:rFonts w:ascii="Times New Roman" w:hAnsi="Times New Roman"/>
          <w:i/>
        </w:rPr>
        <w:t xml:space="preserve"> </w:t>
      </w:r>
      <w:r w:rsidR="00557931">
        <w:rPr>
          <w:rFonts w:ascii="Times New Roman" w:hAnsi="Times New Roman"/>
          <w:color w:val="262626" w:themeColor="text1" w:themeTint="D9"/>
        </w:rPr>
        <w:t>s</w:t>
      </w:r>
      <w:r w:rsidRPr="00947B7F">
        <w:rPr>
          <w:rFonts w:ascii="Times New Roman" w:hAnsi="Times New Roman"/>
          <w:color w:val="262626" w:themeColor="text1" w:themeTint="D9"/>
        </w:rPr>
        <w:t xml:space="preserve">ubsection 294(1) of the </w:t>
      </w:r>
      <w:r w:rsidRPr="00947B7F">
        <w:rPr>
          <w:rFonts w:ascii="Times New Roman" w:hAnsi="Times New Roman"/>
          <w:i/>
          <w:color w:val="262626" w:themeColor="text1" w:themeTint="D9"/>
        </w:rPr>
        <w:t>Radiocommunications Act 1992</w:t>
      </w:r>
      <w:r w:rsidRPr="00947B7F">
        <w:rPr>
          <w:rFonts w:ascii="Times New Roman" w:hAnsi="Times New Roman"/>
          <w:color w:val="262626" w:themeColor="text1" w:themeTint="D9"/>
        </w:rPr>
        <w:t xml:space="preserve">.  The </w:t>
      </w:r>
      <w:r w:rsidR="00B72086">
        <w:rPr>
          <w:rFonts w:ascii="Times New Roman" w:hAnsi="Times New Roman"/>
          <w:color w:val="262626" w:themeColor="text1" w:themeTint="D9"/>
        </w:rPr>
        <w:t xml:space="preserve">Determination fixes the spectrum access charges for licensees in the frequency band 2570-2620 MHz and also </w:t>
      </w:r>
      <w:r w:rsidRPr="00947B7F">
        <w:rPr>
          <w:rFonts w:ascii="Times New Roman" w:hAnsi="Times New Roman"/>
          <w:color w:val="262626" w:themeColor="text1" w:themeTint="D9"/>
        </w:rPr>
        <w:t>specif</w:t>
      </w:r>
      <w:r w:rsidR="00B72086">
        <w:rPr>
          <w:rFonts w:ascii="Times New Roman" w:hAnsi="Times New Roman"/>
          <w:color w:val="262626" w:themeColor="text1" w:themeTint="D9"/>
        </w:rPr>
        <w:t xml:space="preserve">ies </w:t>
      </w:r>
      <w:r w:rsidRPr="00947B7F">
        <w:rPr>
          <w:rFonts w:ascii="Times New Roman" w:hAnsi="Times New Roman"/>
          <w:color w:val="262626" w:themeColor="text1" w:themeTint="D9"/>
        </w:rPr>
        <w:t xml:space="preserve">when </w:t>
      </w:r>
      <w:r w:rsidR="00B72086">
        <w:rPr>
          <w:rFonts w:ascii="Times New Roman" w:hAnsi="Times New Roman"/>
          <w:color w:val="262626" w:themeColor="text1" w:themeTint="D9"/>
        </w:rPr>
        <w:t xml:space="preserve">the </w:t>
      </w:r>
      <w:r w:rsidRPr="00947B7F">
        <w:rPr>
          <w:rFonts w:ascii="Times New Roman" w:hAnsi="Times New Roman"/>
          <w:color w:val="262626" w:themeColor="text1" w:themeTint="D9"/>
        </w:rPr>
        <w:t>spectrum access charges are payable</w:t>
      </w:r>
      <w:r w:rsidRPr="00BC0A6B">
        <w:rPr>
          <w:rFonts w:ascii="Times New Roman" w:hAnsi="Times New Roman"/>
          <w:color w:val="262626" w:themeColor="text1" w:themeTint="D9"/>
        </w:rPr>
        <w:t xml:space="preserve">. </w:t>
      </w:r>
    </w:p>
    <w:p w:rsidR="00947B7F" w:rsidRPr="00703A97" w:rsidRDefault="00947B7F" w:rsidP="00947B7F">
      <w:pPr>
        <w:pStyle w:val="ACMABodyText"/>
        <w:jc w:val="both"/>
        <w:rPr>
          <w:sz w:val="22"/>
          <w:szCs w:val="22"/>
        </w:rPr>
      </w:pPr>
    </w:p>
    <w:p w:rsidR="00947B7F" w:rsidRPr="00703A97" w:rsidRDefault="00947B7F" w:rsidP="00947B7F">
      <w:pPr>
        <w:spacing w:before="120" w:after="120" w:line="240" w:lineRule="auto"/>
        <w:rPr>
          <w:rFonts w:ascii="Times New Roman" w:eastAsia="Times New Roman" w:hAnsi="Times New Roman"/>
          <w:b/>
          <w:lang w:eastAsia="en-AU"/>
        </w:rPr>
      </w:pPr>
      <w:r w:rsidRPr="00703A97">
        <w:rPr>
          <w:rFonts w:ascii="Times New Roman" w:eastAsia="Times New Roman" w:hAnsi="Times New Roman"/>
          <w:b/>
          <w:lang w:eastAsia="en-AU"/>
        </w:rPr>
        <w:t>Human rights implications</w:t>
      </w:r>
    </w:p>
    <w:p w:rsidR="00947B7F" w:rsidRPr="00703A97" w:rsidRDefault="00947B7F" w:rsidP="00947B7F">
      <w:pPr>
        <w:spacing w:before="120" w:after="120" w:line="240" w:lineRule="auto"/>
        <w:rPr>
          <w:rFonts w:ascii="Times New Roman" w:eastAsia="Times New Roman" w:hAnsi="Times New Roman"/>
          <w:lang w:eastAsia="en-AU"/>
        </w:rPr>
      </w:pPr>
      <w:r w:rsidRPr="00703A97">
        <w:rPr>
          <w:rFonts w:ascii="Times New Roman" w:eastAsia="Times New Roman" w:hAnsi="Times New Roman"/>
          <w:lang w:eastAsia="en-AU"/>
        </w:rPr>
        <w:t xml:space="preserve">This </w:t>
      </w:r>
      <w:r w:rsidR="007A3336">
        <w:rPr>
          <w:rFonts w:ascii="Times New Roman" w:eastAsia="Times New Roman" w:hAnsi="Times New Roman"/>
          <w:lang w:eastAsia="en-AU"/>
        </w:rPr>
        <w:t xml:space="preserve">Determination </w:t>
      </w:r>
      <w:r w:rsidRPr="00703A97">
        <w:rPr>
          <w:rFonts w:ascii="Times New Roman" w:eastAsia="Times New Roman" w:hAnsi="Times New Roman"/>
          <w:lang w:eastAsia="en-AU"/>
        </w:rPr>
        <w:t>does not engage any of the applicable rights or freedoms.</w:t>
      </w:r>
    </w:p>
    <w:p w:rsidR="00947B7F" w:rsidRPr="00703A97" w:rsidRDefault="00947B7F" w:rsidP="00947B7F">
      <w:pPr>
        <w:spacing w:before="120" w:after="120"/>
      </w:pPr>
    </w:p>
    <w:p w:rsidR="00947B7F" w:rsidRPr="00703A97" w:rsidRDefault="00947B7F" w:rsidP="00947B7F">
      <w:pPr>
        <w:spacing w:before="120" w:after="120" w:line="240" w:lineRule="auto"/>
        <w:rPr>
          <w:rFonts w:ascii="Times New Roman" w:eastAsia="Times New Roman" w:hAnsi="Times New Roman"/>
          <w:b/>
          <w:lang w:eastAsia="en-AU"/>
        </w:rPr>
      </w:pPr>
      <w:r w:rsidRPr="00703A97">
        <w:rPr>
          <w:rFonts w:ascii="Times New Roman" w:eastAsia="Times New Roman" w:hAnsi="Times New Roman"/>
          <w:b/>
          <w:lang w:eastAsia="en-AU"/>
        </w:rPr>
        <w:t>Conclusion</w:t>
      </w:r>
    </w:p>
    <w:p w:rsidR="00947B7F" w:rsidRPr="00703A97" w:rsidRDefault="00947B7F" w:rsidP="00947B7F">
      <w:pPr>
        <w:spacing w:before="120" w:after="120" w:line="240" w:lineRule="auto"/>
      </w:pPr>
      <w:r w:rsidRPr="00703A97">
        <w:rPr>
          <w:rFonts w:ascii="Times New Roman" w:eastAsia="Times New Roman" w:hAnsi="Times New Roman"/>
          <w:lang w:eastAsia="en-AU"/>
        </w:rPr>
        <w:t xml:space="preserve">This </w:t>
      </w:r>
      <w:r w:rsidR="007A3336">
        <w:rPr>
          <w:rFonts w:ascii="Times New Roman" w:eastAsia="Times New Roman" w:hAnsi="Times New Roman"/>
          <w:lang w:eastAsia="en-AU"/>
        </w:rPr>
        <w:t xml:space="preserve">Determination </w:t>
      </w:r>
      <w:r w:rsidRPr="00703A97">
        <w:rPr>
          <w:rFonts w:ascii="Times New Roman" w:eastAsia="Times New Roman" w:hAnsi="Times New Roman"/>
          <w:lang w:eastAsia="en-AU"/>
        </w:rPr>
        <w:t>is compatible with human rights as it does not raise any human rights issues.</w:t>
      </w:r>
    </w:p>
    <w:p w:rsidR="0053770F" w:rsidRPr="00703A97" w:rsidRDefault="0053770F" w:rsidP="00191C18">
      <w:pPr>
        <w:spacing w:before="120" w:after="120" w:line="240" w:lineRule="auto"/>
      </w:pPr>
    </w:p>
    <w:sectPr w:rsidR="0053770F" w:rsidRPr="00703A97" w:rsidSect="00E33793">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985" w:rsidRDefault="00944985" w:rsidP="00481080">
      <w:pPr>
        <w:spacing w:after="0" w:line="240" w:lineRule="auto"/>
      </w:pPr>
      <w:r>
        <w:separator/>
      </w:r>
    </w:p>
  </w:endnote>
  <w:endnote w:type="continuationSeparator" w:id="0">
    <w:p w:rsidR="00944985" w:rsidRDefault="00944985" w:rsidP="00481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NeueLT Std Lt">
    <w:altName w:val="Cambria"/>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1785"/>
      <w:docPartObj>
        <w:docPartGallery w:val="Page Numbers (Bottom of Page)"/>
        <w:docPartUnique/>
      </w:docPartObj>
    </w:sdtPr>
    <w:sdtContent>
      <w:p w:rsidR="00B35C4D" w:rsidRDefault="00143127">
        <w:pPr>
          <w:pStyle w:val="Footer"/>
          <w:jc w:val="center"/>
        </w:pPr>
        <w:fldSimple w:instr=" PAGE   \* MERGEFORMAT ">
          <w:r w:rsidR="00022356">
            <w:rPr>
              <w:noProof/>
            </w:rPr>
            <w:t>1</w:t>
          </w:r>
        </w:fldSimple>
      </w:p>
    </w:sdtContent>
  </w:sdt>
  <w:p w:rsidR="00B35C4D" w:rsidRDefault="00B35C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985" w:rsidRDefault="00944985" w:rsidP="00481080">
      <w:pPr>
        <w:spacing w:after="0" w:line="240" w:lineRule="auto"/>
      </w:pPr>
      <w:r>
        <w:separator/>
      </w:r>
    </w:p>
  </w:footnote>
  <w:footnote w:type="continuationSeparator" w:id="0">
    <w:p w:rsidR="00944985" w:rsidRDefault="00944985" w:rsidP="00481080">
      <w:pPr>
        <w:spacing w:after="0" w:line="240" w:lineRule="auto"/>
      </w:pPr>
      <w:r>
        <w:continuationSeparator/>
      </w:r>
    </w:p>
  </w:footnote>
  <w:footnote w:id="1">
    <w:p w:rsidR="00FE5224" w:rsidRPr="00FE5224" w:rsidRDefault="00FE5224">
      <w:pPr>
        <w:pStyle w:val="FootnoteText"/>
      </w:pPr>
      <w:r>
        <w:rPr>
          <w:rStyle w:val="FootnoteReference"/>
        </w:rPr>
        <w:footnoteRef/>
      </w:r>
      <w:r>
        <w:t xml:space="preserve"> See </w:t>
      </w:r>
      <w:r w:rsidR="008957F4" w:rsidRPr="008957F4">
        <w:rPr>
          <w:i/>
        </w:rPr>
        <w:t>Radiocommunications (Transmitter Licence Tax) Amendment Determination 2011 (No. 3)</w:t>
      </w:r>
      <w:r>
        <w:rPr>
          <w:i/>
        </w:rPr>
        <w:t xml:space="preserve">, </w:t>
      </w:r>
      <w:r w:rsidR="008957F4" w:rsidRPr="008957F4">
        <w:t>Schedule 1</w:t>
      </w:r>
      <w:r>
        <w:t xml:space="preserve">, Item 8.  Item 8 substituted Table 702 in Schedule 2, Part 7 of the </w:t>
      </w:r>
      <w:r w:rsidR="008957F4" w:rsidRPr="008957F4">
        <w:rPr>
          <w:i/>
        </w:rPr>
        <w:t>Radiocommunications (Transmitter Licence Tax) Determination 2003 (No. 2).</w:t>
      </w:r>
      <w:r>
        <w:rPr>
          <w:i/>
        </w:rPr>
        <w:t xml:space="preserve">  </w:t>
      </w:r>
      <w:r w:rsidRPr="00FE5224">
        <w:t>Item 5 in the subst</w:t>
      </w:r>
      <w:r>
        <w:t xml:space="preserve">ituted Table 702 specified the licence tax in respect of a TOBN service.  </w:t>
      </w:r>
    </w:p>
  </w:footnote>
  <w:footnote w:id="2">
    <w:p w:rsidR="00B35C4D" w:rsidRDefault="00B35C4D">
      <w:pPr>
        <w:pStyle w:val="FootnoteText"/>
      </w:pPr>
      <w:r>
        <w:rPr>
          <w:rStyle w:val="FootnoteReference"/>
        </w:rPr>
        <w:footnoteRef/>
      </w:r>
      <w:r>
        <w:t xml:space="preserve"> </w:t>
      </w:r>
      <w:r w:rsidRPr="0087282E">
        <w:rPr>
          <w:rFonts w:eastAsiaTheme="minorHAnsi"/>
        </w:rPr>
        <w:t>Information about the formula is available on page 3</w:t>
      </w:r>
      <w:r w:rsidR="00DE5921">
        <w:rPr>
          <w:rFonts w:eastAsiaTheme="minorHAnsi"/>
        </w:rPr>
        <w:t>8</w:t>
      </w:r>
      <w:r w:rsidRPr="0087282E">
        <w:rPr>
          <w:rFonts w:eastAsiaTheme="minorHAnsi"/>
        </w:rPr>
        <w:t xml:space="preserve"> of the Apparatus Licence Fee</w:t>
      </w:r>
      <w:r w:rsidR="00DE5921">
        <w:rPr>
          <w:rFonts w:eastAsiaTheme="minorHAnsi"/>
        </w:rPr>
        <w:t xml:space="preserve"> </w:t>
      </w:r>
      <w:r w:rsidRPr="0087282E">
        <w:rPr>
          <w:rFonts w:eastAsiaTheme="minorHAnsi"/>
        </w:rPr>
        <w:t>Schedule</w:t>
      </w:r>
      <w:r w:rsidR="00DE5921">
        <w:rPr>
          <w:rFonts w:eastAsiaTheme="minorHAnsi"/>
        </w:rPr>
        <w:t xml:space="preserve"> 5 April 2013</w:t>
      </w:r>
      <w:r w:rsidRPr="0087282E">
        <w:rPr>
          <w:rFonts w:eastAsiaTheme="minorHAnsi"/>
        </w:rPr>
        <w:t>.  </w:t>
      </w:r>
      <w:r w:rsidR="00DE5921">
        <w:rPr>
          <w:rFonts w:eastAsiaTheme="minorHAnsi"/>
        </w:rPr>
        <w:t xml:space="preserve">A copy can be found at </w:t>
      </w:r>
      <w:r w:rsidR="00DE5921" w:rsidRPr="00DE5921">
        <w:rPr>
          <w:rFonts w:eastAsiaTheme="minorHAnsi"/>
        </w:rPr>
        <w:t>http://www.acma.gov.au/theACMA/About/Making-payments/Apparatus-licence-fees/apparatus-licence-fees-acma</w:t>
      </w:r>
      <w:r w:rsidR="00DE5921">
        <w:rPr>
          <w:rFonts w:eastAsiaTheme="min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20C4FCE"/>
    <w:lvl w:ilvl="0">
      <w:start w:val="1"/>
      <w:numFmt w:val="decimal"/>
      <w:pStyle w:val="ListNumber"/>
      <w:lvlText w:val="%1."/>
      <w:lvlJc w:val="left"/>
      <w:pPr>
        <w:tabs>
          <w:tab w:val="num" w:pos="360"/>
        </w:tabs>
        <w:ind w:left="360" w:hanging="360"/>
      </w:pPr>
    </w:lvl>
  </w:abstractNum>
  <w:abstractNum w:abstractNumId="1">
    <w:nsid w:val="FFFFFF89"/>
    <w:multiLevelType w:val="singleLevel"/>
    <w:tmpl w:val="B2B8D89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nsid w:val="2F5A5080"/>
    <w:multiLevelType w:val="hybridMultilevel"/>
    <w:tmpl w:val="24705096"/>
    <w:lvl w:ilvl="0" w:tplc="33362AD0">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nsid w:val="359D13CA"/>
    <w:multiLevelType w:val="hybridMultilevel"/>
    <w:tmpl w:val="6C00C094"/>
    <w:lvl w:ilvl="0" w:tplc="E43C77B4">
      <w:start w:val="1"/>
      <w:numFmt w:val="decimal"/>
      <w:pStyle w:val="Body"/>
      <w:lvlText w:val="%1."/>
      <w:lvlJc w:val="left"/>
      <w:pPr>
        <w:tabs>
          <w:tab w:val="num" w:pos="360"/>
        </w:tabs>
        <w:ind w:left="360" w:hanging="360"/>
      </w:pPr>
      <w:rPr>
        <w:rFonts w:hint="default"/>
      </w:rPr>
    </w:lvl>
    <w:lvl w:ilvl="1" w:tplc="2EDE6B5C">
      <w:start w:val="1"/>
      <w:numFmt w:val="lowerRoman"/>
      <w:lvlText w:val="%2."/>
      <w:lvlJc w:val="left"/>
      <w:pPr>
        <w:tabs>
          <w:tab w:val="num" w:pos="1014"/>
        </w:tabs>
        <w:ind w:left="1014" w:hanging="360"/>
      </w:pPr>
      <w:rPr>
        <w:rFonts w:hint="default"/>
      </w:rPr>
    </w:lvl>
    <w:lvl w:ilvl="2" w:tplc="0C090005" w:tentative="1">
      <w:start w:val="1"/>
      <w:numFmt w:val="bullet"/>
      <w:lvlText w:val=""/>
      <w:lvlJc w:val="left"/>
      <w:pPr>
        <w:tabs>
          <w:tab w:val="num" w:pos="1734"/>
        </w:tabs>
        <w:ind w:left="1734" w:hanging="360"/>
      </w:pPr>
      <w:rPr>
        <w:rFonts w:ascii="Wingdings" w:hAnsi="Wingdings" w:hint="default"/>
      </w:rPr>
    </w:lvl>
    <w:lvl w:ilvl="3" w:tplc="0C090001" w:tentative="1">
      <w:start w:val="1"/>
      <w:numFmt w:val="bullet"/>
      <w:lvlText w:val=""/>
      <w:lvlJc w:val="left"/>
      <w:pPr>
        <w:tabs>
          <w:tab w:val="num" w:pos="2454"/>
        </w:tabs>
        <w:ind w:left="2454" w:hanging="360"/>
      </w:pPr>
      <w:rPr>
        <w:rFonts w:ascii="Symbol" w:hAnsi="Symbol" w:hint="default"/>
      </w:rPr>
    </w:lvl>
    <w:lvl w:ilvl="4" w:tplc="0C090003" w:tentative="1">
      <w:start w:val="1"/>
      <w:numFmt w:val="bullet"/>
      <w:lvlText w:val="o"/>
      <w:lvlJc w:val="left"/>
      <w:pPr>
        <w:tabs>
          <w:tab w:val="num" w:pos="3174"/>
        </w:tabs>
        <w:ind w:left="3174" w:hanging="360"/>
      </w:pPr>
      <w:rPr>
        <w:rFonts w:ascii="Courier New" w:hAnsi="Courier New" w:cs="Courier New" w:hint="default"/>
      </w:rPr>
    </w:lvl>
    <w:lvl w:ilvl="5" w:tplc="0C090005" w:tentative="1">
      <w:start w:val="1"/>
      <w:numFmt w:val="bullet"/>
      <w:lvlText w:val=""/>
      <w:lvlJc w:val="left"/>
      <w:pPr>
        <w:tabs>
          <w:tab w:val="num" w:pos="3894"/>
        </w:tabs>
        <w:ind w:left="3894" w:hanging="360"/>
      </w:pPr>
      <w:rPr>
        <w:rFonts w:ascii="Wingdings" w:hAnsi="Wingdings" w:hint="default"/>
      </w:rPr>
    </w:lvl>
    <w:lvl w:ilvl="6" w:tplc="0C090001" w:tentative="1">
      <w:start w:val="1"/>
      <w:numFmt w:val="bullet"/>
      <w:lvlText w:val=""/>
      <w:lvlJc w:val="left"/>
      <w:pPr>
        <w:tabs>
          <w:tab w:val="num" w:pos="4614"/>
        </w:tabs>
        <w:ind w:left="4614" w:hanging="360"/>
      </w:pPr>
      <w:rPr>
        <w:rFonts w:ascii="Symbol" w:hAnsi="Symbol" w:hint="default"/>
      </w:rPr>
    </w:lvl>
    <w:lvl w:ilvl="7" w:tplc="0C090003" w:tentative="1">
      <w:start w:val="1"/>
      <w:numFmt w:val="bullet"/>
      <w:lvlText w:val="o"/>
      <w:lvlJc w:val="left"/>
      <w:pPr>
        <w:tabs>
          <w:tab w:val="num" w:pos="5334"/>
        </w:tabs>
        <w:ind w:left="5334" w:hanging="360"/>
      </w:pPr>
      <w:rPr>
        <w:rFonts w:ascii="Courier New" w:hAnsi="Courier New" w:cs="Courier New" w:hint="default"/>
      </w:rPr>
    </w:lvl>
    <w:lvl w:ilvl="8" w:tplc="0C090005" w:tentative="1">
      <w:start w:val="1"/>
      <w:numFmt w:val="bullet"/>
      <w:lvlText w:val=""/>
      <w:lvlJc w:val="left"/>
      <w:pPr>
        <w:tabs>
          <w:tab w:val="num" w:pos="6054"/>
        </w:tabs>
        <w:ind w:left="6054" w:hanging="360"/>
      </w:pPr>
      <w:rPr>
        <w:rFonts w:ascii="Wingdings" w:hAnsi="Wingdings" w:hint="default"/>
      </w:rPr>
    </w:lvl>
  </w:abstractNum>
  <w:abstractNum w:abstractNumId="4">
    <w:nsid w:val="4DE22731"/>
    <w:multiLevelType w:val="hybridMultilevel"/>
    <w:tmpl w:val="72C433D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36D3550"/>
    <w:multiLevelType w:val="hybridMultilevel"/>
    <w:tmpl w:val="D5D87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091594D"/>
    <w:multiLevelType w:val="hybridMultilevel"/>
    <w:tmpl w:val="2E24A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1C4690E"/>
    <w:multiLevelType w:val="hybridMultilevel"/>
    <w:tmpl w:val="2CDA1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B9D7D44"/>
    <w:multiLevelType w:val="hybridMultilevel"/>
    <w:tmpl w:val="F9AA970C"/>
    <w:lvl w:ilvl="0" w:tplc="EDDCA6BC">
      <w:start w:val="1"/>
      <w:numFmt w:val="bullet"/>
      <w:lvlText w:val=""/>
      <w:lvlJc w:val="left"/>
      <w:pPr>
        <w:tabs>
          <w:tab w:val="num" w:pos="-568"/>
        </w:tabs>
        <w:ind w:left="283" w:hanging="283"/>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10">
    <w:nsid w:val="7F0D6D76"/>
    <w:multiLevelType w:val="hybridMultilevel"/>
    <w:tmpl w:val="CDE46258"/>
    <w:lvl w:ilvl="0" w:tplc="E8FA5AB8">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0"/>
  </w:num>
  <w:num w:numId="6">
    <w:abstractNumId w:val="8"/>
  </w:num>
  <w:num w:numId="7">
    <w:abstractNumId w:val="3"/>
  </w:num>
  <w:num w:numId="8">
    <w:abstractNumId w:val="9"/>
  </w:num>
  <w:num w:numId="9">
    <w:abstractNumId w:val="3"/>
  </w:num>
  <w:num w:numId="10">
    <w:abstractNumId w:val="3"/>
  </w:num>
  <w:num w:numId="11">
    <w:abstractNumId w:val="1"/>
  </w:num>
  <w:num w:numId="12">
    <w:abstractNumId w:val="3"/>
  </w:num>
  <w:num w:numId="13">
    <w:abstractNumId w:val="5"/>
  </w:num>
  <w:num w:numId="14">
    <w:abstractNumId w:val="3"/>
  </w:num>
  <w:num w:numId="15">
    <w:abstractNumId w:val="3"/>
  </w:num>
  <w:num w:numId="16">
    <w:abstractNumId w:val="3"/>
  </w:num>
  <w:num w:numId="17">
    <w:abstractNumId w:val="4"/>
  </w:num>
  <w:num w:numId="18">
    <w:abstractNumId w:val="10"/>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5E4F01"/>
    <w:rsid w:val="00007414"/>
    <w:rsid w:val="00017184"/>
    <w:rsid w:val="00022356"/>
    <w:rsid w:val="000307DB"/>
    <w:rsid w:val="0004391A"/>
    <w:rsid w:val="00055976"/>
    <w:rsid w:val="00062987"/>
    <w:rsid w:val="00073DA5"/>
    <w:rsid w:val="00092C40"/>
    <w:rsid w:val="00096D2F"/>
    <w:rsid w:val="00097541"/>
    <w:rsid w:val="000A37C8"/>
    <w:rsid w:val="000B669E"/>
    <w:rsid w:val="000E0A6B"/>
    <w:rsid w:val="000F3D2A"/>
    <w:rsid w:val="00102DAD"/>
    <w:rsid w:val="00113C05"/>
    <w:rsid w:val="00115454"/>
    <w:rsid w:val="00122928"/>
    <w:rsid w:val="00131465"/>
    <w:rsid w:val="00133DE8"/>
    <w:rsid w:val="00143127"/>
    <w:rsid w:val="001456E4"/>
    <w:rsid w:val="00155FDE"/>
    <w:rsid w:val="001602C4"/>
    <w:rsid w:val="00184801"/>
    <w:rsid w:val="00191C18"/>
    <w:rsid w:val="001A743F"/>
    <w:rsid w:val="001B57A7"/>
    <w:rsid w:val="001B5BCA"/>
    <w:rsid w:val="001B6B27"/>
    <w:rsid w:val="001D61DA"/>
    <w:rsid w:val="001D66FB"/>
    <w:rsid w:val="001D6939"/>
    <w:rsid w:val="001D7277"/>
    <w:rsid w:val="001E1788"/>
    <w:rsid w:val="001E2753"/>
    <w:rsid w:val="001F7F73"/>
    <w:rsid w:val="0020759D"/>
    <w:rsid w:val="00210B4B"/>
    <w:rsid w:val="00220B7F"/>
    <w:rsid w:val="00225411"/>
    <w:rsid w:val="0023259D"/>
    <w:rsid w:val="00232A2D"/>
    <w:rsid w:val="00233F76"/>
    <w:rsid w:val="00235F20"/>
    <w:rsid w:val="00237D5A"/>
    <w:rsid w:val="002610A4"/>
    <w:rsid w:val="00263346"/>
    <w:rsid w:val="002647CB"/>
    <w:rsid w:val="00264F4A"/>
    <w:rsid w:val="00277C8F"/>
    <w:rsid w:val="002872C0"/>
    <w:rsid w:val="0029577E"/>
    <w:rsid w:val="00297718"/>
    <w:rsid w:val="002A418D"/>
    <w:rsid w:val="002B0668"/>
    <w:rsid w:val="002B7592"/>
    <w:rsid w:val="002C7F60"/>
    <w:rsid w:val="002D7E70"/>
    <w:rsid w:val="002F139E"/>
    <w:rsid w:val="003049D8"/>
    <w:rsid w:val="00310267"/>
    <w:rsid w:val="003110D8"/>
    <w:rsid w:val="0031323C"/>
    <w:rsid w:val="003348CE"/>
    <w:rsid w:val="00335DDE"/>
    <w:rsid w:val="00342AD2"/>
    <w:rsid w:val="0034611A"/>
    <w:rsid w:val="003652F0"/>
    <w:rsid w:val="00365370"/>
    <w:rsid w:val="0038216A"/>
    <w:rsid w:val="00383C71"/>
    <w:rsid w:val="00395893"/>
    <w:rsid w:val="003A03E9"/>
    <w:rsid w:val="003A4572"/>
    <w:rsid w:val="003B0ECC"/>
    <w:rsid w:val="003C48EF"/>
    <w:rsid w:val="003D0827"/>
    <w:rsid w:val="003D24AC"/>
    <w:rsid w:val="003D47DC"/>
    <w:rsid w:val="003D7D50"/>
    <w:rsid w:val="003E45E9"/>
    <w:rsid w:val="003E4CBB"/>
    <w:rsid w:val="003F007C"/>
    <w:rsid w:val="00403E33"/>
    <w:rsid w:val="004060CE"/>
    <w:rsid w:val="00422472"/>
    <w:rsid w:val="00427422"/>
    <w:rsid w:val="0043350E"/>
    <w:rsid w:val="004358FC"/>
    <w:rsid w:val="00435C38"/>
    <w:rsid w:val="00462C81"/>
    <w:rsid w:val="0046522E"/>
    <w:rsid w:val="0046706D"/>
    <w:rsid w:val="0046773B"/>
    <w:rsid w:val="00472F2D"/>
    <w:rsid w:val="00473D38"/>
    <w:rsid w:val="00481080"/>
    <w:rsid w:val="00487AA3"/>
    <w:rsid w:val="004A03BA"/>
    <w:rsid w:val="004A3B14"/>
    <w:rsid w:val="004A5970"/>
    <w:rsid w:val="004B551E"/>
    <w:rsid w:val="004C2136"/>
    <w:rsid w:val="004E0DFE"/>
    <w:rsid w:val="004E5431"/>
    <w:rsid w:val="004E5982"/>
    <w:rsid w:val="004E70CC"/>
    <w:rsid w:val="004F0BE0"/>
    <w:rsid w:val="00500C97"/>
    <w:rsid w:val="00521303"/>
    <w:rsid w:val="00527456"/>
    <w:rsid w:val="00533964"/>
    <w:rsid w:val="0053770F"/>
    <w:rsid w:val="00540ECB"/>
    <w:rsid w:val="00542DB6"/>
    <w:rsid w:val="00545FFA"/>
    <w:rsid w:val="00546F0B"/>
    <w:rsid w:val="005476D1"/>
    <w:rsid w:val="00550433"/>
    <w:rsid w:val="00557931"/>
    <w:rsid w:val="00557B90"/>
    <w:rsid w:val="005611D0"/>
    <w:rsid w:val="005616D4"/>
    <w:rsid w:val="00574F72"/>
    <w:rsid w:val="0058435B"/>
    <w:rsid w:val="005B0432"/>
    <w:rsid w:val="005B0970"/>
    <w:rsid w:val="005B5D6D"/>
    <w:rsid w:val="005B65FE"/>
    <w:rsid w:val="005B72C0"/>
    <w:rsid w:val="005C003D"/>
    <w:rsid w:val="005C1688"/>
    <w:rsid w:val="005D2945"/>
    <w:rsid w:val="005D6703"/>
    <w:rsid w:val="005E4F01"/>
    <w:rsid w:val="005E7952"/>
    <w:rsid w:val="005F43A7"/>
    <w:rsid w:val="005F4A61"/>
    <w:rsid w:val="006034C5"/>
    <w:rsid w:val="00617154"/>
    <w:rsid w:val="00620F54"/>
    <w:rsid w:val="006550D5"/>
    <w:rsid w:val="00655BD2"/>
    <w:rsid w:val="00656489"/>
    <w:rsid w:val="00673F93"/>
    <w:rsid w:val="00680E87"/>
    <w:rsid w:val="00682952"/>
    <w:rsid w:val="0068408E"/>
    <w:rsid w:val="006846C0"/>
    <w:rsid w:val="006868A7"/>
    <w:rsid w:val="00693A58"/>
    <w:rsid w:val="006A5718"/>
    <w:rsid w:val="006A6063"/>
    <w:rsid w:val="006B77D9"/>
    <w:rsid w:val="006C6FB6"/>
    <w:rsid w:val="006D0AEE"/>
    <w:rsid w:val="006D373F"/>
    <w:rsid w:val="006E28CA"/>
    <w:rsid w:val="006E3D5E"/>
    <w:rsid w:val="006E443D"/>
    <w:rsid w:val="00700833"/>
    <w:rsid w:val="0070093F"/>
    <w:rsid w:val="00703A97"/>
    <w:rsid w:val="00703EEA"/>
    <w:rsid w:val="007068FA"/>
    <w:rsid w:val="00710459"/>
    <w:rsid w:val="007348F6"/>
    <w:rsid w:val="007532D7"/>
    <w:rsid w:val="00756326"/>
    <w:rsid w:val="00763574"/>
    <w:rsid w:val="00764C10"/>
    <w:rsid w:val="007762DD"/>
    <w:rsid w:val="007772B9"/>
    <w:rsid w:val="00786E8B"/>
    <w:rsid w:val="007973EA"/>
    <w:rsid w:val="007A3336"/>
    <w:rsid w:val="007B1DB0"/>
    <w:rsid w:val="007C6B2F"/>
    <w:rsid w:val="007E072B"/>
    <w:rsid w:val="007F2F87"/>
    <w:rsid w:val="007F5F58"/>
    <w:rsid w:val="00810638"/>
    <w:rsid w:val="008161FA"/>
    <w:rsid w:val="0081646E"/>
    <w:rsid w:val="0082538B"/>
    <w:rsid w:val="00833293"/>
    <w:rsid w:val="008365B5"/>
    <w:rsid w:val="008378E4"/>
    <w:rsid w:val="00854651"/>
    <w:rsid w:val="00866B03"/>
    <w:rsid w:val="0087282E"/>
    <w:rsid w:val="00872E17"/>
    <w:rsid w:val="00886442"/>
    <w:rsid w:val="0088741B"/>
    <w:rsid w:val="008949BD"/>
    <w:rsid w:val="008957F4"/>
    <w:rsid w:val="008A281B"/>
    <w:rsid w:val="008A7AFB"/>
    <w:rsid w:val="008C40A0"/>
    <w:rsid w:val="008D4B3D"/>
    <w:rsid w:val="008E02EE"/>
    <w:rsid w:val="008E138E"/>
    <w:rsid w:val="008F4882"/>
    <w:rsid w:val="008F4E74"/>
    <w:rsid w:val="009023DA"/>
    <w:rsid w:val="009203BD"/>
    <w:rsid w:val="00923A8C"/>
    <w:rsid w:val="00925F30"/>
    <w:rsid w:val="009316EC"/>
    <w:rsid w:val="00935314"/>
    <w:rsid w:val="009425B8"/>
    <w:rsid w:val="00944985"/>
    <w:rsid w:val="00947B7F"/>
    <w:rsid w:val="009520FA"/>
    <w:rsid w:val="00957D4A"/>
    <w:rsid w:val="009642E4"/>
    <w:rsid w:val="00965113"/>
    <w:rsid w:val="00967AB8"/>
    <w:rsid w:val="00973106"/>
    <w:rsid w:val="0097625D"/>
    <w:rsid w:val="009772D3"/>
    <w:rsid w:val="00983E26"/>
    <w:rsid w:val="0098797C"/>
    <w:rsid w:val="009A6CF5"/>
    <w:rsid w:val="009A7A7D"/>
    <w:rsid w:val="009C0E36"/>
    <w:rsid w:val="009E5AA7"/>
    <w:rsid w:val="00A06F7F"/>
    <w:rsid w:val="00A07DFC"/>
    <w:rsid w:val="00A154D9"/>
    <w:rsid w:val="00A20D90"/>
    <w:rsid w:val="00A21D3D"/>
    <w:rsid w:val="00A35496"/>
    <w:rsid w:val="00A42ED7"/>
    <w:rsid w:val="00A52A9B"/>
    <w:rsid w:val="00A554A4"/>
    <w:rsid w:val="00A613ED"/>
    <w:rsid w:val="00A627DF"/>
    <w:rsid w:val="00A7323D"/>
    <w:rsid w:val="00A75D01"/>
    <w:rsid w:val="00A83EA1"/>
    <w:rsid w:val="00A854C8"/>
    <w:rsid w:val="00A87EB1"/>
    <w:rsid w:val="00A940C4"/>
    <w:rsid w:val="00A95EC5"/>
    <w:rsid w:val="00AB163D"/>
    <w:rsid w:val="00AB32B3"/>
    <w:rsid w:val="00AB3C20"/>
    <w:rsid w:val="00AB588F"/>
    <w:rsid w:val="00AC1982"/>
    <w:rsid w:val="00AD1FC7"/>
    <w:rsid w:val="00AD537E"/>
    <w:rsid w:val="00AD58E4"/>
    <w:rsid w:val="00AF29FC"/>
    <w:rsid w:val="00AF4298"/>
    <w:rsid w:val="00AF63BB"/>
    <w:rsid w:val="00AF76AA"/>
    <w:rsid w:val="00B11AD6"/>
    <w:rsid w:val="00B16EB2"/>
    <w:rsid w:val="00B21C1B"/>
    <w:rsid w:val="00B247AC"/>
    <w:rsid w:val="00B35C4D"/>
    <w:rsid w:val="00B37D76"/>
    <w:rsid w:val="00B5182B"/>
    <w:rsid w:val="00B60F81"/>
    <w:rsid w:val="00B60FF4"/>
    <w:rsid w:val="00B6379C"/>
    <w:rsid w:val="00B72086"/>
    <w:rsid w:val="00B7389D"/>
    <w:rsid w:val="00B73B63"/>
    <w:rsid w:val="00B76B77"/>
    <w:rsid w:val="00B807A6"/>
    <w:rsid w:val="00B91A46"/>
    <w:rsid w:val="00B9306D"/>
    <w:rsid w:val="00BA0106"/>
    <w:rsid w:val="00BA526F"/>
    <w:rsid w:val="00BC0A6B"/>
    <w:rsid w:val="00BC102C"/>
    <w:rsid w:val="00BC6BE8"/>
    <w:rsid w:val="00BD2BB3"/>
    <w:rsid w:val="00BD4F53"/>
    <w:rsid w:val="00BD5310"/>
    <w:rsid w:val="00BE04D1"/>
    <w:rsid w:val="00BE7005"/>
    <w:rsid w:val="00BF1261"/>
    <w:rsid w:val="00BF6181"/>
    <w:rsid w:val="00C035CD"/>
    <w:rsid w:val="00C14ACB"/>
    <w:rsid w:val="00C160BF"/>
    <w:rsid w:val="00C16952"/>
    <w:rsid w:val="00C22933"/>
    <w:rsid w:val="00C24A5D"/>
    <w:rsid w:val="00C327CC"/>
    <w:rsid w:val="00C331ED"/>
    <w:rsid w:val="00C41922"/>
    <w:rsid w:val="00C44CAC"/>
    <w:rsid w:val="00C45924"/>
    <w:rsid w:val="00C477FE"/>
    <w:rsid w:val="00C55968"/>
    <w:rsid w:val="00C561A6"/>
    <w:rsid w:val="00C56A15"/>
    <w:rsid w:val="00C73AF1"/>
    <w:rsid w:val="00C80E5E"/>
    <w:rsid w:val="00C825F0"/>
    <w:rsid w:val="00C92B9C"/>
    <w:rsid w:val="00C97141"/>
    <w:rsid w:val="00C9767E"/>
    <w:rsid w:val="00CB4FF5"/>
    <w:rsid w:val="00CC0632"/>
    <w:rsid w:val="00CC7E99"/>
    <w:rsid w:val="00CD17C7"/>
    <w:rsid w:val="00CD24F1"/>
    <w:rsid w:val="00CD6B99"/>
    <w:rsid w:val="00CD7D6B"/>
    <w:rsid w:val="00CF421C"/>
    <w:rsid w:val="00D0304D"/>
    <w:rsid w:val="00D04ED7"/>
    <w:rsid w:val="00D10E32"/>
    <w:rsid w:val="00D159D3"/>
    <w:rsid w:val="00D16422"/>
    <w:rsid w:val="00D26F90"/>
    <w:rsid w:val="00D32D63"/>
    <w:rsid w:val="00D34348"/>
    <w:rsid w:val="00D362FB"/>
    <w:rsid w:val="00D51A9C"/>
    <w:rsid w:val="00D5612C"/>
    <w:rsid w:val="00D723AC"/>
    <w:rsid w:val="00D736EA"/>
    <w:rsid w:val="00D767CD"/>
    <w:rsid w:val="00D80515"/>
    <w:rsid w:val="00D93D19"/>
    <w:rsid w:val="00DA37D5"/>
    <w:rsid w:val="00DA42A8"/>
    <w:rsid w:val="00DA481B"/>
    <w:rsid w:val="00DB3801"/>
    <w:rsid w:val="00DC016A"/>
    <w:rsid w:val="00DC5B85"/>
    <w:rsid w:val="00DD1C3F"/>
    <w:rsid w:val="00DE5921"/>
    <w:rsid w:val="00DE5FF3"/>
    <w:rsid w:val="00E07EB2"/>
    <w:rsid w:val="00E10521"/>
    <w:rsid w:val="00E109EC"/>
    <w:rsid w:val="00E14738"/>
    <w:rsid w:val="00E14CF7"/>
    <w:rsid w:val="00E179EA"/>
    <w:rsid w:val="00E21045"/>
    <w:rsid w:val="00E25F3C"/>
    <w:rsid w:val="00E33793"/>
    <w:rsid w:val="00E3713D"/>
    <w:rsid w:val="00E44CE1"/>
    <w:rsid w:val="00E62EB6"/>
    <w:rsid w:val="00E67F8A"/>
    <w:rsid w:val="00E879C7"/>
    <w:rsid w:val="00E91CD2"/>
    <w:rsid w:val="00EB0017"/>
    <w:rsid w:val="00EB268C"/>
    <w:rsid w:val="00EB26A7"/>
    <w:rsid w:val="00EC45B9"/>
    <w:rsid w:val="00EE0013"/>
    <w:rsid w:val="00EE03D5"/>
    <w:rsid w:val="00EE144D"/>
    <w:rsid w:val="00EF4F24"/>
    <w:rsid w:val="00F00661"/>
    <w:rsid w:val="00F02F72"/>
    <w:rsid w:val="00F03E06"/>
    <w:rsid w:val="00F13F85"/>
    <w:rsid w:val="00F2449B"/>
    <w:rsid w:val="00F32767"/>
    <w:rsid w:val="00F348B4"/>
    <w:rsid w:val="00F4475B"/>
    <w:rsid w:val="00F52660"/>
    <w:rsid w:val="00F54306"/>
    <w:rsid w:val="00F605F9"/>
    <w:rsid w:val="00F700FB"/>
    <w:rsid w:val="00F74FC2"/>
    <w:rsid w:val="00F77905"/>
    <w:rsid w:val="00F869BC"/>
    <w:rsid w:val="00F907A8"/>
    <w:rsid w:val="00FA0312"/>
    <w:rsid w:val="00FA19AF"/>
    <w:rsid w:val="00FA3F24"/>
    <w:rsid w:val="00FA46E1"/>
    <w:rsid w:val="00FB3191"/>
    <w:rsid w:val="00FB6B4D"/>
    <w:rsid w:val="00FC2284"/>
    <w:rsid w:val="00FD142A"/>
    <w:rsid w:val="00FD219F"/>
    <w:rsid w:val="00FE0B38"/>
    <w:rsid w:val="00FE5224"/>
    <w:rsid w:val="00FF07A5"/>
    <w:rsid w:val="00FF4038"/>
    <w:rsid w:val="00FF50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F01"/>
    <w:rPr>
      <w:rFonts w:ascii="Calibri" w:eastAsia="Calibri" w:hAnsi="Calibri" w:cs="Times New Roman"/>
    </w:rPr>
  </w:style>
  <w:style w:type="paragraph" w:styleId="Heading2">
    <w:name w:val="heading 2"/>
    <w:basedOn w:val="Normal"/>
    <w:next w:val="Normal"/>
    <w:link w:val="Heading2Char"/>
    <w:qFormat/>
    <w:rsid w:val="008365B5"/>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semiHidden/>
    <w:unhideWhenUsed/>
    <w:qFormat/>
    <w:rsid w:val="00693A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1"/>
    <w:qFormat/>
    <w:rsid w:val="005E4F01"/>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5E4F01"/>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473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38"/>
    <w:rPr>
      <w:rFonts w:ascii="Tahoma" w:eastAsia="Calibri" w:hAnsi="Tahoma" w:cs="Tahoma"/>
      <w:sz w:val="16"/>
      <w:szCs w:val="16"/>
    </w:rPr>
  </w:style>
  <w:style w:type="paragraph" w:customStyle="1" w:styleId="indenta">
    <w:name w:val="indent(a)"/>
    <w:aliases w:val="a"/>
    <w:basedOn w:val="Normal"/>
    <w:rsid w:val="00C14ACB"/>
    <w:pPr>
      <w:tabs>
        <w:tab w:val="right" w:pos="1531"/>
      </w:tabs>
      <w:spacing w:before="40" w:after="0" w:line="260" w:lineRule="atLeast"/>
      <w:ind w:left="1644" w:hanging="1644"/>
    </w:pPr>
    <w:rPr>
      <w:rFonts w:ascii="Times" w:eastAsia="Times New Roman" w:hAnsi="Times"/>
      <w:szCs w:val="20"/>
    </w:rPr>
  </w:style>
  <w:style w:type="character" w:customStyle="1" w:styleId="CharSectno">
    <w:name w:val="CharSectno"/>
    <w:basedOn w:val="DefaultParagraphFont"/>
    <w:rsid w:val="00C14ACB"/>
  </w:style>
  <w:style w:type="paragraph" w:styleId="BodyText">
    <w:name w:val="Body Text"/>
    <w:basedOn w:val="Normal"/>
    <w:link w:val="BodyTextChar"/>
    <w:rsid w:val="00C14ACB"/>
    <w:pPr>
      <w:autoSpaceDE w:val="0"/>
      <w:autoSpaceDN w:val="0"/>
      <w:spacing w:after="120" w:line="240" w:lineRule="auto"/>
      <w:jc w:val="both"/>
    </w:pPr>
    <w:rPr>
      <w:rFonts w:ascii="Times New Roman" w:eastAsia="Times New Roman" w:hAnsi="Times New Roman"/>
      <w:sz w:val="26"/>
      <w:szCs w:val="26"/>
      <w:lang w:eastAsia="en-AU"/>
    </w:rPr>
  </w:style>
  <w:style w:type="character" w:customStyle="1" w:styleId="BodyTextChar">
    <w:name w:val="Body Text Char"/>
    <w:basedOn w:val="DefaultParagraphFont"/>
    <w:link w:val="BodyText"/>
    <w:rsid w:val="00C14ACB"/>
    <w:rPr>
      <w:rFonts w:ascii="Times New Roman" w:eastAsia="Times New Roman" w:hAnsi="Times New Roman" w:cs="Times New Roman"/>
      <w:sz w:val="26"/>
      <w:szCs w:val="26"/>
      <w:lang w:eastAsia="en-AU"/>
    </w:rPr>
  </w:style>
  <w:style w:type="character" w:customStyle="1" w:styleId="ACMABodyTextChar">
    <w:name w:val="ACMA Body Text Char"/>
    <w:basedOn w:val="DefaultParagraphFont"/>
    <w:rsid w:val="00C14ACB"/>
    <w:rPr>
      <w:snapToGrid w:val="0"/>
      <w:sz w:val="24"/>
      <w:lang w:val="en-AU" w:eastAsia="en-US" w:bidi="ar-SA"/>
    </w:rPr>
  </w:style>
  <w:style w:type="character" w:styleId="Hyperlink">
    <w:name w:val="Hyperlink"/>
    <w:basedOn w:val="DefaultParagraphFont"/>
    <w:unhideWhenUsed/>
    <w:rsid w:val="00C14ACB"/>
    <w:rPr>
      <w:color w:val="0000FF"/>
      <w:u w:val="single"/>
    </w:rPr>
  </w:style>
  <w:style w:type="paragraph" w:styleId="ListParagraph">
    <w:name w:val="List Paragraph"/>
    <w:basedOn w:val="Normal"/>
    <w:uiPriority w:val="34"/>
    <w:qFormat/>
    <w:rsid w:val="00191C18"/>
    <w:pPr>
      <w:ind w:left="720"/>
      <w:contextualSpacing/>
    </w:pPr>
  </w:style>
  <w:style w:type="character" w:customStyle="1" w:styleId="Heading2Char">
    <w:name w:val="Heading 2 Char"/>
    <w:basedOn w:val="DefaultParagraphFont"/>
    <w:link w:val="Heading2"/>
    <w:rsid w:val="008365B5"/>
    <w:rPr>
      <w:rFonts w:ascii="Arial" w:eastAsia="Times New Roman" w:hAnsi="Arial" w:cs="Arial"/>
      <w:b/>
      <w:bCs/>
      <w:i/>
      <w:iCs/>
      <w:sz w:val="28"/>
      <w:szCs w:val="28"/>
      <w:lang w:eastAsia="en-AU"/>
    </w:rPr>
  </w:style>
  <w:style w:type="paragraph" w:customStyle="1" w:styleId="Dotpoints">
    <w:name w:val="Dot points"/>
    <w:basedOn w:val="Normal"/>
    <w:rsid w:val="008365B5"/>
    <w:pPr>
      <w:numPr>
        <w:numId w:val="1"/>
      </w:numPr>
      <w:spacing w:after="0" w:line="240" w:lineRule="auto"/>
    </w:pPr>
    <w:rPr>
      <w:rFonts w:ascii="Times New Roman" w:eastAsia="Times New Roman" w:hAnsi="Times New Roman"/>
      <w:sz w:val="24"/>
      <w:szCs w:val="24"/>
      <w:lang w:eastAsia="en-AU"/>
    </w:rPr>
  </w:style>
  <w:style w:type="paragraph" w:customStyle="1" w:styleId="ScheduleHeading">
    <w:name w:val="Schedule Heading"/>
    <w:basedOn w:val="Normal"/>
    <w:next w:val="Normal"/>
    <w:rsid w:val="002872C0"/>
    <w:pPr>
      <w:keepNext/>
      <w:keepLines/>
      <w:spacing w:before="360" w:after="0" w:line="240" w:lineRule="auto"/>
      <w:ind w:left="964" w:hanging="964"/>
    </w:pPr>
    <w:rPr>
      <w:rFonts w:ascii="Arial" w:eastAsia="Times New Roman" w:hAnsi="Arial"/>
      <w:b/>
      <w:sz w:val="24"/>
      <w:szCs w:val="24"/>
      <w:lang w:eastAsia="en-AU"/>
    </w:rPr>
  </w:style>
  <w:style w:type="paragraph" w:customStyle="1" w:styleId="TableColHead">
    <w:name w:val="TableColHead"/>
    <w:basedOn w:val="Normal"/>
    <w:rsid w:val="002872C0"/>
    <w:pPr>
      <w:keepNext/>
      <w:spacing w:before="120" w:after="60" w:line="200" w:lineRule="exact"/>
    </w:pPr>
    <w:rPr>
      <w:rFonts w:ascii="Arial" w:eastAsia="Times New Roman" w:hAnsi="Arial"/>
      <w:b/>
      <w:sz w:val="18"/>
      <w:szCs w:val="24"/>
      <w:lang w:eastAsia="en-AU"/>
    </w:rPr>
  </w:style>
  <w:style w:type="paragraph" w:customStyle="1" w:styleId="TableText">
    <w:name w:val="TableText"/>
    <w:basedOn w:val="Normal"/>
    <w:rsid w:val="002872C0"/>
    <w:pPr>
      <w:spacing w:before="60" w:after="60" w:line="240" w:lineRule="exact"/>
    </w:pPr>
    <w:rPr>
      <w:rFonts w:ascii="Times New Roman" w:eastAsia="Times New Roman" w:hAnsi="Times New Roman"/>
      <w:szCs w:val="24"/>
      <w:lang w:eastAsia="en-AU"/>
    </w:rPr>
  </w:style>
  <w:style w:type="paragraph" w:customStyle="1" w:styleId="A1S">
    <w:name w:val="A1S"/>
    <w:aliases w:val="1.Schedule Amendment"/>
    <w:basedOn w:val="Normal"/>
    <w:next w:val="A2S"/>
    <w:rsid w:val="000F3D2A"/>
    <w:pPr>
      <w:keepNext/>
      <w:keepLines/>
      <w:spacing w:before="480" w:after="0" w:line="260" w:lineRule="exact"/>
      <w:ind w:left="964" w:hanging="964"/>
    </w:pPr>
    <w:rPr>
      <w:rFonts w:ascii="Arial" w:eastAsia="Times New Roman" w:hAnsi="Arial"/>
      <w:b/>
      <w:sz w:val="24"/>
      <w:szCs w:val="24"/>
      <w:lang w:eastAsia="en-AU"/>
    </w:rPr>
  </w:style>
  <w:style w:type="paragraph" w:customStyle="1" w:styleId="A2S">
    <w:name w:val="A2S"/>
    <w:aliases w:val="Schedule Inst Amendment"/>
    <w:basedOn w:val="Normal"/>
    <w:next w:val="Normal"/>
    <w:rsid w:val="000F3D2A"/>
    <w:pPr>
      <w:keepNext/>
      <w:spacing w:before="120" w:after="0" w:line="260" w:lineRule="exact"/>
      <w:ind w:left="964"/>
    </w:pPr>
    <w:rPr>
      <w:rFonts w:ascii="Times New Roman" w:eastAsia="Times New Roman" w:hAnsi="Times New Roman"/>
      <w:i/>
      <w:sz w:val="24"/>
      <w:szCs w:val="24"/>
      <w:lang w:eastAsia="en-AU"/>
    </w:rPr>
  </w:style>
  <w:style w:type="paragraph" w:styleId="Header">
    <w:name w:val="header"/>
    <w:basedOn w:val="Normal"/>
    <w:link w:val="HeaderChar"/>
    <w:rsid w:val="000F3D2A"/>
    <w:pPr>
      <w:tabs>
        <w:tab w:val="center" w:pos="4153"/>
        <w:tab w:val="right" w:pos="8306"/>
      </w:tabs>
      <w:spacing w:after="0" w:line="240" w:lineRule="auto"/>
    </w:pPr>
    <w:rPr>
      <w:rFonts w:ascii="Arial" w:eastAsia="Times New Roman" w:hAnsi="Arial"/>
      <w:sz w:val="20"/>
      <w:szCs w:val="20"/>
      <w:lang w:bidi="he-IL"/>
    </w:rPr>
  </w:style>
  <w:style w:type="character" w:customStyle="1" w:styleId="HeaderChar">
    <w:name w:val="Header Char"/>
    <w:basedOn w:val="DefaultParagraphFont"/>
    <w:link w:val="Header"/>
    <w:rsid w:val="000F3D2A"/>
    <w:rPr>
      <w:rFonts w:ascii="Arial" w:eastAsia="Times New Roman" w:hAnsi="Arial" w:cs="Times New Roman"/>
      <w:sz w:val="20"/>
      <w:szCs w:val="20"/>
      <w:lang w:bidi="he-IL"/>
    </w:rPr>
  </w:style>
  <w:style w:type="paragraph" w:customStyle="1" w:styleId="ASref">
    <w:name w:val="AS ref"/>
    <w:basedOn w:val="Normal"/>
    <w:next w:val="A1S"/>
    <w:rsid w:val="000F3D2A"/>
    <w:pPr>
      <w:keepNext/>
      <w:spacing w:before="60" w:after="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0F3D2A"/>
    <w:pPr>
      <w:keepNext/>
      <w:keepLines/>
      <w:spacing w:before="480" w:after="0" w:line="240" w:lineRule="auto"/>
      <w:ind w:left="2410" w:hanging="2410"/>
    </w:pPr>
    <w:rPr>
      <w:rFonts w:ascii="Arial" w:eastAsia="Times New Roman" w:hAnsi="Arial"/>
      <w:b/>
      <w:sz w:val="32"/>
      <w:szCs w:val="24"/>
      <w:lang w:eastAsia="en-AU"/>
    </w:rPr>
  </w:style>
  <w:style w:type="character" w:customStyle="1" w:styleId="CharSchNo">
    <w:name w:val="CharSchNo"/>
    <w:basedOn w:val="DefaultParagraphFont"/>
    <w:rsid w:val="000F3D2A"/>
  </w:style>
  <w:style w:type="character" w:customStyle="1" w:styleId="CharSchText">
    <w:name w:val="CharSchText"/>
    <w:basedOn w:val="DefaultParagraphFont"/>
    <w:rsid w:val="000F3D2A"/>
  </w:style>
  <w:style w:type="character" w:customStyle="1" w:styleId="CharAmSchPTNo">
    <w:name w:val="CharAmSchPTNo"/>
    <w:basedOn w:val="DefaultParagraphFont"/>
    <w:rsid w:val="000F3D2A"/>
  </w:style>
  <w:style w:type="character" w:customStyle="1" w:styleId="CharAmSchPTText">
    <w:name w:val="CharAmSchPTText"/>
    <w:basedOn w:val="DefaultParagraphFont"/>
    <w:rsid w:val="000F3D2A"/>
  </w:style>
  <w:style w:type="character" w:customStyle="1" w:styleId="Heading3Char">
    <w:name w:val="Heading 3 Char"/>
    <w:basedOn w:val="DefaultParagraphFont"/>
    <w:link w:val="Heading3"/>
    <w:uiPriority w:val="9"/>
    <w:semiHidden/>
    <w:rsid w:val="00693A58"/>
    <w:rPr>
      <w:rFonts w:asciiTheme="majorHAnsi" w:eastAsiaTheme="majorEastAsia" w:hAnsiTheme="majorHAnsi" w:cstheme="majorBidi"/>
      <w:b/>
      <w:bCs/>
      <w:color w:val="4F81BD" w:themeColor="accent1"/>
    </w:rPr>
  </w:style>
  <w:style w:type="paragraph" w:customStyle="1" w:styleId="ACMABulletLevel1">
    <w:name w:val="ACMA Bullet Level 1"/>
    <w:rsid w:val="001D6939"/>
    <w:pPr>
      <w:numPr>
        <w:numId w:val="2"/>
      </w:numPr>
      <w:spacing w:after="120" w:line="240" w:lineRule="auto"/>
    </w:pPr>
    <w:rPr>
      <w:rFonts w:ascii="Times New Roman" w:eastAsia="Times New Roman" w:hAnsi="Times New Roman" w:cs="Times New Roman"/>
      <w:sz w:val="24"/>
      <w:szCs w:val="20"/>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basedOn w:val="Normal"/>
    <w:link w:val="FootnoteTextChar"/>
    <w:rsid w:val="00481080"/>
    <w:pPr>
      <w:spacing w:after="0" w:line="240" w:lineRule="auto"/>
    </w:pPr>
    <w:rPr>
      <w:rFonts w:ascii="Times New Roman" w:eastAsia="Times New Roman" w:hAnsi="Times New Roman"/>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rsid w:val="00481080"/>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481080"/>
    <w:rPr>
      <w:vertAlign w:val="superscript"/>
    </w:rPr>
  </w:style>
  <w:style w:type="paragraph" w:customStyle="1" w:styleId="Body">
    <w:name w:val="Body"/>
    <w:basedOn w:val="Normal"/>
    <w:rsid w:val="0034611A"/>
    <w:pPr>
      <w:numPr>
        <w:numId w:val="3"/>
      </w:numPr>
      <w:spacing w:before="120" w:after="120" w:line="240" w:lineRule="auto"/>
    </w:pPr>
    <w:rPr>
      <w:rFonts w:ascii="Times New Roman" w:eastAsia="Times New Roman" w:hAnsi="Times New Roman"/>
      <w:sz w:val="24"/>
      <w:szCs w:val="20"/>
      <w:lang w:eastAsia="en-AU"/>
    </w:rPr>
  </w:style>
  <w:style w:type="paragraph" w:customStyle="1" w:styleId="acmanumberedlist">
    <w:name w:val="acmanumberedlist"/>
    <w:basedOn w:val="Normal"/>
    <w:rsid w:val="00AB32B3"/>
    <w:pPr>
      <w:spacing w:before="100" w:beforeAutospacing="1" w:after="100" w:afterAutospacing="1" w:line="240" w:lineRule="auto"/>
    </w:pPr>
    <w:rPr>
      <w:rFonts w:ascii="Times New Roman" w:eastAsia="Times New Roman" w:hAnsi="Times New Roman"/>
      <w:sz w:val="24"/>
      <w:szCs w:val="24"/>
      <w:lang w:eastAsia="en-AU"/>
    </w:rPr>
  </w:style>
  <w:style w:type="paragraph" w:styleId="ListNumber">
    <w:name w:val="List Number"/>
    <w:basedOn w:val="Normal"/>
    <w:rsid w:val="00AB32B3"/>
    <w:pPr>
      <w:numPr>
        <w:numId w:val="5"/>
      </w:numPr>
      <w:spacing w:after="30" w:line="240" w:lineRule="atLeast"/>
    </w:pPr>
    <w:rPr>
      <w:rFonts w:ascii="Arial" w:eastAsia="Times New Roman" w:hAnsi="Arial"/>
      <w:color w:val="4D4D4F"/>
      <w:sz w:val="21"/>
      <w:szCs w:val="24"/>
      <w:lang w:eastAsia="en-AU"/>
    </w:rPr>
  </w:style>
  <w:style w:type="character" w:styleId="CommentReference">
    <w:name w:val="annotation reference"/>
    <w:basedOn w:val="DefaultParagraphFont"/>
    <w:uiPriority w:val="99"/>
    <w:semiHidden/>
    <w:unhideWhenUsed/>
    <w:rsid w:val="005611D0"/>
    <w:rPr>
      <w:sz w:val="16"/>
      <w:szCs w:val="16"/>
    </w:rPr>
  </w:style>
  <w:style w:type="paragraph" w:styleId="CommentText">
    <w:name w:val="annotation text"/>
    <w:basedOn w:val="Normal"/>
    <w:link w:val="CommentTextChar"/>
    <w:uiPriority w:val="99"/>
    <w:semiHidden/>
    <w:unhideWhenUsed/>
    <w:rsid w:val="005611D0"/>
    <w:pPr>
      <w:spacing w:line="240" w:lineRule="auto"/>
    </w:pPr>
    <w:rPr>
      <w:sz w:val="20"/>
      <w:szCs w:val="20"/>
    </w:rPr>
  </w:style>
  <w:style w:type="character" w:customStyle="1" w:styleId="CommentTextChar">
    <w:name w:val="Comment Text Char"/>
    <w:basedOn w:val="DefaultParagraphFont"/>
    <w:link w:val="CommentText"/>
    <w:uiPriority w:val="99"/>
    <w:semiHidden/>
    <w:rsid w:val="005611D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11D0"/>
    <w:rPr>
      <w:b/>
      <w:bCs/>
    </w:rPr>
  </w:style>
  <w:style w:type="character" w:customStyle="1" w:styleId="CommentSubjectChar">
    <w:name w:val="Comment Subject Char"/>
    <w:basedOn w:val="CommentTextChar"/>
    <w:link w:val="CommentSubject"/>
    <w:uiPriority w:val="99"/>
    <w:semiHidden/>
    <w:rsid w:val="005611D0"/>
    <w:rPr>
      <w:b/>
      <w:bCs/>
    </w:rPr>
  </w:style>
  <w:style w:type="paragraph" w:styleId="Revision">
    <w:name w:val="Revision"/>
    <w:hidden/>
    <w:uiPriority w:val="99"/>
    <w:semiHidden/>
    <w:rsid w:val="005611D0"/>
    <w:pPr>
      <w:spacing w:after="0" w:line="240" w:lineRule="auto"/>
    </w:pPr>
    <w:rPr>
      <w:rFonts w:ascii="Calibri" w:eastAsia="Calibri" w:hAnsi="Calibri" w:cs="Times New Roman"/>
    </w:rPr>
  </w:style>
  <w:style w:type="paragraph" w:customStyle="1" w:styleId="r2">
    <w:name w:val="r2"/>
    <w:basedOn w:val="Normal"/>
    <w:rsid w:val="003110D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
    <w:name w:val="p1"/>
    <w:basedOn w:val="Normal"/>
    <w:rsid w:val="003110D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2">
    <w:name w:val="p2"/>
    <w:basedOn w:val="Normal"/>
    <w:rsid w:val="003110D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3">
    <w:name w:val="p3"/>
    <w:basedOn w:val="Normal"/>
    <w:rsid w:val="003110D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rc">
    <w:name w:val="rc"/>
    <w:basedOn w:val="Normal"/>
    <w:rsid w:val="003110D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3S">
    <w:name w:val="A3S"/>
    <w:aliases w:val="Schedule Amendment"/>
    <w:basedOn w:val="Normal"/>
    <w:next w:val="A1S"/>
    <w:rsid w:val="003110D8"/>
    <w:pPr>
      <w:spacing w:before="60" w:after="0" w:line="260" w:lineRule="exact"/>
      <w:ind w:left="1247"/>
      <w:jc w:val="both"/>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3049D8"/>
    <w:pPr>
      <w:spacing w:after="240"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3049D8"/>
    <w:rPr>
      <w:i/>
      <w:iCs/>
    </w:rPr>
  </w:style>
  <w:style w:type="paragraph" w:styleId="ListBullet">
    <w:name w:val="List Bullet"/>
    <w:basedOn w:val="Normal"/>
    <w:rsid w:val="009772D3"/>
    <w:pPr>
      <w:numPr>
        <w:numId w:val="11"/>
      </w:numPr>
      <w:spacing w:after="80" w:line="240" w:lineRule="atLeast"/>
    </w:pPr>
    <w:rPr>
      <w:rFonts w:ascii="HelveticaNeueLT Std Lt" w:eastAsia="Times New Roman" w:hAnsi="HelveticaNeueLT Std Lt"/>
      <w:sz w:val="20"/>
      <w:szCs w:val="24"/>
      <w:lang w:eastAsia="en-AU"/>
    </w:rPr>
  </w:style>
  <w:style w:type="paragraph" w:styleId="Title">
    <w:name w:val="Title"/>
    <w:basedOn w:val="Normal"/>
    <w:next w:val="Normal"/>
    <w:link w:val="TitleChar"/>
    <w:qFormat/>
    <w:rsid w:val="006E3D5E"/>
    <w:pPr>
      <w:spacing w:before="240" w:after="240" w:line="240" w:lineRule="auto"/>
    </w:pPr>
    <w:rPr>
      <w:rFonts w:ascii="Arial" w:eastAsia="Times New Roman" w:hAnsi="Arial"/>
      <w:b/>
      <w:sz w:val="40"/>
      <w:szCs w:val="20"/>
      <w:lang w:eastAsia="en-AU"/>
    </w:rPr>
  </w:style>
  <w:style w:type="character" w:customStyle="1" w:styleId="TitleChar">
    <w:name w:val="Title Char"/>
    <w:basedOn w:val="DefaultParagraphFont"/>
    <w:link w:val="Title"/>
    <w:rsid w:val="006E3D5E"/>
    <w:rPr>
      <w:rFonts w:ascii="Arial" w:eastAsia="Times New Roman" w:hAnsi="Arial" w:cs="Times New Roman"/>
      <w:b/>
      <w:sz w:val="40"/>
      <w:szCs w:val="20"/>
      <w:lang w:eastAsia="en-AU"/>
    </w:rPr>
  </w:style>
  <w:style w:type="paragraph" w:styleId="Footer">
    <w:name w:val="footer"/>
    <w:basedOn w:val="Normal"/>
    <w:link w:val="FooterChar"/>
    <w:uiPriority w:val="99"/>
    <w:unhideWhenUsed/>
    <w:rsid w:val="008A7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AF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11911">
      <w:bodyDiv w:val="1"/>
      <w:marLeft w:val="0"/>
      <w:marRight w:val="0"/>
      <w:marTop w:val="0"/>
      <w:marBottom w:val="0"/>
      <w:divBdr>
        <w:top w:val="none" w:sz="0" w:space="0" w:color="auto"/>
        <w:left w:val="none" w:sz="0" w:space="0" w:color="auto"/>
        <w:bottom w:val="none" w:sz="0" w:space="0" w:color="auto"/>
        <w:right w:val="none" w:sz="0" w:space="0" w:color="auto"/>
      </w:divBdr>
      <w:divsChild>
        <w:div w:id="1233926305">
          <w:marLeft w:val="0"/>
          <w:marRight w:val="0"/>
          <w:marTop w:val="0"/>
          <w:marBottom w:val="0"/>
          <w:divBdr>
            <w:top w:val="none" w:sz="0" w:space="0" w:color="auto"/>
            <w:left w:val="none" w:sz="0" w:space="0" w:color="auto"/>
            <w:bottom w:val="none" w:sz="0" w:space="0" w:color="auto"/>
            <w:right w:val="none" w:sz="0" w:space="0" w:color="auto"/>
          </w:divBdr>
          <w:divsChild>
            <w:div w:id="1828015878">
              <w:marLeft w:val="0"/>
              <w:marRight w:val="0"/>
              <w:marTop w:val="0"/>
              <w:marBottom w:val="0"/>
              <w:divBdr>
                <w:top w:val="none" w:sz="0" w:space="0" w:color="auto"/>
                <w:left w:val="none" w:sz="0" w:space="0" w:color="auto"/>
                <w:bottom w:val="none" w:sz="0" w:space="0" w:color="auto"/>
                <w:right w:val="none" w:sz="0" w:space="0" w:color="auto"/>
              </w:divBdr>
              <w:divsChild>
                <w:div w:id="640354904">
                  <w:marLeft w:val="0"/>
                  <w:marRight w:val="0"/>
                  <w:marTop w:val="0"/>
                  <w:marBottom w:val="0"/>
                  <w:divBdr>
                    <w:top w:val="none" w:sz="0" w:space="0" w:color="auto"/>
                    <w:left w:val="none" w:sz="0" w:space="0" w:color="auto"/>
                    <w:bottom w:val="none" w:sz="0" w:space="0" w:color="auto"/>
                    <w:right w:val="none" w:sz="0" w:space="0" w:color="auto"/>
                  </w:divBdr>
                  <w:divsChild>
                    <w:div w:id="438381515">
                      <w:marLeft w:val="0"/>
                      <w:marRight w:val="0"/>
                      <w:marTop w:val="0"/>
                      <w:marBottom w:val="0"/>
                      <w:divBdr>
                        <w:top w:val="none" w:sz="0" w:space="0" w:color="auto"/>
                        <w:left w:val="none" w:sz="0" w:space="0" w:color="auto"/>
                        <w:bottom w:val="none" w:sz="0" w:space="0" w:color="auto"/>
                        <w:right w:val="none" w:sz="0" w:space="0" w:color="auto"/>
                      </w:divBdr>
                      <w:divsChild>
                        <w:div w:id="596791009">
                          <w:marLeft w:val="0"/>
                          <w:marRight w:val="0"/>
                          <w:marTop w:val="0"/>
                          <w:marBottom w:val="0"/>
                          <w:divBdr>
                            <w:top w:val="single" w:sz="4" w:space="0" w:color="828282"/>
                            <w:left w:val="single" w:sz="4" w:space="0" w:color="828282"/>
                            <w:bottom w:val="single" w:sz="4" w:space="0" w:color="828282"/>
                            <w:right w:val="single" w:sz="4" w:space="0" w:color="828282"/>
                          </w:divBdr>
                          <w:divsChild>
                            <w:div w:id="1767849766">
                              <w:marLeft w:val="0"/>
                              <w:marRight w:val="0"/>
                              <w:marTop w:val="0"/>
                              <w:marBottom w:val="0"/>
                              <w:divBdr>
                                <w:top w:val="none" w:sz="0" w:space="0" w:color="auto"/>
                                <w:left w:val="none" w:sz="0" w:space="0" w:color="auto"/>
                                <w:bottom w:val="none" w:sz="0" w:space="0" w:color="auto"/>
                                <w:right w:val="none" w:sz="0" w:space="0" w:color="auto"/>
                              </w:divBdr>
                              <w:divsChild>
                                <w:div w:id="147403836">
                                  <w:marLeft w:val="0"/>
                                  <w:marRight w:val="0"/>
                                  <w:marTop w:val="0"/>
                                  <w:marBottom w:val="0"/>
                                  <w:divBdr>
                                    <w:top w:val="none" w:sz="0" w:space="0" w:color="auto"/>
                                    <w:left w:val="none" w:sz="0" w:space="0" w:color="auto"/>
                                    <w:bottom w:val="none" w:sz="0" w:space="0" w:color="auto"/>
                                    <w:right w:val="none" w:sz="0" w:space="0" w:color="auto"/>
                                  </w:divBdr>
                                  <w:divsChild>
                                    <w:div w:id="1223711804">
                                      <w:marLeft w:val="0"/>
                                      <w:marRight w:val="0"/>
                                      <w:marTop w:val="0"/>
                                      <w:marBottom w:val="0"/>
                                      <w:divBdr>
                                        <w:top w:val="none" w:sz="0" w:space="0" w:color="auto"/>
                                        <w:left w:val="none" w:sz="0" w:space="0" w:color="auto"/>
                                        <w:bottom w:val="none" w:sz="0" w:space="0" w:color="auto"/>
                                        <w:right w:val="none" w:sz="0" w:space="0" w:color="auto"/>
                                      </w:divBdr>
                                      <w:divsChild>
                                        <w:div w:id="352655620">
                                          <w:marLeft w:val="0"/>
                                          <w:marRight w:val="0"/>
                                          <w:marTop w:val="0"/>
                                          <w:marBottom w:val="0"/>
                                          <w:divBdr>
                                            <w:top w:val="none" w:sz="0" w:space="0" w:color="auto"/>
                                            <w:left w:val="none" w:sz="0" w:space="0" w:color="auto"/>
                                            <w:bottom w:val="none" w:sz="0" w:space="0" w:color="auto"/>
                                            <w:right w:val="none" w:sz="0" w:space="0" w:color="auto"/>
                                          </w:divBdr>
                                          <w:divsChild>
                                            <w:div w:id="1391155203">
                                              <w:marLeft w:val="0"/>
                                              <w:marRight w:val="0"/>
                                              <w:marTop w:val="0"/>
                                              <w:marBottom w:val="0"/>
                                              <w:divBdr>
                                                <w:top w:val="none" w:sz="0" w:space="0" w:color="auto"/>
                                                <w:left w:val="none" w:sz="0" w:space="0" w:color="auto"/>
                                                <w:bottom w:val="none" w:sz="0" w:space="0" w:color="auto"/>
                                                <w:right w:val="none" w:sz="0" w:space="0" w:color="auto"/>
                                              </w:divBdr>
                                              <w:divsChild>
                                                <w:div w:id="5635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3066037">
      <w:bodyDiv w:val="1"/>
      <w:marLeft w:val="0"/>
      <w:marRight w:val="0"/>
      <w:marTop w:val="0"/>
      <w:marBottom w:val="0"/>
      <w:divBdr>
        <w:top w:val="none" w:sz="0" w:space="0" w:color="auto"/>
        <w:left w:val="none" w:sz="0" w:space="0" w:color="auto"/>
        <w:bottom w:val="none" w:sz="0" w:space="0" w:color="auto"/>
        <w:right w:val="none" w:sz="0" w:space="0" w:color="auto"/>
      </w:divBdr>
      <w:divsChild>
        <w:div w:id="1083526177">
          <w:marLeft w:val="0"/>
          <w:marRight w:val="0"/>
          <w:marTop w:val="0"/>
          <w:marBottom w:val="0"/>
          <w:divBdr>
            <w:top w:val="none" w:sz="0" w:space="0" w:color="auto"/>
            <w:left w:val="none" w:sz="0" w:space="0" w:color="auto"/>
            <w:bottom w:val="none" w:sz="0" w:space="0" w:color="auto"/>
            <w:right w:val="none" w:sz="0" w:space="0" w:color="auto"/>
          </w:divBdr>
          <w:divsChild>
            <w:div w:id="809328235">
              <w:marLeft w:val="0"/>
              <w:marRight w:val="0"/>
              <w:marTop w:val="0"/>
              <w:marBottom w:val="0"/>
              <w:divBdr>
                <w:top w:val="none" w:sz="0" w:space="0" w:color="auto"/>
                <w:left w:val="none" w:sz="0" w:space="0" w:color="auto"/>
                <w:bottom w:val="none" w:sz="0" w:space="0" w:color="auto"/>
                <w:right w:val="none" w:sz="0" w:space="0" w:color="auto"/>
              </w:divBdr>
              <w:divsChild>
                <w:div w:id="658579786">
                  <w:marLeft w:val="0"/>
                  <w:marRight w:val="0"/>
                  <w:marTop w:val="0"/>
                  <w:marBottom w:val="0"/>
                  <w:divBdr>
                    <w:top w:val="none" w:sz="0" w:space="0" w:color="auto"/>
                    <w:left w:val="none" w:sz="0" w:space="0" w:color="auto"/>
                    <w:bottom w:val="none" w:sz="0" w:space="0" w:color="auto"/>
                    <w:right w:val="none" w:sz="0" w:space="0" w:color="auto"/>
                  </w:divBdr>
                  <w:divsChild>
                    <w:div w:id="805246034">
                      <w:marLeft w:val="0"/>
                      <w:marRight w:val="0"/>
                      <w:marTop w:val="0"/>
                      <w:marBottom w:val="0"/>
                      <w:divBdr>
                        <w:top w:val="none" w:sz="0" w:space="0" w:color="auto"/>
                        <w:left w:val="none" w:sz="0" w:space="0" w:color="auto"/>
                        <w:bottom w:val="none" w:sz="0" w:space="0" w:color="auto"/>
                        <w:right w:val="none" w:sz="0" w:space="0" w:color="auto"/>
                      </w:divBdr>
                      <w:divsChild>
                        <w:div w:id="1141926373">
                          <w:marLeft w:val="0"/>
                          <w:marRight w:val="0"/>
                          <w:marTop w:val="0"/>
                          <w:marBottom w:val="0"/>
                          <w:divBdr>
                            <w:top w:val="single" w:sz="6" w:space="0" w:color="828282"/>
                            <w:left w:val="single" w:sz="6" w:space="0" w:color="828282"/>
                            <w:bottom w:val="single" w:sz="6" w:space="0" w:color="828282"/>
                            <w:right w:val="single" w:sz="6" w:space="0" w:color="828282"/>
                          </w:divBdr>
                          <w:divsChild>
                            <w:div w:id="776557642">
                              <w:marLeft w:val="0"/>
                              <w:marRight w:val="0"/>
                              <w:marTop w:val="0"/>
                              <w:marBottom w:val="0"/>
                              <w:divBdr>
                                <w:top w:val="none" w:sz="0" w:space="0" w:color="auto"/>
                                <w:left w:val="none" w:sz="0" w:space="0" w:color="auto"/>
                                <w:bottom w:val="none" w:sz="0" w:space="0" w:color="auto"/>
                                <w:right w:val="none" w:sz="0" w:space="0" w:color="auto"/>
                              </w:divBdr>
                              <w:divsChild>
                                <w:div w:id="1975019678">
                                  <w:marLeft w:val="0"/>
                                  <w:marRight w:val="0"/>
                                  <w:marTop w:val="0"/>
                                  <w:marBottom w:val="0"/>
                                  <w:divBdr>
                                    <w:top w:val="none" w:sz="0" w:space="0" w:color="auto"/>
                                    <w:left w:val="none" w:sz="0" w:space="0" w:color="auto"/>
                                    <w:bottom w:val="none" w:sz="0" w:space="0" w:color="auto"/>
                                    <w:right w:val="none" w:sz="0" w:space="0" w:color="auto"/>
                                  </w:divBdr>
                                  <w:divsChild>
                                    <w:div w:id="1029455366">
                                      <w:marLeft w:val="0"/>
                                      <w:marRight w:val="0"/>
                                      <w:marTop w:val="0"/>
                                      <w:marBottom w:val="0"/>
                                      <w:divBdr>
                                        <w:top w:val="none" w:sz="0" w:space="0" w:color="auto"/>
                                        <w:left w:val="none" w:sz="0" w:space="0" w:color="auto"/>
                                        <w:bottom w:val="none" w:sz="0" w:space="0" w:color="auto"/>
                                        <w:right w:val="none" w:sz="0" w:space="0" w:color="auto"/>
                                      </w:divBdr>
                                      <w:divsChild>
                                        <w:div w:id="1468934899">
                                          <w:marLeft w:val="0"/>
                                          <w:marRight w:val="0"/>
                                          <w:marTop w:val="0"/>
                                          <w:marBottom w:val="0"/>
                                          <w:divBdr>
                                            <w:top w:val="none" w:sz="0" w:space="0" w:color="auto"/>
                                            <w:left w:val="none" w:sz="0" w:space="0" w:color="auto"/>
                                            <w:bottom w:val="none" w:sz="0" w:space="0" w:color="auto"/>
                                            <w:right w:val="none" w:sz="0" w:space="0" w:color="auto"/>
                                          </w:divBdr>
                                          <w:divsChild>
                                            <w:div w:id="1289777789">
                                              <w:marLeft w:val="0"/>
                                              <w:marRight w:val="0"/>
                                              <w:marTop w:val="0"/>
                                              <w:marBottom w:val="0"/>
                                              <w:divBdr>
                                                <w:top w:val="none" w:sz="0" w:space="0" w:color="auto"/>
                                                <w:left w:val="none" w:sz="0" w:space="0" w:color="auto"/>
                                                <w:bottom w:val="none" w:sz="0" w:space="0" w:color="auto"/>
                                                <w:right w:val="none" w:sz="0" w:space="0" w:color="auto"/>
                                              </w:divBdr>
                                              <w:divsChild>
                                                <w:div w:id="2521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869850">
      <w:bodyDiv w:val="1"/>
      <w:marLeft w:val="0"/>
      <w:marRight w:val="0"/>
      <w:marTop w:val="0"/>
      <w:marBottom w:val="0"/>
      <w:divBdr>
        <w:top w:val="none" w:sz="0" w:space="0" w:color="auto"/>
        <w:left w:val="none" w:sz="0" w:space="0" w:color="auto"/>
        <w:bottom w:val="none" w:sz="0" w:space="0" w:color="auto"/>
        <w:right w:val="none" w:sz="0" w:space="0" w:color="auto"/>
      </w:divBdr>
    </w:div>
    <w:div w:id="868109561">
      <w:bodyDiv w:val="1"/>
      <w:marLeft w:val="0"/>
      <w:marRight w:val="0"/>
      <w:marTop w:val="0"/>
      <w:marBottom w:val="0"/>
      <w:divBdr>
        <w:top w:val="none" w:sz="0" w:space="0" w:color="auto"/>
        <w:left w:val="none" w:sz="0" w:space="0" w:color="auto"/>
        <w:bottom w:val="none" w:sz="0" w:space="0" w:color="auto"/>
        <w:right w:val="none" w:sz="0" w:space="0" w:color="auto"/>
      </w:divBdr>
      <w:divsChild>
        <w:div w:id="2019770734">
          <w:marLeft w:val="0"/>
          <w:marRight w:val="0"/>
          <w:marTop w:val="0"/>
          <w:marBottom w:val="0"/>
          <w:divBdr>
            <w:top w:val="none" w:sz="0" w:space="0" w:color="auto"/>
            <w:left w:val="none" w:sz="0" w:space="0" w:color="auto"/>
            <w:bottom w:val="none" w:sz="0" w:space="0" w:color="auto"/>
            <w:right w:val="none" w:sz="0" w:space="0" w:color="auto"/>
          </w:divBdr>
          <w:divsChild>
            <w:div w:id="1259172531">
              <w:marLeft w:val="0"/>
              <w:marRight w:val="0"/>
              <w:marTop w:val="0"/>
              <w:marBottom w:val="0"/>
              <w:divBdr>
                <w:top w:val="none" w:sz="0" w:space="0" w:color="auto"/>
                <w:left w:val="none" w:sz="0" w:space="0" w:color="auto"/>
                <w:bottom w:val="none" w:sz="0" w:space="0" w:color="auto"/>
                <w:right w:val="none" w:sz="0" w:space="0" w:color="auto"/>
              </w:divBdr>
              <w:divsChild>
                <w:div w:id="1368026065">
                  <w:marLeft w:val="0"/>
                  <w:marRight w:val="0"/>
                  <w:marTop w:val="0"/>
                  <w:marBottom w:val="0"/>
                  <w:divBdr>
                    <w:top w:val="none" w:sz="0" w:space="0" w:color="auto"/>
                    <w:left w:val="none" w:sz="0" w:space="0" w:color="auto"/>
                    <w:bottom w:val="none" w:sz="0" w:space="0" w:color="auto"/>
                    <w:right w:val="none" w:sz="0" w:space="0" w:color="auto"/>
                  </w:divBdr>
                  <w:divsChild>
                    <w:div w:id="638266466">
                      <w:marLeft w:val="0"/>
                      <w:marRight w:val="0"/>
                      <w:marTop w:val="0"/>
                      <w:marBottom w:val="0"/>
                      <w:divBdr>
                        <w:top w:val="none" w:sz="0" w:space="0" w:color="auto"/>
                        <w:left w:val="none" w:sz="0" w:space="0" w:color="auto"/>
                        <w:bottom w:val="none" w:sz="0" w:space="0" w:color="auto"/>
                        <w:right w:val="none" w:sz="0" w:space="0" w:color="auto"/>
                      </w:divBdr>
                      <w:divsChild>
                        <w:div w:id="1780373227">
                          <w:marLeft w:val="0"/>
                          <w:marRight w:val="0"/>
                          <w:marTop w:val="0"/>
                          <w:marBottom w:val="0"/>
                          <w:divBdr>
                            <w:top w:val="single" w:sz="4" w:space="0" w:color="828282"/>
                            <w:left w:val="single" w:sz="4" w:space="0" w:color="828282"/>
                            <w:bottom w:val="single" w:sz="4" w:space="0" w:color="828282"/>
                            <w:right w:val="single" w:sz="4" w:space="0" w:color="828282"/>
                          </w:divBdr>
                          <w:divsChild>
                            <w:div w:id="1756782134">
                              <w:marLeft w:val="0"/>
                              <w:marRight w:val="0"/>
                              <w:marTop w:val="0"/>
                              <w:marBottom w:val="0"/>
                              <w:divBdr>
                                <w:top w:val="none" w:sz="0" w:space="0" w:color="auto"/>
                                <w:left w:val="none" w:sz="0" w:space="0" w:color="auto"/>
                                <w:bottom w:val="none" w:sz="0" w:space="0" w:color="auto"/>
                                <w:right w:val="none" w:sz="0" w:space="0" w:color="auto"/>
                              </w:divBdr>
                              <w:divsChild>
                                <w:div w:id="636181837">
                                  <w:marLeft w:val="0"/>
                                  <w:marRight w:val="0"/>
                                  <w:marTop w:val="0"/>
                                  <w:marBottom w:val="0"/>
                                  <w:divBdr>
                                    <w:top w:val="none" w:sz="0" w:space="0" w:color="auto"/>
                                    <w:left w:val="none" w:sz="0" w:space="0" w:color="auto"/>
                                    <w:bottom w:val="none" w:sz="0" w:space="0" w:color="auto"/>
                                    <w:right w:val="none" w:sz="0" w:space="0" w:color="auto"/>
                                  </w:divBdr>
                                  <w:divsChild>
                                    <w:div w:id="481586061">
                                      <w:marLeft w:val="0"/>
                                      <w:marRight w:val="0"/>
                                      <w:marTop w:val="0"/>
                                      <w:marBottom w:val="0"/>
                                      <w:divBdr>
                                        <w:top w:val="none" w:sz="0" w:space="0" w:color="auto"/>
                                        <w:left w:val="none" w:sz="0" w:space="0" w:color="auto"/>
                                        <w:bottom w:val="none" w:sz="0" w:space="0" w:color="auto"/>
                                        <w:right w:val="none" w:sz="0" w:space="0" w:color="auto"/>
                                      </w:divBdr>
                                      <w:divsChild>
                                        <w:div w:id="370152820">
                                          <w:marLeft w:val="0"/>
                                          <w:marRight w:val="0"/>
                                          <w:marTop w:val="0"/>
                                          <w:marBottom w:val="0"/>
                                          <w:divBdr>
                                            <w:top w:val="none" w:sz="0" w:space="0" w:color="auto"/>
                                            <w:left w:val="none" w:sz="0" w:space="0" w:color="auto"/>
                                            <w:bottom w:val="none" w:sz="0" w:space="0" w:color="auto"/>
                                            <w:right w:val="none" w:sz="0" w:space="0" w:color="auto"/>
                                          </w:divBdr>
                                          <w:divsChild>
                                            <w:div w:id="1703943671">
                                              <w:marLeft w:val="0"/>
                                              <w:marRight w:val="0"/>
                                              <w:marTop w:val="0"/>
                                              <w:marBottom w:val="0"/>
                                              <w:divBdr>
                                                <w:top w:val="none" w:sz="0" w:space="0" w:color="auto"/>
                                                <w:left w:val="none" w:sz="0" w:space="0" w:color="auto"/>
                                                <w:bottom w:val="none" w:sz="0" w:space="0" w:color="auto"/>
                                                <w:right w:val="none" w:sz="0" w:space="0" w:color="auto"/>
                                              </w:divBdr>
                                              <w:divsChild>
                                                <w:div w:id="2232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724121">
      <w:bodyDiv w:val="1"/>
      <w:marLeft w:val="0"/>
      <w:marRight w:val="0"/>
      <w:marTop w:val="0"/>
      <w:marBottom w:val="0"/>
      <w:divBdr>
        <w:top w:val="none" w:sz="0" w:space="0" w:color="auto"/>
        <w:left w:val="none" w:sz="0" w:space="0" w:color="auto"/>
        <w:bottom w:val="none" w:sz="0" w:space="0" w:color="auto"/>
        <w:right w:val="none" w:sz="0" w:space="0" w:color="auto"/>
      </w:divBdr>
      <w:divsChild>
        <w:div w:id="609240011">
          <w:marLeft w:val="0"/>
          <w:marRight w:val="0"/>
          <w:marTop w:val="0"/>
          <w:marBottom w:val="0"/>
          <w:divBdr>
            <w:top w:val="none" w:sz="0" w:space="0" w:color="auto"/>
            <w:left w:val="none" w:sz="0" w:space="0" w:color="auto"/>
            <w:bottom w:val="none" w:sz="0" w:space="0" w:color="auto"/>
            <w:right w:val="none" w:sz="0" w:space="0" w:color="auto"/>
          </w:divBdr>
          <w:divsChild>
            <w:div w:id="2125611941">
              <w:marLeft w:val="0"/>
              <w:marRight w:val="0"/>
              <w:marTop w:val="0"/>
              <w:marBottom w:val="0"/>
              <w:divBdr>
                <w:top w:val="none" w:sz="0" w:space="0" w:color="auto"/>
                <w:left w:val="none" w:sz="0" w:space="0" w:color="auto"/>
                <w:bottom w:val="none" w:sz="0" w:space="0" w:color="auto"/>
                <w:right w:val="none" w:sz="0" w:space="0" w:color="auto"/>
              </w:divBdr>
              <w:divsChild>
                <w:div w:id="1149243940">
                  <w:marLeft w:val="0"/>
                  <w:marRight w:val="0"/>
                  <w:marTop w:val="0"/>
                  <w:marBottom w:val="0"/>
                  <w:divBdr>
                    <w:top w:val="none" w:sz="0" w:space="0" w:color="auto"/>
                    <w:left w:val="none" w:sz="0" w:space="0" w:color="auto"/>
                    <w:bottom w:val="none" w:sz="0" w:space="0" w:color="auto"/>
                    <w:right w:val="none" w:sz="0" w:space="0" w:color="auto"/>
                  </w:divBdr>
                  <w:divsChild>
                    <w:div w:id="149712799">
                      <w:marLeft w:val="0"/>
                      <w:marRight w:val="0"/>
                      <w:marTop w:val="0"/>
                      <w:marBottom w:val="0"/>
                      <w:divBdr>
                        <w:top w:val="none" w:sz="0" w:space="0" w:color="auto"/>
                        <w:left w:val="none" w:sz="0" w:space="0" w:color="auto"/>
                        <w:bottom w:val="none" w:sz="0" w:space="0" w:color="auto"/>
                        <w:right w:val="none" w:sz="0" w:space="0" w:color="auto"/>
                      </w:divBdr>
                      <w:divsChild>
                        <w:div w:id="1293831834">
                          <w:marLeft w:val="0"/>
                          <w:marRight w:val="1087"/>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6679">
      <w:bodyDiv w:val="1"/>
      <w:marLeft w:val="0"/>
      <w:marRight w:val="0"/>
      <w:marTop w:val="0"/>
      <w:marBottom w:val="0"/>
      <w:divBdr>
        <w:top w:val="none" w:sz="0" w:space="0" w:color="auto"/>
        <w:left w:val="none" w:sz="0" w:space="0" w:color="auto"/>
        <w:bottom w:val="none" w:sz="0" w:space="0" w:color="auto"/>
        <w:right w:val="none" w:sz="0" w:space="0" w:color="auto"/>
      </w:divBdr>
    </w:div>
    <w:div w:id="1832286055">
      <w:bodyDiv w:val="1"/>
      <w:marLeft w:val="0"/>
      <w:marRight w:val="0"/>
      <w:marTop w:val="0"/>
      <w:marBottom w:val="0"/>
      <w:divBdr>
        <w:top w:val="none" w:sz="0" w:space="0" w:color="auto"/>
        <w:left w:val="none" w:sz="0" w:space="0" w:color="auto"/>
        <w:bottom w:val="none" w:sz="0" w:space="0" w:color="auto"/>
        <w:right w:val="none" w:sz="0" w:space="0" w:color="auto"/>
      </w:divBdr>
      <w:divsChild>
        <w:div w:id="1159267728">
          <w:marLeft w:val="0"/>
          <w:marRight w:val="0"/>
          <w:marTop w:val="0"/>
          <w:marBottom w:val="0"/>
          <w:divBdr>
            <w:top w:val="none" w:sz="0" w:space="0" w:color="auto"/>
            <w:left w:val="none" w:sz="0" w:space="0" w:color="auto"/>
            <w:bottom w:val="none" w:sz="0" w:space="0" w:color="auto"/>
            <w:right w:val="none" w:sz="0" w:space="0" w:color="auto"/>
          </w:divBdr>
          <w:divsChild>
            <w:div w:id="1685787294">
              <w:marLeft w:val="0"/>
              <w:marRight w:val="0"/>
              <w:marTop w:val="0"/>
              <w:marBottom w:val="0"/>
              <w:divBdr>
                <w:top w:val="none" w:sz="0" w:space="0" w:color="auto"/>
                <w:left w:val="none" w:sz="0" w:space="0" w:color="auto"/>
                <w:bottom w:val="none" w:sz="0" w:space="0" w:color="auto"/>
                <w:right w:val="none" w:sz="0" w:space="0" w:color="auto"/>
              </w:divBdr>
              <w:divsChild>
                <w:div w:id="1547598919">
                  <w:marLeft w:val="0"/>
                  <w:marRight w:val="0"/>
                  <w:marTop w:val="0"/>
                  <w:marBottom w:val="0"/>
                  <w:divBdr>
                    <w:top w:val="none" w:sz="0" w:space="0" w:color="auto"/>
                    <w:left w:val="none" w:sz="0" w:space="0" w:color="auto"/>
                    <w:bottom w:val="none" w:sz="0" w:space="0" w:color="auto"/>
                    <w:right w:val="none" w:sz="0" w:space="0" w:color="auto"/>
                  </w:divBdr>
                  <w:divsChild>
                    <w:div w:id="388530157">
                      <w:marLeft w:val="0"/>
                      <w:marRight w:val="0"/>
                      <w:marTop w:val="0"/>
                      <w:marBottom w:val="0"/>
                      <w:divBdr>
                        <w:top w:val="none" w:sz="0" w:space="0" w:color="auto"/>
                        <w:left w:val="none" w:sz="0" w:space="0" w:color="auto"/>
                        <w:bottom w:val="none" w:sz="0" w:space="0" w:color="auto"/>
                        <w:right w:val="none" w:sz="0" w:space="0" w:color="auto"/>
                      </w:divBdr>
                      <w:divsChild>
                        <w:div w:id="1200554648">
                          <w:marLeft w:val="0"/>
                          <w:marRight w:val="0"/>
                          <w:marTop w:val="0"/>
                          <w:marBottom w:val="0"/>
                          <w:divBdr>
                            <w:top w:val="single" w:sz="4" w:space="0" w:color="828282"/>
                            <w:left w:val="single" w:sz="4" w:space="0" w:color="828282"/>
                            <w:bottom w:val="single" w:sz="4" w:space="0" w:color="828282"/>
                            <w:right w:val="single" w:sz="4" w:space="0" w:color="828282"/>
                          </w:divBdr>
                          <w:divsChild>
                            <w:div w:id="1825200019">
                              <w:marLeft w:val="0"/>
                              <w:marRight w:val="0"/>
                              <w:marTop w:val="0"/>
                              <w:marBottom w:val="0"/>
                              <w:divBdr>
                                <w:top w:val="none" w:sz="0" w:space="0" w:color="auto"/>
                                <w:left w:val="none" w:sz="0" w:space="0" w:color="auto"/>
                                <w:bottom w:val="none" w:sz="0" w:space="0" w:color="auto"/>
                                <w:right w:val="none" w:sz="0" w:space="0" w:color="auto"/>
                              </w:divBdr>
                              <w:divsChild>
                                <w:div w:id="1632977113">
                                  <w:marLeft w:val="0"/>
                                  <w:marRight w:val="0"/>
                                  <w:marTop w:val="0"/>
                                  <w:marBottom w:val="0"/>
                                  <w:divBdr>
                                    <w:top w:val="none" w:sz="0" w:space="0" w:color="auto"/>
                                    <w:left w:val="none" w:sz="0" w:space="0" w:color="auto"/>
                                    <w:bottom w:val="none" w:sz="0" w:space="0" w:color="auto"/>
                                    <w:right w:val="none" w:sz="0" w:space="0" w:color="auto"/>
                                  </w:divBdr>
                                  <w:divsChild>
                                    <w:div w:id="1689913330">
                                      <w:marLeft w:val="0"/>
                                      <w:marRight w:val="0"/>
                                      <w:marTop w:val="0"/>
                                      <w:marBottom w:val="0"/>
                                      <w:divBdr>
                                        <w:top w:val="none" w:sz="0" w:space="0" w:color="auto"/>
                                        <w:left w:val="none" w:sz="0" w:space="0" w:color="auto"/>
                                        <w:bottom w:val="none" w:sz="0" w:space="0" w:color="auto"/>
                                        <w:right w:val="none" w:sz="0" w:space="0" w:color="auto"/>
                                      </w:divBdr>
                                      <w:divsChild>
                                        <w:div w:id="1825968162">
                                          <w:marLeft w:val="0"/>
                                          <w:marRight w:val="0"/>
                                          <w:marTop w:val="0"/>
                                          <w:marBottom w:val="0"/>
                                          <w:divBdr>
                                            <w:top w:val="none" w:sz="0" w:space="0" w:color="auto"/>
                                            <w:left w:val="none" w:sz="0" w:space="0" w:color="auto"/>
                                            <w:bottom w:val="none" w:sz="0" w:space="0" w:color="auto"/>
                                            <w:right w:val="none" w:sz="0" w:space="0" w:color="auto"/>
                                          </w:divBdr>
                                          <w:divsChild>
                                            <w:div w:id="1463964897">
                                              <w:marLeft w:val="0"/>
                                              <w:marRight w:val="0"/>
                                              <w:marTop w:val="0"/>
                                              <w:marBottom w:val="0"/>
                                              <w:divBdr>
                                                <w:top w:val="none" w:sz="0" w:space="0" w:color="auto"/>
                                                <w:left w:val="none" w:sz="0" w:space="0" w:color="auto"/>
                                                <w:bottom w:val="none" w:sz="0" w:space="0" w:color="auto"/>
                                                <w:right w:val="none" w:sz="0" w:space="0" w:color="auto"/>
                                              </w:divBdr>
                                              <w:divsChild>
                                                <w:div w:id="1784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171763">
      <w:bodyDiv w:val="1"/>
      <w:marLeft w:val="0"/>
      <w:marRight w:val="0"/>
      <w:marTop w:val="0"/>
      <w:marBottom w:val="0"/>
      <w:divBdr>
        <w:top w:val="none" w:sz="0" w:space="0" w:color="auto"/>
        <w:left w:val="none" w:sz="0" w:space="0" w:color="auto"/>
        <w:bottom w:val="none" w:sz="0" w:space="0" w:color="auto"/>
        <w:right w:val="none" w:sz="0" w:space="0" w:color="auto"/>
      </w:divBdr>
    </w:div>
    <w:div w:id="1921795455">
      <w:bodyDiv w:val="1"/>
      <w:marLeft w:val="0"/>
      <w:marRight w:val="0"/>
      <w:marTop w:val="0"/>
      <w:marBottom w:val="0"/>
      <w:divBdr>
        <w:top w:val="none" w:sz="0" w:space="0" w:color="auto"/>
        <w:left w:val="none" w:sz="0" w:space="0" w:color="auto"/>
        <w:bottom w:val="none" w:sz="0" w:space="0" w:color="auto"/>
        <w:right w:val="none" w:sz="0" w:space="0" w:color="auto"/>
      </w:divBdr>
    </w:div>
    <w:div w:id="1941908848">
      <w:bodyDiv w:val="1"/>
      <w:marLeft w:val="0"/>
      <w:marRight w:val="0"/>
      <w:marTop w:val="0"/>
      <w:marBottom w:val="0"/>
      <w:divBdr>
        <w:top w:val="none" w:sz="0" w:space="0" w:color="auto"/>
        <w:left w:val="none" w:sz="0" w:space="0" w:color="auto"/>
        <w:bottom w:val="none" w:sz="0" w:space="0" w:color="auto"/>
        <w:right w:val="none" w:sz="0" w:space="0" w:color="auto"/>
      </w:divBdr>
      <w:divsChild>
        <w:div w:id="1671517103">
          <w:marLeft w:val="0"/>
          <w:marRight w:val="0"/>
          <w:marTop w:val="0"/>
          <w:marBottom w:val="0"/>
          <w:divBdr>
            <w:top w:val="none" w:sz="0" w:space="0" w:color="auto"/>
            <w:left w:val="none" w:sz="0" w:space="0" w:color="auto"/>
            <w:bottom w:val="none" w:sz="0" w:space="0" w:color="auto"/>
            <w:right w:val="none" w:sz="0" w:space="0" w:color="auto"/>
          </w:divBdr>
          <w:divsChild>
            <w:div w:id="1509976898">
              <w:marLeft w:val="0"/>
              <w:marRight w:val="0"/>
              <w:marTop w:val="0"/>
              <w:marBottom w:val="0"/>
              <w:divBdr>
                <w:top w:val="none" w:sz="0" w:space="0" w:color="auto"/>
                <w:left w:val="none" w:sz="0" w:space="0" w:color="auto"/>
                <w:bottom w:val="none" w:sz="0" w:space="0" w:color="auto"/>
                <w:right w:val="none" w:sz="0" w:space="0" w:color="auto"/>
              </w:divBdr>
              <w:divsChild>
                <w:div w:id="606355870">
                  <w:marLeft w:val="0"/>
                  <w:marRight w:val="0"/>
                  <w:marTop w:val="0"/>
                  <w:marBottom w:val="0"/>
                  <w:divBdr>
                    <w:top w:val="none" w:sz="0" w:space="0" w:color="auto"/>
                    <w:left w:val="none" w:sz="0" w:space="0" w:color="auto"/>
                    <w:bottom w:val="none" w:sz="0" w:space="0" w:color="auto"/>
                    <w:right w:val="none" w:sz="0" w:space="0" w:color="auto"/>
                  </w:divBdr>
                  <w:divsChild>
                    <w:div w:id="2120366939">
                      <w:marLeft w:val="0"/>
                      <w:marRight w:val="0"/>
                      <w:marTop w:val="0"/>
                      <w:marBottom w:val="0"/>
                      <w:divBdr>
                        <w:top w:val="none" w:sz="0" w:space="0" w:color="auto"/>
                        <w:left w:val="none" w:sz="0" w:space="0" w:color="auto"/>
                        <w:bottom w:val="none" w:sz="0" w:space="0" w:color="auto"/>
                        <w:right w:val="none" w:sz="0" w:space="0" w:color="auto"/>
                      </w:divBdr>
                      <w:divsChild>
                        <w:div w:id="666447815">
                          <w:marLeft w:val="0"/>
                          <w:marRight w:val="1087"/>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938278">
      <w:bodyDiv w:val="1"/>
      <w:marLeft w:val="0"/>
      <w:marRight w:val="0"/>
      <w:marTop w:val="0"/>
      <w:marBottom w:val="0"/>
      <w:divBdr>
        <w:top w:val="none" w:sz="0" w:space="0" w:color="auto"/>
        <w:left w:val="none" w:sz="0" w:space="0" w:color="auto"/>
        <w:bottom w:val="none" w:sz="0" w:space="0" w:color="auto"/>
        <w:right w:val="none" w:sz="0" w:space="0" w:color="auto"/>
      </w:divBdr>
      <w:divsChild>
        <w:div w:id="2129156139">
          <w:marLeft w:val="0"/>
          <w:marRight w:val="0"/>
          <w:marTop w:val="0"/>
          <w:marBottom w:val="0"/>
          <w:divBdr>
            <w:top w:val="none" w:sz="0" w:space="0" w:color="auto"/>
            <w:left w:val="none" w:sz="0" w:space="0" w:color="auto"/>
            <w:bottom w:val="none" w:sz="0" w:space="0" w:color="auto"/>
            <w:right w:val="none" w:sz="0" w:space="0" w:color="auto"/>
          </w:divBdr>
          <w:divsChild>
            <w:div w:id="1614826404">
              <w:marLeft w:val="0"/>
              <w:marRight w:val="0"/>
              <w:marTop w:val="0"/>
              <w:marBottom w:val="0"/>
              <w:divBdr>
                <w:top w:val="none" w:sz="0" w:space="0" w:color="auto"/>
                <w:left w:val="none" w:sz="0" w:space="0" w:color="auto"/>
                <w:bottom w:val="none" w:sz="0" w:space="0" w:color="auto"/>
                <w:right w:val="none" w:sz="0" w:space="0" w:color="auto"/>
              </w:divBdr>
              <w:divsChild>
                <w:div w:id="1313022063">
                  <w:marLeft w:val="0"/>
                  <w:marRight w:val="0"/>
                  <w:marTop w:val="0"/>
                  <w:marBottom w:val="0"/>
                  <w:divBdr>
                    <w:top w:val="none" w:sz="0" w:space="0" w:color="auto"/>
                    <w:left w:val="none" w:sz="0" w:space="0" w:color="auto"/>
                    <w:bottom w:val="none" w:sz="0" w:space="0" w:color="auto"/>
                    <w:right w:val="none" w:sz="0" w:space="0" w:color="auto"/>
                  </w:divBdr>
                  <w:divsChild>
                    <w:div w:id="980502635">
                      <w:marLeft w:val="0"/>
                      <w:marRight w:val="0"/>
                      <w:marTop w:val="0"/>
                      <w:marBottom w:val="0"/>
                      <w:divBdr>
                        <w:top w:val="none" w:sz="0" w:space="0" w:color="auto"/>
                        <w:left w:val="none" w:sz="0" w:space="0" w:color="auto"/>
                        <w:bottom w:val="none" w:sz="0" w:space="0" w:color="auto"/>
                        <w:right w:val="none" w:sz="0" w:space="0" w:color="auto"/>
                      </w:divBdr>
                      <w:divsChild>
                        <w:div w:id="1175144471">
                          <w:marLeft w:val="0"/>
                          <w:marRight w:val="0"/>
                          <w:marTop w:val="0"/>
                          <w:marBottom w:val="0"/>
                          <w:divBdr>
                            <w:top w:val="single" w:sz="4" w:space="0" w:color="828282"/>
                            <w:left w:val="single" w:sz="4" w:space="0" w:color="828282"/>
                            <w:bottom w:val="single" w:sz="4" w:space="0" w:color="828282"/>
                            <w:right w:val="single" w:sz="4" w:space="0" w:color="828282"/>
                          </w:divBdr>
                          <w:divsChild>
                            <w:div w:id="2046252210">
                              <w:marLeft w:val="0"/>
                              <w:marRight w:val="0"/>
                              <w:marTop w:val="0"/>
                              <w:marBottom w:val="0"/>
                              <w:divBdr>
                                <w:top w:val="none" w:sz="0" w:space="0" w:color="auto"/>
                                <w:left w:val="none" w:sz="0" w:space="0" w:color="auto"/>
                                <w:bottom w:val="none" w:sz="0" w:space="0" w:color="auto"/>
                                <w:right w:val="none" w:sz="0" w:space="0" w:color="auto"/>
                              </w:divBdr>
                              <w:divsChild>
                                <w:div w:id="880434422">
                                  <w:marLeft w:val="0"/>
                                  <w:marRight w:val="0"/>
                                  <w:marTop w:val="0"/>
                                  <w:marBottom w:val="0"/>
                                  <w:divBdr>
                                    <w:top w:val="none" w:sz="0" w:space="0" w:color="auto"/>
                                    <w:left w:val="none" w:sz="0" w:space="0" w:color="auto"/>
                                    <w:bottom w:val="none" w:sz="0" w:space="0" w:color="auto"/>
                                    <w:right w:val="none" w:sz="0" w:space="0" w:color="auto"/>
                                  </w:divBdr>
                                  <w:divsChild>
                                    <w:div w:id="1746880872">
                                      <w:marLeft w:val="0"/>
                                      <w:marRight w:val="0"/>
                                      <w:marTop w:val="0"/>
                                      <w:marBottom w:val="0"/>
                                      <w:divBdr>
                                        <w:top w:val="none" w:sz="0" w:space="0" w:color="auto"/>
                                        <w:left w:val="none" w:sz="0" w:space="0" w:color="auto"/>
                                        <w:bottom w:val="none" w:sz="0" w:space="0" w:color="auto"/>
                                        <w:right w:val="none" w:sz="0" w:space="0" w:color="auto"/>
                                      </w:divBdr>
                                      <w:divsChild>
                                        <w:div w:id="1963878590">
                                          <w:marLeft w:val="0"/>
                                          <w:marRight w:val="0"/>
                                          <w:marTop w:val="0"/>
                                          <w:marBottom w:val="0"/>
                                          <w:divBdr>
                                            <w:top w:val="none" w:sz="0" w:space="0" w:color="auto"/>
                                            <w:left w:val="none" w:sz="0" w:space="0" w:color="auto"/>
                                            <w:bottom w:val="none" w:sz="0" w:space="0" w:color="auto"/>
                                            <w:right w:val="none" w:sz="0" w:space="0" w:color="auto"/>
                                          </w:divBdr>
                                          <w:divsChild>
                                            <w:div w:id="629946498">
                                              <w:marLeft w:val="0"/>
                                              <w:marRight w:val="0"/>
                                              <w:marTop w:val="0"/>
                                              <w:marBottom w:val="0"/>
                                              <w:divBdr>
                                                <w:top w:val="none" w:sz="0" w:space="0" w:color="auto"/>
                                                <w:left w:val="none" w:sz="0" w:space="0" w:color="auto"/>
                                                <w:bottom w:val="none" w:sz="0" w:space="0" w:color="auto"/>
                                                <w:right w:val="none" w:sz="0" w:space="0" w:color="auto"/>
                                              </w:divBdr>
                                              <w:divsChild>
                                                <w:div w:id="17864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ct:contentTypeSchema xmlns:ct="http://schemas.microsoft.com/office/2006/metadata/contentType" xmlns:ma="http://schemas.microsoft.com/office/2006/metadata/properties/metaAttributes" ct:_="" ma:_="" ma:contentTypeName="Record" ma:contentTypeID="0x01010070E27D6A746B5B48ADF22C2128054D5500020C07817F1F68498B2166EE12B17A57" ma:contentTypeVersion="35" ma:contentTypeDescription="A document enhanced so that it is automatically captured by RecordPoint." ma:contentTypeScope="" ma:versionID="e7e4629d89fad1c8ff1348d29791285f">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d30610679a7f49b9b50f4c260411420f"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ER2013/025222</Record_x0020_Number>
    <Legacy_x0020_Record_x0020_Number xmlns="83630db1-6fc2-4dfd-b3fe-d61d34e1440c" xsi:nil="true"/>
    <IconOverlay xmlns="http://schemas.microsoft.com/sharepoint/v4" xsi:nil="true"/>
    <Category xmlns="5e268b55-9e20-462b-aba6-694451a37717">(none)</Category>
    <_dlc_DocId xmlns="6db8f3c6-01a1-4322-b043-a3b2a190f7a8">KNAH4PPFC442-1945-716</_dlc_DocId>
    <_dlc_DocIdUrl xmlns="6db8f3c6-01a1-4322-b043-a3b2a190f7a8">
      <Url>http://collaboration/organisation/Auth/Chair/Auth/_layouts/DocIdRedir.aspx?ID=KNAH4PPFC442-1945-716</Url>
      <Description>KNAH4PPFC442-1945-716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1CFB-73DB-4544-8346-B2E18ADEA2F4}">
  <ds:schemaRefs>
    <ds:schemaRef ds:uri="http://schemas.microsoft.com/sharepoint/events"/>
  </ds:schemaRefs>
</ds:datastoreItem>
</file>

<file path=customXml/itemProps2.xml><?xml version="1.0" encoding="utf-8"?>
<ds:datastoreItem xmlns:ds="http://schemas.openxmlformats.org/officeDocument/2006/customXml" ds:itemID="{AB4003B3-A0E1-4DF0-B38A-CE1F83D11E48}">
  <ds:schemaRefs>
    <ds:schemaRef ds:uri="Microsoft.SharePoint.Taxonomy.ContentTypeSync"/>
  </ds:schemaRefs>
</ds:datastoreItem>
</file>

<file path=customXml/itemProps3.xml><?xml version="1.0" encoding="utf-8"?>
<ds:datastoreItem xmlns:ds="http://schemas.openxmlformats.org/officeDocument/2006/customXml" ds:itemID="{E9F2EDF3-302F-4559-9FB7-B45138313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96368-0DD5-4859-A87C-8EB8E06F0B54}">
  <ds:schemaRefs>
    <ds:schemaRef ds:uri="http://schemas.microsoft.com/sharepoint/v3/contenttype/forms"/>
  </ds:schemaRefs>
</ds:datastoreItem>
</file>

<file path=customXml/itemProps5.xml><?xml version="1.0" encoding="utf-8"?>
<ds:datastoreItem xmlns:ds="http://schemas.openxmlformats.org/officeDocument/2006/customXml" ds:itemID="{9886C925-9D0C-4246-A353-3842371BDC82}">
  <ds:schemaRefs>
    <ds:schemaRef ds:uri="http://schemas.microsoft.com/office/2006/metadata/properties"/>
    <ds:schemaRef ds:uri="http://schemas.microsoft.com/office/infopath/2007/PartnerControls"/>
    <ds:schemaRef ds:uri="83630db1-6fc2-4dfd-b3fe-d61d34e1440c"/>
    <ds:schemaRef ds:uri="http://schemas.microsoft.com/sharepoint/v4"/>
    <ds:schemaRef ds:uri="5e268b55-9e20-462b-aba6-694451a37717"/>
    <ds:schemaRef ds:uri="6db8f3c6-01a1-4322-b043-a3b2a190f7a8"/>
  </ds:schemaRefs>
</ds:datastoreItem>
</file>

<file path=customXml/itemProps6.xml><?xml version="1.0" encoding="utf-8"?>
<ds:datastoreItem xmlns:ds="http://schemas.openxmlformats.org/officeDocument/2006/customXml" ds:itemID="{7F70B5A7-4874-4F27-8631-F7F1D3C3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mdalton</dc:creator>
  <cp:lastModifiedBy>Helen Turnbull</cp:lastModifiedBy>
  <cp:revision>2</cp:revision>
  <cp:lastPrinted>2013-07-31T04:48:00Z</cp:lastPrinted>
  <dcterms:created xsi:type="dcterms:W3CDTF">2013-08-07T00:55:00Z</dcterms:created>
  <dcterms:modified xsi:type="dcterms:W3CDTF">2013-08-07T00:55:00Z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0x01010070E27D6A746B5B48ADF22C2128054D5500020C07817F1F68498B2166EE12B17A57</vt:lpwstr>
  </property>
  <property fmtid="{D5CDD505-2E9C-101B-9397-08002B2CF9AE}" pid="3" name="_dlc_DocIdItemGuid">
    <vt:lpwstr>c86bb2ba-6c16-40c1-a107-dd38db111e1e</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2013-07-24T18:05:11.0720498+10:00</vt:lpwstr>
  </property>
  <property fmtid="{D5CDD505-2E9C-101B-9397-08002B2CF9AE}" pid="9" name="RecordPoint_ActiveItemUniqueId">
    <vt:lpwstr>{c86bb2ba-6c16-40c1-a107-dd38db111e1e}</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