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767CE" w:rsidRDefault="00193461" w:rsidP="0048364F">
      <w:pPr>
        <w:rPr>
          <w:sz w:val="28"/>
        </w:rPr>
      </w:pPr>
      <w:r w:rsidRPr="00E767CE">
        <w:rPr>
          <w:noProof/>
          <w:lang w:eastAsia="en-AU"/>
        </w:rPr>
        <w:drawing>
          <wp:inline distT="0" distB="0" distL="0" distR="0" wp14:anchorId="3663A54B" wp14:editId="27C90C82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767CE" w:rsidRDefault="0048364F" w:rsidP="0048364F">
      <w:pPr>
        <w:rPr>
          <w:sz w:val="19"/>
        </w:rPr>
      </w:pPr>
    </w:p>
    <w:p w:rsidR="0048364F" w:rsidRPr="00E767CE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E767CE" w:rsidRDefault="00F46A93" w:rsidP="0048364F">
      <w:pPr>
        <w:pStyle w:val="ShortT"/>
      </w:pPr>
      <w:r w:rsidRPr="00E767CE">
        <w:t>Legislative Instruments Amendment (Sunsetting Exemptions) Regulation</w:t>
      </w:r>
      <w:r w:rsidR="00E767CE" w:rsidRPr="00E767CE">
        <w:t> </w:t>
      </w:r>
      <w:r w:rsidRPr="00E767CE">
        <w:t>2013</w:t>
      </w:r>
    </w:p>
    <w:p w:rsidR="0048364F" w:rsidRPr="00E767CE" w:rsidRDefault="0048364F" w:rsidP="0048364F"/>
    <w:p w:rsidR="0048364F" w:rsidRPr="00E767CE" w:rsidRDefault="00A4361F" w:rsidP="00680F17">
      <w:pPr>
        <w:pStyle w:val="InstNo"/>
      </w:pPr>
      <w:r w:rsidRPr="00E767CE">
        <w:t>Select Legislative Instrument</w:t>
      </w:r>
      <w:r w:rsidR="00154EAC" w:rsidRPr="00E767CE">
        <w:t xml:space="preserve"> </w:t>
      </w:r>
      <w:bookmarkStart w:id="1" w:name="BKCheck15B_1"/>
      <w:bookmarkEnd w:id="1"/>
      <w:r w:rsidR="00D0104A" w:rsidRPr="00E767CE">
        <w:fldChar w:fldCharType="begin"/>
      </w:r>
      <w:r w:rsidR="00D0104A" w:rsidRPr="00E767CE">
        <w:instrText xml:space="preserve"> DOCPROPERTY  ActNo </w:instrText>
      </w:r>
      <w:r w:rsidR="00D0104A" w:rsidRPr="00E767CE">
        <w:fldChar w:fldCharType="separate"/>
      </w:r>
      <w:r w:rsidR="00D664F3">
        <w:t>No. 212, 2013</w:t>
      </w:r>
      <w:r w:rsidR="00D0104A" w:rsidRPr="00E767CE">
        <w:fldChar w:fldCharType="end"/>
      </w:r>
    </w:p>
    <w:p w:rsidR="003E09D6" w:rsidRPr="00E767CE" w:rsidRDefault="003E09D6" w:rsidP="00372AA2">
      <w:pPr>
        <w:pStyle w:val="SignCoverPageStart"/>
        <w:spacing w:before="240"/>
      </w:pPr>
      <w:r w:rsidRPr="00E767CE">
        <w:t>I, Quentin Bryce AC CVO, Governor</w:t>
      </w:r>
      <w:r w:rsidR="00E767CE">
        <w:noBreakHyphen/>
      </w:r>
      <w:r w:rsidRPr="00E767CE">
        <w:t xml:space="preserve">General of the Commonwealth of Australia, acting with the advice of the Federal Executive Council, make the following regulation under the </w:t>
      </w:r>
      <w:r w:rsidRPr="00E767CE">
        <w:rPr>
          <w:i/>
        </w:rPr>
        <w:t>Legislative Instruments Act 2003</w:t>
      </w:r>
      <w:r w:rsidRPr="00E767CE">
        <w:t>.</w:t>
      </w:r>
    </w:p>
    <w:p w:rsidR="003E09D6" w:rsidRPr="00E767CE" w:rsidRDefault="003E09D6" w:rsidP="00372AA2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E767CE">
        <w:rPr>
          <w:sz w:val="24"/>
          <w:szCs w:val="24"/>
        </w:rPr>
        <w:t xml:space="preserve">Dated </w:t>
      </w:r>
      <w:bookmarkStart w:id="2" w:name="BKCheck15B_2"/>
      <w:bookmarkEnd w:id="2"/>
      <w:r w:rsidRPr="00E767CE">
        <w:rPr>
          <w:sz w:val="24"/>
          <w:szCs w:val="24"/>
        </w:rPr>
        <w:fldChar w:fldCharType="begin"/>
      </w:r>
      <w:r w:rsidRPr="00E767CE">
        <w:rPr>
          <w:sz w:val="24"/>
          <w:szCs w:val="24"/>
        </w:rPr>
        <w:instrText xml:space="preserve"> DOCPROPERTY  DateMade </w:instrText>
      </w:r>
      <w:r w:rsidRPr="00E767CE">
        <w:rPr>
          <w:sz w:val="24"/>
          <w:szCs w:val="24"/>
        </w:rPr>
        <w:fldChar w:fldCharType="separate"/>
      </w:r>
      <w:r w:rsidR="00D664F3">
        <w:rPr>
          <w:sz w:val="24"/>
          <w:szCs w:val="24"/>
        </w:rPr>
        <w:t>05 August 2013</w:t>
      </w:r>
      <w:r w:rsidRPr="00E767CE">
        <w:rPr>
          <w:sz w:val="24"/>
          <w:szCs w:val="24"/>
        </w:rPr>
        <w:fldChar w:fldCharType="end"/>
      </w:r>
    </w:p>
    <w:p w:rsidR="003E09D6" w:rsidRPr="00E767CE" w:rsidRDefault="003E09D6" w:rsidP="00372AA2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E767CE">
        <w:t>Quentin Bryce</w:t>
      </w:r>
    </w:p>
    <w:p w:rsidR="003E09D6" w:rsidRPr="00E767CE" w:rsidRDefault="003E09D6" w:rsidP="00372AA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E767CE">
        <w:rPr>
          <w:sz w:val="24"/>
          <w:szCs w:val="24"/>
        </w:rPr>
        <w:t>Governor</w:t>
      </w:r>
      <w:r w:rsidR="00E767CE">
        <w:rPr>
          <w:sz w:val="24"/>
          <w:szCs w:val="24"/>
        </w:rPr>
        <w:noBreakHyphen/>
      </w:r>
      <w:r w:rsidRPr="00E767CE">
        <w:rPr>
          <w:sz w:val="24"/>
          <w:szCs w:val="24"/>
        </w:rPr>
        <w:t>General</w:t>
      </w:r>
    </w:p>
    <w:p w:rsidR="003E09D6" w:rsidRPr="00E767CE" w:rsidRDefault="003E09D6" w:rsidP="00372AA2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E767CE">
        <w:rPr>
          <w:sz w:val="24"/>
          <w:szCs w:val="24"/>
        </w:rPr>
        <w:t>By Her Excellency’s Command</w:t>
      </w:r>
    </w:p>
    <w:p w:rsidR="003E09D6" w:rsidRPr="00E767CE" w:rsidRDefault="003E09D6" w:rsidP="00372AA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767CE">
        <w:rPr>
          <w:szCs w:val="22"/>
        </w:rPr>
        <w:t>Mark Dreyfus QC</w:t>
      </w:r>
    </w:p>
    <w:p w:rsidR="003E09D6" w:rsidRPr="00E767CE" w:rsidRDefault="003E09D6" w:rsidP="00372AA2">
      <w:pPr>
        <w:pStyle w:val="SignCoverPageEnd"/>
      </w:pPr>
      <w:r w:rsidRPr="00E767CE">
        <w:t>Attorney</w:t>
      </w:r>
      <w:r w:rsidR="00E767CE">
        <w:noBreakHyphen/>
      </w:r>
      <w:r w:rsidRPr="00E767CE">
        <w:t>General</w:t>
      </w:r>
    </w:p>
    <w:p w:rsidR="003E09D6" w:rsidRPr="00E767CE" w:rsidRDefault="003E09D6" w:rsidP="003E09D6"/>
    <w:p w:rsidR="0048364F" w:rsidRPr="00E767CE" w:rsidRDefault="0048364F" w:rsidP="0048364F">
      <w:pPr>
        <w:pStyle w:val="Header"/>
        <w:tabs>
          <w:tab w:val="clear" w:pos="4150"/>
          <w:tab w:val="clear" w:pos="8307"/>
        </w:tabs>
      </w:pPr>
      <w:r w:rsidRPr="00E767CE">
        <w:rPr>
          <w:rStyle w:val="CharAmSchNo"/>
        </w:rPr>
        <w:t xml:space="preserve"> </w:t>
      </w:r>
      <w:r w:rsidRPr="00E767CE">
        <w:rPr>
          <w:rStyle w:val="CharAmSchText"/>
        </w:rPr>
        <w:t xml:space="preserve"> </w:t>
      </w:r>
    </w:p>
    <w:p w:rsidR="0048364F" w:rsidRPr="00E767CE" w:rsidRDefault="0048364F" w:rsidP="0048364F">
      <w:pPr>
        <w:pStyle w:val="Header"/>
        <w:tabs>
          <w:tab w:val="clear" w:pos="4150"/>
          <w:tab w:val="clear" w:pos="8307"/>
        </w:tabs>
      </w:pPr>
      <w:r w:rsidRPr="00E767CE">
        <w:rPr>
          <w:rStyle w:val="CharAmPartNo"/>
        </w:rPr>
        <w:t xml:space="preserve"> </w:t>
      </w:r>
      <w:r w:rsidRPr="00E767CE">
        <w:rPr>
          <w:rStyle w:val="CharAmPartText"/>
        </w:rPr>
        <w:t xml:space="preserve"> </w:t>
      </w:r>
    </w:p>
    <w:p w:rsidR="0048364F" w:rsidRPr="00E767CE" w:rsidRDefault="0048364F" w:rsidP="0048364F">
      <w:pPr>
        <w:sectPr w:rsidR="0048364F" w:rsidRPr="00E767CE" w:rsidSect="00670D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767CE" w:rsidRDefault="0048364F" w:rsidP="00B43825">
      <w:pPr>
        <w:rPr>
          <w:sz w:val="36"/>
        </w:rPr>
      </w:pPr>
      <w:r w:rsidRPr="00E767CE">
        <w:rPr>
          <w:sz w:val="36"/>
        </w:rPr>
        <w:lastRenderedPageBreak/>
        <w:t>Contents</w:t>
      </w:r>
    </w:p>
    <w:bookmarkStart w:id="3" w:name="BKCheck15B_3"/>
    <w:bookmarkEnd w:id="3"/>
    <w:p w:rsidR="00372AA2" w:rsidRPr="00E767CE" w:rsidRDefault="00372A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7CE">
        <w:fldChar w:fldCharType="begin"/>
      </w:r>
      <w:r w:rsidRPr="00E767CE">
        <w:instrText xml:space="preserve"> TOC \o "1-9" </w:instrText>
      </w:r>
      <w:r w:rsidRPr="00E767CE">
        <w:fldChar w:fldCharType="separate"/>
      </w:r>
      <w:r w:rsidRPr="00E767CE">
        <w:rPr>
          <w:noProof/>
        </w:rPr>
        <w:t>1</w:t>
      </w:r>
      <w:r w:rsidRPr="00E767CE">
        <w:rPr>
          <w:noProof/>
        </w:rPr>
        <w:tab/>
        <w:t>Name of regulation</w:t>
      </w:r>
      <w:r w:rsidRPr="00E767CE">
        <w:rPr>
          <w:noProof/>
        </w:rPr>
        <w:tab/>
      </w:r>
      <w:r w:rsidRPr="00E767CE">
        <w:rPr>
          <w:noProof/>
        </w:rPr>
        <w:fldChar w:fldCharType="begin"/>
      </w:r>
      <w:r w:rsidRPr="00E767CE">
        <w:rPr>
          <w:noProof/>
        </w:rPr>
        <w:instrText xml:space="preserve"> PAGEREF _Toc362347494 \h </w:instrText>
      </w:r>
      <w:r w:rsidRPr="00E767CE">
        <w:rPr>
          <w:noProof/>
        </w:rPr>
      </w:r>
      <w:r w:rsidRPr="00E767CE">
        <w:rPr>
          <w:noProof/>
        </w:rPr>
        <w:fldChar w:fldCharType="separate"/>
      </w:r>
      <w:r w:rsidR="00D664F3">
        <w:rPr>
          <w:noProof/>
        </w:rPr>
        <w:t>1</w:t>
      </w:r>
      <w:r w:rsidRPr="00E767CE">
        <w:rPr>
          <w:noProof/>
        </w:rPr>
        <w:fldChar w:fldCharType="end"/>
      </w:r>
    </w:p>
    <w:p w:rsidR="00372AA2" w:rsidRPr="00E767CE" w:rsidRDefault="00372A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7CE">
        <w:rPr>
          <w:noProof/>
        </w:rPr>
        <w:t>2</w:t>
      </w:r>
      <w:r w:rsidRPr="00E767CE">
        <w:rPr>
          <w:noProof/>
        </w:rPr>
        <w:tab/>
        <w:t>Commencement</w:t>
      </w:r>
      <w:r w:rsidRPr="00E767CE">
        <w:rPr>
          <w:noProof/>
        </w:rPr>
        <w:tab/>
      </w:r>
      <w:r w:rsidRPr="00E767CE">
        <w:rPr>
          <w:noProof/>
        </w:rPr>
        <w:fldChar w:fldCharType="begin"/>
      </w:r>
      <w:r w:rsidRPr="00E767CE">
        <w:rPr>
          <w:noProof/>
        </w:rPr>
        <w:instrText xml:space="preserve"> PAGEREF _Toc362347495 \h </w:instrText>
      </w:r>
      <w:r w:rsidRPr="00E767CE">
        <w:rPr>
          <w:noProof/>
        </w:rPr>
      </w:r>
      <w:r w:rsidRPr="00E767CE">
        <w:rPr>
          <w:noProof/>
        </w:rPr>
        <w:fldChar w:fldCharType="separate"/>
      </w:r>
      <w:r w:rsidR="00D664F3">
        <w:rPr>
          <w:noProof/>
        </w:rPr>
        <w:t>1</w:t>
      </w:r>
      <w:r w:rsidRPr="00E767CE">
        <w:rPr>
          <w:noProof/>
        </w:rPr>
        <w:fldChar w:fldCharType="end"/>
      </w:r>
    </w:p>
    <w:p w:rsidR="00372AA2" w:rsidRPr="00E767CE" w:rsidRDefault="00372A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7CE">
        <w:rPr>
          <w:noProof/>
        </w:rPr>
        <w:t>3</w:t>
      </w:r>
      <w:r w:rsidRPr="00E767CE">
        <w:rPr>
          <w:noProof/>
        </w:rPr>
        <w:tab/>
        <w:t>Authority</w:t>
      </w:r>
      <w:r w:rsidRPr="00E767CE">
        <w:rPr>
          <w:noProof/>
        </w:rPr>
        <w:tab/>
      </w:r>
      <w:r w:rsidRPr="00E767CE">
        <w:rPr>
          <w:noProof/>
        </w:rPr>
        <w:fldChar w:fldCharType="begin"/>
      </w:r>
      <w:r w:rsidRPr="00E767CE">
        <w:rPr>
          <w:noProof/>
        </w:rPr>
        <w:instrText xml:space="preserve"> PAGEREF _Toc362347496 \h </w:instrText>
      </w:r>
      <w:r w:rsidRPr="00E767CE">
        <w:rPr>
          <w:noProof/>
        </w:rPr>
      </w:r>
      <w:r w:rsidRPr="00E767CE">
        <w:rPr>
          <w:noProof/>
        </w:rPr>
        <w:fldChar w:fldCharType="separate"/>
      </w:r>
      <w:r w:rsidR="00D664F3">
        <w:rPr>
          <w:noProof/>
        </w:rPr>
        <w:t>1</w:t>
      </w:r>
      <w:r w:rsidRPr="00E767CE">
        <w:rPr>
          <w:noProof/>
        </w:rPr>
        <w:fldChar w:fldCharType="end"/>
      </w:r>
    </w:p>
    <w:p w:rsidR="00372AA2" w:rsidRPr="00E767CE" w:rsidRDefault="00372A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7CE">
        <w:rPr>
          <w:noProof/>
        </w:rPr>
        <w:t>4</w:t>
      </w:r>
      <w:r w:rsidRPr="00E767CE">
        <w:rPr>
          <w:noProof/>
        </w:rPr>
        <w:tab/>
        <w:t>Schedule(s)</w:t>
      </w:r>
      <w:r w:rsidRPr="00E767CE">
        <w:rPr>
          <w:noProof/>
        </w:rPr>
        <w:tab/>
      </w:r>
      <w:r w:rsidRPr="00E767CE">
        <w:rPr>
          <w:noProof/>
        </w:rPr>
        <w:fldChar w:fldCharType="begin"/>
      </w:r>
      <w:r w:rsidRPr="00E767CE">
        <w:rPr>
          <w:noProof/>
        </w:rPr>
        <w:instrText xml:space="preserve"> PAGEREF _Toc362347497 \h </w:instrText>
      </w:r>
      <w:r w:rsidRPr="00E767CE">
        <w:rPr>
          <w:noProof/>
        </w:rPr>
      </w:r>
      <w:r w:rsidRPr="00E767CE">
        <w:rPr>
          <w:noProof/>
        </w:rPr>
        <w:fldChar w:fldCharType="separate"/>
      </w:r>
      <w:r w:rsidR="00D664F3">
        <w:rPr>
          <w:noProof/>
        </w:rPr>
        <w:t>1</w:t>
      </w:r>
      <w:r w:rsidRPr="00E767CE">
        <w:rPr>
          <w:noProof/>
        </w:rPr>
        <w:fldChar w:fldCharType="end"/>
      </w:r>
    </w:p>
    <w:p w:rsidR="00372AA2" w:rsidRPr="00E767CE" w:rsidRDefault="00372AA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767CE">
        <w:rPr>
          <w:noProof/>
        </w:rPr>
        <w:t>Schedule</w:t>
      </w:r>
      <w:r w:rsidR="00E767CE" w:rsidRPr="00E767CE">
        <w:rPr>
          <w:noProof/>
        </w:rPr>
        <w:t> </w:t>
      </w:r>
      <w:r w:rsidRPr="00E767CE">
        <w:rPr>
          <w:noProof/>
        </w:rPr>
        <w:t>1—Amendments</w:t>
      </w:r>
      <w:r w:rsidRPr="00E767CE">
        <w:rPr>
          <w:b w:val="0"/>
          <w:noProof/>
          <w:sz w:val="18"/>
        </w:rPr>
        <w:tab/>
      </w:r>
      <w:r w:rsidRPr="00E767CE">
        <w:rPr>
          <w:b w:val="0"/>
          <w:noProof/>
          <w:sz w:val="18"/>
        </w:rPr>
        <w:fldChar w:fldCharType="begin"/>
      </w:r>
      <w:r w:rsidRPr="00E767CE">
        <w:rPr>
          <w:b w:val="0"/>
          <w:noProof/>
          <w:sz w:val="18"/>
        </w:rPr>
        <w:instrText xml:space="preserve"> PAGEREF _Toc362347498 \h </w:instrText>
      </w:r>
      <w:r w:rsidRPr="00E767CE">
        <w:rPr>
          <w:b w:val="0"/>
          <w:noProof/>
          <w:sz w:val="18"/>
        </w:rPr>
      </w:r>
      <w:r w:rsidRPr="00E767CE">
        <w:rPr>
          <w:b w:val="0"/>
          <w:noProof/>
          <w:sz w:val="18"/>
        </w:rPr>
        <w:fldChar w:fldCharType="separate"/>
      </w:r>
      <w:r w:rsidR="00D664F3">
        <w:rPr>
          <w:b w:val="0"/>
          <w:noProof/>
          <w:sz w:val="18"/>
        </w:rPr>
        <w:t>2</w:t>
      </w:r>
      <w:r w:rsidRPr="00E767CE">
        <w:rPr>
          <w:b w:val="0"/>
          <w:noProof/>
          <w:sz w:val="18"/>
        </w:rPr>
        <w:fldChar w:fldCharType="end"/>
      </w:r>
    </w:p>
    <w:p w:rsidR="00372AA2" w:rsidRPr="00E767CE" w:rsidRDefault="00372A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67CE">
        <w:rPr>
          <w:noProof/>
        </w:rPr>
        <w:t>Legislative Instruments Regulations</w:t>
      </w:r>
      <w:r w:rsidR="00E767CE" w:rsidRPr="00E767CE">
        <w:rPr>
          <w:noProof/>
        </w:rPr>
        <w:t> </w:t>
      </w:r>
      <w:r w:rsidRPr="00E767CE">
        <w:rPr>
          <w:noProof/>
        </w:rPr>
        <w:t>2004</w:t>
      </w:r>
      <w:r w:rsidRPr="00E767CE">
        <w:rPr>
          <w:i w:val="0"/>
          <w:noProof/>
          <w:sz w:val="18"/>
        </w:rPr>
        <w:tab/>
      </w:r>
      <w:r w:rsidRPr="00E767CE">
        <w:rPr>
          <w:i w:val="0"/>
          <w:noProof/>
          <w:sz w:val="18"/>
        </w:rPr>
        <w:fldChar w:fldCharType="begin"/>
      </w:r>
      <w:r w:rsidRPr="00E767CE">
        <w:rPr>
          <w:i w:val="0"/>
          <w:noProof/>
          <w:sz w:val="18"/>
        </w:rPr>
        <w:instrText xml:space="preserve"> PAGEREF _Toc362347499 \h </w:instrText>
      </w:r>
      <w:r w:rsidRPr="00E767CE">
        <w:rPr>
          <w:i w:val="0"/>
          <w:noProof/>
          <w:sz w:val="18"/>
        </w:rPr>
      </w:r>
      <w:r w:rsidRPr="00E767CE">
        <w:rPr>
          <w:i w:val="0"/>
          <w:noProof/>
          <w:sz w:val="18"/>
        </w:rPr>
        <w:fldChar w:fldCharType="separate"/>
      </w:r>
      <w:r w:rsidR="00D664F3">
        <w:rPr>
          <w:i w:val="0"/>
          <w:noProof/>
          <w:sz w:val="18"/>
        </w:rPr>
        <w:t>2</w:t>
      </w:r>
      <w:r w:rsidRPr="00E767CE">
        <w:rPr>
          <w:i w:val="0"/>
          <w:noProof/>
          <w:sz w:val="18"/>
        </w:rPr>
        <w:fldChar w:fldCharType="end"/>
      </w:r>
    </w:p>
    <w:p w:rsidR="00833416" w:rsidRPr="00E767CE" w:rsidRDefault="00372AA2" w:rsidP="0048364F">
      <w:r w:rsidRPr="00E767CE">
        <w:fldChar w:fldCharType="end"/>
      </w:r>
    </w:p>
    <w:p w:rsidR="00722023" w:rsidRPr="00E767CE" w:rsidRDefault="00722023" w:rsidP="0048364F">
      <w:pPr>
        <w:sectPr w:rsidR="00722023" w:rsidRPr="00E767CE" w:rsidSect="00670D0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767CE" w:rsidRDefault="0048364F" w:rsidP="0048364F">
      <w:pPr>
        <w:pStyle w:val="ActHead5"/>
      </w:pPr>
      <w:bookmarkStart w:id="4" w:name="_Toc362347494"/>
      <w:r w:rsidRPr="00E767CE">
        <w:rPr>
          <w:rStyle w:val="CharSectno"/>
        </w:rPr>
        <w:lastRenderedPageBreak/>
        <w:t>1</w:t>
      </w:r>
      <w:r w:rsidRPr="00E767CE">
        <w:t xml:space="preserve">  </w:t>
      </w:r>
      <w:r w:rsidR="004F676E" w:rsidRPr="00E767CE">
        <w:t xml:space="preserve">Name of </w:t>
      </w:r>
      <w:r w:rsidR="00F46A93" w:rsidRPr="00E767CE">
        <w:t>regulation</w:t>
      </w:r>
      <w:bookmarkEnd w:id="4"/>
    </w:p>
    <w:p w:rsidR="0048364F" w:rsidRPr="00E767CE" w:rsidRDefault="0048364F" w:rsidP="0048364F">
      <w:pPr>
        <w:pStyle w:val="subsection"/>
      </w:pPr>
      <w:r w:rsidRPr="00E767CE">
        <w:tab/>
      </w:r>
      <w:r w:rsidRPr="00E767CE">
        <w:tab/>
        <w:t>Th</w:t>
      </w:r>
      <w:r w:rsidR="00F24C35" w:rsidRPr="00E767CE">
        <w:t>is</w:t>
      </w:r>
      <w:r w:rsidRPr="00E767CE">
        <w:t xml:space="preserve"> </w:t>
      </w:r>
      <w:r w:rsidR="00F46A93" w:rsidRPr="00E767CE">
        <w:t>regulation</w:t>
      </w:r>
      <w:r w:rsidRPr="00E767CE">
        <w:t xml:space="preserve"> </w:t>
      </w:r>
      <w:r w:rsidR="00F24C35" w:rsidRPr="00E767CE">
        <w:t>is</w:t>
      </w:r>
      <w:r w:rsidR="003801D0" w:rsidRPr="00E767CE">
        <w:t xml:space="preserve"> the</w:t>
      </w:r>
      <w:r w:rsidRPr="00E767CE">
        <w:t xml:space="preserve"> </w:t>
      </w:r>
      <w:bookmarkStart w:id="5" w:name="BKCheck15B_4"/>
      <w:bookmarkEnd w:id="5"/>
      <w:r w:rsidR="00CB0180" w:rsidRPr="00E767CE">
        <w:rPr>
          <w:i/>
        </w:rPr>
        <w:fldChar w:fldCharType="begin"/>
      </w:r>
      <w:r w:rsidR="00CB0180" w:rsidRPr="00E767CE">
        <w:rPr>
          <w:i/>
        </w:rPr>
        <w:instrText xml:space="preserve"> STYLEREF  ShortT </w:instrText>
      </w:r>
      <w:r w:rsidR="00CB0180" w:rsidRPr="00E767CE">
        <w:rPr>
          <w:i/>
        </w:rPr>
        <w:fldChar w:fldCharType="separate"/>
      </w:r>
      <w:r w:rsidR="00D664F3">
        <w:rPr>
          <w:i/>
          <w:noProof/>
        </w:rPr>
        <w:t>Legislative Instruments Amendment (Sunsetting Exemptions) Regulation 2013</w:t>
      </w:r>
      <w:r w:rsidR="00CB0180" w:rsidRPr="00E767CE">
        <w:rPr>
          <w:i/>
        </w:rPr>
        <w:fldChar w:fldCharType="end"/>
      </w:r>
      <w:r w:rsidRPr="00E767CE">
        <w:t>.</w:t>
      </w:r>
    </w:p>
    <w:p w:rsidR="0048364F" w:rsidRPr="00E767CE" w:rsidRDefault="0048364F" w:rsidP="0048364F">
      <w:pPr>
        <w:pStyle w:val="ActHead5"/>
      </w:pPr>
      <w:bookmarkStart w:id="6" w:name="_Toc362347495"/>
      <w:r w:rsidRPr="00E767CE">
        <w:rPr>
          <w:rStyle w:val="CharSectno"/>
        </w:rPr>
        <w:t>2</w:t>
      </w:r>
      <w:r w:rsidRPr="00E767CE">
        <w:t xml:space="preserve">  Commencement</w:t>
      </w:r>
      <w:bookmarkEnd w:id="6"/>
    </w:p>
    <w:p w:rsidR="004F676E" w:rsidRPr="00E767CE" w:rsidRDefault="004F676E" w:rsidP="004F676E">
      <w:pPr>
        <w:pStyle w:val="subsection"/>
      </w:pPr>
      <w:bookmarkStart w:id="7" w:name="_GoBack"/>
      <w:r w:rsidRPr="00E767CE">
        <w:tab/>
      </w:r>
      <w:r w:rsidRPr="00E767CE">
        <w:tab/>
        <w:t>Th</w:t>
      </w:r>
      <w:r w:rsidR="00F24C35" w:rsidRPr="00E767CE">
        <w:t>is</w:t>
      </w:r>
      <w:r w:rsidRPr="00E767CE">
        <w:t xml:space="preserve"> </w:t>
      </w:r>
      <w:r w:rsidR="00F46A93" w:rsidRPr="00E767CE">
        <w:t>regulation</w:t>
      </w:r>
      <w:r w:rsidRPr="00E767CE">
        <w:t xml:space="preserve"> commence</w:t>
      </w:r>
      <w:r w:rsidR="00D17B17" w:rsidRPr="00E767CE">
        <w:t>s</w:t>
      </w:r>
      <w:r w:rsidRPr="00E767CE">
        <w:t xml:space="preserve"> on </w:t>
      </w:r>
      <w:r w:rsidR="00A26DBE" w:rsidRPr="00E767CE">
        <w:t xml:space="preserve">the </w:t>
      </w:r>
      <w:r w:rsidR="00F46A93" w:rsidRPr="00E767CE">
        <w:t>day after it is registered</w:t>
      </w:r>
      <w:r w:rsidRPr="00E767CE">
        <w:t>.</w:t>
      </w:r>
      <w:bookmarkEnd w:id="7"/>
    </w:p>
    <w:p w:rsidR="007769D4" w:rsidRPr="00E767CE" w:rsidRDefault="007769D4" w:rsidP="007769D4">
      <w:pPr>
        <w:pStyle w:val="ActHead5"/>
      </w:pPr>
      <w:bookmarkStart w:id="8" w:name="_Toc362347496"/>
      <w:r w:rsidRPr="00E767CE">
        <w:rPr>
          <w:rStyle w:val="CharSectno"/>
        </w:rPr>
        <w:t>3</w:t>
      </w:r>
      <w:r w:rsidRPr="00E767CE">
        <w:t xml:space="preserve">  Authority</w:t>
      </w:r>
      <w:bookmarkEnd w:id="8"/>
    </w:p>
    <w:p w:rsidR="007769D4" w:rsidRPr="00E767CE" w:rsidRDefault="007769D4" w:rsidP="007769D4">
      <w:pPr>
        <w:pStyle w:val="subsection"/>
      </w:pPr>
      <w:r w:rsidRPr="00E767CE">
        <w:tab/>
      </w:r>
      <w:r w:rsidRPr="00E767CE">
        <w:tab/>
      </w:r>
      <w:r w:rsidR="00AF0336" w:rsidRPr="00E767CE">
        <w:t xml:space="preserve">This </w:t>
      </w:r>
      <w:r w:rsidR="00F46A93" w:rsidRPr="00E767CE">
        <w:t>regulation</w:t>
      </w:r>
      <w:r w:rsidR="00AF0336" w:rsidRPr="00E767CE">
        <w:t xml:space="preserve"> is made under the </w:t>
      </w:r>
      <w:r w:rsidR="00F46A93" w:rsidRPr="00E767CE">
        <w:rPr>
          <w:i/>
        </w:rPr>
        <w:t>Legislative Instruments Act 2003</w:t>
      </w:r>
      <w:r w:rsidR="00D83D21" w:rsidRPr="00E767CE">
        <w:rPr>
          <w:i/>
        </w:rPr>
        <w:t>.</w:t>
      </w:r>
    </w:p>
    <w:p w:rsidR="00557C7A" w:rsidRPr="00E767CE" w:rsidRDefault="007769D4" w:rsidP="00557C7A">
      <w:pPr>
        <w:pStyle w:val="ActHead5"/>
      </w:pPr>
      <w:bookmarkStart w:id="9" w:name="_Toc362347497"/>
      <w:r w:rsidRPr="00E767CE">
        <w:rPr>
          <w:rStyle w:val="CharSectno"/>
        </w:rPr>
        <w:t>4</w:t>
      </w:r>
      <w:r w:rsidR="00557C7A" w:rsidRPr="00E767CE">
        <w:t xml:space="preserve">  </w:t>
      </w:r>
      <w:r w:rsidR="00B332B8" w:rsidRPr="00E767CE">
        <w:t>Schedule(s)</w:t>
      </w:r>
      <w:bookmarkEnd w:id="9"/>
    </w:p>
    <w:p w:rsidR="00557C7A" w:rsidRPr="00E767CE" w:rsidRDefault="00557C7A" w:rsidP="00557C7A">
      <w:pPr>
        <w:pStyle w:val="subsection"/>
      </w:pPr>
      <w:r w:rsidRPr="00E767CE">
        <w:tab/>
      </w:r>
      <w:r w:rsidRPr="00E767CE">
        <w:tab/>
      </w:r>
      <w:r w:rsidR="00CD7ECB" w:rsidRPr="00E767C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E767CE" w:rsidRDefault="0048364F" w:rsidP="00FF3089">
      <w:pPr>
        <w:pStyle w:val="ActHead6"/>
        <w:pageBreakBefore/>
      </w:pPr>
      <w:bookmarkStart w:id="10" w:name="_Toc362347498"/>
      <w:bookmarkStart w:id="11" w:name="opcAmSched"/>
      <w:bookmarkStart w:id="12" w:name="opcCurrentFind"/>
      <w:r w:rsidRPr="00E767CE">
        <w:rPr>
          <w:rStyle w:val="CharAmSchNo"/>
        </w:rPr>
        <w:lastRenderedPageBreak/>
        <w:t>Schedule</w:t>
      </w:r>
      <w:r w:rsidR="00E767CE" w:rsidRPr="00E767CE">
        <w:rPr>
          <w:rStyle w:val="CharAmSchNo"/>
        </w:rPr>
        <w:t> </w:t>
      </w:r>
      <w:r w:rsidRPr="00E767CE">
        <w:rPr>
          <w:rStyle w:val="CharAmSchNo"/>
        </w:rPr>
        <w:t>1</w:t>
      </w:r>
      <w:r w:rsidRPr="00E767CE">
        <w:t>—</w:t>
      </w:r>
      <w:r w:rsidR="00460499" w:rsidRPr="00E767CE">
        <w:rPr>
          <w:rStyle w:val="CharAmSchText"/>
        </w:rPr>
        <w:t>Amendments</w:t>
      </w:r>
      <w:bookmarkEnd w:id="10"/>
    </w:p>
    <w:bookmarkEnd w:id="11"/>
    <w:bookmarkEnd w:id="12"/>
    <w:p w:rsidR="0004044E" w:rsidRPr="00E767CE" w:rsidRDefault="0004044E" w:rsidP="0004044E">
      <w:pPr>
        <w:pStyle w:val="Header"/>
      </w:pPr>
      <w:r w:rsidRPr="00E767CE">
        <w:rPr>
          <w:rStyle w:val="CharAmPartNo"/>
        </w:rPr>
        <w:t xml:space="preserve"> </w:t>
      </w:r>
      <w:r w:rsidRPr="00E767CE">
        <w:rPr>
          <w:rStyle w:val="CharAmPartText"/>
        </w:rPr>
        <w:t xml:space="preserve"> </w:t>
      </w:r>
    </w:p>
    <w:p w:rsidR="00B43825" w:rsidRPr="00E767CE" w:rsidRDefault="00B43825" w:rsidP="00B43825">
      <w:pPr>
        <w:pStyle w:val="ActHead9"/>
      </w:pPr>
      <w:bookmarkStart w:id="13" w:name="_Toc362347499"/>
      <w:r w:rsidRPr="00E767CE">
        <w:t>Legislative Instruments Regulations</w:t>
      </w:r>
      <w:r w:rsidR="00E767CE" w:rsidRPr="00E767CE">
        <w:t> </w:t>
      </w:r>
      <w:r w:rsidRPr="00E767CE">
        <w:t>2004</w:t>
      </w:r>
      <w:bookmarkEnd w:id="13"/>
    </w:p>
    <w:p w:rsidR="006D3667" w:rsidRPr="00E767CE" w:rsidRDefault="00BB6E79" w:rsidP="006C2C12">
      <w:pPr>
        <w:pStyle w:val="ItemHead"/>
        <w:tabs>
          <w:tab w:val="left" w:pos="6663"/>
        </w:tabs>
      </w:pPr>
      <w:r w:rsidRPr="00E767CE">
        <w:t xml:space="preserve">1  </w:t>
      </w:r>
      <w:r w:rsidR="009F6B50" w:rsidRPr="00E767CE">
        <w:t>Schedule</w:t>
      </w:r>
      <w:r w:rsidR="00E767CE" w:rsidRPr="00E767CE">
        <w:t> </w:t>
      </w:r>
      <w:r w:rsidR="009F6B50" w:rsidRPr="00E767CE">
        <w:t>3</w:t>
      </w:r>
    </w:p>
    <w:p w:rsidR="009F6B50" w:rsidRPr="00E767CE" w:rsidRDefault="009F6B50" w:rsidP="009F6B50">
      <w:pPr>
        <w:pStyle w:val="Item"/>
      </w:pPr>
      <w:r w:rsidRPr="00E767CE">
        <w:t>Repeal the Schedule, substitute:</w:t>
      </w:r>
    </w:p>
    <w:p w:rsidR="009F6B50" w:rsidRPr="00E767CE" w:rsidRDefault="009F6B50" w:rsidP="009F6B50">
      <w:pPr>
        <w:pStyle w:val="ActHead1"/>
      </w:pPr>
      <w:bookmarkStart w:id="14" w:name="_Toc362347500"/>
      <w:r w:rsidRPr="00E767CE">
        <w:rPr>
          <w:rStyle w:val="CharChapNo"/>
        </w:rPr>
        <w:t>Schedule</w:t>
      </w:r>
      <w:r w:rsidR="00E767CE" w:rsidRPr="00E767CE">
        <w:rPr>
          <w:rStyle w:val="CharChapNo"/>
        </w:rPr>
        <w:t> </w:t>
      </w:r>
      <w:r w:rsidRPr="00E767CE">
        <w:rPr>
          <w:rStyle w:val="CharChapNo"/>
        </w:rPr>
        <w:t>3</w:t>
      </w:r>
      <w:r w:rsidRPr="00E767CE">
        <w:t>—</w:t>
      </w:r>
      <w:r w:rsidRPr="00E767CE">
        <w:rPr>
          <w:rStyle w:val="CharChapText"/>
        </w:rPr>
        <w:t>Legislative instruments not subject to sunsetting</w:t>
      </w:r>
      <w:bookmarkEnd w:id="14"/>
    </w:p>
    <w:p w:rsidR="009F6B50" w:rsidRPr="00E767CE" w:rsidRDefault="009F6B50" w:rsidP="009F6B50">
      <w:pPr>
        <w:pStyle w:val="notemargin"/>
      </w:pPr>
      <w:r w:rsidRPr="00E767CE">
        <w:t>Note:</w:t>
      </w:r>
      <w:r w:rsidRPr="00E767CE">
        <w:tab/>
        <w:t>See regulation</w:t>
      </w:r>
      <w:r w:rsidR="00E767CE" w:rsidRPr="00E767CE">
        <w:t> </w:t>
      </w:r>
      <w:r w:rsidRPr="00E767CE">
        <w:t>9.</w:t>
      </w:r>
    </w:p>
    <w:p w:rsidR="009F6B50" w:rsidRPr="00E767CE" w:rsidRDefault="009F6B50" w:rsidP="009F6B50">
      <w:pPr>
        <w:pStyle w:val="Header"/>
      </w:pPr>
      <w:bookmarkStart w:id="15" w:name="f_Check_Lines_below"/>
      <w:bookmarkEnd w:id="15"/>
      <w:r w:rsidRPr="00E767CE">
        <w:rPr>
          <w:rStyle w:val="CharPartNo"/>
        </w:rPr>
        <w:t xml:space="preserve"> </w:t>
      </w:r>
      <w:r w:rsidRPr="00E767CE">
        <w:rPr>
          <w:rStyle w:val="CharPartText"/>
        </w:rPr>
        <w:t xml:space="preserve"> </w:t>
      </w:r>
    </w:p>
    <w:p w:rsidR="009F6B50" w:rsidRPr="00E767CE" w:rsidRDefault="009F6B50" w:rsidP="009F6B50">
      <w:pPr>
        <w:pStyle w:val="Header"/>
      </w:pPr>
      <w:r w:rsidRPr="00E767CE">
        <w:rPr>
          <w:rStyle w:val="CharDivNo"/>
        </w:rPr>
        <w:t xml:space="preserve"> </w:t>
      </w:r>
      <w:r w:rsidRPr="00E767CE">
        <w:rPr>
          <w:rStyle w:val="CharDivText"/>
        </w:rPr>
        <w:t xml:space="preserve"> </w:t>
      </w:r>
    </w:p>
    <w:p w:rsidR="009F6B50" w:rsidRPr="00E767CE" w:rsidRDefault="009F6B50" w:rsidP="009F6B50">
      <w:pPr>
        <w:pStyle w:val="ActHead5"/>
      </w:pPr>
      <w:bookmarkStart w:id="16" w:name="_Toc362347501"/>
      <w:r w:rsidRPr="00E767CE">
        <w:rPr>
          <w:rStyle w:val="CharSectno"/>
        </w:rPr>
        <w:t>1</w:t>
      </w:r>
      <w:r w:rsidRPr="00E767CE">
        <w:t xml:space="preserve">  Legislative instruments not subject to sunsetting</w:t>
      </w:r>
      <w:bookmarkEnd w:id="16"/>
    </w:p>
    <w:p w:rsidR="009F6B50" w:rsidRPr="00E767CE" w:rsidRDefault="009F6B50" w:rsidP="009F6B50">
      <w:pPr>
        <w:pStyle w:val="subsection"/>
      </w:pPr>
      <w:r w:rsidRPr="00E767CE">
        <w:tab/>
      </w:r>
      <w:r w:rsidRPr="00E767CE">
        <w:tab/>
        <w:t>The following table sets out legislative instruments that are not subject to sunsetting.</w:t>
      </w:r>
    </w:p>
    <w:p w:rsidR="009F6B50" w:rsidRPr="00E767CE" w:rsidRDefault="009F6B50" w:rsidP="009F6B5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9F6B50" w:rsidRPr="00E767CE" w:rsidTr="0087314A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B50" w:rsidRPr="00E767CE" w:rsidRDefault="009F6B50" w:rsidP="009F6B50">
            <w:pPr>
              <w:pStyle w:val="TableHeading"/>
            </w:pPr>
            <w:r w:rsidRPr="00E767CE">
              <w:t>Legislative instruments not subject to sunsetting</w:t>
            </w:r>
          </w:p>
        </w:tc>
      </w:tr>
      <w:tr w:rsidR="009F6B50" w:rsidRPr="00E767CE" w:rsidTr="0087314A">
        <w:trPr>
          <w:tblHeader/>
        </w:trPr>
        <w:tc>
          <w:tcPr>
            <w:tcW w:w="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B50" w:rsidRPr="00E767CE" w:rsidRDefault="009F6B50" w:rsidP="009F6B50">
            <w:pPr>
              <w:pStyle w:val="TableHeading"/>
            </w:pPr>
            <w:r w:rsidRPr="00E767CE">
              <w:t>Item</w:t>
            </w:r>
          </w:p>
        </w:tc>
        <w:tc>
          <w:tcPr>
            <w:tcW w:w="62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B50" w:rsidRPr="00E767CE" w:rsidRDefault="009F6B50" w:rsidP="009F6B50">
            <w:pPr>
              <w:pStyle w:val="TableHeading"/>
            </w:pPr>
            <w:r w:rsidRPr="00E767CE">
              <w:t>Legislative instruments</w:t>
            </w:r>
          </w:p>
        </w:tc>
      </w:tr>
      <w:tr w:rsidR="00A65B73" w:rsidRPr="00E767CE" w:rsidTr="0087314A">
        <w:tc>
          <w:tcPr>
            <w:tcW w:w="846" w:type="dxa"/>
            <w:tcBorders>
              <w:top w:val="single" w:sz="12" w:space="0" w:color="auto"/>
            </w:tcBorders>
            <w:shd w:val="clear" w:color="auto" w:fill="auto"/>
          </w:tcPr>
          <w:p w:rsidR="00A65B73" w:rsidRPr="00E767CE" w:rsidRDefault="006B4A1D" w:rsidP="009F6B50">
            <w:pPr>
              <w:pStyle w:val="Tabletext"/>
            </w:pPr>
            <w:r w:rsidRPr="00E767CE">
              <w:t>1</w:t>
            </w:r>
          </w:p>
        </w:tc>
        <w:tc>
          <w:tcPr>
            <w:tcW w:w="6241" w:type="dxa"/>
            <w:tcBorders>
              <w:top w:val="single" w:sz="12" w:space="0" w:color="auto"/>
            </w:tcBorders>
            <w:shd w:val="clear" w:color="auto" w:fill="auto"/>
          </w:tcPr>
          <w:p w:rsidR="009B60AF" w:rsidRPr="00E767CE" w:rsidRDefault="00040762" w:rsidP="00F6553F">
            <w:pPr>
              <w:pStyle w:val="Tabletext"/>
            </w:pPr>
            <w:r w:rsidRPr="00E767CE">
              <w:t xml:space="preserve">Regulations made under the </w:t>
            </w:r>
            <w:r w:rsidR="00A65B73" w:rsidRPr="00E767CE">
              <w:rPr>
                <w:i/>
              </w:rPr>
              <w:t xml:space="preserve">Aboriginal Land Rights (Northern Territory) </w:t>
            </w:r>
            <w:r w:rsidRPr="00E767CE">
              <w:rPr>
                <w:i/>
              </w:rPr>
              <w:t>Act</w:t>
            </w:r>
            <w:r w:rsidR="00090EF6" w:rsidRPr="00E767CE">
              <w:rPr>
                <w:i/>
              </w:rPr>
              <w:t xml:space="preserve"> </w:t>
            </w:r>
            <w:r w:rsidRPr="00E767CE">
              <w:rPr>
                <w:i/>
              </w:rPr>
              <w:t>1976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6B4A1D" w:rsidP="009F6B50">
            <w:pPr>
              <w:pStyle w:val="Tabletext"/>
            </w:pPr>
            <w:r w:rsidRPr="00E767CE">
              <w:t>2</w:t>
            </w:r>
          </w:p>
        </w:tc>
        <w:tc>
          <w:tcPr>
            <w:tcW w:w="6241" w:type="dxa"/>
            <w:shd w:val="clear" w:color="auto" w:fill="auto"/>
          </w:tcPr>
          <w:p w:rsidR="002B79C1" w:rsidRPr="00E767CE" w:rsidRDefault="002B79C1" w:rsidP="00A5732A">
            <w:pPr>
              <w:pStyle w:val="Tabletext"/>
            </w:pPr>
            <w:r w:rsidRPr="00E767CE">
              <w:t xml:space="preserve">Orders </w:t>
            </w:r>
            <w:r w:rsidR="009F6B50" w:rsidRPr="00E767CE">
              <w:t>made under section</w:t>
            </w:r>
            <w:r w:rsidR="00E767CE" w:rsidRPr="00E767CE">
              <w:t> </w:t>
            </w:r>
            <w:r w:rsidR="009F6B50" w:rsidRPr="00E767CE">
              <w:t xml:space="preserve">19B </w:t>
            </w:r>
            <w:r w:rsidR="00274603" w:rsidRPr="00E767CE">
              <w:t>(</w:t>
            </w:r>
            <w:r w:rsidRPr="00E767CE">
              <w:t>R</w:t>
            </w:r>
            <w:r w:rsidR="00274603" w:rsidRPr="00E767CE">
              <w:t xml:space="preserve">eference to Minister, Department etc. where no longer any such Minister, or Department abolished etc.) </w:t>
            </w:r>
            <w:r w:rsidR="009F6B50" w:rsidRPr="00E767CE">
              <w:t xml:space="preserve">or 19BA </w:t>
            </w:r>
            <w:r w:rsidRPr="00E767CE">
              <w:t>(R</w:t>
            </w:r>
            <w:r w:rsidR="00274603" w:rsidRPr="00E767CE">
              <w:t xml:space="preserve">eference to Minister, Department etc. inconsistent with changed administrative arrangements) </w:t>
            </w:r>
            <w:r w:rsidR="009F6B50" w:rsidRPr="00E767CE">
              <w:t xml:space="preserve">of the </w:t>
            </w:r>
            <w:r w:rsidR="009F6B50" w:rsidRPr="00E767CE">
              <w:rPr>
                <w:i/>
              </w:rPr>
              <w:t>Acts Interpretation Act 1901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5B69A5" w:rsidP="009F6B50">
            <w:pPr>
              <w:pStyle w:val="Tabletext"/>
            </w:pPr>
            <w:r w:rsidRPr="00E767CE">
              <w:t>3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9F6B50" w:rsidP="009F6B50">
            <w:pPr>
              <w:pStyle w:val="Tabletext"/>
            </w:pPr>
            <w:r w:rsidRPr="00E767CE">
              <w:t xml:space="preserve">Instruments relating to aviation safety made under the </w:t>
            </w:r>
            <w:r w:rsidRPr="00E767CE">
              <w:rPr>
                <w:i/>
              </w:rPr>
              <w:t>Airspace Regulations</w:t>
            </w:r>
            <w:r w:rsidR="00E767CE" w:rsidRPr="00E767CE">
              <w:rPr>
                <w:i/>
              </w:rPr>
              <w:t> </w:t>
            </w:r>
            <w:r w:rsidRPr="00E767CE">
              <w:rPr>
                <w:i/>
              </w:rPr>
              <w:t>2007</w:t>
            </w:r>
          </w:p>
        </w:tc>
      </w:tr>
      <w:tr w:rsidR="00B42128" w:rsidRPr="00E767CE" w:rsidTr="0087314A">
        <w:tc>
          <w:tcPr>
            <w:tcW w:w="846" w:type="dxa"/>
            <w:shd w:val="clear" w:color="auto" w:fill="auto"/>
          </w:tcPr>
          <w:p w:rsidR="00B42128" w:rsidRPr="00E767CE" w:rsidRDefault="005B69A5" w:rsidP="009F6B50">
            <w:pPr>
              <w:pStyle w:val="Tabletext"/>
            </w:pPr>
            <w:r w:rsidRPr="00E767CE">
              <w:t>4</w:t>
            </w:r>
          </w:p>
        </w:tc>
        <w:tc>
          <w:tcPr>
            <w:tcW w:w="6241" w:type="dxa"/>
            <w:shd w:val="clear" w:color="auto" w:fill="auto"/>
          </w:tcPr>
          <w:p w:rsidR="009243B7" w:rsidRPr="00E767CE" w:rsidRDefault="002B0874" w:rsidP="00370C0F">
            <w:pPr>
              <w:pStyle w:val="Tabletext"/>
            </w:pPr>
            <w:r w:rsidRPr="00E767CE">
              <w:t xml:space="preserve">Rules made under </w:t>
            </w:r>
            <w:r w:rsidR="00370C0F" w:rsidRPr="00E767CE">
              <w:t>section</w:t>
            </w:r>
            <w:r w:rsidR="00E767CE" w:rsidRPr="00E767CE">
              <w:t> </w:t>
            </w:r>
            <w:r w:rsidR="00370C0F" w:rsidRPr="00E767CE">
              <w:t xml:space="preserve">229 </w:t>
            </w:r>
            <w:r w:rsidR="00EE0C00" w:rsidRPr="00E767CE">
              <w:t xml:space="preserve">(AML/CTF Rules) </w:t>
            </w:r>
            <w:r w:rsidR="00370C0F" w:rsidRPr="00E767CE">
              <w:t xml:space="preserve">of </w:t>
            </w:r>
            <w:r w:rsidRPr="00E767CE">
              <w:t xml:space="preserve">the </w:t>
            </w:r>
            <w:r w:rsidRPr="00E767CE">
              <w:rPr>
                <w:i/>
              </w:rPr>
              <w:t>Anti</w:t>
            </w:r>
            <w:r w:rsidR="00E767CE">
              <w:rPr>
                <w:i/>
              </w:rPr>
              <w:noBreakHyphen/>
            </w:r>
            <w:r w:rsidRPr="00E767CE">
              <w:rPr>
                <w:i/>
              </w:rPr>
              <w:t>Money Laundering and Counter</w:t>
            </w:r>
            <w:r w:rsidR="00E767CE">
              <w:rPr>
                <w:i/>
              </w:rPr>
              <w:noBreakHyphen/>
            </w:r>
            <w:r w:rsidRPr="00E767CE">
              <w:rPr>
                <w:i/>
              </w:rPr>
              <w:t>Terrorism Financing Act 2006</w:t>
            </w:r>
          </w:p>
        </w:tc>
      </w:tr>
      <w:tr w:rsidR="00F50D81" w:rsidRPr="00E767CE" w:rsidTr="0087314A">
        <w:tc>
          <w:tcPr>
            <w:tcW w:w="846" w:type="dxa"/>
            <w:shd w:val="clear" w:color="auto" w:fill="auto"/>
          </w:tcPr>
          <w:p w:rsidR="00F50D81" w:rsidRPr="00E767CE" w:rsidRDefault="005B69A5" w:rsidP="009F6B50">
            <w:pPr>
              <w:pStyle w:val="Tabletext"/>
            </w:pPr>
            <w:r w:rsidRPr="00E767CE">
              <w:t>5</w:t>
            </w:r>
          </w:p>
        </w:tc>
        <w:tc>
          <w:tcPr>
            <w:tcW w:w="6241" w:type="dxa"/>
            <w:shd w:val="clear" w:color="auto" w:fill="auto"/>
          </w:tcPr>
          <w:p w:rsidR="008D2857" w:rsidRPr="00E767CE" w:rsidRDefault="00F50D81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Aviation Transport Security Act 2004</w:t>
            </w:r>
          </w:p>
        </w:tc>
      </w:tr>
      <w:tr w:rsidR="00765739" w:rsidRPr="00E767CE" w:rsidTr="0087314A">
        <w:tc>
          <w:tcPr>
            <w:tcW w:w="846" w:type="dxa"/>
            <w:shd w:val="clear" w:color="auto" w:fill="auto"/>
          </w:tcPr>
          <w:p w:rsidR="00765739" w:rsidRPr="00E767CE" w:rsidRDefault="005B69A5" w:rsidP="009F6B50">
            <w:pPr>
              <w:pStyle w:val="Tabletext"/>
            </w:pPr>
            <w:r w:rsidRPr="00E767CE">
              <w:t>6</w:t>
            </w:r>
          </w:p>
        </w:tc>
        <w:tc>
          <w:tcPr>
            <w:tcW w:w="6241" w:type="dxa"/>
            <w:shd w:val="clear" w:color="auto" w:fill="auto"/>
          </w:tcPr>
          <w:p w:rsidR="00765739" w:rsidRPr="00E767CE" w:rsidRDefault="002F11F4" w:rsidP="00F6553F">
            <w:pPr>
              <w:pStyle w:val="Tabletext"/>
            </w:pPr>
            <w:r w:rsidRPr="00E767CE">
              <w:t>D</w:t>
            </w:r>
            <w:r w:rsidR="00765739" w:rsidRPr="00E767CE">
              <w:t>etermination</w:t>
            </w:r>
            <w:r w:rsidRPr="00E767CE">
              <w:t>s</w:t>
            </w:r>
            <w:r w:rsidR="00765739" w:rsidRPr="00E767CE">
              <w:t xml:space="preserve"> made under subsection</w:t>
            </w:r>
            <w:r w:rsidR="00E767CE" w:rsidRPr="00E767CE">
              <w:t> </w:t>
            </w:r>
            <w:r w:rsidR="00765739" w:rsidRPr="00E767CE">
              <w:t>70A(4) (</w:t>
            </w:r>
            <w:r w:rsidR="00FE0AFD" w:rsidRPr="00E767CE">
              <w:t xml:space="preserve">determinations relating to </w:t>
            </w:r>
            <w:r w:rsidR="00765739" w:rsidRPr="00E767CE">
              <w:t xml:space="preserve">recognised settlement systems) of the </w:t>
            </w:r>
            <w:r w:rsidR="00765739" w:rsidRPr="00E767CE">
              <w:rPr>
                <w:i/>
              </w:rPr>
              <w:t>Cheques Act 1986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5B69A5" w:rsidP="009F6B50">
            <w:pPr>
              <w:pStyle w:val="Tabletext"/>
            </w:pPr>
            <w:r w:rsidRPr="00E767CE">
              <w:t>7</w:t>
            </w:r>
          </w:p>
        </w:tc>
        <w:tc>
          <w:tcPr>
            <w:tcW w:w="6241" w:type="dxa"/>
            <w:shd w:val="clear" w:color="auto" w:fill="auto"/>
          </w:tcPr>
          <w:p w:rsidR="005B69A5" w:rsidRPr="00E767CE" w:rsidRDefault="005B69A5" w:rsidP="00A5732A">
            <w:pPr>
              <w:pStyle w:val="Tabletext"/>
            </w:pPr>
            <w:r w:rsidRPr="00E767CE">
              <w:t>P</w:t>
            </w:r>
            <w:r w:rsidR="009D2269" w:rsidRPr="00E767CE">
              <w:t>rinciples made under subsection</w:t>
            </w:r>
            <w:r w:rsidR="00E767CE" w:rsidRPr="00E767CE">
              <w:t> </w:t>
            </w:r>
            <w:r w:rsidR="009D2269" w:rsidRPr="00E767CE">
              <w:t xml:space="preserve">91(1B) </w:t>
            </w:r>
            <w:r w:rsidR="00FE0AFD" w:rsidRPr="00E767CE">
              <w:t xml:space="preserve">(fee waiver principles) </w:t>
            </w:r>
            <w:r w:rsidR="009D2269" w:rsidRPr="00E767CE">
              <w:t xml:space="preserve">of the </w:t>
            </w:r>
            <w:r w:rsidR="009D2269" w:rsidRPr="00E767CE">
              <w:rPr>
                <w:i/>
              </w:rPr>
              <w:t>Classification (Publications, Films and Computer Games) Act 1995</w:t>
            </w:r>
          </w:p>
        </w:tc>
      </w:tr>
      <w:tr w:rsidR="00863DF9" w:rsidRPr="00E767CE" w:rsidTr="0087314A">
        <w:tc>
          <w:tcPr>
            <w:tcW w:w="846" w:type="dxa"/>
            <w:shd w:val="clear" w:color="auto" w:fill="auto"/>
          </w:tcPr>
          <w:p w:rsidR="00863DF9" w:rsidRPr="00E767CE" w:rsidRDefault="005B69A5" w:rsidP="005B69A5">
            <w:pPr>
              <w:pStyle w:val="Tabletext"/>
            </w:pPr>
            <w:r w:rsidRPr="00E767CE">
              <w:t>8</w:t>
            </w:r>
          </w:p>
        </w:tc>
        <w:tc>
          <w:tcPr>
            <w:tcW w:w="6241" w:type="dxa"/>
            <w:shd w:val="clear" w:color="auto" w:fill="auto"/>
          </w:tcPr>
          <w:p w:rsidR="00863DF9" w:rsidRPr="00E767CE" w:rsidRDefault="005B69A5" w:rsidP="00F6553F">
            <w:pPr>
              <w:pStyle w:val="Tabletext"/>
            </w:pPr>
            <w:r w:rsidRPr="00E767CE">
              <w:t xml:space="preserve">Instruments </w:t>
            </w:r>
            <w:r w:rsidR="00863DF9" w:rsidRPr="00E767CE">
              <w:t xml:space="preserve">made under </w:t>
            </w:r>
            <w:r w:rsidRPr="00E767CE">
              <w:t>section</w:t>
            </w:r>
            <w:r w:rsidR="00E767CE" w:rsidRPr="00E767CE">
              <w:t> </w:t>
            </w:r>
            <w:r w:rsidRPr="00E767CE">
              <w:t xml:space="preserve">104 or 105 (safety standards) of </w:t>
            </w:r>
            <w:r w:rsidRPr="00E767CE">
              <w:lastRenderedPageBreak/>
              <w:t>Schedule</w:t>
            </w:r>
            <w:r w:rsidR="00E767CE" w:rsidRPr="00E767CE">
              <w:t> </w:t>
            </w:r>
            <w:r w:rsidRPr="00E767CE">
              <w:t xml:space="preserve">2 </w:t>
            </w:r>
            <w:r w:rsidR="00403F07" w:rsidRPr="00E767CE">
              <w:t xml:space="preserve">(The Australian Consumer Law) </w:t>
            </w:r>
            <w:r w:rsidR="00937942" w:rsidRPr="00E767CE">
              <w:t>to</w:t>
            </w:r>
            <w:r w:rsidR="005C5FF8" w:rsidRPr="00E767CE">
              <w:t xml:space="preserve"> </w:t>
            </w:r>
            <w:r w:rsidR="00863DF9" w:rsidRPr="00E767CE">
              <w:t xml:space="preserve">the </w:t>
            </w:r>
            <w:r w:rsidR="00863DF9" w:rsidRPr="00E767CE">
              <w:rPr>
                <w:i/>
              </w:rPr>
              <w:t>Co</w:t>
            </w:r>
            <w:r w:rsidRPr="00E767CE">
              <w:rPr>
                <w:i/>
              </w:rPr>
              <w:t>mpetition and Consumer Act 2010</w:t>
            </w:r>
            <w:r w:rsidR="005C5FF8" w:rsidRPr="00E767CE">
              <w:t>,</w:t>
            </w:r>
            <w:r w:rsidR="005C5FF8" w:rsidRPr="00E767CE">
              <w:rPr>
                <w:i/>
              </w:rPr>
              <w:t xml:space="preserve"> </w:t>
            </w:r>
            <w:r w:rsidR="004A3D95" w:rsidRPr="00E767CE">
              <w:t xml:space="preserve">including </w:t>
            </w:r>
            <w:r w:rsidR="005C5FF8" w:rsidRPr="00E767CE">
              <w:t>prescribed consumer product safety standards under section</w:t>
            </w:r>
            <w:r w:rsidR="00E767CE" w:rsidRPr="00E767CE">
              <w:t> </w:t>
            </w:r>
            <w:r w:rsidR="005C5FF8" w:rsidRPr="00E767CE">
              <w:t xml:space="preserve">65C of the </w:t>
            </w:r>
            <w:r w:rsidR="005C5FF8" w:rsidRPr="00E767CE">
              <w:rPr>
                <w:i/>
              </w:rPr>
              <w:t>Trade Practices Act 1974</w:t>
            </w:r>
            <w:r w:rsidR="005C5FF8" w:rsidRPr="00E767CE">
              <w:t xml:space="preserve"> that were in force immediately before the commencement of item</w:t>
            </w:r>
            <w:r w:rsidR="00E767CE" w:rsidRPr="00E767CE">
              <w:t> </w:t>
            </w:r>
            <w:r w:rsidR="005C5FF8" w:rsidRPr="00E767CE">
              <w:t>4 of Schedule</w:t>
            </w:r>
            <w:r w:rsidR="00E767CE" w:rsidRPr="00E767CE">
              <w:t> </w:t>
            </w:r>
            <w:r w:rsidR="005C5FF8" w:rsidRPr="00E767CE">
              <w:t xml:space="preserve">7 </w:t>
            </w:r>
            <w:r w:rsidR="004A3D95" w:rsidRPr="00E767CE">
              <w:t>to</w:t>
            </w:r>
            <w:r w:rsidR="005C5FF8" w:rsidRPr="00E767CE">
              <w:t xml:space="preserve"> the </w:t>
            </w:r>
            <w:r w:rsidR="005C5FF8" w:rsidRPr="00E767CE">
              <w:rPr>
                <w:i/>
              </w:rPr>
              <w:t>Trade Practices Amendment (Australian Consumer Law) Act (No.</w:t>
            </w:r>
            <w:r w:rsidR="00E767CE" w:rsidRPr="00E767CE">
              <w:rPr>
                <w:i/>
              </w:rPr>
              <w:t> </w:t>
            </w:r>
            <w:r w:rsidR="005C5FF8" w:rsidRPr="00E767CE">
              <w:rPr>
                <w:i/>
              </w:rPr>
              <w:t>2) 2010</w:t>
            </w:r>
          </w:p>
        </w:tc>
      </w:tr>
      <w:tr w:rsidR="00765739" w:rsidRPr="00E767CE" w:rsidTr="0087314A">
        <w:tc>
          <w:tcPr>
            <w:tcW w:w="846" w:type="dxa"/>
            <w:shd w:val="clear" w:color="auto" w:fill="auto"/>
          </w:tcPr>
          <w:p w:rsidR="00765739" w:rsidRPr="00E767CE" w:rsidRDefault="005C5FF8" w:rsidP="00863DF9">
            <w:pPr>
              <w:pStyle w:val="Tabletext"/>
            </w:pPr>
            <w:r w:rsidRPr="00E767CE">
              <w:lastRenderedPageBreak/>
              <w:t>9</w:t>
            </w:r>
          </w:p>
        </w:tc>
        <w:tc>
          <w:tcPr>
            <w:tcW w:w="6241" w:type="dxa"/>
            <w:shd w:val="clear" w:color="auto" w:fill="auto"/>
          </w:tcPr>
          <w:p w:rsidR="008C4320" w:rsidRPr="00E767CE" w:rsidRDefault="005C5FF8" w:rsidP="00F6553F">
            <w:pPr>
              <w:pStyle w:val="Tabletext"/>
            </w:pPr>
            <w:r w:rsidRPr="00E767CE">
              <w:t>I</w:t>
            </w:r>
            <w:r w:rsidR="008C4320" w:rsidRPr="00E767CE">
              <w:t>nstrument</w:t>
            </w:r>
            <w:r w:rsidRPr="00E767CE">
              <w:t>s made under section</w:t>
            </w:r>
            <w:r w:rsidR="00E767CE" w:rsidRPr="00E767CE">
              <w:t> </w:t>
            </w:r>
            <w:r w:rsidRPr="00E767CE">
              <w:t>114 (permanent bans) of Schedule</w:t>
            </w:r>
            <w:r w:rsidR="00E767CE" w:rsidRPr="00E767CE">
              <w:t> </w:t>
            </w:r>
            <w:r w:rsidRPr="00E767CE">
              <w:t xml:space="preserve">2 </w:t>
            </w:r>
            <w:r w:rsidR="00403F07" w:rsidRPr="00E767CE">
              <w:t xml:space="preserve">(The Australian Consumer Law) </w:t>
            </w:r>
            <w:r w:rsidR="00937942" w:rsidRPr="00E767CE">
              <w:t>to</w:t>
            </w:r>
            <w:r w:rsidRPr="00E767CE">
              <w:t xml:space="preserve"> the </w:t>
            </w:r>
            <w:r w:rsidRPr="00E767CE">
              <w:rPr>
                <w:i/>
              </w:rPr>
              <w:t>Competition and Consumer Act 2010</w:t>
            </w:r>
            <w:r w:rsidRPr="00E767CE">
              <w:t>, including notices under subsection</w:t>
            </w:r>
            <w:r w:rsidR="00E767CE" w:rsidRPr="00E767CE">
              <w:t> </w:t>
            </w:r>
            <w:r w:rsidRPr="00E767CE">
              <w:t xml:space="preserve">65C(7) of the </w:t>
            </w:r>
            <w:r w:rsidRPr="00E767CE">
              <w:rPr>
                <w:i/>
              </w:rPr>
              <w:t>Trade Practices Act 1974</w:t>
            </w:r>
            <w:r w:rsidRPr="00E767CE">
              <w:t xml:space="preserve"> that were in force immediately before the commencement of item</w:t>
            </w:r>
            <w:r w:rsidR="00E767CE" w:rsidRPr="00E767CE">
              <w:t> </w:t>
            </w:r>
            <w:r w:rsidRPr="00E767CE">
              <w:t xml:space="preserve">3 </w:t>
            </w:r>
            <w:r w:rsidR="004A3D95" w:rsidRPr="00E767CE">
              <w:t>of</w:t>
            </w:r>
            <w:r w:rsidRPr="00E767CE">
              <w:t xml:space="preserve"> Schedule</w:t>
            </w:r>
            <w:r w:rsidR="00E767CE" w:rsidRPr="00E767CE">
              <w:t> </w:t>
            </w:r>
            <w:r w:rsidRPr="00E767CE">
              <w:t xml:space="preserve">7 </w:t>
            </w:r>
            <w:r w:rsidR="004A3D95" w:rsidRPr="00E767CE">
              <w:t>to</w:t>
            </w:r>
            <w:r w:rsidRPr="00E767CE">
              <w:t xml:space="preserve"> the </w:t>
            </w:r>
            <w:r w:rsidRPr="00E767CE">
              <w:rPr>
                <w:i/>
              </w:rPr>
              <w:t>Trade Practices Amendment (Australian Consumer Law) Act (No.</w:t>
            </w:r>
            <w:r w:rsidR="00E767CE" w:rsidRPr="00E767CE">
              <w:rPr>
                <w:i/>
              </w:rPr>
              <w:t> </w:t>
            </w:r>
            <w:r w:rsidRPr="00E767CE">
              <w:rPr>
                <w:i/>
              </w:rPr>
              <w:t>2) 2010</w:t>
            </w:r>
          </w:p>
        </w:tc>
      </w:tr>
      <w:tr w:rsidR="008C4320" w:rsidRPr="00E767CE" w:rsidTr="0087314A">
        <w:tc>
          <w:tcPr>
            <w:tcW w:w="846" w:type="dxa"/>
            <w:shd w:val="clear" w:color="auto" w:fill="auto"/>
          </w:tcPr>
          <w:p w:rsidR="008C4320" w:rsidRPr="00E767CE" w:rsidRDefault="00863DF9" w:rsidP="009F6B50">
            <w:pPr>
              <w:pStyle w:val="Tabletext"/>
            </w:pPr>
            <w:r w:rsidRPr="00E767CE">
              <w:t>1</w:t>
            </w:r>
            <w:r w:rsidR="00366EA0" w:rsidRPr="00E767CE">
              <w:t>0</w:t>
            </w:r>
          </w:p>
        </w:tc>
        <w:tc>
          <w:tcPr>
            <w:tcW w:w="6241" w:type="dxa"/>
            <w:shd w:val="clear" w:color="auto" w:fill="auto"/>
          </w:tcPr>
          <w:p w:rsidR="00247F34" w:rsidRPr="00E767CE" w:rsidRDefault="00366EA0" w:rsidP="005D5A58">
            <w:pPr>
              <w:pStyle w:val="Tabletext"/>
            </w:pPr>
            <w:r w:rsidRPr="00E767CE">
              <w:t>Instruments made under section</w:t>
            </w:r>
            <w:r w:rsidR="00E767CE" w:rsidRPr="00E767CE">
              <w:t> </w:t>
            </w:r>
            <w:r w:rsidRPr="00E767CE">
              <w:t>134 or 135 (information standards) of Schedule</w:t>
            </w:r>
            <w:r w:rsidR="00E767CE" w:rsidRPr="00E767CE">
              <w:t> </w:t>
            </w:r>
            <w:r w:rsidRPr="00E767CE">
              <w:t xml:space="preserve">2 </w:t>
            </w:r>
            <w:r w:rsidR="00403F07" w:rsidRPr="00E767CE">
              <w:t xml:space="preserve">(The Australian Consumer Law) </w:t>
            </w:r>
            <w:r w:rsidR="00937942" w:rsidRPr="00E767CE">
              <w:t>to</w:t>
            </w:r>
            <w:r w:rsidRPr="00E767CE">
              <w:t xml:space="preserve"> the </w:t>
            </w:r>
            <w:r w:rsidRPr="00E767CE">
              <w:rPr>
                <w:i/>
              </w:rPr>
              <w:t>Competition and Consumer Act 2010</w:t>
            </w:r>
            <w:r w:rsidRPr="00E767CE">
              <w:t>, including prescribed consumer product information standards under section</w:t>
            </w:r>
            <w:r w:rsidR="00E767CE" w:rsidRPr="00E767CE">
              <w:t> </w:t>
            </w:r>
            <w:r w:rsidRPr="00E767CE">
              <w:t>65</w:t>
            </w:r>
            <w:r w:rsidR="00B12681" w:rsidRPr="00E767CE">
              <w:t>D</w:t>
            </w:r>
            <w:r w:rsidRPr="00E767CE">
              <w:t xml:space="preserve"> of the </w:t>
            </w:r>
            <w:r w:rsidRPr="00E767CE">
              <w:rPr>
                <w:i/>
              </w:rPr>
              <w:t>Trade Practices Act 1974</w:t>
            </w:r>
            <w:r w:rsidRPr="00E767CE">
              <w:t xml:space="preserve"> that were in force immediately before the commencement of item</w:t>
            </w:r>
            <w:r w:rsidR="00E767CE" w:rsidRPr="00E767CE">
              <w:t> </w:t>
            </w:r>
            <w:r w:rsidRPr="00E767CE">
              <w:t>5 of Schedule</w:t>
            </w:r>
            <w:r w:rsidR="00E767CE" w:rsidRPr="00E767CE">
              <w:t> </w:t>
            </w:r>
            <w:r w:rsidRPr="00E767CE">
              <w:t xml:space="preserve">7 </w:t>
            </w:r>
            <w:r w:rsidR="004A3D95" w:rsidRPr="00E767CE">
              <w:t>to</w:t>
            </w:r>
            <w:r w:rsidRPr="00E767CE">
              <w:t xml:space="preserve"> the </w:t>
            </w:r>
            <w:r w:rsidRPr="00E767CE">
              <w:rPr>
                <w:i/>
              </w:rPr>
              <w:t>Trade Practices Amendment (Australian Consumer Law) Act (No.</w:t>
            </w:r>
            <w:r w:rsidR="00E767CE" w:rsidRPr="00E767CE">
              <w:rPr>
                <w:i/>
              </w:rPr>
              <w:t> </w:t>
            </w:r>
            <w:r w:rsidRPr="00E767CE">
              <w:rPr>
                <w:i/>
              </w:rPr>
              <w:t>2) 2010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012996" w:rsidP="009F6B50">
            <w:pPr>
              <w:pStyle w:val="Tabletext"/>
            </w:pPr>
            <w:r w:rsidRPr="00E767CE">
              <w:t>11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9D2269" w:rsidP="0087314A">
            <w:pPr>
              <w:pStyle w:val="Tabletext"/>
            </w:pPr>
            <w:r w:rsidRPr="00E767CE">
              <w:t>Proclamation</w:t>
            </w:r>
            <w:r w:rsidR="009C1AC2" w:rsidRPr="00E767CE">
              <w:t>s</w:t>
            </w:r>
            <w:r w:rsidRPr="00E767CE">
              <w:t xml:space="preserve"> made under section</w:t>
            </w:r>
            <w:r w:rsidR="00E767CE" w:rsidRPr="00E767CE">
              <w:t> </w:t>
            </w:r>
            <w:r w:rsidRPr="00E767CE">
              <w:t xml:space="preserve">3A </w:t>
            </w:r>
            <w:r w:rsidR="0087314A" w:rsidRPr="00E767CE">
              <w:t>(P</w:t>
            </w:r>
            <w:r w:rsidR="004961D8" w:rsidRPr="00E767CE">
              <w:t xml:space="preserve">roclamation of </w:t>
            </w:r>
            <w:r w:rsidR="009C1AC2" w:rsidRPr="00E767CE">
              <w:t xml:space="preserve">vessels as </w:t>
            </w:r>
            <w:r w:rsidR="004961D8" w:rsidRPr="00E767CE">
              <w:t xml:space="preserve">exempt vessels) </w:t>
            </w:r>
            <w:r w:rsidRPr="00E767CE">
              <w:t xml:space="preserve">or 3B </w:t>
            </w:r>
            <w:r w:rsidR="004961D8" w:rsidRPr="00E767CE">
              <w:t>(</w:t>
            </w:r>
            <w:r w:rsidR="0087314A" w:rsidRPr="00E767CE">
              <w:t>P</w:t>
            </w:r>
            <w:r w:rsidR="004961D8" w:rsidRPr="00E767CE">
              <w:t xml:space="preserve">roclamation of </w:t>
            </w:r>
            <w:r w:rsidR="009C1AC2" w:rsidRPr="00E767CE">
              <w:t xml:space="preserve">waters as </w:t>
            </w:r>
            <w:r w:rsidR="004961D8" w:rsidRPr="00E767CE">
              <w:t xml:space="preserve">naval waters) </w:t>
            </w:r>
            <w:r w:rsidRPr="00E767CE">
              <w:t xml:space="preserve">of the </w:t>
            </w:r>
            <w:r w:rsidRPr="00E767CE">
              <w:rPr>
                <w:i/>
              </w:rPr>
              <w:t>Control of Naval</w:t>
            </w:r>
            <w:r w:rsidR="0035527A" w:rsidRPr="00E767CE">
              <w:rPr>
                <w:i/>
              </w:rPr>
              <w:t xml:space="preserve"> Waters Act 1918</w:t>
            </w:r>
          </w:p>
        </w:tc>
      </w:tr>
      <w:tr w:rsidR="000C56CD" w:rsidRPr="00E767CE" w:rsidTr="0087314A">
        <w:tc>
          <w:tcPr>
            <w:tcW w:w="846" w:type="dxa"/>
            <w:shd w:val="clear" w:color="auto" w:fill="auto"/>
          </w:tcPr>
          <w:p w:rsidR="000C56CD" w:rsidRPr="00E767CE" w:rsidRDefault="00012996" w:rsidP="009F6B50">
            <w:pPr>
              <w:pStyle w:val="Tabletext"/>
            </w:pPr>
            <w:r w:rsidRPr="00E767CE">
              <w:t>12</w:t>
            </w:r>
          </w:p>
        </w:tc>
        <w:tc>
          <w:tcPr>
            <w:tcW w:w="6241" w:type="dxa"/>
            <w:shd w:val="clear" w:color="auto" w:fill="auto"/>
          </w:tcPr>
          <w:p w:rsidR="000C56CD" w:rsidRPr="00E767CE" w:rsidRDefault="00765739" w:rsidP="009C1AC2">
            <w:pPr>
              <w:pStyle w:val="Tabletext"/>
            </w:pPr>
            <w:r w:rsidRPr="00E767CE">
              <w:t xml:space="preserve">Standards </w:t>
            </w:r>
            <w:r w:rsidR="000C56CD" w:rsidRPr="00E767CE">
              <w:t>made under section</w:t>
            </w:r>
            <w:r w:rsidR="00E767CE" w:rsidRPr="00E767CE">
              <w:t> </w:t>
            </w:r>
            <w:r w:rsidR="009C1AC2" w:rsidRPr="00E767CE">
              <w:t>334 (A</w:t>
            </w:r>
            <w:r w:rsidR="000C56CD" w:rsidRPr="00E767CE">
              <w:t>ccounting standards) or 336 (</w:t>
            </w:r>
            <w:r w:rsidR="009C1AC2" w:rsidRPr="00E767CE">
              <w:t>A</w:t>
            </w:r>
            <w:r w:rsidR="000C56CD" w:rsidRPr="00E767CE">
              <w:t xml:space="preserve">uditing standards) of the </w:t>
            </w:r>
            <w:r w:rsidR="000C56CD" w:rsidRPr="00E767CE">
              <w:rPr>
                <w:i/>
              </w:rPr>
              <w:t>Corporations Act 2001</w:t>
            </w:r>
          </w:p>
        </w:tc>
      </w:tr>
      <w:tr w:rsidR="00765739" w:rsidRPr="00E767CE" w:rsidTr="0087314A">
        <w:tc>
          <w:tcPr>
            <w:tcW w:w="846" w:type="dxa"/>
            <w:shd w:val="clear" w:color="auto" w:fill="auto"/>
          </w:tcPr>
          <w:p w:rsidR="00765739" w:rsidRPr="00E767CE" w:rsidRDefault="00012996" w:rsidP="009F6B50">
            <w:pPr>
              <w:pStyle w:val="Tabletext"/>
            </w:pPr>
            <w:r w:rsidRPr="00E767CE">
              <w:t>13</w:t>
            </w:r>
          </w:p>
        </w:tc>
        <w:tc>
          <w:tcPr>
            <w:tcW w:w="6241" w:type="dxa"/>
            <w:shd w:val="clear" w:color="auto" w:fill="auto"/>
          </w:tcPr>
          <w:p w:rsidR="00811638" w:rsidRPr="00E767CE" w:rsidRDefault="00765739" w:rsidP="00A5732A">
            <w:pPr>
              <w:pStyle w:val="Tabletext"/>
            </w:pPr>
            <w:r w:rsidRPr="00E767CE">
              <w:t xml:space="preserve">Rules made under </w:t>
            </w:r>
            <w:r w:rsidR="009C1AC2" w:rsidRPr="00E767CE">
              <w:t>s</w:t>
            </w:r>
            <w:r w:rsidRPr="00E767CE">
              <w:t>ection</w:t>
            </w:r>
            <w:r w:rsidR="00E767CE" w:rsidRPr="00E767CE">
              <w:t> </w:t>
            </w:r>
            <w:r w:rsidRPr="00E767CE">
              <w:t>798G (</w:t>
            </w:r>
            <w:r w:rsidR="009C1AC2" w:rsidRPr="00E767CE">
              <w:t>M</w:t>
            </w:r>
            <w:r w:rsidRPr="00E767CE">
              <w:t xml:space="preserve">arket integrity rules) of the </w:t>
            </w:r>
            <w:r w:rsidRPr="00E767CE">
              <w:rPr>
                <w:i/>
              </w:rPr>
              <w:t>Corporations Act 2001</w:t>
            </w:r>
          </w:p>
        </w:tc>
      </w:tr>
      <w:tr w:rsidR="00F50D81" w:rsidRPr="00E767CE" w:rsidTr="0087314A">
        <w:tc>
          <w:tcPr>
            <w:tcW w:w="846" w:type="dxa"/>
            <w:shd w:val="clear" w:color="auto" w:fill="auto"/>
          </w:tcPr>
          <w:p w:rsidR="00F50D81" w:rsidRPr="00E767CE" w:rsidRDefault="00863DF9" w:rsidP="00335D65">
            <w:pPr>
              <w:pStyle w:val="Tabletext"/>
            </w:pPr>
            <w:r w:rsidRPr="00E767CE">
              <w:t>1</w:t>
            </w:r>
            <w:r w:rsidR="00335D65" w:rsidRPr="00E767CE">
              <w:t>4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9C1AC2" w:rsidP="009C1AC2">
            <w:pPr>
              <w:pStyle w:val="Tabletext"/>
            </w:pPr>
            <w:r w:rsidRPr="00E767CE">
              <w:t>Instruments made under s</w:t>
            </w:r>
            <w:r w:rsidR="00F50D81" w:rsidRPr="00E767CE">
              <w:t>ection</w:t>
            </w:r>
            <w:r w:rsidR="00E767CE" w:rsidRPr="00E767CE">
              <w:t> </w:t>
            </w:r>
            <w:r w:rsidR="00F50D81" w:rsidRPr="00E767CE">
              <w:t>827D (</w:t>
            </w:r>
            <w:r w:rsidRPr="00E767CE">
              <w:t>Reserve Bank may determine</w:t>
            </w:r>
            <w:r w:rsidR="00F50D81" w:rsidRPr="00E767CE">
              <w:t xml:space="preserve"> financial stability standards) of the </w:t>
            </w:r>
            <w:r w:rsidR="00F50D81" w:rsidRPr="00E767CE">
              <w:rPr>
                <w:i/>
              </w:rPr>
              <w:t>Corporations Act 2001</w:t>
            </w:r>
          </w:p>
        </w:tc>
      </w:tr>
      <w:tr w:rsidR="00F50D81" w:rsidRPr="00E767CE" w:rsidTr="0087314A">
        <w:tc>
          <w:tcPr>
            <w:tcW w:w="846" w:type="dxa"/>
            <w:shd w:val="clear" w:color="auto" w:fill="auto"/>
          </w:tcPr>
          <w:p w:rsidR="00F50D81" w:rsidRPr="00E767CE" w:rsidRDefault="00335D65" w:rsidP="009F6B50">
            <w:pPr>
              <w:pStyle w:val="Tabletext"/>
            </w:pPr>
            <w:r w:rsidRPr="00E767CE">
              <w:t>15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F50D81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Cross</w:t>
            </w:r>
            <w:r w:rsidR="00E767CE">
              <w:rPr>
                <w:i/>
              </w:rPr>
              <w:noBreakHyphen/>
            </w:r>
            <w:r w:rsidRPr="00E767CE">
              <w:rPr>
                <w:i/>
              </w:rPr>
              <w:t>Border Insolvency Act 2008</w:t>
            </w:r>
          </w:p>
        </w:tc>
      </w:tr>
      <w:tr w:rsidR="002B0874" w:rsidRPr="00E767CE" w:rsidTr="0087314A">
        <w:tc>
          <w:tcPr>
            <w:tcW w:w="846" w:type="dxa"/>
            <w:shd w:val="clear" w:color="auto" w:fill="auto"/>
          </w:tcPr>
          <w:p w:rsidR="002B0874" w:rsidRPr="00E767CE" w:rsidRDefault="00335D65" w:rsidP="00863DF9">
            <w:pPr>
              <w:pStyle w:val="Tabletext"/>
              <w:rPr>
                <w:highlight w:val="cyan"/>
              </w:rPr>
            </w:pPr>
            <w:r w:rsidRPr="00E767CE">
              <w:t>16</w:t>
            </w:r>
          </w:p>
        </w:tc>
        <w:tc>
          <w:tcPr>
            <w:tcW w:w="6241" w:type="dxa"/>
            <w:shd w:val="clear" w:color="auto" w:fill="auto"/>
          </w:tcPr>
          <w:p w:rsidR="002C6911" w:rsidRPr="00E767CE" w:rsidRDefault="002E44B0" w:rsidP="00F97C56">
            <w:pPr>
              <w:pStyle w:val="Tabletext"/>
              <w:rPr>
                <w:highlight w:val="cyan"/>
              </w:rPr>
            </w:pPr>
            <w:r w:rsidRPr="00E767CE">
              <w:t>Regulations</w:t>
            </w:r>
            <w:r w:rsidR="002B0874" w:rsidRPr="00E767CE">
              <w:t xml:space="preserve"> made </w:t>
            </w:r>
            <w:r w:rsidR="007D696F" w:rsidRPr="00E767CE">
              <w:t xml:space="preserve">solely </w:t>
            </w:r>
            <w:r w:rsidR="00335D65" w:rsidRPr="00E767CE">
              <w:t xml:space="preserve">for the purposes of </w:t>
            </w:r>
            <w:r w:rsidR="002B0874" w:rsidRPr="00E767CE">
              <w:t>section</w:t>
            </w:r>
            <w:r w:rsidR="00E767CE" w:rsidRPr="00E767CE">
              <w:t> </w:t>
            </w:r>
            <w:r w:rsidR="002B0874" w:rsidRPr="00E767CE">
              <w:t>50</w:t>
            </w:r>
            <w:r w:rsidR="002C6911" w:rsidRPr="00E767CE">
              <w:rPr>
                <w:i/>
              </w:rPr>
              <w:t xml:space="preserve"> </w:t>
            </w:r>
            <w:r w:rsidR="002C6911" w:rsidRPr="00E767CE">
              <w:t>(</w:t>
            </w:r>
            <w:r w:rsidR="00335D65" w:rsidRPr="00E767CE">
              <w:t>P</w:t>
            </w:r>
            <w:r w:rsidR="002C6911" w:rsidRPr="00E767CE">
              <w:t>rohibiti</w:t>
            </w:r>
            <w:r w:rsidR="00335D65" w:rsidRPr="00E767CE">
              <w:t xml:space="preserve">on of the </w:t>
            </w:r>
            <w:r w:rsidR="002C6911" w:rsidRPr="00E767CE">
              <w:t>importation of goods)</w:t>
            </w:r>
            <w:r w:rsidR="002B0874" w:rsidRPr="00E767CE">
              <w:rPr>
                <w:i/>
              </w:rPr>
              <w:t xml:space="preserve"> </w:t>
            </w:r>
            <w:r w:rsidR="002B0874" w:rsidRPr="00E767CE">
              <w:t>or 112</w:t>
            </w:r>
            <w:r w:rsidR="002C6911" w:rsidRPr="00E767CE">
              <w:rPr>
                <w:i/>
              </w:rPr>
              <w:t xml:space="preserve"> </w:t>
            </w:r>
            <w:r w:rsidR="002C6911" w:rsidRPr="00E767CE">
              <w:t>(</w:t>
            </w:r>
            <w:r w:rsidR="00335D65" w:rsidRPr="00E767CE">
              <w:t>Prohibited exports</w:t>
            </w:r>
            <w:r w:rsidR="002C6911" w:rsidRPr="00E767CE">
              <w:t>)</w:t>
            </w:r>
            <w:r w:rsidR="002B0874" w:rsidRPr="00E767CE">
              <w:t xml:space="preserve"> of the </w:t>
            </w:r>
            <w:r w:rsidR="002B0874" w:rsidRPr="00E767CE">
              <w:rPr>
                <w:i/>
              </w:rPr>
              <w:t>Customs Act 1901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335D65" w:rsidP="00863DF9">
            <w:pPr>
              <w:pStyle w:val="Tabletext"/>
            </w:pPr>
            <w:r w:rsidRPr="00E767CE">
              <w:t>17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335D65" w:rsidP="001731A8">
            <w:pPr>
              <w:pStyle w:val="Tabletext"/>
            </w:pPr>
            <w:r w:rsidRPr="00E767CE">
              <w:t>T</w:t>
            </w:r>
            <w:r w:rsidR="0035527A" w:rsidRPr="00E767CE">
              <w:t>ariff concession order</w:t>
            </w:r>
            <w:r w:rsidRPr="00E767CE">
              <w:t>s</w:t>
            </w:r>
            <w:r w:rsidR="0035527A" w:rsidRPr="00E767CE">
              <w:t xml:space="preserve"> made </w:t>
            </w:r>
            <w:r w:rsidR="00A5732A" w:rsidRPr="00E767CE">
              <w:t xml:space="preserve">under </w:t>
            </w:r>
            <w:r w:rsidR="0035527A" w:rsidRPr="00E767CE">
              <w:t>Part</w:t>
            </w:r>
            <w:r w:rsidR="00E767CE" w:rsidRPr="00E767CE">
              <w:t> </w:t>
            </w:r>
            <w:r w:rsidR="0035527A" w:rsidRPr="00E767CE">
              <w:t xml:space="preserve">XVA </w:t>
            </w:r>
            <w:r w:rsidR="00515046" w:rsidRPr="00E767CE">
              <w:t>(</w:t>
            </w:r>
            <w:r w:rsidRPr="00E767CE">
              <w:t>T</w:t>
            </w:r>
            <w:r w:rsidR="00515046" w:rsidRPr="00E767CE">
              <w:t>arif</w:t>
            </w:r>
            <w:r w:rsidR="001731A8" w:rsidRPr="00E767CE">
              <w:t>f</w:t>
            </w:r>
            <w:r w:rsidR="00515046" w:rsidRPr="00E767CE">
              <w:t xml:space="preserve"> concession orders) </w:t>
            </w:r>
            <w:r w:rsidR="0035527A" w:rsidRPr="00E767CE">
              <w:t xml:space="preserve">of the </w:t>
            </w:r>
            <w:r w:rsidR="0035527A" w:rsidRPr="00E767CE">
              <w:rPr>
                <w:i/>
              </w:rPr>
              <w:t>Customs Act 1901</w:t>
            </w:r>
          </w:p>
        </w:tc>
      </w:tr>
      <w:tr w:rsidR="00F50D81" w:rsidRPr="00E767CE" w:rsidTr="0087314A">
        <w:tc>
          <w:tcPr>
            <w:tcW w:w="846" w:type="dxa"/>
            <w:shd w:val="clear" w:color="auto" w:fill="auto"/>
          </w:tcPr>
          <w:p w:rsidR="00F50D81" w:rsidRPr="00E767CE" w:rsidRDefault="00335D65" w:rsidP="00863DF9">
            <w:pPr>
              <w:pStyle w:val="Tabletext"/>
            </w:pPr>
            <w:r w:rsidRPr="00E767CE">
              <w:t>18</w:t>
            </w:r>
          </w:p>
        </w:tc>
        <w:tc>
          <w:tcPr>
            <w:tcW w:w="6241" w:type="dxa"/>
            <w:shd w:val="clear" w:color="auto" w:fill="auto"/>
          </w:tcPr>
          <w:p w:rsidR="00515046" w:rsidRPr="00E767CE" w:rsidRDefault="00F50D81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Foreign Acquisitions and Takeovers Act 1975</w:t>
            </w:r>
          </w:p>
        </w:tc>
      </w:tr>
      <w:tr w:rsidR="0062667D" w:rsidRPr="00E767CE" w:rsidTr="0087314A">
        <w:tc>
          <w:tcPr>
            <w:tcW w:w="846" w:type="dxa"/>
            <w:shd w:val="clear" w:color="auto" w:fill="auto"/>
          </w:tcPr>
          <w:p w:rsidR="0062667D" w:rsidRPr="00E767CE" w:rsidRDefault="00335D65" w:rsidP="009F6B50">
            <w:pPr>
              <w:pStyle w:val="Tabletext"/>
            </w:pPr>
            <w:r w:rsidRPr="00E767CE">
              <w:t>19</w:t>
            </w:r>
          </w:p>
        </w:tc>
        <w:tc>
          <w:tcPr>
            <w:tcW w:w="6241" w:type="dxa"/>
            <w:shd w:val="clear" w:color="auto" w:fill="auto"/>
          </w:tcPr>
          <w:p w:rsidR="00515046" w:rsidRPr="00E767CE" w:rsidRDefault="00335D65" w:rsidP="00335D65">
            <w:pPr>
              <w:pStyle w:val="Tabletext"/>
            </w:pPr>
            <w:r w:rsidRPr="00E767CE">
              <w:t>A</w:t>
            </w:r>
            <w:r w:rsidR="0062667D" w:rsidRPr="00E767CE">
              <w:t>pproval</w:t>
            </w:r>
            <w:r w:rsidRPr="00E767CE">
              <w:t>s given</w:t>
            </w:r>
            <w:r w:rsidR="0062667D" w:rsidRPr="00E767CE">
              <w:t xml:space="preserve"> under </w:t>
            </w:r>
            <w:r w:rsidR="00515046" w:rsidRPr="00E767CE">
              <w:t>sub</w:t>
            </w:r>
            <w:r w:rsidR="0062667D" w:rsidRPr="00E767CE">
              <w:t>section</w:t>
            </w:r>
            <w:r w:rsidR="00E767CE" w:rsidRPr="00E767CE">
              <w:t> </w:t>
            </w:r>
            <w:r w:rsidR="0062667D" w:rsidRPr="00E767CE">
              <w:t>16</w:t>
            </w:r>
            <w:r w:rsidR="00E767CE">
              <w:noBreakHyphen/>
            </w:r>
            <w:r w:rsidR="0062667D" w:rsidRPr="00E767CE">
              <w:t>25</w:t>
            </w:r>
            <w:r w:rsidR="00515046" w:rsidRPr="00E767CE">
              <w:t>(1)</w:t>
            </w:r>
            <w:r w:rsidR="0062667D" w:rsidRPr="00E767CE">
              <w:t xml:space="preserve"> (</w:t>
            </w:r>
            <w:r w:rsidR="00D00DED" w:rsidRPr="00E767CE">
              <w:t xml:space="preserve">approvals of </w:t>
            </w:r>
            <w:r w:rsidR="0062667D" w:rsidRPr="00E767CE">
              <w:t xml:space="preserve">higher education providers) of the </w:t>
            </w:r>
            <w:r w:rsidR="0062667D" w:rsidRPr="00E767CE">
              <w:rPr>
                <w:i/>
              </w:rPr>
              <w:t>Higher Education Support Act 2003</w:t>
            </w:r>
          </w:p>
        </w:tc>
      </w:tr>
      <w:tr w:rsidR="0062667D" w:rsidRPr="00E767CE" w:rsidTr="0087314A">
        <w:tc>
          <w:tcPr>
            <w:tcW w:w="846" w:type="dxa"/>
            <w:shd w:val="clear" w:color="auto" w:fill="auto"/>
          </w:tcPr>
          <w:p w:rsidR="0062667D" w:rsidRPr="00E767CE" w:rsidRDefault="006B4A1D" w:rsidP="007D1FCD">
            <w:pPr>
              <w:pStyle w:val="Tabletext"/>
            </w:pPr>
            <w:r w:rsidRPr="00E767CE">
              <w:lastRenderedPageBreak/>
              <w:t>2</w:t>
            </w:r>
            <w:r w:rsidR="007D1FCD" w:rsidRPr="00E767CE">
              <w:t>0</w:t>
            </w:r>
          </w:p>
        </w:tc>
        <w:tc>
          <w:tcPr>
            <w:tcW w:w="6241" w:type="dxa"/>
            <w:shd w:val="clear" w:color="auto" w:fill="auto"/>
          </w:tcPr>
          <w:p w:rsidR="004E43FD" w:rsidRPr="00E767CE" w:rsidRDefault="007D1FCD" w:rsidP="00A5732A">
            <w:pPr>
              <w:pStyle w:val="Tabletext"/>
            </w:pPr>
            <w:r w:rsidRPr="00E767CE">
              <w:t>A</w:t>
            </w:r>
            <w:r w:rsidR="0062667D" w:rsidRPr="00E767CE">
              <w:t>pproval</w:t>
            </w:r>
            <w:r w:rsidRPr="00E767CE">
              <w:t>s</w:t>
            </w:r>
            <w:r w:rsidR="0062667D" w:rsidRPr="00E767CE">
              <w:t xml:space="preserve"> </w:t>
            </w:r>
            <w:r w:rsidRPr="00E767CE">
              <w:t>given</w:t>
            </w:r>
            <w:r w:rsidR="0062667D" w:rsidRPr="00E767CE">
              <w:t xml:space="preserve"> under </w:t>
            </w:r>
            <w:r w:rsidR="00515046" w:rsidRPr="00E767CE">
              <w:t>sub</w:t>
            </w:r>
            <w:r w:rsidR="0062667D" w:rsidRPr="00E767CE">
              <w:t>clause</w:t>
            </w:r>
            <w:r w:rsidR="00E767CE" w:rsidRPr="00E767CE">
              <w:t> </w:t>
            </w:r>
            <w:r w:rsidR="0062667D" w:rsidRPr="00E767CE">
              <w:t>6</w:t>
            </w:r>
            <w:r w:rsidR="00515046" w:rsidRPr="00E767CE">
              <w:t>(1) or (1A)</w:t>
            </w:r>
            <w:r w:rsidR="0062667D" w:rsidRPr="00E767CE">
              <w:t xml:space="preserve"> (</w:t>
            </w:r>
            <w:r w:rsidR="00D00DED" w:rsidRPr="00E767CE">
              <w:t xml:space="preserve">approvals of </w:t>
            </w:r>
            <w:r w:rsidR="0062667D" w:rsidRPr="00E767CE">
              <w:t>VET providers) of Schedule</w:t>
            </w:r>
            <w:r w:rsidR="00E767CE" w:rsidRPr="00E767CE">
              <w:t> </w:t>
            </w:r>
            <w:r w:rsidR="0062667D" w:rsidRPr="00E767CE">
              <w:t xml:space="preserve">1A </w:t>
            </w:r>
            <w:r w:rsidR="00EE0C00" w:rsidRPr="00E767CE">
              <w:t>(VET FEE</w:t>
            </w:r>
            <w:r w:rsidR="00E767CE">
              <w:noBreakHyphen/>
            </w:r>
            <w:r w:rsidR="00EE0C00" w:rsidRPr="00E767CE">
              <w:t xml:space="preserve">HELP Assistance Scheme) </w:t>
            </w:r>
            <w:r w:rsidR="00937942" w:rsidRPr="00E767CE">
              <w:t>to</w:t>
            </w:r>
            <w:r w:rsidR="0062667D" w:rsidRPr="00E767CE">
              <w:t xml:space="preserve"> the </w:t>
            </w:r>
            <w:r w:rsidR="0062667D" w:rsidRPr="00E767CE">
              <w:rPr>
                <w:i/>
              </w:rPr>
              <w:t>Higher Education Support Act 2003</w:t>
            </w:r>
          </w:p>
        </w:tc>
      </w:tr>
      <w:tr w:rsidR="0062667D" w:rsidRPr="00E767CE" w:rsidTr="0087314A">
        <w:tc>
          <w:tcPr>
            <w:tcW w:w="846" w:type="dxa"/>
            <w:shd w:val="clear" w:color="auto" w:fill="auto"/>
          </w:tcPr>
          <w:p w:rsidR="0062667D" w:rsidRPr="00E767CE" w:rsidRDefault="006B4A1D" w:rsidP="007D1FCD">
            <w:pPr>
              <w:pStyle w:val="Tabletext"/>
            </w:pPr>
            <w:r w:rsidRPr="00E767CE">
              <w:t>2</w:t>
            </w:r>
            <w:r w:rsidR="007D1FCD" w:rsidRPr="00E767CE">
              <w:t>1</w:t>
            </w:r>
          </w:p>
        </w:tc>
        <w:tc>
          <w:tcPr>
            <w:tcW w:w="6241" w:type="dxa"/>
            <w:shd w:val="clear" w:color="auto" w:fill="auto"/>
          </w:tcPr>
          <w:p w:rsidR="00CA760A" w:rsidRPr="00E767CE" w:rsidRDefault="0062667D" w:rsidP="004F186E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Judges’ Pensions Act 1968</w:t>
            </w:r>
          </w:p>
        </w:tc>
      </w:tr>
      <w:tr w:rsidR="00F50D81" w:rsidRPr="00E767CE" w:rsidTr="0087314A">
        <w:tc>
          <w:tcPr>
            <w:tcW w:w="846" w:type="dxa"/>
            <w:shd w:val="clear" w:color="auto" w:fill="auto"/>
          </w:tcPr>
          <w:p w:rsidR="00F50D81" w:rsidRPr="00E767CE" w:rsidRDefault="007D1FCD" w:rsidP="009F6B50">
            <w:pPr>
              <w:pStyle w:val="Tabletext"/>
            </w:pPr>
            <w:r w:rsidRPr="00E767CE">
              <w:t>22</w:t>
            </w:r>
          </w:p>
        </w:tc>
        <w:tc>
          <w:tcPr>
            <w:tcW w:w="6241" w:type="dxa"/>
            <w:shd w:val="clear" w:color="auto" w:fill="auto"/>
          </w:tcPr>
          <w:p w:rsidR="00CA760A" w:rsidRPr="00E767CE" w:rsidRDefault="00F50D81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Maritime Transport and Offshore Facilities Security Act 2003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863DF9" w:rsidP="00D345BC">
            <w:pPr>
              <w:pStyle w:val="Tabletext"/>
            </w:pPr>
            <w:r w:rsidRPr="00E767CE">
              <w:t>2</w:t>
            </w:r>
            <w:r w:rsidR="00D345BC" w:rsidRPr="00E767CE">
              <w:t>3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7D1FCD" w:rsidP="007D1FCD">
            <w:pPr>
              <w:pStyle w:val="Tabletext"/>
            </w:pPr>
            <w:r w:rsidRPr="00E767CE">
              <w:t>D</w:t>
            </w:r>
            <w:r w:rsidR="0035527A" w:rsidRPr="00E767CE">
              <w:t>etermination</w:t>
            </w:r>
            <w:r w:rsidR="00A37635" w:rsidRPr="00E767CE">
              <w:t>s</w:t>
            </w:r>
            <w:r w:rsidR="0035527A" w:rsidRPr="00E767CE">
              <w:t xml:space="preserve"> made under section</w:t>
            </w:r>
            <w:r w:rsidR="00E767CE" w:rsidRPr="00E767CE">
              <w:t> </w:t>
            </w:r>
            <w:r w:rsidR="0035527A" w:rsidRPr="00E767CE">
              <w:t xml:space="preserve">6 </w:t>
            </w:r>
            <w:r w:rsidR="00CA760A" w:rsidRPr="00E767CE">
              <w:t>(</w:t>
            </w:r>
            <w:r w:rsidRPr="00E767CE">
              <w:t>Kinds of service to which this Act applies</w:t>
            </w:r>
            <w:r w:rsidR="00CA760A" w:rsidRPr="00E767CE">
              <w:t>) or 8 (</w:t>
            </w:r>
            <w:r w:rsidRPr="00E767CE">
              <w:t xml:space="preserve">Ministerial </w:t>
            </w:r>
            <w:r w:rsidR="00CA760A" w:rsidRPr="00E767CE">
              <w:t xml:space="preserve">determinations </w:t>
            </w:r>
            <w:r w:rsidRPr="00E767CE">
              <w:t>that other people are members</w:t>
            </w:r>
            <w:r w:rsidR="00CA760A" w:rsidRPr="00E767CE">
              <w:t>)</w:t>
            </w:r>
            <w:r w:rsidR="00436247" w:rsidRPr="00E767CE">
              <w:t xml:space="preserve"> </w:t>
            </w:r>
            <w:r w:rsidR="0035527A" w:rsidRPr="00E767CE">
              <w:t xml:space="preserve">of the </w:t>
            </w:r>
            <w:r w:rsidR="0035527A" w:rsidRPr="00E767CE">
              <w:rPr>
                <w:i/>
              </w:rPr>
              <w:t>Military Rehabilitation and Compensation Act 2004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6B4A1D" w:rsidP="00D345BC">
            <w:pPr>
              <w:pStyle w:val="Tabletext"/>
            </w:pPr>
            <w:r w:rsidRPr="00E767CE">
              <w:t>2</w:t>
            </w:r>
            <w:r w:rsidR="00D345BC" w:rsidRPr="00E767CE">
              <w:t>4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35527A" w:rsidP="007D696F">
            <w:pPr>
              <w:pStyle w:val="Tabletext"/>
            </w:pPr>
            <w:r w:rsidRPr="00E767CE">
              <w:t xml:space="preserve">Regulations made </w:t>
            </w:r>
            <w:r w:rsidR="007D696F" w:rsidRPr="00E767CE">
              <w:t xml:space="preserve">solely </w:t>
            </w:r>
            <w:r w:rsidR="00D345BC" w:rsidRPr="00E767CE">
              <w:t>for the purposes of</w:t>
            </w:r>
            <w:r w:rsidRPr="00E767CE">
              <w:t xml:space="preserve"> section</w:t>
            </w:r>
            <w:r w:rsidR="00E767CE" w:rsidRPr="00E767CE">
              <w:t> </w:t>
            </w:r>
            <w:r w:rsidRPr="00E767CE">
              <w:t xml:space="preserve">7 </w:t>
            </w:r>
            <w:r w:rsidR="00436247" w:rsidRPr="00E767CE">
              <w:t>(</w:t>
            </w:r>
            <w:r w:rsidR="007D1FCD" w:rsidRPr="00E767CE">
              <w:t>Regulations setting out model legislation</w:t>
            </w:r>
            <w:r w:rsidR="00436247" w:rsidRPr="00E767CE">
              <w:t xml:space="preserve"> and road transport legislation) </w:t>
            </w:r>
            <w:r w:rsidRPr="00E767CE">
              <w:t xml:space="preserve">of the </w:t>
            </w:r>
            <w:r w:rsidRPr="00E767CE">
              <w:rPr>
                <w:i/>
              </w:rPr>
              <w:t>National Transport Commission Act 2003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D345BC" w:rsidP="009F6B50">
            <w:pPr>
              <w:pStyle w:val="Tabletext"/>
            </w:pPr>
            <w:r w:rsidRPr="00E767CE">
              <w:t>25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D345BC" w:rsidP="00D345BC">
            <w:pPr>
              <w:pStyle w:val="Tabletext"/>
            </w:pPr>
            <w:r w:rsidRPr="00E767CE">
              <w:t>Determinations</w:t>
            </w:r>
            <w:r w:rsidR="0035527A" w:rsidRPr="00E767CE">
              <w:t xml:space="preserve"> made under paragraph</w:t>
            </w:r>
            <w:r w:rsidR="00E767CE" w:rsidRPr="00E767CE">
              <w:t> </w:t>
            </w:r>
            <w:r w:rsidR="0035527A" w:rsidRPr="00E767CE">
              <w:t xml:space="preserve">26(3)(b) </w:t>
            </w:r>
            <w:r w:rsidR="00811638" w:rsidRPr="00E767CE">
              <w:t>(determinations relating to exclu</w:t>
            </w:r>
            <w:r w:rsidRPr="00E767CE">
              <w:t>ded Acts</w:t>
            </w:r>
            <w:r w:rsidR="00811638" w:rsidRPr="00E767CE">
              <w:t xml:space="preserve">) </w:t>
            </w:r>
            <w:r w:rsidR="0035527A" w:rsidRPr="00E767CE">
              <w:t xml:space="preserve">of the </w:t>
            </w:r>
            <w:r w:rsidR="0035527A" w:rsidRPr="00E767CE">
              <w:rPr>
                <w:i/>
              </w:rPr>
              <w:t>Native Title Act 1993</w:t>
            </w:r>
            <w:r w:rsidR="0035527A" w:rsidRPr="00E767CE">
              <w:t xml:space="preserve"> as in force immediately before 30</w:t>
            </w:r>
            <w:r w:rsidR="00E767CE" w:rsidRPr="00E767CE">
              <w:t> </w:t>
            </w:r>
            <w:r w:rsidRPr="00E767CE">
              <w:t>September 1998</w:t>
            </w:r>
          </w:p>
        </w:tc>
      </w:tr>
      <w:tr w:rsidR="00A65B73" w:rsidRPr="00E767CE" w:rsidTr="0087314A">
        <w:tc>
          <w:tcPr>
            <w:tcW w:w="846" w:type="dxa"/>
            <w:shd w:val="clear" w:color="auto" w:fill="auto"/>
          </w:tcPr>
          <w:p w:rsidR="00A65B73" w:rsidRPr="00E767CE" w:rsidRDefault="00D345BC" w:rsidP="009F6B50">
            <w:pPr>
              <w:pStyle w:val="Tabletext"/>
            </w:pPr>
            <w:r w:rsidRPr="00E767CE">
              <w:t>26</w:t>
            </w:r>
          </w:p>
        </w:tc>
        <w:tc>
          <w:tcPr>
            <w:tcW w:w="6241" w:type="dxa"/>
            <w:shd w:val="clear" w:color="auto" w:fill="auto"/>
          </w:tcPr>
          <w:p w:rsidR="005A4F33" w:rsidRPr="00E767CE" w:rsidRDefault="004F186E" w:rsidP="00F6553F">
            <w:pPr>
              <w:pStyle w:val="Tabletext"/>
            </w:pPr>
            <w:r w:rsidRPr="00E767CE">
              <w:t xml:space="preserve">Regulations made </w:t>
            </w:r>
            <w:r w:rsidR="007D696F" w:rsidRPr="00E767CE">
              <w:t xml:space="preserve">solely </w:t>
            </w:r>
            <w:r w:rsidR="00D345BC" w:rsidRPr="00E767CE">
              <w:t>for the purposes of Division</w:t>
            </w:r>
            <w:r w:rsidR="00E767CE" w:rsidRPr="00E767CE">
              <w:t> </w:t>
            </w:r>
            <w:r w:rsidR="00D345BC" w:rsidRPr="00E767CE">
              <w:t>6 (</w:t>
            </w:r>
            <w:r w:rsidR="00A37635" w:rsidRPr="00E767CE">
              <w:t>Native t</w:t>
            </w:r>
            <w:r w:rsidR="002764F8" w:rsidRPr="00E767CE">
              <w:t>itle functions of prescribed bodies corporate and holding of native title in trust) or Division</w:t>
            </w:r>
            <w:r w:rsidR="00E767CE" w:rsidRPr="00E767CE">
              <w:t> </w:t>
            </w:r>
            <w:r w:rsidR="002764F8" w:rsidRPr="00E767CE">
              <w:t>7 (Financial matters</w:t>
            </w:r>
            <w:r w:rsidR="00D345BC" w:rsidRPr="00E767CE">
              <w:t>) of Part</w:t>
            </w:r>
            <w:r w:rsidR="00E767CE" w:rsidRPr="00E767CE">
              <w:t> </w:t>
            </w:r>
            <w:r w:rsidR="00D345BC" w:rsidRPr="00E767CE">
              <w:t>2</w:t>
            </w:r>
            <w:r w:rsidR="002764F8" w:rsidRPr="00E767CE">
              <w:t xml:space="preserve"> (Native Title) of the </w:t>
            </w:r>
            <w:r w:rsidR="00090EF6" w:rsidRPr="00E767CE">
              <w:rPr>
                <w:i/>
              </w:rPr>
              <w:t xml:space="preserve">Native Title </w:t>
            </w:r>
            <w:r w:rsidR="005A4F33" w:rsidRPr="00E767CE">
              <w:rPr>
                <w:i/>
              </w:rPr>
              <w:t>Act 1993</w:t>
            </w:r>
          </w:p>
        </w:tc>
      </w:tr>
      <w:tr w:rsidR="0025566F" w:rsidRPr="00E767CE" w:rsidTr="0087314A">
        <w:tc>
          <w:tcPr>
            <w:tcW w:w="846" w:type="dxa"/>
            <w:shd w:val="clear" w:color="auto" w:fill="auto"/>
          </w:tcPr>
          <w:p w:rsidR="0025566F" w:rsidRPr="00E767CE" w:rsidRDefault="002764F8" w:rsidP="002764F8">
            <w:pPr>
              <w:pStyle w:val="Tabletext"/>
            </w:pPr>
            <w:r w:rsidRPr="00E767CE">
              <w:t>27</w:t>
            </w:r>
          </w:p>
        </w:tc>
        <w:tc>
          <w:tcPr>
            <w:tcW w:w="6241" w:type="dxa"/>
            <w:shd w:val="clear" w:color="auto" w:fill="auto"/>
          </w:tcPr>
          <w:p w:rsidR="00811638" w:rsidRPr="00E767CE" w:rsidRDefault="0025566F" w:rsidP="004F186E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Papua New Guinea (Staffing Assistance) Act 1973</w:t>
            </w:r>
          </w:p>
        </w:tc>
      </w:tr>
      <w:tr w:rsidR="0018360A" w:rsidRPr="00E767CE" w:rsidTr="0087314A">
        <w:tc>
          <w:tcPr>
            <w:tcW w:w="846" w:type="dxa"/>
            <w:shd w:val="clear" w:color="auto" w:fill="auto"/>
          </w:tcPr>
          <w:p w:rsidR="0018360A" w:rsidRPr="00E767CE" w:rsidRDefault="002764F8" w:rsidP="009F6B50">
            <w:pPr>
              <w:pStyle w:val="Tabletext"/>
            </w:pPr>
            <w:r w:rsidRPr="00E767CE">
              <w:t>28</w:t>
            </w:r>
          </w:p>
        </w:tc>
        <w:tc>
          <w:tcPr>
            <w:tcW w:w="6241" w:type="dxa"/>
            <w:shd w:val="clear" w:color="auto" w:fill="auto"/>
          </w:tcPr>
          <w:p w:rsidR="0018360A" w:rsidRPr="00E767CE" w:rsidRDefault="0018360A" w:rsidP="004F186E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Parliamentary Contributory Superannuation Act 1948</w:t>
            </w:r>
          </w:p>
        </w:tc>
      </w:tr>
      <w:tr w:rsidR="00D519EB" w:rsidRPr="00E767CE" w:rsidTr="0087314A">
        <w:tc>
          <w:tcPr>
            <w:tcW w:w="846" w:type="dxa"/>
            <w:shd w:val="clear" w:color="auto" w:fill="auto"/>
          </w:tcPr>
          <w:p w:rsidR="00D519EB" w:rsidRPr="00E767CE" w:rsidRDefault="002764F8" w:rsidP="00AB5D03">
            <w:pPr>
              <w:pStyle w:val="Tabletext"/>
            </w:pPr>
            <w:r w:rsidRPr="00E767CE">
              <w:t>29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D519EB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Payment Systems and Netting Act 1998</w:t>
            </w:r>
          </w:p>
        </w:tc>
      </w:tr>
      <w:tr w:rsidR="00D519EB" w:rsidRPr="00E767CE" w:rsidTr="0087314A">
        <w:tc>
          <w:tcPr>
            <w:tcW w:w="846" w:type="dxa"/>
            <w:shd w:val="clear" w:color="auto" w:fill="auto"/>
          </w:tcPr>
          <w:p w:rsidR="00D519EB" w:rsidRPr="00E767CE" w:rsidRDefault="002764F8" w:rsidP="00AB5D03">
            <w:pPr>
              <w:pStyle w:val="Tabletext"/>
            </w:pPr>
            <w:r w:rsidRPr="00E767CE">
              <w:t>30</w:t>
            </w:r>
          </w:p>
        </w:tc>
        <w:tc>
          <w:tcPr>
            <w:tcW w:w="6241" w:type="dxa"/>
            <w:shd w:val="clear" w:color="auto" w:fill="auto"/>
          </w:tcPr>
          <w:p w:rsidR="00D519EB" w:rsidRPr="00E767CE" w:rsidRDefault="002764F8" w:rsidP="00F6553F">
            <w:pPr>
              <w:pStyle w:val="Tabletext"/>
            </w:pPr>
            <w:r w:rsidRPr="00E767CE">
              <w:t>D</w:t>
            </w:r>
            <w:r w:rsidR="00D519EB" w:rsidRPr="00E767CE">
              <w:t>eclaration</w:t>
            </w:r>
            <w:r w:rsidRPr="00E767CE">
              <w:t>s</w:t>
            </w:r>
            <w:r w:rsidR="00D519EB" w:rsidRPr="00E767CE">
              <w:t xml:space="preserve"> made under subsection</w:t>
            </w:r>
            <w:r w:rsidR="00E767CE" w:rsidRPr="00E767CE">
              <w:t> </w:t>
            </w:r>
            <w:r w:rsidR="00D519EB" w:rsidRPr="00E767CE">
              <w:t>9(3) (</w:t>
            </w:r>
            <w:r w:rsidR="00F6553F" w:rsidRPr="00E767CE">
              <w:t>facilities not</w:t>
            </w:r>
            <w:r w:rsidR="00D519EB" w:rsidRPr="00E767CE">
              <w:t xml:space="preserve"> purchased payment facilities) of the </w:t>
            </w:r>
            <w:r w:rsidR="00D519EB" w:rsidRPr="00E767CE">
              <w:rPr>
                <w:i/>
              </w:rPr>
              <w:t>Payment Systems (Regulation) Act 1998</w:t>
            </w:r>
          </w:p>
        </w:tc>
      </w:tr>
      <w:tr w:rsidR="00D519EB" w:rsidRPr="00E767CE" w:rsidTr="0087314A">
        <w:tc>
          <w:tcPr>
            <w:tcW w:w="846" w:type="dxa"/>
            <w:shd w:val="clear" w:color="auto" w:fill="auto"/>
          </w:tcPr>
          <w:p w:rsidR="00D519EB" w:rsidRPr="00E767CE" w:rsidRDefault="002764F8" w:rsidP="00AB5D03">
            <w:pPr>
              <w:pStyle w:val="Tabletext"/>
            </w:pPr>
            <w:r w:rsidRPr="00E767CE">
              <w:t>31</w:t>
            </w:r>
          </w:p>
        </w:tc>
        <w:tc>
          <w:tcPr>
            <w:tcW w:w="6241" w:type="dxa"/>
            <w:shd w:val="clear" w:color="auto" w:fill="auto"/>
          </w:tcPr>
          <w:p w:rsidR="00D519EB" w:rsidRPr="00E767CE" w:rsidRDefault="00D519EB" w:rsidP="004F186E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Payment Systems (Regulation) Act 1998</w:t>
            </w:r>
          </w:p>
        </w:tc>
      </w:tr>
      <w:tr w:rsidR="001E5E64" w:rsidRPr="00E767CE" w:rsidTr="0087314A">
        <w:tc>
          <w:tcPr>
            <w:tcW w:w="846" w:type="dxa"/>
            <w:shd w:val="clear" w:color="auto" w:fill="auto"/>
          </w:tcPr>
          <w:p w:rsidR="001E5E64" w:rsidRPr="00E767CE" w:rsidRDefault="00E15607" w:rsidP="00FA59F6">
            <w:pPr>
              <w:pStyle w:val="Tabletext"/>
            </w:pPr>
            <w:r w:rsidRPr="00E767CE">
              <w:t>32</w:t>
            </w:r>
          </w:p>
        </w:tc>
        <w:tc>
          <w:tcPr>
            <w:tcW w:w="6241" w:type="dxa"/>
            <w:shd w:val="clear" w:color="auto" w:fill="auto"/>
          </w:tcPr>
          <w:p w:rsidR="001E5E64" w:rsidRPr="00E767CE" w:rsidRDefault="002764F8" w:rsidP="00A5732A">
            <w:pPr>
              <w:pStyle w:val="Tabletext"/>
            </w:pPr>
            <w:r w:rsidRPr="00E767CE">
              <w:t>N</w:t>
            </w:r>
            <w:r w:rsidR="001E5E64" w:rsidRPr="00E767CE">
              <w:t>otice</w:t>
            </w:r>
            <w:r w:rsidRPr="00E767CE">
              <w:t>s</w:t>
            </w:r>
            <w:r w:rsidR="001E5E64" w:rsidRPr="00E767CE">
              <w:t xml:space="preserve"> </w:t>
            </w:r>
            <w:r w:rsidR="00A37635" w:rsidRPr="00E767CE">
              <w:t>given</w:t>
            </w:r>
            <w:r w:rsidR="001E5E64" w:rsidRPr="00E767CE">
              <w:t xml:space="preserve"> under section</w:t>
            </w:r>
            <w:r w:rsidR="00E767CE" w:rsidRPr="00E767CE">
              <w:t> </w:t>
            </w:r>
            <w:r w:rsidR="001E5E64" w:rsidRPr="00E767CE">
              <w:t>36 (</w:t>
            </w:r>
            <w:r w:rsidRPr="00E767CE">
              <w:t>D</w:t>
            </w:r>
            <w:r w:rsidR="001E5E64" w:rsidRPr="00E767CE">
              <w:t>esignati</w:t>
            </w:r>
            <w:r w:rsidRPr="00E767CE">
              <w:t xml:space="preserve">on of parts of the </w:t>
            </w:r>
            <w:r w:rsidR="001E5E64" w:rsidRPr="00E767CE">
              <w:t>spectrum</w:t>
            </w:r>
            <w:r w:rsidR="004F186E" w:rsidRPr="00E767CE">
              <w:t xml:space="preserve"> for spectrum licences</w:t>
            </w:r>
            <w:r w:rsidR="001E5E64" w:rsidRPr="00E767CE">
              <w:t xml:space="preserve">) of the </w:t>
            </w:r>
            <w:r w:rsidR="001E5E64" w:rsidRPr="00E767CE">
              <w:rPr>
                <w:i/>
              </w:rPr>
              <w:t>Radiocommunications Act 1992</w:t>
            </w:r>
          </w:p>
        </w:tc>
      </w:tr>
      <w:tr w:rsidR="001E5E64" w:rsidRPr="00E767CE" w:rsidTr="0087314A">
        <w:tc>
          <w:tcPr>
            <w:tcW w:w="846" w:type="dxa"/>
            <w:shd w:val="clear" w:color="auto" w:fill="auto"/>
          </w:tcPr>
          <w:p w:rsidR="001E5E64" w:rsidRPr="00E767CE" w:rsidRDefault="00E15607" w:rsidP="00FA59F6">
            <w:pPr>
              <w:pStyle w:val="Tabletext"/>
            </w:pPr>
            <w:r w:rsidRPr="00E767CE">
              <w:t>33</w:t>
            </w:r>
          </w:p>
        </w:tc>
        <w:tc>
          <w:tcPr>
            <w:tcW w:w="6241" w:type="dxa"/>
            <w:shd w:val="clear" w:color="auto" w:fill="auto"/>
          </w:tcPr>
          <w:p w:rsidR="001E5E64" w:rsidRPr="00E767CE" w:rsidRDefault="00E15607" w:rsidP="00A5732A">
            <w:pPr>
              <w:pStyle w:val="Tabletext"/>
            </w:pPr>
            <w:r w:rsidRPr="00E767CE">
              <w:t>D</w:t>
            </w:r>
            <w:r w:rsidR="001E5E64" w:rsidRPr="00E767CE">
              <w:t>eclaration</w:t>
            </w:r>
            <w:r w:rsidRPr="00E767CE">
              <w:t>s</w:t>
            </w:r>
            <w:r w:rsidR="001E5E64" w:rsidRPr="00E767CE">
              <w:t xml:space="preserve"> made under section</w:t>
            </w:r>
            <w:r w:rsidR="00E767CE" w:rsidRPr="00E767CE">
              <w:t> </w:t>
            </w:r>
            <w:r w:rsidR="001E5E64" w:rsidRPr="00E767CE">
              <w:t>153B</w:t>
            </w:r>
            <w:r w:rsidRPr="00E767CE">
              <w:t xml:space="preserve"> (S</w:t>
            </w:r>
            <w:r w:rsidR="001E5E64" w:rsidRPr="00E767CE">
              <w:t>pectrum re</w:t>
            </w:r>
            <w:r w:rsidR="00E767CE">
              <w:noBreakHyphen/>
            </w:r>
            <w:r w:rsidR="001E5E64" w:rsidRPr="00E767CE">
              <w:t>allocation</w:t>
            </w:r>
            <w:r w:rsidRPr="00E767CE">
              <w:t xml:space="preserve"> declaration</w:t>
            </w:r>
            <w:r w:rsidR="001E5E64" w:rsidRPr="00E767CE">
              <w:t xml:space="preserve">) of the </w:t>
            </w:r>
            <w:r w:rsidR="001E5E64" w:rsidRPr="00E767CE">
              <w:rPr>
                <w:i/>
              </w:rPr>
              <w:t>Radiocommunications Act 1992</w:t>
            </w:r>
          </w:p>
        </w:tc>
      </w:tr>
      <w:tr w:rsidR="009243B7" w:rsidRPr="00E767CE" w:rsidTr="0087314A">
        <w:tc>
          <w:tcPr>
            <w:tcW w:w="846" w:type="dxa"/>
            <w:shd w:val="clear" w:color="auto" w:fill="auto"/>
          </w:tcPr>
          <w:p w:rsidR="009243B7" w:rsidRPr="00E767CE" w:rsidRDefault="00E15607" w:rsidP="009F6B50">
            <w:pPr>
              <w:pStyle w:val="Tabletext"/>
            </w:pPr>
            <w:r w:rsidRPr="00E767CE">
              <w:t>34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E15607" w:rsidP="00A5732A">
            <w:pPr>
              <w:pStyle w:val="Tabletext"/>
            </w:pPr>
            <w:r w:rsidRPr="00E767CE">
              <w:t>D</w:t>
            </w:r>
            <w:r w:rsidR="009243B7" w:rsidRPr="00E767CE">
              <w:t>eclaration</w:t>
            </w:r>
            <w:r w:rsidRPr="00E767CE">
              <w:t>s</w:t>
            </w:r>
            <w:r w:rsidR="009243B7" w:rsidRPr="00E767CE">
              <w:t xml:space="preserve"> made under </w:t>
            </w:r>
            <w:r w:rsidR="00E767CE" w:rsidRPr="00E767CE">
              <w:t>subparagraph (</w:t>
            </w:r>
            <w:r w:rsidR="009243B7" w:rsidRPr="00E767CE">
              <w:t xml:space="preserve">c)(iii) </w:t>
            </w:r>
            <w:r w:rsidR="00415507" w:rsidRPr="00E767CE">
              <w:t xml:space="preserve">(declaration that body corporate is Commonwealth authority) </w:t>
            </w:r>
            <w:r w:rsidR="009243B7" w:rsidRPr="00E767CE">
              <w:t xml:space="preserve">of the definition of </w:t>
            </w:r>
            <w:r w:rsidR="009243B7" w:rsidRPr="00E767CE">
              <w:rPr>
                <w:b/>
                <w:i/>
              </w:rPr>
              <w:t>Commonwealth authority</w:t>
            </w:r>
            <w:r w:rsidR="009243B7" w:rsidRPr="00E767CE">
              <w:t xml:space="preserve"> in subsection</w:t>
            </w:r>
            <w:r w:rsidR="00E767CE" w:rsidRPr="00E767CE">
              <w:t> </w:t>
            </w:r>
            <w:r w:rsidR="009243B7" w:rsidRPr="00E767CE">
              <w:t xml:space="preserve">4(1) of the </w:t>
            </w:r>
            <w:r w:rsidR="009243B7" w:rsidRPr="00E767CE">
              <w:rPr>
                <w:i/>
              </w:rPr>
              <w:t>Safety, Rehabilitation and Compensation Act 1988</w:t>
            </w:r>
          </w:p>
        </w:tc>
      </w:tr>
      <w:tr w:rsidR="002E44B0" w:rsidRPr="00E767CE" w:rsidTr="0087314A">
        <w:tc>
          <w:tcPr>
            <w:tcW w:w="846" w:type="dxa"/>
            <w:shd w:val="clear" w:color="auto" w:fill="auto"/>
          </w:tcPr>
          <w:p w:rsidR="002E44B0" w:rsidRPr="00E767CE" w:rsidRDefault="00E15607" w:rsidP="009F6B50">
            <w:pPr>
              <w:pStyle w:val="Tabletext"/>
            </w:pPr>
            <w:r w:rsidRPr="00E767CE">
              <w:lastRenderedPageBreak/>
              <w:t>35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E15607" w:rsidP="00A5732A">
            <w:pPr>
              <w:pStyle w:val="Tabletext"/>
            </w:pPr>
            <w:r w:rsidRPr="00E767CE">
              <w:t xml:space="preserve">Declarations made </w:t>
            </w:r>
            <w:r w:rsidR="009243B7" w:rsidRPr="00E767CE">
              <w:t>under section</w:t>
            </w:r>
            <w:r w:rsidR="00E767CE" w:rsidRPr="00E767CE">
              <w:t> </w:t>
            </w:r>
            <w:r w:rsidR="009243B7" w:rsidRPr="00E767CE">
              <w:t>4</w:t>
            </w:r>
            <w:r w:rsidRPr="00E767CE">
              <w:t>A (D</w:t>
            </w:r>
            <w:r w:rsidR="00415507" w:rsidRPr="00E767CE">
              <w:t xml:space="preserve">eclaration that </w:t>
            </w:r>
            <w:r w:rsidRPr="00E767CE">
              <w:t>ACT a Commonwealth</w:t>
            </w:r>
            <w:r w:rsidR="00415507" w:rsidRPr="00E767CE">
              <w:t xml:space="preserve"> authority)</w:t>
            </w:r>
            <w:r w:rsidR="009243B7" w:rsidRPr="00E767CE">
              <w:t xml:space="preserve"> of the </w:t>
            </w:r>
            <w:r w:rsidR="009243B7" w:rsidRPr="00E767CE">
              <w:rPr>
                <w:i/>
              </w:rPr>
              <w:t>Safety, Rehabilitation and Compensation Act 1988</w:t>
            </w:r>
          </w:p>
        </w:tc>
      </w:tr>
      <w:tr w:rsidR="009243B7" w:rsidRPr="00E767CE" w:rsidTr="0087314A">
        <w:tc>
          <w:tcPr>
            <w:tcW w:w="846" w:type="dxa"/>
            <w:shd w:val="clear" w:color="auto" w:fill="auto"/>
          </w:tcPr>
          <w:p w:rsidR="009243B7" w:rsidRPr="00E767CE" w:rsidRDefault="00E15607" w:rsidP="009F6B50">
            <w:pPr>
              <w:pStyle w:val="Tabletext"/>
            </w:pPr>
            <w:r w:rsidRPr="00E767CE">
              <w:t>36</w:t>
            </w:r>
          </w:p>
        </w:tc>
        <w:tc>
          <w:tcPr>
            <w:tcW w:w="6241" w:type="dxa"/>
            <w:shd w:val="clear" w:color="auto" w:fill="auto"/>
          </w:tcPr>
          <w:p w:rsidR="008815E3" w:rsidRPr="00E767CE" w:rsidRDefault="00E15607" w:rsidP="00E01D69">
            <w:pPr>
              <w:pStyle w:val="Tabletext"/>
            </w:pPr>
            <w:r w:rsidRPr="00E767CE">
              <w:t>Instruments made</w:t>
            </w:r>
            <w:r w:rsidR="009243B7" w:rsidRPr="00E767CE">
              <w:t xml:space="preserve"> under subsection</w:t>
            </w:r>
            <w:r w:rsidR="00E767CE" w:rsidRPr="00E767CE">
              <w:t> </w:t>
            </w:r>
            <w:r w:rsidR="009243B7" w:rsidRPr="00E767CE">
              <w:t xml:space="preserve">5(6) </w:t>
            </w:r>
            <w:r w:rsidR="0018360A" w:rsidRPr="00E767CE">
              <w:t>(</w:t>
            </w:r>
            <w:r w:rsidR="00D944E6" w:rsidRPr="00E767CE">
              <w:t>notice</w:t>
            </w:r>
            <w:r w:rsidRPr="00E767CE">
              <w:t>s</w:t>
            </w:r>
            <w:r w:rsidR="00D944E6" w:rsidRPr="00E767CE">
              <w:t xml:space="preserve"> </w:t>
            </w:r>
            <w:r w:rsidRPr="00E767CE">
              <w:t>declaring persons to be</w:t>
            </w:r>
            <w:r w:rsidR="00D944E6" w:rsidRPr="00E767CE">
              <w:t xml:space="preserve"> Commonwealth employ</w:t>
            </w:r>
            <w:r w:rsidRPr="00E767CE">
              <w:t>ees</w:t>
            </w:r>
            <w:r w:rsidR="00D944E6" w:rsidRPr="00E767CE">
              <w:t>)</w:t>
            </w:r>
            <w:r w:rsidR="00A60050" w:rsidRPr="00E767CE">
              <w:t xml:space="preserve"> </w:t>
            </w:r>
            <w:r w:rsidR="009243B7" w:rsidRPr="00E767CE">
              <w:t xml:space="preserve">of the </w:t>
            </w:r>
            <w:r w:rsidR="009243B7" w:rsidRPr="00E767CE">
              <w:rPr>
                <w:i/>
              </w:rPr>
              <w:t>Safety, Rehabilitation and Compensation Act 1988</w:t>
            </w:r>
          </w:p>
        </w:tc>
      </w:tr>
      <w:tr w:rsidR="009243B7" w:rsidRPr="00E767CE" w:rsidTr="0087314A">
        <w:tc>
          <w:tcPr>
            <w:tcW w:w="846" w:type="dxa"/>
            <w:shd w:val="clear" w:color="auto" w:fill="auto"/>
          </w:tcPr>
          <w:p w:rsidR="009243B7" w:rsidRPr="00E767CE" w:rsidRDefault="006A21A1" w:rsidP="009F6B50">
            <w:pPr>
              <w:pStyle w:val="Tabletext"/>
            </w:pPr>
            <w:r w:rsidRPr="00E767CE">
              <w:t>37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6A21A1" w:rsidP="00A5732A">
            <w:pPr>
              <w:pStyle w:val="Tabletext"/>
            </w:pPr>
            <w:r w:rsidRPr="00E767CE">
              <w:t>D</w:t>
            </w:r>
            <w:r w:rsidR="009243B7" w:rsidRPr="00E767CE">
              <w:t>eclaration</w:t>
            </w:r>
            <w:r w:rsidRPr="00E767CE">
              <w:t>s</w:t>
            </w:r>
            <w:r w:rsidR="009243B7" w:rsidRPr="00E767CE">
              <w:t xml:space="preserve"> made under subparagraph</w:t>
            </w:r>
            <w:r w:rsidR="00E767CE" w:rsidRPr="00E767CE">
              <w:t> </w:t>
            </w:r>
            <w:r w:rsidR="009243B7" w:rsidRPr="00E767CE">
              <w:t xml:space="preserve">6(1)(h)(ii) </w:t>
            </w:r>
            <w:r w:rsidR="008815E3" w:rsidRPr="00E767CE">
              <w:t>(</w:t>
            </w:r>
            <w:r w:rsidR="00040762" w:rsidRPr="00E767CE">
              <w:t xml:space="preserve">declaration relating to </w:t>
            </w:r>
            <w:r w:rsidRPr="00E767CE">
              <w:t>places outside Australia</w:t>
            </w:r>
            <w:r w:rsidR="00040762" w:rsidRPr="00E767CE">
              <w:t xml:space="preserve">), or (i)(ii) (declaration relating to </w:t>
            </w:r>
            <w:r w:rsidR="00A5732A" w:rsidRPr="00E767CE">
              <w:t xml:space="preserve">classes of </w:t>
            </w:r>
            <w:r w:rsidR="00040762" w:rsidRPr="00E767CE">
              <w:t>employees</w:t>
            </w:r>
            <w:r w:rsidRPr="00E767CE">
              <w:t xml:space="preserve"> outside Australia</w:t>
            </w:r>
            <w:r w:rsidR="00040762" w:rsidRPr="00E767CE">
              <w:t xml:space="preserve">), </w:t>
            </w:r>
            <w:r w:rsidR="009243B7" w:rsidRPr="00E767CE">
              <w:t xml:space="preserve">of the </w:t>
            </w:r>
            <w:r w:rsidR="009243B7" w:rsidRPr="00E767CE">
              <w:rPr>
                <w:i/>
              </w:rPr>
              <w:t>Safety, Rehabilitation and Compensation Act 1988</w:t>
            </w:r>
          </w:p>
        </w:tc>
      </w:tr>
      <w:tr w:rsidR="009243B7" w:rsidRPr="00E767CE" w:rsidTr="0087314A">
        <w:tc>
          <w:tcPr>
            <w:tcW w:w="846" w:type="dxa"/>
            <w:shd w:val="clear" w:color="auto" w:fill="auto"/>
          </w:tcPr>
          <w:p w:rsidR="009243B7" w:rsidRPr="00E767CE" w:rsidRDefault="006A21A1" w:rsidP="009F6B50">
            <w:pPr>
              <w:pStyle w:val="Tabletext"/>
            </w:pPr>
            <w:r w:rsidRPr="00E767CE">
              <w:t>38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6A21A1" w:rsidP="00A5732A">
            <w:pPr>
              <w:pStyle w:val="Tabletext"/>
            </w:pPr>
            <w:r w:rsidRPr="00E767CE">
              <w:t>D</w:t>
            </w:r>
            <w:r w:rsidR="009243B7" w:rsidRPr="00E767CE">
              <w:t>eclaration</w:t>
            </w:r>
            <w:r w:rsidRPr="00E767CE">
              <w:t>s</w:t>
            </w:r>
            <w:r w:rsidR="009243B7" w:rsidRPr="00E767CE">
              <w:t xml:space="preserve"> made under section</w:t>
            </w:r>
            <w:r w:rsidR="00E767CE" w:rsidRPr="00E767CE">
              <w:t> </w:t>
            </w:r>
            <w:r w:rsidR="009243B7" w:rsidRPr="00E767CE">
              <w:t xml:space="preserve">100 </w:t>
            </w:r>
            <w:r w:rsidR="00040762" w:rsidRPr="00E767CE">
              <w:t>(</w:t>
            </w:r>
            <w:r w:rsidRPr="00E767CE">
              <w:t xml:space="preserve">Minister may declare a </w:t>
            </w:r>
            <w:r w:rsidR="00040762" w:rsidRPr="00E767CE">
              <w:t>corporation eligible to be granted a licence</w:t>
            </w:r>
            <w:r w:rsidRPr="00E767CE">
              <w:t xml:space="preserve"> under this Part</w:t>
            </w:r>
            <w:r w:rsidR="00040762" w:rsidRPr="00E767CE">
              <w:t xml:space="preserve">) </w:t>
            </w:r>
            <w:r w:rsidR="009243B7" w:rsidRPr="00E767CE">
              <w:t xml:space="preserve">of the </w:t>
            </w:r>
            <w:r w:rsidR="009243B7" w:rsidRPr="00E767CE">
              <w:rPr>
                <w:i/>
              </w:rPr>
              <w:t>Safety, Rehabilitation and Compensation Act 1988</w:t>
            </w:r>
          </w:p>
        </w:tc>
      </w:tr>
      <w:tr w:rsidR="00FF1EBB" w:rsidRPr="00E767CE" w:rsidTr="0087314A">
        <w:tc>
          <w:tcPr>
            <w:tcW w:w="846" w:type="dxa"/>
            <w:shd w:val="clear" w:color="auto" w:fill="auto"/>
          </w:tcPr>
          <w:p w:rsidR="00FF1EBB" w:rsidRPr="00E767CE" w:rsidRDefault="006A21A1" w:rsidP="00FA59F6">
            <w:pPr>
              <w:pStyle w:val="Tabletext"/>
            </w:pPr>
            <w:r w:rsidRPr="00E767CE">
              <w:t>39</w:t>
            </w:r>
          </w:p>
        </w:tc>
        <w:tc>
          <w:tcPr>
            <w:tcW w:w="6241" w:type="dxa"/>
            <w:shd w:val="clear" w:color="auto" w:fill="auto"/>
          </w:tcPr>
          <w:p w:rsidR="00C564E9" w:rsidRPr="00E767CE" w:rsidRDefault="00FF1EBB" w:rsidP="00147B9E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Superannuation Act 1922</w:t>
            </w:r>
          </w:p>
        </w:tc>
      </w:tr>
      <w:tr w:rsidR="00FF1EBB" w:rsidRPr="00E767CE" w:rsidTr="0087314A">
        <w:tc>
          <w:tcPr>
            <w:tcW w:w="846" w:type="dxa"/>
            <w:shd w:val="clear" w:color="auto" w:fill="auto"/>
          </w:tcPr>
          <w:p w:rsidR="00FF1EBB" w:rsidRPr="00E767CE" w:rsidRDefault="006A21A1" w:rsidP="00FA59F6">
            <w:pPr>
              <w:pStyle w:val="Tabletext"/>
            </w:pPr>
            <w:r w:rsidRPr="00E767CE">
              <w:t>40</w:t>
            </w:r>
          </w:p>
        </w:tc>
        <w:tc>
          <w:tcPr>
            <w:tcW w:w="6241" w:type="dxa"/>
            <w:shd w:val="clear" w:color="auto" w:fill="auto"/>
          </w:tcPr>
          <w:p w:rsidR="009D42A5" w:rsidRPr="00E767CE" w:rsidRDefault="00FF1EBB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Superannuation Act 1976</w:t>
            </w:r>
            <w:r w:rsidR="003D4F82" w:rsidRPr="00E767CE">
              <w:rPr>
                <w:i/>
              </w:rPr>
              <w:t xml:space="preserve">, </w:t>
            </w:r>
            <w:r w:rsidRPr="00E767CE">
              <w:t xml:space="preserve">except </w:t>
            </w:r>
            <w:r w:rsidR="003D4F82" w:rsidRPr="00E767CE">
              <w:t>regulations</w:t>
            </w:r>
            <w:r w:rsidRPr="00E767CE">
              <w:t xml:space="preserve"> </w:t>
            </w:r>
            <w:r w:rsidR="003D4F82" w:rsidRPr="00E767CE">
              <w:t xml:space="preserve">made </w:t>
            </w:r>
            <w:r w:rsidR="007D696F" w:rsidRPr="00E767CE">
              <w:t xml:space="preserve">solely </w:t>
            </w:r>
            <w:r w:rsidR="003D4F82" w:rsidRPr="00E767CE">
              <w:t>for the purposes of</w:t>
            </w:r>
            <w:r w:rsidRPr="00E767CE">
              <w:t xml:space="preserve"> section</w:t>
            </w:r>
            <w:r w:rsidR="00E767CE" w:rsidRPr="00E767CE">
              <w:t> </w:t>
            </w:r>
            <w:r w:rsidRPr="00E767CE">
              <w:t xml:space="preserve">153AN </w:t>
            </w:r>
            <w:r w:rsidR="003D4F82" w:rsidRPr="00E767CE">
              <w:t>(fees for reconsideration) or subsection</w:t>
            </w:r>
            <w:r w:rsidR="00E767CE" w:rsidRPr="00E767CE">
              <w:t> </w:t>
            </w:r>
            <w:r w:rsidR="003D4F82" w:rsidRPr="00E767CE">
              <w:t>160(1) (costs of administration)</w:t>
            </w:r>
            <w:r w:rsidR="003602A5" w:rsidRPr="00E767CE">
              <w:t xml:space="preserve"> of that Act</w:t>
            </w:r>
          </w:p>
        </w:tc>
      </w:tr>
      <w:tr w:rsidR="00FF1EBB" w:rsidRPr="00E767CE" w:rsidTr="0087314A">
        <w:tc>
          <w:tcPr>
            <w:tcW w:w="846" w:type="dxa"/>
            <w:shd w:val="clear" w:color="auto" w:fill="auto"/>
          </w:tcPr>
          <w:p w:rsidR="00FF1EBB" w:rsidRPr="00E767CE" w:rsidRDefault="003D4F82" w:rsidP="00FA59F6">
            <w:pPr>
              <w:pStyle w:val="Tabletext"/>
            </w:pPr>
            <w:r w:rsidRPr="00E767CE">
              <w:t>41</w:t>
            </w:r>
          </w:p>
        </w:tc>
        <w:tc>
          <w:tcPr>
            <w:tcW w:w="6241" w:type="dxa"/>
            <w:shd w:val="clear" w:color="auto" w:fill="auto"/>
          </w:tcPr>
          <w:p w:rsidR="00573482" w:rsidRPr="00E767CE" w:rsidRDefault="00FF1EBB" w:rsidP="003D4F82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Superannuation (Productivity Benefit) Act 1988</w:t>
            </w:r>
          </w:p>
        </w:tc>
      </w:tr>
      <w:tr w:rsidR="00FF1EBB" w:rsidRPr="00E767CE" w:rsidTr="0087314A">
        <w:tc>
          <w:tcPr>
            <w:tcW w:w="846" w:type="dxa"/>
            <w:shd w:val="clear" w:color="auto" w:fill="auto"/>
          </w:tcPr>
          <w:p w:rsidR="00FF1EBB" w:rsidRPr="00E767CE" w:rsidRDefault="00FF1EBB" w:rsidP="00413DBC">
            <w:pPr>
              <w:pStyle w:val="Tabletext"/>
            </w:pPr>
            <w:r w:rsidRPr="00E767CE">
              <w:t>4</w:t>
            </w:r>
            <w:r w:rsidR="00413DBC" w:rsidRPr="00E767CE">
              <w:t>2</w:t>
            </w:r>
          </w:p>
        </w:tc>
        <w:tc>
          <w:tcPr>
            <w:tcW w:w="6241" w:type="dxa"/>
            <w:shd w:val="clear" w:color="auto" w:fill="auto"/>
          </w:tcPr>
          <w:p w:rsidR="00FF1EBB" w:rsidRPr="00E767CE" w:rsidRDefault="003D4F82" w:rsidP="00A5732A">
            <w:pPr>
              <w:pStyle w:val="Tabletext"/>
            </w:pPr>
            <w:r w:rsidRPr="00E767CE">
              <w:t>C</w:t>
            </w:r>
            <w:r w:rsidR="00FF1EBB" w:rsidRPr="00E767CE">
              <w:t>ode</w:t>
            </w:r>
            <w:r w:rsidRPr="00E767CE">
              <w:t>s</w:t>
            </w:r>
            <w:r w:rsidR="00FF1EBB" w:rsidRPr="00E767CE">
              <w:t xml:space="preserve"> made under subclause</w:t>
            </w:r>
            <w:r w:rsidR="00E767CE" w:rsidRPr="00E767CE">
              <w:t> </w:t>
            </w:r>
            <w:r w:rsidR="00FF1EBB" w:rsidRPr="00E767CE">
              <w:t>37(1) (access</w:t>
            </w:r>
            <w:r w:rsidRPr="00E767CE">
              <w:t xml:space="preserve"> codes</w:t>
            </w:r>
            <w:r w:rsidR="00FF1EBB" w:rsidRPr="00E767CE">
              <w:t>) of Schedule</w:t>
            </w:r>
            <w:r w:rsidR="00E767CE" w:rsidRPr="00E767CE">
              <w:t> </w:t>
            </w:r>
            <w:r w:rsidR="00FF1EBB" w:rsidRPr="00E767CE">
              <w:t xml:space="preserve">1 </w:t>
            </w:r>
            <w:r w:rsidR="00A5732A" w:rsidRPr="00E767CE">
              <w:t xml:space="preserve">(Standard carrier licence conditions) </w:t>
            </w:r>
            <w:r w:rsidR="00FF1EBB" w:rsidRPr="00E767CE">
              <w:t xml:space="preserve">to the </w:t>
            </w:r>
            <w:r w:rsidR="00FF1EBB" w:rsidRPr="00E767CE">
              <w:rPr>
                <w:i/>
              </w:rPr>
              <w:t>Telecommunications Act 1997</w:t>
            </w:r>
          </w:p>
        </w:tc>
      </w:tr>
      <w:tr w:rsidR="00A263E9" w:rsidRPr="00E767CE" w:rsidTr="0087314A">
        <w:tc>
          <w:tcPr>
            <w:tcW w:w="846" w:type="dxa"/>
            <w:shd w:val="clear" w:color="auto" w:fill="auto"/>
          </w:tcPr>
          <w:p w:rsidR="00A263E9" w:rsidRPr="00E767CE" w:rsidRDefault="00FF1EBB" w:rsidP="00413DBC">
            <w:pPr>
              <w:pStyle w:val="Tabletext"/>
            </w:pPr>
            <w:r w:rsidRPr="00E767CE">
              <w:t>4</w:t>
            </w:r>
            <w:r w:rsidR="00413DBC" w:rsidRPr="00E767CE">
              <w:t>3</w:t>
            </w:r>
          </w:p>
        </w:tc>
        <w:tc>
          <w:tcPr>
            <w:tcW w:w="6241" w:type="dxa"/>
            <w:shd w:val="clear" w:color="auto" w:fill="auto"/>
          </w:tcPr>
          <w:p w:rsidR="00573482" w:rsidRPr="00E767CE" w:rsidRDefault="00413DBC" w:rsidP="00A5732A">
            <w:pPr>
              <w:pStyle w:val="Tabletext"/>
            </w:pPr>
            <w:r w:rsidRPr="00E767CE">
              <w:t>D</w:t>
            </w:r>
            <w:r w:rsidR="00A263E9" w:rsidRPr="00E767CE">
              <w:t>eclaration</w:t>
            </w:r>
            <w:r w:rsidRPr="00E767CE">
              <w:t>s</w:t>
            </w:r>
            <w:r w:rsidR="00A263E9" w:rsidRPr="00E767CE">
              <w:t xml:space="preserve"> made under sub</w:t>
            </w:r>
            <w:r w:rsidR="00573482" w:rsidRPr="00E767CE">
              <w:t>clause</w:t>
            </w:r>
            <w:r w:rsidR="00E767CE" w:rsidRPr="00E767CE">
              <w:t> </w:t>
            </w:r>
            <w:r w:rsidR="00A263E9" w:rsidRPr="00E767CE">
              <w:t>4(1) (protection zone</w:t>
            </w:r>
            <w:r w:rsidRPr="00E767CE">
              <w:t xml:space="preserve"> declarations</w:t>
            </w:r>
            <w:r w:rsidR="00A263E9" w:rsidRPr="00E767CE">
              <w:t>) of Schedule</w:t>
            </w:r>
            <w:r w:rsidR="00E767CE" w:rsidRPr="00E767CE">
              <w:t> </w:t>
            </w:r>
            <w:r w:rsidR="00A263E9" w:rsidRPr="00E767CE">
              <w:t xml:space="preserve">3A </w:t>
            </w:r>
            <w:r w:rsidR="00A5732A" w:rsidRPr="00E767CE">
              <w:t xml:space="preserve">(Protection of submarine cables) </w:t>
            </w:r>
            <w:r w:rsidR="00A263E9" w:rsidRPr="00E767CE">
              <w:t xml:space="preserve">to the </w:t>
            </w:r>
            <w:r w:rsidR="00A263E9" w:rsidRPr="00E767CE">
              <w:rPr>
                <w:i/>
              </w:rPr>
              <w:t>Telecommunication</w:t>
            </w:r>
            <w:r w:rsidR="009A1DEE" w:rsidRPr="00E767CE">
              <w:rPr>
                <w:i/>
              </w:rPr>
              <w:t>s</w:t>
            </w:r>
            <w:r w:rsidR="00A263E9" w:rsidRPr="00E767CE">
              <w:rPr>
                <w:i/>
              </w:rPr>
              <w:t xml:space="preserve"> Act 1997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413DBC" w:rsidP="009F6B50">
            <w:pPr>
              <w:pStyle w:val="Tabletext"/>
            </w:pPr>
            <w:r w:rsidRPr="00E767CE">
              <w:t>44</w:t>
            </w:r>
          </w:p>
        </w:tc>
        <w:tc>
          <w:tcPr>
            <w:tcW w:w="6241" w:type="dxa"/>
            <w:shd w:val="clear" w:color="auto" w:fill="auto"/>
          </w:tcPr>
          <w:p w:rsidR="00FA59F6" w:rsidRPr="00E767CE" w:rsidRDefault="00413DBC" w:rsidP="00A5732A">
            <w:pPr>
              <w:pStyle w:val="Tabletext"/>
            </w:pPr>
            <w:r w:rsidRPr="00E767CE">
              <w:t>D</w:t>
            </w:r>
            <w:r w:rsidR="0035527A" w:rsidRPr="00E767CE">
              <w:t>eclaration</w:t>
            </w:r>
            <w:r w:rsidRPr="00E767CE">
              <w:t>s</w:t>
            </w:r>
            <w:r w:rsidR="0035527A" w:rsidRPr="00E767CE">
              <w:t xml:space="preserve"> made under </w:t>
            </w:r>
            <w:r w:rsidR="00573482" w:rsidRPr="00E767CE">
              <w:t>sub</w:t>
            </w:r>
            <w:r w:rsidR="0035527A" w:rsidRPr="00E767CE">
              <w:t>section</w:t>
            </w:r>
            <w:r w:rsidR="00E767CE" w:rsidRPr="00E767CE">
              <w:t> </w:t>
            </w:r>
            <w:r w:rsidR="0035527A" w:rsidRPr="00E767CE">
              <w:t>6N</w:t>
            </w:r>
            <w:r w:rsidR="00573482" w:rsidRPr="00E767CE">
              <w:t>(2)</w:t>
            </w:r>
            <w:r w:rsidR="0035527A" w:rsidRPr="00E767CE">
              <w:t xml:space="preserve"> </w:t>
            </w:r>
            <w:r w:rsidRPr="00E767CE">
              <w:t>(D</w:t>
            </w:r>
            <w:r w:rsidR="00573482" w:rsidRPr="00E767CE">
              <w:t xml:space="preserve">eclaration of staff members of State Police Forces) </w:t>
            </w:r>
            <w:r w:rsidR="0035527A" w:rsidRPr="00E767CE">
              <w:t xml:space="preserve">or </w:t>
            </w:r>
            <w:r w:rsidR="00573482" w:rsidRPr="00E767CE">
              <w:t>section</w:t>
            </w:r>
            <w:r w:rsidR="00E767CE" w:rsidRPr="00E767CE">
              <w:t> </w:t>
            </w:r>
            <w:r w:rsidR="0035527A" w:rsidRPr="00E767CE">
              <w:t xml:space="preserve">34 </w:t>
            </w:r>
            <w:r w:rsidRPr="00E767CE">
              <w:t>(D</w:t>
            </w:r>
            <w:r w:rsidR="00573482" w:rsidRPr="00E767CE">
              <w:t xml:space="preserve">eclaration of </w:t>
            </w:r>
            <w:r w:rsidRPr="00E767CE">
              <w:t xml:space="preserve">an eligible authority of a </w:t>
            </w:r>
            <w:r w:rsidR="00573482" w:rsidRPr="00E767CE">
              <w:t xml:space="preserve">State </w:t>
            </w:r>
            <w:r w:rsidRPr="00E767CE">
              <w:t>as an agency)</w:t>
            </w:r>
            <w:r w:rsidR="00573482" w:rsidRPr="00E767CE">
              <w:t xml:space="preserve"> </w:t>
            </w:r>
            <w:r w:rsidR="0035527A" w:rsidRPr="00E767CE">
              <w:t xml:space="preserve">of the </w:t>
            </w:r>
            <w:r w:rsidR="0035527A" w:rsidRPr="00E767CE">
              <w:rPr>
                <w:i/>
              </w:rPr>
              <w:t>Telecommunications (Interception</w:t>
            </w:r>
            <w:r w:rsidR="00573482" w:rsidRPr="00E767CE">
              <w:rPr>
                <w:i/>
              </w:rPr>
              <w:t xml:space="preserve"> and Access</w:t>
            </w:r>
            <w:r w:rsidR="0035527A" w:rsidRPr="00E767CE">
              <w:rPr>
                <w:i/>
              </w:rPr>
              <w:t>) Act 1979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413DBC" w:rsidP="009F6B50">
            <w:pPr>
              <w:pStyle w:val="Tabletext"/>
            </w:pPr>
            <w:r w:rsidRPr="00E767CE">
              <w:t>45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413DBC" w:rsidP="00413DBC">
            <w:pPr>
              <w:pStyle w:val="Tabletext"/>
            </w:pPr>
            <w:r w:rsidRPr="00E767CE">
              <w:t>D</w:t>
            </w:r>
            <w:r w:rsidR="0035527A" w:rsidRPr="00E767CE">
              <w:t>eclaration</w:t>
            </w:r>
            <w:r w:rsidRPr="00E767CE">
              <w:t>s</w:t>
            </w:r>
            <w:r w:rsidR="0035527A" w:rsidRPr="00E767CE">
              <w:t xml:space="preserve"> made under section</w:t>
            </w:r>
            <w:r w:rsidR="00E767CE" w:rsidRPr="00E767CE">
              <w:t> </w:t>
            </w:r>
            <w:r w:rsidR="0035527A" w:rsidRPr="00E767CE">
              <w:t xml:space="preserve">6 </w:t>
            </w:r>
            <w:r w:rsidR="00573482" w:rsidRPr="00E767CE">
              <w:t>(</w:t>
            </w:r>
            <w:r w:rsidRPr="00E767CE">
              <w:t>D</w:t>
            </w:r>
            <w:r w:rsidR="00573482" w:rsidRPr="00E767CE">
              <w:t xml:space="preserve">eclared </w:t>
            </w:r>
            <w:r w:rsidR="00FA59F6" w:rsidRPr="00E767CE">
              <w:t>terrorist incident</w:t>
            </w:r>
            <w:r w:rsidR="007F6DF4" w:rsidRPr="00E767CE">
              <w:t>s</w:t>
            </w:r>
            <w:r w:rsidR="00FA59F6" w:rsidRPr="00E767CE">
              <w:t xml:space="preserve">) </w:t>
            </w:r>
            <w:r w:rsidR="0035527A" w:rsidRPr="00E767CE">
              <w:t xml:space="preserve">of the </w:t>
            </w:r>
            <w:r w:rsidR="0035527A" w:rsidRPr="00E767CE">
              <w:rPr>
                <w:i/>
              </w:rPr>
              <w:t>Terrorism Insurance Act 2003</w:t>
            </w:r>
          </w:p>
        </w:tc>
      </w:tr>
      <w:tr w:rsidR="000C56CD" w:rsidRPr="00E767CE" w:rsidTr="0087314A">
        <w:tc>
          <w:tcPr>
            <w:tcW w:w="846" w:type="dxa"/>
            <w:shd w:val="clear" w:color="auto" w:fill="auto"/>
          </w:tcPr>
          <w:p w:rsidR="000C56CD" w:rsidRPr="00E767CE" w:rsidRDefault="00413DBC" w:rsidP="009F6B50">
            <w:pPr>
              <w:pStyle w:val="Tabletext"/>
            </w:pPr>
            <w:r w:rsidRPr="00E767CE">
              <w:t>46</w:t>
            </w:r>
          </w:p>
        </w:tc>
        <w:tc>
          <w:tcPr>
            <w:tcW w:w="6241" w:type="dxa"/>
            <w:shd w:val="clear" w:color="auto" w:fill="auto"/>
          </w:tcPr>
          <w:p w:rsidR="000C56CD" w:rsidRPr="00E767CE" w:rsidRDefault="000C56CD" w:rsidP="00A5732A">
            <w:pPr>
              <w:pStyle w:val="Tabletext"/>
            </w:pPr>
            <w:r w:rsidRPr="00E767CE">
              <w:t xml:space="preserve">Regulations made under the </w:t>
            </w:r>
            <w:r w:rsidRPr="00E767CE">
              <w:rPr>
                <w:i/>
              </w:rPr>
              <w:t>Terrorism Insurance Act 2003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413DBC" w:rsidP="00863DF9">
            <w:pPr>
              <w:pStyle w:val="Tabletext"/>
            </w:pPr>
            <w:r w:rsidRPr="00E767CE">
              <w:t>47</w:t>
            </w:r>
          </w:p>
        </w:tc>
        <w:tc>
          <w:tcPr>
            <w:tcW w:w="6241" w:type="dxa"/>
            <w:shd w:val="clear" w:color="auto" w:fill="auto"/>
          </w:tcPr>
          <w:p w:rsidR="00FA59F6" w:rsidRPr="00E767CE" w:rsidRDefault="00207E08" w:rsidP="00A37635">
            <w:pPr>
              <w:pStyle w:val="Tabletext"/>
            </w:pPr>
            <w:r w:rsidRPr="00E767CE">
              <w:t>D</w:t>
            </w:r>
            <w:r w:rsidR="0035527A" w:rsidRPr="00E767CE">
              <w:t>etermination</w:t>
            </w:r>
            <w:r w:rsidRPr="00E767CE">
              <w:t>s</w:t>
            </w:r>
            <w:r w:rsidR="0035527A" w:rsidRPr="00E767CE">
              <w:t xml:space="preserve"> made for the purposes of the definition of </w:t>
            </w:r>
            <w:r w:rsidR="0035527A" w:rsidRPr="00E767CE">
              <w:rPr>
                <w:b/>
                <w:i/>
              </w:rPr>
              <w:t>non</w:t>
            </w:r>
            <w:r w:rsidR="00E767CE">
              <w:rPr>
                <w:b/>
                <w:i/>
              </w:rPr>
              <w:noBreakHyphen/>
            </w:r>
            <w:r w:rsidR="0035527A" w:rsidRPr="00E767CE">
              <w:rPr>
                <w:b/>
                <w:i/>
              </w:rPr>
              <w:t>warlike service</w:t>
            </w:r>
            <w:r w:rsidR="0035527A" w:rsidRPr="00E767CE">
              <w:t xml:space="preserve"> or </w:t>
            </w:r>
            <w:r w:rsidR="0035527A" w:rsidRPr="00E767CE">
              <w:rPr>
                <w:b/>
                <w:i/>
              </w:rPr>
              <w:t>warlike service</w:t>
            </w:r>
            <w:r w:rsidR="0035527A" w:rsidRPr="00E767CE">
              <w:t xml:space="preserve"> in subsection</w:t>
            </w:r>
            <w:r w:rsidR="00E767CE" w:rsidRPr="00E767CE">
              <w:t> </w:t>
            </w:r>
            <w:r w:rsidR="0035527A" w:rsidRPr="00E767CE">
              <w:t xml:space="preserve">5C(1) </w:t>
            </w:r>
            <w:r w:rsidR="00FA59F6" w:rsidRPr="00E767CE">
              <w:t>(</w:t>
            </w:r>
            <w:r w:rsidRPr="00E767CE">
              <w:rPr>
                <w:i/>
              </w:rPr>
              <w:t>Eligibility</w:t>
            </w:r>
            <w:r w:rsidRPr="00E767CE">
              <w:t xml:space="preserve"> related de</w:t>
            </w:r>
            <w:r w:rsidR="003602A5" w:rsidRPr="00E767CE">
              <w:t>finitions</w:t>
            </w:r>
            <w:r w:rsidR="00FA59F6" w:rsidRPr="00E767CE">
              <w:t xml:space="preserve">) </w:t>
            </w:r>
            <w:r w:rsidR="0035527A" w:rsidRPr="00E767CE">
              <w:t xml:space="preserve">of the </w:t>
            </w:r>
            <w:r w:rsidR="0035527A" w:rsidRPr="00E767CE">
              <w:rPr>
                <w:i/>
              </w:rPr>
              <w:t>Veterans</w:t>
            </w:r>
            <w:r w:rsidR="00FA59F6" w:rsidRPr="00E767CE">
              <w:rPr>
                <w:i/>
              </w:rPr>
              <w:t>’</w:t>
            </w:r>
            <w:r w:rsidR="0035527A" w:rsidRPr="00E767CE">
              <w:rPr>
                <w:i/>
              </w:rPr>
              <w:t xml:space="preserve"> Entitlements Act 1986</w:t>
            </w:r>
          </w:p>
        </w:tc>
      </w:tr>
      <w:tr w:rsidR="009243B7" w:rsidRPr="00E767CE" w:rsidTr="0087314A">
        <w:tc>
          <w:tcPr>
            <w:tcW w:w="846" w:type="dxa"/>
            <w:shd w:val="clear" w:color="auto" w:fill="auto"/>
          </w:tcPr>
          <w:p w:rsidR="009243B7" w:rsidRPr="00E767CE" w:rsidRDefault="00413DBC" w:rsidP="009F6B50">
            <w:pPr>
              <w:pStyle w:val="Tabletext"/>
            </w:pPr>
            <w:r w:rsidRPr="00E767CE">
              <w:t>48</w:t>
            </w:r>
          </w:p>
        </w:tc>
        <w:tc>
          <w:tcPr>
            <w:tcW w:w="6241" w:type="dxa"/>
            <w:shd w:val="clear" w:color="auto" w:fill="auto"/>
          </w:tcPr>
          <w:p w:rsidR="00FA59F6" w:rsidRPr="00E767CE" w:rsidRDefault="00207E08" w:rsidP="00A5732A">
            <w:pPr>
              <w:pStyle w:val="Tabletext"/>
            </w:pPr>
            <w:r w:rsidRPr="00E767CE">
              <w:t>D</w:t>
            </w:r>
            <w:r w:rsidR="009243B7" w:rsidRPr="00E767CE">
              <w:t>etermination</w:t>
            </w:r>
            <w:r w:rsidRPr="00E767CE">
              <w:t>s</w:t>
            </w:r>
            <w:r w:rsidR="009243B7" w:rsidRPr="00E767CE">
              <w:t xml:space="preserve"> made under subsection</w:t>
            </w:r>
            <w:r w:rsidR="00E767CE" w:rsidRPr="00E767CE">
              <w:t> </w:t>
            </w:r>
            <w:r w:rsidR="009243B7" w:rsidRPr="00E767CE">
              <w:t xml:space="preserve">5R(1) </w:t>
            </w:r>
            <w:r w:rsidR="000B4654" w:rsidRPr="00E767CE">
              <w:t>(determinations</w:t>
            </w:r>
            <w:r w:rsidRPr="00E767CE">
              <w:t xml:space="preserve"> relating to </w:t>
            </w:r>
            <w:r w:rsidRPr="00E767CE">
              <w:lastRenderedPageBreak/>
              <w:t>relevant service</w:t>
            </w:r>
            <w:r w:rsidR="000B4654" w:rsidRPr="00E767CE">
              <w:t xml:space="preserve">) </w:t>
            </w:r>
            <w:r w:rsidR="009243B7" w:rsidRPr="00E767CE">
              <w:t xml:space="preserve">of the </w:t>
            </w:r>
            <w:r w:rsidR="009243B7" w:rsidRPr="00E767CE">
              <w:rPr>
                <w:i/>
              </w:rPr>
              <w:t>Veterans</w:t>
            </w:r>
            <w:r w:rsidR="00FA59F6" w:rsidRPr="00E767CE">
              <w:rPr>
                <w:i/>
              </w:rPr>
              <w:t>’</w:t>
            </w:r>
            <w:r w:rsidR="009243B7" w:rsidRPr="00E767CE">
              <w:rPr>
                <w:i/>
              </w:rPr>
              <w:t xml:space="preserve"> Entitlements Act 1986</w:t>
            </w:r>
          </w:p>
        </w:tc>
      </w:tr>
      <w:tr w:rsidR="00207E08" w:rsidRPr="00E767CE" w:rsidTr="00937942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207E08" w:rsidRPr="00E767CE" w:rsidRDefault="00207E08" w:rsidP="00937942">
            <w:pPr>
              <w:pStyle w:val="Tabletext"/>
            </w:pPr>
            <w:r w:rsidRPr="00E767CE">
              <w:lastRenderedPageBreak/>
              <w:t>49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207E08" w:rsidRPr="00E767CE" w:rsidRDefault="009C2AEB" w:rsidP="009C2AEB">
            <w:pPr>
              <w:pStyle w:val="Tabletext"/>
            </w:pPr>
            <w:r w:rsidRPr="00E767CE">
              <w:t>I</w:t>
            </w:r>
            <w:r w:rsidR="00207E08" w:rsidRPr="00E767CE">
              <w:t>nstrument</w:t>
            </w:r>
            <w:r w:rsidRPr="00E767CE">
              <w:t>s</w:t>
            </w:r>
            <w:r w:rsidR="00207E08" w:rsidRPr="00E767CE">
              <w:t xml:space="preserve"> made under subsection</w:t>
            </w:r>
            <w:r w:rsidR="00E767CE" w:rsidRPr="00E767CE">
              <w:t> </w:t>
            </w:r>
            <w:r w:rsidR="00207E08" w:rsidRPr="00E767CE">
              <w:t>69B(6) (</w:t>
            </w:r>
            <w:r w:rsidRPr="00E767CE">
              <w:t xml:space="preserve">requirements for </w:t>
            </w:r>
            <w:r w:rsidR="00207E08" w:rsidRPr="00E767CE">
              <w:t>British nuclear test</w:t>
            </w:r>
            <w:r w:rsidRPr="00E767CE">
              <w:t xml:space="preserve"> defence service</w:t>
            </w:r>
            <w:r w:rsidR="00207E08" w:rsidRPr="00E767CE">
              <w:t xml:space="preserve">) of the </w:t>
            </w:r>
            <w:r w:rsidR="00207E08" w:rsidRPr="00E767CE">
              <w:rPr>
                <w:i/>
              </w:rPr>
              <w:t>Veterans’ Entitlements Act 1986</w:t>
            </w:r>
          </w:p>
        </w:tc>
      </w:tr>
      <w:tr w:rsidR="009F6B50" w:rsidRPr="00E767CE" w:rsidTr="0087314A">
        <w:tc>
          <w:tcPr>
            <w:tcW w:w="846" w:type="dxa"/>
            <w:shd w:val="clear" w:color="auto" w:fill="auto"/>
          </w:tcPr>
          <w:p w:rsidR="009F6B50" w:rsidRPr="00E767CE" w:rsidRDefault="00207E08" w:rsidP="009F6B50">
            <w:pPr>
              <w:pStyle w:val="Tabletext"/>
            </w:pPr>
            <w:r w:rsidRPr="00E767CE">
              <w:t>50</w:t>
            </w:r>
          </w:p>
        </w:tc>
        <w:tc>
          <w:tcPr>
            <w:tcW w:w="6241" w:type="dxa"/>
            <w:shd w:val="clear" w:color="auto" w:fill="auto"/>
          </w:tcPr>
          <w:p w:rsidR="009F6B50" w:rsidRPr="00E767CE" w:rsidRDefault="009C2AEB" w:rsidP="00A37635">
            <w:pPr>
              <w:pStyle w:val="Tabletext"/>
            </w:pPr>
            <w:r w:rsidRPr="00E767CE">
              <w:t>D</w:t>
            </w:r>
            <w:r w:rsidR="009243B7" w:rsidRPr="00E767CE">
              <w:t>etermination</w:t>
            </w:r>
            <w:r w:rsidRPr="00E767CE">
              <w:t>s</w:t>
            </w:r>
            <w:r w:rsidR="009243B7" w:rsidRPr="00E767CE">
              <w:t xml:space="preserve"> made</w:t>
            </w:r>
            <w:r w:rsidR="007D696F" w:rsidRPr="00E767CE">
              <w:t xml:space="preserve"> </w:t>
            </w:r>
            <w:r w:rsidR="009243B7" w:rsidRPr="00E767CE">
              <w:t xml:space="preserve">for the purposes of the definition of </w:t>
            </w:r>
            <w:r w:rsidR="009243B7" w:rsidRPr="00E767CE">
              <w:rPr>
                <w:b/>
                <w:i/>
              </w:rPr>
              <w:t>hazardous service</w:t>
            </w:r>
            <w:r w:rsidR="009243B7" w:rsidRPr="00E767CE">
              <w:t xml:space="preserve"> in subsection</w:t>
            </w:r>
            <w:r w:rsidR="00E767CE" w:rsidRPr="00E767CE">
              <w:t> </w:t>
            </w:r>
            <w:r w:rsidR="009243B7" w:rsidRPr="00E767CE">
              <w:t xml:space="preserve">120(7) of the </w:t>
            </w:r>
            <w:r w:rsidR="009243B7" w:rsidRPr="00E767CE">
              <w:rPr>
                <w:i/>
              </w:rPr>
              <w:t>Veterans</w:t>
            </w:r>
            <w:r w:rsidR="00FA59F6" w:rsidRPr="00E767CE">
              <w:rPr>
                <w:i/>
              </w:rPr>
              <w:t>’</w:t>
            </w:r>
            <w:r w:rsidR="009243B7" w:rsidRPr="00E767CE">
              <w:rPr>
                <w:i/>
              </w:rPr>
              <w:t xml:space="preserve"> Entitlements Act 1986</w:t>
            </w:r>
          </w:p>
        </w:tc>
      </w:tr>
      <w:tr w:rsidR="009F6B50" w:rsidRPr="00E767CE" w:rsidTr="0087314A">
        <w:tc>
          <w:tcPr>
            <w:tcW w:w="846" w:type="dxa"/>
            <w:tcBorders>
              <w:bottom w:val="single" w:sz="12" w:space="0" w:color="auto"/>
            </w:tcBorders>
            <w:shd w:val="clear" w:color="auto" w:fill="auto"/>
          </w:tcPr>
          <w:p w:rsidR="009F6B50" w:rsidRPr="00E767CE" w:rsidRDefault="00F334BB" w:rsidP="009F6B50">
            <w:pPr>
              <w:pStyle w:val="Tabletext"/>
            </w:pPr>
            <w:r w:rsidRPr="00E767CE">
              <w:t>5</w:t>
            </w:r>
            <w:r w:rsidR="00413DBC" w:rsidRPr="00E767CE">
              <w:t>1</w:t>
            </w:r>
          </w:p>
        </w:tc>
        <w:tc>
          <w:tcPr>
            <w:tcW w:w="6241" w:type="dxa"/>
            <w:tcBorders>
              <w:bottom w:val="single" w:sz="12" w:space="0" w:color="auto"/>
            </w:tcBorders>
            <w:shd w:val="clear" w:color="auto" w:fill="auto"/>
          </w:tcPr>
          <w:p w:rsidR="009F6B50" w:rsidRPr="00E767CE" w:rsidRDefault="00A263E9" w:rsidP="00863DF9">
            <w:pPr>
              <w:pStyle w:val="Tabletext"/>
            </w:pPr>
            <w:r w:rsidRPr="00E767CE">
              <w:t>Regulations</w:t>
            </w:r>
            <w:r w:rsidR="00230848" w:rsidRPr="00E767CE">
              <w:t xml:space="preserve"> made under the </w:t>
            </w:r>
            <w:r w:rsidR="00230848" w:rsidRPr="00E767CE">
              <w:rPr>
                <w:i/>
              </w:rPr>
              <w:t xml:space="preserve">War Precautions </w:t>
            </w:r>
            <w:r w:rsidR="00605DEC" w:rsidRPr="00E767CE">
              <w:rPr>
                <w:i/>
              </w:rPr>
              <w:t xml:space="preserve">Act </w:t>
            </w:r>
            <w:r w:rsidR="00230848" w:rsidRPr="00E767CE">
              <w:rPr>
                <w:i/>
              </w:rPr>
              <w:t>Repeal Act 1920</w:t>
            </w:r>
          </w:p>
        </w:tc>
      </w:tr>
    </w:tbl>
    <w:p w:rsidR="009F6B50" w:rsidRPr="00E767CE" w:rsidRDefault="009F6B50" w:rsidP="009F6B50">
      <w:pPr>
        <w:pStyle w:val="Tabletext"/>
      </w:pPr>
    </w:p>
    <w:sectPr w:rsidR="009F6B50" w:rsidRPr="00E767CE" w:rsidSect="00670D0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A2" w:rsidRDefault="00372AA2" w:rsidP="0048364F">
      <w:pPr>
        <w:spacing w:line="240" w:lineRule="auto"/>
      </w:pPr>
      <w:r>
        <w:separator/>
      </w:r>
    </w:p>
  </w:endnote>
  <w:endnote w:type="continuationSeparator" w:id="0">
    <w:p w:rsidR="00372AA2" w:rsidRDefault="00372A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06" w:rsidRPr="00670D06" w:rsidRDefault="00670D06" w:rsidP="00670D06">
    <w:pPr>
      <w:pStyle w:val="Footer"/>
      <w:rPr>
        <w:sz w:val="18"/>
      </w:rPr>
    </w:pPr>
    <w:r>
      <w:rPr>
        <w:sz w:val="18"/>
      </w:rPr>
      <w:t>OPC60165</w:t>
    </w:r>
    <w:r w:rsidRPr="00670D06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372AA2" w:rsidTr="00EA3C58">
      <w:tc>
        <w:tcPr>
          <w:tcW w:w="7303" w:type="dxa"/>
        </w:tcPr>
        <w:p w:rsidR="00372AA2" w:rsidRDefault="00372AA2" w:rsidP="00EA3C58">
          <w:pPr>
            <w:rPr>
              <w:sz w:val="18"/>
            </w:rPr>
          </w:pPr>
        </w:p>
      </w:tc>
    </w:tr>
  </w:tbl>
  <w:p w:rsidR="00372AA2" w:rsidRPr="006D3667" w:rsidRDefault="00670D06" w:rsidP="00670D06">
    <w:pPr>
      <w:pStyle w:val="Footer"/>
    </w:pPr>
    <w:r>
      <w:t>OPC60165</w:t>
    </w:r>
    <w:r w:rsidRPr="00670D06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06" w:rsidRPr="00670D06" w:rsidRDefault="00670D06" w:rsidP="00670D06">
    <w:pPr>
      <w:pStyle w:val="Footer"/>
      <w:rPr>
        <w:sz w:val="18"/>
      </w:rPr>
    </w:pPr>
    <w:r>
      <w:rPr>
        <w:sz w:val="18"/>
      </w:rPr>
      <w:t>OPC60165</w:t>
    </w:r>
    <w:r w:rsidRPr="00670D06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670D06" w:rsidRDefault="00372AA2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72AA2" w:rsidRPr="00670D0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72AA2" w:rsidRPr="00670D06" w:rsidRDefault="00372AA2" w:rsidP="00E33C1C">
          <w:pPr>
            <w:spacing w:line="0" w:lineRule="atLeast"/>
            <w:rPr>
              <w:rFonts w:cs="Times New Roman"/>
              <w:sz w:val="18"/>
            </w:rPr>
          </w:pPr>
          <w:r w:rsidRPr="00670D06">
            <w:rPr>
              <w:rFonts w:cs="Times New Roman"/>
              <w:i/>
              <w:sz w:val="18"/>
            </w:rPr>
            <w:fldChar w:fldCharType="begin"/>
          </w:r>
          <w:r w:rsidRPr="00670D06">
            <w:rPr>
              <w:rFonts w:cs="Times New Roman"/>
              <w:i/>
              <w:sz w:val="18"/>
            </w:rPr>
            <w:instrText xml:space="preserve"> PAGE </w:instrText>
          </w:r>
          <w:r w:rsidRPr="00670D06">
            <w:rPr>
              <w:rFonts w:cs="Times New Roman"/>
              <w:i/>
              <w:sz w:val="18"/>
            </w:rPr>
            <w:fldChar w:fldCharType="separate"/>
          </w:r>
          <w:r w:rsidR="00AF5C11">
            <w:rPr>
              <w:rFonts w:cs="Times New Roman"/>
              <w:i/>
              <w:noProof/>
              <w:sz w:val="18"/>
            </w:rPr>
            <w:t>ii</w:t>
          </w:r>
          <w:r w:rsidRPr="00670D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72AA2" w:rsidRPr="00670D06" w:rsidRDefault="00372AA2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670D06">
            <w:rPr>
              <w:rFonts w:cs="Times New Roman"/>
              <w:i/>
              <w:sz w:val="18"/>
            </w:rPr>
            <w:fldChar w:fldCharType="begin"/>
          </w:r>
          <w:r w:rsidRPr="00670D06">
            <w:rPr>
              <w:rFonts w:cs="Times New Roman"/>
              <w:i/>
              <w:sz w:val="18"/>
            </w:rPr>
            <w:instrText xml:space="preserve"> DOCPROPERTY ShortT </w:instrText>
          </w:r>
          <w:r w:rsidRPr="00670D06">
            <w:rPr>
              <w:rFonts w:cs="Times New Roman"/>
              <w:i/>
              <w:sz w:val="18"/>
            </w:rPr>
            <w:fldChar w:fldCharType="separate"/>
          </w:r>
          <w:r w:rsidR="00D664F3">
            <w:rPr>
              <w:rFonts w:cs="Times New Roman"/>
              <w:i/>
              <w:sz w:val="18"/>
            </w:rPr>
            <w:t>Legislative Instruments Amendment (Sunsetting Exemptions) Regulation 2013</w:t>
          </w:r>
          <w:r w:rsidRPr="00670D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2AA2" w:rsidRPr="00670D06" w:rsidRDefault="00372AA2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670D06">
            <w:rPr>
              <w:rFonts w:cs="Times New Roman"/>
              <w:i/>
              <w:sz w:val="18"/>
            </w:rPr>
            <w:fldChar w:fldCharType="begin"/>
          </w:r>
          <w:r w:rsidRPr="00670D06">
            <w:rPr>
              <w:rFonts w:cs="Times New Roman"/>
              <w:i/>
              <w:sz w:val="18"/>
            </w:rPr>
            <w:instrText xml:space="preserve"> DOCPROPERTY ActNo </w:instrText>
          </w:r>
          <w:r w:rsidRPr="00670D06">
            <w:rPr>
              <w:rFonts w:cs="Times New Roman"/>
              <w:i/>
              <w:sz w:val="18"/>
            </w:rPr>
            <w:fldChar w:fldCharType="separate"/>
          </w:r>
          <w:r w:rsidR="00D664F3">
            <w:rPr>
              <w:rFonts w:cs="Times New Roman"/>
              <w:i/>
              <w:sz w:val="18"/>
            </w:rPr>
            <w:t>No. 212, 2013</w:t>
          </w:r>
          <w:r w:rsidRPr="00670D06">
            <w:rPr>
              <w:rFonts w:cs="Times New Roman"/>
              <w:i/>
              <w:sz w:val="18"/>
            </w:rPr>
            <w:fldChar w:fldCharType="end"/>
          </w:r>
        </w:p>
      </w:tc>
    </w:tr>
    <w:tr w:rsidR="00372AA2" w:rsidRPr="00670D0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72AA2" w:rsidRPr="00670D06" w:rsidRDefault="00372AA2" w:rsidP="00EA3C58">
          <w:pPr>
            <w:jc w:val="right"/>
            <w:rPr>
              <w:rFonts w:cs="Times New Roman"/>
              <w:sz w:val="18"/>
            </w:rPr>
          </w:pPr>
        </w:p>
      </w:tc>
    </w:tr>
  </w:tbl>
  <w:p w:rsidR="00372AA2" w:rsidRPr="00670D06" w:rsidRDefault="00670D06" w:rsidP="00670D0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OPC60165</w:t>
    </w:r>
    <w:r w:rsidRPr="00670D06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E33C1C" w:rsidRDefault="00372AA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72AA2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664F3">
            <w:rPr>
              <w:i/>
              <w:sz w:val="18"/>
            </w:rPr>
            <w:t>No. 212,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64F3">
            <w:rPr>
              <w:i/>
              <w:sz w:val="18"/>
            </w:rPr>
            <w:t>Legislative Instruments Amendment (Sunsetting 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1E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2AA2" w:rsidTr="00EA3C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72AA2" w:rsidRDefault="00372AA2" w:rsidP="00EA3C58">
          <w:pPr>
            <w:rPr>
              <w:sz w:val="18"/>
            </w:rPr>
          </w:pPr>
        </w:p>
      </w:tc>
    </w:tr>
  </w:tbl>
  <w:p w:rsidR="00372AA2" w:rsidRPr="00ED79B6" w:rsidRDefault="00670D06" w:rsidP="00670D06">
    <w:pPr>
      <w:rPr>
        <w:i/>
        <w:sz w:val="18"/>
      </w:rPr>
    </w:pPr>
    <w:r>
      <w:rPr>
        <w:i/>
        <w:sz w:val="18"/>
      </w:rPr>
      <w:t>OPC60165</w:t>
    </w:r>
    <w:r w:rsidRPr="00670D06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670D06" w:rsidRDefault="00372AA2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72AA2" w:rsidRPr="00670D0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72AA2" w:rsidRPr="00670D06" w:rsidRDefault="00372AA2" w:rsidP="00E33C1C">
          <w:pPr>
            <w:spacing w:line="0" w:lineRule="atLeast"/>
            <w:rPr>
              <w:rFonts w:cs="Times New Roman"/>
              <w:sz w:val="18"/>
            </w:rPr>
          </w:pPr>
          <w:r w:rsidRPr="00670D06">
            <w:rPr>
              <w:rFonts w:cs="Times New Roman"/>
              <w:i/>
              <w:sz w:val="18"/>
            </w:rPr>
            <w:fldChar w:fldCharType="begin"/>
          </w:r>
          <w:r w:rsidRPr="00670D06">
            <w:rPr>
              <w:rFonts w:cs="Times New Roman"/>
              <w:i/>
              <w:sz w:val="18"/>
            </w:rPr>
            <w:instrText xml:space="preserve"> PAGE </w:instrText>
          </w:r>
          <w:r w:rsidRPr="00670D06">
            <w:rPr>
              <w:rFonts w:cs="Times New Roman"/>
              <w:i/>
              <w:sz w:val="18"/>
            </w:rPr>
            <w:fldChar w:fldCharType="separate"/>
          </w:r>
          <w:r w:rsidR="00661E99">
            <w:rPr>
              <w:rFonts w:cs="Times New Roman"/>
              <w:i/>
              <w:noProof/>
              <w:sz w:val="18"/>
            </w:rPr>
            <w:t>6</w:t>
          </w:r>
          <w:r w:rsidRPr="00670D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72AA2" w:rsidRPr="00670D06" w:rsidRDefault="00372AA2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670D06">
            <w:rPr>
              <w:rFonts w:cs="Times New Roman"/>
              <w:i/>
              <w:sz w:val="18"/>
            </w:rPr>
            <w:fldChar w:fldCharType="begin"/>
          </w:r>
          <w:r w:rsidRPr="00670D06">
            <w:rPr>
              <w:rFonts w:cs="Times New Roman"/>
              <w:i/>
              <w:sz w:val="18"/>
            </w:rPr>
            <w:instrText xml:space="preserve"> DOCPROPERTY ShortT </w:instrText>
          </w:r>
          <w:r w:rsidRPr="00670D06">
            <w:rPr>
              <w:rFonts w:cs="Times New Roman"/>
              <w:i/>
              <w:sz w:val="18"/>
            </w:rPr>
            <w:fldChar w:fldCharType="separate"/>
          </w:r>
          <w:r w:rsidR="00D664F3">
            <w:rPr>
              <w:rFonts w:cs="Times New Roman"/>
              <w:i/>
              <w:sz w:val="18"/>
            </w:rPr>
            <w:t>Legislative Instruments Amendment (Sunsetting Exemptions) Regulation 2013</w:t>
          </w:r>
          <w:r w:rsidRPr="00670D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2AA2" w:rsidRPr="00670D06" w:rsidRDefault="00372AA2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670D06">
            <w:rPr>
              <w:rFonts w:cs="Times New Roman"/>
              <w:i/>
              <w:sz w:val="18"/>
            </w:rPr>
            <w:fldChar w:fldCharType="begin"/>
          </w:r>
          <w:r w:rsidRPr="00670D06">
            <w:rPr>
              <w:rFonts w:cs="Times New Roman"/>
              <w:i/>
              <w:sz w:val="18"/>
            </w:rPr>
            <w:instrText xml:space="preserve"> DOCPROPERTY ActNo </w:instrText>
          </w:r>
          <w:r w:rsidRPr="00670D06">
            <w:rPr>
              <w:rFonts w:cs="Times New Roman"/>
              <w:i/>
              <w:sz w:val="18"/>
            </w:rPr>
            <w:fldChar w:fldCharType="separate"/>
          </w:r>
          <w:r w:rsidR="00D664F3">
            <w:rPr>
              <w:rFonts w:cs="Times New Roman"/>
              <w:i/>
              <w:sz w:val="18"/>
            </w:rPr>
            <w:t>No. 212, 2013</w:t>
          </w:r>
          <w:r w:rsidRPr="00670D06">
            <w:rPr>
              <w:rFonts w:cs="Times New Roman"/>
              <w:i/>
              <w:sz w:val="18"/>
            </w:rPr>
            <w:fldChar w:fldCharType="end"/>
          </w:r>
        </w:p>
      </w:tc>
    </w:tr>
    <w:tr w:rsidR="00372AA2" w:rsidRPr="00670D0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72AA2" w:rsidRPr="00670D06" w:rsidRDefault="00372AA2" w:rsidP="00EA3C58">
          <w:pPr>
            <w:jc w:val="right"/>
            <w:rPr>
              <w:rFonts w:cs="Times New Roman"/>
              <w:sz w:val="18"/>
            </w:rPr>
          </w:pPr>
        </w:p>
      </w:tc>
    </w:tr>
  </w:tbl>
  <w:p w:rsidR="00372AA2" w:rsidRPr="00670D06" w:rsidRDefault="00670D06" w:rsidP="00670D0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OPC60165</w:t>
    </w:r>
    <w:r w:rsidRPr="00670D06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E33C1C" w:rsidRDefault="00372AA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72AA2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664F3">
            <w:rPr>
              <w:i/>
              <w:sz w:val="18"/>
            </w:rPr>
            <w:t>No. 212,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64F3">
            <w:rPr>
              <w:i/>
              <w:sz w:val="18"/>
            </w:rPr>
            <w:t>Legislative Instruments Amendment (Sunsetting 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1E9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2AA2" w:rsidTr="00EA3C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72AA2" w:rsidRDefault="00372AA2" w:rsidP="00EA3C58">
          <w:pPr>
            <w:rPr>
              <w:sz w:val="18"/>
            </w:rPr>
          </w:pPr>
        </w:p>
      </w:tc>
    </w:tr>
  </w:tbl>
  <w:p w:rsidR="00372AA2" w:rsidRPr="00ED79B6" w:rsidRDefault="00670D06" w:rsidP="00670D06">
    <w:pPr>
      <w:rPr>
        <w:i/>
        <w:sz w:val="18"/>
      </w:rPr>
    </w:pPr>
    <w:r>
      <w:rPr>
        <w:i/>
        <w:sz w:val="18"/>
      </w:rPr>
      <w:t>OPC60165</w:t>
    </w:r>
    <w:r w:rsidRPr="00670D06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E33C1C" w:rsidRDefault="00372AA2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72AA2" w:rsidTr="00EA3C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A3C5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664F3">
            <w:rPr>
              <w:i/>
              <w:sz w:val="18"/>
            </w:rPr>
            <w:t>No. 212,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A3C5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64F3">
            <w:rPr>
              <w:i/>
              <w:sz w:val="18"/>
            </w:rPr>
            <w:t>Legislative Instruments Amendment (Sunsetting 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72AA2" w:rsidRDefault="00372AA2" w:rsidP="00EA3C5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5C1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2AA2" w:rsidTr="00EA3C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72AA2" w:rsidRDefault="00372AA2" w:rsidP="00EA3C58">
          <w:pPr>
            <w:rPr>
              <w:sz w:val="18"/>
            </w:rPr>
          </w:pPr>
        </w:p>
      </w:tc>
    </w:tr>
  </w:tbl>
  <w:p w:rsidR="00372AA2" w:rsidRPr="00ED79B6" w:rsidRDefault="00372AA2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A2" w:rsidRDefault="00372AA2" w:rsidP="0048364F">
      <w:pPr>
        <w:spacing w:line="240" w:lineRule="auto"/>
      </w:pPr>
      <w:r>
        <w:separator/>
      </w:r>
    </w:p>
  </w:footnote>
  <w:footnote w:type="continuationSeparator" w:id="0">
    <w:p w:rsidR="00372AA2" w:rsidRDefault="00372A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5F1388" w:rsidRDefault="00372AA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5F1388" w:rsidRDefault="00372AA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5F1388" w:rsidRDefault="00372AA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ED79B6" w:rsidRDefault="00372AA2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ED79B6" w:rsidRDefault="00372AA2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ED79B6" w:rsidRDefault="00372AA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A961C4" w:rsidRDefault="00372AA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1E99">
      <w:rPr>
        <w:b/>
        <w:sz w:val="20"/>
      </w:rPr>
      <w:fldChar w:fldCharType="separate"/>
    </w:r>
    <w:r w:rsidR="00661E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61E99">
      <w:rPr>
        <w:sz w:val="20"/>
      </w:rPr>
      <w:fldChar w:fldCharType="separate"/>
    </w:r>
    <w:r w:rsidR="00661E99">
      <w:rPr>
        <w:noProof/>
        <w:sz w:val="20"/>
      </w:rPr>
      <w:t>Amendments</w:t>
    </w:r>
    <w:r>
      <w:rPr>
        <w:sz w:val="20"/>
      </w:rPr>
      <w:fldChar w:fldCharType="end"/>
    </w:r>
  </w:p>
  <w:p w:rsidR="00372AA2" w:rsidRPr="00A961C4" w:rsidRDefault="00372AA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72AA2" w:rsidRPr="00A961C4" w:rsidRDefault="00372AA2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A961C4" w:rsidRDefault="00372AA2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61E99">
      <w:rPr>
        <w:sz w:val="20"/>
      </w:rPr>
      <w:fldChar w:fldCharType="separate"/>
    </w:r>
    <w:r w:rsidR="00661E9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1E99">
      <w:rPr>
        <w:b/>
        <w:sz w:val="20"/>
      </w:rPr>
      <w:fldChar w:fldCharType="separate"/>
    </w:r>
    <w:r w:rsidR="00661E9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72AA2" w:rsidRPr="00A961C4" w:rsidRDefault="00372AA2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72AA2" w:rsidRPr="00A961C4" w:rsidRDefault="00372AA2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A2" w:rsidRPr="00A961C4" w:rsidRDefault="00372AA2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93"/>
    <w:rsid w:val="000041C6"/>
    <w:rsid w:val="000063E4"/>
    <w:rsid w:val="000113BC"/>
    <w:rsid w:val="00012996"/>
    <w:rsid w:val="000136AF"/>
    <w:rsid w:val="00025060"/>
    <w:rsid w:val="0004044E"/>
    <w:rsid w:val="00040762"/>
    <w:rsid w:val="00056C21"/>
    <w:rsid w:val="00060D33"/>
    <w:rsid w:val="000614BF"/>
    <w:rsid w:val="00067351"/>
    <w:rsid w:val="000748CB"/>
    <w:rsid w:val="00090EF6"/>
    <w:rsid w:val="000B4654"/>
    <w:rsid w:val="000B4BC1"/>
    <w:rsid w:val="000C4E79"/>
    <w:rsid w:val="000C56CD"/>
    <w:rsid w:val="000D05EF"/>
    <w:rsid w:val="000F21C1"/>
    <w:rsid w:val="000F7427"/>
    <w:rsid w:val="00102E7F"/>
    <w:rsid w:val="00105F29"/>
    <w:rsid w:val="0010745C"/>
    <w:rsid w:val="00135FBB"/>
    <w:rsid w:val="00145549"/>
    <w:rsid w:val="00147B9E"/>
    <w:rsid w:val="00154EAC"/>
    <w:rsid w:val="001643C9"/>
    <w:rsid w:val="00165568"/>
    <w:rsid w:val="00166C2F"/>
    <w:rsid w:val="001716C9"/>
    <w:rsid w:val="00171EAE"/>
    <w:rsid w:val="001731A8"/>
    <w:rsid w:val="00174CA4"/>
    <w:rsid w:val="0018360A"/>
    <w:rsid w:val="00191859"/>
    <w:rsid w:val="00193461"/>
    <w:rsid w:val="001939E1"/>
    <w:rsid w:val="00195382"/>
    <w:rsid w:val="001B7A5D"/>
    <w:rsid w:val="001C69C4"/>
    <w:rsid w:val="001E3590"/>
    <w:rsid w:val="001E562E"/>
    <w:rsid w:val="001E5E64"/>
    <w:rsid w:val="001E7407"/>
    <w:rsid w:val="001F6924"/>
    <w:rsid w:val="00201D27"/>
    <w:rsid w:val="00207E08"/>
    <w:rsid w:val="00230848"/>
    <w:rsid w:val="00240749"/>
    <w:rsid w:val="00247F34"/>
    <w:rsid w:val="0025566F"/>
    <w:rsid w:val="00265FBC"/>
    <w:rsid w:val="00266D05"/>
    <w:rsid w:val="00274603"/>
    <w:rsid w:val="002764F8"/>
    <w:rsid w:val="00281157"/>
    <w:rsid w:val="00283560"/>
    <w:rsid w:val="002932B1"/>
    <w:rsid w:val="00297ECB"/>
    <w:rsid w:val="002A0FFD"/>
    <w:rsid w:val="002A724A"/>
    <w:rsid w:val="002B0874"/>
    <w:rsid w:val="002B1F76"/>
    <w:rsid w:val="002B5B89"/>
    <w:rsid w:val="002B79C1"/>
    <w:rsid w:val="002B7D96"/>
    <w:rsid w:val="002C6911"/>
    <w:rsid w:val="002D043A"/>
    <w:rsid w:val="002E44B0"/>
    <w:rsid w:val="002E7260"/>
    <w:rsid w:val="002F11F4"/>
    <w:rsid w:val="00304E75"/>
    <w:rsid w:val="0030642D"/>
    <w:rsid w:val="003072FA"/>
    <w:rsid w:val="00313463"/>
    <w:rsid w:val="0031713F"/>
    <w:rsid w:val="0033299A"/>
    <w:rsid w:val="00335D65"/>
    <w:rsid w:val="003415D3"/>
    <w:rsid w:val="00352B0F"/>
    <w:rsid w:val="0035527A"/>
    <w:rsid w:val="003602A5"/>
    <w:rsid w:val="00361BD9"/>
    <w:rsid w:val="00366EA0"/>
    <w:rsid w:val="00370C0F"/>
    <w:rsid w:val="00372AA2"/>
    <w:rsid w:val="003801D0"/>
    <w:rsid w:val="0039228E"/>
    <w:rsid w:val="003926B5"/>
    <w:rsid w:val="003B04EC"/>
    <w:rsid w:val="003C5F2B"/>
    <w:rsid w:val="003D0BFE"/>
    <w:rsid w:val="003D4F82"/>
    <w:rsid w:val="003D5700"/>
    <w:rsid w:val="003E09D6"/>
    <w:rsid w:val="003E5FF5"/>
    <w:rsid w:val="003F21F3"/>
    <w:rsid w:val="003F4CA9"/>
    <w:rsid w:val="003F567B"/>
    <w:rsid w:val="004010E7"/>
    <w:rsid w:val="00401403"/>
    <w:rsid w:val="004016CC"/>
    <w:rsid w:val="00403F07"/>
    <w:rsid w:val="004116CD"/>
    <w:rsid w:val="00412B83"/>
    <w:rsid w:val="00413DBC"/>
    <w:rsid w:val="00415507"/>
    <w:rsid w:val="00420B47"/>
    <w:rsid w:val="00423B2B"/>
    <w:rsid w:val="00424CA9"/>
    <w:rsid w:val="00436247"/>
    <w:rsid w:val="0044291A"/>
    <w:rsid w:val="004541B9"/>
    <w:rsid w:val="00460499"/>
    <w:rsid w:val="00461DE4"/>
    <w:rsid w:val="00463669"/>
    <w:rsid w:val="0048364F"/>
    <w:rsid w:val="00486943"/>
    <w:rsid w:val="0049010D"/>
    <w:rsid w:val="00494910"/>
    <w:rsid w:val="004961D8"/>
    <w:rsid w:val="00496F97"/>
    <w:rsid w:val="004A2484"/>
    <w:rsid w:val="004A3D95"/>
    <w:rsid w:val="004C6444"/>
    <w:rsid w:val="004C6DE1"/>
    <w:rsid w:val="004E43FD"/>
    <w:rsid w:val="004E7487"/>
    <w:rsid w:val="004F186E"/>
    <w:rsid w:val="004F1FAC"/>
    <w:rsid w:val="004F3A90"/>
    <w:rsid w:val="004F5471"/>
    <w:rsid w:val="004F676E"/>
    <w:rsid w:val="00502935"/>
    <w:rsid w:val="00507FBC"/>
    <w:rsid w:val="00515046"/>
    <w:rsid w:val="00516B8D"/>
    <w:rsid w:val="00516BA9"/>
    <w:rsid w:val="0052344E"/>
    <w:rsid w:val="00537FBC"/>
    <w:rsid w:val="00543469"/>
    <w:rsid w:val="00544334"/>
    <w:rsid w:val="00551797"/>
    <w:rsid w:val="00557C7A"/>
    <w:rsid w:val="00562B15"/>
    <w:rsid w:val="00572801"/>
    <w:rsid w:val="00573482"/>
    <w:rsid w:val="00574858"/>
    <w:rsid w:val="00584811"/>
    <w:rsid w:val="005851A5"/>
    <w:rsid w:val="0058646E"/>
    <w:rsid w:val="00591E07"/>
    <w:rsid w:val="00593AA6"/>
    <w:rsid w:val="00594161"/>
    <w:rsid w:val="00594749"/>
    <w:rsid w:val="005A4F33"/>
    <w:rsid w:val="005B4067"/>
    <w:rsid w:val="005B5007"/>
    <w:rsid w:val="005B69A5"/>
    <w:rsid w:val="005C12DE"/>
    <w:rsid w:val="005C2DCC"/>
    <w:rsid w:val="005C3893"/>
    <w:rsid w:val="005C3F41"/>
    <w:rsid w:val="005C5FF8"/>
    <w:rsid w:val="005D5A58"/>
    <w:rsid w:val="005E358D"/>
    <w:rsid w:val="005E552A"/>
    <w:rsid w:val="00600219"/>
    <w:rsid w:val="00605DEC"/>
    <w:rsid w:val="006249E6"/>
    <w:rsid w:val="0062667D"/>
    <w:rsid w:val="00630733"/>
    <w:rsid w:val="0064468A"/>
    <w:rsid w:val="00654CCA"/>
    <w:rsid w:val="00656DE9"/>
    <w:rsid w:val="00661E99"/>
    <w:rsid w:val="006638D7"/>
    <w:rsid w:val="00663BDD"/>
    <w:rsid w:val="00670D06"/>
    <w:rsid w:val="00677CC2"/>
    <w:rsid w:val="00680F17"/>
    <w:rsid w:val="00685F42"/>
    <w:rsid w:val="0069207B"/>
    <w:rsid w:val="006937E2"/>
    <w:rsid w:val="006977FB"/>
    <w:rsid w:val="006A21A1"/>
    <w:rsid w:val="006A7ED8"/>
    <w:rsid w:val="006B262A"/>
    <w:rsid w:val="006B4A1D"/>
    <w:rsid w:val="006B5160"/>
    <w:rsid w:val="006C2C12"/>
    <w:rsid w:val="006C7F8C"/>
    <w:rsid w:val="006D3667"/>
    <w:rsid w:val="006E004B"/>
    <w:rsid w:val="006E7147"/>
    <w:rsid w:val="00700B2C"/>
    <w:rsid w:val="00701E6A"/>
    <w:rsid w:val="00713084"/>
    <w:rsid w:val="00722023"/>
    <w:rsid w:val="007266EC"/>
    <w:rsid w:val="00731E00"/>
    <w:rsid w:val="007325DC"/>
    <w:rsid w:val="007440B7"/>
    <w:rsid w:val="00747BED"/>
    <w:rsid w:val="00752D15"/>
    <w:rsid w:val="007634AD"/>
    <w:rsid w:val="00765739"/>
    <w:rsid w:val="007715C9"/>
    <w:rsid w:val="007732DD"/>
    <w:rsid w:val="00774EDD"/>
    <w:rsid w:val="007757EC"/>
    <w:rsid w:val="007769D4"/>
    <w:rsid w:val="00785AFA"/>
    <w:rsid w:val="007903AC"/>
    <w:rsid w:val="00793145"/>
    <w:rsid w:val="007A7F9F"/>
    <w:rsid w:val="007B04CF"/>
    <w:rsid w:val="007B2FC2"/>
    <w:rsid w:val="007D1FCD"/>
    <w:rsid w:val="007D696F"/>
    <w:rsid w:val="007D757D"/>
    <w:rsid w:val="007E55D5"/>
    <w:rsid w:val="007E7D4A"/>
    <w:rsid w:val="007F4D54"/>
    <w:rsid w:val="007F6DF4"/>
    <w:rsid w:val="00811638"/>
    <w:rsid w:val="008176BF"/>
    <w:rsid w:val="00824F93"/>
    <w:rsid w:val="00826DA5"/>
    <w:rsid w:val="00833416"/>
    <w:rsid w:val="00856A31"/>
    <w:rsid w:val="00863DF9"/>
    <w:rsid w:val="00867BD5"/>
    <w:rsid w:val="0087314A"/>
    <w:rsid w:val="00874B69"/>
    <w:rsid w:val="008754D0"/>
    <w:rsid w:val="00877D48"/>
    <w:rsid w:val="008815E3"/>
    <w:rsid w:val="0089783B"/>
    <w:rsid w:val="008A12A7"/>
    <w:rsid w:val="008C4320"/>
    <w:rsid w:val="008C7D44"/>
    <w:rsid w:val="008D0EE0"/>
    <w:rsid w:val="008D2857"/>
    <w:rsid w:val="008E5114"/>
    <w:rsid w:val="008F07E3"/>
    <w:rsid w:val="008F2240"/>
    <w:rsid w:val="008F4F1C"/>
    <w:rsid w:val="008F56E7"/>
    <w:rsid w:val="00907271"/>
    <w:rsid w:val="009243B7"/>
    <w:rsid w:val="00932377"/>
    <w:rsid w:val="00932C14"/>
    <w:rsid w:val="00937942"/>
    <w:rsid w:val="009A1DEE"/>
    <w:rsid w:val="009B3629"/>
    <w:rsid w:val="009B60AF"/>
    <w:rsid w:val="009C1AC2"/>
    <w:rsid w:val="009C2AEB"/>
    <w:rsid w:val="009C49D8"/>
    <w:rsid w:val="009D2269"/>
    <w:rsid w:val="009D42A5"/>
    <w:rsid w:val="009D4626"/>
    <w:rsid w:val="009E35D2"/>
    <w:rsid w:val="009E3601"/>
    <w:rsid w:val="009F0305"/>
    <w:rsid w:val="009F6B50"/>
    <w:rsid w:val="009F727E"/>
    <w:rsid w:val="00A10586"/>
    <w:rsid w:val="00A2057D"/>
    <w:rsid w:val="00A231E2"/>
    <w:rsid w:val="00A2550D"/>
    <w:rsid w:val="00A25955"/>
    <w:rsid w:val="00A263E9"/>
    <w:rsid w:val="00A26DBE"/>
    <w:rsid w:val="00A3200C"/>
    <w:rsid w:val="00A326A4"/>
    <w:rsid w:val="00A37635"/>
    <w:rsid w:val="00A4169B"/>
    <w:rsid w:val="00A41DC4"/>
    <w:rsid w:val="00A4361F"/>
    <w:rsid w:val="00A5732A"/>
    <w:rsid w:val="00A60050"/>
    <w:rsid w:val="00A64912"/>
    <w:rsid w:val="00A65B73"/>
    <w:rsid w:val="00A70A74"/>
    <w:rsid w:val="00A87AB9"/>
    <w:rsid w:val="00AB3315"/>
    <w:rsid w:val="00AB5371"/>
    <w:rsid w:val="00AB5D03"/>
    <w:rsid w:val="00AC22F1"/>
    <w:rsid w:val="00AD5641"/>
    <w:rsid w:val="00AF0336"/>
    <w:rsid w:val="00AF5C11"/>
    <w:rsid w:val="00AF6613"/>
    <w:rsid w:val="00B01758"/>
    <w:rsid w:val="00B0269C"/>
    <w:rsid w:val="00B032D8"/>
    <w:rsid w:val="00B12681"/>
    <w:rsid w:val="00B12AD2"/>
    <w:rsid w:val="00B1374F"/>
    <w:rsid w:val="00B332B8"/>
    <w:rsid w:val="00B33B3C"/>
    <w:rsid w:val="00B33B8F"/>
    <w:rsid w:val="00B3440E"/>
    <w:rsid w:val="00B42128"/>
    <w:rsid w:val="00B43825"/>
    <w:rsid w:val="00B61D2C"/>
    <w:rsid w:val="00B62A93"/>
    <w:rsid w:val="00B63BDE"/>
    <w:rsid w:val="00B7092F"/>
    <w:rsid w:val="00B7431F"/>
    <w:rsid w:val="00B8489C"/>
    <w:rsid w:val="00B876F2"/>
    <w:rsid w:val="00B92D27"/>
    <w:rsid w:val="00B93E4D"/>
    <w:rsid w:val="00BA5026"/>
    <w:rsid w:val="00BB6E79"/>
    <w:rsid w:val="00BC3229"/>
    <w:rsid w:val="00BC4F91"/>
    <w:rsid w:val="00BD60E6"/>
    <w:rsid w:val="00BE253A"/>
    <w:rsid w:val="00BE719A"/>
    <w:rsid w:val="00BE720A"/>
    <w:rsid w:val="00BF4533"/>
    <w:rsid w:val="00C02E12"/>
    <w:rsid w:val="00C0640F"/>
    <w:rsid w:val="00C067E5"/>
    <w:rsid w:val="00C164CA"/>
    <w:rsid w:val="00C21B63"/>
    <w:rsid w:val="00C31991"/>
    <w:rsid w:val="00C42BF8"/>
    <w:rsid w:val="00C460AE"/>
    <w:rsid w:val="00C50043"/>
    <w:rsid w:val="00C564E9"/>
    <w:rsid w:val="00C658BF"/>
    <w:rsid w:val="00C7082A"/>
    <w:rsid w:val="00C7573B"/>
    <w:rsid w:val="00C76CF3"/>
    <w:rsid w:val="00C83A2A"/>
    <w:rsid w:val="00C85A98"/>
    <w:rsid w:val="00C94342"/>
    <w:rsid w:val="00C97894"/>
    <w:rsid w:val="00CA760A"/>
    <w:rsid w:val="00CB0180"/>
    <w:rsid w:val="00CD606E"/>
    <w:rsid w:val="00CD7ECB"/>
    <w:rsid w:val="00CF0BB2"/>
    <w:rsid w:val="00D00DED"/>
    <w:rsid w:val="00D0104A"/>
    <w:rsid w:val="00D10594"/>
    <w:rsid w:val="00D13441"/>
    <w:rsid w:val="00D17B17"/>
    <w:rsid w:val="00D17CBC"/>
    <w:rsid w:val="00D243A3"/>
    <w:rsid w:val="00D26228"/>
    <w:rsid w:val="00D333D9"/>
    <w:rsid w:val="00D33440"/>
    <w:rsid w:val="00D345BC"/>
    <w:rsid w:val="00D40403"/>
    <w:rsid w:val="00D44F48"/>
    <w:rsid w:val="00D519EB"/>
    <w:rsid w:val="00D52EFE"/>
    <w:rsid w:val="00D57322"/>
    <w:rsid w:val="00D63EF6"/>
    <w:rsid w:val="00D664F3"/>
    <w:rsid w:val="00D70DFB"/>
    <w:rsid w:val="00D766DF"/>
    <w:rsid w:val="00D834A6"/>
    <w:rsid w:val="00D83D21"/>
    <w:rsid w:val="00D84B58"/>
    <w:rsid w:val="00D925D1"/>
    <w:rsid w:val="00D944E6"/>
    <w:rsid w:val="00DA18D0"/>
    <w:rsid w:val="00DE7CFF"/>
    <w:rsid w:val="00E01D69"/>
    <w:rsid w:val="00E05704"/>
    <w:rsid w:val="00E05C46"/>
    <w:rsid w:val="00E15607"/>
    <w:rsid w:val="00E27CD5"/>
    <w:rsid w:val="00E30206"/>
    <w:rsid w:val="00E33C1C"/>
    <w:rsid w:val="00E35B45"/>
    <w:rsid w:val="00E443FC"/>
    <w:rsid w:val="00E476B8"/>
    <w:rsid w:val="00E50D98"/>
    <w:rsid w:val="00E54292"/>
    <w:rsid w:val="00E57FCE"/>
    <w:rsid w:val="00E73EC4"/>
    <w:rsid w:val="00E74DC7"/>
    <w:rsid w:val="00E767CE"/>
    <w:rsid w:val="00E84B32"/>
    <w:rsid w:val="00E87699"/>
    <w:rsid w:val="00EA3C58"/>
    <w:rsid w:val="00EB756D"/>
    <w:rsid w:val="00ED3A7D"/>
    <w:rsid w:val="00EE0C00"/>
    <w:rsid w:val="00EF14C6"/>
    <w:rsid w:val="00EF2E3A"/>
    <w:rsid w:val="00EF6318"/>
    <w:rsid w:val="00EF7E01"/>
    <w:rsid w:val="00F047E2"/>
    <w:rsid w:val="00F078DC"/>
    <w:rsid w:val="00F13E86"/>
    <w:rsid w:val="00F246E8"/>
    <w:rsid w:val="00F2487B"/>
    <w:rsid w:val="00F24C35"/>
    <w:rsid w:val="00F334BB"/>
    <w:rsid w:val="00F46A93"/>
    <w:rsid w:val="00F50D81"/>
    <w:rsid w:val="00F56759"/>
    <w:rsid w:val="00F6553F"/>
    <w:rsid w:val="00F677A9"/>
    <w:rsid w:val="00F72E44"/>
    <w:rsid w:val="00F775B1"/>
    <w:rsid w:val="00F84CF5"/>
    <w:rsid w:val="00F859C4"/>
    <w:rsid w:val="00F87B27"/>
    <w:rsid w:val="00F97C56"/>
    <w:rsid w:val="00FA420B"/>
    <w:rsid w:val="00FA4BAF"/>
    <w:rsid w:val="00FA59F6"/>
    <w:rsid w:val="00FB03B3"/>
    <w:rsid w:val="00FC56DC"/>
    <w:rsid w:val="00FD7CFE"/>
    <w:rsid w:val="00FE0AFD"/>
    <w:rsid w:val="00FF1EBB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67C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67CE"/>
  </w:style>
  <w:style w:type="paragraph" w:customStyle="1" w:styleId="OPCParaBase">
    <w:name w:val="OPCParaBase"/>
    <w:qFormat/>
    <w:rsid w:val="00E767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67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67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67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67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67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767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67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67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67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67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67CE"/>
  </w:style>
  <w:style w:type="paragraph" w:customStyle="1" w:styleId="Blocks">
    <w:name w:val="Blocks"/>
    <w:aliases w:val="bb"/>
    <w:basedOn w:val="OPCParaBase"/>
    <w:qFormat/>
    <w:rsid w:val="00E767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67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67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67CE"/>
    <w:rPr>
      <w:i/>
    </w:rPr>
  </w:style>
  <w:style w:type="paragraph" w:customStyle="1" w:styleId="BoxList">
    <w:name w:val="BoxList"/>
    <w:aliases w:val="bl"/>
    <w:basedOn w:val="BoxText"/>
    <w:qFormat/>
    <w:rsid w:val="00E767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67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67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67CE"/>
    <w:pPr>
      <w:ind w:left="1985" w:hanging="851"/>
    </w:pPr>
  </w:style>
  <w:style w:type="character" w:customStyle="1" w:styleId="CharAmPartNo">
    <w:name w:val="CharAmPartNo"/>
    <w:basedOn w:val="OPCCharBase"/>
    <w:qFormat/>
    <w:rsid w:val="00E767CE"/>
  </w:style>
  <w:style w:type="character" w:customStyle="1" w:styleId="CharAmPartText">
    <w:name w:val="CharAmPartText"/>
    <w:basedOn w:val="OPCCharBase"/>
    <w:qFormat/>
    <w:rsid w:val="00E767CE"/>
  </w:style>
  <w:style w:type="character" w:customStyle="1" w:styleId="CharAmSchNo">
    <w:name w:val="CharAmSchNo"/>
    <w:basedOn w:val="OPCCharBase"/>
    <w:qFormat/>
    <w:rsid w:val="00E767CE"/>
  </w:style>
  <w:style w:type="character" w:customStyle="1" w:styleId="CharAmSchText">
    <w:name w:val="CharAmSchText"/>
    <w:basedOn w:val="OPCCharBase"/>
    <w:qFormat/>
    <w:rsid w:val="00E767CE"/>
  </w:style>
  <w:style w:type="character" w:customStyle="1" w:styleId="CharBoldItalic">
    <w:name w:val="CharBoldItalic"/>
    <w:basedOn w:val="OPCCharBase"/>
    <w:uiPriority w:val="1"/>
    <w:qFormat/>
    <w:rsid w:val="00E767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67CE"/>
  </w:style>
  <w:style w:type="character" w:customStyle="1" w:styleId="CharChapText">
    <w:name w:val="CharChapText"/>
    <w:basedOn w:val="OPCCharBase"/>
    <w:uiPriority w:val="1"/>
    <w:qFormat/>
    <w:rsid w:val="00E767CE"/>
  </w:style>
  <w:style w:type="character" w:customStyle="1" w:styleId="CharDivNo">
    <w:name w:val="CharDivNo"/>
    <w:basedOn w:val="OPCCharBase"/>
    <w:uiPriority w:val="1"/>
    <w:qFormat/>
    <w:rsid w:val="00E767CE"/>
  </w:style>
  <w:style w:type="character" w:customStyle="1" w:styleId="CharDivText">
    <w:name w:val="CharDivText"/>
    <w:basedOn w:val="OPCCharBase"/>
    <w:uiPriority w:val="1"/>
    <w:qFormat/>
    <w:rsid w:val="00E767CE"/>
  </w:style>
  <w:style w:type="character" w:customStyle="1" w:styleId="CharItalic">
    <w:name w:val="CharItalic"/>
    <w:basedOn w:val="OPCCharBase"/>
    <w:uiPriority w:val="1"/>
    <w:qFormat/>
    <w:rsid w:val="00E767CE"/>
    <w:rPr>
      <w:i/>
    </w:rPr>
  </w:style>
  <w:style w:type="character" w:customStyle="1" w:styleId="CharPartNo">
    <w:name w:val="CharPartNo"/>
    <w:basedOn w:val="OPCCharBase"/>
    <w:uiPriority w:val="1"/>
    <w:qFormat/>
    <w:rsid w:val="00E767CE"/>
  </w:style>
  <w:style w:type="character" w:customStyle="1" w:styleId="CharPartText">
    <w:name w:val="CharPartText"/>
    <w:basedOn w:val="OPCCharBase"/>
    <w:uiPriority w:val="1"/>
    <w:qFormat/>
    <w:rsid w:val="00E767CE"/>
  </w:style>
  <w:style w:type="character" w:customStyle="1" w:styleId="CharSectno">
    <w:name w:val="CharSectno"/>
    <w:basedOn w:val="OPCCharBase"/>
    <w:qFormat/>
    <w:rsid w:val="00E767CE"/>
  </w:style>
  <w:style w:type="character" w:customStyle="1" w:styleId="CharSubdNo">
    <w:name w:val="CharSubdNo"/>
    <w:basedOn w:val="OPCCharBase"/>
    <w:uiPriority w:val="1"/>
    <w:qFormat/>
    <w:rsid w:val="00E767CE"/>
  </w:style>
  <w:style w:type="character" w:customStyle="1" w:styleId="CharSubdText">
    <w:name w:val="CharSubdText"/>
    <w:basedOn w:val="OPCCharBase"/>
    <w:uiPriority w:val="1"/>
    <w:qFormat/>
    <w:rsid w:val="00E767CE"/>
  </w:style>
  <w:style w:type="paragraph" w:customStyle="1" w:styleId="CTA--">
    <w:name w:val="CTA --"/>
    <w:basedOn w:val="OPCParaBase"/>
    <w:next w:val="Normal"/>
    <w:rsid w:val="00E767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67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67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67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67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67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67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67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67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67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67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67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67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67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767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67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67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67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67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67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67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67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67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67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67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67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67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67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67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67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67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767C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E767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67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67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67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767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67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67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67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67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67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67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67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67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67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67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67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67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67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67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67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67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67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67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67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767C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767C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767C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767C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767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767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767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767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767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767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67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67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67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67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67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67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67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767CE"/>
    <w:rPr>
      <w:sz w:val="16"/>
    </w:rPr>
  </w:style>
  <w:style w:type="table" w:customStyle="1" w:styleId="CFlag">
    <w:name w:val="CFlag"/>
    <w:basedOn w:val="TableNormal"/>
    <w:uiPriority w:val="99"/>
    <w:rsid w:val="00E767C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67CE"/>
    <w:rPr>
      <w:color w:val="0000FF"/>
      <w:u w:val="single"/>
    </w:rPr>
  </w:style>
  <w:style w:type="table" w:styleId="TableGrid">
    <w:name w:val="Table Grid"/>
    <w:basedOn w:val="TableNormal"/>
    <w:uiPriority w:val="59"/>
    <w:rsid w:val="00E7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767C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767C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767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67C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E767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67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67C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767CE"/>
  </w:style>
  <w:style w:type="paragraph" w:customStyle="1" w:styleId="CompiledActNo">
    <w:name w:val="CompiledActNo"/>
    <w:basedOn w:val="OPCParaBase"/>
    <w:next w:val="Normal"/>
    <w:rsid w:val="00E767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67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67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E767C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767C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767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67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767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67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767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67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67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67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67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67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767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67C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767C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767CE"/>
  </w:style>
  <w:style w:type="character" w:customStyle="1" w:styleId="CharSubPartNoCASA">
    <w:name w:val="CharSubPartNo(CASA)"/>
    <w:basedOn w:val="OPCCharBase"/>
    <w:uiPriority w:val="1"/>
    <w:rsid w:val="00E767CE"/>
  </w:style>
  <w:style w:type="paragraph" w:customStyle="1" w:styleId="ENoteTTIndentHeadingSub">
    <w:name w:val="ENoteTTIndentHeadingSub"/>
    <w:aliases w:val="enTTHis"/>
    <w:basedOn w:val="OPCParaBase"/>
    <w:rsid w:val="00E767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67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67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67CE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67C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67CE"/>
  </w:style>
  <w:style w:type="paragraph" w:customStyle="1" w:styleId="OPCParaBase">
    <w:name w:val="OPCParaBase"/>
    <w:qFormat/>
    <w:rsid w:val="00E767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67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67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67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67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67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767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67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67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67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67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67CE"/>
  </w:style>
  <w:style w:type="paragraph" w:customStyle="1" w:styleId="Blocks">
    <w:name w:val="Blocks"/>
    <w:aliases w:val="bb"/>
    <w:basedOn w:val="OPCParaBase"/>
    <w:qFormat/>
    <w:rsid w:val="00E767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67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67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67CE"/>
    <w:rPr>
      <w:i/>
    </w:rPr>
  </w:style>
  <w:style w:type="paragraph" w:customStyle="1" w:styleId="BoxList">
    <w:name w:val="BoxList"/>
    <w:aliases w:val="bl"/>
    <w:basedOn w:val="BoxText"/>
    <w:qFormat/>
    <w:rsid w:val="00E767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67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67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67CE"/>
    <w:pPr>
      <w:ind w:left="1985" w:hanging="851"/>
    </w:pPr>
  </w:style>
  <w:style w:type="character" w:customStyle="1" w:styleId="CharAmPartNo">
    <w:name w:val="CharAmPartNo"/>
    <w:basedOn w:val="OPCCharBase"/>
    <w:qFormat/>
    <w:rsid w:val="00E767CE"/>
  </w:style>
  <w:style w:type="character" w:customStyle="1" w:styleId="CharAmPartText">
    <w:name w:val="CharAmPartText"/>
    <w:basedOn w:val="OPCCharBase"/>
    <w:qFormat/>
    <w:rsid w:val="00E767CE"/>
  </w:style>
  <w:style w:type="character" w:customStyle="1" w:styleId="CharAmSchNo">
    <w:name w:val="CharAmSchNo"/>
    <w:basedOn w:val="OPCCharBase"/>
    <w:qFormat/>
    <w:rsid w:val="00E767CE"/>
  </w:style>
  <w:style w:type="character" w:customStyle="1" w:styleId="CharAmSchText">
    <w:name w:val="CharAmSchText"/>
    <w:basedOn w:val="OPCCharBase"/>
    <w:qFormat/>
    <w:rsid w:val="00E767CE"/>
  </w:style>
  <w:style w:type="character" w:customStyle="1" w:styleId="CharBoldItalic">
    <w:name w:val="CharBoldItalic"/>
    <w:basedOn w:val="OPCCharBase"/>
    <w:uiPriority w:val="1"/>
    <w:qFormat/>
    <w:rsid w:val="00E767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67CE"/>
  </w:style>
  <w:style w:type="character" w:customStyle="1" w:styleId="CharChapText">
    <w:name w:val="CharChapText"/>
    <w:basedOn w:val="OPCCharBase"/>
    <w:uiPriority w:val="1"/>
    <w:qFormat/>
    <w:rsid w:val="00E767CE"/>
  </w:style>
  <w:style w:type="character" w:customStyle="1" w:styleId="CharDivNo">
    <w:name w:val="CharDivNo"/>
    <w:basedOn w:val="OPCCharBase"/>
    <w:uiPriority w:val="1"/>
    <w:qFormat/>
    <w:rsid w:val="00E767CE"/>
  </w:style>
  <w:style w:type="character" w:customStyle="1" w:styleId="CharDivText">
    <w:name w:val="CharDivText"/>
    <w:basedOn w:val="OPCCharBase"/>
    <w:uiPriority w:val="1"/>
    <w:qFormat/>
    <w:rsid w:val="00E767CE"/>
  </w:style>
  <w:style w:type="character" w:customStyle="1" w:styleId="CharItalic">
    <w:name w:val="CharItalic"/>
    <w:basedOn w:val="OPCCharBase"/>
    <w:uiPriority w:val="1"/>
    <w:qFormat/>
    <w:rsid w:val="00E767CE"/>
    <w:rPr>
      <w:i/>
    </w:rPr>
  </w:style>
  <w:style w:type="character" w:customStyle="1" w:styleId="CharPartNo">
    <w:name w:val="CharPartNo"/>
    <w:basedOn w:val="OPCCharBase"/>
    <w:uiPriority w:val="1"/>
    <w:qFormat/>
    <w:rsid w:val="00E767CE"/>
  </w:style>
  <w:style w:type="character" w:customStyle="1" w:styleId="CharPartText">
    <w:name w:val="CharPartText"/>
    <w:basedOn w:val="OPCCharBase"/>
    <w:uiPriority w:val="1"/>
    <w:qFormat/>
    <w:rsid w:val="00E767CE"/>
  </w:style>
  <w:style w:type="character" w:customStyle="1" w:styleId="CharSectno">
    <w:name w:val="CharSectno"/>
    <w:basedOn w:val="OPCCharBase"/>
    <w:qFormat/>
    <w:rsid w:val="00E767CE"/>
  </w:style>
  <w:style w:type="character" w:customStyle="1" w:styleId="CharSubdNo">
    <w:name w:val="CharSubdNo"/>
    <w:basedOn w:val="OPCCharBase"/>
    <w:uiPriority w:val="1"/>
    <w:qFormat/>
    <w:rsid w:val="00E767CE"/>
  </w:style>
  <w:style w:type="character" w:customStyle="1" w:styleId="CharSubdText">
    <w:name w:val="CharSubdText"/>
    <w:basedOn w:val="OPCCharBase"/>
    <w:uiPriority w:val="1"/>
    <w:qFormat/>
    <w:rsid w:val="00E767CE"/>
  </w:style>
  <w:style w:type="paragraph" w:customStyle="1" w:styleId="CTA--">
    <w:name w:val="CTA --"/>
    <w:basedOn w:val="OPCParaBase"/>
    <w:next w:val="Normal"/>
    <w:rsid w:val="00E767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67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67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67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67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67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67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67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67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67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67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67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67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67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767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67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67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67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67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67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67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67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67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67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67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67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67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67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67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67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67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767C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E767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67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67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67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767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67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67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67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67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67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67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67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67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67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67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67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67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67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67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67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67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67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67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67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767C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767C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767C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767C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767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767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767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767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767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767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67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67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67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67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67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67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67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767CE"/>
    <w:rPr>
      <w:sz w:val="16"/>
    </w:rPr>
  </w:style>
  <w:style w:type="table" w:customStyle="1" w:styleId="CFlag">
    <w:name w:val="CFlag"/>
    <w:basedOn w:val="TableNormal"/>
    <w:uiPriority w:val="99"/>
    <w:rsid w:val="00E767C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67CE"/>
    <w:rPr>
      <w:color w:val="0000FF"/>
      <w:u w:val="single"/>
    </w:rPr>
  </w:style>
  <w:style w:type="table" w:styleId="TableGrid">
    <w:name w:val="Table Grid"/>
    <w:basedOn w:val="TableNormal"/>
    <w:uiPriority w:val="59"/>
    <w:rsid w:val="00E7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767C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767C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767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67C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E767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67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67C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767CE"/>
  </w:style>
  <w:style w:type="paragraph" w:customStyle="1" w:styleId="CompiledActNo">
    <w:name w:val="CompiledActNo"/>
    <w:basedOn w:val="OPCParaBase"/>
    <w:next w:val="Normal"/>
    <w:rsid w:val="00E767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67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67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E767C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767C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767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67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767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67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767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67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67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67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67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67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767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67C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767C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767CE"/>
  </w:style>
  <w:style w:type="character" w:customStyle="1" w:styleId="CharSubPartNoCASA">
    <w:name w:val="CharSubPartNo(CASA)"/>
    <w:basedOn w:val="OPCCharBase"/>
    <w:uiPriority w:val="1"/>
    <w:rsid w:val="00E767CE"/>
  </w:style>
  <w:style w:type="paragraph" w:customStyle="1" w:styleId="ENoteTTIndentHeadingSub">
    <w:name w:val="ENoteTTIndentHeadingSub"/>
    <w:aliases w:val="enTTHis"/>
    <w:basedOn w:val="OPCParaBase"/>
    <w:rsid w:val="00E767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67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67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67CE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1329</Words>
  <Characters>7722</Characters>
  <Application>Microsoft Office Word</Application>
  <DocSecurity>0</DocSecurity>
  <PresentationFormat/>
  <Lines>238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Instruments Amendment (Sunsetting Exemptions) Regulation 2013</vt:lpstr>
    </vt:vector>
  </TitlesOfParts>
  <Manager/>
  <Company/>
  <LinksUpToDate>false</LinksUpToDate>
  <CharactersWithSpaces>8935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2013-07-18T01:34:00Z</cp:lastPrinted>
  <dcterms:created xsi:type="dcterms:W3CDTF">2013-08-05T01:38:00Z</dcterms:created>
  <dcterms:modified xsi:type="dcterms:W3CDTF">2013-08-05T01:38:00Z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212, 2013</vt:lpwstr>
  </property>
  <property fmtid="{D5CDD505-2E9C-101B-9397-08002B2CF9AE}" pid="3" name="ShortT">
    <vt:lpwstr>Legislative Instruments Amendment (Sunsetting Exemptions)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August 2013</vt:lpwstr>
  </property>
  <property fmtid="{D5CDD505-2E9C-101B-9397-08002B2CF9AE}" pid="10" name="Authority">
    <vt:lpwstr/>
  </property>
  <property fmtid="{D5CDD505-2E9C-101B-9397-08002B2CF9AE}" pid="11" name="ID">
    <vt:lpwstr>OPC60165</vt:lpwstr>
  </property>
  <property fmtid="{D5CDD505-2E9C-101B-9397-08002B2CF9AE}" pid="12" name="ActMadeUnder">
    <vt:lpwstr>Legislative Instruments Act 2003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05 August 2013</vt:lpwstr>
  </property>
</Properties>
</file>