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04" w:rsidRDefault="00B20074">
      <w:pPr>
        <w:ind w:right="91"/>
        <w:jc w:val="center"/>
      </w:pPr>
      <w:r>
        <w:rPr>
          <w:b/>
          <w:u w:val="single"/>
        </w:rPr>
        <w:t xml:space="preserve">EXPLANATORY </w:t>
      </w:r>
      <w:r w:rsidR="00B149C0">
        <w:rPr>
          <w:b/>
          <w:u w:val="single"/>
        </w:rPr>
        <w:t>STATEMENT</w:t>
      </w:r>
    </w:p>
    <w:p w:rsidR="00362B04" w:rsidRDefault="00362B04">
      <w:pPr>
        <w:ind w:right="91"/>
        <w:jc w:val="center"/>
      </w:pPr>
    </w:p>
    <w:p w:rsidR="002567AF" w:rsidRPr="00917DC2" w:rsidRDefault="00DA145D">
      <w:pPr>
        <w:ind w:right="91"/>
        <w:jc w:val="center"/>
        <w:rPr>
          <w:b/>
          <w:u w:val="single"/>
        </w:rPr>
      </w:pPr>
      <w:r w:rsidRPr="00917DC2">
        <w:rPr>
          <w:b/>
          <w:u w:val="single"/>
        </w:rPr>
        <w:t>Select Legislative Instrument 201</w:t>
      </w:r>
      <w:r w:rsidR="00330301" w:rsidRPr="00917DC2">
        <w:rPr>
          <w:b/>
          <w:u w:val="single"/>
        </w:rPr>
        <w:t>3</w:t>
      </w:r>
      <w:r w:rsidR="00917DC2">
        <w:rPr>
          <w:b/>
          <w:u w:val="single"/>
        </w:rPr>
        <w:t xml:space="preserve"> No. 203</w:t>
      </w:r>
    </w:p>
    <w:p w:rsidR="002567AF" w:rsidRDefault="002567AF">
      <w:pPr>
        <w:ind w:right="91"/>
        <w:jc w:val="center"/>
        <w:rPr>
          <w:b/>
        </w:rPr>
      </w:pPr>
    </w:p>
    <w:p w:rsidR="002567AF" w:rsidRDefault="00DA145D">
      <w:pPr>
        <w:ind w:right="91"/>
        <w:jc w:val="center"/>
        <w:rPr>
          <w:b/>
          <w:u w:val="single"/>
        </w:rPr>
      </w:pPr>
      <w:r>
        <w:rPr>
          <w:b/>
          <w:u w:val="single"/>
        </w:rPr>
        <w:t xml:space="preserve">Issued by authority of the </w:t>
      </w:r>
      <w:r w:rsidR="00E97353">
        <w:rPr>
          <w:b/>
          <w:u w:val="single"/>
        </w:rPr>
        <w:t xml:space="preserve">Minister </w:t>
      </w:r>
      <w:r w:rsidR="00C724BC">
        <w:rPr>
          <w:b/>
          <w:u w:val="single"/>
        </w:rPr>
        <w:t xml:space="preserve">Assisting </w:t>
      </w:r>
      <w:r w:rsidR="00E97353">
        <w:rPr>
          <w:b/>
          <w:u w:val="single"/>
        </w:rPr>
        <w:t>for Financial Services and Superannuation</w:t>
      </w:r>
    </w:p>
    <w:p w:rsidR="005942AF" w:rsidRDefault="005942AF">
      <w:pPr>
        <w:ind w:right="91"/>
      </w:pPr>
    </w:p>
    <w:p w:rsidR="00916C2A" w:rsidRDefault="00916C2A">
      <w:pPr>
        <w:ind w:right="91"/>
      </w:pPr>
    </w:p>
    <w:p w:rsidR="002567AF" w:rsidRDefault="009846AF">
      <w:pPr>
        <w:ind w:right="91"/>
        <w:jc w:val="center"/>
        <w:rPr>
          <w:i/>
        </w:rPr>
      </w:pPr>
      <w:r>
        <w:rPr>
          <w:i/>
        </w:rPr>
        <w:t>Superannuation (Unclaimed Money and Lost Members) Amendment (Prescribed Public Sector Superannuation Schemes and Other Measures) Regulation 2013</w:t>
      </w:r>
    </w:p>
    <w:p w:rsidR="002567AF" w:rsidRDefault="002567AF">
      <w:pPr>
        <w:ind w:right="91"/>
        <w:jc w:val="center"/>
        <w:rPr>
          <w:i/>
        </w:rPr>
      </w:pPr>
    </w:p>
    <w:p w:rsidR="00B85304" w:rsidRDefault="00B85304" w:rsidP="00B85304">
      <w:pPr>
        <w:ind w:right="91"/>
        <w:rPr>
          <w:i/>
        </w:rPr>
      </w:pPr>
      <w:r>
        <w:t xml:space="preserve">Section 50 of the </w:t>
      </w:r>
      <w:r>
        <w:rPr>
          <w:i/>
        </w:rPr>
        <w:t xml:space="preserve">Superannuation (Unclaimed Money and Lost Members) Act 1999 </w:t>
      </w:r>
      <w:r w:rsidRPr="000B4CA8">
        <w:t>(the Act)</w:t>
      </w:r>
      <w:r>
        <w:t xml:space="preserve"> provides that</w:t>
      </w:r>
      <w:r w:rsidR="006A60F1">
        <w:t xml:space="preserve"> the Governor-General may make r</w:t>
      </w:r>
      <w:r>
        <w:t>egulations prescribing matters required or permitted by the Act to be prescribed, or necessary or convenient to be prescribed for carrying out or giving effect to the Act.</w:t>
      </w:r>
    </w:p>
    <w:p w:rsidR="00B85304" w:rsidRDefault="00B85304" w:rsidP="00B85304">
      <w:pPr>
        <w:ind w:right="91"/>
      </w:pPr>
    </w:p>
    <w:p w:rsidR="00F135D8" w:rsidRDefault="00F135D8" w:rsidP="00F135D8">
      <w:pPr>
        <w:ind w:right="91"/>
      </w:pPr>
      <w:r>
        <w:t xml:space="preserve">The main purpose of the amending Regulation is to allow certain public sector schemes to be able to pay unclaimed </w:t>
      </w:r>
      <w:r w:rsidR="00520E32">
        <w:t xml:space="preserve">superannuation </w:t>
      </w:r>
      <w:r>
        <w:t>money, lost member accounts and superannuation of former temporary residents to the Commissioner of Taxation (the Commissioner) if they chose to do so.  Unlike private sector superannuation providers, public sector schemes are not required to pay these monies to the Commissioner.  The amending Regulation also make</w:t>
      </w:r>
      <w:r w:rsidR="009846AF">
        <w:t>s</w:t>
      </w:r>
      <w:r>
        <w:t xml:space="preserve"> a number of minor amendments which </w:t>
      </w:r>
      <w:r>
        <w:rPr>
          <w:sz w:val="23"/>
          <w:szCs w:val="23"/>
        </w:rPr>
        <w:t xml:space="preserve">make the </w:t>
      </w:r>
      <w:r w:rsidR="009846AF" w:rsidRPr="009846AF">
        <w:rPr>
          <w:sz w:val="23"/>
          <w:szCs w:val="23"/>
        </w:rPr>
        <w:t>Superannuation (Unclaimed Money and Lost Members) Regulations 1999 (the Principal Regulations)</w:t>
      </w:r>
      <w:r>
        <w:rPr>
          <w:sz w:val="23"/>
          <w:szCs w:val="23"/>
        </w:rPr>
        <w:t>easier to navigate</w:t>
      </w:r>
      <w:r>
        <w:t xml:space="preserve"> and </w:t>
      </w:r>
      <w:r>
        <w:rPr>
          <w:sz w:val="23"/>
          <w:szCs w:val="23"/>
        </w:rPr>
        <w:t>correct technical errors.</w:t>
      </w:r>
    </w:p>
    <w:p w:rsidR="00F135D8" w:rsidRDefault="00F135D8" w:rsidP="00F135D8">
      <w:pPr>
        <w:ind w:right="91"/>
      </w:pPr>
    </w:p>
    <w:p w:rsidR="00F135D8" w:rsidRDefault="00F135D8" w:rsidP="00F135D8">
      <w:pPr>
        <w:ind w:right="91"/>
      </w:pPr>
      <w:r>
        <w:t xml:space="preserve">The Act requires superannuation providers to give the Commissioner details relating to unclaimed money, lost member accounts and unclaimed superannuation of former temporary residents they hold and subsequently pay those monies to the Commissioner.  </w:t>
      </w:r>
    </w:p>
    <w:p w:rsidR="00F135D8" w:rsidRDefault="00F135D8" w:rsidP="00F135D8">
      <w:pPr>
        <w:ind w:right="91"/>
      </w:pPr>
    </w:p>
    <w:p w:rsidR="00F135D8" w:rsidRDefault="00F135D8" w:rsidP="00F135D8">
      <w:pPr>
        <w:ind w:right="91"/>
      </w:pPr>
      <w:r>
        <w:t>Public sector superannuation schemes, however, are not required to report and pay these monies to the Commissioner provided they comply with a state or territory law which requires their unclaimed money to be reported and paid to the relevant state or territory authority.  However, the legislation allows prescribed public sector superannuation schemes to pay these monies to the Commissioner if they chose to do so.  These R</w:t>
      </w:r>
      <w:r w:rsidRPr="0049175A">
        <w:t xml:space="preserve">egulations give effect to the Act by prescribing </w:t>
      </w:r>
      <w:r>
        <w:t>the</w:t>
      </w:r>
      <w:r w:rsidRPr="0049175A">
        <w:t>se schemes</w:t>
      </w:r>
      <w:r>
        <w:t>.</w:t>
      </w:r>
      <w:r w:rsidRPr="0049175A">
        <w:t xml:space="preserve"> </w:t>
      </w:r>
    </w:p>
    <w:p w:rsidR="00F135D8" w:rsidRDefault="00F135D8" w:rsidP="00F135D8">
      <w:pPr>
        <w:ind w:right="91"/>
      </w:pPr>
    </w:p>
    <w:p w:rsidR="00F135D8" w:rsidRDefault="00F135D8" w:rsidP="00F135D8">
      <w:pPr>
        <w:ind w:right="91"/>
      </w:pPr>
      <w:r>
        <w:t>Broadly speaking, subsections 18AA(1) and 24HA(1) of the Act provide that prescribed public sector schemes will be treated in a similar way to other superannuation funds in relation to the transfer and reporting and payment of unclaimed money and lost member accounts to the Commissioner of Taxation.</w:t>
      </w:r>
    </w:p>
    <w:p w:rsidR="00F135D8" w:rsidRDefault="00F135D8" w:rsidP="00F135D8">
      <w:pPr>
        <w:ind w:right="91"/>
      </w:pPr>
    </w:p>
    <w:p w:rsidR="00F135D8" w:rsidRDefault="00F135D8" w:rsidP="00F135D8">
      <w:pPr>
        <w:ind w:right="91"/>
      </w:pPr>
      <w:r>
        <w:t>Broadly speaking, subsection 20JA(1) of the Act provides that prescribed public sector superannuation schemes will be treated in a similar way to other superannuation providers in relation to the reporting and payment of unclaimed superannuation of former temporary residents to the Commissioner.</w:t>
      </w:r>
    </w:p>
    <w:p w:rsidR="00F135D8" w:rsidRDefault="00F135D8" w:rsidP="00F135D8">
      <w:pPr>
        <w:ind w:right="91"/>
      </w:pPr>
    </w:p>
    <w:p w:rsidR="00F135D8" w:rsidRDefault="00F135D8" w:rsidP="00F135D8">
      <w:pPr>
        <w:tabs>
          <w:tab w:val="left" w:pos="6521"/>
        </w:tabs>
        <w:ind w:right="91"/>
      </w:pPr>
      <w:r>
        <w:t xml:space="preserve">The </w:t>
      </w:r>
      <w:r w:rsidR="009846AF">
        <w:t xml:space="preserve">Principal </w:t>
      </w:r>
      <w:r>
        <w:t>Regulations prescribe those public sector schemes that have indicated they wish to be permitted to comply with certain sections of the Act.</w:t>
      </w:r>
    </w:p>
    <w:p w:rsidR="00F135D8" w:rsidRDefault="00F135D8" w:rsidP="00B85304">
      <w:pPr>
        <w:ind w:right="91"/>
      </w:pPr>
    </w:p>
    <w:p w:rsidR="00B85304" w:rsidRDefault="00B85304" w:rsidP="00B85304">
      <w:pPr>
        <w:ind w:right="91"/>
      </w:pPr>
      <w:r>
        <w:t xml:space="preserve">Details of the amendments to the </w:t>
      </w:r>
      <w:r w:rsidR="009846AF">
        <w:t>Principal Regulations</w:t>
      </w:r>
      <w:r w:rsidR="00252134">
        <w:rPr>
          <w:i/>
        </w:rPr>
        <w:t xml:space="preserve"> </w:t>
      </w:r>
      <w:r>
        <w:t xml:space="preserve">are set out in </w:t>
      </w:r>
      <w:r>
        <w:rPr>
          <w:u w:val="single"/>
        </w:rPr>
        <w:t>Attachment </w:t>
      </w:r>
      <w:r w:rsidRPr="00133520">
        <w:rPr>
          <w:u w:val="single"/>
        </w:rPr>
        <w:t>A</w:t>
      </w:r>
      <w:r>
        <w:t>.</w:t>
      </w:r>
    </w:p>
    <w:p w:rsidR="00B85304" w:rsidRDefault="00B85304" w:rsidP="00B85304">
      <w:pPr>
        <w:ind w:right="91"/>
      </w:pPr>
    </w:p>
    <w:p w:rsidR="00B85304" w:rsidRPr="00133520" w:rsidRDefault="00917DC2" w:rsidP="00B85304">
      <w:pPr>
        <w:ind w:right="91"/>
      </w:pPr>
      <w:r>
        <w:t>The</w:t>
      </w:r>
      <w:r w:rsidR="00B85304">
        <w:t xml:space="preserve"> Regulations commence</w:t>
      </w:r>
      <w:r w:rsidR="00C02F94">
        <w:t>d</w:t>
      </w:r>
      <w:r w:rsidR="00B85304">
        <w:t xml:space="preserve"> on the day after they </w:t>
      </w:r>
      <w:r w:rsidR="00C02F94">
        <w:t>were</w:t>
      </w:r>
      <w:r w:rsidR="00B85304">
        <w:t xml:space="preserve"> registered on the Federal Register of Legislative Instruments.  </w:t>
      </w:r>
    </w:p>
    <w:p w:rsidR="00B85304" w:rsidRDefault="00B85304" w:rsidP="00B85304">
      <w:pPr>
        <w:tabs>
          <w:tab w:val="left" w:pos="6521"/>
        </w:tabs>
        <w:ind w:right="91"/>
      </w:pPr>
    </w:p>
    <w:p w:rsidR="00D644B4" w:rsidRDefault="00CB14C8" w:rsidP="00007BC0">
      <w:r>
        <w:t>These R</w:t>
      </w:r>
      <w:r w:rsidR="00B71464">
        <w:t>egulations prescribe only those schemes that have been nominated by the relevant authority.  Accordingly, i</w:t>
      </w:r>
      <w:r w:rsidR="00D644B4">
        <w:t xml:space="preserve">n preparing these </w:t>
      </w:r>
      <w:r>
        <w:t>R</w:t>
      </w:r>
      <w:r w:rsidR="00B71464">
        <w:t>egulations the</w:t>
      </w:r>
      <w:r w:rsidR="00616B5D">
        <w:t xml:space="preserve"> </w:t>
      </w:r>
      <w:r w:rsidR="00C724BC">
        <w:t xml:space="preserve">former </w:t>
      </w:r>
      <w:r w:rsidR="00616B5D">
        <w:t xml:space="preserve">Minister for Superannuation and Financial Services wrote to </w:t>
      </w:r>
      <w:r w:rsidR="00007BC0">
        <w:t xml:space="preserve">the Ministers for Finance and Defence and to the State and Territory Treasurers </w:t>
      </w:r>
      <w:r w:rsidR="00B71464" w:rsidRPr="00B71464">
        <w:t xml:space="preserve">to seek details of which of </w:t>
      </w:r>
      <w:r w:rsidR="00B71464">
        <w:t>the</w:t>
      </w:r>
      <w:r w:rsidR="00007BC0">
        <w:t xml:space="preserve"> respective </w:t>
      </w:r>
      <w:r w:rsidR="00B71464" w:rsidRPr="00B71464">
        <w:t xml:space="preserve">public sector schemes </w:t>
      </w:r>
      <w:r w:rsidR="00B71464">
        <w:t>the</w:t>
      </w:r>
      <w:r w:rsidR="00007BC0">
        <w:t xml:space="preserve">y </w:t>
      </w:r>
      <w:r w:rsidR="00B71464">
        <w:t xml:space="preserve">are responsible for they wished </w:t>
      </w:r>
      <w:r w:rsidR="00B71464" w:rsidRPr="00B71464">
        <w:t xml:space="preserve">to </w:t>
      </w:r>
      <w:r w:rsidR="00B71464">
        <w:t>have</w:t>
      </w:r>
      <w:r>
        <w:t xml:space="preserve"> prescribed in the R</w:t>
      </w:r>
      <w:r w:rsidR="00B71464" w:rsidRPr="00B71464">
        <w:t>egulations</w:t>
      </w:r>
      <w:r w:rsidR="00007BC0">
        <w:t xml:space="preserve">.  As a result of this consultation, </w:t>
      </w:r>
      <w:r w:rsidR="00B42D65">
        <w:t xml:space="preserve">only </w:t>
      </w:r>
      <w:r w:rsidR="00007BC0">
        <w:t xml:space="preserve">certain </w:t>
      </w:r>
      <w:r w:rsidR="00B42D65">
        <w:t>State and Commonwealth public sector schemes</w:t>
      </w:r>
      <w:r w:rsidR="00007BC0">
        <w:t xml:space="preserve"> </w:t>
      </w:r>
      <w:r>
        <w:t>have been prescribed in the R</w:t>
      </w:r>
      <w:r w:rsidR="00B42D65">
        <w:t>egulations.</w:t>
      </w:r>
    </w:p>
    <w:p w:rsidR="00B71464" w:rsidRDefault="00B71464" w:rsidP="002567AF">
      <w:pPr>
        <w:ind w:right="91"/>
      </w:pPr>
    </w:p>
    <w:p w:rsidR="002567AF" w:rsidRDefault="002567AF" w:rsidP="002567AF">
      <w:pPr>
        <w:tabs>
          <w:tab w:val="left" w:pos="6521"/>
        </w:tabs>
        <w:ind w:right="91"/>
      </w:pPr>
    </w:p>
    <w:p w:rsidR="002567AF" w:rsidRDefault="002567AF" w:rsidP="002567AF">
      <w:pPr>
        <w:tabs>
          <w:tab w:val="left" w:pos="6521"/>
        </w:tabs>
        <w:ind w:right="91"/>
      </w:pPr>
    </w:p>
    <w:p w:rsidR="002567AF" w:rsidRDefault="002567AF" w:rsidP="002567AF">
      <w:pPr>
        <w:tabs>
          <w:tab w:val="left" w:pos="6521"/>
        </w:tabs>
        <w:ind w:right="91"/>
      </w:pPr>
    </w:p>
    <w:p w:rsidR="002567AF" w:rsidRDefault="002567AF" w:rsidP="002567AF">
      <w:pPr>
        <w:tabs>
          <w:tab w:val="left" w:pos="6521"/>
        </w:tabs>
        <w:ind w:right="91"/>
      </w:pPr>
    </w:p>
    <w:p w:rsidR="002567AF" w:rsidRDefault="002567AF" w:rsidP="002567AF">
      <w:pPr>
        <w:tabs>
          <w:tab w:val="left" w:pos="3969"/>
          <w:tab w:val="left" w:pos="4536"/>
        </w:tabs>
        <w:ind w:left="4536" w:right="91" w:hanging="4536"/>
        <w:jc w:val="right"/>
        <w:rPr>
          <w:i/>
        </w:rPr>
      </w:pPr>
      <w:r>
        <w:tab/>
      </w:r>
      <w:r>
        <w:rPr>
          <w:u w:val="single"/>
        </w:rPr>
        <w:t>Authority:</w:t>
      </w:r>
      <w:r>
        <w:tab/>
        <w:t xml:space="preserve">Subsection </w:t>
      </w:r>
      <w:r w:rsidR="000B4CA8">
        <w:t xml:space="preserve">50 (1) </w:t>
      </w:r>
      <w:r>
        <w:t xml:space="preserve">of the </w:t>
      </w:r>
      <w:r>
        <w:rPr>
          <w:i/>
        </w:rPr>
        <w:t xml:space="preserve">Superannuation </w:t>
      </w:r>
      <w:r w:rsidR="009846AF">
        <w:rPr>
          <w:i/>
        </w:rPr>
        <w:t>(</w:t>
      </w:r>
      <w:r w:rsidR="00922D20">
        <w:rPr>
          <w:i/>
        </w:rPr>
        <w:t>Unclaimed Money and Lost Members)</w:t>
      </w:r>
      <w:r>
        <w:rPr>
          <w:i/>
        </w:rPr>
        <w:t xml:space="preserve"> Act</w:t>
      </w:r>
      <w:r w:rsidR="00922D20">
        <w:rPr>
          <w:i/>
        </w:rPr>
        <w:t xml:space="preserve"> 1999</w:t>
      </w:r>
      <w:r>
        <w:t>.</w:t>
      </w:r>
    </w:p>
    <w:p w:rsidR="002567AF" w:rsidRDefault="002567AF" w:rsidP="002567AF">
      <w:pPr>
        <w:ind w:right="91"/>
        <w:rPr>
          <w:i/>
        </w:rPr>
      </w:pPr>
    </w:p>
    <w:p w:rsidR="002567AF" w:rsidRDefault="002567AF" w:rsidP="002567AF">
      <w:pPr>
        <w:ind w:right="91"/>
      </w:pPr>
    </w:p>
    <w:p w:rsidR="002567AF" w:rsidRDefault="002567AF" w:rsidP="002567AF">
      <w:pPr>
        <w:ind w:right="91"/>
        <w:jc w:val="right"/>
      </w:pPr>
    </w:p>
    <w:p w:rsidR="002567AF" w:rsidRPr="009C7A63" w:rsidRDefault="002567AF" w:rsidP="002567AF">
      <w:pPr>
        <w:ind w:right="91"/>
        <w:jc w:val="right"/>
        <w:rPr>
          <w:u w:val="single"/>
        </w:rPr>
      </w:pPr>
      <w:r>
        <w:br w:type="page"/>
      </w:r>
      <w:r w:rsidRPr="009C7A63">
        <w:rPr>
          <w:b/>
          <w:u w:val="single"/>
        </w:rPr>
        <w:lastRenderedPageBreak/>
        <w:t>ATTACHMENT</w:t>
      </w:r>
    </w:p>
    <w:p w:rsidR="002567AF" w:rsidRDefault="002567AF" w:rsidP="002567AF">
      <w:pPr>
        <w:ind w:right="91"/>
        <w:jc w:val="right"/>
      </w:pPr>
    </w:p>
    <w:p w:rsidR="002567AF" w:rsidRPr="009C7A63" w:rsidRDefault="00F80211" w:rsidP="002567AF">
      <w:pPr>
        <w:ind w:right="91"/>
        <w:rPr>
          <w:u w:val="single"/>
        </w:rPr>
      </w:pPr>
      <w:r w:rsidRPr="00F80211">
        <w:rPr>
          <w:b/>
        </w:rPr>
        <w:t xml:space="preserve">Details of the </w:t>
      </w:r>
      <w:r w:rsidR="009846AF" w:rsidRPr="009846AF">
        <w:rPr>
          <w:b/>
          <w:i/>
        </w:rPr>
        <w:t>Superannuation (Unclaimed Money and Lost Members) Amendment (Prescribed Public Sector Superannuation Schemes and Other Measures) Regulation 2013</w:t>
      </w:r>
    </w:p>
    <w:p w:rsidR="002567AF" w:rsidRDefault="002567AF" w:rsidP="002567AF">
      <w:pPr>
        <w:ind w:right="91"/>
      </w:pPr>
    </w:p>
    <w:p w:rsidR="002567AF" w:rsidRDefault="002567AF" w:rsidP="002567AF">
      <w:pPr>
        <w:ind w:right="91"/>
      </w:pPr>
    </w:p>
    <w:p w:rsidR="008A50A4" w:rsidRPr="008A50A4" w:rsidRDefault="002567AF" w:rsidP="008A50A4">
      <w:pPr>
        <w:spacing w:after="240"/>
        <w:ind w:right="91"/>
        <w:rPr>
          <w:u w:val="single"/>
        </w:rPr>
      </w:pPr>
      <w:r w:rsidRPr="008A50A4">
        <w:rPr>
          <w:u w:val="single"/>
        </w:rPr>
        <w:t xml:space="preserve">Regulation 1 </w:t>
      </w:r>
      <w:r w:rsidR="008A50A4" w:rsidRPr="008A50A4">
        <w:rPr>
          <w:u w:val="single"/>
        </w:rPr>
        <w:t>– Name of Regulation</w:t>
      </w:r>
    </w:p>
    <w:p w:rsidR="00917DC2" w:rsidRDefault="008A50A4" w:rsidP="00917DC2">
      <w:pPr>
        <w:ind w:right="91"/>
        <w:jc w:val="both"/>
        <w:rPr>
          <w:i/>
        </w:rPr>
      </w:pPr>
      <w:r>
        <w:t xml:space="preserve">This regulation </w:t>
      </w:r>
      <w:r w:rsidR="002567AF" w:rsidRPr="00224C83">
        <w:t>specifies that the title of the Regulation is the</w:t>
      </w:r>
      <w:r w:rsidR="002567AF" w:rsidRPr="00224C83">
        <w:rPr>
          <w:i/>
        </w:rPr>
        <w:t xml:space="preserve"> </w:t>
      </w:r>
      <w:r w:rsidR="00917DC2">
        <w:rPr>
          <w:i/>
        </w:rPr>
        <w:t>Superannuation (Unclaimed Money and Lost Members) Amendment (Prescribed Public Sector Superannuation Schemes and Other Measures) Regulation 2013</w:t>
      </w:r>
    </w:p>
    <w:p w:rsidR="002567AF" w:rsidRPr="00224C83" w:rsidRDefault="002567AF" w:rsidP="002567AF">
      <w:pPr>
        <w:ind w:right="91"/>
      </w:pPr>
      <w:r w:rsidRPr="00224C83">
        <w:t>.</w:t>
      </w:r>
    </w:p>
    <w:p w:rsidR="002567AF" w:rsidRPr="00E27AE8" w:rsidRDefault="002567AF" w:rsidP="002567AF">
      <w:pPr>
        <w:ind w:right="91"/>
        <w:rPr>
          <w:highlight w:val="yellow"/>
        </w:rPr>
      </w:pPr>
    </w:p>
    <w:p w:rsidR="008A50A4" w:rsidRPr="008A50A4" w:rsidRDefault="002567AF" w:rsidP="008A50A4">
      <w:pPr>
        <w:spacing w:after="240"/>
        <w:ind w:right="91"/>
        <w:rPr>
          <w:u w:val="single"/>
        </w:rPr>
      </w:pPr>
      <w:r w:rsidRPr="008A50A4">
        <w:rPr>
          <w:u w:val="single"/>
        </w:rPr>
        <w:t xml:space="preserve">Regulation 2 </w:t>
      </w:r>
      <w:r w:rsidR="008A50A4" w:rsidRPr="008A50A4">
        <w:rPr>
          <w:u w:val="single"/>
        </w:rPr>
        <w:t>– Commencement</w:t>
      </w:r>
    </w:p>
    <w:p w:rsidR="002567AF" w:rsidRPr="00224C83" w:rsidRDefault="008A50A4" w:rsidP="002567AF">
      <w:pPr>
        <w:ind w:right="91"/>
      </w:pPr>
      <w:r>
        <w:t xml:space="preserve">This regulation </w:t>
      </w:r>
      <w:r w:rsidR="002567AF" w:rsidRPr="00224C83">
        <w:t xml:space="preserve">provides for the Regulation to commence on the </w:t>
      </w:r>
      <w:r w:rsidR="00224C83">
        <w:t xml:space="preserve">day after </w:t>
      </w:r>
      <w:r w:rsidR="00985966">
        <w:t xml:space="preserve">it is </w:t>
      </w:r>
      <w:r w:rsidR="00224C83">
        <w:t>registered</w:t>
      </w:r>
      <w:r w:rsidR="002567AF" w:rsidRPr="00224C83">
        <w:t xml:space="preserve">. </w:t>
      </w:r>
    </w:p>
    <w:p w:rsidR="002567AF" w:rsidRPr="00E27AE8" w:rsidRDefault="002567AF" w:rsidP="002567AF">
      <w:pPr>
        <w:ind w:right="91"/>
        <w:rPr>
          <w:highlight w:val="yellow"/>
        </w:rPr>
      </w:pPr>
    </w:p>
    <w:p w:rsidR="00B80515" w:rsidRPr="008A50A4" w:rsidRDefault="00B80515" w:rsidP="00B80515">
      <w:pPr>
        <w:spacing w:after="240"/>
        <w:ind w:right="91"/>
        <w:rPr>
          <w:u w:val="single"/>
        </w:rPr>
      </w:pPr>
      <w:r>
        <w:rPr>
          <w:u w:val="single"/>
        </w:rPr>
        <w:t>Section</w:t>
      </w:r>
      <w:r w:rsidRPr="008A50A4">
        <w:rPr>
          <w:u w:val="single"/>
        </w:rPr>
        <w:t xml:space="preserve"> </w:t>
      </w:r>
      <w:r>
        <w:rPr>
          <w:u w:val="single"/>
        </w:rPr>
        <w:t>3</w:t>
      </w:r>
      <w:r w:rsidRPr="008A50A4">
        <w:rPr>
          <w:u w:val="single"/>
        </w:rPr>
        <w:t xml:space="preserve"> – </w:t>
      </w:r>
      <w:r>
        <w:rPr>
          <w:u w:val="single"/>
        </w:rPr>
        <w:t>Authority</w:t>
      </w:r>
    </w:p>
    <w:p w:rsidR="00B80515" w:rsidRPr="00224C83" w:rsidRDefault="00B80515" w:rsidP="00B80515">
      <w:pPr>
        <w:ind w:right="91"/>
      </w:pPr>
      <w:r w:rsidRPr="008A50A4">
        <w:t xml:space="preserve">This </w:t>
      </w:r>
      <w:r>
        <w:t>section</w:t>
      </w:r>
      <w:r>
        <w:rPr>
          <w:b/>
        </w:rPr>
        <w:t xml:space="preserve"> </w:t>
      </w:r>
      <w:r w:rsidRPr="00224C83">
        <w:t xml:space="preserve">provides that </w:t>
      </w:r>
      <w:r>
        <w:t>the Regulation is made under</w:t>
      </w:r>
      <w:r w:rsidRPr="00224C83">
        <w:t xml:space="preserve"> the </w:t>
      </w:r>
      <w:r w:rsidRPr="00224C83">
        <w:rPr>
          <w:i/>
        </w:rPr>
        <w:t xml:space="preserve">Superannuation </w:t>
      </w:r>
      <w:r>
        <w:rPr>
          <w:i/>
        </w:rPr>
        <w:t xml:space="preserve">(Unclaimed </w:t>
      </w:r>
      <w:r w:rsidRPr="00224C83">
        <w:rPr>
          <w:i/>
        </w:rPr>
        <w:t xml:space="preserve">Money and Lost Members) </w:t>
      </w:r>
      <w:r>
        <w:rPr>
          <w:i/>
        </w:rPr>
        <w:t>Act</w:t>
      </w:r>
      <w:r w:rsidRPr="00224C83">
        <w:rPr>
          <w:i/>
        </w:rPr>
        <w:t xml:space="preserve"> 1999</w:t>
      </w:r>
      <w:r w:rsidRPr="00224C83">
        <w:t>.</w:t>
      </w:r>
    </w:p>
    <w:p w:rsidR="00B80515" w:rsidRPr="00224C83" w:rsidRDefault="00B80515" w:rsidP="00B80515">
      <w:pPr>
        <w:ind w:right="91"/>
      </w:pPr>
    </w:p>
    <w:p w:rsidR="00B80515" w:rsidRDefault="00B80515" w:rsidP="00B80515">
      <w:pPr>
        <w:spacing w:after="240"/>
        <w:ind w:right="91"/>
        <w:rPr>
          <w:u w:val="single"/>
        </w:rPr>
      </w:pPr>
      <w:r w:rsidRPr="008A50A4">
        <w:rPr>
          <w:u w:val="single"/>
        </w:rPr>
        <w:t xml:space="preserve">Schedule </w:t>
      </w:r>
      <w:r>
        <w:rPr>
          <w:u w:val="single"/>
        </w:rPr>
        <w:t>4</w:t>
      </w:r>
      <w:r w:rsidRPr="008A50A4">
        <w:rPr>
          <w:u w:val="single"/>
        </w:rPr>
        <w:t xml:space="preserve"> – </w:t>
      </w:r>
      <w:r>
        <w:rPr>
          <w:u w:val="single"/>
        </w:rPr>
        <w:t>Schedule(s)</w:t>
      </w:r>
    </w:p>
    <w:p w:rsidR="00B80515" w:rsidRPr="009C4E62" w:rsidRDefault="00B80515" w:rsidP="00B80515">
      <w:pPr>
        <w:spacing w:after="240"/>
        <w:ind w:right="91"/>
      </w:pPr>
      <w:r>
        <w:t>This section provides that each instrument that is specified in a Schedule in the Regulation is amended or repealed as set out in the applicable items in the Regulation.</w:t>
      </w:r>
    </w:p>
    <w:p w:rsidR="00A5641D" w:rsidRPr="008A50A4" w:rsidRDefault="002567AF" w:rsidP="00A5641D">
      <w:pPr>
        <w:spacing w:after="240"/>
        <w:ind w:right="91"/>
        <w:rPr>
          <w:u w:val="single"/>
        </w:rPr>
      </w:pPr>
      <w:r w:rsidRPr="00224C83">
        <w:rPr>
          <w:b/>
        </w:rPr>
        <w:t xml:space="preserve">Item </w:t>
      </w:r>
      <w:r w:rsidR="00BB6FD4">
        <w:rPr>
          <w:b/>
        </w:rPr>
        <w:t>[</w:t>
      </w:r>
      <w:r w:rsidRPr="00224C83">
        <w:rPr>
          <w:b/>
        </w:rPr>
        <w:t>1</w:t>
      </w:r>
      <w:r w:rsidR="00BB6FD4">
        <w:rPr>
          <w:b/>
        </w:rPr>
        <w:t>]</w:t>
      </w:r>
      <w:r w:rsidRPr="00224C83">
        <w:rPr>
          <w:b/>
        </w:rPr>
        <w:t xml:space="preserve"> </w:t>
      </w:r>
    </w:p>
    <w:p w:rsidR="00A5641D" w:rsidRDefault="008A50A4" w:rsidP="00A5641D">
      <w:pPr>
        <w:spacing w:after="240"/>
        <w:ind w:right="91"/>
      </w:pPr>
      <w:r>
        <w:t xml:space="preserve">This item </w:t>
      </w:r>
      <w:r w:rsidR="002567AF" w:rsidRPr="00224C83">
        <w:t>insert</w:t>
      </w:r>
      <w:r w:rsidR="001D5E02" w:rsidRPr="00224C83">
        <w:t>s</w:t>
      </w:r>
      <w:r w:rsidR="002567AF" w:rsidRPr="00224C83">
        <w:t xml:space="preserve"> a new </w:t>
      </w:r>
      <w:r w:rsidR="00A5641D">
        <w:t xml:space="preserve">Part heading.  The objective in inserting this heading is to make the </w:t>
      </w:r>
      <w:proofErr w:type="spellStart"/>
      <w:r w:rsidR="00985966">
        <w:t>the</w:t>
      </w:r>
      <w:proofErr w:type="spellEnd"/>
      <w:r w:rsidR="00985966">
        <w:t xml:space="preserve"> </w:t>
      </w:r>
      <w:r w:rsidR="00985966">
        <w:rPr>
          <w:i/>
        </w:rPr>
        <w:t xml:space="preserve">Superannuation (Unclaimed Money and Lost Members) Regulations 1999 </w:t>
      </w:r>
      <w:r w:rsidR="00985966">
        <w:t xml:space="preserve">(Principal </w:t>
      </w:r>
      <w:r w:rsidR="00A5641D">
        <w:t>Regulations</w:t>
      </w:r>
      <w:r w:rsidR="00985966">
        <w:t>)</w:t>
      </w:r>
      <w:r w:rsidR="00A5641D">
        <w:t xml:space="preserve"> easier to navigate and understand. </w:t>
      </w:r>
    </w:p>
    <w:p w:rsidR="00B00630" w:rsidRPr="00B00630" w:rsidRDefault="00B00630" w:rsidP="00A5641D">
      <w:pPr>
        <w:spacing w:after="240"/>
        <w:ind w:right="91"/>
        <w:rPr>
          <w:b/>
        </w:rPr>
      </w:pPr>
      <w:r w:rsidRPr="00B00630">
        <w:rPr>
          <w:b/>
        </w:rPr>
        <w:t xml:space="preserve">Item </w:t>
      </w:r>
      <w:r w:rsidR="00BB6FD4">
        <w:rPr>
          <w:b/>
        </w:rPr>
        <w:t>[</w:t>
      </w:r>
      <w:r w:rsidRPr="00B00630">
        <w:rPr>
          <w:b/>
        </w:rPr>
        <w:t>2</w:t>
      </w:r>
      <w:r w:rsidR="00BB6FD4">
        <w:rPr>
          <w:b/>
        </w:rPr>
        <w:t>] –Definitions</w:t>
      </w:r>
    </w:p>
    <w:p w:rsidR="00B00630" w:rsidRDefault="00B00630" w:rsidP="00477393">
      <w:pPr>
        <w:spacing w:after="240"/>
        <w:ind w:right="91"/>
        <w:rPr>
          <w:u w:val="single"/>
        </w:rPr>
      </w:pPr>
      <w:r w:rsidRPr="00B00630">
        <w:t>This item</w:t>
      </w:r>
      <w:r>
        <w:t xml:space="preserve"> </w:t>
      </w:r>
      <w:r w:rsidR="00985966">
        <w:t xml:space="preserve">amends regulations 3 and 4 of the Principal Regulations to </w:t>
      </w:r>
      <w:r w:rsidR="000E46DD">
        <w:t xml:space="preserve">omit a redundant purposive regulation and renumber a definitional regulation concerning the term </w:t>
      </w:r>
      <w:r w:rsidR="00477393" w:rsidRPr="00590891">
        <w:rPr>
          <w:b/>
          <w:i/>
        </w:rPr>
        <w:t>Act</w:t>
      </w:r>
      <w:r w:rsidR="00477393">
        <w:rPr>
          <w:b/>
          <w:i/>
        </w:rPr>
        <w:t xml:space="preserve"> </w:t>
      </w:r>
      <w:r w:rsidR="000E46DD" w:rsidRPr="000E46DD">
        <w:t>which when</w:t>
      </w:r>
      <w:r w:rsidR="000E46DD">
        <w:t xml:space="preserve"> used in the </w:t>
      </w:r>
      <w:r w:rsidR="00985966">
        <w:t xml:space="preserve">Principal </w:t>
      </w:r>
      <w:r w:rsidR="000E46DD">
        <w:t>Regulations</w:t>
      </w:r>
      <w:r w:rsidR="000E46DD" w:rsidRPr="000E46DD">
        <w:t xml:space="preserve"> </w:t>
      </w:r>
      <w:r w:rsidR="00477393">
        <w:t xml:space="preserve">refers to the </w:t>
      </w:r>
      <w:r w:rsidR="00477393">
        <w:rPr>
          <w:i/>
        </w:rPr>
        <w:t>Superannuation (Unclaimed Money and Lost Members) Act 1999.</w:t>
      </w:r>
    </w:p>
    <w:p w:rsidR="009D412F" w:rsidRDefault="009D412F" w:rsidP="00C14E21">
      <w:pPr>
        <w:keepNext/>
        <w:spacing w:after="240"/>
        <w:ind w:right="91"/>
        <w:rPr>
          <w:b/>
        </w:rPr>
      </w:pPr>
      <w:r>
        <w:rPr>
          <w:b/>
        </w:rPr>
        <w:t>Item</w:t>
      </w:r>
      <w:r w:rsidR="00F946A9">
        <w:rPr>
          <w:b/>
        </w:rPr>
        <w:t>s</w:t>
      </w:r>
      <w:r>
        <w:rPr>
          <w:b/>
        </w:rPr>
        <w:t xml:space="preserve"> [3]</w:t>
      </w:r>
      <w:r w:rsidR="00F946A9">
        <w:rPr>
          <w:b/>
        </w:rPr>
        <w:t>, [4], [5], [6], [7], [8], [9], [10], [11], [12], [13]</w:t>
      </w:r>
      <w:r w:rsidR="00C7746A">
        <w:rPr>
          <w:b/>
        </w:rPr>
        <w:t>, [14]</w:t>
      </w:r>
      <w:r w:rsidR="00F946A9">
        <w:rPr>
          <w:b/>
        </w:rPr>
        <w:t xml:space="preserve"> and [15] </w:t>
      </w:r>
    </w:p>
    <w:p w:rsidR="00905A81" w:rsidRPr="008A50A4" w:rsidRDefault="00905A81" w:rsidP="00905A81">
      <w:pPr>
        <w:spacing w:after="240"/>
        <w:ind w:right="91"/>
        <w:rPr>
          <w:u w:val="single"/>
        </w:rPr>
      </w:pPr>
      <w:r>
        <w:rPr>
          <w:sz w:val="23"/>
          <w:szCs w:val="23"/>
        </w:rPr>
        <w:t xml:space="preserve">These items </w:t>
      </w:r>
      <w:r w:rsidR="00962321">
        <w:rPr>
          <w:sz w:val="23"/>
          <w:szCs w:val="23"/>
        </w:rPr>
        <w:t>either combine existing r</w:t>
      </w:r>
      <w:r w:rsidR="00C15FDC">
        <w:rPr>
          <w:sz w:val="23"/>
          <w:szCs w:val="23"/>
        </w:rPr>
        <w:t xml:space="preserve">egulations, </w:t>
      </w:r>
      <w:r>
        <w:rPr>
          <w:sz w:val="23"/>
          <w:szCs w:val="23"/>
        </w:rPr>
        <w:t>c</w:t>
      </w:r>
      <w:r w:rsidR="006A60F1">
        <w:rPr>
          <w:sz w:val="23"/>
          <w:szCs w:val="23"/>
        </w:rPr>
        <w:t xml:space="preserve">orrect technical errors in the </w:t>
      </w:r>
      <w:r w:rsidR="00985966">
        <w:rPr>
          <w:sz w:val="23"/>
          <w:szCs w:val="23"/>
        </w:rPr>
        <w:t xml:space="preserve">Principal </w:t>
      </w:r>
      <w:r w:rsidR="006A60F1">
        <w:rPr>
          <w:sz w:val="23"/>
          <w:szCs w:val="23"/>
        </w:rPr>
        <w:t>R</w:t>
      </w:r>
      <w:r>
        <w:rPr>
          <w:sz w:val="23"/>
          <w:szCs w:val="23"/>
        </w:rPr>
        <w:t>egulations</w:t>
      </w:r>
      <w:r w:rsidR="00410029">
        <w:rPr>
          <w:sz w:val="23"/>
          <w:szCs w:val="23"/>
        </w:rPr>
        <w:t xml:space="preserve"> </w:t>
      </w:r>
      <w:r w:rsidR="00C15FDC">
        <w:rPr>
          <w:sz w:val="23"/>
          <w:szCs w:val="23"/>
        </w:rPr>
        <w:t>or</w:t>
      </w:r>
      <w:r w:rsidR="00410029">
        <w:rPr>
          <w:sz w:val="23"/>
          <w:szCs w:val="23"/>
        </w:rPr>
        <w:t xml:space="preserve"> insert new part headings to make the </w:t>
      </w:r>
      <w:r w:rsidR="00985966">
        <w:rPr>
          <w:sz w:val="23"/>
          <w:szCs w:val="23"/>
        </w:rPr>
        <w:t xml:space="preserve">Principal </w:t>
      </w:r>
      <w:r w:rsidR="00410029">
        <w:rPr>
          <w:sz w:val="23"/>
          <w:szCs w:val="23"/>
        </w:rPr>
        <w:t>Regulations easier to navigate.</w:t>
      </w:r>
    </w:p>
    <w:p w:rsidR="00BB6FD4" w:rsidRPr="00BB6FD4" w:rsidRDefault="00BB6FD4" w:rsidP="00A5641D">
      <w:pPr>
        <w:spacing w:after="240"/>
        <w:ind w:right="91"/>
        <w:rPr>
          <w:b/>
        </w:rPr>
      </w:pPr>
      <w:r w:rsidRPr="00BB6FD4">
        <w:rPr>
          <w:b/>
        </w:rPr>
        <w:t>I</w:t>
      </w:r>
      <w:r w:rsidR="00F946A9">
        <w:rPr>
          <w:b/>
        </w:rPr>
        <w:t>tem [</w:t>
      </w:r>
      <w:r w:rsidR="00C7746A">
        <w:rPr>
          <w:b/>
        </w:rPr>
        <w:t>16</w:t>
      </w:r>
      <w:r w:rsidR="00F946A9">
        <w:rPr>
          <w:b/>
        </w:rPr>
        <w:t xml:space="preserve">] </w:t>
      </w:r>
    </w:p>
    <w:p w:rsidR="00905A81" w:rsidRDefault="00777E16" w:rsidP="00FE5E2E">
      <w:pPr>
        <w:keepNext/>
        <w:spacing w:after="240"/>
        <w:ind w:right="91"/>
        <w:rPr>
          <w:b/>
        </w:rPr>
      </w:pPr>
      <w:r>
        <w:rPr>
          <w:b/>
        </w:rPr>
        <w:lastRenderedPageBreak/>
        <w:t>Unclaimed money and lost member accounts -p</w:t>
      </w:r>
      <w:r w:rsidR="002409CB">
        <w:rPr>
          <w:b/>
        </w:rPr>
        <w:t>rescribed schemes</w:t>
      </w:r>
    </w:p>
    <w:p w:rsidR="0092440A" w:rsidRDefault="00634F6D">
      <w:pPr>
        <w:spacing w:after="240"/>
        <w:ind w:right="91"/>
        <w:rPr>
          <w:sz w:val="23"/>
          <w:szCs w:val="23"/>
        </w:rPr>
      </w:pPr>
      <w:r>
        <w:rPr>
          <w:sz w:val="23"/>
          <w:szCs w:val="23"/>
        </w:rPr>
        <w:t xml:space="preserve">This regulation </w:t>
      </w:r>
      <w:r w:rsidR="00985966">
        <w:rPr>
          <w:sz w:val="23"/>
          <w:szCs w:val="23"/>
        </w:rPr>
        <w:t xml:space="preserve">amends the Principal Regulations to </w:t>
      </w:r>
      <w:r>
        <w:rPr>
          <w:sz w:val="23"/>
          <w:szCs w:val="23"/>
        </w:rPr>
        <w:t>insert</w:t>
      </w:r>
      <w:r w:rsidR="00985966" w:rsidRPr="00985966">
        <w:rPr>
          <w:sz w:val="23"/>
          <w:szCs w:val="23"/>
        </w:rPr>
        <w:t xml:space="preserve"> </w:t>
      </w:r>
      <w:r w:rsidR="00985966">
        <w:rPr>
          <w:sz w:val="23"/>
          <w:szCs w:val="23"/>
        </w:rPr>
        <w:t>regulation 11 setting out</w:t>
      </w:r>
      <w:r>
        <w:rPr>
          <w:sz w:val="23"/>
          <w:szCs w:val="23"/>
        </w:rPr>
        <w:t xml:space="preserve"> a list of </w:t>
      </w:r>
      <w:r w:rsidR="00777E16">
        <w:rPr>
          <w:sz w:val="23"/>
          <w:szCs w:val="23"/>
        </w:rPr>
        <w:t>public sector superannuation schemes</w:t>
      </w:r>
      <w:r>
        <w:rPr>
          <w:sz w:val="23"/>
          <w:szCs w:val="23"/>
        </w:rPr>
        <w:t xml:space="preserve"> </w:t>
      </w:r>
      <w:r w:rsidR="00C37B4C">
        <w:rPr>
          <w:sz w:val="23"/>
          <w:szCs w:val="23"/>
        </w:rPr>
        <w:t xml:space="preserve">which are prescribed for the purposes of sections 18AA and 24HA of the Act.  Prescribed schemes are permitted, but not required, to give a statement in relation to, and subsequently pay the Commissioner, unclaimed money and lost member accounts.  </w:t>
      </w:r>
    </w:p>
    <w:p w:rsidR="00D66C92" w:rsidRDefault="00D66C92">
      <w:pPr>
        <w:spacing w:after="240"/>
        <w:ind w:right="91"/>
        <w:rPr>
          <w:sz w:val="23"/>
          <w:szCs w:val="23"/>
        </w:rPr>
      </w:pPr>
      <w:r>
        <w:rPr>
          <w:sz w:val="23"/>
          <w:szCs w:val="23"/>
        </w:rPr>
        <w:t>Such amounts paid to the Commissioner can be claimed by persons entitled to them.</w:t>
      </w:r>
    </w:p>
    <w:p w:rsidR="005C2976" w:rsidRPr="005C2976" w:rsidRDefault="006257E7" w:rsidP="005C2976">
      <w:pPr>
        <w:spacing w:after="240"/>
        <w:ind w:right="91"/>
        <w:rPr>
          <w:sz w:val="23"/>
          <w:szCs w:val="23"/>
        </w:rPr>
      </w:pPr>
      <w:r>
        <w:rPr>
          <w:sz w:val="23"/>
          <w:szCs w:val="23"/>
        </w:rPr>
        <w:t xml:space="preserve">Thus far, schemes have opted in for both sections 18AA and 24HA of the Act. </w:t>
      </w:r>
      <w:r w:rsidR="005C2976" w:rsidRPr="005C2976">
        <w:rPr>
          <w:sz w:val="23"/>
          <w:szCs w:val="23"/>
        </w:rPr>
        <w:t>If</w:t>
      </w:r>
      <w:r>
        <w:rPr>
          <w:sz w:val="23"/>
          <w:szCs w:val="23"/>
        </w:rPr>
        <w:t xml:space="preserve">, however, </w:t>
      </w:r>
      <w:r w:rsidR="005C2976" w:rsidRPr="005C2976">
        <w:rPr>
          <w:sz w:val="23"/>
          <w:szCs w:val="23"/>
        </w:rPr>
        <w:t xml:space="preserve"> at any time in the future a State or Territory authority opts to have one of its schemes prescribed for only one of these subsections, regulation 11 would need to </w:t>
      </w:r>
      <w:r w:rsidR="00962321">
        <w:rPr>
          <w:sz w:val="23"/>
          <w:szCs w:val="23"/>
        </w:rPr>
        <w:t>then be split into 2 r</w:t>
      </w:r>
      <w:r w:rsidR="005C2976" w:rsidRPr="005C2976">
        <w:rPr>
          <w:sz w:val="23"/>
          <w:szCs w:val="23"/>
        </w:rPr>
        <w:t>egulations.  This would enable a scheme to opt</w:t>
      </w:r>
      <w:r w:rsidR="005C2976">
        <w:rPr>
          <w:sz w:val="23"/>
          <w:szCs w:val="23"/>
        </w:rPr>
        <w:t xml:space="preserve"> </w:t>
      </w:r>
      <w:r w:rsidR="005C2976" w:rsidRPr="005C2976">
        <w:rPr>
          <w:sz w:val="23"/>
          <w:szCs w:val="23"/>
        </w:rPr>
        <w:t xml:space="preserve">in for one of those purposes, but not the other. </w:t>
      </w:r>
    </w:p>
    <w:p w:rsidR="00793641" w:rsidRDefault="00793641" w:rsidP="00FE5E2E">
      <w:pPr>
        <w:keepNext/>
        <w:spacing w:after="240"/>
        <w:ind w:right="91"/>
        <w:rPr>
          <w:b/>
        </w:rPr>
      </w:pPr>
      <w:r>
        <w:rPr>
          <w:b/>
        </w:rPr>
        <w:t>Unclaimed superannuation money of former temporary residents - prescribed schemes</w:t>
      </w:r>
    </w:p>
    <w:p w:rsidR="00793641" w:rsidRDefault="00793641" w:rsidP="00793641">
      <w:pPr>
        <w:spacing w:after="240"/>
        <w:ind w:right="91"/>
        <w:rPr>
          <w:sz w:val="23"/>
          <w:szCs w:val="23"/>
        </w:rPr>
      </w:pPr>
      <w:r>
        <w:rPr>
          <w:sz w:val="23"/>
          <w:szCs w:val="23"/>
        </w:rPr>
        <w:t xml:space="preserve">This regulation </w:t>
      </w:r>
      <w:r w:rsidR="00985966">
        <w:rPr>
          <w:sz w:val="23"/>
          <w:szCs w:val="23"/>
        </w:rPr>
        <w:t xml:space="preserve">amends the Principal Regulations to </w:t>
      </w:r>
      <w:r>
        <w:rPr>
          <w:sz w:val="23"/>
          <w:szCs w:val="23"/>
        </w:rPr>
        <w:t xml:space="preserve">insert </w:t>
      </w:r>
      <w:r w:rsidR="00985966">
        <w:rPr>
          <w:sz w:val="23"/>
          <w:szCs w:val="23"/>
        </w:rPr>
        <w:t xml:space="preserve">regulation 11 setting out </w:t>
      </w:r>
      <w:r>
        <w:rPr>
          <w:sz w:val="23"/>
          <w:szCs w:val="23"/>
        </w:rPr>
        <w:t>a list of public sector superannuation schemes which are prescri</w:t>
      </w:r>
      <w:r w:rsidR="009838A3">
        <w:rPr>
          <w:sz w:val="23"/>
          <w:szCs w:val="23"/>
        </w:rPr>
        <w:t>bed for the purposes of section</w:t>
      </w:r>
      <w:r>
        <w:rPr>
          <w:sz w:val="23"/>
          <w:szCs w:val="23"/>
        </w:rPr>
        <w:t xml:space="preserve"> </w:t>
      </w:r>
      <w:r w:rsidR="005210C3">
        <w:rPr>
          <w:sz w:val="23"/>
          <w:szCs w:val="23"/>
        </w:rPr>
        <w:t>20J</w:t>
      </w:r>
      <w:r>
        <w:rPr>
          <w:sz w:val="23"/>
          <w:szCs w:val="23"/>
        </w:rPr>
        <w:t xml:space="preserve">A of the Act.  Prescribed schemes are permitted, but not required, to give a statement in relation to, and subsequently pay the Commissioner, unclaimed </w:t>
      </w:r>
      <w:r w:rsidR="00DE28EC">
        <w:rPr>
          <w:sz w:val="23"/>
          <w:szCs w:val="23"/>
        </w:rPr>
        <w:t>superannuation of former temporary residents</w:t>
      </w:r>
      <w:r>
        <w:rPr>
          <w:sz w:val="23"/>
          <w:szCs w:val="23"/>
        </w:rPr>
        <w:t xml:space="preserve">.  </w:t>
      </w:r>
    </w:p>
    <w:p w:rsidR="00793641" w:rsidRDefault="00D66C92">
      <w:pPr>
        <w:spacing w:after="240"/>
        <w:ind w:right="91"/>
        <w:rPr>
          <w:sz w:val="23"/>
          <w:szCs w:val="23"/>
        </w:rPr>
      </w:pPr>
      <w:r w:rsidRPr="00D66C92">
        <w:rPr>
          <w:sz w:val="23"/>
          <w:szCs w:val="23"/>
        </w:rPr>
        <w:t>Such amounts paid to the Commissioner can be claimed by persons entitled to them.</w:t>
      </w:r>
    </w:p>
    <w:p w:rsidR="004E25D5" w:rsidRDefault="004E25D5">
      <w:pPr>
        <w:rPr>
          <w:sz w:val="23"/>
          <w:szCs w:val="23"/>
        </w:rPr>
      </w:pPr>
      <w:r>
        <w:rPr>
          <w:sz w:val="23"/>
          <w:szCs w:val="23"/>
        </w:rPr>
        <w:br w:type="page"/>
      </w:r>
    </w:p>
    <w:p w:rsidR="0016174E" w:rsidRPr="0016174E" w:rsidRDefault="0016174E" w:rsidP="0016174E">
      <w:pPr>
        <w:keepNext/>
        <w:tabs>
          <w:tab w:val="left" w:pos="1987"/>
        </w:tabs>
        <w:spacing w:before="240" w:after="120"/>
        <w:jc w:val="center"/>
        <w:outlineLvl w:val="2"/>
        <w:rPr>
          <w:rFonts w:ascii="Helvetica" w:hAnsi="Helvetica"/>
          <w:b/>
          <w:kern w:val="28"/>
        </w:rPr>
      </w:pPr>
      <w:r w:rsidRPr="0016174E">
        <w:rPr>
          <w:rFonts w:ascii="Helvetica" w:hAnsi="Helvetica"/>
          <w:b/>
          <w:kern w:val="28"/>
        </w:rPr>
        <w:lastRenderedPageBreak/>
        <w:t>Statement of Compatibility with Human Rights</w:t>
      </w:r>
    </w:p>
    <w:p w:rsidR="0016174E" w:rsidRPr="0016174E" w:rsidRDefault="0016174E" w:rsidP="0016174E">
      <w:pPr>
        <w:spacing w:before="120" w:after="120"/>
        <w:jc w:val="center"/>
        <w:rPr>
          <w:i/>
        </w:rPr>
      </w:pPr>
      <w:r w:rsidRPr="0016174E">
        <w:rPr>
          <w:i/>
        </w:rPr>
        <w:t>Prepared in accordance with Part 3 of the Human Rights (Parliamentary Scrutiny) Act 2011</w:t>
      </w:r>
    </w:p>
    <w:p w:rsidR="00917DC2" w:rsidRPr="00917DC2" w:rsidRDefault="00917DC2" w:rsidP="00917DC2">
      <w:pPr>
        <w:keepNext/>
        <w:tabs>
          <w:tab w:val="left" w:pos="1987"/>
        </w:tabs>
        <w:spacing w:before="240" w:after="120"/>
        <w:jc w:val="center"/>
        <w:outlineLvl w:val="2"/>
        <w:rPr>
          <w:rFonts w:ascii="Helvetica" w:hAnsi="Helvetica"/>
          <w:b/>
          <w:kern w:val="28"/>
        </w:rPr>
      </w:pPr>
      <w:r w:rsidRPr="00917DC2">
        <w:rPr>
          <w:rFonts w:ascii="Helvetica" w:hAnsi="Helvetica"/>
          <w:b/>
          <w:kern w:val="28"/>
        </w:rPr>
        <w:t>Superannuation (Unclaimed Money and Lost Members) Amendment (Prescribed Public Sector Superannuation Schemes and Other Measures) Regulation 2013</w:t>
      </w:r>
    </w:p>
    <w:p w:rsidR="0016174E" w:rsidRPr="0016174E" w:rsidRDefault="0016174E" w:rsidP="0016174E">
      <w:pPr>
        <w:spacing w:before="120" w:after="120"/>
      </w:pPr>
      <w:r w:rsidRPr="0016174E">
        <w:t xml:space="preserve">This Legislative Instrument is compatible with the human rights and freedoms recognised or declared in the international instruments listed in section 3 of the </w:t>
      </w:r>
      <w:r w:rsidRPr="0016174E">
        <w:rPr>
          <w:i/>
        </w:rPr>
        <w:t xml:space="preserve">Human Rights (Parliamentary Scrutiny) Act </w:t>
      </w:r>
      <w:bookmarkStart w:id="0" w:name="_GoBack"/>
      <w:bookmarkEnd w:id="0"/>
      <w:r w:rsidRPr="0016174E">
        <w:rPr>
          <w:i/>
        </w:rPr>
        <w:t>2011</w:t>
      </w:r>
      <w:r w:rsidRPr="0016174E">
        <w:t>.</w:t>
      </w:r>
    </w:p>
    <w:p w:rsidR="0016174E" w:rsidRPr="0016174E" w:rsidRDefault="0016174E" w:rsidP="0016174E">
      <w:pPr>
        <w:keepNext/>
        <w:tabs>
          <w:tab w:val="left" w:pos="1987"/>
        </w:tabs>
        <w:spacing w:before="120" w:after="120"/>
        <w:outlineLvl w:val="3"/>
        <w:rPr>
          <w:b/>
          <w:kern w:val="28"/>
        </w:rPr>
      </w:pPr>
      <w:r w:rsidRPr="0016174E">
        <w:rPr>
          <w:b/>
          <w:kern w:val="28"/>
        </w:rPr>
        <w:t>Overview of the Legislative Instrument</w:t>
      </w:r>
    </w:p>
    <w:p w:rsidR="0016174E" w:rsidRDefault="0016174E" w:rsidP="0016174E">
      <w:pPr>
        <w:spacing w:before="120" w:after="120"/>
      </w:pPr>
      <w:r>
        <w:t xml:space="preserve">The legislative instrument makes a number of technical amendments to update the Superannuation (Unclaimed Money and Lost Members) Regulations 1999.  </w:t>
      </w:r>
    </w:p>
    <w:p w:rsidR="0016174E" w:rsidRDefault="0016174E" w:rsidP="0016174E">
      <w:pPr>
        <w:spacing w:before="120" w:after="120"/>
      </w:pPr>
      <w:r>
        <w:t xml:space="preserve">The main purpose of the legislative instrument is to prescribe those public sector superannuation schemes to which various sections of the Superannuation (Unclaimed Money and Lost Members) Act 1999 (SUMLM) Act) will apply. </w:t>
      </w:r>
    </w:p>
    <w:p w:rsidR="0016174E" w:rsidRPr="0016174E" w:rsidRDefault="0016174E" w:rsidP="0016174E">
      <w:pPr>
        <w:spacing w:before="120" w:after="120"/>
      </w:pPr>
      <w:r>
        <w:t>The legislative instrument will allow prescribed schemes to transfer certain unclaimed superannuation moneys to the Commissioner of Taxation.  Only those schemes which have been nominated by the Commonwealth or the States and Territories have been prescribed. The law permits, rather than requires, the trustees of these schemes to pay unclaimed monies to the Commissioner of Taxation.  Individuals whose superannuation moneys are transferred to the Commissioner are able to claim back their money at any time.</w:t>
      </w:r>
    </w:p>
    <w:p w:rsidR="0016174E" w:rsidRPr="0016174E" w:rsidRDefault="0016174E" w:rsidP="0016174E">
      <w:pPr>
        <w:keepNext/>
        <w:tabs>
          <w:tab w:val="left" w:pos="1987"/>
        </w:tabs>
        <w:spacing w:before="120" w:after="120"/>
        <w:outlineLvl w:val="3"/>
        <w:rPr>
          <w:b/>
          <w:kern w:val="28"/>
        </w:rPr>
      </w:pPr>
      <w:r w:rsidRPr="0016174E">
        <w:rPr>
          <w:b/>
          <w:kern w:val="28"/>
        </w:rPr>
        <w:t>Human rights implications</w:t>
      </w:r>
    </w:p>
    <w:p w:rsidR="0016174E" w:rsidRPr="0016174E" w:rsidRDefault="0016174E" w:rsidP="0016174E">
      <w:pPr>
        <w:spacing w:before="120" w:after="120"/>
      </w:pPr>
      <w:r w:rsidRPr="0016174E">
        <w:t>This Legislative Instrument does not engage any of the applicable rights or freedoms.</w:t>
      </w:r>
    </w:p>
    <w:p w:rsidR="0016174E" w:rsidRPr="0016174E" w:rsidRDefault="0016174E" w:rsidP="0016174E">
      <w:pPr>
        <w:keepNext/>
        <w:tabs>
          <w:tab w:val="left" w:pos="1987"/>
        </w:tabs>
        <w:spacing w:before="120" w:after="120"/>
        <w:outlineLvl w:val="3"/>
        <w:rPr>
          <w:b/>
          <w:kern w:val="28"/>
        </w:rPr>
      </w:pPr>
      <w:r w:rsidRPr="0016174E">
        <w:rPr>
          <w:b/>
          <w:kern w:val="28"/>
        </w:rPr>
        <w:t>Conclusion</w:t>
      </w:r>
    </w:p>
    <w:p w:rsidR="0016174E" w:rsidRPr="0016174E" w:rsidRDefault="0016174E" w:rsidP="0016174E">
      <w:pPr>
        <w:spacing w:before="120" w:after="120"/>
      </w:pPr>
      <w:r w:rsidRPr="0016174E">
        <w:t>This Legislative Instrument is compatible with human rights as it does not raise any human rights issues.</w:t>
      </w:r>
    </w:p>
    <w:p w:rsidR="004E25D5" w:rsidRPr="008A50A4" w:rsidRDefault="004E25D5" w:rsidP="0016174E">
      <w:pPr>
        <w:rPr>
          <w:u w:val="single"/>
        </w:rPr>
      </w:pPr>
    </w:p>
    <w:sectPr w:rsidR="004E25D5" w:rsidRPr="008A50A4" w:rsidSect="00512774">
      <w:pgSz w:w="11906" w:h="16838" w:code="9"/>
      <w:pgMar w:top="1134" w:right="1797" w:bottom="1134" w:left="1797"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A00"/>
    <w:multiLevelType w:val="multilevel"/>
    <w:tmpl w:val="3784313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E5353EF"/>
    <w:multiLevelType w:val="hybridMultilevel"/>
    <w:tmpl w:val="CC28AD9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60"/>
    <w:rsid w:val="00007BC0"/>
    <w:rsid w:val="00013763"/>
    <w:rsid w:val="00021403"/>
    <w:rsid w:val="0003086B"/>
    <w:rsid w:val="00030D14"/>
    <w:rsid w:val="00072CC0"/>
    <w:rsid w:val="00075C82"/>
    <w:rsid w:val="000800F7"/>
    <w:rsid w:val="00085591"/>
    <w:rsid w:val="000A6126"/>
    <w:rsid w:val="000B4CA8"/>
    <w:rsid w:val="000D42B9"/>
    <w:rsid w:val="000E46DD"/>
    <w:rsid w:val="000E74D4"/>
    <w:rsid w:val="001277F1"/>
    <w:rsid w:val="00133520"/>
    <w:rsid w:val="0016174E"/>
    <w:rsid w:val="00165DBA"/>
    <w:rsid w:val="001752AC"/>
    <w:rsid w:val="00176619"/>
    <w:rsid w:val="001874D9"/>
    <w:rsid w:val="00190C11"/>
    <w:rsid w:val="001974FA"/>
    <w:rsid w:val="001D3524"/>
    <w:rsid w:val="001D5E02"/>
    <w:rsid w:val="001D6F84"/>
    <w:rsid w:val="001E64A7"/>
    <w:rsid w:val="00224C83"/>
    <w:rsid w:val="002409CB"/>
    <w:rsid w:val="002418C6"/>
    <w:rsid w:val="00244FF3"/>
    <w:rsid w:val="00252134"/>
    <w:rsid w:val="002567AF"/>
    <w:rsid w:val="00271774"/>
    <w:rsid w:val="002A0324"/>
    <w:rsid w:val="002D285B"/>
    <w:rsid w:val="002D4E0F"/>
    <w:rsid w:val="002D6B93"/>
    <w:rsid w:val="002E0364"/>
    <w:rsid w:val="002E1B29"/>
    <w:rsid w:val="002F5C71"/>
    <w:rsid w:val="00330301"/>
    <w:rsid w:val="00344B1B"/>
    <w:rsid w:val="0036241D"/>
    <w:rsid w:val="00362B04"/>
    <w:rsid w:val="00366360"/>
    <w:rsid w:val="00395C0B"/>
    <w:rsid w:val="003A4AAB"/>
    <w:rsid w:val="003C7245"/>
    <w:rsid w:val="003D08C1"/>
    <w:rsid w:val="003D0E0F"/>
    <w:rsid w:val="00410029"/>
    <w:rsid w:val="0042589C"/>
    <w:rsid w:val="00436751"/>
    <w:rsid w:val="00446E81"/>
    <w:rsid w:val="00460088"/>
    <w:rsid w:val="00467E81"/>
    <w:rsid w:val="00471BD3"/>
    <w:rsid w:val="00476551"/>
    <w:rsid w:val="00477393"/>
    <w:rsid w:val="004D581A"/>
    <w:rsid w:val="004E25D5"/>
    <w:rsid w:val="004E52CB"/>
    <w:rsid w:val="004F2CD8"/>
    <w:rsid w:val="004F356E"/>
    <w:rsid w:val="004F620F"/>
    <w:rsid w:val="00512774"/>
    <w:rsid w:val="00520E32"/>
    <w:rsid w:val="005210C3"/>
    <w:rsid w:val="005417E6"/>
    <w:rsid w:val="00547901"/>
    <w:rsid w:val="00570CB4"/>
    <w:rsid w:val="00582A1E"/>
    <w:rsid w:val="005833AC"/>
    <w:rsid w:val="005942AF"/>
    <w:rsid w:val="005C2976"/>
    <w:rsid w:val="006106D8"/>
    <w:rsid w:val="00616B5D"/>
    <w:rsid w:val="006257E7"/>
    <w:rsid w:val="00625A94"/>
    <w:rsid w:val="00634F6D"/>
    <w:rsid w:val="0069733D"/>
    <w:rsid w:val="006A4383"/>
    <w:rsid w:val="006A60F1"/>
    <w:rsid w:val="006E6C16"/>
    <w:rsid w:val="00773AF7"/>
    <w:rsid w:val="00777E16"/>
    <w:rsid w:val="00793641"/>
    <w:rsid w:val="007D5E62"/>
    <w:rsid w:val="00815409"/>
    <w:rsid w:val="00840713"/>
    <w:rsid w:val="00856509"/>
    <w:rsid w:val="00875107"/>
    <w:rsid w:val="0087792A"/>
    <w:rsid w:val="008A3CE4"/>
    <w:rsid w:val="008A50A4"/>
    <w:rsid w:val="008D3236"/>
    <w:rsid w:val="008F3797"/>
    <w:rsid w:val="00900137"/>
    <w:rsid w:val="009048EB"/>
    <w:rsid w:val="00905A81"/>
    <w:rsid w:val="00913B4A"/>
    <w:rsid w:val="00916C2A"/>
    <w:rsid w:val="009172C4"/>
    <w:rsid w:val="00917DC2"/>
    <w:rsid w:val="00922D20"/>
    <w:rsid w:val="0092440A"/>
    <w:rsid w:val="00934DAB"/>
    <w:rsid w:val="009367B3"/>
    <w:rsid w:val="00962321"/>
    <w:rsid w:val="009838A3"/>
    <w:rsid w:val="009846AF"/>
    <w:rsid w:val="00984B61"/>
    <w:rsid w:val="00985966"/>
    <w:rsid w:val="009A3BE6"/>
    <w:rsid w:val="009A680A"/>
    <w:rsid w:val="009A6EAD"/>
    <w:rsid w:val="009C6F34"/>
    <w:rsid w:val="009C71A9"/>
    <w:rsid w:val="009C7A63"/>
    <w:rsid w:val="009D412F"/>
    <w:rsid w:val="00A12C4D"/>
    <w:rsid w:val="00A419E8"/>
    <w:rsid w:val="00A5641D"/>
    <w:rsid w:val="00A61980"/>
    <w:rsid w:val="00A64570"/>
    <w:rsid w:val="00A75FE7"/>
    <w:rsid w:val="00A834D3"/>
    <w:rsid w:val="00A87FE6"/>
    <w:rsid w:val="00A9705F"/>
    <w:rsid w:val="00AC67E3"/>
    <w:rsid w:val="00B00630"/>
    <w:rsid w:val="00B149C0"/>
    <w:rsid w:val="00B20074"/>
    <w:rsid w:val="00B343C8"/>
    <w:rsid w:val="00B42D65"/>
    <w:rsid w:val="00B71464"/>
    <w:rsid w:val="00B739AE"/>
    <w:rsid w:val="00B7600C"/>
    <w:rsid w:val="00B80515"/>
    <w:rsid w:val="00B82E36"/>
    <w:rsid w:val="00B85304"/>
    <w:rsid w:val="00BB6FD4"/>
    <w:rsid w:val="00BC0C42"/>
    <w:rsid w:val="00BE13CE"/>
    <w:rsid w:val="00BE3CB1"/>
    <w:rsid w:val="00C00E0E"/>
    <w:rsid w:val="00C02F94"/>
    <w:rsid w:val="00C14E21"/>
    <w:rsid w:val="00C15FDC"/>
    <w:rsid w:val="00C36912"/>
    <w:rsid w:val="00C37B4C"/>
    <w:rsid w:val="00C449FE"/>
    <w:rsid w:val="00C724BC"/>
    <w:rsid w:val="00C7746A"/>
    <w:rsid w:val="00C85F35"/>
    <w:rsid w:val="00C861E4"/>
    <w:rsid w:val="00C94BFE"/>
    <w:rsid w:val="00CB14C8"/>
    <w:rsid w:val="00D045A2"/>
    <w:rsid w:val="00D0735B"/>
    <w:rsid w:val="00D14B49"/>
    <w:rsid w:val="00D259D2"/>
    <w:rsid w:val="00D35001"/>
    <w:rsid w:val="00D40648"/>
    <w:rsid w:val="00D4708F"/>
    <w:rsid w:val="00D55E59"/>
    <w:rsid w:val="00D565C4"/>
    <w:rsid w:val="00D629E2"/>
    <w:rsid w:val="00D644B4"/>
    <w:rsid w:val="00D66C92"/>
    <w:rsid w:val="00D87DEA"/>
    <w:rsid w:val="00DA145D"/>
    <w:rsid w:val="00DA61D1"/>
    <w:rsid w:val="00DE252A"/>
    <w:rsid w:val="00DE28EC"/>
    <w:rsid w:val="00E02856"/>
    <w:rsid w:val="00E2418C"/>
    <w:rsid w:val="00E27AE8"/>
    <w:rsid w:val="00E338F4"/>
    <w:rsid w:val="00E72AB0"/>
    <w:rsid w:val="00E72DE3"/>
    <w:rsid w:val="00E76797"/>
    <w:rsid w:val="00E97353"/>
    <w:rsid w:val="00EA0B3B"/>
    <w:rsid w:val="00EC453F"/>
    <w:rsid w:val="00F135D8"/>
    <w:rsid w:val="00F5104B"/>
    <w:rsid w:val="00F56C4D"/>
    <w:rsid w:val="00F65276"/>
    <w:rsid w:val="00F80211"/>
    <w:rsid w:val="00F946A9"/>
    <w:rsid w:val="00FE1582"/>
    <w:rsid w:val="00FE5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4"/>
    <w:rPr>
      <w:sz w:val="24"/>
    </w:rPr>
  </w:style>
  <w:style w:type="paragraph" w:styleId="Heading1">
    <w:name w:val="heading 1"/>
    <w:basedOn w:val="Normal"/>
    <w:next w:val="Normal"/>
    <w:link w:val="Heading1Char"/>
    <w:uiPriority w:val="9"/>
    <w:qFormat/>
    <w:rsid w:val="00512774"/>
    <w:pPr>
      <w:keepNext/>
      <w:spacing w:before="240" w:after="360"/>
      <w:outlineLvl w:val="0"/>
    </w:pPr>
    <w:rPr>
      <w:b/>
      <w:caps/>
      <w:sz w:val="28"/>
    </w:rPr>
  </w:style>
  <w:style w:type="paragraph" w:styleId="Heading2">
    <w:name w:val="heading 2"/>
    <w:basedOn w:val="Normal"/>
    <w:next w:val="Normal"/>
    <w:link w:val="Heading2Char"/>
    <w:uiPriority w:val="9"/>
    <w:qFormat/>
    <w:rsid w:val="00512774"/>
    <w:pPr>
      <w:keepNext/>
      <w:spacing w:before="120"/>
      <w:outlineLvl w:val="1"/>
    </w:pPr>
    <w:rPr>
      <w:b/>
      <w:caps/>
    </w:rPr>
  </w:style>
  <w:style w:type="paragraph" w:styleId="Heading3">
    <w:name w:val="heading 3"/>
    <w:basedOn w:val="Normal"/>
    <w:next w:val="Normal"/>
    <w:link w:val="Heading3Char"/>
    <w:uiPriority w:val="9"/>
    <w:qFormat/>
    <w:rsid w:val="00512774"/>
    <w:pPr>
      <w:keepNext/>
      <w:spacing w:before="60"/>
      <w:outlineLvl w:val="2"/>
    </w:pPr>
    <w:rPr>
      <w:b/>
    </w:rPr>
  </w:style>
  <w:style w:type="paragraph" w:styleId="Heading4">
    <w:name w:val="heading 4"/>
    <w:basedOn w:val="Normal"/>
    <w:next w:val="Normal"/>
    <w:link w:val="Heading4Char"/>
    <w:uiPriority w:val="9"/>
    <w:qFormat/>
    <w:rsid w:val="00512774"/>
    <w:pPr>
      <w:keepNext/>
      <w:outlineLvl w:val="3"/>
    </w:pPr>
    <w:rPr>
      <w:i/>
      <w:sz w:val="20"/>
    </w:rPr>
  </w:style>
  <w:style w:type="paragraph" w:styleId="Heading6">
    <w:name w:val="heading 6"/>
    <w:basedOn w:val="Normal"/>
    <w:next w:val="Normal"/>
    <w:link w:val="Heading6Char"/>
    <w:uiPriority w:val="9"/>
    <w:qFormat/>
    <w:rsid w:val="0051277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52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52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5276"/>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F65276"/>
    <w:rPr>
      <w:rFonts w:asciiTheme="minorHAnsi" w:eastAsiaTheme="minorEastAsia" w:hAnsiTheme="minorHAnsi" w:cstheme="minorBidi"/>
      <w:b/>
      <w:bCs/>
      <w:sz w:val="22"/>
      <w:szCs w:val="22"/>
    </w:rPr>
  </w:style>
  <w:style w:type="paragraph" w:customStyle="1" w:styleId="SingleParagraph">
    <w:name w:val="Single Paragraph"/>
    <w:basedOn w:val="Normal"/>
    <w:rsid w:val="00512774"/>
  </w:style>
  <w:style w:type="paragraph" w:customStyle="1" w:styleId="ChartMainHeading">
    <w:name w:val="Chart Main Heading"/>
    <w:basedOn w:val="SingleParagraph"/>
    <w:next w:val="Normal"/>
    <w:rsid w:val="00512774"/>
    <w:pPr>
      <w:jc w:val="center"/>
    </w:pPr>
    <w:rPr>
      <w:b/>
      <w:caps/>
    </w:rPr>
  </w:style>
  <w:style w:type="paragraph" w:customStyle="1" w:styleId="ChartSecondHeading">
    <w:name w:val="Chart Second Heading"/>
    <w:basedOn w:val="SingleParagraph"/>
    <w:next w:val="Normal"/>
    <w:rsid w:val="00512774"/>
    <w:pPr>
      <w:jc w:val="center"/>
    </w:pPr>
    <w:rPr>
      <w:b/>
    </w:rPr>
  </w:style>
  <w:style w:type="paragraph" w:customStyle="1" w:styleId="TableMainHeading">
    <w:name w:val="Table Main Heading"/>
    <w:basedOn w:val="Heading2"/>
    <w:next w:val="Normal"/>
    <w:rsid w:val="00512774"/>
    <w:pPr>
      <w:spacing w:before="240"/>
      <w:outlineLvl w:val="9"/>
    </w:pPr>
    <w:rPr>
      <w:rFonts w:ascii="Helvetica" w:hAnsi="Helvetica"/>
      <w:b w:val="0"/>
      <w:caps w:val="0"/>
      <w:spacing w:val="30"/>
      <w:sz w:val="22"/>
    </w:rPr>
  </w:style>
  <w:style w:type="paragraph" w:customStyle="1" w:styleId="Appendix">
    <w:name w:val="Appendix"/>
    <w:basedOn w:val="Normal"/>
    <w:link w:val="AppendixCharChar"/>
    <w:rsid w:val="00512774"/>
    <w:pPr>
      <w:jc w:val="right"/>
    </w:pPr>
    <w:rPr>
      <w:b/>
    </w:rPr>
  </w:style>
  <w:style w:type="character" w:customStyle="1" w:styleId="AppendixCharChar">
    <w:name w:val="Appendix Char Char"/>
    <w:basedOn w:val="DefaultParagraphFont"/>
    <w:link w:val="Appendix"/>
    <w:locked/>
    <w:rsid w:val="00512774"/>
    <w:rPr>
      <w:rFonts w:cs="Times New Roman"/>
      <w:b/>
      <w:sz w:val="24"/>
      <w:lang w:val="en-AU" w:eastAsia="en-AU" w:bidi="ar-SA"/>
    </w:rPr>
  </w:style>
  <w:style w:type="paragraph" w:customStyle="1" w:styleId="HB-dotpoint">
    <w:name w:val="HB - dotpoint"/>
    <w:basedOn w:val="Normal"/>
    <w:rsid w:val="00512774"/>
    <w:pPr>
      <w:numPr>
        <w:numId w:val="1"/>
      </w:numPr>
      <w:spacing w:before="180"/>
    </w:pPr>
  </w:style>
  <w:style w:type="character" w:styleId="CommentReference">
    <w:name w:val="annotation reference"/>
    <w:basedOn w:val="DefaultParagraphFont"/>
    <w:uiPriority w:val="99"/>
    <w:semiHidden/>
    <w:unhideWhenUsed/>
    <w:rsid w:val="00E76797"/>
    <w:rPr>
      <w:rFonts w:cs="Times New Roman"/>
      <w:sz w:val="16"/>
      <w:szCs w:val="16"/>
    </w:rPr>
  </w:style>
  <w:style w:type="paragraph" w:styleId="CommentText">
    <w:name w:val="annotation text"/>
    <w:basedOn w:val="Normal"/>
    <w:link w:val="CommentTextChar"/>
    <w:uiPriority w:val="99"/>
    <w:semiHidden/>
    <w:unhideWhenUsed/>
    <w:rsid w:val="00E76797"/>
    <w:rPr>
      <w:sz w:val="20"/>
    </w:rPr>
  </w:style>
  <w:style w:type="character" w:customStyle="1" w:styleId="CommentTextChar">
    <w:name w:val="Comment Text Char"/>
    <w:basedOn w:val="DefaultParagraphFont"/>
    <w:link w:val="CommentText"/>
    <w:uiPriority w:val="99"/>
    <w:semiHidden/>
    <w:locked/>
    <w:rsid w:val="00E76797"/>
    <w:rPr>
      <w:rFonts w:cs="Times New Roman"/>
    </w:rPr>
  </w:style>
  <w:style w:type="paragraph" w:styleId="CommentSubject">
    <w:name w:val="annotation subject"/>
    <w:basedOn w:val="CommentText"/>
    <w:next w:val="CommentText"/>
    <w:link w:val="CommentSubjectChar"/>
    <w:uiPriority w:val="99"/>
    <w:semiHidden/>
    <w:unhideWhenUsed/>
    <w:rsid w:val="00E76797"/>
    <w:rPr>
      <w:b/>
      <w:bCs/>
    </w:rPr>
  </w:style>
  <w:style w:type="character" w:customStyle="1" w:styleId="CommentSubjectChar">
    <w:name w:val="Comment Subject Char"/>
    <w:basedOn w:val="CommentTextChar"/>
    <w:link w:val="CommentSubject"/>
    <w:uiPriority w:val="99"/>
    <w:semiHidden/>
    <w:locked/>
    <w:rsid w:val="00E76797"/>
    <w:rPr>
      <w:rFonts w:cs="Times New Roman"/>
      <w:b/>
      <w:bCs/>
    </w:rPr>
  </w:style>
  <w:style w:type="paragraph" w:styleId="BalloonText">
    <w:name w:val="Balloon Text"/>
    <w:basedOn w:val="Normal"/>
    <w:link w:val="BalloonTextChar"/>
    <w:uiPriority w:val="99"/>
    <w:semiHidden/>
    <w:unhideWhenUsed/>
    <w:rsid w:val="00E76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797"/>
    <w:rPr>
      <w:rFonts w:ascii="Tahoma" w:hAnsi="Tahoma" w:cs="Tahoma"/>
      <w:sz w:val="16"/>
      <w:szCs w:val="16"/>
    </w:rPr>
  </w:style>
  <w:style w:type="paragraph" w:customStyle="1" w:styleId="Bullet">
    <w:name w:val="Bullet"/>
    <w:basedOn w:val="Normal"/>
    <w:link w:val="BulletChar"/>
    <w:rsid w:val="002567AF"/>
    <w:pPr>
      <w:numPr>
        <w:numId w:val="3"/>
      </w:numPr>
      <w:ind w:right="91"/>
    </w:pPr>
  </w:style>
  <w:style w:type="character" w:customStyle="1" w:styleId="BulletChar">
    <w:name w:val="Bullet Char"/>
    <w:basedOn w:val="DefaultParagraphFont"/>
    <w:link w:val="Bullet"/>
    <w:rsid w:val="002567AF"/>
    <w:rPr>
      <w:sz w:val="24"/>
    </w:rPr>
  </w:style>
  <w:style w:type="paragraph" w:customStyle="1" w:styleId="Dash">
    <w:name w:val="Dash"/>
    <w:basedOn w:val="Normal"/>
    <w:rsid w:val="002567AF"/>
    <w:pPr>
      <w:numPr>
        <w:ilvl w:val="1"/>
        <w:numId w:val="3"/>
      </w:numPr>
      <w:ind w:right="91"/>
    </w:pPr>
  </w:style>
  <w:style w:type="paragraph" w:customStyle="1" w:styleId="DoubleDot">
    <w:name w:val="Double Dot"/>
    <w:basedOn w:val="Normal"/>
    <w:rsid w:val="002567AF"/>
    <w:pPr>
      <w:numPr>
        <w:ilvl w:val="2"/>
        <w:numId w:val="3"/>
      </w:numPr>
      <w:ind w:right="91"/>
    </w:pPr>
  </w:style>
  <w:style w:type="paragraph" w:styleId="ListParagraph">
    <w:name w:val="List Paragraph"/>
    <w:basedOn w:val="Normal"/>
    <w:uiPriority w:val="34"/>
    <w:qFormat/>
    <w:rsid w:val="00A5641D"/>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74"/>
    <w:rPr>
      <w:sz w:val="24"/>
    </w:rPr>
  </w:style>
  <w:style w:type="paragraph" w:styleId="Heading1">
    <w:name w:val="heading 1"/>
    <w:basedOn w:val="Normal"/>
    <w:next w:val="Normal"/>
    <w:link w:val="Heading1Char"/>
    <w:uiPriority w:val="9"/>
    <w:qFormat/>
    <w:rsid w:val="00512774"/>
    <w:pPr>
      <w:keepNext/>
      <w:spacing w:before="240" w:after="360"/>
      <w:outlineLvl w:val="0"/>
    </w:pPr>
    <w:rPr>
      <w:b/>
      <w:caps/>
      <w:sz w:val="28"/>
    </w:rPr>
  </w:style>
  <w:style w:type="paragraph" w:styleId="Heading2">
    <w:name w:val="heading 2"/>
    <w:basedOn w:val="Normal"/>
    <w:next w:val="Normal"/>
    <w:link w:val="Heading2Char"/>
    <w:uiPriority w:val="9"/>
    <w:qFormat/>
    <w:rsid w:val="00512774"/>
    <w:pPr>
      <w:keepNext/>
      <w:spacing w:before="120"/>
      <w:outlineLvl w:val="1"/>
    </w:pPr>
    <w:rPr>
      <w:b/>
      <w:caps/>
    </w:rPr>
  </w:style>
  <w:style w:type="paragraph" w:styleId="Heading3">
    <w:name w:val="heading 3"/>
    <w:basedOn w:val="Normal"/>
    <w:next w:val="Normal"/>
    <w:link w:val="Heading3Char"/>
    <w:uiPriority w:val="9"/>
    <w:qFormat/>
    <w:rsid w:val="00512774"/>
    <w:pPr>
      <w:keepNext/>
      <w:spacing w:before="60"/>
      <w:outlineLvl w:val="2"/>
    </w:pPr>
    <w:rPr>
      <w:b/>
    </w:rPr>
  </w:style>
  <w:style w:type="paragraph" w:styleId="Heading4">
    <w:name w:val="heading 4"/>
    <w:basedOn w:val="Normal"/>
    <w:next w:val="Normal"/>
    <w:link w:val="Heading4Char"/>
    <w:uiPriority w:val="9"/>
    <w:qFormat/>
    <w:rsid w:val="00512774"/>
    <w:pPr>
      <w:keepNext/>
      <w:outlineLvl w:val="3"/>
    </w:pPr>
    <w:rPr>
      <w:i/>
      <w:sz w:val="20"/>
    </w:rPr>
  </w:style>
  <w:style w:type="paragraph" w:styleId="Heading6">
    <w:name w:val="heading 6"/>
    <w:basedOn w:val="Normal"/>
    <w:next w:val="Normal"/>
    <w:link w:val="Heading6Char"/>
    <w:uiPriority w:val="9"/>
    <w:qFormat/>
    <w:rsid w:val="00512774"/>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7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652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652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65276"/>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F65276"/>
    <w:rPr>
      <w:rFonts w:asciiTheme="minorHAnsi" w:eastAsiaTheme="minorEastAsia" w:hAnsiTheme="minorHAnsi" w:cstheme="minorBidi"/>
      <w:b/>
      <w:bCs/>
      <w:sz w:val="22"/>
      <w:szCs w:val="22"/>
    </w:rPr>
  </w:style>
  <w:style w:type="paragraph" w:customStyle="1" w:styleId="SingleParagraph">
    <w:name w:val="Single Paragraph"/>
    <w:basedOn w:val="Normal"/>
    <w:rsid w:val="00512774"/>
  </w:style>
  <w:style w:type="paragraph" w:customStyle="1" w:styleId="ChartMainHeading">
    <w:name w:val="Chart Main Heading"/>
    <w:basedOn w:val="SingleParagraph"/>
    <w:next w:val="Normal"/>
    <w:rsid w:val="00512774"/>
    <w:pPr>
      <w:jc w:val="center"/>
    </w:pPr>
    <w:rPr>
      <w:b/>
      <w:caps/>
    </w:rPr>
  </w:style>
  <w:style w:type="paragraph" w:customStyle="1" w:styleId="ChartSecondHeading">
    <w:name w:val="Chart Second Heading"/>
    <w:basedOn w:val="SingleParagraph"/>
    <w:next w:val="Normal"/>
    <w:rsid w:val="00512774"/>
    <w:pPr>
      <w:jc w:val="center"/>
    </w:pPr>
    <w:rPr>
      <w:b/>
    </w:rPr>
  </w:style>
  <w:style w:type="paragraph" w:customStyle="1" w:styleId="TableMainHeading">
    <w:name w:val="Table Main Heading"/>
    <w:basedOn w:val="Heading2"/>
    <w:next w:val="Normal"/>
    <w:rsid w:val="00512774"/>
    <w:pPr>
      <w:spacing w:before="240"/>
      <w:outlineLvl w:val="9"/>
    </w:pPr>
    <w:rPr>
      <w:rFonts w:ascii="Helvetica" w:hAnsi="Helvetica"/>
      <w:b w:val="0"/>
      <w:caps w:val="0"/>
      <w:spacing w:val="30"/>
      <w:sz w:val="22"/>
    </w:rPr>
  </w:style>
  <w:style w:type="paragraph" w:customStyle="1" w:styleId="Appendix">
    <w:name w:val="Appendix"/>
    <w:basedOn w:val="Normal"/>
    <w:link w:val="AppendixCharChar"/>
    <w:rsid w:val="00512774"/>
    <w:pPr>
      <w:jc w:val="right"/>
    </w:pPr>
    <w:rPr>
      <w:b/>
    </w:rPr>
  </w:style>
  <w:style w:type="character" w:customStyle="1" w:styleId="AppendixCharChar">
    <w:name w:val="Appendix Char Char"/>
    <w:basedOn w:val="DefaultParagraphFont"/>
    <w:link w:val="Appendix"/>
    <w:locked/>
    <w:rsid w:val="00512774"/>
    <w:rPr>
      <w:rFonts w:cs="Times New Roman"/>
      <w:b/>
      <w:sz w:val="24"/>
      <w:lang w:val="en-AU" w:eastAsia="en-AU" w:bidi="ar-SA"/>
    </w:rPr>
  </w:style>
  <w:style w:type="paragraph" w:customStyle="1" w:styleId="HB-dotpoint">
    <w:name w:val="HB - dotpoint"/>
    <w:basedOn w:val="Normal"/>
    <w:rsid w:val="00512774"/>
    <w:pPr>
      <w:numPr>
        <w:numId w:val="1"/>
      </w:numPr>
      <w:spacing w:before="180"/>
    </w:pPr>
  </w:style>
  <w:style w:type="character" w:styleId="CommentReference">
    <w:name w:val="annotation reference"/>
    <w:basedOn w:val="DefaultParagraphFont"/>
    <w:uiPriority w:val="99"/>
    <w:semiHidden/>
    <w:unhideWhenUsed/>
    <w:rsid w:val="00E76797"/>
    <w:rPr>
      <w:rFonts w:cs="Times New Roman"/>
      <w:sz w:val="16"/>
      <w:szCs w:val="16"/>
    </w:rPr>
  </w:style>
  <w:style w:type="paragraph" w:styleId="CommentText">
    <w:name w:val="annotation text"/>
    <w:basedOn w:val="Normal"/>
    <w:link w:val="CommentTextChar"/>
    <w:uiPriority w:val="99"/>
    <w:semiHidden/>
    <w:unhideWhenUsed/>
    <w:rsid w:val="00E76797"/>
    <w:rPr>
      <w:sz w:val="20"/>
    </w:rPr>
  </w:style>
  <w:style w:type="character" w:customStyle="1" w:styleId="CommentTextChar">
    <w:name w:val="Comment Text Char"/>
    <w:basedOn w:val="DefaultParagraphFont"/>
    <w:link w:val="CommentText"/>
    <w:uiPriority w:val="99"/>
    <w:semiHidden/>
    <w:locked/>
    <w:rsid w:val="00E76797"/>
    <w:rPr>
      <w:rFonts w:cs="Times New Roman"/>
    </w:rPr>
  </w:style>
  <w:style w:type="paragraph" w:styleId="CommentSubject">
    <w:name w:val="annotation subject"/>
    <w:basedOn w:val="CommentText"/>
    <w:next w:val="CommentText"/>
    <w:link w:val="CommentSubjectChar"/>
    <w:uiPriority w:val="99"/>
    <w:semiHidden/>
    <w:unhideWhenUsed/>
    <w:rsid w:val="00E76797"/>
    <w:rPr>
      <w:b/>
      <w:bCs/>
    </w:rPr>
  </w:style>
  <w:style w:type="character" w:customStyle="1" w:styleId="CommentSubjectChar">
    <w:name w:val="Comment Subject Char"/>
    <w:basedOn w:val="CommentTextChar"/>
    <w:link w:val="CommentSubject"/>
    <w:uiPriority w:val="99"/>
    <w:semiHidden/>
    <w:locked/>
    <w:rsid w:val="00E76797"/>
    <w:rPr>
      <w:rFonts w:cs="Times New Roman"/>
      <w:b/>
      <w:bCs/>
    </w:rPr>
  </w:style>
  <w:style w:type="paragraph" w:styleId="BalloonText">
    <w:name w:val="Balloon Text"/>
    <w:basedOn w:val="Normal"/>
    <w:link w:val="BalloonTextChar"/>
    <w:uiPriority w:val="99"/>
    <w:semiHidden/>
    <w:unhideWhenUsed/>
    <w:rsid w:val="00E767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797"/>
    <w:rPr>
      <w:rFonts w:ascii="Tahoma" w:hAnsi="Tahoma" w:cs="Tahoma"/>
      <w:sz w:val="16"/>
      <w:szCs w:val="16"/>
    </w:rPr>
  </w:style>
  <w:style w:type="paragraph" w:customStyle="1" w:styleId="Bullet">
    <w:name w:val="Bullet"/>
    <w:basedOn w:val="Normal"/>
    <w:link w:val="BulletChar"/>
    <w:rsid w:val="002567AF"/>
    <w:pPr>
      <w:numPr>
        <w:numId w:val="3"/>
      </w:numPr>
      <w:ind w:right="91"/>
    </w:pPr>
  </w:style>
  <w:style w:type="character" w:customStyle="1" w:styleId="BulletChar">
    <w:name w:val="Bullet Char"/>
    <w:basedOn w:val="DefaultParagraphFont"/>
    <w:link w:val="Bullet"/>
    <w:rsid w:val="002567AF"/>
    <w:rPr>
      <w:sz w:val="24"/>
    </w:rPr>
  </w:style>
  <w:style w:type="paragraph" w:customStyle="1" w:styleId="Dash">
    <w:name w:val="Dash"/>
    <w:basedOn w:val="Normal"/>
    <w:rsid w:val="002567AF"/>
    <w:pPr>
      <w:numPr>
        <w:ilvl w:val="1"/>
        <w:numId w:val="3"/>
      </w:numPr>
      <w:ind w:right="91"/>
    </w:pPr>
  </w:style>
  <w:style w:type="paragraph" w:customStyle="1" w:styleId="DoubleDot">
    <w:name w:val="Double Dot"/>
    <w:basedOn w:val="Normal"/>
    <w:rsid w:val="002567AF"/>
    <w:pPr>
      <w:numPr>
        <w:ilvl w:val="2"/>
        <w:numId w:val="3"/>
      </w:numPr>
      <w:ind w:right="91"/>
    </w:pPr>
  </w:style>
  <w:style w:type="paragraph" w:styleId="ListParagraph">
    <w:name w:val="List Paragraph"/>
    <w:basedOn w:val="Normal"/>
    <w:uiPriority w:val="34"/>
    <w:qFormat/>
    <w:rsid w:val="00A5641D"/>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7901">
      <w:bodyDiv w:val="1"/>
      <w:marLeft w:val="0"/>
      <w:marRight w:val="0"/>
      <w:marTop w:val="0"/>
      <w:marBottom w:val="0"/>
      <w:divBdr>
        <w:top w:val="none" w:sz="0" w:space="0" w:color="auto"/>
        <w:left w:val="none" w:sz="0" w:space="0" w:color="auto"/>
        <w:bottom w:val="none" w:sz="0" w:space="0" w:color="auto"/>
        <w:right w:val="none" w:sz="0" w:space="0" w:color="auto"/>
      </w:divBdr>
    </w:div>
    <w:div w:id="513496262">
      <w:bodyDiv w:val="1"/>
      <w:marLeft w:val="0"/>
      <w:marRight w:val="0"/>
      <w:marTop w:val="0"/>
      <w:marBottom w:val="0"/>
      <w:divBdr>
        <w:top w:val="none" w:sz="0" w:space="0" w:color="auto"/>
        <w:left w:val="none" w:sz="0" w:space="0" w:color="auto"/>
        <w:bottom w:val="none" w:sz="0" w:space="0" w:color="auto"/>
        <w:right w:val="none" w:sz="0" w:space="0" w:color="auto"/>
      </w:divBdr>
    </w:div>
    <w:div w:id="615016534">
      <w:bodyDiv w:val="1"/>
      <w:marLeft w:val="0"/>
      <w:marRight w:val="0"/>
      <w:marTop w:val="0"/>
      <w:marBottom w:val="0"/>
      <w:divBdr>
        <w:top w:val="none" w:sz="0" w:space="0" w:color="auto"/>
        <w:left w:val="none" w:sz="0" w:space="0" w:color="auto"/>
        <w:bottom w:val="none" w:sz="0" w:space="0" w:color="auto"/>
        <w:right w:val="none" w:sz="0" w:space="0" w:color="auto"/>
      </w:divBdr>
    </w:div>
    <w:div w:id="1015425207">
      <w:bodyDiv w:val="1"/>
      <w:marLeft w:val="0"/>
      <w:marRight w:val="0"/>
      <w:marTop w:val="0"/>
      <w:marBottom w:val="0"/>
      <w:divBdr>
        <w:top w:val="none" w:sz="0" w:space="0" w:color="auto"/>
        <w:left w:val="none" w:sz="0" w:space="0" w:color="auto"/>
        <w:bottom w:val="none" w:sz="0" w:space="0" w:color="auto"/>
        <w:right w:val="none" w:sz="0" w:space="0" w:color="auto"/>
      </w:divBdr>
    </w:div>
    <w:div w:id="1146511387">
      <w:bodyDiv w:val="1"/>
      <w:marLeft w:val="0"/>
      <w:marRight w:val="0"/>
      <w:marTop w:val="0"/>
      <w:marBottom w:val="0"/>
      <w:divBdr>
        <w:top w:val="none" w:sz="0" w:space="0" w:color="auto"/>
        <w:left w:val="none" w:sz="0" w:space="0" w:color="auto"/>
        <w:bottom w:val="none" w:sz="0" w:space="0" w:color="auto"/>
        <w:right w:val="none" w:sz="0" w:space="0" w:color="auto"/>
      </w:divBdr>
    </w:div>
    <w:div w:id="1260337346">
      <w:bodyDiv w:val="1"/>
      <w:marLeft w:val="0"/>
      <w:marRight w:val="0"/>
      <w:marTop w:val="0"/>
      <w:marBottom w:val="0"/>
      <w:divBdr>
        <w:top w:val="none" w:sz="0" w:space="0" w:color="auto"/>
        <w:left w:val="none" w:sz="0" w:space="0" w:color="auto"/>
        <w:bottom w:val="none" w:sz="0" w:space="0" w:color="auto"/>
        <w:right w:val="none" w:sz="0" w:space="0" w:color="auto"/>
      </w:divBdr>
    </w:div>
    <w:div w:id="20261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772DD82-48E8-4D5C-B6BB-DB451A60F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D4EF6-467D-4F1D-9154-078C54593C55}">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378b04f6-f261-4499-b462-41ddd755ff66"/>
    <ds:schemaRef ds:uri="http://www.w3.org/XML/1998/namespace"/>
  </ds:schemaRefs>
</ds:datastoreItem>
</file>

<file path=customXml/itemProps3.xml><?xml version="1.0" encoding="utf-8"?>
<ds:datastoreItem xmlns:ds="http://schemas.openxmlformats.org/officeDocument/2006/customXml" ds:itemID="{EAEF764F-5917-4967-8F6C-28E49CDEB384}">
  <ds:schemaRefs>
    <ds:schemaRef ds:uri="http://schemas.microsoft.com/sharepoint/v3/contenttype/forms"/>
  </ds:schemaRefs>
</ds:datastoreItem>
</file>

<file path=customXml/itemProps4.xml><?xml version="1.0" encoding="utf-8"?>
<ds:datastoreItem xmlns:ds="http://schemas.openxmlformats.org/officeDocument/2006/customXml" ds:itemID="{A96C1908-E5B9-4DB1-8BBE-C0905E615F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XCo Example EM - Regulations.dotx</Template>
  <TotalTime>0</TotalTime>
  <Pages>5</Pages>
  <Words>1201</Words>
  <Characters>7209</Characters>
  <Application>Microsoft Office Word</Application>
  <DocSecurity>0</DocSecurity>
  <Lines>232</Lines>
  <Paragraphs>129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Rees, Tessa</dc:creator>
  <cp:lastModifiedBy>Hilhorst, Matt</cp:lastModifiedBy>
  <cp:revision>2</cp:revision>
  <cp:lastPrinted>2012-10-24T04:34:00Z</cp:lastPrinted>
  <dcterms:created xsi:type="dcterms:W3CDTF">2013-08-05T07:22:00Z</dcterms:created>
  <dcterms:modified xsi:type="dcterms:W3CDTF">2013-08-05T07:22:00Z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1237946386</vt:i4>
  </property>
  <property fmtid="{D5CDD505-2E9C-101B-9397-08002B2CF9AE}" pid="3" name="_NewReviewCycle">
    <vt:lpwstr/>
  </property>
  <property fmtid="{D5CDD505-2E9C-101B-9397-08002B2CF9AE}" pid="4" name="_EmailSubject">
    <vt:lpwstr>FRLI Lodgment [SEC=UNCLASSIFIED]</vt:lpwstr>
  </property>
  <property fmtid="{D5CDD505-2E9C-101B-9397-08002B2CF9AE}" pid="5" name="_AuthorEmail">
    <vt:lpwstr>Oskar.Mezgailis@TREASURY.GOV.AU</vt:lpwstr>
  </property>
  <property fmtid="{D5CDD505-2E9C-101B-9397-08002B2CF9AE}" pid="6" name="_AuthorEmailDisplayName">
    <vt:lpwstr>Mezgailis, Oskar</vt:lpwstr>
  </property>
  <property fmtid="{D5CDD505-2E9C-101B-9397-08002B2CF9AE}" pid="7" name="_PreviousAdHocReviewCycleID">
    <vt:i4>2057550432</vt:i4>
  </property>
  <property fmtid="{D5CDD505-2E9C-101B-9397-08002B2CF9AE}" pid="8" name="ContentTypeId">
    <vt:lpwstr>0x010100E726210826AA43828690450C811EB923009CA11FFD1E014DF4B1FA162D0F61129800080350834F0B46469CE5D2ECAC346F75</vt:lpwstr>
  </property>
  <property fmtid="{D5CDD505-2E9C-101B-9397-08002B2CF9AE}" pid="9" name="_ReviewingToolsShownOnce">
    <vt:lpwstr/>
  </property>
</Properties>
</file>