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7FD" w:rsidRPr="00A9581B" w:rsidRDefault="008357FD" w:rsidP="008357FD">
      <w:pPr>
        <w:rPr>
          <w:sz w:val="28"/>
        </w:rPr>
      </w:pPr>
      <w:r w:rsidRPr="00A9581B">
        <w:rPr>
          <w:noProof/>
          <w:lang w:eastAsia="en-AU"/>
        </w:rPr>
        <w:drawing>
          <wp:inline distT="0" distB="0" distL="0" distR="0" wp14:anchorId="459D4F7A" wp14:editId="3EFEE4AB">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8357FD" w:rsidRPr="00A9581B" w:rsidRDefault="008357FD" w:rsidP="008357FD">
      <w:pPr>
        <w:rPr>
          <w:sz w:val="19"/>
        </w:rPr>
      </w:pPr>
    </w:p>
    <w:p w:rsidR="008357FD" w:rsidRPr="00A9581B" w:rsidRDefault="008357FD" w:rsidP="008357FD">
      <w:pPr>
        <w:rPr>
          <w:sz w:val="19"/>
        </w:rPr>
      </w:pPr>
      <w:bookmarkStart w:id="0" w:name="ConfidenceBlock"/>
      <w:bookmarkEnd w:id="0"/>
    </w:p>
    <w:p w:rsidR="008357FD" w:rsidRPr="00A9581B" w:rsidRDefault="008357FD" w:rsidP="008357FD">
      <w:pPr>
        <w:pStyle w:val="ShortT"/>
      </w:pPr>
      <w:r w:rsidRPr="00A9581B">
        <w:t>Energy Efficiency Opportunities Amendment (Assessments and Reporting) Regulation</w:t>
      </w:r>
      <w:r w:rsidR="00A9581B" w:rsidRPr="00A9581B">
        <w:t> </w:t>
      </w:r>
      <w:r w:rsidRPr="00A9581B">
        <w:t>2013</w:t>
      </w:r>
    </w:p>
    <w:p w:rsidR="008357FD" w:rsidRPr="00A9581B" w:rsidRDefault="008357FD" w:rsidP="008357FD"/>
    <w:p w:rsidR="008357FD" w:rsidRPr="00A9581B" w:rsidRDefault="008357FD" w:rsidP="008357FD">
      <w:pPr>
        <w:pStyle w:val="InstNo"/>
      </w:pPr>
      <w:r w:rsidRPr="00A9581B">
        <w:t xml:space="preserve">Select Legislative Instrument </w:t>
      </w:r>
      <w:bookmarkStart w:id="1" w:name="BKCheck15B_1"/>
      <w:bookmarkEnd w:id="1"/>
      <w:r w:rsidRPr="00A9581B">
        <w:fldChar w:fldCharType="begin"/>
      </w:r>
      <w:r w:rsidRPr="00A9581B">
        <w:instrText xml:space="preserve"> DOCPROPERTY  ActNo </w:instrText>
      </w:r>
      <w:r w:rsidRPr="00A9581B">
        <w:fldChar w:fldCharType="separate"/>
      </w:r>
      <w:r w:rsidR="00FC67D2">
        <w:t>No. 227, 2013</w:t>
      </w:r>
      <w:r w:rsidRPr="00A9581B">
        <w:fldChar w:fldCharType="end"/>
      </w:r>
    </w:p>
    <w:p w:rsidR="006579F3" w:rsidRPr="00A9581B" w:rsidRDefault="006579F3" w:rsidP="00DC4C5D">
      <w:pPr>
        <w:pStyle w:val="SignCoverPageStart"/>
        <w:spacing w:before="240"/>
      </w:pPr>
      <w:r w:rsidRPr="00A9581B">
        <w:t>I, Quentin Bryce AC CVO, Governor</w:t>
      </w:r>
      <w:r w:rsidR="00A9581B">
        <w:noBreakHyphen/>
      </w:r>
      <w:r w:rsidRPr="00A9581B">
        <w:t xml:space="preserve">General of the Commonwealth of Australia, acting with the advice of the Federal Executive Council, make the following regulation under the </w:t>
      </w:r>
      <w:r w:rsidRPr="00A9581B">
        <w:rPr>
          <w:i/>
        </w:rPr>
        <w:t>Energy Efficiency Opportunities Act 2006</w:t>
      </w:r>
      <w:r w:rsidRPr="00A9581B">
        <w:t>.</w:t>
      </w:r>
    </w:p>
    <w:p w:rsidR="006579F3" w:rsidRPr="00A9581B" w:rsidRDefault="006579F3" w:rsidP="00DC4C5D">
      <w:pPr>
        <w:keepNext/>
        <w:spacing w:before="720" w:line="240" w:lineRule="atLeast"/>
        <w:ind w:right="397"/>
        <w:jc w:val="both"/>
        <w:rPr>
          <w:sz w:val="24"/>
          <w:szCs w:val="24"/>
        </w:rPr>
      </w:pPr>
      <w:r w:rsidRPr="00A9581B">
        <w:rPr>
          <w:sz w:val="24"/>
          <w:szCs w:val="24"/>
        </w:rPr>
        <w:t xml:space="preserve">Dated </w:t>
      </w:r>
      <w:bookmarkStart w:id="2" w:name="BKCheck15B_2"/>
      <w:bookmarkEnd w:id="2"/>
      <w:r w:rsidRPr="00A9581B">
        <w:rPr>
          <w:sz w:val="24"/>
          <w:szCs w:val="24"/>
        </w:rPr>
        <w:fldChar w:fldCharType="begin"/>
      </w:r>
      <w:r w:rsidRPr="00A9581B">
        <w:rPr>
          <w:sz w:val="24"/>
          <w:szCs w:val="24"/>
        </w:rPr>
        <w:instrText xml:space="preserve"> DOCPROPERTY  DateMade </w:instrText>
      </w:r>
      <w:r w:rsidRPr="00A9581B">
        <w:rPr>
          <w:sz w:val="24"/>
          <w:szCs w:val="24"/>
        </w:rPr>
        <w:fldChar w:fldCharType="separate"/>
      </w:r>
      <w:r w:rsidR="00FC67D2">
        <w:rPr>
          <w:sz w:val="24"/>
          <w:szCs w:val="24"/>
        </w:rPr>
        <w:t>05 August 2013</w:t>
      </w:r>
      <w:r w:rsidRPr="00A9581B">
        <w:rPr>
          <w:sz w:val="24"/>
          <w:szCs w:val="24"/>
        </w:rPr>
        <w:fldChar w:fldCharType="end"/>
      </w:r>
    </w:p>
    <w:p w:rsidR="006579F3" w:rsidRPr="00A9581B" w:rsidRDefault="006579F3" w:rsidP="00DC4C5D">
      <w:pPr>
        <w:keepNext/>
        <w:tabs>
          <w:tab w:val="left" w:pos="3402"/>
        </w:tabs>
        <w:spacing w:before="960" w:line="300" w:lineRule="atLeast"/>
        <w:ind w:left="397" w:right="397"/>
        <w:jc w:val="right"/>
        <w:rPr>
          <w:sz w:val="24"/>
          <w:szCs w:val="24"/>
        </w:rPr>
      </w:pPr>
      <w:r w:rsidRPr="00A9581B">
        <w:t>Quentin Bryce</w:t>
      </w:r>
    </w:p>
    <w:p w:rsidR="006579F3" w:rsidRPr="00A9581B" w:rsidRDefault="006579F3" w:rsidP="00DC4C5D">
      <w:pPr>
        <w:keepNext/>
        <w:tabs>
          <w:tab w:val="left" w:pos="3402"/>
        </w:tabs>
        <w:spacing w:line="300" w:lineRule="atLeast"/>
        <w:ind w:left="397" w:right="397"/>
        <w:jc w:val="right"/>
        <w:rPr>
          <w:sz w:val="24"/>
          <w:szCs w:val="24"/>
        </w:rPr>
      </w:pPr>
      <w:r w:rsidRPr="00A9581B">
        <w:rPr>
          <w:sz w:val="24"/>
          <w:szCs w:val="24"/>
        </w:rPr>
        <w:t>Governor</w:t>
      </w:r>
      <w:r w:rsidR="00A9581B">
        <w:rPr>
          <w:sz w:val="24"/>
          <w:szCs w:val="24"/>
        </w:rPr>
        <w:noBreakHyphen/>
      </w:r>
      <w:r w:rsidRPr="00A9581B">
        <w:rPr>
          <w:sz w:val="24"/>
          <w:szCs w:val="24"/>
        </w:rPr>
        <w:t>General</w:t>
      </w:r>
    </w:p>
    <w:p w:rsidR="006579F3" w:rsidRPr="00A9581B" w:rsidRDefault="006579F3" w:rsidP="00DC4C5D">
      <w:pPr>
        <w:keepNext/>
        <w:tabs>
          <w:tab w:val="left" w:pos="3402"/>
        </w:tabs>
        <w:spacing w:after="800" w:line="300" w:lineRule="atLeast"/>
        <w:ind w:right="397"/>
        <w:rPr>
          <w:sz w:val="24"/>
          <w:szCs w:val="24"/>
        </w:rPr>
      </w:pPr>
      <w:r w:rsidRPr="00A9581B">
        <w:rPr>
          <w:sz w:val="24"/>
          <w:szCs w:val="24"/>
        </w:rPr>
        <w:t>By Her Excellency’s Command</w:t>
      </w:r>
    </w:p>
    <w:p w:rsidR="006579F3" w:rsidRPr="00A9581B" w:rsidRDefault="006579F3" w:rsidP="00DC4C5D">
      <w:pPr>
        <w:keepNext/>
        <w:tabs>
          <w:tab w:val="left" w:pos="3402"/>
        </w:tabs>
        <w:spacing w:before="480" w:line="300" w:lineRule="atLeast"/>
        <w:ind w:right="397"/>
        <w:rPr>
          <w:szCs w:val="22"/>
        </w:rPr>
      </w:pPr>
      <w:r w:rsidRPr="00A9581B">
        <w:rPr>
          <w:szCs w:val="22"/>
        </w:rPr>
        <w:t>Gary Gray AO</w:t>
      </w:r>
    </w:p>
    <w:p w:rsidR="006579F3" w:rsidRPr="00A9581B" w:rsidRDefault="006579F3" w:rsidP="00DC4C5D">
      <w:pPr>
        <w:pStyle w:val="SignCoverPageEnd"/>
      </w:pPr>
      <w:r w:rsidRPr="00A9581B">
        <w:t>Minister for Resources and Energy</w:t>
      </w:r>
    </w:p>
    <w:p w:rsidR="006579F3" w:rsidRPr="00A9581B" w:rsidRDefault="006579F3">
      <w:pPr>
        <w:pStyle w:val="Tabletext"/>
      </w:pPr>
    </w:p>
    <w:p w:rsidR="006579F3" w:rsidRPr="00A9581B" w:rsidRDefault="006579F3" w:rsidP="006579F3"/>
    <w:p w:rsidR="008357FD" w:rsidRPr="00A9581B" w:rsidRDefault="008357FD" w:rsidP="008357FD">
      <w:pPr>
        <w:pStyle w:val="Header"/>
        <w:tabs>
          <w:tab w:val="clear" w:pos="4150"/>
          <w:tab w:val="clear" w:pos="8307"/>
        </w:tabs>
      </w:pPr>
      <w:r w:rsidRPr="00A9581B">
        <w:rPr>
          <w:rStyle w:val="CharAmSchNo"/>
        </w:rPr>
        <w:t xml:space="preserve"> </w:t>
      </w:r>
      <w:r w:rsidRPr="00A9581B">
        <w:rPr>
          <w:rStyle w:val="CharAmSchText"/>
        </w:rPr>
        <w:t xml:space="preserve"> </w:t>
      </w:r>
    </w:p>
    <w:p w:rsidR="008357FD" w:rsidRPr="00A9581B" w:rsidRDefault="008357FD" w:rsidP="008357FD">
      <w:pPr>
        <w:pStyle w:val="Header"/>
        <w:tabs>
          <w:tab w:val="clear" w:pos="4150"/>
          <w:tab w:val="clear" w:pos="8307"/>
        </w:tabs>
      </w:pPr>
      <w:r w:rsidRPr="00A9581B">
        <w:rPr>
          <w:rStyle w:val="CharAmPartNo"/>
        </w:rPr>
        <w:t xml:space="preserve"> </w:t>
      </w:r>
      <w:r w:rsidRPr="00A9581B">
        <w:rPr>
          <w:rStyle w:val="CharAmPartText"/>
        </w:rPr>
        <w:t xml:space="preserve"> </w:t>
      </w:r>
    </w:p>
    <w:p w:rsidR="008357FD" w:rsidRPr="00A9581B" w:rsidRDefault="008357FD" w:rsidP="008357FD">
      <w:pPr>
        <w:sectPr w:rsidR="008357FD" w:rsidRPr="00A9581B" w:rsidSect="00B02303">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3" w:left="2410" w:header="720" w:footer="3546" w:gutter="0"/>
          <w:cols w:space="708"/>
          <w:titlePg/>
          <w:docGrid w:linePitch="360"/>
        </w:sectPr>
      </w:pPr>
    </w:p>
    <w:p w:rsidR="008357FD" w:rsidRPr="00A9581B" w:rsidRDefault="008357FD" w:rsidP="008357FD">
      <w:pPr>
        <w:rPr>
          <w:sz w:val="36"/>
        </w:rPr>
      </w:pPr>
      <w:r w:rsidRPr="00A9581B">
        <w:rPr>
          <w:sz w:val="36"/>
        </w:rPr>
        <w:lastRenderedPageBreak/>
        <w:t>Contents</w:t>
      </w:r>
    </w:p>
    <w:bookmarkStart w:id="3" w:name="BKCheck15B_3"/>
    <w:bookmarkEnd w:id="3"/>
    <w:p w:rsidR="000748B2" w:rsidRPr="00A9581B" w:rsidRDefault="000748B2">
      <w:pPr>
        <w:pStyle w:val="TOC5"/>
        <w:rPr>
          <w:rFonts w:asciiTheme="minorHAnsi" w:eastAsiaTheme="minorEastAsia" w:hAnsiTheme="minorHAnsi" w:cstheme="minorBidi"/>
          <w:noProof/>
          <w:kern w:val="0"/>
          <w:sz w:val="22"/>
          <w:szCs w:val="22"/>
        </w:rPr>
      </w:pPr>
      <w:r w:rsidRPr="00A9581B">
        <w:fldChar w:fldCharType="begin"/>
      </w:r>
      <w:r w:rsidRPr="00A9581B">
        <w:instrText xml:space="preserve"> TOC \o "1-9" </w:instrText>
      </w:r>
      <w:r w:rsidRPr="00A9581B">
        <w:fldChar w:fldCharType="separate"/>
      </w:r>
      <w:r w:rsidRPr="00A9581B">
        <w:rPr>
          <w:noProof/>
        </w:rPr>
        <w:t>1</w:t>
      </w:r>
      <w:r w:rsidRPr="00A9581B">
        <w:rPr>
          <w:noProof/>
        </w:rPr>
        <w:tab/>
        <w:t>Name of regulation</w:t>
      </w:r>
      <w:r w:rsidRPr="00A9581B">
        <w:rPr>
          <w:noProof/>
        </w:rPr>
        <w:tab/>
      </w:r>
      <w:r w:rsidRPr="00A9581B">
        <w:rPr>
          <w:noProof/>
        </w:rPr>
        <w:fldChar w:fldCharType="begin"/>
      </w:r>
      <w:r w:rsidRPr="00A9581B">
        <w:rPr>
          <w:noProof/>
        </w:rPr>
        <w:instrText xml:space="preserve"> PAGEREF _Toc362873097 \h </w:instrText>
      </w:r>
      <w:r w:rsidRPr="00A9581B">
        <w:rPr>
          <w:noProof/>
        </w:rPr>
      </w:r>
      <w:r w:rsidRPr="00A9581B">
        <w:rPr>
          <w:noProof/>
        </w:rPr>
        <w:fldChar w:fldCharType="separate"/>
      </w:r>
      <w:r w:rsidR="00FC67D2">
        <w:rPr>
          <w:noProof/>
        </w:rPr>
        <w:t>1</w:t>
      </w:r>
      <w:r w:rsidRPr="00A9581B">
        <w:rPr>
          <w:noProof/>
        </w:rPr>
        <w:fldChar w:fldCharType="end"/>
      </w:r>
    </w:p>
    <w:p w:rsidR="000748B2" w:rsidRPr="00A9581B" w:rsidRDefault="000748B2">
      <w:pPr>
        <w:pStyle w:val="TOC5"/>
        <w:rPr>
          <w:rFonts w:asciiTheme="minorHAnsi" w:eastAsiaTheme="minorEastAsia" w:hAnsiTheme="minorHAnsi" w:cstheme="minorBidi"/>
          <w:noProof/>
          <w:kern w:val="0"/>
          <w:sz w:val="22"/>
          <w:szCs w:val="22"/>
        </w:rPr>
      </w:pPr>
      <w:r w:rsidRPr="00A9581B">
        <w:rPr>
          <w:noProof/>
        </w:rPr>
        <w:t>2</w:t>
      </w:r>
      <w:r w:rsidRPr="00A9581B">
        <w:rPr>
          <w:noProof/>
        </w:rPr>
        <w:tab/>
        <w:t>Commencement</w:t>
      </w:r>
      <w:r w:rsidRPr="00A9581B">
        <w:rPr>
          <w:noProof/>
        </w:rPr>
        <w:tab/>
      </w:r>
      <w:r w:rsidRPr="00A9581B">
        <w:rPr>
          <w:noProof/>
        </w:rPr>
        <w:fldChar w:fldCharType="begin"/>
      </w:r>
      <w:r w:rsidRPr="00A9581B">
        <w:rPr>
          <w:noProof/>
        </w:rPr>
        <w:instrText xml:space="preserve"> PAGEREF _Toc362873098 \h </w:instrText>
      </w:r>
      <w:r w:rsidRPr="00A9581B">
        <w:rPr>
          <w:noProof/>
        </w:rPr>
      </w:r>
      <w:r w:rsidRPr="00A9581B">
        <w:rPr>
          <w:noProof/>
        </w:rPr>
        <w:fldChar w:fldCharType="separate"/>
      </w:r>
      <w:r w:rsidR="00FC67D2">
        <w:rPr>
          <w:noProof/>
        </w:rPr>
        <w:t>1</w:t>
      </w:r>
      <w:r w:rsidRPr="00A9581B">
        <w:rPr>
          <w:noProof/>
        </w:rPr>
        <w:fldChar w:fldCharType="end"/>
      </w:r>
    </w:p>
    <w:p w:rsidR="000748B2" w:rsidRPr="00A9581B" w:rsidRDefault="000748B2">
      <w:pPr>
        <w:pStyle w:val="TOC5"/>
        <w:rPr>
          <w:rFonts w:asciiTheme="minorHAnsi" w:eastAsiaTheme="minorEastAsia" w:hAnsiTheme="minorHAnsi" w:cstheme="minorBidi"/>
          <w:noProof/>
          <w:kern w:val="0"/>
          <w:sz w:val="22"/>
          <w:szCs w:val="22"/>
        </w:rPr>
      </w:pPr>
      <w:r w:rsidRPr="00A9581B">
        <w:rPr>
          <w:noProof/>
        </w:rPr>
        <w:t>3</w:t>
      </w:r>
      <w:r w:rsidRPr="00A9581B">
        <w:rPr>
          <w:noProof/>
        </w:rPr>
        <w:tab/>
        <w:t>Authority</w:t>
      </w:r>
      <w:r w:rsidRPr="00A9581B">
        <w:rPr>
          <w:noProof/>
        </w:rPr>
        <w:tab/>
      </w:r>
      <w:r w:rsidRPr="00A9581B">
        <w:rPr>
          <w:noProof/>
        </w:rPr>
        <w:fldChar w:fldCharType="begin"/>
      </w:r>
      <w:r w:rsidRPr="00A9581B">
        <w:rPr>
          <w:noProof/>
        </w:rPr>
        <w:instrText xml:space="preserve"> PAGEREF _Toc362873099 \h </w:instrText>
      </w:r>
      <w:r w:rsidRPr="00A9581B">
        <w:rPr>
          <w:noProof/>
        </w:rPr>
      </w:r>
      <w:r w:rsidRPr="00A9581B">
        <w:rPr>
          <w:noProof/>
        </w:rPr>
        <w:fldChar w:fldCharType="separate"/>
      </w:r>
      <w:r w:rsidR="00FC67D2">
        <w:rPr>
          <w:noProof/>
        </w:rPr>
        <w:t>1</w:t>
      </w:r>
      <w:r w:rsidRPr="00A9581B">
        <w:rPr>
          <w:noProof/>
        </w:rPr>
        <w:fldChar w:fldCharType="end"/>
      </w:r>
    </w:p>
    <w:p w:rsidR="000748B2" w:rsidRPr="00A9581B" w:rsidRDefault="000748B2">
      <w:pPr>
        <w:pStyle w:val="TOC5"/>
        <w:rPr>
          <w:rFonts w:asciiTheme="minorHAnsi" w:eastAsiaTheme="minorEastAsia" w:hAnsiTheme="minorHAnsi" w:cstheme="minorBidi"/>
          <w:noProof/>
          <w:kern w:val="0"/>
          <w:sz w:val="22"/>
          <w:szCs w:val="22"/>
        </w:rPr>
      </w:pPr>
      <w:r w:rsidRPr="00A9581B">
        <w:rPr>
          <w:noProof/>
        </w:rPr>
        <w:t>4</w:t>
      </w:r>
      <w:r w:rsidRPr="00A9581B">
        <w:rPr>
          <w:noProof/>
        </w:rPr>
        <w:tab/>
        <w:t>Schedule(s)</w:t>
      </w:r>
      <w:r w:rsidRPr="00A9581B">
        <w:rPr>
          <w:noProof/>
        </w:rPr>
        <w:tab/>
      </w:r>
      <w:r w:rsidRPr="00A9581B">
        <w:rPr>
          <w:noProof/>
        </w:rPr>
        <w:fldChar w:fldCharType="begin"/>
      </w:r>
      <w:r w:rsidRPr="00A9581B">
        <w:rPr>
          <w:noProof/>
        </w:rPr>
        <w:instrText xml:space="preserve"> PAGEREF _Toc362873100 \h </w:instrText>
      </w:r>
      <w:r w:rsidRPr="00A9581B">
        <w:rPr>
          <w:noProof/>
        </w:rPr>
      </w:r>
      <w:r w:rsidRPr="00A9581B">
        <w:rPr>
          <w:noProof/>
        </w:rPr>
        <w:fldChar w:fldCharType="separate"/>
      </w:r>
      <w:r w:rsidR="00FC67D2">
        <w:rPr>
          <w:noProof/>
        </w:rPr>
        <w:t>1</w:t>
      </w:r>
      <w:r w:rsidRPr="00A9581B">
        <w:rPr>
          <w:noProof/>
        </w:rPr>
        <w:fldChar w:fldCharType="end"/>
      </w:r>
    </w:p>
    <w:p w:rsidR="000748B2" w:rsidRPr="00A9581B" w:rsidRDefault="000748B2">
      <w:pPr>
        <w:pStyle w:val="TOC6"/>
        <w:rPr>
          <w:rFonts w:asciiTheme="minorHAnsi" w:eastAsiaTheme="minorEastAsia" w:hAnsiTheme="minorHAnsi" w:cstheme="minorBidi"/>
          <w:b w:val="0"/>
          <w:noProof/>
          <w:kern w:val="0"/>
          <w:sz w:val="22"/>
          <w:szCs w:val="22"/>
        </w:rPr>
      </w:pPr>
      <w:r w:rsidRPr="00A9581B">
        <w:rPr>
          <w:noProof/>
        </w:rPr>
        <w:t>Schedule</w:t>
      </w:r>
      <w:r w:rsidR="00A9581B" w:rsidRPr="00A9581B">
        <w:rPr>
          <w:noProof/>
        </w:rPr>
        <w:t> </w:t>
      </w:r>
      <w:r w:rsidRPr="00A9581B">
        <w:rPr>
          <w:noProof/>
        </w:rPr>
        <w:t>1—Amendments</w:t>
      </w:r>
      <w:r w:rsidRPr="00A9581B">
        <w:rPr>
          <w:b w:val="0"/>
          <w:noProof/>
          <w:sz w:val="18"/>
        </w:rPr>
        <w:tab/>
      </w:r>
      <w:r w:rsidRPr="00A9581B">
        <w:rPr>
          <w:b w:val="0"/>
          <w:noProof/>
          <w:sz w:val="18"/>
        </w:rPr>
        <w:fldChar w:fldCharType="begin"/>
      </w:r>
      <w:r w:rsidRPr="00A9581B">
        <w:rPr>
          <w:b w:val="0"/>
          <w:noProof/>
          <w:sz w:val="18"/>
        </w:rPr>
        <w:instrText xml:space="preserve"> PAGEREF _Toc362873101 \h </w:instrText>
      </w:r>
      <w:r w:rsidRPr="00A9581B">
        <w:rPr>
          <w:b w:val="0"/>
          <w:noProof/>
          <w:sz w:val="18"/>
        </w:rPr>
      </w:r>
      <w:r w:rsidRPr="00A9581B">
        <w:rPr>
          <w:b w:val="0"/>
          <w:noProof/>
          <w:sz w:val="18"/>
        </w:rPr>
        <w:fldChar w:fldCharType="separate"/>
      </w:r>
      <w:r w:rsidR="00FC67D2">
        <w:rPr>
          <w:b w:val="0"/>
          <w:noProof/>
          <w:sz w:val="18"/>
        </w:rPr>
        <w:t>2</w:t>
      </w:r>
      <w:r w:rsidRPr="00A9581B">
        <w:rPr>
          <w:b w:val="0"/>
          <w:noProof/>
          <w:sz w:val="18"/>
        </w:rPr>
        <w:fldChar w:fldCharType="end"/>
      </w:r>
    </w:p>
    <w:p w:rsidR="000748B2" w:rsidRPr="00A9581B" w:rsidRDefault="000748B2">
      <w:pPr>
        <w:pStyle w:val="TOC9"/>
        <w:rPr>
          <w:rFonts w:asciiTheme="minorHAnsi" w:eastAsiaTheme="minorEastAsia" w:hAnsiTheme="minorHAnsi" w:cstheme="minorBidi"/>
          <w:i w:val="0"/>
          <w:noProof/>
          <w:kern w:val="0"/>
          <w:sz w:val="22"/>
          <w:szCs w:val="22"/>
        </w:rPr>
      </w:pPr>
      <w:r w:rsidRPr="00A9581B">
        <w:rPr>
          <w:bCs/>
          <w:noProof/>
        </w:rPr>
        <w:t>Energy Efficiency Opportunities Regulations</w:t>
      </w:r>
      <w:r w:rsidR="00A9581B" w:rsidRPr="00A9581B">
        <w:rPr>
          <w:bCs/>
          <w:noProof/>
        </w:rPr>
        <w:t> </w:t>
      </w:r>
      <w:r w:rsidRPr="00A9581B">
        <w:rPr>
          <w:bCs/>
          <w:noProof/>
        </w:rPr>
        <w:t>2006</w:t>
      </w:r>
      <w:r w:rsidRPr="00A9581B">
        <w:rPr>
          <w:i w:val="0"/>
          <w:noProof/>
          <w:sz w:val="18"/>
        </w:rPr>
        <w:tab/>
      </w:r>
      <w:r w:rsidRPr="00A9581B">
        <w:rPr>
          <w:i w:val="0"/>
          <w:noProof/>
          <w:sz w:val="18"/>
        </w:rPr>
        <w:fldChar w:fldCharType="begin"/>
      </w:r>
      <w:r w:rsidRPr="00A9581B">
        <w:rPr>
          <w:i w:val="0"/>
          <w:noProof/>
          <w:sz w:val="18"/>
        </w:rPr>
        <w:instrText xml:space="preserve"> PAGEREF _Toc362873102 \h </w:instrText>
      </w:r>
      <w:r w:rsidRPr="00A9581B">
        <w:rPr>
          <w:i w:val="0"/>
          <w:noProof/>
          <w:sz w:val="18"/>
        </w:rPr>
      </w:r>
      <w:r w:rsidRPr="00A9581B">
        <w:rPr>
          <w:i w:val="0"/>
          <w:noProof/>
          <w:sz w:val="18"/>
        </w:rPr>
        <w:fldChar w:fldCharType="separate"/>
      </w:r>
      <w:r w:rsidR="00FC67D2">
        <w:rPr>
          <w:i w:val="0"/>
          <w:noProof/>
          <w:sz w:val="18"/>
        </w:rPr>
        <w:t>2</w:t>
      </w:r>
      <w:r w:rsidRPr="00A9581B">
        <w:rPr>
          <w:i w:val="0"/>
          <w:noProof/>
          <w:sz w:val="18"/>
        </w:rPr>
        <w:fldChar w:fldCharType="end"/>
      </w:r>
    </w:p>
    <w:p w:rsidR="008357FD" w:rsidRPr="00A9581B" w:rsidRDefault="000748B2" w:rsidP="008357FD">
      <w:r w:rsidRPr="00A9581B">
        <w:fldChar w:fldCharType="end"/>
      </w:r>
    </w:p>
    <w:p w:rsidR="008357FD" w:rsidRPr="00A9581B" w:rsidRDefault="008357FD" w:rsidP="008357FD">
      <w:pPr>
        <w:sectPr w:rsidR="008357FD" w:rsidRPr="00A9581B" w:rsidSect="00B02303">
          <w:headerReference w:type="even" r:id="rId17"/>
          <w:headerReference w:type="default" r:id="rId18"/>
          <w:footerReference w:type="even" r:id="rId19"/>
          <w:footerReference w:type="default" r:id="rId20"/>
          <w:headerReference w:type="first" r:id="rId21"/>
          <w:pgSz w:w="11907" w:h="16839"/>
          <w:pgMar w:top="2375" w:right="2410" w:bottom="4253" w:left="2410" w:header="720" w:footer="3402" w:gutter="0"/>
          <w:pgNumType w:fmt="lowerRoman" w:start="1"/>
          <w:cols w:space="708"/>
          <w:docGrid w:linePitch="360"/>
        </w:sectPr>
      </w:pPr>
    </w:p>
    <w:p w:rsidR="008357FD" w:rsidRPr="00A9581B" w:rsidRDefault="008357FD" w:rsidP="008357FD">
      <w:pPr>
        <w:pStyle w:val="ActHead5"/>
      </w:pPr>
      <w:bookmarkStart w:id="4" w:name="_Toc362873097"/>
      <w:r w:rsidRPr="00A9581B">
        <w:rPr>
          <w:rStyle w:val="CharSectno"/>
        </w:rPr>
        <w:lastRenderedPageBreak/>
        <w:t>1</w:t>
      </w:r>
      <w:r w:rsidRPr="00A9581B">
        <w:t xml:space="preserve">  Name of regulation</w:t>
      </w:r>
      <w:bookmarkEnd w:id="4"/>
    </w:p>
    <w:p w:rsidR="008357FD" w:rsidRPr="00A9581B" w:rsidRDefault="008357FD" w:rsidP="008357FD">
      <w:pPr>
        <w:pStyle w:val="subsection"/>
      </w:pPr>
      <w:r w:rsidRPr="00A9581B">
        <w:tab/>
      </w:r>
      <w:r w:rsidRPr="00A9581B">
        <w:tab/>
        <w:t xml:space="preserve">This regulation is the </w:t>
      </w:r>
      <w:bookmarkStart w:id="5" w:name="BKCheck15B_4"/>
      <w:bookmarkEnd w:id="5"/>
      <w:r w:rsidRPr="00A9581B">
        <w:rPr>
          <w:i/>
        </w:rPr>
        <w:fldChar w:fldCharType="begin"/>
      </w:r>
      <w:r w:rsidRPr="00A9581B">
        <w:rPr>
          <w:i/>
        </w:rPr>
        <w:instrText xml:space="preserve"> STYLEREF  ShortT </w:instrText>
      </w:r>
      <w:r w:rsidRPr="00A9581B">
        <w:rPr>
          <w:i/>
        </w:rPr>
        <w:fldChar w:fldCharType="separate"/>
      </w:r>
      <w:r w:rsidR="00FC67D2">
        <w:rPr>
          <w:i/>
          <w:noProof/>
        </w:rPr>
        <w:t>Energy Efficiency Opportunities Amendment (Assessments and Reporting) Regulation 2013</w:t>
      </w:r>
      <w:r w:rsidRPr="00A9581B">
        <w:rPr>
          <w:i/>
        </w:rPr>
        <w:fldChar w:fldCharType="end"/>
      </w:r>
      <w:r w:rsidRPr="00A9581B">
        <w:t>.</w:t>
      </w:r>
    </w:p>
    <w:p w:rsidR="008357FD" w:rsidRPr="00A9581B" w:rsidRDefault="008357FD" w:rsidP="008357FD">
      <w:pPr>
        <w:pStyle w:val="ActHead5"/>
      </w:pPr>
      <w:bookmarkStart w:id="6" w:name="_Toc362873098"/>
      <w:r w:rsidRPr="00A9581B">
        <w:rPr>
          <w:rStyle w:val="CharSectno"/>
        </w:rPr>
        <w:t>2</w:t>
      </w:r>
      <w:r w:rsidRPr="00A9581B">
        <w:t xml:space="preserve">  Commencement</w:t>
      </w:r>
      <w:bookmarkEnd w:id="6"/>
    </w:p>
    <w:p w:rsidR="008357FD" w:rsidRPr="00A9581B" w:rsidRDefault="008357FD" w:rsidP="008357FD">
      <w:pPr>
        <w:pStyle w:val="subsection"/>
      </w:pPr>
      <w:bookmarkStart w:id="7" w:name="_GoBack"/>
      <w:r w:rsidRPr="00A9581B">
        <w:tab/>
      </w:r>
      <w:r w:rsidRPr="00A9581B">
        <w:tab/>
        <w:t>This regulation commences on the day after it is registered.</w:t>
      </w:r>
      <w:bookmarkEnd w:id="7"/>
    </w:p>
    <w:p w:rsidR="008357FD" w:rsidRPr="00A9581B" w:rsidRDefault="008357FD" w:rsidP="008357FD">
      <w:pPr>
        <w:pStyle w:val="ActHead5"/>
      </w:pPr>
      <w:bookmarkStart w:id="8" w:name="_Toc362873099"/>
      <w:r w:rsidRPr="00A9581B">
        <w:rPr>
          <w:rStyle w:val="CharSectno"/>
        </w:rPr>
        <w:t>3</w:t>
      </w:r>
      <w:r w:rsidRPr="00A9581B">
        <w:t xml:space="preserve">  Authority</w:t>
      </w:r>
      <w:bookmarkEnd w:id="8"/>
    </w:p>
    <w:p w:rsidR="008357FD" w:rsidRPr="00A9581B" w:rsidRDefault="008357FD" w:rsidP="008357FD">
      <w:pPr>
        <w:pStyle w:val="subsection"/>
      </w:pPr>
      <w:r w:rsidRPr="00A9581B">
        <w:tab/>
      </w:r>
      <w:r w:rsidRPr="00A9581B">
        <w:tab/>
        <w:t xml:space="preserve">This regulation is made under the </w:t>
      </w:r>
      <w:r w:rsidRPr="00A9581B">
        <w:rPr>
          <w:i/>
        </w:rPr>
        <w:t>Energy Efficiency Opportunities Act 2006.</w:t>
      </w:r>
    </w:p>
    <w:p w:rsidR="008357FD" w:rsidRPr="00A9581B" w:rsidRDefault="008357FD" w:rsidP="008357FD">
      <w:pPr>
        <w:pStyle w:val="ActHead5"/>
      </w:pPr>
      <w:bookmarkStart w:id="9" w:name="_Toc362873100"/>
      <w:r w:rsidRPr="00A9581B">
        <w:rPr>
          <w:rStyle w:val="CharSectno"/>
        </w:rPr>
        <w:t>4</w:t>
      </w:r>
      <w:r w:rsidRPr="00A9581B">
        <w:t xml:space="preserve">  Schedule(s)</w:t>
      </w:r>
      <w:bookmarkEnd w:id="9"/>
    </w:p>
    <w:p w:rsidR="008357FD" w:rsidRPr="00A9581B" w:rsidRDefault="008357FD" w:rsidP="008357FD">
      <w:pPr>
        <w:pStyle w:val="subsection"/>
      </w:pPr>
      <w:r w:rsidRPr="00A9581B">
        <w:tab/>
      </w:r>
      <w:r w:rsidRPr="00A9581B">
        <w:tab/>
        <w:t>Each instrument that is specified in a Schedule to this instrument is amended or repealed as set out in the applicable items in the Schedule concerned, and any other item in a Schedule to this instrument has effect according to its terms.</w:t>
      </w:r>
    </w:p>
    <w:p w:rsidR="008357FD" w:rsidRPr="00A9581B" w:rsidRDefault="008357FD" w:rsidP="008357FD">
      <w:pPr>
        <w:pStyle w:val="ActHead6"/>
        <w:pageBreakBefore/>
      </w:pPr>
      <w:bookmarkStart w:id="10" w:name="_Toc362873101"/>
      <w:bookmarkStart w:id="11" w:name="opcAmSched"/>
      <w:bookmarkStart w:id="12" w:name="opcCurrentFind"/>
      <w:r w:rsidRPr="00A9581B">
        <w:rPr>
          <w:rStyle w:val="CharAmSchNo"/>
        </w:rPr>
        <w:t>Schedule</w:t>
      </w:r>
      <w:r w:rsidR="00A9581B" w:rsidRPr="00A9581B">
        <w:rPr>
          <w:rStyle w:val="CharAmSchNo"/>
        </w:rPr>
        <w:t> </w:t>
      </w:r>
      <w:r w:rsidRPr="00A9581B">
        <w:rPr>
          <w:rStyle w:val="CharAmSchNo"/>
        </w:rPr>
        <w:t>1</w:t>
      </w:r>
      <w:r w:rsidRPr="00A9581B">
        <w:t>—</w:t>
      </w:r>
      <w:r w:rsidRPr="00A9581B">
        <w:rPr>
          <w:rStyle w:val="CharAmSchText"/>
        </w:rPr>
        <w:t>Amendments</w:t>
      </w:r>
      <w:bookmarkEnd w:id="10"/>
    </w:p>
    <w:bookmarkEnd w:id="11"/>
    <w:bookmarkEnd w:id="12"/>
    <w:p w:rsidR="008357FD" w:rsidRPr="00A9581B" w:rsidRDefault="008357FD" w:rsidP="008357FD">
      <w:pPr>
        <w:pStyle w:val="Header"/>
      </w:pPr>
      <w:r w:rsidRPr="00A9581B">
        <w:rPr>
          <w:rStyle w:val="CharAmPartNo"/>
        </w:rPr>
        <w:t xml:space="preserve"> </w:t>
      </w:r>
      <w:r w:rsidRPr="00A9581B">
        <w:rPr>
          <w:rStyle w:val="CharAmPartText"/>
        </w:rPr>
        <w:t xml:space="preserve"> </w:t>
      </w:r>
    </w:p>
    <w:p w:rsidR="008357FD" w:rsidRPr="00A9581B" w:rsidRDefault="008357FD" w:rsidP="008357FD">
      <w:pPr>
        <w:pStyle w:val="ActHead9"/>
      </w:pPr>
      <w:bookmarkStart w:id="13" w:name="_Toc362873102"/>
      <w:r w:rsidRPr="00A9581B">
        <w:rPr>
          <w:bCs/>
        </w:rPr>
        <w:t>Energy Efficiency Opportunities Regulations</w:t>
      </w:r>
      <w:r w:rsidR="00A9581B" w:rsidRPr="00A9581B">
        <w:rPr>
          <w:bCs/>
        </w:rPr>
        <w:t> </w:t>
      </w:r>
      <w:r w:rsidRPr="00A9581B">
        <w:rPr>
          <w:bCs/>
        </w:rPr>
        <w:t>2006</w:t>
      </w:r>
      <w:bookmarkEnd w:id="13"/>
    </w:p>
    <w:p w:rsidR="008357FD" w:rsidRPr="00A9581B" w:rsidRDefault="004C6E01" w:rsidP="008357FD">
      <w:pPr>
        <w:pStyle w:val="ItemHead"/>
        <w:tabs>
          <w:tab w:val="left" w:pos="6663"/>
        </w:tabs>
      </w:pPr>
      <w:r w:rsidRPr="00A9581B">
        <w:t>1</w:t>
      </w:r>
      <w:r w:rsidR="008357FD" w:rsidRPr="00A9581B">
        <w:t xml:space="preserve">  Subregulation</w:t>
      </w:r>
      <w:r w:rsidR="00A9581B" w:rsidRPr="00A9581B">
        <w:t> </w:t>
      </w:r>
      <w:r w:rsidR="008357FD" w:rsidRPr="00A9581B">
        <w:t>1.3(1)</w:t>
      </w:r>
    </w:p>
    <w:p w:rsidR="008357FD" w:rsidRPr="00A9581B" w:rsidRDefault="008357FD" w:rsidP="008357FD">
      <w:pPr>
        <w:pStyle w:val="Item"/>
      </w:pPr>
      <w:r w:rsidRPr="00A9581B">
        <w:t>Insert:</w:t>
      </w:r>
    </w:p>
    <w:p w:rsidR="008357FD" w:rsidRPr="00A9581B" w:rsidRDefault="008357FD" w:rsidP="008357FD">
      <w:pPr>
        <w:pStyle w:val="Definition"/>
      </w:pPr>
      <w:r w:rsidRPr="00A9581B">
        <w:rPr>
          <w:b/>
          <w:i/>
        </w:rPr>
        <w:t>approved form</w:t>
      </w:r>
      <w:r w:rsidRPr="00A9581B">
        <w:t xml:space="preserve"> means a form approved by the Secretary under regulation</w:t>
      </w:r>
      <w:r w:rsidR="00A9581B" w:rsidRPr="00A9581B">
        <w:t> </w:t>
      </w:r>
      <w:r w:rsidRPr="00A9581B">
        <w:t>1.8.</w:t>
      </w:r>
    </w:p>
    <w:p w:rsidR="008357FD" w:rsidRPr="00A9581B" w:rsidRDefault="008357FD" w:rsidP="008357FD">
      <w:pPr>
        <w:pStyle w:val="Definition"/>
      </w:pPr>
      <w:r w:rsidRPr="00A9581B">
        <w:rPr>
          <w:b/>
          <w:bCs/>
          <w:i/>
        </w:rPr>
        <w:t>aspirational target</w:t>
      </w:r>
      <w:r w:rsidRPr="00A9581B">
        <w:t xml:space="preserve"> means a target for energy efficiency that:</w:t>
      </w:r>
    </w:p>
    <w:p w:rsidR="008357FD" w:rsidRPr="00A9581B" w:rsidRDefault="008357FD" w:rsidP="008357FD">
      <w:pPr>
        <w:pStyle w:val="paragraph"/>
      </w:pPr>
      <w:r w:rsidRPr="00A9581B">
        <w:tab/>
        <w:t>(a)</w:t>
      </w:r>
      <w:r w:rsidRPr="00A9581B">
        <w:tab/>
        <w:t>is technically achievable; and</w:t>
      </w:r>
    </w:p>
    <w:p w:rsidR="008357FD" w:rsidRPr="00A9581B" w:rsidRDefault="008357FD" w:rsidP="008357FD">
      <w:pPr>
        <w:pStyle w:val="paragraph"/>
      </w:pPr>
      <w:r w:rsidRPr="00A9581B">
        <w:tab/>
        <w:t>(b)</w:t>
      </w:r>
      <w:r w:rsidRPr="00A9581B">
        <w:tab/>
        <w:t>encourages the achievement of substantial energy efficiency opportunities in the design of a new development or an expansion.</w:t>
      </w:r>
    </w:p>
    <w:p w:rsidR="008357FD" w:rsidRPr="00A9581B" w:rsidRDefault="008357FD" w:rsidP="008357FD">
      <w:pPr>
        <w:pStyle w:val="Definition"/>
      </w:pPr>
      <w:r w:rsidRPr="00A9581B">
        <w:rPr>
          <w:b/>
          <w:i/>
        </w:rPr>
        <w:t>Assessment Framework</w:t>
      </w:r>
      <w:r w:rsidRPr="00A9581B">
        <w:t xml:space="preserve"> means the Assessment Framework in the table in:</w:t>
      </w:r>
    </w:p>
    <w:p w:rsidR="008357FD" w:rsidRPr="00A9581B" w:rsidRDefault="008357FD" w:rsidP="008357FD">
      <w:pPr>
        <w:pStyle w:val="paragraph"/>
      </w:pPr>
      <w:r w:rsidRPr="00A9581B">
        <w:tab/>
        <w:t>(a)</w:t>
      </w:r>
      <w:r w:rsidRPr="00A9581B">
        <w:tab/>
        <w:t>for a new development or an expansion—item</w:t>
      </w:r>
      <w:r w:rsidR="00A9581B" w:rsidRPr="00A9581B">
        <w:t> </w:t>
      </w:r>
      <w:r w:rsidRPr="00A9581B">
        <w:t>301 of Schedule</w:t>
      </w:r>
      <w:r w:rsidR="00A9581B" w:rsidRPr="00A9581B">
        <w:t> </w:t>
      </w:r>
      <w:r w:rsidRPr="00A9581B">
        <w:t>2A; or</w:t>
      </w:r>
    </w:p>
    <w:p w:rsidR="008357FD" w:rsidRPr="00A9581B" w:rsidRDefault="008357FD" w:rsidP="008357FD">
      <w:pPr>
        <w:pStyle w:val="paragraph"/>
      </w:pPr>
      <w:r w:rsidRPr="00A9581B">
        <w:tab/>
        <w:t>(b)</w:t>
      </w:r>
      <w:r w:rsidRPr="00A9581B">
        <w:tab/>
        <w:t>otherwise—item</w:t>
      </w:r>
      <w:r w:rsidR="00A9581B" w:rsidRPr="00A9581B">
        <w:t> </w:t>
      </w:r>
      <w:r w:rsidRPr="00A9581B">
        <w:t>305 of Schedule</w:t>
      </w:r>
      <w:r w:rsidR="00A9581B" w:rsidRPr="00A9581B">
        <w:t> </w:t>
      </w:r>
      <w:r w:rsidRPr="00A9581B">
        <w:t>3.</w:t>
      </w:r>
    </w:p>
    <w:p w:rsidR="008357FD" w:rsidRPr="00A9581B" w:rsidRDefault="008357FD" w:rsidP="008357FD">
      <w:pPr>
        <w:pStyle w:val="Definition"/>
      </w:pPr>
      <w:r w:rsidRPr="00A9581B">
        <w:rPr>
          <w:b/>
          <w:i/>
        </w:rPr>
        <w:t>energy and material flows</w:t>
      </w:r>
      <w:r w:rsidRPr="00A9581B">
        <w:t xml:space="preserve"> means:</w:t>
      </w:r>
    </w:p>
    <w:p w:rsidR="008357FD" w:rsidRPr="00A9581B" w:rsidRDefault="008357FD" w:rsidP="008357FD">
      <w:pPr>
        <w:pStyle w:val="paragraph"/>
      </w:pPr>
      <w:r w:rsidRPr="00A9581B">
        <w:tab/>
        <w:t>(a)</w:t>
      </w:r>
      <w:r w:rsidRPr="00A9581B">
        <w:tab/>
        <w:t>the materials and energy entering and leaving a site or fleet and its processes, systems, activities and equipment; and</w:t>
      </w:r>
    </w:p>
    <w:p w:rsidR="008357FD" w:rsidRPr="00A9581B" w:rsidRDefault="008357FD" w:rsidP="008357FD">
      <w:pPr>
        <w:pStyle w:val="paragraph"/>
      </w:pPr>
      <w:r w:rsidRPr="00A9581B">
        <w:tab/>
        <w:t>(b)</w:t>
      </w:r>
      <w:r w:rsidRPr="00A9581B">
        <w:tab/>
        <w:t>the energy conversions and energy use within the site or fleet and its processes, systems, activities and equipment.</w:t>
      </w:r>
    </w:p>
    <w:p w:rsidR="008357FD" w:rsidRPr="00A9581B" w:rsidRDefault="008357FD" w:rsidP="008357FD">
      <w:pPr>
        <w:pStyle w:val="Definition"/>
      </w:pPr>
      <w:r w:rsidRPr="00A9581B">
        <w:rPr>
          <w:b/>
          <w:i/>
        </w:rPr>
        <w:t>energy efficiency opportunity</w:t>
      </w:r>
      <w:r w:rsidR="00DE065C" w:rsidRPr="00A9581B">
        <w:t xml:space="preserve"> means a potential change to a process, system, activity, technology or piece of equipment that:</w:t>
      </w:r>
    </w:p>
    <w:p w:rsidR="008357FD" w:rsidRPr="00A9581B" w:rsidRDefault="008357FD" w:rsidP="008357FD">
      <w:pPr>
        <w:pStyle w:val="paragraph"/>
      </w:pPr>
      <w:r w:rsidRPr="00A9581B">
        <w:tab/>
        <w:t>(a)</w:t>
      </w:r>
      <w:r w:rsidRPr="00A9581B">
        <w:tab/>
        <w:t xml:space="preserve">may result in improvements in energy performance; </w:t>
      </w:r>
      <w:r w:rsidR="00DE065C" w:rsidRPr="00A9581B">
        <w:t>and</w:t>
      </w:r>
    </w:p>
    <w:p w:rsidR="008357FD" w:rsidRPr="00A9581B" w:rsidRDefault="008357FD" w:rsidP="008357FD">
      <w:pPr>
        <w:pStyle w:val="paragraph"/>
      </w:pPr>
      <w:r w:rsidRPr="00A9581B">
        <w:tab/>
        <w:t>(b)</w:t>
      </w:r>
      <w:r w:rsidRPr="00A9581B">
        <w:tab/>
        <w:t>does not</w:t>
      </w:r>
      <w:r w:rsidR="00DE065C" w:rsidRPr="00A9581B">
        <w:t xml:space="preserve"> breach a legal obligation</w:t>
      </w:r>
      <w:r w:rsidRPr="00A9581B">
        <w:t xml:space="preserve"> (such as building regulations or occupational health and safety requirements).</w:t>
      </w:r>
    </w:p>
    <w:p w:rsidR="008357FD" w:rsidRPr="00A9581B" w:rsidRDefault="008357FD" w:rsidP="008357FD">
      <w:pPr>
        <w:pStyle w:val="Definition"/>
      </w:pPr>
      <w:r w:rsidRPr="00A9581B">
        <w:rPr>
          <w:b/>
          <w:i/>
        </w:rPr>
        <w:t>energy performance</w:t>
      </w:r>
      <w:r w:rsidRPr="00A9581B">
        <w:t xml:space="preserve"> means measurable results related to energy efficiency, use and consumption, in a form that enables comparisons against a corporation’s energy policy, objectives, targets and other energy performance requirements.</w:t>
      </w:r>
    </w:p>
    <w:p w:rsidR="008357FD" w:rsidRPr="00A9581B" w:rsidRDefault="008357FD" w:rsidP="008357FD">
      <w:pPr>
        <w:pStyle w:val="Definition"/>
      </w:pPr>
      <w:r w:rsidRPr="00A9581B">
        <w:rPr>
          <w:b/>
          <w:bCs/>
          <w:i/>
        </w:rPr>
        <w:t>energy productivity improvement</w:t>
      </w:r>
      <w:r w:rsidRPr="00A9581B">
        <w:t xml:space="preserve"> means a design choice in relation to a new development or an expansion that:</w:t>
      </w:r>
    </w:p>
    <w:p w:rsidR="008357FD" w:rsidRPr="00A9581B" w:rsidRDefault="008357FD" w:rsidP="008357FD">
      <w:pPr>
        <w:pStyle w:val="paragraph"/>
      </w:pPr>
      <w:r w:rsidRPr="00A9581B">
        <w:tab/>
        <w:t>(a)</w:t>
      </w:r>
      <w:r w:rsidRPr="00A9581B">
        <w:tab/>
        <w:t>relates to energy sources and how energy is used; and</w:t>
      </w:r>
    </w:p>
    <w:p w:rsidR="008357FD" w:rsidRPr="00A9581B" w:rsidRDefault="008357FD" w:rsidP="008357FD">
      <w:pPr>
        <w:pStyle w:val="paragraph"/>
      </w:pPr>
      <w:r w:rsidRPr="00A9581B">
        <w:tab/>
        <w:t>(b)</w:t>
      </w:r>
      <w:r w:rsidRPr="00A9581B">
        <w:tab/>
        <w:t>is intended to produce a financial return.</w:t>
      </w:r>
    </w:p>
    <w:p w:rsidR="008357FD" w:rsidRPr="00A9581B" w:rsidRDefault="008357FD" w:rsidP="008357FD">
      <w:pPr>
        <w:pStyle w:val="Definition"/>
      </w:pPr>
      <w:r w:rsidRPr="00A9581B">
        <w:rPr>
          <w:b/>
          <w:i/>
        </w:rPr>
        <w:t>whole</w:t>
      </w:r>
      <w:r w:rsidR="00A9581B">
        <w:rPr>
          <w:b/>
          <w:i/>
        </w:rPr>
        <w:noBreakHyphen/>
      </w:r>
      <w:r w:rsidRPr="00A9581B">
        <w:rPr>
          <w:b/>
          <w:i/>
        </w:rPr>
        <w:t>of</w:t>
      </w:r>
      <w:r w:rsidR="00A9581B">
        <w:rPr>
          <w:b/>
          <w:i/>
        </w:rPr>
        <w:noBreakHyphen/>
      </w:r>
      <w:r w:rsidRPr="00A9581B">
        <w:rPr>
          <w:b/>
          <w:i/>
        </w:rPr>
        <w:t>business evaluation</w:t>
      </w:r>
      <w:r w:rsidRPr="00A9581B">
        <w:t xml:space="preserve"> of an energy productivity improvement </w:t>
      </w:r>
      <w:r w:rsidR="00DE065C" w:rsidRPr="00A9581B">
        <w:t xml:space="preserve">means a financial evaluation </w:t>
      </w:r>
      <w:r w:rsidRPr="00A9581B">
        <w:t>to consider all relevant quantifiable business costs and benefits relating to the improvement, including:</w:t>
      </w:r>
    </w:p>
    <w:p w:rsidR="008357FD" w:rsidRPr="00A9581B" w:rsidRDefault="008357FD" w:rsidP="008357FD">
      <w:pPr>
        <w:pStyle w:val="paragraph"/>
      </w:pPr>
      <w:r w:rsidRPr="00A9581B">
        <w:tab/>
        <w:t>(a)</w:t>
      </w:r>
      <w:r w:rsidRPr="00A9581B">
        <w:tab/>
        <w:t>direct energy</w:t>
      </w:r>
      <w:r w:rsidR="00A9581B">
        <w:noBreakHyphen/>
      </w:r>
      <w:r w:rsidRPr="00A9581B">
        <w:t>related costs and savings; and</w:t>
      </w:r>
    </w:p>
    <w:p w:rsidR="008357FD" w:rsidRPr="00A9581B" w:rsidRDefault="008357FD" w:rsidP="008357FD">
      <w:pPr>
        <w:pStyle w:val="paragraph"/>
      </w:pPr>
      <w:r w:rsidRPr="00A9581B">
        <w:tab/>
        <w:t>(b)</w:t>
      </w:r>
      <w:r w:rsidRPr="00A9581B">
        <w:tab/>
        <w:t>other quantifiable costs and benefits, including the following for example:</w:t>
      </w:r>
    </w:p>
    <w:p w:rsidR="008357FD" w:rsidRPr="00A9581B" w:rsidRDefault="008357FD" w:rsidP="008357FD">
      <w:pPr>
        <w:pStyle w:val="paragraphsub"/>
      </w:pPr>
      <w:r w:rsidRPr="00A9581B">
        <w:tab/>
        <w:t>(i)</w:t>
      </w:r>
      <w:r w:rsidRPr="00A9581B">
        <w:tab/>
        <w:t>a capital cost or an avoided capital investment;</w:t>
      </w:r>
    </w:p>
    <w:p w:rsidR="008357FD" w:rsidRPr="00A9581B" w:rsidRDefault="008357FD" w:rsidP="008357FD">
      <w:pPr>
        <w:pStyle w:val="paragraphsub"/>
      </w:pPr>
      <w:r w:rsidRPr="00A9581B">
        <w:tab/>
        <w:t>(ii)</w:t>
      </w:r>
      <w:r w:rsidRPr="00A9581B">
        <w:tab/>
        <w:t>the cost of maintenance, waste disposal, water usage or occupational health and safety;</w:t>
      </w:r>
    </w:p>
    <w:p w:rsidR="008357FD" w:rsidRPr="00A9581B" w:rsidRDefault="008357FD" w:rsidP="008357FD">
      <w:pPr>
        <w:pStyle w:val="paragraphsub"/>
      </w:pPr>
      <w:r w:rsidRPr="00A9581B">
        <w:tab/>
        <w:t>(iii)</w:t>
      </w:r>
      <w:r w:rsidRPr="00A9581B">
        <w:tab/>
        <w:t>a cost associated with a project delay;</w:t>
      </w:r>
    </w:p>
    <w:p w:rsidR="008357FD" w:rsidRPr="00A9581B" w:rsidRDefault="008357FD" w:rsidP="008357FD">
      <w:pPr>
        <w:pStyle w:val="paragraphsub"/>
      </w:pPr>
      <w:r w:rsidRPr="00A9581B">
        <w:tab/>
        <w:t>(iv)</w:t>
      </w:r>
      <w:r w:rsidRPr="00A9581B">
        <w:tab/>
        <w:t>a cost associated with a change in productivity, or the quality or quantity of an output;</w:t>
      </w:r>
    </w:p>
    <w:p w:rsidR="008357FD" w:rsidRPr="00A9581B" w:rsidRDefault="008357FD" w:rsidP="008357FD">
      <w:pPr>
        <w:pStyle w:val="paragraphsub"/>
      </w:pPr>
      <w:r w:rsidRPr="00A9581B">
        <w:tab/>
        <w:t>(v)</w:t>
      </w:r>
      <w:r w:rsidRPr="00A9581B">
        <w:tab/>
        <w:t>the cost of an effect on another system.</w:t>
      </w:r>
    </w:p>
    <w:p w:rsidR="008357FD" w:rsidRPr="00A9581B" w:rsidRDefault="004C6E01" w:rsidP="008357FD">
      <w:pPr>
        <w:pStyle w:val="ItemHead"/>
        <w:tabs>
          <w:tab w:val="left" w:pos="6663"/>
        </w:tabs>
      </w:pPr>
      <w:r w:rsidRPr="00A9581B">
        <w:t>2</w:t>
      </w:r>
      <w:r w:rsidR="008357FD" w:rsidRPr="00A9581B">
        <w:t xml:space="preserve">  Subregulation</w:t>
      </w:r>
      <w:r w:rsidR="00A9581B" w:rsidRPr="00A9581B">
        <w:t> </w:t>
      </w:r>
      <w:r w:rsidR="008357FD" w:rsidRPr="00A9581B">
        <w:t>1.3(3)</w:t>
      </w:r>
    </w:p>
    <w:p w:rsidR="008357FD" w:rsidRPr="00A9581B" w:rsidRDefault="008357FD" w:rsidP="008357FD">
      <w:pPr>
        <w:pStyle w:val="Item"/>
      </w:pPr>
      <w:r w:rsidRPr="00A9581B">
        <w:t>Omit “of the Key Elements set out in Schedule</w:t>
      </w:r>
      <w:r w:rsidR="00A9581B" w:rsidRPr="00A9581B">
        <w:t> </w:t>
      </w:r>
      <w:r w:rsidR="00EC08BD" w:rsidRPr="00A9581B">
        <w:t>6</w:t>
      </w:r>
      <w:r w:rsidRPr="00A9581B">
        <w:t>”, substitute “in the table in item</w:t>
      </w:r>
      <w:r w:rsidR="00A9581B" w:rsidRPr="00A9581B">
        <w:t> </w:t>
      </w:r>
      <w:r w:rsidRPr="00A9581B">
        <w:t>301 of Schedule</w:t>
      </w:r>
      <w:r w:rsidR="00A9581B" w:rsidRPr="00A9581B">
        <w:t> </w:t>
      </w:r>
      <w:r w:rsidR="00EC08BD" w:rsidRPr="00A9581B">
        <w:t>2A</w:t>
      </w:r>
      <w:r w:rsidR="00225FA4" w:rsidRPr="00A9581B">
        <w:t>”</w:t>
      </w:r>
      <w:r w:rsidR="00A859A8" w:rsidRPr="00A9581B">
        <w:t>.</w:t>
      </w:r>
    </w:p>
    <w:p w:rsidR="008357FD" w:rsidRPr="00A9581B" w:rsidRDefault="004C6E01" w:rsidP="008357FD">
      <w:pPr>
        <w:pStyle w:val="ItemHead"/>
        <w:tabs>
          <w:tab w:val="left" w:pos="6663"/>
        </w:tabs>
      </w:pPr>
      <w:r w:rsidRPr="00A9581B">
        <w:t>3</w:t>
      </w:r>
      <w:r w:rsidR="008357FD" w:rsidRPr="00A9581B">
        <w:t xml:space="preserve">  Subregulation</w:t>
      </w:r>
      <w:r w:rsidR="00A9581B" w:rsidRPr="00A9581B">
        <w:t> </w:t>
      </w:r>
      <w:r w:rsidR="008357FD" w:rsidRPr="00A9581B">
        <w:t>1.3(5)</w:t>
      </w:r>
    </w:p>
    <w:p w:rsidR="008357FD" w:rsidRPr="00A9581B" w:rsidRDefault="008357FD" w:rsidP="008357FD">
      <w:pPr>
        <w:pStyle w:val="Item"/>
      </w:pPr>
      <w:r w:rsidRPr="00A9581B">
        <w:t>Omit “of the Key Elements set out in Schedule</w:t>
      </w:r>
      <w:r w:rsidR="00A9581B" w:rsidRPr="00A9581B">
        <w:t> </w:t>
      </w:r>
      <w:r w:rsidR="00EC08BD" w:rsidRPr="00A9581B">
        <w:t>6</w:t>
      </w:r>
      <w:r w:rsidRPr="00A9581B">
        <w:t>”, substitute “in the table in item</w:t>
      </w:r>
      <w:r w:rsidR="00A9581B" w:rsidRPr="00A9581B">
        <w:t> </w:t>
      </w:r>
      <w:r w:rsidRPr="00A9581B">
        <w:t>301 of Schedule</w:t>
      </w:r>
      <w:r w:rsidR="00A9581B" w:rsidRPr="00A9581B">
        <w:t> </w:t>
      </w:r>
      <w:r w:rsidR="00EC08BD" w:rsidRPr="00A9581B">
        <w:t>2A</w:t>
      </w:r>
      <w:r w:rsidR="00225FA4" w:rsidRPr="00A9581B">
        <w:t>”</w:t>
      </w:r>
      <w:r w:rsidR="00A859A8" w:rsidRPr="00A9581B">
        <w:t>.</w:t>
      </w:r>
    </w:p>
    <w:p w:rsidR="008357FD" w:rsidRPr="00A9581B" w:rsidRDefault="004C6E01" w:rsidP="008357FD">
      <w:pPr>
        <w:pStyle w:val="ItemHead"/>
        <w:tabs>
          <w:tab w:val="left" w:pos="6663"/>
        </w:tabs>
      </w:pPr>
      <w:r w:rsidRPr="00A9581B">
        <w:t>4</w:t>
      </w:r>
      <w:r w:rsidR="008357FD" w:rsidRPr="00A9581B">
        <w:t xml:space="preserve">  Subregulation</w:t>
      </w:r>
      <w:r w:rsidR="00A9581B" w:rsidRPr="00A9581B">
        <w:t> </w:t>
      </w:r>
      <w:r w:rsidR="008357FD" w:rsidRPr="00A9581B">
        <w:t>1.6(1) (table items</w:t>
      </w:r>
      <w:r w:rsidR="00A9581B" w:rsidRPr="00A9581B">
        <w:t> </w:t>
      </w:r>
      <w:r w:rsidR="008357FD" w:rsidRPr="00A9581B">
        <w:t>2 and 3)</w:t>
      </w:r>
    </w:p>
    <w:p w:rsidR="008357FD" w:rsidRPr="00A9581B" w:rsidRDefault="008357FD" w:rsidP="008357FD">
      <w:pPr>
        <w:pStyle w:val="Item"/>
      </w:pPr>
      <w:r w:rsidRPr="00A9581B">
        <w:t>Omit “mentioned in regulation</w:t>
      </w:r>
      <w:r w:rsidR="00A9581B" w:rsidRPr="00A9581B">
        <w:t> </w:t>
      </w:r>
      <w:r w:rsidRPr="00A9581B">
        <w:t>6.1”.</w:t>
      </w:r>
    </w:p>
    <w:p w:rsidR="008357FD" w:rsidRPr="00A9581B" w:rsidRDefault="004C6E01" w:rsidP="008357FD">
      <w:pPr>
        <w:pStyle w:val="ItemHead"/>
        <w:tabs>
          <w:tab w:val="left" w:pos="6663"/>
        </w:tabs>
      </w:pPr>
      <w:r w:rsidRPr="00A9581B">
        <w:t>5</w:t>
      </w:r>
      <w:r w:rsidR="008357FD" w:rsidRPr="00A9581B">
        <w:t xml:space="preserve">  At the end of Part</w:t>
      </w:r>
      <w:r w:rsidR="00A9581B" w:rsidRPr="00A9581B">
        <w:t> </w:t>
      </w:r>
      <w:r w:rsidR="008357FD" w:rsidRPr="00A9581B">
        <w:t>1</w:t>
      </w:r>
    </w:p>
    <w:p w:rsidR="008357FD" w:rsidRPr="00A9581B" w:rsidRDefault="008357FD" w:rsidP="008357FD">
      <w:pPr>
        <w:pStyle w:val="Item"/>
      </w:pPr>
      <w:r w:rsidRPr="00A9581B">
        <w:t>Add:</w:t>
      </w:r>
    </w:p>
    <w:p w:rsidR="008357FD" w:rsidRPr="00A9581B" w:rsidRDefault="008357FD" w:rsidP="008357FD">
      <w:pPr>
        <w:pStyle w:val="ActHead5"/>
      </w:pPr>
      <w:bookmarkStart w:id="14" w:name="_Toc362873103"/>
      <w:r w:rsidRPr="00A9581B">
        <w:rPr>
          <w:rStyle w:val="CharSectno"/>
        </w:rPr>
        <w:t>1.8</w:t>
      </w:r>
      <w:r w:rsidRPr="00A9581B">
        <w:t xml:space="preserve">  Forms</w:t>
      </w:r>
      <w:bookmarkEnd w:id="14"/>
    </w:p>
    <w:p w:rsidR="008357FD" w:rsidRPr="00A9581B" w:rsidRDefault="008357FD" w:rsidP="008357FD">
      <w:pPr>
        <w:pStyle w:val="subsection"/>
      </w:pPr>
      <w:r w:rsidRPr="00A9581B">
        <w:tab/>
        <w:t>(1)</w:t>
      </w:r>
      <w:r w:rsidRPr="00A9581B">
        <w:tab/>
        <w:t>The Secretary may approve forms for these Regulations.</w:t>
      </w:r>
    </w:p>
    <w:p w:rsidR="008357FD" w:rsidRPr="00A9581B" w:rsidRDefault="008357FD" w:rsidP="008357FD">
      <w:pPr>
        <w:pStyle w:val="subsection"/>
      </w:pPr>
      <w:r w:rsidRPr="00A9581B">
        <w:tab/>
        <w:t>(2)</w:t>
      </w:r>
      <w:r w:rsidRPr="00A9581B">
        <w:tab/>
        <w:t>If the Secretary approves a form for a particular purpose, then subject to these Regulations, the approved form must be used for the purpose.</w:t>
      </w:r>
    </w:p>
    <w:p w:rsidR="008357FD" w:rsidRPr="00A9581B" w:rsidRDefault="008357FD" w:rsidP="008357FD">
      <w:pPr>
        <w:pStyle w:val="subsection"/>
      </w:pPr>
      <w:r w:rsidRPr="00A9581B">
        <w:tab/>
        <w:t>(3)</w:t>
      </w:r>
      <w:r w:rsidRPr="00A9581B">
        <w:tab/>
        <w:t>The Secretary must ensure that approved forms are publicly available.</w:t>
      </w:r>
    </w:p>
    <w:p w:rsidR="008357FD" w:rsidRPr="00A9581B" w:rsidRDefault="004C6E01" w:rsidP="008357FD">
      <w:pPr>
        <w:pStyle w:val="ItemHead"/>
        <w:tabs>
          <w:tab w:val="left" w:pos="6663"/>
        </w:tabs>
      </w:pPr>
      <w:r w:rsidRPr="00A9581B">
        <w:t>6</w:t>
      </w:r>
      <w:r w:rsidR="008357FD" w:rsidRPr="00A9581B">
        <w:t xml:space="preserve">  Regulation</w:t>
      </w:r>
      <w:r w:rsidR="00A9581B" w:rsidRPr="00A9581B">
        <w:t> </w:t>
      </w:r>
      <w:r w:rsidR="008357FD" w:rsidRPr="00A9581B">
        <w:t>5.2</w:t>
      </w:r>
    </w:p>
    <w:p w:rsidR="008357FD" w:rsidRPr="00A9581B" w:rsidRDefault="008357FD" w:rsidP="008357FD">
      <w:pPr>
        <w:pStyle w:val="Item"/>
      </w:pPr>
      <w:r w:rsidRPr="00A9581B">
        <w:t>Repeal the regulation, substitute:</w:t>
      </w:r>
    </w:p>
    <w:p w:rsidR="008357FD" w:rsidRPr="00A9581B" w:rsidRDefault="008357FD" w:rsidP="008357FD">
      <w:pPr>
        <w:pStyle w:val="ActHead5"/>
      </w:pPr>
      <w:bookmarkStart w:id="15" w:name="_Toc362873104"/>
      <w:r w:rsidRPr="00A9581B">
        <w:rPr>
          <w:rStyle w:val="CharSectno"/>
        </w:rPr>
        <w:t>5.2</w:t>
      </w:r>
      <w:r w:rsidRPr="00A9581B">
        <w:t xml:space="preserve">  Requirements for an assessment plan—</w:t>
      </w:r>
      <w:r w:rsidR="00D55E8D" w:rsidRPr="00A9581B">
        <w:t>information in</w:t>
      </w:r>
      <w:r w:rsidRPr="00A9581B">
        <w:t xml:space="preserve"> plan</w:t>
      </w:r>
      <w:bookmarkEnd w:id="15"/>
    </w:p>
    <w:p w:rsidR="008357FD" w:rsidRPr="00A9581B" w:rsidRDefault="008357FD" w:rsidP="008357FD">
      <w:pPr>
        <w:pStyle w:val="subsection"/>
      </w:pPr>
      <w:r w:rsidRPr="00A9581B">
        <w:tab/>
        <w:t>(1)</w:t>
      </w:r>
      <w:r w:rsidRPr="00A9581B">
        <w:tab/>
        <w:t>For paragraph</w:t>
      </w:r>
      <w:r w:rsidR="00A9581B" w:rsidRPr="00A9581B">
        <w:t> </w:t>
      </w:r>
      <w:r w:rsidRPr="00A9581B">
        <w:t xml:space="preserve">18(8)(b) of the Act, this regulation contains the information that </w:t>
      </w:r>
      <w:r w:rsidR="00D55E8D" w:rsidRPr="00A9581B">
        <w:t>is required to be set out in an</w:t>
      </w:r>
      <w:r w:rsidRPr="00A9581B">
        <w:t xml:space="preserve"> assessment plan</w:t>
      </w:r>
      <w:r w:rsidR="00D55E8D" w:rsidRPr="00A9581B">
        <w:t xml:space="preserve"> of a controlling corporation</w:t>
      </w:r>
      <w:r w:rsidRPr="00A9581B">
        <w:t>.</w:t>
      </w:r>
    </w:p>
    <w:p w:rsidR="008357FD" w:rsidRPr="00A9581B" w:rsidRDefault="008357FD" w:rsidP="008357FD">
      <w:pPr>
        <w:pStyle w:val="subsection"/>
      </w:pPr>
      <w:r w:rsidRPr="00A9581B">
        <w:tab/>
        <w:t>(2)</w:t>
      </w:r>
      <w:r w:rsidRPr="00A9581B">
        <w:tab/>
        <w:t>The information is:</w:t>
      </w:r>
    </w:p>
    <w:p w:rsidR="008357FD" w:rsidRPr="00A9581B" w:rsidRDefault="008357FD" w:rsidP="008357FD">
      <w:pPr>
        <w:pStyle w:val="paragraph"/>
      </w:pPr>
      <w:r w:rsidRPr="00A9581B">
        <w:tab/>
        <w:t>(a)</w:t>
      </w:r>
      <w:r w:rsidRPr="00A9581B">
        <w:tab/>
        <w:t>to the extent that the assessment plan relates to a new development or an expansion—the information in Schedule</w:t>
      </w:r>
      <w:r w:rsidR="00A9581B" w:rsidRPr="00A9581B">
        <w:t> </w:t>
      </w:r>
      <w:r w:rsidRPr="00A9581B">
        <w:t>2A; or</w:t>
      </w:r>
    </w:p>
    <w:p w:rsidR="008357FD" w:rsidRPr="00A9581B" w:rsidRDefault="008357FD" w:rsidP="008357FD">
      <w:pPr>
        <w:pStyle w:val="paragraph"/>
      </w:pPr>
      <w:r w:rsidRPr="00A9581B">
        <w:tab/>
        <w:t>(b)</w:t>
      </w:r>
      <w:r w:rsidRPr="00A9581B">
        <w:tab/>
        <w:t>to the extent that the assessment plan relates to an existing facility—the information in Schedule</w:t>
      </w:r>
      <w:r w:rsidR="00A9581B" w:rsidRPr="00A9581B">
        <w:t> </w:t>
      </w:r>
      <w:r w:rsidRPr="00A9581B">
        <w:t>3.</w:t>
      </w:r>
    </w:p>
    <w:p w:rsidR="008357FD" w:rsidRPr="00A9581B" w:rsidRDefault="008357FD" w:rsidP="008357FD">
      <w:pPr>
        <w:pStyle w:val="subsection"/>
      </w:pPr>
      <w:r w:rsidRPr="00A9581B">
        <w:tab/>
        <w:t>(3)</w:t>
      </w:r>
      <w:r w:rsidRPr="00A9581B">
        <w:tab/>
        <w:t>However, if a new development or expansion is likely to affect energy use in relation to an existing facility</w:t>
      </w:r>
      <w:r w:rsidR="007540AC" w:rsidRPr="00A9581B">
        <w:t xml:space="preserve"> (an </w:t>
      </w:r>
      <w:r w:rsidR="007540AC" w:rsidRPr="00A9581B">
        <w:rPr>
          <w:b/>
          <w:i/>
        </w:rPr>
        <w:t>affected facility</w:t>
      </w:r>
      <w:r w:rsidR="007540AC" w:rsidRPr="00A9581B">
        <w:t>)</w:t>
      </w:r>
      <w:r w:rsidRPr="00A9581B">
        <w:t>:</w:t>
      </w:r>
    </w:p>
    <w:p w:rsidR="008357FD" w:rsidRPr="00A9581B" w:rsidRDefault="008357FD" w:rsidP="008357FD">
      <w:pPr>
        <w:pStyle w:val="paragraph"/>
      </w:pPr>
      <w:r w:rsidRPr="00A9581B">
        <w:tab/>
        <w:t>(a)</w:t>
      </w:r>
      <w:r w:rsidRPr="00A9581B">
        <w:tab/>
        <w:t xml:space="preserve">the controlling corporation may </w:t>
      </w:r>
      <w:r w:rsidR="005C0180" w:rsidRPr="00A9581B">
        <w:t xml:space="preserve">choose to </w:t>
      </w:r>
      <w:r w:rsidRPr="00A9581B">
        <w:t xml:space="preserve">prepare the assessment plan as if the </w:t>
      </w:r>
      <w:r w:rsidR="007540AC" w:rsidRPr="00A9581B">
        <w:t>affected</w:t>
      </w:r>
      <w:r w:rsidRPr="00A9581B">
        <w:t xml:space="preserve"> facility w</w:t>
      </w:r>
      <w:r w:rsidR="005C0180" w:rsidRPr="00A9581B">
        <w:t>ere</w:t>
      </w:r>
      <w:r w:rsidRPr="00A9581B">
        <w:t xml:space="preserve"> part of the new development or expansion; and</w:t>
      </w:r>
    </w:p>
    <w:p w:rsidR="008357FD" w:rsidRPr="00A9581B" w:rsidRDefault="008357FD" w:rsidP="008357FD">
      <w:pPr>
        <w:pStyle w:val="paragraph"/>
      </w:pPr>
      <w:r w:rsidRPr="00A9581B">
        <w:tab/>
        <w:t>(b)</w:t>
      </w:r>
      <w:r w:rsidRPr="00A9581B">
        <w:tab/>
        <w:t>if the controlling corporation does so:</w:t>
      </w:r>
    </w:p>
    <w:p w:rsidR="005C0180" w:rsidRPr="00A9581B" w:rsidRDefault="008357FD" w:rsidP="008357FD">
      <w:pPr>
        <w:pStyle w:val="paragraphsub"/>
      </w:pPr>
      <w:r w:rsidRPr="00A9581B">
        <w:tab/>
        <w:t>(i)</w:t>
      </w:r>
      <w:r w:rsidRPr="00A9581B">
        <w:tab/>
      </w:r>
      <w:r w:rsidR="005C0180" w:rsidRPr="00A9581B">
        <w:t xml:space="preserve">the </w:t>
      </w:r>
      <w:r w:rsidR="00416D94" w:rsidRPr="00A9581B">
        <w:t xml:space="preserve">assessment plan </w:t>
      </w:r>
      <w:r w:rsidR="005C0180" w:rsidRPr="00A9581B">
        <w:t xml:space="preserve">must </w:t>
      </w:r>
      <w:r w:rsidR="00416D94" w:rsidRPr="00A9581B">
        <w:t xml:space="preserve">state that the controlling corporation has </w:t>
      </w:r>
      <w:r w:rsidR="00323309" w:rsidRPr="00A9581B">
        <w:t>cho</w:t>
      </w:r>
      <w:r w:rsidR="00416D94" w:rsidRPr="00A9581B">
        <w:t>sen to prepare the plan as if the affected facility were part of the new development or expansion</w:t>
      </w:r>
      <w:r w:rsidR="005C0180" w:rsidRPr="00A9581B">
        <w:t>; and</w:t>
      </w:r>
    </w:p>
    <w:p w:rsidR="008357FD" w:rsidRPr="00A9581B" w:rsidRDefault="005C0180" w:rsidP="008357FD">
      <w:pPr>
        <w:pStyle w:val="paragraphsub"/>
      </w:pPr>
      <w:r w:rsidRPr="00A9581B">
        <w:tab/>
        <w:t>(ii)</w:t>
      </w:r>
      <w:r w:rsidRPr="00A9581B">
        <w:tab/>
      </w:r>
      <w:r w:rsidR="008357FD" w:rsidRPr="00A9581B">
        <w:t>the information required to be set out in the assessment plan</w:t>
      </w:r>
      <w:r w:rsidR="00CD65CD" w:rsidRPr="00A9581B">
        <w:t xml:space="preserve"> </w:t>
      </w:r>
      <w:r w:rsidR="005A139E" w:rsidRPr="00A9581B">
        <w:t>for the new development or expansion</w:t>
      </w:r>
      <w:r w:rsidR="00416D94" w:rsidRPr="00A9581B">
        <w:t>,</w:t>
      </w:r>
      <w:r w:rsidR="005A139E" w:rsidRPr="00A9581B">
        <w:t xml:space="preserve"> and the affected facility</w:t>
      </w:r>
      <w:r w:rsidR="00416D94" w:rsidRPr="00A9581B">
        <w:t>,</w:t>
      </w:r>
      <w:r w:rsidR="005A139E" w:rsidRPr="00A9581B">
        <w:t xml:space="preserve"> is the information in Schedule</w:t>
      </w:r>
      <w:r w:rsidR="00A9581B" w:rsidRPr="00A9581B">
        <w:t> </w:t>
      </w:r>
      <w:r w:rsidR="005A139E" w:rsidRPr="00A9581B">
        <w:t>2A</w:t>
      </w:r>
      <w:r w:rsidR="00CD65CD" w:rsidRPr="00A9581B">
        <w:t>.</w:t>
      </w:r>
    </w:p>
    <w:p w:rsidR="008357FD" w:rsidRPr="00A9581B" w:rsidRDefault="008357FD" w:rsidP="008357FD">
      <w:pPr>
        <w:pStyle w:val="subsection"/>
      </w:pPr>
      <w:r w:rsidRPr="00A9581B">
        <w:tab/>
        <w:t>(4)</w:t>
      </w:r>
      <w:r w:rsidRPr="00A9581B">
        <w:tab/>
        <w:t>The information must relate to:</w:t>
      </w:r>
    </w:p>
    <w:p w:rsidR="008357FD" w:rsidRPr="00A9581B" w:rsidRDefault="008357FD" w:rsidP="008357FD">
      <w:pPr>
        <w:pStyle w:val="paragraph"/>
      </w:pPr>
      <w:r w:rsidRPr="00A9581B">
        <w:tab/>
        <w:t>(a)</w:t>
      </w:r>
      <w:r w:rsidRPr="00A9581B">
        <w:tab/>
        <w:t>the controlling corporation’s group as a whole; or</w:t>
      </w:r>
    </w:p>
    <w:p w:rsidR="008357FD" w:rsidRPr="00A9581B" w:rsidRDefault="008357FD" w:rsidP="008357FD">
      <w:pPr>
        <w:pStyle w:val="paragraph"/>
      </w:pPr>
      <w:r w:rsidRPr="00A9581B">
        <w:tab/>
        <w:t>(b)</w:t>
      </w:r>
      <w:r w:rsidRPr="00A9581B">
        <w:tab/>
        <w:t>if the controlling corporation has authorised members of the group to submit parts of the plan—all of the group, when the parts are combined.</w:t>
      </w:r>
    </w:p>
    <w:p w:rsidR="008357FD" w:rsidRPr="00A9581B" w:rsidRDefault="004C6E01" w:rsidP="008357FD">
      <w:pPr>
        <w:pStyle w:val="ItemHead"/>
        <w:tabs>
          <w:tab w:val="left" w:pos="6663"/>
        </w:tabs>
      </w:pPr>
      <w:r w:rsidRPr="00A9581B">
        <w:t>7</w:t>
      </w:r>
      <w:r w:rsidR="008357FD" w:rsidRPr="00A9581B">
        <w:t xml:space="preserve">  Subregulation</w:t>
      </w:r>
      <w:r w:rsidR="00A9581B" w:rsidRPr="00A9581B">
        <w:t> </w:t>
      </w:r>
      <w:r w:rsidR="008357FD" w:rsidRPr="00A9581B">
        <w:t>5.7(2)</w:t>
      </w:r>
    </w:p>
    <w:p w:rsidR="008357FD" w:rsidRPr="00A9581B" w:rsidRDefault="008357FD" w:rsidP="008357FD">
      <w:pPr>
        <w:pStyle w:val="Item"/>
      </w:pPr>
      <w:r w:rsidRPr="00A9581B">
        <w:t>Repeal the subregulation, substitute:</w:t>
      </w:r>
    </w:p>
    <w:p w:rsidR="008357FD" w:rsidRPr="00A9581B" w:rsidRDefault="008357FD" w:rsidP="008357FD">
      <w:pPr>
        <w:pStyle w:val="subsection"/>
      </w:pPr>
      <w:r w:rsidRPr="00A9581B">
        <w:tab/>
        <w:t>(2)</w:t>
      </w:r>
      <w:r w:rsidRPr="00A9581B">
        <w:tab/>
        <w:t>The proposal must include a timeframe that requires at least one assessment to be completed before the end of the first 2 years of the assessment cycle.</w:t>
      </w:r>
    </w:p>
    <w:p w:rsidR="008357FD" w:rsidRPr="00A9581B" w:rsidRDefault="004C6E01" w:rsidP="008357FD">
      <w:pPr>
        <w:pStyle w:val="ItemHead"/>
        <w:tabs>
          <w:tab w:val="left" w:pos="6663"/>
        </w:tabs>
      </w:pPr>
      <w:r w:rsidRPr="00A9581B">
        <w:t>8</w:t>
      </w:r>
      <w:r w:rsidR="008357FD" w:rsidRPr="00A9581B">
        <w:t xml:space="preserve">  Part</w:t>
      </w:r>
      <w:r w:rsidR="00A9581B" w:rsidRPr="00A9581B">
        <w:t> </w:t>
      </w:r>
      <w:r w:rsidR="008357FD" w:rsidRPr="00A9581B">
        <w:t>6</w:t>
      </w:r>
    </w:p>
    <w:p w:rsidR="008357FD" w:rsidRPr="00A9581B" w:rsidRDefault="008357FD" w:rsidP="008357FD">
      <w:pPr>
        <w:pStyle w:val="Item"/>
      </w:pPr>
      <w:r w:rsidRPr="00A9581B">
        <w:t>Repeal the Part.</w:t>
      </w:r>
    </w:p>
    <w:p w:rsidR="00323309" w:rsidRPr="00A9581B" w:rsidRDefault="004C6E01" w:rsidP="008357FD">
      <w:pPr>
        <w:pStyle w:val="ItemHead"/>
        <w:tabs>
          <w:tab w:val="left" w:pos="6663"/>
        </w:tabs>
      </w:pPr>
      <w:r w:rsidRPr="00A9581B">
        <w:t>9</w:t>
      </w:r>
      <w:r w:rsidR="00323309" w:rsidRPr="00A9581B">
        <w:t xml:space="preserve">  Before Division</w:t>
      </w:r>
      <w:r w:rsidR="00A9581B" w:rsidRPr="00A9581B">
        <w:t> </w:t>
      </w:r>
      <w:r w:rsidR="00323309" w:rsidRPr="00A9581B">
        <w:t>1 of Part</w:t>
      </w:r>
      <w:r w:rsidR="00A9581B" w:rsidRPr="00A9581B">
        <w:t> </w:t>
      </w:r>
      <w:r w:rsidR="00323309" w:rsidRPr="00A9581B">
        <w:t>7</w:t>
      </w:r>
    </w:p>
    <w:p w:rsidR="00323309" w:rsidRPr="00A9581B" w:rsidRDefault="00323309" w:rsidP="00323309">
      <w:pPr>
        <w:pStyle w:val="Item"/>
      </w:pPr>
      <w:r w:rsidRPr="00A9581B">
        <w:t>Insert:</w:t>
      </w:r>
    </w:p>
    <w:p w:rsidR="00323309" w:rsidRPr="00A9581B" w:rsidRDefault="00323309" w:rsidP="00323309">
      <w:pPr>
        <w:pStyle w:val="ActHead3"/>
      </w:pPr>
      <w:bookmarkStart w:id="16" w:name="_Toc362873105"/>
      <w:r w:rsidRPr="00A9581B">
        <w:rPr>
          <w:rStyle w:val="CharDivNo"/>
        </w:rPr>
        <w:t>Division</w:t>
      </w:r>
      <w:r w:rsidR="00A9581B" w:rsidRPr="00A9581B">
        <w:rPr>
          <w:rStyle w:val="CharDivNo"/>
        </w:rPr>
        <w:t> </w:t>
      </w:r>
      <w:r w:rsidRPr="00A9581B">
        <w:rPr>
          <w:rStyle w:val="CharDivNo"/>
        </w:rPr>
        <w:t>1A</w:t>
      </w:r>
      <w:r w:rsidRPr="00A9581B">
        <w:t>—</w:t>
      </w:r>
      <w:r w:rsidRPr="00A9581B">
        <w:rPr>
          <w:rStyle w:val="CharDivText"/>
        </w:rPr>
        <w:t>Application of Part</w:t>
      </w:r>
      <w:bookmarkEnd w:id="16"/>
    </w:p>
    <w:p w:rsidR="00323309" w:rsidRPr="00A9581B" w:rsidRDefault="00323309" w:rsidP="00323309">
      <w:pPr>
        <w:pStyle w:val="ActHead5"/>
      </w:pPr>
      <w:bookmarkStart w:id="17" w:name="_Toc362873106"/>
      <w:r w:rsidRPr="00A9581B">
        <w:rPr>
          <w:rStyle w:val="CharSectno"/>
        </w:rPr>
        <w:t>7.1A</w:t>
      </w:r>
      <w:r w:rsidRPr="00A9581B">
        <w:t xml:space="preserve">  Application of Part</w:t>
      </w:r>
      <w:bookmarkEnd w:id="17"/>
    </w:p>
    <w:p w:rsidR="00323309" w:rsidRPr="00A9581B" w:rsidRDefault="00323309" w:rsidP="00323309">
      <w:pPr>
        <w:pStyle w:val="subsection"/>
      </w:pPr>
      <w:r w:rsidRPr="00A9581B">
        <w:tab/>
      </w:r>
      <w:r w:rsidRPr="00A9581B">
        <w:tab/>
        <w:t xml:space="preserve">If a controlling corporation prepares an assessment plan as if an existing facility (the </w:t>
      </w:r>
      <w:r w:rsidRPr="00A9581B">
        <w:rPr>
          <w:b/>
          <w:i/>
        </w:rPr>
        <w:t>affected facility</w:t>
      </w:r>
      <w:r w:rsidRPr="00A9581B">
        <w:t>) were part of a new development or expansion in accordance with subregulation</w:t>
      </w:r>
      <w:r w:rsidR="00A9581B" w:rsidRPr="00A9581B">
        <w:t> </w:t>
      </w:r>
      <w:r w:rsidRPr="00A9581B">
        <w:t>5.3(3), this Part applies to the affected facility as if it were part of the new development or expansion.</w:t>
      </w:r>
    </w:p>
    <w:p w:rsidR="008357FD" w:rsidRPr="00A9581B" w:rsidRDefault="004C6E01" w:rsidP="008357FD">
      <w:pPr>
        <w:pStyle w:val="ItemHead"/>
        <w:tabs>
          <w:tab w:val="left" w:pos="6663"/>
        </w:tabs>
      </w:pPr>
      <w:r w:rsidRPr="00A9581B">
        <w:t>10</w:t>
      </w:r>
      <w:r w:rsidR="008357FD" w:rsidRPr="00A9581B">
        <w:t xml:space="preserve">  Subregulation</w:t>
      </w:r>
      <w:r w:rsidR="00A9581B" w:rsidRPr="00A9581B">
        <w:t> </w:t>
      </w:r>
      <w:r w:rsidR="008357FD" w:rsidRPr="00A9581B">
        <w:t>7.2(1)</w:t>
      </w:r>
    </w:p>
    <w:p w:rsidR="008357FD" w:rsidRPr="00A9581B" w:rsidRDefault="008357FD" w:rsidP="008357FD">
      <w:pPr>
        <w:pStyle w:val="Item"/>
      </w:pPr>
      <w:r w:rsidRPr="00A9581B">
        <w:t>Omit “Schedule</w:t>
      </w:r>
      <w:r w:rsidR="00A9581B" w:rsidRPr="00A9581B">
        <w:t> </w:t>
      </w:r>
      <w:r w:rsidRPr="00A9581B">
        <w:t>4.”, substitute “the following table:”.</w:t>
      </w:r>
    </w:p>
    <w:p w:rsidR="008357FD" w:rsidRPr="00A9581B" w:rsidRDefault="004C6E01" w:rsidP="008357FD">
      <w:pPr>
        <w:pStyle w:val="ItemHead"/>
      </w:pPr>
      <w:r w:rsidRPr="00A9581B">
        <w:t>11</w:t>
      </w:r>
      <w:r w:rsidR="008357FD" w:rsidRPr="00A9581B">
        <w:t xml:space="preserve">  At the end of subregulation</w:t>
      </w:r>
      <w:r w:rsidR="00A9581B" w:rsidRPr="00A9581B">
        <w:t> </w:t>
      </w:r>
      <w:r w:rsidR="008357FD" w:rsidRPr="00A9581B">
        <w:t>7.2(1)</w:t>
      </w:r>
    </w:p>
    <w:p w:rsidR="008357FD" w:rsidRPr="00A9581B" w:rsidRDefault="008357FD" w:rsidP="008357FD">
      <w:pPr>
        <w:pStyle w:val="Item"/>
      </w:pPr>
      <w:r w:rsidRPr="00A9581B">
        <w:t>Add:</w:t>
      </w:r>
    </w:p>
    <w:p w:rsidR="008357FD" w:rsidRPr="00A9581B" w:rsidRDefault="008357FD" w:rsidP="008357F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8357FD" w:rsidRPr="00A9581B" w:rsidTr="00601CBA">
        <w:trPr>
          <w:tblHeader/>
        </w:trPr>
        <w:tc>
          <w:tcPr>
            <w:tcW w:w="7087" w:type="dxa"/>
            <w:gridSpan w:val="2"/>
            <w:tcBorders>
              <w:top w:val="single" w:sz="12" w:space="0" w:color="auto"/>
              <w:bottom w:val="single" w:sz="4" w:space="0" w:color="auto"/>
            </w:tcBorders>
            <w:shd w:val="clear" w:color="auto" w:fill="auto"/>
          </w:tcPr>
          <w:p w:rsidR="008357FD" w:rsidRPr="00A9581B" w:rsidRDefault="008357FD" w:rsidP="00601CBA">
            <w:pPr>
              <w:pStyle w:val="TableHeading"/>
            </w:pPr>
            <w:r w:rsidRPr="00A9581B">
              <w:t>Information for report under section</w:t>
            </w:r>
            <w:r w:rsidR="00A9581B" w:rsidRPr="00A9581B">
              <w:t> </w:t>
            </w:r>
            <w:r w:rsidRPr="00A9581B">
              <w:t>22 of Act</w:t>
            </w:r>
          </w:p>
        </w:tc>
      </w:tr>
      <w:tr w:rsidR="008357FD" w:rsidRPr="00A9581B" w:rsidTr="00601CBA">
        <w:trPr>
          <w:tblHeader/>
        </w:trPr>
        <w:tc>
          <w:tcPr>
            <w:tcW w:w="714" w:type="dxa"/>
            <w:tcBorders>
              <w:top w:val="single" w:sz="4" w:space="0" w:color="auto"/>
              <w:bottom w:val="single" w:sz="12" w:space="0" w:color="auto"/>
            </w:tcBorders>
            <w:shd w:val="clear" w:color="auto" w:fill="auto"/>
          </w:tcPr>
          <w:p w:rsidR="008357FD" w:rsidRPr="00A9581B" w:rsidRDefault="008357FD" w:rsidP="00601CBA">
            <w:pPr>
              <w:pStyle w:val="TableHeading"/>
            </w:pPr>
            <w:r w:rsidRPr="00A9581B">
              <w:t>Item</w:t>
            </w:r>
          </w:p>
        </w:tc>
        <w:tc>
          <w:tcPr>
            <w:tcW w:w="6373" w:type="dxa"/>
            <w:tcBorders>
              <w:top w:val="single" w:sz="4" w:space="0" w:color="auto"/>
              <w:bottom w:val="single" w:sz="12" w:space="0" w:color="auto"/>
            </w:tcBorders>
            <w:shd w:val="clear" w:color="auto" w:fill="auto"/>
          </w:tcPr>
          <w:p w:rsidR="008357FD" w:rsidRPr="00A9581B" w:rsidRDefault="008357FD" w:rsidP="00601CBA">
            <w:pPr>
              <w:pStyle w:val="TableHeading"/>
            </w:pPr>
            <w:r w:rsidRPr="00A9581B">
              <w:t>Information</w:t>
            </w:r>
          </w:p>
        </w:tc>
      </w:tr>
      <w:tr w:rsidR="008357FD" w:rsidRPr="00A9581B" w:rsidTr="00601CBA">
        <w:tc>
          <w:tcPr>
            <w:tcW w:w="714" w:type="dxa"/>
            <w:tcBorders>
              <w:top w:val="single" w:sz="12" w:space="0" w:color="auto"/>
            </w:tcBorders>
            <w:shd w:val="clear" w:color="auto" w:fill="auto"/>
          </w:tcPr>
          <w:p w:rsidR="008357FD" w:rsidRPr="00A9581B" w:rsidRDefault="008357FD" w:rsidP="00601CBA">
            <w:pPr>
              <w:pStyle w:val="Tabletext"/>
            </w:pPr>
            <w:r w:rsidRPr="00A9581B">
              <w:t>1</w:t>
            </w:r>
          </w:p>
        </w:tc>
        <w:tc>
          <w:tcPr>
            <w:tcW w:w="6373" w:type="dxa"/>
            <w:tcBorders>
              <w:top w:val="single" w:sz="12" w:space="0" w:color="auto"/>
            </w:tcBorders>
            <w:shd w:val="clear" w:color="auto" w:fill="auto"/>
          </w:tcPr>
          <w:p w:rsidR="008357FD" w:rsidRPr="00A9581B" w:rsidRDefault="008357FD" w:rsidP="00601CBA">
            <w:pPr>
              <w:pStyle w:val="Tabletext"/>
            </w:pPr>
            <w:r w:rsidRPr="00A9581B">
              <w:t>The period to which the report relates.</w:t>
            </w:r>
          </w:p>
        </w:tc>
      </w:tr>
      <w:tr w:rsidR="008357FD" w:rsidRPr="00A9581B" w:rsidTr="00601CBA">
        <w:tc>
          <w:tcPr>
            <w:tcW w:w="714" w:type="dxa"/>
            <w:shd w:val="clear" w:color="auto" w:fill="auto"/>
          </w:tcPr>
          <w:p w:rsidR="008357FD" w:rsidRPr="00A9581B" w:rsidRDefault="008357FD" w:rsidP="00601CBA">
            <w:pPr>
              <w:pStyle w:val="Tabletext"/>
            </w:pPr>
            <w:r w:rsidRPr="00A9581B">
              <w:t>2</w:t>
            </w:r>
          </w:p>
        </w:tc>
        <w:tc>
          <w:tcPr>
            <w:tcW w:w="6373" w:type="dxa"/>
            <w:shd w:val="clear" w:color="auto" w:fill="auto"/>
          </w:tcPr>
          <w:p w:rsidR="008357FD" w:rsidRPr="00A9581B" w:rsidRDefault="008357FD" w:rsidP="00601CBA">
            <w:pPr>
              <w:pStyle w:val="Tabletext"/>
            </w:pPr>
            <w:r w:rsidRPr="00A9581B">
              <w:t>Cumulative information about changes in each year, from the start of the assessment cycle, such as:</w:t>
            </w:r>
          </w:p>
          <w:p w:rsidR="008357FD" w:rsidRPr="00A9581B" w:rsidRDefault="008357FD" w:rsidP="00601CBA">
            <w:pPr>
              <w:pStyle w:val="Tablea"/>
            </w:pPr>
            <w:r w:rsidRPr="00A9581B">
              <w:t>(a) the addition of opportunities because of the completion of further assessments; or</w:t>
            </w:r>
          </w:p>
          <w:p w:rsidR="008357FD" w:rsidRPr="00A9581B" w:rsidRDefault="008357FD" w:rsidP="00601CBA">
            <w:pPr>
              <w:pStyle w:val="Tablea"/>
            </w:pPr>
            <w:r w:rsidRPr="00A9581B">
              <w:t>(b) progress in the business response to assessments (for example the progress of an opportunity from “identified” to “implemented”); or</w:t>
            </w:r>
          </w:p>
          <w:p w:rsidR="008357FD" w:rsidRPr="00A9581B" w:rsidRDefault="008357FD" w:rsidP="00601CBA">
            <w:pPr>
              <w:pStyle w:val="Tablea"/>
            </w:pPr>
            <w:r w:rsidRPr="00A9581B">
              <w:t>(c) a change in estimates because of improved accuracy from further investigation or implementation; or</w:t>
            </w:r>
          </w:p>
          <w:p w:rsidR="008357FD" w:rsidRPr="00A9581B" w:rsidRDefault="008357FD" w:rsidP="00601CBA">
            <w:pPr>
              <w:pStyle w:val="Tablea"/>
            </w:pPr>
            <w:r w:rsidRPr="00A9581B">
              <w:t>(d) a change to original estimates due to changes in productivity, production and product mix; or</w:t>
            </w:r>
          </w:p>
          <w:p w:rsidR="008357FD" w:rsidRPr="00A9581B" w:rsidRDefault="008357FD" w:rsidP="00601CBA">
            <w:pPr>
              <w:pStyle w:val="Tablea"/>
            </w:pPr>
            <w:r w:rsidRPr="00A9581B">
              <w:t>(e) the disposal or acquisition of:</w:t>
            </w:r>
          </w:p>
          <w:p w:rsidR="008357FD" w:rsidRPr="00A9581B" w:rsidRDefault="008357FD" w:rsidP="00601CBA">
            <w:pPr>
              <w:pStyle w:val="Tablei"/>
            </w:pPr>
            <w:r w:rsidRPr="00A9581B">
              <w:t>(i) members of the group; or</w:t>
            </w:r>
          </w:p>
          <w:p w:rsidR="008357FD" w:rsidRPr="00A9581B" w:rsidRDefault="008357FD" w:rsidP="00601CBA">
            <w:pPr>
              <w:pStyle w:val="Tablei"/>
            </w:pPr>
            <w:r w:rsidRPr="00A9581B">
              <w:t>(ii) a business unit; or</w:t>
            </w:r>
          </w:p>
          <w:p w:rsidR="008357FD" w:rsidRPr="00A9581B" w:rsidRDefault="008357FD" w:rsidP="00601CBA">
            <w:pPr>
              <w:pStyle w:val="Tablei"/>
            </w:pPr>
            <w:r w:rsidRPr="00A9581B">
              <w:t>(iii) a site; or</w:t>
            </w:r>
          </w:p>
          <w:p w:rsidR="008357FD" w:rsidRPr="00A9581B" w:rsidRDefault="008357FD" w:rsidP="00601CBA">
            <w:pPr>
              <w:pStyle w:val="Tablea"/>
            </w:pPr>
            <w:r w:rsidRPr="00A9581B">
              <w:t>(f) a merger or demerger; or</w:t>
            </w:r>
          </w:p>
          <w:p w:rsidR="008357FD" w:rsidRPr="00A9581B" w:rsidRDefault="008357FD" w:rsidP="00601CBA">
            <w:pPr>
              <w:pStyle w:val="Tablea"/>
            </w:pPr>
            <w:r w:rsidRPr="00A9581B">
              <w:t>(g) significant variations in energy use and energy savings resulting from a change mentioned in this item.</w:t>
            </w:r>
          </w:p>
        </w:tc>
      </w:tr>
      <w:tr w:rsidR="008357FD" w:rsidRPr="00A9581B" w:rsidTr="00601CBA">
        <w:tc>
          <w:tcPr>
            <w:tcW w:w="714" w:type="dxa"/>
            <w:shd w:val="clear" w:color="auto" w:fill="auto"/>
          </w:tcPr>
          <w:p w:rsidR="008357FD" w:rsidRPr="00A9581B" w:rsidRDefault="008357FD" w:rsidP="00601CBA">
            <w:pPr>
              <w:pStyle w:val="Tabletext"/>
            </w:pPr>
            <w:r w:rsidRPr="00A9581B">
              <w:t>3</w:t>
            </w:r>
          </w:p>
        </w:tc>
        <w:tc>
          <w:tcPr>
            <w:tcW w:w="6373" w:type="dxa"/>
            <w:shd w:val="clear" w:color="auto" w:fill="auto"/>
          </w:tcPr>
          <w:p w:rsidR="008357FD" w:rsidRPr="00A9581B" w:rsidRDefault="008357FD" w:rsidP="00601CBA">
            <w:pPr>
              <w:pStyle w:val="Tabletext"/>
            </w:pPr>
            <w:r w:rsidRPr="00A9581B">
              <w:t>A summary of each assessment of opportunities for improving the energy efficiency of the registered corporation’s group that have been undertaken, including as many of the following details that are relevant:</w:t>
            </w:r>
          </w:p>
          <w:p w:rsidR="008357FD" w:rsidRPr="00A9581B" w:rsidRDefault="008357FD" w:rsidP="00601CBA">
            <w:pPr>
              <w:pStyle w:val="Tablea"/>
            </w:pPr>
            <w:r w:rsidRPr="00A9581B">
              <w:t>(a) the names of:</w:t>
            </w:r>
          </w:p>
          <w:p w:rsidR="008357FD" w:rsidRPr="00A9581B" w:rsidRDefault="008357FD" w:rsidP="00601CBA">
            <w:pPr>
              <w:pStyle w:val="Tablei"/>
            </w:pPr>
            <w:r w:rsidRPr="00A9581B">
              <w:t>(i) corporations; and</w:t>
            </w:r>
          </w:p>
          <w:p w:rsidR="008357FD" w:rsidRPr="00A9581B" w:rsidRDefault="008357FD" w:rsidP="00601CBA">
            <w:pPr>
              <w:pStyle w:val="Tablei"/>
            </w:pPr>
            <w:r w:rsidRPr="00A9581B">
              <w:t>(ii) joint ventures and partnerships; and</w:t>
            </w:r>
          </w:p>
          <w:p w:rsidR="008357FD" w:rsidRPr="00A9581B" w:rsidRDefault="008357FD" w:rsidP="00601CBA">
            <w:pPr>
              <w:pStyle w:val="Tablei"/>
            </w:pPr>
            <w:r w:rsidRPr="00A9581B">
              <w:t>(iii) business units; and</w:t>
            </w:r>
          </w:p>
          <w:p w:rsidR="008357FD" w:rsidRPr="00A9581B" w:rsidRDefault="008357FD" w:rsidP="00601CBA">
            <w:pPr>
              <w:pStyle w:val="Tablei"/>
            </w:pPr>
            <w:r w:rsidRPr="00A9581B">
              <w:t>(iv) key activities; and</w:t>
            </w:r>
          </w:p>
          <w:p w:rsidR="008357FD" w:rsidRPr="00A9581B" w:rsidRDefault="008357FD" w:rsidP="00601CBA">
            <w:pPr>
              <w:pStyle w:val="Tablei"/>
            </w:pPr>
            <w:r w:rsidRPr="00A9581B">
              <w:t>(v) sites for which the energy use in the baseline year was over 0.5 PJ;</w:t>
            </w:r>
          </w:p>
          <w:p w:rsidR="008357FD" w:rsidRPr="00A9581B" w:rsidRDefault="008357FD" w:rsidP="00601CBA">
            <w:pPr>
              <w:pStyle w:val="Tablea"/>
            </w:pPr>
            <w:r w:rsidRPr="00A9581B">
              <w:t>(b) the energy use of the relevant part of the group that has been assessed, expressed as a percentage of the energy use of the total energy use of the group or the part of the group covered by the report.</w:t>
            </w:r>
          </w:p>
        </w:tc>
      </w:tr>
      <w:tr w:rsidR="008357FD" w:rsidRPr="00A9581B" w:rsidTr="00601CBA">
        <w:tc>
          <w:tcPr>
            <w:tcW w:w="714" w:type="dxa"/>
            <w:shd w:val="clear" w:color="auto" w:fill="auto"/>
          </w:tcPr>
          <w:p w:rsidR="008357FD" w:rsidRPr="00A9581B" w:rsidRDefault="008357FD" w:rsidP="00601CBA">
            <w:pPr>
              <w:pStyle w:val="Tabletext"/>
            </w:pPr>
            <w:r w:rsidRPr="00A9581B">
              <w:t>4</w:t>
            </w:r>
          </w:p>
        </w:tc>
        <w:tc>
          <w:tcPr>
            <w:tcW w:w="6373" w:type="dxa"/>
            <w:shd w:val="clear" w:color="auto" w:fill="auto"/>
          </w:tcPr>
          <w:p w:rsidR="008357FD" w:rsidRPr="00A9581B" w:rsidRDefault="008357FD" w:rsidP="00601CBA">
            <w:pPr>
              <w:pStyle w:val="Tabletext"/>
            </w:pPr>
            <w:r w:rsidRPr="00A9581B">
              <w:t>A statement to the effect that potential opportunities have been evaluated to an accuracy that is appropriate for the corporation’s business response.</w:t>
            </w:r>
          </w:p>
        </w:tc>
      </w:tr>
      <w:tr w:rsidR="008357FD" w:rsidRPr="00A9581B" w:rsidTr="00601CBA">
        <w:tc>
          <w:tcPr>
            <w:tcW w:w="714" w:type="dxa"/>
            <w:shd w:val="clear" w:color="auto" w:fill="auto"/>
          </w:tcPr>
          <w:p w:rsidR="008357FD" w:rsidRPr="00A9581B" w:rsidRDefault="008357FD" w:rsidP="00601CBA">
            <w:pPr>
              <w:pStyle w:val="Tabletext"/>
            </w:pPr>
            <w:r w:rsidRPr="00A9581B">
              <w:t>5</w:t>
            </w:r>
          </w:p>
        </w:tc>
        <w:tc>
          <w:tcPr>
            <w:tcW w:w="6373" w:type="dxa"/>
            <w:shd w:val="clear" w:color="auto" w:fill="auto"/>
          </w:tcPr>
          <w:p w:rsidR="008357FD" w:rsidRPr="00A9581B" w:rsidRDefault="008357FD" w:rsidP="00601CBA">
            <w:pPr>
              <w:pStyle w:val="Tabletext"/>
            </w:pPr>
            <w:r w:rsidRPr="00A9581B">
              <w:t>The total energy use covered by all assessments to which the report relates.</w:t>
            </w:r>
          </w:p>
          <w:p w:rsidR="008357FD" w:rsidRPr="00A9581B" w:rsidRDefault="008357FD" w:rsidP="00601CBA">
            <w:pPr>
              <w:pStyle w:val="Tabletext"/>
            </w:pPr>
            <w:r w:rsidRPr="00A9581B">
              <w:t>The statement must include the energy use of each group member, or each business unit, or each key activity, that has been assessed, reported as an actual total.</w:t>
            </w:r>
          </w:p>
          <w:p w:rsidR="008357FD" w:rsidRPr="00A9581B" w:rsidRDefault="008357FD" w:rsidP="00601CBA">
            <w:pPr>
              <w:pStyle w:val="Tabletext"/>
            </w:pPr>
            <w:r w:rsidRPr="00A9581B">
              <w:t>However, with the approval of the Secretary, given in relation to an assessment plan, the energy use may be reported as a bandwidth that is no more than:</w:t>
            </w:r>
          </w:p>
          <w:p w:rsidR="008357FD" w:rsidRPr="00A9581B" w:rsidRDefault="008357FD" w:rsidP="00601CBA">
            <w:pPr>
              <w:pStyle w:val="Tablea"/>
            </w:pPr>
            <w:r w:rsidRPr="00A9581B">
              <w:t>(a) if the total energy use is 0.1 PJ or more but not more than 25 PJ—20% of the total energy use; or</w:t>
            </w:r>
          </w:p>
          <w:p w:rsidR="008357FD" w:rsidRPr="00A9581B" w:rsidRDefault="008357FD" w:rsidP="00601CBA">
            <w:pPr>
              <w:pStyle w:val="Tablea"/>
            </w:pPr>
            <w:r w:rsidRPr="00A9581B">
              <w:t>(b) if the total energy use is more than 25 PJ—5 PJ.</w:t>
            </w:r>
          </w:p>
          <w:p w:rsidR="008357FD" w:rsidRPr="00A9581B" w:rsidRDefault="008357FD" w:rsidP="00601CBA">
            <w:pPr>
              <w:pStyle w:val="Tabletext"/>
            </w:pPr>
            <w:r w:rsidRPr="00A9581B">
              <w:t>If the total energy use is 0.1 PJ or more but not more than 25 PJ, the bandwidth must be expressed as the following fraction:</w:t>
            </w:r>
          </w:p>
          <w:bookmarkStart w:id="18" w:name="BKCheck15B_5"/>
          <w:bookmarkEnd w:id="18"/>
          <w:p w:rsidR="008357FD" w:rsidRPr="00A9581B" w:rsidRDefault="008357FD" w:rsidP="00601CBA">
            <w:pPr>
              <w:pStyle w:val="Tabletext"/>
            </w:pPr>
            <w:r w:rsidRPr="00A9581B">
              <w:object w:dxaOrig="2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8.25pt" o:ole="">
                  <v:imagedata r:id="rId22" o:title=""/>
                </v:shape>
                <o:OLEObject Type="Embed" ProgID="Equation.DSMT4" ShapeID="_x0000_i1025" DrawAspect="Content" ObjectID="_1437207777" r:id="rId23"/>
              </w:object>
            </w:r>
          </w:p>
          <w:p w:rsidR="008357FD" w:rsidRPr="00A9581B" w:rsidRDefault="008357FD" w:rsidP="00601CBA">
            <w:pPr>
              <w:pStyle w:val="Tablea"/>
            </w:pPr>
            <w:r w:rsidRPr="00A9581B">
              <w:t>where:</w:t>
            </w:r>
          </w:p>
          <w:p w:rsidR="008357FD" w:rsidRPr="00A9581B" w:rsidRDefault="008357FD" w:rsidP="00601CBA">
            <w:pPr>
              <w:pStyle w:val="Tablea"/>
            </w:pPr>
            <w:r w:rsidRPr="00A9581B">
              <w:rPr>
                <w:b/>
                <w:i/>
              </w:rPr>
              <w:t>A</w:t>
            </w:r>
            <w:r w:rsidRPr="00A9581B">
              <w:t xml:space="preserve"> is:</w:t>
            </w:r>
          </w:p>
          <w:p w:rsidR="008357FD" w:rsidRPr="00A9581B" w:rsidRDefault="008357FD" w:rsidP="00601CBA">
            <w:pPr>
              <w:pStyle w:val="Tablea"/>
            </w:pPr>
            <w:r w:rsidRPr="00A9581B">
              <w:t>(a) no less than the total energy use; and</w:t>
            </w:r>
          </w:p>
          <w:p w:rsidR="008357FD" w:rsidRPr="00A9581B" w:rsidRDefault="008357FD" w:rsidP="00601CBA">
            <w:pPr>
              <w:pStyle w:val="Tablea"/>
            </w:pPr>
            <w:r w:rsidRPr="00A9581B">
              <w:t>(b) no more than the total energy use plus 20%.</w:t>
            </w:r>
          </w:p>
          <w:p w:rsidR="008357FD" w:rsidRPr="00A9581B" w:rsidRDefault="008357FD" w:rsidP="00601CBA">
            <w:pPr>
              <w:pStyle w:val="Tablea"/>
            </w:pPr>
            <w:r w:rsidRPr="00A9581B">
              <w:rPr>
                <w:b/>
                <w:i/>
              </w:rPr>
              <w:t>B</w:t>
            </w:r>
            <w:r w:rsidRPr="00A9581B">
              <w:t xml:space="preserve"> is:</w:t>
            </w:r>
          </w:p>
          <w:p w:rsidR="008357FD" w:rsidRPr="00A9581B" w:rsidRDefault="008357FD" w:rsidP="00601CBA">
            <w:pPr>
              <w:pStyle w:val="Tablea"/>
            </w:pPr>
            <w:r w:rsidRPr="00A9581B">
              <w:t>(a) no more than the total energy use; and</w:t>
            </w:r>
          </w:p>
          <w:p w:rsidR="008357FD" w:rsidRPr="00A9581B" w:rsidRDefault="008357FD" w:rsidP="00601CBA">
            <w:pPr>
              <w:pStyle w:val="Tablea"/>
            </w:pPr>
            <w:r w:rsidRPr="00A9581B">
              <w:t>(b) no less than the total energy use minus 20%.</w:t>
            </w:r>
          </w:p>
          <w:p w:rsidR="008357FD" w:rsidRPr="00A9581B" w:rsidRDefault="008357FD" w:rsidP="00601CBA">
            <w:pPr>
              <w:pStyle w:val="Tabletext"/>
            </w:pPr>
            <w:r w:rsidRPr="00A9581B">
              <w:t>If the total energy use is more than 25 PJ, the bandwidth must be expressed as the following fraction:</w:t>
            </w:r>
          </w:p>
          <w:bookmarkStart w:id="19" w:name="BKCheck15B_6"/>
          <w:bookmarkEnd w:id="19"/>
          <w:p w:rsidR="008357FD" w:rsidRPr="00A9581B" w:rsidRDefault="008357FD" w:rsidP="00601CBA">
            <w:pPr>
              <w:pStyle w:val="Tabletext"/>
            </w:pPr>
            <w:r w:rsidRPr="00A9581B">
              <w:object w:dxaOrig="260" w:dyaOrig="760">
                <v:shape id="_x0000_i1026" type="#_x0000_t75" style="width:12.75pt;height:38.25pt" o:ole="">
                  <v:imagedata r:id="rId24" o:title=""/>
                </v:shape>
                <o:OLEObject Type="Embed" ProgID="Equation.DSMT4" ShapeID="_x0000_i1026" DrawAspect="Content" ObjectID="_1437207778" r:id="rId25"/>
              </w:object>
            </w:r>
          </w:p>
          <w:p w:rsidR="008357FD" w:rsidRPr="00A9581B" w:rsidRDefault="008357FD" w:rsidP="00601CBA">
            <w:pPr>
              <w:pStyle w:val="Tablea"/>
            </w:pPr>
            <w:r w:rsidRPr="00A9581B">
              <w:t>where:</w:t>
            </w:r>
          </w:p>
          <w:p w:rsidR="008357FD" w:rsidRPr="00A9581B" w:rsidRDefault="008357FD" w:rsidP="00601CBA">
            <w:pPr>
              <w:pStyle w:val="Tablea"/>
            </w:pPr>
            <w:r w:rsidRPr="00A9581B">
              <w:rPr>
                <w:b/>
                <w:i/>
              </w:rPr>
              <w:t>C</w:t>
            </w:r>
            <w:r w:rsidRPr="00A9581B">
              <w:t xml:space="preserve"> is:</w:t>
            </w:r>
          </w:p>
          <w:p w:rsidR="008357FD" w:rsidRPr="00A9581B" w:rsidRDefault="008357FD" w:rsidP="00601CBA">
            <w:pPr>
              <w:pStyle w:val="Tablea"/>
            </w:pPr>
            <w:r w:rsidRPr="00A9581B">
              <w:t>(a) no less than the total energy use; and</w:t>
            </w:r>
          </w:p>
          <w:p w:rsidR="008357FD" w:rsidRPr="00A9581B" w:rsidRDefault="008357FD" w:rsidP="00601CBA">
            <w:pPr>
              <w:pStyle w:val="Tablea"/>
            </w:pPr>
            <w:r w:rsidRPr="00A9581B">
              <w:t>(b) no more than the total energy use plus 5 PJ.</w:t>
            </w:r>
          </w:p>
          <w:p w:rsidR="008357FD" w:rsidRPr="00A9581B" w:rsidRDefault="008357FD" w:rsidP="00601CBA">
            <w:pPr>
              <w:pStyle w:val="Tablea"/>
            </w:pPr>
            <w:r w:rsidRPr="00A9581B">
              <w:rPr>
                <w:b/>
                <w:i/>
              </w:rPr>
              <w:t>D</w:t>
            </w:r>
            <w:r w:rsidRPr="00A9581B">
              <w:t xml:space="preserve"> is:</w:t>
            </w:r>
          </w:p>
          <w:p w:rsidR="008357FD" w:rsidRPr="00A9581B" w:rsidRDefault="008357FD" w:rsidP="00601CBA">
            <w:pPr>
              <w:pStyle w:val="Tablea"/>
            </w:pPr>
            <w:r w:rsidRPr="00A9581B">
              <w:t>(a) no more than the total energy use; and</w:t>
            </w:r>
          </w:p>
          <w:p w:rsidR="008357FD" w:rsidRPr="00A9581B" w:rsidRDefault="008357FD" w:rsidP="00601CBA">
            <w:pPr>
              <w:pStyle w:val="Tablea"/>
            </w:pPr>
            <w:r w:rsidRPr="00A9581B">
              <w:t>(b) no less than the total energy use minus 5 PJ.</w:t>
            </w:r>
          </w:p>
        </w:tc>
      </w:tr>
      <w:tr w:rsidR="008357FD" w:rsidRPr="00A9581B" w:rsidTr="00601CBA">
        <w:tc>
          <w:tcPr>
            <w:tcW w:w="714" w:type="dxa"/>
            <w:tcBorders>
              <w:bottom w:val="single" w:sz="4" w:space="0" w:color="auto"/>
            </w:tcBorders>
            <w:shd w:val="clear" w:color="auto" w:fill="auto"/>
          </w:tcPr>
          <w:p w:rsidR="008357FD" w:rsidRPr="00A9581B" w:rsidRDefault="008357FD" w:rsidP="00601CBA">
            <w:pPr>
              <w:pStyle w:val="Tabletext"/>
            </w:pPr>
            <w:r w:rsidRPr="00A9581B">
              <w:t>6</w:t>
            </w:r>
          </w:p>
        </w:tc>
        <w:tc>
          <w:tcPr>
            <w:tcW w:w="6373" w:type="dxa"/>
            <w:tcBorders>
              <w:bottom w:val="single" w:sz="4" w:space="0" w:color="auto"/>
            </w:tcBorders>
            <w:shd w:val="clear" w:color="auto" w:fill="auto"/>
          </w:tcPr>
          <w:p w:rsidR="008357FD" w:rsidRPr="00A9581B" w:rsidRDefault="008357FD" w:rsidP="00601CBA">
            <w:pPr>
              <w:pStyle w:val="Tabletext"/>
            </w:pPr>
            <w:r w:rsidRPr="00A9581B">
              <w:t>The amounts of energy savings, according to whether an opportunity for the group member, or business unit, or key activity has been identified through an assessment and either:</w:t>
            </w:r>
          </w:p>
          <w:p w:rsidR="008357FD" w:rsidRPr="00A9581B" w:rsidRDefault="008357FD" w:rsidP="00601CBA">
            <w:pPr>
              <w:pStyle w:val="Tablea"/>
            </w:pPr>
            <w:r w:rsidRPr="00A9581B">
              <w:t>(a) is under current investigation; or</w:t>
            </w:r>
          </w:p>
          <w:p w:rsidR="008357FD" w:rsidRPr="00A9581B" w:rsidRDefault="008357FD" w:rsidP="00601CBA">
            <w:pPr>
              <w:pStyle w:val="Tablea"/>
            </w:pPr>
            <w:r w:rsidRPr="00A9581B">
              <w:t>(b) has been implemented; or</w:t>
            </w:r>
          </w:p>
          <w:p w:rsidR="008357FD" w:rsidRPr="00A9581B" w:rsidRDefault="008357FD" w:rsidP="00601CBA">
            <w:pPr>
              <w:pStyle w:val="Tablea"/>
            </w:pPr>
            <w:r w:rsidRPr="00A9581B">
              <w:t>(c) is being implemented; or</w:t>
            </w:r>
          </w:p>
          <w:p w:rsidR="008357FD" w:rsidRPr="00A9581B" w:rsidRDefault="008357FD" w:rsidP="00601CBA">
            <w:pPr>
              <w:pStyle w:val="Tablea"/>
            </w:pPr>
            <w:r w:rsidRPr="00A9581B">
              <w:t>(d) is proposed to be implemented; or</w:t>
            </w:r>
          </w:p>
          <w:p w:rsidR="008357FD" w:rsidRPr="00A9581B" w:rsidRDefault="008357FD" w:rsidP="008006D8">
            <w:pPr>
              <w:pStyle w:val="Tablea"/>
            </w:pPr>
            <w:r w:rsidRPr="00A9581B">
              <w:t>(e) will not be implemented.</w:t>
            </w:r>
          </w:p>
        </w:tc>
      </w:tr>
      <w:tr w:rsidR="008357FD" w:rsidRPr="00A9581B" w:rsidTr="00601CBA">
        <w:tc>
          <w:tcPr>
            <w:tcW w:w="714" w:type="dxa"/>
            <w:shd w:val="clear" w:color="auto" w:fill="auto"/>
          </w:tcPr>
          <w:p w:rsidR="008357FD" w:rsidRPr="00A9581B" w:rsidRDefault="008357FD" w:rsidP="00601CBA">
            <w:pPr>
              <w:pStyle w:val="Tabletext"/>
            </w:pPr>
            <w:r w:rsidRPr="00A9581B">
              <w:t>7</w:t>
            </w:r>
          </w:p>
        </w:tc>
        <w:tc>
          <w:tcPr>
            <w:tcW w:w="6373" w:type="dxa"/>
            <w:shd w:val="clear" w:color="auto" w:fill="auto"/>
          </w:tcPr>
          <w:p w:rsidR="008357FD" w:rsidRPr="00A9581B" w:rsidRDefault="008357FD" w:rsidP="00601CBA">
            <w:pPr>
              <w:pStyle w:val="Tabletext"/>
            </w:pPr>
            <w:r w:rsidRPr="00A9581B">
              <w:t>The number of opportunities mentioned in item</w:t>
            </w:r>
            <w:r w:rsidR="00A9581B" w:rsidRPr="00A9581B">
              <w:t> </w:t>
            </w:r>
            <w:r w:rsidRPr="00A9581B">
              <w:t>6.</w:t>
            </w:r>
          </w:p>
        </w:tc>
      </w:tr>
      <w:tr w:rsidR="008357FD" w:rsidRPr="00A9581B" w:rsidTr="00601CBA">
        <w:tc>
          <w:tcPr>
            <w:tcW w:w="714" w:type="dxa"/>
            <w:shd w:val="clear" w:color="auto" w:fill="auto"/>
          </w:tcPr>
          <w:p w:rsidR="008357FD" w:rsidRPr="00A9581B" w:rsidRDefault="008357FD" w:rsidP="00601CBA">
            <w:pPr>
              <w:pStyle w:val="Tabletext"/>
            </w:pPr>
            <w:r w:rsidRPr="00A9581B">
              <w:t>8</w:t>
            </w:r>
          </w:p>
        </w:tc>
        <w:tc>
          <w:tcPr>
            <w:tcW w:w="6373" w:type="dxa"/>
            <w:shd w:val="clear" w:color="auto" w:fill="auto"/>
          </w:tcPr>
          <w:p w:rsidR="008357FD" w:rsidRPr="00A9581B" w:rsidRDefault="008357FD" w:rsidP="00601CBA">
            <w:pPr>
              <w:pStyle w:val="Tabletext"/>
            </w:pPr>
            <w:r w:rsidRPr="00A9581B">
              <w:t>At least one example of a significant opportunity, including a brief description of the opportunity using commonly understood terminology, for improving:</w:t>
            </w:r>
          </w:p>
          <w:p w:rsidR="008357FD" w:rsidRPr="00A9581B" w:rsidRDefault="008357FD" w:rsidP="00601CBA">
            <w:pPr>
              <w:pStyle w:val="Tablea"/>
            </w:pPr>
            <w:r w:rsidRPr="00A9581B">
              <w:t>(a) for the part of the controlling corporation’s group to which the report relates—the energy efficiency of the group that has been mentioned in the assessment of energy efficiency opportunities; or</w:t>
            </w:r>
          </w:p>
          <w:p w:rsidR="008357FD" w:rsidRPr="00A9581B" w:rsidRDefault="008357FD" w:rsidP="00601CBA">
            <w:pPr>
              <w:pStyle w:val="Tablea"/>
            </w:pPr>
            <w:r w:rsidRPr="00A9581B">
              <w:t>(b) for each group member, or business unit, or key activity to which the report relates—energy efficiency that has been identified in the report.</w:t>
            </w:r>
          </w:p>
        </w:tc>
      </w:tr>
      <w:tr w:rsidR="008357FD" w:rsidRPr="00A9581B" w:rsidTr="00601CBA">
        <w:tc>
          <w:tcPr>
            <w:tcW w:w="714" w:type="dxa"/>
            <w:tcBorders>
              <w:bottom w:val="single" w:sz="12" w:space="0" w:color="auto"/>
            </w:tcBorders>
            <w:shd w:val="clear" w:color="auto" w:fill="auto"/>
          </w:tcPr>
          <w:p w:rsidR="008357FD" w:rsidRPr="00A9581B" w:rsidRDefault="008357FD" w:rsidP="00601CBA">
            <w:pPr>
              <w:pStyle w:val="Tabletext"/>
            </w:pPr>
            <w:r w:rsidRPr="00A9581B">
              <w:t>9</w:t>
            </w:r>
          </w:p>
        </w:tc>
        <w:tc>
          <w:tcPr>
            <w:tcW w:w="6373" w:type="dxa"/>
            <w:tcBorders>
              <w:bottom w:val="single" w:sz="12" w:space="0" w:color="auto"/>
            </w:tcBorders>
            <w:shd w:val="clear" w:color="auto" w:fill="auto"/>
          </w:tcPr>
          <w:p w:rsidR="008357FD" w:rsidRPr="00A9581B" w:rsidRDefault="008357FD" w:rsidP="00601CBA">
            <w:pPr>
              <w:pStyle w:val="Tabletext"/>
            </w:pPr>
            <w:r w:rsidRPr="00A9581B">
              <w:t>A declaration by the person mentioned in paragraph</w:t>
            </w:r>
            <w:r w:rsidR="00A9581B" w:rsidRPr="00A9581B">
              <w:t> </w:t>
            </w:r>
            <w:r w:rsidRPr="00A9581B">
              <w:t>22(4)(b) of the Act in relation to the corporation that the information included in the report is, to the best of the person’s knowledge, correct and in accordance with the Act and these Regulations.</w:t>
            </w:r>
          </w:p>
        </w:tc>
      </w:tr>
    </w:tbl>
    <w:p w:rsidR="008357FD" w:rsidRPr="00A9581B" w:rsidRDefault="008357FD" w:rsidP="008357FD">
      <w:pPr>
        <w:pStyle w:val="Tabletext"/>
      </w:pPr>
    </w:p>
    <w:p w:rsidR="00EC08BD" w:rsidRPr="00A9581B" w:rsidRDefault="004C6E01" w:rsidP="00EC08BD">
      <w:pPr>
        <w:pStyle w:val="ItemHead"/>
      </w:pPr>
      <w:r w:rsidRPr="00A9581B">
        <w:t>12</w:t>
      </w:r>
      <w:r w:rsidR="00EC08BD" w:rsidRPr="00A9581B">
        <w:t xml:space="preserve">  After subregulation</w:t>
      </w:r>
      <w:r w:rsidR="00A9581B" w:rsidRPr="00A9581B">
        <w:t> </w:t>
      </w:r>
      <w:r w:rsidR="00EC08BD" w:rsidRPr="00A9581B">
        <w:t>7.2(1)</w:t>
      </w:r>
    </w:p>
    <w:p w:rsidR="00EC08BD" w:rsidRPr="00A9581B" w:rsidRDefault="00EC08BD" w:rsidP="00EC08BD">
      <w:pPr>
        <w:pStyle w:val="Item"/>
      </w:pPr>
      <w:r w:rsidRPr="00A9581B">
        <w:t>Insert:</w:t>
      </w:r>
    </w:p>
    <w:p w:rsidR="008357FD" w:rsidRPr="00A9581B" w:rsidRDefault="008357FD" w:rsidP="008357FD">
      <w:pPr>
        <w:pStyle w:val="subsection"/>
      </w:pPr>
      <w:r w:rsidRPr="00A9581B">
        <w:tab/>
        <w:t>(1A)</w:t>
      </w:r>
      <w:r w:rsidRPr="00A9581B">
        <w:tab/>
        <w:t>If a proposal to report in a bandwidth of energy use has been approved in an assessment plan, the method in the table must be used to work out what reporting bandwidth are be used for a level of actual energy use.</w:t>
      </w:r>
    </w:p>
    <w:p w:rsidR="008357FD" w:rsidRPr="00A9581B" w:rsidRDefault="008357FD" w:rsidP="008357FD">
      <w:pPr>
        <w:pStyle w:val="subsection"/>
      </w:pPr>
      <w:r w:rsidRPr="00A9581B">
        <w:tab/>
        <w:t>(1B)</w:t>
      </w:r>
      <w:r w:rsidRPr="00A9581B">
        <w:tab/>
        <w:t>If an entity departs from standard conversion methods in working out the amount of energy from an energy source, the entity must mention in its report the conversion factors that were used.</w:t>
      </w:r>
    </w:p>
    <w:p w:rsidR="008357FD" w:rsidRPr="00A9581B" w:rsidRDefault="004C6E01" w:rsidP="008357FD">
      <w:pPr>
        <w:pStyle w:val="ItemHead"/>
      </w:pPr>
      <w:r w:rsidRPr="00A9581B">
        <w:t>13</w:t>
      </w:r>
      <w:r w:rsidR="008357FD" w:rsidRPr="00A9581B">
        <w:t xml:space="preserve">  Subregulation</w:t>
      </w:r>
      <w:r w:rsidR="00A9581B" w:rsidRPr="00A9581B">
        <w:t> </w:t>
      </w:r>
      <w:r w:rsidR="008357FD" w:rsidRPr="00A9581B">
        <w:t>7.2(2)</w:t>
      </w:r>
    </w:p>
    <w:p w:rsidR="008357FD" w:rsidRPr="00A9581B" w:rsidRDefault="008357FD" w:rsidP="008357FD">
      <w:pPr>
        <w:pStyle w:val="Item"/>
      </w:pPr>
      <w:r w:rsidRPr="00A9581B">
        <w:t>Omit “For Schedule</w:t>
      </w:r>
      <w:r w:rsidR="00A9581B" w:rsidRPr="00A9581B">
        <w:t> </w:t>
      </w:r>
      <w:r w:rsidRPr="00A9581B">
        <w:t>4, if”, substitute “If”.</w:t>
      </w:r>
    </w:p>
    <w:p w:rsidR="008357FD" w:rsidRPr="00A9581B" w:rsidRDefault="004C6E01" w:rsidP="008357FD">
      <w:pPr>
        <w:pStyle w:val="ItemHead"/>
        <w:tabs>
          <w:tab w:val="left" w:pos="6663"/>
        </w:tabs>
      </w:pPr>
      <w:r w:rsidRPr="00A9581B">
        <w:t>14</w:t>
      </w:r>
      <w:r w:rsidR="008357FD" w:rsidRPr="00A9581B">
        <w:t xml:space="preserve">  Subregulation</w:t>
      </w:r>
      <w:r w:rsidR="00A9581B" w:rsidRPr="00A9581B">
        <w:t> </w:t>
      </w:r>
      <w:r w:rsidR="008357FD" w:rsidRPr="00A9581B">
        <w:t>7.2(3)</w:t>
      </w:r>
    </w:p>
    <w:p w:rsidR="008357FD" w:rsidRPr="00A9581B" w:rsidRDefault="008357FD" w:rsidP="008357FD">
      <w:pPr>
        <w:pStyle w:val="Item"/>
      </w:pPr>
      <w:r w:rsidRPr="00A9581B">
        <w:t>Omit “Schedule</w:t>
      </w:r>
      <w:r w:rsidR="00A9581B" w:rsidRPr="00A9581B">
        <w:t> </w:t>
      </w:r>
      <w:r w:rsidRPr="00A9581B">
        <w:t>4A.”, substitute “the following table:”.</w:t>
      </w:r>
    </w:p>
    <w:p w:rsidR="008357FD" w:rsidRPr="00A9581B" w:rsidRDefault="004C6E01" w:rsidP="008357FD">
      <w:pPr>
        <w:pStyle w:val="ItemHead"/>
      </w:pPr>
      <w:r w:rsidRPr="00A9581B">
        <w:t>15</w:t>
      </w:r>
      <w:r w:rsidR="008357FD" w:rsidRPr="00A9581B">
        <w:t xml:space="preserve">  At the end of subregulation</w:t>
      </w:r>
      <w:r w:rsidR="00A9581B" w:rsidRPr="00A9581B">
        <w:t> </w:t>
      </w:r>
      <w:r w:rsidR="008357FD" w:rsidRPr="00A9581B">
        <w:t>7.2(3)</w:t>
      </w:r>
    </w:p>
    <w:p w:rsidR="008357FD" w:rsidRPr="00A9581B" w:rsidRDefault="008357FD" w:rsidP="008357FD">
      <w:pPr>
        <w:pStyle w:val="Item"/>
      </w:pPr>
      <w:r w:rsidRPr="00A9581B">
        <w:t>Add:</w:t>
      </w:r>
    </w:p>
    <w:p w:rsidR="008357FD" w:rsidRPr="00A9581B" w:rsidRDefault="008357FD" w:rsidP="008357F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8357FD" w:rsidRPr="00A9581B" w:rsidTr="00601CBA">
        <w:trPr>
          <w:tblHeader/>
        </w:trPr>
        <w:tc>
          <w:tcPr>
            <w:tcW w:w="7087" w:type="dxa"/>
            <w:gridSpan w:val="2"/>
            <w:tcBorders>
              <w:top w:val="single" w:sz="12" w:space="0" w:color="auto"/>
              <w:bottom w:val="single" w:sz="4" w:space="0" w:color="auto"/>
            </w:tcBorders>
            <w:shd w:val="clear" w:color="auto" w:fill="auto"/>
          </w:tcPr>
          <w:p w:rsidR="008357FD" w:rsidRPr="00A9581B" w:rsidRDefault="008357FD" w:rsidP="00601CBA">
            <w:pPr>
              <w:pStyle w:val="TableHeading"/>
            </w:pPr>
            <w:r w:rsidRPr="00A9581B">
              <w:t>Information for report under section</w:t>
            </w:r>
            <w:r w:rsidR="00A9581B" w:rsidRPr="00A9581B">
              <w:t> </w:t>
            </w:r>
            <w:r w:rsidRPr="00A9581B">
              <w:t>22 of Act—new development or expansion</w:t>
            </w:r>
          </w:p>
        </w:tc>
      </w:tr>
      <w:tr w:rsidR="008357FD" w:rsidRPr="00A9581B" w:rsidTr="00601CBA">
        <w:trPr>
          <w:tblHeader/>
        </w:trPr>
        <w:tc>
          <w:tcPr>
            <w:tcW w:w="714" w:type="dxa"/>
            <w:tcBorders>
              <w:top w:val="single" w:sz="4" w:space="0" w:color="auto"/>
              <w:bottom w:val="single" w:sz="12" w:space="0" w:color="auto"/>
            </w:tcBorders>
            <w:shd w:val="clear" w:color="auto" w:fill="auto"/>
          </w:tcPr>
          <w:p w:rsidR="008357FD" w:rsidRPr="00A9581B" w:rsidRDefault="008357FD" w:rsidP="00601CBA">
            <w:pPr>
              <w:pStyle w:val="TableHeading"/>
            </w:pPr>
            <w:r w:rsidRPr="00A9581B">
              <w:t>Item</w:t>
            </w:r>
          </w:p>
        </w:tc>
        <w:tc>
          <w:tcPr>
            <w:tcW w:w="6373" w:type="dxa"/>
            <w:tcBorders>
              <w:top w:val="single" w:sz="4" w:space="0" w:color="auto"/>
              <w:bottom w:val="single" w:sz="12" w:space="0" w:color="auto"/>
            </w:tcBorders>
            <w:shd w:val="clear" w:color="auto" w:fill="auto"/>
          </w:tcPr>
          <w:p w:rsidR="008357FD" w:rsidRPr="00A9581B" w:rsidRDefault="008357FD" w:rsidP="00601CBA">
            <w:pPr>
              <w:pStyle w:val="TableHeading"/>
            </w:pPr>
            <w:r w:rsidRPr="00A9581B">
              <w:t>Information</w:t>
            </w:r>
          </w:p>
        </w:tc>
      </w:tr>
      <w:tr w:rsidR="008357FD" w:rsidRPr="00A9581B" w:rsidTr="00601CBA">
        <w:tc>
          <w:tcPr>
            <w:tcW w:w="714" w:type="dxa"/>
            <w:tcBorders>
              <w:top w:val="single" w:sz="12" w:space="0" w:color="auto"/>
            </w:tcBorders>
            <w:shd w:val="clear" w:color="auto" w:fill="auto"/>
          </w:tcPr>
          <w:p w:rsidR="008357FD" w:rsidRPr="00A9581B" w:rsidRDefault="008357FD" w:rsidP="00601CBA">
            <w:pPr>
              <w:pStyle w:val="Tabletext"/>
            </w:pPr>
            <w:r w:rsidRPr="00A9581B">
              <w:t>1</w:t>
            </w:r>
          </w:p>
        </w:tc>
        <w:tc>
          <w:tcPr>
            <w:tcW w:w="6373" w:type="dxa"/>
            <w:tcBorders>
              <w:top w:val="single" w:sz="12" w:space="0" w:color="auto"/>
            </w:tcBorders>
            <w:shd w:val="clear" w:color="auto" w:fill="auto"/>
          </w:tcPr>
          <w:p w:rsidR="008357FD" w:rsidRPr="00A9581B" w:rsidRDefault="008357FD" w:rsidP="00601CBA">
            <w:pPr>
              <w:pStyle w:val="Tabletext"/>
            </w:pPr>
            <w:r w:rsidRPr="00A9581B">
              <w:t>A description of how the assessment was undertaken.</w:t>
            </w:r>
          </w:p>
        </w:tc>
      </w:tr>
      <w:tr w:rsidR="008357FD" w:rsidRPr="00A9581B" w:rsidTr="00601CBA">
        <w:tc>
          <w:tcPr>
            <w:tcW w:w="714" w:type="dxa"/>
            <w:shd w:val="clear" w:color="auto" w:fill="auto"/>
          </w:tcPr>
          <w:p w:rsidR="008357FD" w:rsidRPr="00A9581B" w:rsidRDefault="008357FD" w:rsidP="00601CBA">
            <w:pPr>
              <w:pStyle w:val="Tabletext"/>
            </w:pPr>
            <w:r w:rsidRPr="00A9581B">
              <w:t>2</w:t>
            </w:r>
          </w:p>
        </w:tc>
        <w:tc>
          <w:tcPr>
            <w:tcW w:w="6373" w:type="dxa"/>
            <w:shd w:val="clear" w:color="auto" w:fill="auto"/>
          </w:tcPr>
          <w:p w:rsidR="008357FD" w:rsidRPr="00A9581B" w:rsidRDefault="008357FD" w:rsidP="00601CBA">
            <w:pPr>
              <w:pStyle w:val="Tabletext"/>
            </w:pPr>
            <w:r w:rsidRPr="00A9581B">
              <w:t>A description, in the form of a graph, of how anticipated and actual energy use has trended, as identified by the indicator measuring energy use, from the first design stage to when commercial operation commences.</w:t>
            </w:r>
          </w:p>
          <w:p w:rsidR="008357FD" w:rsidRPr="00A9581B" w:rsidRDefault="008357FD" w:rsidP="00601CBA">
            <w:pPr>
              <w:pStyle w:val="Tabletext"/>
            </w:pPr>
            <w:r w:rsidRPr="00A9581B">
              <w:t>However, if the registered corporation does not wish to identify the indicator measuring energy use, because the data identified by the indicator is commercially sensitive, the information is a description, in the form of a graph, of percentage change in the indicator.</w:t>
            </w:r>
          </w:p>
          <w:p w:rsidR="008357FD" w:rsidRPr="00A9581B" w:rsidRDefault="008357FD" w:rsidP="00601CBA">
            <w:pPr>
              <w:pStyle w:val="Tabletext"/>
            </w:pPr>
            <w:r w:rsidRPr="00A9581B">
              <w:t>If the energy use or the indicator changed at any time during 2 or more design stages:</w:t>
            </w:r>
          </w:p>
          <w:p w:rsidR="008357FD" w:rsidRPr="00A9581B" w:rsidRDefault="008357FD" w:rsidP="00601CBA">
            <w:pPr>
              <w:pStyle w:val="Tablea"/>
            </w:pPr>
            <w:r w:rsidRPr="00A9581B">
              <w:t>(a) a statement to that effect; and</w:t>
            </w:r>
          </w:p>
          <w:p w:rsidR="008357FD" w:rsidRPr="00A9581B" w:rsidRDefault="008357FD" w:rsidP="00601CBA">
            <w:pPr>
              <w:pStyle w:val="Tablea"/>
            </w:pPr>
            <w:r w:rsidRPr="00A9581B">
              <w:t>(b) a description of the change and an explanation of why the change occurred, but not including any information that is commercially sensitive.</w:t>
            </w:r>
          </w:p>
        </w:tc>
      </w:tr>
      <w:tr w:rsidR="008357FD" w:rsidRPr="00A9581B" w:rsidTr="00601CBA">
        <w:tc>
          <w:tcPr>
            <w:tcW w:w="714" w:type="dxa"/>
            <w:shd w:val="clear" w:color="auto" w:fill="auto"/>
          </w:tcPr>
          <w:p w:rsidR="008357FD" w:rsidRPr="00A9581B" w:rsidRDefault="008357FD" w:rsidP="00601CBA">
            <w:pPr>
              <w:pStyle w:val="Tabletext"/>
            </w:pPr>
            <w:r w:rsidRPr="00A9581B">
              <w:t>3</w:t>
            </w:r>
          </w:p>
        </w:tc>
        <w:tc>
          <w:tcPr>
            <w:tcW w:w="6373" w:type="dxa"/>
            <w:shd w:val="clear" w:color="auto" w:fill="auto"/>
          </w:tcPr>
          <w:p w:rsidR="008357FD" w:rsidRPr="00A9581B" w:rsidRDefault="008357FD" w:rsidP="00601CBA">
            <w:pPr>
              <w:pStyle w:val="Tabletext"/>
            </w:pPr>
            <w:r w:rsidRPr="00A9581B">
              <w:t>A description of:</w:t>
            </w:r>
          </w:p>
          <w:p w:rsidR="008357FD" w:rsidRPr="00A9581B" w:rsidRDefault="008357FD" w:rsidP="00601CBA">
            <w:pPr>
              <w:pStyle w:val="Tablea"/>
            </w:pPr>
            <w:r w:rsidRPr="00A9581B">
              <w:t>(a) the leading indicators used; and</w:t>
            </w:r>
          </w:p>
          <w:p w:rsidR="008357FD" w:rsidRPr="00A9581B" w:rsidRDefault="008357FD" w:rsidP="00601CBA">
            <w:pPr>
              <w:pStyle w:val="Tablea"/>
            </w:pPr>
            <w:r w:rsidRPr="00A9581B">
              <w:t>(b) the results achieved, using the indicator, for the new development or the expansion.</w:t>
            </w:r>
          </w:p>
          <w:p w:rsidR="008357FD" w:rsidRPr="00A9581B" w:rsidRDefault="008357FD" w:rsidP="00601CBA">
            <w:pPr>
              <w:pStyle w:val="Tabletext"/>
            </w:pPr>
            <w:r w:rsidRPr="00A9581B">
              <w:t>A leading indicator is an indicator of:</w:t>
            </w:r>
          </w:p>
          <w:p w:rsidR="008357FD" w:rsidRPr="00A9581B" w:rsidRDefault="008357FD" w:rsidP="00601CBA">
            <w:pPr>
              <w:pStyle w:val="Tablea"/>
            </w:pPr>
            <w:r w:rsidRPr="00A9581B">
              <w:t>(a) a system; or</w:t>
            </w:r>
          </w:p>
          <w:p w:rsidR="008357FD" w:rsidRPr="00A9581B" w:rsidRDefault="008357FD" w:rsidP="00601CBA">
            <w:pPr>
              <w:pStyle w:val="Tablea"/>
            </w:pPr>
            <w:r w:rsidRPr="00A9581B">
              <w:t>(b) people; or</w:t>
            </w:r>
          </w:p>
          <w:p w:rsidR="008357FD" w:rsidRPr="00A9581B" w:rsidRDefault="008357FD" w:rsidP="00601CBA">
            <w:pPr>
              <w:pStyle w:val="Tablea"/>
            </w:pPr>
            <w:r w:rsidRPr="00A9581B">
              <w:t>(c) a process;</w:t>
            </w:r>
          </w:p>
          <w:p w:rsidR="008357FD" w:rsidRPr="00A9581B" w:rsidRDefault="008357FD" w:rsidP="00601CBA">
            <w:pPr>
              <w:pStyle w:val="Tabletext"/>
            </w:pPr>
            <w:r w:rsidRPr="00A9581B">
              <w:t>that measures the potential success of a project in relation to energy productivity. The indicator can be used to measure success throughout the design.</w:t>
            </w:r>
          </w:p>
        </w:tc>
      </w:tr>
      <w:tr w:rsidR="008357FD" w:rsidRPr="00A9581B" w:rsidTr="00601CBA">
        <w:tc>
          <w:tcPr>
            <w:tcW w:w="714" w:type="dxa"/>
            <w:shd w:val="clear" w:color="auto" w:fill="auto"/>
          </w:tcPr>
          <w:p w:rsidR="008357FD" w:rsidRPr="00A9581B" w:rsidRDefault="008357FD" w:rsidP="00601CBA">
            <w:pPr>
              <w:pStyle w:val="Tabletext"/>
            </w:pPr>
            <w:r w:rsidRPr="00A9581B">
              <w:t>4</w:t>
            </w:r>
          </w:p>
        </w:tc>
        <w:tc>
          <w:tcPr>
            <w:tcW w:w="6373" w:type="dxa"/>
            <w:shd w:val="clear" w:color="auto" w:fill="auto"/>
          </w:tcPr>
          <w:p w:rsidR="008357FD" w:rsidRPr="00A9581B" w:rsidRDefault="008357FD" w:rsidP="00601CBA">
            <w:pPr>
              <w:pStyle w:val="Tabletext"/>
            </w:pPr>
            <w:r w:rsidRPr="00A9581B">
              <w:t>If either or both of items</w:t>
            </w:r>
            <w:r w:rsidR="00A9581B" w:rsidRPr="00A9581B">
              <w:t> </w:t>
            </w:r>
            <w:r w:rsidRPr="00A9581B">
              <w:t>2 and 3 do not adequately demonstrate the results of the assessment, the clause or clauses may be replaced by any alternative reporting method included in the approved assessment plan.</w:t>
            </w:r>
          </w:p>
        </w:tc>
      </w:tr>
      <w:tr w:rsidR="008357FD" w:rsidRPr="00A9581B" w:rsidTr="00601CBA">
        <w:tc>
          <w:tcPr>
            <w:tcW w:w="714" w:type="dxa"/>
            <w:tcBorders>
              <w:bottom w:val="single" w:sz="12" w:space="0" w:color="auto"/>
            </w:tcBorders>
            <w:shd w:val="clear" w:color="auto" w:fill="auto"/>
          </w:tcPr>
          <w:p w:rsidR="008357FD" w:rsidRPr="00A9581B" w:rsidRDefault="008357FD" w:rsidP="00601CBA">
            <w:pPr>
              <w:pStyle w:val="Tabletext"/>
            </w:pPr>
            <w:r w:rsidRPr="00A9581B">
              <w:t>5</w:t>
            </w:r>
          </w:p>
        </w:tc>
        <w:tc>
          <w:tcPr>
            <w:tcW w:w="6373" w:type="dxa"/>
            <w:tcBorders>
              <w:bottom w:val="single" w:sz="12" w:space="0" w:color="auto"/>
            </w:tcBorders>
            <w:shd w:val="clear" w:color="auto" w:fill="auto"/>
          </w:tcPr>
          <w:p w:rsidR="008357FD" w:rsidRPr="00A9581B" w:rsidRDefault="008357FD" w:rsidP="00601CBA">
            <w:pPr>
              <w:pStyle w:val="Tabletext"/>
            </w:pPr>
            <w:r w:rsidRPr="00A9581B">
              <w:t>One or more significant design features that have resulted in a material improvement in the energy efficiency of the new development or the expansion, but not including any information that is commercially sensitive.</w:t>
            </w:r>
          </w:p>
        </w:tc>
      </w:tr>
    </w:tbl>
    <w:p w:rsidR="008357FD" w:rsidRPr="00A9581B" w:rsidRDefault="008357FD" w:rsidP="008357FD">
      <w:pPr>
        <w:pStyle w:val="Tabletext"/>
      </w:pPr>
    </w:p>
    <w:p w:rsidR="008357FD" w:rsidRPr="00A9581B" w:rsidRDefault="004C6E01" w:rsidP="008357FD">
      <w:pPr>
        <w:pStyle w:val="ItemHead"/>
      </w:pPr>
      <w:r w:rsidRPr="00A9581B">
        <w:t>16</w:t>
      </w:r>
      <w:r w:rsidR="008357FD" w:rsidRPr="00A9581B">
        <w:t xml:space="preserve">  Regulation</w:t>
      </w:r>
      <w:r w:rsidR="00A9581B" w:rsidRPr="00A9581B">
        <w:t> </w:t>
      </w:r>
      <w:r w:rsidR="008357FD" w:rsidRPr="00A9581B">
        <w:t>7.4</w:t>
      </w:r>
    </w:p>
    <w:p w:rsidR="008357FD" w:rsidRPr="00A9581B" w:rsidRDefault="008357FD" w:rsidP="008357FD">
      <w:pPr>
        <w:pStyle w:val="Item"/>
      </w:pPr>
      <w:r w:rsidRPr="00A9581B">
        <w:t>Repeal the regulation, substitute:</w:t>
      </w:r>
    </w:p>
    <w:p w:rsidR="008357FD" w:rsidRPr="00A9581B" w:rsidRDefault="008357FD" w:rsidP="008357FD">
      <w:pPr>
        <w:pStyle w:val="ActHead5"/>
      </w:pPr>
      <w:bookmarkStart w:id="20" w:name="_Toc362873107"/>
      <w:r w:rsidRPr="00A9581B">
        <w:rPr>
          <w:rStyle w:val="CharSectno"/>
        </w:rPr>
        <w:t>7.4</w:t>
      </w:r>
      <w:r w:rsidRPr="00A9581B">
        <w:t xml:space="preserve">  Time for reporting to the public</w:t>
      </w:r>
      <w:bookmarkEnd w:id="20"/>
    </w:p>
    <w:p w:rsidR="008357FD" w:rsidRPr="00A9581B" w:rsidRDefault="008357FD" w:rsidP="008357FD">
      <w:pPr>
        <w:pStyle w:val="subsection"/>
      </w:pPr>
      <w:r w:rsidRPr="00A9581B">
        <w:tab/>
        <w:t>(1)</w:t>
      </w:r>
      <w:r w:rsidRPr="00A9581B">
        <w:tab/>
        <w:t>This regulation:</w:t>
      </w:r>
    </w:p>
    <w:p w:rsidR="008357FD" w:rsidRPr="00A9581B" w:rsidRDefault="008357FD" w:rsidP="008357FD">
      <w:pPr>
        <w:pStyle w:val="paragraph"/>
      </w:pPr>
      <w:r w:rsidRPr="00A9581B">
        <w:tab/>
        <w:t>(a)</w:t>
      </w:r>
      <w:r w:rsidRPr="00A9581B">
        <w:tab/>
        <w:t>sets out the time when a registered corporation must make a report prepared under section</w:t>
      </w:r>
      <w:r w:rsidR="00A9581B" w:rsidRPr="00A9581B">
        <w:t> </w:t>
      </w:r>
      <w:r w:rsidRPr="00A9581B">
        <w:t>22 of the Act available to the public; and</w:t>
      </w:r>
    </w:p>
    <w:p w:rsidR="008357FD" w:rsidRPr="00A9581B" w:rsidRDefault="008357FD" w:rsidP="008357FD">
      <w:pPr>
        <w:pStyle w:val="paragraph"/>
      </w:pPr>
      <w:r w:rsidRPr="00A9581B">
        <w:tab/>
        <w:t>(b)</w:t>
      </w:r>
      <w:r w:rsidRPr="00A9581B">
        <w:tab/>
        <w:t>is made for paragraph</w:t>
      </w:r>
      <w:r w:rsidR="00A9581B" w:rsidRPr="00A9581B">
        <w:t> </w:t>
      </w:r>
      <w:r w:rsidRPr="00A9581B">
        <w:t>22(5)(a) of the Act.</w:t>
      </w:r>
    </w:p>
    <w:p w:rsidR="008357FD" w:rsidRPr="00A9581B" w:rsidRDefault="008357FD" w:rsidP="008357FD">
      <w:pPr>
        <w:pStyle w:val="SubsectionHead"/>
      </w:pPr>
      <w:r w:rsidRPr="00A9581B">
        <w:t>Report for new development or expansion</w:t>
      </w:r>
    </w:p>
    <w:p w:rsidR="008357FD" w:rsidRPr="00A9581B" w:rsidRDefault="008357FD" w:rsidP="008357FD">
      <w:pPr>
        <w:pStyle w:val="subsection"/>
      </w:pPr>
      <w:r w:rsidRPr="00A9581B">
        <w:tab/>
        <w:t>(2)</w:t>
      </w:r>
      <w:r w:rsidRPr="00A9581B">
        <w:tab/>
        <w:t>The time for a report for a new development or expansion is:</w:t>
      </w:r>
    </w:p>
    <w:p w:rsidR="008357FD" w:rsidRPr="00A9581B" w:rsidRDefault="008357FD" w:rsidP="008357FD">
      <w:pPr>
        <w:pStyle w:val="paragraph"/>
      </w:pPr>
      <w:r w:rsidRPr="00A9581B">
        <w:tab/>
        <w:t>(a)</w:t>
      </w:r>
      <w:r w:rsidRPr="00A9581B">
        <w:tab/>
      </w:r>
      <w:r w:rsidR="004A4552" w:rsidRPr="00A9581B">
        <w:t xml:space="preserve">no later than </w:t>
      </w:r>
      <w:r w:rsidRPr="00A9581B">
        <w:t xml:space="preserve">12 months after the end of the financial year in which commercial operation </w:t>
      </w:r>
      <w:r w:rsidR="007540AC" w:rsidRPr="00A9581B">
        <w:t>commences</w:t>
      </w:r>
      <w:r w:rsidRPr="00A9581B">
        <w:t>; or</w:t>
      </w:r>
    </w:p>
    <w:p w:rsidR="008357FD" w:rsidRPr="00A9581B" w:rsidRDefault="008357FD" w:rsidP="008357FD">
      <w:pPr>
        <w:pStyle w:val="paragraph"/>
      </w:pPr>
      <w:r w:rsidRPr="00A9581B">
        <w:tab/>
        <w:t>(b)</w:t>
      </w:r>
      <w:r w:rsidRPr="00A9581B">
        <w:tab/>
        <w:t>if the Secretary approves—</w:t>
      </w:r>
      <w:r w:rsidR="004A4552" w:rsidRPr="00A9581B">
        <w:t xml:space="preserve">no later than </w:t>
      </w:r>
      <w:r w:rsidRPr="00A9581B">
        <w:t xml:space="preserve">18 months after the end of the financial year in which commercial operation </w:t>
      </w:r>
      <w:r w:rsidR="007540AC" w:rsidRPr="00A9581B">
        <w:t>commences</w:t>
      </w:r>
      <w:r w:rsidRPr="00A9581B">
        <w:t>.</w:t>
      </w:r>
    </w:p>
    <w:p w:rsidR="008357FD" w:rsidRPr="00A9581B" w:rsidRDefault="008357FD" w:rsidP="008357FD">
      <w:pPr>
        <w:pStyle w:val="SubsectionHead"/>
      </w:pPr>
      <w:r w:rsidRPr="00A9581B">
        <w:t>Reports for existing facilities</w:t>
      </w:r>
    </w:p>
    <w:p w:rsidR="008357FD" w:rsidRPr="00A9581B" w:rsidRDefault="008357FD" w:rsidP="008357FD">
      <w:pPr>
        <w:pStyle w:val="subsection"/>
      </w:pPr>
      <w:r w:rsidRPr="00A9581B">
        <w:tab/>
        <w:t>(3)</w:t>
      </w:r>
      <w:r w:rsidRPr="00A9581B">
        <w:tab/>
        <w:t>The time for a report for an existing facility is:</w:t>
      </w:r>
    </w:p>
    <w:p w:rsidR="008357FD" w:rsidRPr="00A9581B" w:rsidRDefault="008357FD" w:rsidP="008357FD">
      <w:pPr>
        <w:pStyle w:val="paragraph"/>
      </w:pPr>
      <w:r w:rsidRPr="00A9581B">
        <w:tab/>
        <w:t>(a)</w:t>
      </w:r>
      <w:r w:rsidRPr="00A9581B">
        <w:tab/>
        <w:t>for a first report:</w:t>
      </w:r>
    </w:p>
    <w:p w:rsidR="008357FD" w:rsidRPr="00A9581B" w:rsidRDefault="008357FD" w:rsidP="008357FD">
      <w:pPr>
        <w:pStyle w:val="paragraphsub"/>
      </w:pPr>
      <w:r w:rsidRPr="00A9581B">
        <w:tab/>
        <w:t>(i)</w:t>
      </w:r>
      <w:r w:rsidRPr="00A9581B">
        <w:tab/>
      </w:r>
      <w:r w:rsidR="004A4552" w:rsidRPr="00A9581B">
        <w:t xml:space="preserve">no later than </w:t>
      </w:r>
      <w:r w:rsidRPr="00A9581B">
        <w:t>30 months after the start of the first assessment cycle; or</w:t>
      </w:r>
    </w:p>
    <w:p w:rsidR="008357FD" w:rsidRPr="00A9581B" w:rsidRDefault="008357FD" w:rsidP="008357FD">
      <w:pPr>
        <w:pStyle w:val="paragraphsub"/>
      </w:pPr>
      <w:r w:rsidRPr="00A9581B">
        <w:tab/>
        <w:t>(ii)</w:t>
      </w:r>
      <w:r w:rsidRPr="00A9581B">
        <w:tab/>
        <w:t>if the Secretary approves—</w:t>
      </w:r>
      <w:r w:rsidR="004A4552" w:rsidRPr="00A9581B">
        <w:t xml:space="preserve">no later than </w:t>
      </w:r>
      <w:r w:rsidRPr="00A9581B">
        <w:t>36 months after the start of the first assessment cycle; or</w:t>
      </w:r>
    </w:p>
    <w:p w:rsidR="008357FD" w:rsidRPr="00A9581B" w:rsidRDefault="008357FD" w:rsidP="008357FD">
      <w:pPr>
        <w:pStyle w:val="paragraph"/>
      </w:pPr>
      <w:r w:rsidRPr="00A9581B">
        <w:tab/>
        <w:t>(b)</w:t>
      </w:r>
      <w:r w:rsidRPr="00A9581B">
        <w:tab/>
        <w:t>for each subsequent report—</w:t>
      </w:r>
      <w:r w:rsidR="004A4552" w:rsidRPr="00A9581B">
        <w:t xml:space="preserve">no later than </w:t>
      </w:r>
      <w:r w:rsidRPr="00A9581B">
        <w:t>12 months after the last report was made available to the public.</w:t>
      </w:r>
    </w:p>
    <w:p w:rsidR="008357FD" w:rsidRPr="00A9581B" w:rsidRDefault="008357FD" w:rsidP="008357FD">
      <w:pPr>
        <w:pStyle w:val="SubsectionHead"/>
      </w:pPr>
      <w:r w:rsidRPr="00A9581B">
        <w:t>Approval for extension of time to report</w:t>
      </w:r>
    </w:p>
    <w:p w:rsidR="008357FD" w:rsidRPr="00A9581B" w:rsidRDefault="008357FD" w:rsidP="008357FD">
      <w:pPr>
        <w:pStyle w:val="subsection"/>
      </w:pPr>
      <w:r w:rsidRPr="00A9581B">
        <w:tab/>
        <w:t>(4)</w:t>
      </w:r>
      <w:r w:rsidRPr="00A9581B">
        <w:tab/>
        <w:t xml:space="preserve">If a registered corporation wants an approval under </w:t>
      </w:r>
      <w:r w:rsidR="00A9581B" w:rsidRPr="00A9581B">
        <w:t>paragraph (</w:t>
      </w:r>
      <w:r w:rsidRPr="00A9581B">
        <w:t xml:space="preserve">2)(b) or </w:t>
      </w:r>
      <w:r w:rsidR="00A9581B" w:rsidRPr="00A9581B">
        <w:t>subparagraph (</w:t>
      </w:r>
      <w:r w:rsidRPr="00A9581B">
        <w:t>3)(a)(ii), the corporation must apply to the Secretary:</w:t>
      </w:r>
    </w:p>
    <w:p w:rsidR="008357FD" w:rsidRPr="00A9581B" w:rsidRDefault="008357FD" w:rsidP="008357FD">
      <w:pPr>
        <w:pStyle w:val="paragraph"/>
      </w:pPr>
      <w:r w:rsidRPr="00A9581B">
        <w:tab/>
        <w:t>(a)</w:t>
      </w:r>
      <w:r w:rsidRPr="00A9581B">
        <w:tab/>
        <w:t>in the approved form; and</w:t>
      </w:r>
    </w:p>
    <w:p w:rsidR="008357FD" w:rsidRPr="00A9581B" w:rsidRDefault="008357FD" w:rsidP="008357FD">
      <w:pPr>
        <w:pStyle w:val="paragraph"/>
      </w:pPr>
      <w:r w:rsidRPr="00A9581B">
        <w:tab/>
        <w:t>(b)</w:t>
      </w:r>
      <w:r w:rsidRPr="00A9581B">
        <w:tab/>
        <w:t>no later than 27 months after the start of the first assessment cycle.</w:t>
      </w:r>
    </w:p>
    <w:p w:rsidR="008357FD" w:rsidRPr="00A9581B" w:rsidRDefault="008357FD" w:rsidP="008357FD">
      <w:pPr>
        <w:pStyle w:val="subsection"/>
      </w:pPr>
      <w:r w:rsidRPr="00A9581B">
        <w:tab/>
        <w:t>(5)</w:t>
      </w:r>
      <w:r w:rsidRPr="00A9581B">
        <w:tab/>
        <w:t>The application must state why the extension of time is wanted.</w:t>
      </w:r>
    </w:p>
    <w:p w:rsidR="008357FD" w:rsidRPr="00A9581B" w:rsidRDefault="008357FD" w:rsidP="008357FD">
      <w:pPr>
        <w:pStyle w:val="subsection"/>
      </w:pPr>
      <w:r w:rsidRPr="00A9581B">
        <w:tab/>
        <w:t>(6)</w:t>
      </w:r>
      <w:r w:rsidRPr="00A9581B">
        <w:tab/>
        <w:t>The Secretary may give the approval if the Secretary is satisfied that it is appropriate, having regard to:</w:t>
      </w:r>
    </w:p>
    <w:p w:rsidR="008357FD" w:rsidRPr="00A9581B" w:rsidRDefault="008357FD" w:rsidP="008357FD">
      <w:pPr>
        <w:pStyle w:val="paragraph"/>
      </w:pPr>
      <w:r w:rsidRPr="00A9581B">
        <w:tab/>
        <w:t>(a)</w:t>
      </w:r>
      <w:r w:rsidRPr="00A9581B">
        <w:tab/>
        <w:t>the registered corporation’s reporting period; and</w:t>
      </w:r>
    </w:p>
    <w:p w:rsidR="008357FD" w:rsidRPr="00A9581B" w:rsidRDefault="008357FD" w:rsidP="008357FD">
      <w:pPr>
        <w:pStyle w:val="paragraph"/>
      </w:pPr>
      <w:r w:rsidRPr="00A9581B">
        <w:tab/>
        <w:t>(b)</w:t>
      </w:r>
      <w:r w:rsidRPr="00A9581B">
        <w:tab/>
        <w:t>the object of the Act.</w:t>
      </w:r>
    </w:p>
    <w:p w:rsidR="008357FD" w:rsidRPr="00A9581B" w:rsidRDefault="008357FD" w:rsidP="008357FD">
      <w:pPr>
        <w:pStyle w:val="subsection"/>
      </w:pPr>
      <w:r w:rsidRPr="00A9581B">
        <w:tab/>
        <w:t>(7)</w:t>
      </w:r>
      <w:r w:rsidRPr="00A9581B">
        <w:tab/>
        <w:t>The Secretary must, within 28 days after receiving the application for the approval, give the registered corporation written notice that:</w:t>
      </w:r>
    </w:p>
    <w:p w:rsidR="008357FD" w:rsidRPr="00A9581B" w:rsidRDefault="008357FD" w:rsidP="008357FD">
      <w:pPr>
        <w:pStyle w:val="paragraph"/>
      </w:pPr>
      <w:r w:rsidRPr="00A9581B">
        <w:tab/>
        <w:t>(a)</w:t>
      </w:r>
      <w:r w:rsidRPr="00A9581B">
        <w:tab/>
        <w:t>states the Secretary is:</w:t>
      </w:r>
    </w:p>
    <w:p w:rsidR="008357FD" w:rsidRPr="00A9581B" w:rsidRDefault="008357FD" w:rsidP="008357FD">
      <w:pPr>
        <w:pStyle w:val="paragraphsub"/>
      </w:pPr>
      <w:r w:rsidRPr="00A9581B">
        <w:tab/>
        <w:t>(i)</w:t>
      </w:r>
      <w:r w:rsidRPr="00A9581B">
        <w:tab/>
        <w:t>giving the approval; or</w:t>
      </w:r>
    </w:p>
    <w:p w:rsidR="008357FD" w:rsidRPr="00A9581B" w:rsidRDefault="008357FD" w:rsidP="008357FD">
      <w:pPr>
        <w:pStyle w:val="paragraphsub"/>
      </w:pPr>
      <w:r w:rsidRPr="00A9581B">
        <w:tab/>
        <w:t>(ii)</w:t>
      </w:r>
      <w:r w:rsidRPr="00A9581B">
        <w:tab/>
        <w:t>refusing to give the approval; and</w:t>
      </w:r>
    </w:p>
    <w:p w:rsidR="008357FD" w:rsidRPr="00A9581B" w:rsidRDefault="008357FD" w:rsidP="008357FD">
      <w:pPr>
        <w:pStyle w:val="paragraph"/>
      </w:pPr>
      <w:r w:rsidRPr="00A9581B">
        <w:tab/>
        <w:t>(b)</w:t>
      </w:r>
      <w:r w:rsidRPr="00A9581B">
        <w:tab/>
        <w:t>if the Secretary is refusing to give the approval—states the registered corporation may apply to the Secretary for a review of that decision.</w:t>
      </w:r>
    </w:p>
    <w:p w:rsidR="008357FD" w:rsidRPr="00A9581B" w:rsidRDefault="008357FD" w:rsidP="008357FD">
      <w:pPr>
        <w:pStyle w:val="SubsectionHead"/>
      </w:pPr>
      <w:r w:rsidRPr="00A9581B">
        <w:t>Review of decision to refuse approval</w:t>
      </w:r>
    </w:p>
    <w:p w:rsidR="008357FD" w:rsidRPr="00A9581B" w:rsidRDefault="008357FD" w:rsidP="008357FD">
      <w:pPr>
        <w:pStyle w:val="subsection"/>
      </w:pPr>
      <w:r w:rsidRPr="00A9581B">
        <w:tab/>
        <w:t>(8)</w:t>
      </w:r>
      <w:r w:rsidRPr="00A9581B">
        <w:tab/>
        <w:t xml:space="preserve">If a registered corporation wants a review of a decision to refuse to give an approval under </w:t>
      </w:r>
      <w:r w:rsidR="00A9581B" w:rsidRPr="00A9581B">
        <w:t>paragraph (</w:t>
      </w:r>
      <w:r w:rsidRPr="00A9581B">
        <w:t>7)(b), the corporation must apply to the Secretary:</w:t>
      </w:r>
    </w:p>
    <w:p w:rsidR="008357FD" w:rsidRPr="00A9581B" w:rsidRDefault="008357FD" w:rsidP="008357FD">
      <w:pPr>
        <w:pStyle w:val="paragraph"/>
      </w:pPr>
      <w:r w:rsidRPr="00A9581B">
        <w:tab/>
        <w:t>(a)</w:t>
      </w:r>
      <w:r w:rsidRPr="00A9581B">
        <w:tab/>
        <w:t>in the approved form; and</w:t>
      </w:r>
    </w:p>
    <w:p w:rsidR="008357FD" w:rsidRPr="00A9581B" w:rsidRDefault="008357FD" w:rsidP="008357FD">
      <w:pPr>
        <w:pStyle w:val="paragraph"/>
      </w:pPr>
      <w:r w:rsidRPr="00A9581B">
        <w:tab/>
        <w:t>(b)</w:t>
      </w:r>
      <w:r w:rsidRPr="00A9581B">
        <w:tab/>
        <w:t>within 28 days after receiving written notice under subregulation (7).</w:t>
      </w:r>
    </w:p>
    <w:p w:rsidR="008357FD" w:rsidRPr="00A9581B" w:rsidRDefault="008357FD" w:rsidP="008357FD">
      <w:pPr>
        <w:pStyle w:val="subsection"/>
      </w:pPr>
      <w:r w:rsidRPr="00A9581B">
        <w:tab/>
        <w:t>(9)</w:t>
      </w:r>
      <w:r w:rsidRPr="00A9581B">
        <w:tab/>
        <w:t>The Secretary must, within 28 days after receiving the application for a review, give the registered corporation written notice that states the Secretary has reviewed the decision and decided:</w:t>
      </w:r>
    </w:p>
    <w:p w:rsidR="008357FD" w:rsidRPr="00A9581B" w:rsidRDefault="008357FD" w:rsidP="008357FD">
      <w:pPr>
        <w:pStyle w:val="paragraph"/>
      </w:pPr>
      <w:r w:rsidRPr="00A9581B">
        <w:tab/>
        <w:t>(a)</w:t>
      </w:r>
      <w:r w:rsidRPr="00A9581B">
        <w:tab/>
        <w:t>to confirm the decision; or</w:t>
      </w:r>
    </w:p>
    <w:p w:rsidR="008357FD" w:rsidRPr="00A9581B" w:rsidRDefault="008357FD" w:rsidP="008357FD">
      <w:pPr>
        <w:pStyle w:val="paragraph"/>
      </w:pPr>
      <w:r w:rsidRPr="00A9581B">
        <w:tab/>
        <w:t>(b)</w:t>
      </w:r>
      <w:r w:rsidRPr="00A9581B">
        <w:tab/>
        <w:t>to change the decision to the decision stated in the notice.</w:t>
      </w:r>
    </w:p>
    <w:p w:rsidR="008357FD" w:rsidRPr="00A9581B" w:rsidRDefault="008357FD" w:rsidP="008357FD">
      <w:pPr>
        <w:pStyle w:val="SubsectionHead"/>
      </w:pPr>
      <w:r w:rsidRPr="00A9581B">
        <w:t>Combined reports</w:t>
      </w:r>
    </w:p>
    <w:p w:rsidR="008357FD" w:rsidRPr="00A9581B" w:rsidRDefault="008357FD" w:rsidP="008357FD">
      <w:pPr>
        <w:pStyle w:val="subsection"/>
      </w:pPr>
      <w:r w:rsidRPr="00A9581B">
        <w:tab/>
        <w:t>(10)</w:t>
      </w:r>
      <w:r w:rsidRPr="00A9581B">
        <w:tab/>
        <w:t>A report for a new development or expansion and a report for an existing facility may be combined into one report.</w:t>
      </w:r>
    </w:p>
    <w:p w:rsidR="008357FD" w:rsidRPr="00A9581B" w:rsidRDefault="004C6E01" w:rsidP="008357FD">
      <w:pPr>
        <w:pStyle w:val="ItemHead"/>
        <w:tabs>
          <w:tab w:val="left" w:pos="6663"/>
        </w:tabs>
      </w:pPr>
      <w:r w:rsidRPr="00A9581B">
        <w:t>17</w:t>
      </w:r>
      <w:r w:rsidR="008357FD" w:rsidRPr="00A9581B">
        <w:t xml:space="preserve">  After paragraph</w:t>
      </w:r>
      <w:r w:rsidR="00A9581B" w:rsidRPr="00A9581B">
        <w:t> </w:t>
      </w:r>
      <w:r w:rsidR="008357FD" w:rsidRPr="00A9581B">
        <w:t>7.7(1)(b)</w:t>
      </w:r>
    </w:p>
    <w:p w:rsidR="008357FD" w:rsidRPr="00A9581B" w:rsidRDefault="008357FD" w:rsidP="008357FD">
      <w:pPr>
        <w:pStyle w:val="Item"/>
      </w:pPr>
      <w:r w:rsidRPr="00A9581B">
        <w:t>Insert:</w:t>
      </w:r>
    </w:p>
    <w:p w:rsidR="008357FD" w:rsidRPr="00A9581B" w:rsidRDefault="008357FD" w:rsidP="008357FD">
      <w:pPr>
        <w:pStyle w:val="subsection"/>
      </w:pPr>
      <w:r w:rsidRPr="00A9581B">
        <w:tab/>
        <w:t>(ba)</w:t>
      </w:r>
      <w:r w:rsidRPr="00A9581B">
        <w:tab/>
        <w:t>a statement of the amounts of energy savings (expressed in GJ) for each group member, or each business unit, or each key activity, that:</w:t>
      </w:r>
    </w:p>
    <w:p w:rsidR="008357FD" w:rsidRPr="00A9581B" w:rsidRDefault="008357FD" w:rsidP="008357FD">
      <w:pPr>
        <w:pStyle w:val="paragraph"/>
      </w:pPr>
      <w:r w:rsidRPr="00A9581B">
        <w:tab/>
        <w:t>(i)</w:t>
      </w:r>
      <w:r w:rsidRPr="00A9581B">
        <w:tab/>
        <w:t>have been identified by the corporation; and</w:t>
      </w:r>
    </w:p>
    <w:p w:rsidR="008357FD" w:rsidRPr="00A9581B" w:rsidRDefault="008357FD" w:rsidP="008357FD">
      <w:pPr>
        <w:pStyle w:val="paragraph"/>
      </w:pPr>
      <w:r w:rsidRPr="00A9581B">
        <w:tab/>
        <w:t>(ii)</w:t>
      </w:r>
      <w:r w:rsidRPr="00A9581B">
        <w:tab/>
        <w:t>are identified per annum by a payback period of less than 2 years; and</w:t>
      </w:r>
    </w:p>
    <w:p w:rsidR="008357FD" w:rsidRPr="00A9581B" w:rsidRDefault="008357FD" w:rsidP="008357FD">
      <w:pPr>
        <w:pStyle w:val="paragraph"/>
      </w:pPr>
      <w:r w:rsidRPr="00A9581B">
        <w:tab/>
        <w:t>(iii)</w:t>
      </w:r>
      <w:r w:rsidRPr="00A9581B">
        <w:tab/>
        <w:t>are identified per annum by a payback period of at leas</w:t>
      </w:r>
      <w:r w:rsidR="000F438E" w:rsidRPr="00A9581B">
        <w:t>t 2 years and less than 4 years; and</w:t>
      </w:r>
    </w:p>
    <w:p w:rsidR="008357FD" w:rsidRPr="00A9581B" w:rsidRDefault="004C6E01" w:rsidP="008357FD">
      <w:pPr>
        <w:pStyle w:val="ItemHead"/>
        <w:tabs>
          <w:tab w:val="left" w:pos="6663"/>
        </w:tabs>
      </w:pPr>
      <w:r w:rsidRPr="00A9581B">
        <w:t>18</w:t>
      </w:r>
      <w:r w:rsidR="008357FD" w:rsidRPr="00A9581B">
        <w:t xml:space="preserve">  At the end of regulation</w:t>
      </w:r>
      <w:r w:rsidR="00A9581B" w:rsidRPr="00A9581B">
        <w:t> </w:t>
      </w:r>
      <w:r w:rsidR="008357FD" w:rsidRPr="00A9581B">
        <w:t>7.7</w:t>
      </w:r>
    </w:p>
    <w:p w:rsidR="008357FD" w:rsidRPr="00A9581B" w:rsidRDefault="008357FD" w:rsidP="008357FD">
      <w:pPr>
        <w:pStyle w:val="Item"/>
      </w:pPr>
      <w:r w:rsidRPr="00A9581B">
        <w:t>Add:</w:t>
      </w:r>
    </w:p>
    <w:p w:rsidR="008357FD" w:rsidRPr="00A9581B" w:rsidRDefault="008357FD" w:rsidP="008357FD">
      <w:pPr>
        <w:pStyle w:val="subsection"/>
      </w:pPr>
      <w:r w:rsidRPr="00A9581B">
        <w:tab/>
        <w:t>(3)</w:t>
      </w:r>
      <w:r w:rsidRPr="00A9581B">
        <w:tab/>
        <w:t xml:space="preserve">The report may contain the following information instead of the information mentioned in </w:t>
      </w:r>
      <w:r w:rsidR="00A9581B" w:rsidRPr="00A9581B">
        <w:t>paragraphs (</w:t>
      </w:r>
      <w:r w:rsidRPr="00A9581B">
        <w:t>1)(a) to (c):</w:t>
      </w:r>
    </w:p>
    <w:p w:rsidR="008357FD" w:rsidRPr="00A9581B" w:rsidRDefault="008357FD" w:rsidP="008357FD">
      <w:pPr>
        <w:pStyle w:val="paragraph"/>
      </w:pPr>
      <w:r w:rsidRPr="00A9581B">
        <w:tab/>
        <w:t>(a)</w:t>
      </w:r>
      <w:r w:rsidRPr="00A9581B">
        <w:tab/>
        <w:t>a list of the top energy saving opportunities that, for each opportunity:</w:t>
      </w:r>
    </w:p>
    <w:p w:rsidR="008357FD" w:rsidRPr="00A9581B" w:rsidRDefault="008357FD" w:rsidP="008357FD">
      <w:pPr>
        <w:pStyle w:val="paragraphsub"/>
      </w:pPr>
      <w:r w:rsidRPr="00A9581B">
        <w:tab/>
        <w:t>(i)</w:t>
      </w:r>
      <w:r w:rsidRPr="00A9581B">
        <w:tab/>
        <w:t>describes the nature of the opportunity in detail; and</w:t>
      </w:r>
    </w:p>
    <w:p w:rsidR="008357FD" w:rsidRPr="00A9581B" w:rsidRDefault="008357FD" w:rsidP="008357FD">
      <w:pPr>
        <w:pStyle w:val="paragraphsub"/>
      </w:pPr>
      <w:r w:rsidRPr="00A9581B">
        <w:tab/>
        <w:t>(ii)</w:t>
      </w:r>
      <w:r w:rsidRPr="00A9581B">
        <w:tab/>
        <w:t>states the amount of energy to be saved by the opportunity, by reference to energy and energy sources mentioned in Schedule</w:t>
      </w:r>
      <w:r w:rsidR="00A9581B" w:rsidRPr="00A9581B">
        <w:t> </w:t>
      </w:r>
      <w:r w:rsidRPr="00A9581B">
        <w:t xml:space="preserve">1 of the </w:t>
      </w:r>
      <w:r w:rsidRPr="00A9581B">
        <w:rPr>
          <w:i/>
        </w:rPr>
        <w:t>National Greenhouse and Energy Reporting Regulations</w:t>
      </w:r>
      <w:r w:rsidR="00A9581B" w:rsidRPr="00A9581B">
        <w:rPr>
          <w:i/>
        </w:rPr>
        <w:t> </w:t>
      </w:r>
      <w:r w:rsidRPr="00A9581B">
        <w:rPr>
          <w:i/>
        </w:rPr>
        <w:t>2008</w:t>
      </w:r>
      <w:r w:rsidRPr="00A9581B">
        <w:t>; and</w:t>
      </w:r>
    </w:p>
    <w:p w:rsidR="008357FD" w:rsidRPr="00A9581B" w:rsidRDefault="008357FD" w:rsidP="008357FD">
      <w:pPr>
        <w:pStyle w:val="paragraphsub"/>
      </w:pPr>
      <w:r w:rsidRPr="00A9581B">
        <w:tab/>
        <w:t>(iii)</w:t>
      </w:r>
      <w:r w:rsidRPr="00A9581B">
        <w:tab/>
        <w:t>states whether the opportunity has been implemented, is being implemented, or is still to be implemented; and</w:t>
      </w:r>
    </w:p>
    <w:p w:rsidR="008357FD" w:rsidRPr="00A9581B" w:rsidRDefault="008357FD" w:rsidP="008357FD">
      <w:pPr>
        <w:pStyle w:val="paragraphsub"/>
      </w:pPr>
      <w:r w:rsidRPr="00A9581B">
        <w:tab/>
        <w:t>(iv)</w:t>
      </w:r>
      <w:r w:rsidRPr="00A9581B">
        <w:tab/>
        <w:t>states the payback period for the opportunity;</w:t>
      </w:r>
    </w:p>
    <w:p w:rsidR="008357FD" w:rsidRPr="00A9581B" w:rsidRDefault="008357FD" w:rsidP="008357FD">
      <w:pPr>
        <w:pStyle w:val="paragraph"/>
      </w:pPr>
      <w:r w:rsidRPr="00A9581B">
        <w:tab/>
        <w:t>(b)</w:t>
      </w:r>
      <w:r w:rsidRPr="00A9581B">
        <w:tab/>
        <w:t>a list of the opportunities to save energy that the corporation has identified as not to be implemented or as still under investigation for suitability for implementation that, for each opportunity:</w:t>
      </w:r>
    </w:p>
    <w:p w:rsidR="008357FD" w:rsidRPr="00A9581B" w:rsidRDefault="008357FD" w:rsidP="008357FD">
      <w:pPr>
        <w:pStyle w:val="paragraphsub"/>
      </w:pPr>
      <w:r w:rsidRPr="00A9581B">
        <w:tab/>
        <w:t>(i)</w:t>
      </w:r>
      <w:r w:rsidRPr="00A9581B">
        <w:tab/>
        <w:t>describes the nature of the opportunity in detail; and</w:t>
      </w:r>
    </w:p>
    <w:p w:rsidR="008357FD" w:rsidRPr="00A9581B" w:rsidRDefault="008357FD" w:rsidP="008357FD">
      <w:pPr>
        <w:pStyle w:val="paragraphsub"/>
      </w:pPr>
      <w:r w:rsidRPr="00A9581B">
        <w:tab/>
        <w:t>(ii)</w:t>
      </w:r>
      <w:r w:rsidRPr="00A9581B">
        <w:tab/>
        <w:t>states the amount of energy to be saved by the opportunity, by reference to energy and energy sources mentioned in Schedule</w:t>
      </w:r>
      <w:r w:rsidR="00A9581B" w:rsidRPr="00A9581B">
        <w:t> </w:t>
      </w:r>
      <w:r w:rsidRPr="00A9581B">
        <w:t xml:space="preserve">1 of the </w:t>
      </w:r>
      <w:r w:rsidRPr="00A9581B">
        <w:rPr>
          <w:i/>
        </w:rPr>
        <w:t>National Greenhouse and Energy Reporting Regulations</w:t>
      </w:r>
      <w:r w:rsidR="00A9581B" w:rsidRPr="00A9581B">
        <w:rPr>
          <w:i/>
        </w:rPr>
        <w:t> </w:t>
      </w:r>
      <w:r w:rsidRPr="00A9581B">
        <w:rPr>
          <w:i/>
        </w:rPr>
        <w:t>2008</w:t>
      </w:r>
      <w:r w:rsidRPr="00A9581B">
        <w:t>; and</w:t>
      </w:r>
    </w:p>
    <w:p w:rsidR="008357FD" w:rsidRPr="00A9581B" w:rsidRDefault="008357FD" w:rsidP="008357FD">
      <w:pPr>
        <w:pStyle w:val="paragraphsub"/>
      </w:pPr>
      <w:r w:rsidRPr="00A9581B">
        <w:tab/>
        <w:t>(iii)</w:t>
      </w:r>
      <w:r w:rsidRPr="00A9581B">
        <w:tab/>
        <w:t>states whether the opportunity is under investigation or is not to be implemented; and</w:t>
      </w:r>
    </w:p>
    <w:p w:rsidR="008357FD" w:rsidRPr="00A9581B" w:rsidRDefault="008357FD" w:rsidP="008357FD">
      <w:pPr>
        <w:pStyle w:val="paragraphsub"/>
      </w:pPr>
      <w:r w:rsidRPr="00A9581B">
        <w:tab/>
        <w:t>(iv)</w:t>
      </w:r>
      <w:r w:rsidRPr="00A9581B">
        <w:tab/>
        <w:t>states the payback period for the opportunity.</w:t>
      </w:r>
    </w:p>
    <w:p w:rsidR="008357FD" w:rsidRPr="00A9581B" w:rsidRDefault="008357FD" w:rsidP="008357FD">
      <w:pPr>
        <w:pStyle w:val="subsection"/>
      </w:pPr>
      <w:r w:rsidRPr="00A9581B">
        <w:tab/>
        <w:t>(4)</w:t>
      </w:r>
      <w:r w:rsidRPr="00A9581B">
        <w:tab/>
        <w:t xml:space="preserve">The report need not contain the information mentioned in </w:t>
      </w:r>
      <w:r w:rsidR="00A9581B" w:rsidRPr="00A9581B">
        <w:t>paragraph (</w:t>
      </w:r>
      <w:r w:rsidRPr="00A9581B">
        <w:t>1)(f) if the corporation:</w:t>
      </w:r>
    </w:p>
    <w:p w:rsidR="008357FD" w:rsidRPr="00A9581B" w:rsidRDefault="008357FD" w:rsidP="008357FD">
      <w:pPr>
        <w:pStyle w:val="paragraph"/>
      </w:pPr>
      <w:r w:rsidRPr="00A9581B">
        <w:tab/>
        <w:t>(a)</w:t>
      </w:r>
      <w:r w:rsidRPr="00A9581B">
        <w:tab/>
        <w:t>advises the Secretary that the corporation has already given the information to the Clean Energy Regulator as required under section</w:t>
      </w:r>
      <w:r w:rsidR="00A9581B" w:rsidRPr="00A9581B">
        <w:t> </w:t>
      </w:r>
      <w:r w:rsidRPr="00A9581B">
        <w:t xml:space="preserve">19 of the </w:t>
      </w:r>
      <w:r w:rsidRPr="00A9581B">
        <w:rPr>
          <w:i/>
        </w:rPr>
        <w:t>National Greenhouse and Energy Reporting Act 2007</w:t>
      </w:r>
      <w:r w:rsidRPr="00A9581B">
        <w:t>; and</w:t>
      </w:r>
    </w:p>
    <w:p w:rsidR="008357FD" w:rsidRPr="00A9581B" w:rsidRDefault="008357FD" w:rsidP="008357FD">
      <w:pPr>
        <w:pStyle w:val="paragraph"/>
      </w:pPr>
      <w:r w:rsidRPr="00A9581B">
        <w:tab/>
        <w:t>(a)</w:t>
      </w:r>
      <w:r w:rsidRPr="00A9581B">
        <w:tab/>
        <w:t xml:space="preserve">gives the Secretary written permission to </w:t>
      </w:r>
      <w:r w:rsidR="00EC20E9" w:rsidRPr="00A9581B">
        <w:t>obtain</w:t>
      </w:r>
      <w:r w:rsidRPr="00A9581B">
        <w:t xml:space="preserve"> the information from the Clean Energy Regulator.</w:t>
      </w:r>
    </w:p>
    <w:p w:rsidR="008357FD" w:rsidRPr="00A9581B" w:rsidRDefault="008357FD" w:rsidP="008357FD">
      <w:pPr>
        <w:pStyle w:val="subsection"/>
      </w:pPr>
      <w:r w:rsidRPr="00A9581B">
        <w:tab/>
        <w:t>(5)</w:t>
      </w:r>
      <w:r w:rsidRPr="00A9581B">
        <w:tab/>
        <w:t>In this regulation:</w:t>
      </w:r>
    </w:p>
    <w:p w:rsidR="008357FD" w:rsidRPr="00A9581B" w:rsidRDefault="008357FD" w:rsidP="008357FD">
      <w:pPr>
        <w:pStyle w:val="Definition"/>
      </w:pPr>
      <w:r w:rsidRPr="00A9581B">
        <w:rPr>
          <w:b/>
          <w:i/>
        </w:rPr>
        <w:t>top energy saving opportunities</w:t>
      </w:r>
      <w:r w:rsidRPr="00A9581B">
        <w:t xml:space="preserve"> means:</w:t>
      </w:r>
    </w:p>
    <w:p w:rsidR="008357FD" w:rsidRPr="00A9581B" w:rsidRDefault="008357FD" w:rsidP="008357FD">
      <w:pPr>
        <w:pStyle w:val="paragraph"/>
      </w:pPr>
      <w:r w:rsidRPr="00A9581B">
        <w:tab/>
        <w:t>(a)</w:t>
      </w:r>
      <w:r w:rsidRPr="00A9581B">
        <w:tab/>
        <w:t>the 10 energy efficiency opportunities with the greatest potential for energy savings that the corporation has identified as suitable for implementation; or</w:t>
      </w:r>
    </w:p>
    <w:p w:rsidR="008357FD" w:rsidRPr="00A9581B" w:rsidRDefault="008357FD" w:rsidP="008357FD">
      <w:pPr>
        <w:pStyle w:val="paragraph"/>
      </w:pPr>
      <w:r w:rsidRPr="00A9581B">
        <w:tab/>
        <w:t>(b)</w:t>
      </w:r>
      <w:r w:rsidRPr="00A9581B">
        <w:tab/>
        <w:t>if those opportunities would represent more than 80% of the energy savings that the corporation has identified as suitable for implementation—the number of opportunities that represents at least 80% of those energy savings.</w:t>
      </w:r>
    </w:p>
    <w:p w:rsidR="008357FD" w:rsidRPr="00A9581B" w:rsidRDefault="004C6E01" w:rsidP="008357FD">
      <w:pPr>
        <w:pStyle w:val="ItemHead"/>
        <w:tabs>
          <w:tab w:val="left" w:pos="6663"/>
        </w:tabs>
      </w:pPr>
      <w:r w:rsidRPr="00A9581B">
        <w:t>19</w:t>
      </w:r>
      <w:r w:rsidR="008357FD" w:rsidRPr="00A9581B">
        <w:t xml:space="preserve">  At the end of Part</w:t>
      </w:r>
      <w:r w:rsidR="00A9581B" w:rsidRPr="00A9581B">
        <w:t> </w:t>
      </w:r>
      <w:r w:rsidR="008357FD" w:rsidRPr="00A9581B">
        <w:t>9</w:t>
      </w:r>
    </w:p>
    <w:p w:rsidR="008357FD" w:rsidRPr="00A9581B" w:rsidRDefault="008357FD" w:rsidP="008357FD">
      <w:pPr>
        <w:pStyle w:val="Item"/>
      </w:pPr>
      <w:r w:rsidRPr="00A9581B">
        <w:t>Add:</w:t>
      </w:r>
    </w:p>
    <w:p w:rsidR="008357FD" w:rsidRPr="00A9581B" w:rsidRDefault="008357FD" w:rsidP="008357FD">
      <w:pPr>
        <w:pStyle w:val="ActHead3"/>
      </w:pPr>
      <w:bookmarkStart w:id="21" w:name="_Toc362873108"/>
      <w:r w:rsidRPr="00A9581B">
        <w:rPr>
          <w:rStyle w:val="CharDivNo"/>
        </w:rPr>
        <w:t>Division</w:t>
      </w:r>
      <w:r w:rsidR="00A9581B" w:rsidRPr="00A9581B">
        <w:rPr>
          <w:rStyle w:val="CharDivNo"/>
        </w:rPr>
        <w:t> </w:t>
      </w:r>
      <w:r w:rsidRPr="00A9581B">
        <w:rPr>
          <w:rStyle w:val="CharDivNo"/>
        </w:rPr>
        <w:t>3</w:t>
      </w:r>
      <w:r w:rsidRPr="00A9581B">
        <w:t>—</w:t>
      </w:r>
      <w:r w:rsidRPr="00A9581B">
        <w:rPr>
          <w:rStyle w:val="CharDivText"/>
        </w:rPr>
        <w:t>General</w:t>
      </w:r>
      <w:bookmarkEnd w:id="21"/>
    </w:p>
    <w:p w:rsidR="008357FD" w:rsidRPr="00A9581B" w:rsidRDefault="008357FD" w:rsidP="008357FD">
      <w:pPr>
        <w:pStyle w:val="ActHead5"/>
      </w:pPr>
      <w:bookmarkStart w:id="22" w:name="_Toc362873109"/>
      <w:r w:rsidRPr="00A9581B">
        <w:rPr>
          <w:rStyle w:val="CharSectno"/>
        </w:rPr>
        <w:t>9.3</w:t>
      </w:r>
      <w:r w:rsidRPr="00A9581B">
        <w:t xml:space="preserve">  Delegation</w:t>
      </w:r>
      <w:bookmarkEnd w:id="22"/>
    </w:p>
    <w:p w:rsidR="008357FD" w:rsidRPr="00A9581B" w:rsidRDefault="008357FD" w:rsidP="008357FD">
      <w:pPr>
        <w:pStyle w:val="subsection"/>
      </w:pPr>
      <w:r w:rsidRPr="00A9581B">
        <w:tab/>
      </w:r>
      <w:r w:rsidRPr="00A9581B">
        <w:tab/>
        <w:t>The Secretary may, by signed instrument, delegate to an SES employee, or an acting SES employee, in the Department all or any of the Secretary’s powers under these Regulations.</w:t>
      </w:r>
    </w:p>
    <w:p w:rsidR="008357FD" w:rsidRPr="00A9581B" w:rsidRDefault="004C6E01" w:rsidP="008357FD">
      <w:pPr>
        <w:pStyle w:val="ItemHead"/>
        <w:tabs>
          <w:tab w:val="left" w:pos="6663"/>
        </w:tabs>
      </w:pPr>
      <w:r w:rsidRPr="00A9581B">
        <w:t>20</w:t>
      </w:r>
      <w:r w:rsidR="008357FD" w:rsidRPr="00A9581B">
        <w:t xml:space="preserve">  Before regulation</w:t>
      </w:r>
      <w:r w:rsidR="00A9581B" w:rsidRPr="00A9581B">
        <w:t> </w:t>
      </w:r>
      <w:r w:rsidR="008357FD" w:rsidRPr="00A9581B">
        <w:t>10.1</w:t>
      </w:r>
    </w:p>
    <w:p w:rsidR="008357FD" w:rsidRPr="00A9581B" w:rsidRDefault="008357FD" w:rsidP="008357FD">
      <w:pPr>
        <w:pStyle w:val="Item"/>
      </w:pPr>
      <w:r w:rsidRPr="00A9581B">
        <w:t>Insert:</w:t>
      </w:r>
    </w:p>
    <w:p w:rsidR="008357FD" w:rsidRPr="00A9581B" w:rsidRDefault="008357FD" w:rsidP="008357FD">
      <w:pPr>
        <w:pStyle w:val="ActHead4"/>
      </w:pPr>
      <w:bookmarkStart w:id="23" w:name="_Toc362873110"/>
      <w:r w:rsidRPr="00A9581B">
        <w:rPr>
          <w:rStyle w:val="CharSubdNo"/>
        </w:rPr>
        <w:t>Division</w:t>
      </w:r>
      <w:r w:rsidR="00A9581B" w:rsidRPr="00A9581B">
        <w:rPr>
          <w:rStyle w:val="CharSubdNo"/>
        </w:rPr>
        <w:t> </w:t>
      </w:r>
      <w:r w:rsidRPr="00A9581B">
        <w:rPr>
          <w:rStyle w:val="CharSubdNo"/>
        </w:rPr>
        <w:t>1</w:t>
      </w:r>
      <w:r w:rsidRPr="00A9581B">
        <w:t>—</w:t>
      </w:r>
      <w:r w:rsidRPr="00A9581B">
        <w:rPr>
          <w:rStyle w:val="CharSubdText"/>
        </w:rPr>
        <w:t>Transitional provisions for Energy Efficiency Opportunities Amendment Regulations</w:t>
      </w:r>
      <w:r w:rsidR="00A9581B" w:rsidRPr="00A9581B">
        <w:rPr>
          <w:rStyle w:val="CharSubdText"/>
        </w:rPr>
        <w:t> </w:t>
      </w:r>
      <w:r w:rsidRPr="00A9581B">
        <w:rPr>
          <w:rStyle w:val="CharSubdText"/>
        </w:rPr>
        <w:t>2008 (No.</w:t>
      </w:r>
      <w:r w:rsidR="00A9581B" w:rsidRPr="00A9581B">
        <w:rPr>
          <w:rStyle w:val="CharSubdText"/>
        </w:rPr>
        <w:t> </w:t>
      </w:r>
      <w:r w:rsidRPr="00A9581B">
        <w:rPr>
          <w:rStyle w:val="CharSubdText"/>
        </w:rPr>
        <w:t>1)</w:t>
      </w:r>
      <w:bookmarkEnd w:id="23"/>
    </w:p>
    <w:p w:rsidR="008357FD" w:rsidRPr="00A9581B" w:rsidRDefault="004C6E01" w:rsidP="008357FD">
      <w:pPr>
        <w:pStyle w:val="ItemHead"/>
        <w:tabs>
          <w:tab w:val="left" w:pos="6663"/>
        </w:tabs>
      </w:pPr>
      <w:r w:rsidRPr="00A9581B">
        <w:t>21</w:t>
      </w:r>
      <w:r w:rsidR="008357FD" w:rsidRPr="00A9581B">
        <w:t xml:space="preserve">  Regulation</w:t>
      </w:r>
      <w:r w:rsidR="00A9581B" w:rsidRPr="00A9581B">
        <w:t> </w:t>
      </w:r>
      <w:r w:rsidR="008357FD" w:rsidRPr="00A9581B">
        <w:t>10.1</w:t>
      </w:r>
    </w:p>
    <w:p w:rsidR="008357FD" w:rsidRPr="00A9581B" w:rsidRDefault="008357FD" w:rsidP="008357FD">
      <w:pPr>
        <w:pStyle w:val="Item"/>
      </w:pPr>
      <w:r w:rsidRPr="00A9581B">
        <w:t>Omit “Part” (wherever occurring), substitute “Division”.</w:t>
      </w:r>
    </w:p>
    <w:p w:rsidR="008357FD" w:rsidRPr="00A9581B" w:rsidRDefault="004C6E01" w:rsidP="008357FD">
      <w:pPr>
        <w:pStyle w:val="ItemHead"/>
      </w:pPr>
      <w:r w:rsidRPr="00A9581B">
        <w:t>22</w:t>
      </w:r>
      <w:r w:rsidR="008357FD" w:rsidRPr="00A9581B">
        <w:t xml:space="preserve">  Regulation</w:t>
      </w:r>
      <w:r w:rsidR="00A9581B" w:rsidRPr="00A9581B">
        <w:t> </w:t>
      </w:r>
      <w:r w:rsidR="008357FD" w:rsidRPr="00A9581B">
        <w:t>10.2</w:t>
      </w:r>
    </w:p>
    <w:p w:rsidR="008357FD" w:rsidRPr="00A9581B" w:rsidRDefault="008357FD" w:rsidP="008357FD">
      <w:pPr>
        <w:pStyle w:val="Item"/>
      </w:pPr>
      <w:r w:rsidRPr="00A9581B">
        <w:t>Omit “Part” (wh</w:t>
      </w:r>
      <w:r w:rsidR="00EC20E9" w:rsidRPr="00A9581B">
        <w:t>erever occurring), substitute “</w:t>
      </w:r>
      <w:r w:rsidRPr="00A9581B">
        <w:t>Division”.</w:t>
      </w:r>
    </w:p>
    <w:p w:rsidR="008357FD" w:rsidRPr="00A9581B" w:rsidRDefault="004C6E01" w:rsidP="008357FD">
      <w:pPr>
        <w:pStyle w:val="ItemHead"/>
        <w:tabs>
          <w:tab w:val="left" w:pos="6663"/>
        </w:tabs>
      </w:pPr>
      <w:r w:rsidRPr="00A9581B">
        <w:t>23</w:t>
      </w:r>
      <w:r w:rsidR="008357FD" w:rsidRPr="00A9581B">
        <w:t xml:space="preserve">  At the end of Part</w:t>
      </w:r>
      <w:r w:rsidR="00A9581B" w:rsidRPr="00A9581B">
        <w:t> </w:t>
      </w:r>
      <w:r w:rsidR="008357FD" w:rsidRPr="00A9581B">
        <w:t>10</w:t>
      </w:r>
    </w:p>
    <w:p w:rsidR="008357FD" w:rsidRPr="00A9581B" w:rsidRDefault="008357FD" w:rsidP="008357FD">
      <w:pPr>
        <w:pStyle w:val="Item"/>
      </w:pPr>
      <w:r w:rsidRPr="00A9581B">
        <w:t>Add:</w:t>
      </w:r>
    </w:p>
    <w:p w:rsidR="008357FD" w:rsidRPr="00A9581B" w:rsidRDefault="008357FD" w:rsidP="008357FD">
      <w:pPr>
        <w:pStyle w:val="ActHead4"/>
      </w:pPr>
      <w:bookmarkStart w:id="24" w:name="_Toc362873111"/>
      <w:r w:rsidRPr="00A9581B">
        <w:rPr>
          <w:rStyle w:val="CharSubdNo"/>
        </w:rPr>
        <w:t>Division</w:t>
      </w:r>
      <w:r w:rsidR="00A9581B" w:rsidRPr="00A9581B">
        <w:rPr>
          <w:rStyle w:val="CharSubdNo"/>
        </w:rPr>
        <w:t> </w:t>
      </w:r>
      <w:r w:rsidRPr="00A9581B">
        <w:rPr>
          <w:rStyle w:val="CharSubdNo"/>
        </w:rPr>
        <w:t>2</w:t>
      </w:r>
      <w:r w:rsidRPr="00A9581B">
        <w:t>—</w:t>
      </w:r>
      <w:r w:rsidRPr="00A9581B">
        <w:rPr>
          <w:rStyle w:val="CharSubdText"/>
        </w:rPr>
        <w:t>Transitional provisions for Energy Efficiency Opportunities Amendment (Assessments and Reporting) Regulation</w:t>
      </w:r>
      <w:r w:rsidR="00A9581B" w:rsidRPr="00A9581B">
        <w:rPr>
          <w:rStyle w:val="CharSubdText"/>
        </w:rPr>
        <w:t> </w:t>
      </w:r>
      <w:r w:rsidRPr="00A9581B">
        <w:rPr>
          <w:rStyle w:val="CharSubdText"/>
        </w:rPr>
        <w:t>2013</w:t>
      </w:r>
      <w:bookmarkEnd w:id="24"/>
    </w:p>
    <w:p w:rsidR="008357FD" w:rsidRPr="00A9581B" w:rsidRDefault="008357FD" w:rsidP="008357FD">
      <w:pPr>
        <w:pStyle w:val="ActHead5"/>
      </w:pPr>
      <w:bookmarkStart w:id="25" w:name="_Toc362873112"/>
      <w:r w:rsidRPr="00A9581B">
        <w:rPr>
          <w:rStyle w:val="CharSectno"/>
        </w:rPr>
        <w:t>10.6</w:t>
      </w:r>
      <w:r w:rsidRPr="00A9581B">
        <w:t xml:space="preserve">  A</w:t>
      </w:r>
      <w:r w:rsidR="00DA11A0" w:rsidRPr="00A9581B">
        <w:t>ssessment plans or variations</w:t>
      </w:r>
      <w:bookmarkEnd w:id="25"/>
    </w:p>
    <w:p w:rsidR="008357FD" w:rsidRPr="00A9581B" w:rsidRDefault="008357FD" w:rsidP="008357FD">
      <w:pPr>
        <w:pStyle w:val="subsection"/>
      </w:pPr>
      <w:r w:rsidRPr="00A9581B">
        <w:tab/>
        <w:t>(1)</w:t>
      </w:r>
      <w:r w:rsidRPr="00A9581B">
        <w:tab/>
        <w:t>If, before the commencement of this regulation, the Secretary has been given, but has not yet decided whether or not to approve:</w:t>
      </w:r>
    </w:p>
    <w:p w:rsidR="008357FD" w:rsidRPr="00A9581B" w:rsidRDefault="008357FD" w:rsidP="008357FD">
      <w:pPr>
        <w:pStyle w:val="paragraph"/>
      </w:pPr>
      <w:r w:rsidRPr="00A9581B">
        <w:tab/>
        <w:t>(a)</w:t>
      </w:r>
      <w:r w:rsidRPr="00A9581B">
        <w:tab/>
        <w:t>a proposed assessment plan; or</w:t>
      </w:r>
    </w:p>
    <w:p w:rsidR="008357FD" w:rsidRPr="00A9581B" w:rsidRDefault="008357FD" w:rsidP="008357FD">
      <w:pPr>
        <w:pStyle w:val="paragraph"/>
      </w:pPr>
      <w:r w:rsidRPr="00A9581B">
        <w:tab/>
        <w:t>(b)</w:t>
      </w:r>
      <w:r w:rsidRPr="00A9581B">
        <w:tab/>
        <w:t>a proposed variation of an assessment plan;</w:t>
      </w:r>
    </w:p>
    <w:p w:rsidR="008357FD" w:rsidRPr="00A9581B" w:rsidRDefault="00DA11A0" w:rsidP="008357FD">
      <w:pPr>
        <w:pStyle w:val="subsection2"/>
      </w:pPr>
      <w:r w:rsidRPr="00A9581B">
        <w:t xml:space="preserve">the </w:t>
      </w:r>
      <w:r w:rsidR="00601CBA" w:rsidRPr="00A9581B">
        <w:t xml:space="preserve">old </w:t>
      </w:r>
      <w:r w:rsidRPr="00A9581B">
        <w:t>Regulations</w:t>
      </w:r>
      <w:r w:rsidR="00DC5FE8" w:rsidRPr="00A9581B">
        <w:t xml:space="preserve"> apply to the assessment plan or </w:t>
      </w:r>
      <w:r w:rsidR="0004245E" w:rsidRPr="00A9581B">
        <w:t>varied assessment plan</w:t>
      </w:r>
      <w:r w:rsidR="008357FD" w:rsidRPr="00A9581B">
        <w:t>.</w:t>
      </w:r>
    </w:p>
    <w:p w:rsidR="005C0180" w:rsidRPr="00A9581B" w:rsidRDefault="008357FD" w:rsidP="008357FD">
      <w:pPr>
        <w:pStyle w:val="subsection"/>
      </w:pPr>
      <w:r w:rsidRPr="00A9581B">
        <w:tab/>
        <w:t>(2)</w:t>
      </w:r>
      <w:r w:rsidRPr="00A9581B">
        <w:tab/>
      </w:r>
      <w:r w:rsidR="005C0180" w:rsidRPr="00A9581B">
        <w:t>If a registered corporation</w:t>
      </w:r>
      <w:r w:rsidR="000F438E" w:rsidRPr="00A9581B">
        <w:t>’</w:t>
      </w:r>
      <w:r w:rsidR="005C0180" w:rsidRPr="00A9581B">
        <w:t>s assessment plan was approved according to the old Regulations:</w:t>
      </w:r>
    </w:p>
    <w:p w:rsidR="005C0180" w:rsidRPr="00A9581B" w:rsidRDefault="005C0180" w:rsidP="005C0180">
      <w:pPr>
        <w:pStyle w:val="paragraph"/>
      </w:pPr>
      <w:r w:rsidRPr="00A9581B">
        <w:tab/>
        <w:t>(a)</w:t>
      </w:r>
      <w:r w:rsidRPr="00A9581B">
        <w:tab/>
        <w:t>the corporation may, after the commencement of this regulation, choose to prepare any variation to the assessment plan</w:t>
      </w:r>
      <w:r w:rsidR="00DC5FE8" w:rsidRPr="00A9581B">
        <w:t>, to the extent that the variation relates to an existing facility,</w:t>
      </w:r>
      <w:r w:rsidRPr="00A9581B">
        <w:t xml:space="preserve"> in accordance with the old Regulations; and</w:t>
      </w:r>
    </w:p>
    <w:p w:rsidR="005C0180" w:rsidRPr="00A9581B" w:rsidRDefault="005C0180" w:rsidP="005C0180">
      <w:pPr>
        <w:pStyle w:val="paragraph"/>
      </w:pPr>
      <w:r w:rsidRPr="00A9581B">
        <w:tab/>
        <w:t>(b)</w:t>
      </w:r>
      <w:r w:rsidRPr="00A9581B">
        <w:tab/>
        <w:t>if the corporation does so:</w:t>
      </w:r>
    </w:p>
    <w:p w:rsidR="00C34090" w:rsidRPr="00A9581B" w:rsidRDefault="00C34090" w:rsidP="005C0180">
      <w:pPr>
        <w:pStyle w:val="paragraphsub"/>
      </w:pPr>
      <w:r w:rsidRPr="00A9581B">
        <w:tab/>
        <w:t>(i)</w:t>
      </w:r>
      <w:r w:rsidRPr="00A9581B">
        <w:tab/>
        <w:t>the assessment plan must state that the corporation has chosen to prepare the plan in accordance with the old Regulations; and</w:t>
      </w:r>
    </w:p>
    <w:p w:rsidR="008357FD" w:rsidRPr="00A9581B" w:rsidRDefault="008357FD" w:rsidP="005C0180">
      <w:pPr>
        <w:pStyle w:val="paragraphsub"/>
      </w:pPr>
      <w:r w:rsidRPr="00A9581B">
        <w:tab/>
        <w:t>(</w:t>
      </w:r>
      <w:r w:rsidR="005C0180" w:rsidRPr="00A9581B">
        <w:t>ii</w:t>
      </w:r>
      <w:r w:rsidRPr="00A9581B">
        <w:t>)</w:t>
      </w:r>
      <w:r w:rsidRPr="00A9581B">
        <w:tab/>
        <w:t xml:space="preserve">the </w:t>
      </w:r>
      <w:r w:rsidR="005C0180" w:rsidRPr="00A9581B">
        <w:t>old Regulations</w:t>
      </w:r>
      <w:r w:rsidR="00DC5FE8" w:rsidRPr="00A9581B">
        <w:t xml:space="preserve"> apply to the vari</w:t>
      </w:r>
      <w:r w:rsidR="0004245E" w:rsidRPr="00A9581B">
        <w:t>ed assessment plan</w:t>
      </w:r>
      <w:r w:rsidR="00DC5FE8" w:rsidRPr="00A9581B">
        <w:t>, to the extent that the variation relates to the existing facility</w:t>
      </w:r>
      <w:r w:rsidRPr="00A9581B">
        <w:t>.</w:t>
      </w:r>
    </w:p>
    <w:p w:rsidR="00601CBA" w:rsidRPr="00A9581B" w:rsidRDefault="00601CBA" w:rsidP="00601CBA">
      <w:pPr>
        <w:pStyle w:val="subsection"/>
      </w:pPr>
      <w:r w:rsidRPr="00A9581B">
        <w:tab/>
        <w:t>(3)</w:t>
      </w:r>
      <w:r w:rsidRPr="00A9581B">
        <w:tab/>
        <w:t>In this regulation:</w:t>
      </w:r>
    </w:p>
    <w:p w:rsidR="00601CBA" w:rsidRPr="00A9581B" w:rsidRDefault="00601CBA" w:rsidP="00601CBA">
      <w:pPr>
        <w:pStyle w:val="Definition"/>
        <w:rPr>
          <w:b/>
          <w:i/>
        </w:rPr>
      </w:pPr>
      <w:r w:rsidRPr="00A9581B">
        <w:rPr>
          <w:b/>
          <w:bCs/>
          <w:i/>
          <w:iCs/>
        </w:rPr>
        <w:t xml:space="preserve">amended Regulations </w:t>
      </w:r>
      <w:r w:rsidRPr="00A9581B">
        <w:t>means these Regulations as in force after the commencement of this regulation.</w:t>
      </w:r>
    </w:p>
    <w:p w:rsidR="00601CBA" w:rsidRPr="00A9581B" w:rsidRDefault="00601CBA" w:rsidP="00601CBA">
      <w:pPr>
        <w:pStyle w:val="Definition"/>
      </w:pPr>
      <w:r w:rsidRPr="00A9581B">
        <w:rPr>
          <w:b/>
          <w:i/>
        </w:rPr>
        <w:t>old Regulations</w:t>
      </w:r>
      <w:r w:rsidRPr="00A9581B">
        <w:t xml:space="preserve"> means these Regulations as in force immediately before the commencement of this regulation.</w:t>
      </w:r>
    </w:p>
    <w:p w:rsidR="008357FD" w:rsidRPr="00A9581B" w:rsidRDefault="004C6E01" w:rsidP="008357FD">
      <w:pPr>
        <w:pStyle w:val="ItemHead"/>
        <w:tabs>
          <w:tab w:val="left" w:pos="6663"/>
        </w:tabs>
      </w:pPr>
      <w:r w:rsidRPr="00A9581B">
        <w:t>24</w:t>
      </w:r>
      <w:r w:rsidR="008357FD" w:rsidRPr="00A9581B">
        <w:t xml:space="preserve">  Item</w:t>
      </w:r>
      <w:r w:rsidR="00A9581B" w:rsidRPr="00A9581B">
        <w:t> </w:t>
      </w:r>
      <w:r w:rsidR="008357FD" w:rsidRPr="00A9581B">
        <w:t>206 of Part</w:t>
      </w:r>
      <w:r w:rsidR="00A9581B" w:rsidRPr="00A9581B">
        <w:t> </w:t>
      </w:r>
      <w:r w:rsidR="008357FD" w:rsidRPr="00A9581B">
        <w:t>2 of Schedule</w:t>
      </w:r>
      <w:r w:rsidR="00A9581B" w:rsidRPr="00A9581B">
        <w:t> </w:t>
      </w:r>
      <w:r w:rsidR="008357FD" w:rsidRPr="00A9581B">
        <w:t>2A</w:t>
      </w:r>
    </w:p>
    <w:p w:rsidR="008357FD" w:rsidRPr="00A9581B" w:rsidRDefault="008357FD" w:rsidP="008357FD">
      <w:pPr>
        <w:pStyle w:val="Item"/>
      </w:pPr>
      <w:r w:rsidRPr="00A9581B">
        <w:t>Omit “regulation</w:t>
      </w:r>
      <w:r w:rsidR="00A9581B" w:rsidRPr="00A9581B">
        <w:t> </w:t>
      </w:r>
      <w:r w:rsidRPr="00A9581B">
        <w:t>7.6A and Schedule</w:t>
      </w:r>
      <w:r w:rsidR="00A9581B" w:rsidRPr="00A9581B">
        <w:t> </w:t>
      </w:r>
      <w:r w:rsidRPr="00A9581B">
        <w:t>4A”, substitute “</w:t>
      </w:r>
      <w:r w:rsidR="000F438E" w:rsidRPr="00A9581B">
        <w:t>sub</w:t>
      </w:r>
      <w:r w:rsidRPr="00A9581B">
        <w:t>regulation</w:t>
      </w:r>
      <w:r w:rsidR="00A9581B" w:rsidRPr="00A9581B">
        <w:t> </w:t>
      </w:r>
      <w:r w:rsidRPr="00A9581B">
        <w:t xml:space="preserve">7.2(3) or </w:t>
      </w:r>
      <w:r w:rsidR="000F438E" w:rsidRPr="00A9581B">
        <w:t>regulation</w:t>
      </w:r>
      <w:r w:rsidR="00A9581B" w:rsidRPr="00A9581B">
        <w:t> </w:t>
      </w:r>
      <w:r w:rsidRPr="00A9581B">
        <w:t>7.6A”.</w:t>
      </w:r>
    </w:p>
    <w:p w:rsidR="008357FD" w:rsidRPr="00A9581B" w:rsidRDefault="004C6E01" w:rsidP="008357FD">
      <w:pPr>
        <w:pStyle w:val="ItemHead"/>
        <w:tabs>
          <w:tab w:val="left" w:pos="6663"/>
        </w:tabs>
      </w:pPr>
      <w:r w:rsidRPr="00A9581B">
        <w:t>25</w:t>
      </w:r>
      <w:r w:rsidR="008357FD" w:rsidRPr="00A9581B">
        <w:t xml:space="preserve">  Item</w:t>
      </w:r>
      <w:r w:rsidR="00A9581B" w:rsidRPr="00A9581B">
        <w:t> </w:t>
      </w:r>
      <w:r w:rsidR="008357FD" w:rsidRPr="00A9581B">
        <w:t>301 of Part</w:t>
      </w:r>
      <w:r w:rsidR="00A9581B" w:rsidRPr="00A9581B">
        <w:t> </w:t>
      </w:r>
      <w:r w:rsidR="008357FD" w:rsidRPr="00A9581B">
        <w:t>3 of Schedule</w:t>
      </w:r>
      <w:r w:rsidR="00A9581B" w:rsidRPr="00A9581B">
        <w:t> </w:t>
      </w:r>
      <w:r w:rsidR="008357FD" w:rsidRPr="00A9581B">
        <w:t>2A</w:t>
      </w:r>
    </w:p>
    <w:p w:rsidR="008357FD" w:rsidRPr="00A9581B" w:rsidRDefault="008357FD" w:rsidP="008357FD">
      <w:pPr>
        <w:pStyle w:val="Item"/>
      </w:pPr>
      <w:r w:rsidRPr="00A9581B">
        <w:t>Repeal the item, substitute:</w:t>
      </w:r>
    </w:p>
    <w:p w:rsidR="008357FD" w:rsidRPr="00A9581B" w:rsidRDefault="008357FD" w:rsidP="008357FD">
      <w:pPr>
        <w:pStyle w:val="subsection"/>
      </w:pPr>
      <w:r w:rsidRPr="00A9581B">
        <w:t>301</w:t>
      </w:r>
      <w:r w:rsidRPr="00A9581B">
        <w:tab/>
      </w:r>
      <w:r w:rsidRPr="00A9581B">
        <w:tab/>
        <w:t>A general explanation of how the controlling corporation intends to undertake assessments in order to meet the requirements of the Assessment Framework in the table in this item, including an explanation of how the corporation will incorporate the requirements into applicable design stages.</w:t>
      </w:r>
    </w:p>
    <w:p w:rsidR="008357FD" w:rsidRPr="00A9581B" w:rsidRDefault="008357FD" w:rsidP="008357FD">
      <w:pPr>
        <w:pStyle w:val="notemargin"/>
      </w:pPr>
      <w:r w:rsidRPr="00A9581B">
        <w:t>Note:</w:t>
      </w:r>
      <w:r w:rsidRPr="00A9581B">
        <w:tab/>
        <w:t>The intention of the requirements must be applied to the new development or the expansion, from the initial concept to post</w:t>
      </w:r>
      <w:r w:rsidR="00A9581B">
        <w:noBreakHyphen/>
      </w:r>
      <w:r w:rsidRPr="00A9581B">
        <w:t>construction optimisation. Some existing systems and processes may already meet the intent of the requirements and should be used where appropriate. Some requirements will be more applicable to early design stages and others will be more applicable to later design stages. The requirements may not be applicable to some design stages such as construction and commissioning.</w:t>
      </w:r>
    </w:p>
    <w:p w:rsidR="008357FD" w:rsidRPr="00A9581B" w:rsidRDefault="008357FD" w:rsidP="008357FD">
      <w:pPr>
        <w:pStyle w:val="notemargin"/>
      </w:pPr>
      <w:r w:rsidRPr="00A9581B">
        <w:tab/>
        <w:t>A registered corporation should consider how to best align the intent of these requirements, to existing design processes and stage gates, to best identify design decisions which will result in increased energy productivity.</w:t>
      </w:r>
    </w:p>
    <w:p w:rsidR="008357FD" w:rsidRPr="00A9581B" w:rsidRDefault="008357FD" w:rsidP="008357F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83"/>
      </w:tblGrid>
      <w:tr w:rsidR="008357FD" w:rsidRPr="00A9581B" w:rsidTr="0015382E">
        <w:trPr>
          <w:tblHeader/>
        </w:trPr>
        <w:tc>
          <w:tcPr>
            <w:tcW w:w="7083" w:type="dxa"/>
            <w:tcBorders>
              <w:top w:val="single" w:sz="12" w:space="0" w:color="auto"/>
              <w:bottom w:val="single" w:sz="12" w:space="0" w:color="auto"/>
            </w:tcBorders>
            <w:shd w:val="clear" w:color="auto" w:fill="auto"/>
          </w:tcPr>
          <w:p w:rsidR="008357FD" w:rsidRPr="00A9581B" w:rsidRDefault="008357FD" w:rsidP="00601CBA">
            <w:pPr>
              <w:pStyle w:val="TableHeading"/>
            </w:pPr>
            <w:r w:rsidRPr="00A9581B">
              <w:t>Assessment Framework for new development or expansion</w:t>
            </w:r>
          </w:p>
        </w:tc>
      </w:tr>
      <w:tr w:rsidR="008357FD" w:rsidRPr="00A9581B" w:rsidTr="0015382E">
        <w:trPr>
          <w:trHeight w:val="508"/>
        </w:trPr>
        <w:tc>
          <w:tcPr>
            <w:tcW w:w="7083" w:type="dxa"/>
            <w:tcBorders>
              <w:top w:val="single" w:sz="12" w:space="0" w:color="auto"/>
              <w:bottom w:val="nil"/>
            </w:tcBorders>
            <w:shd w:val="clear" w:color="auto" w:fill="auto"/>
          </w:tcPr>
          <w:p w:rsidR="008357FD" w:rsidRPr="00A9581B" w:rsidRDefault="008357FD" w:rsidP="00601CBA">
            <w:pPr>
              <w:pStyle w:val="Tabletext"/>
              <w:rPr>
                <w:b/>
                <w:sz w:val="28"/>
                <w:szCs w:val="28"/>
              </w:rPr>
            </w:pPr>
            <w:r w:rsidRPr="00A9581B">
              <w:rPr>
                <w:b/>
              </w:rPr>
              <w:t>Requirement 1—Leadership</w:t>
            </w:r>
          </w:p>
          <w:p w:rsidR="008357FD" w:rsidRPr="00A9581B" w:rsidRDefault="008357FD" w:rsidP="00601CBA">
            <w:pPr>
              <w:pStyle w:val="Tabletext"/>
            </w:pPr>
            <w:r w:rsidRPr="00A9581B">
              <w:t>Senior management, through visible leadership and commitment, provides clear direction and purpose to the assessment throughout the design stage through to commercial operation, which may include:</w:t>
            </w:r>
          </w:p>
          <w:p w:rsidR="008357FD" w:rsidRPr="00A9581B" w:rsidRDefault="008357FD" w:rsidP="00601CBA">
            <w:pPr>
              <w:pStyle w:val="Tablea"/>
            </w:pPr>
            <w:r w:rsidRPr="00A9581B">
              <w:t>(a) setting and communicating both feasible and aspirational target energy performance objectives for the new development or the expansion once operational; and</w:t>
            </w:r>
          </w:p>
          <w:p w:rsidR="008357FD" w:rsidRPr="00A9581B" w:rsidRDefault="008357FD" w:rsidP="00601CBA">
            <w:pPr>
              <w:pStyle w:val="Tablea"/>
            </w:pPr>
            <w:r w:rsidRPr="00A9581B">
              <w:t>(b) communicating and ensuring that assessment objectives are contributing towards business priorities; and</w:t>
            </w:r>
          </w:p>
          <w:p w:rsidR="008357FD" w:rsidRPr="00A9581B" w:rsidRDefault="008357FD" w:rsidP="00601CBA">
            <w:pPr>
              <w:pStyle w:val="Tablea"/>
            </w:pPr>
            <w:r w:rsidRPr="00A9581B">
              <w:t>(c) setting Key Performance Indicators within the design process and giving recognition for achievement of energy performance objectives and internal processes relating to energy productivity improvements.</w:t>
            </w:r>
          </w:p>
          <w:p w:rsidR="008357FD" w:rsidRPr="00A9581B" w:rsidRDefault="008357FD" w:rsidP="00601CBA">
            <w:pPr>
              <w:pStyle w:val="Tabletext"/>
            </w:pPr>
            <w:r w:rsidRPr="00A9581B">
              <w:t>Senior management supports, motivates and values the efforts of staff and other stakeholders (for example, project managers, design teams, equipment suppliers, engineering procurement construction management (EPCM) and operation staff) involved in the identification and implementation of energy efficiency opportunities.</w:t>
            </w:r>
          </w:p>
        </w:tc>
      </w:tr>
      <w:tr w:rsidR="008357FD" w:rsidRPr="00A9581B" w:rsidTr="00601CBA">
        <w:trPr>
          <w:trHeight w:val="2135"/>
        </w:trPr>
        <w:tc>
          <w:tcPr>
            <w:tcW w:w="7083" w:type="dxa"/>
            <w:tcBorders>
              <w:top w:val="single" w:sz="4" w:space="0" w:color="auto"/>
              <w:bottom w:val="nil"/>
            </w:tcBorders>
            <w:shd w:val="clear" w:color="auto" w:fill="auto"/>
          </w:tcPr>
          <w:p w:rsidR="008357FD" w:rsidRPr="00A9581B" w:rsidRDefault="008357FD" w:rsidP="00601CBA">
            <w:pPr>
              <w:pStyle w:val="Tabletext"/>
              <w:rPr>
                <w:b/>
              </w:rPr>
            </w:pPr>
            <w:r w:rsidRPr="00A9581B">
              <w:rPr>
                <w:b/>
              </w:rPr>
              <w:t>Requirement 2—People</w:t>
            </w:r>
          </w:p>
          <w:p w:rsidR="008357FD" w:rsidRPr="00A9581B" w:rsidRDefault="008357FD" w:rsidP="00601CBA">
            <w:pPr>
              <w:pStyle w:val="Tabletext"/>
            </w:pPr>
            <w:r w:rsidRPr="00A9581B">
              <w:t>Skilled and knowledgeable people, and people with direct and indirect influence on the operational energy use of the new development or the expansion through design and development decisions are involved in the assessment, these people may include:</w:t>
            </w:r>
          </w:p>
          <w:p w:rsidR="008357FD" w:rsidRPr="00A9581B" w:rsidRDefault="008357FD" w:rsidP="00601CBA">
            <w:pPr>
              <w:pStyle w:val="Tablea"/>
            </w:pPr>
            <w:r w:rsidRPr="00A9581B">
              <w:t>(a) people from the design and commissioning teams—examples may include mechanical engineers, electrical engineers, geotech scientists, planners, commissioning engineers, project managers and the like; and</w:t>
            </w:r>
          </w:p>
          <w:p w:rsidR="008357FD" w:rsidRPr="00A9581B" w:rsidRDefault="008357FD" w:rsidP="00601CBA">
            <w:pPr>
              <w:pStyle w:val="Tablea"/>
            </w:pPr>
            <w:r w:rsidRPr="00A9581B">
              <w:t>(b) the operations teams—examples may include process engineers, people from operations teams, maintenance personnel and the like; and</w:t>
            </w:r>
          </w:p>
          <w:p w:rsidR="008357FD" w:rsidRPr="00A9581B" w:rsidRDefault="008357FD" w:rsidP="00601CBA">
            <w:pPr>
              <w:pStyle w:val="Tablea"/>
            </w:pPr>
            <w:r w:rsidRPr="00A9581B">
              <w:t>(c) equipment suppliers and contractors involved in design and construction—examples may include multiple suppliers for major pieces of plant, EPC contractors, EPCM contractors; and</w:t>
            </w:r>
          </w:p>
          <w:p w:rsidR="008357FD" w:rsidRPr="00A9581B" w:rsidRDefault="008357FD" w:rsidP="00601CBA">
            <w:pPr>
              <w:pStyle w:val="Tablea"/>
            </w:pPr>
            <w:r w:rsidRPr="00A9581B">
              <w:t>(d) technical experts—examples may include internal and external technical experts, people from other similar industries who could identify a different perspective; and</w:t>
            </w:r>
          </w:p>
          <w:p w:rsidR="008357FD" w:rsidRPr="00A9581B" w:rsidRDefault="008357FD" w:rsidP="00601CBA">
            <w:pPr>
              <w:pStyle w:val="Tablea"/>
            </w:pPr>
            <w:r w:rsidRPr="00A9581B">
              <w:t>(e) finance and management personnel—examples may include accountants, business improvement staff, project and business management.</w:t>
            </w:r>
          </w:p>
          <w:p w:rsidR="008357FD" w:rsidRPr="00A9581B" w:rsidRDefault="008357FD" w:rsidP="00601CBA">
            <w:pPr>
              <w:pStyle w:val="Tabletext"/>
            </w:pPr>
            <w:r w:rsidRPr="00A9581B">
              <w:t>The relevant people listed above or similar relevant people are included in a process to improve the energy productivity of the new development or the expansion. Activities undertaken to improve energy productivity may include:</w:t>
            </w:r>
          </w:p>
          <w:p w:rsidR="008357FD" w:rsidRPr="00A9581B" w:rsidRDefault="008357FD" w:rsidP="00601CBA">
            <w:pPr>
              <w:pStyle w:val="Tablea"/>
            </w:pPr>
            <w:r w:rsidRPr="00A9581B">
              <w:t>(a) utilising knowledge of existing or similar operations; and</w:t>
            </w:r>
          </w:p>
          <w:p w:rsidR="008357FD" w:rsidRPr="00A9581B" w:rsidRDefault="008357FD" w:rsidP="00601CBA">
            <w:pPr>
              <w:pStyle w:val="Tablea"/>
            </w:pPr>
            <w:r w:rsidRPr="00A9581B">
              <w:t>(b) effectively collecting and analysing energy and process data, and factors impacting on energy use, both design and operational as required; and</w:t>
            </w:r>
          </w:p>
          <w:p w:rsidR="008357FD" w:rsidRPr="00A9581B" w:rsidRDefault="008357FD" w:rsidP="00601CBA">
            <w:pPr>
              <w:pStyle w:val="Tablea"/>
            </w:pPr>
            <w:r w:rsidRPr="00A9581B">
              <w:t>(c) identifying and evaluating opportunities to reduce energy use or increase productivity relative to energy consumption; and</w:t>
            </w:r>
          </w:p>
          <w:p w:rsidR="008357FD" w:rsidRPr="00A9581B" w:rsidRDefault="008357FD" w:rsidP="00601CBA">
            <w:pPr>
              <w:pStyle w:val="Tablea"/>
            </w:pPr>
            <w:r w:rsidRPr="00A9581B">
              <w:t>(d) considering the design and optimisation from all perspectives including energy productivity; and</w:t>
            </w:r>
          </w:p>
          <w:p w:rsidR="008357FD" w:rsidRPr="00A9581B" w:rsidRDefault="008357FD" w:rsidP="00601CBA">
            <w:pPr>
              <w:pStyle w:val="Tablea"/>
            </w:pPr>
            <w:r w:rsidRPr="00A9581B">
              <w:t>(e) provide fresh perspectives; and</w:t>
            </w:r>
          </w:p>
          <w:p w:rsidR="008357FD" w:rsidRPr="00A9581B" w:rsidRDefault="008357FD" w:rsidP="00601CBA">
            <w:pPr>
              <w:pStyle w:val="Tablea"/>
            </w:pPr>
            <w:r w:rsidRPr="00A9581B">
              <w:t>(f) make the business case for identified energy productivity improvements at the design stage through to commercial operation.</w:t>
            </w:r>
          </w:p>
          <w:p w:rsidR="008357FD" w:rsidRPr="00A9581B" w:rsidRDefault="008357FD" w:rsidP="00601CBA">
            <w:pPr>
              <w:pStyle w:val="Tabletext"/>
            </w:pPr>
            <w:r w:rsidRPr="00A9581B">
              <w:t>Responsibilities and accountabilities are allocated and documented, and team diversity is encouraged.</w:t>
            </w:r>
          </w:p>
        </w:tc>
      </w:tr>
      <w:tr w:rsidR="008357FD" w:rsidRPr="00A9581B" w:rsidTr="00DC4C5D">
        <w:trPr>
          <w:trHeight w:val="508"/>
        </w:trPr>
        <w:tc>
          <w:tcPr>
            <w:tcW w:w="7083" w:type="dxa"/>
            <w:tcBorders>
              <w:top w:val="single" w:sz="4" w:space="0" w:color="auto"/>
              <w:bottom w:val="nil"/>
            </w:tcBorders>
            <w:shd w:val="clear" w:color="auto" w:fill="auto"/>
          </w:tcPr>
          <w:p w:rsidR="008357FD" w:rsidRPr="00A9581B" w:rsidRDefault="008357FD" w:rsidP="00601CBA">
            <w:pPr>
              <w:pStyle w:val="Tabletext"/>
              <w:rPr>
                <w:b/>
              </w:rPr>
            </w:pPr>
            <w:r w:rsidRPr="00A9581B">
              <w:rPr>
                <w:b/>
              </w:rPr>
              <w:t>Requirement 3—Information, data and analysis</w:t>
            </w:r>
          </w:p>
          <w:p w:rsidR="008357FD" w:rsidRPr="00A9581B" w:rsidRDefault="008357FD" w:rsidP="00601CBA">
            <w:pPr>
              <w:pStyle w:val="Tabletext"/>
            </w:pPr>
            <w:r w:rsidRPr="00A9581B">
              <w:t>Predominately relating to early design stages, an analysis is conducted on the whole site which includes energy productivity, to identify a cost effective facility design from an operational and capital cost perspective. This process may include but is not limited to considering:</w:t>
            </w:r>
          </w:p>
          <w:p w:rsidR="008357FD" w:rsidRPr="00A9581B" w:rsidRDefault="008357FD" w:rsidP="00601CBA">
            <w:pPr>
              <w:pStyle w:val="Tablea"/>
            </w:pPr>
            <w:r w:rsidRPr="00A9581B">
              <w:t>(a) the requirements of the product which the facility will produce, along with the minimum inputs required to produce the product, and considering the optimum method or methods to produce that product; and</w:t>
            </w:r>
          </w:p>
          <w:p w:rsidR="008357FD" w:rsidRPr="00A9581B" w:rsidRDefault="008357FD" w:rsidP="00601CBA">
            <w:pPr>
              <w:pStyle w:val="Tablea"/>
            </w:pPr>
            <w:r w:rsidRPr="00A9581B">
              <w:t>(b) the location and arrangement of equipment to allow opportunities such as heat transfer between processes and reduced distances in bulk handling; and</w:t>
            </w:r>
          </w:p>
          <w:p w:rsidR="008357FD" w:rsidRPr="00A9581B" w:rsidRDefault="008357FD" w:rsidP="00601CBA">
            <w:pPr>
              <w:pStyle w:val="Tablea"/>
            </w:pPr>
            <w:r w:rsidRPr="00A9581B">
              <w:t>(c) one or more of:</w:t>
            </w:r>
          </w:p>
          <w:p w:rsidR="008357FD" w:rsidRPr="00A9581B" w:rsidRDefault="008357FD" w:rsidP="00601CBA">
            <w:pPr>
              <w:pStyle w:val="Tablei"/>
            </w:pPr>
            <w:r w:rsidRPr="00A9581B">
              <w:t>(i) alternative technology choices; and</w:t>
            </w:r>
          </w:p>
          <w:p w:rsidR="008357FD" w:rsidRPr="00A9581B" w:rsidRDefault="008357FD" w:rsidP="00601CBA">
            <w:pPr>
              <w:pStyle w:val="Tablei"/>
            </w:pPr>
            <w:r w:rsidRPr="00A9581B">
              <w:t>(ii) multiple suppliers; and</w:t>
            </w:r>
          </w:p>
          <w:p w:rsidR="008357FD" w:rsidRPr="00A9581B" w:rsidRDefault="008357FD" w:rsidP="00601CBA">
            <w:pPr>
              <w:pStyle w:val="Tablei"/>
            </w:pPr>
            <w:r w:rsidRPr="00A9581B">
              <w:t>(iii) energy impacts of “off the shelf” equipment;</w:t>
            </w:r>
          </w:p>
          <w:p w:rsidR="008357FD" w:rsidRPr="00A9581B" w:rsidRDefault="008357FD" w:rsidP="00601CBA">
            <w:pPr>
              <w:pStyle w:val="Tablea"/>
            </w:pPr>
            <w:r w:rsidRPr="00A9581B">
              <w:t>(d) best practice equipment and operation; and</w:t>
            </w:r>
          </w:p>
          <w:p w:rsidR="008357FD" w:rsidRPr="00A9581B" w:rsidRDefault="008357FD" w:rsidP="00601CBA">
            <w:pPr>
              <w:pStyle w:val="Tablea"/>
            </w:pPr>
            <w:r w:rsidRPr="00A9581B">
              <w:t>(e) how to integrate “off the shelf” equipment.</w:t>
            </w:r>
          </w:p>
          <w:p w:rsidR="008357FD" w:rsidRPr="00A9581B" w:rsidRDefault="008357FD" w:rsidP="00601CBA">
            <w:pPr>
              <w:pStyle w:val="Tabletext"/>
            </w:pPr>
            <w:r w:rsidRPr="00A9581B">
              <w:t>Relating to design stages prior to construction, predicted energy data, and relating to optimisation, measured energy data, is analysed from different perspectives to understand the relationship between activity and consumption, and to identify energy efficient design features or areas to be optimised. A site wide analysis, connecting and communicating data between different operations, systems and sections of the site, and between other sites, if appropriate, is investigated.</w:t>
            </w:r>
          </w:p>
          <w:p w:rsidR="008357FD" w:rsidRPr="00A9581B" w:rsidRDefault="008357FD" w:rsidP="00601CBA">
            <w:pPr>
              <w:pStyle w:val="Tabletext"/>
            </w:pPr>
            <w:r w:rsidRPr="00A9581B">
              <w:t>Sufficient design data, operational data, or both, in suitable forms, is used to estimate, model and understand future and current energy use, identify and quantify energy savings and improve energy productivity. Models of the design are likely to incorporate energy mass flows or other relevant modelling tools.</w:t>
            </w:r>
          </w:p>
          <w:p w:rsidR="008357FD" w:rsidRPr="00A9581B" w:rsidRDefault="008357FD" w:rsidP="00601CBA">
            <w:pPr>
              <w:pStyle w:val="Tabletext"/>
            </w:pPr>
            <w:r w:rsidRPr="00A9581B">
              <w:t>Provisions are made to track performance and outcomes during operation. This may include appropriate provisions for metering to enable ongoing performance tracking and improvement of energy productivity.</w:t>
            </w:r>
          </w:p>
          <w:p w:rsidR="008357FD" w:rsidRPr="00A9581B" w:rsidRDefault="008357FD" w:rsidP="00601CBA">
            <w:pPr>
              <w:pStyle w:val="Tabletext"/>
            </w:pPr>
            <w:r w:rsidRPr="00A9581B">
              <w:t>Data accuracy is appropriate to the stage of the design and available data sources. The accuracy is considered when deciding the suitability of the model, assumptions and analysis to make the appropriate project choices.</w:t>
            </w:r>
          </w:p>
          <w:p w:rsidR="008357FD" w:rsidRPr="00A9581B" w:rsidRDefault="008357FD" w:rsidP="00601CBA">
            <w:pPr>
              <w:pStyle w:val="Tabletext"/>
            </w:pPr>
            <w:r w:rsidRPr="00A9581B">
              <w:t>Processes are put in place to ensure adequate transfer of relevant information, data and potential energy savings initiatives between different design gates through to commercial operation.</w:t>
            </w:r>
          </w:p>
          <w:p w:rsidR="008357FD" w:rsidRPr="00A9581B" w:rsidRDefault="008357FD" w:rsidP="00601CBA">
            <w:pPr>
              <w:pStyle w:val="Tabletext"/>
            </w:pPr>
            <w:r w:rsidRPr="00A9581B">
              <w:t>If the design involves the provision of a service, site, or supporting infrastructure that is not within the control of the registered corporation, then an investigation of the possibility of a mutual agreement with the entity providing the services, site or supporting infrastructure is conducted, so that a financial benefit can be realised, based on energy savings achieved through design or operational changes.</w:t>
            </w:r>
          </w:p>
        </w:tc>
      </w:tr>
      <w:tr w:rsidR="008357FD" w:rsidRPr="00A9581B" w:rsidTr="00601CBA">
        <w:trPr>
          <w:trHeight w:val="2748"/>
        </w:trPr>
        <w:tc>
          <w:tcPr>
            <w:tcW w:w="7083" w:type="dxa"/>
            <w:tcBorders>
              <w:top w:val="single" w:sz="4" w:space="0" w:color="auto"/>
              <w:bottom w:val="nil"/>
            </w:tcBorders>
            <w:shd w:val="clear" w:color="auto" w:fill="auto"/>
          </w:tcPr>
          <w:p w:rsidR="008357FD" w:rsidRPr="00A9581B" w:rsidRDefault="008357FD" w:rsidP="00601CBA">
            <w:pPr>
              <w:pStyle w:val="Tabletext"/>
              <w:rPr>
                <w:b/>
              </w:rPr>
            </w:pPr>
            <w:r w:rsidRPr="00A9581B">
              <w:rPr>
                <w:b/>
              </w:rPr>
              <w:t>Requirement 4—Identification and evaluation of energy savings</w:t>
            </w:r>
          </w:p>
          <w:p w:rsidR="008357FD" w:rsidRPr="00A9581B" w:rsidRDefault="008357FD" w:rsidP="00601CBA">
            <w:pPr>
              <w:pStyle w:val="Tabletext"/>
            </w:pPr>
            <w:r w:rsidRPr="00A9581B">
              <w:t>An effective process is undertaken to identify potential cost effective energy productivity improvements. This process covers all stages of the design through to commercial operation and is broad, open minded and encourages innovation.</w:t>
            </w:r>
          </w:p>
          <w:p w:rsidR="008357FD" w:rsidRPr="00A9581B" w:rsidRDefault="008357FD" w:rsidP="00601CBA">
            <w:pPr>
              <w:pStyle w:val="Tabletext"/>
            </w:pPr>
            <w:r w:rsidRPr="00A9581B">
              <w:t>Sufficient time is taken for the design team to understand and review the information and data from requirement 3 and the range of perspectives provided by relevant people indicated in requirement 2 to cooperatively identify and evaluate a range of ideas. Adequate time is scheduled to allow energy productivity improvements to be identified and incorporated into the design.</w:t>
            </w:r>
          </w:p>
          <w:p w:rsidR="008357FD" w:rsidRPr="00A9581B" w:rsidRDefault="008357FD" w:rsidP="00601CBA">
            <w:pPr>
              <w:pStyle w:val="Tabletext"/>
            </w:pPr>
            <w:r w:rsidRPr="00A9581B">
              <w:t>Relevant ideas are analysed to a sufficient level appropriate to the stage of design. The process allows design aspects that require more detailed investigation to transfer across design stages.</w:t>
            </w:r>
          </w:p>
          <w:p w:rsidR="008357FD" w:rsidRPr="00A9581B" w:rsidRDefault="008357FD" w:rsidP="00601CBA">
            <w:pPr>
              <w:pStyle w:val="Tabletext"/>
            </w:pPr>
            <w:r w:rsidRPr="00A9581B">
              <w:t>A whole of business evaluation is undertaken to enable decision makers to make informed business decisions about energy efficiency design.</w:t>
            </w:r>
          </w:p>
          <w:p w:rsidR="008357FD" w:rsidRPr="00A9581B" w:rsidRDefault="008357FD" w:rsidP="00601CBA">
            <w:pPr>
              <w:pStyle w:val="Tabletext"/>
            </w:pPr>
            <w:r w:rsidRPr="00A9581B">
              <w:t>If relevant, the design process will results in the optimum solution being identified, evaluated and included in the design without alternatives considered. This is particularly relevant for minor design aspects.</w:t>
            </w:r>
          </w:p>
          <w:p w:rsidR="008357FD" w:rsidRPr="00A9581B" w:rsidRDefault="008357FD" w:rsidP="00601CBA">
            <w:pPr>
              <w:pStyle w:val="Tabletext"/>
            </w:pPr>
            <w:r w:rsidRPr="00A9581B">
              <w:t>If relevant, energy impacts are included in the evaluation of “off the shelf” equipment.</w:t>
            </w:r>
          </w:p>
        </w:tc>
      </w:tr>
      <w:tr w:rsidR="008357FD" w:rsidRPr="00A9581B" w:rsidTr="007710BF">
        <w:trPr>
          <w:trHeight w:val="2194"/>
        </w:trPr>
        <w:tc>
          <w:tcPr>
            <w:tcW w:w="7083" w:type="dxa"/>
            <w:tcBorders>
              <w:top w:val="single" w:sz="4" w:space="0" w:color="auto"/>
              <w:bottom w:val="single" w:sz="4" w:space="0" w:color="auto"/>
            </w:tcBorders>
            <w:shd w:val="clear" w:color="auto" w:fill="auto"/>
          </w:tcPr>
          <w:p w:rsidR="008357FD" w:rsidRPr="00A9581B" w:rsidRDefault="008357FD" w:rsidP="00601CBA">
            <w:pPr>
              <w:pStyle w:val="Tabletext"/>
              <w:rPr>
                <w:b/>
              </w:rPr>
            </w:pPr>
            <w:r w:rsidRPr="00A9581B">
              <w:rPr>
                <w:b/>
              </w:rPr>
              <w:t>Requirement 5—Decision making</w:t>
            </w:r>
          </w:p>
          <w:p w:rsidR="008357FD" w:rsidRPr="00A9581B" w:rsidRDefault="008357FD" w:rsidP="00601CBA">
            <w:pPr>
              <w:pStyle w:val="Tabletext"/>
            </w:pPr>
            <w:r w:rsidRPr="00A9581B">
              <w:t>Management responsible for resource allocation for the development or the expansion should make informed energy efficiency decisions based on investment quality information, which may include but is not limited to data accuracy, capital costs, maintenance costs, and calculated risks. These decisions and their rationale should be recorded.</w:t>
            </w:r>
          </w:p>
          <w:p w:rsidR="008357FD" w:rsidRPr="00A9581B" w:rsidRDefault="008357FD" w:rsidP="00601CBA">
            <w:pPr>
              <w:pStyle w:val="Tabletext"/>
            </w:pPr>
            <w:r w:rsidRPr="00A9581B">
              <w:t>Mechanisms for reviewing, monitoring, tracking through design gates and reporting on outcomes are established to learn from experience and enable public reporting.</w:t>
            </w:r>
          </w:p>
        </w:tc>
      </w:tr>
      <w:tr w:rsidR="008357FD" w:rsidRPr="00A9581B" w:rsidTr="007710BF">
        <w:trPr>
          <w:trHeight w:val="791"/>
        </w:trPr>
        <w:tc>
          <w:tcPr>
            <w:tcW w:w="7083" w:type="dxa"/>
            <w:tcBorders>
              <w:top w:val="single" w:sz="4" w:space="0" w:color="auto"/>
              <w:bottom w:val="single" w:sz="12" w:space="0" w:color="auto"/>
            </w:tcBorders>
            <w:shd w:val="clear" w:color="auto" w:fill="auto"/>
          </w:tcPr>
          <w:p w:rsidR="008357FD" w:rsidRPr="00A9581B" w:rsidRDefault="008357FD" w:rsidP="00601CBA">
            <w:pPr>
              <w:pStyle w:val="Tabletext"/>
              <w:rPr>
                <w:b/>
              </w:rPr>
            </w:pPr>
            <w:r w:rsidRPr="00A9581B">
              <w:rPr>
                <w:b/>
              </w:rPr>
              <w:t>Requirement 6—Communicating outcomes</w:t>
            </w:r>
          </w:p>
          <w:p w:rsidR="008357FD" w:rsidRPr="00A9581B" w:rsidRDefault="008357FD" w:rsidP="00601CBA">
            <w:pPr>
              <w:pStyle w:val="Tabletext"/>
            </w:pPr>
            <w:r w:rsidRPr="00A9581B">
              <w:t>Senior management responsible for the new development or the expansion is aware of the outcomes of the assessment in a strategic business context (including the corporation’s risk management, corporate social responsibility, major investment decisions and energy productivity). Senior management is made aware of capital and operational cost savings as a result of the assessment.</w:t>
            </w:r>
          </w:p>
          <w:p w:rsidR="008357FD" w:rsidRPr="00A9581B" w:rsidRDefault="008357FD" w:rsidP="00601CBA">
            <w:pPr>
              <w:pStyle w:val="Tabletext"/>
            </w:pPr>
            <w:r w:rsidRPr="00A9581B">
              <w:t>The board reviews and notes the content for the registered corporation’s public report in the context of relevant business information.</w:t>
            </w:r>
          </w:p>
          <w:p w:rsidR="008357FD" w:rsidRPr="00A9581B" w:rsidRDefault="008357FD" w:rsidP="00601CBA">
            <w:pPr>
              <w:pStyle w:val="Tabletext"/>
            </w:pPr>
            <w:r w:rsidRPr="00A9581B">
              <w:t>Relevant outcomes of each stage of design or development are communicated to the design team indicating what decisions were made and why.</w:t>
            </w:r>
          </w:p>
          <w:p w:rsidR="008357FD" w:rsidRPr="00A9581B" w:rsidRDefault="008357FD" w:rsidP="00601CBA">
            <w:pPr>
              <w:pStyle w:val="Tabletext"/>
            </w:pPr>
            <w:r w:rsidRPr="00A9581B">
              <w:t>If relevant, achievements in relation to any objectives identified in requirement 1 that were set by the design teams, relevant stakeholders, government and senior management responsible for the development or the expansion are communicated.</w:t>
            </w:r>
          </w:p>
        </w:tc>
      </w:tr>
    </w:tbl>
    <w:p w:rsidR="008357FD" w:rsidRPr="00A9581B" w:rsidRDefault="008357FD" w:rsidP="008357FD">
      <w:pPr>
        <w:pStyle w:val="Tabletext"/>
      </w:pPr>
    </w:p>
    <w:p w:rsidR="008357FD" w:rsidRPr="00A9581B" w:rsidRDefault="004C6E01" w:rsidP="008357FD">
      <w:pPr>
        <w:pStyle w:val="ItemHead"/>
        <w:tabs>
          <w:tab w:val="left" w:pos="6663"/>
        </w:tabs>
      </w:pPr>
      <w:r w:rsidRPr="00A9581B">
        <w:t>26</w:t>
      </w:r>
      <w:r w:rsidR="008357FD" w:rsidRPr="00A9581B">
        <w:t xml:space="preserve">  Item</w:t>
      </w:r>
      <w:r w:rsidR="00A9581B" w:rsidRPr="00A9581B">
        <w:t> </w:t>
      </w:r>
      <w:r w:rsidR="008357FD" w:rsidRPr="00A9581B">
        <w:t>404 of Part</w:t>
      </w:r>
      <w:r w:rsidR="00A9581B" w:rsidRPr="00A9581B">
        <w:t> </w:t>
      </w:r>
      <w:r w:rsidR="008357FD" w:rsidRPr="00A9581B">
        <w:t>4 of Schedule</w:t>
      </w:r>
      <w:r w:rsidR="00A9581B" w:rsidRPr="00A9581B">
        <w:t> </w:t>
      </w:r>
      <w:r w:rsidR="008357FD" w:rsidRPr="00A9581B">
        <w:t>2A</w:t>
      </w:r>
    </w:p>
    <w:p w:rsidR="008357FD" w:rsidRPr="00A9581B" w:rsidRDefault="008357FD" w:rsidP="008357FD">
      <w:pPr>
        <w:pStyle w:val="Item"/>
      </w:pPr>
      <w:r w:rsidRPr="00A9581B">
        <w:t>Omit “regulation</w:t>
      </w:r>
      <w:r w:rsidR="00A9581B" w:rsidRPr="00A9581B">
        <w:t> </w:t>
      </w:r>
      <w:r w:rsidRPr="00A9581B">
        <w:t>7.6A or Schedule</w:t>
      </w:r>
      <w:r w:rsidR="00A9581B" w:rsidRPr="00A9581B">
        <w:t> </w:t>
      </w:r>
      <w:r w:rsidRPr="00A9581B">
        <w:t>4A”, substitute “</w:t>
      </w:r>
      <w:r w:rsidR="000F438E" w:rsidRPr="00A9581B">
        <w:t>sub</w:t>
      </w:r>
      <w:r w:rsidRPr="00A9581B">
        <w:t>regulation</w:t>
      </w:r>
      <w:r w:rsidR="00A9581B" w:rsidRPr="00A9581B">
        <w:t> </w:t>
      </w:r>
      <w:r w:rsidRPr="00A9581B">
        <w:t xml:space="preserve">7.2(3) or </w:t>
      </w:r>
      <w:r w:rsidR="000F438E" w:rsidRPr="00A9581B">
        <w:t>regulation</w:t>
      </w:r>
      <w:r w:rsidR="00A9581B" w:rsidRPr="00A9581B">
        <w:t> </w:t>
      </w:r>
      <w:r w:rsidRPr="00A9581B">
        <w:t>7.6A”.</w:t>
      </w:r>
    </w:p>
    <w:p w:rsidR="008357FD" w:rsidRPr="00A9581B" w:rsidRDefault="004C6E01" w:rsidP="008357FD">
      <w:pPr>
        <w:pStyle w:val="ItemHead"/>
        <w:tabs>
          <w:tab w:val="left" w:pos="6663"/>
        </w:tabs>
      </w:pPr>
      <w:r w:rsidRPr="00A9581B">
        <w:t>27</w:t>
      </w:r>
      <w:r w:rsidR="008357FD" w:rsidRPr="00A9581B">
        <w:t xml:space="preserve">  Paragraph 305(a) of Part</w:t>
      </w:r>
      <w:r w:rsidR="00A9581B" w:rsidRPr="00A9581B">
        <w:t> </w:t>
      </w:r>
      <w:r w:rsidR="008357FD" w:rsidRPr="00A9581B">
        <w:t>3 of Schedule</w:t>
      </w:r>
      <w:r w:rsidR="00A9581B" w:rsidRPr="00A9581B">
        <w:t> </w:t>
      </w:r>
      <w:r w:rsidR="008357FD" w:rsidRPr="00A9581B">
        <w:t>3</w:t>
      </w:r>
    </w:p>
    <w:p w:rsidR="008357FD" w:rsidRPr="00A9581B" w:rsidRDefault="008357FD" w:rsidP="008357FD">
      <w:pPr>
        <w:pStyle w:val="Item"/>
      </w:pPr>
      <w:r w:rsidRPr="00A9581B">
        <w:t>Repeal the paragraph, substitute:</w:t>
      </w:r>
    </w:p>
    <w:p w:rsidR="008357FD" w:rsidRPr="00A9581B" w:rsidRDefault="008357FD" w:rsidP="008357FD">
      <w:pPr>
        <w:pStyle w:val="paragraph"/>
      </w:pPr>
      <w:r w:rsidRPr="00A9581B">
        <w:tab/>
        <w:t>(a)</w:t>
      </w:r>
      <w:r w:rsidRPr="00A9581B">
        <w:tab/>
        <w:t>stating how the controlling corporation intends to undertake assessments in order to meet the requirements of the Assessment Framework in the table in this item, including an explanation of what actions the corporation intends to take to meet those requirements; and</w:t>
      </w:r>
    </w:p>
    <w:p w:rsidR="008357FD" w:rsidRPr="00A9581B" w:rsidRDefault="008357FD" w:rsidP="008357FD">
      <w:pPr>
        <w:pStyle w:val="paragraph"/>
      </w:pPr>
      <w:r w:rsidRPr="00A9581B">
        <w:tab/>
        <w:t>(ab)</w:t>
      </w:r>
      <w:r w:rsidRPr="00A9581B">
        <w:tab/>
        <w:t xml:space="preserve">if the actions that the corporation intends to take to meet a particular requirement of the Assessment Framework do not include the actions (the </w:t>
      </w:r>
      <w:r w:rsidRPr="00A9581B">
        <w:rPr>
          <w:b/>
          <w:i/>
        </w:rPr>
        <w:t>specified actions</w:t>
      </w:r>
      <w:r w:rsidRPr="00A9581B">
        <w:t>) specified for that requirement:</w:t>
      </w:r>
    </w:p>
    <w:p w:rsidR="008357FD" w:rsidRPr="00A9581B" w:rsidRDefault="008357FD" w:rsidP="008357FD">
      <w:pPr>
        <w:pStyle w:val="paragraphsub"/>
      </w:pPr>
      <w:r w:rsidRPr="00A9581B">
        <w:tab/>
        <w:t>(i)</w:t>
      </w:r>
      <w:r w:rsidRPr="00A9581B">
        <w:tab/>
        <w:t>a statement to that effect; and</w:t>
      </w:r>
    </w:p>
    <w:p w:rsidR="008357FD" w:rsidRPr="00A9581B" w:rsidRDefault="008357FD" w:rsidP="008357FD">
      <w:pPr>
        <w:pStyle w:val="paragraphsub"/>
      </w:pPr>
      <w:r w:rsidRPr="00A9581B">
        <w:tab/>
        <w:t>(ii)</w:t>
      </w:r>
      <w:r w:rsidRPr="00A9581B">
        <w:tab/>
        <w:t>an explanation of why it is not appropriate or reasonable for the group, or a part of the group, to take the specified actions to meet the requirement; and</w:t>
      </w:r>
    </w:p>
    <w:p w:rsidR="008357FD" w:rsidRPr="00A9581B" w:rsidRDefault="008357FD" w:rsidP="008357FD">
      <w:pPr>
        <w:pStyle w:val="paragraphsub"/>
      </w:pPr>
      <w:r w:rsidRPr="00A9581B">
        <w:tab/>
        <w:t>(iii)</w:t>
      </w:r>
      <w:r w:rsidRPr="00A9581B">
        <w:tab/>
        <w:t>an explanation of how the actions that the corporation intends to take will meet the requirement; and</w:t>
      </w:r>
    </w:p>
    <w:p w:rsidR="008357FD" w:rsidRPr="00A9581B" w:rsidRDefault="004C6E01" w:rsidP="008357FD">
      <w:pPr>
        <w:pStyle w:val="ItemHead"/>
      </w:pPr>
      <w:r w:rsidRPr="00A9581B">
        <w:t>28</w:t>
      </w:r>
      <w:r w:rsidR="008357FD" w:rsidRPr="00A9581B">
        <w:t xml:space="preserve">  At the end of item</w:t>
      </w:r>
      <w:r w:rsidR="00A9581B" w:rsidRPr="00A9581B">
        <w:t> </w:t>
      </w:r>
      <w:r w:rsidR="008357FD" w:rsidRPr="00A9581B">
        <w:t>305 of Part</w:t>
      </w:r>
      <w:r w:rsidR="00A9581B" w:rsidRPr="00A9581B">
        <w:t> </w:t>
      </w:r>
      <w:r w:rsidR="008357FD" w:rsidRPr="00A9581B">
        <w:t>3 of Schedule</w:t>
      </w:r>
      <w:r w:rsidR="00A9581B" w:rsidRPr="00A9581B">
        <w:t> </w:t>
      </w:r>
      <w:r w:rsidR="008357FD" w:rsidRPr="00A9581B">
        <w:t>3</w:t>
      </w:r>
    </w:p>
    <w:p w:rsidR="008357FD" w:rsidRPr="00A9581B" w:rsidRDefault="008357FD" w:rsidP="008357FD">
      <w:pPr>
        <w:pStyle w:val="Item"/>
      </w:pPr>
      <w:r w:rsidRPr="00A9581B">
        <w:t>Add:</w:t>
      </w:r>
    </w:p>
    <w:p w:rsidR="008357FD" w:rsidRPr="00A9581B" w:rsidRDefault="008357FD" w:rsidP="008357F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6379"/>
      </w:tblGrid>
      <w:tr w:rsidR="008357FD" w:rsidRPr="00A9581B" w:rsidTr="0015382E">
        <w:trPr>
          <w:tblHeader/>
        </w:trPr>
        <w:tc>
          <w:tcPr>
            <w:tcW w:w="7083" w:type="dxa"/>
            <w:gridSpan w:val="2"/>
            <w:tcBorders>
              <w:top w:val="single" w:sz="12" w:space="0" w:color="auto"/>
              <w:bottom w:val="single" w:sz="12" w:space="0" w:color="auto"/>
            </w:tcBorders>
            <w:shd w:val="clear" w:color="auto" w:fill="auto"/>
          </w:tcPr>
          <w:p w:rsidR="008357FD" w:rsidRPr="00A9581B" w:rsidRDefault="008357FD" w:rsidP="00601CBA">
            <w:pPr>
              <w:pStyle w:val="TableHeading"/>
            </w:pPr>
            <w:r w:rsidRPr="00A9581B">
              <w:t>Assessment Framework</w:t>
            </w:r>
          </w:p>
        </w:tc>
      </w:tr>
      <w:tr w:rsidR="008357FD" w:rsidRPr="00A9581B" w:rsidTr="0015382E">
        <w:trPr>
          <w:trHeight w:val="2198"/>
        </w:trPr>
        <w:tc>
          <w:tcPr>
            <w:tcW w:w="7083" w:type="dxa"/>
            <w:gridSpan w:val="2"/>
            <w:tcBorders>
              <w:top w:val="single" w:sz="12" w:space="0" w:color="auto"/>
              <w:bottom w:val="nil"/>
            </w:tcBorders>
            <w:shd w:val="clear" w:color="auto" w:fill="auto"/>
          </w:tcPr>
          <w:p w:rsidR="008357FD" w:rsidRPr="00A9581B" w:rsidRDefault="008357FD" w:rsidP="00601CBA">
            <w:pPr>
              <w:pStyle w:val="Tabletext"/>
              <w:rPr>
                <w:b/>
                <w:sz w:val="28"/>
                <w:szCs w:val="28"/>
              </w:rPr>
            </w:pPr>
            <w:r w:rsidRPr="00A9581B">
              <w:rPr>
                <w:b/>
              </w:rPr>
              <w:t>Requirement 1—Leadership</w:t>
            </w:r>
          </w:p>
          <w:p w:rsidR="008357FD" w:rsidRPr="00A9581B" w:rsidRDefault="008357FD" w:rsidP="00601CBA">
            <w:pPr>
              <w:pStyle w:val="Tabletext"/>
            </w:pPr>
            <w:r w:rsidRPr="00A9581B">
              <w:t>Senior management, through visible leadership and commitment, provides clear direction and purpose to the assessment by:</w:t>
            </w:r>
          </w:p>
          <w:p w:rsidR="008357FD" w:rsidRPr="00A9581B" w:rsidRDefault="008357FD" w:rsidP="00601CBA">
            <w:pPr>
              <w:pStyle w:val="Tablea"/>
            </w:pPr>
            <w:r w:rsidRPr="00A9581B">
              <w:t>(a) setting and communicating energy performance objectives; and</w:t>
            </w:r>
          </w:p>
          <w:p w:rsidR="008357FD" w:rsidRPr="00A9581B" w:rsidRDefault="008357FD" w:rsidP="00601CBA">
            <w:pPr>
              <w:pStyle w:val="Tablea"/>
            </w:pPr>
            <w:r w:rsidRPr="00A9581B">
              <w:t>(b) ensuring that assessment objectives are aligned with business priorities.</w:t>
            </w:r>
          </w:p>
          <w:p w:rsidR="008357FD" w:rsidRPr="00A9581B" w:rsidRDefault="008357FD" w:rsidP="00601CBA">
            <w:pPr>
              <w:pStyle w:val="Tabletext"/>
            </w:pPr>
            <w:r w:rsidRPr="00A9581B">
              <w:t>Senior management supports, motivates and values the efforts of staff and other stakeholders involved in the identification and implementation of energy efficiency opportunities.</w:t>
            </w:r>
          </w:p>
        </w:tc>
      </w:tr>
      <w:tr w:rsidR="008357FD" w:rsidRPr="00A9581B" w:rsidTr="00601CBA">
        <w:tc>
          <w:tcPr>
            <w:tcW w:w="7083" w:type="dxa"/>
            <w:gridSpan w:val="2"/>
            <w:tcBorders>
              <w:top w:val="nil"/>
              <w:bottom w:val="nil"/>
            </w:tcBorders>
            <w:shd w:val="clear" w:color="auto" w:fill="auto"/>
          </w:tcPr>
          <w:p w:rsidR="008357FD" w:rsidRPr="00A9581B" w:rsidRDefault="008357FD" w:rsidP="00601CBA">
            <w:pPr>
              <w:pStyle w:val="Tabletext"/>
            </w:pPr>
            <w:r w:rsidRPr="00A9581B">
              <w:rPr>
                <w:b/>
              </w:rPr>
              <w:t>Actions</w:t>
            </w:r>
          </w:p>
        </w:tc>
      </w:tr>
      <w:tr w:rsidR="008357FD" w:rsidRPr="00A9581B" w:rsidTr="00601CBA">
        <w:tc>
          <w:tcPr>
            <w:tcW w:w="704" w:type="dxa"/>
            <w:tcBorders>
              <w:top w:val="nil"/>
              <w:bottom w:val="nil"/>
            </w:tcBorders>
            <w:shd w:val="clear" w:color="auto" w:fill="auto"/>
          </w:tcPr>
          <w:p w:rsidR="008357FD" w:rsidRPr="00A9581B" w:rsidRDefault="008357FD" w:rsidP="00601CBA">
            <w:pPr>
              <w:pStyle w:val="Tabletext"/>
            </w:pPr>
            <w:r w:rsidRPr="00A9581B">
              <w:t>1.1</w:t>
            </w:r>
          </w:p>
        </w:tc>
        <w:tc>
          <w:tcPr>
            <w:tcW w:w="6379" w:type="dxa"/>
            <w:tcBorders>
              <w:top w:val="nil"/>
              <w:bottom w:val="nil"/>
            </w:tcBorders>
            <w:shd w:val="clear" w:color="auto" w:fill="auto"/>
          </w:tcPr>
          <w:p w:rsidR="008357FD" w:rsidRPr="00A9581B" w:rsidRDefault="008357FD" w:rsidP="00601CBA">
            <w:pPr>
              <w:pStyle w:val="Tabletext"/>
            </w:pPr>
            <w:r w:rsidRPr="00A9581B">
              <w:t xml:space="preserve">Senior management establishes and communicates energy assessment and energy performance objectives to all personnel who are responsible for, or have an influence on, energy use and the energy assessment. </w:t>
            </w:r>
          </w:p>
        </w:tc>
      </w:tr>
      <w:tr w:rsidR="008357FD" w:rsidRPr="00A9581B" w:rsidTr="00601CBA">
        <w:tc>
          <w:tcPr>
            <w:tcW w:w="704" w:type="dxa"/>
            <w:tcBorders>
              <w:top w:val="nil"/>
              <w:bottom w:val="single" w:sz="4" w:space="0" w:color="auto"/>
            </w:tcBorders>
            <w:shd w:val="clear" w:color="auto" w:fill="auto"/>
          </w:tcPr>
          <w:p w:rsidR="008357FD" w:rsidRPr="00A9581B" w:rsidRDefault="008357FD" w:rsidP="00601CBA">
            <w:pPr>
              <w:pStyle w:val="Tabletext"/>
            </w:pPr>
            <w:r w:rsidRPr="00A9581B">
              <w:t>1.2</w:t>
            </w:r>
          </w:p>
        </w:tc>
        <w:tc>
          <w:tcPr>
            <w:tcW w:w="6379" w:type="dxa"/>
            <w:tcBorders>
              <w:top w:val="nil"/>
              <w:bottom w:val="single" w:sz="4" w:space="0" w:color="auto"/>
            </w:tcBorders>
            <w:shd w:val="clear" w:color="auto" w:fill="auto"/>
          </w:tcPr>
          <w:p w:rsidR="008357FD" w:rsidRPr="00A9581B" w:rsidRDefault="008357FD" w:rsidP="00601CBA">
            <w:pPr>
              <w:pStyle w:val="Tabletext"/>
            </w:pPr>
            <w:r w:rsidRPr="00A9581B">
              <w:t>Resources (people, time and money) are made available to meet energy assessment and energy performance objectives.</w:t>
            </w:r>
          </w:p>
        </w:tc>
      </w:tr>
      <w:tr w:rsidR="008357FD" w:rsidRPr="00A9581B" w:rsidTr="00601CBA">
        <w:trPr>
          <w:trHeight w:val="2135"/>
        </w:trPr>
        <w:tc>
          <w:tcPr>
            <w:tcW w:w="7083" w:type="dxa"/>
            <w:gridSpan w:val="2"/>
            <w:tcBorders>
              <w:top w:val="single" w:sz="4" w:space="0" w:color="auto"/>
              <w:bottom w:val="nil"/>
            </w:tcBorders>
            <w:shd w:val="clear" w:color="auto" w:fill="auto"/>
          </w:tcPr>
          <w:p w:rsidR="008357FD" w:rsidRPr="00A9581B" w:rsidRDefault="008357FD" w:rsidP="00601CBA">
            <w:pPr>
              <w:pStyle w:val="Tabletext"/>
              <w:rPr>
                <w:b/>
              </w:rPr>
            </w:pPr>
            <w:r w:rsidRPr="00A9581B">
              <w:rPr>
                <w:b/>
              </w:rPr>
              <w:t>Requirement 2—People</w:t>
            </w:r>
          </w:p>
          <w:p w:rsidR="008357FD" w:rsidRPr="00A9581B" w:rsidRDefault="008357FD" w:rsidP="00601CBA">
            <w:pPr>
              <w:pStyle w:val="Tabletext"/>
            </w:pPr>
            <w:r w:rsidRPr="00A9581B">
              <w:t>Skilled and knowledgeable people, and people with direct and indirect influence on energy use, are involved in the assessment to effectively collect and analyse energy and process data, identify and evaluate energy efficiency opportunities, give fresh perspectives and make the business case for identified energy efficiency opportunities.</w:t>
            </w:r>
          </w:p>
          <w:p w:rsidR="008357FD" w:rsidRPr="00A9581B" w:rsidRDefault="008357FD" w:rsidP="00601CBA">
            <w:pPr>
              <w:pStyle w:val="Tabletext"/>
            </w:pPr>
            <w:r w:rsidRPr="00A9581B">
              <w:t>Responsibilities and accountabilities are allocated and documented, and team diversity is encouraged.</w:t>
            </w:r>
          </w:p>
        </w:tc>
      </w:tr>
      <w:tr w:rsidR="008357FD" w:rsidRPr="00A9581B" w:rsidTr="00601CBA">
        <w:tc>
          <w:tcPr>
            <w:tcW w:w="7083" w:type="dxa"/>
            <w:gridSpan w:val="2"/>
            <w:tcBorders>
              <w:top w:val="nil"/>
              <w:bottom w:val="nil"/>
            </w:tcBorders>
            <w:shd w:val="clear" w:color="auto" w:fill="auto"/>
          </w:tcPr>
          <w:p w:rsidR="008357FD" w:rsidRPr="00A9581B" w:rsidRDefault="008357FD" w:rsidP="00601CBA">
            <w:pPr>
              <w:pStyle w:val="Tabletext"/>
              <w:rPr>
                <w:b/>
              </w:rPr>
            </w:pPr>
            <w:r w:rsidRPr="00A9581B">
              <w:rPr>
                <w:b/>
              </w:rPr>
              <w:t>Actions</w:t>
            </w:r>
          </w:p>
        </w:tc>
      </w:tr>
      <w:tr w:rsidR="008357FD" w:rsidRPr="00A9581B" w:rsidTr="00601CBA">
        <w:tc>
          <w:tcPr>
            <w:tcW w:w="704" w:type="dxa"/>
            <w:tcBorders>
              <w:top w:val="nil"/>
              <w:bottom w:val="nil"/>
            </w:tcBorders>
            <w:shd w:val="clear" w:color="auto" w:fill="auto"/>
          </w:tcPr>
          <w:p w:rsidR="008357FD" w:rsidRPr="00A9581B" w:rsidRDefault="008357FD" w:rsidP="00601CBA">
            <w:pPr>
              <w:pStyle w:val="Tabletext"/>
            </w:pPr>
            <w:r w:rsidRPr="00A9581B">
              <w:t>2.1</w:t>
            </w:r>
          </w:p>
        </w:tc>
        <w:tc>
          <w:tcPr>
            <w:tcW w:w="6379" w:type="dxa"/>
            <w:tcBorders>
              <w:top w:val="nil"/>
              <w:bottom w:val="nil"/>
            </w:tcBorders>
            <w:shd w:val="clear" w:color="auto" w:fill="auto"/>
          </w:tcPr>
          <w:p w:rsidR="008357FD" w:rsidRPr="00A9581B" w:rsidRDefault="008357FD" w:rsidP="00601CBA">
            <w:pPr>
              <w:pStyle w:val="Tabletext"/>
            </w:pPr>
            <w:r w:rsidRPr="00A9581B">
              <w:t>Involve a broad cross</w:t>
            </w:r>
            <w:r w:rsidR="00A9581B">
              <w:noBreakHyphen/>
            </w:r>
            <w:r w:rsidRPr="00A9581B">
              <w:t>section of people in the collection and analysis of energy and process data, and the energy efficiency opportunity identification, evaluation and business case development process, including:</w:t>
            </w:r>
          </w:p>
          <w:p w:rsidR="008357FD" w:rsidRPr="00A9581B" w:rsidRDefault="008357FD" w:rsidP="00601CBA">
            <w:pPr>
              <w:pStyle w:val="Tablea"/>
            </w:pPr>
            <w:r w:rsidRPr="00A9581B">
              <w:t>(a) people from various levels of the site or business unit who have a direct or indirect influence on energy use (such as site or fleet managers, operators, sub</w:t>
            </w:r>
            <w:r w:rsidR="00A9581B">
              <w:noBreakHyphen/>
            </w:r>
            <w:r w:rsidRPr="00A9581B">
              <w:t>contractors, tenants or people responsible for equipment procurement, maintenance, finance, marketing or production); and</w:t>
            </w:r>
          </w:p>
          <w:p w:rsidR="008357FD" w:rsidRPr="00A9581B" w:rsidRDefault="008357FD" w:rsidP="00601CBA">
            <w:pPr>
              <w:pStyle w:val="Tablea"/>
            </w:pPr>
            <w:r w:rsidRPr="00A9581B">
              <w:t>(b) people from within the corporation who can integrate energy productivity into business objectives and assist with making a business case for identified opportunities (such as the chief financial officer, business case analysts, business or process improvement managers or people responsible for procurement, corporate and operations management, public relations, strategic planning or operational excellence); and</w:t>
            </w:r>
          </w:p>
          <w:p w:rsidR="008357FD" w:rsidRPr="00A9581B" w:rsidRDefault="008357FD" w:rsidP="00601CBA">
            <w:pPr>
              <w:pStyle w:val="Tablea"/>
            </w:pPr>
            <w:r w:rsidRPr="00A9581B">
              <w:t>(c) people with energy, technology and process expertise (such as suppliers of current and alternative equipment and technologies, systems modelling experts or engineers); and</w:t>
            </w:r>
          </w:p>
          <w:p w:rsidR="008357FD" w:rsidRPr="00A9581B" w:rsidRDefault="008357FD" w:rsidP="00601CBA">
            <w:pPr>
              <w:pStyle w:val="Tablea"/>
            </w:pPr>
            <w:r w:rsidRPr="00A9581B">
              <w:t>(d) people external to the site who can give alternative perspectives, question assumptions and practices, and encourage innovation (such as operators from other sites, corporate expert groups, internal or external engineering experts, academics or PhD students).</w:t>
            </w:r>
          </w:p>
        </w:tc>
      </w:tr>
      <w:tr w:rsidR="008357FD" w:rsidRPr="00A9581B" w:rsidTr="00601CBA">
        <w:tc>
          <w:tcPr>
            <w:tcW w:w="704" w:type="dxa"/>
            <w:tcBorders>
              <w:top w:val="nil"/>
              <w:bottom w:val="single" w:sz="4" w:space="0" w:color="auto"/>
            </w:tcBorders>
            <w:shd w:val="clear" w:color="auto" w:fill="auto"/>
          </w:tcPr>
          <w:p w:rsidR="008357FD" w:rsidRPr="00A9581B" w:rsidRDefault="008357FD" w:rsidP="00601CBA">
            <w:pPr>
              <w:pStyle w:val="Tabletext"/>
            </w:pPr>
            <w:r w:rsidRPr="00A9581B">
              <w:t>2.2</w:t>
            </w:r>
          </w:p>
        </w:tc>
        <w:tc>
          <w:tcPr>
            <w:tcW w:w="6379" w:type="dxa"/>
            <w:tcBorders>
              <w:top w:val="nil"/>
              <w:bottom w:val="single" w:sz="4" w:space="0" w:color="auto"/>
            </w:tcBorders>
            <w:shd w:val="clear" w:color="auto" w:fill="auto"/>
          </w:tcPr>
          <w:p w:rsidR="008357FD" w:rsidRPr="00A9581B" w:rsidRDefault="008357FD" w:rsidP="00601CBA">
            <w:pPr>
              <w:pStyle w:val="Tabletext"/>
            </w:pPr>
            <w:r w:rsidRPr="00A9581B">
              <w:t>Allocate clear roles, responsibilities and accountabilities to people who are involved in the assessment and the business response, and document this information.</w:t>
            </w:r>
          </w:p>
        </w:tc>
      </w:tr>
      <w:tr w:rsidR="008357FD" w:rsidRPr="00A9581B" w:rsidTr="00601CBA">
        <w:trPr>
          <w:trHeight w:val="1642"/>
        </w:trPr>
        <w:tc>
          <w:tcPr>
            <w:tcW w:w="7083" w:type="dxa"/>
            <w:gridSpan w:val="2"/>
            <w:tcBorders>
              <w:top w:val="single" w:sz="4" w:space="0" w:color="auto"/>
              <w:bottom w:val="nil"/>
            </w:tcBorders>
            <w:shd w:val="clear" w:color="auto" w:fill="auto"/>
          </w:tcPr>
          <w:p w:rsidR="008357FD" w:rsidRPr="00A9581B" w:rsidRDefault="008357FD" w:rsidP="00601CBA">
            <w:pPr>
              <w:pStyle w:val="Tabletext"/>
              <w:rPr>
                <w:b/>
              </w:rPr>
            </w:pPr>
            <w:r w:rsidRPr="00A9581B">
              <w:rPr>
                <w:b/>
              </w:rPr>
              <w:t>Requirement 3—Information, data and analysis</w:t>
            </w:r>
          </w:p>
          <w:p w:rsidR="008357FD" w:rsidRPr="00A9581B" w:rsidRDefault="008357FD" w:rsidP="00601CBA">
            <w:pPr>
              <w:pStyle w:val="Tabletext"/>
            </w:pPr>
            <w:r w:rsidRPr="00A9581B">
              <w:t>Sufficient data, in suitable forms, is used to quantify and understand energy use, identify and quantify energy saving opportunities, and track performance and outcomes (where actions are implemented).</w:t>
            </w:r>
          </w:p>
          <w:p w:rsidR="008357FD" w:rsidRPr="00A9581B" w:rsidRDefault="008357FD" w:rsidP="00601CBA">
            <w:pPr>
              <w:pStyle w:val="Tabletext"/>
            </w:pPr>
            <w:r w:rsidRPr="00A9581B">
              <w:t>Energy data is analysed from different perspectives to understand relationships between activity and consumption, and identify energy efficiency opportunities.</w:t>
            </w:r>
          </w:p>
        </w:tc>
      </w:tr>
      <w:tr w:rsidR="008357FD" w:rsidRPr="00A9581B" w:rsidTr="00601CBA">
        <w:tc>
          <w:tcPr>
            <w:tcW w:w="7083" w:type="dxa"/>
            <w:gridSpan w:val="2"/>
            <w:tcBorders>
              <w:top w:val="nil"/>
              <w:bottom w:val="nil"/>
            </w:tcBorders>
            <w:shd w:val="clear" w:color="auto" w:fill="auto"/>
          </w:tcPr>
          <w:p w:rsidR="008357FD" w:rsidRPr="00A9581B" w:rsidRDefault="008357FD" w:rsidP="00601CBA">
            <w:pPr>
              <w:pStyle w:val="Tabletext"/>
              <w:rPr>
                <w:b/>
              </w:rPr>
            </w:pPr>
            <w:r w:rsidRPr="00A9581B">
              <w:rPr>
                <w:b/>
              </w:rPr>
              <w:t>Actions</w:t>
            </w:r>
          </w:p>
        </w:tc>
      </w:tr>
      <w:tr w:rsidR="008357FD" w:rsidRPr="00A9581B" w:rsidTr="00601CBA">
        <w:tc>
          <w:tcPr>
            <w:tcW w:w="704" w:type="dxa"/>
            <w:tcBorders>
              <w:top w:val="nil"/>
              <w:bottom w:val="nil"/>
            </w:tcBorders>
            <w:shd w:val="clear" w:color="auto" w:fill="auto"/>
          </w:tcPr>
          <w:p w:rsidR="008357FD" w:rsidRPr="00A9581B" w:rsidRDefault="008357FD" w:rsidP="00601CBA">
            <w:pPr>
              <w:pStyle w:val="Tabletext"/>
            </w:pPr>
            <w:r w:rsidRPr="00A9581B">
              <w:t>3.1</w:t>
            </w:r>
          </w:p>
        </w:tc>
        <w:tc>
          <w:tcPr>
            <w:tcW w:w="6379" w:type="dxa"/>
            <w:tcBorders>
              <w:top w:val="nil"/>
              <w:bottom w:val="nil"/>
            </w:tcBorders>
            <w:shd w:val="clear" w:color="auto" w:fill="auto"/>
          </w:tcPr>
          <w:p w:rsidR="008357FD" w:rsidRPr="00A9581B" w:rsidRDefault="008357FD" w:rsidP="00601CBA">
            <w:pPr>
              <w:pStyle w:val="Tabletext"/>
            </w:pPr>
            <w:r w:rsidRPr="00A9581B">
              <w:t>Identify and document business contextual information that influences energy use and returns on energy efficiency investments, for use during the assessment, including information about:</w:t>
            </w:r>
          </w:p>
          <w:p w:rsidR="008357FD" w:rsidRPr="00A9581B" w:rsidRDefault="008357FD" w:rsidP="00601CBA">
            <w:pPr>
              <w:pStyle w:val="Tablea"/>
            </w:pPr>
            <w:r w:rsidRPr="00A9581B">
              <w:t>(a) key business priorities and plans affecting investment timing and returns (such as relocation, expansion, site and equipment replacement, maintenance and shutdown schedules, or key contractual constraints); and</w:t>
            </w:r>
          </w:p>
          <w:p w:rsidR="008357FD" w:rsidRPr="00A9581B" w:rsidRDefault="008357FD" w:rsidP="00601CBA">
            <w:pPr>
              <w:pStyle w:val="Tabletext"/>
            </w:pPr>
            <w:r w:rsidRPr="00A9581B">
              <w:t>(b) other external factors affecting investment returns (such as market factors, rising energy prices or interest rates) if applicable.</w:t>
            </w:r>
          </w:p>
        </w:tc>
      </w:tr>
      <w:tr w:rsidR="008357FD" w:rsidRPr="00A9581B" w:rsidTr="00601CBA">
        <w:tc>
          <w:tcPr>
            <w:tcW w:w="704" w:type="dxa"/>
            <w:tcBorders>
              <w:top w:val="nil"/>
              <w:bottom w:val="single" w:sz="4" w:space="0" w:color="auto"/>
            </w:tcBorders>
            <w:shd w:val="clear" w:color="auto" w:fill="auto"/>
          </w:tcPr>
          <w:p w:rsidR="008357FD" w:rsidRPr="00A9581B" w:rsidRDefault="008357FD" w:rsidP="00601CBA">
            <w:pPr>
              <w:pStyle w:val="Tabletext"/>
            </w:pPr>
            <w:r w:rsidRPr="00A9581B">
              <w:t>3.2</w:t>
            </w:r>
          </w:p>
        </w:tc>
        <w:tc>
          <w:tcPr>
            <w:tcW w:w="6379" w:type="dxa"/>
            <w:tcBorders>
              <w:top w:val="nil"/>
              <w:bottom w:val="single" w:sz="4" w:space="0" w:color="auto"/>
            </w:tcBorders>
            <w:shd w:val="clear" w:color="auto" w:fill="auto"/>
          </w:tcPr>
          <w:p w:rsidR="008357FD" w:rsidRPr="00A9581B" w:rsidRDefault="008357FD" w:rsidP="00601CBA">
            <w:pPr>
              <w:pStyle w:val="Tabletext"/>
            </w:pPr>
            <w:r w:rsidRPr="00A9581B">
              <w:t>Identify, document and implement in</w:t>
            </w:r>
            <w:r w:rsidR="00A9581B">
              <w:noBreakHyphen/>
            </w:r>
            <w:r w:rsidRPr="00A9581B">
              <w:t>depth data collection and analysis processes, including:</w:t>
            </w:r>
          </w:p>
          <w:p w:rsidR="008357FD" w:rsidRPr="00A9581B" w:rsidRDefault="008357FD" w:rsidP="00601CBA">
            <w:pPr>
              <w:pStyle w:val="Tablea"/>
            </w:pPr>
            <w:r w:rsidRPr="00A9581B">
              <w:t>(a) the collection of energy consumption and associated cost data for key processes, systems or activities over a period of at least 24 months, to an accuracy level of ±5% (or another accuracy level approved in the assessment plan), and analysis of that data to determine variations in energy use over time; and</w:t>
            </w:r>
          </w:p>
          <w:p w:rsidR="008357FD" w:rsidRPr="00A9581B" w:rsidRDefault="008357FD" w:rsidP="00601CBA">
            <w:pPr>
              <w:pStyle w:val="Tablea"/>
            </w:pPr>
            <w:r w:rsidRPr="00A9581B">
              <w:t>(b) the collection and analysis of production or activity data (such as outputs, distance hauled, material excavated or square metres of floor space), to allow for the development of energy use performance indicators, at the appropriate level, with consideration of variations over time; and</w:t>
            </w:r>
          </w:p>
          <w:p w:rsidR="008357FD" w:rsidRPr="00A9581B" w:rsidRDefault="008357FD" w:rsidP="00601CBA">
            <w:pPr>
              <w:pStyle w:val="Tablea"/>
            </w:pPr>
            <w:r w:rsidRPr="00A9581B">
              <w:t>(c) the collection and analysis of data for other process factors that impact on energy use (such as ambient temperature, geology (mining) or production inputs) to determine the impact of these factors on energy use; and</w:t>
            </w:r>
          </w:p>
          <w:p w:rsidR="008357FD" w:rsidRPr="00A9581B" w:rsidRDefault="008357FD" w:rsidP="00601CBA">
            <w:pPr>
              <w:pStyle w:val="Tablea"/>
            </w:pPr>
            <w:r w:rsidRPr="00A9581B">
              <w:t>(d) the collection and analysis of data for the energy and material flows associated with key processes, systems and activities, to systematically and rigorously quantify where energy is being used, transformed, wasted or lost; and</w:t>
            </w:r>
          </w:p>
          <w:p w:rsidR="008357FD" w:rsidRPr="00A9581B" w:rsidRDefault="008357FD" w:rsidP="00601CBA">
            <w:pPr>
              <w:pStyle w:val="Tablea"/>
            </w:pPr>
            <w:r w:rsidRPr="00A9581B">
              <w:t>(e) the comparison of performance to actual or theoretical energy use benchmarks, at the relevant level (process, technology, activity or site) to identify potential inefficiencies and opportunities; and</w:t>
            </w:r>
          </w:p>
          <w:p w:rsidR="008357FD" w:rsidRPr="00A9581B" w:rsidRDefault="008357FD" w:rsidP="00601CBA">
            <w:pPr>
              <w:pStyle w:val="Tablea"/>
            </w:pPr>
            <w:r w:rsidRPr="00A9581B">
              <w:t>(f) the development and documentation of measures to ensure the accuracy and completeness of energy data and resolve any material data gaps.</w:t>
            </w:r>
          </w:p>
        </w:tc>
      </w:tr>
      <w:tr w:rsidR="008357FD" w:rsidRPr="00A9581B" w:rsidTr="00601CBA">
        <w:trPr>
          <w:trHeight w:val="2748"/>
        </w:trPr>
        <w:tc>
          <w:tcPr>
            <w:tcW w:w="7083" w:type="dxa"/>
            <w:gridSpan w:val="2"/>
            <w:tcBorders>
              <w:top w:val="single" w:sz="4" w:space="0" w:color="auto"/>
              <w:bottom w:val="nil"/>
            </w:tcBorders>
            <w:shd w:val="clear" w:color="auto" w:fill="auto"/>
          </w:tcPr>
          <w:p w:rsidR="008357FD" w:rsidRPr="00A9581B" w:rsidRDefault="008357FD" w:rsidP="00601CBA">
            <w:pPr>
              <w:pStyle w:val="Tabletext"/>
              <w:rPr>
                <w:b/>
              </w:rPr>
            </w:pPr>
            <w:r w:rsidRPr="00A9581B">
              <w:rPr>
                <w:b/>
              </w:rPr>
              <w:t>Requirement 4—Opportunity identification and evaluation</w:t>
            </w:r>
          </w:p>
          <w:p w:rsidR="008357FD" w:rsidRPr="00A9581B" w:rsidRDefault="008357FD" w:rsidP="00601CBA">
            <w:pPr>
              <w:pStyle w:val="Tabletext"/>
            </w:pPr>
            <w:r w:rsidRPr="00A9581B">
              <w:t>An effective process is undertaken to identify all potential cost</w:t>
            </w:r>
            <w:r w:rsidR="00A9581B">
              <w:noBreakHyphen/>
            </w:r>
            <w:r w:rsidRPr="00A9581B">
              <w:t>effective energy efficiency opportunities. The process is to be informed by the accurate data collection and rigorous analysis undertaken in requirement 3 and involve the relevant people identified in requirement 2. This process is broad, open</w:t>
            </w:r>
            <w:r w:rsidR="00A9581B">
              <w:noBreakHyphen/>
            </w:r>
            <w:r w:rsidRPr="00A9581B">
              <w:t>minded and encourages innovation.</w:t>
            </w:r>
          </w:p>
          <w:p w:rsidR="008357FD" w:rsidRPr="00A9581B" w:rsidRDefault="008357FD" w:rsidP="00601CBA">
            <w:pPr>
              <w:pStyle w:val="Tabletext"/>
            </w:pPr>
            <w:r w:rsidRPr="00A9581B">
              <w:t>Ideas are filtered to identify a documented list of potential opportunities that can then be analysed to a level sufficient for informed evaluation with a payback period of 4 years or less.</w:t>
            </w:r>
          </w:p>
          <w:p w:rsidR="008357FD" w:rsidRPr="00A9581B" w:rsidRDefault="008357FD" w:rsidP="00601CBA">
            <w:pPr>
              <w:pStyle w:val="Tabletext"/>
            </w:pPr>
            <w:r w:rsidRPr="00A9581B">
              <w:t>A whole</w:t>
            </w:r>
            <w:r w:rsidR="00A9581B">
              <w:noBreakHyphen/>
            </w:r>
            <w:r w:rsidRPr="00A9581B">
              <w:t>of</w:t>
            </w:r>
            <w:r w:rsidR="00A9581B">
              <w:noBreakHyphen/>
            </w:r>
            <w:r w:rsidRPr="00A9581B">
              <w:t>business evaluation is undertaken to enable decision</w:t>
            </w:r>
            <w:r w:rsidR="00A9581B">
              <w:noBreakHyphen/>
            </w:r>
            <w:r w:rsidRPr="00A9581B">
              <w:t>makers to make informed business decisions about energy efficiency opportunities.</w:t>
            </w:r>
          </w:p>
        </w:tc>
      </w:tr>
      <w:tr w:rsidR="008357FD" w:rsidRPr="00A9581B" w:rsidTr="00601CBA">
        <w:tc>
          <w:tcPr>
            <w:tcW w:w="7083" w:type="dxa"/>
            <w:gridSpan w:val="2"/>
            <w:tcBorders>
              <w:top w:val="nil"/>
              <w:bottom w:val="nil"/>
            </w:tcBorders>
            <w:shd w:val="clear" w:color="auto" w:fill="auto"/>
          </w:tcPr>
          <w:p w:rsidR="008357FD" w:rsidRPr="00A9581B" w:rsidRDefault="008357FD" w:rsidP="00601CBA">
            <w:pPr>
              <w:pStyle w:val="Tabletext"/>
            </w:pPr>
            <w:r w:rsidRPr="00A9581B">
              <w:rPr>
                <w:b/>
              </w:rPr>
              <w:t>Actions</w:t>
            </w:r>
          </w:p>
        </w:tc>
      </w:tr>
      <w:tr w:rsidR="008357FD" w:rsidRPr="00A9581B" w:rsidTr="00601CBA">
        <w:tc>
          <w:tcPr>
            <w:tcW w:w="704" w:type="dxa"/>
            <w:tcBorders>
              <w:top w:val="nil"/>
              <w:bottom w:val="nil"/>
            </w:tcBorders>
            <w:shd w:val="clear" w:color="auto" w:fill="auto"/>
          </w:tcPr>
          <w:p w:rsidR="008357FD" w:rsidRPr="00A9581B" w:rsidRDefault="008357FD" w:rsidP="00601CBA">
            <w:pPr>
              <w:pStyle w:val="Tabletext"/>
            </w:pPr>
            <w:r w:rsidRPr="00A9581B">
              <w:t>4.1</w:t>
            </w:r>
          </w:p>
        </w:tc>
        <w:tc>
          <w:tcPr>
            <w:tcW w:w="6379" w:type="dxa"/>
            <w:tcBorders>
              <w:top w:val="nil"/>
              <w:bottom w:val="nil"/>
            </w:tcBorders>
            <w:shd w:val="clear" w:color="auto" w:fill="auto"/>
          </w:tcPr>
          <w:p w:rsidR="008357FD" w:rsidRPr="00A9581B" w:rsidRDefault="008357FD" w:rsidP="00601CBA">
            <w:pPr>
              <w:pStyle w:val="Tabletext"/>
            </w:pPr>
            <w:r w:rsidRPr="00A9581B">
              <w:t>Undertake a process to identify ideas to improve energy efficiency. The process should note the business contextual information and review the data that is collected and analysed as part of requirement 3, and include the appropriate people as stipulated in requirement 2. The process should result in a comprehensive list of ideas, which are then documented.</w:t>
            </w:r>
          </w:p>
        </w:tc>
      </w:tr>
      <w:tr w:rsidR="008357FD" w:rsidRPr="00A9581B" w:rsidTr="00601CBA">
        <w:tc>
          <w:tcPr>
            <w:tcW w:w="704" w:type="dxa"/>
            <w:tcBorders>
              <w:top w:val="nil"/>
              <w:bottom w:val="nil"/>
            </w:tcBorders>
            <w:shd w:val="clear" w:color="auto" w:fill="auto"/>
          </w:tcPr>
          <w:p w:rsidR="008357FD" w:rsidRPr="00A9581B" w:rsidRDefault="008357FD" w:rsidP="00601CBA">
            <w:pPr>
              <w:pStyle w:val="Tabletext"/>
            </w:pPr>
            <w:r w:rsidRPr="00A9581B">
              <w:t>4.2</w:t>
            </w:r>
          </w:p>
        </w:tc>
        <w:tc>
          <w:tcPr>
            <w:tcW w:w="6379" w:type="dxa"/>
            <w:tcBorders>
              <w:top w:val="nil"/>
              <w:bottom w:val="nil"/>
            </w:tcBorders>
            <w:shd w:val="clear" w:color="auto" w:fill="auto"/>
          </w:tcPr>
          <w:p w:rsidR="008357FD" w:rsidRPr="00A9581B" w:rsidRDefault="008357FD" w:rsidP="00601CBA">
            <w:pPr>
              <w:pStyle w:val="Tabletext"/>
            </w:pPr>
            <w:r w:rsidRPr="00A9581B">
              <w:t>Examine ideas to determine if they are feasible.</w:t>
            </w:r>
          </w:p>
          <w:p w:rsidR="008357FD" w:rsidRPr="00A9581B" w:rsidRDefault="008357FD" w:rsidP="00601CBA">
            <w:pPr>
              <w:pStyle w:val="Tabletext"/>
            </w:pPr>
            <w:r w:rsidRPr="00A9581B">
              <w:t>Categorise ideas deemed to be feasible as either for implementation or for further investigation. Feasible ideas categorised as being for implementation need not be evaluated to a high level of accuracy, if they have immediate business benefits or do not warrant detailed investigation. Feasible ideas categorised as for further investigation are potential opportunities that need to be examined in accordance with action 4.3.</w:t>
            </w:r>
          </w:p>
          <w:p w:rsidR="008357FD" w:rsidRPr="00A9581B" w:rsidRDefault="008357FD" w:rsidP="00601CBA">
            <w:pPr>
              <w:pStyle w:val="Tabletext"/>
            </w:pPr>
            <w:r w:rsidRPr="00A9581B">
              <w:t>Categorise ideas not deemed feasible as being not for implementation.</w:t>
            </w:r>
          </w:p>
          <w:p w:rsidR="008357FD" w:rsidRPr="00A9581B" w:rsidRDefault="008357FD" w:rsidP="00601CBA">
            <w:pPr>
              <w:pStyle w:val="Tabletext"/>
            </w:pPr>
            <w:r w:rsidRPr="00A9581B">
              <w:t>Document reasons for the categorisation of all identified ideas (both feasible and not feasible).</w:t>
            </w:r>
          </w:p>
        </w:tc>
      </w:tr>
      <w:tr w:rsidR="008357FD" w:rsidRPr="00A9581B" w:rsidTr="00601CBA">
        <w:tc>
          <w:tcPr>
            <w:tcW w:w="704" w:type="dxa"/>
            <w:tcBorders>
              <w:top w:val="nil"/>
              <w:bottom w:val="nil"/>
            </w:tcBorders>
            <w:shd w:val="clear" w:color="auto" w:fill="auto"/>
          </w:tcPr>
          <w:p w:rsidR="008357FD" w:rsidRPr="00A9581B" w:rsidRDefault="008357FD" w:rsidP="00601CBA">
            <w:pPr>
              <w:pStyle w:val="Tabletext"/>
            </w:pPr>
            <w:r w:rsidRPr="00A9581B">
              <w:t>4.3</w:t>
            </w:r>
          </w:p>
        </w:tc>
        <w:tc>
          <w:tcPr>
            <w:tcW w:w="6379" w:type="dxa"/>
            <w:tcBorders>
              <w:top w:val="nil"/>
              <w:bottom w:val="nil"/>
            </w:tcBorders>
            <w:shd w:val="clear" w:color="auto" w:fill="auto"/>
          </w:tcPr>
          <w:p w:rsidR="008357FD" w:rsidRPr="00A9581B" w:rsidRDefault="008357FD" w:rsidP="00601CBA">
            <w:pPr>
              <w:pStyle w:val="Tabletext"/>
            </w:pPr>
            <w:r w:rsidRPr="00A9581B">
              <w:t>Undertake a detailed whole</w:t>
            </w:r>
            <w:r w:rsidR="00A9581B">
              <w:noBreakHyphen/>
            </w:r>
            <w:r w:rsidRPr="00A9581B">
              <w:t>of</w:t>
            </w:r>
            <w:r w:rsidR="00A9581B">
              <w:noBreakHyphen/>
            </w:r>
            <w:r w:rsidRPr="00A9581B">
              <w:t>business evaluation that considers benefits beyond just energy savings (such as benefits relating to maintenance, production, or occupational health and safety) to:</w:t>
            </w:r>
          </w:p>
          <w:p w:rsidR="008357FD" w:rsidRPr="00A9581B" w:rsidRDefault="008357FD" w:rsidP="00601CBA">
            <w:pPr>
              <w:pStyle w:val="Tablea"/>
            </w:pPr>
            <w:r w:rsidRPr="00A9581B">
              <w:t>(a) determine the costs and benefits for the potential opportunities from action 4.2; and</w:t>
            </w:r>
          </w:p>
          <w:p w:rsidR="008357FD" w:rsidRPr="00A9581B" w:rsidRDefault="008357FD" w:rsidP="00601CBA">
            <w:pPr>
              <w:pStyle w:val="Tablea"/>
            </w:pPr>
            <w:r w:rsidRPr="00A9581B">
              <w:t>(b) calculate a payback period; and</w:t>
            </w:r>
          </w:p>
          <w:p w:rsidR="008357FD" w:rsidRPr="00A9581B" w:rsidRDefault="008357FD" w:rsidP="00601CBA">
            <w:pPr>
              <w:pStyle w:val="Tablea"/>
            </w:pPr>
            <w:r w:rsidRPr="00A9581B">
              <w:t>(c) identify a list of opportunities with a payback of 4 years or less.</w:t>
            </w:r>
          </w:p>
          <w:p w:rsidR="008357FD" w:rsidRPr="00A9581B" w:rsidRDefault="008357FD" w:rsidP="00601CBA">
            <w:pPr>
              <w:pStyle w:val="Tabletext"/>
            </w:pPr>
            <w:r w:rsidRPr="00A9581B">
              <w:t>The evaluation of potential opportunities should be to an accuracy that is commensurate with the size of the financial investment associated with implementation. The evaluation process should be clearly documented and give decision makers credible information on which to base investment decisions. Detailed evaluation to reach an appropriate accuracy is not required for those ideas for which it can be shown that a payback period of less than 4 years is not possible, or those that prove to be infeasible for technical, safety or other genuine reasons.</w:t>
            </w:r>
          </w:p>
        </w:tc>
      </w:tr>
      <w:tr w:rsidR="008357FD" w:rsidRPr="00A9581B" w:rsidTr="00601CBA">
        <w:tc>
          <w:tcPr>
            <w:tcW w:w="704" w:type="dxa"/>
            <w:tcBorders>
              <w:top w:val="nil"/>
              <w:bottom w:val="single" w:sz="4" w:space="0" w:color="auto"/>
            </w:tcBorders>
            <w:shd w:val="clear" w:color="auto" w:fill="auto"/>
          </w:tcPr>
          <w:p w:rsidR="008357FD" w:rsidRPr="00A9581B" w:rsidRDefault="008357FD" w:rsidP="00601CBA">
            <w:pPr>
              <w:pStyle w:val="Tabletext"/>
            </w:pPr>
            <w:r w:rsidRPr="00A9581B">
              <w:t>4.4</w:t>
            </w:r>
          </w:p>
        </w:tc>
        <w:tc>
          <w:tcPr>
            <w:tcW w:w="6379" w:type="dxa"/>
            <w:tcBorders>
              <w:top w:val="nil"/>
              <w:bottom w:val="single" w:sz="4" w:space="0" w:color="auto"/>
            </w:tcBorders>
            <w:shd w:val="clear" w:color="auto" w:fill="auto"/>
          </w:tcPr>
          <w:p w:rsidR="008357FD" w:rsidRPr="00A9581B" w:rsidRDefault="008357FD" w:rsidP="00601CBA">
            <w:pPr>
              <w:pStyle w:val="Tabletext"/>
            </w:pPr>
            <w:r w:rsidRPr="00A9581B">
              <w:t>After the evaluation of feasible ideas and potential opportunities, prepare recommendations for the decision</w:t>
            </w:r>
            <w:r w:rsidR="00A9581B">
              <w:noBreakHyphen/>
            </w:r>
            <w:r w:rsidRPr="00A9581B">
              <w:t>makers who are responsible for resource allocation and financial investment. The recommendations should be based on appropriate business criteria and include whether identified opportunities should undergo further investigation, be implemented, or not be implemented.</w:t>
            </w:r>
          </w:p>
          <w:p w:rsidR="008357FD" w:rsidRPr="00A9581B" w:rsidRDefault="008357FD" w:rsidP="00601CBA">
            <w:pPr>
              <w:pStyle w:val="Tabletext"/>
            </w:pPr>
            <w:r w:rsidRPr="00A9581B">
              <w:t>Document reasons for not pursuing opportunities.</w:t>
            </w:r>
          </w:p>
        </w:tc>
      </w:tr>
      <w:tr w:rsidR="008357FD" w:rsidRPr="00A9581B" w:rsidTr="00601CBA">
        <w:trPr>
          <w:trHeight w:val="2517"/>
        </w:trPr>
        <w:tc>
          <w:tcPr>
            <w:tcW w:w="7083" w:type="dxa"/>
            <w:gridSpan w:val="2"/>
            <w:tcBorders>
              <w:top w:val="single" w:sz="4" w:space="0" w:color="auto"/>
              <w:bottom w:val="nil"/>
            </w:tcBorders>
            <w:shd w:val="clear" w:color="auto" w:fill="auto"/>
          </w:tcPr>
          <w:p w:rsidR="008357FD" w:rsidRPr="00A9581B" w:rsidRDefault="008357FD" w:rsidP="00601CBA">
            <w:pPr>
              <w:pStyle w:val="Tabletext"/>
              <w:rPr>
                <w:b/>
              </w:rPr>
            </w:pPr>
            <w:r w:rsidRPr="00A9581B">
              <w:rPr>
                <w:b/>
              </w:rPr>
              <w:t>Requirement 5—Decision making</w:t>
            </w:r>
          </w:p>
          <w:p w:rsidR="008357FD" w:rsidRPr="00A9581B" w:rsidRDefault="008357FD" w:rsidP="00601CBA">
            <w:pPr>
              <w:pStyle w:val="Tabletext"/>
            </w:pPr>
            <w:r w:rsidRPr="00A9581B">
              <w:t>Management that is responsible for decisions about financial investment and the allocation of resources for the opportunities that are identified by the assessments makes informed decisions on the assessment based on quality information.</w:t>
            </w:r>
          </w:p>
          <w:p w:rsidR="008357FD" w:rsidRPr="00A9581B" w:rsidRDefault="008357FD" w:rsidP="00601CBA">
            <w:pPr>
              <w:pStyle w:val="Tabletext"/>
            </w:pPr>
            <w:r w:rsidRPr="00A9581B">
              <w:t>The corporation develops clear lines of accountability, appropriate resources and timeframes for all energy efficiency opportunities that the corporation decides to implement or investigate further.</w:t>
            </w:r>
          </w:p>
          <w:p w:rsidR="008357FD" w:rsidRPr="00A9581B" w:rsidRDefault="008357FD" w:rsidP="00601CBA">
            <w:pPr>
              <w:pStyle w:val="Tabletext"/>
            </w:pPr>
            <w:r w:rsidRPr="00A9581B">
              <w:t>Mechanisms for reviewing, monitoring and reporting on outcomes are established, to learn from experience and enable public reporting.</w:t>
            </w:r>
          </w:p>
        </w:tc>
      </w:tr>
      <w:tr w:rsidR="008357FD" w:rsidRPr="00A9581B" w:rsidTr="00601CBA">
        <w:tc>
          <w:tcPr>
            <w:tcW w:w="7083" w:type="dxa"/>
            <w:gridSpan w:val="2"/>
            <w:tcBorders>
              <w:top w:val="nil"/>
              <w:bottom w:val="nil"/>
            </w:tcBorders>
            <w:shd w:val="clear" w:color="auto" w:fill="auto"/>
          </w:tcPr>
          <w:p w:rsidR="008357FD" w:rsidRPr="00A9581B" w:rsidRDefault="008357FD" w:rsidP="00601CBA">
            <w:pPr>
              <w:pStyle w:val="Tabletext"/>
              <w:rPr>
                <w:b/>
              </w:rPr>
            </w:pPr>
            <w:r w:rsidRPr="00A9581B">
              <w:rPr>
                <w:b/>
              </w:rPr>
              <w:t>Actions</w:t>
            </w:r>
          </w:p>
        </w:tc>
      </w:tr>
      <w:tr w:rsidR="008357FD" w:rsidRPr="00A9581B" w:rsidTr="00601CBA">
        <w:tc>
          <w:tcPr>
            <w:tcW w:w="704" w:type="dxa"/>
            <w:tcBorders>
              <w:top w:val="nil"/>
              <w:bottom w:val="nil"/>
            </w:tcBorders>
            <w:shd w:val="clear" w:color="auto" w:fill="auto"/>
          </w:tcPr>
          <w:p w:rsidR="008357FD" w:rsidRPr="00A9581B" w:rsidRDefault="008357FD" w:rsidP="00601CBA">
            <w:pPr>
              <w:pStyle w:val="Tabletext"/>
            </w:pPr>
            <w:r w:rsidRPr="00A9581B">
              <w:t>5.1</w:t>
            </w:r>
          </w:p>
        </w:tc>
        <w:tc>
          <w:tcPr>
            <w:tcW w:w="6379" w:type="dxa"/>
            <w:tcBorders>
              <w:top w:val="nil"/>
              <w:bottom w:val="nil"/>
            </w:tcBorders>
            <w:shd w:val="clear" w:color="auto" w:fill="auto"/>
          </w:tcPr>
          <w:p w:rsidR="008357FD" w:rsidRPr="00A9581B" w:rsidRDefault="008357FD" w:rsidP="00601CBA">
            <w:pPr>
              <w:pStyle w:val="Tabletext"/>
            </w:pPr>
            <w:r w:rsidRPr="00A9581B">
              <w:t>Give management the recommendations resulting from the assessment, as prepared in action 4.4, and the necessary contextual information, such as:</w:t>
            </w:r>
          </w:p>
          <w:p w:rsidR="008357FD" w:rsidRPr="00A9581B" w:rsidRDefault="008357FD" w:rsidP="00601CBA">
            <w:pPr>
              <w:pStyle w:val="Tablea"/>
            </w:pPr>
            <w:r w:rsidRPr="00A9581B">
              <w:t>(a) total energy use and energy cost relative to variable operating costs and profit for the manager’s area of responsibility; or</w:t>
            </w:r>
          </w:p>
          <w:p w:rsidR="008357FD" w:rsidRPr="00A9581B" w:rsidRDefault="008357FD" w:rsidP="00601CBA">
            <w:pPr>
              <w:pStyle w:val="Tablea"/>
            </w:pPr>
            <w:r w:rsidRPr="00A9581B">
              <w:t>(b) energy savings identified for each opportunity; or</w:t>
            </w:r>
          </w:p>
          <w:p w:rsidR="008357FD" w:rsidRPr="00A9581B" w:rsidRDefault="008357FD" w:rsidP="00601CBA">
            <w:pPr>
              <w:pStyle w:val="Tablea"/>
            </w:pPr>
            <w:r w:rsidRPr="00A9581B">
              <w:t>(c) the impact that identified opportunities are expected to have on productivity and overall energy costs; or</w:t>
            </w:r>
          </w:p>
          <w:p w:rsidR="008357FD" w:rsidRPr="00A9581B" w:rsidRDefault="008357FD" w:rsidP="00601CBA">
            <w:pPr>
              <w:pStyle w:val="Tablea"/>
            </w:pPr>
            <w:r w:rsidRPr="00A9581B">
              <w:t>(d) the total quantifiable costs and benefits, including a payback period, for each opportunity; or</w:t>
            </w:r>
          </w:p>
          <w:p w:rsidR="008357FD" w:rsidRPr="00A9581B" w:rsidRDefault="008357FD" w:rsidP="00601CBA">
            <w:pPr>
              <w:pStyle w:val="Tablea"/>
            </w:pPr>
            <w:r w:rsidRPr="00A9581B">
              <w:t>(e) the business recommendation for each opportunity; or</w:t>
            </w:r>
          </w:p>
          <w:p w:rsidR="008357FD" w:rsidRPr="00A9581B" w:rsidRDefault="008357FD" w:rsidP="00601CBA">
            <w:pPr>
              <w:pStyle w:val="Tablea"/>
            </w:pPr>
            <w:r w:rsidRPr="00A9581B">
              <w:t>(f) recommendations to improve data and evaluation accuracy (if necessary).</w:t>
            </w:r>
          </w:p>
          <w:p w:rsidR="008357FD" w:rsidRPr="00A9581B" w:rsidRDefault="008357FD" w:rsidP="00EB57B6">
            <w:pPr>
              <w:pStyle w:val="Tabletext"/>
            </w:pPr>
            <w:r w:rsidRPr="00A9581B">
              <w:t>This information will allow management to decide the business response to the assessment, including the opportunities that are to be implemented, investigated further (including improvements in data and evaluation accuracy), or not implemented.</w:t>
            </w:r>
          </w:p>
        </w:tc>
      </w:tr>
      <w:tr w:rsidR="008357FD" w:rsidRPr="00A9581B" w:rsidTr="00601CBA">
        <w:tc>
          <w:tcPr>
            <w:tcW w:w="704" w:type="dxa"/>
            <w:tcBorders>
              <w:top w:val="nil"/>
              <w:bottom w:val="single" w:sz="4" w:space="0" w:color="auto"/>
            </w:tcBorders>
            <w:shd w:val="clear" w:color="auto" w:fill="auto"/>
          </w:tcPr>
          <w:p w:rsidR="008357FD" w:rsidRPr="00A9581B" w:rsidRDefault="008357FD" w:rsidP="00601CBA">
            <w:pPr>
              <w:pStyle w:val="Tabletext"/>
            </w:pPr>
            <w:r w:rsidRPr="00A9581B">
              <w:t>5.2</w:t>
            </w:r>
          </w:p>
        </w:tc>
        <w:tc>
          <w:tcPr>
            <w:tcW w:w="6379" w:type="dxa"/>
            <w:tcBorders>
              <w:top w:val="nil"/>
              <w:bottom w:val="single" w:sz="4" w:space="0" w:color="auto"/>
            </w:tcBorders>
            <w:shd w:val="clear" w:color="auto" w:fill="auto"/>
          </w:tcPr>
          <w:p w:rsidR="008357FD" w:rsidRPr="00A9581B" w:rsidRDefault="008357FD" w:rsidP="00601CBA">
            <w:pPr>
              <w:pStyle w:val="Tabletext"/>
            </w:pPr>
            <w:r w:rsidRPr="00A9581B">
              <w:t>Establish arrangements to implement the business response, including:</w:t>
            </w:r>
          </w:p>
          <w:p w:rsidR="008357FD" w:rsidRPr="00A9581B" w:rsidRDefault="008357FD" w:rsidP="00601CBA">
            <w:pPr>
              <w:pStyle w:val="Tablea"/>
            </w:pPr>
            <w:r w:rsidRPr="00A9581B">
              <w:t>(a) allocation of timelines, resources and accountabilities covering all energy efficiency opportunities that the corporation decides to implement or investigate further; and</w:t>
            </w:r>
          </w:p>
          <w:p w:rsidR="008357FD" w:rsidRPr="00A9581B" w:rsidRDefault="008357FD" w:rsidP="00601CBA">
            <w:pPr>
              <w:pStyle w:val="Tablea"/>
            </w:pPr>
            <w:r w:rsidRPr="00A9581B">
              <w:t>(b) a process for reviewing and monitoring to learn from experience.</w:t>
            </w:r>
          </w:p>
        </w:tc>
      </w:tr>
      <w:tr w:rsidR="008357FD" w:rsidRPr="00A9581B" w:rsidTr="00601CBA">
        <w:trPr>
          <w:trHeight w:val="2561"/>
        </w:trPr>
        <w:tc>
          <w:tcPr>
            <w:tcW w:w="7083" w:type="dxa"/>
            <w:gridSpan w:val="2"/>
            <w:tcBorders>
              <w:top w:val="single" w:sz="4" w:space="0" w:color="auto"/>
              <w:bottom w:val="nil"/>
            </w:tcBorders>
            <w:shd w:val="clear" w:color="auto" w:fill="auto"/>
          </w:tcPr>
          <w:p w:rsidR="008357FD" w:rsidRPr="00A9581B" w:rsidRDefault="008357FD" w:rsidP="00601CBA">
            <w:pPr>
              <w:pStyle w:val="Tabletext"/>
              <w:rPr>
                <w:b/>
              </w:rPr>
            </w:pPr>
            <w:r w:rsidRPr="00A9581B">
              <w:rPr>
                <w:b/>
              </w:rPr>
              <w:t>Requirement 6—Communicating outcomes</w:t>
            </w:r>
          </w:p>
          <w:p w:rsidR="008357FD" w:rsidRPr="00A9581B" w:rsidRDefault="008357FD" w:rsidP="00601CBA">
            <w:pPr>
              <w:pStyle w:val="Tabletext"/>
            </w:pPr>
            <w:r w:rsidRPr="00A9581B">
              <w:t>Senior management and members of the board are made aware of the outcomes of the assessment in a strategic business context (including the corporation’s risk management, corporate social responsibility and major investment decisions).</w:t>
            </w:r>
          </w:p>
          <w:p w:rsidR="008357FD" w:rsidRPr="00A9581B" w:rsidRDefault="008357FD" w:rsidP="00601CBA">
            <w:pPr>
              <w:pStyle w:val="Tabletext"/>
            </w:pPr>
            <w:r w:rsidRPr="00A9581B">
              <w:t>The board reviews and notes the information on assessment outcomes that will be made public in the context of relevant business information.</w:t>
            </w:r>
          </w:p>
          <w:p w:rsidR="008357FD" w:rsidRPr="00A9581B" w:rsidRDefault="008357FD" w:rsidP="00601CBA">
            <w:pPr>
              <w:pStyle w:val="Tabletext"/>
            </w:pPr>
            <w:r w:rsidRPr="00A9581B">
              <w:t>Recognition and awareness is raised within the corporation of the benefits of improved energy efficiency and the outcomes achieved by the assessment, including recognition and awareness of people who contributed to its success.</w:t>
            </w:r>
          </w:p>
        </w:tc>
      </w:tr>
      <w:tr w:rsidR="008357FD" w:rsidRPr="00A9581B" w:rsidTr="00601CBA">
        <w:tc>
          <w:tcPr>
            <w:tcW w:w="7083" w:type="dxa"/>
            <w:gridSpan w:val="2"/>
            <w:tcBorders>
              <w:top w:val="nil"/>
              <w:bottom w:val="nil"/>
            </w:tcBorders>
            <w:shd w:val="clear" w:color="auto" w:fill="auto"/>
          </w:tcPr>
          <w:p w:rsidR="008357FD" w:rsidRPr="00A9581B" w:rsidRDefault="008357FD" w:rsidP="00601CBA">
            <w:pPr>
              <w:pStyle w:val="Tabletext"/>
              <w:rPr>
                <w:b/>
              </w:rPr>
            </w:pPr>
            <w:r w:rsidRPr="00A9581B">
              <w:rPr>
                <w:b/>
              </w:rPr>
              <w:t>Actions</w:t>
            </w:r>
          </w:p>
        </w:tc>
      </w:tr>
      <w:tr w:rsidR="008357FD" w:rsidRPr="00A9581B" w:rsidTr="00601CBA">
        <w:tc>
          <w:tcPr>
            <w:tcW w:w="704" w:type="dxa"/>
            <w:tcBorders>
              <w:top w:val="nil"/>
              <w:bottom w:val="nil"/>
            </w:tcBorders>
            <w:shd w:val="clear" w:color="auto" w:fill="auto"/>
          </w:tcPr>
          <w:p w:rsidR="008357FD" w:rsidRPr="00A9581B" w:rsidRDefault="008357FD" w:rsidP="00601CBA">
            <w:pPr>
              <w:pStyle w:val="Tabletext"/>
            </w:pPr>
            <w:r w:rsidRPr="00A9581B">
              <w:t>6.1</w:t>
            </w:r>
          </w:p>
        </w:tc>
        <w:tc>
          <w:tcPr>
            <w:tcW w:w="6379" w:type="dxa"/>
            <w:tcBorders>
              <w:top w:val="nil"/>
              <w:bottom w:val="nil"/>
            </w:tcBorders>
            <w:shd w:val="clear" w:color="auto" w:fill="auto"/>
          </w:tcPr>
          <w:p w:rsidR="008357FD" w:rsidRPr="00A9581B" w:rsidRDefault="008357FD" w:rsidP="00601CBA">
            <w:pPr>
              <w:pStyle w:val="Tabletext"/>
            </w:pPr>
            <w:r w:rsidRPr="00A9581B">
              <w:t>Present the board with information relating to the corporation’s energy performance, for each relevant business unit or key activity. This information is to be informed by the outcomes of the assessment and include:</w:t>
            </w:r>
          </w:p>
          <w:p w:rsidR="008357FD" w:rsidRPr="00A9581B" w:rsidRDefault="008357FD" w:rsidP="00601CBA">
            <w:pPr>
              <w:pStyle w:val="Tablea"/>
            </w:pPr>
            <w:r w:rsidRPr="00A9581B">
              <w:t>(a) total energy use; and</w:t>
            </w:r>
          </w:p>
          <w:p w:rsidR="008357FD" w:rsidRPr="00A9581B" w:rsidRDefault="008357FD" w:rsidP="00601CBA">
            <w:pPr>
              <w:pStyle w:val="Tablea"/>
            </w:pPr>
            <w:r w:rsidRPr="00A9581B">
              <w:t>(b) total cost of energy, relative to operating costs and profit; and</w:t>
            </w:r>
          </w:p>
          <w:p w:rsidR="008357FD" w:rsidRPr="00A9581B" w:rsidRDefault="008357FD" w:rsidP="00601CBA">
            <w:pPr>
              <w:pStyle w:val="Tablea"/>
            </w:pPr>
            <w:r w:rsidRPr="00A9581B">
              <w:t>(c) total energy and cost savings identified from the assessment and the business’s response, in the context of the energy performance objectives set in requirement 1.</w:t>
            </w:r>
          </w:p>
        </w:tc>
      </w:tr>
      <w:tr w:rsidR="008357FD" w:rsidRPr="00A9581B" w:rsidTr="0015382E">
        <w:tc>
          <w:tcPr>
            <w:tcW w:w="704" w:type="dxa"/>
            <w:tcBorders>
              <w:top w:val="nil"/>
              <w:bottom w:val="nil"/>
            </w:tcBorders>
            <w:shd w:val="clear" w:color="auto" w:fill="auto"/>
          </w:tcPr>
          <w:p w:rsidR="008357FD" w:rsidRPr="00A9581B" w:rsidRDefault="008357FD" w:rsidP="00601CBA">
            <w:pPr>
              <w:pStyle w:val="Tabletext"/>
            </w:pPr>
            <w:r w:rsidRPr="00A9581B">
              <w:t>6.2</w:t>
            </w:r>
          </w:p>
        </w:tc>
        <w:tc>
          <w:tcPr>
            <w:tcW w:w="6379" w:type="dxa"/>
            <w:tcBorders>
              <w:top w:val="nil"/>
              <w:bottom w:val="nil"/>
            </w:tcBorders>
            <w:shd w:val="clear" w:color="auto" w:fill="auto"/>
          </w:tcPr>
          <w:p w:rsidR="008357FD" w:rsidRPr="00A9581B" w:rsidRDefault="008357FD" w:rsidP="00601CBA">
            <w:pPr>
              <w:pStyle w:val="Tabletext"/>
            </w:pPr>
            <w:r w:rsidRPr="00A9581B">
              <w:t>The board reviews and notes the information presented in action 6.1 and the information on assessment outcomes that will be made public.</w:t>
            </w:r>
          </w:p>
        </w:tc>
      </w:tr>
      <w:tr w:rsidR="008357FD" w:rsidRPr="00A9581B" w:rsidTr="0015382E">
        <w:tc>
          <w:tcPr>
            <w:tcW w:w="704" w:type="dxa"/>
            <w:tcBorders>
              <w:top w:val="nil"/>
              <w:bottom w:val="single" w:sz="12" w:space="0" w:color="auto"/>
            </w:tcBorders>
            <w:shd w:val="clear" w:color="auto" w:fill="auto"/>
          </w:tcPr>
          <w:p w:rsidR="008357FD" w:rsidRPr="00A9581B" w:rsidRDefault="008357FD" w:rsidP="00601CBA">
            <w:pPr>
              <w:pStyle w:val="Tabletext"/>
            </w:pPr>
            <w:r w:rsidRPr="00A9581B">
              <w:t>6.3</w:t>
            </w:r>
          </w:p>
        </w:tc>
        <w:tc>
          <w:tcPr>
            <w:tcW w:w="6379" w:type="dxa"/>
            <w:tcBorders>
              <w:top w:val="nil"/>
              <w:bottom w:val="single" w:sz="12" w:space="0" w:color="auto"/>
            </w:tcBorders>
            <w:shd w:val="clear" w:color="auto" w:fill="auto"/>
          </w:tcPr>
          <w:p w:rsidR="008357FD" w:rsidRPr="00A9581B" w:rsidRDefault="008357FD" w:rsidP="00601CBA">
            <w:pPr>
              <w:pStyle w:val="Tabletext"/>
            </w:pPr>
            <w:r w:rsidRPr="00A9581B">
              <w:t>Senior management communicates a clear message about the outcomes of the assessments, in the context of the objectives set by the organisation’s leadership, to relevant staff and those involved with the assessment.</w:t>
            </w:r>
          </w:p>
        </w:tc>
      </w:tr>
    </w:tbl>
    <w:p w:rsidR="008357FD" w:rsidRPr="00A9581B" w:rsidRDefault="008357FD" w:rsidP="008357FD">
      <w:pPr>
        <w:pStyle w:val="Tabletext"/>
      </w:pPr>
    </w:p>
    <w:p w:rsidR="008357FD" w:rsidRPr="00A9581B" w:rsidRDefault="004C6E01" w:rsidP="008357FD">
      <w:pPr>
        <w:pStyle w:val="ItemHead"/>
        <w:tabs>
          <w:tab w:val="left" w:pos="6663"/>
        </w:tabs>
      </w:pPr>
      <w:r w:rsidRPr="00A9581B">
        <w:t>29</w:t>
      </w:r>
      <w:r w:rsidR="008357FD" w:rsidRPr="00A9581B">
        <w:t xml:space="preserve">  Item</w:t>
      </w:r>
      <w:r w:rsidR="00A9581B" w:rsidRPr="00A9581B">
        <w:t> </w:t>
      </w:r>
      <w:r w:rsidR="008357FD" w:rsidRPr="00A9581B">
        <w:t>402 of Part</w:t>
      </w:r>
      <w:r w:rsidR="00A9581B" w:rsidRPr="00A9581B">
        <w:t> </w:t>
      </w:r>
      <w:r w:rsidR="008357FD" w:rsidRPr="00A9581B">
        <w:t>4 of Schedule</w:t>
      </w:r>
      <w:r w:rsidR="00A9581B" w:rsidRPr="00A9581B">
        <w:t> </w:t>
      </w:r>
      <w:r w:rsidR="008357FD" w:rsidRPr="00A9581B">
        <w:t>3</w:t>
      </w:r>
    </w:p>
    <w:p w:rsidR="008357FD" w:rsidRPr="00A9581B" w:rsidRDefault="008357FD" w:rsidP="008357FD">
      <w:pPr>
        <w:pStyle w:val="Item"/>
      </w:pPr>
      <w:r w:rsidRPr="00A9581B">
        <w:t>Omit “item</w:t>
      </w:r>
      <w:r w:rsidR="00A9581B" w:rsidRPr="00A9581B">
        <w:t> </w:t>
      </w:r>
      <w:r w:rsidRPr="00A9581B">
        <w:t>2 of Schedule</w:t>
      </w:r>
      <w:r w:rsidR="00A9581B" w:rsidRPr="00A9581B">
        <w:t> </w:t>
      </w:r>
      <w:r w:rsidRPr="00A9581B">
        <w:t>4” (wherever occurring), substitute “item</w:t>
      </w:r>
      <w:r w:rsidR="00A9581B" w:rsidRPr="00A9581B">
        <w:t> </w:t>
      </w:r>
      <w:r w:rsidRPr="00A9581B">
        <w:t>4 of the table in subregulation</w:t>
      </w:r>
      <w:r w:rsidR="00A9581B" w:rsidRPr="00A9581B">
        <w:t> </w:t>
      </w:r>
      <w:r w:rsidRPr="00A9581B">
        <w:t>7.2(1)”.</w:t>
      </w:r>
    </w:p>
    <w:p w:rsidR="008357FD" w:rsidRPr="00A9581B" w:rsidRDefault="004C6E01" w:rsidP="008357FD">
      <w:pPr>
        <w:pStyle w:val="ItemHead"/>
        <w:tabs>
          <w:tab w:val="left" w:pos="6663"/>
        </w:tabs>
      </w:pPr>
      <w:r w:rsidRPr="00A9581B">
        <w:t>30</w:t>
      </w:r>
      <w:r w:rsidR="008357FD" w:rsidRPr="00A9581B">
        <w:t xml:space="preserve">  Item</w:t>
      </w:r>
      <w:r w:rsidR="00A9581B" w:rsidRPr="00A9581B">
        <w:t> </w:t>
      </w:r>
      <w:r w:rsidR="008357FD" w:rsidRPr="00A9581B">
        <w:t>403 of Part</w:t>
      </w:r>
      <w:r w:rsidR="00A9581B" w:rsidRPr="00A9581B">
        <w:t> </w:t>
      </w:r>
      <w:r w:rsidR="008357FD" w:rsidRPr="00A9581B">
        <w:t>4 of Schedule</w:t>
      </w:r>
      <w:r w:rsidR="00A9581B" w:rsidRPr="00A9581B">
        <w:t> </w:t>
      </w:r>
      <w:r w:rsidR="008357FD" w:rsidRPr="00A9581B">
        <w:t>3 (note 2)</w:t>
      </w:r>
    </w:p>
    <w:p w:rsidR="008357FD" w:rsidRPr="00A9581B" w:rsidRDefault="008357FD" w:rsidP="008357FD">
      <w:pPr>
        <w:pStyle w:val="Item"/>
      </w:pPr>
      <w:r w:rsidRPr="00A9581B">
        <w:t>Omit “(mentioned in regulation</w:t>
      </w:r>
      <w:r w:rsidR="00A9581B" w:rsidRPr="00A9581B">
        <w:t> </w:t>
      </w:r>
      <w:r w:rsidRPr="00A9581B">
        <w:t>6.1)”.</w:t>
      </w:r>
    </w:p>
    <w:p w:rsidR="008357FD" w:rsidRPr="00A9581B" w:rsidRDefault="004C6E01" w:rsidP="008357FD">
      <w:pPr>
        <w:pStyle w:val="ItemHead"/>
        <w:tabs>
          <w:tab w:val="left" w:pos="6663"/>
        </w:tabs>
      </w:pPr>
      <w:r w:rsidRPr="00A9581B">
        <w:t>31</w:t>
      </w:r>
      <w:r w:rsidR="008357FD" w:rsidRPr="00A9581B">
        <w:t xml:space="preserve">  Schedules</w:t>
      </w:r>
      <w:r w:rsidR="00A9581B" w:rsidRPr="00A9581B">
        <w:t> </w:t>
      </w:r>
      <w:r w:rsidR="000F438E" w:rsidRPr="00A9581B">
        <w:t xml:space="preserve">4, </w:t>
      </w:r>
      <w:r w:rsidR="008357FD" w:rsidRPr="00A9581B">
        <w:t>4A</w:t>
      </w:r>
      <w:r w:rsidR="000F438E" w:rsidRPr="00A9581B">
        <w:t>,</w:t>
      </w:r>
      <w:r w:rsidR="000748B2" w:rsidRPr="00A9581B">
        <w:t xml:space="preserve"> </w:t>
      </w:r>
      <w:r w:rsidR="008357FD" w:rsidRPr="00A9581B">
        <w:t>6 and 7</w:t>
      </w:r>
    </w:p>
    <w:p w:rsidR="002444C9" w:rsidRPr="00A9581B" w:rsidRDefault="008357FD" w:rsidP="008357FD">
      <w:pPr>
        <w:pStyle w:val="Item"/>
      </w:pPr>
      <w:r w:rsidRPr="00A9581B">
        <w:t>Repeal the Schedules.</w:t>
      </w:r>
    </w:p>
    <w:sectPr w:rsidR="002444C9" w:rsidRPr="00A9581B" w:rsidSect="00B02303">
      <w:headerReference w:type="even" r:id="rId26"/>
      <w:headerReference w:type="default" r:id="rId27"/>
      <w:footerReference w:type="even" r:id="rId28"/>
      <w:footerReference w:type="default" r:id="rId29"/>
      <w:headerReference w:type="first" r:id="rId30"/>
      <w:footerReference w:type="first" r:id="rId31"/>
      <w:pgSz w:w="11907" w:h="16839"/>
      <w:pgMar w:top="1871" w:right="2410" w:bottom="4253" w:left="2410" w:header="720" w:footer="34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C5D" w:rsidRDefault="00DC4C5D" w:rsidP="0048364F">
      <w:pPr>
        <w:spacing w:line="240" w:lineRule="auto"/>
      </w:pPr>
      <w:r>
        <w:separator/>
      </w:r>
    </w:p>
  </w:endnote>
  <w:endnote w:type="continuationSeparator" w:id="0">
    <w:p w:rsidR="00DC4C5D" w:rsidRDefault="00DC4C5D" w:rsidP="0048364F">
      <w:pPr>
        <w:spacing w:line="240" w:lineRule="auto"/>
      </w:pPr>
      <w:r>
        <w:continuationSeparator/>
      </w:r>
    </w:p>
  </w:endnote>
  <w:endnote w:type="continuationNotice" w:id="1">
    <w:p w:rsidR="00DC4C5D" w:rsidRDefault="00DC4C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303" w:rsidRPr="00B02303" w:rsidRDefault="00B02303" w:rsidP="00B02303">
    <w:pPr>
      <w:pStyle w:val="Footer"/>
      <w:rPr>
        <w:i/>
        <w:sz w:val="18"/>
      </w:rPr>
    </w:pPr>
    <w:r w:rsidRPr="00B02303">
      <w:rPr>
        <w:i/>
        <w:sz w:val="18"/>
      </w:rPr>
      <w:t>OPC60180 -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303"/>
    </w:tblGrid>
    <w:tr w:rsidR="00DC4C5D" w:rsidTr="00BE02DC">
      <w:tc>
        <w:tcPr>
          <w:tcW w:w="7303" w:type="dxa"/>
        </w:tcPr>
        <w:p w:rsidR="00DC4C5D" w:rsidRDefault="00DC4C5D" w:rsidP="00BE02DC">
          <w:pPr>
            <w:rPr>
              <w:sz w:val="18"/>
            </w:rPr>
          </w:pPr>
        </w:p>
      </w:tc>
    </w:tr>
  </w:tbl>
  <w:p w:rsidR="00DC4C5D" w:rsidRPr="006D3667" w:rsidRDefault="00B02303" w:rsidP="00B02303">
    <w:pPr>
      <w:pStyle w:val="Footer"/>
    </w:pPr>
    <w:r w:rsidRPr="00B02303">
      <w:rPr>
        <w:i/>
        <w:sz w:val="18"/>
      </w:rPr>
      <w:t>OPC60180 -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303" w:rsidRPr="00B02303" w:rsidRDefault="00B02303" w:rsidP="00B02303">
    <w:pPr>
      <w:pStyle w:val="Footer"/>
      <w:rPr>
        <w:sz w:val="18"/>
      </w:rPr>
    </w:pPr>
    <w:r w:rsidRPr="00B02303">
      <w:rPr>
        <w:i/>
        <w:sz w:val="18"/>
      </w:rPr>
      <w:t>OPC60180 -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5D" w:rsidRPr="00B02303" w:rsidRDefault="00DC4C5D" w:rsidP="002B5B89">
    <w:pPr>
      <w:pBdr>
        <w:top w:val="single" w:sz="6" w:space="1" w:color="auto"/>
      </w:pBdr>
      <w:spacing w:before="120" w:line="0" w:lineRule="atLeast"/>
      <w:rPr>
        <w:rFonts w:cs="Times New Roman"/>
        <w:i/>
        <w:sz w:val="18"/>
        <w:szCs w:val="16"/>
      </w:rPr>
    </w:pPr>
  </w:p>
  <w:tbl>
    <w:tblPr>
      <w:tblW w:w="0" w:type="auto"/>
      <w:tblLook w:val="04A0" w:firstRow="1" w:lastRow="0" w:firstColumn="1" w:lastColumn="0" w:noHBand="0" w:noVBand="1"/>
    </w:tblPr>
    <w:tblGrid>
      <w:gridCol w:w="533"/>
      <w:gridCol w:w="5387"/>
      <w:gridCol w:w="1383"/>
    </w:tblGrid>
    <w:tr w:rsidR="00DC4C5D" w:rsidRPr="00B02303" w:rsidTr="00E33C1C">
      <w:tc>
        <w:tcPr>
          <w:tcW w:w="533" w:type="dxa"/>
          <w:tcBorders>
            <w:top w:val="nil"/>
            <w:left w:val="nil"/>
            <w:bottom w:val="nil"/>
            <w:right w:val="nil"/>
          </w:tcBorders>
        </w:tcPr>
        <w:p w:rsidR="00DC4C5D" w:rsidRPr="00B02303" w:rsidRDefault="00DC4C5D" w:rsidP="00E33C1C">
          <w:pPr>
            <w:spacing w:line="0" w:lineRule="atLeast"/>
            <w:rPr>
              <w:rFonts w:cs="Times New Roman"/>
              <w:i/>
              <w:sz w:val="18"/>
            </w:rPr>
          </w:pPr>
          <w:r w:rsidRPr="00B02303">
            <w:rPr>
              <w:rFonts w:cs="Times New Roman"/>
              <w:i/>
              <w:sz w:val="18"/>
            </w:rPr>
            <w:fldChar w:fldCharType="begin"/>
          </w:r>
          <w:r w:rsidRPr="00B02303">
            <w:rPr>
              <w:rFonts w:cs="Times New Roman"/>
              <w:i/>
              <w:sz w:val="18"/>
            </w:rPr>
            <w:instrText xml:space="preserve"> PAGE </w:instrText>
          </w:r>
          <w:r w:rsidRPr="00B02303">
            <w:rPr>
              <w:rFonts w:cs="Times New Roman"/>
              <w:i/>
              <w:sz w:val="18"/>
            </w:rPr>
            <w:fldChar w:fldCharType="separate"/>
          </w:r>
          <w:r w:rsidR="00003416">
            <w:rPr>
              <w:rFonts w:cs="Times New Roman"/>
              <w:i/>
              <w:noProof/>
              <w:sz w:val="18"/>
            </w:rPr>
            <w:t>ii</w:t>
          </w:r>
          <w:r w:rsidRPr="00B02303">
            <w:rPr>
              <w:rFonts w:cs="Times New Roman"/>
              <w:i/>
              <w:sz w:val="18"/>
            </w:rPr>
            <w:fldChar w:fldCharType="end"/>
          </w:r>
        </w:p>
      </w:tc>
      <w:tc>
        <w:tcPr>
          <w:tcW w:w="5387" w:type="dxa"/>
          <w:tcBorders>
            <w:top w:val="nil"/>
            <w:left w:val="nil"/>
            <w:bottom w:val="nil"/>
            <w:right w:val="nil"/>
          </w:tcBorders>
        </w:tcPr>
        <w:p w:rsidR="00DC4C5D" w:rsidRPr="00B02303" w:rsidRDefault="00DC4C5D" w:rsidP="00E33C1C">
          <w:pPr>
            <w:spacing w:line="0" w:lineRule="atLeast"/>
            <w:jc w:val="center"/>
            <w:rPr>
              <w:rFonts w:cs="Times New Roman"/>
              <w:i/>
              <w:sz w:val="18"/>
            </w:rPr>
          </w:pPr>
          <w:r w:rsidRPr="00B02303">
            <w:rPr>
              <w:rFonts w:cs="Times New Roman"/>
              <w:i/>
              <w:sz w:val="18"/>
            </w:rPr>
            <w:fldChar w:fldCharType="begin"/>
          </w:r>
          <w:r w:rsidRPr="00B02303">
            <w:rPr>
              <w:rFonts w:cs="Times New Roman"/>
              <w:i/>
              <w:sz w:val="18"/>
            </w:rPr>
            <w:instrText xml:space="preserve"> DOCPROPERTY ShortT </w:instrText>
          </w:r>
          <w:r w:rsidRPr="00B02303">
            <w:rPr>
              <w:rFonts w:cs="Times New Roman"/>
              <w:i/>
              <w:sz w:val="18"/>
            </w:rPr>
            <w:fldChar w:fldCharType="separate"/>
          </w:r>
          <w:r w:rsidR="00FC67D2">
            <w:rPr>
              <w:rFonts w:cs="Times New Roman"/>
              <w:i/>
              <w:sz w:val="18"/>
            </w:rPr>
            <w:t>Energy Efficiency Opportunities Amendment (Assessments and Reporting) Regulation 2013</w:t>
          </w:r>
          <w:r w:rsidRPr="00B02303">
            <w:rPr>
              <w:rFonts w:cs="Times New Roman"/>
              <w:i/>
              <w:sz w:val="18"/>
            </w:rPr>
            <w:fldChar w:fldCharType="end"/>
          </w:r>
        </w:p>
      </w:tc>
      <w:tc>
        <w:tcPr>
          <w:tcW w:w="1383" w:type="dxa"/>
          <w:tcBorders>
            <w:top w:val="nil"/>
            <w:left w:val="nil"/>
            <w:bottom w:val="nil"/>
            <w:right w:val="nil"/>
          </w:tcBorders>
        </w:tcPr>
        <w:p w:rsidR="00DC4C5D" w:rsidRPr="00B02303" w:rsidRDefault="00DC4C5D" w:rsidP="00E33C1C">
          <w:pPr>
            <w:spacing w:line="0" w:lineRule="atLeast"/>
            <w:jc w:val="right"/>
            <w:rPr>
              <w:rFonts w:cs="Times New Roman"/>
              <w:i/>
              <w:sz w:val="18"/>
            </w:rPr>
          </w:pPr>
          <w:r w:rsidRPr="00B02303">
            <w:rPr>
              <w:rFonts w:cs="Times New Roman"/>
              <w:i/>
              <w:sz w:val="18"/>
            </w:rPr>
            <w:fldChar w:fldCharType="begin"/>
          </w:r>
          <w:r w:rsidRPr="00B02303">
            <w:rPr>
              <w:rFonts w:cs="Times New Roman"/>
              <w:i/>
              <w:sz w:val="18"/>
            </w:rPr>
            <w:instrText xml:space="preserve"> DOCPROPERTY ActNo </w:instrText>
          </w:r>
          <w:r w:rsidRPr="00B02303">
            <w:rPr>
              <w:rFonts w:cs="Times New Roman"/>
              <w:i/>
              <w:sz w:val="18"/>
            </w:rPr>
            <w:fldChar w:fldCharType="separate"/>
          </w:r>
          <w:r w:rsidR="00FC67D2">
            <w:rPr>
              <w:rFonts w:cs="Times New Roman"/>
              <w:i/>
              <w:sz w:val="18"/>
            </w:rPr>
            <w:t>No. 227, 2013</w:t>
          </w:r>
          <w:r w:rsidRPr="00B02303">
            <w:rPr>
              <w:rFonts w:cs="Times New Roman"/>
              <w:i/>
              <w:sz w:val="18"/>
            </w:rPr>
            <w:fldChar w:fldCharType="end"/>
          </w:r>
        </w:p>
      </w:tc>
    </w:tr>
    <w:tr w:rsidR="00DC4C5D" w:rsidRPr="00B02303" w:rsidTr="006D3667">
      <w:tc>
        <w:tcPr>
          <w:tcW w:w="7303" w:type="dxa"/>
          <w:gridSpan w:val="3"/>
        </w:tcPr>
        <w:p w:rsidR="00DC4C5D" w:rsidRPr="00B02303" w:rsidRDefault="00DC4C5D" w:rsidP="00BE02DC">
          <w:pPr>
            <w:jc w:val="right"/>
            <w:rPr>
              <w:rFonts w:cs="Times New Roman"/>
              <w:i/>
              <w:sz w:val="18"/>
            </w:rPr>
          </w:pPr>
        </w:p>
      </w:tc>
    </w:tr>
  </w:tbl>
  <w:p w:rsidR="00DC4C5D" w:rsidRPr="00B02303" w:rsidRDefault="00B02303" w:rsidP="00B02303">
    <w:pPr>
      <w:rPr>
        <w:rFonts w:cs="Times New Roman"/>
        <w:i/>
        <w:sz w:val="18"/>
      </w:rPr>
    </w:pPr>
    <w:r w:rsidRPr="00B02303">
      <w:rPr>
        <w:rFonts w:cs="Times New Roman"/>
        <w:i/>
        <w:sz w:val="18"/>
      </w:rPr>
      <w:t>OPC60180 -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5D" w:rsidRPr="00E33C1C" w:rsidRDefault="00DC4C5D" w:rsidP="001F6924">
    <w:pPr>
      <w:pBdr>
        <w:top w:val="single" w:sz="6" w:space="1" w:color="auto"/>
      </w:pBdr>
      <w:spacing w:before="120" w:line="0" w:lineRule="atLeast"/>
      <w:rPr>
        <w:sz w:val="16"/>
        <w:szCs w:val="16"/>
      </w:rPr>
    </w:pPr>
  </w:p>
  <w:tbl>
    <w:tblPr>
      <w:tblW w:w="0" w:type="auto"/>
      <w:tblLook w:val="04A0" w:firstRow="1" w:lastRow="0" w:firstColumn="1" w:lastColumn="0" w:noHBand="0" w:noVBand="1"/>
    </w:tblPr>
    <w:tblGrid>
      <w:gridCol w:w="1383"/>
      <w:gridCol w:w="5387"/>
      <w:gridCol w:w="533"/>
    </w:tblGrid>
    <w:tr w:rsidR="00DC4C5D" w:rsidTr="00E33C1C">
      <w:tc>
        <w:tcPr>
          <w:tcW w:w="1383" w:type="dxa"/>
          <w:tcBorders>
            <w:top w:val="nil"/>
            <w:left w:val="nil"/>
            <w:bottom w:val="nil"/>
            <w:right w:val="nil"/>
          </w:tcBorders>
        </w:tcPr>
        <w:p w:rsidR="00DC4C5D" w:rsidRDefault="00DC4C5D"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FC67D2">
            <w:rPr>
              <w:i/>
              <w:sz w:val="18"/>
            </w:rPr>
            <w:t>No. 227, 2013</w:t>
          </w:r>
          <w:r w:rsidRPr="007A1328">
            <w:rPr>
              <w:i/>
              <w:sz w:val="18"/>
            </w:rPr>
            <w:fldChar w:fldCharType="end"/>
          </w:r>
        </w:p>
      </w:tc>
      <w:tc>
        <w:tcPr>
          <w:tcW w:w="5387" w:type="dxa"/>
          <w:tcBorders>
            <w:top w:val="nil"/>
            <w:left w:val="nil"/>
            <w:bottom w:val="nil"/>
            <w:right w:val="nil"/>
          </w:tcBorders>
        </w:tcPr>
        <w:p w:rsidR="00DC4C5D" w:rsidRDefault="00DC4C5D" w:rsidP="00E33C1C">
          <w:pPr>
            <w:spacing w:line="0" w:lineRule="atLeast"/>
            <w:jc w:val="center"/>
            <w:rPr>
              <w:sz w:val="18"/>
            </w:rPr>
          </w:pPr>
          <w:r w:rsidRPr="00DA7EED">
            <w:rPr>
              <w:i/>
              <w:sz w:val="18"/>
            </w:rPr>
            <w:t>Energy Efficiency Opportunities Amendment (Assessments and Reporting) Regulation 2013</w:t>
          </w:r>
        </w:p>
      </w:tc>
      <w:tc>
        <w:tcPr>
          <w:tcW w:w="533" w:type="dxa"/>
          <w:tcBorders>
            <w:top w:val="nil"/>
            <w:left w:val="nil"/>
            <w:bottom w:val="nil"/>
            <w:right w:val="nil"/>
          </w:tcBorders>
        </w:tcPr>
        <w:p w:rsidR="00DC4C5D" w:rsidRDefault="00DC4C5D"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0107">
            <w:rPr>
              <w:i/>
              <w:noProof/>
              <w:sz w:val="18"/>
            </w:rPr>
            <w:t>i</w:t>
          </w:r>
          <w:r w:rsidRPr="00ED79B6">
            <w:rPr>
              <w:i/>
              <w:sz w:val="18"/>
            </w:rPr>
            <w:fldChar w:fldCharType="end"/>
          </w:r>
        </w:p>
      </w:tc>
    </w:tr>
    <w:tr w:rsidR="00DC4C5D" w:rsidTr="00BE02DC">
      <w:tc>
        <w:tcPr>
          <w:tcW w:w="7303" w:type="dxa"/>
          <w:gridSpan w:val="3"/>
        </w:tcPr>
        <w:p w:rsidR="00DC4C5D" w:rsidRDefault="00DC4C5D" w:rsidP="00BE02DC">
          <w:pPr>
            <w:rPr>
              <w:sz w:val="18"/>
            </w:rPr>
          </w:pPr>
        </w:p>
      </w:tc>
    </w:tr>
  </w:tbl>
  <w:p w:rsidR="00DC4C5D" w:rsidRPr="00ED79B6" w:rsidRDefault="00B02303" w:rsidP="00B02303">
    <w:pPr>
      <w:rPr>
        <w:i/>
        <w:sz w:val="18"/>
      </w:rPr>
    </w:pPr>
    <w:r w:rsidRPr="00B02303">
      <w:rPr>
        <w:rFonts w:cs="Times New Roman"/>
        <w:i/>
        <w:sz w:val="18"/>
      </w:rPr>
      <w:t>OPC60180 -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5D" w:rsidRPr="00B02303" w:rsidRDefault="00DC4C5D" w:rsidP="001F6924">
    <w:pPr>
      <w:pBdr>
        <w:top w:val="single" w:sz="6" w:space="1" w:color="auto"/>
      </w:pBdr>
      <w:spacing w:before="120" w:line="0" w:lineRule="atLeast"/>
      <w:rPr>
        <w:rFonts w:cs="Times New Roman"/>
        <w:i/>
        <w:sz w:val="18"/>
        <w:szCs w:val="16"/>
      </w:rPr>
    </w:pPr>
  </w:p>
  <w:tbl>
    <w:tblPr>
      <w:tblW w:w="0" w:type="auto"/>
      <w:tblLook w:val="04A0" w:firstRow="1" w:lastRow="0" w:firstColumn="1" w:lastColumn="0" w:noHBand="0" w:noVBand="1"/>
    </w:tblPr>
    <w:tblGrid>
      <w:gridCol w:w="533"/>
      <w:gridCol w:w="5387"/>
      <w:gridCol w:w="1383"/>
    </w:tblGrid>
    <w:tr w:rsidR="00DC4C5D" w:rsidRPr="00B02303" w:rsidTr="00E33C1C">
      <w:tc>
        <w:tcPr>
          <w:tcW w:w="533" w:type="dxa"/>
          <w:tcBorders>
            <w:top w:val="nil"/>
            <w:left w:val="nil"/>
            <w:bottom w:val="nil"/>
            <w:right w:val="nil"/>
          </w:tcBorders>
        </w:tcPr>
        <w:p w:rsidR="00DC4C5D" w:rsidRPr="00B02303" w:rsidRDefault="00DC4C5D" w:rsidP="00E33C1C">
          <w:pPr>
            <w:spacing w:line="0" w:lineRule="atLeast"/>
            <w:rPr>
              <w:rFonts w:cs="Times New Roman"/>
              <w:i/>
              <w:sz w:val="18"/>
            </w:rPr>
          </w:pPr>
          <w:r w:rsidRPr="00B02303">
            <w:rPr>
              <w:rFonts w:cs="Times New Roman"/>
              <w:i/>
              <w:sz w:val="18"/>
            </w:rPr>
            <w:fldChar w:fldCharType="begin"/>
          </w:r>
          <w:r w:rsidRPr="00B02303">
            <w:rPr>
              <w:rFonts w:cs="Times New Roman"/>
              <w:i/>
              <w:sz w:val="18"/>
            </w:rPr>
            <w:instrText xml:space="preserve"> PAGE </w:instrText>
          </w:r>
          <w:r w:rsidRPr="00B02303">
            <w:rPr>
              <w:rFonts w:cs="Times New Roman"/>
              <w:i/>
              <w:sz w:val="18"/>
            </w:rPr>
            <w:fldChar w:fldCharType="separate"/>
          </w:r>
          <w:r w:rsidR="002112CE">
            <w:rPr>
              <w:rFonts w:cs="Times New Roman"/>
              <w:i/>
              <w:noProof/>
              <w:sz w:val="18"/>
            </w:rPr>
            <w:t>24</w:t>
          </w:r>
          <w:r w:rsidRPr="00B02303">
            <w:rPr>
              <w:rFonts w:cs="Times New Roman"/>
              <w:i/>
              <w:sz w:val="18"/>
            </w:rPr>
            <w:fldChar w:fldCharType="end"/>
          </w:r>
        </w:p>
      </w:tc>
      <w:tc>
        <w:tcPr>
          <w:tcW w:w="5387" w:type="dxa"/>
          <w:tcBorders>
            <w:top w:val="nil"/>
            <w:left w:val="nil"/>
            <w:bottom w:val="nil"/>
            <w:right w:val="nil"/>
          </w:tcBorders>
        </w:tcPr>
        <w:p w:rsidR="00DC4C5D" w:rsidRPr="00B02303" w:rsidRDefault="00DC4C5D" w:rsidP="00E33C1C">
          <w:pPr>
            <w:spacing w:line="0" w:lineRule="atLeast"/>
            <w:jc w:val="center"/>
            <w:rPr>
              <w:rFonts w:cs="Times New Roman"/>
              <w:i/>
              <w:sz w:val="18"/>
            </w:rPr>
          </w:pPr>
          <w:r w:rsidRPr="00B02303">
            <w:rPr>
              <w:rFonts w:cs="Times New Roman"/>
              <w:i/>
              <w:sz w:val="18"/>
            </w:rPr>
            <w:t>Energy Efficiency Opportunities Amendment (Assessments and Reporting) Regulation 2013</w:t>
          </w:r>
        </w:p>
      </w:tc>
      <w:tc>
        <w:tcPr>
          <w:tcW w:w="1383" w:type="dxa"/>
          <w:tcBorders>
            <w:top w:val="nil"/>
            <w:left w:val="nil"/>
            <w:bottom w:val="nil"/>
            <w:right w:val="nil"/>
          </w:tcBorders>
        </w:tcPr>
        <w:p w:rsidR="00DC4C5D" w:rsidRPr="00B02303" w:rsidRDefault="00DC4C5D" w:rsidP="00E33C1C">
          <w:pPr>
            <w:spacing w:line="0" w:lineRule="atLeast"/>
            <w:jc w:val="right"/>
            <w:rPr>
              <w:rFonts w:cs="Times New Roman"/>
              <w:i/>
              <w:sz w:val="18"/>
            </w:rPr>
          </w:pPr>
          <w:r w:rsidRPr="00B02303">
            <w:rPr>
              <w:rFonts w:cs="Times New Roman"/>
              <w:i/>
              <w:sz w:val="18"/>
            </w:rPr>
            <w:fldChar w:fldCharType="begin"/>
          </w:r>
          <w:r w:rsidRPr="00B02303">
            <w:rPr>
              <w:rFonts w:cs="Times New Roman"/>
              <w:i/>
              <w:sz w:val="18"/>
            </w:rPr>
            <w:instrText xml:space="preserve"> DOCPROPERTY ActNo </w:instrText>
          </w:r>
          <w:r w:rsidRPr="00B02303">
            <w:rPr>
              <w:rFonts w:cs="Times New Roman"/>
              <w:i/>
              <w:sz w:val="18"/>
            </w:rPr>
            <w:fldChar w:fldCharType="separate"/>
          </w:r>
          <w:r w:rsidR="00FC67D2">
            <w:rPr>
              <w:rFonts w:cs="Times New Roman"/>
              <w:i/>
              <w:sz w:val="18"/>
            </w:rPr>
            <w:t>No. 227, 2013</w:t>
          </w:r>
          <w:r w:rsidRPr="00B02303">
            <w:rPr>
              <w:rFonts w:cs="Times New Roman"/>
              <w:i/>
              <w:sz w:val="18"/>
            </w:rPr>
            <w:fldChar w:fldCharType="end"/>
          </w:r>
        </w:p>
      </w:tc>
    </w:tr>
    <w:tr w:rsidR="00DC4C5D" w:rsidRPr="00B02303" w:rsidTr="006D3667">
      <w:tc>
        <w:tcPr>
          <w:tcW w:w="7303" w:type="dxa"/>
          <w:gridSpan w:val="3"/>
        </w:tcPr>
        <w:p w:rsidR="00DC4C5D" w:rsidRPr="00B02303" w:rsidRDefault="00DC4C5D" w:rsidP="00BE02DC">
          <w:pPr>
            <w:jc w:val="right"/>
            <w:rPr>
              <w:rFonts w:cs="Times New Roman"/>
              <w:i/>
              <w:sz w:val="18"/>
            </w:rPr>
          </w:pPr>
        </w:p>
      </w:tc>
    </w:tr>
  </w:tbl>
  <w:p w:rsidR="00DC4C5D" w:rsidRPr="00B02303" w:rsidRDefault="00B02303" w:rsidP="00B02303">
    <w:pPr>
      <w:rPr>
        <w:rFonts w:cs="Times New Roman"/>
        <w:i/>
        <w:sz w:val="18"/>
      </w:rPr>
    </w:pPr>
    <w:r w:rsidRPr="00B02303">
      <w:rPr>
        <w:rFonts w:cs="Times New Roman"/>
        <w:i/>
        <w:sz w:val="18"/>
      </w:rPr>
      <w:t>OPC60180 -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5D" w:rsidRPr="00E33C1C" w:rsidRDefault="00DC4C5D" w:rsidP="001F6924">
    <w:pPr>
      <w:pBdr>
        <w:top w:val="single" w:sz="6" w:space="1" w:color="auto"/>
      </w:pBdr>
      <w:spacing w:before="120" w:line="0" w:lineRule="atLeast"/>
      <w:rPr>
        <w:sz w:val="16"/>
        <w:szCs w:val="16"/>
      </w:rPr>
    </w:pPr>
  </w:p>
  <w:tbl>
    <w:tblPr>
      <w:tblW w:w="0" w:type="auto"/>
      <w:tblLook w:val="04A0" w:firstRow="1" w:lastRow="0" w:firstColumn="1" w:lastColumn="0" w:noHBand="0" w:noVBand="1"/>
    </w:tblPr>
    <w:tblGrid>
      <w:gridCol w:w="1383"/>
      <w:gridCol w:w="5387"/>
      <w:gridCol w:w="533"/>
    </w:tblGrid>
    <w:tr w:rsidR="00DC4C5D" w:rsidTr="00E33C1C">
      <w:tc>
        <w:tcPr>
          <w:tcW w:w="1383" w:type="dxa"/>
          <w:tcBorders>
            <w:top w:val="nil"/>
            <w:left w:val="nil"/>
            <w:bottom w:val="nil"/>
            <w:right w:val="nil"/>
          </w:tcBorders>
        </w:tcPr>
        <w:p w:rsidR="00DC4C5D" w:rsidRDefault="00DC4C5D"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FC67D2">
            <w:rPr>
              <w:i/>
              <w:sz w:val="18"/>
            </w:rPr>
            <w:t>No. 227, 2013</w:t>
          </w:r>
          <w:r w:rsidRPr="007A1328">
            <w:rPr>
              <w:i/>
              <w:sz w:val="18"/>
            </w:rPr>
            <w:fldChar w:fldCharType="end"/>
          </w:r>
        </w:p>
      </w:tc>
      <w:tc>
        <w:tcPr>
          <w:tcW w:w="5387" w:type="dxa"/>
          <w:tcBorders>
            <w:top w:val="nil"/>
            <w:left w:val="nil"/>
            <w:bottom w:val="nil"/>
            <w:right w:val="nil"/>
          </w:tcBorders>
        </w:tcPr>
        <w:p w:rsidR="00DC4C5D" w:rsidRDefault="00DC4C5D" w:rsidP="00E33C1C">
          <w:pPr>
            <w:spacing w:line="0" w:lineRule="atLeast"/>
            <w:jc w:val="center"/>
            <w:rPr>
              <w:sz w:val="18"/>
            </w:rPr>
          </w:pPr>
          <w:r w:rsidRPr="00DA7EED">
            <w:rPr>
              <w:i/>
              <w:sz w:val="18"/>
            </w:rPr>
            <w:t>Energy Efficiency Opportunities Amendment (Assessments and Reporting) Regulation 2013</w:t>
          </w:r>
        </w:p>
      </w:tc>
      <w:tc>
        <w:tcPr>
          <w:tcW w:w="533" w:type="dxa"/>
          <w:tcBorders>
            <w:top w:val="nil"/>
            <w:left w:val="nil"/>
            <w:bottom w:val="nil"/>
            <w:right w:val="nil"/>
          </w:tcBorders>
        </w:tcPr>
        <w:p w:rsidR="00DC4C5D" w:rsidRDefault="00DC4C5D"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0107">
            <w:rPr>
              <w:i/>
              <w:noProof/>
              <w:sz w:val="18"/>
            </w:rPr>
            <w:t>1</w:t>
          </w:r>
          <w:r w:rsidRPr="00ED79B6">
            <w:rPr>
              <w:i/>
              <w:sz w:val="18"/>
            </w:rPr>
            <w:fldChar w:fldCharType="end"/>
          </w:r>
        </w:p>
      </w:tc>
    </w:tr>
    <w:tr w:rsidR="00DC4C5D" w:rsidTr="00BE02DC">
      <w:tc>
        <w:tcPr>
          <w:tcW w:w="7303" w:type="dxa"/>
          <w:gridSpan w:val="3"/>
        </w:tcPr>
        <w:p w:rsidR="00DC4C5D" w:rsidRDefault="00DC4C5D" w:rsidP="00BE02DC">
          <w:pPr>
            <w:rPr>
              <w:sz w:val="18"/>
            </w:rPr>
          </w:pPr>
        </w:p>
      </w:tc>
    </w:tr>
  </w:tbl>
  <w:p w:rsidR="00DC4C5D" w:rsidRPr="00ED79B6" w:rsidRDefault="00B02303" w:rsidP="00B02303">
    <w:pPr>
      <w:rPr>
        <w:i/>
        <w:sz w:val="18"/>
      </w:rPr>
    </w:pPr>
    <w:r w:rsidRPr="00B02303">
      <w:rPr>
        <w:rFonts w:cs="Times New Roman"/>
        <w:i/>
        <w:sz w:val="18"/>
      </w:rPr>
      <w:t>OPC60180 -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5D" w:rsidRPr="00E33C1C" w:rsidRDefault="00DC4C5D" w:rsidP="00B63BDE">
    <w:pPr>
      <w:pBdr>
        <w:top w:val="single" w:sz="6" w:space="1" w:color="auto"/>
      </w:pBdr>
      <w:spacing w:line="0" w:lineRule="atLeast"/>
      <w:rPr>
        <w:sz w:val="16"/>
        <w:szCs w:val="16"/>
      </w:rPr>
    </w:pPr>
  </w:p>
  <w:tbl>
    <w:tblPr>
      <w:tblW w:w="0" w:type="auto"/>
      <w:tblLook w:val="04A0" w:firstRow="1" w:lastRow="0" w:firstColumn="1" w:lastColumn="0" w:noHBand="0" w:noVBand="1"/>
    </w:tblPr>
    <w:tblGrid>
      <w:gridCol w:w="1383"/>
      <w:gridCol w:w="5387"/>
      <w:gridCol w:w="533"/>
    </w:tblGrid>
    <w:tr w:rsidR="00DC4C5D" w:rsidTr="00BE02DC">
      <w:tc>
        <w:tcPr>
          <w:tcW w:w="1383" w:type="dxa"/>
          <w:tcBorders>
            <w:top w:val="nil"/>
            <w:left w:val="nil"/>
            <w:bottom w:val="nil"/>
            <w:right w:val="nil"/>
          </w:tcBorders>
        </w:tcPr>
        <w:p w:rsidR="00DC4C5D" w:rsidRDefault="00DC4C5D" w:rsidP="00BE02D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FC67D2">
            <w:rPr>
              <w:i/>
              <w:sz w:val="18"/>
            </w:rPr>
            <w:t>No. 227, 2013</w:t>
          </w:r>
          <w:r w:rsidRPr="007A1328">
            <w:rPr>
              <w:i/>
              <w:sz w:val="18"/>
            </w:rPr>
            <w:fldChar w:fldCharType="end"/>
          </w:r>
        </w:p>
      </w:tc>
      <w:tc>
        <w:tcPr>
          <w:tcW w:w="5387" w:type="dxa"/>
          <w:tcBorders>
            <w:top w:val="nil"/>
            <w:left w:val="nil"/>
            <w:bottom w:val="nil"/>
            <w:right w:val="nil"/>
          </w:tcBorders>
        </w:tcPr>
        <w:p w:rsidR="00DC4C5D" w:rsidRDefault="00DC4C5D" w:rsidP="00BE02D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C67D2">
            <w:rPr>
              <w:i/>
              <w:sz w:val="18"/>
            </w:rPr>
            <w:t>Energy Efficiency Opportunities Amendment (Assessments and Reporting) Regulation 2013</w:t>
          </w:r>
          <w:r w:rsidRPr="007A1328">
            <w:rPr>
              <w:i/>
              <w:sz w:val="18"/>
            </w:rPr>
            <w:fldChar w:fldCharType="end"/>
          </w:r>
        </w:p>
      </w:tc>
      <w:tc>
        <w:tcPr>
          <w:tcW w:w="533" w:type="dxa"/>
          <w:tcBorders>
            <w:top w:val="nil"/>
            <w:left w:val="nil"/>
            <w:bottom w:val="nil"/>
            <w:right w:val="nil"/>
          </w:tcBorders>
        </w:tcPr>
        <w:p w:rsidR="00DC4C5D" w:rsidRDefault="00DC4C5D" w:rsidP="00BE02D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3416">
            <w:rPr>
              <w:i/>
              <w:noProof/>
              <w:sz w:val="18"/>
            </w:rPr>
            <w:t>2</w:t>
          </w:r>
          <w:r w:rsidRPr="00ED79B6">
            <w:rPr>
              <w:i/>
              <w:sz w:val="18"/>
            </w:rPr>
            <w:fldChar w:fldCharType="end"/>
          </w:r>
        </w:p>
      </w:tc>
    </w:tr>
    <w:tr w:rsidR="00DC4C5D" w:rsidTr="00BE02DC">
      <w:tc>
        <w:tcPr>
          <w:tcW w:w="7303" w:type="dxa"/>
          <w:gridSpan w:val="3"/>
        </w:tcPr>
        <w:p w:rsidR="00DC4C5D" w:rsidRDefault="00DC4C5D" w:rsidP="00BE02DC">
          <w:pPr>
            <w:rPr>
              <w:sz w:val="18"/>
            </w:rPr>
          </w:pPr>
        </w:p>
      </w:tc>
    </w:tr>
  </w:tbl>
  <w:p w:rsidR="00DC4C5D" w:rsidRPr="00ED79B6" w:rsidRDefault="00DC4C5D"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C5D" w:rsidRDefault="00DC4C5D" w:rsidP="0048364F">
      <w:pPr>
        <w:spacing w:line="240" w:lineRule="auto"/>
      </w:pPr>
      <w:r>
        <w:separator/>
      </w:r>
    </w:p>
  </w:footnote>
  <w:footnote w:type="continuationSeparator" w:id="0">
    <w:p w:rsidR="00DC4C5D" w:rsidRDefault="00DC4C5D" w:rsidP="0048364F">
      <w:pPr>
        <w:spacing w:line="240" w:lineRule="auto"/>
      </w:pPr>
      <w:r>
        <w:continuationSeparator/>
      </w:r>
    </w:p>
  </w:footnote>
  <w:footnote w:type="continuationNotice" w:id="1">
    <w:p w:rsidR="00DC4C5D" w:rsidRDefault="00DC4C5D">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5D" w:rsidRPr="005F1388" w:rsidRDefault="00DC4C5D"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5D" w:rsidRPr="005F1388" w:rsidRDefault="00DC4C5D"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5D" w:rsidRPr="005F1388" w:rsidRDefault="00DC4C5D"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5D" w:rsidRPr="00ED79B6" w:rsidRDefault="00DC4C5D"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5D" w:rsidRPr="00ED79B6" w:rsidRDefault="00DC4C5D" w:rsidP="00AB3315">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5D" w:rsidRPr="00ED79B6" w:rsidRDefault="00DC4C5D"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5D" w:rsidRPr="00A961C4" w:rsidRDefault="00DC4C5D" w:rsidP="00B63BDE">
    <w:pPr>
      <w:rPr>
        <w:b/>
        <w:sz w:val="20"/>
      </w:rPr>
    </w:pPr>
    <w:r>
      <w:rPr>
        <w:b/>
        <w:sz w:val="20"/>
      </w:rPr>
      <w:fldChar w:fldCharType="begin"/>
    </w:r>
    <w:r>
      <w:rPr>
        <w:b/>
        <w:sz w:val="20"/>
      </w:rPr>
      <w:instrText xml:space="preserve"> STYLEREF CharAmSchNo </w:instrText>
    </w:r>
    <w:r w:rsidR="002112CE">
      <w:rPr>
        <w:b/>
        <w:sz w:val="20"/>
      </w:rPr>
      <w:fldChar w:fldCharType="separate"/>
    </w:r>
    <w:r w:rsidR="002112C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112CE">
      <w:rPr>
        <w:sz w:val="20"/>
      </w:rPr>
      <w:fldChar w:fldCharType="separate"/>
    </w:r>
    <w:r w:rsidR="002112CE">
      <w:rPr>
        <w:noProof/>
        <w:sz w:val="20"/>
      </w:rPr>
      <w:t>Amendments</w:t>
    </w:r>
    <w:r>
      <w:rPr>
        <w:sz w:val="20"/>
      </w:rPr>
      <w:fldChar w:fldCharType="end"/>
    </w:r>
  </w:p>
  <w:p w:rsidR="00DC4C5D" w:rsidRPr="00A961C4" w:rsidRDefault="00DC4C5D"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C4C5D" w:rsidRPr="00A961C4" w:rsidRDefault="00DC4C5D" w:rsidP="00B63BDE">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5D" w:rsidRPr="00A961C4" w:rsidRDefault="00DC4C5D"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DC4C5D" w:rsidRPr="00A961C4" w:rsidRDefault="00DC4C5D"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C4C5D" w:rsidRPr="00A961C4" w:rsidRDefault="00DC4C5D" w:rsidP="00E443FC">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5D" w:rsidRPr="00A961C4" w:rsidRDefault="00DC4C5D"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A2982"/>
    <w:lvl w:ilvl="0">
      <w:start w:val="1"/>
      <w:numFmt w:val="decimal"/>
      <w:lvlText w:val="%1."/>
      <w:lvlJc w:val="left"/>
      <w:pPr>
        <w:tabs>
          <w:tab w:val="num" w:pos="1492"/>
        </w:tabs>
        <w:ind w:left="1492" w:hanging="360"/>
      </w:pPr>
    </w:lvl>
  </w:abstractNum>
  <w:abstractNum w:abstractNumId="1">
    <w:nsid w:val="FFFFFF7D"/>
    <w:multiLevelType w:val="singleLevel"/>
    <w:tmpl w:val="C8E697B0"/>
    <w:lvl w:ilvl="0">
      <w:start w:val="1"/>
      <w:numFmt w:val="decimal"/>
      <w:lvlText w:val="%1."/>
      <w:lvlJc w:val="left"/>
      <w:pPr>
        <w:tabs>
          <w:tab w:val="num" w:pos="1209"/>
        </w:tabs>
        <w:ind w:left="1209" w:hanging="360"/>
      </w:pPr>
    </w:lvl>
  </w:abstractNum>
  <w:abstractNum w:abstractNumId="2">
    <w:nsid w:val="FFFFFF7E"/>
    <w:multiLevelType w:val="singleLevel"/>
    <w:tmpl w:val="1C704B44"/>
    <w:lvl w:ilvl="0">
      <w:start w:val="1"/>
      <w:numFmt w:val="decimal"/>
      <w:lvlText w:val="%1."/>
      <w:lvlJc w:val="left"/>
      <w:pPr>
        <w:tabs>
          <w:tab w:val="num" w:pos="926"/>
        </w:tabs>
        <w:ind w:left="926" w:hanging="360"/>
      </w:pPr>
    </w:lvl>
  </w:abstractNum>
  <w:abstractNum w:abstractNumId="3">
    <w:nsid w:val="FFFFFF7F"/>
    <w:multiLevelType w:val="singleLevel"/>
    <w:tmpl w:val="3BB4D934"/>
    <w:lvl w:ilvl="0">
      <w:start w:val="1"/>
      <w:numFmt w:val="decimal"/>
      <w:lvlText w:val="%1."/>
      <w:lvlJc w:val="left"/>
      <w:pPr>
        <w:tabs>
          <w:tab w:val="num" w:pos="643"/>
        </w:tabs>
        <w:ind w:left="643" w:hanging="360"/>
      </w:pPr>
    </w:lvl>
  </w:abstractNum>
  <w:abstractNum w:abstractNumId="4">
    <w:nsid w:val="FFFFFF80"/>
    <w:multiLevelType w:val="singleLevel"/>
    <w:tmpl w:val="5AD64E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9D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880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0A04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B2B598"/>
    <w:lvl w:ilvl="0">
      <w:start w:val="1"/>
      <w:numFmt w:val="decimal"/>
      <w:lvlText w:val="%1."/>
      <w:lvlJc w:val="left"/>
      <w:pPr>
        <w:tabs>
          <w:tab w:val="num" w:pos="360"/>
        </w:tabs>
        <w:ind w:left="360" w:hanging="360"/>
      </w:pPr>
    </w:lvl>
  </w:abstractNum>
  <w:abstractNum w:abstractNumId="9">
    <w:nsid w:val="FFFFFF89"/>
    <w:multiLevelType w:val="singleLevel"/>
    <w:tmpl w:val="B0C2746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520EAE"/>
    <w:multiLevelType w:val="hybridMultilevel"/>
    <w:tmpl w:val="B776BF0A"/>
    <w:lvl w:ilvl="0" w:tplc="0C090009">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2AAA0799"/>
    <w:multiLevelType w:val="hybridMultilevel"/>
    <w:tmpl w:val="5E1CB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FB6E62"/>
    <w:multiLevelType w:val="hybridMultilevel"/>
    <w:tmpl w:val="BC929E66"/>
    <w:lvl w:ilvl="0" w:tplc="DCCAAD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AAD4FCC"/>
    <w:multiLevelType w:val="hybridMultilevel"/>
    <w:tmpl w:val="9B50EB70"/>
    <w:lvl w:ilvl="0" w:tplc="474CB2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4D480E46"/>
    <w:multiLevelType w:val="hybridMultilevel"/>
    <w:tmpl w:val="8BE2F024"/>
    <w:lvl w:ilvl="0" w:tplc="07FE1442">
      <w:start w:val="1"/>
      <w:numFmt w:val="lowerLetter"/>
      <w:lvlText w:val="%1)"/>
      <w:lvlJc w:val="left"/>
      <w:pPr>
        <w:ind w:left="317" w:hanging="360"/>
      </w:pPr>
      <w:rPr>
        <w:rFonts w:hint="default"/>
      </w:rPr>
    </w:lvl>
    <w:lvl w:ilvl="1" w:tplc="0C090019" w:tentative="1">
      <w:start w:val="1"/>
      <w:numFmt w:val="lowerLetter"/>
      <w:lvlText w:val="%2."/>
      <w:lvlJc w:val="left"/>
      <w:pPr>
        <w:ind w:left="1037" w:hanging="360"/>
      </w:pPr>
    </w:lvl>
    <w:lvl w:ilvl="2" w:tplc="0C09001B" w:tentative="1">
      <w:start w:val="1"/>
      <w:numFmt w:val="lowerRoman"/>
      <w:lvlText w:val="%3."/>
      <w:lvlJc w:val="right"/>
      <w:pPr>
        <w:ind w:left="1757" w:hanging="180"/>
      </w:pPr>
    </w:lvl>
    <w:lvl w:ilvl="3" w:tplc="0C09000F" w:tentative="1">
      <w:start w:val="1"/>
      <w:numFmt w:val="decimal"/>
      <w:lvlText w:val="%4."/>
      <w:lvlJc w:val="left"/>
      <w:pPr>
        <w:ind w:left="2477" w:hanging="360"/>
      </w:pPr>
    </w:lvl>
    <w:lvl w:ilvl="4" w:tplc="0C090019" w:tentative="1">
      <w:start w:val="1"/>
      <w:numFmt w:val="lowerLetter"/>
      <w:lvlText w:val="%5."/>
      <w:lvlJc w:val="left"/>
      <w:pPr>
        <w:ind w:left="3197" w:hanging="360"/>
      </w:pPr>
    </w:lvl>
    <w:lvl w:ilvl="5" w:tplc="0C09001B" w:tentative="1">
      <w:start w:val="1"/>
      <w:numFmt w:val="lowerRoman"/>
      <w:lvlText w:val="%6."/>
      <w:lvlJc w:val="right"/>
      <w:pPr>
        <w:ind w:left="3917" w:hanging="180"/>
      </w:pPr>
    </w:lvl>
    <w:lvl w:ilvl="6" w:tplc="0C09000F" w:tentative="1">
      <w:start w:val="1"/>
      <w:numFmt w:val="decimal"/>
      <w:lvlText w:val="%7."/>
      <w:lvlJc w:val="left"/>
      <w:pPr>
        <w:ind w:left="4637" w:hanging="360"/>
      </w:pPr>
    </w:lvl>
    <w:lvl w:ilvl="7" w:tplc="0C090019" w:tentative="1">
      <w:start w:val="1"/>
      <w:numFmt w:val="lowerLetter"/>
      <w:lvlText w:val="%8."/>
      <w:lvlJc w:val="left"/>
      <w:pPr>
        <w:ind w:left="5357" w:hanging="360"/>
      </w:pPr>
    </w:lvl>
    <w:lvl w:ilvl="8" w:tplc="0C09001B" w:tentative="1">
      <w:start w:val="1"/>
      <w:numFmt w:val="lowerRoman"/>
      <w:lvlText w:val="%9."/>
      <w:lvlJc w:val="right"/>
      <w:pPr>
        <w:ind w:left="6077" w:hanging="180"/>
      </w:pPr>
    </w:lvl>
  </w:abstractNum>
  <w:abstractNum w:abstractNumId="17">
    <w:nsid w:val="509C46F5"/>
    <w:multiLevelType w:val="hybridMultilevel"/>
    <w:tmpl w:val="30FE0834"/>
    <w:lvl w:ilvl="0" w:tplc="04090001">
      <w:start w:val="1"/>
      <w:numFmt w:val="bullet"/>
      <w:lvlText w:val=""/>
      <w:lvlJc w:val="left"/>
      <w:pPr>
        <w:tabs>
          <w:tab w:val="num" w:pos="720"/>
        </w:tabs>
        <w:ind w:left="720" w:hanging="360"/>
      </w:pPr>
      <w:rPr>
        <w:rFonts w:ascii="Symbol" w:hAnsi="Symbol" w:hint="default"/>
      </w:rPr>
    </w:lvl>
    <w:lvl w:ilvl="1" w:tplc="F792388C">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EBB79B4"/>
    <w:multiLevelType w:val="hybridMultilevel"/>
    <w:tmpl w:val="6FF46F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1F5364B"/>
    <w:multiLevelType w:val="hybridMultilevel"/>
    <w:tmpl w:val="12BABCFA"/>
    <w:lvl w:ilvl="0" w:tplc="0C090001">
      <w:start w:val="1"/>
      <w:numFmt w:val="bullet"/>
      <w:lvlText w:val=""/>
      <w:lvlJc w:val="left"/>
      <w:pPr>
        <w:ind w:left="677" w:hanging="360"/>
      </w:pPr>
      <w:rPr>
        <w:rFonts w:ascii="Symbol" w:hAnsi="Symbol" w:hint="default"/>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20">
    <w:nsid w:val="638A6AC5"/>
    <w:multiLevelType w:val="hybridMultilevel"/>
    <w:tmpl w:val="B11882F4"/>
    <w:lvl w:ilvl="0" w:tplc="564E4E6A">
      <w:start w:val="1"/>
      <w:numFmt w:val="decimal"/>
      <w:lvlText w:val="%1"/>
      <w:lvlJc w:val="left"/>
      <w:pPr>
        <w:ind w:left="960" w:hanging="51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21">
    <w:nsid w:val="68C77478"/>
    <w:multiLevelType w:val="hybridMultilevel"/>
    <w:tmpl w:val="44D2A7C4"/>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21"/>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6"/>
  </w:num>
  <w:num w:numId="17">
    <w:abstractNumId w:val="13"/>
  </w:num>
  <w:num w:numId="18">
    <w:abstractNumId w:val="19"/>
  </w:num>
  <w:num w:numId="19">
    <w:abstractNumId w:val="14"/>
  </w:num>
  <w:num w:numId="20">
    <w:abstractNumId w:val="12"/>
  </w:num>
  <w:num w:numId="21">
    <w:abstractNumId w:val="20"/>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B29"/>
    <w:rsid w:val="00003416"/>
    <w:rsid w:val="000041C6"/>
    <w:rsid w:val="000063E4"/>
    <w:rsid w:val="000113BC"/>
    <w:rsid w:val="000136AF"/>
    <w:rsid w:val="000147BF"/>
    <w:rsid w:val="00025060"/>
    <w:rsid w:val="0004044E"/>
    <w:rsid w:val="00042055"/>
    <w:rsid w:val="0004245E"/>
    <w:rsid w:val="0004296F"/>
    <w:rsid w:val="000437A4"/>
    <w:rsid w:val="00044673"/>
    <w:rsid w:val="0004756B"/>
    <w:rsid w:val="00050F41"/>
    <w:rsid w:val="00055AE8"/>
    <w:rsid w:val="00060BC6"/>
    <w:rsid w:val="000614BF"/>
    <w:rsid w:val="00064618"/>
    <w:rsid w:val="0007322E"/>
    <w:rsid w:val="000748B2"/>
    <w:rsid w:val="00077480"/>
    <w:rsid w:val="00081E33"/>
    <w:rsid w:val="00084B2B"/>
    <w:rsid w:val="000A2EDC"/>
    <w:rsid w:val="000A37F6"/>
    <w:rsid w:val="000A4DF0"/>
    <w:rsid w:val="000B19F2"/>
    <w:rsid w:val="000B1F73"/>
    <w:rsid w:val="000B5B17"/>
    <w:rsid w:val="000C4DD3"/>
    <w:rsid w:val="000C4E79"/>
    <w:rsid w:val="000D0107"/>
    <w:rsid w:val="000D05E2"/>
    <w:rsid w:val="000D05EF"/>
    <w:rsid w:val="000D344A"/>
    <w:rsid w:val="000D5D21"/>
    <w:rsid w:val="000D6D0E"/>
    <w:rsid w:val="000D7E9A"/>
    <w:rsid w:val="000E5C34"/>
    <w:rsid w:val="000F01AA"/>
    <w:rsid w:val="000F21C1"/>
    <w:rsid w:val="000F2BB0"/>
    <w:rsid w:val="000F438E"/>
    <w:rsid w:val="000F7427"/>
    <w:rsid w:val="00105A87"/>
    <w:rsid w:val="0010745C"/>
    <w:rsid w:val="00117433"/>
    <w:rsid w:val="00117D9C"/>
    <w:rsid w:val="001218A9"/>
    <w:rsid w:val="00127F64"/>
    <w:rsid w:val="0014008B"/>
    <w:rsid w:val="001515AA"/>
    <w:rsid w:val="0015382E"/>
    <w:rsid w:val="00154EAC"/>
    <w:rsid w:val="001632E6"/>
    <w:rsid w:val="001643C9"/>
    <w:rsid w:val="00165568"/>
    <w:rsid w:val="00166C2F"/>
    <w:rsid w:val="00166DE4"/>
    <w:rsid w:val="001716C9"/>
    <w:rsid w:val="00171B97"/>
    <w:rsid w:val="00171EAE"/>
    <w:rsid w:val="00180BA6"/>
    <w:rsid w:val="00183DA9"/>
    <w:rsid w:val="00184E9B"/>
    <w:rsid w:val="00191859"/>
    <w:rsid w:val="00193461"/>
    <w:rsid w:val="001939E1"/>
    <w:rsid w:val="00195382"/>
    <w:rsid w:val="001A0DEF"/>
    <w:rsid w:val="001A2012"/>
    <w:rsid w:val="001A4357"/>
    <w:rsid w:val="001B186D"/>
    <w:rsid w:val="001B187E"/>
    <w:rsid w:val="001B398F"/>
    <w:rsid w:val="001B5F86"/>
    <w:rsid w:val="001B7A5D"/>
    <w:rsid w:val="001C2AC5"/>
    <w:rsid w:val="001C69C4"/>
    <w:rsid w:val="001D1FC3"/>
    <w:rsid w:val="001D2420"/>
    <w:rsid w:val="001D261B"/>
    <w:rsid w:val="001E3590"/>
    <w:rsid w:val="001E48B0"/>
    <w:rsid w:val="001E562E"/>
    <w:rsid w:val="001E7407"/>
    <w:rsid w:val="001F6924"/>
    <w:rsid w:val="00200C26"/>
    <w:rsid w:val="00201D27"/>
    <w:rsid w:val="00204896"/>
    <w:rsid w:val="0021019D"/>
    <w:rsid w:val="002112CE"/>
    <w:rsid w:val="00213958"/>
    <w:rsid w:val="0021533B"/>
    <w:rsid w:val="002245AF"/>
    <w:rsid w:val="00225609"/>
    <w:rsid w:val="00225FA4"/>
    <w:rsid w:val="00240749"/>
    <w:rsid w:val="0024264B"/>
    <w:rsid w:val="002444C9"/>
    <w:rsid w:val="00244C8F"/>
    <w:rsid w:val="00254F32"/>
    <w:rsid w:val="00260FDE"/>
    <w:rsid w:val="00263A02"/>
    <w:rsid w:val="00265CBB"/>
    <w:rsid w:val="00265FBC"/>
    <w:rsid w:val="00266D05"/>
    <w:rsid w:val="002932B1"/>
    <w:rsid w:val="00296FF4"/>
    <w:rsid w:val="00297751"/>
    <w:rsid w:val="00297965"/>
    <w:rsid w:val="00297ECB"/>
    <w:rsid w:val="002A0FFD"/>
    <w:rsid w:val="002A4F53"/>
    <w:rsid w:val="002B3CE5"/>
    <w:rsid w:val="002B5B89"/>
    <w:rsid w:val="002B6DA7"/>
    <w:rsid w:val="002B7884"/>
    <w:rsid w:val="002B7D96"/>
    <w:rsid w:val="002B7E23"/>
    <w:rsid w:val="002C3A35"/>
    <w:rsid w:val="002C42F2"/>
    <w:rsid w:val="002C7068"/>
    <w:rsid w:val="002C72FC"/>
    <w:rsid w:val="002D043A"/>
    <w:rsid w:val="002D0DF4"/>
    <w:rsid w:val="002D1B77"/>
    <w:rsid w:val="002D5A73"/>
    <w:rsid w:val="002E07AA"/>
    <w:rsid w:val="002E0AFF"/>
    <w:rsid w:val="002E28A7"/>
    <w:rsid w:val="002E6103"/>
    <w:rsid w:val="002F1E7B"/>
    <w:rsid w:val="002F31D3"/>
    <w:rsid w:val="002F6685"/>
    <w:rsid w:val="003006E6"/>
    <w:rsid w:val="00300841"/>
    <w:rsid w:val="00304E75"/>
    <w:rsid w:val="00306C81"/>
    <w:rsid w:val="003072FA"/>
    <w:rsid w:val="0031713F"/>
    <w:rsid w:val="00323309"/>
    <w:rsid w:val="0032662B"/>
    <w:rsid w:val="00327534"/>
    <w:rsid w:val="00336DF7"/>
    <w:rsid w:val="00337834"/>
    <w:rsid w:val="003415D3"/>
    <w:rsid w:val="00352B0F"/>
    <w:rsid w:val="003539A0"/>
    <w:rsid w:val="00360684"/>
    <w:rsid w:val="00361BD9"/>
    <w:rsid w:val="00364A4C"/>
    <w:rsid w:val="003801D0"/>
    <w:rsid w:val="0038261D"/>
    <w:rsid w:val="003844D4"/>
    <w:rsid w:val="003876D7"/>
    <w:rsid w:val="0039228E"/>
    <w:rsid w:val="003926B5"/>
    <w:rsid w:val="00392DDB"/>
    <w:rsid w:val="003B04EC"/>
    <w:rsid w:val="003C1259"/>
    <w:rsid w:val="003C13B5"/>
    <w:rsid w:val="003C2139"/>
    <w:rsid w:val="003C5F2B"/>
    <w:rsid w:val="003D0BFE"/>
    <w:rsid w:val="003D2A95"/>
    <w:rsid w:val="003D5700"/>
    <w:rsid w:val="003D5A31"/>
    <w:rsid w:val="003E314A"/>
    <w:rsid w:val="003E3AE8"/>
    <w:rsid w:val="003E5FF5"/>
    <w:rsid w:val="003F37DC"/>
    <w:rsid w:val="003F4CA9"/>
    <w:rsid w:val="003F567B"/>
    <w:rsid w:val="003F5E60"/>
    <w:rsid w:val="004010E7"/>
    <w:rsid w:val="00401403"/>
    <w:rsid w:val="004038FD"/>
    <w:rsid w:val="004042CC"/>
    <w:rsid w:val="004116CD"/>
    <w:rsid w:val="00412B83"/>
    <w:rsid w:val="00412E49"/>
    <w:rsid w:val="00416D94"/>
    <w:rsid w:val="00421D22"/>
    <w:rsid w:val="00424B21"/>
    <w:rsid w:val="00424CA9"/>
    <w:rsid w:val="00426B27"/>
    <w:rsid w:val="004359C0"/>
    <w:rsid w:val="0044291A"/>
    <w:rsid w:val="0044555B"/>
    <w:rsid w:val="00451310"/>
    <w:rsid w:val="004541B9"/>
    <w:rsid w:val="00457456"/>
    <w:rsid w:val="00460499"/>
    <w:rsid w:val="004660B3"/>
    <w:rsid w:val="00482232"/>
    <w:rsid w:val="0048364F"/>
    <w:rsid w:val="0049425E"/>
    <w:rsid w:val="00496F97"/>
    <w:rsid w:val="004A1383"/>
    <w:rsid w:val="004A2484"/>
    <w:rsid w:val="004A4552"/>
    <w:rsid w:val="004A68A2"/>
    <w:rsid w:val="004C6444"/>
    <w:rsid w:val="004C6DE1"/>
    <w:rsid w:val="004C6E01"/>
    <w:rsid w:val="004D044F"/>
    <w:rsid w:val="004E0D89"/>
    <w:rsid w:val="004E1A5B"/>
    <w:rsid w:val="004F1FAC"/>
    <w:rsid w:val="004F3A90"/>
    <w:rsid w:val="004F4AC5"/>
    <w:rsid w:val="004F676E"/>
    <w:rsid w:val="005003FC"/>
    <w:rsid w:val="005013CB"/>
    <w:rsid w:val="00502B00"/>
    <w:rsid w:val="00504C05"/>
    <w:rsid w:val="00505360"/>
    <w:rsid w:val="00514474"/>
    <w:rsid w:val="00516B8D"/>
    <w:rsid w:val="00524D83"/>
    <w:rsid w:val="00525137"/>
    <w:rsid w:val="0052565E"/>
    <w:rsid w:val="0053172B"/>
    <w:rsid w:val="00537FBC"/>
    <w:rsid w:val="00541D67"/>
    <w:rsid w:val="00543469"/>
    <w:rsid w:val="00545BCD"/>
    <w:rsid w:val="0055077C"/>
    <w:rsid w:val="00551584"/>
    <w:rsid w:val="00552E92"/>
    <w:rsid w:val="005570CF"/>
    <w:rsid w:val="0055764E"/>
    <w:rsid w:val="00557C7A"/>
    <w:rsid w:val="005731B1"/>
    <w:rsid w:val="00576433"/>
    <w:rsid w:val="005770E9"/>
    <w:rsid w:val="00584811"/>
    <w:rsid w:val="005851A5"/>
    <w:rsid w:val="0058646E"/>
    <w:rsid w:val="00590DF0"/>
    <w:rsid w:val="00591E07"/>
    <w:rsid w:val="00593AA6"/>
    <w:rsid w:val="00594161"/>
    <w:rsid w:val="00594749"/>
    <w:rsid w:val="005951D6"/>
    <w:rsid w:val="005A07C5"/>
    <w:rsid w:val="005A08C2"/>
    <w:rsid w:val="005A0E77"/>
    <w:rsid w:val="005A139E"/>
    <w:rsid w:val="005A2FDB"/>
    <w:rsid w:val="005A4B84"/>
    <w:rsid w:val="005A6E83"/>
    <w:rsid w:val="005B4067"/>
    <w:rsid w:val="005C0180"/>
    <w:rsid w:val="005C11CA"/>
    <w:rsid w:val="005C1287"/>
    <w:rsid w:val="005C12DE"/>
    <w:rsid w:val="005C3B4E"/>
    <w:rsid w:val="005C3F41"/>
    <w:rsid w:val="005D2C0F"/>
    <w:rsid w:val="005E552A"/>
    <w:rsid w:val="005F2016"/>
    <w:rsid w:val="00600219"/>
    <w:rsid w:val="00601CBA"/>
    <w:rsid w:val="00602174"/>
    <w:rsid w:val="00602EB6"/>
    <w:rsid w:val="00610873"/>
    <w:rsid w:val="00613C29"/>
    <w:rsid w:val="00614DFF"/>
    <w:rsid w:val="006235E1"/>
    <w:rsid w:val="00623896"/>
    <w:rsid w:val="006249E6"/>
    <w:rsid w:val="00630733"/>
    <w:rsid w:val="00630AC3"/>
    <w:rsid w:val="00637DB8"/>
    <w:rsid w:val="00642924"/>
    <w:rsid w:val="0064468A"/>
    <w:rsid w:val="006512B5"/>
    <w:rsid w:val="00654CCA"/>
    <w:rsid w:val="00656DE9"/>
    <w:rsid w:val="006579F3"/>
    <w:rsid w:val="00663BDD"/>
    <w:rsid w:val="006656F2"/>
    <w:rsid w:val="00666435"/>
    <w:rsid w:val="00670720"/>
    <w:rsid w:val="006715B3"/>
    <w:rsid w:val="006767AB"/>
    <w:rsid w:val="00677CC2"/>
    <w:rsid w:val="00680F17"/>
    <w:rsid w:val="00685F42"/>
    <w:rsid w:val="0069207B"/>
    <w:rsid w:val="006937E2"/>
    <w:rsid w:val="00695845"/>
    <w:rsid w:val="006977FB"/>
    <w:rsid w:val="006A205C"/>
    <w:rsid w:val="006A2154"/>
    <w:rsid w:val="006B262A"/>
    <w:rsid w:val="006B5E29"/>
    <w:rsid w:val="006C2C12"/>
    <w:rsid w:val="006C5141"/>
    <w:rsid w:val="006C5808"/>
    <w:rsid w:val="006C7E6B"/>
    <w:rsid w:val="006C7F8C"/>
    <w:rsid w:val="006D3667"/>
    <w:rsid w:val="006D43E1"/>
    <w:rsid w:val="006E004B"/>
    <w:rsid w:val="006E0638"/>
    <w:rsid w:val="006E1895"/>
    <w:rsid w:val="006E7147"/>
    <w:rsid w:val="006F7039"/>
    <w:rsid w:val="00700B2C"/>
    <w:rsid w:val="00701E6A"/>
    <w:rsid w:val="007116E8"/>
    <w:rsid w:val="00713084"/>
    <w:rsid w:val="0071349F"/>
    <w:rsid w:val="00714313"/>
    <w:rsid w:val="00722023"/>
    <w:rsid w:val="00722A2C"/>
    <w:rsid w:val="007231B8"/>
    <w:rsid w:val="00724B25"/>
    <w:rsid w:val="007264B4"/>
    <w:rsid w:val="007302AE"/>
    <w:rsid w:val="00731E00"/>
    <w:rsid w:val="00742B07"/>
    <w:rsid w:val="007440B7"/>
    <w:rsid w:val="007459E2"/>
    <w:rsid w:val="007503B0"/>
    <w:rsid w:val="007540AC"/>
    <w:rsid w:val="007562F4"/>
    <w:rsid w:val="007577DF"/>
    <w:rsid w:val="00757ADD"/>
    <w:rsid w:val="007634AD"/>
    <w:rsid w:val="007710BF"/>
    <w:rsid w:val="007715C9"/>
    <w:rsid w:val="0077217F"/>
    <w:rsid w:val="00772767"/>
    <w:rsid w:val="0077315B"/>
    <w:rsid w:val="00774969"/>
    <w:rsid w:val="00774EDD"/>
    <w:rsid w:val="007757EC"/>
    <w:rsid w:val="007769D4"/>
    <w:rsid w:val="007830BF"/>
    <w:rsid w:val="00785AFA"/>
    <w:rsid w:val="00786EA9"/>
    <w:rsid w:val="007903AC"/>
    <w:rsid w:val="00792EF5"/>
    <w:rsid w:val="007A7F9F"/>
    <w:rsid w:val="007B6963"/>
    <w:rsid w:val="007C4B74"/>
    <w:rsid w:val="007C551E"/>
    <w:rsid w:val="007C65E0"/>
    <w:rsid w:val="007D1AAB"/>
    <w:rsid w:val="007E4E16"/>
    <w:rsid w:val="007E5F63"/>
    <w:rsid w:val="007E71D9"/>
    <w:rsid w:val="007E7D4A"/>
    <w:rsid w:val="008006D8"/>
    <w:rsid w:val="00810CE0"/>
    <w:rsid w:val="00813DCF"/>
    <w:rsid w:val="00814473"/>
    <w:rsid w:val="00817372"/>
    <w:rsid w:val="00820C6B"/>
    <w:rsid w:val="0082325A"/>
    <w:rsid w:val="00826DA5"/>
    <w:rsid w:val="008313CB"/>
    <w:rsid w:val="00833416"/>
    <w:rsid w:val="008357FD"/>
    <w:rsid w:val="0084098F"/>
    <w:rsid w:val="00841C3D"/>
    <w:rsid w:val="00850439"/>
    <w:rsid w:val="00853287"/>
    <w:rsid w:val="0085692E"/>
    <w:rsid w:val="00856A31"/>
    <w:rsid w:val="00874B69"/>
    <w:rsid w:val="008754D0"/>
    <w:rsid w:val="00875A89"/>
    <w:rsid w:val="00876E79"/>
    <w:rsid w:val="00877D48"/>
    <w:rsid w:val="00887C25"/>
    <w:rsid w:val="008962DB"/>
    <w:rsid w:val="0089783B"/>
    <w:rsid w:val="008A7F2D"/>
    <w:rsid w:val="008B13C2"/>
    <w:rsid w:val="008B244E"/>
    <w:rsid w:val="008B70C2"/>
    <w:rsid w:val="008B7AAF"/>
    <w:rsid w:val="008C2647"/>
    <w:rsid w:val="008D0EE0"/>
    <w:rsid w:val="008F07E3"/>
    <w:rsid w:val="008F4BD4"/>
    <w:rsid w:val="008F4F1C"/>
    <w:rsid w:val="008F5850"/>
    <w:rsid w:val="00900584"/>
    <w:rsid w:val="00907271"/>
    <w:rsid w:val="00912B91"/>
    <w:rsid w:val="00913620"/>
    <w:rsid w:val="00930BE6"/>
    <w:rsid w:val="00932377"/>
    <w:rsid w:val="00947981"/>
    <w:rsid w:val="00954A72"/>
    <w:rsid w:val="00960D6C"/>
    <w:rsid w:val="0097798B"/>
    <w:rsid w:val="00983AB7"/>
    <w:rsid w:val="00987641"/>
    <w:rsid w:val="009A0BFE"/>
    <w:rsid w:val="009A6BEC"/>
    <w:rsid w:val="009B279E"/>
    <w:rsid w:val="009B3629"/>
    <w:rsid w:val="009B3DF1"/>
    <w:rsid w:val="009B4C43"/>
    <w:rsid w:val="009B5469"/>
    <w:rsid w:val="009B7709"/>
    <w:rsid w:val="009C42AF"/>
    <w:rsid w:val="009C49D8"/>
    <w:rsid w:val="009D2AA1"/>
    <w:rsid w:val="009D7C71"/>
    <w:rsid w:val="009E3601"/>
    <w:rsid w:val="009F727E"/>
    <w:rsid w:val="00A06D03"/>
    <w:rsid w:val="00A10A15"/>
    <w:rsid w:val="00A179C7"/>
    <w:rsid w:val="00A17D2F"/>
    <w:rsid w:val="00A2057D"/>
    <w:rsid w:val="00A21AAB"/>
    <w:rsid w:val="00A22693"/>
    <w:rsid w:val="00A231E2"/>
    <w:rsid w:val="00A2550D"/>
    <w:rsid w:val="00A257E1"/>
    <w:rsid w:val="00A26DBE"/>
    <w:rsid w:val="00A313EB"/>
    <w:rsid w:val="00A326A4"/>
    <w:rsid w:val="00A32F36"/>
    <w:rsid w:val="00A4169B"/>
    <w:rsid w:val="00A41CC5"/>
    <w:rsid w:val="00A4361F"/>
    <w:rsid w:val="00A43AC8"/>
    <w:rsid w:val="00A447E5"/>
    <w:rsid w:val="00A450B1"/>
    <w:rsid w:val="00A4702E"/>
    <w:rsid w:val="00A531FB"/>
    <w:rsid w:val="00A57845"/>
    <w:rsid w:val="00A64912"/>
    <w:rsid w:val="00A70A74"/>
    <w:rsid w:val="00A80473"/>
    <w:rsid w:val="00A859A8"/>
    <w:rsid w:val="00A87AB9"/>
    <w:rsid w:val="00A91CE9"/>
    <w:rsid w:val="00A9581B"/>
    <w:rsid w:val="00A9732D"/>
    <w:rsid w:val="00A97339"/>
    <w:rsid w:val="00AA6F5C"/>
    <w:rsid w:val="00AB2BB2"/>
    <w:rsid w:val="00AB3315"/>
    <w:rsid w:val="00AB795C"/>
    <w:rsid w:val="00AC3583"/>
    <w:rsid w:val="00AD015A"/>
    <w:rsid w:val="00AD1118"/>
    <w:rsid w:val="00AD5641"/>
    <w:rsid w:val="00AD5942"/>
    <w:rsid w:val="00AD78D2"/>
    <w:rsid w:val="00AE1D8E"/>
    <w:rsid w:val="00AE5A55"/>
    <w:rsid w:val="00AE7C10"/>
    <w:rsid w:val="00AF0336"/>
    <w:rsid w:val="00AF3029"/>
    <w:rsid w:val="00AF6613"/>
    <w:rsid w:val="00B01AAE"/>
    <w:rsid w:val="00B02303"/>
    <w:rsid w:val="00B032D8"/>
    <w:rsid w:val="00B11861"/>
    <w:rsid w:val="00B1636B"/>
    <w:rsid w:val="00B216BB"/>
    <w:rsid w:val="00B21BB2"/>
    <w:rsid w:val="00B21EF1"/>
    <w:rsid w:val="00B25651"/>
    <w:rsid w:val="00B332B8"/>
    <w:rsid w:val="00B33B3C"/>
    <w:rsid w:val="00B34147"/>
    <w:rsid w:val="00B366D4"/>
    <w:rsid w:val="00B36B7E"/>
    <w:rsid w:val="00B40967"/>
    <w:rsid w:val="00B447FB"/>
    <w:rsid w:val="00B6155C"/>
    <w:rsid w:val="00B61D2C"/>
    <w:rsid w:val="00B62554"/>
    <w:rsid w:val="00B63BDE"/>
    <w:rsid w:val="00B646FF"/>
    <w:rsid w:val="00B774CB"/>
    <w:rsid w:val="00B77E57"/>
    <w:rsid w:val="00B8239D"/>
    <w:rsid w:val="00B83877"/>
    <w:rsid w:val="00B93C85"/>
    <w:rsid w:val="00BA263D"/>
    <w:rsid w:val="00BA5026"/>
    <w:rsid w:val="00BA72D4"/>
    <w:rsid w:val="00BB0E83"/>
    <w:rsid w:val="00BB6E79"/>
    <w:rsid w:val="00BC3ED2"/>
    <w:rsid w:val="00BC4F91"/>
    <w:rsid w:val="00BC5BDC"/>
    <w:rsid w:val="00BC70A1"/>
    <w:rsid w:val="00BD5DDA"/>
    <w:rsid w:val="00BD60E6"/>
    <w:rsid w:val="00BD7274"/>
    <w:rsid w:val="00BE02DC"/>
    <w:rsid w:val="00BE253A"/>
    <w:rsid w:val="00BE4618"/>
    <w:rsid w:val="00BE46E2"/>
    <w:rsid w:val="00BE46F4"/>
    <w:rsid w:val="00BE6F57"/>
    <w:rsid w:val="00BE719A"/>
    <w:rsid w:val="00BE720A"/>
    <w:rsid w:val="00BF1B8F"/>
    <w:rsid w:val="00BF29B4"/>
    <w:rsid w:val="00BF2A0A"/>
    <w:rsid w:val="00BF4533"/>
    <w:rsid w:val="00BF74EB"/>
    <w:rsid w:val="00C01BAB"/>
    <w:rsid w:val="00C04258"/>
    <w:rsid w:val="00C04943"/>
    <w:rsid w:val="00C067E5"/>
    <w:rsid w:val="00C106A7"/>
    <w:rsid w:val="00C13352"/>
    <w:rsid w:val="00C15C16"/>
    <w:rsid w:val="00C15C25"/>
    <w:rsid w:val="00C164CA"/>
    <w:rsid w:val="00C2157F"/>
    <w:rsid w:val="00C21B63"/>
    <w:rsid w:val="00C2568F"/>
    <w:rsid w:val="00C27050"/>
    <w:rsid w:val="00C30CC2"/>
    <w:rsid w:val="00C32C89"/>
    <w:rsid w:val="00C34090"/>
    <w:rsid w:val="00C42BF8"/>
    <w:rsid w:val="00C460AE"/>
    <w:rsid w:val="00C50043"/>
    <w:rsid w:val="00C50A31"/>
    <w:rsid w:val="00C7573B"/>
    <w:rsid w:val="00C758D6"/>
    <w:rsid w:val="00C76CF3"/>
    <w:rsid w:val="00C812D9"/>
    <w:rsid w:val="00C82527"/>
    <w:rsid w:val="00C91B46"/>
    <w:rsid w:val="00C93F05"/>
    <w:rsid w:val="00CA39B0"/>
    <w:rsid w:val="00CA41ED"/>
    <w:rsid w:val="00CB0180"/>
    <w:rsid w:val="00CB36B2"/>
    <w:rsid w:val="00CB63C7"/>
    <w:rsid w:val="00CC11F1"/>
    <w:rsid w:val="00CC38F2"/>
    <w:rsid w:val="00CD010D"/>
    <w:rsid w:val="00CD59EC"/>
    <w:rsid w:val="00CD5E20"/>
    <w:rsid w:val="00CD606E"/>
    <w:rsid w:val="00CD65CD"/>
    <w:rsid w:val="00CD7ECB"/>
    <w:rsid w:val="00CF0BB2"/>
    <w:rsid w:val="00CF4321"/>
    <w:rsid w:val="00CF478D"/>
    <w:rsid w:val="00D0104A"/>
    <w:rsid w:val="00D04381"/>
    <w:rsid w:val="00D05280"/>
    <w:rsid w:val="00D106EA"/>
    <w:rsid w:val="00D13441"/>
    <w:rsid w:val="00D17B17"/>
    <w:rsid w:val="00D243A3"/>
    <w:rsid w:val="00D333D9"/>
    <w:rsid w:val="00D33440"/>
    <w:rsid w:val="00D40403"/>
    <w:rsid w:val="00D420DE"/>
    <w:rsid w:val="00D46E5A"/>
    <w:rsid w:val="00D52EFE"/>
    <w:rsid w:val="00D55E8D"/>
    <w:rsid w:val="00D63EF6"/>
    <w:rsid w:val="00D649F2"/>
    <w:rsid w:val="00D70DFB"/>
    <w:rsid w:val="00D752DB"/>
    <w:rsid w:val="00D766DF"/>
    <w:rsid w:val="00D8364C"/>
    <w:rsid w:val="00D83D21"/>
    <w:rsid w:val="00D84B58"/>
    <w:rsid w:val="00D925D1"/>
    <w:rsid w:val="00D94330"/>
    <w:rsid w:val="00D947C5"/>
    <w:rsid w:val="00D95ECD"/>
    <w:rsid w:val="00DA11A0"/>
    <w:rsid w:val="00DA395D"/>
    <w:rsid w:val="00DA7EED"/>
    <w:rsid w:val="00DB0B68"/>
    <w:rsid w:val="00DB6882"/>
    <w:rsid w:val="00DC4C5D"/>
    <w:rsid w:val="00DC5FE8"/>
    <w:rsid w:val="00DC6AE6"/>
    <w:rsid w:val="00DD0D68"/>
    <w:rsid w:val="00DD18E8"/>
    <w:rsid w:val="00DD5FFE"/>
    <w:rsid w:val="00DE065C"/>
    <w:rsid w:val="00E01CC9"/>
    <w:rsid w:val="00E05704"/>
    <w:rsid w:val="00E05C46"/>
    <w:rsid w:val="00E105FE"/>
    <w:rsid w:val="00E22D8E"/>
    <w:rsid w:val="00E268A9"/>
    <w:rsid w:val="00E30148"/>
    <w:rsid w:val="00E30206"/>
    <w:rsid w:val="00E33C1C"/>
    <w:rsid w:val="00E35B96"/>
    <w:rsid w:val="00E36104"/>
    <w:rsid w:val="00E379F4"/>
    <w:rsid w:val="00E443FC"/>
    <w:rsid w:val="00E45926"/>
    <w:rsid w:val="00E476B8"/>
    <w:rsid w:val="00E54292"/>
    <w:rsid w:val="00E55A59"/>
    <w:rsid w:val="00E56153"/>
    <w:rsid w:val="00E565EB"/>
    <w:rsid w:val="00E571EF"/>
    <w:rsid w:val="00E6078C"/>
    <w:rsid w:val="00E60994"/>
    <w:rsid w:val="00E61E39"/>
    <w:rsid w:val="00E62C3B"/>
    <w:rsid w:val="00E6350A"/>
    <w:rsid w:val="00E71F8B"/>
    <w:rsid w:val="00E72954"/>
    <w:rsid w:val="00E730A2"/>
    <w:rsid w:val="00E73EC4"/>
    <w:rsid w:val="00E74DC7"/>
    <w:rsid w:val="00E80BF5"/>
    <w:rsid w:val="00E84B32"/>
    <w:rsid w:val="00E86173"/>
    <w:rsid w:val="00E87699"/>
    <w:rsid w:val="00E92496"/>
    <w:rsid w:val="00EA4F7D"/>
    <w:rsid w:val="00EA5616"/>
    <w:rsid w:val="00EA6A9B"/>
    <w:rsid w:val="00EB3971"/>
    <w:rsid w:val="00EB41E6"/>
    <w:rsid w:val="00EB57B6"/>
    <w:rsid w:val="00EC08BD"/>
    <w:rsid w:val="00EC20E9"/>
    <w:rsid w:val="00EC43EA"/>
    <w:rsid w:val="00EC5893"/>
    <w:rsid w:val="00ED3A7D"/>
    <w:rsid w:val="00ED4426"/>
    <w:rsid w:val="00ED6B29"/>
    <w:rsid w:val="00EE089D"/>
    <w:rsid w:val="00EF2E3A"/>
    <w:rsid w:val="00F0128D"/>
    <w:rsid w:val="00F02F39"/>
    <w:rsid w:val="00F047E2"/>
    <w:rsid w:val="00F0765E"/>
    <w:rsid w:val="00F078DC"/>
    <w:rsid w:val="00F124B6"/>
    <w:rsid w:val="00F130D7"/>
    <w:rsid w:val="00F134D1"/>
    <w:rsid w:val="00F13E86"/>
    <w:rsid w:val="00F15F68"/>
    <w:rsid w:val="00F161C1"/>
    <w:rsid w:val="00F24C35"/>
    <w:rsid w:val="00F25D76"/>
    <w:rsid w:val="00F31DCF"/>
    <w:rsid w:val="00F33EDF"/>
    <w:rsid w:val="00F34D24"/>
    <w:rsid w:val="00F468FF"/>
    <w:rsid w:val="00F560A4"/>
    <w:rsid w:val="00F56759"/>
    <w:rsid w:val="00F677A9"/>
    <w:rsid w:val="00F7479D"/>
    <w:rsid w:val="00F75DE0"/>
    <w:rsid w:val="00F81A9F"/>
    <w:rsid w:val="00F84CF5"/>
    <w:rsid w:val="00F97B2F"/>
    <w:rsid w:val="00FA420B"/>
    <w:rsid w:val="00FB03B3"/>
    <w:rsid w:val="00FB192E"/>
    <w:rsid w:val="00FB2729"/>
    <w:rsid w:val="00FB2D8E"/>
    <w:rsid w:val="00FB58D3"/>
    <w:rsid w:val="00FC67D2"/>
    <w:rsid w:val="00FC7421"/>
    <w:rsid w:val="00FC76FB"/>
    <w:rsid w:val="00FD2922"/>
    <w:rsid w:val="00FD4FAE"/>
    <w:rsid w:val="00FD7CFE"/>
    <w:rsid w:val="00FE4B48"/>
    <w:rsid w:val="00FF27F2"/>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581B"/>
    <w:pPr>
      <w:spacing w:line="260" w:lineRule="atLeast"/>
    </w:pPr>
    <w:rPr>
      <w:sz w:val="22"/>
    </w:rPr>
  </w:style>
  <w:style w:type="paragraph" w:styleId="Heading3">
    <w:name w:val="heading 3"/>
    <w:basedOn w:val="Normal"/>
    <w:next w:val="Normal"/>
    <w:link w:val="Heading3Char"/>
    <w:qFormat/>
    <w:rsid w:val="00F97B2F"/>
    <w:pPr>
      <w:keepNext/>
      <w:keepLines/>
      <w:spacing w:before="200" w:line="280" w:lineRule="atLeast"/>
      <w:outlineLvl w:val="2"/>
    </w:pPr>
    <w:rPr>
      <w:rFonts w:ascii="Arial" w:eastAsia="Times New Roman" w:hAnsi="Arial" w:cs="Arial"/>
      <w:b/>
      <w:bCs/>
      <w:i/>
      <w:sz w:val="20"/>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97B2F"/>
    <w:rPr>
      <w:rFonts w:ascii="Arial" w:eastAsia="Times New Roman" w:hAnsi="Arial" w:cs="Arial"/>
      <w:b/>
      <w:bCs/>
      <w:i/>
      <w:szCs w:val="26"/>
      <w:lang w:eastAsia="en-AU"/>
    </w:rPr>
  </w:style>
  <w:style w:type="character" w:customStyle="1" w:styleId="OPCCharBase">
    <w:name w:val="OPCCharBase"/>
    <w:uiPriority w:val="1"/>
    <w:qFormat/>
    <w:rsid w:val="00A9581B"/>
  </w:style>
  <w:style w:type="paragraph" w:customStyle="1" w:styleId="OPCParaBase">
    <w:name w:val="OPCParaBase"/>
    <w:qFormat/>
    <w:rsid w:val="00A9581B"/>
    <w:pPr>
      <w:spacing w:line="260" w:lineRule="atLeast"/>
    </w:pPr>
    <w:rPr>
      <w:rFonts w:eastAsia="Times New Roman" w:cs="Times New Roman"/>
      <w:sz w:val="22"/>
      <w:lang w:eastAsia="en-AU"/>
    </w:rPr>
  </w:style>
  <w:style w:type="paragraph" w:customStyle="1" w:styleId="ShortT">
    <w:name w:val="ShortT"/>
    <w:basedOn w:val="OPCParaBase"/>
    <w:next w:val="Normal"/>
    <w:qFormat/>
    <w:rsid w:val="00A9581B"/>
    <w:pPr>
      <w:spacing w:line="240" w:lineRule="auto"/>
    </w:pPr>
    <w:rPr>
      <w:b/>
      <w:sz w:val="40"/>
    </w:rPr>
  </w:style>
  <w:style w:type="paragraph" w:customStyle="1" w:styleId="ActHead1">
    <w:name w:val="ActHead 1"/>
    <w:aliases w:val="c"/>
    <w:basedOn w:val="OPCParaBase"/>
    <w:next w:val="Normal"/>
    <w:qFormat/>
    <w:rsid w:val="00A9581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9581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9581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9581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9581B"/>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rsid w:val="00A9581B"/>
    <w:pPr>
      <w:tabs>
        <w:tab w:val="right" w:pos="1021"/>
      </w:tabs>
      <w:spacing w:before="180" w:line="240" w:lineRule="auto"/>
      <w:ind w:left="1134" w:hanging="1134"/>
    </w:pPr>
  </w:style>
  <w:style w:type="paragraph" w:customStyle="1" w:styleId="ActHead6">
    <w:name w:val="ActHead 6"/>
    <w:aliases w:val="as"/>
    <w:basedOn w:val="OPCParaBase"/>
    <w:next w:val="ActHead7"/>
    <w:qFormat/>
    <w:rsid w:val="00A9581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9581B"/>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A9581B"/>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A9581B"/>
    <w:pPr>
      <w:keepLines/>
      <w:spacing w:before="80" w:line="240" w:lineRule="auto"/>
      <w:ind w:left="709"/>
    </w:pPr>
  </w:style>
  <w:style w:type="paragraph" w:customStyle="1" w:styleId="ActHead8">
    <w:name w:val="ActHead 8"/>
    <w:aliases w:val="ad"/>
    <w:basedOn w:val="OPCParaBase"/>
    <w:next w:val="ItemHead"/>
    <w:qFormat/>
    <w:rsid w:val="00A9581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9581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9581B"/>
  </w:style>
  <w:style w:type="paragraph" w:customStyle="1" w:styleId="Blocks">
    <w:name w:val="Blocks"/>
    <w:aliases w:val="bb"/>
    <w:basedOn w:val="OPCParaBase"/>
    <w:qFormat/>
    <w:rsid w:val="00A9581B"/>
    <w:pPr>
      <w:spacing w:line="240" w:lineRule="auto"/>
    </w:pPr>
    <w:rPr>
      <w:sz w:val="24"/>
    </w:rPr>
  </w:style>
  <w:style w:type="paragraph" w:customStyle="1" w:styleId="BoxText">
    <w:name w:val="BoxText"/>
    <w:aliases w:val="bt"/>
    <w:basedOn w:val="OPCParaBase"/>
    <w:qFormat/>
    <w:rsid w:val="00A9581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9581B"/>
    <w:rPr>
      <w:b/>
    </w:rPr>
  </w:style>
  <w:style w:type="paragraph" w:customStyle="1" w:styleId="BoxHeadItalic">
    <w:name w:val="BoxHeadItalic"/>
    <w:aliases w:val="bhi"/>
    <w:basedOn w:val="BoxText"/>
    <w:next w:val="BoxStep"/>
    <w:qFormat/>
    <w:rsid w:val="00A9581B"/>
    <w:rPr>
      <w:i/>
    </w:rPr>
  </w:style>
  <w:style w:type="paragraph" w:customStyle="1" w:styleId="BoxStep">
    <w:name w:val="BoxStep"/>
    <w:aliases w:val="bs"/>
    <w:basedOn w:val="BoxText"/>
    <w:qFormat/>
    <w:rsid w:val="00A9581B"/>
    <w:pPr>
      <w:ind w:left="1985" w:hanging="851"/>
    </w:pPr>
  </w:style>
  <w:style w:type="paragraph" w:customStyle="1" w:styleId="BoxList">
    <w:name w:val="BoxList"/>
    <w:aliases w:val="bl"/>
    <w:basedOn w:val="BoxText"/>
    <w:qFormat/>
    <w:rsid w:val="00A9581B"/>
    <w:pPr>
      <w:ind w:left="1559" w:hanging="425"/>
    </w:pPr>
  </w:style>
  <w:style w:type="paragraph" w:customStyle="1" w:styleId="BoxNote">
    <w:name w:val="BoxNote"/>
    <w:aliases w:val="bn"/>
    <w:basedOn w:val="BoxText"/>
    <w:qFormat/>
    <w:rsid w:val="00A9581B"/>
    <w:pPr>
      <w:tabs>
        <w:tab w:val="left" w:pos="1985"/>
      </w:tabs>
      <w:spacing w:before="122" w:line="198" w:lineRule="exact"/>
      <w:ind w:left="2948" w:hanging="1814"/>
    </w:pPr>
    <w:rPr>
      <w:sz w:val="18"/>
    </w:rPr>
  </w:style>
  <w:style w:type="paragraph" w:customStyle="1" w:styleId="BoxPara">
    <w:name w:val="BoxPara"/>
    <w:aliases w:val="bp"/>
    <w:basedOn w:val="BoxText"/>
    <w:qFormat/>
    <w:rsid w:val="00A9581B"/>
    <w:pPr>
      <w:tabs>
        <w:tab w:val="right" w:pos="2268"/>
      </w:tabs>
      <w:ind w:left="2552" w:hanging="1418"/>
    </w:pPr>
  </w:style>
  <w:style w:type="character" w:customStyle="1" w:styleId="CharAmPartNo">
    <w:name w:val="CharAmPartNo"/>
    <w:basedOn w:val="OPCCharBase"/>
    <w:qFormat/>
    <w:rsid w:val="00A9581B"/>
  </w:style>
  <w:style w:type="character" w:customStyle="1" w:styleId="CharAmPartText">
    <w:name w:val="CharAmPartText"/>
    <w:basedOn w:val="OPCCharBase"/>
    <w:qFormat/>
    <w:rsid w:val="00A9581B"/>
  </w:style>
  <w:style w:type="character" w:customStyle="1" w:styleId="CharAmSchNo">
    <w:name w:val="CharAmSchNo"/>
    <w:basedOn w:val="OPCCharBase"/>
    <w:qFormat/>
    <w:rsid w:val="00A9581B"/>
  </w:style>
  <w:style w:type="character" w:customStyle="1" w:styleId="CharAmSchText">
    <w:name w:val="CharAmSchText"/>
    <w:basedOn w:val="OPCCharBase"/>
    <w:qFormat/>
    <w:rsid w:val="00A9581B"/>
  </w:style>
  <w:style w:type="character" w:customStyle="1" w:styleId="CharBoldItalic">
    <w:name w:val="CharBoldItalic"/>
    <w:basedOn w:val="OPCCharBase"/>
    <w:uiPriority w:val="1"/>
    <w:qFormat/>
    <w:rsid w:val="00A9581B"/>
    <w:rPr>
      <w:b/>
      <w:i/>
    </w:rPr>
  </w:style>
  <w:style w:type="character" w:customStyle="1" w:styleId="CharChapNo">
    <w:name w:val="CharChapNo"/>
    <w:basedOn w:val="OPCCharBase"/>
    <w:uiPriority w:val="1"/>
    <w:qFormat/>
    <w:rsid w:val="00A9581B"/>
  </w:style>
  <w:style w:type="character" w:customStyle="1" w:styleId="CharChapText">
    <w:name w:val="CharChapText"/>
    <w:basedOn w:val="OPCCharBase"/>
    <w:uiPriority w:val="1"/>
    <w:qFormat/>
    <w:rsid w:val="00A9581B"/>
  </w:style>
  <w:style w:type="character" w:customStyle="1" w:styleId="CharDivNo">
    <w:name w:val="CharDivNo"/>
    <w:basedOn w:val="OPCCharBase"/>
    <w:uiPriority w:val="1"/>
    <w:qFormat/>
    <w:rsid w:val="00A9581B"/>
  </w:style>
  <w:style w:type="character" w:customStyle="1" w:styleId="CharDivText">
    <w:name w:val="CharDivText"/>
    <w:basedOn w:val="OPCCharBase"/>
    <w:uiPriority w:val="1"/>
    <w:qFormat/>
    <w:rsid w:val="00A9581B"/>
  </w:style>
  <w:style w:type="character" w:customStyle="1" w:styleId="CharItalic">
    <w:name w:val="CharItalic"/>
    <w:basedOn w:val="OPCCharBase"/>
    <w:uiPriority w:val="1"/>
    <w:qFormat/>
    <w:rsid w:val="00A9581B"/>
    <w:rPr>
      <w:i/>
    </w:rPr>
  </w:style>
  <w:style w:type="character" w:customStyle="1" w:styleId="CharPartNo">
    <w:name w:val="CharPartNo"/>
    <w:basedOn w:val="OPCCharBase"/>
    <w:uiPriority w:val="1"/>
    <w:qFormat/>
    <w:rsid w:val="00A9581B"/>
  </w:style>
  <w:style w:type="character" w:customStyle="1" w:styleId="CharPartText">
    <w:name w:val="CharPartText"/>
    <w:basedOn w:val="OPCCharBase"/>
    <w:uiPriority w:val="1"/>
    <w:qFormat/>
    <w:rsid w:val="00A9581B"/>
  </w:style>
  <w:style w:type="character" w:customStyle="1" w:styleId="CharSectno">
    <w:name w:val="CharSectno"/>
    <w:basedOn w:val="OPCCharBase"/>
    <w:qFormat/>
    <w:rsid w:val="00A9581B"/>
  </w:style>
  <w:style w:type="character" w:customStyle="1" w:styleId="CharSubdNo">
    <w:name w:val="CharSubdNo"/>
    <w:basedOn w:val="OPCCharBase"/>
    <w:uiPriority w:val="1"/>
    <w:qFormat/>
    <w:rsid w:val="00A9581B"/>
  </w:style>
  <w:style w:type="character" w:customStyle="1" w:styleId="CharSubdText">
    <w:name w:val="CharSubdText"/>
    <w:basedOn w:val="OPCCharBase"/>
    <w:uiPriority w:val="1"/>
    <w:qFormat/>
    <w:rsid w:val="00A9581B"/>
  </w:style>
  <w:style w:type="paragraph" w:customStyle="1" w:styleId="CTA--">
    <w:name w:val="CTA --"/>
    <w:basedOn w:val="OPCParaBase"/>
    <w:next w:val="Normal"/>
    <w:rsid w:val="00A9581B"/>
    <w:pPr>
      <w:spacing w:before="60" w:line="240" w:lineRule="atLeast"/>
      <w:ind w:left="142" w:hanging="142"/>
    </w:pPr>
    <w:rPr>
      <w:sz w:val="20"/>
    </w:rPr>
  </w:style>
  <w:style w:type="paragraph" w:customStyle="1" w:styleId="CTA-">
    <w:name w:val="CTA -"/>
    <w:basedOn w:val="OPCParaBase"/>
    <w:rsid w:val="00A9581B"/>
    <w:pPr>
      <w:spacing w:before="60" w:line="240" w:lineRule="atLeast"/>
      <w:ind w:left="85" w:hanging="85"/>
    </w:pPr>
    <w:rPr>
      <w:sz w:val="20"/>
    </w:rPr>
  </w:style>
  <w:style w:type="paragraph" w:customStyle="1" w:styleId="CTA---">
    <w:name w:val="CTA ---"/>
    <w:basedOn w:val="OPCParaBase"/>
    <w:next w:val="Normal"/>
    <w:rsid w:val="00A9581B"/>
    <w:pPr>
      <w:spacing w:before="60" w:line="240" w:lineRule="atLeast"/>
      <w:ind w:left="198" w:hanging="198"/>
    </w:pPr>
    <w:rPr>
      <w:sz w:val="20"/>
    </w:rPr>
  </w:style>
  <w:style w:type="paragraph" w:customStyle="1" w:styleId="CTA----">
    <w:name w:val="CTA ----"/>
    <w:basedOn w:val="OPCParaBase"/>
    <w:next w:val="Normal"/>
    <w:rsid w:val="00A9581B"/>
    <w:pPr>
      <w:spacing w:before="60" w:line="240" w:lineRule="atLeast"/>
      <w:ind w:left="255" w:hanging="255"/>
    </w:pPr>
    <w:rPr>
      <w:sz w:val="20"/>
    </w:rPr>
  </w:style>
  <w:style w:type="paragraph" w:customStyle="1" w:styleId="CTA1a">
    <w:name w:val="CTA 1(a)"/>
    <w:basedOn w:val="OPCParaBase"/>
    <w:rsid w:val="00A9581B"/>
    <w:pPr>
      <w:tabs>
        <w:tab w:val="right" w:pos="414"/>
      </w:tabs>
      <w:spacing w:before="40" w:line="240" w:lineRule="atLeast"/>
      <w:ind w:left="675" w:hanging="675"/>
    </w:pPr>
    <w:rPr>
      <w:sz w:val="20"/>
    </w:rPr>
  </w:style>
  <w:style w:type="paragraph" w:customStyle="1" w:styleId="CTA1ai">
    <w:name w:val="CTA 1(a)(i)"/>
    <w:basedOn w:val="OPCParaBase"/>
    <w:rsid w:val="00A9581B"/>
    <w:pPr>
      <w:tabs>
        <w:tab w:val="right" w:pos="1004"/>
      </w:tabs>
      <w:spacing w:before="40" w:line="240" w:lineRule="atLeast"/>
      <w:ind w:left="1253" w:hanging="1253"/>
    </w:pPr>
    <w:rPr>
      <w:sz w:val="20"/>
    </w:rPr>
  </w:style>
  <w:style w:type="paragraph" w:customStyle="1" w:styleId="CTA2a">
    <w:name w:val="CTA 2(a)"/>
    <w:basedOn w:val="OPCParaBase"/>
    <w:rsid w:val="00A9581B"/>
    <w:pPr>
      <w:tabs>
        <w:tab w:val="right" w:pos="482"/>
      </w:tabs>
      <w:spacing w:before="40" w:line="240" w:lineRule="atLeast"/>
      <w:ind w:left="748" w:hanging="748"/>
    </w:pPr>
    <w:rPr>
      <w:sz w:val="20"/>
    </w:rPr>
  </w:style>
  <w:style w:type="paragraph" w:customStyle="1" w:styleId="CTA2ai">
    <w:name w:val="CTA 2(a)(i)"/>
    <w:basedOn w:val="OPCParaBase"/>
    <w:rsid w:val="00A9581B"/>
    <w:pPr>
      <w:tabs>
        <w:tab w:val="right" w:pos="1089"/>
      </w:tabs>
      <w:spacing w:before="40" w:line="240" w:lineRule="atLeast"/>
      <w:ind w:left="1327" w:hanging="1327"/>
    </w:pPr>
    <w:rPr>
      <w:sz w:val="20"/>
    </w:rPr>
  </w:style>
  <w:style w:type="paragraph" w:customStyle="1" w:styleId="CTA3a">
    <w:name w:val="CTA 3(a)"/>
    <w:basedOn w:val="OPCParaBase"/>
    <w:rsid w:val="00A9581B"/>
    <w:pPr>
      <w:tabs>
        <w:tab w:val="right" w:pos="556"/>
      </w:tabs>
      <w:spacing w:before="40" w:line="240" w:lineRule="atLeast"/>
      <w:ind w:left="805" w:hanging="805"/>
    </w:pPr>
    <w:rPr>
      <w:sz w:val="20"/>
    </w:rPr>
  </w:style>
  <w:style w:type="paragraph" w:customStyle="1" w:styleId="CTA3ai">
    <w:name w:val="CTA 3(a)(i)"/>
    <w:basedOn w:val="OPCParaBase"/>
    <w:rsid w:val="00A9581B"/>
    <w:pPr>
      <w:tabs>
        <w:tab w:val="right" w:pos="1140"/>
      </w:tabs>
      <w:spacing w:before="40" w:line="240" w:lineRule="atLeast"/>
      <w:ind w:left="1361" w:hanging="1361"/>
    </w:pPr>
    <w:rPr>
      <w:sz w:val="20"/>
    </w:rPr>
  </w:style>
  <w:style w:type="paragraph" w:customStyle="1" w:styleId="CTA4a">
    <w:name w:val="CTA 4(a)"/>
    <w:basedOn w:val="OPCParaBase"/>
    <w:rsid w:val="00A9581B"/>
    <w:pPr>
      <w:tabs>
        <w:tab w:val="right" w:pos="624"/>
      </w:tabs>
      <w:spacing w:before="40" w:line="240" w:lineRule="atLeast"/>
      <w:ind w:left="873" w:hanging="873"/>
    </w:pPr>
    <w:rPr>
      <w:sz w:val="20"/>
    </w:rPr>
  </w:style>
  <w:style w:type="paragraph" w:customStyle="1" w:styleId="CTA4ai">
    <w:name w:val="CTA 4(a)(i)"/>
    <w:basedOn w:val="OPCParaBase"/>
    <w:rsid w:val="00A9581B"/>
    <w:pPr>
      <w:tabs>
        <w:tab w:val="right" w:pos="1213"/>
      </w:tabs>
      <w:spacing w:before="40" w:line="240" w:lineRule="atLeast"/>
      <w:ind w:left="1452" w:hanging="1452"/>
    </w:pPr>
    <w:rPr>
      <w:sz w:val="20"/>
    </w:rPr>
  </w:style>
  <w:style w:type="paragraph" w:customStyle="1" w:styleId="CTACAPS">
    <w:name w:val="CTA CAPS"/>
    <w:basedOn w:val="OPCParaBase"/>
    <w:rsid w:val="00A9581B"/>
    <w:pPr>
      <w:spacing w:before="60" w:line="240" w:lineRule="atLeast"/>
    </w:pPr>
    <w:rPr>
      <w:sz w:val="20"/>
    </w:rPr>
  </w:style>
  <w:style w:type="paragraph" w:customStyle="1" w:styleId="CTAright">
    <w:name w:val="CTA right"/>
    <w:basedOn w:val="OPCParaBase"/>
    <w:rsid w:val="00A9581B"/>
    <w:pPr>
      <w:spacing w:before="60" w:line="240" w:lineRule="auto"/>
      <w:jc w:val="right"/>
    </w:pPr>
    <w:rPr>
      <w:sz w:val="20"/>
    </w:rPr>
  </w:style>
  <w:style w:type="paragraph" w:customStyle="1" w:styleId="Definition">
    <w:name w:val="Definition"/>
    <w:aliases w:val="dd"/>
    <w:basedOn w:val="OPCParaBase"/>
    <w:rsid w:val="00A9581B"/>
    <w:pPr>
      <w:spacing w:before="180" w:line="240" w:lineRule="auto"/>
      <w:ind w:left="1134"/>
    </w:pPr>
  </w:style>
  <w:style w:type="paragraph" w:customStyle="1" w:styleId="ETAsubitem">
    <w:name w:val="ETA(subitem)"/>
    <w:basedOn w:val="OPCParaBase"/>
    <w:rsid w:val="00A9581B"/>
    <w:pPr>
      <w:tabs>
        <w:tab w:val="right" w:pos="340"/>
      </w:tabs>
      <w:spacing w:before="60" w:line="240" w:lineRule="auto"/>
      <w:ind w:left="454" w:hanging="454"/>
    </w:pPr>
    <w:rPr>
      <w:sz w:val="20"/>
    </w:rPr>
  </w:style>
  <w:style w:type="paragraph" w:customStyle="1" w:styleId="ETApara">
    <w:name w:val="ETA(para)"/>
    <w:basedOn w:val="OPCParaBase"/>
    <w:rsid w:val="00A9581B"/>
    <w:pPr>
      <w:tabs>
        <w:tab w:val="right" w:pos="754"/>
      </w:tabs>
      <w:spacing w:before="60" w:line="240" w:lineRule="auto"/>
      <w:ind w:left="828" w:hanging="828"/>
    </w:pPr>
    <w:rPr>
      <w:sz w:val="20"/>
    </w:rPr>
  </w:style>
  <w:style w:type="paragraph" w:customStyle="1" w:styleId="ETAsubpara">
    <w:name w:val="ETA(subpara)"/>
    <w:basedOn w:val="OPCParaBase"/>
    <w:rsid w:val="00A9581B"/>
    <w:pPr>
      <w:tabs>
        <w:tab w:val="right" w:pos="1083"/>
      </w:tabs>
      <w:spacing w:before="60" w:line="240" w:lineRule="auto"/>
      <w:ind w:left="1191" w:hanging="1191"/>
    </w:pPr>
    <w:rPr>
      <w:sz w:val="20"/>
    </w:rPr>
  </w:style>
  <w:style w:type="paragraph" w:customStyle="1" w:styleId="ETAsub-subpara">
    <w:name w:val="ETA(sub-subpara)"/>
    <w:basedOn w:val="OPCParaBase"/>
    <w:rsid w:val="00A9581B"/>
    <w:pPr>
      <w:tabs>
        <w:tab w:val="right" w:pos="1412"/>
      </w:tabs>
      <w:spacing w:before="60" w:line="240" w:lineRule="auto"/>
      <w:ind w:left="1525" w:hanging="1525"/>
    </w:pPr>
    <w:rPr>
      <w:sz w:val="20"/>
    </w:rPr>
  </w:style>
  <w:style w:type="paragraph" w:customStyle="1" w:styleId="Formula">
    <w:name w:val="Formula"/>
    <w:basedOn w:val="OPCParaBase"/>
    <w:rsid w:val="00A9581B"/>
    <w:pPr>
      <w:spacing w:line="240" w:lineRule="auto"/>
      <w:ind w:left="1134"/>
    </w:pPr>
    <w:rPr>
      <w:sz w:val="20"/>
    </w:rPr>
  </w:style>
  <w:style w:type="paragraph" w:styleId="Header">
    <w:name w:val="header"/>
    <w:basedOn w:val="OPCParaBase"/>
    <w:link w:val="HeaderChar"/>
    <w:unhideWhenUsed/>
    <w:rsid w:val="00A9581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9581B"/>
    <w:rPr>
      <w:rFonts w:eastAsia="Times New Roman" w:cs="Times New Roman"/>
      <w:sz w:val="16"/>
      <w:lang w:eastAsia="en-AU"/>
    </w:rPr>
  </w:style>
  <w:style w:type="paragraph" w:customStyle="1" w:styleId="House">
    <w:name w:val="House"/>
    <w:basedOn w:val="OPCParaBase"/>
    <w:rsid w:val="00A9581B"/>
    <w:pPr>
      <w:spacing w:line="240" w:lineRule="auto"/>
    </w:pPr>
    <w:rPr>
      <w:sz w:val="28"/>
    </w:rPr>
  </w:style>
  <w:style w:type="paragraph" w:customStyle="1" w:styleId="LongT">
    <w:name w:val="LongT"/>
    <w:basedOn w:val="OPCParaBase"/>
    <w:rsid w:val="00A9581B"/>
    <w:pPr>
      <w:spacing w:line="240" w:lineRule="auto"/>
    </w:pPr>
    <w:rPr>
      <w:b/>
      <w:sz w:val="32"/>
    </w:rPr>
  </w:style>
  <w:style w:type="paragraph" w:customStyle="1" w:styleId="notedraft">
    <w:name w:val="note(draft)"/>
    <w:aliases w:val="nd"/>
    <w:basedOn w:val="OPCParaBase"/>
    <w:rsid w:val="00A9581B"/>
    <w:pPr>
      <w:spacing w:before="240" w:line="240" w:lineRule="auto"/>
      <w:ind w:left="284" w:hanging="284"/>
    </w:pPr>
    <w:rPr>
      <w:i/>
      <w:sz w:val="24"/>
    </w:rPr>
  </w:style>
  <w:style w:type="paragraph" w:customStyle="1" w:styleId="notemargin">
    <w:name w:val="note(margin)"/>
    <w:aliases w:val="nm"/>
    <w:basedOn w:val="OPCParaBase"/>
    <w:rsid w:val="00A9581B"/>
    <w:pPr>
      <w:tabs>
        <w:tab w:val="left" w:pos="709"/>
      </w:tabs>
      <w:spacing w:before="122" w:line="198" w:lineRule="exact"/>
      <w:ind w:left="709" w:hanging="709"/>
    </w:pPr>
    <w:rPr>
      <w:sz w:val="18"/>
    </w:rPr>
  </w:style>
  <w:style w:type="paragraph" w:customStyle="1" w:styleId="noteToPara">
    <w:name w:val="noteToPara"/>
    <w:aliases w:val="ntp"/>
    <w:basedOn w:val="OPCParaBase"/>
    <w:rsid w:val="00A9581B"/>
    <w:pPr>
      <w:spacing w:before="122" w:line="198" w:lineRule="exact"/>
      <w:ind w:left="2353" w:hanging="709"/>
    </w:pPr>
    <w:rPr>
      <w:sz w:val="18"/>
    </w:rPr>
  </w:style>
  <w:style w:type="paragraph" w:customStyle="1" w:styleId="noteParlAmend">
    <w:name w:val="note(ParlAmend)"/>
    <w:aliases w:val="npp"/>
    <w:basedOn w:val="OPCParaBase"/>
    <w:next w:val="ParlAmend"/>
    <w:rsid w:val="00A9581B"/>
    <w:pPr>
      <w:spacing w:line="240" w:lineRule="auto"/>
      <w:jc w:val="right"/>
    </w:pPr>
    <w:rPr>
      <w:rFonts w:ascii="Arial" w:hAnsi="Arial"/>
      <w:b/>
      <w:i/>
    </w:rPr>
  </w:style>
  <w:style w:type="paragraph" w:customStyle="1" w:styleId="ParlAmend">
    <w:name w:val="ParlAmend"/>
    <w:aliases w:val="pp"/>
    <w:basedOn w:val="OPCParaBase"/>
    <w:rsid w:val="00A9581B"/>
    <w:pPr>
      <w:spacing w:before="240" w:line="240" w:lineRule="atLeast"/>
      <w:ind w:hanging="567"/>
    </w:pPr>
    <w:rPr>
      <w:sz w:val="24"/>
    </w:rPr>
  </w:style>
  <w:style w:type="paragraph" w:customStyle="1" w:styleId="notetext">
    <w:name w:val="note(text)"/>
    <w:aliases w:val="n"/>
    <w:basedOn w:val="OPCParaBase"/>
    <w:rsid w:val="00A9581B"/>
    <w:pPr>
      <w:spacing w:before="122" w:line="198" w:lineRule="exact"/>
      <w:ind w:left="1985" w:hanging="851"/>
    </w:pPr>
    <w:rPr>
      <w:sz w:val="18"/>
    </w:rPr>
  </w:style>
  <w:style w:type="paragraph" w:customStyle="1" w:styleId="Page1">
    <w:name w:val="Page1"/>
    <w:basedOn w:val="OPCParaBase"/>
    <w:rsid w:val="00A9581B"/>
    <w:pPr>
      <w:spacing w:before="5600" w:line="240" w:lineRule="auto"/>
    </w:pPr>
    <w:rPr>
      <w:b/>
      <w:sz w:val="32"/>
    </w:rPr>
  </w:style>
  <w:style w:type="paragraph" w:customStyle="1" w:styleId="PageBreak">
    <w:name w:val="PageBreak"/>
    <w:aliases w:val="pb"/>
    <w:basedOn w:val="OPCParaBase"/>
    <w:rsid w:val="00A9581B"/>
    <w:pPr>
      <w:spacing w:line="240" w:lineRule="auto"/>
    </w:pPr>
    <w:rPr>
      <w:sz w:val="20"/>
    </w:rPr>
  </w:style>
  <w:style w:type="paragraph" w:customStyle="1" w:styleId="paragraphsub">
    <w:name w:val="paragraph(sub)"/>
    <w:aliases w:val="aa"/>
    <w:basedOn w:val="OPCParaBase"/>
    <w:rsid w:val="00A9581B"/>
    <w:pPr>
      <w:tabs>
        <w:tab w:val="right" w:pos="1985"/>
      </w:tabs>
      <w:spacing w:before="40" w:line="240" w:lineRule="auto"/>
      <w:ind w:left="2098" w:hanging="2098"/>
    </w:pPr>
  </w:style>
  <w:style w:type="paragraph" w:customStyle="1" w:styleId="paragraphsub-sub">
    <w:name w:val="paragraph(sub-sub)"/>
    <w:aliases w:val="aaa"/>
    <w:basedOn w:val="OPCParaBase"/>
    <w:rsid w:val="00A9581B"/>
    <w:pPr>
      <w:tabs>
        <w:tab w:val="right" w:pos="2722"/>
      </w:tabs>
      <w:spacing w:before="40" w:line="240" w:lineRule="auto"/>
      <w:ind w:left="2835" w:hanging="2835"/>
    </w:pPr>
  </w:style>
  <w:style w:type="paragraph" w:customStyle="1" w:styleId="paragraph">
    <w:name w:val="paragraph"/>
    <w:aliases w:val="a"/>
    <w:basedOn w:val="OPCParaBase"/>
    <w:rsid w:val="00A9581B"/>
    <w:pPr>
      <w:tabs>
        <w:tab w:val="right" w:pos="1531"/>
      </w:tabs>
      <w:spacing w:before="40" w:line="240" w:lineRule="auto"/>
      <w:ind w:left="1644" w:hanging="1644"/>
    </w:pPr>
  </w:style>
  <w:style w:type="paragraph" w:customStyle="1" w:styleId="Penalty">
    <w:name w:val="Penalty"/>
    <w:basedOn w:val="OPCParaBase"/>
    <w:rsid w:val="00A9581B"/>
    <w:pPr>
      <w:tabs>
        <w:tab w:val="left" w:pos="2977"/>
      </w:tabs>
      <w:spacing w:before="180" w:line="240" w:lineRule="auto"/>
      <w:ind w:left="1985" w:hanging="851"/>
    </w:pPr>
  </w:style>
  <w:style w:type="paragraph" w:customStyle="1" w:styleId="Portfolio">
    <w:name w:val="Portfolio"/>
    <w:basedOn w:val="OPCParaBase"/>
    <w:rsid w:val="00A9581B"/>
    <w:pPr>
      <w:spacing w:line="240" w:lineRule="auto"/>
    </w:pPr>
    <w:rPr>
      <w:i/>
      <w:sz w:val="20"/>
    </w:rPr>
  </w:style>
  <w:style w:type="paragraph" w:customStyle="1" w:styleId="Preamble">
    <w:name w:val="Preamble"/>
    <w:basedOn w:val="OPCParaBase"/>
    <w:next w:val="Normal"/>
    <w:rsid w:val="00A9581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9581B"/>
    <w:pPr>
      <w:spacing w:line="240" w:lineRule="auto"/>
    </w:pPr>
    <w:rPr>
      <w:i/>
      <w:sz w:val="20"/>
    </w:rPr>
  </w:style>
  <w:style w:type="paragraph" w:customStyle="1" w:styleId="Session">
    <w:name w:val="Session"/>
    <w:basedOn w:val="OPCParaBase"/>
    <w:rsid w:val="00A9581B"/>
    <w:pPr>
      <w:spacing w:line="240" w:lineRule="auto"/>
    </w:pPr>
    <w:rPr>
      <w:sz w:val="28"/>
    </w:rPr>
  </w:style>
  <w:style w:type="paragraph" w:customStyle="1" w:styleId="Sponsor">
    <w:name w:val="Sponsor"/>
    <w:basedOn w:val="OPCParaBase"/>
    <w:rsid w:val="00A9581B"/>
    <w:pPr>
      <w:spacing w:line="240" w:lineRule="auto"/>
    </w:pPr>
    <w:rPr>
      <w:i/>
    </w:rPr>
  </w:style>
  <w:style w:type="paragraph" w:customStyle="1" w:styleId="Subitem">
    <w:name w:val="Subitem"/>
    <w:aliases w:val="iss"/>
    <w:basedOn w:val="OPCParaBase"/>
    <w:rsid w:val="00A9581B"/>
    <w:pPr>
      <w:spacing w:before="180" w:line="240" w:lineRule="auto"/>
      <w:ind w:left="709" w:hanging="709"/>
    </w:pPr>
  </w:style>
  <w:style w:type="paragraph" w:customStyle="1" w:styleId="SubitemHead">
    <w:name w:val="SubitemHead"/>
    <w:aliases w:val="issh"/>
    <w:basedOn w:val="OPCParaBase"/>
    <w:rsid w:val="00A9581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9581B"/>
    <w:pPr>
      <w:spacing w:before="40" w:line="240" w:lineRule="auto"/>
      <w:ind w:left="1134"/>
    </w:pPr>
  </w:style>
  <w:style w:type="paragraph" w:customStyle="1" w:styleId="SubsectionHead">
    <w:name w:val="SubsectionHead"/>
    <w:aliases w:val="ssh"/>
    <w:basedOn w:val="OPCParaBase"/>
    <w:next w:val="subsection"/>
    <w:rsid w:val="00A9581B"/>
    <w:pPr>
      <w:keepNext/>
      <w:keepLines/>
      <w:spacing w:before="240" w:line="240" w:lineRule="auto"/>
      <w:ind w:left="1134"/>
    </w:pPr>
    <w:rPr>
      <w:i/>
    </w:rPr>
  </w:style>
  <w:style w:type="paragraph" w:customStyle="1" w:styleId="Tablea">
    <w:name w:val="Table(a)"/>
    <w:aliases w:val="ta"/>
    <w:basedOn w:val="OPCParaBase"/>
    <w:rsid w:val="00A9581B"/>
    <w:pPr>
      <w:spacing w:before="60" w:line="240" w:lineRule="auto"/>
      <w:ind w:left="284" w:hanging="284"/>
    </w:pPr>
    <w:rPr>
      <w:sz w:val="20"/>
    </w:rPr>
  </w:style>
  <w:style w:type="paragraph" w:customStyle="1" w:styleId="TableAA">
    <w:name w:val="Table(AA)"/>
    <w:aliases w:val="taaa"/>
    <w:basedOn w:val="OPCParaBase"/>
    <w:rsid w:val="00A9581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9581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9581B"/>
    <w:pPr>
      <w:spacing w:before="60" w:line="240" w:lineRule="atLeast"/>
    </w:pPr>
    <w:rPr>
      <w:sz w:val="20"/>
    </w:rPr>
  </w:style>
  <w:style w:type="paragraph" w:customStyle="1" w:styleId="TLPBoxTextnote">
    <w:name w:val="TLPBoxText(note"/>
    <w:aliases w:val="right)"/>
    <w:basedOn w:val="OPCParaBase"/>
    <w:rsid w:val="00A9581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9581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9581B"/>
    <w:pPr>
      <w:spacing w:before="122" w:line="198" w:lineRule="exact"/>
      <w:ind w:left="1985" w:hanging="851"/>
      <w:jc w:val="right"/>
    </w:pPr>
    <w:rPr>
      <w:sz w:val="18"/>
    </w:rPr>
  </w:style>
  <w:style w:type="paragraph" w:customStyle="1" w:styleId="TLPTableBullet">
    <w:name w:val="TLPTableBullet"/>
    <w:aliases w:val="ttb"/>
    <w:basedOn w:val="OPCParaBase"/>
    <w:rsid w:val="00A9581B"/>
    <w:pPr>
      <w:spacing w:line="240" w:lineRule="exact"/>
      <w:ind w:left="284" w:hanging="284"/>
    </w:pPr>
    <w:rPr>
      <w:sz w:val="20"/>
    </w:rPr>
  </w:style>
  <w:style w:type="paragraph" w:styleId="TOC1">
    <w:name w:val="toc 1"/>
    <w:basedOn w:val="OPCParaBase"/>
    <w:next w:val="Normal"/>
    <w:uiPriority w:val="39"/>
    <w:unhideWhenUsed/>
    <w:rsid w:val="00A9581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9581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9581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9581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9581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9581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9581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9581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9581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9581B"/>
    <w:pPr>
      <w:keepLines/>
      <w:spacing w:before="240" w:after="120" w:line="240" w:lineRule="auto"/>
      <w:ind w:left="794"/>
    </w:pPr>
    <w:rPr>
      <w:b/>
      <w:kern w:val="28"/>
      <w:sz w:val="20"/>
    </w:rPr>
  </w:style>
  <w:style w:type="paragraph" w:customStyle="1" w:styleId="TofSectsSection">
    <w:name w:val="TofSects(Section)"/>
    <w:basedOn w:val="OPCParaBase"/>
    <w:rsid w:val="00A9581B"/>
    <w:pPr>
      <w:keepLines/>
      <w:spacing w:before="40" w:line="240" w:lineRule="auto"/>
      <w:ind w:left="1588" w:hanging="794"/>
    </w:pPr>
    <w:rPr>
      <w:kern w:val="28"/>
      <w:sz w:val="18"/>
    </w:rPr>
  </w:style>
  <w:style w:type="paragraph" w:customStyle="1" w:styleId="TofSectsHeading">
    <w:name w:val="TofSects(Heading)"/>
    <w:basedOn w:val="OPCParaBase"/>
    <w:rsid w:val="00A9581B"/>
    <w:pPr>
      <w:spacing w:before="240" w:after="120" w:line="240" w:lineRule="auto"/>
    </w:pPr>
    <w:rPr>
      <w:b/>
      <w:sz w:val="24"/>
    </w:rPr>
  </w:style>
  <w:style w:type="paragraph" w:customStyle="1" w:styleId="TofSectsSubdiv">
    <w:name w:val="TofSects(Subdiv)"/>
    <w:basedOn w:val="OPCParaBase"/>
    <w:rsid w:val="00A9581B"/>
    <w:pPr>
      <w:keepLines/>
      <w:spacing w:before="80" w:line="240" w:lineRule="auto"/>
      <w:ind w:left="1588" w:hanging="794"/>
    </w:pPr>
    <w:rPr>
      <w:kern w:val="28"/>
    </w:rPr>
  </w:style>
  <w:style w:type="paragraph" w:customStyle="1" w:styleId="WRStyle">
    <w:name w:val="WR Style"/>
    <w:aliases w:val="WR"/>
    <w:basedOn w:val="OPCParaBase"/>
    <w:rsid w:val="00A9581B"/>
    <w:pPr>
      <w:spacing w:before="240" w:line="240" w:lineRule="auto"/>
      <w:ind w:left="284" w:hanging="284"/>
    </w:pPr>
    <w:rPr>
      <w:b/>
      <w:i/>
      <w:kern w:val="28"/>
      <w:sz w:val="24"/>
    </w:rPr>
  </w:style>
  <w:style w:type="paragraph" w:customStyle="1" w:styleId="notepara">
    <w:name w:val="note(para)"/>
    <w:aliases w:val="na"/>
    <w:basedOn w:val="OPCParaBase"/>
    <w:rsid w:val="00A9581B"/>
    <w:pPr>
      <w:spacing w:before="40" w:line="198" w:lineRule="exact"/>
      <w:ind w:left="2354" w:hanging="369"/>
    </w:pPr>
    <w:rPr>
      <w:sz w:val="18"/>
    </w:rPr>
  </w:style>
  <w:style w:type="paragraph" w:styleId="Footer">
    <w:name w:val="footer"/>
    <w:link w:val="FooterChar"/>
    <w:rsid w:val="00A9581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9581B"/>
    <w:rPr>
      <w:rFonts w:eastAsia="Times New Roman" w:cs="Times New Roman"/>
      <w:sz w:val="22"/>
      <w:szCs w:val="24"/>
      <w:lang w:eastAsia="en-AU"/>
    </w:rPr>
  </w:style>
  <w:style w:type="character" w:styleId="LineNumber">
    <w:name w:val="line number"/>
    <w:basedOn w:val="OPCCharBase"/>
    <w:uiPriority w:val="99"/>
    <w:semiHidden/>
    <w:unhideWhenUsed/>
    <w:rsid w:val="00A9581B"/>
    <w:rPr>
      <w:sz w:val="16"/>
    </w:rPr>
  </w:style>
  <w:style w:type="table" w:customStyle="1" w:styleId="CFlag">
    <w:name w:val="CFlag"/>
    <w:basedOn w:val="TableNormal"/>
    <w:uiPriority w:val="99"/>
    <w:rsid w:val="00A9581B"/>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58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81B"/>
    <w:rPr>
      <w:rFonts w:ascii="Tahoma" w:hAnsi="Tahoma" w:cs="Tahoma"/>
      <w:sz w:val="16"/>
      <w:szCs w:val="16"/>
    </w:rPr>
  </w:style>
  <w:style w:type="character" w:styleId="Hyperlink">
    <w:name w:val="Hyperlink"/>
    <w:basedOn w:val="DefaultParagraphFont"/>
    <w:rsid w:val="00A9581B"/>
    <w:rPr>
      <w:color w:val="0000FF"/>
      <w:u w:val="single"/>
    </w:rPr>
  </w:style>
  <w:style w:type="table" w:styleId="TableGrid">
    <w:name w:val="Table Grid"/>
    <w:basedOn w:val="TableNormal"/>
    <w:uiPriority w:val="59"/>
    <w:rsid w:val="00A95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A9581B"/>
    <w:rPr>
      <w:b/>
      <w:sz w:val="28"/>
      <w:szCs w:val="32"/>
    </w:rPr>
  </w:style>
  <w:style w:type="paragraph" w:customStyle="1" w:styleId="TerritoryT">
    <w:name w:val="TerritoryT"/>
    <w:basedOn w:val="OPCParaBase"/>
    <w:next w:val="Normal"/>
    <w:rsid w:val="00A9581B"/>
    <w:rPr>
      <w:b/>
      <w:sz w:val="32"/>
    </w:rPr>
  </w:style>
  <w:style w:type="paragraph" w:customStyle="1" w:styleId="LegislationMadeUnder">
    <w:name w:val="LegislationMadeUnder"/>
    <w:basedOn w:val="OPCParaBase"/>
    <w:next w:val="Normal"/>
    <w:rsid w:val="00A9581B"/>
    <w:rPr>
      <w:i/>
      <w:sz w:val="32"/>
      <w:szCs w:val="32"/>
    </w:rPr>
  </w:style>
  <w:style w:type="paragraph" w:customStyle="1" w:styleId="SignCoverPageEnd">
    <w:name w:val="SignCoverPageEnd"/>
    <w:basedOn w:val="OPCParaBase"/>
    <w:next w:val="Normal"/>
    <w:rsid w:val="00A9581B"/>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A9581B"/>
    <w:pPr>
      <w:pBdr>
        <w:top w:val="single" w:sz="4" w:space="1" w:color="auto"/>
      </w:pBdr>
      <w:spacing w:before="360"/>
      <w:ind w:right="397"/>
      <w:jc w:val="both"/>
    </w:pPr>
  </w:style>
  <w:style w:type="paragraph" w:customStyle="1" w:styleId="NotesHeading1">
    <w:name w:val="NotesHeading 1"/>
    <w:basedOn w:val="OPCParaBase"/>
    <w:next w:val="Normal"/>
    <w:rsid w:val="00A9581B"/>
    <w:rPr>
      <w:b/>
      <w:sz w:val="28"/>
      <w:szCs w:val="28"/>
    </w:rPr>
  </w:style>
  <w:style w:type="paragraph" w:customStyle="1" w:styleId="NotesHeading2">
    <w:name w:val="NotesHeading 2"/>
    <w:basedOn w:val="OPCParaBase"/>
    <w:next w:val="Normal"/>
    <w:rsid w:val="00A9581B"/>
    <w:rPr>
      <w:b/>
      <w:sz w:val="28"/>
      <w:szCs w:val="28"/>
    </w:rPr>
  </w:style>
  <w:style w:type="paragraph" w:customStyle="1" w:styleId="ENotesText">
    <w:name w:val="ENotesText"/>
    <w:basedOn w:val="OPCParaBase"/>
    <w:next w:val="Normal"/>
    <w:rsid w:val="00A9581B"/>
  </w:style>
  <w:style w:type="paragraph" w:customStyle="1" w:styleId="CompiledActNo">
    <w:name w:val="CompiledActNo"/>
    <w:basedOn w:val="OPCParaBase"/>
    <w:next w:val="Normal"/>
    <w:rsid w:val="00A9581B"/>
    <w:rPr>
      <w:b/>
      <w:sz w:val="24"/>
      <w:szCs w:val="24"/>
    </w:rPr>
  </w:style>
  <w:style w:type="paragraph" w:customStyle="1" w:styleId="CompiledMadeUnder">
    <w:name w:val="CompiledMadeUnder"/>
    <w:basedOn w:val="OPCParaBase"/>
    <w:next w:val="Normal"/>
    <w:rsid w:val="00A9581B"/>
    <w:rPr>
      <w:i/>
      <w:sz w:val="24"/>
      <w:szCs w:val="24"/>
    </w:rPr>
  </w:style>
  <w:style w:type="paragraph" w:customStyle="1" w:styleId="Paragraphsub-sub-sub">
    <w:name w:val="Paragraph(sub-sub-sub)"/>
    <w:aliases w:val="aaaa"/>
    <w:basedOn w:val="OPCParaBase"/>
    <w:rsid w:val="00A9581B"/>
    <w:pPr>
      <w:tabs>
        <w:tab w:val="right" w:pos="3402"/>
      </w:tabs>
      <w:spacing w:before="40" w:line="240" w:lineRule="auto"/>
      <w:ind w:left="3402" w:hanging="3402"/>
    </w:pPr>
  </w:style>
  <w:style w:type="paragraph" w:customStyle="1" w:styleId="TableHeading">
    <w:name w:val="TableHeading"/>
    <w:aliases w:val="th"/>
    <w:basedOn w:val="OPCParaBase"/>
    <w:next w:val="Tabletext"/>
    <w:rsid w:val="00A9581B"/>
    <w:pPr>
      <w:keepNext/>
      <w:spacing w:before="60" w:line="240" w:lineRule="atLeast"/>
    </w:pPr>
    <w:rPr>
      <w:b/>
      <w:sz w:val="20"/>
    </w:rPr>
  </w:style>
  <w:style w:type="paragraph" w:customStyle="1" w:styleId="NoteToSubpara">
    <w:name w:val="NoteToSubpara"/>
    <w:aliases w:val="nts"/>
    <w:basedOn w:val="OPCParaBase"/>
    <w:rsid w:val="00A9581B"/>
    <w:pPr>
      <w:spacing w:before="40" w:line="198" w:lineRule="exact"/>
      <w:ind w:left="2835" w:hanging="709"/>
    </w:pPr>
    <w:rPr>
      <w:sz w:val="18"/>
    </w:rPr>
  </w:style>
  <w:style w:type="paragraph" w:customStyle="1" w:styleId="EndNotespara">
    <w:name w:val="EndNotes(para)"/>
    <w:aliases w:val="eta"/>
    <w:basedOn w:val="OPCParaBase"/>
    <w:next w:val="Normal"/>
    <w:rsid w:val="00A9581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9581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A9581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9581B"/>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A9581B"/>
    <w:pPr>
      <w:keepNext/>
      <w:spacing w:before="60" w:line="240" w:lineRule="atLeast"/>
    </w:pPr>
    <w:rPr>
      <w:rFonts w:ascii="Arial" w:hAnsi="Arial"/>
      <w:b/>
      <w:sz w:val="16"/>
    </w:rPr>
  </w:style>
  <w:style w:type="paragraph" w:customStyle="1" w:styleId="ENoteTTi">
    <w:name w:val="ENoteTTi"/>
    <w:aliases w:val="entti"/>
    <w:basedOn w:val="OPCParaBase"/>
    <w:rsid w:val="00A9581B"/>
    <w:pPr>
      <w:keepNext/>
      <w:spacing w:before="60" w:line="240" w:lineRule="atLeast"/>
      <w:ind w:left="170"/>
    </w:pPr>
    <w:rPr>
      <w:sz w:val="16"/>
    </w:rPr>
  </w:style>
  <w:style w:type="paragraph" w:customStyle="1" w:styleId="ENotesHeading1">
    <w:name w:val="ENotesHeading 1"/>
    <w:aliases w:val="Enh1"/>
    <w:basedOn w:val="OPCParaBase"/>
    <w:next w:val="Normal"/>
    <w:rsid w:val="00A9581B"/>
    <w:pPr>
      <w:spacing w:before="120"/>
      <w:outlineLvl w:val="1"/>
    </w:pPr>
    <w:rPr>
      <w:b/>
      <w:sz w:val="28"/>
      <w:szCs w:val="28"/>
    </w:rPr>
  </w:style>
  <w:style w:type="paragraph" w:customStyle="1" w:styleId="ENotesHeading2">
    <w:name w:val="ENotesHeading 2"/>
    <w:aliases w:val="Enh2"/>
    <w:basedOn w:val="OPCParaBase"/>
    <w:next w:val="Normal"/>
    <w:rsid w:val="00A9581B"/>
    <w:pPr>
      <w:spacing w:before="120" w:after="120"/>
      <w:outlineLvl w:val="2"/>
    </w:pPr>
    <w:rPr>
      <w:b/>
      <w:sz w:val="24"/>
      <w:szCs w:val="28"/>
    </w:rPr>
  </w:style>
  <w:style w:type="paragraph" w:customStyle="1" w:styleId="ENoteTTIndentHeading">
    <w:name w:val="ENoteTTIndentHeading"/>
    <w:aliases w:val="enTTHi"/>
    <w:basedOn w:val="OPCParaBase"/>
    <w:rsid w:val="00A9581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9581B"/>
    <w:pPr>
      <w:spacing w:before="60" w:line="240" w:lineRule="atLeast"/>
    </w:pPr>
    <w:rPr>
      <w:sz w:val="16"/>
    </w:rPr>
  </w:style>
  <w:style w:type="paragraph" w:customStyle="1" w:styleId="MadeunderText">
    <w:name w:val="MadeunderText"/>
    <w:basedOn w:val="OPCParaBase"/>
    <w:next w:val="CompiledMadeUnder"/>
    <w:rsid w:val="00A9581B"/>
    <w:pPr>
      <w:spacing w:before="240"/>
    </w:pPr>
    <w:rPr>
      <w:sz w:val="24"/>
      <w:szCs w:val="24"/>
    </w:rPr>
  </w:style>
  <w:style w:type="paragraph" w:customStyle="1" w:styleId="ENotesHeading3">
    <w:name w:val="ENotesHeading 3"/>
    <w:aliases w:val="Enh3"/>
    <w:basedOn w:val="OPCParaBase"/>
    <w:next w:val="Normal"/>
    <w:rsid w:val="00A9581B"/>
    <w:pPr>
      <w:keepNext/>
      <w:spacing w:before="120" w:line="240" w:lineRule="auto"/>
      <w:outlineLvl w:val="4"/>
    </w:pPr>
    <w:rPr>
      <w:b/>
      <w:szCs w:val="24"/>
    </w:rPr>
  </w:style>
  <w:style w:type="paragraph" w:customStyle="1" w:styleId="SubPartCASA">
    <w:name w:val="SubPart(CASA)"/>
    <w:aliases w:val="csp"/>
    <w:basedOn w:val="OPCParaBase"/>
    <w:next w:val="ActHead3"/>
    <w:rsid w:val="00A9581B"/>
    <w:pPr>
      <w:keepNext/>
      <w:keepLines/>
      <w:spacing w:before="280"/>
      <w:outlineLvl w:val="1"/>
    </w:pPr>
    <w:rPr>
      <w:b/>
      <w:kern w:val="28"/>
      <w:sz w:val="32"/>
    </w:rPr>
  </w:style>
  <w:style w:type="character" w:customStyle="1" w:styleId="CharSubPartTextCASA">
    <w:name w:val="CharSubPartText(CASA)"/>
    <w:basedOn w:val="OPCCharBase"/>
    <w:uiPriority w:val="1"/>
    <w:rsid w:val="00A9581B"/>
  </w:style>
  <w:style w:type="character" w:customStyle="1" w:styleId="CharSubPartNoCASA">
    <w:name w:val="CharSubPartNo(CASA)"/>
    <w:basedOn w:val="OPCCharBase"/>
    <w:uiPriority w:val="1"/>
    <w:rsid w:val="00A9581B"/>
  </w:style>
  <w:style w:type="paragraph" w:customStyle="1" w:styleId="ENoteTTIndentHeadingSub">
    <w:name w:val="ENoteTTIndentHeadingSub"/>
    <w:aliases w:val="enTTHis"/>
    <w:basedOn w:val="OPCParaBase"/>
    <w:rsid w:val="00A9581B"/>
    <w:pPr>
      <w:keepNext/>
      <w:spacing w:before="60" w:line="240" w:lineRule="atLeast"/>
      <w:ind w:left="340"/>
    </w:pPr>
    <w:rPr>
      <w:b/>
      <w:sz w:val="16"/>
    </w:rPr>
  </w:style>
  <w:style w:type="paragraph" w:customStyle="1" w:styleId="ENoteTTiSub">
    <w:name w:val="ENoteTTiSub"/>
    <w:aliases w:val="enttis"/>
    <w:basedOn w:val="OPCParaBase"/>
    <w:rsid w:val="00A9581B"/>
    <w:pPr>
      <w:keepNext/>
      <w:spacing w:before="60" w:line="240" w:lineRule="atLeast"/>
      <w:ind w:left="340"/>
    </w:pPr>
    <w:rPr>
      <w:sz w:val="16"/>
    </w:rPr>
  </w:style>
  <w:style w:type="paragraph" w:customStyle="1" w:styleId="SubDivisionMigration">
    <w:name w:val="SubDivisionMigration"/>
    <w:aliases w:val="sdm"/>
    <w:basedOn w:val="OPCParaBase"/>
    <w:rsid w:val="00A9581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9581B"/>
    <w:pPr>
      <w:keepNext/>
      <w:keepLines/>
      <w:spacing w:before="240" w:line="240" w:lineRule="auto"/>
      <w:ind w:left="1134" w:hanging="1134"/>
    </w:pPr>
    <w:rPr>
      <w:b/>
      <w:sz w:val="28"/>
    </w:rPr>
  </w:style>
  <w:style w:type="character" w:customStyle="1" w:styleId="CharSchPTNo">
    <w:name w:val="CharSchPTNo"/>
    <w:rsid w:val="00724B25"/>
  </w:style>
  <w:style w:type="character" w:customStyle="1" w:styleId="CharSchPTText">
    <w:name w:val="CharSchPTText"/>
    <w:rsid w:val="00724B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581B"/>
    <w:pPr>
      <w:spacing w:line="260" w:lineRule="atLeast"/>
    </w:pPr>
    <w:rPr>
      <w:sz w:val="22"/>
    </w:rPr>
  </w:style>
  <w:style w:type="paragraph" w:styleId="Heading3">
    <w:name w:val="heading 3"/>
    <w:basedOn w:val="Normal"/>
    <w:next w:val="Normal"/>
    <w:link w:val="Heading3Char"/>
    <w:qFormat/>
    <w:rsid w:val="00F97B2F"/>
    <w:pPr>
      <w:keepNext/>
      <w:keepLines/>
      <w:spacing w:before="200" w:line="280" w:lineRule="atLeast"/>
      <w:outlineLvl w:val="2"/>
    </w:pPr>
    <w:rPr>
      <w:rFonts w:ascii="Arial" w:eastAsia="Times New Roman" w:hAnsi="Arial" w:cs="Arial"/>
      <w:b/>
      <w:bCs/>
      <w:i/>
      <w:sz w:val="20"/>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97B2F"/>
    <w:rPr>
      <w:rFonts w:ascii="Arial" w:eastAsia="Times New Roman" w:hAnsi="Arial" w:cs="Arial"/>
      <w:b/>
      <w:bCs/>
      <w:i/>
      <w:szCs w:val="26"/>
      <w:lang w:eastAsia="en-AU"/>
    </w:rPr>
  </w:style>
  <w:style w:type="character" w:customStyle="1" w:styleId="OPCCharBase">
    <w:name w:val="OPCCharBase"/>
    <w:uiPriority w:val="1"/>
    <w:qFormat/>
    <w:rsid w:val="00A9581B"/>
  </w:style>
  <w:style w:type="paragraph" w:customStyle="1" w:styleId="OPCParaBase">
    <w:name w:val="OPCParaBase"/>
    <w:qFormat/>
    <w:rsid w:val="00A9581B"/>
    <w:pPr>
      <w:spacing w:line="260" w:lineRule="atLeast"/>
    </w:pPr>
    <w:rPr>
      <w:rFonts w:eastAsia="Times New Roman" w:cs="Times New Roman"/>
      <w:sz w:val="22"/>
      <w:lang w:eastAsia="en-AU"/>
    </w:rPr>
  </w:style>
  <w:style w:type="paragraph" w:customStyle="1" w:styleId="ShortT">
    <w:name w:val="ShortT"/>
    <w:basedOn w:val="OPCParaBase"/>
    <w:next w:val="Normal"/>
    <w:qFormat/>
    <w:rsid w:val="00A9581B"/>
    <w:pPr>
      <w:spacing w:line="240" w:lineRule="auto"/>
    </w:pPr>
    <w:rPr>
      <w:b/>
      <w:sz w:val="40"/>
    </w:rPr>
  </w:style>
  <w:style w:type="paragraph" w:customStyle="1" w:styleId="ActHead1">
    <w:name w:val="ActHead 1"/>
    <w:aliases w:val="c"/>
    <w:basedOn w:val="OPCParaBase"/>
    <w:next w:val="Normal"/>
    <w:qFormat/>
    <w:rsid w:val="00A9581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9581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9581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9581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9581B"/>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rsid w:val="00A9581B"/>
    <w:pPr>
      <w:tabs>
        <w:tab w:val="right" w:pos="1021"/>
      </w:tabs>
      <w:spacing w:before="180" w:line="240" w:lineRule="auto"/>
      <w:ind w:left="1134" w:hanging="1134"/>
    </w:pPr>
  </w:style>
  <w:style w:type="paragraph" w:customStyle="1" w:styleId="ActHead6">
    <w:name w:val="ActHead 6"/>
    <w:aliases w:val="as"/>
    <w:basedOn w:val="OPCParaBase"/>
    <w:next w:val="ActHead7"/>
    <w:qFormat/>
    <w:rsid w:val="00A9581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9581B"/>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A9581B"/>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A9581B"/>
    <w:pPr>
      <w:keepLines/>
      <w:spacing w:before="80" w:line="240" w:lineRule="auto"/>
      <w:ind w:left="709"/>
    </w:pPr>
  </w:style>
  <w:style w:type="paragraph" w:customStyle="1" w:styleId="ActHead8">
    <w:name w:val="ActHead 8"/>
    <w:aliases w:val="ad"/>
    <w:basedOn w:val="OPCParaBase"/>
    <w:next w:val="ItemHead"/>
    <w:qFormat/>
    <w:rsid w:val="00A9581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9581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9581B"/>
  </w:style>
  <w:style w:type="paragraph" w:customStyle="1" w:styleId="Blocks">
    <w:name w:val="Blocks"/>
    <w:aliases w:val="bb"/>
    <w:basedOn w:val="OPCParaBase"/>
    <w:qFormat/>
    <w:rsid w:val="00A9581B"/>
    <w:pPr>
      <w:spacing w:line="240" w:lineRule="auto"/>
    </w:pPr>
    <w:rPr>
      <w:sz w:val="24"/>
    </w:rPr>
  </w:style>
  <w:style w:type="paragraph" w:customStyle="1" w:styleId="BoxText">
    <w:name w:val="BoxText"/>
    <w:aliases w:val="bt"/>
    <w:basedOn w:val="OPCParaBase"/>
    <w:qFormat/>
    <w:rsid w:val="00A9581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9581B"/>
    <w:rPr>
      <w:b/>
    </w:rPr>
  </w:style>
  <w:style w:type="paragraph" w:customStyle="1" w:styleId="BoxHeadItalic">
    <w:name w:val="BoxHeadItalic"/>
    <w:aliases w:val="bhi"/>
    <w:basedOn w:val="BoxText"/>
    <w:next w:val="BoxStep"/>
    <w:qFormat/>
    <w:rsid w:val="00A9581B"/>
    <w:rPr>
      <w:i/>
    </w:rPr>
  </w:style>
  <w:style w:type="paragraph" w:customStyle="1" w:styleId="BoxStep">
    <w:name w:val="BoxStep"/>
    <w:aliases w:val="bs"/>
    <w:basedOn w:val="BoxText"/>
    <w:qFormat/>
    <w:rsid w:val="00A9581B"/>
    <w:pPr>
      <w:ind w:left="1985" w:hanging="851"/>
    </w:pPr>
  </w:style>
  <w:style w:type="paragraph" w:customStyle="1" w:styleId="BoxList">
    <w:name w:val="BoxList"/>
    <w:aliases w:val="bl"/>
    <w:basedOn w:val="BoxText"/>
    <w:qFormat/>
    <w:rsid w:val="00A9581B"/>
    <w:pPr>
      <w:ind w:left="1559" w:hanging="425"/>
    </w:pPr>
  </w:style>
  <w:style w:type="paragraph" w:customStyle="1" w:styleId="BoxNote">
    <w:name w:val="BoxNote"/>
    <w:aliases w:val="bn"/>
    <w:basedOn w:val="BoxText"/>
    <w:qFormat/>
    <w:rsid w:val="00A9581B"/>
    <w:pPr>
      <w:tabs>
        <w:tab w:val="left" w:pos="1985"/>
      </w:tabs>
      <w:spacing w:before="122" w:line="198" w:lineRule="exact"/>
      <w:ind w:left="2948" w:hanging="1814"/>
    </w:pPr>
    <w:rPr>
      <w:sz w:val="18"/>
    </w:rPr>
  </w:style>
  <w:style w:type="paragraph" w:customStyle="1" w:styleId="BoxPara">
    <w:name w:val="BoxPara"/>
    <w:aliases w:val="bp"/>
    <w:basedOn w:val="BoxText"/>
    <w:qFormat/>
    <w:rsid w:val="00A9581B"/>
    <w:pPr>
      <w:tabs>
        <w:tab w:val="right" w:pos="2268"/>
      </w:tabs>
      <w:ind w:left="2552" w:hanging="1418"/>
    </w:pPr>
  </w:style>
  <w:style w:type="character" w:customStyle="1" w:styleId="CharAmPartNo">
    <w:name w:val="CharAmPartNo"/>
    <w:basedOn w:val="OPCCharBase"/>
    <w:qFormat/>
    <w:rsid w:val="00A9581B"/>
  </w:style>
  <w:style w:type="character" w:customStyle="1" w:styleId="CharAmPartText">
    <w:name w:val="CharAmPartText"/>
    <w:basedOn w:val="OPCCharBase"/>
    <w:qFormat/>
    <w:rsid w:val="00A9581B"/>
  </w:style>
  <w:style w:type="character" w:customStyle="1" w:styleId="CharAmSchNo">
    <w:name w:val="CharAmSchNo"/>
    <w:basedOn w:val="OPCCharBase"/>
    <w:qFormat/>
    <w:rsid w:val="00A9581B"/>
  </w:style>
  <w:style w:type="character" w:customStyle="1" w:styleId="CharAmSchText">
    <w:name w:val="CharAmSchText"/>
    <w:basedOn w:val="OPCCharBase"/>
    <w:qFormat/>
    <w:rsid w:val="00A9581B"/>
  </w:style>
  <w:style w:type="character" w:customStyle="1" w:styleId="CharBoldItalic">
    <w:name w:val="CharBoldItalic"/>
    <w:basedOn w:val="OPCCharBase"/>
    <w:uiPriority w:val="1"/>
    <w:qFormat/>
    <w:rsid w:val="00A9581B"/>
    <w:rPr>
      <w:b/>
      <w:i/>
    </w:rPr>
  </w:style>
  <w:style w:type="character" w:customStyle="1" w:styleId="CharChapNo">
    <w:name w:val="CharChapNo"/>
    <w:basedOn w:val="OPCCharBase"/>
    <w:uiPriority w:val="1"/>
    <w:qFormat/>
    <w:rsid w:val="00A9581B"/>
  </w:style>
  <w:style w:type="character" w:customStyle="1" w:styleId="CharChapText">
    <w:name w:val="CharChapText"/>
    <w:basedOn w:val="OPCCharBase"/>
    <w:uiPriority w:val="1"/>
    <w:qFormat/>
    <w:rsid w:val="00A9581B"/>
  </w:style>
  <w:style w:type="character" w:customStyle="1" w:styleId="CharDivNo">
    <w:name w:val="CharDivNo"/>
    <w:basedOn w:val="OPCCharBase"/>
    <w:uiPriority w:val="1"/>
    <w:qFormat/>
    <w:rsid w:val="00A9581B"/>
  </w:style>
  <w:style w:type="character" w:customStyle="1" w:styleId="CharDivText">
    <w:name w:val="CharDivText"/>
    <w:basedOn w:val="OPCCharBase"/>
    <w:uiPriority w:val="1"/>
    <w:qFormat/>
    <w:rsid w:val="00A9581B"/>
  </w:style>
  <w:style w:type="character" w:customStyle="1" w:styleId="CharItalic">
    <w:name w:val="CharItalic"/>
    <w:basedOn w:val="OPCCharBase"/>
    <w:uiPriority w:val="1"/>
    <w:qFormat/>
    <w:rsid w:val="00A9581B"/>
    <w:rPr>
      <w:i/>
    </w:rPr>
  </w:style>
  <w:style w:type="character" w:customStyle="1" w:styleId="CharPartNo">
    <w:name w:val="CharPartNo"/>
    <w:basedOn w:val="OPCCharBase"/>
    <w:uiPriority w:val="1"/>
    <w:qFormat/>
    <w:rsid w:val="00A9581B"/>
  </w:style>
  <w:style w:type="character" w:customStyle="1" w:styleId="CharPartText">
    <w:name w:val="CharPartText"/>
    <w:basedOn w:val="OPCCharBase"/>
    <w:uiPriority w:val="1"/>
    <w:qFormat/>
    <w:rsid w:val="00A9581B"/>
  </w:style>
  <w:style w:type="character" w:customStyle="1" w:styleId="CharSectno">
    <w:name w:val="CharSectno"/>
    <w:basedOn w:val="OPCCharBase"/>
    <w:qFormat/>
    <w:rsid w:val="00A9581B"/>
  </w:style>
  <w:style w:type="character" w:customStyle="1" w:styleId="CharSubdNo">
    <w:name w:val="CharSubdNo"/>
    <w:basedOn w:val="OPCCharBase"/>
    <w:uiPriority w:val="1"/>
    <w:qFormat/>
    <w:rsid w:val="00A9581B"/>
  </w:style>
  <w:style w:type="character" w:customStyle="1" w:styleId="CharSubdText">
    <w:name w:val="CharSubdText"/>
    <w:basedOn w:val="OPCCharBase"/>
    <w:uiPriority w:val="1"/>
    <w:qFormat/>
    <w:rsid w:val="00A9581B"/>
  </w:style>
  <w:style w:type="paragraph" w:customStyle="1" w:styleId="CTA--">
    <w:name w:val="CTA --"/>
    <w:basedOn w:val="OPCParaBase"/>
    <w:next w:val="Normal"/>
    <w:rsid w:val="00A9581B"/>
    <w:pPr>
      <w:spacing w:before="60" w:line="240" w:lineRule="atLeast"/>
      <w:ind w:left="142" w:hanging="142"/>
    </w:pPr>
    <w:rPr>
      <w:sz w:val="20"/>
    </w:rPr>
  </w:style>
  <w:style w:type="paragraph" w:customStyle="1" w:styleId="CTA-">
    <w:name w:val="CTA -"/>
    <w:basedOn w:val="OPCParaBase"/>
    <w:rsid w:val="00A9581B"/>
    <w:pPr>
      <w:spacing w:before="60" w:line="240" w:lineRule="atLeast"/>
      <w:ind w:left="85" w:hanging="85"/>
    </w:pPr>
    <w:rPr>
      <w:sz w:val="20"/>
    </w:rPr>
  </w:style>
  <w:style w:type="paragraph" w:customStyle="1" w:styleId="CTA---">
    <w:name w:val="CTA ---"/>
    <w:basedOn w:val="OPCParaBase"/>
    <w:next w:val="Normal"/>
    <w:rsid w:val="00A9581B"/>
    <w:pPr>
      <w:spacing w:before="60" w:line="240" w:lineRule="atLeast"/>
      <w:ind w:left="198" w:hanging="198"/>
    </w:pPr>
    <w:rPr>
      <w:sz w:val="20"/>
    </w:rPr>
  </w:style>
  <w:style w:type="paragraph" w:customStyle="1" w:styleId="CTA----">
    <w:name w:val="CTA ----"/>
    <w:basedOn w:val="OPCParaBase"/>
    <w:next w:val="Normal"/>
    <w:rsid w:val="00A9581B"/>
    <w:pPr>
      <w:spacing w:before="60" w:line="240" w:lineRule="atLeast"/>
      <w:ind w:left="255" w:hanging="255"/>
    </w:pPr>
    <w:rPr>
      <w:sz w:val="20"/>
    </w:rPr>
  </w:style>
  <w:style w:type="paragraph" w:customStyle="1" w:styleId="CTA1a">
    <w:name w:val="CTA 1(a)"/>
    <w:basedOn w:val="OPCParaBase"/>
    <w:rsid w:val="00A9581B"/>
    <w:pPr>
      <w:tabs>
        <w:tab w:val="right" w:pos="414"/>
      </w:tabs>
      <w:spacing w:before="40" w:line="240" w:lineRule="atLeast"/>
      <w:ind w:left="675" w:hanging="675"/>
    </w:pPr>
    <w:rPr>
      <w:sz w:val="20"/>
    </w:rPr>
  </w:style>
  <w:style w:type="paragraph" w:customStyle="1" w:styleId="CTA1ai">
    <w:name w:val="CTA 1(a)(i)"/>
    <w:basedOn w:val="OPCParaBase"/>
    <w:rsid w:val="00A9581B"/>
    <w:pPr>
      <w:tabs>
        <w:tab w:val="right" w:pos="1004"/>
      </w:tabs>
      <w:spacing w:before="40" w:line="240" w:lineRule="atLeast"/>
      <w:ind w:left="1253" w:hanging="1253"/>
    </w:pPr>
    <w:rPr>
      <w:sz w:val="20"/>
    </w:rPr>
  </w:style>
  <w:style w:type="paragraph" w:customStyle="1" w:styleId="CTA2a">
    <w:name w:val="CTA 2(a)"/>
    <w:basedOn w:val="OPCParaBase"/>
    <w:rsid w:val="00A9581B"/>
    <w:pPr>
      <w:tabs>
        <w:tab w:val="right" w:pos="482"/>
      </w:tabs>
      <w:spacing w:before="40" w:line="240" w:lineRule="atLeast"/>
      <w:ind w:left="748" w:hanging="748"/>
    </w:pPr>
    <w:rPr>
      <w:sz w:val="20"/>
    </w:rPr>
  </w:style>
  <w:style w:type="paragraph" w:customStyle="1" w:styleId="CTA2ai">
    <w:name w:val="CTA 2(a)(i)"/>
    <w:basedOn w:val="OPCParaBase"/>
    <w:rsid w:val="00A9581B"/>
    <w:pPr>
      <w:tabs>
        <w:tab w:val="right" w:pos="1089"/>
      </w:tabs>
      <w:spacing w:before="40" w:line="240" w:lineRule="atLeast"/>
      <w:ind w:left="1327" w:hanging="1327"/>
    </w:pPr>
    <w:rPr>
      <w:sz w:val="20"/>
    </w:rPr>
  </w:style>
  <w:style w:type="paragraph" w:customStyle="1" w:styleId="CTA3a">
    <w:name w:val="CTA 3(a)"/>
    <w:basedOn w:val="OPCParaBase"/>
    <w:rsid w:val="00A9581B"/>
    <w:pPr>
      <w:tabs>
        <w:tab w:val="right" w:pos="556"/>
      </w:tabs>
      <w:spacing w:before="40" w:line="240" w:lineRule="atLeast"/>
      <w:ind w:left="805" w:hanging="805"/>
    </w:pPr>
    <w:rPr>
      <w:sz w:val="20"/>
    </w:rPr>
  </w:style>
  <w:style w:type="paragraph" w:customStyle="1" w:styleId="CTA3ai">
    <w:name w:val="CTA 3(a)(i)"/>
    <w:basedOn w:val="OPCParaBase"/>
    <w:rsid w:val="00A9581B"/>
    <w:pPr>
      <w:tabs>
        <w:tab w:val="right" w:pos="1140"/>
      </w:tabs>
      <w:spacing w:before="40" w:line="240" w:lineRule="atLeast"/>
      <w:ind w:left="1361" w:hanging="1361"/>
    </w:pPr>
    <w:rPr>
      <w:sz w:val="20"/>
    </w:rPr>
  </w:style>
  <w:style w:type="paragraph" w:customStyle="1" w:styleId="CTA4a">
    <w:name w:val="CTA 4(a)"/>
    <w:basedOn w:val="OPCParaBase"/>
    <w:rsid w:val="00A9581B"/>
    <w:pPr>
      <w:tabs>
        <w:tab w:val="right" w:pos="624"/>
      </w:tabs>
      <w:spacing w:before="40" w:line="240" w:lineRule="atLeast"/>
      <w:ind w:left="873" w:hanging="873"/>
    </w:pPr>
    <w:rPr>
      <w:sz w:val="20"/>
    </w:rPr>
  </w:style>
  <w:style w:type="paragraph" w:customStyle="1" w:styleId="CTA4ai">
    <w:name w:val="CTA 4(a)(i)"/>
    <w:basedOn w:val="OPCParaBase"/>
    <w:rsid w:val="00A9581B"/>
    <w:pPr>
      <w:tabs>
        <w:tab w:val="right" w:pos="1213"/>
      </w:tabs>
      <w:spacing w:before="40" w:line="240" w:lineRule="atLeast"/>
      <w:ind w:left="1452" w:hanging="1452"/>
    </w:pPr>
    <w:rPr>
      <w:sz w:val="20"/>
    </w:rPr>
  </w:style>
  <w:style w:type="paragraph" w:customStyle="1" w:styleId="CTACAPS">
    <w:name w:val="CTA CAPS"/>
    <w:basedOn w:val="OPCParaBase"/>
    <w:rsid w:val="00A9581B"/>
    <w:pPr>
      <w:spacing w:before="60" w:line="240" w:lineRule="atLeast"/>
    </w:pPr>
    <w:rPr>
      <w:sz w:val="20"/>
    </w:rPr>
  </w:style>
  <w:style w:type="paragraph" w:customStyle="1" w:styleId="CTAright">
    <w:name w:val="CTA right"/>
    <w:basedOn w:val="OPCParaBase"/>
    <w:rsid w:val="00A9581B"/>
    <w:pPr>
      <w:spacing w:before="60" w:line="240" w:lineRule="auto"/>
      <w:jc w:val="right"/>
    </w:pPr>
    <w:rPr>
      <w:sz w:val="20"/>
    </w:rPr>
  </w:style>
  <w:style w:type="paragraph" w:customStyle="1" w:styleId="Definition">
    <w:name w:val="Definition"/>
    <w:aliases w:val="dd"/>
    <w:basedOn w:val="OPCParaBase"/>
    <w:rsid w:val="00A9581B"/>
    <w:pPr>
      <w:spacing w:before="180" w:line="240" w:lineRule="auto"/>
      <w:ind w:left="1134"/>
    </w:pPr>
  </w:style>
  <w:style w:type="paragraph" w:customStyle="1" w:styleId="ETAsubitem">
    <w:name w:val="ETA(subitem)"/>
    <w:basedOn w:val="OPCParaBase"/>
    <w:rsid w:val="00A9581B"/>
    <w:pPr>
      <w:tabs>
        <w:tab w:val="right" w:pos="340"/>
      </w:tabs>
      <w:spacing w:before="60" w:line="240" w:lineRule="auto"/>
      <w:ind w:left="454" w:hanging="454"/>
    </w:pPr>
    <w:rPr>
      <w:sz w:val="20"/>
    </w:rPr>
  </w:style>
  <w:style w:type="paragraph" w:customStyle="1" w:styleId="ETApara">
    <w:name w:val="ETA(para)"/>
    <w:basedOn w:val="OPCParaBase"/>
    <w:rsid w:val="00A9581B"/>
    <w:pPr>
      <w:tabs>
        <w:tab w:val="right" w:pos="754"/>
      </w:tabs>
      <w:spacing w:before="60" w:line="240" w:lineRule="auto"/>
      <w:ind w:left="828" w:hanging="828"/>
    </w:pPr>
    <w:rPr>
      <w:sz w:val="20"/>
    </w:rPr>
  </w:style>
  <w:style w:type="paragraph" w:customStyle="1" w:styleId="ETAsubpara">
    <w:name w:val="ETA(subpara)"/>
    <w:basedOn w:val="OPCParaBase"/>
    <w:rsid w:val="00A9581B"/>
    <w:pPr>
      <w:tabs>
        <w:tab w:val="right" w:pos="1083"/>
      </w:tabs>
      <w:spacing w:before="60" w:line="240" w:lineRule="auto"/>
      <w:ind w:left="1191" w:hanging="1191"/>
    </w:pPr>
    <w:rPr>
      <w:sz w:val="20"/>
    </w:rPr>
  </w:style>
  <w:style w:type="paragraph" w:customStyle="1" w:styleId="ETAsub-subpara">
    <w:name w:val="ETA(sub-subpara)"/>
    <w:basedOn w:val="OPCParaBase"/>
    <w:rsid w:val="00A9581B"/>
    <w:pPr>
      <w:tabs>
        <w:tab w:val="right" w:pos="1412"/>
      </w:tabs>
      <w:spacing w:before="60" w:line="240" w:lineRule="auto"/>
      <w:ind w:left="1525" w:hanging="1525"/>
    </w:pPr>
    <w:rPr>
      <w:sz w:val="20"/>
    </w:rPr>
  </w:style>
  <w:style w:type="paragraph" w:customStyle="1" w:styleId="Formula">
    <w:name w:val="Formula"/>
    <w:basedOn w:val="OPCParaBase"/>
    <w:rsid w:val="00A9581B"/>
    <w:pPr>
      <w:spacing w:line="240" w:lineRule="auto"/>
      <w:ind w:left="1134"/>
    </w:pPr>
    <w:rPr>
      <w:sz w:val="20"/>
    </w:rPr>
  </w:style>
  <w:style w:type="paragraph" w:styleId="Header">
    <w:name w:val="header"/>
    <w:basedOn w:val="OPCParaBase"/>
    <w:link w:val="HeaderChar"/>
    <w:unhideWhenUsed/>
    <w:rsid w:val="00A9581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9581B"/>
    <w:rPr>
      <w:rFonts w:eastAsia="Times New Roman" w:cs="Times New Roman"/>
      <w:sz w:val="16"/>
      <w:lang w:eastAsia="en-AU"/>
    </w:rPr>
  </w:style>
  <w:style w:type="paragraph" w:customStyle="1" w:styleId="House">
    <w:name w:val="House"/>
    <w:basedOn w:val="OPCParaBase"/>
    <w:rsid w:val="00A9581B"/>
    <w:pPr>
      <w:spacing w:line="240" w:lineRule="auto"/>
    </w:pPr>
    <w:rPr>
      <w:sz w:val="28"/>
    </w:rPr>
  </w:style>
  <w:style w:type="paragraph" w:customStyle="1" w:styleId="LongT">
    <w:name w:val="LongT"/>
    <w:basedOn w:val="OPCParaBase"/>
    <w:rsid w:val="00A9581B"/>
    <w:pPr>
      <w:spacing w:line="240" w:lineRule="auto"/>
    </w:pPr>
    <w:rPr>
      <w:b/>
      <w:sz w:val="32"/>
    </w:rPr>
  </w:style>
  <w:style w:type="paragraph" w:customStyle="1" w:styleId="notedraft">
    <w:name w:val="note(draft)"/>
    <w:aliases w:val="nd"/>
    <w:basedOn w:val="OPCParaBase"/>
    <w:rsid w:val="00A9581B"/>
    <w:pPr>
      <w:spacing w:before="240" w:line="240" w:lineRule="auto"/>
      <w:ind w:left="284" w:hanging="284"/>
    </w:pPr>
    <w:rPr>
      <w:i/>
      <w:sz w:val="24"/>
    </w:rPr>
  </w:style>
  <w:style w:type="paragraph" w:customStyle="1" w:styleId="notemargin">
    <w:name w:val="note(margin)"/>
    <w:aliases w:val="nm"/>
    <w:basedOn w:val="OPCParaBase"/>
    <w:rsid w:val="00A9581B"/>
    <w:pPr>
      <w:tabs>
        <w:tab w:val="left" w:pos="709"/>
      </w:tabs>
      <w:spacing w:before="122" w:line="198" w:lineRule="exact"/>
      <w:ind w:left="709" w:hanging="709"/>
    </w:pPr>
    <w:rPr>
      <w:sz w:val="18"/>
    </w:rPr>
  </w:style>
  <w:style w:type="paragraph" w:customStyle="1" w:styleId="noteToPara">
    <w:name w:val="noteToPara"/>
    <w:aliases w:val="ntp"/>
    <w:basedOn w:val="OPCParaBase"/>
    <w:rsid w:val="00A9581B"/>
    <w:pPr>
      <w:spacing w:before="122" w:line="198" w:lineRule="exact"/>
      <w:ind w:left="2353" w:hanging="709"/>
    </w:pPr>
    <w:rPr>
      <w:sz w:val="18"/>
    </w:rPr>
  </w:style>
  <w:style w:type="paragraph" w:customStyle="1" w:styleId="noteParlAmend">
    <w:name w:val="note(ParlAmend)"/>
    <w:aliases w:val="npp"/>
    <w:basedOn w:val="OPCParaBase"/>
    <w:next w:val="ParlAmend"/>
    <w:rsid w:val="00A9581B"/>
    <w:pPr>
      <w:spacing w:line="240" w:lineRule="auto"/>
      <w:jc w:val="right"/>
    </w:pPr>
    <w:rPr>
      <w:rFonts w:ascii="Arial" w:hAnsi="Arial"/>
      <w:b/>
      <w:i/>
    </w:rPr>
  </w:style>
  <w:style w:type="paragraph" w:customStyle="1" w:styleId="ParlAmend">
    <w:name w:val="ParlAmend"/>
    <w:aliases w:val="pp"/>
    <w:basedOn w:val="OPCParaBase"/>
    <w:rsid w:val="00A9581B"/>
    <w:pPr>
      <w:spacing w:before="240" w:line="240" w:lineRule="atLeast"/>
      <w:ind w:hanging="567"/>
    </w:pPr>
    <w:rPr>
      <w:sz w:val="24"/>
    </w:rPr>
  </w:style>
  <w:style w:type="paragraph" w:customStyle="1" w:styleId="notetext">
    <w:name w:val="note(text)"/>
    <w:aliases w:val="n"/>
    <w:basedOn w:val="OPCParaBase"/>
    <w:rsid w:val="00A9581B"/>
    <w:pPr>
      <w:spacing w:before="122" w:line="198" w:lineRule="exact"/>
      <w:ind w:left="1985" w:hanging="851"/>
    </w:pPr>
    <w:rPr>
      <w:sz w:val="18"/>
    </w:rPr>
  </w:style>
  <w:style w:type="paragraph" w:customStyle="1" w:styleId="Page1">
    <w:name w:val="Page1"/>
    <w:basedOn w:val="OPCParaBase"/>
    <w:rsid w:val="00A9581B"/>
    <w:pPr>
      <w:spacing w:before="5600" w:line="240" w:lineRule="auto"/>
    </w:pPr>
    <w:rPr>
      <w:b/>
      <w:sz w:val="32"/>
    </w:rPr>
  </w:style>
  <w:style w:type="paragraph" w:customStyle="1" w:styleId="PageBreak">
    <w:name w:val="PageBreak"/>
    <w:aliases w:val="pb"/>
    <w:basedOn w:val="OPCParaBase"/>
    <w:rsid w:val="00A9581B"/>
    <w:pPr>
      <w:spacing w:line="240" w:lineRule="auto"/>
    </w:pPr>
    <w:rPr>
      <w:sz w:val="20"/>
    </w:rPr>
  </w:style>
  <w:style w:type="paragraph" w:customStyle="1" w:styleId="paragraphsub">
    <w:name w:val="paragraph(sub)"/>
    <w:aliases w:val="aa"/>
    <w:basedOn w:val="OPCParaBase"/>
    <w:rsid w:val="00A9581B"/>
    <w:pPr>
      <w:tabs>
        <w:tab w:val="right" w:pos="1985"/>
      </w:tabs>
      <w:spacing w:before="40" w:line="240" w:lineRule="auto"/>
      <w:ind w:left="2098" w:hanging="2098"/>
    </w:pPr>
  </w:style>
  <w:style w:type="paragraph" w:customStyle="1" w:styleId="paragraphsub-sub">
    <w:name w:val="paragraph(sub-sub)"/>
    <w:aliases w:val="aaa"/>
    <w:basedOn w:val="OPCParaBase"/>
    <w:rsid w:val="00A9581B"/>
    <w:pPr>
      <w:tabs>
        <w:tab w:val="right" w:pos="2722"/>
      </w:tabs>
      <w:spacing w:before="40" w:line="240" w:lineRule="auto"/>
      <w:ind w:left="2835" w:hanging="2835"/>
    </w:pPr>
  </w:style>
  <w:style w:type="paragraph" w:customStyle="1" w:styleId="paragraph">
    <w:name w:val="paragraph"/>
    <w:aliases w:val="a"/>
    <w:basedOn w:val="OPCParaBase"/>
    <w:rsid w:val="00A9581B"/>
    <w:pPr>
      <w:tabs>
        <w:tab w:val="right" w:pos="1531"/>
      </w:tabs>
      <w:spacing w:before="40" w:line="240" w:lineRule="auto"/>
      <w:ind w:left="1644" w:hanging="1644"/>
    </w:pPr>
  </w:style>
  <w:style w:type="paragraph" w:customStyle="1" w:styleId="Penalty">
    <w:name w:val="Penalty"/>
    <w:basedOn w:val="OPCParaBase"/>
    <w:rsid w:val="00A9581B"/>
    <w:pPr>
      <w:tabs>
        <w:tab w:val="left" w:pos="2977"/>
      </w:tabs>
      <w:spacing w:before="180" w:line="240" w:lineRule="auto"/>
      <w:ind w:left="1985" w:hanging="851"/>
    </w:pPr>
  </w:style>
  <w:style w:type="paragraph" w:customStyle="1" w:styleId="Portfolio">
    <w:name w:val="Portfolio"/>
    <w:basedOn w:val="OPCParaBase"/>
    <w:rsid w:val="00A9581B"/>
    <w:pPr>
      <w:spacing w:line="240" w:lineRule="auto"/>
    </w:pPr>
    <w:rPr>
      <w:i/>
      <w:sz w:val="20"/>
    </w:rPr>
  </w:style>
  <w:style w:type="paragraph" w:customStyle="1" w:styleId="Preamble">
    <w:name w:val="Preamble"/>
    <w:basedOn w:val="OPCParaBase"/>
    <w:next w:val="Normal"/>
    <w:rsid w:val="00A9581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9581B"/>
    <w:pPr>
      <w:spacing w:line="240" w:lineRule="auto"/>
    </w:pPr>
    <w:rPr>
      <w:i/>
      <w:sz w:val="20"/>
    </w:rPr>
  </w:style>
  <w:style w:type="paragraph" w:customStyle="1" w:styleId="Session">
    <w:name w:val="Session"/>
    <w:basedOn w:val="OPCParaBase"/>
    <w:rsid w:val="00A9581B"/>
    <w:pPr>
      <w:spacing w:line="240" w:lineRule="auto"/>
    </w:pPr>
    <w:rPr>
      <w:sz w:val="28"/>
    </w:rPr>
  </w:style>
  <w:style w:type="paragraph" w:customStyle="1" w:styleId="Sponsor">
    <w:name w:val="Sponsor"/>
    <w:basedOn w:val="OPCParaBase"/>
    <w:rsid w:val="00A9581B"/>
    <w:pPr>
      <w:spacing w:line="240" w:lineRule="auto"/>
    </w:pPr>
    <w:rPr>
      <w:i/>
    </w:rPr>
  </w:style>
  <w:style w:type="paragraph" w:customStyle="1" w:styleId="Subitem">
    <w:name w:val="Subitem"/>
    <w:aliases w:val="iss"/>
    <w:basedOn w:val="OPCParaBase"/>
    <w:rsid w:val="00A9581B"/>
    <w:pPr>
      <w:spacing w:before="180" w:line="240" w:lineRule="auto"/>
      <w:ind w:left="709" w:hanging="709"/>
    </w:pPr>
  </w:style>
  <w:style w:type="paragraph" w:customStyle="1" w:styleId="SubitemHead">
    <w:name w:val="SubitemHead"/>
    <w:aliases w:val="issh"/>
    <w:basedOn w:val="OPCParaBase"/>
    <w:rsid w:val="00A9581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9581B"/>
    <w:pPr>
      <w:spacing w:before="40" w:line="240" w:lineRule="auto"/>
      <w:ind w:left="1134"/>
    </w:pPr>
  </w:style>
  <w:style w:type="paragraph" w:customStyle="1" w:styleId="SubsectionHead">
    <w:name w:val="SubsectionHead"/>
    <w:aliases w:val="ssh"/>
    <w:basedOn w:val="OPCParaBase"/>
    <w:next w:val="subsection"/>
    <w:rsid w:val="00A9581B"/>
    <w:pPr>
      <w:keepNext/>
      <w:keepLines/>
      <w:spacing w:before="240" w:line="240" w:lineRule="auto"/>
      <w:ind w:left="1134"/>
    </w:pPr>
    <w:rPr>
      <w:i/>
    </w:rPr>
  </w:style>
  <w:style w:type="paragraph" w:customStyle="1" w:styleId="Tablea">
    <w:name w:val="Table(a)"/>
    <w:aliases w:val="ta"/>
    <w:basedOn w:val="OPCParaBase"/>
    <w:rsid w:val="00A9581B"/>
    <w:pPr>
      <w:spacing w:before="60" w:line="240" w:lineRule="auto"/>
      <w:ind w:left="284" w:hanging="284"/>
    </w:pPr>
    <w:rPr>
      <w:sz w:val="20"/>
    </w:rPr>
  </w:style>
  <w:style w:type="paragraph" w:customStyle="1" w:styleId="TableAA">
    <w:name w:val="Table(AA)"/>
    <w:aliases w:val="taaa"/>
    <w:basedOn w:val="OPCParaBase"/>
    <w:rsid w:val="00A9581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9581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9581B"/>
    <w:pPr>
      <w:spacing w:before="60" w:line="240" w:lineRule="atLeast"/>
    </w:pPr>
    <w:rPr>
      <w:sz w:val="20"/>
    </w:rPr>
  </w:style>
  <w:style w:type="paragraph" w:customStyle="1" w:styleId="TLPBoxTextnote">
    <w:name w:val="TLPBoxText(note"/>
    <w:aliases w:val="right)"/>
    <w:basedOn w:val="OPCParaBase"/>
    <w:rsid w:val="00A9581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9581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9581B"/>
    <w:pPr>
      <w:spacing w:before="122" w:line="198" w:lineRule="exact"/>
      <w:ind w:left="1985" w:hanging="851"/>
      <w:jc w:val="right"/>
    </w:pPr>
    <w:rPr>
      <w:sz w:val="18"/>
    </w:rPr>
  </w:style>
  <w:style w:type="paragraph" w:customStyle="1" w:styleId="TLPTableBullet">
    <w:name w:val="TLPTableBullet"/>
    <w:aliases w:val="ttb"/>
    <w:basedOn w:val="OPCParaBase"/>
    <w:rsid w:val="00A9581B"/>
    <w:pPr>
      <w:spacing w:line="240" w:lineRule="exact"/>
      <w:ind w:left="284" w:hanging="284"/>
    </w:pPr>
    <w:rPr>
      <w:sz w:val="20"/>
    </w:rPr>
  </w:style>
  <w:style w:type="paragraph" w:styleId="TOC1">
    <w:name w:val="toc 1"/>
    <w:basedOn w:val="OPCParaBase"/>
    <w:next w:val="Normal"/>
    <w:uiPriority w:val="39"/>
    <w:unhideWhenUsed/>
    <w:rsid w:val="00A9581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9581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9581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9581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9581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9581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9581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9581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9581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9581B"/>
    <w:pPr>
      <w:keepLines/>
      <w:spacing w:before="240" w:after="120" w:line="240" w:lineRule="auto"/>
      <w:ind w:left="794"/>
    </w:pPr>
    <w:rPr>
      <w:b/>
      <w:kern w:val="28"/>
      <w:sz w:val="20"/>
    </w:rPr>
  </w:style>
  <w:style w:type="paragraph" w:customStyle="1" w:styleId="TofSectsSection">
    <w:name w:val="TofSects(Section)"/>
    <w:basedOn w:val="OPCParaBase"/>
    <w:rsid w:val="00A9581B"/>
    <w:pPr>
      <w:keepLines/>
      <w:spacing w:before="40" w:line="240" w:lineRule="auto"/>
      <w:ind w:left="1588" w:hanging="794"/>
    </w:pPr>
    <w:rPr>
      <w:kern w:val="28"/>
      <w:sz w:val="18"/>
    </w:rPr>
  </w:style>
  <w:style w:type="paragraph" w:customStyle="1" w:styleId="TofSectsHeading">
    <w:name w:val="TofSects(Heading)"/>
    <w:basedOn w:val="OPCParaBase"/>
    <w:rsid w:val="00A9581B"/>
    <w:pPr>
      <w:spacing w:before="240" w:after="120" w:line="240" w:lineRule="auto"/>
    </w:pPr>
    <w:rPr>
      <w:b/>
      <w:sz w:val="24"/>
    </w:rPr>
  </w:style>
  <w:style w:type="paragraph" w:customStyle="1" w:styleId="TofSectsSubdiv">
    <w:name w:val="TofSects(Subdiv)"/>
    <w:basedOn w:val="OPCParaBase"/>
    <w:rsid w:val="00A9581B"/>
    <w:pPr>
      <w:keepLines/>
      <w:spacing w:before="80" w:line="240" w:lineRule="auto"/>
      <w:ind w:left="1588" w:hanging="794"/>
    </w:pPr>
    <w:rPr>
      <w:kern w:val="28"/>
    </w:rPr>
  </w:style>
  <w:style w:type="paragraph" w:customStyle="1" w:styleId="WRStyle">
    <w:name w:val="WR Style"/>
    <w:aliases w:val="WR"/>
    <w:basedOn w:val="OPCParaBase"/>
    <w:rsid w:val="00A9581B"/>
    <w:pPr>
      <w:spacing w:before="240" w:line="240" w:lineRule="auto"/>
      <w:ind w:left="284" w:hanging="284"/>
    </w:pPr>
    <w:rPr>
      <w:b/>
      <w:i/>
      <w:kern w:val="28"/>
      <w:sz w:val="24"/>
    </w:rPr>
  </w:style>
  <w:style w:type="paragraph" w:customStyle="1" w:styleId="notepara">
    <w:name w:val="note(para)"/>
    <w:aliases w:val="na"/>
    <w:basedOn w:val="OPCParaBase"/>
    <w:rsid w:val="00A9581B"/>
    <w:pPr>
      <w:spacing w:before="40" w:line="198" w:lineRule="exact"/>
      <w:ind w:left="2354" w:hanging="369"/>
    </w:pPr>
    <w:rPr>
      <w:sz w:val="18"/>
    </w:rPr>
  </w:style>
  <w:style w:type="paragraph" w:styleId="Footer">
    <w:name w:val="footer"/>
    <w:link w:val="FooterChar"/>
    <w:rsid w:val="00A9581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9581B"/>
    <w:rPr>
      <w:rFonts w:eastAsia="Times New Roman" w:cs="Times New Roman"/>
      <w:sz w:val="22"/>
      <w:szCs w:val="24"/>
      <w:lang w:eastAsia="en-AU"/>
    </w:rPr>
  </w:style>
  <w:style w:type="character" w:styleId="LineNumber">
    <w:name w:val="line number"/>
    <w:basedOn w:val="OPCCharBase"/>
    <w:uiPriority w:val="99"/>
    <w:semiHidden/>
    <w:unhideWhenUsed/>
    <w:rsid w:val="00A9581B"/>
    <w:rPr>
      <w:sz w:val="16"/>
    </w:rPr>
  </w:style>
  <w:style w:type="table" w:customStyle="1" w:styleId="CFlag">
    <w:name w:val="CFlag"/>
    <w:basedOn w:val="TableNormal"/>
    <w:uiPriority w:val="99"/>
    <w:rsid w:val="00A9581B"/>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58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81B"/>
    <w:rPr>
      <w:rFonts w:ascii="Tahoma" w:hAnsi="Tahoma" w:cs="Tahoma"/>
      <w:sz w:val="16"/>
      <w:szCs w:val="16"/>
    </w:rPr>
  </w:style>
  <w:style w:type="character" w:styleId="Hyperlink">
    <w:name w:val="Hyperlink"/>
    <w:basedOn w:val="DefaultParagraphFont"/>
    <w:rsid w:val="00A9581B"/>
    <w:rPr>
      <w:color w:val="0000FF"/>
      <w:u w:val="single"/>
    </w:rPr>
  </w:style>
  <w:style w:type="table" w:styleId="TableGrid">
    <w:name w:val="Table Grid"/>
    <w:basedOn w:val="TableNormal"/>
    <w:uiPriority w:val="59"/>
    <w:rsid w:val="00A95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A9581B"/>
    <w:rPr>
      <w:b/>
      <w:sz w:val="28"/>
      <w:szCs w:val="32"/>
    </w:rPr>
  </w:style>
  <w:style w:type="paragraph" w:customStyle="1" w:styleId="TerritoryT">
    <w:name w:val="TerritoryT"/>
    <w:basedOn w:val="OPCParaBase"/>
    <w:next w:val="Normal"/>
    <w:rsid w:val="00A9581B"/>
    <w:rPr>
      <w:b/>
      <w:sz w:val="32"/>
    </w:rPr>
  </w:style>
  <w:style w:type="paragraph" w:customStyle="1" w:styleId="LegislationMadeUnder">
    <w:name w:val="LegislationMadeUnder"/>
    <w:basedOn w:val="OPCParaBase"/>
    <w:next w:val="Normal"/>
    <w:rsid w:val="00A9581B"/>
    <w:rPr>
      <w:i/>
      <w:sz w:val="32"/>
      <w:szCs w:val="32"/>
    </w:rPr>
  </w:style>
  <w:style w:type="paragraph" w:customStyle="1" w:styleId="SignCoverPageEnd">
    <w:name w:val="SignCoverPageEnd"/>
    <w:basedOn w:val="OPCParaBase"/>
    <w:next w:val="Normal"/>
    <w:rsid w:val="00A9581B"/>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A9581B"/>
    <w:pPr>
      <w:pBdr>
        <w:top w:val="single" w:sz="4" w:space="1" w:color="auto"/>
      </w:pBdr>
      <w:spacing w:before="360"/>
      <w:ind w:right="397"/>
      <w:jc w:val="both"/>
    </w:pPr>
  </w:style>
  <w:style w:type="paragraph" w:customStyle="1" w:styleId="NotesHeading1">
    <w:name w:val="NotesHeading 1"/>
    <w:basedOn w:val="OPCParaBase"/>
    <w:next w:val="Normal"/>
    <w:rsid w:val="00A9581B"/>
    <w:rPr>
      <w:b/>
      <w:sz w:val="28"/>
      <w:szCs w:val="28"/>
    </w:rPr>
  </w:style>
  <w:style w:type="paragraph" w:customStyle="1" w:styleId="NotesHeading2">
    <w:name w:val="NotesHeading 2"/>
    <w:basedOn w:val="OPCParaBase"/>
    <w:next w:val="Normal"/>
    <w:rsid w:val="00A9581B"/>
    <w:rPr>
      <w:b/>
      <w:sz w:val="28"/>
      <w:szCs w:val="28"/>
    </w:rPr>
  </w:style>
  <w:style w:type="paragraph" w:customStyle="1" w:styleId="ENotesText">
    <w:name w:val="ENotesText"/>
    <w:basedOn w:val="OPCParaBase"/>
    <w:next w:val="Normal"/>
    <w:rsid w:val="00A9581B"/>
  </w:style>
  <w:style w:type="paragraph" w:customStyle="1" w:styleId="CompiledActNo">
    <w:name w:val="CompiledActNo"/>
    <w:basedOn w:val="OPCParaBase"/>
    <w:next w:val="Normal"/>
    <w:rsid w:val="00A9581B"/>
    <w:rPr>
      <w:b/>
      <w:sz w:val="24"/>
      <w:szCs w:val="24"/>
    </w:rPr>
  </w:style>
  <w:style w:type="paragraph" w:customStyle="1" w:styleId="CompiledMadeUnder">
    <w:name w:val="CompiledMadeUnder"/>
    <w:basedOn w:val="OPCParaBase"/>
    <w:next w:val="Normal"/>
    <w:rsid w:val="00A9581B"/>
    <w:rPr>
      <w:i/>
      <w:sz w:val="24"/>
      <w:szCs w:val="24"/>
    </w:rPr>
  </w:style>
  <w:style w:type="paragraph" w:customStyle="1" w:styleId="Paragraphsub-sub-sub">
    <w:name w:val="Paragraph(sub-sub-sub)"/>
    <w:aliases w:val="aaaa"/>
    <w:basedOn w:val="OPCParaBase"/>
    <w:rsid w:val="00A9581B"/>
    <w:pPr>
      <w:tabs>
        <w:tab w:val="right" w:pos="3402"/>
      </w:tabs>
      <w:spacing w:before="40" w:line="240" w:lineRule="auto"/>
      <w:ind w:left="3402" w:hanging="3402"/>
    </w:pPr>
  </w:style>
  <w:style w:type="paragraph" w:customStyle="1" w:styleId="TableHeading">
    <w:name w:val="TableHeading"/>
    <w:aliases w:val="th"/>
    <w:basedOn w:val="OPCParaBase"/>
    <w:next w:val="Tabletext"/>
    <w:rsid w:val="00A9581B"/>
    <w:pPr>
      <w:keepNext/>
      <w:spacing w:before="60" w:line="240" w:lineRule="atLeast"/>
    </w:pPr>
    <w:rPr>
      <w:b/>
      <w:sz w:val="20"/>
    </w:rPr>
  </w:style>
  <w:style w:type="paragraph" w:customStyle="1" w:styleId="NoteToSubpara">
    <w:name w:val="NoteToSubpara"/>
    <w:aliases w:val="nts"/>
    <w:basedOn w:val="OPCParaBase"/>
    <w:rsid w:val="00A9581B"/>
    <w:pPr>
      <w:spacing w:before="40" w:line="198" w:lineRule="exact"/>
      <w:ind w:left="2835" w:hanging="709"/>
    </w:pPr>
    <w:rPr>
      <w:sz w:val="18"/>
    </w:rPr>
  </w:style>
  <w:style w:type="paragraph" w:customStyle="1" w:styleId="EndNotespara">
    <w:name w:val="EndNotes(para)"/>
    <w:aliases w:val="eta"/>
    <w:basedOn w:val="OPCParaBase"/>
    <w:next w:val="Normal"/>
    <w:rsid w:val="00A9581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9581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A9581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9581B"/>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A9581B"/>
    <w:pPr>
      <w:keepNext/>
      <w:spacing w:before="60" w:line="240" w:lineRule="atLeast"/>
    </w:pPr>
    <w:rPr>
      <w:rFonts w:ascii="Arial" w:hAnsi="Arial"/>
      <w:b/>
      <w:sz w:val="16"/>
    </w:rPr>
  </w:style>
  <w:style w:type="paragraph" w:customStyle="1" w:styleId="ENoteTTi">
    <w:name w:val="ENoteTTi"/>
    <w:aliases w:val="entti"/>
    <w:basedOn w:val="OPCParaBase"/>
    <w:rsid w:val="00A9581B"/>
    <w:pPr>
      <w:keepNext/>
      <w:spacing w:before="60" w:line="240" w:lineRule="atLeast"/>
      <w:ind w:left="170"/>
    </w:pPr>
    <w:rPr>
      <w:sz w:val="16"/>
    </w:rPr>
  </w:style>
  <w:style w:type="paragraph" w:customStyle="1" w:styleId="ENotesHeading1">
    <w:name w:val="ENotesHeading 1"/>
    <w:aliases w:val="Enh1"/>
    <w:basedOn w:val="OPCParaBase"/>
    <w:next w:val="Normal"/>
    <w:rsid w:val="00A9581B"/>
    <w:pPr>
      <w:spacing w:before="120"/>
      <w:outlineLvl w:val="1"/>
    </w:pPr>
    <w:rPr>
      <w:b/>
      <w:sz w:val="28"/>
      <w:szCs w:val="28"/>
    </w:rPr>
  </w:style>
  <w:style w:type="paragraph" w:customStyle="1" w:styleId="ENotesHeading2">
    <w:name w:val="ENotesHeading 2"/>
    <w:aliases w:val="Enh2"/>
    <w:basedOn w:val="OPCParaBase"/>
    <w:next w:val="Normal"/>
    <w:rsid w:val="00A9581B"/>
    <w:pPr>
      <w:spacing w:before="120" w:after="120"/>
      <w:outlineLvl w:val="2"/>
    </w:pPr>
    <w:rPr>
      <w:b/>
      <w:sz w:val="24"/>
      <w:szCs w:val="28"/>
    </w:rPr>
  </w:style>
  <w:style w:type="paragraph" w:customStyle="1" w:styleId="ENoteTTIndentHeading">
    <w:name w:val="ENoteTTIndentHeading"/>
    <w:aliases w:val="enTTHi"/>
    <w:basedOn w:val="OPCParaBase"/>
    <w:rsid w:val="00A9581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9581B"/>
    <w:pPr>
      <w:spacing w:before="60" w:line="240" w:lineRule="atLeast"/>
    </w:pPr>
    <w:rPr>
      <w:sz w:val="16"/>
    </w:rPr>
  </w:style>
  <w:style w:type="paragraph" w:customStyle="1" w:styleId="MadeunderText">
    <w:name w:val="MadeunderText"/>
    <w:basedOn w:val="OPCParaBase"/>
    <w:next w:val="CompiledMadeUnder"/>
    <w:rsid w:val="00A9581B"/>
    <w:pPr>
      <w:spacing w:before="240"/>
    </w:pPr>
    <w:rPr>
      <w:sz w:val="24"/>
      <w:szCs w:val="24"/>
    </w:rPr>
  </w:style>
  <w:style w:type="paragraph" w:customStyle="1" w:styleId="ENotesHeading3">
    <w:name w:val="ENotesHeading 3"/>
    <w:aliases w:val="Enh3"/>
    <w:basedOn w:val="OPCParaBase"/>
    <w:next w:val="Normal"/>
    <w:rsid w:val="00A9581B"/>
    <w:pPr>
      <w:keepNext/>
      <w:spacing w:before="120" w:line="240" w:lineRule="auto"/>
      <w:outlineLvl w:val="4"/>
    </w:pPr>
    <w:rPr>
      <w:b/>
      <w:szCs w:val="24"/>
    </w:rPr>
  </w:style>
  <w:style w:type="paragraph" w:customStyle="1" w:styleId="SubPartCASA">
    <w:name w:val="SubPart(CASA)"/>
    <w:aliases w:val="csp"/>
    <w:basedOn w:val="OPCParaBase"/>
    <w:next w:val="ActHead3"/>
    <w:rsid w:val="00A9581B"/>
    <w:pPr>
      <w:keepNext/>
      <w:keepLines/>
      <w:spacing w:before="280"/>
      <w:outlineLvl w:val="1"/>
    </w:pPr>
    <w:rPr>
      <w:b/>
      <w:kern w:val="28"/>
      <w:sz w:val="32"/>
    </w:rPr>
  </w:style>
  <w:style w:type="character" w:customStyle="1" w:styleId="CharSubPartTextCASA">
    <w:name w:val="CharSubPartText(CASA)"/>
    <w:basedOn w:val="OPCCharBase"/>
    <w:uiPriority w:val="1"/>
    <w:rsid w:val="00A9581B"/>
  </w:style>
  <w:style w:type="character" w:customStyle="1" w:styleId="CharSubPartNoCASA">
    <w:name w:val="CharSubPartNo(CASA)"/>
    <w:basedOn w:val="OPCCharBase"/>
    <w:uiPriority w:val="1"/>
    <w:rsid w:val="00A9581B"/>
  </w:style>
  <w:style w:type="paragraph" w:customStyle="1" w:styleId="ENoteTTIndentHeadingSub">
    <w:name w:val="ENoteTTIndentHeadingSub"/>
    <w:aliases w:val="enTTHis"/>
    <w:basedOn w:val="OPCParaBase"/>
    <w:rsid w:val="00A9581B"/>
    <w:pPr>
      <w:keepNext/>
      <w:spacing w:before="60" w:line="240" w:lineRule="atLeast"/>
      <w:ind w:left="340"/>
    </w:pPr>
    <w:rPr>
      <w:b/>
      <w:sz w:val="16"/>
    </w:rPr>
  </w:style>
  <w:style w:type="paragraph" w:customStyle="1" w:styleId="ENoteTTiSub">
    <w:name w:val="ENoteTTiSub"/>
    <w:aliases w:val="enttis"/>
    <w:basedOn w:val="OPCParaBase"/>
    <w:rsid w:val="00A9581B"/>
    <w:pPr>
      <w:keepNext/>
      <w:spacing w:before="60" w:line="240" w:lineRule="atLeast"/>
      <w:ind w:left="340"/>
    </w:pPr>
    <w:rPr>
      <w:sz w:val="16"/>
    </w:rPr>
  </w:style>
  <w:style w:type="paragraph" w:customStyle="1" w:styleId="SubDivisionMigration">
    <w:name w:val="SubDivisionMigration"/>
    <w:aliases w:val="sdm"/>
    <w:basedOn w:val="OPCParaBase"/>
    <w:rsid w:val="00A9581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9581B"/>
    <w:pPr>
      <w:keepNext/>
      <w:keepLines/>
      <w:spacing w:before="240" w:line="240" w:lineRule="auto"/>
      <w:ind w:left="1134" w:hanging="1134"/>
    </w:pPr>
    <w:rPr>
      <w:b/>
      <w:sz w:val="28"/>
    </w:rPr>
  </w:style>
  <w:style w:type="character" w:customStyle="1" w:styleId="CharSchPTNo">
    <w:name w:val="CharSchPTNo"/>
    <w:rsid w:val="00724B25"/>
  </w:style>
  <w:style w:type="character" w:customStyle="1" w:styleId="CharSchPTText">
    <w:name w:val="CharSchPTText"/>
    <w:rsid w:val="00724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9353">
      <w:bodyDiv w:val="1"/>
      <w:marLeft w:val="0"/>
      <w:marRight w:val="0"/>
      <w:marTop w:val="0"/>
      <w:marBottom w:val="0"/>
      <w:divBdr>
        <w:top w:val="none" w:sz="0" w:space="0" w:color="auto"/>
        <w:left w:val="none" w:sz="0" w:space="0" w:color="auto"/>
        <w:bottom w:val="none" w:sz="0" w:space="0" w:color="auto"/>
        <w:right w:val="none" w:sz="0" w:space="0" w:color="auto"/>
      </w:divBdr>
      <w:divsChild>
        <w:div w:id="355082022">
          <w:marLeft w:val="0"/>
          <w:marRight w:val="0"/>
          <w:marTop w:val="0"/>
          <w:marBottom w:val="0"/>
          <w:divBdr>
            <w:top w:val="none" w:sz="0" w:space="0" w:color="auto"/>
            <w:left w:val="none" w:sz="0" w:space="0" w:color="auto"/>
            <w:bottom w:val="none" w:sz="0" w:space="0" w:color="auto"/>
            <w:right w:val="none" w:sz="0" w:space="0" w:color="auto"/>
          </w:divBdr>
          <w:divsChild>
            <w:div w:id="836266025">
              <w:marLeft w:val="0"/>
              <w:marRight w:val="0"/>
              <w:marTop w:val="0"/>
              <w:marBottom w:val="0"/>
              <w:divBdr>
                <w:top w:val="none" w:sz="0" w:space="0" w:color="auto"/>
                <w:left w:val="none" w:sz="0" w:space="0" w:color="auto"/>
                <w:bottom w:val="none" w:sz="0" w:space="0" w:color="auto"/>
                <w:right w:val="none" w:sz="0" w:space="0" w:color="auto"/>
              </w:divBdr>
              <w:divsChild>
                <w:div w:id="2128742702">
                  <w:marLeft w:val="0"/>
                  <w:marRight w:val="0"/>
                  <w:marTop w:val="0"/>
                  <w:marBottom w:val="0"/>
                  <w:divBdr>
                    <w:top w:val="none" w:sz="0" w:space="0" w:color="auto"/>
                    <w:left w:val="none" w:sz="0" w:space="0" w:color="auto"/>
                    <w:bottom w:val="none" w:sz="0" w:space="0" w:color="auto"/>
                    <w:right w:val="none" w:sz="0" w:space="0" w:color="auto"/>
                  </w:divBdr>
                  <w:divsChild>
                    <w:div w:id="434862232">
                      <w:marLeft w:val="0"/>
                      <w:marRight w:val="0"/>
                      <w:marTop w:val="0"/>
                      <w:marBottom w:val="0"/>
                      <w:divBdr>
                        <w:top w:val="none" w:sz="0" w:space="0" w:color="auto"/>
                        <w:left w:val="none" w:sz="0" w:space="0" w:color="auto"/>
                        <w:bottom w:val="none" w:sz="0" w:space="0" w:color="auto"/>
                        <w:right w:val="none" w:sz="0" w:space="0" w:color="auto"/>
                      </w:divBdr>
                      <w:divsChild>
                        <w:div w:id="305669540">
                          <w:marLeft w:val="0"/>
                          <w:marRight w:val="0"/>
                          <w:marTop w:val="0"/>
                          <w:marBottom w:val="0"/>
                          <w:divBdr>
                            <w:top w:val="single" w:sz="6" w:space="0" w:color="828282"/>
                            <w:left w:val="single" w:sz="6" w:space="0" w:color="828282"/>
                            <w:bottom w:val="single" w:sz="6" w:space="0" w:color="828282"/>
                            <w:right w:val="single" w:sz="6" w:space="0" w:color="828282"/>
                          </w:divBdr>
                          <w:divsChild>
                            <w:div w:id="911964252">
                              <w:marLeft w:val="0"/>
                              <w:marRight w:val="0"/>
                              <w:marTop w:val="0"/>
                              <w:marBottom w:val="0"/>
                              <w:divBdr>
                                <w:top w:val="none" w:sz="0" w:space="0" w:color="auto"/>
                                <w:left w:val="none" w:sz="0" w:space="0" w:color="auto"/>
                                <w:bottom w:val="none" w:sz="0" w:space="0" w:color="auto"/>
                                <w:right w:val="none" w:sz="0" w:space="0" w:color="auto"/>
                              </w:divBdr>
                              <w:divsChild>
                                <w:div w:id="109016894">
                                  <w:marLeft w:val="0"/>
                                  <w:marRight w:val="0"/>
                                  <w:marTop w:val="0"/>
                                  <w:marBottom w:val="0"/>
                                  <w:divBdr>
                                    <w:top w:val="none" w:sz="0" w:space="0" w:color="auto"/>
                                    <w:left w:val="none" w:sz="0" w:space="0" w:color="auto"/>
                                    <w:bottom w:val="none" w:sz="0" w:space="0" w:color="auto"/>
                                    <w:right w:val="none" w:sz="0" w:space="0" w:color="auto"/>
                                  </w:divBdr>
                                  <w:divsChild>
                                    <w:div w:id="220334796">
                                      <w:marLeft w:val="0"/>
                                      <w:marRight w:val="0"/>
                                      <w:marTop w:val="0"/>
                                      <w:marBottom w:val="0"/>
                                      <w:divBdr>
                                        <w:top w:val="none" w:sz="0" w:space="0" w:color="auto"/>
                                        <w:left w:val="none" w:sz="0" w:space="0" w:color="auto"/>
                                        <w:bottom w:val="none" w:sz="0" w:space="0" w:color="auto"/>
                                        <w:right w:val="none" w:sz="0" w:space="0" w:color="auto"/>
                                      </w:divBdr>
                                      <w:divsChild>
                                        <w:div w:id="1828400915">
                                          <w:marLeft w:val="0"/>
                                          <w:marRight w:val="0"/>
                                          <w:marTop w:val="0"/>
                                          <w:marBottom w:val="0"/>
                                          <w:divBdr>
                                            <w:top w:val="none" w:sz="0" w:space="0" w:color="auto"/>
                                            <w:left w:val="none" w:sz="0" w:space="0" w:color="auto"/>
                                            <w:bottom w:val="none" w:sz="0" w:space="0" w:color="auto"/>
                                            <w:right w:val="none" w:sz="0" w:space="0" w:color="auto"/>
                                          </w:divBdr>
                                          <w:divsChild>
                                            <w:div w:id="2015959718">
                                              <w:marLeft w:val="0"/>
                                              <w:marRight w:val="0"/>
                                              <w:marTop w:val="0"/>
                                              <w:marBottom w:val="0"/>
                                              <w:divBdr>
                                                <w:top w:val="none" w:sz="0" w:space="0" w:color="auto"/>
                                                <w:left w:val="none" w:sz="0" w:space="0" w:color="auto"/>
                                                <w:bottom w:val="none" w:sz="0" w:space="0" w:color="auto"/>
                                                <w:right w:val="none" w:sz="0" w:space="0" w:color="auto"/>
                                              </w:divBdr>
                                              <w:divsChild>
                                                <w:div w:id="9060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79842">
      <w:bodyDiv w:val="1"/>
      <w:marLeft w:val="0"/>
      <w:marRight w:val="0"/>
      <w:marTop w:val="0"/>
      <w:marBottom w:val="0"/>
      <w:divBdr>
        <w:top w:val="none" w:sz="0" w:space="0" w:color="auto"/>
        <w:left w:val="none" w:sz="0" w:space="0" w:color="auto"/>
        <w:bottom w:val="none" w:sz="0" w:space="0" w:color="auto"/>
        <w:right w:val="none" w:sz="0" w:space="0" w:color="auto"/>
      </w:divBdr>
      <w:divsChild>
        <w:div w:id="2120878711">
          <w:marLeft w:val="0"/>
          <w:marRight w:val="0"/>
          <w:marTop w:val="0"/>
          <w:marBottom w:val="0"/>
          <w:divBdr>
            <w:top w:val="none" w:sz="0" w:space="0" w:color="auto"/>
            <w:left w:val="none" w:sz="0" w:space="0" w:color="auto"/>
            <w:bottom w:val="none" w:sz="0" w:space="0" w:color="auto"/>
            <w:right w:val="none" w:sz="0" w:space="0" w:color="auto"/>
          </w:divBdr>
          <w:divsChild>
            <w:div w:id="21053371">
              <w:marLeft w:val="0"/>
              <w:marRight w:val="0"/>
              <w:marTop w:val="0"/>
              <w:marBottom w:val="0"/>
              <w:divBdr>
                <w:top w:val="none" w:sz="0" w:space="0" w:color="auto"/>
                <w:left w:val="none" w:sz="0" w:space="0" w:color="auto"/>
                <w:bottom w:val="none" w:sz="0" w:space="0" w:color="auto"/>
                <w:right w:val="none" w:sz="0" w:space="0" w:color="auto"/>
              </w:divBdr>
              <w:divsChild>
                <w:div w:id="270943524">
                  <w:marLeft w:val="0"/>
                  <w:marRight w:val="0"/>
                  <w:marTop w:val="0"/>
                  <w:marBottom w:val="0"/>
                  <w:divBdr>
                    <w:top w:val="none" w:sz="0" w:space="0" w:color="auto"/>
                    <w:left w:val="none" w:sz="0" w:space="0" w:color="auto"/>
                    <w:bottom w:val="none" w:sz="0" w:space="0" w:color="auto"/>
                    <w:right w:val="none" w:sz="0" w:space="0" w:color="auto"/>
                  </w:divBdr>
                  <w:divsChild>
                    <w:div w:id="1794588917">
                      <w:marLeft w:val="0"/>
                      <w:marRight w:val="0"/>
                      <w:marTop w:val="0"/>
                      <w:marBottom w:val="0"/>
                      <w:divBdr>
                        <w:top w:val="none" w:sz="0" w:space="0" w:color="auto"/>
                        <w:left w:val="none" w:sz="0" w:space="0" w:color="auto"/>
                        <w:bottom w:val="none" w:sz="0" w:space="0" w:color="auto"/>
                        <w:right w:val="none" w:sz="0" w:space="0" w:color="auto"/>
                      </w:divBdr>
                      <w:divsChild>
                        <w:div w:id="1251279805">
                          <w:marLeft w:val="0"/>
                          <w:marRight w:val="0"/>
                          <w:marTop w:val="0"/>
                          <w:marBottom w:val="0"/>
                          <w:divBdr>
                            <w:top w:val="single" w:sz="6" w:space="0" w:color="828282"/>
                            <w:left w:val="single" w:sz="6" w:space="0" w:color="828282"/>
                            <w:bottom w:val="single" w:sz="6" w:space="0" w:color="828282"/>
                            <w:right w:val="single" w:sz="6" w:space="0" w:color="828282"/>
                          </w:divBdr>
                          <w:divsChild>
                            <w:div w:id="1447846934">
                              <w:marLeft w:val="0"/>
                              <w:marRight w:val="0"/>
                              <w:marTop w:val="0"/>
                              <w:marBottom w:val="0"/>
                              <w:divBdr>
                                <w:top w:val="none" w:sz="0" w:space="0" w:color="auto"/>
                                <w:left w:val="none" w:sz="0" w:space="0" w:color="auto"/>
                                <w:bottom w:val="none" w:sz="0" w:space="0" w:color="auto"/>
                                <w:right w:val="none" w:sz="0" w:space="0" w:color="auto"/>
                              </w:divBdr>
                              <w:divsChild>
                                <w:div w:id="2124222624">
                                  <w:marLeft w:val="0"/>
                                  <w:marRight w:val="0"/>
                                  <w:marTop w:val="0"/>
                                  <w:marBottom w:val="0"/>
                                  <w:divBdr>
                                    <w:top w:val="none" w:sz="0" w:space="0" w:color="auto"/>
                                    <w:left w:val="none" w:sz="0" w:space="0" w:color="auto"/>
                                    <w:bottom w:val="none" w:sz="0" w:space="0" w:color="auto"/>
                                    <w:right w:val="none" w:sz="0" w:space="0" w:color="auto"/>
                                  </w:divBdr>
                                  <w:divsChild>
                                    <w:div w:id="1508396882">
                                      <w:marLeft w:val="0"/>
                                      <w:marRight w:val="0"/>
                                      <w:marTop w:val="0"/>
                                      <w:marBottom w:val="0"/>
                                      <w:divBdr>
                                        <w:top w:val="none" w:sz="0" w:space="0" w:color="auto"/>
                                        <w:left w:val="none" w:sz="0" w:space="0" w:color="auto"/>
                                        <w:bottom w:val="none" w:sz="0" w:space="0" w:color="auto"/>
                                        <w:right w:val="none" w:sz="0" w:space="0" w:color="auto"/>
                                      </w:divBdr>
                                      <w:divsChild>
                                        <w:div w:id="106780430">
                                          <w:marLeft w:val="0"/>
                                          <w:marRight w:val="0"/>
                                          <w:marTop w:val="0"/>
                                          <w:marBottom w:val="0"/>
                                          <w:divBdr>
                                            <w:top w:val="none" w:sz="0" w:space="0" w:color="auto"/>
                                            <w:left w:val="none" w:sz="0" w:space="0" w:color="auto"/>
                                            <w:bottom w:val="none" w:sz="0" w:space="0" w:color="auto"/>
                                            <w:right w:val="none" w:sz="0" w:space="0" w:color="auto"/>
                                          </w:divBdr>
                                          <w:divsChild>
                                            <w:div w:id="754588741">
                                              <w:marLeft w:val="0"/>
                                              <w:marRight w:val="0"/>
                                              <w:marTop w:val="0"/>
                                              <w:marBottom w:val="0"/>
                                              <w:divBdr>
                                                <w:top w:val="none" w:sz="0" w:space="0" w:color="auto"/>
                                                <w:left w:val="none" w:sz="0" w:space="0" w:color="auto"/>
                                                <w:bottom w:val="none" w:sz="0" w:space="0" w:color="auto"/>
                                                <w:right w:val="none" w:sz="0" w:space="0" w:color="auto"/>
                                              </w:divBdr>
                                              <w:divsChild>
                                                <w:div w:id="14182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731073">
      <w:bodyDiv w:val="1"/>
      <w:marLeft w:val="0"/>
      <w:marRight w:val="0"/>
      <w:marTop w:val="0"/>
      <w:marBottom w:val="0"/>
      <w:divBdr>
        <w:top w:val="none" w:sz="0" w:space="0" w:color="auto"/>
        <w:left w:val="none" w:sz="0" w:space="0" w:color="auto"/>
        <w:bottom w:val="none" w:sz="0" w:space="0" w:color="auto"/>
        <w:right w:val="none" w:sz="0" w:space="0" w:color="auto"/>
      </w:divBdr>
      <w:divsChild>
        <w:div w:id="281302463">
          <w:marLeft w:val="0"/>
          <w:marRight w:val="0"/>
          <w:marTop w:val="0"/>
          <w:marBottom w:val="0"/>
          <w:divBdr>
            <w:top w:val="none" w:sz="0" w:space="0" w:color="auto"/>
            <w:left w:val="none" w:sz="0" w:space="0" w:color="auto"/>
            <w:bottom w:val="none" w:sz="0" w:space="0" w:color="auto"/>
            <w:right w:val="none" w:sz="0" w:space="0" w:color="auto"/>
          </w:divBdr>
          <w:divsChild>
            <w:div w:id="1718581373">
              <w:marLeft w:val="0"/>
              <w:marRight w:val="0"/>
              <w:marTop w:val="0"/>
              <w:marBottom w:val="0"/>
              <w:divBdr>
                <w:top w:val="none" w:sz="0" w:space="0" w:color="auto"/>
                <w:left w:val="none" w:sz="0" w:space="0" w:color="auto"/>
                <w:bottom w:val="none" w:sz="0" w:space="0" w:color="auto"/>
                <w:right w:val="none" w:sz="0" w:space="0" w:color="auto"/>
              </w:divBdr>
              <w:divsChild>
                <w:div w:id="641815203">
                  <w:marLeft w:val="0"/>
                  <w:marRight w:val="0"/>
                  <w:marTop w:val="0"/>
                  <w:marBottom w:val="0"/>
                  <w:divBdr>
                    <w:top w:val="none" w:sz="0" w:space="0" w:color="auto"/>
                    <w:left w:val="none" w:sz="0" w:space="0" w:color="auto"/>
                    <w:bottom w:val="none" w:sz="0" w:space="0" w:color="auto"/>
                    <w:right w:val="none" w:sz="0" w:space="0" w:color="auto"/>
                  </w:divBdr>
                  <w:divsChild>
                    <w:div w:id="346635583">
                      <w:marLeft w:val="0"/>
                      <w:marRight w:val="0"/>
                      <w:marTop w:val="0"/>
                      <w:marBottom w:val="0"/>
                      <w:divBdr>
                        <w:top w:val="none" w:sz="0" w:space="0" w:color="auto"/>
                        <w:left w:val="none" w:sz="0" w:space="0" w:color="auto"/>
                        <w:bottom w:val="none" w:sz="0" w:space="0" w:color="auto"/>
                        <w:right w:val="none" w:sz="0" w:space="0" w:color="auto"/>
                      </w:divBdr>
                      <w:divsChild>
                        <w:div w:id="227422472">
                          <w:marLeft w:val="0"/>
                          <w:marRight w:val="0"/>
                          <w:marTop w:val="0"/>
                          <w:marBottom w:val="0"/>
                          <w:divBdr>
                            <w:top w:val="none" w:sz="0" w:space="0" w:color="auto"/>
                            <w:left w:val="none" w:sz="0" w:space="0" w:color="auto"/>
                            <w:bottom w:val="none" w:sz="0" w:space="0" w:color="auto"/>
                            <w:right w:val="none" w:sz="0" w:space="0" w:color="auto"/>
                          </w:divBdr>
                          <w:divsChild>
                            <w:div w:id="12262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401066">
      <w:bodyDiv w:val="1"/>
      <w:marLeft w:val="0"/>
      <w:marRight w:val="0"/>
      <w:marTop w:val="0"/>
      <w:marBottom w:val="0"/>
      <w:divBdr>
        <w:top w:val="none" w:sz="0" w:space="0" w:color="auto"/>
        <w:left w:val="none" w:sz="0" w:space="0" w:color="auto"/>
        <w:bottom w:val="none" w:sz="0" w:space="0" w:color="auto"/>
        <w:right w:val="none" w:sz="0" w:space="0" w:color="auto"/>
      </w:divBdr>
      <w:divsChild>
        <w:div w:id="1564869416">
          <w:marLeft w:val="0"/>
          <w:marRight w:val="0"/>
          <w:marTop w:val="0"/>
          <w:marBottom w:val="0"/>
          <w:divBdr>
            <w:top w:val="none" w:sz="0" w:space="0" w:color="auto"/>
            <w:left w:val="none" w:sz="0" w:space="0" w:color="auto"/>
            <w:bottom w:val="none" w:sz="0" w:space="0" w:color="auto"/>
            <w:right w:val="none" w:sz="0" w:space="0" w:color="auto"/>
          </w:divBdr>
          <w:divsChild>
            <w:div w:id="1494105698">
              <w:marLeft w:val="0"/>
              <w:marRight w:val="0"/>
              <w:marTop w:val="0"/>
              <w:marBottom w:val="0"/>
              <w:divBdr>
                <w:top w:val="none" w:sz="0" w:space="0" w:color="auto"/>
                <w:left w:val="none" w:sz="0" w:space="0" w:color="auto"/>
                <w:bottom w:val="none" w:sz="0" w:space="0" w:color="auto"/>
                <w:right w:val="none" w:sz="0" w:space="0" w:color="auto"/>
              </w:divBdr>
              <w:divsChild>
                <w:div w:id="828791056">
                  <w:marLeft w:val="0"/>
                  <w:marRight w:val="0"/>
                  <w:marTop w:val="0"/>
                  <w:marBottom w:val="0"/>
                  <w:divBdr>
                    <w:top w:val="none" w:sz="0" w:space="0" w:color="auto"/>
                    <w:left w:val="none" w:sz="0" w:space="0" w:color="auto"/>
                    <w:bottom w:val="none" w:sz="0" w:space="0" w:color="auto"/>
                    <w:right w:val="none" w:sz="0" w:space="0" w:color="auto"/>
                  </w:divBdr>
                  <w:divsChild>
                    <w:div w:id="28459808">
                      <w:marLeft w:val="0"/>
                      <w:marRight w:val="0"/>
                      <w:marTop w:val="0"/>
                      <w:marBottom w:val="0"/>
                      <w:divBdr>
                        <w:top w:val="none" w:sz="0" w:space="0" w:color="auto"/>
                        <w:left w:val="none" w:sz="0" w:space="0" w:color="auto"/>
                        <w:bottom w:val="none" w:sz="0" w:space="0" w:color="auto"/>
                        <w:right w:val="none" w:sz="0" w:space="0" w:color="auto"/>
                      </w:divBdr>
                      <w:divsChild>
                        <w:div w:id="1081490240">
                          <w:marLeft w:val="0"/>
                          <w:marRight w:val="0"/>
                          <w:marTop w:val="0"/>
                          <w:marBottom w:val="0"/>
                          <w:divBdr>
                            <w:top w:val="none" w:sz="0" w:space="0" w:color="auto"/>
                            <w:left w:val="none" w:sz="0" w:space="0" w:color="auto"/>
                            <w:bottom w:val="none" w:sz="0" w:space="0" w:color="auto"/>
                            <w:right w:val="none" w:sz="0" w:space="0" w:color="auto"/>
                          </w:divBdr>
                          <w:divsChild>
                            <w:div w:id="1661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168577">
      <w:bodyDiv w:val="1"/>
      <w:marLeft w:val="0"/>
      <w:marRight w:val="0"/>
      <w:marTop w:val="0"/>
      <w:marBottom w:val="0"/>
      <w:divBdr>
        <w:top w:val="none" w:sz="0" w:space="0" w:color="auto"/>
        <w:left w:val="none" w:sz="0" w:space="0" w:color="auto"/>
        <w:bottom w:val="none" w:sz="0" w:space="0" w:color="auto"/>
        <w:right w:val="none" w:sz="0" w:space="0" w:color="auto"/>
      </w:divBdr>
      <w:divsChild>
        <w:div w:id="76099882">
          <w:marLeft w:val="0"/>
          <w:marRight w:val="0"/>
          <w:marTop w:val="0"/>
          <w:marBottom w:val="0"/>
          <w:divBdr>
            <w:top w:val="none" w:sz="0" w:space="0" w:color="auto"/>
            <w:left w:val="none" w:sz="0" w:space="0" w:color="auto"/>
            <w:bottom w:val="none" w:sz="0" w:space="0" w:color="auto"/>
            <w:right w:val="none" w:sz="0" w:space="0" w:color="auto"/>
          </w:divBdr>
          <w:divsChild>
            <w:div w:id="1364792455">
              <w:marLeft w:val="0"/>
              <w:marRight w:val="0"/>
              <w:marTop w:val="0"/>
              <w:marBottom w:val="0"/>
              <w:divBdr>
                <w:top w:val="none" w:sz="0" w:space="0" w:color="auto"/>
                <w:left w:val="none" w:sz="0" w:space="0" w:color="auto"/>
                <w:bottom w:val="none" w:sz="0" w:space="0" w:color="auto"/>
                <w:right w:val="none" w:sz="0" w:space="0" w:color="auto"/>
              </w:divBdr>
              <w:divsChild>
                <w:div w:id="1407192511">
                  <w:marLeft w:val="0"/>
                  <w:marRight w:val="0"/>
                  <w:marTop w:val="0"/>
                  <w:marBottom w:val="0"/>
                  <w:divBdr>
                    <w:top w:val="none" w:sz="0" w:space="0" w:color="auto"/>
                    <w:left w:val="none" w:sz="0" w:space="0" w:color="auto"/>
                    <w:bottom w:val="none" w:sz="0" w:space="0" w:color="auto"/>
                    <w:right w:val="none" w:sz="0" w:space="0" w:color="auto"/>
                  </w:divBdr>
                  <w:divsChild>
                    <w:div w:id="840584309">
                      <w:marLeft w:val="0"/>
                      <w:marRight w:val="0"/>
                      <w:marTop w:val="0"/>
                      <w:marBottom w:val="0"/>
                      <w:divBdr>
                        <w:top w:val="none" w:sz="0" w:space="0" w:color="auto"/>
                        <w:left w:val="none" w:sz="0" w:space="0" w:color="auto"/>
                        <w:bottom w:val="none" w:sz="0" w:space="0" w:color="auto"/>
                        <w:right w:val="none" w:sz="0" w:space="0" w:color="auto"/>
                      </w:divBdr>
                      <w:divsChild>
                        <w:div w:id="329794446">
                          <w:marLeft w:val="0"/>
                          <w:marRight w:val="0"/>
                          <w:marTop w:val="0"/>
                          <w:marBottom w:val="0"/>
                          <w:divBdr>
                            <w:top w:val="single" w:sz="6" w:space="0" w:color="828282"/>
                            <w:left w:val="single" w:sz="6" w:space="0" w:color="828282"/>
                            <w:bottom w:val="single" w:sz="6" w:space="0" w:color="828282"/>
                            <w:right w:val="single" w:sz="6" w:space="0" w:color="828282"/>
                          </w:divBdr>
                          <w:divsChild>
                            <w:div w:id="1943537511">
                              <w:marLeft w:val="0"/>
                              <w:marRight w:val="0"/>
                              <w:marTop w:val="0"/>
                              <w:marBottom w:val="0"/>
                              <w:divBdr>
                                <w:top w:val="none" w:sz="0" w:space="0" w:color="auto"/>
                                <w:left w:val="none" w:sz="0" w:space="0" w:color="auto"/>
                                <w:bottom w:val="none" w:sz="0" w:space="0" w:color="auto"/>
                                <w:right w:val="none" w:sz="0" w:space="0" w:color="auto"/>
                              </w:divBdr>
                              <w:divsChild>
                                <w:div w:id="1220550761">
                                  <w:marLeft w:val="0"/>
                                  <w:marRight w:val="0"/>
                                  <w:marTop w:val="0"/>
                                  <w:marBottom w:val="0"/>
                                  <w:divBdr>
                                    <w:top w:val="none" w:sz="0" w:space="0" w:color="auto"/>
                                    <w:left w:val="none" w:sz="0" w:space="0" w:color="auto"/>
                                    <w:bottom w:val="none" w:sz="0" w:space="0" w:color="auto"/>
                                    <w:right w:val="none" w:sz="0" w:space="0" w:color="auto"/>
                                  </w:divBdr>
                                  <w:divsChild>
                                    <w:div w:id="523976838">
                                      <w:marLeft w:val="0"/>
                                      <w:marRight w:val="0"/>
                                      <w:marTop w:val="0"/>
                                      <w:marBottom w:val="0"/>
                                      <w:divBdr>
                                        <w:top w:val="none" w:sz="0" w:space="0" w:color="auto"/>
                                        <w:left w:val="none" w:sz="0" w:space="0" w:color="auto"/>
                                        <w:bottom w:val="none" w:sz="0" w:space="0" w:color="auto"/>
                                        <w:right w:val="none" w:sz="0" w:space="0" w:color="auto"/>
                                      </w:divBdr>
                                      <w:divsChild>
                                        <w:div w:id="98726077">
                                          <w:marLeft w:val="0"/>
                                          <w:marRight w:val="0"/>
                                          <w:marTop w:val="0"/>
                                          <w:marBottom w:val="0"/>
                                          <w:divBdr>
                                            <w:top w:val="none" w:sz="0" w:space="0" w:color="auto"/>
                                            <w:left w:val="none" w:sz="0" w:space="0" w:color="auto"/>
                                            <w:bottom w:val="none" w:sz="0" w:space="0" w:color="auto"/>
                                            <w:right w:val="none" w:sz="0" w:space="0" w:color="auto"/>
                                          </w:divBdr>
                                          <w:divsChild>
                                            <w:div w:id="362484787">
                                              <w:marLeft w:val="0"/>
                                              <w:marRight w:val="0"/>
                                              <w:marTop w:val="0"/>
                                              <w:marBottom w:val="0"/>
                                              <w:divBdr>
                                                <w:top w:val="none" w:sz="0" w:space="0" w:color="auto"/>
                                                <w:left w:val="none" w:sz="0" w:space="0" w:color="auto"/>
                                                <w:bottom w:val="none" w:sz="0" w:space="0" w:color="auto"/>
                                                <w:right w:val="none" w:sz="0" w:space="0" w:color="auto"/>
                                              </w:divBdr>
                                              <w:divsChild>
                                                <w:div w:id="37323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62846">
      <w:bodyDiv w:val="1"/>
      <w:marLeft w:val="0"/>
      <w:marRight w:val="0"/>
      <w:marTop w:val="0"/>
      <w:marBottom w:val="0"/>
      <w:divBdr>
        <w:top w:val="none" w:sz="0" w:space="0" w:color="auto"/>
        <w:left w:val="none" w:sz="0" w:space="0" w:color="auto"/>
        <w:bottom w:val="none" w:sz="0" w:space="0" w:color="auto"/>
        <w:right w:val="none" w:sz="0" w:space="0" w:color="auto"/>
      </w:divBdr>
      <w:divsChild>
        <w:div w:id="1831168979">
          <w:marLeft w:val="0"/>
          <w:marRight w:val="0"/>
          <w:marTop w:val="0"/>
          <w:marBottom w:val="0"/>
          <w:divBdr>
            <w:top w:val="none" w:sz="0" w:space="0" w:color="auto"/>
            <w:left w:val="none" w:sz="0" w:space="0" w:color="auto"/>
            <w:bottom w:val="none" w:sz="0" w:space="0" w:color="auto"/>
            <w:right w:val="none" w:sz="0" w:space="0" w:color="auto"/>
          </w:divBdr>
          <w:divsChild>
            <w:div w:id="751972435">
              <w:marLeft w:val="0"/>
              <w:marRight w:val="0"/>
              <w:marTop w:val="0"/>
              <w:marBottom w:val="0"/>
              <w:divBdr>
                <w:top w:val="none" w:sz="0" w:space="0" w:color="auto"/>
                <w:left w:val="none" w:sz="0" w:space="0" w:color="auto"/>
                <w:bottom w:val="none" w:sz="0" w:space="0" w:color="auto"/>
                <w:right w:val="none" w:sz="0" w:space="0" w:color="auto"/>
              </w:divBdr>
              <w:divsChild>
                <w:div w:id="1851261536">
                  <w:marLeft w:val="0"/>
                  <w:marRight w:val="0"/>
                  <w:marTop w:val="0"/>
                  <w:marBottom w:val="0"/>
                  <w:divBdr>
                    <w:top w:val="none" w:sz="0" w:space="0" w:color="auto"/>
                    <w:left w:val="none" w:sz="0" w:space="0" w:color="auto"/>
                    <w:bottom w:val="none" w:sz="0" w:space="0" w:color="auto"/>
                    <w:right w:val="none" w:sz="0" w:space="0" w:color="auto"/>
                  </w:divBdr>
                  <w:divsChild>
                    <w:div w:id="508258134">
                      <w:marLeft w:val="0"/>
                      <w:marRight w:val="0"/>
                      <w:marTop w:val="0"/>
                      <w:marBottom w:val="0"/>
                      <w:divBdr>
                        <w:top w:val="none" w:sz="0" w:space="0" w:color="auto"/>
                        <w:left w:val="none" w:sz="0" w:space="0" w:color="auto"/>
                        <w:bottom w:val="none" w:sz="0" w:space="0" w:color="auto"/>
                        <w:right w:val="none" w:sz="0" w:space="0" w:color="auto"/>
                      </w:divBdr>
                      <w:divsChild>
                        <w:div w:id="1936009376">
                          <w:marLeft w:val="0"/>
                          <w:marRight w:val="0"/>
                          <w:marTop w:val="0"/>
                          <w:marBottom w:val="0"/>
                          <w:divBdr>
                            <w:top w:val="single" w:sz="6" w:space="0" w:color="828282"/>
                            <w:left w:val="single" w:sz="6" w:space="0" w:color="828282"/>
                            <w:bottom w:val="single" w:sz="6" w:space="0" w:color="828282"/>
                            <w:right w:val="single" w:sz="6" w:space="0" w:color="828282"/>
                          </w:divBdr>
                          <w:divsChild>
                            <w:div w:id="1291982689">
                              <w:marLeft w:val="0"/>
                              <w:marRight w:val="0"/>
                              <w:marTop w:val="0"/>
                              <w:marBottom w:val="0"/>
                              <w:divBdr>
                                <w:top w:val="none" w:sz="0" w:space="0" w:color="auto"/>
                                <w:left w:val="none" w:sz="0" w:space="0" w:color="auto"/>
                                <w:bottom w:val="none" w:sz="0" w:space="0" w:color="auto"/>
                                <w:right w:val="none" w:sz="0" w:space="0" w:color="auto"/>
                              </w:divBdr>
                              <w:divsChild>
                                <w:div w:id="606739537">
                                  <w:marLeft w:val="0"/>
                                  <w:marRight w:val="0"/>
                                  <w:marTop w:val="0"/>
                                  <w:marBottom w:val="0"/>
                                  <w:divBdr>
                                    <w:top w:val="none" w:sz="0" w:space="0" w:color="auto"/>
                                    <w:left w:val="none" w:sz="0" w:space="0" w:color="auto"/>
                                    <w:bottom w:val="none" w:sz="0" w:space="0" w:color="auto"/>
                                    <w:right w:val="none" w:sz="0" w:space="0" w:color="auto"/>
                                  </w:divBdr>
                                  <w:divsChild>
                                    <w:div w:id="183204757">
                                      <w:marLeft w:val="0"/>
                                      <w:marRight w:val="0"/>
                                      <w:marTop w:val="0"/>
                                      <w:marBottom w:val="0"/>
                                      <w:divBdr>
                                        <w:top w:val="none" w:sz="0" w:space="0" w:color="auto"/>
                                        <w:left w:val="none" w:sz="0" w:space="0" w:color="auto"/>
                                        <w:bottom w:val="none" w:sz="0" w:space="0" w:color="auto"/>
                                        <w:right w:val="none" w:sz="0" w:space="0" w:color="auto"/>
                                      </w:divBdr>
                                      <w:divsChild>
                                        <w:div w:id="747655077">
                                          <w:marLeft w:val="0"/>
                                          <w:marRight w:val="0"/>
                                          <w:marTop w:val="0"/>
                                          <w:marBottom w:val="0"/>
                                          <w:divBdr>
                                            <w:top w:val="none" w:sz="0" w:space="0" w:color="auto"/>
                                            <w:left w:val="none" w:sz="0" w:space="0" w:color="auto"/>
                                            <w:bottom w:val="none" w:sz="0" w:space="0" w:color="auto"/>
                                            <w:right w:val="none" w:sz="0" w:space="0" w:color="auto"/>
                                          </w:divBdr>
                                          <w:divsChild>
                                            <w:div w:id="1710495597">
                                              <w:marLeft w:val="0"/>
                                              <w:marRight w:val="0"/>
                                              <w:marTop w:val="0"/>
                                              <w:marBottom w:val="0"/>
                                              <w:divBdr>
                                                <w:top w:val="none" w:sz="0" w:space="0" w:color="auto"/>
                                                <w:left w:val="none" w:sz="0" w:space="0" w:color="auto"/>
                                                <w:bottom w:val="none" w:sz="0" w:space="0" w:color="auto"/>
                                                <w:right w:val="none" w:sz="0" w:space="0" w:color="auto"/>
                                              </w:divBdr>
                                              <w:divsChild>
                                                <w:div w:id="3672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9647758">
      <w:bodyDiv w:val="1"/>
      <w:marLeft w:val="0"/>
      <w:marRight w:val="0"/>
      <w:marTop w:val="0"/>
      <w:marBottom w:val="0"/>
      <w:divBdr>
        <w:top w:val="none" w:sz="0" w:space="0" w:color="auto"/>
        <w:left w:val="none" w:sz="0" w:space="0" w:color="auto"/>
        <w:bottom w:val="none" w:sz="0" w:space="0" w:color="auto"/>
        <w:right w:val="none" w:sz="0" w:space="0" w:color="auto"/>
      </w:divBdr>
      <w:divsChild>
        <w:div w:id="124086827">
          <w:marLeft w:val="0"/>
          <w:marRight w:val="0"/>
          <w:marTop w:val="0"/>
          <w:marBottom w:val="0"/>
          <w:divBdr>
            <w:top w:val="none" w:sz="0" w:space="0" w:color="auto"/>
            <w:left w:val="none" w:sz="0" w:space="0" w:color="auto"/>
            <w:bottom w:val="none" w:sz="0" w:space="0" w:color="auto"/>
            <w:right w:val="none" w:sz="0" w:space="0" w:color="auto"/>
          </w:divBdr>
          <w:divsChild>
            <w:div w:id="1682854060">
              <w:marLeft w:val="0"/>
              <w:marRight w:val="0"/>
              <w:marTop w:val="0"/>
              <w:marBottom w:val="0"/>
              <w:divBdr>
                <w:top w:val="none" w:sz="0" w:space="0" w:color="auto"/>
                <w:left w:val="none" w:sz="0" w:space="0" w:color="auto"/>
                <w:bottom w:val="none" w:sz="0" w:space="0" w:color="auto"/>
                <w:right w:val="none" w:sz="0" w:space="0" w:color="auto"/>
              </w:divBdr>
              <w:divsChild>
                <w:div w:id="727995153">
                  <w:marLeft w:val="0"/>
                  <w:marRight w:val="0"/>
                  <w:marTop w:val="0"/>
                  <w:marBottom w:val="0"/>
                  <w:divBdr>
                    <w:top w:val="none" w:sz="0" w:space="0" w:color="auto"/>
                    <w:left w:val="none" w:sz="0" w:space="0" w:color="auto"/>
                    <w:bottom w:val="none" w:sz="0" w:space="0" w:color="auto"/>
                    <w:right w:val="none" w:sz="0" w:space="0" w:color="auto"/>
                  </w:divBdr>
                  <w:divsChild>
                    <w:div w:id="248539595">
                      <w:marLeft w:val="0"/>
                      <w:marRight w:val="0"/>
                      <w:marTop w:val="0"/>
                      <w:marBottom w:val="0"/>
                      <w:divBdr>
                        <w:top w:val="none" w:sz="0" w:space="0" w:color="auto"/>
                        <w:left w:val="none" w:sz="0" w:space="0" w:color="auto"/>
                        <w:bottom w:val="none" w:sz="0" w:space="0" w:color="auto"/>
                        <w:right w:val="none" w:sz="0" w:space="0" w:color="auto"/>
                      </w:divBdr>
                      <w:divsChild>
                        <w:div w:id="472140916">
                          <w:marLeft w:val="0"/>
                          <w:marRight w:val="0"/>
                          <w:marTop w:val="0"/>
                          <w:marBottom w:val="0"/>
                          <w:divBdr>
                            <w:top w:val="single" w:sz="6" w:space="0" w:color="828282"/>
                            <w:left w:val="single" w:sz="6" w:space="0" w:color="828282"/>
                            <w:bottom w:val="single" w:sz="6" w:space="0" w:color="828282"/>
                            <w:right w:val="single" w:sz="6" w:space="0" w:color="828282"/>
                          </w:divBdr>
                          <w:divsChild>
                            <w:div w:id="2006131625">
                              <w:marLeft w:val="0"/>
                              <w:marRight w:val="0"/>
                              <w:marTop w:val="0"/>
                              <w:marBottom w:val="0"/>
                              <w:divBdr>
                                <w:top w:val="none" w:sz="0" w:space="0" w:color="auto"/>
                                <w:left w:val="none" w:sz="0" w:space="0" w:color="auto"/>
                                <w:bottom w:val="none" w:sz="0" w:space="0" w:color="auto"/>
                                <w:right w:val="none" w:sz="0" w:space="0" w:color="auto"/>
                              </w:divBdr>
                              <w:divsChild>
                                <w:div w:id="105389628">
                                  <w:marLeft w:val="0"/>
                                  <w:marRight w:val="0"/>
                                  <w:marTop w:val="0"/>
                                  <w:marBottom w:val="0"/>
                                  <w:divBdr>
                                    <w:top w:val="none" w:sz="0" w:space="0" w:color="auto"/>
                                    <w:left w:val="none" w:sz="0" w:space="0" w:color="auto"/>
                                    <w:bottom w:val="none" w:sz="0" w:space="0" w:color="auto"/>
                                    <w:right w:val="none" w:sz="0" w:space="0" w:color="auto"/>
                                  </w:divBdr>
                                  <w:divsChild>
                                    <w:div w:id="1667171966">
                                      <w:marLeft w:val="0"/>
                                      <w:marRight w:val="0"/>
                                      <w:marTop w:val="0"/>
                                      <w:marBottom w:val="0"/>
                                      <w:divBdr>
                                        <w:top w:val="none" w:sz="0" w:space="0" w:color="auto"/>
                                        <w:left w:val="none" w:sz="0" w:space="0" w:color="auto"/>
                                        <w:bottom w:val="none" w:sz="0" w:space="0" w:color="auto"/>
                                        <w:right w:val="none" w:sz="0" w:space="0" w:color="auto"/>
                                      </w:divBdr>
                                      <w:divsChild>
                                        <w:div w:id="1131441369">
                                          <w:marLeft w:val="0"/>
                                          <w:marRight w:val="0"/>
                                          <w:marTop w:val="0"/>
                                          <w:marBottom w:val="0"/>
                                          <w:divBdr>
                                            <w:top w:val="none" w:sz="0" w:space="0" w:color="auto"/>
                                            <w:left w:val="none" w:sz="0" w:space="0" w:color="auto"/>
                                            <w:bottom w:val="none" w:sz="0" w:space="0" w:color="auto"/>
                                            <w:right w:val="none" w:sz="0" w:space="0" w:color="auto"/>
                                          </w:divBdr>
                                          <w:divsChild>
                                            <w:div w:id="1199585105">
                                              <w:marLeft w:val="0"/>
                                              <w:marRight w:val="0"/>
                                              <w:marTop w:val="0"/>
                                              <w:marBottom w:val="0"/>
                                              <w:divBdr>
                                                <w:top w:val="none" w:sz="0" w:space="0" w:color="auto"/>
                                                <w:left w:val="none" w:sz="0" w:space="0" w:color="auto"/>
                                                <w:bottom w:val="none" w:sz="0" w:space="0" w:color="auto"/>
                                                <w:right w:val="none" w:sz="0" w:space="0" w:color="auto"/>
                                              </w:divBdr>
                                              <w:divsChild>
                                                <w:div w:id="2273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6326893">
      <w:bodyDiv w:val="1"/>
      <w:marLeft w:val="0"/>
      <w:marRight w:val="0"/>
      <w:marTop w:val="0"/>
      <w:marBottom w:val="0"/>
      <w:divBdr>
        <w:top w:val="none" w:sz="0" w:space="0" w:color="auto"/>
        <w:left w:val="none" w:sz="0" w:space="0" w:color="auto"/>
        <w:bottom w:val="none" w:sz="0" w:space="0" w:color="auto"/>
        <w:right w:val="none" w:sz="0" w:space="0" w:color="auto"/>
      </w:divBdr>
      <w:divsChild>
        <w:div w:id="1404257757">
          <w:marLeft w:val="0"/>
          <w:marRight w:val="0"/>
          <w:marTop w:val="0"/>
          <w:marBottom w:val="0"/>
          <w:divBdr>
            <w:top w:val="none" w:sz="0" w:space="0" w:color="auto"/>
            <w:left w:val="none" w:sz="0" w:space="0" w:color="auto"/>
            <w:bottom w:val="none" w:sz="0" w:space="0" w:color="auto"/>
            <w:right w:val="none" w:sz="0" w:space="0" w:color="auto"/>
          </w:divBdr>
          <w:divsChild>
            <w:div w:id="641547590">
              <w:marLeft w:val="0"/>
              <w:marRight w:val="0"/>
              <w:marTop w:val="0"/>
              <w:marBottom w:val="0"/>
              <w:divBdr>
                <w:top w:val="none" w:sz="0" w:space="0" w:color="auto"/>
                <w:left w:val="none" w:sz="0" w:space="0" w:color="auto"/>
                <w:bottom w:val="none" w:sz="0" w:space="0" w:color="auto"/>
                <w:right w:val="none" w:sz="0" w:space="0" w:color="auto"/>
              </w:divBdr>
              <w:divsChild>
                <w:div w:id="1938514121">
                  <w:marLeft w:val="0"/>
                  <w:marRight w:val="0"/>
                  <w:marTop w:val="0"/>
                  <w:marBottom w:val="0"/>
                  <w:divBdr>
                    <w:top w:val="none" w:sz="0" w:space="0" w:color="auto"/>
                    <w:left w:val="none" w:sz="0" w:space="0" w:color="auto"/>
                    <w:bottom w:val="none" w:sz="0" w:space="0" w:color="auto"/>
                    <w:right w:val="none" w:sz="0" w:space="0" w:color="auto"/>
                  </w:divBdr>
                  <w:divsChild>
                    <w:div w:id="472913948">
                      <w:marLeft w:val="0"/>
                      <w:marRight w:val="0"/>
                      <w:marTop w:val="0"/>
                      <w:marBottom w:val="0"/>
                      <w:divBdr>
                        <w:top w:val="none" w:sz="0" w:space="0" w:color="auto"/>
                        <w:left w:val="none" w:sz="0" w:space="0" w:color="auto"/>
                        <w:bottom w:val="none" w:sz="0" w:space="0" w:color="auto"/>
                        <w:right w:val="none" w:sz="0" w:space="0" w:color="auto"/>
                      </w:divBdr>
                      <w:divsChild>
                        <w:div w:id="1007176593">
                          <w:marLeft w:val="0"/>
                          <w:marRight w:val="0"/>
                          <w:marTop w:val="0"/>
                          <w:marBottom w:val="0"/>
                          <w:divBdr>
                            <w:top w:val="single" w:sz="6" w:space="0" w:color="828282"/>
                            <w:left w:val="single" w:sz="6" w:space="0" w:color="828282"/>
                            <w:bottom w:val="single" w:sz="6" w:space="0" w:color="828282"/>
                            <w:right w:val="single" w:sz="6" w:space="0" w:color="828282"/>
                          </w:divBdr>
                          <w:divsChild>
                            <w:div w:id="15467555">
                              <w:marLeft w:val="0"/>
                              <w:marRight w:val="0"/>
                              <w:marTop w:val="0"/>
                              <w:marBottom w:val="0"/>
                              <w:divBdr>
                                <w:top w:val="none" w:sz="0" w:space="0" w:color="auto"/>
                                <w:left w:val="none" w:sz="0" w:space="0" w:color="auto"/>
                                <w:bottom w:val="none" w:sz="0" w:space="0" w:color="auto"/>
                                <w:right w:val="none" w:sz="0" w:space="0" w:color="auto"/>
                              </w:divBdr>
                              <w:divsChild>
                                <w:div w:id="1970431283">
                                  <w:marLeft w:val="0"/>
                                  <w:marRight w:val="0"/>
                                  <w:marTop w:val="0"/>
                                  <w:marBottom w:val="0"/>
                                  <w:divBdr>
                                    <w:top w:val="none" w:sz="0" w:space="0" w:color="auto"/>
                                    <w:left w:val="none" w:sz="0" w:space="0" w:color="auto"/>
                                    <w:bottom w:val="none" w:sz="0" w:space="0" w:color="auto"/>
                                    <w:right w:val="none" w:sz="0" w:space="0" w:color="auto"/>
                                  </w:divBdr>
                                  <w:divsChild>
                                    <w:div w:id="2127384193">
                                      <w:marLeft w:val="0"/>
                                      <w:marRight w:val="0"/>
                                      <w:marTop w:val="0"/>
                                      <w:marBottom w:val="0"/>
                                      <w:divBdr>
                                        <w:top w:val="none" w:sz="0" w:space="0" w:color="auto"/>
                                        <w:left w:val="none" w:sz="0" w:space="0" w:color="auto"/>
                                        <w:bottom w:val="none" w:sz="0" w:space="0" w:color="auto"/>
                                        <w:right w:val="none" w:sz="0" w:space="0" w:color="auto"/>
                                      </w:divBdr>
                                      <w:divsChild>
                                        <w:div w:id="1575890547">
                                          <w:marLeft w:val="0"/>
                                          <w:marRight w:val="0"/>
                                          <w:marTop w:val="0"/>
                                          <w:marBottom w:val="0"/>
                                          <w:divBdr>
                                            <w:top w:val="none" w:sz="0" w:space="0" w:color="auto"/>
                                            <w:left w:val="none" w:sz="0" w:space="0" w:color="auto"/>
                                            <w:bottom w:val="none" w:sz="0" w:space="0" w:color="auto"/>
                                            <w:right w:val="none" w:sz="0" w:space="0" w:color="auto"/>
                                          </w:divBdr>
                                          <w:divsChild>
                                            <w:div w:id="983971713">
                                              <w:marLeft w:val="0"/>
                                              <w:marRight w:val="0"/>
                                              <w:marTop w:val="0"/>
                                              <w:marBottom w:val="0"/>
                                              <w:divBdr>
                                                <w:top w:val="none" w:sz="0" w:space="0" w:color="auto"/>
                                                <w:left w:val="none" w:sz="0" w:space="0" w:color="auto"/>
                                                <w:bottom w:val="none" w:sz="0" w:space="0" w:color="auto"/>
                                                <w:right w:val="none" w:sz="0" w:space="0" w:color="auto"/>
                                              </w:divBdr>
                                              <w:divsChild>
                                                <w:div w:id="117626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979633">
      <w:bodyDiv w:val="1"/>
      <w:marLeft w:val="0"/>
      <w:marRight w:val="0"/>
      <w:marTop w:val="0"/>
      <w:marBottom w:val="0"/>
      <w:divBdr>
        <w:top w:val="none" w:sz="0" w:space="0" w:color="auto"/>
        <w:left w:val="none" w:sz="0" w:space="0" w:color="auto"/>
        <w:bottom w:val="none" w:sz="0" w:space="0" w:color="auto"/>
        <w:right w:val="none" w:sz="0" w:space="0" w:color="auto"/>
      </w:divBdr>
      <w:divsChild>
        <w:div w:id="1468813516">
          <w:marLeft w:val="0"/>
          <w:marRight w:val="0"/>
          <w:marTop w:val="0"/>
          <w:marBottom w:val="0"/>
          <w:divBdr>
            <w:top w:val="none" w:sz="0" w:space="0" w:color="auto"/>
            <w:left w:val="none" w:sz="0" w:space="0" w:color="auto"/>
            <w:bottom w:val="none" w:sz="0" w:space="0" w:color="auto"/>
            <w:right w:val="none" w:sz="0" w:space="0" w:color="auto"/>
          </w:divBdr>
          <w:divsChild>
            <w:div w:id="1530296801">
              <w:marLeft w:val="0"/>
              <w:marRight w:val="0"/>
              <w:marTop w:val="0"/>
              <w:marBottom w:val="0"/>
              <w:divBdr>
                <w:top w:val="none" w:sz="0" w:space="0" w:color="auto"/>
                <w:left w:val="none" w:sz="0" w:space="0" w:color="auto"/>
                <w:bottom w:val="none" w:sz="0" w:space="0" w:color="auto"/>
                <w:right w:val="none" w:sz="0" w:space="0" w:color="auto"/>
              </w:divBdr>
              <w:divsChild>
                <w:div w:id="1600218819">
                  <w:marLeft w:val="0"/>
                  <w:marRight w:val="0"/>
                  <w:marTop w:val="0"/>
                  <w:marBottom w:val="0"/>
                  <w:divBdr>
                    <w:top w:val="none" w:sz="0" w:space="0" w:color="auto"/>
                    <w:left w:val="none" w:sz="0" w:space="0" w:color="auto"/>
                    <w:bottom w:val="none" w:sz="0" w:space="0" w:color="auto"/>
                    <w:right w:val="none" w:sz="0" w:space="0" w:color="auto"/>
                  </w:divBdr>
                  <w:divsChild>
                    <w:div w:id="893615565">
                      <w:marLeft w:val="0"/>
                      <w:marRight w:val="0"/>
                      <w:marTop w:val="0"/>
                      <w:marBottom w:val="0"/>
                      <w:divBdr>
                        <w:top w:val="none" w:sz="0" w:space="0" w:color="auto"/>
                        <w:left w:val="none" w:sz="0" w:space="0" w:color="auto"/>
                        <w:bottom w:val="none" w:sz="0" w:space="0" w:color="auto"/>
                        <w:right w:val="none" w:sz="0" w:space="0" w:color="auto"/>
                      </w:divBdr>
                      <w:divsChild>
                        <w:div w:id="689337480">
                          <w:marLeft w:val="0"/>
                          <w:marRight w:val="0"/>
                          <w:marTop w:val="0"/>
                          <w:marBottom w:val="0"/>
                          <w:divBdr>
                            <w:top w:val="single" w:sz="6" w:space="0" w:color="828282"/>
                            <w:left w:val="single" w:sz="6" w:space="0" w:color="828282"/>
                            <w:bottom w:val="single" w:sz="6" w:space="0" w:color="828282"/>
                            <w:right w:val="single" w:sz="6" w:space="0" w:color="828282"/>
                          </w:divBdr>
                          <w:divsChild>
                            <w:div w:id="2079858401">
                              <w:marLeft w:val="0"/>
                              <w:marRight w:val="0"/>
                              <w:marTop w:val="0"/>
                              <w:marBottom w:val="0"/>
                              <w:divBdr>
                                <w:top w:val="none" w:sz="0" w:space="0" w:color="auto"/>
                                <w:left w:val="none" w:sz="0" w:space="0" w:color="auto"/>
                                <w:bottom w:val="none" w:sz="0" w:space="0" w:color="auto"/>
                                <w:right w:val="none" w:sz="0" w:space="0" w:color="auto"/>
                              </w:divBdr>
                              <w:divsChild>
                                <w:div w:id="528179473">
                                  <w:marLeft w:val="0"/>
                                  <w:marRight w:val="0"/>
                                  <w:marTop w:val="0"/>
                                  <w:marBottom w:val="0"/>
                                  <w:divBdr>
                                    <w:top w:val="none" w:sz="0" w:space="0" w:color="auto"/>
                                    <w:left w:val="none" w:sz="0" w:space="0" w:color="auto"/>
                                    <w:bottom w:val="none" w:sz="0" w:space="0" w:color="auto"/>
                                    <w:right w:val="none" w:sz="0" w:space="0" w:color="auto"/>
                                  </w:divBdr>
                                  <w:divsChild>
                                    <w:div w:id="752432647">
                                      <w:marLeft w:val="0"/>
                                      <w:marRight w:val="0"/>
                                      <w:marTop w:val="0"/>
                                      <w:marBottom w:val="0"/>
                                      <w:divBdr>
                                        <w:top w:val="none" w:sz="0" w:space="0" w:color="auto"/>
                                        <w:left w:val="none" w:sz="0" w:space="0" w:color="auto"/>
                                        <w:bottom w:val="none" w:sz="0" w:space="0" w:color="auto"/>
                                        <w:right w:val="none" w:sz="0" w:space="0" w:color="auto"/>
                                      </w:divBdr>
                                      <w:divsChild>
                                        <w:div w:id="37976561">
                                          <w:marLeft w:val="0"/>
                                          <w:marRight w:val="0"/>
                                          <w:marTop w:val="0"/>
                                          <w:marBottom w:val="0"/>
                                          <w:divBdr>
                                            <w:top w:val="none" w:sz="0" w:space="0" w:color="auto"/>
                                            <w:left w:val="none" w:sz="0" w:space="0" w:color="auto"/>
                                            <w:bottom w:val="none" w:sz="0" w:space="0" w:color="auto"/>
                                            <w:right w:val="none" w:sz="0" w:space="0" w:color="auto"/>
                                          </w:divBdr>
                                          <w:divsChild>
                                            <w:div w:id="2118137216">
                                              <w:marLeft w:val="0"/>
                                              <w:marRight w:val="0"/>
                                              <w:marTop w:val="0"/>
                                              <w:marBottom w:val="0"/>
                                              <w:divBdr>
                                                <w:top w:val="none" w:sz="0" w:space="0" w:color="auto"/>
                                                <w:left w:val="none" w:sz="0" w:space="0" w:color="auto"/>
                                                <w:bottom w:val="none" w:sz="0" w:space="0" w:color="auto"/>
                                                <w:right w:val="none" w:sz="0" w:space="0" w:color="auto"/>
                                              </w:divBdr>
                                              <w:divsChild>
                                                <w:div w:id="156606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585550">
      <w:bodyDiv w:val="1"/>
      <w:marLeft w:val="0"/>
      <w:marRight w:val="0"/>
      <w:marTop w:val="0"/>
      <w:marBottom w:val="0"/>
      <w:divBdr>
        <w:top w:val="none" w:sz="0" w:space="0" w:color="auto"/>
        <w:left w:val="none" w:sz="0" w:space="0" w:color="auto"/>
        <w:bottom w:val="none" w:sz="0" w:space="0" w:color="auto"/>
        <w:right w:val="none" w:sz="0" w:space="0" w:color="auto"/>
      </w:divBdr>
      <w:divsChild>
        <w:div w:id="1288664301">
          <w:marLeft w:val="0"/>
          <w:marRight w:val="0"/>
          <w:marTop w:val="0"/>
          <w:marBottom w:val="0"/>
          <w:divBdr>
            <w:top w:val="none" w:sz="0" w:space="0" w:color="auto"/>
            <w:left w:val="none" w:sz="0" w:space="0" w:color="auto"/>
            <w:bottom w:val="none" w:sz="0" w:space="0" w:color="auto"/>
            <w:right w:val="none" w:sz="0" w:space="0" w:color="auto"/>
          </w:divBdr>
          <w:divsChild>
            <w:div w:id="1110474306">
              <w:marLeft w:val="0"/>
              <w:marRight w:val="0"/>
              <w:marTop w:val="0"/>
              <w:marBottom w:val="0"/>
              <w:divBdr>
                <w:top w:val="none" w:sz="0" w:space="0" w:color="auto"/>
                <w:left w:val="none" w:sz="0" w:space="0" w:color="auto"/>
                <w:bottom w:val="none" w:sz="0" w:space="0" w:color="auto"/>
                <w:right w:val="none" w:sz="0" w:space="0" w:color="auto"/>
              </w:divBdr>
              <w:divsChild>
                <w:div w:id="1195464668">
                  <w:marLeft w:val="0"/>
                  <w:marRight w:val="0"/>
                  <w:marTop w:val="0"/>
                  <w:marBottom w:val="0"/>
                  <w:divBdr>
                    <w:top w:val="none" w:sz="0" w:space="0" w:color="auto"/>
                    <w:left w:val="none" w:sz="0" w:space="0" w:color="auto"/>
                    <w:bottom w:val="none" w:sz="0" w:space="0" w:color="auto"/>
                    <w:right w:val="none" w:sz="0" w:space="0" w:color="auto"/>
                  </w:divBdr>
                  <w:divsChild>
                    <w:div w:id="645822117">
                      <w:marLeft w:val="0"/>
                      <w:marRight w:val="0"/>
                      <w:marTop w:val="0"/>
                      <w:marBottom w:val="0"/>
                      <w:divBdr>
                        <w:top w:val="none" w:sz="0" w:space="0" w:color="auto"/>
                        <w:left w:val="none" w:sz="0" w:space="0" w:color="auto"/>
                        <w:bottom w:val="none" w:sz="0" w:space="0" w:color="auto"/>
                        <w:right w:val="none" w:sz="0" w:space="0" w:color="auto"/>
                      </w:divBdr>
                      <w:divsChild>
                        <w:div w:id="1915167519">
                          <w:marLeft w:val="0"/>
                          <w:marRight w:val="0"/>
                          <w:marTop w:val="0"/>
                          <w:marBottom w:val="0"/>
                          <w:divBdr>
                            <w:top w:val="none" w:sz="0" w:space="0" w:color="auto"/>
                            <w:left w:val="none" w:sz="0" w:space="0" w:color="auto"/>
                            <w:bottom w:val="none" w:sz="0" w:space="0" w:color="auto"/>
                            <w:right w:val="none" w:sz="0" w:space="0" w:color="auto"/>
                          </w:divBdr>
                          <w:divsChild>
                            <w:div w:id="9862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857834">
      <w:bodyDiv w:val="1"/>
      <w:marLeft w:val="0"/>
      <w:marRight w:val="0"/>
      <w:marTop w:val="0"/>
      <w:marBottom w:val="0"/>
      <w:divBdr>
        <w:top w:val="none" w:sz="0" w:space="0" w:color="auto"/>
        <w:left w:val="none" w:sz="0" w:space="0" w:color="auto"/>
        <w:bottom w:val="none" w:sz="0" w:space="0" w:color="auto"/>
        <w:right w:val="none" w:sz="0" w:space="0" w:color="auto"/>
      </w:divBdr>
      <w:divsChild>
        <w:div w:id="1886142544">
          <w:marLeft w:val="0"/>
          <w:marRight w:val="0"/>
          <w:marTop w:val="0"/>
          <w:marBottom w:val="0"/>
          <w:divBdr>
            <w:top w:val="none" w:sz="0" w:space="0" w:color="auto"/>
            <w:left w:val="none" w:sz="0" w:space="0" w:color="auto"/>
            <w:bottom w:val="none" w:sz="0" w:space="0" w:color="auto"/>
            <w:right w:val="none" w:sz="0" w:space="0" w:color="auto"/>
          </w:divBdr>
          <w:divsChild>
            <w:div w:id="297996485">
              <w:marLeft w:val="0"/>
              <w:marRight w:val="0"/>
              <w:marTop w:val="0"/>
              <w:marBottom w:val="0"/>
              <w:divBdr>
                <w:top w:val="none" w:sz="0" w:space="0" w:color="auto"/>
                <w:left w:val="none" w:sz="0" w:space="0" w:color="auto"/>
                <w:bottom w:val="none" w:sz="0" w:space="0" w:color="auto"/>
                <w:right w:val="none" w:sz="0" w:space="0" w:color="auto"/>
              </w:divBdr>
              <w:divsChild>
                <w:div w:id="1165900484">
                  <w:marLeft w:val="0"/>
                  <w:marRight w:val="0"/>
                  <w:marTop w:val="0"/>
                  <w:marBottom w:val="0"/>
                  <w:divBdr>
                    <w:top w:val="none" w:sz="0" w:space="0" w:color="auto"/>
                    <w:left w:val="none" w:sz="0" w:space="0" w:color="auto"/>
                    <w:bottom w:val="none" w:sz="0" w:space="0" w:color="auto"/>
                    <w:right w:val="none" w:sz="0" w:space="0" w:color="auto"/>
                  </w:divBdr>
                  <w:divsChild>
                    <w:div w:id="1056196815">
                      <w:marLeft w:val="0"/>
                      <w:marRight w:val="0"/>
                      <w:marTop w:val="0"/>
                      <w:marBottom w:val="0"/>
                      <w:divBdr>
                        <w:top w:val="none" w:sz="0" w:space="0" w:color="auto"/>
                        <w:left w:val="none" w:sz="0" w:space="0" w:color="auto"/>
                        <w:bottom w:val="none" w:sz="0" w:space="0" w:color="auto"/>
                        <w:right w:val="none" w:sz="0" w:space="0" w:color="auto"/>
                      </w:divBdr>
                      <w:divsChild>
                        <w:div w:id="596183032">
                          <w:marLeft w:val="0"/>
                          <w:marRight w:val="0"/>
                          <w:marTop w:val="0"/>
                          <w:marBottom w:val="0"/>
                          <w:divBdr>
                            <w:top w:val="single" w:sz="6" w:space="0" w:color="828282"/>
                            <w:left w:val="single" w:sz="6" w:space="0" w:color="828282"/>
                            <w:bottom w:val="single" w:sz="6" w:space="0" w:color="828282"/>
                            <w:right w:val="single" w:sz="6" w:space="0" w:color="828282"/>
                          </w:divBdr>
                          <w:divsChild>
                            <w:div w:id="1981301776">
                              <w:marLeft w:val="0"/>
                              <w:marRight w:val="0"/>
                              <w:marTop w:val="0"/>
                              <w:marBottom w:val="0"/>
                              <w:divBdr>
                                <w:top w:val="none" w:sz="0" w:space="0" w:color="auto"/>
                                <w:left w:val="none" w:sz="0" w:space="0" w:color="auto"/>
                                <w:bottom w:val="none" w:sz="0" w:space="0" w:color="auto"/>
                                <w:right w:val="none" w:sz="0" w:space="0" w:color="auto"/>
                              </w:divBdr>
                              <w:divsChild>
                                <w:div w:id="1533491781">
                                  <w:marLeft w:val="0"/>
                                  <w:marRight w:val="0"/>
                                  <w:marTop w:val="0"/>
                                  <w:marBottom w:val="0"/>
                                  <w:divBdr>
                                    <w:top w:val="none" w:sz="0" w:space="0" w:color="auto"/>
                                    <w:left w:val="none" w:sz="0" w:space="0" w:color="auto"/>
                                    <w:bottom w:val="none" w:sz="0" w:space="0" w:color="auto"/>
                                    <w:right w:val="none" w:sz="0" w:space="0" w:color="auto"/>
                                  </w:divBdr>
                                  <w:divsChild>
                                    <w:div w:id="346442247">
                                      <w:marLeft w:val="0"/>
                                      <w:marRight w:val="0"/>
                                      <w:marTop w:val="0"/>
                                      <w:marBottom w:val="0"/>
                                      <w:divBdr>
                                        <w:top w:val="none" w:sz="0" w:space="0" w:color="auto"/>
                                        <w:left w:val="none" w:sz="0" w:space="0" w:color="auto"/>
                                        <w:bottom w:val="none" w:sz="0" w:space="0" w:color="auto"/>
                                        <w:right w:val="none" w:sz="0" w:space="0" w:color="auto"/>
                                      </w:divBdr>
                                      <w:divsChild>
                                        <w:div w:id="851141536">
                                          <w:marLeft w:val="0"/>
                                          <w:marRight w:val="0"/>
                                          <w:marTop w:val="0"/>
                                          <w:marBottom w:val="0"/>
                                          <w:divBdr>
                                            <w:top w:val="none" w:sz="0" w:space="0" w:color="auto"/>
                                            <w:left w:val="none" w:sz="0" w:space="0" w:color="auto"/>
                                            <w:bottom w:val="none" w:sz="0" w:space="0" w:color="auto"/>
                                            <w:right w:val="none" w:sz="0" w:space="0" w:color="auto"/>
                                          </w:divBdr>
                                          <w:divsChild>
                                            <w:div w:id="2066639087">
                                              <w:marLeft w:val="0"/>
                                              <w:marRight w:val="0"/>
                                              <w:marTop w:val="0"/>
                                              <w:marBottom w:val="0"/>
                                              <w:divBdr>
                                                <w:top w:val="none" w:sz="0" w:space="0" w:color="auto"/>
                                                <w:left w:val="none" w:sz="0" w:space="0" w:color="auto"/>
                                                <w:bottom w:val="none" w:sz="0" w:space="0" w:color="auto"/>
                                                <w:right w:val="none" w:sz="0" w:space="0" w:color="auto"/>
                                              </w:divBdr>
                                              <w:divsChild>
                                                <w:div w:id="13859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2873507">
      <w:bodyDiv w:val="1"/>
      <w:marLeft w:val="0"/>
      <w:marRight w:val="0"/>
      <w:marTop w:val="0"/>
      <w:marBottom w:val="0"/>
      <w:divBdr>
        <w:top w:val="none" w:sz="0" w:space="0" w:color="auto"/>
        <w:left w:val="none" w:sz="0" w:space="0" w:color="auto"/>
        <w:bottom w:val="none" w:sz="0" w:space="0" w:color="auto"/>
        <w:right w:val="none" w:sz="0" w:space="0" w:color="auto"/>
      </w:divBdr>
      <w:divsChild>
        <w:div w:id="751974286">
          <w:marLeft w:val="0"/>
          <w:marRight w:val="0"/>
          <w:marTop w:val="0"/>
          <w:marBottom w:val="0"/>
          <w:divBdr>
            <w:top w:val="none" w:sz="0" w:space="0" w:color="auto"/>
            <w:left w:val="none" w:sz="0" w:space="0" w:color="auto"/>
            <w:bottom w:val="none" w:sz="0" w:space="0" w:color="auto"/>
            <w:right w:val="none" w:sz="0" w:space="0" w:color="auto"/>
          </w:divBdr>
          <w:divsChild>
            <w:div w:id="1167942467">
              <w:marLeft w:val="0"/>
              <w:marRight w:val="0"/>
              <w:marTop w:val="0"/>
              <w:marBottom w:val="0"/>
              <w:divBdr>
                <w:top w:val="none" w:sz="0" w:space="0" w:color="auto"/>
                <w:left w:val="none" w:sz="0" w:space="0" w:color="auto"/>
                <w:bottom w:val="none" w:sz="0" w:space="0" w:color="auto"/>
                <w:right w:val="none" w:sz="0" w:space="0" w:color="auto"/>
              </w:divBdr>
              <w:divsChild>
                <w:div w:id="2087654480">
                  <w:marLeft w:val="0"/>
                  <w:marRight w:val="0"/>
                  <w:marTop w:val="0"/>
                  <w:marBottom w:val="0"/>
                  <w:divBdr>
                    <w:top w:val="none" w:sz="0" w:space="0" w:color="auto"/>
                    <w:left w:val="none" w:sz="0" w:space="0" w:color="auto"/>
                    <w:bottom w:val="none" w:sz="0" w:space="0" w:color="auto"/>
                    <w:right w:val="none" w:sz="0" w:space="0" w:color="auto"/>
                  </w:divBdr>
                  <w:divsChild>
                    <w:div w:id="776366634">
                      <w:marLeft w:val="0"/>
                      <w:marRight w:val="0"/>
                      <w:marTop w:val="0"/>
                      <w:marBottom w:val="0"/>
                      <w:divBdr>
                        <w:top w:val="none" w:sz="0" w:space="0" w:color="auto"/>
                        <w:left w:val="none" w:sz="0" w:space="0" w:color="auto"/>
                        <w:bottom w:val="none" w:sz="0" w:space="0" w:color="auto"/>
                        <w:right w:val="none" w:sz="0" w:space="0" w:color="auto"/>
                      </w:divBdr>
                      <w:divsChild>
                        <w:div w:id="738941372">
                          <w:marLeft w:val="0"/>
                          <w:marRight w:val="0"/>
                          <w:marTop w:val="0"/>
                          <w:marBottom w:val="0"/>
                          <w:divBdr>
                            <w:top w:val="single" w:sz="6" w:space="0" w:color="828282"/>
                            <w:left w:val="single" w:sz="6" w:space="0" w:color="828282"/>
                            <w:bottom w:val="single" w:sz="6" w:space="0" w:color="828282"/>
                            <w:right w:val="single" w:sz="6" w:space="0" w:color="828282"/>
                          </w:divBdr>
                          <w:divsChild>
                            <w:div w:id="299655679">
                              <w:marLeft w:val="0"/>
                              <w:marRight w:val="0"/>
                              <w:marTop w:val="0"/>
                              <w:marBottom w:val="0"/>
                              <w:divBdr>
                                <w:top w:val="none" w:sz="0" w:space="0" w:color="auto"/>
                                <w:left w:val="none" w:sz="0" w:space="0" w:color="auto"/>
                                <w:bottom w:val="none" w:sz="0" w:space="0" w:color="auto"/>
                                <w:right w:val="none" w:sz="0" w:space="0" w:color="auto"/>
                              </w:divBdr>
                              <w:divsChild>
                                <w:div w:id="1096756227">
                                  <w:marLeft w:val="0"/>
                                  <w:marRight w:val="0"/>
                                  <w:marTop w:val="0"/>
                                  <w:marBottom w:val="0"/>
                                  <w:divBdr>
                                    <w:top w:val="none" w:sz="0" w:space="0" w:color="auto"/>
                                    <w:left w:val="none" w:sz="0" w:space="0" w:color="auto"/>
                                    <w:bottom w:val="none" w:sz="0" w:space="0" w:color="auto"/>
                                    <w:right w:val="none" w:sz="0" w:space="0" w:color="auto"/>
                                  </w:divBdr>
                                  <w:divsChild>
                                    <w:div w:id="589003236">
                                      <w:marLeft w:val="0"/>
                                      <w:marRight w:val="0"/>
                                      <w:marTop w:val="0"/>
                                      <w:marBottom w:val="0"/>
                                      <w:divBdr>
                                        <w:top w:val="none" w:sz="0" w:space="0" w:color="auto"/>
                                        <w:left w:val="none" w:sz="0" w:space="0" w:color="auto"/>
                                        <w:bottom w:val="none" w:sz="0" w:space="0" w:color="auto"/>
                                        <w:right w:val="none" w:sz="0" w:space="0" w:color="auto"/>
                                      </w:divBdr>
                                      <w:divsChild>
                                        <w:div w:id="142353431">
                                          <w:marLeft w:val="0"/>
                                          <w:marRight w:val="0"/>
                                          <w:marTop w:val="0"/>
                                          <w:marBottom w:val="0"/>
                                          <w:divBdr>
                                            <w:top w:val="none" w:sz="0" w:space="0" w:color="auto"/>
                                            <w:left w:val="none" w:sz="0" w:space="0" w:color="auto"/>
                                            <w:bottom w:val="none" w:sz="0" w:space="0" w:color="auto"/>
                                            <w:right w:val="none" w:sz="0" w:space="0" w:color="auto"/>
                                          </w:divBdr>
                                          <w:divsChild>
                                            <w:div w:id="760370078">
                                              <w:marLeft w:val="0"/>
                                              <w:marRight w:val="0"/>
                                              <w:marTop w:val="0"/>
                                              <w:marBottom w:val="0"/>
                                              <w:divBdr>
                                                <w:top w:val="none" w:sz="0" w:space="0" w:color="auto"/>
                                                <w:left w:val="none" w:sz="0" w:space="0" w:color="auto"/>
                                                <w:bottom w:val="none" w:sz="0" w:space="0" w:color="auto"/>
                                                <w:right w:val="none" w:sz="0" w:space="0" w:color="auto"/>
                                              </w:divBdr>
                                              <w:divsChild>
                                                <w:div w:id="919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195648">
      <w:bodyDiv w:val="1"/>
      <w:marLeft w:val="0"/>
      <w:marRight w:val="0"/>
      <w:marTop w:val="0"/>
      <w:marBottom w:val="0"/>
      <w:divBdr>
        <w:top w:val="none" w:sz="0" w:space="0" w:color="auto"/>
        <w:left w:val="none" w:sz="0" w:space="0" w:color="auto"/>
        <w:bottom w:val="none" w:sz="0" w:space="0" w:color="auto"/>
        <w:right w:val="none" w:sz="0" w:space="0" w:color="auto"/>
      </w:divBdr>
      <w:divsChild>
        <w:div w:id="905453039">
          <w:marLeft w:val="0"/>
          <w:marRight w:val="0"/>
          <w:marTop w:val="0"/>
          <w:marBottom w:val="0"/>
          <w:divBdr>
            <w:top w:val="none" w:sz="0" w:space="0" w:color="auto"/>
            <w:left w:val="none" w:sz="0" w:space="0" w:color="auto"/>
            <w:bottom w:val="none" w:sz="0" w:space="0" w:color="auto"/>
            <w:right w:val="none" w:sz="0" w:space="0" w:color="auto"/>
          </w:divBdr>
          <w:divsChild>
            <w:div w:id="1486554641">
              <w:marLeft w:val="0"/>
              <w:marRight w:val="0"/>
              <w:marTop w:val="0"/>
              <w:marBottom w:val="0"/>
              <w:divBdr>
                <w:top w:val="none" w:sz="0" w:space="0" w:color="auto"/>
                <w:left w:val="none" w:sz="0" w:space="0" w:color="auto"/>
                <w:bottom w:val="none" w:sz="0" w:space="0" w:color="auto"/>
                <w:right w:val="none" w:sz="0" w:space="0" w:color="auto"/>
              </w:divBdr>
              <w:divsChild>
                <w:div w:id="1557857980">
                  <w:marLeft w:val="0"/>
                  <w:marRight w:val="0"/>
                  <w:marTop w:val="0"/>
                  <w:marBottom w:val="0"/>
                  <w:divBdr>
                    <w:top w:val="none" w:sz="0" w:space="0" w:color="auto"/>
                    <w:left w:val="none" w:sz="0" w:space="0" w:color="auto"/>
                    <w:bottom w:val="none" w:sz="0" w:space="0" w:color="auto"/>
                    <w:right w:val="none" w:sz="0" w:space="0" w:color="auto"/>
                  </w:divBdr>
                  <w:divsChild>
                    <w:div w:id="1430542988">
                      <w:marLeft w:val="0"/>
                      <w:marRight w:val="0"/>
                      <w:marTop w:val="0"/>
                      <w:marBottom w:val="0"/>
                      <w:divBdr>
                        <w:top w:val="none" w:sz="0" w:space="0" w:color="auto"/>
                        <w:left w:val="none" w:sz="0" w:space="0" w:color="auto"/>
                        <w:bottom w:val="none" w:sz="0" w:space="0" w:color="auto"/>
                        <w:right w:val="none" w:sz="0" w:space="0" w:color="auto"/>
                      </w:divBdr>
                      <w:divsChild>
                        <w:div w:id="1888493870">
                          <w:marLeft w:val="0"/>
                          <w:marRight w:val="0"/>
                          <w:marTop w:val="0"/>
                          <w:marBottom w:val="0"/>
                          <w:divBdr>
                            <w:top w:val="none" w:sz="0" w:space="0" w:color="auto"/>
                            <w:left w:val="none" w:sz="0" w:space="0" w:color="auto"/>
                            <w:bottom w:val="none" w:sz="0" w:space="0" w:color="auto"/>
                            <w:right w:val="none" w:sz="0" w:space="0" w:color="auto"/>
                          </w:divBdr>
                          <w:divsChild>
                            <w:div w:id="19383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732945">
      <w:bodyDiv w:val="1"/>
      <w:marLeft w:val="0"/>
      <w:marRight w:val="0"/>
      <w:marTop w:val="0"/>
      <w:marBottom w:val="0"/>
      <w:divBdr>
        <w:top w:val="none" w:sz="0" w:space="0" w:color="auto"/>
        <w:left w:val="none" w:sz="0" w:space="0" w:color="auto"/>
        <w:bottom w:val="none" w:sz="0" w:space="0" w:color="auto"/>
        <w:right w:val="none" w:sz="0" w:space="0" w:color="auto"/>
      </w:divBdr>
      <w:divsChild>
        <w:div w:id="1521509269">
          <w:marLeft w:val="0"/>
          <w:marRight w:val="0"/>
          <w:marTop w:val="0"/>
          <w:marBottom w:val="0"/>
          <w:divBdr>
            <w:top w:val="none" w:sz="0" w:space="0" w:color="auto"/>
            <w:left w:val="none" w:sz="0" w:space="0" w:color="auto"/>
            <w:bottom w:val="none" w:sz="0" w:space="0" w:color="auto"/>
            <w:right w:val="none" w:sz="0" w:space="0" w:color="auto"/>
          </w:divBdr>
          <w:divsChild>
            <w:div w:id="976885013">
              <w:marLeft w:val="0"/>
              <w:marRight w:val="0"/>
              <w:marTop w:val="0"/>
              <w:marBottom w:val="0"/>
              <w:divBdr>
                <w:top w:val="none" w:sz="0" w:space="0" w:color="auto"/>
                <w:left w:val="none" w:sz="0" w:space="0" w:color="auto"/>
                <w:bottom w:val="none" w:sz="0" w:space="0" w:color="auto"/>
                <w:right w:val="none" w:sz="0" w:space="0" w:color="auto"/>
              </w:divBdr>
              <w:divsChild>
                <w:div w:id="1822846041">
                  <w:marLeft w:val="0"/>
                  <w:marRight w:val="0"/>
                  <w:marTop w:val="0"/>
                  <w:marBottom w:val="0"/>
                  <w:divBdr>
                    <w:top w:val="none" w:sz="0" w:space="0" w:color="auto"/>
                    <w:left w:val="none" w:sz="0" w:space="0" w:color="auto"/>
                    <w:bottom w:val="none" w:sz="0" w:space="0" w:color="auto"/>
                    <w:right w:val="none" w:sz="0" w:space="0" w:color="auto"/>
                  </w:divBdr>
                  <w:divsChild>
                    <w:div w:id="2130473181">
                      <w:marLeft w:val="0"/>
                      <w:marRight w:val="0"/>
                      <w:marTop w:val="0"/>
                      <w:marBottom w:val="0"/>
                      <w:divBdr>
                        <w:top w:val="none" w:sz="0" w:space="0" w:color="auto"/>
                        <w:left w:val="none" w:sz="0" w:space="0" w:color="auto"/>
                        <w:bottom w:val="none" w:sz="0" w:space="0" w:color="auto"/>
                        <w:right w:val="none" w:sz="0" w:space="0" w:color="auto"/>
                      </w:divBdr>
                      <w:divsChild>
                        <w:div w:id="501894379">
                          <w:marLeft w:val="0"/>
                          <w:marRight w:val="0"/>
                          <w:marTop w:val="0"/>
                          <w:marBottom w:val="0"/>
                          <w:divBdr>
                            <w:top w:val="single" w:sz="6" w:space="0" w:color="828282"/>
                            <w:left w:val="single" w:sz="6" w:space="0" w:color="828282"/>
                            <w:bottom w:val="single" w:sz="6" w:space="0" w:color="828282"/>
                            <w:right w:val="single" w:sz="6" w:space="0" w:color="828282"/>
                          </w:divBdr>
                          <w:divsChild>
                            <w:div w:id="1944879047">
                              <w:marLeft w:val="0"/>
                              <w:marRight w:val="0"/>
                              <w:marTop w:val="0"/>
                              <w:marBottom w:val="0"/>
                              <w:divBdr>
                                <w:top w:val="none" w:sz="0" w:space="0" w:color="auto"/>
                                <w:left w:val="none" w:sz="0" w:space="0" w:color="auto"/>
                                <w:bottom w:val="none" w:sz="0" w:space="0" w:color="auto"/>
                                <w:right w:val="none" w:sz="0" w:space="0" w:color="auto"/>
                              </w:divBdr>
                              <w:divsChild>
                                <w:div w:id="1494103313">
                                  <w:marLeft w:val="0"/>
                                  <w:marRight w:val="0"/>
                                  <w:marTop w:val="0"/>
                                  <w:marBottom w:val="0"/>
                                  <w:divBdr>
                                    <w:top w:val="none" w:sz="0" w:space="0" w:color="auto"/>
                                    <w:left w:val="none" w:sz="0" w:space="0" w:color="auto"/>
                                    <w:bottom w:val="none" w:sz="0" w:space="0" w:color="auto"/>
                                    <w:right w:val="none" w:sz="0" w:space="0" w:color="auto"/>
                                  </w:divBdr>
                                  <w:divsChild>
                                    <w:div w:id="322977579">
                                      <w:marLeft w:val="0"/>
                                      <w:marRight w:val="0"/>
                                      <w:marTop w:val="0"/>
                                      <w:marBottom w:val="0"/>
                                      <w:divBdr>
                                        <w:top w:val="none" w:sz="0" w:space="0" w:color="auto"/>
                                        <w:left w:val="none" w:sz="0" w:space="0" w:color="auto"/>
                                        <w:bottom w:val="none" w:sz="0" w:space="0" w:color="auto"/>
                                        <w:right w:val="none" w:sz="0" w:space="0" w:color="auto"/>
                                      </w:divBdr>
                                      <w:divsChild>
                                        <w:div w:id="2079550288">
                                          <w:marLeft w:val="0"/>
                                          <w:marRight w:val="0"/>
                                          <w:marTop w:val="0"/>
                                          <w:marBottom w:val="0"/>
                                          <w:divBdr>
                                            <w:top w:val="none" w:sz="0" w:space="0" w:color="auto"/>
                                            <w:left w:val="none" w:sz="0" w:space="0" w:color="auto"/>
                                            <w:bottom w:val="none" w:sz="0" w:space="0" w:color="auto"/>
                                            <w:right w:val="none" w:sz="0" w:space="0" w:color="auto"/>
                                          </w:divBdr>
                                          <w:divsChild>
                                            <w:div w:id="1225338266">
                                              <w:marLeft w:val="0"/>
                                              <w:marRight w:val="0"/>
                                              <w:marTop w:val="0"/>
                                              <w:marBottom w:val="0"/>
                                              <w:divBdr>
                                                <w:top w:val="none" w:sz="0" w:space="0" w:color="auto"/>
                                                <w:left w:val="none" w:sz="0" w:space="0" w:color="auto"/>
                                                <w:bottom w:val="none" w:sz="0" w:space="0" w:color="auto"/>
                                                <w:right w:val="none" w:sz="0" w:space="0" w:color="auto"/>
                                              </w:divBdr>
                                              <w:divsChild>
                                                <w:div w:id="65650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3.wmf"/><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oleObject" Target="embeddings/oleObject1.bin"/><Relationship Id="rId28" Type="http://schemas.openxmlformats.org/officeDocument/2006/relationships/footer" Target="footer6.xml"/><Relationship Id="rId10" Type="http://schemas.openxmlformats.org/officeDocument/2006/relationships/image" Target="media/image1.wmf"/><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header" Target="header8.xml"/><Relationship Id="rId30"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A051E-2741-4D49-BB25-60C24B362BCB}">
  <ds:schemaRefs>
    <ds:schemaRef ds:uri="http://schemas.openxmlformats.org/officeDocument/2006/bibliography"/>
  </ds:schemaRefs>
</ds:datastoreItem>
</file>

<file path=customXml/itemProps2.xml><?xml version="1.0" encoding="utf-8"?>
<ds:datastoreItem xmlns:ds="http://schemas.openxmlformats.org/officeDocument/2006/customXml" ds:itemID="{10C1110A-9748-478D-A2C2-4DF8A223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29</Pages>
  <Words>6562</Words>
  <Characters>36159</Characters>
  <Application>Microsoft Office Word</Application>
  <DocSecurity>0</DocSecurity>
  <PresentationFormat/>
  <Lines>860</Lines>
  <Paragraphs>454</Paragraphs>
  <ScaleCrop>false</ScaleCrop>
  <HeadingPairs>
    <vt:vector size="2" baseType="variant">
      <vt:variant>
        <vt:lpstr>Title</vt:lpstr>
      </vt:variant>
      <vt:variant>
        <vt:i4>1</vt:i4>
      </vt:variant>
    </vt:vector>
  </HeadingPairs>
  <TitlesOfParts>
    <vt:vector size="1" baseType="lpstr">
      <vt:lpstr>Energy Efficiency Opportunities Amendment (Assessments and Reporting) Regulation 2013</vt:lpstr>
    </vt:vector>
  </TitlesOfParts>
  <Manager/>
  <Company/>
  <LinksUpToDate>false</LinksUpToDate>
  <CharactersWithSpaces>42388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2013-07-01T01:29:00Z</cp:lastPrinted>
  <dcterms:created xsi:type="dcterms:W3CDTF">2013-08-05T01:36:00Z</dcterms:created>
  <dcterms:modified xsi:type="dcterms:W3CDTF">2013-08-05T01:36:00Z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227, 2013</vt:lpwstr>
  </property>
  <property fmtid="{D5CDD505-2E9C-101B-9397-08002B2CF9AE}" pid="3" name="ShortT">
    <vt:lpwstr>Energy Efficiency Opportunities Amendment (Assessments and Reporting) Regulation 2013</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05 August 2013</vt:lpwstr>
  </property>
  <property fmtid="{D5CDD505-2E9C-101B-9397-08002B2CF9AE}" pid="10" name="Authority">
    <vt:lpwstr/>
  </property>
  <property fmtid="{D5CDD505-2E9C-101B-9397-08002B2CF9AE}" pid="11" name="ID">
    <vt:lpwstr>OPC60180</vt:lpwstr>
  </property>
  <property fmtid="{D5CDD505-2E9C-101B-9397-08002B2CF9AE}" pid="12" name="ActMadeUnder">
    <vt:lpwstr>Energy Efficiency Opportunities Act 2006</vt:lpwstr>
  </property>
  <property fmtid="{D5CDD505-2E9C-101B-9397-08002B2CF9AE}" pid="13" name="NonLegInst">
    <vt:lpwstr>0</vt:lpwstr>
  </property>
  <property fmtid="{D5CDD505-2E9C-101B-9397-08002B2CF9AE}" pid="14" name="Classification">
    <vt:lpwstr> </vt:lpwstr>
  </property>
  <property fmtid="{D5CDD505-2E9C-101B-9397-08002B2CF9AE}" pid="15" name="DoNotAsk">
    <vt:lpwstr>0</vt:lpwstr>
  </property>
  <property fmtid="{D5CDD505-2E9C-101B-9397-08002B2CF9AE}" pid="16" name="ChangedTitle">
    <vt:lpwstr/>
  </property>
  <property fmtid="{D5CDD505-2E9C-101B-9397-08002B2CF9AE}" pid="17" name="DLM">
    <vt:lpwstr> </vt:lpwstr>
  </property>
  <property fmtid="{D5CDD505-2E9C-101B-9397-08002B2CF9AE}" pid="18" name="Number">
    <vt:lpwstr>C</vt:lpwstr>
  </property>
  <property fmtid="{D5CDD505-2E9C-101B-9397-08002B2CF9AE}" pid="19" name="CounterSign">
    <vt:lpwstr/>
  </property>
  <property fmtid="{D5CDD505-2E9C-101B-9397-08002B2CF9AE}" pid="20" name="ExcoDate">
    <vt:lpwstr>05 August 2013</vt:lpwstr>
  </property>
</Properties>
</file>