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33375" w:rsidRDefault="00193461" w:rsidP="0048364F">
      <w:pPr>
        <w:rPr>
          <w:sz w:val="28"/>
        </w:rPr>
      </w:pPr>
      <w:r w:rsidRPr="00C33375">
        <w:rPr>
          <w:noProof/>
          <w:lang w:eastAsia="en-AU"/>
        </w:rPr>
        <w:drawing>
          <wp:inline distT="0" distB="0" distL="0" distR="0" wp14:anchorId="6E78D3B7" wp14:editId="2C5F1209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33375" w:rsidRDefault="0048364F" w:rsidP="0048364F">
      <w:pPr>
        <w:rPr>
          <w:sz w:val="19"/>
        </w:rPr>
      </w:pPr>
    </w:p>
    <w:p w:rsidR="0048364F" w:rsidRPr="00C33375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C33375" w:rsidRDefault="002A555F" w:rsidP="0048364F">
      <w:pPr>
        <w:pStyle w:val="ShortT"/>
      </w:pPr>
      <w:r w:rsidRPr="00C33375">
        <w:t xml:space="preserve">Therapeutic Goods </w:t>
      </w:r>
      <w:r w:rsidR="00666007" w:rsidRPr="00C33375">
        <w:t xml:space="preserve">Amendment </w:t>
      </w:r>
      <w:r w:rsidRPr="00C33375">
        <w:t>(Advisory Committees) Regulation</w:t>
      </w:r>
      <w:r w:rsidR="00C33375" w:rsidRPr="00C33375">
        <w:t> </w:t>
      </w:r>
      <w:r w:rsidRPr="00C33375">
        <w:t>2013</w:t>
      </w:r>
    </w:p>
    <w:p w:rsidR="0048364F" w:rsidRPr="00C33375" w:rsidRDefault="0048364F" w:rsidP="0048364F"/>
    <w:p w:rsidR="0048364F" w:rsidRPr="00C33375" w:rsidRDefault="00A4361F" w:rsidP="00680F17">
      <w:pPr>
        <w:pStyle w:val="InstNo"/>
      </w:pPr>
      <w:r w:rsidRPr="00C33375">
        <w:t>Select Legislative Instrument</w:t>
      </w:r>
      <w:r w:rsidR="00154EAC" w:rsidRPr="00C33375">
        <w:t xml:space="preserve"> </w:t>
      </w:r>
      <w:bookmarkStart w:id="1" w:name="BKCheck15B_1"/>
      <w:bookmarkEnd w:id="1"/>
      <w:r w:rsidR="00D0104A" w:rsidRPr="00C33375">
        <w:fldChar w:fldCharType="begin"/>
      </w:r>
      <w:r w:rsidR="00D0104A" w:rsidRPr="00C33375">
        <w:instrText xml:space="preserve"> DOCPROPERTY  ActNo </w:instrText>
      </w:r>
      <w:r w:rsidR="00D0104A" w:rsidRPr="00C33375">
        <w:fldChar w:fldCharType="separate"/>
      </w:r>
      <w:r w:rsidR="00912799">
        <w:t>No. 220, 2013</w:t>
      </w:r>
      <w:r w:rsidR="00D0104A" w:rsidRPr="00C33375">
        <w:fldChar w:fldCharType="end"/>
      </w:r>
    </w:p>
    <w:p w:rsidR="00C33375" w:rsidRPr="00C33375" w:rsidRDefault="00C33375" w:rsidP="001A0BEE">
      <w:pPr>
        <w:pStyle w:val="SignCoverPageStart"/>
        <w:spacing w:before="240"/>
      </w:pPr>
      <w:r w:rsidRPr="00C33375">
        <w:t>I, Quentin Bryce AC CVO, Governor</w:t>
      </w:r>
      <w:r>
        <w:noBreakHyphen/>
      </w:r>
      <w:r w:rsidRPr="00C33375">
        <w:t xml:space="preserve">General of the Commonwealth of Australia, acting with the advice of the Federal Executive Council, make the following regulation under the </w:t>
      </w:r>
      <w:r w:rsidRPr="00C33375">
        <w:rPr>
          <w:i/>
        </w:rPr>
        <w:t>Therapeutic Goods Act 1989</w:t>
      </w:r>
      <w:r w:rsidRPr="00C33375">
        <w:t>.</w:t>
      </w:r>
    </w:p>
    <w:p w:rsidR="00C33375" w:rsidRPr="00C33375" w:rsidRDefault="00C33375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C33375">
        <w:rPr>
          <w:sz w:val="24"/>
          <w:szCs w:val="24"/>
        </w:rPr>
        <w:t xml:space="preserve">Dated </w:t>
      </w:r>
      <w:r w:rsidRPr="00C33375">
        <w:rPr>
          <w:sz w:val="24"/>
          <w:szCs w:val="24"/>
        </w:rPr>
        <w:fldChar w:fldCharType="begin"/>
      </w:r>
      <w:r w:rsidRPr="00C33375">
        <w:rPr>
          <w:sz w:val="24"/>
          <w:szCs w:val="24"/>
        </w:rPr>
        <w:instrText xml:space="preserve"> DOCPROPERTY  DateMade </w:instrText>
      </w:r>
      <w:r w:rsidRPr="00C33375">
        <w:rPr>
          <w:sz w:val="24"/>
          <w:szCs w:val="24"/>
        </w:rPr>
        <w:fldChar w:fldCharType="separate"/>
      </w:r>
      <w:r w:rsidR="00912799">
        <w:rPr>
          <w:sz w:val="24"/>
          <w:szCs w:val="24"/>
        </w:rPr>
        <w:t>05 August 2013</w:t>
      </w:r>
      <w:r w:rsidRPr="00C33375">
        <w:rPr>
          <w:sz w:val="24"/>
          <w:szCs w:val="24"/>
        </w:rPr>
        <w:fldChar w:fldCharType="end"/>
      </w:r>
    </w:p>
    <w:p w:rsidR="00C33375" w:rsidRPr="00C33375" w:rsidRDefault="00C33375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C33375">
        <w:t>Quentin Bryce</w:t>
      </w:r>
    </w:p>
    <w:p w:rsidR="00C33375" w:rsidRPr="00C33375" w:rsidRDefault="00C33375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C33375">
        <w:rPr>
          <w:sz w:val="24"/>
          <w:szCs w:val="24"/>
        </w:rPr>
        <w:t>Governor</w:t>
      </w:r>
      <w:r>
        <w:rPr>
          <w:sz w:val="24"/>
          <w:szCs w:val="24"/>
        </w:rPr>
        <w:noBreakHyphen/>
      </w:r>
      <w:r w:rsidRPr="00C33375">
        <w:rPr>
          <w:sz w:val="24"/>
          <w:szCs w:val="24"/>
        </w:rPr>
        <w:t>General</w:t>
      </w:r>
    </w:p>
    <w:p w:rsidR="00C33375" w:rsidRPr="00C33375" w:rsidRDefault="00C33375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C33375">
        <w:rPr>
          <w:sz w:val="24"/>
          <w:szCs w:val="24"/>
        </w:rPr>
        <w:t>By Her Excellency’s Command</w:t>
      </w:r>
    </w:p>
    <w:p w:rsidR="00C33375" w:rsidRPr="00C33375" w:rsidRDefault="00C33375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33375">
        <w:rPr>
          <w:szCs w:val="22"/>
        </w:rPr>
        <w:t>Shayne Neumann</w:t>
      </w:r>
    </w:p>
    <w:p w:rsidR="00C33375" w:rsidRPr="00C33375" w:rsidRDefault="00C33375" w:rsidP="001A0BEE">
      <w:pPr>
        <w:pStyle w:val="SignCoverPageEnd"/>
      </w:pPr>
      <w:r w:rsidRPr="00C33375">
        <w:t>Parliamentary Secretary for Health and Ageing</w:t>
      </w:r>
    </w:p>
    <w:p w:rsidR="00C33375" w:rsidRPr="00C33375" w:rsidRDefault="00C33375">
      <w:pPr>
        <w:pStyle w:val="Tabletext"/>
      </w:pPr>
    </w:p>
    <w:p w:rsidR="00C33375" w:rsidRPr="00C33375" w:rsidRDefault="00C33375" w:rsidP="00C33375"/>
    <w:p w:rsidR="0048364F" w:rsidRPr="00C33375" w:rsidRDefault="0048364F" w:rsidP="0048364F">
      <w:pPr>
        <w:pStyle w:val="Header"/>
        <w:tabs>
          <w:tab w:val="clear" w:pos="4150"/>
          <w:tab w:val="clear" w:pos="8307"/>
        </w:tabs>
      </w:pPr>
      <w:r w:rsidRPr="00C33375">
        <w:rPr>
          <w:rStyle w:val="CharAmSchNo"/>
        </w:rPr>
        <w:t xml:space="preserve"> </w:t>
      </w:r>
      <w:r w:rsidRPr="00C33375">
        <w:rPr>
          <w:rStyle w:val="CharAmSchText"/>
        </w:rPr>
        <w:t xml:space="preserve"> </w:t>
      </w:r>
    </w:p>
    <w:p w:rsidR="0048364F" w:rsidRPr="00C33375" w:rsidRDefault="0048364F" w:rsidP="0048364F">
      <w:pPr>
        <w:pStyle w:val="Header"/>
        <w:tabs>
          <w:tab w:val="clear" w:pos="4150"/>
          <w:tab w:val="clear" w:pos="8307"/>
        </w:tabs>
      </w:pPr>
      <w:r w:rsidRPr="00C33375">
        <w:rPr>
          <w:rStyle w:val="CharAmPartNo"/>
        </w:rPr>
        <w:t xml:space="preserve"> </w:t>
      </w:r>
      <w:r w:rsidRPr="00C33375">
        <w:rPr>
          <w:rStyle w:val="CharAmPartText"/>
        </w:rPr>
        <w:t xml:space="preserve"> </w:t>
      </w:r>
    </w:p>
    <w:p w:rsidR="0048364F" w:rsidRPr="00C33375" w:rsidRDefault="0048364F" w:rsidP="0048364F">
      <w:pPr>
        <w:sectPr w:rsidR="0048364F" w:rsidRPr="00C33375" w:rsidSect="006C2E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C33375" w:rsidRDefault="0048364F" w:rsidP="005773E5">
      <w:pPr>
        <w:rPr>
          <w:sz w:val="36"/>
        </w:rPr>
      </w:pPr>
      <w:r w:rsidRPr="00C33375">
        <w:rPr>
          <w:sz w:val="36"/>
        </w:rPr>
        <w:lastRenderedPageBreak/>
        <w:t>Contents</w:t>
      </w:r>
    </w:p>
    <w:bookmarkStart w:id="2" w:name="BKCheck15B_2"/>
    <w:bookmarkEnd w:id="2"/>
    <w:p w:rsidR="00C71CEA" w:rsidRPr="00C33375" w:rsidRDefault="00C71C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3375">
        <w:fldChar w:fldCharType="begin"/>
      </w:r>
      <w:r w:rsidRPr="00C33375">
        <w:instrText xml:space="preserve"> TOC \o "1-9" </w:instrText>
      </w:r>
      <w:r w:rsidRPr="00C33375">
        <w:fldChar w:fldCharType="separate"/>
      </w:r>
      <w:r w:rsidRPr="00C33375">
        <w:rPr>
          <w:noProof/>
        </w:rPr>
        <w:t>1</w:t>
      </w:r>
      <w:r w:rsidRPr="00C33375">
        <w:rPr>
          <w:noProof/>
        </w:rPr>
        <w:tab/>
        <w:t>Name of regulation</w:t>
      </w:r>
      <w:r w:rsidRPr="00C33375">
        <w:rPr>
          <w:noProof/>
        </w:rPr>
        <w:tab/>
      </w:r>
      <w:r w:rsidRPr="00C33375">
        <w:rPr>
          <w:noProof/>
        </w:rPr>
        <w:fldChar w:fldCharType="begin"/>
      </w:r>
      <w:r w:rsidRPr="00C33375">
        <w:rPr>
          <w:noProof/>
        </w:rPr>
        <w:instrText xml:space="preserve"> PAGEREF _Toc361387808 \h </w:instrText>
      </w:r>
      <w:r w:rsidRPr="00C33375">
        <w:rPr>
          <w:noProof/>
        </w:rPr>
      </w:r>
      <w:r w:rsidRPr="00C33375">
        <w:rPr>
          <w:noProof/>
        </w:rPr>
        <w:fldChar w:fldCharType="separate"/>
      </w:r>
      <w:r w:rsidR="00912799">
        <w:rPr>
          <w:noProof/>
        </w:rPr>
        <w:t>1</w:t>
      </w:r>
      <w:r w:rsidRPr="00C33375">
        <w:rPr>
          <w:noProof/>
        </w:rPr>
        <w:fldChar w:fldCharType="end"/>
      </w:r>
    </w:p>
    <w:p w:rsidR="00C71CEA" w:rsidRPr="00C33375" w:rsidRDefault="00C71C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3375">
        <w:rPr>
          <w:noProof/>
        </w:rPr>
        <w:t>2</w:t>
      </w:r>
      <w:r w:rsidRPr="00C33375">
        <w:rPr>
          <w:noProof/>
        </w:rPr>
        <w:tab/>
        <w:t>Commencement</w:t>
      </w:r>
      <w:r w:rsidRPr="00C33375">
        <w:rPr>
          <w:noProof/>
        </w:rPr>
        <w:tab/>
      </w:r>
      <w:r w:rsidRPr="00C33375">
        <w:rPr>
          <w:noProof/>
        </w:rPr>
        <w:fldChar w:fldCharType="begin"/>
      </w:r>
      <w:r w:rsidRPr="00C33375">
        <w:rPr>
          <w:noProof/>
        </w:rPr>
        <w:instrText xml:space="preserve"> PAGEREF _Toc361387809 \h </w:instrText>
      </w:r>
      <w:r w:rsidRPr="00C33375">
        <w:rPr>
          <w:noProof/>
        </w:rPr>
      </w:r>
      <w:r w:rsidRPr="00C33375">
        <w:rPr>
          <w:noProof/>
        </w:rPr>
        <w:fldChar w:fldCharType="separate"/>
      </w:r>
      <w:r w:rsidR="00912799">
        <w:rPr>
          <w:noProof/>
        </w:rPr>
        <w:t>1</w:t>
      </w:r>
      <w:r w:rsidRPr="00C33375">
        <w:rPr>
          <w:noProof/>
        </w:rPr>
        <w:fldChar w:fldCharType="end"/>
      </w:r>
    </w:p>
    <w:p w:rsidR="00C71CEA" w:rsidRPr="00C33375" w:rsidRDefault="00C71C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3375">
        <w:rPr>
          <w:noProof/>
        </w:rPr>
        <w:t>3</w:t>
      </w:r>
      <w:r w:rsidRPr="00C33375">
        <w:rPr>
          <w:noProof/>
        </w:rPr>
        <w:tab/>
        <w:t>Authority</w:t>
      </w:r>
      <w:r w:rsidRPr="00C33375">
        <w:rPr>
          <w:noProof/>
        </w:rPr>
        <w:tab/>
      </w:r>
      <w:r w:rsidRPr="00C33375">
        <w:rPr>
          <w:noProof/>
        </w:rPr>
        <w:fldChar w:fldCharType="begin"/>
      </w:r>
      <w:r w:rsidRPr="00C33375">
        <w:rPr>
          <w:noProof/>
        </w:rPr>
        <w:instrText xml:space="preserve"> PAGEREF _Toc361387810 \h </w:instrText>
      </w:r>
      <w:r w:rsidRPr="00C33375">
        <w:rPr>
          <w:noProof/>
        </w:rPr>
      </w:r>
      <w:r w:rsidRPr="00C33375">
        <w:rPr>
          <w:noProof/>
        </w:rPr>
        <w:fldChar w:fldCharType="separate"/>
      </w:r>
      <w:r w:rsidR="00912799">
        <w:rPr>
          <w:noProof/>
        </w:rPr>
        <w:t>1</w:t>
      </w:r>
      <w:r w:rsidRPr="00C33375">
        <w:rPr>
          <w:noProof/>
        </w:rPr>
        <w:fldChar w:fldCharType="end"/>
      </w:r>
    </w:p>
    <w:p w:rsidR="00C71CEA" w:rsidRPr="00C33375" w:rsidRDefault="00C71C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3375">
        <w:rPr>
          <w:noProof/>
        </w:rPr>
        <w:t>4</w:t>
      </w:r>
      <w:r w:rsidRPr="00C33375">
        <w:rPr>
          <w:noProof/>
        </w:rPr>
        <w:tab/>
        <w:t>Schedule(s)</w:t>
      </w:r>
      <w:r w:rsidRPr="00C33375">
        <w:rPr>
          <w:noProof/>
        </w:rPr>
        <w:tab/>
      </w:r>
      <w:r w:rsidRPr="00C33375">
        <w:rPr>
          <w:noProof/>
        </w:rPr>
        <w:fldChar w:fldCharType="begin"/>
      </w:r>
      <w:r w:rsidRPr="00C33375">
        <w:rPr>
          <w:noProof/>
        </w:rPr>
        <w:instrText xml:space="preserve"> PAGEREF _Toc361387811 \h </w:instrText>
      </w:r>
      <w:r w:rsidRPr="00C33375">
        <w:rPr>
          <w:noProof/>
        </w:rPr>
      </w:r>
      <w:r w:rsidRPr="00C33375">
        <w:rPr>
          <w:noProof/>
        </w:rPr>
        <w:fldChar w:fldCharType="separate"/>
      </w:r>
      <w:r w:rsidR="00912799">
        <w:rPr>
          <w:noProof/>
        </w:rPr>
        <w:t>1</w:t>
      </w:r>
      <w:r w:rsidRPr="00C33375">
        <w:rPr>
          <w:noProof/>
        </w:rPr>
        <w:fldChar w:fldCharType="end"/>
      </w:r>
    </w:p>
    <w:p w:rsidR="00C71CEA" w:rsidRPr="00C33375" w:rsidRDefault="00C71CE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33375">
        <w:rPr>
          <w:noProof/>
        </w:rPr>
        <w:t>Schedule</w:t>
      </w:r>
      <w:r w:rsidR="00C33375" w:rsidRPr="00C33375">
        <w:rPr>
          <w:noProof/>
        </w:rPr>
        <w:t> </w:t>
      </w:r>
      <w:r w:rsidRPr="00C33375">
        <w:rPr>
          <w:noProof/>
        </w:rPr>
        <w:t>1—Amendments</w:t>
      </w:r>
      <w:r w:rsidRPr="00C33375">
        <w:rPr>
          <w:b w:val="0"/>
          <w:noProof/>
          <w:sz w:val="18"/>
        </w:rPr>
        <w:tab/>
      </w:r>
      <w:r w:rsidRPr="00C33375">
        <w:rPr>
          <w:b w:val="0"/>
          <w:noProof/>
          <w:sz w:val="18"/>
        </w:rPr>
        <w:fldChar w:fldCharType="begin"/>
      </w:r>
      <w:r w:rsidRPr="00C33375">
        <w:rPr>
          <w:b w:val="0"/>
          <w:noProof/>
          <w:sz w:val="18"/>
        </w:rPr>
        <w:instrText xml:space="preserve"> PAGEREF _Toc361387812 \h </w:instrText>
      </w:r>
      <w:r w:rsidRPr="00C33375">
        <w:rPr>
          <w:b w:val="0"/>
          <w:noProof/>
          <w:sz w:val="18"/>
        </w:rPr>
      </w:r>
      <w:r w:rsidRPr="00C33375">
        <w:rPr>
          <w:b w:val="0"/>
          <w:noProof/>
          <w:sz w:val="18"/>
        </w:rPr>
        <w:fldChar w:fldCharType="separate"/>
      </w:r>
      <w:r w:rsidR="00912799">
        <w:rPr>
          <w:b w:val="0"/>
          <w:noProof/>
          <w:sz w:val="18"/>
        </w:rPr>
        <w:t>2</w:t>
      </w:r>
      <w:r w:rsidRPr="00C33375">
        <w:rPr>
          <w:b w:val="0"/>
          <w:noProof/>
          <w:sz w:val="18"/>
        </w:rPr>
        <w:fldChar w:fldCharType="end"/>
      </w:r>
    </w:p>
    <w:p w:rsidR="00C71CEA" w:rsidRPr="00C33375" w:rsidRDefault="00C71CE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33375">
        <w:rPr>
          <w:noProof/>
        </w:rPr>
        <w:t>Therapeutic Goods Regulations</w:t>
      </w:r>
      <w:r w:rsidR="00C33375" w:rsidRPr="00C33375">
        <w:rPr>
          <w:noProof/>
        </w:rPr>
        <w:t> </w:t>
      </w:r>
      <w:r w:rsidRPr="00C33375">
        <w:rPr>
          <w:noProof/>
        </w:rPr>
        <w:t>1990</w:t>
      </w:r>
      <w:r w:rsidRPr="00C33375">
        <w:rPr>
          <w:i w:val="0"/>
          <w:noProof/>
          <w:sz w:val="18"/>
        </w:rPr>
        <w:tab/>
      </w:r>
      <w:r w:rsidRPr="00C33375">
        <w:rPr>
          <w:i w:val="0"/>
          <w:noProof/>
          <w:sz w:val="18"/>
        </w:rPr>
        <w:fldChar w:fldCharType="begin"/>
      </w:r>
      <w:r w:rsidRPr="00C33375">
        <w:rPr>
          <w:i w:val="0"/>
          <w:noProof/>
          <w:sz w:val="18"/>
        </w:rPr>
        <w:instrText xml:space="preserve"> PAGEREF _Toc361387813 \h </w:instrText>
      </w:r>
      <w:r w:rsidRPr="00C33375">
        <w:rPr>
          <w:i w:val="0"/>
          <w:noProof/>
          <w:sz w:val="18"/>
        </w:rPr>
      </w:r>
      <w:r w:rsidRPr="00C33375">
        <w:rPr>
          <w:i w:val="0"/>
          <w:noProof/>
          <w:sz w:val="18"/>
        </w:rPr>
        <w:fldChar w:fldCharType="separate"/>
      </w:r>
      <w:r w:rsidR="00912799">
        <w:rPr>
          <w:i w:val="0"/>
          <w:noProof/>
          <w:sz w:val="18"/>
        </w:rPr>
        <w:t>2</w:t>
      </w:r>
      <w:r w:rsidRPr="00C33375">
        <w:rPr>
          <w:i w:val="0"/>
          <w:noProof/>
          <w:sz w:val="18"/>
        </w:rPr>
        <w:fldChar w:fldCharType="end"/>
      </w:r>
    </w:p>
    <w:p w:rsidR="00833416" w:rsidRPr="00C33375" w:rsidRDefault="00C71CEA" w:rsidP="0048364F">
      <w:r w:rsidRPr="00C33375">
        <w:fldChar w:fldCharType="end"/>
      </w:r>
    </w:p>
    <w:p w:rsidR="00722023" w:rsidRPr="00C33375" w:rsidRDefault="00722023" w:rsidP="0048364F">
      <w:pPr>
        <w:sectPr w:rsidR="00722023" w:rsidRPr="00C33375" w:rsidSect="006C2ED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C33375" w:rsidRDefault="0048364F" w:rsidP="0048364F">
      <w:pPr>
        <w:pStyle w:val="ActHead5"/>
      </w:pPr>
      <w:bookmarkStart w:id="3" w:name="_Toc361387808"/>
      <w:r w:rsidRPr="00C33375">
        <w:rPr>
          <w:rStyle w:val="CharSectno"/>
        </w:rPr>
        <w:lastRenderedPageBreak/>
        <w:t>1</w:t>
      </w:r>
      <w:r w:rsidRPr="00C33375">
        <w:t xml:space="preserve">  </w:t>
      </w:r>
      <w:r w:rsidR="004F676E" w:rsidRPr="00C33375">
        <w:t xml:space="preserve">Name of </w:t>
      </w:r>
      <w:r w:rsidR="002A555F" w:rsidRPr="00C33375">
        <w:t>regulation</w:t>
      </w:r>
      <w:bookmarkEnd w:id="3"/>
    </w:p>
    <w:p w:rsidR="0048364F" w:rsidRPr="00C33375" w:rsidRDefault="0048364F" w:rsidP="0048364F">
      <w:pPr>
        <w:pStyle w:val="subsection"/>
      </w:pPr>
      <w:r w:rsidRPr="00C33375">
        <w:tab/>
      </w:r>
      <w:r w:rsidRPr="00C33375">
        <w:tab/>
        <w:t>Th</w:t>
      </w:r>
      <w:r w:rsidR="00F24C35" w:rsidRPr="00C33375">
        <w:t>is</w:t>
      </w:r>
      <w:r w:rsidRPr="00C33375">
        <w:t xml:space="preserve"> </w:t>
      </w:r>
      <w:r w:rsidR="002A555F" w:rsidRPr="00C33375">
        <w:t>regulation</w:t>
      </w:r>
      <w:r w:rsidRPr="00C33375">
        <w:t xml:space="preserve"> </w:t>
      </w:r>
      <w:r w:rsidR="00F24C35" w:rsidRPr="00C33375">
        <w:t>is</w:t>
      </w:r>
      <w:r w:rsidR="003801D0" w:rsidRPr="00C33375">
        <w:t xml:space="preserve"> the</w:t>
      </w:r>
      <w:r w:rsidRPr="00C33375">
        <w:t xml:space="preserve"> </w:t>
      </w:r>
      <w:bookmarkStart w:id="4" w:name="BKCheck15B_3"/>
      <w:bookmarkEnd w:id="4"/>
      <w:r w:rsidR="00CB0180" w:rsidRPr="00C33375">
        <w:rPr>
          <w:i/>
        </w:rPr>
        <w:fldChar w:fldCharType="begin"/>
      </w:r>
      <w:r w:rsidR="00CB0180" w:rsidRPr="00C33375">
        <w:rPr>
          <w:i/>
        </w:rPr>
        <w:instrText xml:space="preserve"> STYLEREF  ShortT </w:instrText>
      </w:r>
      <w:r w:rsidR="00CB0180" w:rsidRPr="00C33375">
        <w:rPr>
          <w:i/>
        </w:rPr>
        <w:fldChar w:fldCharType="separate"/>
      </w:r>
      <w:r w:rsidR="00912799">
        <w:rPr>
          <w:i/>
          <w:noProof/>
        </w:rPr>
        <w:t>Therapeutic Goods Amendment (Advisory Committees) Regulation 2013</w:t>
      </w:r>
      <w:r w:rsidR="00CB0180" w:rsidRPr="00C33375">
        <w:rPr>
          <w:i/>
        </w:rPr>
        <w:fldChar w:fldCharType="end"/>
      </w:r>
      <w:r w:rsidRPr="00C33375">
        <w:t>.</w:t>
      </w:r>
    </w:p>
    <w:p w:rsidR="0048364F" w:rsidRPr="00C33375" w:rsidRDefault="0048364F" w:rsidP="0048364F">
      <w:pPr>
        <w:pStyle w:val="ActHead5"/>
      </w:pPr>
      <w:bookmarkStart w:id="5" w:name="_Toc361387809"/>
      <w:r w:rsidRPr="00C33375">
        <w:rPr>
          <w:rStyle w:val="CharSectno"/>
        </w:rPr>
        <w:t>2</w:t>
      </w:r>
      <w:r w:rsidRPr="00C33375">
        <w:t xml:space="preserve">  Commencement</w:t>
      </w:r>
      <w:bookmarkEnd w:id="5"/>
    </w:p>
    <w:p w:rsidR="004F676E" w:rsidRPr="00C33375" w:rsidRDefault="004F676E" w:rsidP="004F676E">
      <w:pPr>
        <w:pStyle w:val="subsection"/>
      </w:pPr>
      <w:bookmarkStart w:id="6" w:name="_GoBack"/>
      <w:r w:rsidRPr="00C33375">
        <w:tab/>
      </w:r>
      <w:r w:rsidRPr="00C33375">
        <w:tab/>
        <w:t>Th</w:t>
      </w:r>
      <w:r w:rsidR="00F24C35" w:rsidRPr="00C33375">
        <w:t>is</w:t>
      </w:r>
      <w:r w:rsidRPr="00C33375">
        <w:t xml:space="preserve"> </w:t>
      </w:r>
      <w:r w:rsidR="002A555F" w:rsidRPr="00C33375">
        <w:t>regulation</w:t>
      </w:r>
      <w:r w:rsidRPr="00C33375">
        <w:t xml:space="preserve"> commence</w:t>
      </w:r>
      <w:r w:rsidR="00D17B17" w:rsidRPr="00C33375">
        <w:t>s</w:t>
      </w:r>
      <w:r w:rsidRPr="00C33375">
        <w:t xml:space="preserve"> on </w:t>
      </w:r>
      <w:r w:rsidR="00A26DBE" w:rsidRPr="00C33375">
        <w:t xml:space="preserve">the </w:t>
      </w:r>
      <w:r w:rsidR="002A555F" w:rsidRPr="00C33375">
        <w:t>day after it is registered</w:t>
      </w:r>
      <w:r w:rsidRPr="00C33375">
        <w:t>.</w:t>
      </w:r>
      <w:bookmarkEnd w:id="6"/>
    </w:p>
    <w:p w:rsidR="007769D4" w:rsidRPr="00C33375" w:rsidRDefault="007769D4" w:rsidP="007769D4">
      <w:pPr>
        <w:pStyle w:val="ActHead5"/>
      </w:pPr>
      <w:bookmarkStart w:id="7" w:name="_Toc361387810"/>
      <w:r w:rsidRPr="00C33375">
        <w:rPr>
          <w:rStyle w:val="CharSectno"/>
        </w:rPr>
        <w:t>3</w:t>
      </w:r>
      <w:r w:rsidRPr="00C33375">
        <w:t xml:space="preserve">  Authority</w:t>
      </w:r>
      <w:bookmarkEnd w:id="7"/>
    </w:p>
    <w:p w:rsidR="007769D4" w:rsidRPr="00C33375" w:rsidRDefault="007769D4" w:rsidP="007769D4">
      <w:pPr>
        <w:pStyle w:val="subsection"/>
      </w:pPr>
      <w:r w:rsidRPr="00C33375">
        <w:tab/>
      </w:r>
      <w:r w:rsidRPr="00C33375">
        <w:tab/>
      </w:r>
      <w:r w:rsidR="00AF0336" w:rsidRPr="00C33375">
        <w:t xml:space="preserve">This </w:t>
      </w:r>
      <w:r w:rsidR="002A555F" w:rsidRPr="00C33375">
        <w:t>regulation</w:t>
      </w:r>
      <w:r w:rsidR="00AF0336" w:rsidRPr="00C33375">
        <w:t xml:space="preserve"> is made under the </w:t>
      </w:r>
      <w:r w:rsidR="002A555F" w:rsidRPr="00C33375">
        <w:rPr>
          <w:i/>
        </w:rPr>
        <w:t>Therapeutic Goods Act 1989</w:t>
      </w:r>
      <w:r w:rsidR="00D83D21" w:rsidRPr="00C33375">
        <w:rPr>
          <w:i/>
        </w:rPr>
        <w:t>.</w:t>
      </w:r>
    </w:p>
    <w:p w:rsidR="00557C7A" w:rsidRPr="00C33375" w:rsidRDefault="007769D4" w:rsidP="00557C7A">
      <w:pPr>
        <w:pStyle w:val="ActHead5"/>
      </w:pPr>
      <w:bookmarkStart w:id="8" w:name="_Toc361387811"/>
      <w:r w:rsidRPr="00C33375">
        <w:rPr>
          <w:rStyle w:val="CharSectno"/>
        </w:rPr>
        <w:t>4</w:t>
      </w:r>
      <w:r w:rsidR="00557C7A" w:rsidRPr="00C33375">
        <w:t xml:space="preserve">  </w:t>
      </w:r>
      <w:r w:rsidR="00B332B8" w:rsidRPr="00C33375">
        <w:t>Schedule(s)</w:t>
      </w:r>
      <w:bookmarkEnd w:id="8"/>
    </w:p>
    <w:p w:rsidR="00557C7A" w:rsidRPr="00C33375" w:rsidRDefault="00557C7A" w:rsidP="00557C7A">
      <w:pPr>
        <w:pStyle w:val="subsection"/>
      </w:pPr>
      <w:r w:rsidRPr="00C33375">
        <w:tab/>
      </w:r>
      <w:r w:rsidRPr="00C33375">
        <w:tab/>
      </w:r>
      <w:r w:rsidR="00CD7ECB" w:rsidRPr="00C33375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7B0F9E" w:rsidRPr="00C33375" w:rsidRDefault="0048364F" w:rsidP="00FF3089">
      <w:pPr>
        <w:pStyle w:val="ActHead6"/>
        <w:pageBreakBefore/>
      </w:pPr>
      <w:bookmarkStart w:id="9" w:name="_Toc361387812"/>
      <w:bookmarkStart w:id="10" w:name="opcAmSched"/>
      <w:bookmarkStart w:id="11" w:name="opcCurrentFind"/>
      <w:r w:rsidRPr="00C33375">
        <w:rPr>
          <w:rStyle w:val="CharAmSchNo"/>
        </w:rPr>
        <w:lastRenderedPageBreak/>
        <w:t>Schedule</w:t>
      </w:r>
      <w:r w:rsidR="00C33375" w:rsidRPr="00C33375">
        <w:rPr>
          <w:rStyle w:val="CharAmSchNo"/>
        </w:rPr>
        <w:t> </w:t>
      </w:r>
      <w:r w:rsidRPr="00C33375">
        <w:rPr>
          <w:rStyle w:val="CharAmSchNo"/>
        </w:rPr>
        <w:t>1</w:t>
      </w:r>
      <w:r w:rsidRPr="00C33375">
        <w:t>—</w:t>
      </w:r>
      <w:r w:rsidR="00460499" w:rsidRPr="00C33375">
        <w:rPr>
          <w:rStyle w:val="CharAmSchText"/>
        </w:rPr>
        <w:t>Amendments</w:t>
      </w:r>
      <w:bookmarkEnd w:id="9"/>
    </w:p>
    <w:bookmarkEnd w:id="10"/>
    <w:bookmarkEnd w:id="11"/>
    <w:p w:rsidR="007B0F9E" w:rsidRPr="00C33375" w:rsidRDefault="007B0F9E" w:rsidP="007B0F9E">
      <w:pPr>
        <w:pStyle w:val="Header"/>
      </w:pPr>
      <w:r w:rsidRPr="00C33375">
        <w:rPr>
          <w:rStyle w:val="CharAmPartNo"/>
        </w:rPr>
        <w:t xml:space="preserve"> </w:t>
      </w:r>
      <w:r w:rsidRPr="00C33375">
        <w:rPr>
          <w:rStyle w:val="CharAmPartText"/>
        </w:rPr>
        <w:t xml:space="preserve"> </w:t>
      </w:r>
    </w:p>
    <w:p w:rsidR="0048364F" w:rsidRPr="00C33375" w:rsidRDefault="003956D5" w:rsidP="007B0F9E">
      <w:pPr>
        <w:pStyle w:val="ActHead9"/>
      </w:pPr>
      <w:bookmarkStart w:id="12" w:name="_Toc361387813"/>
      <w:r w:rsidRPr="00C33375">
        <w:t xml:space="preserve">Therapeutic Goods </w:t>
      </w:r>
      <w:r w:rsidR="001826D3" w:rsidRPr="00C33375">
        <w:t>Regulations</w:t>
      </w:r>
      <w:r w:rsidR="00C33375" w:rsidRPr="00C33375">
        <w:t> </w:t>
      </w:r>
      <w:r w:rsidR="001826D3" w:rsidRPr="00C33375">
        <w:t>1990</w:t>
      </w:r>
      <w:bookmarkEnd w:id="12"/>
    </w:p>
    <w:p w:rsidR="009C715F" w:rsidRPr="00C33375" w:rsidRDefault="00AC416C" w:rsidP="009C715F">
      <w:pPr>
        <w:pStyle w:val="ItemHead"/>
        <w:tabs>
          <w:tab w:val="left" w:pos="6663"/>
        </w:tabs>
      </w:pPr>
      <w:r w:rsidRPr="00C33375">
        <w:t>1</w:t>
      </w:r>
      <w:r w:rsidR="00BF4CE1" w:rsidRPr="00C33375">
        <w:t xml:space="preserve">  </w:t>
      </w:r>
      <w:r w:rsidR="009C715F" w:rsidRPr="00C33375">
        <w:t>Sub</w:t>
      </w:r>
      <w:r w:rsidR="00545031" w:rsidRPr="00C33375">
        <w:t>regulation</w:t>
      </w:r>
      <w:r w:rsidR="00C33375" w:rsidRPr="00C33375">
        <w:t> </w:t>
      </w:r>
      <w:r w:rsidR="009C715F" w:rsidRPr="00C33375">
        <w:t>34A(1)</w:t>
      </w:r>
    </w:p>
    <w:p w:rsidR="009C715F" w:rsidRPr="00C33375" w:rsidRDefault="009C715F" w:rsidP="009C715F">
      <w:pPr>
        <w:pStyle w:val="Item"/>
      </w:pPr>
      <w:r w:rsidRPr="00C33375">
        <w:t>Repeal the sub</w:t>
      </w:r>
      <w:r w:rsidR="009F09EF" w:rsidRPr="00C33375">
        <w:t>regulation</w:t>
      </w:r>
      <w:r w:rsidRPr="00C33375">
        <w:t>, substitute:</w:t>
      </w:r>
    </w:p>
    <w:p w:rsidR="009C715F" w:rsidRPr="00C33375" w:rsidRDefault="009C715F" w:rsidP="009C715F">
      <w:pPr>
        <w:pStyle w:val="subsection"/>
      </w:pPr>
      <w:r w:rsidRPr="00C33375">
        <w:tab/>
        <w:t>(1)</w:t>
      </w:r>
      <w:r w:rsidRPr="00C33375">
        <w:tab/>
        <w:t>The committee’s functions are:</w:t>
      </w:r>
    </w:p>
    <w:p w:rsidR="009C715F" w:rsidRPr="00C33375" w:rsidRDefault="009C715F" w:rsidP="009C715F">
      <w:pPr>
        <w:pStyle w:val="paragraph"/>
      </w:pPr>
      <w:r w:rsidRPr="00C33375">
        <w:tab/>
        <w:t>(a)</w:t>
      </w:r>
      <w:r w:rsidRPr="00C33375">
        <w:tab/>
        <w:t>at the request of the Minister—</w:t>
      </w:r>
      <w:r w:rsidR="0009424F" w:rsidRPr="00C33375">
        <w:t xml:space="preserve">to provide advice and </w:t>
      </w:r>
      <w:r w:rsidR="00BB0370" w:rsidRPr="00C33375">
        <w:t xml:space="preserve">to </w:t>
      </w:r>
      <w:r w:rsidR="0009424F" w:rsidRPr="00C33375">
        <w:t>make recommendations to the Minister about one or more of the following matters:</w:t>
      </w:r>
    </w:p>
    <w:p w:rsidR="0009424F" w:rsidRPr="00C33375" w:rsidRDefault="0009424F" w:rsidP="0009424F">
      <w:pPr>
        <w:pStyle w:val="paragraphsub"/>
      </w:pPr>
      <w:r w:rsidRPr="00C33375">
        <w:tab/>
        <w:t>(i)</w:t>
      </w:r>
      <w:r w:rsidRPr="00C33375">
        <w:tab/>
        <w:t>the adoption of standards for therapeutic goods;</w:t>
      </w:r>
    </w:p>
    <w:p w:rsidR="0009424F" w:rsidRPr="00C33375" w:rsidRDefault="0009424F" w:rsidP="0009424F">
      <w:pPr>
        <w:pStyle w:val="paragraphsub"/>
      </w:pPr>
      <w:r w:rsidRPr="00C33375">
        <w:tab/>
        <w:t>(ii)</w:t>
      </w:r>
      <w:r w:rsidRPr="00C33375">
        <w:tab/>
        <w:t>matters relating to standards for therapeutic goods;</w:t>
      </w:r>
    </w:p>
    <w:p w:rsidR="0009424F" w:rsidRPr="00C33375" w:rsidRDefault="0009424F" w:rsidP="0009424F">
      <w:pPr>
        <w:pStyle w:val="paragraphsub"/>
      </w:pPr>
      <w:r w:rsidRPr="00C33375">
        <w:tab/>
        <w:t>(iii)</w:t>
      </w:r>
      <w:r w:rsidRPr="00C33375">
        <w:tab/>
        <w:t>requirements for labelling and packaging of therapeutic goods;</w:t>
      </w:r>
    </w:p>
    <w:p w:rsidR="0009424F" w:rsidRPr="00C33375" w:rsidRDefault="0009424F" w:rsidP="0009424F">
      <w:pPr>
        <w:pStyle w:val="paragraphsub"/>
      </w:pPr>
      <w:r w:rsidRPr="00C33375">
        <w:tab/>
        <w:t>(iv)</w:t>
      </w:r>
      <w:r w:rsidRPr="00C33375">
        <w:tab/>
        <w:t>standards for manufacture of therapeutic goods;</w:t>
      </w:r>
    </w:p>
    <w:p w:rsidR="0009424F" w:rsidRPr="00C33375" w:rsidRDefault="0009424F" w:rsidP="0009424F">
      <w:pPr>
        <w:pStyle w:val="paragraphsub"/>
      </w:pPr>
      <w:r w:rsidRPr="00C33375">
        <w:tab/>
        <w:t>(v)</w:t>
      </w:r>
      <w:r w:rsidRPr="00C33375">
        <w:tab/>
        <w:t>matters relating to medical device standards;</w:t>
      </w:r>
    </w:p>
    <w:p w:rsidR="0009424F" w:rsidRPr="00C33375" w:rsidRDefault="0009424F" w:rsidP="0009424F">
      <w:pPr>
        <w:pStyle w:val="paragraphsub"/>
      </w:pPr>
      <w:r w:rsidRPr="00C33375">
        <w:tab/>
        <w:t>(vi)</w:t>
      </w:r>
      <w:r w:rsidRPr="00C33375">
        <w:tab/>
        <w:t>matters relating to conformity assessment standards;</w:t>
      </w:r>
    </w:p>
    <w:p w:rsidR="0009424F" w:rsidRPr="00C33375" w:rsidRDefault="0009424F" w:rsidP="0009424F">
      <w:pPr>
        <w:pStyle w:val="paragraphsub"/>
      </w:pPr>
      <w:r w:rsidRPr="00C33375">
        <w:tab/>
        <w:t>(vii)</w:t>
      </w:r>
      <w:r w:rsidRPr="00C33375">
        <w:tab/>
        <w:t>matters relating to standards for biologicals; and</w:t>
      </w:r>
    </w:p>
    <w:p w:rsidR="0009424F" w:rsidRPr="00C33375" w:rsidRDefault="0009424F" w:rsidP="009C715F">
      <w:pPr>
        <w:pStyle w:val="paragraph"/>
      </w:pPr>
      <w:r w:rsidRPr="00C33375">
        <w:tab/>
        <w:t>(b)</w:t>
      </w:r>
      <w:r w:rsidRPr="00C33375">
        <w:tab/>
        <w:t xml:space="preserve">at the request of the Minister or Secretary—to provide advice and </w:t>
      </w:r>
      <w:r w:rsidR="00BB0370" w:rsidRPr="00C33375">
        <w:t xml:space="preserve">to </w:t>
      </w:r>
      <w:r w:rsidRPr="00C33375">
        <w:t>make recommendations to the Minister or Secretary about a matter.</w:t>
      </w:r>
    </w:p>
    <w:p w:rsidR="00BF4CE1" w:rsidRPr="00C33375" w:rsidRDefault="00AC416C" w:rsidP="00BF4CE1">
      <w:pPr>
        <w:pStyle w:val="ItemHead"/>
        <w:tabs>
          <w:tab w:val="left" w:pos="6663"/>
        </w:tabs>
      </w:pPr>
      <w:r w:rsidRPr="00C33375">
        <w:t>2</w:t>
      </w:r>
      <w:r w:rsidR="00BF4CE1" w:rsidRPr="00C33375">
        <w:t xml:space="preserve">  Sub</w:t>
      </w:r>
      <w:r w:rsidR="00545031" w:rsidRPr="00C33375">
        <w:t>regulation</w:t>
      </w:r>
      <w:r w:rsidR="00C33375" w:rsidRPr="00C33375">
        <w:t> </w:t>
      </w:r>
      <w:r w:rsidR="00BF4CE1" w:rsidRPr="00C33375">
        <w:t>35A(1)</w:t>
      </w:r>
    </w:p>
    <w:p w:rsidR="0009424F" w:rsidRPr="00C33375" w:rsidRDefault="0009424F" w:rsidP="0009424F">
      <w:pPr>
        <w:pStyle w:val="Item"/>
      </w:pPr>
      <w:r w:rsidRPr="00C33375">
        <w:t>Repeal the sub</w:t>
      </w:r>
      <w:r w:rsidR="009F09EF" w:rsidRPr="00C33375">
        <w:t>regulation</w:t>
      </w:r>
      <w:r w:rsidRPr="00C33375">
        <w:t>, substitute:</w:t>
      </w:r>
    </w:p>
    <w:p w:rsidR="0009424F" w:rsidRPr="00C33375" w:rsidRDefault="0009424F" w:rsidP="0009424F">
      <w:pPr>
        <w:pStyle w:val="subsection"/>
      </w:pPr>
      <w:r w:rsidRPr="00C33375">
        <w:tab/>
        <w:t>(1)</w:t>
      </w:r>
      <w:r w:rsidRPr="00C33375">
        <w:tab/>
        <w:t xml:space="preserve">The committee’s functions are, </w:t>
      </w:r>
      <w:r w:rsidR="00BB0370" w:rsidRPr="00C33375">
        <w:t>at the</w:t>
      </w:r>
      <w:r w:rsidRPr="00C33375">
        <w:t xml:space="preserve"> request </w:t>
      </w:r>
      <w:r w:rsidR="00BB0370" w:rsidRPr="00C33375">
        <w:t>of</w:t>
      </w:r>
      <w:r w:rsidRPr="00C33375">
        <w:t xml:space="preserve"> the Minister or Secretary, to provide advice and </w:t>
      </w:r>
      <w:r w:rsidR="00BB0370" w:rsidRPr="00C33375">
        <w:t xml:space="preserve">to </w:t>
      </w:r>
      <w:r w:rsidRPr="00C33375">
        <w:t>make recommendations</w:t>
      </w:r>
      <w:r w:rsidR="00306B96" w:rsidRPr="00C33375">
        <w:t xml:space="preserve"> to the Minister or Secretary</w:t>
      </w:r>
      <w:r w:rsidRPr="00C33375">
        <w:t xml:space="preserve"> about one or more of the following matters:</w:t>
      </w:r>
    </w:p>
    <w:p w:rsidR="0009424F" w:rsidRPr="00C33375" w:rsidRDefault="0009424F" w:rsidP="0009424F">
      <w:pPr>
        <w:pStyle w:val="paragraph"/>
      </w:pPr>
      <w:r w:rsidRPr="00C33375">
        <w:tab/>
        <w:t>(a)</w:t>
      </w:r>
      <w:r w:rsidRPr="00C33375">
        <w:tab/>
        <w:t>inclusion of a prescription medicine in the Register;</w:t>
      </w:r>
    </w:p>
    <w:p w:rsidR="0009424F" w:rsidRPr="00C33375" w:rsidRDefault="0009424F" w:rsidP="0009424F">
      <w:pPr>
        <w:pStyle w:val="paragraph"/>
      </w:pPr>
      <w:r w:rsidRPr="00C33375">
        <w:tab/>
        <w:t>(b)</w:t>
      </w:r>
      <w:r w:rsidRPr="00C33375">
        <w:tab/>
        <w:t>variation of an entry for a prescription medicine included in the Register;</w:t>
      </w:r>
    </w:p>
    <w:p w:rsidR="0009424F" w:rsidRPr="00C33375" w:rsidRDefault="0009424F" w:rsidP="0009424F">
      <w:pPr>
        <w:pStyle w:val="paragraph"/>
      </w:pPr>
      <w:r w:rsidRPr="00C33375">
        <w:tab/>
        <w:t>(c)</w:t>
      </w:r>
      <w:r w:rsidRPr="00C33375">
        <w:tab/>
        <w:t>removal or continued retention of a prescription medicine in the Register;</w:t>
      </w:r>
    </w:p>
    <w:p w:rsidR="0009424F" w:rsidRPr="00C33375" w:rsidRDefault="0009424F" w:rsidP="0009424F">
      <w:pPr>
        <w:pStyle w:val="paragraph"/>
      </w:pPr>
      <w:r w:rsidRPr="00C33375">
        <w:tab/>
        <w:t>(d)</w:t>
      </w:r>
      <w:r w:rsidRPr="00C33375">
        <w:tab/>
        <w:t>any other matter (whether or not related to prescription medicines).</w:t>
      </w:r>
    </w:p>
    <w:p w:rsidR="00BF4CE1" w:rsidRPr="00C33375" w:rsidRDefault="00AC416C" w:rsidP="00BF4CE1">
      <w:pPr>
        <w:pStyle w:val="ItemHead"/>
        <w:tabs>
          <w:tab w:val="left" w:pos="6663"/>
        </w:tabs>
      </w:pPr>
      <w:r w:rsidRPr="00C33375">
        <w:lastRenderedPageBreak/>
        <w:t>3</w:t>
      </w:r>
      <w:r w:rsidR="00BF4CE1" w:rsidRPr="00C33375">
        <w:t xml:space="preserve">  Sub</w:t>
      </w:r>
      <w:r w:rsidR="00545031" w:rsidRPr="00C33375">
        <w:t>regulation</w:t>
      </w:r>
      <w:r w:rsidR="00C33375" w:rsidRPr="00C33375">
        <w:t> </w:t>
      </w:r>
      <w:r w:rsidR="00BF4CE1" w:rsidRPr="00C33375">
        <w:t>36A(1)</w:t>
      </w:r>
    </w:p>
    <w:p w:rsidR="0009424F" w:rsidRPr="00C33375" w:rsidRDefault="0009424F" w:rsidP="0009424F">
      <w:pPr>
        <w:pStyle w:val="Item"/>
      </w:pPr>
      <w:r w:rsidRPr="00C33375">
        <w:t>Repeal the sub</w:t>
      </w:r>
      <w:r w:rsidR="009F09EF" w:rsidRPr="00C33375">
        <w:t>regulation</w:t>
      </w:r>
      <w:r w:rsidRPr="00C33375">
        <w:t>, substitute:</w:t>
      </w:r>
    </w:p>
    <w:p w:rsidR="0009424F" w:rsidRPr="00C33375" w:rsidRDefault="0009424F" w:rsidP="0009424F">
      <w:pPr>
        <w:pStyle w:val="subsection"/>
      </w:pPr>
      <w:r w:rsidRPr="00C33375">
        <w:tab/>
        <w:t>(1)</w:t>
      </w:r>
      <w:r w:rsidRPr="00C33375">
        <w:tab/>
        <w:t xml:space="preserve">The committee’s functions are, </w:t>
      </w:r>
      <w:r w:rsidR="00BB0370" w:rsidRPr="00C33375">
        <w:t>at the</w:t>
      </w:r>
      <w:r w:rsidRPr="00C33375">
        <w:t xml:space="preserve"> request </w:t>
      </w:r>
      <w:r w:rsidR="00BB0370" w:rsidRPr="00C33375">
        <w:t>of</w:t>
      </w:r>
      <w:r w:rsidRPr="00C33375">
        <w:t xml:space="preserve"> the Minister or Secretary, to provide advice and </w:t>
      </w:r>
      <w:r w:rsidR="00BB0370" w:rsidRPr="00C33375">
        <w:t xml:space="preserve">to </w:t>
      </w:r>
      <w:r w:rsidRPr="00C33375">
        <w:t xml:space="preserve">make recommendations </w:t>
      </w:r>
      <w:r w:rsidR="00306B96" w:rsidRPr="00C33375">
        <w:t xml:space="preserve">to the Minister or Secretary </w:t>
      </w:r>
      <w:r w:rsidRPr="00C33375">
        <w:t>about one or more of the following matters:</w:t>
      </w:r>
    </w:p>
    <w:p w:rsidR="0009424F" w:rsidRPr="00C33375" w:rsidRDefault="0009424F" w:rsidP="0009424F">
      <w:pPr>
        <w:pStyle w:val="paragraph"/>
      </w:pPr>
      <w:r w:rsidRPr="00C33375">
        <w:tab/>
        <w:t>(a)</w:t>
      </w:r>
      <w:r w:rsidRPr="00C33375">
        <w:tab/>
        <w:t>inclusion of a non</w:t>
      </w:r>
      <w:r w:rsidR="00C33375">
        <w:noBreakHyphen/>
      </w:r>
      <w:r w:rsidRPr="00C33375">
        <w:t>prescription medicine in the Register;</w:t>
      </w:r>
    </w:p>
    <w:p w:rsidR="0009424F" w:rsidRPr="00C33375" w:rsidRDefault="0009424F" w:rsidP="0009424F">
      <w:pPr>
        <w:pStyle w:val="paragraph"/>
      </w:pPr>
      <w:r w:rsidRPr="00C33375">
        <w:tab/>
        <w:t>(b)</w:t>
      </w:r>
      <w:r w:rsidRPr="00C33375">
        <w:tab/>
        <w:t>variation of an entry for a non</w:t>
      </w:r>
      <w:r w:rsidR="00C33375">
        <w:noBreakHyphen/>
      </w:r>
      <w:r w:rsidRPr="00C33375">
        <w:t>prescription medicine included in the Register;</w:t>
      </w:r>
    </w:p>
    <w:p w:rsidR="0009424F" w:rsidRPr="00C33375" w:rsidRDefault="0009424F" w:rsidP="0009424F">
      <w:pPr>
        <w:pStyle w:val="paragraph"/>
      </w:pPr>
      <w:r w:rsidRPr="00C33375">
        <w:tab/>
        <w:t>(c)</w:t>
      </w:r>
      <w:r w:rsidRPr="00C33375">
        <w:tab/>
        <w:t>removal or continued retention of a non</w:t>
      </w:r>
      <w:r w:rsidR="00C33375">
        <w:noBreakHyphen/>
      </w:r>
      <w:r w:rsidRPr="00C33375">
        <w:t>prescription medicine in the Register;</w:t>
      </w:r>
    </w:p>
    <w:p w:rsidR="0009424F" w:rsidRPr="00C33375" w:rsidRDefault="0009424F" w:rsidP="0009424F">
      <w:pPr>
        <w:pStyle w:val="paragraph"/>
      </w:pPr>
      <w:r w:rsidRPr="00C33375">
        <w:tab/>
        <w:t>(d)</w:t>
      </w:r>
      <w:r w:rsidRPr="00C33375">
        <w:tab/>
        <w:t>any other matter (whether or not related to non</w:t>
      </w:r>
      <w:r w:rsidR="00C33375">
        <w:noBreakHyphen/>
      </w:r>
      <w:r w:rsidRPr="00C33375">
        <w:t>prescription medicines).</w:t>
      </w:r>
    </w:p>
    <w:p w:rsidR="00BF4CE1" w:rsidRPr="00C33375" w:rsidRDefault="00AC416C" w:rsidP="00BF4CE1">
      <w:pPr>
        <w:pStyle w:val="ItemHead"/>
        <w:tabs>
          <w:tab w:val="left" w:pos="6663"/>
        </w:tabs>
      </w:pPr>
      <w:r w:rsidRPr="00C33375">
        <w:t>4</w:t>
      </w:r>
      <w:r w:rsidR="00BF4CE1" w:rsidRPr="00C33375">
        <w:t xml:space="preserve">  Sub</w:t>
      </w:r>
      <w:r w:rsidR="00545031" w:rsidRPr="00C33375">
        <w:t>regulation</w:t>
      </w:r>
      <w:r w:rsidR="00C33375" w:rsidRPr="00C33375">
        <w:t> </w:t>
      </w:r>
      <w:r w:rsidR="00BF4CE1" w:rsidRPr="00C33375">
        <w:t>37A(1)</w:t>
      </w:r>
    </w:p>
    <w:p w:rsidR="00AC416C" w:rsidRPr="00C33375" w:rsidRDefault="00AC416C" w:rsidP="00AC416C">
      <w:pPr>
        <w:pStyle w:val="Item"/>
      </w:pPr>
      <w:r w:rsidRPr="00C33375">
        <w:t>Repeal the sub</w:t>
      </w:r>
      <w:r w:rsidR="009F09EF" w:rsidRPr="00C33375">
        <w:t>regulation</w:t>
      </w:r>
      <w:r w:rsidRPr="00C33375">
        <w:t>, substitute:</w:t>
      </w:r>
    </w:p>
    <w:p w:rsidR="00AC416C" w:rsidRPr="00C33375" w:rsidRDefault="00AC416C" w:rsidP="00AC416C">
      <w:pPr>
        <w:pStyle w:val="subsection"/>
      </w:pPr>
      <w:r w:rsidRPr="00C33375">
        <w:tab/>
        <w:t>(1)</w:t>
      </w:r>
      <w:r w:rsidRPr="00C33375">
        <w:tab/>
        <w:t xml:space="preserve">The committee’s functions are, </w:t>
      </w:r>
      <w:r w:rsidR="00BB0370" w:rsidRPr="00C33375">
        <w:t>at the</w:t>
      </w:r>
      <w:r w:rsidRPr="00C33375">
        <w:t xml:space="preserve"> request </w:t>
      </w:r>
      <w:r w:rsidR="00BB0370" w:rsidRPr="00C33375">
        <w:t>of</w:t>
      </w:r>
      <w:r w:rsidRPr="00C33375">
        <w:t xml:space="preserve"> the Minister or Secretary, to provide advice and </w:t>
      </w:r>
      <w:r w:rsidR="00BB0370" w:rsidRPr="00C33375">
        <w:t xml:space="preserve">to </w:t>
      </w:r>
      <w:r w:rsidRPr="00C33375">
        <w:t xml:space="preserve">make recommendations </w:t>
      </w:r>
      <w:r w:rsidR="00306B96" w:rsidRPr="00C33375">
        <w:t xml:space="preserve">to the Minister or Secretary </w:t>
      </w:r>
      <w:r w:rsidRPr="00C33375">
        <w:t>about one or more of the following matters:</w:t>
      </w:r>
    </w:p>
    <w:p w:rsidR="00AC416C" w:rsidRPr="00C33375" w:rsidRDefault="00AC416C" w:rsidP="00AC416C">
      <w:pPr>
        <w:pStyle w:val="paragraph"/>
      </w:pPr>
      <w:r w:rsidRPr="00C33375">
        <w:tab/>
        <w:t>(a)</w:t>
      </w:r>
      <w:r w:rsidRPr="00C33375">
        <w:tab/>
        <w:t>safety of medicines;</w:t>
      </w:r>
    </w:p>
    <w:p w:rsidR="00AC416C" w:rsidRPr="00C33375" w:rsidRDefault="00AC416C" w:rsidP="00AC416C">
      <w:pPr>
        <w:pStyle w:val="paragraph"/>
      </w:pPr>
      <w:r w:rsidRPr="00C33375">
        <w:tab/>
        <w:t>(b)</w:t>
      </w:r>
      <w:r w:rsidRPr="00C33375">
        <w:tab/>
        <w:t>risk assessment and risk management of medicines;</w:t>
      </w:r>
    </w:p>
    <w:p w:rsidR="00AC416C" w:rsidRPr="00C33375" w:rsidRDefault="00AC416C" w:rsidP="00AC416C">
      <w:pPr>
        <w:pStyle w:val="paragraph"/>
      </w:pPr>
      <w:r w:rsidRPr="00C33375">
        <w:tab/>
        <w:t>(c)</w:t>
      </w:r>
      <w:r w:rsidRPr="00C33375">
        <w:tab/>
        <w:t>pharmacovigilance;</w:t>
      </w:r>
    </w:p>
    <w:p w:rsidR="00AC416C" w:rsidRPr="00C33375" w:rsidRDefault="00AC416C" w:rsidP="00AC416C">
      <w:pPr>
        <w:pStyle w:val="paragraph"/>
      </w:pPr>
      <w:r w:rsidRPr="00C33375">
        <w:tab/>
        <w:t>(d)</w:t>
      </w:r>
      <w:r w:rsidRPr="00C33375">
        <w:tab/>
        <w:t>any other matter (whether or not related to medicines safety).</w:t>
      </w:r>
    </w:p>
    <w:p w:rsidR="00BF4CE1" w:rsidRPr="00C33375" w:rsidRDefault="00AC416C" w:rsidP="00BF4CE1">
      <w:pPr>
        <w:pStyle w:val="ItemHead"/>
      </w:pPr>
      <w:r w:rsidRPr="00C33375">
        <w:t>5</w:t>
      </w:r>
      <w:r w:rsidR="00BF4CE1" w:rsidRPr="00C33375">
        <w:t xml:space="preserve">  Subregulation</w:t>
      </w:r>
      <w:r w:rsidR="00C33375" w:rsidRPr="00C33375">
        <w:t> </w:t>
      </w:r>
      <w:r w:rsidR="00BF4CE1" w:rsidRPr="00C33375">
        <w:t>37B(1)</w:t>
      </w:r>
    </w:p>
    <w:p w:rsidR="00BF4CE1" w:rsidRPr="00C33375" w:rsidRDefault="00BF4CE1" w:rsidP="00BF4CE1">
      <w:pPr>
        <w:pStyle w:val="Item"/>
      </w:pPr>
      <w:r w:rsidRPr="00C33375">
        <w:t>Omit “15”, substitute “25”.</w:t>
      </w:r>
    </w:p>
    <w:p w:rsidR="00BF4CE1" w:rsidRPr="00C33375" w:rsidRDefault="00AC416C" w:rsidP="00BF4CE1">
      <w:pPr>
        <w:pStyle w:val="ItemHead"/>
      </w:pPr>
      <w:r w:rsidRPr="00C33375">
        <w:t>6</w:t>
      </w:r>
      <w:r w:rsidR="00BF4CE1" w:rsidRPr="00C33375">
        <w:t xml:space="preserve">  Paragraphs 37B(2)(a) to (j)</w:t>
      </w:r>
    </w:p>
    <w:p w:rsidR="00BF4CE1" w:rsidRPr="00C33375" w:rsidRDefault="00BF4CE1" w:rsidP="00BF4CE1">
      <w:pPr>
        <w:pStyle w:val="Item"/>
      </w:pPr>
      <w:r w:rsidRPr="00C33375">
        <w:t>Repeal the paragraphs, substitute:</w:t>
      </w:r>
    </w:p>
    <w:p w:rsidR="00BF4CE1" w:rsidRPr="00C33375" w:rsidRDefault="00BF4CE1" w:rsidP="00BF4CE1">
      <w:pPr>
        <w:pStyle w:val="paragraph"/>
      </w:pPr>
      <w:r w:rsidRPr="00C33375">
        <w:tab/>
        <w:t>(a)</w:t>
      </w:r>
      <w:r w:rsidRPr="00C33375">
        <w:tab/>
        <w:t>clinical pharmacology or pharmacokinetics;</w:t>
      </w:r>
    </w:p>
    <w:p w:rsidR="00BF4CE1" w:rsidRPr="00C33375" w:rsidRDefault="00BF4CE1" w:rsidP="00BF4CE1">
      <w:pPr>
        <w:pStyle w:val="paragraph"/>
      </w:pPr>
      <w:r w:rsidRPr="00C33375">
        <w:tab/>
        <w:t>(b)</w:t>
      </w:r>
      <w:r w:rsidRPr="00C33375">
        <w:tab/>
        <w:t>clinical pharmacy;</w:t>
      </w:r>
    </w:p>
    <w:p w:rsidR="00BF4CE1" w:rsidRPr="00C33375" w:rsidRDefault="00BF4CE1" w:rsidP="00BF4CE1">
      <w:pPr>
        <w:pStyle w:val="paragraph"/>
      </w:pPr>
      <w:r w:rsidRPr="00C33375">
        <w:tab/>
        <w:t>(c)</w:t>
      </w:r>
      <w:r w:rsidRPr="00C33375">
        <w:tab/>
        <w:t>general medical practice in Australia;</w:t>
      </w:r>
    </w:p>
    <w:p w:rsidR="00BF4CE1" w:rsidRPr="00C33375" w:rsidRDefault="00BF4CE1" w:rsidP="00BF4CE1">
      <w:pPr>
        <w:pStyle w:val="paragraph"/>
      </w:pPr>
      <w:r w:rsidRPr="00C33375">
        <w:tab/>
        <w:t>(d)</w:t>
      </w:r>
      <w:r w:rsidRPr="00C33375">
        <w:tab/>
        <w:t>complementary medicine;</w:t>
      </w:r>
    </w:p>
    <w:p w:rsidR="00BF4CE1" w:rsidRPr="00C33375" w:rsidRDefault="00BF4CE1" w:rsidP="00BF4CE1">
      <w:pPr>
        <w:pStyle w:val="paragraph"/>
      </w:pPr>
      <w:r w:rsidRPr="00C33375">
        <w:tab/>
        <w:t>(e)</w:t>
      </w:r>
      <w:r w:rsidRPr="00C33375">
        <w:tab/>
        <w:t>paediatrics;</w:t>
      </w:r>
    </w:p>
    <w:p w:rsidR="00BF4CE1" w:rsidRPr="00C33375" w:rsidRDefault="00BF4CE1" w:rsidP="00BF4CE1">
      <w:pPr>
        <w:pStyle w:val="paragraph"/>
      </w:pPr>
      <w:r w:rsidRPr="00C33375">
        <w:tab/>
        <w:t>(f)</w:t>
      </w:r>
      <w:r w:rsidRPr="00C33375">
        <w:tab/>
        <w:t>consumer issues;</w:t>
      </w:r>
    </w:p>
    <w:p w:rsidR="00BF4CE1" w:rsidRPr="00C33375" w:rsidRDefault="00BF4CE1" w:rsidP="00BF4CE1">
      <w:pPr>
        <w:pStyle w:val="paragraph"/>
      </w:pPr>
      <w:r w:rsidRPr="00C33375">
        <w:tab/>
        <w:t>(g)</w:t>
      </w:r>
      <w:r w:rsidRPr="00C33375">
        <w:tab/>
        <w:t>epidemiology or biostatistics;</w:t>
      </w:r>
    </w:p>
    <w:p w:rsidR="00BF4CE1" w:rsidRPr="00C33375" w:rsidRDefault="00BF4CE1" w:rsidP="00BF4CE1">
      <w:pPr>
        <w:pStyle w:val="paragraph"/>
      </w:pPr>
      <w:r w:rsidRPr="00C33375">
        <w:lastRenderedPageBreak/>
        <w:tab/>
        <w:t>(h)</w:t>
      </w:r>
      <w:r w:rsidRPr="00C33375">
        <w:tab/>
        <w:t>gerontology;</w:t>
      </w:r>
    </w:p>
    <w:p w:rsidR="00BF4CE1" w:rsidRPr="00C33375" w:rsidRDefault="00BF4CE1" w:rsidP="00BF4CE1">
      <w:pPr>
        <w:pStyle w:val="paragraph"/>
      </w:pPr>
      <w:r w:rsidRPr="00C33375">
        <w:tab/>
        <w:t>(i)</w:t>
      </w:r>
      <w:r w:rsidRPr="00C33375">
        <w:tab/>
        <w:t>intensive care;</w:t>
      </w:r>
    </w:p>
    <w:p w:rsidR="00BF4CE1" w:rsidRPr="00C33375" w:rsidRDefault="00BF4CE1" w:rsidP="00BF4CE1">
      <w:pPr>
        <w:pStyle w:val="paragraph"/>
      </w:pPr>
      <w:r w:rsidRPr="00C33375">
        <w:tab/>
        <w:t>(j)</w:t>
      </w:r>
      <w:r w:rsidRPr="00C33375">
        <w:tab/>
        <w:t>anaesthetics;</w:t>
      </w:r>
    </w:p>
    <w:p w:rsidR="00BF4CE1" w:rsidRPr="00C33375" w:rsidRDefault="00BF4CE1" w:rsidP="00BF4CE1">
      <w:pPr>
        <w:pStyle w:val="paragraph"/>
      </w:pPr>
      <w:r w:rsidRPr="00C33375">
        <w:tab/>
        <w:t>(k)</w:t>
      </w:r>
      <w:r w:rsidRPr="00C33375">
        <w:tab/>
        <w:t>psychiatry;</w:t>
      </w:r>
    </w:p>
    <w:p w:rsidR="00BF4CE1" w:rsidRPr="00C33375" w:rsidRDefault="00BF4CE1" w:rsidP="00BF4CE1">
      <w:pPr>
        <w:pStyle w:val="paragraph"/>
      </w:pPr>
      <w:r w:rsidRPr="00C33375">
        <w:tab/>
        <w:t>(l)</w:t>
      </w:r>
      <w:r w:rsidRPr="00C33375">
        <w:tab/>
        <w:t>toxicology;</w:t>
      </w:r>
    </w:p>
    <w:p w:rsidR="00BF4CE1" w:rsidRPr="00C33375" w:rsidRDefault="00BF4CE1" w:rsidP="00BF4CE1">
      <w:pPr>
        <w:pStyle w:val="paragraph"/>
      </w:pPr>
      <w:r w:rsidRPr="00C33375">
        <w:tab/>
        <w:t>(m)</w:t>
      </w:r>
      <w:r w:rsidRPr="00C33375">
        <w:tab/>
        <w:t>naturopathy;</w:t>
      </w:r>
    </w:p>
    <w:p w:rsidR="00BF4CE1" w:rsidRPr="00C33375" w:rsidRDefault="00BF4CE1" w:rsidP="00BF4CE1">
      <w:pPr>
        <w:pStyle w:val="paragraph"/>
      </w:pPr>
      <w:r w:rsidRPr="00C33375">
        <w:tab/>
        <w:t>(n)</w:t>
      </w:r>
      <w:r w:rsidRPr="00C33375">
        <w:tab/>
        <w:t>nutrition and nutritional medicine;</w:t>
      </w:r>
    </w:p>
    <w:p w:rsidR="00BF4CE1" w:rsidRPr="00C33375" w:rsidRDefault="00BF4CE1" w:rsidP="00BF4CE1">
      <w:pPr>
        <w:pStyle w:val="paragraph"/>
      </w:pPr>
      <w:r w:rsidRPr="00C33375">
        <w:tab/>
        <w:t>(o)</w:t>
      </w:r>
      <w:r w:rsidRPr="00C33375">
        <w:tab/>
        <w:t>pharmacognosy;</w:t>
      </w:r>
    </w:p>
    <w:p w:rsidR="00BF4CE1" w:rsidRPr="00C33375" w:rsidRDefault="00BF4CE1" w:rsidP="00BF4CE1">
      <w:pPr>
        <w:pStyle w:val="paragraph"/>
      </w:pPr>
      <w:r w:rsidRPr="00C33375">
        <w:tab/>
        <w:t>(p)</w:t>
      </w:r>
      <w:r w:rsidRPr="00C33375">
        <w:tab/>
        <w:t>blood or tissue products;</w:t>
      </w:r>
    </w:p>
    <w:p w:rsidR="00BF4CE1" w:rsidRPr="00C33375" w:rsidRDefault="00BF4CE1" w:rsidP="00BF4CE1">
      <w:pPr>
        <w:pStyle w:val="paragraph"/>
      </w:pPr>
      <w:r w:rsidRPr="00C33375">
        <w:tab/>
        <w:t>(q)</w:t>
      </w:r>
      <w:r w:rsidRPr="00C33375">
        <w:tab/>
        <w:t>cellular therapies, including tissue engineering;</w:t>
      </w:r>
    </w:p>
    <w:p w:rsidR="00BF4CE1" w:rsidRPr="00C33375" w:rsidRDefault="00BF4CE1" w:rsidP="00BF4CE1">
      <w:pPr>
        <w:pStyle w:val="paragraph"/>
      </w:pPr>
      <w:r w:rsidRPr="00C33375">
        <w:tab/>
        <w:t>(r)</w:t>
      </w:r>
      <w:r w:rsidRPr="00C33375">
        <w:tab/>
        <w:t>organ and tissue transplantation;</w:t>
      </w:r>
    </w:p>
    <w:p w:rsidR="00BF4CE1" w:rsidRPr="00C33375" w:rsidRDefault="00BF4CE1" w:rsidP="00BF4CE1">
      <w:pPr>
        <w:pStyle w:val="paragraph"/>
      </w:pPr>
      <w:r w:rsidRPr="00C33375">
        <w:tab/>
        <w:t>(s)</w:t>
      </w:r>
      <w:r w:rsidRPr="00C33375">
        <w:tab/>
        <w:t>stem cell transplantation;</w:t>
      </w:r>
    </w:p>
    <w:p w:rsidR="00BF4CE1" w:rsidRPr="00C33375" w:rsidRDefault="00BF4CE1" w:rsidP="00BF4CE1">
      <w:pPr>
        <w:pStyle w:val="paragraph"/>
      </w:pPr>
      <w:r w:rsidRPr="00C33375">
        <w:tab/>
        <w:t>(t)</w:t>
      </w:r>
      <w:r w:rsidRPr="00C33375">
        <w:tab/>
        <w:t>internal medicine, including the following:</w:t>
      </w:r>
    </w:p>
    <w:p w:rsidR="00BF4CE1" w:rsidRPr="00C33375" w:rsidRDefault="00BF4CE1" w:rsidP="00BF4CE1">
      <w:pPr>
        <w:pStyle w:val="paragraphsub"/>
      </w:pPr>
      <w:r w:rsidRPr="00C33375">
        <w:tab/>
        <w:t>(i)</w:t>
      </w:r>
      <w:r w:rsidRPr="00C33375">
        <w:tab/>
        <w:t>haematology;</w:t>
      </w:r>
    </w:p>
    <w:p w:rsidR="00BF4CE1" w:rsidRPr="00C33375" w:rsidRDefault="00BF4CE1" w:rsidP="00BF4CE1">
      <w:pPr>
        <w:pStyle w:val="paragraphsub"/>
      </w:pPr>
      <w:r w:rsidRPr="00C33375">
        <w:tab/>
        <w:t>(ii)</w:t>
      </w:r>
      <w:r w:rsidRPr="00C33375">
        <w:tab/>
        <w:t>oncology;</w:t>
      </w:r>
    </w:p>
    <w:p w:rsidR="00BF4CE1" w:rsidRPr="00C33375" w:rsidRDefault="00BF4CE1" w:rsidP="00BF4CE1">
      <w:pPr>
        <w:pStyle w:val="paragraphsub"/>
      </w:pPr>
      <w:r w:rsidRPr="00C33375">
        <w:tab/>
        <w:t>(iii)</w:t>
      </w:r>
      <w:r w:rsidRPr="00C33375">
        <w:tab/>
        <w:t>infectious diseases;</w:t>
      </w:r>
    </w:p>
    <w:p w:rsidR="00BF4CE1" w:rsidRPr="00C33375" w:rsidRDefault="00BF4CE1" w:rsidP="00BF4CE1">
      <w:pPr>
        <w:pStyle w:val="paragraphsub"/>
      </w:pPr>
      <w:r w:rsidRPr="00C33375">
        <w:tab/>
        <w:t>(iv)</w:t>
      </w:r>
      <w:r w:rsidRPr="00C33375">
        <w:tab/>
        <w:t>cardiology;</w:t>
      </w:r>
    </w:p>
    <w:p w:rsidR="00BF4CE1" w:rsidRPr="00C33375" w:rsidRDefault="00BF4CE1" w:rsidP="00BF4CE1">
      <w:pPr>
        <w:pStyle w:val="paragraphsub"/>
      </w:pPr>
      <w:r w:rsidRPr="00C33375">
        <w:tab/>
        <w:t>(v)</w:t>
      </w:r>
      <w:r w:rsidRPr="00C33375">
        <w:tab/>
        <w:t>gastroenterology or hepatology;</w:t>
      </w:r>
    </w:p>
    <w:p w:rsidR="00BF4CE1" w:rsidRPr="00C33375" w:rsidRDefault="00BF4CE1" w:rsidP="00BF4CE1">
      <w:pPr>
        <w:pStyle w:val="paragraphsub"/>
      </w:pPr>
      <w:r w:rsidRPr="00C33375">
        <w:tab/>
        <w:t>(vi)</w:t>
      </w:r>
      <w:r w:rsidRPr="00C33375">
        <w:tab/>
        <w:t>renal disease;</w:t>
      </w:r>
    </w:p>
    <w:p w:rsidR="00BF4CE1" w:rsidRPr="00C33375" w:rsidRDefault="00BF4CE1" w:rsidP="00BF4CE1">
      <w:pPr>
        <w:pStyle w:val="paragraphsub"/>
      </w:pPr>
      <w:r w:rsidRPr="00C33375">
        <w:tab/>
        <w:t>(vii)</w:t>
      </w:r>
      <w:r w:rsidRPr="00C33375">
        <w:tab/>
        <w:t>endocrinology;</w:t>
      </w:r>
    </w:p>
    <w:p w:rsidR="00BF4CE1" w:rsidRPr="00C33375" w:rsidRDefault="00BF4CE1" w:rsidP="00BF4CE1">
      <w:pPr>
        <w:pStyle w:val="paragraphsub"/>
      </w:pPr>
      <w:r w:rsidRPr="00C33375">
        <w:tab/>
        <w:t>(viii)</w:t>
      </w:r>
      <w:r w:rsidRPr="00C33375">
        <w:tab/>
        <w:t>neurology;</w:t>
      </w:r>
    </w:p>
    <w:p w:rsidR="00BF4CE1" w:rsidRPr="00C33375" w:rsidRDefault="00BF4CE1" w:rsidP="00BF4CE1">
      <w:pPr>
        <w:pStyle w:val="paragraphsub"/>
      </w:pPr>
      <w:r w:rsidRPr="00C33375">
        <w:tab/>
        <w:t>(ix)</w:t>
      </w:r>
      <w:r w:rsidRPr="00C33375">
        <w:tab/>
        <w:t>immunology;</w:t>
      </w:r>
    </w:p>
    <w:p w:rsidR="00BF4CE1" w:rsidRPr="00C33375" w:rsidRDefault="00BF4CE1" w:rsidP="00BF4CE1">
      <w:pPr>
        <w:pStyle w:val="paragraphsub"/>
      </w:pPr>
      <w:r w:rsidRPr="00C33375">
        <w:tab/>
        <w:t>(x)</w:t>
      </w:r>
      <w:r w:rsidRPr="00C33375">
        <w:tab/>
        <w:t>rheumatology;</w:t>
      </w:r>
    </w:p>
    <w:p w:rsidR="00BF4CE1" w:rsidRPr="00C33375" w:rsidRDefault="00BF4CE1" w:rsidP="00BF4CE1">
      <w:pPr>
        <w:pStyle w:val="paragraphsub"/>
      </w:pPr>
      <w:r w:rsidRPr="00C33375">
        <w:tab/>
        <w:t>(xi)</w:t>
      </w:r>
      <w:r w:rsidRPr="00C33375">
        <w:tab/>
        <w:t>respiratory disease.</w:t>
      </w:r>
    </w:p>
    <w:p w:rsidR="00BF4CE1" w:rsidRPr="00C33375" w:rsidRDefault="00AC416C" w:rsidP="00BF4CE1">
      <w:pPr>
        <w:pStyle w:val="ItemHead"/>
        <w:tabs>
          <w:tab w:val="left" w:pos="6663"/>
        </w:tabs>
      </w:pPr>
      <w:r w:rsidRPr="00C33375">
        <w:t>7</w:t>
      </w:r>
      <w:r w:rsidR="00BF4CE1" w:rsidRPr="00C33375">
        <w:t xml:space="preserve">  Sub</w:t>
      </w:r>
      <w:r w:rsidR="00545031" w:rsidRPr="00C33375">
        <w:t>regulation</w:t>
      </w:r>
      <w:r w:rsidR="00C33375" w:rsidRPr="00C33375">
        <w:t> </w:t>
      </w:r>
      <w:r w:rsidR="00BF4CE1" w:rsidRPr="00C33375">
        <w:t>38A(1)</w:t>
      </w:r>
    </w:p>
    <w:p w:rsidR="00AC416C" w:rsidRPr="00C33375" w:rsidRDefault="00AC416C" w:rsidP="00AC416C">
      <w:pPr>
        <w:pStyle w:val="Item"/>
      </w:pPr>
      <w:r w:rsidRPr="00C33375">
        <w:t>Repeal the sub</w:t>
      </w:r>
      <w:r w:rsidR="009F09EF" w:rsidRPr="00C33375">
        <w:t>regulation</w:t>
      </w:r>
      <w:r w:rsidRPr="00C33375">
        <w:t>, substitute:</w:t>
      </w:r>
    </w:p>
    <w:p w:rsidR="00AC416C" w:rsidRPr="00C33375" w:rsidRDefault="00AC416C" w:rsidP="00AC416C">
      <w:pPr>
        <w:pStyle w:val="subsection"/>
      </w:pPr>
      <w:r w:rsidRPr="00C33375">
        <w:tab/>
        <w:t>(1)</w:t>
      </w:r>
      <w:r w:rsidRPr="00C33375">
        <w:tab/>
        <w:t xml:space="preserve">The committee’s functions are, </w:t>
      </w:r>
      <w:r w:rsidR="00A11B3B" w:rsidRPr="00C33375">
        <w:t>at the</w:t>
      </w:r>
      <w:r w:rsidRPr="00C33375">
        <w:t xml:space="preserve"> request </w:t>
      </w:r>
      <w:r w:rsidR="00A11B3B" w:rsidRPr="00C33375">
        <w:t>of</w:t>
      </w:r>
      <w:r w:rsidRPr="00C33375">
        <w:t xml:space="preserve"> the Minister or Secretary, to provide advice and </w:t>
      </w:r>
      <w:r w:rsidR="00A11B3B" w:rsidRPr="00C33375">
        <w:t xml:space="preserve">to </w:t>
      </w:r>
      <w:r w:rsidRPr="00C33375">
        <w:t xml:space="preserve">make recommendations </w:t>
      </w:r>
      <w:r w:rsidR="00306B96" w:rsidRPr="00C33375">
        <w:t xml:space="preserve">to the Minister or Secretary </w:t>
      </w:r>
      <w:r w:rsidRPr="00C33375">
        <w:t>about one or more of the following matters:</w:t>
      </w:r>
    </w:p>
    <w:p w:rsidR="00AC416C" w:rsidRPr="00C33375" w:rsidRDefault="00AC416C" w:rsidP="00AC416C">
      <w:pPr>
        <w:pStyle w:val="paragraph"/>
      </w:pPr>
      <w:r w:rsidRPr="00C33375">
        <w:tab/>
        <w:t>(a)</w:t>
      </w:r>
      <w:r w:rsidRPr="00C33375">
        <w:tab/>
        <w:t>inclusion of a medical device or other therapeutic goods in the Register;</w:t>
      </w:r>
    </w:p>
    <w:p w:rsidR="00AC416C" w:rsidRPr="00C33375" w:rsidRDefault="00AC416C" w:rsidP="00AC416C">
      <w:pPr>
        <w:pStyle w:val="paragraph"/>
      </w:pPr>
      <w:r w:rsidRPr="00C33375">
        <w:tab/>
        <w:t>(b)</w:t>
      </w:r>
      <w:r w:rsidRPr="00C33375">
        <w:tab/>
        <w:t>variation of an entry for a medical device or other therapeutic goods in the Register;</w:t>
      </w:r>
    </w:p>
    <w:p w:rsidR="00AC416C" w:rsidRPr="00C33375" w:rsidRDefault="00AC416C" w:rsidP="00AC416C">
      <w:pPr>
        <w:pStyle w:val="paragraph"/>
      </w:pPr>
      <w:r w:rsidRPr="00C33375">
        <w:lastRenderedPageBreak/>
        <w:tab/>
        <w:t>(c)</w:t>
      </w:r>
      <w:r w:rsidRPr="00C33375">
        <w:tab/>
        <w:t>removal or continued retention of a medical device or other therapeutic goods in the Register;</w:t>
      </w:r>
    </w:p>
    <w:p w:rsidR="00AC416C" w:rsidRPr="00C33375" w:rsidRDefault="00AC416C" w:rsidP="00AC416C">
      <w:pPr>
        <w:pStyle w:val="paragraph"/>
      </w:pPr>
      <w:r w:rsidRPr="00C33375">
        <w:tab/>
        <w:t>(d)</w:t>
      </w:r>
      <w:r w:rsidRPr="00C33375">
        <w:tab/>
        <w:t>any other matter (whether or not related to medical devices or other therapeutic goods).</w:t>
      </w:r>
    </w:p>
    <w:p w:rsidR="00BF4CE1" w:rsidRPr="00C33375" w:rsidRDefault="00AC416C" w:rsidP="00BF4CE1">
      <w:pPr>
        <w:pStyle w:val="ItemHead"/>
        <w:tabs>
          <w:tab w:val="left" w:pos="6663"/>
        </w:tabs>
      </w:pPr>
      <w:r w:rsidRPr="00C33375">
        <w:t>8</w:t>
      </w:r>
      <w:r w:rsidR="00BF4CE1" w:rsidRPr="00C33375">
        <w:t xml:space="preserve">  Sub</w:t>
      </w:r>
      <w:r w:rsidR="00545031" w:rsidRPr="00C33375">
        <w:t>regulation</w:t>
      </w:r>
      <w:r w:rsidR="00C33375" w:rsidRPr="00C33375">
        <w:t> </w:t>
      </w:r>
      <w:r w:rsidR="00BF4CE1" w:rsidRPr="00C33375">
        <w:t>38D(1)</w:t>
      </w:r>
    </w:p>
    <w:p w:rsidR="00AC416C" w:rsidRPr="00C33375" w:rsidRDefault="00AC416C" w:rsidP="00AC416C">
      <w:pPr>
        <w:pStyle w:val="Item"/>
      </w:pPr>
      <w:r w:rsidRPr="00C33375">
        <w:t>Repeal the sub</w:t>
      </w:r>
      <w:r w:rsidR="009F09EF" w:rsidRPr="00C33375">
        <w:t>regulation</w:t>
      </w:r>
      <w:r w:rsidRPr="00C33375">
        <w:t>, substitute:</w:t>
      </w:r>
    </w:p>
    <w:p w:rsidR="00AC416C" w:rsidRPr="00C33375" w:rsidRDefault="00AC416C" w:rsidP="00AC416C">
      <w:pPr>
        <w:pStyle w:val="subsection"/>
      </w:pPr>
      <w:r w:rsidRPr="00C33375">
        <w:tab/>
        <w:t>(1)</w:t>
      </w:r>
      <w:r w:rsidRPr="00C33375">
        <w:tab/>
        <w:t xml:space="preserve">The committee’s functions are, </w:t>
      </w:r>
      <w:r w:rsidR="00A11B3B" w:rsidRPr="00C33375">
        <w:t>at the</w:t>
      </w:r>
      <w:r w:rsidRPr="00C33375">
        <w:t xml:space="preserve"> request </w:t>
      </w:r>
      <w:r w:rsidR="00A11B3B" w:rsidRPr="00C33375">
        <w:t>of</w:t>
      </w:r>
      <w:r w:rsidRPr="00C33375">
        <w:t xml:space="preserve"> the Minister or Secretary, to provide advice and </w:t>
      </w:r>
      <w:r w:rsidR="00A11B3B" w:rsidRPr="00C33375">
        <w:t xml:space="preserve">to </w:t>
      </w:r>
      <w:r w:rsidRPr="00C33375">
        <w:t xml:space="preserve">make recommendations </w:t>
      </w:r>
      <w:r w:rsidR="00306B96" w:rsidRPr="00C33375">
        <w:t xml:space="preserve">to the Minister or Secretary </w:t>
      </w:r>
      <w:r w:rsidRPr="00C33375">
        <w:t>about one or more of the following matters:</w:t>
      </w:r>
    </w:p>
    <w:p w:rsidR="00AC416C" w:rsidRPr="00C33375" w:rsidRDefault="00AC416C" w:rsidP="00AC416C">
      <w:pPr>
        <w:pStyle w:val="paragraph"/>
      </w:pPr>
      <w:r w:rsidRPr="00C33375">
        <w:tab/>
        <w:t>(a)</w:t>
      </w:r>
      <w:r w:rsidRPr="00C33375">
        <w:tab/>
        <w:t>safety of medical devices;</w:t>
      </w:r>
    </w:p>
    <w:p w:rsidR="00AC416C" w:rsidRPr="00C33375" w:rsidRDefault="00AC416C" w:rsidP="00AC416C">
      <w:pPr>
        <w:pStyle w:val="paragraph"/>
      </w:pPr>
      <w:r w:rsidRPr="00C33375">
        <w:tab/>
        <w:t>(b)</w:t>
      </w:r>
      <w:r w:rsidRPr="00C33375">
        <w:tab/>
        <w:t>risk assessment and risk management of medical devices;</w:t>
      </w:r>
    </w:p>
    <w:p w:rsidR="00AC416C" w:rsidRPr="00C33375" w:rsidRDefault="00AC416C" w:rsidP="00AC416C">
      <w:pPr>
        <w:pStyle w:val="paragraph"/>
      </w:pPr>
      <w:r w:rsidRPr="00C33375">
        <w:tab/>
        <w:t>(c)</w:t>
      </w:r>
      <w:r w:rsidRPr="00C33375">
        <w:tab/>
        <w:t>performance of medical devices;</w:t>
      </w:r>
    </w:p>
    <w:p w:rsidR="00AC416C" w:rsidRPr="00C33375" w:rsidRDefault="00AC416C" w:rsidP="00AC416C">
      <w:pPr>
        <w:pStyle w:val="paragraph"/>
      </w:pPr>
      <w:r w:rsidRPr="00C33375">
        <w:tab/>
        <w:t>(d)</w:t>
      </w:r>
      <w:r w:rsidRPr="00C33375">
        <w:tab/>
        <w:t>any other matter (whether or not related to medical device safety).</w:t>
      </w:r>
    </w:p>
    <w:p w:rsidR="00BF4CE1" w:rsidRPr="00C33375" w:rsidRDefault="00AC416C" w:rsidP="00BF4CE1">
      <w:pPr>
        <w:pStyle w:val="ItemHead"/>
      </w:pPr>
      <w:r w:rsidRPr="00C33375">
        <w:t>9</w:t>
      </w:r>
      <w:r w:rsidR="00BF4CE1" w:rsidRPr="00C33375">
        <w:t xml:space="preserve">  Subregulation</w:t>
      </w:r>
      <w:r w:rsidR="00C33375" w:rsidRPr="00C33375">
        <w:t> </w:t>
      </w:r>
      <w:r w:rsidR="00BF4CE1" w:rsidRPr="00C33375">
        <w:t>38E(1)</w:t>
      </w:r>
    </w:p>
    <w:p w:rsidR="00BF4CE1" w:rsidRPr="00C33375" w:rsidRDefault="00BF4CE1" w:rsidP="00BF4CE1">
      <w:pPr>
        <w:pStyle w:val="Item"/>
      </w:pPr>
      <w:r w:rsidRPr="00C33375">
        <w:t>Omit “15”, substitute “25”.</w:t>
      </w:r>
    </w:p>
    <w:p w:rsidR="00BF4CE1" w:rsidRPr="00C33375" w:rsidRDefault="00AC416C" w:rsidP="00BF4CE1">
      <w:pPr>
        <w:pStyle w:val="ItemHead"/>
      </w:pPr>
      <w:r w:rsidRPr="00C33375">
        <w:t>10</w:t>
      </w:r>
      <w:r w:rsidR="00BF4CE1" w:rsidRPr="00C33375">
        <w:t xml:space="preserve">  Sub</w:t>
      </w:r>
      <w:r w:rsidR="00545031" w:rsidRPr="00C33375">
        <w:t>regulation</w:t>
      </w:r>
      <w:r w:rsidR="00C33375" w:rsidRPr="00C33375">
        <w:t> </w:t>
      </w:r>
      <w:r w:rsidR="00BF4CE1" w:rsidRPr="00C33375">
        <w:t>38E(2)</w:t>
      </w:r>
    </w:p>
    <w:p w:rsidR="00BF4CE1" w:rsidRPr="00C33375" w:rsidRDefault="00BF4CE1" w:rsidP="00BF4CE1">
      <w:pPr>
        <w:pStyle w:val="Item"/>
      </w:pPr>
      <w:r w:rsidRPr="00C33375">
        <w:t>Repeal the sub</w:t>
      </w:r>
      <w:r w:rsidR="009F09EF" w:rsidRPr="00C33375">
        <w:t>regulation</w:t>
      </w:r>
      <w:r w:rsidRPr="00C33375">
        <w:t>, substitute:</w:t>
      </w:r>
    </w:p>
    <w:p w:rsidR="00BF4CE1" w:rsidRPr="00C33375" w:rsidRDefault="00BF4CE1" w:rsidP="00BF4CE1">
      <w:pPr>
        <w:pStyle w:val="subsection"/>
      </w:pPr>
      <w:r w:rsidRPr="00C33375">
        <w:tab/>
        <w:t>(2)</w:t>
      </w:r>
      <w:r w:rsidRPr="00C33375">
        <w:tab/>
        <w:t>Each member of the committee must have:</w:t>
      </w:r>
    </w:p>
    <w:p w:rsidR="00BF4CE1" w:rsidRPr="00C33375" w:rsidRDefault="00BF4CE1" w:rsidP="00BF4CE1">
      <w:pPr>
        <w:pStyle w:val="paragraph"/>
      </w:pPr>
      <w:r w:rsidRPr="00C33375">
        <w:tab/>
        <w:t>(a)</w:t>
      </w:r>
      <w:r w:rsidRPr="00C33375">
        <w:tab/>
        <w:t>medical or surgical expertise in at least one of the following fields:</w:t>
      </w:r>
    </w:p>
    <w:p w:rsidR="00BF4CE1" w:rsidRPr="00C33375" w:rsidRDefault="00BF4CE1" w:rsidP="00BF4CE1">
      <w:pPr>
        <w:pStyle w:val="paragraphsub"/>
      </w:pPr>
      <w:r w:rsidRPr="00C33375">
        <w:tab/>
        <w:t>(i)</w:t>
      </w:r>
      <w:r w:rsidRPr="00C33375">
        <w:tab/>
        <w:t>gastroenterology;</w:t>
      </w:r>
    </w:p>
    <w:p w:rsidR="00BF4CE1" w:rsidRPr="00C33375" w:rsidRDefault="00BF4CE1" w:rsidP="00BF4CE1">
      <w:pPr>
        <w:pStyle w:val="paragraphsub"/>
      </w:pPr>
      <w:r w:rsidRPr="00C33375">
        <w:tab/>
        <w:t>(ii)</w:t>
      </w:r>
      <w:r w:rsidRPr="00C33375">
        <w:tab/>
        <w:t>anaesthetics;</w:t>
      </w:r>
    </w:p>
    <w:p w:rsidR="00BF4CE1" w:rsidRPr="00C33375" w:rsidRDefault="00BF4CE1" w:rsidP="00BF4CE1">
      <w:pPr>
        <w:pStyle w:val="paragraphsub"/>
      </w:pPr>
      <w:r w:rsidRPr="00C33375">
        <w:tab/>
        <w:t>(iii)</w:t>
      </w:r>
      <w:r w:rsidRPr="00C33375">
        <w:tab/>
        <w:t>cardiology;</w:t>
      </w:r>
    </w:p>
    <w:p w:rsidR="00BF4CE1" w:rsidRPr="00C33375" w:rsidRDefault="00BF4CE1" w:rsidP="00BF4CE1">
      <w:pPr>
        <w:pStyle w:val="paragraphsub"/>
      </w:pPr>
      <w:r w:rsidRPr="00C33375">
        <w:tab/>
        <w:t>(iv)</w:t>
      </w:r>
      <w:r w:rsidRPr="00C33375">
        <w:tab/>
        <w:t>respiratory medicine;</w:t>
      </w:r>
    </w:p>
    <w:p w:rsidR="00BF4CE1" w:rsidRPr="00C33375" w:rsidRDefault="00BF4CE1" w:rsidP="00BF4CE1">
      <w:pPr>
        <w:pStyle w:val="paragraphsub"/>
      </w:pPr>
      <w:r w:rsidRPr="00C33375">
        <w:tab/>
        <w:t>(v)</w:t>
      </w:r>
      <w:r w:rsidRPr="00C33375">
        <w:tab/>
        <w:t>orthopaedics;</w:t>
      </w:r>
    </w:p>
    <w:p w:rsidR="00BF4CE1" w:rsidRPr="00C33375" w:rsidRDefault="00BF4CE1" w:rsidP="00BF4CE1">
      <w:pPr>
        <w:pStyle w:val="paragraphsub"/>
      </w:pPr>
      <w:r w:rsidRPr="00C33375">
        <w:tab/>
        <w:t>(vi)</w:t>
      </w:r>
      <w:r w:rsidRPr="00C33375">
        <w:tab/>
        <w:t>neurology;</w:t>
      </w:r>
    </w:p>
    <w:p w:rsidR="00BF4CE1" w:rsidRPr="00C33375" w:rsidRDefault="00BF4CE1" w:rsidP="00BF4CE1">
      <w:pPr>
        <w:pStyle w:val="paragraphsub"/>
      </w:pPr>
      <w:r w:rsidRPr="00C33375">
        <w:tab/>
        <w:t>(vii)</w:t>
      </w:r>
      <w:r w:rsidRPr="00C33375">
        <w:tab/>
        <w:t>vascular;</w:t>
      </w:r>
    </w:p>
    <w:p w:rsidR="00BF4CE1" w:rsidRPr="00C33375" w:rsidRDefault="00BF4CE1" w:rsidP="00BF4CE1">
      <w:pPr>
        <w:pStyle w:val="paragraphsub"/>
      </w:pPr>
      <w:r w:rsidRPr="00C33375">
        <w:tab/>
        <w:t>(viii)</w:t>
      </w:r>
      <w:r w:rsidRPr="00C33375">
        <w:tab/>
        <w:t>plastic and reconstructive surgery;</w:t>
      </w:r>
    </w:p>
    <w:p w:rsidR="00BF4CE1" w:rsidRPr="00C33375" w:rsidRDefault="00BF4CE1" w:rsidP="00BF4CE1">
      <w:pPr>
        <w:pStyle w:val="paragraphsub"/>
      </w:pPr>
      <w:r w:rsidRPr="00C33375">
        <w:tab/>
        <w:t>(ix)</w:t>
      </w:r>
      <w:r w:rsidRPr="00C33375">
        <w:tab/>
        <w:t>obstetrics or gynaecology;</w:t>
      </w:r>
    </w:p>
    <w:p w:rsidR="00BF4CE1" w:rsidRPr="00C33375" w:rsidRDefault="00BF4CE1" w:rsidP="00BF4CE1">
      <w:pPr>
        <w:pStyle w:val="paragraphsub"/>
      </w:pPr>
      <w:r w:rsidRPr="00C33375">
        <w:tab/>
        <w:t>(x)</w:t>
      </w:r>
      <w:r w:rsidRPr="00C33375">
        <w:tab/>
        <w:t>pathology;</w:t>
      </w:r>
    </w:p>
    <w:p w:rsidR="00BF4CE1" w:rsidRPr="00C33375" w:rsidRDefault="00BF4CE1" w:rsidP="00BF4CE1">
      <w:pPr>
        <w:pStyle w:val="paragraphsub"/>
      </w:pPr>
      <w:r w:rsidRPr="00C33375">
        <w:tab/>
        <w:t>(xi)</w:t>
      </w:r>
      <w:r w:rsidRPr="00C33375">
        <w:tab/>
        <w:t>ophthalmology;</w:t>
      </w:r>
    </w:p>
    <w:p w:rsidR="00BF4CE1" w:rsidRPr="00C33375" w:rsidRDefault="00BF4CE1" w:rsidP="00BF4CE1">
      <w:pPr>
        <w:pStyle w:val="paragraphsub"/>
      </w:pPr>
      <w:r w:rsidRPr="00C33375">
        <w:lastRenderedPageBreak/>
        <w:tab/>
        <w:t>(xii)</w:t>
      </w:r>
      <w:r w:rsidRPr="00C33375">
        <w:tab/>
        <w:t>dentistry or oro</w:t>
      </w:r>
      <w:r w:rsidR="00C33375">
        <w:noBreakHyphen/>
      </w:r>
      <w:r w:rsidRPr="00C33375">
        <w:t>maxillofacial surgery;</w:t>
      </w:r>
    </w:p>
    <w:p w:rsidR="00BF4CE1" w:rsidRPr="00C33375" w:rsidRDefault="00BF4CE1" w:rsidP="00BF4CE1">
      <w:pPr>
        <w:pStyle w:val="paragraphsub"/>
      </w:pPr>
      <w:r w:rsidRPr="00C33375">
        <w:tab/>
        <w:t>(xiii)</w:t>
      </w:r>
      <w:r w:rsidRPr="00C33375">
        <w:tab/>
        <w:t>ear, nose and throat;</w:t>
      </w:r>
    </w:p>
    <w:p w:rsidR="00BF4CE1" w:rsidRPr="00C33375" w:rsidRDefault="00BF4CE1" w:rsidP="00BF4CE1">
      <w:pPr>
        <w:pStyle w:val="paragraphsub"/>
      </w:pPr>
      <w:r w:rsidRPr="00C33375">
        <w:tab/>
        <w:t>(xiv)</w:t>
      </w:r>
      <w:r w:rsidRPr="00C33375">
        <w:tab/>
        <w:t>renal; or</w:t>
      </w:r>
    </w:p>
    <w:p w:rsidR="00BF4CE1" w:rsidRPr="00C33375" w:rsidRDefault="00BF4CE1" w:rsidP="00BF4CE1">
      <w:pPr>
        <w:pStyle w:val="paragraph"/>
      </w:pPr>
      <w:r w:rsidRPr="00C33375">
        <w:tab/>
        <w:t>(b)</w:t>
      </w:r>
      <w:r w:rsidRPr="00C33375">
        <w:tab/>
        <w:t>expertise in at least one of the following fields:</w:t>
      </w:r>
    </w:p>
    <w:p w:rsidR="00BF4CE1" w:rsidRPr="00C33375" w:rsidRDefault="00BF4CE1" w:rsidP="00BF4CE1">
      <w:pPr>
        <w:pStyle w:val="paragraphsub"/>
      </w:pPr>
      <w:r w:rsidRPr="00C33375">
        <w:tab/>
        <w:t>(i)</w:t>
      </w:r>
      <w:r w:rsidRPr="00C33375">
        <w:tab/>
        <w:t>consumer issues;</w:t>
      </w:r>
    </w:p>
    <w:p w:rsidR="00BF4CE1" w:rsidRPr="00C33375" w:rsidRDefault="00BF4CE1" w:rsidP="00BF4CE1">
      <w:pPr>
        <w:pStyle w:val="paragraphsub"/>
      </w:pPr>
      <w:r w:rsidRPr="00C33375">
        <w:tab/>
        <w:t>(ii)</w:t>
      </w:r>
      <w:r w:rsidRPr="00C33375">
        <w:tab/>
        <w:t>biomedical engineering;</w:t>
      </w:r>
    </w:p>
    <w:p w:rsidR="00BF4CE1" w:rsidRPr="00C33375" w:rsidRDefault="00BF4CE1" w:rsidP="00BF4CE1">
      <w:pPr>
        <w:pStyle w:val="paragraphsub"/>
      </w:pPr>
      <w:r w:rsidRPr="00C33375">
        <w:tab/>
        <w:t>(iii)</w:t>
      </w:r>
      <w:r w:rsidRPr="00C33375">
        <w:tab/>
        <w:t>biomaterials;</w:t>
      </w:r>
    </w:p>
    <w:p w:rsidR="00BF4CE1" w:rsidRPr="00C33375" w:rsidRDefault="00BF4CE1" w:rsidP="00BF4CE1">
      <w:pPr>
        <w:pStyle w:val="paragraphsub"/>
      </w:pPr>
      <w:r w:rsidRPr="00C33375">
        <w:tab/>
        <w:t>(iv)</w:t>
      </w:r>
      <w:r w:rsidRPr="00C33375">
        <w:tab/>
        <w:t>clinical medicine;</w:t>
      </w:r>
    </w:p>
    <w:p w:rsidR="00BF4CE1" w:rsidRPr="00C33375" w:rsidRDefault="00BF4CE1" w:rsidP="00BF4CE1">
      <w:pPr>
        <w:pStyle w:val="paragraphsub"/>
      </w:pPr>
      <w:r w:rsidRPr="00C33375">
        <w:tab/>
        <w:t>(v)</w:t>
      </w:r>
      <w:r w:rsidRPr="00C33375">
        <w:tab/>
        <w:t>epidemiology or biostatistics;</w:t>
      </w:r>
    </w:p>
    <w:p w:rsidR="00BF4CE1" w:rsidRPr="00C33375" w:rsidRDefault="00BF4CE1" w:rsidP="00BF4CE1">
      <w:pPr>
        <w:pStyle w:val="paragraphsub"/>
      </w:pPr>
      <w:r w:rsidRPr="00C33375">
        <w:tab/>
        <w:t>(vi)</w:t>
      </w:r>
      <w:r w:rsidRPr="00C33375">
        <w:tab/>
        <w:t>nursing;</w:t>
      </w:r>
    </w:p>
    <w:p w:rsidR="00BF4CE1" w:rsidRPr="00C33375" w:rsidRDefault="00BF4CE1" w:rsidP="00BF4CE1">
      <w:pPr>
        <w:pStyle w:val="paragraphsub"/>
      </w:pPr>
      <w:r w:rsidRPr="00C33375">
        <w:tab/>
        <w:t>(vii)</w:t>
      </w:r>
      <w:r w:rsidRPr="00C33375">
        <w:tab/>
        <w:t>human factors analysis;</w:t>
      </w:r>
    </w:p>
    <w:p w:rsidR="00BF4CE1" w:rsidRPr="00C33375" w:rsidRDefault="00BF4CE1" w:rsidP="00BF4CE1">
      <w:pPr>
        <w:pStyle w:val="paragraphsub"/>
      </w:pPr>
      <w:r w:rsidRPr="00C33375">
        <w:tab/>
        <w:t>(viii)</w:t>
      </w:r>
      <w:r w:rsidRPr="00C33375">
        <w:tab/>
        <w:t>general medical practice in Australia.</w:t>
      </w:r>
    </w:p>
    <w:p w:rsidR="00BF4CE1" w:rsidRPr="00C33375" w:rsidRDefault="00AC416C" w:rsidP="00BF4CE1">
      <w:pPr>
        <w:pStyle w:val="ItemHead"/>
      </w:pPr>
      <w:r w:rsidRPr="00C33375">
        <w:t>11</w:t>
      </w:r>
      <w:r w:rsidR="00BF4CE1" w:rsidRPr="00C33375">
        <w:t xml:space="preserve">  Sub</w:t>
      </w:r>
      <w:r w:rsidR="00545031" w:rsidRPr="00C33375">
        <w:t>regulation</w:t>
      </w:r>
      <w:r w:rsidR="00C33375" w:rsidRPr="00C33375">
        <w:t> </w:t>
      </w:r>
      <w:r w:rsidR="00BF4CE1" w:rsidRPr="00C33375">
        <w:t>39A(1)</w:t>
      </w:r>
    </w:p>
    <w:p w:rsidR="00AC416C" w:rsidRPr="00C33375" w:rsidRDefault="00AC416C" w:rsidP="00AC416C">
      <w:pPr>
        <w:pStyle w:val="Item"/>
      </w:pPr>
      <w:r w:rsidRPr="00C33375">
        <w:t>Repeal the sub</w:t>
      </w:r>
      <w:r w:rsidR="009F09EF" w:rsidRPr="00C33375">
        <w:t>regulation</w:t>
      </w:r>
      <w:r w:rsidRPr="00C33375">
        <w:t>, substitute:</w:t>
      </w:r>
    </w:p>
    <w:p w:rsidR="00AC416C" w:rsidRPr="00C33375" w:rsidRDefault="00AC416C" w:rsidP="00AC416C">
      <w:pPr>
        <w:pStyle w:val="subsection"/>
      </w:pPr>
      <w:r w:rsidRPr="00C33375">
        <w:tab/>
        <w:t>(1)</w:t>
      </w:r>
      <w:r w:rsidRPr="00C33375">
        <w:tab/>
        <w:t xml:space="preserve">The committee’s functions are, </w:t>
      </w:r>
      <w:r w:rsidR="00A11B3B" w:rsidRPr="00C33375">
        <w:t>at the</w:t>
      </w:r>
      <w:r w:rsidRPr="00C33375">
        <w:t xml:space="preserve"> request </w:t>
      </w:r>
      <w:r w:rsidR="00A11B3B" w:rsidRPr="00C33375">
        <w:t>of</w:t>
      </w:r>
      <w:r w:rsidRPr="00C33375">
        <w:t xml:space="preserve"> the Minister or Secretary, to provide advice and</w:t>
      </w:r>
      <w:r w:rsidR="00A11B3B" w:rsidRPr="00C33375">
        <w:t xml:space="preserve"> to</w:t>
      </w:r>
      <w:r w:rsidRPr="00C33375">
        <w:t xml:space="preserve"> make recommendations </w:t>
      </w:r>
      <w:r w:rsidR="00306B96" w:rsidRPr="00C33375">
        <w:t xml:space="preserve">to the Minister or Secretary </w:t>
      </w:r>
      <w:r w:rsidRPr="00C33375">
        <w:t>about one or more of the following matters:</w:t>
      </w:r>
    </w:p>
    <w:p w:rsidR="00AC416C" w:rsidRPr="00C33375" w:rsidRDefault="00AC416C" w:rsidP="00AC416C">
      <w:pPr>
        <w:pStyle w:val="paragraph"/>
      </w:pPr>
      <w:r w:rsidRPr="00C33375">
        <w:tab/>
        <w:t>(a)</w:t>
      </w:r>
      <w:r w:rsidRPr="00C33375">
        <w:tab/>
        <w:t>inclusion of a complementary medicine in the Register;</w:t>
      </w:r>
    </w:p>
    <w:p w:rsidR="00AC416C" w:rsidRPr="00C33375" w:rsidRDefault="00AC416C" w:rsidP="00AC416C">
      <w:pPr>
        <w:pStyle w:val="paragraph"/>
      </w:pPr>
      <w:r w:rsidRPr="00C33375">
        <w:tab/>
        <w:t>(b)</w:t>
      </w:r>
      <w:r w:rsidRPr="00C33375">
        <w:tab/>
        <w:t>variation of an entry for a complementary medicine in the Register;</w:t>
      </w:r>
    </w:p>
    <w:p w:rsidR="00AC416C" w:rsidRPr="00C33375" w:rsidRDefault="00AC416C" w:rsidP="00AC416C">
      <w:pPr>
        <w:pStyle w:val="paragraph"/>
      </w:pPr>
      <w:r w:rsidRPr="00C33375">
        <w:tab/>
        <w:t>(c)</w:t>
      </w:r>
      <w:r w:rsidRPr="00C33375">
        <w:tab/>
        <w:t>removal or continued retention of a complementary medicine in the Register;</w:t>
      </w:r>
    </w:p>
    <w:p w:rsidR="00AC416C" w:rsidRPr="00C33375" w:rsidRDefault="00AC416C" w:rsidP="00AC416C">
      <w:pPr>
        <w:pStyle w:val="paragraph"/>
      </w:pPr>
      <w:r w:rsidRPr="00C33375">
        <w:tab/>
        <w:t>(d)</w:t>
      </w:r>
      <w:r w:rsidRPr="00C33375">
        <w:tab/>
        <w:t>any other matter (whether or not related to a complementary medicine).</w:t>
      </w:r>
    </w:p>
    <w:p w:rsidR="00BF4CE1" w:rsidRPr="00C33375" w:rsidRDefault="00AC416C" w:rsidP="00BF4CE1">
      <w:pPr>
        <w:pStyle w:val="ItemHead"/>
        <w:tabs>
          <w:tab w:val="left" w:pos="6663"/>
        </w:tabs>
      </w:pPr>
      <w:r w:rsidRPr="00C33375">
        <w:t>12</w:t>
      </w:r>
      <w:r w:rsidR="00BF4CE1" w:rsidRPr="00C33375">
        <w:t xml:space="preserve">  Sub</w:t>
      </w:r>
      <w:r w:rsidR="00545031" w:rsidRPr="00C33375">
        <w:t>regulation</w:t>
      </w:r>
      <w:r w:rsidR="00C33375" w:rsidRPr="00C33375">
        <w:t> </w:t>
      </w:r>
      <w:r w:rsidR="00BF4CE1" w:rsidRPr="00C33375">
        <w:t>39D(1)</w:t>
      </w:r>
    </w:p>
    <w:p w:rsidR="00AC416C" w:rsidRPr="00C33375" w:rsidRDefault="00AC416C" w:rsidP="00AC416C">
      <w:pPr>
        <w:pStyle w:val="Item"/>
      </w:pPr>
      <w:r w:rsidRPr="00C33375">
        <w:t>Repeal the sub</w:t>
      </w:r>
      <w:r w:rsidR="009F09EF" w:rsidRPr="00C33375">
        <w:t>regulation</w:t>
      </w:r>
      <w:r w:rsidRPr="00C33375">
        <w:t>, substitute:</w:t>
      </w:r>
    </w:p>
    <w:p w:rsidR="00AC416C" w:rsidRPr="00C33375" w:rsidRDefault="00AC416C" w:rsidP="00AC416C">
      <w:pPr>
        <w:pStyle w:val="subsection"/>
      </w:pPr>
      <w:r w:rsidRPr="00C33375">
        <w:tab/>
        <w:t>(1)</w:t>
      </w:r>
      <w:r w:rsidRPr="00C33375">
        <w:tab/>
        <w:t xml:space="preserve">The committee’s functions are, </w:t>
      </w:r>
      <w:r w:rsidR="00A11B3B" w:rsidRPr="00C33375">
        <w:t xml:space="preserve">at the </w:t>
      </w:r>
      <w:r w:rsidRPr="00C33375">
        <w:t>request</w:t>
      </w:r>
      <w:r w:rsidR="00A11B3B" w:rsidRPr="00C33375">
        <w:t xml:space="preserve"> of</w:t>
      </w:r>
      <w:r w:rsidRPr="00C33375">
        <w:t xml:space="preserve"> the Minister or Secretary, to provide advice and </w:t>
      </w:r>
      <w:r w:rsidR="00A11B3B" w:rsidRPr="00C33375">
        <w:t xml:space="preserve">to </w:t>
      </w:r>
      <w:r w:rsidRPr="00C33375">
        <w:t xml:space="preserve">make recommendations </w:t>
      </w:r>
      <w:r w:rsidR="00306B96" w:rsidRPr="00C33375">
        <w:t xml:space="preserve">to the Minister or Secretary </w:t>
      </w:r>
      <w:r w:rsidRPr="00C33375">
        <w:t>about one or more of the following matters:</w:t>
      </w:r>
    </w:p>
    <w:p w:rsidR="00AC416C" w:rsidRPr="00C33375" w:rsidRDefault="00AC416C" w:rsidP="00AC416C">
      <w:pPr>
        <w:pStyle w:val="paragraph"/>
      </w:pPr>
      <w:r w:rsidRPr="00C33375">
        <w:tab/>
        <w:t>(a)</w:t>
      </w:r>
      <w:r w:rsidRPr="00C33375">
        <w:tab/>
        <w:t>inclusion of a biological in the Register under Part</w:t>
      </w:r>
      <w:r w:rsidR="00C33375" w:rsidRPr="00C33375">
        <w:t> </w:t>
      </w:r>
      <w:r w:rsidRPr="00C33375">
        <w:t>3</w:t>
      </w:r>
      <w:r w:rsidR="00C33375">
        <w:noBreakHyphen/>
      </w:r>
      <w:r w:rsidRPr="00C33375">
        <w:t>2A of the Act;</w:t>
      </w:r>
    </w:p>
    <w:p w:rsidR="00AC416C" w:rsidRPr="00C33375" w:rsidRDefault="00AC416C" w:rsidP="00AC416C">
      <w:pPr>
        <w:pStyle w:val="paragraph"/>
      </w:pPr>
      <w:r w:rsidRPr="00C33375">
        <w:tab/>
        <w:t>(b)</w:t>
      </w:r>
      <w:r w:rsidRPr="00C33375">
        <w:tab/>
        <w:t>variation of an entry for a biological included in the Register under Part</w:t>
      </w:r>
      <w:r w:rsidR="00C33375" w:rsidRPr="00C33375">
        <w:t> </w:t>
      </w:r>
      <w:r w:rsidRPr="00C33375">
        <w:t>3</w:t>
      </w:r>
      <w:r w:rsidR="00C33375">
        <w:noBreakHyphen/>
      </w:r>
      <w:r w:rsidRPr="00C33375">
        <w:t>2A of the Act;</w:t>
      </w:r>
    </w:p>
    <w:p w:rsidR="00AC416C" w:rsidRPr="00C33375" w:rsidRDefault="00AC416C" w:rsidP="00AC416C">
      <w:pPr>
        <w:pStyle w:val="paragraph"/>
      </w:pPr>
      <w:r w:rsidRPr="00C33375">
        <w:lastRenderedPageBreak/>
        <w:tab/>
        <w:t>(c)</w:t>
      </w:r>
      <w:r w:rsidRPr="00C33375">
        <w:tab/>
        <w:t>removal or continued inclusion of a biological in the Register under Part</w:t>
      </w:r>
      <w:r w:rsidR="00C33375" w:rsidRPr="00C33375">
        <w:t> </w:t>
      </w:r>
      <w:r w:rsidRPr="00C33375">
        <w:t>3</w:t>
      </w:r>
      <w:r w:rsidR="00C33375">
        <w:noBreakHyphen/>
      </w:r>
      <w:r w:rsidRPr="00C33375">
        <w:t>2A of the Act;</w:t>
      </w:r>
    </w:p>
    <w:p w:rsidR="009504A7" w:rsidRPr="00C33375" w:rsidRDefault="00AC416C" w:rsidP="00AC416C">
      <w:pPr>
        <w:pStyle w:val="paragraph"/>
      </w:pPr>
      <w:r w:rsidRPr="00C33375">
        <w:tab/>
        <w:t>(d)</w:t>
      </w:r>
      <w:r w:rsidRPr="00C33375">
        <w:tab/>
        <w:t>any other matter (whether or not related to a biological)</w:t>
      </w:r>
      <w:r w:rsidR="009504A7" w:rsidRPr="00C33375">
        <w:t>.</w:t>
      </w:r>
    </w:p>
    <w:p w:rsidR="00BF4CE1" w:rsidRPr="00C33375" w:rsidRDefault="00AC416C" w:rsidP="00BF4CE1">
      <w:pPr>
        <w:pStyle w:val="ItemHead"/>
        <w:tabs>
          <w:tab w:val="left" w:pos="6663"/>
        </w:tabs>
      </w:pPr>
      <w:r w:rsidRPr="00C33375">
        <w:t>13</w:t>
      </w:r>
      <w:r w:rsidR="00BF4CE1" w:rsidRPr="00C33375">
        <w:t xml:space="preserve">  Sub</w:t>
      </w:r>
      <w:r w:rsidR="00545031" w:rsidRPr="00C33375">
        <w:t>regulation</w:t>
      </w:r>
      <w:r w:rsidR="00C33375" w:rsidRPr="00C33375">
        <w:t> </w:t>
      </w:r>
      <w:r w:rsidR="00BF4CE1" w:rsidRPr="00C33375">
        <w:t>39G(1)</w:t>
      </w:r>
    </w:p>
    <w:p w:rsidR="00AC416C" w:rsidRPr="00C33375" w:rsidRDefault="00AC416C" w:rsidP="00AC416C">
      <w:pPr>
        <w:pStyle w:val="Item"/>
      </w:pPr>
      <w:r w:rsidRPr="00C33375">
        <w:t>Repeal the sub</w:t>
      </w:r>
      <w:r w:rsidR="009F09EF" w:rsidRPr="00C33375">
        <w:t>regulation</w:t>
      </w:r>
      <w:r w:rsidRPr="00C33375">
        <w:t>, substitute:</w:t>
      </w:r>
    </w:p>
    <w:p w:rsidR="00AC416C" w:rsidRPr="00C33375" w:rsidRDefault="00AC416C" w:rsidP="00AC416C">
      <w:pPr>
        <w:pStyle w:val="subsection"/>
      </w:pPr>
      <w:r w:rsidRPr="00C33375">
        <w:tab/>
        <w:t>(1)</w:t>
      </w:r>
      <w:r w:rsidRPr="00C33375">
        <w:tab/>
        <w:t xml:space="preserve">The committee’s functions are, </w:t>
      </w:r>
      <w:r w:rsidR="00A11B3B" w:rsidRPr="00C33375">
        <w:t xml:space="preserve">at the </w:t>
      </w:r>
      <w:r w:rsidRPr="00C33375">
        <w:t xml:space="preserve">request </w:t>
      </w:r>
      <w:r w:rsidR="00A11B3B" w:rsidRPr="00C33375">
        <w:t>of</w:t>
      </w:r>
      <w:r w:rsidRPr="00C33375">
        <w:t xml:space="preserve"> the Minister or Secretary, to provide advice and </w:t>
      </w:r>
      <w:r w:rsidR="00A11B3B" w:rsidRPr="00C33375">
        <w:t xml:space="preserve">to </w:t>
      </w:r>
      <w:r w:rsidRPr="00C33375">
        <w:t xml:space="preserve">make recommendations </w:t>
      </w:r>
      <w:r w:rsidR="00306B96" w:rsidRPr="00C33375">
        <w:t xml:space="preserve">to the Minister or Secretary </w:t>
      </w:r>
      <w:r w:rsidRPr="00C33375">
        <w:t>about one or more of the following matters:</w:t>
      </w:r>
    </w:p>
    <w:p w:rsidR="00AC416C" w:rsidRPr="00C33375" w:rsidRDefault="00AC416C" w:rsidP="00AC416C">
      <w:pPr>
        <w:pStyle w:val="paragraph"/>
      </w:pPr>
      <w:r w:rsidRPr="00C33375">
        <w:tab/>
        <w:t>(a)</w:t>
      </w:r>
      <w:r w:rsidRPr="00C33375">
        <w:tab/>
        <w:t>safety of vaccines;</w:t>
      </w:r>
    </w:p>
    <w:p w:rsidR="00AC416C" w:rsidRPr="00C33375" w:rsidRDefault="00AC416C" w:rsidP="00AC416C">
      <w:pPr>
        <w:pStyle w:val="paragraph"/>
      </w:pPr>
      <w:r w:rsidRPr="00C33375">
        <w:tab/>
        <w:t>(b)</w:t>
      </w:r>
      <w:r w:rsidRPr="00C33375">
        <w:tab/>
        <w:t>risk assessment and risk management of vaccines;</w:t>
      </w:r>
    </w:p>
    <w:p w:rsidR="00AC416C" w:rsidRPr="00C33375" w:rsidRDefault="00AC416C" w:rsidP="00AC416C">
      <w:pPr>
        <w:pStyle w:val="paragraph"/>
      </w:pPr>
      <w:r w:rsidRPr="00C33375">
        <w:tab/>
        <w:t>(c)</w:t>
      </w:r>
      <w:r w:rsidRPr="00C33375">
        <w:tab/>
        <w:t>any other matter (whether or not related to vaccine safety).</w:t>
      </w:r>
    </w:p>
    <w:p w:rsidR="00BF4CE1" w:rsidRPr="00C33375" w:rsidRDefault="00AC416C" w:rsidP="00BF4CE1">
      <w:pPr>
        <w:pStyle w:val="ItemHead"/>
      </w:pPr>
      <w:r w:rsidRPr="00C33375">
        <w:t>14</w:t>
      </w:r>
      <w:r w:rsidR="00BF4CE1" w:rsidRPr="00C33375">
        <w:t xml:space="preserve">  Paragraph 39H(3)(l)</w:t>
      </w:r>
    </w:p>
    <w:p w:rsidR="00BF4CE1" w:rsidRPr="00C33375" w:rsidRDefault="00BF4CE1" w:rsidP="00BF4CE1">
      <w:pPr>
        <w:pStyle w:val="Item"/>
      </w:pPr>
      <w:r w:rsidRPr="00C33375">
        <w:t>Omit “nurse practitioner”, substitute “registered nurse”.</w:t>
      </w:r>
    </w:p>
    <w:sectPr w:rsidR="00BF4CE1" w:rsidRPr="00C33375" w:rsidSect="006C2ED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24" w:rsidRDefault="00C85624" w:rsidP="0048364F">
      <w:pPr>
        <w:spacing w:line="240" w:lineRule="auto"/>
      </w:pPr>
      <w:r>
        <w:separator/>
      </w:r>
    </w:p>
  </w:endnote>
  <w:endnote w:type="continuationSeparator" w:id="0">
    <w:p w:rsidR="00C85624" w:rsidRDefault="00C8562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D6" w:rsidRPr="006C2ED6" w:rsidRDefault="006C2ED6" w:rsidP="006C2ED6">
    <w:pPr>
      <w:pStyle w:val="Footer"/>
      <w:rPr>
        <w:sz w:val="18"/>
      </w:rPr>
    </w:pPr>
    <w:r>
      <w:rPr>
        <w:sz w:val="18"/>
      </w:rPr>
      <w:t>OPC60147</w:t>
    </w:r>
    <w:r w:rsidRPr="006C2ED6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C85624" w:rsidTr="00426A08">
      <w:tc>
        <w:tcPr>
          <w:tcW w:w="7303" w:type="dxa"/>
        </w:tcPr>
        <w:p w:rsidR="00C85624" w:rsidRDefault="00C85624" w:rsidP="00426A08">
          <w:pPr>
            <w:rPr>
              <w:sz w:val="18"/>
            </w:rPr>
          </w:pPr>
        </w:p>
      </w:tc>
    </w:tr>
  </w:tbl>
  <w:p w:rsidR="00C85624" w:rsidRPr="006D3667" w:rsidRDefault="006C2ED6" w:rsidP="006C2ED6">
    <w:pPr>
      <w:pStyle w:val="Footer"/>
    </w:pPr>
    <w:r>
      <w:t>OPC60147</w:t>
    </w:r>
    <w:r w:rsidRPr="006C2ED6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D6" w:rsidRPr="006C2ED6" w:rsidRDefault="006C2ED6" w:rsidP="006C2ED6">
    <w:pPr>
      <w:pStyle w:val="Footer"/>
      <w:rPr>
        <w:sz w:val="18"/>
      </w:rPr>
    </w:pPr>
    <w:r>
      <w:rPr>
        <w:sz w:val="18"/>
      </w:rPr>
      <w:t>OPC60147</w:t>
    </w:r>
    <w:r w:rsidRPr="006C2ED6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Pr="006C2ED6" w:rsidRDefault="00C85624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C85624" w:rsidRPr="006C2ED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C85624" w:rsidRPr="006C2ED6" w:rsidRDefault="00C85624" w:rsidP="00E33C1C">
          <w:pPr>
            <w:spacing w:line="0" w:lineRule="atLeast"/>
            <w:rPr>
              <w:rFonts w:cs="Times New Roman"/>
              <w:sz w:val="18"/>
            </w:rPr>
          </w:pPr>
          <w:r w:rsidRPr="006C2ED6">
            <w:rPr>
              <w:rFonts w:cs="Times New Roman"/>
              <w:i/>
              <w:sz w:val="18"/>
            </w:rPr>
            <w:fldChar w:fldCharType="begin"/>
          </w:r>
          <w:r w:rsidRPr="006C2ED6">
            <w:rPr>
              <w:rFonts w:cs="Times New Roman"/>
              <w:i/>
              <w:sz w:val="18"/>
            </w:rPr>
            <w:instrText xml:space="preserve"> PAGE </w:instrText>
          </w:r>
          <w:r w:rsidRPr="006C2ED6">
            <w:rPr>
              <w:rFonts w:cs="Times New Roman"/>
              <w:i/>
              <w:sz w:val="18"/>
            </w:rPr>
            <w:fldChar w:fldCharType="separate"/>
          </w:r>
          <w:r w:rsidR="00B51BC2">
            <w:rPr>
              <w:rFonts w:cs="Times New Roman"/>
              <w:i/>
              <w:noProof/>
              <w:sz w:val="18"/>
            </w:rPr>
            <w:t>ii</w:t>
          </w:r>
          <w:r w:rsidRPr="006C2ED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C85624" w:rsidRPr="006C2ED6" w:rsidRDefault="00C85624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6C2ED6">
            <w:rPr>
              <w:rFonts w:cs="Times New Roman"/>
              <w:i/>
              <w:sz w:val="18"/>
            </w:rPr>
            <w:fldChar w:fldCharType="begin"/>
          </w:r>
          <w:r w:rsidRPr="006C2ED6">
            <w:rPr>
              <w:rFonts w:cs="Times New Roman"/>
              <w:i/>
              <w:sz w:val="18"/>
            </w:rPr>
            <w:instrText xml:space="preserve"> DOCPROPERTY ShortT </w:instrText>
          </w:r>
          <w:r w:rsidRPr="006C2ED6">
            <w:rPr>
              <w:rFonts w:cs="Times New Roman"/>
              <w:i/>
              <w:sz w:val="18"/>
            </w:rPr>
            <w:fldChar w:fldCharType="separate"/>
          </w:r>
          <w:r w:rsidR="00912799">
            <w:rPr>
              <w:rFonts w:cs="Times New Roman"/>
              <w:i/>
              <w:sz w:val="18"/>
            </w:rPr>
            <w:t>Therapeutic Goods Amendment (Advisory Committees) Regulation 2013</w:t>
          </w:r>
          <w:r w:rsidRPr="006C2ED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85624" w:rsidRPr="006C2ED6" w:rsidRDefault="00C85624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6C2ED6">
            <w:rPr>
              <w:rFonts w:cs="Times New Roman"/>
              <w:i/>
              <w:sz w:val="18"/>
            </w:rPr>
            <w:fldChar w:fldCharType="begin"/>
          </w:r>
          <w:r w:rsidRPr="006C2ED6">
            <w:rPr>
              <w:rFonts w:cs="Times New Roman"/>
              <w:i/>
              <w:sz w:val="18"/>
            </w:rPr>
            <w:instrText xml:space="preserve"> DOCPROPERTY ActNo </w:instrText>
          </w:r>
          <w:r w:rsidRPr="006C2ED6">
            <w:rPr>
              <w:rFonts w:cs="Times New Roman"/>
              <w:i/>
              <w:sz w:val="18"/>
            </w:rPr>
            <w:fldChar w:fldCharType="separate"/>
          </w:r>
          <w:r w:rsidR="00912799">
            <w:rPr>
              <w:rFonts w:cs="Times New Roman"/>
              <w:i/>
              <w:sz w:val="18"/>
            </w:rPr>
            <w:t>No. 220, 2013</w:t>
          </w:r>
          <w:r w:rsidRPr="006C2ED6">
            <w:rPr>
              <w:rFonts w:cs="Times New Roman"/>
              <w:i/>
              <w:sz w:val="18"/>
            </w:rPr>
            <w:fldChar w:fldCharType="end"/>
          </w:r>
        </w:p>
      </w:tc>
    </w:tr>
    <w:tr w:rsidR="00C85624" w:rsidRPr="006C2ED6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C85624" w:rsidRPr="006C2ED6" w:rsidRDefault="00C85624" w:rsidP="00426A08">
          <w:pPr>
            <w:jc w:val="right"/>
            <w:rPr>
              <w:rFonts w:cs="Times New Roman"/>
              <w:sz w:val="18"/>
            </w:rPr>
          </w:pPr>
        </w:p>
      </w:tc>
    </w:tr>
  </w:tbl>
  <w:p w:rsidR="00C85624" w:rsidRPr="006C2ED6" w:rsidRDefault="006C2ED6" w:rsidP="006C2ED6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OPC60147</w:t>
    </w:r>
    <w:r w:rsidRPr="006C2ED6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Pr="00E33C1C" w:rsidRDefault="00C85624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C85624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85624" w:rsidRDefault="00C85624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12799">
            <w:rPr>
              <w:i/>
              <w:sz w:val="18"/>
            </w:rPr>
            <w:t>No. 220,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C85624" w:rsidRDefault="00C85624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12799">
            <w:rPr>
              <w:i/>
              <w:sz w:val="18"/>
            </w:rPr>
            <w:t>Therapeutic Goods Amendment (Advisory Committees)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C85624" w:rsidRDefault="00C85624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5B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85624" w:rsidTr="00426A0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C85624" w:rsidRDefault="00C85624" w:rsidP="00426A08">
          <w:pPr>
            <w:rPr>
              <w:sz w:val="18"/>
            </w:rPr>
          </w:pPr>
        </w:p>
      </w:tc>
    </w:tr>
  </w:tbl>
  <w:p w:rsidR="00C85624" w:rsidRPr="00ED79B6" w:rsidRDefault="006C2ED6" w:rsidP="006C2ED6">
    <w:pPr>
      <w:rPr>
        <w:i/>
        <w:sz w:val="18"/>
      </w:rPr>
    </w:pPr>
    <w:r>
      <w:rPr>
        <w:i/>
        <w:sz w:val="18"/>
      </w:rPr>
      <w:t>OPC60147</w:t>
    </w:r>
    <w:r w:rsidRPr="006C2ED6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Pr="006C2ED6" w:rsidRDefault="00C85624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C85624" w:rsidRPr="006C2ED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C85624" w:rsidRPr="006C2ED6" w:rsidRDefault="00C85624" w:rsidP="00E33C1C">
          <w:pPr>
            <w:spacing w:line="0" w:lineRule="atLeast"/>
            <w:rPr>
              <w:rFonts w:cs="Times New Roman"/>
              <w:sz w:val="18"/>
            </w:rPr>
          </w:pPr>
          <w:r w:rsidRPr="006C2ED6">
            <w:rPr>
              <w:rFonts w:cs="Times New Roman"/>
              <w:i/>
              <w:sz w:val="18"/>
            </w:rPr>
            <w:fldChar w:fldCharType="begin"/>
          </w:r>
          <w:r w:rsidRPr="006C2ED6">
            <w:rPr>
              <w:rFonts w:cs="Times New Roman"/>
              <w:i/>
              <w:sz w:val="18"/>
            </w:rPr>
            <w:instrText xml:space="preserve"> PAGE </w:instrText>
          </w:r>
          <w:r w:rsidRPr="006C2ED6">
            <w:rPr>
              <w:rFonts w:cs="Times New Roman"/>
              <w:i/>
              <w:sz w:val="18"/>
            </w:rPr>
            <w:fldChar w:fldCharType="separate"/>
          </w:r>
          <w:r w:rsidR="00BD5B77">
            <w:rPr>
              <w:rFonts w:cs="Times New Roman"/>
              <w:i/>
              <w:noProof/>
              <w:sz w:val="18"/>
            </w:rPr>
            <w:t>6</w:t>
          </w:r>
          <w:r w:rsidRPr="006C2ED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C85624" w:rsidRPr="006C2ED6" w:rsidRDefault="00C85624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6C2ED6">
            <w:rPr>
              <w:rFonts w:cs="Times New Roman"/>
              <w:i/>
              <w:sz w:val="18"/>
            </w:rPr>
            <w:fldChar w:fldCharType="begin"/>
          </w:r>
          <w:r w:rsidRPr="006C2ED6">
            <w:rPr>
              <w:rFonts w:cs="Times New Roman"/>
              <w:i/>
              <w:sz w:val="18"/>
            </w:rPr>
            <w:instrText xml:space="preserve"> DOCPROPERTY ShortT </w:instrText>
          </w:r>
          <w:r w:rsidRPr="006C2ED6">
            <w:rPr>
              <w:rFonts w:cs="Times New Roman"/>
              <w:i/>
              <w:sz w:val="18"/>
            </w:rPr>
            <w:fldChar w:fldCharType="separate"/>
          </w:r>
          <w:r w:rsidR="00912799">
            <w:rPr>
              <w:rFonts w:cs="Times New Roman"/>
              <w:i/>
              <w:sz w:val="18"/>
            </w:rPr>
            <w:t>Therapeutic Goods Amendment (Advisory Committees) Regulation 2013</w:t>
          </w:r>
          <w:r w:rsidRPr="006C2ED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85624" w:rsidRPr="006C2ED6" w:rsidRDefault="00C85624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6C2ED6">
            <w:rPr>
              <w:rFonts w:cs="Times New Roman"/>
              <w:i/>
              <w:sz w:val="18"/>
            </w:rPr>
            <w:fldChar w:fldCharType="begin"/>
          </w:r>
          <w:r w:rsidRPr="006C2ED6">
            <w:rPr>
              <w:rFonts w:cs="Times New Roman"/>
              <w:i/>
              <w:sz w:val="18"/>
            </w:rPr>
            <w:instrText xml:space="preserve"> DOCPROPERTY ActNo </w:instrText>
          </w:r>
          <w:r w:rsidRPr="006C2ED6">
            <w:rPr>
              <w:rFonts w:cs="Times New Roman"/>
              <w:i/>
              <w:sz w:val="18"/>
            </w:rPr>
            <w:fldChar w:fldCharType="separate"/>
          </w:r>
          <w:r w:rsidR="00912799">
            <w:rPr>
              <w:rFonts w:cs="Times New Roman"/>
              <w:i/>
              <w:sz w:val="18"/>
            </w:rPr>
            <w:t>No. 220, 2013</w:t>
          </w:r>
          <w:r w:rsidRPr="006C2ED6">
            <w:rPr>
              <w:rFonts w:cs="Times New Roman"/>
              <w:i/>
              <w:sz w:val="18"/>
            </w:rPr>
            <w:fldChar w:fldCharType="end"/>
          </w:r>
        </w:p>
      </w:tc>
    </w:tr>
    <w:tr w:rsidR="00C85624" w:rsidRPr="006C2ED6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C85624" w:rsidRPr="006C2ED6" w:rsidRDefault="00C85624" w:rsidP="00426A08">
          <w:pPr>
            <w:jc w:val="right"/>
            <w:rPr>
              <w:rFonts w:cs="Times New Roman"/>
              <w:sz w:val="18"/>
            </w:rPr>
          </w:pPr>
        </w:p>
      </w:tc>
    </w:tr>
  </w:tbl>
  <w:p w:rsidR="00C85624" w:rsidRPr="006C2ED6" w:rsidRDefault="006C2ED6" w:rsidP="006C2ED6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OPC60147</w:t>
    </w:r>
    <w:r w:rsidRPr="006C2ED6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Pr="00E33C1C" w:rsidRDefault="00C85624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C85624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85624" w:rsidRDefault="00C85624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12799">
            <w:rPr>
              <w:i/>
              <w:sz w:val="18"/>
            </w:rPr>
            <w:t>No. 220,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C85624" w:rsidRDefault="00C85624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12799">
            <w:rPr>
              <w:i/>
              <w:sz w:val="18"/>
            </w:rPr>
            <w:t>Therapeutic Goods Amendment (Advisory Committees)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C85624" w:rsidRDefault="00C85624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5B77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85624" w:rsidTr="00426A0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C85624" w:rsidRDefault="00C85624" w:rsidP="00426A08">
          <w:pPr>
            <w:rPr>
              <w:sz w:val="18"/>
            </w:rPr>
          </w:pPr>
        </w:p>
      </w:tc>
    </w:tr>
  </w:tbl>
  <w:p w:rsidR="00C85624" w:rsidRPr="00ED79B6" w:rsidRDefault="006C2ED6" w:rsidP="006C2ED6">
    <w:pPr>
      <w:rPr>
        <w:i/>
        <w:sz w:val="18"/>
      </w:rPr>
    </w:pPr>
    <w:r>
      <w:rPr>
        <w:i/>
        <w:sz w:val="18"/>
      </w:rPr>
      <w:t>OPC60147</w:t>
    </w:r>
    <w:r w:rsidRPr="006C2ED6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Pr="00E33C1C" w:rsidRDefault="00C85624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C85624" w:rsidTr="00426A0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85624" w:rsidRDefault="00C85624" w:rsidP="00426A08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12799">
            <w:rPr>
              <w:i/>
              <w:sz w:val="18"/>
            </w:rPr>
            <w:t>No. 220,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C85624" w:rsidRDefault="00C85624" w:rsidP="00426A0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12799">
            <w:rPr>
              <w:i/>
              <w:sz w:val="18"/>
            </w:rPr>
            <w:t>Therapeutic Goods Amendment (Advisory Committees)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C85624" w:rsidRDefault="00C85624" w:rsidP="00426A0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1BC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85624" w:rsidTr="00426A0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C85624" w:rsidRDefault="00C85624" w:rsidP="00426A08">
          <w:pPr>
            <w:rPr>
              <w:sz w:val="18"/>
            </w:rPr>
          </w:pPr>
        </w:p>
      </w:tc>
    </w:tr>
  </w:tbl>
  <w:p w:rsidR="00C85624" w:rsidRPr="00ED79B6" w:rsidRDefault="00C85624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24" w:rsidRDefault="00C85624" w:rsidP="0048364F">
      <w:pPr>
        <w:spacing w:line="240" w:lineRule="auto"/>
      </w:pPr>
      <w:r>
        <w:separator/>
      </w:r>
    </w:p>
  </w:footnote>
  <w:footnote w:type="continuationSeparator" w:id="0">
    <w:p w:rsidR="00C85624" w:rsidRDefault="00C8562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Pr="005F1388" w:rsidRDefault="00C8562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Pr="005F1388" w:rsidRDefault="00C8562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Pr="005F1388" w:rsidRDefault="00C8562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Pr="00ED79B6" w:rsidRDefault="00C85624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Pr="00ED79B6" w:rsidRDefault="00C85624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Pr="00ED79B6" w:rsidRDefault="00C8562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Pr="00A961C4" w:rsidRDefault="00C85624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D5B77">
      <w:rPr>
        <w:b/>
        <w:sz w:val="20"/>
      </w:rPr>
      <w:fldChar w:fldCharType="separate"/>
    </w:r>
    <w:r w:rsidR="00BD5B7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D5B77">
      <w:rPr>
        <w:sz w:val="20"/>
      </w:rPr>
      <w:fldChar w:fldCharType="separate"/>
    </w:r>
    <w:r w:rsidR="00BD5B77">
      <w:rPr>
        <w:noProof/>
        <w:sz w:val="20"/>
      </w:rPr>
      <w:t>Amendments</w:t>
    </w:r>
    <w:r>
      <w:rPr>
        <w:sz w:val="20"/>
      </w:rPr>
      <w:fldChar w:fldCharType="end"/>
    </w:r>
  </w:p>
  <w:p w:rsidR="00C85624" w:rsidRPr="00A961C4" w:rsidRDefault="00C85624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85624" w:rsidRPr="00A961C4" w:rsidRDefault="00C85624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Pr="00A961C4" w:rsidRDefault="00C85624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BD5B77">
      <w:rPr>
        <w:sz w:val="20"/>
      </w:rPr>
      <w:fldChar w:fldCharType="separate"/>
    </w:r>
    <w:r w:rsidR="00BD5B7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D5B77">
      <w:rPr>
        <w:b/>
        <w:sz w:val="20"/>
      </w:rPr>
      <w:fldChar w:fldCharType="separate"/>
    </w:r>
    <w:r w:rsidR="00BD5B7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C85624" w:rsidRPr="00A961C4" w:rsidRDefault="00C85624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C85624" w:rsidRPr="00A961C4" w:rsidRDefault="00C85624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24" w:rsidRPr="00A961C4" w:rsidRDefault="00C85624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772F25C5"/>
    <w:multiLevelType w:val="hybridMultilevel"/>
    <w:tmpl w:val="4042AA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5F"/>
    <w:rsid w:val="00001317"/>
    <w:rsid w:val="000041C6"/>
    <w:rsid w:val="000063E4"/>
    <w:rsid w:val="00006EA2"/>
    <w:rsid w:val="000113BC"/>
    <w:rsid w:val="000136AF"/>
    <w:rsid w:val="00025060"/>
    <w:rsid w:val="00037ECA"/>
    <w:rsid w:val="0004044E"/>
    <w:rsid w:val="000570F5"/>
    <w:rsid w:val="000614BF"/>
    <w:rsid w:val="0006178E"/>
    <w:rsid w:val="000629B8"/>
    <w:rsid w:val="00072FFC"/>
    <w:rsid w:val="00083A1B"/>
    <w:rsid w:val="0009424F"/>
    <w:rsid w:val="000A5264"/>
    <w:rsid w:val="000C4E79"/>
    <w:rsid w:val="000D05EF"/>
    <w:rsid w:val="000D5263"/>
    <w:rsid w:val="000D7AE1"/>
    <w:rsid w:val="000E0F0E"/>
    <w:rsid w:val="000E3BA2"/>
    <w:rsid w:val="000F21C1"/>
    <w:rsid w:val="000F50EF"/>
    <w:rsid w:val="000F7427"/>
    <w:rsid w:val="0010745C"/>
    <w:rsid w:val="00137673"/>
    <w:rsid w:val="00142615"/>
    <w:rsid w:val="001464CA"/>
    <w:rsid w:val="00154EAC"/>
    <w:rsid w:val="001560EC"/>
    <w:rsid w:val="001643C9"/>
    <w:rsid w:val="00165568"/>
    <w:rsid w:val="00166C2F"/>
    <w:rsid w:val="001716C9"/>
    <w:rsid w:val="00171EAE"/>
    <w:rsid w:val="001826D3"/>
    <w:rsid w:val="00191859"/>
    <w:rsid w:val="00193461"/>
    <w:rsid w:val="001939E1"/>
    <w:rsid w:val="00195382"/>
    <w:rsid w:val="001B7A5D"/>
    <w:rsid w:val="001C69C4"/>
    <w:rsid w:val="001D0684"/>
    <w:rsid w:val="001D73D4"/>
    <w:rsid w:val="001E3590"/>
    <w:rsid w:val="001E562E"/>
    <w:rsid w:val="001E7407"/>
    <w:rsid w:val="001E7758"/>
    <w:rsid w:val="001F6924"/>
    <w:rsid w:val="00201D27"/>
    <w:rsid w:val="00213D2D"/>
    <w:rsid w:val="0022066A"/>
    <w:rsid w:val="00240749"/>
    <w:rsid w:val="00251DE2"/>
    <w:rsid w:val="00255ED5"/>
    <w:rsid w:val="00262FDE"/>
    <w:rsid w:val="00265FBC"/>
    <w:rsid w:val="00266D05"/>
    <w:rsid w:val="002932B1"/>
    <w:rsid w:val="00297ECB"/>
    <w:rsid w:val="002A0FFD"/>
    <w:rsid w:val="002A2125"/>
    <w:rsid w:val="002A555F"/>
    <w:rsid w:val="002B4873"/>
    <w:rsid w:val="002B5B89"/>
    <w:rsid w:val="002B7D96"/>
    <w:rsid w:val="002D006B"/>
    <w:rsid w:val="002D043A"/>
    <w:rsid w:val="002D65BF"/>
    <w:rsid w:val="002E32EF"/>
    <w:rsid w:val="00304E75"/>
    <w:rsid w:val="00306B96"/>
    <w:rsid w:val="003072FA"/>
    <w:rsid w:val="0031713F"/>
    <w:rsid w:val="00322811"/>
    <w:rsid w:val="003415D3"/>
    <w:rsid w:val="00343082"/>
    <w:rsid w:val="00346F24"/>
    <w:rsid w:val="00351F3C"/>
    <w:rsid w:val="00352B0F"/>
    <w:rsid w:val="0036101A"/>
    <w:rsid w:val="00361BD9"/>
    <w:rsid w:val="00362892"/>
    <w:rsid w:val="003801D0"/>
    <w:rsid w:val="003870C2"/>
    <w:rsid w:val="0039228E"/>
    <w:rsid w:val="003926B5"/>
    <w:rsid w:val="003956D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158B3"/>
    <w:rsid w:val="00423CB3"/>
    <w:rsid w:val="00424CA9"/>
    <w:rsid w:val="00426A08"/>
    <w:rsid w:val="00441393"/>
    <w:rsid w:val="0044291A"/>
    <w:rsid w:val="004541B9"/>
    <w:rsid w:val="00460499"/>
    <w:rsid w:val="0048364F"/>
    <w:rsid w:val="004943BF"/>
    <w:rsid w:val="00496F97"/>
    <w:rsid w:val="004A040A"/>
    <w:rsid w:val="004A2484"/>
    <w:rsid w:val="004A3A08"/>
    <w:rsid w:val="004C1BA5"/>
    <w:rsid w:val="004C6444"/>
    <w:rsid w:val="004C6DE1"/>
    <w:rsid w:val="004F1FAC"/>
    <w:rsid w:val="004F3A90"/>
    <w:rsid w:val="004F676E"/>
    <w:rsid w:val="0050538C"/>
    <w:rsid w:val="00516B8D"/>
    <w:rsid w:val="00522381"/>
    <w:rsid w:val="00537FBC"/>
    <w:rsid w:val="00543469"/>
    <w:rsid w:val="00545031"/>
    <w:rsid w:val="00557C7A"/>
    <w:rsid w:val="00560FD7"/>
    <w:rsid w:val="00570EC1"/>
    <w:rsid w:val="005773E5"/>
    <w:rsid w:val="00584811"/>
    <w:rsid w:val="005851A5"/>
    <w:rsid w:val="0058646E"/>
    <w:rsid w:val="00591E07"/>
    <w:rsid w:val="00593AA6"/>
    <w:rsid w:val="00594161"/>
    <w:rsid w:val="00594749"/>
    <w:rsid w:val="005B24F0"/>
    <w:rsid w:val="005B4067"/>
    <w:rsid w:val="005C12DE"/>
    <w:rsid w:val="005C2B32"/>
    <w:rsid w:val="005C3F41"/>
    <w:rsid w:val="005E552A"/>
    <w:rsid w:val="005F63BE"/>
    <w:rsid w:val="00600219"/>
    <w:rsid w:val="006037BA"/>
    <w:rsid w:val="006249E6"/>
    <w:rsid w:val="00630733"/>
    <w:rsid w:val="00643F0A"/>
    <w:rsid w:val="0064468A"/>
    <w:rsid w:val="00654CCA"/>
    <w:rsid w:val="00656DE9"/>
    <w:rsid w:val="00663BDD"/>
    <w:rsid w:val="00666007"/>
    <w:rsid w:val="00670782"/>
    <w:rsid w:val="00677CC2"/>
    <w:rsid w:val="00680F17"/>
    <w:rsid w:val="00685F42"/>
    <w:rsid w:val="0069207B"/>
    <w:rsid w:val="006937E2"/>
    <w:rsid w:val="006977FB"/>
    <w:rsid w:val="006B262A"/>
    <w:rsid w:val="006C2C12"/>
    <w:rsid w:val="006C2ED6"/>
    <w:rsid w:val="006C7F8C"/>
    <w:rsid w:val="006D3667"/>
    <w:rsid w:val="006D5FD7"/>
    <w:rsid w:val="006D72E0"/>
    <w:rsid w:val="006E004B"/>
    <w:rsid w:val="006E7147"/>
    <w:rsid w:val="00700B2C"/>
    <w:rsid w:val="00701E6A"/>
    <w:rsid w:val="00713084"/>
    <w:rsid w:val="00721793"/>
    <w:rsid w:val="00722023"/>
    <w:rsid w:val="00731E00"/>
    <w:rsid w:val="007440B7"/>
    <w:rsid w:val="00744188"/>
    <w:rsid w:val="007532EE"/>
    <w:rsid w:val="007634AD"/>
    <w:rsid w:val="007715C9"/>
    <w:rsid w:val="00774EDD"/>
    <w:rsid w:val="007757EC"/>
    <w:rsid w:val="007769D4"/>
    <w:rsid w:val="00785AFA"/>
    <w:rsid w:val="007903AC"/>
    <w:rsid w:val="007948EB"/>
    <w:rsid w:val="007A7F9F"/>
    <w:rsid w:val="007B0F9E"/>
    <w:rsid w:val="007E7D4A"/>
    <w:rsid w:val="00826DA5"/>
    <w:rsid w:val="00833416"/>
    <w:rsid w:val="00840C05"/>
    <w:rsid w:val="0084528C"/>
    <w:rsid w:val="00847A2C"/>
    <w:rsid w:val="00850CE0"/>
    <w:rsid w:val="00856A31"/>
    <w:rsid w:val="00866F03"/>
    <w:rsid w:val="00874B69"/>
    <w:rsid w:val="008754D0"/>
    <w:rsid w:val="00877D48"/>
    <w:rsid w:val="0089783B"/>
    <w:rsid w:val="00897B54"/>
    <w:rsid w:val="008C0A7C"/>
    <w:rsid w:val="008C34CC"/>
    <w:rsid w:val="008D0EE0"/>
    <w:rsid w:val="008D27FD"/>
    <w:rsid w:val="008F07E3"/>
    <w:rsid w:val="008F3C6C"/>
    <w:rsid w:val="008F4F1C"/>
    <w:rsid w:val="00907271"/>
    <w:rsid w:val="00912799"/>
    <w:rsid w:val="00924622"/>
    <w:rsid w:val="00932377"/>
    <w:rsid w:val="009504A7"/>
    <w:rsid w:val="00953F79"/>
    <w:rsid w:val="00957CE8"/>
    <w:rsid w:val="00962AB5"/>
    <w:rsid w:val="00973E6C"/>
    <w:rsid w:val="009762BB"/>
    <w:rsid w:val="00987F45"/>
    <w:rsid w:val="00995204"/>
    <w:rsid w:val="009B0D39"/>
    <w:rsid w:val="009B3629"/>
    <w:rsid w:val="009C49D8"/>
    <w:rsid w:val="009C715F"/>
    <w:rsid w:val="009E3601"/>
    <w:rsid w:val="009E5A35"/>
    <w:rsid w:val="009E7B6B"/>
    <w:rsid w:val="009F09EF"/>
    <w:rsid w:val="009F4194"/>
    <w:rsid w:val="009F727E"/>
    <w:rsid w:val="00A11B3B"/>
    <w:rsid w:val="00A2057D"/>
    <w:rsid w:val="00A231E2"/>
    <w:rsid w:val="00A2550D"/>
    <w:rsid w:val="00A26CA8"/>
    <w:rsid w:val="00A26DBE"/>
    <w:rsid w:val="00A326A4"/>
    <w:rsid w:val="00A4169B"/>
    <w:rsid w:val="00A4361F"/>
    <w:rsid w:val="00A45710"/>
    <w:rsid w:val="00A45B11"/>
    <w:rsid w:val="00A60257"/>
    <w:rsid w:val="00A64912"/>
    <w:rsid w:val="00A70A74"/>
    <w:rsid w:val="00A8033F"/>
    <w:rsid w:val="00A861E2"/>
    <w:rsid w:val="00A87AB9"/>
    <w:rsid w:val="00AA0952"/>
    <w:rsid w:val="00AB3315"/>
    <w:rsid w:val="00AC416C"/>
    <w:rsid w:val="00AD5641"/>
    <w:rsid w:val="00AE1C4F"/>
    <w:rsid w:val="00AE2740"/>
    <w:rsid w:val="00AF0336"/>
    <w:rsid w:val="00AF6613"/>
    <w:rsid w:val="00B008A6"/>
    <w:rsid w:val="00B032D8"/>
    <w:rsid w:val="00B04793"/>
    <w:rsid w:val="00B0510A"/>
    <w:rsid w:val="00B15C2A"/>
    <w:rsid w:val="00B1783E"/>
    <w:rsid w:val="00B26EA9"/>
    <w:rsid w:val="00B332B8"/>
    <w:rsid w:val="00B33B3C"/>
    <w:rsid w:val="00B4247A"/>
    <w:rsid w:val="00B51BC2"/>
    <w:rsid w:val="00B5228D"/>
    <w:rsid w:val="00B61D2C"/>
    <w:rsid w:val="00B63600"/>
    <w:rsid w:val="00B63BDE"/>
    <w:rsid w:val="00B734E0"/>
    <w:rsid w:val="00B8270A"/>
    <w:rsid w:val="00BA5026"/>
    <w:rsid w:val="00BB0370"/>
    <w:rsid w:val="00BB35E9"/>
    <w:rsid w:val="00BB514F"/>
    <w:rsid w:val="00BB6E79"/>
    <w:rsid w:val="00BC4F91"/>
    <w:rsid w:val="00BD5B77"/>
    <w:rsid w:val="00BD60E6"/>
    <w:rsid w:val="00BE253A"/>
    <w:rsid w:val="00BE719A"/>
    <w:rsid w:val="00BE720A"/>
    <w:rsid w:val="00BF4533"/>
    <w:rsid w:val="00BF4CE1"/>
    <w:rsid w:val="00BF5328"/>
    <w:rsid w:val="00C067E5"/>
    <w:rsid w:val="00C164CA"/>
    <w:rsid w:val="00C21B63"/>
    <w:rsid w:val="00C33375"/>
    <w:rsid w:val="00C4267E"/>
    <w:rsid w:val="00C42BF8"/>
    <w:rsid w:val="00C45977"/>
    <w:rsid w:val="00C460AE"/>
    <w:rsid w:val="00C50043"/>
    <w:rsid w:val="00C71CEA"/>
    <w:rsid w:val="00C7573B"/>
    <w:rsid w:val="00C7612E"/>
    <w:rsid w:val="00C76CF3"/>
    <w:rsid w:val="00C85624"/>
    <w:rsid w:val="00CB0180"/>
    <w:rsid w:val="00CD606E"/>
    <w:rsid w:val="00CD60BF"/>
    <w:rsid w:val="00CD7ECB"/>
    <w:rsid w:val="00CF0BB2"/>
    <w:rsid w:val="00D0104A"/>
    <w:rsid w:val="00D13441"/>
    <w:rsid w:val="00D17B17"/>
    <w:rsid w:val="00D21FB7"/>
    <w:rsid w:val="00D243A3"/>
    <w:rsid w:val="00D3329C"/>
    <w:rsid w:val="00D333D9"/>
    <w:rsid w:val="00D33440"/>
    <w:rsid w:val="00D40403"/>
    <w:rsid w:val="00D41319"/>
    <w:rsid w:val="00D4561C"/>
    <w:rsid w:val="00D52EFE"/>
    <w:rsid w:val="00D55C4A"/>
    <w:rsid w:val="00D63EF6"/>
    <w:rsid w:val="00D70195"/>
    <w:rsid w:val="00D70DFB"/>
    <w:rsid w:val="00D766DF"/>
    <w:rsid w:val="00D83D21"/>
    <w:rsid w:val="00D84B58"/>
    <w:rsid w:val="00D85105"/>
    <w:rsid w:val="00D925D1"/>
    <w:rsid w:val="00D94CFE"/>
    <w:rsid w:val="00DA753E"/>
    <w:rsid w:val="00DC15B0"/>
    <w:rsid w:val="00DF418B"/>
    <w:rsid w:val="00E05704"/>
    <w:rsid w:val="00E05C46"/>
    <w:rsid w:val="00E0754B"/>
    <w:rsid w:val="00E30206"/>
    <w:rsid w:val="00E33C1C"/>
    <w:rsid w:val="00E443FC"/>
    <w:rsid w:val="00E476B8"/>
    <w:rsid w:val="00E54292"/>
    <w:rsid w:val="00E7227F"/>
    <w:rsid w:val="00E73EC4"/>
    <w:rsid w:val="00E74DC7"/>
    <w:rsid w:val="00E84B32"/>
    <w:rsid w:val="00E87699"/>
    <w:rsid w:val="00E91FD0"/>
    <w:rsid w:val="00EA6501"/>
    <w:rsid w:val="00EC7C82"/>
    <w:rsid w:val="00ED359B"/>
    <w:rsid w:val="00ED3A7D"/>
    <w:rsid w:val="00EE5EB2"/>
    <w:rsid w:val="00EF2E3A"/>
    <w:rsid w:val="00F008AB"/>
    <w:rsid w:val="00F02483"/>
    <w:rsid w:val="00F047E2"/>
    <w:rsid w:val="00F078DC"/>
    <w:rsid w:val="00F11688"/>
    <w:rsid w:val="00F13E86"/>
    <w:rsid w:val="00F24C35"/>
    <w:rsid w:val="00F25F77"/>
    <w:rsid w:val="00F351AE"/>
    <w:rsid w:val="00F418E3"/>
    <w:rsid w:val="00F56759"/>
    <w:rsid w:val="00F677A9"/>
    <w:rsid w:val="00F71900"/>
    <w:rsid w:val="00F7310D"/>
    <w:rsid w:val="00F84CF5"/>
    <w:rsid w:val="00FA420B"/>
    <w:rsid w:val="00FB03B3"/>
    <w:rsid w:val="00FD659A"/>
    <w:rsid w:val="00FD7CFE"/>
    <w:rsid w:val="00FF191B"/>
    <w:rsid w:val="00FF1C8A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3375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33375"/>
  </w:style>
  <w:style w:type="paragraph" w:customStyle="1" w:styleId="OPCParaBase">
    <w:name w:val="OPCParaBase"/>
    <w:qFormat/>
    <w:rsid w:val="00C3337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3337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3337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3337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3337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3337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3337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3337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3337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3337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3337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33375"/>
  </w:style>
  <w:style w:type="paragraph" w:customStyle="1" w:styleId="Blocks">
    <w:name w:val="Blocks"/>
    <w:aliases w:val="bb"/>
    <w:basedOn w:val="OPCParaBase"/>
    <w:qFormat/>
    <w:rsid w:val="00C3337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333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3337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33375"/>
    <w:rPr>
      <w:i/>
    </w:rPr>
  </w:style>
  <w:style w:type="paragraph" w:customStyle="1" w:styleId="BoxList">
    <w:name w:val="BoxList"/>
    <w:aliases w:val="bl"/>
    <w:basedOn w:val="BoxText"/>
    <w:qFormat/>
    <w:rsid w:val="00C3337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3337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3337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33375"/>
    <w:pPr>
      <w:ind w:left="1985" w:hanging="851"/>
    </w:pPr>
  </w:style>
  <w:style w:type="character" w:customStyle="1" w:styleId="CharAmPartNo">
    <w:name w:val="CharAmPartNo"/>
    <w:basedOn w:val="OPCCharBase"/>
    <w:qFormat/>
    <w:rsid w:val="00C33375"/>
  </w:style>
  <w:style w:type="character" w:customStyle="1" w:styleId="CharAmPartText">
    <w:name w:val="CharAmPartText"/>
    <w:basedOn w:val="OPCCharBase"/>
    <w:qFormat/>
    <w:rsid w:val="00C33375"/>
  </w:style>
  <w:style w:type="character" w:customStyle="1" w:styleId="CharAmSchNo">
    <w:name w:val="CharAmSchNo"/>
    <w:basedOn w:val="OPCCharBase"/>
    <w:qFormat/>
    <w:rsid w:val="00C33375"/>
  </w:style>
  <w:style w:type="character" w:customStyle="1" w:styleId="CharAmSchText">
    <w:name w:val="CharAmSchText"/>
    <w:basedOn w:val="OPCCharBase"/>
    <w:qFormat/>
    <w:rsid w:val="00C33375"/>
  </w:style>
  <w:style w:type="character" w:customStyle="1" w:styleId="CharBoldItalic">
    <w:name w:val="CharBoldItalic"/>
    <w:basedOn w:val="OPCCharBase"/>
    <w:uiPriority w:val="1"/>
    <w:qFormat/>
    <w:rsid w:val="00C33375"/>
    <w:rPr>
      <w:b/>
      <w:i/>
    </w:rPr>
  </w:style>
  <w:style w:type="character" w:customStyle="1" w:styleId="CharChapNo">
    <w:name w:val="CharChapNo"/>
    <w:basedOn w:val="OPCCharBase"/>
    <w:uiPriority w:val="1"/>
    <w:qFormat/>
    <w:rsid w:val="00C33375"/>
  </w:style>
  <w:style w:type="character" w:customStyle="1" w:styleId="CharChapText">
    <w:name w:val="CharChapText"/>
    <w:basedOn w:val="OPCCharBase"/>
    <w:uiPriority w:val="1"/>
    <w:qFormat/>
    <w:rsid w:val="00C33375"/>
  </w:style>
  <w:style w:type="character" w:customStyle="1" w:styleId="CharDivNo">
    <w:name w:val="CharDivNo"/>
    <w:basedOn w:val="OPCCharBase"/>
    <w:uiPriority w:val="1"/>
    <w:qFormat/>
    <w:rsid w:val="00C33375"/>
  </w:style>
  <w:style w:type="character" w:customStyle="1" w:styleId="CharDivText">
    <w:name w:val="CharDivText"/>
    <w:basedOn w:val="OPCCharBase"/>
    <w:uiPriority w:val="1"/>
    <w:qFormat/>
    <w:rsid w:val="00C33375"/>
  </w:style>
  <w:style w:type="character" w:customStyle="1" w:styleId="CharItalic">
    <w:name w:val="CharItalic"/>
    <w:basedOn w:val="OPCCharBase"/>
    <w:uiPriority w:val="1"/>
    <w:qFormat/>
    <w:rsid w:val="00C33375"/>
    <w:rPr>
      <w:i/>
    </w:rPr>
  </w:style>
  <w:style w:type="character" w:customStyle="1" w:styleId="CharPartNo">
    <w:name w:val="CharPartNo"/>
    <w:basedOn w:val="OPCCharBase"/>
    <w:uiPriority w:val="1"/>
    <w:qFormat/>
    <w:rsid w:val="00C33375"/>
  </w:style>
  <w:style w:type="character" w:customStyle="1" w:styleId="CharPartText">
    <w:name w:val="CharPartText"/>
    <w:basedOn w:val="OPCCharBase"/>
    <w:uiPriority w:val="1"/>
    <w:qFormat/>
    <w:rsid w:val="00C33375"/>
  </w:style>
  <w:style w:type="character" w:customStyle="1" w:styleId="CharSectno">
    <w:name w:val="CharSectno"/>
    <w:basedOn w:val="OPCCharBase"/>
    <w:qFormat/>
    <w:rsid w:val="00C33375"/>
  </w:style>
  <w:style w:type="character" w:customStyle="1" w:styleId="CharSubdNo">
    <w:name w:val="CharSubdNo"/>
    <w:basedOn w:val="OPCCharBase"/>
    <w:uiPriority w:val="1"/>
    <w:qFormat/>
    <w:rsid w:val="00C33375"/>
  </w:style>
  <w:style w:type="character" w:customStyle="1" w:styleId="CharSubdText">
    <w:name w:val="CharSubdText"/>
    <w:basedOn w:val="OPCCharBase"/>
    <w:uiPriority w:val="1"/>
    <w:qFormat/>
    <w:rsid w:val="00C33375"/>
  </w:style>
  <w:style w:type="paragraph" w:customStyle="1" w:styleId="CTA--">
    <w:name w:val="CTA --"/>
    <w:basedOn w:val="OPCParaBase"/>
    <w:next w:val="Normal"/>
    <w:rsid w:val="00C3337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3337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3337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3337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3337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3337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3337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3337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3337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3337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3337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3337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3337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3337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3337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3337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3337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3337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3337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3337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3337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3337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3337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3337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3337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3337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3337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3337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3337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3337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3337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C33375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C3337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3337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3337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3337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3337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3337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3337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3337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3337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3337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3337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3337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3337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3337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3337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3337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3337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3337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3337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3337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333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3337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3337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3337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3337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3337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3337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3337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3337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3337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3337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3337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3337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3337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3337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3337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3337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3337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3337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3337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3337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33375"/>
    <w:rPr>
      <w:sz w:val="16"/>
    </w:rPr>
  </w:style>
  <w:style w:type="table" w:customStyle="1" w:styleId="CFlag">
    <w:name w:val="CFlag"/>
    <w:basedOn w:val="TableNormal"/>
    <w:uiPriority w:val="99"/>
    <w:rsid w:val="00C3337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3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33375"/>
    <w:rPr>
      <w:color w:val="0000FF"/>
      <w:u w:val="single"/>
    </w:rPr>
  </w:style>
  <w:style w:type="table" w:styleId="TableGrid">
    <w:name w:val="Table Grid"/>
    <w:basedOn w:val="TableNormal"/>
    <w:uiPriority w:val="59"/>
    <w:rsid w:val="00C33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3337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3337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3337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3337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3337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3337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33375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C33375"/>
  </w:style>
  <w:style w:type="paragraph" w:customStyle="1" w:styleId="CompiledActNo">
    <w:name w:val="CompiledActNo"/>
    <w:basedOn w:val="OPCParaBase"/>
    <w:next w:val="Normal"/>
    <w:rsid w:val="00C3337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3337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3337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C3337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3337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3337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3337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3337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3337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3337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3337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3337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3337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3337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3337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3337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3337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3337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33375"/>
  </w:style>
  <w:style w:type="character" w:customStyle="1" w:styleId="CharSubPartNoCASA">
    <w:name w:val="CharSubPartNo(CASA)"/>
    <w:basedOn w:val="OPCCharBase"/>
    <w:uiPriority w:val="1"/>
    <w:rsid w:val="00C33375"/>
  </w:style>
  <w:style w:type="paragraph" w:customStyle="1" w:styleId="ENoteTTIndentHeadingSub">
    <w:name w:val="ENoteTTIndentHeadingSub"/>
    <w:aliases w:val="enTTHis"/>
    <w:basedOn w:val="OPCParaBase"/>
    <w:rsid w:val="00C3337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3337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3337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33375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3375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33375"/>
  </w:style>
  <w:style w:type="paragraph" w:customStyle="1" w:styleId="OPCParaBase">
    <w:name w:val="OPCParaBase"/>
    <w:qFormat/>
    <w:rsid w:val="00C3337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3337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3337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3337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3337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3337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3337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3337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3337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3337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3337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33375"/>
  </w:style>
  <w:style w:type="paragraph" w:customStyle="1" w:styleId="Blocks">
    <w:name w:val="Blocks"/>
    <w:aliases w:val="bb"/>
    <w:basedOn w:val="OPCParaBase"/>
    <w:qFormat/>
    <w:rsid w:val="00C3337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333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3337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33375"/>
    <w:rPr>
      <w:i/>
    </w:rPr>
  </w:style>
  <w:style w:type="paragraph" w:customStyle="1" w:styleId="BoxList">
    <w:name w:val="BoxList"/>
    <w:aliases w:val="bl"/>
    <w:basedOn w:val="BoxText"/>
    <w:qFormat/>
    <w:rsid w:val="00C3337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3337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3337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33375"/>
    <w:pPr>
      <w:ind w:left="1985" w:hanging="851"/>
    </w:pPr>
  </w:style>
  <w:style w:type="character" w:customStyle="1" w:styleId="CharAmPartNo">
    <w:name w:val="CharAmPartNo"/>
    <w:basedOn w:val="OPCCharBase"/>
    <w:qFormat/>
    <w:rsid w:val="00C33375"/>
  </w:style>
  <w:style w:type="character" w:customStyle="1" w:styleId="CharAmPartText">
    <w:name w:val="CharAmPartText"/>
    <w:basedOn w:val="OPCCharBase"/>
    <w:qFormat/>
    <w:rsid w:val="00C33375"/>
  </w:style>
  <w:style w:type="character" w:customStyle="1" w:styleId="CharAmSchNo">
    <w:name w:val="CharAmSchNo"/>
    <w:basedOn w:val="OPCCharBase"/>
    <w:qFormat/>
    <w:rsid w:val="00C33375"/>
  </w:style>
  <w:style w:type="character" w:customStyle="1" w:styleId="CharAmSchText">
    <w:name w:val="CharAmSchText"/>
    <w:basedOn w:val="OPCCharBase"/>
    <w:qFormat/>
    <w:rsid w:val="00C33375"/>
  </w:style>
  <w:style w:type="character" w:customStyle="1" w:styleId="CharBoldItalic">
    <w:name w:val="CharBoldItalic"/>
    <w:basedOn w:val="OPCCharBase"/>
    <w:uiPriority w:val="1"/>
    <w:qFormat/>
    <w:rsid w:val="00C33375"/>
    <w:rPr>
      <w:b/>
      <w:i/>
    </w:rPr>
  </w:style>
  <w:style w:type="character" w:customStyle="1" w:styleId="CharChapNo">
    <w:name w:val="CharChapNo"/>
    <w:basedOn w:val="OPCCharBase"/>
    <w:uiPriority w:val="1"/>
    <w:qFormat/>
    <w:rsid w:val="00C33375"/>
  </w:style>
  <w:style w:type="character" w:customStyle="1" w:styleId="CharChapText">
    <w:name w:val="CharChapText"/>
    <w:basedOn w:val="OPCCharBase"/>
    <w:uiPriority w:val="1"/>
    <w:qFormat/>
    <w:rsid w:val="00C33375"/>
  </w:style>
  <w:style w:type="character" w:customStyle="1" w:styleId="CharDivNo">
    <w:name w:val="CharDivNo"/>
    <w:basedOn w:val="OPCCharBase"/>
    <w:uiPriority w:val="1"/>
    <w:qFormat/>
    <w:rsid w:val="00C33375"/>
  </w:style>
  <w:style w:type="character" w:customStyle="1" w:styleId="CharDivText">
    <w:name w:val="CharDivText"/>
    <w:basedOn w:val="OPCCharBase"/>
    <w:uiPriority w:val="1"/>
    <w:qFormat/>
    <w:rsid w:val="00C33375"/>
  </w:style>
  <w:style w:type="character" w:customStyle="1" w:styleId="CharItalic">
    <w:name w:val="CharItalic"/>
    <w:basedOn w:val="OPCCharBase"/>
    <w:uiPriority w:val="1"/>
    <w:qFormat/>
    <w:rsid w:val="00C33375"/>
    <w:rPr>
      <w:i/>
    </w:rPr>
  </w:style>
  <w:style w:type="character" w:customStyle="1" w:styleId="CharPartNo">
    <w:name w:val="CharPartNo"/>
    <w:basedOn w:val="OPCCharBase"/>
    <w:uiPriority w:val="1"/>
    <w:qFormat/>
    <w:rsid w:val="00C33375"/>
  </w:style>
  <w:style w:type="character" w:customStyle="1" w:styleId="CharPartText">
    <w:name w:val="CharPartText"/>
    <w:basedOn w:val="OPCCharBase"/>
    <w:uiPriority w:val="1"/>
    <w:qFormat/>
    <w:rsid w:val="00C33375"/>
  </w:style>
  <w:style w:type="character" w:customStyle="1" w:styleId="CharSectno">
    <w:name w:val="CharSectno"/>
    <w:basedOn w:val="OPCCharBase"/>
    <w:qFormat/>
    <w:rsid w:val="00C33375"/>
  </w:style>
  <w:style w:type="character" w:customStyle="1" w:styleId="CharSubdNo">
    <w:name w:val="CharSubdNo"/>
    <w:basedOn w:val="OPCCharBase"/>
    <w:uiPriority w:val="1"/>
    <w:qFormat/>
    <w:rsid w:val="00C33375"/>
  </w:style>
  <w:style w:type="character" w:customStyle="1" w:styleId="CharSubdText">
    <w:name w:val="CharSubdText"/>
    <w:basedOn w:val="OPCCharBase"/>
    <w:uiPriority w:val="1"/>
    <w:qFormat/>
    <w:rsid w:val="00C33375"/>
  </w:style>
  <w:style w:type="paragraph" w:customStyle="1" w:styleId="CTA--">
    <w:name w:val="CTA --"/>
    <w:basedOn w:val="OPCParaBase"/>
    <w:next w:val="Normal"/>
    <w:rsid w:val="00C3337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3337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3337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3337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3337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3337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3337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3337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3337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3337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3337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3337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3337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3337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3337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3337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3337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3337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3337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3337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3337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3337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3337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3337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3337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3337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3337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3337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3337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3337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3337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C33375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C3337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3337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3337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3337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3337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3337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3337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3337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3337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3337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3337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3337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3337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3337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3337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3337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3337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3337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3337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3337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333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3337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3337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3337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3337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3337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3337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3337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3337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3337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3337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3337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3337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3337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3337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3337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3337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3337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3337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3337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3337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33375"/>
    <w:rPr>
      <w:sz w:val="16"/>
    </w:rPr>
  </w:style>
  <w:style w:type="table" w:customStyle="1" w:styleId="CFlag">
    <w:name w:val="CFlag"/>
    <w:basedOn w:val="TableNormal"/>
    <w:uiPriority w:val="99"/>
    <w:rsid w:val="00C3337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3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33375"/>
    <w:rPr>
      <w:color w:val="0000FF"/>
      <w:u w:val="single"/>
    </w:rPr>
  </w:style>
  <w:style w:type="table" w:styleId="TableGrid">
    <w:name w:val="Table Grid"/>
    <w:basedOn w:val="TableNormal"/>
    <w:uiPriority w:val="59"/>
    <w:rsid w:val="00C33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3337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3337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3337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3337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3337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3337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33375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C33375"/>
  </w:style>
  <w:style w:type="paragraph" w:customStyle="1" w:styleId="CompiledActNo">
    <w:name w:val="CompiledActNo"/>
    <w:basedOn w:val="OPCParaBase"/>
    <w:next w:val="Normal"/>
    <w:rsid w:val="00C3337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3337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3337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C3337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3337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3337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3337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3337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3337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3337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3337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3337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3337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3337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3337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3337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3337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3337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33375"/>
  </w:style>
  <w:style w:type="character" w:customStyle="1" w:styleId="CharSubPartNoCASA">
    <w:name w:val="CharSubPartNo(CASA)"/>
    <w:basedOn w:val="OPCCharBase"/>
    <w:uiPriority w:val="1"/>
    <w:rsid w:val="00C33375"/>
  </w:style>
  <w:style w:type="paragraph" w:customStyle="1" w:styleId="ENoteTTIndentHeadingSub">
    <w:name w:val="ENoteTTIndentHeadingSub"/>
    <w:aliases w:val="enTTHis"/>
    <w:basedOn w:val="OPCParaBase"/>
    <w:rsid w:val="00C3337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3337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3337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33375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11</Pages>
  <Words>1182</Words>
  <Characters>6773</Characters>
  <Application>Microsoft Office Word</Application>
  <DocSecurity>0</DocSecurity>
  <PresentationFormat/>
  <Lines>217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Therapeutic Goods Amendment (Advisory Committees) Regulation 2013</vt:lpstr>
    </vt:vector>
  </TitlesOfParts>
  <Manager/>
  <Company/>
  <LinksUpToDate>false</LinksUpToDate>
  <CharactersWithSpaces>7927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2013-07-12T00:23:00Z</cp:lastPrinted>
  <dcterms:created xsi:type="dcterms:W3CDTF">2013-08-05T01:38:00Z</dcterms:created>
  <dcterms:modified xsi:type="dcterms:W3CDTF">2013-08-05T01:38:00Z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220, 2013</vt:lpwstr>
  </property>
  <property fmtid="{D5CDD505-2E9C-101B-9397-08002B2CF9AE}" pid="3" name="ShortT">
    <vt:lpwstr>Therapeutic Goods Amendment (Advisory Committees)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05 August 2013</vt:lpwstr>
  </property>
  <property fmtid="{D5CDD505-2E9C-101B-9397-08002B2CF9AE}" pid="10" name="Authority">
    <vt:lpwstr>Governor-General of the Commonwealth of Australia</vt:lpwstr>
  </property>
  <property fmtid="{D5CDD505-2E9C-101B-9397-08002B2CF9AE}" pid="11" name="ID">
    <vt:lpwstr>OPC60147</vt:lpwstr>
  </property>
  <property fmtid="{D5CDD505-2E9C-101B-9397-08002B2CF9AE}" pid="12" name="ActMadeUnder">
    <vt:lpwstr>Therapeutic Goods Act 1989</vt:lpwstr>
  </property>
  <property fmtid="{D5CDD505-2E9C-101B-9397-08002B2CF9AE}" pid="13" name="NonLegInst">
    <vt:lpwstr>0</vt:lpwstr>
  </property>
  <property fmtid="{D5CDD505-2E9C-101B-9397-08002B2CF9AE}" pid="14" name="Classification">
    <vt:lpwstr> 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CounterSign">
    <vt:lpwstr>Parliamentary Secretary for Health and Ageing</vt:lpwstr>
  </property>
  <property fmtid="{D5CDD505-2E9C-101B-9397-08002B2CF9AE}" pid="18" name="ExcoDate">
    <vt:lpwstr>05 August 2013</vt:lpwstr>
  </property>
</Properties>
</file>