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DF" w:rsidRPr="00CB21B0" w:rsidRDefault="007920DF" w:rsidP="007920DF">
      <w:pPr>
        <w:rPr>
          <w:sz w:val="28"/>
        </w:rPr>
      </w:pPr>
      <w:r w:rsidRPr="00CB21B0">
        <w:rPr>
          <w:noProof/>
          <w:lang w:eastAsia="en-AU"/>
        </w:rPr>
        <w:drawing>
          <wp:inline distT="0" distB="0" distL="0" distR="0" wp14:anchorId="28A2A5B4" wp14:editId="02BBB46D">
            <wp:extent cx="1419225" cy="1104900"/>
            <wp:effectExtent l="0" t="0" r="9525" b="0"/>
            <wp:docPr id="24" name="Picture 2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920DF" w:rsidRPr="00CB21B0" w:rsidRDefault="007920DF" w:rsidP="007920DF">
      <w:pPr>
        <w:rPr>
          <w:sz w:val="19"/>
        </w:rPr>
      </w:pPr>
    </w:p>
    <w:p w:rsidR="007920DF" w:rsidRPr="00CB21B0" w:rsidRDefault="007920DF" w:rsidP="007920DF">
      <w:pPr>
        <w:rPr>
          <w:sz w:val="19"/>
        </w:rPr>
      </w:pPr>
      <w:bookmarkStart w:id="0" w:name="ConfidenceBlock"/>
      <w:bookmarkEnd w:id="0"/>
    </w:p>
    <w:p w:rsidR="007920DF" w:rsidRPr="00CB21B0" w:rsidRDefault="007920DF" w:rsidP="007920DF">
      <w:pPr>
        <w:pStyle w:val="ShortT"/>
      </w:pPr>
      <w:r w:rsidRPr="00CB21B0">
        <w:t xml:space="preserve">Agricultural and Veterinary Chemicals Legislation Amendment </w:t>
      </w:r>
      <w:r w:rsidR="002600AD" w:rsidRPr="00CB21B0">
        <w:t>(2013 Measures No.</w:t>
      </w:r>
      <w:r w:rsidR="00CB21B0" w:rsidRPr="00CB21B0">
        <w:t> </w:t>
      </w:r>
      <w:r w:rsidR="0049754E" w:rsidRPr="00CB21B0">
        <w:t>2</w:t>
      </w:r>
      <w:r w:rsidR="002600AD" w:rsidRPr="00CB21B0">
        <w:t xml:space="preserve">) </w:t>
      </w:r>
      <w:r w:rsidRPr="00CB21B0">
        <w:t>Regulation</w:t>
      </w:r>
      <w:r w:rsidR="00CB21B0" w:rsidRPr="00CB21B0">
        <w:t> </w:t>
      </w:r>
      <w:r w:rsidRPr="00CB21B0">
        <w:t>2013</w:t>
      </w:r>
    </w:p>
    <w:p w:rsidR="007920DF" w:rsidRPr="00CB21B0" w:rsidRDefault="007920DF" w:rsidP="007920DF"/>
    <w:p w:rsidR="007920DF" w:rsidRPr="00CB21B0" w:rsidRDefault="007920DF" w:rsidP="007920DF">
      <w:pPr>
        <w:pStyle w:val="InstNo"/>
      </w:pPr>
      <w:r w:rsidRPr="00CB21B0">
        <w:t xml:space="preserve">Select Legislative Instrument </w:t>
      </w:r>
      <w:bookmarkStart w:id="1" w:name="BKCheck15B_1"/>
      <w:bookmarkEnd w:id="1"/>
      <w:r w:rsidR="008F3F4B" w:rsidRPr="00CB21B0">
        <w:fldChar w:fldCharType="begin"/>
      </w:r>
      <w:r w:rsidR="008F3F4B" w:rsidRPr="00CB21B0">
        <w:instrText xml:space="preserve"> DOCPROPERTY  ActNo </w:instrText>
      </w:r>
      <w:r w:rsidR="008F3F4B" w:rsidRPr="00CB21B0">
        <w:fldChar w:fldCharType="separate"/>
      </w:r>
      <w:r w:rsidR="00354129">
        <w:t>No. 179, 2013</w:t>
      </w:r>
      <w:r w:rsidR="008F3F4B" w:rsidRPr="00CB21B0">
        <w:fldChar w:fldCharType="end"/>
      </w:r>
    </w:p>
    <w:p w:rsidR="00F14019" w:rsidRPr="00CB21B0" w:rsidRDefault="00F14019" w:rsidP="001A0BEE">
      <w:pPr>
        <w:pStyle w:val="SignCoverPageStart"/>
        <w:spacing w:before="240"/>
      </w:pPr>
      <w:r w:rsidRPr="00CB21B0">
        <w:t>I, Quentin Bryce AC CVO, Governor</w:t>
      </w:r>
      <w:r w:rsidR="00CB21B0">
        <w:noBreakHyphen/>
      </w:r>
      <w:r w:rsidRPr="00CB21B0">
        <w:t>General of the Commonwealth of Australia, acting with the advice of the Federal Executive Council, make the following regulation under the Acts mentioned in section</w:t>
      </w:r>
      <w:r w:rsidR="00CB21B0" w:rsidRPr="00CB21B0">
        <w:t> </w:t>
      </w:r>
      <w:r w:rsidRPr="00CB21B0">
        <w:t>3.</w:t>
      </w:r>
    </w:p>
    <w:p w:rsidR="00F14019" w:rsidRPr="00CB21B0" w:rsidRDefault="00F14019" w:rsidP="001A0BEE">
      <w:pPr>
        <w:keepNext/>
        <w:spacing w:before="720" w:line="240" w:lineRule="atLeast"/>
        <w:ind w:right="397"/>
        <w:jc w:val="both"/>
        <w:rPr>
          <w:sz w:val="24"/>
          <w:szCs w:val="24"/>
        </w:rPr>
      </w:pPr>
      <w:r w:rsidRPr="00CB21B0">
        <w:rPr>
          <w:sz w:val="24"/>
          <w:szCs w:val="24"/>
        </w:rPr>
        <w:t xml:space="preserve">Dated </w:t>
      </w:r>
      <w:r w:rsidRPr="00CB21B0">
        <w:rPr>
          <w:sz w:val="24"/>
          <w:szCs w:val="24"/>
        </w:rPr>
        <w:fldChar w:fldCharType="begin"/>
      </w:r>
      <w:r w:rsidRPr="00CB21B0">
        <w:rPr>
          <w:sz w:val="24"/>
          <w:szCs w:val="24"/>
        </w:rPr>
        <w:instrText xml:space="preserve"> DOCPROPERTY  DateMade </w:instrText>
      </w:r>
      <w:r w:rsidRPr="00CB21B0">
        <w:rPr>
          <w:sz w:val="24"/>
          <w:szCs w:val="24"/>
        </w:rPr>
        <w:fldChar w:fldCharType="separate"/>
      </w:r>
      <w:r w:rsidR="00354129">
        <w:rPr>
          <w:sz w:val="24"/>
          <w:szCs w:val="24"/>
        </w:rPr>
        <w:t>25 July 2013</w:t>
      </w:r>
      <w:r w:rsidRPr="00CB21B0">
        <w:rPr>
          <w:sz w:val="24"/>
          <w:szCs w:val="24"/>
        </w:rPr>
        <w:fldChar w:fldCharType="end"/>
      </w:r>
    </w:p>
    <w:p w:rsidR="00F14019" w:rsidRPr="00CB21B0" w:rsidRDefault="00F14019" w:rsidP="001A0BEE">
      <w:pPr>
        <w:keepNext/>
        <w:tabs>
          <w:tab w:val="left" w:pos="3402"/>
        </w:tabs>
        <w:spacing w:before="960" w:line="300" w:lineRule="atLeast"/>
        <w:ind w:left="397" w:right="397"/>
        <w:jc w:val="right"/>
        <w:rPr>
          <w:sz w:val="24"/>
          <w:szCs w:val="24"/>
        </w:rPr>
      </w:pPr>
      <w:r w:rsidRPr="00CB21B0">
        <w:t>Quentin Bryce</w:t>
      </w:r>
    </w:p>
    <w:p w:rsidR="00F14019" w:rsidRPr="00CB21B0" w:rsidRDefault="00F14019" w:rsidP="001A0BEE">
      <w:pPr>
        <w:keepNext/>
        <w:tabs>
          <w:tab w:val="left" w:pos="3402"/>
        </w:tabs>
        <w:spacing w:line="300" w:lineRule="atLeast"/>
        <w:ind w:left="397" w:right="397"/>
        <w:jc w:val="right"/>
        <w:rPr>
          <w:sz w:val="24"/>
          <w:szCs w:val="24"/>
        </w:rPr>
      </w:pPr>
      <w:r w:rsidRPr="00CB21B0">
        <w:rPr>
          <w:sz w:val="24"/>
          <w:szCs w:val="24"/>
        </w:rPr>
        <w:t>Governor</w:t>
      </w:r>
      <w:r w:rsidR="00CB21B0">
        <w:rPr>
          <w:sz w:val="24"/>
          <w:szCs w:val="24"/>
        </w:rPr>
        <w:noBreakHyphen/>
      </w:r>
      <w:r w:rsidRPr="00CB21B0">
        <w:rPr>
          <w:sz w:val="24"/>
          <w:szCs w:val="24"/>
        </w:rPr>
        <w:t>General</w:t>
      </w:r>
    </w:p>
    <w:p w:rsidR="00F14019" w:rsidRPr="00CB21B0" w:rsidRDefault="00F14019" w:rsidP="001A0BEE">
      <w:pPr>
        <w:keepNext/>
        <w:tabs>
          <w:tab w:val="left" w:pos="3402"/>
        </w:tabs>
        <w:spacing w:after="800" w:line="300" w:lineRule="atLeast"/>
        <w:ind w:right="397"/>
        <w:rPr>
          <w:sz w:val="24"/>
          <w:szCs w:val="24"/>
        </w:rPr>
      </w:pPr>
      <w:r w:rsidRPr="00CB21B0">
        <w:rPr>
          <w:sz w:val="24"/>
          <w:szCs w:val="24"/>
        </w:rPr>
        <w:t>By Her Excellency’s Command</w:t>
      </w:r>
    </w:p>
    <w:p w:rsidR="00F14019" w:rsidRPr="00CB21B0" w:rsidRDefault="00F14019" w:rsidP="001A0BEE">
      <w:pPr>
        <w:keepNext/>
        <w:tabs>
          <w:tab w:val="left" w:pos="3402"/>
        </w:tabs>
        <w:spacing w:before="480" w:line="300" w:lineRule="atLeast"/>
        <w:ind w:right="397"/>
        <w:rPr>
          <w:szCs w:val="22"/>
        </w:rPr>
      </w:pPr>
      <w:r w:rsidRPr="00CB21B0">
        <w:rPr>
          <w:szCs w:val="22"/>
        </w:rPr>
        <w:t>Peter Douglas Sidebottom</w:t>
      </w:r>
    </w:p>
    <w:p w:rsidR="00F14019" w:rsidRPr="00CB21B0" w:rsidRDefault="00F14019" w:rsidP="001A0BEE">
      <w:pPr>
        <w:pStyle w:val="SignCoverPageEnd"/>
      </w:pPr>
      <w:r w:rsidRPr="00CB21B0">
        <w:t>Parliamentary Secretary for Agriculture, Fisheries and Forestry</w:t>
      </w:r>
    </w:p>
    <w:p w:rsidR="00F14019" w:rsidRPr="00CB21B0" w:rsidRDefault="00F14019">
      <w:pPr>
        <w:pStyle w:val="Tabletext"/>
      </w:pPr>
    </w:p>
    <w:p w:rsidR="00F14019" w:rsidRPr="00CB21B0" w:rsidRDefault="00F14019" w:rsidP="00F14019"/>
    <w:p w:rsidR="007920DF" w:rsidRPr="00CB21B0" w:rsidRDefault="007920DF" w:rsidP="007920DF">
      <w:pPr>
        <w:pStyle w:val="Header"/>
        <w:tabs>
          <w:tab w:val="clear" w:pos="4150"/>
          <w:tab w:val="clear" w:pos="8307"/>
        </w:tabs>
      </w:pPr>
      <w:r w:rsidRPr="00CB21B0">
        <w:rPr>
          <w:rStyle w:val="CharAmSchNo"/>
        </w:rPr>
        <w:t xml:space="preserve"> </w:t>
      </w:r>
      <w:r w:rsidRPr="00CB21B0">
        <w:rPr>
          <w:rStyle w:val="CharAmSchText"/>
        </w:rPr>
        <w:t xml:space="preserve"> </w:t>
      </w:r>
    </w:p>
    <w:p w:rsidR="007920DF" w:rsidRPr="00CB21B0" w:rsidRDefault="007920DF" w:rsidP="007920DF">
      <w:pPr>
        <w:pStyle w:val="Header"/>
        <w:tabs>
          <w:tab w:val="clear" w:pos="4150"/>
          <w:tab w:val="clear" w:pos="8307"/>
        </w:tabs>
      </w:pPr>
      <w:r w:rsidRPr="00CB21B0">
        <w:rPr>
          <w:rStyle w:val="CharAmPartNo"/>
        </w:rPr>
        <w:t xml:space="preserve"> </w:t>
      </w:r>
      <w:r w:rsidRPr="00CB21B0">
        <w:rPr>
          <w:rStyle w:val="CharAmPartText"/>
        </w:rPr>
        <w:t xml:space="preserve"> </w:t>
      </w:r>
    </w:p>
    <w:p w:rsidR="007920DF" w:rsidRPr="00CB21B0" w:rsidRDefault="007920DF" w:rsidP="007920DF">
      <w:pPr>
        <w:sectPr w:rsidR="007920DF" w:rsidRPr="00CB21B0" w:rsidSect="0047219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7920DF" w:rsidRPr="00CB21B0" w:rsidRDefault="007920DF" w:rsidP="007920DF">
      <w:pPr>
        <w:rPr>
          <w:sz w:val="36"/>
        </w:rPr>
      </w:pPr>
      <w:r w:rsidRPr="00CB21B0">
        <w:rPr>
          <w:sz w:val="36"/>
        </w:rPr>
        <w:lastRenderedPageBreak/>
        <w:t>Contents</w:t>
      </w:r>
    </w:p>
    <w:bookmarkStart w:id="2" w:name="BKCheck15B_2"/>
    <w:bookmarkEnd w:id="2"/>
    <w:p w:rsidR="00C95378" w:rsidRPr="00CB21B0" w:rsidRDefault="00C95378">
      <w:pPr>
        <w:pStyle w:val="TOC5"/>
        <w:rPr>
          <w:rFonts w:asciiTheme="minorHAnsi" w:eastAsiaTheme="minorEastAsia" w:hAnsiTheme="minorHAnsi" w:cstheme="minorBidi"/>
          <w:noProof/>
          <w:kern w:val="0"/>
          <w:sz w:val="22"/>
          <w:szCs w:val="22"/>
        </w:rPr>
      </w:pPr>
      <w:r w:rsidRPr="00CB21B0">
        <w:fldChar w:fldCharType="begin"/>
      </w:r>
      <w:r w:rsidRPr="00CB21B0">
        <w:instrText xml:space="preserve"> TOC \o "1-9" </w:instrText>
      </w:r>
      <w:r w:rsidRPr="00CB21B0">
        <w:fldChar w:fldCharType="separate"/>
      </w:r>
      <w:r w:rsidRPr="00CB21B0">
        <w:rPr>
          <w:noProof/>
        </w:rPr>
        <w:t>1</w:t>
      </w:r>
      <w:r w:rsidRPr="00CB21B0">
        <w:rPr>
          <w:noProof/>
        </w:rPr>
        <w:tab/>
        <w:t>Name of regulation</w:t>
      </w:r>
      <w:r w:rsidRPr="00CB21B0">
        <w:rPr>
          <w:noProof/>
        </w:rPr>
        <w:tab/>
      </w:r>
      <w:r w:rsidRPr="00CB21B0">
        <w:rPr>
          <w:noProof/>
        </w:rPr>
        <w:fldChar w:fldCharType="begin"/>
      </w:r>
      <w:r w:rsidRPr="00CB21B0">
        <w:rPr>
          <w:noProof/>
        </w:rPr>
        <w:instrText xml:space="preserve"> PAGEREF _Toc361055004 \h </w:instrText>
      </w:r>
      <w:r w:rsidRPr="00CB21B0">
        <w:rPr>
          <w:noProof/>
        </w:rPr>
      </w:r>
      <w:r w:rsidRPr="00CB21B0">
        <w:rPr>
          <w:noProof/>
        </w:rPr>
        <w:fldChar w:fldCharType="separate"/>
      </w:r>
      <w:r w:rsidR="00354129">
        <w:rPr>
          <w:noProof/>
        </w:rPr>
        <w:t>1</w:t>
      </w:r>
      <w:r w:rsidRPr="00CB21B0">
        <w:rPr>
          <w:noProof/>
        </w:rPr>
        <w:fldChar w:fldCharType="end"/>
      </w:r>
    </w:p>
    <w:p w:rsidR="00C95378" w:rsidRPr="00CB21B0" w:rsidRDefault="00C95378">
      <w:pPr>
        <w:pStyle w:val="TOC5"/>
        <w:rPr>
          <w:rFonts w:asciiTheme="minorHAnsi" w:eastAsiaTheme="minorEastAsia" w:hAnsiTheme="minorHAnsi" w:cstheme="minorBidi"/>
          <w:noProof/>
          <w:kern w:val="0"/>
          <w:sz w:val="22"/>
          <w:szCs w:val="22"/>
        </w:rPr>
      </w:pPr>
      <w:r w:rsidRPr="00CB21B0">
        <w:rPr>
          <w:noProof/>
        </w:rPr>
        <w:t>2</w:t>
      </w:r>
      <w:r w:rsidRPr="00CB21B0">
        <w:rPr>
          <w:noProof/>
        </w:rPr>
        <w:tab/>
        <w:t>Commencement</w:t>
      </w:r>
      <w:r w:rsidRPr="00CB21B0">
        <w:rPr>
          <w:noProof/>
        </w:rPr>
        <w:tab/>
      </w:r>
      <w:r w:rsidRPr="00CB21B0">
        <w:rPr>
          <w:noProof/>
        </w:rPr>
        <w:fldChar w:fldCharType="begin"/>
      </w:r>
      <w:r w:rsidRPr="00CB21B0">
        <w:rPr>
          <w:noProof/>
        </w:rPr>
        <w:instrText xml:space="preserve"> PAGEREF _Toc361055005 \h </w:instrText>
      </w:r>
      <w:r w:rsidRPr="00CB21B0">
        <w:rPr>
          <w:noProof/>
        </w:rPr>
      </w:r>
      <w:r w:rsidRPr="00CB21B0">
        <w:rPr>
          <w:noProof/>
        </w:rPr>
        <w:fldChar w:fldCharType="separate"/>
      </w:r>
      <w:r w:rsidR="00354129">
        <w:rPr>
          <w:noProof/>
        </w:rPr>
        <w:t>1</w:t>
      </w:r>
      <w:r w:rsidRPr="00CB21B0">
        <w:rPr>
          <w:noProof/>
        </w:rPr>
        <w:fldChar w:fldCharType="end"/>
      </w:r>
    </w:p>
    <w:p w:rsidR="00C95378" w:rsidRPr="00CB21B0" w:rsidRDefault="00C95378">
      <w:pPr>
        <w:pStyle w:val="TOC5"/>
        <w:rPr>
          <w:rFonts w:asciiTheme="minorHAnsi" w:eastAsiaTheme="minorEastAsia" w:hAnsiTheme="minorHAnsi" w:cstheme="minorBidi"/>
          <w:noProof/>
          <w:kern w:val="0"/>
          <w:sz w:val="22"/>
          <w:szCs w:val="22"/>
        </w:rPr>
      </w:pPr>
      <w:r w:rsidRPr="00CB21B0">
        <w:rPr>
          <w:noProof/>
        </w:rPr>
        <w:t>3</w:t>
      </w:r>
      <w:r w:rsidRPr="00CB21B0">
        <w:rPr>
          <w:noProof/>
        </w:rPr>
        <w:tab/>
        <w:t>Authority</w:t>
      </w:r>
      <w:r w:rsidRPr="00CB21B0">
        <w:rPr>
          <w:noProof/>
        </w:rPr>
        <w:tab/>
      </w:r>
      <w:r w:rsidRPr="00CB21B0">
        <w:rPr>
          <w:noProof/>
        </w:rPr>
        <w:fldChar w:fldCharType="begin"/>
      </w:r>
      <w:r w:rsidRPr="00CB21B0">
        <w:rPr>
          <w:noProof/>
        </w:rPr>
        <w:instrText xml:space="preserve"> PAGEREF _Toc361055006 \h </w:instrText>
      </w:r>
      <w:r w:rsidRPr="00CB21B0">
        <w:rPr>
          <w:noProof/>
        </w:rPr>
      </w:r>
      <w:r w:rsidRPr="00CB21B0">
        <w:rPr>
          <w:noProof/>
        </w:rPr>
        <w:fldChar w:fldCharType="separate"/>
      </w:r>
      <w:r w:rsidR="00354129">
        <w:rPr>
          <w:noProof/>
        </w:rPr>
        <w:t>1</w:t>
      </w:r>
      <w:r w:rsidRPr="00CB21B0">
        <w:rPr>
          <w:noProof/>
        </w:rPr>
        <w:fldChar w:fldCharType="end"/>
      </w:r>
    </w:p>
    <w:p w:rsidR="00C95378" w:rsidRPr="00CB21B0" w:rsidRDefault="00C95378">
      <w:pPr>
        <w:pStyle w:val="TOC5"/>
        <w:rPr>
          <w:rFonts w:asciiTheme="minorHAnsi" w:eastAsiaTheme="minorEastAsia" w:hAnsiTheme="minorHAnsi" w:cstheme="minorBidi"/>
          <w:noProof/>
          <w:kern w:val="0"/>
          <w:sz w:val="22"/>
          <w:szCs w:val="22"/>
        </w:rPr>
      </w:pPr>
      <w:r w:rsidRPr="00CB21B0">
        <w:rPr>
          <w:noProof/>
        </w:rPr>
        <w:t>4</w:t>
      </w:r>
      <w:r w:rsidRPr="00CB21B0">
        <w:rPr>
          <w:noProof/>
        </w:rPr>
        <w:tab/>
        <w:t>Schedule(s)</w:t>
      </w:r>
      <w:r w:rsidRPr="00CB21B0">
        <w:rPr>
          <w:noProof/>
        </w:rPr>
        <w:tab/>
      </w:r>
      <w:r w:rsidRPr="00CB21B0">
        <w:rPr>
          <w:noProof/>
        </w:rPr>
        <w:fldChar w:fldCharType="begin"/>
      </w:r>
      <w:r w:rsidRPr="00CB21B0">
        <w:rPr>
          <w:noProof/>
        </w:rPr>
        <w:instrText xml:space="preserve"> PAGEREF _Toc361055007 \h </w:instrText>
      </w:r>
      <w:r w:rsidRPr="00CB21B0">
        <w:rPr>
          <w:noProof/>
        </w:rPr>
      </w:r>
      <w:r w:rsidRPr="00CB21B0">
        <w:rPr>
          <w:noProof/>
        </w:rPr>
        <w:fldChar w:fldCharType="separate"/>
      </w:r>
      <w:r w:rsidR="00354129">
        <w:rPr>
          <w:noProof/>
        </w:rPr>
        <w:t>1</w:t>
      </w:r>
      <w:r w:rsidRPr="00CB21B0">
        <w:rPr>
          <w:noProof/>
        </w:rPr>
        <w:fldChar w:fldCharType="end"/>
      </w:r>
    </w:p>
    <w:p w:rsidR="00C95378" w:rsidRPr="00CB21B0" w:rsidRDefault="00C95378">
      <w:pPr>
        <w:pStyle w:val="TOC6"/>
        <w:rPr>
          <w:rFonts w:asciiTheme="minorHAnsi" w:eastAsiaTheme="minorEastAsia" w:hAnsiTheme="minorHAnsi" w:cstheme="minorBidi"/>
          <w:b w:val="0"/>
          <w:noProof/>
          <w:kern w:val="0"/>
          <w:sz w:val="22"/>
          <w:szCs w:val="22"/>
        </w:rPr>
      </w:pPr>
      <w:r w:rsidRPr="00CB21B0">
        <w:rPr>
          <w:noProof/>
        </w:rPr>
        <w:t>Schedule</w:t>
      </w:r>
      <w:r w:rsidR="00CB21B0" w:rsidRPr="00CB21B0">
        <w:rPr>
          <w:noProof/>
        </w:rPr>
        <w:t> </w:t>
      </w:r>
      <w:r w:rsidRPr="00CB21B0">
        <w:rPr>
          <w:noProof/>
        </w:rPr>
        <w:t>1</w:t>
      </w:r>
      <w:r w:rsidRPr="00CB21B0">
        <w:rPr>
          <w:rFonts w:cs="Arial"/>
          <w:noProof/>
        </w:rPr>
        <w:t>—</w:t>
      </w:r>
      <w:r w:rsidRPr="00CB21B0">
        <w:rPr>
          <w:noProof/>
        </w:rPr>
        <w:t>Amendments</w:t>
      </w:r>
      <w:r w:rsidRPr="00CB21B0">
        <w:rPr>
          <w:b w:val="0"/>
          <w:noProof/>
          <w:sz w:val="18"/>
        </w:rPr>
        <w:tab/>
      </w:r>
      <w:r w:rsidRPr="00CB21B0">
        <w:rPr>
          <w:b w:val="0"/>
          <w:noProof/>
          <w:sz w:val="18"/>
        </w:rPr>
        <w:fldChar w:fldCharType="begin"/>
      </w:r>
      <w:r w:rsidRPr="00CB21B0">
        <w:rPr>
          <w:b w:val="0"/>
          <w:noProof/>
          <w:sz w:val="18"/>
        </w:rPr>
        <w:instrText xml:space="preserve"> PAGEREF _Toc361055008 \h </w:instrText>
      </w:r>
      <w:r w:rsidRPr="00CB21B0">
        <w:rPr>
          <w:b w:val="0"/>
          <w:noProof/>
          <w:sz w:val="18"/>
        </w:rPr>
      </w:r>
      <w:r w:rsidRPr="00CB21B0">
        <w:rPr>
          <w:b w:val="0"/>
          <w:noProof/>
          <w:sz w:val="18"/>
        </w:rPr>
        <w:fldChar w:fldCharType="separate"/>
      </w:r>
      <w:r w:rsidR="00354129">
        <w:rPr>
          <w:b w:val="0"/>
          <w:noProof/>
          <w:sz w:val="18"/>
        </w:rPr>
        <w:t>2</w:t>
      </w:r>
      <w:r w:rsidRPr="00CB21B0">
        <w:rPr>
          <w:b w:val="0"/>
          <w:noProof/>
          <w:sz w:val="18"/>
        </w:rPr>
        <w:fldChar w:fldCharType="end"/>
      </w:r>
    </w:p>
    <w:p w:rsidR="00C95378" w:rsidRPr="00CB21B0" w:rsidRDefault="00C95378">
      <w:pPr>
        <w:pStyle w:val="TOC9"/>
        <w:rPr>
          <w:rFonts w:asciiTheme="minorHAnsi" w:eastAsiaTheme="minorEastAsia" w:hAnsiTheme="minorHAnsi" w:cstheme="minorBidi"/>
          <w:i w:val="0"/>
          <w:noProof/>
          <w:kern w:val="0"/>
          <w:sz w:val="22"/>
          <w:szCs w:val="22"/>
        </w:rPr>
      </w:pPr>
      <w:r w:rsidRPr="00CB21B0">
        <w:rPr>
          <w:noProof/>
        </w:rPr>
        <w:t>Agricultural and Veterinary Chemical Products (Collection of Levy) Regulations</w:t>
      </w:r>
      <w:r w:rsidR="00CB21B0" w:rsidRPr="00CB21B0">
        <w:rPr>
          <w:noProof/>
        </w:rPr>
        <w:t> </w:t>
      </w:r>
      <w:r w:rsidRPr="00CB21B0">
        <w:rPr>
          <w:noProof/>
        </w:rPr>
        <w:t>1995</w:t>
      </w:r>
      <w:r w:rsidRPr="00CB21B0">
        <w:rPr>
          <w:i w:val="0"/>
          <w:noProof/>
          <w:sz w:val="18"/>
        </w:rPr>
        <w:tab/>
      </w:r>
      <w:r w:rsidRPr="00CB21B0">
        <w:rPr>
          <w:i w:val="0"/>
          <w:noProof/>
          <w:sz w:val="18"/>
        </w:rPr>
        <w:fldChar w:fldCharType="begin"/>
      </w:r>
      <w:r w:rsidRPr="00CB21B0">
        <w:rPr>
          <w:i w:val="0"/>
          <w:noProof/>
          <w:sz w:val="18"/>
        </w:rPr>
        <w:instrText xml:space="preserve"> PAGEREF _Toc361055009 \h </w:instrText>
      </w:r>
      <w:r w:rsidRPr="00CB21B0">
        <w:rPr>
          <w:i w:val="0"/>
          <w:noProof/>
          <w:sz w:val="18"/>
        </w:rPr>
      </w:r>
      <w:r w:rsidRPr="00CB21B0">
        <w:rPr>
          <w:i w:val="0"/>
          <w:noProof/>
          <w:sz w:val="18"/>
        </w:rPr>
        <w:fldChar w:fldCharType="separate"/>
      </w:r>
      <w:r w:rsidR="00354129">
        <w:rPr>
          <w:i w:val="0"/>
          <w:noProof/>
          <w:sz w:val="18"/>
        </w:rPr>
        <w:t>2</w:t>
      </w:r>
      <w:r w:rsidRPr="00CB21B0">
        <w:rPr>
          <w:i w:val="0"/>
          <w:noProof/>
          <w:sz w:val="18"/>
        </w:rPr>
        <w:fldChar w:fldCharType="end"/>
      </w:r>
    </w:p>
    <w:p w:rsidR="00C95378" w:rsidRPr="00CB21B0" w:rsidRDefault="00C95378">
      <w:pPr>
        <w:pStyle w:val="TOC9"/>
        <w:rPr>
          <w:rFonts w:asciiTheme="minorHAnsi" w:eastAsiaTheme="minorEastAsia" w:hAnsiTheme="minorHAnsi" w:cstheme="minorBidi"/>
          <w:i w:val="0"/>
          <w:noProof/>
          <w:kern w:val="0"/>
          <w:sz w:val="22"/>
          <w:szCs w:val="22"/>
        </w:rPr>
      </w:pPr>
      <w:r w:rsidRPr="00CB21B0">
        <w:rPr>
          <w:noProof/>
        </w:rPr>
        <w:t>Agricultural and Veterinary Chemicals (Administration) Regulations</w:t>
      </w:r>
      <w:r w:rsidR="00CB21B0" w:rsidRPr="00CB21B0">
        <w:rPr>
          <w:noProof/>
        </w:rPr>
        <w:t> </w:t>
      </w:r>
      <w:r w:rsidRPr="00CB21B0">
        <w:rPr>
          <w:noProof/>
        </w:rPr>
        <w:t>1995</w:t>
      </w:r>
      <w:r w:rsidRPr="00CB21B0">
        <w:rPr>
          <w:i w:val="0"/>
          <w:noProof/>
          <w:sz w:val="18"/>
        </w:rPr>
        <w:tab/>
      </w:r>
      <w:r w:rsidRPr="00CB21B0">
        <w:rPr>
          <w:i w:val="0"/>
          <w:noProof/>
          <w:sz w:val="18"/>
        </w:rPr>
        <w:fldChar w:fldCharType="begin"/>
      </w:r>
      <w:r w:rsidRPr="00CB21B0">
        <w:rPr>
          <w:i w:val="0"/>
          <w:noProof/>
          <w:sz w:val="18"/>
        </w:rPr>
        <w:instrText xml:space="preserve"> PAGEREF _Toc361055011 \h </w:instrText>
      </w:r>
      <w:r w:rsidRPr="00CB21B0">
        <w:rPr>
          <w:i w:val="0"/>
          <w:noProof/>
          <w:sz w:val="18"/>
        </w:rPr>
      </w:r>
      <w:r w:rsidRPr="00CB21B0">
        <w:rPr>
          <w:i w:val="0"/>
          <w:noProof/>
          <w:sz w:val="18"/>
        </w:rPr>
        <w:fldChar w:fldCharType="separate"/>
      </w:r>
      <w:r w:rsidR="00354129">
        <w:rPr>
          <w:i w:val="0"/>
          <w:noProof/>
          <w:sz w:val="18"/>
        </w:rPr>
        <w:t>3</w:t>
      </w:r>
      <w:r w:rsidRPr="00CB21B0">
        <w:rPr>
          <w:i w:val="0"/>
          <w:noProof/>
          <w:sz w:val="18"/>
        </w:rPr>
        <w:fldChar w:fldCharType="end"/>
      </w:r>
    </w:p>
    <w:p w:rsidR="00C95378" w:rsidRPr="00CB21B0" w:rsidRDefault="00C95378">
      <w:pPr>
        <w:pStyle w:val="TOC9"/>
        <w:rPr>
          <w:rFonts w:asciiTheme="minorHAnsi" w:eastAsiaTheme="minorEastAsia" w:hAnsiTheme="minorHAnsi" w:cstheme="minorBidi"/>
          <w:i w:val="0"/>
          <w:noProof/>
          <w:kern w:val="0"/>
          <w:sz w:val="22"/>
          <w:szCs w:val="22"/>
        </w:rPr>
      </w:pPr>
      <w:r w:rsidRPr="00CB21B0">
        <w:rPr>
          <w:noProof/>
        </w:rPr>
        <w:t>Agricultural and Veterinary Chemicals Code Regulations</w:t>
      </w:r>
      <w:r w:rsidR="00CB21B0" w:rsidRPr="00CB21B0">
        <w:rPr>
          <w:noProof/>
        </w:rPr>
        <w:t> </w:t>
      </w:r>
      <w:r w:rsidRPr="00CB21B0">
        <w:rPr>
          <w:noProof/>
        </w:rPr>
        <w:t>1995</w:t>
      </w:r>
      <w:r w:rsidRPr="00CB21B0">
        <w:rPr>
          <w:i w:val="0"/>
          <w:noProof/>
          <w:sz w:val="18"/>
        </w:rPr>
        <w:tab/>
      </w:r>
      <w:r w:rsidRPr="00CB21B0">
        <w:rPr>
          <w:i w:val="0"/>
          <w:noProof/>
          <w:sz w:val="18"/>
        </w:rPr>
        <w:fldChar w:fldCharType="begin"/>
      </w:r>
      <w:r w:rsidRPr="00CB21B0">
        <w:rPr>
          <w:i w:val="0"/>
          <w:noProof/>
          <w:sz w:val="18"/>
        </w:rPr>
        <w:instrText xml:space="preserve"> PAGEREF _Toc361055021 \h </w:instrText>
      </w:r>
      <w:r w:rsidRPr="00CB21B0">
        <w:rPr>
          <w:i w:val="0"/>
          <w:noProof/>
          <w:sz w:val="18"/>
        </w:rPr>
      </w:r>
      <w:r w:rsidRPr="00CB21B0">
        <w:rPr>
          <w:i w:val="0"/>
          <w:noProof/>
          <w:sz w:val="18"/>
        </w:rPr>
        <w:fldChar w:fldCharType="separate"/>
      </w:r>
      <w:r w:rsidR="00354129">
        <w:rPr>
          <w:i w:val="0"/>
          <w:noProof/>
          <w:sz w:val="18"/>
        </w:rPr>
        <w:t>8</w:t>
      </w:r>
      <w:r w:rsidRPr="00CB21B0">
        <w:rPr>
          <w:i w:val="0"/>
          <w:noProof/>
          <w:sz w:val="18"/>
        </w:rPr>
        <w:fldChar w:fldCharType="end"/>
      </w:r>
    </w:p>
    <w:p w:rsidR="007920DF" w:rsidRPr="00CB21B0" w:rsidRDefault="00C95378" w:rsidP="007920DF">
      <w:r w:rsidRPr="00CB21B0">
        <w:fldChar w:fldCharType="end"/>
      </w:r>
    </w:p>
    <w:p w:rsidR="007920DF" w:rsidRPr="00CB21B0" w:rsidRDefault="007920DF" w:rsidP="007920DF">
      <w:pPr>
        <w:sectPr w:rsidR="007920DF" w:rsidRPr="00CB21B0" w:rsidSect="00472199">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7920DF" w:rsidRPr="00CB21B0" w:rsidRDefault="007920DF" w:rsidP="007920DF">
      <w:pPr>
        <w:pStyle w:val="ActHead5"/>
      </w:pPr>
      <w:bookmarkStart w:id="3" w:name="_Toc361055004"/>
      <w:r w:rsidRPr="00CB21B0">
        <w:rPr>
          <w:rStyle w:val="CharSectno"/>
        </w:rPr>
        <w:lastRenderedPageBreak/>
        <w:t>1</w:t>
      </w:r>
      <w:r w:rsidRPr="00CB21B0">
        <w:t xml:space="preserve">  Name of regulation</w:t>
      </w:r>
      <w:bookmarkEnd w:id="3"/>
    </w:p>
    <w:p w:rsidR="007920DF" w:rsidRPr="00CB21B0" w:rsidRDefault="007920DF" w:rsidP="007920DF">
      <w:pPr>
        <w:pStyle w:val="subsection"/>
      </w:pPr>
      <w:r w:rsidRPr="00CB21B0">
        <w:tab/>
      </w:r>
      <w:r w:rsidRPr="00CB21B0">
        <w:tab/>
        <w:t xml:space="preserve">This regulation is the </w:t>
      </w:r>
      <w:r w:rsidRPr="00CB21B0">
        <w:rPr>
          <w:i/>
        </w:rPr>
        <w:t xml:space="preserve">Agricultural and Veterinary Chemicals Legislation Amendment </w:t>
      </w:r>
      <w:r w:rsidR="00CF0A7C" w:rsidRPr="00CB21B0">
        <w:rPr>
          <w:i/>
        </w:rPr>
        <w:t>(2013 Measures No.</w:t>
      </w:r>
      <w:r w:rsidR="00CB21B0" w:rsidRPr="00CB21B0">
        <w:rPr>
          <w:i/>
        </w:rPr>
        <w:t> </w:t>
      </w:r>
      <w:r w:rsidR="0049754E" w:rsidRPr="00CB21B0">
        <w:rPr>
          <w:i/>
        </w:rPr>
        <w:t>2</w:t>
      </w:r>
      <w:r w:rsidR="00CF0A7C" w:rsidRPr="00CB21B0">
        <w:rPr>
          <w:i/>
        </w:rPr>
        <w:t xml:space="preserve">) </w:t>
      </w:r>
      <w:r w:rsidRPr="00CB21B0">
        <w:rPr>
          <w:i/>
        </w:rPr>
        <w:t>Regulation</w:t>
      </w:r>
      <w:r w:rsidR="00CB21B0" w:rsidRPr="00CB21B0">
        <w:rPr>
          <w:i/>
        </w:rPr>
        <w:t> </w:t>
      </w:r>
      <w:r w:rsidRPr="00CB21B0">
        <w:rPr>
          <w:i/>
        </w:rPr>
        <w:t>2013</w:t>
      </w:r>
      <w:r w:rsidRPr="00CB21B0">
        <w:t>.</w:t>
      </w:r>
    </w:p>
    <w:p w:rsidR="007920DF" w:rsidRPr="00CB21B0" w:rsidRDefault="007920DF" w:rsidP="007920DF">
      <w:pPr>
        <w:pStyle w:val="ActHead5"/>
      </w:pPr>
      <w:bookmarkStart w:id="4" w:name="_Toc361055005"/>
      <w:r w:rsidRPr="00CB21B0">
        <w:rPr>
          <w:rStyle w:val="CharSectno"/>
        </w:rPr>
        <w:t>2</w:t>
      </w:r>
      <w:r w:rsidRPr="00CB21B0">
        <w:t xml:space="preserve">  Commencement</w:t>
      </w:r>
      <w:bookmarkEnd w:id="4"/>
    </w:p>
    <w:p w:rsidR="00505580" w:rsidRPr="00CB21B0" w:rsidRDefault="00505580" w:rsidP="00505580">
      <w:pPr>
        <w:pStyle w:val="subsection"/>
      </w:pPr>
      <w:bookmarkStart w:id="5" w:name="_GoBack"/>
      <w:r w:rsidRPr="00CB21B0">
        <w:tab/>
      </w:r>
      <w:r w:rsidR="007920DF" w:rsidRPr="00CB21B0">
        <w:tab/>
      </w:r>
      <w:r w:rsidRPr="00CB21B0">
        <w:t>This regulation commences on 1</w:t>
      </w:r>
      <w:r w:rsidR="00CB21B0" w:rsidRPr="00CB21B0">
        <w:t> </w:t>
      </w:r>
      <w:r w:rsidRPr="00CB21B0">
        <w:t>July 2014.</w:t>
      </w:r>
      <w:bookmarkEnd w:id="5"/>
    </w:p>
    <w:p w:rsidR="007920DF" w:rsidRPr="00CB21B0" w:rsidRDefault="007920DF" w:rsidP="00505580">
      <w:pPr>
        <w:pStyle w:val="ActHead5"/>
      </w:pPr>
      <w:bookmarkStart w:id="6" w:name="_Toc361055006"/>
      <w:r w:rsidRPr="00CB21B0">
        <w:rPr>
          <w:rStyle w:val="CharSectno"/>
        </w:rPr>
        <w:t>3</w:t>
      </w:r>
      <w:r w:rsidRPr="00CB21B0">
        <w:t xml:space="preserve">  Authority</w:t>
      </w:r>
      <w:bookmarkEnd w:id="6"/>
    </w:p>
    <w:p w:rsidR="007920DF" w:rsidRPr="00CB21B0" w:rsidRDefault="007920DF" w:rsidP="007920DF">
      <w:pPr>
        <w:pStyle w:val="subsection"/>
      </w:pPr>
      <w:r w:rsidRPr="00CB21B0">
        <w:tab/>
      </w:r>
      <w:r w:rsidRPr="00CB21B0">
        <w:tab/>
        <w:t>This regulation is made under the following Acts:</w:t>
      </w:r>
    </w:p>
    <w:p w:rsidR="004D3A2C" w:rsidRPr="00CB21B0" w:rsidRDefault="007920DF" w:rsidP="007920DF">
      <w:pPr>
        <w:pStyle w:val="paragraph"/>
        <w:rPr>
          <w:i/>
        </w:rPr>
      </w:pPr>
      <w:r w:rsidRPr="00CB21B0">
        <w:tab/>
        <w:t>(a)</w:t>
      </w:r>
      <w:r w:rsidR="004D3A2C" w:rsidRPr="00CB21B0">
        <w:tab/>
        <w:t xml:space="preserve">the </w:t>
      </w:r>
      <w:r w:rsidR="004D3A2C" w:rsidRPr="00CB21B0">
        <w:rPr>
          <w:i/>
        </w:rPr>
        <w:t>Agricultural and Veterinary Chemical Products (Collection of Levy) Act 1994</w:t>
      </w:r>
      <w:r w:rsidR="004D3A2C" w:rsidRPr="00CB21B0">
        <w:t>;</w:t>
      </w:r>
    </w:p>
    <w:p w:rsidR="007920DF" w:rsidRPr="00CB21B0" w:rsidRDefault="004D3A2C" w:rsidP="007920DF">
      <w:pPr>
        <w:pStyle w:val="paragraph"/>
      </w:pPr>
      <w:r w:rsidRPr="00CB21B0">
        <w:rPr>
          <w:i/>
        </w:rPr>
        <w:tab/>
      </w:r>
      <w:r w:rsidRPr="00CB21B0">
        <w:t>(b)</w:t>
      </w:r>
      <w:r w:rsidRPr="00CB21B0">
        <w:rPr>
          <w:i/>
        </w:rPr>
        <w:tab/>
      </w:r>
      <w:r w:rsidR="007920DF" w:rsidRPr="00CB21B0">
        <w:t xml:space="preserve">the </w:t>
      </w:r>
      <w:r w:rsidR="007920DF" w:rsidRPr="00CB21B0">
        <w:rPr>
          <w:i/>
        </w:rPr>
        <w:t>Agricultural and Veterinary Chemicals (Administration) Act 1992</w:t>
      </w:r>
      <w:r w:rsidR="007920DF" w:rsidRPr="00CB21B0">
        <w:t>;</w:t>
      </w:r>
    </w:p>
    <w:p w:rsidR="00094BB8" w:rsidRPr="00CB21B0" w:rsidRDefault="00505580" w:rsidP="007920DF">
      <w:pPr>
        <w:pStyle w:val="paragraph"/>
        <w:rPr>
          <w:i/>
        </w:rPr>
      </w:pPr>
      <w:r w:rsidRPr="00CB21B0">
        <w:rPr>
          <w:i/>
        </w:rPr>
        <w:tab/>
      </w:r>
      <w:r w:rsidRPr="00CB21B0">
        <w:t>(c)</w:t>
      </w:r>
      <w:r w:rsidR="007920DF" w:rsidRPr="00CB21B0">
        <w:tab/>
        <w:t xml:space="preserve">the </w:t>
      </w:r>
      <w:r w:rsidR="007920DF" w:rsidRPr="00CB21B0">
        <w:rPr>
          <w:i/>
        </w:rPr>
        <w:t>Agricultural and Veterinary Chemicals Code Act 1994</w:t>
      </w:r>
      <w:r w:rsidR="007920DF" w:rsidRPr="00CB21B0">
        <w:t>;</w:t>
      </w:r>
    </w:p>
    <w:p w:rsidR="007920DF" w:rsidRPr="00CB21B0" w:rsidRDefault="00094BB8" w:rsidP="007920DF">
      <w:pPr>
        <w:pStyle w:val="paragraph"/>
      </w:pPr>
      <w:r w:rsidRPr="00CB21B0">
        <w:rPr>
          <w:i/>
        </w:rPr>
        <w:tab/>
      </w:r>
      <w:r w:rsidRPr="00CB21B0">
        <w:t>(d)</w:t>
      </w:r>
      <w:r w:rsidRPr="00CB21B0">
        <w:tab/>
        <w:t xml:space="preserve">the </w:t>
      </w:r>
      <w:r w:rsidRPr="00CB21B0">
        <w:rPr>
          <w:i/>
        </w:rPr>
        <w:t>Agricultural and Veterinary Chemical</w:t>
      </w:r>
      <w:r w:rsidR="001C6447" w:rsidRPr="00CB21B0">
        <w:rPr>
          <w:i/>
        </w:rPr>
        <w:t>s</w:t>
      </w:r>
      <w:r w:rsidRPr="00CB21B0">
        <w:rPr>
          <w:i/>
        </w:rPr>
        <w:t xml:space="preserve"> Legislation Amendment Act 2013</w:t>
      </w:r>
      <w:r w:rsidR="007920DF" w:rsidRPr="00CB21B0">
        <w:t>.</w:t>
      </w:r>
    </w:p>
    <w:p w:rsidR="007920DF" w:rsidRPr="00CB21B0" w:rsidRDefault="007920DF" w:rsidP="007920DF">
      <w:pPr>
        <w:pStyle w:val="ActHead5"/>
      </w:pPr>
      <w:bookmarkStart w:id="7" w:name="_Toc361055007"/>
      <w:r w:rsidRPr="00CB21B0">
        <w:rPr>
          <w:rStyle w:val="CharSectno"/>
        </w:rPr>
        <w:t>4</w:t>
      </w:r>
      <w:r w:rsidRPr="00CB21B0">
        <w:t xml:space="preserve">  Schedule(s)</w:t>
      </w:r>
      <w:bookmarkEnd w:id="7"/>
    </w:p>
    <w:p w:rsidR="007920DF" w:rsidRPr="00CB21B0" w:rsidRDefault="007920DF" w:rsidP="007920DF">
      <w:pPr>
        <w:pStyle w:val="subsection"/>
      </w:pPr>
      <w:r w:rsidRPr="00CB21B0">
        <w:tab/>
      </w:r>
      <w:r w:rsidRPr="00CB21B0">
        <w:tab/>
        <w:t>Each instrument that is specified in a Schedule to this instrument is amended or repealed as set out in the applicable items in the Schedule concerned, and any other item in a Schedule to this instrument has effect according to its terms.</w:t>
      </w:r>
    </w:p>
    <w:p w:rsidR="007920DF" w:rsidRPr="00CB21B0" w:rsidRDefault="007920DF" w:rsidP="001D7B14">
      <w:pPr>
        <w:pStyle w:val="ActHead6"/>
        <w:pageBreakBefore/>
      </w:pPr>
      <w:bookmarkStart w:id="8" w:name="_Toc361055008"/>
      <w:bookmarkStart w:id="9" w:name="opcAmSched"/>
      <w:bookmarkStart w:id="10" w:name="opcCurrentFind"/>
      <w:r w:rsidRPr="00CB21B0">
        <w:rPr>
          <w:rStyle w:val="CharAmSchNo"/>
        </w:rPr>
        <w:lastRenderedPageBreak/>
        <w:t>Schedule</w:t>
      </w:r>
      <w:r w:rsidR="00CB21B0" w:rsidRPr="00CB21B0">
        <w:rPr>
          <w:rStyle w:val="CharAmSchNo"/>
        </w:rPr>
        <w:t> </w:t>
      </w:r>
      <w:r w:rsidRPr="00CB21B0">
        <w:rPr>
          <w:rStyle w:val="CharAmSchNo"/>
        </w:rPr>
        <w:t>1</w:t>
      </w:r>
      <w:r w:rsidRPr="00CB21B0">
        <w:rPr>
          <w:rFonts w:cs="Arial"/>
        </w:rPr>
        <w:t>—</w:t>
      </w:r>
      <w:r w:rsidRPr="00CB21B0">
        <w:rPr>
          <w:rStyle w:val="CharAmSchText"/>
        </w:rPr>
        <w:t>Amendments</w:t>
      </w:r>
      <w:bookmarkEnd w:id="8"/>
    </w:p>
    <w:bookmarkEnd w:id="9"/>
    <w:bookmarkEnd w:id="10"/>
    <w:p w:rsidR="007546BB" w:rsidRPr="00CB21B0" w:rsidRDefault="007546BB" w:rsidP="007546BB">
      <w:pPr>
        <w:pStyle w:val="Header"/>
      </w:pPr>
      <w:r w:rsidRPr="00CB21B0">
        <w:rPr>
          <w:rStyle w:val="CharAmPartNo"/>
        </w:rPr>
        <w:t xml:space="preserve"> </w:t>
      </w:r>
      <w:r w:rsidRPr="00CB21B0">
        <w:rPr>
          <w:rStyle w:val="CharAmPartText"/>
        </w:rPr>
        <w:t xml:space="preserve"> </w:t>
      </w:r>
    </w:p>
    <w:p w:rsidR="005B638C" w:rsidRPr="00CB21B0" w:rsidRDefault="005B638C" w:rsidP="005B638C">
      <w:pPr>
        <w:pStyle w:val="ActHead9"/>
      </w:pPr>
      <w:bookmarkStart w:id="11" w:name="_Toc361055009"/>
      <w:r w:rsidRPr="00CB21B0">
        <w:t>Agricultural and Veterinary Chemical Products (Collection of Levy) Regulations</w:t>
      </w:r>
      <w:r w:rsidR="00CB21B0" w:rsidRPr="00CB21B0">
        <w:t> </w:t>
      </w:r>
      <w:r w:rsidRPr="00CB21B0">
        <w:t>1995</w:t>
      </w:r>
      <w:bookmarkEnd w:id="11"/>
    </w:p>
    <w:p w:rsidR="0011102E" w:rsidRPr="00CB21B0" w:rsidRDefault="00220E6F" w:rsidP="005B638C">
      <w:pPr>
        <w:pStyle w:val="ItemHead"/>
      </w:pPr>
      <w:r w:rsidRPr="00CB21B0">
        <w:t>1</w:t>
      </w:r>
      <w:r w:rsidR="0011102E" w:rsidRPr="00CB21B0">
        <w:t xml:space="preserve">  Subregulation</w:t>
      </w:r>
      <w:r w:rsidR="00CB21B0" w:rsidRPr="00CB21B0">
        <w:t> </w:t>
      </w:r>
      <w:r w:rsidR="0011102E" w:rsidRPr="00CB21B0">
        <w:t>6A(3) (heading)</w:t>
      </w:r>
    </w:p>
    <w:p w:rsidR="0011102E" w:rsidRPr="00CB21B0" w:rsidRDefault="0011102E" w:rsidP="0011102E">
      <w:pPr>
        <w:pStyle w:val="Item"/>
      </w:pPr>
      <w:r w:rsidRPr="00CB21B0">
        <w:t>Repeal the heading, substitute:</w:t>
      </w:r>
    </w:p>
    <w:p w:rsidR="0011102E" w:rsidRPr="00CB21B0" w:rsidRDefault="0011102E" w:rsidP="0011102E">
      <w:pPr>
        <w:pStyle w:val="SubsectionHead"/>
      </w:pPr>
      <w:r w:rsidRPr="00CB21B0">
        <w:t>2013</w:t>
      </w:r>
      <w:r w:rsidR="00CB21B0">
        <w:noBreakHyphen/>
      </w:r>
      <w:r w:rsidRPr="00CB21B0">
        <w:t>2014 financial year</w:t>
      </w:r>
    </w:p>
    <w:p w:rsidR="00920B68" w:rsidRPr="00CB21B0" w:rsidRDefault="00220E6F" w:rsidP="00920B68">
      <w:pPr>
        <w:pStyle w:val="ItemHead"/>
      </w:pPr>
      <w:r w:rsidRPr="00CB21B0">
        <w:t>2</w:t>
      </w:r>
      <w:r w:rsidR="00920B68" w:rsidRPr="00CB21B0">
        <w:t xml:space="preserve">  Subregulation</w:t>
      </w:r>
      <w:r w:rsidR="00CB21B0" w:rsidRPr="00CB21B0">
        <w:t> </w:t>
      </w:r>
      <w:r w:rsidR="00920B68" w:rsidRPr="00CB21B0">
        <w:t>6A</w:t>
      </w:r>
      <w:r w:rsidR="00B4600B" w:rsidRPr="00CB21B0">
        <w:t>(</w:t>
      </w:r>
      <w:r w:rsidR="00920B68" w:rsidRPr="00CB21B0">
        <w:t>3</w:t>
      </w:r>
      <w:r w:rsidR="00B4600B" w:rsidRPr="00CB21B0">
        <w:t>)</w:t>
      </w:r>
    </w:p>
    <w:p w:rsidR="00920B68" w:rsidRPr="00CB21B0" w:rsidRDefault="00920B68" w:rsidP="00920B68">
      <w:pPr>
        <w:pStyle w:val="Item"/>
      </w:pPr>
      <w:r w:rsidRPr="00CB21B0">
        <w:t>Omit “and each succeeding financial year”.</w:t>
      </w:r>
    </w:p>
    <w:p w:rsidR="005B638C" w:rsidRPr="00CB21B0" w:rsidRDefault="00220E6F" w:rsidP="005B638C">
      <w:pPr>
        <w:pStyle w:val="ItemHead"/>
      </w:pPr>
      <w:r w:rsidRPr="00CB21B0">
        <w:t>3</w:t>
      </w:r>
      <w:r w:rsidR="005B638C" w:rsidRPr="00CB21B0">
        <w:t xml:space="preserve">  At the end of regulation</w:t>
      </w:r>
      <w:r w:rsidR="00CB21B0" w:rsidRPr="00CB21B0">
        <w:t> </w:t>
      </w:r>
      <w:r w:rsidR="005B638C" w:rsidRPr="00CB21B0">
        <w:t>6A</w:t>
      </w:r>
    </w:p>
    <w:p w:rsidR="005B638C" w:rsidRPr="00CB21B0" w:rsidRDefault="00CF0A7C" w:rsidP="005B638C">
      <w:pPr>
        <w:pStyle w:val="Item"/>
      </w:pPr>
      <w:r w:rsidRPr="00CB21B0">
        <w:t>Add</w:t>
      </w:r>
      <w:r w:rsidR="005B638C" w:rsidRPr="00CB21B0">
        <w:t>:</w:t>
      </w:r>
    </w:p>
    <w:p w:rsidR="005B638C" w:rsidRPr="00CB21B0" w:rsidRDefault="005B638C" w:rsidP="005B638C">
      <w:pPr>
        <w:pStyle w:val="SubsectionHead"/>
      </w:pPr>
      <w:r w:rsidRPr="00CB21B0">
        <w:t>2014</w:t>
      </w:r>
      <w:r w:rsidR="00CB21B0">
        <w:noBreakHyphen/>
      </w:r>
      <w:r w:rsidRPr="00CB21B0">
        <w:t>2015 financial year and subsequent years</w:t>
      </w:r>
    </w:p>
    <w:p w:rsidR="005B638C" w:rsidRPr="00CB21B0" w:rsidRDefault="005B638C" w:rsidP="005B638C">
      <w:pPr>
        <w:pStyle w:val="subsection"/>
      </w:pPr>
      <w:r w:rsidRPr="00CB21B0">
        <w:tab/>
        <w:t>(4)</w:t>
      </w:r>
      <w:r w:rsidRPr="00CB21B0">
        <w:tab/>
        <w:t>For section</w:t>
      </w:r>
      <w:r w:rsidR="00CB21B0" w:rsidRPr="00CB21B0">
        <w:t> </w:t>
      </w:r>
      <w:r w:rsidRPr="00CB21B0">
        <w:t>12C of the Act, the following rates are prescribed in respect of the 2014</w:t>
      </w:r>
      <w:r w:rsidR="00CB21B0">
        <w:noBreakHyphen/>
      </w:r>
      <w:r w:rsidRPr="00CB21B0">
        <w:t>2015 financial year and each succeeding financial year:</w:t>
      </w:r>
    </w:p>
    <w:p w:rsidR="005B638C" w:rsidRPr="00CB21B0" w:rsidRDefault="005B638C" w:rsidP="005B638C">
      <w:pPr>
        <w:pStyle w:val="paragraph"/>
      </w:pPr>
      <w:r w:rsidRPr="00CB21B0">
        <w:tab/>
        <w:t>(a)</w:t>
      </w:r>
      <w:r w:rsidRPr="00CB21B0">
        <w:tab/>
        <w:t>for the part of leviable disposals not exceeding $1</w:t>
      </w:r>
      <w:r w:rsidR="00CB21B0" w:rsidRPr="00CB21B0">
        <w:t> </w:t>
      </w:r>
      <w:r w:rsidRPr="00CB21B0">
        <w:t>000 000—0.63%;</w:t>
      </w:r>
    </w:p>
    <w:p w:rsidR="005B638C" w:rsidRPr="00CB21B0" w:rsidRDefault="005B638C" w:rsidP="005B638C">
      <w:pPr>
        <w:pStyle w:val="paragraph"/>
      </w:pPr>
      <w:r w:rsidRPr="00CB21B0">
        <w:tab/>
        <w:t>(b)</w:t>
      </w:r>
      <w:r w:rsidRPr="00CB21B0">
        <w:tab/>
        <w:t>for the part of leviable disposals exceeding $1</w:t>
      </w:r>
      <w:r w:rsidR="00CB21B0" w:rsidRPr="00CB21B0">
        <w:t> </w:t>
      </w:r>
      <w:r w:rsidRPr="00CB21B0">
        <w:t>000 000 but not exceeding $5</w:t>
      </w:r>
      <w:r w:rsidR="00CB21B0" w:rsidRPr="00CB21B0">
        <w:t> </w:t>
      </w:r>
      <w:r w:rsidRPr="00CB21B0">
        <w:t>000 000—0.35%;</w:t>
      </w:r>
    </w:p>
    <w:p w:rsidR="005B638C" w:rsidRPr="00CB21B0" w:rsidRDefault="005B638C" w:rsidP="005B638C">
      <w:pPr>
        <w:pStyle w:val="paragraph"/>
      </w:pPr>
      <w:r w:rsidRPr="00CB21B0">
        <w:tab/>
        <w:t>(c)</w:t>
      </w:r>
      <w:r w:rsidRPr="00CB21B0">
        <w:tab/>
        <w:t>for the part of leviable disposals exceeding $5</w:t>
      </w:r>
      <w:r w:rsidR="00CB21B0" w:rsidRPr="00CB21B0">
        <w:t> </w:t>
      </w:r>
      <w:r w:rsidRPr="00CB21B0">
        <w:t>000 000—0.25%.</w:t>
      </w:r>
    </w:p>
    <w:p w:rsidR="005B638C" w:rsidRPr="00CB21B0" w:rsidRDefault="00220E6F" w:rsidP="005B638C">
      <w:pPr>
        <w:pStyle w:val="ItemHead"/>
        <w:rPr>
          <w:rFonts w:cs="Arial"/>
        </w:rPr>
      </w:pPr>
      <w:r w:rsidRPr="00CB21B0">
        <w:rPr>
          <w:rFonts w:cs="Arial"/>
          <w:noProof/>
        </w:rPr>
        <w:t>4</w:t>
      </w:r>
      <w:r w:rsidR="005B638C" w:rsidRPr="00CB21B0">
        <w:rPr>
          <w:rFonts w:cs="Arial"/>
          <w:noProof/>
        </w:rPr>
        <w:t xml:space="preserve"> </w:t>
      </w:r>
      <w:r w:rsidR="005B638C" w:rsidRPr="00CB21B0">
        <w:rPr>
          <w:rFonts w:cs="Arial"/>
        </w:rPr>
        <w:t xml:space="preserve"> Regulation</w:t>
      </w:r>
      <w:r w:rsidR="00CB21B0" w:rsidRPr="00CB21B0">
        <w:rPr>
          <w:rFonts w:cs="Arial"/>
        </w:rPr>
        <w:t> </w:t>
      </w:r>
      <w:r w:rsidR="005B638C" w:rsidRPr="00CB21B0">
        <w:rPr>
          <w:rFonts w:cs="Arial"/>
        </w:rPr>
        <w:t>7</w:t>
      </w:r>
    </w:p>
    <w:p w:rsidR="005B638C" w:rsidRPr="00CB21B0" w:rsidRDefault="005B638C" w:rsidP="005B638C">
      <w:pPr>
        <w:pStyle w:val="Item"/>
      </w:pPr>
      <w:r w:rsidRPr="00CB21B0">
        <w:t>Repeal the regulation</w:t>
      </w:r>
      <w:r w:rsidR="00A901B6" w:rsidRPr="00CB21B0">
        <w:t>, substitute:</w:t>
      </w:r>
    </w:p>
    <w:p w:rsidR="005B638C" w:rsidRPr="00CB21B0" w:rsidRDefault="005B638C" w:rsidP="005B638C">
      <w:pPr>
        <w:pStyle w:val="ActHead5"/>
      </w:pPr>
      <w:bookmarkStart w:id="12" w:name="_Toc361055010"/>
      <w:r w:rsidRPr="00CB21B0">
        <w:rPr>
          <w:rStyle w:val="CharSectno"/>
        </w:rPr>
        <w:t>8</w:t>
      </w:r>
      <w:r w:rsidRPr="00CB21B0">
        <w:t xml:space="preserve">  Disclosure of information to collecting agency</w:t>
      </w:r>
      <w:bookmarkEnd w:id="12"/>
    </w:p>
    <w:p w:rsidR="005B638C" w:rsidRPr="00CB21B0" w:rsidRDefault="005B638C" w:rsidP="005B638C">
      <w:pPr>
        <w:pStyle w:val="subsection"/>
      </w:pPr>
      <w:r w:rsidRPr="00CB21B0">
        <w:tab/>
        <w:t>(1)</w:t>
      </w:r>
      <w:r w:rsidRPr="00CB21B0">
        <w:tab/>
        <w:t xml:space="preserve">This regulation applies if the Minister has </w:t>
      </w:r>
      <w:r w:rsidR="001C6447" w:rsidRPr="00CB21B0">
        <w:t>s</w:t>
      </w:r>
      <w:r w:rsidRPr="00CB21B0">
        <w:t>pecified an agency under section</w:t>
      </w:r>
      <w:r w:rsidR="00CB21B0" w:rsidRPr="00CB21B0">
        <w:t> </w:t>
      </w:r>
      <w:r w:rsidRPr="00CB21B0">
        <w:t>3A of the Act to be the collecting agency.</w:t>
      </w:r>
    </w:p>
    <w:p w:rsidR="00A901B6" w:rsidRPr="00CB21B0" w:rsidRDefault="005B638C" w:rsidP="00B17D7D">
      <w:pPr>
        <w:pStyle w:val="subsection"/>
      </w:pPr>
      <w:r w:rsidRPr="00CB21B0">
        <w:lastRenderedPageBreak/>
        <w:tab/>
        <w:t>(2)</w:t>
      </w:r>
      <w:r w:rsidRPr="00CB21B0">
        <w:tab/>
        <w:t>The APVMA may give the collecting agency any information that the collecting agency reasonably requires in order to carry out its functions under the Act and these Regulations.</w:t>
      </w:r>
    </w:p>
    <w:p w:rsidR="00975214" w:rsidRPr="00CB21B0" w:rsidRDefault="00220E6F" w:rsidP="00975214">
      <w:pPr>
        <w:pStyle w:val="ItemHead"/>
      </w:pPr>
      <w:r w:rsidRPr="00CB21B0">
        <w:t>5</w:t>
      </w:r>
      <w:r w:rsidR="00975214" w:rsidRPr="00CB21B0">
        <w:t xml:space="preserve">  Schedule</w:t>
      </w:r>
      <w:r w:rsidR="00CB21B0" w:rsidRPr="00CB21B0">
        <w:t> </w:t>
      </w:r>
      <w:r w:rsidR="00975214" w:rsidRPr="00CB21B0">
        <w:t>2</w:t>
      </w:r>
    </w:p>
    <w:p w:rsidR="00975214" w:rsidRPr="00CB21B0" w:rsidRDefault="00975214" w:rsidP="00975214">
      <w:pPr>
        <w:pStyle w:val="Item"/>
      </w:pPr>
      <w:r w:rsidRPr="00CB21B0">
        <w:t>Repeal the Schedule.</w:t>
      </w:r>
    </w:p>
    <w:p w:rsidR="007546BB" w:rsidRPr="00CB21B0" w:rsidRDefault="007546BB" w:rsidP="007546BB">
      <w:pPr>
        <w:pStyle w:val="ActHead9"/>
      </w:pPr>
      <w:bookmarkStart w:id="13" w:name="_Toc361055011"/>
      <w:r w:rsidRPr="00CB21B0">
        <w:t>Agricultural and Veterinary Chemicals (Administration) Regulations</w:t>
      </w:r>
      <w:r w:rsidR="00CB21B0" w:rsidRPr="00CB21B0">
        <w:t> </w:t>
      </w:r>
      <w:r w:rsidRPr="00CB21B0">
        <w:t>1995</w:t>
      </w:r>
      <w:bookmarkEnd w:id="13"/>
    </w:p>
    <w:p w:rsidR="009829B2" w:rsidRPr="00CB21B0" w:rsidRDefault="00220E6F" w:rsidP="00425C1F">
      <w:pPr>
        <w:pStyle w:val="ItemHead"/>
        <w:rPr>
          <w:rFonts w:cs="Arial"/>
        </w:rPr>
      </w:pPr>
      <w:r w:rsidRPr="00CB21B0">
        <w:rPr>
          <w:rFonts w:cs="Arial"/>
        </w:rPr>
        <w:t>6</w:t>
      </w:r>
      <w:r w:rsidR="009829B2" w:rsidRPr="00CB21B0">
        <w:rPr>
          <w:rFonts w:cs="Arial"/>
        </w:rPr>
        <w:t xml:space="preserve">  </w:t>
      </w:r>
      <w:r w:rsidR="0011102E" w:rsidRPr="00CB21B0">
        <w:rPr>
          <w:rFonts w:cs="Arial"/>
        </w:rPr>
        <w:t>After</w:t>
      </w:r>
      <w:r w:rsidR="009829B2" w:rsidRPr="00CB21B0">
        <w:rPr>
          <w:rFonts w:cs="Arial"/>
        </w:rPr>
        <w:t xml:space="preserve"> Part</w:t>
      </w:r>
      <w:r w:rsidR="00CB21B0" w:rsidRPr="00CB21B0">
        <w:rPr>
          <w:rFonts w:cs="Arial"/>
        </w:rPr>
        <w:t> </w:t>
      </w:r>
      <w:r w:rsidR="009829B2" w:rsidRPr="00CB21B0">
        <w:rPr>
          <w:rFonts w:cs="Arial"/>
        </w:rPr>
        <w:t>1</w:t>
      </w:r>
    </w:p>
    <w:p w:rsidR="009829B2" w:rsidRPr="00CB21B0" w:rsidRDefault="009829B2" w:rsidP="009829B2">
      <w:pPr>
        <w:pStyle w:val="Item"/>
      </w:pPr>
      <w:r w:rsidRPr="00CB21B0">
        <w:t>Insert:</w:t>
      </w:r>
    </w:p>
    <w:p w:rsidR="009829B2" w:rsidRPr="00CB21B0" w:rsidRDefault="009829B2" w:rsidP="009829B2">
      <w:pPr>
        <w:pStyle w:val="ActHead2"/>
      </w:pPr>
      <w:bookmarkStart w:id="14" w:name="_Toc361055012"/>
      <w:r w:rsidRPr="00CB21B0">
        <w:rPr>
          <w:rStyle w:val="CharPartNo"/>
        </w:rPr>
        <w:t>Part</w:t>
      </w:r>
      <w:r w:rsidR="00CB21B0" w:rsidRPr="00CB21B0">
        <w:rPr>
          <w:rStyle w:val="CharPartNo"/>
        </w:rPr>
        <w:t> </w:t>
      </w:r>
      <w:r w:rsidRPr="00CB21B0">
        <w:rPr>
          <w:rStyle w:val="CharPartNo"/>
        </w:rPr>
        <w:t>1A</w:t>
      </w:r>
      <w:r w:rsidRPr="00CB21B0">
        <w:t>—</w:t>
      </w:r>
      <w:r w:rsidRPr="00CB21B0">
        <w:rPr>
          <w:rStyle w:val="CharPartText"/>
        </w:rPr>
        <w:t>Annual operational plan and annual report</w:t>
      </w:r>
      <w:bookmarkEnd w:id="14"/>
    </w:p>
    <w:p w:rsidR="009829B2" w:rsidRPr="00CB21B0" w:rsidRDefault="009829B2" w:rsidP="009829B2">
      <w:pPr>
        <w:pStyle w:val="Header"/>
      </w:pPr>
      <w:r w:rsidRPr="00CB21B0">
        <w:rPr>
          <w:rStyle w:val="CharDivNo"/>
        </w:rPr>
        <w:t xml:space="preserve"> </w:t>
      </w:r>
      <w:r w:rsidRPr="00CB21B0">
        <w:rPr>
          <w:rStyle w:val="CharDivText"/>
        </w:rPr>
        <w:t xml:space="preserve"> </w:t>
      </w:r>
    </w:p>
    <w:p w:rsidR="009829B2" w:rsidRPr="00CB21B0" w:rsidRDefault="009829B2" w:rsidP="009829B2">
      <w:pPr>
        <w:pStyle w:val="ActHead5"/>
      </w:pPr>
      <w:bookmarkStart w:id="15" w:name="_Toc361055013"/>
      <w:r w:rsidRPr="00CB21B0">
        <w:rPr>
          <w:rStyle w:val="CharSectno"/>
        </w:rPr>
        <w:t>1A.</w:t>
      </w:r>
      <w:r w:rsidR="00E3665B" w:rsidRPr="00CB21B0">
        <w:rPr>
          <w:rStyle w:val="CharSectno"/>
        </w:rPr>
        <w:t>1</w:t>
      </w:r>
      <w:r w:rsidRPr="00CB21B0">
        <w:t xml:space="preserve">  Information for inclusion in annual report</w:t>
      </w:r>
      <w:bookmarkEnd w:id="15"/>
    </w:p>
    <w:p w:rsidR="009829B2" w:rsidRPr="00CB21B0" w:rsidRDefault="009829B2" w:rsidP="009829B2">
      <w:pPr>
        <w:pStyle w:val="subsection"/>
      </w:pPr>
      <w:r w:rsidRPr="00CB21B0">
        <w:tab/>
      </w:r>
      <w:r w:rsidRPr="00CB21B0">
        <w:tab/>
        <w:t>The APVMA must include in its annual report a list of:</w:t>
      </w:r>
    </w:p>
    <w:p w:rsidR="009829B2" w:rsidRPr="00CB21B0" w:rsidRDefault="009829B2" w:rsidP="009829B2">
      <w:pPr>
        <w:pStyle w:val="paragraph"/>
      </w:pPr>
      <w:r w:rsidRPr="00CB21B0">
        <w:tab/>
        <w:t>(a)</w:t>
      </w:r>
      <w:r w:rsidRPr="00CB21B0">
        <w:tab/>
        <w:t>the standards made under section</w:t>
      </w:r>
      <w:r w:rsidR="00CB21B0" w:rsidRPr="00CB21B0">
        <w:t> </w:t>
      </w:r>
      <w:r w:rsidRPr="00CB21B0">
        <w:t xml:space="preserve">6E of </w:t>
      </w:r>
      <w:r w:rsidR="005A17E0" w:rsidRPr="00CB21B0">
        <w:t xml:space="preserve">the </w:t>
      </w:r>
      <w:r w:rsidR="00D44DAA" w:rsidRPr="00CB21B0">
        <w:t xml:space="preserve">Schedule to the </w:t>
      </w:r>
      <w:r w:rsidR="00CF2AD0" w:rsidRPr="00CB21B0">
        <w:rPr>
          <w:i/>
        </w:rPr>
        <w:t>Ag</w:t>
      </w:r>
      <w:r w:rsidR="00D44DAA" w:rsidRPr="00CB21B0">
        <w:rPr>
          <w:i/>
        </w:rPr>
        <w:t xml:space="preserve">ricultural and Veterinary Chemicals </w:t>
      </w:r>
      <w:r w:rsidR="00CF2AD0" w:rsidRPr="00CB21B0">
        <w:rPr>
          <w:i/>
        </w:rPr>
        <w:t xml:space="preserve">Code </w:t>
      </w:r>
      <w:r w:rsidR="00D44DAA" w:rsidRPr="00CB21B0">
        <w:rPr>
          <w:i/>
        </w:rPr>
        <w:t>Act 1994</w:t>
      </w:r>
      <w:r w:rsidR="00D44DAA" w:rsidRPr="00CB21B0">
        <w:t xml:space="preserve"> </w:t>
      </w:r>
      <w:r w:rsidR="00B3008D" w:rsidRPr="00CB21B0">
        <w:t xml:space="preserve">during the year to which </w:t>
      </w:r>
      <w:r w:rsidRPr="00CB21B0">
        <w:t>the annual report relates; and</w:t>
      </w:r>
    </w:p>
    <w:p w:rsidR="009829B2" w:rsidRPr="00CB21B0" w:rsidRDefault="009829B2" w:rsidP="009829B2">
      <w:pPr>
        <w:pStyle w:val="paragraph"/>
      </w:pPr>
      <w:r w:rsidRPr="00CB21B0">
        <w:tab/>
        <w:t>(b)</w:t>
      </w:r>
      <w:r w:rsidRPr="00CB21B0">
        <w:tab/>
        <w:t xml:space="preserve">the standards made under </w:t>
      </w:r>
      <w:r w:rsidR="005A17E0" w:rsidRPr="00CB21B0">
        <w:t>section</w:t>
      </w:r>
      <w:r w:rsidR="00CB21B0" w:rsidRPr="00CB21B0">
        <w:t> </w:t>
      </w:r>
      <w:r w:rsidR="001C6447" w:rsidRPr="00CB21B0">
        <w:t xml:space="preserve">6E </w:t>
      </w:r>
      <w:r w:rsidR="005A17E0" w:rsidRPr="00CB21B0">
        <w:t xml:space="preserve">that were </w:t>
      </w:r>
      <w:r w:rsidRPr="00CB21B0">
        <w:t xml:space="preserve">varied by the APVMA </w:t>
      </w:r>
      <w:r w:rsidR="00B3008D" w:rsidRPr="00CB21B0">
        <w:t xml:space="preserve">during the year to which the </w:t>
      </w:r>
      <w:r w:rsidRPr="00CB21B0">
        <w:t>annual report relates.</w:t>
      </w:r>
    </w:p>
    <w:p w:rsidR="00102078" w:rsidRPr="00CB21B0" w:rsidRDefault="00102078" w:rsidP="00102078">
      <w:pPr>
        <w:pStyle w:val="ActHead5"/>
      </w:pPr>
      <w:bookmarkStart w:id="16" w:name="_Toc361055014"/>
      <w:r w:rsidRPr="00CB21B0">
        <w:rPr>
          <w:rStyle w:val="CharSectno"/>
        </w:rPr>
        <w:t>1A.2</w:t>
      </w:r>
      <w:r w:rsidRPr="00CB21B0">
        <w:t xml:space="preserve">  Information for inclusion in annual operational plan</w:t>
      </w:r>
      <w:bookmarkEnd w:id="16"/>
    </w:p>
    <w:p w:rsidR="00102078" w:rsidRPr="00CB21B0" w:rsidRDefault="00102078" w:rsidP="00102078">
      <w:pPr>
        <w:pStyle w:val="subsection"/>
      </w:pPr>
      <w:r w:rsidRPr="00CB21B0">
        <w:tab/>
      </w:r>
      <w:r w:rsidRPr="00CB21B0">
        <w:tab/>
        <w:t>For paragraph</w:t>
      </w:r>
      <w:r w:rsidR="00CB21B0" w:rsidRPr="00CB21B0">
        <w:t> </w:t>
      </w:r>
      <w:r w:rsidRPr="00CB21B0">
        <w:t>55(2)(c) of the Act, the following information is prescribed:</w:t>
      </w:r>
    </w:p>
    <w:p w:rsidR="00102078" w:rsidRPr="00CB21B0" w:rsidRDefault="00102078" w:rsidP="00102078">
      <w:pPr>
        <w:pStyle w:val="paragraph"/>
      </w:pPr>
      <w:r w:rsidRPr="00CB21B0">
        <w:tab/>
        <w:t>(a)</w:t>
      </w:r>
      <w:r w:rsidRPr="00CB21B0">
        <w:tab/>
        <w:t>the number of reconsiderations to be commenced by the APVMA under section</w:t>
      </w:r>
      <w:r w:rsidR="00CB21B0" w:rsidRPr="00CB21B0">
        <w:t> </w:t>
      </w:r>
      <w:r w:rsidRPr="00CB21B0">
        <w:t xml:space="preserve">31 of the Schedule to the </w:t>
      </w:r>
      <w:r w:rsidRPr="00CB21B0">
        <w:rPr>
          <w:i/>
        </w:rPr>
        <w:t>Agricultural and Veterinary Chemicals Code Act 1994</w:t>
      </w:r>
      <w:r w:rsidRPr="00CB21B0">
        <w:t xml:space="preserve"> (the </w:t>
      </w:r>
      <w:r w:rsidRPr="00CB21B0">
        <w:rPr>
          <w:b/>
          <w:i/>
        </w:rPr>
        <w:t>Agvet Code Act</w:t>
      </w:r>
      <w:r w:rsidRPr="00CB21B0">
        <w:t>) during the period to which the annual operational plan relates;</w:t>
      </w:r>
    </w:p>
    <w:p w:rsidR="00102078" w:rsidRPr="00CB21B0" w:rsidRDefault="00102078" w:rsidP="00102078">
      <w:pPr>
        <w:pStyle w:val="paragraph"/>
      </w:pPr>
      <w:r w:rsidRPr="00CB21B0">
        <w:tab/>
        <w:t>(b)</w:t>
      </w:r>
      <w:r w:rsidRPr="00CB21B0">
        <w:tab/>
        <w:t>the number of reconsiderations to be co</w:t>
      </w:r>
      <w:r w:rsidR="001C6447" w:rsidRPr="00CB21B0">
        <w:t>ncluded</w:t>
      </w:r>
      <w:r w:rsidRPr="00CB21B0">
        <w:t xml:space="preserve"> by the APVMA under </w:t>
      </w:r>
      <w:r w:rsidR="001C6447" w:rsidRPr="00CB21B0">
        <w:t>Division</w:t>
      </w:r>
      <w:r w:rsidR="00CB21B0" w:rsidRPr="00CB21B0">
        <w:t> </w:t>
      </w:r>
      <w:r w:rsidR="001C6447" w:rsidRPr="00CB21B0">
        <w:t>4 of Part</w:t>
      </w:r>
      <w:r w:rsidR="00CB21B0" w:rsidRPr="00CB21B0">
        <w:t> </w:t>
      </w:r>
      <w:r w:rsidR="001C6447" w:rsidRPr="00CB21B0">
        <w:t xml:space="preserve">2 </w:t>
      </w:r>
      <w:r w:rsidRPr="00CB21B0">
        <w:t>of the Schedule to the Agvet Code Act during th</w:t>
      </w:r>
      <w:r w:rsidR="008C374B" w:rsidRPr="00CB21B0">
        <w:t>at</w:t>
      </w:r>
      <w:r w:rsidRPr="00CB21B0">
        <w:t xml:space="preserve"> period;</w:t>
      </w:r>
    </w:p>
    <w:p w:rsidR="00102078" w:rsidRPr="00CB21B0" w:rsidRDefault="00102078" w:rsidP="00102078">
      <w:pPr>
        <w:pStyle w:val="paragraph"/>
      </w:pPr>
      <w:r w:rsidRPr="00CB21B0">
        <w:lastRenderedPageBreak/>
        <w:tab/>
        <w:t>(c)</w:t>
      </w:r>
      <w:r w:rsidRPr="00CB21B0">
        <w:tab/>
        <w:t>brief details of how the APVMA plans to progress those reconsiderations during th</w:t>
      </w:r>
      <w:r w:rsidR="008C374B" w:rsidRPr="00CB21B0">
        <w:t>at</w:t>
      </w:r>
      <w:r w:rsidRPr="00CB21B0">
        <w:t xml:space="preserve"> period.</w:t>
      </w:r>
    </w:p>
    <w:p w:rsidR="00102078" w:rsidRPr="00CB21B0" w:rsidRDefault="00102078" w:rsidP="00102078">
      <w:pPr>
        <w:pStyle w:val="ActHead5"/>
      </w:pPr>
      <w:bookmarkStart w:id="17" w:name="_Toc361055015"/>
      <w:r w:rsidRPr="00CB21B0">
        <w:rPr>
          <w:rStyle w:val="CharSectno"/>
        </w:rPr>
        <w:t>1A.3</w:t>
      </w:r>
      <w:r w:rsidRPr="00CB21B0">
        <w:t xml:space="preserve">  Performance indicators for inclusion in annual report</w:t>
      </w:r>
      <w:bookmarkEnd w:id="17"/>
    </w:p>
    <w:p w:rsidR="00102078" w:rsidRPr="00CB21B0" w:rsidRDefault="00102078" w:rsidP="00102078">
      <w:pPr>
        <w:pStyle w:val="subsection"/>
      </w:pPr>
      <w:r w:rsidRPr="00CB21B0">
        <w:tab/>
      </w:r>
      <w:r w:rsidRPr="00CB21B0">
        <w:tab/>
        <w:t>For subparagraph</w:t>
      </w:r>
      <w:r w:rsidR="00CB21B0" w:rsidRPr="00CB21B0">
        <w:t> </w:t>
      </w:r>
      <w:r w:rsidRPr="00CB21B0">
        <w:t>61(2)(c)(ii) of the Act, the following performance indicators are prescribed:</w:t>
      </w:r>
    </w:p>
    <w:p w:rsidR="00102078" w:rsidRPr="00CB21B0" w:rsidRDefault="00102078" w:rsidP="00102078">
      <w:pPr>
        <w:pStyle w:val="paragraph"/>
      </w:pPr>
      <w:r w:rsidRPr="00CB21B0">
        <w:tab/>
        <w:t>(a)</w:t>
      </w:r>
      <w:r w:rsidRPr="00CB21B0">
        <w:tab/>
        <w:t>the number of reconsiderations commenced by the APVMA under section</w:t>
      </w:r>
      <w:r w:rsidR="00CB21B0" w:rsidRPr="00CB21B0">
        <w:t> </w:t>
      </w:r>
      <w:r w:rsidRPr="00CB21B0">
        <w:t xml:space="preserve">31 of the Schedule to the </w:t>
      </w:r>
      <w:r w:rsidRPr="00CB21B0">
        <w:rPr>
          <w:i/>
        </w:rPr>
        <w:t xml:space="preserve">Agricultural and Veterinary Chemicals Code Act 1994 </w:t>
      </w:r>
      <w:r w:rsidRPr="00CB21B0">
        <w:t xml:space="preserve">(the </w:t>
      </w:r>
      <w:r w:rsidRPr="00CB21B0">
        <w:rPr>
          <w:b/>
          <w:i/>
        </w:rPr>
        <w:t>Agvet Code Act</w:t>
      </w:r>
      <w:r w:rsidRPr="00CB21B0">
        <w:t>) during the year to which the annual report relates;</w:t>
      </w:r>
    </w:p>
    <w:p w:rsidR="00102078" w:rsidRPr="00CB21B0" w:rsidRDefault="00102078" w:rsidP="00102078">
      <w:pPr>
        <w:pStyle w:val="paragraph"/>
      </w:pPr>
      <w:r w:rsidRPr="00CB21B0">
        <w:tab/>
        <w:t>(b)</w:t>
      </w:r>
      <w:r w:rsidRPr="00CB21B0">
        <w:tab/>
        <w:t>the number of reconsiderations co</w:t>
      </w:r>
      <w:r w:rsidR="00920B68" w:rsidRPr="00CB21B0">
        <w:t>ncluded</w:t>
      </w:r>
      <w:r w:rsidRPr="00CB21B0">
        <w:t xml:space="preserve"> by the APVMA under </w:t>
      </w:r>
      <w:r w:rsidR="001C6447" w:rsidRPr="00CB21B0">
        <w:t>Division</w:t>
      </w:r>
      <w:r w:rsidR="00CB21B0" w:rsidRPr="00CB21B0">
        <w:t> </w:t>
      </w:r>
      <w:r w:rsidR="001C6447" w:rsidRPr="00CB21B0">
        <w:t>4 of Part</w:t>
      </w:r>
      <w:r w:rsidR="00CB21B0" w:rsidRPr="00CB21B0">
        <w:t> </w:t>
      </w:r>
      <w:r w:rsidR="001C6447" w:rsidRPr="00CB21B0">
        <w:t xml:space="preserve">2 </w:t>
      </w:r>
      <w:r w:rsidRPr="00CB21B0">
        <w:t xml:space="preserve">of </w:t>
      </w:r>
      <w:r w:rsidR="00CF2AD0" w:rsidRPr="00CB21B0">
        <w:t xml:space="preserve">the </w:t>
      </w:r>
      <w:r w:rsidRPr="00CB21B0">
        <w:t>Schedule to the Agvet Code Act during th</w:t>
      </w:r>
      <w:r w:rsidR="008C374B" w:rsidRPr="00CB21B0">
        <w:t>at</w:t>
      </w:r>
      <w:r w:rsidRPr="00CB21B0">
        <w:t xml:space="preserve"> year;</w:t>
      </w:r>
    </w:p>
    <w:p w:rsidR="00102078" w:rsidRPr="00CB21B0" w:rsidRDefault="00102078" w:rsidP="00102078">
      <w:pPr>
        <w:pStyle w:val="paragraph"/>
      </w:pPr>
      <w:r w:rsidRPr="00CB21B0">
        <w:tab/>
        <w:t>(c)</w:t>
      </w:r>
      <w:r w:rsidRPr="00CB21B0">
        <w:tab/>
        <w:t xml:space="preserve">brief details of the progress of reconsiderations that were scheduled to progress in </w:t>
      </w:r>
      <w:r w:rsidR="008C374B" w:rsidRPr="00CB21B0">
        <w:t>that year;</w:t>
      </w:r>
    </w:p>
    <w:p w:rsidR="001C6447" w:rsidRPr="00CB21B0" w:rsidRDefault="00102078" w:rsidP="00102078">
      <w:pPr>
        <w:pStyle w:val="paragraph"/>
      </w:pPr>
      <w:r w:rsidRPr="00CB21B0">
        <w:tab/>
        <w:t>(d)</w:t>
      </w:r>
      <w:r w:rsidRPr="00CB21B0">
        <w:tab/>
        <w:t xml:space="preserve">the number of applications </w:t>
      </w:r>
      <w:r w:rsidR="001C6447" w:rsidRPr="00CB21B0">
        <w:t>mentioned in each item of Part</w:t>
      </w:r>
      <w:r w:rsidR="00CB21B0" w:rsidRPr="00CB21B0">
        <w:t> </w:t>
      </w:r>
      <w:r w:rsidR="001C6447" w:rsidRPr="00CB21B0">
        <w:t>2 of Schedule</w:t>
      </w:r>
      <w:r w:rsidR="00CB21B0" w:rsidRPr="00CB21B0">
        <w:t> </w:t>
      </w:r>
      <w:r w:rsidR="001C6447" w:rsidRPr="00CB21B0">
        <w:t xml:space="preserve">6 </w:t>
      </w:r>
      <w:r w:rsidR="009F1121" w:rsidRPr="00CB21B0">
        <w:t xml:space="preserve">of the </w:t>
      </w:r>
      <w:r w:rsidR="009F1121" w:rsidRPr="00CB21B0">
        <w:rPr>
          <w:i/>
        </w:rPr>
        <w:t>Agricultural and Veterinary Chemicals Code Regulations</w:t>
      </w:r>
      <w:r w:rsidR="00CB21B0" w:rsidRPr="00CB21B0">
        <w:rPr>
          <w:i/>
        </w:rPr>
        <w:t> </w:t>
      </w:r>
      <w:r w:rsidR="009F1121" w:rsidRPr="00CB21B0">
        <w:rPr>
          <w:i/>
        </w:rPr>
        <w:t>1995</w:t>
      </w:r>
      <w:r w:rsidR="009F1121" w:rsidRPr="00CB21B0">
        <w:t xml:space="preserve"> </w:t>
      </w:r>
      <w:r w:rsidR="001C6447" w:rsidRPr="00CB21B0">
        <w:t>that were:</w:t>
      </w:r>
    </w:p>
    <w:p w:rsidR="001C6447" w:rsidRPr="00CB21B0" w:rsidRDefault="001C6447" w:rsidP="001C6447">
      <w:pPr>
        <w:pStyle w:val="paragraphsub"/>
      </w:pPr>
      <w:r w:rsidRPr="00CB21B0">
        <w:tab/>
        <w:t>(i)</w:t>
      </w:r>
      <w:r w:rsidRPr="00CB21B0">
        <w:tab/>
      </w:r>
      <w:r w:rsidR="00102078" w:rsidRPr="00CB21B0">
        <w:t>made under the</w:t>
      </w:r>
      <w:r w:rsidR="00CF2AD0" w:rsidRPr="00CB21B0">
        <w:t xml:space="preserve"> S</w:t>
      </w:r>
      <w:r w:rsidR="00102078" w:rsidRPr="00CB21B0">
        <w:t>chedule to the Agvet Code Act during</w:t>
      </w:r>
      <w:r w:rsidR="008C374B" w:rsidRPr="00CB21B0">
        <w:t xml:space="preserve"> that year;</w:t>
      </w:r>
      <w:r w:rsidRPr="00CB21B0">
        <w:t xml:space="preserve"> and</w:t>
      </w:r>
    </w:p>
    <w:p w:rsidR="00102078" w:rsidRPr="00CB21B0" w:rsidRDefault="001C6447" w:rsidP="001C6447">
      <w:pPr>
        <w:pStyle w:val="paragraphsub"/>
      </w:pPr>
      <w:r w:rsidRPr="00CB21B0">
        <w:tab/>
        <w:t>(</w:t>
      </w:r>
      <w:r w:rsidR="00D65286" w:rsidRPr="00CB21B0">
        <w:t>ii</w:t>
      </w:r>
      <w:r w:rsidRPr="00CB21B0">
        <w:t>)</w:t>
      </w:r>
      <w:r w:rsidRPr="00CB21B0">
        <w:tab/>
      </w:r>
      <w:r w:rsidR="00102078" w:rsidRPr="00CB21B0">
        <w:t>not determined within the period required for the application by regulations made under section</w:t>
      </w:r>
      <w:r w:rsidR="00CB21B0" w:rsidRPr="00CB21B0">
        <w:t> </w:t>
      </w:r>
      <w:r w:rsidR="00102078" w:rsidRPr="00CB21B0">
        <w:t>165 of that Schedule;</w:t>
      </w:r>
    </w:p>
    <w:p w:rsidR="00102078" w:rsidRPr="00CB21B0" w:rsidRDefault="00102078" w:rsidP="00102078">
      <w:pPr>
        <w:pStyle w:val="paragraph"/>
      </w:pPr>
      <w:r w:rsidRPr="00CB21B0">
        <w:tab/>
        <w:t>(e)</w:t>
      </w:r>
      <w:r w:rsidRPr="00CB21B0">
        <w:tab/>
        <w:t xml:space="preserve">the number of reports (known as adverse experience reports) received by the APVMA during </w:t>
      </w:r>
      <w:r w:rsidR="008C374B" w:rsidRPr="00CB21B0">
        <w:t>that year;</w:t>
      </w:r>
    </w:p>
    <w:p w:rsidR="00102078" w:rsidRPr="00CB21B0" w:rsidRDefault="00102078" w:rsidP="00102078">
      <w:pPr>
        <w:pStyle w:val="paragraph"/>
      </w:pPr>
      <w:r w:rsidRPr="00CB21B0">
        <w:tab/>
        <w:t>(f)</w:t>
      </w:r>
      <w:r w:rsidRPr="00CB21B0">
        <w:tab/>
        <w:t xml:space="preserve">the number of adverse experience reports mentioned in </w:t>
      </w:r>
      <w:r w:rsidR="00CB21B0" w:rsidRPr="00CB21B0">
        <w:t>paragraph (</w:t>
      </w:r>
      <w:r w:rsidRPr="00CB21B0">
        <w:t>e) that the APVMA determined were related to each of the following:</w:t>
      </w:r>
    </w:p>
    <w:p w:rsidR="00102078" w:rsidRPr="00CB21B0" w:rsidRDefault="00102078" w:rsidP="00102078">
      <w:pPr>
        <w:pStyle w:val="paragraphsub"/>
      </w:pPr>
      <w:r w:rsidRPr="00CB21B0">
        <w:tab/>
        <w:t>(i)</w:t>
      </w:r>
      <w:r w:rsidRPr="00CB21B0">
        <w:tab/>
        <w:t>human health;</w:t>
      </w:r>
    </w:p>
    <w:p w:rsidR="00102078" w:rsidRPr="00CB21B0" w:rsidRDefault="00102078" w:rsidP="00102078">
      <w:pPr>
        <w:pStyle w:val="paragraphsub"/>
      </w:pPr>
      <w:r w:rsidRPr="00CB21B0">
        <w:tab/>
        <w:t>(ii)</w:t>
      </w:r>
      <w:r w:rsidRPr="00CB21B0">
        <w:tab/>
        <w:t>environment;</w:t>
      </w:r>
    </w:p>
    <w:p w:rsidR="00102078" w:rsidRPr="00CB21B0" w:rsidRDefault="00102078" w:rsidP="00102078">
      <w:pPr>
        <w:pStyle w:val="paragraphsub"/>
      </w:pPr>
      <w:r w:rsidRPr="00CB21B0">
        <w:tab/>
        <w:t>(iii)</w:t>
      </w:r>
      <w:r w:rsidRPr="00CB21B0">
        <w:tab/>
        <w:t>animal health;</w:t>
      </w:r>
    </w:p>
    <w:p w:rsidR="00102078" w:rsidRPr="00CB21B0" w:rsidRDefault="00102078" w:rsidP="00102078">
      <w:pPr>
        <w:pStyle w:val="paragraphsub"/>
      </w:pPr>
      <w:r w:rsidRPr="00CB21B0">
        <w:tab/>
        <w:t>(iv)</w:t>
      </w:r>
      <w:r w:rsidRPr="00CB21B0">
        <w:tab/>
        <w:t>crop health;</w:t>
      </w:r>
    </w:p>
    <w:p w:rsidR="00102078" w:rsidRPr="00CB21B0" w:rsidRDefault="00102078" w:rsidP="00102078">
      <w:pPr>
        <w:pStyle w:val="paragraphsub"/>
      </w:pPr>
      <w:r w:rsidRPr="00CB21B0">
        <w:tab/>
        <w:t>(v)</w:t>
      </w:r>
      <w:r w:rsidRPr="00CB21B0">
        <w:tab/>
        <w:t>efficacy for agricultural chemical products or veterinary chemical products;</w:t>
      </w:r>
    </w:p>
    <w:p w:rsidR="00102078" w:rsidRPr="00CB21B0" w:rsidRDefault="00102078" w:rsidP="00102078">
      <w:pPr>
        <w:pStyle w:val="paragraph"/>
      </w:pPr>
      <w:r w:rsidRPr="00CB21B0">
        <w:tab/>
        <w:t>(g)</w:t>
      </w:r>
      <w:r w:rsidRPr="00CB21B0">
        <w:tab/>
        <w:t>a summary of any action taken by the APVMA during</w:t>
      </w:r>
      <w:r w:rsidR="008C374B" w:rsidRPr="00CB21B0">
        <w:t xml:space="preserve"> that year</w:t>
      </w:r>
      <w:r w:rsidRPr="00CB21B0">
        <w:t xml:space="preserve"> in relation to adverse experience reports.</w:t>
      </w:r>
    </w:p>
    <w:p w:rsidR="00102078" w:rsidRPr="00CB21B0" w:rsidRDefault="00102078" w:rsidP="00102078">
      <w:pPr>
        <w:pStyle w:val="notetext"/>
      </w:pPr>
      <w:r w:rsidRPr="00CB21B0">
        <w:lastRenderedPageBreak/>
        <w:t>Note:</w:t>
      </w:r>
      <w:r w:rsidRPr="00CB21B0">
        <w:tab/>
        <w:t>Adverse experience reports are received under the Adverse Experience Reporting Program (AERP) which is a post</w:t>
      </w:r>
      <w:r w:rsidR="00CB21B0">
        <w:noBreakHyphen/>
      </w:r>
      <w:r w:rsidRPr="00CB21B0">
        <w:t>registration quality assurance program established by the APVMA.</w:t>
      </w:r>
    </w:p>
    <w:p w:rsidR="00425C1F" w:rsidRPr="00CB21B0" w:rsidRDefault="00220E6F" w:rsidP="00425C1F">
      <w:pPr>
        <w:pStyle w:val="ItemHead"/>
        <w:rPr>
          <w:rFonts w:cs="Arial"/>
        </w:rPr>
      </w:pPr>
      <w:r w:rsidRPr="00CB21B0">
        <w:rPr>
          <w:rFonts w:cs="Arial"/>
        </w:rPr>
        <w:t>7</w:t>
      </w:r>
      <w:r w:rsidR="00425C1F" w:rsidRPr="00CB21B0">
        <w:rPr>
          <w:rFonts w:cs="Arial"/>
        </w:rPr>
        <w:t xml:space="preserve">  A</w:t>
      </w:r>
      <w:r w:rsidR="00CF0A7C" w:rsidRPr="00CB21B0">
        <w:rPr>
          <w:rFonts w:cs="Arial"/>
        </w:rPr>
        <w:t>fter</w:t>
      </w:r>
      <w:r w:rsidR="00425C1F" w:rsidRPr="00CB21B0">
        <w:rPr>
          <w:rFonts w:cs="Arial"/>
        </w:rPr>
        <w:t xml:space="preserve"> Part</w:t>
      </w:r>
      <w:r w:rsidR="00CB21B0" w:rsidRPr="00CB21B0">
        <w:rPr>
          <w:rFonts w:cs="Arial"/>
        </w:rPr>
        <w:t> </w:t>
      </w:r>
      <w:r w:rsidR="00425C1F" w:rsidRPr="00CB21B0">
        <w:rPr>
          <w:rFonts w:cs="Arial"/>
        </w:rPr>
        <w:t>3</w:t>
      </w:r>
    </w:p>
    <w:p w:rsidR="00425C1F" w:rsidRPr="00CB21B0" w:rsidRDefault="00425C1F" w:rsidP="00425C1F">
      <w:pPr>
        <w:pStyle w:val="Item"/>
      </w:pPr>
      <w:r w:rsidRPr="00CB21B0">
        <w:t>Insert:</w:t>
      </w:r>
    </w:p>
    <w:p w:rsidR="00425C1F" w:rsidRPr="00CB21B0" w:rsidRDefault="00425C1F" w:rsidP="00425C1F">
      <w:pPr>
        <w:pStyle w:val="ActHead2"/>
      </w:pPr>
      <w:bookmarkStart w:id="18" w:name="_Toc361055016"/>
      <w:r w:rsidRPr="00CB21B0">
        <w:rPr>
          <w:rStyle w:val="CharPartNo"/>
        </w:rPr>
        <w:t>Part</w:t>
      </w:r>
      <w:r w:rsidR="00CB21B0" w:rsidRPr="00CB21B0">
        <w:rPr>
          <w:rStyle w:val="CharPartNo"/>
        </w:rPr>
        <w:t> </w:t>
      </w:r>
      <w:r w:rsidRPr="00CB21B0">
        <w:rPr>
          <w:rStyle w:val="CharPartNo"/>
        </w:rPr>
        <w:t>3A</w:t>
      </w:r>
      <w:r w:rsidRPr="00CB21B0">
        <w:t>—</w:t>
      </w:r>
      <w:r w:rsidRPr="00CB21B0">
        <w:rPr>
          <w:rStyle w:val="CharPartText"/>
        </w:rPr>
        <w:t>Infringement notices</w:t>
      </w:r>
      <w:bookmarkEnd w:id="18"/>
    </w:p>
    <w:p w:rsidR="0068520B" w:rsidRPr="00CB21B0" w:rsidRDefault="0068520B" w:rsidP="0068520B">
      <w:pPr>
        <w:pStyle w:val="Header"/>
      </w:pPr>
      <w:r w:rsidRPr="00CB21B0">
        <w:rPr>
          <w:rStyle w:val="CharDivNo"/>
        </w:rPr>
        <w:t xml:space="preserve"> </w:t>
      </w:r>
      <w:r w:rsidRPr="00CB21B0">
        <w:rPr>
          <w:rStyle w:val="CharDivText"/>
        </w:rPr>
        <w:t xml:space="preserve"> </w:t>
      </w:r>
    </w:p>
    <w:p w:rsidR="00425C1F" w:rsidRPr="00CB21B0" w:rsidRDefault="00425C1F" w:rsidP="00425C1F">
      <w:pPr>
        <w:pStyle w:val="ActHead5"/>
      </w:pPr>
      <w:bookmarkStart w:id="19" w:name="_Toc361055017"/>
      <w:r w:rsidRPr="00CB21B0">
        <w:rPr>
          <w:rStyle w:val="CharSectno"/>
        </w:rPr>
        <w:t>3A.01</w:t>
      </w:r>
      <w:r w:rsidRPr="00CB21B0">
        <w:t xml:space="preserve">  Infringement notices</w:t>
      </w:r>
      <w:bookmarkEnd w:id="19"/>
    </w:p>
    <w:p w:rsidR="00425C1F" w:rsidRPr="00CB21B0" w:rsidRDefault="00425C1F" w:rsidP="00425C1F">
      <w:pPr>
        <w:pStyle w:val="subsection"/>
      </w:pPr>
      <w:r w:rsidRPr="00CB21B0">
        <w:tab/>
        <w:t>(1)</w:t>
      </w:r>
      <w:r w:rsidRPr="00CB21B0">
        <w:tab/>
        <w:t xml:space="preserve">For </w:t>
      </w:r>
      <w:r w:rsidR="000F39BC" w:rsidRPr="00CB21B0">
        <w:t xml:space="preserve">the definition of </w:t>
      </w:r>
      <w:r w:rsidR="000F39BC" w:rsidRPr="00CB21B0">
        <w:rPr>
          <w:b/>
          <w:i/>
        </w:rPr>
        <w:t>prescribed civil penalty provision</w:t>
      </w:r>
      <w:r w:rsidR="000F39BC" w:rsidRPr="00CB21B0">
        <w:t xml:space="preserve"> in section</w:t>
      </w:r>
      <w:r w:rsidR="00CB21B0" w:rsidRPr="00CB21B0">
        <w:t> </w:t>
      </w:r>
      <w:r w:rsidR="000F39BC" w:rsidRPr="00CB21B0">
        <w:t xml:space="preserve">4 of the Act, </w:t>
      </w:r>
      <w:r w:rsidRPr="00CB21B0">
        <w:t>each civil penalty provision mentioned in Schedule</w:t>
      </w:r>
      <w:r w:rsidR="00CB21B0" w:rsidRPr="00CB21B0">
        <w:t> </w:t>
      </w:r>
      <w:r w:rsidRPr="00CB21B0">
        <w:t>5 is prescribed.</w:t>
      </w:r>
    </w:p>
    <w:p w:rsidR="00425C1F" w:rsidRPr="00CB21B0" w:rsidRDefault="00425C1F" w:rsidP="00425C1F">
      <w:pPr>
        <w:pStyle w:val="subsection"/>
      </w:pPr>
      <w:r w:rsidRPr="00CB21B0">
        <w:tab/>
        <w:t>(2)</w:t>
      </w:r>
      <w:r w:rsidRPr="00CB21B0">
        <w:tab/>
        <w:t>For subsection</w:t>
      </w:r>
      <w:r w:rsidR="00CB21B0" w:rsidRPr="00CB21B0">
        <w:t> </w:t>
      </w:r>
      <w:r w:rsidRPr="00CB21B0">
        <w:t>69EKA(3) of the Act:</w:t>
      </w:r>
    </w:p>
    <w:p w:rsidR="00425C1F" w:rsidRPr="00CB21B0" w:rsidRDefault="00425C1F" w:rsidP="00425C1F">
      <w:pPr>
        <w:pStyle w:val="paragraph"/>
      </w:pPr>
      <w:r w:rsidRPr="00CB21B0">
        <w:tab/>
        <w:t>(a)</w:t>
      </w:r>
      <w:r w:rsidRPr="00CB21B0">
        <w:tab/>
        <w:t>the amount (in penalty units) mentioned for an individual in an item of Schedule</w:t>
      </w:r>
      <w:r w:rsidR="00CB21B0" w:rsidRPr="00CB21B0">
        <w:t> </w:t>
      </w:r>
      <w:r w:rsidRPr="00CB21B0">
        <w:t>5 is the amount that applies for an alleged contravention by the individual of the provision mentioned in the item in the circumstances (if any) mentioned in the item; and</w:t>
      </w:r>
    </w:p>
    <w:p w:rsidR="00425C1F" w:rsidRPr="00CB21B0" w:rsidRDefault="00425C1F" w:rsidP="00425C1F">
      <w:pPr>
        <w:pStyle w:val="paragraph"/>
      </w:pPr>
      <w:r w:rsidRPr="00CB21B0">
        <w:tab/>
        <w:t>(b)</w:t>
      </w:r>
      <w:r w:rsidRPr="00CB21B0">
        <w:tab/>
        <w:t>the amount (in penalty units) mentioned for a corporation in an item of Schedule</w:t>
      </w:r>
      <w:r w:rsidR="00CB21B0" w:rsidRPr="00CB21B0">
        <w:t> </w:t>
      </w:r>
      <w:r w:rsidRPr="00CB21B0">
        <w:t>5 is the amount that applies for an alleged contravention by the corporation of the provision mentioned in the item in the circumstances (if any) mentioned in the item.</w:t>
      </w:r>
    </w:p>
    <w:p w:rsidR="007546BB" w:rsidRPr="00CB21B0" w:rsidRDefault="00220E6F" w:rsidP="007546BB">
      <w:pPr>
        <w:pStyle w:val="ItemHead"/>
        <w:rPr>
          <w:rFonts w:cs="Arial"/>
        </w:rPr>
      </w:pPr>
      <w:r w:rsidRPr="00CB21B0">
        <w:rPr>
          <w:rFonts w:cs="Arial"/>
        </w:rPr>
        <w:t>8</w:t>
      </w:r>
      <w:r w:rsidR="007546BB" w:rsidRPr="00CB21B0">
        <w:rPr>
          <w:rFonts w:cs="Arial"/>
        </w:rPr>
        <w:t xml:space="preserve">  Regulation</w:t>
      </w:r>
      <w:r w:rsidR="00CB21B0" w:rsidRPr="00CB21B0">
        <w:rPr>
          <w:rFonts w:cs="Arial"/>
        </w:rPr>
        <w:t> </w:t>
      </w:r>
      <w:r w:rsidR="007546BB" w:rsidRPr="00CB21B0">
        <w:rPr>
          <w:rFonts w:cs="Arial"/>
        </w:rPr>
        <w:t>4.15</w:t>
      </w:r>
    </w:p>
    <w:p w:rsidR="007546BB" w:rsidRPr="00CB21B0" w:rsidRDefault="007546BB" w:rsidP="007546BB">
      <w:pPr>
        <w:pStyle w:val="Item"/>
      </w:pPr>
      <w:r w:rsidRPr="00CB21B0">
        <w:t>Repeal the regulation, substitute:</w:t>
      </w:r>
    </w:p>
    <w:p w:rsidR="007546BB" w:rsidRPr="00CB21B0" w:rsidRDefault="007546BB" w:rsidP="007546BB">
      <w:pPr>
        <w:pStyle w:val="ActHead5"/>
      </w:pPr>
      <w:bookmarkStart w:id="20" w:name="_Toc361055018"/>
      <w:r w:rsidRPr="00CB21B0">
        <w:rPr>
          <w:rStyle w:val="CharSectno"/>
        </w:rPr>
        <w:t>4.15</w:t>
      </w:r>
      <w:r w:rsidRPr="00CB21B0">
        <w:t xml:space="preserve">  Method of securing samples</w:t>
      </w:r>
      <w:bookmarkEnd w:id="20"/>
    </w:p>
    <w:p w:rsidR="007546BB" w:rsidRPr="00CB21B0" w:rsidRDefault="006047B3" w:rsidP="007546BB">
      <w:pPr>
        <w:pStyle w:val="subsection"/>
      </w:pPr>
      <w:r w:rsidRPr="00CB21B0">
        <w:rPr>
          <w:bCs/>
        </w:rPr>
        <w:tab/>
      </w:r>
      <w:r w:rsidR="007546BB" w:rsidRPr="00CB21B0">
        <w:rPr>
          <w:bCs/>
        </w:rPr>
        <w:t>(1)</w:t>
      </w:r>
      <w:r w:rsidRPr="00CB21B0">
        <w:rPr>
          <w:bCs/>
        </w:rPr>
        <w:tab/>
      </w:r>
      <w:r w:rsidR="007546BB" w:rsidRPr="00CB21B0">
        <w:rPr>
          <w:bCs/>
        </w:rPr>
        <w:t xml:space="preserve">This regulation applies to </w:t>
      </w:r>
      <w:r w:rsidR="007546BB" w:rsidRPr="00CB21B0">
        <w:t>an inspector who exercises:</w:t>
      </w:r>
    </w:p>
    <w:p w:rsidR="007546BB" w:rsidRPr="00CB21B0" w:rsidRDefault="007546BB" w:rsidP="007546BB">
      <w:pPr>
        <w:pStyle w:val="paragraph"/>
      </w:pPr>
      <w:r w:rsidRPr="00CB21B0">
        <w:tab/>
        <w:t>(a)</w:t>
      </w:r>
      <w:r w:rsidRPr="00CB21B0">
        <w:tab/>
        <w:t>the monitoring power mentioned in paragraph</w:t>
      </w:r>
      <w:r w:rsidR="00CB21B0" w:rsidRPr="00CB21B0">
        <w:t> </w:t>
      </w:r>
      <w:r w:rsidRPr="00CB21B0">
        <w:t>69EAC(</w:t>
      </w:r>
      <w:r w:rsidR="00AF7ED9" w:rsidRPr="00CB21B0">
        <w:t>1</w:t>
      </w:r>
      <w:r w:rsidRPr="00CB21B0">
        <w:t>)</w:t>
      </w:r>
      <w:r w:rsidR="00AF7ED9" w:rsidRPr="00CB21B0">
        <w:t>(g)</w:t>
      </w:r>
      <w:r w:rsidRPr="00CB21B0">
        <w:t xml:space="preserve"> of the Act to take and keep samples of any thing</w:t>
      </w:r>
      <w:r w:rsidR="00920B68" w:rsidRPr="00CB21B0">
        <w:t xml:space="preserve"> on any premises</w:t>
      </w:r>
      <w:r w:rsidRPr="00CB21B0">
        <w:t>; or</w:t>
      </w:r>
    </w:p>
    <w:p w:rsidR="007546BB" w:rsidRPr="00CB21B0" w:rsidRDefault="007546BB" w:rsidP="007546BB">
      <w:pPr>
        <w:pStyle w:val="paragraph"/>
      </w:pPr>
      <w:r w:rsidRPr="00CB21B0">
        <w:tab/>
        <w:t>(b)</w:t>
      </w:r>
      <w:r w:rsidRPr="00CB21B0">
        <w:tab/>
        <w:t xml:space="preserve">the investigation power </w:t>
      </w:r>
      <w:r w:rsidR="00920B68" w:rsidRPr="00CB21B0">
        <w:t xml:space="preserve">mentioned </w:t>
      </w:r>
      <w:r w:rsidRPr="00CB21B0">
        <w:t>in paragraph</w:t>
      </w:r>
      <w:r w:rsidR="00CB21B0" w:rsidRPr="00CB21B0">
        <w:t> </w:t>
      </w:r>
      <w:r w:rsidRPr="00CB21B0">
        <w:t>69EBA(</w:t>
      </w:r>
      <w:r w:rsidR="00AF7ED9" w:rsidRPr="00CB21B0">
        <w:t>1</w:t>
      </w:r>
      <w:r w:rsidRPr="00CB21B0">
        <w:t>)</w:t>
      </w:r>
      <w:r w:rsidR="00AF7ED9" w:rsidRPr="00CB21B0">
        <w:t>(g)</w:t>
      </w:r>
      <w:r w:rsidRPr="00CB21B0">
        <w:t xml:space="preserve"> of the Act to take a sample and keep samples of any thing</w:t>
      </w:r>
      <w:r w:rsidR="00920B68" w:rsidRPr="00CB21B0">
        <w:t xml:space="preserve"> on any premises</w:t>
      </w:r>
      <w:r w:rsidRPr="00CB21B0">
        <w:t>.</w:t>
      </w:r>
    </w:p>
    <w:p w:rsidR="007546BB" w:rsidRPr="00CB21B0" w:rsidRDefault="006047B3" w:rsidP="007546BB">
      <w:pPr>
        <w:pStyle w:val="subsection"/>
      </w:pPr>
      <w:r w:rsidRPr="00CB21B0">
        <w:lastRenderedPageBreak/>
        <w:tab/>
      </w:r>
      <w:r w:rsidR="007546BB" w:rsidRPr="00CB21B0">
        <w:t>(2)</w:t>
      </w:r>
      <w:r w:rsidRPr="00CB21B0">
        <w:tab/>
      </w:r>
      <w:r w:rsidR="007546BB" w:rsidRPr="00CB21B0">
        <w:t>The inspector must ensure that:</w:t>
      </w:r>
    </w:p>
    <w:p w:rsidR="007546BB" w:rsidRPr="00CB21B0" w:rsidRDefault="007546BB" w:rsidP="007546BB">
      <w:pPr>
        <w:pStyle w:val="paragraph"/>
      </w:pPr>
      <w:r w:rsidRPr="00CB21B0">
        <w:tab/>
        <w:t>(a)</w:t>
      </w:r>
      <w:r w:rsidRPr="00CB21B0">
        <w:tab/>
        <w:t>the sample is contained and sealed in an appropriate vessel or package; and</w:t>
      </w:r>
    </w:p>
    <w:p w:rsidR="007546BB" w:rsidRPr="00CB21B0" w:rsidRDefault="007546BB" w:rsidP="007546BB">
      <w:pPr>
        <w:pStyle w:val="paragraph"/>
      </w:pPr>
      <w:r w:rsidRPr="00CB21B0">
        <w:tab/>
        <w:t>(b)</w:t>
      </w:r>
      <w:r w:rsidRPr="00CB21B0">
        <w:tab/>
        <w:t>the vessel or package is so marked as to clearly identify the sample; and</w:t>
      </w:r>
    </w:p>
    <w:p w:rsidR="007546BB" w:rsidRPr="00CB21B0" w:rsidRDefault="007546BB" w:rsidP="007546BB">
      <w:pPr>
        <w:pStyle w:val="paragraph"/>
      </w:pPr>
      <w:r w:rsidRPr="00CB21B0">
        <w:tab/>
        <w:t>(c)</w:t>
      </w:r>
      <w:r w:rsidRPr="00CB21B0">
        <w:tab/>
        <w:t>the vessel or package cannot be opened, or the identification of the sample removed, without breaking the seal; and</w:t>
      </w:r>
    </w:p>
    <w:p w:rsidR="007546BB" w:rsidRPr="00CB21B0" w:rsidRDefault="007546BB" w:rsidP="007546BB">
      <w:pPr>
        <w:pStyle w:val="paragraph"/>
      </w:pPr>
      <w:r w:rsidRPr="00CB21B0">
        <w:tab/>
        <w:t>(d)</w:t>
      </w:r>
      <w:r w:rsidRPr="00CB21B0">
        <w:tab/>
        <w:t>the sample is stored and transported in such a way that the composition of the sample is not altered.</w:t>
      </w:r>
    </w:p>
    <w:p w:rsidR="00E8470C" w:rsidRPr="00CB21B0" w:rsidRDefault="00220E6F" w:rsidP="00E8470C">
      <w:pPr>
        <w:pStyle w:val="ItemHead"/>
        <w:rPr>
          <w:rFonts w:cs="Arial"/>
        </w:rPr>
      </w:pPr>
      <w:r w:rsidRPr="00CB21B0">
        <w:rPr>
          <w:rFonts w:cs="Arial"/>
          <w:noProof/>
        </w:rPr>
        <w:t>9</w:t>
      </w:r>
      <w:r w:rsidR="007546BB" w:rsidRPr="00CB21B0">
        <w:rPr>
          <w:rFonts w:cs="Arial"/>
        </w:rPr>
        <w:t xml:space="preserve">  Schedules</w:t>
      </w:r>
      <w:r w:rsidR="00CB21B0" w:rsidRPr="00CB21B0">
        <w:rPr>
          <w:rFonts w:cs="Arial"/>
        </w:rPr>
        <w:t> </w:t>
      </w:r>
      <w:r w:rsidR="007546BB" w:rsidRPr="00CB21B0">
        <w:rPr>
          <w:rFonts w:cs="Arial"/>
        </w:rPr>
        <w:t>2</w:t>
      </w:r>
      <w:r w:rsidR="00E8470C" w:rsidRPr="00CB21B0">
        <w:rPr>
          <w:rFonts w:cs="Arial"/>
        </w:rPr>
        <w:t xml:space="preserve"> to 5</w:t>
      </w:r>
    </w:p>
    <w:p w:rsidR="007546BB" w:rsidRPr="00CB21B0" w:rsidRDefault="00A019B5" w:rsidP="00E8470C">
      <w:pPr>
        <w:pStyle w:val="Item"/>
      </w:pPr>
      <w:r w:rsidRPr="00CB21B0">
        <w:rPr>
          <w:rFonts w:cs="Arial"/>
        </w:rPr>
        <w:t xml:space="preserve"> </w:t>
      </w:r>
      <w:r w:rsidR="007546BB" w:rsidRPr="00CB21B0">
        <w:t>Repeal the Schedules, substitute:</w:t>
      </w:r>
    </w:p>
    <w:p w:rsidR="007546BB" w:rsidRPr="00CB21B0" w:rsidRDefault="007546BB" w:rsidP="00A70635">
      <w:pPr>
        <w:pStyle w:val="ActHead1"/>
      </w:pPr>
      <w:bookmarkStart w:id="21" w:name="_Toc361055019"/>
      <w:r w:rsidRPr="00CB21B0">
        <w:t>Schedules</w:t>
      </w:r>
      <w:r w:rsidR="00CB21B0" w:rsidRPr="00CB21B0">
        <w:t> </w:t>
      </w:r>
      <w:r w:rsidRPr="00CB21B0">
        <w:t>2 to 4</w:t>
      </w:r>
      <w:bookmarkEnd w:id="21"/>
    </w:p>
    <w:p w:rsidR="007546BB" w:rsidRPr="00CB21B0" w:rsidRDefault="007546BB" w:rsidP="007546BB">
      <w:pPr>
        <w:pStyle w:val="notemargin"/>
      </w:pPr>
      <w:r w:rsidRPr="00CB21B0">
        <w:t>Note:</w:t>
      </w:r>
      <w:r w:rsidRPr="00CB21B0">
        <w:tab/>
        <w:t>Schedules</w:t>
      </w:r>
      <w:r w:rsidR="00CB21B0" w:rsidRPr="00CB21B0">
        <w:t> </w:t>
      </w:r>
      <w:r w:rsidRPr="00CB21B0">
        <w:t>2 to 4 are reserved</w:t>
      </w:r>
      <w:r w:rsidR="008C374B" w:rsidRPr="00CB21B0">
        <w:t xml:space="preserve"> for future use</w:t>
      </w:r>
      <w:r w:rsidRPr="00CB21B0">
        <w:t>.</w:t>
      </w:r>
    </w:p>
    <w:p w:rsidR="007546BB" w:rsidRPr="00CB21B0" w:rsidRDefault="00B470D1" w:rsidP="00B470D1">
      <w:pPr>
        <w:pStyle w:val="Header"/>
      </w:pPr>
      <w:r w:rsidRPr="00CB21B0">
        <w:rPr>
          <w:rStyle w:val="CharPartNo"/>
        </w:rPr>
        <w:t xml:space="preserve"> </w:t>
      </w:r>
      <w:r w:rsidRPr="00CB21B0">
        <w:rPr>
          <w:rStyle w:val="CharPartText"/>
        </w:rPr>
        <w:t xml:space="preserve"> </w:t>
      </w:r>
    </w:p>
    <w:p w:rsidR="007546BB" w:rsidRPr="00CB21B0" w:rsidRDefault="007546BB" w:rsidP="00CF0A7C">
      <w:pPr>
        <w:pStyle w:val="ActHead1"/>
      </w:pPr>
      <w:bookmarkStart w:id="22" w:name="_Toc361055020"/>
      <w:r w:rsidRPr="00CB21B0">
        <w:rPr>
          <w:rStyle w:val="CharChapNo"/>
        </w:rPr>
        <w:t>Schedule</w:t>
      </w:r>
      <w:r w:rsidR="00CB21B0" w:rsidRPr="00CB21B0">
        <w:rPr>
          <w:rStyle w:val="CharChapNo"/>
        </w:rPr>
        <w:t> </w:t>
      </w:r>
      <w:r w:rsidRPr="00CB21B0">
        <w:rPr>
          <w:rStyle w:val="CharChapNo"/>
        </w:rPr>
        <w:t>5</w:t>
      </w:r>
      <w:r w:rsidRPr="00CB21B0">
        <w:t>—</w:t>
      </w:r>
      <w:r w:rsidRPr="00CB21B0">
        <w:rPr>
          <w:rStyle w:val="CharChapText"/>
        </w:rPr>
        <w:t>Infringement notices</w:t>
      </w:r>
      <w:bookmarkEnd w:id="22"/>
    </w:p>
    <w:p w:rsidR="007546BB" w:rsidRPr="00CB21B0" w:rsidRDefault="000A5376" w:rsidP="007546BB">
      <w:pPr>
        <w:pStyle w:val="notemargin"/>
      </w:pPr>
      <w:r w:rsidRPr="00CB21B0">
        <w:t>Note:</w:t>
      </w:r>
      <w:r w:rsidRPr="00CB21B0">
        <w:tab/>
      </w:r>
      <w:r w:rsidR="007546BB" w:rsidRPr="00CB21B0">
        <w:t>See regulation</w:t>
      </w:r>
      <w:r w:rsidR="00CB21B0" w:rsidRPr="00CB21B0">
        <w:t> </w:t>
      </w:r>
      <w:r w:rsidR="00A958AB" w:rsidRPr="00CB21B0">
        <w:t>3A.01</w:t>
      </w:r>
      <w:r w:rsidR="007546BB" w:rsidRPr="00CB21B0">
        <w:t>.</w:t>
      </w:r>
    </w:p>
    <w:p w:rsidR="007546BB" w:rsidRPr="00CB21B0" w:rsidRDefault="006211E6" w:rsidP="00A70635">
      <w:pPr>
        <w:pStyle w:val="Header"/>
      </w:pPr>
      <w:r w:rsidRPr="00CB21B0">
        <w:rPr>
          <w:rStyle w:val="CharSubdNo"/>
        </w:rPr>
        <w:t xml:space="preserve"> </w:t>
      </w:r>
      <w:r w:rsidRPr="00CB21B0">
        <w:rPr>
          <w:rStyle w:val="CharSubdText"/>
        </w:rPr>
        <w:t xml:space="preserve"> </w:t>
      </w:r>
    </w:p>
    <w:p w:rsidR="00A70635" w:rsidRPr="00CB21B0" w:rsidRDefault="00A70635" w:rsidP="007546BB">
      <w:pPr>
        <w:pStyle w:val="Tabletext"/>
      </w:pP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697"/>
        <w:gridCol w:w="4182"/>
        <w:gridCol w:w="1084"/>
        <w:gridCol w:w="1227"/>
      </w:tblGrid>
      <w:tr w:rsidR="007546BB" w:rsidRPr="00CB21B0" w:rsidTr="00185E66">
        <w:trPr>
          <w:tblHeader/>
        </w:trPr>
        <w:tc>
          <w:tcPr>
            <w:tcW w:w="0" w:type="auto"/>
            <w:gridSpan w:val="4"/>
            <w:tcBorders>
              <w:top w:val="single" w:sz="12" w:space="0" w:color="auto"/>
              <w:bottom w:val="single" w:sz="6" w:space="0" w:color="auto"/>
            </w:tcBorders>
            <w:shd w:val="clear" w:color="auto" w:fill="auto"/>
          </w:tcPr>
          <w:p w:rsidR="007546BB" w:rsidRPr="00CB21B0" w:rsidRDefault="007546BB" w:rsidP="00185E66">
            <w:pPr>
              <w:pStyle w:val="TableHeading"/>
            </w:pPr>
            <w:r w:rsidRPr="00CB21B0">
              <w:t>Penalty amounts for infringement notices</w:t>
            </w:r>
          </w:p>
        </w:tc>
      </w:tr>
      <w:tr w:rsidR="007B52B8" w:rsidRPr="00CB21B0" w:rsidTr="00BC7987">
        <w:trPr>
          <w:tblHeader/>
        </w:trPr>
        <w:tc>
          <w:tcPr>
            <w:tcW w:w="0" w:type="auto"/>
            <w:tcBorders>
              <w:top w:val="single" w:sz="6" w:space="0" w:color="auto"/>
              <w:bottom w:val="single" w:sz="12" w:space="0" w:color="auto"/>
            </w:tcBorders>
            <w:shd w:val="clear" w:color="auto" w:fill="auto"/>
          </w:tcPr>
          <w:p w:rsidR="007546BB" w:rsidRPr="00CB21B0" w:rsidRDefault="007546BB" w:rsidP="00185E66">
            <w:pPr>
              <w:pStyle w:val="TableHeading"/>
            </w:pPr>
            <w:r w:rsidRPr="00CB21B0">
              <w:t>Item</w:t>
            </w:r>
          </w:p>
        </w:tc>
        <w:tc>
          <w:tcPr>
            <w:tcW w:w="0" w:type="auto"/>
            <w:tcBorders>
              <w:top w:val="single" w:sz="6" w:space="0" w:color="auto"/>
              <w:bottom w:val="single" w:sz="12" w:space="0" w:color="auto"/>
            </w:tcBorders>
            <w:shd w:val="clear" w:color="auto" w:fill="auto"/>
          </w:tcPr>
          <w:p w:rsidR="007546BB" w:rsidRPr="00CB21B0" w:rsidRDefault="007546BB" w:rsidP="00185E66">
            <w:pPr>
              <w:pStyle w:val="TableHeading"/>
            </w:pPr>
            <w:r w:rsidRPr="00CB21B0">
              <w:t>Civil penalty provision</w:t>
            </w:r>
          </w:p>
        </w:tc>
        <w:tc>
          <w:tcPr>
            <w:tcW w:w="0" w:type="auto"/>
            <w:tcBorders>
              <w:top w:val="single" w:sz="6" w:space="0" w:color="auto"/>
              <w:bottom w:val="single" w:sz="12" w:space="0" w:color="auto"/>
            </w:tcBorders>
            <w:shd w:val="clear" w:color="auto" w:fill="auto"/>
          </w:tcPr>
          <w:p w:rsidR="007546BB" w:rsidRPr="00CB21B0" w:rsidRDefault="007546BB" w:rsidP="00185E66">
            <w:pPr>
              <w:pStyle w:val="TableHeading"/>
            </w:pPr>
            <w:r w:rsidRPr="00CB21B0">
              <w:t>Amount for individual (penalty units)</w:t>
            </w:r>
          </w:p>
        </w:tc>
        <w:tc>
          <w:tcPr>
            <w:tcW w:w="0" w:type="auto"/>
            <w:tcBorders>
              <w:top w:val="single" w:sz="6" w:space="0" w:color="auto"/>
              <w:bottom w:val="single" w:sz="12" w:space="0" w:color="auto"/>
            </w:tcBorders>
            <w:shd w:val="clear" w:color="auto" w:fill="auto"/>
          </w:tcPr>
          <w:p w:rsidR="007546BB" w:rsidRPr="00CB21B0" w:rsidRDefault="007546BB" w:rsidP="00185E66">
            <w:pPr>
              <w:pStyle w:val="TableHeading"/>
            </w:pPr>
            <w:r w:rsidRPr="00CB21B0">
              <w:t>Amount for corporation (penalty units)</w:t>
            </w:r>
          </w:p>
        </w:tc>
      </w:tr>
      <w:tr w:rsidR="000F39BC" w:rsidRPr="00CB21B0" w:rsidTr="00BC7987">
        <w:tc>
          <w:tcPr>
            <w:tcW w:w="0" w:type="auto"/>
            <w:gridSpan w:val="4"/>
            <w:tcBorders>
              <w:top w:val="single" w:sz="12" w:space="0" w:color="auto"/>
              <w:bottom w:val="single" w:sz="4" w:space="0" w:color="auto"/>
            </w:tcBorders>
            <w:shd w:val="clear" w:color="auto" w:fill="auto"/>
          </w:tcPr>
          <w:p w:rsidR="000F39BC" w:rsidRPr="00CB21B0" w:rsidRDefault="000F39BC" w:rsidP="00007EE4">
            <w:pPr>
              <w:pStyle w:val="TableHeading"/>
            </w:pPr>
            <w:r w:rsidRPr="00CB21B0">
              <w:t>Civil penalty provisions of the Act</w:t>
            </w:r>
          </w:p>
        </w:tc>
      </w:tr>
      <w:tr w:rsidR="007B52B8" w:rsidRPr="00CB21B0" w:rsidTr="00BC7987">
        <w:tc>
          <w:tcPr>
            <w:tcW w:w="704" w:type="dxa"/>
            <w:tcBorders>
              <w:top w:val="single" w:sz="4" w:space="0" w:color="auto"/>
            </w:tcBorders>
            <w:shd w:val="clear" w:color="auto" w:fill="auto"/>
          </w:tcPr>
          <w:p w:rsidR="007546BB" w:rsidRPr="00CB21B0" w:rsidRDefault="007546BB" w:rsidP="00185E66">
            <w:pPr>
              <w:pStyle w:val="Tabletext"/>
            </w:pPr>
            <w:r w:rsidRPr="00CB21B0">
              <w:t>1</w:t>
            </w:r>
          </w:p>
        </w:tc>
        <w:tc>
          <w:tcPr>
            <w:tcW w:w="3371" w:type="dxa"/>
            <w:tcBorders>
              <w:top w:val="single" w:sz="4" w:space="0" w:color="auto"/>
            </w:tcBorders>
            <w:shd w:val="clear" w:color="auto" w:fill="auto"/>
          </w:tcPr>
          <w:p w:rsidR="007546BB" w:rsidRPr="00CB21B0" w:rsidRDefault="007546BB" w:rsidP="00185E66">
            <w:pPr>
              <w:pStyle w:val="Tabletext"/>
            </w:pPr>
            <w:r w:rsidRPr="00CB21B0">
              <w:t>A contravention of subparagraph</w:t>
            </w:r>
            <w:r w:rsidR="00CB21B0" w:rsidRPr="00CB21B0">
              <w:t> </w:t>
            </w:r>
            <w:r w:rsidRPr="00CB21B0">
              <w:t>69B(1)(a)(i) of the Act involving:</w:t>
            </w:r>
          </w:p>
          <w:p w:rsidR="007546BB" w:rsidRPr="00CB21B0" w:rsidRDefault="007546BB" w:rsidP="00185E66">
            <w:pPr>
              <w:pStyle w:val="Tablea"/>
            </w:pPr>
            <w:r w:rsidRPr="00CB21B0">
              <w:t>(a) at least 10 kg of an active constituent for a veterinary chemical product; or</w:t>
            </w:r>
          </w:p>
          <w:p w:rsidR="007546BB" w:rsidRPr="00CB21B0" w:rsidRDefault="007546BB" w:rsidP="00185E66">
            <w:pPr>
              <w:pStyle w:val="Tablea"/>
            </w:pPr>
            <w:r w:rsidRPr="00CB21B0">
              <w:t xml:space="preserve">(b) at least 100 kg of an active constituent for an agricultural </w:t>
            </w:r>
            <w:r w:rsidR="00100B21" w:rsidRPr="00CB21B0">
              <w:t xml:space="preserve">chemical </w:t>
            </w:r>
            <w:r w:rsidRPr="00CB21B0">
              <w:t>product</w:t>
            </w:r>
          </w:p>
        </w:tc>
        <w:tc>
          <w:tcPr>
            <w:tcW w:w="0" w:type="auto"/>
            <w:tcBorders>
              <w:top w:val="single" w:sz="4" w:space="0" w:color="auto"/>
            </w:tcBorders>
            <w:shd w:val="clear" w:color="auto" w:fill="auto"/>
          </w:tcPr>
          <w:p w:rsidR="007546BB" w:rsidRPr="00CB21B0" w:rsidRDefault="007546BB" w:rsidP="00185E66">
            <w:pPr>
              <w:pStyle w:val="Tabletext"/>
            </w:pPr>
            <w:r w:rsidRPr="00CB21B0">
              <w:t>90</w:t>
            </w:r>
          </w:p>
        </w:tc>
        <w:tc>
          <w:tcPr>
            <w:tcW w:w="0" w:type="auto"/>
            <w:tcBorders>
              <w:top w:val="single" w:sz="4" w:space="0" w:color="auto"/>
            </w:tcBorders>
            <w:shd w:val="clear" w:color="auto" w:fill="auto"/>
          </w:tcPr>
          <w:p w:rsidR="007546BB" w:rsidRPr="00CB21B0" w:rsidRDefault="007546BB" w:rsidP="00185E66">
            <w:pPr>
              <w:pStyle w:val="Tabletext"/>
            </w:pPr>
            <w:r w:rsidRPr="00CB21B0">
              <w:t>750</w:t>
            </w:r>
          </w:p>
        </w:tc>
      </w:tr>
      <w:tr w:rsidR="007B52B8" w:rsidRPr="00CB21B0" w:rsidTr="005C2D75">
        <w:tc>
          <w:tcPr>
            <w:tcW w:w="704" w:type="dxa"/>
            <w:shd w:val="clear" w:color="auto" w:fill="auto"/>
          </w:tcPr>
          <w:p w:rsidR="007546BB" w:rsidRPr="00CB21B0" w:rsidRDefault="007546BB" w:rsidP="00185E66">
            <w:pPr>
              <w:pStyle w:val="Tabletext"/>
            </w:pPr>
            <w:r w:rsidRPr="00CB21B0">
              <w:t>2</w:t>
            </w:r>
          </w:p>
        </w:tc>
        <w:tc>
          <w:tcPr>
            <w:tcW w:w="3371" w:type="dxa"/>
            <w:shd w:val="clear" w:color="auto" w:fill="auto"/>
          </w:tcPr>
          <w:p w:rsidR="007546BB" w:rsidRPr="00CB21B0" w:rsidRDefault="007546BB" w:rsidP="00185E66">
            <w:pPr>
              <w:pStyle w:val="Tabletext"/>
            </w:pPr>
            <w:r w:rsidRPr="00CB21B0">
              <w:t>A contravention of subparagraph</w:t>
            </w:r>
            <w:r w:rsidR="00CB21B0" w:rsidRPr="00CB21B0">
              <w:t> </w:t>
            </w:r>
            <w:r w:rsidRPr="00CB21B0">
              <w:t>69B(1)(a)(i) of the Act involving:</w:t>
            </w:r>
          </w:p>
          <w:p w:rsidR="007546BB" w:rsidRPr="00CB21B0" w:rsidRDefault="007546BB" w:rsidP="00185E66">
            <w:pPr>
              <w:pStyle w:val="Tablea"/>
            </w:pPr>
            <w:r w:rsidRPr="00CB21B0">
              <w:t>(a)</w:t>
            </w:r>
            <w:r w:rsidRPr="00CB21B0">
              <w:tab/>
              <w:t>at least 1 kg, but less than 10 kg, of an active constituent for a veterinary chemical product; or</w:t>
            </w:r>
          </w:p>
          <w:p w:rsidR="007546BB" w:rsidRPr="00CB21B0" w:rsidRDefault="007546BB" w:rsidP="00185E66">
            <w:pPr>
              <w:pStyle w:val="Tablea"/>
            </w:pPr>
            <w:r w:rsidRPr="00CB21B0">
              <w:lastRenderedPageBreak/>
              <w:t>(b)</w:t>
            </w:r>
            <w:r w:rsidRPr="00CB21B0">
              <w:tab/>
              <w:t>at least 10 kg, but less than 100 kg, of an active constituent for an agricultural chemical product</w:t>
            </w:r>
          </w:p>
        </w:tc>
        <w:tc>
          <w:tcPr>
            <w:tcW w:w="0" w:type="auto"/>
            <w:shd w:val="clear" w:color="auto" w:fill="auto"/>
          </w:tcPr>
          <w:p w:rsidR="007546BB" w:rsidRPr="00CB21B0" w:rsidRDefault="007546BB" w:rsidP="00185E66">
            <w:pPr>
              <w:pStyle w:val="Tabletext"/>
            </w:pPr>
            <w:r w:rsidRPr="00CB21B0">
              <w:lastRenderedPageBreak/>
              <w:t>45</w:t>
            </w:r>
          </w:p>
        </w:tc>
        <w:tc>
          <w:tcPr>
            <w:tcW w:w="0" w:type="auto"/>
            <w:shd w:val="clear" w:color="auto" w:fill="auto"/>
          </w:tcPr>
          <w:p w:rsidR="007546BB" w:rsidRPr="00CB21B0" w:rsidRDefault="007546BB" w:rsidP="00185E66">
            <w:pPr>
              <w:pStyle w:val="Tabletext"/>
            </w:pPr>
            <w:r w:rsidRPr="00CB21B0">
              <w:t>375</w:t>
            </w:r>
          </w:p>
        </w:tc>
      </w:tr>
      <w:tr w:rsidR="007B52B8" w:rsidRPr="00CB21B0" w:rsidTr="005C2D75">
        <w:tc>
          <w:tcPr>
            <w:tcW w:w="704" w:type="dxa"/>
            <w:shd w:val="clear" w:color="auto" w:fill="auto"/>
          </w:tcPr>
          <w:p w:rsidR="007546BB" w:rsidRPr="00CB21B0" w:rsidRDefault="007546BB" w:rsidP="00185E66">
            <w:pPr>
              <w:pStyle w:val="Tabletext"/>
            </w:pPr>
            <w:r w:rsidRPr="00CB21B0">
              <w:lastRenderedPageBreak/>
              <w:t>3</w:t>
            </w:r>
          </w:p>
        </w:tc>
        <w:tc>
          <w:tcPr>
            <w:tcW w:w="3371" w:type="dxa"/>
            <w:shd w:val="clear" w:color="auto" w:fill="auto"/>
          </w:tcPr>
          <w:p w:rsidR="007546BB" w:rsidRPr="00CB21B0" w:rsidRDefault="007546BB" w:rsidP="00185E66">
            <w:pPr>
              <w:pStyle w:val="Tabletext"/>
            </w:pPr>
            <w:r w:rsidRPr="00CB21B0">
              <w:t>A contravention of subparagraph</w:t>
            </w:r>
            <w:r w:rsidR="00CB21B0" w:rsidRPr="00CB21B0">
              <w:t> </w:t>
            </w:r>
            <w:r w:rsidRPr="00CB21B0">
              <w:t>69B(1)(a)(i) of the Act involving:</w:t>
            </w:r>
          </w:p>
          <w:p w:rsidR="007546BB" w:rsidRPr="00CB21B0" w:rsidRDefault="007546BB" w:rsidP="00185E66">
            <w:pPr>
              <w:pStyle w:val="Tablea"/>
            </w:pPr>
            <w:r w:rsidRPr="00CB21B0">
              <w:t>(a) less than 1 kg of an active constituent for a veterinary chemical product; or</w:t>
            </w:r>
          </w:p>
          <w:p w:rsidR="007546BB" w:rsidRPr="00CB21B0" w:rsidRDefault="007546BB" w:rsidP="00185E66">
            <w:pPr>
              <w:pStyle w:val="Tablea"/>
            </w:pPr>
            <w:r w:rsidRPr="00CB21B0">
              <w:t>(b) less than 10 kg of an active constituent for an agricultural chemical product</w:t>
            </w:r>
          </w:p>
        </w:tc>
        <w:tc>
          <w:tcPr>
            <w:tcW w:w="0" w:type="auto"/>
            <w:shd w:val="clear" w:color="auto" w:fill="auto"/>
          </w:tcPr>
          <w:p w:rsidR="007546BB" w:rsidRPr="00CB21B0" w:rsidRDefault="007546BB" w:rsidP="00185E66">
            <w:pPr>
              <w:pStyle w:val="Tabletext"/>
            </w:pPr>
            <w:r w:rsidRPr="00CB21B0">
              <w:t>9</w:t>
            </w:r>
          </w:p>
        </w:tc>
        <w:tc>
          <w:tcPr>
            <w:tcW w:w="0" w:type="auto"/>
            <w:shd w:val="clear" w:color="auto" w:fill="auto"/>
          </w:tcPr>
          <w:p w:rsidR="007546BB" w:rsidRPr="00CB21B0" w:rsidRDefault="007546BB" w:rsidP="00185E66">
            <w:pPr>
              <w:pStyle w:val="Tabletext"/>
            </w:pPr>
            <w:r w:rsidRPr="00CB21B0">
              <w:t>75</w:t>
            </w:r>
          </w:p>
        </w:tc>
      </w:tr>
      <w:tr w:rsidR="007B52B8" w:rsidRPr="00CB21B0" w:rsidTr="005C2D75">
        <w:tc>
          <w:tcPr>
            <w:tcW w:w="704" w:type="dxa"/>
            <w:shd w:val="clear" w:color="auto" w:fill="auto"/>
          </w:tcPr>
          <w:p w:rsidR="007546BB" w:rsidRPr="00CB21B0" w:rsidRDefault="007546BB" w:rsidP="00185E66">
            <w:pPr>
              <w:pStyle w:val="Tabletext"/>
            </w:pPr>
            <w:r w:rsidRPr="00CB21B0">
              <w:t>4</w:t>
            </w:r>
          </w:p>
        </w:tc>
        <w:tc>
          <w:tcPr>
            <w:tcW w:w="3371" w:type="dxa"/>
            <w:shd w:val="clear" w:color="auto" w:fill="auto"/>
          </w:tcPr>
          <w:p w:rsidR="007546BB" w:rsidRPr="00CB21B0" w:rsidRDefault="007546BB" w:rsidP="00CF0A7C">
            <w:pPr>
              <w:pStyle w:val="Tabletext"/>
            </w:pPr>
            <w:r w:rsidRPr="00CB21B0">
              <w:t>A contravention of subparagraph</w:t>
            </w:r>
            <w:r w:rsidR="00CB21B0" w:rsidRPr="00CB21B0">
              <w:t> </w:t>
            </w:r>
            <w:r w:rsidRPr="00CB21B0">
              <w:t>69B(1)(a)(ii) involving at least 500 containers</w:t>
            </w:r>
          </w:p>
        </w:tc>
        <w:tc>
          <w:tcPr>
            <w:tcW w:w="0" w:type="auto"/>
            <w:shd w:val="clear" w:color="auto" w:fill="auto"/>
          </w:tcPr>
          <w:p w:rsidR="007546BB" w:rsidRPr="00CB21B0" w:rsidRDefault="007546BB" w:rsidP="00185E66">
            <w:pPr>
              <w:pStyle w:val="Tabletext"/>
            </w:pPr>
            <w:r w:rsidRPr="00CB21B0">
              <w:t>90</w:t>
            </w:r>
          </w:p>
        </w:tc>
        <w:tc>
          <w:tcPr>
            <w:tcW w:w="0" w:type="auto"/>
            <w:shd w:val="clear" w:color="auto" w:fill="auto"/>
          </w:tcPr>
          <w:p w:rsidR="007546BB" w:rsidRPr="00CB21B0" w:rsidRDefault="007546BB" w:rsidP="00185E66">
            <w:pPr>
              <w:pStyle w:val="Tabletext"/>
            </w:pPr>
            <w:r w:rsidRPr="00CB21B0">
              <w:t>750</w:t>
            </w:r>
          </w:p>
        </w:tc>
      </w:tr>
      <w:tr w:rsidR="007B52B8" w:rsidRPr="00CB21B0" w:rsidTr="005C2D75">
        <w:tc>
          <w:tcPr>
            <w:tcW w:w="704" w:type="dxa"/>
            <w:shd w:val="clear" w:color="auto" w:fill="auto"/>
          </w:tcPr>
          <w:p w:rsidR="007546BB" w:rsidRPr="00CB21B0" w:rsidRDefault="007546BB" w:rsidP="00185E66">
            <w:pPr>
              <w:pStyle w:val="Tabletext"/>
            </w:pPr>
            <w:r w:rsidRPr="00CB21B0">
              <w:t>5</w:t>
            </w:r>
          </w:p>
        </w:tc>
        <w:tc>
          <w:tcPr>
            <w:tcW w:w="3371" w:type="dxa"/>
            <w:shd w:val="clear" w:color="auto" w:fill="auto"/>
          </w:tcPr>
          <w:p w:rsidR="007546BB" w:rsidRPr="00CB21B0" w:rsidRDefault="007546BB" w:rsidP="00CF0A7C">
            <w:pPr>
              <w:pStyle w:val="Tabletext"/>
            </w:pPr>
            <w:r w:rsidRPr="00CB21B0">
              <w:t>A contravention of subparagraph</w:t>
            </w:r>
            <w:r w:rsidR="00CB21B0" w:rsidRPr="00CB21B0">
              <w:t> </w:t>
            </w:r>
            <w:r w:rsidRPr="00CB21B0">
              <w:t>69B(1)(a)(ii) involving at least 50 containers but fewer than 500 containers</w:t>
            </w:r>
          </w:p>
        </w:tc>
        <w:tc>
          <w:tcPr>
            <w:tcW w:w="0" w:type="auto"/>
            <w:shd w:val="clear" w:color="auto" w:fill="auto"/>
          </w:tcPr>
          <w:p w:rsidR="007546BB" w:rsidRPr="00CB21B0" w:rsidRDefault="007546BB" w:rsidP="00185E66">
            <w:pPr>
              <w:pStyle w:val="Tabletext"/>
            </w:pPr>
            <w:r w:rsidRPr="00CB21B0">
              <w:t>45</w:t>
            </w:r>
          </w:p>
        </w:tc>
        <w:tc>
          <w:tcPr>
            <w:tcW w:w="0" w:type="auto"/>
            <w:shd w:val="clear" w:color="auto" w:fill="auto"/>
          </w:tcPr>
          <w:p w:rsidR="007546BB" w:rsidRPr="00CB21B0" w:rsidRDefault="007546BB" w:rsidP="00185E66">
            <w:pPr>
              <w:pStyle w:val="Tabletext"/>
            </w:pPr>
            <w:r w:rsidRPr="00CB21B0">
              <w:t>375</w:t>
            </w:r>
          </w:p>
        </w:tc>
      </w:tr>
      <w:tr w:rsidR="007B52B8" w:rsidRPr="00CB21B0" w:rsidTr="005C2D75">
        <w:tc>
          <w:tcPr>
            <w:tcW w:w="704" w:type="dxa"/>
            <w:shd w:val="clear" w:color="auto" w:fill="auto"/>
          </w:tcPr>
          <w:p w:rsidR="007546BB" w:rsidRPr="00CB21B0" w:rsidRDefault="007546BB" w:rsidP="00185E66">
            <w:pPr>
              <w:pStyle w:val="Tabletext"/>
            </w:pPr>
            <w:r w:rsidRPr="00CB21B0">
              <w:t>6</w:t>
            </w:r>
          </w:p>
        </w:tc>
        <w:tc>
          <w:tcPr>
            <w:tcW w:w="3371" w:type="dxa"/>
            <w:shd w:val="clear" w:color="auto" w:fill="auto"/>
          </w:tcPr>
          <w:p w:rsidR="007546BB" w:rsidRPr="00CB21B0" w:rsidRDefault="007546BB" w:rsidP="00CF0A7C">
            <w:pPr>
              <w:pStyle w:val="Tabletext"/>
            </w:pPr>
            <w:r w:rsidRPr="00CB21B0">
              <w:t>A contravention of subparagraph</w:t>
            </w:r>
            <w:r w:rsidR="00CB21B0" w:rsidRPr="00CB21B0">
              <w:t> </w:t>
            </w:r>
            <w:r w:rsidRPr="00CB21B0">
              <w:t>69B(1)(a)(ii) involving fewer than 50 containers</w:t>
            </w:r>
          </w:p>
        </w:tc>
        <w:tc>
          <w:tcPr>
            <w:tcW w:w="0" w:type="auto"/>
            <w:shd w:val="clear" w:color="auto" w:fill="auto"/>
          </w:tcPr>
          <w:p w:rsidR="007546BB" w:rsidRPr="00CB21B0" w:rsidRDefault="007546BB" w:rsidP="00185E66">
            <w:pPr>
              <w:pStyle w:val="Tabletext"/>
            </w:pPr>
            <w:r w:rsidRPr="00CB21B0">
              <w:t>9</w:t>
            </w:r>
          </w:p>
        </w:tc>
        <w:tc>
          <w:tcPr>
            <w:tcW w:w="0" w:type="auto"/>
            <w:shd w:val="clear" w:color="auto" w:fill="auto"/>
          </w:tcPr>
          <w:p w:rsidR="007546BB" w:rsidRPr="00CB21B0" w:rsidRDefault="007546BB" w:rsidP="00185E66">
            <w:pPr>
              <w:pStyle w:val="Tabletext"/>
            </w:pPr>
            <w:r w:rsidRPr="00CB21B0">
              <w:t>75</w:t>
            </w:r>
          </w:p>
        </w:tc>
      </w:tr>
      <w:tr w:rsidR="007B52B8" w:rsidRPr="00CB21B0" w:rsidTr="005C2D75">
        <w:tc>
          <w:tcPr>
            <w:tcW w:w="704" w:type="dxa"/>
            <w:shd w:val="clear" w:color="auto" w:fill="auto"/>
          </w:tcPr>
          <w:p w:rsidR="007546BB" w:rsidRPr="00CB21B0" w:rsidRDefault="007546BB" w:rsidP="00185E66">
            <w:pPr>
              <w:pStyle w:val="Tabletext"/>
            </w:pPr>
            <w:r w:rsidRPr="00CB21B0">
              <w:t>7</w:t>
            </w:r>
          </w:p>
        </w:tc>
        <w:tc>
          <w:tcPr>
            <w:tcW w:w="3371" w:type="dxa"/>
            <w:shd w:val="clear" w:color="auto" w:fill="auto"/>
          </w:tcPr>
          <w:p w:rsidR="007546BB" w:rsidRPr="00CB21B0" w:rsidRDefault="007546BB" w:rsidP="006E7AB7">
            <w:pPr>
              <w:pStyle w:val="Tabletext"/>
            </w:pPr>
            <w:r w:rsidRPr="00CB21B0">
              <w:t>A contravention of subsection</w:t>
            </w:r>
            <w:r w:rsidR="00CB21B0" w:rsidRPr="00CB21B0">
              <w:t> </w:t>
            </w:r>
            <w:r w:rsidRPr="00CB21B0">
              <w:t xml:space="preserve">69CD(1) </w:t>
            </w:r>
          </w:p>
        </w:tc>
        <w:tc>
          <w:tcPr>
            <w:tcW w:w="0" w:type="auto"/>
            <w:shd w:val="clear" w:color="auto" w:fill="auto"/>
          </w:tcPr>
          <w:p w:rsidR="007546BB" w:rsidRPr="00CB21B0" w:rsidRDefault="007546BB" w:rsidP="00185E66">
            <w:pPr>
              <w:pStyle w:val="Tabletext"/>
            </w:pPr>
            <w:r w:rsidRPr="00CB21B0">
              <w:t>15</w:t>
            </w:r>
          </w:p>
        </w:tc>
        <w:tc>
          <w:tcPr>
            <w:tcW w:w="0" w:type="auto"/>
            <w:shd w:val="clear" w:color="auto" w:fill="auto"/>
          </w:tcPr>
          <w:p w:rsidR="007546BB" w:rsidRPr="00CB21B0" w:rsidRDefault="007546BB" w:rsidP="00185E66">
            <w:pPr>
              <w:pStyle w:val="Tabletext"/>
            </w:pPr>
            <w:r w:rsidRPr="00CB21B0">
              <w:t>125</w:t>
            </w:r>
          </w:p>
        </w:tc>
      </w:tr>
      <w:tr w:rsidR="007B52B8" w:rsidRPr="00CB21B0" w:rsidTr="005C2D75">
        <w:tc>
          <w:tcPr>
            <w:tcW w:w="704" w:type="dxa"/>
            <w:shd w:val="clear" w:color="auto" w:fill="auto"/>
          </w:tcPr>
          <w:p w:rsidR="007546BB" w:rsidRPr="00CB21B0" w:rsidRDefault="007546BB" w:rsidP="00185E66">
            <w:pPr>
              <w:pStyle w:val="Tabletext"/>
            </w:pPr>
            <w:r w:rsidRPr="00CB21B0">
              <w:t>8</w:t>
            </w:r>
          </w:p>
        </w:tc>
        <w:tc>
          <w:tcPr>
            <w:tcW w:w="3371" w:type="dxa"/>
            <w:shd w:val="clear" w:color="auto" w:fill="auto"/>
          </w:tcPr>
          <w:p w:rsidR="007546BB" w:rsidRPr="00CB21B0" w:rsidRDefault="007546BB" w:rsidP="00185E66">
            <w:pPr>
              <w:pStyle w:val="Tabletext"/>
            </w:pPr>
            <w:r w:rsidRPr="00CB21B0">
              <w:t>A contravention of section</w:t>
            </w:r>
            <w:r w:rsidR="00CB21B0" w:rsidRPr="00CB21B0">
              <w:t> </w:t>
            </w:r>
            <w:r w:rsidRPr="00CB21B0">
              <w:t>69E</w:t>
            </w:r>
          </w:p>
        </w:tc>
        <w:tc>
          <w:tcPr>
            <w:tcW w:w="0" w:type="auto"/>
            <w:shd w:val="clear" w:color="auto" w:fill="auto"/>
          </w:tcPr>
          <w:p w:rsidR="007546BB" w:rsidRPr="00CB21B0" w:rsidRDefault="007546BB" w:rsidP="00185E66">
            <w:pPr>
              <w:pStyle w:val="Tabletext"/>
            </w:pPr>
            <w:r w:rsidRPr="00CB21B0">
              <w:t>15</w:t>
            </w:r>
          </w:p>
        </w:tc>
        <w:tc>
          <w:tcPr>
            <w:tcW w:w="0" w:type="auto"/>
            <w:shd w:val="clear" w:color="auto" w:fill="auto"/>
          </w:tcPr>
          <w:p w:rsidR="007546BB" w:rsidRPr="00CB21B0" w:rsidRDefault="007546BB" w:rsidP="00185E66">
            <w:pPr>
              <w:pStyle w:val="Tabletext"/>
            </w:pPr>
            <w:r w:rsidRPr="00CB21B0">
              <w:t>125</w:t>
            </w:r>
          </w:p>
        </w:tc>
      </w:tr>
      <w:tr w:rsidR="007B52B8" w:rsidRPr="00CB21B0" w:rsidTr="005C2D75">
        <w:tc>
          <w:tcPr>
            <w:tcW w:w="704" w:type="dxa"/>
            <w:tcBorders>
              <w:bottom w:val="single" w:sz="4" w:space="0" w:color="auto"/>
            </w:tcBorders>
            <w:shd w:val="clear" w:color="auto" w:fill="auto"/>
          </w:tcPr>
          <w:p w:rsidR="007546BB" w:rsidRPr="00CB21B0" w:rsidRDefault="007546BB" w:rsidP="00185E66">
            <w:pPr>
              <w:pStyle w:val="Tabletext"/>
            </w:pPr>
            <w:r w:rsidRPr="00CB21B0">
              <w:t>9</w:t>
            </w:r>
          </w:p>
        </w:tc>
        <w:tc>
          <w:tcPr>
            <w:tcW w:w="3371" w:type="dxa"/>
            <w:tcBorders>
              <w:bottom w:val="single" w:sz="4" w:space="0" w:color="auto"/>
            </w:tcBorders>
            <w:shd w:val="clear" w:color="auto" w:fill="auto"/>
          </w:tcPr>
          <w:p w:rsidR="007546BB" w:rsidRPr="00CB21B0" w:rsidRDefault="007546BB" w:rsidP="006E7AB7">
            <w:pPr>
              <w:pStyle w:val="Tabletext"/>
            </w:pPr>
            <w:r w:rsidRPr="00CB21B0">
              <w:t>A contravention of subsection</w:t>
            </w:r>
            <w:r w:rsidR="00CB21B0" w:rsidRPr="00CB21B0">
              <w:t> </w:t>
            </w:r>
            <w:r w:rsidRPr="00CB21B0">
              <w:t xml:space="preserve">69EA(1) </w:t>
            </w:r>
          </w:p>
        </w:tc>
        <w:tc>
          <w:tcPr>
            <w:tcW w:w="0" w:type="auto"/>
            <w:tcBorders>
              <w:bottom w:val="single" w:sz="4" w:space="0" w:color="auto"/>
            </w:tcBorders>
            <w:shd w:val="clear" w:color="auto" w:fill="auto"/>
          </w:tcPr>
          <w:p w:rsidR="007546BB" w:rsidRPr="00CB21B0" w:rsidRDefault="007546BB" w:rsidP="00185E66">
            <w:pPr>
              <w:pStyle w:val="Tabletext"/>
            </w:pPr>
            <w:r w:rsidRPr="00CB21B0">
              <w:t>15</w:t>
            </w:r>
          </w:p>
        </w:tc>
        <w:tc>
          <w:tcPr>
            <w:tcW w:w="0" w:type="auto"/>
            <w:tcBorders>
              <w:bottom w:val="single" w:sz="4" w:space="0" w:color="auto"/>
            </w:tcBorders>
            <w:shd w:val="clear" w:color="auto" w:fill="auto"/>
          </w:tcPr>
          <w:p w:rsidR="007546BB" w:rsidRPr="00CB21B0" w:rsidRDefault="007546BB" w:rsidP="00185E66">
            <w:pPr>
              <w:pStyle w:val="Tabletext"/>
            </w:pPr>
            <w:r w:rsidRPr="00CB21B0">
              <w:t>125</w:t>
            </w:r>
          </w:p>
        </w:tc>
      </w:tr>
      <w:tr w:rsidR="007B52B8" w:rsidRPr="00CB21B0" w:rsidTr="00BC7987">
        <w:tc>
          <w:tcPr>
            <w:tcW w:w="704" w:type="dxa"/>
            <w:tcBorders>
              <w:bottom w:val="single" w:sz="4" w:space="0" w:color="auto"/>
            </w:tcBorders>
            <w:shd w:val="clear" w:color="auto" w:fill="auto"/>
          </w:tcPr>
          <w:p w:rsidR="007546BB" w:rsidRPr="00CB21B0" w:rsidRDefault="007546BB" w:rsidP="00185E66">
            <w:pPr>
              <w:pStyle w:val="Tabletext"/>
            </w:pPr>
            <w:r w:rsidRPr="00CB21B0">
              <w:t>10</w:t>
            </w:r>
          </w:p>
        </w:tc>
        <w:tc>
          <w:tcPr>
            <w:tcW w:w="3371" w:type="dxa"/>
            <w:tcBorders>
              <w:bottom w:val="single" w:sz="4" w:space="0" w:color="auto"/>
            </w:tcBorders>
            <w:shd w:val="clear" w:color="auto" w:fill="auto"/>
          </w:tcPr>
          <w:p w:rsidR="007546BB" w:rsidRPr="00CB21B0" w:rsidRDefault="007546BB" w:rsidP="006E7AB7">
            <w:pPr>
              <w:pStyle w:val="Tabletext"/>
            </w:pPr>
            <w:r w:rsidRPr="00CB21B0">
              <w:t>A contravention of subsection</w:t>
            </w:r>
            <w:r w:rsidR="00CB21B0" w:rsidRPr="00CB21B0">
              <w:t> </w:t>
            </w:r>
            <w:r w:rsidRPr="00CB21B0">
              <w:t>69EA(1A)</w:t>
            </w:r>
          </w:p>
        </w:tc>
        <w:tc>
          <w:tcPr>
            <w:tcW w:w="0" w:type="auto"/>
            <w:tcBorders>
              <w:bottom w:val="single" w:sz="4" w:space="0" w:color="auto"/>
            </w:tcBorders>
            <w:shd w:val="clear" w:color="auto" w:fill="auto"/>
          </w:tcPr>
          <w:p w:rsidR="007546BB" w:rsidRPr="00CB21B0" w:rsidRDefault="007546BB" w:rsidP="00185E66">
            <w:pPr>
              <w:pStyle w:val="Tabletext"/>
            </w:pPr>
            <w:r w:rsidRPr="00CB21B0">
              <w:t>15</w:t>
            </w:r>
          </w:p>
        </w:tc>
        <w:tc>
          <w:tcPr>
            <w:tcW w:w="0" w:type="auto"/>
            <w:tcBorders>
              <w:bottom w:val="single" w:sz="4" w:space="0" w:color="auto"/>
            </w:tcBorders>
            <w:shd w:val="clear" w:color="auto" w:fill="auto"/>
          </w:tcPr>
          <w:p w:rsidR="007546BB" w:rsidRPr="00CB21B0" w:rsidRDefault="007546BB" w:rsidP="00185E66">
            <w:pPr>
              <w:pStyle w:val="Tabletext"/>
            </w:pPr>
            <w:r w:rsidRPr="00CB21B0">
              <w:t>125</w:t>
            </w:r>
          </w:p>
        </w:tc>
      </w:tr>
      <w:tr w:rsidR="000F39BC" w:rsidRPr="00CB21B0" w:rsidTr="00BC7987">
        <w:tc>
          <w:tcPr>
            <w:tcW w:w="7190" w:type="dxa"/>
            <w:gridSpan w:val="4"/>
            <w:tcBorders>
              <w:top w:val="single" w:sz="4" w:space="0" w:color="auto"/>
              <w:bottom w:val="single" w:sz="4" w:space="0" w:color="auto"/>
            </w:tcBorders>
            <w:shd w:val="clear" w:color="auto" w:fill="auto"/>
          </w:tcPr>
          <w:p w:rsidR="000F39BC" w:rsidRPr="00CB21B0" w:rsidRDefault="000F39BC" w:rsidP="00007EE4">
            <w:pPr>
              <w:pStyle w:val="TableHeading"/>
            </w:pPr>
            <w:r w:rsidRPr="00CB21B0">
              <w:t xml:space="preserve">Civil penalty provisions of the </w:t>
            </w:r>
            <w:r w:rsidR="005C2D75" w:rsidRPr="00CB21B0">
              <w:t xml:space="preserve">Collection </w:t>
            </w:r>
            <w:r w:rsidRPr="00CB21B0">
              <w:t>Act</w:t>
            </w:r>
          </w:p>
        </w:tc>
      </w:tr>
      <w:tr w:rsidR="007B52B8" w:rsidRPr="00CB21B0" w:rsidTr="00BC7987">
        <w:tc>
          <w:tcPr>
            <w:tcW w:w="0" w:type="auto"/>
            <w:tcBorders>
              <w:top w:val="single" w:sz="4" w:space="0" w:color="auto"/>
            </w:tcBorders>
            <w:shd w:val="clear" w:color="auto" w:fill="auto"/>
          </w:tcPr>
          <w:p w:rsidR="000F39BC" w:rsidRPr="00CB21B0" w:rsidRDefault="000F39BC" w:rsidP="00185E66">
            <w:pPr>
              <w:pStyle w:val="Tabletext"/>
            </w:pPr>
            <w:r w:rsidRPr="00CB21B0">
              <w:t>11</w:t>
            </w:r>
          </w:p>
        </w:tc>
        <w:tc>
          <w:tcPr>
            <w:tcW w:w="0" w:type="auto"/>
            <w:tcBorders>
              <w:top w:val="single" w:sz="4" w:space="0" w:color="auto"/>
            </w:tcBorders>
            <w:shd w:val="clear" w:color="auto" w:fill="auto"/>
          </w:tcPr>
          <w:p w:rsidR="000F39BC" w:rsidRPr="00CB21B0" w:rsidRDefault="000F39BC" w:rsidP="005C2D75">
            <w:pPr>
              <w:pStyle w:val="Tabletext"/>
            </w:pPr>
            <w:r w:rsidRPr="00CB21B0">
              <w:t>A contravention of section</w:t>
            </w:r>
            <w:r w:rsidR="00CB21B0" w:rsidRPr="00CB21B0">
              <w:t> </w:t>
            </w:r>
            <w:r w:rsidRPr="00CB21B0">
              <w:t xml:space="preserve">15 of the </w:t>
            </w:r>
            <w:r w:rsidR="005C2D75" w:rsidRPr="00CB21B0">
              <w:t>Collection</w:t>
            </w:r>
            <w:r w:rsidRPr="00CB21B0">
              <w:t xml:space="preserve"> Act</w:t>
            </w:r>
          </w:p>
        </w:tc>
        <w:tc>
          <w:tcPr>
            <w:tcW w:w="0" w:type="auto"/>
            <w:tcBorders>
              <w:top w:val="single" w:sz="4" w:space="0" w:color="auto"/>
            </w:tcBorders>
            <w:shd w:val="clear" w:color="auto" w:fill="auto"/>
          </w:tcPr>
          <w:p w:rsidR="000F39BC" w:rsidRPr="00CB21B0" w:rsidRDefault="000F39BC" w:rsidP="00185E66">
            <w:pPr>
              <w:pStyle w:val="Tabletext"/>
            </w:pPr>
            <w:r w:rsidRPr="00CB21B0">
              <w:t>15</w:t>
            </w:r>
          </w:p>
        </w:tc>
        <w:tc>
          <w:tcPr>
            <w:tcW w:w="0" w:type="auto"/>
            <w:tcBorders>
              <w:top w:val="single" w:sz="4" w:space="0" w:color="auto"/>
            </w:tcBorders>
            <w:shd w:val="clear" w:color="auto" w:fill="auto"/>
          </w:tcPr>
          <w:p w:rsidR="000F39BC" w:rsidRPr="00CB21B0" w:rsidRDefault="000F39BC" w:rsidP="00185E66">
            <w:pPr>
              <w:pStyle w:val="Tabletext"/>
            </w:pPr>
            <w:r w:rsidRPr="00CB21B0">
              <w:t>125</w:t>
            </w:r>
          </w:p>
        </w:tc>
      </w:tr>
      <w:tr w:rsidR="007B52B8" w:rsidRPr="00CB21B0" w:rsidTr="000F39BC">
        <w:tc>
          <w:tcPr>
            <w:tcW w:w="0" w:type="auto"/>
            <w:shd w:val="clear" w:color="auto" w:fill="auto"/>
          </w:tcPr>
          <w:p w:rsidR="000F39BC" w:rsidRPr="00CB21B0" w:rsidRDefault="000F39BC" w:rsidP="00185E66">
            <w:pPr>
              <w:pStyle w:val="Tabletext"/>
            </w:pPr>
            <w:r w:rsidRPr="00CB21B0">
              <w:t>12</w:t>
            </w:r>
          </w:p>
        </w:tc>
        <w:tc>
          <w:tcPr>
            <w:tcW w:w="0" w:type="auto"/>
            <w:shd w:val="clear" w:color="auto" w:fill="auto"/>
          </w:tcPr>
          <w:p w:rsidR="000F39BC" w:rsidRPr="00CB21B0" w:rsidRDefault="000F39BC" w:rsidP="005C2D75">
            <w:pPr>
              <w:pStyle w:val="Tabletext"/>
            </w:pPr>
            <w:r w:rsidRPr="00CB21B0">
              <w:t>A contravention of section</w:t>
            </w:r>
            <w:r w:rsidR="00CB21B0" w:rsidRPr="00CB21B0">
              <w:t> </w:t>
            </w:r>
            <w:r w:rsidRPr="00CB21B0">
              <w:t xml:space="preserve">20 of the </w:t>
            </w:r>
            <w:r w:rsidR="005C2D75" w:rsidRPr="00CB21B0">
              <w:t>Collection</w:t>
            </w:r>
            <w:r w:rsidRPr="00CB21B0">
              <w:t xml:space="preserve"> Act</w:t>
            </w:r>
          </w:p>
        </w:tc>
        <w:tc>
          <w:tcPr>
            <w:tcW w:w="0" w:type="auto"/>
            <w:shd w:val="clear" w:color="auto" w:fill="auto"/>
          </w:tcPr>
          <w:p w:rsidR="000F39BC" w:rsidRPr="00CB21B0" w:rsidRDefault="000F39BC" w:rsidP="00185E66">
            <w:pPr>
              <w:pStyle w:val="Tabletext"/>
            </w:pPr>
            <w:r w:rsidRPr="00CB21B0">
              <w:t>15</w:t>
            </w:r>
          </w:p>
        </w:tc>
        <w:tc>
          <w:tcPr>
            <w:tcW w:w="0" w:type="auto"/>
            <w:shd w:val="clear" w:color="auto" w:fill="auto"/>
          </w:tcPr>
          <w:p w:rsidR="000F39BC" w:rsidRPr="00CB21B0" w:rsidRDefault="000F39BC" w:rsidP="00185E66">
            <w:pPr>
              <w:pStyle w:val="Tabletext"/>
            </w:pPr>
            <w:r w:rsidRPr="00CB21B0">
              <w:t>125</w:t>
            </w:r>
          </w:p>
        </w:tc>
      </w:tr>
      <w:tr w:rsidR="007B52B8" w:rsidRPr="00CB21B0" w:rsidTr="00185E66">
        <w:tc>
          <w:tcPr>
            <w:tcW w:w="0" w:type="auto"/>
            <w:tcBorders>
              <w:bottom w:val="single" w:sz="12" w:space="0" w:color="auto"/>
            </w:tcBorders>
            <w:shd w:val="clear" w:color="auto" w:fill="auto"/>
          </w:tcPr>
          <w:p w:rsidR="000F39BC" w:rsidRPr="00CB21B0" w:rsidRDefault="000F39BC" w:rsidP="00185E66">
            <w:pPr>
              <w:pStyle w:val="Tabletext"/>
            </w:pPr>
            <w:r w:rsidRPr="00CB21B0">
              <w:t>13</w:t>
            </w:r>
          </w:p>
        </w:tc>
        <w:tc>
          <w:tcPr>
            <w:tcW w:w="0" w:type="auto"/>
            <w:tcBorders>
              <w:bottom w:val="single" w:sz="12" w:space="0" w:color="auto"/>
            </w:tcBorders>
            <w:shd w:val="clear" w:color="auto" w:fill="auto"/>
          </w:tcPr>
          <w:p w:rsidR="000F39BC" w:rsidRPr="00CB21B0" w:rsidRDefault="000F39BC" w:rsidP="005C2D75">
            <w:pPr>
              <w:pStyle w:val="Tabletext"/>
            </w:pPr>
            <w:r w:rsidRPr="00CB21B0">
              <w:t>A contravention of section</w:t>
            </w:r>
            <w:r w:rsidR="00CB21B0" w:rsidRPr="00CB21B0">
              <w:t> </w:t>
            </w:r>
            <w:r w:rsidRPr="00CB21B0">
              <w:t xml:space="preserve">36 of the </w:t>
            </w:r>
            <w:r w:rsidR="005C2D75" w:rsidRPr="00CB21B0">
              <w:t>Collection</w:t>
            </w:r>
            <w:r w:rsidRPr="00CB21B0">
              <w:t xml:space="preserve"> Act</w:t>
            </w:r>
          </w:p>
        </w:tc>
        <w:tc>
          <w:tcPr>
            <w:tcW w:w="0" w:type="auto"/>
            <w:tcBorders>
              <w:bottom w:val="single" w:sz="12" w:space="0" w:color="auto"/>
            </w:tcBorders>
            <w:shd w:val="clear" w:color="auto" w:fill="auto"/>
          </w:tcPr>
          <w:p w:rsidR="000F39BC" w:rsidRPr="00CB21B0" w:rsidRDefault="000F39BC" w:rsidP="00185E66">
            <w:pPr>
              <w:pStyle w:val="Tabletext"/>
            </w:pPr>
            <w:r w:rsidRPr="00CB21B0">
              <w:t>15</w:t>
            </w:r>
          </w:p>
        </w:tc>
        <w:tc>
          <w:tcPr>
            <w:tcW w:w="0" w:type="auto"/>
            <w:tcBorders>
              <w:bottom w:val="single" w:sz="12" w:space="0" w:color="auto"/>
            </w:tcBorders>
            <w:shd w:val="clear" w:color="auto" w:fill="auto"/>
          </w:tcPr>
          <w:p w:rsidR="000F39BC" w:rsidRPr="00CB21B0" w:rsidRDefault="00100B21" w:rsidP="00185E66">
            <w:pPr>
              <w:pStyle w:val="Tabletext"/>
            </w:pPr>
            <w:r w:rsidRPr="00CB21B0">
              <w:t>1</w:t>
            </w:r>
            <w:r w:rsidR="000F39BC" w:rsidRPr="00CB21B0">
              <w:t>25</w:t>
            </w:r>
          </w:p>
        </w:tc>
      </w:tr>
    </w:tbl>
    <w:p w:rsidR="007546BB" w:rsidRPr="00CB21B0" w:rsidRDefault="007546BB" w:rsidP="007546BB">
      <w:pPr>
        <w:pStyle w:val="Tabletext"/>
      </w:pPr>
    </w:p>
    <w:p w:rsidR="00975214" w:rsidRPr="00CB21B0" w:rsidRDefault="00220E6F" w:rsidP="00975214">
      <w:pPr>
        <w:pStyle w:val="ItemHead"/>
      </w:pPr>
      <w:r w:rsidRPr="00CB21B0">
        <w:t>10</w:t>
      </w:r>
      <w:r w:rsidR="00E8470C" w:rsidRPr="00CB21B0">
        <w:t xml:space="preserve">  Schedule</w:t>
      </w:r>
      <w:r w:rsidR="00CB21B0" w:rsidRPr="00CB21B0">
        <w:t> </w:t>
      </w:r>
      <w:r w:rsidR="00E8470C" w:rsidRPr="00CB21B0">
        <w:t>6</w:t>
      </w:r>
    </w:p>
    <w:p w:rsidR="00E8470C" w:rsidRPr="00CB21B0" w:rsidRDefault="00E8470C" w:rsidP="00975214">
      <w:pPr>
        <w:pStyle w:val="Item"/>
      </w:pPr>
      <w:r w:rsidRPr="00CB21B0">
        <w:t>Repeal the Schedule.</w:t>
      </w:r>
    </w:p>
    <w:p w:rsidR="007920DF" w:rsidRPr="00CB21B0" w:rsidRDefault="007920DF" w:rsidP="007920DF">
      <w:pPr>
        <w:pStyle w:val="ActHead9"/>
      </w:pPr>
      <w:bookmarkStart w:id="23" w:name="_Toc361055021"/>
      <w:r w:rsidRPr="00CB21B0">
        <w:lastRenderedPageBreak/>
        <w:t>Agricultural and Veterinary Chemicals Code Regulations</w:t>
      </w:r>
      <w:r w:rsidR="00CB21B0" w:rsidRPr="00CB21B0">
        <w:t> </w:t>
      </w:r>
      <w:r w:rsidRPr="00CB21B0">
        <w:t>1995</w:t>
      </w:r>
      <w:bookmarkEnd w:id="23"/>
    </w:p>
    <w:p w:rsidR="007920DF" w:rsidRPr="00CB21B0" w:rsidRDefault="00220E6F" w:rsidP="007920DF">
      <w:pPr>
        <w:pStyle w:val="ItemHead"/>
      </w:pPr>
      <w:r w:rsidRPr="00CB21B0">
        <w:t>11</w:t>
      </w:r>
      <w:r w:rsidR="007920DF" w:rsidRPr="00CB21B0">
        <w:t xml:space="preserve">  Before regulation</w:t>
      </w:r>
      <w:r w:rsidR="00CB21B0" w:rsidRPr="00CB21B0">
        <w:t> </w:t>
      </w:r>
      <w:r w:rsidR="007920DF" w:rsidRPr="00CB21B0">
        <w:t>1</w:t>
      </w:r>
    </w:p>
    <w:p w:rsidR="007920DF" w:rsidRPr="00CB21B0" w:rsidRDefault="007920DF" w:rsidP="007920DF">
      <w:pPr>
        <w:pStyle w:val="Item"/>
      </w:pPr>
      <w:r w:rsidRPr="00CB21B0">
        <w:t>Insert:</w:t>
      </w:r>
    </w:p>
    <w:p w:rsidR="007920DF" w:rsidRPr="00CB21B0" w:rsidRDefault="007920DF" w:rsidP="007920DF">
      <w:pPr>
        <w:pStyle w:val="ActHead3"/>
      </w:pPr>
      <w:bookmarkStart w:id="24" w:name="_Toc361055022"/>
      <w:r w:rsidRPr="00CB21B0">
        <w:rPr>
          <w:rStyle w:val="CharDivNo"/>
        </w:rPr>
        <w:t>Division</w:t>
      </w:r>
      <w:r w:rsidR="00CB21B0" w:rsidRPr="00CB21B0">
        <w:rPr>
          <w:rStyle w:val="CharDivNo"/>
        </w:rPr>
        <w:t> </w:t>
      </w:r>
      <w:r w:rsidRPr="00CB21B0">
        <w:rPr>
          <w:rStyle w:val="CharDivNo"/>
        </w:rPr>
        <w:t>1.1A</w:t>
      </w:r>
      <w:r w:rsidRPr="00CB21B0">
        <w:t>—</w:t>
      </w:r>
      <w:r w:rsidRPr="00CB21B0">
        <w:rPr>
          <w:rStyle w:val="CharDivText"/>
        </w:rPr>
        <w:t>Name and commencement</w:t>
      </w:r>
      <w:bookmarkEnd w:id="24"/>
    </w:p>
    <w:p w:rsidR="007920DF" w:rsidRPr="00CB21B0" w:rsidRDefault="00220E6F" w:rsidP="007920DF">
      <w:pPr>
        <w:pStyle w:val="ItemHead"/>
      </w:pPr>
      <w:r w:rsidRPr="00CB21B0">
        <w:t>12</w:t>
      </w:r>
      <w:r w:rsidR="007920DF" w:rsidRPr="00CB21B0">
        <w:t xml:space="preserve">  After regulation</w:t>
      </w:r>
      <w:r w:rsidR="00CB21B0" w:rsidRPr="00CB21B0">
        <w:t> </w:t>
      </w:r>
      <w:r w:rsidR="007920DF" w:rsidRPr="00CB21B0">
        <w:t>2</w:t>
      </w:r>
    </w:p>
    <w:p w:rsidR="007920DF" w:rsidRPr="00CB21B0" w:rsidRDefault="007920DF" w:rsidP="007920DF">
      <w:pPr>
        <w:pStyle w:val="Item"/>
      </w:pPr>
      <w:r w:rsidRPr="00CB21B0">
        <w:t>Insert:</w:t>
      </w:r>
    </w:p>
    <w:p w:rsidR="007920DF" w:rsidRPr="00CB21B0" w:rsidRDefault="007920DF" w:rsidP="007920DF">
      <w:pPr>
        <w:pStyle w:val="ActHead3"/>
      </w:pPr>
      <w:bookmarkStart w:id="25" w:name="_Toc361055023"/>
      <w:r w:rsidRPr="00CB21B0">
        <w:rPr>
          <w:rStyle w:val="CharDivNo"/>
        </w:rPr>
        <w:t>Division</w:t>
      </w:r>
      <w:r w:rsidR="00CB21B0" w:rsidRPr="00CB21B0">
        <w:rPr>
          <w:rStyle w:val="CharDivNo"/>
        </w:rPr>
        <w:t> </w:t>
      </w:r>
      <w:r w:rsidRPr="00CB21B0">
        <w:rPr>
          <w:rStyle w:val="CharDivNo"/>
        </w:rPr>
        <w:t>1.1</w:t>
      </w:r>
      <w:r w:rsidRPr="00CB21B0">
        <w:t>—</w:t>
      </w:r>
      <w:r w:rsidRPr="00CB21B0">
        <w:rPr>
          <w:rStyle w:val="CharDivText"/>
        </w:rPr>
        <w:t>Definitions</w:t>
      </w:r>
      <w:bookmarkEnd w:id="25"/>
    </w:p>
    <w:p w:rsidR="007920DF" w:rsidRPr="00CB21B0" w:rsidRDefault="00220E6F" w:rsidP="007920DF">
      <w:pPr>
        <w:pStyle w:val="ItemHead"/>
      </w:pPr>
      <w:r w:rsidRPr="00CB21B0">
        <w:t>13</w:t>
      </w:r>
      <w:r w:rsidR="007920DF" w:rsidRPr="00CB21B0">
        <w:t xml:space="preserve">  Subregulation</w:t>
      </w:r>
      <w:r w:rsidR="00CB21B0" w:rsidRPr="00CB21B0">
        <w:t> </w:t>
      </w:r>
      <w:r w:rsidR="007920DF" w:rsidRPr="00CB21B0">
        <w:t>3(1)</w:t>
      </w:r>
    </w:p>
    <w:p w:rsidR="007920DF" w:rsidRPr="00CB21B0" w:rsidRDefault="007920DF" w:rsidP="007920DF">
      <w:pPr>
        <w:pStyle w:val="Item"/>
      </w:pPr>
      <w:r w:rsidRPr="00CB21B0">
        <w:t>Insert:</w:t>
      </w:r>
    </w:p>
    <w:p w:rsidR="007920DF" w:rsidRPr="00CB21B0" w:rsidRDefault="007920DF" w:rsidP="007920DF">
      <w:pPr>
        <w:pStyle w:val="Definition"/>
      </w:pPr>
      <w:r w:rsidRPr="00CB21B0">
        <w:rPr>
          <w:b/>
          <w:i/>
        </w:rPr>
        <w:t>application information details</w:t>
      </w:r>
      <w:r w:rsidRPr="00CB21B0">
        <w:t>, for an item of information contained in or accompanying an application, means the following details:</w:t>
      </w:r>
    </w:p>
    <w:p w:rsidR="007920DF" w:rsidRPr="00CB21B0" w:rsidRDefault="007920DF" w:rsidP="007920DF">
      <w:pPr>
        <w:pStyle w:val="paragraph"/>
      </w:pPr>
      <w:r w:rsidRPr="00CB21B0">
        <w:tab/>
        <w:t>(a)</w:t>
      </w:r>
      <w:r w:rsidRPr="00CB21B0">
        <w:tab/>
        <w:t>the title shown on the item of information;</w:t>
      </w:r>
    </w:p>
    <w:p w:rsidR="007920DF" w:rsidRPr="00CB21B0" w:rsidRDefault="007920DF" w:rsidP="007920DF">
      <w:pPr>
        <w:pStyle w:val="paragraph"/>
      </w:pPr>
      <w:r w:rsidRPr="00CB21B0">
        <w:tab/>
        <w:t>(b)</w:t>
      </w:r>
      <w:r w:rsidRPr="00CB21B0">
        <w:tab/>
        <w:t>the name of the author, or each of the authors, of the information;</w:t>
      </w:r>
    </w:p>
    <w:p w:rsidR="007920DF" w:rsidRPr="00CB21B0" w:rsidRDefault="007920DF" w:rsidP="007920DF">
      <w:pPr>
        <w:pStyle w:val="paragraph"/>
      </w:pPr>
      <w:r w:rsidRPr="00CB21B0">
        <w:tab/>
        <w:t>(c)</w:t>
      </w:r>
      <w:r w:rsidRPr="00CB21B0">
        <w:tab/>
        <w:t>the date shown on the item of information (if any);</w:t>
      </w:r>
    </w:p>
    <w:p w:rsidR="007920DF" w:rsidRPr="00CB21B0" w:rsidRDefault="007920DF" w:rsidP="007920DF">
      <w:pPr>
        <w:pStyle w:val="paragraph"/>
      </w:pPr>
      <w:r w:rsidRPr="00CB21B0">
        <w:tab/>
        <w:t>(d)</w:t>
      </w:r>
      <w:r w:rsidRPr="00CB21B0">
        <w:tab/>
        <w:t>if no date is shown on the item of information—the date when the preparation of the information was completed;</w:t>
      </w:r>
    </w:p>
    <w:p w:rsidR="007920DF" w:rsidRPr="00CB21B0" w:rsidRDefault="007920DF" w:rsidP="007920DF">
      <w:pPr>
        <w:pStyle w:val="paragraph"/>
      </w:pPr>
      <w:r w:rsidRPr="00CB21B0">
        <w:tab/>
        <w:t>(e)</w:t>
      </w:r>
      <w:r w:rsidRPr="00CB21B0">
        <w:tab/>
        <w:t>if the information was published:</w:t>
      </w:r>
    </w:p>
    <w:p w:rsidR="007920DF" w:rsidRPr="00CB21B0" w:rsidRDefault="007920DF" w:rsidP="007920DF">
      <w:pPr>
        <w:pStyle w:val="paragraphsub"/>
      </w:pPr>
      <w:r w:rsidRPr="00CB21B0">
        <w:tab/>
        <w:t>(i)</w:t>
      </w:r>
      <w:r w:rsidRPr="00CB21B0">
        <w:tab/>
        <w:t>the date when it was published; and</w:t>
      </w:r>
    </w:p>
    <w:p w:rsidR="007920DF" w:rsidRPr="00CB21B0" w:rsidRDefault="007920DF" w:rsidP="007920DF">
      <w:pPr>
        <w:pStyle w:val="paragraphsub"/>
      </w:pPr>
      <w:r w:rsidRPr="00CB21B0">
        <w:tab/>
        <w:t>(ii)</w:t>
      </w:r>
      <w:r w:rsidRPr="00CB21B0">
        <w:tab/>
        <w:t>the name of the publication in which it was published;</w:t>
      </w:r>
    </w:p>
    <w:p w:rsidR="00100B21" w:rsidRPr="00CB21B0" w:rsidRDefault="007920DF" w:rsidP="007920DF">
      <w:pPr>
        <w:pStyle w:val="paragraph"/>
      </w:pPr>
      <w:r w:rsidRPr="00CB21B0">
        <w:tab/>
        <w:t>(f)</w:t>
      </w:r>
      <w:r w:rsidRPr="00CB21B0">
        <w:tab/>
        <w:t>a unique identifier for the item of information</w:t>
      </w:r>
      <w:r w:rsidR="0011102E" w:rsidRPr="00CB21B0">
        <w:t xml:space="preserve"> that in</w:t>
      </w:r>
      <w:r w:rsidR="00920B68" w:rsidRPr="00CB21B0">
        <w:t>dicates</w:t>
      </w:r>
      <w:r w:rsidR="00E25813" w:rsidRPr="00CB21B0">
        <w:t xml:space="preserve"> </w:t>
      </w:r>
      <w:r w:rsidR="0011102E" w:rsidRPr="00CB21B0">
        <w:t>the location of the item in the application</w:t>
      </w:r>
      <w:r w:rsidR="00100B21" w:rsidRPr="00CB21B0">
        <w:t>;</w:t>
      </w:r>
    </w:p>
    <w:p w:rsidR="007920DF" w:rsidRPr="00CB21B0" w:rsidRDefault="007920DF" w:rsidP="007920DF">
      <w:pPr>
        <w:pStyle w:val="paragraph"/>
      </w:pPr>
      <w:r w:rsidRPr="00CB21B0">
        <w:tab/>
        <w:t>(g)</w:t>
      </w:r>
      <w:r w:rsidRPr="00CB21B0">
        <w:tab/>
        <w:t>the name and address of the authorising party for the information.</w:t>
      </w:r>
    </w:p>
    <w:p w:rsidR="00100B21" w:rsidRPr="00CB21B0" w:rsidRDefault="008C374B" w:rsidP="00100B21">
      <w:pPr>
        <w:pStyle w:val="notetext"/>
      </w:pPr>
      <w:r w:rsidRPr="00CB21B0">
        <w:t>Example</w:t>
      </w:r>
      <w:r w:rsidR="00100B21" w:rsidRPr="00CB21B0">
        <w:t>:</w:t>
      </w:r>
      <w:r w:rsidR="00100B21" w:rsidRPr="00CB21B0">
        <w:tab/>
        <w:t xml:space="preserve">An example for </w:t>
      </w:r>
      <w:r w:rsidR="00CB21B0" w:rsidRPr="00CB21B0">
        <w:t>paragraph (</w:t>
      </w:r>
      <w:r w:rsidR="00100B21" w:rsidRPr="00CB21B0">
        <w:t>f) is the volume and page number where the item of information is located in the application.</w:t>
      </w:r>
    </w:p>
    <w:p w:rsidR="001A235A" w:rsidRPr="00CB21B0" w:rsidRDefault="00220E6F" w:rsidP="001A235A">
      <w:pPr>
        <w:pStyle w:val="ItemHead"/>
      </w:pPr>
      <w:r w:rsidRPr="00CB21B0">
        <w:lastRenderedPageBreak/>
        <w:t>14</w:t>
      </w:r>
      <w:r w:rsidR="001A235A" w:rsidRPr="00CB21B0">
        <w:t xml:space="preserve">  Subregulation</w:t>
      </w:r>
      <w:r w:rsidR="00CB21B0" w:rsidRPr="00CB21B0">
        <w:t> </w:t>
      </w:r>
      <w:r w:rsidR="001A235A" w:rsidRPr="00CB21B0">
        <w:t xml:space="preserve">3(1) (definition of </w:t>
      </w:r>
      <w:r w:rsidR="001A235A" w:rsidRPr="00CB21B0">
        <w:rPr>
          <w:i/>
        </w:rPr>
        <w:t>approved active constituent</w:t>
      </w:r>
      <w:r w:rsidR="001A235A" w:rsidRPr="00CB21B0">
        <w:t>)</w:t>
      </w:r>
    </w:p>
    <w:p w:rsidR="001A235A" w:rsidRPr="00CB21B0" w:rsidRDefault="001A235A" w:rsidP="001A235A">
      <w:pPr>
        <w:pStyle w:val="Item"/>
      </w:pPr>
      <w:r w:rsidRPr="00CB21B0">
        <w:t>Repeal the definition.</w:t>
      </w:r>
    </w:p>
    <w:p w:rsidR="009157CF" w:rsidRPr="00CB21B0" w:rsidRDefault="00220E6F" w:rsidP="009157CF">
      <w:pPr>
        <w:pStyle w:val="ItemHead"/>
      </w:pPr>
      <w:r w:rsidRPr="00CB21B0">
        <w:t>15</w:t>
      </w:r>
      <w:r w:rsidR="009157CF" w:rsidRPr="00CB21B0">
        <w:t xml:space="preserve">  Subregulation</w:t>
      </w:r>
      <w:r w:rsidR="00CB21B0" w:rsidRPr="00CB21B0">
        <w:t> </w:t>
      </w:r>
      <w:r w:rsidR="009157CF" w:rsidRPr="00CB21B0">
        <w:t>3(1)</w:t>
      </w:r>
    </w:p>
    <w:p w:rsidR="009157CF" w:rsidRPr="00CB21B0" w:rsidRDefault="009157CF" w:rsidP="009157CF">
      <w:pPr>
        <w:pStyle w:val="Item"/>
      </w:pPr>
      <w:r w:rsidRPr="00CB21B0">
        <w:t>Insert:</w:t>
      </w:r>
    </w:p>
    <w:p w:rsidR="009157CF" w:rsidRPr="00CB21B0" w:rsidRDefault="009157CF" w:rsidP="005815C4">
      <w:pPr>
        <w:pStyle w:val="Definition"/>
      </w:pPr>
      <w:r w:rsidRPr="00CB21B0">
        <w:rPr>
          <w:b/>
          <w:i/>
        </w:rPr>
        <w:t>APVMA CEO</w:t>
      </w:r>
      <w:r w:rsidRPr="00CB21B0">
        <w:t xml:space="preserve"> means the Chief Executive Officer of the APVMA.</w:t>
      </w:r>
    </w:p>
    <w:p w:rsidR="006E7AB7" w:rsidRPr="00CB21B0" w:rsidRDefault="00220E6F" w:rsidP="006E7AB7">
      <w:pPr>
        <w:pStyle w:val="ItemHead"/>
        <w:rPr>
          <w:rFonts w:cs="Arial"/>
        </w:rPr>
      </w:pPr>
      <w:r w:rsidRPr="00CB21B0">
        <w:rPr>
          <w:rFonts w:cs="Arial"/>
        </w:rPr>
        <w:t>16</w:t>
      </w:r>
      <w:r w:rsidR="006E7AB7" w:rsidRPr="00CB21B0">
        <w:rPr>
          <w:rFonts w:cs="Arial"/>
        </w:rPr>
        <w:t xml:space="preserve">  Subregulation</w:t>
      </w:r>
      <w:r w:rsidR="00CB21B0" w:rsidRPr="00CB21B0">
        <w:rPr>
          <w:rFonts w:cs="Arial"/>
        </w:rPr>
        <w:t> </w:t>
      </w:r>
      <w:r w:rsidR="006E7AB7" w:rsidRPr="00CB21B0">
        <w:rPr>
          <w:rFonts w:cs="Arial"/>
        </w:rPr>
        <w:t>3(1)</w:t>
      </w:r>
    </w:p>
    <w:p w:rsidR="006E7AB7" w:rsidRPr="00CB21B0" w:rsidRDefault="006E7AB7" w:rsidP="006E7AB7">
      <w:pPr>
        <w:pStyle w:val="Item"/>
      </w:pPr>
      <w:r w:rsidRPr="00CB21B0">
        <w:t>Insert:</w:t>
      </w:r>
    </w:p>
    <w:p w:rsidR="006E7AB7" w:rsidRPr="00CB21B0" w:rsidRDefault="006E7AB7" w:rsidP="006E7AB7">
      <w:pPr>
        <w:pStyle w:val="Definition"/>
      </w:pPr>
      <w:r w:rsidRPr="00CB21B0">
        <w:rPr>
          <w:b/>
          <w:i/>
        </w:rPr>
        <w:t>collecting agency</w:t>
      </w:r>
      <w:r w:rsidRPr="00CB21B0">
        <w:t xml:space="preserve"> has the meaning given by subsection</w:t>
      </w:r>
      <w:r w:rsidR="00CB21B0" w:rsidRPr="00CB21B0">
        <w:t> </w:t>
      </w:r>
      <w:r w:rsidRPr="00CB21B0">
        <w:t xml:space="preserve">3(1) of the </w:t>
      </w:r>
      <w:r w:rsidRPr="00CB21B0">
        <w:rPr>
          <w:i/>
        </w:rPr>
        <w:t>Agricultural and Veterinary Chemical Products (Collection of Levy) Act 1994</w:t>
      </w:r>
      <w:r w:rsidRPr="00CB21B0">
        <w:t>.</w:t>
      </w:r>
    </w:p>
    <w:p w:rsidR="007920DF" w:rsidRPr="00CB21B0" w:rsidRDefault="00220E6F" w:rsidP="008D064B">
      <w:pPr>
        <w:pStyle w:val="ItemHead"/>
      </w:pPr>
      <w:r w:rsidRPr="00CB21B0">
        <w:t>17</w:t>
      </w:r>
      <w:r w:rsidR="007920DF" w:rsidRPr="00CB21B0">
        <w:t xml:space="preserve">  Subregulation</w:t>
      </w:r>
      <w:r w:rsidR="00CB21B0" w:rsidRPr="00CB21B0">
        <w:t> </w:t>
      </w:r>
      <w:r w:rsidR="007920DF" w:rsidRPr="00CB21B0">
        <w:t xml:space="preserve">3(1) (definition of </w:t>
      </w:r>
      <w:r w:rsidR="007920DF" w:rsidRPr="00CB21B0">
        <w:rPr>
          <w:i/>
        </w:rPr>
        <w:t>CSIRO</w:t>
      </w:r>
      <w:r w:rsidR="007920DF" w:rsidRPr="00CB21B0">
        <w:t>)</w:t>
      </w:r>
    </w:p>
    <w:p w:rsidR="007920DF" w:rsidRPr="00CB21B0" w:rsidRDefault="007920DF" w:rsidP="007920DF">
      <w:pPr>
        <w:pStyle w:val="Item"/>
      </w:pPr>
      <w:r w:rsidRPr="00CB21B0">
        <w:t>Omit “Organization”, substitute “Organisation”.</w:t>
      </w:r>
    </w:p>
    <w:p w:rsidR="007920DF" w:rsidRPr="00CB21B0" w:rsidRDefault="00220E6F" w:rsidP="007920DF">
      <w:pPr>
        <w:pStyle w:val="ItemHead"/>
        <w:rPr>
          <w:rFonts w:cs="Arial"/>
        </w:rPr>
      </w:pPr>
      <w:r w:rsidRPr="00CB21B0">
        <w:rPr>
          <w:rFonts w:cs="Arial"/>
          <w:noProof/>
        </w:rPr>
        <w:t>18</w:t>
      </w:r>
      <w:r w:rsidR="007920DF" w:rsidRPr="00CB21B0">
        <w:rPr>
          <w:rFonts w:cs="Arial"/>
        </w:rPr>
        <w:t xml:space="preserve">  Subregulation</w:t>
      </w:r>
      <w:r w:rsidR="00CB21B0" w:rsidRPr="00CB21B0">
        <w:rPr>
          <w:rFonts w:cs="Arial"/>
        </w:rPr>
        <w:t> </w:t>
      </w:r>
      <w:r w:rsidR="007920DF" w:rsidRPr="00CB21B0">
        <w:rPr>
          <w:rFonts w:cs="Arial"/>
        </w:rPr>
        <w:t xml:space="preserve">3(1) (definition of </w:t>
      </w:r>
      <w:r w:rsidR="007920DF" w:rsidRPr="00CB21B0">
        <w:rPr>
          <w:rFonts w:cs="Arial"/>
          <w:i/>
        </w:rPr>
        <w:t>emergency use</w:t>
      </w:r>
      <w:r w:rsidR="007920DF" w:rsidRPr="00CB21B0">
        <w:rPr>
          <w:rFonts w:cs="Arial"/>
        </w:rPr>
        <w:t>)</w:t>
      </w:r>
    </w:p>
    <w:p w:rsidR="007920DF" w:rsidRPr="00CB21B0" w:rsidRDefault="007920DF" w:rsidP="007920DF">
      <w:pPr>
        <w:pStyle w:val="Item"/>
      </w:pPr>
      <w:r w:rsidRPr="00CB21B0">
        <w:t>Repeal the definition, substitute:</w:t>
      </w:r>
    </w:p>
    <w:p w:rsidR="0036038A" w:rsidRPr="00CB21B0" w:rsidRDefault="007920DF" w:rsidP="0036038A">
      <w:pPr>
        <w:pStyle w:val="Definition"/>
      </w:pPr>
      <w:r w:rsidRPr="00CB21B0">
        <w:rPr>
          <w:b/>
          <w:bCs/>
          <w:i/>
          <w:iCs/>
        </w:rPr>
        <w:t>emergency use</w:t>
      </w:r>
      <w:r w:rsidRPr="00CB21B0">
        <w:t>, in relation to a chemical product or an active constituent, means a use of the product or constituent in the genuine belief that</w:t>
      </w:r>
      <w:r w:rsidR="00E07103" w:rsidRPr="00CB21B0">
        <w:t xml:space="preserve"> the use</w:t>
      </w:r>
      <w:r w:rsidRPr="00CB21B0">
        <w:t xml:space="preserve"> is required because of an</w:t>
      </w:r>
      <w:r w:rsidR="00E07103" w:rsidRPr="00CB21B0">
        <w:t xml:space="preserve"> emergency</w:t>
      </w:r>
      <w:r w:rsidR="00B46965" w:rsidRPr="00CB21B0">
        <w:t xml:space="preserve"> or impending emergency.</w:t>
      </w:r>
    </w:p>
    <w:p w:rsidR="009F1121" w:rsidRPr="00CB21B0" w:rsidRDefault="009F1121" w:rsidP="009F1121">
      <w:pPr>
        <w:pStyle w:val="ItemHead"/>
      </w:pPr>
      <w:r w:rsidRPr="00CB21B0">
        <w:t>19  Subregulation</w:t>
      </w:r>
      <w:r w:rsidR="00CB21B0" w:rsidRPr="00CB21B0">
        <w:t> </w:t>
      </w:r>
      <w:r w:rsidRPr="00CB21B0">
        <w:t>3(1)</w:t>
      </w:r>
    </w:p>
    <w:p w:rsidR="009F1121" w:rsidRPr="00CB21B0" w:rsidRDefault="009F1121" w:rsidP="009F1121">
      <w:pPr>
        <w:pStyle w:val="Item"/>
      </w:pPr>
      <w:r w:rsidRPr="00CB21B0">
        <w:t>Insert:</w:t>
      </w:r>
    </w:p>
    <w:p w:rsidR="009F1121" w:rsidRPr="00CB21B0" w:rsidRDefault="009F1121" w:rsidP="009F1121">
      <w:pPr>
        <w:pStyle w:val="Definition"/>
      </w:pPr>
      <w:r w:rsidRPr="00CB21B0">
        <w:rPr>
          <w:b/>
          <w:i/>
        </w:rPr>
        <w:t>FAO and WHO Specifications for Pesticides</w:t>
      </w:r>
      <w:r w:rsidRPr="00CB21B0">
        <w:t xml:space="preserve"> means specifications for pesticides or plant protection products published by the Food and Agriculture Organization of the United Nations or the World Health Organization of the United Nations.</w:t>
      </w:r>
    </w:p>
    <w:p w:rsidR="000D22DA" w:rsidRPr="00CB21B0" w:rsidRDefault="009F1121" w:rsidP="000D22DA">
      <w:pPr>
        <w:pStyle w:val="ItemHead"/>
      </w:pPr>
      <w:r w:rsidRPr="00CB21B0">
        <w:t>20</w:t>
      </w:r>
      <w:r w:rsidR="000D22DA" w:rsidRPr="00CB21B0">
        <w:t xml:space="preserve">  Subregulation</w:t>
      </w:r>
      <w:r w:rsidR="00CB21B0" w:rsidRPr="00CB21B0">
        <w:t> </w:t>
      </w:r>
      <w:r w:rsidR="000D22DA" w:rsidRPr="00CB21B0">
        <w:t xml:space="preserve">3(1) (definition of </w:t>
      </w:r>
      <w:r w:rsidR="000D22DA" w:rsidRPr="00CB21B0">
        <w:rPr>
          <w:i/>
        </w:rPr>
        <w:t>FAO Specifications for Plant Protection Products</w:t>
      </w:r>
      <w:r w:rsidR="000D22DA" w:rsidRPr="00CB21B0">
        <w:t>)</w:t>
      </w:r>
    </w:p>
    <w:p w:rsidR="008C374B" w:rsidRPr="00CB21B0" w:rsidRDefault="000D22DA" w:rsidP="000D22DA">
      <w:pPr>
        <w:pStyle w:val="Item"/>
      </w:pPr>
      <w:r w:rsidRPr="00CB21B0">
        <w:t>Repeal the definition</w:t>
      </w:r>
      <w:r w:rsidR="008C374B" w:rsidRPr="00CB21B0">
        <w:t>.</w:t>
      </w:r>
    </w:p>
    <w:p w:rsidR="007920DF" w:rsidRPr="00CB21B0" w:rsidRDefault="00220E6F" w:rsidP="000D22DA">
      <w:pPr>
        <w:pStyle w:val="ItemHead"/>
      </w:pPr>
      <w:r w:rsidRPr="00CB21B0">
        <w:rPr>
          <w:noProof/>
        </w:rPr>
        <w:lastRenderedPageBreak/>
        <w:t>21</w:t>
      </w:r>
      <w:r w:rsidR="007920DF" w:rsidRPr="00CB21B0">
        <w:t xml:space="preserve">  Subregulation</w:t>
      </w:r>
      <w:r w:rsidR="00CB21B0" w:rsidRPr="00CB21B0">
        <w:t> </w:t>
      </w:r>
      <w:r w:rsidR="007920DF" w:rsidRPr="00CB21B0">
        <w:t>3(1)</w:t>
      </w:r>
    </w:p>
    <w:p w:rsidR="007920DF" w:rsidRPr="00CB21B0" w:rsidRDefault="007920DF" w:rsidP="007920DF">
      <w:pPr>
        <w:pStyle w:val="Item"/>
      </w:pPr>
      <w:r w:rsidRPr="00CB21B0">
        <w:t>Insert:</w:t>
      </w:r>
    </w:p>
    <w:p w:rsidR="007920DF" w:rsidRPr="00CB21B0" w:rsidRDefault="007920DF" w:rsidP="007920DF">
      <w:pPr>
        <w:pStyle w:val="Definition"/>
      </w:pPr>
      <w:r w:rsidRPr="00CB21B0">
        <w:rPr>
          <w:b/>
          <w:i/>
        </w:rPr>
        <w:t>formulation type</w:t>
      </w:r>
      <w:r w:rsidRPr="00CB21B0">
        <w:t xml:space="preserve"> means:</w:t>
      </w:r>
    </w:p>
    <w:p w:rsidR="007920DF" w:rsidRPr="00CB21B0" w:rsidRDefault="007920DF" w:rsidP="007920DF">
      <w:pPr>
        <w:pStyle w:val="paragraph"/>
      </w:pPr>
      <w:r w:rsidRPr="00CB21B0">
        <w:tab/>
        <w:t>(a)</w:t>
      </w:r>
      <w:r w:rsidRPr="00CB21B0">
        <w:tab/>
        <w:t>for an agricultural chemical product—the formulation code and description that:</w:t>
      </w:r>
    </w:p>
    <w:p w:rsidR="007920DF" w:rsidRPr="00CB21B0" w:rsidRDefault="007920DF" w:rsidP="007920DF">
      <w:pPr>
        <w:pStyle w:val="paragraphsub"/>
      </w:pPr>
      <w:r w:rsidRPr="00CB21B0">
        <w:tab/>
        <w:t>(i)</w:t>
      </w:r>
      <w:r w:rsidRPr="00CB21B0">
        <w:tab/>
        <w:t xml:space="preserve">are set out in </w:t>
      </w:r>
      <w:r w:rsidR="001A235A" w:rsidRPr="00CB21B0">
        <w:t>guidelines made under section</w:t>
      </w:r>
      <w:r w:rsidR="00CB21B0" w:rsidRPr="00CB21B0">
        <w:t> </w:t>
      </w:r>
      <w:r w:rsidR="001A235A" w:rsidRPr="00CB21B0">
        <w:t>6A of the Code</w:t>
      </w:r>
      <w:r w:rsidR="00004F81" w:rsidRPr="00CB21B0">
        <w:t xml:space="preserve"> as in force from time to time</w:t>
      </w:r>
      <w:r w:rsidR="001A235A" w:rsidRPr="00CB21B0">
        <w:t>; and</w:t>
      </w:r>
    </w:p>
    <w:p w:rsidR="007920DF" w:rsidRPr="00CB21B0" w:rsidRDefault="007920DF" w:rsidP="007920DF">
      <w:pPr>
        <w:pStyle w:val="paragraphsub"/>
      </w:pPr>
      <w:r w:rsidRPr="00CB21B0">
        <w:tab/>
        <w:t>(ii)</w:t>
      </w:r>
      <w:r w:rsidRPr="00CB21B0">
        <w:tab/>
        <w:t>apply to the product; and</w:t>
      </w:r>
    </w:p>
    <w:p w:rsidR="007920DF" w:rsidRPr="00CB21B0" w:rsidRDefault="007920DF" w:rsidP="007920DF">
      <w:pPr>
        <w:pStyle w:val="paragraph"/>
      </w:pPr>
      <w:r w:rsidRPr="00CB21B0">
        <w:tab/>
        <w:t>(b)</w:t>
      </w:r>
      <w:r w:rsidRPr="00CB21B0">
        <w:tab/>
        <w:t>for a veterinary chemical product—the form of the product.</w:t>
      </w:r>
    </w:p>
    <w:p w:rsidR="007920DF" w:rsidRPr="00CB21B0" w:rsidRDefault="007920DF" w:rsidP="007A78C9">
      <w:pPr>
        <w:pStyle w:val="notetext"/>
      </w:pPr>
      <w:r w:rsidRPr="00CB21B0">
        <w:t>Example</w:t>
      </w:r>
      <w:r w:rsidR="004A1DF3" w:rsidRPr="00CB21B0">
        <w:t>s</w:t>
      </w:r>
      <w:r w:rsidR="00A70635" w:rsidRPr="00CB21B0">
        <w:t>:</w:t>
      </w:r>
      <w:r w:rsidR="00A70635" w:rsidRPr="00CB21B0">
        <w:rPr>
          <w:i/>
        </w:rPr>
        <w:tab/>
      </w:r>
      <w:r w:rsidRPr="00CB21B0">
        <w:t>A capsule, emulsifiable concentrate, injectable solution, implant, intramammary treatment, oral drench or tablet.</w:t>
      </w:r>
    </w:p>
    <w:p w:rsidR="007920DF" w:rsidRPr="00CB21B0" w:rsidRDefault="007920DF" w:rsidP="007920DF">
      <w:pPr>
        <w:pStyle w:val="Definition"/>
      </w:pPr>
      <w:r w:rsidRPr="00CB21B0">
        <w:rPr>
          <w:b/>
          <w:i/>
        </w:rPr>
        <w:t>GMP audit</w:t>
      </w:r>
      <w:r w:rsidR="009F1121" w:rsidRPr="00CB21B0">
        <w:rPr>
          <w:b/>
        </w:rPr>
        <w:t>:</w:t>
      </w:r>
      <w:r w:rsidR="009F1121" w:rsidRPr="00CB21B0">
        <w:rPr>
          <w:b/>
          <w:i/>
        </w:rPr>
        <w:t xml:space="preserve"> </w:t>
      </w:r>
      <w:r w:rsidRPr="00CB21B0">
        <w:t>see subregulation</w:t>
      </w:r>
      <w:r w:rsidR="00CB21B0" w:rsidRPr="00CB21B0">
        <w:t> </w:t>
      </w:r>
      <w:r w:rsidRPr="00CB21B0">
        <w:t>61(8).</w:t>
      </w:r>
    </w:p>
    <w:p w:rsidR="00B51A45" w:rsidRPr="00CB21B0" w:rsidRDefault="00B51A45" w:rsidP="00B51A45">
      <w:pPr>
        <w:pStyle w:val="Definition"/>
      </w:pPr>
      <w:r w:rsidRPr="00CB21B0">
        <w:rPr>
          <w:b/>
          <w:i/>
        </w:rPr>
        <w:t>identifying information</w:t>
      </w:r>
      <w:r w:rsidRPr="00CB21B0">
        <w:t>, for a person, means the following information:</w:t>
      </w:r>
    </w:p>
    <w:p w:rsidR="00A901B6" w:rsidRPr="00CB21B0" w:rsidRDefault="00B51A45" w:rsidP="00B51A45">
      <w:pPr>
        <w:pStyle w:val="paragraph"/>
      </w:pPr>
      <w:r w:rsidRPr="00CB21B0">
        <w:tab/>
        <w:t>(a)</w:t>
      </w:r>
      <w:r w:rsidRPr="00CB21B0">
        <w:tab/>
        <w:t>the person’s name</w:t>
      </w:r>
      <w:r w:rsidR="00A901B6" w:rsidRPr="00CB21B0">
        <w:t>;</w:t>
      </w:r>
    </w:p>
    <w:p w:rsidR="00A901B6" w:rsidRPr="00CB21B0" w:rsidRDefault="00A901B6" w:rsidP="00B51A45">
      <w:pPr>
        <w:pStyle w:val="paragraph"/>
      </w:pPr>
      <w:r w:rsidRPr="00CB21B0">
        <w:tab/>
        <w:t>(b)</w:t>
      </w:r>
      <w:r w:rsidRPr="00CB21B0">
        <w:tab/>
        <w:t xml:space="preserve">the person’s ABN or </w:t>
      </w:r>
      <w:r w:rsidR="001F3F05" w:rsidRPr="00CB21B0">
        <w:t>A</w:t>
      </w:r>
      <w:r w:rsidRPr="00CB21B0">
        <w:t>CN (if any);</w:t>
      </w:r>
    </w:p>
    <w:p w:rsidR="001F3F05" w:rsidRPr="00CB21B0" w:rsidRDefault="00A901B6" w:rsidP="001F3F05">
      <w:pPr>
        <w:pStyle w:val="paragraph"/>
      </w:pPr>
      <w:r w:rsidRPr="00CB21B0">
        <w:tab/>
        <w:t>(c)</w:t>
      </w:r>
      <w:r w:rsidRPr="00CB21B0">
        <w:tab/>
        <w:t xml:space="preserve">the person’s </w:t>
      </w:r>
      <w:r w:rsidR="00B51A45" w:rsidRPr="00CB21B0">
        <w:t>trading name (if any);</w:t>
      </w:r>
    </w:p>
    <w:p w:rsidR="00B51A45" w:rsidRPr="00CB21B0" w:rsidRDefault="00B51A45" w:rsidP="001F3F05">
      <w:pPr>
        <w:pStyle w:val="paragraph"/>
      </w:pPr>
      <w:r w:rsidRPr="00CB21B0">
        <w:tab/>
        <w:t>(</w:t>
      </w:r>
      <w:r w:rsidR="001F3F05" w:rsidRPr="00CB21B0">
        <w:t>d</w:t>
      </w:r>
      <w:r w:rsidRPr="00CB21B0">
        <w:t>)</w:t>
      </w:r>
      <w:r w:rsidRPr="00CB21B0">
        <w:tab/>
        <w:t>whether the person is an individual or a body corporate;</w:t>
      </w:r>
    </w:p>
    <w:p w:rsidR="00B51A45" w:rsidRPr="00CB21B0" w:rsidRDefault="00B51A45" w:rsidP="00B51A45">
      <w:pPr>
        <w:pStyle w:val="paragraph"/>
      </w:pPr>
      <w:r w:rsidRPr="00CB21B0">
        <w:tab/>
        <w:t>(</w:t>
      </w:r>
      <w:r w:rsidR="001F3F05" w:rsidRPr="00CB21B0">
        <w:t>e</w:t>
      </w:r>
      <w:r w:rsidRPr="00CB21B0">
        <w:t>)</w:t>
      </w:r>
      <w:r w:rsidRPr="00CB21B0">
        <w:tab/>
        <w:t>the person’s street address;</w:t>
      </w:r>
    </w:p>
    <w:p w:rsidR="00B51A45" w:rsidRPr="00CB21B0" w:rsidRDefault="00B51A45" w:rsidP="00B51A45">
      <w:pPr>
        <w:pStyle w:val="paragraph"/>
      </w:pPr>
      <w:r w:rsidRPr="00CB21B0">
        <w:tab/>
        <w:t>(</w:t>
      </w:r>
      <w:r w:rsidR="001F3F05" w:rsidRPr="00CB21B0">
        <w:t>f</w:t>
      </w:r>
      <w:r w:rsidRPr="00CB21B0">
        <w:t>)</w:t>
      </w:r>
      <w:r w:rsidRPr="00CB21B0">
        <w:tab/>
        <w:t>if the person’s postal address is different from the person’s street addr</w:t>
      </w:r>
      <w:r w:rsidR="00B46965" w:rsidRPr="00CB21B0">
        <w:t>ess—the person’s postal address.</w:t>
      </w:r>
    </w:p>
    <w:p w:rsidR="00B46965" w:rsidRPr="00CB21B0" w:rsidRDefault="007A1CD7" w:rsidP="00B46965">
      <w:pPr>
        <w:pStyle w:val="Definition"/>
      </w:pPr>
      <w:r w:rsidRPr="00CB21B0">
        <w:rPr>
          <w:b/>
          <w:i/>
        </w:rPr>
        <w:t>timeshift application</w:t>
      </w:r>
      <w:r w:rsidRPr="00CB21B0">
        <w:t xml:space="preserve"> means an application</w:t>
      </w:r>
      <w:r w:rsidR="00B46965" w:rsidRPr="00CB21B0">
        <w:t xml:space="preserve"> t</w:t>
      </w:r>
      <w:r w:rsidR="008C374B" w:rsidRPr="00CB21B0">
        <w:t>hat</w:t>
      </w:r>
      <w:r w:rsidR="00B46965" w:rsidRPr="00CB21B0">
        <w:t>:</w:t>
      </w:r>
    </w:p>
    <w:p w:rsidR="007A1CD7" w:rsidRPr="00CB21B0" w:rsidRDefault="007A1CD7" w:rsidP="007A1CD7">
      <w:pPr>
        <w:pStyle w:val="paragraph"/>
      </w:pPr>
      <w:r w:rsidRPr="00CB21B0">
        <w:tab/>
        <w:t>(</w:t>
      </w:r>
      <w:r w:rsidR="00B46965" w:rsidRPr="00CB21B0">
        <w:t>a</w:t>
      </w:r>
      <w:r w:rsidRPr="00CB21B0">
        <w:t>)</w:t>
      </w:r>
      <w:r w:rsidRPr="00CB21B0">
        <w:tab/>
      </w:r>
      <w:r w:rsidR="00B46965" w:rsidRPr="00CB21B0">
        <w:t xml:space="preserve">is </w:t>
      </w:r>
      <w:r w:rsidRPr="00CB21B0">
        <w:t>for:</w:t>
      </w:r>
    </w:p>
    <w:p w:rsidR="007A1CD7" w:rsidRPr="00CB21B0" w:rsidRDefault="007A1CD7" w:rsidP="007A1CD7">
      <w:pPr>
        <w:pStyle w:val="paragraphsub"/>
      </w:pPr>
      <w:r w:rsidRPr="00CB21B0">
        <w:tab/>
        <w:t>(i)</w:t>
      </w:r>
      <w:r w:rsidRPr="00CB21B0">
        <w:tab/>
        <w:t>approval of an active constituent that is not a previously endorsed active constituent; or</w:t>
      </w:r>
    </w:p>
    <w:p w:rsidR="00B46965" w:rsidRPr="00CB21B0" w:rsidRDefault="007A1CD7" w:rsidP="008C058B">
      <w:pPr>
        <w:pStyle w:val="paragraphsub"/>
      </w:pPr>
      <w:r w:rsidRPr="00CB21B0">
        <w:tab/>
        <w:t>(ii)</w:t>
      </w:r>
      <w:r w:rsidRPr="00CB21B0">
        <w:tab/>
      </w:r>
      <w:r w:rsidR="00AD25BA" w:rsidRPr="00CB21B0">
        <w:t xml:space="preserve">registration of a chemical product </w:t>
      </w:r>
      <w:r w:rsidR="00434F32" w:rsidRPr="00CB21B0">
        <w:t xml:space="preserve">containing an active constituent that is not an active constituent contained in any other </w:t>
      </w:r>
      <w:r w:rsidR="00AD25BA" w:rsidRPr="00CB21B0">
        <w:t>registered chemical product</w:t>
      </w:r>
      <w:r w:rsidRPr="00CB21B0">
        <w:t>;</w:t>
      </w:r>
      <w:r w:rsidR="008C374B" w:rsidRPr="00CB21B0">
        <w:t xml:space="preserve"> and</w:t>
      </w:r>
    </w:p>
    <w:p w:rsidR="007A1CD7" w:rsidRPr="00CB21B0" w:rsidRDefault="007A1CD7" w:rsidP="00B46965">
      <w:pPr>
        <w:pStyle w:val="paragraph"/>
      </w:pPr>
      <w:r w:rsidRPr="00CB21B0">
        <w:tab/>
        <w:t>(</w:t>
      </w:r>
      <w:r w:rsidR="008C058B" w:rsidRPr="00CB21B0">
        <w:t>b</w:t>
      </w:r>
      <w:r w:rsidRPr="00CB21B0">
        <w:t>)</w:t>
      </w:r>
      <w:r w:rsidRPr="00CB21B0">
        <w:tab/>
      </w:r>
      <w:r w:rsidR="008C374B" w:rsidRPr="00CB21B0">
        <w:t>w</w:t>
      </w:r>
      <w:r w:rsidR="00E3706E" w:rsidRPr="00CB21B0">
        <w:t>ill</w:t>
      </w:r>
      <w:r w:rsidR="00B46965" w:rsidRPr="00CB21B0">
        <w:t xml:space="preserve">, </w:t>
      </w:r>
      <w:r w:rsidR="001F3F05" w:rsidRPr="00CB21B0">
        <w:t xml:space="preserve">by agreement of the </w:t>
      </w:r>
      <w:r w:rsidRPr="00CB21B0">
        <w:t>applicant and the APVMA</w:t>
      </w:r>
      <w:r w:rsidR="001F3F05" w:rsidRPr="00CB21B0">
        <w:t>,</w:t>
      </w:r>
      <w:r w:rsidRPr="00CB21B0">
        <w:t xml:space="preserve"> be </w:t>
      </w:r>
      <w:r w:rsidR="008C374B" w:rsidRPr="00CB21B0">
        <w:t xml:space="preserve">assessed </w:t>
      </w:r>
      <w:r w:rsidRPr="00CB21B0">
        <w:t xml:space="preserve">in accordance with assessment periods set out in a project plan </w:t>
      </w:r>
      <w:r w:rsidR="00A53495" w:rsidRPr="00CB21B0">
        <w:t xml:space="preserve">for the application </w:t>
      </w:r>
      <w:r w:rsidRPr="00CB21B0">
        <w:t>agreed to by the applicant and the APVMA.</w:t>
      </w:r>
    </w:p>
    <w:p w:rsidR="007920DF" w:rsidRPr="00CB21B0" w:rsidRDefault="00220E6F" w:rsidP="004624F7">
      <w:pPr>
        <w:pStyle w:val="ItemHead"/>
      </w:pPr>
      <w:r w:rsidRPr="00CB21B0">
        <w:lastRenderedPageBreak/>
        <w:t>22</w:t>
      </w:r>
      <w:r w:rsidR="007546BB" w:rsidRPr="00CB21B0">
        <w:t xml:space="preserve">  </w:t>
      </w:r>
      <w:r w:rsidR="007920DF" w:rsidRPr="00CB21B0">
        <w:t>Subregulation</w:t>
      </w:r>
      <w:r w:rsidR="00CB21B0" w:rsidRPr="00CB21B0">
        <w:t> </w:t>
      </w:r>
      <w:r w:rsidR="007920DF" w:rsidRPr="00CB21B0">
        <w:t>3(1) (note)</w:t>
      </w:r>
    </w:p>
    <w:p w:rsidR="007A1CD7" w:rsidRPr="00CB21B0" w:rsidRDefault="007920DF" w:rsidP="007A1CD7">
      <w:pPr>
        <w:pStyle w:val="Item"/>
      </w:pPr>
      <w:r w:rsidRPr="00CB21B0">
        <w:t>Omit “interest</w:t>
      </w:r>
      <w:r w:rsidR="007A1CD7" w:rsidRPr="00CB21B0">
        <w:t>ed person”, substitute “holder”.</w:t>
      </w:r>
    </w:p>
    <w:p w:rsidR="00434F32" w:rsidRPr="00CB21B0" w:rsidRDefault="00220E6F" w:rsidP="006E43AE">
      <w:pPr>
        <w:pStyle w:val="ItemHead"/>
      </w:pPr>
      <w:r w:rsidRPr="00CB21B0">
        <w:t>23</w:t>
      </w:r>
      <w:r w:rsidR="006E43AE" w:rsidRPr="00CB21B0">
        <w:t xml:space="preserve">  </w:t>
      </w:r>
      <w:r w:rsidR="00434F32" w:rsidRPr="00CB21B0">
        <w:t>After regulation</w:t>
      </w:r>
      <w:r w:rsidR="00CB21B0" w:rsidRPr="00CB21B0">
        <w:t> </w:t>
      </w:r>
      <w:r w:rsidR="00434F32" w:rsidRPr="00CB21B0">
        <w:t>5</w:t>
      </w:r>
    </w:p>
    <w:p w:rsidR="00434F32" w:rsidRPr="00CB21B0" w:rsidRDefault="00434F32" w:rsidP="00434F32">
      <w:pPr>
        <w:pStyle w:val="Item"/>
      </w:pPr>
      <w:r w:rsidRPr="00CB21B0">
        <w:t>Insert:</w:t>
      </w:r>
    </w:p>
    <w:p w:rsidR="006E43AE" w:rsidRPr="00CB21B0" w:rsidRDefault="00434F32" w:rsidP="00434F32">
      <w:pPr>
        <w:pStyle w:val="ActHead5"/>
      </w:pPr>
      <w:bookmarkStart w:id="26" w:name="_Toc361055024"/>
      <w:r w:rsidRPr="00CB21B0">
        <w:rPr>
          <w:rStyle w:val="CharSectno"/>
        </w:rPr>
        <w:t>5A</w:t>
      </w:r>
      <w:r w:rsidRPr="00CB21B0">
        <w:t xml:space="preserve">  Meaning of </w:t>
      </w:r>
      <w:r w:rsidRPr="00CB21B0">
        <w:rPr>
          <w:i/>
        </w:rPr>
        <w:t>lodged</w:t>
      </w:r>
      <w:bookmarkEnd w:id="26"/>
    </w:p>
    <w:p w:rsidR="000E606F" w:rsidRPr="00CB21B0" w:rsidRDefault="000E606F" w:rsidP="000E606F">
      <w:pPr>
        <w:pStyle w:val="subsection"/>
      </w:pPr>
      <w:r w:rsidRPr="00CB21B0">
        <w:tab/>
        <w:t>(1)</w:t>
      </w:r>
      <w:r w:rsidRPr="00CB21B0">
        <w:tab/>
        <w:t xml:space="preserve">For the definition of </w:t>
      </w:r>
      <w:r w:rsidRPr="00CB21B0">
        <w:rPr>
          <w:b/>
          <w:i/>
        </w:rPr>
        <w:t>lodged</w:t>
      </w:r>
      <w:r w:rsidRPr="00CB21B0">
        <w:t xml:space="preserve"> in </w:t>
      </w:r>
      <w:r w:rsidR="009F1121" w:rsidRPr="00CB21B0">
        <w:t>sub</w:t>
      </w:r>
      <w:r w:rsidRPr="00CB21B0">
        <w:t>section</w:t>
      </w:r>
      <w:r w:rsidR="00CB21B0" w:rsidRPr="00CB21B0">
        <w:t> </w:t>
      </w:r>
      <w:r w:rsidRPr="00CB21B0">
        <w:t>3</w:t>
      </w:r>
      <w:r w:rsidR="009F1121" w:rsidRPr="00CB21B0">
        <w:t>(1)</w:t>
      </w:r>
      <w:r w:rsidRPr="00CB21B0">
        <w:t xml:space="preserve"> of the Code, an applicat</w:t>
      </w:r>
      <w:r w:rsidR="00FB0F3F" w:rsidRPr="00CB21B0">
        <w:t>ion is lodged when the applicant gives</w:t>
      </w:r>
      <w:r w:rsidRPr="00CB21B0">
        <w:t>:</w:t>
      </w:r>
    </w:p>
    <w:p w:rsidR="000E606F" w:rsidRPr="00CB21B0" w:rsidRDefault="000E606F" w:rsidP="000E606F">
      <w:pPr>
        <w:pStyle w:val="paragraph"/>
      </w:pPr>
      <w:r w:rsidRPr="00CB21B0">
        <w:tab/>
        <w:t>(a)</w:t>
      </w:r>
      <w:r w:rsidRPr="00CB21B0">
        <w:tab/>
        <w:t>the information in the approved form for the application; and</w:t>
      </w:r>
    </w:p>
    <w:p w:rsidR="000A10DC" w:rsidRPr="00CB21B0" w:rsidRDefault="000E606F" w:rsidP="000E606F">
      <w:pPr>
        <w:pStyle w:val="paragraph"/>
      </w:pPr>
      <w:r w:rsidRPr="00CB21B0">
        <w:tab/>
        <w:t>(b)</w:t>
      </w:r>
      <w:r w:rsidRPr="00CB21B0">
        <w:tab/>
        <w:t>any other information specified for the application under section</w:t>
      </w:r>
      <w:r w:rsidR="00CB21B0" w:rsidRPr="00CB21B0">
        <w:t> </w:t>
      </w:r>
      <w:r w:rsidRPr="00CB21B0">
        <w:t>8B of the Code</w:t>
      </w:r>
      <w:r w:rsidR="000A10DC" w:rsidRPr="00CB21B0">
        <w:t>;</w:t>
      </w:r>
    </w:p>
    <w:p w:rsidR="000E606F" w:rsidRPr="00CB21B0" w:rsidRDefault="000E606F" w:rsidP="000E606F">
      <w:pPr>
        <w:pStyle w:val="subsection2"/>
      </w:pPr>
      <w:r w:rsidRPr="00CB21B0">
        <w:t>to the AP</w:t>
      </w:r>
      <w:r w:rsidR="00E25813" w:rsidRPr="00CB21B0">
        <w:t>V</w:t>
      </w:r>
      <w:r w:rsidRPr="00CB21B0">
        <w:t>MA</w:t>
      </w:r>
      <w:r w:rsidR="000A10DC" w:rsidRPr="00CB21B0">
        <w:t>, in the manner (if any) required by regulation</w:t>
      </w:r>
      <w:r w:rsidR="00CB21B0" w:rsidRPr="00CB21B0">
        <w:t> </w:t>
      </w:r>
      <w:r w:rsidR="000A10DC" w:rsidRPr="00CB21B0">
        <w:t>65.</w:t>
      </w:r>
    </w:p>
    <w:p w:rsidR="000A10DC" w:rsidRPr="00CB21B0" w:rsidRDefault="000E606F" w:rsidP="000A10DC">
      <w:pPr>
        <w:pStyle w:val="subsection"/>
      </w:pPr>
      <w:r w:rsidRPr="00CB21B0">
        <w:tab/>
        <w:t>(2)</w:t>
      </w:r>
      <w:r w:rsidRPr="00CB21B0">
        <w:tab/>
      </w:r>
      <w:r w:rsidR="000A10DC" w:rsidRPr="00CB21B0">
        <w:t>H</w:t>
      </w:r>
      <w:r w:rsidRPr="00CB21B0">
        <w:t xml:space="preserve">owever, </w:t>
      </w:r>
      <w:r w:rsidR="000A10DC" w:rsidRPr="00CB21B0">
        <w:t>if</w:t>
      </w:r>
      <w:r w:rsidRPr="00CB21B0">
        <w:t xml:space="preserve"> the applicant </w:t>
      </w:r>
      <w:r w:rsidR="000A10DC" w:rsidRPr="00CB21B0">
        <w:t xml:space="preserve">does not </w:t>
      </w:r>
      <w:r w:rsidR="004738AF" w:rsidRPr="00CB21B0">
        <w:t>give</w:t>
      </w:r>
      <w:r w:rsidR="000A10DC" w:rsidRPr="00CB21B0">
        <w:t xml:space="preserve"> the information mentioned in </w:t>
      </w:r>
      <w:r w:rsidR="00CB21B0" w:rsidRPr="00CB21B0">
        <w:t>paragraph (</w:t>
      </w:r>
      <w:r w:rsidR="000A10DC" w:rsidRPr="00CB21B0">
        <w:t xml:space="preserve">1)(b) to the APVMA within 7 days of </w:t>
      </w:r>
      <w:r w:rsidR="004738AF" w:rsidRPr="00CB21B0">
        <w:t>giving</w:t>
      </w:r>
      <w:r w:rsidR="000A10DC" w:rsidRPr="00CB21B0">
        <w:t xml:space="preserve"> the information mentioned in </w:t>
      </w:r>
      <w:r w:rsidR="00CB21B0" w:rsidRPr="00CB21B0">
        <w:t>paragraph (</w:t>
      </w:r>
      <w:r w:rsidR="000A10DC" w:rsidRPr="00CB21B0">
        <w:t>1)(a)</w:t>
      </w:r>
      <w:r w:rsidR="004738AF" w:rsidRPr="00CB21B0">
        <w:t xml:space="preserve"> to the APVMA</w:t>
      </w:r>
      <w:r w:rsidR="000A10DC" w:rsidRPr="00CB21B0">
        <w:t xml:space="preserve">, </w:t>
      </w:r>
      <w:r w:rsidRPr="00CB21B0">
        <w:t xml:space="preserve">the applicant is taken to have lodged the application 7 days after </w:t>
      </w:r>
      <w:r w:rsidR="004738AF" w:rsidRPr="00CB21B0">
        <w:t xml:space="preserve">giving the APVMA the </w:t>
      </w:r>
      <w:r w:rsidRPr="00CB21B0">
        <w:t xml:space="preserve">information </w:t>
      </w:r>
      <w:r w:rsidR="004738AF" w:rsidRPr="00CB21B0">
        <w:t xml:space="preserve">mentioned in </w:t>
      </w:r>
      <w:r w:rsidR="00CB21B0" w:rsidRPr="00CB21B0">
        <w:t>paragraph (</w:t>
      </w:r>
      <w:r w:rsidR="004738AF" w:rsidRPr="00CB21B0">
        <w:t>1)(a)</w:t>
      </w:r>
      <w:r w:rsidR="000A10DC" w:rsidRPr="00CB21B0">
        <w:t>.</w:t>
      </w:r>
    </w:p>
    <w:p w:rsidR="007920DF" w:rsidRPr="00CB21B0" w:rsidRDefault="00220E6F" w:rsidP="000A10DC">
      <w:pPr>
        <w:pStyle w:val="ItemHead"/>
      </w:pPr>
      <w:r w:rsidRPr="00CB21B0">
        <w:rPr>
          <w:noProof/>
        </w:rPr>
        <w:t>24</w:t>
      </w:r>
      <w:r w:rsidR="007920DF" w:rsidRPr="00CB21B0">
        <w:t xml:space="preserve">  Regulation</w:t>
      </w:r>
      <w:r w:rsidR="00CB21B0" w:rsidRPr="00CB21B0">
        <w:t> </w:t>
      </w:r>
      <w:r w:rsidR="007920DF" w:rsidRPr="00CB21B0">
        <w:t>6</w:t>
      </w:r>
    </w:p>
    <w:p w:rsidR="007920DF" w:rsidRPr="00CB21B0" w:rsidRDefault="007920DF" w:rsidP="007920DF">
      <w:pPr>
        <w:pStyle w:val="Item"/>
      </w:pPr>
      <w:r w:rsidRPr="00CB21B0">
        <w:t>Repeal the regulation.</w:t>
      </w:r>
    </w:p>
    <w:p w:rsidR="007920DF" w:rsidRPr="00CB21B0" w:rsidRDefault="00220E6F" w:rsidP="007920DF">
      <w:pPr>
        <w:pStyle w:val="ItemHead"/>
        <w:rPr>
          <w:rFonts w:cs="Arial"/>
        </w:rPr>
      </w:pPr>
      <w:r w:rsidRPr="00CB21B0">
        <w:rPr>
          <w:rFonts w:cs="Arial"/>
        </w:rPr>
        <w:t>25</w:t>
      </w:r>
      <w:r w:rsidR="007920DF" w:rsidRPr="00CB21B0">
        <w:rPr>
          <w:rFonts w:cs="Arial"/>
        </w:rPr>
        <w:t xml:space="preserve">  At the end of Part</w:t>
      </w:r>
      <w:r w:rsidR="00CB21B0" w:rsidRPr="00CB21B0">
        <w:rPr>
          <w:rFonts w:cs="Arial"/>
        </w:rPr>
        <w:t> </w:t>
      </w:r>
      <w:r w:rsidR="007920DF" w:rsidRPr="00CB21B0">
        <w:rPr>
          <w:rFonts w:cs="Arial"/>
        </w:rPr>
        <w:t>1</w:t>
      </w:r>
    </w:p>
    <w:p w:rsidR="007920DF" w:rsidRPr="00CB21B0" w:rsidRDefault="007920DF" w:rsidP="007920DF">
      <w:pPr>
        <w:pStyle w:val="Item"/>
      </w:pPr>
      <w:r w:rsidRPr="00CB21B0">
        <w:t>Add:</w:t>
      </w:r>
    </w:p>
    <w:p w:rsidR="007920DF" w:rsidRPr="00CB21B0" w:rsidRDefault="007920DF" w:rsidP="00A70635">
      <w:pPr>
        <w:pStyle w:val="ActHead5"/>
      </w:pPr>
      <w:bookmarkStart w:id="27" w:name="_Toc361055025"/>
      <w:r w:rsidRPr="00CB21B0">
        <w:rPr>
          <w:rStyle w:val="CharSectno"/>
        </w:rPr>
        <w:t>8AA</w:t>
      </w:r>
      <w:r w:rsidRPr="00CB21B0">
        <w:t xml:space="preserve">  Safety criteria—active constituents</w:t>
      </w:r>
      <w:bookmarkEnd w:id="27"/>
    </w:p>
    <w:p w:rsidR="007920DF" w:rsidRPr="00CB21B0" w:rsidRDefault="007920DF" w:rsidP="007920DF">
      <w:pPr>
        <w:pStyle w:val="subsection"/>
      </w:pPr>
      <w:r w:rsidRPr="00CB21B0">
        <w:tab/>
      </w:r>
      <w:r w:rsidRPr="00CB21B0">
        <w:tab/>
        <w:t>For subparagraph</w:t>
      </w:r>
      <w:r w:rsidR="00CB21B0" w:rsidRPr="00CB21B0">
        <w:t> </w:t>
      </w:r>
      <w:r w:rsidRPr="00CB21B0">
        <w:t>5A(2)(a)(vii)</w:t>
      </w:r>
      <w:r w:rsidR="006052E2" w:rsidRPr="00CB21B0">
        <w:t xml:space="preserve"> </w:t>
      </w:r>
      <w:r w:rsidRPr="00CB21B0">
        <w:t>of the Code, the method of analysis (if any) of the chemical composition of the active constituent concerned is a prescribed matter.</w:t>
      </w:r>
    </w:p>
    <w:p w:rsidR="007920DF" w:rsidRPr="00CB21B0" w:rsidRDefault="007920DF" w:rsidP="007920DF">
      <w:pPr>
        <w:pStyle w:val="ActHead5"/>
      </w:pPr>
      <w:bookmarkStart w:id="28" w:name="_Toc361055026"/>
      <w:r w:rsidRPr="00CB21B0">
        <w:rPr>
          <w:rStyle w:val="CharSectno"/>
        </w:rPr>
        <w:t>8AB</w:t>
      </w:r>
      <w:r w:rsidRPr="00CB21B0">
        <w:t xml:space="preserve">  Safety criteria—chemical products</w:t>
      </w:r>
      <w:bookmarkEnd w:id="28"/>
    </w:p>
    <w:p w:rsidR="00DB043D" w:rsidRPr="00CB21B0" w:rsidRDefault="007920DF" w:rsidP="007920DF">
      <w:pPr>
        <w:pStyle w:val="subsection"/>
      </w:pPr>
      <w:r w:rsidRPr="00CB21B0">
        <w:tab/>
      </w:r>
      <w:r w:rsidR="007C4D60" w:rsidRPr="00CB21B0">
        <w:t>(1)</w:t>
      </w:r>
      <w:r w:rsidRPr="00CB21B0">
        <w:tab/>
        <w:t>For subparagraph</w:t>
      </w:r>
      <w:r w:rsidR="00CB21B0" w:rsidRPr="00CB21B0">
        <w:t> </w:t>
      </w:r>
      <w:r w:rsidRPr="00CB21B0">
        <w:t>5A(3)(a)(vii)</w:t>
      </w:r>
      <w:r w:rsidR="006052E2" w:rsidRPr="00CB21B0">
        <w:t xml:space="preserve"> </w:t>
      </w:r>
      <w:r w:rsidRPr="00CB21B0">
        <w:t xml:space="preserve">of the Code, the </w:t>
      </w:r>
      <w:r w:rsidR="00DB043D" w:rsidRPr="00CB21B0">
        <w:t>following are prescribed matters</w:t>
      </w:r>
      <w:r w:rsidR="00977C4E" w:rsidRPr="00CB21B0">
        <w:t xml:space="preserve"> for a chemical product</w:t>
      </w:r>
      <w:r w:rsidR="00DB043D" w:rsidRPr="00CB21B0">
        <w:t>:</w:t>
      </w:r>
    </w:p>
    <w:p w:rsidR="007920DF" w:rsidRPr="00CB21B0" w:rsidRDefault="00DB043D" w:rsidP="00DB043D">
      <w:pPr>
        <w:pStyle w:val="paragraph"/>
      </w:pPr>
      <w:r w:rsidRPr="00CB21B0">
        <w:lastRenderedPageBreak/>
        <w:tab/>
        <w:t>(a)</w:t>
      </w:r>
      <w:r w:rsidRPr="00CB21B0">
        <w:tab/>
      </w:r>
      <w:r w:rsidR="005815C4" w:rsidRPr="00CB21B0">
        <w:t>for all chemical products—</w:t>
      </w:r>
      <w:r w:rsidRPr="00CB21B0">
        <w:t xml:space="preserve">the </w:t>
      </w:r>
      <w:r w:rsidR="007920DF" w:rsidRPr="00CB21B0">
        <w:t xml:space="preserve">method of analysis (if any) of the chemical composition and form of the constituents of </w:t>
      </w:r>
      <w:r w:rsidR="00977C4E" w:rsidRPr="00CB21B0">
        <w:t>the</w:t>
      </w:r>
      <w:r w:rsidR="007920DF" w:rsidRPr="00CB21B0">
        <w:t xml:space="preserve"> chemical product</w:t>
      </w:r>
      <w:r w:rsidRPr="00CB21B0">
        <w:t>;</w:t>
      </w:r>
    </w:p>
    <w:p w:rsidR="00DB043D" w:rsidRPr="00CB21B0" w:rsidRDefault="00DB043D" w:rsidP="00DB043D">
      <w:pPr>
        <w:pStyle w:val="paragraph"/>
      </w:pPr>
      <w:r w:rsidRPr="00CB21B0">
        <w:tab/>
        <w:t>(b)</w:t>
      </w:r>
      <w:r w:rsidRPr="00CB21B0">
        <w:tab/>
        <w:t>for a product manufactured in Australia—whether each step in the manufacture of the product complies, or will comply, with the manufacturing principles and the Australian GMP Code;</w:t>
      </w:r>
    </w:p>
    <w:p w:rsidR="00DB043D" w:rsidRPr="00CB21B0" w:rsidRDefault="00DB043D" w:rsidP="00DB043D">
      <w:pPr>
        <w:pStyle w:val="paragraph"/>
      </w:pPr>
      <w:r w:rsidRPr="00CB21B0">
        <w:tab/>
        <w:t>(c)</w:t>
      </w:r>
      <w:r w:rsidRPr="00CB21B0">
        <w:tab/>
        <w:t xml:space="preserve">for a product manufactured outside Australia—whether each step in the manufacture of the product complies, or will comply, with a standard that the APVMA has determined is comparable to </w:t>
      </w:r>
      <w:r w:rsidR="00A51515" w:rsidRPr="00CB21B0">
        <w:t xml:space="preserve">the </w:t>
      </w:r>
      <w:r w:rsidRPr="00CB21B0">
        <w:t>manufacturing principles and the Australian GMP Code;</w:t>
      </w:r>
    </w:p>
    <w:p w:rsidR="00DB043D" w:rsidRPr="00CB21B0" w:rsidRDefault="00977C4E" w:rsidP="00977C4E">
      <w:pPr>
        <w:pStyle w:val="paragraph"/>
      </w:pPr>
      <w:r w:rsidRPr="00CB21B0">
        <w:tab/>
        <w:t>(d)</w:t>
      </w:r>
      <w:r w:rsidRPr="00CB21B0">
        <w:tab/>
        <w:t xml:space="preserve">for a </w:t>
      </w:r>
      <w:r w:rsidR="00DB043D" w:rsidRPr="00CB21B0">
        <w:t>molluscicide in the form of a bait and of which the active constituent is metaldehyde:</w:t>
      </w:r>
    </w:p>
    <w:p w:rsidR="00DB043D" w:rsidRPr="00CB21B0" w:rsidRDefault="00DB043D" w:rsidP="00977C4E">
      <w:pPr>
        <w:pStyle w:val="paragraphsub"/>
      </w:pPr>
      <w:r w:rsidRPr="00CB21B0">
        <w:tab/>
        <w:t>(</w:t>
      </w:r>
      <w:r w:rsidR="00977C4E" w:rsidRPr="00CB21B0">
        <w:t>i</w:t>
      </w:r>
      <w:r w:rsidRPr="00CB21B0">
        <w:t>)</w:t>
      </w:r>
      <w:r w:rsidRPr="00CB21B0">
        <w:tab/>
      </w:r>
      <w:r w:rsidR="00977C4E" w:rsidRPr="00CB21B0">
        <w:t xml:space="preserve">whether the product </w:t>
      </w:r>
      <w:r w:rsidRPr="00CB21B0">
        <w:t>contain</w:t>
      </w:r>
      <w:r w:rsidR="00977C4E" w:rsidRPr="00CB21B0">
        <w:t>s</w:t>
      </w:r>
      <w:r w:rsidRPr="00CB21B0">
        <w:t xml:space="preserve"> sufficient green pigment or dye to colour the bait a distinctive green colour; and</w:t>
      </w:r>
    </w:p>
    <w:p w:rsidR="00DB043D" w:rsidRPr="00CB21B0" w:rsidRDefault="00DB043D" w:rsidP="00977C4E">
      <w:pPr>
        <w:pStyle w:val="paragraphsub"/>
      </w:pPr>
      <w:r w:rsidRPr="00CB21B0">
        <w:tab/>
        <w:t>(</w:t>
      </w:r>
      <w:r w:rsidR="00977C4E" w:rsidRPr="00CB21B0">
        <w:t>ii</w:t>
      </w:r>
      <w:r w:rsidRPr="00CB21B0">
        <w:t>)</w:t>
      </w:r>
      <w:r w:rsidRPr="00CB21B0">
        <w:tab/>
      </w:r>
      <w:r w:rsidR="00977C4E" w:rsidRPr="00CB21B0">
        <w:t xml:space="preserve">whether the product </w:t>
      </w:r>
      <w:r w:rsidRPr="00CB21B0">
        <w:t>contain</w:t>
      </w:r>
      <w:r w:rsidR="00977C4E" w:rsidRPr="00CB21B0">
        <w:t>s</w:t>
      </w:r>
      <w:r w:rsidRPr="00CB21B0">
        <w:t>, in the bait, any bone meal or other product of animal origin</w:t>
      </w:r>
      <w:r w:rsidR="00977C4E" w:rsidRPr="00CB21B0">
        <w:t>;</w:t>
      </w:r>
    </w:p>
    <w:p w:rsidR="00DB043D" w:rsidRPr="00CB21B0" w:rsidRDefault="00DB043D" w:rsidP="00977C4E">
      <w:pPr>
        <w:pStyle w:val="paragraph"/>
      </w:pPr>
      <w:r w:rsidRPr="00CB21B0">
        <w:rPr>
          <w:b/>
          <w:bCs/>
        </w:rPr>
        <w:tab/>
      </w:r>
      <w:r w:rsidRPr="00CB21B0">
        <w:t>(</w:t>
      </w:r>
      <w:r w:rsidR="00977C4E" w:rsidRPr="00CB21B0">
        <w:t>e</w:t>
      </w:r>
      <w:r w:rsidRPr="00CB21B0">
        <w:t>)</w:t>
      </w:r>
      <w:r w:rsidRPr="00CB21B0">
        <w:rPr>
          <w:b/>
          <w:bCs/>
        </w:rPr>
        <w:tab/>
      </w:r>
      <w:r w:rsidR="00977C4E" w:rsidRPr="00CB21B0">
        <w:rPr>
          <w:bCs/>
        </w:rPr>
        <w:t>for a</w:t>
      </w:r>
      <w:r w:rsidRPr="00CB21B0">
        <w:t xml:space="preserve"> molluscicide in the form of a bait and of which the active constituent is methiocarb:</w:t>
      </w:r>
    </w:p>
    <w:p w:rsidR="00DB043D" w:rsidRPr="00CB21B0" w:rsidRDefault="00DB043D" w:rsidP="00977C4E">
      <w:pPr>
        <w:pStyle w:val="paragraphsub"/>
      </w:pPr>
      <w:r w:rsidRPr="00CB21B0">
        <w:tab/>
        <w:t>(</w:t>
      </w:r>
      <w:r w:rsidR="00977C4E" w:rsidRPr="00CB21B0">
        <w:t>i</w:t>
      </w:r>
      <w:r w:rsidRPr="00CB21B0">
        <w:t>)</w:t>
      </w:r>
      <w:r w:rsidRPr="00CB21B0">
        <w:tab/>
      </w:r>
      <w:r w:rsidR="00977C4E" w:rsidRPr="00CB21B0">
        <w:t>whether the product contains</w:t>
      </w:r>
      <w:r w:rsidRPr="00CB21B0">
        <w:t xml:space="preserve"> sufficient blue pigment or dye to colour the bait a distinctive blue colour; and</w:t>
      </w:r>
    </w:p>
    <w:p w:rsidR="00DB043D" w:rsidRPr="00CB21B0" w:rsidRDefault="00DB043D" w:rsidP="00977C4E">
      <w:pPr>
        <w:pStyle w:val="paragraphsub"/>
      </w:pPr>
      <w:r w:rsidRPr="00CB21B0">
        <w:tab/>
        <w:t>(</w:t>
      </w:r>
      <w:r w:rsidR="00977C4E" w:rsidRPr="00CB21B0">
        <w:t>ii</w:t>
      </w:r>
      <w:r w:rsidRPr="00CB21B0">
        <w:t>)</w:t>
      </w:r>
      <w:r w:rsidRPr="00CB21B0">
        <w:tab/>
      </w:r>
      <w:r w:rsidR="00977C4E" w:rsidRPr="00CB21B0">
        <w:t>whether the product</w:t>
      </w:r>
      <w:r w:rsidRPr="00CB21B0">
        <w:t xml:space="preserve"> contain</w:t>
      </w:r>
      <w:r w:rsidR="00977C4E" w:rsidRPr="00CB21B0">
        <w:t>s</w:t>
      </w:r>
      <w:r w:rsidRPr="00CB21B0">
        <w:t>, in the bait, any bone meal or other product of animal origin</w:t>
      </w:r>
      <w:r w:rsidR="00977C4E" w:rsidRPr="00CB21B0">
        <w:t>;</w:t>
      </w:r>
    </w:p>
    <w:p w:rsidR="00DB043D" w:rsidRPr="00CB21B0" w:rsidRDefault="00DB043D" w:rsidP="00DB043D">
      <w:pPr>
        <w:pStyle w:val="paragraph"/>
      </w:pPr>
      <w:r w:rsidRPr="00CB21B0">
        <w:rPr>
          <w:b/>
          <w:bCs/>
        </w:rPr>
        <w:tab/>
      </w:r>
      <w:r w:rsidRPr="00CB21B0">
        <w:t>(</w:t>
      </w:r>
      <w:r w:rsidR="00977C4E" w:rsidRPr="00CB21B0">
        <w:t>f</w:t>
      </w:r>
      <w:r w:rsidRPr="00CB21B0">
        <w:t>)</w:t>
      </w:r>
      <w:r w:rsidRPr="00CB21B0">
        <w:rPr>
          <w:b/>
          <w:bCs/>
        </w:rPr>
        <w:tab/>
      </w:r>
      <w:r w:rsidR="00977C4E" w:rsidRPr="00CB21B0">
        <w:rPr>
          <w:bCs/>
        </w:rPr>
        <w:t>for a</w:t>
      </w:r>
      <w:r w:rsidRPr="00CB21B0">
        <w:t>n agricultural chemical product to be applied to seeds to be stored before planting or sowing</w:t>
      </w:r>
      <w:r w:rsidR="00977C4E" w:rsidRPr="00CB21B0">
        <w:t>—whether the product contains</w:t>
      </w:r>
      <w:r w:rsidRPr="00CB21B0">
        <w:t xml:space="preserve"> sufficient pigment or dye to colour the seed to enable the seed to be readily distinguished from seed to which the product has not been applied.</w:t>
      </w:r>
    </w:p>
    <w:p w:rsidR="00A51515" w:rsidRPr="00CB21B0" w:rsidRDefault="00DB043D" w:rsidP="00DB043D">
      <w:pPr>
        <w:pStyle w:val="subsection"/>
      </w:pPr>
      <w:r w:rsidRPr="00CB21B0">
        <w:tab/>
        <w:t>(2)</w:t>
      </w:r>
      <w:r w:rsidRPr="00CB21B0">
        <w:tab/>
        <w:t xml:space="preserve">However, </w:t>
      </w:r>
      <w:r w:rsidR="00CB21B0" w:rsidRPr="00CB21B0">
        <w:t>paragraphs (</w:t>
      </w:r>
      <w:r w:rsidRPr="00CB21B0">
        <w:t>1)(</w:t>
      </w:r>
      <w:r w:rsidR="00977C4E" w:rsidRPr="00CB21B0">
        <w:t>b</w:t>
      </w:r>
      <w:r w:rsidRPr="00CB21B0">
        <w:t>) and (</w:t>
      </w:r>
      <w:r w:rsidR="00977C4E" w:rsidRPr="00CB21B0">
        <w:t>c</w:t>
      </w:r>
      <w:r w:rsidRPr="00CB21B0">
        <w:t>) do not apply if the product is</w:t>
      </w:r>
      <w:r w:rsidR="00A51515" w:rsidRPr="00CB21B0">
        <w:t>:</w:t>
      </w:r>
    </w:p>
    <w:p w:rsidR="00A51515" w:rsidRPr="00CB21B0" w:rsidRDefault="00A51515" w:rsidP="00A51515">
      <w:pPr>
        <w:pStyle w:val="paragraph"/>
      </w:pPr>
      <w:r w:rsidRPr="00CB21B0">
        <w:tab/>
        <w:t>(a)</w:t>
      </w:r>
      <w:r w:rsidRPr="00CB21B0">
        <w:tab/>
      </w:r>
      <w:r w:rsidR="00DB043D" w:rsidRPr="00CB21B0">
        <w:t>an exempt product within the meaning given by regulation</w:t>
      </w:r>
      <w:r w:rsidR="00CB21B0" w:rsidRPr="00CB21B0">
        <w:t> </w:t>
      </w:r>
      <w:r w:rsidR="00DB043D" w:rsidRPr="00CB21B0">
        <w:t>59</w:t>
      </w:r>
      <w:r w:rsidRPr="00CB21B0">
        <w:t>; or</w:t>
      </w:r>
    </w:p>
    <w:p w:rsidR="00A51515" w:rsidRPr="00CB21B0" w:rsidRDefault="00A51515" w:rsidP="00A51515">
      <w:pPr>
        <w:pStyle w:val="paragraph"/>
      </w:pPr>
      <w:r w:rsidRPr="00CB21B0">
        <w:tab/>
        <w:t>(b)</w:t>
      </w:r>
      <w:r w:rsidRPr="00CB21B0">
        <w:tab/>
        <w:t>a listed chemical product; or</w:t>
      </w:r>
    </w:p>
    <w:p w:rsidR="00DB043D" w:rsidRPr="00CB21B0" w:rsidRDefault="00A51515" w:rsidP="00A51515">
      <w:pPr>
        <w:pStyle w:val="paragraph"/>
      </w:pPr>
      <w:r w:rsidRPr="00CB21B0">
        <w:tab/>
        <w:t>(c)</w:t>
      </w:r>
      <w:r w:rsidRPr="00CB21B0">
        <w:tab/>
        <w:t>a reserved chemical product</w:t>
      </w:r>
      <w:r w:rsidR="00DB043D" w:rsidRPr="00CB21B0">
        <w:t>.</w:t>
      </w:r>
    </w:p>
    <w:p w:rsidR="007920DF" w:rsidRPr="00CB21B0" w:rsidRDefault="007920DF" w:rsidP="007920DF">
      <w:pPr>
        <w:pStyle w:val="ActHead5"/>
      </w:pPr>
      <w:bookmarkStart w:id="29" w:name="_Toc361055027"/>
      <w:r w:rsidRPr="00CB21B0">
        <w:rPr>
          <w:rStyle w:val="CharSectno"/>
        </w:rPr>
        <w:lastRenderedPageBreak/>
        <w:t>8AD</w:t>
      </w:r>
      <w:r w:rsidRPr="00CB21B0">
        <w:t xml:space="preserve">  Trade criteria</w:t>
      </w:r>
      <w:bookmarkEnd w:id="29"/>
    </w:p>
    <w:p w:rsidR="007920DF" w:rsidRPr="00CB21B0" w:rsidRDefault="007920DF" w:rsidP="007920DF">
      <w:pPr>
        <w:pStyle w:val="subsection"/>
      </w:pPr>
      <w:r w:rsidRPr="00CB21B0">
        <w:tab/>
        <w:t>(1)</w:t>
      </w:r>
      <w:r w:rsidRPr="00CB21B0">
        <w:tab/>
        <w:t>For subsection</w:t>
      </w:r>
      <w:r w:rsidR="00CB21B0" w:rsidRPr="00CB21B0">
        <w:t> </w:t>
      </w:r>
      <w:r w:rsidRPr="00CB21B0">
        <w:t>5C(3) of the Code, this regulation sets out the extent to which the APVMA is required to have regard to the matters set out in subsections</w:t>
      </w:r>
      <w:r w:rsidR="00CB21B0" w:rsidRPr="00CB21B0">
        <w:t> </w:t>
      </w:r>
      <w:r w:rsidRPr="00CB21B0">
        <w:t>5C(1) and (2) of the Code in determining whether a chemical product meets the trade criteria.</w:t>
      </w:r>
    </w:p>
    <w:p w:rsidR="007920DF" w:rsidRPr="00CB21B0" w:rsidRDefault="007920DF" w:rsidP="007920DF">
      <w:pPr>
        <w:pStyle w:val="subsection"/>
      </w:pPr>
      <w:r w:rsidRPr="00CB21B0">
        <w:tab/>
        <w:t>(2)</w:t>
      </w:r>
      <w:r w:rsidRPr="00CB21B0">
        <w:tab/>
        <w:t>If it can be reasonably expected that the chemical product will be used in relation to:</w:t>
      </w:r>
    </w:p>
    <w:p w:rsidR="007920DF" w:rsidRPr="00CB21B0" w:rsidRDefault="007920DF" w:rsidP="007920DF">
      <w:pPr>
        <w:pStyle w:val="paragraph"/>
      </w:pPr>
      <w:r w:rsidRPr="00CB21B0">
        <w:tab/>
        <w:t>(a)</w:t>
      </w:r>
      <w:r w:rsidRPr="00CB21B0">
        <w:tab/>
        <w:t>a crop or animal, a product of which might be provided to a place outside Australia; or</w:t>
      </w:r>
    </w:p>
    <w:p w:rsidR="007920DF" w:rsidRPr="00CB21B0" w:rsidRDefault="007920DF" w:rsidP="007920DF">
      <w:pPr>
        <w:pStyle w:val="paragraph"/>
      </w:pPr>
      <w:r w:rsidRPr="00CB21B0">
        <w:tab/>
        <w:t>(b)</w:t>
      </w:r>
      <w:r w:rsidRPr="00CB21B0">
        <w:tab/>
        <w:t xml:space="preserve">a crop that will be fed to an animal mentioned in </w:t>
      </w:r>
      <w:r w:rsidR="00CB21B0" w:rsidRPr="00CB21B0">
        <w:t>paragraph (</w:t>
      </w:r>
      <w:r w:rsidRPr="00CB21B0">
        <w:t>a);</w:t>
      </w:r>
    </w:p>
    <w:p w:rsidR="007920DF" w:rsidRPr="00CB21B0" w:rsidRDefault="007920DF" w:rsidP="007920DF">
      <w:pPr>
        <w:pStyle w:val="subsection2"/>
      </w:pPr>
      <w:r w:rsidRPr="00CB21B0">
        <w:t>the APVMA must have full regard to all of the matters set out in subsections</w:t>
      </w:r>
      <w:r w:rsidR="00CB21B0" w:rsidRPr="00CB21B0">
        <w:t> </w:t>
      </w:r>
      <w:r w:rsidRPr="00CB21B0">
        <w:t>5C(1) and (2) of the Code.</w:t>
      </w:r>
    </w:p>
    <w:p w:rsidR="007920DF" w:rsidRPr="00CB21B0" w:rsidRDefault="007920DF" w:rsidP="007920DF">
      <w:pPr>
        <w:pStyle w:val="subsection"/>
      </w:pPr>
      <w:r w:rsidRPr="00CB21B0">
        <w:tab/>
        <w:t>(3)</w:t>
      </w:r>
      <w:r w:rsidRPr="00CB21B0">
        <w:tab/>
        <w:t>In any other case, the APVMA is to have regard to the matters set out in subsections</w:t>
      </w:r>
      <w:r w:rsidR="00CB21B0" w:rsidRPr="00CB21B0">
        <w:t> </w:t>
      </w:r>
      <w:r w:rsidRPr="00CB21B0">
        <w:t>5C(1) and (2) of the Code to the extent that the APVMA thinks is relevant.</w:t>
      </w:r>
    </w:p>
    <w:p w:rsidR="007920DF" w:rsidRPr="00CB21B0" w:rsidRDefault="007920DF" w:rsidP="007920DF">
      <w:pPr>
        <w:pStyle w:val="ActHead5"/>
      </w:pPr>
      <w:bookmarkStart w:id="30" w:name="_Toc361055028"/>
      <w:r w:rsidRPr="00CB21B0">
        <w:rPr>
          <w:rStyle w:val="CharSectno"/>
        </w:rPr>
        <w:t>8AE</w:t>
      </w:r>
      <w:r w:rsidRPr="00CB21B0">
        <w:t xml:space="preserve">  Labelling criteria</w:t>
      </w:r>
      <w:bookmarkEnd w:id="30"/>
    </w:p>
    <w:p w:rsidR="007920DF" w:rsidRPr="00CB21B0" w:rsidRDefault="007920DF" w:rsidP="007920DF">
      <w:pPr>
        <w:pStyle w:val="subsection"/>
      </w:pPr>
      <w:r w:rsidRPr="00CB21B0">
        <w:tab/>
        <w:t>(1)</w:t>
      </w:r>
      <w:r w:rsidRPr="00CB21B0">
        <w:tab/>
        <w:t>For paragraph</w:t>
      </w:r>
      <w:r w:rsidR="00CB21B0" w:rsidRPr="00CB21B0">
        <w:t> </w:t>
      </w:r>
      <w:r w:rsidRPr="00CB21B0">
        <w:t>5D(1)(j) of the Code, the following are prescribed matters:</w:t>
      </w:r>
    </w:p>
    <w:p w:rsidR="007920DF" w:rsidRPr="00CB21B0" w:rsidRDefault="007920DF" w:rsidP="007920DF">
      <w:pPr>
        <w:pStyle w:val="paragraph"/>
      </w:pPr>
      <w:r w:rsidRPr="00CB21B0">
        <w:tab/>
        <w:t>(a)</w:t>
      </w:r>
      <w:r w:rsidRPr="00CB21B0">
        <w:tab/>
        <w:t xml:space="preserve">for a chemical product </w:t>
      </w:r>
      <w:r w:rsidR="004624F7" w:rsidRPr="00CB21B0">
        <w:t xml:space="preserve">that </w:t>
      </w:r>
      <w:r w:rsidRPr="00CB21B0">
        <w:t>is a veterinary chemical product—the duration of any treatment using the product;</w:t>
      </w:r>
    </w:p>
    <w:p w:rsidR="004E5F3D" w:rsidRPr="00CB21B0" w:rsidRDefault="004E5F3D" w:rsidP="007920DF">
      <w:pPr>
        <w:pStyle w:val="paragraph"/>
      </w:pPr>
      <w:r w:rsidRPr="00CB21B0">
        <w:tab/>
      </w:r>
      <w:r w:rsidR="006E43AE" w:rsidRPr="00CB21B0">
        <w:t>(b)</w:t>
      </w:r>
      <w:r w:rsidR="006E43AE" w:rsidRPr="00CB21B0">
        <w:tab/>
      </w:r>
      <w:r w:rsidR="000D22DA" w:rsidRPr="00CB21B0">
        <w:t>the prevention of</w:t>
      </w:r>
      <w:r w:rsidR="006E43AE" w:rsidRPr="00CB21B0">
        <w:t xml:space="preserve"> undue</w:t>
      </w:r>
      <w:r w:rsidRPr="00CB21B0">
        <w:t xml:space="preserve"> prejudice to trade or commence between Australia and </w:t>
      </w:r>
      <w:r w:rsidR="006E43AE" w:rsidRPr="00CB21B0">
        <w:t>places outside of Australia</w:t>
      </w:r>
      <w:r w:rsidRPr="00CB21B0">
        <w:t>;</w:t>
      </w:r>
    </w:p>
    <w:p w:rsidR="006E43AE" w:rsidRPr="00CB21B0" w:rsidRDefault="006E43AE" w:rsidP="007920DF">
      <w:pPr>
        <w:pStyle w:val="paragraph"/>
      </w:pPr>
      <w:r w:rsidRPr="00CB21B0">
        <w:tab/>
        <w:t>(c)</w:t>
      </w:r>
      <w:r w:rsidRPr="00CB21B0">
        <w:tab/>
      </w:r>
      <w:r w:rsidR="006622ED" w:rsidRPr="00CB21B0">
        <w:t xml:space="preserve">the </w:t>
      </w:r>
      <w:r w:rsidR="00A51515" w:rsidRPr="00CB21B0">
        <w:t xml:space="preserve">appropriate </w:t>
      </w:r>
      <w:r w:rsidR="006622ED" w:rsidRPr="00CB21B0">
        <w:t>signal words (if any) required by the current Poisons Standard;</w:t>
      </w:r>
    </w:p>
    <w:p w:rsidR="006E43AE" w:rsidRPr="00CB21B0" w:rsidRDefault="006E43AE" w:rsidP="007920DF">
      <w:pPr>
        <w:pStyle w:val="paragraph"/>
      </w:pPr>
      <w:r w:rsidRPr="00CB21B0">
        <w:tab/>
        <w:t>(d)</w:t>
      </w:r>
      <w:r w:rsidRPr="00CB21B0">
        <w:tab/>
      </w:r>
      <w:r w:rsidR="006622ED" w:rsidRPr="00CB21B0">
        <w:t>for a chemical product that is a date</w:t>
      </w:r>
      <w:r w:rsidR="00CB21B0">
        <w:noBreakHyphen/>
      </w:r>
      <w:r w:rsidR="006622ED" w:rsidRPr="00CB21B0">
        <w:t>controlled chemical product—the storage</w:t>
      </w:r>
      <w:r w:rsidR="000D22DA" w:rsidRPr="00CB21B0">
        <w:t xml:space="preserve"> of containers for</w:t>
      </w:r>
      <w:r w:rsidR="006622ED" w:rsidRPr="00CB21B0">
        <w:t xml:space="preserve"> the product</w:t>
      </w:r>
      <w:r w:rsidRPr="00CB21B0">
        <w:t>;</w:t>
      </w:r>
    </w:p>
    <w:p w:rsidR="006622ED" w:rsidRPr="00CB21B0" w:rsidRDefault="007920DF" w:rsidP="006622ED">
      <w:pPr>
        <w:pStyle w:val="paragraph"/>
      </w:pPr>
      <w:r w:rsidRPr="00CB21B0">
        <w:tab/>
        <w:t>(</w:t>
      </w:r>
      <w:r w:rsidR="00B4600B" w:rsidRPr="00CB21B0">
        <w:t>e</w:t>
      </w:r>
      <w:r w:rsidRPr="00CB21B0">
        <w:t>)</w:t>
      </w:r>
      <w:r w:rsidRPr="00CB21B0">
        <w:tab/>
        <w:t>any other matter determined by the</w:t>
      </w:r>
      <w:r w:rsidR="009157CF" w:rsidRPr="00CB21B0">
        <w:t xml:space="preserve"> APVMA CEO unde</w:t>
      </w:r>
      <w:r w:rsidRPr="00CB21B0">
        <w:t>r subregulation</w:t>
      </w:r>
      <w:r w:rsidR="006052E2" w:rsidRPr="00CB21B0">
        <w:t xml:space="preserve"> </w:t>
      </w:r>
      <w:r w:rsidRPr="00CB21B0">
        <w:t>(2).</w:t>
      </w:r>
    </w:p>
    <w:p w:rsidR="007920DF" w:rsidRPr="00CB21B0" w:rsidRDefault="007920DF" w:rsidP="006622ED">
      <w:pPr>
        <w:pStyle w:val="subsection"/>
      </w:pPr>
      <w:r w:rsidRPr="00CB21B0">
        <w:tab/>
        <w:t>(2)</w:t>
      </w:r>
      <w:r w:rsidRPr="00CB21B0">
        <w:tab/>
        <w:t>For paragraph</w:t>
      </w:r>
      <w:r w:rsidR="00CB21B0" w:rsidRPr="00CB21B0">
        <w:t> </w:t>
      </w:r>
      <w:r w:rsidRPr="00CB21B0">
        <w:t xml:space="preserve">6(2)(c) of the Act, the </w:t>
      </w:r>
      <w:r w:rsidR="009157CF" w:rsidRPr="00CB21B0">
        <w:t xml:space="preserve">APVMA CEO </w:t>
      </w:r>
      <w:r w:rsidRPr="00CB21B0">
        <w:t xml:space="preserve">may </w:t>
      </w:r>
      <w:r w:rsidR="00DB043D" w:rsidRPr="00CB21B0">
        <w:t>d</w:t>
      </w:r>
      <w:r w:rsidRPr="00CB21B0">
        <w:t>etermine matters in relation to which a label must contain adequate instructions.</w:t>
      </w:r>
    </w:p>
    <w:p w:rsidR="00513B88" w:rsidRPr="00CB21B0" w:rsidRDefault="00513B88" w:rsidP="00513B88">
      <w:pPr>
        <w:pStyle w:val="ActHead5"/>
      </w:pPr>
      <w:bookmarkStart w:id="31" w:name="_Toc361055029"/>
      <w:r w:rsidRPr="00CB21B0">
        <w:rPr>
          <w:rStyle w:val="CharSectno"/>
        </w:rPr>
        <w:lastRenderedPageBreak/>
        <w:t>8AF</w:t>
      </w:r>
      <w:r w:rsidRPr="00CB21B0">
        <w:t xml:space="preserve">  Standards made by APVMA</w:t>
      </w:r>
      <w:bookmarkEnd w:id="31"/>
    </w:p>
    <w:p w:rsidR="00513B88" w:rsidRPr="00CB21B0" w:rsidRDefault="00513B88" w:rsidP="00513B88">
      <w:pPr>
        <w:pStyle w:val="subsection"/>
      </w:pPr>
      <w:r w:rsidRPr="00CB21B0">
        <w:tab/>
        <w:t>(1)</w:t>
      </w:r>
      <w:r w:rsidRPr="00CB21B0">
        <w:tab/>
        <w:t>Before making</w:t>
      </w:r>
      <w:r w:rsidR="000464B6" w:rsidRPr="00CB21B0">
        <w:t xml:space="preserve"> </w:t>
      </w:r>
      <w:r w:rsidR="00137246" w:rsidRPr="00CB21B0">
        <w:t>a</w:t>
      </w:r>
      <w:r w:rsidRPr="00CB21B0">
        <w:t xml:space="preserve"> standard</w:t>
      </w:r>
      <w:r w:rsidR="00137246" w:rsidRPr="00CB21B0">
        <w:t xml:space="preserve"> for a chemical product</w:t>
      </w:r>
      <w:r w:rsidR="00D1624E" w:rsidRPr="00CB21B0">
        <w:t>, a constituent of a chemical product, or a label for containers for a chemical product</w:t>
      </w:r>
      <w:r w:rsidR="00137246" w:rsidRPr="00CB21B0">
        <w:t xml:space="preserve"> under section</w:t>
      </w:r>
      <w:r w:rsidR="00CB21B0" w:rsidRPr="00CB21B0">
        <w:t> </w:t>
      </w:r>
      <w:r w:rsidR="00137246" w:rsidRPr="00CB21B0">
        <w:t>6E of the Code</w:t>
      </w:r>
      <w:r w:rsidRPr="00CB21B0">
        <w:t xml:space="preserve">, </w:t>
      </w:r>
      <w:r w:rsidR="00EB184B" w:rsidRPr="00CB21B0">
        <w:t xml:space="preserve">or varying a standard made under that section, </w:t>
      </w:r>
      <w:r w:rsidRPr="00CB21B0">
        <w:t>the APVMA must</w:t>
      </w:r>
      <w:r w:rsidR="00205072" w:rsidRPr="00CB21B0">
        <w:t>:</w:t>
      </w:r>
    </w:p>
    <w:p w:rsidR="006E43AE" w:rsidRPr="00CB21B0" w:rsidRDefault="000464B6" w:rsidP="006E43AE">
      <w:pPr>
        <w:pStyle w:val="paragraph"/>
      </w:pPr>
      <w:r w:rsidRPr="00CB21B0">
        <w:tab/>
      </w:r>
      <w:r w:rsidR="006E43AE" w:rsidRPr="00CB21B0">
        <w:t>(a)</w:t>
      </w:r>
      <w:r w:rsidR="006E43AE" w:rsidRPr="00CB21B0">
        <w:tab/>
        <w:t>consider whether it is necessary to make the standard or variation, having regard to any relevant standards specified in any of the following:</w:t>
      </w:r>
    </w:p>
    <w:p w:rsidR="006E43AE" w:rsidRPr="00CB21B0" w:rsidRDefault="006E43AE" w:rsidP="006E43AE">
      <w:pPr>
        <w:pStyle w:val="paragraphsub"/>
      </w:pPr>
      <w:r w:rsidRPr="00CB21B0">
        <w:tab/>
        <w:t>(i)</w:t>
      </w:r>
      <w:r w:rsidRPr="00CB21B0">
        <w:tab/>
        <w:t>the British Pharmacopoeia;</w:t>
      </w:r>
    </w:p>
    <w:p w:rsidR="006E43AE" w:rsidRPr="00CB21B0" w:rsidRDefault="006E43AE" w:rsidP="006E43AE">
      <w:pPr>
        <w:pStyle w:val="paragraphsub"/>
      </w:pPr>
      <w:r w:rsidRPr="00CB21B0">
        <w:tab/>
        <w:t>(ii)</w:t>
      </w:r>
      <w:r w:rsidRPr="00CB21B0">
        <w:tab/>
        <w:t>the British Pharmacopoeia (Veterinary);</w:t>
      </w:r>
    </w:p>
    <w:p w:rsidR="006E43AE" w:rsidRPr="00CB21B0" w:rsidRDefault="006E43AE" w:rsidP="006E43AE">
      <w:pPr>
        <w:pStyle w:val="paragraphsub"/>
      </w:pPr>
      <w:r w:rsidRPr="00CB21B0">
        <w:tab/>
        <w:t>(iii)</w:t>
      </w:r>
      <w:r w:rsidRPr="00CB21B0">
        <w:tab/>
        <w:t>the European Pharmacopoeia;</w:t>
      </w:r>
    </w:p>
    <w:p w:rsidR="006E43AE" w:rsidRPr="00CB21B0" w:rsidRDefault="006E43AE" w:rsidP="006E43AE">
      <w:pPr>
        <w:pStyle w:val="paragraphsub"/>
      </w:pPr>
      <w:r w:rsidRPr="00CB21B0">
        <w:tab/>
        <w:t>(iv)</w:t>
      </w:r>
      <w:r w:rsidRPr="00CB21B0">
        <w:tab/>
        <w:t>the United States Pharmacopoeia;</w:t>
      </w:r>
    </w:p>
    <w:p w:rsidR="006E43AE" w:rsidRPr="00CB21B0" w:rsidRDefault="006E43AE" w:rsidP="006E43AE">
      <w:pPr>
        <w:pStyle w:val="paragraphsub"/>
      </w:pPr>
      <w:r w:rsidRPr="00CB21B0">
        <w:tab/>
        <w:t>(v)</w:t>
      </w:r>
      <w:r w:rsidRPr="00CB21B0">
        <w:tab/>
        <w:t>the FAO and WHO Specifications for Pesticides; and</w:t>
      </w:r>
    </w:p>
    <w:p w:rsidR="00412C3E" w:rsidRPr="00CB21B0" w:rsidRDefault="006E43AE" w:rsidP="000464B6">
      <w:pPr>
        <w:pStyle w:val="paragraph"/>
      </w:pPr>
      <w:r w:rsidRPr="00CB21B0">
        <w:tab/>
        <w:t>(b</w:t>
      </w:r>
      <w:r w:rsidR="000464B6" w:rsidRPr="00CB21B0">
        <w:t>)</w:t>
      </w:r>
      <w:r w:rsidR="000464B6" w:rsidRPr="00CB21B0">
        <w:tab/>
        <w:t xml:space="preserve">publish a notice in the </w:t>
      </w:r>
      <w:r w:rsidR="000464B6" w:rsidRPr="00CB21B0">
        <w:rPr>
          <w:i/>
        </w:rPr>
        <w:t>Gazette</w:t>
      </w:r>
      <w:r w:rsidR="000464B6" w:rsidRPr="00CB21B0">
        <w:t xml:space="preserve"> and on the APVMA’s websit</w:t>
      </w:r>
      <w:r w:rsidR="00A53495" w:rsidRPr="00CB21B0">
        <w:t xml:space="preserve">e </w:t>
      </w:r>
      <w:r w:rsidR="00412C3E" w:rsidRPr="00CB21B0">
        <w:t>stating:</w:t>
      </w:r>
    </w:p>
    <w:p w:rsidR="00412C3E" w:rsidRPr="00CB21B0" w:rsidRDefault="00412C3E" w:rsidP="00412C3E">
      <w:pPr>
        <w:pStyle w:val="paragraphsub"/>
      </w:pPr>
      <w:r w:rsidRPr="00CB21B0">
        <w:tab/>
        <w:t>(i)</w:t>
      </w:r>
      <w:r w:rsidRPr="00CB21B0">
        <w:tab/>
      </w:r>
      <w:r w:rsidR="000464B6" w:rsidRPr="00CB21B0">
        <w:t xml:space="preserve">that it </w:t>
      </w:r>
      <w:r w:rsidR="00B4600B" w:rsidRPr="00CB21B0">
        <w:t>proposes</w:t>
      </w:r>
      <w:r w:rsidR="000464B6" w:rsidRPr="00CB21B0">
        <w:t xml:space="preserve"> to make or vary the standard</w:t>
      </w:r>
      <w:r w:rsidRPr="00CB21B0">
        <w:t>;</w:t>
      </w:r>
      <w:r w:rsidR="000464B6" w:rsidRPr="00CB21B0">
        <w:t xml:space="preserve"> and</w:t>
      </w:r>
    </w:p>
    <w:p w:rsidR="006E43AE" w:rsidRPr="00CB21B0" w:rsidRDefault="006E43AE" w:rsidP="00412C3E">
      <w:pPr>
        <w:pStyle w:val="paragraphsub"/>
      </w:pPr>
      <w:r w:rsidRPr="00CB21B0">
        <w:tab/>
        <w:t>(ii)</w:t>
      </w:r>
      <w:r w:rsidRPr="00CB21B0">
        <w:tab/>
        <w:t>the reasons that the APVMA considers it is necessary to make the standard or variation; and</w:t>
      </w:r>
    </w:p>
    <w:p w:rsidR="00137246" w:rsidRPr="00CB21B0" w:rsidRDefault="00412C3E" w:rsidP="00412C3E">
      <w:pPr>
        <w:pStyle w:val="paragraphsub"/>
      </w:pPr>
      <w:r w:rsidRPr="00CB21B0">
        <w:tab/>
        <w:t>(i</w:t>
      </w:r>
      <w:r w:rsidR="006E43AE" w:rsidRPr="00CB21B0">
        <w:t>i</w:t>
      </w:r>
      <w:r w:rsidRPr="00CB21B0">
        <w:t>i)</w:t>
      </w:r>
      <w:r w:rsidRPr="00CB21B0">
        <w:tab/>
        <w:t>h</w:t>
      </w:r>
      <w:r w:rsidR="000464B6" w:rsidRPr="00CB21B0">
        <w:t xml:space="preserve">ow </w:t>
      </w:r>
      <w:r w:rsidR="00E17FE3" w:rsidRPr="00CB21B0">
        <w:t>to</w:t>
      </w:r>
      <w:r w:rsidR="000464B6" w:rsidRPr="00CB21B0">
        <w:t xml:space="preserve"> obtain more information about the proposed standard or variation;</w:t>
      </w:r>
      <w:r w:rsidR="00205072" w:rsidRPr="00CB21B0">
        <w:t xml:space="preserve"> and</w:t>
      </w:r>
    </w:p>
    <w:p w:rsidR="00EB184B" w:rsidRPr="00CB21B0" w:rsidRDefault="00EB184B" w:rsidP="000464B6">
      <w:pPr>
        <w:pStyle w:val="paragraph"/>
      </w:pPr>
      <w:r w:rsidRPr="00CB21B0">
        <w:tab/>
        <w:t>(</w:t>
      </w:r>
      <w:r w:rsidR="00134191" w:rsidRPr="00CB21B0">
        <w:t>c</w:t>
      </w:r>
      <w:r w:rsidRPr="00CB21B0">
        <w:t>)</w:t>
      </w:r>
      <w:r w:rsidRPr="00CB21B0">
        <w:tab/>
        <w:t>prepare a draft of the standard or variation the APVMA proposes to make; and</w:t>
      </w:r>
    </w:p>
    <w:p w:rsidR="000464B6" w:rsidRPr="00CB21B0" w:rsidRDefault="000464B6" w:rsidP="000464B6">
      <w:pPr>
        <w:pStyle w:val="paragraph"/>
      </w:pPr>
      <w:r w:rsidRPr="00CB21B0">
        <w:tab/>
        <w:t>(</w:t>
      </w:r>
      <w:r w:rsidR="00134191" w:rsidRPr="00CB21B0">
        <w:t>d</w:t>
      </w:r>
      <w:r w:rsidRPr="00CB21B0">
        <w:t>)</w:t>
      </w:r>
      <w:r w:rsidRPr="00CB21B0">
        <w:tab/>
        <w:t>publish on the APVMA’s website:</w:t>
      </w:r>
    </w:p>
    <w:p w:rsidR="005815C4" w:rsidRPr="00CB21B0" w:rsidRDefault="000464B6" w:rsidP="00134191">
      <w:pPr>
        <w:pStyle w:val="paragraphsub"/>
      </w:pPr>
      <w:r w:rsidRPr="00CB21B0">
        <w:tab/>
        <w:t>(i)</w:t>
      </w:r>
      <w:r w:rsidRPr="00CB21B0">
        <w:tab/>
      </w:r>
      <w:r w:rsidR="00412C3E" w:rsidRPr="00CB21B0">
        <w:t>the</w:t>
      </w:r>
      <w:r w:rsidR="00EB184B" w:rsidRPr="00CB21B0">
        <w:t xml:space="preserve"> draft </w:t>
      </w:r>
      <w:r w:rsidRPr="00CB21B0">
        <w:t>standard or variation;</w:t>
      </w:r>
      <w:r w:rsidR="00205072" w:rsidRPr="00CB21B0">
        <w:t xml:space="preserve"> and</w:t>
      </w:r>
    </w:p>
    <w:p w:rsidR="00134191" w:rsidRPr="00CB21B0" w:rsidRDefault="00134191" w:rsidP="005815C4">
      <w:pPr>
        <w:pStyle w:val="paragraphsub"/>
        <w:rPr>
          <w:strike/>
        </w:rPr>
      </w:pPr>
      <w:r w:rsidRPr="00CB21B0">
        <w:tab/>
        <w:t>(ii)</w:t>
      </w:r>
      <w:r w:rsidRPr="00CB21B0">
        <w:tab/>
        <w:t xml:space="preserve">if the APVMA determines that the standard or variation is necessary to prevent imminent risk </w:t>
      </w:r>
      <w:r w:rsidR="00A51515" w:rsidRPr="00CB21B0">
        <w:t xml:space="preserve">to persons </w:t>
      </w:r>
      <w:r w:rsidRPr="00CB21B0">
        <w:t>of death, serious injury or serious illness—a statement to that effect; and</w:t>
      </w:r>
    </w:p>
    <w:p w:rsidR="00205072" w:rsidRPr="00CB21B0" w:rsidRDefault="00205072" w:rsidP="000464B6">
      <w:pPr>
        <w:pStyle w:val="paragraphsub"/>
      </w:pPr>
      <w:r w:rsidRPr="00CB21B0">
        <w:tab/>
        <w:t>(i</w:t>
      </w:r>
      <w:r w:rsidR="00134191" w:rsidRPr="00CB21B0">
        <w:t>i</w:t>
      </w:r>
      <w:r w:rsidRPr="00CB21B0">
        <w:t>i)</w:t>
      </w:r>
      <w:r w:rsidRPr="00CB21B0">
        <w:tab/>
        <w:t xml:space="preserve">an invitation </w:t>
      </w:r>
      <w:r w:rsidR="00D44DAA" w:rsidRPr="00CB21B0">
        <w:t>to the public</w:t>
      </w:r>
      <w:r w:rsidRPr="00CB21B0">
        <w:t xml:space="preserve"> to make a written submission on the draft standard or variation within </w:t>
      </w:r>
      <w:r w:rsidR="00A4212E" w:rsidRPr="00CB21B0">
        <w:t>the</w:t>
      </w:r>
      <w:r w:rsidRPr="00CB21B0">
        <w:t xml:space="preserve"> period</w:t>
      </w:r>
      <w:r w:rsidR="00D74A44" w:rsidRPr="00CB21B0">
        <w:t xml:space="preserve"> </w:t>
      </w:r>
      <w:r w:rsidRPr="00CB21B0">
        <w:t>stated in the invitation.</w:t>
      </w:r>
    </w:p>
    <w:p w:rsidR="00D74A44" w:rsidRPr="00CB21B0" w:rsidRDefault="00D74A44" w:rsidP="00D74A44">
      <w:pPr>
        <w:pStyle w:val="subsection"/>
      </w:pPr>
      <w:r w:rsidRPr="00CB21B0">
        <w:tab/>
        <w:t>(2)</w:t>
      </w:r>
      <w:r w:rsidRPr="00CB21B0">
        <w:tab/>
        <w:t xml:space="preserve">The period mentioned in </w:t>
      </w:r>
      <w:r w:rsidR="00CB21B0" w:rsidRPr="00CB21B0">
        <w:t>subparagraph (</w:t>
      </w:r>
      <w:r w:rsidRPr="00CB21B0">
        <w:t>1)(</w:t>
      </w:r>
      <w:r w:rsidR="00134191" w:rsidRPr="00CB21B0">
        <w:t>d</w:t>
      </w:r>
      <w:r w:rsidRPr="00CB21B0">
        <w:t>)(i</w:t>
      </w:r>
      <w:r w:rsidR="00134191" w:rsidRPr="00CB21B0">
        <w:t>i</w:t>
      </w:r>
      <w:r w:rsidRPr="00CB21B0">
        <w:t xml:space="preserve">i) must be not less than 28 days after the publication of the invitation, unless the APVMA determines that the standard or variation is necessary to prevent imminent risk </w:t>
      </w:r>
      <w:r w:rsidR="000D22DA" w:rsidRPr="00CB21B0">
        <w:t xml:space="preserve">to persons </w:t>
      </w:r>
      <w:r w:rsidRPr="00CB21B0">
        <w:t>of death, serious injury or serious illness</w:t>
      </w:r>
      <w:r w:rsidR="000D22DA" w:rsidRPr="00CB21B0">
        <w:t>.</w:t>
      </w:r>
    </w:p>
    <w:p w:rsidR="00C9417A" w:rsidRPr="00CB21B0" w:rsidRDefault="00D74A44" w:rsidP="006E43AE">
      <w:pPr>
        <w:pStyle w:val="subsection"/>
      </w:pPr>
      <w:r w:rsidRPr="00CB21B0">
        <w:lastRenderedPageBreak/>
        <w:tab/>
        <w:t>(3)</w:t>
      </w:r>
      <w:r w:rsidRPr="00CB21B0">
        <w:tab/>
      </w:r>
      <w:r w:rsidR="00EB184B" w:rsidRPr="00CB21B0">
        <w:t>In deciding whether to make the standa</w:t>
      </w:r>
      <w:r w:rsidR="006E43AE" w:rsidRPr="00CB21B0">
        <w:t>rd or variation, the APVMA must c</w:t>
      </w:r>
      <w:r w:rsidR="00EB184B" w:rsidRPr="00CB21B0">
        <w:t xml:space="preserve">onsider any submissions received in accordance with the invitation mentioned in </w:t>
      </w:r>
      <w:r w:rsidR="00CB21B0" w:rsidRPr="00CB21B0">
        <w:t>subparagraph (</w:t>
      </w:r>
      <w:r w:rsidR="00134191" w:rsidRPr="00CB21B0">
        <w:t>1)(d</w:t>
      </w:r>
      <w:r w:rsidR="00EB184B" w:rsidRPr="00CB21B0">
        <w:t>)(i</w:t>
      </w:r>
      <w:r w:rsidR="00134191" w:rsidRPr="00CB21B0">
        <w:t>i</w:t>
      </w:r>
      <w:r w:rsidR="00EB184B" w:rsidRPr="00CB21B0">
        <w:t>i)</w:t>
      </w:r>
      <w:r w:rsidR="006E43AE" w:rsidRPr="00CB21B0">
        <w:t>.</w:t>
      </w:r>
    </w:p>
    <w:p w:rsidR="00A4212E" w:rsidRPr="00CB21B0" w:rsidRDefault="00A4212E" w:rsidP="00A4212E">
      <w:pPr>
        <w:pStyle w:val="subsection"/>
      </w:pPr>
      <w:r w:rsidRPr="00CB21B0">
        <w:tab/>
        <w:t>(4)</w:t>
      </w:r>
      <w:r w:rsidRPr="00CB21B0">
        <w:tab/>
        <w:t xml:space="preserve">If the APVMA makes or varies a standard for a chemical product or active constituent, the APVMA must publish a notice in the </w:t>
      </w:r>
      <w:r w:rsidRPr="00CB21B0">
        <w:rPr>
          <w:i/>
        </w:rPr>
        <w:t>Gazette</w:t>
      </w:r>
      <w:r w:rsidRPr="00CB21B0">
        <w:t xml:space="preserve"> and on the APVMA’s website stating:</w:t>
      </w:r>
    </w:p>
    <w:p w:rsidR="00A4212E" w:rsidRPr="00CB21B0" w:rsidRDefault="00134191" w:rsidP="00A4212E">
      <w:pPr>
        <w:pStyle w:val="paragraph"/>
      </w:pPr>
      <w:r w:rsidRPr="00CB21B0">
        <w:tab/>
        <w:t>(a)</w:t>
      </w:r>
      <w:r w:rsidRPr="00CB21B0">
        <w:tab/>
        <w:t>that it</w:t>
      </w:r>
      <w:r w:rsidR="00A4212E" w:rsidRPr="00CB21B0">
        <w:t xml:space="preserve"> has made the standard or variation for the product or constituent; and</w:t>
      </w:r>
    </w:p>
    <w:p w:rsidR="00A4212E" w:rsidRPr="00CB21B0" w:rsidRDefault="00A4212E" w:rsidP="00A4212E">
      <w:pPr>
        <w:pStyle w:val="paragraph"/>
      </w:pPr>
      <w:r w:rsidRPr="00CB21B0">
        <w:tab/>
        <w:t>(b)</w:t>
      </w:r>
      <w:r w:rsidRPr="00CB21B0">
        <w:tab/>
      </w:r>
      <w:r w:rsidR="004C175B" w:rsidRPr="00CB21B0">
        <w:t>its</w:t>
      </w:r>
      <w:r w:rsidRPr="00CB21B0">
        <w:t xml:space="preserve"> reasons for making or varying the standard; and</w:t>
      </w:r>
    </w:p>
    <w:p w:rsidR="00A4212E" w:rsidRPr="00CB21B0" w:rsidRDefault="00A4212E" w:rsidP="00A4212E">
      <w:pPr>
        <w:pStyle w:val="paragraph"/>
      </w:pPr>
      <w:r w:rsidRPr="00CB21B0">
        <w:tab/>
        <w:t>(</w:t>
      </w:r>
      <w:r w:rsidR="00A53495" w:rsidRPr="00CB21B0">
        <w:t>c</w:t>
      </w:r>
      <w:r w:rsidRPr="00CB21B0">
        <w:t>)</w:t>
      </w:r>
      <w:r w:rsidRPr="00CB21B0">
        <w:tab/>
        <w:t xml:space="preserve">how </w:t>
      </w:r>
      <w:r w:rsidR="00E17FE3" w:rsidRPr="00CB21B0">
        <w:t>to</w:t>
      </w:r>
      <w:r w:rsidRPr="00CB21B0">
        <w:t xml:space="preserve"> obtain more information about the standard or variation.</w:t>
      </w:r>
    </w:p>
    <w:p w:rsidR="00E17FE3" w:rsidRPr="00CB21B0" w:rsidRDefault="00A4212E" w:rsidP="00E17FE3">
      <w:pPr>
        <w:pStyle w:val="subsection"/>
      </w:pPr>
      <w:r w:rsidRPr="00CB21B0">
        <w:tab/>
        <w:t>(5)</w:t>
      </w:r>
      <w:r w:rsidRPr="00CB21B0">
        <w:tab/>
        <w:t xml:space="preserve">If the APVMA decides, after taking into account the matters mentioned in </w:t>
      </w:r>
      <w:r w:rsidR="004202EA" w:rsidRPr="00CB21B0">
        <w:t>subregulation (3), not to make the standard or variation, the APVMA must</w:t>
      </w:r>
      <w:r w:rsidR="00E17FE3" w:rsidRPr="00CB21B0">
        <w:t xml:space="preserve"> publish a notice in the </w:t>
      </w:r>
      <w:r w:rsidR="00E17FE3" w:rsidRPr="00CB21B0">
        <w:rPr>
          <w:i/>
        </w:rPr>
        <w:t xml:space="preserve">Gazette </w:t>
      </w:r>
      <w:r w:rsidR="00E17FE3" w:rsidRPr="00CB21B0">
        <w:t>stating:</w:t>
      </w:r>
    </w:p>
    <w:p w:rsidR="004202EA" w:rsidRPr="00CB21B0" w:rsidRDefault="00E17FE3" w:rsidP="00E17FE3">
      <w:pPr>
        <w:pStyle w:val="paragraph"/>
      </w:pPr>
      <w:r w:rsidRPr="00CB21B0">
        <w:tab/>
        <w:t>(a)</w:t>
      </w:r>
      <w:r w:rsidRPr="00CB21B0">
        <w:tab/>
        <w:t>that it has abandoned the development of the standard or variation; and</w:t>
      </w:r>
    </w:p>
    <w:p w:rsidR="00E17FE3" w:rsidRPr="00CB21B0" w:rsidRDefault="00E17FE3" w:rsidP="00E17FE3">
      <w:pPr>
        <w:pStyle w:val="paragraph"/>
      </w:pPr>
      <w:r w:rsidRPr="00CB21B0">
        <w:tab/>
        <w:t>(b)</w:t>
      </w:r>
      <w:r w:rsidRPr="00CB21B0">
        <w:tab/>
        <w:t>the reasons for abandoning the development of the standard or variation; and</w:t>
      </w:r>
    </w:p>
    <w:p w:rsidR="00E17FE3" w:rsidRPr="00CB21B0" w:rsidRDefault="00E17FE3" w:rsidP="00E17FE3">
      <w:pPr>
        <w:pStyle w:val="paragraph"/>
      </w:pPr>
      <w:r w:rsidRPr="00CB21B0">
        <w:tab/>
        <w:t>(c)</w:t>
      </w:r>
      <w:r w:rsidRPr="00CB21B0">
        <w:tab/>
        <w:t>how to obtain more information about the decision to abandon the development of the standard or variation.</w:t>
      </w:r>
    </w:p>
    <w:p w:rsidR="007920DF" w:rsidRPr="00CB21B0" w:rsidRDefault="007920DF" w:rsidP="00A70635">
      <w:pPr>
        <w:pStyle w:val="ActHead3"/>
      </w:pPr>
      <w:bookmarkStart w:id="32" w:name="_Toc361055030"/>
      <w:r w:rsidRPr="00CB21B0">
        <w:rPr>
          <w:rStyle w:val="CharDivNo"/>
        </w:rPr>
        <w:t>Division</w:t>
      </w:r>
      <w:r w:rsidR="00CB21B0" w:rsidRPr="00CB21B0">
        <w:rPr>
          <w:rStyle w:val="CharDivNo"/>
        </w:rPr>
        <w:t> </w:t>
      </w:r>
      <w:r w:rsidRPr="00CB21B0">
        <w:rPr>
          <w:rStyle w:val="CharDivNo"/>
        </w:rPr>
        <w:t>1.2</w:t>
      </w:r>
      <w:r w:rsidRPr="00CB21B0">
        <w:t>—</w:t>
      </w:r>
      <w:r w:rsidRPr="00CB21B0">
        <w:rPr>
          <w:rStyle w:val="CharDivText"/>
        </w:rPr>
        <w:t xml:space="preserve">General </w:t>
      </w:r>
      <w:r w:rsidR="004624F7" w:rsidRPr="00CB21B0">
        <w:rPr>
          <w:rStyle w:val="CharDivText"/>
        </w:rPr>
        <w:t>p</w:t>
      </w:r>
      <w:r w:rsidRPr="00CB21B0">
        <w:rPr>
          <w:rStyle w:val="CharDivText"/>
        </w:rPr>
        <w:t xml:space="preserve">rovisions </w:t>
      </w:r>
      <w:r w:rsidR="004624F7" w:rsidRPr="00CB21B0">
        <w:rPr>
          <w:rStyle w:val="CharDivText"/>
        </w:rPr>
        <w:t>a</w:t>
      </w:r>
      <w:r w:rsidRPr="00CB21B0">
        <w:rPr>
          <w:rStyle w:val="CharDivText"/>
        </w:rPr>
        <w:t xml:space="preserve">bout </w:t>
      </w:r>
      <w:r w:rsidR="004624F7" w:rsidRPr="00CB21B0">
        <w:rPr>
          <w:rStyle w:val="CharDivText"/>
        </w:rPr>
        <w:t>a</w:t>
      </w:r>
      <w:r w:rsidRPr="00CB21B0">
        <w:rPr>
          <w:rStyle w:val="CharDivText"/>
        </w:rPr>
        <w:t>pplications</w:t>
      </w:r>
      <w:bookmarkEnd w:id="32"/>
    </w:p>
    <w:p w:rsidR="00D9525A" w:rsidRPr="00CB21B0" w:rsidRDefault="00D9525A" w:rsidP="00D9525A">
      <w:pPr>
        <w:pStyle w:val="ActHead5"/>
      </w:pPr>
      <w:bookmarkStart w:id="33" w:name="_Toc361055031"/>
      <w:r w:rsidRPr="00CB21B0">
        <w:rPr>
          <w:rStyle w:val="CharSectno"/>
        </w:rPr>
        <w:t>8</w:t>
      </w:r>
      <w:r w:rsidR="00041955" w:rsidRPr="00CB21B0">
        <w:rPr>
          <w:rStyle w:val="CharSectno"/>
        </w:rPr>
        <w:t>A</w:t>
      </w:r>
      <w:r w:rsidR="00A51515" w:rsidRPr="00CB21B0">
        <w:rPr>
          <w:rStyle w:val="CharSectno"/>
        </w:rPr>
        <w:t>G</w:t>
      </w:r>
      <w:r w:rsidR="005815C4" w:rsidRPr="00CB21B0">
        <w:t xml:space="preserve">  </w:t>
      </w:r>
      <w:r w:rsidRPr="00CB21B0">
        <w:t>Application requirements—</w:t>
      </w:r>
      <w:r w:rsidR="00286378" w:rsidRPr="00CB21B0">
        <w:t>timeshift applications</w:t>
      </w:r>
      <w:bookmarkEnd w:id="33"/>
    </w:p>
    <w:p w:rsidR="00286378" w:rsidRPr="00CB21B0" w:rsidRDefault="00286378" w:rsidP="00286378">
      <w:pPr>
        <w:pStyle w:val="subsection"/>
      </w:pPr>
      <w:r w:rsidRPr="00CB21B0">
        <w:tab/>
      </w:r>
      <w:r w:rsidR="0044467C" w:rsidRPr="00CB21B0">
        <w:t>(1)</w:t>
      </w:r>
      <w:r w:rsidRPr="00CB21B0">
        <w:tab/>
        <w:t>For paragraph</w:t>
      </w:r>
      <w:r w:rsidR="00CB21B0" w:rsidRPr="00CB21B0">
        <w:t> </w:t>
      </w:r>
      <w:r w:rsidRPr="00CB21B0">
        <w:t xml:space="preserve">8A(d) of the Code, a timeshift application must </w:t>
      </w:r>
      <w:r w:rsidR="00536285" w:rsidRPr="00CB21B0">
        <w:t>include a p</w:t>
      </w:r>
      <w:r w:rsidRPr="00CB21B0">
        <w:t>roject plan agreed to by the applicant and the APVMA that includes:</w:t>
      </w:r>
    </w:p>
    <w:p w:rsidR="00286378" w:rsidRPr="00CB21B0" w:rsidRDefault="00286378" w:rsidP="00286378">
      <w:pPr>
        <w:pStyle w:val="paragraph"/>
      </w:pPr>
      <w:r w:rsidRPr="00CB21B0">
        <w:tab/>
        <w:t>(a)</w:t>
      </w:r>
      <w:r w:rsidRPr="00CB21B0">
        <w:tab/>
        <w:t>timeframes for the applicant to provide information; and</w:t>
      </w:r>
    </w:p>
    <w:p w:rsidR="00286378" w:rsidRPr="00CB21B0" w:rsidRDefault="00286378" w:rsidP="00286378">
      <w:pPr>
        <w:pStyle w:val="paragraph"/>
      </w:pPr>
      <w:r w:rsidRPr="00CB21B0">
        <w:tab/>
        <w:t>(b)</w:t>
      </w:r>
      <w:r w:rsidRPr="00CB21B0">
        <w:tab/>
        <w:t>assessment periods for assessing the application.</w:t>
      </w:r>
    </w:p>
    <w:p w:rsidR="0044467C" w:rsidRPr="00CB21B0" w:rsidRDefault="0044467C" w:rsidP="0044467C">
      <w:pPr>
        <w:pStyle w:val="subsection"/>
      </w:pPr>
      <w:r w:rsidRPr="00CB21B0">
        <w:tab/>
        <w:t>(2)</w:t>
      </w:r>
      <w:r w:rsidRPr="00CB21B0">
        <w:tab/>
        <w:t xml:space="preserve">The applicant and the APVMA may, at any time, agree to vary </w:t>
      </w:r>
      <w:r w:rsidR="005815C4" w:rsidRPr="00CB21B0">
        <w:t xml:space="preserve">a </w:t>
      </w:r>
      <w:r w:rsidRPr="00CB21B0">
        <w:t>timeframe</w:t>
      </w:r>
      <w:r w:rsidR="005815C4" w:rsidRPr="00CB21B0">
        <w:t xml:space="preserve"> or </w:t>
      </w:r>
      <w:r w:rsidRPr="00CB21B0">
        <w:t>assessment period set out in the project plan.</w:t>
      </w:r>
    </w:p>
    <w:p w:rsidR="00EB3EE0" w:rsidRPr="00CB21B0" w:rsidRDefault="00041955" w:rsidP="00EB3EE0">
      <w:pPr>
        <w:pStyle w:val="ActHead5"/>
      </w:pPr>
      <w:bookmarkStart w:id="34" w:name="_Toc361055032"/>
      <w:r w:rsidRPr="00CB21B0">
        <w:rPr>
          <w:rStyle w:val="CharSectno"/>
        </w:rPr>
        <w:t>8A</w:t>
      </w:r>
      <w:r w:rsidR="00A51515" w:rsidRPr="00CB21B0">
        <w:rPr>
          <w:rStyle w:val="CharSectno"/>
        </w:rPr>
        <w:t>H</w:t>
      </w:r>
      <w:r w:rsidR="005815C4" w:rsidRPr="00CB21B0">
        <w:t xml:space="preserve">  </w:t>
      </w:r>
      <w:r w:rsidR="00EB3EE0" w:rsidRPr="00CB21B0">
        <w:t>Application requirements—copies of applications</w:t>
      </w:r>
      <w:bookmarkEnd w:id="34"/>
    </w:p>
    <w:p w:rsidR="00EB3EE0" w:rsidRPr="00CB21B0" w:rsidRDefault="00AE5801" w:rsidP="00EB3EE0">
      <w:pPr>
        <w:pStyle w:val="subsection"/>
      </w:pPr>
      <w:r w:rsidRPr="00CB21B0">
        <w:tab/>
      </w:r>
      <w:r w:rsidRPr="00CB21B0">
        <w:tab/>
        <w:t>For paragraph</w:t>
      </w:r>
      <w:r w:rsidR="00CB21B0" w:rsidRPr="00CB21B0">
        <w:t> </w:t>
      </w:r>
      <w:r w:rsidRPr="00CB21B0">
        <w:t>8A(d) of the Code, if the APVMA gives an applicant a notice under regulation</w:t>
      </w:r>
      <w:r w:rsidR="00CB21B0" w:rsidRPr="00CB21B0">
        <w:t> </w:t>
      </w:r>
      <w:r w:rsidRPr="00CB21B0">
        <w:t>8A</w:t>
      </w:r>
      <w:r w:rsidR="00883FB9" w:rsidRPr="00CB21B0">
        <w:t>O</w:t>
      </w:r>
      <w:r w:rsidR="00541A57" w:rsidRPr="00CB21B0">
        <w:t>,</w:t>
      </w:r>
      <w:r w:rsidRPr="00CB21B0">
        <w:t xml:space="preserve"> 8A</w:t>
      </w:r>
      <w:r w:rsidR="00883FB9" w:rsidRPr="00CB21B0">
        <w:t>P</w:t>
      </w:r>
      <w:r w:rsidR="00541A57" w:rsidRPr="00CB21B0">
        <w:t xml:space="preserve"> or 8A</w:t>
      </w:r>
      <w:r w:rsidR="00220E6F" w:rsidRPr="00CB21B0">
        <w:t>Q</w:t>
      </w:r>
      <w:r w:rsidRPr="00CB21B0">
        <w:t xml:space="preserve"> asking the </w:t>
      </w:r>
      <w:r w:rsidRPr="00CB21B0">
        <w:lastRenderedPageBreak/>
        <w:t>applicant to provide copies of the application, the applicant must provide the requested number of copies, in the form request</w:t>
      </w:r>
      <w:r w:rsidR="00B76C87" w:rsidRPr="00CB21B0">
        <w:t>ed</w:t>
      </w:r>
      <w:r w:rsidRPr="00CB21B0">
        <w:t>, to the APVMA within 28 days of the date of the notice.</w:t>
      </w:r>
    </w:p>
    <w:p w:rsidR="007920DF" w:rsidRPr="00CB21B0" w:rsidRDefault="007920DF" w:rsidP="007920DF">
      <w:pPr>
        <w:pStyle w:val="ActHead3"/>
      </w:pPr>
      <w:bookmarkStart w:id="35" w:name="_Toc361055033"/>
      <w:r w:rsidRPr="00CB21B0">
        <w:rPr>
          <w:rStyle w:val="CharDivNo"/>
        </w:rPr>
        <w:t>Division</w:t>
      </w:r>
      <w:r w:rsidR="00CB21B0" w:rsidRPr="00CB21B0">
        <w:rPr>
          <w:rStyle w:val="CharDivNo"/>
        </w:rPr>
        <w:t> </w:t>
      </w:r>
      <w:r w:rsidRPr="00CB21B0">
        <w:rPr>
          <w:rStyle w:val="CharDivNo"/>
        </w:rPr>
        <w:t>1.3</w:t>
      </w:r>
      <w:r w:rsidRPr="00CB21B0">
        <w:t>—</w:t>
      </w:r>
      <w:r w:rsidRPr="00CB21B0">
        <w:rPr>
          <w:rStyle w:val="CharDivText"/>
        </w:rPr>
        <w:t xml:space="preserve">General </w:t>
      </w:r>
      <w:r w:rsidR="001C793D" w:rsidRPr="00CB21B0">
        <w:rPr>
          <w:rStyle w:val="CharDivText"/>
        </w:rPr>
        <w:t>p</w:t>
      </w:r>
      <w:r w:rsidRPr="00CB21B0">
        <w:rPr>
          <w:rStyle w:val="CharDivText"/>
        </w:rPr>
        <w:t xml:space="preserve">rovisions </w:t>
      </w:r>
      <w:r w:rsidR="001C793D" w:rsidRPr="00CB21B0">
        <w:rPr>
          <w:rStyle w:val="CharDivText"/>
        </w:rPr>
        <w:t>a</w:t>
      </w:r>
      <w:r w:rsidRPr="00CB21B0">
        <w:rPr>
          <w:rStyle w:val="CharDivText"/>
        </w:rPr>
        <w:t xml:space="preserve">bout </w:t>
      </w:r>
      <w:r w:rsidR="001C793D" w:rsidRPr="00CB21B0">
        <w:rPr>
          <w:rStyle w:val="CharDivText"/>
        </w:rPr>
        <w:t>n</w:t>
      </w:r>
      <w:r w:rsidRPr="00CB21B0">
        <w:rPr>
          <w:rStyle w:val="CharDivText"/>
        </w:rPr>
        <w:t>otices</w:t>
      </w:r>
      <w:bookmarkEnd w:id="35"/>
    </w:p>
    <w:p w:rsidR="007920DF" w:rsidRPr="00CB21B0" w:rsidRDefault="007B518C" w:rsidP="007920DF">
      <w:pPr>
        <w:pStyle w:val="ActHead5"/>
      </w:pPr>
      <w:bookmarkStart w:id="36" w:name="_Toc361055034"/>
      <w:r w:rsidRPr="00CB21B0">
        <w:rPr>
          <w:rStyle w:val="CharSectno"/>
        </w:rPr>
        <w:t>8AK</w:t>
      </w:r>
      <w:r w:rsidR="005815C4" w:rsidRPr="00CB21B0">
        <w:t xml:space="preserve">  </w:t>
      </w:r>
      <w:r w:rsidR="007920DF" w:rsidRPr="00CB21B0">
        <w:t>Information to be given in notice to holder</w:t>
      </w:r>
      <w:bookmarkEnd w:id="36"/>
    </w:p>
    <w:p w:rsidR="007920DF" w:rsidRPr="00CB21B0" w:rsidRDefault="007920DF" w:rsidP="007920DF">
      <w:pPr>
        <w:pStyle w:val="subsection"/>
      </w:pPr>
      <w:r w:rsidRPr="00CB21B0">
        <w:tab/>
      </w:r>
      <w:r w:rsidRPr="00CB21B0">
        <w:tab/>
        <w:t>For paragraph</w:t>
      </w:r>
      <w:r w:rsidR="00CB21B0" w:rsidRPr="00CB21B0">
        <w:t> </w:t>
      </w:r>
      <w:r w:rsidRPr="00CB21B0">
        <w:t>8F(2)(e) of the Code, the following information is prescribed</w:t>
      </w:r>
      <w:r w:rsidR="00B95945" w:rsidRPr="00CB21B0">
        <w:t xml:space="preserve"> for a notice given to a holder under subsection</w:t>
      </w:r>
      <w:r w:rsidR="00CB21B0" w:rsidRPr="00CB21B0">
        <w:t> </w:t>
      </w:r>
      <w:r w:rsidR="00B95945" w:rsidRPr="00CB21B0">
        <w:t>8F(1) of the Code</w:t>
      </w:r>
      <w:r w:rsidRPr="00CB21B0">
        <w:t>:</w:t>
      </w:r>
    </w:p>
    <w:p w:rsidR="007920DF" w:rsidRPr="00CB21B0" w:rsidRDefault="007920DF" w:rsidP="007920DF">
      <w:pPr>
        <w:pStyle w:val="paragraph"/>
      </w:pPr>
      <w:r w:rsidRPr="00CB21B0">
        <w:tab/>
        <w:t>(a)</w:t>
      </w:r>
      <w:r w:rsidRPr="00CB21B0">
        <w:tab/>
        <w:t>for the approval of an active constituent:</w:t>
      </w:r>
    </w:p>
    <w:p w:rsidR="007920DF" w:rsidRPr="00CB21B0" w:rsidRDefault="007920DF" w:rsidP="007920DF">
      <w:pPr>
        <w:pStyle w:val="paragraphsub"/>
      </w:pPr>
      <w:r w:rsidRPr="00CB21B0">
        <w:tab/>
        <w:t>(i)</w:t>
      </w:r>
      <w:r w:rsidRPr="00CB21B0">
        <w:tab/>
        <w:t>the information required by section</w:t>
      </w:r>
      <w:r w:rsidR="00CB21B0" w:rsidRPr="00CB21B0">
        <w:t> </w:t>
      </w:r>
      <w:r w:rsidRPr="00CB21B0">
        <w:t>8H of the Code in relation to the approval; and</w:t>
      </w:r>
    </w:p>
    <w:p w:rsidR="007920DF" w:rsidRPr="00CB21B0" w:rsidRDefault="007920DF" w:rsidP="007920DF">
      <w:pPr>
        <w:pStyle w:val="paragraphsub"/>
      </w:pPr>
      <w:r w:rsidRPr="00CB21B0">
        <w:tab/>
        <w:t>(ii)</w:t>
      </w:r>
      <w:r w:rsidRPr="00CB21B0">
        <w:tab/>
        <w:t>the date of the approval under section</w:t>
      </w:r>
      <w:r w:rsidR="00CB21B0" w:rsidRPr="00CB21B0">
        <w:t> </w:t>
      </w:r>
      <w:r w:rsidRPr="00CB21B0">
        <w:t>22 of the Code; and</w:t>
      </w:r>
    </w:p>
    <w:p w:rsidR="00B95945" w:rsidRPr="00CB21B0" w:rsidRDefault="00B95945" w:rsidP="007920DF">
      <w:pPr>
        <w:pStyle w:val="paragraphsub"/>
      </w:pPr>
      <w:r w:rsidRPr="00CB21B0">
        <w:tab/>
        <w:t>(iii)</w:t>
      </w:r>
      <w:r w:rsidRPr="00CB21B0">
        <w:tab/>
        <w:t>the date on which the notice is given to the holder; and</w:t>
      </w:r>
    </w:p>
    <w:p w:rsidR="007920DF" w:rsidRPr="00CB21B0" w:rsidRDefault="007920DF" w:rsidP="007920DF">
      <w:pPr>
        <w:pStyle w:val="paragraphsub"/>
      </w:pPr>
      <w:r w:rsidRPr="00CB21B0">
        <w:tab/>
        <w:t>(i</w:t>
      </w:r>
      <w:r w:rsidR="00B95945" w:rsidRPr="00CB21B0">
        <w:t>v</w:t>
      </w:r>
      <w:r w:rsidRPr="00CB21B0">
        <w:t>)</w:t>
      </w:r>
      <w:r w:rsidRPr="00CB21B0">
        <w:tab/>
        <w:t>any other details entered in the Record about the active constituent that the APVMA thinks appropriate;</w:t>
      </w:r>
    </w:p>
    <w:p w:rsidR="007920DF" w:rsidRPr="00CB21B0" w:rsidRDefault="007920DF" w:rsidP="007920DF">
      <w:pPr>
        <w:pStyle w:val="paragraph"/>
      </w:pPr>
      <w:r w:rsidRPr="00CB21B0">
        <w:tab/>
        <w:t>(b)</w:t>
      </w:r>
      <w:r w:rsidRPr="00CB21B0">
        <w:tab/>
        <w:t>for the registration of a chemical product:</w:t>
      </w:r>
    </w:p>
    <w:p w:rsidR="007920DF" w:rsidRPr="00CB21B0" w:rsidRDefault="007920DF" w:rsidP="007920DF">
      <w:pPr>
        <w:pStyle w:val="paragraphsub"/>
      </w:pPr>
      <w:r w:rsidRPr="00CB21B0">
        <w:tab/>
        <w:t>(i)</w:t>
      </w:r>
      <w:r w:rsidRPr="00CB21B0">
        <w:tab/>
        <w:t>the information required by section</w:t>
      </w:r>
      <w:r w:rsidR="00CB21B0" w:rsidRPr="00CB21B0">
        <w:t> </w:t>
      </w:r>
      <w:r w:rsidRPr="00CB21B0">
        <w:t>8H of the Code in relation to the registration; and</w:t>
      </w:r>
    </w:p>
    <w:p w:rsidR="007920DF" w:rsidRPr="00CB21B0" w:rsidRDefault="007920DF" w:rsidP="007920DF">
      <w:pPr>
        <w:pStyle w:val="paragraphsub"/>
      </w:pPr>
      <w:r w:rsidRPr="00CB21B0">
        <w:tab/>
        <w:t>(ii)</w:t>
      </w:r>
      <w:r w:rsidRPr="00CB21B0">
        <w:tab/>
        <w:t>the date of the registration under section</w:t>
      </w:r>
      <w:r w:rsidR="00CB21B0" w:rsidRPr="00CB21B0">
        <w:t> </w:t>
      </w:r>
      <w:r w:rsidRPr="00CB21B0">
        <w:t>22 of the Code; and</w:t>
      </w:r>
    </w:p>
    <w:p w:rsidR="007B518C" w:rsidRPr="00CB21B0" w:rsidRDefault="007B518C" w:rsidP="007920DF">
      <w:pPr>
        <w:pStyle w:val="paragraphsub"/>
      </w:pPr>
      <w:r w:rsidRPr="00CB21B0">
        <w:tab/>
        <w:t>(iii)</w:t>
      </w:r>
      <w:r w:rsidRPr="00CB21B0">
        <w:tab/>
        <w:t>the distinguishing name of the chemical product; and</w:t>
      </w:r>
    </w:p>
    <w:p w:rsidR="00B95945" w:rsidRPr="00CB21B0" w:rsidRDefault="00B95945" w:rsidP="007920DF">
      <w:pPr>
        <w:pStyle w:val="paragraphsub"/>
      </w:pPr>
      <w:r w:rsidRPr="00CB21B0">
        <w:tab/>
        <w:t>(iv)</w:t>
      </w:r>
      <w:r w:rsidRPr="00CB21B0">
        <w:tab/>
        <w:t>the date on which the notice is given to the holder; and</w:t>
      </w:r>
    </w:p>
    <w:p w:rsidR="007920DF" w:rsidRPr="00CB21B0" w:rsidRDefault="007920DF" w:rsidP="007920DF">
      <w:pPr>
        <w:pStyle w:val="paragraphsub"/>
      </w:pPr>
      <w:r w:rsidRPr="00CB21B0">
        <w:tab/>
        <w:t>(</w:t>
      </w:r>
      <w:r w:rsidR="007B518C" w:rsidRPr="00CB21B0">
        <w:t>v</w:t>
      </w:r>
      <w:r w:rsidRPr="00CB21B0">
        <w:t>)</w:t>
      </w:r>
      <w:r w:rsidRPr="00CB21B0">
        <w:tab/>
        <w:t>any other details about the chemical product, entered in the Register, that the APVMA thinks appropriate;</w:t>
      </w:r>
    </w:p>
    <w:p w:rsidR="007920DF" w:rsidRPr="00CB21B0" w:rsidRDefault="007920DF" w:rsidP="007920DF">
      <w:pPr>
        <w:pStyle w:val="paragraph"/>
      </w:pPr>
      <w:r w:rsidRPr="00CB21B0">
        <w:tab/>
        <w:t>(c)</w:t>
      </w:r>
      <w:r w:rsidRPr="00CB21B0">
        <w:tab/>
        <w:t>for the approval of a label:</w:t>
      </w:r>
    </w:p>
    <w:p w:rsidR="007920DF" w:rsidRPr="00CB21B0" w:rsidRDefault="007920DF" w:rsidP="007920DF">
      <w:pPr>
        <w:pStyle w:val="paragraphsub"/>
      </w:pPr>
      <w:r w:rsidRPr="00CB21B0">
        <w:tab/>
        <w:t>(i)</w:t>
      </w:r>
      <w:r w:rsidRPr="00CB21B0">
        <w:tab/>
        <w:t>the date of the approval under section</w:t>
      </w:r>
      <w:r w:rsidR="00CB21B0" w:rsidRPr="00CB21B0">
        <w:t> </w:t>
      </w:r>
      <w:r w:rsidRPr="00CB21B0">
        <w:t>22 of the Code; and</w:t>
      </w:r>
    </w:p>
    <w:p w:rsidR="007B518C" w:rsidRPr="00CB21B0" w:rsidRDefault="007B518C" w:rsidP="007920DF">
      <w:pPr>
        <w:pStyle w:val="paragraphsub"/>
      </w:pPr>
      <w:r w:rsidRPr="00CB21B0">
        <w:tab/>
        <w:t>(ii)</w:t>
      </w:r>
      <w:r w:rsidRPr="00CB21B0">
        <w:tab/>
        <w:t>the distinguishing number of the label;</w:t>
      </w:r>
      <w:r w:rsidR="00B95945" w:rsidRPr="00CB21B0">
        <w:t xml:space="preserve"> and</w:t>
      </w:r>
    </w:p>
    <w:p w:rsidR="00B95945" w:rsidRPr="00CB21B0" w:rsidRDefault="00B95945" w:rsidP="007920DF">
      <w:pPr>
        <w:pStyle w:val="paragraphsub"/>
      </w:pPr>
      <w:r w:rsidRPr="00CB21B0">
        <w:tab/>
        <w:t>(iii)</w:t>
      </w:r>
      <w:r w:rsidRPr="00CB21B0">
        <w:tab/>
        <w:t>the date on which the notice is given to the holder; and</w:t>
      </w:r>
    </w:p>
    <w:p w:rsidR="00023D2F" w:rsidRPr="00CB21B0" w:rsidRDefault="007920DF" w:rsidP="007920DF">
      <w:pPr>
        <w:pStyle w:val="paragraphsub"/>
      </w:pPr>
      <w:r w:rsidRPr="00CB21B0">
        <w:tab/>
        <w:t>(i</w:t>
      </w:r>
      <w:r w:rsidR="00B95945" w:rsidRPr="00CB21B0">
        <w:t>v</w:t>
      </w:r>
      <w:r w:rsidRPr="00CB21B0">
        <w:t>)</w:t>
      </w:r>
      <w:r w:rsidRPr="00CB21B0">
        <w:tab/>
        <w:t>any other details about the label, entered in the relevant APVMA file, that the APVMA thinks appropriate</w:t>
      </w:r>
      <w:r w:rsidR="00023D2F" w:rsidRPr="00CB21B0">
        <w:t>;</w:t>
      </w:r>
    </w:p>
    <w:p w:rsidR="008619F1" w:rsidRPr="00CB21B0" w:rsidRDefault="00023D2F" w:rsidP="00023D2F">
      <w:pPr>
        <w:pStyle w:val="paragraph"/>
      </w:pPr>
      <w:r w:rsidRPr="00CB21B0">
        <w:tab/>
        <w:t>(d)</w:t>
      </w:r>
      <w:r w:rsidRPr="00CB21B0">
        <w:tab/>
        <w:t>for the variation of a relevant particular or condition</w:t>
      </w:r>
      <w:r w:rsidR="008619F1" w:rsidRPr="00CB21B0">
        <w:t>:</w:t>
      </w:r>
    </w:p>
    <w:p w:rsidR="008619F1" w:rsidRPr="00CB21B0" w:rsidRDefault="008619F1" w:rsidP="008619F1">
      <w:pPr>
        <w:pStyle w:val="paragraphsub"/>
      </w:pPr>
      <w:r w:rsidRPr="00CB21B0">
        <w:lastRenderedPageBreak/>
        <w:tab/>
        <w:t>(i)</w:t>
      </w:r>
      <w:r w:rsidRPr="00CB21B0">
        <w:tab/>
        <w:t>the information required by section</w:t>
      </w:r>
      <w:r w:rsidR="00CB21B0" w:rsidRPr="00CB21B0">
        <w:t> </w:t>
      </w:r>
      <w:r w:rsidRPr="00CB21B0">
        <w:t xml:space="preserve">8J of the Code in relation to the </w:t>
      </w:r>
      <w:r w:rsidR="00D1624E" w:rsidRPr="00CB21B0">
        <w:t>variation</w:t>
      </w:r>
      <w:r w:rsidRPr="00CB21B0">
        <w:t>; and</w:t>
      </w:r>
    </w:p>
    <w:p w:rsidR="008619F1" w:rsidRPr="00CB21B0" w:rsidRDefault="008619F1" w:rsidP="008619F1">
      <w:pPr>
        <w:pStyle w:val="paragraphsub"/>
      </w:pPr>
      <w:r w:rsidRPr="00CB21B0">
        <w:tab/>
        <w:t>(ii)</w:t>
      </w:r>
      <w:r w:rsidRPr="00CB21B0">
        <w:tab/>
        <w:t>the date of the variation under section</w:t>
      </w:r>
      <w:r w:rsidR="00CB21B0" w:rsidRPr="00CB21B0">
        <w:t> </w:t>
      </w:r>
      <w:r w:rsidRPr="00CB21B0">
        <w:t>22 of the Code; and</w:t>
      </w:r>
    </w:p>
    <w:p w:rsidR="00B95945" w:rsidRPr="00CB21B0" w:rsidRDefault="00B95945" w:rsidP="008619F1">
      <w:pPr>
        <w:pStyle w:val="paragraphsub"/>
      </w:pPr>
      <w:r w:rsidRPr="00CB21B0">
        <w:tab/>
        <w:t>(iii)</w:t>
      </w:r>
      <w:r w:rsidRPr="00CB21B0">
        <w:tab/>
        <w:t>the date on which the notice is given to the holder; and</w:t>
      </w:r>
    </w:p>
    <w:p w:rsidR="000B435C" w:rsidRPr="00CB21B0" w:rsidRDefault="000B435C" w:rsidP="000B435C">
      <w:pPr>
        <w:pStyle w:val="paragraphsub"/>
      </w:pPr>
      <w:r w:rsidRPr="00CB21B0">
        <w:tab/>
        <w:t>(iv)</w:t>
      </w:r>
      <w:r w:rsidRPr="00CB21B0">
        <w:tab/>
        <w:t xml:space="preserve">for a variation of a relevant particular </w:t>
      </w:r>
      <w:r w:rsidR="009C782F" w:rsidRPr="00CB21B0">
        <w:t xml:space="preserve">or condition </w:t>
      </w:r>
      <w:r w:rsidRPr="00CB21B0">
        <w:t>of an approval of an active constituent—any other details entered in the Record about the active constituent that the APVMA thinks appropriate; and</w:t>
      </w:r>
    </w:p>
    <w:p w:rsidR="000B435C" w:rsidRPr="00CB21B0" w:rsidRDefault="000B435C" w:rsidP="000B435C">
      <w:pPr>
        <w:pStyle w:val="paragraphsub"/>
      </w:pPr>
      <w:r w:rsidRPr="00CB21B0">
        <w:tab/>
        <w:t>(v)</w:t>
      </w:r>
      <w:r w:rsidRPr="00CB21B0">
        <w:tab/>
        <w:t xml:space="preserve">for a variation of a relevant particular </w:t>
      </w:r>
      <w:r w:rsidR="009C782F" w:rsidRPr="00CB21B0">
        <w:t xml:space="preserve">or condition </w:t>
      </w:r>
      <w:r w:rsidRPr="00CB21B0">
        <w:t>of a registration of a chemical product—</w:t>
      </w:r>
      <w:r w:rsidR="009C782F" w:rsidRPr="00CB21B0">
        <w:t>any other details about the chemical product, entered in the Register, that the APVMA thinks appropriate; and</w:t>
      </w:r>
    </w:p>
    <w:p w:rsidR="009C782F" w:rsidRPr="00CB21B0" w:rsidRDefault="009C782F" w:rsidP="009C782F">
      <w:pPr>
        <w:pStyle w:val="paragraphsub"/>
      </w:pPr>
      <w:r w:rsidRPr="00CB21B0">
        <w:tab/>
        <w:t>(vi)</w:t>
      </w:r>
      <w:r w:rsidRPr="00CB21B0">
        <w:tab/>
        <w:t>for a variation of a relevant particular or condition of an approval of a label—any other details about the label, entered in the relevant APVMA file, that the APVMA thinks appropriate.</w:t>
      </w:r>
    </w:p>
    <w:p w:rsidR="007920DF" w:rsidRPr="00CB21B0" w:rsidRDefault="00A733C4" w:rsidP="009C782F">
      <w:pPr>
        <w:pStyle w:val="ActHead5"/>
      </w:pPr>
      <w:bookmarkStart w:id="37" w:name="_Toc361055035"/>
      <w:r w:rsidRPr="00CB21B0">
        <w:rPr>
          <w:rStyle w:val="CharSectno"/>
        </w:rPr>
        <w:t>8AL</w:t>
      </w:r>
      <w:r w:rsidR="002F1088" w:rsidRPr="00CB21B0">
        <w:t xml:space="preserve">  </w:t>
      </w:r>
      <w:r w:rsidR="007920DF" w:rsidRPr="00CB21B0">
        <w:t>Information to be given on refusal of application to vary prescribed relevant particular</w:t>
      </w:r>
      <w:bookmarkEnd w:id="37"/>
    </w:p>
    <w:p w:rsidR="00A733C4" w:rsidRPr="00CB21B0" w:rsidRDefault="007920DF" w:rsidP="007920DF">
      <w:pPr>
        <w:pStyle w:val="subsection"/>
      </w:pPr>
      <w:r w:rsidRPr="00CB21B0">
        <w:tab/>
      </w:r>
      <w:r w:rsidRPr="00CB21B0">
        <w:tab/>
      </w:r>
      <w:r w:rsidR="006C3A68" w:rsidRPr="00CB21B0">
        <w:t>For paragraph</w:t>
      </w:r>
      <w:r w:rsidR="00CB21B0" w:rsidRPr="00CB21B0">
        <w:t> </w:t>
      </w:r>
      <w:r w:rsidR="006C3A68" w:rsidRPr="00CB21B0">
        <w:t xml:space="preserve">8G(2)(c) of the Code, a notice of refusal </w:t>
      </w:r>
      <w:r w:rsidRPr="00CB21B0">
        <w:t xml:space="preserve">of an application </w:t>
      </w:r>
      <w:r w:rsidR="00A620E8" w:rsidRPr="00CB21B0">
        <w:t xml:space="preserve">to vary a prescribed relevant particular of an approval or registration, made </w:t>
      </w:r>
      <w:r w:rsidRPr="00CB21B0">
        <w:t>under Division</w:t>
      </w:r>
      <w:r w:rsidR="00CB21B0" w:rsidRPr="00CB21B0">
        <w:t> </w:t>
      </w:r>
      <w:r w:rsidRPr="00CB21B0">
        <w:t>2A of Part</w:t>
      </w:r>
      <w:r w:rsidR="00CB21B0" w:rsidRPr="00CB21B0">
        <w:t> </w:t>
      </w:r>
      <w:r w:rsidRPr="00CB21B0">
        <w:t>2 of the Code</w:t>
      </w:r>
      <w:r w:rsidR="00A620E8" w:rsidRPr="00CB21B0">
        <w:t>,</w:t>
      </w:r>
      <w:r w:rsidR="006C3A68" w:rsidRPr="00CB21B0">
        <w:t xml:space="preserve"> must </w:t>
      </w:r>
      <w:r w:rsidRPr="00CB21B0">
        <w:t xml:space="preserve">inform the holder </w:t>
      </w:r>
      <w:r w:rsidR="00A620E8" w:rsidRPr="00CB21B0">
        <w:t xml:space="preserve">of the approval or registration </w:t>
      </w:r>
      <w:r w:rsidRPr="00CB21B0">
        <w:t>that</w:t>
      </w:r>
      <w:r w:rsidR="00A733C4" w:rsidRPr="00CB21B0">
        <w:t>:</w:t>
      </w:r>
    </w:p>
    <w:p w:rsidR="007920DF" w:rsidRPr="00CB21B0" w:rsidRDefault="00A733C4" w:rsidP="00A733C4">
      <w:pPr>
        <w:pStyle w:val="paragraph"/>
      </w:pPr>
      <w:r w:rsidRPr="00CB21B0">
        <w:tab/>
        <w:t>(a)</w:t>
      </w:r>
      <w:r w:rsidRPr="00CB21B0">
        <w:tab/>
      </w:r>
      <w:r w:rsidR="007920DF" w:rsidRPr="00CB21B0">
        <w:t>the holder may apply to have the particular varied under Division</w:t>
      </w:r>
      <w:r w:rsidR="00CB21B0" w:rsidRPr="00CB21B0">
        <w:t> </w:t>
      </w:r>
      <w:r w:rsidR="007920DF" w:rsidRPr="00CB21B0">
        <w:t>3 of Part</w:t>
      </w:r>
      <w:r w:rsidR="00CB21B0" w:rsidRPr="00CB21B0">
        <w:t> </w:t>
      </w:r>
      <w:r w:rsidR="007920DF" w:rsidRPr="00CB21B0">
        <w:t>2 of the Code</w:t>
      </w:r>
      <w:r w:rsidRPr="00CB21B0">
        <w:t>; and</w:t>
      </w:r>
    </w:p>
    <w:p w:rsidR="00A733C4" w:rsidRPr="00CB21B0" w:rsidRDefault="00A733C4" w:rsidP="00A733C4">
      <w:pPr>
        <w:pStyle w:val="paragraph"/>
      </w:pPr>
      <w:r w:rsidRPr="00CB21B0">
        <w:tab/>
        <w:t>(b)</w:t>
      </w:r>
      <w:r w:rsidRPr="00CB21B0">
        <w:tab/>
        <w:t>if such an application is made, the fee for the application must be reduced by the amount of any fee paid for the application under Division</w:t>
      </w:r>
      <w:r w:rsidR="00CB21B0" w:rsidRPr="00CB21B0">
        <w:t> </w:t>
      </w:r>
      <w:r w:rsidRPr="00CB21B0">
        <w:t>2A of Part</w:t>
      </w:r>
      <w:r w:rsidR="00CB21B0" w:rsidRPr="00CB21B0">
        <w:t> </w:t>
      </w:r>
      <w:r w:rsidRPr="00CB21B0">
        <w:t>2 of the Code, in accordance with subsection</w:t>
      </w:r>
      <w:r w:rsidR="00CB21B0" w:rsidRPr="00CB21B0">
        <w:t> </w:t>
      </w:r>
      <w:r w:rsidRPr="00CB21B0">
        <w:t>27(4) of the Code.</w:t>
      </w:r>
    </w:p>
    <w:p w:rsidR="009D07B1" w:rsidRPr="00CB21B0" w:rsidRDefault="009D07B1" w:rsidP="009D07B1">
      <w:pPr>
        <w:pStyle w:val="ActHead5"/>
      </w:pPr>
      <w:bookmarkStart w:id="38" w:name="_Toc361055036"/>
      <w:r w:rsidRPr="00CB21B0">
        <w:rPr>
          <w:rStyle w:val="CharSectno"/>
        </w:rPr>
        <w:t>8A</w:t>
      </w:r>
      <w:r w:rsidR="00A733C4" w:rsidRPr="00CB21B0">
        <w:rPr>
          <w:rStyle w:val="CharSectno"/>
        </w:rPr>
        <w:t>M</w:t>
      </w:r>
      <w:r w:rsidR="002F1088" w:rsidRPr="00CB21B0">
        <w:t xml:space="preserve">  </w:t>
      </w:r>
      <w:r w:rsidR="009C744C" w:rsidRPr="00CB21B0">
        <w:t>Publication requirements—approvals and variations of approvals of active constituents</w:t>
      </w:r>
      <w:bookmarkEnd w:id="38"/>
    </w:p>
    <w:p w:rsidR="009C744C" w:rsidRPr="00CB21B0" w:rsidRDefault="009C744C" w:rsidP="009C744C">
      <w:pPr>
        <w:pStyle w:val="subsection"/>
      </w:pPr>
      <w:r w:rsidRPr="00CB21B0">
        <w:tab/>
        <w:t>(1)</w:t>
      </w:r>
      <w:r w:rsidRPr="00CB21B0">
        <w:tab/>
        <w:t xml:space="preserve">For </w:t>
      </w:r>
      <w:r w:rsidR="00B0029F" w:rsidRPr="00CB21B0">
        <w:t>paragraphs</w:t>
      </w:r>
      <w:r w:rsidRPr="00CB21B0">
        <w:t xml:space="preserve"> 8H</w:t>
      </w:r>
      <w:r w:rsidR="00B0029F" w:rsidRPr="00CB21B0">
        <w:t>(2)(e)</w:t>
      </w:r>
      <w:r w:rsidRPr="00CB21B0">
        <w:t xml:space="preserve"> and 8J</w:t>
      </w:r>
      <w:r w:rsidR="00B0029F" w:rsidRPr="00CB21B0">
        <w:t>(2)(d)</w:t>
      </w:r>
      <w:r w:rsidRPr="00CB21B0">
        <w:t xml:space="preserve"> of the Code, this regulation sets out the </w:t>
      </w:r>
      <w:r w:rsidR="00FD5365" w:rsidRPr="00CB21B0">
        <w:t>information</w:t>
      </w:r>
      <w:r w:rsidRPr="00CB21B0">
        <w:t xml:space="preserve"> that must be included in </w:t>
      </w:r>
      <w:r w:rsidR="00493B61" w:rsidRPr="00CB21B0">
        <w:t>a</w:t>
      </w:r>
      <w:r w:rsidRPr="00CB21B0">
        <w:t xml:space="preserve"> notice published </w:t>
      </w:r>
      <w:r w:rsidR="007C3798" w:rsidRPr="00CB21B0">
        <w:t>in the</w:t>
      </w:r>
      <w:r w:rsidR="007C3798" w:rsidRPr="00CB21B0">
        <w:rPr>
          <w:i/>
        </w:rPr>
        <w:t xml:space="preserve"> Gazette</w:t>
      </w:r>
      <w:r w:rsidR="007C3798" w:rsidRPr="00CB21B0">
        <w:t xml:space="preserve"> </w:t>
      </w:r>
      <w:r w:rsidRPr="00CB21B0">
        <w:t>under those sections in relation to:</w:t>
      </w:r>
    </w:p>
    <w:p w:rsidR="009C744C" w:rsidRPr="00CB21B0" w:rsidRDefault="009C744C" w:rsidP="009C744C">
      <w:pPr>
        <w:pStyle w:val="paragraph"/>
      </w:pPr>
      <w:r w:rsidRPr="00CB21B0">
        <w:tab/>
        <w:t>(a)</w:t>
      </w:r>
      <w:r w:rsidRPr="00CB21B0">
        <w:tab/>
        <w:t>the approval of an active constituent; or</w:t>
      </w:r>
    </w:p>
    <w:p w:rsidR="009C744C" w:rsidRPr="00CB21B0" w:rsidRDefault="009C744C" w:rsidP="009C744C">
      <w:pPr>
        <w:pStyle w:val="paragraph"/>
      </w:pPr>
      <w:r w:rsidRPr="00CB21B0">
        <w:lastRenderedPageBreak/>
        <w:tab/>
        <w:t>(b)</w:t>
      </w:r>
      <w:r w:rsidRPr="00CB21B0">
        <w:tab/>
        <w:t>the variation of the relevant particulars or conditions of the approval of an active constituent.</w:t>
      </w:r>
    </w:p>
    <w:p w:rsidR="009C744C" w:rsidRPr="00CB21B0" w:rsidRDefault="009C744C" w:rsidP="009C744C">
      <w:pPr>
        <w:pStyle w:val="subsection"/>
      </w:pPr>
      <w:r w:rsidRPr="00CB21B0">
        <w:tab/>
        <w:t>(2)</w:t>
      </w:r>
      <w:r w:rsidRPr="00CB21B0">
        <w:tab/>
        <w:t xml:space="preserve">The </w:t>
      </w:r>
      <w:r w:rsidR="00FD5365" w:rsidRPr="00CB21B0">
        <w:t>information is</w:t>
      </w:r>
      <w:r w:rsidRPr="00CB21B0">
        <w:t>:</w:t>
      </w:r>
    </w:p>
    <w:p w:rsidR="009C744C" w:rsidRPr="00CB21B0" w:rsidRDefault="009C744C" w:rsidP="009C744C">
      <w:pPr>
        <w:pStyle w:val="paragraph"/>
      </w:pPr>
      <w:r w:rsidRPr="00CB21B0">
        <w:tab/>
        <w:t>(a)</w:t>
      </w:r>
      <w:r w:rsidRPr="00CB21B0">
        <w:tab/>
        <w:t>the name of the applicant</w:t>
      </w:r>
      <w:r w:rsidR="00493B61" w:rsidRPr="00CB21B0">
        <w:t xml:space="preserve"> for the approval or variation</w:t>
      </w:r>
      <w:r w:rsidRPr="00CB21B0">
        <w:t>; and</w:t>
      </w:r>
    </w:p>
    <w:p w:rsidR="009C744C" w:rsidRPr="00CB21B0" w:rsidRDefault="009C744C" w:rsidP="009C744C">
      <w:pPr>
        <w:pStyle w:val="paragraph"/>
      </w:pPr>
      <w:r w:rsidRPr="00CB21B0">
        <w:tab/>
        <w:t>(b)</w:t>
      </w:r>
      <w:r w:rsidRPr="00CB21B0">
        <w:tab/>
        <w:t>the application number</w:t>
      </w:r>
      <w:r w:rsidR="00493B61" w:rsidRPr="00CB21B0">
        <w:t xml:space="preserve"> for the application for approval or variation</w:t>
      </w:r>
      <w:r w:rsidRPr="00CB21B0">
        <w:t>; and</w:t>
      </w:r>
    </w:p>
    <w:p w:rsidR="009C744C" w:rsidRPr="00CB21B0" w:rsidRDefault="009C744C" w:rsidP="009C744C">
      <w:pPr>
        <w:pStyle w:val="paragraph"/>
      </w:pPr>
      <w:r w:rsidRPr="00CB21B0">
        <w:tab/>
        <w:t>(c)</w:t>
      </w:r>
      <w:r w:rsidRPr="00CB21B0">
        <w:tab/>
        <w:t>the name of the active constituent; and</w:t>
      </w:r>
    </w:p>
    <w:p w:rsidR="009C744C" w:rsidRPr="00CB21B0" w:rsidRDefault="009C744C" w:rsidP="009C744C">
      <w:pPr>
        <w:pStyle w:val="paragraph"/>
      </w:pPr>
      <w:r w:rsidRPr="00CB21B0">
        <w:tab/>
        <w:t>(d)</w:t>
      </w:r>
      <w:r w:rsidRPr="00CB21B0">
        <w:tab/>
        <w:t xml:space="preserve">the distinguishing number </w:t>
      </w:r>
      <w:r w:rsidR="00892CFF" w:rsidRPr="00CB21B0">
        <w:t xml:space="preserve">given to </w:t>
      </w:r>
      <w:r w:rsidRPr="00CB21B0">
        <w:t xml:space="preserve">the active constituent </w:t>
      </w:r>
      <w:r w:rsidR="00892CFF" w:rsidRPr="00CB21B0">
        <w:t xml:space="preserve">by the APVMA </w:t>
      </w:r>
      <w:r w:rsidRPr="00CB21B0">
        <w:t xml:space="preserve">when the APVMA approved </w:t>
      </w:r>
      <w:r w:rsidR="00BE781C" w:rsidRPr="00CB21B0">
        <w:t>the active constituent</w:t>
      </w:r>
      <w:r w:rsidRPr="00CB21B0">
        <w:t>; and</w:t>
      </w:r>
    </w:p>
    <w:p w:rsidR="009C744C" w:rsidRPr="00CB21B0" w:rsidRDefault="009C744C" w:rsidP="009C744C">
      <w:pPr>
        <w:pStyle w:val="paragraph"/>
      </w:pPr>
      <w:r w:rsidRPr="00CB21B0">
        <w:tab/>
        <w:t>(e)</w:t>
      </w:r>
      <w:r w:rsidRPr="00CB21B0">
        <w:tab/>
        <w:t>a short description of the application</w:t>
      </w:r>
      <w:r w:rsidR="00493B61" w:rsidRPr="00CB21B0">
        <w:t xml:space="preserve"> </w:t>
      </w:r>
      <w:r w:rsidRPr="00CB21B0">
        <w:t>and its purpose, including the way in which the active constituent is intended to be used</w:t>
      </w:r>
      <w:r w:rsidR="007C3798" w:rsidRPr="00CB21B0">
        <w:t>.</w:t>
      </w:r>
    </w:p>
    <w:p w:rsidR="007C3798" w:rsidRPr="00CB21B0" w:rsidRDefault="007C3798" w:rsidP="007C3798">
      <w:pPr>
        <w:pStyle w:val="subsection"/>
      </w:pPr>
      <w:r w:rsidRPr="00CB21B0">
        <w:tab/>
        <w:t>(3)</w:t>
      </w:r>
      <w:r w:rsidRPr="00CB21B0">
        <w:tab/>
        <w:t>The following information must also be published by the APVMA on the APVMA website:</w:t>
      </w:r>
    </w:p>
    <w:p w:rsidR="007C3798" w:rsidRPr="00CB21B0" w:rsidRDefault="007C3798" w:rsidP="007C3798">
      <w:pPr>
        <w:pStyle w:val="paragraph"/>
      </w:pPr>
      <w:r w:rsidRPr="00CB21B0">
        <w:tab/>
        <w:t>(a)</w:t>
      </w:r>
      <w:r w:rsidRPr="00CB21B0">
        <w:tab/>
        <w:t xml:space="preserve">the information mentioned in </w:t>
      </w:r>
      <w:r w:rsidR="00CB21B0" w:rsidRPr="00CB21B0">
        <w:t>paragraphs (</w:t>
      </w:r>
      <w:r w:rsidRPr="00CB21B0">
        <w:t>2)(a) to (e);</w:t>
      </w:r>
    </w:p>
    <w:p w:rsidR="002F1088" w:rsidRPr="00CB21B0" w:rsidRDefault="007C3798" w:rsidP="002F1088">
      <w:pPr>
        <w:pStyle w:val="paragraph"/>
      </w:pPr>
      <w:r w:rsidRPr="00CB21B0">
        <w:tab/>
        <w:t>(b)</w:t>
      </w:r>
      <w:r w:rsidRPr="00CB21B0">
        <w:tab/>
        <w:t>brief details about the APVMA’s decision</w:t>
      </w:r>
      <w:r w:rsidR="002F1088" w:rsidRPr="00CB21B0">
        <w:t>.</w:t>
      </w:r>
    </w:p>
    <w:p w:rsidR="00950B72" w:rsidRPr="00CB21B0" w:rsidRDefault="00950B72" w:rsidP="002F1088">
      <w:pPr>
        <w:pStyle w:val="subsection"/>
      </w:pPr>
      <w:r w:rsidRPr="00CB21B0">
        <w:tab/>
        <w:t>(4)</w:t>
      </w:r>
      <w:r w:rsidRPr="00CB21B0">
        <w:tab/>
        <w:t xml:space="preserve">For </w:t>
      </w:r>
      <w:r w:rsidR="002F1088" w:rsidRPr="00CB21B0">
        <w:t>each item of information relied on by the APVMA in making its decision</w:t>
      </w:r>
      <w:r w:rsidRPr="00CB21B0">
        <w:t xml:space="preserve">, the </w:t>
      </w:r>
      <w:r w:rsidR="002F1088" w:rsidRPr="00CB21B0">
        <w:t xml:space="preserve">following </w:t>
      </w:r>
      <w:r w:rsidRPr="00CB21B0">
        <w:t xml:space="preserve">details </w:t>
      </w:r>
      <w:r w:rsidR="002F1088" w:rsidRPr="00CB21B0">
        <w:t>must also be published by the APVMA on the APVMA website</w:t>
      </w:r>
      <w:r w:rsidRPr="00CB21B0">
        <w:t>:</w:t>
      </w:r>
    </w:p>
    <w:p w:rsidR="00950B72" w:rsidRPr="00CB21B0" w:rsidRDefault="00950B72" w:rsidP="00950B72">
      <w:pPr>
        <w:pStyle w:val="paragraph"/>
      </w:pPr>
      <w:r w:rsidRPr="00CB21B0">
        <w:tab/>
        <w:t>(a)</w:t>
      </w:r>
      <w:r w:rsidRPr="00CB21B0">
        <w:tab/>
        <w:t xml:space="preserve">the details for the information mentioned in </w:t>
      </w:r>
      <w:r w:rsidR="00CB21B0" w:rsidRPr="00CB21B0">
        <w:t>paragraphs (</w:t>
      </w:r>
      <w:r w:rsidRPr="00CB21B0">
        <w:t xml:space="preserve">a) to (e) of the definition of </w:t>
      </w:r>
      <w:r w:rsidRPr="00CB21B0">
        <w:rPr>
          <w:b/>
          <w:i/>
        </w:rPr>
        <w:t>application information details</w:t>
      </w:r>
      <w:r w:rsidRPr="00CB21B0">
        <w:t xml:space="preserve"> in </w:t>
      </w:r>
      <w:r w:rsidR="009F1121" w:rsidRPr="00CB21B0">
        <w:t>subr</w:t>
      </w:r>
      <w:r w:rsidRPr="00CB21B0">
        <w:t>egulation</w:t>
      </w:r>
      <w:r w:rsidR="00CB21B0" w:rsidRPr="00CB21B0">
        <w:t> </w:t>
      </w:r>
      <w:r w:rsidRPr="00CB21B0">
        <w:t>3</w:t>
      </w:r>
      <w:r w:rsidR="009F1121" w:rsidRPr="00CB21B0">
        <w:t>(1)</w:t>
      </w:r>
      <w:r w:rsidRPr="00CB21B0">
        <w:t>;</w:t>
      </w:r>
    </w:p>
    <w:p w:rsidR="008A68BF" w:rsidRPr="00CB21B0" w:rsidRDefault="007C3798" w:rsidP="00950B72">
      <w:pPr>
        <w:pStyle w:val="paragraph"/>
      </w:pPr>
      <w:r w:rsidRPr="00CB21B0">
        <w:tab/>
        <w:t>(</w:t>
      </w:r>
      <w:r w:rsidR="00950B72" w:rsidRPr="00CB21B0">
        <w:t>b</w:t>
      </w:r>
      <w:r w:rsidRPr="00CB21B0">
        <w:t>)</w:t>
      </w:r>
      <w:r w:rsidRPr="00CB21B0">
        <w:tab/>
      </w:r>
      <w:r w:rsidR="002F1088" w:rsidRPr="00CB21B0">
        <w:t>i</w:t>
      </w:r>
      <w:r w:rsidR="00950B72" w:rsidRPr="00CB21B0">
        <w:t>f</w:t>
      </w:r>
      <w:r w:rsidR="002F1088" w:rsidRPr="00CB21B0">
        <w:t xml:space="preserve"> the</w:t>
      </w:r>
      <w:r w:rsidR="00950B72" w:rsidRPr="00CB21B0">
        <w:t xml:space="preserve"> item of information</w:t>
      </w:r>
      <w:r w:rsidR="002F1088" w:rsidRPr="00CB21B0">
        <w:t xml:space="preserve"> was </w:t>
      </w:r>
      <w:r w:rsidR="00950B72" w:rsidRPr="00CB21B0">
        <w:t>given</w:t>
      </w:r>
      <w:r w:rsidR="004A1A89" w:rsidRPr="00CB21B0">
        <w:t xml:space="preserve"> to the APVMA in connection with the applicat</w:t>
      </w:r>
      <w:r w:rsidR="00950B72" w:rsidRPr="00CB21B0">
        <w:t>ion</w:t>
      </w:r>
      <w:r w:rsidR="004A1A89" w:rsidRPr="00CB21B0">
        <w:t xml:space="preserve"> by the applicant or a person on behalf of the applicant</w:t>
      </w:r>
      <w:r w:rsidR="008A68BF" w:rsidRPr="00CB21B0">
        <w:t>:</w:t>
      </w:r>
    </w:p>
    <w:p w:rsidR="00950B72" w:rsidRPr="00CB21B0" w:rsidRDefault="008A68BF" w:rsidP="008A68BF">
      <w:pPr>
        <w:pStyle w:val="paragraphsub"/>
      </w:pPr>
      <w:r w:rsidRPr="00CB21B0">
        <w:tab/>
        <w:t>(i)</w:t>
      </w:r>
      <w:r w:rsidRPr="00CB21B0">
        <w:tab/>
      </w:r>
      <w:r w:rsidR="00950B72" w:rsidRPr="00CB21B0">
        <w:t>the data number given to the item of information by the APVMA; and</w:t>
      </w:r>
    </w:p>
    <w:p w:rsidR="00950B72" w:rsidRPr="00CB21B0" w:rsidRDefault="00950B72" w:rsidP="008A68BF">
      <w:pPr>
        <w:pStyle w:val="paragraphsub"/>
      </w:pPr>
      <w:r w:rsidRPr="00CB21B0">
        <w:tab/>
        <w:t>(</w:t>
      </w:r>
      <w:r w:rsidR="008A68BF" w:rsidRPr="00CB21B0">
        <w:t>ii</w:t>
      </w:r>
      <w:r w:rsidRPr="00CB21B0">
        <w:t>)</w:t>
      </w:r>
      <w:r w:rsidRPr="00CB21B0">
        <w:tab/>
      </w:r>
      <w:r w:rsidR="008A68BF" w:rsidRPr="00CB21B0">
        <w:t xml:space="preserve">unless the information is </w:t>
      </w:r>
      <w:r w:rsidRPr="00CB21B0">
        <w:t>publicly available</w:t>
      </w:r>
      <w:r w:rsidR="008A68BF" w:rsidRPr="00CB21B0">
        <w:t>—</w:t>
      </w:r>
      <w:r w:rsidRPr="00CB21B0">
        <w:t>the name and address of the authorising party for the item of information.</w:t>
      </w:r>
    </w:p>
    <w:p w:rsidR="009D07B1" w:rsidRPr="00CB21B0" w:rsidRDefault="009D07B1" w:rsidP="00950B72">
      <w:pPr>
        <w:pStyle w:val="ActHead5"/>
      </w:pPr>
      <w:bookmarkStart w:id="39" w:name="_Toc361055037"/>
      <w:r w:rsidRPr="00CB21B0">
        <w:rPr>
          <w:rStyle w:val="CharSectno"/>
        </w:rPr>
        <w:lastRenderedPageBreak/>
        <w:t>8</w:t>
      </w:r>
      <w:r w:rsidR="00041955" w:rsidRPr="00CB21B0">
        <w:rPr>
          <w:rStyle w:val="CharSectno"/>
        </w:rPr>
        <w:t>A</w:t>
      </w:r>
      <w:r w:rsidR="00883FB9" w:rsidRPr="00CB21B0">
        <w:rPr>
          <w:rStyle w:val="CharSectno"/>
        </w:rPr>
        <w:t>N</w:t>
      </w:r>
      <w:r w:rsidR="002F1088" w:rsidRPr="00CB21B0">
        <w:t xml:space="preserve">  </w:t>
      </w:r>
      <w:r w:rsidR="009C744C" w:rsidRPr="00CB21B0">
        <w:t>Publication requirements—registrations, variations of registrations and approval of labels</w:t>
      </w:r>
      <w:bookmarkEnd w:id="39"/>
    </w:p>
    <w:p w:rsidR="00B0029F" w:rsidRPr="00CB21B0" w:rsidRDefault="00B0029F" w:rsidP="00B0029F">
      <w:pPr>
        <w:pStyle w:val="subsection"/>
      </w:pPr>
      <w:r w:rsidRPr="00CB21B0">
        <w:tab/>
        <w:t>(1)</w:t>
      </w:r>
      <w:r w:rsidRPr="00CB21B0">
        <w:tab/>
        <w:t xml:space="preserve">For paragraphs 8H(2)(e) and 8J(2)(d) of the Code, this regulation sets out the </w:t>
      </w:r>
      <w:r w:rsidR="00FD5365" w:rsidRPr="00CB21B0">
        <w:t>information</w:t>
      </w:r>
      <w:r w:rsidRPr="00CB21B0">
        <w:t xml:space="preserve"> that must be included in a notice published </w:t>
      </w:r>
      <w:r w:rsidR="00756D78" w:rsidRPr="00CB21B0">
        <w:t xml:space="preserve">in the </w:t>
      </w:r>
      <w:r w:rsidR="00756D78" w:rsidRPr="00CB21B0">
        <w:rPr>
          <w:i/>
        </w:rPr>
        <w:t xml:space="preserve">Gazette </w:t>
      </w:r>
      <w:r w:rsidRPr="00CB21B0">
        <w:t>under those sections in relation to:</w:t>
      </w:r>
    </w:p>
    <w:p w:rsidR="00B0029F" w:rsidRPr="00CB21B0" w:rsidRDefault="00B0029F" w:rsidP="00B0029F">
      <w:pPr>
        <w:pStyle w:val="paragraph"/>
      </w:pPr>
      <w:r w:rsidRPr="00CB21B0">
        <w:tab/>
        <w:t>(a)</w:t>
      </w:r>
      <w:r w:rsidRPr="00CB21B0">
        <w:tab/>
        <w:t>the registration of a chemical product; or</w:t>
      </w:r>
    </w:p>
    <w:p w:rsidR="00B0029F" w:rsidRPr="00CB21B0" w:rsidRDefault="00B0029F" w:rsidP="00B0029F">
      <w:pPr>
        <w:pStyle w:val="paragraph"/>
      </w:pPr>
      <w:r w:rsidRPr="00CB21B0">
        <w:tab/>
        <w:t>(b)</w:t>
      </w:r>
      <w:r w:rsidRPr="00CB21B0">
        <w:tab/>
        <w:t>the approval of a label for container</w:t>
      </w:r>
      <w:r w:rsidR="008C2812" w:rsidRPr="00CB21B0">
        <w:t>s</w:t>
      </w:r>
      <w:r w:rsidRPr="00CB21B0">
        <w:t xml:space="preserve"> for a chemical product; or</w:t>
      </w:r>
    </w:p>
    <w:p w:rsidR="00B0029F" w:rsidRPr="00CB21B0" w:rsidRDefault="00B0029F" w:rsidP="00B0029F">
      <w:pPr>
        <w:pStyle w:val="paragraph"/>
      </w:pPr>
      <w:r w:rsidRPr="00CB21B0">
        <w:tab/>
        <w:t>(</w:t>
      </w:r>
      <w:r w:rsidR="006E7AB7" w:rsidRPr="00CB21B0">
        <w:t>c</w:t>
      </w:r>
      <w:r w:rsidRPr="00CB21B0">
        <w:t>)</w:t>
      </w:r>
      <w:r w:rsidRPr="00CB21B0">
        <w:tab/>
        <w:t>the variation of the relevant particulars or conditions of:</w:t>
      </w:r>
    </w:p>
    <w:p w:rsidR="00B0029F" w:rsidRPr="00CB21B0" w:rsidRDefault="00B0029F" w:rsidP="00B0029F">
      <w:pPr>
        <w:pStyle w:val="paragraphsub"/>
      </w:pPr>
      <w:r w:rsidRPr="00CB21B0">
        <w:tab/>
        <w:t>(i)</w:t>
      </w:r>
      <w:r w:rsidRPr="00CB21B0">
        <w:tab/>
        <w:t>the registration of a chemical product; or</w:t>
      </w:r>
    </w:p>
    <w:p w:rsidR="00B0029F" w:rsidRPr="00CB21B0" w:rsidRDefault="00B0029F" w:rsidP="00B0029F">
      <w:pPr>
        <w:pStyle w:val="paragraphsub"/>
      </w:pPr>
      <w:r w:rsidRPr="00CB21B0">
        <w:tab/>
        <w:t>(ii)</w:t>
      </w:r>
      <w:r w:rsidRPr="00CB21B0">
        <w:tab/>
        <w:t>the approval of a label for a container for a chemical product.</w:t>
      </w:r>
    </w:p>
    <w:p w:rsidR="00B0029F" w:rsidRPr="00CB21B0" w:rsidRDefault="00B0029F" w:rsidP="00B0029F">
      <w:pPr>
        <w:pStyle w:val="subsection"/>
      </w:pPr>
      <w:r w:rsidRPr="00CB21B0">
        <w:tab/>
        <w:t>(2)</w:t>
      </w:r>
      <w:r w:rsidRPr="00CB21B0">
        <w:tab/>
        <w:t xml:space="preserve">The </w:t>
      </w:r>
      <w:r w:rsidR="00FD5365" w:rsidRPr="00CB21B0">
        <w:t>information is</w:t>
      </w:r>
      <w:r w:rsidRPr="00CB21B0">
        <w:t>:</w:t>
      </w:r>
    </w:p>
    <w:p w:rsidR="00B0029F" w:rsidRPr="00CB21B0" w:rsidRDefault="00B0029F" w:rsidP="00B0029F">
      <w:pPr>
        <w:pStyle w:val="paragraph"/>
      </w:pPr>
      <w:r w:rsidRPr="00CB21B0">
        <w:tab/>
        <w:t>(a)</w:t>
      </w:r>
      <w:r w:rsidRPr="00CB21B0">
        <w:tab/>
        <w:t>the name of the applicant for the registration, approval or variation; and</w:t>
      </w:r>
    </w:p>
    <w:p w:rsidR="00B0029F" w:rsidRPr="00CB21B0" w:rsidRDefault="00B0029F" w:rsidP="00B0029F">
      <w:pPr>
        <w:pStyle w:val="paragraph"/>
      </w:pPr>
      <w:r w:rsidRPr="00CB21B0">
        <w:tab/>
        <w:t>(b)</w:t>
      </w:r>
      <w:r w:rsidRPr="00CB21B0">
        <w:tab/>
        <w:t>the application number for the application for registration, approval or variation; and</w:t>
      </w:r>
    </w:p>
    <w:p w:rsidR="00B0029F" w:rsidRPr="00CB21B0" w:rsidRDefault="00B0029F" w:rsidP="00B0029F">
      <w:pPr>
        <w:pStyle w:val="paragraph"/>
      </w:pPr>
      <w:r w:rsidRPr="00CB21B0">
        <w:tab/>
        <w:t>(c)</w:t>
      </w:r>
      <w:r w:rsidRPr="00CB21B0">
        <w:tab/>
        <w:t>the name of the chemical product; and</w:t>
      </w:r>
    </w:p>
    <w:p w:rsidR="00B0029F" w:rsidRPr="00CB21B0" w:rsidRDefault="00B0029F" w:rsidP="00B0029F">
      <w:pPr>
        <w:pStyle w:val="paragraph"/>
      </w:pPr>
      <w:r w:rsidRPr="00CB21B0">
        <w:tab/>
        <w:t>(d)</w:t>
      </w:r>
      <w:r w:rsidRPr="00CB21B0">
        <w:tab/>
      </w:r>
      <w:r w:rsidR="00662115" w:rsidRPr="00CB21B0">
        <w:t>for a</w:t>
      </w:r>
      <w:r w:rsidRPr="00CB21B0">
        <w:t xml:space="preserve"> registration of a chemical product</w:t>
      </w:r>
      <w:r w:rsidR="00662115" w:rsidRPr="00CB21B0">
        <w:t xml:space="preserve"> or variation of</w:t>
      </w:r>
      <w:r w:rsidR="00DE6A18" w:rsidRPr="00CB21B0">
        <w:t xml:space="preserve"> the relevant particulars or conditions of the</w:t>
      </w:r>
      <w:r w:rsidR="00662115" w:rsidRPr="00CB21B0">
        <w:t xml:space="preserve"> registration of a chemical product</w:t>
      </w:r>
      <w:r w:rsidRPr="00CB21B0">
        <w:t xml:space="preserve">—the distinguishing number </w:t>
      </w:r>
      <w:r w:rsidR="00892CFF" w:rsidRPr="00CB21B0">
        <w:t xml:space="preserve">given to the product by </w:t>
      </w:r>
      <w:r w:rsidRPr="00CB21B0">
        <w:t xml:space="preserve">the APVMA when </w:t>
      </w:r>
      <w:r w:rsidR="00892CFF" w:rsidRPr="00CB21B0">
        <w:t>the APVMA</w:t>
      </w:r>
      <w:r w:rsidRPr="00CB21B0">
        <w:t xml:space="preserve"> </w:t>
      </w:r>
      <w:r w:rsidR="00BE781C" w:rsidRPr="00CB21B0">
        <w:t>reg</w:t>
      </w:r>
      <w:r w:rsidRPr="00CB21B0">
        <w:t>ister</w:t>
      </w:r>
      <w:r w:rsidR="00BE781C" w:rsidRPr="00CB21B0">
        <w:t>ed</w:t>
      </w:r>
      <w:r w:rsidRPr="00CB21B0">
        <w:t xml:space="preserve"> the product; and</w:t>
      </w:r>
    </w:p>
    <w:p w:rsidR="00662115" w:rsidRPr="00CB21B0" w:rsidRDefault="00662115" w:rsidP="00B0029F">
      <w:pPr>
        <w:pStyle w:val="paragraph"/>
      </w:pPr>
      <w:r w:rsidRPr="00CB21B0">
        <w:tab/>
        <w:t>(e)</w:t>
      </w:r>
      <w:r w:rsidRPr="00CB21B0">
        <w:tab/>
        <w:t>for approval of a label or variation o</w:t>
      </w:r>
      <w:r w:rsidR="00DE6A18" w:rsidRPr="00CB21B0">
        <w:t>f the relevant particular</w:t>
      </w:r>
      <w:r w:rsidR="008C2812" w:rsidRPr="00CB21B0">
        <w:t>s</w:t>
      </w:r>
      <w:r w:rsidR="00DE6A18" w:rsidRPr="00CB21B0">
        <w:t xml:space="preserve"> or conditions of</w:t>
      </w:r>
      <w:r w:rsidRPr="00CB21B0">
        <w:t xml:space="preserve"> the approval of a label—the distinguishing number </w:t>
      </w:r>
      <w:r w:rsidR="00892CFF" w:rsidRPr="00CB21B0">
        <w:t xml:space="preserve">given to the label by </w:t>
      </w:r>
      <w:r w:rsidRPr="00CB21B0">
        <w:t xml:space="preserve">the APVMA when </w:t>
      </w:r>
      <w:r w:rsidR="00892CFF" w:rsidRPr="00CB21B0">
        <w:t>the APVMA</w:t>
      </w:r>
      <w:r w:rsidRPr="00CB21B0">
        <w:t xml:space="preserve"> approved the label; and</w:t>
      </w:r>
    </w:p>
    <w:p w:rsidR="00B0029F" w:rsidRPr="00CB21B0" w:rsidRDefault="00B0029F" w:rsidP="00B0029F">
      <w:pPr>
        <w:pStyle w:val="paragraph"/>
      </w:pPr>
      <w:r w:rsidRPr="00CB21B0">
        <w:tab/>
        <w:t>(</w:t>
      </w:r>
      <w:r w:rsidR="00662115" w:rsidRPr="00CB21B0">
        <w:t>f</w:t>
      </w:r>
      <w:r w:rsidRPr="00CB21B0">
        <w:t>)</w:t>
      </w:r>
      <w:r w:rsidRPr="00CB21B0">
        <w:tab/>
        <w:t>the name of the active constituents of the chemical product; and</w:t>
      </w:r>
    </w:p>
    <w:p w:rsidR="00B0029F" w:rsidRPr="00CB21B0" w:rsidRDefault="00B0029F" w:rsidP="00B0029F">
      <w:pPr>
        <w:pStyle w:val="paragraph"/>
      </w:pPr>
      <w:r w:rsidRPr="00CB21B0">
        <w:tab/>
        <w:t>(</w:t>
      </w:r>
      <w:r w:rsidR="00662115" w:rsidRPr="00CB21B0">
        <w:t>g</w:t>
      </w:r>
      <w:r w:rsidRPr="00CB21B0">
        <w:t>)</w:t>
      </w:r>
      <w:r w:rsidRPr="00CB21B0">
        <w:tab/>
        <w:t>a short description of the application and its purpose, including the way in which the chemical product is intended to be used</w:t>
      </w:r>
      <w:r w:rsidR="00756D78" w:rsidRPr="00CB21B0">
        <w:t>.</w:t>
      </w:r>
    </w:p>
    <w:p w:rsidR="00EB43B6" w:rsidRPr="00CB21B0" w:rsidRDefault="00EB43B6" w:rsidP="00EB43B6">
      <w:pPr>
        <w:pStyle w:val="subsection"/>
      </w:pPr>
      <w:r w:rsidRPr="00CB21B0">
        <w:tab/>
        <w:t>(3)</w:t>
      </w:r>
      <w:r w:rsidRPr="00CB21B0">
        <w:tab/>
        <w:t>The following information must also be published by the APVMA on the APVMA website:</w:t>
      </w:r>
    </w:p>
    <w:p w:rsidR="00EB43B6" w:rsidRPr="00CB21B0" w:rsidRDefault="00EB43B6" w:rsidP="00EB43B6">
      <w:pPr>
        <w:pStyle w:val="paragraph"/>
      </w:pPr>
      <w:r w:rsidRPr="00CB21B0">
        <w:tab/>
        <w:t>(a)</w:t>
      </w:r>
      <w:r w:rsidRPr="00CB21B0">
        <w:tab/>
        <w:t xml:space="preserve">the information mentioned in </w:t>
      </w:r>
      <w:r w:rsidR="00CB21B0" w:rsidRPr="00CB21B0">
        <w:t>paragraphs (</w:t>
      </w:r>
      <w:r w:rsidRPr="00CB21B0">
        <w:t>2)(a) to (e);</w:t>
      </w:r>
    </w:p>
    <w:p w:rsidR="00EB43B6" w:rsidRPr="00CB21B0" w:rsidRDefault="00EB43B6" w:rsidP="00EB43B6">
      <w:pPr>
        <w:pStyle w:val="paragraph"/>
      </w:pPr>
      <w:r w:rsidRPr="00CB21B0">
        <w:tab/>
        <w:t>(b)</w:t>
      </w:r>
      <w:r w:rsidRPr="00CB21B0">
        <w:tab/>
        <w:t>brief details about the APVMA’s decision</w:t>
      </w:r>
      <w:r w:rsidR="002F1088" w:rsidRPr="00CB21B0">
        <w:t>.</w:t>
      </w:r>
    </w:p>
    <w:p w:rsidR="002F1088" w:rsidRPr="00CB21B0" w:rsidRDefault="00EB43B6" w:rsidP="00EB43B6">
      <w:pPr>
        <w:pStyle w:val="subsection"/>
      </w:pPr>
      <w:r w:rsidRPr="00CB21B0">
        <w:lastRenderedPageBreak/>
        <w:tab/>
        <w:t>(4)</w:t>
      </w:r>
      <w:r w:rsidRPr="00CB21B0">
        <w:tab/>
      </w:r>
      <w:r w:rsidR="002F1088" w:rsidRPr="00CB21B0">
        <w:t>For each item of information relied on by the APVMA in making its decision, the following details must also be published by the APVMA on the APVMA website:</w:t>
      </w:r>
    </w:p>
    <w:p w:rsidR="00EB43B6" w:rsidRPr="00CB21B0" w:rsidRDefault="00EB43B6" w:rsidP="00EB43B6">
      <w:pPr>
        <w:pStyle w:val="paragraph"/>
      </w:pPr>
      <w:r w:rsidRPr="00CB21B0">
        <w:tab/>
        <w:t>(a)</w:t>
      </w:r>
      <w:r w:rsidRPr="00CB21B0">
        <w:tab/>
        <w:t xml:space="preserve">the details for the information mentioned in </w:t>
      </w:r>
      <w:r w:rsidR="00CB21B0" w:rsidRPr="00CB21B0">
        <w:t>paragraphs (</w:t>
      </w:r>
      <w:r w:rsidRPr="00CB21B0">
        <w:t xml:space="preserve">a) to (e) of the definition of </w:t>
      </w:r>
      <w:r w:rsidRPr="00CB21B0">
        <w:rPr>
          <w:b/>
          <w:i/>
        </w:rPr>
        <w:t>application information details</w:t>
      </w:r>
      <w:r w:rsidRPr="00CB21B0">
        <w:t xml:space="preserve"> in </w:t>
      </w:r>
      <w:r w:rsidR="009F1121" w:rsidRPr="00CB21B0">
        <w:t>sub</w:t>
      </w:r>
      <w:r w:rsidRPr="00CB21B0">
        <w:t>regulation</w:t>
      </w:r>
      <w:r w:rsidR="00CB21B0" w:rsidRPr="00CB21B0">
        <w:t> </w:t>
      </w:r>
      <w:r w:rsidRPr="00CB21B0">
        <w:t>3</w:t>
      </w:r>
      <w:r w:rsidR="009F1121" w:rsidRPr="00CB21B0">
        <w:t>(1)</w:t>
      </w:r>
      <w:r w:rsidRPr="00CB21B0">
        <w:t>;</w:t>
      </w:r>
    </w:p>
    <w:p w:rsidR="00EB43B6" w:rsidRPr="00CB21B0" w:rsidRDefault="00EB43B6" w:rsidP="00EB43B6">
      <w:pPr>
        <w:pStyle w:val="paragraph"/>
      </w:pPr>
      <w:r w:rsidRPr="00CB21B0">
        <w:tab/>
        <w:t>(b)</w:t>
      </w:r>
      <w:r w:rsidRPr="00CB21B0">
        <w:tab/>
      </w:r>
      <w:r w:rsidR="002F1088" w:rsidRPr="00CB21B0">
        <w:t>i</w:t>
      </w:r>
      <w:r w:rsidRPr="00CB21B0">
        <w:t>f</w:t>
      </w:r>
      <w:r w:rsidR="002F1088" w:rsidRPr="00CB21B0">
        <w:t xml:space="preserve"> the</w:t>
      </w:r>
      <w:r w:rsidRPr="00CB21B0">
        <w:t xml:space="preserve"> item of information </w:t>
      </w:r>
      <w:r w:rsidR="002F1088" w:rsidRPr="00CB21B0">
        <w:t xml:space="preserve">was </w:t>
      </w:r>
      <w:r w:rsidRPr="00CB21B0">
        <w:t>given to the APVMA in connection with the application by the applicant or a person on behalf of the applicant:</w:t>
      </w:r>
    </w:p>
    <w:p w:rsidR="00EB43B6" w:rsidRPr="00CB21B0" w:rsidRDefault="00EB43B6" w:rsidP="00EB43B6">
      <w:pPr>
        <w:pStyle w:val="paragraphsub"/>
      </w:pPr>
      <w:r w:rsidRPr="00CB21B0">
        <w:tab/>
        <w:t>(i)</w:t>
      </w:r>
      <w:r w:rsidRPr="00CB21B0">
        <w:tab/>
        <w:t>the data number given to the item of information by the APVMA; and</w:t>
      </w:r>
    </w:p>
    <w:p w:rsidR="00EB43B6" w:rsidRPr="00CB21B0" w:rsidRDefault="00EB43B6" w:rsidP="00EB43B6">
      <w:pPr>
        <w:pStyle w:val="paragraphsub"/>
      </w:pPr>
      <w:r w:rsidRPr="00CB21B0">
        <w:tab/>
        <w:t>(ii)</w:t>
      </w:r>
      <w:r w:rsidRPr="00CB21B0">
        <w:tab/>
        <w:t>unless the information is publicly available—the name and address of the authorising party for the item of information.</w:t>
      </w:r>
    </w:p>
    <w:p w:rsidR="00BF135B" w:rsidRPr="00CB21B0" w:rsidRDefault="00BF135B" w:rsidP="00BF135B">
      <w:pPr>
        <w:pStyle w:val="ActHead5"/>
      </w:pPr>
      <w:bookmarkStart w:id="40" w:name="_Toc361055038"/>
      <w:r w:rsidRPr="00CB21B0">
        <w:rPr>
          <w:rStyle w:val="CharSectno"/>
        </w:rPr>
        <w:t>8A</w:t>
      </w:r>
      <w:r w:rsidR="00883FB9" w:rsidRPr="00CB21B0">
        <w:rPr>
          <w:rStyle w:val="CharSectno"/>
        </w:rPr>
        <w:t>O</w:t>
      </w:r>
      <w:r w:rsidRPr="00CB21B0">
        <w:t xml:space="preserve"> </w:t>
      </w:r>
      <w:r w:rsidR="008F33B5" w:rsidRPr="00CB21B0">
        <w:t xml:space="preserve"> </w:t>
      </w:r>
      <w:r w:rsidRPr="00CB21B0">
        <w:t>Matters for notice following preliminary assessment</w:t>
      </w:r>
      <w:bookmarkEnd w:id="40"/>
    </w:p>
    <w:p w:rsidR="00BF135B" w:rsidRPr="00CB21B0" w:rsidRDefault="00BF135B" w:rsidP="00BF135B">
      <w:pPr>
        <w:pStyle w:val="subsection"/>
      </w:pPr>
      <w:r w:rsidRPr="00CB21B0">
        <w:tab/>
        <w:t>(1)</w:t>
      </w:r>
      <w:r w:rsidRPr="00CB21B0">
        <w:tab/>
      </w:r>
      <w:r w:rsidR="00621D4C" w:rsidRPr="00CB21B0">
        <w:t>For</w:t>
      </w:r>
      <w:r w:rsidRPr="00CB21B0">
        <w:t xml:space="preserve"> paragraphs 29E(2)(b) and 110A(2)(b) and subparagraphs</w:t>
      </w:r>
      <w:r w:rsidR="00CB21B0" w:rsidRPr="00CB21B0">
        <w:t> </w:t>
      </w:r>
      <w:r w:rsidRPr="00CB21B0">
        <w:t>11(2)(a)(ii) and 28(2)(a)(ii) of the Code</w:t>
      </w:r>
      <w:r w:rsidR="00621D4C" w:rsidRPr="00CB21B0">
        <w:t>, this regulation sets out the matters that must be included in a notice under subsection</w:t>
      </w:r>
      <w:r w:rsidR="00CB21B0" w:rsidRPr="00CB21B0">
        <w:t> </w:t>
      </w:r>
      <w:r w:rsidR="00621D4C" w:rsidRPr="00CB21B0">
        <w:t>11(2), 28(2), 29E(2) or 110A(2) of the Code</w:t>
      </w:r>
      <w:r w:rsidRPr="00CB21B0">
        <w:t>.</w:t>
      </w:r>
    </w:p>
    <w:p w:rsidR="00621D4C" w:rsidRPr="00CB21B0" w:rsidRDefault="00BF135B" w:rsidP="00621D4C">
      <w:pPr>
        <w:pStyle w:val="subsection"/>
      </w:pPr>
      <w:r w:rsidRPr="00CB21B0">
        <w:tab/>
        <w:t>(2)</w:t>
      </w:r>
      <w:r w:rsidRPr="00CB21B0">
        <w:tab/>
      </w:r>
      <w:r w:rsidR="00621D4C" w:rsidRPr="00CB21B0">
        <w:t>The matters are</w:t>
      </w:r>
      <w:r w:rsidR="006E7AB7" w:rsidRPr="00CB21B0">
        <w:t xml:space="preserve"> the following</w:t>
      </w:r>
      <w:r w:rsidR="00621D4C" w:rsidRPr="00CB21B0">
        <w:t>:</w:t>
      </w:r>
    </w:p>
    <w:p w:rsidR="00BF135B" w:rsidRPr="00CB21B0" w:rsidRDefault="00BF135B" w:rsidP="00621D4C">
      <w:pPr>
        <w:pStyle w:val="paragraph"/>
      </w:pPr>
      <w:r w:rsidRPr="00CB21B0">
        <w:tab/>
        <w:t>(a)</w:t>
      </w:r>
      <w:r w:rsidRPr="00CB21B0">
        <w:tab/>
        <w:t>that the application to which the notice relates has passed preliminary assessment;</w:t>
      </w:r>
    </w:p>
    <w:p w:rsidR="00BF135B" w:rsidRPr="00CB21B0" w:rsidRDefault="00BF135B" w:rsidP="00BF135B">
      <w:pPr>
        <w:pStyle w:val="paragraph"/>
      </w:pPr>
      <w:r w:rsidRPr="00CB21B0">
        <w:tab/>
        <w:t>(b)</w:t>
      </w:r>
      <w:r w:rsidRPr="00CB21B0">
        <w:tab/>
        <w:t>the section of the Code under which the application will be de</w:t>
      </w:r>
      <w:r w:rsidR="00AB6218" w:rsidRPr="00CB21B0">
        <w:t>termined</w:t>
      </w:r>
      <w:r w:rsidRPr="00CB21B0">
        <w:t>;</w:t>
      </w:r>
    </w:p>
    <w:p w:rsidR="00324250" w:rsidRPr="00CB21B0" w:rsidRDefault="00BF135B" w:rsidP="00AB6218">
      <w:pPr>
        <w:pStyle w:val="paragraph"/>
      </w:pPr>
      <w:r w:rsidRPr="00CB21B0">
        <w:tab/>
        <w:t>(c)</w:t>
      </w:r>
      <w:r w:rsidRPr="00CB21B0">
        <w:tab/>
        <w:t>the date on which the assessment of the application will commence;</w:t>
      </w:r>
    </w:p>
    <w:p w:rsidR="00BF135B" w:rsidRPr="00CB21B0" w:rsidRDefault="00BF135B" w:rsidP="00BF135B">
      <w:pPr>
        <w:pStyle w:val="paragraph"/>
      </w:pPr>
      <w:r w:rsidRPr="00CB21B0">
        <w:tab/>
        <w:t>(d)</w:t>
      </w:r>
      <w:r w:rsidRPr="00CB21B0">
        <w:tab/>
        <w:t>if an amount of application fee payable in relation to the application under subregulation</w:t>
      </w:r>
      <w:r w:rsidR="00CB21B0" w:rsidRPr="00CB21B0">
        <w:t> </w:t>
      </w:r>
      <w:r w:rsidRPr="00CB21B0">
        <w:t>70(2) is unpaid:</w:t>
      </w:r>
    </w:p>
    <w:p w:rsidR="00BF135B" w:rsidRPr="00CB21B0" w:rsidRDefault="00BF135B" w:rsidP="00BF135B">
      <w:pPr>
        <w:pStyle w:val="paragraphsub"/>
      </w:pPr>
      <w:r w:rsidRPr="00CB21B0">
        <w:tab/>
        <w:t>(i)</w:t>
      </w:r>
      <w:r w:rsidRPr="00CB21B0">
        <w:tab/>
        <w:t xml:space="preserve">the </w:t>
      </w:r>
      <w:r w:rsidR="00760DF3" w:rsidRPr="00CB21B0">
        <w:t xml:space="preserve">balance of the application fee that is </w:t>
      </w:r>
      <w:r w:rsidRPr="00CB21B0">
        <w:t>payable; and</w:t>
      </w:r>
    </w:p>
    <w:p w:rsidR="00BF135B" w:rsidRPr="00CB21B0" w:rsidRDefault="00BF135B" w:rsidP="00BF135B">
      <w:pPr>
        <w:pStyle w:val="paragraphsub"/>
      </w:pPr>
      <w:r w:rsidRPr="00CB21B0">
        <w:tab/>
        <w:t>(ii)</w:t>
      </w:r>
      <w:r w:rsidRPr="00CB21B0">
        <w:tab/>
        <w:t xml:space="preserve">that the </w:t>
      </w:r>
      <w:r w:rsidR="00760DF3" w:rsidRPr="00CB21B0">
        <w:t>balance</w:t>
      </w:r>
      <w:r w:rsidRPr="00CB21B0">
        <w:t xml:space="preserve"> must be paid within 28 days of the date of the notice;</w:t>
      </w:r>
    </w:p>
    <w:p w:rsidR="00563A1A" w:rsidRPr="00CB21B0" w:rsidRDefault="00B76C87" w:rsidP="00B76C87">
      <w:pPr>
        <w:pStyle w:val="paragraph"/>
      </w:pPr>
      <w:r w:rsidRPr="00CB21B0">
        <w:tab/>
        <w:t>(e)</w:t>
      </w:r>
      <w:r w:rsidRPr="00CB21B0">
        <w:tab/>
        <w:t xml:space="preserve">for an application other than an application </w:t>
      </w:r>
      <w:r w:rsidR="009219CF" w:rsidRPr="00CB21B0">
        <w:t>under section</w:t>
      </w:r>
      <w:r w:rsidR="00CB21B0" w:rsidRPr="00CB21B0">
        <w:t> </w:t>
      </w:r>
      <w:r w:rsidR="009219CF" w:rsidRPr="00CB21B0">
        <w:t>29D of the Code</w:t>
      </w:r>
      <w:r w:rsidR="00563A1A" w:rsidRPr="00CB21B0">
        <w:t>:</w:t>
      </w:r>
    </w:p>
    <w:p w:rsidR="00D1624E" w:rsidRPr="00CB21B0" w:rsidRDefault="00563A1A" w:rsidP="00563A1A">
      <w:pPr>
        <w:pStyle w:val="paragraphsub"/>
      </w:pPr>
      <w:r w:rsidRPr="00CB21B0">
        <w:tab/>
        <w:t>(i)</w:t>
      </w:r>
      <w:r w:rsidRPr="00CB21B0">
        <w:tab/>
      </w:r>
      <w:r w:rsidR="00B76C87" w:rsidRPr="00CB21B0">
        <w:t>that the APVMA may determine</w:t>
      </w:r>
      <w:r w:rsidR="00B4600B" w:rsidRPr="00CB21B0">
        <w:t xml:space="preserve"> that</w:t>
      </w:r>
      <w:r w:rsidR="00D1624E" w:rsidRPr="00CB21B0">
        <w:t>:</w:t>
      </w:r>
    </w:p>
    <w:p w:rsidR="00D1624E" w:rsidRPr="00CB21B0" w:rsidRDefault="00D1624E" w:rsidP="00D1624E">
      <w:pPr>
        <w:pStyle w:val="paragraphsub-sub"/>
      </w:pPr>
      <w:r w:rsidRPr="00CB21B0">
        <w:lastRenderedPageBreak/>
        <w:tab/>
        <w:t>(A)</w:t>
      </w:r>
      <w:r w:rsidRPr="00CB21B0">
        <w:tab/>
      </w:r>
      <w:r w:rsidR="00B76C87" w:rsidRPr="00CB21B0">
        <w:t>the application is more correctly ca</w:t>
      </w:r>
      <w:r w:rsidR="00563A1A" w:rsidRPr="00CB21B0">
        <w:t>tegorised as an application</w:t>
      </w:r>
      <w:r w:rsidR="00B76C87" w:rsidRPr="00CB21B0">
        <w:t xml:space="preserve"> mentioned in a different item </w:t>
      </w:r>
      <w:r w:rsidR="00324250" w:rsidRPr="00CB21B0">
        <w:t>in</w:t>
      </w:r>
      <w:r w:rsidR="00B76C87" w:rsidRPr="00CB21B0">
        <w:t xml:space="preserve"> Part</w:t>
      </w:r>
      <w:r w:rsidR="00CB21B0" w:rsidRPr="00CB21B0">
        <w:t> </w:t>
      </w:r>
      <w:r w:rsidR="00B76C87" w:rsidRPr="00CB21B0">
        <w:t>2 of Schedule</w:t>
      </w:r>
      <w:r w:rsidR="00CB21B0" w:rsidRPr="00CB21B0">
        <w:t> </w:t>
      </w:r>
      <w:r w:rsidR="00B76C87" w:rsidRPr="00CB21B0">
        <w:t>6</w:t>
      </w:r>
      <w:r w:rsidR="00563A1A" w:rsidRPr="00CB21B0">
        <w:t xml:space="preserve"> t</w:t>
      </w:r>
      <w:r w:rsidR="00324250" w:rsidRPr="00CB21B0">
        <w:t>o</w:t>
      </w:r>
      <w:r w:rsidR="00563A1A" w:rsidRPr="00CB21B0">
        <w:t xml:space="preserve"> the item </w:t>
      </w:r>
      <w:r w:rsidR="00324250" w:rsidRPr="00CB21B0">
        <w:t>in relation to</w:t>
      </w:r>
      <w:r w:rsidR="008308A8" w:rsidRPr="00CB21B0">
        <w:t xml:space="preserve"> which any fee </w:t>
      </w:r>
      <w:r w:rsidR="00324250" w:rsidRPr="00CB21B0">
        <w:t xml:space="preserve">has been </w:t>
      </w:r>
      <w:r w:rsidR="008308A8" w:rsidRPr="00CB21B0">
        <w:t>paid</w:t>
      </w:r>
      <w:r w:rsidR="00563A1A" w:rsidRPr="00CB21B0">
        <w:t>;</w:t>
      </w:r>
      <w:r w:rsidR="00B76C87" w:rsidRPr="00CB21B0">
        <w:t xml:space="preserve"> </w:t>
      </w:r>
      <w:r w:rsidRPr="00CB21B0">
        <w:t>or</w:t>
      </w:r>
    </w:p>
    <w:p w:rsidR="00F50F4E" w:rsidRPr="00CB21B0" w:rsidRDefault="00D1624E" w:rsidP="00D1624E">
      <w:pPr>
        <w:pStyle w:val="paragraphsub-sub"/>
      </w:pPr>
      <w:r w:rsidRPr="00CB21B0">
        <w:tab/>
        <w:t>(B)</w:t>
      </w:r>
      <w:r w:rsidRPr="00CB21B0">
        <w:tab/>
      </w:r>
      <w:r w:rsidR="00F50F4E" w:rsidRPr="00CB21B0">
        <w:t>different modules, levels and types mentioned in Schedule</w:t>
      </w:r>
      <w:r w:rsidR="00CB21B0" w:rsidRPr="00CB21B0">
        <w:t> </w:t>
      </w:r>
      <w:r w:rsidR="00F50F4E" w:rsidRPr="00CB21B0">
        <w:t>7 are necessary for the application; and</w:t>
      </w:r>
    </w:p>
    <w:p w:rsidR="00B76C87" w:rsidRPr="00CB21B0" w:rsidRDefault="00563A1A" w:rsidP="00563A1A">
      <w:pPr>
        <w:pStyle w:val="paragraphsub"/>
      </w:pPr>
      <w:r w:rsidRPr="00CB21B0">
        <w:tab/>
        <w:t>(ii)</w:t>
      </w:r>
      <w:r w:rsidRPr="00CB21B0">
        <w:tab/>
      </w:r>
      <w:r w:rsidR="00B76C87" w:rsidRPr="00CB21B0">
        <w:t>that if it does so, a further amount of application fee may be payable and the assessment period may change;</w:t>
      </w:r>
    </w:p>
    <w:p w:rsidR="00BF135B" w:rsidRPr="00CB21B0" w:rsidRDefault="00BF135B" w:rsidP="00BF135B">
      <w:pPr>
        <w:pStyle w:val="paragraph"/>
      </w:pPr>
      <w:r w:rsidRPr="00CB21B0">
        <w:tab/>
        <w:t>(</w:t>
      </w:r>
      <w:r w:rsidR="00716CEB" w:rsidRPr="00CB21B0">
        <w:t>f</w:t>
      </w:r>
      <w:r w:rsidRPr="00CB21B0">
        <w:t>)</w:t>
      </w:r>
      <w:r w:rsidRPr="00CB21B0">
        <w:tab/>
        <w:t xml:space="preserve">the number of copies </w:t>
      </w:r>
      <w:r w:rsidR="009219CF" w:rsidRPr="00CB21B0">
        <w:t xml:space="preserve">(if any) </w:t>
      </w:r>
      <w:r w:rsidRPr="00CB21B0">
        <w:t>of the application that must be given to the APVMA and the form in which those copies must be given;</w:t>
      </w:r>
    </w:p>
    <w:p w:rsidR="00BF135B" w:rsidRPr="00CB21B0" w:rsidRDefault="00BF135B" w:rsidP="00BF135B">
      <w:pPr>
        <w:pStyle w:val="paragraph"/>
      </w:pPr>
      <w:r w:rsidRPr="00CB21B0">
        <w:tab/>
        <w:t>(</w:t>
      </w:r>
      <w:r w:rsidR="00716CEB" w:rsidRPr="00CB21B0">
        <w:t>g</w:t>
      </w:r>
      <w:r w:rsidRPr="00CB21B0">
        <w:t>)</w:t>
      </w:r>
      <w:r w:rsidRPr="00CB21B0">
        <w:tab/>
        <w:t xml:space="preserve">that </w:t>
      </w:r>
      <w:r w:rsidR="009219CF" w:rsidRPr="00CB21B0">
        <w:t>if</w:t>
      </w:r>
      <w:r w:rsidR="00324250" w:rsidRPr="00CB21B0">
        <w:t xml:space="preserve"> copies </w:t>
      </w:r>
      <w:r w:rsidRPr="00CB21B0">
        <w:t xml:space="preserve">of the application </w:t>
      </w:r>
      <w:r w:rsidR="009219CF" w:rsidRPr="00CB21B0">
        <w:t xml:space="preserve">are required, the copies </w:t>
      </w:r>
      <w:r w:rsidRPr="00CB21B0">
        <w:t>must be given to the APVMA within 28 days of the date of the notice;</w:t>
      </w:r>
    </w:p>
    <w:p w:rsidR="00BF135B" w:rsidRPr="00CB21B0" w:rsidRDefault="00BF135B" w:rsidP="00BF135B">
      <w:pPr>
        <w:pStyle w:val="paragraph"/>
      </w:pPr>
      <w:r w:rsidRPr="00CB21B0">
        <w:tab/>
        <w:t>(</w:t>
      </w:r>
      <w:r w:rsidR="007C0D3D" w:rsidRPr="00CB21B0">
        <w:t>h</w:t>
      </w:r>
      <w:r w:rsidRPr="00CB21B0">
        <w:t>)</w:t>
      </w:r>
      <w:r w:rsidRPr="00CB21B0">
        <w:tab/>
        <w:t>the assessment period for the application</w:t>
      </w:r>
      <w:r w:rsidR="008223E9" w:rsidRPr="00CB21B0">
        <w:t xml:space="preserve"> and the expected date by which the application will be determined</w:t>
      </w:r>
      <w:r w:rsidRPr="00CB21B0">
        <w:t>;</w:t>
      </w:r>
    </w:p>
    <w:p w:rsidR="00BF135B" w:rsidRPr="00CB21B0" w:rsidRDefault="00BF135B" w:rsidP="00BF135B">
      <w:pPr>
        <w:pStyle w:val="paragraph"/>
      </w:pPr>
      <w:r w:rsidRPr="00CB21B0">
        <w:tab/>
        <w:t>(</w:t>
      </w:r>
      <w:r w:rsidR="00716CEB" w:rsidRPr="00CB21B0">
        <w:t>i</w:t>
      </w:r>
      <w:r w:rsidRPr="00CB21B0">
        <w:t>)</w:t>
      </w:r>
      <w:r w:rsidRPr="00CB21B0">
        <w:tab/>
        <w:t>if the modular assessment period applies to the application—the modules to be completed in relation to the application;</w:t>
      </w:r>
    </w:p>
    <w:p w:rsidR="00BF135B" w:rsidRPr="00CB21B0" w:rsidRDefault="00BF135B" w:rsidP="00BF135B">
      <w:pPr>
        <w:pStyle w:val="paragraph"/>
      </w:pPr>
      <w:r w:rsidRPr="00CB21B0">
        <w:tab/>
        <w:t>(</w:t>
      </w:r>
      <w:r w:rsidR="00716CEB" w:rsidRPr="00CB21B0">
        <w:t>j</w:t>
      </w:r>
      <w:r w:rsidRPr="00CB21B0">
        <w:t>)</w:t>
      </w:r>
      <w:r w:rsidRPr="00CB21B0">
        <w:tab/>
        <w:t>that if the APVMA or another prescribed authority makes a request under section</w:t>
      </w:r>
      <w:r w:rsidR="00CB21B0" w:rsidRPr="00CB21B0">
        <w:t> </w:t>
      </w:r>
      <w:r w:rsidRPr="00CB21B0">
        <w:t>159 of the Code:</w:t>
      </w:r>
    </w:p>
    <w:p w:rsidR="00BF135B" w:rsidRPr="00CB21B0" w:rsidRDefault="00BF135B" w:rsidP="00BF135B">
      <w:pPr>
        <w:pStyle w:val="paragraphsub"/>
      </w:pPr>
      <w:r w:rsidRPr="00CB21B0">
        <w:tab/>
        <w:t>(i)</w:t>
      </w:r>
      <w:r w:rsidRPr="00CB21B0">
        <w:tab/>
        <w:t>for an application for re</w:t>
      </w:r>
      <w:r w:rsidR="00CB21B0">
        <w:noBreakHyphen/>
      </w:r>
      <w:r w:rsidRPr="00CB21B0">
        <w:t>approval or re</w:t>
      </w:r>
      <w:r w:rsidR="00CB21B0">
        <w:noBreakHyphen/>
      </w:r>
      <w:r w:rsidRPr="00CB21B0">
        <w:t>registration—the applicant must comply with the request within 28 days of the request; and</w:t>
      </w:r>
    </w:p>
    <w:p w:rsidR="00BF135B" w:rsidRPr="00CB21B0" w:rsidRDefault="00BF135B" w:rsidP="00BF135B">
      <w:pPr>
        <w:pStyle w:val="paragraphsub"/>
      </w:pPr>
      <w:r w:rsidRPr="00CB21B0">
        <w:tab/>
        <w:t>(ii)</w:t>
      </w:r>
      <w:r w:rsidRPr="00CB21B0">
        <w:tab/>
        <w:t xml:space="preserve">in any other case—the assessment period </w:t>
      </w:r>
      <w:r w:rsidR="00AB6218" w:rsidRPr="00CB21B0">
        <w:t xml:space="preserve">will </w:t>
      </w:r>
      <w:r w:rsidRPr="00CB21B0">
        <w:t>be extended;</w:t>
      </w:r>
    </w:p>
    <w:p w:rsidR="00BF135B" w:rsidRPr="00CB21B0" w:rsidRDefault="00BF135B" w:rsidP="00BF135B">
      <w:pPr>
        <w:pStyle w:val="paragraph"/>
      </w:pPr>
      <w:r w:rsidRPr="00CB21B0">
        <w:tab/>
        <w:t>(</w:t>
      </w:r>
      <w:r w:rsidR="00716CEB" w:rsidRPr="00CB21B0">
        <w:t>k</w:t>
      </w:r>
      <w:r w:rsidRPr="00CB21B0">
        <w:t>)</w:t>
      </w:r>
      <w:r w:rsidRPr="00CB21B0">
        <w:tab/>
      </w:r>
      <w:r w:rsidR="0036371B" w:rsidRPr="00CB21B0">
        <w:t xml:space="preserve">for an applicant who is </w:t>
      </w:r>
      <w:r w:rsidRPr="00CB21B0">
        <w:t xml:space="preserve">a nominated agent </w:t>
      </w:r>
      <w:r w:rsidR="006801AD" w:rsidRPr="00CB21B0">
        <w:t>for an approval or registration</w:t>
      </w:r>
      <w:r w:rsidR="0036371B" w:rsidRPr="00CB21B0">
        <w:t>—</w:t>
      </w:r>
      <w:r w:rsidRPr="00CB21B0">
        <w:t>the applic</w:t>
      </w:r>
      <w:r w:rsidR="0036371B" w:rsidRPr="00CB21B0">
        <w:t xml:space="preserve">ant’s obligations under </w:t>
      </w:r>
      <w:r w:rsidR="009219CF" w:rsidRPr="00CB21B0">
        <w:t>sub</w:t>
      </w:r>
      <w:r w:rsidR="0036371B" w:rsidRPr="00CB21B0">
        <w:t>section</w:t>
      </w:r>
      <w:r w:rsidR="00CB21B0" w:rsidRPr="00CB21B0">
        <w:t> </w:t>
      </w:r>
      <w:r w:rsidRPr="00CB21B0">
        <w:t>152</w:t>
      </w:r>
      <w:r w:rsidR="009219CF" w:rsidRPr="00CB21B0">
        <w:t>(</w:t>
      </w:r>
      <w:r w:rsidR="006801AD" w:rsidRPr="00CB21B0">
        <w:t>2</w:t>
      </w:r>
      <w:r w:rsidR="009219CF" w:rsidRPr="00CB21B0">
        <w:t>)</w:t>
      </w:r>
      <w:r w:rsidRPr="00CB21B0">
        <w:t xml:space="preserve"> of the Code</w:t>
      </w:r>
      <w:r w:rsidR="0072295C" w:rsidRPr="00CB21B0">
        <w:t>;</w:t>
      </w:r>
    </w:p>
    <w:p w:rsidR="00BF135B" w:rsidRPr="00CB21B0" w:rsidRDefault="00BF135B" w:rsidP="00BF135B">
      <w:pPr>
        <w:pStyle w:val="paragraph"/>
      </w:pPr>
      <w:r w:rsidRPr="00CB21B0">
        <w:tab/>
        <w:t>(</w:t>
      </w:r>
      <w:r w:rsidR="00716CEB" w:rsidRPr="00CB21B0">
        <w:t>l</w:t>
      </w:r>
      <w:r w:rsidRPr="00CB21B0">
        <w:t>)</w:t>
      </w:r>
      <w:r w:rsidRPr="00CB21B0">
        <w:tab/>
        <w:t>that if the applicant becomes aware of any information (</w:t>
      </w:r>
      <w:r w:rsidRPr="00CB21B0">
        <w:rPr>
          <w:b/>
          <w:i/>
        </w:rPr>
        <w:t>new information</w:t>
      </w:r>
      <w:r w:rsidRPr="00CB21B0">
        <w:t>) that contradicts any information given to the APVMA or shows that the constituent or product to which the application relates may not meet the safety criteria, the trade criteria or the efficacy criteria, the applicant must give the new information to the APVMA</w:t>
      </w:r>
      <w:r w:rsidR="0036371B" w:rsidRPr="00CB21B0">
        <w:t xml:space="preserve"> in accordance with section</w:t>
      </w:r>
      <w:r w:rsidR="00CB21B0" w:rsidRPr="00CB21B0">
        <w:t> </w:t>
      </w:r>
      <w:r w:rsidR="0036371B" w:rsidRPr="00CB21B0">
        <w:t>160A of the Code</w:t>
      </w:r>
      <w:r w:rsidRPr="00CB21B0">
        <w:t>;</w:t>
      </w:r>
    </w:p>
    <w:p w:rsidR="00BF135B" w:rsidRPr="00CB21B0" w:rsidRDefault="00BF135B" w:rsidP="00BF135B">
      <w:pPr>
        <w:pStyle w:val="paragraph"/>
      </w:pPr>
      <w:r w:rsidRPr="00CB21B0">
        <w:tab/>
        <w:t>(</w:t>
      </w:r>
      <w:r w:rsidR="00716CEB" w:rsidRPr="00CB21B0">
        <w:t>m</w:t>
      </w:r>
      <w:r w:rsidRPr="00CB21B0">
        <w:t>)</w:t>
      </w:r>
      <w:r w:rsidRPr="00CB21B0">
        <w:tab/>
        <w:t xml:space="preserve">that if the APVMA does not determine the application within the assessment period for the application and any extension </w:t>
      </w:r>
      <w:r w:rsidRPr="00CB21B0">
        <w:lastRenderedPageBreak/>
        <w:t xml:space="preserve">to the assessment period, the applicant may notify the APVMA that it wishes to treat the application as having </w:t>
      </w:r>
      <w:r w:rsidR="007C0D3D" w:rsidRPr="00CB21B0">
        <w:t xml:space="preserve">been </w:t>
      </w:r>
      <w:r w:rsidRPr="00CB21B0">
        <w:t>refused, and may seek review of the refusal</w:t>
      </w:r>
      <w:r w:rsidR="00C527F0" w:rsidRPr="00CB21B0">
        <w:t xml:space="preserve"> in accordance with subsection</w:t>
      </w:r>
      <w:r w:rsidR="00CB21B0" w:rsidRPr="00CB21B0">
        <w:t> </w:t>
      </w:r>
      <w:r w:rsidR="00C527F0" w:rsidRPr="00CB21B0">
        <w:t>165(3) of the Code</w:t>
      </w:r>
      <w:r w:rsidRPr="00CB21B0">
        <w:t>;</w:t>
      </w:r>
    </w:p>
    <w:p w:rsidR="00BF135B" w:rsidRPr="00CB21B0" w:rsidRDefault="00BF135B" w:rsidP="00BF135B">
      <w:pPr>
        <w:pStyle w:val="paragraph"/>
      </w:pPr>
      <w:r w:rsidRPr="00CB21B0">
        <w:tab/>
        <w:t>(</w:t>
      </w:r>
      <w:r w:rsidR="00716CEB" w:rsidRPr="00CB21B0">
        <w:t>n</w:t>
      </w:r>
      <w:r w:rsidRPr="00CB21B0">
        <w:t>)</w:t>
      </w:r>
      <w:r w:rsidRPr="00CB21B0">
        <w:tab/>
      </w:r>
      <w:r w:rsidR="00324250" w:rsidRPr="00CB21B0">
        <w:t xml:space="preserve">that </w:t>
      </w:r>
      <w:r w:rsidRPr="00CB21B0">
        <w:t>the applicant may withdraw the application in accordance with section</w:t>
      </w:r>
      <w:r w:rsidR="00CB21B0" w:rsidRPr="00CB21B0">
        <w:t> </w:t>
      </w:r>
      <w:r w:rsidRPr="00CB21B0">
        <w:t>8D of the Code.</w:t>
      </w:r>
    </w:p>
    <w:p w:rsidR="00D1624E" w:rsidRPr="00CB21B0" w:rsidRDefault="00BF135B" w:rsidP="00D1624E">
      <w:pPr>
        <w:pStyle w:val="ActHead5"/>
      </w:pPr>
      <w:bookmarkStart w:id="41" w:name="_Toc361055039"/>
      <w:r w:rsidRPr="00CB21B0">
        <w:rPr>
          <w:rStyle w:val="CharSectno"/>
        </w:rPr>
        <w:t>8A</w:t>
      </w:r>
      <w:r w:rsidR="00883FB9" w:rsidRPr="00CB21B0">
        <w:rPr>
          <w:rStyle w:val="CharSectno"/>
        </w:rPr>
        <w:t>P</w:t>
      </w:r>
      <w:r w:rsidR="008F33B5" w:rsidRPr="00CB21B0">
        <w:t xml:space="preserve"> </w:t>
      </w:r>
      <w:r w:rsidR="00092827" w:rsidRPr="00CB21B0">
        <w:t xml:space="preserve"> </w:t>
      </w:r>
      <w:r w:rsidRPr="00CB21B0">
        <w:t>Matters for notice for technical assessment</w:t>
      </w:r>
      <w:bookmarkEnd w:id="41"/>
    </w:p>
    <w:p w:rsidR="00BF135B" w:rsidRPr="00CB21B0" w:rsidRDefault="00BF135B" w:rsidP="00D1624E">
      <w:pPr>
        <w:pStyle w:val="subsection"/>
      </w:pPr>
      <w:r w:rsidRPr="00CB21B0">
        <w:tab/>
        <w:t>(1)</w:t>
      </w:r>
      <w:r w:rsidRPr="00CB21B0">
        <w:tab/>
        <w:t>This regulation applies to</w:t>
      </w:r>
      <w:r w:rsidR="00D1624E" w:rsidRPr="00CB21B0">
        <w:t xml:space="preserve"> </w:t>
      </w:r>
      <w:r w:rsidRPr="00CB21B0">
        <w:t xml:space="preserve">an application for </w:t>
      </w:r>
      <w:r w:rsidR="00244A36" w:rsidRPr="00CB21B0">
        <w:t xml:space="preserve">a </w:t>
      </w:r>
      <w:r w:rsidRPr="00CB21B0">
        <w:t xml:space="preserve">technical </w:t>
      </w:r>
      <w:r w:rsidR="00244A36" w:rsidRPr="00CB21B0">
        <w:t>assessment</w:t>
      </w:r>
      <w:r w:rsidRPr="00CB21B0">
        <w:t xml:space="preserve"> under regulation</w:t>
      </w:r>
      <w:r w:rsidR="00CB21B0" w:rsidRPr="00CB21B0">
        <w:t> </w:t>
      </w:r>
      <w:r w:rsidRPr="00CB21B0">
        <w:t>8A</w:t>
      </w:r>
      <w:r w:rsidR="00176B14" w:rsidRPr="00CB21B0">
        <w:t>S</w:t>
      </w:r>
      <w:r w:rsidRPr="00CB21B0">
        <w:t>.</w:t>
      </w:r>
    </w:p>
    <w:p w:rsidR="00BF135B" w:rsidRPr="00CB21B0" w:rsidRDefault="00BF135B" w:rsidP="00BF135B">
      <w:pPr>
        <w:pStyle w:val="subsection"/>
      </w:pPr>
      <w:r w:rsidRPr="00CB21B0">
        <w:tab/>
        <w:t>(2)</w:t>
      </w:r>
      <w:r w:rsidRPr="00CB21B0">
        <w:tab/>
        <w:t xml:space="preserve">Within </w:t>
      </w:r>
      <w:r w:rsidR="00F66C3E" w:rsidRPr="00CB21B0">
        <w:t>1</w:t>
      </w:r>
      <w:r w:rsidRPr="00CB21B0">
        <w:t xml:space="preserve"> month of receiving the application, the APVMA must give the applicant a notice setting out</w:t>
      </w:r>
      <w:r w:rsidR="00092827" w:rsidRPr="00CB21B0">
        <w:t xml:space="preserve"> the following</w:t>
      </w:r>
      <w:r w:rsidRPr="00CB21B0">
        <w:t>:</w:t>
      </w:r>
    </w:p>
    <w:p w:rsidR="00BF135B" w:rsidRPr="00CB21B0" w:rsidRDefault="00BF135B" w:rsidP="00BF135B">
      <w:pPr>
        <w:pStyle w:val="paragraph"/>
      </w:pPr>
      <w:r w:rsidRPr="00CB21B0">
        <w:tab/>
        <w:t>(a)</w:t>
      </w:r>
      <w:r w:rsidRPr="00CB21B0">
        <w:tab/>
        <w:t>that a technical assessment will be provided for that regulation;</w:t>
      </w:r>
    </w:p>
    <w:p w:rsidR="00BF135B" w:rsidRPr="00CB21B0" w:rsidRDefault="00BF135B" w:rsidP="00BF135B">
      <w:pPr>
        <w:pStyle w:val="paragraph"/>
      </w:pPr>
      <w:r w:rsidRPr="00CB21B0">
        <w:tab/>
        <w:t>(</w:t>
      </w:r>
      <w:r w:rsidR="00D1624E" w:rsidRPr="00CB21B0">
        <w:t>b</w:t>
      </w:r>
      <w:r w:rsidRPr="00CB21B0">
        <w:t>)</w:t>
      </w:r>
      <w:r w:rsidRPr="00CB21B0">
        <w:tab/>
        <w:t>the date on which the technical assessment will commence;</w:t>
      </w:r>
    </w:p>
    <w:p w:rsidR="00BF135B" w:rsidRPr="00CB21B0" w:rsidRDefault="00BF135B" w:rsidP="006801AD">
      <w:pPr>
        <w:pStyle w:val="paragraph"/>
      </w:pPr>
      <w:r w:rsidRPr="00CB21B0">
        <w:tab/>
        <w:t>(</w:t>
      </w:r>
      <w:r w:rsidR="00D1624E" w:rsidRPr="00CB21B0">
        <w:t>c</w:t>
      </w:r>
      <w:r w:rsidRPr="00CB21B0">
        <w:t>)</w:t>
      </w:r>
      <w:r w:rsidRPr="00CB21B0">
        <w:tab/>
        <w:t>if an amount of application fee payable in relation to the application under subregulation</w:t>
      </w:r>
      <w:r w:rsidR="00CB21B0" w:rsidRPr="00CB21B0">
        <w:t> </w:t>
      </w:r>
      <w:r w:rsidRPr="00CB21B0">
        <w:t>70(2) is unpaid</w:t>
      </w:r>
      <w:r w:rsidR="006801AD" w:rsidRPr="00CB21B0">
        <w:t>—</w:t>
      </w:r>
      <w:r w:rsidRPr="00CB21B0">
        <w:t xml:space="preserve">that the </w:t>
      </w:r>
      <w:r w:rsidR="00760DF3" w:rsidRPr="00CB21B0">
        <w:t xml:space="preserve">balance </w:t>
      </w:r>
      <w:r w:rsidRPr="00CB21B0">
        <w:t>must be paid within 28 days of the date of the notice;</w:t>
      </w:r>
    </w:p>
    <w:p w:rsidR="00BF135B" w:rsidRPr="00CB21B0" w:rsidRDefault="00BF135B" w:rsidP="00BF135B">
      <w:pPr>
        <w:pStyle w:val="paragraph"/>
      </w:pPr>
      <w:r w:rsidRPr="00CB21B0">
        <w:tab/>
        <w:t>(</w:t>
      </w:r>
      <w:r w:rsidR="00D1624E" w:rsidRPr="00CB21B0">
        <w:t>d</w:t>
      </w:r>
      <w:r w:rsidRPr="00CB21B0">
        <w:t>)</w:t>
      </w:r>
      <w:r w:rsidRPr="00CB21B0">
        <w:tab/>
        <w:t xml:space="preserve">the number of copies </w:t>
      </w:r>
      <w:r w:rsidR="00C527F0" w:rsidRPr="00CB21B0">
        <w:t xml:space="preserve">(if any) </w:t>
      </w:r>
      <w:r w:rsidRPr="00CB21B0">
        <w:t>of the application that must be given to the APVMA and the form in which those copies must be given;</w:t>
      </w:r>
    </w:p>
    <w:p w:rsidR="00BF135B" w:rsidRPr="00CB21B0" w:rsidRDefault="00BF135B" w:rsidP="00BF135B">
      <w:pPr>
        <w:pStyle w:val="paragraph"/>
      </w:pPr>
      <w:r w:rsidRPr="00CB21B0">
        <w:tab/>
        <w:t>(</w:t>
      </w:r>
      <w:r w:rsidR="00D1624E" w:rsidRPr="00CB21B0">
        <w:t>e</w:t>
      </w:r>
      <w:r w:rsidRPr="00CB21B0">
        <w:t>)</w:t>
      </w:r>
      <w:r w:rsidRPr="00CB21B0">
        <w:tab/>
        <w:t xml:space="preserve">that </w:t>
      </w:r>
      <w:r w:rsidR="00324250" w:rsidRPr="00CB21B0">
        <w:t xml:space="preserve">any copies </w:t>
      </w:r>
      <w:r w:rsidRPr="00CB21B0">
        <w:t>must be given to the APVMA within 28 days of the date of the notice;</w:t>
      </w:r>
    </w:p>
    <w:p w:rsidR="00BF135B" w:rsidRPr="00CB21B0" w:rsidRDefault="00BF135B" w:rsidP="00BF135B">
      <w:pPr>
        <w:pStyle w:val="paragraph"/>
      </w:pPr>
      <w:r w:rsidRPr="00CB21B0">
        <w:tab/>
        <w:t>(</w:t>
      </w:r>
      <w:r w:rsidR="00D1624E" w:rsidRPr="00CB21B0">
        <w:t>f</w:t>
      </w:r>
      <w:r w:rsidRPr="00CB21B0">
        <w:t>)</w:t>
      </w:r>
      <w:r w:rsidRPr="00CB21B0">
        <w:tab/>
        <w:t>the assessment period for the application</w:t>
      </w:r>
      <w:r w:rsidR="008223E9" w:rsidRPr="00CB21B0">
        <w:t xml:space="preserve"> and the expected date by which the application will be determined;</w:t>
      </w:r>
    </w:p>
    <w:p w:rsidR="00BF135B" w:rsidRPr="00CB21B0" w:rsidRDefault="00BF135B" w:rsidP="00BF135B">
      <w:pPr>
        <w:pStyle w:val="paragraph"/>
      </w:pPr>
      <w:r w:rsidRPr="00CB21B0">
        <w:tab/>
        <w:t>(</w:t>
      </w:r>
      <w:r w:rsidR="00D1624E" w:rsidRPr="00CB21B0">
        <w:t>g</w:t>
      </w:r>
      <w:r w:rsidRPr="00CB21B0">
        <w:t>)</w:t>
      </w:r>
      <w:r w:rsidRPr="00CB21B0">
        <w:tab/>
        <w:t>the modules to be completed in relation to the application;</w:t>
      </w:r>
    </w:p>
    <w:p w:rsidR="00D83B5B" w:rsidRPr="00CB21B0" w:rsidRDefault="00BF135B" w:rsidP="00D83B5B">
      <w:pPr>
        <w:pStyle w:val="paragraph"/>
      </w:pPr>
      <w:r w:rsidRPr="00CB21B0">
        <w:tab/>
        <w:t>(</w:t>
      </w:r>
      <w:r w:rsidR="00D1624E" w:rsidRPr="00CB21B0">
        <w:t>h</w:t>
      </w:r>
      <w:r w:rsidRPr="00CB21B0">
        <w:t>)</w:t>
      </w:r>
      <w:r w:rsidRPr="00CB21B0">
        <w:tab/>
        <w:t xml:space="preserve">that the assessment period </w:t>
      </w:r>
      <w:r w:rsidR="00244A36" w:rsidRPr="00CB21B0">
        <w:t>will</w:t>
      </w:r>
      <w:r w:rsidRPr="00CB21B0">
        <w:t xml:space="preserve"> be extended if the APVMA or another prescribed authority makes a request under section</w:t>
      </w:r>
      <w:r w:rsidR="00CB21B0" w:rsidRPr="00CB21B0">
        <w:t> </w:t>
      </w:r>
      <w:r w:rsidRPr="00CB21B0">
        <w:t>159 of the Code;</w:t>
      </w:r>
    </w:p>
    <w:p w:rsidR="00BF135B" w:rsidRPr="00CB21B0" w:rsidRDefault="00BF135B" w:rsidP="00D83B5B">
      <w:pPr>
        <w:pStyle w:val="paragraph"/>
      </w:pPr>
      <w:r w:rsidRPr="00CB21B0">
        <w:tab/>
        <w:t>(</w:t>
      </w:r>
      <w:r w:rsidR="00D83B5B" w:rsidRPr="00CB21B0">
        <w:t>i</w:t>
      </w:r>
      <w:r w:rsidRPr="00CB21B0">
        <w:t>)</w:t>
      </w:r>
      <w:r w:rsidRPr="00CB21B0">
        <w:tab/>
        <w:t xml:space="preserve">that if the APVMA does not determine the application within the assessment period for the application and any extension to the assessment period, the applicant may notify the APVMA that it wishes to treat the application as having </w:t>
      </w:r>
      <w:r w:rsidR="007C0D3D" w:rsidRPr="00CB21B0">
        <w:t xml:space="preserve">been </w:t>
      </w:r>
      <w:r w:rsidRPr="00CB21B0">
        <w:t>refused, and may seek review of the refusal</w:t>
      </w:r>
      <w:r w:rsidR="00C527F0" w:rsidRPr="00CB21B0">
        <w:t xml:space="preserve"> in accordance with subsection</w:t>
      </w:r>
      <w:r w:rsidR="00CB21B0" w:rsidRPr="00CB21B0">
        <w:t> </w:t>
      </w:r>
      <w:r w:rsidR="00C527F0" w:rsidRPr="00CB21B0">
        <w:t>165(3) of the Code</w:t>
      </w:r>
      <w:r w:rsidRPr="00CB21B0">
        <w:t>;</w:t>
      </w:r>
    </w:p>
    <w:p w:rsidR="00BF135B" w:rsidRPr="00CB21B0" w:rsidRDefault="00BF135B" w:rsidP="00BF135B">
      <w:pPr>
        <w:pStyle w:val="paragraph"/>
      </w:pPr>
      <w:r w:rsidRPr="00CB21B0">
        <w:tab/>
        <w:t>(</w:t>
      </w:r>
      <w:r w:rsidR="00D83B5B" w:rsidRPr="00CB21B0">
        <w:t>j</w:t>
      </w:r>
      <w:r w:rsidRPr="00CB21B0">
        <w:t>)</w:t>
      </w:r>
      <w:r w:rsidRPr="00CB21B0">
        <w:tab/>
      </w:r>
      <w:r w:rsidR="00324250" w:rsidRPr="00CB21B0">
        <w:t xml:space="preserve">that </w:t>
      </w:r>
      <w:r w:rsidRPr="00CB21B0">
        <w:t>the applicant may withdraw the application in accordance with section</w:t>
      </w:r>
      <w:r w:rsidR="00CB21B0" w:rsidRPr="00CB21B0">
        <w:t> </w:t>
      </w:r>
      <w:r w:rsidRPr="00CB21B0">
        <w:t>8D of the Code.</w:t>
      </w:r>
    </w:p>
    <w:p w:rsidR="00730924" w:rsidRPr="00CB21B0" w:rsidRDefault="00730924" w:rsidP="00730924">
      <w:pPr>
        <w:pStyle w:val="ActHead5"/>
      </w:pPr>
      <w:bookmarkStart w:id="42" w:name="_Toc361055040"/>
      <w:r w:rsidRPr="00CB21B0">
        <w:rPr>
          <w:rStyle w:val="CharSectno"/>
        </w:rPr>
        <w:lastRenderedPageBreak/>
        <w:t>8A</w:t>
      </w:r>
      <w:r w:rsidR="00176B14" w:rsidRPr="00CB21B0">
        <w:rPr>
          <w:rStyle w:val="CharSectno"/>
        </w:rPr>
        <w:t>Q</w:t>
      </w:r>
      <w:r w:rsidRPr="00CB21B0">
        <w:t xml:space="preserve">  Matters for notice in relation to extension of permit</w:t>
      </w:r>
      <w:bookmarkEnd w:id="42"/>
    </w:p>
    <w:p w:rsidR="00730924" w:rsidRPr="00CB21B0" w:rsidRDefault="00730924" w:rsidP="00730924">
      <w:pPr>
        <w:pStyle w:val="subsection"/>
      </w:pPr>
      <w:r w:rsidRPr="00CB21B0">
        <w:tab/>
        <w:t>(1)</w:t>
      </w:r>
      <w:r w:rsidRPr="00CB21B0">
        <w:tab/>
        <w:t>This regulation applies to an application for an extension or extensions of a permit under subsection</w:t>
      </w:r>
      <w:r w:rsidR="00CB21B0" w:rsidRPr="00CB21B0">
        <w:t> </w:t>
      </w:r>
      <w:r w:rsidRPr="00CB21B0">
        <w:t>115(3) of the Code.</w:t>
      </w:r>
    </w:p>
    <w:p w:rsidR="00730924" w:rsidRPr="00CB21B0" w:rsidRDefault="00730924" w:rsidP="00730924">
      <w:pPr>
        <w:pStyle w:val="subsection"/>
      </w:pPr>
      <w:r w:rsidRPr="00CB21B0">
        <w:tab/>
        <w:t>(2)</w:t>
      </w:r>
      <w:r w:rsidRPr="00CB21B0">
        <w:tab/>
        <w:t>Within 1 month of receiving the application, the APVMA must give the applicant a notice setting out</w:t>
      </w:r>
      <w:r w:rsidR="00092827" w:rsidRPr="00CB21B0">
        <w:t xml:space="preserve"> the following</w:t>
      </w:r>
      <w:r w:rsidRPr="00CB21B0">
        <w:t>:</w:t>
      </w:r>
    </w:p>
    <w:p w:rsidR="00541A57" w:rsidRPr="00CB21B0" w:rsidRDefault="00541A57" w:rsidP="00541A57">
      <w:pPr>
        <w:pStyle w:val="paragraph"/>
      </w:pPr>
      <w:r w:rsidRPr="00CB21B0">
        <w:tab/>
        <w:t>(a)</w:t>
      </w:r>
      <w:r w:rsidRPr="00CB21B0">
        <w:tab/>
        <w:t>th</w:t>
      </w:r>
      <w:r w:rsidR="00D83B5B" w:rsidRPr="00CB21B0">
        <w:t>at the application will be determined under section</w:t>
      </w:r>
      <w:r w:rsidR="00CB21B0" w:rsidRPr="00CB21B0">
        <w:t> </w:t>
      </w:r>
      <w:r w:rsidR="00D83B5B" w:rsidRPr="00CB21B0">
        <w:t>115 of the Code</w:t>
      </w:r>
      <w:r w:rsidRPr="00CB21B0">
        <w:t>;</w:t>
      </w:r>
    </w:p>
    <w:p w:rsidR="00541A57" w:rsidRPr="00CB21B0" w:rsidRDefault="00541A57" w:rsidP="00541A57">
      <w:pPr>
        <w:pStyle w:val="paragraph"/>
      </w:pPr>
      <w:r w:rsidRPr="00CB21B0">
        <w:tab/>
        <w:t>(b)</w:t>
      </w:r>
      <w:r w:rsidRPr="00CB21B0">
        <w:tab/>
        <w:t>the date on which the assessment of the application will commence;</w:t>
      </w:r>
    </w:p>
    <w:p w:rsidR="00730924" w:rsidRPr="00CB21B0" w:rsidRDefault="00730924" w:rsidP="00541A57">
      <w:pPr>
        <w:pStyle w:val="paragraph"/>
      </w:pPr>
      <w:r w:rsidRPr="00CB21B0">
        <w:tab/>
        <w:t>(c)</w:t>
      </w:r>
      <w:r w:rsidRPr="00CB21B0">
        <w:tab/>
        <w:t>if an amount of application fee payable in relation to the application under subregulation</w:t>
      </w:r>
      <w:r w:rsidR="00CB21B0" w:rsidRPr="00CB21B0">
        <w:t> </w:t>
      </w:r>
      <w:r w:rsidRPr="00CB21B0">
        <w:t>70(2) is unpaid—that the balance must be paid within 28 days of the date of the notice;</w:t>
      </w:r>
    </w:p>
    <w:p w:rsidR="00730924" w:rsidRPr="00CB21B0" w:rsidRDefault="00730924" w:rsidP="00730924">
      <w:pPr>
        <w:pStyle w:val="paragraph"/>
      </w:pPr>
      <w:r w:rsidRPr="00CB21B0">
        <w:tab/>
        <w:t>(d)</w:t>
      </w:r>
      <w:r w:rsidRPr="00CB21B0">
        <w:tab/>
        <w:t>the number of copies (if any) of the application that must be given to the APVMA and the form in which those copies must be given;</w:t>
      </w:r>
    </w:p>
    <w:p w:rsidR="00730924" w:rsidRPr="00CB21B0" w:rsidRDefault="00730924" w:rsidP="00730924">
      <w:pPr>
        <w:pStyle w:val="paragraph"/>
      </w:pPr>
      <w:r w:rsidRPr="00CB21B0">
        <w:tab/>
        <w:t>(e)</w:t>
      </w:r>
      <w:r w:rsidRPr="00CB21B0">
        <w:tab/>
        <w:t>that any copies must be given to the APVMA within 28 days of the date of the notice;</w:t>
      </w:r>
    </w:p>
    <w:p w:rsidR="00730924" w:rsidRPr="00CB21B0" w:rsidRDefault="00730924" w:rsidP="00730924">
      <w:pPr>
        <w:pStyle w:val="paragraph"/>
      </w:pPr>
      <w:r w:rsidRPr="00CB21B0">
        <w:tab/>
        <w:t>(f)</w:t>
      </w:r>
      <w:r w:rsidRPr="00CB21B0">
        <w:tab/>
        <w:t>the assessment period for the application and the expected date by which the application will be determined;</w:t>
      </w:r>
    </w:p>
    <w:p w:rsidR="00541A57" w:rsidRPr="00CB21B0" w:rsidRDefault="00541A57" w:rsidP="00541A57">
      <w:pPr>
        <w:pStyle w:val="paragraph"/>
      </w:pPr>
      <w:r w:rsidRPr="00CB21B0">
        <w:tab/>
        <w:t>(g)</w:t>
      </w:r>
      <w:r w:rsidRPr="00CB21B0">
        <w:tab/>
        <w:t>if the modular assessment period applies to the application—the modules to be completed in relation to the application;</w:t>
      </w:r>
    </w:p>
    <w:p w:rsidR="00541A57" w:rsidRPr="00CB21B0" w:rsidRDefault="00541A57" w:rsidP="00541A57">
      <w:pPr>
        <w:pStyle w:val="paragraph"/>
      </w:pPr>
      <w:r w:rsidRPr="00CB21B0">
        <w:tab/>
        <w:t>(h)</w:t>
      </w:r>
      <w:r w:rsidRPr="00CB21B0">
        <w:tab/>
        <w:t>that if the applicant becomes aware of any information (</w:t>
      </w:r>
      <w:r w:rsidRPr="00CB21B0">
        <w:rPr>
          <w:b/>
          <w:i/>
        </w:rPr>
        <w:t>new information</w:t>
      </w:r>
      <w:r w:rsidRPr="00CB21B0">
        <w:t>) that contradicts any information given to the APVMA or shows that the constituent or product to which the application relates may not meet the safety criteria, the trade criteria or the efficacy criteria, the applicant must give the new information to the APVMA in accordance with section</w:t>
      </w:r>
      <w:r w:rsidR="00CB21B0" w:rsidRPr="00CB21B0">
        <w:t> </w:t>
      </w:r>
      <w:r w:rsidRPr="00CB21B0">
        <w:t>160A of the Code;</w:t>
      </w:r>
    </w:p>
    <w:p w:rsidR="00541A57" w:rsidRPr="00CB21B0" w:rsidRDefault="00541A57" w:rsidP="00541A57">
      <w:pPr>
        <w:pStyle w:val="paragraph"/>
      </w:pPr>
      <w:r w:rsidRPr="00CB21B0">
        <w:tab/>
        <w:t>(i)</w:t>
      </w:r>
      <w:r w:rsidRPr="00CB21B0">
        <w:tab/>
        <w:t>that if the APVMA does not determine the application within the assessment period for the application and any extension to the assessment period, the applicant may notify the APVMA that it wishes to treat the application as having been refused, and may seek review of the refusal in accordance with subsection</w:t>
      </w:r>
      <w:r w:rsidR="00CB21B0" w:rsidRPr="00CB21B0">
        <w:t> </w:t>
      </w:r>
      <w:r w:rsidRPr="00CB21B0">
        <w:t>165(3) of the Code;</w:t>
      </w:r>
    </w:p>
    <w:p w:rsidR="00541A57" w:rsidRPr="00CB21B0" w:rsidRDefault="00541A57" w:rsidP="00730924">
      <w:pPr>
        <w:pStyle w:val="paragraph"/>
      </w:pPr>
      <w:r w:rsidRPr="00CB21B0">
        <w:tab/>
        <w:t>(j)</w:t>
      </w:r>
      <w:r w:rsidRPr="00CB21B0">
        <w:tab/>
        <w:t>that the applicant may withdraw the application in accordance with section</w:t>
      </w:r>
      <w:r w:rsidR="00CB21B0" w:rsidRPr="00CB21B0">
        <w:t> </w:t>
      </w:r>
      <w:r w:rsidRPr="00CB21B0">
        <w:t>8D of the Code.</w:t>
      </w:r>
    </w:p>
    <w:p w:rsidR="007920DF" w:rsidRPr="00CB21B0" w:rsidRDefault="007920DF" w:rsidP="00730924">
      <w:pPr>
        <w:pStyle w:val="ActHead3"/>
      </w:pPr>
      <w:bookmarkStart w:id="43" w:name="_Toc361055041"/>
      <w:r w:rsidRPr="00CB21B0">
        <w:rPr>
          <w:rStyle w:val="CharDivNo"/>
        </w:rPr>
        <w:lastRenderedPageBreak/>
        <w:t>Division</w:t>
      </w:r>
      <w:r w:rsidR="00CB21B0" w:rsidRPr="00CB21B0">
        <w:rPr>
          <w:rStyle w:val="CharDivNo"/>
        </w:rPr>
        <w:t> </w:t>
      </w:r>
      <w:r w:rsidRPr="00CB21B0">
        <w:rPr>
          <w:rStyle w:val="CharDivNo"/>
        </w:rPr>
        <w:t>1.6</w:t>
      </w:r>
      <w:r w:rsidRPr="00CB21B0">
        <w:t>—</w:t>
      </w:r>
      <w:r w:rsidRPr="00CB21B0">
        <w:rPr>
          <w:rStyle w:val="CharDivText"/>
        </w:rPr>
        <w:t>Listed chemical products</w:t>
      </w:r>
      <w:bookmarkEnd w:id="43"/>
    </w:p>
    <w:p w:rsidR="007920DF" w:rsidRPr="00CB21B0" w:rsidRDefault="00041955" w:rsidP="007920DF">
      <w:pPr>
        <w:pStyle w:val="ActHead5"/>
      </w:pPr>
      <w:bookmarkStart w:id="44" w:name="_Toc361055042"/>
      <w:r w:rsidRPr="00CB21B0">
        <w:rPr>
          <w:rStyle w:val="CharSectno"/>
        </w:rPr>
        <w:t>8A</w:t>
      </w:r>
      <w:r w:rsidR="00176B14" w:rsidRPr="00CB21B0">
        <w:rPr>
          <w:rStyle w:val="CharSectno"/>
        </w:rPr>
        <w:t>R</w:t>
      </w:r>
      <w:r w:rsidR="007920DF" w:rsidRPr="00CB21B0">
        <w:t xml:space="preserve">  Listed chemical products</w:t>
      </w:r>
      <w:bookmarkEnd w:id="44"/>
    </w:p>
    <w:p w:rsidR="007920DF" w:rsidRPr="00CB21B0" w:rsidRDefault="007920DF" w:rsidP="007920DF">
      <w:pPr>
        <w:pStyle w:val="subsection"/>
      </w:pPr>
      <w:r w:rsidRPr="00CB21B0">
        <w:tab/>
      </w:r>
      <w:r w:rsidRPr="00CB21B0">
        <w:tab/>
        <w:t>For subsection</w:t>
      </w:r>
      <w:r w:rsidR="00CB21B0" w:rsidRPr="00CB21B0">
        <w:t> </w:t>
      </w:r>
      <w:r w:rsidRPr="00CB21B0">
        <w:t>8T(1) of the Code, the chemical products, or classes of chemical products, specified in Schedule</w:t>
      </w:r>
      <w:r w:rsidR="00CB21B0" w:rsidRPr="00CB21B0">
        <w:t> </w:t>
      </w:r>
      <w:r w:rsidRPr="00CB21B0">
        <w:t>3B are listed chemical products for the purposes of the Code.</w:t>
      </w:r>
    </w:p>
    <w:p w:rsidR="007920DF" w:rsidRPr="00CB21B0" w:rsidRDefault="00220E6F" w:rsidP="007920DF">
      <w:pPr>
        <w:pStyle w:val="ItemHead"/>
        <w:rPr>
          <w:rFonts w:cs="Arial"/>
        </w:rPr>
      </w:pPr>
      <w:r w:rsidRPr="00CB21B0">
        <w:rPr>
          <w:rFonts w:cs="Arial"/>
          <w:noProof/>
        </w:rPr>
        <w:t>26</w:t>
      </w:r>
      <w:r w:rsidR="007920DF" w:rsidRPr="00CB21B0">
        <w:rPr>
          <w:rFonts w:cs="Arial"/>
        </w:rPr>
        <w:t xml:space="preserve">  Before Division</w:t>
      </w:r>
      <w:r w:rsidR="00CB21B0" w:rsidRPr="00CB21B0">
        <w:rPr>
          <w:rFonts w:cs="Arial"/>
        </w:rPr>
        <w:t> </w:t>
      </w:r>
      <w:r w:rsidR="007920DF" w:rsidRPr="00CB21B0">
        <w:rPr>
          <w:rFonts w:cs="Arial"/>
        </w:rPr>
        <w:t>2.1</w:t>
      </w:r>
      <w:r w:rsidR="006E7AB7" w:rsidRPr="00CB21B0">
        <w:rPr>
          <w:rFonts w:cs="Arial"/>
        </w:rPr>
        <w:t xml:space="preserve"> of Part</w:t>
      </w:r>
      <w:r w:rsidR="00CB21B0" w:rsidRPr="00CB21B0">
        <w:rPr>
          <w:rFonts w:cs="Arial"/>
        </w:rPr>
        <w:t> </w:t>
      </w:r>
      <w:r w:rsidR="006E7AB7" w:rsidRPr="00CB21B0">
        <w:rPr>
          <w:rFonts w:cs="Arial"/>
        </w:rPr>
        <w:t>2</w:t>
      </w:r>
    </w:p>
    <w:p w:rsidR="007920DF" w:rsidRPr="00CB21B0" w:rsidRDefault="006E7AB7" w:rsidP="007920DF">
      <w:pPr>
        <w:pStyle w:val="Item"/>
      </w:pPr>
      <w:r w:rsidRPr="00CB21B0">
        <w:t>Insert</w:t>
      </w:r>
      <w:r w:rsidR="007920DF" w:rsidRPr="00CB21B0">
        <w:t>:</w:t>
      </w:r>
    </w:p>
    <w:p w:rsidR="007920DF" w:rsidRPr="00CB21B0" w:rsidRDefault="007920DF" w:rsidP="007920DF">
      <w:pPr>
        <w:pStyle w:val="ActHead3"/>
      </w:pPr>
      <w:bookmarkStart w:id="45" w:name="_Toc361055043"/>
      <w:r w:rsidRPr="00CB21B0">
        <w:rPr>
          <w:rStyle w:val="CharDivNo"/>
        </w:rPr>
        <w:t>Division</w:t>
      </w:r>
      <w:r w:rsidR="00CB21B0" w:rsidRPr="00CB21B0">
        <w:rPr>
          <w:rStyle w:val="CharDivNo"/>
        </w:rPr>
        <w:t> </w:t>
      </w:r>
      <w:r w:rsidRPr="00CB21B0">
        <w:rPr>
          <w:rStyle w:val="CharDivNo"/>
        </w:rPr>
        <w:t>2.1A</w:t>
      </w:r>
      <w:r w:rsidRPr="00CB21B0">
        <w:t>—</w:t>
      </w:r>
      <w:r w:rsidRPr="00CB21B0">
        <w:rPr>
          <w:rStyle w:val="CharDivText"/>
        </w:rPr>
        <w:t>Pre</w:t>
      </w:r>
      <w:r w:rsidR="00CB21B0" w:rsidRPr="00CB21B0">
        <w:rPr>
          <w:rStyle w:val="CharDivText"/>
        </w:rPr>
        <w:noBreakHyphen/>
      </w:r>
      <w:r w:rsidRPr="00CB21B0">
        <w:rPr>
          <w:rStyle w:val="CharDivText"/>
        </w:rPr>
        <w:t>application assessments and assistance</w:t>
      </w:r>
      <w:bookmarkEnd w:id="45"/>
    </w:p>
    <w:p w:rsidR="007920DF" w:rsidRPr="00CB21B0" w:rsidRDefault="007920DF" w:rsidP="007920DF">
      <w:pPr>
        <w:pStyle w:val="ActHead5"/>
      </w:pPr>
      <w:bookmarkStart w:id="46" w:name="_Toc361055044"/>
      <w:r w:rsidRPr="00CB21B0">
        <w:rPr>
          <w:rStyle w:val="CharSectno"/>
        </w:rPr>
        <w:t>8</w:t>
      </w:r>
      <w:r w:rsidR="009D07B1" w:rsidRPr="00CB21B0">
        <w:rPr>
          <w:rStyle w:val="CharSectno"/>
        </w:rPr>
        <w:t>A</w:t>
      </w:r>
      <w:r w:rsidR="00176B14" w:rsidRPr="00CB21B0">
        <w:rPr>
          <w:rStyle w:val="CharSectno"/>
        </w:rPr>
        <w:t>S</w:t>
      </w:r>
      <w:r w:rsidRPr="00CB21B0">
        <w:t xml:space="preserve">  APVMA may provide technical assessments</w:t>
      </w:r>
      <w:bookmarkEnd w:id="46"/>
    </w:p>
    <w:p w:rsidR="007920DF" w:rsidRPr="00CB21B0" w:rsidRDefault="007920DF" w:rsidP="007920DF">
      <w:pPr>
        <w:pStyle w:val="subsection"/>
      </w:pPr>
      <w:r w:rsidRPr="00CB21B0">
        <w:tab/>
      </w:r>
      <w:r w:rsidRPr="00CB21B0">
        <w:tab/>
        <w:t xml:space="preserve">If a person applies to the APVMA for an assessment of a technical nature (a </w:t>
      </w:r>
      <w:r w:rsidRPr="00CB21B0">
        <w:rPr>
          <w:b/>
          <w:i/>
        </w:rPr>
        <w:t>technical assessmen</w:t>
      </w:r>
      <w:r w:rsidR="006E7AB7" w:rsidRPr="00CB21B0">
        <w:rPr>
          <w:b/>
          <w:i/>
        </w:rPr>
        <w:t>t</w:t>
      </w:r>
      <w:r w:rsidRPr="00CB21B0">
        <w:t>) before making an application, the APVMA may provide the technical assessment.</w:t>
      </w:r>
    </w:p>
    <w:p w:rsidR="007546BB" w:rsidRPr="00CB21B0" w:rsidRDefault="007920DF" w:rsidP="007546BB">
      <w:pPr>
        <w:pStyle w:val="notetext"/>
      </w:pPr>
      <w:r w:rsidRPr="00CB21B0">
        <w:t>Examples</w:t>
      </w:r>
      <w:r w:rsidR="007546BB" w:rsidRPr="00CB21B0">
        <w:t>:</w:t>
      </w:r>
      <w:r w:rsidR="007546BB" w:rsidRPr="00CB21B0">
        <w:tab/>
      </w:r>
      <w:r w:rsidRPr="00CB21B0">
        <w:t>Assessment of a trial protocol</w:t>
      </w:r>
      <w:r w:rsidR="006E7AB7" w:rsidRPr="00CB21B0">
        <w:t>.</w:t>
      </w:r>
    </w:p>
    <w:p w:rsidR="007920DF" w:rsidRPr="00CB21B0" w:rsidRDefault="007546BB" w:rsidP="007546BB">
      <w:pPr>
        <w:pStyle w:val="notetext"/>
      </w:pPr>
      <w:r w:rsidRPr="00CB21B0">
        <w:tab/>
        <w:t>A</w:t>
      </w:r>
      <w:r w:rsidR="007920DF" w:rsidRPr="00CB21B0">
        <w:t xml:space="preserve">ssessment of data an applicant is considering submitting to the </w:t>
      </w:r>
      <w:r w:rsidR="00DC7ACD" w:rsidRPr="00CB21B0">
        <w:t>APVMA</w:t>
      </w:r>
      <w:r w:rsidR="007920DF" w:rsidRPr="00CB21B0">
        <w:t xml:space="preserve"> as part of a proposed application for registration of a chemical product or approval of an active constituent.</w:t>
      </w:r>
    </w:p>
    <w:p w:rsidR="007920DF" w:rsidRPr="00CB21B0" w:rsidRDefault="007920DF" w:rsidP="007920DF">
      <w:pPr>
        <w:pStyle w:val="notetext"/>
      </w:pPr>
      <w:r w:rsidRPr="00CB21B0">
        <w:t>Note:</w:t>
      </w:r>
      <w:r w:rsidRPr="00CB21B0">
        <w:tab/>
        <w:t>Regulation</w:t>
      </w:r>
      <w:r w:rsidR="00CB21B0" w:rsidRPr="00CB21B0">
        <w:t> </w:t>
      </w:r>
      <w:r w:rsidRPr="00CB21B0">
        <w:t>70 provides for fees for making an application for a technical assessment.</w:t>
      </w:r>
    </w:p>
    <w:p w:rsidR="007920DF" w:rsidRPr="00CB21B0" w:rsidRDefault="007920DF" w:rsidP="007920DF">
      <w:pPr>
        <w:pStyle w:val="ActHead5"/>
      </w:pPr>
      <w:bookmarkStart w:id="47" w:name="_Toc361055045"/>
      <w:r w:rsidRPr="00CB21B0">
        <w:rPr>
          <w:rStyle w:val="CharSectno"/>
        </w:rPr>
        <w:t>8</w:t>
      </w:r>
      <w:r w:rsidR="009D07B1" w:rsidRPr="00CB21B0">
        <w:rPr>
          <w:rStyle w:val="CharSectno"/>
        </w:rPr>
        <w:t>A</w:t>
      </w:r>
      <w:r w:rsidR="00176B14" w:rsidRPr="00CB21B0">
        <w:rPr>
          <w:rStyle w:val="CharSectno"/>
        </w:rPr>
        <w:t>T</w:t>
      </w:r>
      <w:r w:rsidRPr="00CB21B0">
        <w:t xml:space="preserve">  APVMA may provide pre</w:t>
      </w:r>
      <w:r w:rsidR="00CB21B0">
        <w:noBreakHyphen/>
      </w:r>
      <w:r w:rsidRPr="00CB21B0">
        <w:t>application assistance</w:t>
      </w:r>
      <w:bookmarkEnd w:id="47"/>
    </w:p>
    <w:p w:rsidR="007920DF" w:rsidRPr="00CB21B0" w:rsidRDefault="007920DF" w:rsidP="007920DF">
      <w:pPr>
        <w:pStyle w:val="subsection"/>
      </w:pPr>
      <w:r w:rsidRPr="00CB21B0">
        <w:tab/>
        <w:t>(1)</w:t>
      </w:r>
      <w:r w:rsidRPr="00CB21B0">
        <w:tab/>
        <w:t>A person may apply to the APVMA for assistance (</w:t>
      </w:r>
      <w:r w:rsidRPr="00CB21B0">
        <w:rPr>
          <w:b/>
          <w:i/>
        </w:rPr>
        <w:t>pre</w:t>
      </w:r>
      <w:r w:rsidR="00CB21B0">
        <w:rPr>
          <w:b/>
          <w:i/>
        </w:rPr>
        <w:noBreakHyphen/>
      </w:r>
      <w:r w:rsidRPr="00CB21B0">
        <w:rPr>
          <w:b/>
          <w:i/>
        </w:rPr>
        <w:t>application assistance</w:t>
      </w:r>
      <w:r w:rsidRPr="00CB21B0">
        <w:t>) in preparing or making an application to the APVMA under the Code or these Regulations.</w:t>
      </w:r>
    </w:p>
    <w:p w:rsidR="007920DF" w:rsidRPr="00CB21B0" w:rsidRDefault="007920DF" w:rsidP="007920DF">
      <w:pPr>
        <w:pStyle w:val="subsection"/>
      </w:pPr>
      <w:r w:rsidRPr="00CB21B0">
        <w:tab/>
        <w:t>(2)</w:t>
      </w:r>
      <w:r w:rsidRPr="00CB21B0">
        <w:tab/>
        <w:t>If a person makes an application for pre</w:t>
      </w:r>
      <w:r w:rsidR="00CB21B0">
        <w:noBreakHyphen/>
      </w:r>
      <w:r w:rsidRPr="00CB21B0">
        <w:t>application assistance in accordance with subregulation (1), the APVMA may provide the pre</w:t>
      </w:r>
      <w:r w:rsidR="00CB21B0">
        <w:noBreakHyphen/>
      </w:r>
      <w:r w:rsidRPr="00CB21B0">
        <w:t>application assistance.</w:t>
      </w:r>
    </w:p>
    <w:p w:rsidR="007920DF" w:rsidRPr="00CB21B0" w:rsidRDefault="007920DF" w:rsidP="007920DF">
      <w:pPr>
        <w:pStyle w:val="notetext"/>
      </w:pPr>
      <w:r w:rsidRPr="00CB21B0">
        <w:t>Note:</w:t>
      </w:r>
      <w:r w:rsidRPr="00CB21B0">
        <w:tab/>
        <w:t>Regulation</w:t>
      </w:r>
      <w:r w:rsidR="00CB21B0" w:rsidRPr="00CB21B0">
        <w:t> </w:t>
      </w:r>
      <w:r w:rsidRPr="00CB21B0">
        <w:t>69</w:t>
      </w:r>
      <w:r w:rsidR="00567F29" w:rsidRPr="00CB21B0">
        <w:t>B</w:t>
      </w:r>
      <w:r w:rsidRPr="00CB21B0">
        <w:t xml:space="preserve"> prescribes the fees payable for pre</w:t>
      </w:r>
      <w:r w:rsidR="00CB21B0">
        <w:noBreakHyphen/>
      </w:r>
      <w:r w:rsidRPr="00CB21B0">
        <w:t>application assistance.</w:t>
      </w:r>
    </w:p>
    <w:p w:rsidR="007920DF" w:rsidRPr="00CB21B0" w:rsidRDefault="00220E6F" w:rsidP="00D64EE6">
      <w:pPr>
        <w:pStyle w:val="ItemHead"/>
      </w:pPr>
      <w:r w:rsidRPr="00CB21B0">
        <w:rPr>
          <w:noProof/>
        </w:rPr>
        <w:t>27</w:t>
      </w:r>
      <w:r w:rsidR="007920DF" w:rsidRPr="00CB21B0">
        <w:t xml:space="preserve">  Regulation</w:t>
      </w:r>
      <w:r w:rsidR="00CB21B0" w:rsidRPr="00CB21B0">
        <w:t> </w:t>
      </w:r>
      <w:r w:rsidR="007920DF" w:rsidRPr="00CB21B0">
        <w:t>8A</w:t>
      </w:r>
    </w:p>
    <w:p w:rsidR="007920DF" w:rsidRPr="00CB21B0" w:rsidRDefault="007920DF" w:rsidP="007920DF">
      <w:pPr>
        <w:pStyle w:val="Item"/>
      </w:pPr>
      <w:r w:rsidRPr="00CB21B0">
        <w:t>Repeal the regulation.</w:t>
      </w:r>
    </w:p>
    <w:p w:rsidR="007920DF" w:rsidRPr="00CB21B0" w:rsidRDefault="00220E6F" w:rsidP="007920DF">
      <w:pPr>
        <w:pStyle w:val="ItemHead"/>
        <w:rPr>
          <w:rFonts w:cs="Arial"/>
        </w:rPr>
      </w:pPr>
      <w:r w:rsidRPr="00CB21B0">
        <w:rPr>
          <w:rFonts w:cs="Arial"/>
          <w:noProof/>
        </w:rPr>
        <w:lastRenderedPageBreak/>
        <w:t>28</w:t>
      </w:r>
      <w:r w:rsidR="007920DF" w:rsidRPr="00CB21B0">
        <w:rPr>
          <w:rFonts w:cs="Arial"/>
        </w:rPr>
        <w:t xml:space="preserve">  Regulation</w:t>
      </w:r>
      <w:r w:rsidR="00CB21B0" w:rsidRPr="00CB21B0">
        <w:rPr>
          <w:rFonts w:cs="Arial"/>
        </w:rPr>
        <w:t> </w:t>
      </w:r>
      <w:r w:rsidR="007920DF" w:rsidRPr="00CB21B0">
        <w:rPr>
          <w:rFonts w:cs="Arial"/>
        </w:rPr>
        <w:t>8B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48" w:name="_Toc361055046"/>
      <w:r w:rsidRPr="00CB21B0">
        <w:rPr>
          <w:rStyle w:val="CharSectno"/>
        </w:rPr>
        <w:t>8B</w:t>
      </w:r>
      <w:r w:rsidRPr="00CB21B0">
        <w:t xml:space="preserve">  Summaries of applications for active constituents for chemical products</w:t>
      </w:r>
      <w:bookmarkEnd w:id="48"/>
    </w:p>
    <w:p w:rsidR="007920DF" w:rsidRPr="00CB21B0" w:rsidRDefault="00220E6F" w:rsidP="007920DF">
      <w:pPr>
        <w:pStyle w:val="ItemHead"/>
        <w:rPr>
          <w:rFonts w:cs="Arial"/>
        </w:rPr>
      </w:pPr>
      <w:r w:rsidRPr="00CB21B0">
        <w:rPr>
          <w:rFonts w:cs="Arial"/>
          <w:noProof/>
        </w:rPr>
        <w:t>29</w:t>
      </w:r>
      <w:r w:rsidR="007920DF" w:rsidRPr="00CB21B0">
        <w:rPr>
          <w:rFonts w:cs="Arial"/>
        </w:rPr>
        <w:t xml:space="preserve">  Subregulation</w:t>
      </w:r>
      <w:r w:rsidR="00CB21B0" w:rsidRPr="00CB21B0">
        <w:rPr>
          <w:rFonts w:cs="Arial"/>
        </w:rPr>
        <w:t> </w:t>
      </w:r>
      <w:r w:rsidR="007920DF" w:rsidRPr="00CB21B0">
        <w:rPr>
          <w:rFonts w:cs="Arial"/>
        </w:rPr>
        <w:t>8B(1)</w:t>
      </w:r>
    </w:p>
    <w:p w:rsidR="007920DF" w:rsidRPr="00CB21B0" w:rsidRDefault="007920DF" w:rsidP="007920DF">
      <w:pPr>
        <w:pStyle w:val="Item"/>
      </w:pPr>
      <w:r w:rsidRPr="00CB21B0">
        <w:t>Omit “product that is not a companion</w:t>
      </w:r>
      <w:r w:rsidR="008619F1" w:rsidRPr="00CB21B0">
        <w:t xml:space="preserve"> animal</w:t>
      </w:r>
      <w:r w:rsidRPr="00CB21B0">
        <w:t xml:space="preserve"> product”, substitute “product”.</w:t>
      </w:r>
    </w:p>
    <w:p w:rsidR="007920DF" w:rsidRPr="00CB21B0" w:rsidRDefault="00220E6F" w:rsidP="007920DF">
      <w:pPr>
        <w:pStyle w:val="ItemHead"/>
      </w:pPr>
      <w:r w:rsidRPr="00CB21B0">
        <w:t>30</w:t>
      </w:r>
      <w:r w:rsidR="007920DF" w:rsidRPr="00CB21B0">
        <w:t xml:space="preserve">  Subregulation</w:t>
      </w:r>
      <w:r w:rsidR="00CB21B0" w:rsidRPr="00CB21B0">
        <w:t> </w:t>
      </w:r>
      <w:r w:rsidR="007920DF" w:rsidRPr="00CB21B0">
        <w:t>8B(2)</w:t>
      </w:r>
    </w:p>
    <w:p w:rsidR="007920DF" w:rsidRPr="00CB21B0" w:rsidRDefault="007920DF" w:rsidP="007920DF">
      <w:pPr>
        <w:pStyle w:val="Item"/>
      </w:pPr>
      <w:r w:rsidRPr="00CB21B0">
        <w:t>Omit “subregulation</w:t>
      </w:r>
      <w:r w:rsidR="00CB21B0" w:rsidRPr="00CB21B0">
        <w:t> </w:t>
      </w:r>
      <w:r w:rsidRPr="00CB21B0">
        <w:t>11B</w:t>
      </w:r>
      <w:r w:rsidR="006052E2" w:rsidRPr="00CB21B0">
        <w:t xml:space="preserve"> </w:t>
      </w:r>
      <w:r w:rsidRPr="00CB21B0">
        <w:t>(2)”, substitute “paragraph</w:t>
      </w:r>
      <w:r w:rsidR="00CB21B0" w:rsidRPr="00CB21B0">
        <w:t> </w:t>
      </w:r>
      <w:r w:rsidRPr="00CB21B0">
        <w:t>11(2)(b)”.</w:t>
      </w:r>
    </w:p>
    <w:p w:rsidR="007920DF" w:rsidRPr="00CB21B0" w:rsidRDefault="00220E6F" w:rsidP="007920DF">
      <w:pPr>
        <w:pStyle w:val="ItemHead"/>
      </w:pPr>
      <w:r w:rsidRPr="00CB21B0">
        <w:t>31</w:t>
      </w:r>
      <w:r w:rsidR="007920DF" w:rsidRPr="00CB21B0">
        <w:t xml:space="preserve">  Paragraph 8B(2)(g)</w:t>
      </w:r>
    </w:p>
    <w:p w:rsidR="007920DF" w:rsidRPr="00CB21B0" w:rsidRDefault="007920DF" w:rsidP="007920DF">
      <w:pPr>
        <w:pStyle w:val="Item"/>
      </w:pPr>
      <w:r w:rsidRPr="00CB21B0">
        <w:t>Omit “details set out in subregulation (3)”, substitute “application information details for the item of information”.</w:t>
      </w:r>
    </w:p>
    <w:p w:rsidR="007920DF" w:rsidRPr="00CB21B0" w:rsidRDefault="00220E6F" w:rsidP="007920DF">
      <w:pPr>
        <w:pStyle w:val="ItemHead"/>
      </w:pPr>
      <w:r w:rsidRPr="00CB21B0">
        <w:t>32</w:t>
      </w:r>
      <w:r w:rsidR="007920DF" w:rsidRPr="00CB21B0">
        <w:t xml:space="preserve">  Subregulation</w:t>
      </w:r>
      <w:r w:rsidR="00CB21B0" w:rsidRPr="00CB21B0">
        <w:t> </w:t>
      </w:r>
      <w:r w:rsidR="007920DF" w:rsidRPr="00CB21B0">
        <w:t>8B(3)</w:t>
      </w:r>
    </w:p>
    <w:p w:rsidR="007920DF" w:rsidRPr="00CB21B0" w:rsidRDefault="007920DF" w:rsidP="007920DF">
      <w:pPr>
        <w:pStyle w:val="Item"/>
      </w:pPr>
      <w:r w:rsidRPr="00CB21B0">
        <w:t>Repeal the subregulation.</w:t>
      </w:r>
    </w:p>
    <w:p w:rsidR="007920DF" w:rsidRPr="00CB21B0" w:rsidRDefault="00220E6F" w:rsidP="007920DF">
      <w:pPr>
        <w:pStyle w:val="ItemHead"/>
        <w:rPr>
          <w:rFonts w:cs="Arial"/>
        </w:rPr>
      </w:pPr>
      <w:r w:rsidRPr="00CB21B0">
        <w:rPr>
          <w:rFonts w:cs="Arial"/>
        </w:rPr>
        <w:t>33</w:t>
      </w:r>
      <w:r w:rsidR="007920DF" w:rsidRPr="00CB21B0">
        <w:rPr>
          <w:rFonts w:cs="Arial"/>
        </w:rPr>
        <w:t xml:space="preserve">  Regulation</w:t>
      </w:r>
      <w:r w:rsidR="00CB21B0" w:rsidRPr="00CB21B0">
        <w:rPr>
          <w:rFonts w:cs="Arial"/>
        </w:rPr>
        <w:t> </w:t>
      </w:r>
      <w:r w:rsidR="007920DF" w:rsidRPr="00CB21B0">
        <w:rPr>
          <w:rFonts w:cs="Arial"/>
        </w:rPr>
        <w:t>8C</w:t>
      </w:r>
    </w:p>
    <w:p w:rsidR="007920DF" w:rsidRPr="00CB21B0" w:rsidRDefault="007920DF" w:rsidP="007920DF">
      <w:pPr>
        <w:pStyle w:val="Item"/>
      </w:pPr>
      <w:r w:rsidRPr="00CB21B0">
        <w:t>Repeal the regulation.</w:t>
      </w:r>
    </w:p>
    <w:p w:rsidR="007920DF" w:rsidRPr="00CB21B0" w:rsidRDefault="00220E6F" w:rsidP="007920DF">
      <w:pPr>
        <w:pStyle w:val="ItemHead"/>
        <w:rPr>
          <w:rFonts w:cs="Arial"/>
        </w:rPr>
      </w:pPr>
      <w:r w:rsidRPr="00CB21B0">
        <w:rPr>
          <w:rFonts w:cs="Arial"/>
        </w:rPr>
        <w:t>34</w:t>
      </w:r>
      <w:r w:rsidR="007920DF" w:rsidRPr="00CB21B0">
        <w:rPr>
          <w:rFonts w:cs="Arial"/>
        </w:rPr>
        <w:t xml:space="preserve">  Regulation</w:t>
      </w:r>
      <w:r w:rsidR="00CB21B0" w:rsidRPr="00CB21B0">
        <w:rPr>
          <w:rFonts w:cs="Arial"/>
        </w:rPr>
        <w:t> </w:t>
      </w:r>
      <w:r w:rsidR="007920DF" w:rsidRPr="00CB21B0">
        <w:rPr>
          <w:rFonts w:cs="Arial"/>
        </w:rPr>
        <w:t>8D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49" w:name="_Toc361055047"/>
      <w:r w:rsidRPr="00CB21B0">
        <w:rPr>
          <w:rStyle w:val="CharSectno"/>
        </w:rPr>
        <w:t>8D</w:t>
      </w:r>
      <w:r w:rsidRPr="00CB21B0">
        <w:t xml:space="preserve">  Summaries of applications for chemical product</w:t>
      </w:r>
      <w:r w:rsidR="00402E60" w:rsidRPr="00CB21B0">
        <w:t>s</w:t>
      </w:r>
      <w:r w:rsidRPr="00CB21B0">
        <w:t xml:space="preserve"> that </w:t>
      </w:r>
      <w:r w:rsidR="00402E60" w:rsidRPr="00CB21B0">
        <w:t>are</w:t>
      </w:r>
      <w:r w:rsidRPr="00CB21B0">
        <w:t xml:space="preserve"> not </w:t>
      </w:r>
      <w:r w:rsidR="00402E60" w:rsidRPr="00CB21B0">
        <w:t>the same as a registered chemical product</w:t>
      </w:r>
      <w:bookmarkEnd w:id="49"/>
    </w:p>
    <w:p w:rsidR="007920DF" w:rsidRPr="00CB21B0" w:rsidRDefault="00220E6F" w:rsidP="007920DF">
      <w:pPr>
        <w:pStyle w:val="ItemHead"/>
        <w:rPr>
          <w:rFonts w:cs="Arial"/>
        </w:rPr>
      </w:pPr>
      <w:r w:rsidRPr="00CB21B0">
        <w:rPr>
          <w:rFonts w:cs="Arial"/>
        </w:rPr>
        <w:t>35</w:t>
      </w:r>
      <w:r w:rsidR="007920DF" w:rsidRPr="00CB21B0">
        <w:rPr>
          <w:rFonts w:cs="Arial"/>
        </w:rPr>
        <w:t xml:space="preserve">  Paragraph 8D(1)(a)</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(a)</w:t>
      </w:r>
      <w:r w:rsidRPr="00CB21B0">
        <w:tab/>
        <w:t>registration of a chemical product that is not a chemical product mentioned in paragraph</w:t>
      </w:r>
      <w:r w:rsidR="00CB21B0" w:rsidRPr="00CB21B0">
        <w:t> </w:t>
      </w:r>
      <w:r w:rsidRPr="00CB21B0">
        <w:t>8E(1)(a); or</w:t>
      </w:r>
    </w:p>
    <w:p w:rsidR="007920DF" w:rsidRPr="00CB21B0" w:rsidRDefault="00220E6F" w:rsidP="007920DF">
      <w:pPr>
        <w:pStyle w:val="ItemHead"/>
      </w:pPr>
      <w:r w:rsidRPr="00CB21B0">
        <w:t>36</w:t>
      </w:r>
      <w:r w:rsidR="007920DF" w:rsidRPr="00CB21B0">
        <w:t xml:space="preserve">  Subregulation</w:t>
      </w:r>
      <w:r w:rsidR="00CB21B0" w:rsidRPr="00CB21B0">
        <w:t> </w:t>
      </w:r>
      <w:r w:rsidR="007920DF" w:rsidRPr="00CB21B0">
        <w:t>8D(2)</w:t>
      </w:r>
    </w:p>
    <w:p w:rsidR="007920DF" w:rsidRPr="00CB21B0" w:rsidRDefault="007920DF" w:rsidP="007920DF">
      <w:pPr>
        <w:pStyle w:val="Item"/>
      </w:pPr>
      <w:r w:rsidRPr="00CB21B0">
        <w:t>Omit “subsection</w:t>
      </w:r>
      <w:r w:rsidR="00CB21B0" w:rsidRPr="00CB21B0">
        <w:t> </w:t>
      </w:r>
      <w:r w:rsidRPr="00CB21B0">
        <w:t>11B (2)”, substitute “paragraph</w:t>
      </w:r>
      <w:r w:rsidR="00CB21B0" w:rsidRPr="00CB21B0">
        <w:t> </w:t>
      </w:r>
      <w:r w:rsidRPr="00CB21B0">
        <w:t>11(2)(b)”.</w:t>
      </w:r>
    </w:p>
    <w:p w:rsidR="007920DF" w:rsidRPr="00CB21B0" w:rsidRDefault="00220E6F" w:rsidP="007920DF">
      <w:pPr>
        <w:pStyle w:val="ItemHead"/>
      </w:pPr>
      <w:r w:rsidRPr="00CB21B0">
        <w:lastRenderedPageBreak/>
        <w:t>37</w:t>
      </w:r>
      <w:r w:rsidR="007920DF" w:rsidRPr="00CB21B0">
        <w:t xml:space="preserve">  Paragraph 8D(2)(i)</w:t>
      </w:r>
    </w:p>
    <w:p w:rsidR="007920DF" w:rsidRPr="00CB21B0" w:rsidRDefault="007920DF" w:rsidP="007920DF">
      <w:pPr>
        <w:pStyle w:val="Item"/>
      </w:pPr>
      <w:r w:rsidRPr="00CB21B0">
        <w:t>Omit “details set out in subregulation (3)”, substitute “application information details for the item of information”.</w:t>
      </w:r>
    </w:p>
    <w:p w:rsidR="001B6137" w:rsidRPr="00CB21B0" w:rsidRDefault="00220E6F" w:rsidP="001B6137">
      <w:pPr>
        <w:pStyle w:val="ItemHead"/>
      </w:pPr>
      <w:r w:rsidRPr="00CB21B0">
        <w:t>38</w:t>
      </w:r>
      <w:r w:rsidR="001B6137" w:rsidRPr="00CB21B0">
        <w:t xml:space="preserve">  Subregulation</w:t>
      </w:r>
      <w:r w:rsidR="00CB21B0" w:rsidRPr="00CB21B0">
        <w:t> </w:t>
      </w:r>
      <w:r w:rsidR="001B6137" w:rsidRPr="00CB21B0">
        <w:t>8D(3)</w:t>
      </w:r>
    </w:p>
    <w:p w:rsidR="001B6137" w:rsidRPr="00CB21B0" w:rsidRDefault="001B6137" w:rsidP="001B6137">
      <w:pPr>
        <w:pStyle w:val="Item"/>
      </w:pPr>
      <w:r w:rsidRPr="00CB21B0">
        <w:t>Repeal the subregulation.</w:t>
      </w:r>
    </w:p>
    <w:p w:rsidR="00402E60" w:rsidRPr="00CB21B0" w:rsidRDefault="00220E6F" w:rsidP="00402E60">
      <w:pPr>
        <w:pStyle w:val="ItemHead"/>
      </w:pPr>
      <w:r w:rsidRPr="00CB21B0">
        <w:t>39</w:t>
      </w:r>
      <w:r w:rsidR="00402E60" w:rsidRPr="00CB21B0">
        <w:t xml:space="preserve">  Regulation</w:t>
      </w:r>
      <w:r w:rsidR="00CB21B0" w:rsidRPr="00CB21B0">
        <w:t> </w:t>
      </w:r>
      <w:r w:rsidR="00402E60" w:rsidRPr="00CB21B0">
        <w:t>8E (heading)</w:t>
      </w:r>
    </w:p>
    <w:p w:rsidR="00402E60" w:rsidRPr="00CB21B0" w:rsidRDefault="00402E60" w:rsidP="00402E60">
      <w:pPr>
        <w:pStyle w:val="Item"/>
      </w:pPr>
      <w:r w:rsidRPr="00CB21B0">
        <w:t>Repeal the heading, substitute:</w:t>
      </w:r>
    </w:p>
    <w:p w:rsidR="00402E60" w:rsidRPr="00CB21B0" w:rsidRDefault="00402E60" w:rsidP="00402E60">
      <w:pPr>
        <w:pStyle w:val="ActHead5"/>
      </w:pPr>
      <w:bookmarkStart w:id="50" w:name="_Toc361055048"/>
      <w:r w:rsidRPr="00CB21B0">
        <w:rPr>
          <w:rStyle w:val="CharSectno"/>
        </w:rPr>
        <w:t>8E</w:t>
      </w:r>
      <w:r w:rsidRPr="00CB21B0">
        <w:t xml:space="preserve">  Summaries of applications for chemical products that are the same as a registered chemical product</w:t>
      </w:r>
      <w:bookmarkEnd w:id="50"/>
    </w:p>
    <w:p w:rsidR="007920DF" w:rsidRPr="00CB21B0" w:rsidRDefault="00220E6F" w:rsidP="007920DF">
      <w:pPr>
        <w:pStyle w:val="ItemHead"/>
      </w:pPr>
      <w:r w:rsidRPr="00CB21B0">
        <w:t>40</w:t>
      </w:r>
      <w:r w:rsidR="007920DF" w:rsidRPr="00CB21B0">
        <w:t xml:space="preserve">  Subdivision</w:t>
      </w:r>
      <w:r w:rsidR="00CB21B0" w:rsidRPr="00CB21B0">
        <w:t> </w:t>
      </w:r>
      <w:r w:rsidR="007920DF" w:rsidRPr="00CB21B0">
        <w:t>2.1.2</w:t>
      </w:r>
    </w:p>
    <w:p w:rsidR="007920DF" w:rsidRPr="00CB21B0" w:rsidRDefault="007920DF" w:rsidP="007920DF">
      <w:pPr>
        <w:pStyle w:val="Item"/>
      </w:pPr>
      <w:r w:rsidRPr="00CB21B0">
        <w:t>Repeal the Subdivision.</w:t>
      </w:r>
    </w:p>
    <w:p w:rsidR="007920DF" w:rsidRPr="00CB21B0" w:rsidRDefault="00220E6F" w:rsidP="007920DF">
      <w:pPr>
        <w:pStyle w:val="ItemHead"/>
      </w:pPr>
      <w:r w:rsidRPr="00CB21B0">
        <w:t>41</w:t>
      </w:r>
      <w:r w:rsidR="007920DF" w:rsidRPr="00CB21B0">
        <w:t xml:space="preserve">  Subregulation</w:t>
      </w:r>
      <w:r w:rsidR="00CB21B0" w:rsidRPr="00CB21B0">
        <w:t> </w:t>
      </w:r>
      <w:r w:rsidR="007920DF" w:rsidRPr="00CB21B0">
        <w:t>15(1)</w:t>
      </w:r>
    </w:p>
    <w:p w:rsidR="007920DF" w:rsidRPr="00CB21B0" w:rsidRDefault="007920DF" w:rsidP="007920DF">
      <w:pPr>
        <w:pStyle w:val="Item"/>
      </w:pPr>
      <w:r w:rsidRPr="00CB21B0">
        <w:t>Omit “19 (2) (a)”, substitute “19(1)(c)”.</w:t>
      </w:r>
    </w:p>
    <w:p w:rsidR="007920DF" w:rsidRPr="00CB21B0" w:rsidRDefault="00220E6F" w:rsidP="007920DF">
      <w:pPr>
        <w:pStyle w:val="ItemHead"/>
      </w:pPr>
      <w:r w:rsidRPr="00CB21B0">
        <w:t>42</w:t>
      </w:r>
      <w:r w:rsidR="007920DF" w:rsidRPr="00CB21B0">
        <w:t xml:space="preserve">  Paragraph 15(1)(c)</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(c)</w:t>
      </w:r>
      <w:r w:rsidRPr="00CB21B0">
        <w:tab/>
        <w:t>the name of the active constituent;</w:t>
      </w:r>
    </w:p>
    <w:p w:rsidR="007920DF" w:rsidRPr="00CB21B0" w:rsidRDefault="00220E6F" w:rsidP="007920DF">
      <w:pPr>
        <w:pStyle w:val="ItemHead"/>
      </w:pPr>
      <w:r w:rsidRPr="00CB21B0">
        <w:t>43</w:t>
      </w:r>
      <w:r w:rsidR="007920DF" w:rsidRPr="00CB21B0">
        <w:t xml:space="preserve">  Paragraph 15(1)(g)</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(g)</w:t>
      </w:r>
      <w:r w:rsidRPr="00CB21B0">
        <w:tab/>
        <w:t xml:space="preserve"> identifying information for the holder of the approval of the active constituent;</w:t>
      </w:r>
    </w:p>
    <w:p w:rsidR="007920DF" w:rsidRPr="00CB21B0" w:rsidRDefault="00220E6F" w:rsidP="007920DF">
      <w:pPr>
        <w:pStyle w:val="ItemHead"/>
      </w:pPr>
      <w:r w:rsidRPr="00CB21B0">
        <w:t>44</w:t>
      </w:r>
      <w:r w:rsidR="007920DF" w:rsidRPr="00CB21B0">
        <w:t xml:space="preserve">  Paragraph 15(1)(j)</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(j)</w:t>
      </w:r>
      <w:r w:rsidRPr="00CB21B0">
        <w:tab/>
        <w:t>identifying information for any nominated agent for the approval.</w:t>
      </w:r>
    </w:p>
    <w:p w:rsidR="007920DF" w:rsidRPr="00CB21B0" w:rsidRDefault="00220E6F" w:rsidP="007920DF">
      <w:pPr>
        <w:pStyle w:val="ItemHead"/>
      </w:pPr>
      <w:r w:rsidRPr="00CB21B0">
        <w:t>45</w:t>
      </w:r>
      <w:r w:rsidR="007920DF" w:rsidRPr="00CB21B0">
        <w:t xml:space="preserve">  Regulation</w:t>
      </w:r>
      <w:r w:rsidR="00CB21B0" w:rsidRPr="00CB21B0">
        <w:t> </w:t>
      </w:r>
      <w:r w:rsidR="007920DF" w:rsidRPr="00CB21B0">
        <w:t>16</w:t>
      </w:r>
    </w:p>
    <w:p w:rsidR="007920DF" w:rsidRPr="00CB21B0" w:rsidRDefault="007920DF" w:rsidP="007920DF">
      <w:pPr>
        <w:pStyle w:val="Item"/>
      </w:pPr>
      <w:r w:rsidRPr="00CB21B0">
        <w:t>Omit “20 (2) (a)”, substitute “20(1)(c)”.</w:t>
      </w:r>
    </w:p>
    <w:p w:rsidR="007920DF" w:rsidRPr="00CB21B0" w:rsidRDefault="00220E6F" w:rsidP="007920DF">
      <w:pPr>
        <w:pStyle w:val="ItemHead"/>
      </w:pPr>
      <w:r w:rsidRPr="00CB21B0">
        <w:lastRenderedPageBreak/>
        <w:t>46</w:t>
      </w:r>
      <w:r w:rsidR="007920DF" w:rsidRPr="00CB21B0">
        <w:t xml:space="preserve">  Paragraph 16(a)</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(a)</w:t>
      </w:r>
      <w:r w:rsidRPr="00CB21B0">
        <w:tab/>
        <w:t>the distinguishing name of the chemical product;</w:t>
      </w:r>
    </w:p>
    <w:p w:rsidR="007B2DE5" w:rsidRPr="00CB21B0" w:rsidRDefault="00220E6F" w:rsidP="007B2DE5">
      <w:pPr>
        <w:pStyle w:val="ItemHead"/>
        <w:rPr>
          <w:rFonts w:cs="Arial"/>
        </w:rPr>
      </w:pPr>
      <w:r w:rsidRPr="00CB21B0">
        <w:rPr>
          <w:rFonts w:cs="Arial"/>
        </w:rPr>
        <w:t>47</w:t>
      </w:r>
      <w:r w:rsidR="007B2DE5" w:rsidRPr="00CB21B0">
        <w:rPr>
          <w:rFonts w:cs="Arial"/>
        </w:rPr>
        <w:t xml:space="preserve">  After paragraph</w:t>
      </w:r>
      <w:r w:rsidR="00CB21B0" w:rsidRPr="00CB21B0">
        <w:rPr>
          <w:rFonts w:cs="Arial"/>
        </w:rPr>
        <w:t> </w:t>
      </w:r>
      <w:r w:rsidR="007B2DE5" w:rsidRPr="00CB21B0">
        <w:rPr>
          <w:rFonts w:cs="Arial"/>
        </w:rPr>
        <w:t>16(d)</w:t>
      </w:r>
    </w:p>
    <w:p w:rsidR="007B2DE5" w:rsidRPr="00CB21B0" w:rsidRDefault="007B2DE5" w:rsidP="007B2DE5">
      <w:pPr>
        <w:pStyle w:val="Item"/>
      </w:pPr>
      <w:r w:rsidRPr="00CB21B0">
        <w:t>Insert:</w:t>
      </w:r>
    </w:p>
    <w:p w:rsidR="007B2DE5" w:rsidRPr="00CB21B0" w:rsidRDefault="007B2DE5" w:rsidP="007B2DE5">
      <w:pPr>
        <w:pStyle w:val="paragraph"/>
      </w:pPr>
      <w:r w:rsidRPr="00CB21B0">
        <w:tab/>
        <w:t>(da)</w:t>
      </w:r>
      <w:r w:rsidRPr="00CB21B0">
        <w:tab/>
        <w:t>the formulation type for the chemical product;</w:t>
      </w:r>
    </w:p>
    <w:p w:rsidR="007B2DE5" w:rsidRPr="00CB21B0" w:rsidRDefault="007B2DE5" w:rsidP="007B2DE5">
      <w:pPr>
        <w:pStyle w:val="paragraph"/>
      </w:pPr>
      <w:r w:rsidRPr="00CB21B0">
        <w:tab/>
        <w:t>(db)</w:t>
      </w:r>
      <w:r w:rsidRPr="00CB21B0">
        <w:tab/>
        <w:t>the net contents for the chemical product;</w:t>
      </w:r>
    </w:p>
    <w:p w:rsidR="007920DF" w:rsidRPr="00CB21B0" w:rsidRDefault="00220E6F" w:rsidP="007920DF">
      <w:pPr>
        <w:pStyle w:val="ItemHead"/>
      </w:pPr>
      <w:r w:rsidRPr="00CB21B0">
        <w:t>48</w:t>
      </w:r>
      <w:r w:rsidR="007920DF" w:rsidRPr="00CB21B0">
        <w:t xml:space="preserve">  Paragraph 16(e)</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(e)</w:t>
      </w:r>
      <w:r w:rsidRPr="00CB21B0">
        <w:tab/>
        <w:t>identifying information for the holder of the registration of the chemical product;</w:t>
      </w:r>
    </w:p>
    <w:p w:rsidR="007920DF" w:rsidRPr="00CB21B0" w:rsidRDefault="00220E6F" w:rsidP="007920DF">
      <w:pPr>
        <w:pStyle w:val="ItemHead"/>
      </w:pPr>
      <w:r w:rsidRPr="00CB21B0">
        <w:t>49</w:t>
      </w:r>
      <w:r w:rsidR="007920DF" w:rsidRPr="00CB21B0">
        <w:t xml:space="preserve">  Paragraph 16(k)</w:t>
      </w:r>
    </w:p>
    <w:p w:rsidR="007920DF" w:rsidRPr="00CB21B0" w:rsidRDefault="007920DF" w:rsidP="007920DF">
      <w:pPr>
        <w:pStyle w:val="Item"/>
      </w:pPr>
      <w:r w:rsidRPr="00CB21B0">
        <w:t>Repeal the paragraph, substitute:</w:t>
      </w:r>
    </w:p>
    <w:p w:rsidR="007920DF" w:rsidRPr="00CB21B0" w:rsidRDefault="007920DF" w:rsidP="007920DF">
      <w:pPr>
        <w:pStyle w:val="paragraph"/>
      </w:pPr>
      <w:r w:rsidRPr="00CB21B0">
        <w:tab/>
        <w:t>(k)</w:t>
      </w:r>
      <w:r w:rsidRPr="00CB21B0">
        <w:tab/>
        <w:t>identifying information for any nominated agent for the registration.</w:t>
      </w:r>
    </w:p>
    <w:p w:rsidR="007920DF" w:rsidRPr="00CB21B0" w:rsidRDefault="00220E6F" w:rsidP="007920DF">
      <w:pPr>
        <w:pStyle w:val="ItemHead"/>
      </w:pPr>
      <w:r w:rsidRPr="00CB21B0">
        <w:t>50</w:t>
      </w:r>
      <w:r w:rsidR="007920DF" w:rsidRPr="00CB21B0">
        <w:t xml:space="preserve">  Subregulation</w:t>
      </w:r>
      <w:r w:rsidR="00CB21B0" w:rsidRPr="00CB21B0">
        <w:t> </w:t>
      </w:r>
      <w:r w:rsidR="007920DF" w:rsidRPr="00CB21B0">
        <w:t>17(1)</w:t>
      </w:r>
    </w:p>
    <w:p w:rsidR="007920DF" w:rsidRPr="00CB21B0" w:rsidRDefault="007920DF" w:rsidP="007920DF">
      <w:pPr>
        <w:pStyle w:val="Item"/>
      </w:pPr>
      <w:r w:rsidRPr="00CB21B0">
        <w:t>Omit “21 (2) (a)”, substitute “21(a)”.</w:t>
      </w:r>
    </w:p>
    <w:p w:rsidR="007920DF" w:rsidRPr="00CB21B0" w:rsidRDefault="00220E6F" w:rsidP="007920DF">
      <w:pPr>
        <w:pStyle w:val="ItemHead"/>
      </w:pPr>
      <w:r w:rsidRPr="00CB21B0">
        <w:t>51</w:t>
      </w:r>
      <w:r w:rsidR="007920DF" w:rsidRPr="00CB21B0">
        <w:t xml:space="preserve">  Paragraph 17(1)(b)</w:t>
      </w:r>
    </w:p>
    <w:p w:rsidR="007920DF" w:rsidRPr="00CB21B0" w:rsidRDefault="007920DF" w:rsidP="007920DF">
      <w:pPr>
        <w:pStyle w:val="Item"/>
      </w:pPr>
      <w:r w:rsidRPr="00CB21B0">
        <w:t>Before “name”, insert “distinguishing”.</w:t>
      </w:r>
    </w:p>
    <w:p w:rsidR="007920DF" w:rsidRPr="00CB21B0" w:rsidRDefault="00220E6F" w:rsidP="007920DF">
      <w:pPr>
        <w:pStyle w:val="ItemHead"/>
      </w:pPr>
      <w:r w:rsidRPr="00CB21B0">
        <w:t>52</w:t>
      </w:r>
      <w:r w:rsidR="007920DF" w:rsidRPr="00CB21B0">
        <w:t xml:space="preserve">  Paragraph</w:t>
      </w:r>
      <w:r w:rsidR="007B2DE5" w:rsidRPr="00CB21B0">
        <w:t>s</w:t>
      </w:r>
      <w:r w:rsidR="007920DF" w:rsidRPr="00CB21B0">
        <w:t xml:space="preserve"> 17(1)(</w:t>
      </w:r>
      <w:r w:rsidR="007B2DE5" w:rsidRPr="00CB21B0">
        <w:t>g) and (</w:t>
      </w:r>
      <w:r w:rsidR="007920DF" w:rsidRPr="00CB21B0">
        <w:t>i)</w:t>
      </w:r>
    </w:p>
    <w:p w:rsidR="007920DF" w:rsidRPr="00CB21B0" w:rsidRDefault="007920DF" w:rsidP="007920DF">
      <w:pPr>
        <w:pStyle w:val="Item"/>
      </w:pPr>
      <w:r w:rsidRPr="00CB21B0">
        <w:t>Repeal the paragraph</w:t>
      </w:r>
      <w:r w:rsidR="007B2DE5" w:rsidRPr="00CB21B0">
        <w:t>s</w:t>
      </w:r>
      <w:r w:rsidRPr="00CB21B0">
        <w:t>.</w:t>
      </w:r>
    </w:p>
    <w:p w:rsidR="007920DF" w:rsidRPr="00CB21B0" w:rsidRDefault="00220E6F" w:rsidP="007920DF">
      <w:pPr>
        <w:pStyle w:val="ItemHead"/>
      </w:pPr>
      <w:r w:rsidRPr="00CB21B0">
        <w:t>53</w:t>
      </w:r>
      <w:r w:rsidR="007920DF" w:rsidRPr="00CB21B0">
        <w:t xml:space="preserve">  Paragraph 17(1)(j)</w:t>
      </w:r>
    </w:p>
    <w:p w:rsidR="007920DF" w:rsidRPr="00CB21B0" w:rsidRDefault="009157CF" w:rsidP="007920DF">
      <w:pPr>
        <w:pStyle w:val="Item"/>
      </w:pPr>
      <w:r w:rsidRPr="00CB21B0">
        <w:t>After</w:t>
      </w:r>
      <w:r w:rsidR="007920DF" w:rsidRPr="00CB21B0">
        <w:t xml:space="preserve"> “the APVMA”, insert “</w:t>
      </w:r>
      <w:r w:rsidRPr="00CB21B0">
        <w:t>CEO</w:t>
      </w:r>
      <w:r w:rsidR="007920DF" w:rsidRPr="00CB21B0">
        <w:t>”.</w:t>
      </w:r>
    </w:p>
    <w:p w:rsidR="007920DF" w:rsidRPr="00CB21B0" w:rsidRDefault="00220E6F" w:rsidP="007920DF">
      <w:pPr>
        <w:pStyle w:val="ItemHead"/>
      </w:pPr>
      <w:r w:rsidRPr="00CB21B0">
        <w:t>54</w:t>
      </w:r>
      <w:r w:rsidR="007920DF" w:rsidRPr="00CB21B0">
        <w:t xml:space="preserve">  Subregulation</w:t>
      </w:r>
      <w:r w:rsidR="00CB21B0" w:rsidRPr="00CB21B0">
        <w:t> </w:t>
      </w:r>
      <w:r w:rsidR="007920DF" w:rsidRPr="00CB21B0">
        <w:t>17(1) (note)</w:t>
      </w:r>
    </w:p>
    <w:p w:rsidR="007920DF" w:rsidRPr="00CB21B0" w:rsidRDefault="007920DF" w:rsidP="007920DF">
      <w:pPr>
        <w:pStyle w:val="Item"/>
      </w:pPr>
      <w:r w:rsidRPr="00CB21B0">
        <w:t>Repeal the note.</w:t>
      </w:r>
    </w:p>
    <w:p w:rsidR="007920DF" w:rsidRPr="00CB21B0" w:rsidRDefault="00220E6F" w:rsidP="007920DF">
      <w:pPr>
        <w:pStyle w:val="ItemHead"/>
      </w:pPr>
      <w:r w:rsidRPr="00CB21B0">
        <w:t>55</w:t>
      </w:r>
      <w:r w:rsidR="007920DF" w:rsidRPr="00CB21B0">
        <w:t xml:space="preserve">  Subregulation</w:t>
      </w:r>
      <w:r w:rsidR="00CB21B0" w:rsidRPr="00CB21B0">
        <w:t> </w:t>
      </w:r>
      <w:r w:rsidR="007920DF" w:rsidRPr="00CB21B0">
        <w:t>17(2)</w:t>
      </w:r>
    </w:p>
    <w:p w:rsidR="007920DF" w:rsidRPr="00CB21B0" w:rsidRDefault="009157CF" w:rsidP="007920DF">
      <w:pPr>
        <w:pStyle w:val="Item"/>
      </w:pPr>
      <w:r w:rsidRPr="00CB21B0">
        <w:t>After</w:t>
      </w:r>
      <w:r w:rsidR="007920DF" w:rsidRPr="00CB21B0">
        <w:t xml:space="preserve"> “the APVMA”, insert “</w:t>
      </w:r>
      <w:r w:rsidRPr="00CB21B0">
        <w:t>CEO</w:t>
      </w:r>
      <w:r w:rsidR="007920DF" w:rsidRPr="00CB21B0">
        <w:t>”.</w:t>
      </w:r>
    </w:p>
    <w:p w:rsidR="007920DF" w:rsidRPr="00CB21B0" w:rsidRDefault="00220E6F" w:rsidP="007920DF">
      <w:pPr>
        <w:pStyle w:val="ItemHead"/>
      </w:pPr>
      <w:r w:rsidRPr="00CB21B0">
        <w:lastRenderedPageBreak/>
        <w:t>56</w:t>
      </w:r>
      <w:r w:rsidR="007920DF" w:rsidRPr="00CB21B0">
        <w:t xml:space="preserve">  A</w:t>
      </w:r>
      <w:r w:rsidR="00670ABC" w:rsidRPr="00CB21B0">
        <w:t xml:space="preserve">t the end of </w:t>
      </w:r>
      <w:r w:rsidR="007920DF" w:rsidRPr="00CB21B0">
        <w:t>regulation</w:t>
      </w:r>
      <w:r w:rsidR="00CB21B0" w:rsidRPr="00CB21B0">
        <w:t> </w:t>
      </w:r>
      <w:r w:rsidR="007920DF" w:rsidRPr="00CB21B0">
        <w:t>17</w:t>
      </w:r>
    </w:p>
    <w:p w:rsidR="007920DF" w:rsidRPr="00CB21B0" w:rsidRDefault="007920DF" w:rsidP="007920DF">
      <w:pPr>
        <w:pStyle w:val="Item"/>
      </w:pPr>
      <w:r w:rsidRPr="00CB21B0">
        <w:t>Add:</w:t>
      </w:r>
    </w:p>
    <w:p w:rsidR="007920DF" w:rsidRPr="00CB21B0" w:rsidRDefault="007920DF" w:rsidP="007920DF">
      <w:pPr>
        <w:pStyle w:val="subsection"/>
      </w:pPr>
      <w:r w:rsidRPr="00CB21B0">
        <w:tab/>
        <w:t>(3)</w:t>
      </w:r>
      <w:r w:rsidRPr="00CB21B0">
        <w:tab/>
        <w:t>For sub</w:t>
      </w:r>
      <w:r w:rsidR="003A3701" w:rsidRPr="00CB21B0">
        <w:t>paragraph</w:t>
      </w:r>
      <w:r w:rsidR="00CB21B0" w:rsidRPr="00CB21B0">
        <w:t> </w:t>
      </w:r>
      <w:r w:rsidR="008619F1" w:rsidRPr="00CB21B0">
        <w:t xml:space="preserve">21(c)(iva) </w:t>
      </w:r>
      <w:r w:rsidRPr="00CB21B0">
        <w:t>of the Code, the following information is prescribed</w:t>
      </w:r>
      <w:r w:rsidR="00AE41B7" w:rsidRPr="00CB21B0">
        <w:t xml:space="preserve"> in relation to the approval of a label for a chemical product</w:t>
      </w:r>
      <w:r w:rsidR="007B2DE5" w:rsidRPr="00CB21B0">
        <w:t xml:space="preserve">, unless the information </w:t>
      </w:r>
      <w:r w:rsidR="00AE41B7" w:rsidRPr="00CB21B0">
        <w:t>has already been recorded for the approval of the label as part of the registration of the chemical product</w:t>
      </w:r>
      <w:r w:rsidRPr="00CB21B0">
        <w:t>:</w:t>
      </w:r>
    </w:p>
    <w:p w:rsidR="007920DF" w:rsidRPr="00CB21B0" w:rsidRDefault="007920DF" w:rsidP="007920DF">
      <w:pPr>
        <w:pStyle w:val="paragraph"/>
      </w:pPr>
      <w:r w:rsidRPr="00CB21B0">
        <w:tab/>
        <w:t>(a)</w:t>
      </w:r>
      <w:r w:rsidRPr="00CB21B0">
        <w:tab/>
        <w:t>identifying information for the holder of the approval;</w:t>
      </w:r>
    </w:p>
    <w:p w:rsidR="008619F1" w:rsidRPr="00CB21B0" w:rsidRDefault="007920DF" w:rsidP="008619F1">
      <w:pPr>
        <w:pStyle w:val="paragraph"/>
      </w:pPr>
      <w:r w:rsidRPr="00CB21B0">
        <w:tab/>
        <w:t>(b)</w:t>
      </w:r>
      <w:r w:rsidRPr="00CB21B0">
        <w:tab/>
        <w:t>identifying information for any nominated agent for the approval.</w:t>
      </w:r>
    </w:p>
    <w:p w:rsidR="007920DF" w:rsidRPr="00CB21B0" w:rsidRDefault="00220E6F" w:rsidP="008619F1">
      <w:pPr>
        <w:pStyle w:val="ItemHead"/>
      </w:pPr>
      <w:r w:rsidRPr="00CB21B0">
        <w:t>57</w:t>
      </w:r>
      <w:r w:rsidR="007920DF" w:rsidRPr="00CB21B0">
        <w:t xml:space="preserve">  After </w:t>
      </w:r>
      <w:r w:rsidR="00670ABC" w:rsidRPr="00CB21B0">
        <w:t>Subdivision</w:t>
      </w:r>
      <w:r w:rsidR="00CB21B0" w:rsidRPr="00CB21B0">
        <w:t> </w:t>
      </w:r>
      <w:r w:rsidR="00670ABC" w:rsidRPr="00CB21B0">
        <w:t>2.1.3</w:t>
      </w:r>
    </w:p>
    <w:p w:rsidR="007920DF" w:rsidRPr="00CB21B0" w:rsidRDefault="007920DF" w:rsidP="007920DF">
      <w:pPr>
        <w:pStyle w:val="Item"/>
      </w:pPr>
      <w:r w:rsidRPr="00CB21B0">
        <w:t>Insert:</w:t>
      </w:r>
    </w:p>
    <w:p w:rsidR="007920DF" w:rsidRPr="00CB21B0" w:rsidRDefault="007920DF" w:rsidP="007920DF">
      <w:pPr>
        <w:pStyle w:val="ActHead4"/>
      </w:pPr>
      <w:bookmarkStart w:id="51" w:name="_Toc361055049"/>
      <w:r w:rsidRPr="00CB21B0">
        <w:rPr>
          <w:rStyle w:val="CharSubdNo"/>
        </w:rPr>
        <w:t>Subdivision</w:t>
      </w:r>
      <w:r w:rsidR="00CB21B0" w:rsidRPr="00CB21B0">
        <w:rPr>
          <w:rStyle w:val="CharSubdNo"/>
        </w:rPr>
        <w:t> </w:t>
      </w:r>
      <w:r w:rsidRPr="00CB21B0">
        <w:rPr>
          <w:rStyle w:val="CharSubdNo"/>
        </w:rPr>
        <w:t>2.1.3A</w:t>
      </w:r>
      <w:r w:rsidRPr="00CB21B0">
        <w:t>—</w:t>
      </w:r>
      <w:r w:rsidRPr="00CB21B0">
        <w:rPr>
          <w:rStyle w:val="CharSubdText"/>
        </w:rPr>
        <w:t>End date</w:t>
      </w:r>
      <w:r w:rsidR="00AE0388" w:rsidRPr="00CB21B0">
        <w:rPr>
          <w:rStyle w:val="CharSubdText"/>
        </w:rPr>
        <w:t>s for approvals and last renewal dates</w:t>
      </w:r>
      <w:r w:rsidRPr="00CB21B0">
        <w:rPr>
          <w:rStyle w:val="CharSubdText"/>
        </w:rPr>
        <w:t xml:space="preserve"> for </w:t>
      </w:r>
      <w:r w:rsidR="00AE0388" w:rsidRPr="00CB21B0">
        <w:rPr>
          <w:rStyle w:val="CharSubdText"/>
        </w:rPr>
        <w:t>registrations</w:t>
      </w:r>
      <w:bookmarkEnd w:id="51"/>
    </w:p>
    <w:p w:rsidR="003425C9" w:rsidRPr="00CB21B0" w:rsidRDefault="007920DF" w:rsidP="00092827">
      <w:pPr>
        <w:pStyle w:val="ActHead5"/>
      </w:pPr>
      <w:bookmarkStart w:id="52" w:name="_Toc361055050"/>
      <w:r w:rsidRPr="00CB21B0">
        <w:rPr>
          <w:rStyle w:val="CharSectno"/>
        </w:rPr>
        <w:t>17A</w:t>
      </w:r>
      <w:r w:rsidR="00092827" w:rsidRPr="00CB21B0">
        <w:t xml:space="preserve">  </w:t>
      </w:r>
      <w:r w:rsidR="003425C9" w:rsidRPr="00CB21B0">
        <w:t>End date for approvals</w:t>
      </w:r>
      <w:r w:rsidR="00F53F88" w:rsidRPr="00CB21B0">
        <w:t xml:space="preserve"> and re</w:t>
      </w:r>
      <w:r w:rsidR="00CB21B0">
        <w:noBreakHyphen/>
      </w:r>
      <w:r w:rsidR="00F53F88" w:rsidRPr="00CB21B0">
        <w:t>approvals of active constituents</w:t>
      </w:r>
      <w:bookmarkEnd w:id="52"/>
    </w:p>
    <w:p w:rsidR="005E6D04" w:rsidRPr="00CB21B0" w:rsidRDefault="003425C9" w:rsidP="005E6D04">
      <w:pPr>
        <w:pStyle w:val="subsection"/>
      </w:pPr>
      <w:r w:rsidRPr="00CB21B0">
        <w:tab/>
        <w:t>(1)</w:t>
      </w:r>
      <w:r w:rsidRPr="00CB21B0">
        <w:tab/>
      </w:r>
      <w:r w:rsidR="00E21E8E" w:rsidRPr="00CB21B0">
        <w:t>For subsections</w:t>
      </w:r>
      <w:r w:rsidR="00CB21B0" w:rsidRPr="00CB21B0">
        <w:t> </w:t>
      </w:r>
      <w:r w:rsidR="00E21E8E" w:rsidRPr="00CB21B0">
        <w:t xml:space="preserve">19(2), 29J(2) and 34AE(2) of the Code, </w:t>
      </w:r>
      <w:r w:rsidR="005E6D04" w:rsidRPr="00CB21B0">
        <w:t>this regulation prescribes the method for working out the end date for an approval of an active constituent, including:</w:t>
      </w:r>
    </w:p>
    <w:p w:rsidR="005E6D04" w:rsidRPr="00CB21B0" w:rsidRDefault="005E6D04" w:rsidP="005E6D04">
      <w:pPr>
        <w:pStyle w:val="paragraph"/>
      </w:pPr>
      <w:r w:rsidRPr="00CB21B0">
        <w:tab/>
        <w:t>(</w:t>
      </w:r>
      <w:r w:rsidR="00D65286" w:rsidRPr="00CB21B0">
        <w:t>a</w:t>
      </w:r>
      <w:r w:rsidRPr="00CB21B0">
        <w:t>)</w:t>
      </w:r>
      <w:r w:rsidRPr="00CB21B0">
        <w:tab/>
        <w:t>an approval as re</w:t>
      </w:r>
      <w:r w:rsidR="00CB21B0">
        <w:noBreakHyphen/>
      </w:r>
      <w:r w:rsidRPr="00CB21B0">
        <w:t>approval of the active constituent; and</w:t>
      </w:r>
    </w:p>
    <w:p w:rsidR="005E6D04" w:rsidRPr="00CB21B0" w:rsidRDefault="005E6D04" w:rsidP="005E6D04">
      <w:pPr>
        <w:pStyle w:val="paragraph"/>
      </w:pPr>
      <w:r w:rsidRPr="00CB21B0">
        <w:tab/>
        <w:t>(b)</w:t>
      </w:r>
      <w:r w:rsidRPr="00CB21B0">
        <w:tab/>
        <w:t xml:space="preserve">a variation of the end date by the APVMA </w:t>
      </w:r>
      <w:r w:rsidR="004B3EEE" w:rsidRPr="00CB21B0">
        <w:t xml:space="preserve">following a </w:t>
      </w:r>
      <w:r w:rsidRPr="00CB21B0">
        <w:t>reconsideration of the approval under Division</w:t>
      </w:r>
      <w:r w:rsidR="00CB21B0" w:rsidRPr="00CB21B0">
        <w:t> </w:t>
      </w:r>
      <w:r w:rsidR="002221F3" w:rsidRPr="00CB21B0">
        <w:t>4</w:t>
      </w:r>
      <w:r w:rsidRPr="00CB21B0">
        <w:t xml:space="preserve"> of Part</w:t>
      </w:r>
      <w:r w:rsidR="00CB21B0" w:rsidRPr="00CB21B0">
        <w:t> </w:t>
      </w:r>
      <w:r w:rsidRPr="00CB21B0">
        <w:t>2 of the Code.</w:t>
      </w:r>
    </w:p>
    <w:p w:rsidR="00D431B4" w:rsidRPr="00CB21B0" w:rsidRDefault="005E6D04" w:rsidP="003425C9">
      <w:pPr>
        <w:pStyle w:val="subsection"/>
      </w:pPr>
      <w:r w:rsidRPr="00CB21B0">
        <w:tab/>
        <w:t>(2)</w:t>
      </w:r>
      <w:r w:rsidRPr="00CB21B0">
        <w:tab/>
        <w:t>T</w:t>
      </w:r>
      <w:r w:rsidR="003425C9" w:rsidRPr="00CB21B0">
        <w:t xml:space="preserve">he </w:t>
      </w:r>
      <w:r w:rsidR="00710430" w:rsidRPr="00CB21B0">
        <w:t>end date for the</w:t>
      </w:r>
      <w:r w:rsidR="003B3937" w:rsidRPr="00CB21B0">
        <w:t xml:space="preserve"> </w:t>
      </w:r>
      <w:r w:rsidR="003425C9" w:rsidRPr="00CB21B0">
        <w:t>approval</w:t>
      </w:r>
      <w:r w:rsidRPr="00CB21B0">
        <w:t xml:space="preserve"> </w:t>
      </w:r>
      <w:r w:rsidR="003425C9" w:rsidRPr="00CB21B0">
        <w:t xml:space="preserve">of an active constituent mentioned in </w:t>
      </w:r>
      <w:r w:rsidR="00D431B4" w:rsidRPr="00CB21B0">
        <w:t xml:space="preserve">column 1 of </w:t>
      </w:r>
      <w:r w:rsidR="003425C9" w:rsidRPr="00CB21B0">
        <w:t xml:space="preserve">an item in the </w:t>
      </w:r>
      <w:r w:rsidR="00F53F88" w:rsidRPr="00CB21B0">
        <w:t xml:space="preserve">following </w:t>
      </w:r>
      <w:r w:rsidR="003425C9" w:rsidRPr="00CB21B0">
        <w:t xml:space="preserve">table </w:t>
      </w:r>
      <w:r w:rsidR="003B3937" w:rsidRPr="00CB21B0">
        <w:t>is as follows</w:t>
      </w:r>
      <w:r w:rsidR="00D431B4" w:rsidRPr="00CB21B0">
        <w:t>:</w:t>
      </w:r>
    </w:p>
    <w:p w:rsidR="00D431B4" w:rsidRPr="00CB21B0" w:rsidRDefault="00D431B4" w:rsidP="00D431B4">
      <w:pPr>
        <w:pStyle w:val="paragraph"/>
      </w:pPr>
      <w:r w:rsidRPr="00CB21B0">
        <w:tab/>
        <w:t>(a)</w:t>
      </w:r>
      <w:r w:rsidRPr="00CB21B0">
        <w:tab/>
        <w:t xml:space="preserve">if the APVMA </w:t>
      </w:r>
      <w:r w:rsidR="00005AA5" w:rsidRPr="00CB21B0">
        <w:t xml:space="preserve">determines that the </w:t>
      </w:r>
      <w:r w:rsidRPr="00CB21B0">
        <w:t xml:space="preserve">end date </w:t>
      </w:r>
      <w:r w:rsidR="00005AA5" w:rsidRPr="00CB21B0">
        <w:t xml:space="preserve">should be </w:t>
      </w:r>
      <w:r w:rsidR="002221F3" w:rsidRPr="00CB21B0">
        <w:t>aligned with the e</w:t>
      </w:r>
      <w:r w:rsidRPr="00CB21B0">
        <w:t>nd date for another approval of the same active constituent—</w:t>
      </w:r>
      <w:r w:rsidR="003425C9" w:rsidRPr="00CB21B0">
        <w:t xml:space="preserve">the date mentioned in </w:t>
      </w:r>
      <w:r w:rsidRPr="00CB21B0">
        <w:t>column 2 for the item;</w:t>
      </w:r>
    </w:p>
    <w:p w:rsidR="003425C9" w:rsidRPr="00CB21B0" w:rsidRDefault="00D431B4" w:rsidP="00D431B4">
      <w:pPr>
        <w:pStyle w:val="paragraph"/>
      </w:pPr>
      <w:r w:rsidRPr="00CB21B0">
        <w:tab/>
        <w:t>(b)</w:t>
      </w:r>
      <w:r w:rsidRPr="00CB21B0">
        <w:tab/>
        <w:t>in any other case—the date mentioned in column 3 for the item.</w:t>
      </w:r>
    </w:p>
    <w:p w:rsidR="00F53F88" w:rsidRPr="00CB21B0" w:rsidRDefault="00F53F88" w:rsidP="00F53F88">
      <w:pPr>
        <w:pStyle w:val="Tabletext"/>
      </w:pPr>
    </w:p>
    <w:tbl>
      <w:tblPr>
        <w:tblW w:w="0" w:type="auto"/>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2908"/>
        <w:gridCol w:w="1832"/>
        <w:gridCol w:w="1839"/>
      </w:tblGrid>
      <w:tr w:rsidR="00007EE4" w:rsidRPr="00CB21B0" w:rsidTr="00220E1B">
        <w:trPr>
          <w:tblHeader/>
        </w:trPr>
        <w:tc>
          <w:tcPr>
            <w:tcW w:w="0" w:type="auto"/>
            <w:gridSpan w:val="4"/>
            <w:tcBorders>
              <w:top w:val="single" w:sz="12" w:space="0" w:color="auto"/>
              <w:bottom w:val="single" w:sz="6" w:space="0" w:color="auto"/>
            </w:tcBorders>
            <w:shd w:val="clear" w:color="auto" w:fill="auto"/>
          </w:tcPr>
          <w:p w:rsidR="00007EE4" w:rsidRPr="00CB21B0" w:rsidRDefault="00220E1B" w:rsidP="00180911">
            <w:pPr>
              <w:pStyle w:val="TableHeading"/>
            </w:pPr>
            <w:r w:rsidRPr="00CB21B0">
              <w:lastRenderedPageBreak/>
              <w:t>End date for approvals and re</w:t>
            </w:r>
            <w:r w:rsidR="00CB21B0">
              <w:noBreakHyphen/>
            </w:r>
            <w:r w:rsidRPr="00CB21B0">
              <w:t>approvals of active constituents</w:t>
            </w:r>
          </w:p>
        </w:tc>
      </w:tr>
      <w:tr w:rsidR="007B52B8" w:rsidRPr="00CB21B0" w:rsidTr="00220E1B">
        <w:trPr>
          <w:tblHeader/>
        </w:trPr>
        <w:tc>
          <w:tcPr>
            <w:tcW w:w="0" w:type="auto"/>
            <w:tcBorders>
              <w:top w:val="single" w:sz="6" w:space="0" w:color="auto"/>
              <w:bottom w:val="single" w:sz="12" w:space="0" w:color="auto"/>
            </w:tcBorders>
            <w:shd w:val="clear" w:color="auto" w:fill="auto"/>
          </w:tcPr>
          <w:p w:rsidR="00F53F88" w:rsidRPr="00CB21B0" w:rsidRDefault="00F53F88" w:rsidP="00180911">
            <w:pPr>
              <w:pStyle w:val="TableHeading"/>
            </w:pPr>
            <w:r w:rsidRPr="00CB21B0">
              <w:t>Item</w:t>
            </w:r>
          </w:p>
        </w:tc>
        <w:tc>
          <w:tcPr>
            <w:tcW w:w="0" w:type="auto"/>
            <w:tcBorders>
              <w:top w:val="single" w:sz="6" w:space="0" w:color="auto"/>
              <w:bottom w:val="single" w:sz="12" w:space="0" w:color="auto"/>
            </w:tcBorders>
            <w:shd w:val="clear" w:color="auto" w:fill="auto"/>
          </w:tcPr>
          <w:p w:rsidR="00F53F88" w:rsidRPr="00CB21B0" w:rsidRDefault="00F53F88" w:rsidP="00180911">
            <w:pPr>
              <w:pStyle w:val="Tabletext"/>
              <w:rPr>
                <w:b/>
              </w:rPr>
            </w:pPr>
            <w:r w:rsidRPr="00CB21B0">
              <w:rPr>
                <w:b/>
              </w:rPr>
              <w:t>Column 1</w:t>
            </w:r>
          </w:p>
          <w:p w:rsidR="00F53F88" w:rsidRPr="00CB21B0" w:rsidRDefault="00F53F88" w:rsidP="00180911">
            <w:pPr>
              <w:pStyle w:val="Tabletext"/>
            </w:pPr>
            <w:r w:rsidRPr="00CB21B0">
              <w:rPr>
                <w:b/>
              </w:rPr>
              <w:t>Active constituent</w:t>
            </w:r>
          </w:p>
        </w:tc>
        <w:tc>
          <w:tcPr>
            <w:tcW w:w="0" w:type="auto"/>
            <w:tcBorders>
              <w:top w:val="single" w:sz="6" w:space="0" w:color="auto"/>
              <w:bottom w:val="single" w:sz="12" w:space="0" w:color="auto"/>
            </w:tcBorders>
            <w:shd w:val="clear" w:color="auto" w:fill="auto"/>
          </w:tcPr>
          <w:p w:rsidR="00F53F88" w:rsidRPr="00CB21B0" w:rsidRDefault="00F53F88" w:rsidP="00180911">
            <w:pPr>
              <w:pStyle w:val="TableHeading"/>
            </w:pPr>
            <w:r w:rsidRPr="00CB21B0">
              <w:t>Column 2</w:t>
            </w:r>
          </w:p>
          <w:p w:rsidR="00F53F88" w:rsidRPr="00CB21B0" w:rsidRDefault="00F53F88" w:rsidP="002221F3">
            <w:pPr>
              <w:pStyle w:val="TableHeading"/>
            </w:pPr>
            <w:r w:rsidRPr="00CB21B0">
              <w:t>End date if approval aligned with another approval</w:t>
            </w:r>
          </w:p>
        </w:tc>
        <w:tc>
          <w:tcPr>
            <w:tcW w:w="0" w:type="auto"/>
            <w:tcBorders>
              <w:top w:val="single" w:sz="6" w:space="0" w:color="auto"/>
              <w:bottom w:val="single" w:sz="12" w:space="0" w:color="auto"/>
            </w:tcBorders>
            <w:shd w:val="clear" w:color="auto" w:fill="auto"/>
          </w:tcPr>
          <w:p w:rsidR="00F53F88" w:rsidRPr="00CB21B0" w:rsidRDefault="00F53F88" w:rsidP="00180911">
            <w:pPr>
              <w:pStyle w:val="TableHeading"/>
            </w:pPr>
            <w:r w:rsidRPr="00CB21B0">
              <w:t xml:space="preserve">Column </w:t>
            </w:r>
            <w:r w:rsidR="00E31D40" w:rsidRPr="00CB21B0">
              <w:t>3</w:t>
            </w:r>
          </w:p>
          <w:p w:rsidR="00F53F88" w:rsidRPr="00CB21B0" w:rsidRDefault="00F53F88" w:rsidP="002221F3">
            <w:pPr>
              <w:pStyle w:val="TableHeading"/>
            </w:pPr>
            <w:r w:rsidRPr="00CB21B0">
              <w:t xml:space="preserve">End date if approval </w:t>
            </w:r>
            <w:r w:rsidR="002221F3" w:rsidRPr="00CB21B0">
              <w:t>not</w:t>
            </w:r>
            <w:r w:rsidR="00F73CEB" w:rsidRPr="00CB21B0">
              <w:t xml:space="preserve"> aligned with another approval</w:t>
            </w:r>
          </w:p>
        </w:tc>
      </w:tr>
      <w:tr w:rsidR="007B52B8" w:rsidRPr="00CB21B0" w:rsidTr="00220E1B">
        <w:tc>
          <w:tcPr>
            <w:tcW w:w="0" w:type="auto"/>
            <w:tcBorders>
              <w:top w:val="single" w:sz="12" w:space="0" w:color="auto"/>
            </w:tcBorders>
            <w:shd w:val="clear" w:color="auto" w:fill="auto"/>
          </w:tcPr>
          <w:p w:rsidR="00F53F88" w:rsidRPr="00CB21B0" w:rsidRDefault="00F53F88" w:rsidP="00180911">
            <w:pPr>
              <w:pStyle w:val="Tabletext"/>
            </w:pPr>
            <w:r w:rsidRPr="00CB21B0">
              <w:t>1</w:t>
            </w:r>
          </w:p>
        </w:tc>
        <w:tc>
          <w:tcPr>
            <w:tcW w:w="0" w:type="auto"/>
            <w:tcBorders>
              <w:top w:val="single" w:sz="12" w:space="0" w:color="auto"/>
            </w:tcBorders>
            <w:shd w:val="clear" w:color="auto" w:fill="auto"/>
          </w:tcPr>
          <w:p w:rsidR="00F53F88" w:rsidRPr="00CB21B0" w:rsidRDefault="00F53F88" w:rsidP="00180911">
            <w:pPr>
              <w:pStyle w:val="Tabletext"/>
            </w:pPr>
            <w:r w:rsidRPr="00CB21B0">
              <w:t>Active constituent mentioned in Part</w:t>
            </w:r>
            <w:r w:rsidR="00CB21B0" w:rsidRPr="00CB21B0">
              <w:t> </w:t>
            </w:r>
            <w:r w:rsidRPr="00CB21B0">
              <w:t>2 or 3 of Schedule</w:t>
            </w:r>
            <w:r w:rsidR="00CB21B0" w:rsidRPr="00CB21B0">
              <w:t> </w:t>
            </w:r>
            <w:r w:rsidRPr="00CB21B0">
              <w:t xml:space="preserve">1 to the </w:t>
            </w:r>
            <w:r w:rsidRPr="00CB21B0">
              <w:rPr>
                <w:i/>
              </w:rPr>
              <w:t>Agricultural and Veterinary Chemicals (Administration) Regulations</w:t>
            </w:r>
            <w:r w:rsidR="00CB21B0" w:rsidRPr="00CB21B0">
              <w:rPr>
                <w:i/>
              </w:rPr>
              <w:t> </w:t>
            </w:r>
            <w:r w:rsidRPr="00CB21B0">
              <w:rPr>
                <w:i/>
              </w:rPr>
              <w:t>199</w:t>
            </w:r>
            <w:r w:rsidRPr="00CB21B0">
              <w:t>5</w:t>
            </w:r>
          </w:p>
        </w:tc>
        <w:tc>
          <w:tcPr>
            <w:tcW w:w="0" w:type="auto"/>
            <w:tcBorders>
              <w:top w:val="single" w:sz="12" w:space="0" w:color="auto"/>
            </w:tcBorders>
            <w:shd w:val="clear" w:color="auto" w:fill="auto"/>
          </w:tcPr>
          <w:p w:rsidR="006E605A" w:rsidRPr="00CB21B0" w:rsidRDefault="00F53F88" w:rsidP="00092827">
            <w:pPr>
              <w:pStyle w:val="Tabletext"/>
              <w:rPr>
                <w:b/>
                <w:i/>
              </w:rPr>
            </w:pPr>
            <w:r w:rsidRPr="00CB21B0">
              <w:t>The date</w:t>
            </w:r>
            <w:r w:rsidR="00092827" w:rsidRPr="00CB21B0">
              <w:t xml:space="preserve"> determined by the APVMA. The date must</w:t>
            </w:r>
            <w:r w:rsidRPr="00CB21B0">
              <w:t xml:space="preserve"> </w:t>
            </w:r>
            <w:r w:rsidR="00092827" w:rsidRPr="00CB21B0">
              <w:t xml:space="preserve">be not </w:t>
            </w:r>
            <w:r w:rsidRPr="00CB21B0">
              <w:t xml:space="preserve">less than 7 years, and less than 8 years, after the </w:t>
            </w:r>
            <w:r w:rsidR="00146245" w:rsidRPr="00CB21B0">
              <w:t>approval</w:t>
            </w:r>
            <w:r w:rsidRPr="00CB21B0">
              <w:t xml:space="preserve"> event</w:t>
            </w:r>
            <w:r w:rsidR="00092827" w:rsidRPr="00CB21B0">
              <w:t>.</w:t>
            </w:r>
          </w:p>
        </w:tc>
        <w:tc>
          <w:tcPr>
            <w:tcW w:w="0" w:type="auto"/>
            <w:tcBorders>
              <w:top w:val="single" w:sz="12" w:space="0" w:color="auto"/>
            </w:tcBorders>
            <w:shd w:val="clear" w:color="auto" w:fill="auto"/>
          </w:tcPr>
          <w:p w:rsidR="00F53F88" w:rsidRPr="00CB21B0" w:rsidRDefault="00092827" w:rsidP="00180911">
            <w:pPr>
              <w:pStyle w:val="Tabletext"/>
              <w:rPr>
                <w:strike/>
              </w:rPr>
            </w:pPr>
            <w:r w:rsidRPr="00CB21B0">
              <w:t>The date determined by the APVMA. The date must be not less than 7 years, and less than 8 y</w:t>
            </w:r>
            <w:r w:rsidR="00F73CEB" w:rsidRPr="00CB21B0">
              <w:t>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t>2</w:t>
            </w:r>
          </w:p>
        </w:tc>
        <w:tc>
          <w:tcPr>
            <w:tcW w:w="0" w:type="auto"/>
            <w:shd w:val="clear" w:color="auto" w:fill="auto"/>
          </w:tcPr>
          <w:p w:rsidR="00F53F88" w:rsidRPr="00CB21B0" w:rsidRDefault="00F53F88" w:rsidP="00180911">
            <w:pPr>
              <w:pStyle w:val="Tabletext"/>
            </w:pPr>
            <w:r w:rsidRPr="00CB21B0">
              <w:t>Methyl bromide (bromomethane)</w:t>
            </w:r>
          </w:p>
        </w:tc>
        <w:tc>
          <w:tcPr>
            <w:tcW w:w="0" w:type="auto"/>
            <w:shd w:val="clear" w:color="auto" w:fill="auto"/>
          </w:tcPr>
          <w:p w:rsidR="00F53F88" w:rsidRPr="00CB21B0" w:rsidRDefault="00092827" w:rsidP="00180911">
            <w:pPr>
              <w:pStyle w:val="Tabletext"/>
            </w:pPr>
            <w:r w:rsidRPr="00CB21B0">
              <w:t>The date determined by the APVMA. The date must be not less than 7 years, and less than 8 y</w:t>
            </w:r>
            <w:r w:rsidR="00F73CEB" w:rsidRPr="00CB21B0">
              <w:t>ears, after the approval event.</w:t>
            </w:r>
          </w:p>
        </w:tc>
        <w:tc>
          <w:tcPr>
            <w:tcW w:w="0" w:type="auto"/>
            <w:shd w:val="clear" w:color="auto" w:fill="auto"/>
          </w:tcPr>
          <w:p w:rsidR="00F53F88" w:rsidRPr="00CB21B0" w:rsidRDefault="00092827" w:rsidP="00180911">
            <w:pPr>
              <w:pStyle w:val="Tabletext"/>
            </w:pPr>
            <w:r w:rsidRPr="00CB21B0">
              <w:t>The date determined by the APVMA. The date must be not less than 7 years, and less than 8 y</w:t>
            </w:r>
            <w:r w:rsidR="00F73CEB" w:rsidRPr="00CB21B0">
              <w:t>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t>3</w:t>
            </w:r>
          </w:p>
        </w:tc>
        <w:tc>
          <w:tcPr>
            <w:tcW w:w="0" w:type="auto"/>
            <w:shd w:val="clear" w:color="auto" w:fill="auto"/>
          </w:tcPr>
          <w:p w:rsidR="00F53F88" w:rsidRPr="00CB21B0" w:rsidRDefault="00F53F88" w:rsidP="009F1121">
            <w:pPr>
              <w:pStyle w:val="Tabletext"/>
            </w:pPr>
            <w:r w:rsidRPr="00CB21B0">
              <w:t>Active constituent mentioned in Schedule</w:t>
            </w:r>
            <w:r w:rsidR="00CB21B0" w:rsidRPr="00CB21B0">
              <w:t> </w:t>
            </w:r>
            <w:r w:rsidRPr="00CB21B0">
              <w:t xml:space="preserve">9 or Appendix C </w:t>
            </w:r>
            <w:r w:rsidR="009F1121" w:rsidRPr="00CB21B0">
              <w:t>to</w:t>
            </w:r>
            <w:r w:rsidRPr="00CB21B0">
              <w:t xml:space="preserve"> the current Poisons Standard</w:t>
            </w:r>
          </w:p>
        </w:tc>
        <w:tc>
          <w:tcPr>
            <w:tcW w:w="0" w:type="auto"/>
            <w:shd w:val="clear" w:color="auto" w:fill="auto"/>
          </w:tcPr>
          <w:p w:rsidR="00F53F88" w:rsidRPr="00CB21B0" w:rsidRDefault="00092827" w:rsidP="00180911">
            <w:pPr>
              <w:pStyle w:val="Tabletext"/>
            </w:pPr>
            <w:r w:rsidRPr="00CB21B0">
              <w:t xml:space="preserve">The date determined by the APVMA. The date must be not less than 7 years, and less than 8 years, after the approval event. </w:t>
            </w:r>
          </w:p>
        </w:tc>
        <w:tc>
          <w:tcPr>
            <w:tcW w:w="0" w:type="auto"/>
            <w:shd w:val="clear" w:color="auto" w:fill="auto"/>
          </w:tcPr>
          <w:p w:rsidR="00F53F88" w:rsidRPr="00CB21B0" w:rsidRDefault="00092827" w:rsidP="00180911">
            <w:pPr>
              <w:pStyle w:val="Tabletext"/>
            </w:pPr>
            <w:r w:rsidRPr="00CB21B0">
              <w:t>The date determined by the APVMA. The date must be not less than 7 years, and less than 8 y</w:t>
            </w:r>
            <w:r w:rsidR="00F73CEB" w:rsidRPr="00CB21B0">
              <w:t>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t>4</w:t>
            </w:r>
          </w:p>
        </w:tc>
        <w:tc>
          <w:tcPr>
            <w:tcW w:w="0" w:type="auto"/>
            <w:shd w:val="clear" w:color="auto" w:fill="auto"/>
          </w:tcPr>
          <w:p w:rsidR="00F53F88" w:rsidRPr="00CB21B0" w:rsidRDefault="00F53F88" w:rsidP="009F1121">
            <w:pPr>
              <w:pStyle w:val="Tabletext"/>
            </w:pPr>
            <w:r w:rsidRPr="00CB21B0">
              <w:t>Active constituent mentioned in Schedule</w:t>
            </w:r>
            <w:r w:rsidR="00CB21B0" w:rsidRPr="00CB21B0">
              <w:t> </w:t>
            </w:r>
            <w:r w:rsidRPr="00CB21B0">
              <w:t xml:space="preserve">8 </w:t>
            </w:r>
            <w:r w:rsidR="009F1121" w:rsidRPr="00CB21B0">
              <w:t>to</w:t>
            </w:r>
            <w:r w:rsidRPr="00CB21B0">
              <w:t xml:space="preserve"> the current Poisons Standard</w:t>
            </w:r>
            <w:r w:rsidR="00610BCA" w:rsidRPr="00CB21B0">
              <w:t>, other than an active constituent mentioned in item</w:t>
            </w:r>
            <w:r w:rsidR="00CB21B0" w:rsidRPr="00CB21B0">
              <w:t> </w:t>
            </w:r>
            <w:r w:rsidR="00610BCA" w:rsidRPr="00CB21B0">
              <w:t>1, 2 or 3</w:t>
            </w:r>
          </w:p>
        </w:tc>
        <w:tc>
          <w:tcPr>
            <w:tcW w:w="0" w:type="auto"/>
            <w:shd w:val="clear" w:color="auto" w:fill="auto"/>
          </w:tcPr>
          <w:p w:rsidR="00F53F88" w:rsidRPr="00CB21B0" w:rsidRDefault="00092827" w:rsidP="00092827">
            <w:pPr>
              <w:pStyle w:val="Tabletext"/>
            </w:pPr>
            <w:r w:rsidRPr="00CB21B0">
              <w:t>The date determined by the APVMA. The date must be not less than 7 years, and less than 10 y</w:t>
            </w:r>
            <w:r w:rsidR="00F73CEB" w:rsidRPr="00CB21B0">
              <w:t>ears, after the approval event.</w:t>
            </w:r>
          </w:p>
        </w:tc>
        <w:tc>
          <w:tcPr>
            <w:tcW w:w="0" w:type="auto"/>
            <w:shd w:val="clear" w:color="auto" w:fill="auto"/>
          </w:tcPr>
          <w:p w:rsidR="00F53F88" w:rsidRPr="00CB21B0" w:rsidRDefault="00092827" w:rsidP="00F73CEB">
            <w:pPr>
              <w:pStyle w:val="Tabletext"/>
              <w:rPr>
                <w:strike/>
              </w:rPr>
            </w:pPr>
            <w:r w:rsidRPr="00CB21B0">
              <w:t>The date determined by the APVMA. The date must be not less than 8 years, and less than 10 years,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t>5</w:t>
            </w:r>
          </w:p>
        </w:tc>
        <w:tc>
          <w:tcPr>
            <w:tcW w:w="0" w:type="auto"/>
            <w:shd w:val="clear" w:color="auto" w:fill="auto"/>
          </w:tcPr>
          <w:p w:rsidR="00F53F88" w:rsidRPr="00CB21B0" w:rsidRDefault="00F53F88" w:rsidP="009F1121">
            <w:pPr>
              <w:pStyle w:val="Tabletext"/>
              <w:rPr>
                <w:b/>
                <w:i/>
              </w:rPr>
            </w:pPr>
            <w:r w:rsidRPr="00CB21B0">
              <w:t xml:space="preserve">Active constituent </w:t>
            </w:r>
            <w:r w:rsidR="00557055" w:rsidRPr="00CB21B0">
              <w:t xml:space="preserve">contained </w:t>
            </w:r>
            <w:r w:rsidRPr="00CB21B0">
              <w:t xml:space="preserve">in a restricted chemical product </w:t>
            </w:r>
            <w:r w:rsidRPr="00CB21B0">
              <w:lastRenderedPageBreak/>
              <w:t>mentioned in Schedule</w:t>
            </w:r>
            <w:r w:rsidR="00CB21B0" w:rsidRPr="00CB21B0">
              <w:t> </w:t>
            </w:r>
            <w:r w:rsidRPr="00CB21B0">
              <w:t xml:space="preserve">4 </w:t>
            </w:r>
            <w:r w:rsidR="009F1121" w:rsidRPr="00CB21B0">
              <w:t>to</w:t>
            </w:r>
            <w:r w:rsidRPr="00CB21B0">
              <w:t xml:space="preserve"> these Regulations, other than an active constituent mentioned in item</w:t>
            </w:r>
            <w:r w:rsidR="00CB21B0" w:rsidRPr="00CB21B0">
              <w:t> </w:t>
            </w:r>
            <w:r w:rsidRPr="00CB21B0">
              <w:t>1, 2</w:t>
            </w:r>
            <w:r w:rsidR="00B4600B" w:rsidRPr="00CB21B0">
              <w:t xml:space="preserve">, </w:t>
            </w:r>
            <w:r w:rsidRPr="00CB21B0">
              <w:t xml:space="preserve">3 </w:t>
            </w:r>
            <w:r w:rsidR="00610BCA" w:rsidRPr="00CB21B0">
              <w:t>or 4</w:t>
            </w:r>
          </w:p>
        </w:tc>
        <w:tc>
          <w:tcPr>
            <w:tcW w:w="0" w:type="auto"/>
            <w:shd w:val="clear" w:color="auto" w:fill="auto"/>
          </w:tcPr>
          <w:p w:rsidR="00F53F88" w:rsidRPr="00CB21B0" w:rsidRDefault="00092827" w:rsidP="00092827">
            <w:pPr>
              <w:pStyle w:val="Tabletext"/>
            </w:pPr>
            <w:r w:rsidRPr="00CB21B0">
              <w:lastRenderedPageBreak/>
              <w:t xml:space="preserve">The date determined by the </w:t>
            </w:r>
            <w:r w:rsidRPr="00CB21B0">
              <w:lastRenderedPageBreak/>
              <w:t>APVMA. The date must be not less than 7 years, and less than 10 y</w:t>
            </w:r>
            <w:r w:rsidR="00F73CEB" w:rsidRPr="00CB21B0">
              <w:t>ears, after the approval event.</w:t>
            </w:r>
          </w:p>
        </w:tc>
        <w:tc>
          <w:tcPr>
            <w:tcW w:w="0" w:type="auto"/>
            <w:shd w:val="clear" w:color="auto" w:fill="auto"/>
          </w:tcPr>
          <w:p w:rsidR="00F53F88" w:rsidRPr="00CB21B0" w:rsidRDefault="00092827" w:rsidP="00F73CEB">
            <w:pPr>
              <w:pStyle w:val="Tabletext"/>
            </w:pPr>
            <w:r w:rsidRPr="00CB21B0">
              <w:lastRenderedPageBreak/>
              <w:t xml:space="preserve">The date determined by the </w:t>
            </w:r>
            <w:r w:rsidRPr="00CB21B0">
              <w:lastRenderedPageBreak/>
              <w:t>APVMA. The date must be not less than 8 years, and less than 10 years,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lastRenderedPageBreak/>
              <w:t>6</w:t>
            </w:r>
          </w:p>
        </w:tc>
        <w:tc>
          <w:tcPr>
            <w:tcW w:w="0" w:type="auto"/>
            <w:shd w:val="clear" w:color="auto" w:fill="auto"/>
          </w:tcPr>
          <w:p w:rsidR="00F53F88" w:rsidRPr="00CB21B0" w:rsidRDefault="00F53F88" w:rsidP="00180911">
            <w:pPr>
              <w:pStyle w:val="Tabletext"/>
            </w:pPr>
            <w:r w:rsidRPr="00CB21B0">
              <w:t>Active constituent:</w:t>
            </w:r>
          </w:p>
          <w:p w:rsidR="00F53F88" w:rsidRPr="00CB21B0" w:rsidRDefault="00F53F88" w:rsidP="00180911">
            <w:pPr>
              <w:pStyle w:val="Tablea"/>
            </w:pPr>
            <w:r w:rsidRPr="00CB21B0">
              <w:t>(a)</w:t>
            </w:r>
            <w:r w:rsidRPr="00CB21B0">
              <w:tab/>
              <w:t>mentioned in Schedule</w:t>
            </w:r>
            <w:r w:rsidR="00CB21B0" w:rsidRPr="00CB21B0">
              <w:t> </w:t>
            </w:r>
            <w:r w:rsidRPr="00CB21B0">
              <w:t xml:space="preserve">7 </w:t>
            </w:r>
            <w:r w:rsidR="009F1121" w:rsidRPr="00CB21B0">
              <w:t>to</w:t>
            </w:r>
            <w:r w:rsidRPr="00CB21B0">
              <w:t xml:space="preserve"> the current Poisons Standard; and</w:t>
            </w:r>
          </w:p>
          <w:p w:rsidR="00F53F88" w:rsidRPr="00CB21B0" w:rsidRDefault="00F53F88" w:rsidP="00180911">
            <w:pPr>
              <w:pStyle w:val="Tablea"/>
            </w:pPr>
            <w:r w:rsidRPr="00CB21B0">
              <w:t>(b)</w:t>
            </w:r>
            <w:r w:rsidRPr="00CB21B0">
              <w:tab/>
              <w:t xml:space="preserve">classified in Table 3.1 of Annex VI </w:t>
            </w:r>
            <w:r w:rsidR="009F1121" w:rsidRPr="00CB21B0">
              <w:t>to</w:t>
            </w:r>
            <w:r w:rsidRPr="00CB21B0">
              <w:t xml:space="preserve"> the European Community Regulation Number 1272/2008 as Aquatic Acute 1 or Aquatic Chronic 1;</w:t>
            </w:r>
          </w:p>
          <w:p w:rsidR="00F53F88" w:rsidRPr="00CB21B0" w:rsidRDefault="00F53F88" w:rsidP="00180911">
            <w:pPr>
              <w:pStyle w:val="Tabletext"/>
            </w:pPr>
            <w:r w:rsidRPr="00CB21B0">
              <w:t>other than an active constituent mentioned in any of items</w:t>
            </w:r>
            <w:r w:rsidR="00CB21B0" w:rsidRPr="00CB21B0">
              <w:t> </w:t>
            </w:r>
            <w:r w:rsidRPr="00CB21B0">
              <w:t>1 to 5</w:t>
            </w:r>
          </w:p>
        </w:tc>
        <w:tc>
          <w:tcPr>
            <w:tcW w:w="0" w:type="auto"/>
            <w:shd w:val="clear" w:color="auto" w:fill="auto"/>
          </w:tcPr>
          <w:p w:rsidR="00F53F88" w:rsidRPr="00CB21B0" w:rsidRDefault="00092827" w:rsidP="00092827">
            <w:pPr>
              <w:pStyle w:val="Tabletext"/>
            </w:pPr>
            <w:r w:rsidRPr="00CB21B0">
              <w:t>The date determined by the APVMA. The date must be not less than 7 years, and less than 10 years,</w:t>
            </w:r>
            <w:r w:rsidR="00F73CEB" w:rsidRPr="00CB21B0">
              <w:t xml:space="preserve"> after the approval event.</w:t>
            </w:r>
          </w:p>
        </w:tc>
        <w:tc>
          <w:tcPr>
            <w:tcW w:w="0" w:type="auto"/>
            <w:shd w:val="clear" w:color="auto" w:fill="auto"/>
          </w:tcPr>
          <w:p w:rsidR="00F53F88" w:rsidRPr="00CB21B0" w:rsidRDefault="00092827" w:rsidP="00F73CEB">
            <w:pPr>
              <w:pStyle w:val="Tabletext"/>
            </w:pPr>
            <w:r w:rsidRPr="00CB21B0">
              <w:t>The date determined by the APVMA. The date must be not less than 8 years, and less than 10 years, after the approval event.</w:t>
            </w:r>
          </w:p>
        </w:tc>
      </w:tr>
      <w:tr w:rsidR="007B52B8" w:rsidRPr="00CB21B0" w:rsidTr="00220E1B">
        <w:tc>
          <w:tcPr>
            <w:tcW w:w="0" w:type="auto"/>
            <w:shd w:val="clear" w:color="auto" w:fill="auto"/>
          </w:tcPr>
          <w:p w:rsidR="00F53F88" w:rsidRPr="00CB21B0" w:rsidRDefault="00F53F88" w:rsidP="00180911">
            <w:pPr>
              <w:pStyle w:val="Tabletext"/>
            </w:pPr>
            <w:r w:rsidRPr="00CB21B0">
              <w:t>7</w:t>
            </w:r>
          </w:p>
        </w:tc>
        <w:tc>
          <w:tcPr>
            <w:tcW w:w="0" w:type="auto"/>
            <w:shd w:val="clear" w:color="auto" w:fill="auto"/>
          </w:tcPr>
          <w:p w:rsidR="00F53F88" w:rsidRPr="00CB21B0" w:rsidRDefault="00F53F88" w:rsidP="009F1121">
            <w:pPr>
              <w:pStyle w:val="Tabletext"/>
            </w:pPr>
            <w:r w:rsidRPr="00CB21B0">
              <w:t>Active constituent mentioned in Schedule</w:t>
            </w:r>
            <w:r w:rsidR="00CB21B0" w:rsidRPr="00CB21B0">
              <w:t> </w:t>
            </w:r>
            <w:r w:rsidRPr="00CB21B0">
              <w:t>7</w:t>
            </w:r>
            <w:r w:rsidR="009F1121" w:rsidRPr="00CB21B0">
              <w:t xml:space="preserve"> to</w:t>
            </w:r>
            <w:r w:rsidRPr="00CB21B0">
              <w:t xml:space="preserve"> the current Poisons Standard, other than an active constituent mentioned in any of items</w:t>
            </w:r>
            <w:r w:rsidR="00CB21B0" w:rsidRPr="00CB21B0">
              <w:t> </w:t>
            </w:r>
            <w:r w:rsidRPr="00CB21B0">
              <w:t>1 to 6</w:t>
            </w:r>
          </w:p>
        </w:tc>
        <w:tc>
          <w:tcPr>
            <w:tcW w:w="0" w:type="auto"/>
            <w:shd w:val="clear" w:color="auto" w:fill="auto"/>
          </w:tcPr>
          <w:p w:rsidR="00F53F88" w:rsidRPr="00CB21B0" w:rsidRDefault="00092827" w:rsidP="00092827">
            <w:pPr>
              <w:pStyle w:val="Tabletext"/>
            </w:pPr>
            <w:r w:rsidRPr="00CB21B0">
              <w:t>The date determined by the APVMA. The date must be not less than 7 years, and less than 13 y</w:t>
            </w:r>
            <w:r w:rsidR="00F73CEB" w:rsidRPr="00CB21B0">
              <w:t>ears, after the approval event.</w:t>
            </w:r>
          </w:p>
        </w:tc>
        <w:tc>
          <w:tcPr>
            <w:tcW w:w="0" w:type="auto"/>
            <w:shd w:val="clear" w:color="auto" w:fill="auto"/>
          </w:tcPr>
          <w:p w:rsidR="00F53F88" w:rsidRPr="00CB21B0" w:rsidRDefault="00092827" w:rsidP="00F73CEB">
            <w:pPr>
              <w:pStyle w:val="Tabletext"/>
            </w:pPr>
            <w:r w:rsidRPr="00CB21B0">
              <w:t>The date determined by the APVMA. The date must be not less than 10 years, and less than 13 years, after the approval event.</w:t>
            </w:r>
          </w:p>
        </w:tc>
      </w:tr>
      <w:tr w:rsidR="007B52B8" w:rsidRPr="00CB21B0" w:rsidTr="00220E1B">
        <w:tc>
          <w:tcPr>
            <w:tcW w:w="0" w:type="auto"/>
            <w:tcBorders>
              <w:bottom w:val="single" w:sz="4" w:space="0" w:color="auto"/>
            </w:tcBorders>
            <w:shd w:val="clear" w:color="auto" w:fill="auto"/>
          </w:tcPr>
          <w:p w:rsidR="00F53F88" w:rsidRPr="00CB21B0" w:rsidRDefault="00F53F88" w:rsidP="00180911">
            <w:pPr>
              <w:pStyle w:val="Tabletext"/>
            </w:pPr>
            <w:r w:rsidRPr="00CB21B0">
              <w:t>8</w:t>
            </w:r>
          </w:p>
        </w:tc>
        <w:tc>
          <w:tcPr>
            <w:tcW w:w="0" w:type="auto"/>
            <w:tcBorders>
              <w:bottom w:val="single" w:sz="4" w:space="0" w:color="auto"/>
            </w:tcBorders>
            <w:shd w:val="clear" w:color="auto" w:fill="auto"/>
          </w:tcPr>
          <w:p w:rsidR="00F53F88" w:rsidRPr="00CB21B0" w:rsidRDefault="00F53F88" w:rsidP="009F1121">
            <w:pPr>
              <w:pStyle w:val="Tabletext"/>
              <w:rPr>
                <w:b/>
                <w:i/>
              </w:rPr>
            </w:pPr>
            <w:r w:rsidRPr="00CB21B0">
              <w:t>Active constituent</w:t>
            </w:r>
            <w:r w:rsidR="00D92BAA" w:rsidRPr="00CB21B0">
              <w:t xml:space="preserve"> </w:t>
            </w:r>
            <w:r w:rsidRPr="00CB21B0">
              <w:t xml:space="preserve">classified in Table 3.1 of Annex VI </w:t>
            </w:r>
            <w:r w:rsidR="009F1121" w:rsidRPr="00CB21B0">
              <w:t>to</w:t>
            </w:r>
            <w:r w:rsidRPr="00CB21B0">
              <w:t xml:space="preserve"> the European Community Regulation Number 1272/2008 as Aquatic Acute 1 or Aquatic Chronic 1</w:t>
            </w:r>
            <w:r w:rsidR="009F1121" w:rsidRPr="00CB21B0">
              <w:t>,</w:t>
            </w:r>
            <w:r w:rsidR="006E605A" w:rsidRPr="00CB21B0">
              <w:t xml:space="preserve"> </w:t>
            </w:r>
            <w:r w:rsidRPr="00CB21B0">
              <w:t>other than an active constituent mentioned in any of items</w:t>
            </w:r>
            <w:r w:rsidR="00CB21B0" w:rsidRPr="00CB21B0">
              <w:t> </w:t>
            </w:r>
            <w:r w:rsidRPr="00CB21B0">
              <w:t>1 to 7</w:t>
            </w:r>
          </w:p>
        </w:tc>
        <w:tc>
          <w:tcPr>
            <w:tcW w:w="0" w:type="auto"/>
            <w:tcBorders>
              <w:bottom w:val="single" w:sz="4" w:space="0" w:color="auto"/>
            </w:tcBorders>
            <w:shd w:val="clear" w:color="auto" w:fill="auto"/>
          </w:tcPr>
          <w:p w:rsidR="00F53F88" w:rsidRPr="00CB21B0" w:rsidRDefault="00092827" w:rsidP="00AD5708">
            <w:pPr>
              <w:pStyle w:val="Tabletext"/>
            </w:pPr>
            <w:r w:rsidRPr="00CB21B0">
              <w:t>The date determined by the APVMA. The date must be not less than 7 years, and less than 13 y</w:t>
            </w:r>
            <w:r w:rsidR="00F73CEB" w:rsidRPr="00CB21B0">
              <w:t>ears, after the approval event.</w:t>
            </w:r>
          </w:p>
        </w:tc>
        <w:tc>
          <w:tcPr>
            <w:tcW w:w="0" w:type="auto"/>
            <w:tcBorders>
              <w:bottom w:val="single" w:sz="4" w:space="0" w:color="auto"/>
            </w:tcBorders>
            <w:shd w:val="clear" w:color="auto" w:fill="auto"/>
          </w:tcPr>
          <w:p w:rsidR="00F53F88" w:rsidRPr="00CB21B0" w:rsidRDefault="00092827" w:rsidP="00F73CEB">
            <w:pPr>
              <w:pStyle w:val="Tabletext"/>
            </w:pPr>
            <w:r w:rsidRPr="00CB21B0">
              <w:t>The date determined by the APVMA. The date must be not less than 10 years, and less than 13 years, after the approval event.</w:t>
            </w:r>
          </w:p>
        </w:tc>
      </w:tr>
      <w:tr w:rsidR="007B52B8" w:rsidRPr="00CB21B0" w:rsidTr="00220E1B">
        <w:tc>
          <w:tcPr>
            <w:tcW w:w="0" w:type="auto"/>
            <w:tcBorders>
              <w:bottom w:val="single" w:sz="12" w:space="0" w:color="auto"/>
            </w:tcBorders>
            <w:shd w:val="clear" w:color="auto" w:fill="auto"/>
          </w:tcPr>
          <w:p w:rsidR="00F53F88" w:rsidRPr="00CB21B0" w:rsidRDefault="00F53F88" w:rsidP="00180911">
            <w:pPr>
              <w:pStyle w:val="Tabletext"/>
            </w:pPr>
            <w:r w:rsidRPr="00CB21B0">
              <w:lastRenderedPageBreak/>
              <w:t>9</w:t>
            </w:r>
          </w:p>
        </w:tc>
        <w:tc>
          <w:tcPr>
            <w:tcW w:w="0" w:type="auto"/>
            <w:tcBorders>
              <w:bottom w:val="single" w:sz="12" w:space="0" w:color="auto"/>
            </w:tcBorders>
            <w:shd w:val="clear" w:color="auto" w:fill="auto"/>
          </w:tcPr>
          <w:p w:rsidR="00F53F88" w:rsidRPr="00CB21B0" w:rsidRDefault="00F53F88" w:rsidP="00180911">
            <w:pPr>
              <w:pStyle w:val="Tabletext"/>
            </w:pPr>
            <w:r w:rsidRPr="00CB21B0">
              <w:t>Active constituent not mentioned in any of items</w:t>
            </w:r>
            <w:r w:rsidR="00CB21B0" w:rsidRPr="00CB21B0">
              <w:t> </w:t>
            </w:r>
            <w:r w:rsidRPr="00CB21B0">
              <w:t>1 to 8</w:t>
            </w:r>
          </w:p>
        </w:tc>
        <w:tc>
          <w:tcPr>
            <w:tcW w:w="0" w:type="auto"/>
            <w:tcBorders>
              <w:bottom w:val="single" w:sz="12" w:space="0" w:color="auto"/>
            </w:tcBorders>
            <w:shd w:val="clear" w:color="auto" w:fill="auto"/>
          </w:tcPr>
          <w:p w:rsidR="00F53F88" w:rsidRPr="00CB21B0" w:rsidRDefault="00092827" w:rsidP="00092827">
            <w:pPr>
              <w:pStyle w:val="Tabletext"/>
            </w:pPr>
            <w:r w:rsidRPr="00CB21B0">
              <w:t>The date determined by the APVMA. The date must be not less than 7 years, and less than 15 years, after the approval event.</w:t>
            </w:r>
          </w:p>
        </w:tc>
        <w:tc>
          <w:tcPr>
            <w:tcW w:w="0" w:type="auto"/>
            <w:tcBorders>
              <w:bottom w:val="single" w:sz="12" w:space="0" w:color="auto"/>
            </w:tcBorders>
            <w:shd w:val="clear" w:color="auto" w:fill="auto"/>
          </w:tcPr>
          <w:p w:rsidR="00F53F88" w:rsidRPr="00CB21B0" w:rsidRDefault="00092827" w:rsidP="00092827">
            <w:pPr>
              <w:pStyle w:val="Tabletext"/>
            </w:pPr>
            <w:r w:rsidRPr="00CB21B0">
              <w:t>The date determined by the APVMA. The date must be not less than 13 years, and less than 15 years, after the approval event.</w:t>
            </w:r>
          </w:p>
        </w:tc>
      </w:tr>
    </w:tbl>
    <w:p w:rsidR="00F53F88" w:rsidRPr="00CB21B0" w:rsidRDefault="00F53F88" w:rsidP="00F53F88">
      <w:pPr>
        <w:pStyle w:val="Tabletext"/>
      </w:pPr>
    </w:p>
    <w:p w:rsidR="00F27DF5" w:rsidRPr="00CB21B0" w:rsidRDefault="00F27DF5" w:rsidP="00F27DF5">
      <w:pPr>
        <w:pStyle w:val="notetext"/>
      </w:pPr>
      <w:r w:rsidRPr="00CB21B0">
        <w:t>Note:</w:t>
      </w:r>
      <w:r w:rsidRPr="00CB21B0">
        <w:tab/>
        <w:t>The APVMA may also determine an end date that is less than 7 years so that the end date is the same as the end date for another approval of the same active constituent</w:t>
      </w:r>
      <w:r w:rsidR="009F1121" w:rsidRPr="00CB21B0">
        <w:t xml:space="preserve">: </w:t>
      </w:r>
      <w:r w:rsidRPr="00CB21B0">
        <w:t>see subsections</w:t>
      </w:r>
      <w:r w:rsidR="00CB21B0" w:rsidRPr="00CB21B0">
        <w:t> </w:t>
      </w:r>
      <w:r w:rsidRPr="00CB21B0">
        <w:t>19(3), 29J(3) and 34AE(3) of the Code.</w:t>
      </w:r>
    </w:p>
    <w:p w:rsidR="003B3937" w:rsidRPr="00CB21B0" w:rsidRDefault="00D83B5B" w:rsidP="003B3937">
      <w:pPr>
        <w:pStyle w:val="subsection"/>
      </w:pPr>
      <w:r w:rsidRPr="00CB21B0">
        <w:tab/>
      </w:r>
      <w:r w:rsidR="003B3937" w:rsidRPr="00CB21B0">
        <w:t>(</w:t>
      </w:r>
      <w:r w:rsidR="00092EC3" w:rsidRPr="00CB21B0">
        <w:t>3</w:t>
      </w:r>
      <w:r w:rsidR="003B3937" w:rsidRPr="00CB21B0">
        <w:t>)</w:t>
      </w:r>
      <w:r w:rsidR="003B3937" w:rsidRPr="00CB21B0">
        <w:tab/>
        <w:t>An end date determined by the APVMA under this regulation must be the last day of a calendar month.</w:t>
      </w:r>
    </w:p>
    <w:p w:rsidR="003B3937" w:rsidRPr="00CB21B0" w:rsidRDefault="003B3937" w:rsidP="003B3937">
      <w:pPr>
        <w:pStyle w:val="subsection"/>
      </w:pPr>
      <w:r w:rsidRPr="00CB21B0">
        <w:tab/>
        <w:t>(</w:t>
      </w:r>
      <w:r w:rsidR="00092EC3" w:rsidRPr="00CB21B0">
        <w:t>4</w:t>
      </w:r>
      <w:r w:rsidRPr="00CB21B0">
        <w:t>)</w:t>
      </w:r>
      <w:r w:rsidRPr="00CB21B0">
        <w:tab/>
        <w:t>In determining an end date</w:t>
      </w:r>
      <w:r w:rsidR="00F53F88" w:rsidRPr="00CB21B0">
        <w:t xml:space="preserve"> under this regulation</w:t>
      </w:r>
      <w:r w:rsidRPr="00CB21B0">
        <w:t>, the APVMA must have regard to the efficient allocation of the resources of the APVMA for determining and assessing re</w:t>
      </w:r>
      <w:r w:rsidR="00CB21B0">
        <w:noBreakHyphen/>
      </w:r>
      <w:r w:rsidRPr="00CB21B0">
        <w:t xml:space="preserve">approval </w:t>
      </w:r>
      <w:r w:rsidR="00557055" w:rsidRPr="00CB21B0">
        <w:t>and re</w:t>
      </w:r>
      <w:r w:rsidR="00CB21B0">
        <w:noBreakHyphen/>
      </w:r>
      <w:r w:rsidR="00557055" w:rsidRPr="00CB21B0">
        <w:t xml:space="preserve">registration </w:t>
      </w:r>
      <w:r w:rsidRPr="00CB21B0">
        <w:t>applications.</w:t>
      </w:r>
    </w:p>
    <w:p w:rsidR="003B3937" w:rsidRPr="00CB21B0" w:rsidRDefault="003B3937" w:rsidP="003B3937">
      <w:pPr>
        <w:pStyle w:val="subsection"/>
      </w:pPr>
      <w:r w:rsidRPr="00CB21B0">
        <w:tab/>
        <w:t>(</w:t>
      </w:r>
      <w:r w:rsidR="00092EC3" w:rsidRPr="00CB21B0">
        <w:t>5</w:t>
      </w:r>
      <w:r w:rsidRPr="00CB21B0">
        <w:t>)</w:t>
      </w:r>
      <w:r w:rsidRPr="00CB21B0">
        <w:tab/>
        <w:t>In th</w:t>
      </w:r>
      <w:r w:rsidR="00F53F88" w:rsidRPr="00CB21B0">
        <w:t>is regulation</w:t>
      </w:r>
      <w:r w:rsidRPr="00CB21B0">
        <w:t>:</w:t>
      </w:r>
    </w:p>
    <w:p w:rsidR="003B3937" w:rsidRPr="00CB21B0" w:rsidRDefault="00146245" w:rsidP="003B3937">
      <w:pPr>
        <w:pStyle w:val="Definition"/>
      </w:pPr>
      <w:r w:rsidRPr="00CB21B0">
        <w:rPr>
          <w:b/>
          <w:i/>
        </w:rPr>
        <w:t>approval</w:t>
      </w:r>
      <w:r w:rsidR="003B3937" w:rsidRPr="00CB21B0">
        <w:rPr>
          <w:b/>
          <w:i/>
        </w:rPr>
        <w:t xml:space="preserve"> </w:t>
      </w:r>
      <w:r w:rsidR="00710430" w:rsidRPr="00CB21B0">
        <w:rPr>
          <w:b/>
          <w:i/>
        </w:rPr>
        <w:t>event</w:t>
      </w:r>
      <w:r w:rsidR="003B3937" w:rsidRPr="00CB21B0">
        <w:t>:</w:t>
      </w:r>
    </w:p>
    <w:p w:rsidR="003B3937" w:rsidRPr="00CB21B0" w:rsidRDefault="003B3937" w:rsidP="003B3937">
      <w:pPr>
        <w:pStyle w:val="paragraph"/>
      </w:pPr>
      <w:r w:rsidRPr="00CB21B0">
        <w:tab/>
        <w:t>(a)</w:t>
      </w:r>
      <w:r w:rsidRPr="00CB21B0">
        <w:tab/>
        <w:t>for the approval of an active constituent—means the date on which the approval</w:t>
      </w:r>
      <w:r w:rsidR="00F53F88" w:rsidRPr="00CB21B0">
        <w:t xml:space="preserve"> takes place</w:t>
      </w:r>
      <w:r w:rsidRPr="00CB21B0">
        <w:t>; and</w:t>
      </w:r>
    </w:p>
    <w:p w:rsidR="003B3937" w:rsidRPr="00CB21B0" w:rsidRDefault="003B3937" w:rsidP="003B3937">
      <w:pPr>
        <w:pStyle w:val="paragraph"/>
      </w:pPr>
      <w:r w:rsidRPr="00CB21B0">
        <w:tab/>
        <w:t>(b)</w:t>
      </w:r>
      <w:r w:rsidRPr="00CB21B0">
        <w:tab/>
        <w:t xml:space="preserve">for the </w:t>
      </w:r>
      <w:r w:rsidR="005E6D04" w:rsidRPr="00CB21B0">
        <w:t xml:space="preserve">approval as </w:t>
      </w:r>
      <w:r w:rsidRPr="00CB21B0">
        <w:t>re</w:t>
      </w:r>
      <w:r w:rsidR="00CB21B0">
        <w:noBreakHyphen/>
      </w:r>
      <w:r w:rsidRPr="00CB21B0">
        <w:t>approval of an active constituent—means the date on which the re</w:t>
      </w:r>
      <w:r w:rsidR="00CB21B0">
        <w:noBreakHyphen/>
      </w:r>
      <w:r w:rsidRPr="00CB21B0">
        <w:t xml:space="preserve">approval </w:t>
      </w:r>
      <w:r w:rsidR="00F53F88" w:rsidRPr="00CB21B0">
        <w:t>takes place</w:t>
      </w:r>
      <w:r w:rsidRPr="00CB21B0">
        <w:t>; and</w:t>
      </w:r>
    </w:p>
    <w:p w:rsidR="003B3937" w:rsidRPr="00CB21B0" w:rsidRDefault="003B3937" w:rsidP="003B3937">
      <w:pPr>
        <w:pStyle w:val="paragraph"/>
      </w:pPr>
      <w:r w:rsidRPr="00CB21B0">
        <w:tab/>
        <w:t>(c)</w:t>
      </w:r>
      <w:r w:rsidRPr="00CB21B0">
        <w:tab/>
        <w:t xml:space="preserve">for a variation of the </w:t>
      </w:r>
      <w:r w:rsidR="00F53F88" w:rsidRPr="00CB21B0">
        <w:t>end date for the approval of</w:t>
      </w:r>
      <w:r w:rsidRPr="00CB21B0">
        <w:t xml:space="preserve"> an active constituent, following a</w:t>
      </w:r>
      <w:r w:rsidR="00092EC3" w:rsidRPr="00CB21B0">
        <w:t xml:space="preserve"> reconsideration of the approval under Division</w:t>
      </w:r>
      <w:r w:rsidR="00CB21B0" w:rsidRPr="00CB21B0">
        <w:t> </w:t>
      </w:r>
      <w:r w:rsidR="002221F3" w:rsidRPr="00CB21B0">
        <w:t>4</w:t>
      </w:r>
      <w:r w:rsidR="00092EC3" w:rsidRPr="00CB21B0">
        <w:t xml:space="preserve"> of Part</w:t>
      </w:r>
      <w:r w:rsidR="00CB21B0" w:rsidRPr="00CB21B0">
        <w:t> </w:t>
      </w:r>
      <w:r w:rsidR="00092EC3" w:rsidRPr="00CB21B0">
        <w:t>2 of the Code</w:t>
      </w:r>
      <w:r w:rsidR="007F4046" w:rsidRPr="00CB21B0">
        <w:t xml:space="preserve">—means the date on which the </w:t>
      </w:r>
      <w:r w:rsidR="00F53F88" w:rsidRPr="00CB21B0">
        <w:t>variation takes place</w:t>
      </w:r>
      <w:r w:rsidRPr="00CB21B0">
        <w:t>.</w:t>
      </w:r>
    </w:p>
    <w:p w:rsidR="00146245" w:rsidRPr="00CB21B0" w:rsidRDefault="00146245" w:rsidP="00146245">
      <w:pPr>
        <w:pStyle w:val="Definition"/>
      </w:pPr>
      <w:r w:rsidRPr="00CB21B0">
        <w:rPr>
          <w:b/>
          <w:i/>
        </w:rPr>
        <w:lastRenderedPageBreak/>
        <w:t>end date</w:t>
      </w:r>
      <w:r w:rsidRPr="00CB21B0">
        <w:t>, for an approval of an active constituent, means the date on which the approval ends.</w:t>
      </w:r>
    </w:p>
    <w:p w:rsidR="003B3937" w:rsidRPr="00CB21B0" w:rsidRDefault="007F4046" w:rsidP="007F4046">
      <w:pPr>
        <w:pStyle w:val="subsection"/>
      </w:pPr>
      <w:r w:rsidRPr="00CB21B0">
        <w:tab/>
        <w:t>(</w:t>
      </w:r>
      <w:r w:rsidR="00F53F88" w:rsidRPr="00CB21B0">
        <w:t>6</w:t>
      </w:r>
      <w:r w:rsidRPr="00CB21B0">
        <w:t>)</w:t>
      </w:r>
      <w:r w:rsidRPr="00CB21B0">
        <w:tab/>
        <w:t>In this regulation, r</w:t>
      </w:r>
      <w:r w:rsidR="003B3937" w:rsidRPr="00CB21B0">
        <w:t>eferences to the European Community Regulation Number 1272/2008 are to that Regulation as amended from time to time.</w:t>
      </w:r>
    </w:p>
    <w:p w:rsidR="00F53F88" w:rsidRPr="00CB21B0" w:rsidRDefault="00F53F88" w:rsidP="00F53F88">
      <w:pPr>
        <w:pStyle w:val="ActHead5"/>
      </w:pPr>
      <w:bookmarkStart w:id="53" w:name="_Toc361055051"/>
      <w:r w:rsidRPr="00CB21B0">
        <w:rPr>
          <w:rStyle w:val="CharSectno"/>
        </w:rPr>
        <w:t>17B</w:t>
      </w:r>
      <w:r w:rsidRPr="00CB21B0">
        <w:t xml:space="preserve">  Last renewal dates for registrations and re</w:t>
      </w:r>
      <w:r w:rsidR="00CB21B0">
        <w:noBreakHyphen/>
      </w:r>
      <w:r w:rsidRPr="00CB21B0">
        <w:t>registrations</w:t>
      </w:r>
      <w:r w:rsidR="00710430" w:rsidRPr="00CB21B0">
        <w:t xml:space="preserve"> of chemical products</w:t>
      </w:r>
      <w:bookmarkEnd w:id="53"/>
    </w:p>
    <w:p w:rsidR="00092EC3" w:rsidRPr="00CB21B0" w:rsidRDefault="00F53F88" w:rsidP="00F53F88">
      <w:pPr>
        <w:pStyle w:val="subsection"/>
      </w:pPr>
      <w:r w:rsidRPr="00CB21B0">
        <w:tab/>
        <w:t>(1)</w:t>
      </w:r>
      <w:r w:rsidRPr="00CB21B0">
        <w:tab/>
      </w:r>
      <w:r w:rsidR="00E819F9" w:rsidRPr="00CB21B0">
        <w:t>F</w:t>
      </w:r>
      <w:r w:rsidRPr="00CB21B0">
        <w:t>or subsections</w:t>
      </w:r>
      <w:r w:rsidR="00CB21B0" w:rsidRPr="00CB21B0">
        <w:t> </w:t>
      </w:r>
      <w:r w:rsidRPr="00CB21B0">
        <w:t>20(2), 29K(2) and 34AE(2) of the Code</w:t>
      </w:r>
      <w:r w:rsidR="00E819F9" w:rsidRPr="00CB21B0">
        <w:t>, this regulation prescribes the method for working out the last renewal date for the registration</w:t>
      </w:r>
      <w:r w:rsidR="00092EC3" w:rsidRPr="00CB21B0">
        <w:t xml:space="preserve"> </w:t>
      </w:r>
      <w:r w:rsidR="00E819F9" w:rsidRPr="00CB21B0">
        <w:t>of a chemical product</w:t>
      </w:r>
      <w:r w:rsidR="00092EC3" w:rsidRPr="00CB21B0">
        <w:t>, including:</w:t>
      </w:r>
    </w:p>
    <w:p w:rsidR="00092EC3" w:rsidRPr="00CB21B0" w:rsidRDefault="00092EC3" w:rsidP="00092EC3">
      <w:pPr>
        <w:pStyle w:val="paragraph"/>
      </w:pPr>
      <w:r w:rsidRPr="00CB21B0">
        <w:tab/>
        <w:t>(a)</w:t>
      </w:r>
      <w:r w:rsidRPr="00CB21B0">
        <w:tab/>
        <w:t>a registration as re</w:t>
      </w:r>
      <w:r w:rsidR="00CB21B0">
        <w:noBreakHyphen/>
      </w:r>
      <w:r w:rsidRPr="00CB21B0">
        <w:t>registration of the chemical product; and</w:t>
      </w:r>
    </w:p>
    <w:p w:rsidR="00092EC3" w:rsidRPr="00CB21B0" w:rsidRDefault="00092EC3" w:rsidP="00092EC3">
      <w:pPr>
        <w:pStyle w:val="paragraph"/>
      </w:pPr>
      <w:r w:rsidRPr="00CB21B0">
        <w:tab/>
        <w:t>(b)</w:t>
      </w:r>
      <w:r w:rsidRPr="00CB21B0">
        <w:tab/>
        <w:t>a variation of the last renewal date by the APVMA following a reconsideration of the registration under Division</w:t>
      </w:r>
      <w:r w:rsidR="00CB21B0" w:rsidRPr="00CB21B0">
        <w:t> </w:t>
      </w:r>
      <w:r w:rsidR="002221F3" w:rsidRPr="00CB21B0">
        <w:t>4</w:t>
      </w:r>
      <w:r w:rsidRPr="00CB21B0">
        <w:t xml:space="preserve"> of Part</w:t>
      </w:r>
      <w:r w:rsidR="00CB21B0" w:rsidRPr="00CB21B0">
        <w:t> </w:t>
      </w:r>
      <w:r w:rsidRPr="00CB21B0">
        <w:t>2 of the Code.</w:t>
      </w:r>
    </w:p>
    <w:p w:rsidR="009A62D2" w:rsidRPr="00CB21B0" w:rsidRDefault="009A62D2" w:rsidP="009A62D2">
      <w:pPr>
        <w:pStyle w:val="notetext"/>
      </w:pPr>
      <w:r w:rsidRPr="00CB21B0">
        <w:t>Note:</w:t>
      </w:r>
      <w:r w:rsidRPr="00CB21B0">
        <w:tab/>
        <w:t>See also sections</w:t>
      </w:r>
      <w:r w:rsidR="00CB21B0" w:rsidRPr="00CB21B0">
        <w:t> </w:t>
      </w:r>
      <w:r w:rsidRPr="00CB21B0">
        <w:t>26D, 29B and 34A of the Code for entering last renewal dates when relevant particulars or conditions are varied.</w:t>
      </w:r>
    </w:p>
    <w:p w:rsidR="00E819F9" w:rsidRPr="00CB21B0" w:rsidRDefault="00E819F9" w:rsidP="00E819F9">
      <w:pPr>
        <w:pStyle w:val="subsection"/>
      </w:pPr>
      <w:r w:rsidRPr="00CB21B0">
        <w:tab/>
        <w:t>(2)</w:t>
      </w:r>
      <w:r w:rsidRPr="00CB21B0">
        <w:tab/>
        <w:t xml:space="preserve">The last renewal date for the registration of a chemical product mentioned in column 1 for an item </w:t>
      </w:r>
      <w:r w:rsidR="00610BCA" w:rsidRPr="00CB21B0">
        <w:t>in</w:t>
      </w:r>
      <w:r w:rsidRPr="00CB21B0">
        <w:t xml:space="preserve"> the following table is as follows:</w:t>
      </w:r>
    </w:p>
    <w:p w:rsidR="00E819F9" w:rsidRPr="00CB21B0" w:rsidRDefault="00E819F9" w:rsidP="00E819F9">
      <w:pPr>
        <w:pStyle w:val="paragraph"/>
      </w:pPr>
      <w:r w:rsidRPr="00CB21B0">
        <w:tab/>
        <w:t>(a)</w:t>
      </w:r>
      <w:r w:rsidRPr="00CB21B0">
        <w:tab/>
        <w:t xml:space="preserve">if the APVMA </w:t>
      </w:r>
      <w:r w:rsidR="00005AA5" w:rsidRPr="00CB21B0">
        <w:t xml:space="preserve">determines that the </w:t>
      </w:r>
      <w:r w:rsidRPr="00CB21B0">
        <w:t xml:space="preserve">last renewal date </w:t>
      </w:r>
      <w:r w:rsidR="00005AA5" w:rsidRPr="00CB21B0">
        <w:t xml:space="preserve">should be </w:t>
      </w:r>
      <w:r w:rsidR="002221F3" w:rsidRPr="00CB21B0">
        <w:t>aligned with</w:t>
      </w:r>
      <w:r w:rsidR="00005AA5" w:rsidRPr="00CB21B0">
        <w:t xml:space="preserve"> the </w:t>
      </w:r>
      <w:r w:rsidRPr="00CB21B0">
        <w:t>last renewal date for another chemical product</w:t>
      </w:r>
      <w:r w:rsidR="00005AA5" w:rsidRPr="00CB21B0">
        <w:t xml:space="preserve"> containing one or more of the same active constituents</w:t>
      </w:r>
      <w:r w:rsidR="0026091E" w:rsidRPr="00CB21B0">
        <w:t>—t</w:t>
      </w:r>
      <w:r w:rsidRPr="00CB21B0">
        <w:t>he date mentioned in column 2 for the item;</w:t>
      </w:r>
    </w:p>
    <w:p w:rsidR="003425C9" w:rsidRPr="00CB21B0" w:rsidRDefault="00E819F9" w:rsidP="0026091E">
      <w:pPr>
        <w:pStyle w:val="paragraph"/>
      </w:pPr>
      <w:r w:rsidRPr="00CB21B0">
        <w:tab/>
        <w:t>(b)</w:t>
      </w:r>
      <w:r w:rsidRPr="00CB21B0">
        <w:tab/>
        <w:t>in any other case—the date mentioned in column 3 for the item.</w:t>
      </w:r>
    </w:p>
    <w:p w:rsidR="007F4046" w:rsidRPr="00CB21B0" w:rsidRDefault="007F4046" w:rsidP="003425C9">
      <w:pPr>
        <w:pStyle w:val="Tabletext"/>
      </w:pPr>
    </w:p>
    <w:tbl>
      <w:tblPr>
        <w:tblW w:w="0" w:type="auto"/>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2984"/>
        <w:gridCol w:w="1801"/>
        <w:gridCol w:w="1794"/>
      </w:tblGrid>
      <w:tr w:rsidR="00220E1B" w:rsidRPr="00CB21B0" w:rsidTr="00220E1B">
        <w:trPr>
          <w:tblHeader/>
        </w:trPr>
        <w:tc>
          <w:tcPr>
            <w:tcW w:w="7195" w:type="dxa"/>
            <w:gridSpan w:val="4"/>
            <w:tcBorders>
              <w:top w:val="single" w:sz="12" w:space="0" w:color="auto"/>
              <w:bottom w:val="single" w:sz="6" w:space="0" w:color="auto"/>
            </w:tcBorders>
            <w:shd w:val="clear" w:color="auto" w:fill="auto"/>
          </w:tcPr>
          <w:p w:rsidR="00220E1B" w:rsidRPr="00CB21B0" w:rsidRDefault="00220E1B" w:rsidP="00180911">
            <w:pPr>
              <w:pStyle w:val="TableHeading"/>
            </w:pPr>
            <w:r w:rsidRPr="00CB21B0">
              <w:t>Last renewal dates for registrations and re</w:t>
            </w:r>
            <w:r w:rsidR="00CB21B0">
              <w:noBreakHyphen/>
            </w:r>
            <w:r w:rsidRPr="00CB21B0">
              <w:t>registrations of chemical products</w:t>
            </w:r>
          </w:p>
        </w:tc>
      </w:tr>
      <w:tr w:rsidR="00D83B5B" w:rsidRPr="00CB21B0" w:rsidTr="00220E1B">
        <w:trPr>
          <w:tblHeader/>
        </w:trPr>
        <w:tc>
          <w:tcPr>
            <w:tcW w:w="0" w:type="auto"/>
            <w:tcBorders>
              <w:top w:val="single" w:sz="6" w:space="0" w:color="auto"/>
              <w:bottom w:val="single" w:sz="12" w:space="0" w:color="auto"/>
            </w:tcBorders>
            <w:shd w:val="clear" w:color="auto" w:fill="auto"/>
          </w:tcPr>
          <w:p w:rsidR="003462DF" w:rsidRPr="00CB21B0" w:rsidRDefault="003462DF" w:rsidP="00180911">
            <w:pPr>
              <w:pStyle w:val="TableHeading"/>
            </w:pPr>
            <w:r w:rsidRPr="00CB21B0">
              <w:t>Item</w:t>
            </w:r>
          </w:p>
        </w:tc>
        <w:tc>
          <w:tcPr>
            <w:tcW w:w="0" w:type="auto"/>
            <w:tcBorders>
              <w:top w:val="single" w:sz="6" w:space="0" w:color="auto"/>
              <w:bottom w:val="single" w:sz="12" w:space="0" w:color="auto"/>
            </w:tcBorders>
            <w:shd w:val="clear" w:color="auto" w:fill="auto"/>
          </w:tcPr>
          <w:p w:rsidR="003462DF" w:rsidRPr="00CB21B0" w:rsidRDefault="003462DF" w:rsidP="00180911">
            <w:pPr>
              <w:pStyle w:val="Tabletext"/>
              <w:rPr>
                <w:b/>
              </w:rPr>
            </w:pPr>
            <w:r w:rsidRPr="00CB21B0">
              <w:rPr>
                <w:b/>
              </w:rPr>
              <w:t>Column 1</w:t>
            </w:r>
          </w:p>
          <w:p w:rsidR="003462DF" w:rsidRPr="00CB21B0" w:rsidRDefault="0048673E" w:rsidP="00180911">
            <w:pPr>
              <w:pStyle w:val="Tabletext"/>
            </w:pPr>
            <w:r w:rsidRPr="00CB21B0">
              <w:rPr>
                <w:b/>
              </w:rPr>
              <w:t>Chemical product</w:t>
            </w:r>
          </w:p>
        </w:tc>
        <w:tc>
          <w:tcPr>
            <w:tcW w:w="1801" w:type="dxa"/>
            <w:tcBorders>
              <w:top w:val="single" w:sz="6" w:space="0" w:color="auto"/>
              <w:bottom w:val="single" w:sz="12" w:space="0" w:color="auto"/>
            </w:tcBorders>
            <w:shd w:val="clear" w:color="auto" w:fill="auto"/>
          </w:tcPr>
          <w:p w:rsidR="003462DF" w:rsidRPr="00CB21B0" w:rsidRDefault="003462DF" w:rsidP="00180911">
            <w:pPr>
              <w:pStyle w:val="TableHeading"/>
            </w:pPr>
            <w:r w:rsidRPr="00CB21B0">
              <w:t>Column 2</w:t>
            </w:r>
          </w:p>
          <w:p w:rsidR="003462DF" w:rsidRPr="00CB21B0" w:rsidRDefault="00675EBE" w:rsidP="002221F3">
            <w:pPr>
              <w:pStyle w:val="TableHeading"/>
            </w:pPr>
            <w:r w:rsidRPr="00CB21B0">
              <w:t xml:space="preserve">Last renewal date </w:t>
            </w:r>
            <w:r w:rsidR="003462DF" w:rsidRPr="00CB21B0">
              <w:t>if aligned</w:t>
            </w:r>
            <w:r w:rsidRPr="00CB21B0">
              <w:t xml:space="preserve"> </w:t>
            </w:r>
            <w:r w:rsidR="002221F3" w:rsidRPr="00CB21B0">
              <w:t>with</w:t>
            </w:r>
            <w:r w:rsidRPr="00CB21B0">
              <w:t xml:space="preserve"> last renewal date for another chemical product</w:t>
            </w:r>
          </w:p>
        </w:tc>
        <w:tc>
          <w:tcPr>
            <w:tcW w:w="1794" w:type="dxa"/>
            <w:tcBorders>
              <w:top w:val="single" w:sz="6" w:space="0" w:color="auto"/>
              <w:bottom w:val="single" w:sz="12" w:space="0" w:color="auto"/>
            </w:tcBorders>
            <w:shd w:val="clear" w:color="auto" w:fill="auto"/>
          </w:tcPr>
          <w:p w:rsidR="003462DF" w:rsidRPr="00CB21B0" w:rsidRDefault="003462DF" w:rsidP="00180911">
            <w:pPr>
              <w:pStyle w:val="TableHeading"/>
            </w:pPr>
            <w:r w:rsidRPr="00CB21B0">
              <w:t xml:space="preserve">Column </w:t>
            </w:r>
            <w:r w:rsidR="00E31D40" w:rsidRPr="00CB21B0">
              <w:t>3</w:t>
            </w:r>
          </w:p>
          <w:p w:rsidR="003462DF" w:rsidRPr="00CB21B0" w:rsidRDefault="00E819F9" w:rsidP="002221F3">
            <w:pPr>
              <w:pStyle w:val="TableHeading"/>
            </w:pPr>
            <w:r w:rsidRPr="00CB21B0">
              <w:t xml:space="preserve">Last renewal date if </w:t>
            </w:r>
            <w:r w:rsidR="002221F3" w:rsidRPr="00CB21B0">
              <w:t xml:space="preserve">not </w:t>
            </w:r>
            <w:r w:rsidRPr="00CB21B0">
              <w:t xml:space="preserve">aligned </w:t>
            </w:r>
            <w:r w:rsidR="002221F3" w:rsidRPr="00CB21B0">
              <w:t>with</w:t>
            </w:r>
            <w:r w:rsidRPr="00CB21B0">
              <w:t xml:space="preserve"> last renewal date for another chemical product</w:t>
            </w:r>
          </w:p>
        </w:tc>
      </w:tr>
      <w:tr w:rsidR="00D83B5B" w:rsidRPr="00CB21B0" w:rsidTr="00220E1B">
        <w:tc>
          <w:tcPr>
            <w:tcW w:w="0" w:type="auto"/>
            <w:tcBorders>
              <w:top w:val="single" w:sz="12" w:space="0" w:color="auto"/>
            </w:tcBorders>
            <w:shd w:val="clear" w:color="auto" w:fill="auto"/>
          </w:tcPr>
          <w:p w:rsidR="003462DF" w:rsidRPr="00CB21B0" w:rsidRDefault="003462DF" w:rsidP="00180911">
            <w:pPr>
              <w:pStyle w:val="Tabletext"/>
            </w:pPr>
            <w:r w:rsidRPr="00CB21B0">
              <w:t>1</w:t>
            </w:r>
          </w:p>
        </w:tc>
        <w:tc>
          <w:tcPr>
            <w:tcW w:w="0" w:type="auto"/>
            <w:tcBorders>
              <w:top w:val="single" w:sz="12" w:space="0" w:color="auto"/>
            </w:tcBorders>
            <w:shd w:val="clear" w:color="auto" w:fill="auto"/>
          </w:tcPr>
          <w:p w:rsidR="003462DF" w:rsidRPr="00CB21B0" w:rsidRDefault="00675EBE" w:rsidP="0048673E">
            <w:pPr>
              <w:pStyle w:val="Tabletext"/>
            </w:pPr>
            <w:r w:rsidRPr="00CB21B0">
              <w:t>Chemi</w:t>
            </w:r>
            <w:r w:rsidR="0048673E" w:rsidRPr="00CB21B0">
              <w:t>c</w:t>
            </w:r>
            <w:r w:rsidRPr="00CB21B0">
              <w:t>al product containing an a</w:t>
            </w:r>
            <w:r w:rsidR="003462DF" w:rsidRPr="00CB21B0">
              <w:t xml:space="preserve">ctive constituent mentioned in </w:t>
            </w:r>
            <w:r w:rsidR="003462DF" w:rsidRPr="00CB21B0">
              <w:lastRenderedPageBreak/>
              <w:t>Part</w:t>
            </w:r>
            <w:r w:rsidR="00CB21B0" w:rsidRPr="00CB21B0">
              <w:t> </w:t>
            </w:r>
            <w:r w:rsidR="003462DF" w:rsidRPr="00CB21B0">
              <w:t>2 or 3 of Schedule</w:t>
            </w:r>
            <w:r w:rsidR="00CB21B0" w:rsidRPr="00CB21B0">
              <w:t> </w:t>
            </w:r>
            <w:r w:rsidR="003462DF" w:rsidRPr="00CB21B0">
              <w:t xml:space="preserve">1 to the </w:t>
            </w:r>
            <w:r w:rsidR="003462DF" w:rsidRPr="00CB21B0">
              <w:rPr>
                <w:i/>
              </w:rPr>
              <w:t>Agricultural and Veterinary Chemicals (Administration) Regulations</w:t>
            </w:r>
            <w:r w:rsidR="00CB21B0" w:rsidRPr="00CB21B0">
              <w:rPr>
                <w:i/>
              </w:rPr>
              <w:t> </w:t>
            </w:r>
            <w:r w:rsidR="003462DF" w:rsidRPr="00CB21B0">
              <w:rPr>
                <w:i/>
              </w:rPr>
              <w:t>199</w:t>
            </w:r>
            <w:r w:rsidR="003462DF" w:rsidRPr="00CB21B0">
              <w:t>5</w:t>
            </w:r>
          </w:p>
        </w:tc>
        <w:tc>
          <w:tcPr>
            <w:tcW w:w="1801" w:type="dxa"/>
            <w:tcBorders>
              <w:top w:val="single" w:sz="12" w:space="0" w:color="auto"/>
            </w:tcBorders>
            <w:shd w:val="clear" w:color="auto" w:fill="auto"/>
          </w:tcPr>
          <w:p w:rsidR="003462DF" w:rsidRPr="00CB21B0" w:rsidRDefault="00092827" w:rsidP="00F73CEB">
            <w:pPr>
              <w:pStyle w:val="Tabletext"/>
            </w:pPr>
            <w:r w:rsidRPr="00CB21B0">
              <w:lastRenderedPageBreak/>
              <w:t xml:space="preserve">The date determined by the </w:t>
            </w:r>
            <w:r w:rsidRPr="00CB21B0">
              <w:lastRenderedPageBreak/>
              <w:t>APVMA. The date must be not less than 7 years, and less than 8 years, after the registration event.</w:t>
            </w:r>
          </w:p>
        </w:tc>
        <w:tc>
          <w:tcPr>
            <w:tcW w:w="1794" w:type="dxa"/>
            <w:tcBorders>
              <w:top w:val="single" w:sz="12" w:space="0" w:color="auto"/>
            </w:tcBorders>
            <w:shd w:val="clear" w:color="auto" w:fill="auto"/>
          </w:tcPr>
          <w:p w:rsidR="003462DF" w:rsidRPr="00CB21B0" w:rsidRDefault="00092827" w:rsidP="00180911">
            <w:pPr>
              <w:pStyle w:val="Tabletext"/>
              <w:rPr>
                <w:strike/>
              </w:rPr>
            </w:pPr>
            <w:r w:rsidRPr="00CB21B0">
              <w:lastRenderedPageBreak/>
              <w:t xml:space="preserve">The date determined by the </w:t>
            </w:r>
            <w:r w:rsidRPr="00CB21B0">
              <w:lastRenderedPageBreak/>
              <w:t>APVMA. The date must be not less than 7 years, and less than 8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lastRenderedPageBreak/>
              <w:t>2</w:t>
            </w:r>
          </w:p>
        </w:tc>
        <w:tc>
          <w:tcPr>
            <w:tcW w:w="0" w:type="auto"/>
            <w:shd w:val="clear" w:color="auto" w:fill="auto"/>
          </w:tcPr>
          <w:p w:rsidR="003462DF" w:rsidRPr="00CB21B0" w:rsidRDefault="0048673E" w:rsidP="0048673E">
            <w:pPr>
              <w:pStyle w:val="Tabletext"/>
            </w:pPr>
            <w:r w:rsidRPr="00CB21B0">
              <w:t>Chemical product containing m</w:t>
            </w:r>
            <w:r w:rsidR="003462DF" w:rsidRPr="00CB21B0">
              <w:t>ethyl bromide (bromomethane)</w:t>
            </w:r>
          </w:p>
        </w:tc>
        <w:tc>
          <w:tcPr>
            <w:tcW w:w="1801" w:type="dxa"/>
            <w:shd w:val="clear" w:color="auto" w:fill="auto"/>
          </w:tcPr>
          <w:p w:rsidR="003462DF" w:rsidRPr="00CB21B0" w:rsidRDefault="00092827" w:rsidP="00180911">
            <w:pPr>
              <w:pStyle w:val="Tabletext"/>
            </w:pPr>
            <w:r w:rsidRPr="00CB21B0">
              <w:t>The date determined by the APVMA. The date must be not less than 7 years, and less than 8 years</w:t>
            </w:r>
            <w:r w:rsidR="00F73CEB" w:rsidRPr="00CB21B0">
              <w:t>, after the registration event.</w:t>
            </w:r>
          </w:p>
        </w:tc>
        <w:tc>
          <w:tcPr>
            <w:tcW w:w="1794" w:type="dxa"/>
            <w:shd w:val="clear" w:color="auto" w:fill="auto"/>
          </w:tcPr>
          <w:p w:rsidR="003462DF" w:rsidRPr="00CB21B0" w:rsidRDefault="00092827" w:rsidP="00180911">
            <w:pPr>
              <w:pStyle w:val="Tabletext"/>
            </w:pPr>
            <w:r w:rsidRPr="00CB21B0">
              <w:t>The date determined by the APVMA. The date must be not less than 7 years, and less than 8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t>3</w:t>
            </w:r>
          </w:p>
        </w:tc>
        <w:tc>
          <w:tcPr>
            <w:tcW w:w="0" w:type="auto"/>
            <w:shd w:val="clear" w:color="auto" w:fill="auto"/>
          </w:tcPr>
          <w:p w:rsidR="003462DF" w:rsidRPr="00CB21B0" w:rsidRDefault="0048673E" w:rsidP="0048673E">
            <w:pPr>
              <w:pStyle w:val="Tabletext"/>
            </w:pPr>
            <w:r w:rsidRPr="00CB21B0">
              <w:t>Chemical product containing an a</w:t>
            </w:r>
            <w:r w:rsidR="003462DF" w:rsidRPr="00CB21B0">
              <w:t>ctive constituent mentioned in Schedule</w:t>
            </w:r>
            <w:r w:rsidR="00CB21B0" w:rsidRPr="00CB21B0">
              <w:t> </w:t>
            </w:r>
            <w:r w:rsidR="003462DF" w:rsidRPr="00CB21B0">
              <w:t>9 or Appendix C of the current Poisons Standard</w:t>
            </w:r>
          </w:p>
        </w:tc>
        <w:tc>
          <w:tcPr>
            <w:tcW w:w="1801" w:type="dxa"/>
            <w:shd w:val="clear" w:color="auto" w:fill="auto"/>
          </w:tcPr>
          <w:p w:rsidR="003462DF" w:rsidRPr="00CB21B0" w:rsidRDefault="00092827" w:rsidP="00180911">
            <w:pPr>
              <w:pStyle w:val="Tabletext"/>
            </w:pPr>
            <w:r w:rsidRPr="00CB21B0">
              <w:t>The date determined by the APVMA. The date must be not less than 7 years, and less than 8 years</w:t>
            </w:r>
            <w:r w:rsidR="00F73CEB" w:rsidRPr="00CB21B0">
              <w:t>, after the registration event.</w:t>
            </w:r>
          </w:p>
        </w:tc>
        <w:tc>
          <w:tcPr>
            <w:tcW w:w="1794" w:type="dxa"/>
            <w:shd w:val="clear" w:color="auto" w:fill="auto"/>
          </w:tcPr>
          <w:p w:rsidR="003462DF" w:rsidRPr="00CB21B0" w:rsidRDefault="00092827" w:rsidP="00180911">
            <w:pPr>
              <w:pStyle w:val="Tabletext"/>
            </w:pPr>
            <w:r w:rsidRPr="00CB21B0">
              <w:t>The date determined by the APVMA. The date must be not less than 7 years, and less than 8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t>4</w:t>
            </w:r>
          </w:p>
        </w:tc>
        <w:tc>
          <w:tcPr>
            <w:tcW w:w="0" w:type="auto"/>
            <w:shd w:val="clear" w:color="auto" w:fill="auto"/>
          </w:tcPr>
          <w:p w:rsidR="003462DF" w:rsidRPr="00CB21B0" w:rsidRDefault="0048673E" w:rsidP="009F1121">
            <w:pPr>
              <w:pStyle w:val="Tabletext"/>
            </w:pPr>
            <w:r w:rsidRPr="00CB21B0">
              <w:t>Chemical product containing an a</w:t>
            </w:r>
            <w:r w:rsidR="003462DF" w:rsidRPr="00CB21B0">
              <w:t>ctive constituent mentioned in Schedule</w:t>
            </w:r>
            <w:r w:rsidR="00CB21B0" w:rsidRPr="00CB21B0">
              <w:t> </w:t>
            </w:r>
            <w:r w:rsidR="003462DF" w:rsidRPr="00CB21B0">
              <w:t xml:space="preserve">8 </w:t>
            </w:r>
            <w:r w:rsidR="009F1121" w:rsidRPr="00CB21B0">
              <w:t>to</w:t>
            </w:r>
            <w:r w:rsidR="003462DF" w:rsidRPr="00CB21B0">
              <w:t xml:space="preserve"> the current Poisons Standard</w:t>
            </w:r>
            <w:r w:rsidR="00610BCA" w:rsidRPr="00CB21B0">
              <w:t>, other than a</w:t>
            </w:r>
            <w:r w:rsidR="00B4600B" w:rsidRPr="00CB21B0">
              <w:t xml:space="preserve"> chemical product</w:t>
            </w:r>
            <w:r w:rsidR="00610BCA" w:rsidRPr="00CB21B0">
              <w:t xml:space="preserve"> mentioned in item</w:t>
            </w:r>
            <w:r w:rsidR="00CB21B0" w:rsidRPr="00CB21B0">
              <w:t> </w:t>
            </w:r>
            <w:r w:rsidR="00610BCA" w:rsidRPr="00CB21B0">
              <w:t>1, 2 or 3</w:t>
            </w:r>
          </w:p>
        </w:tc>
        <w:tc>
          <w:tcPr>
            <w:tcW w:w="1801" w:type="dxa"/>
            <w:shd w:val="clear" w:color="auto" w:fill="auto"/>
          </w:tcPr>
          <w:p w:rsidR="003462DF" w:rsidRPr="00CB21B0" w:rsidRDefault="00092827" w:rsidP="00092827">
            <w:pPr>
              <w:pStyle w:val="Tabletext"/>
            </w:pPr>
            <w:r w:rsidRPr="00CB21B0">
              <w:t>The date determined by the APVMA. The date must be not less than 7 years, and less than 10 years</w:t>
            </w:r>
            <w:r w:rsidR="00F73CEB" w:rsidRPr="00CB21B0">
              <w:t>, after the registration event.</w:t>
            </w:r>
          </w:p>
        </w:tc>
        <w:tc>
          <w:tcPr>
            <w:tcW w:w="1794" w:type="dxa"/>
            <w:shd w:val="clear" w:color="auto" w:fill="auto"/>
          </w:tcPr>
          <w:p w:rsidR="003462DF" w:rsidRPr="00CB21B0" w:rsidRDefault="00705832" w:rsidP="00705832">
            <w:pPr>
              <w:pStyle w:val="Tabletext"/>
              <w:rPr>
                <w:strike/>
              </w:rPr>
            </w:pPr>
            <w:r w:rsidRPr="00CB21B0">
              <w:t>The date determined by the APVMA. The date must be not less than 8 years, and less than 10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t>5</w:t>
            </w:r>
          </w:p>
        </w:tc>
        <w:tc>
          <w:tcPr>
            <w:tcW w:w="0" w:type="auto"/>
            <w:shd w:val="clear" w:color="auto" w:fill="auto"/>
          </w:tcPr>
          <w:p w:rsidR="00092827" w:rsidRPr="00CB21B0" w:rsidRDefault="00146245" w:rsidP="00092827">
            <w:pPr>
              <w:pStyle w:val="Tabletext"/>
              <w:rPr>
                <w:b/>
                <w:i/>
                <w:strike/>
              </w:rPr>
            </w:pPr>
            <w:r w:rsidRPr="00CB21B0">
              <w:t xml:space="preserve">Chemical product containing an active constituent contained in a restricted chemical product </w:t>
            </w:r>
            <w:r w:rsidRPr="00CB21B0">
              <w:lastRenderedPageBreak/>
              <w:t>mentioned in Schedule</w:t>
            </w:r>
            <w:r w:rsidR="00CB21B0" w:rsidRPr="00CB21B0">
              <w:t> </w:t>
            </w:r>
            <w:r w:rsidRPr="00CB21B0">
              <w:t>4</w:t>
            </w:r>
            <w:r w:rsidR="009F1121" w:rsidRPr="00CB21B0">
              <w:t xml:space="preserve"> to</w:t>
            </w:r>
            <w:r w:rsidRPr="00CB21B0">
              <w:t xml:space="preserve"> these Regulations, other than a</w:t>
            </w:r>
            <w:r w:rsidR="00B4600B" w:rsidRPr="00CB21B0">
              <w:t xml:space="preserve"> chemical product</w:t>
            </w:r>
            <w:r w:rsidRPr="00CB21B0">
              <w:t xml:space="preserve"> mentioned in item</w:t>
            </w:r>
            <w:r w:rsidR="00CB21B0" w:rsidRPr="00CB21B0">
              <w:t> </w:t>
            </w:r>
            <w:r w:rsidRPr="00CB21B0">
              <w:t>1, 2</w:t>
            </w:r>
            <w:r w:rsidR="00B4600B" w:rsidRPr="00CB21B0">
              <w:t>,</w:t>
            </w:r>
            <w:r w:rsidRPr="00CB21B0">
              <w:t xml:space="preserve"> 3 </w:t>
            </w:r>
            <w:r w:rsidR="00610BCA" w:rsidRPr="00CB21B0">
              <w:t>or 4</w:t>
            </w:r>
          </w:p>
          <w:p w:rsidR="003462DF" w:rsidRPr="00CB21B0" w:rsidRDefault="003462DF" w:rsidP="00557055">
            <w:pPr>
              <w:pStyle w:val="Tabletext"/>
              <w:rPr>
                <w:b/>
                <w:i/>
                <w:strike/>
              </w:rPr>
            </w:pPr>
          </w:p>
        </w:tc>
        <w:tc>
          <w:tcPr>
            <w:tcW w:w="1801" w:type="dxa"/>
            <w:shd w:val="clear" w:color="auto" w:fill="auto"/>
          </w:tcPr>
          <w:p w:rsidR="003462DF" w:rsidRPr="00CB21B0" w:rsidRDefault="00092827" w:rsidP="00180911">
            <w:pPr>
              <w:pStyle w:val="Tabletext"/>
            </w:pPr>
            <w:r w:rsidRPr="00CB21B0">
              <w:lastRenderedPageBreak/>
              <w:t xml:space="preserve">The date determined by the APVMA. The date </w:t>
            </w:r>
            <w:r w:rsidRPr="00CB21B0">
              <w:lastRenderedPageBreak/>
              <w:t>must be not less than 7 years, and less than 10 years</w:t>
            </w:r>
            <w:r w:rsidR="00F73CEB" w:rsidRPr="00CB21B0">
              <w:t>, after the registration event.</w:t>
            </w:r>
          </w:p>
        </w:tc>
        <w:tc>
          <w:tcPr>
            <w:tcW w:w="1794" w:type="dxa"/>
            <w:shd w:val="clear" w:color="auto" w:fill="auto"/>
          </w:tcPr>
          <w:p w:rsidR="003462DF" w:rsidRPr="00CB21B0" w:rsidRDefault="00705832" w:rsidP="00180911">
            <w:pPr>
              <w:pStyle w:val="Tabletext"/>
            </w:pPr>
            <w:r w:rsidRPr="00CB21B0">
              <w:lastRenderedPageBreak/>
              <w:t xml:space="preserve">The date determined by the APVMA. The date </w:t>
            </w:r>
            <w:r w:rsidRPr="00CB21B0">
              <w:lastRenderedPageBreak/>
              <w:t>must be not less than 8 years, and less than 10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lastRenderedPageBreak/>
              <w:t>6</w:t>
            </w:r>
          </w:p>
        </w:tc>
        <w:tc>
          <w:tcPr>
            <w:tcW w:w="0" w:type="auto"/>
            <w:shd w:val="clear" w:color="auto" w:fill="auto"/>
          </w:tcPr>
          <w:p w:rsidR="003462DF" w:rsidRPr="00CB21B0" w:rsidRDefault="0048673E" w:rsidP="00180911">
            <w:pPr>
              <w:pStyle w:val="Tabletext"/>
            </w:pPr>
            <w:r w:rsidRPr="00CB21B0">
              <w:t>Chemical product containing an a</w:t>
            </w:r>
            <w:r w:rsidR="003462DF" w:rsidRPr="00CB21B0">
              <w:t>ctive constituent:</w:t>
            </w:r>
          </w:p>
          <w:p w:rsidR="003462DF" w:rsidRPr="00CB21B0" w:rsidRDefault="003462DF" w:rsidP="00180911">
            <w:pPr>
              <w:pStyle w:val="Tablea"/>
            </w:pPr>
            <w:r w:rsidRPr="00CB21B0">
              <w:t>(a)</w:t>
            </w:r>
            <w:r w:rsidRPr="00CB21B0">
              <w:tab/>
              <w:t>mentioned in Schedule</w:t>
            </w:r>
            <w:r w:rsidR="00CB21B0" w:rsidRPr="00CB21B0">
              <w:t> </w:t>
            </w:r>
            <w:r w:rsidRPr="00CB21B0">
              <w:t xml:space="preserve">7 </w:t>
            </w:r>
            <w:r w:rsidR="009F1121" w:rsidRPr="00CB21B0">
              <w:t>to</w:t>
            </w:r>
            <w:r w:rsidRPr="00CB21B0">
              <w:t xml:space="preserve"> the current Poisons Standard; and</w:t>
            </w:r>
          </w:p>
          <w:p w:rsidR="003462DF" w:rsidRPr="00CB21B0" w:rsidRDefault="003462DF" w:rsidP="00180911">
            <w:pPr>
              <w:pStyle w:val="Tablea"/>
            </w:pPr>
            <w:r w:rsidRPr="00CB21B0">
              <w:t>(b)</w:t>
            </w:r>
            <w:r w:rsidRPr="00CB21B0">
              <w:tab/>
              <w:t xml:space="preserve">classified in Table 3.1 of Annex VI </w:t>
            </w:r>
            <w:r w:rsidR="009F1121" w:rsidRPr="00CB21B0">
              <w:t>to</w:t>
            </w:r>
            <w:r w:rsidRPr="00CB21B0">
              <w:t xml:space="preserve"> the European Community Regulation Number 1272/2008 as Aquatic Acute 1 or Aquatic Chronic 1;</w:t>
            </w:r>
          </w:p>
          <w:p w:rsidR="003462DF" w:rsidRPr="00CB21B0" w:rsidRDefault="003462DF" w:rsidP="00B4600B">
            <w:pPr>
              <w:pStyle w:val="Tabletext"/>
            </w:pPr>
            <w:r w:rsidRPr="00CB21B0">
              <w:t>other than a</w:t>
            </w:r>
            <w:r w:rsidR="00B4600B" w:rsidRPr="00CB21B0">
              <w:t xml:space="preserve"> chemical product </w:t>
            </w:r>
            <w:r w:rsidRPr="00CB21B0">
              <w:t>mentioned in any of items</w:t>
            </w:r>
            <w:r w:rsidR="00CB21B0" w:rsidRPr="00CB21B0">
              <w:t> </w:t>
            </w:r>
            <w:r w:rsidRPr="00CB21B0">
              <w:t>1 to 5</w:t>
            </w:r>
          </w:p>
        </w:tc>
        <w:tc>
          <w:tcPr>
            <w:tcW w:w="1801" w:type="dxa"/>
            <w:shd w:val="clear" w:color="auto" w:fill="auto"/>
          </w:tcPr>
          <w:p w:rsidR="003462DF" w:rsidRPr="00CB21B0" w:rsidRDefault="00092827" w:rsidP="00180911">
            <w:pPr>
              <w:pStyle w:val="Tabletext"/>
            </w:pPr>
            <w:r w:rsidRPr="00CB21B0">
              <w:t>The date determined by the APVMA. The date must be not less than 7 years, and less than 10 years</w:t>
            </w:r>
            <w:r w:rsidR="00F73CEB" w:rsidRPr="00CB21B0">
              <w:t>, after the registration event.</w:t>
            </w:r>
          </w:p>
        </w:tc>
        <w:tc>
          <w:tcPr>
            <w:tcW w:w="1794" w:type="dxa"/>
            <w:shd w:val="clear" w:color="auto" w:fill="auto"/>
          </w:tcPr>
          <w:p w:rsidR="003462DF" w:rsidRPr="00CB21B0" w:rsidRDefault="00705832" w:rsidP="00180911">
            <w:pPr>
              <w:pStyle w:val="Tabletext"/>
            </w:pPr>
            <w:r w:rsidRPr="00CB21B0">
              <w:t>The date determined by the APVMA. The date must be not less than 8 years, and less than 10 years</w:t>
            </w:r>
            <w:r w:rsidR="00F73CEB" w:rsidRPr="00CB21B0">
              <w:t>, after the registration event.</w:t>
            </w:r>
          </w:p>
        </w:tc>
      </w:tr>
      <w:tr w:rsidR="00D83B5B" w:rsidRPr="00CB21B0" w:rsidTr="00220E1B">
        <w:tc>
          <w:tcPr>
            <w:tcW w:w="0" w:type="auto"/>
            <w:shd w:val="clear" w:color="auto" w:fill="auto"/>
          </w:tcPr>
          <w:p w:rsidR="003462DF" w:rsidRPr="00CB21B0" w:rsidRDefault="003462DF" w:rsidP="00180911">
            <w:pPr>
              <w:pStyle w:val="Tabletext"/>
            </w:pPr>
            <w:r w:rsidRPr="00CB21B0">
              <w:t>7</w:t>
            </w:r>
          </w:p>
        </w:tc>
        <w:tc>
          <w:tcPr>
            <w:tcW w:w="0" w:type="auto"/>
            <w:shd w:val="clear" w:color="auto" w:fill="auto"/>
          </w:tcPr>
          <w:p w:rsidR="003462DF" w:rsidRPr="00CB21B0" w:rsidRDefault="0048673E" w:rsidP="009F1121">
            <w:pPr>
              <w:pStyle w:val="Tabletext"/>
            </w:pPr>
            <w:r w:rsidRPr="00CB21B0">
              <w:t>Chemical product containing an a</w:t>
            </w:r>
            <w:r w:rsidR="003462DF" w:rsidRPr="00CB21B0">
              <w:t>ctive constituent mentioned in Schedule</w:t>
            </w:r>
            <w:r w:rsidR="00CB21B0" w:rsidRPr="00CB21B0">
              <w:t> </w:t>
            </w:r>
            <w:r w:rsidR="003462DF" w:rsidRPr="00CB21B0">
              <w:t xml:space="preserve">7 </w:t>
            </w:r>
            <w:r w:rsidR="009F1121" w:rsidRPr="00CB21B0">
              <w:t>to</w:t>
            </w:r>
            <w:r w:rsidR="003462DF" w:rsidRPr="00CB21B0">
              <w:t xml:space="preserve"> the current Poisons Standard, other than a</w:t>
            </w:r>
            <w:r w:rsidR="00D83B5B" w:rsidRPr="00CB21B0">
              <w:t xml:space="preserve"> chemical product</w:t>
            </w:r>
            <w:r w:rsidR="003462DF" w:rsidRPr="00CB21B0">
              <w:t xml:space="preserve"> mentioned in any of items</w:t>
            </w:r>
            <w:r w:rsidR="00CB21B0" w:rsidRPr="00CB21B0">
              <w:t> </w:t>
            </w:r>
            <w:r w:rsidR="003462DF" w:rsidRPr="00CB21B0">
              <w:t>1 to 6</w:t>
            </w:r>
          </w:p>
        </w:tc>
        <w:tc>
          <w:tcPr>
            <w:tcW w:w="1801" w:type="dxa"/>
            <w:shd w:val="clear" w:color="auto" w:fill="auto"/>
          </w:tcPr>
          <w:p w:rsidR="003462DF" w:rsidRPr="00CB21B0" w:rsidRDefault="00705832" w:rsidP="00705832">
            <w:pPr>
              <w:pStyle w:val="Tabletext"/>
            </w:pPr>
            <w:r w:rsidRPr="00CB21B0">
              <w:t>The date determined by the APVMA. The date must be not less than 7 years, and less than 13 years</w:t>
            </w:r>
            <w:r w:rsidR="00F73CEB" w:rsidRPr="00CB21B0">
              <w:t>, after the registration event.</w:t>
            </w:r>
          </w:p>
        </w:tc>
        <w:tc>
          <w:tcPr>
            <w:tcW w:w="1794" w:type="dxa"/>
            <w:shd w:val="clear" w:color="auto" w:fill="auto"/>
          </w:tcPr>
          <w:p w:rsidR="003462DF" w:rsidRPr="00CB21B0" w:rsidRDefault="00705832" w:rsidP="00705832">
            <w:pPr>
              <w:pStyle w:val="Tabletext"/>
            </w:pPr>
            <w:r w:rsidRPr="00CB21B0">
              <w:t>The date determined by the APVMA. The date must be not less than 10 years, and less than 13 years, after the registration event.</w:t>
            </w:r>
          </w:p>
        </w:tc>
      </w:tr>
      <w:tr w:rsidR="00D83B5B" w:rsidRPr="00CB21B0" w:rsidTr="00220E1B">
        <w:tc>
          <w:tcPr>
            <w:tcW w:w="0" w:type="auto"/>
            <w:tcBorders>
              <w:bottom w:val="single" w:sz="4" w:space="0" w:color="auto"/>
            </w:tcBorders>
            <w:shd w:val="clear" w:color="auto" w:fill="auto"/>
          </w:tcPr>
          <w:p w:rsidR="003462DF" w:rsidRPr="00CB21B0" w:rsidRDefault="003462DF" w:rsidP="00180911">
            <w:pPr>
              <w:pStyle w:val="Tabletext"/>
            </w:pPr>
            <w:r w:rsidRPr="00CB21B0">
              <w:t>8</w:t>
            </w:r>
          </w:p>
        </w:tc>
        <w:tc>
          <w:tcPr>
            <w:tcW w:w="0" w:type="auto"/>
            <w:tcBorders>
              <w:bottom w:val="single" w:sz="4" w:space="0" w:color="auto"/>
            </w:tcBorders>
            <w:shd w:val="clear" w:color="auto" w:fill="auto"/>
          </w:tcPr>
          <w:p w:rsidR="006E605A" w:rsidRPr="00CB21B0" w:rsidRDefault="0048673E" w:rsidP="009F1121">
            <w:pPr>
              <w:pStyle w:val="Tabletext"/>
              <w:rPr>
                <w:b/>
                <w:i/>
              </w:rPr>
            </w:pPr>
            <w:r w:rsidRPr="00CB21B0">
              <w:t>Chemical product containing an a</w:t>
            </w:r>
            <w:r w:rsidR="003462DF" w:rsidRPr="00CB21B0">
              <w:t>ctive constituent</w:t>
            </w:r>
            <w:r w:rsidR="006E605A" w:rsidRPr="00CB21B0">
              <w:t xml:space="preserve"> </w:t>
            </w:r>
            <w:r w:rsidR="003462DF" w:rsidRPr="00CB21B0">
              <w:t xml:space="preserve">classified in Table 3.1 of Annex VI </w:t>
            </w:r>
            <w:r w:rsidR="009F1121" w:rsidRPr="00CB21B0">
              <w:t>to</w:t>
            </w:r>
            <w:r w:rsidR="003462DF" w:rsidRPr="00CB21B0">
              <w:t xml:space="preserve"> the European Community Regulation Number 1272/2008 as Aquatic Acute 1 or Aquatic Chronic 1</w:t>
            </w:r>
            <w:r w:rsidR="006E605A" w:rsidRPr="00CB21B0">
              <w:t xml:space="preserve">, </w:t>
            </w:r>
            <w:r w:rsidR="003462DF" w:rsidRPr="00CB21B0">
              <w:t>other than a</w:t>
            </w:r>
            <w:r w:rsidR="00B4600B" w:rsidRPr="00CB21B0">
              <w:t xml:space="preserve"> chemical product</w:t>
            </w:r>
            <w:r w:rsidR="003462DF" w:rsidRPr="00CB21B0">
              <w:t xml:space="preserve"> mentioned in any of items</w:t>
            </w:r>
            <w:r w:rsidR="00CB21B0" w:rsidRPr="00CB21B0">
              <w:t> </w:t>
            </w:r>
            <w:r w:rsidR="003462DF" w:rsidRPr="00CB21B0">
              <w:t>1 to 7</w:t>
            </w:r>
          </w:p>
        </w:tc>
        <w:tc>
          <w:tcPr>
            <w:tcW w:w="1801" w:type="dxa"/>
            <w:tcBorders>
              <w:bottom w:val="single" w:sz="4" w:space="0" w:color="auto"/>
            </w:tcBorders>
            <w:shd w:val="clear" w:color="auto" w:fill="auto"/>
          </w:tcPr>
          <w:p w:rsidR="003462DF" w:rsidRPr="00CB21B0" w:rsidRDefault="00705832" w:rsidP="00180911">
            <w:pPr>
              <w:pStyle w:val="Tabletext"/>
            </w:pPr>
            <w:r w:rsidRPr="00CB21B0">
              <w:t>The date determined by the APVMA. The date must be not less than 7 years, and less than 13 years, after the registration event.</w:t>
            </w:r>
          </w:p>
        </w:tc>
        <w:tc>
          <w:tcPr>
            <w:tcW w:w="1794" w:type="dxa"/>
            <w:tcBorders>
              <w:bottom w:val="single" w:sz="4" w:space="0" w:color="auto"/>
            </w:tcBorders>
            <w:shd w:val="clear" w:color="auto" w:fill="auto"/>
          </w:tcPr>
          <w:p w:rsidR="003462DF" w:rsidRPr="00CB21B0" w:rsidRDefault="00705832" w:rsidP="00705832">
            <w:pPr>
              <w:pStyle w:val="Tabletext"/>
            </w:pPr>
            <w:r w:rsidRPr="00CB21B0">
              <w:t>The date determined by the APVMA. The date must be not less than 10 years, and less than 13 years, after the registration event.</w:t>
            </w:r>
          </w:p>
        </w:tc>
      </w:tr>
      <w:tr w:rsidR="00D83B5B" w:rsidRPr="00CB21B0" w:rsidTr="00220E1B">
        <w:tc>
          <w:tcPr>
            <w:tcW w:w="0" w:type="auto"/>
            <w:tcBorders>
              <w:bottom w:val="single" w:sz="12" w:space="0" w:color="auto"/>
            </w:tcBorders>
            <w:shd w:val="clear" w:color="auto" w:fill="auto"/>
          </w:tcPr>
          <w:p w:rsidR="003462DF" w:rsidRPr="00CB21B0" w:rsidRDefault="003462DF" w:rsidP="00180911">
            <w:pPr>
              <w:pStyle w:val="Tabletext"/>
            </w:pPr>
            <w:r w:rsidRPr="00CB21B0">
              <w:lastRenderedPageBreak/>
              <w:t>9</w:t>
            </w:r>
          </w:p>
        </w:tc>
        <w:tc>
          <w:tcPr>
            <w:tcW w:w="0" w:type="auto"/>
            <w:tcBorders>
              <w:bottom w:val="single" w:sz="12" w:space="0" w:color="auto"/>
            </w:tcBorders>
            <w:shd w:val="clear" w:color="auto" w:fill="auto"/>
          </w:tcPr>
          <w:p w:rsidR="003462DF" w:rsidRPr="00CB21B0" w:rsidRDefault="0048673E" w:rsidP="00B4600B">
            <w:pPr>
              <w:pStyle w:val="Tabletext"/>
            </w:pPr>
            <w:r w:rsidRPr="00CB21B0">
              <w:t>Chemical product containing an a</w:t>
            </w:r>
            <w:r w:rsidR="003462DF" w:rsidRPr="00CB21B0">
              <w:t>ctive constituent</w:t>
            </w:r>
            <w:r w:rsidR="00B4600B" w:rsidRPr="00CB21B0">
              <w:t>, other than a chemical product</w:t>
            </w:r>
            <w:r w:rsidR="003462DF" w:rsidRPr="00CB21B0">
              <w:t xml:space="preserve"> mentioned in any of items</w:t>
            </w:r>
            <w:r w:rsidR="00CB21B0" w:rsidRPr="00CB21B0">
              <w:t> </w:t>
            </w:r>
            <w:r w:rsidR="003462DF" w:rsidRPr="00CB21B0">
              <w:t>1 to 8</w:t>
            </w:r>
          </w:p>
        </w:tc>
        <w:tc>
          <w:tcPr>
            <w:tcW w:w="1801" w:type="dxa"/>
            <w:tcBorders>
              <w:bottom w:val="single" w:sz="12" w:space="0" w:color="auto"/>
            </w:tcBorders>
            <w:shd w:val="clear" w:color="auto" w:fill="auto"/>
          </w:tcPr>
          <w:p w:rsidR="003462DF" w:rsidRPr="00CB21B0" w:rsidRDefault="00705832" w:rsidP="00705832">
            <w:pPr>
              <w:pStyle w:val="Tabletext"/>
            </w:pPr>
            <w:r w:rsidRPr="00CB21B0">
              <w:t>The date determined by the APVMA. The date must be not less than 7 years, and less than 15 years, after the registration event.</w:t>
            </w:r>
          </w:p>
        </w:tc>
        <w:tc>
          <w:tcPr>
            <w:tcW w:w="1794" w:type="dxa"/>
            <w:tcBorders>
              <w:bottom w:val="single" w:sz="12" w:space="0" w:color="auto"/>
            </w:tcBorders>
            <w:shd w:val="clear" w:color="auto" w:fill="auto"/>
          </w:tcPr>
          <w:p w:rsidR="003462DF" w:rsidRPr="00CB21B0" w:rsidRDefault="00705832" w:rsidP="00705832">
            <w:pPr>
              <w:pStyle w:val="Tabletext"/>
            </w:pPr>
            <w:r w:rsidRPr="00CB21B0">
              <w:t>The date determined by the APVMA. The date must be not less than 13 years, and less than 15 years, after the registration event.</w:t>
            </w:r>
          </w:p>
        </w:tc>
      </w:tr>
    </w:tbl>
    <w:p w:rsidR="003425C9" w:rsidRPr="00CB21B0" w:rsidRDefault="003425C9" w:rsidP="003425C9">
      <w:pPr>
        <w:pStyle w:val="Tabletext"/>
      </w:pPr>
    </w:p>
    <w:p w:rsidR="00F27DF5" w:rsidRPr="00CB21B0" w:rsidRDefault="00F27DF5" w:rsidP="00F27DF5">
      <w:pPr>
        <w:pStyle w:val="notetext"/>
      </w:pPr>
      <w:r w:rsidRPr="00CB21B0">
        <w:t>Note:</w:t>
      </w:r>
      <w:r w:rsidRPr="00CB21B0">
        <w:tab/>
        <w:t>The APVMA may also determine a last renewal date that is less than 7 years so that the last renewal date is the same as the last renewal date for the registration of another chemical product containing one or more of the same active constituents</w:t>
      </w:r>
      <w:r w:rsidR="009F1121" w:rsidRPr="00CB21B0">
        <w:t xml:space="preserve">: </w:t>
      </w:r>
      <w:r w:rsidRPr="00CB21B0">
        <w:t>see subsections</w:t>
      </w:r>
      <w:r w:rsidR="00CB21B0" w:rsidRPr="00CB21B0">
        <w:t> </w:t>
      </w:r>
      <w:r w:rsidRPr="00CB21B0">
        <w:t>20(3), 29K(3) and 34AE(3) of the Code.</w:t>
      </w:r>
    </w:p>
    <w:p w:rsidR="005F1EE8" w:rsidRPr="00CB21B0" w:rsidRDefault="00F27DF5" w:rsidP="0026091E">
      <w:pPr>
        <w:pStyle w:val="subsection"/>
      </w:pPr>
      <w:r w:rsidRPr="00CB21B0">
        <w:tab/>
      </w:r>
      <w:r w:rsidR="005F1EE8" w:rsidRPr="00CB21B0">
        <w:t>(3)</w:t>
      </w:r>
      <w:r w:rsidR="005F1EE8" w:rsidRPr="00CB21B0">
        <w:tab/>
        <w:t xml:space="preserve">If more than one item in the table in subregulation (2) applies to a chemical product, the </w:t>
      </w:r>
      <w:r w:rsidR="00135438" w:rsidRPr="00CB21B0">
        <w:t xml:space="preserve">item with the lowest </w:t>
      </w:r>
      <w:r w:rsidR="003C2992" w:rsidRPr="00CB21B0">
        <w:t xml:space="preserve">item number </w:t>
      </w:r>
      <w:r w:rsidR="00135438" w:rsidRPr="00CB21B0">
        <w:t xml:space="preserve">is to be used to work out the </w:t>
      </w:r>
      <w:r w:rsidR="005F1EE8" w:rsidRPr="00CB21B0">
        <w:t>last renewal date for the product</w:t>
      </w:r>
      <w:r w:rsidR="00135438" w:rsidRPr="00CB21B0">
        <w:t>.</w:t>
      </w:r>
    </w:p>
    <w:p w:rsidR="008B43FA" w:rsidRPr="00CB21B0" w:rsidRDefault="008B43FA" w:rsidP="008B43FA">
      <w:pPr>
        <w:pStyle w:val="notetext"/>
      </w:pPr>
      <w:r w:rsidRPr="00CB21B0">
        <w:t>Example:</w:t>
      </w:r>
      <w:r w:rsidRPr="00CB21B0">
        <w:tab/>
        <w:t xml:space="preserve">If the </w:t>
      </w:r>
      <w:r w:rsidR="00F35516" w:rsidRPr="00CB21B0">
        <w:t xml:space="preserve">chemical </w:t>
      </w:r>
      <w:r w:rsidRPr="00CB21B0">
        <w:t>product contains methyl bromide (</w:t>
      </w:r>
      <w:r w:rsidR="00F35516" w:rsidRPr="00CB21B0">
        <w:t xml:space="preserve">active constituent in </w:t>
      </w:r>
      <w:r w:rsidRPr="00CB21B0">
        <w:t>item</w:t>
      </w:r>
      <w:r w:rsidR="00CB21B0" w:rsidRPr="00CB21B0">
        <w:t> </w:t>
      </w:r>
      <w:r w:rsidRPr="00CB21B0">
        <w:t xml:space="preserve">2) and </w:t>
      </w:r>
      <w:r w:rsidR="00F35516" w:rsidRPr="00CB21B0">
        <w:t xml:space="preserve">an active constituent </w:t>
      </w:r>
      <w:r w:rsidR="003C2992" w:rsidRPr="00CB21B0">
        <w:t xml:space="preserve">mentioned </w:t>
      </w:r>
      <w:r w:rsidR="00F35516" w:rsidRPr="00CB21B0">
        <w:t>in item</w:t>
      </w:r>
      <w:r w:rsidR="00CB21B0" w:rsidRPr="00CB21B0">
        <w:t> </w:t>
      </w:r>
      <w:r w:rsidR="00F35516" w:rsidRPr="00CB21B0">
        <w:t>7</w:t>
      </w:r>
      <w:r w:rsidRPr="00CB21B0">
        <w:t xml:space="preserve">, the last renewal </w:t>
      </w:r>
      <w:r w:rsidR="00D83B5B" w:rsidRPr="00CB21B0">
        <w:t xml:space="preserve">date </w:t>
      </w:r>
      <w:r w:rsidRPr="00CB21B0">
        <w:t>is to be determined in accordance with item</w:t>
      </w:r>
      <w:r w:rsidR="00CB21B0" w:rsidRPr="00CB21B0">
        <w:t> </w:t>
      </w:r>
      <w:r w:rsidRPr="00CB21B0">
        <w:t>2.</w:t>
      </w:r>
    </w:p>
    <w:p w:rsidR="0026091E" w:rsidRPr="00CB21B0" w:rsidRDefault="005F1EE8" w:rsidP="0026091E">
      <w:pPr>
        <w:pStyle w:val="subsection"/>
      </w:pPr>
      <w:r w:rsidRPr="00CB21B0">
        <w:tab/>
      </w:r>
      <w:r w:rsidR="0026091E" w:rsidRPr="00CB21B0">
        <w:t>(</w:t>
      </w:r>
      <w:r w:rsidRPr="00CB21B0">
        <w:t>4</w:t>
      </w:r>
      <w:r w:rsidR="0026091E" w:rsidRPr="00CB21B0">
        <w:t>)</w:t>
      </w:r>
      <w:r w:rsidR="0026091E" w:rsidRPr="00CB21B0">
        <w:tab/>
        <w:t>A last renewal date determined by the APVMA under this regulation must be the last day of a calendar month.</w:t>
      </w:r>
    </w:p>
    <w:p w:rsidR="0026091E" w:rsidRPr="00CB21B0" w:rsidRDefault="00005AA5" w:rsidP="0026091E">
      <w:pPr>
        <w:pStyle w:val="subsection"/>
      </w:pPr>
      <w:r w:rsidRPr="00CB21B0">
        <w:tab/>
        <w:t>(</w:t>
      </w:r>
      <w:r w:rsidR="005F1EE8" w:rsidRPr="00CB21B0">
        <w:t>5</w:t>
      </w:r>
      <w:r w:rsidR="0026091E" w:rsidRPr="00CB21B0">
        <w:t>)</w:t>
      </w:r>
      <w:r w:rsidR="0026091E" w:rsidRPr="00CB21B0">
        <w:tab/>
        <w:t xml:space="preserve">In determining a last renewal date under this regulation, the APVMA must have regard to the efficient allocation of the resources of the APVMA for determining and assessing </w:t>
      </w:r>
      <w:r w:rsidR="00557055" w:rsidRPr="00CB21B0">
        <w:t>re</w:t>
      </w:r>
      <w:r w:rsidR="00CB21B0">
        <w:noBreakHyphen/>
      </w:r>
      <w:r w:rsidR="00557055" w:rsidRPr="00CB21B0">
        <w:t>approval and</w:t>
      </w:r>
      <w:r w:rsidR="0026091E" w:rsidRPr="00CB21B0">
        <w:t xml:space="preserve"> re</w:t>
      </w:r>
      <w:r w:rsidR="00CB21B0">
        <w:noBreakHyphen/>
      </w:r>
      <w:r w:rsidR="0026091E" w:rsidRPr="00CB21B0">
        <w:t>registra</w:t>
      </w:r>
      <w:r w:rsidR="00E21E8E" w:rsidRPr="00CB21B0">
        <w:t>t</w:t>
      </w:r>
      <w:r w:rsidR="0026091E" w:rsidRPr="00CB21B0">
        <w:t>ion applications.</w:t>
      </w:r>
    </w:p>
    <w:p w:rsidR="0026091E" w:rsidRPr="00CB21B0" w:rsidRDefault="0026091E" w:rsidP="0026091E">
      <w:pPr>
        <w:pStyle w:val="subsection"/>
      </w:pPr>
      <w:r w:rsidRPr="00CB21B0">
        <w:tab/>
        <w:t>(</w:t>
      </w:r>
      <w:r w:rsidR="005F1EE8" w:rsidRPr="00CB21B0">
        <w:t>6</w:t>
      </w:r>
      <w:r w:rsidRPr="00CB21B0">
        <w:t>)</w:t>
      </w:r>
      <w:r w:rsidRPr="00CB21B0">
        <w:tab/>
        <w:t>In this regulation:</w:t>
      </w:r>
    </w:p>
    <w:p w:rsidR="0026091E" w:rsidRPr="00CB21B0" w:rsidRDefault="00005AA5" w:rsidP="0026091E">
      <w:pPr>
        <w:pStyle w:val="Definition"/>
      </w:pPr>
      <w:r w:rsidRPr="00CB21B0">
        <w:rPr>
          <w:b/>
          <w:i/>
        </w:rPr>
        <w:t>l</w:t>
      </w:r>
      <w:r w:rsidR="0026091E" w:rsidRPr="00CB21B0">
        <w:rPr>
          <w:b/>
          <w:i/>
        </w:rPr>
        <w:t>ast renewal date</w:t>
      </w:r>
      <w:r w:rsidR="0026091E" w:rsidRPr="00CB21B0">
        <w:t xml:space="preserve">, for </w:t>
      </w:r>
      <w:r w:rsidR="002221F3" w:rsidRPr="00CB21B0">
        <w:t>the</w:t>
      </w:r>
      <w:r w:rsidR="0026091E" w:rsidRPr="00CB21B0">
        <w:t xml:space="preserve"> registration </w:t>
      </w:r>
      <w:r w:rsidR="00092EC3" w:rsidRPr="00CB21B0">
        <w:t xml:space="preserve">of </w:t>
      </w:r>
      <w:r w:rsidR="0026091E" w:rsidRPr="00CB21B0">
        <w:t>a chemical product, means the date after which the registration cannot be renewed</w:t>
      </w:r>
      <w:r w:rsidRPr="00CB21B0">
        <w:t xml:space="preserve"> under Division</w:t>
      </w:r>
      <w:r w:rsidR="00CB21B0" w:rsidRPr="00CB21B0">
        <w:t> </w:t>
      </w:r>
      <w:r w:rsidRPr="00CB21B0">
        <w:t>6 of Part</w:t>
      </w:r>
      <w:r w:rsidR="00CB21B0" w:rsidRPr="00CB21B0">
        <w:t> </w:t>
      </w:r>
      <w:r w:rsidR="00526F61" w:rsidRPr="00CB21B0">
        <w:t>2</w:t>
      </w:r>
      <w:r w:rsidRPr="00CB21B0">
        <w:t xml:space="preserve"> of the Code</w:t>
      </w:r>
      <w:r w:rsidR="0026091E" w:rsidRPr="00CB21B0">
        <w:t>.</w:t>
      </w:r>
    </w:p>
    <w:p w:rsidR="0026091E" w:rsidRPr="00CB21B0" w:rsidRDefault="00E31D40" w:rsidP="0026091E">
      <w:pPr>
        <w:pStyle w:val="Definition"/>
      </w:pPr>
      <w:r w:rsidRPr="00CB21B0">
        <w:rPr>
          <w:b/>
          <w:i/>
        </w:rPr>
        <w:lastRenderedPageBreak/>
        <w:t>registration</w:t>
      </w:r>
      <w:r w:rsidR="0026091E" w:rsidRPr="00CB21B0">
        <w:rPr>
          <w:b/>
          <w:i/>
        </w:rPr>
        <w:t xml:space="preserve"> </w:t>
      </w:r>
      <w:r w:rsidR="00710430" w:rsidRPr="00CB21B0">
        <w:rPr>
          <w:b/>
          <w:i/>
        </w:rPr>
        <w:t>event</w:t>
      </w:r>
      <w:r w:rsidR="0026091E" w:rsidRPr="00CB21B0">
        <w:t>:</w:t>
      </w:r>
    </w:p>
    <w:p w:rsidR="0026091E" w:rsidRPr="00CB21B0" w:rsidRDefault="0026091E" w:rsidP="0026091E">
      <w:pPr>
        <w:pStyle w:val="paragraph"/>
      </w:pPr>
      <w:r w:rsidRPr="00CB21B0">
        <w:tab/>
        <w:t>(a)</w:t>
      </w:r>
      <w:r w:rsidRPr="00CB21B0">
        <w:tab/>
        <w:t xml:space="preserve">for the </w:t>
      </w:r>
      <w:r w:rsidR="00526F61" w:rsidRPr="00CB21B0">
        <w:t>registration o</w:t>
      </w:r>
      <w:r w:rsidRPr="00CB21B0">
        <w:t xml:space="preserve">f </w:t>
      </w:r>
      <w:r w:rsidR="00526F61" w:rsidRPr="00CB21B0">
        <w:t>a chemical product</w:t>
      </w:r>
      <w:r w:rsidRPr="00CB21B0">
        <w:t xml:space="preserve">—means the date on which the </w:t>
      </w:r>
      <w:r w:rsidR="00526F61" w:rsidRPr="00CB21B0">
        <w:t>registration</w:t>
      </w:r>
      <w:r w:rsidRPr="00CB21B0">
        <w:t xml:space="preserve"> takes place; and</w:t>
      </w:r>
    </w:p>
    <w:p w:rsidR="0026091E" w:rsidRPr="00CB21B0" w:rsidRDefault="0026091E" w:rsidP="0026091E">
      <w:pPr>
        <w:pStyle w:val="paragraph"/>
      </w:pPr>
      <w:r w:rsidRPr="00CB21B0">
        <w:tab/>
        <w:t>(b)</w:t>
      </w:r>
      <w:r w:rsidRPr="00CB21B0">
        <w:tab/>
        <w:t xml:space="preserve">for the </w:t>
      </w:r>
      <w:r w:rsidR="00092EC3" w:rsidRPr="00CB21B0">
        <w:t xml:space="preserve">registration as </w:t>
      </w:r>
      <w:r w:rsidRPr="00CB21B0">
        <w:t>re</w:t>
      </w:r>
      <w:r w:rsidR="00CB21B0">
        <w:noBreakHyphen/>
      </w:r>
      <w:r w:rsidR="00526F61" w:rsidRPr="00CB21B0">
        <w:t>registration of a chemical product</w:t>
      </w:r>
      <w:r w:rsidRPr="00CB21B0">
        <w:t>—means the date on which the re</w:t>
      </w:r>
      <w:r w:rsidR="00CB21B0">
        <w:noBreakHyphen/>
      </w:r>
      <w:r w:rsidR="00526F61" w:rsidRPr="00CB21B0">
        <w:t xml:space="preserve">registration </w:t>
      </w:r>
      <w:r w:rsidRPr="00CB21B0">
        <w:t>takes place; and</w:t>
      </w:r>
    </w:p>
    <w:p w:rsidR="0026091E" w:rsidRPr="00CB21B0" w:rsidRDefault="0026091E" w:rsidP="0026091E">
      <w:pPr>
        <w:pStyle w:val="paragraph"/>
      </w:pPr>
      <w:r w:rsidRPr="00CB21B0">
        <w:tab/>
        <w:t>(c)</w:t>
      </w:r>
      <w:r w:rsidRPr="00CB21B0">
        <w:tab/>
        <w:t>for a variation of the</w:t>
      </w:r>
      <w:r w:rsidR="00526F61" w:rsidRPr="00CB21B0">
        <w:t xml:space="preserve"> last renewal date</w:t>
      </w:r>
      <w:r w:rsidRPr="00CB21B0">
        <w:t xml:space="preserve"> for the </w:t>
      </w:r>
      <w:r w:rsidR="00526F61" w:rsidRPr="00CB21B0">
        <w:t>registration</w:t>
      </w:r>
      <w:r w:rsidRPr="00CB21B0">
        <w:t xml:space="preserve"> of a</w:t>
      </w:r>
      <w:r w:rsidR="00526F61" w:rsidRPr="00CB21B0">
        <w:t xml:space="preserve"> chemical product</w:t>
      </w:r>
      <w:r w:rsidRPr="00CB21B0">
        <w:t xml:space="preserve">, following </w:t>
      </w:r>
      <w:r w:rsidR="00092EC3" w:rsidRPr="00CB21B0">
        <w:t>a reconsideration of the registration under Division</w:t>
      </w:r>
      <w:r w:rsidR="00CB21B0" w:rsidRPr="00CB21B0">
        <w:t> </w:t>
      </w:r>
      <w:r w:rsidR="002221F3" w:rsidRPr="00CB21B0">
        <w:t>4</w:t>
      </w:r>
      <w:r w:rsidR="00092EC3" w:rsidRPr="00CB21B0">
        <w:t xml:space="preserve"> of Part</w:t>
      </w:r>
      <w:r w:rsidR="00CB21B0" w:rsidRPr="00CB21B0">
        <w:t> </w:t>
      </w:r>
      <w:r w:rsidR="00092EC3" w:rsidRPr="00CB21B0">
        <w:t>2 of the Code</w:t>
      </w:r>
      <w:r w:rsidRPr="00CB21B0">
        <w:t>—means the date on which the variation takes place.</w:t>
      </w:r>
    </w:p>
    <w:p w:rsidR="0026091E" w:rsidRPr="00CB21B0" w:rsidRDefault="0026091E" w:rsidP="0026091E">
      <w:pPr>
        <w:pStyle w:val="subsection"/>
      </w:pPr>
      <w:r w:rsidRPr="00CB21B0">
        <w:tab/>
        <w:t>(</w:t>
      </w:r>
      <w:r w:rsidR="005F1EE8" w:rsidRPr="00CB21B0">
        <w:t>7</w:t>
      </w:r>
      <w:r w:rsidRPr="00CB21B0">
        <w:t>)</w:t>
      </w:r>
      <w:r w:rsidRPr="00CB21B0">
        <w:tab/>
        <w:t>In this regulation, references to the European Community Regulation Number 1272/2008 are to that Regulation as amended from time to time.</w:t>
      </w:r>
    </w:p>
    <w:p w:rsidR="007920DF" w:rsidRPr="00CB21B0" w:rsidRDefault="00220E6F" w:rsidP="007920DF">
      <w:pPr>
        <w:pStyle w:val="ItemHead"/>
        <w:rPr>
          <w:rFonts w:cs="Arial"/>
        </w:rPr>
      </w:pPr>
      <w:r w:rsidRPr="00CB21B0">
        <w:rPr>
          <w:rFonts w:cs="Arial"/>
        </w:rPr>
        <w:t>58</w:t>
      </w:r>
      <w:r w:rsidR="007920DF" w:rsidRPr="00CB21B0">
        <w:rPr>
          <w:rFonts w:cs="Arial"/>
        </w:rPr>
        <w:t xml:space="preserve">  Before regulation</w:t>
      </w:r>
      <w:r w:rsidR="00CB21B0" w:rsidRPr="00CB21B0">
        <w:rPr>
          <w:rFonts w:cs="Arial"/>
        </w:rPr>
        <w:t> </w:t>
      </w:r>
      <w:r w:rsidR="007920DF" w:rsidRPr="00CB21B0">
        <w:rPr>
          <w:rFonts w:cs="Arial"/>
        </w:rPr>
        <w:t>18 in Subdivision</w:t>
      </w:r>
      <w:r w:rsidR="00CB21B0" w:rsidRPr="00CB21B0">
        <w:rPr>
          <w:rFonts w:cs="Arial"/>
        </w:rPr>
        <w:t> </w:t>
      </w:r>
      <w:r w:rsidR="007920DF" w:rsidRPr="00CB21B0">
        <w:rPr>
          <w:rFonts w:cs="Arial"/>
        </w:rPr>
        <w:t>2.1.4</w:t>
      </w:r>
    </w:p>
    <w:p w:rsidR="00F32C48" w:rsidRPr="00CB21B0" w:rsidRDefault="00F32C48" w:rsidP="00F32C48">
      <w:pPr>
        <w:pStyle w:val="Item"/>
      </w:pPr>
      <w:r w:rsidRPr="00CB21B0">
        <w:t>Insert:</w:t>
      </w:r>
    </w:p>
    <w:p w:rsidR="007920DF" w:rsidRPr="00CB21B0" w:rsidRDefault="00710430" w:rsidP="007920DF">
      <w:pPr>
        <w:pStyle w:val="ActHead5"/>
      </w:pPr>
      <w:bookmarkStart w:id="54" w:name="_Toc361055052"/>
      <w:r w:rsidRPr="00CB21B0">
        <w:rPr>
          <w:rStyle w:val="CharSectno"/>
        </w:rPr>
        <w:t>17C</w:t>
      </w:r>
      <w:r w:rsidR="00F35516" w:rsidRPr="00CB21B0">
        <w:t xml:space="preserve">  </w:t>
      </w:r>
      <w:r w:rsidR="007920DF" w:rsidRPr="00CB21B0">
        <w:rPr>
          <w:bCs/>
        </w:rPr>
        <w:t>Conditions of approval or registration—</w:t>
      </w:r>
      <w:r w:rsidR="007920DF" w:rsidRPr="00CB21B0">
        <w:t>active constituent</w:t>
      </w:r>
      <w:r w:rsidR="002046AC" w:rsidRPr="00CB21B0">
        <w:t>s and</w:t>
      </w:r>
      <w:r w:rsidR="007920DF" w:rsidRPr="00CB21B0">
        <w:t xml:space="preserve"> chemical product</w:t>
      </w:r>
      <w:r w:rsidR="002046AC" w:rsidRPr="00CB21B0">
        <w:t>s</w:t>
      </w:r>
      <w:bookmarkEnd w:id="54"/>
    </w:p>
    <w:p w:rsidR="00670ABC" w:rsidRPr="00CB21B0" w:rsidRDefault="007920DF" w:rsidP="007920DF">
      <w:pPr>
        <w:pStyle w:val="subsection"/>
      </w:pPr>
      <w:r w:rsidRPr="00CB21B0">
        <w:tab/>
        <w:t>(1)</w:t>
      </w:r>
      <w:r w:rsidRPr="00CB21B0">
        <w:tab/>
        <w:t>For paragraph</w:t>
      </w:r>
      <w:r w:rsidR="00CB21B0" w:rsidRPr="00CB21B0">
        <w:t> </w:t>
      </w:r>
      <w:r w:rsidRPr="00CB21B0">
        <w:t>23(1)(a) of the Code, the table sets out conditions to which the approval of an active constituent for a proposed or existing chemical product is subject.</w:t>
      </w:r>
    </w:p>
    <w:p w:rsidR="00670ABC" w:rsidRPr="00CB21B0" w:rsidRDefault="00670ABC" w:rsidP="00670AB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670ABC" w:rsidRPr="00CB21B0" w:rsidTr="00670ABC">
        <w:trPr>
          <w:tblHeader/>
        </w:trPr>
        <w:tc>
          <w:tcPr>
            <w:tcW w:w="7087" w:type="dxa"/>
            <w:gridSpan w:val="2"/>
            <w:tcBorders>
              <w:top w:val="single" w:sz="12" w:space="0" w:color="auto"/>
              <w:bottom w:val="single" w:sz="6" w:space="0" w:color="auto"/>
            </w:tcBorders>
            <w:shd w:val="clear" w:color="auto" w:fill="auto"/>
          </w:tcPr>
          <w:p w:rsidR="00670ABC" w:rsidRPr="00CB21B0" w:rsidRDefault="00670ABC" w:rsidP="00670ABC">
            <w:pPr>
              <w:pStyle w:val="TableHeading"/>
            </w:pPr>
            <w:r w:rsidRPr="00CB21B0">
              <w:t>Conditions for approval of active constituent</w:t>
            </w:r>
          </w:p>
        </w:tc>
      </w:tr>
      <w:tr w:rsidR="00670ABC" w:rsidRPr="00CB21B0" w:rsidTr="00670ABC">
        <w:trPr>
          <w:tblHeader/>
        </w:trPr>
        <w:tc>
          <w:tcPr>
            <w:tcW w:w="714" w:type="dxa"/>
            <w:tcBorders>
              <w:top w:val="single" w:sz="6" w:space="0" w:color="auto"/>
              <w:bottom w:val="single" w:sz="12" w:space="0" w:color="auto"/>
            </w:tcBorders>
            <w:shd w:val="clear" w:color="auto" w:fill="auto"/>
          </w:tcPr>
          <w:p w:rsidR="00670ABC" w:rsidRPr="00CB21B0" w:rsidRDefault="00670ABC" w:rsidP="00670ABC">
            <w:pPr>
              <w:pStyle w:val="TableHeading"/>
            </w:pPr>
            <w:r w:rsidRPr="00CB21B0">
              <w:t>Item</w:t>
            </w:r>
          </w:p>
        </w:tc>
        <w:tc>
          <w:tcPr>
            <w:tcW w:w="6373" w:type="dxa"/>
            <w:tcBorders>
              <w:top w:val="single" w:sz="6" w:space="0" w:color="auto"/>
              <w:bottom w:val="single" w:sz="12" w:space="0" w:color="auto"/>
            </w:tcBorders>
            <w:shd w:val="clear" w:color="auto" w:fill="auto"/>
          </w:tcPr>
          <w:p w:rsidR="00670ABC" w:rsidRPr="00CB21B0" w:rsidRDefault="00670ABC" w:rsidP="00670ABC">
            <w:pPr>
              <w:pStyle w:val="TableHeading"/>
            </w:pPr>
            <w:r w:rsidRPr="00CB21B0">
              <w:t>Condition</w:t>
            </w:r>
          </w:p>
        </w:tc>
      </w:tr>
      <w:tr w:rsidR="00670ABC" w:rsidRPr="00CB21B0" w:rsidTr="00670ABC">
        <w:tc>
          <w:tcPr>
            <w:tcW w:w="714" w:type="dxa"/>
            <w:tcBorders>
              <w:top w:val="single" w:sz="12" w:space="0" w:color="auto"/>
            </w:tcBorders>
            <w:shd w:val="clear" w:color="auto" w:fill="auto"/>
          </w:tcPr>
          <w:p w:rsidR="00670ABC" w:rsidRPr="00CB21B0" w:rsidRDefault="00670ABC" w:rsidP="00670ABC">
            <w:pPr>
              <w:pStyle w:val="Tabletext"/>
            </w:pPr>
            <w:r w:rsidRPr="00CB21B0">
              <w:t>1</w:t>
            </w:r>
          </w:p>
        </w:tc>
        <w:tc>
          <w:tcPr>
            <w:tcW w:w="6373" w:type="dxa"/>
            <w:tcBorders>
              <w:top w:val="single" w:sz="12" w:space="0" w:color="auto"/>
            </w:tcBorders>
            <w:shd w:val="clear" w:color="auto" w:fill="auto"/>
          </w:tcPr>
          <w:p w:rsidR="00670ABC" w:rsidRPr="00CB21B0" w:rsidRDefault="00670ABC" w:rsidP="00670ABC">
            <w:pPr>
              <w:pStyle w:val="Tabletext"/>
            </w:pPr>
            <w:r w:rsidRPr="00CB21B0">
              <w:t>The active constituent must be manufactured in accordance with the composition and purity entered for the active constituent in the Record in accordance with paragraph</w:t>
            </w:r>
            <w:r w:rsidR="00CB21B0" w:rsidRPr="00CB21B0">
              <w:t> </w:t>
            </w:r>
            <w:r w:rsidRPr="00CB21B0">
              <w:t>15(1)(d)</w:t>
            </w:r>
          </w:p>
        </w:tc>
      </w:tr>
      <w:tr w:rsidR="00670ABC" w:rsidRPr="00CB21B0" w:rsidTr="00670ABC">
        <w:tc>
          <w:tcPr>
            <w:tcW w:w="714" w:type="dxa"/>
            <w:shd w:val="clear" w:color="auto" w:fill="auto"/>
          </w:tcPr>
          <w:p w:rsidR="00670ABC" w:rsidRPr="00CB21B0" w:rsidRDefault="00670ABC" w:rsidP="00670ABC">
            <w:pPr>
              <w:pStyle w:val="Tabletext"/>
            </w:pPr>
            <w:r w:rsidRPr="00CB21B0">
              <w:t>2</w:t>
            </w:r>
          </w:p>
        </w:tc>
        <w:tc>
          <w:tcPr>
            <w:tcW w:w="6373" w:type="dxa"/>
            <w:shd w:val="clear" w:color="auto" w:fill="auto"/>
          </w:tcPr>
          <w:p w:rsidR="00670ABC" w:rsidRPr="00CB21B0" w:rsidRDefault="00670ABC" w:rsidP="00332BD3">
            <w:pPr>
              <w:pStyle w:val="Tabletext"/>
            </w:pPr>
            <w:r w:rsidRPr="00CB21B0">
              <w:t>The active constituent must be manufactured by a manufacturer whose name is entered for the active constituent in the Record in accordance with paragraph</w:t>
            </w:r>
            <w:r w:rsidR="00CB21B0" w:rsidRPr="00CB21B0">
              <w:t> </w:t>
            </w:r>
            <w:r w:rsidRPr="00CB21B0">
              <w:t>15(1)(e</w:t>
            </w:r>
            <w:r w:rsidR="00332BD3" w:rsidRPr="00CB21B0">
              <w:t>)</w:t>
            </w:r>
          </w:p>
        </w:tc>
      </w:tr>
      <w:tr w:rsidR="00670ABC" w:rsidRPr="00CB21B0" w:rsidTr="00670ABC">
        <w:tc>
          <w:tcPr>
            <w:tcW w:w="714" w:type="dxa"/>
            <w:tcBorders>
              <w:bottom w:val="single" w:sz="4" w:space="0" w:color="auto"/>
            </w:tcBorders>
            <w:shd w:val="clear" w:color="auto" w:fill="auto"/>
          </w:tcPr>
          <w:p w:rsidR="00670ABC" w:rsidRPr="00CB21B0" w:rsidRDefault="00670ABC" w:rsidP="00670ABC">
            <w:pPr>
              <w:pStyle w:val="Tabletext"/>
            </w:pPr>
            <w:r w:rsidRPr="00CB21B0">
              <w:t>3</w:t>
            </w:r>
          </w:p>
        </w:tc>
        <w:tc>
          <w:tcPr>
            <w:tcW w:w="6373" w:type="dxa"/>
            <w:tcBorders>
              <w:bottom w:val="single" w:sz="4" w:space="0" w:color="auto"/>
            </w:tcBorders>
            <w:shd w:val="clear" w:color="auto" w:fill="auto"/>
          </w:tcPr>
          <w:p w:rsidR="00670ABC" w:rsidRPr="00CB21B0" w:rsidRDefault="00670ABC" w:rsidP="00670ABC">
            <w:pPr>
              <w:pStyle w:val="Tabletext"/>
            </w:pPr>
            <w:r w:rsidRPr="00CB21B0">
              <w:t>The active constituent must be manufactured at a site of manufacture entered for the active constituent in the Record in accordance with paragraph</w:t>
            </w:r>
            <w:r w:rsidR="00CB21B0" w:rsidRPr="00CB21B0">
              <w:t> </w:t>
            </w:r>
            <w:r w:rsidRPr="00CB21B0">
              <w:t>15(1)(f)</w:t>
            </w:r>
          </w:p>
        </w:tc>
      </w:tr>
      <w:tr w:rsidR="00670ABC" w:rsidRPr="00CB21B0" w:rsidTr="00670ABC">
        <w:tc>
          <w:tcPr>
            <w:tcW w:w="714" w:type="dxa"/>
            <w:tcBorders>
              <w:bottom w:val="single" w:sz="12" w:space="0" w:color="auto"/>
            </w:tcBorders>
            <w:shd w:val="clear" w:color="auto" w:fill="auto"/>
          </w:tcPr>
          <w:p w:rsidR="00670ABC" w:rsidRPr="00CB21B0" w:rsidRDefault="00670ABC" w:rsidP="00670ABC">
            <w:pPr>
              <w:pStyle w:val="Tabletext"/>
            </w:pPr>
            <w:r w:rsidRPr="00CB21B0">
              <w:t>4</w:t>
            </w:r>
          </w:p>
        </w:tc>
        <w:tc>
          <w:tcPr>
            <w:tcW w:w="6373" w:type="dxa"/>
            <w:tcBorders>
              <w:bottom w:val="single" w:sz="12" w:space="0" w:color="auto"/>
            </w:tcBorders>
            <w:shd w:val="clear" w:color="auto" w:fill="auto"/>
          </w:tcPr>
          <w:p w:rsidR="00670ABC" w:rsidRPr="00CB21B0" w:rsidRDefault="00670ABC" w:rsidP="00AC5F57">
            <w:pPr>
              <w:pStyle w:val="Tabletext"/>
            </w:pPr>
            <w:r w:rsidRPr="00CB21B0">
              <w:t xml:space="preserve">The identifying information for the holder of the approval, and the nominated agent (if any), of the active constituent must be the identifying information for the holder and nominated agent (if any) entered for the </w:t>
            </w:r>
            <w:r w:rsidRPr="00CB21B0">
              <w:lastRenderedPageBreak/>
              <w:t>a</w:t>
            </w:r>
            <w:r w:rsidR="00332BD3" w:rsidRPr="00CB21B0">
              <w:t>ctive constituent in the Record</w:t>
            </w:r>
          </w:p>
        </w:tc>
      </w:tr>
    </w:tbl>
    <w:p w:rsidR="00670ABC" w:rsidRPr="00CB21B0" w:rsidRDefault="00670ABC" w:rsidP="00670ABC">
      <w:pPr>
        <w:pStyle w:val="Tabletext"/>
      </w:pPr>
    </w:p>
    <w:p w:rsidR="00670ABC" w:rsidRPr="00CB21B0" w:rsidRDefault="007920DF" w:rsidP="007920DF">
      <w:pPr>
        <w:pStyle w:val="subsection"/>
      </w:pPr>
      <w:r w:rsidRPr="00CB21B0">
        <w:tab/>
        <w:t>(2)</w:t>
      </w:r>
      <w:r w:rsidRPr="00CB21B0">
        <w:tab/>
        <w:t>For paragraph</w:t>
      </w:r>
      <w:r w:rsidR="00CB21B0" w:rsidRPr="00CB21B0">
        <w:t> </w:t>
      </w:r>
      <w:r w:rsidRPr="00CB21B0">
        <w:t>23(1)(a) of the Code, the table sets out conditions to which the registration of a chemical product is subject.</w:t>
      </w:r>
    </w:p>
    <w:p w:rsidR="00670ABC" w:rsidRPr="00CB21B0" w:rsidRDefault="00670ABC" w:rsidP="00670AB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670ABC" w:rsidRPr="00CB21B0" w:rsidTr="00670ABC">
        <w:trPr>
          <w:tblHeader/>
        </w:trPr>
        <w:tc>
          <w:tcPr>
            <w:tcW w:w="7087" w:type="dxa"/>
            <w:gridSpan w:val="2"/>
            <w:tcBorders>
              <w:top w:val="single" w:sz="12" w:space="0" w:color="auto"/>
              <w:bottom w:val="single" w:sz="6" w:space="0" w:color="auto"/>
            </w:tcBorders>
            <w:shd w:val="clear" w:color="auto" w:fill="auto"/>
          </w:tcPr>
          <w:p w:rsidR="00670ABC" w:rsidRPr="00CB21B0" w:rsidRDefault="00670ABC" w:rsidP="00670ABC">
            <w:pPr>
              <w:pStyle w:val="TableHeading"/>
            </w:pPr>
            <w:r w:rsidRPr="00CB21B0">
              <w:t>Conditions for registration of chemical product</w:t>
            </w:r>
          </w:p>
        </w:tc>
      </w:tr>
      <w:tr w:rsidR="00670ABC" w:rsidRPr="00CB21B0" w:rsidTr="00670ABC">
        <w:trPr>
          <w:tblHeader/>
        </w:trPr>
        <w:tc>
          <w:tcPr>
            <w:tcW w:w="714" w:type="dxa"/>
            <w:tcBorders>
              <w:top w:val="single" w:sz="6" w:space="0" w:color="auto"/>
              <w:bottom w:val="single" w:sz="12" w:space="0" w:color="auto"/>
            </w:tcBorders>
            <w:shd w:val="clear" w:color="auto" w:fill="auto"/>
          </w:tcPr>
          <w:p w:rsidR="00670ABC" w:rsidRPr="00CB21B0" w:rsidRDefault="00670ABC" w:rsidP="00670ABC">
            <w:pPr>
              <w:pStyle w:val="TableHeading"/>
            </w:pPr>
            <w:r w:rsidRPr="00CB21B0">
              <w:t>Item</w:t>
            </w:r>
          </w:p>
        </w:tc>
        <w:tc>
          <w:tcPr>
            <w:tcW w:w="6373" w:type="dxa"/>
            <w:tcBorders>
              <w:top w:val="single" w:sz="6" w:space="0" w:color="auto"/>
              <w:bottom w:val="single" w:sz="12" w:space="0" w:color="auto"/>
            </w:tcBorders>
            <w:shd w:val="clear" w:color="auto" w:fill="auto"/>
          </w:tcPr>
          <w:p w:rsidR="00670ABC" w:rsidRPr="00CB21B0" w:rsidRDefault="00670ABC" w:rsidP="00670ABC">
            <w:pPr>
              <w:pStyle w:val="TableHeading"/>
            </w:pPr>
            <w:r w:rsidRPr="00CB21B0">
              <w:t>Condition</w:t>
            </w:r>
          </w:p>
        </w:tc>
      </w:tr>
      <w:tr w:rsidR="00670ABC" w:rsidRPr="00CB21B0" w:rsidTr="00670ABC">
        <w:tc>
          <w:tcPr>
            <w:tcW w:w="714" w:type="dxa"/>
            <w:tcBorders>
              <w:top w:val="single" w:sz="12" w:space="0" w:color="auto"/>
            </w:tcBorders>
            <w:shd w:val="clear" w:color="auto" w:fill="auto"/>
          </w:tcPr>
          <w:p w:rsidR="00670ABC" w:rsidRPr="00CB21B0" w:rsidRDefault="00670ABC" w:rsidP="00670ABC">
            <w:pPr>
              <w:pStyle w:val="Tabletext"/>
            </w:pPr>
            <w:r w:rsidRPr="00CB21B0">
              <w:t>1</w:t>
            </w:r>
          </w:p>
        </w:tc>
        <w:tc>
          <w:tcPr>
            <w:tcW w:w="6373" w:type="dxa"/>
            <w:tcBorders>
              <w:top w:val="single" w:sz="12" w:space="0" w:color="auto"/>
            </w:tcBorders>
            <w:shd w:val="clear" w:color="auto" w:fill="auto"/>
          </w:tcPr>
          <w:p w:rsidR="00670ABC" w:rsidRPr="00CB21B0" w:rsidRDefault="00670ABC" w:rsidP="00332BD3">
            <w:pPr>
              <w:pStyle w:val="Tabletext"/>
            </w:pPr>
            <w:r w:rsidRPr="00CB21B0">
              <w:t>The chemical product must contain each of the constituents entered for the chemical product in the Register in accordance with paragraph</w:t>
            </w:r>
            <w:r w:rsidR="00CB21B0" w:rsidRPr="00CB21B0">
              <w:t> </w:t>
            </w:r>
            <w:r w:rsidRPr="00CB21B0">
              <w:t>16(b)</w:t>
            </w:r>
          </w:p>
        </w:tc>
      </w:tr>
      <w:tr w:rsidR="00670ABC" w:rsidRPr="00CB21B0" w:rsidTr="00670ABC">
        <w:tc>
          <w:tcPr>
            <w:tcW w:w="714" w:type="dxa"/>
            <w:shd w:val="clear" w:color="auto" w:fill="auto"/>
          </w:tcPr>
          <w:p w:rsidR="00670ABC" w:rsidRPr="00CB21B0" w:rsidRDefault="00670ABC" w:rsidP="00670ABC">
            <w:pPr>
              <w:pStyle w:val="Tabletext"/>
            </w:pPr>
            <w:r w:rsidRPr="00CB21B0">
              <w:t>2</w:t>
            </w:r>
          </w:p>
        </w:tc>
        <w:tc>
          <w:tcPr>
            <w:tcW w:w="6373" w:type="dxa"/>
            <w:shd w:val="clear" w:color="auto" w:fill="auto"/>
          </w:tcPr>
          <w:p w:rsidR="00670ABC" w:rsidRPr="00CB21B0" w:rsidRDefault="00670ABC" w:rsidP="00670ABC">
            <w:pPr>
              <w:pStyle w:val="Tabletext"/>
            </w:pPr>
            <w:r w:rsidRPr="00CB21B0">
              <w:t>The chemical product must be manufactured:</w:t>
            </w:r>
          </w:p>
          <w:p w:rsidR="00670ABC" w:rsidRPr="00CB21B0" w:rsidRDefault="00670ABC" w:rsidP="00670ABC">
            <w:pPr>
              <w:pStyle w:val="Tablea"/>
            </w:pPr>
            <w:r w:rsidRPr="00CB21B0">
              <w:t>(a) in accordance with the particulars entered for the chemical product in the Register in accordance with paragraphs 16(b), (c), (d) and (da); and</w:t>
            </w:r>
          </w:p>
          <w:p w:rsidR="00670ABC" w:rsidRPr="00CB21B0" w:rsidRDefault="00670ABC" w:rsidP="00670ABC">
            <w:pPr>
              <w:pStyle w:val="Tablea"/>
            </w:pPr>
            <w:r w:rsidRPr="00CB21B0">
              <w:t>(b) by a manufacturer whose name is entered for the chemical product in the Register in accordance with paragraph</w:t>
            </w:r>
            <w:r w:rsidR="00CB21B0" w:rsidRPr="00CB21B0">
              <w:t> </w:t>
            </w:r>
            <w:r w:rsidRPr="00CB21B0">
              <w:t>16(g); and</w:t>
            </w:r>
          </w:p>
          <w:p w:rsidR="00670ABC" w:rsidRPr="00CB21B0" w:rsidRDefault="00670ABC" w:rsidP="00332BD3">
            <w:pPr>
              <w:pStyle w:val="Tablea"/>
            </w:pPr>
            <w:r w:rsidRPr="00CB21B0">
              <w:t>(c) at a site of manufacture entered for the chemical product in the Register in accordance with paragraph</w:t>
            </w:r>
            <w:r w:rsidR="00CB21B0" w:rsidRPr="00CB21B0">
              <w:t> </w:t>
            </w:r>
            <w:r w:rsidRPr="00CB21B0">
              <w:t>16(h)</w:t>
            </w:r>
          </w:p>
        </w:tc>
      </w:tr>
      <w:tr w:rsidR="00670ABC" w:rsidRPr="00CB21B0" w:rsidTr="00670ABC">
        <w:tc>
          <w:tcPr>
            <w:tcW w:w="714" w:type="dxa"/>
            <w:shd w:val="clear" w:color="auto" w:fill="auto"/>
          </w:tcPr>
          <w:p w:rsidR="00670ABC" w:rsidRPr="00CB21B0" w:rsidRDefault="00670ABC" w:rsidP="00670ABC">
            <w:pPr>
              <w:pStyle w:val="Tabletext"/>
            </w:pPr>
            <w:r w:rsidRPr="00CB21B0">
              <w:t>3</w:t>
            </w:r>
          </w:p>
        </w:tc>
        <w:tc>
          <w:tcPr>
            <w:tcW w:w="6373" w:type="dxa"/>
            <w:shd w:val="clear" w:color="auto" w:fill="auto"/>
          </w:tcPr>
          <w:p w:rsidR="00670ABC" w:rsidRPr="00CB21B0" w:rsidRDefault="00670ABC" w:rsidP="00670ABC">
            <w:pPr>
              <w:pStyle w:val="Tabletext"/>
            </w:pPr>
            <w:r w:rsidRPr="00CB21B0">
              <w:t>A chemical product manufactured in Australia must not be supplied unless the APVMA has determined it is satisfied that each holder of a licence to carry out steps in the manufacture of the product is complying with the following conditions of the licence:</w:t>
            </w:r>
          </w:p>
          <w:p w:rsidR="00670ABC" w:rsidRPr="00CB21B0" w:rsidRDefault="00670ABC" w:rsidP="00670ABC">
            <w:pPr>
              <w:pStyle w:val="Tablea"/>
            </w:pPr>
            <w:r w:rsidRPr="00CB21B0">
              <w:t>(a)</w:t>
            </w:r>
            <w:r w:rsidR="00332BD3" w:rsidRPr="00CB21B0">
              <w:t xml:space="preserve"> </w:t>
            </w:r>
            <w:r w:rsidRPr="00CB21B0">
              <w:t>any conditions imposed on the licence under subsections</w:t>
            </w:r>
            <w:r w:rsidR="00CB21B0" w:rsidRPr="00CB21B0">
              <w:t> </w:t>
            </w:r>
            <w:r w:rsidRPr="00CB21B0">
              <w:t>126(1) and (2) of the Code;</w:t>
            </w:r>
          </w:p>
          <w:p w:rsidR="00670ABC" w:rsidRPr="00CB21B0" w:rsidRDefault="00670ABC" w:rsidP="00670ABC">
            <w:pPr>
              <w:pStyle w:val="Tablea"/>
            </w:pPr>
            <w:r w:rsidRPr="00CB21B0">
              <w:t>(b)</w:t>
            </w:r>
            <w:r w:rsidR="00332BD3" w:rsidRPr="00CB21B0">
              <w:t xml:space="preserve"> </w:t>
            </w:r>
            <w:r w:rsidRPr="00CB21B0">
              <w:t>the condition mentioned in paragraph</w:t>
            </w:r>
            <w:r w:rsidR="00CB21B0" w:rsidRPr="00CB21B0">
              <w:t> </w:t>
            </w:r>
            <w:r w:rsidRPr="00CB21B0">
              <w:t>126(4)(a) of the Code, if the licence is subject to that condition;</w:t>
            </w:r>
          </w:p>
          <w:p w:rsidR="00670ABC" w:rsidRPr="00CB21B0" w:rsidRDefault="00670ABC" w:rsidP="00332BD3">
            <w:pPr>
              <w:pStyle w:val="Tablea"/>
            </w:pPr>
            <w:r w:rsidRPr="00CB21B0">
              <w:t>(c)</w:t>
            </w:r>
            <w:r w:rsidR="00332BD3" w:rsidRPr="00CB21B0">
              <w:t xml:space="preserve"> </w:t>
            </w:r>
            <w:r w:rsidRPr="00CB21B0">
              <w:t>any of the conditions mentioned in subregulations 61(3) to (7A) to which the licence is subject</w:t>
            </w:r>
          </w:p>
        </w:tc>
      </w:tr>
      <w:tr w:rsidR="00670ABC" w:rsidRPr="00CB21B0" w:rsidTr="00670ABC">
        <w:tc>
          <w:tcPr>
            <w:tcW w:w="714" w:type="dxa"/>
            <w:shd w:val="clear" w:color="auto" w:fill="auto"/>
          </w:tcPr>
          <w:p w:rsidR="00670ABC" w:rsidRPr="00CB21B0" w:rsidRDefault="00670ABC" w:rsidP="00670ABC">
            <w:pPr>
              <w:pStyle w:val="Tabletext"/>
            </w:pPr>
            <w:r w:rsidRPr="00CB21B0">
              <w:t>4</w:t>
            </w:r>
          </w:p>
        </w:tc>
        <w:tc>
          <w:tcPr>
            <w:tcW w:w="6373" w:type="dxa"/>
            <w:shd w:val="clear" w:color="auto" w:fill="auto"/>
          </w:tcPr>
          <w:p w:rsidR="00670ABC" w:rsidRPr="00CB21B0" w:rsidRDefault="00670ABC" w:rsidP="00670ABC">
            <w:pPr>
              <w:pStyle w:val="Tabletext"/>
            </w:pPr>
            <w:r w:rsidRPr="00CB21B0">
              <w:t>A chemical product manufactured outside Australia must not be supplied unless:</w:t>
            </w:r>
          </w:p>
          <w:p w:rsidR="00670ABC" w:rsidRPr="00CB21B0" w:rsidRDefault="00670ABC" w:rsidP="00670ABC">
            <w:pPr>
              <w:pStyle w:val="Tablea"/>
            </w:pPr>
            <w:r w:rsidRPr="00CB21B0">
              <w:t>(a) the holder of the registration of the product has, on request by the APVMA, given the APVMA, or arranged for the manufacturer of the product to give the APVMA, evidence that each step in the manufacture of the product complies with a standard that the APVMA has determined is comparable to manufacturing principles and the Australian GMP Code (a</w:t>
            </w:r>
            <w:r w:rsidR="002B7958" w:rsidRPr="00CB21B0">
              <w:t xml:space="preserve">n </w:t>
            </w:r>
            <w:r w:rsidR="002B7958" w:rsidRPr="00CB21B0">
              <w:rPr>
                <w:b/>
                <w:i/>
              </w:rPr>
              <w:t>overseas</w:t>
            </w:r>
            <w:r w:rsidRPr="00CB21B0">
              <w:rPr>
                <w:b/>
                <w:i/>
              </w:rPr>
              <w:t xml:space="preserve"> GMP </w:t>
            </w:r>
            <w:r w:rsidR="002B7958" w:rsidRPr="00CB21B0">
              <w:rPr>
                <w:b/>
                <w:i/>
              </w:rPr>
              <w:t>compliance assessment</w:t>
            </w:r>
            <w:r w:rsidRPr="00CB21B0">
              <w:t>); and</w:t>
            </w:r>
          </w:p>
          <w:p w:rsidR="00670ABC" w:rsidRPr="00CB21B0" w:rsidRDefault="00670ABC" w:rsidP="00332BD3">
            <w:pPr>
              <w:pStyle w:val="Tablea"/>
            </w:pPr>
            <w:r w:rsidRPr="00CB21B0">
              <w:t xml:space="preserve">(b) the APVMA has assessed the </w:t>
            </w:r>
            <w:r w:rsidR="002B7958" w:rsidRPr="00CB21B0">
              <w:t xml:space="preserve">overseas </w:t>
            </w:r>
            <w:r w:rsidRPr="00CB21B0">
              <w:t xml:space="preserve">GMP </w:t>
            </w:r>
            <w:r w:rsidR="002B7958" w:rsidRPr="00CB21B0">
              <w:t>compliance assessment</w:t>
            </w:r>
            <w:r w:rsidRPr="00CB21B0">
              <w:t xml:space="preserve"> </w:t>
            </w:r>
            <w:r w:rsidR="00AC5F57" w:rsidRPr="00CB21B0">
              <w:t xml:space="preserve">and </w:t>
            </w:r>
            <w:r w:rsidRPr="00CB21B0">
              <w:lastRenderedPageBreak/>
              <w:t>is satisfied that each step in the manufacture of the product complies with a standard that the APVMA has determined is comparable to manufacturing principles and the Australian GMP Code</w:t>
            </w:r>
          </w:p>
        </w:tc>
      </w:tr>
      <w:tr w:rsidR="00670ABC" w:rsidRPr="00CB21B0" w:rsidTr="00670ABC">
        <w:tc>
          <w:tcPr>
            <w:tcW w:w="714" w:type="dxa"/>
            <w:shd w:val="clear" w:color="auto" w:fill="auto"/>
          </w:tcPr>
          <w:p w:rsidR="00670ABC" w:rsidRPr="00CB21B0" w:rsidRDefault="00670ABC" w:rsidP="00670ABC">
            <w:pPr>
              <w:pStyle w:val="Tabletext"/>
            </w:pPr>
            <w:r w:rsidRPr="00CB21B0">
              <w:lastRenderedPageBreak/>
              <w:t>5</w:t>
            </w:r>
          </w:p>
        </w:tc>
        <w:tc>
          <w:tcPr>
            <w:tcW w:w="6373" w:type="dxa"/>
            <w:shd w:val="clear" w:color="auto" w:fill="auto"/>
          </w:tcPr>
          <w:p w:rsidR="00670ABC" w:rsidRPr="00CB21B0" w:rsidRDefault="00670ABC" w:rsidP="00332BD3">
            <w:pPr>
              <w:pStyle w:val="Tabletext"/>
            </w:pPr>
            <w:r w:rsidRPr="00CB21B0">
              <w:t>The formulation type of the chemical product as supplied must be the formulation type entered for the chemical product in the Register in accordance with paragraph</w:t>
            </w:r>
            <w:r w:rsidR="00CB21B0" w:rsidRPr="00CB21B0">
              <w:t> </w:t>
            </w:r>
            <w:r w:rsidRPr="00CB21B0">
              <w:t>16(da)</w:t>
            </w:r>
          </w:p>
        </w:tc>
      </w:tr>
      <w:tr w:rsidR="00670ABC" w:rsidRPr="00CB21B0" w:rsidTr="00670ABC">
        <w:tc>
          <w:tcPr>
            <w:tcW w:w="714" w:type="dxa"/>
            <w:tcBorders>
              <w:bottom w:val="single" w:sz="4" w:space="0" w:color="auto"/>
            </w:tcBorders>
            <w:shd w:val="clear" w:color="auto" w:fill="auto"/>
          </w:tcPr>
          <w:p w:rsidR="00670ABC" w:rsidRPr="00CB21B0" w:rsidRDefault="00670ABC" w:rsidP="00670ABC">
            <w:pPr>
              <w:pStyle w:val="Tabletext"/>
            </w:pPr>
            <w:r w:rsidRPr="00CB21B0">
              <w:t>6</w:t>
            </w:r>
          </w:p>
        </w:tc>
        <w:tc>
          <w:tcPr>
            <w:tcW w:w="6373" w:type="dxa"/>
            <w:tcBorders>
              <w:bottom w:val="single" w:sz="4" w:space="0" w:color="auto"/>
            </w:tcBorders>
            <w:shd w:val="clear" w:color="auto" w:fill="auto"/>
          </w:tcPr>
          <w:p w:rsidR="00670ABC" w:rsidRPr="00CB21B0" w:rsidRDefault="00670ABC" w:rsidP="00332BD3">
            <w:pPr>
              <w:pStyle w:val="Tabletext"/>
            </w:pPr>
            <w:r w:rsidRPr="00CB21B0">
              <w:t>The net contents for the chemical product as supplied must be the net contents entered for the chemical product in the Register in accordance with paragraph</w:t>
            </w:r>
            <w:r w:rsidR="00CB21B0" w:rsidRPr="00CB21B0">
              <w:t> </w:t>
            </w:r>
            <w:r w:rsidRPr="00CB21B0">
              <w:t>16(db)</w:t>
            </w:r>
          </w:p>
        </w:tc>
      </w:tr>
      <w:tr w:rsidR="00670ABC" w:rsidRPr="00CB21B0" w:rsidTr="00670ABC">
        <w:tc>
          <w:tcPr>
            <w:tcW w:w="714" w:type="dxa"/>
            <w:tcBorders>
              <w:bottom w:val="single" w:sz="12" w:space="0" w:color="auto"/>
            </w:tcBorders>
            <w:shd w:val="clear" w:color="auto" w:fill="auto"/>
          </w:tcPr>
          <w:p w:rsidR="00670ABC" w:rsidRPr="00CB21B0" w:rsidRDefault="00670ABC" w:rsidP="00670ABC">
            <w:pPr>
              <w:pStyle w:val="Tabletext"/>
            </w:pPr>
            <w:r w:rsidRPr="00CB21B0">
              <w:t>7</w:t>
            </w:r>
          </w:p>
        </w:tc>
        <w:tc>
          <w:tcPr>
            <w:tcW w:w="6373" w:type="dxa"/>
            <w:tcBorders>
              <w:bottom w:val="single" w:sz="12" w:space="0" w:color="auto"/>
            </w:tcBorders>
            <w:shd w:val="clear" w:color="auto" w:fill="auto"/>
          </w:tcPr>
          <w:p w:rsidR="00670ABC" w:rsidRPr="00CB21B0" w:rsidRDefault="00670ABC" w:rsidP="00332BD3">
            <w:pPr>
              <w:pStyle w:val="Tabletext"/>
            </w:pPr>
            <w:r w:rsidRPr="00CB21B0">
              <w:t>The identifying information for the holder of the registration, and the nominated agent (if any), for the chemical product as supplied must be the identifying information for the holder and nominated agent (if any) entered for the chemical product in the Register</w:t>
            </w:r>
          </w:p>
        </w:tc>
      </w:tr>
    </w:tbl>
    <w:p w:rsidR="00670ABC" w:rsidRPr="00CB21B0" w:rsidRDefault="00670ABC" w:rsidP="00670ABC">
      <w:pPr>
        <w:pStyle w:val="Tabletext"/>
      </w:pPr>
    </w:p>
    <w:p w:rsidR="007920DF" w:rsidRPr="00CB21B0" w:rsidRDefault="007920DF" w:rsidP="007920DF">
      <w:pPr>
        <w:pStyle w:val="subsection"/>
      </w:pPr>
      <w:r w:rsidRPr="00CB21B0">
        <w:tab/>
        <w:t>(3)</w:t>
      </w:r>
      <w:r w:rsidRPr="00CB21B0">
        <w:tab/>
        <w:t>Items</w:t>
      </w:r>
      <w:r w:rsidR="00CB21B0" w:rsidRPr="00CB21B0">
        <w:t> </w:t>
      </w:r>
      <w:r w:rsidRPr="00CB21B0">
        <w:t>3 and 4 of the table in subregulation (2) do not apply in relation to a chemical product if:</w:t>
      </w:r>
    </w:p>
    <w:p w:rsidR="00FA4800" w:rsidRPr="00CB21B0" w:rsidRDefault="007920DF" w:rsidP="007920DF">
      <w:pPr>
        <w:pStyle w:val="paragraph"/>
      </w:pPr>
      <w:r w:rsidRPr="00CB21B0">
        <w:tab/>
        <w:t>(a)</w:t>
      </w:r>
      <w:r w:rsidRPr="00CB21B0">
        <w:tab/>
        <w:t>the chemical product is</w:t>
      </w:r>
      <w:r w:rsidR="00FA4800" w:rsidRPr="00CB21B0">
        <w:t>:</w:t>
      </w:r>
    </w:p>
    <w:p w:rsidR="00FA4800" w:rsidRPr="00CB21B0" w:rsidRDefault="00FA4800" w:rsidP="00FA4800">
      <w:pPr>
        <w:pStyle w:val="paragraphsub"/>
      </w:pPr>
      <w:r w:rsidRPr="00CB21B0">
        <w:tab/>
        <w:t>(i)</w:t>
      </w:r>
      <w:r w:rsidRPr="00CB21B0">
        <w:tab/>
      </w:r>
      <w:r w:rsidR="007920DF" w:rsidRPr="00CB21B0">
        <w:t>an exempt product within the meaning given by regulation</w:t>
      </w:r>
      <w:r w:rsidR="00CB21B0" w:rsidRPr="00CB21B0">
        <w:t> </w:t>
      </w:r>
      <w:r w:rsidR="007920DF" w:rsidRPr="00CB21B0">
        <w:t>59</w:t>
      </w:r>
      <w:r w:rsidRPr="00CB21B0">
        <w:t>; or</w:t>
      </w:r>
    </w:p>
    <w:p w:rsidR="00FA4800" w:rsidRPr="00CB21B0" w:rsidRDefault="00FA4800" w:rsidP="00FA4800">
      <w:pPr>
        <w:pStyle w:val="paragraphsub"/>
      </w:pPr>
      <w:r w:rsidRPr="00CB21B0">
        <w:tab/>
        <w:t>(ii)</w:t>
      </w:r>
      <w:r w:rsidRPr="00CB21B0">
        <w:tab/>
      </w:r>
      <w:r w:rsidR="008619F1" w:rsidRPr="00CB21B0">
        <w:t>a listed chemical product</w:t>
      </w:r>
      <w:r w:rsidRPr="00CB21B0">
        <w:t>;</w:t>
      </w:r>
      <w:r w:rsidR="008619F1" w:rsidRPr="00CB21B0">
        <w:t xml:space="preserve"> or</w:t>
      </w:r>
    </w:p>
    <w:p w:rsidR="007920DF" w:rsidRPr="00CB21B0" w:rsidRDefault="00FA4800" w:rsidP="00FA4800">
      <w:pPr>
        <w:pStyle w:val="paragraphsub"/>
      </w:pPr>
      <w:r w:rsidRPr="00CB21B0">
        <w:tab/>
        <w:t>(iii)</w:t>
      </w:r>
      <w:r w:rsidRPr="00CB21B0">
        <w:tab/>
      </w:r>
      <w:r w:rsidR="008619F1" w:rsidRPr="00CB21B0">
        <w:t>a reserved chemical product</w:t>
      </w:r>
      <w:r w:rsidR="007920DF" w:rsidRPr="00CB21B0">
        <w:t>; or</w:t>
      </w:r>
    </w:p>
    <w:p w:rsidR="00C91D41" w:rsidRPr="00CB21B0" w:rsidRDefault="007920DF" w:rsidP="002046AC">
      <w:pPr>
        <w:pStyle w:val="paragraph"/>
      </w:pPr>
      <w:r w:rsidRPr="00CB21B0">
        <w:tab/>
        <w:t>(b)</w:t>
      </w:r>
      <w:r w:rsidRPr="00CB21B0">
        <w:tab/>
        <w:t>the holder of the registration of the product is an exempt person within the meaning given by regulation</w:t>
      </w:r>
      <w:r w:rsidR="00CB21B0" w:rsidRPr="00CB21B0">
        <w:t> </w:t>
      </w:r>
      <w:r w:rsidRPr="00CB21B0">
        <w:t>59A, 59B, 59C or 59D.</w:t>
      </w:r>
    </w:p>
    <w:p w:rsidR="007920DF" w:rsidRPr="00CB21B0" w:rsidRDefault="00220E6F" w:rsidP="001F2315">
      <w:pPr>
        <w:pStyle w:val="ItemHead"/>
      </w:pPr>
      <w:r w:rsidRPr="00CB21B0">
        <w:t>59</w:t>
      </w:r>
      <w:r w:rsidR="007920DF" w:rsidRPr="00CB21B0">
        <w:t xml:space="preserve">  Regulation</w:t>
      </w:r>
      <w:r w:rsidR="00CB21B0" w:rsidRPr="00CB21B0">
        <w:t> </w:t>
      </w:r>
      <w:r w:rsidR="007920DF" w:rsidRPr="00CB21B0">
        <w:t>18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55" w:name="_Toc361055053"/>
      <w:r w:rsidRPr="00CB21B0">
        <w:rPr>
          <w:rStyle w:val="CharSectno"/>
        </w:rPr>
        <w:t>18</w:t>
      </w:r>
      <w:r w:rsidRPr="00CB21B0">
        <w:t xml:space="preserve">  Conditions of </w:t>
      </w:r>
      <w:r w:rsidR="002046AC" w:rsidRPr="00CB21B0">
        <w:t>registration of</w:t>
      </w:r>
      <w:r w:rsidRPr="00CB21B0">
        <w:t xml:space="preserve"> chemical products</w:t>
      </w:r>
      <w:r w:rsidR="002046AC" w:rsidRPr="00CB21B0">
        <w:t>—containers</w:t>
      </w:r>
      <w:bookmarkEnd w:id="55"/>
    </w:p>
    <w:p w:rsidR="007920DF" w:rsidRPr="00CB21B0" w:rsidRDefault="00220E6F" w:rsidP="007920DF">
      <w:pPr>
        <w:pStyle w:val="ItemHead"/>
      </w:pPr>
      <w:r w:rsidRPr="00CB21B0">
        <w:t>60</w:t>
      </w:r>
      <w:r w:rsidR="007920DF" w:rsidRPr="00CB21B0">
        <w:t xml:space="preserve">  Subregulation</w:t>
      </w:r>
      <w:r w:rsidR="00CB21B0" w:rsidRPr="00CB21B0">
        <w:t> </w:t>
      </w:r>
      <w:r w:rsidR="007920DF" w:rsidRPr="00CB21B0">
        <w:t>18(1)</w:t>
      </w:r>
    </w:p>
    <w:p w:rsidR="007920DF" w:rsidRPr="00CB21B0" w:rsidRDefault="007920DF" w:rsidP="007920DF">
      <w:pPr>
        <w:pStyle w:val="Item"/>
      </w:pPr>
      <w:r w:rsidRPr="00CB21B0">
        <w:t>Repeal the subregulation, substitute:</w:t>
      </w:r>
    </w:p>
    <w:p w:rsidR="00B439A7" w:rsidRPr="00CB21B0" w:rsidRDefault="007920DF" w:rsidP="00B439A7">
      <w:pPr>
        <w:pStyle w:val="subsection"/>
      </w:pPr>
      <w:r w:rsidRPr="00CB21B0">
        <w:tab/>
        <w:t>(1)</w:t>
      </w:r>
      <w:r w:rsidRPr="00CB21B0">
        <w:tab/>
        <w:t>For paragraph</w:t>
      </w:r>
      <w:r w:rsidR="00CB21B0" w:rsidRPr="00CB21B0">
        <w:t> </w:t>
      </w:r>
      <w:r w:rsidRPr="00CB21B0">
        <w:t xml:space="preserve">23(1)(a) of the Code, the registration of a chemical product is subject to the condition that the product is supplied only </w:t>
      </w:r>
      <w:r w:rsidRPr="00CB21B0">
        <w:lastRenderedPageBreak/>
        <w:t>in a container that meets the requirements mentioned in subregulation (2).</w:t>
      </w:r>
    </w:p>
    <w:p w:rsidR="007920DF" w:rsidRPr="00CB21B0" w:rsidRDefault="00220E6F" w:rsidP="00B439A7">
      <w:pPr>
        <w:pStyle w:val="ItemHead"/>
      </w:pPr>
      <w:r w:rsidRPr="00CB21B0">
        <w:t>61</w:t>
      </w:r>
      <w:r w:rsidR="007920DF" w:rsidRPr="00CB21B0">
        <w:t xml:space="preserve">  Regulation</w:t>
      </w:r>
      <w:r w:rsidR="00CB21B0" w:rsidRPr="00CB21B0">
        <w:t> </w:t>
      </w:r>
      <w:r w:rsidR="007920DF" w:rsidRPr="00CB21B0">
        <w:t>18B</w:t>
      </w:r>
    </w:p>
    <w:p w:rsidR="007920DF" w:rsidRPr="00CB21B0" w:rsidRDefault="007920DF" w:rsidP="007920DF">
      <w:pPr>
        <w:pStyle w:val="Item"/>
      </w:pPr>
      <w:r w:rsidRPr="00CB21B0">
        <w:t>Repeal the regulation, substitute:</w:t>
      </w:r>
    </w:p>
    <w:p w:rsidR="007920DF" w:rsidRPr="00CB21B0" w:rsidRDefault="007920DF" w:rsidP="007920DF">
      <w:pPr>
        <w:pStyle w:val="ActHead5"/>
      </w:pPr>
      <w:bookmarkStart w:id="56" w:name="_Toc361055054"/>
      <w:r w:rsidRPr="00CB21B0">
        <w:rPr>
          <w:rStyle w:val="CharSectno"/>
        </w:rPr>
        <w:t>18B</w:t>
      </w:r>
      <w:r w:rsidRPr="00CB21B0">
        <w:t xml:space="preserve">  Prescribed conditions for approval of labels</w:t>
      </w:r>
      <w:bookmarkEnd w:id="56"/>
    </w:p>
    <w:p w:rsidR="007920DF" w:rsidRPr="00CB21B0" w:rsidRDefault="007920DF" w:rsidP="007920DF">
      <w:pPr>
        <w:pStyle w:val="subsection"/>
      </w:pPr>
      <w:r w:rsidRPr="00CB21B0">
        <w:tab/>
      </w:r>
      <w:r w:rsidRPr="00CB21B0">
        <w:tab/>
        <w:t>For paragraph</w:t>
      </w:r>
      <w:r w:rsidR="00CB21B0" w:rsidRPr="00CB21B0">
        <w:t> </w:t>
      </w:r>
      <w:r w:rsidRPr="00CB21B0">
        <w:t>23(1)(a) of the Code, the approval of a label for containers for a chemical product is subject to the conditions in this Subdivision.</w:t>
      </w:r>
    </w:p>
    <w:p w:rsidR="009C2B8C" w:rsidRPr="00CB21B0" w:rsidRDefault="00220E6F" w:rsidP="009C2B8C">
      <w:pPr>
        <w:pStyle w:val="ItemHead"/>
      </w:pPr>
      <w:r w:rsidRPr="00CB21B0">
        <w:t>62</w:t>
      </w:r>
      <w:r w:rsidR="009C2B8C" w:rsidRPr="00CB21B0">
        <w:t xml:space="preserve">  A</w:t>
      </w:r>
      <w:r w:rsidR="00D65286" w:rsidRPr="00CB21B0">
        <w:t>t the end of subregulation</w:t>
      </w:r>
      <w:r w:rsidR="00CB21B0" w:rsidRPr="00CB21B0">
        <w:t> </w:t>
      </w:r>
      <w:r w:rsidR="00D65286" w:rsidRPr="00CB21B0">
        <w:t>18</w:t>
      </w:r>
      <w:r w:rsidR="009C2B8C" w:rsidRPr="00CB21B0">
        <w:t>D(1)</w:t>
      </w:r>
    </w:p>
    <w:p w:rsidR="009C2B8C" w:rsidRPr="00CB21B0" w:rsidRDefault="009C2B8C" w:rsidP="009C2B8C">
      <w:pPr>
        <w:pStyle w:val="Item"/>
      </w:pPr>
      <w:r w:rsidRPr="00CB21B0">
        <w:t>Add:</w:t>
      </w:r>
    </w:p>
    <w:p w:rsidR="009C2B8C" w:rsidRPr="00CB21B0" w:rsidRDefault="009C2B8C" w:rsidP="009C2B8C">
      <w:pPr>
        <w:pStyle w:val="paragraph"/>
      </w:pPr>
      <w:r w:rsidRPr="00CB21B0">
        <w:tab/>
        <w:t>; (e)</w:t>
      </w:r>
      <w:r w:rsidRPr="00CB21B0">
        <w:tab/>
        <w:t>the name and address of the person primarily responsible for marketing the product.</w:t>
      </w:r>
    </w:p>
    <w:p w:rsidR="0034523B" w:rsidRPr="00CB21B0" w:rsidRDefault="00220E6F" w:rsidP="0034523B">
      <w:pPr>
        <w:pStyle w:val="ItemHead"/>
      </w:pPr>
      <w:r w:rsidRPr="00CB21B0">
        <w:t>63</w:t>
      </w:r>
      <w:r w:rsidR="007920DF" w:rsidRPr="00CB21B0">
        <w:t xml:space="preserve">  Subregulation</w:t>
      </w:r>
      <w:r w:rsidR="00CB21B0" w:rsidRPr="00CB21B0">
        <w:t> </w:t>
      </w:r>
      <w:r w:rsidR="007920DF" w:rsidRPr="00CB21B0">
        <w:t>18G(1)</w:t>
      </w:r>
    </w:p>
    <w:p w:rsidR="0034523B" w:rsidRPr="00CB21B0" w:rsidRDefault="007920DF" w:rsidP="0034523B">
      <w:pPr>
        <w:pStyle w:val="Item"/>
      </w:pPr>
      <w:r w:rsidRPr="00CB21B0">
        <w:t>Omit “An interested person”, substitute “The holder of the approval of the label”.</w:t>
      </w:r>
    </w:p>
    <w:p w:rsidR="0034523B" w:rsidRPr="00CB21B0" w:rsidRDefault="00220E6F" w:rsidP="0034523B">
      <w:pPr>
        <w:pStyle w:val="ItemHead"/>
      </w:pPr>
      <w:r w:rsidRPr="00CB21B0">
        <w:t>64</w:t>
      </w:r>
      <w:r w:rsidR="0034523B" w:rsidRPr="00CB21B0">
        <w:t xml:space="preserve">  Paragraph 18G(2)(b)</w:t>
      </w:r>
    </w:p>
    <w:p w:rsidR="0034523B" w:rsidRPr="00CB21B0" w:rsidRDefault="0034523B" w:rsidP="0034523B">
      <w:pPr>
        <w:pStyle w:val="Item"/>
      </w:pPr>
      <w:r w:rsidRPr="00CB21B0">
        <w:t>Omit “section</w:t>
      </w:r>
      <w:r w:rsidR="00CB21B0" w:rsidRPr="00CB21B0">
        <w:t> </w:t>
      </w:r>
      <w:r w:rsidRPr="00CB21B0">
        <w:t>55”, substitute “paragraph</w:t>
      </w:r>
      <w:r w:rsidR="00CB21B0" w:rsidRPr="00CB21B0">
        <w:t> </w:t>
      </w:r>
      <w:r w:rsidRPr="00CB21B0">
        <w:t>45A(1)(b)”.</w:t>
      </w:r>
    </w:p>
    <w:p w:rsidR="0034523B" w:rsidRPr="00CB21B0" w:rsidRDefault="00220E6F" w:rsidP="0034523B">
      <w:pPr>
        <w:pStyle w:val="ItemHead"/>
      </w:pPr>
      <w:r w:rsidRPr="00CB21B0">
        <w:t>65</w:t>
      </w:r>
      <w:r w:rsidR="0034523B" w:rsidRPr="00CB21B0">
        <w:t xml:space="preserve">  Subregulations</w:t>
      </w:r>
      <w:r w:rsidR="00CB21B0" w:rsidRPr="00CB21B0">
        <w:t> </w:t>
      </w:r>
      <w:r w:rsidR="0034523B" w:rsidRPr="00CB21B0">
        <w:t>18H(1) and 18I(1)</w:t>
      </w:r>
    </w:p>
    <w:p w:rsidR="0034523B" w:rsidRPr="00CB21B0" w:rsidRDefault="0034523B" w:rsidP="0034523B">
      <w:pPr>
        <w:pStyle w:val="Item"/>
      </w:pPr>
      <w:r w:rsidRPr="00CB21B0">
        <w:t>Omit “An interested person</w:t>
      </w:r>
      <w:r w:rsidR="009C2B8C" w:rsidRPr="00CB21B0">
        <w:t xml:space="preserve"> in relation to the label</w:t>
      </w:r>
      <w:r w:rsidRPr="00CB21B0">
        <w:t>”, substitute “The holder of the approval of the label”.</w:t>
      </w:r>
    </w:p>
    <w:p w:rsidR="007920DF" w:rsidRPr="00CB21B0" w:rsidRDefault="00220E6F" w:rsidP="007920DF">
      <w:pPr>
        <w:pStyle w:val="ItemHead"/>
      </w:pPr>
      <w:r w:rsidRPr="00CB21B0">
        <w:t>66</w:t>
      </w:r>
      <w:r w:rsidR="007920DF" w:rsidRPr="00CB21B0">
        <w:t xml:space="preserve">  Paragraph 18I(4)(a)</w:t>
      </w:r>
    </w:p>
    <w:p w:rsidR="007920DF" w:rsidRPr="00CB21B0" w:rsidRDefault="007920DF" w:rsidP="007920DF">
      <w:pPr>
        <w:pStyle w:val="Item"/>
      </w:pPr>
      <w:r w:rsidRPr="00CB21B0">
        <w:t>Omit “to public health or to occupational health or safety”, substitute “</w:t>
      </w:r>
      <w:r w:rsidR="009219CF" w:rsidRPr="00CB21B0">
        <w:t xml:space="preserve">to persons </w:t>
      </w:r>
      <w:r w:rsidRPr="00CB21B0">
        <w:t>of death, serious illness or serious injury”.</w:t>
      </w:r>
    </w:p>
    <w:p w:rsidR="00FD0D0B" w:rsidRPr="00CB21B0" w:rsidRDefault="00220E6F" w:rsidP="00FD0D0B">
      <w:pPr>
        <w:pStyle w:val="ItemHead"/>
      </w:pPr>
      <w:r w:rsidRPr="00CB21B0">
        <w:t>67</w:t>
      </w:r>
      <w:r w:rsidR="00FD0D0B" w:rsidRPr="00CB21B0">
        <w:t xml:space="preserve">  After regulation</w:t>
      </w:r>
      <w:r w:rsidR="00CB21B0" w:rsidRPr="00CB21B0">
        <w:t> </w:t>
      </w:r>
      <w:r w:rsidR="00FD0D0B" w:rsidRPr="00CB21B0">
        <w:t>18I</w:t>
      </w:r>
    </w:p>
    <w:p w:rsidR="00FD0D0B" w:rsidRPr="00CB21B0" w:rsidRDefault="00FD0D0B" w:rsidP="00FD0D0B">
      <w:pPr>
        <w:pStyle w:val="Item"/>
      </w:pPr>
      <w:r w:rsidRPr="00CB21B0">
        <w:t>Insert:</w:t>
      </w:r>
    </w:p>
    <w:p w:rsidR="00FD0D0B" w:rsidRPr="00CB21B0" w:rsidRDefault="00FD0D0B" w:rsidP="00FD0D0B">
      <w:pPr>
        <w:pStyle w:val="ActHead5"/>
      </w:pPr>
      <w:bookmarkStart w:id="57" w:name="_Toc361055055"/>
      <w:r w:rsidRPr="00CB21B0">
        <w:rPr>
          <w:rStyle w:val="CharSectno"/>
        </w:rPr>
        <w:lastRenderedPageBreak/>
        <w:t>18J</w:t>
      </w:r>
      <w:r w:rsidRPr="00CB21B0">
        <w:t xml:space="preserve">  Identifying information recorded for holder and nominated agent</w:t>
      </w:r>
      <w:bookmarkEnd w:id="57"/>
    </w:p>
    <w:p w:rsidR="00FD0D0B" w:rsidRPr="00CB21B0" w:rsidRDefault="00FD0D0B" w:rsidP="00FD0D0B">
      <w:pPr>
        <w:pStyle w:val="subsection"/>
      </w:pPr>
      <w:r w:rsidRPr="00CB21B0">
        <w:tab/>
      </w:r>
      <w:r w:rsidRPr="00CB21B0">
        <w:tab/>
        <w:t>The approval of a label for containers for a chemical product is subject to the condition that the identifying information for the holder of the approval, and the nominated agent for the holder (if any), must be the identifying information for the holder, and agent (if any), recorded for the label in the relevant APVMA file.</w:t>
      </w:r>
    </w:p>
    <w:p w:rsidR="007920DF" w:rsidRPr="00CB21B0" w:rsidRDefault="00220E6F" w:rsidP="007920DF">
      <w:pPr>
        <w:pStyle w:val="ItemHead"/>
      </w:pPr>
      <w:r w:rsidRPr="00CB21B0">
        <w:t>68</w:t>
      </w:r>
      <w:r w:rsidR="007920DF" w:rsidRPr="00CB21B0">
        <w:t xml:space="preserve">  After Subdivision</w:t>
      </w:r>
      <w:r w:rsidR="00CB21B0" w:rsidRPr="00CB21B0">
        <w:t> </w:t>
      </w:r>
      <w:r w:rsidR="007920DF" w:rsidRPr="00CB21B0">
        <w:t>2.1.6</w:t>
      </w:r>
    </w:p>
    <w:p w:rsidR="007920DF" w:rsidRPr="00CB21B0" w:rsidRDefault="007920DF" w:rsidP="007920DF">
      <w:pPr>
        <w:pStyle w:val="Item"/>
      </w:pPr>
      <w:r w:rsidRPr="00CB21B0">
        <w:t>Insert:</w:t>
      </w:r>
    </w:p>
    <w:p w:rsidR="007920DF" w:rsidRPr="00CB21B0" w:rsidRDefault="007920DF" w:rsidP="007920DF">
      <w:pPr>
        <w:pStyle w:val="ActHead4"/>
      </w:pPr>
      <w:bookmarkStart w:id="58" w:name="_Toc361055056"/>
      <w:r w:rsidRPr="00CB21B0">
        <w:rPr>
          <w:rStyle w:val="CharSubdNo"/>
        </w:rPr>
        <w:t>Subdivision</w:t>
      </w:r>
      <w:r w:rsidR="00CB21B0" w:rsidRPr="00CB21B0">
        <w:rPr>
          <w:rStyle w:val="CharSubdNo"/>
        </w:rPr>
        <w:t> </w:t>
      </w:r>
      <w:r w:rsidRPr="00CB21B0">
        <w:rPr>
          <w:rStyle w:val="CharSubdNo"/>
        </w:rPr>
        <w:t>2.1.6A</w:t>
      </w:r>
      <w:r w:rsidRPr="00CB21B0">
        <w:t>—</w:t>
      </w:r>
      <w:r w:rsidRPr="00CB21B0">
        <w:rPr>
          <w:rStyle w:val="CharSubdText"/>
        </w:rPr>
        <w:t>Incorrect particulars and conditions</w:t>
      </w:r>
      <w:bookmarkEnd w:id="58"/>
    </w:p>
    <w:p w:rsidR="007920DF" w:rsidRPr="00CB21B0" w:rsidRDefault="009C2B8C" w:rsidP="007920DF">
      <w:pPr>
        <w:pStyle w:val="ActHead5"/>
      </w:pPr>
      <w:bookmarkStart w:id="59" w:name="_Toc361055057"/>
      <w:r w:rsidRPr="00CB21B0">
        <w:rPr>
          <w:rStyle w:val="CharSectno"/>
        </w:rPr>
        <w:t>18K</w:t>
      </w:r>
      <w:r w:rsidR="00D65286" w:rsidRPr="00CB21B0">
        <w:t xml:space="preserve">  </w:t>
      </w:r>
      <w:r w:rsidR="007920DF" w:rsidRPr="00CB21B0">
        <w:t>Incorrect particulars and conditions APVMA must correct</w:t>
      </w:r>
      <w:bookmarkEnd w:id="59"/>
    </w:p>
    <w:p w:rsidR="002B7958" w:rsidRPr="00CB21B0" w:rsidRDefault="007920DF" w:rsidP="007741AA">
      <w:pPr>
        <w:pStyle w:val="subsection"/>
      </w:pPr>
      <w:r w:rsidRPr="00CB21B0">
        <w:tab/>
      </w:r>
      <w:r w:rsidRPr="00CB21B0">
        <w:tab/>
        <w:t>For paragraph</w:t>
      </w:r>
      <w:r w:rsidR="00CB21B0" w:rsidRPr="00CB21B0">
        <w:t> </w:t>
      </w:r>
      <w:r w:rsidRPr="00CB21B0">
        <w:t xml:space="preserve">26(1)(b) of the Code, the </w:t>
      </w:r>
      <w:r w:rsidR="002B7958" w:rsidRPr="00CB21B0">
        <w:t xml:space="preserve">following </w:t>
      </w:r>
      <w:r w:rsidR="00A223EC" w:rsidRPr="00CB21B0">
        <w:t>kinds of relevant particulars or conditions</w:t>
      </w:r>
      <w:r w:rsidR="002B7958" w:rsidRPr="00CB21B0">
        <w:t xml:space="preserve"> are prescribed:</w:t>
      </w:r>
    </w:p>
    <w:p w:rsidR="007741AA" w:rsidRPr="00CB21B0" w:rsidRDefault="002B7958" w:rsidP="002B7958">
      <w:pPr>
        <w:pStyle w:val="paragraph"/>
      </w:pPr>
      <w:r w:rsidRPr="00CB21B0">
        <w:tab/>
        <w:t>(a)</w:t>
      </w:r>
      <w:r w:rsidRPr="00CB21B0">
        <w:tab/>
      </w:r>
      <w:r w:rsidR="00A223EC" w:rsidRPr="00CB21B0">
        <w:t xml:space="preserve">the </w:t>
      </w:r>
      <w:r w:rsidR="007920DF" w:rsidRPr="00CB21B0">
        <w:t xml:space="preserve">signal words required by the current Poisons Standard in relation to </w:t>
      </w:r>
      <w:r w:rsidR="00A223EC" w:rsidRPr="00CB21B0">
        <w:t>an</w:t>
      </w:r>
      <w:r w:rsidRPr="00CB21B0">
        <w:t xml:space="preserve"> approved label;</w:t>
      </w:r>
    </w:p>
    <w:p w:rsidR="00A223EC" w:rsidRPr="00CB21B0" w:rsidRDefault="002B7958" w:rsidP="002B7958">
      <w:pPr>
        <w:pStyle w:val="paragraph"/>
      </w:pPr>
      <w:r w:rsidRPr="00CB21B0">
        <w:tab/>
        <w:t>(b)</w:t>
      </w:r>
      <w:r w:rsidRPr="00CB21B0">
        <w:tab/>
        <w:t xml:space="preserve">the information mentioned at </w:t>
      </w:r>
      <w:r w:rsidR="00CB21B0" w:rsidRPr="00CB21B0">
        <w:t>paragraphs (</w:t>
      </w:r>
      <w:r w:rsidRPr="00CB21B0">
        <w:t xml:space="preserve">e) and (f) of the definition of </w:t>
      </w:r>
      <w:r w:rsidRPr="00CB21B0">
        <w:rPr>
          <w:b/>
          <w:i/>
        </w:rPr>
        <w:t>identifying information</w:t>
      </w:r>
      <w:r w:rsidRPr="00CB21B0">
        <w:t xml:space="preserve"> in </w:t>
      </w:r>
      <w:r w:rsidR="00332BD3" w:rsidRPr="00CB21B0">
        <w:t>sub</w:t>
      </w:r>
      <w:r w:rsidRPr="00CB21B0">
        <w:t>regulation</w:t>
      </w:r>
      <w:r w:rsidR="00CB21B0" w:rsidRPr="00CB21B0">
        <w:t> </w:t>
      </w:r>
      <w:r w:rsidRPr="00CB21B0">
        <w:t>3</w:t>
      </w:r>
      <w:r w:rsidR="00332BD3" w:rsidRPr="00CB21B0">
        <w:t>(1)</w:t>
      </w:r>
      <w:r w:rsidRPr="00CB21B0">
        <w:t xml:space="preserve"> for</w:t>
      </w:r>
      <w:r w:rsidR="00A223EC" w:rsidRPr="00CB21B0">
        <w:t>:</w:t>
      </w:r>
    </w:p>
    <w:p w:rsidR="00A223EC" w:rsidRPr="00CB21B0" w:rsidRDefault="00A223EC" w:rsidP="00A223EC">
      <w:pPr>
        <w:pStyle w:val="paragraphsub"/>
      </w:pPr>
      <w:r w:rsidRPr="00CB21B0">
        <w:tab/>
        <w:t>(i)</w:t>
      </w:r>
      <w:r w:rsidRPr="00CB21B0">
        <w:tab/>
      </w:r>
      <w:r w:rsidR="002B7958" w:rsidRPr="00CB21B0">
        <w:t xml:space="preserve">the holder of </w:t>
      </w:r>
      <w:r w:rsidRPr="00CB21B0">
        <w:t>an</w:t>
      </w:r>
      <w:r w:rsidR="002B7958" w:rsidRPr="00CB21B0">
        <w:t xml:space="preserve"> approval </w:t>
      </w:r>
      <w:r w:rsidRPr="00CB21B0">
        <w:t xml:space="preserve">or registration; </w:t>
      </w:r>
      <w:r w:rsidR="002B7958" w:rsidRPr="00CB21B0">
        <w:t>and</w:t>
      </w:r>
    </w:p>
    <w:p w:rsidR="002B7958" w:rsidRPr="00CB21B0" w:rsidRDefault="00A223EC" w:rsidP="00A223EC">
      <w:pPr>
        <w:pStyle w:val="paragraphsub"/>
      </w:pPr>
      <w:r w:rsidRPr="00CB21B0">
        <w:tab/>
        <w:t>(ii)</w:t>
      </w:r>
      <w:r w:rsidRPr="00CB21B0">
        <w:tab/>
      </w:r>
      <w:r w:rsidR="002B7958" w:rsidRPr="00CB21B0">
        <w:t xml:space="preserve">the nominated agent (if any) of </w:t>
      </w:r>
      <w:r w:rsidRPr="00CB21B0">
        <w:t>a</w:t>
      </w:r>
      <w:r w:rsidR="002B7958" w:rsidRPr="00CB21B0">
        <w:t xml:space="preserve"> holder</w:t>
      </w:r>
      <w:r w:rsidRPr="00CB21B0">
        <w:t xml:space="preserve"> of an approval or registration</w:t>
      </w:r>
      <w:r w:rsidR="002B7958" w:rsidRPr="00CB21B0">
        <w:t>.</w:t>
      </w:r>
    </w:p>
    <w:p w:rsidR="007920DF" w:rsidRPr="00CB21B0" w:rsidRDefault="00220E6F" w:rsidP="007741AA">
      <w:pPr>
        <w:pStyle w:val="ItemHead"/>
      </w:pPr>
      <w:r w:rsidRPr="00CB21B0">
        <w:t>69</w:t>
      </w:r>
      <w:r w:rsidR="007920DF" w:rsidRPr="00CB21B0">
        <w:t xml:space="preserve">  Subdivision</w:t>
      </w:r>
      <w:r w:rsidR="00CB21B0" w:rsidRPr="00CB21B0">
        <w:t> </w:t>
      </w:r>
      <w:r w:rsidR="007920DF" w:rsidRPr="00CB21B0">
        <w:t>2.1.7</w:t>
      </w:r>
    </w:p>
    <w:p w:rsidR="007920DF" w:rsidRPr="00CB21B0" w:rsidRDefault="007920DF" w:rsidP="007920DF">
      <w:pPr>
        <w:pStyle w:val="Item"/>
      </w:pPr>
      <w:r w:rsidRPr="00CB21B0">
        <w:t>Repeal the subdivision.</w:t>
      </w:r>
    </w:p>
    <w:p w:rsidR="007920DF" w:rsidRPr="00CB21B0" w:rsidRDefault="00220E6F" w:rsidP="007920DF">
      <w:pPr>
        <w:pStyle w:val="ItemHead"/>
      </w:pPr>
      <w:r w:rsidRPr="00CB21B0">
        <w:t>70</w:t>
      </w:r>
      <w:r w:rsidR="007546BB" w:rsidRPr="00CB21B0">
        <w:t xml:space="preserve">  </w:t>
      </w:r>
      <w:r w:rsidR="007920DF" w:rsidRPr="00CB21B0">
        <w:t>Regulation</w:t>
      </w:r>
      <w:r w:rsidR="00FA4800" w:rsidRPr="00CB21B0">
        <w:t>s</w:t>
      </w:r>
      <w:r w:rsidR="00CB21B0" w:rsidRPr="00CB21B0">
        <w:t> </w:t>
      </w:r>
      <w:r w:rsidR="007920DF" w:rsidRPr="00CB21B0">
        <w:t>19AA</w:t>
      </w:r>
      <w:r w:rsidR="004C2EDF" w:rsidRPr="00CB21B0">
        <w:t>, 19AB and 19AC</w:t>
      </w:r>
    </w:p>
    <w:p w:rsidR="007920DF" w:rsidRPr="00CB21B0" w:rsidRDefault="007920DF" w:rsidP="007920DF">
      <w:pPr>
        <w:pStyle w:val="Item"/>
      </w:pPr>
      <w:r w:rsidRPr="00CB21B0">
        <w:t>Repeal the regulation</w:t>
      </w:r>
      <w:r w:rsidR="00FA4800" w:rsidRPr="00CB21B0">
        <w:t>s</w:t>
      </w:r>
      <w:r w:rsidRPr="00CB21B0">
        <w:t>.</w:t>
      </w:r>
    </w:p>
    <w:p w:rsidR="007920DF" w:rsidRPr="00CB21B0" w:rsidRDefault="00220E6F" w:rsidP="007920DF">
      <w:pPr>
        <w:pStyle w:val="ItemHead"/>
        <w:rPr>
          <w:rFonts w:cs="Arial"/>
        </w:rPr>
      </w:pPr>
      <w:r w:rsidRPr="00CB21B0">
        <w:rPr>
          <w:rFonts w:cs="Arial"/>
        </w:rPr>
        <w:t>71</w:t>
      </w:r>
      <w:r w:rsidR="007920DF" w:rsidRPr="00CB21B0">
        <w:rPr>
          <w:rFonts w:cs="Arial"/>
        </w:rPr>
        <w:t xml:space="preserve">  Regulation</w:t>
      </w:r>
      <w:r w:rsidR="00CB21B0" w:rsidRPr="00CB21B0">
        <w:rPr>
          <w:rFonts w:cs="Arial"/>
        </w:rPr>
        <w:t> </w:t>
      </w:r>
      <w:r w:rsidR="007920DF" w:rsidRPr="00CB21B0">
        <w:rPr>
          <w:rFonts w:cs="Arial"/>
        </w:rPr>
        <w:t>19AD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60" w:name="_Toc361055058"/>
      <w:r w:rsidRPr="00CB21B0">
        <w:rPr>
          <w:rStyle w:val="CharSectno"/>
        </w:rPr>
        <w:lastRenderedPageBreak/>
        <w:t>19AD</w:t>
      </w:r>
      <w:r w:rsidRPr="00CB21B0">
        <w:t xml:space="preserve">  Summaries of applications for variation for chemical products</w:t>
      </w:r>
      <w:bookmarkEnd w:id="60"/>
    </w:p>
    <w:p w:rsidR="007920DF" w:rsidRPr="00CB21B0" w:rsidRDefault="00220E6F" w:rsidP="007920DF">
      <w:pPr>
        <w:pStyle w:val="ItemHead"/>
        <w:rPr>
          <w:rFonts w:cs="Arial"/>
        </w:rPr>
      </w:pPr>
      <w:r w:rsidRPr="00CB21B0">
        <w:rPr>
          <w:rFonts w:cs="Arial"/>
          <w:noProof/>
        </w:rPr>
        <w:t>72</w:t>
      </w:r>
      <w:r w:rsidR="007920DF" w:rsidRPr="00CB21B0">
        <w:rPr>
          <w:rFonts w:cs="Arial"/>
        </w:rPr>
        <w:t xml:space="preserve">  Subregulation</w:t>
      </w:r>
      <w:r w:rsidR="00CB21B0" w:rsidRPr="00CB21B0">
        <w:rPr>
          <w:rFonts w:cs="Arial"/>
        </w:rPr>
        <w:t> </w:t>
      </w:r>
      <w:r w:rsidR="007920DF" w:rsidRPr="00CB21B0">
        <w:rPr>
          <w:rFonts w:cs="Arial"/>
        </w:rPr>
        <w:t>19AD(1)</w:t>
      </w:r>
    </w:p>
    <w:p w:rsidR="007920DF" w:rsidRPr="00CB21B0" w:rsidRDefault="007920DF" w:rsidP="007920DF">
      <w:pPr>
        <w:pStyle w:val="Item"/>
      </w:pPr>
      <w:r w:rsidRPr="00CB21B0">
        <w:t>Repeal the subregulation, substitute:</w:t>
      </w:r>
    </w:p>
    <w:p w:rsidR="007920DF" w:rsidRPr="00CB21B0" w:rsidRDefault="007920DF" w:rsidP="007920DF">
      <w:pPr>
        <w:pStyle w:val="subsection"/>
      </w:pPr>
      <w:r w:rsidRPr="00CB21B0">
        <w:tab/>
        <w:t>(1)</w:t>
      </w:r>
      <w:r w:rsidRPr="00CB21B0">
        <w:tab/>
        <w:t>This regulation applies to an application for variation of the relevant particulars or conditions of:</w:t>
      </w:r>
    </w:p>
    <w:p w:rsidR="007920DF" w:rsidRPr="00CB21B0" w:rsidRDefault="007920DF" w:rsidP="007920DF">
      <w:pPr>
        <w:pStyle w:val="paragraph"/>
      </w:pPr>
      <w:r w:rsidRPr="00CB21B0">
        <w:tab/>
        <w:t>(a)</w:t>
      </w:r>
      <w:r w:rsidRPr="00CB21B0">
        <w:tab/>
        <w:t>the registration of a chemical product; or</w:t>
      </w:r>
    </w:p>
    <w:p w:rsidR="007920DF" w:rsidRPr="00CB21B0" w:rsidRDefault="007920DF" w:rsidP="007920DF">
      <w:pPr>
        <w:pStyle w:val="paragraph"/>
      </w:pPr>
      <w:r w:rsidRPr="00CB21B0">
        <w:tab/>
        <w:t>(b)</w:t>
      </w:r>
      <w:r w:rsidRPr="00CB21B0">
        <w:tab/>
        <w:t>the approval of a label for a container for a chemical product.</w:t>
      </w:r>
    </w:p>
    <w:p w:rsidR="007920DF" w:rsidRPr="00CB21B0" w:rsidRDefault="00220E6F" w:rsidP="007920DF">
      <w:pPr>
        <w:pStyle w:val="ItemHead"/>
      </w:pPr>
      <w:r w:rsidRPr="00CB21B0">
        <w:t>73</w:t>
      </w:r>
      <w:r w:rsidR="007920DF" w:rsidRPr="00CB21B0">
        <w:t xml:space="preserve">  Subregulation</w:t>
      </w:r>
      <w:r w:rsidR="00CB21B0" w:rsidRPr="00CB21B0">
        <w:t> </w:t>
      </w:r>
      <w:r w:rsidR="007920DF" w:rsidRPr="00CB21B0">
        <w:t>19AD(2)</w:t>
      </w:r>
    </w:p>
    <w:p w:rsidR="007920DF" w:rsidRPr="00CB21B0" w:rsidRDefault="007920DF" w:rsidP="007920DF">
      <w:pPr>
        <w:pStyle w:val="Item"/>
      </w:pPr>
      <w:r w:rsidRPr="00CB21B0">
        <w:t>Omit “subsection</w:t>
      </w:r>
      <w:r w:rsidR="00CB21B0" w:rsidRPr="00CB21B0">
        <w:t> </w:t>
      </w:r>
      <w:r w:rsidRPr="00CB21B0">
        <w:t>28B (2)”, substitute “paragraph</w:t>
      </w:r>
      <w:r w:rsidR="00CB21B0" w:rsidRPr="00CB21B0">
        <w:t> </w:t>
      </w:r>
      <w:r w:rsidRPr="00CB21B0">
        <w:t>28(2)(b)”.</w:t>
      </w:r>
    </w:p>
    <w:p w:rsidR="007920DF" w:rsidRPr="00CB21B0" w:rsidRDefault="00220E6F" w:rsidP="007920DF">
      <w:pPr>
        <w:pStyle w:val="ItemHead"/>
      </w:pPr>
      <w:r w:rsidRPr="00CB21B0">
        <w:t>74</w:t>
      </w:r>
      <w:r w:rsidR="007920DF" w:rsidRPr="00CB21B0">
        <w:t xml:space="preserve">  Paragraph 19AD(2)(i)</w:t>
      </w:r>
    </w:p>
    <w:p w:rsidR="007920DF" w:rsidRPr="00CB21B0" w:rsidRDefault="007920DF" w:rsidP="007920DF">
      <w:pPr>
        <w:pStyle w:val="Item"/>
      </w:pPr>
      <w:r w:rsidRPr="00CB21B0">
        <w:t>Omit “details set out in subregulation (3)”, substitute “application information details for the item of information”.</w:t>
      </w:r>
    </w:p>
    <w:p w:rsidR="007741AA" w:rsidRPr="00CB21B0" w:rsidRDefault="00220E6F" w:rsidP="007741AA">
      <w:pPr>
        <w:pStyle w:val="ItemHead"/>
      </w:pPr>
      <w:r w:rsidRPr="00CB21B0">
        <w:t>75</w:t>
      </w:r>
      <w:r w:rsidR="007741AA" w:rsidRPr="00CB21B0">
        <w:t xml:space="preserve">  Subregulation</w:t>
      </w:r>
      <w:r w:rsidR="00CB21B0" w:rsidRPr="00CB21B0">
        <w:t> </w:t>
      </w:r>
      <w:r w:rsidR="007741AA" w:rsidRPr="00CB21B0">
        <w:t>19AD(3)</w:t>
      </w:r>
    </w:p>
    <w:p w:rsidR="007741AA" w:rsidRPr="00CB21B0" w:rsidRDefault="007741AA" w:rsidP="007741AA">
      <w:pPr>
        <w:pStyle w:val="Item"/>
      </w:pPr>
      <w:r w:rsidRPr="00CB21B0">
        <w:t>Repeal the subregulation.</w:t>
      </w:r>
    </w:p>
    <w:p w:rsidR="007920DF" w:rsidRPr="00CB21B0" w:rsidRDefault="00220E6F" w:rsidP="007920DF">
      <w:pPr>
        <w:pStyle w:val="ItemHead"/>
      </w:pPr>
      <w:r w:rsidRPr="00CB21B0">
        <w:t>76</w:t>
      </w:r>
      <w:r w:rsidR="007920DF" w:rsidRPr="00CB21B0">
        <w:t xml:space="preserve">  Subdivision</w:t>
      </w:r>
      <w:r w:rsidR="00CB21B0" w:rsidRPr="00CB21B0">
        <w:t> </w:t>
      </w:r>
      <w:r w:rsidR="007920DF" w:rsidRPr="00CB21B0">
        <w:t>2.2.2</w:t>
      </w:r>
    </w:p>
    <w:p w:rsidR="007920DF" w:rsidRPr="00CB21B0" w:rsidRDefault="007920DF" w:rsidP="007920DF">
      <w:pPr>
        <w:pStyle w:val="Item"/>
      </w:pPr>
      <w:r w:rsidRPr="00CB21B0">
        <w:t>Repeal the Subdivision.</w:t>
      </w:r>
    </w:p>
    <w:p w:rsidR="00386E5C" w:rsidRPr="00CB21B0" w:rsidRDefault="00220E6F" w:rsidP="00386E5C">
      <w:pPr>
        <w:pStyle w:val="ItemHead"/>
      </w:pPr>
      <w:r w:rsidRPr="00CB21B0">
        <w:t>77</w:t>
      </w:r>
      <w:r w:rsidR="00386E5C" w:rsidRPr="00CB21B0">
        <w:t xml:space="preserve">  Before Division</w:t>
      </w:r>
      <w:r w:rsidR="00CB21B0" w:rsidRPr="00CB21B0">
        <w:t> </w:t>
      </w:r>
      <w:r w:rsidR="00386E5C" w:rsidRPr="00CB21B0">
        <w:t>2.3</w:t>
      </w:r>
    </w:p>
    <w:p w:rsidR="00386E5C" w:rsidRPr="00CB21B0" w:rsidRDefault="00386E5C" w:rsidP="00386E5C">
      <w:pPr>
        <w:pStyle w:val="Item"/>
      </w:pPr>
      <w:r w:rsidRPr="00CB21B0">
        <w:t>Insert:</w:t>
      </w:r>
    </w:p>
    <w:p w:rsidR="00386E5C" w:rsidRPr="00CB21B0" w:rsidRDefault="00386E5C" w:rsidP="00A70635">
      <w:pPr>
        <w:pStyle w:val="ActHead3"/>
      </w:pPr>
      <w:bookmarkStart w:id="61" w:name="_Toc361055059"/>
      <w:r w:rsidRPr="00CB21B0">
        <w:rPr>
          <w:rStyle w:val="CharDivNo"/>
        </w:rPr>
        <w:t>Division</w:t>
      </w:r>
      <w:r w:rsidR="00CB21B0" w:rsidRPr="00CB21B0">
        <w:rPr>
          <w:rStyle w:val="CharDivNo"/>
        </w:rPr>
        <w:t> </w:t>
      </w:r>
      <w:r w:rsidRPr="00CB21B0">
        <w:rPr>
          <w:rStyle w:val="CharDivNo"/>
        </w:rPr>
        <w:t>2.2A</w:t>
      </w:r>
      <w:r w:rsidRPr="00CB21B0">
        <w:t>—</w:t>
      </w:r>
      <w:r w:rsidRPr="00CB21B0">
        <w:rPr>
          <w:rStyle w:val="CharDivText"/>
        </w:rPr>
        <w:t>Re</w:t>
      </w:r>
      <w:r w:rsidR="00CB21B0" w:rsidRPr="00CB21B0">
        <w:rPr>
          <w:rStyle w:val="CharDivText"/>
        </w:rPr>
        <w:noBreakHyphen/>
      </w:r>
      <w:r w:rsidRPr="00CB21B0">
        <w:rPr>
          <w:rStyle w:val="CharDivText"/>
        </w:rPr>
        <w:t>approving and re</w:t>
      </w:r>
      <w:r w:rsidR="00CB21B0" w:rsidRPr="00CB21B0">
        <w:rPr>
          <w:rStyle w:val="CharDivText"/>
        </w:rPr>
        <w:noBreakHyphen/>
      </w:r>
      <w:r w:rsidRPr="00CB21B0">
        <w:rPr>
          <w:rStyle w:val="CharDivText"/>
        </w:rPr>
        <w:t>registering</w:t>
      </w:r>
      <w:bookmarkEnd w:id="61"/>
    </w:p>
    <w:p w:rsidR="00386E5C" w:rsidRPr="00CB21B0" w:rsidRDefault="00386E5C" w:rsidP="00386E5C">
      <w:pPr>
        <w:pStyle w:val="ActHead5"/>
      </w:pPr>
      <w:bookmarkStart w:id="62" w:name="_Toc361055060"/>
      <w:r w:rsidRPr="00CB21B0">
        <w:rPr>
          <w:rStyle w:val="CharSectno"/>
        </w:rPr>
        <w:t>19A</w:t>
      </w:r>
      <w:r w:rsidRPr="00CB21B0">
        <w:t xml:space="preserve">  Late application for re</w:t>
      </w:r>
      <w:r w:rsidR="00CB21B0">
        <w:noBreakHyphen/>
      </w:r>
      <w:r w:rsidRPr="00CB21B0">
        <w:t>approval or re</w:t>
      </w:r>
      <w:r w:rsidR="00CB21B0">
        <w:noBreakHyphen/>
      </w:r>
      <w:r w:rsidRPr="00CB21B0">
        <w:t>registration</w:t>
      </w:r>
      <w:bookmarkEnd w:id="62"/>
    </w:p>
    <w:p w:rsidR="00386E5C" w:rsidRPr="00CB21B0" w:rsidRDefault="00386E5C" w:rsidP="00386E5C">
      <w:pPr>
        <w:pStyle w:val="subsection"/>
      </w:pPr>
      <w:r w:rsidRPr="00CB21B0">
        <w:tab/>
        <w:t>(1)</w:t>
      </w:r>
      <w:r w:rsidRPr="00CB21B0">
        <w:tab/>
        <w:t>This regulation is made for subsection</w:t>
      </w:r>
      <w:r w:rsidR="00CB21B0" w:rsidRPr="00CB21B0">
        <w:t> </w:t>
      </w:r>
      <w:r w:rsidRPr="00CB21B0">
        <w:t>29D(3) of the Code.</w:t>
      </w:r>
    </w:p>
    <w:p w:rsidR="00386E5C" w:rsidRPr="00CB21B0" w:rsidRDefault="00386E5C" w:rsidP="00386E5C">
      <w:pPr>
        <w:pStyle w:val="subsection"/>
      </w:pPr>
      <w:r w:rsidRPr="00CB21B0">
        <w:tab/>
        <w:t>(2)</w:t>
      </w:r>
      <w:r w:rsidRPr="00CB21B0">
        <w:tab/>
        <w:t>The APVMA may accept a late application for re</w:t>
      </w:r>
      <w:r w:rsidR="00CB21B0">
        <w:noBreakHyphen/>
      </w:r>
      <w:r w:rsidRPr="00CB21B0">
        <w:t>approval of an active constituent, or re</w:t>
      </w:r>
      <w:r w:rsidR="00CB21B0">
        <w:noBreakHyphen/>
      </w:r>
      <w:r w:rsidRPr="00CB21B0">
        <w:t>registration of a chemical product, if the fee mentioned in subregulation (3) is paid when the application is made.</w:t>
      </w:r>
    </w:p>
    <w:p w:rsidR="00386E5C" w:rsidRPr="00CB21B0" w:rsidRDefault="00386E5C" w:rsidP="00386E5C">
      <w:pPr>
        <w:pStyle w:val="subsection"/>
      </w:pPr>
      <w:r w:rsidRPr="00CB21B0">
        <w:lastRenderedPageBreak/>
        <w:tab/>
        <w:t>(3)</w:t>
      </w:r>
      <w:r w:rsidRPr="00CB21B0">
        <w:tab/>
        <w:t>The fee payable for making a late application is $500, and is payable in addition to the application fee payable under regulation</w:t>
      </w:r>
      <w:r w:rsidR="00CB21B0" w:rsidRPr="00CB21B0">
        <w:t> </w:t>
      </w:r>
      <w:r w:rsidRPr="00CB21B0">
        <w:t>70.</w:t>
      </w:r>
    </w:p>
    <w:p w:rsidR="00663A51" w:rsidRPr="00CB21B0" w:rsidRDefault="00386E5C" w:rsidP="00386E5C">
      <w:pPr>
        <w:pStyle w:val="notetext"/>
      </w:pPr>
      <w:r w:rsidRPr="00CB21B0">
        <w:t>Note</w:t>
      </w:r>
      <w:r w:rsidR="00663A51" w:rsidRPr="00CB21B0">
        <w:t xml:space="preserve"> 1</w:t>
      </w:r>
      <w:r w:rsidRPr="00CB21B0">
        <w:t>:</w:t>
      </w:r>
      <w:r w:rsidRPr="00CB21B0">
        <w:tab/>
        <w:t>Subsection</w:t>
      </w:r>
      <w:r w:rsidR="00CB21B0" w:rsidRPr="00CB21B0">
        <w:t> </w:t>
      </w:r>
      <w:r w:rsidRPr="00CB21B0">
        <w:t>29D(3) of the Code sets out when the application must be made.</w:t>
      </w:r>
    </w:p>
    <w:p w:rsidR="00663A51" w:rsidRPr="00CB21B0" w:rsidRDefault="00663A51" w:rsidP="00386E5C">
      <w:pPr>
        <w:pStyle w:val="notetext"/>
      </w:pPr>
      <w:r w:rsidRPr="00CB21B0">
        <w:t>Note 2:</w:t>
      </w:r>
      <w:r w:rsidRPr="00CB21B0">
        <w:tab/>
        <w:t>For the end date for approvals and last renewal date for registrations, following re</w:t>
      </w:r>
      <w:r w:rsidR="00CB21B0">
        <w:noBreakHyphen/>
      </w:r>
      <w:r w:rsidRPr="00CB21B0">
        <w:t>approval or re</w:t>
      </w:r>
      <w:r w:rsidR="00CB21B0">
        <w:noBreakHyphen/>
      </w:r>
      <w:r w:rsidRPr="00CB21B0">
        <w:t>registration, see regulation</w:t>
      </w:r>
      <w:r w:rsidR="00AC5F57" w:rsidRPr="00CB21B0">
        <w:t>s</w:t>
      </w:r>
      <w:r w:rsidR="00CB21B0" w:rsidRPr="00CB21B0">
        <w:t> </w:t>
      </w:r>
      <w:r w:rsidRPr="00CB21B0">
        <w:t>17A</w:t>
      </w:r>
      <w:r w:rsidR="00AC5F57" w:rsidRPr="00CB21B0">
        <w:t xml:space="preserve"> and 17B</w:t>
      </w:r>
      <w:r w:rsidRPr="00CB21B0">
        <w:t>.</w:t>
      </w:r>
    </w:p>
    <w:p w:rsidR="00254211" w:rsidRPr="00CB21B0" w:rsidRDefault="00220E6F" w:rsidP="00254211">
      <w:pPr>
        <w:pStyle w:val="ItemHead"/>
      </w:pPr>
      <w:r w:rsidRPr="00CB21B0">
        <w:t>78</w:t>
      </w:r>
      <w:r w:rsidR="00254211" w:rsidRPr="00CB21B0">
        <w:t xml:space="preserve">  </w:t>
      </w:r>
      <w:r w:rsidR="00EB3B08" w:rsidRPr="00CB21B0">
        <w:t>Regulations</w:t>
      </w:r>
      <w:r w:rsidR="00CB21B0" w:rsidRPr="00CB21B0">
        <w:t> </w:t>
      </w:r>
      <w:r w:rsidR="00EB3B08" w:rsidRPr="00CB21B0">
        <w:t>20 to 22</w:t>
      </w:r>
      <w:r w:rsidR="00670ABC" w:rsidRPr="00CB21B0">
        <w:t>A</w:t>
      </w:r>
      <w:r w:rsidR="00EB3B08" w:rsidRPr="00CB21B0">
        <w:t>A</w:t>
      </w:r>
    </w:p>
    <w:p w:rsidR="00EB3B08" w:rsidRPr="00CB21B0" w:rsidRDefault="00EB3B08" w:rsidP="00EB3B08">
      <w:pPr>
        <w:pStyle w:val="Item"/>
      </w:pPr>
      <w:r w:rsidRPr="00CB21B0">
        <w:t>Repeal the regulations, substitute:</w:t>
      </w:r>
    </w:p>
    <w:p w:rsidR="00C828C8" w:rsidRPr="00CB21B0" w:rsidRDefault="00EB3B08" w:rsidP="006C3A68">
      <w:pPr>
        <w:pStyle w:val="ActHead5"/>
      </w:pPr>
      <w:bookmarkStart w:id="63" w:name="_Toc361055061"/>
      <w:r w:rsidRPr="00CB21B0">
        <w:rPr>
          <w:rStyle w:val="CharSectno"/>
        </w:rPr>
        <w:t>20</w:t>
      </w:r>
      <w:r w:rsidR="00254211" w:rsidRPr="00CB21B0">
        <w:t xml:space="preserve">  Reconsideration work plan</w:t>
      </w:r>
      <w:bookmarkEnd w:id="63"/>
    </w:p>
    <w:p w:rsidR="00254211" w:rsidRPr="00CB21B0" w:rsidRDefault="00254211" w:rsidP="00C828C8">
      <w:pPr>
        <w:pStyle w:val="subsection"/>
      </w:pPr>
      <w:r w:rsidRPr="00CB21B0">
        <w:tab/>
      </w:r>
      <w:r w:rsidR="00CE3008" w:rsidRPr="00CB21B0">
        <w:t>(1)</w:t>
      </w:r>
      <w:r w:rsidRPr="00CB21B0">
        <w:tab/>
        <w:t>For subsection</w:t>
      </w:r>
      <w:r w:rsidR="00CB21B0" w:rsidRPr="00CB21B0">
        <w:t> </w:t>
      </w:r>
      <w:r w:rsidRPr="00CB21B0">
        <w:t>31(2) of the Act, a work plan for a proposed reconsideration must include the following:</w:t>
      </w:r>
    </w:p>
    <w:p w:rsidR="009F496D" w:rsidRPr="00CB21B0" w:rsidRDefault="00254211" w:rsidP="00254211">
      <w:pPr>
        <w:pStyle w:val="paragraph"/>
      </w:pPr>
      <w:r w:rsidRPr="00CB21B0">
        <w:tab/>
        <w:t>(a)</w:t>
      </w:r>
      <w:r w:rsidRPr="00CB21B0">
        <w:tab/>
      </w:r>
      <w:r w:rsidR="009F496D" w:rsidRPr="00CB21B0">
        <w:t>the date of any relevant notice published under section</w:t>
      </w:r>
      <w:r w:rsidR="00CB21B0" w:rsidRPr="00CB21B0">
        <w:t> </w:t>
      </w:r>
      <w:r w:rsidR="009F496D" w:rsidRPr="00CB21B0">
        <w:t>30 of the Code;</w:t>
      </w:r>
    </w:p>
    <w:p w:rsidR="00254211" w:rsidRPr="00CB21B0" w:rsidRDefault="009F496D" w:rsidP="00254211">
      <w:pPr>
        <w:pStyle w:val="paragraph"/>
      </w:pPr>
      <w:r w:rsidRPr="00CB21B0">
        <w:tab/>
        <w:t>(b)</w:t>
      </w:r>
      <w:r w:rsidRPr="00CB21B0">
        <w:tab/>
      </w:r>
      <w:r w:rsidR="00254211" w:rsidRPr="00CB21B0">
        <w:t xml:space="preserve">the date </w:t>
      </w:r>
      <w:r w:rsidRPr="00CB21B0">
        <w:t xml:space="preserve">on which the APVMA </w:t>
      </w:r>
      <w:r w:rsidR="00D831BF" w:rsidRPr="00CB21B0">
        <w:t>will</w:t>
      </w:r>
      <w:r w:rsidRPr="00CB21B0">
        <w:t xml:space="preserve"> commence the </w:t>
      </w:r>
      <w:r w:rsidR="00254211" w:rsidRPr="00CB21B0">
        <w:t>reconsideration;</w:t>
      </w:r>
    </w:p>
    <w:p w:rsidR="009C2B8C" w:rsidRPr="00CB21B0" w:rsidRDefault="009C2B8C" w:rsidP="00254211">
      <w:pPr>
        <w:pStyle w:val="paragraph"/>
      </w:pPr>
      <w:r w:rsidRPr="00CB21B0">
        <w:tab/>
        <w:t>(c)</w:t>
      </w:r>
      <w:r w:rsidRPr="00CB21B0">
        <w:tab/>
        <w:t>the proposed timeframe for the reconsideration and how the timeframe has been calculated for regulation</w:t>
      </w:r>
      <w:r w:rsidR="00CB21B0" w:rsidRPr="00CB21B0">
        <w:t> </w:t>
      </w:r>
      <w:r w:rsidRPr="00CB21B0">
        <w:t>78</w:t>
      </w:r>
      <w:r w:rsidR="00DB060B" w:rsidRPr="00CB21B0">
        <w:t>B</w:t>
      </w:r>
      <w:r w:rsidRPr="00CB21B0">
        <w:t>;</w:t>
      </w:r>
    </w:p>
    <w:p w:rsidR="00141608" w:rsidRPr="00CB21B0" w:rsidRDefault="00141608" w:rsidP="00254211">
      <w:pPr>
        <w:pStyle w:val="paragraph"/>
      </w:pPr>
      <w:r w:rsidRPr="00CB21B0">
        <w:tab/>
        <w:t>(</w:t>
      </w:r>
      <w:r w:rsidR="009C2B8C" w:rsidRPr="00CB21B0">
        <w:t>d</w:t>
      </w:r>
      <w:r w:rsidRPr="00CB21B0">
        <w:t>)</w:t>
      </w:r>
      <w:r w:rsidRPr="00CB21B0">
        <w:tab/>
        <w:t>the matters the APVMA proposes dealing with in the reconsideration;</w:t>
      </w:r>
    </w:p>
    <w:p w:rsidR="00254211" w:rsidRPr="00CB21B0" w:rsidRDefault="00254211" w:rsidP="00F34C34">
      <w:pPr>
        <w:pStyle w:val="paragraph"/>
      </w:pPr>
      <w:r w:rsidRPr="00CB21B0">
        <w:tab/>
        <w:t>(</w:t>
      </w:r>
      <w:r w:rsidR="009C2B8C" w:rsidRPr="00CB21B0">
        <w:t>e</w:t>
      </w:r>
      <w:r w:rsidRPr="00CB21B0">
        <w:t>)</w:t>
      </w:r>
      <w:r w:rsidRPr="00CB21B0">
        <w:tab/>
      </w:r>
      <w:r w:rsidR="00E36248" w:rsidRPr="00CB21B0">
        <w:t xml:space="preserve">the </w:t>
      </w:r>
      <w:r w:rsidR="00D831BF" w:rsidRPr="00CB21B0">
        <w:t xml:space="preserve">expected </w:t>
      </w:r>
      <w:r w:rsidR="00E36248" w:rsidRPr="00CB21B0">
        <w:t>date</w:t>
      </w:r>
      <w:r w:rsidR="00F34C34" w:rsidRPr="00CB21B0">
        <w:t xml:space="preserve"> on which a notice will be given to the holder under </w:t>
      </w:r>
      <w:r w:rsidR="009F496D" w:rsidRPr="00CB21B0">
        <w:t>subsection</w:t>
      </w:r>
      <w:r w:rsidR="00CB21B0" w:rsidRPr="00CB21B0">
        <w:t> </w:t>
      </w:r>
      <w:r w:rsidR="009F496D" w:rsidRPr="00CB21B0">
        <w:t>32(1) of the Code</w:t>
      </w:r>
      <w:r w:rsidR="00E36248" w:rsidRPr="00CB21B0">
        <w:t>;</w:t>
      </w:r>
    </w:p>
    <w:p w:rsidR="009F496D" w:rsidRPr="00CB21B0" w:rsidRDefault="009F496D" w:rsidP="00254211">
      <w:pPr>
        <w:pStyle w:val="paragraph"/>
      </w:pPr>
      <w:r w:rsidRPr="00CB21B0">
        <w:tab/>
        <w:t>(</w:t>
      </w:r>
      <w:r w:rsidR="004A4CC3" w:rsidRPr="00CB21B0">
        <w:t>f</w:t>
      </w:r>
      <w:r w:rsidRPr="00CB21B0">
        <w:t>)</w:t>
      </w:r>
      <w:r w:rsidRPr="00CB21B0">
        <w:tab/>
        <w:t xml:space="preserve">the </w:t>
      </w:r>
      <w:r w:rsidR="00D831BF" w:rsidRPr="00CB21B0">
        <w:t xml:space="preserve">expected </w:t>
      </w:r>
      <w:r w:rsidRPr="00CB21B0">
        <w:t xml:space="preserve">date </w:t>
      </w:r>
      <w:r w:rsidR="00F34C34" w:rsidRPr="00CB21B0">
        <w:t xml:space="preserve">on which </w:t>
      </w:r>
      <w:r w:rsidRPr="00CB21B0">
        <w:t xml:space="preserve">any information </w:t>
      </w:r>
      <w:r w:rsidR="00F34C34" w:rsidRPr="00CB21B0">
        <w:t>will be</w:t>
      </w:r>
      <w:r w:rsidRPr="00CB21B0">
        <w:t xml:space="preserve"> given under subsection</w:t>
      </w:r>
      <w:r w:rsidR="00CB21B0" w:rsidRPr="00CB21B0">
        <w:t> </w:t>
      </w:r>
      <w:r w:rsidRPr="00CB21B0">
        <w:t>32(2) of the Code</w:t>
      </w:r>
      <w:r w:rsidR="00F34C34" w:rsidRPr="00CB21B0">
        <w:t>,</w:t>
      </w:r>
      <w:r w:rsidR="00141608" w:rsidRPr="00CB21B0">
        <w:t xml:space="preserve"> and </w:t>
      </w:r>
      <w:r w:rsidR="00F34C34" w:rsidRPr="00CB21B0">
        <w:t xml:space="preserve">the </w:t>
      </w:r>
      <w:r w:rsidR="00D831BF" w:rsidRPr="00CB21B0">
        <w:t>anticipated</w:t>
      </w:r>
      <w:r w:rsidR="00F34C34" w:rsidRPr="00CB21B0">
        <w:t xml:space="preserve"> recipients of that </w:t>
      </w:r>
      <w:r w:rsidR="00141608" w:rsidRPr="00CB21B0">
        <w:t>information</w:t>
      </w:r>
      <w:r w:rsidRPr="00CB21B0">
        <w:t>;</w:t>
      </w:r>
    </w:p>
    <w:p w:rsidR="00E36248" w:rsidRPr="00CB21B0" w:rsidRDefault="00E36248" w:rsidP="00254211">
      <w:pPr>
        <w:pStyle w:val="paragraph"/>
      </w:pPr>
      <w:r w:rsidRPr="00CB21B0">
        <w:tab/>
        <w:t>(</w:t>
      </w:r>
      <w:r w:rsidR="009C2B8C" w:rsidRPr="00CB21B0">
        <w:t>g</w:t>
      </w:r>
      <w:r w:rsidRPr="00CB21B0">
        <w:t xml:space="preserve">) </w:t>
      </w:r>
      <w:r w:rsidRPr="00CB21B0">
        <w:tab/>
      </w:r>
      <w:r w:rsidR="009F496D" w:rsidRPr="00CB21B0">
        <w:t xml:space="preserve">the </w:t>
      </w:r>
      <w:r w:rsidR="00D831BF" w:rsidRPr="00CB21B0">
        <w:t xml:space="preserve">expected </w:t>
      </w:r>
      <w:r w:rsidR="009F496D" w:rsidRPr="00CB21B0">
        <w:t xml:space="preserve">date </w:t>
      </w:r>
      <w:r w:rsidR="00F34C34" w:rsidRPr="00CB21B0">
        <w:t xml:space="preserve">on which </w:t>
      </w:r>
      <w:r w:rsidR="009F496D" w:rsidRPr="00CB21B0">
        <w:t xml:space="preserve">a notice (if any) </w:t>
      </w:r>
      <w:r w:rsidR="00F34C34" w:rsidRPr="00CB21B0">
        <w:t xml:space="preserve">will be </w:t>
      </w:r>
      <w:r w:rsidR="009F496D" w:rsidRPr="00CB21B0">
        <w:t>given to the holder under subsection</w:t>
      </w:r>
      <w:r w:rsidR="00CB21B0" w:rsidRPr="00CB21B0">
        <w:t> </w:t>
      </w:r>
      <w:r w:rsidR="009F496D" w:rsidRPr="00CB21B0">
        <w:t>33(1) of the Code</w:t>
      </w:r>
      <w:r w:rsidR="00F34C34" w:rsidRPr="00CB21B0">
        <w:t>,</w:t>
      </w:r>
      <w:r w:rsidR="00141608" w:rsidRPr="00CB21B0">
        <w:t xml:space="preserve"> and a summary of the type of information, report, result or sample </w:t>
      </w:r>
      <w:r w:rsidR="00D831BF" w:rsidRPr="00CB21B0">
        <w:t>it is anticipated will be</w:t>
      </w:r>
      <w:r w:rsidR="00141608" w:rsidRPr="00CB21B0">
        <w:t xml:space="preserve"> re</w:t>
      </w:r>
      <w:r w:rsidR="00F34C34" w:rsidRPr="00CB21B0">
        <w:t>q</w:t>
      </w:r>
      <w:r w:rsidR="00141608" w:rsidRPr="00CB21B0">
        <w:t>uired</w:t>
      </w:r>
      <w:r w:rsidR="00D831BF" w:rsidRPr="00CB21B0">
        <w:t xml:space="preserve"> by the notice</w:t>
      </w:r>
      <w:r w:rsidRPr="00CB21B0">
        <w:t>;</w:t>
      </w:r>
    </w:p>
    <w:p w:rsidR="00E36248" w:rsidRPr="00CB21B0" w:rsidRDefault="00E36248" w:rsidP="00254211">
      <w:pPr>
        <w:pStyle w:val="paragraph"/>
      </w:pPr>
      <w:r w:rsidRPr="00CB21B0">
        <w:tab/>
      </w:r>
      <w:r w:rsidR="002C51BD" w:rsidRPr="00CB21B0">
        <w:t>(</w:t>
      </w:r>
      <w:r w:rsidR="009C2B8C" w:rsidRPr="00CB21B0">
        <w:t>h</w:t>
      </w:r>
      <w:r w:rsidR="002C51BD" w:rsidRPr="00CB21B0">
        <w:t>)</w:t>
      </w:r>
      <w:r w:rsidR="002C51BD" w:rsidRPr="00CB21B0">
        <w:tab/>
        <w:t xml:space="preserve">the </w:t>
      </w:r>
      <w:r w:rsidR="00D831BF" w:rsidRPr="00CB21B0">
        <w:t xml:space="preserve">expected </w:t>
      </w:r>
      <w:r w:rsidR="002C51BD" w:rsidRPr="00CB21B0">
        <w:t>date</w:t>
      </w:r>
      <w:r w:rsidR="00D831BF" w:rsidRPr="00CB21B0">
        <w:t xml:space="preserve"> on which</w:t>
      </w:r>
      <w:r w:rsidR="002C51BD" w:rsidRPr="00CB21B0">
        <w:t xml:space="preserve"> a notice </w:t>
      </w:r>
      <w:r w:rsidR="00D831BF" w:rsidRPr="00CB21B0">
        <w:t>(if any) will be</w:t>
      </w:r>
      <w:r w:rsidR="002C51BD" w:rsidRPr="00CB21B0">
        <w:t xml:space="preserve"> given under section</w:t>
      </w:r>
      <w:r w:rsidR="00CB21B0" w:rsidRPr="00CB21B0">
        <w:t> </w:t>
      </w:r>
      <w:r w:rsidR="002C51BD" w:rsidRPr="00CB21B0">
        <w:t>34AB of the Code</w:t>
      </w:r>
      <w:r w:rsidR="00D831BF" w:rsidRPr="00CB21B0">
        <w:t>,</w:t>
      </w:r>
      <w:r w:rsidR="002C51BD" w:rsidRPr="00CB21B0">
        <w:t xml:space="preserve"> and </w:t>
      </w:r>
      <w:r w:rsidR="00D831BF" w:rsidRPr="00CB21B0">
        <w:t>the anticipated recipients of the notice</w:t>
      </w:r>
      <w:r w:rsidR="002C51BD" w:rsidRPr="00CB21B0">
        <w:t>;</w:t>
      </w:r>
    </w:p>
    <w:p w:rsidR="0048083A" w:rsidRPr="00CB21B0" w:rsidRDefault="00E36248" w:rsidP="00254211">
      <w:pPr>
        <w:pStyle w:val="paragraph"/>
      </w:pPr>
      <w:r w:rsidRPr="00CB21B0">
        <w:tab/>
        <w:t>(</w:t>
      </w:r>
      <w:r w:rsidR="009C2B8C" w:rsidRPr="00CB21B0">
        <w:t>i</w:t>
      </w:r>
      <w:r w:rsidRPr="00CB21B0">
        <w:t>)</w:t>
      </w:r>
      <w:r w:rsidRPr="00CB21B0">
        <w:tab/>
      </w:r>
      <w:r w:rsidR="00D831BF" w:rsidRPr="00CB21B0">
        <w:t xml:space="preserve">the expected </w:t>
      </w:r>
      <w:r w:rsidR="00C828C8" w:rsidRPr="00CB21B0">
        <w:t>d</w:t>
      </w:r>
      <w:r w:rsidR="00141608" w:rsidRPr="00CB21B0">
        <w:t>ate</w:t>
      </w:r>
      <w:r w:rsidR="00C828C8" w:rsidRPr="00CB21B0">
        <w:t xml:space="preserve"> </w:t>
      </w:r>
      <w:r w:rsidR="00D831BF" w:rsidRPr="00CB21B0">
        <w:t xml:space="preserve">on which </w:t>
      </w:r>
      <w:r w:rsidR="00141608" w:rsidRPr="00CB21B0">
        <w:t>a</w:t>
      </w:r>
      <w:r w:rsidR="00C828C8" w:rsidRPr="00CB21B0">
        <w:t xml:space="preserve"> decision </w:t>
      </w:r>
      <w:r w:rsidR="00D831BF" w:rsidRPr="00CB21B0">
        <w:t>will be made</w:t>
      </w:r>
      <w:r w:rsidR="00141608" w:rsidRPr="00CB21B0">
        <w:t xml:space="preserve"> </w:t>
      </w:r>
      <w:r w:rsidR="00C828C8" w:rsidRPr="00CB21B0">
        <w:t>in relation to the reconsideration</w:t>
      </w:r>
      <w:r w:rsidR="00A51378" w:rsidRPr="00CB21B0">
        <w:t xml:space="preserve"> under section</w:t>
      </w:r>
      <w:r w:rsidR="00CB21B0" w:rsidRPr="00CB21B0">
        <w:t> </w:t>
      </w:r>
      <w:r w:rsidR="00A51378" w:rsidRPr="00CB21B0">
        <w:t>34 of the Code</w:t>
      </w:r>
      <w:r w:rsidR="00E8021C" w:rsidRPr="00CB21B0">
        <w:t>.</w:t>
      </w:r>
    </w:p>
    <w:p w:rsidR="00CE3008" w:rsidRPr="00CB21B0" w:rsidRDefault="002C51BD" w:rsidP="00B5711B">
      <w:pPr>
        <w:pStyle w:val="subsection"/>
      </w:pPr>
      <w:r w:rsidRPr="00CB21B0">
        <w:tab/>
      </w:r>
      <w:r w:rsidR="00CE3008" w:rsidRPr="00CB21B0">
        <w:t>(2)</w:t>
      </w:r>
      <w:r w:rsidR="00CE3008" w:rsidRPr="00CB21B0">
        <w:tab/>
        <w:t>For paragraph</w:t>
      </w:r>
      <w:r w:rsidR="00CB21B0" w:rsidRPr="00CB21B0">
        <w:t> </w:t>
      </w:r>
      <w:r w:rsidR="00CE3008" w:rsidRPr="00CB21B0">
        <w:t>31(3)(a) of the Code:</w:t>
      </w:r>
    </w:p>
    <w:p w:rsidR="00E03E66" w:rsidRPr="00CB21B0" w:rsidRDefault="00CE3008" w:rsidP="00CE3008">
      <w:pPr>
        <w:pStyle w:val="paragraph"/>
      </w:pPr>
      <w:r w:rsidRPr="00CB21B0">
        <w:lastRenderedPageBreak/>
        <w:tab/>
        <w:t>(a)</w:t>
      </w:r>
      <w:r w:rsidRPr="00CB21B0">
        <w:tab/>
      </w:r>
      <w:r w:rsidR="00E03E66" w:rsidRPr="00CB21B0">
        <w:t>the APVMA must review and update the work plan at least once a year; and</w:t>
      </w:r>
    </w:p>
    <w:p w:rsidR="005B084A" w:rsidRPr="00CB21B0" w:rsidRDefault="00E03E66" w:rsidP="00CE3008">
      <w:pPr>
        <w:pStyle w:val="paragraph"/>
      </w:pPr>
      <w:r w:rsidRPr="00CB21B0">
        <w:tab/>
        <w:t>(b)</w:t>
      </w:r>
      <w:r w:rsidRPr="00CB21B0">
        <w:tab/>
      </w:r>
      <w:r w:rsidR="00CE3008" w:rsidRPr="00CB21B0">
        <w:t xml:space="preserve">if the APVMA issues a notice or information mentioned in </w:t>
      </w:r>
      <w:r w:rsidR="00CB21B0" w:rsidRPr="00CB21B0">
        <w:t>paragraph (</w:t>
      </w:r>
      <w:r w:rsidR="00CE3008" w:rsidRPr="00CB21B0">
        <w:t>1)(</w:t>
      </w:r>
      <w:r w:rsidR="005B084A" w:rsidRPr="00CB21B0">
        <w:t>e), (f)</w:t>
      </w:r>
      <w:r w:rsidR="001E7B29" w:rsidRPr="00CB21B0">
        <w:t>,</w:t>
      </w:r>
      <w:r w:rsidR="00CE3008" w:rsidRPr="00CB21B0">
        <w:t xml:space="preserve"> (g)</w:t>
      </w:r>
      <w:r w:rsidR="001E7B29" w:rsidRPr="00CB21B0">
        <w:t xml:space="preserve"> or (h)</w:t>
      </w:r>
      <w:r w:rsidR="00666CA7" w:rsidRPr="00CB21B0">
        <w:t xml:space="preserve">, </w:t>
      </w:r>
      <w:r w:rsidR="00CE3008" w:rsidRPr="00CB21B0">
        <w:t>the APVMA must update the work plan to include the date the notice or information was issued</w:t>
      </w:r>
      <w:r w:rsidR="005B084A" w:rsidRPr="00CB21B0">
        <w:t>; and</w:t>
      </w:r>
    </w:p>
    <w:p w:rsidR="005B084A" w:rsidRPr="00CB21B0" w:rsidRDefault="005B084A" w:rsidP="00CE3008">
      <w:pPr>
        <w:pStyle w:val="paragraph"/>
      </w:pPr>
      <w:r w:rsidRPr="00CB21B0">
        <w:tab/>
        <w:t>(c)</w:t>
      </w:r>
      <w:r w:rsidRPr="00CB21B0">
        <w:tab/>
        <w:t>if the APVMA makes a decision in relation to the reconsideration under section</w:t>
      </w:r>
      <w:r w:rsidR="00CB21B0" w:rsidRPr="00CB21B0">
        <w:t> </w:t>
      </w:r>
      <w:r w:rsidRPr="00CB21B0">
        <w:t>34 of the Code</w:t>
      </w:r>
      <w:r w:rsidR="00666CA7" w:rsidRPr="00CB21B0">
        <w:t xml:space="preserve">, </w:t>
      </w:r>
      <w:r w:rsidR="00B5711B" w:rsidRPr="00CB21B0">
        <w:t xml:space="preserve">the APVMA must include in the work plan </w:t>
      </w:r>
      <w:r w:rsidRPr="00CB21B0">
        <w:t>details of the decision and the date of the decision; and</w:t>
      </w:r>
    </w:p>
    <w:p w:rsidR="00E8021C" w:rsidRPr="00CB21B0" w:rsidRDefault="00E8021C" w:rsidP="00E8021C">
      <w:pPr>
        <w:pStyle w:val="paragraph"/>
      </w:pPr>
      <w:r w:rsidRPr="00CB21B0">
        <w:tab/>
        <w:t>(d)</w:t>
      </w:r>
      <w:r w:rsidRPr="00CB21B0">
        <w:tab/>
        <w:t>if the APVMA varies the instructions on a label for containers for a chemical product under section</w:t>
      </w:r>
      <w:r w:rsidR="00CB21B0" w:rsidRPr="00CB21B0">
        <w:t> </w:t>
      </w:r>
      <w:r w:rsidRPr="00CB21B0">
        <w:t>34A of the Code in relation to the reconsideration—</w:t>
      </w:r>
      <w:r w:rsidR="001520FA" w:rsidRPr="00CB21B0">
        <w:t xml:space="preserve">the APVMA </w:t>
      </w:r>
      <w:r w:rsidR="00AC557B" w:rsidRPr="00CB21B0">
        <w:t xml:space="preserve">must </w:t>
      </w:r>
      <w:r w:rsidR="001520FA" w:rsidRPr="00CB21B0">
        <w:t>include in the work plan details of the variation</w:t>
      </w:r>
      <w:r w:rsidRPr="00CB21B0">
        <w:t>; and</w:t>
      </w:r>
    </w:p>
    <w:p w:rsidR="00FC0306" w:rsidRPr="00CB21B0" w:rsidRDefault="00FC0306" w:rsidP="00E8021C">
      <w:pPr>
        <w:pStyle w:val="paragraph"/>
      </w:pPr>
      <w:r w:rsidRPr="00CB21B0">
        <w:tab/>
        <w:t>(e)</w:t>
      </w:r>
      <w:r w:rsidRPr="00CB21B0">
        <w:tab/>
        <w:t>if the APVMA issues a permit in relation to the reconsideration—</w:t>
      </w:r>
      <w:r w:rsidR="001520FA" w:rsidRPr="00CB21B0">
        <w:t xml:space="preserve">the APVMA must include in the work plan </w:t>
      </w:r>
      <w:r w:rsidRPr="00CB21B0">
        <w:t>details of the permit; and</w:t>
      </w:r>
    </w:p>
    <w:p w:rsidR="007741AA" w:rsidRPr="00CB21B0" w:rsidRDefault="005B084A" w:rsidP="007741AA">
      <w:pPr>
        <w:pStyle w:val="paragraph"/>
      </w:pPr>
      <w:r w:rsidRPr="00CB21B0">
        <w:tab/>
        <w:t>(</w:t>
      </w:r>
      <w:r w:rsidR="00FC0306" w:rsidRPr="00CB21B0">
        <w:t>f</w:t>
      </w:r>
      <w:r w:rsidRPr="00CB21B0">
        <w:t>)</w:t>
      </w:r>
      <w:r w:rsidRPr="00CB21B0">
        <w:tab/>
        <w:t>if the APVMA takes any suspension, cancellation or recall action, in relation to the reconsideration, under section</w:t>
      </w:r>
      <w:r w:rsidR="00CB21B0" w:rsidRPr="00CB21B0">
        <w:t> </w:t>
      </w:r>
      <w:r w:rsidRPr="00CB21B0">
        <w:t>34AA, 41, 101</w:t>
      </w:r>
      <w:r w:rsidR="007741AA" w:rsidRPr="00CB21B0">
        <w:t>,</w:t>
      </w:r>
      <w:r w:rsidRPr="00CB21B0">
        <w:t xml:space="preserve"> 102 </w:t>
      </w:r>
      <w:r w:rsidR="007741AA" w:rsidRPr="00CB21B0">
        <w:t xml:space="preserve">or 103 </w:t>
      </w:r>
      <w:r w:rsidRPr="00CB21B0">
        <w:t>of the Code</w:t>
      </w:r>
      <w:r w:rsidR="00666CA7" w:rsidRPr="00CB21B0">
        <w:t xml:space="preserve">, </w:t>
      </w:r>
      <w:r w:rsidRPr="00CB21B0">
        <w:t>the APVMA must include in the work plan details of the action taken and the date of the action.</w:t>
      </w:r>
    </w:p>
    <w:p w:rsidR="007920DF" w:rsidRPr="00CB21B0" w:rsidRDefault="007920DF" w:rsidP="007920DF">
      <w:pPr>
        <w:pStyle w:val="ActHead5"/>
      </w:pPr>
      <w:bookmarkStart w:id="64" w:name="_Toc361055062"/>
      <w:r w:rsidRPr="00CB21B0">
        <w:rPr>
          <w:rStyle w:val="CharSectno"/>
        </w:rPr>
        <w:t>2</w:t>
      </w:r>
      <w:r w:rsidR="00EB3B08" w:rsidRPr="00CB21B0">
        <w:rPr>
          <w:rStyle w:val="CharSectno"/>
        </w:rPr>
        <w:t>1</w:t>
      </w:r>
      <w:r w:rsidRPr="00CB21B0">
        <w:t xml:space="preserve">  Period for </w:t>
      </w:r>
      <w:r w:rsidR="005E7FB1" w:rsidRPr="00CB21B0">
        <w:t>giving information, reports, results or samples</w:t>
      </w:r>
      <w:bookmarkEnd w:id="64"/>
    </w:p>
    <w:p w:rsidR="007920DF" w:rsidRPr="00CB21B0" w:rsidRDefault="007920DF" w:rsidP="007920DF">
      <w:pPr>
        <w:pStyle w:val="subsection"/>
      </w:pPr>
      <w:r w:rsidRPr="00CB21B0">
        <w:tab/>
        <w:t>(1)</w:t>
      </w:r>
      <w:r w:rsidRPr="00CB21B0">
        <w:tab/>
        <w:t>For subsection</w:t>
      </w:r>
      <w:r w:rsidR="00CB21B0" w:rsidRPr="00CB21B0">
        <w:t> </w:t>
      </w:r>
      <w:r w:rsidRPr="00CB21B0">
        <w:t>33(</w:t>
      </w:r>
      <w:r w:rsidR="00ED0F84" w:rsidRPr="00CB21B0">
        <w:t>1A</w:t>
      </w:r>
      <w:r w:rsidRPr="00CB21B0">
        <w:t>) of the Code, the period stated in a notice issued under subsection</w:t>
      </w:r>
      <w:r w:rsidR="00CB21B0" w:rsidRPr="00CB21B0">
        <w:t> </w:t>
      </w:r>
      <w:r w:rsidRPr="00CB21B0">
        <w:t>33(1) of the Code must not exceed the period that is half of the period in which the APVMA is required</w:t>
      </w:r>
      <w:r w:rsidR="005E7FB1" w:rsidRPr="00CB21B0">
        <w:t>,</w:t>
      </w:r>
      <w:r w:rsidR="00302231" w:rsidRPr="00CB21B0">
        <w:t xml:space="preserve"> under regulation</w:t>
      </w:r>
      <w:r w:rsidR="00CB21B0" w:rsidRPr="00CB21B0">
        <w:t> </w:t>
      </w:r>
      <w:r w:rsidR="00302231" w:rsidRPr="00CB21B0">
        <w:t>78</w:t>
      </w:r>
      <w:r w:rsidR="00DB060B" w:rsidRPr="00CB21B0">
        <w:t>B</w:t>
      </w:r>
      <w:r w:rsidR="005E7FB1" w:rsidRPr="00CB21B0">
        <w:t>,</w:t>
      </w:r>
      <w:r w:rsidRPr="00CB21B0">
        <w:t xml:space="preserve"> to conclude the reconsiderat</w:t>
      </w:r>
      <w:r w:rsidR="00302231" w:rsidRPr="00CB21B0">
        <w:t>ion to which the notice relates.</w:t>
      </w:r>
    </w:p>
    <w:p w:rsidR="00302231" w:rsidRPr="00CB21B0" w:rsidRDefault="00302231" w:rsidP="007920DF">
      <w:pPr>
        <w:pStyle w:val="subsection"/>
      </w:pPr>
      <w:r w:rsidRPr="00CB21B0">
        <w:tab/>
        <w:t>(2)</w:t>
      </w:r>
      <w:r w:rsidRPr="00CB21B0">
        <w:tab/>
        <w:t>For subregulation (1), the period in which the APVMA is required, under regulation</w:t>
      </w:r>
      <w:r w:rsidR="00CB21B0" w:rsidRPr="00CB21B0">
        <w:t> </w:t>
      </w:r>
      <w:r w:rsidRPr="00CB21B0">
        <w:t>78</w:t>
      </w:r>
      <w:r w:rsidR="00DB060B" w:rsidRPr="00CB21B0">
        <w:t>B</w:t>
      </w:r>
      <w:r w:rsidRPr="00CB21B0">
        <w:t>, to conclude the reconsideration, is to be calculated as at the date of the notice.</w:t>
      </w:r>
    </w:p>
    <w:p w:rsidR="00CD51E5" w:rsidRPr="00CB21B0" w:rsidRDefault="007920DF" w:rsidP="00CD51E5">
      <w:pPr>
        <w:pStyle w:val="subsection"/>
      </w:pPr>
      <w:r w:rsidRPr="00CB21B0">
        <w:tab/>
        <w:t>(</w:t>
      </w:r>
      <w:r w:rsidR="00302231" w:rsidRPr="00CB21B0">
        <w:t>3</w:t>
      </w:r>
      <w:r w:rsidRPr="00CB21B0">
        <w:t>)</w:t>
      </w:r>
      <w:r w:rsidRPr="00CB21B0">
        <w:tab/>
        <w:t>For subsection</w:t>
      </w:r>
      <w:r w:rsidR="00CB21B0" w:rsidRPr="00CB21B0">
        <w:t> </w:t>
      </w:r>
      <w:r w:rsidRPr="00CB21B0">
        <w:t>33(</w:t>
      </w:r>
      <w:r w:rsidR="00ED0F84" w:rsidRPr="00CB21B0">
        <w:t>1B</w:t>
      </w:r>
      <w:r w:rsidRPr="00CB21B0">
        <w:t>) of the Code, the APVMA may allow a further period if an extraordinary event or circumstance beyond the control of the holder prevents the holder from fulfilling the holder’s obligations in the notice.</w:t>
      </w:r>
    </w:p>
    <w:p w:rsidR="007920DF" w:rsidRPr="00CB21B0" w:rsidRDefault="007920DF" w:rsidP="007920DF">
      <w:pPr>
        <w:pStyle w:val="ActHead5"/>
      </w:pPr>
      <w:bookmarkStart w:id="65" w:name="_Toc361055063"/>
      <w:r w:rsidRPr="00CB21B0">
        <w:rPr>
          <w:rStyle w:val="CharSectno"/>
        </w:rPr>
        <w:lastRenderedPageBreak/>
        <w:t>22</w:t>
      </w:r>
      <w:r w:rsidRPr="00CB21B0">
        <w:t xml:space="preserve">  Notice of decision on reconsideration</w:t>
      </w:r>
      <w:bookmarkEnd w:id="65"/>
    </w:p>
    <w:p w:rsidR="007920DF" w:rsidRPr="00CB21B0" w:rsidRDefault="007920DF" w:rsidP="007920DF">
      <w:pPr>
        <w:pStyle w:val="subsection"/>
      </w:pPr>
      <w:r w:rsidRPr="00CB21B0">
        <w:tab/>
      </w:r>
      <w:r w:rsidRPr="00CB21B0">
        <w:tab/>
        <w:t>For paragraph</w:t>
      </w:r>
      <w:r w:rsidR="00CB21B0" w:rsidRPr="00CB21B0">
        <w:t> </w:t>
      </w:r>
      <w:r w:rsidRPr="00CB21B0">
        <w:t>34</w:t>
      </w:r>
      <w:r w:rsidR="009A434D" w:rsidRPr="00CB21B0">
        <w:t>A</w:t>
      </w:r>
      <w:r w:rsidRPr="00CB21B0">
        <w:t>C(2)(e) of the Code, the following information is prescribed:</w:t>
      </w:r>
    </w:p>
    <w:p w:rsidR="007920DF" w:rsidRPr="00CB21B0" w:rsidRDefault="007920DF" w:rsidP="007920DF">
      <w:pPr>
        <w:pStyle w:val="paragraph"/>
      </w:pPr>
      <w:r w:rsidRPr="00CB21B0">
        <w:tab/>
        <w:t>(a)</w:t>
      </w:r>
      <w:r w:rsidRPr="00CB21B0">
        <w:tab/>
        <w:t>particulars of the notice published under paragraph</w:t>
      </w:r>
      <w:r w:rsidR="00CB21B0" w:rsidRPr="00CB21B0">
        <w:t> </w:t>
      </w:r>
      <w:r w:rsidR="009A434D" w:rsidRPr="00CB21B0">
        <w:t>34AC</w:t>
      </w:r>
      <w:r w:rsidRPr="00CB21B0">
        <w:t>(1)(b) of the Code in relation to the affirmation;</w:t>
      </w:r>
    </w:p>
    <w:p w:rsidR="007920DF" w:rsidRPr="00CB21B0" w:rsidRDefault="007920DF" w:rsidP="007920DF">
      <w:pPr>
        <w:pStyle w:val="paragraph"/>
      </w:pPr>
      <w:r w:rsidRPr="00CB21B0">
        <w:tab/>
        <w:t>(b)</w:t>
      </w:r>
      <w:r w:rsidRPr="00CB21B0">
        <w:tab/>
        <w:t>the date on which the notice is given to the holder;</w:t>
      </w:r>
    </w:p>
    <w:p w:rsidR="007920DF" w:rsidRPr="00CB21B0" w:rsidRDefault="007920DF" w:rsidP="007920DF">
      <w:pPr>
        <w:pStyle w:val="paragraph"/>
      </w:pPr>
      <w:r w:rsidRPr="00CB21B0">
        <w:tab/>
        <w:t>(c)</w:t>
      </w:r>
      <w:r w:rsidRPr="00CB21B0">
        <w:tab/>
        <w:t>the date the APVMA affirmed the approval or registration;</w:t>
      </w:r>
    </w:p>
    <w:p w:rsidR="005E7FB1" w:rsidRPr="00CB21B0" w:rsidRDefault="005E7FB1" w:rsidP="007920DF">
      <w:pPr>
        <w:pStyle w:val="paragraph"/>
      </w:pPr>
      <w:r w:rsidRPr="00CB21B0">
        <w:tab/>
        <w:t>(d)</w:t>
      </w:r>
      <w:r w:rsidRPr="00CB21B0">
        <w:tab/>
        <w:t>for an affirmation of a registration of a chemical product—the distinguishing name of the chemical product;</w:t>
      </w:r>
    </w:p>
    <w:p w:rsidR="005E7FB1" w:rsidRPr="00CB21B0" w:rsidRDefault="005E7FB1" w:rsidP="007920DF">
      <w:pPr>
        <w:pStyle w:val="paragraph"/>
      </w:pPr>
      <w:r w:rsidRPr="00CB21B0">
        <w:tab/>
        <w:t>(e)</w:t>
      </w:r>
      <w:r w:rsidRPr="00CB21B0">
        <w:tab/>
        <w:t>for an affirmation of an approval of a label—the distinguishing number of the label;</w:t>
      </w:r>
    </w:p>
    <w:p w:rsidR="007920DF" w:rsidRPr="00CB21B0" w:rsidRDefault="007920DF" w:rsidP="007920DF">
      <w:pPr>
        <w:pStyle w:val="paragraph"/>
      </w:pPr>
      <w:r w:rsidRPr="00CB21B0">
        <w:tab/>
        <w:t>(</w:t>
      </w:r>
      <w:r w:rsidR="005E7FB1" w:rsidRPr="00CB21B0">
        <w:t>f</w:t>
      </w:r>
      <w:r w:rsidRPr="00CB21B0">
        <w:t>)</w:t>
      </w:r>
      <w:r w:rsidRPr="00CB21B0">
        <w:tab/>
        <w:t>any other details entered in the Record, Register or relevant APVMA file for the active constituent, chemical product or label that the APVMA thinks appropriate.</w:t>
      </w:r>
    </w:p>
    <w:p w:rsidR="00EB3B08" w:rsidRPr="00CB21B0" w:rsidRDefault="00EB3B08" w:rsidP="00EB3B08">
      <w:pPr>
        <w:pStyle w:val="notetext"/>
      </w:pPr>
      <w:r w:rsidRPr="00CB21B0">
        <w:t>Note:</w:t>
      </w:r>
      <w:r w:rsidRPr="00CB21B0">
        <w:tab/>
        <w:t>For the end dates for approvals and last renewal dates for registrations, see regulation</w:t>
      </w:r>
      <w:r w:rsidR="00221C24" w:rsidRPr="00CB21B0">
        <w:t>s</w:t>
      </w:r>
      <w:r w:rsidR="00CB21B0" w:rsidRPr="00CB21B0">
        <w:t> </w:t>
      </w:r>
      <w:r w:rsidRPr="00CB21B0">
        <w:t>17A</w:t>
      </w:r>
      <w:r w:rsidR="00221C24" w:rsidRPr="00CB21B0">
        <w:t xml:space="preserve"> and 17B</w:t>
      </w:r>
      <w:r w:rsidRPr="00CB21B0">
        <w:t>.</w:t>
      </w:r>
    </w:p>
    <w:p w:rsidR="00CD51E5" w:rsidRPr="00CB21B0" w:rsidRDefault="00CD51E5" w:rsidP="00CD51E5">
      <w:pPr>
        <w:pStyle w:val="ActHead5"/>
      </w:pPr>
      <w:bookmarkStart w:id="66" w:name="_Toc361055064"/>
      <w:r w:rsidRPr="00CB21B0">
        <w:rPr>
          <w:rStyle w:val="CharSectno"/>
        </w:rPr>
        <w:t>22</w:t>
      </w:r>
      <w:r w:rsidR="00EB3B08" w:rsidRPr="00CB21B0">
        <w:rPr>
          <w:rStyle w:val="CharSectno"/>
        </w:rPr>
        <w:t>AA</w:t>
      </w:r>
      <w:r w:rsidR="00EB3B08" w:rsidRPr="00CB21B0">
        <w:t xml:space="preserve">  </w:t>
      </w:r>
      <w:r w:rsidRPr="00CB21B0">
        <w:t>Reconsideration by APVMA of approval of label</w:t>
      </w:r>
      <w:bookmarkEnd w:id="66"/>
    </w:p>
    <w:p w:rsidR="00CD51E5" w:rsidRPr="00CB21B0" w:rsidRDefault="00CD51E5" w:rsidP="00CD51E5">
      <w:pPr>
        <w:pStyle w:val="subsection"/>
      </w:pPr>
      <w:r w:rsidRPr="00CB21B0">
        <w:tab/>
      </w:r>
      <w:r w:rsidRPr="00CB21B0">
        <w:tab/>
        <w:t>For subsection</w:t>
      </w:r>
      <w:r w:rsidR="00CB21B0" w:rsidRPr="00CB21B0">
        <w:t> </w:t>
      </w:r>
      <w:r w:rsidRPr="00CB21B0">
        <w:t>34AF(1) of the Code, the prescribed matters are:</w:t>
      </w:r>
    </w:p>
    <w:p w:rsidR="00CD51E5" w:rsidRPr="00CB21B0" w:rsidRDefault="00CD51E5" w:rsidP="00CD51E5">
      <w:pPr>
        <w:pStyle w:val="paragraph"/>
      </w:pPr>
      <w:r w:rsidRPr="00CB21B0">
        <w:tab/>
        <w:t>(a)</w:t>
      </w:r>
      <w:r w:rsidRPr="00CB21B0">
        <w:tab/>
        <w:t>the matters mentioned in paragraphs 5D(1)(g), (h) and (i) of the Code; and</w:t>
      </w:r>
    </w:p>
    <w:p w:rsidR="007920DF" w:rsidRPr="00CB21B0" w:rsidRDefault="00CD51E5" w:rsidP="001F2315">
      <w:pPr>
        <w:pStyle w:val="paragraph"/>
      </w:pPr>
      <w:r w:rsidRPr="00CB21B0">
        <w:tab/>
        <w:t>(b)</w:t>
      </w:r>
      <w:r w:rsidRPr="00CB21B0">
        <w:tab/>
        <w:t>the matters mentioned in subregulation</w:t>
      </w:r>
      <w:r w:rsidR="00CB21B0" w:rsidRPr="00CB21B0">
        <w:t> </w:t>
      </w:r>
      <w:r w:rsidRPr="00CB21B0">
        <w:t>8AE(1).</w:t>
      </w:r>
    </w:p>
    <w:p w:rsidR="0096603C" w:rsidRPr="00CB21B0" w:rsidRDefault="00220E6F" w:rsidP="0096603C">
      <w:pPr>
        <w:pStyle w:val="ItemHead"/>
      </w:pPr>
      <w:r w:rsidRPr="00CB21B0">
        <w:t>79</w:t>
      </w:r>
      <w:r w:rsidR="0096603C" w:rsidRPr="00CB21B0">
        <w:t xml:space="preserve">  Division</w:t>
      </w:r>
      <w:r w:rsidR="00CB21B0" w:rsidRPr="00CB21B0">
        <w:t> </w:t>
      </w:r>
      <w:r w:rsidR="0096603C" w:rsidRPr="00CB21B0">
        <w:t>2.4 of Part</w:t>
      </w:r>
      <w:r w:rsidR="00CB21B0" w:rsidRPr="00CB21B0">
        <w:t> </w:t>
      </w:r>
      <w:r w:rsidR="0096603C" w:rsidRPr="00CB21B0">
        <w:t>2</w:t>
      </w:r>
    </w:p>
    <w:p w:rsidR="0096603C" w:rsidRPr="00CB21B0" w:rsidRDefault="0096603C" w:rsidP="0096603C">
      <w:pPr>
        <w:pStyle w:val="Item"/>
      </w:pPr>
      <w:r w:rsidRPr="00CB21B0">
        <w:t>Repeal the Division.</w:t>
      </w:r>
    </w:p>
    <w:p w:rsidR="008B4365" w:rsidRPr="00CB21B0" w:rsidRDefault="00220E6F" w:rsidP="001E709C">
      <w:pPr>
        <w:pStyle w:val="ItemHead"/>
        <w:rPr>
          <w:rFonts w:cs="Arial"/>
          <w:i/>
        </w:rPr>
      </w:pPr>
      <w:r w:rsidRPr="00CB21B0">
        <w:rPr>
          <w:rFonts w:cs="Arial"/>
          <w:noProof/>
        </w:rPr>
        <w:t>80</w:t>
      </w:r>
      <w:r w:rsidR="007920DF" w:rsidRPr="00CB21B0">
        <w:rPr>
          <w:rFonts w:cs="Arial"/>
        </w:rPr>
        <w:t xml:space="preserve">  </w:t>
      </w:r>
      <w:r w:rsidR="008B4365" w:rsidRPr="00CB21B0">
        <w:rPr>
          <w:rFonts w:cs="Arial"/>
        </w:rPr>
        <w:t>Division</w:t>
      </w:r>
      <w:r w:rsidR="00CB21B0" w:rsidRPr="00CB21B0">
        <w:rPr>
          <w:rFonts w:cs="Arial"/>
        </w:rPr>
        <w:t> </w:t>
      </w:r>
      <w:r w:rsidR="008B4365" w:rsidRPr="00CB21B0">
        <w:rPr>
          <w:rFonts w:cs="Arial"/>
        </w:rPr>
        <w:t>2.5 of Part</w:t>
      </w:r>
      <w:r w:rsidR="00CB21B0" w:rsidRPr="00CB21B0">
        <w:rPr>
          <w:rFonts w:cs="Arial"/>
        </w:rPr>
        <w:t> </w:t>
      </w:r>
      <w:r w:rsidR="008B4365" w:rsidRPr="00CB21B0">
        <w:rPr>
          <w:rFonts w:cs="Arial"/>
        </w:rPr>
        <w:t>2</w:t>
      </w:r>
    </w:p>
    <w:p w:rsidR="007920DF" w:rsidRPr="00CB21B0" w:rsidRDefault="008B4365" w:rsidP="007920DF">
      <w:pPr>
        <w:pStyle w:val="Item"/>
      </w:pPr>
      <w:r w:rsidRPr="00CB21B0">
        <w:t>Repeal the Division, substitute</w:t>
      </w:r>
      <w:r w:rsidR="007920DF" w:rsidRPr="00CB21B0">
        <w:t>:</w:t>
      </w:r>
    </w:p>
    <w:p w:rsidR="007920DF" w:rsidRPr="00CB21B0" w:rsidRDefault="007920DF" w:rsidP="007920DF">
      <w:pPr>
        <w:pStyle w:val="ActHead3"/>
      </w:pPr>
      <w:bookmarkStart w:id="67" w:name="_Toc361055065"/>
      <w:r w:rsidRPr="00CB21B0">
        <w:rPr>
          <w:rStyle w:val="CharDivNo"/>
        </w:rPr>
        <w:lastRenderedPageBreak/>
        <w:t>Division</w:t>
      </w:r>
      <w:r w:rsidR="00CB21B0" w:rsidRPr="00CB21B0">
        <w:rPr>
          <w:rStyle w:val="CharDivNo"/>
        </w:rPr>
        <w:t> </w:t>
      </w:r>
      <w:r w:rsidRPr="00CB21B0">
        <w:rPr>
          <w:rStyle w:val="CharDivNo"/>
        </w:rPr>
        <w:t>2.5</w:t>
      </w:r>
      <w:r w:rsidRPr="00CB21B0">
        <w:t>—</w:t>
      </w:r>
      <w:r w:rsidRPr="00CB21B0">
        <w:rPr>
          <w:rStyle w:val="CharDivText"/>
        </w:rPr>
        <w:t>Variation of dates for approval or registration</w:t>
      </w:r>
      <w:bookmarkEnd w:id="67"/>
    </w:p>
    <w:p w:rsidR="007920DF" w:rsidRPr="00CB21B0" w:rsidRDefault="007920DF" w:rsidP="007920DF">
      <w:pPr>
        <w:pStyle w:val="ActHead5"/>
      </w:pPr>
      <w:bookmarkStart w:id="68" w:name="_Toc361055066"/>
      <w:r w:rsidRPr="00CB21B0">
        <w:rPr>
          <w:rStyle w:val="CharSectno"/>
        </w:rPr>
        <w:t>22</w:t>
      </w:r>
      <w:r w:rsidR="008B4365" w:rsidRPr="00CB21B0">
        <w:rPr>
          <w:rStyle w:val="CharSectno"/>
        </w:rPr>
        <w:t>D</w:t>
      </w:r>
      <w:r w:rsidRPr="00CB21B0">
        <w:t xml:space="preserve">  Prescribed overseas regulatory action</w:t>
      </w:r>
      <w:bookmarkEnd w:id="68"/>
    </w:p>
    <w:p w:rsidR="007920DF" w:rsidRPr="00CB21B0" w:rsidRDefault="007920DF" w:rsidP="007920DF">
      <w:pPr>
        <w:pStyle w:val="subsection"/>
      </w:pPr>
      <w:r w:rsidRPr="00CB21B0">
        <w:tab/>
      </w:r>
      <w:r w:rsidRPr="00CB21B0">
        <w:tab/>
        <w:t>For paragraph</w:t>
      </w:r>
      <w:r w:rsidR="00CB21B0" w:rsidRPr="00CB21B0">
        <w:t> </w:t>
      </w:r>
      <w:r w:rsidRPr="00CB21B0">
        <w:t>47A(1)(a) of the Code, the following foreign regulators of agricultural or veterinary chemicals are prescribed:</w:t>
      </w:r>
    </w:p>
    <w:p w:rsidR="007920DF" w:rsidRPr="00CB21B0" w:rsidRDefault="007920DF" w:rsidP="007920DF">
      <w:pPr>
        <w:pStyle w:val="paragraph"/>
      </w:pPr>
      <w:r w:rsidRPr="00CB21B0">
        <w:tab/>
        <w:t>(a)</w:t>
      </w:r>
      <w:r w:rsidRPr="00CB21B0">
        <w:tab/>
        <w:t>the United States Environmental Protection Agency;</w:t>
      </w:r>
    </w:p>
    <w:p w:rsidR="007920DF" w:rsidRPr="00CB21B0" w:rsidRDefault="007920DF" w:rsidP="007920DF">
      <w:pPr>
        <w:pStyle w:val="paragraph"/>
      </w:pPr>
      <w:r w:rsidRPr="00CB21B0">
        <w:tab/>
        <w:t>(b)</w:t>
      </w:r>
      <w:r w:rsidRPr="00CB21B0">
        <w:tab/>
        <w:t>the Centre for Veterinary Medicine of the US Food and Drug Administration;</w:t>
      </w:r>
    </w:p>
    <w:p w:rsidR="007920DF" w:rsidRPr="00CB21B0" w:rsidRDefault="007920DF" w:rsidP="007920DF">
      <w:pPr>
        <w:pStyle w:val="paragraph"/>
      </w:pPr>
      <w:r w:rsidRPr="00CB21B0">
        <w:tab/>
        <w:t>(c)</w:t>
      </w:r>
      <w:r w:rsidRPr="00CB21B0">
        <w:tab/>
        <w:t>the Ministry for Primary Industries of New Zealand;</w:t>
      </w:r>
    </w:p>
    <w:p w:rsidR="00674C10" w:rsidRPr="00CB21B0" w:rsidRDefault="00674C10" w:rsidP="007920DF">
      <w:pPr>
        <w:pStyle w:val="paragraph"/>
      </w:pPr>
      <w:r w:rsidRPr="00CB21B0">
        <w:tab/>
        <w:t>(d)</w:t>
      </w:r>
      <w:r w:rsidRPr="00CB21B0">
        <w:tab/>
        <w:t>the New Zealand Environmental Protection</w:t>
      </w:r>
      <w:r w:rsidR="00880A6F" w:rsidRPr="00CB21B0">
        <w:t xml:space="preserve"> Authority</w:t>
      </w:r>
      <w:r w:rsidRPr="00CB21B0">
        <w:t>;</w:t>
      </w:r>
    </w:p>
    <w:p w:rsidR="007920DF" w:rsidRPr="00CB21B0" w:rsidRDefault="007920DF" w:rsidP="007920DF">
      <w:pPr>
        <w:pStyle w:val="paragraph"/>
      </w:pPr>
      <w:r w:rsidRPr="00CB21B0">
        <w:tab/>
        <w:t>(</w:t>
      </w:r>
      <w:r w:rsidR="00674C10" w:rsidRPr="00CB21B0">
        <w:t>e</w:t>
      </w:r>
      <w:r w:rsidRPr="00CB21B0">
        <w:t>)</w:t>
      </w:r>
      <w:r w:rsidRPr="00CB21B0">
        <w:tab/>
        <w:t>the Pest Management Regulatory Agency of Health Canada;</w:t>
      </w:r>
    </w:p>
    <w:p w:rsidR="007920DF" w:rsidRPr="00CB21B0" w:rsidRDefault="007920DF" w:rsidP="007920DF">
      <w:pPr>
        <w:pStyle w:val="paragraph"/>
      </w:pPr>
      <w:r w:rsidRPr="00CB21B0">
        <w:tab/>
        <w:t>(</w:t>
      </w:r>
      <w:r w:rsidR="00674C10" w:rsidRPr="00CB21B0">
        <w:t>f</w:t>
      </w:r>
      <w:r w:rsidRPr="00CB21B0">
        <w:t>)</w:t>
      </w:r>
      <w:r w:rsidRPr="00CB21B0">
        <w:tab/>
        <w:t>the Veterinary Drugs Directorate of Health Canada;</w:t>
      </w:r>
    </w:p>
    <w:p w:rsidR="007920DF" w:rsidRPr="00CB21B0" w:rsidRDefault="007920DF" w:rsidP="007920DF">
      <w:pPr>
        <w:pStyle w:val="paragraph"/>
      </w:pPr>
      <w:r w:rsidRPr="00CB21B0">
        <w:tab/>
        <w:t>(</w:t>
      </w:r>
      <w:r w:rsidR="00674C10" w:rsidRPr="00CB21B0">
        <w:t>g</w:t>
      </w:r>
      <w:r w:rsidRPr="00CB21B0">
        <w:t>)</w:t>
      </w:r>
      <w:r w:rsidRPr="00CB21B0">
        <w:tab/>
        <w:t>the Chemicals Regulation Directorate of the Health and Safety Executive of the United Kingdom;</w:t>
      </w:r>
    </w:p>
    <w:p w:rsidR="007920DF" w:rsidRPr="00CB21B0" w:rsidRDefault="007920DF" w:rsidP="007920DF">
      <w:pPr>
        <w:pStyle w:val="paragraph"/>
      </w:pPr>
      <w:r w:rsidRPr="00CB21B0">
        <w:tab/>
        <w:t>(</w:t>
      </w:r>
      <w:r w:rsidR="00674C10" w:rsidRPr="00CB21B0">
        <w:t>h</w:t>
      </w:r>
      <w:r w:rsidRPr="00CB21B0">
        <w:t>)</w:t>
      </w:r>
      <w:r w:rsidRPr="00CB21B0">
        <w:tab/>
        <w:t>the Veterinary Medicines Directorate of the Department for Environment, Food and Rural Affairs of the United Kingdom.</w:t>
      </w:r>
    </w:p>
    <w:p w:rsidR="007920DF" w:rsidRPr="00CB21B0" w:rsidRDefault="00220E6F" w:rsidP="007920DF">
      <w:pPr>
        <w:pStyle w:val="ItemHead"/>
      </w:pPr>
      <w:r w:rsidRPr="00CB21B0">
        <w:t>81</w:t>
      </w:r>
      <w:r w:rsidR="007920DF" w:rsidRPr="00CB21B0">
        <w:t xml:space="preserve">  Part</w:t>
      </w:r>
      <w:r w:rsidR="00CB21B0" w:rsidRPr="00CB21B0">
        <w:t> </w:t>
      </w:r>
      <w:r w:rsidR="007920DF" w:rsidRPr="00CB21B0">
        <w:t>2A</w:t>
      </w:r>
    </w:p>
    <w:p w:rsidR="007920DF" w:rsidRPr="00CB21B0" w:rsidRDefault="007920DF" w:rsidP="008D58AE">
      <w:pPr>
        <w:pStyle w:val="Item"/>
      </w:pPr>
      <w:r w:rsidRPr="00CB21B0">
        <w:t>Repeal the Part.</w:t>
      </w:r>
    </w:p>
    <w:p w:rsidR="008C20B2" w:rsidRPr="00CB21B0" w:rsidRDefault="00220E6F" w:rsidP="008C20B2">
      <w:pPr>
        <w:pStyle w:val="ItemHead"/>
      </w:pPr>
      <w:r w:rsidRPr="00CB21B0">
        <w:t>82</w:t>
      </w:r>
      <w:r w:rsidR="008C20B2" w:rsidRPr="00CB21B0">
        <w:t xml:space="preserve">  Division</w:t>
      </w:r>
      <w:r w:rsidR="00CB21B0" w:rsidRPr="00CB21B0">
        <w:t> </w:t>
      </w:r>
      <w:r w:rsidR="008C20B2" w:rsidRPr="00CB21B0">
        <w:t>1 of Part</w:t>
      </w:r>
      <w:r w:rsidR="00CB21B0" w:rsidRPr="00CB21B0">
        <w:t> </w:t>
      </w:r>
      <w:r w:rsidR="008C20B2" w:rsidRPr="00CB21B0">
        <w:t>3 (heading)</w:t>
      </w:r>
    </w:p>
    <w:p w:rsidR="008C20B2" w:rsidRPr="00CB21B0" w:rsidRDefault="003A3701" w:rsidP="008C20B2">
      <w:pPr>
        <w:pStyle w:val="Item"/>
      </w:pPr>
      <w:r w:rsidRPr="00CB21B0">
        <w:t>Repeal</w:t>
      </w:r>
      <w:r w:rsidR="008C20B2" w:rsidRPr="00CB21B0">
        <w:t xml:space="preserve"> the heading, substitute:</w:t>
      </w:r>
    </w:p>
    <w:p w:rsidR="008C20B2" w:rsidRPr="00CB21B0" w:rsidRDefault="008C20B2" w:rsidP="008C20B2">
      <w:pPr>
        <w:pStyle w:val="ActHead3"/>
      </w:pPr>
      <w:bookmarkStart w:id="69" w:name="_Toc361055067"/>
      <w:r w:rsidRPr="00CB21B0">
        <w:rPr>
          <w:rStyle w:val="CharDivNo"/>
        </w:rPr>
        <w:t>Division</w:t>
      </w:r>
      <w:r w:rsidR="00CB21B0" w:rsidRPr="00CB21B0">
        <w:rPr>
          <w:rStyle w:val="CharDivNo"/>
        </w:rPr>
        <w:t> </w:t>
      </w:r>
      <w:r w:rsidRPr="00CB21B0">
        <w:rPr>
          <w:rStyle w:val="CharDivNo"/>
        </w:rPr>
        <w:t>3.1</w:t>
      </w:r>
      <w:r w:rsidRPr="00CB21B0">
        <w:t>—</w:t>
      </w:r>
      <w:r w:rsidRPr="00CB21B0">
        <w:rPr>
          <w:rStyle w:val="CharDivText"/>
        </w:rPr>
        <w:t>Notices</w:t>
      </w:r>
      <w:bookmarkEnd w:id="69"/>
    </w:p>
    <w:p w:rsidR="007920DF" w:rsidRPr="00CB21B0" w:rsidRDefault="00220E6F" w:rsidP="007920DF">
      <w:pPr>
        <w:pStyle w:val="ItemHead"/>
      </w:pPr>
      <w:r w:rsidRPr="00CB21B0">
        <w:t>83</w:t>
      </w:r>
      <w:r w:rsidR="007920DF" w:rsidRPr="00CB21B0">
        <w:t xml:space="preserve">  Regulation</w:t>
      </w:r>
      <w:r w:rsidR="00CB21B0" w:rsidRPr="00CB21B0">
        <w:t> </w:t>
      </w:r>
      <w:r w:rsidR="007920DF" w:rsidRPr="00CB21B0">
        <w:t>24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70" w:name="_Toc361055068"/>
      <w:r w:rsidRPr="00CB21B0">
        <w:rPr>
          <w:rStyle w:val="CharSectno"/>
        </w:rPr>
        <w:t>24</w:t>
      </w:r>
      <w:r w:rsidRPr="00CB21B0">
        <w:t xml:space="preserve">  Protected registered information—notice to primary holder</w:t>
      </w:r>
      <w:bookmarkEnd w:id="70"/>
    </w:p>
    <w:p w:rsidR="007920DF" w:rsidRPr="00CB21B0" w:rsidRDefault="00220E6F" w:rsidP="007920DF">
      <w:pPr>
        <w:pStyle w:val="ItemHead"/>
      </w:pPr>
      <w:r w:rsidRPr="00CB21B0">
        <w:t>84</w:t>
      </w:r>
      <w:r w:rsidR="007920DF" w:rsidRPr="00CB21B0">
        <w:t xml:space="preserve">  Regulation</w:t>
      </w:r>
      <w:r w:rsidR="00CB21B0" w:rsidRPr="00CB21B0">
        <w:t> </w:t>
      </w:r>
      <w:r w:rsidR="007920DF" w:rsidRPr="00CB21B0">
        <w:t>24</w:t>
      </w:r>
    </w:p>
    <w:p w:rsidR="007920DF" w:rsidRPr="00CB21B0" w:rsidRDefault="007920DF" w:rsidP="007920DF">
      <w:pPr>
        <w:pStyle w:val="Item"/>
      </w:pPr>
      <w:r w:rsidRPr="00CB21B0">
        <w:t>Omit “a primary applicant”, substitute “each primary holder”.</w:t>
      </w:r>
    </w:p>
    <w:p w:rsidR="00B218A9" w:rsidRPr="00CB21B0" w:rsidRDefault="00220E6F" w:rsidP="00B218A9">
      <w:pPr>
        <w:pStyle w:val="ItemHead"/>
      </w:pPr>
      <w:r w:rsidRPr="00CB21B0">
        <w:lastRenderedPageBreak/>
        <w:t>85</w:t>
      </w:r>
      <w:r w:rsidR="00B218A9" w:rsidRPr="00CB21B0">
        <w:t xml:space="preserve">  Regulation</w:t>
      </w:r>
      <w:r w:rsidR="00CB21B0" w:rsidRPr="00CB21B0">
        <w:t> </w:t>
      </w:r>
      <w:r w:rsidR="00B218A9" w:rsidRPr="00CB21B0">
        <w:t>24</w:t>
      </w:r>
    </w:p>
    <w:p w:rsidR="00B218A9" w:rsidRPr="00CB21B0" w:rsidRDefault="00B218A9" w:rsidP="00B218A9">
      <w:pPr>
        <w:pStyle w:val="Item"/>
      </w:pPr>
      <w:r w:rsidRPr="00CB21B0">
        <w:t>Omit “secondary applicant” (wherever occurring), substitute “secondary holder”.</w:t>
      </w:r>
    </w:p>
    <w:p w:rsidR="00E25DA4" w:rsidRPr="00CB21B0" w:rsidRDefault="00220E6F" w:rsidP="00E25DA4">
      <w:pPr>
        <w:pStyle w:val="ItemHead"/>
      </w:pPr>
      <w:r w:rsidRPr="00CB21B0">
        <w:t>86</w:t>
      </w:r>
      <w:r w:rsidR="00E25DA4" w:rsidRPr="00CB21B0">
        <w:t xml:space="preserve">  </w:t>
      </w:r>
      <w:r w:rsidR="00B218A9" w:rsidRPr="00CB21B0">
        <w:t>Subp</w:t>
      </w:r>
      <w:r w:rsidR="00E25DA4" w:rsidRPr="00CB21B0">
        <w:t>aragraph 24(a)</w:t>
      </w:r>
      <w:r w:rsidR="00B218A9" w:rsidRPr="00CB21B0">
        <w:t>(i)</w:t>
      </w:r>
    </w:p>
    <w:p w:rsidR="00E25DA4" w:rsidRPr="00CB21B0" w:rsidRDefault="00E25DA4" w:rsidP="00E25DA4">
      <w:pPr>
        <w:pStyle w:val="Item"/>
      </w:pPr>
      <w:r w:rsidRPr="00CB21B0">
        <w:t>Omit “of Chemical Products”.</w:t>
      </w:r>
    </w:p>
    <w:p w:rsidR="007920DF" w:rsidRPr="00CB21B0" w:rsidRDefault="00220E6F" w:rsidP="007920DF">
      <w:pPr>
        <w:pStyle w:val="ItemHead"/>
      </w:pPr>
      <w:r w:rsidRPr="00CB21B0">
        <w:t>87</w:t>
      </w:r>
      <w:r w:rsidR="007920DF" w:rsidRPr="00CB21B0">
        <w:t xml:space="preserve">  Subparagraph 24(a)(ii)</w:t>
      </w:r>
    </w:p>
    <w:p w:rsidR="00B218A9" w:rsidRPr="00CB21B0" w:rsidRDefault="00B218A9" w:rsidP="00B218A9">
      <w:pPr>
        <w:pStyle w:val="Item"/>
      </w:pPr>
      <w:r w:rsidRPr="00CB21B0">
        <w:t>Repeal the subparagraph, substitute:</w:t>
      </w:r>
    </w:p>
    <w:p w:rsidR="00B218A9" w:rsidRPr="00CB21B0" w:rsidRDefault="00B218A9" w:rsidP="00B218A9">
      <w:pPr>
        <w:pStyle w:val="paragraphsub"/>
      </w:pPr>
      <w:r w:rsidRPr="00CB21B0">
        <w:tab/>
        <w:t>(ii)</w:t>
      </w:r>
      <w:r w:rsidRPr="00CB21B0">
        <w:tab/>
        <w:t>the particulars of the secondary chemical product entered in the Register or, if each primary holder so requests, the particulars of the approved active constituent entered in the Record; and</w:t>
      </w:r>
    </w:p>
    <w:p w:rsidR="00B218A9" w:rsidRPr="00CB21B0" w:rsidRDefault="00220E6F" w:rsidP="00B218A9">
      <w:pPr>
        <w:pStyle w:val="ItemHead"/>
      </w:pPr>
      <w:r w:rsidRPr="00CB21B0">
        <w:t>88</w:t>
      </w:r>
      <w:r w:rsidR="00B218A9" w:rsidRPr="00CB21B0">
        <w:t xml:space="preserve">  Subparagraph 24(a)(iii)</w:t>
      </w:r>
    </w:p>
    <w:p w:rsidR="00B218A9" w:rsidRPr="00CB21B0" w:rsidRDefault="00B218A9" w:rsidP="00B218A9">
      <w:pPr>
        <w:pStyle w:val="Item"/>
      </w:pPr>
      <w:r w:rsidRPr="00CB21B0">
        <w:t>Repeal the subparagraph, substitute:</w:t>
      </w:r>
    </w:p>
    <w:p w:rsidR="00B218A9" w:rsidRPr="00CB21B0" w:rsidRDefault="00B218A9" w:rsidP="00B218A9">
      <w:pPr>
        <w:pStyle w:val="paragraphsub"/>
      </w:pPr>
      <w:r w:rsidRPr="00CB21B0">
        <w:tab/>
        <w:t>(iii)</w:t>
      </w:r>
      <w:r w:rsidRPr="00CB21B0">
        <w:tab/>
        <w:t>the matters about the approved label recorded in the relevant APVMA file for paragraph</w:t>
      </w:r>
      <w:r w:rsidR="00CB21B0" w:rsidRPr="00CB21B0">
        <w:t> </w:t>
      </w:r>
      <w:r w:rsidRPr="00CB21B0">
        <w:t>21(c) of the Code.</w:t>
      </w:r>
    </w:p>
    <w:p w:rsidR="007920DF" w:rsidRPr="00CB21B0" w:rsidRDefault="00220E6F" w:rsidP="007920DF">
      <w:pPr>
        <w:pStyle w:val="ItemHead"/>
      </w:pPr>
      <w:r w:rsidRPr="00CB21B0">
        <w:t>89</w:t>
      </w:r>
      <w:r w:rsidR="007920DF" w:rsidRPr="00CB21B0">
        <w:t xml:space="preserve">  Regulation</w:t>
      </w:r>
      <w:r w:rsidR="00CB21B0" w:rsidRPr="00CB21B0">
        <w:t> </w:t>
      </w:r>
      <w:r w:rsidR="007920DF" w:rsidRPr="00CB21B0">
        <w:t>25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71" w:name="_Toc361055069"/>
      <w:r w:rsidRPr="00CB21B0">
        <w:rPr>
          <w:rStyle w:val="CharSectno"/>
        </w:rPr>
        <w:t>25</w:t>
      </w:r>
      <w:r w:rsidRPr="00CB21B0">
        <w:t xml:space="preserve">  Protected registered information—notice to secondary holder</w:t>
      </w:r>
      <w:bookmarkEnd w:id="71"/>
    </w:p>
    <w:p w:rsidR="007920DF" w:rsidRPr="00CB21B0" w:rsidRDefault="00220E6F" w:rsidP="007920DF">
      <w:pPr>
        <w:pStyle w:val="ItemHead"/>
      </w:pPr>
      <w:r w:rsidRPr="00CB21B0">
        <w:t>90</w:t>
      </w:r>
      <w:r w:rsidR="007920DF" w:rsidRPr="00CB21B0">
        <w:t xml:space="preserve">  Regulation</w:t>
      </w:r>
      <w:r w:rsidR="00CB21B0" w:rsidRPr="00CB21B0">
        <w:t> </w:t>
      </w:r>
      <w:r w:rsidR="007920DF" w:rsidRPr="00CB21B0">
        <w:t>25</w:t>
      </w:r>
    </w:p>
    <w:p w:rsidR="007920DF" w:rsidRPr="00CB21B0" w:rsidRDefault="007920DF" w:rsidP="007920DF">
      <w:pPr>
        <w:pStyle w:val="Item"/>
      </w:pPr>
      <w:r w:rsidRPr="00CB21B0">
        <w:t>Omit “applicant” (wherever occurring), substitute “holder”.</w:t>
      </w:r>
    </w:p>
    <w:p w:rsidR="001D2353" w:rsidRPr="00CB21B0" w:rsidRDefault="00220E6F" w:rsidP="001D2353">
      <w:pPr>
        <w:pStyle w:val="ItemHead"/>
      </w:pPr>
      <w:r w:rsidRPr="00CB21B0">
        <w:t>91</w:t>
      </w:r>
      <w:r w:rsidR="001D2353" w:rsidRPr="00CB21B0">
        <w:t xml:space="preserve">  Paragraph 25(b)</w:t>
      </w:r>
    </w:p>
    <w:p w:rsidR="007B2E6B" w:rsidRPr="00CB21B0" w:rsidRDefault="007B2E6B" w:rsidP="007B2E6B">
      <w:pPr>
        <w:pStyle w:val="Item"/>
      </w:pPr>
      <w:r w:rsidRPr="00CB21B0">
        <w:t>Repeal the paragraph, substitute:</w:t>
      </w:r>
    </w:p>
    <w:p w:rsidR="001D2353" w:rsidRPr="00CB21B0" w:rsidRDefault="001D2353" w:rsidP="001D2353">
      <w:pPr>
        <w:pStyle w:val="paragraph"/>
      </w:pPr>
      <w:r w:rsidRPr="00CB21B0">
        <w:tab/>
        <w:t>(b)</w:t>
      </w:r>
      <w:r w:rsidRPr="00CB21B0">
        <w:tab/>
        <w:t xml:space="preserve">the particulars of each primary chemical product, entered in the Register or, if the secondary holder so requests, the </w:t>
      </w:r>
      <w:r w:rsidR="00FA4800" w:rsidRPr="00CB21B0">
        <w:t>p</w:t>
      </w:r>
      <w:r w:rsidRPr="00CB21B0">
        <w:t>articulars of each approved active constituent, entered in the Record; and</w:t>
      </w:r>
    </w:p>
    <w:p w:rsidR="005A389A" w:rsidRPr="00CB21B0" w:rsidRDefault="00220E6F" w:rsidP="005A389A">
      <w:pPr>
        <w:pStyle w:val="ItemHead"/>
      </w:pPr>
      <w:r w:rsidRPr="00CB21B0">
        <w:t>92</w:t>
      </w:r>
      <w:r w:rsidR="005A389A" w:rsidRPr="00CB21B0">
        <w:t xml:space="preserve">  Paragraph 25(c)</w:t>
      </w:r>
    </w:p>
    <w:p w:rsidR="005A389A" w:rsidRPr="00CB21B0" w:rsidRDefault="005A389A" w:rsidP="005A389A">
      <w:pPr>
        <w:pStyle w:val="Item"/>
      </w:pPr>
      <w:r w:rsidRPr="00CB21B0">
        <w:t>Repeal the paragraph, substitute:</w:t>
      </w:r>
    </w:p>
    <w:p w:rsidR="005A389A" w:rsidRPr="00CB21B0" w:rsidRDefault="005A389A" w:rsidP="005A389A">
      <w:pPr>
        <w:pStyle w:val="paragraph"/>
      </w:pPr>
      <w:r w:rsidRPr="00CB21B0">
        <w:lastRenderedPageBreak/>
        <w:tab/>
        <w:t>(c)</w:t>
      </w:r>
      <w:r w:rsidRPr="00CB21B0">
        <w:tab/>
        <w:t>the matters about the approved label recorded in the relevant APVMA file for paragraph</w:t>
      </w:r>
      <w:r w:rsidR="00CB21B0" w:rsidRPr="00CB21B0">
        <w:t> </w:t>
      </w:r>
      <w:r w:rsidRPr="00CB21B0">
        <w:t>21(c) of the Code.</w:t>
      </w:r>
    </w:p>
    <w:p w:rsidR="008C20B2" w:rsidRPr="00CB21B0" w:rsidRDefault="00220E6F" w:rsidP="008C20B2">
      <w:pPr>
        <w:pStyle w:val="ItemHead"/>
      </w:pPr>
      <w:r w:rsidRPr="00CB21B0">
        <w:t>93</w:t>
      </w:r>
      <w:r w:rsidR="008C20B2" w:rsidRPr="00CB21B0">
        <w:t xml:space="preserve">  Division</w:t>
      </w:r>
      <w:r w:rsidR="00CB21B0" w:rsidRPr="00CB21B0">
        <w:t> </w:t>
      </w:r>
      <w:r w:rsidR="008C20B2" w:rsidRPr="00CB21B0">
        <w:t>2 of Part</w:t>
      </w:r>
      <w:r w:rsidR="00CB21B0" w:rsidRPr="00CB21B0">
        <w:t> </w:t>
      </w:r>
      <w:r w:rsidR="008C20B2" w:rsidRPr="00CB21B0">
        <w:t>3 (heading)</w:t>
      </w:r>
    </w:p>
    <w:p w:rsidR="008C20B2" w:rsidRPr="00CB21B0" w:rsidRDefault="003A3701" w:rsidP="008C20B2">
      <w:pPr>
        <w:pStyle w:val="Item"/>
      </w:pPr>
      <w:r w:rsidRPr="00CB21B0">
        <w:t>Repeal</w:t>
      </w:r>
      <w:r w:rsidR="008C20B2" w:rsidRPr="00CB21B0">
        <w:t xml:space="preserve"> the heading, substitute:</w:t>
      </w:r>
    </w:p>
    <w:p w:rsidR="008C20B2" w:rsidRPr="00CB21B0" w:rsidRDefault="008C20B2" w:rsidP="008C20B2">
      <w:pPr>
        <w:pStyle w:val="ActHead3"/>
      </w:pPr>
      <w:bookmarkStart w:id="72" w:name="_Toc361055070"/>
      <w:r w:rsidRPr="00CB21B0">
        <w:rPr>
          <w:rStyle w:val="CharDivNo"/>
        </w:rPr>
        <w:t>Division</w:t>
      </w:r>
      <w:r w:rsidR="00CB21B0" w:rsidRPr="00CB21B0">
        <w:rPr>
          <w:rStyle w:val="CharDivNo"/>
        </w:rPr>
        <w:t> </w:t>
      </w:r>
      <w:r w:rsidRPr="00CB21B0">
        <w:rPr>
          <w:rStyle w:val="CharDivNo"/>
        </w:rPr>
        <w:t>3.2</w:t>
      </w:r>
      <w:r w:rsidRPr="00CB21B0">
        <w:t>—</w:t>
      </w:r>
      <w:r w:rsidRPr="00CB21B0">
        <w:rPr>
          <w:rStyle w:val="CharDivText"/>
        </w:rPr>
        <w:t>Conduct of arbitration</w:t>
      </w:r>
      <w:bookmarkEnd w:id="72"/>
    </w:p>
    <w:p w:rsidR="001F0C98" w:rsidRPr="00CB21B0" w:rsidRDefault="00220E6F" w:rsidP="001F0C98">
      <w:pPr>
        <w:pStyle w:val="ItemHead"/>
      </w:pPr>
      <w:r w:rsidRPr="00CB21B0">
        <w:t>94</w:t>
      </w:r>
      <w:r w:rsidR="001F0C98" w:rsidRPr="00CB21B0">
        <w:t xml:space="preserve">  Paragraphs 27(1)(a) and (b)</w:t>
      </w:r>
    </w:p>
    <w:p w:rsidR="001F0C98" w:rsidRPr="00CB21B0" w:rsidRDefault="001F0C98" w:rsidP="001F0C98">
      <w:pPr>
        <w:pStyle w:val="Item"/>
      </w:pPr>
      <w:r w:rsidRPr="00CB21B0">
        <w:t>Omit “applicant”, substitute “holder”.</w:t>
      </w:r>
    </w:p>
    <w:p w:rsidR="001F0C98" w:rsidRPr="00CB21B0" w:rsidRDefault="00220E6F" w:rsidP="001F0C98">
      <w:pPr>
        <w:pStyle w:val="ItemHead"/>
      </w:pPr>
      <w:r w:rsidRPr="00CB21B0">
        <w:t>95</w:t>
      </w:r>
      <w:r w:rsidR="001F0C98" w:rsidRPr="00CB21B0">
        <w:t xml:space="preserve">  Subregulation</w:t>
      </w:r>
      <w:r w:rsidR="00CB21B0" w:rsidRPr="00CB21B0">
        <w:t> </w:t>
      </w:r>
      <w:r w:rsidR="001F0C98" w:rsidRPr="00CB21B0">
        <w:t>27(2)</w:t>
      </w:r>
    </w:p>
    <w:p w:rsidR="001F0C98" w:rsidRPr="00CB21B0" w:rsidRDefault="001F0C98" w:rsidP="001F0C98">
      <w:pPr>
        <w:pStyle w:val="Item"/>
      </w:pPr>
      <w:r w:rsidRPr="00CB21B0">
        <w:t>Omit “</w:t>
      </w:r>
      <w:r w:rsidR="00211DBB" w:rsidRPr="00CB21B0">
        <w:t xml:space="preserve">a </w:t>
      </w:r>
      <w:r w:rsidRPr="00CB21B0">
        <w:t>reasonable period”, substitute “14 days”.</w:t>
      </w:r>
    </w:p>
    <w:p w:rsidR="007920DF" w:rsidRPr="00CB21B0" w:rsidRDefault="00220E6F" w:rsidP="007920DF">
      <w:pPr>
        <w:pStyle w:val="ItemHead"/>
      </w:pPr>
      <w:r w:rsidRPr="00CB21B0">
        <w:t>96</w:t>
      </w:r>
      <w:r w:rsidR="007920DF" w:rsidRPr="00CB21B0">
        <w:t xml:space="preserve">  Regulation</w:t>
      </w:r>
      <w:r w:rsidR="00CB21B0" w:rsidRPr="00CB21B0">
        <w:t> </w:t>
      </w:r>
      <w:r w:rsidR="007920DF" w:rsidRPr="00CB21B0">
        <w:t>28</w:t>
      </w:r>
    </w:p>
    <w:p w:rsidR="007920DF" w:rsidRPr="00CB21B0" w:rsidRDefault="007920DF" w:rsidP="007920DF">
      <w:pPr>
        <w:pStyle w:val="Item"/>
      </w:pPr>
      <w:r w:rsidRPr="00CB21B0">
        <w:t>Omit “an applicant”, substitute “a holder”.</w:t>
      </w:r>
    </w:p>
    <w:p w:rsidR="007920DF" w:rsidRPr="00CB21B0" w:rsidRDefault="00220E6F" w:rsidP="007920DF">
      <w:pPr>
        <w:pStyle w:val="ItemHead"/>
      </w:pPr>
      <w:r w:rsidRPr="00CB21B0">
        <w:t>97</w:t>
      </w:r>
      <w:r w:rsidR="007920DF" w:rsidRPr="00CB21B0">
        <w:t xml:space="preserve">  Regulation</w:t>
      </w:r>
      <w:r w:rsidR="00CB21B0" w:rsidRPr="00CB21B0">
        <w:t> </w:t>
      </w:r>
      <w:r w:rsidR="007920DF" w:rsidRPr="00CB21B0">
        <w:t>28</w:t>
      </w:r>
    </w:p>
    <w:p w:rsidR="007920DF" w:rsidRPr="00CB21B0" w:rsidRDefault="007920DF" w:rsidP="007920DF">
      <w:pPr>
        <w:pStyle w:val="Item"/>
      </w:pPr>
      <w:r w:rsidRPr="00CB21B0">
        <w:t>Omit “the applicant”, substitute “the holder”.</w:t>
      </w:r>
    </w:p>
    <w:p w:rsidR="007920DF" w:rsidRPr="00CB21B0" w:rsidRDefault="00220E6F" w:rsidP="007920DF">
      <w:pPr>
        <w:pStyle w:val="ItemHead"/>
      </w:pPr>
      <w:r w:rsidRPr="00CB21B0">
        <w:t>98</w:t>
      </w:r>
      <w:r w:rsidR="007920DF" w:rsidRPr="00CB21B0">
        <w:t xml:space="preserve">  Regulation</w:t>
      </w:r>
      <w:r w:rsidR="00CB21B0" w:rsidRPr="00CB21B0">
        <w:t> </w:t>
      </w:r>
      <w:r w:rsidR="007920DF" w:rsidRPr="00CB21B0">
        <w:t>29</w:t>
      </w:r>
    </w:p>
    <w:p w:rsidR="007920DF" w:rsidRPr="00CB21B0" w:rsidRDefault="007920DF" w:rsidP="007920DF">
      <w:pPr>
        <w:pStyle w:val="Item"/>
      </w:pPr>
      <w:r w:rsidRPr="00CB21B0">
        <w:t>Omit “applicants”, substitute “holders”.</w:t>
      </w:r>
    </w:p>
    <w:p w:rsidR="007920DF" w:rsidRPr="00CB21B0" w:rsidRDefault="00220E6F" w:rsidP="007920DF">
      <w:pPr>
        <w:pStyle w:val="ItemHead"/>
      </w:pPr>
      <w:r w:rsidRPr="00CB21B0">
        <w:t>99</w:t>
      </w:r>
      <w:r w:rsidR="007920DF" w:rsidRPr="00CB21B0">
        <w:t xml:space="preserve">  Regulation</w:t>
      </w:r>
      <w:r w:rsidR="00CB21B0" w:rsidRPr="00CB21B0">
        <w:t> </w:t>
      </w:r>
      <w:r w:rsidR="007920DF" w:rsidRPr="00CB21B0">
        <w:t>31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73" w:name="_Toc361055071"/>
      <w:r w:rsidRPr="00CB21B0">
        <w:rPr>
          <w:rStyle w:val="CharSectno"/>
        </w:rPr>
        <w:t>31</w:t>
      </w:r>
      <w:r w:rsidRPr="00CB21B0">
        <w:t xml:space="preserve">  Arbitrator to give parties notice of hearing</w:t>
      </w:r>
      <w:bookmarkEnd w:id="73"/>
    </w:p>
    <w:p w:rsidR="007920DF" w:rsidRPr="00CB21B0" w:rsidRDefault="00220E6F" w:rsidP="007920DF">
      <w:pPr>
        <w:pStyle w:val="ItemHead"/>
      </w:pPr>
      <w:r w:rsidRPr="00CB21B0">
        <w:t>100</w:t>
      </w:r>
      <w:r w:rsidR="007920DF" w:rsidRPr="00CB21B0">
        <w:t xml:space="preserve">  Regulation</w:t>
      </w:r>
      <w:r w:rsidR="00CB21B0" w:rsidRPr="00CB21B0">
        <w:t> </w:t>
      </w:r>
      <w:r w:rsidR="007920DF" w:rsidRPr="00CB21B0">
        <w:t>32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74" w:name="_Toc361055072"/>
      <w:r w:rsidRPr="00CB21B0">
        <w:rPr>
          <w:rStyle w:val="CharSectno"/>
        </w:rPr>
        <w:t>32</w:t>
      </w:r>
      <w:r w:rsidRPr="00CB21B0">
        <w:t xml:space="preserve">  Arbitrator’s powers if holder does not attend hearing</w:t>
      </w:r>
      <w:bookmarkEnd w:id="74"/>
    </w:p>
    <w:p w:rsidR="007920DF" w:rsidRPr="00CB21B0" w:rsidRDefault="00220E6F" w:rsidP="007920DF">
      <w:pPr>
        <w:pStyle w:val="ItemHead"/>
      </w:pPr>
      <w:r w:rsidRPr="00CB21B0">
        <w:t>101</w:t>
      </w:r>
      <w:r w:rsidR="007920DF" w:rsidRPr="00CB21B0">
        <w:t xml:space="preserve">  Regulation</w:t>
      </w:r>
      <w:r w:rsidR="00CB21B0" w:rsidRPr="00CB21B0">
        <w:t> </w:t>
      </w:r>
      <w:r w:rsidR="007920DF" w:rsidRPr="00CB21B0">
        <w:t>32</w:t>
      </w:r>
    </w:p>
    <w:p w:rsidR="007920DF" w:rsidRPr="00CB21B0" w:rsidRDefault="007920DF" w:rsidP="007920DF">
      <w:pPr>
        <w:pStyle w:val="Item"/>
      </w:pPr>
      <w:r w:rsidRPr="00CB21B0">
        <w:t>Omit “applicant”, substitute “holder”.</w:t>
      </w:r>
    </w:p>
    <w:p w:rsidR="007920DF" w:rsidRPr="00CB21B0" w:rsidRDefault="00220E6F" w:rsidP="007920DF">
      <w:pPr>
        <w:pStyle w:val="ItemHead"/>
      </w:pPr>
      <w:r w:rsidRPr="00CB21B0">
        <w:lastRenderedPageBreak/>
        <w:t>102</w:t>
      </w:r>
      <w:r w:rsidR="007920DF" w:rsidRPr="00CB21B0">
        <w:t xml:space="preserve">  Subregulation</w:t>
      </w:r>
      <w:r w:rsidR="00CB21B0" w:rsidRPr="00CB21B0">
        <w:t> </w:t>
      </w:r>
      <w:r w:rsidR="007920DF" w:rsidRPr="00CB21B0">
        <w:t>34(3)</w:t>
      </w:r>
    </w:p>
    <w:p w:rsidR="007920DF" w:rsidRPr="00CB21B0" w:rsidRDefault="007920DF" w:rsidP="007920DF">
      <w:pPr>
        <w:pStyle w:val="Item"/>
      </w:pPr>
      <w:r w:rsidRPr="00CB21B0">
        <w:t>Omit “</w:t>
      </w:r>
      <w:r w:rsidR="007200A6" w:rsidRPr="00CB21B0">
        <w:t xml:space="preserve">an </w:t>
      </w:r>
      <w:r w:rsidRPr="00CB21B0">
        <w:t>applicant”, substitute “</w:t>
      </w:r>
      <w:r w:rsidR="007200A6" w:rsidRPr="00CB21B0">
        <w:t xml:space="preserve">a </w:t>
      </w:r>
      <w:r w:rsidRPr="00CB21B0">
        <w:t>holder”.</w:t>
      </w:r>
    </w:p>
    <w:p w:rsidR="007920DF" w:rsidRPr="00CB21B0" w:rsidRDefault="00220E6F" w:rsidP="007920DF">
      <w:pPr>
        <w:pStyle w:val="ItemHead"/>
      </w:pPr>
      <w:r w:rsidRPr="00CB21B0">
        <w:t>103</w:t>
      </w:r>
      <w:r w:rsidR="007920DF" w:rsidRPr="00CB21B0">
        <w:t xml:space="preserve">  Regulation</w:t>
      </w:r>
      <w:r w:rsidR="00CB21B0" w:rsidRPr="00CB21B0">
        <w:t> </w:t>
      </w:r>
      <w:r w:rsidR="007920DF" w:rsidRPr="00CB21B0">
        <w:t>36</w:t>
      </w:r>
    </w:p>
    <w:p w:rsidR="007920DF" w:rsidRPr="00CB21B0" w:rsidRDefault="007920DF" w:rsidP="007920DF">
      <w:pPr>
        <w:pStyle w:val="Item"/>
      </w:pPr>
      <w:r w:rsidRPr="00CB21B0">
        <w:t xml:space="preserve">Omit “a primary applicant”, substitute “each primary </w:t>
      </w:r>
      <w:r w:rsidR="00FD4FBA" w:rsidRPr="00CB21B0">
        <w:t>holder</w:t>
      </w:r>
      <w:r w:rsidRPr="00CB21B0">
        <w:t>”.</w:t>
      </w:r>
    </w:p>
    <w:p w:rsidR="007920DF" w:rsidRPr="00CB21B0" w:rsidRDefault="00220E6F" w:rsidP="007920DF">
      <w:pPr>
        <w:pStyle w:val="ItemHead"/>
      </w:pPr>
      <w:r w:rsidRPr="00CB21B0">
        <w:t>104</w:t>
      </w:r>
      <w:r w:rsidR="007920DF" w:rsidRPr="00CB21B0">
        <w:t xml:space="preserve">  Regulation</w:t>
      </w:r>
      <w:r w:rsidR="00CB21B0" w:rsidRPr="00CB21B0">
        <w:t> </w:t>
      </w:r>
      <w:r w:rsidR="007920DF" w:rsidRPr="00CB21B0">
        <w:t>36</w:t>
      </w:r>
    </w:p>
    <w:p w:rsidR="007920DF" w:rsidRPr="00CB21B0" w:rsidRDefault="007920DF" w:rsidP="007920DF">
      <w:pPr>
        <w:pStyle w:val="Item"/>
      </w:pPr>
      <w:r w:rsidRPr="00CB21B0">
        <w:t>Omit “the primary applicant” (wherever occurring), substitute “each primary holder”.</w:t>
      </w:r>
    </w:p>
    <w:p w:rsidR="00B218A9" w:rsidRPr="00CB21B0" w:rsidRDefault="00220E6F" w:rsidP="00B218A9">
      <w:pPr>
        <w:pStyle w:val="ItemHead"/>
      </w:pPr>
      <w:r w:rsidRPr="00CB21B0">
        <w:t>105</w:t>
      </w:r>
      <w:r w:rsidR="00B218A9" w:rsidRPr="00CB21B0">
        <w:t xml:space="preserve">  </w:t>
      </w:r>
      <w:r w:rsidR="001D2353" w:rsidRPr="00CB21B0">
        <w:t>Subr</w:t>
      </w:r>
      <w:r w:rsidR="00B218A9" w:rsidRPr="00CB21B0">
        <w:t>egulation</w:t>
      </w:r>
      <w:r w:rsidR="00CB21B0" w:rsidRPr="00CB21B0">
        <w:t> </w:t>
      </w:r>
      <w:r w:rsidR="00B218A9" w:rsidRPr="00CB21B0">
        <w:t>37</w:t>
      </w:r>
      <w:r w:rsidR="001D2353" w:rsidRPr="00CB21B0">
        <w:t>(3)</w:t>
      </w:r>
    </w:p>
    <w:p w:rsidR="001D2353" w:rsidRPr="00CB21B0" w:rsidRDefault="00B218A9" w:rsidP="00B218A9">
      <w:pPr>
        <w:pStyle w:val="Item"/>
      </w:pPr>
      <w:r w:rsidRPr="00CB21B0">
        <w:t>Omit “applicants”, substitute “holders”.</w:t>
      </w:r>
    </w:p>
    <w:p w:rsidR="00B218A9" w:rsidRPr="00CB21B0" w:rsidRDefault="00220E6F" w:rsidP="001D2353">
      <w:pPr>
        <w:pStyle w:val="ItemHead"/>
      </w:pPr>
      <w:r w:rsidRPr="00CB21B0">
        <w:t>106</w:t>
      </w:r>
      <w:r w:rsidR="001D2353" w:rsidRPr="00CB21B0">
        <w:t xml:space="preserve">  </w:t>
      </w:r>
      <w:r w:rsidR="00B218A9" w:rsidRPr="00CB21B0">
        <w:t xml:space="preserve"> </w:t>
      </w:r>
      <w:r w:rsidR="001D2353" w:rsidRPr="00CB21B0">
        <w:t>Regulation</w:t>
      </w:r>
      <w:r w:rsidR="00CB21B0" w:rsidRPr="00CB21B0">
        <w:t> </w:t>
      </w:r>
      <w:r w:rsidR="001D2353" w:rsidRPr="00CB21B0">
        <w:t>38 (heading)</w:t>
      </w:r>
    </w:p>
    <w:p w:rsidR="001D2353" w:rsidRPr="00CB21B0" w:rsidRDefault="001D2353" w:rsidP="001D2353">
      <w:pPr>
        <w:pStyle w:val="Item"/>
      </w:pPr>
      <w:r w:rsidRPr="00CB21B0">
        <w:t>Repeal the heading, substitute:</w:t>
      </w:r>
    </w:p>
    <w:p w:rsidR="001D2353" w:rsidRPr="00CB21B0" w:rsidRDefault="001D2353" w:rsidP="001D2353">
      <w:pPr>
        <w:pStyle w:val="ActHead5"/>
      </w:pPr>
      <w:bookmarkStart w:id="75" w:name="_Toc361055073"/>
      <w:r w:rsidRPr="00CB21B0">
        <w:rPr>
          <w:rStyle w:val="CharSectno"/>
        </w:rPr>
        <w:t>38</w:t>
      </w:r>
      <w:r w:rsidRPr="00CB21B0">
        <w:t xml:space="preserve">  Holders’ cost of arbitration</w:t>
      </w:r>
      <w:bookmarkEnd w:id="75"/>
    </w:p>
    <w:p w:rsidR="008C20B2" w:rsidRPr="00CB21B0" w:rsidRDefault="00220E6F" w:rsidP="008C20B2">
      <w:pPr>
        <w:pStyle w:val="ItemHead"/>
      </w:pPr>
      <w:r w:rsidRPr="00CB21B0">
        <w:t>107</w:t>
      </w:r>
      <w:r w:rsidR="008C20B2" w:rsidRPr="00CB21B0">
        <w:t xml:space="preserve">  Division</w:t>
      </w:r>
      <w:r w:rsidR="00CB21B0" w:rsidRPr="00CB21B0">
        <w:t> </w:t>
      </w:r>
      <w:r w:rsidR="008C20B2" w:rsidRPr="00CB21B0">
        <w:t>1 of Part</w:t>
      </w:r>
      <w:r w:rsidR="00CB21B0" w:rsidRPr="00CB21B0">
        <w:t> </w:t>
      </w:r>
      <w:r w:rsidR="008C20B2" w:rsidRPr="00CB21B0">
        <w:t>4 (heading)</w:t>
      </w:r>
    </w:p>
    <w:p w:rsidR="008C20B2" w:rsidRPr="00CB21B0" w:rsidRDefault="003A3701" w:rsidP="008C20B2">
      <w:pPr>
        <w:pStyle w:val="Item"/>
      </w:pPr>
      <w:r w:rsidRPr="00CB21B0">
        <w:t>Repeal</w:t>
      </w:r>
      <w:r w:rsidR="008C20B2" w:rsidRPr="00CB21B0">
        <w:t xml:space="preserve"> the heading, substitute:</w:t>
      </w:r>
    </w:p>
    <w:p w:rsidR="008C20B2" w:rsidRPr="00CB21B0" w:rsidRDefault="008C20B2" w:rsidP="008C20B2">
      <w:pPr>
        <w:pStyle w:val="ActHead3"/>
      </w:pPr>
      <w:bookmarkStart w:id="76" w:name="_Toc361055074"/>
      <w:r w:rsidRPr="00CB21B0">
        <w:rPr>
          <w:rStyle w:val="CharDivNo"/>
        </w:rPr>
        <w:t>Division</w:t>
      </w:r>
      <w:r w:rsidR="00CB21B0" w:rsidRPr="00CB21B0">
        <w:rPr>
          <w:rStyle w:val="CharDivNo"/>
        </w:rPr>
        <w:t> </w:t>
      </w:r>
      <w:r w:rsidRPr="00CB21B0">
        <w:rPr>
          <w:rStyle w:val="CharDivNo"/>
        </w:rPr>
        <w:t>4.1</w:t>
      </w:r>
      <w:r w:rsidRPr="00CB21B0">
        <w:t>—</w:t>
      </w:r>
      <w:r w:rsidRPr="00CB21B0">
        <w:rPr>
          <w:rStyle w:val="CharDivText"/>
        </w:rPr>
        <w:t>General</w:t>
      </w:r>
      <w:bookmarkEnd w:id="76"/>
    </w:p>
    <w:p w:rsidR="007920DF" w:rsidRPr="00CB21B0" w:rsidRDefault="00220E6F" w:rsidP="007920DF">
      <w:pPr>
        <w:pStyle w:val="ItemHead"/>
        <w:rPr>
          <w:rFonts w:cs="Arial"/>
        </w:rPr>
      </w:pPr>
      <w:r w:rsidRPr="00CB21B0">
        <w:rPr>
          <w:rFonts w:cs="Arial"/>
          <w:noProof/>
        </w:rPr>
        <w:t>108</w:t>
      </w:r>
      <w:r w:rsidR="007920DF" w:rsidRPr="00CB21B0">
        <w:rPr>
          <w:rFonts w:cs="Arial"/>
        </w:rPr>
        <w:t xml:space="preserve">  Regulation</w:t>
      </w:r>
      <w:r w:rsidR="00CB21B0" w:rsidRPr="00CB21B0">
        <w:rPr>
          <w:rFonts w:cs="Arial"/>
        </w:rPr>
        <w:t> </w:t>
      </w:r>
      <w:r w:rsidR="007920DF" w:rsidRPr="00CB21B0">
        <w:rPr>
          <w:rFonts w:cs="Arial"/>
        </w:rPr>
        <w:t>40A</w:t>
      </w:r>
    </w:p>
    <w:p w:rsidR="007920DF" w:rsidRPr="00CB21B0" w:rsidRDefault="007920DF" w:rsidP="007920DF">
      <w:pPr>
        <w:pStyle w:val="Item"/>
      </w:pPr>
      <w:r w:rsidRPr="00CB21B0">
        <w:t>Repeal the regulation.</w:t>
      </w:r>
    </w:p>
    <w:p w:rsidR="0092235C" w:rsidRPr="00CB21B0" w:rsidRDefault="00220E6F" w:rsidP="0092235C">
      <w:pPr>
        <w:pStyle w:val="ItemHead"/>
      </w:pPr>
      <w:r w:rsidRPr="00CB21B0">
        <w:t>109</w:t>
      </w:r>
      <w:r w:rsidR="0092235C" w:rsidRPr="00CB21B0">
        <w:t xml:space="preserve">  Paragraph 40(8)(a)</w:t>
      </w:r>
    </w:p>
    <w:p w:rsidR="0092235C" w:rsidRPr="00CB21B0" w:rsidRDefault="0092235C" w:rsidP="0092235C">
      <w:pPr>
        <w:pStyle w:val="Item"/>
      </w:pPr>
      <w:r w:rsidRPr="00CB21B0">
        <w:t>Omit “Part</w:t>
      </w:r>
      <w:r w:rsidR="00CB21B0" w:rsidRPr="00CB21B0">
        <w:t> </w:t>
      </w:r>
      <w:r w:rsidRPr="00CB21B0">
        <w:t>9 of the Code (which deals with enforcement)”, substitute “Parts</w:t>
      </w:r>
      <w:r w:rsidR="00CB21B0" w:rsidRPr="00CB21B0">
        <w:t> </w:t>
      </w:r>
      <w:r w:rsidRPr="00CB21B0">
        <w:t>9 and 9A of the Code (which deal with investigative powers and enforcement)”.</w:t>
      </w:r>
    </w:p>
    <w:p w:rsidR="007920DF" w:rsidRPr="00CB21B0" w:rsidRDefault="00220E6F" w:rsidP="007920DF">
      <w:pPr>
        <w:pStyle w:val="ItemHead"/>
      </w:pPr>
      <w:r w:rsidRPr="00CB21B0">
        <w:t>110</w:t>
      </w:r>
      <w:r w:rsidR="007920DF" w:rsidRPr="00CB21B0">
        <w:t xml:space="preserve">  Subregulation</w:t>
      </w:r>
      <w:r w:rsidR="00CB21B0" w:rsidRPr="00CB21B0">
        <w:t> </w:t>
      </w:r>
      <w:r w:rsidR="007920DF" w:rsidRPr="00CB21B0">
        <w:t>41(1)</w:t>
      </w:r>
    </w:p>
    <w:p w:rsidR="007920DF" w:rsidRPr="00CB21B0" w:rsidRDefault="007920DF" w:rsidP="007920DF">
      <w:pPr>
        <w:pStyle w:val="Item"/>
      </w:pPr>
      <w:r w:rsidRPr="00CB21B0">
        <w:t>Omit “83A,”.</w:t>
      </w:r>
    </w:p>
    <w:p w:rsidR="007920DF" w:rsidRPr="00CB21B0" w:rsidRDefault="00220E6F" w:rsidP="007920DF">
      <w:pPr>
        <w:pStyle w:val="ItemHead"/>
      </w:pPr>
      <w:r w:rsidRPr="00CB21B0">
        <w:t>111</w:t>
      </w:r>
      <w:r w:rsidR="007920DF" w:rsidRPr="00CB21B0">
        <w:t xml:space="preserve">  Subregulation</w:t>
      </w:r>
      <w:r w:rsidR="00CB21B0" w:rsidRPr="00CB21B0">
        <w:t> </w:t>
      </w:r>
      <w:r w:rsidR="007920DF" w:rsidRPr="00CB21B0">
        <w:t>41(2)</w:t>
      </w:r>
    </w:p>
    <w:p w:rsidR="007920DF" w:rsidRPr="00CB21B0" w:rsidRDefault="007920DF" w:rsidP="007920DF">
      <w:pPr>
        <w:pStyle w:val="Item"/>
      </w:pPr>
      <w:r w:rsidRPr="00CB21B0">
        <w:t>Omit “83A</w:t>
      </w:r>
      <w:r w:rsidR="006052E2" w:rsidRPr="00CB21B0">
        <w:t xml:space="preserve"> </w:t>
      </w:r>
      <w:r w:rsidRPr="00CB21B0">
        <w:t>(1)</w:t>
      </w:r>
      <w:r w:rsidR="006052E2" w:rsidRPr="00CB21B0">
        <w:t xml:space="preserve"> </w:t>
      </w:r>
      <w:r w:rsidRPr="00CB21B0">
        <w:t>(a),”.</w:t>
      </w:r>
    </w:p>
    <w:p w:rsidR="007200A6" w:rsidRPr="00CB21B0" w:rsidRDefault="00220E6F" w:rsidP="007200A6">
      <w:pPr>
        <w:pStyle w:val="ItemHead"/>
      </w:pPr>
      <w:r w:rsidRPr="00CB21B0">
        <w:lastRenderedPageBreak/>
        <w:t>112</w:t>
      </w:r>
      <w:r w:rsidR="007200A6" w:rsidRPr="00CB21B0">
        <w:t xml:space="preserve">  Subregulation</w:t>
      </w:r>
      <w:r w:rsidR="00CB21B0" w:rsidRPr="00CB21B0">
        <w:t> </w:t>
      </w:r>
      <w:r w:rsidR="007200A6" w:rsidRPr="00CB21B0">
        <w:t>41(2)</w:t>
      </w:r>
    </w:p>
    <w:p w:rsidR="007200A6" w:rsidRPr="00CB21B0" w:rsidRDefault="007200A6" w:rsidP="007200A6">
      <w:pPr>
        <w:pStyle w:val="Item"/>
      </w:pPr>
      <w:r w:rsidRPr="00CB21B0">
        <w:t xml:space="preserve"> Omit “or registered listed chemical product”.</w:t>
      </w:r>
    </w:p>
    <w:p w:rsidR="007920DF" w:rsidRPr="00CB21B0" w:rsidRDefault="00220E6F" w:rsidP="007920DF">
      <w:pPr>
        <w:pStyle w:val="ItemHead"/>
      </w:pPr>
      <w:r w:rsidRPr="00CB21B0">
        <w:t>113</w:t>
      </w:r>
      <w:r w:rsidR="007920DF" w:rsidRPr="00CB21B0">
        <w:t xml:space="preserve">  Subregulation</w:t>
      </w:r>
      <w:r w:rsidR="00CB21B0" w:rsidRPr="00CB21B0">
        <w:t> </w:t>
      </w:r>
      <w:r w:rsidR="007920DF" w:rsidRPr="00CB21B0">
        <w:t>41(3)</w:t>
      </w:r>
    </w:p>
    <w:p w:rsidR="007920DF" w:rsidRPr="00CB21B0" w:rsidRDefault="007920DF" w:rsidP="007920DF">
      <w:pPr>
        <w:pStyle w:val="Item"/>
      </w:pPr>
      <w:r w:rsidRPr="00CB21B0">
        <w:t>Omit “83A</w:t>
      </w:r>
      <w:r w:rsidR="006052E2" w:rsidRPr="00CB21B0">
        <w:t xml:space="preserve"> </w:t>
      </w:r>
      <w:r w:rsidRPr="00CB21B0">
        <w:t>(1)</w:t>
      </w:r>
      <w:r w:rsidR="006052E2" w:rsidRPr="00CB21B0">
        <w:t xml:space="preserve"> </w:t>
      </w:r>
      <w:r w:rsidRPr="00CB21B0">
        <w:t>(b),”.</w:t>
      </w:r>
    </w:p>
    <w:p w:rsidR="007200A6" w:rsidRPr="00CB21B0" w:rsidRDefault="00220E6F" w:rsidP="007200A6">
      <w:pPr>
        <w:pStyle w:val="ItemHead"/>
      </w:pPr>
      <w:r w:rsidRPr="00CB21B0">
        <w:t>114</w:t>
      </w:r>
      <w:r w:rsidR="007200A6" w:rsidRPr="00CB21B0">
        <w:t xml:space="preserve">  Subregulation</w:t>
      </w:r>
      <w:r w:rsidR="00CB21B0" w:rsidRPr="00CB21B0">
        <w:t> </w:t>
      </w:r>
      <w:r w:rsidR="007200A6" w:rsidRPr="00CB21B0">
        <w:t>41(3)</w:t>
      </w:r>
    </w:p>
    <w:p w:rsidR="007200A6" w:rsidRPr="00CB21B0" w:rsidRDefault="007200A6" w:rsidP="007200A6">
      <w:pPr>
        <w:pStyle w:val="Item"/>
      </w:pPr>
      <w:r w:rsidRPr="00CB21B0">
        <w:t>Omit “or registered listed chemical product”.</w:t>
      </w:r>
    </w:p>
    <w:p w:rsidR="00BA1C1B" w:rsidRPr="00CB21B0" w:rsidRDefault="00220E6F" w:rsidP="00BA1C1B">
      <w:pPr>
        <w:pStyle w:val="ItemHead"/>
      </w:pPr>
      <w:r w:rsidRPr="00CB21B0">
        <w:t>115</w:t>
      </w:r>
      <w:r w:rsidR="00BA1C1B" w:rsidRPr="00CB21B0">
        <w:t xml:space="preserve">  Subregulation</w:t>
      </w:r>
      <w:r w:rsidR="00CB21B0" w:rsidRPr="00CB21B0">
        <w:t> </w:t>
      </w:r>
      <w:r w:rsidR="00BA1C1B" w:rsidRPr="00CB21B0">
        <w:t>4</w:t>
      </w:r>
      <w:r w:rsidR="007824FC" w:rsidRPr="00CB21B0">
        <w:t>2</w:t>
      </w:r>
      <w:r w:rsidR="00BA1C1B" w:rsidRPr="00CB21B0">
        <w:t>(1)</w:t>
      </w:r>
    </w:p>
    <w:p w:rsidR="00AC7A4F" w:rsidRPr="00CB21B0" w:rsidRDefault="00BA1C1B" w:rsidP="008D58AE">
      <w:pPr>
        <w:pStyle w:val="Item"/>
      </w:pPr>
      <w:r w:rsidRPr="00CB21B0">
        <w:t>Omit “section</w:t>
      </w:r>
      <w:r w:rsidR="00CB21B0" w:rsidRPr="00CB21B0">
        <w:t> </w:t>
      </w:r>
      <w:r w:rsidRPr="00CB21B0">
        <w:t xml:space="preserve">87”, substitute “ </w:t>
      </w:r>
      <w:r w:rsidR="003E1BA4" w:rsidRPr="00CB21B0">
        <w:t>sub</w:t>
      </w:r>
      <w:r w:rsidRPr="00CB21B0">
        <w:t>paragraph</w:t>
      </w:r>
      <w:r w:rsidR="00CB21B0" w:rsidRPr="00CB21B0">
        <w:t> </w:t>
      </w:r>
      <w:r w:rsidRPr="00CB21B0">
        <w:t>87(1)(b)(ii)”.</w:t>
      </w:r>
    </w:p>
    <w:p w:rsidR="00AC7A4F" w:rsidRPr="00CB21B0" w:rsidRDefault="00220E6F" w:rsidP="00AC7A4F">
      <w:pPr>
        <w:pStyle w:val="ItemHead"/>
      </w:pPr>
      <w:r w:rsidRPr="00CB21B0">
        <w:t>116</w:t>
      </w:r>
      <w:r w:rsidR="00AC7A4F" w:rsidRPr="00CB21B0">
        <w:t xml:space="preserve">  Subregulation</w:t>
      </w:r>
      <w:r w:rsidR="00CB21B0" w:rsidRPr="00CB21B0">
        <w:t> </w:t>
      </w:r>
      <w:r w:rsidR="00AC7A4F" w:rsidRPr="00CB21B0">
        <w:t>4</w:t>
      </w:r>
      <w:r w:rsidR="007824FC" w:rsidRPr="00CB21B0">
        <w:t>2</w:t>
      </w:r>
      <w:r w:rsidR="00AC7A4F" w:rsidRPr="00CB21B0">
        <w:t>(</w:t>
      </w:r>
      <w:r w:rsidR="008E101F" w:rsidRPr="00CB21B0">
        <w:t>3</w:t>
      </w:r>
      <w:r w:rsidR="00AC7A4F" w:rsidRPr="00CB21B0">
        <w:t>)</w:t>
      </w:r>
    </w:p>
    <w:p w:rsidR="005959CF" w:rsidRPr="00CB21B0" w:rsidRDefault="005959CF" w:rsidP="00AC7A4F">
      <w:pPr>
        <w:pStyle w:val="Item"/>
      </w:pPr>
      <w:r w:rsidRPr="00CB21B0">
        <w:t>Repeal the subregulation, substitute:</w:t>
      </w:r>
    </w:p>
    <w:p w:rsidR="005959CF" w:rsidRPr="00CB21B0" w:rsidRDefault="005959CF" w:rsidP="005959CF">
      <w:pPr>
        <w:pStyle w:val="subsection"/>
      </w:pPr>
      <w:r w:rsidRPr="00CB21B0">
        <w:rPr>
          <w:b/>
          <w:bCs/>
        </w:rPr>
        <w:tab/>
      </w:r>
      <w:r w:rsidRPr="00CB21B0">
        <w:t>(3)</w:t>
      </w:r>
      <w:r w:rsidRPr="00CB21B0">
        <w:tab/>
      </w:r>
      <w:r w:rsidR="00F634D7" w:rsidRPr="00CB21B0">
        <w:t>For paragraph</w:t>
      </w:r>
      <w:r w:rsidR="00CB21B0" w:rsidRPr="00CB21B0">
        <w:t> </w:t>
      </w:r>
      <w:r w:rsidR="00F634D7" w:rsidRPr="00CB21B0">
        <w:t xml:space="preserve">87(1)(a) of the </w:t>
      </w:r>
      <w:r w:rsidR="00732A06" w:rsidRPr="00CB21B0">
        <w:t>Code</w:t>
      </w:r>
      <w:r w:rsidR="00F634D7" w:rsidRPr="00CB21B0">
        <w:t>, the standard</w:t>
      </w:r>
      <w:r w:rsidRPr="00CB21B0">
        <w:t xml:space="preserve"> for a chemical product, or a</w:t>
      </w:r>
      <w:r w:rsidR="00F634D7" w:rsidRPr="00CB21B0">
        <w:t xml:space="preserve"> </w:t>
      </w:r>
      <w:r w:rsidRPr="00CB21B0">
        <w:t>constituent contained in a chemical product, is:</w:t>
      </w:r>
    </w:p>
    <w:p w:rsidR="005959CF" w:rsidRPr="00CB21B0" w:rsidRDefault="005959CF" w:rsidP="005959CF">
      <w:pPr>
        <w:pStyle w:val="paragraph"/>
      </w:pPr>
      <w:r w:rsidRPr="00CB21B0">
        <w:tab/>
        <w:t>(a)</w:t>
      </w:r>
      <w:r w:rsidRPr="00CB21B0">
        <w:tab/>
      </w:r>
      <w:r w:rsidR="003E1BA4" w:rsidRPr="00CB21B0">
        <w:t>for a product or constituent in respect of which a</w:t>
      </w:r>
      <w:r w:rsidRPr="00CB21B0">
        <w:t xml:space="preserve"> standard </w:t>
      </w:r>
      <w:r w:rsidR="003E1BA4" w:rsidRPr="00CB21B0">
        <w:t xml:space="preserve">is </w:t>
      </w:r>
      <w:r w:rsidRPr="00CB21B0">
        <w:t xml:space="preserve">specified </w:t>
      </w:r>
      <w:r w:rsidR="003E1BA4" w:rsidRPr="00CB21B0">
        <w:t>i</w:t>
      </w:r>
      <w:r w:rsidRPr="00CB21B0">
        <w:t xml:space="preserve">n </w:t>
      </w:r>
      <w:r w:rsidR="003E1BA4" w:rsidRPr="00CB21B0">
        <w:t xml:space="preserve">an </w:t>
      </w:r>
      <w:r w:rsidRPr="00CB21B0">
        <w:t>order under section</w:t>
      </w:r>
      <w:r w:rsidR="00CB21B0" w:rsidRPr="00CB21B0">
        <w:t> </w:t>
      </w:r>
      <w:r w:rsidRPr="00CB21B0">
        <w:t>7 of the Act</w:t>
      </w:r>
      <w:r w:rsidR="003E1BA4" w:rsidRPr="00CB21B0">
        <w:t>—that standard</w:t>
      </w:r>
      <w:r w:rsidRPr="00CB21B0">
        <w:t xml:space="preserve">; </w:t>
      </w:r>
      <w:r w:rsidR="00211DBB" w:rsidRPr="00CB21B0">
        <w:t>or</w:t>
      </w:r>
    </w:p>
    <w:p w:rsidR="00F634D7" w:rsidRPr="00CB21B0" w:rsidRDefault="00F634D7" w:rsidP="005959CF">
      <w:pPr>
        <w:pStyle w:val="paragraph"/>
      </w:pPr>
      <w:r w:rsidRPr="00CB21B0">
        <w:tab/>
        <w:t>(b)</w:t>
      </w:r>
      <w:r w:rsidRPr="00CB21B0">
        <w:tab/>
      </w:r>
      <w:r w:rsidR="003E1BA4" w:rsidRPr="00CB21B0">
        <w:t xml:space="preserve">for </w:t>
      </w:r>
      <w:r w:rsidRPr="00CB21B0">
        <w:t>a product or constituent (</w:t>
      </w:r>
      <w:r w:rsidR="00EC3C95" w:rsidRPr="00CB21B0">
        <w:t>other than</w:t>
      </w:r>
      <w:r w:rsidRPr="00CB21B0">
        <w:t xml:space="preserve"> a product or constituent to which </w:t>
      </w:r>
      <w:r w:rsidR="00CB21B0" w:rsidRPr="00CB21B0">
        <w:t>paragraph (</w:t>
      </w:r>
      <w:r w:rsidRPr="00CB21B0">
        <w:t xml:space="preserve">a) applies) </w:t>
      </w:r>
      <w:r w:rsidR="003E1BA4" w:rsidRPr="00CB21B0">
        <w:t xml:space="preserve">in respect of which a </w:t>
      </w:r>
      <w:r w:rsidRPr="00CB21B0">
        <w:t xml:space="preserve">standard </w:t>
      </w:r>
      <w:r w:rsidR="003E1BA4" w:rsidRPr="00CB21B0">
        <w:t xml:space="preserve">has been </w:t>
      </w:r>
      <w:r w:rsidRPr="00CB21B0">
        <w:t>made under section</w:t>
      </w:r>
      <w:r w:rsidR="00CB21B0" w:rsidRPr="00CB21B0">
        <w:t> </w:t>
      </w:r>
      <w:r w:rsidRPr="00CB21B0">
        <w:t xml:space="preserve">6E of the Code—that standard; </w:t>
      </w:r>
      <w:r w:rsidR="00211DBB" w:rsidRPr="00CB21B0">
        <w:t>or</w:t>
      </w:r>
    </w:p>
    <w:p w:rsidR="00B124FD" w:rsidRPr="00CB21B0" w:rsidRDefault="00B124FD" w:rsidP="00B124FD">
      <w:pPr>
        <w:pStyle w:val="paragraph"/>
      </w:pPr>
      <w:r w:rsidRPr="00CB21B0">
        <w:tab/>
        <w:t>(</w:t>
      </w:r>
      <w:r w:rsidR="003E1BA4" w:rsidRPr="00CB21B0">
        <w:t>c</w:t>
      </w:r>
      <w:r w:rsidRPr="00CB21B0">
        <w:t>)</w:t>
      </w:r>
      <w:r w:rsidRPr="00CB21B0">
        <w:tab/>
      </w:r>
      <w:r w:rsidR="003E1BA4" w:rsidRPr="00CB21B0">
        <w:t>for a</w:t>
      </w:r>
      <w:r w:rsidRPr="00CB21B0">
        <w:t xml:space="preserve"> listed chemical product (</w:t>
      </w:r>
      <w:r w:rsidR="00EC3C95" w:rsidRPr="00CB21B0">
        <w:t>other than</w:t>
      </w:r>
      <w:r w:rsidRPr="00CB21B0">
        <w:t xml:space="preserve"> a product </w:t>
      </w:r>
      <w:r w:rsidR="004A2B58" w:rsidRPr="00CB21B0">
        <w:t xml:space="preserve">to which </w:t>
      </w:r>
      <w:r w:rsidR="00CB21B0" w:rsidRPr="00CB21B0">
        <w:t>paragraph (</w:t>
      </w:r>
      <w:r w:rsidRPr="00CB21B0">
        <w:t>a)</w:t>
      </w:r>
      <w:r w:rsidR="004A2B58" w:rsidRPr="00CB21B0">
        <w:t xml:space="preserve"> or</w:t>
      </w:r>
      <w:r w:rsidRPr="00CB21B0">
        <w:t xml:space="preserve"> (</w:t>
      </w:r>
      <w:r w:rsidR="004A2B58" w:rsidRPr="00CB21B0">
        <w:t>b</w:t>
      </w:r>
      <w:r w:rsidRPr="00CB21B0">
        <w:t>)</w:t>
      </w:r>
      <w:r w:rsidR="004A2B58" w:rsidRPr="00CB21B0">
        <w:t xml:space="preserve"> applies</w:t>
      </w:r>
      <w:r w:rsidRPr="00CB21B0">
        <w:t>) mentioned in column 2 of item</w:t>
      </w:r>
      <w:r w:rsidR="00CB21B0" w:rsidRPr="00CB21B0">
        <w:t> </w:t>
      </w:r>
      <w:r w:rsidRPr="00CB21B0">
        <w:t>1 of Part</w:t>
      </w:r>
      <w:r w:rsidR="00CB21B0" w:rsidRPr="00CB21B0">
        <w:t> </w:t>
      </w:r>
      <w:r w:rsidRPr="00CB21B0">
        <w:t>2 of Schedule</w:t>
      </w:r>
      <w:r w:rsidR="00CB21B0" w:rsidRPr="00CB21B0">
        <w:t> </w:t>
      </w:r>
      <w:r w:rsidRPr="00CB21B0">
        <w:t>3B</w:t>
      </w:r>
      <w:r w:rsidR="008D58AE" w:rsidRPr="00CB21B0">
        <w:t xml:space="preserve"> that does not have a last renewal date in the Register</w:t>
      </w:r>
      <w:r w:rsidRPr="00CB21B0">
        <w:t xml:space="preserve">—the </w:t>
      </w:r>
      <w:r w:rsidRPr="00CB21B0">
        <w:rPr>
          <w:i/>
        </w:rPr>
        <w:t>Listable Chemical Product (Home Swimming Pool and Spa Products) Standard 2007</w:t>
      </w:r>
      <w:r w:rsidR="003E1BA4" w:rsidRPr="00CB21B0">
        <w:t xml:space="preserve">; </w:t>
      </w:r>
      <w:r w:rsidR="00211DBB" w:rsidRPr="00CB21B0">
        <w:t>or</w:t>
      </w:r>
    </w:p>
    <w:p w:rsidR="00B124FD" w:rsidRPr="00CB21B0" w:rsidRDefault="00B124FD" w:rsidP="005959CF">
      <w:pPr>
        <w:pStyle w:val="paragraph"/>
      </w:pPr>
      <w:r w:rsidRPr="00CB21B0">
        <w:tab/>
        <w:t>(</w:t>
      </w:r>
      <w:r w:rsidR="003E1BA4" w:rsidRPr="00CB21B0">
        <w:t>d</w:t>
      </w:r>
      <w:r w:rsidRPr="00CB21B0">
        <w:t>)</w:t>
      </w:r>
      <w:r w:rsidRPr="00CB21B0">
        <w:tab/>
      </w:r>
      <w:r w:rsidR="003E1BA4" w:rsidRPr="00CB21B0">
        <w:t xml:space="preserve">for a </w:t>
      </w:r>
      <w:r w:rsidRPr="00CB21B0">
        <w:t>listed chemical product (</w:t>
      </w:r>
      <w:r w:rsidR="00EC3C95" w:rsidRPr="00CB21B0">
        <w:t>other than</w:t>
      </w:r>
      <w:r w:rsidRPr="00CB21B0">
        <w:t xml:space="preserve"> a product </w:t>
      </w:r>
      <w:r w:rsidR="004A2B58" w:rsidRPr="00CB21B0">
        <w:t xml:space="preserve">to which </w:t>
      </w:r>
      <w:r w:rsidR="00CB21B0" w:rsidRPr="00CB21B0">
        <w:t>paragraph (</w:t>
      </w:r>
      <w:r w:rsidRPr="00CB21B0">
        <w:t>a)</w:t>
      </w:r>
      <w:r w:rsidR="00421EE0" w:rsidRPr="00CB21B0">
        <w:t xml:space="preserve"> or</w:t>
      </w:r>
      <w:r w:rsidR="004A2B58" w:rsidRPr="00CB21B0">
        <w:t xml:space="preserve"> (b) applies</w:t>
      </w:r>
      <w:r w:rsidRPr="00CB21B0">
        <w:t>) mentioned in column 2 of item</w:t>
      </w:r>
      <w:r w:rsidR="00CB21B0" w:rsidRPr="00CB21B0">
        <w:t> </w:t>
      </w:r>
      <w:r w:rsidRPr="00CB21B0">
        <w:t>2 of Part</w:t>
      </w:r>
      <w:r w:rsidR="00CB21B0" w:rsidRPr="00CB21B0">
        <w:t> </w:t>
      </w:r>
      <w:r w:rsidRPr="00CB21B0">
        <w:t>2 of Schedule</w:t>
      </w:r>
      <w:r w:rsidR="00CB21B0" w:rsidRPr="00CB21B0">
        <w:t> </w:t>
      </w:r>
      <w:r w:rsidRPr="00CB21B0">
        <w:t>3B</w:t>
      </w:r>
      <w:r w:rsidR="00422D47" w:rsidRPr="00CB21B0">
        <w:t xml:space="preserve"> that does not have a last renewal date in the Register</w:t>
      </w:r>
      <w:r w:rsidRPr="00CB21B0">
        <w:t xml:space="preserve">—the </w:t>
      </w:r>
      <w:r w:rsidRPr="00CB21B0">
        <w:rPr>
          <w:i/>
        </w:rPr>
        <w:t>Listable Chemical Product (Joint Health Products for Dogs and Horses) Standard 200</w:t>
      </w:r>
      <w:r w:rsidR="003E1BA4" w:rsidRPr="00CB21B0">
        <w:t xml:space="preserve">7; </w:t>
      </w:r>
      <w:r w:rsidR="00211DBB" w:rsidRPr="00CB21B0">
        <w:t>or</w:t>
      </w:r>
    </w:p>
    <w:p w:rsidR="005959CF" w:rsidRPr="00CB21B0" w:rsidRDefault="005959CF" w:rsidP="005959CF">
      <w:pPr>
        <w:pStyle w:val="paragraph"/>
      </w:pPr>
      <w:r w:rsidRPr="00CB21B0">
        <w:tab/>
        <w:t>(</w:t>
      </w:r>
      <w:r w:rsidR="00B864BF" w:rsidRPr="00CB21B0">
        <w:t>e</w:t>
      </w:r>
      <w:r w:rsidRPr="00CB21B0">
        <w:t>)</w:t>
      </w:r>
      <w:r w:rsidRPr="00CB21B0">
        <w:tab/>
      </w:r>
      <w:r w:rsidR="003E1BA4" w:rsidRPr="00CB21B0">
        <w:t>for</w:t>
      </w:r>
      <w:r w:rsidRPr="00CB21B0">
        <w:t xml:space="preserve"> a veterinary chemical product or a constituent (</w:t>
      </w:r>
      <w:r w:rsidR="00EC3C95" w:rsidRPr="00CB21B0">
        <w:t>other than</w:t>
      </w:r>
      <w:r w:rsidRPr="00CB21B0">
        <w:t xml:space="preserve"> a product or constituent </w:t>
      </w:r>
      <w:r w:rsidR="00F634D7" w:rsidRPr="00CB21B0">
        <w:t xml:space="preserve">to which </w:t>
      </w:r>
      <w:r w:rsidR="00CB21B0" w:rsidRPr="00CB21B0">
        <w:t>paragraph (</w:t>
      </w:r>
      <w:r w:rsidR="00F634D7" w:rsidRPr="00CB21B0">
        <w:t>a)</w:t>
      </w:r>
      <w:r w:rsidR="00DF5A7B" w:rsidRPr="00CB21B0">
        <w:t>, (b), (</w:t>
      </w:r>
      <w:r w:rsidR="003E1BA4" w:rsidRPr="00CB21B0">
        <w:t>c</w:t>
      </w:r>
      <w:r w:rsidR="00DF5A7B" w:rsidRPr="00CB21B0">
        <w:t>) or (</w:t>
      </w:r>
      <w:r w:rsidR="003E1BA4" w:rsidRPr="00CB21B0">
        <w:t>d</w:t>
      </w:r>
      <w:r w:rsidR="00DF5A7B" w:rsidRPr="00CB21B0">
        <w:t xml:space="preserve">) </w:t>
      </w:r>
      <w:r w:rsidR="00F634D7" w:rsidRPr="00CB21B0">
        <w:t>applies))</w:t>
      </w:r>
      <w:r w:rsidRPr="00CB21B0">
        <w:t xml:space="preserve"> in respect of which a standard is specified in:</w:t>
      </w:r>
    </w:p>
    <w:p w:rsidR="005959CF" w:rsidRPr="00CB21B0" w:rsidRDefault="005959CF" w:rsidP="005959CF">
      <w:pPr>
        <w:pStyle w:val="paragraphsub"/>
      </w:pPr>
      <w:r w:rsidRPr="00CB21B0">
        <w:tab/>
        <w:t>(i)</w:t>
      </w:r>
      <w:r w:rsidRPr="00CB21B0">
        <w:tab/>
        <w:t>the British Pharmacopoeia; or</w:t>
      </w:r>
    </w:p>
    <w:p w:rsidR="005959CF" w:rsidRPr="00CB21B0" w:rsidRDefault="005959CF" w:rsidP="005959CF">
      <w:pPr>
        <w:pStyle w:val="paragraphsub"/>
      </w:pPr>
      <w:r w:rsidRPr="00CB21B0">
        <w:lastRenderedPageBreak/>
        <w:tab/>
        <w:t>(ii)</w:t>
      </w:r>
      <w:r w:rsidRPr="00CB21B0">
        <w:tab/>
        <w:t>the British Pharmacopoeia (Veterinary); or</w:t>
      </w:r>
    </w:p>
    <w:p w:rsidR="005959CF" w:rsidRPr="00CB21B0" w:rsidRDefault="005959CF" w:rsidP="005959CF">
      <w:pPr>
        <w:pStyle w:val="paragraphsub"/>
      </w:pPr>
      <w:r w:rsidRPr="00CB21B0">
        <w:tab/>
        <w:t>(iii)</w:t>
      </w:r>
      <w:r w:rsidRPr="00CB21B0">
        <w:tab/>
        <w:t>the European Pharmacopoeia; or</w:t>
      </w:r>
    </w:p>
    <w:p w:rsidR="005959CF" w:rsidRPr="00CB21B0" w:rsidRDefault="005959CF" w:rsidP="005959CF">
      <w:pPr>
        <w:pStyle w:val="paragraphsub"/>
      </w:pPr>
      <w:r w:rsidRPr="00CB21B0">
        <w:tab/>
        <w:t>(iv)</w:t>
      </w:r>
      <w:r w:rsidRPr="00CB21B0">
        <w:tab/>
        <w:t>the United States Pharmacopoeia;</w:t>
      </w:r>
    </w:p>
    <w:p w:rsidR="005959CF" w:rsidRPr="00CB21B0" w:rsidRDefault="005959CF" w:rsidP="00F634D7">
      <w:pPr>
        <w:pStyle w:val="paragraph"/>
      </w:pPr>
      <w:r w:rsidRPr="00CB21B0">
        <w:tab/>
      </w:r>
      <w:r w:rsidRPr="00CB21B0">
        <w:tab/>
        <w:t>the standard specified in the first of those publications, in the order set out in this paragraph, that applies t</w:t>
      </w:r>
      <w:r w:rsidR="00895F67" w:rsidRPr="00CB21B0">
        <w:t xml:space="preserve">o the product or constituent; </w:t>
      </w:r>
      <w:r w:rsidR="00BD40EB" w:rsidRPr="00CB21B0">
        <w:t>or</w:t>
      </w:r>
    </w:p>
    <w:p w:rsidR="005959CF" w:rsidRPr="00CB21B0" w:rsidRDefault="005959CF" w:rsidP="005959CF">
      <w:pPr>
        <w:pStyle w:val="paragraph"/>
      </w:pPr>
      <w:r w:rsidRPr="00CB21B0">
        <w:tab/>
        <w:t>(</w:t>
      </w:r>
      <w:r w:rsidR="00B864BF" w:rsidRPr="00CB21B0">
        <w:t>f</w:t>
      </w:r>
      <w:r w:rsidRPr="00CB21B0">
        <w:t>)</w:t>
      </w:r>
      <w:r w:rsidRPr="00CB21B0">
        <w:tab/>
      </w:r>
      <w:r w:rsidR="00895F67" w:rsidRPr="00CB21B0">
        <w:t>for</w:t>
      </w:r>
      <w:r w:rsidRPr="00CB21B0">
        <w:t xml:space="preserve"> a product or constituent (</w:t>
      </w:r>
      <w:r w:rsidR="00EC3C95" w:rsidRPr="00CB21B0">
        <w:t xml:space="preserve">other than </w:t>
      </w:r>
      <w:r w:rsidRPr="00CB21B0">
        <w:t>a product or constituent</w:t>
      </w:r>
      <w:r w:rsidR="00F634D7" w:rsidRPr="00CB21B0">
        <w:t xml:space="preserve"> to which </w:t>
      </w:r>
      <w:r w:rsidR="00CB21B0" w:rsidRPr="00CB21B0">
        <w:t>paragraph (</w:t>
      </w:r>
      <w:r w:rsidRPr="00CB21B0">
        <w:t>a), (</w:t>
      </w:r>
      <w:r w:rsidR="00895F67" w:rsidRPr="00CB21B0">
        <w:t>b</w:t>
      </w:r>
      <w:r w:rsidRPr="00CB21B0">
        <w:t>)</w:t>
      </w:r>
      <w:r w:rsidR="00DF5A7B" w:rsidRPr="00CB21B0">
        <w:t>, (</w:t>
      </w:r>
      <w:r w:rsidR="00895F67" w:rsidRPr="00CB21B0">
        <w:t>c)</w:t>
      </w:r>
      <w:r w:rsidR="00DF5A7B" w:rsidRPr="00CB21B0">
        <w:t>, (</w:t>
      </w:r>
      <w:r w:rsidR="00895F67" w:rsidRPr="00CB21B0">
        <w:t>d</w:t>
      </w:r>
      <w:r w:rsidR="00DF5A7B" w:rsidRPr="00CB21B0">
        <w:t>)</w:t>
      </w:r>
      <w:r w:rsidRPr="00CB21B0">
        <w:t xml:space="preserve"> or (</w:t>
      </w:r>
      <w:r w:rsidR="00895F67" w:rsidRPr="00CB21B0">
        <w:t>e</w:t>
      </w:r>
      <w:r w:rsidRPr="00CB21B0">
        <w:t>)</w:t>
      </w:r>
      <w:r w:rsidR="00F634D7" w:rsidRPr="00CB21B0">
        <w:t xml:space="preserve"> applies</w:t>
      </w:r>
      <w:r w:rsidRPr="00CB21B0">
        <w:t xml:space="preserve">) in respect of which a standard is specified in </w:t>
      </w:r>
      <w:r w:rsidR="0049111E" w:rsidRPr="00CB21B0">
        <w:t>the FAO and WHO Specifications for Pesticides</w:t>
      </w:r>
      <w:r w:rsidRPr="00CB21B0">
        <w:t xml:space="preserve">—that standard; </w:t>
      </w:r>
      <w:r w:rsidR="00BD40EB" w:rsidRPr="00CB21B0">
        <w:t>or</w:t>
      </w:r>
    </w:p>
    <w:p w:rsidR="00603977" w:rsidRPr="00CB21B0" w:rsidRDefault="005959CF" w:rsidP="00422D47">
      <w:pPr>
        <w:pStyle w:val="paragraph"/>
      </w:pPr>
      <w:r w:rsidRPr="00CB21B0">
        <w:tab/>
        <w:t>(</w:t>
      </w:r>
      <w:r w:rsidR="00B864BF" w:rsidRPr="00CB21B0">
        <w:t>g</w:t>
      </w:r>
      <w:r w:rsidRPr="00CB21B0">
        <w:t>)</w:t>
      </w:r>
      <w:r w:rsidRPr="00CB21B0">
        <w:tab/>
      </w:r>
      <w:r w:rsidR="00EC3C95" w:rsidRPr="00CB21B0">
        <w:t xml:space="preserve">for a product or constituent (other than a product or constituent to which </w:t>
      </w:r>
      <w:r w:rsidR="00CB21B0" w:rsidRPr="00CB21B0">
        <w:t>paragraph (</w:t>
      </w:r>
      <w:r w:rsidR="00EC3C95" w:rsidRPr="00CB21B0">
        <w:t xml:space="preserve">a), (b), (c), (d), (e) or (f) applies) in respect of which the </w:t>
      </w:r>
      <w:r w:rsidR="00895F67" w:rsidRPr="00CB21B0">
        <w:t xml:space="preserve">APVMA </w:t>
      </w:r>
      <w:r w:rsidR="00EC3C95" w:rsidRPr="00CB21B0">
        <w:t xml:space="preserve">approved a standard </w:t>
      </w:r>
      <w:r w:rsidR="00895F67" w:rsidRPr="00CB21B0">
        <w:t>before 1</w:t>
      </w:r>
      <w:r w:rsidR="00CB21B0" w:rsidRPr="00CB21B0">
        <w:t> </w:t>
      </w:r>
      <w:r w:rsidR="00895F67" w:rsidRPr="00CB21B0">
        <w:t>July 201</w:t>
      </w:r>
      <w:r w:rsidR="008D58AE" w:rsidRPr="00CB21B0">
        <w:t>4</w:t>
      </w:r>
      <w:r w:rsidR="00895F67" w:rsidRPr="00CB21B0">
        <w:t xml:space="preserve"> </w:t>
      </w:r>
      <w:r w:rsidR="00EC3C95" w:rsidRPr="00CB21B0">
        <w:t xml:space="preserve">and </w:t>
      </w:r>
      <w:r w:rsidR="00895F67" w:rsidRPr="00CB21B0">
        <w:t>the approval is still in force</w:t>
      </w:r>
      <w:r w:rsidR="00EC3C95" w:rsidRPr="00CB21B0">
        <w:t>—that standard</w:t>
      </w:r>
      <w:r w:rsidR="00895F67" w:rsidRPr="00CB21B0">
        <w:t>.</w:t>
      </w:r>
    </w:p>
    <w:p w:rsidR="00422D47" w:rsidRPr="00CB21B0" w:rsidRDefault="00220E6F" w:rsidP="00422D47">
      <w:pPr>
        <w:pStyle w:val="ItemHead"/>
      </w:pPr>
      <w:r w:rsidRPr="00CB21B0">
        <w:t>117</w:t>
      </w:r>
      <w:r w:rsidR="00422D47" w:rsidRPr="00CB21B0">
        <w:t xml:space="preserve">  At the end of regulation</w:t>
      </w:r>
      <w:r w:rsidR="00CB21B0" w:rsidRPr="00CB21B0">
        <w:t> </w:t>
      </w:r>
      <w:r w:rsidR="00422D47" w:rsidRPr="00CB21B0">
        <w:t>42</w:t>
      </w:r>
    </w:p>
    <w:p w:rsidR="00422D47" w:rsidRPr="00CB21B0" w:rsidRDefault="00422D47" w:rsidP="00422D47">
      <w:pPr>
        <w:pStyle w:val="Item"/>
      </w:pPr>
      <w:r w:rsidRPr="00CB21B0">
        <w:t>Add:</w:t>
      </w:r>
    </w:p>
    <w:p w:rsidR="00422D47" w:rsidRPr="00CB21B0" w:rsidRDefault="00422D47" w:rsidP="00422D47">
      <w:pPr>
        <w:pStyle w:val="subsection"/>
      </w:pPr>
      <w:r w:rsidRPr="00CB21B0">
        <w:tab/>
        <w:t>(5)</w:t>
      </w:r>
      <w:r w:rsidRPr="00CB21B0">
        <w:tab/>
        <w:t xml:space="preserve">In this regulation, the </w:t>
      </w:r>
      <w:r w:rsidRPr="00CB21B0">
        <w:rPr>
          <w:b/>
          <w:i/>
        </w:rPr>
        <w:t>last renewal date</w:t>
      </w:r>
      <w:r w:rsidRPr="00CB21B0">
        <w:t xml:space="preserve"> for a chemical product is the date after which the registration of the product cannot be renewed under Division</w:t>
      </w:r>
      <w:r w:rsidR="00CB21B0" w:rsidRPr="00CB21B0">
        <w:t> </w:t>
      </w:r>
      <w:r w:rsidRPr="00CB21B0">
        <w:t>6 of Part</w:t>
      </w:r>
      <w:r w:rsidR="00CB21B0" w:rsidRPr="00CB21B0">
        <w:t> </w:t>
      </w:r>
      <w:r w:rsidRPr="00CB21B0">
        <w:t>2 of the Code.</w:t>
      </w:r>
    </w:p>
    <w:p w:rsidR="007920DF" w:rsidRPr="00CB21B0" w:rsidRDefault="00220E6F" w:rsidP="007920DF">
      <w:pPr>
        <w:pStyle w:val="ItemHead"/>
        <w:rPr>
          <w:rFonts w:cs="Arial"/>
        </w:rPr>
      </w:pPr>
      <w:r w:rsidRPr="00CB21B0">
        <w:rPr>
          <w:rFonts w:cs="Arial"/>
          <w:noProof/>
        </w:rPr>
        <w:t>118</w:t>
      </w:r>
      <w:r w:rsidR="007920DF" w:rsidRPr="00CB21B0">
        <w:rPr>
          <w:rFonts w:cs="Arial"/>
        </w:rPr>
        <w:t xml:space="preserve">  Subregulation</w:t>
      </w:r>
      <w:r w:rsidR="00CB21B0" w:rsidRPr="00CB21B0">
        <w:rPr>
          <w:rFonts w:cs="Arial"/>
        </w:rPr>
        <w:t> </w:t>
      </w:r>
      <w:r w:rsidR="007920DF" w:rsidRPr="00CB21B0">
        <w:rPr>
          <w:rFonts w:cs="Arial"/>
        </w:rPr>
        <w:t>44(1)</w:t>
      </w:r>
    </w:p>
    <w:p w:rsidR="007920DF" w:rsidRPr="00CB21B0" w:rsidRDefault="007920DF" w:rsidP="007920DF">
      <w:pPr>
        <w:pStyle w:val="Item"/>
      </w:pPr>
      <w:r w:rsidRPr="00CB21B0">
        <w:t>Omit “90</w:t>
      </w:r>
      <w:r w:rsidR="008F33B5" w:rsidRPr="00CB21B0">
        <w:t xml:space="preserve"> </w:t>
      </w:r>
      <w:r w:rsidRPr="00CB21B0">
        <w:t>(a)”, substitute “90(1)(a)”.</w:t>
      </w:r>
    </w:p>
    <w:p w:rsidR="007920DF" w:rsidRPr="00CB21B0" w:rsidRDefault="00220E6F" w:rsidP="007920DF">
      <w:pPr>
        <w:pStyle w:val="ItemHead"/>
        <w:rPr>
          <w:rFonts w:cs="Arial"/>
        </w:rPr>
      </w:pPr>
      <w:r w:rsidRPr="00CB21B0">
        <w:rPr>
          <w:rFonts w:cs="Arial"/>
          <w:noProof/>
        </w:rPr>
        <w:t>119</w:t>
      </w:r>
      <w:r w:rsidR="007920DF" w:rsidRPr="00CB21B0">
        <w:rPr>
          <w:rFonts w:cs="Arial"/>
        </w:rPr>
        <w:t xml:space="preserve">  Subparagraph 44(1)(a)(ii</w:t>
      </w:r>
      <w:r w:rsidR="00BC6830" w:rsidRPr="00CB21B0">
        <w:rPr>
          <w:rFonts w:cs="Arial"/>
        </w:rPr>
        <w:t>)</w:t>
      </w:r>
    </w:p>
    <w:p w:rsidR="007920DF" w:rsidRPr="00CB21B0" w:rsidRDefault="007920DF" w:rsidP="007920DF">
      <w:pPr>
        <w:pStyle w:val="Item"/>
      </w:pPr>
      <w:r w:rsidRPr="00CB21B0">
        <w:t>Omit “Part</w:t>
      </w:r>
      <w:r w:rsidR="00CB21B0" w:rsidRPr="00CB21B0">
        <w:t> </w:t>
      </w:r>
      <w:r w:rsidRPr="00CB21B0">
        <w:t>9 of the Code (which deals with enforcement)”, substitute “Parts</w:t>
      </w:r>
      <w:r w:rsidR="00CB21B0" w:rsidRPr="00CB21B0">
        <w:t> </w:t>
      </w:r>
      <w:r w:rsidRPr="00CB21B0">
        <w:t>9 and 9A of the Code (which deal with investigative powers and enforcement)”.</w:t>
      </w:r>
    </w:p>
    <w:p w:rsidR="007920DF" w:rsidRPr="00CB21B0" w:rsidRDefault="00220E6F" w:rsidP="007920DF">
      <w:pPr>
        <w:pStyle w:val="ItemHead"/>
        <w:rPr>
          <w:rFonts w:cs="Arial"/>
        </w:rPr>
      </w:pPr>
      <w:r w:rsidRPr="00CB21B0">
        <w:rPr>
          <w:rFonts w:cs="Arial"/>
        </w:rPr>
        <w:t>120</w:t>
      </w:r>
      <w:r w:rsidR="007920DF" w:rsidRPr="00CB21B0">
        <w:rPr>
          <w:rFonts w:cs="Arial"/>
        </w:rPr>
        <w:t xml:space="preserve">  Subregulation</w:t>
      </w:r>
      <w:r w:rsidR="00CB21B0" w:rsidRPr="00CB21B0">
        <w:rPr>
          <w:rFonts w:cs="Arial"/>
        </w:rPr>
        <w:t> </w:t>
      </w:r>
      <w:r w:rsidR="007920DF" w:rsidRPr="00CB21B0">
        <w:rPr>
          <w:rFonts w:cs="Arial"/>
        </w:rPr>
        <w:t>44(2)</w:t>
      </w:r>
    </w:p>
    <w:p w:rsidR="007920DF" w:rsidRPr="00CB21B0" w:rsidRDefault="007920DF" w:rsidP="007920DF">
      <w:pPr>
        <w:pStyle w:val="Item"/>
      </w:pPr>
      <w:r w:rsidRPr="00CB21B0">
        <w:t>Omit “90 (b)”, substitute “90(1)(b)”.</w:t>
      </w:r>
    </w:p>
    <w:p w:rsidR="007920DF" w:rsidRPr="00CB21B0" w:rsidRDefault="00220E6F" w:rsidP="007920DF">
      <w:pPr>
        <w:pStyle w:val="ItemHead"/>
        <w:rPr>
          <w:rFonts w:cs="Arial"/>
        </w:rPr>
      </w:pPr>
      <w:r w:rsidRPr="00CB21B0">
        <w:rPr>
          <w:rFonts w:cs="Arial"/>
        </w:rPr>
        <w:t>121</w:t>
      </w:r>
      <w:r w:rsidR="007920DF" w:rsidRPr="00CB21B0">
        <w:rPr>
          <w:rFonts w:cs="Arial"/>
        </w:rPr>
        <w:t xml:space="preserve">  Subregulations</w:t>
      </w:r>
      <w:r w:rsidR="00CB21B0" w:rsidRPr="00CB21B0">
        <w:rPr>
          <w:rFonts w:cs="Arial"/>
        </w:rPr>
        <w:t> </w:t>
      </w:r>
      <w:r w:rsidR="007920DF" w:rsidRPr="00CB21B0">
        <w:rPr>
          <w:rFonts w:cs="Arial"/>
        </w:rPr>
        <w:t>46(1A), (1B) and (1C)</w:t>
      </w:r>
    </w:p>
    <w:p w:rsidR="007920DF" w:rsidRPr="00CB21B0" w:rsidRDefault="007920DF" w:rsidP="007920DF">
      <w:pPr>
        <w:pStyle w:val="Item"/>
      </w:pPr>
      <w:r w:rsidRPr="00CB21B0">
        <w:t>Repeal the subregulations.</w:t>
      </w:r>
    </w:p>
    <w:p w:rsidR="0092235C" w:rsidRPr="00CB21B0" w:rsidRDefault="00220E6F" w:rsidP="0092235C">
      <w:pPr>
        <w:pStyle w:val="ItemHead"/>
      </w:pPr>
      <w:r w:rsidRPr="00CB21B0">
        <w:lastRenderedPageBreak/>
        <w:t>122</w:t>
      </w:r>
      <w:r w:rsidR="0092235C" w:rsidRPr="00CB21B0">
        <w:t xml:space="preserve">  Paragraph</w:t>
      </w:r>
      <w:r w:rsidR="00BC6830" w:rsidRPr="00CB21B0">
        <w:t xml:space="preserve"> 46(2)(b)</w:t>
      </w:r>
    </w:p>
    <w:p w:rsidR="0092235C" w:rsidRPr="00CB21B0" w:rsidRDefault="0092235C" w:rsidP="0092235C">
      <w:pPr>
        <w:pStyle w:val="Item"/>
      </w:pPr>
      <w:r w:rsidRPr="00CB21B0">
        <w:t>Omit “Part</w:t>
      </w:r>
      <w:r w:rsidR="00CB21B0" w:rsidRPr="00CB21B0">
        <w:t> </w:t>
      </w:r>
      <w:r w:rsidRPr="00CB21B0">
        <w:t>9 of the Code (which deals with enforcement)”, substitute “Parts</w:t>
      </w:r>
      <w:r w:rsidR="00CB21B0" w:rsidRPr="00CB21B0">
        <w:t> </w:t>
      </w:r>
      <w:r w:rsidRPr="00CB21B0">
        <w:t>9 and 9A of the Code (which deal with investigative powers and enforcement)”.</w:t>
      </w:r>
    </w:p>
    <w:p w:rsidR="00F92BA4" w:rsidRPr="00CB21B0" w:rsidRDefault="00220E6F" w:rsidP="00F92BA4">
      <w:pPr>
        <w:pStyle w:val="ItemHead"/>
      </w:pPr>
      <w:r w:rsidRPr="00CB21B0">
        <w:t>123</w:t>
      </w:r>
      <w:r w:rsidR="00F92BA4" w:rsidRPr="00CB21B0">
        <w:t xml:space="preserve">  Division</w:t>
      </w:r>
      <w:r w:rsidR="00CB21B0" w:rsidRPr="00CB21B0">
        <w:t> </w:t>
      </w:r>
      <w:r w:rsidR="00F92BA4" w:rsidRPr="00CB21B0">
        <w:t>2 of Part</w:t>
      </w:r>
      <w:r w:rsidR="00CB21B0" w:rsidRPr="00CB21B0">
        <w:t> </w:t>
      </w:r>
      <w:r w:rsidR="00F92BA4" w:rsidRPr="00CB21B0">
        <w:t>4 (heading)</w:t>
      </w:r>
    </w:p>
    <w:p w:rsidR="00F92BA4" w:rsidRPr="00CB21B0" w:rsidRDefault="003A3701" w:rsidP="00F92BA4">
      <w:pPr>
        <w:pStyle w:val="Item"/>
      </w:pPr>
      <w:r w:rsidRPr="00CB21B0">
        <w:t>Repeal</w:t>
      </w:r>
      <w:r w:rsidR="00F92BA4" w:rsidRPr="00CB21B0">
        <w:t xml:space="preserve"> the heading, substitute:</w:t>
      </w:r>
    </w:p>
    <w:p w:rsidR="00F92BA4" w:rsidRPr="00CB21B0" w:rsidRDefault="00F92BA4" w:rsidP="00F92BA4">
      <w:pPr>
        <w:pStyle w:val="ActHead3"/>
      </w:pPr>
      <w:bookmarkStart w:id="77" w:name="_Toc361055075"/>
      <w:r w:rsidRPr="00CB21B0">
        <w:rPr>
          <w:rStyle w:val="CharDivNo"/>
        </w:rPr>
        <w:t>Division</w:t>
      </w:r>
      <w:r w:rsidR="00CB21B0" w:rsidRPr="00CB21B0">
        <w:rPr>
          <w:rStyle w:val="CharDivNo"/>
        </w:rPr>
        <w:t> </w:t>
      </w:r>
      <w:r w:rsidRPr="00CB21B0">
        <w:rPr>
          <w:rStyle w:val="CharDivNo"/>
        </w:rPr>
        <w:t>4.2</w:t>
      </w:r>
      <w:r w:rsidRPr="00CB21B0">
        <w:t>—</w:t>
      </w:r>
      <w:r w:rsidRPr="00CB21B0">
        <w:rPr>
          <w:rStyle w:val="CharDivText"/>
        </w:rPr>
        <w:t>Supply of hormonal growth promotants</w:t>
      </w:r>
      <w:bookmarkEnd w:id="77"/>
    </w:p>
    <w:p w:rsidR="0092235C" w:rsidRPr="00CB21B0" w:rsidRDefault="00220E6F" w:rsidP="0092235C">
      <w:pPr>
        <w:pStyle w:val="ItemHead"/>
      </w:pPr>
      <w:r w:rsidRPr="00CB21B0">
        <w:t>124</w:t>
      </w:r>
      <w:r w:rsidR="0092235C" w:rsidRPr="00CB21B0">
        <w:t xml:space="preserve">  </w:t>
      </w:r>
      <w:r w:rsidR="002F17A4" w:rsidRPr="00CB21B0">
        <w:t>Paragraph 52(b)</w:t>
      </w:r>
    </w:p>
    <w:p w:rsidR="0092235C" w:rsidRPr="00CB21B0" w:rsidRDefault="002F17A4" w:rsidP="0092235C">
      <w:pPr>
        <w:pStyle w:val="Item"/>
      </w:pPr>
      <w:r w:rsidRPr="00CB21B0">
        <w:t>Omit “Part</w:t>
      </w:r>
      <w:r w:rsidR="00CB21B0" w:rsidRPr="00CB21B0">
        <w:t> </w:t>
      </w:r>
      <w:r w:rsidRPr="00CB21B0">
        <w:t>9 of the Code (which deals with enforcement)”, substitute “Parts</w:t>
      </w:r>
      <w:r w:rsidR="00CB21B0" w:rsidRPr="00CB21B0">
        <w:t> </w:t>
      </w:r>
      <w:r w:rsidRPr="00CB21B0">
        <w:t>9 and 9A of the Code (which deal with investigative powers and enforcement)”.</w:t>
      </w:r>
    </w:p>
    <w:p w:rsidR="00BD40EB" w:rsidRPr="00CB21B0" w:rsidRDefault="00220E6F" w:rsidP="00BD40EB">
      <w:pPr>
        <w:pStyle w:val="ItemHead"/>
      </w:pPr>
      <w:r w:rsidRPr="00CB21B0">
        <w:t>125</w:t>
      </w:r>
      <w:r w:rsidR="00BD40EB" w:rsidRPr="00CB21B0">
        <w:t xml:space="preserve">  Subregulation</w:t>
      </w:r>
      <w:r w:rsidR="00CB21B0" w:rsidRPr="00CB21B0">
        <w:t> </w:t>
      </w:r>
      <w:r w:rsidR="00BD40EB" w:rsidRPr="00CB21B0">
        <w:t>54(2)</w:t>
      </w:r>
    </w:p>
    <w:p w:rsidR="00BD40EB" w:rsidRPr="00CB21B0" w:rsidRDefault="00BD40EB" w:rsidP="00BD40EB">
      <w:pPr>
        <w:pStyle w:val="Item"/>
      </w:pPr>
      <w:r w:rsidRPr="00CB21B0">
        <w:t>Omit “48 (1) (b)”, substitute “48(1)(a)”.</w:t>
      </w:r>
    </w:p>
    <w:p w:rsidR="007920DF" w:rsidRPr="00CB21B0" w:rsidRDefault="00220E6F" w:rsidP="007920DF">
      <w:pPr>
        <w:pStyle w:val="ItemHead"/>
        <w:rPr>
          <w:rFonts w:cs="Arial"/>
        </w:rPr>
      </w:pPr>
      <w:r w:rsidRPr="00CB21B0">
        <w:rPr>
          <w:rFonts w:cs="Arial"/>
        </w:rPr>
        <w:t>126</w:t>
      </w:r>
      <w:r w:rsidR="007920DF" w:rsidRPr="00CB21B0">
        <w:rPr>
          <w:rFonts w:cs="Arial"/>
        </w:rPr>
        <w:t xml:space="preserve">  Regulation</w:t>
      </w:r>
      <w:r w:rsidR="00CB21B0" w:rsidRPr="00CB21B0">
        <w:rPr>
          <w:rFonts w:cs="Arial"/>
        </w:rPr>
        <w:t> </w:t>
      </w:r>
      <w:r w:rsidR="007920DF" w:rsidRPr="00CB21B0">
        <w:rPr>
          <w:rFonts w:cs="Arial"/>
        </w:rPr>
        <w:t>57</w:t>
      </w:r>
    </w:p>
    <w:p w:rsidR="007920DF" w:rsidRPr="00CB21B0" w:rsidRDefault="007920DF" w:rsidP="007920DF">
      <w:pPr>
        <w:pStyle w:val="Item"/>
      </w:pPr>
      <w:r w:rsidRPr="00CB21B0">
        <w:t>Repeal the regulation, substitute:</w:t>
      </w:r>
    </w:p>
    <w:p w:rsidR="007920DF" w:rsidRPr="00CB21B0" w:rsidRDefault="007920DF" w:rsidP="007920DF">
      <w:pPr>
        <w:pStyle w:val="ActHead5"/>
      </w:pPr>
      <w:bookmarkStart w:id="78" w:name="_Toc361055076"/>
      <w:r w:rsidRPr="00CB21B0">
        <w:rPr>
          <w:rStyle w:val="CharSectno"/>
        </w:rPr>
        <w:t>57</w:t>
      </w:r>
      <w:r w:rsidRPr="00CB21B0">
        <w:t xml:space="preserve">  Requirements </w:t>
      </w:r>
      <w:r w:rsidR="00B51DB4" w:rsidRPr="00CB21B0">
        <w:t>for issue of permit on application</w:t>
      </w:r>
      <w:bookmarkEnd w:id="78"/>
    </w:p>
    <w:p w:rsidR="000827A1" w:rsidRPr="00CB21B0" w:rsidRDefault="00E76659" w:rsidP="00FA4E7B">
      <w:pPr>
        <w:pStyle w:val="subsection"/>
      </w:pPr>
      <w:r w:rsidRPr="00CB21B0">
        <w:rPr>
          <w:bCs/>
        </w:rPr>
        <w:tab/>
        <w:t>(</w:t>
      </w:r>
      <w:r w:rsidR="00FA4E7B" w:rsidRPr="00CB21B0">
        <w:rPr>
          <w:bCs/>
        </w:rPr>
        <w:t>1</w:t>
      </w:r>
      <w:r w:rsidRPr="00CB21B0">
        <w:rPr>
          <w:bCs/>
        </w:rPr>
        <w:t>)</w:t>
      </w:r>
      <w:r w:rsidRPr="00CB21B0">
        <w:rPr>
          <w:bCs/>
        </w:rPr>
        <w:tab/>
      </w:r>
      <w:r w:rsidR="000827A1" w:rsidRPr="00CB21B0">
        <w:rPr>
          <w:bCs/>
        </w:rPr>
        <w:t>Subregulation (</w:t>
      </w:r>
      <w:r w:rsidR="00EF2088" w:rsidRPr="00CB21B0">
        <w:rPr>
          <w:bCs/>
        </w:rPr>
        <w:t>2</w:t>
      </w:r>
      <w:r w:rsidR="000827A1" w:rsidRPr="00CB21B0">
        <w:rPr>
          <w:bCs/>
        </w:rPr>
        <w:t xml:space="preserve">) applies to the issue by the APVMA of a permit on application </w:t>
      </w:r>
      <w:r w:rsidR="001A31D6" w:rsidRPr="00CB21B0">
        <w:rPr>
          <w:bCs/>
        </w:rPr>
        <w:t>for</w:t>
      </w:r>
      <w:r w:rsidR="00FA4E7B" w:rsidRPr="00CB21B0">
        <w:rPr>
          <w:bCs/>
        </w:rPr>
        <w:t xml:space="preserve"> a person to do, or omit to</w:t>
      </w:r>
      <w:r w:rsidR="00FD4FBA" w:rsidRPr="00CB21B0">
        <w:rPr>
          <w:bCs/>
        </w:rPr>
        <w:t xml:space="preserve"> do</w:t>
      </w:r>
      <w:r w:rsidR="00FA4E7B" w:rsidRPr="00CB21B0">
        <w:rPr>
          <w:bCs/>
        </w:rPr>
        <w:t>, any</w:t>
      </w:r>
      <w:r w:rsidR="001A31D6" w:rsidRPr="00CB21B0">
        <w:rPr>
          <w:bCs/>
        </w:rPr>
        <w:t xml:space="preserve"> </w:t>
      </w:r>
      <w:r w:rsidR="00FA4E7B" w:rsidRPr="00CB21B0">
        <w:rPr>
          <w:bCs/>
        </w:rPr>
        <w:t xml:space="preserve">thing which would, apart from the permit, be </w:t>
      </w:r>
      <w:r w:rsidR="00FA4E7B" w:rsidRPr="00CB21B0">
        <w:t>an offence against an eligible law of this jurisdiction</w:t>
      </w:r>
      <w:r w:rsidR="000827A1" w:rsidRPr="00CB21B0">
        <w:t>.</w:t>
      </w:r>
    </w:p>
    <w:p w:rsidR="00E76659" w:rsidRPr="00CB21B0" w:rsidRDefault="000827A1" w:rsidP="00FA4E7B">
      <w:pPr>
        <w:pStyle w:val="subsection"/>
        <w:rPr>
          <w:bCs/>
        </w:rPr>
      </w:pPr>
      <w:r w:rsidRPr="00CB21B0">
        <w:rPr>
          <w:bCs/>
        </w:rPr>
        <w:tab/>
        <w:t>(2)</w:t>
      </w:r>
      <w:r w:rsidRPr="00CB21B0">
        <w:rPr>
          <w:bCs/>
        </w:rPr>
        <w:tab/>
        <w:t>For paragraph</w:t>
      </w:r>
      <w:r w:rsidR="00CB21B0" w:rsidRPr="00CB21B0">
        <w:rPr>
          <w:bCs/>
        </w:rPr>
        <w:t> </w:t>
      </w:r>
      <w:r w:rsidRPr="00CB21B0">
        <w:rPr>
          <w:bCs/>
        </w:rPr>
        <w:t xml:space="preserve">112(2)(e) of the Code, </w:t>
      </w:r>
      <w:r w:rsidR="00FA4E7B" w:rsidRPr="00CB21B0">
        <w:t xml:space="preserve">the </w:t>
      </w:r>
      <w:r w:rsidR="00E76659" w:rsidRPr="00CB21B0">
        <w:t>use of the active constituent or chemical product, as proposed in the application for the issue of the permit</w:t>
      </w:r>
      <w:r w:rsidR="00EE60E3" w:rsidRPr="00CB21B0">
        <w:t>,</w:t>
      </w:r>
      <w:r w:rsidR="00E76659" w:rsidRPr="00CB21B0">
        <w:t xml:space="preserve"> must be:</w:t>
      </w:r>
    </w:p>
    <w:p w:rsidR="007920DF" w:rsidRPr="00CB21B0" w:rsidRDefault="00FA4E7B" w:rsidP="00FA4E7B">
      <w:pPr>
        <w:pStyle w:val="paragraph"/>
      </w:pPr>
      <w:r w:rsidRPr="00CB21B0">
        <w:tab/>
      </w:r>
      <w:r w:rsidR="007920DF" w:rsidRPr="00CB21B0">
        <w:t>(a)</w:t>
      </w:r>
      <w:r w:rsidR="007920DF" w:rsidRPr="00CB21B0">
        <w:tab/>
        <w:t>a minor use; or</w:t>
      </w:r>
    </w:p>
    <w:p w:rsidR="007920DF" w:rsidRPr="00CB21B0" w:rsidRDefault="007920DF" w:rsidP="00FA4E7B">
      <w:pPr>
        <w:pStyle w:val="paragraph"/>
      </w:pPr>
      <w:r w:rsidRPr="00CB21B0">
        <w:tab/>
        <w:t>(b)</w:t>
      </w:r>
      <w:r w:rsidRPr="00CB21B0">
        <w:tab/>
        <w:t>an emergency use; or</w:t>
      </w:r>
    </w:p>
    <w:p w:rsidR="0051716D" w:rsidRPr="00CB21B0" w:rsidRDefault="007920DF" w:rsidP="00FA4E7B">
      <w:pPr>
        <w:pStyle w:val="paragraph"/>
      </w:pPr>
      <w:r w:rsidRPr="00CB21B0">
        <w:tab/>
        <w:t>(c)</w:t>
      </w:r>
      <w:r w:rsidRPr="00CB21B0">
        <w:tab/>
      </w:r>
      <w:r w:rsidR="00EE60E3" w:rsidRPr="00CB21B0">
        <w:t>for</w:t>
      </w:r>
      <w:r w:rsidRPr="00CB21B0">
        <w:t xml:space="preserve"> the purpose of research</w:t>
      </w:r>
      <w:r w:rsidR="00422D47" w:rsidRPr="00CB21B0">
        <w:t>.</w:t>
      </w:r>
    </w:p>
    <w:p w:rsidR="00422D47" w:rsidRPr="00CB21B0" w:rsidRDefault="00422D47" w:rsidP="00422D47">
      <w:pPr>
        <w:pStyle w:val="notetext"/>
      </w:pPr>
      <w:r w:rsidRPr="00CB21B0">
        <w:t>Note:</w:t>
      </w:r>
      <w:r w:rsidRPr="00CB21B0">
        <w:tab/>
        <w:t xml:space="preserve">Subregulation (2) does not affect permits issued </w:t>
      </w:r>
      <w:r w:rsidR="006D2051" w:rsidRPr="00CB21B0">
        <w:t>in relation to an</w:t>
      </w:r>
      <w:r w:rsidRPr="00CB21B0">
        <w:t xml:space="preserve"> offence </w:t>
      </w:r>
      <w:r w:rsidR="006D2051" w:rsidRPr="00CB21B0">
        <w:t xml:space="preserve">mentioned in </w:t>
      </w:r>
      <w:r w:rsidRPr="00CB21B0">
        <w:t>paragraph</w:t>
      </w:r>
      <w:r w:rsidR="00CB21B0" w:rsidRPr="00CB21B0">
        <w:t> </w:t>
      </w:r>
      <w:r w:rsidRPr="00CB21B0">
        <w:t xml:space="preserve">109(a) </w:t>
      </w:r>
      <w:r w:rsidR="006D2051" w:rsidRPr="00CB21B0">
        <w:t>of the Code or a contravention mentioned in paragraph</w:t>
      </w:r>
      <w:r w:rsidR="00CB21B0" w:rsidRPr="00CB21B0">
        <w:t> </w:t>
      </w:r>
      <w:r w:rsidR="006D2051" w:rsidRPr="00CB21B0">
        <w:t>109(c) of the Code</w:t>
      </w:r>
      <w:r w:rsidRPr="00CB21B0">
        <w:t>.</w:t>
      </w:r>
    </w:p>
    <w:p w:rsidR="00F322D2" w:rsidRPr="00CB21B0" w:rsidRDefault="00F322D2" w:rsidP="0051716D">
      <w:pPr>
        <w:pStyle w:val="subsection"/>
      </w:pPr>
      <w:r w:rsidRPr="00CB21B0">
        <w:lastRenderedPageBreak/>
        <w:tab/>
        <w:t>(3)</w:t>
      </w:r>
      <w:r w:rsidRPr="00CB21B0">
        <w:tab/>
      </w:r>
      <w:r w:rsidR="00FA4E7B" w:rsidRPr="00CB21B0">
        <w:t>For paragraph</w:t>
      </w:r>
      <w:r w:rsidR="00CB21B0" w:rsidRPr="00CB21B0">
        <w:t> </w:t>
      </w:r>
      <w:r w:rsidR="00FA4E7B" w:rsidRPr="00CB21B0">
        <w:t>112(2)(</w:t>
      </w:r>
      <w:r w:rsidR="00EF2088" w:rsidRPr="00CB21B0">
        <w:t>e</w:t>
      </w:r>
      <w:r w:rsidR="00FA4E7B" w:rsidRPr="00CB21B0">
        <w:t xml:space="preserve">) of the Code, if </w:t>
      </w:r>
      <w:r w:rsidR="000827A1" w:rsidRPr="00CB21B0">
        <w:t>the</w:t>
      </w:r>
      <w:r w:rsidRPr="00CB21B0">
        <w:t xml:space="preserve"> permit </w:t>
      </w:r>
      <w:r w:rsidR="001A31D6" w:rsidRPr="00CB21B0">
        <w:t>is issued for</w:t>
      </w:r>
      <w:r w:rsidRPr="00CB21B0">
        <w:t xml:space="preserve"> a person to do, or omit to do, any</w:t>
      </w:r>
      <w:r w:rsidR="001A31D6" w:rsidRPr="00CB21B0">
        <w:t xml:space="preserve"> </w:t>
      </w:r>
      <w:r w:rsidRPr="00CB21B0">
        <w:t>thing which would, apart from the permit, be:</w:t>
      </w:r>
    </w:p>
    <w:p w:rsidR="00F322D2" w:rsidRPr="00CB21B0" w:rsidRDefault="00F322D2" w:rsidP="00F322D2">
      <w:pPr>
        <w:pStyle w:val="paragraph"/>
      </w:pPr>
      <w:r w:rsidRPr="00CB21B0">
        <w:tab/>
        <w:t>(a)</w:t>
      </w:r>
      <w:r w:rsidRPr="00CB21B0">
        <w:tab/>
        <w:t>an offence against section</w:t>
      </w:r>
      <w:r w:rsidR="00CB21B0" w:rsidRPr="00CB21B0">
        <w:t> </w:t>
      </w:r>
      <w:r w:rsidRPr="00CB21B0">
        <w:t>121 of the Code; or</w:t>
      </w:r>
    </w:p>
    <w:p w:rsidR="00F322D2" w:rsidRPr="00CB21B0" w:rsidRDefault="00F322D2" w:rsidP="00F322D2">
      <w:pPr>
        <w:pStyle w:val="paragraph"/>
      </w:pPr>
      <w:r w:rsidRPr="00CB21B0">
        <w:tab/>
        <w:t>(b)</w:t>
      </w:r>
      <w:r w:rsidRPr="00CB21B0">
        <w:tab/>
        <w:t xml:space="preserve">a contravention of the civil penalty provision referred to in </w:t>
      </w:r>
      <w:r w:rsidR="00477E76" w:rsidRPr="00CB21B0">
        <w:t>section</w:t>
      </w:r>
      <w:r w:rsidR="00CB21B0" w:rsidRPr="00CB21B0">
        <w:t> </w:t>
      </w:r>
      <w:r w:rsidR="00477E76" w:rsidRPr="00CB21B0">
        <w:t>121 of the Code</w:t>
      </w:r>
      <w:r w:rsidRPr="00CB21B0">
        <w:t>;</w:t>
      </w:r>
    </w:p>
    <w:p w:rsidR="007920DF" w:rsidRPr="00CB21B0" w:rsidRDefault="00F322D2" w:rsidP="00477E76">
      <w:pPr>
        <w:pStyle w:val="subsection2"/>
      </w:pPr>
      <w:r w:rsidRPr="00CB21B0">
        <w:t>the permit must be expressed to be in force for a period of not more than 90 days.</w:t>
      </w:r>
    </w:p>
    <w:p w:rsidR="008E55EB" w:rsidRPr="00CB21B0" w:rsidRDefault="008E55EB" w:rsidP="008E55EB">
      <w:pPr>
        <w:pStyle w:val="ActHead5"/>
      </w:pPr>
      <w:bookmarkStart w:id="79" w:name="_Toc361055077"/>
      <w:r w:rsidRPr="00CB21B0">
        <w:rPr>
          <w:rStyle w:val="CharSectno"/>
        </w:rPr>
        <w:t>57A</w:t>
      </w:r>
      <w:r w:rsidRPr="00CB21B0">
        <w:t xml:space="preserve">  Requirements </w:t>
      </w:r>
      <w:r w:rsidR="00B51DB4" w:rsidRPr="00CB21B0">
        <w:t xml:space="preserve">for issue of permit </w:t>
      </w:r>
      <w:r w:rsidRPr="00CB21B0">
        <w:t>on APVMA’s own initiative</w:t>
      </w:r>
      <w:bookmarkEnd w:id="79"/>
    </w:p>
    <w:p w:rsidR="00F322D2" w:rsidRPr="00CB21B0" w:rsidRDefault="008E55EB" w:rsidP="00F322D2">
      <w:pPr>
        <w:pStyle w:val="subsection"/>
      </w:pPr>
      <w:r w:rsidRPr="00CB21B0">
        <w:tab/>
      </w:r>
      <w:r w:rsidR="00F322D2" w:rsidRPr="00CB21B0">
        <w:tab/>
      </w:r>
      <w:r w:rsidR="00FA4E7B" w:rsidRPr="00CB21B0">
        <w:t xml:space="preserve">For </w:t>
      </w:r>
      <w:r w:rsidR="000827A1" w:rsidRPr="00CB21B0">
        <w:t>paragraph</w:t>
      </w:r>
      <w:r w:rsidR="00CB21B0" w:rsidRPr="00CB21B0">
        <w:t> </w:t>
      </w:r>
      <w:r w:rsidR="000827A1" w:rsidRPr="00CB21B0">
        <w:t>112A(2)(b) of the Code, i</w:t>
      </w:r>
      <w:r w:rsidR="00F322D2" w:rsidRPr="00CB21B0">
        <w:t xml:space="preserve">f </w:t>
      </w:r>
      <w:r w:rsidR="00FA4E7B" w:rsidRPr="00CB21B0">
        <w:t>a</w:t>
      </w:r>
      <w:r w:rsidR="00F322D2" w:rsidRPr="00CB21B0">
        <w:t xml:space="preserve"> permit </w:t>
      </w:r>
      <w:r w:rsidR="000827A1" w:rsidRPr="00CB21B0">
        <w:t xml:space="preserve">issued by the APVMA on its own initiative </w:t>
      </w:r>
      <w:r w:rsidR="00F322D2" w:rsidRPr="00CB21B0">
        <w:t>would permit a person to do, or omit to do, any</w:t>
      </w:r>
      <w:r w:rsidR="001A31D6" w:rsidRPr="00CB21B0">
        <w:t xml:space="preserve"> </w:t>
      </w:r>
      <w:r w:rsidR="00F322D2" w:rsidRPr="00CB21B0">
        <w:t>thing which would, apart from the permit, be:</w:t>
      </w:r>
    </w:p>
    <w:p w:rsidR="00F322D2" w:rsidRPr="00CB21B0" w:rsidRDefault="00F322D2" w:rsidP="00F322D2">
      <w:pPr>
        <w:pStyle w:val="paragraph"/>
      </w:pPr>
      <w:r w:rsidRPr="00CB21B0">
        <w:tab/>
        <w:t>(a)</w:t>
      </w:r>
      <w:r w:rsidRPr="00CB21B0">
        <w:tab/>
        <w:t>an offence against section</w:t>
      </w:r>
      <w:r w:rsidR="00CB21B0" w:rsidRPr="00CB21B0">
        <w:t> </w:t>
      </w:r>
      <w:r w:rsidRPr="00CB21B0">
        <w:t>121 of the Code; or</w:t>
      </w:r>
    </w:p>
    <w:p w:rsidR="00F322D2" w:rsidRPr="00CB21B0" w:rsidRDefault="00F322D2" w:rsidP="00F322D2">
      <w:pPr>
        <w:pStyle w:val="paragraph"/>
      </w:pPr>
      <w:r w:rsidRPr="00CB21B0">
        <w:tab/>
        <w:t>(b)</w:t>
      </w:r>
      <w:r w:rsidRPr="00CB21B0">
        <w:tab/>
        <w:t>a contravention of the civil penalty provision referred to in section</w:t>
      </w:r>
      <w:r w:rsidR="00CB21B0" w:rsidRPr="00CB21B0">
        <w:t> </w:t>
      </w:r>
      <w:r w:rsidR="00477E76" w:rsidRPr="00CB21B0">
        <w:t>12</w:t>
      </w:r>
      <w:r w:rsidR="00183116" w:rsidRPr="00CB21B0">
        <w:t>1</w:t>
      </w:r>
      <w:r w:rsidR="00477E76" w:rsidRPr="00CB21B0">
        <w:t xml:space="preserve"> of the Code</w:t>
      </w:r>
      <w:r w:rsidRPr="00CB21B0">
        <w:t>;</w:t>
      </w:r>
    </w:p>
    <w:p w:rsidR="000A0338" w:rsidRPr="00CB21B0" w:rsidRDefault="00F322D2" w:rsidP="00CB02C7">
      <w:pPr>
        <w:pStyle w:val="subsection2"/>
      </w:pPr>
      <w:r w:rsidRPr="00CB21B0">
        <w:t>the permit must be expressed to be in force for a period of not more than 90 days.</w:t>
      </w:r>
    </w:p>
    <w:p w:rsidR="007920DF" w:rsidRPr="00CB21B0" w:rsidRDefault="007920DF" w:rsidP="007920DF">
      <w:pPr>
        <w:pStyle w:val="ActHead5"/>
      </w:pPr>
      <w:bookmarkStart w:id="80" w:name="_Toc361055078"/>
      <w:r w:rsidRPr="00CB21B0">
        <w:rPr>
          <w:rStyle w:val="CharSectno"/>
        </w:rPr>
        <w:t>57B</w:t>
      </w:r>
      <w:r w:rsidRPr="00CB21B0">
        <w:t xml:space="preserve">  </w:t>
      </w:r>
      <w:r w:rsidR="006D2051" w:rsidRPr="00CB21B0">
        <w:t>Duration of</w:t>
      </w:r>
      <w:r w:rsidRPr="00CB21B0">
        <w:t xml:space="preserve"> permit</w:t>
      </w:r>
      <w:r w:rsidR="006D2051" w:rsidRPr="00CB21B0">
        <w:t>—extension for further period</w:t>
      </w:r>
      <w:bookmarkEnd w:id="80"/>
    </w:p>
    <w:p w:rsidR="007920DF" w:rsidRPr="00CB21B0" w:rsidRDefault="007920DF" w:rsidP="007920DF">
      <w:pPr>
        <w:pStyle w:val="subsection"/>
      </w:pPr>
      <w:r w:rsidRPr="00CB21B0">
        <w:tab/>
      </w:r>
      <w:r w:rsidRPr="00CB21B0">
        <w:tab/>
        <w:t>For paragraph</w:t>
      </w:r>
      <w:r w:rsidR="00CB21B0" w:rsidRPr="00CB21B0">
        <w:t> </w:t>
      </w:r>
      <w:r w:rsidRPr="00CB21B0">
        <w:t>115(3A)(b) of the Code, the APVMA must be satisfied that:</w:t>
      </w:r>
    </w:p>
    <w:p w:rsidR="007920DF" w:rsidRPr="00CB21B0" w:rsidRDefault="007920DF" w:rsidP="007920DF">
      <w:pPr>
        <w:pStyle w:val="paragraph"/>
      </w:pPr>
      <w:r w:rsidRPr="00CB21B0">
        <w:tab/>
        <w:t>(a)</w:t>
      </w:r>
      <w:r w:rsidRPr="00CB21B0">
        <w:tab/>
        <w:t>the requirements mentioned in paragraphs 112(2)(e) and (f) of the Code will continue to be met in respect of the permit; and</w:t>
      </w:r>
    </w:p>
    <w:p w:rsidR="007920DF" w:rsidRPr="00CB21B0" w:rsidRDefault="007920DF" w:rsidP="007920DF">
      <w:pPr>
        <w:pStyle w:val="paragraph"/>
      </w:pPr>
      <w:r w:rsidRPr="00CB21B0">
        <w:tab/>
        <w:t>(b)</w:t>
      </w:r>
      <w:r w:rsidRPr="00CB21B0">
        <w:tab/>
        <w:t xml:space="preserve">for a permit in respect of an active constituent where the APVMA considers that its assessment </w:t>
      </w:r>
      <w:r w:rsidR="003D60CF" w:rsidRPr="00CB21B0">
        <w:t>for</w:t>
      </w:r>
      <w:r w:rsidRPr="00CB21B0">
        <w:t xml:space="preserve"> paragraph</w:t>
      </w:r>
      <w:r w:rsidR="00CB21B0" w:rsidRPr="00CB21B0">
        <w:t> </w:t>
      </w:r>
      <w:r w:rsidRPr="00CB21B0">
        <w:t>112(2)(c) of the Code in relation to the issue of the permit is no longer valid—that the requirement mentioned in paragraph</w:t>
      </w:r>
      <w:r w:rsidR="00CB21B0" w:rsidRPr="00CB21B0">
        <w:t> </w:t>
      </w:r>
      <w:r w:rsidRPr="00CB21B0">
        <w:t>112(2)(c) of the Code is met in respect of the permit;</w:t>
      </w:r>
      <w:r w:rsidR="00FD4FBA" w:rsidRPr="00CB21B0">
        <w:t xml:space="preserve"> and</w:t>
      </w:r>
    </w:p>
    <w:p w:rsidR="007920DF" w:rsidRPr="00CB21B0" w:rsidRDefault="007920DF" w:rsidP="007920DF">
      <w:pPr>
        <w:pStyle w:val="paragraph"/>
      </w:pPr>
      <w:r w:rsidRPr="00CB21B0">
        <w:tab/>
        <w:t>(c)</w:t>
      </w:r>
      <w:r w:rsidRPr="00CB21B0">
        <w:tab/>
        <w:t xml:space="preserve">for a permit in respect of a chemical product where the APVMA considers that its assessment </w:t>
      </w:r>
      <w:r w:rsidR="003D60CF" w:rsidRPr="00CB21B0">
        <w:t>for</w:t>
      </w:r>
      <w:r w:rsidRPr="00CB21B0">
        <w:t xml:space="preserve"> paragraph</w:t>
      </w:r>
      <w:r w:rsidR="00CB21B0" w:rsidRPr="00CB21B0">
        <w:t> </w:t>
      </w:r>
      <w:r w:rsidRPr="00CB21B0">
        <w:t>112(2)(d) of the Code in relation to the issue of the permit is no longer valid—that the requirement mentioned in paragraph</w:t>
      </w:r>
      <w:r w:rsidR="00CB21B0" w:rsidRPr="00CB21B0">
        <w:t> </w:t>
      </w:r>
      <w:r w:rsidRPr="00CB21B0">
        <w:t>112(2)(d) of the Code is met in respect of the permit;</w:t>
      </w:r>
      <w:r w:rsidR="00FD4FBA" w:rsidRPr="00CB21B0">
        <w:t xml:space="preserve"> and</w:t>
      </w:r>
    </w:p>
    <w:p w:rsidR="007920DF" w:rsidRPr="00CB21B0" w:rsidRDefault="007920DF" w:rsidP="007920DF">
      <w:pPr>
        <w:pStyle w:val="paragraph"/>
      </w:pPr>
      <w:r w:rsidRPr="00CB21B0">
        <w:lastRenderedPageBreak/>
        <w:tab/>
        <w:t>(d)</w:t>
      </w:r>
      <w:r w:rsidRPr="00CB21B0">
        <w:tab/>
      </w:r>
      <w:r w:rsidR="00FC7176" w:rsidRPr="00CB21B0">
        <w:t>t</w:t>
      </w:r>
      <w:r w:rsidRPr="00CB21B0">
        <w:t>he holder will continue to be able to comply with the conditions of the permit unless the APVMA is satisfied that special circumstances ma</w:t>
      </w:r>
      <w:r w:rsidR="003D60CF" w:rsidRPr="00CB21B0">
        <w:t>k</w:t>
      </w:r>
      <w:r w:rsidRPr="00CB21B0">
        <w:t xml:space="preserve">e the extension </w:t>
      </w:r>
      <w:r w:rsidR="00D4087C" w:rsidRPr="00CB21B0">
        <w:t xml:space="preserve">for a further period </w:t>
      </w:r>
      <w:r w:rsidRPr="00CB21B0">
        <w:t>appropriate despite this requirement not being met; and</w:t>
      </w:r>
    </w:p>
    <w:p w:rsidR="007920DF" w:rsidRPr="00CB21B0" w:rsidRDefault="007920DF" w:rsidP="007920DF">
      <w:pPr>
        <w:pStyle w:val="paragraph"/>
      </w:pPr>
      <w:r w:rsidRPr="00CB21B0">
        <w:tab/>
        <w:t>(e)</w:t>
      </w:r>
      <w:r w:rsidRPr="00CB21B0">
        <w:tab/>
        <w:t xml:space="preserve">none of </w:t>
      </w:r>
      <w:r w:rsidR="001A31D6" w:rsidRPr="00CB21B0">
        <w:t>sub</w:t>
      </w:r>
      <w:r w:rsidRPr="00CB21B0">
        <w:t>paragraphs</w:t>
      </w:r>
      <w:r w:rsidR="00CB21B0" w:rsidRPr="00CB21B0">
        <w:t> </w:t>
      </w:r>
      <w:r w:rsidRPr="00CB21B0">
        <w:t>112(4)</w:t>
      </w:r>
      <w:r w:rsidR="001A31D6" w:rsidRPr="00CB21B0">
        <w:t>(b)</w:t>
      </w:r>
      <w:r w:rsidRPr="00CB21B0">
        <w:t xml:space="preserve">(iv) to (xi) </w:t>
      </w:r>
      <w:r w:rsidR="001A31D6" w:rsidRPr="00CB21B0">
        <w:t xml:space="preserve">of the Code </w:t>
      </w:r>
      <w:r w:rsidRPr="00CB21B0">
        <w:t>applies to:</w:t>
      </w:r>
    </w:p>
    <w:p w:rsidR="001A31D6" w:rsidRPr="00CB21B0" w:rsidRDefault="001A31D6" w:rsidP="001A31D6">
      <w:pPr>
        <w:pStyle w:val="paragraphsub"/>
      </w:pPr>
      <w:r w:rsidRPr="00CB21B0">
        <w:tab/>
        <w:t>(i)</w:t>
      </w:r>
      <w:r w:rsidRPr="00CB21B0">
        <w:tab/>
        <w:t>the holder; or</w:t>
      </w:r>
    </w:p>
    <w:p w:rsidR="001A31D6" w:rsidRPr="00CB21B0" w:rsidRDefault="001A31D6" w:rsidP="001A31D6">
      <w:pPr>
        <w:pStyle w:val="paragraphsub"/>
      </w:pPr>
      <w:r w:rsidRPr="00CB21B0">
        <w:tab/>
        <w:t>(ii)</w:t>
      </w:r>
      <w:r w:rsidRPr="00CB21B0">
        <w:tab/>
        <w:t>any other person who makes, or participates in making, decisions that affect the whole, or a substantial part, of the holder’s affairs; or</w:t>
      </w:r>
    </w:p>
    <w:p w:rsidR="001A31D6" w:rsidRPr="00CB21B0" w:rsidRDefault="001A31D6" w:rsidP="001A31D6">
      <w:pPr>
        <w:pStyle w:val="paragraphsub"/>
      </w:pPr>
      <w:r w:rsidRPr="00CB21B0">
        <w:tab/>
        <w:t>(iii)</w:t>
      </w:r>
      <w:r w:rsidRPr="00CB21B0">
        <w:tab/>
        <w:t>if the holder is a body corporate—a major interest holder of the body corporate;</w:t>
      </w:r>
    </w:p>
    <w:p w:rsidR="007920DF" w:rsidRPr="00CB21B0" w:rsidRDefault="007920DF" w:rsidP="001A31D6">
      <w:pPr>
        <w:pStyle w:val="paragraph"/>
      </w:pPr>
      <w:r w:rsidRPr="00CB21B0">
        <w:tab/>
      </w:r>
      <w:r w:rsidRPr="00CB21B0">
        <w:tab/>
        <w:t>unless the APVMA is satisfied that special circumstances ma</w:t>
      </w:r>
      <w:r w:rsidR="003D60CF" w:rsidRPr="00CB21B0">
        <w:t>k</w:t>
      </w:r>
      <w:r w:rsidRPr="00CB21B0">
        <w:t xml:space="preserve">e the extension </w:t>
      </w:r>
      <w:r w:rsidR="00D4087C" w:rsidRPr="00CB21B0">
        <w:t xml:space="preserve">for a further period </w:t>
      </w:r>
      <w:r w:rsidRPr="00CB21B0">
        <w:t>appropriate despite this requirement not being met; and</w:t>
      </w:r>
    </w:p>
    <w:p w:rsidR="007920DF" w:rsidRPr="00CB21B0" w:rsidRDefault="007920DF" w:rsidP="007920DF">
      <w:pPr>
        <w:pStyle w:val="paragraph"/>
      </w:pPr>
      <w:r w:rsidRPr="00CB21B0">
        <w:tab/>
        <w:t>(f)</w:t>
      </w:r>
      <w:r w:rsidRPr="00CB21B0">
        <w:tab/>
        <w:t>the permit is not a permit to which paragraph</w:t>
      </w:r>
      <w:r w:rsidR="00CB21B0" w:rsidRPr="00CB21B0">
        <w:t> </w:t>
      </w:r>
      <w:r w:rsidRPr="00CB21B0">
        <w:t>112(2)(g) of the Code applied at the time the permit was issued; and</w:t>
      </w:r>
    </w:p>
    <w:p w:rsidR="00FC7176" w:rsidRPr="00CB21B0" w:rsidRDefault="00FC7176" w:rsidP="007920DF">
      <w:pPr>
        <w:pStyle w:val="paragraph"/>
      </w:pPr>
      <w:r w:rsidRPr="00CB21B0">
        <w:tab/>
        <w:t>(g)</w:t>
      </w:r>
      <w:r w:rsidRPr="00CB21B0">
        <w:tab/>
        <w:t>the permit is not a permit that was taken to have been issued under section</w:t>
      </w:r>
      <w:r w:rsidR="00CB21B0" w:rsidRPr="00CB21B0">
        <w:t> </w:t>
      </w:r>
      <w:r w:rsidRPr="00CB21B0">
        <w:t>45B or 47D of the Code; and</w:t>
      </w:r>
    </w:p>
    <w:p w:rsidR="007920DF" w:rsidRPr="00CB21B0" w:rsidRDefault="007920DF" w:rsidP="00D21C87">
      <w:pPr>
        <w:pStyle w:val="paragraph"/>
      </w:pPr>
      <w:r w:rsidRPr="00CB21B0">
        <w:tab/>
        <w:t>(</w:t>
      </w:r>
      <w:r w:rsidR="00FC7176" w:rsidRPr="00CB21B0">
        <w:t>h</w:t>
      </w:r>
      <w:r w:rsidRPr="00CB21B0">
        <w:t>)</w:t>
      </w:r>
      <w:r w:rsidRPr="00CB21B0">
        <w:tab/>
        <w:t>if an application has not been made by any person for variation of a relevant particular or condition of approval or registration for the active constituent or chemical product in respect to which the permit is issued—that there are reasonable grounds for the application not having been made.</w:t>
      </w:r>
    </w:p>
    <w:p w:rsidR="007920DF" w:rsidRPr="00CB21B0" w:rsidRDefault="00220E6F" w:rsidP="007920DF">
      <w:pPr>
        <w:pStyle w:val="ItemHead"/>
        <w:rPr>
          <w:rFonts w:cs="Arial"/>
        </w:rPr>
      </w:pPr>
      <w:r w:rsidRPr="00CB21B0">
        <w:rPr>
          <w:rFonts w:cs="Arial"/>
          <w:noProof/>
        </w:rPr>
        <w:t>127</w:t>
      </w:r>
      <w:r w:rsidR="007920DF" w:rsidRPr="00CB21B0">
        <w:rPr>
          <w:rFonts w:cs="Arial"/>
        </w:rPr>
        <w:t xml:space="preserve">  Regulation</w:t>
      </w:r>
      <w:r w:rsidR="00CB21B0" w:rsidRPr="00CB21B0">
        <w:rPr>
          <w:rFonts w:cs="Arial"/>
        </w:rPr>
        <w:t> </w:t>
      </w:r>
      <w:r w:rsidR="007920DF" w:rsidRPr="00CB21B0">
        <w:rPr>
          <w:rFonts w:cs="Arial"/>
        </w:rPr>
        <w:t>58</w:t>
      </w:r>
    </w:p>
    <w:p w:rsidR="007920DF" w:rsidRPr="00CB21B0" w:rsidRDefault="007920DF" w:rsidP="007920DF">
      <w:pPr>
        <w:pStyle w:val="Item"/>
      </w:pPr>
      <w:r w:rsidRPr="00CB21B0">
        <w:t>Repeal the regulation.</w:t>
      </w:r>
    </w:p>
    <w:p w:rsidR="007920DF" w:rsidRPr="00CB21B0" w:rsidRDefault="00220E6F" w:rsidP="007920DF">
      <w:pPr>
        <w:pStyle w:val="ItemHead"/>
        <w:rPr>
          <w:rFonts w:cs="Arial"/>
        </w:rPr>
      </w:pPr>
      <w:r w:rsidRPr="00CB21B0">
        <w:rPr>
          <w:rFonts w:cs="Arial"/>
        </w:rPr>
        <w:t>128</w:t>
      </w:r>
      <w:r w:rsidR="007920DF" w:rsidRPr="00CB21B0">
        <w:rPr>
          <w:rFonts w:cs="Arial"/>
        </w:rPr>
        <w:t xml:space="preserve">  Regulation</w:t>
      </w:r>
      <w:r w:rsidR="00CB21B0" w:rsidRPr="00CB21B0">
        <w:rPr>
          <w:rFonts w:cs="Arial"/>
        </w:rPr>
        <w:t> </w:t>
      </w:r>
      <w:r w:rsidR="007920DF" w:rsidRPr="00CB21B0">
        <w:rPr>
          <w:rFonts w:cs="Arial"/>
        </w:rPr>
        <w:t>59C(1)</w:t>
      </w:r>
    </w:p>
    <w:p w:rsidR="007920DF" w:rsidRPr="00CB21B0" w:rsidRDefault="007920DF" w:rsidP="007920DF">
      <w:pPr>
        <w:pStyle w:val="Item"/>
      </w:pPr>
      <w:r w:rsidRPr="00CB21B0">
        <w:t>Omit “The legal personal representative”, substitute “For paragraph</w:t>
      </w:r>
      <w:r w:rsidR="00CB21B0" w:rsidRPr="00CB21B0">
        <w:t> </w:t>
      </w:r>
      <w:r w:rsidRPr="00CB21B0">
        <w:t>121(4)(a) of the Code, the legal personal representative”.</w:t>
      </w:r>
    </w:p>
    <w:p w:rsidR="007920DF" w:rsidRPr="00CB21B0" w:rsidRDefault="00220E6F" w:rsidP="007920DF">
      <w:pPr>
        <w:pStyle w:val="ItemHead"/>
        <w:rPr>
          <w:rFonts w:cs="Arial"/>
        </w:rPr>
      </w:pPr>
      <w:r w:rsidRPr="00CB21B0">
        <w:rPr>
          <w:rFonts w:cs="Arial"/>
        </w:rPr>
        <w:t>129</w:t>
      </w:r>
      <w:r w:rsidR="007920DF" w:rsidRPr="00CB21B0">
        <w:rPr>
          <w:rFonts w:cs="Arial"/>
        </w:rPr>
        <w:t xml:space="preserve">  Regulation</w:t>
      </w:r>
      <w:r w:rsidR="00CB21B0" w:rsidRPr="00CB21B0">
        <w:rPr>
          <w:rFonts w:cs="Arial"/>
        </w:rPr>
        <w:t> </w:t>
      </w:r>
      <w:r w:rsidR="007920DF" w:rsidRPr="00CB21B0">
        <w:rPr>
          <w:rFonts w:cs="Arial"/>
        </w:rPr>
        <w:t>59D(1)</w:t>
      </w:r>
    </w:p>
    <w:p w:rsidR="007920DF" w:rsidRPr="00CB21B0" w:rsidRDefault="007920DF" w:rsidP="007920DF">
      <w:pPr>
        <w:pStyle w:val="Item"/>
      </w:pPr>
      <w:r w:rsidRPr="00CB21B0">
        <w:t>Omit “A person who”, substitute “For paragraph</w:t>
      </w:r>
      <w:r w:rsidR="00CB21B0" w:rsidRPr="00CB21B0">
        <w:t> </w:t>
      </w:r>
      <w:r w:rsidRPr="00CB21B0">
        <w:t>121(4)(a) of the Code, a person who”.</w:t>
      </w:r>
    </w:p>
    <w:p w:rsidR="00FC7176" w:rsidRPr="00CB21B0" w:rsidRDefault="00220E6F" w:rsidP="00FC7176">
      <w:pPr>
        <w:pStyle w:val="ItemHead"/>
      </w:pPr>
      <w:r w:rsidRPr="00CB21B0">
        <w:lastRenderedPageBreak/>
        <w:t>130</w:t>
      </w:r>
      <w:r w:rsidR="00FC7176" w:rsidRPr="00CB21B0">
        <w:t xml:space="preserve">  Regulation</w:t>
      </w:r>
      <w:r w:rsidR="00CB21B0" w:rsidRPr="00CB21B0">
        <w:t> </w:t>
      </w:r>
      <w:r w:rsidR="00FC7176" w:rsidRPr="00CB21B0">
        <w:t>59E</w:t>
      </w:r>
    </w:p>
    <w:p w:rsidR="00FC7176" w:rsidRPr="00CB21B0" w:rsidRDefault="00FC7176" w:rsidP="00FC7176">
      <w:pPr>
        <w:pStyle w:val="Item"/>
      </w:pPr>
      <w:r w:rsidRPr="00CB21B0">
        <w:t>Omit “It is a requirement”, substitute “For paragraph</w:t>
      </w:r>
      <w:r w:rsidR="00CB21B0" w:rsidRPr="00CB21B0">
        <w:t> </w:t>
      </w:r>
      <w:r w:rsidRPr="00CB21B0">
        <w:t>123(1)(b) of the Code, it is a requirement”.</w:t>
      </w:r>
    </w:p>
    <w:p w:rsidR="007920DF" w:rsidRPr="00CB21B0" w:rsidRDefault="00220E6F" w:rsidP="00C208BC">
      <w:pPr>
        <w:pStyle w:val="ItemHead"/>
      </w:pPr>
      <w:r w:rsidRPr="00CB21B0">
        <w:t>131</w:t>
      </w:r>
      <w:r w:rsidR="007920DF" w:rsidRPr="00CB21B0">
        <w:t xml:space="preserve">  Regulation</w:t>
      </w:r>
      <w:r w:rsidR="00CB21B0" w:rsidRPr="00CB21B0">
        <w:t> </w:t>
      </w:r>
      <w:r w:rsidR="007920DF" w:rsidRPr="00CB21B0">
        <w:t>63</w:t>
      </w:r>
    </w:p>
    <w:p w:rsidR="007920DF" w:rsidRPr="00CB21B0" w:rsidRDefault="007920DF" w:rsidP="007920DF">
      <w:pPr>
        <w:pStyle w:val="Item"/>
      </w:pPr>
      <w:r w:rsidRPr="00CB21B0">
        <w:t>Repeal the regulation, substitute:</w:t>
      </w:r>
    </w:p>
    <w:p w:rsidR="007920DF" w:rsidRPr="00CB21B0" w:rsidRDefault="007920DF" w:rsidP="007920DF">
      <w:pPr>
        <w:pStyle w:val="ActHead5"/>
      </w:pPr>
      <w:bookmarkStart w:id="81" w:name="_Toc361055079"/>
      <w:r w:rsidRPr="00CB21B0">
        <w:rPr>
          <w:rStyle w:val="CharSectno"/>
        </w:rPr>
        <w:t>63</w:t>
      </w:r>
      <w:r w:rsidRPr="00CB21B0">
        <w:t xml:space="preserve">  Method of securing samples</w:t>
      </w:r>
      <w:bookmarkEnd w:id="81"/>
    </w:p>
    <w:p w:rsidR="0077465D" w:rsidRPr="00CB21B0" w:rsidRDefault="007920DF" w:rsidP="0077465D">
      <w:pPr>
        <w:pStyle w:val="subsection"/>
      </w:pPr>
      <w:r w:rsidRPr="00CB21B0">
        <w:rPr>
          <w:bCs/>
        </w:rPr>
        <w:tab/>
        <w:t>(1)</w:t>
      </w:r>
      <w:r w:rsidRPr="00CB21B0">
        <w:rPr>
          <w:bCs/>
        </w:rPr>
        <w:tab/>
        <w:t xml:space="preserve">This regulation applies to </w:t>
      </w:r>
      <w:r w:rsidRPr="00CB21B0">
        <w:t>an inspector who exercises</w:t>
      </w:r>
      <w:r w:rsidR="0077465D" w:rsidRPr="00CB21B0">
        <w:t xml:space="preserve"> the power mentioned in </w:t>
      </w:r>
      <w:r w:rsidRPr="00CB21B0">
        <w:t>paragraph</w:t>
      </w:r>
      <w:r w:rsidR="00CB21B0" w:rsidRPr="00CB21B0">
        <w:t> </w:t>
      </w:r>
      <w:r w:rsidRPr="00CB21B0">
        <w:t>131A</w:t>
      </w:r>
      <w:r w:rsidR="0077465D" w:rsidRPr="00CB21B0">
        <w:t>(1)(g) or 132</w:t>
      </w:r>
      <w:r w:rsidR="004D3B5F" w:rsidRPr="00CB21B0">
        <w:t>A</w:t>
      </w:r>
      <w:r w:rsidR="0077465D" w:rsidRPr="00CB21B0">
        <w:t>(1)(g)</w:t>
      </w:r>
      <w:r w:rsidRPr="00CB21B0">
        <w:t xml:space="preserve"> of the Code to take and keep samples of any thing</w:t>
      </w:r>
      <w:r w:rsidR="00FC7176" w:rsidRPr="00CB21B0">
        <w:t xml:space="preserve"> on </w:t>
      </w:r>
      <w:r w:rsidR="00672DC5" w:rsidRPr="00CB21B0">
        <w:t xml:space="preserve">any </w:t>
      </w:r>
      <w:r w:rsidR="00FC7176" w:rsidRPr="00CB21B0">
        <w:t>premises</w:t>
      </w:r>
      <w:r w:rsidR="0077465D" w:rsidRPr="00CB21B0">
        <w:t>.</w:t>
      </w:r>
    </w:p>
    <w:p w:rsidR="007920DF" w:rsidRPr="00CB21B0" w:rsidRDefault="007920DF" w:rsidP="0077465D">
      <w:pPr>
        <w:pStyle w:val="subsection"/>
      </w:pPr>
      <w:r w:rsidRPr="00CB21B0">
        <w:tab/>
        <w:t>(2)</w:t>
      </w:r>
      <w:r w:rsidRPr="00CB21B0">
        <w:tab/>
        <w:t>The inspector must ensure that:</w:t>
      </w:r>
    </w:p>
    <w:p w:rsidR="007920DF" w:rsidRPr="00CB21B0" w:rsidRDefault="007920DF" w:rsidP="007920DF">
      <w:pPr>
        <w:pStyle w:val="paragraph"/>
      </w:pPr>
      <w:r w:rsidRPr="00CB21B0">
        <w:tab/>
        <w:t>(a)</w:t>
      </w:r>
      <w:r w:rsidRPr="00CB21B0">
        <w:tab/>
        <w:t>the sample is contained and sealed in an appropriate vessel or package; and</w:t>
      </w:r>
    </w:p>
    <w:p w:rsidR="007920DF" w:rsidRPr="00CB21B0" w:rsidRDefault="007920DF" w:rsidP="007920DF">
      <w:pPr>
        <w:pStyle w:val="paragraph"/>
      </w:pPr>
      <w:r w:rsidRPr="00CB21B0">
        <w:tab/>
        <w:t>(b)</w:t>
      </w:r>
      <w:r w:rsidRPr="00CB21B0">
        <w:tab/>
        <w:t>the vessel or package is so marked as to clearly identify the sample; and</w:t>
      </w:r>
    </w:p>
    <w:p w:rsidR="007920DF" w:rsidRPr="00CB21B0" w:rsidRDefault="007920DF" w:rsidP="007920DF">
      <w:pPr>
        <w:pStyle w:val="paragraph"/>
      </w:pPr>
      <w:r w:rsidRPr="00CB21B0">
        <w:tab/>
        <w:t>(c)</w:t>
      </w:r>
      <w:r w:rsidRPr="00CB21B0">
        <w:tab/>
        <w:t>the vessel or package cannot be opened, or the identification of the sample removed, without breaking the seal; and</w:t>
      </w:r>
    </w:p>
    <w:p w:rsidR="007920DF" w:rsidRPr="00CB21B0" w:rsidRDefault="007920DF" w:rsidP="007920DF">
      <w:pPr>
        <w:pStyle w:val="paragraph"/>
      </w:pPr>
      <w:r w:rsidRPr="00CB21B0">
        <w:tab/>
        <w:t>(d)</w:t>
      </w:r>
      <w:r w:rsidRPr="00CB21B0">
        <w:tab/>
        <w:t>the sample is stored and transported in such a way that the composition of the sample is not altered.</w:t>
      </w:r>
    </w:p>
    <w:p w:rsidR="007920DF" w:rsidRPr="00CB21B0" w:rsidRDefault="00220E6F" w:rsidP="007920DF">
      <w:pPr>
        <w:pStyle w:val="ItemHead"/>
        <w:rPr>
          <w:rFonts w:cs="Arial"/>
        </w:rPr>
      </w:pPr>
      <w:r w:rsidRPr="00CB21B0">
        <w:rPr>
          <w:rFonts w:cs="Arial"/>
          <w:noProof/>
        </w:rPr>
        <w:t>132</w:t>
      </w:r>
      <w:r w:rsidR="007920DF" w:rsidRPr="00CB21B0">
        <w:rPr>
          <w:rFonts w:cs="Arial"/>
        </w:rPr>
        <w:t xml:space="preserve">  Regulation</w:t>
      </w:r>
      <w:r w:rsidR="00CB21B0" w:rsidRPr="00CB21B0">
        <w:rPr>
          <w:rFonts w:cs="Arial"/>
        </w:rPr>
        <w:t> </w:t>
      </w:r>
      <w:r w:rsidR="007920DF" w:rsidRPr="00CB21B0">
        <w:rPr>
          <w:rFonts w:cs="Arial"/>
        </w:rPr>
        <w:t>64</w:t>
      </w:r>
    </w:p>
    <w:p w:rsidR="007920DF" w:rsidRPr="00CB21B0" w:rsidRDefault="007920DF" w:rsidP="007920DF">
      <w:pPr>
        <w:pStyle w:val="Item"/>
      </w:pPr>
      <w:r w:rsidRPr="00CB21B0">
        <w:t>Repeal the regulation, substitute:</w:t>
      </w:r>
    </w:p>
    <w:p w:rsidR="007920DF" w:rsidRPr="00CB21B0" w:rsidRDefault="007920DF" w:rsidP="007920DF">
      <w:pPr>
        <w:pStyle w:val="ActHead5"/>
      </w:pPr>
      <w:bookmarkStart w:id="82" w:name="_Toc361055080"/>
      <w:r w:rsidRPr="00CB21B0">
        <w:rPr>
          <w:rStyle w:val="CharSectno"/>
        </w:rPr>
        <w:t>64</w:t>
      </w:r>
      <w:r w:rsidRPr="00CB21B0">
        <w:t xml:space="preserve">  Infringement notices</w:t>
      </w:r>
      <w:bookmarkEnd w:id="82"/>
    </w:p>
    <w:p w:rsidR="007920DF" w:rsidRPr="00CB21B0" w:rsidRDefault="007920DF" w:rsidP="007920DF">
      <w:pPr>
        <w:pStyle w:val="subsection"/>
      </w:pPr>
      <w:r w:rsidRPr="00CB21B0">
        <w:tab/>
        <w:t>(1)</w:t>
      </w:r>
      <w:r w:rsidRPr="00CB21B0">
        <w:tab/>
        <w:t>For subsection</w:t>
      </w:r>
      <w:r w:rsidR="00CB21B0" w:rsidRPr="00CB21B0">
        <w:t> </w:t>
      </w:r>
      <w:r w:rsidRPr="00CB21B0">
        <w:t>145D</w:t>
      </w:r>
      <w:r w:rsidR="003F1328" w:rsidRPr="00CB21B0">
        <w:t>A</w:t>
      </w:r>
      <w:r w:rsidRPr="00CB21B0">
        <w:t>(1) of the Code, each civil penalty provision mentioned in Schedule</w:t>
      </w:r>
      <w:r w:rsidR="00CB21B0" w:rsidRPr="00CB21B0">
        <w:t> </w:t>
      </w:r>
      <w:r w:rsidRPr="00CB21B0">
        <w:t>5A is prescribed.</w:t>
      </w:r>
    </w:p>
    <w:p w:rsidR="007920DF" w:rsidRPr="00CB21B0" w:rsidRDefault="007920DF" w:rsidP="007920DF">
      <w:pPr>
        <w:pStyle w:val="subsection"/>
      </w:pPr>
      <w:r w:rsidRPr="00CB21B0">
        <w:tab/>
        <w:t>(2)</w:t>
      </w:r>
      <w:r w:rsidRPr="00CB21B0">
        <w:tab/>
        <w:t>For subsection</w:t>
      </w:r>
      <w:r w:rsidR="00CB21B0" w:rsidRPr="00CB21B0">
        <w:t> </w:t>
      </w:r>
      <w:r w:rsidRPr="00CB21B0">
        <w:t>145DB</w:t>
      </w:r>
      <w:r w:rsidR="006E7DE7" w:rsidRPr="00CB21B0">
        <w:t xml:space="preserve">(3) </w:t>
      </w:r>
      <w:r w:rsidRPr="00CB21B0">
        <w:t>of the Code:</w:t>
      </w:r>
    </w:p>
    <w:p w:rsidR="007920DF" w:rsidRPr="00CB21B0" w:rsidRDefault="007920DF" w:rsidP="007920DF">
      <w:pPr>
        <w:pStyle w:val="paragraph"/>
      </w:pPr>
      <w:r w:rsidRPr="00CB21B0">
        <w:tab/>
        <w:t>(a)</w:t>
      </w:r>
      <w:r w:rsidRPr="00CB21B0">
        <w:tab/>
        <w:t>the amount (in penalty units) mentioned for an individual in an item of Schedule</w:t>
      </w:r>
      <w:r w:rsidR="00CB21B0" w:rsidRPr="00CB21B0">
        <w:t> </w:t>
      </w:r>
      <w:r w:rsidRPr="00CB21B0">
        <w:t>5A is the amount that applies for an alleged contravention by the individual of the provision mentioned in the item in the circumstances (if any) mentioned in the item; and</w:t>
      </w:r>
    </w:p>
    <w:p w:rsidR="007920DF" w:rsidRPr="00CB21B0" w:rsidRDefault="007920DF" w:rsidP="007920DF">
      <w:pPr>
        <w:pStyle w:val="paragraph"/>
      </w:pPr>
      <w:r w:rsidRPr="00CB21B0">
        <w:tab/>
        <w:t>(b)</w:t>
      </w:r>
      <w:r w:rsidRPr="00CB21B0">
        <w:tab/>
        <w:t>the amount (in penalty units) mentioned for a corporation in an item of Schedule</w:t>
      </w:r>
      <w:r w:rsidR="00CB21B0" w:rsidRPr="00CB21B0">
        <w:t> </w:t>
      </w:r>
      <w:r w:rsidRPr="00CB21B0">
        <w:t xml:space="preserve">5A is the amount that applies for an </w:t>
      </w:r>
      <w:r w:rsidRPr="00CB21B0">
        <w:lastRenderedPageBreak/>
        <w:t>alleged contravention by the corporation of the provision mentioned in the item in the circumstances (if any) mentioned in the item.</w:t>
      </w:r>
    </w:p>
    <w:p w:rsidR="007920DF" w:rsidRPr="00CB21B0" w:rsidRDefault="00220E6F" w:rsidP="00D21C87">
      <w:pPr>
        <w:pStyle w:val="ItemHead"/>
      </w:pPr>
      <w:r w:rsidRPr="00CB21B0">
        <w:rPr>
          <w:noProof/>
        </w:rPr>
        <w:t>133</w:t>
      </w:r>
      <w:r w:rsidR="007920DF" w:rsidRPr="00CB21B0">
        <w:t xml:space="preserve">  Regulation</w:t>
      </w:r>
      <w:r w:rsidR="00CB21B0" w:rsidRPr="00CB21B0">
        <w:t> </w:t>
      </w:r>
      <w:r w:rsidR="007920DF" w:rsidRPr="00CB21B0">
        <w:t>65</w:t>
      </w:r>
    </w:p>
    <w:p w:rsidR="007920DF" w:rsidRPr="00CB21B0" w:rsidRDefault="007920DF" w:rsidP="007920DF">
      <w:pPr>
        <w:pStyle w:val="Item"/>
      </w:pPr>
      <w:r w:rsidRPr="00CB21B0">
        <w:t>Repeal the regulation</w:t>
      </w:r>
      <w:r w:rsidR="00672DC5" w:rsidRPr="00CB21B0">
        <w:t>, substitute:</w:t>
      </w:r>
    </w:p>
    <w:p w:rsidR="004E0232" w:rsidRPr="00CB21B0" w:rsidRDefault="007920DF" w:rsidP="00672DC5">
      <w:pPr>
        <w:pStyle w:val="ActHead3"/>
      </w:pPr>
      <w:bookmarkStart w:id="83" w:name="_Toc361055081"/>
      <w:r w:rsidRPr="00CB21B0">
        <w:rPr>
          <w:rStyle w:val="CharDivNo"/>
        </w:rPr>
        <w:t>Division</w:t>
      </w:r>
      <w:r w:rsidR="00CB21B0" w:rsidRPr="00CB21B0">
        <w:rPr>
          <w:rStyle w:val="CharDivNo"/>
        </w:rPr>
        <w:t> </w:t>
      </w:r>
      <w:r w:rsidRPr="00CB21B0">
        <w:rPr>
          <w:rStyle w:val="CharDivNo"/>
        </w:rPr>
        <w:t>9.1</w:t>
      </w:r>
      <w:r w:rsidRPr="00CB21B0">
        <w:t>—</w:t>
      </w:r>
      <w:r w:rsidRPr="00CB21B0">
        <w:rPr>
          <w:rStyle w:val="CharDivText"/>
        </w:rPr>
        <w:t>Information</w:t>
      </w:r>
      <w:bookmarkEnd w:id="83"/>
    </w:p>
    <w:p w:rsidR="001463F0" w:rsidRPr="00CB21B0" w:rsidRDefault="001463F0" w:rsidP="00984752">
      <w:pPr>
        <w:pStyle w:val="ActHead5"/>
      </w:pPr>
      <w:bookmarkStart w:id="84" w:name="_Toc361055082"/>
      <w:r w:rsidRPr="00CB21B0">
        <w:rPr>
          <w:rStyle w:val="CharSectno"/>
        </w:rPr>
        <w:t>65</w:t>
      </w:r>
      <w:r w:rsidRPr="00CB21B0">
        <w:t xml:space="preserve">  Information that must be given electronically</w:t>
      </w:r>
      <w:bookmarkEnd w:id="84"/>
    </w:p>
    <w:p w:rsidR="001463F0" w:rsidRPr="00CB21B0" w:rsidRDefault="001463F0" w:rsidP="001463F0">
      <w:pPr>
        <w:pStyle w:val="subsection"/>
      </w:pPr>
      <w:r w:rsidRPr="00CB21B0">
        <w:tab/>
      </w:r>
      <w:r w:rsidRPr="00CB21B0">
        <w:tab/>
        <w:t>For subsection</w:t>
      </w:r>
      <w:r w:rsidR="00CB21B0" w:rsidRPr="00CB21B0">
        <w:t> </w:t>
      </w:r>
      <w:r w:rsidRPr="00CB21B0">
        <w:t>15</w:t>
      </w:r>
      <w:r w:rsidR="00AE4D20" w:rsidRPr="00CB21B0">
        <w:t>6A</w:t>
      </w:r>
      <w:r w:rsidRPr="00CB21B0">
        <w:t xml:space="preserve">(2) of the Code, the information mentioned </w:t>
      </w:r>
      <w:r w:rsidR="008D74AE" w:rsidRPr="00CB21B0">
        <w:t>in</w:t>
      </w:r>
      <w:r w:rsidRPr="00CB21B0">
        <w:t xml:space="preserve"> an item in column 2 of the following table, given to the APVMA in relation to an application mentioned in column 1 for the item, must be given to given to the APVMA electronically.</w:t>
      </w:r>
    </w:p>
    <w:p w:rsidR="001463F0" w:rsidRPr="00CB21B0" w:rsidRDefault="001463F0" w:rsidP="001463F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1463F0" w:rsidRPr="00CB21B0" w:rsidTr="00BC7987">
        <w:trPr>
          <w:tblHeader/>
        </w:trPr>
        <w:tc>
          <w:tcPr>
            <w:tcW w:w="7086" w:type="dxa"/>
            <w:gridSpan w:val="3"/>
            <w:tcBorders>
              <w:top w:val="single" w:sz="12" w:space="0" w:color="auto"/>
              <w:bottom w:val="single" w:sz="6" w:space="0" w:color="auto"/>
            </w:tcBorders>
            <w:shd w:val="clear" w:color="auto" w:fill="auto"/>
          </w:tcPr>
          <w:p w:rsidR="001463F0" w:rsidRPr="00CB21B0" w:rsidRDefault="001463F0" w:rsidP="001463F0">
            <w:pPr>
              <w:pStyle w:val="TableHeading"/>
              <w:rPr>
                <w:rStyle w:val="CharSectno"/>
              </w:rPr>
            </w:pPr>
            <w:r w:rsidRPr="00CB21B0">
              <w:t>Information that must be given electronically</w:t>
            </w:r>
          </w:p>
        </w:tc>
      </w:tr>
      <w:tr w:rsidR="001463F0" w:rsidRPr="00CB21B0" w:rsidTr="00BC7987">
        <w:trPr>
          <w:tblHeader/>
        </w:trPr>
        <w:tc>
          <w:tcPr>
            <w:tcW w:w="714" w:type="dxa"/>
            <w:tcBorders>
              <w:top w:val="single" w:sz="6" w:space="0" w:color="auto"/>
              <w:bottom w:val="single" w:sz="12" w:space="0" w:color="auto"/>
            </w:tcBorders>
            <w:shd w:val="clear" w:color="auto" w:fill="auto"/>
          </w:tcPr>
          <w:p w:rsidR="001463F0" w:rsidRPr="00CB21B0" w:rsidRDefault="001463F0" w:rsidP="001463F0">
            <w:pPr>
              <w:pStyle w:val="TableHeading"/>
              <w:rPr>
                <w:rStyle w:val="CharSectno"/>
              </w:rPr>
            </w:pPr>
            <w:r w:rsidRPr="00CB21B0">
              <w:t>Item</w:t>
            </w:r>
          </w:p>
        </w:tc>
        <w:tc>
          <w:tcPr>
            <w:tcW w:w="3186" w:type="dxa"/>
            <w:tcBorders>
              <w:top w:val="single" w:sz="6" w:space="0" w:color="auto"/>
              <w:bottom w:val="single" w:sz="12" w:space="0" w:color="auto"/>
            </w:tcBorders>
            <w:shd w:val="clear" w:color="auto" w:fill="auto"/>
          </w:tcPr>
          <w:p w:rsidR="00246887" w:rsidRPr="00CB21B0" w:rsidRDefault="00246887" w:rsidP="001463F0">
            <w:pPr>
              <w:pStyle w:val="TableHeading"/>
            </w:pPr>
            <w:r w:rsidRPr="00CB21B0">
              <w:t>Column 1</w:t>
            </w:r>
          </w:p>
          <w:p w:rsidR="001463F0" w:rsidRPr="00CB21B0" w:rsidRDefault="001463F0" w:rsidP="001463F0">
            <w:pPr>
              <w:pStyle w:val="TableHeading"/>
              <w:rPr>
                <w:rStyle w:val="CharSectno"/>
              </w:rPr>
            </w:pPr>
            <w:r w:rsidRPr="00CB21B0">
              <w:t>Application</w:t>
            </w:r>
          </w:p>
        </w:tc>
        <w:tc>
          <w:tcPr>
            <w:tcW w:w="3186" w:type="dxa"/>
            <w:tcBorders>
              <w:top w:val="single" w:sz="6" w:space="0" w:color="auto"/>
              <w:bottom w:val="single" w:sz="12" w:space="0" w:color="auto"/>
            </w:tcBorders>
            <w:shd w:val="clear" w:color="auto" w:fill="auto"/>
          </w:tcPr>
          <w:p w:rsidR="00246887" w:rsidRPr="00CB21B0" w:rsidRDefault="00246887" w:rsidP="001463F0">
            <w:pPr>
              <w:pStyle w:val="TableHeading"/>
            </w:pPr>
            <w:r w:rsidRPr="00CB21B0">
              <w:t>Column 2</w:t>
            </w:r>
          </w:p>
          <w:p w:rsidR="001463F0" w:rsidRPr="00CB21B0" w:rsidRDefault="001463F0" w:rsidP="001463F0">
            <w:pPr>
              <w:pStyle w:val="TableHeading"/>
              <w:rPr>
                <w:rStyle w:val="CharSectno"/>
              </w:rPr>
            </w:pPr>
            <w:r w:rsidRPr="00CB21B0">
              <w:t>Information</w:t>
            </w:r>
          </w:p>
        </w:tc>
      </w:tr>
      <w:tr w:rsidR="00BC7987" w:rsidRPr="00CB21B0" w:rsidTr="00BC7987">
        <w:tc>
          <w:tcPr>
            <w:tcW w:w="714" w:type="dxa"/>
            <w:shd w:val="clear" w:color="auto" w:fill="auto"/>
          </w:tcPr>
          <w:p w:rsidR="001463F0" w:rsidRPr="00CB21B0" w:rsidRDefault="00BC40CC" w:rsidP="00BC40CC">
            <w:pPr>
              <w:pStyle w:val="Tabletext"/>
              <w:rPr>
                <w:rStyle w:val="CharSectno"/>
              </w:rPr>
            </w:pPr>
            <w:r w:rsidRPr="00CB21B0">
              <w:t>1</w:t>
            </w:r>
          </w:p>
        </w:tc>
        <w:tc>
          <w:tcPr>
            <w:tcW w:w="3186" w:type="dxa"/>
            <w:shd w:val="clear" w:color="auto" w:fill="auto"/>
          </w:tcPr>
          <w:p w:rsidR="001463F0" w:rsidRPr="00CB21B0" w:rsidRDefault="001463F0" w:rsidP="00A812E2">
            <w:pPr>
              <w:pStyle w:val="Tabletext"/>
            </w:pPr>
            <w:r w:rsidRPr="00CB21B0">
              <w:t xml:space="preserve">Application to which </w:t>
            </w:r>
            <w:r w:rsidR="00A812E2" w:rsidRPr="00CB21B0">
              <w:t>subsection</w:t>
            </w:r>
            <w:r w:rsidR="00CB21B0" w:rsidRPr="00CB21B0">
              <w:t> </w:t>
            </w:r>
            <w:r w:rsidR="00A812E2" w:rsidRPr="00CB21B0">
              <w:t xml:space="preserve">26B(1) or </w:t>
            </w:r>
            <w:r w:rsidRPr="00CB21B0">
              <w:t>paragraph</w:t>
            </w:r>
            <w:r w:rsidR="00CB21B0" w:rsidRPr="00CB21B0">
              <w:t> </w:t>
            </w:r>
            <w:r w:rsidRPr="00CB21B0">
              <w:t>10(1)(c) or 27(1)(c) of the Code relates</w:t>
            </w:r>
          </w:p>
        </w:tc>
        <w:tc>
          <w:tcPr>
            <w:tcW w:w="3186" w:type="dxa"/>
            <w:shd w:val="clear" w:color="auto" w:fill="auto"/>
          </w:tcPr>
          <w:p w:rsidR="001463F0" w:rsidRPr="00CB21B0" w:rsidRDefault="001463F0" w:rsidP="001463F0">
            <w:pPr>
              <w:pStyle w:val="Tabletext"/>
            </w:pPr>
            <w:r w:rsidRPr="00CB21B0">
              <w:t xml:space="preserve">Information required by </w:t>
            </w:r>
            <w:r w:rsidR="00AE4D20" w:rsidRPr="00CB21B0">
              <w:t xml:space="preserve">the </w:t>
            </w:r>
            <w:r w:rsidRPr="00CB21B0">
              <w:t>APVMA about a label for a container for the chemical product to which the application relates</w:t>
            </w:r>
          </w:p>
        </w:tc>
      </w:tr>
      <w:tr w:rsidR="00BC7987" w:rsidRPr="00CB21B0" w:rsidTr="00BC7987">
        <w:tc>
          <w:tcPr>
            <w:tcW w:w="714" w:type="dxa"/>
            <w:shd w:val="clear" w:color="auto" w:fill="auto"/>
          </w:tcPr>
          <w:p w:rsidR="001463F0" w:rsidRPr="00CB21B0" w:rsidRDefault="00BC40CC" w:rsidP="001463F0">
            <w:pPr>
              <w:pStyle w:val="Tabletext"/>
              <w:rPr>
                <w:rStyle w:val="CharSectno"/>
              </w:rPr>
            </w:pPr>
            <w:r w:rsidRPr="00CB21B0">
              <w:t>2</w:t>
            </w:r>
          </w:p>
        </w:tc>
        <w:tc>
          <w:tcPr>
            <w:tcW w:w="3186" w:type="dxa"/>
            <w:shd w:val="clear" w:color="auto" w:fill="auto"/>
          </w:tcPr>
          <w:p w:rsidR="001463F0" w:rsidRPr="00CB21B0" w:rsidRDefault="001463F0" w:rsidP="00176B14">
            <w:pPr>
              <w:pStyle w:val="Tabletext"/>
              <w:rPr>
                <w:rStyle w:val="CharSectno"/>
              </w:rPr>
            </w:pPr>
            <w:r w:rsidRPr="00CB21B0">
              <w:t>Application to which regulation</w:t>
            </w:r>
            <w:r w:rsidR="00CB21B0" w:rsidRPr="00CB21B0">
              <w:t> </w:t>
            </w:r>
            <w:r w:rsidRPr="00CB21B0">
              <w:t>8A</w:t>
            </w:r>
            <w:r w:rsidR="00176B14" w:rsidRPr="00CB21B0">
              <w:t>T</w:t>
            </w:r>
            <w:r w:rsidRPr="00CB21B0">
              <w:t xml:space="preserve"> applies</w:t>
            </w:r>
          </w:p>
        </w:tc>
        <w:tc>
          <w:tcPr>
            <w:tcW w:w="3186" w:type="dxa"/>
            <w:shd w:val="clear" w:color="auto" w:fill="auto"/>
          </w:tcPr>
          <w:p w:rsidR="001463F0" w:rsidRPr="00CB21B0" w:rsidRDefault="001463F0" w:rsidP="001463F0">
            <w:pPr>
              <w:pStyle w:val="Tabletext"/>
              <w:rPr>
                <w:rStyle w:val="CharSectno"/>
              </w:rPr>
            </w:pPr>
            <w:r w:rsidRPr="00CB21B0">
              <w:t>Information given in relation to the application</w:t>
            </w:r>
          </w:p>
        </w:tc>
      </w:tr>
      <w:tr w:rsidR="00BC7987" w:rsidRPr="00CB21B0" w:rsidTr="00BC7987">
        <w:tc>
          <w:tcPr>
            <w:tcW w:w="714" w:type="dxa"/>
            <w:shd w:val="clear" w:color="auto" w:fill="auto"/>
          </w:tcPr>
          <w:p w:rsidR="001463F0" w:rsidRPr="00CB21B0" w:rsidRDefault="00BC40CC" w:rsidP="001463F0">
            <w:pPr>
              <w:pStyle w:val="Tabletext"/>
              <w:rPr>
                <w:rStyle w:val="CharSectno"/>
              </w:rPr>
            </w:pPr>
            <w:r w:rsidRPr="00CB21B0">
              <w:t>3</w:t>
            </w:r>
          </w:p>
        </w:tc>
        <w:tc>
          <w:tcPr>
            <w:tcW w:w="3186" w:type="dxa"/>
            <w:shd w:val="clear" w:color="auto" w:fill="auto"/>
          </w:tcPr>
          <w:p w:rsidR="001463F0" w:rsidRPr="00CB21B0" w:rsidRDefault="001463F0" w:rsidP="001463F0">
            <w:pPr>
              <w:pStyle w:val="Tabletext"/>
              <w:rPr>
                <w:rStyle w:val="CharSectno"/>
              </w:rPr>
            </w:pPr>
            <w:r w:rsidRPr="00CB21B0">
              <w:t>Application to which regulation</w:t>
            </w:r>
            <w:r w:rsidR="00CB21B0" w:rsidRPr="00CB21B0">
              <w:t> </w:t>
            </w:r>
            <w:r w:rsidRPr="00CB21B0">
              <w:t>8B relates</w:t>
            </w:r>
          </w:p>
        </w:tc>
        <w:tc>
          <w:tcPr>
            <w:tcW w:w="3186" w:type="dxa"/>
            <w:shd w:val="clear" w:color="auto" w:fill="auto"/>
          </w:tcPr>
          <w:p w:rsidR="001463F0" w:rsidRPr="00CB21B0" w:rsidRDefault="001463F0" w:rsidP="001463F0">
            <w:pPr>
              <w:pStyle w:val="Tabletext"/>
              <w:rPr>
                <w:rStyle w:val="CharSectno"/>
              </w:rPr>
            </w:pPr>
            <w:r w:rsidRPr="00CB21B0">
              <w:t>The short description of the application mentioned in paragraph</w:t>
            </w:r>
            <w:r w:rsidR="00CB21B0" w:rsidRPr="00CB21B0">
              <w:t> </w:t>
            </w:r>
            <w:r w:rsidRPr="00CB21B0">
              <w:t>8B(2)(g)</w:t>
            </w:r>
          </w:p>
        </w:tc>
      </w:tr>
      <w:tr w:rsidR="00BC7987" w:rsidRPr="00CB21B0" w:rsidTr="00BC7987">
        <w:tc>
          <w:tcPr>
            <w:tcW w:w="714" w:type="dxa"/>
            <w:tcBorders>
              <w:bottom w:val="single" w:sz="4" w:space="0" w:color="auto"/>
            </w:tcBorders>
            <w:shd w:val="clear" w:color="auto" w:fill="auto"/>
          </w:tcPr>
          <w:p w:rsidR="001463F0" w:rsidRPr="00CB21B0" w:rsidRDefault="00BC40CC" w:rsidP="001463F0">
            <w:pPr>
              <w:pStyle w:val="Tabletext"/>
              <w:rPr>
                <w:rStyle w:val="CharSectno"/>
              </w:rPr>
            </w:pPr>
            <w:r w:rsidRPr="00CB21B0">
              <w:t>4</w:t>
            </w:r>
          </w:p>
        </w:tc>
        <w:tc>
          <w:tcPr>
            <w:tcW w:w="3186" w:type="dxa"/>
            <w:tcBorders>
              <w:bottom w:val="single" w:sz="4" w:space="0" w:color="auto"/>
            </w:tcBorders>
            <w:shd w:val="clear" w:color="auto" w:fill="auto"/>
          </w:tcPr>
          <w:p w:rsidR="001463F0" w:rsidRPr="00CB21B0" w:rsidRDefault="001463F0" w:rsidP="001463F0">
            <w:pPr>
              <w:pStyle w:val="Tabletext"/>
              <w:rPr>
                <w:rStyle w:val="CharSectno"/>
              </w:rPr>
            </w:pPr>
            <w:r w:rsidRPr="00CB21B0">
              <w:t>Application to which regulation</w:t>
            </w:r>
            <w:r w:rsidR="00CB21B0" w:rsidRPr="00CB21B0">
              <w:t> </w:t>
            </w:r>
            <w:r w:rsidRPr="00CB21B0">
              <w:t>8D relates</w:t>
            </w:r>
          </w:p>
        </w:tc>
        <w:tc>
          <w:tcPr>
            <w:tcW w:w="3186" w:type="dxa"/>
            <w:tcBorders>
              <w:bottom w:val="single" w:sz="4" w:space="0" w:color="auto"/>
            </w:tcBorders>
            <w:shd w:val="clear" w:color="auto" w:fill="auto"/>
          </w:tcPr>
          <w:p w:rsidR="001463F0" w:rsidRPr="00CB21B0" w:rsidRDefault="001463F0" w:rsidP="001463F0">
            <w:pPr>
              <w:pStyle w:val="Tabletext"/>
              <w:rPr>
                <w:rStyle w:val="CharSectno"/>
              </w:rPr>
            </w:pPr>
            <w:r w:rsidRPr="00CB21B0">
              <w:t>The short description of the application mentioned in paragraph</w:t>
            </w:r>
            <w:r w:rsidR="00CB21B0" w:rsidRPr="00CB21B0">
              <w:t> </w:t>
            </w:r>
            <w:r w:rsidRPr="00CB21B0">
              <w:t>8D(2)(i)</w:t>
            </w:r>
          </w:p>
        </w:tc>
      </w:tr>
      <w:tr w:rsidR="00BC7987" w:rsidRPr="00CB21B0" w:rsidTr="00BC7987">
        <w:tc>
          <w:tcPr>
            <w:tcW w:w="714" w:type="dxa"/>
            <w:tcBorders>
              <w:bottom w:val="single" w:sz="12" w:space="0" w:color="auto"/>
            </w:tcBorders>
            <w:shd w:val="clear" w:color="auto" w:fill="auto"/>
          </w:tcPr>
          <w:p w:rsidR="001463F0" w:rsidRPr="00CB21B0" w:rsidRDefault="00BC40CC" w:rsidP="00BC40CC">
            <w:pPr>
              <w:pStyle w:val="Tabletext"/>
              <w:rPr>
                <w:rStyle w:val="CharSectno"/>
              </w:rPr>
            </w:pPr>
            <w:r w:rsidRPr="00CB21B0">
              <w:t>5</w:t>
            </w:r>
          </w:p>
        </w:tc>
        <w:tc>
          <w:tcPr>
            <w:tcW w:w="3186" w:type="dxa"/>
            <w:tcBorders>
              <w:bottom w:val="single" w:sz="12" w:space="0" w:color="auto"/>
            </w:tcBorders>
            <w:shd w:val="clear" w:color="auto" w:fill="auto"/>
          </w:tcPr>
          <w:p w:rsidR="001463F0" w:rsidRPr="00CB21B0" w:rsidRDefault="001463F0" w:rsidP="001463F0">
            <w:pPr>
              <w:pStyle w:val="Tabletext"/>
              <w:rPr>
                <w:rStyle w:val="CharSectno"/>
              </w:rPr>
            </w:pPr>
            <w:r w:rsidRPr="00CB21B0">
              <w:t>Application to which regulation</w:t>
            </w:r>
            <w:r w:rsidR="00CB21B0" w:rsidRPr="00CB21B0">
              <w:t> </w:t>
            </w:r>
            <w:r w:rsidRPr="00CB21B0">
              <w:t>19AD relates</w:t>
            </w:r>
          </w:p>
        </w:tc>
        <w:tc>
          <w:tcPr>
            <w:tcW w:w="3186" w:type="dxa"/>
            <w:tcBorders>
              <w:bottom w:val="single" w:sz="12" w:space="0" w:color="auto"/>
            </w:tcBorders>
            <w:shd w:val="clear" w:color="auto" w:fill="auto"/>
          </w:tcPr>
          <w:p w:rsidR="001463F0" w:rsidRPr="00CB21B0" w:rsidRDefault="001463F0" w:rsidP="001463F0">
            <w:pPr>
              <w:pStyle w:val="Tabletext"/>
              <w:rPr>
                <w:rStyle w:val="CharSectno"/>
              </w:rPr>
            </w:pPr>
            <w:r w:rsidRPr="00CB21B0">
              <w:t>The short description of the application mentioned in paragraph</w:t>
            </w:r>
            <w:r w:rsidR="00CB21B0" w:rsidRPr="00CB21B0">
              <w:t> </w:t>
            </w:r>
            <w:r w:rsidRPr="00CB21B0">
              <w:t>19AD(2)(i)</w:t>
            </w:r>
          </w:p>
        </w:tc>
      </w:tr>
    </w:tbl>
    <w:p w:rsidR="001463F0" w:rsidRPr="00CB21B0" w:rsidRDefault="001463F0" w:rsidP="001463F0">
      <w:pPr>
        <w:pStyle w:val="Tabletext"/>
      </w:pPr>
    </w:p>
    <w:p w:rsidR="007920DF" w:rsidRPr="00CB21B0" w:rsidRDefault="007920DF" w:rsidP="007920DF">
      <w:pPr>
        <w:pStyle w:val="ActHead5"/>
      </w:pPr>
      <w:bookmarkStart w:id="85" w:name="_Toc361055083"/>
      <w:r w:rsidRPr="00CB21B0">
        <w:rPr>
          <w:rStyle w:val="CharSectno"/>
        </w:rPr>
        <w:lastRenderedPageBreak/>
        <w:t>65</w:t>
      </w:r>
      <w:r w:rsidR="001463F0" w:rsidRPr="00CB21B0">
        <w:rPr>
          <w:rStyle w:val="CharSectno"/>
        </w:rPr>
        <w:t>A</w:t>
      </w:r>
      <w:r w:rsidRPr="00CB21B0">
        <w:t xml:space="preserve">  </w:t>
      </w:r>
      <w:r w:rsidR="00672DC5" w:rsidRPr="00CB21B0">
        <w:t>Pe</w:t>
      </w:r>
      <w:r w:rsidRPr="00CB21B0">
        <w:t xml:space="preserve">riod for giving </w:t>
      </w:r>
      <w:r w:rsidR="00672DC5" w:rsidRPr="00CB21B0">
        <w:t xml:space="preserve">additional </w:t>
      </w:r>
      <w:r w:rsidRPr="00CB21B0">
        <w:t>information, report or sample</w:t>
      </w:r>
      <w:bookmarkEnd w:id="85"/>
    </w:p>
    <w:p w:rsidR="007920DF" w:rsidRPr="00CB21B0" w:rsidRDefault="007920DF" w:rsidP="007920DF">
      <w:pPr>
        <w:pStyle w:val="subsection"/>
      </w:pPr>
      <w:r w:rsidRPr="00CB21B0">
        <w:tab/>
        <w:t>(1)</w:t>
      </w:r>
      <w:r w:rsidRPr="00CB21B0">
        <w:tab/>
        <w:t>For subsection</w:t>
      </w:r>
      <w:r w:rsidR="00CB21B0" w:rsidRPr="00CB21B0">
        <w:t> </w:t>
      </w:r>
      <w:r w:rsidRPr="00CB21B0">
        <w:t xml:space="preserve">159(1AA) of the Code, subregulations (2) </w:t>
      </w:r>
      <w:r w:rsidR="00240957" w:rsidRPr="00CB21B0">
        <w:t xml:space="preserve">to </w:t>
      </w:r>
      <w:r w:rsidRPr="00CB21B0">
        <w:t>(</w:t>
      </w:r>
      <w:r w:rsidR="00240957" w:rsidRPr="00CB21B0">
        <w:t>4</w:t>
      </w:r>
      <w:r w:rsidRPr="00CB21B0">
        <w:t>) set out the maximum period that may be stated as the period in which the applicant or holder to whom a notice is issued under section</w:t>
      </w:r>
      <w:r w:rsidR="00CB21B0" w:rsidRPr="00CB21B0">
        <w:t> </w:t>
      </w:r>
      <w:r w:rsidRPr="00CB21B0">
        <w:t xml:space="preserve">159 of the Code (the </w:t>
      </w:r>
      <w:r w:rsidRPr="00CB21B0">
        <w:rPr>
          <w:b/>
          <w:i/>
        </w:rPr>
        <w:t>recipient</w:t>
      </w:r>
      <w:r w:rsidRPr="00CB21B0">
        <w:t>) must respond to the notice.</w:t>
      </w:r>
    </w:p>
    <w:p w:rsidR="007920DF" w:rsidRPr="00CB21B0" w:rsidRDefault="007920DF" w:rsidP="007920DF">
      <w:pPr>
        <w:pStyle w:val="subsection"/>
      </w:pPr>
      <w:r w:rsidRPr="00CB21B0">
        <w:tab/>
        <w:t>(2)</w:t>
      </w:r>
      <w:r w:rsidRPr="00CB21B0">
        <w:tab/>
        <w:t xml:space="preserve">For an application </w:t>
      </w:r>
      <w:r w:rsidR="00240957" w:rsidRPr="00CB21B0">
        <w:t xml:space="preserve">(other than a timeshift application) </w:t>
      </w:r>
      <w:r w:rsidRPr="00CB21B0">
        <w:t>for approval, registration, or a permit (other than a permit for emergency use), the maximum period is to be worked out as follows:</w:t>
      </w:r>
    </w:p>
    <w:bookmarkStart w:id="86" w:name="BKCheck15B_3"/>
    <w:bookmarkEnd w:id="86"/>
    <w:p w:rsidR="00D61EFF" w:rsidRPr="00CB21B0" w:rsidRDefault="00D246E6" w:rsidP="007920DF">
      <w:pPr>
        <w:pStyle w:val="subsection2"/>
      </w:pPr>
      <w:r w:rsidRPr="00CB21B0">
        <w:object w:dxaOrig="1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9.5pt" o:ole="">
            <v:imagedata r:id="rId21" o:title=""/>
          </v:shape>
          <o:OLEObject Type="Embed" ProgID="Equation.DSMT4" ShapeID="_x0000_i1025" DrawAspect="Content" ObjectID="_1436088655" r:id="rId22"/>
        </w:object>
      </w:r>
    </w:p>
    <w:p w:rsidR="007920DF" w:rsidRPr="00CB21B0" w:rsidRDefault="00FD4FBA" w:rsidP="007920DF">
      <w:pPr>
        <w:pStyle w:val="subsection2"/>
      </w:pPr>
      <w:r w:rsidRPr="00CB21B0">
        <w:t>w</w:t>
      </w:r>
      <w:r w:rsidR="007920DF" w:rsidRPr="00CB21B0">
        <w:t>here:</w:t>
      </w:r>
    </w:p>
    <w:p w:rsidR="00D246E6" w:rsidRPr="00CB21B0" w:rsidRDefault="00D246E6" w:rsidP="0051152B">
      <w:pPr>
        <w:pStyle w:val="Definition"/>
        <w:rPr>
          <w:b/>
          <w:i/>
        </w:rPr>
      </w:pPr>
      <w:r w:rsidRPr="00CB21B0">
        <w:rPr>
          <w:b/>
          <w:i/>
        </w:rPr>
        <w:t xml:space="preserve">MP </w:t>
      </w:r>
      <w:r w:rsidRPr="00CB21B0">
        <w:t>means the maximum period.</w:t>
      </w:r>
    </w:p>
    <w:p w:rsidR="00672DC5" w:rsidRPr="00CB21B0" w:rsidRDefault="00672DC5" w:rsidP="00C97444">
      <w:pPr>
        <w:pStyle w:val="Definition"/>
      </w:pPr>
      <w:r w:rsidRPr="00CB21B0">
        <w:rPr>
          <w:b/>
          <w:i/>
        </w:rPr>
        <w:t>XP</w:t>
      </w:r>
      <w:r w:rsidRPr="00CB21B0">
        <w:t xml:space="preserve"> means the exten</w:t>
      </w:r>
      <w:r w:rsidR="00087303" w:rsidRPr="00CB21B0">
        <w:t>ded a</w:t>
      </w:r>
      <w:r w:rsidR="004A4CC3" w:rsidRPr="00CB21B0">
        <w:t>ssessment</w:t>
      </w:r>
      <w:r w:rsidRPr="00CB21B0">
        <w:t xml:space="preserve"> period mentioned for the application in column 3 of Part</w:t>
      </w:r>
      <w:r w:rsidR="00CB21B0" w:rsidRPr="00CB21B0">
        <w:t> </w:t>
      </w:r>
      <w:r w:rsidRPr="00CB21B0">
        <w:t>2 of Schedule</w:t>
      </w:r>
      <w:r w:rsidR="00CB21B0" w:rsidRPr="00CB21B0">
        <w:t> </w:t>
      </w:r>
      <w:r w:rsidRPr="00CB21B0">
        <w:t xml:space="preserve">6 minus the assessment period mentioned for the application in </w:t>
      </w:r>
      <w:r w:rsidR="00087303" w:rsidRPr="00CB21B0">
        <w:t>c</w:t>
      </w:r>
      <w:r w:rsidRPr="00CB21B0">
        <w:t>olumn 2 of Part</w:t>
      </w:r>
      <w:r w:rsidR="00CB21B0" w:rsidRPr="00CB21B0">
        <w:t> </w:t>
      </w:r>
      <w:r w:rsidRPr="00CB21B0">
        <w:t>2 of Schedule</w:t>
      </w:r>
      <w:r w:rsidR="00CB21B0" w:rsidRPr="00CB21B0">
        <w:t> </w:t>
      </w:r>
      <w:r w:rsidRPr="00CB21B0">
        <w:t>6.</w:t>
      </w:r>
    </w:p>
    <w:p w:rsidR="00C97444" w:rsidRPr="00CB21B0" w:rsidRDefault="00C97444" w:rsidP="00C97444">
      <w:pPr>
        <w:pStyle w:val="subsection"/>
      </w:pPr>
      <w:r w:rsidRPr="00CB21B0">
        <w:tab/>
        <w:t>(3)</w:t>
      </w:r>
      <w:r w:rsidRPr="00CB21B0">
        <w:tab/>
        <w:t>For a timeshift application, the maximum period is the period agreed to by the APVMA and the applicant.</w:t>
      </w:r>
    </w:p>
    <w:p w:rsidR="00C97444" w:rsidRPr="00CB21B0" w:rsidRDefault="00C97444" w:rsidP="007920DF">
      <w:pPr>
        <w:pStyle w:val="subsection"/>
      </w:pPr>
      <w:r w:rsidRPr="00CB21B0">
        <w:tab/>
      </w:r>
      <w:r w:rsidR="007920DF" w:rsidRPr="00CB21B0">
        <w:t>(</w:t>
      </w:r>
      <w:r w:rsidRPr="00CB21B0">
        <w:t>4</w:t>
      </w:r>
      <w:r w:rsidR="007920DF" w:rsidRPr="00CB21B0">
        <w:t>)</w:t>
      </w:r>
      <w:r w:rsidR="007920DF" w:rsidRPr="00CB21B0">
        <w:tab/>
        <w:t>For an application for re</w:t>
      </w:r>
      <w:r w:rsidR="00CB21B0">
        <w:noBreakHyphen/>
      </w:r>
      <w:r w:rsidR="007920DF" w:rsidRPr="00CB21B0">
        <w:t>approval or re</w:t>
      </w:r>
      <w:r w:rsidR="00CB21B0">
        <w:noBreakHyphen/>
      </w:r>
      <w:r w:rsidR="007920DF" w:rsidRPr="00CB21B0">
        <w:t xml:space="preserve">registration, the maximum period is 28 days after the </w:t>
      </w:r>
      <w:r w:rsidR="00337F40" w:rsidRPr="00CB21B0">
        <w:t xml:space="preserve">date of the </w:t>
      </w:r>
      <w:r w:rsidR="007920DF" w:rsidRPr="00CB21B0">
        <w:t>notice.</w:t>
      </w:r>
    </w:p>
    <w:p w:rsidR="00337F40" w:rsidRPr="00CB21B0" w:rsidRDefault="007920DF" w:rsidP="001463F0">
      <w:pPr>
        <w:pStyle w:val="subsection"/>
      </w:pPr>
      <w:r w:rsidRPr="00CB21B0">
        <w:tab/>
        <w:t>(</w:t>
      </w:r>
      <w:r w:rsidR="00C97444" w:rsidRPr="00CB21B0">
        <w:t>5</w:t>
      </w:r>
      <w:r w:rsidRPr="00CB21B0">
        <w:t>)</w:t>
      </w:r>
      <w:r w:rsidRPr="00CB21B0">
        <w:tab/>
        <w:t>For subsection</w:t>
      </w:r>
      <w:r w:rsidR="00CB21B0" w:rsidRPr="00CB21B0">
        <w:t> </w:t>
      </w:r>
      <w:r w:rsidRPr="00CB21B0">
        <w:t>159(1AB) of the Code, the APVMA may allow a further period if an extraordinary event or circumstance beyond the control of the recipient prevents the recipient from complying with the notice in the period stated in the notice.</w:t>
      </w:r>
    </w:p>
    <w:p w:rsidR="00434422" w:rsidRPr="00CB21B0" w:rsidRDefault="00220E6F" w:rsidP="00434422">
      <w:pPr>
        <w:pStyle w:val="ItemHead"/>
      </w:pPr>
      <w:r w:rsidRPr="00CB21B0">
        <w:t>134</w:t>
      </w:r>
      <w:r w:rsidR="00434422" w:rsidRPr="00CB21B0">
        <w:t xml:space="preserve">  Subregulation</w:t>
      </w:r>
      <w:r w:rsidR="00CB21B0" w:rsidRPr="00CB21B0">
        <w:t> </w:t>
      </w:r>
      <w:r w:rsidR="00434422" w:rsidRPr="00CB21B0">
        <w:t>66(2)</w:t>
      </w:r>
    </w:p>
    <w:p w:rsidR="00434422" w:rsidRPr="00CB21B0" w:rsidRDefault="00434422" w:rsidP="00434422">
      <w:pPr>
        <w:pStyle w:val="Item"/>
      </w:pPr>
      <w:r w:rsidRPr="00CB21B0">
        <w:t>Omit “</w:t>
      </w:r>
      <w:r w:rsidR="0010787C" w:rsidRPr="00CB21B0">
        <w:t>interested person in relation to”, substitute “holder of the registration of”.</w:t>
      </w:r>
    </w:p>
    <w:p w:rsidR="007920DF" w:rsidRPr="00CB21B0" w:rsidRDefault="00220E6F" w:rsidP="007920DF">
      <w:pPr>
        <w:pStyle w:val="ItemHead"/>
        <w:rPr>
          <w:rFonts w:cs="Arial"/>
        </w:rPr>
      </w:pPr>
      <w:r w:rsidRPr="00CB21B0">
        <w:rPr>
          <w:rFonts w:cs="Arial"/>
          <w:noProof/>
        </w:rPr>
        <w:t>135</w:t>
      </w:r>
      <w:r w:rsidR="007920DF" w:rsidRPr="00CB21B0">
        <w:rPr>
          <w:rFonts w:cs="Arial"/>
        </w:rPr>
        <w:t xml:space="preserve">  Subregulation</w:t>
      </w:r>
      <w:r w:rsidR="00CB21B0" w:rsidRPr="00CB21B0">
        <w:rPr>
          <w:rFonts w:cs="Arial"/>
        </w:rPr>
        <w:t> </w:t>
      </w:r>
      <w:r w:rsidR="007920DF" w:rsidRPr="00CB21B0">
        <w:rPr>
          <w:rFonts w:cs="Arial"/>
        </w:rPr>
        <w:t>69(5)</w:t>
      </w:r>
    </w:p>
    <w:p w:rsidR="00AA5DBA" w:rsidRPr="00CB21B0" w:rsidRDefault="007920DF" w:rsidP="00AA5DBA">
      <w:pPr>
        <w:pStyle w:val="Item"/>
      </w:pPr>
      <w:r w:rsidRPr="00CB21B0">
        <w:t>Repeal the subregulation.</w:t>
      </w:r>
    </w:p>
    <w:p w:rsidR="007920DF" w:rsidRPr="00CB21B0" w:rsidRDefault="00220E6F" w:rsidP="00AA5DBA">
      <w:pPr>
        <w:pStyle w:val="ItemHead"/>
      </w:pPr>
      <w:r w:rsidRPr="00CB21B0">
        <w:rPr>
          <w:noProof/>
        </w:rPr>
        <w:t>136</w:t>
      </w:r>
      <w:r w:rsidR="007920DF" w:rsidRPr="00CB21B0">
        <w:t xml:space="preserve">  After regulation</w:t>
      </w:r>
      <w:r w:rsidR="00CB21B0" w:rsidRPr="00CB21B0">
        <w:t> </w:t>
      </w:r>
      <w:r w:rsidR="007920DF" w:rsidRPr="00CB21B0">
        <w:t>69</w:t>
      </w:r>
    </w:p>
    <w:p w:rsidR="007920DF" w:rsidRPr="00CB21B0" w:rsidRDefault="007920DF" w:rsidP="007920DF">
      <w:pPr>
        <w:pStyle w:val="Item"/>
      </w:pPr>
      <w:r w:rsidRPr="00CB21B0">
        <w:t>Insert:</w:t>
      </w:r>
    </w:p>
    <w:p w:rsidR="007920DF" w:rsidRPr="00CB21B0" w:rsidRDefault="007920DF" w:rsidP="007920DF">
      <w:pPr>
        <w:pStyle w:val="ActHead3"/>
      </w:pPr>
      <w:bookmarkStart w:id="87" w:name="_Toc361055084"/>
      <w:r w:rsidRPr="00CB21B0">
        <w:rPr>
          <w:rStyle w:val="CharDivNo"/>
        </w:rPr>
        <w:lastRenderedPageBreak/>
        <w:t>Division</w:t>
      </w:r>
      <w:r w:rsidR="00CB21B0" w:rsidRPr="00CB21B0">
        <w:rPr>
          <w:rStyle w:val="CharDivNo"/>
        </w:rPr>
        <w:t> </w:t>
      </w:r>
      <w:r w:rsidRPr="00CB21B0">
        <w:rPr>
          <w:rStyle w:val="CharDivNo"/>
        </w:rPr>
        <w:t>9.2</w:t>
      </w:r>
      <w:r w:rsidRPr="00CB21B0">
        <w:t>—</w:t>
      </w:r>
      <w:r w:rsidRPr="00CB21B0">
        <w:rPr>
          <w:rStyle w:val="CharDivText"/>
        </w:rPr>
        <w:t>Fees</w:t>
      </w:r>
      <w:bookmarkEnd w:id="87"/>
    </w:p>
    <w:p w:rsidR="007920DF" w:rsidRPr="00CB21B0" w:rsidRDefault="007920DF" w:rsidP="007920DF">
      <w:pPr>
        <w:pStyle w:val="ActHead5"/>
      </w:pPr>
      <w:bookmarkStart w:id="88" w:name="_Toc361055085"/>
      <w:r w:rsidRPr="00CB21B0">
        <w:rPr>
          <w:rStyle w:val="CharSectno"/>
        </w:rPr>
        <w:t>69</w:t>
      </w:r>
      <w:r w:rsidR="00567F29" w:rsidRPr="00CB21B0">
        <w:rPr>
          <w:rStyle w:val="CharSectno"/>
        </w:rPr>
        <w:t>B</w:t>
      </w:r>
      <w:r w:rsidR="001F2315" w:rsidRPr="00CB21B0">
        <w:t xml:space="preserve">  </w:t>
      </w:r>
      <w:r w:rsidRPr="00CB21B0">
        <w:t>Fees for pre</w:t>
      </w:r>
      <w:r w:rsidR="00CB21B0">
        <w:noBreakHyphen/>
      </w:r>
      <w:r w:rsidRPr="00CB21B0">
        <w:t>application assistance</w:t>
      </w:r>
      <w:bookmarkEnd w:id="88"/>
    </w:p>
    <w:p w:rsidR="007920DF" w:rsidRPr="00CB21B0" w:rsidRDefault="007920DF" w:rsidP="007920DF">
      <w:pPr>
        <w:pStyle w:val="subsection"/>
      </w:pPr>
      <w:r w:rsidRPr="00CB21B0">
        <w:tab/>
        <w:t>(1)</w:t>
      </w:r>
      <w:r w:rsidRPr="00CB21B0">
        <w:rPr>
          <w:b/>
          <w:bCs/>
        </w:rPr>
        <w:tab/>
      </w:r>
      <w:r w:rsidRPr="00CB21B0">
        <w:t>For section</w:t>
      </w:r>
      <w:r w:rsidR="00CB21B0" w:rsidRPr="00CB21B0">
        <w:t> </w:t>
      </w:r>
      <w:r w:rsidRPr="00CB21B0">
        <w:t>164 of the Code, this regulation provides for the fees payable in respect of pre</w:t>
      </w:r>
      <w:r w:rsidR="00CB21B0">
        <w:noBreakHyphen/>
      </w:r>
      <w:r w:rsidRPr="00CB21B0">
        <w:t>application assistance provided by the APVMA under regulation</w:t>
      </w:r>
      <w:r w:rsidR="00CB21B0" w:rsidRPr="00CB21B0">
        <w:t> </w:t>
      </w:r>
      <w:r w:rsidRPr="00CB21B0">
        <w:t>8A</w:t>
      </w:r>
      <w:r w:rsidR="00332BD3" w:rsidRPr="00CB21B0">
        <w:t>T</w:t>
      </w:r>
      <w:r w:rsidRPr="00CB21B0">
        <w:t>.</w:t>
      </w:r>
    </w:p>
    <w:p w:rsidR="007920DF" w:rsidRPr="00CB21B0" w:rsidRDefault="007920DF" w:rsidP="007920DF">
      <w:pPr>
        <w:pStyle w:val="subsection"/>
      </w:pPr>
      <w:r w:rsidRPr="00CB21B0">
        <w:tab/>
        <w:t>(2)</w:t>
      </w:r>
      <w:r w:rsidRPr="00CB21B0">
        <w:tab/>
        <w:t>The APVMA:</w:t>
      </w:r>
    </w:p>
    <w:p w:rsidR="007920DF" w:rsidRPr="00CB21B0" w:rsidRDefault="007920DF" w:rsidP="007920DF">
      <w:pPr>
        <w:pStyle w:val="paragraph"/>
      </w:pPr>
      <w:r w:rsidRPr="00CB21B0">
        <w:tab/>
        <w:t>(a)</w:t>
      </w:r>
      <w:r w:rsidRPr="00CB21B0">
        <w:tab/>
        <w:t xml:space="preserve">must, by legislative instrument, </w:t>
      </w:r>
      <w:r w:rsidR="008C0F88" w:rsidRPr="00CB21B0">
        <w:t>set out what constitutes a unit of pre</w:t>
      </w:r>
      <w:r w:rsidR="00CB21B0">
        <w:noBreakHyphen/>
      </w:r>
      <w:r w:rsidR="008C0F88" w:rsidRPr="00CB21B0">
        <w:t>application assistance for different kinds of assistance that might be provided</w:t>
      </w:r>
      <w:r w:rsidRPr="00CB21B0">
        <w:t>; and</w:t>
      </w:r>
    </w:p>
    <w:p w:rsidR="008C0F88" w:rsidRPr="00CB21B0" w:rsidRDefault="007920DF" w:rsidP="007920DF">
      <w:pPr>
        <w:pStyle w:val="paragraph"/>
      </w:pPr>
      <w:r w:rsidRPr="00CB21B0">
        <w:tab/>
        <w:t>(b)</w:t>
      </w:r>
      <w:r w:rsidRPr="00CB21B0">
        <w:tab/>
        <w:t>must state in the instrument whether a unit is based on</w:t>
      </w:r>
      <w:r w:rsidR="008C0F88" w:rsidRPr="00CB21B0">
        <w:t>:</w:t>
      </w:r>
    </w:p>
    <w:p w:rsidR="008C0F88" w:rsidRPr="00CB21B0" w:rsidRDefault="008C0F88" w:rsidP="008C0F88">
      <w:pPr>
        <w:pStyle w:val="paragraphsub"/>
      </w:pPr>
      <w:r w:rsidRPr="00CB21B0">
        <w:tab/>
        <w:t>(i)</w:t>
      </w:r>
      <w:r w:rsidRPr="00CB21B0">
        <w:tab/>
      </w:r>
      <w:r w:rsidR="007920DF" w:rsidRPr="00CB21B0">
        <w:t xml:space="preserve">the work of </w:t>
      </w:r>
      <w:r w:rsidR="00FD4FBA" w:rsidRPr="00CB21B0">
        <w:t>one</w:t>
      </w:r>
      <w:r w:rsidR="007920DF" w:rsidRPr="00CB21B0">
        <w:t xml:space="preserve"> person or 2 or more people</w:t>
      </w:r>
      <w:r w:rsidRPr="00CB21B0">
        <w:t>; or</w:t>
      </w:r>
    </w:p>
    <w:p w:rsidR="008C0F88" w:rsidRPr="00CB21B0" w:rsidRDefault="008C0F88" w:rsidP="008C0F88">
      <w:pPr>
        <w:pStyle w:val="paragraphsub"/>
      </w:pPr>
      <w:r w:rsidRPr="00CB21B0">
        <w:tab/>
        <w:t>(ii)</w:t>
      </w:r>
      <w:r w:rsidRPr="00CB21B0">
        <w:tab/>
        <w:t>a face to face meeting; or</w:t>
      </w:r>
    </w:p>
    <w:p w:rsidR="007920DF" w:rsidRPr="00CB21B0" w:rsidRDefault="008C0F88" w:rsidP="008C0F88">
      <w:pPr>
        <w:pStyle w:val="paragraphsub"/>
      </w:pPr>
      <w:r w:rsidRPr="00CB21B0">
        <w:tab/>
        <w:t>(iii)</w:t>
      </w:r>
      <w:r w:rsidRPr="00CB21B0">
        <w:tab/>
        <w:t>work done to prepare for a meeting</w:t>
      </w:r>
      <w:r w:rsidR="007920DF" w:rsidRPr="00CB21B0">
        <w:t>.</w:t>
      </w:r>
    </w:p>
    <w:p w:rsidR="007920DF" w:rsidRPr="00CB21B0" w:rsidRDefault="007920DF" w:rsidP="00AA5DBA">
      <w:pPr>
        <w:pStyle w:val="notetext"/>
      </w:pPr>
      <w:r w:rsidRPr="00CB21B0">
        <w:t>Example</w:t>
      </w:r>
      <w:r w:rsidR="00FD4FBA" w:rsidRPr="00CB21B0">
        <w:t>:</w:t>
      </w:r>
      <w:r w:rsidR="00AA5DBA" w:rsidRPr="00CB21B0">
        <w:rPr>
          <w:i/>
        </w:rPr>
        <w:tab/>
      </w:r>
      <w:r w:rsidR="00FD4FBA" w:rsidRPr="00CB21B0">
        <w:t>T</w:t>
      </w:r>
      <w:r w:rsidRPr="00CB21B0">
        <w:t>he instrument may state that a unit is a period of work performed by one person or a total period of work performed by 2 or more people.</w:t>
      </w:r>
    </w:p>
    <w:p w:rsidR="007920DF" w:rsidRPr="00CB21B0" w:rsidRDefault="007920DF" w:rsidP="007920DF">
      <w:pPr>
        <w:pStyle w:val="subsection"/>
      </w:pPr>
      <w:r w:rsidRPr="00CB21B0">
        <w:tab/>
        <w:t>(3)</w:t>
      </w:r>
      <w:r w:rsidRPr="00CB21B0">
        <w:tab/>
        <w:t>The fee for one unit, or a part of one unit, of pre</w:t>
      </w:r>
      <w:r w:rsidR="00CB21B0">
        <w:noBreakHyphen/>
      </w:r>
      <w:r w:rsidRPr="00CB21B0">
        <w:t>application assistance is $175.</w:t>
      </w:r>
    </w:p>
    <w:p w:rsidR="00AE6455" w:rsidRPr="00CB21B0" w:rsidRDefault="007920DF" w:rsidP="00AE6455">
      <w:pPr>
        <w:pStyle w:val="subsection"/>
      </w:pPr>
      <w:r w:rsidRPr="00CB21B0">
        <w:tab/>
        <w:t>(4)</w:t>
      </w:r>
      <w:r w:rsidRPr="00CB21B0">
        <w:tab/>
        <w:t xml:space="preserve">A person </w:t>
      </w:r>
      <w:r w:rsidR="00AE6455" w:rsidRPr="00CB21B0">
        <w:t>applying for</w:t>
      </w:r>
      <w:r w:rsidRPr="00CB21B0">
        <w:t xml:space="preserve"> pre</w:t>
      </w:r>
      <w:r w:rsidR="00CB21B0">
        <w:noBreakHyphen/>
      </w:r>
      <w:r w:rsidRPr="00CB21B0">
        <w:t xml:space="preserve">application assistance </w:t>
      </w:r>
      <w:r w:rsidR="00AE6455" w:rsidRPr="00CB21B0">
        <w:t>under regulation</w:t>
      </w:r>
      <w:r w:rsidR="00CB21B0" w:rsidRPr="00CB21B0">
        <w:t> </w:t>
      </w:r>
      <w:r w:rsidR="00AE6455" w:rsidRPr="00CB21B0">
        <w:t>8A</w:t>
      </w:r>
      <w:r w:rsidR="00176B14" w:rsidRPr="00CB21B0">
        <w:t>T</w:t>
      </w:r>
      <w:r w:rsidR="00AE6455" w:rsidRPr="00CB21B0">
        <w:t xml:space="preserve"> </w:t>
      </w:r>
      <w:r w:rsidRPr="00CB21B0">
        <w:t>must pay the fee that would be payable for</w:t>
      </w:r>
      <w:r w:rsidR="00AE6455" w:rsidRPr="00CB21B0">
        <w:t xml:space="preserve"> </w:t>
      </w:r>
      <w:r w:rsidRPr="00CB21B0">
        <w:t>2 units of pre</w:t>
      </w:r>
      <w:r w:rsidR="00CB21B0">
        <w:noBreakHyphen/>
      </w:r>
      <w:r w:rsidRPr="00CB21B0">
        <w:t xml:space="preserve">application assistance (regardless of the assistance </w:t>
      </w:r>
      <w:r w:rsidR="00AE6455" w:rsidRPr="00CB21B0">
        <w:t xml:space="preserve">to be </w:t>
      </w:r>
      <w:r w:rsidRPr="00CB21B0">
        <w:t>given by APVMA)</w:t>
      </w:r>
      <w:r w:rsidR="00AE6455" w:rsidRPr="00CB21B0">
        <w:t xml:space="preserve"> when the application is lodged.</w:t>
      </w:r>
    </w:p>
    <w:p w:rsidR="007920DF" w:rsidRPr="00CB21B0" w:rsidRDefault="00AE6455" w:rsidP="00AE6455">
      <w:pPr>
        <w:pStyle w:val="subsection"/>
      </w:pPr>
      <w:r w:rsidRPr="00CB21B0">
        <w:tab/>
        <w:t>(5)</w:t>
      </w:r>
      <w:r w:rsidRPr="00CB21B0">
        <w:tab/>
        <w:t>If more than 2 units of pre</w:t>
      </w:r>
      <w:r w:rsidR="00CB21B0">
        <w:noBreakHyphen/>
      </w:r>
      <w:r w:rsidRPr="00CB21B0">
        <w:t xml:space="preserve">application assistance are provided by the APVMA to the person in relation to the application, the person must pay the fee for </w:t>
      </w:r>
      <w:r w:rsidR="007920DF" w:rsidRPr="00CB21B0">
        <w:t xml:space="preserve">each </w:t>
      </w:r>
      <w:r w:rsidRPr="00CB21B0">
        <w:t xml:space="preserve">additional </w:t>
      </w:r>
      <w:r w:rsidR="007920DF" w:rsidRPr="00CB21B0">
        <w:t>unit, or part of a unit, of pre</w:t>
      </w:r>
      <w:r w:rsidR="00CB21B0">
        <w:noBreakHyphen/>
      </w:r>
      <w:r w:rsidR="007920DF" w:rsidRPr="00CB21B0">
        <w:t xml:space="preserve">application assistance provided to the person </w:t>
      </w:r>
      <w:r w:rsidR="001A4AB7" w:rsidRPr="00CB21B0">
        <w:t xml:space="preserve">when the APVMA issues an </w:t>
      </w:r>
      <w:r w:rsidRPr="00CB21B0">
        <w:t>invoice for the fee</w:t>
      </w:r>
      <w:r w:rsidR="007920DF" w:rsidRPr="00CB21B0">
        <w:t>.</w:t>
      </w:r>
    </w:p>
    <w:p w:rsidR="007920DF" w:rsidRPr="00CB21B0" w:rsidRDefault="007920DF" w:rsidP="007920DF">
      <w:pPr>
        <w:pStyle w:val="notetext"/>
      </w:pPr>
      <w:r w:rsidRPr="00CB21B0">
        <w:t>Note:</w:t>
      </w:r>
      <w:r w:rsidRPr="00CB21B0">
        <w:tab/>
        <w:t>Regulation</w:t>
      </w:r>
      <w:r w:rsidR="00CB21B0" w:rsidRPr="00CB21B0">
        <w:t> </w:t>
      </w:r>
      <w:r w:rsidRPr="00CB21B0">
        <w:t>70 provides for pre</w:t>
      </w:r>
      <w:r w:rsidR="00CB21B0">
        <w:noBreakHyphen/>
      </w:r>
      <w:r w:rsidRPr="00CB21B0">
        <w:t>application assistance fees to be rebated from fees payable for certain applications, up to a maximum rebate amount.</w:t>
      </w:r>
    </w:p>
    <w:p w:rsidR="007920DF" w:rsidRPr="00CB21B0" w:rsidRDefault="00220E6F" w:rsidP="007920DF">
      <w:pPr>
        <w:pStyle w:val="ItemHead"/>
      </w:pPr>
      <w:r w:rsidRPr="00CB21B0">
        <w:rPr>
          <w:noProof/>
        </w:rPr>
        <w:t>137</w:t>
      </w:r>
      <w:r w:rsidR="007920DF" w:rsidRPr="00CB21B0">
        <w:t xml:space="preserve">  Subregulations</w:t>
      </w:r>
      <w:r w:rsidR="00CB21B0" w:rsidRPr="00CB21B0">
        <w:t> </w:t>
      </w:r>
      <w:r w:rsidR="007920DF" w:rsidRPr="00CB21B0">
        <w:t>70(1) to (5)</w:t>
      </w:r>
    </w:p>
    <w:p w:rsidR="007920DF" w:rsidRPr="00CB21B0" w:rsidRDefault="007920DF" w:rsidP="007920DF">
      <w:pPr>
        <w:pStyle w:val="Item"/>
      </w:pPr>
      <w:r w:rsidRPr="00CB21B0">
        <w:t>Repeal the subregulations, substitute:</w:t>
      </w:r>
    </w:p>
    <w:p w:rsidR="007920DF" w:rsidRPr="00CB21B0" w:rsidRDefault="007920DF" w:rsidP="007920DF">
      <w:pPr>
        <w:pStyle w:val="subsection"/>
      </w:pPr>
      <w:r w:rsidRPr="00CB21B0">
        <w:lastRenderedPageBreak/>
        <w:tab/>
        <w:t>(1)</w:t>
      </w:r>
      <w:r w:rsidRPr="00CB21B0">
        <w:tab/>
        <w:t>For section</w:t>
      </w:r>
      <w:r w:rsidR="00CB21B0" w:rsidRPr="00CB21B0">
        <w:t> </w:t>
      </w:r>
      <w:r w:rsidRPr="00CB21B0">
        <w:t>164 of the Code, this regulation provides for the fees payable in respect of applications under the Code or these Regulations.</w:t>
      </w:r>
    </w:p>
    <w:p w:rsidR="007920DF" w:rsidRPr="00CB21B0" w:rsidRDefault="007920DF" w:rsidP="007920DF">
      <w:pPr>
        <w:pStyle w:val="notetext"/>
      </w:pPr>
      <w:r w:rsidRPr="00CB21B0">
        <w:t>Note:</w:t>
      </w:r>
      <w:r w:rsidRPr="00CB21B0">
        <w:tab/>
        <w:t>Regulations</w:t>
      </w:r>
      <w:r w:rsidR="00CB21B0" w:rsidRPr="00CB21B0">
        <w:t> </w:t>
      </w:r>
      <w:r w:rsidRPr="00CB21B0">
        <w:t>70A, 70B, 71A, 72 and 72A make further provision regarding fees payable in respect of applications under the Code.</w:t>
      </w:r>
    </w:p>
    <w:p w:rsidR="007920DF" w:rsidRPr="00CB21B0" w:rsidRDefault="007920DF" w:rsidP="007920DF">
      <w:pPr>
        <w:pStyle w:val="subsection"/>
      </w:pPr>
      <w:r w:rsidRPr="00CB21B0">
        <w:tab/>
        <w:t>(2)</w:t>
      </w:r>
      <w:r w:rsidRPr="00CB21B0">
        <w:tab/>
        <w:t xml:space="preserve">The fee </w:t>
      </w:r>
      <w:r w:rsidR="004D5737" w:rsidRPr="00CB21B0">
        <w:t xml:space="preserve">(the </w:t>
      </w:r>
      <w:r w:rsidR="004D5737" w:rsidRPr="00CB21B0">
        <w:rPr>
          <w:b/>
          <w:i/>
        </w:rPr>
        <w:t>application fee</w:t>
      </w:r>
      <w:r w:rsidR="004D5737" w:rsidRPr="00CB21B0">
        <w:t xml:space="preserve">) </w:t>
      </w:r>
      <w:r w:rsidRPr="00CB21B0">
        <w:t xml:space="preserve">payable for an application of a kind mentioned in column </w:t>
      </w:r>
      <w:r w:rsidR="002418F4" w:rsidRPr="00CB21B0">
        <w:t>1</w:t>
      </w:r>
      <w:r w:rsidRPr="00CB21B0">
        <w:t xml:space="preserve"> of an item in Part</w:t>
      </w:r>
      <w:r w:rsidR="00CB21B0" w:rsidRPr="00CB21B0">
        <w:t> </w:t>
      </w:r>
      <w:r w:rsidRPr="00CB21B0">
        <w:t>2 of Schedule</w:t>
      </w:r>
      <w:r w:rsidR="00CB21B0" w:rsidRPr="00CB21B0">
        <w:t> </w:t>
      </w:r>
      <w:r w:rsidRPr="00CB21B0">
        <w:t>6 is as follows:</w:t>
      </w:r>
    </w:p>
    <w:p w:rsidR="007920DF" w:rsidRPr="00CB21B0" w:rsidRDefault="007920DF" w:rsidP="007920DF">
      <w:pPr>
        <w:pStyle w:val="paragraph"/>
      </w:pPr>
      <w:r w:rsidRPr="00CB21B0">
        <w:tab/>
        <w:t>(</w:t>
      </w:r>
      <w:r w:rsidR="004E0232" w:rsidRPr="00CB21B0">
        <w:t>a</w:t>
      </w:r>
      <w:r w:rsidRPr="00CB21B0">
        <w:t>)</w:t>
      </w:r>
      <w:r w:rsidRPr="00CB21B0">
        <w:tab/>
        <w:t>for an application lodged on or after 1</w:t>
      </w:r>
      <w:r w:rsidR="00CB21B0" w:rsidRPr="00CB21B0">
        <w:t> </w:t>
      </w:r>
      <w:r w:rsidRPr="00CB21B0">
        <w:t>July 2014 but before 1</w:t>
      </w:r>
      <w:r w:rsidR="00CB21B0" w:rsidRPr="00CB21B0">
        <w:t> </w:t>
      </w:r>
      <w:r w:rsidRPr="00CB21B0">
        <w:t>J</w:t>
      </w:r>
      <w:r w:rsidR="008C47FE" w:rsidRPr="00CB21B0">
        <w:t>anuary</w:t>
      </w:r>
      <w:r w:rsidRPr="00CB21B0">
        <w:t xml:space="preserve"> 2015—the fee (if any) me</w:t>
      </w:r>
      <w:r w:rsidR="00C66835" w:rsidRPr="00CB21B0">
        <w:t xml:space="preserve">ntioned for the item in Column </w:t>
      </w:r>
      <w:r w:rsidR="002418F4" w:rsidRPr="00CB21B0">
        <w:t>5</w:t>
      </w:r>
      <w:r w:rsidRPr="00CB21B0">
        <w:t xml:space="preserve"> of Part</w:t>
      </w:r>
      <w:r w:rsidR="00CB21B0" w:rsidRPr="00CB21B0">
        <w:t> </w:t>
      </w:r>
      <w:r w:rsidRPr="00CB21B0">
        <w:t>2 of Schedule</w:t>
      </w:r>
      <w:r w:rsidR="00CB21B0" w:rsidRPr="00CB21B0">
        <w:t> </w:t>
      </w:r>
      <w:r w:rsidRPr="00CB21B0">
        <w:t>6;</w:t>
      </w:r>
    </w:p>
    <w:p w:rsidR="007920DF" w:rsidRPr="00CB21B0" w:rsidRDefault="007920DF" w:rsidP="007920DF">
      <w:pPr>
        <w:pStyle w:val="paragraph"/>
      </w:pPr>
      <w:r w:rsidRPr="00CB21B0">
        <w:tab/>
        <w:t>(</w:t>
      </w:r>
      <w:r w:rsidR="004E0232" w:rsidRPr="00CB21B0">
        <w:t>b</w:t>
      </w:r>
      <w:r w:rsidRPr="00CB21B0">
        <w:t>)</w:t>
      </w:r>
      <w:r w:rsidRPr="00CB21B0">
        <w:tab/>
        <w:t>for an application lodged on or after 1</w:t>
      </w:r>
      <w:r w:rsidR="00CB21B0" w:rsidRPr="00CB21B0">
        <w:t> </w:t>
      </w:r>
      <w:r w:rsidRPr="00CB21B0">
        <w:t>J</w:t>
      </w:r>
      <w:r w:rsidR="004656A7" w:rsidRPr="00CB21B0">
        <w:t>anuar</w:t>
      </w:r>
      <w:r w:rsidRPr="00CB21B0">
        <w:t xml:space="preserve">y 2015—the fee (if any) mentioned for the item in Column </w:t>
      </w:r>
      <w:r w:rsidR="002418F4" w:rsidRPr="00CB21B0">
        <w:t>6</w:t>
      </w:r>
      <w:r w:rsidRPr="00CB21B0">
        <w:t xml:space="preserve"> of Part</w:t>
      </w:r>
      <w:r w:rsidR="00CB21B0" w:rsidRPr="00CB21B0">
        <w:t> </w:t>
      </w:r>
      <w:r w:rsidRPr="00CB21B0">
        <w:t>2 of Schedule</w:t>
      </w:r>
      <w:r w:rsidR="00CB21B0" w:rsidRPr="00CB21B0">
        <w:t> </w:t>
      </w:r>
      <w:r w:rsidRPr="00CB21B0">
        <w:t>6.</w:t>
      </w:r>
    </w:p>
    <w:p w:rsidR="007920DF" w:rsidRPr="00CB21B0" w:rsidRDefault="007920DF" w:rsidP="007920DF">
      <w:pPr>
        <w:pStyle w:val="subsection"/>
      </w:pPr>
      <w:r w:rsidRPr="00CB21B0">
        <w:tab/>
        <w:t>(3)</w:t>
      </w:r>
      <w:r w:rsidRPr="00CB21B0">
        <w:tab/>
        <w:t>If any pre</w:t>
      </w:r>
      <w:r w:rsidR="00CB21B0">
        <w:noBreakHyphen/>
      </w:r>
      <w:r w:rsidRPr="00CB21B0">
        <w:t>application assistance fee is paid in relation to an application, the</w:t>
      </w:r>
      <w:r w:rsidR="004D5737" w:rsidRPr="00CB21B0">
        <w:t xml:space="preserve"> application fee</w:t>
      </w:r>
      <w:r w:rsidRPr="00CB21B0">
        <w:t xml:space="preserve"> </w:t>
      </w:r>
      <w:r w:rsidR="000025D9" w:rsidRPr="00CB21B0">
        <w:t xml:space="preserve">for the application </w:t>
      </w:r>
      <w:r w:rsidRPr="00CB21B0">
        <w:t>is reduced by the amount of pre</w:t>
      </w:r>
      <w:r w:rsidR="00CB21B0">
        <w:noBreakHyphen/>
      </w:r>
      <w:r w:rsidRPr="00CB21B0">
        <w:t>application assistance fee paid.</w:t>
      </w:r>
    </w:p>
    <w:p w:rsidR="007920DF" w:rsidRPr="00CB21B0" w:rsidRDefault="007920DF" w:rsidP="007920DF">
      <w:pPr>
        <w:pStyle w:val="subsection"/>
      </w:pPr>
      <w:r w:rsidRPr="00CB21B0">
        <w:tab/>
        <w:t>(4)</w:t>
      </w:r>
      <w:r w:rsidRPr="00CB21B0">
        <w:tab/>
        <w:t>However, the maximum amount by which the application fee may be reduced under subregulation (</w:t>
      </w:r>
      <w:r w:rsidR="000025D9" w:rsidRPr="00CB21B0">
        <w:t>3</w:t>
      </w:r>
      <w:r w:rsidRPr="00CB21B0">
        <w:t xml:space="preserve">), for an application of a kind mentioned in Column </w:t>
      </w:r>
      <w:r w:rsidR="002418F4" w:rsidRPr="00CB21B0">
        <w:t>1</w:t>
      </w:r>
      <w:r w:rsidRPr="00CB21B0">
        <w:t xml:space="preserve"> of an item in Part</w:t>
      </w:r>
      <w:r w:rsidR="00CB21B0" w:rsidRPr="00CB21B0">
        <w:t> </w:t>
      </w:r>
      <w:r w:rsidRPr="00CB21B0">
        <w:t>2 of Schedule</w:t>
      </w:r>
      <w:r w:rsidR="00CB21B0" w:rsidRPr="00CB21B0">
        <w:t> </w:t>
      </w:r>
      <w:r w:rsidRPr="00CB21B0">
        <w:t xml:space="preserve">6, is the amount mentioned in column </w:t>
      </w:r>
      <w:r w:rsidR="001A4AB7" w:rsidRPr="00CB21B0">
        <w:t>4</w:t>
      </w:r>
      <w:r w:rsidRPr="00CB21B0">
        <w:t xml:space="preserve"> for the item.</w:t>
      </w:r>
    </w:p>
    <w:p w:rsidR="007920DF" w:rsidRPr="00CB21B0" w:rsidRDefault="00C66835" w:rsidP="007920DF">
      <w:pPr>
        <w:pStyle w:val="subsection"/>
      </w:pPr>
      <w:r w:rsidRPr="00CB21B0">
        <w:tab/>
        <w:t>(5)</w:t>
      </w:r>
      <w:r w:rsidRPr="00CB21B0">
        <w:tab/>
        <w:t xml:space="preserve">A reference in Column </w:t>
      </w:r>
      <w:r w:rsidR="002418F4" w:rsidRPr="00CB21B0">
        <w:t>5</w:t>
      </w:r>
      <w:r w:rsidRPr="00CB21B0">
        <w:t xml:space="preserve"> or</w:t>
      </w:r>
      <w:r w:rsidR="007920DF" w:rsidRPr="00CB21B0">
        <w:t xml:space="preserve"> </w:t>
      </w:r>
      <w:r w:rsidR="002418F4" w:rsidRPr="00CB21B0">
        <w:t>6</w:t>
      </w:r>
      <w:r w:rsidRPr="00CB21B0">
        <w:t xml:space="preserve"> </w:t>
      </w:r>
      <w:r w:rsidR="007920DF" w:rsidRPr="00CB21B0">
        <w:t>of an item in Part</w:t>
      </w:r>
      <w:r w:rsidR="00CB21B0" w:rsidRPr="00CB21B0">
        <w:t> </w:t>
      </w:r>
      <w:r w:rsidR="007920DF" w:rsidRPr="00CB21B0">
        <w:t>2 of Schedule</w:t>
      </w:r>
      <w:r w:rsidR="00CB21B0" w:rsidRPr="00CB21B0">
        <w:t> </w:t>
      </w:r>
      <w:r w:rsidR="007920DF" w:rsidRPr="00CB21B0">
        <w:t>6 to a modular assessment fee is a reference to the modular assessment fee in respect of the application to which that item refers, worked out in accordance with regulation</w:t>
      </w:r>
      <w:r w:rsidR="00CB21B0" w:rsidRPr="00CB21B0">
        <w:t> </w:t>
      </w:r>
      <w:r w:rsidR="007920DF" w:rsidRPr="00CB21B0">
        <w:t>7</w:t>
      </w:r>
      <w:r w:rsidRPr="00CB21B0">
        <w:t>0A</w:t>
      </w:r>
      <w:r w:rsidR="003C7100" w:rsidRPr="00CB21B0">
        <w:t>.</w:t>
      </w:r>
    </w:p>
    <w:p w:rsidR="007920DF" w:rsidRPr="00CB21B0" w:rsidRDefault="007920DF" w:rsidP="007920DF">
      <w:pPr>
        <w:pStyle w:val="subsection"/>
      </w:pPr>
      <w:r w:rsidRPr="00CB21B0">
        <w:tab/>
        <w:t>(6)</w:t>
      </w:r>
      <w:r w:rsidRPr="00CB21B0">
        <w:tab/>
        <w:t xml:space="preserve">The </w:t>
      </w:r>
      <w:r w:rsidR="0010787C" w:rsidRPr="00CB21B0">
        <w:t xml:space="preserve">minimum </w:t>
      </w:r>
      <w:r w:rsidR="00E811C2" w:rsidRPr="00CB21B0">
        <w:t xml:space="preserve">amount of the application </w:t>
      </w:r>
      <w:r w:rsidRPr="00CB21B0">
        <w:t>fee that is required to be paid at the time of making an application</w:t>
      </w:r>
      <w:r w:rsidR="00F2097D" w:rsidRPr="00CB21B0">
        <w:t xml:space="preserve"> (the</w:t>
      </w:r>
      <w:r w:rsidR="009E77C5" w:rsidRPr="00CB21B0">
        <w:t xml:space="preserve"> </w:t>
      </w:r>
      <w:r w:rsidR="009E77C5" w:rsidRPr="00CB21B0">
        <w:rPr>
          <w:b/>
          <w:i/>
        </w:rPr>
        <w:t>minimum assessment fe</w:t>
      </w:r>
      <w:r w:rsidR="00F2097D" w:rsidRPr="00CB21B0">
        <w:rPr>
          <w:b/>
          <w:i/>
        </w:rPr>
        <w:t>e</w:t>
      </w:r>
      <w:r w:rsidR="00F2097D" w:rsidRPr="00CB21B0">
        <w:t>)</w:t>
      </w:r>
      <w:r w:rsidRPr="00CB21B0">
        <w:t xml:space="preserve"> is as follows:</w:t>
      </w:r>
    </w:p>
    <w:p w:rsidR="0083147C" w:rsidRPr="00CB21B0" w:rsidRDefault="007920DF" w:rsidP="0010787C">
      <w:pPr>
        <w:pStyle w:val="paragraph"/>
      </w:pPr>
      <w:r w:rsidRPr="00CB21B0">
        <w:tab/>
      </w:r>
      <w:r w:rsidR="0083147C" w:rsidRPr="00CB21B0">
        <w:t>(</w:t>
      </w:r>
      <w:r w:rsidR="00C66835" w:rsidRPr="00CB21B0">
        <w:t>a</w:t>
      </w:r>
      <w:r w:rsidR="0083147C" w:rsidRPr="00CB21B0">
        <w:t>)</w:t>
      </w:r>
      <w:r w:rsidR="0083147C" w:rsidRPr="00CB21B0">
        <w:tab/>
        <w:t>for an application lodged on or after 1</w:t>
      </w:r>
      <w:r w:rsidR="00CB21B0" w:rsidRPr="00CB21B0">
        <w:t> </w:t>
      </w:r>
      <w:r w:rsidR="0083147C" w:rsidRPr="00CB21B0">
        <w:t>July 2014 and before 1</w:t>
      </w:r>
      <w:r w:rsidR="00CB21B0" w:rsidRPr="00CB21B0">
        <w:t> </w:t>
      </w:r>
      <w:r w:rsidR="0083147C" w:rsidRPr="00CB21B0">
        <w:t>January 2015:</w:t>
      </w:r>
    </w:p>
    <w:p w:rsidR="0083147C" w:rsidRPr="00CB21B0" w:rsidRDefault="0083147C" w:rsidP="0083147C">
      <w:pPr>
        <w:pStyle w:val="paragraphsub"/>
      </w:pPr>
      <w:r w:rsidRPr="00CB21B0">
        <w:tab/>
        <w:t>(i)</w:t>
      </w:r>
      <w:r w:rsidRPr="00CB21B0">
        <w:tab/>
        <w:t>if the application fee for the application is less than $620—</w:t>
      </w:r>
      <w:r w:rsidR="0058089A" w:rsidRPr="00CB21B0">
        <w:t xml:space="preserve">the </w:t>
      </w:r>
      <w:r w:rsidR="009E77C5" w:rsidRPr="00CB21B0">
        <w:t>minimum assessment</w:t>
      </w:r>
      <w:r w:rsidR="0058089A" w:rsidRPr="00CB21B0">
        <w:t xml:space="preserve"> fee is </w:t>
      </w:r>
      <w:r w:rsidRPr="00CB21B0">
        <w:t xml:space="preserve">the </w:t>
      </w:r>
      <w:r w:rsidR="00E5157C" w:rsidRPr="00CB21B0">
        <w:t xml:space="preserve">total amount of the </w:t>
      </w:r>
      <w:r w:rsidRPr="00CB21B0">
        <w:t>application fee; and</w:t>
      </w:r>
    </w:p>
    <w:p w:rsidR="0083147C" w:rsidRPr="00CB21B0" w:rsidRDefault="0083147C" w:rsidP="0083147C">
      <w:pPr>
        <w:pStyle w:val="paragraphsub"/>
      </w:pPr>
      <w:r w:rsidRPr="00CB21B0">
        <w:tab/>
        <w:t>(ii)</w:t>
      </w:r>
      <w:r w:rsidRPr="00CB21B0">
        <w:tab/>
        <w:t>in any other case—</w:t>
      </w:r>
      <w:r w:rsidR="0058089A" w:rsidRPr="00CB21B0">
        <w:t xml:space="preserve">the </w:t>
      </w:r>
      <w:r w:rsidR="009E77C5" w:rsidRPr="00CB21B0">
        <w:t>minimum assessment</w:t>
      </w:r>
      <w:r w:rsidR="0058089A" w:rsidRPr="00CB21B0">
        <w:t xml:space="preserve"> fee is </w:t>
      </w:r>
      <w:r w:rsidRPr="00CB21B0">
        <w:t>$620;</w:t>
      </w:r>
    </w:p>
    <w:p w:rsidR="0083147C" w:rsidRPr="00CB21B0" w:rsidRDefault="0083147C" w:rsidP="0083147C">
      <w:pPr>
        <w:pStyle w:val="paragraph"/>
      </w:pPr>
      <w:r w:rsidRPr="00CB21B0">
        <w:tab/>
        <w:t>(</w:t>
      </w:r>
      <w:r w:rsidR="00C66835" w:rsidRPr="00CB21B0">
        <w:t>b</w:t>
      </w:r>
      <w:r w:rsidRPr="00CB21B0">
        <w:t>)</w:t>
      </w:r>
      <w:r w:rsidRPr="00CB21B0">
        <w:tab/>
        <w:t>for an application lodged on or after 1</w:t>
      </w:r>
      <w:r w:rsidR="00CB21B0" w:rsidRPr="00CB21B0">
        <w:t> </w:t>
      </w:r>
      <w:r w:rsidRPr="00CB21B0">
        <w:t>J</w:t>
      </w:r>
      <w:r w:rsidR="00E5157C" w:rsidRPr="00CB21B0">
        <w:t>anuary 2015</w:t>
      </w:r>
      <w:r w:rsidRPr="00CB21B0">
        <w:t>:</w:t>
      </w:r>
    </w:p>
    <w:p w:rsidR="0083147C" w:rsidRPr="00CB21B0" w:rsidRDefault="0083147C" w:rsidP="0083147C">
      <w:pPr>
        <w:pStyle w:val="paragraphsub"/>
      </w:pPr>
      <w:r w:rsidRPr="00CB21B0">
        <w:lastRenderedPageBreak/>
        <w:tab/>
        <w:t>(i)</w:t>
      </w:r>
      <w:r w:rsidRPr="00CB21B0">
        <w:tab/>
        <w:t>if the application fee for the application is less than $</w:t>
      </w:r>
      <w:r w:rsidR="00E5157C" w:rsidRPr="00CB21B0">
        <w:t>710</w:t>
      </w:r>
      <w:r w:rsidRPr="00CB21B0">
        <w:t>—the</w:t>
      </w:r>
      <w:r w:rsidR="0058089A" w:rsidRPr="00CB21B0">
        <w:t xml:space="preserve"> </w:t>
      </w:r>
      <w:r w:rsidR="009E77C5" w:rsidRPr="00CB21B0">
        <w:t>minimum assessment f</w:t>
      </w:r>
      <w:r w:rsidR="0058089A" w:rsidRPr="00CB21B0">
        <w:t>ee is the</w:t>
      </w:r>
      <w:r w:rsidR="00E5157C" w:rsidRPr="00CB21B0">
        <w:t xml:space="preserve"> total amount of the</w:t>
      </w:r>
      <w:r w:rsidRPr="00CB21B0">
        <w:t xml:space="preserve"> application fee; and</w:t>
      </w:r>
    </w:p>
    <w:p w:rsidR="007920DF" w:rsidRPr="00CB21B0" w:rsidRDefault="0083147C" w:rsidP="00E5157C">
      <w:pPr>
        <w:pStyle w:val="paragraphsub"/>
      </w:pPr>
      <w:r w:rsidRPr="00CB21B0">
        <w:tab/>
        <w:t>(ii)</w:t>
      </w:r>
      <w:r w:rsidRPr="00CB21B0">
        <w:tab/>
        <w:t>in any other case—</w:t>
      </w:r>
      <w:r w:rsidR="0058089A" w:rsidRPr="00CB21B0">
        <w:t xml:space="preserve">the </w:t>
      </w:r>
      <w:r w:rsidR="009E77C5" w:rsidRPr="00CB21B0">
        <w:t>minimum assessment</w:t>
      </w:r>
      <w:r w:rsidR="0058089A" w:rsidRPr="00CB21B0">
        <w:t xml:space="preserve"> fee is </w:t>
      </w:r>
      <w:r w:rsidRPr="00CB21B0">
        <w:t>$</w:t>
      </w:r>
      <w:r w:rsidR="00E5157C" w:rsidRPr="00CB21B0">
        <w:t>710</w:t>
      </w:r>
      <w:r w:rsidR="007920DF" w:rsidRPr="00CB21B0">
        <w:t>.</w:t>
      </w:r>
    </w:p>
    <w:p w:rsidR="007920DF" w:rsidRPr="00CB21B0" w:rsidRDefault="007920DF" w:rsidP="000025D9">
      <w:pPr>
        <w:pStyle w:val="notetext"/>
      </w:pPr>
      <w:r w:rsidRPr="00CB21B0">
        <w:t>Note:</w:t>
      </w:r>
      <w:r w:rsidRPr="00CB21B0">
        <w:tab/>
        <w:t>Subparagraph 8A(a)(iii) of the Code states that an application must be accompanied by so much of the prescribed fee as is required to be paid when the application is made.</w:t>
      </w:r>
    </w:p>
    <w:p w:rsidR="00EB3EE0" w:rsidRPr="00CB21B0" w:rsidRDefault="00EB3EE0" w:rsidP="00EB3EE0">
      <w:pPr>
        <w:pStyle w:val="subsection"/>
      </w:pPr>
      <w:r w:rsidRPr="00CB21B0">
        <w:tab/>
      </w:r>
      <w:r w:rsidR="002742DE" w:rsidRPr="00CB21B0">
        <w:t>(7)</w:t>
      </w:r>
      <w:r w:rsidR="002742DE" w:rsidRPr="00CB21B0">
        <w:tab/>
      </w:r>
      <w:r w:rsidR="005E10C0" w:rsidRPr="00CB21B0">
        <w:t>T</w:t>
      </w:r>
      <w:r w:rsidR="002742DE" w:rsidRPr="00CB21B0">
        <w:t>he balance, if any, of the application fee is payable within 28 days of the date of the notice given to the applicant in relation to the application under regulation</w:t>
      </w:r>
      <w:r w:rsidR="00CB21B0" w:rsidRPr="00CB21B0">
        <w:t> </w:t>
      </w:r>
      <w:r w:rsidR="002742DE" w:rsidRPr="00CB21B0">
        <w:t>8A</w:t>
      </w:r>
      <w:r w:rsidR="00883FB9" w:rsidRPr="00CB21B0">
        <w:t>O</w:t>
      </w:r>
      <w:r w:rsidR="00541A57" w:rsidRPr="00CB21B0">
        <w:t>,</w:t>
      </w:r>
      <w:r w:rsidR="002742DE" w:rsidRPr="00CB21B0">
        <w:t xml:space="preserve"> 8A</w:t>
      </w:r>
      <w:r w:rsidR="00883FB9" w:rsidRPr="00CB21B0">
        <w:t>P</w:t>
      </w:r>
      <w:r w:rsidR="00541A57" w:rsidRPr="00CB21B0">
        <w:t xml:space="preserve"> or 8</w:t>
      </w:r>
      <w:r w:rsidR="00D83B5B" w:rsidRPr="00CB21B0">
        <w:t>A</w:t>
      </w:r>
      <w:r w:rsidR="00220E6F" w:rsidRPr="00CB21B0">
        <w:t>Q</w:t>
      </w:r>
      <w:r w:rsidR="002742DE" w:rsidRPr="00CB21B0">
        <w:t>.</w:t>
      </w:r>
    </w:p>
    <w:p w:rsidR="007920DF" w:rsidRPr="00CB21B0" w:rsidRDefault="00220E6F" w:rsidP="00000562">
      <w:pPr>
        <w:pStyle w:val="ItemHead"/>
      </w:pPr>
      <w:r w:rsidRPr="00CB21B0">
        <w:t>138</w:t>
      </w:r>
      <w:r w:rsidR="007920DF" w:rsidRPr="00CB21B0">
        <w:t xml:space="preserve">  Subregulation</w:t>
      </w:r>
      <w:r w:rsidR="00CB21B0" w:rsidRPr="00CB21B0">
        <w:t> </w:t>
      </w:r>
      <w:r w:rsidR="007920DF" w:rsidRPr="00CB21B0">
        <w:t>70(6)</w:t>
      </w:r>
    </w:p>
    <w:p w:rsidR="007920DF" w:rsidRPr="00CB21B0" w:rsidRDefault="007920DF" w:rsidP="007920DF">
      <w:pPr>
        <w:pStyle w:val="Item"/>
      </w:pPr>
      <w:r w:rsidRPr="00CB21B0">
        <w:t>Renumber as subregulation</w:t>
      </w:r>
      <w:r w:rsidR="00CB21B0" w:rsidRPr="00CB21B0">
        <w:t> </w:t>
      </w:r>
      <w:r w:rsidRPr="00CB21B0">
        <w:t>70(</w:t>
      </w:r>
      <w:r w:rsidR="0010787C" w:rsidRPr="00CB21B0">
        <w:t>8</w:t>
      </w:r>
      <w:r w:rsidRPr="00CB21B0">
        <w:t>).</w:t>
      </w:r>
    </w:p>
    <w:p w:rsidR="00000562" w:rsidRPr="00CB21B0" w:rsidRDefault="00220E6F" w:rsidP="00000562">
      <w:pPr>
        <w:pStyle w:val="ItemHead"/>
      </w:pPr>
      <w:r w:rsidRPr="00CB21B0">
        <w:t>139</w:t>
      </w:r>
      <w:r w:rsidR="00000562" w:rsidRPr="00CB21B0">
        <w:t xml:space="preserve">  </w:t>
      </w:r>
      <w:r w:rsidR="000025D9" w:rsidRPr="00CB21B0">
        <w:t>R</w:t>
      </w:r>
      <w:r w:rsidR="00000562" w:rsidRPr="00CB21B0">
        <w:t>egulation</w:t>
      </w:r>
      <w:r w:rsidR="000025D9" w:rsidRPr="00CB21B0">
        <w:t>s</w:t>
      </w:r>
      <w:r w:rsidR="00CB21B0" w:rsidRPr="00CB21B0">
        <w:t> </w:t>
      </w:r>
      <w:r w:rsidR="00000562" w:rsidRPr="00CB21B0">
        <w:t>70</w:t>
      </w:r>
      <w:r w:rsidR="000025D9" w:rsidRPr="00CB21B0">
        <w:t>A and 71</w:t>
      </w:r>
    </w:p>
    <w:p w:rsidR="00000562" w:rsidRPr="00CB21B0" w:rsidRDefault="000025D9" w:rsidP="00000562">
      <w:pPr>
        <w:pStyle w:val="Item"/>
      </w:pPr>
      <w:r w:rsidRPr="00CB21B0">
        <w:t>Repeal the regulations, substitute:</w:t>
      </w:r>
    </w:p>
    <w:p w:rsidR="00000562" w:rsidRPr="00CB21B0" w:rsidRDefault="001A4AB7" w:rsidP="001A4AB7">
      <w:pPr>
        <w:pStyle w:val="ActHead5"/>
      </w:pPr>
      <w:bookmarkStart w:id="89" w:name="_Toc361055086"/>
      <w:r w:rsidRPr="00CB21B0">
        <w:rPr>
          <w:rStyle w:val="CharSectno"/>
        </w:rPr>
        <w:t>70A</w:t>
      </w:r>
      <w:r w:rsidR="00000562" w:rsidRPr="00CB21B0">
        <w:t xml:space="preserve">  </w:t>
      </w:r>
      <w:r w:rsidR="0067285E" w:rsidRPr="00CB21B0">
        <w:t>Modular assessment fees</w:t>
      </w:r>
      <w:bookmarkEnd w:id="89"/>
    </w:p>
    <w:p w:rsidR="00550F00" w:rsidRPr="00CB21B0" w:rsidRDefault="00550F00" w:rsidP="00FF6B8A">
      <w:pPr>
        <w:pStyle w:val="subsection"/>
      </w:pPr>
      <w:r w:rsidRPr="00CB21B0">
        <w:tab/>
        <w:t>(1)</w:t>
      </w:r>
      <w:r w:rsidRPr="00CB21B0">
        <w:tab/>
        <w:t>Schedule</w:t>
      </w:r>
      <w:r w:rsidR="00CB21B0" w:rsidRPr="00CB21B0">
        <w:t> </w:t>
      </w:r>
      <w:r w:rsidRPr="00CB21B0">
        <w:t>7 sets out the assessment modules that may be necessary to determine an application for which a modular assessment fee is payable.</w:t>
      </w:r>
    </w:p>
    <w:p w:rsidR="00550F00" w:rsidRPr="00CB21B0" w:rsidRDefault="00550F00" w:rsidP="00550F00">
      <w:pPr>
        <w:pStyle w:val="subsection"/>
      </w:pPr>
      <w:r w:rsidRPr="00CB21B0">
        <w:tab/>
        <w:t>(2)</w:t>
      </w:r>
      <w:r w:rsidRPr="00CB21B0">
        <w:tab/>
        <w:t>An assessment module may have different levels or types of assessment.</w:t>
      </w:r>
    </w:p>
    <w:p w:rsidR="00550F00" w:rsidRPr="00CB21B0" w:rsidRDefault="00550F00" w:rsidP="00550F00">
      <w:pPr>
        <w:pStyle w:val="subsection"/>
      </w:pPr>
      <w:r w:rsidRPr="00CB21B0">
        <w:tab/>
        <w:t>(3)</w:t>
      </w:r>
      <w:r w:rsidRPr="00CB21B0">
        <w:tab/>
        <w:t>The fee payable for a module, level or type of assessment mentioned in an item in Schedule</w:t>
      </w:r>
      <w:r w:rsidR="00CB21B0" w:rsidRPr="00CB21B0">
        <w:t> </w:t>
      </w:r>
      <w:r w:rsidRPr="00CB21B0">
        <w:t>7, in relation to an application, is as follows:</w:t>
      </w:r>
    </w:p>
    <w:p w:rsidR="00550F00" w:rsidRPr="00CB21B0" w:rsidRDefault="00550F00" w:rsidP="00550F00">
      <w:pPr>
        <w:pStyle w:val="paragraph"/>
      </w:pPr>
      <w:r w:rsidRPr="00CB21B0">
        <w:tab/>
        <w:t>(</w:t>
      </w:r>
      <w:r w:rsidR="00C66835" w:rsidRPr="00CB21B0">
        <w:t>a</w:t>
      </w:r>
      <w:r w:rsidRPr="00CB21B0">
        <w:t>)</w:t>
      </w:r>
      <w:r w:rsidRPr="00CB21B0">
        <w:tab/>
        <w:t>for an application lodged on or after 1</w:t>
      </w:r>
      <w:r w:rsidR="00CB21B0" w:rsidRPr="00CB21B0">
        <w:t> </w:t>
      </w:r>
      <w:r w:rsidRPr="00CB21B0">
        <w:t>July 2014 and before 1</w:t>
      </w:r>
      <w:r w:rsidR="00CB21B0" w:rsidRPr="00CB21B0">
        <w:t> </w:t>
      </w:r>
      <w:r w:rsidRPr="00CB21B0">
        <w:t>J</w:t>
      </w:r>
      <w:r w:rsidR="008C47FE" w:rsidRPr="00CB21B0">
        <w:t>anuary</w:t>
      </w:r>
      <w:r w:rsidRPr="00CB21B0">
        <w:t xml:space="preserve"> 2015—the fee (if any) mentioned for the item in column </w:t>
      </w:r>
      <w:r w:rsidR="002418F4" w:rsidRPr="00CB21B0">
        <w:t>3</w:t>
      </w:r>
      <w:r w:rsidRPr="00CB21B0">
        <w:t xml:space="preserve"> of Schedule</w:t>
      </w:r>
      <w:r w:rsidR="00CB21B0" w:rsidRPr="00CB21B0">
        <w:t> </w:t>
      </w:r>
      <w:r w:rsidRPr="00CB21B0">
        <w:t>7;</w:t>
      </w:r>
    </w:p>
    <w:p w:rsidR="00550F00" w:rsidRPr="00CB21B0" w:rsidRDefault="00550F00" w:rsidP="00550F00">
      <w:pPr>
        <w:pStyle w:val="paragraph"/>
      </w:pPr>
      <w:r w:rsidRPr="00CB21B0">
        <w:tab/>
        <w:t>(</w:t>
      </w:r>
      <w:r w:rsidR="00C66835" w:rsidRPr="00CB21B0">
        <w:t>b</w:t>
      </w:r>
      <w:r w:rsidRPr="00CB21B0">
        <w:t>)</w:t>
      </w:r>
      <w:r w:rsidRPr="00CB21B0">
        <w:tab/>
        <w:t>for an application lodged on or after 1</w:t>
      </w:r>
      <w:r w:rsidR="00CB21B0" w:rsidRPr="00CB21B0">
        <w:t> </w:t>
      </w:r>
      <w:r w:rsidRPr="00CB21B0">
        <w:t>J</w:t>
      </w:r>
      <w:r w:rsidR="008C47FE" w:rsidRPr="00CB21B0">
        <w:t>anuary</w:t>
      </w:r>
      <w:r w:rsidRPr="00CB21B0">
        <w:t xml:space="preserve"> 2015—the fee (if any) mentioned for the item in column </w:t>
      </w:r>
      <w:r w:rsidR="002418F4" w:rsidRPr="00CB21B0">
        <w:t>4</w:t>
      </w:r>
      <w:r w:rsidRPr="00CB21B0">
        <w:t xml:space="preserve"> of Schedule</w:t>
      </w:r>
      <w:r w:rsidR="00CB21B0" w:rsidRPr="00CB21B0">
        <w:t> </w:t>
      </w:r>
      <w:r w:rsidRPr="00CB21B0">
        <w:t>7.</w:t>
      </w:r>
    </w:p>
    <w:p w:rsidR="00550F00" w:rsidRPr="00CB21B0" w:rsidRDefault="00550F00" w:rsidP="00550F00">
      <w:pPr>
        <w:pStyle w:val="subsection"/>
      </w:pPr>
      <w:r w:rsidRPr="00CB21B0">
        <w:tab/>
        <w:t>(4)</w:t>
      </w:r>
      <w:r w:rsidRPr="00CB21B0">
        <w:tab/>
        <w:t xml:space="preserve">The </w:t>
      </w:r>
      <w:r w:rsidRPr="00CB21B0">
        <w:rPr>
          <w:b/>
          <w:i/>
        </w:rPr>
        <w:t>modular assessment fee</w:t>
      </w:r>
      <w:r w:rsidRPr="00CB21B0">
        <w:t xml:space="preserve"> for an application is the sum of the fees payable for:</w:t>
      </w:r>
    </w:p>
    <w:p w:rsidR="00550F00" w:rsidRPr="00CB21B0" w:rsidRDefault="00550F00" w:rsidP="00550F00">
      <w:pPr>
        <w:pStyle w:val="paragraph"/>
      </w:pPr>
      <w:r w:rsidRPr="00CB21B0">
        <w:lastRenderedPageBreak/>
        <w:tab/>
        <w:t>(a)</w:t>
      </w:r>
      <w:r w:rsidRPr="00CB21B0">
        <w:tab/>
        <w:t>the preliminary assessment module in item</w:t>
      </w:r>
      <w:r w:rsidR="00CB21B0" w:rsidRPr="00CB21B0">
        <w:t> </w:t>
      </w:r>
      <w:r w:rsidRPr="00CB21B0">
        <w:t>1 in Schedule</w:t>
      </w:r>
      <w:r w:rsidR="00CB21B0" w:rsidRPr="00CB21B0">
        <w:t> </w:t>
      </w:r>
      <w:r w:rsidRPr="00CB21B0">
        <w:t>7; and</w:t>
      </w:r>
    </w:p>
    <w:p w:rsidR="00550F00" w:rsidRPr="00CB21B0" w:rsidRDefault="00550F00" w:rsidP="00550F00">
      <w:pPr>
        <w:pStyle w:val="paragraph"/>
      </w:pPr>
      <w:r w:rsidRPr="00CB21B0">
        <w:tab/>
        <w:t>(b)</w:t>
      </w:r>
      <w:r w:rsidRPr="00CB21B0">
        <w:tab/>
        <w:t xml:space="preserve">the other modules, levels and types of assessment that the APVMA considers necessary </w:t>
      </w:r>
      <w:r w:rsidR="001B2801" w:rsidRPr="00CB21B0">
        <w:t xml:space="preserve">for the application to undergo; </w:t>
      </w:r>
      <w:r w:rsidRPr="00CB21B0">
        <w:t>and</w:t>
      </w:r>
    </w:p>
    <w:p w:rsidR="00550F00" w:rsidRPr="00CB21B0" w:rsidRDefault="00550F00" w:rsidP="00550F00">
      <w:pPr>
        <w:pStyle w:val="paragraph"/>
      </w:pPr>
      <w:r w:rsidRPr="00CB21B0">
        <w:tab/>
        <w:t>(c)</w:t>
      </w:r>
      <w:r w:rsidRPr="00CB21B0">
        <w:tab/>
        <w:t>the type of finalisation assessment module in items</w:t>
      </w:r>
      <w:r w:rsidR="00CB21B0" w:rsidRPr="00CB21B0">
        <w:t> </w:t>
      </w:r>
      <w:r w:rsidRPr="00CB21B0">
        <w:t>11.1 to</w:t>
      </w:r>
      <w:r w:rsidR="006052E2" w:rsidRPr="00CB21B0">
        <w:t xml:space="preserve"> </w:t>
      </w:r>
      <w:r w:rsidRPr="00CB21B0">
        <w:t>11.</w:t>
      </w:r>
      <w:r w:rsidR="008613D4" w:rsidRPr="00CB21B0">
        <w:t>3</w:t>
      </w:r>
      <w:r w:rsidRPr="00CB21B0">
        <w:t xml:space="preserve"> in Schedule</w:t>
      </w:r>
      <w:r w:rsidR="00CB21B0" w:rsidRPr="00CB21B0">
        <w:t> </w:t>
      </w:r>
      <w:r w:rsidRPr="00CB21B0">
        <w:t>7 that the application must undergo.</w:t>
      </w:r>
    </w:p>
    <w:p w:rsidR="00550F00" w:rsidRPr="00CB21B0" w:rsidRDefault="00550F00" w:rsidP="00550F00">
      <w:pPr>
        <w:pStyle w:val="notetext"/>
      </w:pPr>
      <w:r w:rsidRPr="00CB21B0">
        <w:t>Note</w:t>
      </w:r>
      <w:r w:rsidR="002A12FE" w:rsidRPr="00CB21B0">
        <w:t>:</w:t>
      </w:r>
      <w:r w:rsidR="002A12FE" w:rsidRPr="00CB21B0">
        <w:rPr>
          <w:i/>
        </w:rPr>
        <w:tab/>
      </w:r>
      <w:r w:rsidRPr="00CB21B0">
        <w:t xml:space="preserve">The </w:t>
      </w:r>
      <w:r w:rsidRPr="00CB21B0">
        <w:rPr>
          <w:i/>
        </w:rPr>
        <w:t>Agricultural and Veterinary Chemicals Code Instrument No.</w:t>
      </w:r>
      <w:r w:rsidR="00CB21B0" w:rsidRPr="00CB21B0">
        <w:rPr>
          <w:i/>
        </w:rPr>
        <w:t> </w:t>
      </w:r>
      <w:r w:rsidRPr="00CB21B0">
        <w:rPr>
          <w:i/>
        </w:rPr>
        <w:t>2 (Modular Assessment Fees) 2010</w:t>
      </w:r>
      <w:r w:rsidRPr="00CB21B0">
        <w:t xml:space="preserve"> sets out criteria for working out which </w:t>
      </w:r>
      <w:r w:rsidR="009745D1" w:rsidRPr="00CB21B0">
        <w:t xml:space="preserve">modules, level and types of assessment </w:t>
      </w:r>
      <w:r w:rsidRPr="00CB21B0">
        <w:t>appl</w:t>
      </w:r>
      <w:r w:rsidR="009745D1" w:rsidRPr="00CB21B0">
        <w:t>y</w:t>
      </w:r>
      <w:r w:rsidRPr="00CB21B0">
        <w:t xml:space="preserve"> in a particular case.</w:t>
      </w:r>
    </w:p>
    <w:p w:rsidR="007920DF" w:rsidRPr="00CB21B0" w:rsidRDefault="007920DF" w:rsidP="008613D4">
      <w:pPr>
        <w:pStyle w:val="ActHead5"/>
      </w:pPr>
      <w:bookmarkStart w:id="90" w:name="_Toc361055087"/>
      <w:r w:rsidRPr="00CB21B0">
        <w:rPr>
          <w:rStyle w:val="CharSectno"/>
        </w:rPr>
        <w:t>70</w:t>
      </w:r>
      <w:r w:rsidR="005E342A" w:rsidRPr="00CB21B0">
        <w:rPr>
          <w:rStyle w:val="CharSectno"/>
        </w:rPr>
        <w:t>B</w:t>
      </w:r>
      <w:r w:rsidRPr="00CB21B0">
        <w:t xml:space="preserve">  </w:t>
      </w:r>
      <w:r w:rsidR="00DA4141" w:rsidRPr="00CB21B0">
        <w:t>R</w:t>
      </w:r>
      <w:r w:rsidRPr="00CB21B0">
        <w:t>ecategorised applications</w:t>
      </w:r>
      <w:bookmarkEnd w:id="90"/>
    </w:p>
    <w:p w:rsidR="007920DF" w:rsidRPr="00CB21B0" w:rsidRDefault="007920DF" w:rsidP="007920DF">
      <w:pPr>
        <w:pStyle w:val="subsection"/>
      </w:pPr>
      <w:r w:rsidRPr="00CB21B0">
        <w:tab/>
        <w:t>(1)</w:t>
      </w:r>
      <w:r w:rsidRPr="00CB21B0">
        <w:tab/>
        <w:t>This regulation applies if:</w:t>
      </w:r>
    </w:p>
    <w:p w:rsidR="009745D1" w:rsidRPr="00CB21B0" w:rsidRDefault="007920DF" w:rsidP="00A76BC9">
      <w:pPr>
        <w:pStyle w:val="paragraph"/>
      </w:pPr>
      <w:r w:rsidRPr="00CB21B0">
        <w:tab/>
        <w:t>(a)</w:t>
      </w:r>
      <w:r w:rsidRPr="00CB21B0">
        <w:tab/>
      </w:r>
      <w:r w:rsidR="009745D1" w:rsidRPr="00CB21B0">
        <w:t>both of the following apply:</w:t>
      </w:r>
    </w:p>
    <w:p w:rsidR="007920DF" w:rsidRPr="00CB21B0" w:rsidRDefault="009745D1" w:rsidP="009745D1">
      <w:pPr>
        <w:pStyle w:val="paragraphsub"/>
      </w:pPr>
      <w:r w:rsidRPr="00CB21B0">
        <w:tab/>
        <w:t>(i)</w:t>
      </w:r>
      <w:r w:rsidRPr="00CB21B0">
        <w:tab/>
      </w:r>
      <w:r w:rsidR="00AD537C" w:rsidRPr="00CB21B0">
        <w:t>the fee mentioned in subregulation</w:t>
      </w:r>
      <w:r w:rsidR="00CB21B0" w:rsidRPr="00CB21B0">
        <w:t> </w:t>
      </w:r>
      <w:r w:rsidR="00AD537C" w:rsidRPr="00CB21B0">
        <w:t>70(2) (the</w:t>
      </w:r>
      <w:r w:rsidR="00AD537C" w:rsidRPr="00CB21B0">
        <w:rPr>
          <w:b/>
          <w:i/>
        </w:rPr>
        <w:t xml:space="preserve"> application fee</w:t>
      </w:r>
      <w:r w:rsidR="00AD537C" w:rsidRPr="00CB21B0">
        <w:t xml:space="preserve">) has been paid in relation to an application on the basis that the application is of a kind </w:t>
      </w:r>
      <w:r w:rsidR="007920DF" w:rsidRPr="00CB21B0">
        <w:t>mentioned in an item of the table in Part</w:t>
      </w:r>
      <w:r w:rsidR="00CB21B0" w:rsidRPr="00CB21B0">
        <w:t> </w:t>
      </w:r>
      <w:r w:rsidR="007920DF" w:rsidRPr="00CB21B0">
        <w:t>2 of Schedule</w:t>
      </w:r>
      <w:r w:rsidR="00CB21B0" w:rsidRPr="00CB21B0">
        <w:t> </w:t>
      </w:r>
      <w:r w:rsidR="007920DF" w:rsidRPr="00CB21B0">
        <w:t>6 (the</w:t>
      </w:r>
      <w:r w:rsidR="007920DF" w:rsidRPr="00CB21B0">
        <w:rPr>
          <w:b/>
          <w:i/>
        </w:rPr>
        <w:t xml:space="preserve"> original item</w:t>
      </w:r>
      <w:r w:rsidR="007920DF" w:rsidRPr="00CB21B0">
        <w:t>);</w:t>
      </w:r>
    </w:p>
    <w:p w:rsidR="007920DF" w:rsidRPr="00CB21B0" w:rsidRDefault="007920DF" w:rsidP="009745D1">
      <w:pPr>
        <w:pStyle w:val="paragraphsub"/>
      </w:pPr>
      <w:r w:rsidRPr="00CB21B0">
        <w:tab/>
        <w:t>(</w:t>
      </w:r>
      <w:r w:rsidR="00BC067A" w:rsidRPr="00CB21B0">
        <w:t>ii</w:t>
      </w:r>
      <w:r w:rsidRPr="00CB21B0">
        <w:t>)</w:t>
      </w:r>
      <w:r w:rsidRPr="00CB21B0">
        <w:tab/>
        <w:t xml:space="preserve">the </w:t>
      </w:r>
      <w:r w:rsidR="00DC7ACD" w:rsidRPr="00CB21B0">
        <w:t>APVMA</w:t>
      </w:r>
      <w:r w:rsidRPr="00CB21B0">
        <w:t xml:space="preserve"> determines, </w:t>
      </w:r>
      <w:r w:rsidR="008613D4" w:rsidRPr="00CB21B0">
        <w:t xml:space="preserve">at any time </w:t>
      </w:r>
      <w:r w:rsidRPr="00CB21B0">
        <w:t xml:space="preserve">after preliminary assessment of the application, that the application is more correctly categorised as an application of a kind mentioned in a different item of the table (the </w:t>
      </w:r>
      <w:r w:rsidRPr="00CB21B0">
        <w:rPr>
          <w:b/>
          <w:i/>
        </w:rPr>
        <w:t>recategorised item</w:t>
      </w:r>
      <w:r w:rsidRPr="00CB21B0">
        <w:t>)</w:t>
      </w:r>
      <w:r w:rsidR="009745D1" w:rsidRPr="00CB21B0">
        <w:t>; or</w:t>
      </w:r>
    </w:p>
    <w:p w:rsidR="00BC067A" w:rsidRPr="00CB21B0" w:rsidRDefault="00BC067A" w:rsidP="00BC067A">
      <w:pPr>
        <w:pStyle w:val="paragraph"/>
      </w:pPr>
      <w:r w:rsidRPr="00CB21B0">
        <w:tab/>
        <w:t>(b)</w:t>
      </w:r>
      <w:r w:rsidRPr="00CB21B0">
        <w:tab/>
        <w:t>both of the following apply:</w:t>
      </w:r>
    </w:p>
    <w:p w:rsidR="00BC067A" w:rsidRPr="00CB21B0" w:rsidRDefault="009745D1" w:rsidP="00BC067A">
      <w:pPr>
        <w:pStyle w:val="paragraphsub"/>
      </w:pPr>
      <w:r w:rsidRPr="00CB21B0">
        <w:tab/>
        <w:t>(</w:t>
      </w:r>
      <w:r w:rsidR="00BC067A" w:rsidRPr="00CB21B0">
        <w:t>i</w:t>
      </w:r>
      <w:r w:rsidRPr="00CB21B0">
        <w:t>)</w:t>
      </w:r>
      <w:r w:rsidRPr="00CB21B0">
        <w:tab/>
        <w:t xml:space="preserve">the </w:t>
      </w:r>
      <w:r w:rsidR="00BC067A" w:rsidRPr="00CB21B0">
        <w:t xml:space="preserve">application fee </w:t>
      </w:r>
      <w:r w:rsidRPr="00CB21B0">
        <w:t xml:space="preserve">has been paid in relation to an application on the basis that </w:t>
      </w:r>
      <w:r w:rsidR="00BC067A" w:rsidRPr="00CB21B0">
        <w:t>particular modules, levels and types mentioned in Schedule</w:t>
      </w:r>
      <w:r w:rsidR="00CB21B0" w:rsidRPr="00CB21B0">
        <w:t> </w:t>
      </w:r>
      <w:r w:rsidR="00BC067A" w:rsidRPr="00CB21B0">
        <w:t xml:space="preserve">7 (the </w:t>
      </w:r>
      <w:r w:rsidR="00BC067A" w:rsidRPr="00CB21B0">
        <w:rPr>
          <w:b/>
          <w:i/>
        </w:rPr>
        <w:t>original modules</w:t>
      </w:r>
      <w:r w:rsidR="00BC067A" w:rsidRPr="00CB21B0">
        <w:t>) a</w:t>
      </w:r>
      <w:r w:rsidR="0007402F" w:rsidRPr="00CB21B0">
        <w:t xml:space="preserve">re necessary for </w:t>
      </w:r>
      <w:r w:rsidR="00BC067A" w:rsidRPr="00CB21B0">
        <w:t>the application;</w:t>
      </w:r>
    </w:p>
    <w:p w:rsidR="00BC067A" w:rsidRPr="00CB21B0" w:rsidRDefault="00BC067A" w:rsidP="00BC067A">
      <w:pPr>
        <w:pStyle w:val="paragraphsub"/>
      </w:pPr>
      <w:r w:rsidRPr="00CB21B0">
        <w:tab/>
        <w:t>(ii)</w:t>
      </w:r>
      <w:r w:rsidRPr="00CB21B0">
        <w:tab/>
        <w:t xml:space="preserve">the APVMA </w:t>
      </w:r>
      <w:r w:rsidR="00C60B86" w:rsidRPr="00CB21B0">
        <w:t>considers</w:t>
      </w:r>
      <w:r w:rsidRPr="00CB21B0">
        <w:t>, at any time after preliminary assessment of the application, that different modules, levels and types mentioned in Schedule</w:t>
      </w:r>
      <w:r w:rsidR="00CB21B0" w:rsidRPr="00CB21B0">
        <w:t> </w:t>
      </w:r>
      <w:r w:rsidRPr="00CB21B0">
        <w:t xml:space="preserve">7 (the </w:t>
      </w:r>
      <w:r w:rsidRPr="00CB21B0">
        <w:rPr>
          <w:b/>
          <w:i/>
        </w:rPr>
        <w:t>recategorised modules</w:t>
      </w:r>
      <w:r w:rsidRPr="00CB21B0">
        <w:t xml:space="preserve">) </w:t>
      </w:r>
      <w:r w:rsidR="0007402F" w:rsidRPr="00CB21B0">
        <w:t>are necessary for the application</w:t>
      </w:r>
      <w:r w:rsidRPr="00CB21B0">
        <w:t>.</w:t>
      </w:r>
    </w:p>
    <w:p w:rsidR="007920DF" w:rsidRPr="00CB21B0" w:rsidRDefault="007920DF" w:rsidP="00BC067A">
      <w:pPr>
        <w:pStyle w:val="subsection"/>
      </w:pPr>
      <w:r w:rsidRPr="00CB21B0">
        <w:tab/>
        <w:t>(2)</w:t>
      </w:r>
      <w:r w:rsidRPr="00CB21B0">
        <w:tab/>
        <w:t xml:space="preserve">If </w:t>
      </w:r>
      <w:r w:rsidR="007C7132" w:rsidRPr="00CB21B0">
        <w:t xml:space="preserve">the application fee is the same as the fee </w:t>
      </w:r>
      <w:r w:rsidR="00AD537C" w:rsidRPr="00CB21B0">
        <w:t>payable under subregulation</w:t>
      </w:r>
      <w:r w:rsidR="00CB21B0" w:rsidRPr="00CB21B0">
        <w:t> </w:t>
      </w:r>
      <w:r w:rsidR="00AD537C" w:rsidRPr="00CB21B0">
        <w:t xml:space="preserve">70(2) </w:t>
      </w:r>
      <w:r w:rsidR="001B3814" w:rsidRPr="00CB21B0">
        <w:t>for</w:t>
      </w:r>
      <w:r w:rsidR="005272BD" w:rsidRPr="00CB21B0">
        <w:t xml:space="preserve"> </w:t>
      </w:r>
      <w:r w:rsidRPr="00CB21B0">
        <w:t>the recategorised item</w:t>
      </w:r>
      <w:r w:rsidR="00BC067A" w:rsidRPr="00CB21B0">
        <w:t xml:space="preserve"> or recategorised modules</w:t>
      </w:r>
      <w:r w:rsidRPr="00CB21B0">
        <w:t xml:space="preserve">, the </w:t>
      </w:r>
      <w:r w:rsidR="00DC7ACD" w:rsidRPr="00CB21B0">
        <w:t>APVMA</w:t>
      </w:r>
      <w:r w:rsidRPr="00CB21B0">
        <w:t xml:space="preserve"> must notify the applicant, in writing:</w:t>
      </w:r>
    </w:p>
    <w:p w:rsidR="007920DF" w:rsidRPr="00CB21B0" w:rsidRDefault="007920DF" w:rsidP="007920DF">
      <w:pPr>
        <w:pStyle w:val="paragraph"/>
      </w:pPr>
      <w:r w:rsidRPr="00CB21B0">
        <w:lastRenderedPageBreak/>
        <w:tab/>
        <w:t>(a)</w:t>
      </w:r>
      <w:r w:rsidRPr="00CB21B0">
        <w:tab/>
        <w:t xml:space="preserve">that the </w:t>
      </w:r>
      <w:r w:rsidR="00DC7ACD" w:rsidRPr="00CB21B0">
        <w:t>APVMA</w:t>
      </w:r>
      <w:r w:rsidRPr="00CB21B0">
        <w:t xml:space="preserve"> has recategorised the application and will proceed with the assessment of the application; and</w:t>
      </w:r>
    </w:p>
    <w:p w:rsidR="007920DF" w:rsidRPr="00CB21B0" w:rsidRDefault="007920DF" w:rsidP="007920DF">
      <w:pPr>
        <w:pStyle w:val="paragraph"/>
      </w:pPr>
      <w:r w:rsidRPr="00CB21B0">
        <w:tab/>
        <w:t>(b)</w:t>
      </w:r>
      <w:r w:rsidRPr="00CB21B0">
        <w:tab/>
        <w:t xml:space="preserve">if the assessment period for the recategorised item </w:t>
      </w:r>
      <w:r w:rsidR="00BC067A" w:rsidRPr="00CB21B0">
        <w:t xml:space="preserve">or recategorised modules </w:t>
      </w:r>
      <w:r w:rsidRPr="00CB21B0">
        <w:t xml:space="preserve">is different </w:t>
      </w:r>
      <w:r w:rsidR="003A3701" w:rsidRPr="00CB21B0">
        <w:t>from</w:t>
      </w:r>
      <w:r w:rsidRPr="00CB21B0">
        <w:t xml:space="preserve"> the assessment period for the original item</w:t>
      </w:r>
      <w:r w:rsidR="00BC067A" w:rsidRPr="00CB21B0">
        <w:t xml:space="preserve"> or original modules</w:t>
      </w:r>
      <w:r w:rsidRPr="00CB21B0">
        <w:t xml:space="preserve">—of the assessment period for the </w:t>
      </w:r>
      <w:r w:rsidR="00BC067A" w:rsidRPr="00CB21B0">
        <w:t>application</w:t>
      </w:r>
      <w:r w:rsidRPr="00CB21B0">
        <w:t>.</w:t>
      </w:r>
    </w:p>
    <w:p w:rsidR="00F11D99" w:rsidRPr="00CB21B0" w:rsidRDefault="007920DF" w:rsidP="007920DF">
      <w:pPr>
        <w:pStyle w:val="subsection"/>
      </w:pPr>
      <w:r w:rsidRPr="00CB21B0">
        <w:tab/>
        <w:t>(3)</w:t>
      </w:r>
      <w:r w:rsidRPr="00CB21B0">
        <w:tab/>
        <w:t xml:space="preserve">If the </w:t>
      </w:r>
      <w:r w:rsidR="005272BD" w:rsidRPr="00CB21B0">
        <w:t>application fee is less than the fee payable under subregulation</w:t>
      </w:r>
      <w:r w:rsidR="00CB21B0" w:rsidRPr="00CB21B0">
        <w:t> </w:t>
      </w:r>
      <w:r w:rsidR="005272BD" w:rsidRPr="00CB21B0">
        <w:t>70(2)</w:t>
      </w:r>
      <w:r w:rsidR="001B3814" w:rsidRPr="00CB21B0">
        <w:t xml:space="preserve"> for</w:t>
      </w:r>
      <w:r w:rsidR="005272BD" w:rsidRPr="00CB21B0">
        <w:t xml:space="preserve"> the recategorised item</w:t>
      </w:r>
      <w:r w:rsidR="00BC067A" w:rsidRPr="00CB21B0">
        <w:t xml:space="preserve"> or recategorised modules</w:t>
      </w:r>
      <w:r w:rsidR="00F11D99" w:rsidRPr="00CB21B0">
        <w:t>:</w:t>
      </w:r>
    </w:p>
    <w:p w:rsidR="007920DF" w:rsidRPr="00CB21B0" w:rsidRDefault="00F11D99" w:rsidP="00F11D99">
      <w:pPr>
        <w:pStyle w:val="paragraph"/>
      </w:pPr>
      <w:r w:rsidRPr="00CB21B0">
        <w:tab/>
        <w:t>(a)</w:t>
      </w:r>
      <w:r w:rsidRPr="00CB21B0">
        <w:tab/>
      </w:r>
      <w:r w:rsidR="007920DF" w:rsidRPr="00CB21B0">
        <w:t xml:space="preserve">the </w:t>
      </w:r>
      <w:r w:rsidR="00DC7ACD" w:rsidRPr="00CB21B0">
        <w:t>APVMA</w:t>
      </w:r>
      <w:r w:rsidR="007920DF" w:rsidRPr="00CB21B0">
        <w:t xml:space="preserve"> must notify the applicant, in writing:</w:t>
      </w:r>
    </w:p>
    <w:p w:rsidR="007920DF" w:rsidRPr="00CB21B0" w:rsidRDefault="007920DF" w:rsidP="00F11D99">
      <w:pPr>
        <w:pStyle w:val="paragraphsub"/>
      </w:pPr>
      <w:r w:rsidRPr="00CB21B0">
        <w:tab/>
        <w:t>(</w:t>
      </w:r>
      <w:r w:rsidR="00F11D99" w:rsidRPr="00CB21B0">
        <w:t>i</w:t>
      </w:r>
      <w:r w:rsidRPr="00CB21B0">
        <w:t>)</w:t>
      </w:r>
      <w:r w:rsidRPr="00CB21B0">
        <w:tab/>
        <w:t xml:space="preserve">that the </w:t>
      </w:r>
      <w:r w:rsidR="00DC7ACD" w:rsidRPr="00CB21B0">
        <w:t>APVMA</w:t>
      </w:r>
      <w:r w:rsidRPr="00CB21B0">
        <w:t xml:space="preserve"> has recategorised the application; and</w:t>
      </w:r>
    </w:p>
    <w:p w:rsidR="007920DF" w:rsidRPr="00CB21B0" w:rsidRDefault="007920DF" w:rsidP="00F11D99">
      <w:pPr>
        <w:pStyle w:val="paragraphsub"/>
      </w:pPr>
      <w:r w:rsidRPr="00CB21B0">
        <w:tab/>
        <w:t>(</w:t>
      </w:r>
      <w:r w:rsidR="00F11D99" w:rsidRPr="00CB21B0">
        <w:t>ii</w:t>
      </w:r>
      <w:r w:rsidRPr="00CB21B0">
        <w:t>)</w:t>
      </w:r>
      <w:r w:rsidRPr="00CB21B0">
        <w:tab/>
        <w:t xml:space="preserve">that the applicant must pay the difference between the application fee and the fee </w:t>
      </w:r>
      <w:r w:rsidR="001B3814" w:rsidRPr="00CB21B0">
        <w:t>payable under</w:t>
      </w:r>
      <w:r w:rsidRPr="00CB21B0">
        <w:t xml:space="preserve"> subregulation</w:t>
      </w:r>
      <w:r w:rsidR="00CB21B0" w:rsidRPr="00CB21B0">
        <w:t> </w:t>
      </w:r>
      <w:r w:rsidR="005272BD" w:rsidRPr="00CB21B0">
        <w:t>70</w:t>
      </w:r>
      <w:r w:rsidRPr="00CB21B0">
        <w:t>(</w:t>
      </w:r>
      <w:r w:rsidR="005272BD" w:rsidRPr="00CB21B0">
        <w:t>2</w:t>
      </w:r>
      <w:r w:rsidRPr="00CB21B0">
        <w:t>) for the recategorised item</w:t>
      </w:r>
      <w:r w:rsidR="00BC067A" w:rsidRPr="00CB21B0">
        <w:t xml:space="preserve"> or recategorised modules</w:t>
      </w:r>
      <w:r w:rsidRPr="00CB21B0">
        <w:t xml:space="preserve"> </w:t>
      </w:r>
      <w:r w:rsidR="00EE6F48" w:rsidRPr="00CB21B0">
        <w:t xml:space="preserve">(the </w:t>
      </w:r>
      <w:r w:rsidR="00EE6F48" w:rsidRPr="00CB21B0">
        <w:rPr>
          <w:b/>
          <w:i/>
        </w:rPr>
        <w:t>additional amount</w:t>
      </w:r>
      <w:r w:rsidR="00EE6F48" w:rsidRPr="00CB21B0">
        <w:t xml:space="preserve">) </w:t>
      </w:r>
      <w:r w:rsidRPr="00CB21B0">
        <w:t xml:space="preserve">before the APVMA can </w:t>
      </w:r>
      <w:r w:rsidR="00996958" w:rsidRPr="00CB21B0">
        <w:t>determine the application</w:t>
      </w:r>
      <w:r w:rsidRPr="00CB21B0">
        <w:t>; and</w:t>
      </w:r>
    </w:p>
    <w:p w:rsidR="00F11D99" w:rsidRPr="00CB21B0" w:rsidRDefault="007920DF" w:rsidP="00F11D99">
      <w:pPr>
        <w:pStyle w:val="paragraphsub"/>
      </w:pPr>
      <w:r w:rsidRPr="00CB21B0">
        <w:tab/>
        <w:t>(</w:t>
      </w:r>
      <w:r w:rsidR="00F11D99" w:rsidRPr="00CB21B0">
        <w:t>iii</w:t>
      </w:r>
      <w:r w:rsidRPr="00CB21B0">
        <w:t>)</w:t>
      </w:r>
      <w:r w:rsidRPr="00CB21B0">
        <w:tab/>
        <w:t xml:space="preserve">that the additional amount is payable </w:t>
      </w:r>
      <w:r w:rsidR="005272BD" w:rsidRPr="00CB21B0">
        <w:t>within 28 days of the date of the notice</w:t>
      </w:r>
      <w:r w:rsidRPr="00CB21B0">
        <w:t>; and</w:t>
      </w:r>
    </w:p>
    <w:p w:rsidR="007920DF" w:rsidRPr="00CB21B0" w:rsidRDefault="007920DF" w:rsidP="00F11D99">
      <w:pPr>
        <w:pStyle w:val="paragraphsub"/>
      </w:pPr>
      <w:r w:rsidRPr="00CB21B0">
        <w:tab/>
        <w:t>(</w:t>
      </w:r>
      <w:r w:rsidR="003E7093" w:rsidRPr="00CB21B0">
        <w:t>i</w:t>
      </w:r>
      <w:r w:rsidR="00F11D99" w:rsidRPr="00CB21B0">
        <w:t>v</w:t>
      </w:r>
      <w:r w:rsidRPr="00CB21B0">
        <w:t>)</w:t>
      </w:r>
      <w:r w:rsidRPr="00CB21B0">
        <w:tab/>
        <w:t xml:space="preserve">that the </w:t>
      </w:r>
      <w:r w:rsidR="00DC7ACD" w:rsidRPr="00CB21B0">
        <w:t>APVMA</w:t>
      </w:r>
      <w:r w:rsidRPr="00CB21B0">
        <w:t xml:space="preserve"> must refuse the application if the additional amount is not paid by th</w:t>
      </w:r>
      <w:r w:rsidR="005272BD" w:rsidRPr="00CB21B0">
        <w:t>at</w:t>
      </w:r>
      <w:r w:rsidRPr="00CB21B0">
        <w:t xml:space="preserve"> date; and</w:t>
      </w:r>
    </w:p>
    <w:p w:rsidR="007920DF" w:rsidRPr="00CB21B0" w:rsidRDefault="007920DF" w:rsidP="00F11D99">
      <w:pPr>
        <w:pStyle w:val="paragraphsub"/>
      </w:pPr>
      <w:r w:rsidRPr="00CB21B0">
        <w:tab/>
        <w:t>(</w:t>
      </w:r>
      <w:r w:rsidR="00F11D99" w:rsidRPr="00CB21B0">
        <w:t>v</w:t>
      </w:r>
      <w:r w:rsidRPr="00CB21B0">
        <w:t>)</w:t>
      </w:r>
      <w:r w:rsidRPr="00CB21B0">
        <w:tab/>
        <w:t>that the applicant may withdraw the application; and</w:t>
      </w:r>
    </w:p>
    <w:p w:rsidR="00503E84" w:rsidRPr="00CB21B0" w:rsidRDefault="007920DF" w:rsidP="00503E84">
      <w:pPr>
        <w:pStyle w:val="paragraphsub"/>
      </w:pPr>
      <w:r w:rsidRPr="00CB21B0">
        <w:tab/>
        <w:t>(</w:t>
      </w:r>
      <w:r w:rsidR="00F11D99" w:rsidRPr="00CB21B0">
        <w:t>vi</w:t>
      </w:r>
      <w:r w:rsidR="009753A1" w:rsidRPr="00CB21B0">
        <w:t>)</w:t>
      </w:r>
      <w:r w:rsidR="009753A1" w:rsidRPr="00CB21B0">
        <w:tab/>
      </w:r>
      <w:r w:rsidRPr="00CB21B0">
        <w:t xml:space="preserve">if the assessment period for the recategorised item </w:t>
      </w:r>
      <w:r w:rsidR="00BC067A" w:rsidRPr="00CB21B0">
        <w:t xml:space="preserve">or recategorised modules </w:t>
      </w:r>
      <w:r w:rsidRPr="00CB21B0">
        <w:t xml:space="preserve">is different </w:t>
      </w:r>
      <w:r w:rsidR="003A3701" w:rsidRPr="00CB21B0">
        <w:t>from</w:t>
      </w:r>
      <w:r w:rsidRPr="00CB21B0">
        <w:t xml:space="preserve"> the assessment period for the original item</w:t>
      </w:r>
      <w:r w:rsidR="00BC067A" w:rsidRPr="00CB21B0">
        <w:t xml:space="preserve"> or original modules</w:t>
      </w:r>
      <w:r w:rsidRPr="00CB21B0">
        <w:t>—of the assessment period for the recategorised item</w:t>
      </w:r>
      <w:r w:rsidR="00BC067A" w:rsidRPr="00CB21B0">
        <w:t xml:space="preserve"> or recategorised modules</w:t>
      </w:r>
      <w:r w:rsidR="00F11D99" w:rsidRPr="00CB21B0">
        <w:t>; and</w:t>
      </w:r>
    </w:p>
    <w:p w:rsidR="00EE6F48" w:rsidRPr="00CB21B0" w:rsidRDefault="00F11D99" w:rsidP="00503E84">
      <w:pPr>
        <w:pStyle w:val="paragraph"/>
      </w:pPr>
      <w:r w:rsidRPr="00CB21B0">
        <w:tab/>
        <w:t>(</w:t>
      </w:r>
      <w:r w:rsidR="00503E84" w:rsidRPr="00CB21B0">
        <w:t>b</w:t>
      </w:r>
      <w:r w:rsidRPr="00CB21B0">
        <w:t>)</w:t>
      </w:r>
      <w:r w:rsidRPr="00CB21B0">
        <w:tab/>
      </w:r>
      <w:r w:rsidR="00EE6F48" w:rsidRPr="00CB21B0">
        <w:t>for section</w:t>
      </w:r>
      <w:r w:rsidR="00CB21B0" w:rsidRPr="00CB21B0">
        <w:t> </w:t>
      </w:r>
      <w:r w:rsidR="00EE6F48" w:rsidRPr="00CB21B0">
        <w:t xml:space="preserve">164 of the Code, </w:t>
      </w:r>
      <w:r w:rsidR="007920DF" w:rsidRPr="00CB21B0">
        <w:t xml:space="preserve">the applicant must pay the </w:t>
      </w:r>
      <w:r w:rsidR="00EE6F48" w:rsidRPr="00CB21B0">
        <w:t xml:space="preserve">additional amount </w:t>
      </w:r>
      <w:r w:rsidR="005272BD" w:rsidRPr="00CB21B0">
        <w:t>within 28 days of the date of the notice</w:t>
      </w:r>
      <w:r w:rsidR="00EE6F48" w:rsidRPr="00CB21B0">
        <w:t>; and</w:t>
      </w:r>
    </w:p>
    <w:p w:rsidR="00EE6F48" w:rsidRPr="00CB21B0" w:rsidRDefault="00EE6F48" w:rsidP="00C82315">
      <w:pPr>
        <w:pStyle w:val="paragraph"/>
      </w:pPr>
      <w:r w:rsidRPr="00CB21B0">
        <w:tab/>
        <w:t>(</w:t>
      </w:r>
      <w:r w:rsidR="00503E84" w:rsidRPr="00CB21B0">
        <w:t>c</w:t>
      </w:r>
      <w:r w:rsidRPr="00CB21B0">
        <w:t>)</w:t>
      </w:r>
      <w:r w:rsidRPr="00CB21B0">
        <w:tab/>
        <w:t>for paragraph</w:t>
      </w:r>
      <w:r w:rsidR="00CB21B0" w:rsidRPr="00CB21B0">
        <w:t> </w:t>
      </w:r>
      <w:r w:rsidRPr="00CB21B0">
        <w:t>164(8)(b) of the Code, the APVMA m</w:t>
      </w:r>
      <w:r w:rsidR="00C82315" w:rsidRPr="00CB21B0">
        <w:t>ay</w:t>
      </w:r>
      <w:r w:rsidRPr="00CB21B0">
        <w:t xml:space="preserve"> waive the additional amount if the application is refused on the basis that the additional amount has not been paid</w:t>
      </w:r>
      <w:r w:rsidR="00503E84" w:rsidRPr="00CB21B0">
        <w:t xml:space="preserve"> within 28 days of the date of the notice</w:t>
      </w:r>
      <w:r w:rsidR="005272BD" w:rsidRPr="00CB21B0">
        <w:t>.</w:t>
      </w:r>
    </w:p>
    <w:p w:rsidR="007920DF" w:rsidRPr="00CB21B0" w:rsidRDefault="007920DF" w:rsidP="001B3814">
      <w:pPr>
        <w:pStyle w:val="subsection"/>
      </w:pPr>
      <w:r w:rsidRPr="00CB21B0">
        <w:tab/>
        <w:t>(</w:t>
      </w:r>
      <w:r w:rsidR="00F11D99" w:rsidRPr="00CB21B0">
        <w:t>4</w:t>
      </w:r>
      <w:r w:rsidRPr="00CB21B0">
        <w:t>)</w:t>
      </w:r>
      <w:r w:rsidRPr="00CB21B0">
        <w:tab/>
        <w:t xml:space="preserve">If the application fee is more than the fee </w:t>
      </w:r>
      <w:r w:rsidR="001B3814" w:rsidRPr="00CB21B0">
        <w:t>payable under</w:t>
      </w:r>
      <w:r w:rsidRPr="00CB21B0">
        <w:t xml:space="preserve"> subregulation</w:t>
      </w:r>
      <w:r w:rsidR="00CB21B0" w:rsidRPr="00CB21B0">
        <w:t> </w:t>
      </w:r>
      <w:r w:rsidRPr="00CB21B0">
        <w:t>70(</w:t>
      </w:r>
      <w:r w:rsidR="001B3814" w:rsidRPr="00CB21B0">
        <w:t>2</w:t>
      </w:r>
      <w:r w:rsidRPr="00CB21B0">
        <w:t>) for the recategorised item</w:t>
      </w:r>
      <w:r w:rsidR="001D6C3C" w:rsidRPr="00CB21B0">
        <w:t xml:space="preserve"> or recategorised modules</w:t>
      </w:r>
      <w:r w:rsidRPr="00CB21B0">
        <w:t>:</w:t>
      </w:r>
    </w:p>
    <w:p w:rsidR="007920DF" w:rsidRPr="00CB21B0" w:rsidRDefault="007920DF" w:rsidP="007920DF">
      <w:pPr>
        <w:pStyle w:val="paragraph"/>
      </w:pPr>
      <w:r w:rsidRPr="00CB21B0">
        <w:tab/>
        <w:t>(a)</w:t>
      </w:r>
      <w:r w:rsidRPr="00CB21B0">
        <w:tab/>
        <w:t xml:space="preserve">the </w:t>
      </w:r>
      <w:r w:rsidR="00DC7ACD" w:rsidRPr="00CB21B0">
        <w:t>APVMA</w:t>
      </w:r>
      <w:r w:rsidRPr="00CB21B0">
        <w:t xml:space="preserve"> must notify the applicant, in writing:</w:t>
      </w:r>
    </w:p>
    <w:p w:rsidR="007920DF" w:rsidRPr="00CB21B0" w:rsidRDefault="007920DF" w:rsidP="007920DF">
      <w:pPr>
        <w:pStyle w:val="paragraphsub"/>
      </w:pPr>
      <w:r w:rsidRPr="00CB21B0">
        <w:lastRenderedPageBreak/>
        <w:tab/>
        <w:t>(i)</w:t>
      </w:r>
      <w:r w:rsidRPr="00CB21B0">
        <w:tab/>
        <w:t xml:space="preserve">that the </w:t>
      </w:r>
      <w:r w:rsidR="00DC7ACD" w:rsidRPr="00CB21B0">
        <w:t>APVMA</w:t>
      </w:r>
      <w:r w:rsidRPr="00CB21B0">
        <w:t xml:space="preserve"> has recategorised the application; and</w:t>
      </w:r>
    </w:p>
    <w:p w:rsidR="007920DF" w:rsidRPr="00CB21B0" w:rsidRDefault="007920DF" w:rsidP="007920DF">
      <w:pPr>
        <w:pStyle w:val="paragraphsub"/>
      </w:pPr>
      <w:r w:rsidRPr="00CB21B0">
        <w:tab/>
        <w:t>(ii)</w:t>
      </w:r>
      <w:r w:rsidRPr="00CB21B0">
        <w:tab/>
        <w:t>of the amount of the fee for the recategorised item</w:t>
      </w:r>
      <w:r w:rsidR="001D6C3C" w:rsidRPr="00CB21B0">
        <w:t xml:space="preserve"> or recategorised modules</w:t>
      </w:r>
      <w:r w:rsidRPr="00CB21B0">
        <w:t>; and</w:t>
      </w:r>
    </w:p>
    <w:p w:rsidR="007920DF" w:rsidRPr="00CB21B0" w:rsidRDefault="007920DF" w:rsidP="007920DF">
      <w:pPr>
        <w:pStyle w:val="paragraphsub"/>
      </w:pPr>
      <w:r w:rsidRPr="00CB21B0">
        <w:tab/>
        <w:t>(iii)</w:t>
      </w:r>
      <w:r w:rsidRPr="00CB21B0">
        <w:tab/>
        <w:t xml:space="preserve">that the applicant is entitled to a refund of the difference between the application fee and the fee </w:t>
      </w:r>
      <w:r w:rsidR="001B3814" w:rsidRPr="00CB21B0">
        <w:t>payable under</w:t>
      </w:r>
      <w:r w:rsidRPr="00CB21B0">
        <w:t xml:space="preserve"> subregulation</w:t>
      </w:r>
      <w:r w:rsidR="00CB21B0" w:rsidRPr="00CB21B0">
        <w:t> </w:t>
      </w:r>
      <w:r w:rsidR="00190ADE" w:rsidRPr="00CB21B0">
        <w:t>70</w:t>
      </w:r>
      <w:r w:rsidRPr="00CB21B0">
        <w:t>(</w:t>
      </w:r>
      <w:r w:rsidR="000A5376" w:rsidRPr="00CB21B0">
        <w:t>2)</w:t>
      </w:r>
      <w:r w:rsidRPr="00CB21B0">
        <w:t xml:space="preserve"> for the recategorised item</w:t>
      </w:r>
      <w:r w:rsidR="001D6C3C" w:rsidRPr="00CB21B0">
        <w:t xml:space="preserve"> or recategorised modules</w:t>
      </w:r>
      <w:r w:rsidRPr="00CB21B0">
        <w:t>; and</w:t>
      </w:r>
    </w:p>
    <w:p w:rsidR="007920DF" w:rsidRPr="00CB21B0" w:rsidRDefault="007920DF" w:rsidP="007920DF">
      <w:pPr>
        <w:pStyle w:val="paragraphsub"/>
      </w:pPr>
      <w:r w:rsidRPr="00CB21B0">
        <w:tab/>
        <w:t>(iv)</w:t>
      </w:r>
      <w:r w:rsidRPr="00CB21B0">
        <w:tab/>
        <w:t>that the APVMA will proceed with the assessment of the application; and</w:t>
      </w:r>
    </w:p>
    <w:p w:rsidR="007920DF" w:rsidRPr="00CB21B0" w:rsidRDefault="007920DF" w:rsidP="007920DF">
      <w:pPr>
        <w:pStyle w:val="paragraphsub"/>
      </w:pPr>
      <w:r w:rsidRPr="00CB21B0">
        <w:tab/>
        <w:t>(v)</w:t>
      </w:r>
      <w:r w:rsidRPr="00CB21B0">
        <w:tab/>
        <w:t xml:space="preserve"> if the assessment period for the recategorised item </w:t>
      </w:r>
      <w:r w:rsidR="001D6C3C" w:rsidRPr="00CB21B0">
        <w:t xml:space="preserve">or recategorised modules </w:t>
      </w:r>
      <w:r w:rsidRPr="00CB21B0">
        <w:t xml:space="preserve">is different </w:t>
      </w:r>
      <w:r w:rsidR="003A3701" w:rsidRPr="00CB21B0">
        <w:t>from</w:t>
      </w:r>
      <w:r w:rsidRPr="00CB21B0">
        <w:t xml:space="preserve"> the assessment period for the original item</w:t>
      </w:r>
      <w:r w:rsidR="001D6C3C" w:rsidRPr="00CB21B0">
        <w:t xml:space="preserve"> or original modules</w:t>
      </w:r>
      <w:r w:rsidRPr="00CB21B0">
        <w:t xml:space="preserve">—of the assessment period for </w:t>
      </w:r>
      <w:r w:rsidR="001D6C3C" w:rsidRPr="00CB21B0">
        <w:t>application</w:t>
      </w:r>
      <w:r w:rsidRPr="00CB21B0">
        <w:t>; and</w:t>
      </w:r>
    </w:p>
    <w:p w:rsidR="00E52241" w:rsidRPr="00CB21B0" w:rsidRDefault="007920DF" w:rsidP="00EE6F48">
      <w:pPr>
        <w:pStyle w:val="paragraph"/>
      </w:pPr>
      <w:r w:rsidRPr="00CB21B0">
        <w:tab/>
        <w:t>(b)</w:t>
      </w:r>
      <w:r w:rsidRPr="00CB21B0">
        <w:tab/>
        <w:t xml:space="preserve">the </w:t>
      </w:r>
      <w:r w:rsidR="00DC7ACD" w:rsidRPr="00CB21B0">
        <w:t>APVMA</w:t>
      </w:r>
      <w:r w:rsidRPr="00CB21B0">
        <w:t xml:space="preserve"> must</w:t>
      </w:r>
      <w:r w:rsidR="000A5376" w:rsidRPr="00CB21B0">
        <w:t>, as soon as practicable,</w:t>
      </w:r>
      <w:r w:rsidRPr="00CB21B0">
        <w:t xml:space="preserve"> remit to the applicant the difference between the application fee and the fee </w:t>
      </w:r>
      <w:r w:rsidR="000A5376" w:rsidRPr="00CB21B0">
        <w:t>payable</w:t>
      </w:r>
      <w:r w:rsidRPr="00CB21B0">
        <w:t xml:space="preserve"> </w:t>
      </w:r>
      <w:r w:rsidR="000A5376" w:rsidRPr="00CB21B0">
        <w:t xml:space="preserve">under </w:t>
      </w:r>
      <w:r w:rsidRPr="00CB21B0">
        <w:t>subregulation (</w:t>
      </w:r>
      <w:r w:rsidR="003F0804" w:rsidRPr="00CB21B0">
        <w:t>2</w:t>
      </w:r>
      <w:r w:rsidRPr="00CB21B0">
        <w:t>) for the recategorised item</w:t>
      </w:r>
      <w:r w:rsidR="001D6C3C" w:rsidRPr="00CB21B0">
        <w:t xml:space="preserve"> or recategorised modules</w:t>
      </w:r>
      <w:r w:rsidR="000A5376" w:rsidRPr="00CB21B0">
        <w:t>.</w:t>
      </w:r>
    </w:p>
    <w:p w:rsidR="0067285E" w:rsidRPr="00CB21B0" w:rsidRDefault="00220E6F" w:rsidP="0067285E">
      <w:pPr>
        <w:pStyle w:val="ItemHead"/>
      </w:pPr>
      <w:r w:rsidRPr="00CB21B0">
        <w:t>140</w:t>
      </w:r>
      <w:r w:rsidR="0067285E" w:rsidRPr="00CB21B0">
        <w:t xml:space="preserve">  </w:t>
      </w:r>
      <w:r w:rsidR="009E75C8" w:rsidRPr="00CB21B0">
        <w:t>Subregulation</w:t>
      </w:r>
      <w:r w:rsidR="00CB21B0" w:rsidRPr="00CB21B0">
        <w:t> </w:t>
      </w:r>
      <w:r w:rsidR="009E75C8" w:rsidRPr="00CB21B0">
        <w:t>71A(1)</w:t>
      </w:r>
    </w:p>
    <w:p w:rsidR="009E75C8" w:rsidRPr="00CB21B0" w:rsidRDefault="009E75C8" w:rsidP="009E75C8">
      <w:pPr>
        <w:pStyle w:val="Item"/>
      </w:pPr>
      <w:r w:rsidRPr="00CB21B0">
        <w:t>Omit “paragraph</w:t>
      </w:r>
      <w:r w:rsidR="00CB21B0" w:rsidRPr="00CB21B0">
        <w:t> </w:t>
      </w:r>
      <w:r w:rsidRPr="00CB21B0">
        <w:t>49(1) (d)”, substitute “section</w:t>
      </w:r>
      <w:r w:rsidR="00CB21B0" w:rsidRPr="00CB21B0">
        <w:t> </w:t>
      </w:r>
      <w:r w:rsidRPr="00CB21B0">
        <w:t>164”.</w:t>
      </w:r>
    </w:p>
    <w:p w:rsidR="008613D4" w:rsidRPr="00CB21B0" w:rsidRDefault="00220E6F" w:rsidP="008613D4">
      <w:pPr>
        <w:pStyle w:val="ItemHead"/>
      </w:pPr>
      <w:r w:rsidRPr="00CB21B0">
        <w:t>141</w:t>
      </w:r>
      <w:r w:rsidR="008613D4" w:rsidRPr="00CB21B0">
        <w:t xml:space="preserve">  Subregulation</w:t>
      </w:r>
      <w:r w:rsidR="001833C6" w:rsidRPr="00CB21B0">
        <w:t>s</w:t>
      </w:r>
      <w:r w:rsidR="00CB21B0" w:rsidRPr="00CB21B0">
        <w:t> </w:t>
      </w:r>
      <w:r w:rsidR="008613D4" w:rsidRPr="00CB21B0">
        <w:t>71A(2)</w:t>
      </w:r>
      <w:r w:rsidR="001833C6" w:rsidRPr="00CB21B0">
        <w:t xml:space="preserve"> and (3)</w:t>
      </w:r>
    </w:p>
    <w:p w:rsidR="008613D4" w:rsidRPr="00CB21B0" w:rsidRDefault="008613D4" w:rsidP="008613D4">
      <w:pPr>
        <w:pStyle w:val="Item"/>
      </w:pPr>
      <w:r w:rsidRPr="00CB21B0">
        <w:t>Omit “interested person”, substitute “holder”.</w:t>
      </w:r>
    </w:p>
    <w:p w:rsidR="008613D4" w:rsidRPr="00CB21B0" w:rsidRDefault="00220E6F" w:rsidP="008613D4">
      <w:pPr>
        <w:pStyle w:val="ItemHead"/>
      </w:pPr>
      <w:r w:rsidRPr="00CB21B0">
        <w:t>142</w:t>
      </w:r>
      <w:r w:rsidR="008613D4" w:rsidRPr="00CB21B0">
        <w:t xml:space="preserve">  Subparagraph 71A(3)(b)(ii)</w:t>
      </w:r>
    </w:p>
    <w:p w:rsidR="008613D4" w:rsidRPr="00CB21B0" w:rsidRDefault="008613D4" w:rsidP="008613D4">
      <w:pPr>
        <w:pStyle w:val="Item"/>
      </w:pPr>
      <w:r w:rsidRPr="00CB21B0">
        <w:t>Omit “listable”, substitute “listed”.</w:t>
      </w:r>
    </w:p>
    <w:p w:rsidR="008613D4" w:rsidRPr="00CB21B0" w:rsidRDefault="00220E6F" w:rsidP="008613D4">
      <w:pPr>
        <w:pStyle w:val="ItemHead"/>
      </w:pPr>
      <w:r w:rsidRPr="00CB21B0">
        <w:t>143</w:t>
      </w:r>
      <w:r w:rsidR="008613D4" w:rsidRPr="00CB21B0">
        <w:t xml:space="preserve">  Subregulation</w:t>
      </w:r>
      <w:r w:rsidR="00CB21B0" w:rsidRPr="00CB21B0">
        <w:t> </w:t>
      </w:r>
      <w:r w:rsidR="008613D4" w:rsidRPr="00CB21B0">
        <w:t>71A(5)</w:t>
      </w:r>
    </w:p>
    <w:p w:rsidR="008613D4" w:rsidRPr="00CB21B0" w:rsidRDefault="008613D4" w:rsidP="008613D4">
      <w:pPr>
        <w:pStyle w:val="Item"/>
      </w:pPr>
      <w:r w:rsidRPr="00CB21B0">
        <w:t>Omit “interested person”, substitute “holder”.</w:t>
      </w:r>
    </w:p>
    <w:p w:rsidR="001833C6" w:rsidRPr="00CB21B0" w:rsidRDefault="00220E6F" w:rsidP="001833C6">
      <w:pPr>
        <w:pStyle w:val="ItemHead"/>
      </w:pPr>
      <w:r w:rsidRPr="00CB21B0">
        <w:t>144</w:t>
      </w:r>
      <w:r w:rsidR="001833C6" w:rsidRPr="00CB21B0">
        <w:t xml:space="preserve">  Subparagraph 71B(1)(b)(ii)</w:t>
      </w:r>
    </w:p>
    <w:p w:rsidR="001833C6" w:rsidRPr="00CB21B0" w:rsidRDefault="001833C6" w:rsidP="001833C6">
      <w:pPr>
        <w:pStyle w:val="Item"/>
      </w:pPr>
      <w:r w:rsidRPr="00CB21B0">
        <w:t>Omit “listable”, substitute “listed”.</w:t>
      </w:r>
    </w:p>
    <w:p w:rsidR="001833C6" w:rsidRPr="00CB21B0" w:rsidRDefault="00220E6F" w:rsidP="001833C6">
      <w:pPr>
        <w:pStyle w:val="ItemHead"/>
      </w:pPr>
      <w:r w:rsidRPr="00CB21B0">
        <w:t>145</w:t>
      </w:r>
      <w:r w:rsidR="001833C6" w:rsidRPr="00CB21B0">
        <w:t xml:space="preserve">  Paragraph 71B(1)(d)</w:t>
      </w:r>
    </w:p>
    <w:p w:rsidR="001833C6" w:rsidRPr="00CB21B0" w:rsidRDefault="001833C6" w:rsidP="001833C6">
      <w:pPr>
        <w:pStyle w:val="Item"/>
      </w:pPr>
      <w:r w:rsidRPr="00CB21B0">
        <w:t>Omit “interested person”, substitute “holder”.</w:t>
      </w:r>
    </w:p>
    <w:p w:rsidR="001833C6" w:rsidRPr="00CB21B0" w:rsidRDefault="00220E6F" w:rsidP="001833C6">
      <w:pPr>
        <w:pStyle w:val="ItemHead"/>
      </w:pPr>
      <w:r w:rsidRPr="00CB21B0">
        <w:lastRenderedPageBreak/>
        <w:t>146</w:t>
      </w:r>
      <w:r w:rsidR="001833C6" w:rsidRPr="00CB21B0">
        <w:t xml:space="preserve">  Subregulations</w:t>
      </w:r>
      <w:r w:rsidR="00CB21B0" w:rsidRPr="00CB21B0">
        <w:t> </w:t>
      </w:r>
      <w:r w:rsidR="001833C6" w:rsidRPr="00CB21B0">
        <w:t>71B(2) and (4)</w:t>
      </w:r>
    </w:p>
    <w:p w:rsidR="00FB4AEE" w:rsidRPr="00CB21B0" w:rsidRDefault="001833C6" w:rsidP="002D2B2D">
      <w:pPr>
        <w:pStyle w:val="Item"/>
      </w:pPr>
      <w:r w:rsidRPr="00CB21B0">
        <w:t>Omit “interested person”</w:t>
      </w:r>
      <w:r w:rsidR="006F6D9E" w:rsidRPr="00CB21B0">
        <w:t xml:space="preserve"> (wherever occurring)</w:t>
      </w:r>
      <w:r w:rsidRPr="00CB21B0">
        <w:t>, substitute “holder”.</w:t>
      </w:r>
    </w:p>
    <w:p w:rsidR="00F7498E" w:rsidRPr="00CB21B0" w:rsidRDefault="00220E6F" w:rsidP="00F7498E">
      <w:pPr>
        <w:pStyle w:val="ItemHead"/>
      </w:pPr>
      <w:r w:rsidRPr="00CB21B0">
        <w:t>147</w:t>
      </w:r>
      <w:r w:rsidR="00F7498E" w:rsidRPr="00CB21B0">
        <w:t xml:space="preserve">  After regulation</w:t>
      </w:r>
      <w:r w:rsidR="00CB21B0" w:rsidRPr="00CB21B0">
        <w:t> </w:t>
      </w:r>
      <w:r w:rsidR="00F7498E" w:rsidRPr="00CB21B0">
        <w:t>71</w:t>
      </w:r>
      <w:r w:rsidR="00CD294E" w:rsidRPr="00CB21B0">
        <w:t>B</w:t>
      </w:r>
    </w:p>
    <w:p w:rsidR="00F7498E" w:rsidRPr="00CB21B0" w:rsidRDefault="00F7498E" w:rsidP="00F7498E">
      <w:pPr>
        <w:pStyle w:val="Item"/>
      </w:pPr>
      <w:r w:rsidRPr="00CB21B0">
        <w:t>Insert:</w:t>
      </w:r>
    </w:p>
    <w:p w:rsidR="00F7498E" w:rsidRPr="00CB21B0" w:rsidRDefault="00F7498E" w:rsidP="00F7498E">
      <w:pPr>
        <w:pStyle w:val="ActHead5"/>
      </w:pPr>
      <w:bookmarkStart w:id="91" w:name="_Toc361055088"/>
      <w:r w:rsidRPr="00CB21B0">
        <w:rPr>
          <w:rStyle w:val="CharSectno"/>
        </w:rPr>
        <w:t>71</w:t>
      </w:r>
      <w:r w:rsidR="00CD294E" w:rsidRPr="00CB21B0">
        <w:rPr>
          <w:rStyle w:val="CharSectno"/>
        </w:rPr>
        <w:t>C</w:t>
      </w:r>
      <w:r w:rsidRPr="00CB21B0">
        <w:t xml:space="preserve">  Fee</w:t>
      </w:r>
      <w:r w:rsidR="00567F29" w:rsidRPr="00CB21B0">
        <w:t>s</w:t>
      </w:r>
      <w:r w:rsidRPr="00CB21B0">
        <w:t xml:space="preserve"> </w:t>
      </w:r>
      <w:r w:rsidR="00567F29" w:rsidRPr="00CB21B0">
        <w:t xml:space="preserve">for applications relating to </w:t>
      </w:r>
      <w:r w:rsidRPr="00CB21B0">
        <w:t>holder</w:t>
      </w:r>
      <w:r w:rsidR="00567F29" w:rsidRPr="00CB21B0">
        <w:t xml:space="preserve"> or </w:t>
      </w:r>
      <w:r w:rsidRPr="00CB21B0">
        <w:t>nominated agent</w:t>
      </w:r>
      <w:bookmarkEnd w:id="91"/>
    </w:p>
    <w:p w:rsidR="00F7498E" w:rsidRPr="00CB21B0" w:rsidRDefault="00F7498E" w:rsidP="00F7498E">
      <w:pPr>
        <w:pStyle w:val="subsection"/>
      </w:pPr>
      <w:r w:rsidRPr="00CB21B0">
        <w:tab/>
      </w:r>
      <w:r w:rsidR="00A54510" w:rsidRPr="00CB21B0">
        <w:tab/>
      </w:r>
      <w:r w:rsidRPr="00CB21B0">
        <w:t>For section</w:t>
      </w:r>
      <w:r w:rsidR="00CB21B0" w:rsidRPr="00CB21B0">
        <w:t> </w:t>
      </w:r>
      <w:r w:rsidRPr="00CB21B0">
        <w:t>164 of the Code, the following fees are prescribed:</w:t>
      </w:r>
    </w:p>
    <w:p w:rsidR="00F7498E" w:rsidRPr="00CB21B0" w:rsidRDefault="00F7498E" w:rsidP="00F7498E">
      <w:pPr>
        <w:pStyle w:val="paragraph"/>
      </w:pPr>
      <w:r w:rsidRPr="00CB21B0">
        <w:tab/>
        <w:t>(a)</w:t>
      </w:r>
      <w:r w:rsidRPr="00CB21B0">
        <w:tab/>
        <w:t>for an application under section</w:t>
      </w:r>
      <w:r w:rsidR="00CB21B0" w:rsidRPr="00CB21B0">
        <w:t> </w:t>
      </w:r>
      <w:r w:rsidRPr="00CB21B0">
        <w:t>8L of the Code to change the holder of an approval or registration—$</w:t>
      </w:r>
      <w:r w:rsidR="00BF61A3" w:rsidRPr="00CB21B0">
        <w:t>50;</w:t>
      </w:r>
    </w:p>
    <w:p w:rsidR="00BF61A3" w:rsidRPr="00CB21B0" w:rsidRDefault="00BF61A3" w:rsidP="00F7498E">
      <w:pPr>
        <w:pStyle w:val="paragraph"/>
      </w:pPr>
      <w:r w:rsidRPr="00CB21B0">
        <w:tab/>
        <w:t>(b)</w:t>
      </w:r>
      <w:r w:rsidRPr="00CB21B0">
        <w:tab/>
        <w:t>for an application under section</w:t>
      </w:r>
      <w:r w:rsidR="00CB21B0" w:rsidRPr="00CB21B0">
        <w:t> </w:t>
      </w:r>
      <w:r w:rsidRPr="00CB21B0">
        <w:t>8M of the Code to nominate a nominated agent—$50;</w:t>
      </w:r>
    </w:p>
    <w:p w:rsidR="00BF61A3" w:rsidRPr="00CB21B0" w:rsidRDefault="00BF61A3" w:rsidP="00F7498E">
      <w:pPr>
        <w:pStyle w:val="paragraph"/>
      </w:pPr>
      <w:r w:rsidRPr="00CB21B0">
        <w:tab/>
        <w:t>(c)</w:t>
      </w:r>
      <w:r w:rsidRPr="00CB21B0">
        <w:tab/>
        <w:t>for an application under section</w:t>
      </w:r>
      <w:r w:rsidR="00CB21B0" w:rsidRPr="00CB21B0">
        <w:t> </w:t>
      </w:r>
      <w:r w:rsidRPr="00CB21B0">
        <w:t>8P of the Code to change a nominated agent—$50.</w:t>
      </w:r>
    </w:p>
    <w:p w:rsidR="007920DF" w:rsidRPr="00CB21B0" w:rsidRDefault="00220E6F" w:rsidP="007920DF">
      <w:pPr>
        <w:pStyle w:val="ItemHead"/>
      </w:pPr>
      <w:r w:rsidRPr="00CB21B0">
        <w:t>148</w:t>
      </w:r>
      <w:r w:rsidR="007920DF" w:rsidRPr="00CB21B0">
        <w:t xml:space="preserve">  Regulation</w:t>
      </w:r>
      <w:r w:rsidR="00CB21B0" w:rsidRPr="00CB21B0">
        <w:t> </w:t>
      </w:r>
      <w:r w:rsidR="007920DF" w:rsidRPr="00CB21B0">
        <w:t>72</w:t>
      </w:r>
    </w:p>
    <w:p w:rsidR="007920DF" w:rsidRPr="00CB21B0" w:rsidRDefault="007920DF" w:rsidP="007920DF">
      <w:pPr>
        <w:pStyle w:val="Item"/>
      </w:pPr>
      <w:r w:rsidRPr="00CB21B0">
        <w:t>Repeal the regulation, substitute:</w:t>
      </w:r>
    </w:p>
    <w:p w:rsidR="007920DF" w:rsidRPr="00CB21B0" w:rsidRDefault="007920DF" w:rsidP="007920DF">
      <w:pPr>
        <w:pStyle w:val="ActHead5"/>
      </w:pPr>
      <w:bookmarkStart w:id="92" w:name="_Toc361055089"/>
      <w:r w:rsidRPr="00CB21B0">
        <w:rPr>
          <w:rStyle w:val="CharSectno"/>
        </w:rPr>
        <w:t>72</w:t>
      </w:r>
      <w:r w:rsidRPr="00CB21B0">
        <w:t xml:space="preserve">  Remission </w:t>
      </w:r>
      <w:r w:rsidR="00EC6506" w:rsidRPr="00CB21B0">
        <w:t xml:space="preserve">and waiver </w:t>
      </w:r>
      <w:r w:rsidRPr="00CB21B0">
        <w:t>of fees for applications</w:t>
      </w:r>
      <w:bookmarkEnd w:id="92"/>
    </w:p>
    <w:p w:rsidR="007920DF" w:rsidRPr="00CB21B0" w:rsidRDefault="007920DF" w:rsidP="007920DF">
      <w:pPr>
        <w:pStyle w:val="subsection"/>
      </w:pPr>
      <w:r w:rsidRPr="00CB21B0">
        <w:tab/>
        <w:t>(1)</w:t>
      </w:r>
      <w:r w:rsidRPr="00CB21B0">
        <w:tab/>
        <w:t>For paragraph</w:t>
      </w:r>
      <w:r w:rsidR="00CB21B0" w:rsidRPr="00CB21B0">
        <w:t> </w:t>
      </w:r>
      <w:r w:rsidRPr="00CB21B0">
        <w:t xml:space="preserve">164(8)(b) of the Code, this regulation prescribes circumstances in which the APVMA </w:t>
      </w:r>
      <w:r w:rsidR="00760DF3" w:rsidRPr="00CB21B0">
        <w:t>m</w:t>
      </w:r>
      <w:r w:rsidRPr="00CB21B0">
        <w:t>ay remit the whole or part of a fee that has been paid</w:t>
      </w:r>
      <w:r w:rsidR="00B95CEB" w:rsidRPr="00CB21B0">
        <w:t>, or waive a fee that is payable</w:t>
      </w:r>
      <w:r w:rsidRPr="00CB21B0">
        <w:t>.</w:t>
      </w:r>
    </w:p>
    <w:p w:rsidR="00384442" w:rsidRPr="00CB21B0" w:rsidRDefault="007920DF" w:rsidP="007920DF">
      <w:pPr>
        <w:pStyle w:val="subsection"/>
      </w:pPr>
      <w:r w:rsidRPr="00CB21B0">
        <w:tab/>
        <w:t>(2)</w:t>
      </w:r>
      <w:r w:rsidRPr="00CB21B0">
        <w:tab/>
        <w:t>The APVMA m</w:t>
      </w:r>
      <w:r w:rsidR="00AD4A3C" w:rsidRPr="00CB21B0">
        <w:t>ay</w:t>
      </w:r>
      <w:r w:rsidRPr="00CB21B0">
        <w:t xml:space="preserve"> remit</w:t>
      </w:r>
      <w:r w:rsidR="00384442" w:rsidRPr="00CB21B0">
        <w:t xml:space="preserve"> </w:t>
      </w:r>
      <w:r w:rsidR="00016445" w:rsidRPr="00CB21B0">
        <w:t xml:space="preserve">the whole or part of </w:t>
      </w:r>
      <w:r w:rsidRPr="00CB21B0">
        <w:t>a fee paid in re</w:t>
      </w:r>
      <w:r w:rsidR="00F27DF5" w:rsidRPr="00CB21B0">
        <w:t xml:space="preserve">spect of </w:t>
      </w:r>
      <w:r w:rsidRPr="00CB21B0">
        <w:t>an application</w:t>
      </w:r>
      <w:r w:rsidR="00384442" w:rsidRPr="00CB21B0">
        <w:t xml:space="preserve"> if:</w:t>
      </w:r>
    </w:p>
    <w:p w:rsidR="007920DF" w:rsidRPr="00CB21B0" w:rsidRDefault="00384442" w:rsidP="00384442">
      <w:pPr>
        <w:pStyle w:val="paragraph"/>
      </w:pPr>
      <w:r w:rsidRPr="00CB21B0">
        <w:tab/>
        <w:t>(a)</w:t>
      </w:r>
      <w:r w:rsidRPr="00CB21B0">
        <w:tab/>
      </w:r>
      <w:r w:rsidR="007920DF" w:rsidRPr="00CB21B0">
        <w:t>the APVMA re</w:t>
      </w:r>
      <w:r w:rsidR="00000562" w:rsidRPr="00CB21B0">
        <w:t>fuses</w:t>
      </w:r>
      <w:r w:rsidR="007920DF" w:rsidRPr="00CB21B0">
        <w:t xml:space="preserve"> the application</w:t>
      </w:r>
      <w:r w:rsidR="00000562" w:rsidRPr="00CB21B0">
        <w:t xml:space="preserve"> under subsection</w:t>
      </w:r>
      <w:r w:rsidR="00CB21B0" w:rsidRPr="00CB21B0">
        <w:t> </w:t>
      </w:r>
      <w:r w:rsidR="00000562" w:rsidRPr="00CB21B0">
        <w:t>11(3)</w:t>
      </w:r>
      <w:r w:rsidR="008525DF" w:rsidRPr="00CB21B0">
        <w:t>, 28(3) or 110A(4)</w:t>
      </w:r>
      <w:r w:rsidR="00000562" w:rsidRPr="00CB21B0">
        <w:t xml:space="preserve"> of the Code</w:t>
      </w:r>
      <w:r w:rsidRPr="00CB21B0">
        <w:t>; or</w:t>
      </w:r>
    </w:p>
    <w:p w:rsidR="00384442" w:rsidRPr="00CB21B0" w:rsidRDefault="00384442" w:rsidP="00384442">
      <w:pPr>
        <w:pStyle w:val="paragraph"/>
      </w:pPr>
      <w:r w:rsidRPr="00CB21B0">
        <w:tab/>
        <w:t>(b)</w:t>
      </w:r>
      <w:r w:rsidRPr="00CB21B0">
        <w:tab/>
        <w:t>the APVMA refuses the application under paragraph</w:t>
      </w:r>
      <w:r w:rsidR="00CB21B0" w:rsidRPr="00CB21B0">
        <w:t> </w:t>
      </w:r>
      <w:r w:rsidRPr="00CB21B0">
        <w:t>8A(d) of the Code on the basis that:</w:t>
      </w:r>
    </w:p>
    <w:p w:rsidR="00384442" w:rsidRPr="00CB21B0" w:rsidRDefault="00384442" w:rsidP="00384442">
      <w:pPr>
        <w:pStyle w:val="paragraphsub"/>
      </w:pPr>
      <w:r w:rsidRPr="00CB21B0">
        <w:tab/>
        <w:t>(i)</w:t>
      </w:r>
      <w:r w:rsidRPr="00CB21B0">
        <w:tab/>
        <w:t>the applicant failed to give the APVMA the number of copies of the application required by the notice issued for the application under regulation</w:t>
      </w:r>
      <w:r w:rsidR="00CB21B0" w:rsidRPr="00CB21B0">
        <w:t> </w:t>
      </w:r>
      <w:r w:rsidRPr="00CB21B0">
        <w:t>8A</w:t>
      </w:r>
      <w:r w:rsidR="00883FB9" w:rsidRPr="00CB21B0">
        <w:t>O</w:t>
      </w:r>
      <w:r w:rsidR="00541A57" w:rsidRPr="00CB21B0">
        <w:t>,</w:t>
      </w:r>
      <w:r w:rsidR="00B95CEB" w:rsidRPr="00CB21B0">
        <w:t xml:space="preserve"> 8A</w:t>
      </w:r>
      <w:r w:rsidR="00883FB9" w:rsidRPr="00CB21B0">
        <w:t>P</w:t>
      </w:r>
      <w:r w:rsidR="00541A57" w:rsidRPr="00CB21B0">
        <w:t xml:space="preserve"> or 8A</w:t>
      </w:r>
      <w:r w:rsidR="00220E6F" w:rsidRPr="00CB21B0">
        <w:t>Q</w:t>
      </w:r>
      <w:r w:rsidRPr="00CB21B0">
        <w:t>; or</w:t>
      </w:r>
    </w:p>
    <w:p w:rsidR="00384442" w:rsidRPr="00CB21B0" w:rsidRDefault="00384442" w:rsidP="00384442">
      <w:pPr>
        <w:pStyle w:val="paragraphsub"/>
      </w:pPr>
      <w:r w:rsidRPr="00CB21B0">
        <w:tab/>
        <w:t>(ii)</w:t>
      </w:r>
      <w:r w:rsidRPr="00CB21B0">
        <w:tab/>
        <w:t>failed to give the APVMA the copies in the form required by that notice.</w:t>
      </w:r>
    </w:p>
    <w:p w:rsidR="00016445" w:rsidRPr="00CB21B0" w:rsidRDefault="00B57849" w:rsidP="003C563A">
      <w:pPr>
        <w:pStyle w:val="notetext"/>
      </w:pPr>
      <w:r w:rsidRPr="00CB21B0">
        <w:lastRenderedPageBreak/>
        <w:t>Note:</w:t>
      </w:r>
      <w:r w:rsidRPr="00CB21B0">
        <w:tab/>
        <w:t xml:space="preserve">The APVMA may also </w:t>
      </w:r>
      <w:r w:rsidR="00FA77A6" w:rsidRPr="00CB21B0">
        <w:t xml:space="preserve">waive </w:t>
      </w:r>
      <w:r w:rsidRPr="00CB21B0">
        <w:t>a fee that is payable</w:t>
      </w:r>
      <w:r w:rsidR="00FA77A6" w:rsidRPr="00CB21B0">
        <w:t>,</w:t>
      </w:r>
      <w:r w:rsidRPr="00CB21B0">
        <w:t xml:space="preserve"> or </w:t>
      </w:r>
      <w:r w:rsidR="00FA77A6" w:rsidRPr="00CB21B0">
        <w:t xml:space="preserve">remit a fee that </w:t>
      </w:r>
      <w:r w:rsidRPr="00CB21B0">
        <w:t>was paid</w:t>
      </w:r>
      <w:r w:rsidR="00FA77A6" w:rsidRPr="00CB21B0">
        <w:t>,</w:t>
      </w:r>
      <w:r w:rsidRPr="00CB21B0">
        <w:t xml:space="preserve"> in respect of an application to the APVMA that is to be or has been withdrawn—see paragraph</w:t>
      </w:r>
      <w:r w:rsidR="00CB21B0" w:rsidRPr="00CB21B0">
        <w:t> </w:t>
      </w:r>
      <w:r w:rsidRPr="00CB21B0">
        <w:t>164(8)(a) of the Code.</w:t>
      </w:r>
    </w:p>
    <w:p w:rsidR="007920DF" w:rsidRPr="00CB21B0" w:rsidRDefault="007920DF" w:rsidP="007920DF">
      <w:pPr>
        <w:pStyle w:val="subsection"/>
      </w:pPr>
      <w:r w:rsidRPr="00CB21B0">
        <w:tab/>
        <w:t>(</w:t>
      </w:r>
      <w:r w:rsidR="004867E3" w:rsidRPr="00CB21B0">
        <w:t>3</w:t>
      </w:r>
      <w:r w:rsidRPr="00CB21B0">
        <w:t>)</w:t>
      </w:r>
      <w:r w:rsidRPr="00CB21B0">
        <w:tab/>
        <w:t>The APVMA may remit the whole or part of a fee paid in respect of an application, other than an application for the renewal of the registration of a chemical product or for a permit, if the application is not determined within the period worked out for the application under regulation</w:t>
      </w:r>
      <w:r w:rsidR="00CB21B0" w:rsidRPr="00CB21B0">
        <w:t> </w:t>
      </w:r>
      <w:r w:rsidRPr="00CB21B0">
        <w:t>76.</w:t>
      </w:r>
    </w:p>
    <w:p w:rsidR="007920DF" w:rsidRPr="00CB21B0" w:rsidRDefault="007920DF" w:rsidP="007920DF">
      <w:pPr>
        <w:pStyle w:val="subsection"/>
      </w:pPr>
      <w:r w:rsidRPr="00CB21B0">
        <w:tab/>
        <w:t>(</w:t>
      </w:r>
      <w:r w:rsidR="004867E3" w:rsidRPr="00CB21B0">
        <w:t>4</w:t>
      </w:r>
      <w:r w:rsidRPr="00CB21B0">
        <w:t>)</w:t>
      </w:r>
      <w:r w:rsidRPr="00CB21B0">
        <w:tab/>
        <w:t>The APVMA may remit the whole or part of a fee paid in respect of a module of assessment specified in Schedule</w:t>
      </w:r>
      <w:r w:rsidR="00CB21B0" w:rsidRPr="00CB21B0">
        <w:t> </w:t>
      </w:r>
      <w:r w:rsidRPr="00CB21B0">
        <w:t>7 if the module is not completed within the time specified for the module in Schedule</w:t>
      </w:r>
      <w:r w:rsidR="00CB21B0" w:rsidRPr="00CB21B0">
        <w:t> </w:t>
      </w:r>
      <w:r w:rsidRPr="00CB21B0">
        <w:t>7.</w:t>
      </w:r>
    </w:p>
    <w:p w:rsidR="00480412" w:rsidRPr="00CB21B0" w:rsidRDefault="00B95CEB" w:rsidP="00480412">
      <w:pPr>
        <w:pStyle w:val="subsection"/>
      </w:pPr>
      <w:r w:rsidRPr="00CB21B0">
        <w:tab/>
        <w:t>(</w:t>
      </w:r>
      <w:r w:rsidR="004867E3" w:rsidRPr="00CB21B0">
        <w:t>5</w:t>
      </w:r>
      <w:r w:rsidRPr="00CB21B0">
        <w:t>)</w:t>
      </w:r>
      <w:r w:rsidRPr="00CB21B0">
        <w:tab/>
        <w:t xml:space="preserve">If the APVMA refuses an application on the basis that the applicant failed to pay the </w:t>
      </w:r>
      <w:r w:rsidR="00480412" w:rsidRPr="00CB21B0">
        <w:t xml:space="preserve">balance of the </w:t>
      </w:r>
      <w:r w:rsidRPr="00CB21B0">
        <w:t xml:space="preserve">application fee </w:t>
      </w:r>
      <w:r w:rsidR="00480412" w:rsidRPr="00CB21B0">
        <w:t xml:space="preserve">for the application, </w:t>
      </w:r>
      <w:r w:rsidRPr="00CB21B0">
        <w:t>as required by a notice issued for the application under regulation</w:t>
      </w:r>
      <w:r w:rsidR="00CB21B0" w:rsidRPr="00CB21B0">
        <w:t> </w:t>
      </w:r>
      <w:r w:rsidRPr="00CB21B0">
        <w:t>8A</w:t>
      </w:r>
      <w:r w:rsidR="00883FB9" w:rsidRPr="00CB21B0">
        <w:t>O</w:t>
      </w:r>
      <w:r w:rsidR="00541A57" w:rsidRPr="00CB21B0">
        <w:t>,</w:t>
      </w:r>
      <w:r w:rsidRPr="00CB21B0">
        <w:t xml:space="preserve"> 8A</w:t>
      </w:r>
      <w:r w:rsidR="00883FB9" w:rsidRPr="00CB21B0">
        <w:t>P</w:t>
      </w:r>
      <w:r w:rsidR="00541A57" w:rsidRPr="00CB21B0">
        <w:t xml:space="preserve"> or 8A</w:t>
      </w:r>
      <w:r w:rsidR="00220E6F" w:rsidRPr="00CB21B0">
        <w:t>Q</w:t>
      </w:r>
      <w:r w:rsidR="00480412" w:rsidRPr="00CB21B0">
        <w:t>, the APVMA m</w:t>
      </w:r>
      <w:r w:rsidR="004867E3" w:rsidRPr="00CB21B0">
        <w:t>ay</w:t>
      </w:r>
      <w:r w:rsidR="00480412" w:rsidRPr="00CB21B0">
        <w:t xml:space="preserve"> waive the balance of the application fee.</w:t>
      </w:r>
    </w:p>
    <w:p w:rsidR="00B50404" w:rsidRPr="00CB21B0" w:rsidRDefault="007920DF" w:rsidP="00B50404">
      <w:pPr>
        <w:pStyle w:val="subsection"/>
      </w:pPr>
      <w:r w:rsidRPr="00CB21B0">
        <w:tab/>
        <w:t>(</w:t>
      </w:r>
      <w:r w:rsidR="004867E3" w:rsidRPr="00CB21B0">
        <w:t>6</w:t>
      </w:r>
      <w:r w:rsidRPr="00CB21B0">
        <w:t>)</w:t>
      </w:r>
      <w:r w:rsidRPr="00CB21B0">
        <w:tab/>
      </w:r>
      <w:r w:rsidR="00000562" w:rsidRPr="00CB21B0">
        <w:t xml:space="preserve">In any other circumstances, </w:t>
      </w:r>
      <w:r w:rsidRPr="00CB21B0">
        <w:t xml:space="preserve">the APVMA may </w:t>
      </w:r>
      <w:r w:rsidR="00000562" w:rsidRPr="00CB21B0">
        <w:t xml:space="preserve">waive or </w:t>
      </w:r>
      <w:r w:rsidRPr="00CB21B0">
        <w:t>remit</w:t>
      </w:r>
      <w:r w:rsidR="00000562" w:rsidRPr="00CB21B0">
        <w:t xml:space="preserve"> </w:t>
      </w:r>
      <w:r w:rsidRPr="00CB21B0">
        <w:t>the whole or part of a fee payable or paid under the Code</w:t>
      </w:r>
      <w:r w:rsidR="00F7498E" w:rsidRPr="00CB21B0">
        <w:t xml:space="preserve"> or these Regulations</w:t>
      </w:r>
      <w:r w:rsidR="00000562" w:rsidRPr="00CB21B0">
        <w:t>,</w:t>
      </w:r>
      <w:r w:rsidR="007C2E21" w:rsidRPr="00CB21B0">
        <w:t xml:space="preserve"> if the APVMA considers it desirable to do so.</w:t>
      </w:r>
    </w:p>
    <w:p w:rsidR="00D273C6" w:rsidRPr="00CB21B0" w:rsidRDefault="00D273C6" w:rsidP="00B50404">
      <w:pPr>
        <w:pStyle w:val="subsection"/>
      </w:pPr>
      <w:r w:rsidRPr="00CB21B0">
        <w:tab/>
        <w:t>(</w:t>
      </w:r>
      <w:r w:rsidR="004867E3" w:rsidRPr="00CB21B0">
        <w:t>7</w:t>
      </w:r>
      <w:r w:rsidRPr="00CB21B0">
        <w:t>)</w:t>
      </w:r>
      <w:r w:rsidRPr="00CB21B0">
        <w:tab/>
        <w:t>In this regulation:</w:t>
      </w:r>
    </w:p>
    <w:p w:rsidR="002434EC" w:rsidRPr="00CB21B0" w:rsidRDefault="002434EC" w:rsidP="00D273C6">
      <w:pPr>
        <w:pStyle w:val="Definition"/>
      </w:pPr>
      <w:r w:rsidRPr="00CB21B0">
        <w:rPr>
          <w:b/>
          <w:i/>
        </w:rPr>
        <w:t xml:space="preserve">application fee </w:t>
      </w:r>
      <w:r w:rsidRPr="00CB21B0">
        <w:t>has the meaning given by subregulation</w:t>
      </w:r>
      <w:r w:rsidR="00CB21B0" w:rsidRPr="00CB21B0">
        <w:t> </w:t>
      </w:r>
      <w:r w:rsidRPr="00CB21B0">
        <w:t>70(2).</w:t>
      </w:r>
    </w:p>
    <w:p w:rsidR="00B50404" w:rsidRPr="00CB21B0" w:rsidRDefault="00220E6F" w:rsidP="00B50404">
      <w:pPr>
        <w:pStyle w:val="ItemHead"/>
      </w:pPr>
      <w:r w:rsidRPr="00CB21B0">
        <w:t>149</w:t>
      </w:r>
      <w:r w:rsidR="00B50404" w:rsidRPr="00CB21B0">
        <w:t xml:space="preserve">  Subregulation</w:t>
      </w:r>
      <w:r w:rsidR="00CB21B0" w:rsidRPr="00CB21B0">
        <w:t> </w:t>
      </w:r>
      <w:r w:rsidR="00B50404" w:rsidRPr="00CB21B0">
        <w:t>72A(9)</w:t>
      </w:r>
    </w:p>
    <w:p w:rsidR="00B50404" w:rsidRPr="00CB21B0" w:rsidRDefault="00B50404" w:rsidP="00B50404">
      <w:pPr>
        <w:pStyle w:val="Item"/>
      </w:pPr>
      <w:r w:rsidRPr="00CB21B0">
        <w:t>Repeal the subregulation.</w:t>
      </w:r>
    </w:p>
    <w:p w:rsidR="00B50404" w:rsidRPr="00CB21B0" w:rsidRDefault="00220E6F" w:rsidP="00B50404">
      <w:pPr>
        <w:pStyle w:val="ItemHead"/>
      </w:pPr>
      <w:r w:rsidRPr="00CB21B0">
        <w:t>150</w:t>
      </w:r>
      <w:r w:rsidR="00B50404" w:rsidRPr="00CB21B0">
        <w:t xml:space="preserve">  Subparagraph 72A(11)(b)(ii)</w:t>
      </w:r>
    </w:p>
    <w:p w:rsidR="00B50404" w:rsidRPr="00CB21B0" w:rsidRDefault="00B50404" w:rsidP="00B50404">
      <w:pPr>
        <w:pStyle w:val="Item"/>
      </w:pPr>
      <w:r w:rsidRPr="00CB21B0">
        <w:t>Omit “listable”, substitute “listed”.</w:t>
      </w:r>
    </w:p>
    <w:p w:rsidR="007920DF" w:rsidRPr="00CB21B0" w:rsidRDefault="00220E6F" w:rsidP="007920DF">
      <w:pPr>
        <w:pStyle w:val="ItemHead"/>
        <w:rPr>
          <w:rFonts w:cs="Arial"/>
        </w:rPr>
      </w:pPr>
      <w:r w:rsidRPr="00CB21B0">
        <w:rPr>
          <w:rFonts w:cs="Arial"/>
          <w:noProof/>
        </w:rPr>
        <w:t>151</w:t>
      </w:r>
      <w:r w:rsidR="007920DF" w:rsidRPr="00CB21B0">
        <w:rPr>
          <w:rFonts w:cs="Arial"/>
        </w:rPr>
        <w:t xml:space="preserve">  </w:t>
      </w:r>
      <w:r w:rsidR="003A782E" w:rsidRPr="00CB21B0">
        <w:rPr>
          <w:rFonts w:cs="Arial"/>
        </w:rPr>
        <w:t>Subregulation</w:t>
      </w:r>
      <w:r w:rsidR="00CB21B0" w:rsidRPr="00CB21B0">
        <w:rPr>
          <w:rFonts w:cs="Arial"/>
        </w:rPr>
        <w:t> </w:t>
      </w:r>
      <w:r w:rsidR="007920DF" w:rsidRPr="00CB21B0">
        <w:rPr>
          <w:rFonts w:cs="Arial"/>
        </w:rPr>
        <w:t>73(3)</w:t>
      </w:r>
    </w:p>
    <w:p w:rsidR="007920DF" w:rsidRPr="00CB21B0" w:rsidRDefault="007920DF" w:rsidP="007920DF">
      <w:pPr>
        <w:pStyle w:val="Item"/>
      </w:pPr>
      <w:r w:rsidRPr="00CB21B0">
        <w:t xml:space="preserve">Repeal the </w:t>
      </w:r>
      <w:r w:rsidR="003A782E" w:rsidRPr="00CB21B0">
        <w:t>subregulation</w:t>
      </w:r>
      <w:r w:rsidRPr="00CB21B0">
        <w:t>, substitute:</w:t>
      </w:r>
    </w:p>
    <w:p w:rsidR="00F77B33" w:rsidRPr="00CB21B0" w:rsidRDefault="007920DF" w:rsidP="007920DF">
      <w:pPr>
        <w:pStyle w:val="subsection"/>
      </w:pPr>
      <w:r w:rsidRPr="00CB21B0">
        <w:rPr>
          <w:b/>
          <w:bCs/>
        </w:rPr>
        <w:tab/>
      </w:r>
      <w:r w:rsidRPr="00CB21B0">
        <w:t>(</w:t>
      </w:r>
      <w:r w:rsidR="003A782E" w:rsidRPr="00CB21B0">
        <w:t>3</w:t>
      </w:r>
      <w:r w:rsidRPr="00CB21B0">
        <w:t>)</w:t>
      </w:r>
      <w:r w:rsidRPr="00CB21B0">
        <w:rPr>
          <w:b/>
          <w:bCs/>
        </w:rPr>
        <w:tab/>
      </w:r>
      <w:r w:rsidRPr="00CB21B0">
        <w:t>No fee is payable, in respect of any matter referred to in subregulation (1), by</w:t>
      </w:r>
      <w:r w:rsidR="00F77B33" w:rsidRPr="00CB21B0">
        <w:t>:</w:t>
      </w:r>
    </w:p>
    <w:p w:rsidR="007920DF" w:rsidRPr="00CB21B0" w:rsidRDefault="00F77B33" w:rsidP="00F77B33">
      <w:pPr>
        <w:pStyle w:val="paragraphsub"/>
      </w:pPr>
      <w:r w:rsidRPr="00CB21B0">
        <w:lastRenderedPageBreak/>
        <w:tab/>
        <w:t>(i)</w:t>
      </w:r>
      <w:r w:rsidRPr="00CB21B0">
        <w:tab/>
      </w:r>
      <w:r w:rsidR="007920DF" w:rsidRPr="00CB21B0">
        <w:t>an authority in this jurisdiction having any function or power in relation to a matter referred to in paragraph</w:t>
      </w:r>
      <w:r w:rsidR="00CB21B0" w:rsidRPr="00CB21B0">
        <w:t> </w:t>
      </w:r>
      <w:r w:rsidR="007920DF" w:rsidRPr="00CB21B0">
        <w:t>159(1)(a), (b), or (d) of the Code</w:t>
      </w:r>
      <w:r w:rsidRPr="00CB21B0">
        <w:t>; or</w:t>
      </w:r>
    </w:p>
    <w:p w:rsidR="00F77B33" w:rsidRPr="00CB21B0" w:rsidRDefault="00F77B33" w:rsidP="00F77B33">
      <w:pPr>
        <w:pStyle w:val="paragraphsub"/>
      </w:pPr>
      <w:r w:rsidRPr="00CB21B0">
        <w:tab/>
        <w:t>(ii)</w:t>
      </w:r>
      <w:r w:rsidRPr="00CB21B0">
        <w:tab/>
        <w:t>the collecting agency.</w:t>
      </w:r>
    </w:p>
    <w:p w:rsidR="007920DF" w:rsidRPr="00CB21B0" w:rsidRDefault="00220E6F" w:rsidP="007920DF">
      <w:pPr>
        <w:pStyle w:val="ItemHead"/>
      </w:pPr>
      <w:r w:rsidRPr="00CB21B0">
        <w:t>152</w:t>
      </w:r>
      <w:r w:rsidR="007920DF" w:rsidRPr="00CB21B0">
        <w:t xml:space="preserve">  Before regulation</w:t>
      </w:r>
      <w:r w:rsidR="00CB21B0" w:rsidRPr="00CB21B0">
        <w:t> </w:t>
      </w:r>
      <w:r w:rsidR="007920DF" w:rsidRPr="00CB21B0">
        <w:t>75</w:t>
      </w:r>
    </w:p>
    <w:p w:rsidR="007920DF" w:rsidRPr="00CB21B0" w:rsidRDefault="007920DF" w:rsidP="007920DF">
      <w:pPr>
        <w:pStyle w:val="Item"/>
      </w:pPr>
      <w:r w:rsidRPr="00CB21B0">
        <w:t>Insert:</w:t>
      </w:r>
    </w:p>
    <w:p w:rsidR="007920DF" w:rsidRPr="00CB21B0" w:rsidRDefault="007920DF" w:rsidP="007920DF">
      <w:pPr>
        <w:pStyle w:val="ActHead3"/>
      </w:pPr>
      <w:bookmarkStart w:id="93" w:name="_Toc361055090"/>
      <w:r w:rsidRPr="00CB21B0">
        <w:rPr>
          <w:rStyle w:val="CharDivNo"/>
        </w:rPr>
        <w:t>Division</w:t>
      </w:r>
      <w:r w:rsidR="00CB21B0" w:rsidRPr="00CB21B0">
        <w:rPr>
          <w:rStyle w:val="CharDivNo"/>
        </w:rPr>
        <w:t> </w:t>
      </w:r>
      <w:r w:rsidRPr="00CB21B0">
        <w:rPr>
          <w:rStyle w:val="CharDivNo"/>
        </w:rPr>
        <w:t>9.3</w:t>
      </w:r>
      <w:r w:rsidRPr="00CB21B0">
        <w:t>—</w:t>
      </w:r>
      <w:r w:rsidRPr="00CB21B0">
        <w:rPr>
          <w:rStyle w:val="CharDivText"/>
        </w:rPr>
        <w:t>Notification</w:t>
      </w:r>
      <w:r w:rsidR="00E93B00" w:rsidRPr="00CB21B0">
        <w:rPr>
          <w:rStyle w:val="CharDivText"/>
        </w:rPr>
        <w:t>,</w:t>
      </w:r>
      <w:r w:rsidRPr="00CB21B0">
        <w:rPr>
          <w:rStyle w:val="CharDivText"/>
        </w:rPr>
        <w:t xml:space="preserve"> assessment periods</w:t>
      </w:r>
      <w:r w:rsidR="00E93B00" w:rsidRPr="00CB21B0">
        <w:rPr>
          <w:rStyle w:val="CharDivText"/>
        </w:rPr>
        <w:t xml:space="preserve"> and review</w:t>
      </w:r>
      <w:bookmarkEnd w:id="93"/>
    </w:p>
    <w:p w:rsidR="00042AD3" w:rsidRPr="00CB21B0" w:rsidRDefault="00220E6F" w:rsidP="007920DF">
      <w:pPr>
        <w:pStyle w:val="ItemHead"/>
        <w:rPr>
          <w:rFonts w:cs="Arial"/>
          <w:noProof/>
        </w:rPr>
      </w:pPr>
      <w:r w:rsidRPr="00CB21B0">
        <w:rPr>
          <w:rFonts w:cs="Arial"/>
          <w:noProof/>
        </w:rPr>
        <w:t>153</w:t>
      </w:r>
      <w:r w:rsidR="00042AD3" w:rsidRPr="00CB21B0">
        <w:rPr>
          <w:rFonts w:cs="Arial"/>
          <w:noProof/>
        </w:rPr>
        <w:t xml:space="preserve">  Subregulation</w:t>
      </w:r>
      <w:r w:rsidR="00CB21B0" w:rsidRPr="00CB21B0">
        <w:rPr>
          <w:rFonts w:cs="Arial"/>
          <w:noProof/>
        </w:rPr>
        <w:t> </w:t>
      </w:r>
      <w:r w:rsidR="00042AD3" w:rsidRPr="00CB21B0">
        <w:rPr>
          <w:rFonts w:cs="Arial"/>
          <w:noProof/>
        </w:rPr>
        <w:t>76(1)</w:t>
      </w:r>
    </w:p>
    <w:p w:rsidR="00042AD3" w:rsidRPr="00CB21B0" w:rsidRDefault="00042AD3" w:rsidP="00042AD3">
      <w:pPr>
        <w:pStyle w:val="Item"/>
      </w:pPr>
      <w:r w:rsidRPr="00CB21B0">
        <w:t>Repeal the subregulation, substitute:</w:t>
      </w:r>
    </w:p>
    <w:p w:rsidR="00042AD3" w:rsidRPr="00CB21B0" w:rsidRDefault="00042AD3" w:rsidP="00042AD3">
      <w:pPr>
        <w:pStyle w:val="subsection"/>
      </w:pPr>
      <w:r w:rsidRPr="00CB21B0">
        <w:tab/>
        <w:t>(1)</w:t>
      </w:r>
      <w:r w:rsidRPr="00CB21B0">
        <w:tab/>
        <w:t xml:space="preserve">For </w:t>
      </w:r>
      <w:r w:rsidR="00D65286" w:rsidRPr="00CB21B0">
        <w:t>sub</w:t>
      </w:r>
      <w:r w:rsidRPr="00CB21B0">
        <w:t>section</w:t>
      </w:r>
      <w:r w:rsidR="00CB21B0" w:rsidRPr="00CB21B0">
        <w:t> </w:t>
      </w:r>
      <w:r w:rsidRPr="00CB21B0">
        <w:t xml:space="preserve">165(1) of the Code, the APVMA must determine an application of a kind specified in </w:t>
      </w:r>
      <w:r w:rsidR="00944217" w:rsidRPr="00CB21B0">
        <w:t>c</w:t>
      </w:r>
      <w:r w:rsidRPr="00CB21B0">
        <w:t>olumn 1 of an item in Part</w:t>
      </w:r>
      <w:r w:rsidR="00CB21B0" w:rsidRPr="00CB21B0">
        <w:t> </w:t>
      </w:r>
      <w:r w:rsidRPr="00CB21B0">
        <w:t>2 of Schedule</w:t>
      </w:r>
      <w:r w:rsidR="00CB21B0" w:rsidRPr="00CB21B0">
        <w:t> </w:t>
      </w:r>
      <w:r w:rsidRPr="00CB21B0">
        <w:t xml:space="preserve">6 within the period (if any) specified for the item in </w:t>
      </w:r>
      <w:r w:rsidR="00944217" w:rsidRPr="00CB21B0">
        <w:t>c</w:t>
      </w:r>
      <w:r w:rsidRPr="00CB21B0">
        <w:t>olumn 2 of that Schedule</w:t>
      </w:r>
      <w:r w:rsidR="00944217" w:rsidRPr="00CB21B0">
        <w:t>, plus any extension to the assessment period applying to the application under regulation</w:t>
      </w:r>
      <w:r w:rsidR="00CB21B0" w:rsidRPr="00CB21B0">
        <w:t> </w:t>
      </w:r>
      <w:r w:rsidR="00944217" w:rsidRPr="00CB21B0">
        <w:t>76B.</w:t>
      </w:r>
    </w:p>
    <w:p w:rsidR="00944217" w:rsidRPr="00CB21B0" w:rsidRDefault="00042AD3" w:rsidP="00042AD3">
      <w:pPr>
        <w:pStyle w:val="subsection"/>
      </w:pPr>
      <w:r w:rsidRPr="00CB21B0">
        <w:tab/>
        <w:t>(1A)</w:t>
      </w:r>
      <w:r w:rsidRPr="00CB21B0">
        <w:tab/>
        <w:t>However, if subregulation</w:t>
      </w:r>
      <w:r w:rsidR="00CB21B0" w:rsidRPr="00CB21B0">
        <w:t> </w:t>
      </w:r>
      <w:r w:rsidRPr="00CB21B0">
        <w:t xml:space="preserve">76A(2) applies to the application, the APVMA must determine the application </w:t>
      </w:r>
      <w:r w:rsidR="001A116C" w:rsidRPr="00CB21B0">
        <w:t xml:space="preserve">within the period (if any) specified for the item in </w:t>
      </w:r>
      <w:r w:rsidR="00944217" w:rsidRPr="00CB21B0">
        <w:t>c</w:t>
      </w:r>
      <w:r w:rsidR="001A116C" w:rsidRPr="00CB21B0">
        <w:t xml:space="preserve">olumn </w:t>
      </w:r>
      <w:r w:rsidRPr="00CB21B0">
        <w:t>3</w:t>
      </w:r>
      <w:r w:rsidR="001A116C" w:rsidRPr="00CB21B0">
        <w:t xml:space="preserve"> of </w:t>
      </w:r>
      <w:r w:rsidRPr="00CB21B0">
        <w:t>Part</w:t>
      </w:r>
      <w:r w:rsidR="00CB21B0" w:rsidRPr="00CB21B0">
        <w:t> </w:t>
      </w:r>
      <w:r w:rsidRPr="00CB21B0">
        <w:t>2 of Schedule</w:t>
      </w:r>
      <w:r w:rsidR="00CB21B0" w:rsidRPr="00CB21B0">
        <w:t> </w:t>
      </w:r>
      <w:r w:rsidRPr="00CB21B0">
        <w:t>6</w:t>
      </w:r>
      <w:r w:rsidR="00944217" w:rsidRPr="00CB21B0">
        <w:t>, plus any extension to the assessment period applying to the application under regulation</w:t>
      </w:r>
      <w:r w:rsidR="00CB21B0" w:rsidRPr="00CB21B0">
        <w:t> </w:t>
      </w:r>
      <w:r w:rsidR="00944217" w:rsidRPr="00CB21B0">
        <w:t>76B.</w:t>
      </w:r>
    </w:p>
    <w:p w:rsidR="00944217" w:rsidRPr="00CB21B0" w:rsidRDefault="00220E6F" w:rsidP="00944217">
      <w:pPr>
        <w:pStyle w:val="ItemHead"/>
      </w:pPr>
      <w:r w:rsidRPr="00CB21B0">
        <w:t>154</w:t>
      </w:r>
      <w:r w:rsidR="00944217" w:rsidRPr="00CB21B0">
        <w:t xml:space="preserve">  Subregulation</w:t>
      </w:r>
      <w:r w:rsidR="00CB21B0" w:rsidRPr="00CB21B0">
        <w:t> </w:t>
      </w:r>
      <w:r w:rsidR="00944217" w:rsidRPr="00CB21B0">
        <w:t>76(2)</w:t>
      </w:r>
    </w:p>
    <w:p w:rsidR="00944217" w:rsidRPr="00CB21B0" w:rsidRDefault="00944217" w:rsidP="00944217">
      <w:pPr>
        <w:pStyle w:val="Item"/>
      </w:pPr>
      <w:r w:rsidRPr="00CB21B0">
        <w:t>Omit “Column 3” substitute “column 2 or 3”.</w:t>
      </w:r>
    </w:p>
    <w:p w:rsidR="007920DF" w:rsidRPr="00CB21B0" w:rsidRDefault="00220E6F" w:rsidP="007920DF">
      <w:pPr>
        <w:pStyle w:val="ItemHead"/>
        <w:rPr>
          <w:rFonts w:cs="Arial"/>
        </w:rPr>
      </w:pPr>
      <w:r w:rsidRPr="00CB21B0">
        <w:rPr>
          <w:rFonts w:cs="Arial"/>
          <w:noProof/>
        </w:rPr>
        <w:t>155</w:t>
      </w:r>
      <w:r w:rsidR="007920DF" w:rsidRPr="00CB21B0">
        <w:rPr>
          <w:rFonts w:cs="Arial"/>
        </w:rPr>
        <w:t xml:space="preserve">  Regulation</w:t>
      </w:r>
      <w:r w:rsidR="00CB21B0" w:rsidRPr="00CB21B0">
        <w:rPr>
          <w:rFonts w:cs="Arial"/>
        </w:rPr>
        <w:t> </w:t>
      </w:r>
      <w:r w:rsidR="007920DF" w:rsidRPr="00CB21B0">
        <w:rPr>
          <w:rFonts w:cs="Arial"/>
        </w:rPr>
        <w:t>76, note 1</w:t>
      </w:r>
    </w:p>
    <w:p w:rsidR="007920DF" w:rsidRPr="00CB21B0" w:rsidRDefault="007920DF" w:rsidP="007920DF">
      <w:pPr>
        <w:pStyle w:val="Item"/>
      </w:pPr>
      <w:r w:rsidRPr="00CB21B0">
        <w:t xml:space="preserve">Repeal </w:t>
      </w:r>
      <w:r w:rsidR="00F66C3E" w:rsidRPr="00CB21B0">
        <w:t>n</w:t>
      </w:r>
      <w:r w:rsidRPr="00CB21B0">
        <w:t>ote 1, substitute:</w:t>
      </w:r>
    </w:p>
    <w:p w:rsidR="00944217" w:rsidRPr="00CB21B0" w:rsidRDefault="007920DF" w:rsidP="007920DF">
      <w:pPr>
        <w:pStyle w:val="notetext"/>
      </w:pPr>
      <w:r w:rsidRPr="00CB21B0">
        <w:rPr>
          <w:iCs/>
        </w:rPr>
        <w:t>Note 1:</w:t>
      </w:r>
      <w:r w:rsidRPr="00CB21B0">
        <w:rPr>
          <w:iCs/>
        </w:rPr>
        <w:tab/>
      </w:r>
      <w:r w:rsidRPr="00CB21B0">
        <w:t>Subsection</w:t>
      </w:r>
      <w:r w:rsidR="00CB21B0" w:rsidRPr="00CB21B0">
        <w:t> </w:t>
      </w:r>
      <w:r w:rsidRPr="00CB21B0">
        <w:t xml:space="preserve">165(2) of the Code provides that in working out a period for the purposes of a </w:t>
      </w:r>
      <w:r w:rsidR="001B14F1" w:rsidRPr="00CB21B0">
        <w:t>re</w:t>
      </w:r>
      <w:r w:rsidR="00CB21B0">
        <w:noBreakHyphen/>
      </w:r>
      <w:r w:rsidR="001B14F1" w:rsidRPr="00CB21B0">
        <w:t>approval or re</w:t>
      </w:r>
      <w:r w:rsidR="00CB21B0">
        <w:noBreakHyphen/>
      </w:r>
      <w:r w:rsidR="001B14F1" w:rsidRPr="00CB21B0">
        <w:t>registration</w:t>
      </w:r>
      <w:r w:rsidRPr="00CB21B0">
        <w:t xml:space="preserve"> application, no regard is to be had to certain periods that would otherwise be part of that period, including any period during which a requirement made by the APVMA has not been complied with.</w:t>
      </w:r>
    </w:p>
    <w:p w:rsidR="00855500" w:rsidRPr="00CB21B0" w:rsidRDefault="00220E6F" w:rsidP="00855500">
      <w:pPr>
        <w:pStyle w:val="ItemHead"/>
      </w:pPr>
      <w:r w:rsidRPr="00CB21B0">
        <w:t>156</w:t>
      </w:r>
      <w:r w:rsidR="00855500" w:rsidRPr="00CB21B0">
        <w:t xml:space="preserve">  After regulation</w:t>
      </w:r>
      <w:r w:rsidR="00CB21B0" w:rsidRPr="00CB21B0">
        <w:t> </w:t>
      </w:r>
      <w:r w:rsidR="00855500" w:rsidRPr="00CB21B0">
        <w:t>76</w:t>
      </w:r>
    </w:p>
    <w:p w:rsidR="00855500" w:rsidRPr="00CB21B0" w:rsidRDefault="00855500" w:rsidP="00855500">
      <w:pPr>
        <w:pStyle w:val="Item"/>
      </w:pPr>
      <w:r w:rsidRPr="00CB21B0">
        <w:t>Insert:</w:t>
      </w:r>
    </w:p>
    <w:p w:rsidR="00855500" w:rsidRPr="00CB21B0" w:rsidRDefault="00855500" w:rsidP="00855500">
      <w:pPr>
        <w:pStyle w:val="ActHead5"/>
      </w:pPr>
      <w:bookmarkStart w:id="94" w:name="_Toc361055091"/>
      <w:r w:rsidRPr="00CB21B0">
        <w:rPr>
          <w:rStyle w:val="CharSectno"/>
        </w:rPr>
        <w:lastRenderedPageBreak/>
        <w:t>76A</w:t>
      </w:r>
      <w:r w:rsidR="00886E0A" w:rsidRPr="00CB21B0">
        <w:t xml:space="preserve">  </w:t>
      </w:r>
      <w:r w:rsidRPr="00CB21B0">
        <w:t>Exten</w:t>
      </w:r>
      <w:r w:rsidR="00042AD3" w:rsidRPr="00CB21B0">
        <w:t>ded assessment periods</w:t>
      </w:r>
      <w:bookmarkEnd w:id="94"/>
    </w:p>
    <w:p w:rsidR="00855500" w:rsidRPr="00CB21B0" w:rsidRDefault="00855500" w:rsidP="00855500">
      <w:pPr>
        <w:pStyle w:val="subsection"/>
      </w:pPr>
      <w:r w:rsidRPr="00CB21B0">
        <w:tab/>
        <w:t>(1)</w:t>
      </w:r>
      <w:r w:rsidRPr="00CB21B0">
        <w:tab/>
        <w:t>For subregulation</w:t>
      </w:r>
      <w:r w:rsidR="00CB21B0" w:rsidRPr="00CB21B0">
        <w:t> </w:t>
      </w:r>
      <w:r w:rsidRPr="00CB21B0">
        <w:t>76(</w:t>
      </w:r>
      <w:r w:rsidR="00231AD3" w:rsidRPr="00CB21B0">
        <w:t>1A</w:t>
      </w:r>
      <w:r w:rsidRPr="00CB21B0">
        <w:t>), this regulation specifies exten</w:t>
      </w:r>
      <w:r w:rsidR="00B50404" w:rsidRPr="00CB21B0">
        <w:t>ded assessment periods</w:t>
      </w:r>
      <w:r w:rsidRPr="00CB21B0">
        <w:t xml:space="preserve"> that apply to applications.</w:t>
      </w:r>
    </w:p>
    <w:p w:rsidR="00855500" w:rsidRPr="00CB21B0" w:rsidRDefault="00855500" w:rsidP="00855500">
      <w:pPr>
        <w:pStyle w:val="subsection"/>
      </w:pPr>
      <w:r w:rsidRPr="00CB21B0">
        <w:tab/>
        <w:t>(2)</w:t>
      </w:r>
      <w:r w:rsidRPr="00CB21B0">
        <w:tab/>
        <w:t xml:space="preserve">An </w:t>
      </w:r>
      <w:r w:rsidR="00B50404" w:rsidRPr="00CB21B0">
        <w:t>extended assessment period</w:t>
      </w:r>
      <w:r w:rsidRPr="00CB21B0">
        <w:t xml:space="preserve"> applies to an application of a kind mentioned in an item in Part</w:t>
      </w:r>
      <w:r w:rsidR="00CB21B0" w:rsidRPr="00CB21B0">
        <w:t> </w:t>
      </w:r>
      <w:r w:rsidRPr="00CB21B0">
        <w:t>2 of Schedule</w:t>
      </w:r>
      <w:r w:rsidR="00CB21B0" w:rsidRPr="00CB21B0">
        <w:t> </w:t>
      </w:r>
      <w:r w:rsidRPr="00CB21B0">
        <w:t xml:space="preserve">6 </w:t>
      </w:r>
      <w:r w:rsidR="00C7290B" w:rsidRPr="00CB21B0">
        <w:t xml:space="preserve">(other than a timeshift application) </w:t>
      </w:r>
      <w:r w:rsidRPr="00CB21B0">
        <w:t>if the APVMA gives a notice to the applicant under section</w:t>
      </w:r>
      <w:r w:rsidR="00CB21B0" w:rsidRPr="00CB21B0">
        <w:t> </w:t>
      </w:r>
      <w:r w:rsidRPr="00CB21B0">
        <w:t>159 of the Code in relation to the application.</w:t>
      </w:r>
    </w:p>
    <w:p w:rsidR="009669DC" w:rsidRPr="00CB21B0" w:rsidRDefault="009669DC" w:rsidP="009669DC">
      <w:pPr>
        <w:pStyle w:val="subsection"/>
      </w:pPr>
      <w:r w:rsidRPr="00CB21B0">
        <w:tab/>
        <w:t>(3)</w:t>
      </w:r>
      <w:r w:rsidRPr="00CB21B0">
        <w:tab/>
      </w:r>
      <w:r w:rsidR="00042AD3" w:rsidRPr="00CB21B0">
        <w:t>However sub</w:t>
      </w:r>
      <w:r w:rsidR="00091CB1" w:rsidRPr="00CB21B0">
        <w:t>regulation (2)</w:t>
      </w:r>
      <w:r w:rsidR="00042AD3" w:rsidRPr="00CB21B0">
        <w:t xml:space="preserve"> does not apply to an application if the</w:t>
      </w:r>
      <w:r w:rsidR="00091CB1" w:rsidRPr="00CB21B0">
        <w:t xml:space="preserve"> application is:</w:t>
      </w:r>
    </w:p>
    <w:p w:rsidR="009669DC" w:rsidRPr="00CB21B0" w:rsidRDefault="009669DC" w:rsidP="009669DC">
      <w:pPr>
        <w:pStyle w:val="paragraph"/>
      </w:pPr>
      <w:r w:rsidRPr="00CB21B0">
        <w:tab/>
        <w:t>(a)</w:t>
      </w:r>
      <w:r w:rsidRPr="00CB21B0">
        <w:tab/>
        <w:t xml:space="preserve">an </w:t>
      </w:r>
      <w:r w:rsidR="00091CB1" w:rsidRPr="00CB21B0">
        <w:t xml:space="preserve">application </w:t>
      </w:r>
      <w:r w:rsidR="00042AD3" w:rsidRPr="00CB21B0">
        <w:t>to</w:t>
      </w:r>
      <w:r w:rsidR="00091CB1" w:rsidRPr="00CB21B0">
        <w:t xml:space="preserve"> which an </w:t>
      </w:r>
      <w:r w:rsidR="00B50404" w:rsidRPr="00CB21B0">
        <w:t>extended assessment period</w:t>
      </w:r>
      <w:r w:rsidRPr="00CB21B0">
        <w:t xml:space="preserve"> has previously applied under subregulation (2); or</w:t>
      </w:r>
    </w:p>
    <w:p w:rsidR="009669DC" w:rsidRPr="00CB21B0" w:rsidRDefault="009669DC" w:rsidP="009669DC">
      <w:pPr>
        <w:pStyle w:val="paragraph"/>
      </w:pPr>
      <w:r w:rsidRPr="00CB21B0">
        <w:tab/>
        <w:t>(b)</w:t>
      </w:r>
      <w:r w:rsidRPr="00CB21B0">
        <w:tab/>
      </w:r>
      <w:r w:rsidR="00091CB1" w:rsidRPr="00CB21B0">
        <w:t>an</w:t>
      </w:r>
      <w:r w:rsidRPr="00CB21B0">
        <w:t xml:space="preserve"> application for re</w:t>
      </w:r>
      <w:r w:rsidR="00CB21B0">
        <w:noBreakHyphen/>
      </w:r>
      <w:r w:rsidRPr="00CB21B0">
        <w:t>approval of an active constituent or re</w:t>
      </w:r>
      <w:r w:rsidR="00CB21B0">
        <w:noBreakHyphen/>
      </w:r>
      <w:r w:rsidRPr="00CB21B0">
        <w:t>registration of a chemical product.</w:t>
      </w:r>
    </w:p>
    <w:p w:rsidR="009669DC" w:rsidRPr="00CB21B0" w:rsidRDefault="009669DC" w:rsidP="009669DC">
      <w:pPr>
        <w:pStyle w:val="notetext"/>
      </w:pPr>
      <w:r w:rsidRPr="00CB21B0">
        <w:t>Note:</w:t>
      </w:r>
      <w:r w:rsidRPr="00CB21B0">
        <w:tab/>
        <w:t>The assessment period for an application for re</w:t>
      </w:r>
      <w:r w:rsidR="00CB21B0">
        <w:noBreakHyphen/>
      </w:r>
      <w:r w:rsidRPr="00CB21B0">
        <w:t>approval or re</w:t>
      </w:r>
      <w:r w:rsidR="00CB21B0">
        <w:noBreakHyphen/>
      </w:r>
      <w:r w:rsidRPr="00CB21B0">
        <w:t>registration does not include the period starting when the APVMA makes a requirement of the applicant in connection with the application and ending when the requirement is complied with—see subparagraph</w:t>
      </w:r>
      <w:r w:rsidR="00CB21B0" w:rsidRPr="00CB21B0">
        <w:t> </w:t>
      </w:r>
      <w:r w:rsidR="00F66C3E" w:rsidRPr="00CB21B0">
        <w:t>1</w:t>
      </w:r>
      <w:r w:rsidRPr="00CB21B0">
        <w:t>65(2)(a)(i) of the Code.</w:t>
      </w:r>
    </w:p>
    <w:p w:rsidR="00855500" w:rsidRPr="00CB21B0" w:rsidRDefault="00855500" w:rsidP="00855500">
      <w:pPr>
        <w:pStyle w:val="subsection"/>
      </w:pPr>
      <w:r w:rsidRPr="00CB21B0">
        <w:tab/>
        <w:t>(</w:t>
      </w:r>
      <w:r w:rsidR="009669DC" w:rsidRPr="00CB21B0">
        <w:t>4</w:t>
      </w:r>
      <w:r w:rsidRPr="00CB21B0">
        <w:t>)</w:t>
      </w:r>
      <w:r w:rsidRPr="00CB21B0">
        <w:tab/>
        <w:t xml:space="preserve">The </w:t>
      </w:r>
      <w:r w:rsidR="00B50404" w:rsidRPr="00CB21B0">
        <w:t>extended assessment period</w:t>
      </w:r>
      <w:r w:rsidRPr="00CB21B0">
        <w:t xml:space="preserve"> for an application to which subregulation (</w:t>
      </w:r>
      <w:r w:rsidR="00C7290B" w:rsidRPr="00CB21B0">
        <w:t>2</w:t>
      </w:r>
      <w:r w:rsidRPr="00CB21B0">
        <w:t xml:space="preserve">) applies is the period mentioned in column </w:t>
      </w:r>
      <w:r w:rsidR="002418F4" w:rsidRPr="00CB21B0">
        <w:t>3</w:t>
      </w:r>
      <w:r w:rsidRPr="00CB21B0">
        <w:t xml:space="preserve"> of Part</w:t>
      </w:r>
      <w:r w:rsidR="00CB21B0" w:rsidRPr="00CB21B0">
        <w:t> </w:t>
      </w:r>
      <w:r w:rsidRPr="00CB21B0">
        <w:t>2 of Schedule</w:t>
      </w:r>
      <w:r w:rsidR="00CB21B0" w:rsidRPr="00CB21B0">
        <w:t> </w:t>
      </w:r>
      <w:r w:rsidRPr="00CB21B0">
        <w:t>6 for the item.</w:t>
      </w:r>
    </w:p>
    <w:p w:rsidR="00042AD3" w:rsidRPr="00CB21B0" w:rsidRDefault="00042AD3" w:rsidP="00042AD3">
      <w:pPr>
        <w:pStyle w:val="ActHead5"/>
      </w:pPr>
      <w:bookmarkStart w:id="95" w:name="_Toc361055092"/>
      <w:r w:rsidRPr="00CB21B0">
        <w:rPr>
          <w:rStyle w:val="CharSectno"/>
        </w:rPr>
        <w:t>76B</w:t>
      </w:r>
      <w:r w:rsidRPr="00CB21B0">
        <w:t xml:space="preserve">  Extension of assessment period or extended assessment period for recategorised applications</w:t>
      </w:r>
      <w:bookmarkEnd w:id="95"/>
    </w:p>
    <w:p w:rsidR="00855500" w:rsidRPr="00CB21B0" w:rsidRDefault="00855500" w:rsidP="00855500">
      <w:pPr>
        <w:pStyle w:val="subsection"/>
      </w:pPr>
      <w:r w:rsidRPr="00CB21B0">
        <w:tab/>
        <w:t>(</w:t>
      </w:r>
      <w:r w:rsidR="00944217" w:rsidRPr="00CB21B0">
        <w:t>1</w:t>
      </w:r>
      <w:r w:rsidRPr="00CB21B0">
        <w:t>)</w:t>
      </w:r>
      <w:r w:rsidRPr="00CB21B0">
        <w:tab/>
      </w:r>
      <w:r w:rsidR="004A4CC3" w:rsidRPr="00CB21B0">
        <w:t xml:space="preserve">The </w:t>
      </w:r>
      <w:r w:rsidR="00B50404" w:rsidRPr="00CB21B0">
        <w:t>assessment period</w:t>
      </w:r>
      <w:r w:rsidRPr="00CB21B0">
        <w:t xml:space="preserve"> </w:t>
      </w:r>
      <w:r w:rsidR="00C9475F" w:rsidRPr="00CB21B0">
        <w:t xml:space="preserve">or extended assessment period for an application </w:t>
      </w:r>
      <w:r w:rsidR="004A4CC3" w:rsidRPr="00CB21B0">
        <w:t>is extended if</w:t>
      </w:r>
      <w:r w:rsidRPr="00CB21B0">
        <w:t>:</w:t>
      </w:r>
    </w:p>
    <w:p w:rsidR="00855500" w:rsidRPr="00CB21B0" w:rsidRDefault="00855500" w:rsidP="00855500">
      <w:pPr>
        <w:pStyle w:val="paragraph"/>
      </w:pPr>
      <w:r w:rsidRPr="00CB21B0">
        <w:tab/>
        <w:t>(a)</w:t>
      </w:r>
      <w:r w:rsidRPr="00CB21B0">
        <w:tab/>
        <w:t>the APVMA recategorises the application under regulation</w:t>
      </w:r>
      <w:r w:rsidR="00CB21B0" w:rsidRPr="00CB21B0">
        <w:t> </w:t>
      </w:r>
      <w:r w:rsidRPr="00CB21B0">
        <w:t>70</w:t>
      </w:r>
      <w:r w:rsidR="005E342A" w:rsidRPr="00CB21B0">
        <w:t>B</w:t>
      </w:r>
      <w:r w:rsidRPr="00CB21B0">
        <w:t>; and</w:t>
      </w:r>
    </w:p>
    <w:p w:rsidR="00855500" w:rsidRPr="00CB21B0" w:rsidRDefault="00855500" w:rsidP="00855500">
      <w:pPr>
        <w:pStyle w:val="paragraph"/>
      </w:pPr>
      <w:r w:rsidRPr="00CB21B0">
        <w:tab/>
        <w:t>(b)</w:t>
      </w:r>
      <w:r w:rsidRPr="00CB21B0">
        <w:tab/>
        <w:t>an additional amount is payable by the applicant under subregulation</w:t>
      </w:r>
      <w:r w:rsidR="00CB21B0" w:rsidRPr="00CB21B0">
        <w:t> </w:t>
      </w:r>
      <w:r w:rsidRPr="00CB21B0">
        <w:t>70</w:t>
      </w:r>
      <w:r w:rsidR="005E342A" w:rsidRPr="00CB21B0">
        <w:t>B</w:t>
      </w:r>
      <w:r w:rsidRPr="00CB21B0">
        <w:t>(3).</w:t>
      </w:r>
    </w:p>
    <w:p w:rsidR="00855500" w:rsidRPr="00CB21B0" w:rsidRDefault="00855500" w:rsidP="00855500">
      <w:pPr>
        <w:pStyle w:val="subsection"/>
      </w:pPr>
      <w:r w:rsidRPr="00CB21B0">
        <w:tab/>
        <w:t>(</w:t>
      </w:r>
      <w:r w:rsidR="00944217" w:rsidRPr="00CB21B0">
        <w:t>2</w:t>
      </w:r>
      <w:r w:rsidRPr="00CB21B0">
        <w:t>)</w:t>
      </w:r>
      <w:r w:rsidRPr="00CB21B0">
        <w:tab/>
        <w:t xml:space="preserve">The </w:t>
      </w:r>
      <w:r w:rsidR="00B50404" w:rsidRPr="00CB21B0">
        <w:t>extension of the assessment period</w:t>
      </w:r>
      <w:r w:rsidRPr="00CB21B0">
        <w:t xml:space="preserve"> </w:t>
      </w:r>
      <w:r w:rsidR="004A4CC3" w:rsidRPr="00CB21B0">
        <w:t xml:space="preserve">or extended assessment period </w:t>
      </w:r>
      <w:r w:rsidRPr="00CB21B0">
        <w:t xml:space="preserve">for </w:t>
      </w:r>
      <w:r w:rsidR="004A4CC3" w:rsidRPr="00CB21B0">
        <w:t>the</w:t>
      </w:r>
      <w:r w:rsidRPr="00CB21B0">
        <w:t xml:space="preserve"> application </w:t>
      </w:r>
      <w:r w:rsidR="004A4CC3" w:rsidRPr="00CB21B0">
        <w:t xml:space="preserve">is </w:t>
      </w:r>
      <w:r w:rsidRPr="00CB21B0">
        <w:t>the period:</w:t>
      </w:r>
    </w:p>
    <w:p w:rsidR="00855500" w:rsidRPr="00CB21B0" w:rsidRDefault="00855500" w:rsidP="00855500">
      <w:pPr>
        <w:pStyle w:val="paragraph"/>
      </w:pPr>
      <w:r w:rsidRPr="00CB21B0">
        <w:tab/>
        <w:t>(a)</w:t>
      </w:r>
      <w:r w:rsidRPr="00CB21B0">
        <w:tab/>
        <w:t>starting on the date of the notice given by the APVMA under subregulation</w:t>
      </w:r>
      <w:r w:rsidR="00CB21B0" w:rsidRPr="00CB21B0">
        <w:t> </w:t>
      </w:r>
      <w:r w:rsidRPr="00CB21B0">
        <w:t>70</w:t>
      </w:r>
      <w:r w:rsidR="005E342A" w:rsidRPr="00CB21B0">
        <w:t>B</w:t>
      </w:r>
      <w:r w:rsidRPr="00CB21B0">
        <w:t>(3); and</w:t>
      </w:r>
    </w:p>
    <w:p w:rsidR="00855500" w:rsidRPr="00CB21B0" w:rsidRDefault="00855500" w:rsidP="00855500">
      <w:pPr>
        <w:pStyle w:val="paragraph"/>
      </w:pPr>
      <w:r w:rsidRPr="00CB21B0">
        <w:lastRenderedPageBreak/>
        <w:tab/>
        <w:t>(b)</w:t>
      </w:r>
      <w:r w:rsidRPr="00CB21B0">
        <w:tab/>
        <w:t>ending on the date on which the applicant pays the additional amount.</w:t>
      </w:r>
    </w:p>
    <w:p w:rsidR="00E86A49" w:rsidRPr="00CB21B0" w:rsidRDefault="00220E6F" w:rsidP="00E86A49">
      <w:pPr>
        <w:pStyle w:val="ItemHead"/>
      </w:pPr>
      <w:r w:rsidRPr="00CB21B0">
        <w:t>157</w:t>
      </w:r>
      <w:r w:rsidR="00E86A49" w:rsidRPr="00CB21B0">
        <w:t xml:space="preserve">  Subregulation</w:t>
      </w:r>
      <w:r w:rsidR="00CB21B0" w:rsidRPr="00CB21B0">
        <w:t> </w:t>
      </w:r>
      <w:r w:rsidR="00E86A49" w:rsidRPr="00CB21B0">
        <w:t>77(2)</w:t>
      </w:r>
    </w:p>
    <w:p w:rsidR="00E86A49" w:rsidRPr="00CB21B0" w:rsidRDefault="00E86A49" w:rsidP="00E86A49">
      <w:pPr>
        <w:pStyle w:val="Item"/>
      </w:pPr>
      <w:r w:rsidRPr="00CB21B0">
        <w:t>Before “Column 3”, insert “Column 2 or”.</w:t>
      </w:r>
    </w:p>
    <w:p w:rsidR="00016445" w:rsidRPr="00CB21B0" w:rsidRDefault="00220E6F" w:rsidP="00016445">
      <w:pPr>
        <w:pStyle w:val="ItemHead"/>
      </w:pPr>
      <w:r w:rsidRPr="00CB21B0">
        <w:t>158</w:t>
      </w:r>
      <w:r w:rsidR="00016445" w:rsidRPr="00CB21B0">
        <w:t xml:space="preserve">  Paragraph 77(2)(b)</w:t>
      </w:r>
    </w:p>
    <w:p w:rsidR="00016445" w:rsidRPr="00CB21B0" w:rsidRDefault="00016445" w:rsidP="00016445">
      <w:pPr>
        <w:pStyle w:val="Item"/>
      </w:pPr>
      <w:r w:rsidRPr="00CB21B0">
        <w:t>Omit “11.4”, substitute “11.3”.</w:t>
      </w:r>
    </w:p>
    <w:p w:rsidR="006C5070" w:rsidRPr="00CB21B0" w:rsidRDefault="00220E6F" w:rsidP="006C5070">
      <w:pPr>
        <w:pStyle w:val="ItemHead"/>
      </w:pPr>
      <w:r w:rsidRPr="00CB21B0">
        <w:t>159</w:t>
      </w:r>
      <w:r w:rsidR="006C5070" w:rsidRPr="00CB21B0">
        <w:t xml:space="preserve">  Regulations</w:t>
      </w:r>
      <w:r w:rsidR="00CB21B0" w:rsidRPr="00CB21B0">
        <w:t> </w:t>
      </w:r>
      <w:r w:rsidR="006C5070" w:rsidRPr="00CB21B0">
        <w:t>78 and 78A</w:t>
      </w:r>
    </w:p>
    <w:p w:rsidR="006C5070" w:rsidRPr="00CB21B0" w:rsidRDefault="006C5070" w:rsidP="006C5070">
      <w:pPr>
        <w:pStyle w:val="Item"/>
      </w:pPr>
      <w:r w:rsidRPr="00CB21B0">
        <w:t>Repeal the regulations, substitute:</w:t>
      </w:r>
    </w:p>
    <w:p w:rsidR="006C5070" w:rsidRPr="00CB21B0" w:rsidRDefault="00CB4130" w:rsidP="00CB4130">
      <w:pPr>
        <w:pStyle w:val="ActHead5"/>
      </w:pPr>
      <w:bookmarkStart w:id="96" w:name="_Toc361055093"/>
      <w:r w:rsidRPr="00CB21B0">
        <w:rPr>
          <w:rStyle w:val="CharSectno"/>
        </w:rPr>
        <w:t>78</w:t>
      </w:r>
      <w:r w:rsidRPr="00CB21B0">
        <w:t xml:space="preserve">  </w:t>
      </w:r>
      <w:r w:rsidR="006C5070" w:rsidRPr="00CB21B0">
        <w:t xml:space="preserve">Commencement of </w:t>
      </w:r>
      <w:r w:rsidR="00474497" w:rsidRPr="00CB21B0">
        <w:t xml:space="preserve">assessment </w:t>
      </w:r>
      <w:r w:rsidR="006C5070" w:rsidRPr="00CB21B0">
        <w:t>period</w:t>
      </w:r>
      <w:bookmarkEnd w:id="96"/>
    </w:p>
    <w:p w:rsidR="006C5070" w:rsidRPr="00CB21B0" w:rsidRDefault="006C5070" w:rsidP="006C5070">
      <w:pPr>
        <w:pStyle w:val="subsection"/>
      </w:pPr>
      <w:r w:rsidRPr="00CB21B0">
        <w:tab/>
      </w:r>
      <w:r w:rsidR="00C864C1" w:rsidRPr="00CB21B0">
        <w:t>(1)</w:t>
      </w:r>
      <w:r w:rsidR="00474497" w:rsidRPr="00CB21B0">
        <w:tab/>
      </w:r>
      <w:r w:rsidRPr="00CB21B0">
        <w:t>For an application of a kind mentioned in an item in Part</w:t>
      </w:r>
      <w:r w:rsidR="00CB21B0" w:rsidRPr="00CB21B0">
        <w:t> </w:t>
      </w:r>
      <w:r w:rsidRPr="00CB21B0">
        <w:t>2 of Schedule</w:t>
      </w:r>
      <w:r w:rsidR="00CB21B0" w:rsidRPr="00CB21B0">
        <w:t> </w:t>
      </w:r>
      <w:r w:rsidRPr="00CB21B0">
        <w:t xml:space="preserve">6 </w:t>
      </w:r>
      <w:r w:rsidR="002F4EAB" w:rsidRPr="00CB21B0">
        <w:t>(other than item</w:t>
      </w:r>
      <w:r w:rsidR="00CB21B0" w:rsidRPr="00CB21B0">
        <w:t> </w:t>
      </w:r>
      <w:r w:rsidR="002F4EAB" w:rsidRPr="00CB21B0">
        <w:t xml:space="preserve">13A or 26), </w:t>
      </w:r>
      <w:r w:rsidRPr="00CB21B0">
        <w:t xml:space="preserve">the period specified in </w:t>
      </w:r>
      <w:r w:rsidR="00944217" w:rsidRPr="00CB21B0">
        <w:t>c</w:t>
      </w:r>
      <w:r w:rsidRPr="00CB21B0">
        <w:t xml:space="preserve">olumn </w:t>
      </w:r>
      <w:r w:rsidR="002418F4" w:rsidRPr="00CB21B0">
        <w:t>2</w:t>
      </w:r>
      <w:r w:rsidRPr="00CB21B0">
        <w:t xml:space="preserve"> </w:t>
      </w:r>
      <w:r w:rsidR="00087303" w:rsidRPr="00CB21B0">
        <w:t xml:space="preserve">or 3 </w:t>
      </w:r>
      <w:r w:rsidRPr="00CB21B0">
        <w:t>of the item commences</w:t>
      </w:r>
      <w:r w:rsidR="00087303" w:rsidRPr="00CB21B0">
        <w:t xml:space="preserve"> on the following date</w:t>
      </w:r>
      <w:r w:rsidRPr="00CB21B0">
        <w:t>:</w:t>
      </w:r>
    </w:p>
    <w:p w:rsidR="00847C36" w:rsidRPr="00CB21B0" w:rsidRDefault="006C5070" w:rsidP="00847C36">
      <w:pPr>
        <w:pStyle w:val="paragraph"/>
      </w:pPr>
      <w:r w:rsidRPr="00CB21B0">
        <w:tab/>
        <w:t>(a)</w:t>
      </w:r>
      <w:r w:rsidRPr="00CB21B0">
        <w:tab/>
      </w:r>
      <w:r w:rsidR="00087303" w:rsidRPr="00CB21B0">
        <w:t>if</w:t>
      </w:r>
      <w:r w:rsidRPr="00CB21B0">
        <w:t xml:space="preserve"> the notice issued </w:t>
      </w:r>
      <w:r w:rsidR="00847C36" w:rsidRPr="00CB21B0">
        <w:t xml:space="preserve">in relation to the application </w:t>
      </w:r>
      <w:r w:rsidRPr="00CB21B0">
        <w:t>under regulation</w:t>
      </w:r>
      <w:r w:rsidR="00CB21B0" w:rsidRPr="00CB21B0">
        <w:t> </w:t>
      </w:r>
      <w:r w:rsidR="00847C36" w:rsidRPr="00CB21B0">
        <w:t>8A</w:t>
      </w:r>
      <w:r w:rsidR="00883FB9" w:rsidRPr="00CB21B0">
        <w:t>O</w:t>
      </w:r>
      <w:r w:rsidR="00541A57" w:rsidRPr="00CB21B0">
        <w:t>,</w:t>
      </w:r>
      <w:r w:rsidR="00F94B54" w:rsidRPr="00CB21B0">
        <w:t xml:space="preserve"> 8</w:t>
      </w:r>
      <w:r w:rsidR="00847C36" w:rsidRPr="00CB21B0">
        <w:t>A</w:t>
      </w:r>
      <w:r w:rsidR="00883FB9" w:rsidRPr="00CB21B0">
        <w:t>P</w:t>
      </w:r>
      <w:r w:rsidR="00847C36" w:rsidRPr="00CB21B0">
        <w:t xml:space="preserve"> </w:t>
      </w:r>
      <w:r w:rsidR="00541A57" w:rsidRPr="00CB21B0">
        <w:t>or 8A</w:t>
      </w:r>
      <w:r w:rsidR="00220E6F" w:rsidRPr="00CB21B0">
        <w:t>Q</w:t>
      </w:r>
      <w:r w:rsidR="00541A57" w:rsidRPr="00CB21B0">
        <w:t xml:space="preserve"> </w:t>
      </w:r>
      <w:r w:rsidR="00847C36" w:rsidRPr="00CB21B0">
        <w:t xml:space="preserve">required the applicant to pay an amount of </w:t>
      </w:r>
      <w:r w:rsidRPr="00CB21B0">
        <w:t xml:space="preserve">application fee for </w:t>
      </w:r>
      <w:r w:rsidR="00847C36" w:rsidRPr="00CB21B0">
        <w:t>the application</w:t>
      </w:r>
      <w:r w:rsidR="00087303" w:rsidRPr="00CB21B0">
        <w:t>, or provide a number of copies of the application, or both</w:t>
      </w:r>
      <w:r w:rsidR="00847C36" w:rsidRPr="00CB21B0">
        <w:t xml:space="preserve">—the date on which the </w:t>
      </w:r>
      <w:r w:rsidR="00087303" w:rsidRPr="00CB21B0">
        <w:t>applicant complies with all requirements in the notice;</w:t>
      </w:r>
    </w:p>
    <w:p w:rsidR="006C5070" w:rsidRPr="00CB21B0" w:rsidRDefault="006C5070" w:rsidP="00847C36">
      <w:pPr>
        <w:pStyle w:val="paragraph"/>
      </w:pPr>
      <w:r w:rsidRPr="00CB21B0">
        <w:tab/>
        <w:t>(</w:t>
      </w:r>
      <w:r w:rsidR="00087303" w:rsidRPr="00CB21B0">
        <w:t>b</w:t>
      </w:r>
      <w:r w:rsidRPr="00CB21B0">
        <w:t>)</w:t>
      </w:r>
      <w:r w:rsidRPr="00CB21B0">
        <w:tab/>
        <w:t>in any other case—</w:t>
      </w:r>
      <w:r w:rsidR="00847C36" w:rsidRPr="00CB21B0">
        <w:t>on the</w:t>
      </w:r>
      <w:r w:rsidR="00474497" w:rsidRPr="00CB21B0">
        <w:t xml:space="preserve"> date of the notice</w:t>
      </w:r>
      <w:r w:rsidR="00087303" w:rsidRPr="00CB21B0">
        <w:t xml:space="preserve"> issued under regulation</w:t>
      </w:r>
      <w:r w:rsidR="00CB21B0" w:rsidRPr="00CB21B0">
        <w:t> </w:t>
      </w:r>
      <w:r w:rsidR="00087303" w:rsidRPr="00CB21B0">
        <w:t>8AO</w:t>
      </w:r>
      <w:r w:rsidR="00541A57" w:rsidRPr="00CB21B0">
        <w:t>,</w:t>
      </w:r>
      <w:r w:rsidR="00087303" w:rsidRPr="00CB21B0">
        <w:t xml:space="preserve"> 8AP </w:t>
      </w:r>
      <w:r w:rsidR="00541A57" w:rsidRPr="00CB21B0">
        <w:t>or 8A</w:t>
      </w:r>
      <w:r w:rsidR="00220E6F" w:rsidRPr="00CB21B0">
        <w:t>Q</w:t>
      </w:r>
      <w:r w:rsidR="00541A57" w:rsidRPr="00CB21B0">
        <w:t xml:space="preserve"> </w:t>
      </w:r>
      <w:r w:rsidR="00087303" w:rsidRPr="00CB21B0">
        <w:t>in relation to the application</w:t>
      </w:r>
      <w:r w:rsidR="00474497" w:rsidRPr="00CB21B0">
        <w:t>.</w:t>
      </w:r>
    </w:p>
    <w:p w:rsidR="00C864C1" w:rsidRPr="00CB21B0" w:rsidRDefault="00C864C1" w:rsidP="00C864C1">
      <w:pPr>
        <w:pStyle w:val="subsection"/>
      </w:pPr>
      <w:r w:rsidRPr="00CB21B0">
        <w:tab/>
        <w:t>(2)</w:t>
      </w:r>
      <w:r w:rsidRPr="00CB21B0">
        <w:tab/>
        <w:t>For an application of a kind mentioned in item</w:t>
      </w:r>
      <w:r w:rsidR="00CB21B0" w:rsidRPr="00CB21B0">
        <w:t> </w:t>
      </w:r>
      <w:r w:rsidRPr="00CB21B0">
        <w:t>13A of Part</w:t>
      </w:r>
      <w:r w:rsidR="00CB21B0" w:rsidRPr="00CB21B0">
        <w:t> </w:t>
      </w:r>
      <w:r w:rsidRPr="00CB21B0">
        <w:t>2 of Schedule</w:t>
      </w:r>
      <w:r w:rsidR="00CB21B0" w:rsidRPr="00CB21B0">
        <w:t> </w:t>
      </w:r>
      <w:r w:rsidRPr="00CB21B0">
        <w:t>6, the period specified in column 2 or 3 of the item commences when the application is lodged.</w:t>
      </w:r>
    </w:p>
    <w:p w:rsidR="00677F72" w:rsidRPr="00CB21B0" w:rsidRDefault="00C864C1" w:rsidP="00F27DF5">
      <w:pPr>
        <w:pStyle w:val="subsection"/>
      </w:pPr>
      <w:r w:rsidRPr="00CB21B0">
        <w:tab/>
        <w:t>(3)</w:t>
      </w:r>
      <w:r w:rsidRPr="00CB21B0">
        <w:tab/>
        <w:t>For an application of a kind mentioned in item</w:t>
      </w:r>
      <w:r w:rsidR="00CB21B0" w:rsidRPr="00CB21B0">
        <w:t> </w:t>
      </w:r>
      <w:r w:rsidRPr="00CB21B0">
        <w:t>26 of Part</w:t>
      </w:r>
      <w:r w:rsidR="00CB21B0" w:rsidRPr="00CB21B0">
        <w:t> </w:t>
      </w:r>
      <w:r w:rsidRPr="00CB21B0">
        <w:t>2 of Schedule</w:t>
      </w:r>
      <w:r w:rsidR="00CB21B0" w:rsidRPr="00CB21B0">
        <w:t> </w:t>
      </w:r>
      <w:r w:rsidRPr="00CB21B0">
        <w:t>6, the period specified in column 2 of the item commences on the day the approval of the constituent or registration of the product ends.</w:t>
      </w:r>
    </w:p>
    <w:p w:rsidR="008E1F5D" w:rsidRPr="00CB21B0" w:rsidRDefault="008E1F5D" w:rsidP="008E1F5D">
      <w:pPr>
        <w:pStyle w:val="ActHead5"/>
      </w:pPr>
      <w:bookmarkStart w:id="97" w:name="_Toc361055094"/>
      <w:r w:rsidRPr="00CB21B0">
        <w:rPr>
          <w:rStyle w:val="CharSectno"/>
        </w:rPr>
        <w:lastRenderedPageBreak/>
        <w:t>78A</w:t>
      </w:r>
      <w:r w:rsidR="002F4EAB" w:rsidRPr="00CB21B0">
        <w:t xml:space="preserve">  </w:t>
      </w:r>
      <w:r w:rsidRPr="00CB21B0">
        <w:t>Period for determining applications relating to holders and nominated agents</w:t>
      </w:r>
      <w:bookmarkEnd w:id="97"/>
    </w:p>
    <w:p w:rsidR="008E1F5D" w:rsidRPr="00CB21B0" w:rsidRDefault="008E1F5D" w:rsidP="008E1F5D">
      <w:pPr>
        <w:pStyle w:val="subsection"/>
      </w:pPr>
      <w:r w:rsidRPr="00CB21B0">
        <w:tab/>
      </w:r>
      <w:r w:rsidRPr="00CB21B0">
        <w:tab/>
        <w:t>For subsection</w:t>
      </w:r>
      <w:r w:rsidR="00CB21B0" w:rsidRPr="00CB21B0">
        <w:t> </w:t>
      </w:r>
      <w:r w:rsidRPr="00CB21B0">
        <w:t>165(1) of the Code, the APVMA must determine an application made under section</w:t>
      </w:r>
      <w:r w:rsidR="00CB21B0" w:rsidRPr="00CB21B0">
        <w:t> </w:t>
      </w:r>
      <w:r w:rsidRPr="00CB21B0">
        <w:t>8L, 8M or 8P of the Code within 1 month after the application is lodged.</w:t>
      </w:r>
    </w:p>
    <w:p w:rsidR="006C3E96" w:rsidRPr="00CB21B0" w:rsidRDefault="007920DF" w:rsidP="006C3E96">
      <w:pPr>
        <w:pStyle w:val="ActHead5"/>
      </w:pPr>
      <w:bookmarkStart w:id="98" w:name="_Toc361055095"/>
      <w:r w:rsidRPr="00CB21B0">
        <w:rPr>
          <w:rStyle w:val="CharSectno"/>
        </w:rPr>
        <w:t>78</w:t>
      </w:r>
      <w:r w:rsidR="008E1F5D" w:rsidRPr="00CB21B0">
        <w:rPr>
          <w:rStyle w:val="CharSectno"/>
        </w:rPr>
        <w:t>B</w:t>
      </w:r>
      <w:r w:rsidR="00945DDB" w:rsidRPr="00CB21B0">
        <w:t xml:space="preserve">  </w:t>
      </w:r>
      <w:r w:rsidRPr="00CB21B0">
        <w:t>Period within which APVMA is to conclude reconsiderations</w:t>
      </w:r>
      <w:bookmarkEnd w:id="98"/>
    </w:p>
    <w:p w:rsidR="00222E64" w:rsidRPr="00CB21B0" w:rsidRDefault="007920DF" w:rsidP="006C3E96">
      <w:pPr>
        <w:pStyle w:val="subsection"/>
      </w:pPr>
      <w:r w:rsidRPr="00CB21B0">
        <w:tab/>
        <w:t>(1)</w:t>
      </w:r>
      <w:r w:rsidRPr="00CB21B0">
        <w:tab/>
      </w:r>
      <w:r w:rsidR="00222E64" w:rsidRPr="00CB21B0">
        <w:t xml:space="preserve">This regulation is made for </w:t>
      </w:r>
      <w:r w:rsidRPr="00CB21B0">
        <w:t>subsection</w:t>
      </w:r>
      <w:r w:rsidR="00CB21B0" w:rsidRPr="00CB21B0">
        <w:t> </w:t>
      </w:r>
      <w:r w:rsidRPr="00CB21B0">
        <w:t>165A(1) of the Code</w:t>
      </w:r>
      <w:r w:rsidR="00222E64" w:rsidRPr="00CB21B0">
        <w:t>.</w:t>
      </w:r>
    </w:p>
    <w:p w:rsidR="00222E64" w:rsidRPr="00CB21B0" w:rsidRDefault="00222E64" w:rsidP="007920DF">
      <w:pPr>
        <w:pStyle w:val="subsection"/>
      </w:pPr>
      <w:r w:rsidRPr="00CB21B0">
        <w:tab/>
        <w:t>(2)</w:t>
      </w:r>
      <w:r w:rsidRPr="00CB21B0">
        <w:tab/>
        <w:t xml:space="preserve">The reconsideration </w:t>
      </w:r>
      <w:r w:rsidR="007920DF" w:rsidRPr="00CB21B0">
        <w:t xml:space="preserve">period </w:t>
      </w:r>
      <w:r w:rsidRPr="00CB21B0">
        <w:t>starts immediately after the end of the period specified in the notice given by the APVMA in relation to the reconsideration under paragraph</w:t>
      </w:r>
      <w:r w:rsidR="00CB21B0" w:rsidRPr="00CB21B0">
        <w:t> </w:t>
      </w:r>
      <w:r w:rsidRPr="00CB21B0">
        <w:t>32(1)(b) of the Code.</w:t>
      </w:r>
    </w:p>
    <w:p w:rsidR="00222E64" w:rsidRPr="00CB21B0" w:rsidRDefault="00222E64" w:rsidP="007920DF">
      <w:pPr>
        <w:pStyle w:val="subsection"/>
      </w:pPr>
      <w:r w:rsidRPr="00CB21B0">
        <w:tab/>
        <w:t>(3)</w:t>
      </w:r>
      <w:r w:rsidRPr="00CB21B0">
        <w:tab/>
        <w:t>A reconsideration of an approval or registration is concluded when the APVMA:</w:t>
      </w:r>
    </w:p>
    <w:p w:rsidR="00EB7936" w:rsidRPr="00CB21B0" w:rsidRDefault="00222E64" w:rsidP="00EB7936">
      <w:pPr>
        <w:pStyle w:val="paragraph"/>
      </w:pPr>
      <w:r w:rsidRPr="00CB21B0">
        <w:tab/>
        <w:t>(a)</w:t>
      </w:r>
      <w:r w:rsidRPr="00CB21B0">
        <w:tab/>
        <w:t>gives a notice in relation to the reconsideration under</w:t>
      </w:r>
      <w:r w:rsidR="00EB7936" w:rsidRPr="00CB21B0">
        <w:t xml:space="preserve"> </w:t>
      </w:r>
      <w:r w:rsidR="003F3B79" w:rsidRPr="00CB21B0">
        <w:t>paragraph</w:t>
      </w:r>
      <w:r w:rsidR="00CB21B0" w:rsidRPr="00CB21B0">
        <w:t> </w:t>
      </w:r>
      <w:r w:rsidRPr="00CB21B0">
        <w:t>34AC(1)</w:t>
      </w:r>
      <w:r w:rsidR="003F3B79" w:rsidRPr="00CB21B0">
        <w:t>(a)</w:t>
      </w:r>
      <w:r w:rsidRPr="00CB21B0">
        <w:t xml:space="preserve"> of the Code; or</w:t>
      </w:r>
    </w:p>
    <w:p w:rsidR="00222E64" w:rsidRPr="00CB21B0" w:rsidRDefault="00EB7936" w:rsidP="00EB7936">
      <w:pPr>
        <w:pStyle w:val="paragraph"/>
      </w:pPr>
      <w:r w:rsidRPr="00CB21B0">
        <w:tab/>
      </w:r>
      <w:r w:rsidR="00222E64" w:rsidRPr="00CB21B0">
        <w:t>(b)</w:t>
      </w:r>
      <w:r w:rsidR="00222E64" w:rsidRPr="00CB21B0">
        <w:tab/>
        <w:t>suspends or cancels the approval or registration under section</w:t>
      </w:r>
      <w:r w:rsidR="00CB21B0" w:rsidRPr="00CB21B0">
        <w:t> </w:t>
      </w:r>
      <w:r w:rsidRPr="00CB21B0">
        <w:t>34AA</w:t>
      </w:r>
      <w:r w:rsidR="00222E64" w:rsidRPr="00CB21B0">
        <w:t xml:space="preserve"> of the Code.</w:t>
      </w:r>
    </w:p>
    <w:p w:rsidR="007920DF" w:rsidRPr="00CB21B0" w:rsidRDefault="00222E64" w:rsidP="007920DF">
      <w:pPr>
        <w:pStyle w:val="subsection"/>
      </w:pPr>
      <w:r w:rsidRPr="00CB21B0">
        <w:tab/>
        <w:t>(4)</w:t>
      </w:r>
      <w:r w:rsidRPr="00CB21B0">
        <w:tab/>
        <w:t xml:space="preserve">The period in which the APVMA must conclude a reconsideration </w:t>
      </w:r>
      <w:r w:rsidR="007920DF" w:rsidRPr="00CB21B0">
        <w:t xml:space="preserve">of an approval or registration (the </w:t>
      </w:r>
      <w:r w:rsidR="007920DF" w:rsidRPr="00CB21B0">
        <w:rPr>
          <w:b/>
          <w:i/>
        </w:rPr>
        <w:t>reconsideration assessment period</w:t>
      </w:r>
      <w:r w:rsidR="007920DF" w:rsidRPr="00CB21B0">
        <w:t>) is to be worked out in accordance with the formula in subregulation (</w:t>
      </w:r>
      <w:r w:rsidRPr="00CB21B0">
        <w:t>5</w:t>
      </w:r>
      <w:r w:rsidR="007920DF" w:rsidRPr="00CB21B0">
        <w:t>).</w:t>
      </w:r>
    </w:p>
    <w:p w:rsidR="007920DF" w:rsidRPr="00CB21B0" w:rsidRDefault="007920DF" w:rsidP="007920DF">
      <w:pPr>
        <w:pStyle w:val="subsection"/>
      </w:pPr>
      <w:r w:rsidRPr="00CB21B0">
        <w:tab/>
        <w:t>(</w:t>
      </w:r>
      <w:r w:rsidR="000B74C6" w:rsidRPr="00CB21B0">
        <w:t>5</w:t>
      </w:r>
      <w:r w:rsidRPr="00CB21B0">
        <w:t>)</w:t>
      </w:r>
      <w:r w:rsidRPr="00CB21B0">
        <w:tab/>
        <w:t>The formula is:</w:t>
      </w:r>
    </w:p>
    <w:bookmarkStart w:id="99" w:name="BKCheck15B_4"/>
    <w:bookmarkEnd w:id="99"/>
    <w:p w:rsidR="00AC1DD6" w:rsidRPr="00CB21B0" w:rsidRDefault="00AC1DD6" w:rsidP="00D61EFF">
      <w:pPr>
        <w:pStyle w:val="subsection2"/>
      </w:pPr>
      <w:r w:rsidRPr="00CB21B0">
        <w:rPr>
          <w:position w:val="-10"/>
        </w:rPr>
        <w:object w:dxaOrig="3080" w:dyaOrig="420">
          <v:shape id="_x0000_i1026" type="#_x0000_t75" style="width:153.75pt;height:19.5pt" o:ole="">
            <v:imagedata r:id="rId23" o:title=""/>
          </v:shape>
          <o:OLEObject Type="Embed" ProgID="Equation.DSMT4" ShapeID="_x0000_i1026" DrawAspect="Content" ObjectID="_1436088656" r:id="rId24"/>
        </w:object>
      </w:r>
    </w:p>
    <w:p w:rsidR="007920DF" w:rsidRPr="00CB21B0" w:rsidRDefault="00F66C3E" w:rsidP="00D61EFF">
      <w:pPr>
        <w:pStyle w:val="subsection2"/>
      </w:pPr>
      <w:r w:rsidRPr="00CB21B0">
        <w:t>w</w:t>
      </w:r>
      <w:r w:rsidR="007920DF" w:rsidRPr="00CB21B0">
        <w:t>here:</w:t>
      </w:r>
    </w:p>
    <w:p w:rsidR="007920DF" w:rsidRPr="00CB21B0" w:rsidRDefault="007920DF" w:rsidP="007920DF">
      <w:pPr>
        <w:pStyle w:val="Definition"/>
      </w:pPr>
      <w:r w:rsidRPr="00CB21B0">
        <w:rPr>
          <w:b/>
          <w:i/>
        </w:rPr>
        <w:t>A</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3.1, 3.2, 3.3, 4.1, 7.1, 7.2, and 7.3 in Schedule</w:t>
      </w:r>
      <w:r w:rsidR="00CB21B0" w:rsidRPr="00CB21B0">
        <w:t> </w:t>
      </w:r>
      <w:r w:rsidRPr="00CB21B0">
        <w:t>7 th</w:t>
      </w:r>
      <w:r w:rsidR="000B74C6" w:rsidRPr="00CB21B0">
        <w:t>at the</w:t>
      </w:r>
      <w:r w:rsidRPr="00CB21B0">
        <w:t xml:space="preserve"> APVMA determines</w:t>
      </w:r>
      <w:r w:rsidR="000B74C6" w:rsidRPr="00CB21B0">
        <w:t xml:space="preserve"> are</w:t>
      </w:r>
      <w:r w:rsidRPr="00CB21B0">
        <w:t xml:space="preserve"> necessary for the reconsideration.</w:t>
      </w:r>
    </w:p>
    <w:p w:rsidR="007920DF" w:rsidRPr="00CB21B0" w:rsidRDefault="007920DF" w:rsidP="00B07BE9">
      <w:pPr>
        <w:pStyle w:val="notetext"/>
      </w:pPr>
      <w:r w:rsidRPr="00CB21B0">
        <w:t>Example</w:t>
      </w:r>
      <w:r w:rsidR="007A3AE3" w:rsidRPr="00CB21B0">
        <w:t>:</w:t>
      </w:r>
      <w:r w:rsidR="007A3AE3" w:rsidRPr="00CB21B0">
        <w:tab/>
      </w:r>
      <w:r w:rsidRPr="00CB21B0">
        <w:t>If the APVMA determines that items</w:t>
      </w:r>
      <w:r w:rsidR="00CB21B0" w:rsidRPr="00CB21B0">
        <w:t> </w:t>
      </w:r>
      <w:r w:rsidRPr="00CB21B0">
        <w:t>3.1, 4.</w:t>
      </w:r>
      <w:r w:rsidR="00623FCB" w:rsidRPr="00CB21B0">
        <w:t>1</w:t>
      </w:r>
      <w:r w:rsidRPr="00CB21B0">
        <w:t xml:space="preserve"> and 7.3 are necessary for the reconsideration, </w:t>
      </w:r>
      <w:r w:rsidRPr="00CB21B0">
        <w:rPr>
          <w:b/>
          <w:i/>
        </w:rPr>
        <w:t>A</w:t>
      </w:r>
      <w:r w:rsidRPr="00CB21B0">
        <w:t xml:space="preserve"> is the longest of the periods in column </w:t>
      </w:r>
      <w:r w:rsidR="002418F4" w:rsidRPr="00CB21B0">
        <w:t>2</w:t>
      </w:r>
      <w:r w:rsidRPr="00CB21B0">
        <w:t xml:space="preserve"> for those items, which is 12 months (the period for item</w:t>
      </w:r>
      <w:r w:rsidR="00CB21B0" w:rsidRPr="00CB21B0">
        <w:t> </w:t>
      </w:r>
      <w:r w:rsidRPr="00CB21B0">
        <w:t>3.1).</w:t>
      </w:r>
    </w:p>
    <w:p w:rsidR="007920DF" w:rsidRPr="00CB21B0" w:rsidRDefault="007920DF" w:rsidP="007920DF">
      <w:pPr>
        <w:pStyle w:val="Definition"/>
      </w:pPr>
      <w:r w:rsidRPr="00CB21B0">
        <w:rPr>
          <w:b/>
          <w:i/>
        </w:rPr>
        <w:t xml:space="preserve">B </w:t>
      </w:r>
      <w:r w:rsidRPr="00CB21B0">
        <w:t xml:space="preserve">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2.1</w:t>
      </w:r>
      <w:r w:rsidR="000B74C6" w:rsidRPr="00CB21B0">
        <w:t xml:space="preserve"> to 2.3</w:t>
      </w:r>
      <w:r w:rsidRPr="00CB21B0">
        <w:t xml:space="preserve">, 5.1, 5.2, </w:t>
      </w:r>
      <w:r w:rsidRPr="00CB21B0">
        <w:lastRenderedPageBreak/>
        <w:t>5.4, 6.1 to 6.3, 9, and 10.1 to 10.3 of Schedule</w:t>
      </w:r>
      <w:r w:rsidR="00CB21B0" w:rsidRPr="00CB21B0">
        <w:t> </w:t>
      </w:r>
      <w:r w:rsidRPr="00CB21B0">
        <w:t>7 th</w:t>
      </w:r>
      <w:r w:rsidR="000B74C6" w:rsidRPr="00CB21B0">
        <w:t>at th</w:t>
      </w:r>
      <w:r w:rsidRPr="00CB21B0">
        <w:t xml:space="preserve">e APVMA determines </w:t>
      </w:r>
      <w:r w:rsidR="000B74C6" w:rsidRPr="00CB21B0">
        <w:t>are</w:t>
      </w:r>
      <w:r w:rsidRPr="00CB21B0">
        <w:t xml:space="preserve"> necessary for the reconsideration.</w:t>
      </w:r>
    </w:p>
    <w:p w:rsidR="000B74C6" w:rsidRPr="00CB21B0" w:rsidRDefault="000B74C6" w:rsidP="000B74C6">
      <w:pPr>
        <w:pStyle w:val="Definition"/>
      </w:pPr>
      <w:r w:rsidRPr="00CB21B0">
        <w:rPr>
          <w:b/>
          <w:i/>
        </w:rPr>
        <w:t>C</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11.1, 11.2 or 11.</w:t>
      </w:r>
      <w:r w:rsidR="00945DDB" w:rsidRPr="00CB21B0">
        <w:t>3</w:t>
      </w:r>
      <w:r w:rsidRPr="00CB21B0">
        <w:t xml:space="preserve"> of Schedule</w:t>
      </w:r>
      <w:r w:rsidR="00CB21B0" w:rsidRPr="00CB21B0">
        <w:t> </w:t>
      </w:r>
      <w:r w:rsidRPr="00CB21B0">
        <w:t>7 that the APVMA determines are necessary for the reconsideration.</w:t>
      </w:r>
    </w:p>
    <w:p w:rsidR="000B74C6" w:rsidRPr="00CB21B0" w:rsidRDefault="000B74C6" w:rsidP="000B74C6">
      <w:pPr>
        <w:pStyle w:val="Definition"/>
      </w:pPr>
      <w:r w:rsidRPr="00CB21B0">
        <w:rPr>
          <w:b/>
          <w:i/>
        </w:rPr>
        <w:t>D</w:t>
      </w:r>
      <w:r w:rsidRPr="00CB21B0">
        <w:t xml:space="preserve"> means 4 months.</w:t>
      </w:r>
    </w:p>
    <w:p w:rsidR="007920DF" w:rsidRPr="00CB21B0" w:rsidRDefault="007920DF" w:rsidP="007920DF">
      <w:pPr>
        <w:pStyle w:val="Definition"/>
      </w:pPr>
      <w:r w:rsidRPr="00CB21B0">
        <w:rPr>
          <w:b/>
          <w:i/>
        </w:rPr>
        <w:t>E</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8.1, 8.2 or 8.3 of Schedule</w:t>
      </w:r>
      <w:r w:rsidR="00CB21B0" w:rsidRPr="00CB21B0">
        <w:t> </w:t>
      </w:r>
      <w:r w:rsidRPr="00CB21B0">
        <w:t>7 th</w:t>
      </w:r>
      <w:r w:rsidR="000B74C6" w:rsidRPr="00CB21B0">
        <w:t>at th</w:t>
      </w:r>
      <w:r w:rsidRPr="00CB21B0">
        <w:t xml:space="preserve">e APVMA determines </w:t>
      </w:r>
      <w:r w:rsidR="000B74C6" w:rsidRPr="00CB21B0">
        <w:t>are</w:t>
      </w:r>
      <w:r w:rsidRPr="00CB21B0">
        <w:t xml:space="preserve"> necessary for the </w:t>
      </w:r>
      <w:r w:rsidR="002F4EAB" w:rsidRPr="00CB21B0">
        <w:t>re</w:t>
      </w:r>
      <w:r w:rsidRPr="00CB21B0">
        <w:t>consideration.</w:t>
      </w:r>
    </w:p>
    <w:p w:rsidR="007920DF" w:rsidRPr="00CB21B0" w:rsidRDefault="007920DF" w:rsidP="007920DF">
      <w:pPr>
        <w:pStyle w:val="Definition"/>
      </w:pPr>
      <w:r w:rsidRPr="00CB21B0">
        <w:rPr>
          <w:b/>
          <w:i/>
        </w:rPr>
        <w:t>J</w:t>
      </w:r>
      <w:r w:rsidRPr="00CB21B0">
        <w:t xml:space="preserve"> means:</w:t>
      </w:r>
    </w:p>
    <w:p w:rsidR="007920DF" w:rsidRPr="00CB21B0" w:rsidRDefault="007920DF" w:rsidP="007920DF">
      <w:pPr>
        <w:pStyle w:val="paragraph"/>
      </w:pPr>
      <w:r w:rsidRPr="00CB21B0">
        <w:tab/>
        <w:t>(a)</w:t>
      </w:r>
      <w:r w:rsidRPr="00CB21B0">
        <w:tab/>
        <w:t>if the APVMA must consult each coordinator designated for a jurisdiction about the reconsideration in accordance with subsection</w:t>
      </w:r>
      <w:r w:rsidR="00CB21B0" w:rsidRPr="00CB21B0">
        <w:t> </w:t>
      </w:r>
      <w:r w:rsidRPr="00CB21B0">
        <w:t>34</w:t>
      </w:r>
      <w:r w:rsidR="000B74C6" w:rsidRPr="00CB21B0">
        <w:t>A</w:t>
      </w:r>
      <w:r w:rsidRPr="00CB21B0">
        <w:t>(</w:t>
      </w:r>
      <w:r w:rsidR="000B74C6" w:rsidRPr="00CB21B0">
        <w:t>3</w:t>
      </w:r>
      <w:r w:rsidRPr="00CB21B0">
        <w:t>) of the Code—3 months; and</w:t>
      </w:r>
    </w:p>
    <w:p w:rsidR="007920DF" w:rsidRPr="00CB21B0" w:rsidRDefault="007920DF" w:rsidP="007920DF">
      <w:pPr>
        <w:pStyle w:val="paragraph"/>
      </w:pPr>
      <w:r w:rsidRPr="00CB21B0">
        <w:tab/>
        <w:t>(b)</w:t>
      </w:r>
      <w:r w:rsidRPr="00CB21B0">
        <w:tab/>
        <w:t xml:space="preserve"> in any other case—nil.</w:t>
      </w:r>
    </w:p>
    <w:p w:rsidR="00FC6BC2" w:rsidRPr="00CB21B0" w:rsidRDefault="00FC6BC2" w:rsidP="007920DF">
      <w:pPr>
        <w:pStyle w:val="Definition"/>
      </w:pPr>
      <w:r w:rsidRPr="00CB21B0">
        <w:rPr>
          <w:b/>
          <w:i/>
        </w:rPr>
        <w:t xml:space="preserve">X </w:t>
      </w:r>
      <w:r w:rsidRPr="00CB21B0">
        <w:t>means:</w:t>
      </w:r>
    </w:p>
    <w:p w:rsidR="00FC6BC2" w:rsidRPr="00CB21B0" w:rsidRDefault="00FC6BC2" w:rsidP="00FC6BC2">
      <w:pPr>
        <w:pStyle w:val="paragraph"/>
      </w:pPr>
      <w:r w:rsidRPr="00CB21B0">
        <w:tab/>
        <w:t>(a)</w:t>
      </w:r>
      <w:r w:rsidRPr="00CB21B0">
        <w:tab/>
        <w:t>if the APVMA appoints an arbitrator under section</w:t>
      </w:r>
      <w:r w:rsidR="00CB21B0" w:rsidRPr="00CB21B0">
        <w:t> </w:t>
      </w:r>
      <w:r w:rsidRPr="00CB21B0">
        <w:t>64 of the Code—3 months; and</w:t>
      </w:r>
    </w:p>
    <w:p w:rsidR="00FC6BC2" w:rsidRPr="00CB21B0" w:rsidRDefault="00FC6BC2" w:rsidP="00FC6BC2">
      <w:pPr>
        <w:pStyle w:val="paragraph"/>
      </w:pPr>
      <w:r w:rsidRPr="00CB21B0">
        <w:tab/>
        <w:t>(b)</w:t>
      </w:r>
      <w:r w:rsidRPr="00CB21B0">
        <w:tab/>
        <w:t xml:space="preserve"> in any other case—nil.</w:t>
      </w:r>
    </w:p>
    <w:p w:rsidR="00E93B00" w:rsidRPr="00CB21B0" w:rsidRDefault="002F4EAB" w:rsidP="002F4EAB">
      <w:pPr>
        <w:pStyle w:val="ActHead5"/>
      </w:pPr>
      <w:bookmarkStart w:id="100" w:name="_Toc361055096"/>
      <w:r w:rsidRPr="00CB21B0">
        <w:rPr>
          <w:rStyle w:val="CharSectno"/>
        </w:rPr>
        <w:t>78C</w:t>
      </w:r>
      <w:r w:rsidR="00E93B00" w:rsidRPr="00CB21B0">
        <w:t xml:space="preserve">  Review</w:t>
      </w:r>
      <w:r w:rsidR="003E2622" w:rsidRPr="00CB21B0">
        <w:t xml:space="preserve"> of decisions</w:t>
      </w:r>
      <w:r w:rsidR="00E93B00" w:rsidRPr="00CB21B0">
        <w:t xml:space="preserve"> by Administrative Appeals Tribunal</w:t>
      </w:r>
      <w:bookmarkEnd w:id="100"/>
    </w:p>
    <w:p w:rsidR="00E93B00" w:rsidRPr="00CB21B0" w:rsidRDefault="00E9489F" w:rsidP="00E9489F">
      <w:pPr>
        <w:pStyle w:val="subsection"/>
      </w:pPr>
      <w:r w:rsidRPr="00CB21B0">
        <w:tab/>
      </w:r>
      <w:r w:rsidRPr="00CB21B0">
        <w:tab/>
      </w:r>
      <w:r w:rsidR="00E93B00" w:rsidRPr="00CB21B0">
        <w:t>For paragraph</w:t>
      </w:r>
      <w:r w:rsidR="00CB21B0" w:rsidRPr="00CB21B0">
        <w:t> </w:t>
      </w:r>
      <w:r w:rsidR="00E93B00" w:rsidRPr="00CB21B0">
        <w:t>167(1)(y) of the Code, the following decisions are prescribed:</w:t>
      </w:r>
    </w:p>
    <w:p w:rsidR="00E93B00" w:rsidRPr="00CB21B0" w:rsidRDefault="00E93B00" w:rsidP="00E93B00">
      <w:pPr>
        <w:pStyle w:val="paragraph"/>
      </w:pPr>
      <w:r w:rsidRPr="00CB21B0">
        <w:tab/>
        <w:t>(a)</w:t>
      </w:r>
      <w:r w:rsidRPr="00CB21B0">
        <w:tab/>
      </w:r>
      <w:r w:rsidR="003E2622" w:rsidRPr="00CB21B0">
        <w:t>a decision to refuse an application under subsection</w:t>
      </w:r>
      <w:r w:rsidR="00CB21B0" w:rsidRPr="00CB21B0">
        <w:t> </w:t>
      </w:r>
      <w:r w:rsidR="003E2622" w:rsidRPr="00CB21B0">
        <w:t>8L(3) of the Code;</w:t>
      </w:r>
    </w:p>
    <w:p w:rsidR="003E2622" w:rsidRPr="00CB21B0" w:rsidRDefault="003E2622" w:rsidP="00E93B00">
      <w:pPr>
        <w:pStyle w:val="paragraph"/>
      </w:pPr>
      <w:r w:rsidRPr="00CB21B0">
        <w:tab/>
        <w:t>(b)</w:t>
      </w:r>
      <w:r w:rsidRPr="00CB21B0">
        <w:tab/>
        <w:t>a decision to refuse an application under subsection</w:t>
      </w:r>
      <w:r w:rsidR="00CB21B0" w:rsidRPr="00CB21B0">
        <w:t> </w:t>
      </w:r>
      <w:r w:rsidRPr="00CB21B0">
        <w:t>8M(3) of the Code;</w:t>
      </w:r>
    </w:p>
    <w:p w:rsidR="003E2622" w:rsidRPr="00CB21B0" w:rsidRDefault="003E2622" w:rsidP="00E93B00">
      <w:pPr>
        <w:pStyle w:val="paragraph"/>
      </w:pPr>
      <w:r w:rsidRPr="00CB21B0">
        <w:tab/>
        <w:t>(c)</w:t>
      </w:r>
      <w:r w:rsidRPr="00CB21B0">
        <w:tab/>
        <w:t>a decision to refuse an application under subsection</w:t>
      </w:r>
      <w:r w:rsidR="00CB21B0" w:rsidRPr="00CB21B0">
        <w:t> </w:t>
      </w:r>
      <w:r w:rsidRPr="00CB21B0">
        <w:t>8P(3) of the Code.</w:t>
      </w:r>
    </w:p>
    <w:p w:rsidR="007920DF" w:rsidRPr="00CB21B0" w:rsidRDefault="00220E6F" w:rsidP="007920DF">
      <w:pPr>
        <w:pStyle w:val="ItemHead"/>
      </w:pPr>
      <w:r w:rsidRPr="00CB21B0">
        <w:t>160</w:t>
      </w:r>
      <w:r w:rsidR="00516698" w:rsidRPr="00CB21B0">
        <w:t xml:space="preserve">  </w:t>
      </w:r>
      <w:r w:rsidR="007920DF" w:rsidRPr="00CB21B0">
        <w:t>Before regulation</w:t>
      </w:r>
      <w:r w:rsidR="00CB21B0" w:rsidRPr="00CB21B0">
        <w:t> </w:t>
      </w:r>
      <w:r w:rsidR="007920DF" w:rsidRPr="00CB21B0">
        <w:t>79</w:t>
      </w:r>
    </w:p>
    <w:p w:rsidR="007920DF" w:rsidRPr="00CB21B0" w:rsidRDefault="007920DF" w:rsidP="007920DF">
      <w:pPr>
        <w:pStyle w:val="Item"/>
      </w:pPr>
      <w:r w:rsidRPr="00CB21B0">
        <w:t>Insert:</w:t>
      </w:r>
    </w:p>
    <w:p w:rsidR="007920DF" w:rsidRPr="00CB21B0" w:rsidRDefault="007920DF" w:rsidP="007920DF">
      <w:pPr>
        <w:pStyle w:val="ActHead3"/>
      </w:pPr>
      <w:bookmarkStart w:id="101" w:name="_Toc361055097"/>
      <w:r w:rsidRPr="00CB21B0">
        <w:rPr>
          <w:rStyle w:val="CharDivNo"/>
        </w:rPr>
        <w:lastRenderedPageBreak/>
        <w:t>Division</w:t>
      </w:r>
      <w:r w:rsidR="00CB21B0" w:rsidRPr="00CB21B0">
        <w:rPr>
          <w:rStyle w:val="CharDivNo"/>
        </w:rPr>
        <w:t> </w:t>
      </w:r>
      <w:r w:rsidRPr="00CB21B0">
        <w:rPr>
          <w:rStyle w:val="CharDivNo"/>
        </w:rPr>
        <w:t>9.4</w:t>
      </w:r>
      <w:r w:rsidRPr="00CB21B0">
        <w:t>—</w:t>
      </w:r>
      <w:r w:rsidRPr="00CB21B0">
        <w:rPr>
          <w:rStyle w:val="CharDivText"/>
        </w:rPr>
        <w:t>Logo of APVMA</w:t>
      </w:r>
      <w:bookmarkEnd w:id="101"/>
    </w:p>
    <w:p w:rsidR="00F625FC" w:rsidRPr="00CB21B0" w:rsidRDefault="00220E6F" w:rsidP="00F625FC">
      <w:pPr>
        <w:pStyle w:val="ItemHead"/>
      </w:pPr>
      <w:r w:rsidRPr="00CB21B0">
        <w:t>161</w:t>
      </w:r>
      <w:r w:rsidR="00F625FC" w:rsidRPr="00CB21B0">
        <w:t xml:space="preserve">  A</w:t>
      </w:r>
      <w:r w:rsidR="00E37AD5" w:rsidRPr="00CB21B0">
        <w:t>fter Pa</w:t>
      </w:r>
      <w:r w:rsidR="00F625FC" w:rsidRPr="00CB21B0">
        <w:t>rt</w:t>
      </w:r>
      <w:r w:rsidR="00CB21B0" w:rsidRPr="00CB21B0">
        <w:t> </w:t>
      </w:r>
      <w:r w:rsidR="00F625FC" w:rsidRPr="00CB21B0">
        <w:t>9</w:t>
      </w:r>
    </w:p>
    <w:p w:rsidR="00F625FC" w:rsidRPr="00CB21B0" w:rsidRDefault="00F625FC" w:rsidP="00F625FC">
      <w:pPr>
        <w:pStyle w:val="Item"/>
      </w:pPr>
      <w:r w:rsidRPr="00CB21B0">
        <w:t>Insert:</w:t>
      </w:r>
    </w:p>
    <w:p w:rsidR="00160DC4" w:rsidRPr="00CB21B0" w:rsidRDefault="00160DC4" w:rsidP="00160DC4">
      <w:pPr>
        <w:pStyle w:val="ActHead2"/>
      </w:pPr>
      <w:bookmarkStart w:id="102" w:name="_Toc361055098"/>
      <w:r w:rsidRPr="00CB21B0">
        <w:rPr>
          <w:rStyle w:val="CharPartNo"/>
        </w:rPr>
        <w:t>Part</w:t>
      </w:r>
      <w:r w:rsidR="00CB21B0" w:rsidRPr="00CB21B0">
        <w:rPr>
          <w:rStyle w:val="CharPartNo"/>
        </w:rPr>
        <w:t> </w:t>
      </w:r>
      <w:r w:rsidRPr="00CB21B0">
        <w:rPr>
          <w:rStyle w:val="CharPartNo"/>
        </w:rPr>
        <w:t>9A</w:t>
      </w:r>
      <w:r w:rsidRPr="00CB21B0">
        <w:t>—</w:t>
      </w:r>
      <w:r w:rsidRPr="00CB21B0">
        <w:rPr>
          <w:rStyle w:val="CharPartText"/>
        </w:rPr>
        <w:t>Review of prescribed matters</w:t>
      </w:r>
      <w:bookmarkEnd w:id="102"/>
    </w:p>
    <w:p w:rsidR="00A34334" w:rsidRPr="00CB21B0" w:rsidRDefault="00A34334" w:rsidP="00A34334">
      <w:pPr>
        <w:pStyle w:val="Header"/>
      </w:pPr>
      <w:r w:rsidRPr="00CB21B0">
        <w:rPr>
          <w:rStyle w:val="CharDivNo"/>
        </w:rPr>
        <w:t xml:space="preserve"> </w:t>
      </w:r>
      <w:r w:rsidRPr="00CB21B0">
        <w:rPr>
          <w:rStyle w:val="CharDivText"/>
        </w:rPr>
        <w:t xml:space="preserve"> </w:t>
      </w:r>
    </w:p>
    <w:p w:rsidR="00160DC4" w:rsidRPr="00CB21B0" w:rsidRDefault="00160DC4" w:rsidP="00160DC4">
      <w:pPr>
        <w:pStyle w:val="ActHead5"/>
      </w:pPr>
      <w:bookmarkStart w:id="103" w:name="_Toc361055099"/>
      <w:r w:rsidRPr="00CB21B0">
        <w:rPr>
          <w:rStyle w:val="CharSectno"/>
        </w:rPr>
        <w:t>80A</w:t>
      </w:r>
      <w:r w:rsidRPr="00CB21B0">
        <w:t xml:space="preserve">  Purpose of Part</w:t>
      </w:r>
      <w:r w:rsidR="00CB21B0" w:rsidRPr="00CB21B0">
        <w:t> </w:t>
      </w:r>
      <w:r w:rsidRPr="00CB21B0">
        <w:t>9A</w:t>
      </w:r>
      <w:bookmarkEnd w:id="103"/>
    </w:p>
    <w:p w:rsidR="00160DC4" w:rsidRPr="00CB21B0" w:rsidRDefault="00160DC4" w:rsidP="00160DC4">
      <w:pPr>
        <w:pStyle w:val="subsection"/>
      </w:pPr>
      <w:r w:rsidRPr="00CB21B0">
        <w:tab/>
      </w:r>
      <w:r w:rsidRPr="00CB21B0">
        <w:tab/>
        <w:t>For sections</w:t>
      </w:r>
      <w:r w:rsidR="00CB21B0" w:rsidRPr="00CB21B0">
        <w:t> </w:t>
      </w:r>
      <w:r w:rsidRPr="00CB21B0">
        <w:t xml:space="preserve">5 and 6 of the Amendment Act, this Part prescribes matters </w:t>
      </w:r>
      <w:r w:rsidR="00A63C08" w:rsidRPr="00CB21B0">
        <w:t xml:space="preserve">for </w:t>
      </w:r>
      <w:r w:rsidRPr="00CB21B0">
        <w:t>review</w:t>
      </w:r>
      <w:r w:rsidR="002F4EAB" w:rsidRPr="00CB21B0">
        <w:t>s relating to</w:t>
      </w:r>
      <w:r w:rsidRPr="00CB21B0">
        <w:t xml:space="preserve"> the powers and functions of the APVMA.</w:t>
      </w:r>
    </w:p>
    <w:p w:rsidR="00160DC4" w:rsidRPr="00CB21B0" w:rsidRDefault="00160DC4" w:rsidP="00160DC4">
      <w:pPr>
        <w:pStyle w:val="ActHead5"/>
      </w:pPr>
      <w:bookmarkStart w:id="104" w:name="_Toc361055100"/>
      <w:r w:rsidRPr="00CB21B0">
        <w:rPr>
          <w:rStyle w:val="CharSectno"/>
        </w:rPr>
        <w:t>80B</w:t>
      </w:r>
      <w:r w:rsidRPr="00CB21B0">
        <w:t xml:space="preserve">  Definitions for Part</w:t>
      </w:r>
      <w:r w:rsidR="00CB21B0" w:rsidRPr="00CB21B0">
        <w:t> </w:t>
      </w:r>
      <w:r w:rsidRPr="00CB21B0">
        <w:t>9A</w:t>
      </w:r>
      <w:bookmarkEnd w:id="104"/>
    </w:p>
    <w:p w:rsidR="00160DC4" w:rsidRPr="00CB21B0" w:rsidRDefault="00160DC4" w:rsidP="00160DC4">
      <w:pPr>
        <w:pStyle w:val="subsection"/>
      </w:pPr>
      <w:r w:rsidRPr="00CB21B0">
        <w:tab/>
      </w:r>
      <w:r w:rsidRPr="00CB21B0">
        <w:tab/>
        <w:t>In this Part:</w:t>
      </w:r>
    </w:p>
    <w:p w:rsidR="00160DC4" w:rsidRPr="00CB21B0" w:rsidRDefault="00160DC4" w:rsidP="00160DC4">
      <w:pPr>
        <w:pStyle w:val="Definition"/>
        <w:rPr>
          <w:i/>
        </w:rPr>
      </w:pPr>
      <w:r w:rsidRPr="00CB21B0">
        <w:rPr>
          <w:b/>
          <w:i/>
        </w:rPr>
        <w:t>Amendment Act</w:t>
      </w:r>
      <w:r w:rsidRPr="00CB21B0">
        <w:t xml:space="preserve"> means the </w:t>
      </w:r>
      <w:r w:rsidRPr="00CB21B0">
        <w:rPr>
          <w:i/>
        </w:rPr>
        <w:t>Agricultural and Veterinary Chemicals Legislation Amendment Act 2013.</w:t>
      </w:r>
    </w:p>
    <w:p w:rsidR="00E508BB" w:rsidRPr="00CB21B0" w:rsidRDefault="00E508BB" w:rsidP="00160DC4">
      <w:pPr>
        <w:pStyle w:val="Definition"/>
      </w:pPr>
      <w:r w:rsidRPr="00CB21B0">
        <w:rPr>
          <w:b/>
          <w:i/>
        </w:rPr>
        <w:t>user industries</w:t>
      </w:r>
      <w:r w:rsidRPr="00CB21B0">
        <w:rPr>
          <w:i/>
        </w:rPr>
        <w:t xml:space="preserve"> </w:t>
      </w:r>
      <w:r w:rsidRPr="00CB21B0">
        <w:t>means industries that use chemical products.</w:t>
      </w:r>
    </w:p>
    <w:p w:rsidR="00160DC4" w:rsidRPr="00CB21B0" w:rsidRDefault="00160DC4" w:rsidP="00160DC4">
      <w:pPr>
        <w:pStyle w:val="ActHead5"/>
      </w:pPr>
      <w:bookmarkStart w:id="105" w:name="_Toc361055101"/>
      <w:r w:rsidRPr="00CB21B0">
        <w:rPr>
          <w:rStyle w:val="CharSectno"/>
        </w:rPr>
        <w:t>80</w:t>
      </w:r>
      <w:r w:rsidR="00B9639B" w:rsidRPr="00CB21B0">
        <w:rPr>
          <w:rStyle w:val="CharSectno"/>
        </w:rPr>
        <w:t>C</w:t>
      </w:r>
      <w:r w:rsidRPr="00CB21B0">
        <w:t xml:space="preserve">  Repeal of Part</w:t>
      </w:r>
      <w:r w:rsidR="00CB21B0" w:rsidRPr="00CB21B0">
        <w:t> </w:t>
      </w:r>
      <w:r w:rsidRPr="00CB21B0">
        <w:t>9A</w:t>
      </w:r>
      <w:bookmarkEnd w:id="105"/>
    </w:p>
    <w:p w:rsidR="00160DC4" w:rsidRPr="00CB21B0" w:rsidRDefault="00160DC4" w:rsidP="00160DC4">
      <w:pPr>
        <w:pStyle w:val="subsection"/>
      </w:pPr>
      <w:r w:rsidRPr="00CB21B0">
        <w:tab/>
      </w:r>
      <w:r w:rsidRPr="00CB21B0">
        <w:tab/>
        <w:t>This Part ceases to have effect 5 years after the day the Amendment Act receives the Royal Assent.</w:t>
      </w:r>
    </w:p>
    <w:p w:rsidR="002B44F9" w:rsidRPr="00CB21B0" w:rsidRDefault="002B44F9" w:rsidP="00A34334">
      <w:pPr>
        <w:pStyle w:val="ActHead5"/>
      </w:pPr>
      <w:bookmarkStart w:id="106" w:name="_Toc361055102"/>
      <w:r w:rsidRPr="00CB21B0">
        <w:rPr>
          <w:rStyle w:val="CharSectno"/>
        </w:rPr>
        <w:t>80</w:t>
      </w:r>
      <w:r w:rsidR="00B9639B" w:rsidRPr="00CB21B0">
        <w:rPr>
          <w:rStyle w:val="CharSectno"/>
        </w:rPr>
        <w:t>D</w:t>
      </w:r>
      <w:r w:rsidRPr="00CB21B0">
        <w:t xml:space="preserve">  </w:t>
      </w:r>
      <w:r w:rsidR="00B9639B" w:rsidRPr="00CB21B0">
        <w:t>Reconsideration p</w:t>
      </w:r>
      <w:r w:rsidRPr="00CB21B0">
        <w:t>articipation review</w:t>
      </w:r>
      <w:bookmarkEnd w:id="106"/>
    </w:p>
    <w:p w:rsidR="002B44F9" w:rsidRPr="00CB21B0" w:rsidRDefault="002B44F9" w:rsidP="002B44F9">
      <w:pPr>
        <w:pStyle w:val="subsection"/>
      </w:pPr>
      <w:r w:rsidRPr="00CB21B0">
        <w:tab/>
        <w:t>(1)</w:t>
      </w:r>
      <w:r w:rsidRPr="00CB21B0">
        <w:tab/>
        <w:t xml:space="preserve">A review </w:t>
      </w:r>
      <w:r w:rsidR="004A4CC3" w:rsidRPr="00CB21B0">
        <w:t xml:space="preserve">(a </w:t>
      </w:r>
      <w:r w:rsidR="004A4CC3" w:rsidRPr="00CB21B0">
        <w:rPr>
          <w:b/>
          <w:i/>
        </w:rPr>
        <w:t>reconsideration participation review</w:t>
      </w:r>
      <w:r w:rsidR="004A4CC3" w:rsidRPr="00CB21B0">
        <w:t xml:space="preserve">) </w:t>
      </w:r>
      <w:r w:rsidRPr="00CB21B0">
        <w:t>must be conducted in relation to strategies to encourage participation by industry in reconsiderations</w:t>
      </w:r>
      <w:r w:rsidR="00C61086" w:rsidRPr="00CB21B0">
        <w:t xml:space="preserve"> under Division</w:t>
      </w:r>
      <w:r w:rsidR="00CB21B0" w:rsidRPr="00CB21B0">
        <w:t> </w:t>
      </w:r>
      <w:r w:rsidR="00C61086" w:rsidRPr="00CB21B0">
        <w:t>4 of Part</w:t>
      </w:r>
      <w:r w:rsidR="00CB21B0" w:rsidRPr="00CB21B0">
        <w:t> </w:t>
      </w:r>
      <w:r w:rsidR="00C61086" w:rsidRPr="00CB21B0">
        <w:t>2 of the Code</w:t>
      </w:r>
      <w:r w:rsidRPr="00CB21B0">
        <w:t>.</w:t>
      </w:r>
    </w:p>
    <w:p w:rsidR="002B44F9" w:rsidRPr="00CB21B0" w:rsidRDefault="002B44F9" w:rsidP="002B44F9">
      <w:pPr>
        <w:pStyle w:val="SubsectionHead"/>
      </w:pPr>
      <w:r w:rsidRPr="00CB21B0">
        <w:t>Terms of reference</w:t>
      </w:r>
    </w:p>
    <w:p w:rsidR="007D1275" w:rsidRPr="00CB21B0" w:rsidRDefault="007D1275" w:rsidP="007D1275">
      <w:pPr>
        <w:pStyle w:val="subsection"/>
      </w:pPr>
      <w:r w:rsidRPr="00CB21B0">
        <w:tab/>
      </w:r>
      <w:r w:rsidR="002B44F9" w:rsidRPr="00CB21B0">
        <w:t>(2)</w:t>
      </w:r>
      <w:r w:rsidRPr="00CB21B0">
        <w:tab/>
        <w:t xml:space="preserve">The terms of reference for </w:t>
      </w:r>
      <w:r w:rsidR="002B44F9" w:rsidRPr="00CB21B0">
        <w:t xml:space="preserve">the reconsideration participation </w:t>
      </w:r>
      <w:r w:rsidRPr="00CB21B0">
        <w:t>review must include terms that require</w:t>
      </w:r>
      <w:r w:rsidR="003C563A" w:rsidRPr="00CB21B0">
        <w:t xml:space="preserve"> the following</w:t>
      </w:r>
      <w:r w:rsidRPr="00CB21B0">
        <w:t>:</w:t>
      </w:r>
    </w:p>
    <w:p w:rsidR="007D1275" w:rsidRPr="00CB21B0" w:rsidRDefault="007D1275" w:rsidP="007D1275">
      <w:pPr>
        <w:pStyle w:val="paragraph"/>
      </w:pPr>
      <w:r w:rsidRPr="00CB21B0">
        <w:lastRenderedPageBreak/>
        <w:tab/>
        <w:t>(a)</w:t>
      </w:r>
      <w:r w:rsidRPr="00CB21B0">
        <w:tab/>
        <w:t xml:space="preserve">the identification of any problems with </w:t>
      </w:r>
      <w:r w:rsidR="00C70390" w:rsidRPr="00CB21B0">
        <w:t xml:space="preserve">the </w:t>
      </w:r>
      <w:r w:rsidRPr="00CB21B0">
        <w:t xml:space="preserve">chemical </w:t>
      </w:r>
      <w:r w:rsidR="00C70390" w:rsidRPr="00CB21B0">
        <w:t xml:space="preserve">industry </w:t>
      </w:r>
      <w:r w:rsidRPr="00CB21B0">
        <w:t>and user industr</w:t>
      </w:r>
      <w:r w:rsidR="00C70390" w:rsidRPr="00CB21B0">
        <w:t>ies</w:t>
      </w:r>
      <w:r w:rsidR="00E508BB" w:rsidRPr="00CB21B0">
        <w:t xml:space="preserve"> </w:t>
      </w:r>
      <w:r w:rsidR="00C70390" w:rsidRPr="00CB21B0">
        <w:t xml:space="preserve">participating </w:t>
      </w:r>
      <w:r w:rsidRPr="00CB21B0">
        <w:t>in reconsiderations, including:</w:t>
      </w:r>
    </w:p>
    <w:p w:rsidR="007D1275" w:rsidRPr="00CB21B0" w:rsidRDefault="007D1275" w:rsidP="007D1275">
      <w:pPr>
        <w:pStyle w:val="paragraphsub"/>
      </w:pPr>
      <w:r w:rsidRPr="00CB21B0">
        <w:tab/>
        <w:t>(i)</w:t>
      </w:r>
      <w:r w:rsidRPr="00CB21B0">
        <w:tab/>
        <w:t>any obstacles or disincentives to the provision of information to support ongoing registration of chemical products; and</w:t>
      </w:r>
    </w:p>
    <w:p w:rsidR="007D1275" w:rsidRPr="00CB21B0" w:rsidRDefault="007D1275" w:rsidP="007D1275">
      <w:pPr>
        <w:pStyle w:val="paragraphsub"/>
      </w:pPr>
      <w:r w:rsidRPr="00CB21B0">
        <w:tab/>
        <w:t>(ii)</w:t>
      </w:r>
      <w:r w:rsidRPr="00CB21B0">
        <w:tab/>
        <w:t>compensation for providers of information;</w:t>
      </w:r>
    </w:p>
    <w:p w:rsidR="007D1275" w:rsidRPr="00CB21B0" w:rsidRDefault="007D1275" w:rsidP="007D1275">
      <w:pPr>
        <w:pStyle w:val="paragraph"/>
      </w:pPr>
      <w:r w:rsidRPr="00CB21B0">
        <w:tab/>
        <w:t>(b)</w:t>
      </w:r>
      <w:r w:rsidRPr="00CB21B0">
        <w:tab/>
        <w:t>the identification of options for addressing any identified problems and for collaboratively generating information, including the following options:</w:t>
      </w:r>
    </w:p>
    <w:p w:rsidR="007D1275" w:rsidRPr="00CB21B0" w:rsidRDefault="007D1275" w:rsidP="007D1275">
      <w:pPr>
        <w:pStyle w:val="paragraphsub"/>
      </w:pPr>
      <w:r w:rsidRPr="00CB21B0">
        <w:tab/>
        <w:t>(i)</w:t>
      </w:r>
      <w:r w:rsidRPr="00CB21B0">
        <w:tab/>
        <w:t xml:space="preserve">the task force approach adopted by the </w:t>
      </w:r>
      <w:r w:rsidR="00E508BB" w:rsidRPr="00CB21B0">
        <w:t>United States</w:t>
      </w:r>
      <w:r w:rsidRPr="00CB21B0">
        <w:t xml:space="preserve"> Environmental Protection Agency;</w:t>
      </w:r>
    </w:p>
    <w:p w:rsidR="007D1275" w:rsidRPr="00CB21B0" w:rsidRDefault="007D1275" w:rsidP="007D1275">
      <w:pPr>
        <w:pStyle w:val="paragraphsub"/>
      </w:pPr>
      <w:r w:rsidRPr="00CB21B0">
        <w:tab/>
        <w:t>(ii)</w:t>
      </w:r>
      <w:r w:rsidRPr="00CB21B0">
        <w:tab/>
        <w:t>other relevant approaches used in comparable markets outside Australia;</w:t>
      </w:r>
    </w:p>
    <w:p w:rsidR="007D1275" w:rsidRPr="00CB21B0" w:rsidRDefault="007D1275" w:rsidP="007D1275">
      <w:pPr>
        <w:pStyle w:val="paragraphsub"/>
      </w:pPr>
      <w:r w:rsidRPr="00CB21B0">
        <w:tab/>
        <w:t xml:space="preserve">(iii) </w:t>
      </w:r>
      <w:r w:rsidRPr="00CB21B0">
        <w:tab/>
      </w:r>
      <w:r w:rsidR="00C70390" w:rsidRPr="00CB21B0">
        <w:t xml:space="preserve">other </w:t>
      </w:r>
      <w:r w:rsidRPr="00CB21B0">
        <w:t xml:space="preserve">options to reduce the need for </w:t>
      </w:r>
      <w:r w:rsidR="00C70390" w:rsidRPr="00CB21B0">
        <w:t xml:space="preserve">the </w:t>
      </w:r>
      <w:r w:rsidRPr="00CB21B0">
        <w:t>generation and provision of information;</w:t>
      </w:r>
    </w:p>
    <w:p w:rsidR="007D1275" w:rsidRPr="00CB21B0" w:rsidRDefault="007D1275" w:rsidP="007D1275">
      <w:pPr>
        <w:pStyle w:val="paragraph"/>
      </w:pPr>
      <w:r w:rsidRPr="00CB21B0">
        <w:tab/>
        <w:t>(c)</w:t>
      </w:r>
      <w:r w:rsidRPr="00CB21B0">
        <w:tab/>
        <w:t xml:space="preserve">an analysis of </w:t>
      </w:r>
      <w:r w:rsidR="00C70390" w:rsidRPr="00CB21B0">
        <w:t xml:space="preserve">the </w:t>
      </w:r>
      <w:r w:rsidRPr="00CB21B0">
        <w:t xml:space="preserve">costs and benefits of identified options for addressing problems, including </w:t>
      </w:r>
      <w:r w:rsidR="00C70390" w:rsidRPr="00CB21B0">
        <w:t xml:space="preserve">an analysis of </w:t>
      </w:r>
      <w:r w:rsidRPr="00CB21B0">
        <w:t xml:space="preserve">the impacts of </w:t>
      </w:r>
      <w:r w:rsidR="00C70390" w:rsidRPr="00CB21B0">
        <w:t xml:space="preserve">the </w:t>
      </w:r>
      <w:r w:rsidRPr="00CB21B0">
        <w:t>options on:</w:t>
      </w:r>
    </w:p>
    <w:p w:rsidR="007D1275" w:rsidRPr="00CB21B0" w:rsidRDefault="007D1275" w:rsidP="007D1275">
      <w:pPr>
        <w:pStyle w:val="paragraphsub"/>
      </w:pPr>
      <w:r w:rsidRPr="00CB21B0">
        <w:tab/>
        <w:t>(i)</w:t>
      </w:r>
      <w:r w:rsidRPr="00CB21B0">
        <w:tab/>
        <w:t>different sectors of the chemical industry and user industries; and</w:t>
      </w:r>
    </w:p>
    <w:p w:rsidR="007D1275" w:rsidRPr="00CB21B0" w:rsidRDefault="007D1275" w:rsidP="007D1275">
      <w:pPr>
        <w:pStyle w:val="paragraphsub"/>
      </w:pPr>
      <w:r w:rsidRPr="00CB21B0">
        <w:tab/>
        <w:t>(ii)</w:t>
      </w:r>
      <w:r w:rsidRPr="00CB21B0">
        <w:tab/>
      </w:r>
      <w:r w:rsidR="00EA71CB" w:rsidRPr="00CB21B0">
        <w:t xml:space="preserve">the </w:t>
      </w:r>
      <w:r w:rsidRPr="00CB21B0">
        <w:t>availability</w:t>
      </w:r>
      <w:r w:rsidR="00EA71CB" w:rsidRPr="00CB21B0">
        <w:t>,</w:t>
      </w:r>
      <w:r w:rsidRPr="00CB21B0">
        <w:t xml:space="preserve"> and safe use</w:t>
      </w:r>
      <w:r w:rsidR="00C70390" w:rsidRPr="00CB21B0">
        <w:t xml:space="preserve"> of</w:t>
      </w:r>
      <w:r w:rsidR="00EA71CB" w:rsidRPr="00CB21B0">
        <w:t>,</w:t>
      </w:r>
      <w:r w:rsidR="00C70390" w:rsidRPr="00CB21B0">
        <w:t xml:space="preserve"> chemical</w:t>
      </w:r>
      <w:r w:rsidR="00E508BB" w:rsidRPr="00CB21B0">
        <w:t xml:space="preserve"> products</w:t>
      </w:r>
      <w:r w:rsidRPr="00CB21B0">
        <w:t>;</w:t>
      </w:r>
    </w:p>
    <w:p w:rsidR="007D1275" w:rsidRPr="00CB21B0" w:rsidRDefault="007D1275" w:rsidP="007D1275">
      <w:pPr>
        <w:pStyle w:val="paragraph"/>
      </w:pPr>
      <w:r w:rsidRPr="00CB21B0">
        <w:tab/>
        <w:t>(d)</w:t>
      </w:r>
      <w:r w:rsidRPr="00CB21B0">
        <w:tab/>
      </w:r>
      <w:r w:rsidR="006B035C" w:rsidRPr="00CB21B0">
        <w:t>the making of recommendations</w:t>
      </w:r>
      <w:r w:rsidR="00C70390" w:rsidRPr="00CB21B0">
        <w:t>,</w:t>
      </w:r>
      <w:r w:rsidR="006B035C" w:rsidRPr="00CB21B0">
        <w:t xml:space="preserve"> </w:t>
      </w:r>
      <w:r w:rsidR="00C70390" w:rsidRPr="00CB21B0">
        <w:t xml:space="preserve">relating to matters within the APVMA’s functions and powers, </w:t>
      </w:r>
      <w:r w:rsidR="006B035C" w:rsidRPr="00CB21B0">
        <w:t>for preferred options</w:t>
      </w:r>
      <w:r w:rsidR="009F345B" w:rsidRPr="00CB21B0">
        <w:t xml:space="preserve"> </w:t>
      </w:r>
      <w:r w:rsidR="00C70390" w:rsidRPr="00CB21B0">
        <w:t>to address</w:t>
      </w:r>
      <w:r w:rsidR="006B035C" w:rsidRPr="00CB21B0">
        <w:t xml:space="preserve"> any identified problems</w:t>
      </w:r>
      <w:r w:rsidR="009F345B" w:rsidRPr="00CB21B0">
        <w:t>.</w:t>
      </w:r>
    </w:p>
    <w:p w:rsidR="002B44F9" w:rsidRPr="00CB21B0" w:rsidRDefault="002B44F9" w:rsidP="002B44F9">
      <w:pPr>
        <w:pStyle w:val="SubsectionHead"/>
      </w:pPr>
      <w:r w:rsidRPr="00CB21B0">
        <w:t>Persons conducting review</w:t>
      </w:r>
    </w:p>
    <w:p w:rsidR="002B44F9" w:rsidRPr="00CB21B0" w:rsidRDefault="006B035C" w:rsidP="006B035C">
      <w:pPr>
        <w:pStyle w:val="subsection"/>
      </w:pPr>
      <w:r w:rsidRPr="00CB21B0">
        <w:tab/>
      </w:r>
      <w:r w:rsidR="00B9639B" w:rsidRPr="00CB21B0">
        <w:t>(3)</w:t>
      </w:r>
      <w:r w:rsidRPr="00CB21B0">
        <w:tab/>
      </w:r>
      <w:r w:rsidR="002B44F9" w:rsidRPr="00CB21B0">
        <w:t>At least one of the persons conducting the</w:t>
      </w:r>
      <w:r w:rsidR="00B9639B" w:rsidRPr="00CB21B0">
        <w:t xml:space="preserve"> </w:t>
      </w:r>
      <w:r w:rsidR="002B44F9" w:rsidRPr="00CB21B0">
        <w:t xml:space="preserve">review must not </w:t>
      </w:r>
      <w:r w:rsidR="00C70390" w:rsidRPr="00CB21B0">
        <w:t xml:space="preserve">be </w:t>
      </w:r>
      <w:r w:rsidR="002B44F9" w:rsidRPr="00CB21B0">
        <w:t>otherwise appointed, employed or engaged in an ongoing capacity by the Commonwealth.</w:t>
      </w:r>
    </w:p>
    <w:p w:rsidR="002B44F9" w:rsidRPr="00CB21B0" w:rsidRDefault="002B44F9" w:rsidP="002B44F9">
      <w:pPr>
        <w:pStyle w:val="SubsectionHead"/>
      </w:pPr>
      <w:r w:rsidRPr="00CB21B0">
        <w:t>Use of external expertise</w:t>
      </w:r>
    </w:p>
    <w:p w:rsidR="00B9639B" w:rsidRPr="00CB21B0" w:rsidRDefault="002B44F9" w:rsidP="002B44F9">
      <w:pPr>
        <w:pStyle w:val="subsection"/>
      </w:pPr>
      <w:r w:rsidRPr="00CB21B0">
        <w:tab/>
      </w:r>
      <w:r w:rsidR="00B9639B" w:rsidRPr="00CB21B0">
        <w:t>(4)</w:t>
      </w:r>
      <w:r w:rsidRPr="00CB21B0">
        <w:tab/>
        <w:t>The person</w:t>
      </w:r>
      <w:r w:rsidR="00E508BB" w:rsidRPr="00CB21B0">
        <w:t>s</w:t>
      </w:r>
      <w:r w:rsidRPr="00CB21B0">
        <w:t xml:space="preserve"> conducting the review may draw on external expertise where necessary</w:t>
      </w:r>
      <w:r w:rsidR="009F345B" w:rsidRPr="00CB21B0">
        <w:t xml:space="preserve"> for the review</w:t>
      </w:r>
      <w:r w:rsidRPr="00CB21B0">
        <w:t>.</w:t>
      </w:r>
    </w:p>
    <w:p w:rsidR="00744149" w:rsidRPr="00CB21B0" w:rsidRDefault="00744149" w:rsidP="00744149">
      <w:pPr>
        <w:pStyle w:val="SubsectionHead"/>
      </w:pPr>
      <w:r w:rsidRPr="00CB21B0">
        <w:lastRenderedPageBreak/>
        <w:t>Public consultation</w:t>
      </w:r>
    </w:p>
    <w:p w:rsidR="009F345B" w:rsidRPr="00CB21B0" w:rsidRDefault="009F345B" w:rsidP="00273F37">
      <w:pPr>
        <w:pStyle w:val="subsection"/>
      </w:pPr>
      <w:r w:rsidRPr="00CB21B0">
        <w:tab/>
        <w:t>(</w:t>
      </w:r>
      <w:r w:rsidR="00C61086" w:rsidRPr="00CB21B0">
        <w:t>5</w:t>
      </w:r>
      <w:r w:rsidRPr="00CB21B0">
        <w:t>)</w:t>
      </w:r>
      <w:r w:rsidRPr="00CB21B0">
        <w:tab/>
      </w:r>
      <w:r w:rsidR="00B7258A" w:rsidRPr="00CB21B0">
        <w:t xml:space="preserve">The </w:t>
      </w:r>
      <w:r w:rsidR="00744149" w:rsidRPr="00CB21B0">
        <w:t xml:space="preserve">review must involve the </w:t>
      </w:r>
      <w:r w:rsidR="00B7258A" w:rsidRPr="00CB21B0">
        <w:t>publi</w:t>
      </w:r>
      <w:r w:rsidR="00744149" w:rsidRPr="00CB21B0">
        <w:t>cation of</w:t>
      </w:r>
      <w:r w:rsidR="00B7258A" w:rsidRPr="00CB21B0">
        <w:t xml:space="preserve"> a public consultation document in relation to the review</w:t>
      </w:r>
      <w:r w:rsidR="00773DF7" w:rsidRPr="00CB21B0">
        <w:t xml:space="preserve"> that includes</w:t>
      </w:r>
      <w:r w:rsidR="00273F37" w:rsidRPr="00CB21B0">
        <w:t xml:space="preserve"> </w:t>
      </w:r>
      <w:r w:rsidRPr="00CB21B0">
        <w:t xml:space="preserve">a request for submissions </w:t>
      </w:r>
      <w:r w:rsidR="00B7258A" w:rsidRPr="00CB21B0">
        <w:t xml:space="preserve">in relation to the review </w:t>
      </w:r>
      <w:r w:rsidRPr="00CB21B0">
        <w:t>from members of the public.</w:t>
      </w:r>
    </w:p>
    <w:p w:rsidR="00B7258A" w:rsidRPr="00CB21B0" w:rsidRDefault="009F345B" w:rsidP="009F345B">
      <w:pPr>
        <w:pStyle w:val="subsection"/>
      </w:pPr>
      <w:r w:rsidRPr="00CB21B0">
        <w:tab/>
        <w:t>(</w:t>
      </w:r>
      <w:r w:rsidR="00C61086" w:rsidRPr="00CB21B0">
        <w:t>6</w:t>
      </w:r>
      <w:r w:rsidRPr="00CB21B0">
        <w:t>)</w:t>
      </w:r>
      <w:r w:rsidRPr="00CB21B0">
        <w:tab/>
      </w:r>
      <w:r w:rsidR="00B7258A" w:rsidRPr="00CB21B0">
        <w:t>S</w:t>
      </w:r>
      <w:r w:rsidRPr="00CB21B0">
        <w:t>ubmission</w:t>
      </w:r>
      <w:r w:rsidR="00B7258A" w:rsidRPr="00CB21B0">
        <w:t>s</w:t>
      </w:r>
      <w:r w:rsidRPr="00CB21B0">
        <w:t xml:space="preserve"> received in relation to the review must</w:t>
      </w:r>
      <w:r w:rsidR="00B7258A" w:rsidRPr="00CB21B0">
        <w:t xml:space="preserve"> be:</w:t>
      </w:r>
    </w:p>
    <w:p w:rsidR="00B7258A" w:rsidRPr="00CB21B0" w:rsidRDefault="00B7258A" w:rsidP="00B7258A">
      <w:pPr>
        <w:pStyle w:val="paragraph"/>
      </w:pPr>
      <w:r w:rsidRPr="00CB21B0">
        <w:tab/>
        <w:t>(a)</w:t>
      </w:r>
      <w:r w:rsidRPr="00CB21B0">
        <w:tab/>
        <w:t>considered by the person</w:t>
      </w:r>
      <w:r w:rsidR="00E508BB" w:rsidRPr="00CB21B0">
        <w:t>s</w:t>
      </w:r>
      <w:r w:rsidRPr="00CB21B0">
        <w:t xml:space="preserve"> conducting the review; and</w:t>
      </w:r>
    </w:p>
    <w:p w:rsidR="009F345B" w:rsidRPr="00CB21B0" w:rsidRDefault="00B7258A" w:rsidP="00B7258A">
      <w:pPr>
        <w:pStyle w:val="paragraph"/>
      </w:pPr>
      <w:r w:rsidRPr="00CB21B0">
        <w:tab/>
        <w:t>(</w:t>
      </w:r>
      <w:r w:rsidR="003C563A" w:rsidRPr="00CB21B0">
        <w:t>b</w:t>
      </w:r>
      <w:r w:rsidRPr="00CB21B0">
        <w:t>)</w:t>
      </w:r>
      <w:r w:rsidRPr="00CB21B0">
        <w:tab/>
      </w:r>
      <w:r w:rsidR="009F345B" w:rsidRPr="00CB21B0">
        <w:t xml:space="preserve">made public, </w:t>
      </w:r>
      <w:r w:rsidRPr="00CB21B0">
        <w:t xml:space="preserve">unless the </w:t>
      </w:r>
      <w:r w:rsidR="009F345B" w:rsidRPr="00CB21B0">
        <w:t xml:space="preserve">person making the submission has requested </w:t>
      </w:r>
      <w:r w:rsidRPr="00CB21B0">
        <w:t xml:space="preserve">that the submission, or a part of the submission, be </w:t>
      </w:r>
      <w:r w:rsidR="009F345B" w:rsidRPr="00CB21B0">
        <w:t>kept confidential.</w:t>
      </w:r>
    </w:p>
    <w:p w:rsidR="00C61086" w:rsidRPr="00CB21B0" w:rsidRDefault="00C61086" w:rsidP="00C61086">
      <w:pPr>
        <w:pStyle w:val="SubsectionHead"/>
      </w:pPr>
      <w:r w:rsidRPr="00CB21B0">
        <w:t>Time for completion of review</w:t>
      </w:r>
    </w:p>
    <w:p w:rsidR="00C61086" w:rsidRPr="00CB21B0" w:rsidRDefault="00C61086" w:rsidP="00C61086">
      <w:pPr>
        <w:pStyle w:val="subsection"/>
      </w:pPr>
      <w:r w:rsidRPr="00CB21B0">
        <w:tab/>
        <w:t>(7)</w:t>
      </w:r>
      <w:r w:rsidRPr="00CB21B0">
        <w:tab/>
        <w:t>The review must be completed</w:t>
      </w:r>
      <w:r w:rsidR="00273F37" w:rsidRPr="00CB21B0">
        <w:t>, and a written report of the review given to the Minister,</w:t>
      </w:r>
      <w:r w:rsidRPr="00CB21B0">
        <w:t xml:space="preserve"> no later than 30</w:t>
      </w:r>
      <w:r w:rsidR="00CB21B0" w:rsidRPr="00CB21B0">
        <w:t> </w:t>
      </w:r>
      <w:r w:rsidRPr="00CB21B0">
        <w:t>June 2015.</w:t>
      </w:r>
    </w:p>
    <w:p w:rsidR="00744149" w:rsidRPr="00CB21B0" w:rsidRDefault="00744149" w:rsidP="00744149">
      <w:pPr>
        <w:pStyle w:val="SubsectionHead"/>
      </w:pPr>
      <w:r w:rsidRPr="00CB21B0">
        <w:t>Review report and response</w:t>
      </w:r>
    </w:p>
    <w:p w:rsidR="009F345B" w:rsidRPr="00CB21B0" w:rsidRDefault="009F345B" w:rsidP="009F345B">
      <w:pPr>
        <w:pStyle w:val="subsection"/>
      </w:pPr>
      <w:r w:rsidRPr="00CB21B0">
        <w:tab/>
        <w:t>(8)</w:t>
      </w:r>
      <w:r w:rsidRPr="00CB21B0">
        <w:tab/>
        <w:t xml:space="preserve">The Minister must ensure that </w:t>
      </w:r>
      <w:r w:rsidR="00273F37" w:rsidRPr="00CB21B0">
        <w:t>the</w:t>
      </w:r>
      <w:r w:rsidRPr="00CB21B0">
        <w:t xml:space="preserve"> report of the review is published on the Department’s website within 6 weeks of receiving the report.</w:t>
      </w:r>
    </w:p>
    <w:p w:rsidR="00B7258A" w:rsidRPr="00CB21B0" w:rsidRDefault="009F345B" w:rsidP="003C563A">
      <w:pPr>
        <w:pStyle w:val="subsection"/>
      </w:pPr>
      <w:r w:rsidRPr="00CB21B0">
        <w:tab/>
        <w:t>(9)</w:t>
      </w:r>
      <w:r w:rsidRPr="00CB21B0">
        <w:tab/>
        <w:t xml:space="preserve">The </w:t>
      </w:r>
      <w:r w:rsidR="00B7258A" w:rsidRPr="00CB21B0">
        <w:t>Minister must ensure that the Minister’s response to the report of the review is published on the Department’s website within 3 months of receiving the report.</w:t>
      </w:r>
    </w:p>
    <w:p w:rsidR="00B9639B" w:rsidRPr="00CB21B0" w:rsidRDefault="00B9639B" w:rsidP="00B9639B">
      <w:pPr>
        <w:pStyle w:val="ActHead5"/>
      </w:pPr>
      <w:bookmarkStart w:id="107" w:name="_Toc361055103"/>
      <w:r w:rsidRPr="00CB21B0">
        <w:rPr>
          <w:rStyle w:val="CharSectno"/>
        </w:rPr>
        <w:t>80E</w:t>
      </w:r>
      <w:r w:rsidRPr="00CB21B0">
        <w:t xml:space="preserve">  </w:t>
      </w:r>
      <w:r w:rsidR="000F1BA1" w:rsidRPr="00CB21B0">
        <w:t xml:space="preserve">Work health and safety </w:t>
      </w:r>
      <w:r w:rsidR="008E7E69" w:rsidRPr="00CB21B0">
        <w:t xml:space="preserve">duplication </w:t>
      </w:r>
      <w:r w:rsidRPr="00CB21B0">
        <w:t>review</w:t>
      </w:r>
      <w:bookmarkEnd w:id="107"/>
    </w:p>
    <w:p w:rsidR="007E52BF" w:rsidRPr="00CB21B0" w:rsidRDefault="000F1BA1" w:rsidP="007E52BF">
      <w:pPr>
        <w:pStyle w:val="subsection"/>
      </w:pPr>
      <w:r w:rsidRPr="00CB21B0">
        <w:tab/>
      </w:r>
      <w:r w:rsidR="00B9639B" w:rsidRPr="00CB21B0">
        <w:t>(1)</w:t>
      </w:r>
      <w:r w:rsidR="00B9639B" w:rsidRPr="00CB21B0">
        <w:tab/>
        <w:t xml:space="preserve">A review </w:t>
      </w:r>
      <w:r w:rsidRPr="00CB21B0">
        <w:t xml:space="preserve">(a </w:t>
      </w:r>
      <w:r w:rsidRPr="00CB21B0">
        <w:rPr>
          <w:b/>
          <w:i/>
        </w:rPr>
        <w:t xml:space="preserve">work health and safety </w:t>
      </w:r>
      <w:r w:rsidR="008E7E69" w:rsidRPr="00CB21B0">
        <w:rPr>
          <w:b/>
          <w:i/>
        </w:rPr>
        <w:t xml:space="preserve">duplication </w:t>
      </w:r>
      <w:r w:rsidRPr="00CB21B0">
        <w:rPr>
          <w:b/>
          <w:i/>
        </w:rPr>
        <w:t>review</w:t>
      </w:r>
      <w:r w:rsidRPr="00CB21B0">
        <w:t xml:space="preserve">) </w:t>
      </w:r>
      <w:r w:rsidR="00B9639B" w:rsidRPr="00CB21B0">
        <w:t>must be conducted in relation to</w:t>
      </w:r>
      <w:r w:rsidRPr="00CB21B0">
        <w:t xml:space="preserve"> </w:t>
      </w:r>
      <w:r w:rsidR="008E7E69" w:rsidRPr="00CB21B0">
        <w:t xml:space="preserve">any </w:t>
      </w:r>
      <w:r w:rsidRPr="00CB21B0">
        <w:t>duplication of effort</w:t>
      </w:r>
      <w:r w:rsidR="008E7E69" w:rsidRPr="00CB21B0">
        <w:t>, and unnecessary costs,</w:t>
      </w:r>
      <w:r w:rsidRPr="00CB21B0">
        <w:t xml:space="preserve"> </w:t>
      </w:r>
      <w:r w:rsidR="007E52BF" w:rsidRPr="00CB21B0">
        <w:t>caused by the need to comply</w:t>
      </w:r>
      <w:r w:rsidR="008E7E69" w:rsidRPr="00CB21B0">
        <w:t>,</w:t>
      </w:r>
      <w:r w:rsidR="00B9639B" w:rsidRPr="00CB21B0">
        <w:t xml:space="preserve"> </w:t>
      </w:r>
      <w:r w:rsidR="008E7E69" w:rsidRPr="00CB21B0">
        <w:t xml:space="preserve">in relation to chemical products, </w:t>
      </w:r>
      <w:r w:rsidR="00B9639B" w:rsidRPr="00CB21B0">
        <w:t>with</w:t>
      </w:r>
      <w:r w:rsidR="008E7E69" w:rsidRPr="00CB21B0">
        <w:t xml:space="preserve"> </w:t>
      </w:r>
      <w:r w:rsidR="004D4E19" w:rsidRPr="00CB21B0">
        <w:t>both of the following kinds of legislation</w:t>
      </w:r>
      <w:r w:rsidR="007E52BF" w:rsidRPr="00CB21B0">
        <w:t>:</w:t>
      </w:r>
    </w:p>
    <w:p w:rsidR="007E52BF" w:rsidRPr="00CB21B0" w:rsidRDefault="007E52BF" w:rsidP="007E52BF">
      <w:pPr>
        <w:pStyle w:val="paragraph"/>
      </w:pPr>
      <w:r w:rsidRPr="00CB21B0">
        <w:tab/>
        <w:t>(a)</w:t>
      </w:r>
      <w:r w:rsidRPr="00CB21B0">
        <w:tab/>
      </w:r>
      <w:r w:rsidR="00B9639B" w:rsidRPr="00CB21B0">
        <w:t>work health and safety legislation</w:t>
      </w:r>
      <w:r w:rsidRPr="00CB21B0">
        <w:t>;</w:t>
      </w:r>
    </w:p>
    <w:p w:rsidR="00B9639B" w:rsidRPr="00CB21B0" w:rsidRDefault="007E52BF" w:rsidP="007E52BF">
      <w:pPr>
        <w:pStyle w:val="paragraph"/>
      </w:pPr>
      <w:r w:rsidRPr="00CB21B0">
        <w:tab/>
        <w:t>(b)</w:t>
      </w:r>
      <w:r w:rsidRPr="00CB21B0">
        <w:tab/>
      </w:r>
      <w:r w:rsidR="00B9639B" w:rsidRPr="00CB21B0">
        <w:t xml:space="preserve">agricultural and veterinary </w:t>
      </w:r>
      <w:r w:rsidR="000F1BA1" w:rsidRPr="00CB21B0">
        <w:t xml:space="preserve">chemical </w:t>
      </w:r>
      <w:r w:rsidR="00B9639B" w:rsidRPr="00CB21B0">
        <w:t>legislation</w:t>
      </w:r>
      <w:r w:rsidR="000F1BA1" w:rsidRPr="00CB21B0">
        <w:t>.</w:t>
      </w:r>
    </w:p>
    <w:p w:rsidR="000F1BA1" w:rsidRPr="00CB21B0" w:rsidRDefault="000F1BA1" w:rsidP="000F1BA1">
      <w:pPr>
        <w:pStyle w:val="SubsectionHead"/>
      </w:pPr>
      <w:r w:rsidRPr="00CB21B0">
        <w:t>Terms of reference</w:t>
      </w:r>
    </w:p>
    <w:p w:rsidR="00B9639B" w:rsidRPr="00CB21B0" w:rsidRDefault="00B9639B" w:rsidP="00B9639B">
      <w:pPr>
        <w:pStyle w:val="subsection"/>
      </w:pPr>
      <w:r w:rsidRPr="00CB21B0">
        <w:tab/>
        <w:t>(2)</w:t>
      </w:r>
      <w:r w:rsidRPr="00CB21B0">
        <w:tab/>
        <w:t xml:space="preserve">The terms of reference for the </w:t>
      </w:r>
      <w:r w:rsidR="000F1BA1" w:rsidRPr="00CB21B0">
        <w:t xml:space="preserve">work health and safety </w:t>
      </w:r>
      <w:r w:rsidR="007E52BF" w:rsidRPr="00CB21B0">
        <w:t>duplication r</w:t>
      </w:r>
      <w:r w:rsidRPr="00CB21B0">
        <w:t>eview must include terms that require</w:t>
      </w:r>
      <w:r w:rsidR="003C563A" w:rsidRPr="00CB21B0">
        <w:t xml:space="preserve"> the following</w:t>
      </w:r>
      <w:r w:rsidRPr="00CB21B0">
        <w:t>:</w:t>
      </w:r>
    </w:p>
    <w:p w:rsidR="000F1BA1" w:rsidRPr="00CB21B0" w:rsidRDefault="00B9639B" w:rsidP="007E52BF">
      <w:pPr>
        <w:pStyle w:val="paragraph"/>
      </w:pPr>
      <w:r w:rsidRPr="00CB21B0">
        <w:lastRenderedPageBreak/>
        <w:tab/>
        <w:t>(a)</w:t>
      </w:r>
      <w:r w:rsidRPr="00CB21B0">
        <w:tab/>
        <w:t xml:space="preserve">the identification of any </w:t>
      </w:r>
      <w:r w:rsidR="000F1BA1" w:rsidRPr="00CB21B0">
        <w:t>duplication of effort</w:t>
      </w:r>
      <w:r w:rsidR="007E52BF" w:rsidRPr="00CB21B0">
        <w:t xml:space="preserve"> </w:t>
      </w:r>
      <w:r w:rsidR="000F1BA1" w:rsidRPr="00CB21B0">
        <w:t xml:space="preserve">arising from </w:t>
      </w:r>
      <w:r w:rsidR="004D4E19" w:rsidRPr="00CB21B0">
        <w:t xml:space="preserve">the need to comply with both </w:t>
      </w:r>
      <w:r w:rsidR="000F1BA1" w:rsidRPr="00CB21B0">
        <w:t>work health and safety legislation and</w:t>
      </w:r>
      <w:r w:rsidR="007E52BF" w:rsidRPr="00CB21B0">
        <w:t xml:space="preserve"> </w:t>
      </w:r>
      <w:r w:rsidR="000F1BA1" w:rsidRPr="00CB21B0">
        <w:t>agricultural and veterinary chemical legislation;</w:t>
      </w:r>
    </w:p>
    <w:p w:rsidR="00773DF7" w:rsidRPr="00CB21B0" w:rsidRDefault="000F1BA1" w:rsidP="00773DF7">
      <w:pPr>
        <w:pStyle w:val="paragraph"/>
      </w:pPr>
      <w:r w:rsidRPr="00CB21B0">
        <w:t xml:space="preserve"> </w:t>
      </w:r>
      <w:r w:rsidR="00B9639B" w:rsidRPr="00CB21B0">
        <w:tab/>
        <w:t>(b)</w:t>
      </w:r>
      <w:r w:rsidR="00B9639B" w:rsidRPr="00CB21B0">
        <w:tab/>
        <w:t xml:space="preserve">the identification </w:t>
      </w:r>
      <w:r w:rsidRPr="00CB21B0">
        <w:t xml:space="preserve">and analysis </w:t>
      </w:r>
      <w:r w:rsidR="00B9639B" w:rsidRPr="00CB21B0">
        <w:t xml:space="preserve">of options for </w:t>
      </w:r>
      <w:r w:rsidRPr="00CB21B0">
        <w:t xml:space="preserve">streamlining </w:t>
      </w:r>
      <w:r w:rsidR="00C61086" w:rsidRPr="00CB21B0">
        <w:t xml:space="preserve">the </w:t>
      </w:r>
      <w:r w:rsidRPr="00CB21B0">
        <w:t xml:space="preserve">regulation </w:t>
      </w:r>
      <w:r w:rsidR="00773DF7" w:rsidRPr="00CB21B0">
        <w:t>of work health and safety</w:t>
      </w:r>
      <w:r w:rsidR="007E52BF" w:rsidRPr="00CB21B0">
        <w:t xml:space="preserve"> in relation to chemical products</w:t>
      </w:r>
      <w:r w:rsidR="00773DF7" w:rsidRPr="00CB21B0">
        <w:t xml:space="preserve">, </w:t>
      </w:r>
      <w:r w:rsidRPr="00CB21B0">
        <w:t>and addressing any identified duplication, including</w:t>
      </w:r>
      <w:r w:rsidR="00773DF7" w:rsidRPr="00CB21B0">
        <w:t xml:space="preserve"> an analysis of:</w:t>
      </w:r>
    </w:p>
    <w:p w:rsidR="00773DF7" w:rsidRPr="00CB21B0" w:rsidRDefault="00773DF7" w:rsidP="00773DF7">
      <w:pPr>
        <w:pStyle w:val="paragraphsub"/>
      </w:pPr>
      <w:r w:rsidRPr="00CB21B0">
        <w:tab/>
        <w:t>(i)</w:t>
      </w:r>
      <w:r w:rsidRPr="00CB21B0">
        <w:tab/>
      </w:r>
      <w:r w:rsidR="000F1BA1" w:rsidRPr="00CB21B0">
        <w:t>the costs and benefits of options</w:t>
      </w:r>
      <w:r w:rsidRPr="00CB21B0">
        <w:t>;</w:t>
      </w:r>
      <w:r w:rsidR="000F1BA1" w:rsidRPr="00CB21B0">
        <w:t xml:space="preserve"> and</w:t>
      </w:r>
    </w:p>
    <w:p w:rsidR="000F1BA1" w:rsidRPr="00CB21B0" w:rsidRDefault="00773DF7" w:rsidP="00773DF7">
      <w:pPr>
        <w:pStyle w:val="paragraphsub"/>
      </w:pPr>
      <w:r w:rsidRPr="00CB21B0">
        <w:tab/>
        <w:t>(ii)</w:t>
      </w:r>
      <w:r w:rsidRPr="00CB21B0">
        <w:tab/>
      </w:r>
      <w:r w:rsidR="000F1BA1" w:rsidRPr="00CB21B0">
        <w:t xml:space="preserve">the consequences of options for the safe use of </w:t>
      </w:r>
      <w:r w:rsidR="007E52BF" w:rsidRPr="00CB21B0">
        <w:t>chemical products</w:t>
      </w:r>
      <w:r w:rsidR="000F1BA1" w:rsidRPr="00CB21B0">
        <w:t>;</w:t>
      </w:r>
    </w:p>
    <w:p w:rsidR="009F345B" w:rsidRPr="00CB21B0" w:rsidRDefault="00B9639B" w:rsidP="000F1BA1">
      <w:pPr>
        <w:pStyle w:val="paragraph"/>
      </w:pPr>
      <w:r w:rsidRPr="00CB21B0">
        <w:tab/>
        <w:t>(</w:t>
      </w:r>
      <w:r w:rsidR="000F1BA1" w:rsidRPr="00CB21B0">
        <w:t>c</w:t>
      </w:r>
      <w:r w:rsidRPr="00CB21B0">
        <w:t>)</w:t>
      </w:r>
      <w:r w:rsidRPr="00CB21B0">
        <w:tab/>
        <w:t>the making of recommendations</w:t>
      </w:r>
      <w:r w:rsidR="00773DF7" w:rsidRPr="00CB21B0">
        <w:t>, relating to matters within the APVMA’s functions and powers,</w:t>
      </w:r>
      <w:r w:rsidRPr="00CB21B0">
        <w:t xml:space="preserve"> for preferred options</w:t>
      </w:r>
      <w:r w:rsidR="00773DF7" w:rsidRPr="00CB21B0">
        <w:t xml:space="preserve"> to</w:t>
      </w:r>
      <w:r w:rsidR="009F345B" w:rsidRPr="00CB21B0">
        <w:t>:</w:t>
      </w:r>
    </w:p>
    <w:p w:rsidR="009F345B" w:rsidRPr="00CB21B0" w:rsidRDefault="009F345B" w:rsidP="009F345B">
      <w:pPr>
        <w:pStyle w:val="paragraphsub"/>
      </w:pPr>
      <w:r w:rsidRPr="00CB21B0">
        <w:tab/>
        <w:t>(i)</w:t>
      </w:r>
      <w:r w:rsidRPr="00CB21B0">
        <w:tab/>
      </w:r>
      <w:r w:rsidR="00B9639B" w:rsidRPr="00CB21B0">
        <w:t xml:space="preserve">address any identified </w:t>
      </w:r>
      <w:r w:rsidR="000F1BA1" w:rsidRPr="00CB21B0">
        <w:t>duplication</w:t>
      </w:r>
      <w:r w:rsidRPr="00CB21B0">
        <w:t>;</w:t>
      </w:r>
      <w:r w:rsidR="000F1BA1" w:rsidRPr="00CB21B0">
        <w:t xml:space="preserve"> and</w:t>
      </w:r>
    </w:p>
    <w:p w:rsidR="00B9639B" w:rsidRPr="00CB21B0" w:rsidRDefault="009F345B" w:rsidP="009F345B">
      <w:pPr>
        <w:pStyle w:val="paragraphsub"/>
      </w:pPr>
      <w:r w:rsidRPr="00CB21B0">
        <w:tab/>
        <w:t>(ii)</w:t>
      </w:r>
      <w:r w:rsidRPr="00CB21B0">
        <w:tab/>
      </w:r>
      <w:r w:rsidR="000F1BA1" w:rsidRPr="00CB21B0">
        <w:t>improv</w:t>
      </w:r>
      <w:r w:rsidR="00773DF7" w:rsidRPr="00CB21B0">
        <w:t>e</w:t>
      </w:r>
      <w:r w:rsidR="000F1BA1" w:rsidRPr="00CB21B0">
        <w:t xml:space="preserve"> the regulation o</w:t>
      </w:r>
      <w:r w:rsidRPr="00CB21B0">
        <w:t>f</w:t>
      </w:r>
      <w:r w:rsidR="000F1BA1" w:rsidRPr="00CB21B0">
        <w:t xml:space="preserve"> work health and safety</w:t>
      </w:r>
      <w:r w:rsidR="007E52BF" w:rsidRPr="00CB21B0">
        <w:t xml:space="preserve"> in relation to chemical products</w:t>
      </w:r>
      <w:r w:rsidRPr="00CB21B0">
        <w:t>.</w:t>
      </w:r>
    </w:p>
    <w:p w:rsidR="00B9639B" w:rsidRPr="00CB21B0" w:rsidRDefault="00B9639B" w:rsidP="00B9639B">
      <w:pPr>
        <w:pStyle w:val="SubsectionHead"/>
      </w:pPr>
      <w:r w:rsidRPr="00CB21B0">
        <w:t>Persons conducting review</w:t>
      </w:r>
    </w:p>
    <w:p w:rsidR="00B9639B" w:rsidRPr="00CB21B0" w:rsidRDefault="00B9639B" w:rsidP="00B9639B">
      <w:pPr>
        <w:pStyle w:val="subsection"/>
      </w:pPr>
      <w:r w:rsidRPr="00CB21B0">
        <w:tab/>
        <w:t>(3)</w:t>
      </w:r>
      <w:r w:rsidRPr="00CB21B0">
        <w:tab/>
      </w:r>
      <w:r w:rsidR="009F345B" w:rsidRPr="00CB21B0">
        <w:t xml:space="preserve">The review is to be conducted by the Department, with input from other </w:t>
      </w:r>
      <w:r w:rsidR="002150A9" w:rsidRPr="00CB21B0">
        <w:t xml:space="preserve">relevant </w:t>
      </w:r>
      <w:r w:rsidR="009F345B" w:rsidRPr="00CB21B0">
        <w:t>government agencies.</w:t>
      </w:r>
    </w:p>
    <w:p w:rsidR="00B9639B" w:rsidRPr="00CB21B0" w:rsidRDefault="00B9639B" w:rsidP="00B9639B">
      <w:pPr>
        <w:pStyle w:val="SubsectionHead"/>
      </w:pPr>
      <w:r w:rsidRPr="00CB21B0">
        <w:t>Use of external expertise</w:t>
      </w:r>
    </w:p>
    <w:p w:rsidR="00B9639B" w:rsidRPr="00CB21B0" w:rsidRDefault="00B9639B" w:rsidP="00B9639B">
      <w:pPr>
        <w:pStyle w:val="subsection"/>
      </w:pPr>
      <w:r w:rsidRPr="00CB21B0">
        <w:tab/>
        <w:t>(4)</w:t>
      </w:r>
      <w:r w:rsidRPr="00CB21B0">
        <w:tab/>
        <w:t xml:space="preserve">The </w:t>
      </w:r>
      <w:r w:rsidR="009F345B" w:rsidRPr="00CB21B0">
        <w:t xml:space="preserve">Department may </w:t>
      </w:r>
      <w:r w:rsidRPr="00CB21B0">
        <w:t>draw on external expertise where necessary</w:t>
      </w:r>
      <w:r w:rsidR="009F345B" w:rsidRPr="00CB21B0">
        <w:t xml:space="preserve"> for the review</w:t>
      </w:r>
      <w:r w:rsidRPr="00CB21B0">
        <w:t>.</w:t>
      </w:r>
    </w:p>
    <w:p w:rsidR="00744149" w:rsidRPr="00CB21B0" w:rsidRDefault="00744149" w:rsidP="00744149">
      <w:pPr>
        <w:pStyle w:val="SubsectionHead"/>
      </w:pPr>
      <w:r w:rsidRPr="00CB21B0">
        <w:t>Submissions to review</w:t>
      </w:r>
    </w:p>
    <w:p w:rsidR="00B7258A" w:rsidRPr="00CB21B0" w:rsidRDefault="00B7258A" w:rsidP="00B7258A">
      <w:pPr>
        <w:pStyle w:val="subsection"/>
      </w:pPr>
      <w:r w:rsidRPr="00CB21B0">
        <w:tab/>
        <w:t>(</w:t>
      </w:r>
      <w:r w:rsidR="00C61086" w:rsidRPr="00CB21B0">
        <w:t>5</w:t>
      </w:r>
      <w:r w:rsidRPr="00CB21B0">
        <w:t>)</w:t>
      </w:r>
      <w:r w:rsidRPr="00CB21B0">
        <w:tab/>
        <w:t>The Department must request submissions in relation to the review from members of the public.</w:t>
      </w:r>
    </w:p>
    <w:p w:rsidR="00B7258A" w:rsidRPr="00CB21B0" w:rsidRDefault="00B7258A" w:rsidP="00B7258A">
      <w:pPr>
        <w:pStyle w:val="subsection"/>
      </w:pPr>
      <w:r w:rsidRPr="00CB21B0">
        <w:tab/>
        <w:t>(</w:t>
      </w:r>
      <w:r w:rsidR="00C61086" w:rsidRPr="00CB21B0">
        <w:t>6</w:t>
      </w:r>
      <w:r w:rsidRPr="00CB21B0">
        <w:t>)</w:t>
      </w:r>
      <w:r w:rsidRPr="00CB21B0">
        <w:tab/>
        <w:t>Submissions received in relation to the review must be:</w:t>
      </w:r>
    </w:p>
    <w:p w:rsidR="00B7258A" w:rsidRPr="00CB21B0" w:rsidRDefault="00B7258A" w:rsidP="00B7258A">
      <w:pPr>
        <w:pStyle w:val="paragraph"/>
      </w:pPr>
      <w:r w:rsidRPr="00CB21B0">
        <w:tab/>
        <w:t>(a)</w:t>
      </w:r>
      <w:r w:rsidRPr="00CB21B0">
        <w:tab/>
        <w:t>considered by the Department; and</w:t>
      </w:r>
    </w:p>
    <w:p w:rsidR="00B7258A" w:rsidRPr="00CB21B0" w:rsidRDefault="00B7258A" w:rsidP="00B7258A">
      <w:pPr>
        <w:pStyle w:val="paragraph"/>
      </w:pPr>
      <w:r w:rsidRPr="00CB21B0">
        <w:tab/>
        <w:t>(</w:t>
      </w:r>
      <w:r w:rsidR="0039669D" w:rsidRPr="00CB21B0">
        <w:t>b</w:t>
      </w:r>
      <w:r w:rsidRPr="00CB21B0">
        <w:t>)</w:t>
      </w:r>
      <w:r w:rsidRPr="00CB21B0">
        <w:tab/>
        <w:t>made public, unless the person making the submission has requested that the submission, or a part of the submission, be kept confidential.</w:t>
      </w:r>
    </w:p>
    <w:p w:rsidR="00C61086" w:rsidRPr="00CB21B0" w:rsidRDefault="00C61086" w:rsidP="00C61086">
      <w:pPr>
        <w:pStyle w:val="SubsectionHead"/>
      </w:pPr>
      <w:r w:rsidRPr="00CB21B0">
        <w:lastRenderedPageBreak/>
        <w:t>Time for completion of review</w:t>
      </w:r>
    </w:p>
    <w:p w:rsidR="00C61086" w:rsidRPr="00CB21B0" w:rsidRDefault="00C61086" w:rsidP="00C61086">
      <w:pPr>
        <w:pStyle w:val="subsection"/>
      </w:pPr>
      <w:r w:rsidRPr="00CB21B0">
        <w:tab/>
        <w:t>(7)</w:t>
      </w:r>
      <w:r w:rsidRPr="00CB21B0">
        <w:tab/>
        <w:t>The</w:t>
      </w:r>
      <w:r w:rsidR="00C41E39" w:rsidRPr="00CB21B0">
        <w:t xml:space="preserve"> </w:t>
      </w:r>
      <w:r w:rsidR="0039669D" w:rsidRPr="00CB21B0">
        <w:t xml:space="preserve">Department must complete the </w:t>
      </w:r>
      <w:r w:rsidRPr="00CB21B0">
        <w:t>review</w:t>
      </w:r>
      <w:r w:rsidR="00273F37" w:rsidRPr="00CB21B0">
        <w:t xml:space="preserve">, and </w:t>
      </w:r>
      <w:r w:rsidR="0039669D" w:rsidRPr="00CB21B0">
        <w:t xml:space="preserve">give </w:t>
      </w:r>
      <w:r w:rsidR="00273F37" w:rsidRPr="00CB21B0">
        <w:t>a written report of the review to the Minister,</w:t>
      </w:r>
      <w:r w:rsidRPr="00CB21B0">
        <w:t xml:space="preserve"> no later than 30</w:t>
      </w:r>
      <w:r w:rsidR="00CB21B0" w:rsidRPr="00CB21B0">
        <w:t> </w:t>
      </w:r>
      <w:r w:rsidRPr="00CB21B0">
        <w:t>September 2014.</w:t>
      </w:r>
    </w:p>
    <w:p w:rsidR="00744149" w:rsidRPr="00CB21B0" w:rsidRDefault="00744149" w:rsidP="00744149">
      <w:pPr>
        <w:pStyle w:val="SubsectionHead"/>
      </w:pPr>
      <w:r w:rsidRPr="00CB21B0">
        <w:t>Review report and response</w:t>
      </w:r>
    </w:p>
    <w:p w:rsidR="00B7258A" w:rsidRPr="00CB21B0" w:rsidRDefault="00B7258A" w:rsidP="00B7258A">
      <w:pPr>
        <w:pStyle w:val="subsection"/>
      </w:pPr>
      <w:r w:rsidRPr="00CB21B0">
        <w:tab/>
        <w:t>(8)</w:t>
      </w:r>
      <w:r w:rsidRPr="00CB21B0">
        <w:tab/>
        <w:t xml:space="preserve">The Minister must ensure that </w:t>
      </w:r>
      <w:r w:rsidR="00273F37" w:rsidRPr="00CB21B0">
        <w:t>the</w:t>
      </w:r>
      <w:r w:rsidRPr="00CB21B0">
        <w:t xml:space="preserve"> report of the</w:t>
      </w:r>
      <w:r w:rsidR="00C41E39" w:rsidRPr="00CB21B0">
        <w:t xml:space="preserve"> review</w:t>
      </w:r>
      <w:r w:rsidRPr="00CB21B0">
        <w:t xml:space="preserve"> is published on the Department’s website within 6 weeks of receiving the report.</w:t>
      </w:r>
    </w:p>
    <w:p w:rsidR="00B7258A" w:rsidRPr="00CB21B0" w:rsidRDefault="00B7258A" w:rsidP="00B7258A">
      <w:pPr>
        <w:pStyle w:val="subsection"/>
      </w:pPr>
      <w:r w:rsidRPr="00CB21B0">
        <w:tab/>
        <w:t>(9)</w:t>
      </w:r>
      <w:r w:rsidRPr="00CB21B0">
        <w:tab/>
        <w:t>The Minister must ensure that the Minister’s response to the report of the review is published on the Department’s website within 3 months of receiving the report.</w:t>
      </w:r>
    </w:p>
    <w:p w:rsidR="00B9639B" w:rsidRPr="00CB21B0" w:rsidRDefault="00B9639B" w:rsidP="00B9639B">
      <w:pPr>
        <w:pStyle w:val="subsection"/>
      </w:pPr>
      <w:r w:rsidRPr="00CB21B0">
        <w:tab/>
        <w:t>(</w:t>
      </w:r>
      <w:r w:rsidR="00B7258A" w:rsidRPr="00CB21B0">
        <w:t>10</w:t>
      </w:r>
      <w:r w:rsidRPr="00CB21B0">
        <w:t>)</w:t>
      </w:r>
      <w:r w:rsidRPr="00CB21B0">
        <w:tab/>
        <w:t>In this regulation:</w:t>
      </w:r>
    </w:p>
    <w:p w:rsidR="00B9639B" w:rsidRPr="00CB21B0" w:rsidRDefault="00B9639B" w:rsidP="00B9639B">
      <w:pPr>
        <w:pStyle w:val="Definition"/>
      </w:pPr>
      <w:r w:rsidRPr="00CB21B0">
        <w:rPr>
          <w:b/>
          <w:i/>
        </w:rPr>
        <w:t>agricultural and veterinary chemicals legislation</w:t>
      </w:r>
      <w:r w:rsidRPr="00CB21B0">
        <w:t xml:space="preserve"> means the following:</w:t>
      </w:r>
    </w:p>
    <w:p w:rsidR="00B9639B" w:rsidRPr="00CB21B0" w:rsidRDefault="00B9639B" w:rsidP="00B9639B">
      <w:pPr>
        <w:pStyle w:val="paragraph"/>
      </w:pPr>
      <w:r w:rsidRPr="00CB21B0">
        <w:tab/>
        <w:t>(a)</w:t>
      </w:r>
      <w:r w:rsidRPr="00CB21B0">
        <w:tab/>
        <w:t>the Code;</w:t>
      </w:r>
    </w:p>
    <w:p w:rsidR="00B9639B" w:rsidRPr="00CB21B0" w:rsidRDefault="00B9639B" w:rsidP="00B9639B">
      <w:pPr>
        <w:pStyle w:val="paragraph"/>
      </w:pPr>
      <w:r w:rsidRPr="00CB21B0">
        <w:tab/>
        <w:t>(b)</w:t>
      </w:r>
      <w:r w:rsidRPr="00CB21B0">
        <w:tab/>
        <w:t>these Regulations;</w:t>
      </w:r>
    </w:p>
    <w:p w:rsidR="00773DF7" w:rsidRPr="00CB21B0" w:rsidRDefault="00773DF7" w:rsidP="00773DF7">
      <w:pPr>
        <w:pStyle w:val="paragraph"/>
      </w:pPr>
      <w:r w:rsidRPr="00CB21B0">
        <w:tab/>
        <w:t>(c)</w:t>
      </w:r>
      <w:r w:rsidRPr="00CB21B0">
        <w:tab/>
        <w:t xml:space="preserve">the </w:t>
      </w:r>
      <w:r w:rsidRPr="00CB21B0">
        <w:rPr>
          <w:i/>
        </w:rPr>
        <w:t xml:space="preserve">Agricultural and Veterinary Chemical Products (Collection of Levy) Act 1994 </w:t>
      </w:r>
      <w:r w:rsidRPr="00CB21B0">
        <w:t>and regulations made under that Act;</w:t>
      </w:r>
    </w:p>
    <w:p w:rsidR="00773DF7" w:rsidRPr="00CB21B0" w:rsidRDefault="00773DF7" w:rsidP="00773DF7">
      <w:pPr>
        <w:pStyle w:val="paragraph"/>
        <w:rPr>
          <w:i/>
        </w:rPr>
      </w:pPr>
      <w:r w:rsidRPr="00CB21B0">
        <w:rPr>
          <w:i/>
        </w:rPr>
        <w:tab/>
      </w:r>
      <w:r w:rsidRPr="00CB21B0">
        <w:t>(d)</w:t>
      </w:r>
      <w:r w:rsidRPr="00CB21B0">
        <w:rPr>
          <w:i/>
        </w:rPr>
        <w:tab/>
      </w:r>
      <w:r w:rsidRPr="00CB21B0">
        <w:t xml:space="preserve">the </w:t>
      </w:r>
      <w:r w:rsidRPr="00CB21B0">
        <w:rPr>
          <w:i/>
        </w:rPr>
        <w:t xml:space="preserve">Agricultural and Veterinary Chemicals (Administration) Act 1992 </w:t>
      </w:r>
      <w:r w:rsidRPr="00CB21B0">
        <w:t>and regulations made under that Act</w:t>
      </w:r>
      <w:r w:rsidRPr="00CB21B0">
        <w:rPr>
          <w:i/>
        </w:rPr>
        <w:t>.</w:t>
      </w:r>
    </w:p>
    <w:p w:rsidR="00273F37" w:rsidRPr="00CB21B0" w:rsidRDefault="000F1BA1" w:rsidP="00273F37">
      <w:pPr>
        <w:pStyle w:val="Definition"/>
      </w:pPr>
      <w:r w:rsidRPr="00CB21B0">
        <w:rPr>
          <w:b/>
          <w:i/>
        </w:rPr>
        <w:t>work health and safety legislation</w:t>
      </w:r>
      <w:r w:rsidRPr="00CB21B0">
        <w:t xml:space="preserve"> means</w:t>
      </w:r>
      <w:r w:rsidR="00273F37" w:rsidRPr="00CB21B0">
        <w:t xml:space="preserve"> legislation that user industries must</w:t>
      </w:r>
      <w:r w:rsidR="00A63C08" w:rsidRPr="00CB21B0">
        <w:t xml:space="preserve"> comply with that is</w:t>
      </w:r>
      <w:r w:rsidR="00273F37" w:rsidRPr="00CB21B0">
        <w:t xml:space="preserve"> enacted as required by the Intergovernmental Agreement for Regulatory and Operational Reform in Occupational Health and Safety</w:t>
      </w:r>
      <w:r w:rsidR="00677F72" w:rsidRPr="00CB21B0">
        <w:t xml:space="preserve"> made by the Council of Australian Governments on 3</w:t>
      </w:r>
      <w:r w:rsidR="00CB21B0" w:rsidRPr="00CB21B0">
        <w:t> </w:t>
      </w:r>
      <w:r w:rsidR="00677F72" w:rsidRPr="00CB21B0">
        <w:t>July 2008</w:t>
      </w:r>
      <w:r w:rsidR="00273F37" w:rsidRPr="00CB21B0">
        <w:t>.</w:t>
      </w:r>
    </w:p>
    <w:p w:rsidR="00773DF7" w:rsidRPr="00CB21B0" w:rsidRDefault="00773DF7" w:rsidP="00273F37">
      <w:pPr>
        <w:pStyle w:val="ActHead5"/>
      </w:pPr>
      <w:bookmarkStart w:id="108" w:name="_Toc361055104"/>
      <w:r w:rsidRPr="00CB21B0">
        <w:rPr>
          <w:rStyle w:val="CharSectno"/>
        </w:rPr>
        <w:t>80F</w:t>
      </w:r>
      <w:r w:rsidRPr="00CB21B0">
        <w:t xml:space="preserve">  </w:t>
      </w:r>
      <w:r w:rsidR="00C96742" w:rsidRPr="00CB21B0">
        <w:t>M</w:t>
      </w:r>
      <w:r w:rsidR="00744149" w:rsidRPr="00CB21B0">
        <w:t>inor use</w:t>
      </w:r>
      <w:r w:rsidRPr="00CB21B0">
        <w:t xml:space="preserve"> review</w:t>
      </w:r>
      <w:bookmarkEnd w:id="108"/>
    </w:p>
    <w:p w:rsidR="0058629C" w:rsidRPr="00CB21B0" w:rsidRDefault="00773DF7" w:rsidP="0039669D">
      <w:pPr>
        <w:pStyle w:val="subsection"/>
      </w:pPr>
      <w:r w:rsidRPr="00CB21B0">
        <w:tab/>
        <w:t>(1)</w:t>
      </w:r>
      <w:r w:rsidRPr="00CB21B0">
        <w:tab/>
        <w:t>A review (a</w:t>
      </w:r>
      <w:r w:rsidR="00E77E95" w:rsidRPr="00CB21B0">
        <w:rPr>
          <w:b/>
          <w:i/>
        </w:rPr>
        <w:t xml:space="preserve"> minor use</w:t>
      </w:r>
      <w:r w:rsidRPr="00CB21B0">
        <w:rPr>
          <w:b/>
          <w:i/>
        </w:rPr>
        <w:t xml:space="preserve"> review</w:t>
      </w:r>
      <w:r w:rsidRPr="00CB21B0">
        <w:t xml:space="preserve">) must be conducted in relation to mechanisms to </w:t>
      </w:r>
      <w:r w:rsidR="00971F4F" w:rsidRPr="00CB21B0">
        <w:t>improve access to chemical products</w:t>
      </w:r>
      <w:r w:rsidR="00C96742" w:rsidRPr="00CB21B0">
        <w:t xml:space="preserve"> </w:t>
      </w:r>
      <w:r w:rsidR="00971F4F" w:rsidRPr="00CB21B0">
        <w:t>for minor uses</w:t>
      </w:r>
      <w:r w:rsidR="00C96742" w:rsidRPr="00CB21B0">
        <w:t>.</w:t>
      </w:r>
    </w:p>
    <w:p w:rsidR="00773DF7" w:rsidRPr="00CB21B0" w:rsidRDefault="00773DF7" w:rsidP="0058629C">
      <w:pPr>
        <w:pStyle w:val="SubsectionHead"/>
      </w:pPr>
      <w:r w:rsidRPr="00CB21B0">
        <w:lastRenderedPageBreak/>
        <w:t>Terms of reference</w:t>
      </w:r>
    </w:p>
    <w:p w:rsidR="00773DF7" w:rsidRPr="00CB21B0" w:rsidRDefault="00773DF7" w:rsidP="00773DF7">
      <w:pPr>
        <w:pStyle w:val="subsection"/>
      </w:pPr>
      <w:r w:rsidRPr="00CB21B0">
        <w:tab/>
        <w:t>(2)</w:t>
      </w:r>
      <w:r w:rsidRPr="00CB21B0">
        <w:tab/>
        <w:t xml:space="preserve">The terms of reference for the </w:t>
      </w:r>
      <w:r w:rsidR="00744149" w:rsidRPr="00CB21B0">
        <w:t>minor use</w:t>
      </w:r>
      <w:r w:rsidRPr="00CB21B0">
        <w:t xml:space="preserve"> review must include terms that require</w:t>
      </w:r>
      <w:r w:rsidR="0039669D" w:rsidRPr="00CB21B0">
        <w:t xml:space="preserve"> the following</w:t>
      </w:r>
      <w:r w:rsidRPr="00CB21B0">
        <w:t>:</w:t>
      </w:r>
    </w:p>
    <w:p w:rsidR="00883BF0" w:rsidRPr="00CB21B0" w:rsidRDefault="00773DF7" w:rsidP="00883BF0">
      <w:pPr>
        <w:pStyle w:val="paragraph"/>
      </w:pPr>
      <w:r w:rsidRPr="00CB21B0">
        <w:tab/>
        <w:t>(a)</w:t>
      </w:r>
      <w:r w:rsidRPr="00CB21B0">
        <w:tab/>
      </w:r>
      <w:r w:rsidR="00883BF0" w:rsidRPr="00CB21B0">
        <w:t xml:space="preserve">a description of </w:t>
      </w:r>
      <w:r w:rsidR="00971F4F" w:rsidRPr="00CB21B0">
        <w:t xml:space="preserve">existing approaches to addressing </w:t>
      </w:r>
      <w:r w:rsidR="00883BF0" w:rsidRPr="00CB21B0">
        <w:t>p</w:t>
      </w:r>
      <w:r w:rsidR="00971F4F" w:rsidRPr="00CB21B0">
        <w:t>roblems of access to chemical products</w:t>
      </w:r>
      <w:r w:rsidR="00883BF0" w:rsidRPr="00CB21B0">
        <w:t xml:space="preserve"> </w:t>
      </w:r>
      <w:r w:rsidR="00971F4F" w:rsidRPr="00CB21B0">
        <w:t>for minor uses</w:t>
      </w:r>
      <w:r w:rsidR="00883BF0" w:rsidRPr="00CB21B0">
        <w:t>, including existing arrangements for:</w:t>
      </w:r>
    </w:p>
    <w:p w:rsidR="00883BF0" w:rsidRPr="00CB21B0" w:rsidRDefault="00883BF0" w:rsidP="00883BF0">
      <w:pPr>
        <w:pStyle w:val="paragraphsub"/>
      </w:pPr>
      <w:r w:rsidRPr="00CB21B0">
        <w:tab/>
        <w:t>(i)</w:t>
      </w:r>
      <w:r w:rsidRPr="00CB21B0">
        <w:tab/>
        <w:t>varying chemical product registrations and label approvals for minor uses; and</w:t>
      </w:r>
    </w:p>
    <w:p w:rsidR="00883BF0" w:rsidRPr="00CB21B0" w:rsidRDefault="00883BF0" w:rsidP="00971F4F">
      <w:pPr>
        <w:pStyle w:val="paragraphsub"/>
      </w:pPr>
      <w:r w:rsidRPr="00CB21B0">
        <w:tab/>
        <w:t>(ii)</w:t>
      </w:r>
      <w:r w:rsidRPr="00CB21B0">
        <w:tab/>
        <w:t>issuing permits for minor uses;</w:t>
      </w:r>
    </w:p>
    <w:p w:rsidR="00883BF0" w:rsidRPr="00CB21B0" w:rsidRDefault="00883BF0" w:rsidP="00883BF0">
      <w:pPr>
        <w:pStyle w:val="paragraph"/>
      </w:pPr>
      <w:r w:rsidRPr="00CB21B0">
        <w:tab/>
        <w:t>(b)</w:t>
      </w:r>
      <w:r w:rsidRPr="00CB21B0">
        <w:tab/>
        <w:t xml:space="preserve">an analysis of the effectiveness and appropriateness of the existing approaches </w:t>
      </w:r>
      <w:r w:rsidR="00B47070" w:rsidRPr="00CB21B0">
        <w:t xml:space="preserve">described </w:t>
      </w:r>
      <w:r w:rsidR="002150A9" w:rsidRPr="00CB21B0">
        <w:t>in accordance with</w:t>
      </w:r>
      <w:r w:rsidRPr="00CB21B0">
        <w:t xml:space="preserve"> </w:t>
      </w:r>
      <w:r w:rsidR="00CB21B0" w:rsidRPr="00CB21B0">
        <w:t>paragraph (</w:t>
      </w:r>
      <w:r w:rsidRPr="00CB21B0">
        <w:t>a);</w:t>
      </w:r>
    </w:p>
    <w:p w:rsidR="00883BF0" w:rsidRPr="00CB21B0" w:rsidRDefault="00883BF0" w:rsidP="00883BF0">
      <w:pPr>
        <w:pStyle w:val="paragraph"/>
      </w:pPr>
      <w:r w:rsidRPr="00CB21B0">
        <w:tab/>
        <w:t>(c)</w:t>
      </w:r>
      <w:r w:rsidRPr="00CB21B0">
        <w:tab/>
        <w:t>the identification of any obstacles to varying chemical product registrations and label approvals to provide for minor uses;</w:t>
      </w:r>
    </w:p>
    <w:p w:rsidR="00883BF0" w:rsidRPr="00CB21B0" w:rsidRDefault="00883BF0" w:rsidP="00883BF0">
      <w:pPr>
        <w:pStyle w:val="paragraph"/>
      </w:pPr>
      <w:r w:rsidRPr="00CB21B0">
        <w:tab/>
        <w:t>(d)</w:t>
      </w:r>
      <w:r w:rsidRPr="00CB21B0">
        <w:tab/>
      </w:r>
      <w:r w:rsidR="002150A9" w:rsidRPr="00CB21B0">
        <w:t xml:space="preserve">the panel conducting the review to seek </w:t>
      </w:r>
      <w:r w:rsidRPr="00CB21B0">
        <w:t>proposals from relevant industries;</w:t>
      </w:r>
    </w:p>
    <w:p w:rsidR="0035614F" w:rsidRPr="00CB21B0" w:rsidRDefault="00883BF0" w:rsidP="00883BF0">
      <w:pPr>
        <w:pStyle w:val="paragraph"/>
      </w:pPr>
      <w:r w:rsidRPr="00CB21B0">
        <w:tab/>
        <w:t>(e)</w:t>
      </w:r>
      <w:r w:rsidRPr="00CB21B0">
        <w:tab/>
      </w:r>
      <w:r w:rsidR="002150A9" w:rsidRPr="00CB21B0">
        <w:t xml:space="preserve">the </w:t>
      </w:r>
      <w:r w:rsidR="0035614F" w:rsidRPr="00CB21B0">
        <w:t>consideration of international strategies</w:t>
      </w:r>
      <w:r w:rsidR="00E77E95" w:rsidRPr="00CB21B0">
        <w:t>, and any proposals from relevant industries,</w:t>
      </w:r>
      <w:r w:rsidR="0035614F" w:rsidRPr="00CB21B0">
        <w:t xml:space="preserve"> for improvements </w:t>
      </w:r>
      <w:r w:rsidR="00E77E95" w:rsidRPr="00CB21B0">
        <w:t>to access to chemical products for minor uses;</w:t>
      </w:r>
    </w:p>
    <w:p w:rsidR="0035614F" w:rsidRPr="00CB21B0" w:rsidRDefault="0035614F" w:rsidP="0035614F">
      <w:pPr>
        <w:pStyle w:val="paragraph"/>
      </w:pPr>
      <w:r w:rsidRPr="00CB21B0">
        <w:tab/>
        <w:t>(f)</w:t>
      </w:r>
      <w:r w:rsidRPr="00CB21B0">
        <w:tab/>
        <w:t>the identification and analysis of options for addressing any problems with access to chemical products for minor uses, including an analysis of:</w:t>
      </w:r>
    </w:p>
    <w:p w:rsidR="0035614F" w:rsidRPr="00CB21B0" w:rsidRDefault="0035614F" w:rsidP="0035614F">
      <w:pPr>
        <w:pStyle w:val="paragraphsub"/>
      </w:pPr>
      <w:r w:rsidRPr="00CB21B0">
        <w:tab/>
        <w:t>(i)</w:t>
      </w:r>
      <w:r w:rsidRPr="00CB21B0">
        <w:tab/>
        <w:t>the costs and benefits of options; and</w:t>
      </w:r>
    </w:p>
    <w:p w:rsidR="0035614F" w:rsidRPr="00CB21B0" w:rsidRDefault="0035614F" w:rsidP="0035614F">
      <w:pPr>
        <w:pStyle w:val="paragraphsub"/>
      </w:pPr>
      <w:r w:rsidRPr="00CB21B0">
        <w:tab/>
        <w:t>(ii)</w:t>
      </w:r>
      <w:r w:rsidRPr="00CB21B0">
        <w:tab/>
        <w:t>the impact of options on user industries and different sectors of the chemical industry;</w:t>
      </w:r>
    </w:p>
    <w:p w:rsidR="00883BF0" w:rsidRPr="00CB21B0" w:rsidRDefault="0035614F" w:rsidP="0035614F">
      <w:pPr>
        <w:pStyle w:val="paragraph"/>
      </w:pPr>
      <w:r w:rsidRPr="00CB21B0">
        <w:tab/>
        <w:t>(g)</w:t>
      </w:r>
      <w:r w:rsidRPr="00CB21B0">
        <w:tab/>
        <w:t>the making of recommendations, relating to matters within the APVMA’s functions and powers, for preferred options to address any problems with access to chemical products for minor uses.</w:t>
      </w:r>
    </w:p>
    <w:p w:rsidR="00773DF7" w:rsidRPr="00CB21B0" w:rsidRDefault="00773DF7" w:rsidP="00773DF7">
      <w:pPr>
        <w:pStyle w:val="SubsectionHead"/>
      </w:pPr>
      <w:r w:rsidRPr="00CB21B0">
        <w:t>Persons conducting review</w:t>
      </w:r>
    </w:p>
    <w:p w:rsidR="00744149" w:rsidRPr="00CB21B0" w:rsidRDefault="00773DF7" w:rsidP="00773DF7">
      <w:pPr>
        <w:pStyle w:val="subsection"/>
      </w:pPr>
      <w:r w:rsidRPr="00CB21B0">
        <w:tab/>
        <w:t>(3)</w:t>
      </w:r>
      <w:r w:rsidRPr="00CB21B0">
        <w:tab/>
        <w:t xml:space="preserve">The </w:t>
      </w:r>
      <w:r w:rsidR="00B76F70" w:rsidRPr="00CB21B0">
        <w:t>r</w:t>
      </w:r>
      <w:r w:rsidRPr="00CB21B0">
        <w:t xml:space="preserve">eview is to be conducted by </w:t>
      </w:r>
      <w:r w:rsidR="00744149" w:rsidRPr="00CB21B0">
        <w:t>a panel of experts with skills and experience in fields relevant to:</w:t>
      </w:r>
    </w:p>
    <w:p w:rsidR="00744149" w:rsidRPr="00CB21B0" w:rsidRDefault="00744149" w:rsidP="00744149">
      <w:pPr>
        <w:pStyle w:val="paragraph"/>
      </w:pPr>
      <w:r w:rsidRPr="00CB21B0">
        <w:tab/>
        <w:t>(a)</w:t>
      </w:r>
      <w:r w:rsidRPr="00CB21B0">
        <w:tab/>
        <w:t>the agricultural and veterinary chemical industry; or</w:t>
      </w:r>
    </w:p>
    <w:p w:rsidR="00744149" w:rsidRPr="00CB21B0" w:rsidRDefault="00744149" w:rsidP="00744149">
      <w:pPr>
        <w:pStyle w:val="paragraph"/>
      </w:pPr>
      <w:r w:rsidRPr="00CB21B0">
        <w:tab/>
        <w:t>(b)</w:t>
      </w:r>
      <w:r w:rsidRPr="00CB21B0">
        <w:tab/>
        <w:t xml:space="preserve">the production of speciality crops or </w:t>
      </w:r>
      <w:r w:rsidR="00B76F70" w:rsidRPr="00CB21B0">
        <w:t>speciality</w:t>
      </w:r>
      <w:r w:rsidR="00B76F70" w:rsidRPr="00CB21B0">
        <w:rPr>
          <w:b/>
          <w:i/>
        </w:rPr>
        <w:t xml:space="preserve"> </w:t>
      </w:r>
      <w:r w:rsidRPr="00CB21B0">
        <w:t>animal species; or</w:t>
      </w:r>
    </w:p>
    <w:p w:rsidR="00773DF7" w:rsidRPr="00CB21B0" w:rsidRDefault="00744149" w:rsidP="00744149">
      <w:pPr>
        <w:pStyle w:val="paragraph"/>
      </w:pPr>
      <w:r w:rsidRPr="00CB21B0">
        <w:lastRenderedPageBreak/>
        <w:tab/>
        <w:t>(c)</w:t>
      </w:r>
      <w:r w:rsidRPr="00CB21B0">
        <w:tab/>
        <w:t>the regulation of chemical</w:t>
      </w:r>
      <w:r w:rsidR="00B76F70" w:rsidRPr="00CB21B0">
        <w:t xml:space="preserve"> product</w:t>
      </w:r>
      <w:r w:rsidRPr="00CB21B0">
        <w:t>s.</w:t>
      </w:r>
    </w:p>
    <w:p w:rsidR="00744149" w:rsidRPr="00CB21B0" w:rsidRDefault="00744149" w:rsidP="00744149">
      <w:pPr>
        <w:pStyle w:val="SubsectionHead"/>
      </w:pPr>
      <w:r w:rsidRPr="00CB21B0">
        <w:t>Public consultation</w:t>
      </w:r>
    </w:p>
    <w:p w:rsidR="00744149" w:rsidRPr="00CB21B0" w:rsidRDefault="00744149" w:rsidP="00273F37">
      <w:pPr>
        <w:pStyle w:val="subsection"/>
      </w:pPr>
      <w:r w:rsidRPr="00CB21B0">
        <w:tab/>
        <w:t>(4)</w:t>
      </w:r>
      <w:r w:rsidRPr="00CB21B0">
        <w:tab/>
        <w:t>The review must involve the publication of a public consultation document in relation to the review that includes</w:t>
      </w:r>
      <w:r w:rsidR="00273F37" w:rsidRPr="00CB21B0">
        <w:t xml:space="preserve"> </w:t>
      </w:r>
      <w:r w:rsidRPr="00CB21B0">
        <w:t>a request for submissions in relation to the review from members of the public.</w:t>
      </w:r>
    </w:p>
    <w:p w:rsidR="00744149" w:rsidRPr="00CB21B0" w:rsidRDefault="00744149" w:rsidP="00744149">
      <w:pPr>
        <w:pStyle w:val="subsection"/>
      </w:pPr>
      <w:r w:rsidRPr="00CB21B0">
        <w:tab/>
        <w:t>(</w:t>
      </w:r>
      <w:r w:rsidR="0061431B" w:rsidRPr="00CB21B0">
        <w:t>5</w:t>
      </w:r>
      <w:r w:rsidRPr="00CB21B0">
        <w:t>)</w:t>
      </w:r>
      <w:r w:rsidRPr="00CB21B0">
        <w:tab/>
        <w:t>Submissions received in relation to the review must be:</w:t>
      </w:r>
    </w:p>
    <w:p w:rsidR="00744149" w:rsidRPr="00CB21B0" w:rsidRDefault="00744149" w:rsidP="00744149">
      <w:pPr>
        <w:pStyle w:val="paragraph"/>
      </w:pPr>
      <w:r w:rsidRPr="00CB21B0">
        <w:tab/>
        <w:t>(a)</w:t>
      </w:r>
      <w:r w:rsidRPr="00CB21B0">
        <w:tab/>
        <w:t>considered by the expert panel conducting the review; and</w:t>
      </w:r>
    </w:p>
    <w:p w:rsidR="00744149" w:rsidRPr="00CB21B0" w:rsidRDefault="00744149" w:rsidP="00744149">
      <w:pPr>
        <w:pStyle w:val="paragraph"/>
      </w:pPr>
      <w:r w:rsidRPr="00CB21B0">
        <w:tab/>
        <w:t>(</w:t>
      </w:r>
      <w:r w:rsidR="00E9489F" w:rsidRPr="00CB21B0">
        <w:t>b</w:t>
      </w:r>
      <w:r w:rsidRPr="00CB21B0">
        <w:t>)</w:t>
      </w:r>
      <w:r w:rsidRPr="00CB21B0">
        <w:tab/>
        <w:t>made public, unless the person making the submission has requested that the submission, or a part of the submission, be kept confidential.</w:t>
      </w:r>
    </w:p>
    <w:p w:rsidR="00773DF7" w:rsidRPr="00CB21B0" w:rsidRDefault="00773DF7" w:rsidP="00773DF7">
      <w:pPr>
        <w:pStyle w:val="SubsectionHead"/>
      </w:pPr>
      <w:r w:rsidRPr="00CB21B0">
        <w:t>Time for completion of review</w:t>
      </w:r>
    </w:p>
    <w:p w:rsidR="00773DF7" w:rsidRPr="00CB21B0" w:rsidRDefault="00773DF7" w:rsidP="00773DF7">
      <w:pPr>
        <w:pStyle w:val="subsection"/>
      </w:pPr>
      <w:r w:rsidRPr="00CB21B0">
        <w:tab/>
        <w:t>(</w:t>
      </w:r>
      <w:r w:rsidR="0061431B" w:rsidRPr="00CB21B0">
        <w:t>6</w:t>
      </w:r>
      <w:r w:rsidRPr="00CB21B0">
        <w:t>)</w:t>
      </w:r>
      <w:r w:rsidRPr="00CB21B0">
        <w:tab/>
        <w:t>The</w:t>
      </w:r>
      <w:r w:rsidR="00B76F70" w:rsidRPr="00CB21B0">
        <w:t xml:space="preserve"> </w:t>
      </w:r>
      <w:r w:rsidR="0039669D" w:rsidRPr="00CB21B0">
        <w:t xml:space="preserve">expert panel must complete the </w:t>
      </w:r>
      <w:r w:rsidRPr="00CB21B0">
        <w:t>review</w:t>
      </w:r>
      <w:r w:rsidR="00273F37" w:rsidRPr="00CB21B0">
        <w:t xml:space="preserve">, and </w:t>
      </w:r>
      <w:r w:rsidR="0039669D" w:rsidRPr="00CB21B0">
        <w:t xml:space="preserve">give </w:t>
      </w:r>
      <w:r w:rsidR="00273F37" w:rsidRPr="00CB21B0">
        <w:t xml:space="preserve">a written report of the review to the Minister, </w:t>
      </w:r>
      <w:r w:rsidRPr="00CB21B0">
        <w:t xml:space="preserve">no later than </w:t>
      </w:r>
      <w:r w:rsidR="0061431B" w:rsidRPr="00CB21B0">
        <w:t>31</w:t>
      </w:r>
      <w:r w:rsidR="00CB21B0" w:rsidRPr="00CB21B0">
        <w:t> </w:t>
      </w:r>
      <w:r w:rsidR="0061431B" w:rsidRPr="00CB21B0">
        <w:t>December 2015</w:t>
      </w:r>
      <w:r w:rsidRPr="00CB21B0">
        <w:t>.</w:t>
      </w:r>
    </w:p>
    <w:p w:rsidR="0061431B" w:rsidRPr="00CB21B0" w:rsidRDefault="0061431B" w:rsidP="0061431B">
      <w:pPr>
        <w:pStyle w:val="SubsectionHead"/>
      </w:pPr>
      <w:r w:rsidRPr="00CB21B0">
        <w:t>Review report and response</w:t>
      </w:r>
    </w:p>
    <w:p w:rsidR="00773DF7" w:rsidRPr="00CB21B0" w:rsidRDefault="00773DF7" w:rsidP="0061431B">
      <w:pPr>
        <w:pStyle w:val="subsection"/>
      </w:pPr>
      <w:r w:rsidRPr="00CB21B0">
        <w:tab/>
        <w:t>(</w:t>
      </w:r>
      <w:r w:rsidR="0061431B" w:rsidRPr="00CB21B0">
        <w:t>7</w:t>
      </w:r>
      <w:r w:rsidRPr="00CB21B0">
        <w:t>)</w:t>
      </w:r>
      <w:r w:rsidRPr="00CB21B0">
        <w:tab/>
        <w:t xml:space="preserve">The Minister must ensure that </w:t>
      </w:r>
      <w:r w:rsidR="00273F37" w:rsidRPr="00CB21B0">
        <w:t>the</w:t>
      </w:r>
      <w:r w:rsidRPr="00CB21B0">
        <w:t xml:space="preserve"> report of the review is published on the Department’s website within </w:t>
      </w:r>
      <w:r w:rsidR="00F66C3E" w:rsidRPr="00CB21B0">
        <w:t>1</w:t>
      </w:r>
      <w:r w:rsidR="0061431B" w:rsidRPr="00CB21B0">
        <w:t xml:space="preserve"> month</w:t>
      </w:r>
      <w:r w:rsidRPr="00CB21B0">
        <w:t xml:space="preserve"> of receiving the report.</w:t>
      </w:r>
    </w:p>
    <w:p w:rsidR="00773DF7" w:rsidRPr="00CB21B0" w:rsidRDefault="00773DF7" w:rsidP="00773DF7">
      <w:pPr>
        <w:pStyle w:val="subsection"/>
      </w:pPr>
      <w:r w:rsidRPr="00CB21B0">
        <w:tab/>
        <w:t>(</w:t>
      </w:r>
      <w:r w:rsidR="0061431B" w:rsidRPr="00CB21B0">
        <w:t>8</w:t>
      </w:r>
      <w:r w:rsidRPr="00CB21B0">
        <w:t>)</w:t>
      </w:r>
      <w:r w:rsidRPr="00CB21B0">
        <w:tab/>
        <w:t>The Minister must ensure that the Minister’s response to the report of the review is published on the Department’s website within 3 months of receiving the report.</w:t>
      </w:r>
    </w:p>
    <w:p w:rsidR="00F625FC" w:rsidRPr="00CB21B0" w:rsidRDefault="00F625FC" w:rsidP="00F625FC">
      <w:pPr>
        <w:pStyle w:val="ActHead2"/>
      </w:pPr>
      <w:bookmarkStart w:id="109" w:name="_Toc361055105"/>
      <w:r w:rsidRPr="00CB21B0">
        <w:rPr>
          <w:rStyle w:val="CharPartNo"/>
        </w:rPr>
        <w:t>Part</w:t>
      </w:r>
      <w:r w:rsidR="00CB21B0" w:rsidRPr="00CB21B0">
        <w:rPr>
          <w:rStyle w:val="CharPartNo"/>
        </w:rPr>
        <w:t> </w:t>
      </w:r>
      <w:r w:rsidRPr="00CB21B0">
        <w:rPr>
          <w:rStyle w:val="CharPartNo"/>
        </w:rPr>
        <w:t>10</w:t>
      </w:r>
      <w:r w:rsidRPr="00CB21B0">
        <w:t>—</w:t>
      </w:r>
      <w:r w:rsidRPr="00CB21B0">
        <w:rPr>
          <w:rStyle w:val="CharPartText"/>
        </w:rPr>
        <w:t>Transitional and application provisions</w:t>
      </w:r>
      <w:bookmarkEnd w:id="109"/>
    </w:p>
    <w:p w:rsidR="00386E5C" w:rsidRPr="00CB21B0" w:rsidRDefault="00386E5C" w:rsidP="00386E5C">
      <w:pPr>
        <w:pStyle w:val="ActHead3"/>
      </w:pPr>
      <w:bookmarkStart w:id="110" w:name="_Toc361055106"/>
      <w:r w:rsidRPr="00CB21B0">
        <w:rPr>
          <w:rStyle w:val="CharDivNo"/>
        </w:rPr>
        <w:t>Division</w:t>
      </w:r>
      <w:r w:rsidR="00CB21B0" w:rsidRPr="00CB21B0">
        <w:rPr>
          <w:rStyle w:val="CharDivNo"/>
        </w:rPr>
        <w:t> </w:t>
      </w:r>
      <w:r w:rsidRPr="00CB21B0">
        <w:rPr>
          <w:rStyle w:val="CharDivNo"/>
        </w:rPr>
        <w:t>10.1</w:t>
      </w:r>
      <w:r w:rsidRPr="00CB21B0">
        <w:t>—</w:t>
      </w:r>
      <w:r w:rsidRPr="00CB21B0">
        <w:rPr>
          <w:rStyle w:val="CharDivText"/>
        </w:rPr>
        <w:t>Transitional provisions</w:t>
      </w:r>
      <w:r w:rsidR="005E342A" w:rsidRPr="00CB21B0">
        <w:rPr>
          <w:rStyle w:val="CharDivText"/>
        </w:rPr>
        <w:t xml:space="preserve"> for </w:t>
      </w:r>
      <w:r w:rsidRPr="00CB21B0">
        <w:rPr>
          <w:rStyle w:val="CharDivText"/>
        </w:rPr>
        <w:t>Agricultural and Veterinary Chemical</w:t>
      </w:r>
      <w:r w:rsidR="00E9489F" w:rsidRPr="00CB21B0">
        <w:rPr>
          <w:rStyle w:val="CharDivText"/>
        </w:rPr>
        <w:t>s</w:t>
      </w:r>
      <w:r w:rsidRPr="00CB21B0">
        <w:rPr>
          <w:rStyle w:val="CharDivText"/>
        </w:rPr>
        <w:t xml:space="preserve"> Legislation Amendment Act 2013</w:t>
      </w:r>
      <w:bookmarkEnd w:id="110"/>
    </w:p>
    <w:p w:rsidR="00386E5C" w:rsidRPr="00CB21B0" w:rsidRDefault="00386E5C" w:rsidP="00386E5C">
      <w:pPr>
        <w:pStyle w:val="ActHead5"/>
      </w:pPr>
      <w:bookmarkStart w:id="111" w:name="_Toc361055107"/>
      <w:r w:rsidRPr="00CB21B0">
        <w:rPr>
          <w:rStyle w:val="CharSectno"/>
        </w:rPr>
        <w:t>80</w:t>
      </w:r>
      <w:r w:rsidRPr="00CB21B0">
        <w:t xml:space="preserve">  Definitions</w:t>
      </w:r>
      <w:bookmarkEnd w:id="111"/>
    </w:p>
    <w:p w:rsidR="00386E5C" w:rsidRPr="00CB21B0" w:rsidRDefault="00386E5C" w:rsidP="00386E5C">
      <w:pPr>
        <w:pStyle w:val="subsection"/>
      </w:pPr>
      <w:r w:rsidRPr="00CB21B0">
        <w:tab/>
      </w:r>
      <w:r w:rsidRPr="00CB21B0">
        <w:tab/>
        <w:t>In this Division:</w:t>
      </w:r>
    </w:p>
    <w:p w:rsidR="00386E5C" w:rsidRPr="00CB21B0" w:rsidRDefault="00945DDB" w:rsidP="00386E5C">
      <w:pPr>
        <w:pStyle w:val="Definition"/>
        <w:rPr>
          <w:i/>
        </w:rPr>
      </w:pPr>
      <w:r w:rsidRPr="00CB21B0">
        <w:rPr>
          <w:b/>
          <w:i/>
        </w:rPr>
        <w:lastRenderedPageBreak/>
        <w:t>A</w:t>
      </w:r>
      <w:r w:rsidR="00386E5C" w:rsidRPr="00CB21B0">
        <w:rPr>
          <w:b/>
          <w:i/>
        </w:rPr>
        <w:t>mendment Act</w:t>
      </w:r>
      <w:r w:rsidR="00386E5C" w:rsidRPr="00CB21B0">
        <w:t xml:space="preserve"> means the </w:t>
      </w:r>
      <w:r w:rsidR="00386E5C" w:rsidRPr="00CB21B0">
        <w:rPr>
          <w:i/>
        </w:rPr>
        <w:t>Agricultural and Veterinary Chemical</w:t>
      </w:r>
      <w:r w:rsidR="00E9489F" w:rsidRPr="00CB21B0">
        <w:rPr>
          <w:i/>
        </w:rPr>
        <w:t>s</w:t>
      </w:r>
      <w:r w:rsidR="00386E5C" w:rsidRPr="00CB21B0">
        <w:rPr>
          <w:i/>
        </w:rPr>
        <w:t xml:space="preserve"> Legislation Amendment Act 2013.</w:t>
      </w:r>
    </w:p>
    <w:p w:rsidR="002F6A52" w:rsidRPr="00CB21B0" w:rsidRDefault="00575487" w:rsidP="00386E5C">
      <w:pPr>
        <w:pStyle w:val="Definition"/>
      </w:pPr>
      <w:r w:rsidRPr="00CB21B0">
        <w:rPr>
          <w:b/>
          <w:i/>
        </w:rPr>
        <w:t>old Code application</w:t>
      </w:r>
      <w:r w:rsidRPr="00CB21B0">
        <w:t xml:space="preserve"> means an application</w:t>
      </w:r>
      <w:r w:rsidR="002F6A52" w:rsidRPr="00CB21B0">
        <w:t>:</w:t>
      </w:r>
    </w:p>
    <w:p w:rsidR="002F6A52" w:rsidRPr="00CB21B0" w:rsidRDefault="002F6A52" w:rsidP="002F6A52">
      <w:pPr>
        <w:pStyle w:val="paragraph"/>
      </w:pPr>
      <w:r w:rsidRPr="00CB21B0">
        <w:tab/>
        <w:t>(a)</w:t>
      </w:r>
      <w:r w:rsidRPr="00CB21B0">
        <w:tab/>
      </w:r>
      <w:r w:rsidR="00575487" w:rsidRPr="00CB21B0">
        <w:t>lodged with the APVMA before 1</w:t>
      </w:r>
      <w:r w:rsidR="00CB21B0" w:rsidRPr="00CB21B0">
        <w:t> </w:t>
      </w:r>
      <w:r w:rsidR="00575487" w:rsidRPr="00CB21B0">
        <w:t>July 201</w:t>
      </w:r>
      <w:r w:rsidR="005C0BF6" w:rsidRPr="00CB21B0">
        <w:t>4</w:t>
      </w:r>
      <w:r w:rsidRPr="00CB21B0">
        <w:t>; and</w:t>
      </w:r>
    </w:p>
    <w:p w:rsidR="002F6A52" w:rsidRPr="00CB21B0" w:rsidRDefault="002F6A52" w:rsidP="002F6A52">
      <w:pPr>
        <w:pStyle w:val="paragraph"/>
      </w:pPr>
      <w:r w:rsidRPr="00CB21B0">
        <w:tab/>
        <w:t>(b)</w:t>
      </w:r>
      <w:r w:rsidRPr="00CB21B0">
        <w:tab/>
      </w:r>
      <w:r w:rsidR="006B6F10" w:rsidRPr="00CB21B0">
        <w:t xml:space="preserve">in respect of which a notice </w:t>
      </w:r>
      <w:r w:rsidR="00827CF0" w:rsidRPr="00CB21B0">
        <w:t>was</w:t>
      </w:r>
      <w:r w:rsidR="006B6F10" w:rsidRPr="00CB21B0">
        <w:t xml:space="preserve"> given to an approved person under section</w:t>
      </w:r>
      <w:r w:rsidR="00CB21B0" w:rsidRPr="00CB21B0">
        <w:t> </w:t>
      </w:r>
      <w:r w:rsidR="006B6F10" w:rsidRPr="00CB21B0">
        <w:t xml:space="preserve">11A of the old Code before </w:t>
      </w:r>
      <w:r w:rsidRPr="00CB21B0">
        <w:t>1</w:t>
      </w:r>
      <w:r w:rsidR="00CB21B0" w:rsidRPr="00CB21B0">
        <w:t> </w:t>
      </w:r>
      <w:r w:rsidRPr="00CB21B0">
        <w:t>July 2014; and</w:t>
      </w:r>
    </w:p>
    <w:p w:rsidR="00575487" w:rsidRPr="00CB21B0" w:rsidRDefault="002F6A52" w:rsidP="002F6A52">
      <w:pPr>
        <w:pStyle w:val="paragraph"/>
      </w:pPr>
      <w:r w:rsidRPr="00CB21B0">
        <w:tab/>
        <w:t>(c)</w:t>
      </w:r>
      <w:r w:rsidRPr="00CB21B0">
        <w:tab/>
        <w:t>not de</w:t>
      </w:r>
      <w:r w:rsidR="00945DDB" w:rsidRPr="00CB21B0">
        <w:t>termined</w:t>
      </w:r>
      <w:r w:rsidRPr="00CB21B0">
        <w:t xml:space="preserve"> before 1</w:t>
      </w:r>
      <w:r w:rsidR="00CB21B0" w:rsidRPr="00CB21B0">
        <w:t> </w:t>
      </w:r>
      <w:r w:rsidRPr="00CB21B0">
        <w:t>July 201</w:t>
      </w:r>
      <w:r w:rsidR="005C0BF6" w:rsidRPr="00CB21B0">
        <w:t>5</w:t>
      </w:r>
      <w:r w:rsidR="00575487" w:rsidRPr="00CB21B0">
        <w:t>.</w:t>
      </w:r>
    </w:p>
    <w:p w:rsidR="00094BB8" w:rsidRPr="00CB21B0" w:rsidRDefault="00094BB8" w:rsidP="00827CF0">
      <w:pPr>
        <w:pStyle w:val="ActHead5"/>
      </w:pPr>
      <w:bookmarkStart w:id="112" w:name="_Toc361055108"/>
      <w:r w:rsidRPr="00CB21B0">
        <w:rPr>
          <w:rStyle w:val="CharSectno"/>
        </w:rPr>
        <w:t>8</w:t>
      </w:r>
      <w:r w:rsidR="005E342A" w:rsidRPr="00CB21B0">
        <w:rPr>
          <w:rStyle w:val="CharSectno"/>
        </w:rPr>
        <w:t>1</w:t>
      </w:r>
      <w:r w:rsidRPr="00CB21B0">
        <w:t xml:space="preserve">  End dates and last renewal dates for existing approvals and registrations</w:t>
      </w:r>
      <w:bookmarkEnd w:id="112"/>
    </w:p>
    <w:p w:rsidR="003609BB" w:rsidRPr="00CB21B0" w:rsidRDefault="004B7CA0" w:rsidP="004B7CA0">
      <w:pPr>
        <w:pStyle w:val="subsection"/>
      </w:pPr>
      <w:r w:rsidRPr="00CB21B0">
        <w:tab/>
        <w:t>(1)</w:t>
      </w:r>
      <w:r w:rsidRPr="00CB21B0">
        <w:tab/>
        <w:t>This regulation applies to</w:t>
      </w:r>
      <w:r w:rsidR="003609BB" w:rsidRPr="00CB21B0">
        <w:t>:</w:t>
      </w:r>
    </w:p>
    <w:p w:rsidR="003609BB" w:rsidRPr="00CB21B0" w:rsidRDefault="003609BB" w:rsidP="003609BB">
      <w:pPr>
        <w:pStyle w:val="paragraph"/>
      </w:pPr>
      <w:r w:rsidRPr="00CB21B0">
        <w:tab/>
        <w:t>(a)</w:t>
      </w:r>
      <w:r w:rsidRPr="00CB21B0">
        <w:tab/>
      </w:r>
      <w:r w:rsidR="004B7CA0" w:rsidRPr="00CB21B0">
        <w:t>the approval of an active constituent</w:t>
      </w:r>
      <w:r w:rsidRPr="00CB21B0">
        <w:t xml:space="preserve"> mentioned in subregulation (4);</w:t>
      </w:r>
      <w:r w:rsidR="004B7CA0" w:rsidRPr="00CB21B0">
        <w:t xml:space="preserve"> or</w:t>
      </w:r>
    </w:p>
    <w:p w:rsidR="003609BB" w:rsidRPr="00CB21B0" w:rsidRDefault="003609BB" w:rsidP="003609BB">
      <w:pPr>
        <w:pStyle w:val="paragraph"/>
      </w:pPr>
      <w:r w:rsidRPr="00CB21B0">
        <w:tab/>
        <w:t>(b)</w:t>
      </w:r>
      <w:r w:rsidRPr="00CB21B0">
        <w:tab/>
      </w:r>
      <w:r w:rsidR="004B7CA0" w:rsidRPr="00CB21B0">
        <w:t>the registration of a chemical product</w:t>
      </w:r>
      <w:r w:rsidRPr="00CB21B0">
        <w:t xml:space="preserve"> containing an active constituent mentioned in subregulation (4);</w:t>
      </w:r>
    </w:p>
    <w:p w:rsidR="004B7CA0" w:rsidRPr="00CB21B0" w:rsidRDefault="004B7CA0" w:rsidP="003609BB">
      <w:pPr>
        <w:pStyle w:val="subsection2"/>
      </w:pPr>
      <w:r w:rsidRPr="00CB21B0">
        <w:t>to which item</w:t>
      </w:r>
      <w:r w:rsidR="00CB21B0" w:rsidRPr="00CB21B0">
        <w:t> </w:t>
      </w:r>
      <w:r w:rsidRPr="00CB21B0">
        <w:t>51 of S</w:t>
      </w:r>
      <w:r w:rsidR="00094BB8" w:rsidRPr="00CB21B0">
        <w:t>chedule</w:t>
      </w:r>
      <w:r w:rsidR="00CB21B0" w:rsidRPr="00CB21B0">
        <w:t> </w:t>
      </w:r>
      <w:r w:rsidR="00094BB8" w:rsidRPr="00CB21B0">
        <w:t xml:space="preserve">6 to the </w:t>
      </w:r>
      <w:r w:rsidR="00945DDB" w:rsidRPr="00CB21B0">
        <w:t>A</w:t>
      </w:r>
      <w:r w:rsidR="00386E5C" w:rsidRPr="00CB21B0">
        <w:t xml:space="preserve">mendment </w:t>
      </w:r>
      <w:r w:rsidR="00945DDB" w:rsidRPr="00CB21B0">
        <w:t>A</w:t>
      </w:r>
      <w:r w:rsidR="00386E5C" w:rsidRPr="00CB21B0">
        <w:t>ct</w:t>
      </w:r>
      <w:r w:rsidRPr="00CB21B0">
        <w:t xml:space="preserve"> applies.</w:t>
      </w:r>
    </w:p>
    <w:p w:rsidR="0070653A" w:rsidRPr="00CB21B0" w:rsidRDefault="0070653A" w:rsidP="0070653A">
      <w:pPr>
        <w:pStyle w:val="notetext"/>
      </w:pPr>
      <w:r w:rsidRPr="00CB21B0">
        <w:t>Note:</w:t>
      </w:r>
      <w:r w:rsidRPr="00CB21B0">
        <w:tab/>
        <w:t>Item</w:t>
      </w:r>
      <w:r w:rsidR="00CB21B0" w:rsidRPr="00CB21B0">
        <w:t> </w:t>
      </w:r>
      <w:r w:rsidRPr="00CB21B0">
        <w:t xml:space="preserve">51 of the </w:t>
      </w:r>
      <w:r w:rsidR="00945DDB" w:rsidRPr="00CB21B0">
        <w:t>A</w:t>
      </w:r>
      <w:r w:rsidRPr="00CB21B0">
        <w:t>mendment Act applies to the approvals of an active constituent, and the registration</w:t>
      </w:r>
      <w:r w:rsidR="00273F37" w:rsidRPr="00CB21B0">
        <w:t xml:space="preserve"> </w:t>
      </w:r>
      <w:r w:rsidRPr="00CB21B0">
        <w:t>of a chemical product</w:t>
      </w:r>
      <w:r w:rsidR="00273F37" w:rsidRPr="00CB21B0">
        <w:t xml:space="preserve"> (other than a listed registration)</w:t>
      </w:r>
      <w:r w:rsidRPr="00CB21B0">
        <w:t>, in force immediately before 1</w:t>
      </w:r>
      <w:r w:rsidR="00CB21B0" w:rsidRPr="00CB21B0">
        <w:t> </w:t>
      </w:r>
      <w:r w:rsidRPr="00CB21B0">
        <w:t>July 2014 or that come into force within 12 months of that date because of the operation of item</w:t>
      </w:r>
      <w:r w:rsidR="00CB21B0" w:rsidRPr="00CB21B0">
        <w:t> </w:t>
      </w:r>
      <w:r w:rsidRPr="00CB21B0">
        <w:t>47 of Schedule</w:t>
      </w:r>
      <w:r w:rsidR="00CB21B0" w:rsidRPr="00CB21B0">
        <w:t> </w:t>
      </w:r>
      <w:r w:rsidRPr="00CB21B0">
        <w:t>6 to the Amendment Act.</w:t>
      </w:r>
    </w:p>
    <w:p w:rsidR="00CF2352" w:rsidRPr="00CB21B0" w:rsidRDefault="00946DF7" w:rsidP="00946DF7">
      <w:pPr>
        <w:pStyle w:val="subsection"/>
      </w:pPr>
      <w:r w:rsidRPr="00CB21B0">
        <w:tab/>
        <w:t>(2)</w:t>
      </w:r>
      <w:r w:rsidRPr="00CB21B0">
        <w:tab/>
        <w:t>However, this re</w:t>
      </w:r>
      <w:r w:rsidR="00CF2352" w:rsidRPr="00CB21B0">
        <w:t>gulation does not apply if, on or before 1</w:t>
      </w:r>
      <w:r w:rsidR="00CB21B0" w:rsidRPr="00CB21B0">
        <w:t> </w:t>
      </w:r>
      <w:r w:rsidR="00CF2352" w:rsidRPr="00CB21B0">
        <w:t xml:space="preserve">July 2014, </w:t>
      </w:r>
      <w:r w:rsidRPr="00CB21B0">
        <w:t xml:space="preserve">the </w:t>
      </w:r>
      <w:r w:rsidR="00CF2352" w:rsidRPr="00CB21B0">
        <w:t>APVMA has given written notice under subsection</w:t>
      </w:r>
      <w:r w:rsidR="00CB21B0" w:rsidRPr="00CB21B0">
        <w:t> </w:t>
      </w:r>
      <w:r w:rsidR="00CF2352" w:rsidRPr="00CB21B0">
        <w:t xml:space="preserve">32(1) of the Code in relation to the </w:t>
      </w:r>
      <w:r w:rsidRPr="00CB21B0">
        <w:t>approval of the active constituent, or the registration of the chemical product</w:t>
      </w:r>
      <w:r w:rsidR="00CF2352" w:rsidRPr="00CB21B0">
        <w:t>.</w:t>
      </w:r>
    </w:p>
    <w:p w:rsidR="00F34AD3" w:rsidRPr="00CB21B0" w:rsidRDefault="00CF2352" w:rsidP="00CF2352">
      <w:pPr>
        <w:pStyle w:val="notetext"/>
      </w:pPr>
      <w:r w:rsidRPr="00CB21B0">
        <w:t>Note:</w:t>
      </w:r>
      <w:r w:rsidRPr="00CB21B0">
        <w:tab/>
        <w:t>Subsection</w:t>
      </w:r>
      <w:r w:rsidR="00CB21B0" w:rsidRPr="00CB21B0">
        <w:t> </w:t>
      </w:r>
      <w:r w:rsidRPr="00CB21B0">
        <w:t>32(1) of the Code requires the APVMA to give written notice if it proposes to reconsider an approval or registration.</w:t>
      </w:r>
    </w:p>
    <w:p w:rsidR="004B7CA0" w:rsidRPr="00CB21B0" w:rsidRDefault="004B7CA0" w:rsidP="004B7CA0">
      <w:pPr>
        <w:pStyle w:val="subsection"/>
      </w:pPr>
      <w:r w:rsidRPr="00CB21B0">
        <w:tab/>
        <w:t>(</w:t>
      </w:r>
      <w:r w:rsidR="00793C84" w:rsidRPr="00CB21B0">
        <w:t>3</w:t>
      </w:r>
      <w:r w:rsidRPr="00CB21B0">
        <w:t>)</w:t>
      </w:r>
      <w:r w:rsidRPr="00CB21B0">
        <w:tab/>
        <w:t>For paragraph</w:t>
      </w:r>
      <w:r w:rsidR="00CB21B0" w:rsidRPr="00CB21B0">
        <w:t> </w:t>
      </w:r>
      <w:r w:rsidRPr="00CB21B0">
        <w:t>51(3)(a) of the Amendment Act</w:t>
      </w:r>
      <w:r w:rsidR="0070653A" w:rsidRPr="00CB21B0">
        <w:t>:</w:t>
      </w:r>
    </w:p>
    <w:p w:rsidR="004B7CA0" w:rsidRPr="00CB21B0" w:rsidRDefault="004B7CA0" w:rsidP="004B7CA0">
      <w:pPr>
        <w:pStyle w:val="paragraph"/>
      </w:pPr>
      <w:r w:rsidRPr="00CB21B0">
        <w:tab/>
        <w:t>(a)</w:t>
      </w:r>
      <w:r w:rsidRPr="00CB21B0">
        <w:tab/>
      </w:r>
      <w:r w:rsidR="00094BB8" w:rsidRPr="00CB21B0">
        <w:t xml:space="preserve">the end date for the approval of </w:t>
      </w:r>
      <w:r w:rsidR="003609BB" w:rsidRPr="00CB21B0">
        <w:t>the</w:t>
      </w:r>
      <w:r w:rsidR="00094BB8" w:rsidRPr="00CB21B0">
        <w:t xml:space="preserve"> active constituent</w:t>
      </w:r>
      <w:r w:rsidRPr="00CB21B0">
        <w:t xml:space="preserve"> </w:t>
      </w:r>
      <w:r w:rsidR="0070653A" w:rsidRPr="00CB21B0">
        <w:t>mentioned in subregulation (</w:t>
      </w:r>
      <w:r w:rsidR="00946DF7" w:rsidRPr="00CB21B0">
        <w:t>4</w:t>
      </w:r>
      <w:r w:rsidR="0070653A" w:rsidRPr="00CB21B0">
        <w:t xml:space="preserve">) is </w:t>
      </w:r>
      <w:r w:rsidR="00945DDB" w:rsidRPr="00CB21B0">
        <w:t>30</w:t>
      </w:r>
      <w:r w:rsidR="00CB21B0" w:rsidRPr="00CB21B0">
        <w:t> </w:t>
      </w:r>
      <w:r w:rsidR="00945DDB" w:rsidRPr="00CB21B0">
        <w:t>June</w:t>
      </w:r>
      <w:r w:rsidR="0070653A" w:rsidRPr="00CB21B0">
        <w:t xml:space="preserve"> 2015; and</w:t>
      </w:r>
    </w:p>
    <w:p w:rsidR="0070653A" w:rsidRPr="00CB21B0" w:rsidRDefault="0070653A" w:rsidP="004B7CA0">
      <w:pPr>
        <w:pStyle w:val="paragraph"/>
      </w:pPr>
      <w:r w:rsidRPr="00CB21B0">
        <w:tab/>
        <w:t>(b)</w:t>
      </w:r>
      <w:r w:rsidRPr="00CB21B0">
        <w:tab/>
        <w:t xml:space="preserve">the last renewal date for the registration of </w:t>
      </w:r>
      <w:r w:rsidR="003609BB" w:rsidRPr="00CB21B0">
        <w:t>the</w:t>
      </w:r>
      <w:r w:rsidRPr="00CB21B0">
        <w:t xml:space="preserve"> chemical</w:t>
      </w:r>
      <w:r w:rsidR="002150A9" w:rsidRPr="00CB21B0">
        <w:t xml:space="preserve"> product</w:t>
      </w:r>
      <w:r w:rsidRPr="00CB21B0">
        <w:t xml:space="preserve"> </w:t>
      </w:r>
      <w:r w:rsidR="00B76F70" w:rsidRPr="00CB21B0">
        <w:t xml:space="preserve">containing an active constituent mentioned in subregulation (4) </w:t>
      </w:r>
      <w:r w:rsidRPr="00CB21B0">
        <w:t xml:space="preserve">is </w:t>
      </w:r>
      <w:r w:rsidR="00945DDB" w:rsidRPr="00CB21B0">
        <w:t>30</w:t>
      </w:r>
      <w:r w:rsidR="00CB21B0" w:rsidRPr="00CB21B0">
        <w:t> </w:t>
      </w:r>
      <w:r w:rsidR="00945DDB" w:rsidRPr="00CB21B0">
        <w:t>June</w:t>
      </w:r>
      <w:r w:rsidRPr="00CB21B0">
        <w:t xml:space="preserve"> 2015.</w:t>
      </w:r>
    </w:p>
    <w:p w:rsidR="0070653A" w:rsidRPr="00CB21B0" w:rsidRDefault="0070653A" w:rsidP="0070653A">
      <w:pPr>
        <w:pStyle w:val="subsection"/>
      </w:pPr>
      <w:r w:rsidRPr="00CB21B0">
        <w:tab/>
        <w:t>(</w:t>
      </w:r>
      <w:r w:rsidR="00793C84" w:rsidRPr="00CB21B0">
        <w:t>4</w:t>
      </w:r>
      <w:r w:rsidRPr="00CB21B0">
        <w:t>)</w:t>
      </w:r>
      <w:r w:rsidRPr="00CB21B0">
        <w:tab/>
        <w:t>For subregulation (</w:t>
      </w:r>
      <w:r w:rsidR="003609BB" w:rsidRPr="00CB21B0">
        <w:t>1</w:t>
      </w:r>
      <w:r w:rsidRPr="00CB21B0">
        <w:t>), the active constituents are</w:t>
      </w:r>
      <w:r w:rsidR="00945DDB" w:rsidRPr="00CB21B0">
        <w:t xml:space="preserve"> </w:t>
      </w:r>
      <w:r w:rsidR="00613C97" w:rsidRPr="00CB21B0">
        <w:t xml:space="preserve">any of </w:t>
      </w:r>
      <w:r w:rsidR="00945DDB" w:rsidRPr="00CB21B0">
        <w:t>the following</w:t>
      </w:r>
      <w:r w:rsidRPr="00CB21B0">
        <w:t>:</w:t>
      </w:r>
    </w:p>
    <w:p w:rsidR="00E37AD5" w:rsidRPr="00CB21B0" w:rsidRDefault="0070653A" w:rsidP="0070653A">
      <w:pPr>
        <w:pStyle w:val="paragraph"/>
      </w:pPr>
      <w:r w:rsidRPr="00CB21B0">
        <w:lastRenderedPageBreak/>
        <w:tab/>
        <w:t>(a)</w:t>
      </w:r>
      <w:r w:rsidR="003A3701" w:rsidRPr="00CB21B0">
        <w:tab/>
      </w:r>
      <w:r w:rsidR="00E37AD5" w:rsidRPr="00CB21B0">
        <w:t>cadusafos;</w:t>
      </w:r>
    </w:p>
    <w:p w:rsidR="0070653A" w:rsidRPr="00CB21B0" w:rsidRDefault="00E37AD5" w:rsidP="0070653A">
      <w:pPr>
        <w:pStyle w:val="paragraph"/>
      </w:pPr>
      <w:r w:rsidRPr="00CB21B0">
        <w:tab/>
        <w:t>(b)</w:t>
      </w:r>
      <w:r w:rsidRPr="00CB21B0">
        <w:tab/>
        <w:t>carbofuran;</w:t>
      </w:r>
    </w:p>
    <w:p w:rsidR="00945DDB" w:rsidRPr="00CB21B0" w:rsidRDefault="00945DDB" w:rsidP="0070653A">
      <w:pPr>
        <w:pStyle w:val="paragraph"/>
      </w:pPr>
      <w:r w:rsidRPr="00CB21B0">
        <w:tab/>
        <w:t>(</w:t>
      </w:r>
      <w:r w:rsidR="00E37AD5" w:rsidRPr="00CB21B0">
        <w:t>c</w:t>
      </w:r>
      <w:r w:rsidRPr="00CB21B0">
        <w:t>)</w:t>
      </w:r>
      <w:r w:rsidRPr="00CB21B0">
        <w:tab/>
        <w:t>carbosulfan;</w:t>
      </w:r>
    </w:p>
    <w:p w:rsidR="00E37AD5" w:rsidRPr="00CB21B0" w:rsidRDefault="00E37AD5" w:rsidP="0070653A">
      <w:pPr>
        <w:pStyle w:val="paragraph"/>
      </w:pPr>
      <w:r w:rsidRPr="00CB21B0">
        <w:tab/>
        <w:t>(d)</w:t>
      </w:r>
      <w:r w:rsidRPr="00CB21B0">
        <w:tab/>
        <w:t>disodium methylarsonate (DSMA);</w:t>
      </w:r>
    </w:p>
    <w:p w:rsidR="00E37AD5" w:rsidRPr="00CB21B0" w:rsidRDefault="00E37AD5" w:rsidP="0070653A">
      <w:pPr>
        <w:pStyle w:val="paragraph"/>
      </w:pPr>
      <w:r w:rsidRPr="00CB21B0">
        <w:tab/>
        <w:t>(e)</w:t>
      </w:r>
      <w:r w:rsidRPr="00CB21B0">
        <w:tab/>
        <w:t>dichlorophen;</w:t>
      </w:r>
    </w:p>
    <w:p w:rsidR="00273F37" w:rsidRPr="00CB21B0" w:rsidRDefault="00273F37" w:rsidP="0070653A">
      <w:pPr>
        <w:pStyle w:val="paragraph"/>
      </w:pPr>
      <w:r w:rsidRPr="00CB21B0">
        <w:tab/>
        <w:t>(f)</w:t>
      </w:r>
      <w:r w:rsidRPr="00CB21B0">
        <w:tab/>
        <w:t>dimethipin;</w:t>
      </w:r>
    </w:p>
    <w:p w:rsidR="00945DDB" w:rsidRPr="00CB21B0" w:rsidRDefault="00E37AD5" w:rsidP="0070653A">
      <w:pPr>
        <w:pStyle w:val="paragraph"/>
      </w:pPr>
      <w:r w:rsidRPr="00CB21B0">
        <w:tab/>
        <w:t>(</w:t>
      </w:r>
      <w:r w:rsidR="00273F37" w:rsidRPr="00CB21B0">
        <w:t>g</w:t>
      </w:r>
      <w:r w:rsidRPr="00CB21B0">
        <w:t>)</w:t>
      </w:r>
      <w:r w:rsidRPr="00CB21B0">
        <w:tab/>
      </w:r>
      <w:r w:rsidR="00945DDB" w:rsidRPr="00CB21B0">
        <w:t>ethion;</w:t>
      </w:r>
    </w:p>
    <w:p w:rsidR="00E37AD5" w:rsidRPr="00CB21B0" w:rsidRDefault="00E37AD5" w:rsidP="0070653A">
      <w:pPr>
        <w:pStyle w:val="paragraph"/>
      </w:pPr>
      <w:r w:rsidRPr="00CB21B0">
        <w:tab/>
        <w:t>(</w:t>
      </w:r>
      <w:r w:rsidR="00273F37" w:rsidRPr="00CB21B0">
        <w:t>h</w:t>
      </w:r>
      <w:r w:rsidRPr="00CB21B0">
        <w:t>)</w:t>
      </w:r>
      <w:r w:rsidRPr="00CB21B0">
        <w:tab/>
        <w:t>ethylene dichloride;</w:t>
      </w:r>
    </w:p>
    <w:p w:rsidR="00E37AD5" w:rsidRPr="00CB21B0" w:rsidRDefault="00E37AD5" w:rsidP="00E37AD5">
      <w:pPr>
        <w:pStyle w:val="paragraph"/>
      </w:pPr>
      <w:r w:rsidRPr="00CB21B0">
        <w:tab/>
        <w:t>(</w:t>
      </w:r>
      <w:r w:rsidR="00273F37" w:rsidRPr="00CB21B0">
        <w:t>i</w:t>
      </w:r>
      <w:r w:rsidRPr="00CB21B0">
        <w:t>)</w:t>
      </w:r>
      <w:r w:rsidRPr="00CB21B0">
        <w:tab/>
        <w:t>guazatine;</w:t>
      </w:r>
    </w:p>
    <w:p w:rsidR="00E37AD5" w:rsidRPr="00CB21B0" w:rsidRDefault="00E37AD5" w:rsidP="00E37AD5">
      <w:pPr>
        <w:pStyle w:val="paragraph"/>
      </w:pPr>
      <w:r w:rsidRPr="00CB21B0">
        <w:tab/>
        <w:t>(</w:t>
      </w:r>
      <w:r w:rsidR="00273F37" w:rsidRPr="00CB21B0">
        <w:t>j</w:t>
      </w:r>
      <w:r w:rsidRPr="00CB21B0">
        <w:t>)</w:t>
      </w:r>
      <w:r w:rsidRPr="00CB21B0">
        <w:tab/>
        <w:t>methoxyethylmercury chloride;</w:t>
      </w:r>
    </w:p>
    <w:p w:rsidR="00945DDB" w:rsidRPr="00CB21B0" w:rsidRDefault="00945DDB" w:rsidP="0070653A">
      <w:pPr>
        <w:pStyle w:val="paragraph"/>
      </w:pPr>
      <w:r w:rsidRPr="00CB21B0">
        <w:tab/>
        <w:t>(</w:t>
      </w:r>
      <w:r w:rsidR="00273F37" w:rsidRPr="00CB21B0">
        <w:t>k</w:t>
      </w:r>
      <w:r w:rsidRPr="00CB21B0">
        <w:t>)</w:t>
      </w:r>
      <w:r w:rsidRPr="00CB21B0">
        <w:tab/>
        <w:t>mevinphos;</w:t>
      </w:r>
    </w:p>
    <w:p w:rsidR="00E37AD5" w:rsidRPr="00CB21B0" w:rsidRDefault="00E37AD5" w:rsidP="0070653A">
      <w:pPr>
        <w:pStyle w:val="paragraph"/>
      </w:pPr>
      <w:r w:rsidRPr="00CB21B0">
        <w:tab/>
        <w:t>(</w:t>
      </w:r>
      <w:r w:rsidR="00273F37" w:rsidRPr="00CB21B0">
        <w:t>l</w:t>
      </w:r>
      <w:r w:rsidRPr="00CB21B0">
        <w:t>)</w:t>
      </w:r>
      <w:r w:rsidRPr="00CB21B0">
        <w:tab/>
        <w:t>naphthalophos;</w:t>
      </w:r>
    </w:p>
    <w:p w:rsidR="00945DDB" w:rsidRPr="00CB21B0" w:rsidRDefault="00945DDB" w:rsidP="0070653A">
      <w:pPr>
        <w:pStyle w:val="paragraph"/>
      </w:pPr>
      <w:r w:rsidRPr="00CB21B0">
        <w:tab/>
        <w:t>(</w:t>
      </w:r>
      <w:r w:rsidR="00273F37" w:rsidRPr="00CB21B0">
        <w:t>m</w:t>
      </w:r>
      <w:r w:rsidRPr="00CB21B0">
        <w:t>)</w:t>
      </w:r>
      <w:r w:rsidRPr="00CB21B0">
        <w:tab/>
        <w:t>oxadixyl;</w:t>
      </w:r>
    </w:p>
    <w:p w:rsidR="00E37AD5" w:rsidRPr="00CB21B0" w:rsidRDefault="00E37AD5" w:rsidP="0070653A">
      <w:pPr>
        <w:pStyle w:val="paragraph"/>
      </w:pPr>
      <w:r w:rsidRPr="00CB21B0">
        <w:tab/>
        <w:t>(</w:t>
      </w:r>
      <w:r w:rsidR="00273F37" w:rsidRPr="00CB21B0">
        <w:t>n</w:t>
      </w:r>
      <w:r w:rsidRPr="00CB21B0">
        <w:t>)</w:t>
      </w:r>
      <w:r w:rsidRPr="00CB21B0">
        <w:tab/>
        <w:t>tributyltin (naphthenate and oxide);</w:t>
      </w:r>
    </w:p>
    <w:p w:rsidR="00E37AD5" w:rsidRPr="00CB21B0" w:rsidRDefault="00E37AD5" w:rsidP="0070653A">
      <w:pPr>
        <w:pStyle w:val="paragraph"/>
      </w:pPr>
      <w:r w:rsidRPr="00CB21B0">
        <w:tab/>
        <w:t>(</w:t>
      </w:r>
      <w:r w:rsidR="00273F37" w:rsidRPr="00CB21B0">
        <w:t>o</w:t>
      </w:r>
      <w:r w:rsidRPr="00CB21B0">
        <w:t>)</w:t>
      </w:r>
      <w:r w:rsidRPr="00CB21B0">
        <w:tab/>
        <w:t>an active constituent that is:</w:t>
      </w:r>
    </w:p>
    <w:p w:rsidR="00E37AD5" w:rsidRPr="00CB21B0" w:rsidRDefault="00E37AD5" w:rsidP="00E37AD5">
      <w:pPr>
        <w:pStyle w:val="paragraphsub"/>
      </w:pPr>
      <w:r w:rsidRPr="00CB21B0">
        <w:tab/>
        <w:t>(i)</w:t>
      </w:r>
      <w:r w:rsidRPr="00CB21B0">
        <w:tab/>
        <w:t>mentioned in Schedule</w:t>
      </w:r>
      <w:r w:rsidR="00CB21B0" w:rsidRPr="00CB21B0">
        <w:t> </w:t>
      </w:r>
      <w:r w:rsidRPr="00CB21B0">
        <w:t xml:space="preserve">7 of the current Poisons Standard as in force on the day the </w:t>
      </w:r>
      <w:r w:rsidRPr="00CB21B0">
        <w:rPr>
          <w:i/>
        </w:rPr>
        <w:t>Agricultural and Veterinary Chemicals Legislation Amendment (2013 Measures No.</w:t>
      </w:r>
      <w:r w:rsidR="00CB21B0" w:rsidRPr="00CB21B0">
        <w:rPr>
          <w:i/>
        </w:rPr>
        <w:t> </w:t>
      </w:r>
      <w:r w:rsidRPr="00CB21B0">
        <w:rPr>
          <w:i/>
        </w:rPr>
        <w:t>1) Regulation</w:t>
      </w:r>
      <w:r w:rsidR="00CB21B0" w:rsidRPr="00CB21B0">
        <w:rPr>
          <w:i/>
        </w:rPr>
        <w:t> </w:t>
      </w:r>
      <w:r w:rsidRPr="00CB21B0">
        <w:rPr>
          <w:i/>
        </w:rPr>
        <w:t>2013</w:t>
      </w:r>
      <w:r w:rsidRPr="00CB21B0">
        <w:t xml:space="preserve"> is registered on the Federal Register of Legislative Instruments (the </w:t>
      </w:r>
      <w:r w:rsidRPr="00CB21B0">
        <w:rPr>
          <w:b/>
          <w:i/>
        </w:rPr>
        <w:t>registration date</w:t>
      </w:r>
      <w:r w:rsidRPr="00CB21B0">
        <w:t>); and</w:t>
      </w:r>
    </w:p>
    <w:p w:rsidR="00945DDB" w:rsidRPr="00CB21B0" w:rsidRDefault="00E37AD5" w:rsidP="00E37AD5">
      <w:pPr>
        <w:pStyle w:val="paragraphsub"/>
      </w:pPr>
      <w:r w:rsidRPr="00CB21B0">
        <w:tab/>
        <w:t>(ii)</w:t>
      </w:r>
      <w:r w:rsidRPr="00CB21B0">
        <w:tab/>
        <w:t>classified as Aquatic Chronic 1 in Table 3.1 of Annex VI of the European Community Regulation Number 1272/2008 as in force on the registration date.</w:t>
      </w:r>
    </w:p>
    <w:p w:rsidR="0070653A" w:rsidRPr="00CB21B0" w:rsidRDefault="00946DF7" w:rsidP="00946DF7">
      <w:pPr>
        <w:pStyle w:val="ActHead5"/>
      </w:pPr>
      <w:bookmarkStart w:id="113" w:name="_Toc361055109"/>
      <w:r w:rsidRPr="00CB21B0">
        <w:rPr>
          <w:rStyle w:val="CharSectno"/>
        </w:rPr>
        <w:t>8</w:t>
      </w:r>
      <w:r w:rsidR="005E342A" w:rsidRPr="00CB21B0">
        <w:rPr>
          <w:rStyle w:val="CharSectno"/>
        </w:rPr>
        <w:t>2</w:t>
      </w:r>
      <w:r w:rsidRPr="00CB21B0">
        <w:t xml:space="preserve">  </w:t>
      </w:r>
      <w:r w:rsidR="006B6F10" w:rsidRPr="00CB21B0">
        <w:t xml:space="preserve">Continuation of old Code requirements </w:t>
      </w:r>
      <w:r w:rsidR="00F96141" w:rsidRPr="00CB21B0">
        <w:t>for old Code applications</w:t>
      </w:r>
      <w:bookmarkEnd w:id="113"/>
    </w:p>
    <w:p w:rsidR="00386E5C" w:rsidRPr="00CB21B0" w:rsidRDefault="00386E5C" w:rsidP="00386E5C">
      <w:pPr>
        <w:pStyle w:val="subsection"/>
        <w:spacing w:before="240"/>
      </w:pPr>
      <w:r w:rsidRPr="00CB21B0">
        <w:tab/>
      </w:r>
      <w:r w:rsidR="00827CF0" w:rsidRPr="00CB21B0">
        <w:tab/>
      </w:r>
      <w:r w:rsidRPr="00CB21B0">
        <w:t>For sub</w:t>
      </w:r>
      <w:r w:rsidR="00575487" w:rsidRPr="00CB21B0">
        <w:t>item</w:t>
      </w:r>
      <w:r w:rsidR="00CB21B0" w:rsidRPr="00CB21B0">
        <w:t> </w:t>
      </w:r>
      <w:r w:rsidR="00575487" w:rsidRPr="00CB21B0">
        <w:t xml:space="preserve">58(1) of </w:t>
      </w:r>
      <w:r w:rsidR="004452C5" w:rsidRPr="00CB21B0">
        <w:t>Schedule</w:t>
      </w:r>
      <w:r w:rsidR="00CB21B0" w:rsidRPr="00CB21B0">
        <w:t> </w:t>
      </w:r>
      <w:r w:rsidR="004452C5" w:rsidRPr="00CB21B0">
        <w:t xml:space="preserve">6 to </w:t>
      </w:r>
      <w:r w:rsidR="00575487" w:rsidRPr="00CB21B0">
        <w:t xml:space="preserve">the Amendment Act, </w:t>
      </w:r>
      <w:r w:rsidR="008A596A" w:rsidRPr="00CB21B0">
        <w:t>and despite item</w:t>
      </w:r>
      <w:r w:rsidR="00CB21B0" w:rsidRPr="00CB21B0">
        <w:t> </w:t>
      </w:r>
      <w:r w:rsidR="008A596A" w:rsidRPr="00CB21B0">
        <w:t>47 of Schedule</w:t>
      </w:r>
      <w:r w:rsidR="00CB21B0" w:rsidRPr="00CB21B0">
        <w:t> </w:t>
      </w:r>
      <w:r w:rsidR="008A596A" w:rsidRPr="00CB21B0">
        <w:t xml:space="preserve">6 to the Amendment Act, </w:t>
      </w:r>
      <w:r w:rsidR="00575487" w:rsidRPr="00CB21B0">
        <w:t xml:space="preserve">the requirements of paragraphs 11(1)(b), 28(1)(b), 56J(1)(b), 56T(1)(b), 110(2)(b) and 122(1)(b) of the old Code continue to apply to </w:t>
      </w:r>
      <w:r w:rsidR="00D5576B" w:rsidRPr="00CB21B0">
        <w:t xml:space="preserve">an </w:t>
      </w:r>
      <w:r w:rsidR="00575487" w:rsidRPr="00CB21B0">
        <w:t xml:space="preserve">old Code application </w:t>
      </w:r>
      <w:r w:rsidR="008A596A" w:rsidRPr="00CB21B0">
        <w:t xml:space="preserve">on and </w:t>
      </w:r>
      <w:r w:rsidR="006B6F10" w:rsidRPr="00CB21B0">
        <w:t>after 1</w:t>
      </w:r>
      <w:r w:rsidR="00CB21B0" w:rsidRPr="00CB21B0">
        <w:t> </w:t>
      </w:r>
      <w:r w:rsidR="006B6F10" w:rsidRPr="00CB21B0">
        <w:t>July 2015.</w:t>
      </w:r>
    </w:p>
    <w:p w:rsidR="00686DBF" w:rsidRPr="00CB21B0" w:rsidRDefault="004452C5" w:rsidP="00686DBF">
      <w:pPr>
        <w:pStyle w:val="ActHead5"/>
      </w:pPr>
      <w:bookmarkStart w:id="114" w:name="_Toc361055110"/>
      <w:r w:rsidRPr="00CB21B0">
        <w:rPr>
          <w:rStyle w:val="CharSectno"/>
        </w:rPr>
        <w:t>8</w:t>
      </w:r>
      <w:r w:rsidR="005E342A" w:rsidRPr="00CB21B0">
        <w:rPr>
          <w:rStyle w:val="CharSectno"/>
        </w:rPr>
        <w:t>3</w:t>
      </w:r>
      <w:r w:rsidRPr="00CB21B0">
        <w:t xml:space="preserve">  Preliminary notices issued under old Code</w:t>
      </w:r>
      <w:bookmarkEnd w:id="114"/>
    </w:p>
    <w:p w:rsidR="004452C5" w:rsidRPr="00CB21B0" w:rsidRDefault="00686DBF" w:rsidP="00686DBF">
      <w:pPr>
        <w:pStyle w:val="subsection"/>
      </w:pPr>
      <w:r w:rsidRPr="00CB21B0">
        <w:tab/>
        <w:t>(1)</w:t>
      </w:r>
      <w:r w:rsidRPr="00CB21B0">
        <w:tab/>
      </w:r>
      <w:r w:rsidR="004452C5" w:rsidRPr="00CB21B0">
        <w:t>This regulation applies to an old Code application if:</w:t>
      </w:r>
    </w:p>
    <w:p w:rsidR="00EF63FD" w:rsidRPr="00CB21B0" w:rsidRDefault="004452C5" w:rsidP="004452C5">
      <w:pPr>
        <w:pStyle w:val="paragraph"/>
      </w:pPr>
      <w:r w:rsidRPr="00CB21B0">
        <w:lastRenderedPageBreak/>
        <w:tab/>
        <w:t>(a)</w:t>
      </w:r>
      <w:r w:rsidRPr="00CB21B0">
        <w:tab/>
      </w:r>
      <w:r w:rsidR="00F96141" w:rsidRPr="00CB21B0">
        <w:t xml:space="preserve">a </w:t>
      </w:r>
      <w:r w:rsidRPr="00CB21B0">
        <w:t xml:space="preserve">notice </w:t>
      </w:r>
      <w:r w:rsidR="00262C7E" w:rsidRPr="00CB21B0">
        <w:t>wa</w:t>
      </w:r>
      <w:r w:rsidR="00EF63FD" w:rsidRPr="00CB21B0">
        <w:t>s</w:t>
      </w:r>
      <w:r w:rsidR="00F96141" w:rsidRPr="00CB21B0">
        <w:t xml:space="preserve"> </w:t>
      </w:r>
      <w:r w:rsidRPr="00CB21B0">
        <w:t xml:space="preserve">issued under </w:t>
      </w:r>
      <w:r w:rsidR="00F96141" w:rsidRPr="00CB21B0">
        <w:t>sub</w:t>
      </w:r>
      <w:r w:rsidRPr="00CB21B0">
        <w:t>section</w:t>
      </w:r>
      <w:r w:rsidR="00CB21B0" w:rsidRPr="00CB21B0">
        <w:t> </w:t>
      </w:r>
      <w:r w:rsidRPr="00CB21B0">
        <w:t>11A</w:t>
      </w:r>
      <w:r w:rsidR="00F96141" w:rsidRPr="00CB21B0">
        <w:t>(3)</w:t>
      </w:r>
      <w:r w:rsidRPr="00CB21B0">
        <w:t xml:space="preserve"> of the old Code </w:t>
      </w:r>
      <w:r w:rsidR="00F96141" w:rsidRPr="00CB21B0">
        <w:t xml:space="preserve">requiring the applicant to rectify defects in the application; </w:t>
      </w:r>
      <w:r w:rsidRPr="00CB21B0">
        <w:t>and</w:t>
      </w:r>
    </w:p>
    <w:p w:rsidR="001F0C98" w:rsidRPr="00CB21B0" w:rsidRDefault="00EF63FD" w:rsidP="00446891">
      <w:pPr>
        <w:pStyle w:val="paragraph"/>
      </w:pPr>
      <w:r w:rsidRPr="00CB21B0">
        <w:tab/>
        <w:t>(b)</w:t>
      </w:r>
      <w:r w:rsidRPr="00CB21B0">
        <w:tab/>
        <w:t xml:space="preserve">the period for rectifying the defects </w:t>
      </w:r>
      <w:r w:rsidR="00262C7E" w:rsidRPr="00CB21B0">
        <w:t xml:space="preserve">(the </w:t>
      </w:r>
      <w:r w:rsidR="00262C7E" w:rsidRPr="00CB21B0">
        <w:rPr>
          <w:b/>
          <w:i/>
        </w:rPr>
        <w:t>rectification period</w:t>
      </w:r>
      <w:r w:rsidR="00262C7E" w:rsidRPr="00CB21B0">
        <w:t>)</w:t>
      </w:r>
      <w:r w:rsidR="00262C7E" w:rsidRPr="00CB21B0">
        <w:rPr>
          <w:strike/>
        </w:rPr>
        <w:t xml:space="preserve"> </w:t>
      </w:r>
      <w:r w:rsidRPr="00CB21B0">
        <w:t>ends after 30</w:t>
      </w:r>
      <w:r w:rsidR="00CB21B0" w:rsidRPr="00CB21B0">
        <w:t> </w:t>
      </w:r>
      <w:r w:rsidRPr="00CB21B0">
        <w:t>June 2015</w:t>
      </w:r>
      <w:r w:rsidR="001F0C98" w:rsidRPr="00CB21B0">
        <w:t>; and</w:t>
      </w:r>
    </w:p>
    <w:p w:rsidR="00446891" w:rsidRPr="00CB21B0" w:rsidRDefault="001F0C98" w:rsidP="00446891">
      <w:pPr>
        <w:pStyle w:val="paragraph"/>
      </w:pPr>
      <w:r w:rsidRPr="00CB21B0">
        <w:tab/>
        <w:t>(c)</w:t>
      </w:r>
      <w:r w:rsidRPr="00CB21B0">
        <w:tab/>
        <w:t>the applicant has not rectified the defects before 1</w:t>
      </w:r>
      <w:r w:rsidR="00CB21B0" w:rsidRPr="00CB21B0">
        <w:t> </w:t>
      </w:r>
      <w:r w:rsidRPr="00CB21B0">
        <w:t>July 2015</w:t>
      </w:r>
      <w:r w:rsidR="00446891" w:rsidRPr="00CB21B0">
        <w:t>.</w:t>
      </w:r>
    </w:p>
    <w:p w:rsidR="00262C7E" w:rsidRPr="00CB21B0" w:rsidRDefault="00262C7E" w:rsidP="00446891">
      <w:pPr>
        <w:pStyle w:val="notetext"/>
      </w:pPr>
      <w:r w:rsidRPr="00CB21B0">
        <w:t>Note:</w:t>
      </w:r>
      <w:r w:rsidRPr="00CB21B0">
        <w:tab/>
        <w:t xml:space="preserve">Paragraph 11A(3)(a) of the old Code provides that the notice must require the applicant to rectify the defects within </w:t>
      </w:r>
      <w:r w:rsidR="00F66C3E" w:rsidRPr="00CB21B0">
        <w:t>1</w:t>
      </w:r>
      <w:r w:rsidRPr="00CB21B0">
        <w:t xml:space="preserve"> month or such further period as the APVMA allows.</w:t>
      </w:r>
    </w:p>
    <w:p w:rsidR="006854BC" w:rsidRPr="00CB21B0" w:rsidRDefault="004452C5" w:rsidP="00686DBF">
      <w:pPr>
        <w:pStyle w:val="subsection"/>
      </w:pPr>
      <w:r w:rsidRPr="00CB21B0">
        <w:tab/>
        <w:t>(2)</w:t>
      </w:r>
      <w:r w:rsidRPr="00CB21B0">
        <w:tab/>
      </w:r>
      <w:r w:rsidR="00686DBF" w:rsidRPr="00CB21B0">
        <w:t>For subitem</w:t>
      </w:r>
      <w:r w:rsidR="00CB21B0" w:rsidRPr="00CB21B0">
        <w:t> </w:t>
      </w:r>
      <w:r w:rsidRPr="00CB21B0">
        <w:t>58(1) of Schedule</w:t>
      </w:r>
      <w:r w:rsidR="00CB21B0" w:rsidRPr="00CB21B0">
        <w:t> </w:t>
      </w:r>
      <w:r w:rsidRPr="00CB21B0">
        <w:t>6 to the Amendment Act, the APVMA must</w:t>
      </w:r>
      <w:r w:rsidR="006854BC" w:rsidRPr="00CB21B0">
        <w:t>:</w:t>
      </w:r>
    </w:p>
    <w:p w:rsidR="006854BC" w:rsidRPr="00CB21B0" w:rsidRDefault="006854BC" w:rsidP="006854BC">
      <w:pPr>
        <w:pStyle w:val="paragraph"/>
      </w:pPr>
      <w:r w:rsidRPr="00CB21B0">
        <w:tab/>
        <w:t>(a)</w:t>
      </w:r>
      <w:r w:rsidRPr="00CB21B0">
        <w:tab/>
        <w:t>for an application made under section</w:t>
      </w:r>
      <w:r w:rsidR="00CB21B0" w:rsidRPr="00CB21B0">
        <w:t> </w:t>
      </w:r>
      <w:r w:rsidRPr="00CB21B0">
        <w:t>10 of the old Code:</w:t>
      </w:r>
    </w:p>
    <w:p w:rsidR="00446891" w:rsidRPr="00CB21B0" w:rsidRDefault="006854BC" w:rsidP="006854BC">
      <w:pPr>
        <w:pStyle w:val="paragraphsub"/>
      </w:pPr>
      <w:r w:rsidRPr="00CB21B0">
        <w:tab/>
        <w:t>(i)</w:t>
      </w:r>
      <w:r w:rsidRPr="00CB21B0">
        <w:tab/>
      </w:r>
      <w:r w:rsidR="004452C5" w:rsidRPr="00CB21B0">
        <w:t>complete a preliminary assessment of the application under section</w:t>
      </w:r>
      <w:r w:rsidR="00CB21B0" w:rsidRPr="00CB21B0">
        <w:t> </w:t>
      </w:r>
      <w:r w:rsidR="004452C5" w:rsidRPr="00CB21B0">
        <w:t>11 of the new Code</w:t>
      </w:r>
      <w:r w:rsidRPr="00CB21B0">
        <w:t xml:space="preserve"> within </w:t>
      </w:r>
      <w:r w:rsidR="00F66C3E" w:rsidRPr="00CB21B0">
        <w:t>1</w:t>
      </w:r>
      <w:r w:rsidRPr="00CB21B0">
        <w:t xml:space="preserve"> month of the </w:t>
      </w:r>
      <w:r w:rsidR="00446891" w:rsidRPr="00CB21B0">
        <w:t>earlier of the following dates:</w:t>
      </w:r>
    </w:p>
    <w:p w:rsidR="00446891" w:rsidRPr="00CB21B0" w:rsidRDefault="00446891" w:rsidP="00446891">
      <w:pPr>
        <w:pStyle w:val="paragraphsub-sub"/>
      </w:pPr>
      <w:r w:rsidRPr="00CB21B0">
        <w:tab/>
        <w:t>(A)</w:t>
      </w:r>
      <w:r w:rsidRPr="00CB21B0">
        <w:tab/>
        <w:t xml:space="preserve">the </w:t>
      </w:r>
      <w:r w:rsidR="00B76F70" w:rsidRPr="00CB21B0">
        <w:t xml:space="preserve">day the </w:t>
      </w:r>
      <w:r w:rsidRPr="00CB21B0">
        <w:t xml:space="preserve">applicant </w:t>
      </w:r>
      <w:r w:rsidR="00B76F70" w:rsidRPr="00CB21B0">
        <w:t xml:space="preserve">has </w:t>
      </w:r>
      <w:r w:rsidRPr="00CB21B0">
        <w:t>rectif</w:t>
      </w:r>
      <w:r w:rsidR="00B76F70" w:rsidRPr="00CB21B0">
        <w:t xml:space="preserve">ied all of </w:t>
      </w:r>
      <w:r w:rsidRPr="00CB21B0">
        <w:t>the defects;</w:t>
      </w:r>
    </w:p>
    <w:p w:rsidR="00EF63FD" w:rsidRPr="00CB21B0" w:rsidRDefault="00446891" w:rsidP="00446891">
      <w:pPr>
        <w:pStyle w:val="paragraphsub-sub"/>
      </w:pPr>
      <w:r w:rsidRPr="00CB21B0">
        <w:tab/>
        <w:t>(B)</w:t>
      </w:r>
      <w:r w:rsidRPr="00CB21B0">
        <w:tab/>
        <w:t xml:space="preserve">the </w:t>
      </w:r>
      <w:r w:rsidR="00B76F70" w:rsidRPr="00CB21B0">
        <w:t xml:space="preserve">last day of </w:t>
      </w:r>
      <w:r w:rsidR="006854BC" w:rsidRPr="00CB21B0">
        <w:t>the rectification period</w:t>
      </w:r>
      <w:r w:rsidR="00EF63FD" w:rsidRPr="00CB21B0">
        <w:t>; and</w:t>
      </w:r>
    </w:p>
    <w:p w:rsidR="006854BC" w:rsidRPr="00CB21B0" w:rsidRDefault="006854BC" w:rsidP="006854BC">
      <w:pPr>
        <w:pStyle w:val="paragraphsub"/>
      </w:pPr>
      <w:r w:rsidRPr="00CB21B0">
        <w:tab/>
        <w:t>(ii)</w:t>
      </w:r>
      <w:r w:rsidRPr="00CB21B0">
        <w:tab/>
        <w:t>comply with the requirements of subsection</w:t>
      </w:r>
      <w:r w:rsidR="00CB21B0" w:rsidRPr="00CB21B0">
        <w:t> </w:t>
      </w:r>
      <w:r w:rsidRPr="00CB21B0">
        <w:t>11(2) and (3) of the new Code; and</w:t>
      </w:r>
    </w:p>
    <w:p w:rsidR="006854BC" w:rsidRPr="00CB21B0" w:rsidRDefault="00EF63FD" w:rsidP="006854BC">
      <w:pPr>
        <w:pStyle w:val="paragraph"/>
      </w:pPr>
      <w:r w:rsidRPr="00CB21B0">
        <w:tab/>
        <w:t>(b)</w:t>
      </w:r>
      <w:r w:rsidRPr="00CB21B0">
        <w:tab/>
        <w:t xml:space="preserve">for an application </w:t>
      </w:r>
      <w:r w:rsidR="00262C7E" w:rsidRPr="00CB21B0">
        <w:t xml:space="preserve">made </w:t>
      </w:r>
      <w:r w:rsidRPr="00CB21B0">
        <w:t>under section</w:t>
      </w:r>
      <w:r w:rsidR="00CB21B0" w:rsidRPr="00CB21B0">
        <w:t> </w:t>
      </w:r>
      <w:r w:rsidRPr="00CB21B0">
        <w:t>27 of the old Code</w:t>
      </w:r>
      <w:r w:rsidR="006854BC" w:rsidRPr="00CB21B0">
        <w:t>:</w:t>
      </w:r>
    </w:p>
    <w:p w:rsidR="00446891" w:rsidRPr="00CB21B0" w:rsidRDefault="006854BC" w:rsidP="00446891">
      <w:pPr>
        <w:pStyle w:val="paragraphsub"/>
      </w:pPr>
      <w:r w:rsidRPr="00CB21B0">
        <w:tab/>
        <w:t>(i)</w:t>
      </w:r>
      <w:r w:rsidRPr="00CB21B0">
        <w:tab/>
        <w:t>complete a preliminary assessment of the application under section</w:t>
      </w:r>
      <w:r w:rsidR="00CB21B0" w:rsidRPr="00CB21B0">
        <w:t> </w:t>
      </w:r>
      <w:r w:rsidRPr="00CB21B0">
        <w:t xml:space="preserve">28 of the new Code within </w:t>
      </w:r>
      <w:r w:rsidR="00F66C3E" w:rsidRPr="00CB21B0">
        <w:t>1</w:t>
      </w:r>
      <w:r w:rsidRPr="00CB21B0">
        <w:t xml:space="preserve"> month of </w:t>
      </w:r>
      <w:r w:rsidR="00446891" w:rsidRPr="00CB21B0">
        <w:t>the earlier of the following dates:</w:t>
      </w:r>
    </w:p>
    <w:p w:rsidR="00446891" w:rsidRPr="00CB21B0" w:rsidRDefault="00446891" w:rsidP="00446891">
      <w:pPr>
        <w:pStyle w:val="paragraphsub-sub"/>
      </w:pPr>
      <w:r w:rsidRPr="00CB21B0">
        <w:tab/>
        <w:t>(A)</w:t>
      </w:r>
      <w:r w:rsidRPr="00CB21B0">
        <w:tab/>
        <w:t xml:space="preserve">the </w:t>
      </w:r>
      <w:r w:rsidR="00B76F70" w:rsidRPr="00CB21B0">
        <w:t xml:space="preserve">day the </w:t>
      </w:r>
      <w:r w:rsidRPr="00CB21B0">
        <w:t xml:space="preserve">applicant </w:t>
      </w:r>
      <w:r w:rsidR="00B76F70" w:rsidRPr="00CB21B0">
        <w:t xml:space="preserve">has </w:t>
      </w:r>
      <w:r w:rsidRPr="00CB21B0">
        <w:t>rectif</w:t>
      </w:r>
      <w:r w:rsidR="00B76F70" w:rsidRPr="00CB21B0">
        <w:t>ied all of</w:t>
      </w:r>
      <w:r w:rsidRPr="00CB21B0">
        <w:t xml:space="preserve"> the defects;</w:t>
      </w:r>
    </w:p>
    <w:p w:rsidR="00446891" w:rsidRPr="00CB21B0" w:rsidRDefault="00446891" w:rsidP="00446891">
      <w:pPr>
        <w:pStyle w:val="paragraphsub-sub"/>
      </w:pPr>
      <w:r w:rsidRPr="00CB21B0">
        <w:tab/>
        <w:t>(B)</w:t>
      </w:r>
      <w:r w:rsidRPr="00CB21B0">
        <w:tab/>
        <w:t xml:space="preserve">the </w:t>
      </w:r>
      <w:r w:rsidR="00B76F70" w:rsidRPr="00CB21B0">
        <w:t xml:space="preserve">last day of </w:t>
      </w:r>
      <w:r w:rsidR="00E9489F" w:rsidRPr="00CB21B0">
        <w:t xml:space="preserve">the </w:t>
      </w:r>
      <w:r w:rsidRPr="00CB21B0">
        <w:t>rectification period; and</w:t>
      </w:r>
    </w:p>
    <w:p w:rsidR="006854BC" w:rsidRPr="00CB21B0" w:rsidRDefault="006854BC" w:rsidP="006854BC">
      <w:pPr>
        <w:pStyle w:val="paragraphsub"/>
      </w:pPr>
      <w:r w:rsidRPr="00CB21B0">
        <w:tab/>
        <w:t>(ii)</w:t>
      </w:r>
      <w:r w:rsidRPr="00CB21B0">
        <w:tab/>
        <w:t>comply with the requirements of subsection</w:t>
      </w:r>
      <w:r w:rsidR="00CB21B0" w:rsidRPr="00CB21B0">
        <w:t> </w:t>
      </w:r>
      <w:r w:rsidR="000909F5" w:rsidRPr="00CB21B0">
        <w:t>28</w:t>
      </w:r>
      <w:r w:rsidRPr="00CB21B0">
        <w:t>(2) and (3) of the new Code.</w:t>
      </w:r>
    </w:p>
    <w:p w:rsidR="002F6A52" w:rsidRPr="00CB21B0" w:rsidRDefault="002F6A52" w:rsidP="000909F5">
      <w:pPr>
        <w:pStyle w:val="ActHead5"/>
      </w:pPr>
      <w:bookmarkStart w:id="115" w:name="_Toc361055111"/>
      <w:r w:rsidRPr="00CB21B0">
        <w:rPr>
          <w:rStyle w:val="CharSectno"/>
        </w:rPr>
        <w:t>8</w:t>
      </w:r>
      <w:r w:rsidR="005E342A" w:rsidRPr="00CB21B0">
        <w:rPr>
          <w:rStyle w:val="CharSectno"/>
        </w:rPr>
        <w:t>4</w:t>
      </w:r>
      <w:r w:rsidRPr="00CB21B0">
        <w:t xml:space="preserve">  Assessment periods for old Code applications</w:t>
      </w:r>
      <w:bookmarkEnd w:id="115"/>
    </w:p>
    <w:p w:rsidR="002F6A52" w:rsidRPr="00CB21B0" w:rsidRDefault="002F6A52" w:rsidP="00A074C7">
      <w:pPr>
        <w:pStyle w:val="subsection"/>
        <w:rPr>
          <w:position w:val="-24"/>
        </w:rPr>
      </w:pPr>
      <w:r w:rsidRPr="00CB21B0">
        <w:tab/>
        <w:t>(1)</w:t>
      </w:r>
      <w:r w:rsidRPr="00CB21B0">
        <w:tab/>
      </w:r>
      <w:r w:rsidR="007074A4" w:rsidRPr="00CB21B0">
        <w:t>For sub</w:t>
      </w:r>
      <w:r w:rsidR="009D5A5E" w:rsidRPr="00CB21B0">
        <w:t>item</w:t>
      </w:r>
      <w:r w:rsidR="00CB21B0" w:rsidRPr="00CB21B0">
        <w:t> </w:t>
      </w:r>
      <w:r w:rsidR="009D5A5E" w:rsidRPr="00CB21B0">
        <w:t>58(1) of Schedule</w:t>
      </w:r>
      <w:r w:rsidR="00CB21B0" w:rsidRPr="00CB21B0">
        <w:t> </w:t>
      </w:r>
      <w:r w:rsidR="009D5A5E" w:rsidRPr="00CB21B0">
        <w:t>6 to the Amendment Act</w:t>
      </w:r>
      <w:r w:rsidR="007074A4" w:rsidRPr="00CB21B0">
        <w:t>, t</w:t>
      </w:r>
      <w:r w:rsidR="00212392" w:rsidRPr="00CB21B0">
        <w:t xml:space="preserve">he </w:t>
      </w:r>
      <w:r w:rsidR="004F32B8" w:rsidRPr="00CB21B0">
        <w:t xml:space="preserve">remaining </w:t>
      </w:r>
      <w:r w:rsidR="007074A4" w:rsidRPr="00CB21B0">
        <w:t>period</w:t>
      </w:r>
      <w:r w:rsidR="004F32B8" w:rsidRPr="00CB21B0">
        <w:t>, after 30</w:t>
      </w:r>
      <w:r w:rsidR="00CB21B0" w:rsidRPr="00CB21B0">
        <w:t> </w:t>
      </w:r>
      <w:r w:rsidR="004F32B8" w:rsidRPr="00CB21B0">
        <w:t xml:space="preserve">June 2015, </w:t>
      </w:r>
      <w:r w:rsidR="00D27113" w:rsidRPr="00CB21B0">
        <w:t>within</w:t>
      </w:r>
      <w:r w:rsidR="004F32B8" w:rsidRPr="00CB21B0">
        <w:t xml:space="preserve"> which the </w:t>
      </w:r>
      <w:r w:rsidR="00212392" w:rsidRPr="00CB21B0">
        <w:t xml:space="preserve">APVMA must determine </w:t>
      </w:r>
      <w:r w:rsidR="005C0BF6" w:rsidRPr="00CB21B0">
        <w:t xml:space="preserve">an old Code application </w:t>
      </w:r>
      <w:r w:rsidR="00BE56C5" w:rsidRPr="00CB21B0">
        <w:t>(the</w:t>
      </w:r>
      <w:r w:rsidR="00BE56C5" w:rsidRPr="00CB21B0">
        <w:rPr>
          <w:b/>
          <w:i/>
        </w:rPr>
        <w:t xml:space="preserve"> remaining period</w:t>
      </w:r>
      <w:r w:rsidR="00BE56C5" w:rsidRPr="00CB21B0">
        <w:t xml:space="preserve">) </w:t>
      </w:r>
      <w:r w:rsidR="007074A4" w:rsidRPr="00CB21B0">
        <w:t xml:space="preserve">is to be </w:t>
      </w:r>
      <w:r w:rsidR="00212392" w:rsidRPr="00CB21B0">
        <w:t xml:space="preserve">worked out in accordance </w:t>
      </w:r>
      <w:r w:rsidRPr="00CB21B0">
        <w:t>with the following formula:</w:t>
      </w:r>
    </w:p>
    <w:bookmarkStart w:id="116" w:name="BKCheck15B_5"/>
    <w:bookmarkEnd w:id="116"/>
    <w:p w:rsidR="003E6251" w:rsidRPr="00CB21B0" w:rsidRDefault="003E6251" w:rsidP="00D61EFF">
      <w:pPr>
        <w:pStyle w:val="subsection2"/>
      </w:pPr>
      <w:r w:rsidRPr="00CB21B0">
        <w:object w:dxaOrig="1980" w:dyaOrig="580">
          <v:shape id="_x0000_i1027" type="#_x0000_t75" style="width:99pt;height:27.75pt" o:ole="">
            <v:imagedata r:id="rId25" o:title=""/>
          </v:shape>
          <o:OLEObject Type="Embed" ProgID="Equation.DSMT4" ShapeID="_x0000_i1027" DrawAspect="Content" ObjectID="_1436088657" r:id="rId26"/>
        </w:object>
      </w:r>
    </w:p>
    <w:p w:rsidR="00212392" w:rsidRPr="00CB21B0" w:rsidRDefault="00D5576B" w:rsidP="003E6251">
      <w:pPr>
        <w:pStyle w:val="subsection2"/>
      </w:pPr>
      <w:r w:rsidRPr="00CB21B0">
        <w:t>w</w:t>
      </w:r>
      <w:r w:rsidR="002F6A52" w:rsidRPr="00CB21B0">
        <w:t>here:</w:t>
      </w:r>
    </w:p>
    <w:p w:rsidR="007F1219" w:rsidRPr="00CB21B0" w:rsidRDefault="007074A4" w:rsidP="007F1219">
      <w:pPr>
        <w:pStyle w:val="Definition"/>
      </w:pPr>
      <w:r w:rsidRPr="00CB21B0">
        <w:rPr>
          <w:b/>
          <w:i/>
        </w:rPr>
        <w:t xml:space="preserve">O </w:t>
      </w:r>
      <w:r w:rsidRPr="00CB21B0">
        <w:t xml:space="preserve">means the number of days </w:t>
      </w:r>
      <w:r w:rsidR="00A5772D" w:rsidRPr="00CB21B0">
        <w:t xml:space="preserve">in the period </w:t>
      </w:r>
      <w:r w:rsidR="00F511CF" w:rsidRPr="00CB21B0">
        <w:t>starting</w:t>
      </w:r>
      <w:r w:rsidRPr="00CB21B0">
        <w:t xml:space="preserve"> on the day the assessment period for the application commenced under regulation</w:t>
      </w:r>
      <w:r w:rsidR="00CB21B0" w:rsidRPr="00CB21B0">
        <w:t> </w:t>
      </w:r>
      <w:r w:rsidR="00352B36" w:rsidRPr="00CB21B0">
        <w:t xml:space="preserve">78 </w:t>
      </w:r>
      <w:r w:rsidR="00F511CF" w:rsidRPr="00CB21B0">
        <w:t xml:space="preserve">or 78A </w:t>
      </w:r>
      <w:r w:rsidR="00352B36" w:rsidRPr="00CB21B0">
        <w:t>of</w:t>
      </w:r>
      <w:r w:rsidRPr="00CB21B0">
        <w:t xml:space="preserve"> </w:t>
      </w:r>
      <w:r w:rsidR="00A5772D" w:rsidRPr="00CB21B0">
        <w:t>the old Code</w:t>
      </w:r>
      <w:r w:rsidR="00352B36" w:rsidRPr="00CB21B0">
        <w:t xml:space="preserve"> (the </w:t>
      </w:r>
      <w:r w:rsidR="00F511CF" w:rsidRPr="00CB21B0">
        <w:rPr>
          <w:b/>
          <w:i/>
        </w:rPr>
        <w:t>commencement</w:t>
      </w:r>
      <w:r w:rsidR="00352B36" w:rsidRPr="00CB21B0">
        <w:rPr>
          <w:b/>
          <w:i/>
        </w:rPr>
        <w:t xml:space="preserve"> date</w:t>
      </w:r>
      <w:r w:rsidR="00352B36" w:rsidRPr="00CB21B0">
        <w:t>),</w:t>
      </w:r>
      <w:r w:rsidR="00A5772D" w:rsidRPr="00CB21B0">
        <w:t xml:space="preserve"> and ending on 30</w:t>
      </w:r>
      <w:r w:rsidR="00CB21B0" w:rsidRPr="00CB21B0">
        <w:t> </w:t>
      </w:r>
      <w:r w:rsidR="00A5772D" w:rsidRPr="00CB21B0">
        <w:t>June 2015</w:t>
      </w:r>
      <w:r w:rsidRPr="00CB21B0">
        <w:t>.</w:t>
      </w:r>
    </w:p>
    <w:p w:rsidR="00A70635" w:rsidRPr="00CB21B0" w:rsidRDefault="00A70635" w:rsidP="00A70635">
      <w:pPr>
        <w:pStyle w:val="Definition"/>
      </w:pPr>
      <w:r w:rsidRPr="00CB21B0">
        <w:rPr>
          <w:b/>
          <w:i/>
        </w:rPr>
        <w:t>P</w:t>
      </w:r>
      <w:r w:rsidRPr="00CB21B0">
        <w:t xml:space="preserve"> means the number of months within which the APVMA would have been required to determine the application, under subregulation</w:t>
      </w:r>
      <w:r w:rsidR="00CB21B0" w:rsidRPr="00CB21B0">
        <w:t> </w:t>
      </w:r>
      <w:r w:rsidRPr="00CB21B0">
        <w:t>76(1)</w:t>
      </w:r>
      <w:r w:rsidR="00F511CF" w:rsidRPr="00CB21B0">
        <w:t xml:space="preserve"> or (1A)</w:t>
      </w:r>
      <w:r w:rsidRPr="00CB21B0">
        <w:t xml:space="preserve">, </w:t>
      </w:r>
      <w:r w:rsidR="00044F02" w:rsidRPr="00CB21B0">
        <w:t>i</w:t>
      </w:r>
      <w:r w:rsidRPr="00CB21B0">
        <w:t>f the application had been made on or after 1</w:t>
      </w:r>
      <w:r w:rsidR="00CB21B0" w:rsidRPr="00CB21B0">
        <w:t> </w:t>
      </w:r>
      <w:r w:rsidRPr="00CB21B0">
        <w:t>July 2014.</w:t>
      </w:r>
    </w:p>
    <w:p w:rsidR="00F511CF" w:rsidRPr="00CB21B0" w:rsidRDefault="002F6A52" w:rsidP="00BE56C5">
      <w:pPr>
        <w:pStyle w:val="Definition"/>
      </w:pPr>
      <w:r w:rsidRPr="00CB21B0">
        <w:rPr>
          <w:b/>
          <w:i/>
        </w:rPr>
        <w:t>R</w:t>
      </w:r>
      <w:r w:rsidRPr="00CB21B0">
        <w:t xml:space="preserve"> means the number of days in the period </w:t>
      </w:r>
      <w:r w:rsidR="00F511CF" w:rsidRPr="00CB21B0">
        <w:t>starting</w:t>
      </w:r>
      <w:r w:rsidRPr="00CB21B0">
        <w:t xml:space="preserve"> on the </w:t>
      </w:r>
      <w:r w:rsidR="00F511CF" w:rsidRPr="00CB21B0">
        <w:t>commencement</w:t>
      </w:r>
      <w:r w:rsidR="00352B36" w:rsidRPr="00CB21B0">
        <w:t xml:space="preserve"> date</w:t>
      </w:r>
      <w:r w:rsidRPr="00CB21B0">
        <w:t xml:space="preserve"> and </w:t>
      </w:r>
      <w:r w:rsidR="00212392" w:rsidRPr="00CB21B0">
        <w:t>ending on 30</w:t>
      </w:r>
      <w:r w:rsidR="00CB21B0" w:rsidRPr="00CB21B0">
        <w:t> </w:t>
      </w:r>
      <w:r w:rsidR="00212392" w:rsidRPr="00CB21B0">
        <w:t>June 201</w:t>
      </w:r>
      <w:r w:rsidR="00BE56C5" w:rsidRPr="00CB21B0">
        <w:t>5</w:t>
      </w:r>
      <w:r w:rsidR="00212392" w:rsidRPr="00CB21B0">
        <w:t xml:space="preserve"> </w:t>
      </w:r>
      <w:r w:rsidR="00352B36" w:rsidRPr="00CB21B0">
        <w:t>to which no regard was to be had</w:t>
      </w:r>
      <w:r w:rsidR="003E1397" w:rsidRPr="00CB21B0">
        <w:t xml:space="preserve">, under </w:t>
      </w:r>
      <w:r w:rsidR="00934B6E" w:rsidRPr="00CB21B0">
        <w:t>paragraph</w:t>
      </w:r>
      <w:r w:rsidR="00CB21B0" w:rsidRPr="00CB21B0">
        <w:t> </w:t>
      </w:r>
      <w:r w:rsidR="003E1397" w:rsidRPr="00CB21B0">
        <w:t>165(2)</w:t>
      </w:r>
      <w:r w:rsidR="00934B6E" w:rsidRPr="00CB21B0">
        <w:t>(a)</w:t>
      </w:r>
      <w:r w:rsidR="003E1397" w:rsidRPr="00CB21B0">
        <w:t xml:space="preserve"> of the old Code,</w:t>
      </w:r>
      <w:r w:rsidR="00352B36" w:rsidRPr="00CB21B0">
        <w:t xml:space="preserve"> in working out the period within which the application was to be determined</w:t>
      </w:r>
      <w:r w:rsidR="003E1397" w:rsidRPr="00CB21B0">
        <w:t xml:space="preserve"> under the old Code.</w:t>
      </w:r>
    </w:p>
    <w:p w:rsidR="00BE56C5" w:rsidRPr="00CB21B0" w:rsidRDefault="00BE56C5" w:rsidP="00BE56C5">
      <w:pPr>
        <w:pStyle w:val="subsection"/>
      </w:pPr>
      <w:r w:rsidRPr="00CB21B0">
        <w:tab/>
        <w:t>(2)</w:t>
      </w:r>
      <w:r w:rsidRPr="00CB21B0">
        <w:tab/>
        <w:t>If the remaining period worked out under subregulation (1) for an application is zero or less than zero, no remaining period applies to the application.</w:t>
      </w:r>
    </w:p>
    <w:p w:rsidR="004F32B8" w:rsidRPr="00CB21B0" w:rsidRDefault="004F32B8" w:rsidP="00934B6E">
      <w:pPr>
        <w:pStyle w:val="subsection"/>
      </w:pPr>
      <w:r w:rsidRPr="00CB21B0">
        <w:tab/>
        <w:t>(</w:t>
      </w:r>
      <w:r w:rsidR="00BE56C5" w:rsidRPr="00CB21B0">
        <w:t>3</w:t>
      </w:r>
      <w:r w:rsidRPr="00CB21B0">
        <w:t>)</w:t>
      </w:r>
      <w:r w:rsidRPr="00CB21B0">
        <w:tab/>
        <w:t xml:space="preserve">The remaining period </w:t>
      </w:r>
      <w:r w:rsidR="00BE56C5" w:rsidRPr="00CB21B0">
        <w:t xml:space="preserve">(if any) </w:t>
      </w:r>
      <w:r w:rsidRPr="00CB21B0">
        <w:t>within which the APV</w:t>
      </w:r>
      <w:r w:rsidR="00613C97" w:rsidRPr="00CB21B0">
        <w:t>M</w:t>
      </w:r>
      <w:r w:rsidRPr="00CB21B0">
        <w:t>A must determine the application, worked out in accordance with subregulation (1), commences on 1</w:t>
      </w:r>
      <w:r w:rsidR="00CB21B0" w:rsidRPr="00CB21B0">
        <w:t> </w:t>
      </w:r>
      <w:r w:rsidRPr="00CB21B0">
        <w:t>July 2015.</w:t>
      </w:r>
    </w:p>
    <w:p w:rsidR="000D14E3" w:rsidRPr="00CB21B0" w:rsidRDefault="004F32B8" w:rsidP="00934B6E">
      <w:pPr>
        <w:pStyle w:val="subsection"/>
      </w:pPr>
      <w:r w:rsidRPr="00CB21B0">
        <w:tab/>
      </w:r>
      <w:r w:rsidR="00934B6E" w:rsidRPr="00CB21B0">
        <w:t>(</w:t>
      </w:r>
      <w:r w:rsidR="00BE56C5" w:rsidRPr="00CB21B0">
        <w:t>4</w:t>
      </w:r>
      <w:r w:rsidR="00934B6E" w:rsidRPr="00CB21B0">
        <w:t>)</w:t>
      </w:r>
      <w:r w:rsidR="00934B6E" w:rsidRPr="00CB21B0">
        <w:tab/>
        <w:t>However, if</w:t>
      </w:r>
      <w:r w:rsidR="000D14E3" w:rsidRPr="00CB21B0">
        <w:t>:</w:t>
      </w:r>
    </w:p>
    <w:p w:rsidR="000D14E3" w:rsidRPr="00CB21B0" w:rsidRDefault="000D14E3" w:rsidP="000D14E3">
      <w:pPr>
        <w:pStyle w:val="paragraph"/>
      </w:pPr>
      <w:r w:rsidRPr="00CB21B0">
        <w:tab/>
        <w:t>(a)</w:t>
      </w:r>
      <w:r w:rsidRPr="00CB21B0">
        <w:tab/>
      </w:r>
      <w:r w:rsidR="00934B6E" w:rsidRPr="00CB21B0">
        <w:t>the APVMA issue</w:t>
      </w:r>
      <w:r w:rsidR="00D27113" w:rsidRPr="00CB21B0">
        <w:t>s</w:t>
      </w:r>
      <w:r w:rsidR="00934B6E" w:rsidRPr="00CB21B0">
        <w:t xml:space="preserve"> a notice</w:t>
      </w:r>
      <w:r w:rsidR="001D6FB1" w:rsidRPr="00CB21B0">
        <w:t xml:space="preserve"> under </w:t>
      </w:r>
      <w:r w:rsidR="00683B97" w:rsidRPr="00CB21B0">
        <w:t>subsection</w:t>
      </w:r>
      <w:r w:rsidR="00CB21B0" w:rsidRPr="00CB21B0">
        <w:t> </w:t>
      </w:r>
      <w:r w:rsidR="001D6FB1" w:rsidRPr="00CB21B0">
        <w:t>159(1)</w:t>
      </w:r>
      <w:r w:rsidR="00683B97" w:rsidRPr="00CB21B0">
        <w:t xml:space="preserve"> of the old Code</w:t>
      </w:r>
      <w:r w:rsidR="001D6FB1" w:rsidRPr="00CB21B0">
        <w:t xml:space="preserve"> </w:t>
      </w:r>
      <w:r w:rsidR="00AE2B81" w:rsidRPr="00CB21B0">
        <w:t>before 1</w:t>
      </w:r>
      <w:r w:rsidR="00CB21B0" w:rsidRPr="00CB21B0">
        <w:t> </w:t>
      </w:r>
      <w:r w:rsidR="00AE2B81" w:rsidRPr="00CB21B0">
        <w:t xml:space="preserve">July 2015 </w:t>
      </w:r>
      <w:r w:rsidRPr="00CB21B0">
        <w:t>requiring the applicant to comply with a requirement; and</w:t>
      </w:r>
    </w:p>
    <w:p w:rsidR="000D14E3" w:rsidRPr="00CB21B0" w:rsidRDefault="000D14E3" w:rsidP="000D14E3">
      <w:pPr>
        <w:pStyle w:val="paragraph"/>
      </w:pPr>
      <w:r w:rsidRPr="00CB21B0">
        <w:tab/>
        <w:t>(b)</w:t>
      </w:r>
      <w:r w:rsidRPr="00CB21B0">
        <w:tab/>
        <w:t>the applicant ha</w:t>
      </w:r>
      <w:r w:rsidR="00D27113" w:rsidRPr="00CB21B0">
        <w:t>s</w:t>
      </w:r>
      <w:r w:rsidRPr="00CB21B0">
        <w:t xml:space="preserve"> not, before 1</w:t>
      </w:r>
      <w:r w:rsidR="00CB21B0" w:rsidRPr="00CB21B0">
        <w:t> </w:t>
      </w:r>
      <w:r w:rsidRPr="00CB21B0">
        <w:t>July 2015, complied with the notice; and</w:t>
      </w:r>
    </w:p>
    <w:p w:rsidR="000D14E3" w:rsidRPr="00CB21B0" w:rsidRDefault="000D14E3" w:rsidP="000D14E3">
      <w:pPr>
        <w:pStyle w:val="paragraph"/>
      </w:pPr>
      <w:r w:rsidRPr="00CB21B0">
        <w:tab/>
        <w:t>(c)</w:t>
      </w:r>
      <w:r w:rsidRPr="00CB21B0">
        <w:tab/>
        <w:t xml:space="preserve">the </w:t>
      </w:r>
      <w:r w:rsidR="00AE2B81" w:rsidRPr="00CB21B0">
        <w:t xml:space="preserve">time </w:t>
      </w:r>
      <w:r w:rsidRPr="00CB21B0">
        <w:t xml:space="preserve">specified in the notice </w:t>
      </w:r>
      <w:r w:rsidR="00AE2B81" w:rsidRPr="00CB21B0">
        <w:t>for complying with the notice</w:t>
      </w:r>
      <w:r w:rsidR="007F1219" w:rsidRPr="00CB21B0">
        <w:t>, or extended by the APVMA under subsection</w:t>
      </w:r>
      <w:r w:rsidR="00CB21B0" w:rsidRPr="00CB21B0">
        <w:t> </w:t>
      </w:r>
      <w:r w:rsidR="007F1219" w:rsidRPr="00CB21B0">
        <w:t>159(1)</w:t>
      </w:r>
      <w:r w:rsidR="00AE2B81" w:rsidRPr="00CB21B0">
        <w:t xml:space="preserve"> </w:t>
      </w:r>
      <w:r w:rsidRPr="00CB21B0">
        <w:t xml:space="preserve">(the </w:t>
      </w:r>
      <w:r w:rsidRPr="00CB21B0">
        <w:rPr>
          <w:b/>
          <w:i/>
        </w:rPr>
        <w:t>compliance date</w:t>
      </w:r>
      <w:r w:rsidRPr="00CB21B0">
        <w:t xml:space="preserve">) </w:t>
      </w:r>
      <w:r w:rsidR="00AE2B81" w:rsidRPr="00CB21B0">
        <w:t>ends on or after 1</w:t>
      </w:r>
      <w:r w:rsidR="00CB21B0" w:rsidRPr="00CB21B0">
        <w:t> </w:t>
      </w:r>
      <w:r w:rsidR="00AE2B81" w:rsidRPr="00CB21B0">
        <w:t>July 2015</w:t>
      </w:r>
      <w:r w:rsidRPr="00CB21B0">
        <w:t>;</w:t>
      </w:r>
    </w:p>
    <w:p w:rsidR="00AE2B81" w:rsidRPr="00CB21B0" w:rsidRDefault="00AE2B81" w:rsidP="000D14E3">
      <w:pPr>
        <w:pStyle w:val="subsection2"/>
      </w:pPr>
      <w:r w:rsidRPr="00CB21B0">
        <w:t xml:space="preserve">the </w:t>
      </w:r>
      <w:r w:rsidR="004F32B8" w:rsidRPr="00CB21B0">
        <w:t xml:space="preserve">remaining </w:t>
      </w:r>
      <w:r w:rsidRPr="00CB21B0">
        <w:t>period</w:t>
      </w:r>
      <w:r w:rsidR="004F32B8" w:rsidRPr="00CB21B0">
        <w:t xml:space="preserve"> </w:t>
      </w:r>
      <w:r w:rsidRPr="00CB21B0">
        <w:t>does not</w:t>
      </w:r>
      <w:r w:rsidR="00F72F1A" w:rsidRPr="00CB21B0">
        <w:t xml:space="preserve"> commence</w:t>
      </w:r>
      <w:r w:rsidRPr="00CB21B0">
        <w:t xml:space="preserve"> until the earliest of the following</w:t>
      </w:r>
      <w:r w:rsidR="000D14E3" w:rsidRPr="00CB21B0">
        <w:t xml:space="preserve"> dates</w:t>
      </w:r>
      <w:r w:rsidRPr="00CB21B0">
        <w:t>:</w:t>
      </w:r>
    </w:p>
    <w:p w:rsidR="00AE2B81" w:rsidRPr="00CB21B0" w:rsidRDefault="00AE2B81" w:rsidP="00AE2B81">
      <w:pPr>
        <w:pStyle w:val="paragraph"/>
      </w:pPr>
      <w:r w:rsidRPr="00CB21B0">
        <w:tab/>
        <w:t>(</w:t>
      </w:r>
      <w:r w:rsidR="00E9489F" w:rsidRPr="00CB21B0">
        <w:t>d</w:t>
      </w:r>
      <w:r w:rsidRPr="00CB21B0">
        <w:t>)</w:t>
      </w:r>
      <w:r w:rsidRPr="00CB21B0">
        <w:tab/>
        <w:t>the day the applicant complies with the notice;</w:t>
      </w:r>
    </w:p>
    <w:p w:rsidR="003E1397" w:rsidRPr="00CB21B0" w:rsidRDefault="00AE2B81" w:rsidP="00AE2B81">
      <w:pPr>
        <w:pStyle w:val="paragraph"/>
      </w:pPr>
      <w:r w:rsidRPr="00CB21B0">
        <w:lastRenderedPageBreak/>
        <w:tab/>
        <w:t>(</w:t>
      </w:r>
      <w:r w:rsidR="00E9489F" w:rsidRPr="00CB21B0">
        <w:t>e</w:t>
      </w:r>
      <w:r w:rsidRPr="00CB21B0">
        <w:t>)</w:t>
      </w:r>
      <w:r w:rsidRPr="00CB21B0">
        <w:tab/>
        <w:t xml:space="preserve">the </w:t>
      </w:r>
      <w:r w:rsidR="000D14E3" w:rsidRPr="00CB21B0">
        <w:t xml:space="preserve">compliance </w:t>
      </w:r>
      <w:r w:rsidRPr="00CB21B0">
        <w:t>date.</w:t>
      </w:r>
    </w:p>
    <w:p w:rsidR="003E1397" w:rsidRPr="00CB21B0" w:rsidRDefault="003E1397" w:rsidP="003E1397">
      <w:pPr>
        <w:pStyle w:val="subsection"/>
      </w:pPr>
      <w:r w:rsidRPr="00CB21B0">
        <w:tab/>
        <w:t>(</w:t>
      </w:r>
      <w:r w:rsidR="00BE56C5" w:rsidRPr="00CB21B0">
        <w:t>5</w:t>
      </w:r>
      <w:r w:rsidRPr="00CB21B0">
        <w:t>)</w:t>
      </w:r>
      <w:r w:rsidRPr="00CB21B0">
        <w:tab/>
        <w:t>This regulation has effect despite regulations</w:t>
      </w:r>
      <w:r w:rsidR="00CB21B0" w:rsidRPr="00CB21B0">
        <w:t> </w:t>
      </w:r>
      <w:r w:rsidRPr="00CB21B0">
        <w:t>76, 76A</w:t>
      </w:r>
      <w:r w:rsidR="00F511CF" w:rsidRPr="00CB21B0">
        <w:t>,</w:t>
      </w:r>
      <w:r w:rsidR="00BE56C5" w:rsidRPr="00CB21B0">
        <w:t xml:space="preserve"> 76B</w:t>
      </w:r>
      <w:r w:rsidRPr="00CB21B0">
        <w:t xml:space="preserve"> and 78.</w:t>
      </w:r>
    </w:p>
    <w:p w:rsidR="000909F5" w:rsidRPr="00CB21B0" w:rsidRDefault="000909F5" w:rsidP="000909F5">
      <w:pPr>
        <w:pStyle w:val="ActHead5"/>
      </w:pPr>
      <w:bookmarkStart w:id="117" w:name="_Toc361055112"/>
      <w:r w:rsidRPr="00CB21B0">
        <w:rPr>
          <w:rStyle w:val="CharSectno"/>
        </w:rPr>
        <w:t>8</w:t>
      </w:r>
      <w:r w:rsidR="005E342A" w:rsidRPr="00CB21B0">
        <w:rPr>
          <w:rStyle w:val="CharSectno"/>
        </w:rPr>
        <w:t>5</w:t>
      </w:r>
      <w:r w:rsidRPr="00CB21B0">
        <w:t xml:space="preserve">  </w:t>
      </w:r>
      <w:r w:rsidR="000E348C" w:rsidRPr="00CB21B0">
        <w:t>R</w:t>
      </w:r>
      <w:r w:rsidRPr="00CB21B0">
        <w:t>econsiderations commenced under old Code</w:t>
      </w:r>
      <w:bookmarkEnd w:id="117"/>
    </w:p>
    <w:p w:rsidR="00756F23" w:rsidRPr="00CB21B0" w:rsidRDefault="00756F23" w:rsidP="000909F5">
      <w:pPr>
        <w:pStyle w:val="subsection"/>
      </w:pPr>
      <w:r w:rsidRPr="00CB21B0">
        <w:tab/>
        <w:t>(1)</w:t>
      </w:r>
      <w:r w:rsidRPr="00CB21B0">
        <w:tab/>
        <w:t>This regulation applies to a reconsideration begun under Division</w:t>
      </w:r>
      <w:r w:rsidR="00CB21B0" w:rsidRPr="00CB21B0">
        <w:t> </w:t>
      </w:r>
      <w:r w:rsidRPr="00CB21B0">
        <w:t>4 of Part</w:t>
      </w:r>
      <w:r w:rsidR="00CB21B0" w:rsidRPr="00CB21B0">
        <w:t> </w:t>
      </w:r>
      <w:r w:rsidRPr="00CB21B0">
        <w:t>2 of the old Code before 1</w:t>
      </w:r>
      <w:r w:rsidR="00CB21B0" w:rsidRPr="00CB21B0">
        <w:t> </w:t>
      </w:r>
      <w:r w:rsidRPr="00CB21B0">
        <w:t>July 2014</w:t>
      </w:r>
      <w:r w:rsidR="0070000F" w:rsidRPr="00CB21B0">
        <w:t>,</w:t>
      </w:r>
      <w:r w:rsidRPr="00CB21B0">
        <w:t xml:space="preserve"> but not </w:t>
      </w:r>
      <w:r w:rsidR="0070000F" w:rsidRPr="00CB21B0">
        <w:t>concluded</w:t>
      </w:r>
      <w:r w:rsidRPr="00CB21B0">
        <w:t xml:space="preserve"> by </w:t>
      </w:r>
      <w:r w:rsidR="0070000F" w:rsidRPr="00CB21B0">
        <w:t>1</w:t>
      </w:r>
      <w:r w:rsidR="00CB21B0" w:rsidRPr="00CB21B0">
        <w:t> </w:t>
      </w:r>
      <w:r w:rsidR="0070000F" w:rsidRPr="00CB21B0">
        <w:t>July 2015</w:t>
      </w:r>
      <w:r w:rsidRPr="00CB21B0">
        <w:t>.</w:t>
      </w:r>
    </w:p>
    <w:p w:rsidR="000E348C" w:rsidRPr="00CB21B0" w:rsidRDefault="000E348C" w:rsidP="000909F5">
      <w:pPr>
        <w:pStyle w:val="subsection"/>
      </w:pPr>
      <w:r w:rsidRPr="00CB21B0">
        <w:tab/>
        <w:t>(2)</w:t>
      </w:r>
      <w:r w:rsidRPr="00CB21B0">
        <w:tab/>
        <w:t>Section</w:t>
      </w:r>
      <w:r w:rsidR="00CB21B0" w:rsidRPr="00CB21B0">
        <w:t> </w:t>
      </w:r>
      <w:r w:rsidRPr="00CB21B0">
        <w:t>31 of the new Code applies to the reconsideration as if the reference in subsection</w:t>
      </w:r>
      <w:r w:rsidR="00CB21B0" w:rsidRPr="00CB21B0">
        <w:t> </w:t>
      </w:r>
      <w:r w:rsidRPr="00CB21B0">
        <w:t>31(</w:t>
      </w:r>
      <w:r w:rsidR="00F66C3E" w:rsidRPr="00CB21B0">
        <w:t>2</w:t>
      </w:r>
      <w:r w:rsidRPr="00CB21B0">
        <w:t>) to “commencing the reconsideration” were a reference to “1</w:t>
      </w:r>
      <w:r w:rsidR="00CB21B0" w:rsidRPr="00CB21B0">
        <w:t> </w:t>
      </w:r>
      <w:r w:rsidRPr="00CB21B0">
        <w:t>July 2015”.</w:t>
      </w:r>
    </w:p>
    <w:p w:rsidR="000E348C" w:rsidRPr="00CB21B0" w:rsidRDefault="000E348C" w:rsidP="000E348C">
      <w:pPr>
        <w:pStyle w:val="notetext"/>
      </w:pPr>
      <w:r w:rsidRPr="00CB21B0">
        <w:t>Note:</w:t>
      </w:r>
      <w:r w:rsidRPr="00CB21B0">
        <w:tab/>
        <w:t>Section</w:t>
      </w:r>
      <w:r w:rsidR="00CB21B0" w:rsidRPr="00CB21B0">
        <w:t> </w:t>
      </w:r>
      <w:r w:rsidRPr="00CB21B0">
        <w:t>31 of the new Code requires the APVMA to prepare and maintain a work plan for each reconsideration.</w:t>
      </w:r>
    </w:p>
    <w:p w:rsidR="00972082" w:rsidRPr="00CB21B0" w:rsidRDefault="00756F23" w:rsidP="00972082">
      <w:pPr>
        <w:pStyle w:val="subsection"/>
      </w:pPr>
      <w:r w:rsidRPr="00CB21B0">
        <w:t xml:space="preserve"> </w:t>
      </w:r>
      <w:r w:rsidRPr="00CB21B0">
        <w:tab/>
      </w:r>
      <w:r w:rsidR="00972082" w:rsidRPr="00CB21B0">
        <w:t>(</w:t>
      </w:r>
      <w:r w:rsidR="000E348C" w:rsidRPr="00CB21B0">
        <w:t>3</w:t>
      </w:r>
      <w:r w:rsidR="00972082" w:rsidRPr="00CB21B0">
        <w:t>)</w:t>
      </w:r>
      <w:r w:rsidR="00972082" w:rsidRPr="00CB21B0">
        <w:tab/>
      </w:r>
      <w:r w:rsidR="000E348C" w:rsidRPr="00CB21B0">
        <w:t>For subsection</w:t>
      </w:r>
      <w:r w:rsidR="00CB21B0" w:rsidRPr="00CB21B0">
        <w:t> </w:t>
      </w:r>
      <w:r w:rsidR="000E348C" w:rsidRPr="00CB21B0">
        <w:t>165A(1)</w:t>
      </w:r>
      <w:r w:rsidR="0064005D" w:rsidRPr="00CB21B0">
        <w:t xml:space="preserve"> of the Code</w:t>
      </w:r>
      <w:r w:rsidR="000E348C" w:rsidRPr="00CB21B0">
        <w:t>, t</w:t>
      </w:r>
      <w:r w:rsidR="00972082" w:rsidRPr="00CB21B0">
        <w:t>he remaining period, after 30</w:t>
      </w:r>
      <w:r w:rsidR="00CB21B0" w:rsidRPr="00CB21B0">
        <w:t> </w:t>
      </w:r>
      <w:r w:rsidR="00972082" w:rsidRPr="00CB21B0">
        <w:t xml:space="preserve">June 2015, </w:t>
      </w:r>
      <w:r w:rsidR="00D27113" w:rsidRPr="00CB21B0">
        <w:t>with</w:t>
      </w:r>
      <w:r w:rsidR="00972082" w:rsidRPr="00CB21B0">
        <w:t>in which the APVMA must c</w:t>
      </w:r>
      <w:r w:rsidR="001F4451" w:rsidRPr="00CB21B0">
        <w:t xml:space="preserve">onclude the </w:t>
      </w:r>
      <w:r w:rsidR="00972082" w:rsidRPr="00CB21B0">
        <w:t xml:space="preserve">reconsideration (the </w:t>
      </w:r>
      <w:r w:rsidR="00972082" w:rsidRPr="00CB21B0">
        <w:rPr>
          <w:b/>
          <w:i/>
        </w:rPr>
        <w:t>reconsideration assessment period</w:t>
      </w:r>
      <w:r w:rsidR="00972082" w:rsidRPr="00CB21B0">
        <w:t xml:space="preserve">) is to be worked out in accordance with the </w:t>
      </w:r>
      <w:r w:rsidR="00D5576B" w:rsidRPr="00CB21B0">
        <w:t>f</w:t>
      </w:r>
      <w:r w:rsidR="00972082" w:rsidRPr="00CB21B0">
        <w:t>ormula:</w:t>
      </w:r>
    </w:p>
    <w:bookmarkStart w:id="118" w:name="BKCheck15B_7"/>
    <w:bookmarkStart w:id="119" w:name="BKCheck15B_6"/>
    <w:bookmarkEnd w:id="118"/>
    <w:bookmarkEnd w:id="119"/>
    <w:p w:rsidR="003E6251" w:rsidRPr="00CB21B0" w:rsidRDefault="003E6251" w:rsidP="00D61EFF">
      <w:pPr>
        <w:pStyle w:val="subsection2"/>
      </w:pPr>
      <w:r w:rsidRPr="00CB21B0">
        <w:object w:dxaOrig="3080" w:dyaOrig="440">
          <v:shape id="_x0000_i1028" type="#_x0000_t75" style="width:153.75pt;height:21.75pt" o:ole="">
            <v:imagedata r:id="rId27" o:title=""/>
          </v:shape>
          <o:OLEObject Type="Embed" ProgID="Equation.DSMT4" ShapeID="_x0000_i1028" DrawAspect="Content" ObjectID="_1436088658" r:id="rId28"/>
        </w:object>
      </w:r>
    </w:p>
    <w:p w:rsidR="00972082" w:rsidRPr="00CB21B0" w:rsidRDefault="00D5576B" w:rsidP="00D27113">
      <w:pPr>
        <w:pStyle w:val="subsection2"/>
      </w:pPr>
      <w:r w:rsidRPr="00CB21B0">
        <w:t>w</w:t>
      </w:r>
      <w:r w:rsidR="00972082" w:rsidRPr="00CB21B0">
        <w:t>here:</w:t>
      </w:r>
    </w:p>
    <w:p w:rsidR="00972082" w:rsidRPr="00CB21B0" w:rsidRDefault="00972082" w:rsidP="00972082">
      <w:pPr>
        <w:pStyle w:val="Definition"/>
      </w:pPr>
      <w:r w:rsidRPr="00CB21B0">
        <w:rPr>
          <w:b/>
          <w:i/>
        </w:rPr>
        <w:t>A</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3.1, 3.2, 3.3, 4.1, 7.1, 7.2, and 7.3 in Schedule</w:t>
      </w:r>
      <w:r w:rsidR="00CB21B0" w:rsidRPr="00CB21B0">
        <w:t> </w:t>
      </w:r>
      <w:r w:rsidRPr="00CB21B0">
        <w:t>7 that the APVMA determines are necessary after 1</w:t>
      </w:r>
      <w:r w:rsidR="00CB21B0" w:rsidRPr="00CB21B0">
        <w:t> </w:t>
      </w:r>
      <w:r w:rsidRPr="00CB21B0">
        <w:t>July 2015 for the reconsideration.</w:t>
      </w:r>
    </w:p>
    <w:p w:rsidR="00972082" w:rsidRPr="00CB21B0" w:rsidRDefault="00972082" w:rsidP="00972082">
      <w:pPr>
        <w:pStyle w:val="notetext"/>
      </w:pPr>
      <w:r w:rsidRPr="00CB21B0">
        <w:t>Example:</w:t>
      </w:r>
      <w:r w:rsidRPr="00CB21B0">
        <w:tab/>
        <w:t>If the APVMA determines that items</w:t>
      </w:r>
      <w:r w:rsidR="00CB21B0" w:rsidRPr="00CB21B0">
        <w:t> </w:t>
      </w:r>
      <w:r w:rsidRPr="00CB21B0">
        <w:t>3.1, 4.</w:t>
      </w:r>
      <w:r w:rsidR="00623FCB" w:rsidRPr="00CB21B0">
        <w:t>1</w:t>
      </w:r>
      <w:r w:rsidRPr="00CB21B0">
        <w:t xml:space="preserve"> and 7.3 are necessary after 1</w:t>
      </w:r>
      <w:r w:rsidR="00CB21B0" w:rsidRPr="00CB21B0">
        <w:t> </w:t>
      </w:r>
      <w:r w:rsidRPr="00CB21B0">
        <w:t xml:space="preserve">July 2015 for the reconsideration, </w:t>
      </w:r>
      <w:r w:rsidRPr="00CB21B0">
        <w:rPr>
          <w:b/>
          <w:i/>
        </w:rPr>
        <w:t>A</w:t>
      </w:r>
      <w:r w:rsidRPr="00CB21B0">
        <w:t xml:space="preserve"> is the longest of the periods in column </w:t>
      </w:r>
      <w:r w:rsidR="002418F4" w:rsidRPr="00CB21B0">
        <w:t>2</w:t>
      </w:r>
      <w:r w:rsidRPr="00CB21B0">
        <w:t xml:space="preserve"> for those items, which is 12 months (the period for item</w:t>
      </w:r>
      <w:r w:rsidR="00CB21B0" w:rsidRPr="00CB21B0">
        <w:t> </w:t>
      </w:r>
      <w:r w:rsidRPr="00CB21B0">
        <w:t>3.1).</w:t>
      </w:r>
    </w:p>
    <w:p w:rsidR="00972082" w:rsidRPr="00CB21B0" w:rsidRDefault="00972082" w:rsidP="00972082">
      <w:pPr>
        <w:pStyle w:val="Definition"/>
      </w:pPr>
      <w:r w:rsidRPr="00CB21B0">
        <w:rPr>
          <w:b/>
          <w:i/>
        </w:rPr>
        <w:t xml:space="preserve">B </w:t>
      </w:r>
      <w:r w:rsidRPr="00CB21B0">
        <w:t xml:space="preserve">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2.1 to 2.3, 5.1, 5.2, 5.4, 6.1 to 6.3, 9, and 10.1 to 10.3 of Schedule</w:t>
      </w:r>
      <w:r w:rsidR="00CB21B0" w:rsidRPr="00CB21B0">
        <w:t> </w:t>
      </w:r>
      <w:r w:rsidRPr="00CB21B0">
        <w:t>7 that the APVMA determines are necessary after 1</w:t>
      </w:r>
      <w:r w:rsidR="00CB21B0" w:rsidRPr="00CB21B0">
        <w:t> </w:t>
      </w:r>
      <w:r w:rsidRPr="00CB21B0">
        <w:t>July 2015 for the reconsideration.</w:t>
      </w:r>
    </w:p>
    <w:p w:rsidR="00972082" w:rsidRPr="00CB21B0" w:rsidRDefault="00972082" w:rsidP="00972082">
      <w:pPr>
        <w:pStyle w:val="Definition"/>
      </w:pPr>
      <w:r w:rsidRPr="00CB21B0">
        <w:rPr>
          <w:b/>
          <w:i/>
        </w:rPr>
        <w:t>C</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11.1, 11.2 or 11.</w:t>
      </w:r>
      <w:r w:rsidR="00945DDB" w:rsidRPr="00CB21B0">
        <w:t>3</w:t>
      </w:r>
      <w:r w:rsidRPr="00CB21B0">
        <w:t xml:space="preserve"> of Schedule</w:t>
      </w:r>
      <w:r w:rsidR="00CB21B0" w:rsidRPr="00CB21B0">
        <w:t> </w:t>
      </w:r>
      <w:r w:rsidRPr="00CB21B0">
        <w:t>7 that the APVMA determines are necessary after 1</w:t>
      </w:r>
      <w:r w:rsidR="00CB21B0" w:rsidRPr="00CB21B0">
        <w:t> </w:t>
      </w:r>
      <w:r w:rsidRPr="00CB21B0">
        <w:t>July 2015 for the reconsideration.</w:t>
      </w:r>
    </w:p>
    <w:p w:rsidR="00972082" w:rsidRPr="00CB21B0" w:rsidRDefault="00972082" w:rsidP="00972082">
      <w:pPr>
        <w:pStyle w:val="Definition"/>
      </w:pPr>
      <w:r w:rsidRPr="00CB21B0">
        <w:rPr>
          <w:b/>
          <w:i/>
        </w:rPr>
        <w:lastRenderedPageBreak/>
        <w:t>D</w:t>
      </w:r>
      <w:r w:rsidRPr="00CB21B0">
        <w:t xml:space="preserve"> means 4 months.</w:t>
      </w:r>
    </w:p>
    <w:p w:rsidR="00972082" w:rsidRPr="00CB21B0" w:rsidRDefault="00972082" w:rsidP="00972082">
      <w:pPr>
        <w:pStyle w:val="Definition"/>
      </w:pPr>
      <w:r w:rsidRPr="00CB21B0">
        <w:rPr>
          <w:b/>
          <w:i/>
        </w:rPr>
        <w:t>E</w:t>
      </w:r>
      <w:r w:rsidRPr="00CB21B0">
        <w:t xml:space="preserve"> means the longest of the periods, in months, mentioned in column </w:t>
      </w:r>
      <w:r w:rsidR="002418F4" w:rsidRPr="00CB21B0">
        <w:t>2</w:t>
      </w:r>
      <w:r w:rsidRPr="00CB21B0">
        <w:t xml:space="preserve"> of Schedule</w:t>
      </w:r>
      <w:r w:rsidR="00CB21B0" w:rsidRPr="00CB21B0">
        <w:t> </w:t>
      </w:r>
      <w:r w:rsidRPr="00CB21B0">
        <w:t>7 for whichever of items</w:t>
      </w:r>
      <w:r w:rsidR="00CB21B0" w:rsidRPr="00CB21B0">
        <w:t> </w:t>
      </w:r>
      <w:r w:rsidRPr="00CB21B0">
        <w:t>8.1, 8.2 or 8.3 of Schedule</w:t>
      </w:r>
      <w:r w:rsidR="00CB21B0" w:rsidRPr="00CB21B0">
        <w:t> </w:t>
      </w:r>
      <w:r w:rsidRPr="00CB21B0">
        <w:t>7 that the APVMA determines are necessary after 1</w:t>
      </w:r>
      <w:r w:rsidR="00CB21B0" w:rsidRPr="00CB21B0">
        <w:t> </w:t>
      </w:r>
      <w:r w:rsidRPr="00CB21B0">
        <w:t xml:space="preserve">July 2015 for the </w:t>
      </w:r>
      <w:r w:rsidR="002F4EAB" w:rsidRPr="00CB21B0">
        <w:t>re</w:t>
      </w:r>
      <w:r w:rsidRPr="00CB21B0">
        <w:t>consideration.</w:t>
      </w:r>
    </w:p>
    <w:p w:rsidR="00972082" w:rsidRPr="00CB21B0" w:rsidRDefault="00972082" w:rsidP="00972082">
      <w:pPr>
        <w:pStyle w:val="Definition"/>
      </w:pPr>
      <w:r w:rsidRPr="00CB21B0">
        <w:rPr>
          <w:b/>
          <w:i/>
        </w:rPr>
        <w:t>J</w:t>
      </w:r>
      <w:r w:rsidRPr="00CB21B0">
        <w:t xml:space="preserve"> means:</w:t>
      </w:r>
    </w:p>
    <w:p w:rsidR="00972082" w:rsidRPr="00CB21B0" w:rsidRDefault="00972082" w:rsidP="00972082">
      <w:pPr>
        <w:pStyle w:val="paragraph"/>
      </w:pPr>
      <w:r w:rsidRPr="00CB21B0">
        <w:tab/>
        <w:t>(a)</w:t>
      </w:r>
      <w:r w:rsidRPr="00CB21B0">
        <w:tab/>
        <w:t>if the APVMA must, after 1</w:t>
      </w:r>
      <w:r w:rsidR="00CB21B0" w:rsidRPr="00CB21B0">
        <w:t> </w:t>
      </w:r>
      <w:r w:rsidRPr="00CB21B0">
        <w:t>July 2015, consult each coordinator designated for a jurisdiction about the reconsideration in accordance with subsection</w:t>
      </w:r>
      <w:r w:rsidR="00CB21B0" w:rsidRPr="00CB21B0">
        <w:t> </w:t>
      </w:r>
      <w:r w:rsidRPr="00CB21B0">
        <w:t>34A(3) of the Code—3 months; and</w:t>
      </w:r>
    </w:p>
    <w:p w:rsidR="003E6251" w:rsidRPr="00CB21B0" w:rsidRDefault="00972082" w:rsidP="003E6251">
      <w:pPr>
        <w:pStyle w:val="paragraph"/>
      </w:pPr>
      <w:r w:rsidRPr="00CB21B0">
        <w:tab/>
        <w:t>(b)</w:t>
      </w:r>
      <w:r w:rsidRPr="00CB21B0">
        <w:tab/>
        <w:t xml:space="preserve"> in any other case—nil.</w:t>
      </w:r>
    </w:p>
    <w:p w:rsidR="00972082" w:rsidRPr="00CB21B0" w:rsidRDefault="00972082" w:rsidP="003E6251">
      <w:pPr>
        <w:pStyle w:val="Definition"/>
      </w:pPr>
      <w:r w:rsidRPr="00CB21B0">
        <w:rPr>
          <w:b/>
          <w:i/>
        </w:rPr>
        <w:t xml:space="preserve">X </w:t>
      </w:r>
      <w:r w:rsidRPr="00CB21B0">
        <w:t>means:</w:t>
      </w:r>
    </w:p>
    <w:p w:rsidR="00972082" w:rsidRPr="00CB21B0" w:rsidRDefault="00972082" w:rsidP="00972082">
      <w:pPr>
        <w:pStyle w:val="paragraph"/>
      </w:pPr>
      <w:r w:rsidRPr="00CB21B0">
        <w:tab/>
        <w:t>(a)</w:t>
      </w:r>
      <w:r w:rsidRPr="00CB21B0">
        <w:tab/>
        <w:t>if the APVMA appoints an arbitrator under section</w:t>
      </w:r>
      <w:r w:rsidR="00CB21B0" w:rsidRPr="00CB21B0">
        <w:t> </w:t>
      </w:r>
      <w:r w:rsidRPr="00CB21B0">
        <w:t>64 of the Code after 1</w:t>
      </w:r>
      <w:r w:rsidR="00CB21B0" w:rsidRPr="00CB21B0">
        <w:t> </w:t>
      </w:r>
      <w:r w:rsidRPr="00CB21B0">
        <w:t>July 2015—3 months; and</w:t>
      </w:r>
    </w:p>
    <w:p w:rsidR="00972082" w:rsidRPr="00CB21B0" w:rsidRDefault="00972082" w:rsidP="00972082">
      <w:pPr>
        <w:pStyle w:val="paragraph"/>
      </w:pPr>
      <w:r w:rsidRPr="00CB21B0">
        <w:tab/>
        <w:t>(b)</w:t>
      </w:r>
      <w:r w:rsidRPr="00CB21B0">
        <w:tab/>
        <w:t xml:space="preserve"> in any other case—nil.</w:t>
      </w:r>
    </w:p>
    <w:p w:rsidR="00683B97" w:rsidRPr="00CB21B0" w:rsidRDefault="00683B97" w:rsidP="00683B97">
      <w:pPr>
        <w:pStyle w:val="subsection"/>
      </w:pPr>
      <w:r w:rsidRPr="00CB21B0">
        <w:tab/>
        <w:t>(</w:t>
      </w:r>
      <w:r w:rsidR="00A62053" w:rsidRPr="00CB21B0">
        <w:t>4</w:t>
      </w:r>
      <w:r w:rsidRPr="00CB21B0">
        <w:t>)</w:t>
      </w:r>
      <w:r w:rsidRPr="00CB21B0">
        <w:tab/>
        <w:t>The remaining period within which the APVMA must conclude the reconsideration, worked out in accordance with subregulation (</w:t>
      </w:r>
      <w:r w:rsidR="00A62053" w:rsidRPr="00CB21B0">
        <w:t>3</w:t>
      </w:r>
      <w:r w:rsidRPr="00CB21B0">
        <w:t>), commences on 1</w:t>
      </w:r>
      <w:r w:rsidR="00CB21B0" w:rsidRPr="00CB21B0">
        <w:t> </w:t>
      </w:r>
      <w:r w:rsidRPr="00CB21B0">
        <w:t>July 2015.</w:t>
      </w:r>
    </w:p>
    <w:p w:rsidR="00683B97" w:rsidRPr="00CB21B0" w:rsidRDefault="00683B97" w:rsidP="00683B97">
      <w:pPr>
        <w:pStyle w:val="subsection"/>
      </w:pPr>
      <w:r w:rsidRPr="00CB21B0">
        <w:tab/>
        <w:t>(</w:t>
      </w:r>
      <w:r w:rsidR="00A62053" w:rsidRPr="00CB21B0">
        <w:t>5</w:t>
      </w:r>
      <w:r w:rsidRPr="00CB21B0">
        <w:t>)</w:t>
      </w:r>
      <w:r w:rsidRPr="00CB21B0">
        <w:tab/>
        <w:t>However, if:</w:t>
      </w:r>
    </w:p>
    <w:p w:rsidR="00683B97" w:rsidRPr="00CB21B0" w:rsidRDefault="00683B97" w:rsidP="00683B97">
      <w:pPr>
        <w:pStyle w:val="paragraph"/>
      </w:pPr>
      <w:r w:rsidRPr="00CB21B0">
        <w:tab/>
        <w:t>(a)</w:t>
      </w:r>
      <w:r w:rsidRPr="00CB21B0">
        <w:tab/>
        <w:t>the APVMA issue</w:t>
      </w:r>
      <w:r w:rsidR="00102078" w:rsidRPr="00CB21B0">
        <w:t>s</w:t>
      </w:r>
      <w:r w:rsidRPr="00CB21B0">
        <w:t xml:space="preserve"> a notice </w:t>
      </w:r>
      <w:r w:rsidR="00AE25B4" w:rsidRPr="00CB21B0">
        <w:t xml:space="preserve">in relation to the reconsideration </w:t>
      </w:r>
      <w:r w:rsidRPr="00CB21B0">
        <w:t xml:space="preserve">under </w:t>
      </w:r>
      <w:r w:rsidR="00B12896" w:rsidRPr="00CB21B0">
        <w:t>sub</w:t>
      </w:r>
      <w:r w:rsidRPr="00CB21B0">
        <w:t>section</w:t>
      </w:r>
      <w:r w:rsidR="00CB21B0" w:rsidRPr="00CB21B0">
        <w:t> </w:t>
      </w:r>
      <w:r w:rsidRPr="00CB21B0">
        <w:t>33</w:t>
      </w:r>
      <w:r w:rsidR="00B12896" w:rsidRPr="00CB21B0">
        <w:t>(1)</w:t>
      </w:r>
      <w:r w:rsidRPr="00CB21B0">
        <w:t xml:space="preserve"> or </w:t>
      </w:r>
      <w:r w:rsidR="00102078" w:rsidRPr="00CB21B0">
        <w:t>1</w:t>
      </w:r>
      <w:r w:rsidRPr="00CB21B0">
        <w:t>59(1) of the old Code before 1</w:t>
      </w:r>
      <w:r w:rsidR="00CB21B0" w:rsidRPr="00CB21B0">
        <w:t> </w:t>
      </w:r>
      <w:r w:rsidRPr="00CB21B0">
        <w:t>July 2015; and</w:t>
      </w:r>
    </w:p>
    <w:p w:rsidR="00683B97" w:rsidRPr="00CB21B0" w:rsidRDefault="00683B97" w:rsidP="00683B97">
      <w:pPr>
        <w:pStyle w:val="paragraph"/>
      </w:pPr>
      <w:r w:rsidRPr="00CB21B0">
        <w:tab/>
        <w:t>(b)</w:t>
      </w:r>
      <w:r w:rsidRPr="00CB21B0">
        <w:tab/>
        <w:t xml:space="preserve">the </w:t>
      </w:r>
      <w:r w:rsidR="00B12896" w:rsidRPr="00CB21B0">
        <w:t>holder of the</w:t>
      </w:r>
      <w:r w:rsidR="00AE25B4" w:rsidRPr="00CB21B0">
        <w:t xml:space="preserve"> approval or registration under reconsideration</w:t>
      </w:r>
      <w:r w:rsidR="00B12896" w:rsidRPr="00CB21B0">
        <w:t xml:space="preserve"> </w:t>
      </w:r>
      <w:r w:rsidRPr="00CB21B0">
        <w:t>ha</w:t>
      </w:r>
      <w:r w:rsidR="00102078" w:rsidRPr="00CB21B0">
        <w:t>s</w:t>
      </w:r>
      <w:r w:rsidRPr="00CB21B0">
        <w:t xml:space="preserve"> not, before 1</w:t>
      </w:r>
      <w:r w:rsidR="00CB21B0" w:rsidRPr="00CB21B0">
        <w:t> </w:t>
      </w:r>
      <w:r w:rsidRPr="00CB21B0">
        <w:t>July 2015, complied with the notice; and</w:t>
      </w:r>
    </w:p>
    <w:p w:rsidR="00683B97" w:rsidRPr="00CB21B0" w:rsidRDefault="00683B97" w:rsidP="00683B97">
      <w:pPr>
        <w:pStyle w:val="paragraph"/>
      </w:pPr>
      <w:r w:rsidRPr="00CB21B0">
        <w:tab/>
        <w:t>(c)</w:t>
      </w:r>
      <w:r w:rsidRPr="00CB21B0">
        <w:tab/>
        <w:t xml:space="preserve">the time specified in the notice for complying with the notice (the </w:t>
      </w:r>
      <w:r w:rsidRPr="00CB21B0">
        <w:rPr>
          <w:b/>
          <w:i/>
        </w:rPr>
        <w:t>compliance date</w:t>
      </w:r>
      <w:r w:rsidRPr="00CB21B0">
        <w:t>) ends on or after 1</w:t>
      </w:r>
      <w:r w:rsidR="00CB21B0" w:rsidRPr="00CB21B0">
        <w:t> </w:t>
      </w:r>
      <w:r w:rsidRPr="00CB21B0">
        <w:t>July 2015;</w:t>
      </w:r>
    </w:p>
    <w:p w:rsidR="00683B97" w:rsidRPr="00CB21B0" w:rsidRDefault="00683B97" w:rsidP="00683B97">
      <w:pPr>
        <w:pStyle w:val="subsection2"/>
      </w:pPr>
      <w:r w:rsidRPr="00CB21B0">
        <w:t>the remaining period does not start until the earliest of the following dates:</w:t>
      </w:r>
    </w:p>
    <w:p w:rsidR="00683B97" w:rsidRPr="00CB21B0" w:rsidRDefault="00683B97" w:rsidP="00683B97">
      <w:pPr>
        <w:pStyle w:val="paragraph"/>
      </w:pPr>
      <w:r w:rsidRPr="00CB21B0">
        <w:tab/>
        <w:t>(a)</w:t>
      </w:r>
      <w:r w:rsidRPr="00CB21B0">
        <w:tab/>
        <w:t>the day the</w:t>
      </w:r>
      <w:r w:rsidR="00B12896" w:rsidRPr="00CB21B0">
        <w:t xml:space="preserve"> holder</w:t>
      </w:r>
      <w:r w:rsidRPr="00CB21B0">
        <w:t xml:space="preserve"> complies with the notice;</w:t>
      </w:r>
    </w:p>
    <w:p w:rsidR="00683B97" w:rsidRPr="00CB21B0" w:rsidRDefault="00683B97" w:rsidP="00683B97">
      <w:pPr>
        <w:pStyle w:val="paragraph"/>
      </w:pPr>
      <w:r w:rsidRPr="00CB21B0">
        <w:tab/>
        <w:t>(b)</w:t>
      </w:r>
      <w:r w:rsidRPr="00CB21B0">
        <w:tab/>
        <w:t>the compliance date.</w:t>
      </w:r>
    </w:p>
    <w:p w:rsidR="00972082" w:rsidRPr="00CB21B0" w:rsidRDefault="00972082" w:rsidP="000909F5">
      <w:pPr>
        <w:pStyle w:val="subsection"/>
      </w:pPr>
      <w:r w:rsidRPr="00CB21B0">
        <w:tab/>
        <w:t>(</w:t>
      </w:r>
      <w:r w:rsidR="00A62053" w:rsidRPr="00CB21B0">
        <w:t>6</w:t>
      </w:r>
      <w:r w:rsidRPr="00CB21B0">
        <w:t>)</w:t>
      </w:r>
      <w:r w:rsidRPr="00CB21B0">
        <w:tab/>
      </w:r>
      <w:r w:rsidR="000E348C" w:rsidRPr="00CB21B0">
        <w:t>Subregulations</w:t>
      </w:r>
      <w:r w:rsidRPr="00CB21B0">
        <w:t xml:space="preserve"> </w:t>
      </w:r>
      <w:r w:rsidR="000E348C" w:rsidRPr="00CB21B0">
        <w:t>(3) to (</w:t>
      </w:r>
      <w:r w:rsidR="00A62053" w:rsidRPr="00CB21B0">
        <w:t>5</w:t>
      </w:r>
      <w:r w:rsidR="000E348C" w:rsidRPr="00CB21B0">
        <w:t>) have</w:t>
      </w:r>
      <w:r w:rsidRPr="00CB21B0">
        <w:t xml:space="preserve"> effect despite regulation</w:t>
      </w:r>
      <w:r w:rsidR="00CB21B0" w:rsidRPr="00CB21B0">
        <w:t> </w:t>
      </w:r>
      <w:r w:rsidRPr="00CB21B0">
        <w:t>78</w:t>
      </w:r>
      <w:r w:rsidR="00A62053" w:rsidRPr="00CB21B0">
        <w:t>B</w:t>
      </w:r>
      <w:r w:rsidRPr="00CB21B0">
        <w:t>.</w:t>
      </w:r>
    </w:p>
    <w:p w:rsidR="007920DF" w:rsidRPr="00CB21B0" w:rsidRDefault="00220E6F" w:rsidP="006854BC">
      <w:pPr>
        <w:pStyle w:val="ItemHead"/>
      </w:pPr>
      <w:r w:rsidRPr="00CB21B0">
        <w:rPr>
          <w:noProof/>
        </w:rPr>
        <w:lastRenderedPageBreak/>
        <w:t>162</w:t>
      </w:r>
      <w:r w:rsidR="007920DF" w:rsidRPr="00CB21B0">
        <w:t xml:space="preserve">  Schedule</w:t>
      </w:r>
      <w:r w:rsidR="00E476FE" w:rsidRPr="00CB21B0">
        <w:t>s</w:t>
      </w:r>
      <w:r w:rsidR="00CB21B0" w:rsidRPr="00CB21B0">
        <w:t> </w:t>
      </w:r>
      <w:r w:rsidR="007920DF" w:rsidRPr="00CB21B0">
        <w:t>2</w:t>
      </w:r>
      <w:r w:rsidR="00E476FE" w:rsidRPr="00CB21B0">
        <w:t xml:space="preserve"> and 3A</w:t>
      </w:r>
    </w:p>
    <w:p w:rsidR="007920DF" w:rsidRPr="00CB21B0" w:rsidRDefault="007920DF" w:rsidP="007920DF">
      <w:pPr>
        <w:pStyle w:val="Item"/>
      </w:pPr>
      <w:r w:rsidRPr="00CB21B0">
        <w:t>Repeal the Schedule</w:t>
      </w:r>
      <w:r w:rsidR="00E476FE" w:rsidRPr="00CB21B0">
        <w:t>s</w:t>
      </w:r>
      <w:r w:rsidRPr="00CB21B0">
        <w:t>.</w:t>
      </w:r>
    </w:p>
    <w:p w:rsidR="007920DF" w:rsidRPr="00CB21B0" w:rsidRDefault="00220E6F" w:rsidP="007920DF">
      <w:pPr>
        <w:pStyle w:val="ItemHead"/>
        <w:rPr>
          <w:rFonts w:cs="Arial"/>
          <w:noProof/>
        </w:rPr>
      </w:pPr>
      <w:r w:rsidRPr="00CB21B0">
        <w:rPr>
          <w:rFonts w:cs="Arial"/>
          <w:noProof/>
        </w:rPr>
        <w:t>163</w:t>
      </w:r>
      <w:r w:rsidR="007920DF" w:rsidRPr="00CB21B0">
        <w:rPr>
          <w:rFonts w:cs="Arial"/>
          <w:noProof/>
        </w:rPr>
        <w:t xml:space="preserve">  Schedule</w:t>
      </w:r>
      <w:r w:rsidR="00CB21B0" w:rsidRPr="00CB21B0">
        <w:rPr>
          <w:rFonts w:cs="Arial"/>
          <w:noProof/>
        </w:rPr>
        <w:t> </w:t>
      </w:r>
      <w:r w:rsidR="007920DF" w:rsidRPr="00CB21B0">
        <w:rPr>
          <w:rFonts w:cs="Arial"/>
          <w:noProof/>
        </w:rPr>
        <w:t>3B (heading)</w:t>
      </w:r>
    </w:p>
    <w:p w:rsidR="007920DF" w:rsidRPr="00CB21B0" w:rsidRDefault="007920DF" w:rsidP="007920DF">
      <w:pPr>
        <w:pStyle w:val="Item"/>
      </w:pPr>
      <w:r w:rsidRPr="00CB21B0">
        <w:t>Repeal the heading, substitute:</w:t>
      </w:r>
    </w:p>
    <w:p w:rsidR="007920DF" w:rsidRPr="00CB21B0" w:rsidRDefault="007920DF" w:rsidP="007920DF">
      <w:pPr>
        <w:pStyle w:val="ActHead1"/>
      </w:pPr>
      <w:bookmarkStart w:id="120" w:name="_Toc361055113"/>
      <w:r w:rsidRPr="00CB21B0">
        <w:rPr>
          <w:rStyle w:val="CharChapNo"/>
        </w:rPr>
        <w:t>Schedule</w:t>
      </w:r>
      <w:r w:rsidR="00CB21B0" w:rsidRPr="00CB21B0">
        <w:rPr>
          <w:rStyle w:val="CharChapNo"/>
        </w:rPr>
        <w:t> </w:t>
      </w:r>
      <w:r w:rsidRPr="00CB21B0">
        <w:rPr>
          <w:rStyle w:val="CharChapNo"/>
        </w:rPr>
        <w:t>3B</w:t>
      </w:r>
      <w:r w:rsidRPr="00CB21B0">
        <w:t>—</w:t>
      </w:r>
      <w:r w:rsidRPr="00CB21B0">
        <w:rPr>
          <w:rStyle w:val="CharChapText"/>
        </w:rPr>
        <w:t>Listed chemical products</w:t>
      </w:r>
      <w:bookmarkEnd w:id="120"/>
    </w:p>
    <w:p w:rsidR="00F170DF" w:rsidRPr="00CB21B0" w:rsidRDefault="007E4936" w:rsidP="00B60040">
      <w:pPr>
        <w:pStyle w:val="notemargin"/>
      </w:pPr>
      <w:r w:rsidRPr="00CB21B0">
        <w:t>Note:</w:t>
      </w:r>
      <w:r w:rsidRPr="00CB21B0">
        <w:tab/>
        <w:t>See regulation</w:t>
      </w:r>
      <w:r w:rsidR="00CB21B0" w:rsidRPr="00CB21B0">
        <w:t> </w:t>
      </w:r>
      <w:r w:rsidRPr="00CB21B0">
        <w:t>8A</w:t>
      </w:r>
      <w:r w:rsidR="00176B14" w:rsidRPr="00CB21B0">
        <w:t>R</w:t>
      </w:r>
      <w:r w:rsidRPr="00CB21B0">
        <w:t>.</w:t>
      </w:r>
    </w:p>
    <w:p w:rsidR="007920DF" w:rsidRPr="00CB21B0" w:rsidRDefault="00220E6F" w:rsidP="009D5A5E">
      <w:pPr>
        <w:pStyle w:val="ItemHead"/>
      </w:pPr>
      <w:r w:rsidRPr="00CB21B0">
        <w:t>164</w:t>
      </w:r>
      <w:r w:rsidR="007920DF" w:rsidRPr="00CB21B0">
        <w:t xml:space="preserve">  Clause</w:t>
      </w:r>
      <w:r w:rsidR="00CB21B0" w:rsidRPr="00CB21B0">
        <w:t> </w:t>
      </w:r>
      <w:r w:rsidR="007920DF" w:rsidRPr="00CB21B0">
        <w:t>1 of Part</w:t>
      </w:r>
      <w:r w:rsidR="00CB21B0" w:rsidRPr="00CB21B0">
        <w:t> </w:t>
      </w:r>
      <w:r w:rsidR="007920DF" w:rsidRPr="00CB21B0">
        <w:t>1 of Schedule</w:t>
      </w:r>
      <w:r w:rsidR="00CB21B0" w:rsidRPr="00CB21B0">
        <w:t> </w:t>
      </w:r>
      <w:r w:rsidR="007920DF" w:rsidRPr="00CB21B0">
        <w:t>3B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121" w:name="_Toc361055114"/>
      <w:r w:rsidRPr="00CB21B0">
        <w:rPr>
          <w:rStyle w:val="CharSectno"/>
        </w:rPr>
        <w:t>1</w:t>
      </w:r>
      <w:r w:rsidRPr="00CB21B0">
        <w:t xml:space="preserve">  Particulars of listed chemical products</w:t>
      </w:r>
      <w:bookmarkEnd w:id="121"/>
    </w:p>
    <w:p w:rsidR="007920DF" w:rsidRPr="00CB21B0" w:rsidRDefault="00220E6F" w:rsidP="007920DF">
      <w:pPr>
        <w:pStyle w:val="ItemHead"/>
      </w:pPr>
      <w:r w:rsidRPr="00CB21B0">
        <w:t>165</w:t>
      </w:r>
      <w:r w:rsidR="007920DF" w:rsidRPr="00CB21B0">
        <w:t xml:space="preserve">  Clause</w:t>
      </w:r>
      <w:r w:rsidR="00CB21B0" w:rsidRPr="00CB21B0">
        <w:t> </w:t>
      </w:r>
      <w:r w:rsidR="007920DF" w:rsidRPr="00CB21B0">
        <w:t>2 of Part</w:t>
      </w:r>
      <w:r w:rsidR="00CB21B0" w:rsidRPr="00CB21B0">
        <w:t> </w:t>
      </w:r>
      <w:r w:rsidR="007920DF" w:rsidRPr="00CB21B0">
        <w:t>1 of Schedule</w:t>
      </w:r>
      <w:r w:rsidR="00CB21B0" w:rsidRPr="00CB21B0">
        <w:t> </w:t>
      </w:r>
      <w:r w:rsidR="007920DF" w:rsidRPr="00CB21B0">
        <w:t>3B (heading)</w:t>
      </w:r>
    </w:p>
    <w:p w:rsidR="007920DF" w:rsidRPr="00CB21B0" w:rsidRDefault="007920DF" w:rsidP="007920DF">
      <w:pPr>
        <w:pStyle w:val="Item"/>
      </w:pPr>
      <w:r w:rsidRPr="00CB21B0">
        <w:t>Repeal the heading, substitute:</w:t>
      </w:r>
    </w:p>
    <w:p w:rsidR="007920DF" w:rsidRPr="00CB21B0" w:rsidRDefault="007920DF" w:rsidP="007920DF">
      <w:pPr>
        <w:pStyle w:val="ActHead5"/>
      </w:pPr>
      <w:bookmarkStart w:id="122" w:name="_Toc361055115"/>
      <w:r w:rsidRPr="00CB21B0">
        <w:rPr>
          <w:rStyle w:val="CharSectno"/>
        </w:rPr>
        <w:t>2</w:t>
      </w:r>
      <w:r w:rsidRPr="00CB21B0">
        <w:t xml:space="preserve">  Active constituents in listed chemical products</w:t>
      </w:r>
      <w:bookmarkEnd w:id="122"/>
    </w:p>
    <w:p w:rsidR="007920DF" w:rsidRPr="00CB21B0" w:rsidRDefault="00220E6F" w:rsidP="007920DF">
      <w:pPr>
        <w:pStyle w:val="ItemHead"/>
      </w:pPr>
      <w:r w:rsidRPr="00CB21B0">
        <w:t>166</w:t>
      </w:r>
      <w:r w:rsidR="007920DF" w:rsidRPr="00CB21B0">
        <w:t xml:space="preserve">  Part</w:t>
      </w:r>
      <w:r w:rsidR="00CB21B0" w:rsidRPr="00CB21B0">
        <w:t> </w:t>
      </w:r>
      <w:r w:rsidR="007920DF" w:rsidRPr="00CB21B0">
        <w:t>2 of Schedule</w:t>
      </w:r>
      <w:r w:rsidR="00CB21B0" w:rsidRPr="00CB21B0">
        <w:t> </w:t>
      </w:r>
      <w:r w:rsidR="007920DF" w:rsidRPr="00CB21B0">
        <w:t>3B (heading)</w:t>
      </w:r>
    </w:p>
    <w:p w:rsidR="007920DF" w:rsidRPr="00CB21B0" w:rsidRDefault="007920DF" w:rsidP="007920DF">
      <w:pPr>
        <w:pStyle w:val="Item"/>
      </w:pPr>
      <w:r w:rsidRPr="00CB21B0">
        <w:t>Repeal the heading, substitute:</w:t>
      </w:r>
    </w:p>
    <w:p w:rsidR="007920DF" w:rsidRPr="00CB21B0" w:rsidRDefault="007920DF" w:rsidP="007920DF">
      <w:pPr>
        <w:pStyle w:val="ActHead2"/>
      </w:pPr>
      <w:bookmarkStart w:id="123" w:name="_Toc361055116"/>
      <w:r w:rsidRPr="00CB21B0">
        <w:rPr>
          <w:rStyle w:val="CharPartNo"/>
        </w:rPr>
        <w:t>Part</w:t>
      </w:r>
      <w:r w:rsidR="00CB21B0" w:rsidRPr="00CB21B0">
        <w:rPr>
          <w:rStyle w:val="CharPartNo"/>
        </w:rPr>
        <w:t> </w:t>
      </w:r>
      <w:r w:rsidRPr="00CB21B0">
        <w:rPr>
          <w:rStyle w:val="CharPartNo"/>
        </w:rPr>
        <w:t>2</w:t>
      </w:r>
      <w:r w:rsidRPr="00CB21B0">
        <w:t>—</w:t>
      </w:r>
      <w:r w:rsidRPr="00CB21B0">
        <w:rPr>
          <w:rStyle w:val="CharPartText"/>
        </w:rPr>
        <w:t>Listed chemical products</w:t>
      </w:r>
      <w:bookmarkEnd w:id="123"/>
    </w:p>
    <w:p w:rsidR="003609BB" w:rsidRPr="00CB21B0" w:rsidRDefault="00220E6F" w:rsidP="003609BB">
      <w:pPr>
        <w:pStyle w:val="ItemHead"/>
      </w:pPr>
      <w:r w:rsidRPr="00CB21B0">
        <w:t>167</w:t>
      </w:r>
      <w:r w:rsidR="003609BB" w:rsidRPr="00CB21B0">
        <w:t xml:space="preserve">  Part</w:t>
      </w:r>
      <w:r w:rsidR="00CB21B0" w:rsidRPr="00CB21B0">
        <w:t> </w:t>
      </w:r>
      <w:r w:rsidR="003609BB" w:rsidRPr="00CB21B0">
        <w:t>3 of Schedule</w:t>
      </w:r>
      <w:r w:rsidR="00CB21B0" w:rsidRPr="00CB21B0">
        <w:t> </w:t>
      </w:r>
      <w:r w:rsidR="003609BB" w:rsidRPr="00CB21B0">
        <w:t>3B (heading)</w:t>
      </w:r>
    </w:p>
    <w:p w:rsidR="003609BB" w:rsidRPr="00CB21B0" w:rsidRDefault="003609BB" w:rsidP="003609BB">
      <w:pPr>
        <w:pStyle w:val="Item"/>
      </w:pPr>
      <w:r w:rsidRPr="00CB21B0">
        <w:t>Repeal the heading, substitute:</w:t>
      </w:r>
    </w:p>
    <w:p w:rsidR="003609BB" w:rsidRPr="00CB21B0" w:rsidRDefault="003609BB" w:rsidP="003609BB">
      <w:pPr>
        <w:pStyle w:val="ActHead2"/>
      </w:pPr>
      <w:bookmarkStart w:id="124" w:name="f_Check_Lines_above"/>
      <w:bookmarkStart w:id="125" w:name="_Toc361055117"/>
      <w:bookmarkEnd w:id="124"/>
      <w:r w:rsidRPr="00CB21B0">
        <w:rPr>
          <w:rStyle w:val="CharPartNo"/>
        </w:rPr>
        <w:t>Part</w:t>
      </w:r>
      <w:r w:rsidR="00CB21B0" w:rsidRPr="00CB21B0">
        <w:rPr>
          <w:rStyle w:val="CharPartNo"/>
        </w:rPr>
        <w:t> </w:t>
      </w:r>
      <w:r w:rsidRPr="00CB21B0">
        <w:rPr>
          <w:rStyle w:val="CharPartNo"/>
        </w:rPr>
        <w:t>3</w:t>
      </w:r>
      <w:r w:rsidRPr="00CB21B0">
        <w:t>—</w:t>
      </w:r>
      <w:r w:rsidRPr="00CB21B0">
        <w:rPr>
          <w:rStyle w:val="CharPartText"/>
        </w:rPr>
        <w:t>Active constituents in listed chemical products</w:t>
      </w:r>
      <w:bookmarkEnd w:id="125"/>
    </w:p>
    <w:p w:rsidR="007920DF" w:rsidRPr="00CB21B0" w:rsidRDefault="00220E6F" w:rsidP="007920DF">
      <w:pPr>
        <w:pStyle w:val="ItemHead"/>
        <w:rPr>
          <w:rFonts w:cs="Arial"/>
        </w:rPr>
      </w:pPr>
      <w:r w:rsidRPr="00CB21B0">
        <w:rPr>
          <w:rFonts w:cs="Arial"/>
          <w:noProof/>
        </w:rPr>
        <w:t>168</w:t>
      </w:r>
      <w:r w:rsidR="007920DF" w:rsidRPr="00CB21B0">
        <w:rPr>
          <w:rFonts w:cs="Arial"/>
        </w:rPr>
        <w:t xml:space="preserve">  </w:t>
      </w:r>
      <w:r w:rsidR="0064005D" w:rsidRPr="00CB21B0">
        <w:rPr>
          <w:rFonts w:cs="Arial"/>
        </w:rPr>
        <w:t>Items</w:t>
      </w:r>
      <w:r w:rsidR="00CB21B0" w:rsidRPr="00CB21B0">
        <w:rPr>
          <w:rFonts w:cs="Arial"/>
        </w:rPr>
        <w:t> </w:t>
      </w:r>
      <w:r w:rsidR="0064005D" w:rsidRPr="00CB21B0">
        <w:rPr>
          <w:rFonts w:cs="Arial"/>
        </w:rPr>
        <w:t xml:space="preserve">2 and 3 of </w:t>
      </w:r>
      <w:r w:rsidR="007920DF" w:rsidRPr="00CB21B0">
        <w:rPr>
          <w:rFonts w:cs="Arial"/>
        </w:rPr>
        <w:t>Schedule</w:t>
      </w:r>
      <w:r w:rsidR="00CB21B0" w:rsidRPr="00CB21B0">
        <w:rPr>
          <w:rFonts w:cs="Arial"/>
        </w:rPr>
        <w:t> </w:t>
      </w:r>
      <w:r w:rsidR="007920DF" w:rsidRPr="00CB21B0">
        <w:rPr>
          <w:rFonts w:cs="Arial"/>
        </w:rPr>
        <w:t>4</w:t>
      </w:r>
    </w:p>
    <w:p w:rsidR="007920DF" w:rsidRPr="00CB21B0" w:rsidRDefault="007920DF" w:rsidP="007920DF">
      <w:pPr>
        <w:pStyle w:val="Item"/>
      </w:pPr>
      <w:r w:rsidRPr="00CB21B0">
        <w:t>Repeal the items.</w:t>
      </w:r>
    </w:p>
    <w:p w:rsidR="007920DF" w:rsidRPr="00CB21B0" w:rsidRDefault="00220E6F" w:rsidP="007920DF">
      <w:pPr>
        <w:pStyle w:val="ItemHead"/>
        <w:rPr>
          <w:rFonts w:cs="Arial"/>
        </w:rPr>
      </w:pPr>
      <w:r w:rsidRPr="00CB21B0">
        <w:rPr>
          <w:rFonts w:cs="Arial"/>
          <w:noProof/>
        </w:rPr>
        <w:t>169</w:t>
      </w:r>
      <w:r w:rsidR="007920DF" w:rsidRPr="00CB21B0">
        <w:rPr>
          <w:rFonts w:cs="Arial"/>
        </w:rPr>
        <w:t xml:space="preserve">  Schedule</w:t>
      </w:r>
      <w:r w:rsidR="00CB21B0" w:rsidRPr="00CB21B0">
        <w:rPr>
          <w:rFonts w:cs="Arial"/>
        </w:rPr>
        <w:t> </w:t>
      </w:r>
      <w:r w:rsidR="007920DF" w:rsidRPr="00CB21B0">
        <w:rPr>
          <w:rFonts w:cs="Arial"/>
        </w:rPr>
        <w:t>5</w:t>
      </w:r>
    </w:p>
    <w:p w:rsidR="007920DF" w:rsidRPr="00CB21B0" w:rsidRDefault="007920DF" w:rsidP="007920DF">
      <w:pPr>
        <w:pStyle w:val="Item"/>
      </w:pPr>
      <w:r w:rsidRPr="00CB21B0">
        <w:t>Repeal the Schedule.</w:t>
      </w:r>
    </w:p>
    <w:p w:rsidR="007920DF" w:rsidRPr="00CB21B0" w:rsidRDefault="00220E6F" w:rsidP="007920DF">
      <w:pPr>
        <w:pStyle w:val="ItemHead"/>
        <w:rPr>
          <w:rFonts w:cs="Arial"/>
        </w:rPr>
      </w:pPr>
      <w:r w:rsidRPr="00CB21B0">
        <w:rPr>
          <w:rFonts w:cs="Arial"/>
          <w:noProof/>
        </w:rPr>
        <w:lastRenderedPageBreak/>
        <w:t>170</w:t>
      </w:r>
      <w:r w:rsidR="007920DF" w:rsidRPr="00CB21B0">
        <w:rPr>
          <w:rFonts w:cs="Arial"/>
        </w:rPr>
        <w:t xml:space="preserve">  After Schedule</w:t>
      </w:r>
      <w:r w:rsidR="00CB21B0" w:rsidRPr="00CB21B0">
        <w:rPr>
          <w:rFonts w:cs="Arial"/>
        </w:rPr>
        <w:t> </w:t>
      </w:r>
      <w:r w:rsidR="007920DF" w:rsidRPr="00CB21B0">
        <w:rPr>
          <w:rFonts w:cs="Arial"/>
        </w:rPr>
        <w:t>5</w:t>
      </w:r>
    </w:p>
    <w:p w:rsidR="007920DF" w:rsidRPr="00CB21B0" w:rsidRDefault="007920DF" w:rsidP="007920DF">
      <w:pPr>
        <w:pStyle w:val="Item"/>
      </w:pPr>
      <w:r w:rsidRPr="00CB21B0">
        <w:t>Insert:</w:t>
      </w:r>
    </w:p>
    <w:p w:rsidR="007920DF" w:rsidRPr="00CB21B0" w:rsidRDefault="007920DF" w:rsidP="007920DF">
      <w:pPr>
        <w:pStyle w:val="ActHead1"/>
      </w:pPr>
      <w:bookmarkStart w:id="126" w:name="_Toc361055118"/>
      <w:r w:rsidRPr="00CB21B0">
        <w:rPr>
          <w:rStyle w:val="CharChapNo"/>
        </w:rPr>
        <w:t>Schedule</w:t>
      </w:r>
      <w:r w:rsidR="00CB21B0" w:rsidRPr="00CB21B0">
        <w:rPr>
          <w:rStyle w:val="CharChapNo"/>
        </w:rPr>
        <w:t> </w:t>
      </w:r>
      <w:r w:rsidRPr="00CB21B0">
        <w:rPr>
          <w:rStyle w:val="CharChapNo"/>
        </w:rPr>
        <w:t>5A</w:t>
      </w:r>
      <w:r w:rsidRPr="00CB21B0">
        <w:t>—</w:t>
      </w:r>
      <w:r w:rsidRPr="00CB21B0">
        <w:rPr>
          <w:rStyle w:val="CharChapText"/>
        </w:rPr>
        <w:t>Infringement notices</w:t>
      </w:r>
      <w:bookmarkEnd w:id="126"/>
    </w:p>
    <w:p w:rsidR="00A70635" w:rsidRPr="00CB21B0" w:rsidRDefault="007C7132" w:rsidP="00A06243">
      <w:pPr>
        <w:pStyle w:val="notemargin"/>
      </w:pPr>
      <w:r w:rsidRPr="00CB21B0">
        <w:t>Note:</w:t>
      </w:r>
      <w:r w:rsidRPr="00CB21B0">
        <w:tab/>
      </w:r>
      <w:r w:rsidR="007920DF" w:rsidRPr="00CB21B0">
        <w:t>See regulation</w:t>
      </w:r>
      <w:r w:rsidR="00CB21B0" w:rsidRPr="00CB21B0">
        <w:t> </w:t>
      </w:r>
      <w:r w:rsidR="007920DF" w:rsidRPr="00CB21B0">
        <w:t>64</w:t>
      </w:r>
      <w:r w:rsidR="000A5376" w:rsidRPr="00CB21B0">
        <w:t>.</w:t>
      </w:r>
    </w:p>
    <w:p w:rsidR="007E4936" w:rsidRPr="00CB21B0" w:rsidRDefault="00BC7987" w:rsidP="007E4936">
      <w:pPr>
        <w:pStyle w:val="Header"/>
      </w:pPr>
      <w:r w:rsidRPr="00CB21B0">
        <w:rPr>
          <w:rStyle w:val="CharPartNo"/>
        </w:rPr>
        <w:t xml:space="preserve"> </w:t>
      </w:r>
      <w:r w:rsidRPr="00CB21B0">
        <w:rPr>
          <w:rStyle w:val="CharPartText"/>
        </w:rPr>
        <w:t xml:space="preserve"> </w:t>
      </w:r>
    </w:p>
    <w:p w:rsidR="00076FC8" w:rsidRPr="00CB21B0" w:rsidRDefault="00076FC8" w:rsidP="00076FC8">
      <w:pPr>
        <w:pStyle w:val="Tabletext"/>
      </w:pP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704"/>
        <w:gridCol w:w="3633"/>
        <w:gridCol w:w="1355"/>
        <w:gridCol w:w="1498"/>
      </w:tblGrid>
      <w:tr w:rsidR="00076FC8" w:rsidRPr="00CB21B0" w:rsidTr="0003398B">
        <w:trPr>
          <w:tblHeader/>
        </w:trPr>
        <w:tc>
          <w:tcPr>
            <w:tcW w:w="0" w:type="auto"/>
            <w:gridSpan w:val="4"/>
            <w:tcBorders>
              <w:top w:val="single" w:sz="12" w:space="0" w:color="auto"/>
              <w:bottom w:val="single" w:sz="6" w:space="0" w:color="auto"/>
            </w:tcBorders>
            <w:shd w:val="clear" w:color="auto" w:fill="auto"/>
          </w:tcPr>
          <w:p w:rsidR="00076FC8" w:rsidRPr="00CB21B0" w:rsidRDefault="00076FC8" w:rsidP="00076FC8">
            <w:pPr>
              <w:pStyle w:val="TableHeading"/>
            </w:pPr>
            <w:r w:rsidRPr="00CB21B0">
              <w:t>Infringement notice penalty amounts</w:t>
            </w:r>
          </w:p>
        </w:tc>
      </w:tr>
      <w:tr w:rsidR="00076FC8" w:rsidRPr="00CB21B0" w:rsidTr="0003398B">
        <w:trPr>
          <w:tblHeader/>
        </w:trPr>
        <w:tc>
          <w:tcPr>
            <w:tcW w:w="704" w:type="dxa"/>
            <w:tcBorders>
              <w:top w:val="single" w:sz="6" w:space="0" w:color="auto"/>
              <w:bottom w:val="single" w:sz="12" w:space="0" w:color="auto"/>
            </w:tcBorders>
            <w:shd w:val="clear" w:color="auto" w:fill="auto"/>
          </w:tcPr>
          <w:p w:rsidR="00076FC8" w:rsidRPr="00CB21B0" w:rsidRDefault="00076FC8" w:rsidP="00076FC8">
            <w:pPr>
              <w:pStyle w:val="TableHeading"/>
            </w:pPr>
            <w:r w:rsidRPr="00CB21B0">
              <w:t>Item</w:t>
            </w:r>
          </w:p>
        </w:tc>
        <w:tc>
          <w:tcPr>
            <w:tcW w:w="3633" w:type="dxa"/>
            <w:tcBorders>
              <w:top w:val="single" w:sz="6" w:space="0" w:color="auto"/>
              <w:bottom w:val="single" w:sz="12" w:space="0" w:color="auto"/>
            </w:tcBorders>
            <w:shd w:val="clear" w:color="auto" w:fill="auto"/>
          </w:tcPr>
          <w:p w:rsidR="00076FC8" w:rsidRPr="00CB21B0" w:rsidRDefault="00076FC8" w:rsidP="00076FC8">
            <w:pPr>
              <w:pStyle w:val="TableHeading"/>
            </w:pPr>
            <w:r w:rsidRPr="00CB21B0">
              <w:t>Civil penalty provision</w:t>
            </w:r>
          </w:p>
        </w:tc>
        <w:tc>
          <w:tcPr>
            <w:tcW w:w="0" w:type="auto"/>
            <w:tcBorders>
              <w:top w:val="single" w:sz="6" w:space="0" w:color="auto"/>
              <w:bottom w:val="single" w:sz="12" w:space="0" w:color="auto"/>
            </w:tcBorders>
            <w:shd w:val="clear" w:color="auto" w:fill="auto"/>
          </w:tcPr>
          <w:p w:rsidR="00076FC8" w:rsidRPr="00CB21B0" w:rsidRDefault="00076FC8" w:rsidP="00076FC8">
            <w:pPr>
              <w:pStyle w:val="TableHeading"/>
            </w:pPr>
            <w:r w:rsidRPr="00CB21B0">
              <w:t>Amount for individual (penalty units)</w:t>
            </w:r>
          </w:p>
        </w:tc>
        <w:tc>
          <w:tcPr>
            <w:tcW w:w="0" w:type="auto"/>
            <w:tcBorders>
              <w:top w:val="single" w:sz="6" w:space="0" w:color="auto"/>
              <w:bottom w:val="single" w:sz="12" w:space="0" w:color="auto"/>
            </w:tcBorders>
            <w:shd w:val="clear" w:color="auto" w:fill="auto"/>
          </w:tcPr>
          <w:p w:rsidR="00076FC8" w:rsidRPr="00CB21B0" w:rsidRDefault="00076FC8" w:rsidP="000616DC">
            <w:pPr>
              <w:pStyle w:val="TableHeading"/>
            </w:pPr>
            <w:r w:rsidRPr="00CB21B0">
              <w:t>Amount for corporat</w:t>
            </w:r>
            <w:r w:rsidR="000616DC" w:rsidRPr="00CB21B0">
              <w:t>ion</w:t>
            </w:r>
            <w:r w:rsidRPr="00CB21B0">
              <w:t xml:space="preserve"> (penalty units)</w:t>
            </w:r>
          </w:p>
        </w:tc>
      </w:tr>
      <w:tr w:rsidR="00076FC8" w:rsidRPr="00CB21B0" w:rsidTr="0003398B">
        <w:tc>
          <w:tcPr>
            <w:tcW w:w="704" w:type="dxa"/>
            <w:tcBorders>
              <w:top w:val="single" w:sz="12" w:space="0" w:color="auto"/>
            </w:tcBorders>
            <w:shd w:val="clear" w:color="auto" w:fill="auto"/>
          </w:tcPr>
          <w:p w:rsidR="00076FC8" w:rsidRPr="00CB21B0" w:rsidRDefault="00076FC8" w:rsidP="00076FC8">
            <w:pPr>
              <w:pStyle w:val="Tabletext"/>
            </w:pPr>
            <w:r w:rsidRPr="00CB21B0">
              <w:t>1</w:t>
            </w:r>
          </w:p>
        </w:tc>
        <w:tc>
          <w:tcPr>
            <w:tcW w:w="3633" w:type="dxa"/>
            <w:tcBorders>
              <w:top w:val="single" w:sz="12" w:space="0" w:color="auto"/>
            </w:tcBorders>
            <w:shd w:val="clear" w:color="auto" w:fill="auto"/>
          </w:tcPr>
          <w:p w:rsidR="00076FC8" w:rsidRPr="00CB21B0" w:rsidRDefault="00E9489F" w:rsidP="00E9489F">
            <w:pPr>
              <w:pStyle w:val="Tabletext"/>
            </w:pPr>
            <w:r w:rsidRPr="00CB21B0">
              <w:t>A c</w:t>
            </w:r>
            <w:r w:rsidR="00076FC8" w:rsidRPr="00CB21B0">
              <w:t>ontravention of section</w:t>
            </w:r>
            <w:r w:rsidR="00CB21B0" w:rsidRPr="00CB21B0">
              <w:t> </w:t>
            </w:r>
            <w:r w:rsidR="00B6471B" w:rsidRPr="00CB21B0">
              <w:t>26</w:t>
            </w:r>
            <w:r w:rsidR="00076FC8" w:rsidRPr="00CB21B0">
              <w:t xml:space="preserve"> of the Code </w:t>
            </w:r>
          </w:p>
        </w:tc>
        <w:tc>
          <w:tcPr>
            <w:tcW w:w="0" w:type="auto"/>
            <w:tcBorders>
              <w:top w:val="single" w:sz="12" w:space="0" w:color="auto"/>
            </w:tcBorders>
            <w:shd w:val="clear" w:color="auto" w:fill="auto"/>
          </w:tcPr>
          <w:p w:rsidR="00076FC8" w:rsidRPr="00CB21B0" w:rsidRDefault="00B6471B" w:rsidP="0003398B">
            <w:pPr>
              <w:pStyle w:val="Tabletext"/>
              <w:tabs>
                <w:tab w:val="decimal" w:pos="660"/>
              </w:tabs>
            </w:pPr>
            <w:r w:rsidRPr="00CB21B0">
              <w:t>9</w:t>
            </w:r>
          </w:p>
        </w:tc>
        <w:tc>
          <w:tcPr>
            <w:tcW w:w="0" w:type="auto"/>
            <w:tcBorders>
              <w:top w:val="single" w:sz="12" w:space="0" w:color="auto"/>
            </w:tcBorders>
            <w:shd w:val="clear" w:color="auto" w:fill="auto"/>
          </w:tcPr>
          <w:p w:rsidR="00076FC8" w:rsidRPr="00CB21B0" w:rsidRDefault="00B6471B" w:rsidP="00B6471B">
            <w:pPr>
              <w:pStyle w:val="Tabletext"/>
              <w:tabs>
                <w:tab w:val="decimal" w:pos="720"/>
              </w:tabs>
            </w:pPr>
            <w:r w:rsidRPr="00CB21B0">
              <w:t>75</w:t>
            </w:r>
          </w:p>
        </w:tc>
      </w:tr>
      <w:tr w:rsidR="00B6471B" w:rsidRPr="00CB21B0" w:rsidTr="0003398B">
        <w:tc>
          <w:tcPr>
            <w:tcW w:w="704" w:type="dxa"/>
            <w:shd w:val="clear" w:color="auto" w:fill="auto"/>
          </w:tcPr>
          <w:p w:rsidR="00B6471B" w:rsidRPr="00CB21B0" w:rsidRDefault="00A06243" w:rsidP="0003398B">
            <w:pPr>
              <w:pStyle w:val="Tabletext"/>
            </w:pPr>
            <w:r w:rsidRPr="00CB21B0">
              <w:t>2</w:t>
            </w:r>
          </w:p>
        </w:tc>
        <w:tc>
          <w:tcPr>
            <w:tcW w:w="3633" w:type="dxa"/>
            <w:shd w:val="clear" w:color="auto" w:fill="auto"/>
          </w:tcPr>
          <w:p w:rsidR="00B6471B" w:rsidRPr="00CB21B0" w:rsidRDefault="00E9489F" w:rsidP="00E9489F">
            <w:pPr>
              <w:pStyle w:val="Tabletext"/>
            </w:pPr>
            <w:r w:rsidRPr="00CB21B0">
              <w:t>A c</w:t>
            </w:r>
            <w:r w:rsidR="00B6471B" w:rsidRPr="00CB21B0">
              <w:t>ontravention of section</w:t>
            </w:r>
            <w:r w:rsidR="00CB21B0" w:rsidRPr="00CB21B0">
              <w:t> </w:t>
            </w:r>
            <w:r w:rsidR="00B6471B" w:rsidRPr="00CB21B0">
              <w:t>32 of the Code</w:t>
            </w:r>
          </w:p>
        </w:tc>
        <w:tc>
          <w:tcPr>
            <w:tcW w:w="0" w:type="auto"/>
            <w:shd w:val="clear" w:color="auto" w:fill="auto"/>
          </w:tcPr>
          <w:p w:rsidR="00B6471B" w:rsidRPr="00CB21B0" w:rsidRDefault="00B6471B" w:rsidP="0003398B">
            <w:pPr>
              <w:pStyle w:val="Tabletext"/>
              <w:tabs>
                <w:tab w:val="decimal" w:pos="660"/>
              </w:tabs>
            </w:pPr>
            <w:r w:rsidRPr="00CB21B0">
              <w:t>36</w:t>
            </w:r>
          </w:p>
        </w:tc>
        <w:tc>
          <w:tcPr>
            <w:tcW w:w="0" w:type="auto"/>
            <w:shd w:val="clear" w:color="auto" w:fill="auto"/>
          </w:tcPr>
          <w:p w:rsidR="00B6471B" w:rsidRPr="00CB21B0" w:rsidRDefault="00B6471B" w:rsidP="0003398B">
            <w:pPr>
              <w:pStyle w:val="Tabletext"/>
              <w:tabs>
                <w:tab w:val="decimal" w:pos="720"/>
              </w:tabs>
            </w:pPr>
            <w:r w:rsidRPr="00CB21B0">
              <w:t>300</w:t>
            </w:r>
          </w:p>
        </w:tc>
      </w:tr>
      <w:tr w:rsidR="00076FC8" w:rsidRPr="00CB21B0" w:rsidTr="0003398B">
        <w:tc>
          <w:tcPr>
            <w:tcW w:w="704" w:type="dxa"/>
            <w:shd w:val="clear" w:color="auto" w:fill="auto"/>
          </w:tcPr>
          <w:p w:rsidR="00076FC8" w:rsidRPr="00CB21B0" w:rsidRDefault="00A06243" w:rsidP="0003398B">
            <w:pPr>
              <w:pStyle w:val="Tabletext"/>
            </w:pPr>
            <w:r w:rsidRPr="00CB21B0">
              <w:t>3</w:t>
            </w:r>
          </w:p>
        </w:tc>
        <w:tc>
          <w:tcPr>
            <w:tcW w:w="3633" w:type="dxa"/>
            <w:shd w:val="clear" w:color="auto" w:fill="auto"/>
          </w:tcPr>
          <w:p w:rsidR="00076FC8" w:rsidRPr="00CB21B0" w:rsidRDefault="00E9489F" w:rsidP="00E9489F">
            <w:pPr>
              <w:pStyle w:val="Tabletext"/>
            </w:pPr>
            <w:r w:rsidRPr="00CB21B0">
              <w:t>A c</w:t>
            </w:r>
            <w:r w:rsidR="00076FC8" w:rsidRPr="00CB21B0">
              <w:t>ontravention of section</w:t>
            </w:r>
            <w:r w:rsidR="00CB21B0" w:rsidRPr="00CB21B0">
              <w:t> </w:t>
            </w:r>
            <w:r w:rsidR="00076FC8" w:rsidRPr="00CB21B0">
              <w:t xml:space="preserve">33 of the Code </w:t>
            </w:r>
          </w:p>
        </w:tc>
        <w:tc>
          <w:tcPr>
            <w:tcW w:w="0" w:type="auto"/>
            <w:shd w:val="clear" w:color="auto" w:fill="auto"/>
          </w:tcPr>
          <w:p w:rsidR="00076FC8" w:rsidRPr="00CB21B0" w:rsidRDefault="00076FC8" w:rsidP="0003398B">
            <w:pPr>
              <w:pStyle w:val="Tabletext"/>
              <w:tabs>
                <w:tab w:val="decimal" w:pos="660"/>
              </w:tabs>
            </w:pPr>
            <w:r w:rsidRPr="00CB21B0">
              <w:t>36</w:t>
            </w:r>
          </w:p>
        </w:tc>
        <w:tc>
          <w:tcPr>
            <w:tcW w:w="0" w:type="auto"/>
            <w:shd w:val="clear" w:color="auto" w:fill="auto"/>
          </w:tcPr>
          <w:p w:rsidR="00076FC8" w:rsidRPr="00CB21B0" w:rsidRDefault="00076FC8" w:rsidP="0003398B">
            <w:pPr>
              <w:pStyle w:val="Tabletext"/>
              <w:tabs>
                <w:tab w:val="decimal" w:pos="720"/>
              </w:tabs>
            </w:pPr>
            <w:r w:rsidRPr="00CB21B0">
              <w:t>300</w:t>
            </w:r>
          </w:p>
        </w:tc>
      </w:tr>
      <w:tr w:rsidR="00076FC8" w:rsidRPr="00CB21B0" w:rsidTr="0003398B">
        <w:tc>
          <w:tcPr>
            <w:tcW w:w="704" w:type="dxa"/>
            <w:shd w:val="clear" w:color="auto" w:fill="auto"/>
          </w:tcPr>
          <w:p w:rsidR="00076FC8" w:rsidRPr="00CB21B0" w:rsidRDefault="00A06243" w:rsidP="0003398B">
            <w:pPr>
              <w:pStyle w:val="Tabletext"/>
            </w:pPr>
            <w:r w:rsidRPr="00CB21B0">
              <w:t>4</w:t>
            </w:r>
          </w:p>
        </w:tc>
        <w:tc>
          <w:tcPr>
            <w:tcW w:w="3633" w:type="dxa"/>
            <w:shd w:val="clear" w:color="auto" w:fill="auto"/>
          </w:tcPr>
          <w:p w:rsidR="00076FC8" w:rsidRPr="00CB21B0" w:rsidRDefault="00E9489F" w:rsidP="00E9489F">
            <w:pPr>
              <w:pStyle w:val="Tabletext"/>
            </w:pPr>
            <w:r w:rsidRPr="00CB21B0">
              <w:t>A c</w:t>
            </w:r>
            <w:r w:rsidR="00076FC8" w:rsidRPr="00CB21B0">
              <w:t>ontravention of section</w:t>
            </w:r>
            <w:r w:rsidR="00CB21B0" w:rsidRPr="00CB21B0">
              <w:t> </w:t>
            </w:r>
            <w:r w:rsidR="00076FC8" w:rsidRPr="00CB21B0">
              <w:t>45</w:t>
            </w:r>
            <w:r w:rsidR="006D57CD" w:rsidRPr="00CB21B0">
              <w:t>C</w:t>
            </w:r>
            <w:r w:rsidR="00076FC8" w:rsidRPr="00CB21B0">
              <w:t xml:space="preserve"> of the Code </w:t>
            </w:r>
          </w:p>
        </w:tc>
        <w:tc>
          <w:tcPr>
            <w:tcW w:w="0" w:type="auto"/>
            <w:shd w:val="clear" w:color="auto" w:fill="auto"/>
          </w:tcPr>
          <w:p w:rsidR="00076FC8" w:rsidRPr="00CB21B0" w:rsidRDefault="00076FC8" w:rsidP="0003398B">
            <w:pPr>
              <w:pStyle w:val="Tabletext"/>
              <w:tabs>
                <w:tab w:val="decimal" w:pos="660"/>
              </w:tabs>
            </w:pPr>
            <w:r w:rsidRPr="00CB21B0">
              <w:t>90</w:t>
            </w:r>
          </w:p>
        </w:tc>
        <w:tc>
          <w:tcPr>
            <w:tcW w:w="0" w:type="auto"/>
            <w:shd w:val="clear" w:color="auto" w:fill="auto"/>
          </w:tcPr>
          <w:p w:rsidR="00076FC8" w:rsidRPr="00CB21B0" w:rsidRDefault="00076FC8" w:rsidP="0003398B">
            <w:pPr>
              <w:pStyle w:val="Tabletext"/>
              <w:tabs>
                <w:tab w:val="decimal" w:pos="720"/>
              </w:tabs>
            </w:pPr>
            <w:r w:rsidRPr="00CB21B0">
              <w:t>750</w:t>
            </w:r>
          </w:p>
        </w:tc>
      </w:tr>
      <w:tr w:rsidR="00C00786" w:rsidRPr="00CB21B0" w:rsidTr="0003398B">
        <w:tc>
          <w:tcPr>
            <w:tcW w:w="704" w:type="dxa"/>
            <w:shd w:val="clear" w:color="auto" w:fill="auto"/>
          </w:tcPr>
          <w:p w:rsidR="00C00786" w:rsidRPr="00CB21B0" w:rsidRDefault="00A06243" w:rsidP="0003398B">
            <w:pPr>
              <w:pStyle w:val="Tabletext"/>
            </w:pPr>
            <w:r w:rsidRPr="00CB21B0">
              <w:t>5</w:t>
            </w:r>
          </w:p>
        </w:tc>
        <w:tc>
          <w:tcPr>
            <w:tcW w:w="3633" w:type="dxa"/>
            <w:shd w:val="clear" w:color="auto" w:fill="auto"/>
          </w:tcPr>
          <w:p w:rsidR="00C00786" w:rsidRPr="00CB21B0" w:rsidRDefault="00E9489F" w:rsidP="00E9489F">
            <w:pPr>
              <w:pStyle w:val="Tabletext"/>
            </w:pPr>
            <w:r w:rsidRPr="00CB21B0">
              <w:t>A c</w:t>
            </w:r>
            <w:r w:rsidR="00C00786" w:rsidRPr="00CB21B0">
              <w:t xml:space="preserve">ontravention of </w:t>
            </w:r>
            <w:r w:rsidR="00581EB9" w:rsidRPr="00CB21B0">
              <w:t>section</w:t>
            </w:r>
            <w:r w:rsidR="00CB21B0" w:rsidRPr="00CB21B0">
              <w:t> </w:t>
            </w:r>
            <w:r w:rsidR="00581EB9" w:rsidRPr="00CB21B0">
              <w:t>47E of the Code</w:t>
            </w:r>
          </w:p>
        </w:tc>
        <w:tc>
          <w:tcPr>
            <w:tcW w:w="0" w:type="auto"/>
            <w:shd w:val="clear" w:color="auto" w:fill="auto"/>
          </w:tcPr>
          <w:p w:rsidR="00C00786" w:rsidRPr="00CB21B0" w:rsidRDefault="00581EB9" w:rsidP="000616DC">
            <w:pPr>
              <w:pStyle w:val="Tabletext"/>
              <w:tabs>
                <w:tab w:val="decimal" w:pos="660"/>
              </w:tabs>
            </w:pPr>
            <w:r w:rsidRPr="00CB21B0">
              <w:t>90</w:t>
            </w:r>
          </w:p>
        </w:tc>
        <w:tc>
          <w:tcPr>
            <w:tcW w:w="0" w:type="auto"/>
            <w:shd w:val="clear" w:color="auto" w:fill="auto"/>
          </w:tcPr>
          <w:p w:rsidR="00C00786" w:rsidRPr="00CB21B0" w:rsidRDefault="00581EB9" w:rsidP="000616DC">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A06243" w:rsidP="0003398B">
            <w:pPr>
              <w:pStyle w:val="Tabletext"/>
            </w:pPr>
            <w:r w:rsidRPr="00CB21B0">
              <w:t>6</w:t>
            </w:r>
          </w:p>
        </w:tc>
        <w:tc>
          <w:tcPr>
            <w:tcW w:w="3633" w:type="dxa"/>
            <w:shd w:val="clear" w:color="auto" w:fill="auto"/>
          </w:tcPr>
          <w:p w:rsidR="00076FC8" w:rsidRPr="00CB21B0" w:rsidRDefault="00E9489F" w:rsidP="0003398B">
            <w:pPr>
              <w:pStyle w:val="Tabletext"/>
            </w:pPr>
            <w:r w:rsidRPr="00CB21B0">
              <w:t>A c</w:t>
            </w:r>
            <w:r w:rsidR="00076FC8" w:rsidRPr="00CB21B0">
              <w:t>ontravention of section</w:t>
            </w:r>
            <w:r w:rsidR="00CB21B0" w:rsidRPr="00CB21B0">
              <w:t> </w:t>
            </w:r>
            <w:r w:rsidR="00076FC8" w:rsidRPr="00CB21B0">
              <w:t>74 of the Code involving:</w:t>
            </w:r>
          </w:p>
          <w:p w:rsidR="00076FC8" w:rsidRPr="00CB21B0" w:rsidRDefault="00076FC8" w:rsidP="0003398B">
            <w:pPr>
              <w:pStyle w:val="Tablea"/>
            </w:pPr>
            <w:r w:rsidRPr="00CB21B0">
              <w:t>(a) at least 10 kg of an active constituent of a veterinary product; or</w:t>
            </w:r>
          </w:p>
          <w:p w:rsidR="00076FC8" w:rsidRPr="00CB21B0" w:rsidRDefault="00076FC8" w:rsidP="0003398B">
            <w:pPr>
              <w:pStyle w:val="Tablea"/>
            </w:pPr>
            <w:r w:rsidRPr="00CB21B0">
              <w:t>(b) at least 100 kg of an active constituent of an agricultural chemical product</w:t>
            </w:r>
          </w:p>
        </w:tc>
        <w:tc>
          <w:tcPr>
            <w:tcW w:w="0" w:type="auto"/>
            <w:shd w:val="clear" w:color="auto" w:fill="auto"/>
          </w:tcPr>
          <w:p w:rsidR="00076FC8" w:rsidRPr="00CB21B0" w:rsidRDefault="00076FC8" w:rsidP="0003398B">
            <w:pPr>
              <w:pStyle w:val="Tabletext"/>
              <w:tabs>
                <w:tab w:val="decimal" w:pos="660"/>
              </w:tabs>
            </w:pPr>
            <w:r w:rsidRPr="00CB21B0">
              <w:t>60</w:t>
            </w:r>
          </w:p>
        </w:tc>
        <w:tc>
          <w:tcPr>
            <w:tcW w:w="0" w:type="auto"/>
            <w:shd w:val="clear" w:color="auto" w:fill="auto"/>
          </w:tcPr>
          <w:p w:rsidR="00076FC8" w:rsidRPr="00CB21B0" w:rsidRDefault="00076FC8" w:rsidP="0003398B">
            <w:pPr>
              <w:pStyle w:val="Tabletext"/>
              <w:tabs>
                <w:tab w:val="decimal" w:pos="720"/>
              </w:tabs>
            </w:pPr>
            <w:r w:rsidRPr="00CB21B0">
              <w:t>500</w:t>
            </w:r>
          </w:p>
        </w:tc>
      </w:tr>
      <w:tr w:rsidR="00076FC8" w:rsidRPr="00CB21B0" w:rsidTr="0003398B">
        <w:tc>
          <w:tcPr>
            <w:tcW w:w="704" w:type="dxa"/>
            <w:shd w:val="clear" w:color="auto" w:fill="auto"/>
          </w:tcPr>
          <w:p w:rsidR="00076FC8" w:rsidRPr="00CB21B0" w:rsidRDefault="00A06243" w:rsidP="0003398B">
            <w:pPr>
              <w:pStyle w:val="Tabletext"/>
            </w:pPr>
            <w:r w:rsidRPr="00CB21B0">
              <w:t>7</w:t>
            </w:r>
          </w:p>
        </w:tc>
        <w:tc>
          <w:tcPr>
            <w:tcW w:w="3633" w:type="dxa"/>
            <w:shd w:val="clear" w:color="auto" w:fill="auto"/>
          </w:tcPr>
          <w:p w:rsidR="00076FC8" w:rsidRPr="00CB21B0" w:rsidRDefault="00E9489F" w:rsidP="0003398B">
            <w:pPr>
              <w:pStyle w:val="Tabletext"/>
            </w:pPr>
            <w:r w:rsidRPr="00CB21B0">
              <w:t>A c</w:t>
            </w:r>
            <w:r w:rsidR="00076FC8" w:rsidRPr="00CB21B0">
              <w:t>ontravention of section</w:t>
            </w:r>
            <w:r w:rsidR="00CB21B0" w:rsidRPr="00CB21B0">
              <w:t> </w:t>
            </w:r>
            <w:r w:rsidR="00076FC8" w:rsidRPr="00CB21B0">
              <w:t>74 of the Code involving:</w:t>
            </w:r>
          </w:p>
          <w:p w:rsidR="00076FC8" w:rsidRPr="00CB21B0" w:rsidRDefault="00076FC8" w:rsidP="0003398B">
            <w:pPr>
              <w:pStyle w:val="Tablea"/>
            </w:pPr>
            <w:r w:rsidRPr="00CB21B0">
              <w:t>(a) at least 1 kg, but less than 10 kg, of an active constituent of a veterinary product; or</w:t>
            </w:r>
          </w:p>
          <w:p w:rsidR="00076FC8" w:rsidRPr="00CB21B0" w:rsidRDefault="00076FC8" w:rsidP="007A3AE3">
            <w:pPr>
              <w:pStyle w:val="Tablea"/>
            </w:pPr>
            <w:r w:rsidRPr="00CB21B0">
              <w:t>(b) at least 10 kg, but less than 100 kg, of an active constituent of an agricultural chemical product</w:t>
            </w:r>
          </w:p>
        </w:tc>
        <w:tc>
          <w:tcPr>
            <w:tcW w:w="0" w:type="auto"/>
            <w:shd w:val="clear" w:color="auto" w:fill="auto"/>
          </w:tcPr>
          <w:p w:rsidR="00076FC8" w:rsidRPr="00CB21B0" w:rsidRDefault="00076FC8" w:rsidP="0003398B">
            <w:pPr>
              <w:pStyle w:val="Tabletext"/>
              <w:tabs>
                <w:tab w:val="decimal" w:pos="660"/>
              </w:tabs>
            </w:pPr>
            <w:r w:rsidRPr="00CB21B0">
              <w:t>30</w:t>
            </w:r>
          </w:p>
        </w:tc>
        <w:tc>
          <w:tcPr>
            <w:tcW w:w="0" w:type="auto"/>
            <w:shd w:val="clear" w:color="auto" w:fill="auto"/>
          </w:tcPr>
          <w:p w:rsidR="00076FC8" w:rsidRPr="00CB21B0" w:rsidRDefault="00076FC8" w:rsidP="0003398B">
            <w:pPr>
              <w:pStyle w:val="Tabletext"/>
              <w:tabs>
                <w:tab w:val="decimal" w:pos="720"/>
              </w:tabs>
            </w:pPr>
            <w:r w:rsidRPr="00CB21B0">
              <w:t>250</w:t>
            </w:r>
          </w:p>
        </w:tc>
      </w:tr>
      <w:tr w:rsidR="00076FC8" w:rsidRPr="00CB21B0" w:rsidTr="0003398B">
        <w:tc>
          <w:tcPr>
            <w:tcW w:w="704" w:type="dxa"/>
            <w:shd w:val="clear" w:color="auto" w:fill="auto"/>
          </w:tcPr>
          <w:p w:rsidR="00076FC8" w:rsidRPr="00CB21B0" w:rsidRDefault="00A06243" w:rsidP="0003398B">
            <w:pPr>
              <w:pStyle w:val="Tabletext"/>
            </w:pPr>
            <w:r w:rsidRPr="00CB21B0">
              <w:t>8</w:t>
            </w:r>
          </w:p>
        </w:tc>
        <w:tc>
          <w:tcPr>
            <w:tcW w:w="3633" w:type="dxa"/>
            <w:shd w:val="clear" w:color="auto" w:fill="auto"/>
          </w:tcPr>
          <w:p w:rsidR="00076FC8" w:rsidRPr="00CB21B0" w:rsidRDefault="00E9489F" w:rsidP="0003398B">
            <w:pPr>
              <w:pStyle w:val="Tabletext"/>
            </w:pPr>
            <w:r w:rsidRPr="00CB21B0">
              <w:t>A c</w:t>
            </w:r>
            <w:r w:rsidR="00076FC8" w:rsidRPr="00CB21B0">
              <w:t>ontravention of section</w:t>
            </w:r>
            <w:r w:rsidR="00CB21B0" w:rsidRPr="00CB21B0">
              <w:t> </w:t>
            </w:r>
            <w:r w:rsidR="00076FC8" w:rsidRPr="00CB21B0">
              <w:t>74 of the Code involving:</w:t>
            </w:r>
          </w:p>
          <w:p w:rsidR="00076FC8" w:rsidRPr="00CB21B0" w:rsidRDefault="00076FC8" w:rsidP="0003398B">
            <w:pPr>
              <w:pStyle w:val="Tablea"/>
            </w:pPr>
            <w:r w:rsidRPr="00CB21B0">
              <w:t>(a) less than 1 kg of an active constituent of a veterinary product; or</w:t>
            </w:r>
          </w:p>
          <w:p w:rsidR="00076FC8" w:rsidRPr="00CB21B0" w:rsidRDefault="00076FC8" w:rsidP="0003398B">
            <w:pPr>
              <w:pStyle w:val="Tablea"/>
            </w:pPr>
            <w:r w:rsidRPr="00CB21B0">
              <w:t xml:space="preserve">(b) less than 10 kg of an active constituent </w:t>
            </w:r>
            <w:r w:rsidRPr="00CB21B0">
              <w:lastRenderedPageBreak/>
              <w:t>of an agricultural chemical product</w:t>
            </w:r>
          </w:p>
        </w:tc>
        <w:tc>
          <w:tcPr>
            <w:tcW w:w="0" w:type="auto"/>
            <w:shd w:val="clear" w:color="auto" w:fill="auto"/>
          </w:tcPr>
          <w:p w:rsidR="00076FC8" w:rsidRPr="00CB21B0" w:rsidRDefault="00076FC8" w:rsidP="0003398B">
            <w:pPr>
              <w:pStyle w:val="Tabletext"/>
              <w:tabs>
                <w:tab w:val="decimal" w:pos="660"/>
              </w:tabs>
            </w:pPr>
            <w:r w:rsidRPr="00CB21B0">
              <w:lastRenderedPageBreak/>
              <w:t>6</w:t>
            </w:r>
          </w:p>
        </w:tc>
        <w:tc>
          <w:tcPr>
            <w:tcW w:w="0" w:type="auto"/>
            <w:shd w:val="clear" w:color="auto" w:fill="auto"/>
          </w:tcPr>
          <w:p w:rsidR="00076FC8" w:rsidRPr="00CB21B0" w:rsidRDefault="00076FC8" w:rsidP="0003398B">
            <w:pPr>
              <w:pStyle w:val="Tabletext"/>
              <w:tabs>
                <w:tab w:val="decimal" w:pos="720"/>
              </w:tabs>
            </w:pPr>
            <w:r w:rsidRPr="00CB21B0">
              <w:t>50</w:t>
            </w:r>
          </w:p>
        </w:tc>
      </w:tr>
      <w:tr w:rsidR="00076FC8" w:rsidRPr="00CB21B0" w:rsidTr="0003398B">
        <w:tc>
          <w:tcPr>
            <w:tcW w:w="704" w:type="dxa"/>
            <w:shd w:val="clear" w:color="auto" w:fill="auto"/>
          </w:tcPr>
          <w:p w:rsidR="00076FC8" w:rsidRPr="00CB21B0" w:rsidRDefault="00A06243" w:rsidP="0003398B">
            <w:pPr>
              <w:pStyle w:val="Tabletext"/>
            </w:pPr>
            <w:r w:rsidRPr="00CB21B0">
              <w:lastRenderedPageBreak/>
              <w:t>9</w:t>
            </w:r>
          </w:p>
        </w:tc>
        <w:tc>
          <w:tcPr>
            <w:tcW w:w="3633" w:type="dxa"/>
            <w:shd w:val="clear" w:color="auto" w:fill="auto"/>
          </w:tcPr>
          <w:p w:rsidR="00076FC8" w:rsidRPr="00CB21B0" w:rsidRDefault="00E9489F" w:rsidP="00E9489F">
            <w:pPr>
              <w:pStyle w:val="Tabletext"/>
            </w:pPr>
            <w:r w:rsidRPr="00CB21B0">
              <w:t>A c</w:t>
            </w:r>
            <w:r w:rsidR="00076FC8" w:rsidRPr="00CB21B0">
              <w:t>ontravention of section</w:t>
            </w:r>
            <w:r w:rsidR="00CB21B0" w:rsidRPr="00CB21B0">
              <w:t> </w:t>
            </w:r>
            <w:r w:rsidR="00076FC8" w:rsidRPr="00CB21B0">
              <w:t>75 of the Code involving at least 500 containers</w:t>
            </w:r>
          </w:p>
        </w:tc>
        <w:tc>
          <w:tcPr>
            <w:tcW w:w="0" w:type="auto"/>
            <w:shd w:val="clear" w:color="auto" w:fill="auto"/>
          </w:tcPr>
          <w:p w:rsidR="00076FC8" w:rsidRPr="00CB21B0" w:rsidRDefault="00076FC8" w:rsidP="0003398B">
            <w:pPr>
              <w:pStyle w:val="Tabletext"/>
              <w:tabs>
                <w:tab w:val="decimal" w:pos="660"/>
              </w:tabs>
            </w:pPr>
            <w:r w:rsidRPr="00CB21B0">
              <w:t>60</w:t>
            </w:r>
          </w:p>
        </w:tc>
        <w:tc>
          <w:tcPr>
            <w:tcW w:w="0" w:type="auto"/>
            <w:shd w:val="clear" w:color="auto" w:fill="auto"/>
          </w:tcPr>
          <w:p w:rsidR="00076FC8" w:rsidRPr="00CB21B0" w:rsidRDefault="00076FC8" w:rsidP="0003398B">
            <w:pPr>
              <w:pStyle w:val="Tabletext"/>
              <w:tabs>
                <w:tab w:val="decimal" w:pos="720"/>
              </w:tabs>
            </w:pPr>
            <w:r w:rsidRPr="00CB21B0">
              <w:t>500</w:t>
            </w:r>
          </w:p>
        </w:tc>
      </w:tr>
      <w:tr w:rsidR="00076FC8" w:rsidRPr="00CB21B0" w:rsidTr="0003398B">
        <w:tc>
          <w:tcPr>
            <w:tcW w:w="704" w:type="dxa"/>
            <w:shd w:val="clear" w:color="auto" w:fill="auto"/>
          </w:tcPr>
          <w:p w:rsidR="00076FC8" w:rsidRPr="00CB21B0" w:rsidRDefault="00A06243" w:rsidP="0003398B">
            <w:pPr>
              <w:pStyle w:val="Tabletext"/>
            </w:pPr>
            <w:r w:rsidRPr="00CB21B0">
              <w:t>10</w:t>
            </w:r>
          </w:p>
        </w:tc>
        <w:tc>
          <w:tcPr>
            <w:tcW w:w="3633" w:type="dxa"/>
            <w:shd w:val="clear" w:color="auto" w:fill="auto"/>
          </w:tcPr>
          <w:p w:rsidR="00076FC8" w:rsidRPr="00CB21B0" w:rsidRDefault="00076FC8" w:rsidP="0003398B">
            <w:pPr>
              <w:pStyle w:val="Tabletext"/>
            </w:pPr>
            <w:r w:rsidRPr="00CB21B0">
              <w:t>A contravention of section</w:t>
            </w:r>
            <w:r w:rsidR="00CB21B0" w:rsidRPr="00CB21B0">
              <w:t> </w:t>
            </w:r>
            <w:r w:rsidRPr="00CB21B0">
              <w:t>75 of the Code involving at least 50 containers but fewer than 500 containers</w:t>
            </w:r>
          </w:p>
        </w:tc>
        <w:tc>
          <w:tcPr>
            <w:tcW w:w="0" w:type="auto"/>
            <w:shd w:val="clear" w:color="auto" w:fill="auto"/>
          </w:tcPr>
          <w:p w:rsidR="00076FC8" w:rsidRPr="00CB21B0" w:rsidRDefault="00076FC8" w:rsidP="0003398B">
            <w:pPr>
              <w:pStyle w:val="Tabletext"/>
              <w:tabs>
                <w:tab w:val="decimal" w:pos="660"/>
              </w:tabs>
            </w:pPr>
            <w:r w:rsidRPr="00CB21B0">
              <w:t>30</w:t>
            </w:r>
          </w:p>
        </w:tc>
        <w:tc>
          <w:tcPr>
            <w:tcW w:w="0" w:type="auto"/>
            <w:shd w:val="clear" w:color="auto" w:fill="auto"/>
          </w:tcPr>
          <w:p w:rsidR="00076FC8" w:rsidRPr="00CB21B0" w:rsidRDefault="00076FC8" w:rsidP="0003398B">
            <w:pPr>
              <w:pStyle w:val="Tabletext"/>
              <w:tabs>
                <w:tab w:val="decimal" w:pos="720"/>
              </w:tabs>
            </w:pPr>
            <w:r w:rsidRPr="00CB21B0">
              <w:t>250</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1</w:t>
            </w:r>
          </w:p>
        </w:tc>
        <w:tc>
          <w:tcPr>
            <w:tcW w:w="3633" w:type="dxa"/>
            <w:shd w:val="clear" w:color="auto" w:fill="auto"/>
          </w:tcPr>
          <w:p w:rsidR="00076FC8" w:rsidRPr="00CB21B0" w:rsidRDefault="00076FC8" w:rsidP="0003398B">
            <w:pPr>
              <w:pStyle w:val="Tabletext"/>
            </w:pPr>
            <w:r w:rsidRPr="00CB21B0">
              <w:t>A contravention of section</w:t>
            </w:r>
            <w:r w:rsidR="00CB21B0" w:rsidRPr="00CB21B0">
              <w:t> </w:t>
            </w:r>
            <w:r w:rsidRPr="00CB21B0">
              <w:t>75 of the Code involving fewer than 50 containers</w:t>
            </w:r>
          </w:p>
        </w:tc>
        <w:tc>
          <w:tcPr>
            <w:tcW w:w="0" w:type="auto"/>
            <w:shd w:val="clear" w:color="auto" w:fill="auto"/>
          </w:tcPr>
          <w:p w:rsidR="00076FC8" w:rsidRPr="00CB21B0" w:rsidRDefault="00076FC8" w:rsidP="0003398B">
            <w:pPr>
              <w:pStyle w:val="Tabletext"/>
              <w:tabs>
                <w:tab w:val="decimal" w:pos="660"/>
              </w:tabs>
            </w:pPr>
            <w:r w:rsidRPr="00CB21B0">
              <w:t>6</w:t>
            </w:r>
          </w:p>
        </w:tc>
        <w:tc>
          <w:tcPr>
            <w:tcW w:w="0" w:type="auto"/>
            <w:shd w:val="clear" w:color="auto" w:fill="auto"/>
          </w:tcPr>
          <w:p w:rsidR="00076FC8" w:rsidRPr="00CB21B0" w:rsidRDefault="00076FC8" w:rsidP="0003398B">
            <w:pPr>
              <w:pStyle w:val="Tabletext"/>
              <w:tabs>
                <w:tab w:val="decimal" w:pos="720"/>
              </w:tabs>
            </w:pPr>
            <w:r w:rsidRPr="00CB21B0">
              <w:t>50</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2</w:t>
            </w:r>
          </w:p>
        </w:tc>
        <w:tc>
          <w:tcPr>
            <w:tcW w:w="3633" w:type="dxa"/>
            <w:shd w:val="clear" w:color="auto" w:fill="auto"/>
          </w:tcPr>
          <w:p w:rsidR="00076FC8" w:rsidRPr="00CB21B0" w:rsidRDefault="00076FC8" w:rsidP="0003398B">
            <w:pPr>
              <w:pStyle w:val="Tabletext"/>
            </w:pPr>
            <w:r w:rsidRPr="00CB21B0">
              <w:t>A contravention of section</w:t>
            </w:r>
            <w:r w:rsidR="00CB21B0" w:rsidRPr="00CB21B0">
              <w:t> </w:t>
            </w:r>
            <w:r w:rsidRPr="00CB21B0">
              <w:t>76 of the Code involving:</w:t>
            </w:r>
          </w:p>
          <w:p w:rsidR="00076FC8" w:rsidRPr="00CB21B0" w:rsidRDefault="00076FC8" w:rsidP="0003398B">
            <w:pPr>
              <w:pStyle w:val="Tablea"/>
            </w:pPr>
            <w:r w:rsidRPr="00CB21B0">
              <w:t>(a) at least 10 kg of an active constituent of a veterinary chemical product; or</w:t>
            </w:r>
          </w:p>
          <w:p w:rsidR="00076FC8" w:rsidRPr="00CB21B0" w:rsidRDefault="00076FC8" w:rsidP="0003398B">
            <w:pPr>
              <w:pStyle w:val="Tablea"/>
            </w:pPr>
            <w:r w:rsidRPr="00CB21B0">
              <w:t>(b) at least 100 kg of an active constituent of an agricultural chemical product</w:t>
            </w:r>
          </w:p>
        </w:tc>
        <w:tc>
          <w:tcPr>
            <w:tcW w:w="0" w:type="auto"/>
            <w:shd w:val="clear" w:color="auto" w:fill="auto"/>
          </w:tcPr>
          <w:p w:rsidR="00076FC8" w:rsidRPr="00CB21B0" w:rsidRDefault="00076FC8" w:rsidP="0003398B">
            <w:pPr>
              <w:pStyle w:val="Tabletext"/>
              <w:tabs>
                <w:tab w:val="decimal" w:pos="660"/>
              </w:tabs>
            </w:pPr>
            <w:r w:rsidRPr="00CB21B0">
              <w:t>90</w:t>
            </w:r>
          </w:p>
        </w:tc>
        <w:tc>
          <w:tcPr>
            <w:tcW w:w="0" w:type="auto"/>
            <w:shd w:val="clear" w:color="auto" w:fill="auto"/>
          </w:tcPr>
          <w:p w:rsidR="00076FC8" w:rsidRPr="00CB21B0" w:rsidRDefault="00076FC8"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3</w:t>
            </w:r>
          </w:p>
        </w:tc>
        <w:tc>
          <w:tcPr>
            <w:tcW w:w="3633" w:type="dxa"/>
            <w:shd w:val="clear" w:color="auto" w:fill="auto"/>
          </w:tcPr>
          <w:p w:rsidR="007918CE" w:rsidRPr="00CB21B0" w:rsidRDefault="007918CE" w:rsidP="0003398B">
            <w:pPr>
              <w:pStyle w:val="Tabletext"/>
            </w:pPr>
            <w:r w:rsidRPr="00CB21B0">
              <w:t>A contravention of section</w:t>
            </w:r>
            <w:r w:rsidR="00CB21B0" w:rsidRPr="00CB21B0">
              <w:t> </w:t>
            </w:r>
            <w:r w:rsidRPr="00CB21B0">
              <w:t>76 of the Code involving:</w:t>
            </w:r>
          </w:p>
          <w:p w:rsidR="007918CE" w:rsidRPr="00CB21B0" w:rsidRDefault="007918CE" w:rsidP="0003398B">
            <w:pPr>
              <w:pStyle w:val="Tablea"/>
            </w:pPr>
            <w:r w:rsidRPr="00CB21B0">
              <w:t>(a) at least 1 kg, but less than 10 kg, of an active constituent of a veterinary chemical product; or</w:t>
            </w:r>
          </w:p>
          <w:p w:rsidR="00076FC8" w:rsidRPr="00CB21B0" w:rsidRDefault="007918CE" w:rsidP="0003398B">
            <w:pPr>
              <w:pStyle w:val="Tablea"/>
            </w:pPr>
            <w:r w:rsidRPr="00CB21B0">
              <w:t>(b) at least 10 kg, but less tha</w:t>
            </w:r>
            <w:r w:rsidRPr="00CB21B0">
              <w:rPr>
                <w:lang w:eastAsia="en-US"/>
              </w:rPr>
              <w:t>n 100 kg, of an acti</w:t>
            </w:r>
            <w:r w:rsidRPr="00CB21B0">
              <w:t>ve constituent of an agricultural chemical product</w:t>
            </w:r>
          </w:p>
        </w:tc>
        <w:tc>
          <w:tcPr>
            <w:tcW w:w="0" w:type="auto"/>
            <w:shd w:val="clear" w:color="auto" w:fill="auto"/>
          </w:tcPr>
          <w:p w:rsidR="00076FC8" w:rsidRPr="00CB21B0" w:rsidRDefault="007918CE" w:rsidP="0003398B">
            <w:pPr>
              <w:pStyle w:val="Tabletext"/>
              <w:tabs>
                <w:tab w:val="decimal" w:pos="660"/>
              </w:tabs>
            </w:pPr>
            <w:r w:rsidRPr="00CB21B0">
              <w:t>45</w:t>
            </w:r>
          </w:p>
        </w:tc>
        <w:tc>
          <w:tcPr>
            <w:tcW w:w="0" w:type="auto"/>
            <w:shd w:val="clear" w:color="auto" w:fill="auto"/>
          </w:tcPr>
          <w:p w:rsidR="00076FC8" w:rsidRPr="00CB21B0" w:rsidRDefault="007918CE" w:rsidP="0003398B">
            <w:pPr>
              <w:pStyle w:val="Tabletext"/>
              <w:tabs>
                <w:tab w:val="decimal" w:pos="720"/>
              </w:tabs>
            </w:pPr>
            <w:r w:rsidRPr="00CB21B0">
              <w:t>375</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4</w:t>
            </w:r>
          </w:p>
        </w:tc>
        <w:tc>
          <w:tcPr>
            <w:tcW w:w="3633" w:type="dxa"/>
            <w:shd w:val="clear" w:color="auto" w:fill="auto"/>
          </w:tcPr>
          <w:p w:rsidR="007918CE" w:rsidRPr="00CB21B0" w:rsidRDefault="007918CE" w:rsidP="0003398B">
            <w:pPr>
              <w:pStyle w:val="Tabletext"/>
            </w:pPr>
            <w:r w:rsidRPr="00CB21B0">
              <w:t>A contravention of section</w:t>
            </w:r>
            <w:r w:rsidR="00CB21B0" w:rsidRPr="00CB21B0">
              <w:t> </w:t>
            </w:r>
            <w:r w:rsidRPr="00CB21B0">
              <w:t>76 of the Code involving:</w:t>
            </w:r>
          </w:p>
          <w:p w:rsidR="007918CE" w:rsidRPr="00CB21B0" w:rsidRDefault="007918CE" w:rsidP="0003398B">
            <w:pPr>
              <w:pStyle w:val="Tablea"/>
            </w:pPr>
            <w:r w:rsidRPr="00CB21B0">
              <w:t>(a) less than 1 kg of an active constituent of a veterinary chemical product; or</w:t>
            </w:r>
          </w:p>
          <w:p w:rsidR="00076FC8" w:rsidRPr="00CB21B0" w:rsidRDefault="007918CE" w:rsidP="0003398B">
            <w:pPr>
              <w:pStyle w:val="Tablea"/>
            </w:pPr>
            <w:r w:rsidRPr="00CB21B0">
              <w:t>(b) less than 10</w:t>
            </w:r>
            <w:r w:rsidRPr="00CB21B0">
              <w:rPr>
                <w:lang w:eastAsia="en-US"/>
              </w:rPr>
              <w:t xml:space="preserve"> </w:t>
            </w:r>
            <w:r w:rsidRPr="00CB21B0">
              <w:t>kg of an active constituent of an agricultural chemical product</w:t>
            </w:r>
          </w:p>
        </w:tc>
        <w:tc>
          <w:tcPr>
            <w:tcW w:w="0" w:type="auto"/>
            <w:shd w:val="clear" w:color="auto" w:fill="auto"/>
          </w:tcPr>
          <w:p w:rsidR="00076FC8" w:rsidRPr="00CB21B0" w:rsidRDefault="007918CE" w:rsidP="0003398B">
            <w:pPr>
              <w:pStyle w:val="Tabletext"/>
              <w:tabs>
                <w:tab w:val="decimal" w:pos="660"/>
              </w:tabs>
            </w:pPr>
            <w:r w:rsidRPr="00CB21B0">
              <w:t>9</w:t>
            </w:r>
          </w:p>
        </w:tc>
        <w:tc>
          <w:tcPr>
            <w:tcW w:w="0" w:type="auto"/>
            <w:shd w:val="clear" w:color="auto" w:fill="auto"/>
          </w:tcPr>
          <w:p w:rsidR="00076FC8" w:rsidRPr="00CB21B0" w:rsidRDefault="007918CE" w:rsidP="0003398B">
            <w:pPr>
              <w:pStyle w:val="Tabletext"/>
              <w:tabs>
                <w:tab w:val="decimal" w:pos="720"/>
              </w:tabs>
            </w:pPr>
            <w:r w:rsidRPr="00CB21B0">
              <w:t>75</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5</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77 of the Code</w:t>
            </w:r>
          </w:p>
        </w:tc>
        <w:tc>
          <w:tcPr>
            <w:tcW w:w="0" w:type="auto"/>
            <w:shd w:val="clear" w:color="auto" w:fill="auto"/>
          </w:tcPr>
          <w:p w:rsidR="00076FC8" w:rsidRPr="00CB21B0" w:rsidRDefault="007918CE" w:rsidP="0003398B">
            <w:pPr>
              <w:pStyle w:val="Tabletext"/>
              <w:tabs>
                <w:tab w:val="decimal" w:pos="660"/>
              </w:tabs>
            </w:pPr>
            <w:r w:rsidRPr="00CB21B0">
              <w:t>90</w:t>
            </w:r>
          </w:p>
        </w:tc>
        <w:tc>
          <w:tcPr>
            <w:tcW w:w="0" w:type="auto"/>
            <w:shd w:val="clear" w:color="auto" w:fill="auto"/>
          </w:tcPr>
          <w:p w:rsidR="00076FC8" w:rsidRPr="00CB21B0" w:rsidRDefault="007918CE"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6</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78 of the Code involving at least 500 containers</w:t>
            </w:r>
          </w:p>
        </w:tc>
        <w:tc>
          <w:tcPr>
            <w:tcW w:w="0" w:type="auto"/>
            <w:shd w:val="clear" w:color="auto" w:fill="auto"/>
          </w:tcPr>
          <w:p w:rsidR="00076FC8" w:rsidRPr="00CB21B0" w:rsidRDefault="007918CE" w:rsidP="0003398B">
            <w:pPr>
              <w:pStyle w:val="Tabletext"/>
              <w:tabs>
                <w:tab w:val="decimal" w:pos="660"/>
              </w:tabs>
            </w:pPr>
            <w:r w:rsidRPr="00CB21B0">
              <w:t>90</w:t>
            </w:r>
          </w:p>
        </w:tc>
        <w:tc>
          <w:tcPr>
            <w:tcW w:w="0" w:type="auto"/>
            <w:shd w:val="clear" w:color="auto" w:fill="auto"/>
          </w:tcPr>
          <w:p w:rsidR="00076FC8" w:rsidRPr="00CB21B0" w:rsidRDefault="007918CE"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7</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 xml:space="preserve">78 of the Code involving at least 50 containers but fewer </w:t>
            </w:r>
            <w:r w:rsidRPr="00CB21B0">
              <w:lastRenderedPageBreak/>
              <w:t>than 500 containers</w:t>
            </w:r>
          </w:p>
        </w:tc>
        <w:tc>
          <w:tcPr>
            <w:tcW w:w="0" w:type="auto"/>
            <w:shd w:val="clear" w:color="auto" w:fill="auto"/>
          </w:tcPr>
          <w:p w:rsidR="00076FC8" w:rsidRPr="00CB21B0" w:rsidRDefault="007918CE" w:rsidP="0003398B">
            <w:pPr>
              <w:pStyle w:val="Tabletext"/>
              <w:tabs>
                <w:tab w:val="decimal" w:pos="660"/>
              </w:tabs>
            </w:pPr>
            <w:r w:rsidRPr="00CB21B0">
              <w:lastRenderedPageBreak/>
              <w:t>45</w:t>
            </w:r>
          </w:p>
        </w:tc>
        <w:tc>
          <w:tcPr>
            <w:tcW w:w="0" w:type="auto"/>
            <w:shd w:val="clear" w:color="auto" w:fill="auto"/>
          </w:tcPr>
          <w:p w:rsidR="00076FC8" w:rsidRPr="00CB21B0" w:rsidRDefault="007918CE" w:rsidP="0003398B">
            <w:pPr>
              <w:pStyle w:val="Tabletext"/>
              <w:tabs>
                <w:tab w:val="decimal" w:pos="720"/>
              </w:tabs>
            </w:pPr>
            <w:r w:rsidRPr="00CB21B0">
              <w:t>375</w:t>
            </w:r>
          </w:p>
        </w:tc>
      </w:tr>
      <w:tr w:rsidR="00076FC8" w:rsidRPr="00CB21B0" w:rsidTr="0003398B">
        <w:tc>
          <w:tcPr>
            <w:tcW w:w="704" w:type="dxa"/>
            <w:shd w:val="clear" w:color="auto" w:fill="auto"/>
          </w:tcPr>
          <w:p w:rsidR="00076FC8" w:rsidRPr="00CB21B0" w:rsidRDefault="00076FC8" w:rsidP="00A06243">
            <w:pPr>
              <w:pStyle w:val="Tabletext"/>
            </w:pPr>
            <w:r w:rsidRPr="00CB21B0">
              <w:lastRenderedPageBreak/>
              <w:t>1</w:t>
            </w:r>
            <w:r w:rsidR="00A06243" w:rsidRPr="00CB21B0">
              <w:t>8</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78 of the Code involving fewer than 50 containers</w:t>
            </w:r>
          </w:p>
        </w:tc>
        <w:tc>
          <w:tcPr>
            <w:tcW w:w="0" w:type="auto"/>
            <w:shd w:val="clear" w:color="auto" w:fill="auto"/>
          </w:tcPr>
          <w:p w:rsidR="00076FC8" w:rsidRPr="00CB21B0" w:rsidRDefault="007918CE" w:rsidP="0003398B">
            <w:pPr>
              <w:pStyle w:val="Tabletext"/>
              <w:tabs>
                <w:tab w:val="decimal" w:pos="660"/>
              </w:tabs>
            </w:pPr>
            <w:r w:rsidRPr="00CB21B0">
              <w:t>9</w:t>
            </w:r>
          </w:p>
        </w:tc>
        <w:tc>
          <w:tcPr>
            <w:tcW w:w="0" w:type="auto"/>
            <w:shd w:val="clear" w:color="auto" w:fill="auto"/>
          </w:tcPr>
          <w:p w:rsidR="00076FC8" w:rsidRPr="00CB21B0" w:rsidRDefault="007918CE" w:rsidP="0003398B">
            <w:pPr>
              <w:pStyle w:val="Tabletext"/>
              <w:tabs>
                <w:tab w:val="decimal" w:pos="720"/>
              </w:tabs>
            </w:pPr>
            <w:r w:rsidRPr="00CB21B0">
              <w:t>75</w:t>
            </w:r>
          </w:p>
        </w:tc>
      </w:tr>
      <w:tr w:rsidR="00076FC8" w:rsidRPr="00CB21B0" w:rsidTr="0003398B">
        <w:tc>
          <w:tcPr>
            <w:tcW w:w="704" w:type="dxa"/>
            <w:shd w:val="clear" w:color="auto" w:fill="auto"/>
          </w:tcPr>
          <w:p w:rsidR="00076FC8" w:rsidRPr="00CB21B0" w:rsidRDefault="00076FC8" w:rsidP="00A06243">
            <w:pPr>
              <w:pStyle w:val="Tabletext"/>
            </w:pPr>
            <w:r w:rsidRPr="00CB21B0">
              <w:t>1</w:t>
            </w:r>
            <w:r w:rsidR="00A06243" w:rsidRPr="00CB21B0">
              <w:t>9</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79 of the Code</w:t>
            </w:r>
          </w:p>
        </w:tc>
        <w:tc>
          <w:tcPr>
            <w:tcW w:w="0" w:type="auto"/>
            <w:shd w:val="clear" w:color="auto" w:fill="auto"/>
          </w:tcPr>
          <w:p w:rsidR="00076FC8" w:rsidRPr="00CB21B0" w:rsidRDefault="007918CE" w:rsidP="0003398B">
            <w:pPr>
              <w:pStyle w:val="Tabletext"/>
              <w:tabs>
                <w:tab w:val="decimal" w:pos="660"/>
              </w:tabs>
            </w:pPr>
            <w:r w:rsidRPr="00CB21B0">
              <w:t>90</w:t>
            </w:r>
          </w:p>
        </w:tc>
        <w:tc>
          <w:tcPr>
            <w:tcW w:w="0" w:type="auto"/>
            <w:shd w:val="clear" w:color="auto" w:fill="auto"/>
          </w:tcPr>
          <w:p w:rsidR="00076FC8" w:rsidRPr="00CB21B0" w:rsidRDefault="007918CE"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A06243" w:rsidP="0003398B">
            <w:pPr>
              <w:pStyle w:val="Tabletext"/>
            </w:pPr>
            <w:r w:rsidRPr="00CB21B0">
              <w:t>20</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79B of the Code</w:t>
            </w:r>
          </w:p>
        </w:tc>
        <w:tc>
          <w:tcPr>
            <w:tcW w:w="0" w:type="auto"/>
            <w:shd w:val="clear" w:color="auto" w:fill="auto"/>
          </w:tcPr>
          <w:p w:rsidR="00076FC8" w:rsidRPr="00CB21B0" w:rsidRDefault="007918CE" w:rsidP="0003398B">
            <w:pPr>
              <w:pStyle w:val="Tabletext"/>
              <w:tabs>
                <w:tab w:val="decimal" w:pos="660"/>
              </w:tabs>
            </w:pPr>
            <w:r w:rsidRPr="00CB21B0">
              <w:t>90</w:t>
            </w:r>
          </w:p>
        </w:tc>
        <w:tc>
          <w:tcPr>
            <w:tcW w:w="0" w:type="auto"/>
            <w:shd w:val="clear" w:color="auto" w:fill="auto"/>
          </w:tcPr>
          <w:p w:rsidR="00076FC8" w:rsidRPr="00CB21B0" w:rsidRDefault="007918CE"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2</w:t>
            </w:r>
            <w:r w:rsidR="00A06243" w:rsidRPr="00CB21B0">
              <w:t>1</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80 of the Code involving at least 500 containers</w:t>
            </w:r>
          </w:p>
        </w:tc>
        <w:tc>
          <w:tcPr>
            <w:tcW w:w="0" w:type="auto"/>
            <w:shd w:val="clear" w:color="auto" w:fill="auto"/>
          </w:tcPr>
          <w:p w:rsidR="00076FC8" w:rsidRPr="00CB21B0" w:rsidRDefault="007918CE" w:rsidP="0003398B">
            <w:pPr>
              <w:pStyle w:val="Tabletext"/>
              <w:tabs>
                <w:tab w:val="decimal" w:pos="660"/>
              </w:tabs>
            </w:pPr>
            <w:r w:rsidRPr="00CB21B0">
              <w:t>90</w:t>
            </w:r>
          </w:p>
        </w:tc>
        <w:tc>
          <w:tcPr>
            <w:tcW w:w="0" w:type="auto"/>
            <w:shd w:val="clear" w:color="auto" w:fill="auto"/>
          </w:tcPr>
          <w:p w:rsidR="00076FC8" w:rsidRPr="00CB21B0" w:rsidRDefault="007918CE"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2</w:t>
            </w:r>
            <w:r w:rsidR="00A06243" w:rsidRPr="00CB21B0">
              <w:t>2</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80 of the Code involving at least 50 containers but fewer than 500 containers</w:t>
            </w:r>
          </w:p>
        </w:tc>
        <w:tc>
          <w:tcPr>
            <w:tcW w:w="0" w:type="auto"/>
            <w:shd w:val="clear" w:color="auto" w:fill="auto"/>
          </w:tcPr>
          <w:p w:rsidR="00076FC8" w:rsidRPr="00CB21B0" w:rsidRDefault="007918CE" w:rsidP="0003398B">
            <w:pPr>
              <w:pStyle w:val="Tabletext"/>
              <w:tabs>
                <w:tab w:val="decimal" w:pos="660"/>
              </w:tabs>
            </w:pPr>
            <w:r w:rsidRPr="00CB21B0">
              <w:t>45</w:t>
            </w:r>
          </w:p>
        </w:tc>
        <w:tc>
          <w:tcPr>
            <w:tcW w:w="0" w:type="auto"/>
            <w:shd w:val="clear" w:color="auto" w:fill="auto"/>
          </w:tcPr>
          <w:p w:rsidR="00076FC8" w:rsidRPr="00CB21B0" w:rsidRDefault="007918CE" w:rsidP="0003398B">
            <w:pPr>
              <w:pStyle w:val="Tabletext"/>
              <w:tabs>
                <w:tab w:val="decimal" w:pos="720"/>
              </w:tabs>
            </w:pPr>
            <w:r w:rsidRPr="00CB21B0">
              <w:t>375</w:t>
            </w:r>
          </w:p>
        </w:tc>
      </w:tr>
      <w:tr w:rsidR="00224BB8" w:rsidRPr="00CB21B0" w:rsidTr="0003398B">
        <w:tc>
          <w:tcPr>
            <w:tcW w:w="704" w:type="dxa"/>
            <w:shd w:val="clear" w:color="auto" w:fill="auto"/>
          </w:tcPr>
          <w:p w:rsidR="00224BB8" w:rsidRPr="00CB21B0" w:rsidRDefault="00224BB8" w:rsidP="00A06243">
            <w:pPr>
              <w:pStyle w:val="Tabletext"/>
            </w:pPr>
            <w:r w:rsidRPr="00CB21B0">
              <w:t>2</w:t>
            </w:r>
            <w:r w:rsidR="00A06243" w:rsidRPr="00CB21B0">
              <w:t>3</w:t>
            </w:r>
          </w:p>
        </w:tc>
        <w:tc>
          <w:tcPr>
            <w:tcW w:w="3633" w:type="dxa"/>
            <w:shd w:val="clear" w:color="auto" w:fill="auto"/>
          </w:tcPr>
          <w:p w:rsidR="00224BB8" w:rsidRPr="00CB21B0" w:rsidRDefault="00224BB8" w:rsidP="0003398B">
            <w:pPr>
              <w:pStyle w:val="Tabletext"/>
            </w:pPr>
            <w:r w:rsidRPr="00CB21B0">
              <w:t>A contravention of section</w:t>
            </w:r>
            <w:r w:rsidR="00CB21B0" w:rsidRPr="00CB21B0">
              <w:t> </w:t>
            </w:r>
            <w:r w:rsidRPr="00CB21B0">
              <w:t>80 of the Code involving fewer than 50 containers</w:t>
            </w:r>
          </w:p>
        </w:tc>
        <w:tc>
          <w:tcPr>
            <w:tcW w:w="0" w:type="auto"/>
            <w:shd w:val="clear" w:color="auto" w:fill="auto"/>
          </w:tcPr>
          <w:p w:rsidR="00224BB8" w:rsidRPr="00CB21B0" w:rsidRDefault="00224BB8" w:rsidP="0003398B">
            <w:pPr>
              <w:pStyle w:val="Tabletext"/>
              <w:tabs>
                <w:tab w:val="decimal" w:pos="660"/>
              </w:tabs>
            </w:pPr>
            <w:r w:rsidRPr="00CB21B0">
              <w:t>9</w:t>
            </w:r>
          </w:p>
        </w:tc>
        <w:tc>
          <w:tcPr>
            <w:tcW w:w="0" w:type="auto"/>
            <w:shd w:val="clear" w:color="auto" w:fill="auto"/>
          </w:tcPr>
          <w:p w:rsidR="00224BB8" w:rsidRPr="00CB21B0" w:rsidRDefault="00224BB8" w:rsidP="0003398B">
            <w:pPr>
              <w:pStyle w:val="Tabletext"/>
              <w:tabs>
                <w:tab w:val="decimal" w:pos="720"/>
              </w:tabs>
            </w:pPr>
            <w:r w:rsidRPr="00CB21B0">
              <w:t>75</w:t>
            </w:r>
          </w:p>
        </w:tc>
      </w:tr>
      <w:tr w:rsidR="00076FC8" w:rsidRPr="00CB21B0" w:rsidTr="0003398B">
        <w:tc>
          <w:tcPr>
            <w:tcW w:w="704" w:type="dxa"/>
            <w:shd w:val="clear" w:color="auto" w:fill="auto"/>
          </w:tcPr>
          <w:p w:rsidR="00076FC8" w:rsidRPr="00CB21B0" w:rsidRDefault="00076FC8" w:rsidP="00A06243">
            <w:pPr>
              <w:pStyle w:val="Tabletext"/>
            </w:pPr>
            <w:r w:rsidRPr="00CB21B0">
              <w:t>2</w:t>
            </w:r>
            <w:r w:rsidR="00A06243" w:rsidRPr="00CB21B0">
              <w:t>4</w:t>
            </w:r>
          </w:p>
        </w:tc>
        <w:tc>
          <w:tcPr>
            <w:tcW w:w="3633" w:type="dxa"/>
            <w:shd w:val="clear" w:color="auto" w:fill="auto"/>
          </w:tcPr>
          <w:p w:rsidR="00076FC8" w:rsidRPr="00CB21B0" w:rsidRDefault="007918CE" w:rsidP="0003398B">
            <w:pPr>
              <w:pStyle w:val="Tabletext"/>
            </w:pPr>
            <w:r w:rsidRPr="00CB21B0">
              <w:t>A contravention of section</w:t>
            </w:r>
            <w:r w:rsidR="00CB21B0" w:rsidRPr="00CB21B0">
              <w:t> </w:t>
            </w:r>
            <w:r w:rsidRPr="00CB21B0">
              <w:t>81 of the Code involving at least 500 containers</w:t>
            </w:r>
          </w:p>
        </w:tc>
        <w:tc>
          <w:tcPr>
            <w:tcW w:w="0" w:type="auto"/>
            <w:shd w:val="clear" w:color="auto" w:fill="auto"/>
          </w:tcPr>
          <w:p w:rsidR="00076FC8" w:rsidRPr="00CB21B0" w:rsidRDefault="007918CE" w:rsidP="0003398B">
            <w:pPr>
              <w:pStyle w:val="Tabletext"/>
              <w:tabs>
                <w:tab w:val="decimal" w:pos="660"/>
              </w:tabs>
            </w:pPr>
            <w:r w:rsidRPr="00CB21B0">
              <w:t>9</w:t>
            </w:r>
            <w:r w:rsidR="00375793" w:rsidRPr="00CB21B0">
              <w:t>0</w:t>
            </w:r>
          </w:p>
        </w:tc>
        <w:tc>
          <w:tcPr>
            <w:tcW w:w="0" w:type="auto"/>
            <w:shd w:val="clear" w:color="auto" w:fill="auto"/>
          </w:tcPr>
          <w:p w:rsidR="00076FC8" w:rsidRPr="00CB21B0" w:rsidRDefault="00375793" w:rsidP="0003398B">
            <w:pPr>
              <w:pStyle w:val="Tabletext"/>
              <w:tabs>
                <w:tab w:val="decimal" w:pos="720"/>
              </w:tabs>
            </w:pPr>
            <w:r w:rsidRPr="00CB21B0">
              <w:t>750</w:t>
            </w:r>
          </w:p>
        </w:tc>
      </w:tr>
      <w:tr w:rsidR="00076FC8" w:rsidRPr="00CB21B0" w:rsidTr="0003398B">
        <w:tc>
          <w:tcPr>
            <w:tcW w:w="704" w:type="dxa"/>
            <w:shd w:val="clear" w:color="auto" w:fill="auto"/>
          </w:tcPr>
          <w:p w:rsidR="00076FC8" w:rsidRPr="00CB21B0" w:rsidRDefault="00076FC8" w:rsidP="00A06243">
            <w:pPr>
              <w:pStyle w:val="Tabletext"/>
            </w:pPr>
            <w:r w:rsidRPr="00CB21B0">
              <w:t>2</w:t>
            </w:r>
            <w:r w:rsidR="00A06243" w:rsidRPr="00CB21B0">
              <w:t>5</w:t>
            </w:r>
          </w:p>
        </w:tc>
        <w:tc>
          <w:tcPr>
            <w:tcW w:w="3633" w:type="dxa"/>
            <w:shd w:val="clear" w:color="auto" w:fill="auto"/>
          </w:tcPr>
          <w:p w:rsidR="00076FC8" w:rsidRPr="00CB21B0" w:rsidRDefault="00375793" w:rsidP="0003398B">
            <w:pPr>
              <w:pStyle w:val="Tabletext"/>
            </w:pPr>
            <w:r w:rsidRPr="00CB21B0">
              <w:t>A contravention of section</w:t>
            </w:r>
            <w:r w:rsidR="00CB21B0" w:rsidRPr="00CB21B0">
              <w:t> </w:t>
            </w:r>
            <w:r w:rsidRPr="00CB21B0">
              <w:t>81 of the Code involving at least 50 containers but fewer than 500 containers</w:t>
            </w:r>
          </w:p>
        </w:tc>
        <w:tc>
          <w:tcPr>
            <w:tcW w:w="0" w:type="auto"/>
            <w:shd w:val="clear" w:color="auto" w:fill="auto"/>
          </w:tcPr>
          <w:p w:rsidR="00076FC8" w:rsidRPr="00CB21B0" w:rsidRDefault="00375793" w:rsidP="0003398B">
            <w:pPr>
              <w:pStyle w:val="Tabletext"/>
              <w:tabs>
                <w:tab w:val="decimal" w:pos="660"/>
              </w:tabs>
            </w:pPr>
            <w:r w:rsidRPr="00CB21B0">
              <w:t>45</w:t>
            </w:r>
          </w:p>
        </w:tc>
        <w:tc>
          <w:tcPr>
            <w:tcW w:w="0" w:type="auto"/>
            <w:shd w:val="clear" w:color="auto" w:fill="auto"/>
          </w:tcPr>
          <w:p w:rsidR="00076FC8" w:rsidRPr="00CB21B0" w:rsidRDefault="00375793" w:rsidP="0003398B">
            <w:pPr>
              <w:pStyle w:val="Tabletext"/>
              <w:tabs>
                <w:tab w:val="decimal" w:pos="720"/>
              </w:tabs>
            </w:pPr>
            <w:r w:rsidRPr="00CB21B0">
              <w:t>375</w:t>
            </w:r>
          </w:p>
        </w:tc>
      </w:tr>
      <w:tr w:rsidR="00C90D84" w:rsidRPr="00CB21B0" w:rsidTr="0003398B">
        <w:tc>
          <w:tcPr>
            <w:tcW w:w="704" w:type="dxa"/>
            <w:shd w:val="clear" w:color="auto" w:fill="auto"/>
          </w:tcPr>
          <w:p w:rsidR="00C90D84" w:rsidRPr="00CB21B0" w:rsidRDefault="00C90D84" w:rsidP="00A06243">
            <w:pPr>
              <w:pStyle w:val="Tabletext"/>
            </w:pPr>
            <w:r w:rsidRPr="00CB21B0">
              <w:t>2</w:t>
            </w:r>
            <w:r w:rsidR="00A06243" w:rsidRPr="00CB21B0">
              <w:t>6</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81 of the Code involving fewer than 50 containers</w:t>
            </w:r>
          </w:p>
        </w:tc>
        <w:tc>
          <w:tcPr>
            <w:tcW w:w="0" w:type="auto"/>
            <w:shd w:val="clear" w:color="auto" w:fill="auto"/>
          </w:tcPr>
          <w:p w:rsidR="00C90D84" w:rsidRPr="00CB21B0" w:rsidRDefault="00C90D84" w:rsidP="0003398B">
            <w:pPr>
              <w:pStyle w:val="Tabletext"/>
              <w:tabs>
                <w:tab w:val="decimal" w:pos="660"/>
              </w:tabs>
            </w:pPr>
            <w:r w:rsidRPr="00CB21B0">
              <w:t>9</w:t>
            </w:r>
          </w:p>
        </w:tc>
        <w:tc>
          <w:tcPr>
            <w:tcW w:w="0" w:type="auto"/>
            <w:shd w:val="clear" w:color="auto" w:fill="auto"/>
          </w:tcPr>
          <w:p w:rsidR="00C90D84" w:rsidRPr="00CB21B0" w:rsidRDefault="00C90D84" w:rsidP="0003398B">
            <w:pPr>
              <w:pStyle w:val="Tabletext"/>
              <w:tabs>
                <w:tab w:val="decimal" w:pos="720"/>
              </w:tabs>
            </w:pPr>
            <w:r w:rsidRPr="00CB21B0">
              <w:t>75</w:t>
            </w:r>
          </w:p>
        </w:tc>
      </w:tr>
      <w:tr w:rsidR="00C90D84" w:rsidRPr="00CB21B0" w:rsidTr="0003398B">
        <w:tc>
          <w:tcPr>
            <w:tcW w:w="704" w:type="dxa"/>
            <w:shd w:val="clear" w:color="auto" w:fill="auto"/>
          </w:tcPr>
          <w:p w:rsidR="00C90D84" w:rsidRPr="00CB21B0" w:rsidRDefault="00C90D84" w:rsidP="00A06243">
            <w:pPr>
              <w:pStyle w:val="Tabletext"/>
            </w:pPr>
            <w:r w:rsidRPr="00CB21B0">
              <w:t>2</w:t>
            </w:r>
            <w:r w:rsidR="00A06243" w:rsidRPr="00CB21B0">
              <w:t>7</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83 of the Code</w:t>
            </w:r>
          </w:p>
        </w:tc>
        <w:tc>
          <w:tcPr>
            <w:tcW w:w="0" w:type="auto"/>
            <w:shd w:val="clear" w:color="auto" w:fill="auto"/>
          </w:tcPr>
          <w:p w:rsidR="00C90D84" w:rsidRPr="00CB21B0" w:rsidRDefault="00C90D84" w:rsidP="0003398B">
            <w:pPr>
              <w:pStyle w:val="Tabletext"/>
              <w:tabs>
                <w:tab w:val="decimal" w:pos="660"/>
              </w:tabs>
            </w:pPr>
            <w:r w:rsidRPr="00CB21B0">
              <w:t>90</w:t>
            </w:r>
          </w:p>
        </w:tc>
        <w:tc>
          <w:tcPr>
            <w:tcW w:w="0" w:type="auto"/>
            <w:shd w:val="clear" w:color="auto" w:fill="auto"/>
          </w:tcPr>
          <w:p w:rsidR="00C90D84" w:rsidRPr="00CB21B0" w:rsidRDefault="00C90D84"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C90D84" w:rsidP="00A06243">
            <w:pPr>
              <w:pStyle w:val="Tabletext"/>
            </w:pPr>
            <w:r w:rsidRPr="00CB21B0">
              <w:t>2</w:t>
            </w:r>
            <w:r w:rsidR="00A06243" w:rsidRPr="00CB21B0">
              <w:t>8</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84 of the Code</w:t>
            </w:r>
          </w:p>
        </w:tc>
        <w:tc>
          <w:tcPr>
            <w:tcW w:w="0" w:type="auto"/>
            <w:shd w:val="clear" w:color="auto" w:fill="auto"/>
          </w:tcPr>
          <w:p w:rsidR="00C90D84" w:rsidRPr="00CB21B0" w:rsidRDefault="00C90D84" w:rsidP="0003398B">
            <w:pPr>
              <w:pStyle w:val="Tabletext"/>
              <w:tabs>
                <w:tab w:val="decimal" w:pos="660"/>
              </w:tabs>
            </w:pPr>
            <w:r w:rsidRPr="00CB21B0">
              <w:t>90</w:t>
            </w:r>
          </w:p>
        </w:tc>
        <w:tc>
          <w:tcPr>
            <w:tcW w:w="0" w:type="auto"/>
            <w:shd w:val="clear" w:color="auto" w:fill="auto"/>
          </w:tcPr>
          <w:p w:rsidR="00C90D84" w:rsidRPr="00CB21B0" w:rsidRDefault="00C90D84"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C90D84" w:rsidP="00A06243">
            <w:pPr>
              <w:pStyle w:val="Tabletext"/>
            </w:pPr>
            <w:r w:rsidRPr="00CB21B0">
              <w:t>2</w:t>
            </w:r>
            <w:r w:rsidR="00A06243" w:rsidRPr="00CB21B0">
              <w:t>9</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85 of the Code</w:t>
            </w:r>
          </w:p>
        </w:tc>
        <w:tc>
          <w:tcPr>
            <w:tcW w:w="0" w:type="auto"/>
            <w:shd w:val="clear" w:color="auto" w:fill="auto"/>
          </w:tcPr>
          <w:p w:rsidR="00C90D84" w:rsidRPr="00CB21B0" w:rsidRDefault="00C90D84" w:rsidP="0003398B">
            <w:pPr>
              <w:pStyle w:val="Tabletext"/>
              <w:tabs>
                <w:tab w:val="decimal" w:pos="660"/>
              </w:tabs>
            </w:pPr>
            <w:r w:rsidRPr="00CB21B0">
              <w:t>90</w:t>
            </w:r>
          </w:p>
        </w:tc>
        <w:tc>
          <w:tcPr>
            <w:tcW w:w="0" w:type="auto"/>
            <w:shd w:val="clear" w:color="auto" w:fill="auto"/>
          </w:tcPr>
          <w:p w:rsidR="00C90D84" w:rsidRPr="00CB21B0" w:rsidRDefault="00C90D84"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A06243" w:rsidP="00224BB8">
            <w:pPr>
              <w:pStyle w:val="Tabletext"/>
            </w:pPr>
            <w:r w:rsidRPr="00CB21B0">
              <w:t>30</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86 of the Code</w:t>
            </w:r>
          </w:p>
        </w:tc>
        <w:tc>
          <w:tcPr>
            <w:tcW w:w="0" w:type="auto"/>
            <w:shd w:val="clear" w:color="auto" w:fill="auto"/>
          </w:tcPr>
          <w:p w:rsidR="00C90D84" w:rsidRPr="00CB21B0" w:rsidRDefault="00C90D84" w:rsidP="0003398B">
            <w:pPr>
              <w:pStyle w:val="Tabletext"/>
              <w:tabs>
                <w:tab w:val="decimal" w:pos="660"/>
              </w:tabs>
            </w:pPr>
            <w:r w:rsidRPr="00CB21B0">
              <w:t>90</w:t>
            </w:r>
          </w:p>
        </w:tc>
        <w:tc>
          <w:tcPr>
            <w:tcW w:w="0" w:type="auto"/>
            <w:shd w:val="clear" w:color="auto" w:fill="auto"/>
          </w:tcPr>
          <w:p w:rsidR="00C90D84" w:rsidRPr="00CB21B0" w:rsidRDefault="00C90D84"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A06243" w:rsidP="00A06243">
            <w:pPr>
              <w:pStyle w:val="Tabletext"/>
            </w:pPr>
            <w:r w:rsidRPr="00CB21B0">
              <w:t>31</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87 of the Code</w:t>
            </w:r>
          </w:p>
        </w:tc>
        <w:tc>
          <w:tcPr>
            <w:tcW w:w="0" w:type="auto"/>
            <w:shd w:val="clear" w:color="auto" w:fill="auto"/>
          </w:tcPr>
          <w:p w:rsidR="00C90D84" w:rsidRPr="00CB21B0" w:rsidRDefault="00C90D84" w:rsidP="0003398B">
            <w:pPr>
              <w:pStyle w:val="Tabletext"/>
              <w:tabs>
                <w:tab w:val="decimal" w:pos="660"/>
              </w:tabs>
            </w:pPr>
            <w:r w:rsidRPr="00CB21B0">
              <w:t>90</w:t>
            </w:r>
          </w:p>
        </w:tc>
        <w:tc>
          <w:tcPr>
            <w:tcW w:w="0" w:type="auto"/>
            <w:shd w:val="clear" w:color="auto" w:fill="auto"/>
          </w:tcPr>
          <w:p w:rsidR="00C90D84" w:rsidRPr="00CB21B0" w:rsidRDefault="00C90D84"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224BB8" w:rsidP="00A06243">
            <w:pPr>
              <w:pStyle w:val="Tabletext"/>
            </w:pPr>
            <w:r w:rsidRPr="00CB21B0">
              <w:t>3</w:t>
            </w:r>
            <w:r w:rsidR="00A06243" w:rsidRPr="00CB21B0">
              <w:t>2</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88 of the Code</w:t>
            </w:r>
          </w:p>
        </w:tc>
        <w:tc>
          <w:tcPr>
            <w:tcW w:w="0" w:type="auto"/>
            <w:shd w:val="clear" w:color="auto" w:fill="auto"/>
          </w:tcPr>
          <w:p w:rsidR="00C90D84" w:rsidRPr="00CB21B0" w:rsidRDefault="00C90D84" w:rsidP="0003398B">
            <w:pPr>
              <w:pStyle w:val="Tabletext"/>
              <w:tabs>
                <w:tab w:val="decimal" w:pos="660"/>
              </w:tabs>
            </w:pPr>
            <w:r w:rsidRPr="00CB21B0">
              <w:t>15</w:t>
            </w:r>
          </w:p>
        </w:tc>
        <w:tc>
          <w:tcPr>
            <w:tcW w:w="0" w:type="auto"/>
            <w:shd w:val="clear" w:color="auto" w:fill="auto"/>
          </w:tcPr>
          <w:p w:rsidR="00C90D84" w:rsidRPr="00CB21B0" w:rsidRDefault="00C90D84" w:rsidP="0003398B">
            <w:pPr>
              <w:pStyle w:val="Tabletext"/>
              <w:tabs>
                <w:tab w:val="decimal" w:pos="720"/>
              </w:tabs>
            </w:pPr>
            <w:r w:rsidRPr="00CB21B0">
              <w:t>125</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3</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89 of the Code</w:t>
            </w:r>
          </w:p>
        </w:tc>
        <w:tc>
          <w:tcPr>
            <w:tcW w:w="0" w:type="auto"/>
            <w:shd w:val="clear" w:color="auto" w:fill="auto"/>
          </w:tcPr>
          <w:p w:rsidR="00C90D84" w:rsidRPr="00CB21B0" w:rsidRDefault="00C90D84" w:rsidP="0003398B">
            <w:pPr>
              <w:pStyle w:val="Tabletext"/>
              <w:tabs>
                <w:tab w:val="decimal" w:pos="660"/>
              </w:tabs>
            </w:pPr>
            <w:r w:rsidRPr="00CB21B0">
              <w:t>15</w:t>
            </w:r>
          </w:p>
        </w:tc>
        <w:tc>
          <w:tcPr>
            <w:tcW w:w="0" w:type="auto"/>
            <w:shd w:val="clear" w:color="auto" w:fill="auto"/>
          </w:tcPr>
          <w:p w:rsidR="00C90D84" w:rsidRPr="00CB21B0" w:rsidRDefault="00C90D84" w:rsidP="0003398B">
            <w:pPr>
              <w:pStyle w:val="Tabletext"/>
              <w:tabs>
                <w:tab w:val="decimal" w:pos="720"/>
              </w:tabs>
            </w:pPr>
            <w:r w:rsidRPr="00CB21B0">
              <w:t>125</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4</w:t>
            </w:r>
          </w:p>
        </w:tc>
        <w:tc>
          <w:tcPr>
            <w:tcW w:w="3633" w:type="dxa"/>
            <w:shd w:val="clear" w:color="auto" w:fill="auto"/>
          </w:tcPr>
          <w:p w:rsidR="00C90D84" w:rsidRPr="00CB21B0" w:rsidRDefault="00C90D84" w:rsidP="00581EB9">
            <w:pPr>
              <w:pStyle w:val="Tabletext"/>
            </w:pPr>
            <w:r w:rsidRPr="00CB21B0">
              <w:t>A contravention of section</w:t>
            </w:r>
            <w:r w:rsidR="00CB21B0" w:rsidRPr="00CB21B0">
              <w:t> </w:t>
            </w:r>
            <w:r w:rsidRPr="00CB21B0">
              <w:t>9</w:t>
            </w:r>
            <w:r w:rsidR="00581EB9" w:rsidRPr="00CB21B0">
              <w:t>0</w:t>
            </w:r>
            <w:r w:rsidRPr="00CB21B0">
              <w:t xml:space="preserve"> of the Code involving at least 500 containers</w:t>
            </w:r>
          </w:p>
        </w:tc>
        <w:tc>
          <w:tcPr>
            <w:tcW w:w="0" w:type="auto"/>
            <w:shd w:val="clear" w:color="auto" w:fill="auto"/>
          </w:tcPr>
          <w:p w:rsidR="00C90D84" w:rsidRPr="00CB21B0" w:rsidRDefault="00C90D84" w:rsidP="0003398B">
            <w:pPr>
              <w:pStyle w:val="Tabletext"/>
              <w:tabs>
                <w:tab w:val="decimal" w:pos="660"/>
              </w:tabs>
            </w:pPr>
            <w:r w:rsidRPr="00CB21B0">
              <w:t>36</w:t>
            </w:r>
          </w:p>
        </w:tc>
        <w:tc>
          <w:tcPr>
            <w:tcW w:w="0" w:type="auto"/>
            <w:shd w:val="clear" w:color="auto" w:fill="auto"/>
          </w:tcPr>
          <w:p w:rsidR="00C90D84" w:rsidRPr="00CB21B0" w:rsidRDefault="00C90D84" w:rsidP="0003398B">
            <w:pPr>
              <w:pStyle w:val="Tabletext"/>
              <w:tabs>
                <w:tab w:val="decimal" w:pos="720"/>
              </w:tabs>
            </w:pPr>
            <w:r w:rsidRPr="00CB21B0">
              <w:t>300</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5</w:t>
            </w:r>
          </w:p>
        </w:tc>
        <w:tc>
          <w:tcPr>
            <w:tcW w:w="3633" w:type="dxa"/>
            <w:shd w:val="clear" w:color="auto" w:fill="auto"/>
          </w:tcPr>
          <w:p w:rsidR="00C90D84" w:rsidRPr="00CB21B0" w:rsidRDefault="00C90D84" w:rsidP="00581EB9">
            <w:pPr>
              <w:pStyle w:val="Tabletext"/>
            </w:pPr>
            <w:r w:rsidRPr="00CB21B0">
              <w:t xml:space="preserve">A contravention of </w:t>
            </w:r>
            <w:r w:rsidR="00581EB9" w:rsidRPr="00CB21B0">
              <w:t>section</w:t>
            </w:r>
            <w:r w:rsidR="00CB21B0" w:rsidRPr="00CB21B0">
              <w:t> </w:t>
            </w:r>
            <w:r w:rsidR="00581EB9" w:rsidRPr="00CB21B0">
              <w:t>90</w:t>
            </w:r>
            <w:r w:rsidRPr="00CB21B0">
              <w:t xml:space="preserve"> of the Code involving at least 50 containers but fewer </w:t>
            </w:r>
            <w:r w:rsidRPr="00CB21B0">
              <w:lastRenderedPageBreak/>
              <w:t>than 500 containers</w:t>
            </w:r>
          </w:p>
        </w:tc>
        <w:tc>
          <w:tcPr>
            <w:tcW w:w="0" w:type="auto"/>
            <w:shd w:val="clear" w:color="auto" w:fill="auto"/>
          </w:tcPr>
          <w:p w:rsidR="00C90D84" w:rsidRPr="00CB21B0" w:rsidRDefault="00C90D84" w:rsidP="0003398B">
            <w:pPr>
              <w:pStyle w:val="Tabletext"/>
              <w:tabs>
                <w:tab w:val="decimal" w:pos="660"/>
              </w:tabs>
            </w:pPr>
            <w:r w:rsidRPr="00CB21B0">
              <w:lastRenderedPageBreak/>
              <w:t>18</w:t>
            </w:r>
          </w:p>
        </w:tc>
        <w:tc>
          <w:tcPr>
            <w:tcW w:w="0" w:type="auto"/>
            <w:shd w:val="clear" w:color="auto" w:fill="auto"/>
          </w:tcPr>
          <w:p w:rsidR="00C90D84" w:rsidRPr="00CB21B0" w:rsidRDefault="00C90D84" w:rsidP="0003398B">
            <w:pPr>
              <w:pStyle w:val="Tabletext"/>
              <w:tabs>
                <w:tab w:val="decimal" w:pos="720"/>
              </w:tabs>
            </w:pPr>
            <w:r w:rsidRPr="00CB21B0">
              <w:t>150</w:t>
            </w:r>
          </w:p>
        </w:tc>
      </w:tr>
      <w:tr w:rsidR="00C90D84" w:rsidRPr="00CB21B0" w:rsidTr="0003398B">
        <w:tc>
          <w:tcPr>
            <w:tcW w:w="704" w:type="dxa"/>
            <w:shd w:val="clear" w:color="auto" w:fill="auto"/>
          </w:tcPr>
          <w:p w:rsidR="00C90D84" w:rsidRPr="00CB21B0" w:rsidRDefault="00C90D84" w:rsidP="00A06243">
            <w:pPr>
              <w:pStyle w:val="Tabletext"/>
            </w:pPr>
            <w:r w:rsidRPr="00CB21B0">
              <w:lastRenderedPageBreak/>
              <w:t>3</w:t>
            </w:r>
            <w:r w:rsidR="00A06243" w:rsidRPr="00CB21B0">
              <w:t>6</w:t>
            </w:r>
          </w:p>
        </w:tc>
        <w:tc>
          <w:tcPr>
            <w:tcW w:w="3633" w:type="dxa"/>
            <w:shd w:val="clear" w:color="auto" w:fill="auto"/>
          </w:tcPr>
          <w:p w:rsidR="00C90D84" w:rsidRPr="00CB21B0" w:rsidRDefault="00C90D84" w:rsidP="00581EB9">
            <w:pPr>
              <w:pStyle w:val="Tabletext"/>
            </w:pPr>
            <w:r w:rsidRPr="00CB21B0">
              <w:t xml:space="preserve">A contravention of </w:t>
            </w:r>
            <w:r w:rsidR="00581EB9" w:rsidRPr="00CB21B0">
              <w:t>section</w:t>
            </w:r>
            <w:r w:rsidR="00CB21B0" w:rsidRPr="00CB21B0">
              <w:t> </w:t>
            </w:r>
            <w:r w:rsidR="00581EB9" w:rsidRPr="00CB21B0">
              <w:t xml:space="preserve">90 </w:t>
            </w:r>
            <w:r w:rsidRPr="00CB21B0">
              <w:t>of the Code involving fewer than 50 containers</w:t>
            </w:r>
          </w:p>
        </w:tc>
        <w:tc>
          <w:tcPr>
            <w:tcW w:w="0" w:type="auto"/>
            <w:shd w:val="clear" w:color="auto" w:fill="auto"/>
          </w:tcPr>
          <w:p w:rsidR="00C90D84" w:rsidRPr="00CB21B0" w:rsidRDefault="00C90D84" w:rsidP="0003398B">
            <w:pPr>
              <w:pStyle w:val="Tabletext"/>
              <w:tabs>
                <w:tab w:val="decimal" w:pos="660"/>
              </w:tabs>
            </w:pPr>
            <w:r w:rsidRPr="00CB21B0">
              <w:t>3</w:t>
            </w:r>
          </w:p>
        </w:tc>
        <w:tc>
          <w:tcPr>
            <w:tcW w:w="0" w:type="auto"/>
            <w:shd w:val="clear" w:color="auto" w:fill="auto"/>
          </w:tcPr>
          <w:p w:rsidR="00C90D84" w:rsidRPr="00CB21B0" w:rsidRDefault="00C90D84" w:rsidP="0003398B">
            <w:pPr>
              <w:pStyle w:val="Tabletext"/>
              <w:tabs>
                <w:tab w:val="decimal" w:pos="720"/>
              </w:tabs>
            </w:pPr>
            <w:r w:rsidRPr="00CB21B0">
              <w:t>30</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7</w:t>
            </w:r>
          </w:p>
        </w:tc>
        <w:tc>
          <w:tcPr>
            <w:tcW w:w="3633" w:type="dxa"/>
            <w:shd w:val="clear" w:color="auto" w:fill="auto"/>
          </w:tcPr>
          <w:p w:rsidR="00C90D84" w:rsidRPr="00CB21B0" w:rsidRDefault="00C90D84" w:rsidP="00581EB9">
            <w:pPr>
              <w:pStyle w:val="Tabletext"/>
            </w:pPr>
            <w:r w:rsidRPr="00CB21B0">
              <w:t>A contravention of section</w:t>
            </w:r>
            <w:r w:rsidR="00CB21B0" w:rsidRPr="00CB21B0">
              <w:t> </w:t>
            </w:r>
            <w:r w:rsidRPr="00CB21B0">
              <w:t>91 of the Code involving at least 500 containers</w:t>
            </w:r>
          </w:p>
        </w:tc>
        <w:tc>
          <w:tcPr>
            <w:tcW w:w="0" w:type="auto"/>
            <w:shd w:val="clear" w:color="auto" w:fill="auto"/>
          </w:tcPr>
          <w:p w:rsidR="00C90D84" w:rsidRPr="00CB21B0" w:rsidRDefault="00C90D84" w:rsidP="0003398B">
            <w:pPr>
              <w:pStyle w:val="Tabletext"/>
              <w:tabs>
                <w:tab w:val="decimal" w:pos="660"/>
              </w:tabs>
            </w:pPr>
            <w:r w:rsidRPr="00CB21B0">
              <w:t>36</w:t>
            </w:r>
          </w:p>
        </w:tc>
        <w:tc>
          <w:tcPr>
            <w:tcW w:w="0" w:type="auto"/>
            <w:shd w:val="clear" w:color="auto" w:fill="auto"/>
          </w:tcPr>
          <w:p w:rsidR="00C90D84" w:rsidRPr="00CB21B0" w:rsidRDefault="00C90D84" w:rsidP="0003398B">
            <w:pPr>
              <w:pStyle w:val="Tabletext"/>
              <w:tabs>
                <w:tab w:val="decimal" w:pos="720"/>
              </w:tabs>
            </w:pPr>
            <w:r w:rsidRPr="00CB21B0">
              <w:t>300</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8</w:t>
            </w:r>
          </w:p>
        </w:tc>
        <w:tc>
          <w:tcPr>
            <w:tcW w:w="3633" w:type="dxa"/>
            <w:shd w:val="clear" w:color="auto" w:fill="auto"/>
          </w:tcPr>
          <w:p w:rsidR="00C90D84" w:rsidRPr="00CB21B0" w:rsidRDefault="00C90D84" w:rsidP="00581EB9">
            <w:pPr>
              <w:pStyle w:val="Tabletext"/>
            </w:pPr>
            <w:r w:rsidRPr="00CB21B0">
              <w:t>A contravention of section</w:t>
            </w:r>
            <w:r w:rsidR="00CB21B0" w:rsidRPr="00CB21B0">
              <w:t> </w:t>
            </w:r>
            <w:r w:rsidRPr="00CB21B0">
              <w:t>91 of the Code involving at least 50 containers but fewer than 500 containers</w:t>
            </w:r>
          </w:p>
        </w:tc>
        <w:tc>
          <w:tcPr>
            <w:tcW w:w="0" w:type="auto"/>
            <w:shd w:val="clear" w:color="auto" w:fill="auto"/>
          </w:tcPr>
          <w:p w:rsidR="00C90D84" w:rsidRPr="00CB21B0" w:rsidRDefault="00C90D84" w:rsidP="0003398B">
            <w:pPr>
              <w:pStyle w:val="Tabletext"/>
              <w:tabs>
                <w:tab w:val="decimal" w:pos="660"/>
              </w:tabs>
            </w:pPr>
            <w:r w:rsidRPr="00CB21B0">
              <w:t>18</w:t>
            </w:r>
          </w:p>
        </w:tc>
        <w:tc>
          <w:tcPr>
            <w:tcW w:w="0" w:type="auto"/>
            <w:shd w:val="clear" w:color="auto" w:fill="auto"/>
          </w:tcPr>
          <w:p w:rsidR="00C90D84" w:rsidRPr="00CB21B0" w:rsidRDefault="00C90D84" w:rsidP="0003398B">
            <w:pPr>
              <w:pStyle w:val="Tabletext"/>
              <w:tabs>
                <w:tab w:val="decimal" w:pos="720"/>
              </w:tabs>
            </w:pPr>
            <w:r w:rsidRPr="00CB21B0">
              <w:t>150</w:t>
            </w:r>
          </w:p>
        </w:tc>
      </w:tr>
      <w:tr w:rsidR="00C90D84" w:rsidRPr="00CB21B0" w:rsidTr="0003398B">
        <w:tc>
          <w:tcPr>
            <w:tcW w:w="704" w:type="dxa"/>
            <w:shd w:val="clear" w:color="auto" w:fill="auto"/>
          </w:tcPr>
          <w:p w:rsidR="00C90D84" w:rsidRPr="00CB21B0" w:rsidRDefault="00C90D84" w:rsidP="00A06243">
            <w:pPr>
              <w:pStyle w:val="Tabletext"/>
            </w:pPr>
            <w:r w:rsidRPr="00CB21B0">
              <w:t>3</w:t>
            </w:r>
            <w:r w:rsidR="00A06243" w:rsidRPr="00CB21B0">
              <w:t>9</w:t>
            </w:r>
          </w:p>
        </w:tc>
        <w:tc>
          <w:tcPr>
            <w:tcW w:w="3633" w:type="dxa"/>
            <w:shd w:val="clear" w:color="auto" w:fill="auto"/>
          </w:tcPr>
          <w:p w:rsidR="00C90D84" w:rsidRPr="00CB21B0" w:rsidRDefault="00C90D84" w:rsidP="00581EB9">
            <w:pPr>
              <w:pStyle w:val="Tabletext"/>
            </w:pPr>
            <w:r w:rsidRPr="00CB21B0">
              <w:t>A contravention of section</w:t>
            </w:r>
            <w:r w:rsidR="00CB21B0" w:rsidRPr="00CB21B0">
              <w:t> </w:t>
            </w:r>
            <w:r w:rsidRPr="00CB21B0">
              <w:t>91 of the Code involving fewer than 50 containers</w:t>
            </w:r>
          </w:p>
        </w:tc>
        <w:tc>
          <w:tcPr>
            <w:tcW w:w="0" w:type="auto"/>
            <w:shd w:val="clear" w:color="auto" w:fill="auto"/>
          </w:tcPr>
          <w:p w:rsidR="00C90D84" w:rsidRPr="00CB21B0" w:rsidRDefault="00C90D84" w:rsidP="0003398B">
            <w:pPr>
              <w:pStyle w:val="Tabletext"/>
              <w:tabs>
                <w:tab w:val="decimal" w:pos="660"/>
              </w:tabs>
            </w:pPr>
            <w:r w:rsidRPr="00CB21B0">
              <w:t>3</w:t>
            </w:r>
          </w:p>
        </w:tc>
        <w:tc>
          <w:tcPr>
            <w:tcW w:w="0" w:type="auto"/>
            <w:shd w:val="clear" w:color="auto" w:fill="auto"/>
          </w:tcPr>
          <w:p w:rsidR="00C90D84" w:rsidRPr="00CB21B0" w:rsidRDefault="00C90D84" w:rsidP="0003398B">
            <w:pPr>
              <w:pStyle w:val="Tabletext"/>
              <w:tabs>
                <w:tab w:val="decimal" w:pos="720"/>
              </w:tabs>
            </w:pPr>
            <w:r w:rsidRPr="00CB21B0">
              <w:t>30</w:t>
            </w:r>
          </w:p>
        </w:tc>
      </w:tr>
      <w:tr w:rsidR="00C90D84" w:rsidRPr="00CB21B0" w:rsidTr="0003398B">
        <w:tc>
          <w:tcPr>
            <w:tcW w:w="704" w:type="dxa"/>
            <w:shd w:val="clear" w:color="auto" w:fill="auto"/>
          </w:tcPr>
          <w:p w:rsidR="00C90D84" w:rsidRPr="00CB21B0" w:rsidRDefault="00A06243" w:rsidP="00A06243">
            <w:pPr>
              <w:pStyle w:val="Tabletext"/>
            </w:pPr>
            <w:r w:rsidRPr="00CB21B0">
              <w:t>40</w:t>
            </w:r>
          </w:p>
        </w:tc>
        <w:tc>
          <w:tcPr>
            <w:tcW w:w="3633" w:type="dxa"/>
            <w:shd w:val="clear" w:color="auto" w:fill="auto"/>
          </w:tcPr>
          <w:p w:rsidR="00C90D84" w:rsidRPr="00CB21B0" w:rsidRDefault="00C90D84" w:rsidP="0003398B">
            <w:pPr>
              <w:pStyle w:val="Tabletext"/>
            </w:pPr>
            <w:r w:rsidRPr="00CB21B0">
              <w:t>A contravention of section</w:t>
            </w:r>
            <w:r w:rsidR="00CB21B0" w:rsidRPr="00CB21B0">
              <w:t> </w:t>
            </w:r>
            <w:r w:rsidRPr="00CB21B0">
              <w:t>92 of the Code</w:t>
            </w:r>
          </w:p>
        </w:tc>
        <w:tc>
          <w:tcPr>
            <w:tcW w:w="0" w:type="auto"/>
            <w:shd w:val="clear" w:color="auto" w:fill="auto"/>
          </w:tcPr>
          <w:p w:rsidR="00C90D84" w:rsidRPr="00CB21B0" w:rsidRDefault="00C90D84" w:rsidP="0003398B">
            <w:pPr>
              <w:pStyle w:val="Tabletext"/>
              <w:tabs>
                <w:tab w:val="decimal" w:pos="660"/>
              </w:tabs>
            </w:pPr>
            <w:r w:rsidRPr="00CB21B0">
              <w:t>36</w:t>
            </w:r>
          </w:p>
        </w:tc>
        <w:tc>
          <w:tcPr>
            <w:tcW w:w="0" w:type="auto"/>
            <w:shd w:val="clear" w:color="auto" w:fill="auto"/>
          </w:tcPr>
          <w:p w:rsidR="00C90D84" w:rsidRPr="00CB21B0" w:rsidRDefault="00C90D84" w:rsidP="0003398B">
            <w:pPr>
              <w:pStyle w:val="Tabletext"/>
              <w:tabs>
                <w:tab w:val="decimal" w:pos="720"/>
              </w:tabs>
            </w:pPr>
            <w:r w:rsidRPr="00CB21B0">
              <w:t>300</w:t>
            </w:r>
          </w:p>
        </w:tc>
      </w:tr>
      <w:tr w:rsidR="00300F80" w:rsidRPr="00CB21B0" w:rsidTr="0003398B">
        <w:tc>
          <w:tcPr>
            <w:tcW w:w="704" w:type="dxa"/>
            <w:shd w:val="clear" w:color="auto" w:fill="auto"/>
          </w:tcPr>
          <w:p w:rsidR="00300F80" w:rsidRPr="00CB21B0" w:rsidRDefault="00A06243" w:rsidP="00224BB8">
            <w:pPr>
              <w:pStyle w:val="Tabletext"/>
            </w:pPr>
            <w:r w:rsidRPr="00CB21B0">
              <w:t>41</w:t>
            </w:r>
          </w:p>
        </w:tc>
        <w:tc>
          <w:tcPr>
            <w:tcW w:w="3633" w:type="dxa"/>
            <w:shd w:val="clear" w:color="auto" w:fill="auto"/>
          </w:tcPr>
          <w:p w:rsidR="00300F80" w:rsidRPr="00CB21B0" w:rsidRDefault="00300F80" w:rsidP="0003398B">
            <w:pPr>
              <w:pStyle w:val="Tabletext"/>
            </w:pPr>
            <w:r w:rsidRPr="00CB21B0">
              <w:t>A contravention of section</w:t>
            </w:r>
            <w:r w:rsidR="00CB21B0" w:rsidRPr="00CB21B0">
              <w:t> </w:t>
            </w:r>
            <w:r w:rsidRPr="00CB21B0">
              <w:t>94 of the Code</w:t>
            </w:r>
          </w:p>
        </w:tc>
        <w:tc>
          <w:tcPr>
            <w:tcW w:w="0" w:type="auto"/>
            <w:shd w:val="clear" w:color="auto" w:fill="auto"/>
          </w:tcPr>
          <w:p w:rsidR="00300F80" w:rsidRPr="00CB21B0" w:rsidRDefault="00300F80" w:rsidP="0003398B">
            <w:pPr>
              <w:pStyle w:val="Tabletext"/>
              <w:tabs>
                <w:tab w:val="decimal" w:pos="660"/>
              </w:tabs>
            </w:pPr>
            <w:r w:rsidRPr="00CB21B0">
              <w:t>36</w:t>
            </w:r>
          </w:p>
        </w:tc>
        <w:tc>
          <w:tcPr>
            <w:tcW w:w="0" w:type="auto"/>
            <w:shd w:val="clear" w:color="auto" w:fill="auto"/>
          </w:tcPr>
          <w:p w:rsidR="00300F80" w:rsidRPr="00CB21B0" w:rsidRDefault="00300F80" w:rsidP="0003398B">
            <w:pPr>
              <w:pStyle w:val="Tabletext"/>
              <w:tabs>
                <w:tab w:val="decimal" w:pos="720"/>
              </w:tabs>
            </w:pPr>
            <w:r w:rsidRPr="00CB21B0">
              <w:t>300</w:t>
            </w:r>
          </w:p>
        </w:tc>
      </w:tr>
      <w:tr w:rsidR="00300F80" w:rsidRPr="00CB21B0" w:rsidTr="0003398B">
        <w:tc>
          <w:tcPr>
            <w:tcW w:w="704" w:type="dxa"/>
            <w:shd w:val="clear" w:color="auto" w:fill="auto"/>
          </w:tcPr>
          <w:p w:rsidR="00300F80" w:rsidRPr="00CB21B0" w:rsidRDefault="00224BB8" w:rsidP="00A06243">
            <w:pPr>
              <w:pStyle w:val="Tabletext"/>
            </w:pPr>
            <w:r w:rsidRPr="00CB21B0">
              <w:t>4</w:t>
            </w:r>
            <w:r w:rsidR="00A06243" w:rsidRPr="00CB21B0">
              <w:t>2</w:t>
            </w:r>
          </w:p>
        </w:tc>
        <w:tc>
          <w:tcPr>
            <w:tcW w:w="3633" w:type="dxa"/>
            <w:shd w:val="clear" w:color="auto" w:fill="auto"/>
          </w:tcPr>
          <w:p w:rsidR="00300F80" w:rsidRPr="00CB21B0" w:rsidRDefault="00300F80" w:rsidP="0003398B">
            <w:pPr>
              <w:pStyle w:val="Tabletext"/>
            </w:pPr>
            <w:r w:rsidRPr="00CB21B0">
              <w:t>A contravention of section</w:t>
            </w:r>
            <w:r w:rsidR="00CB21B0" w:rsidRPr="00CB21B0">
              <w:t> </w:t>
            </w:r>
            <w:r w:rsidRPr="00CB21B0">
              <w:t>95 of the Code</w:t>
            </w:r>
          </w:p>
        </w:tc>
        <w:tc>
          <w:tcPr>
            <w:tcW w:w="0" w:type="auto"/>
            <w:shd w:val="clear" w:color="auto" w:fill="auto"/>
          </w:tcPr>
          <w:p w:rsidR="00300F80" w:rsidRPr="00CB21B0" w:rsidRDefault="00C26479" w:rsidP="0003398B">
            <w:pPr>
              <w:pStyle w:val="Tabletext"/>
              <w:tabs>
                <w:tab w:val="decimal" w:pos="660"/>
              </w:tabs>
            </w:pPr>
            <w:r w:rsidRPr="00CB21B0">
              <w:t>36</w:t>
            </w:r>
          </w:p>
        </w:tc>
        <w:tc>
          <w:tcPr>
            <w:tcW w:w="0" w:type="auto"/>
            <w:shd w:val="clear" w:color="auto" w:fill="auto"/>
          </w:tcPr>
          <w:p w:rsidR="00300F80" w:rsidRPr="00CB21B0" w:rsidRDefault="00C26479" w:rsidP="0003398B">
            <w:pPr>
              <w:pStyle w:val="Tabletext"/>
              <w:tabs>
                <w:tab w:val="decimal" w:pos="720"/>
              </w:tabs>
            </w:pPr>
            <w:r w:rsidRPr="00CB21B0">
              <w:t>300</w:t>
            </w:r>
          </w:p>
        </w:tc>
      </w:tr>
      <w:tr w:rsidR="00C90D84" w:rsidRPr="00CB21B0" w:rsidTr="0003398B">
        <w:tc>
          <w:tcPr>
            <w:tcW w:w="704" w:type="dxa"/>
            <w:shd w:val="clear" w:color="auto" w:fill="auto"/>
          </w:tcPr>
          <w:p w:rsidR="00C90D84" w:rsidRPr="00CB21B0" w:rsidRDefault="00C90D84" w:rsidP="00A06243">
            <w:pPr>
              <w:pStyle w:val="Tabletext"/>
            </w:pPr>
            <w:r w:rsidRPr="00CB21B0">
              <w:t>4</w:t>
            </w:r>
            <w:r w:rsidR="00A06243" w:rsidRPr="00CB21B0">
              <w:t>3</w:t>
            </w:r>
          </w:p>
        </w:tc>
        <w:tc>
          <w:tcPr>
            <w:tcW w:w="3633" w:type="dxa"/>
            <w:shd w:val="clear" w:color="auto" w:fill="auto"/>
          </w:tcPr>
          <w:p w:rsidR="00C90D84" w:rsidRPr="00CB21B0" w:rsidRDefault="00856556" w:rsidP="0003398B">
            <w:pPr>
              <w:pStyle w:val="Tabletext"/>
            </w:pPr>
            <w:r w:rsidRPr="00CB21B0">
              <w:t>A contravention of section</w:t>
            </w:r>
            <w:r w:rsidR="00CB21B0" w:rsidRPr="00CB21B0">
              <w:t> </w:t>
            </w:r>
            <w:r w:rsidRPr="00CB21B0">
              <w:t>99 of the Code</w:t>
            </w:r>
          </w:p>
        </w:tc>
        <w:tc>
          <w:tcPr>
            <w:tcW w:w="0" w:type="auto"/>
            <w:shd w:val="clear" w:color="auto" w:fill="auto"/>
          </w:tcPr>
          <w:p w:rsidR="00C90D84" w:rsidRPr="00CB21B0" w:rsidRDefault="00856556" w:rsidP="0003398B">
            <w:pPr>
              <w:pStyle w:val="Tabletext"/>
              <w:tabs>
                <w:tab w:val="decimal" w:pos="660"/>
              </w:tabs>
            </w:pPr>
            <w:r w:rsidRPr="00CB21B0">
              <w:t>36</w:t>
            </w:r>
          </w:p>
        </w:tc>
        <w:tc>
          <w:tcPr>
            <w:tcW w:w="0" w:type="auto"/>
            <w:shd w:val="clear" w:color="auto" w:fill="auto"/>
          </w:tcPr>
          <w:p w:rsidR="00C90D84" w:rsidRPr="00CB21B0" w:rsidRDefault="00856556" w:rsidP="0003398B">
            <w:pPr>
              <w:pStyle w:val="Tabletext"/>
              <w:tabs>
                <w:tab w:val="decimal" w:pos="720"/>
              </w:tabs>
            </w:pPr>
            <w:r w:rsidRPr="00CB21B0">
              <w:t>300</w:t>
            </w:r>
          </w:p>
        </w:tc>
      </w:tr>
      <w:tr w:rsidR="00C90D84" w:rsidRPr="00CB21B0" w:rsidTr="0003398B">
        <w:tc>
          <w:tcPr>
            <w:tcW w:w="704" w:type="dxa"/>
            <w:shd w:val="clear" w:color="auto" w:fill="auto"/>
          </w:tcPr>
          <w:p w:rsidR="00C90D84" w:rsidRPr="00CB21B0" w:rsidRDefault="00C90D84" w:rsidP="00A06243">
            <w:pPr>
              <w:pStyle w:val="Tabletext"/>
            </w:pPr>
            <w:r w:rsidRPr="00CB21B0">
              <w:t>4</w:t>
            </w:r>
            <w:r w:rsidR="00A06243" w:rsidRPr="00CB21B0">
              <w:t>4</w:t>
            </w:r>
          </w:p>
        </w:tc>
        <w:tc>
          <w:tcPr>
            <w:tcW w:w="3633" w:type="dxa"/>
            <w:shd w:val="clear" w:color="auto" w:fill="auto"/>
          </w:tcPr>
          <w:p w:rsidR="00C90D84" w:rsidRPr="00CB21B0" w:rsidRDefault="00856556" w:rsidP="0003398B">
            <w:pPr>
              <w:pStyle w:val="Tabletext"/>
            </w:pPr>
            <w:r w:rsidRPr="00CB21B0">
              <w:t>A contravention of section</w:t>
            </w:r>
            <w:r w:rsidR="00CB21B0" w:rsidRPr="00CB21B0">
              <w:t> </w:t>
            </w:r>
            <w:r w:rsidRPr="00CB21B0">
              <w:t>105 of the Code</w:t>
            </w:r>
          </w:p>
        </w:tc>
        <w:tc>
          <w:tcPr>
            <w:tcW w:w="0" w:type="auto"/>
            <w:shd w:val="clear" w:color="auto" w:fill="auto"/>
          </w:tcPr>
          <w:p w:rsidR="00C90D84" w:rsidRPr="00CB21B0" w:rsidRDefault="00856556" w:rsidP="0003398B">
            <w:pPr>
              <w:pStyle w:val="Tabletext"/>
              <w:tabs>
                <w:tab w:val="decimal" w:pos="660"/>
              </w:tabs>
            </w:pPr>
            <w:r w:rsidRPr="00CB21B0">
              <w:t>36</w:t>
            </w:r>
          </w:p>
        </w:tc>
        <w:tc>
          <w:tcPr>
            <w:tcW w:w="0" w:type="auto"/>
            <w:shd w:val="clear" w:color="auto" w:fill="auto"/>
          </w:tcPr>
          <w:p w:rsidR="00C90D84" w:rsidRPr="00CB21B0" w:rsidRDefault="00856556" w:rsidP="0003398B">
            <w:pPr>
              <w:pStyle w:val="Tabletext"/>
              <w:tabs>
                <w:tab w:val="decimal" w:pos="720"/>
              </w:tabs>
            </w:pPr>
            <w:r w:rsidRPr="00CB21B0">
              <w:t>300</w:t>
            </w:r>
          </w:p>
        </w:tc>
      </w:tr>
      <w:tr w:rsidR="00C90D84" w:rsidRPr="00CB21B0" w:rsidTr="0003398B">
        <w:tc>
          <w:tcPr>
            <w:tcW w:w="704" w:type="dxa"/>
            <w:shd w:val="clear" w:color="auto" w:fill="auto"/>
          </w:tcPr>
          <w:p w:rsidR="00C90D84" w:rsidRPr="00CB21B0" w:rsidRDefault="00C90D84" w:rsidP="00A06243">
            <w:pPr>
              <w:pStyle w:val="Tabletext"/>
            </w:pPr>
            <w:r w:rsidRPr="00CB21B0">
              <w:t>4</w:t>
            </w:r>
            <w:r w:rsidR="00A06243" w:rsidRPr="00CB21B0">
              <w:t>5</w:t>
            </w:r>
          </w:p>
        </w:tc>
        <w:tc>
          <w:tcPr>
            <w:tcW w:w="3633" w:type="dxa"/>
            <w:shd w:val="clear" w:color="auto" w:fill="auto"/>
          </w:tcPr>
          <w:p w:rsidR="00C90D84" w:rsidRPr="00CB21B0" w:rsidRDefault="00856556" w:rsidP="00581EB9">
            <w:pPr>
              <w:pStyle w:val="Tabletext"/>
            </w:pPr>
            <w:r w:rsidRPr="00CB21B0">
              <w:t>A contravention of section</w:t>
            </w:r>
            <w:r w:rsidR="00CB21B0" w:rsidRPr="00CB21B0">
              <w:t> </w:t>
            </w:r>
            <w:r w:rsidRPr="00CB21B0">
              <w:t>116 of the Code</w:t>
            </w:r>
          </w:p>
        </w:tc>
        <w:tc>
          <w:tcPr>
            <w:tcW w:w="0" w:type="auto"/>
            <w:shd w:val="clear" w:color="auto" w:fill="auto"/>
          </w:tcPr>
          <w:p w:rsidR="00C90D84" w:rsidRPr="00CB21B0" w:rsidRDefault="00856556" w:rsidP="0003398B">
            <w:pPr>
              <w:pStyle w:val="Tabletext"/>
              <w:tabs>
                <w:tab w:val="decimal" w:pos="660"/>
              </w:tabs>
            </w:pPr>
            <w:r w:rsidRPr="00CB21B0">
              <w:t>90</w:t>
            </w:r>
          </w:p>
        </w:tc>
        <w:tc>
          <w:tcPr>
            <w:tcW w:w="0" w:type="auto"/>
            <w:shd w:val="clear" w:color="auto" w:fill="auto"/>
          </w:tcPr>
          <w:p w:rsidR="00C90D84" w:rsidRPr="00CB21B0" w:rsidRDefault="00856556" w:rsidP="0003398B">
            <w:pPr>
              <w:pStyle w:val="Tabletext"/>
              <w:tabs>
                <w:tab w:val="decimal" w:pos="720"/>
              </w:tabs>
            </w:pPr>
            <w:r w:rsidRPr="00CB21B0">
              <w:t>750</w:t>
            </w:r>
          </w:p>
        </w:tc>
      </w:tr>
      <w:tr w:rsidR="00C90D84" w:rsidRPr="00CB21B0" w:rsidTr="0003398B">
        <w:tc>
          <w:tcPr>
            <w:tcW w:w="704" w:type="dxa"/>
            <w:shd w:val="clear" w:color="auto" w:fill="auto"/>
          </w:tcPr>
          <w:p w:rsidR="00C90D84" w:rsidRPr="00CB21B0" w:rsidRDefault="00581EB9" w:rsidP="00A06243">
            <w:pPr>
              <w:pStyle w:val="Tabletext"/>
            </w:pPr>
            <w:r w:rsidRPr="00CB21B0">
              <w:t>4</w:t>
            </w:r>
            <w:r w:rsidR="00A06243" w:rsidRPr="00CB21B0">
              <w:t>6</w:t>
            </w:r>
          </w:p>
        </w:tc>
        <w:tc>
          <w:tcPr>
            <w:tcW w:w="3633" w:type="dxa"/>
            <w:shd w:val="clear" w:color="auto" w:fill="auto"/>
          </w:tcPr>
          <w:p w:rsidR="00C90D84" w:rsidRPr="00CB21B0" w:rsidRDefault="00856556" w:rsidP="00F170DF">
            <w:pPr>
              <w:pStyle w:val="Tabletext"/>
            </w:pPr>
            <w:r w:rsidRPr="00CB21B0">
              <w:t xml:space="preserve">A contravention of </w:t>
            </w:r>
            <w:r w:rsidR="00783596" w:rsidRPr="00CB21B0">
              <w:t>sub</w:t>
            </w:r>
            <w:r w:rsidRPr="00CB21B0">
              <w:t>section</w:t>
            </w:r>
            <w:r w:rsidR="00CB21B0" w:rsidRPr="00CB21B0">
              <w:t> </w:t>
            </w:r>
            <w:r w:rsidRPr="00CB21B0">
              <w:t>121</w:t>
            </w:r>
            <w:r w:rsidR="00E11A5C" w:rsidRPr="00CB21B0">
              <w:t>(3)</w:t>
            </w:r>
            <w:r w:rsidRPr="00CB21B0">
              <w:t xml:space="preserve"> of the Code</w:t>
            </w:r>
          </w:p>
        </w:tc>
        <w:tc>
          <w:tcPr>
            <w:tcW w:w="0" w:type="auto"/>
            <w:shd w:val="clear" w:color="auto" w:fill="auto"/>
          </w:tcPr>
          <w:p w:rsidR="00C90D84" w:rsidRPr="00CB21B0" w:rsidRDefault="00856556" w:rsidP="0003398B">
            <w:pPr>
              <w:pStyle w:val="Tabletext"/>
              <w:tabs>
                <w:tab w:val="decimal" w:pos="660"/>
              </w:tabs>
            </w:pPr>
            <w:r w:rsidRPr="00CB21B0">
              <w:t>72</w:t>
            </w:r>
          </w:p>
        </w:tc>
        <w:tc>
          <w:tcPr>
            <w:tcW w:w="0" w:type="auto"/>
            <w:shd w:val="clear" w:color="auto" w:fill="auto"/>
          </w:tcPr>
          <w:p w:rsidR="00C90D84" w:rsidRPr="00CB21B0" w:rsidRDefault="00856556" w:rsidP="0003398B">
            <w:pPr>
              <w:pStyle w:val="Tabletext"/>
              <w:tabs>
                <w:tab w:val="decimal" w:pos="720"/>
              </w:tabs>
            </w:pPr>
            <w:r w:rsidRPr="00CB21B0">
              <w:t>600</w:t>
            </w:r>
          </w:p>
        </w:tc>
      </w:tr>
      <w:tr w:rsidR="005412D9" w:rsidRPr="00CB21B0" w:rsidTr="0003398B">
        <w:tc>
          <w:tcPr>
            <w:tcW w:w="704" w:type="dxa"/>
            <w:shd w:val="clear" w:color="auto" w:fill="auto"/>
          </w:tcPr>
          <w:p w:rsidR="005412D9" w:rsidRPr="00CB21B0" w:rsidRDefault="00581EB9" w:rsidP="00A06243">
            <w:pPr>
              <w:pStyle w:val="Tabletext"/>
            </w:pPr>
            <w:r w:rsidRPr="00CB21B0">
              <w:t>4</w:t>
            </w:r>
            <w:r w:rsidR="00A06243" w:rsidRPr="00CB21B0">
              <w:t>7</w:t>
            </w:r>
          </w:p>
        </w:tc>
        <w:tc>
          <w:tcPr>
            <w:tcW w:w="3633" w:type="dxa"/>
            <w:shd w:val="clear" w:color="auto" w:fill="auto"/>
          </w:tcPr>
          <w:p w:rsidR="00DE0F23" w:rsidRPr="00CB21B0" w:rsidRDefault="005412D9" w:rsidP="00581EB9">
            <w:pPr>
              <w:pStyle w:val="Tabletext"/>
            </w:pPr>
            <w:r w:rsidRPr="00CB21B0">
              <w:t>A contravention of subsection</w:t>
            </w:r>
            <w:r w:rsidR="00CB21B0" w:rsidRPr="00CB21B0">
              <w:t> </w:t>
            </w:r>
            <w:r w:rsidRPr="00CB21B0">
              <w:t xml:space="preserve">121(4) of the Code relating to </w:t>
            </w:r>
            <w:r w:rsidR="00CD4799" w:rsidRPr="00CB21B0">
              <w:t xml:space="preserve">a step in </w:t>
            </w:r>
            <w:r w:rsidRPr="00CB21B0">
              <w:t xml:space="preserve">the manufacture of a </w:t>
            </w:r>
            <w:r w:rsidR="00CD4799" w:rsidRPr="00CB21B0">
              <w:t xml:space="preserve">veterinary chemical product </w:t>
            </w:r>
            <w:r w:rsidR="002E0393" w:rsidRPr="00CB21B0">
              <w:t>mentioned in the definition of</w:t>
            </w:r>
            <w:r w:rsidR="00CD4799" w:rsidRPr="00CB21B0">
              <w:t xml:space="preserve"> </w:t>
            </w:r>
            <w:r w:rsidR="00CD4799" w:rsidRPr="00CB21B0">
              <w:rPr>
                <w:b/>
                <w:i/>
              </w:rPr>
              <w:t>category 1 licence</w:t>
            </w:r>
          </w:p>
        </w:tc>
        <w:tc>
          <w:tcPr>
            <w:tcW w:w="0" w:type="auto"/>
            <w:shd w:val="clear" w:color="auto" w:fill="auto"/>
          </w:tcPr>
          <w:p w:rsidR="005412D9" w:rsidRPr="00CB21B0" w:rsidRDefault="005412D9" w:rsidP="0003398B">
            <w:pPr>
              <w:pStyle w:val="Tabletext"/>
              <w:tabs>
                <w:tab w:val="decimal" w:pos="660"/>
              </w:tabs>
            </w:pPr>
            <w:r w:rsidRPr="00CB21B0">
              <w:t>72</w:t>
            </w:r>
          </w:p>
        </w:tc>
        <w:tc>
          <w:tcPr>
            <w:tcW w:w="0" w:type="auto"/>
            <w:shd w:val="clear" w:color="auto" w:fill="auto"/>
          </w:tcPr>
          <w:p w:rsidR="005412D9" w:rsidRPr="00CB21B0" w:rsidRDefault="005412D9" w:rsidP="0003398B">
            <w:pPr>
              <w:pStyle w:val="Tabletext"/>
              <w:tabs>
                <w:tab w:val="decimal" w:pos="720"/>
              </w:tabs>
            </w:pPr>
            <w:r w:rsidRPr="00CB21B0">
              <w:t>600</w:t>
            </w:r>
          </w:p>
        </w:tc>
      </w:tr>
      <w:tr w:rsidR="00856556" w:rsidRPr="00CB21B0" w:rsidTr="0003398B">
        <w:tc>
          <w:tcPr>
            <w:tcW w:w="704" w:type="dxa"/>
            <w:shd w:val="clear" w:color="auto" w:fill="auto"/>
          </w:tcPr>
          <w:p w:rsidR="00856556" w:rsidRPr="00CB21B0" w:rsidRDefault="00581EB9" w:rsidP="00A06243">
            <w:pPr>
              <w:pStyle w:val="Tabletext"/>
            </w:pPr>
            <w:r w:rsidRPr="00CB21B0">
              <w:t>4</w:t>
            </w:r>
            <w:r w:rsidR="00A06243" w:rsidRPr="00CB21B0">
              <w:t>8</w:t>
            </w:r>
          </w:p>
        </w:tc>
        <w:tc>
          <w:tcPr>
            <w:tcW w:w="3633" w:type="dxa"/>
            <w:shd w:val="clear" w:color="auto" w:fill="auto"/>
          </w:tcPr>
          <w:p w:rsidR="00856556" w:rsidRPr="00CB21B0" w:rsidRDefault="00856556" w:rsidP="00A64ED1">
            <w:pPr>
              <w:pStyle w:val="Tabletext"/>
            </w:pPr>
            <w:r w:rsidRPr="00CB21B0">
              <w:t xml:space="preserve">A contravention of </w:t>
            </w:r>
            <w:r w:rsidR="00783596" w:rsidRPr="00CB21B0">
              <w:t>subs</w:t>
            </w:r>
            <w:r w:rsidRPr="00CB21B0">
              <w:t>ection</w:t>
            </w:r>
            <w:r w:rsidR="00CB21B0" w:rsidRPr="00CB21B0">
              <w:t> </w:t>
            </w:r>
            <w:r w:rsidRPr="00CB21B0">
              <w:t>121</w:t>
            </w:r>
            <w:r w:rsidR="00783596" w:rsidRPr="00CB21B0">
              <w:t>(</w:t>
            </w:r>
            <w:r w:rsidR="005412D9" w:rsidRPr="00CB21B0">
              <w:t>4</w:t>
            </w:r>
            <w:r w:rsidR="00783596" w:rsidRPr="00CB21B0">
              <w:t>)</w:t>
            </w:r>
            <w:r w:rsidRPr="00CB21B0">
              <w:t xml:space="preserve"> of the Code relating to </w:t>
            </w:r>
            <w:r w:rsidR="00CD4799" w:rsidRPr="00CB21B0">
              <w:t xml:space="preserve">a step in </w:t>
            </w:r>
            <w:r w:rsidRPr="00CB21B0">
              <w:t xml:space="preserve">the manufacture of a </w:t>
            </w:r>
            <w:r w:rsidR="00CD4799" w:rsidRPr="00CB21B0">
              <w:t xml:space="preserve">veterinary chemical product </w:t>
            </w:r>
            <w:r w:rsidR="00A64ED1" w:rsidRPr="00CB21B0">
              <w:t xml:space="preserve">mentioned in the definition of </w:t>
            </w:r>
            <w:r w:rsidR="00A64ED1" w:rsidRPr="00CB21B0">
              <w:rPr>
                <w:b/>
                <w:i/>
              </w:rPr>
              <w:t>c</w:t>
            </w:r>
            <w:r w:rsidRPr="00CB21B0">
              <w:rPr>
                <w:b/>
                <w:i/>
              </w:rPr>
              <w:t xml:space="preserve">ategory 2 </w:t>
            </w:r>
            <w:r w:rsidR="00CD4799" w:rsidRPr="00CB21B0">
              <w:rPr>
                <w:b/>
                <w:i/>
              </w:rPr>
              <w:t>licence</w:t>
            </w:r>
            <w:r w:rsidR="00CD4799" w:rsidRPr="00CB21B0">
              <w:t xml:space="preserve"> or </w:t>
            </w:r>
            <w:r w:rsidR="00CD4799" w:rsidRPr="00CB21B0">
              <w:rPr>
                <w:b/>
                <w:i/>
              </w:rPr>
              <w:t>category 3 licence</w:t>
            </w:r>
          </w:p>
        </w:tc>
        <w:tc>
          <w:tcPr>
            <w:tcW w:w="0" w:type="auto"/>
            <w:shd w:val="clear" w:color="auto" w:fill="auto"/>
          </w:tcPr>
          <w:p w:rsidR="00856556" w:rsidRPr="00CB21B0" w:rsidRDefault="00856556" w:rsidP="0003398B">
            <w:pPr>
              <w:pStyle w:val="Tabletext"/>
              <w:tabs>
                <w:tab w:val="decimal" w:pos="660"/>
              </w:tabs>
            </w:pPr>
            <w:r w:rsidRPr="00CB21B0">
              <w:t>36</w:t>
            </w:r>
          </w:p>
        </w:tc>
        <w:tc>
          <w:tcPr>
            <w:tcW w:w="0" w:type="auto"/>
            <w:shd w:val="clear" w:color="auto" w:fill="auto"/>
          </w:tcPr>
          <w:p w:rsidR="00856556" w:rsidRPr="00CB21B0" w:rsidRDefault="00856556" w:rsidP="0003398B">
            <w:pPr>
              <w:pStyle w:val="Tabletext"/>
              <w:tabs>
                <w:tab w:val="decimal" w:pos="720"/>
              </w:tabs>
            </w:pPr>
            <w:r w:rsidRPr="00CB21B0">
              <w:t>300</w:t>
            </w:r>
          </w:p>
        </w:tc>
      </w:tr>
      <w:tr w:rsidR="00856556" w:rsidRPr="00CB21B0" w:rsidTr="0003398B">
        <w:tc>
          <w:tcPr>
            <w:tcW w:w="704" w:type="dxa"/>
            <w:shd w:val="clear" w:color="auto" w:fill="auto"/>
          </w:tcPr>
          <w:p w:rsidR="00856556" w:rsidRPr="00CB21B0" w:rsidRDefault="00581EB9" w:rsidP="00A06243">
            <w:pPr>
              <w:pStyle w:val="Tabletext"/>
            </w:pPr>
            <w:r w:rsidRPr="00CB21B0">
              <w:t>4</w:t>
            </w:r>
            <w:r w:rsidR="00A06243" w:rsidRPr="00CB21B0">
              <w:t>9</w:t>
            </w:r>
          </w:p>
        </w:tc>
        <w:tc>
          <w:tcPr>
            <w:tcW w:w="3633" w:type="dxa"/>
            <w:shd w:val="clear" w:color="auto" w:fill="auto"/>
          </w:tcPr>
          <w:p w:rsidR="00856556" w:rsidRPr="00CB21B0" w:rsidRDefault="00856556" w:rsidP="00A64ED1">
            <w:pPr>
              <w:pStyle w:val="Tabletext"/>
            </w:pPr>
            <w:r w:rsidRPr="00CB21B0">
              <w:t xml:space="preserve">A contravention of </w:t>
            </w:r>
            <w:r w:rsidR="00E11A5C" w:rsidRPr="00CB21B0">
              <w:t>sub</w:t>
            </w:r>
            <w:r w:rsidRPr="00CB21B0">
              <w:t>section</w:t>
            </w:r>
            <w:r w:rsidR="00CB21B0" w:rsidRPr="00CB21B0">
              <w:t> </w:t>
            </w:r>
            <w:r w:rsidRPr="00CB21B0">
              <w:t>121</w:t>
            </w:r>
            <w:r w:rsidR="00B265DA" w:rsidRPr="00CB21B0">
              <w:t>(</w:t>
            </w:r>
            <w:r w:rsidR="005412D9" w:rsidRPr="00CB21B0">
              <w:t>4</w:t>
            </w:r>
            <w:r w:rsidR="00B265DA" w:rsidRPr="00CB21B0">
              <w:t xml:space="preserve">) </w:t>
            </w:r>
            <w:r w:rsidRPr="00CB21B0">
              <w:t xml:space="preserve">of the Code relating to </w:t>
            </w:r>
            <w:r w:rsidR="00CD4799" w:rsidRPr="00CB21B0">
              <w:t xml:space="preserve">a step in </w:t>
            </w:r>
            <w:r w:rsidRPr="00CB21B0">
              <w:t xml:space="preserve">the </w:t>
            </w:r>
            <w:r w:rsidRPr="00CB21B0">
              <w:lastRenderedPageBreak/>
              <w:t xml:space="preserve">manufacture of a </w:t>
            </w:r>
            <w:r w:rsidR="00CD4799" w:rsidRPr="00CB21B0">
              <w:t xml:space="preserve">veterinary chemical product </w:t>
            </w:r>
            <w:r w:rsidR="00A64ED1" w:rsidRPr="00CB21B0">
              <w:t xml:space="preserve">mentioned in the definition of </w:t>
            </w:r>
            <w:r w:rsidR="00A64ED1" w:rsidRPr="00CB21B0">
              <w:rPr>
                <w:b/>
                <w:i/>
              </w:rPr>
              <w:t>category 4 licence</w:t>
            </w:r>
          </w:p>
        </w:tc>
        <w:tc>
          <w:tcPr>
            <w:tcW w:w="0" w:type="auto"/>
            <w:shd w:val="clear" w:color="auto" w:fill="auto"/>
          </w:tcPr>
          <w:p w:rsidR="00856556" w:rsidRPr="00CB21B0" w:rsidRDefault="00856556" w:rsidP="0003398B">
            <w:pPr>
              <w:pStyle w:val="Tabletext"/>
              <w:tabs>
                <w:tab w:val="decimal" w:pos="660"/>
              </w:tabs>
            </w:pPr>
            <w:r w:rsidRPr="00CB21B0">
              <w:lastRenderedPageBreak/>
              <w:t>7</w:t>
            </w:r>
          </w:p>
        </w:tc>
        <w:tc>
          <w:tcPr>
            <w:tcW w:w="0" w:type="auto"/>
            <w:shd w:val="clear" w:color="auto" w:fill="auto"/>
          </w:tcPr>
          <w:p w:rsidR="00856556" w:rsidRPr="00CB21B0" w:rsidRDefault="00856556" w:rsidP="0003398B">
            <w:pPr>
              <w:pStyle w:val="Tabletext"/>
              <w:tabs>
                <w:tab w:val="decimal" w:pos="720"/>
              </w:tabs>
            </w:pPr>
            <w:r w:rsidRPr="00CB21B0">
              <w:t>60</w:t>
            </w:r>
          </w:p>
        </w:tc>
      </w:tr>
      <w:tr w:rsidR="00A64ED1" w:rsidRPr="00CB21B0" w:rsidTr="0003398B">
        <w:tc>
          <w:tcPr>
            <w:tcW w:w="704" w:type="dxa"/>
            <w:shd w:val="clear" w:color="auto" w:fill="auto"/>
          </w:tcPr>
          <w:p w:rsidR="00A64ED1" w:rsidRPr="00CB21B0" w:rsidRDefault="00A06243" w:rsidP="00224BB8">
            <w:pPr>
              <w:pStyle w:val="Tabletext"/>
            </w:pPr>
            <w:r w:rsidRPr="00CB21B0">
              <w:lastRenderedPageBreak/>
              <w:t>50</w:t>
            </w:r>
          </w:p>
        </w:tc>
        <w:tc>
          <w:tcPr>
            <w:tcW w:w="3633" w:type="dxa"/>
            <w:shd w:val="clear" w:color="auto" w:fill="auto"/>
          </w:tcPr>
          <w:p w:rsidR="00A64ED1" w:rsidRPr="00CB21B0" w:rsidRDefault="00A64ED1" w:rsidP="00581EB9">
            <w:pPr>
              <w:pStyle w:val="Tabletext"/>
            </w:pPr>
            <w:r w:rsidRPr="00CB21B0">
              <w:t>A contravention of subsection</w:t>
            </w:r>
            <w:r w:rsidR="00CB21B0" w:rsidRPr="00CB21B0">
              <w:t> </w:t>
            </w:r>
            <w:r w:rsidRPr="00CB21B0">
              <w:t xml:space="preserve">121(4) of the Code relating to a step in the manufacture of a veterinary chemical product mentioned in the definition of </w:t>
            </w:r>
            <w:r w:rsidRPr="00CB21B0">
              <w:rPr>
                <w:b/>
                <w:i/>
              </w:rPr>
              <w:t>category 6 licence</w:t>
            </w:r>
          </w:p>
        </w:tc>
        <w:tc>
          <w:tcPr>
            <w:tcW w:w="0" w:type="auto"/>
            <w:shd w:val="clear" w:color="auto" w:fill="auto"/>
          </w:tcPr>
          <w:p w:rsidR="00A64ED1" w:rsidRPr="00CB21B0" w:rsidRDefault="00A64ED1" w:rsidP="0003398B">
            <w:pPr>
              <w:pStyle w:val="Tabletext"/>
              <w:tabs>
                <w:tab w:val="decimal" w:pos="660"/>
              </w:tabs>
            </w:pPr>
            <w:r w:rsidRPr="00CB21B0">
              <w:t>7</w:t>
            </w:r>
          </w:p>
        </w:tc>
        <w:tc>
          <w:tcPr>
            <w:tcW w:w="0" w:type="auto"/>
            <w:shd w:val="clear" w:color="auto" w:fill="auto"/>
          </w:tcPr>
          <w:p w:rsidR="00A64ED1" w:rsidRPr="00CB21B0" w:rsidRDefault="00A64ED1" w:rsidP="0003398B">
            <w:pPr>
              <w:pStyle w:val="Tabletext"/>
              <w:tabs>
                <w:tab w:val="decimal" w:pos="720"/>
              </w:tabs>
            </w:pPr>
            <w:r w:rsidRPr="00CB21B0">
              <w:t>60</w:t>
            </w:r>
          </w:p>
        </w:tc>
      </w:tr>
      <w:tr w:rsidR="00856556" w:rsidRPr="00CB21B0" w:rsidTr="0003398B">
        <w:tc>
          <w:tcPr>
            <w:tcW w:w="704" w:type="dxa"/>
            <w:shd w:val="clear" w:color="auto" w:fill="auto"/>
          </w:tcPr>
          <w:p w:rsidR="00856556" w:rsidRPr="00CB21B0" w:rsidRDefault="00A06243" w:rsidP="00224BB8">
            <w:pPr>
              <w:pStyle w:val="Tabletext"/>
            </w:pPr>
            <w:r w:rsidRPr="00CB21B0">
              <w:t>51</w:t>
            </w:r>
          </w:p>
        </w:tc>
        <w:tc>
          <w:tcPr>
            <w:tcW w:w="3633" w:type="dxa"/>
            <w:shd w:val="clear" w:color="auto" w:fill="auto"/>
          </w:tcPr>
          <w:p w:rsidR="00B6471B" w:rsidRPr="00CB21B0" w:rsidRDefault="00856556" w:rsidP="00A06243">
            <w:pPr>
              <w:pStyle w:val="Tabletext"/>
              <w:rPr>
                <w:b/>
                <w:i/>
              </w:rPr>
            </w:pPr>
            <w:r w:rsidRPr="00CB21B0">
              <w:t xml:space="preserve">A contravention of </w:t>
            </w:r>
            <w:r w:rsidR="00783596" w:rsidRPr="00CB21B0">
              <w:t>sub</w:t>
            </w:r>
            <w:r w:rsidRPr="00CB21B0">
              <w:t>section</w:t>
            </w:r>
            <w:r w:rsidR="00CB21B0" w:rsidRPr="00CB21B0">
              <w:t> </w:t>
            </w:r>
            <w:r w:rsidRPr="00CB21B0">
              <w:t>121</w:t>
            </w:r>
            <w:r w:rsidR="00783596" w:rsidRPr="00CB21B0">
              <w:t>(</w:t>
            </w:r>
            <w:r w:rsidR="00581EB9" w:rsidRPr="00CB21B0">
              <w:t>5</w:t>
            </w:r>
            <w:r w:rsidR="00783596" w:rsidRPr="00CB21B0">
              <w:t>)</w:t>
            </w:r>
            <w:r w:rsidRPr="00CB21B0">
              <w:t xml:space="preserve"> of the Code involving non</w:t>
            </w:r>
            <w:r w:rsidR="00CB21B0">
              <w:noBreakHyphen/>
            </w:r>
            <w:r w:rsidRPr="00CB21B0">
              <w:t>compliance with</w:t>
            </w:r>
            <w:r w:rsidR="00A371D3" w:rsidRPr="00CB21B0">
              <w:t xml:space="preserve"> a</w:t>
            </w:r>
            <w:r w:rsidRPr="00CB21B0">
              <w:t xml:space="preserve"> condition </w:t>
            </w:r>
            <w:r w:rsidR="00B6471B" w:rsidRPr="00CB21B0">
              <w:t>other than a condition</w:t>
            </w:r>
            <w:r w:rsidRPr="00CB21B0">
              <w:t xml:space="preserve"> mentioned in </w:t>
            </w:r>
            <w:r w:rsidR="00A64ED1" w:rsidRPr="00CB21B0">
              <w:t>items</w:t>
            </w:r>
            <w:r w:rsidR="00CB21B0" w:rsidRPr="00CB21B0">
              <w:t> </w:t>
            </w:r>
            <w:r w:rsidR="00A62CA2" w:rsidRPr="00CB21B0">
              <w:t>5</w:t>
            </w:r>
            <w:r w:rsidR="00A06243" w:rsidRPr="00CB21B0">
              <w:t>2</w:t>
            </w:r>
            <w:r w:rsidR="00224BB8" w:rsidRPr="00CB21B0">
              <w:t>,</w:t>
            </w:r>
            <w:r w:rsidR="00B6471B" w:rsidRPr="00CB21B0">
              <w:t xml:space="preserve"> </w:t>
            </w:r>
            <w:r w:rsidR="002150A9" w:rsidRPr="00CB21B0">
              <w:t>5</w:t>
            </w:r>
            <w:r w:rsidR="00A06243" w:rsidRPr="00CB21B0">
              <w:t>3</w:t>
            </w:r>
            <w:r w:rsidR="00224BB8" w:rsidRPr="00CB21B0">
              <w:t xml:space="preserve"> or 5</w:t>
            </w:r>
            <w:r w:rsidR="00A06243" w:rsidRPr="00CB21B0">
              <w:t>4</w:t>
            </w:r>
          </w:p>
        </w:tc>
        <w:tc>
          <w:tcPr>
            <w:tcW w:w="0" w:type="auto"/>
            <w:shd w:val="clear" w:color="auto" w:fill="auto"/>
          </w:tcPr>
          <w:p w:rsidR="00856556" w:rsidRPr="00CB21B0" w:rsidRDefault="00856556" w:rsidP="0003398B">
            <w:pPr>
              <w:pStyle w:val="Tabletext"/>
              <w:tabs>
                <w:tab w:val="decimal" w:pos="660"/>
              </w:tabs>
            </w:pPr>
            <w:r w:rsidRPr="00CB21B0">
              <w:t>36</w:t>
            </w:r>
          </w:p>
        </w:tc>
        <w:tc>
          <w:tcPr>
            <w:tcW w:w="0" w:type="auto"/>
            <w:shd w:val="clear" w:color="auto" w:fill="auto"/>
          </w:tcPr>
          <w:p w:rsidR="00856556" w:rsidRPr="00CB21B0" w:rsidRDefault="00856556" w:rsidP="0003398B">
            <w:pPr>
              <w:pStyle w:val="Tabletext"/>
              <w:tabs>
                <w:tab w:val="decimal" w:pos="720"/>
              </w:tabs>
            </w:pPr>
            <w:r w:rsidRPr="00CB21B0">
              <w:t>300</w:t>
            </w:r>
          </w:p>
        </w:tc>
      </w:tr>
      <w:tr w:rsidR="00856556" w:rsidRPr="00CB21B0" w:rsidTr="0003398B">
        <w:tc>
          <w:tcPr>
            <w:tcW w:w="704" w:type="dxa"/>
            <w:shd w:val="clear" w:color="auto" w:fill="auto"/>
          </w:tcPr>
          <w:p w:rsidR="00856556" w:rsidRPr="00CB21B0" w:rsidRDefault="00224BB8" w:rsidP="00A06243">
            <w:pPr>
              <w:pStyle w:val="Tabletext"/>
            </w:pPr>
            <w:r w:rsidRPr="00CB21B0">
              <w:t>5</w:t>
            </w:r>
            <w:r w:rsidR="00A06243" w:rsidRPr="00CB21B0">
              <w:t>2</w:t>
            </w:r>
          </w:p>
        </w:tc>
        <w:tc>
          <w:tcPr>
            <w:tcW w:w="3633" w:type="dxa"/>
            <w:shd w:val="clear" w:color="auto" w:fill="auto"/>
          </w:tcPr>
          <w:p w:rsidR="00856556" w:rsidRPr="00CB21B0" w:rsidRDefault="00856556" w:rsidP="00300F80">
            <w:pPr>
              <w:pStyle w:val="Tabletext"/>
            </w:pPr>
            <w:r w:rsidRPr="00CB21B0">
              <w:t xml:space="preserve">A contravention of </w:t>
            </w:r>
            <w:r w:rsidR="00B265DA" w:rsidRPr="00CB21B0">
              <w:t>sub</w:t>
            </w:r>
            <w:r w:rsidRPr="00CB21B0">
              <w:t>section</w:t>
            </w:r>
            <w:r w:rsidR="00CB21B0" w:rsidRPr="00CB21B0">
              <w:t> </w:t>
            </w:r>
            <w:r w:rsidRPr="00CB21B0">
              <w:t>121</w:t>
            </w:r>
            <w:r w:rsidR="00B265DA" w:rsidRPr="00CB21B0">
              <w:t>(5)</w:t>
            </w:r>
            <w:r w:rsidRPr="00CB21B0">
              <w:t xml:space="preserve"> of the Code involving non</w:t>
            </w:r>
            <w:r w:rsidR="00CB21B0">
              <w:noBreakHyphen/>
            </w:r>
            <w:r w:rsidRPr="00CB21B0">
              <w:t>compliance with a condition mentioned in subregulation</w:t>
            </w:r>
            <w:r w:rsidR="00CB21B0" w:rsidRPr="00CB21B0">
              <w:t> </w:t>
            </w:r>
            <w:r w:rsidRPr="00CB21B0">
              <w:t>61(4)</w:t>
            </w:r>
            <w:r w:rsidR="00300F80" w:rsidRPr="00CB21B0">
              <w:t>,</w:t>
            </w:r>
            <w:r w:rsidRPr="00CB21B0">
              <w:t xml:space="preserve"> (7)</w:t>
            </w:r>
            <w:r w:rsidR="00300F80" w:rsidRPr="00CB21B0">
              <w:t xml:space="preserve"> or (7A)</w:t>
            </w:r>
          </w:p>
        </w:tc>
        <w:tc>
          <w:tcPr>
            <w:tcW w:w="0" w:type="auto"/>
            <w:shd w:val="clear" w:color="auto" w:fill="auto"/>
          </w:tcPr>
          <w:p w:rsidR="00856556" w:rsidRPr="00CB21B0" w:rsidRDefault="00856556" w:rsidP="0003398B">
            <w:pPr>
              <w:pStyle w:val="Tabletext"/>
              <w:tabs>
                <w:tab w:val="decimal" w:pos="660"/>
              </w:tabs>
            </w:pPr>
            <w:r w:rsidRPr="00CB21B0">
              <w:t>18</w:t>
            </w:r>
          </w:p>
        </w:tc>
        <w:tc>
          <w:tcPr>
            <w:tcW w:w="0" w:type="auto"/>
            <w:shd w:val="clear" w:color="auto" w:fill="auto"/>
          </w:tcPr>
          <w:p w:rsidR="00856556" w:rsidRPr="00CB21B0" w:rsidRDefault="00856556" w:rsidP="0003398B">
            <w:pPr>
              <w:pStyle w:val="Tabletext"/>
              <w:tabs>
                <w:tab w:val="decimal" w:pos="720"/>
              </w:tabs>
            </w:pPr>
            <w:r w:rsidRPr="00CB21B0">
              <w:t>150</w:t>
            </w:r>
          </w:p>
        </w:tc>
      </w:tr>
      <w:tr w:rsidR="00856556" w:rsidRPr="00CB21B0" w:rsidTr="0003398B">
        <w:tc>
          <w:tcPr>
            <w:tcW w:w="704" w:type="dxa"/>
            <w:shd w:val="clear" w:color="auto" w:fill="auto"/>
          </w:tcPr>
          <w:p w:rsidR="00856556" w:rsidRPr="00CB21B0" w:rsidRDefault="00A62CA2" w:rsidP="00A06243">
            <w:pPr>
              <w:pStyle w:val="Tabletext"/>
            </w:pPr>
            <w:r w:rsidRPr="00CB21B0">
              <w:t>5</w:t>
            </w:r>
            <w:r w:rsidR="00A06243" w:rsidRPr="00CB21B0">
              <w:t>3</w:t>
            </w:r>
          </w:p>
        </w:tc>
        <w:tc>
          <w:tcPr>
            <w:tcW w:w="3633" w:type="dxa"/>
            <w:shd w:val="clear" w:color="auto" w:fill="auto"/>
          </w:tcPr>
          <w:p w:rsidR="00856556" w:rsidRPr="00CB21B0" w:rsidRDefault="008F45F8" w:rsidP="00B265DA">
            <w:pPr>
              <w:pStyle w:val="Tabletext"/>
            </w:pPr>
            <w:r w:rsidRPr="00CB21B0">
              <w:t xml:space="preserve">A contravention of </w:t>
            </w:r>
            <w:r w:rsidR="00B265DA" w:rsidRPr="00CB21B0">
              <w:t>sub</w:t>
            </w:r>
            <w:r w:rsidRPr="00CB21B0">
              <w:t>section</w:t>
            </w:r>
            <w:r w:rsidR="00CB21B0" w:rsidRPr="00CB21B0">
              <w:t> </w:t>
            </w:r>
            <w:r w:rsidRPr="00CB21B0">
              <w:t>121</w:t>
            </w:r>
            <w:r w:rsidR="00B265DA" w:rsidRPr="00CB21B0">
              <w:t>(5)</w:t>
            </w:r>
            <w:r w:rsidRPr="00CB21B0">
              <w:t xml:space="preserve"> of the Code involving non</w:t>
            </w:r>
            <w:r w:rsidR="00CB21B0">
              <w:noBreakHyphen/>
            </w:r>
            <w:r w:rsidRPr="00CB21B0">
              <w:t>compliance with a condition mentioned in subregulation</w:t>
            </w:r>
            <w:r w:rsidR="00CB21B0" w:rsidRPr="00CB21B0">
              <w:t> </w:t>
            </w:r>
            <w:r w:rsidRPr="00CB21B0">
              <w:t>61(10)</w:t>
            </w:r>
          </w:p>
        </w:tc>
        <w:tc>
          <w:tcPr>
            <w:tcW w:w="0" w:type="auto"/>
            <w:shd w:val="clear" w:color="auto" w:fill="auto"/>
          </w:tcPr>
          <w:p w:rsidR="00856556" w:rsidRPr="00CB21B0" w:rsidRDefault="008F45F8" w:rsidP="0003398B">
            <w:pPr>
              <w:pStyle w:val="Tabletext"/>
              <w:tabs>
                <w:tab w:val="decimal" w:pos="660"/>
              </w:tabs>
            </w:pPr>
            <w:r w:rsidRPr="00CB21B0">
              <w:t>3</w:t>
            </w:r>
          </w:p>
        </w:tc>
        <w:tc>
          <w:tcPr>
            <w:tcW w:w="0" w:type="auto"/>
            <w:shd w:val="clear" w:color="auto" w:fill="auto"/>
          </w:tcPr>
          <w:p w:rsidR="00856556" w:rsidRPr="00CB21B0" w:rsidRDefault="008F45F8" w:rsidP="0003398B">
            <w:pPr>
              <w:pStyle w:val="Tabletext"/>
              <w:tabs>
                <w:tab w:val="decimal" w:pos="720"/>
              </w:tabs>
            </w:pPr>
            <w:r w:rsidRPr="00CB21B0">
              <w:t>30</w:t>
            </w:r>
          </w:p>
        </w:tc>
      </w:tr>
      <w:tr w:rsidR="00856556" w:rsidRPr="00CB21B0" w:rsidTr="0003398B">
        <w:tc>
          <w:tcPr>
            <w:tcW w:w="704" w:type="dxa"/>
            <w:shd w:val="clear" w:color="auto" w:fill="auto"/>
          </w:tcPr>
          <w:p w:rsidR="00856556" w:rsidRPr="00CB21B0" w:rsidRDefault="00856556" w:rsidP="00A06243">
            <w:pPr>
              <w:pStyle w:val="Tabletext"/>
            </w:pPr>
            <w:r w:rsidRPr="00CB21B0">
              <w:t>5</w:t>
            </w:r>
            <w:r w:rsidR="00A06243" w:rsidRPr="00CB21B0">
              <w:t>4</w:t>
            </w:r>
          </w:p>
        </w:tc>
        <w:tc>
          <w:tcPr>
            <w:tcW w:w="3633" w:type="dxa"/>
            <w:shd w:val="clear" w:color="auto" w:fill="auto"/>
          </w:tcPr>
          <w:p w:rsidR="00856556" w:rsidRPr="00CB21B0" w:rsidRDefault="008F45F8" w:rsidP="00783596">
            <w:pPr>
              <w:pStyle w:val="Tabletext"/>
            </w:pPr>
            <w:r w:rsidRPr="00CB21B0">
              <w:t xml:space="preserve">A contravention of </w:t>
            </w:r>
            <w:r w:rsidR="00B265DA" w:rsidRPr="00CB21B0">
              <w:t>sub</w:t>
            </w:r>
            <w:r w:rsidRPr="00CB21B0">
              <w:t>section</w:t>
            </w:r>
            <w:r w:rsidR="00CB21B0" w:rsidRPr="00CB21B0">
              <w:t> </w:t>
            </w:r>
            <w:r w:rsidRPr="00CB21B0">
              <w:t>121</w:t>
            </w:r>
            <w:r w:rsidR="00B265DA" w:rsidRPr="00CB21B0">
              <w:t>(5)</w:t>
            </w:r>
            <w:r w:rsidRPr="00CB21B0">
              <w:t xml:space="preserve"> of the Code involving non</w:t>
            </w:r>
            <w:r w:rsidR="00CB21B0">
              <w:noBreakHyphen/>
            </w:r>
            <w:r w:rsidRPr="00CB21B0">
              <w:t>compliance with a condition mentioned in subregulation</w:t>
            </w:r>
            <w:r w:rsidR="00CB21B0" w:rsidRPr="00CB21B0">
              <w:t> </w:t>
            </w:r>
            <w:r w:rsidRPr="00CB21B0">
              <w:t>61(2) or (9) or regulation</w:t>
            </w:r>
            <w:r w:rsidR="00CB21B0" w:rsidRPr="00CB21B0">
              <w:t> </w:t>
            </w:r>
            <w:r w:rsidRPr="00CB21B0">
              <w:t>62</w:t>
            </w:r>
          </w:p>
        </w:tc>
        <w:tc>
          <w:tcPr>
            <w:tcW w:w="0" w:type="auto"/>
            <w:shd w:val="clear" w:color="auto" w:fill="auto"/>
          </w:tcPr>
          <w:p w:rsidR="00856556" w:rsidRPr="00CB21B0" w:rsidRDefault="008F45F8" w:rsidP="0003398B">
            <w:pPr>
              <w:pStyle w:val="Tabletext"/>
              <w:tabs>
                <w:tab w:val="decimal" w:pos="660"/>
              </w:tabs>
            </w:pPr>
            <w:r w:rsidRPr="00CB21B0">
              <w:t>1</w:t>
            </w:r>
          </w:p>
        </w:tc>
        <w:tc>
          <w:tcPr>
            <w:tcW w:w="0" w:type="auto"/>
            <w:shd w:val="clear" w:color="auto" w:fill="auto"/>
          </w:tcPr>
          <w:p w:rsidR="00856556" w:rsidRPr="00CB21B0" w:rsidRDefault="008F45F8" w:rsidP="0003398B">
            <w:pPr>
              <w:pStyle w:val="Tabletext"/>
              <w:tabs>
                <w:tab w:val="decimal" w:pos="720"/>
              </w:tabs>
            </w:pPr>
            <w:r w:rsidRPr="00CB21B0">
              <w:t>5</w:t>
            </w:r>
          </w:p>
        </w:tc>
      </w:tr>
      <w:tr w:rsidR="008F45F8" w:rsidRPr="00CB21B0" w:rsidTr="00A40A5B">
        <w:tc>
          <w:tcPr>
            <w:tcW w:w="704" w:type="dxa"/>
            <w:tcBorders>
              <w:bottom w:val="single" w:sz="4" w:space="0" w:color="auto"/>
            </w:tcBorders>
            <w:shd w:val="clear" w:color="auto" w:fill="auto"/>
          </w:tcPr>
          <w:p w:rsidR="008F45F8" w:rsidRPr="00CB21B0" w:rsidRDefault="008F45F8" w:rsidP="00A06243">
            <w:pPr>
              <w:pStyle w:val="Tabletext"/>
            </w:pPr>
            <w:r w:rsidRPr="00CB21B0">
              <w:t>5</w:t>
            </w:r>
            <w:r w:rsidR="00A06243" w:rsidRPr="00CB21B0">
              <w:t>5</w:t>
            </w:r>
          </w:p>
        </w:tc>
        <w:tc>
          <w:tcPr>
            <w:tcW w:w="3633" w:type="dxa"/>
            <w:tcBorders>
              <w:bottom w:val="single" w:sz="4" w:space="0" w:color="auto"/>
            </w:tcBorders>
            <w:shd w:val="clear" w:color="auto" w:fill="auto"/>
          </w:tcPr>
          <w:p w:rsidR="008F45F8" w:rsidRPr="00CB21B0" w:rsidRDefault="008F45F8" w:rsidP="0003398B">
            <w:pPr>
              <w:pStyle w:val="Tabletext"/>
            </w:pPr>
            <w:r w:rsidRPr="00CB21B0">
              <w:t>A contravention of section</w:t>
            </w:r>
            <w:r w:rsidR="00CB21B0" w:rsidRPr="00CB21B0">
              <w:t> </w:t>
            </w:r>
            <w:r w:rsidRPr="00CB21B0">
              <w:t>160A of the Code</w:t>
            </w:r>
          </w:p>
        </w:tc>
        <w:tc>
          <w:tcPr>
            <w:tcW w:w="0" w:type="auto"/>
            <w:tcBorders>
              <w:bottom w:val="single" w:sz="4" w:space="0" w:color="auto"/>
            </w:tcBorders>
            <w:shd w:val="clear" w:color="auto" w:fill="auto"/>
          </w:tcPr>
          <w:p w:rsidR="008F45F8" w:rsidRPr="00CB21B0" w:rsidRDefault="008F45F8" w:rsidP="0003398B">
            <w:pPr>
              <w:pStyle w:val="Tabletext"/>
              <w:tabs>
                <w:tab w:val="decimal" w:pos="660"/>
              </w:tabs>
            </w:pPr>
            <w:r w:rsidRPr="00CB21B0">
              <w:t>90</w:t>
            </w:r>
          </w:p>
        </w:tc>
        <w:tc>
          <w:tcPr>
            <w:tcW w:w="0" w:type="auto"/>
            <w:tcBorders>
              <w:bottom w:val="single" w:sz="4" w:space="0" w:color="auto"/>
            </w:tcBorders>
            <w:shd w:val="clear" w:color="auto" w:fill="auto"/>
          </w:tcPr>
          <w:p w:rsidR="008F45F8" w:rsidRPr="00CB21B0" w:rsidRDefault="008F45F8" w:rsidP="0003398B">
            <w:pPr>
              <w:pStyle w:val="Tabletext"/>
              <w:tabs>
                <w:tab w:val="decimal" w:pos="720"/>
              </w:tabs>
            </w:pPr>
            <w:r w:rsidRPr="00CB21B0">
              <w:t>750</w:t>
            </w:r>
          </w:p>
        </w:tc>
      </w:tr>
      <w:tr w:rsidR="008F45F8" w:rsidRPr="00CB21B0" w:rsidTr="00A40A5B">
        <w:tc>
          <w:tcPr>
            <w:tcW w:w="704" w:type="dxa"/>
            <w:tcBorders>
              <w:bottom w:val="single" w:sz="12" w:space="0" w:color="auto"/>
            </w:tcBorders>
            <w:shd w:val="clear" w:color="auto" w:fill="auto"/>
          </w:tcPr>
          <w:p w:rsidR="008F45F8" w:rsidRPr="00CB21B0" w:rsidRDefault="00581EB9" w:rsidP="00A06243">
            <w:pPr>
              <w:pStyle w:val="Tabletext"/>
            </w:pPr>
            <w:r w:rsidRPr="00CB21B0">
              <w:t>5</w:t>
            </w:r>
            <w:r w:rsidR="00A06243" w:rsidRPr="00CB21B0">
              <w:t>6</w:t>
            </w:r>
          </w:p>
        </w:tc>
        <w:tc>
          <w:tcPr>
            <w:tcW w:w="3633" w:type="dxa"/>
            <w:tcBorders>
              <w:bottom w:val="single" w:sz="12" w:space="0" w:color="auto"/>
            </w:tcBorders>
            <w:shd w:val="clear" w:color="auto" w:fill="auto"/>
          </w:tcPr>
          <w:p w:rsidR="008F45F8" w:rsidRPr="00CB21B0" w:rsidRDefault="008F45F8" w:rsidP="0003398B">
            <w:pPr>
              <w:pStyle w:val="Tabletext"/>
            </w:pPr>
            <w:r w:rsidRPr="00CB21B0">
              <w:t>A contravention of section</w:t>
            </w:r>
            <w:r w:rsidR="00CB21B0" w:rsidRPr="00CB21B0">
              <w:t> </w:t>
            </w:r>
            <w:r w:rsidRPr="00CB21B0">
              <w:t>161 of the Code</w:t>
            </w:r>
          </w:p>
        </w:tc>
        <w:tc>
          <w:tcPr>
            <w:tcW w:w="0" w:type="auto"/>
            <w:tcBorders>
              <w:bottom w:val="single" w:sz="12" w:space="0" w:color="auto"/>
            </w:tcBorders>
            <w:shd w:val="clear" w:color="auto" w:fill="auto"/>
          </w:tcPr>
          <w:p w:rsidR="008F45F8" w:rsidRPr="00CB21B0" w:rsidRDefault="008F45F8" w:rsidP="0003398B">
            <w:pPr>
              <w:pStyle w:val="Tabletext"/>
              <w:tabs>
                <w:tab w:val="decimal" w:pos="660"/>
              </w:tabs>
            </w:pPr>
            <w:r w:rsidRPr="00CB21B0">
              <w:t>90</w:t>
            </w:r>
          </w:p>
        </w:tc>
        <w:tc>
          <w:tcPr>
            <w:tcW w:w="0" w:type="auto"/>
            <w:tcBorders>
              <w:bottom w:val="single" w:sz="12" w:space="0" w:color="auto"/>
            </w:tcBorders>
            <w:shd w:val="clear" w:color="auto" w:fill="auto"/>
          </w:tcPr>
          <w:p w:rsidR="008F45F8" w:rsidRPr="00CB21B0" w:rsidRDefault="008F45F8" w:rsidP="0003398B">
            <w:pPr>
              <w:pStyle w:val="Tabletext"/>
              <w:tabs>
                <w:tab w:val="decimal" w:pos="720"/>
              </w:tabs>
            </w:pPr>
            <w:r w:rsidRPr="00CB21B0">
              <w:t>750</w:t>
            </w:r>
          </w:p>
        </w:tc>
      </w:tr>
    </w:tbl>
    <w:p w:rsidR="00076FC8" w:rsidRPr="00CB21B0" w:rsidRDefault="00076FC8" w:rsidP="00076FC8">
      <w:pPr>
        <w:pStyle w:val="Tabletext"/>
      </w:pPr>
    </w:p>
    <w:p w:rsidR="00E476FE" w:rsidRPr="00CB21B0" w:rsidRDefault="007920DF" w:rsidP="00E476FE">
      <w:pPr>
        <w:pStyle w:val="notetext"/>
      </w:pPr>
      <w:r w:rsidRPr="00CB21B0">
        <w:t>Note</w:t>
      </w:r>
      <w:r w:rsidR="0003398B" w:rsidRPr="00CB21B0">
        <w:t>:</w:t>
      </w:r>
      <w:r w:rsidR="0003398B" w:rsidRPr="00CB21B0">
        <w:tab/>
      </w:r>
      <w:r w:rsidRPr="00CB21B0">
        <w:t xml:space="preserve">The terms </w:t>
      </w:r>
      <w:r w:rsidRPr="00CB21B0">
        <w:rPr>
          <w:b/>
          <w:i/>
        </w:rPr>
        <w:t xml:space="preserve">category 1 </w:t>
      </w:r>
      <w:r w:rsidR="00CD4799" w:rsidRPr="00CB21B0">
        <w:rPr>
          <w:b/>
          <w:i/>
        </w:rPr>
        <w:t>licence</w:t>
      </w:r>
      <w:r w:rsidRPr="00CB21B0">
        <w:t xml:space="preserve">, </w:t>
      </w:r>
      <w:r w:rsidRPr="00CB21B0">
        <w:rPr>
          <w:b/>
          <w:i/>
        </w:rPr>
        <w:t xml:space="preserve">category 2 </w:t>
      </w:r>
      <w:r w:rsidR="00CD4799" w:rsidRPr="00CB21B0">
        <w:rPr>
          <w:b/>
          <w:i/>
        </w:rPr>
        <w:t>licence</w:t>
      </w:r>
      <w:r w:rsidRPr="00CB21B0">
        <w:t xml:space="preserve">, </w:t>
      </w:r>
      <w:r w:rsidRPr="00CB21B0">
        <w:rPr>
          <w:b/>
          <w:i/>
        </w:rPr>
        <w:t xml:space="preserve">category 3 </w:t>
      </w:r>
      <w:r w:rsidR="00CD4799" w:rsidRPr="00CB21B0">
        <w:rPr>
          <w:b/>
          <w:i/>
        </w:rPr>
        <w:t>licence</w:t>
      </w:r>
      <w:r w:rsidR="006E7DE7" w:rsidRPr="00CB21B0">
        <w:t>,</w:t>
      </w:r>
      <w:r w:rsidRPr="00CB21B0">
        <w:t xml:space="preserve"> </w:t>
      </w:r>
      <w:r w:rsidRPr="00CB21B0">
        <w:rPr>
          <w:b/>
          <w:i/>
        </w:rPr>
        <w:t xml:space="preserve">category 4 </w:t>
      </w:r>
      <w:r w:rsidR="00CD4799" w:rsidRPr="00CB21B0">
        <w:rPr>
          <w:b/>
          <w:i/>
        </w:rPr>
        <w:t>licence</w:t>
      </w:r>
      <w:r w:rsidR="00BF3AC7" w:rsidRPr="00CB21B0">
        <w:t xml:space="preserve"> and</w:t>
      </w:r>
      <w:r w:rsidR="006E7DE7" w:rsidRPr="00CB21B0">
        <w:t xml:space="preserve"> </w:t>
      </w:r>
      <w:r w:rsidR="006E7DE7" w:rsidRPr="00CB21B0">
        <w:rPr>
          <w:b/>
          <w:i/>
        </w:rPr>
        <w:t xml:space="preserve">category 6 </w:t>
      </w:r>
      <w:r w:rsidR="00CD4799" w:rsidRPr="00CB21B0">
        <w:rPr>
          <w:b/>
          <w:i/>
        </w:rPr>
        <w:t>licence</w:t>
      </w:r>
      <w:r w:rsidR="00CD4799" w:rsidRPr="00CB21B0">
        <w:t xml:space="preserve"> </w:t>
      </w:r>
      <w:r w:rsidRPr="00CB21B0">
        <w:t>are defined at regulation</w:t>
      </w:r>
      <w:r w:rsidR="00CB21B0" w:rsidRPr="00CB21B0">
        <w:t> </w:t>
      </w:r>
      <w:r w:rsidRPr="00CB21B0">
        <w:t>3</w:t>
      </w:r>
      <w:r w:rsidR="00CD4799" w:rsidRPr="00CB21B0">
        <w:t>.</w:t>
      </w:r>
    </w:p>
    <w:p w:rsidR="00E476FE" w:rsidRPr="00CB21B0" w:rsidRDefault="00220E6F" w:rsidP="00E476FE">
      <w:pPr>
        <w:pStyle w:val="ItemHead"/>
        <w:rPr>
          <w:noProof/>
        </w:rPr>
      </w:pPr>
      <w:r w:rsidRPr="00CB21B0">
        <w:rPr>
          <w:noProof/>
        </w:rPr>
        <w:lastRenderedPageBreak/>
        <w:t>171</w:t>
      </w:r>
      <w:r w:rsidR="00E476FE" w:rsidRPr="00CB21B0">
        <w:rPr>
          <w:noProof/>
        </w:rPr>
        <w:t xml:space="preserve">  </w:t>
      </w:r>
      <w:r w:rsidR="00E9489F" w:rsidRPr="00CB21B0">
        <w:rPr>
          <w:noProof/>
        </w:rPr>
        <w:t>Clause</w:t>
      </w:r>
      <w:r w:rsidR="00CB21B0" w:rsidRPr="00CB21B0">
        <w:rPr>
          <w:noProof/>
        </w:rPr>
        <w:t> </w:t>
      </w:r>
      <w:r w:rsidR="00E9489F" w:rsidRPr="00CB21B0">
        <w:rPr>
          <w:noProof/>
        </w:rPr>
        <w:t>1.1 of Part</w:t>
      </w:r>
      <w:r w:rsidR="00CB21B0" w:rsidRPr="00CB21B0">
        <w:rPr>
          <w:noProof/>
        </w:rPr>
        <w:t> </w:t>
      </w:r>
      <w:r w:rsidR="00E9489F" w:rsidRPr="00CB21B0">
        <w:rPr>
          <w:noProof/>
        </w:rPr>
        <w:t xml:space="preserve">1 of </w:t>
      </w:r>
      <w:r w:rsidR="00E476FE" w:rsidRPr="00CB21B0">
        <w:rPr>
          <w:noProof/>
        </w:rPr>
        <w:t>Schedule</w:t>
      </w:r>
      <w:r w:rsidR="00CB21B0" w:rsidRPr="00CB21B0">
        <w:rPr>
          <w:noProof/>
        </w:rPr>
        <w:t> </w:t>
      </w:r>
      <w:r w:rsidR="00E476FE" w:rsidRPr="00CB21B0">
        <w:rPr>
          <w:noProof/>
        </w:rPr>
        <w:t>6 (</w:t>
      </w:r>
      <w:r w:rsidR="00E9489F" w:rsidRPr="00CB21B0">
        <w:rPr>
          <w:noProof/>
        </w:rPr>
        <w:t>d</w:t>
      </w:r>
      <w:r w:rsidR="00E476FE" w:rsidRPr="00CB21B0">
        <w:rPr>
          <w:noProof/>
        </w:rPr>
        <w:t xml:space="preserve">efinition of </w:t>
      </w:r>
      <w:r w:rsidR="00E476FE" w:rsidRPr="00CB21B0">
        <w:rPr>
          <w:i/>
          <w:noProof/>
        </w:rPr>
        <w:t>major food crop</w:t>
      </w:r>
      <w:r w:rsidR="00E476FE" w:rsidRPr="00CB21B0">
        <w:rPr>
          <w:noProof/>
        </w:rPr>
        <w:t>)</w:t>
      </w:r>
    </w:p>
    <w:p w:rsidR="00E476FE" w:rsidRPr="00CB21B0" w:rsidRDefault="00E476FE" w:rsidP="00E476FE">
      <w:pPr>
        <w:pStyle w:val="Item"/>
      </w:pPr>
      <w:r w:rsidRPr="00CB21B0">
        <w:t>Repeal the definition.</w:t>
      </w:r>
    </w:p>
    <w:p w:rsidR="007920DF" w:rsidRPr="00CB21B0" w:rsidRDefault="00220E6F" w:rsidP="00E476FE">
      <w:pPr>
        <w:pStyle w:val="ItemHead"/>
      </w:pPr>
      <w:r w:rsidRPr="00CB21B0">
        <w:rPr>
          <w:noProof/>
        </w:rPr>
        <w:t>172</w:t>
      </w:r>
      <w:r w:rsidR="007920DF" w:rsidRPr="00CB21B0">
        <w:t xml:space="preserve">  Schedule</w:t>
      </w:r>
      <w:r w:rsidR="00CB21B0" w:rsidRPr="00CB21B0">
        <w:t> </w:t>
      </w:r>
      <w:r w:rsidR="00BC7987" w:rsidRPr="00CB21B0">
        <w:t>6</w:t>
      </w:r>
      <w:r w:rsidR="007920DF" w:rsidRPr="00CB21B0">
        <w:t xml:space="preserve"> </w:t>
      </w:r>
      <w:r w:rsidR="00BC7987" w:rsidRPr="00CB21B0">
        <w:t>(</w:t>
      </w:r>
      <w:r w:rsidR="007920DF" w:rsidRPr="00CB21B0">
        <w:t>heading</w:t>
      </w:r>
      <w:r w:rsidR="00BC7987" w:rsidRPr="00CB21B0">
        <w:t>)</w:t>
      </w:r>
    </w:p>
    <w:p w:rsidR="007920DF" w:rsidRPr="00CB21B0" w:rsidRDefault="007920DF" w:rsidP="007920DF">
      <w:pPr>
        <w:pStyle w:val="Item"/>
      </w:pPr>
      <w:r w:rsidRPr="00CB21B0">
        <w:t>Repeal the heading, substitute:</w:t>
      </w:r>
    </w:p>
    <w:p w:rsidR="007920DF" w:rsidRPr="00CB21B0" w:rsidRDefault="007920DF" w:rsidP="007920DF">
      <w:pPr>
        <w:pStyle w:val="ActHead1"/>
      </w:pPr>
      <w:bookmarkStart w:id="127" w:name="_Toc361055119"/>
      <w:r w:rsidRPr="00CB21B0">
        <w:rPr>
          <w:rStyle w:val="CharChapNo"/>
        </w:rPr>
        <w:t>Schedule</w:t>
      </w:r>
      <w:r w:rsidR="00CB21B0" w:rsidRPr="00CB21B0">
        <w:rPr>
          <w:rStyle w:val="CharChapNo"/>
        </w:rPr>
        <w:t> </w:t>
      </w:r>
      <w:r w:rsidRPr="00CB21B0">
        <w:rPr>
          <w:rStyle w:val="CharChapNo"/>
        </w:rPr>
        <w:t>6</w:t>
      </w:r>
      <w:r w:rsidRPr="00CB21B0">
        <w:t>—</w:t>
      </w:r>
      <w:r w:rsidRPr="00CB21B0">
        <w:rPr>
          <w:rStyle w:val="CharChapText"/>
        </w:rPr>
        <w:t>Application</w:t>
      </w:r>
      <w:r w:rsidR="002E39FE" w:rsidRPr="00CB21B0">
        <w:rPr>
          <w:rStyle w:val="CharChapText"/>
        </w:rPr>
        <w:t xml:space="preserve"> f</w:t>
      </w:r>
      <w:r w:rsidRPr="00CB21B0">
        <w:rPr>
          <w:rStyle w:val="CharChapText"/>
        </w:rPr>
        <w:t>ees and assessment periods</w:t>
      </w:r>
      <w:bookmarkEnd w:id="127"/>
    </w:p>
    <w:p w:rsidR="007E4936" w:rsidRPr="00CB21B0" w:rsidRDefault="007C7132" w:rsidP="004B59B1">
      <w:pPr>
        <w:pStyle w:val="notemargin"/>
      </w:pPr>
      <w:r w:rsidRPr="00CB21B0">
        <w:t>Note:</w:t>
      </w:r>
      <w:r w:rsidRPr="00CB21B0">
        <w:tab/>
      </w:r>
      <w:r w:rsidR="007920DF" w:rsidRPr="00CB21B0">
        <w:t>See regulations</w:t>
      </w:r>
      <w:r w:rsidR="00CB21B0" w:rsidRPr="00CB21B0">
        <w:t> </w:t>
      </w:r>
      <w:r w:rsidR="007920DF" w:rsidRPr="00CB21B0">
        <w:t xml:space="preserve">70, </w:t>
      </w:r>
      <w:r w:rsidR="00102078" w:rsidRPr="00CB21B0">
        <w:t>70B, and 76 to 78</w:t>
      </w:r>
      <w:r w:rsidR="004B59B1" w:rsidRPr="00CB21B0">
        <w:t>.</w:t>
      </w:r>
    </w:p>
    <w:p w:rsidR="007920DF" w:rsidRPr="00CB21B0" w:rsidRDefault="00220E6F" w:rsidP="007920DF">
      <w:pPr>
        <w:pStyle w:val="ItemHead"/>
        <w:rPr>
          <w:rFonts w:cs="Arial"/>
        </w:rPr>
      </w:pPr>
      <w:r w:rsidRPr="00CB21B0">
        <w:rPr>
          <w:rFonts w:cs="Arial"/>
          <w:noProof/>
        </w:rPr>
        <w:t>173</w:t>
      </w:r>
      <w:r w:rsidR="007920DF" w:rsidRPr="00CB21B0">
        <w:rPr>
          <w:rFonts w:cs="Arial"/>
        </w:rPr>
        <w:t xml:space="preserve">  </w:t>
      </w:r>
      <w:r w:rsidR="00E9489F" w:rsidRPr="00CB21B0">
        <w:rPr>
          <w:rFonts w:cs="Arial"/>
        </w:rPr>
        <w:t>Part</w:t>
      </w:r>
      <w:r w:rsidR="00CB21B0" w:rsidRPr="00CB21B0">
        <w:rPr>
          <w:rFonts w:cs="Arial"/>
        </w:rPr>
        <w:t> </w:t>
      </w:r>
      <w:r w:rsidR="00E9489F" w:rsidRPr="00CB21B0">
        <w:rPr>
          <w:rFonts w:cs="Arial"/>
        </w:rPr>
        <w:t xml:space="preserve">2 of </w:t>
      </w:r>
      <w:r w:rsidR="007920DF" w:rsidRPr="00CB21B0">
        <w:rPr>
          <w:rFonts w:cs="Arial"/>
        </w:rPr>
        <w:t>Schedule</w:t>
      </w:r>
      <w:r w:rsidR="00CB21B0" w:rsidRPr="00CB21B0">
        <w:rPr>
          <w:rFonts w:cs="Arial"/>
        </w:rPr>
        <w:t> </w:t>
      </w:r>
      <w:r w:rsidR="007920DF" w:rsidRPr="00CB21B0">
        <w:rPr>
          <w:rFonts w:cs="Arial"/>
        </w:rPr>
        <w:t>6</w:t>
      </w:r>
    </w:p>
    <w:p w:rsidR="007920DF" w:rsidRPr="00CB21B0" w:rsidRDefault="007920DF" w:rsidP="007A3AE3">
      <w:pPr>
        <w:pStyle w:val="Item"/>
      </w:pPr>
      <w:r w:rsidRPr="00CB21B0">
        <w:t>Repeal the Part, substitute:</w:t>
      </w:r>
    </w:p>
    <w:p w:rsidR="00C47DFF" w:rsidRPr="00CB21B0" w:rsidRDefault="00C47DFF" w:rsidP="00C47DFF">
      <w:pPr>
        <w:sectPr w:rsidR="00C47DFF" w:rsidRPr="00CB21B0" w:rsidSect="00472199">
          <w:headerReference w:type="even" r:id="rId29"/>
          <w:headerReference w:type="default" r:id="rId30"/>
          <w:footerReference w:type="even" r:id="rId31"/>
          <w:footerReference w:type="default" r:id="rId32"/>
          <w:headerReference w:type="first" r:id="rId33"/>
          <w:footerReference w:type="first" r:id="rId34"/>
          <w:pgSz w:w="11907" w:h="16839"/>
          <w:pgMar w:top="1871" w:right="2410" w:bottom="4253" w:left="2410" w:header="720" w:footer="3412" w:gutter="0"/>
          <w:pgNumType w:start="1"/>
          <w:cols w:space="708"/>
          <w:docGrid w:linePitch="360"/>
        </w:sectPr>
      </w:pPr>
    </w:p>
    <w:p w:rsidR="00C47DFF" w:rsidRPr="00CB21B0" w:rsidRDefault="00C47DFF" w:rsidP="00C47DFF">
      <w:pPr>
        <w:pStyle w:val="ActHead2"/>
        <w:pageBreakBefore/>
      </w:pPr>
      <w:bookmarkStart w:id="128" w:name="_Toc361055120"/>
      <w:r w:rsidRPr="00CB21B0">
        <w:rPr>
          <w:rStyle w:val="CharPartNo"/>
        </w:rPr>
        <w:lastRenderedPageBreak/>
        <w:t>Part</w:t>
      </w:r>
      <w:r w:rsidR="00CB21B0" w:rsidRPr="00CB21B0">
        <w:rPr>
          <w:rStyle w:val="CharPartNo"/>
        </w:rPr>
        <w:t> </w:t>
      </w:r>
      <w:r w:rsidRPr="00CB21B0">
        <w:rPr>
          <w:rStyle w:val="CharPartNo"/>
        </w:rPr>
        <w:t>2</w:t>
      </w:r>
      <w:r w:rsidRPr="00CB21B0">
        <w:t>—</w:t>
      </w:r>
      <w:r w:rsidRPr="00CB21B0">
        <w:rPr>
          <w:rStyle w:val="CharPartText"/>
        </w:rPr>
        <w:t>Table of fees and assessment periods</w:t>
      </w:r>
      <w:bookmarkEnd w:id="128"/>
    </w:p>
    <w:p w:rsidR="00C47DFF" w:rsidRPr="00CB21B0" w:rsidRDefault="00C47DFF" w:rsidP="00C47DFF">
      <w:pPr>
        <w:pStyle w:val="Header"/>
      </w:pPr>
      <w:r w:rsidRPr="00CB21B0">
        <w:rPr>
          <w:rStyle w:val="CharDivNo"/>
        </w:rPr>
        <w:t xml:space="preserve"> </w:t>
      </w:r>
      <w:r w:rsidRPr="00CB21B0">
        <w:rPr>
          <w:rStyle w:val="CharDivText"/>
        </w:rPr>
        <w:t xml:space="preserve"> </w:t>
      </w:r>
    </w:p>
    <w:p w:rsidR="00C47DFF" w:rsidRPr="00CB21B0" w:rsidRDefault="00C47DFF" w:rsidP="00C47DF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88"/>
        <w:gridCol w:w="2126"/>
        <w:gridCol w:w="1276"/>
        <w:gridCol w:w="1842"/>
        <w:gridCol w:w="1418"/>
        <w:gridCol w:w="1984"/>
        <w:gridCol w:w="1134"/>
      </w:tblGrid>
      <w:tr w:rsidR="00220E1B" w:rsidRPr="00CB21B0" w:rsidTr="00220E1B">
        <w:trPr>
          <w:tblHeader/>
        </w:trPr>
        <w:tc>
          <w:tcPr>
            <w:tcW w:w="10768" w:type="dxa"/>
            <w:gridSpan w:val="7"/>
            <w:tcBorders>
              <w:top w:val="single" w:sz="12" w:space="0" w:color="auto"/>
              <w:bottom w:val="single" w:sz="6" w:space="0" w:color="auto"/>
            </w:tcBorders>
            <w:shd w:val="clear" w:color="auto" w:fill="auto"/>
          </w:tcPr>
          <w:p w:rsidR="00220E1B" w:rsidRPr="00CB21B0" w:rsidRDefault="00220E1B" w:rsidP="00220E1B">
            <w:pPr>
              <w:pStyle w:val="TableHeading"/>
            </w:pPr>
            <w:r w:rsidRPr="00CB21B0">
              <w:t>Table of fees and assessment periods</w:t>
            </w:r>
          </w:p>
        </w:tc>
      </w:tr>
      <w:tr w:rsidR="00C47DFF" w:rsidRPr="00CB21B0" w:rsidTr="00220E1B">
        <w:trPr>
          <w:tblHeader/>
        </w:trPr>
        <w:tc>
          <w:tcPr>
            <w:tcW w:w="988" w:type="dxa"/>
            <w:tcBorders>
              <w:top w:val="single" w:sz="6" w:space="0" w:color="auto"/>
              <w:bottom w:val="single" w:sz="12" w:space="0" w:color="auto"/>
            </w:tcBorders>
            <w:shd w:val="clear" w:color="auto" w:fill="auto"/>
          </w:tcPr>
          <w:p w:rsidR="00C47DFF" w:rsidRPr="00CB21B0" w:rsidRDefault="00C47DFF" w:rsidP="00C47DFF">
            <w:pPr>
              <w:pStyle w:val="TableHeading"/>
              <w:jc w:val="center"/>
            </w:pPr>
            <w:r w:rsidRPr="00CB21B0">
              <w:t>Item</w:t>
            </w:r>
          </w:p>
        </w:tc>
        <w:tc>
          <w:tcPr>
            <w:tcW w:w="2126" w:type="dxa"/>
            <w:tcBorders>
              <w:top w:val="single" w:sz="6" w:space="0" w:color="auto"/>
              <w:bottom w:val="single" w:sz="12" w:space="0" w:color="auto"/>
            </w:tcBorders>
            <w:shd w:val="clear" w:color="auto" w:fill="auto"/>
          </w:tcPr>
          <w:p w:rsidR="00C47DFF" w:rsidRPr="00CB21B0" w:rsidRDefault="00C47DFF" w:rsidP="00C47DFF">
            <w:pPr>
              <w:pStyle w:val="TableHeading"/>
              <w:jc w:val="center"/>
            </w:pPr>
            <w:r w:rsidRPr="00CB21B0">
              <w:t>Column 1</w:t>
            </w:r>
          </w:p>
          <w:p w:rsidR="00C47DFF" w:rsidRPr="00CB21B0" w:rsidRDefault="00C47DFF" w:rsidP="00C47DFF">
            <w:pPr>
              <w:pStyle w:val="TableHeading"/>
              <w:jc w:val="center"/>
            </w:pPr>
            <w:r w:rsidRPr="00CB21B0">
              <w:t>Description of application</w:t>
            </w:r>
          </w:p>
        </w:tc>
        <w:tc>
          <w:tcPr>
            <w:tcW w:w="1276" w:type="dxa"/>
            <w:tcBorders>
              <w:top w:val="single" w:sz="6" w:space="0" w:color="auto"/>
              <w:bottom w:val="single" w:sz="12" w:space="0" w:color="auto"/>
            </w:tcBorders>
            <w:shd w:val="clear" w:color="auto" w:fill="auto"/>
          </w:tcPr>
          <w:p w:rsidR="00C47DFF" w:rsidRPr="00CB21B0" w:rsidRDefault="00C47DFF" w:rsidP="00C47DFF">
            <w:pPr>
              <w:pStyle w:val="TableHeading"/>
              <w:jc w:val="center"/>
            </w:pPr>
            <w:r w:rsidRPr="00CB21B0">
              <w:t>Column 2</w:t>
            </w:r>
          </w:p>
          <w:p w:rsidR="00C47DFF" w:rsidRPr="00CB21B0" w:rsidRDefault="00C47DFF" w:rsidP="00C47DFF">
            <w:pPr>
              <w:pStyle w:val="TableHeading"/>
              <w:jc w:val="center"/>
            </w:pPr>
            <w:r w:rsidRPr="00CB21B0">
              <w:t>Assessment period (months)</w:t>
            </w:r>
          </w:p>
        </w:tc>
        <w:tc>
          <w:tcPr>
            <w:tcW w:w="1842" w:type="dxa"/>
            <w:tcBorders>
              <w:top w:val="single" w:sz="6" w:space="0" w:color="auto"/>
              <w:bottom w:val="single" w:sz="12" w:space="0" w:color="auto"/>
            </w:tcBorders>
            <w:shd w:val="clear" w:color="auto" w:fill="auto"/>
          </w:tcPr>
          <w:p w:rsidR="00C47DFF" w:rsidRPr="00CB21B0" w:rsidRDefault="00C47DFF" w:rsidP="00C47DFF">
            <w:pPr>
              <w:pStyle w:val="TableHeading"/>
              <w:jc w:val="center"/>
            </w:pPr>
            <w:r w:rsidRPr="00CB21B0">
              <w:t>Column 3</w:t>
            </w:r>
          </w:p>
          <w:p w:rsidR="00C47DFF" w:rsidRPr="00CB21B0" w:rsidRDefault="00C47DFF" w:rsidP="00C47DFF">
            <w:pPr>
              <w:pStyle w:val="TableHeading"/>
              <w:jc w:val="center"/>
            </w:pPr>
            <w:r w:rsidRPr="00CB21B0">
              <w:t>Extended assessment period (months)</w:t>
            </w:r>
          </w:p>
        </w:tc>
        <w:tc>
          <w:tcPr>
            <w:tcW w:w="1418" w:type="dxa"/>
            <w:tcBorders>
              <w:top w:val="single" w:sz="6" w:space="0" w:color="auto"/>
              <w:bottom w:val="single" w:sz="12" w:space="0" w:color="auto"/>
            </w:tcBorders>
            <w:shd w:val="clear" w:color="auto" w:fill="auto"/>
          </w:tcPr>
          <w:p w:rsidR="00C47DFF" w:rsidRPr="00CB21B0" w:rsidRDefault="00C47DFF" w:rsidP="00C47DFF">
            <w:pPr>
              <w:pStyle w:val="TableHeading"/>
              <w:jc w:val="right"/>
            </w:pPr>
            <w:r w:rsidRPr="00CB21B0">
              <w:t>Column 4</w:t>
            </w:r>
          </w:p>
          <w:p w:rsidR="00C47DFF" w:rsidRPr="00CB21B0" w:rsidRDefault="00C47DFF" w:rsidP="00C47DFF">
            <w:pPr>
              <w:pStyle w:val="TableHeading"/>
              <w:jc w:val="right"/>
            </w:pPr>
            <w:r w:rsidRPr="00CB21B0">
              <w:t>Maximum pre application assistance rebate ($)</w:t>
            </w:r>
          </w:p>
        </w:tc>
        <w:tc>
          <w:tcPr>
            <w:tcW w:w="1984" w:type="dxa"/>
            <w:tcBorders>
              <w:top w:val="single" w:sz="6" w:space="0" w:color="auto"/>
              <w:bottom w:val="single" w:sz="12" w:space="0" w:color="auto"/>
            </w:tcBorders>
            <w:shd w:val="clear" w:color="auto" w:fill="auto"/>
          </w:tcPr>
          <w:p w:rsidR="00C47DFF" w:rsidRPr="00CB21B0" w:rsidRDefault="00C47DFF" w:rsidP="00C47DFF">
            <w:pPr>
              <w:pStyle w:val="TableHeading"/>
              <w:jc w:val="right"/>
            </w:pPr>
            <w:r w:rsidRPr="00CB21B0">
              <w:t>Column 5</w:t>
            </w:r>
          </w:p>
          <w:p w:rsidR="00C47DFF" w:rsidRPr="00CB21B0" w:rsidRDefault="00C47DFF" w:rsidP="00C47DFF">
            <w:pPr>
              <w:pStyle w:val="TableHeading"/>
              <w:jc w:val="right"/>
            </w:pPr>
            <w:r w:rsidRPr="00CB21B0">
              <w:t>Fee from 1</w:t>
            </w:r>
            <w:r w:rsidR="00CB21B0" w:rsidRPr="00CB21B0">
              <w:t> </w:t>
            </w:r>
            <w:r w:rsidRPr="00CB21B0">
              <w:t>July 2014 ($)</w:t>
            </w:r>
          </w:p>
        </w:tc>
        <w:tc>
          <w:tcPr>
            <w:tcW w:w="1134" w:type="dxa"/>
            <w:tcBorders>
              <w:top w:val="single" w:sz="6" w:space="0" w:color="auto"/>
              <w:bottom w:val="single" w:sz="12" w:space="0" w:color="auto"/>
            </w:tcBorders>
            <w:shd w:val="clear" w:color="auto" w:fill="auto"/>
          </w:tcPr>
          <w:p w:rsidR="00C47DFF" w:rsidRPr="00CB21B0" w:rsidRDefault="00C47DFF" w:rsidP="00C47DFF">
            <w:pPr>
              <w:pStyle w:val="TableHeading"/>
              <w:jc w:val="right"/>
            </w:pPr>
            <w:r w:rsidRPr="00CB21B0">
              <w:t>Column 6</w:t>
            </w:r>
          </w:p>
          <w:p w:rsidR="00C47DFF" w:rsidRPr="00CB21B0" w:rsidRDefault="00C47DFF" w:rsidP="00C47DFF">
            <w:pPr>
              <w:pStyle w:val="TableHeading"/>
              <w:jc w:val="right"/>
            </w:pPr>
            <w:r w:rsidRPr="00CB21B0">
              <w:t>Fee from 1</w:t>
            </w:r>
            <w:r w:rsidR="00CB21B0" w:rsidRPr="00CB21B0">
              <w:t> </w:t>
            </w:r>
            <w:r w:rsidRPr="00CB21B0">
              <w:t>January 2015 ($)</w:t>
            </w:r>
          </w:p>
        </w:tc>
      </w:tr>
      <w:tr w:rsidR="00C47DFF" w:rsidRPr="00CB21B0" w:rsidTr="00220E1B">
        <w:tc>
          <w:tcPr>
            <w:tcW w:w="10768" w:type="dxa"/>
            <w:gridSpan w:val="7"/>
            <w:tcBorders>
              <w:top w:val="single" w:sz="12" w:space="0" w:color="auto"/>
            </w:tcBorders>
            <w:shd w:val="clear" w:color="auto" w:fill="auto"/>
          </w:tcPr>
          <w:p w:rsidR="00C47DFF" w:rsidRPr="00CB21B0" w:rsidRDefault="00C47DFF" w:rsidP="00220E1B">
            <w:pPr>
              <w:pStyle w:val="TableHeading"/>
            </w:pPr>
            <w:r w:rsidRPr="00CB21B0">
              <w:t>Applications for approval of active constituent contained in a chemical product, registration of the chemical product and approval of the product label</w:t>
            </w:r>
          </w:p>
        </w:tc>
      </w:tr>
      <w:tr w:rsidR="00C47DFF" w:rsidRPr="00CB21B0" w:rsidTr="00220E1B">
        <w:tc>
          <w:tcPr>
            <w:tcW w:w="988" w:type="dxa"/>
            <w:shd w:val="clear" w:color="auto" w:fill="auto"/>
          </w:tcPr>
          <w:p w:rsidR="00C47DFF" w:rsidRPr="00CB21B0" w:rsidRDefault="00C47DFF" w:rsidP="00C47DFF">
            <w:pPr>
              <w:pStyle w:val="Tabletext"/>
            </w:pPr>
            <w:r w:rsidRPr="00CB21B0">
              <w:t>1</w:t>
            </w:r>
          </w:p>
        </w:tc>
        <w:tc>
          <w:tcPr>
            <w:tcW w:w="2126" w:type="dxa"/>
            <w:shd w:val="clear" w:color="auto" w:fill="auto"/>
          </w:tcPr>
          <w:p w:rsidR="00C47DFF" w:rsidRPr="00CB21B0" w:rsidRDefault="00C47DFF" w:rsidP="00C47DFF">
            <w:pPr>
              <w:pStyle w:val="Tabletext"/>
            </w:pPr>
            <w:r w:rsidRPr="00CB21B0">
              <w:t xml:space="preserve">Application for approval of an active constituent contained in a chemical product, registration of the associated chemical product and approval </w:t>
            </w:r>
            <w:r w:rsidRPr="00CB21B0">
              <w:lastRenderedPageBreak/>
              <w:t>of the product label requiring a full assessment of the active constituent and chemical product (other than a timeshift application)</w:t>
            </w:r>
          </w:p>
        </w:tc>
        <w:tc>
          <w:tcPr>
            <w:tcW w:w="1276" w:type="dxa"/>
            <w:shd w:val="clear" w:color="auto" w:fill="auto"/>
          </w:tcPr>
          <w:p w:rsidR="00C47DFF" w:rsidRPr="00CB21B0" w:rsidRDefault="00C47DFF" w:rsidP="00C47DFF">
            <w:pPr>
              <w:pStyle w:val="Tabletext"/>
            </w:pPr>
            <w:r w:rsidRPr="00CB21B0">
              <w:lastRenderedPageBreak/>
              <w:t>18</w:t>
            </w:r>
          </w:p>
        </w:tc>
        <w:tc>
          <w:tcPr>
            <w:tcW w:w="1842" w:type="dxa"/>
            <w:shd w:val="clear" w:color="auto" w:fill="auto"/>
          </w:tcPr>
          <w:p w:rsidR="00C47DFF" w:rsidRPr="00CB21B0" w:rsidRDefault="00C47DFF" w:rsidP="00C47DFF">
            <w:pPr>
              <w:pStyle w:val="Tabletext"/>
            </w:pPr>
            <w:r w:rsidRPr="00CB21B0">
              <w:t>25</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400</w:t>
            </w:r>
          </w:p>
        </w:tc>
        <w:tc>
          <w:tcPr>
            <w:tcW w:w="1984" w:type="dxa"/>
            <w:shd w:val="clear" w:color="auto" w:fill="auto"/>
          </w:tcPr>
          <w:p w:rsidR="00C47DFF" w:rsidRPr="00CB21B0" w:rsidRDefault="00C47DFF" w:rsidP="00C47DFF">
            <w:pPr>
              <w:pStyle w:val="Tabletext"/>
              <w:jc w:val="right"/>
            </w:pPr>
            <w:r w:rsidRPr="00CB21B0">
              <w:t>84</w:t>
            </w:r>
            <w:r w:rsidR="00CB21B0" w:rsidRPr="00CB21B0">
              <w:t> </w:t>
            </w:r>
            <w:r w:rsidRPr="00CB21B0">
              <w:t>115</w:t>
            </w:r>
          </w:p>
        </w:tc>
        <w:tc>
          <w:tcPr>
            <w:tcW w:w="1134" w:type="dxa"/>
            <w:shd w:val="clear" w:color="auto" w:fill="auto"/>
          </w:tcPr>
          <w:p w:rsidR="00C47DFF" w:rsidRPr="00CB21B0" w:rsidRDefault="00C47DFF" w:rsidP="00C47DFF">
            <w:pPr>
              <w:pStyle w:val="Tabletext"/>
              <w:jc w:val="right"/>
            </w:pPr>
            <w:r w:rsidRPr="00CB21B0">
              <w:t>96</w:t>
            </w:r>
            <w:r w:rsidR="00CB21B0" w:rsidRPr="00CB21B0">
              <w:t> </w:t>
            </w:r>
            <w:r w:rsidRPr="00CB21B0">
              <w:t>135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2</w:t>
            </w:r>
          </w:p>
        </w:tc>
        <w:tc>
          <w:tcPr>
            <w:tcW w:w="2126" w:type="dxa"/>
            <w:shd w:val="clear" w:color="auto" w:fill="auto"/>
          </w:tcPr>
          <w:p w:rsidR="00C47DFF" w:rsidRPr="00CB21B0" w:rsidRDefault="00C47DFF" w:rsidP="00C47DFF">
            <w:pPr>
              <w:pStyle w:val="Tabletext"/>
            </w:pPr>
            <w:r w:rsidRPr="00CB21B0">
              <w:t xml:space="preserve">Application for approval of an active constituent contained in a chemical product, registration of the associated chemical product and approval </w:t>
            </w:r>
            <w:r w:rsidRPr="00CB21B0">
              <w:lastRenderedPageBreak/>
              <w:t>of the product label requiring less than full assessment of the active constituent and chemical product (other than a timeshift application)</w:t>
            </w:r>
          </w:p>
        </w:tc>
        <w:tc>
          <w:tcPr>
            <w:tcW w:w="1276" w:type="dxa"/>
            <w:shd w:val="clear" w:color="auto" w:fill="auto"/>
          </w:tcPr>
          <w:p w:rsidR="00C47DFF" w:rsidRPr="00CB21B0" w:rsidRDefault="00C47DFF" w:rsidP="00C47DFF">
            <w:pPr>
              <w:pStyle w:val="Tabletext"/>
            </w:pPr>
            <w:r w:rsidRPr="00CB21B0">
              <w:lastRenderedPageBreak/>
              <w:t>The modular assessment period</w:t>
            </w:r>
          </w:p>
        </w:tc>
        <w:tc>
          <w:tcPr>
            <w:tcW w:w="1842" w:type="dxa"/>
            <w:shd w:val="clear" w:color="auto" w:fill="auto"/>
          </w:tcPr>
          <w:p w:rsidR="00C47DFF" w:rsidRPr="00CB21B0" w:rsidRDefault="00C47DFF" w:rsidP="00C47DFF">
            <w:pPr>
              <w:pStyle w:val="Tabletext"/>
            </w:pPr>
            <w:r w:rsidRPr="00CB21B0">
              <w:t>One and one third of the modular assessment period, rounded up to the nearest whole month, plus 1 month</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400</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The modular assessment fee</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lastRenderedPageBreak/>
              <w:t>Applications for registration of a chemical product containing an approved active constituent and approval of the product label</w:t>
            </w:r>
          </w:p>
        </w:tc>
      </w:tr>
      <w:tr w:rsidR="00C47DFF" w:rsidRPr="00CB21B0" w:rsidTr="00220E1B">
        <w:tc>
          <w:tcPr>
            <w:tcW w:w="988" w:type="dxa"/>
            <w:shd w:val="clear" w:color="auto" w:fill="auto"/>
          </w:tcPr>
          <w:p w:rsidR="00C47DFF" w:rsidRPr="00CB21B0" w:rsidRDefault="00C47DFF" w:rsidP="00C47DFF">
            <w:pPr>
              <w:pStyle w:val="Tabletext"/>
            </w:pPr>
            <w:r w:rsidRPr="00CB21B0">
              <w:t>3</w:t>
            </w:r>
          </w:p>
        </w:tc>
        <w:tc>
          <w:tcPr>
            <w:tcW w:w="2126" w:type="dxa"/>
            <w:shd w:val="clear" w:color="auto" w:fill="auto"/>
          </w:tcPr>
          <w:p w:rsidR="00C47DFF" w:rsidRPr="00CB21B0" w:rsidRDefault="00C47DFF" w:rsidP="00C47DFF">
            <w:pPr>
              <w:pStyle w:val="Tabletext"/>
            </w:pPr>
            <w:r w:rsidRPr="00CB21B0">
              <w:t xml:space="preserve">Application for registration of a chemical product containing an approved active constituent, and </w:t>
            </w:r>
            <w:r w:rsidRPr="00CB21B0">
              <w:lastRenderedPageBreak/>
              <w:t>approval of the product label (other than a timeshift application), if:</w:t>
            </w:r>
          </w:p>
          <w:p w:rsidR="00C47DFF" w:rsidRPr="00CB21B0" w:rsidRDefault="00C47DFF" w:rsidP="00C47DFF">
            <w:pPr>
              <w:pStyle w:val="Tablea"/>
            </w:pPr>
            <w:r w:rsidRPr="00CB21B0">
              <w:rPr>
                <w:szCs w:val="22"/>
              </w:rPr>
              <w:t>(a) there is no registered chemical product containing the active constituent; and</w:t>
            </w:r>
          </w:p>
          <w:p w:rsidR="00C47DFF" w:rsidRPr="00CB21B0" w:rsidRDefault="00C47DFF" w:rsidP="00C47DFF">
            <w:pPr>
              <w:pStyle w:val="Tablea"/>
            </w:pPr>
            <w:r w:rsidRPr="00CB21B0">
              <w:t>(b) a full assessment of the chemical product is required</w:t>
            </w:r>
          </w:p>
        </w:tc>
        <w:tc>
          <w:tcPr>
            <w:tcW w:w="1276" w:type="dxa"/>
            <w:shd w:val="clear" w:color="auto" w:fill="auto"/>
          </w:tcPr>
          <w:p w:rsidR="00C47DFF" w:rsidRPr="00CB21B0" w:rsidRDefault="00C47DFF" w:rsidP="00C47DFF">
            <w:pPr>
              <w:pStyle w:val="Tabletext"/>
            </w:pPr>
            <w:r w:rsidRPr="00CB21B0">
              <w:lastRenderedPageBreak/>
              <w:t>18</w:t>
            </w:r>
          </w:p>
        </w:tc>
        <w:tc>
          <w:tcPr>
            <w:tcW w:w="1842" w:type="dxa"/>
            <w:shd w:val="clear" w:color="auto" w:fill="auto"/>
          </w:tcPr>
          <w:p w:rsidR="00C47DFF" w:rsidRPr="00CB21B0" w:rsidRDefault="00C47DFF" w:rsidP="00C47DFF">
            <w:pPr>
              <w:pStyle w:val="Tabletext"/>
            </w:pPr>
            <w:r w:rsidRPr="00CB21B0">
              <w:t>25</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050</w:t>
            </w:r>
          </w:p>
        </w:tc>
        <w:tc>
          <w:tcPr>
            <w:tcW w:w="1984" w:type="dxa"/>
            <w:shd w:val="clear" w:color="auto" w:fill="auto"/>
          </w:tcPr>
          <w:p w:rsidR="00C47DFF" w:rsidRPr="00CB21B0" w:rsidRDefault="00C47DFF" w:rsidP="00C47DFF">
            <w:pPr>
              <w:pStyle w:val="Tabletext"/>
              <w:jc w:val="right"/>
            </w:pPr>
            <w:r w:rsidRPr="00CB21B0">
              <w:t>56</w:t>
            </w:r>
            <w:r w:rsidR="00CB21B0" w:rsidRPr="00CB21B0">
              <w:t> </w:t>
            </w:r>
            <w:r w:rsidRPr="00CB21B0">
              <w:t>545</w:t>
            </w:r>
          </w:p>
        </w:tc>
        <w:tc>
          <w:tcPr>
            <w:tcW w:w="1134" w:type="dxa"/>
            <w:shd w:val="clear" w:color="auto" w:fill="auto"/>
          </w:tcPr>
          <w:p w:rsidR="00C47DFF" w:rsidRPr="00CB21B0" w:rsidRDefault="00C47DFF" w:rsidP="00C47DFF">
            <w:pPr>
              <w:pStyle w:val="Tabletext"/>
              <w:jc w:val="right"/>
            </w:pPr>
            <w:r w:rsidRPr="00CB21B0">
              <w:t>64</w:t>
            </w:r>
            <w:r w:rsidR="00CB21B0" w:rsidRPr="00CB21B0">
              <w:t> </w:t>
            </w:r>
            <w:r w:rsidRPr="00CB21B0">
              <w:t>620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4</w:t>
            </w:r>
          </w:p>
        </w:tc>
        <w:tc>
          <w:tcPr>
            <w:tcW w:w="2126" w:type="dxa"/>
            <w:shd w:val="clear" w:color="auto" w:fill="auto"/>
          </w:tcPr>
          <w:p w:rsidR="00C47DFF" w:rsidRPr="00CB21B0" w:rsidRDefault="00C47DFF" w:rsidP="00C47DFF">
            <w:pPr>
              <w:pStyle w:val="Tabletext"/>
            </w:pPr>
            <w:r w:rsidRPr="00CB21B0">
              <w:t xml:space="preserve">Application for registration of a </w:t>
            </w:r>
            <w:r w:rsidRPr="00CB21B0">
              <w:lastRenderedPageBreak/>
              <w:t>chemical product containing an approved active constituent, and approval of the product label, if:</w:t>
            </w:r>
          </w:p>
          <w:p w:rsidR="00C47DFF" w:rsidRPr="00CB21B0" w:rsidRDefault="00C47DFF" w:rsidP="00C47DFF">
            <w:pPr>
              <w:pStyle w:val="Tablea"/>
            </w:pPr>
            <w:r w:rsidRPr="00CB21B0">
              <w:rPr>
                <w:szCs w:val="22"/>
              </w:rPr>
              <w:t>(a) there is a registered chemical product containing the active constituent; and</w:t>
            </w:r>
          </w:p>
          <w:p w:rsidR="00C47DFF" w:rsidRPr="00CB21B0" w:rsidRDefault="00C47DFF" w:rsidP="00C47DFF">
            <w:pPr>
              <w:pStyle w:val="Tablea"/>
              <w:rPr>
                <w:strike/>
              </w:rPr>
            </w:pPr>
            <w:r w:rsidRPr="00CB21B0">
              <w:t>(b)</w:t>
            </w:r>
            <w:r w:rsidRPr="00CB21B0">
              <w:tab/>
              <w:t>a full assessment of the chemical product is required; and</w:t>
            </w:r>
          </w:p>
          <w:p w:rsidR="00C47DFF" w:rsidRPr="00CB21B0" w:rsidRDefault="00C47DFF" w:rsidP="00C47DFF">
            <w:pPr>
              <w:pStyle w:val="Tablea"/>
            </w:pPr>
            <w:r w:rsidRPr="00CB21B0">
              <w:lastRenderedPageBreak/>
              <w:t>(c) there are no relevant maximum residue limits; and</w:t>
            </w:r>
          </w:p>
          <w:p w:rsidR="00C47DFF" w:rsidRPr="00CB21B0" w:rsidRDefault="00C47DFF" w:rsidP="00C47DFF">
            <w:pPr>
              <w:pStyle w:val="Tablea"/>
            </w:pPr>
            <w:r w:rsidRPr="00CB21B0">
              <w:t>(d) poison schedule classification is required</w:t>
            </w:r>
          </w:p>
        </w:tc>
        <w:tc>
          <w:tcPr>
            <w:tcW w:w="1276" w:type="dxa"/>
            <w:shd w:val="clear" w:color="auto" w:fill="auto"/>
          </w:tcPr>
          <w:p w:rsidR="00C47DFF" w:rsidRPr="00CB21B0" w:rsidRDefault="00C47DFF" w:rsidP="00C47DFF">
            <w:pPr>
              <w:pStyle w:val="Tabletext"/>
            </w:pPr>
            <w:r w:rsidRPr="00CB21B0">
              <w:lastRenderedPageBreak/>
              <w:t>18</w:t>
            </w:r>
          </w:p>
        </w:tc>
        <w:tc>
          <w:tcPr>
            <w:tcW w:w="1842" w:type="dxa"/>
            <w:shd w:val="clear" w:color="auto" w:fill="auto"/>
          </w:tcPr>
          <w:p w:rsidR="00C47DFF" w:rsidRPr="00CB21B0" w:rsidRDefault="00C47DFF" w:rsidP="00C47DFF">
            <w:pPr>
              <w:pStyle w:val="Tablea"/>
            </w:pPr>
            <w:r w:rsidRPr="00CB21B0">
              <w:t>25</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050</w:t>
            </w:r>
          </w:p>
        </w:tc>
        <w:tc>
          <w:tcPr>
            <w:tcW w:w="1984" w:type="dxa"/>
            <w:shd w:val="clear" w:color="auto" w:fill="auto"/>
          </w:tcPr>
          <w:p w:rsidR="00C47DFF" w:rsidRPr="00CB21B0" w:rsidRDefault="00C47DFF" w:rsidP="00C47DFF">
            <w:pPr>
              <w:pStyle w:val="Tabletext"/>
              <w:jc w:val="right"/>
            </w:pPr>
            <w:r w:rsidRPr="00CB21B0">
              <w:t>32</w:t>
            </w:r>
            <w:r w:rsidR="00CB21B0" w:rsidRPr="00CB21B0">
              <w:t> </w:t>
            </w:r>
            <w:r w:rsidRPr="00CB21B0">
              <w:t>090</w:t>
            </w:r>
          </w:p>
        </w:tc>
        <w:tc>
          <w:tcPr>
            <w:tcW w:w="1134" w:type="dxa"/>
            <w:shd w:val="clear" w:color="auto" w:fill="auto"/>
          </w:tcPr>
          <w:p w:rsidR="00C47DFF" w:rsidRPr="00CB21B0" w:rsidRDefault="00C47DFF" w:rsidP="00C47DFF">
            <w:pPr>
              <w:pStyle w:val="Tabletext"/>
              <w:jc w:val="right"/>
            </w:pPr>
            <w:r w:rsidRPr="00CB21B0">
              <w:t>36</w:t>
            </w:r>
            <w:r w:rsidR="00CB21B0" w:rsidRPr="00CB21B0">
              <w:t> </w:t>
            </w:r>
            <w:r w:rsidRPr="00CB21B0">
              <w:t>675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5</w:t>
            </w:r>
          </w:p>
        </w:tc>
        <w:tc>
          <w:tcPr>
            <w:tcW w:w="2126" w:type="dxa"/>
            <w:shd w:val="clear" w:color="auto" w:fill="auto"/>
          </w:tcPr>
          <w:p w:rsidR="00C47DFF" w:rsidRPr="00CB21B0" w:rsidRDefault="00C47DFF" w:rsidP="00C47DFF">
            <w:pPr>
              <w:pStyle w:val="Tabletext"/>
            </w:pPr>
            <w:r w:rsidRPr="00CB21B0">
              <w:t>Application for registration of a chemical product containing an approved active constituent, and approval of the product label, if:</w:t>
            </w:r>
          </w:p>
          <w:p w:rsidR="00C47DFF" w:rsidRPr="00CB21B0" w:rsidRDefault="00C47DFF" w:rsidP="00C47DFF">
            <w:pPr>
              <w:pStyle w:val="Tablea"/>
            </w:pPr>
            <w:r w:rsidRPr="00CB21B0">
              <w:rPr>
                <w:szCs w:val="22"/>
              </w:rPr>
              <w:t xml:space="preserve">(a) the chemical </w:t>
            </w:r>
            <w:r w:rsidRPr="00CB21B0">
              <w:rPr>
                <w:szCs w:val="22"/>
              </w:rPr>
              <w:lastRenderedPageBreak/>
              <w:t>product is similar to a registered chemical product; and</w:t>
            </w:r>
          </w:p>
          <w:p w:rsidR="00C47DFF" w:rsidRPr="00CB21B0" w:rsidRDefault="00C47DFF" w:rsidP="00C47DFF">
            <w:pPr>
              <w:pStyle w:val="Tablea"/>
            </w:pPr>
            <w:r w:rsidRPr="00CB21B0">
              <w:t>(b) chemistry and manufacture, efficacy or target species safety data is the only data required to demonstrate the similarity of the chemical product to the registered chemical product</w:t>
            </w:r>
          </w:p>
        </w:tc>
        <w:tc>
          <w:tcPr>
            <w:tcW w:w="1276" w:type="dxa"/>
            <w:shd w:val="clear" w:color="auto" w:fill="auto"/>
          </w:tcPr>
          <w:p w:rsidR="00C47DFF" w:rsidRPr="00CB21B0" w:rsidRDefault="00C47DFF" w:rsidP="00C47DFF">
            <w:pPr>
              <w:pStyle w:val="Tabletext"/>
            </w:pPr>
            <w:r w:rsidRPr="00CB21B0">
              <w:lastRenderedPageBreak/>
              <w:t>8</w:t>
            </w:r>
          </w:p>
        </w:tc>
        <w:tc>
          <w:tcPr>
            <w:tcW w:w="1842" w:type="dxa"/>
            <w:shd w:val="clear" w:color="auto" w:fill="auto"/>
          </w:tcPr>
          <w:p w:rsidR="00C47DFF" w:rsidRPr="00CB21B0" w:rsidRDefault="00C47DFF" w:rsidP="00C47DFF">
            <w:pPr>
              <w:pStyle w:val="Tabletext"/>
            </w:pPr>
            <w:r w:rsidRPr="00CB21B0">
              <w:t>12</w:t>
            </w:r>
          </w:p>
        </w:tc>
        <w:tc>
          <w:tcPr>
            <w:tcW w:w="1418" w:type="dxa"/>
            <w:shd w:val="clear" w:color="auto" w:fill="auto"/>
          </w:tcPr>
          <w:p w:rsidR="00C47DFF" w:rsidRPr="00CB21B0" w:rsidRDefault="00C47DFF" w:rsidP="00C47DFF">
            <w:pPr>
              <w:pStyle w:val="Tabletext"/>
              <w:jc w:val="right"/>
            </w:pPr>
            <w:r w:rsidRPr="00CB21B0">
              <w:t>700</w:t>
            </w:r>
          </w:p>
        </w:tc>
        <w:tc>
          <w:tcPr>
            <w:tcW w:w="1984" w:type="dxa"/>
            <w:shd w:val="clear" w:color="auto" w:fill="auto"/>
          </w:tcPr>
          <w:p w:rsidR="00C47DFF" w:rsidRPr="00CB21B0" w:rsidRDefault="00C47DFF" w:rsidP="00C47DFF">
            <w:pPr>
              <w:pStyle w:val="Tabletext"/>
              <w:jc w:val="right"/>
            </w:pPr>
            <w:r w:rsidRPr="00CB21B0">
              <w:t>4</w:t>
            </w:r>
            <w:r w:rsidR="00CB21B0" w:rsidRPr="00CB21B0">
              <w:t> </w:t>
            </w:r>
            <w:r w:rsidRPr="00CB21B0">
              <w:t>260</w:t>
            </w:r>
          </w:p>
        </w:tc>
        <w:tc>
          <w:tcPr>
            <w:tcW w:w="1134" w:type="dxa"/>
            <w:shd w:val="clear" w:color="auto" w:fill="auto"/>
          </w:tcPr>
          <w:p w:rsidR="00C47DFF" w:rsidRPr="00CB21B0" w:rsidRDefault="00C47DFF" w:rsidP="00C47DFF">
            <w:pPr>
              <w:pStyle w:val="Tabletext"/>
              <w:jc w:val="right"/>
            </w:pPr>
            <w:r w:rsidRPr="00CB21B0">
              <w:t>4</w:t>
            </w:r>
            <w:r w:rsidR="00CB21B0" w:rsidRPr="00CB21B0">
              <w:t> </w:t>
            </w:r>
            <w:r w:rsidRPr="00CB21B0">
              <w:t>870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6</w:t>
            </w:r>
          </w:p>
        </w:tc>
        <w:tc>
          <w:tcPr>
            <w:tcW w:w="2126" w:type="dxa"/>
            <w:shd w:val="clear" w:color="auto" w:fill="auto"/>
          </w:tcPr>
          <w:p w:rsidR="00C47DFF" w:rsidRPr="00CB21B0" w:rsidRDefault="00C47DFF" w:rsidP="00C47DFF">
            <w:pPr>
              <w:pStyle w:val="Tabletext"/>
            </w:pPr>
            <w:r w:rsidRPr="00CB21B0">
              <w:t>Application for registration of a chemical product containing an approved active constituent, and approval of the product label, if:</w:t>
            </w:r>
          </w:p>
          <w:p w:rsidR="00C47DFF" w:rsidRPr="00CB21B0" w:rsidRDefault="00C47DFF" w:rsidP="00C47DFF">
            <w:pPr>
              <w:pStyle w:val="Tablea"/>
            </w:pPr>
            <w:r w:rsidRPr="00CB21B0">
              <w:rPr>
                <w:szCs w:val="22"/>
              </w:rPr>
              <w:t>(a) the chemical product is closely similar to a registered chemical product; and</w:t>
            </w:r>
          </w:p>
          <w:p w:rsidR="00C47DFF" w:rsidRPr="00CB21B0" w:rsidRDefault="00C47DFF" w:rsidP="00C47DFF">
            <w:pPr>
              <w:pStyle w:val="Tablea"/>
            </w:pPr>
            <w:r w:rsidRPr="00CB21B0">
              <w:t xml:space="preserve">(b) efficacy and safety data are not </w:t>
            </w:r>
            <w:r w:rsidRPr="00CB21B0">
              <w:lastRenderedPageBreak/>
              <w:t>required to demonstrate the similarity of the chemical product to the registered chemical product; and</w:t>
            </w:r>
          </w:p>
          <w:p w:rsidR="00C47DFF" w:rsidRPr="00CB21B0" w:rsidRDefault="00C47DFF" w:rsidP="00C47DFF">
            <w:pPr>
              <w:pStyle w:val="Tablea"/>
            </w:pPr>
            <w:r w:rsidRPr="00CB21B0">
              <w:t>(c) chemistry and manufacture data are required</w:t>
            </w:r>
          </w:p>
        </w:tc>
        <w:tc>
          <w:tcPr>
            <w:tcW w:w="1276" w:type="dxa"/>
            <w:shd w:val="clear" w:color="auto" w:fill="auto"/>
          </w:tcPr>
          <w:p w:rsidR="00C47DFF" w:rsidRPr="00CB21B0" w:rsidRDefault="00C47DFF" w:rsidP="00C47DFF">
            <w:pPr>
              <w:pStyle w:val="Tabletext"/>
            </w:pPr>
            <w:r w:rsidRPr="00CB21B0">
              <w:lastRenderedPageBreak/>
              <w:t>8</w:t>
            </w:r>
          </w:p>
        </w:tc>
        <w:tc>
          <w:tcPr>
            <w:tcW w:w="1842" w:type="dxa"/>
            <w:shd w:val="clear" w:color="auto" w:fill="auto"/>
          </w:tcPr>
          <w:p w:rsidR="00C47DFF" w:rsidRPr="00CB21B0" w:rsidRDefault="00C47DFF" w:rsidP="00C47DFF">
            <w:pPr>
              <w:pStyle w:val="Tabletext"/>
            </w:pPr>
            <w:r w:rsidRPr="00CB21B0">
              <w:t>12</w:t>
            </w:r>
          </w:p>
          <w:p w:rsidR="00C47DFF" w:rsidRPr="00CB21B0" w:rsidRDefault="00C47DFF" w:rsidP="00C47DFF">
            <w:pPr>
              <w:pStyle w:val="Tablea"/>
            </w:pPr>
          </w:p>
        </w:tc>
        <w:tc>
          <w:tcPr>
            <w:tcW w:w="1418" w:type="dxa"/>
            <w:shd w:val="clear" w:color="auto" w:fill="auto"/>
          </w:tcPr>
          <w:p w:rsidR="00C47DFF" w:rsidRPr="00CB21B0" w:rsidRDefault="00C47DFF" w:rsidP="00C47DFF">
            <w:pPr>
              <w:pStyle w:val="Tabletext"/>
              <w:jc w:val="right"/>
            </w:pPr>
            <w:r w:rsidRPr="00CB21B0">
              <w:t>700</w:t>
            </w:r>
          </w:p>
        </w:tc>
        <w:tc>
          <w:tcPr>
            <w:tcW w:w="1984" w:type="dxa"/>
            <w:shd w:val="clear" w:color="auto" w:fill="auto"/>
          </w:tcPr>
          <w:p w:rsidR="00C47DFF" w:rsidRPr="00CB21B0" w:rsidRDefault="00C47DFF" w:rsidP="00C47DFF">
            <w:pPr>
              <w:pStyle w:val="Tabletext"/>
              <w:jc w:val="right"/>
            </w:pPr>
            <w:r w:rsidRPr="00CB21B0">
              <w:t>3</w:t>
            </w:r>
            <w:r w:rsidR="00CB21B0" w:rsidRPr="00CB21B0">
              <w:t> </w:t>
            </w:r>
            <w:r w:rsidRPr="00CB21B0">
              <w:t>755</w:t>
            </w:r>
          </w:p>
        </w:tc>
        <w:tc>
          <w:tcPr>
            <w:tcW w:w="1134" w:type="dxa"/>
            <w:shd w:val="clear" w:color="auto" w:fill="auto"/>
          </w:tcPr>
          <w:p w:rsidR="00C47DFF" w:rsidRPr="00CB21B0" w:rsidRDefault="00C47DFF" w:rsidP="00C47DFF">
            <w:pPr>
              <w:pStyle w:val="Tabletext"/>
              <w:jc w:val="right"/>
            </w:pPr>
            <w:r w:rsidRPr="00CB21B0">
              <w:t>4</w:t>
            </w:r>
            <w:r w:rsidR="00CB21B0" w:rsidRPr="00CB21B0">
              <w:t> </w:t>
            </w:r>
            <w:r w:rsidRPr="00CB21B0">
              <w:t>290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7</w:t>
            </w:r>
          </w:p>
        </w:tc>
        <w:tc>
          <w:tcPr>
            <w:tcW w:w="2126" w:type="dxa"/>
            <w:shd w:val="clear" w:color="auto" w:fill="auto"/>
          </w:tcPr>
          <w:p w:rsidR="00C47DFF" w:rsidRPr="00CB21B0" w:rsidRDefault="00C47DFF" w:rsidP="00C47DFF">
            <w:pPr>
              <w:pStyle w:val="Tabletext"/>
            </w:pPr>
            <w:r w:rsidRPr="00CB21B0">
              <w:t xml:space="preserve">Application for registration of a chemical product containing an approved </w:t>
            </w:r>
            <w:r w:rsidRPr="00CB21B0">
              <w:lastRenderedPageBreak/>
              <w:t>active constituent, and approval of the product label, if:</w:t>
            </w:r>
          </w:p>
          <w:p w:rsidR="00C47DFF" w:rsidRPr="00CB21B0" w:rsidRDefault="00C47DFF" w:rsidP="00C47DFF">
            <w:pPr>
              <w:pStyle w:val="Tablea"/>
            </w:pPr>
            <w:r w:rsidRPr="00CB21B0">
              <w:t>(a) the chemical product is closely similar to a registered chemical product; and</w:t>
            </w:r>
          </w:p>
          <w:p w:rsidR="00C47DFF" w:rsidRPr="00CB21B0" w:rsidRDefault="00C47DFF" w:rsidP="00C47DFF">
            <w:pPr>
              <w:pStyle w:val="Tablea"/>
            </w:pPr>
            <w:r w:rsidRPr="00CB21B0">
              <w:t xml:space="preserve">(b) efficacy and safety data are not required to demonstrate the similarity of the chemical product to </w:t>
            </w:r>
            <w:r w:rsidRPr="00CB21B0">
              <w:lastRenderedPageBreak/>
              <w:t>the registered chemical product; and</w:t>
            </w:r>
          </w:p>
          <w:p w:rsidR="00C47DFF" w:rsidRPr="00CB21B0" w:rsidRDefault="00C47DFF" w:rsidP="00C47DFF">
            <w:pPr>
              <w:pStyle w:val="Tablea"/>
            </w:pPr>
            <w:r w:rsidRPr="00CB21B0">
              <w:t>(c) chemistry and manufacture data are not required</w:t>
            </w:r>
          </w:p>
        </w:tc>
        <w:tc>
          <w:tcPr>
            <w:tcW w:w="1276" w:type="dxa"/>
            <w:shd w:val="clear" w:color="auto" w:fill="auto"/>
          </w:tcPr>
          <w:p w:rsidR="00C47DFF" w:rsidRPr="00CB21B0" w:rsidRDefault="00C47DFF" w:rsidP="00C47DFF">
            <w:pPr>
              <w:pStyle w:val="Tabletext"/>
            </w:pPr>
            <w:r w:rsidRPr="00CB21B0">
              <w:lastRenderedPageBreak/>
              <w:t>3</w:t>
            </w:r>
          </w:p>
        </w:tc>
        <w:tc>
          <w:tcPr>
            <w:tcW w:w="1842" w:type="dxa"/>
            <w:shd w:val="clear" w:color="auto" w:fill="auto"/>
          </w:tcPr>
          <w:p w:rsidR="00C47DFF" w:rsidRPr="00CB21B0" w:rsidRDefault="00C47DFF" w:rsidP="00C47DFF">
            <w:pPr>
              <w:pStyle w:val="Tablea"/>
            </w:pPr>
            <w:r w:rsidRPr="00CB21B0">
              <w:t>5</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1</w:t>
            </w:r>
            <w:r w:rsidR="00CB21B0" w:rsidRPr="00CB21B0">
              <w:t> </w:t>
            </w:r>
            <w:r w:rsidRPr="00CB21B0">
              <w:t>535</w:t>
            </w:r>
          </w:p>
        </w:tc>
        <w:tc>
          <w:tcPr>
            <w:tcW w:w="1134" w:type="dxa"/>
            <w:shd w:val="clear" w:color="auto" w:fill="auto"/>
          </w:tcPr>
          <w:p w:rsidR="00C47DFF" w:rsidRPr="00CB21B0" w:rsidRDefault="00C47DFF" w:rsidP="00C47DFF">
            <w:pPr>
              <w:pStyle w:val="Tabletext"/>
              <w:jc w:val="right"/>
            </w:pPr>
            <w:r w:rsidRPr="00CB21B0">
              <w:t>1</w:t>
            </w:r>
            <w:r w:rsidR="00CB21B0" w:rsidRPr="00CB21B0">
              <w:t> </w:t>
            </w:r>
            <w:r w:rsidRPr="00CB21B0">
              <w:t>755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8</w:t>
            </w:r>
          </w:p>
        </w:tc>
        <w:tc>
          <w:tcPr>
            <w:tcW w:w="2126" w:type="dxa"/>
            <w:shd w:val="clear" w:color="auto" w:fill="auto"/>
          </w:tcPr>
          <w:p w:rsidR="00C47DFF" w:rsidRPr="00CB21B0" w:rsidRDefault="00C47DFF" w:rsidP="00C47DFF">
            <w:pPr>
              <w:pStyle w:val="Tabletext"/>
            </w:pPr>
            <w:r w:rsidRPr="00CB21B0">
              <w:t>Application for registration of a chemical product containing an approved active constituent, and approval of the product label, if:</w:t>
            </w:r>
          </w:p>
          <w:p w:rsidR="00C47DFF" w:rsidRPr="00CB21B0" w:rsidRDefault="00C47DFF" w:rsidP="00C47DFF">
            <w:pPr>
              <w:pStyle w:val="Tablea"/>
            </w:pPr>
            <w:r w:rsidRPr="00CB21B0">
              <w:t xml:space="preserve">(a) the chemical </w:t>
            </w:r>
            <w:r w:rsidRPr="00CB21B0">
              <w:lastRenderedPageBreak/>
              <w:t>product is the same as a registered chemical product; and</w:t>
            </w:r>
          </w:p>
          <w:p w:rsidR="00C47DFF" w:rsidRPr="00CB21B0" w:rsidRDefault="00C47DFF" w:rsidP="00C47DFF">
            <w:pPr>
              <w:pStyle w:val="Tablea"/>
            </w:pPr>
            <w:r w:rsidRPr="00CB21B0">
              <w:t>(b) the chemical product is to be registered with a different name</w:t>
            </w:r>
          </w:p>
        </w:tc>
        <w:tc>
          <w:tcPr>
            <w:tcW w:w="1276" w:type="dxa"/>
            <w:shd w:val="clear" w:color="auto" w:fill="auto"/>
          </w:tcPr>
          <w:p w:rsidR="00C47DFF" w:rsidRPr="00CB21B0" w:rsidRDefault="00C47DFF" w:rsidP="00C47DFF">
            <w:pPr>
              <w:pStyle w:val="Tabletext"/>
            </w:pPr>
            <w:r w:rsidRPr="00CB21B0">
              <w:lastRenderedPageBreak/>
              <w:t>3</w:t>
            </w:r>
          </w:p>
        </w:tc>
        <w:tc>
          <w:tcPr>
            <w:tcW w:w="1842" w:type="dxa"/>
            <w:shd w:val="clear" w:color="auto" w:fill="auto"/>
          </w:tcPr>
          <w:p w:rsidR="00C47DFF" w:rsidRPr="00CB21B0" w:rsidRDefault="00C47DFF" w:rsidP="00C47DFF">
            <w:pPr>
              <w:pStyle w:val="Tabletext"/>
            </w:pPr>
            <w:r w:rsidRPr="00CB21B0">
              <w:t>5</w:t>
            </w:r>
          </w:p>
          <w:p w:rsidR="00C47DFF" w:rsidRPr="00CB21B0" w:rsidRDefault="00C47DFF" w:rsidP="00C47DFF">
            <w:pPr>
              <w:pStyle w:val="Tabletext"/>
            </w:pP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1</w:t>
            </w:r>
            <w:r w:rsidR="00CB21B0" w:rsidRPr="00CB21B0">
              <w:t> </w:t>
            </w:r>
            <w:r w:rsidRPr="00CB21B0">
              <w:t>455</w:t>
            </w:r>
          </w:p>
        </w:tc>
        <w:tc>
          <w:tcPr>
            <w:tcW w:w="1134" w:type="dxa"/>
            <w:shd w:val="clear" w:color="auto" w:fill="auto"/>
          </w:tcPr>
          <w:p w:rsidR="00C47DFF" w:rsidRPr="00CB21B0" w:rsidRDefault="00C47DFF" w:rsidP="00C47DFF">
            <w:pPr>
              <w:pStyle w:val="Tabletext"/>
              <w:jc w:val="right"/>
            </w:pPr>
            <w:r w:rsidRPr="00CB21B0">
              <w:t>1</w:t>
            </w:r>
            <w:r w:rsidR="00CB21B0" w:rsidRPr="00CB21B0">
              <w:t> </w:t>
            </w:r>
            <w:r w:rsidRPr="00CB21B0">
              <w:t>655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9</w:t>
            </w:r>
          </w:p>
        </w:tc>
        <w:tc>
          <w:tcPr>
            <w:tcW w:w="2126" w:type="dxa"/>
            <w:shd w:val="clear" w:color="auto" w:fill="auto"/>
          </w:tcPr>
          <w:p w:rsidR="00C47DFF" w:rsidRPr="00CB21B0" w:rsidRDefault="00C47DFF" w:rsidP="00C47DFF">
            <w:pPr>
              <w:pStyle w:val="Tabletext"/>
            </w:pPr>
            <w:r w:rsidRPr="00CB21B0">
              <w:t xml:space="preserve">Application for registration of a listed chemical product and approval of a product label where the product and label comply with </w:t>
            </w:r>
            <w:r w:rsidRPr="00CB21B0">
              <w:lastRenderedPageBreak/>
              <w:t>an established standard that has been approved in accordance with section</w:t>
            </w:r>
            <w:r w:rsidR="00CB21B0" w:rsidRPr="00CB21B0">
              <w:t> </w:t>
            </w:r>
            <w:r w:rsidRPr="00CB21B0">
              <w:t>8U of the Code</w:t>
            </w:r>
          </w:p>
        </w:tc>
        <w:tc>
          <w:tcPr>
            <w:tcW w:w="1276" w:type="dxa"/>
            <w:shd w:val="clear" w:color="auto" w:fill="auto"/>
          </w:tcPr>
          <w:p w:rsidR="00C47DFF" w:rsidRPr="00CB21B0" w:rsidRDefault="00C47DFF" w:rsidP="00C47DFF">
            <w:pPr>
              <w:pStyle w:val="Tabletext"/>
            </w:pPr>
            <w:r w:rsidRPr="00CB21B0">
              <w:lastRenderedPageBreak/>
              <w:t>2</w:t>
            </w:r>
          </w:p>
        </w:tc>
        <w:tc>
          <w:tcPr>
            <w:tcW w:w="1842" w:type="dxa"/>
            <w:shd w:val="clear" w:color="auto" w:fill="auto"/>
          </w:tcPr>
          <w:p w:rsidR="00C47DFF" w:rsidRPr="00CB21B0" w:rsidRDefault="00C47DFF" w:rsidP="00C47DFF">
            <w:pPr>
              <w:pStyle w:val="Tablea"/>
            </w:pPr>
            <w:r w:rsidRPr="00CB21B0">
              <w:t>4</w:t>
            </w:r>
          </w:p>
          <w:p w:rsidR="00C47DFF" w:rsidRPr="00CB21B0" w:rsidRDefault="00C47DFF" w:rsidP="00C47DFF">
            <w:pPr>
              <w:pStyle w:val="Tabletext"/>
            </w:pP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1</w:t>
            </w:r>
            <w:r w:rsidR="00CB21B0" w:rsidRPr="00CB21B0">
              <w:t> </w:t>
            </w:r>
            <w:r w:rsidRPr="00CB21B0">
              <w:t>395</w:t>
            </w:r>
          </w:p>
        </w:tc>
        <w:tc>
          <w:tcPr>
            <w:tcW w:w="1134" w:type="dxa"/>
            <w:shd w:val="clear" w:color="auto" w:fill="auto"/>
          </w:tcPr>
          <w:p w:rsidR="00C47DFF" w:rsidRPr="00CB21B0" w:rsidRDefault="00C47DFF" w:rsidP="00C47DFF">
            <w:pPr>
              <w:pStyle w:val="Tabletext"/>
              <w:jc w:val="right"/>
            </w:pPr>
            <w:r w:rsidRPr="00CB21B0">
              <w:t>1</w:t>
            </w:r>
            <w:r w:rsidR="00CB21B0" w:rsidRPr="00CB21B0">
              <w:t> </w:t>
            </w:r>
            <w:r w:rsidRPr="00CB21B0">
              <w:t>595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10</w:t>
            </w:r>
          </w:p>
        </w:tc>
        <w:tc>
          <w:tcPr>
            <w:tcW w:w="2126" w:type="dxa"/>
            <w:shd w:val="clear" w:color="auto" w:fill="auto"/>
          </w:tcPr>
          <w:p w:rsidR="00C47DFF" w:rsidRPr="00CB21B0" w:rsidRDefault="00C47DFF" w:rsidP="00C47DFF">
            <w:pPr>
              <w:pStyle w:val="Tabletext"/>
            </w:pPr>
            <w:r w:rsidRPr="00CB21B0">
              <w:t xml:space="preserve">Application for registration of a chemical product containing an approved active constituent (or an active constituent for which the APVMA has received an application for approval) and approval </w:t>
            </w:r>
            <w:r w:rsidRPr="00CB21B0">
              <w:lastRenderedPageBreak/>
              <w:t>of the product label for all situations other than those described in items</w:t>
            </w:r>
            <w:r w:rsidR="00CB21B0" w:rsidRPr="00CB21B0">
              <w:t> </w:t>
            </w:r>
            <w:r w:rsidRPr="00CB21B0">
              <w:t>3 to 9</w:t>
            </w:r>
          </w:p>
        </w:tc>
        <w:tc>
          <w:tcPr>
            <w:tcW w:w="1276" w:type="dxa"/>
            <w:shd w:val="clear" w:color="auto" w:fill="auto"/>
          </w:tcPr>
          <w:p w:rsidR="00C47DFF" w:rsidRPr="00CB21B0" w:rsidRDefault="00C47DFF" w:rsidP="00C47DFF">
            <w:pPr>
              <w:pStyle w:val="Tabletext"/>
            </w:pPr>
            <w:r w:rsidRPr="00CB21B0">
              <w:lastRenderedPageBreak/>
              <w:t>The modular assessment period</w:t>
            </w:r>
          </w:p>
        </w:tc>
        <w:tc>
          <w:tcPr>
            <w:tcW w:w="1842" w:type="dxa"/>
            <w:shd w:val="clear" w:color="auto" w:fill="auto"/>
          </w:tcPr>
          <w:p w:rsidR="00C47DFF" w:rsidRPr="00CB21B0" w:rsidRDefault="00C47DFF" w:rsidP="00C47DFF">
            <w:pPr>
              <w:pStyle w:val="Tabletext"/>
            </w:pPr>
            <w:r w:rsidRPr="00CB21B0">
              <w:t>One and one third of the modular assessment period, rounded up to the nearest whole month, plus 1 month</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The modular assessment fee</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lastRenderedPageBreak/>
              <w:br w:type="page"/>
              <w:t>Applications to vary a registration or label approval</w:t>
            </w:r>
          </w:p>
        </w:tc>
      </w:tr>
      <w:tr w:rsidR="00C47DFF" w:rsidRPr="00CB21B0" w:rsidTr="00220E1B">
        <w:tc>
          <w:tcPr>
            <w:tcW w:w="988" w:type="dxa"/>
            <w:shd w:val="clear" w:color="auto" w:fill="auto"/>
          </w:tcPr>
          <w:p w:rsidR="00C47DFF" w:rsidRPr="00CB21B0" w:rsidRDefault="00C47DFF" w:rsidP="00C47DFF">
            <w:pPr>
              <w:pStyle w:val="Tabletext"/>
            </w:pPr>
            <w:r w:rsidRPr="00CB21B0">
              <w:t>11</w:t>
            </w:r>
          </w:p>
        </w:tc>
        <w:tc>
          <w:tcPr>
            <w:tcW w:w="2126" w:type="dxa"/>
            <w:shd w:val="clear" w:color="auto" w:fill="auto"/>
          </w:tcPr>
          <w:p w:rsidR="00C47DFF" w:rsidRPr="00CB21B0" w:rsidRDefault="00C47DFF" w:rsidP="00C47DFF">
            <w:pPr>
              <w:pStyle w:val="Tabletext"/>
            </w:pPr>
            <w:r w:rsidRPr="00CB21B0">
              <w:t>Application to vary particulars or conditions of registration or label approval where a full assessment of the chemical product is required</w:t>
            </w:r>
          </w:p>
        </w:tc>
        <w:tc>
          <w:tcPr>
            <w:tcW w:w="1276" w:type="dxa"/>
            <w:shd w:val="clear" w:color="auto" w:fill="auto"/>
          </w:tcPr>
          <w:p w:rsidR="00C47DFF" w:rsidRPr="00CB21B0" w:rsidRDefault="00C47DFF" w:rsidP="00C47DFF">
            <w:pPr>
              <w:pStyle w:val="Tabletext"/>
            </w:pPr>
            <w:r w:rsidRPr="00CB21B0">
              <w:t>10</w:t>
            </w:r>
          </w:p>
        </w:tc>
        <w:tc>
          <w:tcPr>
            <w:tcW w:w="1842" w:type="dxa"/>
            <w:shd w:val="clear" w:color="auto" w:fill="auto"/>
          </w:tcPr>
          <w:p w:rsidR="00C47DFF" w:rsidRPr="00CB21B0" w:rsidRDefault="00C47DFF" w:rsidP="00C47DFF">
            <w:pPr>
              <w:pStyle w:val="Tabletext"/>
            </w:pPr>
            <w:r w:rsidRPr="00CB21B0">
              <w:t>15</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050</w:t>
            </w:r>
          </w:p>
        </w:tc>
        <w:tc>
          <w:tcPr>
            <w:tcW w:w="1984" w:type="dxa"/>
            <w:shd w:val="clear" w:color="auto" w:fill="auto"/>
          </w:tcPr>
          <w:p w:rsidR="00C47DFF" w:rsidRPr="00CB21B0" w:rsidRDefault="00C47DFF" w:rsidP="00C47DFF">
            <w:pPr>
              <w:pStyle w:val="Tabletext"/>
              <w:jc w:val="right"/>
            </w:pPr>
            <w:r w:rsidRPr="00CB21B0">
              <w:t>25</w:t>
            </w:r>
            <w:r w:rsidR="00CB21B0" w:rsidRPr="00CB21B0">
              <w:t> </w:t>
            </w:r>
            <w:r w:rsidRPr="00CB21B0">
              <w:t>035</w:t>
            </w:r>
          </w:p>
        </w:tc>
        <w:tc>
          <w:tcPr>
            <w:tcW w:w="1134" w:type="dxa"/>
            <w:shd w:val="clear" w:color="auto" w:fill="auto"/>
          </w:tcPr>
          <w:p w:rsidR="00C47DFF" w:rsidRPr="00CB21B0" w:rsidRDefault="00C47DFF" w:rsidP="00C47DFF">
            <w:pPr>
              <w:pStyle w:val="Tabletext"/>
              <w:jc w:val="right"/>
            </w:pPr>
            <w:r w:rsidRPr="00CB21B0">
              <w:t>28</w:t>
            </w:r>
            <w:r w:rsidR="00CB21B0" w:rsidRPr="00CB21B0">
              <w:t> </w:t>
            </w:r>
            <w:r w:rsidRPr="00CB21B0">
              <w:t>610</w:t>
            </w:r>
          </w:p>
        </w:tc>
      </w:tr>
      <w:tr w:rsidR="00C47DFF" w:rsidRPr="00CB21B0" w:rsidTr="00220E1B">
        <w:tc>
          <w:tcPr>
            <w:tcW w:w="988" w:type="dxa"/>
            <w:shd w:val="clear" w:color="auto" w:fill="auto"/>
          </w:tcPr>
          <w:p w:rsidR="00C47DFF" w:rsidRPr="00CB21B0" w:rsidRDefault="00C47DFF" w:rsidP="00C47DFF">
            <w:pPr>
              <w:pStyle w:val="Tabletext"/>
            </w:pPr>
            <w:r w:rsidRPr="00CB21B0">
              <w:t>12</w:t>
            </w:r>
          </w:p>
        </w:tc>
        <w:tc>
          <w:tcPr>
            <w:tcW w:w="2126" w:type="dxa"/>
            <w:shd w:val="clear" w:color="auto" w:fill="auto"/>
          </w:tcPr>
          <w:p w:rsidR="00C47DFF" w:rsidRPr="00CB21B0" w:rsidRDefault="00C47DFF" w:rsidP="00C47DFF">
            <w:pPr>
              <w:pStyle w:val="Tabletext"/>
            </w:pPr>
            <w:r w:rsidRPr="00CB21B0">
              <w:t xml:space="preserve">Application to vary </w:t>
            </w:r>
            <w:r w:rsidRPr="00CB21B0">
              <w:lastRenderedPageBreak/>
              <w:t>particulars or conditions of registration or label approval if:</w:t>
            </w:r>
          </w:p>
          <w:p w:rsidR="00C47DFF" w:rsidRPr="00CB21B0" w:rsidRDefault="00C47DFF" w:rsidP="00C47DFF">
            <w:pPr>
              <w:pStyle w:val="Tablea"/>
            </w:pPr>
            <w:r w:rsidRPr="00CB21B0">
              <w:t>(a) the variation is to allow a minor change; and</w:t>
            </w:r>
          </w:p>
          <w:p w:rsidR="00C47DFF" w:rsidRPr="00CB21B0" w:rsidRDefault="00C47DFF" w:rsidP="00C47DFF">
            <w:pPr>
              <w:pStyle w:val="Tablea"/>
            </w:pPr>
            <w:r w:rsidRPr="00CB21B0">
              <w:t>(b) no data of a technical nature is required</w:t>
            </w:r>
          </w:p>
        </w:tc>
        <w:tc>
          <w:tcPr>
            <w:tcW w:w="1276" w:type="dxa"/>
            <w:shd w:val="clear" w:color="auto" w:fill="auto"/>
          </w:tcPr>
          <w:p w:rsidR="00C47DFF" w:rsidRPr="00CB21B0" w:rsidRDefault="00C47DFF" w:rsidP="00C47DFF">
            <w:pPr>
              <w:pStyle w:val="Tabletext"/>
            </w:pPr>
            <w:r w:rsidRPr="00CB21B0">
              <w:lastRenderedPageBreak/>
              <w:t>3</w:t>
            </w:r>
          </w:p>
        </w:tc>
        <w:tc>
          <w:tcPr>
            <w:tcW w:w="1842" w:type="dxa"/>
            <w:shd w:val="clear" w:color="auto" w:fill="auto"/>
          </w:tcPr>
          <w:p w:rsidR="00C47DFF" w:rsidRPr="00CB21B0" w:rsidRDefault="00C47DFF" w:rsidP="00C47DFF">
            <w:pPr>
              <w:pStyle w:val="Tabletext"/>
            </w:pPr>
            <w:r w:rsidRPr="00CB21B0">
              <w:t>5</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1</w:t>
            </w:r>
            <w:r w:rsidR="00CB21B0" w:rsidRPr="00CB21B0">
              <w:t> </w:t>
            </w:r>
            <w:r w:rsidRPr="00CB21B0">
              <w:t>020</w:t>
            </w:r>
          </w:p>
        </w:tc>
        <w:tc>
          <w:tcPr>
            <w:tcW w:w="1134" w:type="dxa"/>
            <w:shd w:val="clear" w:color="auto" w:fill="auto"/>
          </w:tcPr>
          <w:p w:rsidR="00C47DFF" w:rsidRPr="00CB21B0" w:rsidRDefault="00C47DFF" w:rsidP="00C47DFF">
            <w:pPr>
              <w:pStyle w:val="Tabletext"/>
              <w:jc w:val="right"/>
            </w:pPr>
            <w:r w:rsidRPr="00CB21B0">
              <w:t>1</w:t>
            </w:r>
            <w:r w:rsidR="00CB21B0" w:rsidRPr="00CB21B0">
              <w:t> </w:t>
            </w:r>
            <w:r w:rsidRPr="00CB21B0">
              <w:t>170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13</w:t>
            </w:r>
          </w:p>
        </w:tc>
        <w:tc>
          <w:tcPr>
            <w:tcW w:w="2126" w:type="dxa"/>
            <w:shd w:val="clear" w:color="auto" w:fill="auto"/>
          </w:tcPr>
          <w:p w:rsidR="00C47DFF" w:rsidRPr="00CB21B0" w:rsidRDefault="00C47DFF" w:rsidP="00C47DFF">
            <w:pPr>
              <w:pStyle w:val="Tabletext"/>
            </w:pPr>
            <w:r w:rsidRPr="00CB21B0">
              <w:t xml:space="preserve">Application to vary particulars or conditions of registration or label </w:t>
            </w:r>
            <w:r w:rsidRPr="00CB21B0">
              <w:lastRenderedPageBreak/>
              <w:t>approval if:</w:t>
            </w:r>
          </w:p>
          <w:p w:rsidR="00C47DFF" w:rsidRPr="00CB21B0" w:rsidRDefault="00C47DFF" w:rsidP="00C47DFF">
            <w:pPr>
              <w:pStyle w:val="Tablea"/>
            </w:pPr>
            <w:r w:rsidRPr="00CB21B0">
              <w:t>(a) the variation is to allow a minor change; and</w:t>
            </w:r>
          </w:p>
          <w:p w:rsidR="00C47DFF" w:rsidRPr="00CB21B0" w:rsidRDefault="00C47DFF" w:rsidP="00C47DFF">
            <w:pPr>
              <w:pStyle w:val="Tablea"/>
            </w:pPr>
            <w:r w:rsidRPr="00CB21B0">
              <w:t>(b) no data of a technical nature is required; and</w:t>
            </w:r>
          </w:p>
          <w:p w:rsidR="00C47DFF" w:rsidRPr="00CB21B0" w:rsidRDefault="00C47DFF" w:rsidP="00C47DFF">
            <w:pPr>
              <w:pStyle w:val="Tablea"/>
            </w:pPr>
            <w:r w:rsidRPr="00CB21B0">
              <w:t>(c) the variation is a change required by the APVMA</w:t>
            </w:r>
          </w:p>
        </w:tc>
        <w:tc>
          <w:tcPr>
            <w:tcW w:w="1276" w:type="dxa"/>
            <w:shd w:val="clear" w:color="auto" w:fill="auto"/>
          </w:tcPr>
          <w:p w:rsidR="00C47DFF" w:rsidRPr="00CB21B0" w:rsidRDefault="00C47DFF" w:rsidP="00C47DFF">
            <w:pPr>
              <w:pStyle w:val="Tabletext"/>
            </w:pPr>
            <w:r w:rsidRPr="00CB21B0">
              <w:lastRenderedPageBreak/>
              <w:t>3</w:t>
            </w:r>
          </w:p>
        </w:tc>
        <w:tc>
          <w:tcPr>
            <w:tcW w:w="1842" w:type="dxa"/>
            <w:shd w:val="clear" w:color="auto" w:fill="auto"/>
          </w:tcPr>
          <w:p w:rsidR="00C47DFF" w:rsidRPr="00CB21B0" w:rsidRDefault="00C47DFF" w:rsidP="00C47DFF">
            <w:pPr>
              <w:pStyle w:val="Tabletext"/>
            </w:pPr>
            <w:r w:rsidRPr="00CB21B0">
              <w:t>5</w:t>
            </w:r>
          </w:p>
        </w:tc>
        <w:tc>
          <w:tcPr>
            <w:tcW w:w="1418" w:type="dxa"/>
            <w:shd w:val="clear" w:color="auto" w:fill="auto"/>
          </w:tcPr>
          <w:p w:rsidR="00C47DFF" w:rsidRPr="00CB21B0" w:rsidRDefault="00C47DFF" w:rsidP="00C47DFF">
            <w:pPr>
              <w:pStyle w:val="Tabletext"/>
              <w:jc w:val="right"/>
            </w:pPr>
            <w:r w:rsidRPr="00CB21B0">
              <w:t>Nil</w:t>
            </w:r>
          </w:p>
        </w:tc>
        <w:tc>
          <w:tcPr>
            <w:tcW w:w="1984" w:type="dxa"/>
            <w:shd w:val="clear" w:color="auto" w:fill="auto"/>
          </w:tcPr>
          <w:p w:rsidR="00C47DFF" w:rsidRPr="00CB21B0" w:rsidRDefault="00C47DFF" w:rsidP="00C47DFF">
            <w:pPr>
              <w:pStyle w:val="Tabletext"/>
              <w:jc w:val="right"/>
            </w:pPr>
            <w:r w:rsidRPr="00CB21B0">
              <w:t>Nil</w:t>
            </w:r>
          </w:p>
        </w:tc>
        <w:tc>
          <w:tcPr>
            <w:tcW w:w="1134" w:type="dxa"/>
            <w:shd w:val="clear" w:color="auto" w:fill="auto"/>
          </w:tcPr>
          <w:p w:rsidR="00C47DFF" w:rsidRPr="00CB21B0" w:rsidRDefault="00C47DFF" w:rsidP="00C47DFF">
            <w:pPr>
              <w:pStyle w:val="Tabletext"/>
              <w:jc w:val="right"/>
            </w:pPr>
            <w:r w:rsidRPr="00CB21B0">
              <w:t>Nil</w:t>
            </w:r>
          </w:p>
        </w:tc>
      </w:tr>
      <w:tr w:rsidR="00C47DFF" w:rsidRPr="00CB21B0" w:rsidTr="00220E1B">
        <w:tc>
          <w:tcPr>
            <w:tcW w:w="10768" w:type="dxa"/>
            <w:gridSpan w:val="7"/>
            <w:shd w:val="clear" w:color="auto" w:fill="auto"/>
          </w:tcPr>
          <w:p w:rsidR="00C47DFF" w:rsidRPr="00CB21B0" w:rsidRDefault="00C47DFF" w:rsidP="00F10EAE">
            <w:pPr>
              <w:pStyle w:val="TableHeading"/>
            </w:pPr>
            <w:r w:rsidRPr="00CB21B0">
              <w:lastRenderedPageBreak/>
              <w:br w:type="page"/>
              <w:t xml:space="preserve">Applications to </w:t>
            </w:r>
            <w:r w:rsidR="00F10EAE" w:rsidRPr="00CB21B0">
              <w:t xml:space="preserve">vary </w:t>
            </w:r>
            <w:r w:rsidRPr="00CB21B0">
              <w:t>relevant particular of an approval or registration</w:t>
            </w:r>
          </w:p>
        </w:tc>
      </w:tr>
      <w:tr w:rsidR="00C47DFF" w:rsidRPr="00CB21B0" w:rsidTr="00220E1B">
        <w:tc>
          <w:tcPr>
            <w:tcW w:w="988" w:type="dxa"/>
            <w:shd w:val="clear" w:color="auto" w:fill="auto"/>
          </w:tcPr>
          <w:p w:rsidR="00C47DFF" w:rsidRPr="00CB21B0" w:rsidRDefault="00C47DFF" w:rsidP="00C47DFF">
            <w:pPr>
              <w:pStyle w:val="Tabletext"/>
            </w:pPr>
            <w:r w:rsidRPr="00CB21B0">
              <w:t>13A</w:t>
            </w:r>
          </w:p>
        </w:tc>
        <w:tc>
          <w:tcPr>
            <w:tcW w:w="2126" w:type="dxa"/>
            <w:shd w:val="clear" w:color="auto" w:fill="auto"/>
          </w:tcPr>
          <w:p w:rsidR="00C47DFF" w:rsidRPr="00CB21B0" w:rsidRDefault="00C47DFF" w:rsidP="00F10EAE">
            <w:pPr>
              <w:pStyle w:val="Tabletext"/>
            </w:pPr>
            <w:r w:rsidRPr="00CB21B0">
              <w:t xml:space="preserve">Application to </w:t>
            </w:r>
            <w:r w:rsidR="00F10EAE" w:rsidRPr="00CB21B0">
              <w:t>vary</w:t>
            </w:r>
            <w:r w:rsidRPr="00CB21B0">
              <w:t xml:space="preserve"> a relevant particular of </w:t>
            </w:r>
            <w:r w:rsidRPr="00CB21B0">
              <w:lastRenderedPageBreak/>
              <w:t>an approval or registration where the relevant particular is set out in a legislative instrument made for section</w:t>
            </w:r>
            <w:r w:rsidR="00CB21B0" w:rsidRPr="00CB21B0">
              <w:t> </w:t>
            </w:r>
            <w:r w:rsidRPr="00CB21B0">
              <w:t>26B of the Code</w:t>
            </w:r>
          </w:p>
        </w:tc>
        <w:tc>
          <w:tcPr>
            <w:tcW w:w="1276" w:type="dxa"/>
            <w:shd w:val="clear" w:color="auto" w:fill="auto"/>
          </w:tcPr>
          <w:p w:rsidR="00C47DFF" w:rsidRPr="00CB21B0" w:rsidRDefault="00C47DFF" w:rsidP="00C47DFF">
            <w:pPr>
              <w:pStyle w:val="Tabletext"/>
            </w:pPr>
            <w:r w:rsidRPr="00CB21B0">
              <w:lastRenderedPageBreak/>
              <w:t>2</w:t>
            </w:r>
          </w:p>
        </w:tc>
        <w:tc>
          <w:tcPr>
            <w:tcW w:w="1842" w:type="dxa"/>
            <w:shd w:val="clear" w:color="auto" w:fill="auto"/>
          </w:tcPr>
          <w:p w:rsidR="00C47DFF" w:rsidRPr="00CB21B0" w:rsidRDefault="00C47DFF" w:rsidP="00C47DFF">
            <w:pPr>
              <w:pStyle w:val="Tabletext"/>
            </w:pPr>
            <w:r w:rsidRPr="00CB21B0">
              <w:t>4</w:t>
            </w:r>
          </w:p>
        </w:tc>
        <w:tc>
          <w:tcPr>
            <w:tcW w:w="1418" w:type="dxa"/>
            <w:shd w:val="clear" w:color="auto" w:fill="auto"/>
          </w:tcPr>
          <w:p w:rsidR="00C47DFF" w:rsidRPr="00CB21B0" w:rsidRDefault="00C47DFF" w:rsidP="00C47DFF">
            <w:pPr>
              <w:pStyle w:val="Tabletext"/>
              <w:jc w:val="right"/>
            </w:pPr>
            <w:r w:rsidRPr="00CB21B0">
              <w:t>Nil</w:t>
            </w:r>
          </w:p>
        </w:tc>
        <w:tc>
          <w:tcPr>
            <w:tcW w:w="1984" w:type="dxa"/>
            <w:shd w:val="clear" w:color="auto" w:fill="auto"/>
          </w:tcPr>
          <w:p w:rsidR="00C47DFF" w:rsidRPr="00CB21B0" w:rsidRDefault="00C47DFF" w:rsidP="00C47DFF">
            <w:pPr>
              <w:pStyle w:val="Tabletext"/>
              <w:jc w:val="right"/>
            </w:pPr>
            <w:r w:rsidRPr="00CB21B0">
              <w:t>385</w:t>
            </w:r>
          </w:p>
        </w:tc>
        <w:tc>
          <w:tcPr>
            <w:tcW w:w="1134" w:type="dxa"/>
            <w:shd w:val="clear" w:color="auto" w:fill="auto"/>
          </w:tcPr>
          <w:p w:rsidR="00C47DFF" w:rsidRPr="00CB21B0" w:rsidRDefault="00C47DFF" w:rsidP="00C47DFF">
            <w:pPr>
              <w:pStyle w:val="Tabletext"/>
              <w:jc w:val="right"/>
            </w:pPr>
            <w:r w:rsidRPr="00CB21B0">
              <w:t>385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14</w:t>
            </w:r>
          </w:p>
        </w:tc>
        <w:tc>
          <w:tcPr>
            <w:tcW w:w="2126" w:type="dxa"/>
            <w:shd w:val="clear" w:color="auto" w:fill="auto"/>
          </w:tcPr>
          <w:p w:rsidR="00C47DFF" w:rsidRPr="00CB21B0" w:rsidRDefault="00C47DFF" w:rsidP="00C47DFF">
            <w:pPr>
              <w:pStyle w:val="Tabletext"/>
            </w:pPr>
            <w:r w:rsidRPr="00CB21B0">
              <w:t xml:space="preserve">Application to vary particulars or conditions of registration or label approval if the application is not of a kind described in any </w:t>
            </w:r>
            <w:r w:rsidRPr="00CB21B0">
              <w:lastRenderedPageBreak/>
              <w:t>of items</w:t>
            </w:r>
            <w:r w:rsidR="00CB21B0" w:rsidRPr="00CB21B0">
              <w:t> </w:t>
            </w:r>
            <w:r w:rsidRPr="00CB21B0">
              <w:t>11 to 13A</w:t>
            </w:r>
          </w:p>
        </w:tc>
        <w:tc>
          <w:tcPr>
            <w:tcW w:w="1276" w:type="dxa"/>
            <w:shd w:val="clear" w:color="auto" w:fill="auto"/>
          </w:tcPr>
          <w:p w:rsidR="00C47DFF" w:rsidRPr="00CB21B0" w:rsidRDefault="00C47DFF" w:rsidP="00C47DFF">
            <w:pPr>
              <w:pStyle w:val="Tabletext"/>
            </w:pPr>
            <w:r w:rsidRPr="00CB21B0">
              <w:lastRenderedPageBreak/>
              <w:t>The modular assessment period</w:t>
            </w:r>
          </w:p>
        </w:tc>
        <w:tc>
          <w:tcPr>
            <w:tcW w:w="1842" w:type="dxa"/>
            <w:shd w:val="clear" w:color="auto" w:fill="auto"/>
          </w:tcPr>
          <w:p w:rsidR="00C47DFF" w:rsidRPr="00CB21B0" w:rsidRDefault="00C47DFF" w:rsidP="00C47DFF">
            <w:pPr>
              <w:pStyle w:val="Tabletext"/>
            </w:pPr>
            <w:r w:rsidRPr="00CB21B0">
              <w:t>One and one third of the modular assessment period, rounded up to the nearest whole month, plus 1 month</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The modular assessment fee</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lastRenderedPageBreak/>
              <w:t>Applications for approval of an active constituent</w:t>
            </w:r>
          </w:p>
        </w:tc>
      </w:tr>
      <w:tr w:rsidR="00C47DFF" w:rsidRPr="00CB21B0" w:rsidTr="00220E1B">
        <w:tc>
          <w:tcPr>
            <w:tcW w:w="988" w:type="dxa"/>
            <w:shd w:val="clear" w:color="auto" w:fill="auto"/>
          </w:tcPr>
          <w:p w:rsidR="00C47DFF" w:rsidRPr="00CB21B0" w:rsidRDefault="00C47DFF" w:rsidP="00C47DFF">
            <w:pPr>
              <w:pStyle w:val="Tabletext"/>
            </w:pPr>
            <w:r w:rsidRPr="00CB21B0">
              <w:t>15</w:t>
            </w:r>
          </w:p>
        </w:tc>
        <w:tc>
          <w:tcPr>
            <w:tcW w:w="2126" w:type="dxa"/>
            <w:shd w:val="clear" w:color="auto" w:fill="auto"/>
          </w:tcPr>
          <w:p w:rsidR="00C47DFF" w:rsidRPr="00CB21B0" w:rsidRDefault="00C47DFF" w:rsidP="00C47DFF">
            <w:pPr>
              <w:pStyle w:val="Tabletext"/>
            </w:pPr>
            <w:r w:rsidRPr="00CB21B0">
              <w:t>Application for approval of an active constituent requiring a full assessment (other than a timeshift application)</w:t>
            </w:r>
          </w:p>
        </w:tc>
        <w:tc>
          <w:tcPr>
            <w:tcW w:w="1276" w:type="dxa"/>
            <w:shd w:val="clear" w:color="auto" w:fill="auto"/>
          </w:tcPr>
          <w:p w:rsidR="00C47DFF" w:rsidRPr="00CB21B0" w:rsidRDefault="00C47DFF" w:rsidP="00C47DFF">
            <w:pPr>
              <w:pStyle w:val="Tabletext"/>
            </w:pPr>
            <w:r w:rsidRPr="00CB21B0">
              <w:t>14</w:t>
            </w:r>
          </w:p>
        </w:tc>
        <w:tc>
          <w:tcPr>
            <w:tcW w:w="1842" w:type="dxa"/>
            <w:shd w:val="clear" w:color="auto" w:fill="auto"/>
          </w:tcPr>
          <w:p w:rsidR="00C47DFF" w:rsidRPr="00CB21B0" w:rsidRDefault="00C47DFF" w:rsidP="00C47DFF">
            <w:pPr>
              <w:pStyle w:val="Tabletext"/>
            </w:pPr>
            <w:r w:rsidRPr="00CB21B0">
              <w:t>20</w:t>
            </w:r>
          </w:p>
        </w:tc>
        <w:tc>
          <w:tcPr>
            <w:tcW w:w="1418" w:type="dxa"/>
            <w:shd w:val="clear" w:color="auto" w:fill="auto"/>
          </w:tcPr>
          <w:p w:rsidR="00C47DFF" w:rsidRPr="00CB21B0" w:rsidRDefault="00C47DFF" w:rsidP="00C47DFF">
            <w:pPr>
              <w:pStyle w:val="Tabletext"/>
              <w:jc w:val="right"/>
            </w:pPr>
            <w:r w:rsidRPr="00CB21B0">
              <w:t>1</w:t>
            </w:r>
            <w:r w:rsidR="00CB21B0" w:rsidRPr="00CB21B0">
              <w:t> </w:t>
            </w:r>
            <w:r w:rsidRPr="00CB21B0">
              <w:t>400</w:t>
            </w:r>
          </w:p>
        </w:tc>
        <w:tc>
          <w:tcPr>
            <w:tcW w:w="1984" w:type="dxa"/>
            <w:shd w:val="clear" w:color="auto" w:fill="auto"/>
          </w:tcPr>
          <w:p w:rsidR="00C47DFF" w:rsidRPr="00CB21B0" w:rsidRDefault="00C47DFF" w:rsidP="00C47DFF">
            <w:pPr>
              <w:pStyle w:val="Tabletext"/>
              <w:jc w:val="right"/>
            </w:pPr>
            <w:r w:rsidRPr="00CB21B0">
              <w:t>26</w:t>
            </w:r>
            <w:r w:rsidR="00CB21B0" w:rsidRPr="00CB21B0">
              <w:t> </w:t>
            </w:r>
            <w:r w:rsidRPr="00CB21B0">
              <w:t>730</w:t>
            </w:r>
          </w:p>
        </w:tc>
        <w:tc>
          <w:tcPr>
            <w:tcW w:w="1134" w:type="dxa"/>
            <w:shd w:val="clear" w:color="auto" w:fill="auto"/>
          </w:tcPr>
          <w:p w:rsidR="00C47DFF" w:rsidRPr="00CB21B0" w:rsidRDefault="00C47DFF" w:rsidP="00C47DFF">
            <w:pPr>
              <w:pStyle w:val="Tabletext"/>
              <w:jc w:val="right"/>
            </w:pPr>
            <w:r w:rsidRPr="00CB21B0">
              <w:t>30</w:t>
            </w:r>
            <w:r w:rsidR="00CB21B0" w:rsidRPr="00CB21B0">
              <w:t> </w:t>
            </w:r>
            <w:r w:rsidRPr="00CB21B0">
              <w:t>550</w:t>
            </w:r>
          </w:p>
        </w:tc>
      </w:tr>
      <w:tr w:rsidR="00C47DFF" w:rsidRPr="00CB21B0" w:rsidTr="00220E1B">
        <w:tc>
          <w:tcPr>
            <w:tcW w:w="988" w:type="dxa"/>
            <w:shd w:val="clear" w:color="auto" w:fill="auto"/>
          </w:tcPr>
          <w:p w:rsidR="00C47DFF" w:rsidRPr="00CB21B0" w:rsidRDefault="00C47DFF" w:rsidP="00C47DFF">
            <w:pPr>
              <w:pStyle w:val="Tabletext"/>
            </w:pPr>
            <w:r w:rsidRPr="00CB21B0">
              <w:t>16</w:t>
            </w:r>
          </w:p>
        </w:tc>
        <w:tc>
          <w:tcPr>
            <w:tcW w:w="2126" w:type="dxa"/>
            <w:shd w:val="clear" w:color="auto" w:fill="auto"/>
          </w:tcPr>
          <w:p w:rsidR="00C47DFF" w:rsidRPr="00CB21B0" w:rsidRDefault="00C47DFF" w:rsidP="00C47DFF">
            <w:pPr>
              <w:pStyle w:val="Tabletext"/>
            </w:pPr>
            <w:r w:rsidRPr="00CB21B0">
              <w:t xml:space="preserve">Application for approval of an active constituent requiring less than full assessment but requiring a </w:t>
            </w:r>
            <w:r w:rsidRPr="00CB21B0">
              <w:lastRenderedPageBreak/>
              <w:t>toxicological assessment</w:t>
            </w:r>
          </w:p>
        </w:tc>
        <w:tc>
          <w:tcPr>
            <w:tcW w:w="1276" w:type="dxa"/>
            <w:shd w:val="clear" w:color="auto" w:fill="auto"/>
          </w:tcPr>
          <w:p w:rsidR="00C47DFF" w:rsidRPr="00CB21B0" w:rsidRDefault="00C47DFF" w:rsidP="00C47DFF">
            <w:pPr>
              <w:pStyle w:val="Tabletext"/>
            </w:pPr>
            <w:r w:rsidRPr="00CB21B0">
              <w:lastRenderedPageBreak/>
              <w:t>9</w:t>
            </w:r>
          </w:p>
        </w:tc>
        <w:tc>
          <w:tcPr>
            <w:tcW w:w="1842" w:type="dxa"/>
            <w:shd w:val="clear" w:color="auto" w:fill="auto"/>
          </w:tcPr>
          <w:p w:rsidR="00C47DFF" w:rsidRPr="00CB21B0" w:rsidRDefault="00C47DFF" w:rsidP="00C47DFF">
            <w:pPr>
              <w:pStyle w:val="Tabletext"/>
            </w:pPr>
            <w:r w:rsidRPr="00CB21B0">
              <w:t>13</w:t>
            </w:r>
          </w:p>
        </w:tc>
        <w:tc>
          <w:tcPr>
            <w:tcW w:w="1418" w:type="dxa"/>
            <w:shd w:val="clear" w:color="auto" w:fill="auto"/>
          </w:tcPr>
          <w:p w:rsidR="00C47DFF" w:rsidRPr="00CB21B0" w:rsidRDefault="00C47DFF" w:rsidP="00C47DFF">
            <w:pPr>
              <w:pStyle w:val="Tabletext"/>
              <w:jc w:val="right"/>
            </w:pPr>
            <w:r w:rsidRPr="00CB21B0">
              <w:t>700</w:t>
            </w:r>
          </w:p>
        </w:tc>
        <w:tc>
          <w:tcPr>
            <w:tcW w:w="1984" w:type="dxa"/>
            <w:shd w:val="clear" w:color="auto" w:fill="auto"/>
          </w:tcPr>
          <w:p w:rsidR="00C47DFF" w:rsidRPr="00CB21B0" w:rsidRDefault="00C47DFF" w:rsidP="00C47DFF">
            <w:pPr>
              <w:pStyle w:val="Tabletext"/>
              <w:jc w:val="right"/>
            </w:pPr>
            <w:r w:rsidRPr="00CB21B0">
              <w:t>16</w:t>
            </w:r>
            <w:r w:rsidR="00CB21B0" w:rsidRPr="00CB21B0">
              <w:t> </w:t>
            </w:r>
            <w:r w:rsidRPr="00CB21B0">
              <w:t>455</w:t>
            </w:r>
          </w:p>
        </w:tc>
        <w:tc>
          <w:tcPr>
            <w:tcW w:w="1134" w:type="dxa"/>
            <w:shd w:val="clear" w:color="auto" w:fill="auto"/>
          </w:tcPr>
          <w:p w:rsidR="00C47DFF" w:rsidRPr="00CB21B0" w:rsidRDefault="00C47DFF" w:rsidP="00C47DFF">
            <w:pPr>
              <w:pStyle w:val="Tabletext"/>
              <w:jc w:val="right"/>
            </w:pPr>
            <w:r w:rsidRPr="00CB21B0">
              <w:t>18</w:t>
            </w:r>
            <w:r w:rsidR="00CB21B0" w:rsidRPr="00CB21B0">
              <w:t> </w:t>
            </w:r>
            <w:r w:rsidRPr="00CB21B0">
              <w:t>805</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17</w:t>
            </w:r>
          </w:p>
        </w:tc>
        <w:tc>
          <w:tcPr>
            <w:tcW w:w="2126" w:type="dxa"/>
            <w:shd w:val="clear" w:color="auto" w:fill="auto"/>
          </w:tcPr>
          <w:p w:rsidR="00C47DFF" w:rsidRPr="00CB21B0" w:rsidRDefault="00C47DFF" w:rsidP="00C47DFF">
            <w:pPr>
              <w:pStyle w:val="Tabletext"/>
            </w:pPr>
            <w:r w:rsidRPr="00CB21B0">
              <w:t>Application for approval of an active constituent requiring less than full assessment but not requiring a toxicological assessment</w:t>
            </w:r>
          </w:p>
        </w:tc>
        <w:tc>
          <w:tcPr>
            <w:tcW w:w="1276" w:type="dxa"/>
            <w:shd w:val="clear" w:color="auto" w:fill="auto"/>
          </w:tcPr>
          <w:p w:rsidR="00C47DFF" w:rsidRPr="00CB21B0" w:rsidRDefault="00C47DFF" w:rsidP="00C47DFF">
            <w:pPr>
              <w:pStyle w:val="Tabletext"/>
            </w:pPr>
            <w:r w:rsidRPr="00CB21B0">
              <w:t>7</w:t>
            </w:r>
          </w:p>
        </w:tc>
        <w:tc>
          <w:tcPr>
            <w:tcW w:w="1842" w:type="dxa"/>
            <w:shd w:val="clear" w:color="auto" w:fill="auto"/>
          </w:tcPr>
          <w:p w:rsidR="00C47DFF" w:rsidRPr="00CB21B0" w:rsidRDefault="00C47DFF" w:rsidP="00C47DFF">
            <w:pPr>
              <w:pStyle w:val="Tabletext"/>
            </w:pPr>
            <w:r w:rsidRPr="00CB21B0">
              <w:t>11</w:t>
            </w:r>
          </w:p>
        </w:tc>
        <w:tc>
          <w:tcPr>
            <w:tcW w:w="1418" w:type="dxa"/>
            <w:shd w:val="clear" w:color="auto" w:fill="auto"/>
          </w:tcPr>
          <w:p w:rsidR="00C47DFF" w:rsidRPr="00CB21B0" w:rsidRDefault="00C47DFF" w:rsidP="00C47DFF">
            <w:pPr>
              <w:pStyle w:val="Tabletext"/>
              <w:jc w:val="right"/>
            </w:pPr>
            <w:r w:rsidRPr="00CB21B0">
              <w:t>700</w:t>
            </w:r>
          </w:p>
        </w:tc>
        <w:tc>
          <w:tcPr>
            <w:tcW w:w="1984" w:type="dxa"/>
            <w:shd w:val="clear" w:color="auto" w:fill="auto"/>
          </w:tcPr>
          <w:p w:rsidR="00C47DFF" w:rsidRPr="00CB21B0" w:rsidRDefault="00C47DFF" w:rsidP="00C47DFF">
            <w:pPr>
              <w:pStyle w:val="Tabletext"/>
              <w:jc w:val="right"/>
            </w:pPr>
            <w:r w:rsidRPr="00CB21B0">
              <w:t>2</w:t>
            </w:r>
            <w:r w:rsidR="00CB21B0" w:rsidRPr="00CB21B0">
              <w:t> </w:t>
            </w:r>
            <w:r w:rsidRPr="00CB21B0">
              <w:t>760</w:t>
            </w:r>
          </w:p>
        </w:tc>
        <w:tc>
          <w:tcPr>
            <w:tcW w:w="1134" w:type="dxa"/>
            <w:shd w:val="clear" w:color="auto" w:fill="auto"/>
          </w:tcPr>
          <w:p w:rsidR="00C47DFF" w:rsidRPr="00CB21B0" w:rsidRDefault="00C47DFF" w:rsidP="00C47DFF">
            <w:pPr>
              <w:pStyle w:val="Tabletext"/>
              <w:jc w:val="right"/>
            </w:pPr>
            <w:r w:rsidRPr="00CB21B0">
              <w:t>3</w:t>
            </w:r>
            <w:r w:rsidR="00CB21B0" w:rsidRPr="00CB21B0">
              <w:t> </w:t>
            </w:r>
            <w:r w:rsidRPr="00CB21B0">
              <w:t>155</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t>Applications for variation to an approved active constituent</w:t>
            </w:r>
          </w:p>
        </w:tc>
      </w:tr>
      <w:tr w:rsidR="00C47DFF" w:rsidRPr="00CB21B0" w:rsidTr="00220E1B">
        <w:tc>
          <w:tcPr>
            <w:tcW w:w="988" w:type="dxa"/>
            <w:shd w:val="clear" w:color="auto" w:fill="auto"/>
          </w:tcPr>
          <w:p w:rsidR="00C47DFF" w:rsidRPr="00CB21B0" w:rsidRDefault="00C47DFF" w:rsidP="00C47DFF">
            <w:pPr>
              <w:pStyle w:val="Tabletext"/>
            </w:pPr>
            <w:r w:rsidRPr="00CB21B0">
              <w:t>18</w:t>
            </w:r>
          </w:p>
        </w:tc>
        <w:tc>
          <w:tcPr>
            <w:tcW w:w="2126" w:type="dxa"/>
            <w:shd w:val="clear" w:color="auto" w:fill="auto"/>
          </w:tcPr>
          <w:p w:rsidR="00C47DFF" w:rsidRPr="00CB21B0" w:rsidRDefault="00C47DFF" w:rsidP="00C47DFF">
            <w:pPr>
              <w:pStyle w:val="Tabletext"/>
            </w:pPr>
            <w:r w:rsidRPr="00CB21B0">
              <w:t xml:space="preserve">Application to vary particulars or </w:t>
            </w:r>
            <w:r w:rsidRPr="00CB21B0">
              <w:lastRenderedPageBreak/>
              <w:t>conditions of an approved active constituent</w:t>
            </w:r>
          </w:p>
        </w:tc>
        <w:tc>
          <w:tcPr>
            <w:tcW w:w="1276" w:type="dxa"/>
            <w:shd w:val="clear" w:color="auto" w:fill="auto"/>
          </w:tcPr>
          <w:p w:rsidR="00C47DFF" w:rsidRPr="00CB21B0" w:rsidRDefault="00C47DFF" w:rsidP="00C47DFF">
            <w:pPr>
              <w:pStyle w:val="Tabletext"/>
            </w:pPr>
            <w:r w:rsidRPr="00CB21B0">
              <w:lastRenderedPageBreak/>
              <w:t>7</w:t>
            </w:r>
          </w:p>
        </w:tc>
        <w:tc>
          <w:tcPr>
            <w:tcW w:w="1842" w:type="dxa"/>
            <w:shd w:val="clear" w:color="auto" w:fill="auto"/>
          </w:tcPr>
          <w:p w:rsidR="00C47DFF" w:rsidRPr="00CB21B0" w:rsidRDefault="00C47DFF" w:rsidP="00C47DFF">
            <w:pPr>
              <w:pStyle w:val="Tabletext"/>
            </w:pPr>
            <w:r w:rsidRPr="00CB21B0">
              <w:t>11</w:t>
            </w:r>
          </w:p>
        </w:tc>
        <w:tc>
          <w:tcPr>
            <w:tcW w:w="1418" w:type="dxa"/>
            <w:shd w:val="clear" w:color="auto" w:fill="auto"/>
          </w:tcPr>
          <w:p w:rsidR="00C47DFF" w:rsidRPr="00CB21B0" w:rsidRDefault="00C47DFF" w:rsidP="00C47DFF">
            <w:pPr>
              <w:pStyle w:val="Tabletext"/>
              <w:jc w:val="right"/>
            </w:pPr>
            <w:r w:rsidRPr="00CB21B0">
              <w:t>700</w:t>
            </w:r>
          </w:p>
        </w:tc>
        <w:tc>
          <w:tcPr>
            <w:tcW w:w="1984" w:type="dxa"/>
            <w:shd w:val="clear" w:color="auto" w:fill="auto"/>
          </w:tcPr>
          <w:p w:rsidR="00C47DFF" w:rsidRPr="00CB21B0" w:rsidRDefault="00C47DFF" w:rsidP="00C47DFF">
            <w:pPr>
              <w:pStyle w:val="Tabletext"/>
              <w:jc w:val="right"/>
            </w:pPr>
            <w:r w:rsidRPr="00CB21B0">
              <w:t>2</w:t>
            </w:r>
            <w:r w:rsidR="00CB21B0" w:rsidRPr="00CB21B0">
              <w:t> </w:t>
            </w:r>
            <w:r w:rsidRPr="00CB21B0">
              <w:t>155</w:t>
            </w:r>
          </w:p>
        </w:tc>
        <w:tc>
          <w:tcPr>
            <w:tcW w:w="1134" w:type="dxa"/>
            <w:shd w:val="clear" w:color="auto" w:fill="auto"/>
          </w:tcPr>
          <w:p w:rsidR="00C47DFF" w:rsidRPr="00CB21B0" w:rsidRDefault="00C47DFF" w:rsidP="00C47DFF">
            <w:pPr>
              <w:pStyle w:val="Tabletext"/>
              <w:jc w:val="right"/>
            </w:pPr>
            <w:r w:rsidRPr="00CB21B0">
              <w:t>2</w:t>
            </w:r>
            <w:r w:rsidR="00CB21B0" w:rsidRPr="00CB21B0">
              <w:t> </w:t>
            </w:r>
            <w:r w:rsidRPr="00CB21B0">
              <w:t>465</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lastRenderedPageBreak/>
              <w:t>Applications for permits</w:t>
            </w:r>
          </w:p>
        </w:tc>
      </w:tr>
      <w:tr w:rsidR="00C47DFF" w:rsidRPr="00CB21B0" w:rsidTr="00220E1B">
        <w:tc>
          <w:tcPr>
            <w:tcW w:w="988" w:type="dxa"/>
            <w:shd w:val="clear" w:color="auto" w:fill="auto"/>
          </w:tcPr>
          <w:p w:rsidR="00C47DFF" w:rsidRPr="00CB21B0" w:rsidRDefault="00C47DFF" w:rsidP="00C47DFF">
            <w:pPr>
              <w:pStyle w:val="Tabletext"/>
            </w:pPr>
            <w:r w:rsidRPr="00CB21B0">
              <w:t>19</w:t>
            </w:r>
          </w:p>
        </w:tc>
        <w:tc>
          <w:tcPr>
            <w:tcW w:w="2126" w:type="dxa"/>
            <w:shd w:val="clear" w:color="auto" w:fill="auto"/>
          </w:tcPr>
          <w:p w:rsidR="00C47DFF" w:rsidRPr="00CB21B0" w:rsidRDefault="00C47DFF" w:rsidP="00C47DFF">
            <w:pPr>
              <w:pStyle w:val="Tabletext"/>
            </w:pPr>
            <w:r w:rsidRPr="00CB21B0">
              <w:t xml:space="preserve">Application for a permit, or extension of a permit, to possess or supply, other than for use in Australia, an active constituent that is not an approved active constituent or a chemical product that is not a registered </w:t>
            </w:r>
            <w:r w:rsidRPr="00CB21B0">
              <w:lastRenderedPageBreak/>
              <w:t>chemical product, where no data of a technical nature is required</w:t>
            </w:r>
          </w:p>
        </w:tc>
        <w:tc>
          <w:tcPr>
            <w:tcW w:w="1276" w:type="dxa"/>
            <w:shd w:val="clear" w:color="auto" w:fill="auto"/>
          </w:tcPr>
          <w:p w:rsidR="00C47DFF" w:rsidRPr="00CB21B0" w:rsidRDefault="00C47DFF" w:rsidP="00C47DFF">
            <w:pPr>
              <w:pStyle w:val="Tabletext"/>
            </w:pPr>
            <w:r w:rsidRPr="00CB21B0">
              <w:lastRenderedPageBreak/>
              <w:t>3</w:t>
            </w:r>
          </w:p>
        </w:tc>
        <w:tc>
          <w:tcPr>
            <w:tcW w:w="1842" w:type="dxa"/>
            <w:shd w:val="clear" w:color="auto" w:fill="auto"/>
          </w:tcPr>
          <w:p w:rsidR="00C47DFF" w:rsidRPr="00CB21B0" w:rsidRDefault="00C47DFF" w:rsidP="00C47DFF">
            <w:pPr>
              <w:pStyle w:val="Tabletext"/>
            </w:pPr>
            <w:r w:rsidRPr="00CB21B0">
              <w:t>5</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350</w:t>
            </w:r>
          </w:p>
        </w:tc>
        <w:tc>
          <w:tcPr>
            <w:tcW w:w="1134" w:type="dxa"/>
            <w:shd w:val="clear" w:color="auto" w:fill="auto"/>
          </w:tcPr>
          <w:p w:rsidR="00C47DFF" w:rsidRPr="00CB21B0" w:rsidRDefault="00C47DFF" w:rsidP="00C47DFF">
            <w:pPr>
              <w:pStyle w:val="Tabletext"/>
              <w:jc w:val="right"/>
            </w:pPr>
            <w:r w:rsidRPr="00CB21B0">
              <w:t>350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20</w:t>
            </w:r>
          </w:p>
        </w:tc>
        <w:tc>
          <w:tcPr>
            <w:tcW w:w="2126" w:type="dxa"/>
            <w:shd w:val="clear" w:color="auto" w:fill="auto"/>
          </w:tcPr>
          <w:p w:rsidR="00C47DFF" w:rsidRPr="00CB21B0" w:rsidRDefault="00C47DFF" w:rsidP="00C47DFF">
            <w:pPr>
              <w:pStyle w:val="Tabletext"/>
            </w:pPr>
            <w:r w:rsidRPr="00CB21B0">
              <w:t>Application for a permit, or extension of a permit, where a previous assessment remains valid and no data of a technical nature is required</w:t>
            </w:r>
          </w:p>
        </w:tc>
        <w:tc>
          <w:tcPr>
            <w:tcW w:w="1276" w:type="dxa"/>
            <w:shd w:val="clear" w:color="auto" w:fill="auto"/>
          </w:tcPr>
          <w:p w:rsidR="00C47DFF" w:rsidRPr="00CB21B0" w:rsidRDefault="00C47DFF" w:rsidP="00C47DFF">
            <w:pPr>
              <w:pStyle w:val="Tabletext"/>
            </w:pPr>
            <w:r w:rsidRPr="00CB21B0">
              <w:t>3</w:t>
            </w:r>
          </w:p>
        </w:tc>
        <w:tc>
          <w:tcPr>
            <w:tcW w:w="1842" w:type="dxa"/>
            <w:shd w:val="clear" w:color="auto" w:fill="auto"/>
          </w:tcPr>
          <w:p w:rsidR="00C47DFF" w:rsidRPr="00CB21B0" w:rsidRDefault="00C47DFF" w:rsidP="00C47DFF">
            <w:pPr>
              <w:pStyle w:val="Tabletext"/>
            </w:pPr>
            <w:r w:rsidRPr="00CB21B0">
              <w:t>5</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jc w:val="right"/>
            </w:pPr>
            <w:r w:rsidRPr="00CB21B0">
              <w:t>350</w:t>
            </w:r>
          </w:p>
        </w:tc>
        <w:tc>
          <w:tcPr>
            <w:tcW w:w="1134" w:type="dxa"/>
            <w:shd w:val="clear" w:color="auto" w:fill="auto"/>
          </w:tcPr>
          <w:p w:rsidR="00C47DFF" w:rsidRPr="00CB21B0" w:rsidRDefault="00C47DFF" w:rsidP="00C47DFF">
            <w:pPr>
              <w:pStyle w:val="Tabletext"/>
              <w:jc w:val="right"/>
            </w:pPr>
            <w:r w:rsidRPr="00CB21B0">
              <w:t>350</w:t>
            </w:r>
          </w:p>
        </w:tc>
      </w:tr>
      <w:tr w:rsidR="00C47DFF" w:rsidRPr="00CB21B0" w:rsidTr="00220E1B">
        <w:tc>
          <w:tcPr>
            <w:tcW w:w="988" w:type="dxa"/>
            <w:shd w:val="clear" w:color="auto" w:fill="auto"/>
          </w:tcPr>
          <w:p w:rsidR="00C47DFF" w:rsidRPr="00CB21B0" w:rsidRDefault="00C47DFF" w:rsidP="00C47DFF">
            <w:pPr>
              <w:pStyle w:val="Tabletext"/>
            </w:pPr>
            <w:r w:rsidRPr="00CB21B0">
              <w:t>21</w:t>
            </w:r>
          </w:p>
        </w:tc>
        <w:tc>
          <w:tcPr>
            <w:tcW w:w="2126" w:type="dxa"/>
            <w:shd w:val="clear" w:color="auto" w:fill="auto"/>
          </w:tcPr>
          <w:p w:rsidR="00C47DFF" w:rsidRPr="00CB21B0" w:rsidRDefault="00C47DFF" w:rsidP="00C47DFF">
            <w:pPr>
              <w:pStyle w:val="Tabletext"/>
            </w:pPr>
            <w:r w:rsidRPr="00CB21B0">
              <w:t xml:space="preserve">Application for a permit, or extension of a permit, where the </w:t>
            </w:r>
            <w:r w:rsidRPr="00CB21B0">
              <w:lastRenderedPageBreak/>
              <w:t>proposed use is a minor use</w:t>
            </w:r>
          </w:p>
        </w:tc>
        <w:tc>
          <w:tcPr>
            <w:tcW w:w="1276" w:type="dxa"/>
            <w:shd w:val="clear" w:color="auto" w:fill="auto"/>
          </w:tcPr>
          <w:p w:rsidR="00C47DFF" w:rsidRPr="00CB21B0" w:rsidRDefault="00C47DFF" w:rsidP="00C47DFF">
            <w:pPr>
              <w:pStyle w:val="Tabletext"/>
            </w:pPr>
            <w:r w:rsidRPr="00CB21B0">
              <w:lastRenderedPageBreak/>
              <w:t>The modular assessment period</w:t>
            </w:r>
          </w:p>
        </w:tc>
        <w:tc>
          <w:tcPr>
            <w:tcW w:w="1842" w:type="dxa"/>
            <w:shd w:val="clear" w:color="auto" w:fill="auto"/>
          </w:tcPr>
          <w:p w:rsidR="00C47DFF" w:rsidRPr="00CB21B0" w:rsidRDefault="00C47DFF" w:rsidP="00C47DFF">
            <w:pPr>
              <w:pStyle w:val="Tabletext"/>
            </w:pPr>
            <w:r w:rsidRPr="00CB21B0">
              <w:t xml:space="preserve">The modular assessment period, plus 6 months </w:t>
            </w:r>
            <w:r w:rsidRPr="00CB21B0">
              <w:lastRenderedPageBreak/>
              <w:t>(unless the APVMA and the applicant agree to a shorter period)</w:t>
            </w:r>
          </w:p>
        </w:tc>
        <w:tc>
          <w:tcPr>
            <w:tcW w:w="1418" w:type="dxa"/>
            <w:shd w:val="clear" w:color="auto" w:fill="auto"/>
          </w:tcPr>
          <w:p w:rsidR="00C47DFF" w:rsidRPr="00CB21B0" w:rsidRDefault="00C47DFF" w:rsidP="00C47DFF">
            <w:pPr>
              <w:pStyle w:val="Tabletext"/>
              <w:jc w:val="right"/>
            </w:pPr>
            <w:r w:rsidRPr="00CB21B0">
              <w:lastRenderedPageBreak/>
              <w:t>350</w:t>
            </w:r>
          </w:p>
        </w:tc>
        <w:tc>
          <w:tcPr>
            <w:tcW w:w="1984" w:type="dxa"/>
            <w:shd w:val="clear" w:color="auto" w:fill="auto"/>
          </w:tcPr>
          <w:p w:rsidR="00C47DFF" w:rsidRPr="00CB21B0" w:rsidRDefault="00C47DFF" w:rsidP="00C47DFF">
            <w:pPr>
              <w:pStyle w:val="Tabletext"/>
              <w:jc w:val="right"/>
            </w:pPr>
            <w:r w:rsidRPr="00CB21B0">
              <w:t>350</w:t>
            </w:r>
          </w:p>
        </w:tc>
        <w:tc>
          <w:tcPr>
            <w:tcW w:w="1134" w:type="dxa"/>
            <w:shd w:val="clear" w:color="auto" w:fill="auto"/>
          </w:tcPr>
          <w:p w:rsidR="00C47DFF" w:rsidRPr="00CB21B0" w:rsidRDefault="00C47DFF" w:rsidP="00C47DFF">
            <w:pPr>
              <w:pStyle w:val="Tabletext"/>
              <w:jc w:val="right"/>
            </w:pPr>
            <w:r w:rsidRPr="00CB21B0">
              <w:t>350</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22</w:t>
            </w:r>
          </w:p>
        </w:tc>
        <w:tc>
          <w:tcPr>
            <w:tcW w:w="2126" w:type="dxa"/>
            <w:shd w:val="clear" w:color="auto" w:fill="auto"/>
          </w:tcPr>
          <w:p w:rsidR="00C47DFF" w:rsidRPr="00CB21B0" w:rsidRDefault="00C47DFF" w:rsidP="00C47DFF">
            <w:pPr>
              <w:pStyle w:val="Tabletext"/>
            </w:pPr>
            <w:r w:rsidRPr="00CB21B0">
              <w:t xml:space="preserve">Application for a permit, or extension of a permit, in respect of a chemical product or an active constituent if the proposed use of the chemical product or active constituent is determined by the APVMA to be an </w:t>
            </w:r>
            <w:r w:rsidRPr="00CB21B0">
              <w:lastRenderedPageBreak/>
              <w:t>emergency use</w:t>
            </w:r>
          </w:p>
        </w:tc>
        <w:tc>
          <w:tcPr>
            <w:tcW w:w="1276" w:type="dxa"/>
            <w:shd w:val="clear" w:color="auto" w:fill="auto"/>
          </w:tcPr>
          <w:p w:rsidR="00C47DFF" w:rsidRPr="00CB21B0" w:rsidRDefault="00C47DFF" w:rsidP="00C47DFF">
            <w:pPr>
              <w:pStyle w:val="Tabletext"/>
            </w:pPr>
            <w:r w:rsidRPr="00CB21B0">
              <w:lastRenderedPageBreak/>
              <w:t>Not applicable—(see regulation</w:t>
            </w:r>
            <w:r w:rsidR="00CB21B0" w:rsidRPr="00CB21B0">
              <w:t xml:space="preserve"> </w:t>
            </w:r>
            <w:r w:rsidR="00E501A3" w:rsidRPr="00CB21B0">
              <w:br/>
            </w:r>
            <w:r w:rsidRPr="00CB21B0">
              <w:t>76)</w:t>
            </w:r>
          </w:p>
        </w:tc>
        <w:tc>
          <w:tcPr>
            <w:tcW w:w="1842" w:type="dxa"/>
            <w:shd w:val="clear" w:color="auto" w:fill="auto"/>
          </w:tcPr>
          <w:p w:rsidR="00C47DFF" w:rsidRPr="00CB21B0" w:rsidRDefault="00C47DFF" w:rsidP="00C47DFF">
            <w:pPr>
              <w:pStyle w:val="Tabletext"/>
            </w:pPr>
            <w:r w:rsidRPr="00CB21B0">
              <w:t>Nil—(see paragraph</w:t>
            </w:r>
            <w:r w:rsidR="00CB21B0" w:rsidRPr="00CB21B0">
              <w:t xml:space="preserve"> </w:t>
            </w:r>
            <w:r w:rsidR="00E501A3" w:rsidRPr="00CB21B0">
              <w:br/>
            </w:r>
            <w:r w:rsidRPr="00CB21B0">
              <w:t>70</w:t>
            </w:r>
            <w:r w:rsidR="00E501A3" w:rsidRPr="00CB21B0">
              <w:t>(8</w:t>
            </w:r>
            <w:r w:rsidRPr="00CB21B0">
              <w:t>)(b))</w:t>
            </w:r>
          </w:p>
        </w:tc>
        <w:tc>
          <w:tcPr>
            <w:tcW w:w="1418" w:type="dxa"/>
            <w:shd w:val="clear" w:color="auto" w:fill="auto"/>
          </w:tcPr>
          <w:p w:rsidR="00C47DFF" w:rsidRPr="00CB21B0" w:rsidRDefault="00C47DFF" w:rsidP="00C47DFF">
            <w:pPr>
              <w:pStyle w:val="Tabletext"/>
              <w:jc w:val="right"/>
            </w:pPr>
            <w:r w:rsidRPr="00CB21B0">
              <w:t>Nil</w:t>
            </w:r>
          </w:p>
        </w:tc>
        <w:tc>
          <w:tcPr>
            <w:tcW w:w="1984" w:type="dxa"/>
            <w:shd w:val="clear" w:color="auto" w:fill="auto"/>
          </w:tcPr>
          <w:p w:rsidR="00C47DFF" w:rsidRPr="00CB21B0" w:rsidRDefault="00C47DFF" w:rsidP="00C47DFF">
            <w:pPr>
              <w:pStyle w:val="Tabletext"/>
              <w:jc w:val="right"/>
            </w:pPr>
            <w:r w:rsidRPr="00CB21B0">
              <w:t>Nil</w:t>
            </w:r>
          </w:p>
        </w:tc>
        <w:tc>
          <w:tcPr>
            <w:tcW w:w="1134" w:type="dxa"/>
            <w:shd w:val="clear" w:color="auto" w:fill="auto"/>
          </w:tcPr>
          <w:p w:rsidR="00C47DFF" w:rsidRPr="00CB21B0" w:rsidRDefault="00C47DFF" w:rsidP="00C47DFF">
            <w:pPr>
              <w:pStyle w:val="Tabletext"/>
              <w:jc w:val="right"/>
            </w:pPr>
            <w:r w:rsidRPr="00CB21B0">
              <w:t>Nil</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23</w:t>
            </w:r>
          </w:p>
        </w:tc>
        <w:tc>
          <w:tcPr>
            <w:tcW w:w="2126" w:type="dxa"/>
            <w:shd w:val="clear" w:color="auto" w:fill="auto"/>
          </w:tcPr>
          <w:p w:rsidR="00C47DFF" w:rsidRPr="00CB21B0" w:rsidRDefault="00C47DFF" w:rsidP="00C47DFF">
            <w:pPr>
              <w:pStyle w:val="Tabletext"/>
            </w:pPr>
            <w:r w:rsidRPr="00CB21B0">
              <w:t>Application for a permit, or extension of a permit, in respect of a chemical product or an active constituent if the application is not of a kind described in any of items</w:t>
            </w:r>
            <w:r w:rsidR="00CB21B0" w:rsidRPr="00CB21B0">
              <w:t> </w:t>
            </w:r>
            <w:r w:rsidRPr="00CB21B0">
              <w:t>19 to 21</w:t>
            </w:r>
          </w:p>
        </w:tc>
        <w:tc>
          <w:tcPr>
            <w:tcW w:w="1276" w:type="dxa"/>
            <w:shd w:val="clear" w:color="auto" w:fill="auto"/>
          </w:tcPr>
          <w:p w:rsidR="00C47DFF" w:rsidRPr="00CB21B0" w:rsidRDefault="00C47DFF" w:rsidP="00C47DFF">
            <w:pPr>
              <w:pStyle w:val="Tabletext"/>
            </w:pPr>
            <w:r w:rsidRPr="00CB21B0">
              <w:t>The modular assessment period</w:t>
            </w:r>
          </w:p>
        </w:tc>
        <w:tc>
          <w:tcPr>
            <w:tcW w:w="1842" w:type="dxa"/>
            <w:shd w:val="clear" w:color="auto" w:fill="auto"/>
          </w:tcPr>
          <w:p w:rsidR="00C47DFF" w:rsidRPr="00CB21B0" w:rsidRDefault="00C47DFF" w:rsidP="00C47DFF">
            <w:pPr>
              <w:pStyle w:val="Tabletext"/>
            </w:pPr>
            <w:r w:rsidRPr="00CB21B0">
              <w:t>One and one third of the modular assessment period, rounded up to the nearest whole month, plus 1 month</w:t>
            </w:r>
          </w:p>
        </w:tc>
        <w:tc>
          <w:tcPr>
            <w:tcW w:w="1418" w:type="dxa"/>
            <w:shd w:val="clear" w:color="auto" w:fill="auto"/>
          </w:tcPr>
          <w:p w:rsidR="00C47DFF" w:rsidRPr="00CB21B0" w:rsidRDefault="00C47DFF" w:rsidP="00C47DFF">
            <w:pPr>
              <w:pStyle w:val="Tabletext"/>
              <w:jc w:val="right"/>
            </w:pPr>
            <w:r w:rsidRPr="00CB21B0">
              <w:t>350</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The modular assessment fee</w:t>
            </w:r>
          </w:p>
        </w:tc>
      </w:tr>
      <w:tr w:rsidR="00C47DFF" w:rsidRPr="00CB21B0" w:rsidTr="00220E1B">
        <w:tc>
          <w:tcPr>
            <w:tcW w:w="10768" w:type="dxa"/>
            <w:gridSpan w:val="7"/>
            <w:shd w:val="clear" w:color="auto" w:fill="auto"/>
          </w:tcPr>
          <w:p w:rsidR="00C47DFF" w:rsidRPr="00CB21B0" w:rsidRDefault="00C47DFF" w:rsidP="00220E1B">
            <w:pPr>
              <w:pStyle w:val="TableHeading"/>
            </w:pPr>
            <w:r w:rsidRPr="00CB21B0">
              <w:t>Other applications</w:t>
            </w:r>
          </w:p>
        </w:tc>
      </w:tr>
      <w:tr w:rsidR="00C47DFF" w:rsidRPr="00CB21B0" w:rsidTr="00220E1B">
        <w:tc>
          <w:tcPr>
            <w:tcW w:w="988" w:type="dxa"/>
            <w:shd w:val="clear" w:color="auto" w:fill="auto"/>
          </w:tcPr>
          <w:p w:rsidR="00C47DFF" w:rsidRPr="00CB21B0" w:rsidRDefault="00C47DFF" w:rsidP="00C47DFF">
            <w:pPr>
              <w:pStyle w:val="Tabletext"/>
            </w:pPr>
            <w:r w:rsidRPr="00CB21B0">
              <w:t>24</w:t>
            </w:r>
          </w:p>
        </w:tc>
        <w:tc>
          <w:tcPr>
            <w:tcW w:w="2126" w:type="dxa"/>
            <w:shd w:val="clear" w:color="auto" w:fill="auto"/>
          </w:tcPr>
          <w:p w:rsidR="00C47DFF" w:rsidRPr="00CB21B0" w:rsidRDefault="00C47DFF" w:rsidP="00C47DFF">
            <w:pPr>
              <w:pStyle w:val="Tabletext"/>
            </w:pPr>
            <w:r w:rsidRPr="00CB21B0">
              <w:t>Application made under section</w:t>
            </w:r>
            <w:r w:rsidR="00CB21B0" w:rsidRPr="00CB21B0">
              <w:t> </w:t>
            </w:r>
            <w:r w:rsidRPr="00CB21B0">
              <w:t xml:space="preserve">10 of the Code (other than those </w:t>
            </w:r>
            <w:r w:rsidRPr="00CB21B0">
              <w:lastRenderedPageBreak/>
              <w:t>of the kinds described in any of items</w:t>
            </w:r>
            <w:r w:rsidR="00CB21B0" w:rsidRPr="00CB21B0">
              <w:t> </w:t>
            </w:r>
            <w:r w:rsidRPr="00CB21B0">
              <w:t>1 to 10, 15, 16 or 17) requiring assessment of a technical nature</w:t>
            </w:r>
          </w:p>
        </w:tc>
        <w:tc>
          <w:tcPr>
            <w:tcW w:w="1276" w:type="dxa"/>
            <w:shd w:val="clear" w:color="auto" w:fill="auto"/>
          </w:tcPr>
          <w:p w:rsidR="00C47DFF" w:rsidRPr="00CB21B0" w:rsidRDefault="00C47DFF" w:rsidP="00C47DFF">
            <w:pPr>
              <w:pStyle w:val="Tabletext"/>
            </w:pPr>
            <w:r w:rsidRPr="00CB21B0">
              <w:lastRenderedPageBreak/>
              <w:t>The modular assessment period</w:t>
            </w:r>
          </w:p>
        </w:tc>
        <w:tc>
          <w:tcPr>
            <w:tcW w:w="1842" w:type="dxa"/>
            <w:shd w:val="clear" w:color="auto" w:fill="auto"/>
          </w:tcPr>
          <w:p w:rsidR="00C47DFF" w:rsidRPr="00CB21B0" w:rsidRDefault="00C47DFF" w:rsidP="00C47DFF">
            <w:pPr>
              <w:pStyle w:val="Tabletext"/>
            </w:pPr>
            <w:r w:rsidRPr="00CB21B0">
              <w:t xml:space="preserve">One and one third of the modular assessment period, </w:t>
            </w:r>
            <w:r w:rsidRPr="00CB21B0">
              <w:lastRenderedPageBreak/>
              <w:t>rounded up to the nearest whole month, plus 1 month</w:t>
            </w:r>
          </w:p>
        </w:tc>
        <w:tc>
          <w:tcPr>
            <w:tcW w:w="1418" w:type="dxa"/>
            <w:shd w:val="clear" w:color="auto" w:fill="auto"/>
          </w:tcPr>
          <w:p w:rsidR="00C47DFF" w:rsidRPr="00CB21B0" w:rsidRDefault="00C47DFF" w:rsidP="00C47DFF">
            <w:pPr>
              <w:pStyle w:val="Tabletext"/>
              <w:jc w:val="right"/>
            </w:pPr>
            <w:r w:rsidRPr="00CB21B0">
              <w:lastRenderedPageBreak/>
              <w:t>350</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 xml:space="preserve">The modular assessment </w:t>
            </w:r>
            <w:r w:rsidRPr="00CB21B0">
              <w:lastRenderedPageBreak/>
              <w:t>fee</w:t>
            </w:r>
          </w:p>
        </w:tc>
      </w:tr>
      <w:tr w:rsidR="00C47DFF" w:rsidRPr="00CB21B0" w:rsidTr="00220E1B">
        <w:tc>
          <w:tcPr>
            <w:tcW w:w="988" w:type="dxa"/>
            <w:shd w:val="clear" w:color="auto" w:fill="auto"/>
          </w:tcPr>
          <w:p w:rsidR="00C47DFF" w:rsidRPr="00CB21B0" w:rsidRDefault="00C47DFF" w:rsidP="00C47DFF">
            <w:pPr>
              <w:pStyle w:val="Tabletext"/>
            </w:pPr>
            <w:r w:rsidRPr="00CB21B0">
              <w:lastRenderedPageBreak/>
              <w:t>25</w:t>
            </w:r>
          </w:p>
        </w:tc>
        <w:tc>
          <w:tcPr>
            <w:tcW w:w="2126" w:type="dxa"/>
            <w:shd w:val="clear" w:color="auto" w:fill="auto"/>
          </w:tcPr>
          <w:p w:rsidR="00C47DFF" w:rsidRPr="00CB21B0" w:rsidRDefault="00C47DFF" w:rsidP="00C47DFF">
            <w:pPr>
              <w:pStyle w:val="Tabletext"/>
            </w:pPr>
            <w:r w:rsidRPr="00CB21B0">
              <w:t>Application for a technical assessment made under regulation</w:t>
            </w:r>
            <w:r w:rsidR="00CB21B0" w:rsidRPr="00CB21B0">
              <w:t> </w:t>
            </w:r>
            <w:r w:rsidRPr="00CB21B0">
              <w:t xml:space="preserve">8AS </w:t>
            </w:r>
          </w:p>
        </w:tc>
        <w:tc>
          <w:tcPr>
            <w:tcW w:w="1276" w:type="dxa"/>
            <w:shd w:val="clear" w:color="auto" w:fill="auto"/>
          </w:tcPr>
          <w:p w:rsidR="00C47DFF" w:rsidRPr="00CB21B0" w:rsidRDefault="00C47DFF" w:rsidP="00C47DFF">
            <w:pPr>
              <w:pStyle w:val="Tabletext"/>
            </w:pPr>
            <w:r w:rsidRPr="00CB21B0">
              <w:t>The modular assessment period</w:t>
            </w:r>
          </w:p>
        </w:tc>
        <w:tc>
          <w:tcPr>
            <w:tcW w:w="1842" w:type="dxa"/>
            <w:shd w:val="clear" w:color="auto" w:fill="auto"/>
          </w:tcPr>
          <w:p w:rsidR="00C47DFF" w:rsidRPr="00CB21B0" w:rsidRDefault="00C47DFF" w:rsidP="00C47DFF">
            <w:pPr>
              <w:pStyle w:val="Tabletext"/>
            </w:pPr>
            <w:r w:rsidRPr="00CB21B0">
              <w:t>One and one third of the modular assessment period, rounded up to the nearest whole month, plus 1 month</w:t>
            </w:r>
          </w:p>
        </w:tc>
        <w:tc>
          <w:tcPr>
            <w:tcW w:w="1418" w:type="dxa"/>
            <w:shd w:val="clear" w:color="auto" w:fill="auto"/>
          </w:tcPr>
          <w:p w:rsidR="00C47DFF" w:rsidRPr="00CB21B0" w:rsidRDefault="00C47DFF" w:rsidP="00C47DFF">
            <w:pPr>
              <w:pStyle w:val="Tabletext"/>
              <w:jc w:val="right"/>
            </w:pPr>
            <w:r w:rsidRPr="00CB21B0">
              <w:t>Nil</w:t>
            </w:r>
          </w:p>
        </w:tc>
        <w:tc>
          <w:tcPr>
            <w:tcW w:w="1984" w:type="dxa"/>
            <w:shd w:val="clear" w:color="auto" w:fill="auto"/>
          </w:tcPr>
          <w:p w:rsidR="00C47DFF" w:rsidRPr="00CB21B0" w:rsidRDefault="00C47DFF" w:rsidP="00C47DFF">
            <w:pPr>
              <w:pStyle w:val="Tabletext"/>
            </w:pPr>
            <w:r w:rsidRPr="00CB21B0">
              <w:t>The modular assessment fee</w:t>
            </w:r>
          </w:p>
        </w:tc>
        <w:tc>
          <w:tcPr>
            <w:tcW w:w="1134" w:type="dxa"/>
            <w:shd w:val="clear" w:color="auto" w:fill="auto"/>
          </w:tcPr>
          <w:p w:rsidR="00C47DFF" w:rsidRPr="00CB21B0" w:rsidRDefault="00C47DFF" w:rsidP="00C47DFF">
            <w:pPr>
              <w:pStyle w:val="Tabletext"/>
            </w:pPr>
            <w:r w:rsidRPr="00CB21B0">
              <w:t>The modular assessment fee</w:t>
            </w:r>
          </w:p>
        </w:tc>
      </w:tr>
      <w:tr w:rsidR="00C47DFF" w:rsidRPr="00CB21B0" w:rsidTr="00220E1B">
        <w:tc>
          <w:tcPr>
            <w:tcW w:w="988" w:type="dxa"/>
            <w:tcBorders>
              <w:bottom w:val="single" w:sz="4" w:space="0" w:color="auto"/>
            </w:tcBorders>
            <w:shd w:val="clear" w:color="auto" w:fill="auto"/>
          </w:tcPr>
          <w:p w:rsidR="00C47DFF" w:rsidRPr="00CB21B0" w:rsidRDefault="00C47DFF" w:rsidP="00C47DFF">
            <w:pPr>
              <w:pStyle w:val="Tabletext"/>
            </w:pPr>
            <w:r w:rsidRPr="00CB21B0">
              <w:t>26</w:t>
            </w:r>
          </w:p>
        </w:tc>
        <w:tc>
          <w:tcPr>
            <w:tcW w:w="2126" w:type="dxa"/>
            <w:tcBorders>
              <w:bottom w:val="single" w:sz="4" w:space="0" w:color="auto"/>
            </w:tcBorders>
            <w:shd w:val="clear" w:color="auto" w:fill="auto"/>
          </w:tcPr>
          <w:p w:rsidR="00C47DFF" w:rsidRPr="00CB21B0" w:rsidRDefault="00C47DFF" w:rsidP="00C47DFF">
            <w:pPr>
              <w:pStyle w:val="Tabletext"/>
            </w:pPr>
            <w:r w:rsidRPr="00CB21B0">
              <w:t>Application for re</w:t>
            </w:r>
            <w:r w:rsidR="00CB21B0">
              <w:noBreakHyphen/>
            </w:r>
            <w:r w:rsidRPr="00CB21B0">
              <w:t xml:space="preserve">approval or </w:t>
            </w:r>
            <w:r w:rsidRPr="00CB21B0">
              <w:lastRenderedPageBreak/>
              <w:t>re</w:t>
            </w:r>
            <w:r w:rsidR="00CB21B0">
              <w:noBreakHyphen/>
            </w:r>
            <w:r w:rsidRPr="00CB21B0">
              <w:t>registration made under section</w:t>
            </w:r>
            <w:r w:rsidR="00CB21B0" w:rsidRPr="00CB21B0">
              <w:t> </w:t>
            </w:r>
            <w:r w:rsidRPr="00CB21B0">
              <w:t>29D of the Code</w:t>
            </w:r>
          </w:p>
        </w:tc>
        <w:tc>
          <w:tcPr>
            <w:tcW w:w="1276" w:type="dxa"/>
            <w:tcBorders>
              <w:bottom w:val="single" w:sz="4" w:space="0" w:color="auto"/>
            </w:tcBorders>
            <w:shd w:val="clear" w:color="auto" w:fill="auto"/>
          </w:tcPr>
          <w:p w:rsidR="00C47DFF" w:rsidRPr="00CB21B0" w:rsidRDefault="00C47DFF" w:rsidP="00C47DFF">
            <w:pPr>
              <w:pStyle w:val="Tabletext"/>
            </w:pPr>
            <w:r w:rsidRPr="00CB21B0">
              <w:lastRenderedPageBreak/>
              <w:t xml:space="preserve">12 months after the day </w:t>
            </w:r>
            <w:r w:rsidRPr="00CB21B0">
              <w:lastRenderedPageBreak/>
              <w:t xml:space="preserve">the approval of the constituent ends or the registration of the product cannot be renewed </w:t>
            </w:r>
          </w:p>
        </w:tc>
        <w:tc>
          <w:tcPr>
            <w:tcW w:w="1842" w:type="dxa"/>
            <w:tcBorders>
              <w:bottom w:val="single" w:sz="4" w:space="0" w:color="auto"/>
            </w:tcBorders>
            <w:shd w:val="clear" w:color="auto" w:fill="auto"/>
          </w:tcPr>
          <w:p w:rsidR="00C47DFF" w:rsidRPr="00CB21B0" w:rsidRDefault="00C47DFF" w:rsidP="00C47DFF">
            <w:pPr>
              <w:pStyle w:val="Tabletext"/>
            </w:pPr>
            <w:r w:rsidRPr="00CB21B0">
              <w:lastRenderedPageBreak/>
              <w:t>Not applicable</w:t>
            </w:r>
          </w:p>
        </w:tc>
        <w:tc>
          <w:tcPr>
            <w:tcW w:w="1418" w:type="dxa"/>
            <w:tcBorders>
              <w:bottom w:val="single" w:sz="4" w:space="0" w:color="auto"/>
            </w:tcBorders>
            <w:shd w:val="clear" w:color="auto" w:fill="auto"/>
          </w:tcPr>
          <w:p w:rsidR="00C47DFF" w:rsidRPr="00CB21B0" w:rsidRDefault="00C47DFF" w:rsidP="00C47DFF">
            <w:pPr>
              <w:pStyle w:val="Tabletext"/>
              <w:jc w:val="right"/>
            </w:pPr>
            <w:r w:rsidRPr="00CB21B0">
              <w:t>Nil</w:t>
            </w:r>
          </w:p>
        </w:tc>
        <w:tc>
          <w:tcPr>
            <w:tcW w:w="1984" w:type="dxa"/>
            <w:tcBorders>
              <w:bottom w:val="single" w:sz="4" w:space="0" w:color="auto"/>
            </w:tcBorders>
            <w:shd w:val="clear" w:color="auto" w:fill="auto"/>
          </w:tcPr>
          <w:p w:rsidR="00C47DFF" w:rsidRPr="00CB21B0" w:rsidRDefault="00C47DFF" w:rsidP="00C47DFF">
            <w:pPr>
              <w:pStyle w:val="Tabletext"/>
              <w:jc w:val="right"/>
            </w:pPr>
            <w:r w:rsidRPr="00CB21B0">
              <w:t>700</w:t>
            </w:r>
          </w:p>
        </w:tc>
        <w:tc>
          <w:tcPr>
            <w:tcW w:w="1134" w:type="dxa"/>
            <w:tcBorders>
              <w:bottom w:val="single" w:sz="4" w:space="0" w:color="auto"/>
            </w:tcBorders>
            <w:shd w:val="clear" w:color="auto" w:fill="auto"/>
          </w:tcPr>
          <w:p w:rsidR="00C47DFF" w:rsidRPr="00CB21B0" w:rsidRDefault="00C47DFF" w:rsidP="00C47DFF">
            <w:pPr>
              <w:pStyle w:val="Tabletext"/>
              <w:jc w:val="right"/>
            </w:pPr>
            <w:r w:rsidRPr="00CB21B0">
              <w:t>700</w:t>
            </w:r>
          </w:p>
        </w:tc>
      </w:tr>
      <w:tr w:rsidR="00C47DFF" w:rsidRPr="00CB21B0" w:rsidTr="00220E1B">
        <w:tc>
          <w:tcPr>
            <w:tcW w:w="988" w:type="dxa"/>
            <w:tcBorders>
              <w:bottom w:val="single" w:sz="12" w:space="0" w:color="auto"/>
            </w:tcBorders>
            <w:shd w:val="clear" w:color="auto" w:fill="auto"/>
          </w:tcPr>
          <w:p w:rsidR="00C47DFF" w:rsidRPr="00CB21B0" w:rsidRDefault="00C47DFF" w:rsidP="00C47DFF">
            <w:pPr>
              <w:pStyle w:val="Tabletext"/>
            </w:pPr>
            <w:r w:rsidRPr="00CB21B0">
              <w:lastRenderedPageBreak/>
              <w:t>27</w:t>
            </w:r>
          </w:p>
        </w:tc>
        <w:tc>
          <w:tcPr>
            <w:tcW w:w="2126" w:type="dxa"/>
            <w:tcBorders>
              <w:bottom w:val="single" w:sz="12" w:space="0" w:color="auto"/>
            </w:tcBorders>
            <w:shd w:val="clear" w:color="auto" w:fill="auto"/>
          </w:tcPr>
          <w:p w:rsidR="00C47DFF" w:rsidRPr="00CB21B0" w:rsidRDefault="00C47DFF" w:rsidP="00C47DFF">
            <w:pPr>
              <w:pStyle w:val="Tabletext"/>
            </w:pPr>
            <w:r w:rsidRPr="00CB21B0">
              <w:t>Timeshift application</w:t>
            </w:r>
          </w:p>
        </w:tc>
        <w:tc>
          <w:tcPr>
            <w:tcW w:w="1276" w:type="dxa"/>
            <w:tcBorders>
              <w:bottom w:val="single" w:sz="12" w:space="0" w:color="auto"/>
            </w:tcBorders>
            <w:shd w:val="clear" w:color="auto" w:fill="auto"/>
          </w:tcPr>
          <w:p w:rsidR="00C47DFF" w:rsidRPr="00CB21B0" w:rsidRDefault="00C47DFF" w:rsidP="00C47DFF">
            <w:pPr>
              <w:pStyle w:val="Tabletext"/>
            </w:pPr>
            <w:r w:rsidRPr="00CB21B0">
              <w:t>The modular assessment period</w:t>
            </w:r>
          </w:p>
        </w:tc>
        <w:tc>
          <w:tcPr>
            <w:tcW w:w="1842" w:type="dxa"/>
            <w:tcBorders>
              <w:bottom w:val="single" w:sz="12" w:space="0" w:color="auto"/>
            </w:tcBorders>
            <w:shd w:val="clear" w:color="auto" w:fill="auto"/>
          </w:tcPr>
          <w:p w:rsidR="00C47DFF" w:rsidRPr="00CB21B0" w:rsidRDefault="00C47DFF" w:rsidP="00C47DFF">
            <w:pPr>
              <w:pStyle w:val="Tabletext"/>
            </w:pPr>
            <w:r w:rsidRPr="00CB21B0">
              <w:t>Not applicable</w:t>
            </w:r>
          </w:p>
        </w:tc>
        <w:tc>
          <w:tcPr>
            <w:tcW w:w="1418" w:type="dxa"/>
            <w:tcBorders>
              <w:bottom w:val="single" w:sz="12" w:space="0" w:color="auto"/>
            </w:tcBorders>
            <w:shd w:val="clear" w:color="auto" w:fill="auto"/>
          </w:tcPr>
          <w:p w:rsidR="00C47DFF" w:rsidRPr="00CB21B0" w:rsidRDefault="00C47DFF" w:rsidP="00C47DFF">
            <w:pPr>
              <w:pStyle w:val="Tabletext"/>
              <w:jc w:val="right"/>
            </w:pPr>
            <w:r w:rsidRPr="00CB21B0">
              <w:t>1400</w:t>
            </w:r>
          </w:p>
        </w:tc>
        <w:tc>
          <w:tcPr>
            <w:tcW w:w="1984" w:type="dxa"/>
            <w:tcBorders>
              <w:bottom w:val="single" w:sz="12" w:space="0" w:color="auto"/>
            </w:tcBorders>
            <w:shd w:val="clear" w:color="auto" w:fill="auto"/>
          </w:tcPr>
          <w:p w:rsidR="00C47DFF" w:rsidRPr="00CB21B0" w:rsidRDefault="00C47DFF" w:rsidP="00C47DFF">
            <w:pPr>
              <w:pStyle w:val="Tabletext"/>
            </w:pPr>
            <w:r w:rsidRPr="00CB21B0">
              <w:t>The modular assessment fee</w:t>
            </w:r>
          </w:p>
        </w:tc>
        <w:tc>
          <w:tcPr>
            <w:tcW w:w="1134" w:type="dxa"/>
            <w:tcBorders>
              <w:bottom w:val="single" w:sz="12" w:space="0" w:color="auto"/>
            </w:tcBorders>
            <w:shd w:val="clear" w:color="auto" w:fill="auto"/>
          </w:tcPr>
          <w:p w:rsidR="00C47DFF" w:rsidRPr="00CB21B0" w:rsidRDefault="00C47DFF" w:rsidP="00C47DFF">
            <w:pPr>
              <w:pStyle w:val="Tabletext"/>
            </w:pPr>
            <w:r w:rsidRPr="00CB21B0">
              <w:t>The modular assessment fee</w:t>
            </w:r>
          </w:p>
        </w:tc>
      </w:tr>
    </w:tbl>
    <w:p w:rsidR="00C47DFF" w:rsidRPr="00CB21B0" w:rsidRDefault="00C47DFF" w:rsidP="00BC7987">
      <w:pPr>
        <w:pStyle w:val="Tabletext"/>
      </w:pPr>
    </w:p>
    <w:p w:rsidR="00C47DFF" w:rsidRPr="00CB21B0" w:rsidRDefault="00C47DFF" w:rsidP="00C47DFF">
      <w:pPr>
        <w:sectPr w:rsidR="00C47DFF" w:rsidRPr="00CB21B0" w:rsidSect="00472199">
          <w:headerReference w:type="even" r:id="rId35"/>
          <w:headerReference w:type="default" r:id="rId36"/>
          <w:footerReference w:type="even" r:id="rId37"/>
          <w:footerReference w:type="default" r:id="rId38"/>
          <w:pgSz w:w="16839" w:h="11907" w:orient="landscape"/>
          <w:pgMar w:top="1708" w:right="4253" w:bottom="2410" w:left="1871" w:header="720" w:footer="3412" w:gutter="0"/>
          <w:cols w:space="708"/>
          <w:docGrid w:linePitch="360"/>
        </w:sectPr>
      </w:pPr>
    </w:p>
    <w:p w:rsidR="007920DF" w:rsidRPr="00CB21B0" w:rsidRDefault="00220E6F" w:rsidP="008F33B5">
      <w:pPr>
        <w:pStyle w:val="ItemHead"/>
        <w:pageBreakBefore/>
        <w:rPr>
          <w:rFonts w:cs="Arial"/>
        </w:rPr>
      </w:pPr>
      <w:r w:rsidRPr="00CB21B0">
        <w:rPr>
          <w:rFonts w:cs="Arial"/>
          <w:noProof/>
        </w:rPr>
        <w:lastRenderedPageBreak/>
        <w:t>174</w:t>
      </w:r>
      <w:r w:rsidR="007920DF" w:rsidRPr="00CB21B0">
        <w:rPr>
          <w:rFonts w:cs="Arial"/>
        </w:rPr>
        <w:t xml:space="preserve">  Schedule</w:t>
      </w:r>
      <w:r w:rsidR="00CB21B0" w:rsidRPr="00CB21B0">
        <w:rPr>
          <w:rFonts w:cs="Arial"/>
        </w:rPr>
        <w:t> </w:t>
      </w:r>
      <w:r w:rsidR="007920DF" w:rsidRPr="00CB21B0">
        <w:rPr>
          <w:rFonts w:cs="Arial"/>
        </w:rPr>
        <w:t>7</w:t>
      </w:r>
    </w:p>
    <w:p w:rsidR="007920DF" w:rsidRPr="00CB21B0" w:rsidRDefault="007920DF" w:rsidP="007920DF">
      <w:pPr>
        <w:pStyle w:val="Item"/>
      </w:pPr>
      <w:r w:rsidRPr="00CB21B0">
        <w:t>Repeal the Schedule, substitute:</w:t>
      </w:r>
    </w:p>
    <w:p w:rsidR="007920DF" w:rsidRPr="00CB21B0" w:rsidRDefault="007920DF" w:rsidP="007920DF">
      <w:pPr>
        <w:pStyle w:val="ActHead1"/>
      </w:pPr>
      <w:bookmarkStart w:id="129" w:name="_Toc361055121"/>
      <w:r w:rsidRPr="00CB21B0">
        <w:rPr>
          <w:rStyle w:val="CharChapNo"/>
        </w:rPr>
        <w:t>Schedule</w:t>
      </w:r>
      <w:r w:rsidR="00CB21B0" w:rsidRPr="00CB21B0">
        <w:rPr>
          <w:rStyle w:val="CharChapNo"/>
        </w:rPr>
        <w:t> </w:t>
      </w:r>
      <w:r w:rsidRPr="00CB21B0">
        <w:rPr>
          <w:rStyle w:val="CharChapNo"/>
        </w:rPr>
        <w:t>7</w:t>
      </w:r>
      <w:r w:rsidRPr="00CB21B0">
        <w:t>—</w:t>
      </w:r>
      <w:r w:rsidRPr="00CB21B0">
        <w:rPr>
          <w:rStyle w:val="CharChapText"/>
        </w:rPr>
        <w:t>Table of fees and periods for completion of modules, levels and types of assessments</w:t>
      </w:r>
      <w:bookmarkEnd w:id="129"/>
    </w:p>
    <w:p w:rsidR="00A70635" w:rsidRPr="00CB21B0" w:rsidRDefault="007C7132" w:rsidP="006E3967">
      <w:pPr>
        <w:pStyle w:val="notemargin"/>
      </w:pPr>
      <w:r w:rsidRPr="00CB21B0">
        <w:t>Note:</w:t>
      </w:r>
      <w:r w:rsidRPr="00CB21B0">
        <w:tab/>
      </w:r>
      <w:r w:rsidR="007920DF" w:rsidRPr="00CB21B0">
        <w:t>See regulations</w:t>
      </w:r>
      <w:r w:rsidR="00CB21B0" w:rsidRPr="00CB21B0">
        <w:t> </w:t>
      </w:r>
      <w:r w:rsidR="007920DF" w:rsidRPr="00CB21B0">
        <w:t>7</w:t>
      </w:r>
      <w:r w:rsidR="00C66835" w:rsidRPr="00CB21B0">
        <w:t>0A</w:t>
      </w:r>
      <w:r w:rsidR="007920DF" w:rsidRPr="00CB21B0">
        <w:t xml:space="preserve"> and 77.</w:t>
      </w:r>
    </w:p>
    <w:p w:rsidR="007920DF" w:rsidRPr="00CB21B0" w:rsidRDefault="00A34334" w:rsidP="00A34334">
      <w:pPr>
        <w:pStyle w:val="Header"/>
      </w:pPr>
      <w:bookmarkStart w:id="130" w:name="f_Check_Lines_below"/>
      <w:bookmarkEnd w:id="130"/>
      <w:r w:rsidRPr="00CB21B0">
        <w:rPr>
          <w:rStyle w:val="CharPartNo"/>
        </w:rPr>
        <w:t xml:space="preserve"> </w:t>
      </w:r>
      <w:r w:rsidRPr="00CB21B0">
        <w:rPr>
          <w:rStyle w:val="CharPartText"/>
        </w:rPr>
        <w:t xml:space="preserve"> </w:t>
      </w:r>
    </w:p>
    <w:p w:rsidR="006E3967" w:rsidRPr="00CB21B0" w:rsidRDefault="006E3967" w:rsidP="007920DF">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93"/>
        <w:gridCol w:w="1418"/>
        <w:gridCol w:w="1134"/>
        <w:gridCol w:w="1134"/>
      </w:tblGrid>
      <w:tr w:rsidR="00220E1B" w:rsidRPr="00CB21B0" w:rsidTr="00220E1B">
        <w:trPr>
          <w:tblHeader/>
        </w:trPr>
        <w:tc>
          <w:tcPr>
            <w:tcW w:w="7088" w:type="dxa"/>
            <w:gridSpan w:val="5"/>
            <w:tcBorders>
              <w:top w:val="single" w:sz="12" w:space="0" w:color="auto"/>
              <w:bottom w:val="single" w:sz="6" w:space="0" w:color="auto"/>
            </w:tcBorders>
            <w:shd w:val="clear" w:color="auto" w:fill="auto"/>
          </w:tcPr>
          <w:p w:rsidR="00220E1B" w:rsidRPr="00CB21B0" w:rsidRDefault="00220E1B" w:rsidP="00220E1B">
            <w:pPr>
              <w:pStyle w:val="TableHeading"/>
            </w:pPr>
            <w:r w:rsidRPr="00CB21B0">
              <w:t>Table of fees and periods for completion of modules, levels and types of assessments</w:t>
            </w:r>
          </w:p>
        </w:tc>
      </w:tr>
      <w:tr w:rsidR="00C66835" w:rsidRPr="00CB21B0" w:rsidTr="00220E1B">
        <w:trPr>
          <w:tblHeader/>
        </w:trPr>
        <w:tc>
          <w:tcPr>
            <w:tcW w:w="709" w:type="dxa"/>
            <w:tcBorders>
              <w:top w:val="single" w:sz="6" w:space="0" w:color="auto"/>
              <w:bottom w:val="single" w:sz="12" w:space="0" w:color="auto"/>
            </w:tcBorders>
            <w:shd w:val="clear" w:color="auto" w:fill="auto"/>
          </w:tcPr>
          <w:p w:rsidR="00C66835" w:rsidRPr="00CB21B0" w:rsidRDefault="00C66835" w:rsidP="00C55571">
            <w:pPr>
              <w:pStyle w:val="TableHeading"/>
            </w:pPr>
            <w:r w:rsidRPr="00CB21B0">
              <w:t>Item</w:t>
            </w:r>
          </w:p>
        </w:tc>
        <w:tc>
          <w:tcPr>
            <w:tcW w:w="2693" w:type="dxa"/>
            <w:tcBorders>
              <w:top w:val="single" w:sz="6" w:space="0" w:color="auto"/>
              <w:bottom w:val="single" w:sz="12" w:space="0" w:color="auto"/>
            </w:tcBorders>
            <w:shd w:val="clear" w:color="auto" w:fill="auto"/>
          </w:tcPr>
          <w:p w:rsidR="00C66835" w:rsidRPr="00CB21B0" w:rsidRDefault="00C66835" w:rsidP="00C55571">
            <w:pPr>
              <w:pStyle w:val="TableHeading"/>
            </w:pPr>
            <w:r w:rsidRPr="00CB21B0">
              <w:t xml:space="preserve">Column </w:t>
            </w:r>
            <w:r w:rsidR="002418F4" w:rsidRPr="00CB21B0">
              <w:t>1</w:t>
            </w:r>
            <w:r w:rsidRPr="00CB21B0">
              <w:br/>
              <w:t>Module, level or type</w:t>
            </w:r>
          </w:p>
        </w:tc>
        <w:tc>
          <w:tcPr>
            <w:tcW w:w="1418" w:type="dxa"/>
            <w:tcBorders>
              <w:top w:val="single" w:sz="6" w:space="0" w:color="auto"/>
              <w:bottom w:val="single" w:sz="12" w:space="0" w:color="auto"/>
            </w:tcBorders>
            <w:shd w:val="clear" w:color="auto" w:fill="auto"/>
          </w:tcPr>
          <w:p w:rsidR="00C66835" w:rsidRPr="00CB21B0" w:rsidRDefault="00C66835" w:rsidP="00C55571">
            <w:pPr>
              <w:pStyle w:val="TableHeading"/>
            </w:pPr>
            <w:r w:rsidRPr="00CB21B0">
              <w:t xml:space="preserve">Column </w:t>
            </w:r>
            <w:r w:rsidR="002418F4" w:rsidRPr="00CB21B0">
              <w:t>2</w:t>
            </w:r>
            <w:r w:rsidRPr="00CB21B0">
              <w:br/>
              <w:t>Period for completion</w:t>
            </w:r>
          </w:p>
        </w:tc>
        <w:tc>
          <w:tcPr>
            <w:tcW w:w="1134" w:type="dxa"/>
            <w:tcBorders>
              <w:top w:val="single" w:sz="6" w:space="0" w:color="auto"/>
              <w:bottom w:val="single" w:sz="12" w:space="0" w:color="auto"/>
            </w:tcBorders>
            <w:shd w:val="clear" w:color="auto" w:fill="auto"/>
          </w:tcPr>
          <w:p w:rsidR="00C66835" w:rsidRPr="00CB21B0" w:rsidRDefault="00C66835" w:rsidP="00D15D3C">
            <w:pPr>
              <w:pStyle w:val="TableHeading"/>
              <w:jc w:val="right"/>
            </w:pPr>
            <w:r w:rsidRPr="00CB21B0">
              <w:t xml:space="preserve">Column </w:t>
            </w:r>
            <w:r w:rsidR="002418F4" w:rsidRPr="00CB21B0">
              <w:t>3</w:t>
            </w:r>
            <w:r w:rsidRPr="00CB21B0">
              <w:t xml:space="preserve"> Fee from 1</w:t>
            </w:r>
            <w:r w:rsidR="00CB21B0" w:rsidRPr="00CB21B0">
              <w:t> </w:t>
            </w:r>
            <w:r w:rsidRPr="00CB21B0">
              <w:t>July 2014 ($)</w:t>
            </w:r>
          </w:p>
        </w:tc>
        <w:tc>
          <w:tcPr>
            <w:tcW w:w="1134" w:type="dxa"/>
            <w:tcBorders>
              <w:top w:val="single" w:sz="6" w:space="0" w:color="auto"/>
              <w:bottom w:val="single" w:sz="12" w:space="0" w:color="auto"/>
            </w:tcBorders>
            <w:shd w:val="clear" w:color="auto" w:fill="auto"/>
          </w:tcPr>
          <w:p w:rsidR="00C66835" w:rsidRPr="00CB21B0" w:rsidRDefault="00C66835" w:rsidP="00D15D3C">
            <w:pPr>
              <w:pStyle w:val="TableHeading"/>
              <w:jc w:val="right"/>
            </w:pPr>
            <w:r w:rsidRPr="00CB21B0">
              <w:t xml:space="preserve">Column </w:t>
            </w:r>
            <w:r w:rsidR="002418F4" w:rsidRPr="00CB21B0">
              <w:t>4</w:t>
            </w:r>
            <w:r w:rsidRPr="00CB21B0">
              <w:t xml:space="preserve"> Fee from 1</w:t>
            </w:r>
            <w:r w:rsidR="00CB21B0" w:rsidRPr="00CB21B0">
              <w:t> </w:t>
            </w:r>
            <w:r w:rsidRPr="00CB21B0">
              <w:t>January 2015 ($)</w:t>
            </w:r>
          </w:p>
        </w:tc>
      </w:tr>
      <w:tr w:rsidR="00C66835" w:rsidRPr="00CB21B0" w:rsidTr="00220E1B">
        <w:tc>
          <w:tcPr>
            <w:tcW w:w="709" w:type="dxa"/>
            <w:tcBorders>
              <w:top w:val="single" w:sz="12" w:space="0" w:color="auto"/>
            </w:tcBorders>
            <w:shd w:val="clear" w:color="auto" w:fill="auto"/>
          </w:tcPr>
          <w:p w:rsidR="00C66835" w:rsidRPr="00CB21B0" w:rsidRDefault="00C66835" w:rsidP="007920DF">
            <w:pPr>
              <w:pStyle w:val="Tabletext"/>
            </w:pPr>
            <w:r w:rsidRPr="00CB21B0">
              <w:rPr>
                <w:b/>
              </w:rPr>
              <w:t>1</w:t>
            </w:r>
          </w:p>
        </w:tc>
        <w:tc>
          <w:tcPr>
            <w:tcW w:w="2693" w:type="dxa"/>
            <w:tcBorders>
              <w:top w:val="single" w:sz="12" w:space="0" w:color="auto"/>
            </w:tcBorders>
            <w:shd w:val="clear" w:color="auto" w:fill="auto"/>
          </w:tcPr>
          <w:p w:rsidR="00C66835" w:rsidRPr="00CB21B0" w:rsidRDefault="00C66835" w:rsidP="007920DF">
            <w:pPr>
              <w:pStyle w:val="Tabletext"/>
            </w:pPr>
            <w:r w:rsidRPr="00CB21B0">
              <w:rPr>
                <w:b/>
              </w:rPr>
              <w:t>Preliminary assessment</w:t>
            </w:r>
          </w:p>
        </w:tc>
        <w:tc>
          <w:tcPr>
            <w:tcW w:w="1418" w:type="dxa"/>
            <w:tcBorders>
              <w:top w:val="single" w:sz="12" w:space="0" w:color="auto"/>
            </w:tcBorders>
            <w:shd w:val="clear" w:color="auto" w:fill="auto"/>
          </w:tcPr>
          <w:p w:rsidR="00C66835" w:rsidRPr="00CB21B0" w:rsidRDefault="00C66835" w:rsidP="007920DF"/>
        </w:tc>
        <w:tc>
          <w:tcPr>
            <w:tcW w:w="1134" w:type="dxa"/>
            <w:tcBorders>
              <w:top w:val="single" w:sz="12" w:space="0" w:color="auto"/>
            </w:tcBorders>
            <w:shd w:val="clear" w:color="auto" w:fill="auto"/>
          </w:tcPr>
          <w:p w:rsidR="00C66835" w:rsidRPr="00CB21B0" w:rsidRDefault="00C66835" w:rsidP="001A00C6">
            <w:pPr>
              <w:pStyle w:val="Tabletext"/>
              <w:jc w:val="right"/>
            </w:pPr>
            <w:r w:rsidRPr="00CB21B0">
              <w:t>620</w:t>
            </w:r>
          </w:p>
        </w:tc>
        <w:tc>
          <w:tcPr>
            <w:tcW w:w="1134" w:type="dxa"/>
            <w:tcBorders>
              <w:top w:val="single" w:sz="12" w:space="0" w:color="auto"/>
            </w:tcBorders>
            <w:shd w:val="clear" w:color="auto" w:fill="auto"/>
          </w:tcPr>
          <w:p w:rsidR="00C66835" w:rsidRPr="00CB21B0" w:rsidRDefault="00C66835" w:rsidP="001A00C6">
            <w:pPr>
              <w:pStyle w:val="Tabletext"/>
              <w:jc w:val="right"/>
            </w:pPr>
            <w:r w:rsidRPr="00CB21B0">
              <w:t>710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2</w:t>
            </w:r>
          </w:p>
        </w:tc>
        <w:tc>
          <w:tcPr>
            <w:tcW w:w="2693" w:type="dxa"/>
            <w:shd w:val="clear" w:color="auto" w:fill="auto"/>
          </w:tcPr>
          <w:p w:rsidR="00C66835" w:rsidRPr="00CB21B0" w:rsidRDefault="00C66835" w:rsidP="001A00C6">
            <w:pPr>
              <w:pStyle w:val="Tabletext"/>
            </w:pPr>
            <w:r w:rsidRPr="00CB21B0">
              <w:rPr>
                <w:b/>
              </w:rPr>
              <w:t>Chemistry</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2.1</w:t>
            </w:r>
          </w:p>
        </w:tc>
        <w:tc>
          <w:tcPr>
            <w:tcW w:w="2693" w:type="dxa"/>
            <w:shd w:val="clear" w:color="auto" w:fill="auto"/>
          </w:tcPr>
          <w:p w:rsidR="00C66835" w:rsidRPr="00CB21B0" w:rsidRDefault="00C66835" w:rsidP="001A00C6">
            <w:pPr>
              <w:pStyle w:val="Tabletext"/>
            </w:pPr>
            <w:r w:rsidRPr="00CB21B0">
              <w:t>Chemistry—level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8</w:t>
            </w:r>
            <w:r w:rsidR="00CB21B0" w:rsidRPr="00CB21B0">
              <w:t> </w:t>
            </w:r>
            <w:r w:rsidRPr="00CB21B0">
              <w:t>065</w:t>
            </w:r>
          </w:p>
        </w:tc>
        <w:tc>
          <w:tcPr>
            <w:tcW w:w="1134" w:type="dxa"/>
            <w:shd w:val="clear" w:color="auto" w:fill="auto"/>
          </w:tcPr>
          <w:p w:rsidR="00C66835" w:rsidRPr="00CB21B0" w:rsidRDefault="00C66835" w:rsidP="001A00C6">
            <w:pPr>
              <w:pStyle w:val="Tabletext"/>
              <w:jc w:val="right"/>
            </w:pPr>
            <w:r w:rsidRPr="00CB21B0">
              <w:t>9</w:t>
            </w:r>
            <w:r w:rsidR="00CB21B0" w:rsidRPr="00CB21B0">
              <w:t> </w:t>
            </w:r>
            <w:r w:rsidRPr="00CB21B0">
              <w:t>220</w:t>
            </w:r>
          </w:p>
        </w:tc>
      </w:tr>
      <w:tr w:rsidR="00C66835" w:rsidRPr="00CB21B0" w:rsidTr="00220E1B">
        <w:tc>
          <w:tcPr>
            <w:tcW w:w="709" w:type="dxa"/>
            <w:shd w:val="clear" w:color="auto" w:fill="auto"/>
          </w:tcPr>
          <w:p w:rsidR="00C66835" w:rsidRPr="00CB21B0" w:rsidRDefault="00C66835" w:rsidP="001A00C6">
            <w:pPr>
              <w:pStyle w:val="Tabletext"/>
            </w:pPr>
            <w:r w:rsidRPr="00CB21B0">
              <w:t>2.2</w:t>
            </w:r>
          </w:p>
        </w:tc>
        <w:tc>
          <w:tcPr>
            <w:tcW w:w="2693" w:type="dxa"/>
            <w:shd w:val="clear" w:color="auto" w:fill="auto"/>
          </w:tcPr>
          <w:p w:rsidR="00C66835" w:rsidRPr="00CB21B0" w:rsidRDefault="00C66835" w:rsidP="001A00C6">
            <w:pPr>
              <w:pStyle w:val="Tabletext"/>
            </w:pPr>
            <w:r w:rsidRPr="00CB21B0">
              <w:t>Chemistry—level 2</w:t>
            </w:r>
          </w:p>
        </w:tc>
        <w:tc>
          <w:tcPr>
            <w:tcW w:w="1418" w:type="dxa"/>
            <w:shd w:val="clear" w:color="auto" w:fill="auto"/>
          </w:tcPr>
          <w:p w:rsidR="00C66835" w:rsidRPr="00CB21B0" w:rsidRDefault="00C66835" w:rsidP="001A00C6">
            <w:pPr>
              <w:pStyle w:val="Tabletext"/>
            </w:pPr>
            <w:r w:rsidRPr="00CB21B0">
              <w:t>9 months</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690</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075</w:t>
            </w:r>
          </w:p>
        </w:tc>
      </w:tr>
      <w:tr w:rsidR="00C66835" w:rsidRPr="00CB21B0" w:rsidTr="00220E1B">
        <w:tc>
          <w:tcPr>
            <w:tcW w:w="709" w:type="dxa"/>
            <w:shd w:val="clear" w:color="auto" w:fill="auto"/>
          </w:tcPr>
          <w:p w:rsidR="00C66835" w:rsidRPr="00CB21B0" w:rsidRDefault="00C66835" w:rsidP="001A00C6">
            <w:pPr>
              <w:pStyle w:val="Tabletext"/>
            </w:pPr>
            <w:r w:rsidRPr="00CB21B0">
              <w:t>2.3</w:t>
            </w:r>
          </w:p>
        </w:tc>
        <w:tc>
          <w:tcPr>
            <w:tcW w:w="2693" w:type="dxa"/>
            <w:shd w:val="clear" w:color="auto" w:fill="auto"/>
          </w:tcPr>
          <w:p w:rsidR="00C66835" w:rsidRPr="00CB21B0" w:rsidRDefault="00C66835" w:rsidP="001A00C6">
            <w:pPr>
              <w:pStyle w:val="Tabletext"/>
            </w:pPr>
            <w:r w:rsidRPr="00CB21B0">
              <w:t>Chemistry—level 3</w:t>
            </w:r>
          </w:p>
        </w:tc>
        <w:tc>
          <w:tcPr>
            <w:tcW w:w="1418" w:type="dxa"/>
            <w:shd w:val="clear" w:color="auto" w:fill="auto"/>
          </w:tcPr>
          <w:p w:rsidR="00C66835" w:rsidRPr="00CB21B0" w:rsidRDefault="00C66835" w:rsidP="001A00C6">
            <w:pPr>
              <w:pStyle w:val="Tabletext"/>
            </w:pPr>
            <w:r w:rsidRPr="00CB21B0">
              <w:t>6 months</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380</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580</w:t>
            </w:r>
          </w:p>
        </w:tc>
      </w:tr>
      <w:tr w:rsidR="00C66835" w:rsidRPr="00CB21B0" w:rsidTr="00220E1B">
        <w:tc>
          <w:tcPr>
            <w:tcW w:w="709" w:type="dxa"/>
            <w:shd w:val="clear" w:color="auto" w:fill="auto"/>
          </w:tcPr>
          <w:p w:rsidR="00C66835" w:rsidRPr="00CB21B0" w:rsidRDefault="00C66835" w:rsidP="001A00C6">
            <w:pPr>
              <w:pStyle w:val="Tabletext"/>
            </w:pPr>
            <w:r w:rsidRPr="00CB21B0">
              <w:t>2.5</w:t>
            </w:r>
          </w:p>
        </w:tc>
        <w:tc>
          <w:tcPr>
            <w:tcW w:w="2693" w:type="dxa"/>
            <w:shd w:val="clear" w:color="auto" w:fill="auto"/>
          </w:tcPr>
          <w:p w:rsidR="00C66835" w:rsidRPr="00CB21B0" w:rsidRDefault="00C66835" w:rsidP="00B50FA1">
            <w:pPr>
              <w:pStyle w:val="Tabletext"/>
            </w:pPr>
            <w:r w:rsidRPr="00CB21B0">
              <w:t>Chemistry—timeshift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8</w:t>
            </w:r>
            <w:r w:rsidR="00CB21B0" w:rsidRPr="00CB21B0">
              <w:t> </w:t>
            </w:r>
            <w:r w:rsidRPr="00CB21B0">
              <w:t>065</w:t>
            </w:r>
          </w:p>
        </w:tc>
        <w:tc>
          <w:tcPr>
            <w:tcW w:w="1134" w:type="dxa"/>
            <w:shd w:val="clear" w:color="auto" w:fill="auto"/>
          </w:tcPr>
          <w:p w:rsidR="00C66835" w:rsidRPr="00CB21B0" w:rsidRDefault="00C66835" w:rsidP="001A00C6">
            <w:pPr>
              <w:pStyle w:val="Tabletext"/>
              <w:jc w:val="right"/>
            </w:pPr>
            <w:r w:rsidRPr="00CB21B0">
              <w:t>9</w:t>
            </w:r>
            <w:r w:rsidR="00CB21B0" w:rsidRPr="00CB21B0">
              <w:t> </w:t>
            </w:r>
            <w:r w:rsidRPr="00CB21B0">
              <w:t>220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3</w:t>
            </w:r>
          </w:p>
        </w:tc>
        <w:tc>
          <w:tcPr>
            <w:tcW w:w="2693" w:type="dxa"/>
            <w:shd w:val="clear" w:color="auto" w:fill="auto"/>
          </w:tcPr>
          <w:p w:rsidR="00C66835" w:rsidRPr="00CB21B0" w:rsidRDefault="00C66835" w:rsidP="001A00C6">
            <w:pPr>
              <w:pStyle w:val="Tabletext"/>
            </w:pPr>
            <w:r w:rsidRPr="00CB21B0">
              <w:rPr>
                <w:b/>
              </w:rPr>
              <w:t>Toxicology</w:t>
            </w:r>
            <w:r w:rsidRPr="00CB21B0">
              <w:t xml:space="preserve"> (not requiring poison schedule classification)</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3.1</w:t>
            </w:r>
          </w:p>
        </w:tc>
        <w:tc>
          <w:tcPr>
            <w:tcW w:w="2693" w:type="dxa"/>
            <w:shd w:val="clear" w:color="auto" w:fill="auto"/>
          </w:tcPr>
          <w:p w:rsidR="00C66835" w:rsidRPr="00CB21B0" w:rsidRDefault="00C66835" w:rsidP="001A00C6">
            <w:pPr>
              <w:pStyle w:val="Tabletext"/>
            </w:pPr>
            <w:r w:rsidRPr="00CB21B0">
              <w:t>Toxicology—level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24</w:t>
            </w:r>
            <w:r w:rsidR="00CB21B0" w:rsidRPr="00CB21B0">
              <w:t> </w:t>
            </w:r>
            <w:r w:rsidRPr="00CB21B0">
              <w:t>430</w:t>
            </w:r>
          </w:p>
        </w:tc>
        <w:tc>
          <w:tcPr>
            <w:tcW w:w="1134" w:type="dxa"/>
            <w:shd w:val="clear" w:color="auto" w:fill="auto"/>
          </w:tcPr>
          <w:p w:rsidR="00C66835" w:rsidRPr="00CB21B0" w:rsidRDefault="00C66835" w:rsidP="001A00C6">
            <w:pPr>
              <w:pStyle w:val="Tabletext"/>
              <w:jc w:val="right"/>
            </w:pPr>
            <w:r w:rsidRPr="00CB21B0">
              <w:t>27</w:t>
            </w:r>
            <w:r w:rsidR="00CB21B0" w:rsidRPr="00CB21B0">
              <w:t> </w:t>
            </w:r>
            <w:r w:rsidRPr="00CB21B0">
              <w:t>920</w:t>
            </w:r>
          </w:p>
        </w:tc>
      </w:tr>
      <w:tr w:rsidR="00C66835" w:rsidRPr="00CB21B0" w:rsidTr="00220E1B">
        <w:tc>
          <w:tcPr>
            <w:tcW w:w="709" w:type="dxa"/>
            <w:shd w:val="clear" w:color="auto" w:fill="auto"/>
          </w:tcPr>
          <w:p w:rsidR="00C66835" w:rsidRPr="00CB21B0" w:rsidRDefault="00C66835" w:rsidP="001A00C6">
            <w:pPr>
              <w:pStyle w:val="Tabletext"/>
            </w:pPr>
            <w:r w:rsidRPr="00CB21B0">
              <w:t>3.2</w:t>
            </w:r>
          </w:p>
        </w:tc>
        <w:tc>
          <w:tcPr>
            <w:tcW w:w="2693" w:type="dxa"/>
            <w:shd w:val="clear" w:color="auto" w:fill="auto"/>
          </w:tcPr>
          <w:p w:rsidR="00C66835" w:rsidRPr="00CB21B0" w:rsidRDefault="00C66835" w:rsidP="001A00C6">
            <w:pPr>
              <w:pStyle w:val="Tabletext"/>
            </w:pPr>
            <w:r w:rsidRPr="00CB21B0">
              <w:t>Toxicology—level 2</w:t>
            </w:r>
          </w:p>
        </w:tc>
        <w:tc>
          <w:tcPr>
            <w:tcW w:w="1418" w:type="dxa"/>
            <w:shd w:val="clear" w:color="auto" w:fill="auto"/>
          </w:tcPr>
          <w:p w:rsidR="00C66835" w:rsidRPr="00CB21B0" w:rsidRDefault="00C66835" w:rsidP="001A00C6">
            <w:pPr>
              <w:pStyle w:val="Tabletext"/>
            </w:pPr>
            <w:r w:rsidRPr="00CB21B0">
              <w:t>9 months</w:t>
            </w:r>
          </w:p>
        </w:tc>
        <w:tc>
          <w:tcPr>
            <w:tcW w:w="1134" w:type="dxa"/>
            <w:shd w:val="clear" w:color="auto" w:fill="auto"/>
          </w:tcPr>
          <w:p w:rsidR="00C66835" w:rsidRPr="00CB21B0" w:rsidRDefault="00C66835" w:rsidP="001A00C6">
            <w:pPr>
              <w:pStyle w:val="Tabletext"/>
              <w:jc w:val="right"/>
            </w:pPr>
            <w:r w:rsidRPr="00CB21B0">
              <w:t>14</w:t>
            </w:r>
            <w:r w:rsidR="00CB21B0" w:rsidRPr="00CB21B0">
              <w:t> </w:t>
            </w:r>
            <w:r w:rsidRPr="00CB21B0">
              <w:t>620</w:t>
            </w:r>
          </w:p>
        </w:tc>
        <w:tc>
          <w:tcPr>
            <w:tcW w:w="1134" w:type="dxa"/>
            <w:shd w:val="clear" w:color="auto" w:fill="auto"/>
          </w:tcPr>
          <w:p w:rsidR="00C66835" w:rsidRPr="00CB21B0" w:rsidRDefault="00C66835" w:rsidP="001A00C6">
            <w:pPr>
              <w:pStyle w:val="Tabletext"/>
              <w:jc w:val="right"/>
            </w:pPr>
            <w:r w:rsidRPr="00CB21B0">
              <w:t>15</w:t>
            </w:r>
            <w:r w:rsidR="00CB21B0" w:rsidRPr="00CB21B0">
              <w:t> </w:t>
            </w:r>
            <w:r w:rsidRPr="00CB21B0">
              <w:t>795</w:t>
            </w:r>
          </w:p>
        </w:tc>
      </w:tr>
      <w:tr w:rsidR="00C66835" w:rsidRPr="00CB21B0" w:rsidTr="00220E1B">
        <w:tc>
          <w:tcPr>
            <w:tcW w:w="709" w:type="dxa"/>
            <w:shd w:val="clear" w:color="auto" w:fill="auto"/>
          </w:tcPr>
          <w:p w:rsidR="00C66835" w:rsidRPr="00CB21B0" w:rsidRDefault="00C66835" w:rsidP="001A00C6">
            <w:pPr>
              <w:pStyle w:val="Tabletext"/>
            </w:pPr>
            <w:r w:rsidRPr="00CB21B0">
              <w:t>3.3</w:t>
            </w:r>
          </w:p>
        </w:tc>
        <w:tc>
          <w:tcPr>
            <w:tcW w:w="2693" w:type="dxa"/>
            <w:shd w:val="clear" w:color="auto" w:fill="auto"/>
          </w:tcPr>
          <w:p w:rsidR="00C66835" w:rsidRPr="00CB21B0" w:rsidRDefault="00C66835" w:rsidP="001A00C6">
            <w:pPr>
              <w:pStyle w:val="Tabletext"/>
            </w:pPr>
            <w:r w:rsidRPr="00CB21B0">
              <w:t>Toxicology—level 3</w:t>
            </w:r>
          </w:p>
        </w:tc>
        <w:tc>
          <w:tcPr>
            <w:tcW w:w="1418" w:type="dxa"/>
            <w:shd w:val="clear" w:color="auto" w:fill="auto"/>
          </w:tcPr>
          <w:p w:rsidR="00C66835" w:rsidRPr="00CB21B0" w:rsidRDefault="00C66835" w:rsidP="001A00C6">
            <w:pPr>
              <w:pStyle w:val="Tabletext"/>
            </w:pPr>
            <w:r w:rsidRPr="00CB21B0">
              <w:t>5 months</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540</w:t>
            </w:r>
          </w:p>
        </w:tc>
        <w:tc>
          <w:tcPr>
            <w:tcW w:w="1134" w:type="dxa"/>
            <w:shd w:val="clear" w:color="auto" w:fill="auto"/>
          </w:tcPr>
          <w:p w:rsidR="00C66835" w:rsidRPr="00CB21B0" w:rsidRDefault="00C66835" w:rsidP="001A00C6">
            <w:pPr>
              <w:pStyle w:val="Tabletext"/>
              <w:jc w:val="right"/>
            </w:pPr>
            <w:r w:rsidRPr="00CB21B0">
              <w:t>4</w:t>
            </w:r>
            <w:r w:rsidR="00CB21B0" w:rsidRPr="00CB21B0">
              <w:t> </w:t>
            </w:r>
            <w:r w:rsidRPr="00CB21B0">
              <w:t>050</w:t>
            </w:r>
          </w:p>
        </w:tc>
      </w:tr>
      <w:tr w:rsidR="00C66835" w:rsidRPr="00CB21B0" w:rsidTr="00220E1B">
        <w:tc>
          <w:tcPr>
            <w:tcW w:w="709" w:type="dxa"/>
            <w:shd w:val="clear" w:color="auto" w:fill="auto"/>
          </w:tcPr>
          <w:p w:rsidR="00C66835" w:rsidRPr="00CB21B0" w:rsidRDefault="00C66835" w:rsidP="001A00C6">
            <w:pPr>
              <w:pStyle w:val="Tabletext"/>
            </w:pPr>
            <w:r w:rsidRPr="00CB21B0">
              <w:t>3.4</w:t>
            </w:r>
          </w:p>
        </w:tc>
        <w:tc>
          <w:tcPr>
            <w:tcW w:w="2693" w:type="dxa"/>
            <w:shd w:val="clear" w:color="auto" w:fill="auto"/>
          </w:tcPr>
          <w:p w:rsidR="00C66835" w:rsidRPr="00CB21B0" w:rsidRDefault="00C66835" w:rsidP="00B50FA1">
            <w:pPr>
              <w:pStyle w:val="Tabletext"/>
            </w:pPr>
            <w:r w:rsidRPr="00CB21B0">
              <w:t>Toxicology—timeshift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24</w:t>
            </w:r>
            <w:r w:rsidR="00CB21B0" w:rsidRPr="00CB21B0">
              <w:t> </w:t>
            </w:r>
            <w:r w:rsidRPr="00CB21B0">
              <w:t>430</w:t>
            </w:r>
          </w:p>
        </w:tc>
        <w:tc>
          <w:tcPr>
            <w:tcW w:w="1134" w:type="dxa"/>
            <w:shd w:val="clear" w:color="auto" w:fill="auto"/>
          </w:tcPr>
          <w:p w:rsidR="00C66835" w:rsidRPr="00CB21B0" w:rsidRDefault="00C66835" w:rsidP="001A00C6">
            <w:pPr>
              <w:pStyle w:val="Tabletext"/>
              <w:jc w:val="right"/>
            </w:pPr>
            <w:r w:rsidRPr="00CB21B0">
              <w:t>27</w:t>
            </w:r>
            <w:r w:rsidR="00CB21B0" w:rsidRPr="00CB21B0">
              <w:t> </w:t>
            </w:r>
            <w:r w:rsidRPr="00CB21B0">
              <w:t>920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4</w:t>
            </w:r>
          </w:p>
        </w:tc>
        <w:tc>
          <w:tcPr>
            <w:tcW w:w="2693" w:type="dxa"/>
            <w:shd w:val="clear" w:color="auto" w:fill="auto"/>
          </w:tcPr>
          <w:p w:rsidR="00C66835" w:rsidRPr="00CB21B0" w:rsidRDefault="00C66835" w:rsidP="001A00C6">
            <w:pPr>
              <w:pStyle w:val="Tabletext"/>
            </w:pPr>
            <w:r w:rsidRPr="00CB21B0">
              <w:rPr>
                <w:b/>
              </w:rPr>
              <w:t>Toxicology</w:t>
            </w:r>
            <w:r w:rsidRPr="00CB21B0">
              <w:t xml:space="preserve"> (requiring poison schedule classification</w:t>
            </w:r>
            <w:r w:rsidRPr="00CB21B0">
              <w:rPr>
                <w:iCs/>
              </w:rPr>
              <w:t>)</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4.1</w:t>
            </w:r>
          </w:p>
        </w:tc>
        <w:tc>
          <w:tcPr>
            <w:tcW w:w="2693" w:type="dxa"/>
            <w:shd w:val="clear" w:color="auto" w:fill="auto"/>
          </w:tcPr>
          <w:p w:rsidR="00C66835" w:rsidRPr="00CB21B0" w:rsidRDefault="00C66835" w:rsidP="002B064B">
            <w:pPr>
              <w:pStyle w:val="Tabletext"/>
            </w:pPr>
            <w:r w:rsidRPr="00CB21B0">
              <w:t>Toxicology requiring poison schedule classification</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435</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435</w:t>
            </w:r>
          </w:p>
        </w:tc>
      </w:tr>
      <w:tr w:rsidR="00C66835" w:rsidRPr="00CB21B0" w:rsidTr="00220E1B">
        <w:tc>
          <w:tcPr>
            <w:tcW w:w="709" w:type="dxa"/>
            <w:shd w:val="clear" w:color="auto" w:fill="auto"/>
          </w:tcPr>
          <w:p w:rsidR="00C66835" w:rsidRPr="00CB21B0" w:rsidRDefault="00C66835" w:rsidP="001A00C6">
            <w:pPr>
              <w:pStyle w:val="Tabletext"/>
            </w:pPr>
            <w:r w:rsidRPr="00CB21B0">
              <w:t>4.2</w:t>
            </w:r>
          </w:p>
        </w:tc>
        <w:tc>
          <w:tcPr>
            <w:tcW w:w="2693" w:type="dxa"/>
            <w:shd w:val="clear" w:color="auto" w:fill="auto"/>
          </w:tcPr>
          <w:p w:rsidR="00C66835" w:rsidRPr="00CB21B0" w:rsidRDefault="00C66835" w:rsidP="00B50FA1">
            <w:pPr>
              <w:pStyle w:val="Tabletext"/>
            </w:pPr>
            <w:r w:rsidRPr="00CB21B0">
              <w:t xml:space="preserve">Toxicology requiring poison </w:t>
            </w:r>
            <w:r w:rsidRPr="00CB21B0">
              <w:lastRenderedPageBreak/>
              <w:t>schedule classification—timeshift application</w:t>
            </w:r>
          </w:p>
        </w:tc>
        <w:tc>
          <w:tcPr>
            <w:tcW w:w="1418" w:type="dxa"/>
            <w:shd w:val="clear" w:color="auto" w:fill="auto"/>
          </w:tcPr>
          <w:p w:rsidR="00C66835" w:rsidRPr="00CB21B0" w:rsidRDefault="00C66835" w:rsidP="001A00C6">
            <w:pPr>
              <w:pStyle w:val="Tabletext"/>
            </w:pPr>
            <w:r w:rsidRPr="00CB21B0">
              <w:lastRenderedPageBreak/>
              <w:t xml:space="preserve">As set out in </w:t>
            </w:r>
            <w:r w:rsidRPr="00CB21B0">
              <w:lastRenderedPageBreak/>
              <w:t>the project plan</w:t>
            </w:r>
          </w:p>
        </w:tc>
        <w:tc>
          <w:tcPr>
            <w:tcW w:w="1134" w:type="dxa"/>
            <w:shd w:val="clear" w:color="auto" w:fill="auto"/>
          </w:tcPr>
          <w:p w:rsidR="00C66835" w:rsidRPr="00CB21B0" w:rsidRDefault="00C66835" w:rsidP="001A00C6">
            <w:pPr>
              <w:pStyle w:val="Tabletext"/>
              <w:jc w:val="right"/>
            </w:pPr>
            <w:r w:rsidRPr="00CB21B0">
              <w:lastRenderedPageBreak/>
              <w:t>2</w:t>
            </w:r>
            <w:r w:rsidR="00CB21B0" w:rsidRPr="00CB21B0">
              <w:t> </w:t>
            </w:r>
            <w:r w:rsidRPr="00CB21B0">
              <w:t>435</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435</w:t>
            </w:r>
          </w:p>
        </w:tc>
      </w:tr>
      <w:tr w:rsidR="00C66835" w:rsidRPr="00CB21B0" w:rsidTr="00220E1B">
        <w:tc>
          <w:tcPr>
            <w:tcW w:w="709" w:type="dxa"/>
            <w:shd w:val="clear" w:color="auto" w:fill="auto"/>
          </w:tcPr>
          <w:p w:rsidR="00C66835" w:rsidRPr="00CB21B0" w:rsidRDefault="00C66835" w:rsidP="001A00C6">
            <w:pPr>
              <w:pStyle w:val="Tabletext"/>
            </w:pPr>
            <w:r w:rsidRPr="00CB21B0">
              <w:rPr>
                <w:b/>
              </w:rPr>
              <w:lastRenderedPageBreak/>
              <w:t>5</w:t>
            </w:r>
          </w:p>
        </w:tc>
        <w:tc>
          <w:tcPr>
            <w:tcW w:w="2693" w:type="dxa"/>
            <w:shd w:val="clear" w:color="auto" w:fill="auto"/>
          </w:tcPr>
          <w:p w:rsidR="00C66835" w:rsidRPr="00CB21B0" w:rsidRDefault="00C66835" w:rsidP="001A00C6">
            <w:pPr>
              <w:pStyle w:val="Tabletext"/>
            </w:pPr>
            <w:r w:rsidRPr="00CB21B0">
              <w:rPr>
                <w:b/>
              </w:rPr>
              <w:t>Residues</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5.1</w:t>
            </w:r>
          </w:p>
        </w:tc>
        <w:tc>
          <w:tcPr>
            <w:tcW w:w="2693" w:type="dxa"/>
            <w:shd w:val="clear" w:color="auto" w:fill="auto"/>
          </w:tcPr>
          <w:p w:rsidR="00C66835" w:rsidRPr="00CB21B0" w:rsidRDefault="00C66835" w:rsidP="001A00C6">
            <w:pPr>
              <w:pStyle w:val="Tabletext"/>
            </w:pPr>
            <w:r w:rsidRPr="00CB21B0">
              <w:t>Residues—level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15</w:t>
            </w:r>
            <w:r w:rsidR="00CB21B0" w:rsidRPr="00CB21B0">
              <w:t> </w:t>
            </w:r>
            <w:r w:rsidRPr="00CB21B0">
              <w:t>900</w:t>
            </w:r>
          </w:p>
        </w:tc>
        <w:tc>
          <w:tcPr>
            <w:tcW w:w="1134" w:type="dxa"/>
            <w:shd w:val="clear" w:color="auto" w:fill="auto"/>
          </w:tcPr>
          <w:p w:rsidR="00C66835" w:rsidRPr="00CB21B0" w:rsidRDefault="00C66835" w:rsidP="001A00C6">
            <w:pPr>
              <w:pStyle w:val="Tabletext"/>
              <w:jc w:val="right"/>
            </w:pPr>
            <w:r w:rsidRPr="00CB21B0">
              <w:t>18</w:t>
            </w:r>
            <w:r w:rsidR="00CB21B0" w:rsidRPr="00CB21B0">
              <w:t> </w:t>
            </w:r>
            <w:r w:rsidRPr="00CB21B0">
              <w:t>170</w:t>
            </w:r>
          </w:p>
        </w:tc>
      </w:tr>
      <w:tr w:rsidR="00C66835" w:rsidRPr="00CB21B0" w:rsidTr="00220E1B">
        <w:tc>
          <w:tcPr>
            <w:tcW w:w="709" w:type="dxa"/>
            <w:shd w:val="clear" w:color="auto" w:fill="auto"/>
          </w:tcPr>
          <w:p w:rsidR="00C66835" w:rsidRPr="00CB21B0" w:rsidRDefault="00C66835" w:rsidP="001A00C6">
            <w:pPr>
              <w:pStyle w:val="Tabletext"/>
            </w:pPr>
            <w:r w:rsidRPr="00CB21B0">
              <w:t>5.2</w:t>
            </w:r>
          </w:p>
        </w:tc>
        <w:tc>
          <w:tcPr>
            <w:tcW w:w="2693" w:type="dxa"/>
            <w:shd w:val="clear" w:color="auto" w:fill="auto"/>
          </w:tcPr>
          <w:p w:rsidR="00C66835" w:rsidRPr="00CB21B0" w:rsidRDefault="00C66835" w:rsidP="00A57FC4">
            <w:pPr>
              <w:pStyle w:val="Tabletext"/>
            </w:pPr>
            <w:r w:rsidRPr="00CB21B0">
              <w:t>Residues—level 2</w:t>
            </w:r>
          </w:p>
        </w:tc>
        <w:tc>
          <w:tcPr>
            <w:tcW w:w="1418" w:type="dxa"/>
            <w:shd w:val="clear" w:color="auto" w:fill="auto"/>
          </w:tcPr>
          <w:p w:rsidR="00C66835" w:rsidRPr="00CB21B0" w:rsidRDefault="00C66835" w:rsidP="001A00C6">
            <w:pPr>
              <w:pStyle w:val="Tabletext"/>
            </w:pPr>
            <w:r w:rsidRPr="00CB21B0">
              <w:t>8 months</w:t>
            </w:r>
          </w:p>
        </w:tc>
        <w:tc>
          <w:tcPr>
            <w:tcW w:w="1134" w:type="dxa"/>
            <w:shd w:val="clear" w:color="auto" w:fill="auto"/>
          </w:tcPr>
          <w:p w:rsidR="00C66835" w:rsidRPr="00CB21B0" w:rsidRDefault="00C66835" w:rsidP="001A00C6">
            <w:pPr>
              <w:pStyle w:val="Tabletext"/>
              <w:jc w:val="right"/>
            </w:pPr>
            <w:r w:rsidRPr="00CB21B0">
              <w:t>9</w:t>
            </w:r>
            <w:r w:rsidR="00CB21B0" w:rsidRPr="00CB21B0">
              <w:t> </w:t>
            </w:r>
            <w:r w:rsidRPr="00CB21B0">
              <w:t>210</w:t>
            </w:r>
          </w:p>
        </w:tc>
        <w:tc>
          <w:tcPr>
            <w:tcW w:w="1134" w:type="dxa"/>
            <w:shd w:val="clear" w:color="auto" w:fill="auto"/>
          </w:tcPr>
          <w:p w:rsidR="00C66835" w:rsidRPr="00CB21B0" w:rsidRDefault="00C66835" w:rsidP="001A00C6">
            <w:pPr>
              <w:pStyle w:val="Tabletext"/>
              <w:jc w:val="right"/>
            </w:pPr>
            <w:r w:rsidRPr="00CB21B0">
              <w:t>10</w:t>
            </w:r>
            <w:r w:rsidR="00CB21B0" w:rsidRPr="00CB21B0">
              <w:t> </w:t>
            </w:r>
            <w:r w:rsidRPr="00CB21B0">
              <w:t>525</w:t>
            </w:r>
          </w:p>
        </w:tc>
      </w:tr>
      <w:tr w:rsidR="00C66835" w:rsidRPr="00CB21B0" w:rsidTr="00220E1B">
        <w:tc>
          <w:tcPr>
            <w:tcW w:w="709" w:type="dxa"/>
            <w:shd w:val="clear" w:color="auto" w:fill="auto"/>
          </w:tcPr>
          <w:p w:rsidR="00C66835" w:rsidRPr="00CB21B0" w:rsidRDefault="00C66835" w:rsidP="001A00C6">
            <w:pPr>
              <w:pStyle w:val="Tabletext"/>
            </w:pPr>
            <w:r w:rsidRPr="00CB21B0">
              <w:t>5.3</w:t>
            </w:r>
          </w:p>
        </w:tc>
        <w:tc>
          <w:tcPr>
            <w:tcW w:w="2693" w:type="dxa"/>
            <w:shd w:val="clear" w:color="auto" w:fill="auto"/>
          </w:tcPr>
          <w:p w:rsidR="00C66835" w:rsidRPr="00CB21B0" w:rsidRDefault="00C66835" w:rsidP="00A57FC4">
            <w:pPr>
              <w:pStyle w:val="Tabletext"/>
            </w:pPr>
            <w:r w:rsidRPr="00CB21B0">
              <w:t>Residues—level 3</w:t>
            </w:r>
          </w:p>
        </w:tc>
        <w:tc>
          <w:tcPr>
            <w:tcW w:w="1418" w:type="dxa"/>
            <w:shd w:val="clear" w:color="auto" w:fill="auto"/>
          </w:tcPr>
          <w:p w:rsidR="00C66835" w:rsidRPr="00CB21B0" w:rsidRDefault="00C66835" w:rsidP="001A00C6">
            <w:pPr>
              <w:pStyle w:val="Tabletext"/>
            </w:pPr>
            <w:r w:rsidRPr="00CB21B0">
              <w:t>8 months</w:t>
            </w:r>
          </w:p>
        </w:tc>
        <w:tc>
          <w:tcPr>
            <w:tcW w:w="1134" w:type="dxa"/>
            <w:shd w:val="clear" w:color="auto" w:fill="auto"/>
          </w:tcPr>
          <w:p w:rsidR="00C66835" w:rsidRPr="00CB21B0" w:rsidRDefault="00C66835" w:rsidP="001A00C6">
            <w:pPr>
              <w:pStyle w:val="Tabletext"/>
              <w:jc w:val="right"/>
            </w:pPr>
            <w:r w:rsidRPr="00CB21B0">
              <w:t>7</w:t>
            </w:r>
            <w:r w:rsidR="00CB21B0" w:rsidRPr="00CB21B0">
              <w:t> </w:t>
            </w:r>
            <w:r w:rsidRPr="00CB21B0">
              <w:t>175</w:t>
            </w:r>
          </w:p>
        </w:tc>
        <w:tc>
          <w:tcPr>
            <w:tcW w:w="1134" w:type="dxa"/>
            <w:shd w:val="clear" w:color="auto" w:fill="auto"/>
          </w:tcPr>
          <w:p w:rsidR="00C66835" w:rsidRPr="00CB21B0" w:rsidRDefault="00C66835" w:rsidP="001A00C6">
            <w:pPr>
              <w:pStyle w:val="Tabletext"/>
              <w:jc w:val="right"/>
            </w:pPr>
            <w:r w:rsidRPr="00CB21B0">
              <w:t>8</w:t>
            </w:r>
            <w:r w:rsidR="00CB21B0" w:rsidRPr="00CB21B0">
              <w:t> </w:t>
            </w:r>
            <w:r w:rsidRPr="00CB21B0">
              <w:t>200</w:t>
            </w:r>
          </w:p>
        </w:tc>
      </w:tr>
      <w:tr w:rsidR="00C66835" w:rsidRPr="00CB21B0" w:rsidTr="00220E1B">
        <w:tc>
          <w:tcPr>
            <w:tcW w:w="709" w:type="dxa"/>
            <w:shd w:val="clear" w:color="auto" w:fill="auto"/>
          </w:tcPr>
          <w:p w:rsidR="00C66835" w:rsidRPr="00CB21B0" w:rsidRDefault="00C66835" w:rsidP="001A00C6">
            <w:pPr>
              <w:pStyle w:val="Tabletext"/>
            </w:pPr>
            <w:r w:rsidRPr="00CB21B0">
              <w:t>5.4</w:t>
            </w:r>
          </w:p>
        </w:tc>
        <w:tc>
          <w:tcPr>
            <w:tcW w:w="2693" w:type="dxa"/>
            <w:shd w:val="clear" w:color="auto" w:fill="auto"/>
          </w:tcPr>
          <w:p w:rsidR="00C66835" w:rsidRPr="00CB21B0" w:rsidRDefault="00C66835" w:rsidP="00A57FC4">
            <w:pPr>
              <w:pStyle w:val="Tabletext"/>
            </w:pPr>
            <w:r w:rsidRPr="00CB21B0">
              <w:t>Residues—level 4</w:t>
            </w:r>
          </w:p>
        </w:tc>
        <w:tc>
          <w:tcPr>
            <w:tcW w:w="1418" w:type="dxa"/>
            <w:shd w:val="clear" w:color="auto" w:fill="auto"/>
          </w:tcPr>
          <w:p w:rsidR="00C66835" w:rsidRPr="00CB21B0" w:rsidRDefault="00C66835" w:rsidP="001A00C6">
            <w:pPr>
              <w:pStyle w:val="Tabletext"/>
            </w:pPr>
            <w:r w:rsidRPr="00CB21B0">
              <w:t>4 months</w:t>
            </w:r>
          </w:p>
        </w:tc>
        <w:tc>
          <w:tcPr>
            <w:tcW w:w="1134" w:type="dxa"/>
            <w:shd w:val="clear" w:color="auto" w:fill="auto"/>
          </w:tcPr>
          <w:p w:rsidR="00C66835" w:rsidRPr="00CB21B0" w:rsidRDefault="00C66835" w:rsidP="001A00C6">
            <w:pPr>
              <w:pStyle w:val="Tabletext"/>
              <w:jc w:val="right"/>
            </w:pPr>
            <w:r w:rsidRPr="00CB21B0">
              <w:t>6</w:t>
            </w:r>
            <w:r w:rsidR="00CB21B0" w:rsidRPr="00CB21B0">
              <w:t> </w:t>
            </w:r>
            <w:r w:rsidRPr="00CB21B0">
              <w:t>535</w:t>
            </w:r>
          </w:p>
        </w:tc>
        <w:tc>
          <w:tcPr>
            <w:tcW w:w="1134" w:type="dxa"/>
            <w:shd w:val="clear" w:color="auto" w:fill="auto"/>
          </w:tcPr>
          <w:p w:rsidR="00C66835" w:rsidRPr="00CB21B0" w:rsidRDefault="00C66835" w:rsidP="001A00C6">
            <w:pPr>
              <w:pStyle w:val="Tabletext"/>
              <w:jc w:val="right"/>
            </w:pPr>
            <w:r w:rsidRPr="00CB21B0">
              <w:t>7</w:t>
            </w:r>
            <w:r w:rsidR="00CB21B0" w:rsidRPr="00CB21B0">
              <w:t> </w:t>
            </w:r>
            <w:r w:rsidRPr="00CB21B0">
              <w:t>465</w:t>
            </w:r>
          </w:p>
        </w:tc>
      </w:tr>
      <w:tr w:rsidR="00C66835" w:rsidRPr="00CB21B0" w:rsidTr="00220E1B">
        <w:tc>
          <w:tcPr>
            <w:tcW w:w="709" w:type="dxa"/>
            <w:shd w:val="clear" w:color="auto" w:fill="auto"/>
          </w:tcPr>
          <w:p w:rsidR="00C66835" w:rsidRPr="00CB21B0" w:rsidRDefault="00C66835" w:rsidP="001A00C6">
            <w:pPr>
              <w:pStyle w:val="Tabletext"/>
            </w:pPr>
            <w:r w:rsidRPr="00CB21B0">
              <w:t>5.5</w:t>
            </w:r>
          </w:p>
        </w:tc>
        <w:tc>
          <w:tcPr>
            <w:tcW w:w="2693" w:type="dxa"/>
            <w:shd w:val="clear" w:color="auto" w:fill="auto"/>
          </w:tcPr>
          <w:p w:rsidR="00C66835" w:rsidRPr="00CB21B0" w:rsidRDefault="00C66835" w:rsidP="00A57FC4">
            <w:pPr>
              <w:pStyle w:val="Tabletext"/>
            </w:pPr>
            <w:r w:rsidRPr="00CB21B0">
              <w:t>Residues—level 5</w:t>
            </w:r>
          </w:p>
        </w:tc>
        <w:tc>
          <w:tcPr>
            <w:tcW w:w="1418" w:type="dxa"/>
            <w:shd w:val="clear" w:color="auto" w:fill="auto"/>
          </w:tcPr>
          <w:p w:rsidR="00C66835" w:rsidRPr="00CB21B0" w:rsidRDefault="00C66835" w:rsidP="001A00C6">
            <w:pPr>
              <w:pStyle w:val="Tabletext"/>
            </w:pPr>
            <w:r w:rsidRPr="00CB21B0">
              <w:t>4 months</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750</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000</w:t>
            </w:r>
          </w:p>
        </w:tc>
      </w:tr>
      <w:tr w:rsidR="00C66835" w:rsidRPr="00CB21B0" w:rsidTr="00220E1B">
        <w:tc>
          <w:tcPr>
            <w:tcW w:w="709" w:type="dxa"/>
            <w:shd w:val="clear" w:color="auto" w:fill="auto"/>
          </w:tcPr>
          <w:p w:rsidR="00C66835" w:rsidRPr="00CB21B0" w:rsidRDefault="00C66835" w:rsidP="001A00C6">
            <w:pPr>
              <w:pStyle w:val="Tabletext"/>
            </w:pPr>
            <w:r w:rsidRPr="00CB21B0">
              <w:t>5.6</w:t>
            </w:r>
          </w:p>
        </w:tc>
        <w:tc>
          <w:tcPr>
            <w:tcW w:w="2693" w:type="dxa"/>
            <w:shd w:val="clear" w:color="auto" w:fill="auto"/>
          </w:tcPr>
          <w:p w:rsidR="00C66835" w:rsidRPr="00CB21B0" w:rsidRDefault="00C66835" w:rsidP="001A00C6">
            <w:pPr>
              <w:pStyle w:val="Tabletext"/>
            </w:pPr>
            <w:r w:rsidRPr="00CB21B0">
              <w:t>Residues—timeshift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15</w:t>
            </w:r>
            <w:r w:rsidR="00CB21B0" w:rsidRPr="00CB21B0">
              <w:t> </w:t>
            </w:r>
            <w:r w:rsidRPr="00CB21B0">
              <w:t>900</w:t>
            </w:r>
          </w:p>
        </w:tc>
        <w:tc>
          <w:tcPr>
            <w:tcW w:w="1134" w:type="dxa"/>
            <w:shd w:val="clear" w:color="auto" w:fill="auto"/>
          </w:tcPr>
          <w:p w:rsidR="00C66835" w:rsidRPr="00CB21B0" w:rsidRDefault="00C66835" w:rsidP="001A00C6">
            <w:pPr>
              <w:pStyle w:val="Tabletext"/>
              <w:jc w:val="right"/>
            </w:pPr>
            <w:r w:rsidRPr="00CB21B0">
              <w:t>18</w:t>
            </w:r>
            <w:r w:rsidR="00CB21B0" w:rsidRPr="00CB21B0">
              <w:t> </w:t>
            </w:r>
            <w:r w:rsidRPr="00CB21B0">
              <w:t>710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6</w:t>
            </w:r>
          </w:p>
        </w:tc>
        <w:tc>
          <w:tcPr>
            <w:tcW w:w="2693" w:type="dxa"/>
            <w:shd w:val="clear" w:color="auto" w:fill="auto"/>
          </w:tcPr>
          <w:p w:rsidR="00C66835" w:rsidRPr="00CB21B0" w:rsidRDefault="00C66835" w:rsidP="001A00C6">
            <w:pPr>
              <w:pStyle w:val="Tabletext"/>
            </w:pPr>
            <w:r w:rsidRPr="00CB21B0">
              <w:rPr>
                <w:b/>
              </w:rPr>
              <w:t>Occupational health and safety</w:t>
            </w:r>
          </w:p>
        </w:tc>
        <w:tc>
          <w:tcPr>
            <w:tcW w:w="1418" w:type="dxa"/>
            <w:shd w:val="clear" w:color="auto" w:fill="auto"/>
          </w:tcPr>
          <w:p w:rsidR="00C66835" w:rsidRPr="00CB21B0" w:rsidRDefault="00C66835" w:rsidP="001A00C6">
            <w:pPr>
              <w:keepNext/>
            </w:pPr>
          </w:p>
        </w:tc>
        <w:tc>
          <w:tcPr>
            <w:tcW w:w="1134" w:type="dxa"/>
            <w:shd w:val="clear" w:color="auto" w:fill="auto"/>
          </w:tcPr>
          <w:p w:rsidR="00C66835" w:rsidRPr="00CB21B0" w:rsidRDefault="00C66835" w:rsidP="001A00C6">
            <w:pPr>
              <w:keepNext/>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6.1</w:t>
            </w:r>
          </w:p>
        </w:tc>
        <w:tc>
          <w:tcPr>
            <w:tcW w:w="2693" w:type="dxa"/>
            <w:shd w:val="clear" w:color="auto" w:fill="auto"/>
          </w:tcPr>
          <w:p w:rsidR="00C66835" w:rsidRPr="00CB21B0" w:rsidRDefault="00C66835" w:rsidP="001A00C6">
            <w:pPr>
              <w:pStyle w:val="Tabletext"/>
            </w:pPr>
            <w:r w:rsidRPr="00CB21B0">
              <w:t>Occupational health and safety—level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 xml:space="preserve"> 4</w:t>
            </w:r>
            <w:r w:rsidR="00CB21B0" w:rsidRPr="00CB21B0">
              <w:t> </w:t>
            </w:r>
            <w:r w:rsidRPr="00CB21B0">
              <w:t>310</w:t>
            </w:r>
          </w:p>
        </w:tc>
        <w:tc>
          <w:tcPr>
            <w:tcW w:w="1134" w:type="dxa"/>
            <w:shd w:val="clear" w:color="auto" w:fill="auto"/>
          </w:tcPr>
          <w:p w:rsidR="00C66835" w:rsidRPr="00CB21B0" w:rsidRDefault="00C66835" w:rsidP="001A00C6">
            <w:pPr>
              <w:pStyle w:val="Tabletext"/>
              <w:jc w:val="right"/>
            </w:pPr>
            <w:r w:rsidRPr="00CB21B0">
              <w:t>4</w:t>
            </w:r>
            <w:r w:rsidR="00CB21B0" w:rsidRPr="00CB21B0">
              <w:t> </w:t>
            </w:r>
            <w:r w:rsidRPr="00CB21B0">
              <w:t>410</w:t>
            </w:r>
          </w:p>
        </w:tc>
      </w:tr>
      <w:tr w:rsidR="00C66835" w:rsidRPr="00CB21B0" w:rsidTr="00220E1B">
        <w:tc>
          <w:tcPr>
            <w:tcW w:w="709" w:type="dxa"/>
            <w:shd w:val="clear" w:color="auto" w:fill="auto"/>
          </w:tcPr>
          <w:p w:rsidR="00C66835" w:rsidRPr="00CB21B0" w:rsidRDefault="00C66835" w:rsidP="001A00C6">
            <w:pPr>
              <w:pStyle w:val="Tabletext"/>
            </w:pPr>
            <w:r w:rsidRPr="00CB21B0">
              <w:t>6.2</w:t>
            </w:r>
          </w:p>
        </w:tc>
        <w:tc>
          <w:tcPr>
            <w:tcW w:w="2693" w:type="dxa"/>
            <w:shd w:val="clear" w:color="auto" w:fill="auto"/>
          </w:tcPr>
          <w:p w:rsidR="00C66835" w:rsidRPr="00CB21B0" w:rsidRDefault="00C66835" w:rsidP="001A00C6">
            <w:pPr>
              <w:pStyle w:val="Tabletext"/>
            </w:pPr>
            <w:r w:rsidRPr="00CB21B0">
              <w:t>Occupational health and safety—level 2</w:t>
            </w:r>
          </w:p>
        </w:tc>
        <w:tc>
          <w:tcPr>
            <w:tcW w:w="1418" w:type="dxa"/>
            <w:shd w:val="clear" w:color="auto" w:fill="auto"/>
          </w:tcPr>
          <w:p w:rsidR="00C66835" w:rsidRPr="00CB21B0" w:rsidRDefault="00C66835" w:rsidP="001A00C6">
            <w:pPr>
              <w:pStyle w:val="Tabletext"/>
            </w:pPr>
            <w:r w:rsidRPr="00CB21B0">
              <w:t>7 months</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900</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185</w:t>
            </w:r>
          </w:p>
        </w:tc>
      </w:tr>
      <w:tr w:rsidR="00C66835" w:rsidRPr="00CB21B0" w:rsidTr="00220E1B">
        <w:tc>
          <w:tcPr>
            <w:tcW w:w="709" w:type="dxa"/>
            <w:shd w:val="clear" w:color="auto" w:fill="auto"/>
          </w:tcPr>
          <w:p w:rsidR="00C66835" w:rsidRPr="00CB21B0" w:rsidRDefault="00C66835" w:rsidP="001A00C6">
            <w:pPr>
              <w:pStyle w:val="Tabletext"/>
            </w:pPr>
            <w:r w:rsidRPr="00CB21B0">
              <w:t>6.3</w:t>
            </w:r>
          </w:p>
        </w:tc>
        <w:tc>
          <w:tcPr>
            <w:tcW w:w="2693" w:type="dxa"/>
            <w:shd w:val="clear" w:color="auto" w:fill="auto"/>
          </w:tcPr>
          <w:p w:rsidR="00C66835" w:rsidRPr="00CB21B0" w:rsidRDefault="00C66835" w:rsidP="001A00C6">
            <w:pPr>
              <w:pStyle w:val="Tabletext"/>
            </w:pPr>
            <w:r w:rsidRPr="00CB21B0">
              <w:t>Occupational health and safety—level 3</w:t>
            </w:r>
          </w:p>
        </w:tc>
        <w:tc>
          <w:tcPr>
            <w:tcW w:w="1418" w:type="dxa"/>
            <w:shd w:val="clear" w:color="auto" w:fill="auto"/>
          </w:tcPr>
          <w:p w:rsidR="00C66835" w:rsidRPr="00CB21B0" w:rsidRDefault="00C66835" w:rsidP="001A00C6">
            <w:pPr>
              <w:pStyle w:val="Tabletext"/>
            </w:pPr>
            <w:r w:rsidRPr="00CB21B0">
              <w:t>4 months</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480</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980</w:t>
            </w:r>
          </w:p>
        </w:tc>
      </w:tr>
      <w:tr w:rsidR="00C66835" w:rsidRPr="00CB21B0" w:rsidTr="00220E1B">
        <w:tc>
          <w:tcPr>
            <w:tcW w:w="709" w:type="dxa"/>
            <w:shd w:val="clear" w:color="auto" w:fill="auto"/>
          </w:tcPr>
          <w:p w:rsidR="00C66835" w:rsidRPr="00CB21B0" w:rsidRDefault="00C66835" w:rsidP="001A00C6">
            <w:pPr>
              <w:pStyle w:val="Tabletext"/>
            </w:pPr>
            <w:r w:rsidRPr="00CB21B0">
              <w:t>6.4</w:t>
            </w:r>
          </w:p>
        </w:tc>
        <w:tc>
          <w:tcPr>
            <w:tcW w:w="2693" w:type="dxa"/>
            <w:shd w:val="clear" w:color="auto" w:fill="auto"/>
          </w:tcPr>
          <w:p w:rsidR="00C66835" w:rsidRPr="00CB21B0" w:rsidRDefault="00C66835" w:rsidP="00B50FA1">
            <w:pPr>
              <w:pStyle w:val="Tabletext"/>
            </w:pPr>
            <w:r w:rsidRPr="00CB21B0">
              <w:t>Occupational health and safety—timeshift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4</w:t>
            </w:r>
            <w:r w:rsidR="00CB21B0" w:rsidRPr="00CB21B0">
              <w:t> </w:t>
            </w:r>
            <w:r w:rsidRPr="00CB21B0">
              <w:t>310</w:t>
            </w:r>
          </w:p>
        </w:tc>
        <w:tc>
          <w:tcPr>
            <w:tcW w:w="1134" w:type="dxa"/>
            <w:shd w:val="clear" w:color="auto" w:fill="auto"/>
          </w:tcPr>
          <w:p w:rsidR="00C66835" w:rsidRPr="00CB21B0" w:rsidRDefault="00C66835" w:rsidP="001A00C6">
            <w:pPr>
              <w:pStyle w:val="Tabletext"/>
              <w:jc w:val="right"/>
            </w:pPr>
            <w:r w:rsidRPr="00CB21B0">
              <w:t>4</w:t>
            </w:r>
            <w:r w:rsidR="00CB21B0" w:rsidRPr="00CB21B0">
              <w:t> </w:t>
            </w:r>
            <w:r w:rsidRPr="00CB21B0">
              <w:t>410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7</w:t>
            </w:r>
          </w:p>
        </w:tc>
        <w:tc>
          <w:tcPr>
            <w:tcW w:w="2693" w:type="dxa"/>
            <w:shd w:val="clear" w:color="auto" w:fill="auto"/>
          </w:tcPr>
          <w:p w:rsidR="00C66835" w:rsidRPr="00CB21B0" w:rsidRDefault="00C66835" w:rsidP="001A00C6">
            <w:pPr>
              <w:pStyle w:val="Tabletext"/>
            </w:pPr>
            <w:r w:rsidRPr="00CB21B0">
              <w:rPr>
                <w:b/>
              </w:rPr>
              <w:t>Environment</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7.1</w:t>
            </w:r>
          </w:p>
        </w:tc>
        <w:tc>
          <w:tcPr>
            <w:tcW w:w="2693" w:type="dxa"/>
            <w:shd w:val="clear" w:color="auto" w:fill="auto"/>
          </w:tcPr>
          <w:p w:rsidR="00C66835" w:rsidRPr="00CB21B0" w:rsidRDefault="00C66835" w:rsidP="001A00C6">
            <w:pPr>
              <w:pStyle w:val="Tabletext"/>
            </w:pPr>
            <w:r w:rsidRPr="00CB21B0">
              <w:t>Environment—level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23</w:t>
            </w:r>
            <w:r w:rsidR="00CB21B0" w:rsidRPr="00CB21B0">
              <w:t> </w:t>
            </w:r>
            <w:r w:rsidRPr="00CB21B0">
              <w:t>095</w:t>
            </w:r>
          </w:p>
        </w:tc>
        <w:tc>
          <w:tcPr>
            <w:tcW w:w="1134" w:type="dxa"/>
            <w:shd w:val="clear" w:color="auto" w:fill="auto"/>
          </w:tcPr>
          <w:p w:rsidR="00C66835" w:rsidRPr="00CB21B0" w:rsidRDefault="00C66835" w:rsidP="001A00C6">
            <w:pPr>
              <w:pStyle w:val="Tabletext"/>
              <w:jc w:val="right"/>
            </w:pPr>
            <w:r w:rsidRPr="00CB21B0">
              <w:t>26</w:t>
            </w:r>
            <w:r w:rsidR="00CB21B0" w:rsidRPr="00CB21B0">
              <w:t> </w:t>
            </w:r>
            <w:r w:rsidRPr="00CB21B0">
              <w:t>390</w:t>
            </w:r>
          </w:p>
        </w:tc>
      </w:tr>
      <w:tr w:rsidR="00C66835" w:rsidRPr="00CB21B0" w:rsidTr="00220E1B">
        <w:tc>
          <w:tcPr>
            <w:tcW w:w="709" w:type="dxa"/>
            <w:shd w:val="clear" w:color="auto" w:fill="auto"/>
          </w:tcPr>
          <w:p w:rsidR="00C66835" w:rsidRPr="00CB21B0" w:rsidRDefault="00C66835" w:rsidP="001A00C6">
            <w:pPr>
              <w:pStyle w:val="Tabletext"/>
            </w:pPr>
            <w:r w:rsidRPr="00CB21B0">
              <w:t>7.2</w:t>
            </w:r>
          </w:p>
        </w:tc>
        <w:tc>
          <w:tcPr>
            <w:tcW w:w="2693" w:type="dxa"/>
            <w:shd w:val="clear" w:color="auto" w:fill="auto"/>
          </w:tcPr>
          <w:p w:rsidR="00C66835" w:rsidRPr="00CB21B0" w:rsidRDefault="00C66835" w:rsidP="001A00C6">
            <w:pPr>
              <w:pStyle w:val="Tabletext"/>
            </w:pPr>
            <w:r w:rsidRPr="00CB21B0">
              <w:t>Environment—level 2</w:t>
            </w:r>
          </w:p>
        </w:tc>
        <w:tc>
          <w:tcPr>
            <w:tcW w:w="1418" w:type="dxa"/>
            <w:shd w:val="clear" w:color="auto" w:fill="auto"/>
          </w:tcPr>
          <w:p w:rsidR="00C66835" w:rsidRPr="00CB21B0" w:rsidRDefault="00C66835" w:rsidP="001A00C6">
            <w:pPr>
              <w:pStyle w:val="Tabletext"/>
            </w:pPr>
            <w:r w:rsidRPr="00CB21B0">
              <w:t>7 months</w:t>
            </w:r>
          </w:p>
        </w:tc>
        <w:tc>
          <w:tcPr>
            <w:tcW w:w="1134" w:type="dxa"/>
            <w:shd w:val="clear" w:color="auto" w:fill="auto"/>
          </w:tcPr>
          <w:p w:rsidR="00C66835" w:rsidRPr="00CB21B0" w:rsidRDefault="00C66835" w:rsidP="001A00C6">
            <w:pPr>
              <w:pStyle w:val="Tabletext"/>
              <w:jc w:val="right"/>
            </w:pPr>
            <w:r w:rsidRPr="00CB21B0">
              <w:t>6</w:t>
            </w:r>
            <w:r w:rsidR="00CB21B0" w:rsidRPr="00CB21B0">
              <w:t> </w:t>
            </w:r>
            <w:r w:rsidRPr="00CB21B0">
              <w:t>400</w:t>
            </w:r>
          </w:p>
        </w:tc>
        <w:tc>
          <w:tcPr>
            <w:tcW w:w="1134" w:type="dxa"/>
            <w:shd w:val="clear" w:color="auto" w:fill="auto"/>
          </w:tcPr>
          <w:p w:rsidR="00C66835" w:rsidRPr="00CB21B0" w:rsidRDefault="00C66835" w:rsidP="001A00C6">
            <w:pPr>
              <w:pStyle w:val="Tabletext"/>
              <w:jc w:val="right"/>
            </w:pPr>
            <w:r w:rsidRPr="00CB21B0">
              <w:t>7</w:t>
            </w:r>
            <w:r w:rsidR="00CB21B0" w:rsidRPr="00CB21B0">
              <w:t> </w:t>
            </w:r>
            <w:r w:rsidRPr="00CB21B0">
              <w:t>315</w:t>
            </w:r>
          </w:p>
        </w:tc>
      </w:tr>
      <w:tr w:rsidR="00C66835" w:rsidRPr="00CB21B0" w:rsidTr="00220E1B">
        <w:tc>
          <w:tcPr>
            <w:tcW w:w="709" w:type="dxa"/>
            <w:shd w:val="clear" w:color="auto" w:fill="auto"/>
          </w:tcPr>
          <w:p w:rsidR="00C66835" w:rsidRPr="00CB21B0" w:rsidRDefault="00C66835" w:rsidP="001A00C6">
            <w:pPr>
              <w:pStyle w:val="Tabletext"/>
            </w:pPr>
            <w:r w:rsidRPr="00CB21B0">
              <w:t>7.3</w:t>
            </w:r>
          </w:p>
        </w:tc>
        <w:tc>
          <w:tcPr>
            <w:tcW w:w="2693" w:type="dxa"/>
            <w:shd w:val="clear" w:color="auto" w:fill="auto"/>
          </w:tcPr>
          <w:p w:rsidR="00C66835" w:rsidRPr="00CB21B0" w:rsidRDefault="00C66835" w:rsidP="001A00C6">
            <w:pPr>
              <w:pStyle w:val="Tabletext"/>
            </w:pPr>
            <w:r w:rsidRPr="00CB21B0">
              <w:t>Environment—level 3</w:t>
            </w:r>
          </w:p>
        </w:tc>
        <w:tc>
          <w:tcPr>
            <w:tcW w:w="1418" w:type="dxa"/>
            <w:shd w:val="clear" w:color="auto" w:fill="auto"/>
          </w:tcPr>
          <w:p w:rsidR="00C66835" w:rsidRPr="00CB21B0" w:rsidRDefault="00C66835" w:rsidP="001A00C6">
            <w:pPr>
              <w:pStyle w:val="Tabletext"/>
            </w:pPr>
            <w:r w:rsidRPr="00CB21B0">
              <w:t>4 months</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505</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720</w:t>
            </w:r>
          </w:p>
        </w:tc>
      </w:tr>
      <w:tr w:rsidR="00C66835" w:rsidRPr="00CB21B0" w:rsidTr="00220E1B">
        <w:tc>
          <w:tcPr>
            <w:tcW w:w="709" w:type="dxa"/>
            <w:shd w:val="clear" w:color="auto" w:fill="auto"/>
          </w:tcPr>
          <w:p w:rsidR="00C66835" w:rsidRPr="00CB21B0" w:rsidRDefault="00C66835" w:rsidP="001A00C6">
            <w:pPr>
              <w:pStyle w:val="Tabletext"/>
            </w:pPr>
            <w:r w:rsidRPr="00CB21B0">
              <w:t>7.4</w:t>
            </w:r>
          </w:p>
        </w:tc>
        <w:tc>
          <w:tcPr>
            <w:tcW w:w="2693" w:type="dxa"/>
            <w:shd w:val="clear" w:color="auto" w:fill="auto"/>
          </w:tcPr>
          <w:p w:rsidR="00C66835" w:rsidRPr="00CB21B0" w:rsidRDefault="00C66835" w:rsidP="00B50FA1">
            <w:pPr>
              <w:pStyle w:val="Tabletext"/>
            </w:pPr>
            <w:r w:rsidRPr="00CB21B0">
              <w:t>Environment—timeshift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23</w:t>
            </w:r>
            <w:r w:rsidR="00CB21B0" w:rsidRPr="00CB21B0">
              <w:t> </w:t>
            </w:r>
            <w:r w:rsidRPr="00CB21B0">
              <w:t>095</w:t>
            </w:r>
          </w:p>
        </w:tc>
        <w:tc>
          <w:tcPr>
            <w:tcW w:w="1134" w:type="dxa"/>
            <w:shd w:val="clear" w:color="auto" w:fill="auto"/>
          </w:tcPr>
          <w:p w:rsidR="00C66835" w:rsidRPr="00CB21B0" w:rsidRDefault="00C66835" w:rsidP="001A00C6">
            <w:pPr>
              <w:pStyle w:val="Tabletext"/>
              <w:jc w:val="right"/>
            </w:pPr>
            <w:r w:rsidRPr="00CB21B0">
              <w:t>26</w:t>
            </w:r>
            <w:r w:rsidR="00CB21B0" w:rsidRPr="00CB21B0">
              <w:t> </w:t>
            </w:r>
            <w:r w:rsidRPr="00CB21B0">
              <w:t>390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8</w:t>
            </w:r>
          </w:p>
        </w:tc>
        <w:tc>
          <w:tcPr>
            <w:tcW w:w="2693" w:type="dxa"/>
            <w:shd w:val="clear" w:color="auto" w:fill="auto"/>
          </w:tcPr>
          <w:p w:rsidR="00C66835" w:rsidRPr="00CB21B0" w:rsidRDefault="00C66835" w:rsidP="00A57FC4">
            <w:pPr>
              <w:pStyle w:val="Tabletext"/>
            </w:pPr>
            <w:r w:rsidRPr="00CB21B0">
              <w:rPr>
                <w:b/>
              </w:rPr>
              <w:t>Efficacy and safety</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8.1</w:t>
            </w:r>
          </w:p>
        </w:tc>
        <w:tc>
          <w:tcPr>
            <w:tcW w:w="2693" w:type="dxa"/>
            <w:shd w:val="clear" w:color="auto" w:fill="auto"/>
          </w:tcPr>
          <w:p w:rsidR="00C66835" w:rsidRPr="00CB21B0" w:rsidRDefault="00C66835" w:rsidP="001A00C6">
            <w:pPr>
              <w:pStyle w:val="Tabletext"/>
            </w:pPr>
            <w:r w:rsidRPr="00CB21B0">
              <w:t>Efficacy and safety—level 1</w:t>
            </w:r>
          </w:p>
        </w:tc>
        <w:tc>
          <w:tcPr>
            <w:tcW w:w="1418" w:type="dxa"/>
            <w:shd w:val="clear" w:color="auto" w:fill="auto"/>
          </w:tcPr>
          <w:p w:rsidR="00C66835" w:rsidRPr="00CB21B0" w:rsidRDefault="00C66835" w:rsidP="001A00C6">
            <w:pPr>
              <w:pStyle w:val="Tabletext"/>
            </w:pPr>
            <w:r w:rsidRPr="00CB21B0">
              <w:t>6 months</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075</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370</w:t>
            </w:r>
          </w:p>
        </w:tc>
      </w:tr>
      <w:tr w:rsidR="00C66835" w:rsidRPr="00CB21B0" w:rsidTr="00220E1B">
        <w:tc>
          <w:tcPr>
            <w:tcW w:w="709" w:type="dxa"/>
            <w:shd w:val="clear" w:color="auto" w:fill="auto"/>
          </w:tcPr>
          <w:p w:rsidR="00C66835" w:rsidRPr="00CB21B0" w:rsidRDefault="00C66835" w:rsidP="001A00C6">
            <w:pPr>
              <w:pStyle w:val="Tabletext"/>
            </w:pPr>
            <w:r w:rsidRPr="00CB21B0">
              <w:lastRenderedPageBreak/>
              <w:t>8.2</w:t>
            </w:r>
          </w:p>
        </w:tc>
        <w:tc>
          <w:tcPr>
            <w:tcW w:w="2693" w:type="dxa"/>
            <w:shd w:val="clear" w:color="auto" w:fill="auto"/>
          </w:tcPr>
          <w:p w:rsidR="00C66835" w:rsidRPr="00CB21B0" w:rsidRDefault="00C66835" w:rsidP="001A00C6">
            <w:pPr>
              <w:pStyle w:val="Tabletext"/>
            </w:pPr>
            <w:r w:rsidRPr="00CB21B0">
              <w:t>Efficacy and safety—level 2</w:t>
            </w:r>
          </w:p>
        </w:tc>
        <w:tc>
          <w:tcPr>
            <w:tcW w:w="1418" w:type="dxa"/>
            <w:shd w:val="clear" w:color="auto" w:fill="auto"/>
          </w:tcPr>
          <w:p w:rsidR="00C66835" w:rsidRPr="00CB21B0" w:rsidRDefault="00C66835" w:rsidP="001A00C6">
            <w:pPr>
              <w:pStyle w:val="Tabletext"/>
            </w:pPr>
            <w:r w:rsidRPr="00CB21B0">
              <w:t>4 months</w:t>
            </w:r>
          </w:p>
        </w:tc>
        <w:tc>
          <w:tcPr>
            <w:tcW w:w="1134" w:type="dxa"/>
            <w:shd w:val="clear" w:color="auto" w:fill="auto"/>
          </w:tcPr>
          <w:p w:rsidR="00C66835" w:rsidRPr="00CB21B0" w:rsidRDefault="00C66835" w:rsidP="001A00C6">
            <w:pPr>
              <w:pStyle w:val="Tabletext"/>
              <w:jc w:val="right"/>
            </w:pPr>
            <w:r w:rsidRPr="00CB21B0">
              <w:t>855</w:t>
            </w:r>
          </w:p>
        </w:tc>
        <w:tc>
          <w:tcPr>
            <w:tcW w:w="1134" w:type="dxa"/>
            <w:shd w:val="clear" w:color="auto" w:fill="auto"/>
          </w:tcPr>
          <w:p w:rsidR="00C66835" w:rsidRPr="00CB21B0" w:rsidRDefault="00C66835" w:rsidP="001A00C6">
            <w:pPr>
              <w:pStyle w:val="Tabletext"/>
              <w:jc w:val="right"/>
            </w:pPr>
            <w:r w:rsidRPr="00CB21B0">
              <w:t>975</w:t>
            </w:r>
          </w:p>
        </w:tc>
      </w:tr>
      <w:tr w:rsidR="00C66835" w:rsidRPr="00CB21B0" w:rsidTr="00220E1B">
        <w:tc>
          <w:tcPr>
            <w:tcW w:w="709" w:type="dxa"/>
            <w:shd w:val="clear" w:color="auto" w:fill="auto"/>
          </w:tcPr>
          <w:p w:rsidR="00C66835" w:rsidRPr="00CB21B0" w:rsidRDefault="00C66835" w:rsidP="001A00C6">
            <w:pPr>
              <w:pStyle w:val="Tabletext"/>
            </w:pPr>
            <w:r w:rsidRPr="00CB21B0">
              <w:t>8.3</w:t>
            </w:r>
          </w:p>
        </w:tc>
        <w:tc>
          <w:tcPr>
            <w:tcW w:w="2693" w:type="dxa"/>
            <w:shd w:val="clear" w:color="auto" w:fill="auto"/>
          </w:tcPr>
          <w:p w:rsidR="00C66835" w:rsidRPr="00CB21B0" w:rsidRDefault="00C66835" w:rsidP="001A00C6">
            <w:pPr>
              <w:pStyle w:val="Tabletext"/>
            </w:pPr>
            <w:r w:rsidRPr="00CB21B0">
              <w:t>Efficacy and safety—level 3</w:t>
            </w:r>
          </w:p>
        </w:tc>
        <w:tc>
          <w:tcPr>
            <w:tcW w:w="1418" w:type="dxa"/>
            <w:shd w:val="clear" w:color="auto" w:fill="auto"/>
          </w:tcPr>
          <w:p w:rsidR="00C66835" w:rsidRPr="00CB21B0" w:rsidRDefault="00C66835" w:rsidP="001A00C6">
            <w:pPr>
              <w:pStyle w:val="Tabletext"/>
            </w:pPr>
            <w:r w:rsidRPr="00CB21B0">
              <w:t>3 months</w:t>
            </w:r>
          </w:p>
        </w:tc>
        <w:tc>
          <w:tcPr>
            <w:tcW w:w="1134" w:type="dxa"/>
            <w:shd w:val="clear" w:color="auto" w:fill="auto"/>
          </w:tcPr>
          <w:p w:rsidR="00C66835" w:rsidRPr="00CB21B0" w:rsidRDefault="00C66835" w:rsidP="001A00C6">
            <w:pPr>
              <w:pStyle w:val="Tabletext"/>
              <w:jc w:val="right"/>
            </w:pPr>
            <w:r w:rsidRPr="00CB21B0">
              <w:t>505</w:t>
            </w:r>
          </w:p>
        </w:tc>
        <w:tc>
          <w:tcPr>
            <w:tcW w:w="1134" w:type="dxa"/>
            <w:shd w:val="clear" w:color="auto" w:fill="auto"/>
          </w:tcPr>
          <w:p w:rsidR="00C66835" w:rsidRPr="00CB21B0" w:rsidRDefault="00C66835" w:rsidP="001A00C6">
            <w:pPr>
              <w:pStyle w:val="Tabletext"/>
              <w:jc w:val="right"/>
            </w:pPr>
            <w:r w:rsidRPr="00CB21B0">
              <w:t>580</w:t>
            </w:r>
          </w:p>
        </w:tc>
      </w:tr>
      <w:tr w:rsidR="00C66835" w:rsidRPr="00CB21B0" w:rsidTr="00220E1B">
        <w:tc>
          <w:tcPr>
            <w:tcW w:w="709" w:type="dxa"/>
            <w:shd w:val="clear" w:color="auto" w:fill="auto"/>
          </w:tcPr>
          <w:p w:rsidR="00C66835" w:rsidRPr="00CB21B0" w:rsidRDefault="00C66835" w:rsidP="001A00C6">
            <w:pPr>
              <w:pStyle w:val="Tabletext"/>
            </w:pPr>
            <w:r w:rsidRPr="00CB21B0">
              <w:t>8.4</w:t>
            </w:r>
          </w:p>
        </w:tc>
        <w:tc>
          <w:tcPr>
            <w:tcW w:w="2693" w:type="dxa"/>
            <w:shd w:val="clear" w:color="auto" w:fill="auto"/>
          </w:tcPr>
          <w:p w:rsidR="00C66835" w:rsidRPr="00CB21B0" w:rsidRDefault="00C66835" w:rsidP="00B50FA1">
            <w:pPr>
              <w:pStyle w:val="Tabletext"/>
            </w:pPr>
            <w:r w:rsidRPr="00CB21B0">
              <w:t>Efficacy and safety—timeshift application</w:t>
            </w:r>
          </w:p>
        </w:tc>
        <w:tc>
          <w:tcPr>
            <w:tcW w:w="1418" w:type="dxa"/>
            <w:shd w:val="clear" w:color="auto" w:fill="auto"/>
          </w:tcPr>
          <w:p w:rsidR="00C66835" w:rsidRPr="00CB21B0" w:rsidRDefault="00C66835" w:rsidP="001A00C6">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 xml:space="preserve"> 2</w:t>
            </w:r>
            <w:r w:rsidR="00CB21B0" w:rsidRPr="00CB21B0">
              <w:t> </w:t>
            </w:r>
            <w:r w:rsidRPr="00CB21B0">
              <w:t>075</w:t>
            </w:r>
          </w:p>
        </w:tc>
        <w:tc>
          <w:tcPr>
            <w:tcW w:w="1134" w:type="dxa"/>
            <w:shd w:val="clear" w:color="auto" w:fill="auto"/>
          </w:tcPr>
          <w:p w:rsidR="00C66835" w:rsidRPr="00CB21B0" w:rsidRDefault="00C66835" w:rsidP="001A00C6">
            <w:pPr>
              <w:pStyle w:val="Tabletext"/>
              <w:jc w:val="right"/>
            </w:pPr>
            <w:r w:rsidRPr="00CB21B0">
              <w:t>2</w:t>
            </w:r>
            <w:r w:rsidR="00CB21B0" w:rsidRPr="00CB21B0">
              <w:t> </w:t>
            </w:r>
            <w:r w:rsidRPr="00CB21B0">
              <w:t>370</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9</w:t>
            </w:r>
          </w:p>
        </w:tc>
        <w:tc>
          <w:tcPr>
            <w:tcW w:w="2693" w:type="dxa"/>
            <w:shd w:val="clear" w:color="auto" w:fill="auto"/>
          </w:tcPr>
          <w:p w:rsidR="00C66835" w:rsidRPr="00CB21B0" w:rsidRDefault="00C66835" w:rsidP="001A00C6">
            <w:pPr>
              <w:pStyle w:val="Tabletext"/>
            </w:pPr>
            <w:r w:rsidRPr="00CB21B0">
              <w:rPr>
                <w:b/>
              </w:rPr>
              <w:t>Non</w:t>
            </w:r>
            <w:r w:rsidR="00CB21B0">
              <w:rPr>
                <w:b/>
              </w:rPr>
              <w:noBreakHyphen/>
            </w:r>
            <w:r w:rsidRPr="00CB21B0">
              <w:rPr>
                <w:b/>
              </w:rPr>
              <w:t>food trade</w:t>
            </w:r>
          </w:p>
        </w:tc>
        <w:tc>
          <w:tcPr>
            <w:tcW w:w="1418" w:type="dxa"/>
            <w:shd w:val="clear" w:color="auto" w:fill="auto"/>
          </w:tcPr>
          <w:p w:rsidR="00C66835" w:rsidRPr="00CB21B0" w:rsidRDefault="00C66835" w:rsidP="001A00C6">
            <w:pPr>
              <w:pStyle w:val="Tabletext"/>
            </w:pPr>
            <w:r w:rsidRPr="00CB21B0">
              <w:t>6 months</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175</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175</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10</w:t>
            </w:r>
          </w:p>
        </w:tc>
        <w:tc>
          <w:tcPr>
            <w:tcW w:w="2693" w:type="dxa"/>
            <w:shd w:val="clear" w:color="auto" w:fill="auto"/>
          </w:tcPr>
          <w:p w:rsidR="00C66835" w:rsidRPr="00CB21B0" w:rsidRDefault="00C66835" w:rsidP="001A00C6">
            <w:pPr>
              <w:pStyle w:val="Tabletext"/>
            </w:pPr>
            <w:r w:rsidRPr="00CB21B0">
              <w:rPr>
                <w:b/>
              </w:rPr>
              <w:t>Special data</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10.1</w:t>
            </w:r>
          </w:p>
        </w:tc>
        <w:tc>
          <w:tcPr>
            <w:tcW w:w="2693" w:type="dxa"/>
            <w:shd w:val="clear" w:color="auto" w:fill="auto"/>
          </w:tcPr>
          <w:p w:rsidR="00C66835" w:rsidRPr="00CB21B0" w:rsidRDefault="00C66835" w:rsidP="001A00C6">
            <w:pPr>
              <w:pStyle w:val="Tabletext"/>
            </w:pPr>
            <w:r w:rsidRPr="00CB21B0">
              <w:t>Special data—level 1</w:t>
            </w:r>
          </w:p>
        </w:tc>
        <w:tc>
          <w:tcPr>
            <w:tcW w:w="1418" w:type="dxa"/>
            <w:shd w:val="clear" w:color="auto" w:fill="auto"/>
          </w:tcPr>
          <w:p w:rsidR="00C66835" w:rsidRPr="00CB21B0" w:rsidRDefault="00C66835" w:rsidP="001A00C6">
            <w:pPr>
              <w:pStyle w:val="Tabletext"/>
            </w:pPr>
            <w:r w:rsidRPr="00CB21B0">
              <w:t>13 months</w:t>
            </w:r>
          </w:p>
        </w:tc>
        <w:tc>
          <w:tcPr>
            <w:tcW w:w="1134" w:type="dxa"/>
            <w:shd w:val="clear" w:color="auto" w:fill="auto"/>
          </w:tcPr>
          <w:p w:rsidR="00C66835" w:rsidRPr="00CB21B0" w:rsidRDefault="00C66835" w:rsidP="001A00C6">
            <w:pPr>
              <w:pStyle w:val="Tabletext"/>
              <w:jc w:val="right"/>
            </w:pPr>
            <w:r w:rsidRPr="00CB21B0">
              <w:t>nil</w:t>
            </w:r>
          </w:p>
        </w:tc>
        <w:tc>
          <w:tcPr>
            <w:tcW w:w="1134" w:type="dxa"/>
            <w:shd w:val="clear" w:color="auto" w:fill="auto"/>
          </w:tcPr>
          <w:p w:rsidR="00C66835" w:rsidRPr="00CB21B0" w:rsidRDefault="00C66835" w:rsidP="001A00C6">
            <w:pPr>
              <w:pStyle w:val="Tabletext"/>
              <w:jc w:val="right"/>
            </w:pPr>
            <w:r w:rsidRPr="00CB21B0">
              <w:t>nil</w:t>
            </w:r>
          </w:p>
        </w:tc>
      </w:tr>
      <w:tr w:rsidR="00C66835" w:rsidRPr="00CB21B0" w:rsidTr="00220E1B">
        <w:tc>
          <w:tcPr>
            <w:tcW w:w="709" w:type="dxa"/>
            <w:shd w:val="clear" w:color="auto" w:fill="auto"/>
          </w:tcPr>
          <w:p w:rsidR="00C66835" w:rsidRPr="00CB21B0" w:rsidRDefault="00C66835" w:rsidP="001A00C6">
            <w:pPr>
              <w:pStyle w:val="Tabletext"/>
            </w:pPr>
            <w:r w:rsidRPr="00CB21B0">
              <w:t>10.2</w:t>
            </w:r>
          </w:p>
        </w:tc>
        <w:tc>
          <w:tcPr>
            <w:tcW w:w="2693" w:type="dxa"/>
            <w:shd w:val="clear" w:color="auto" w:fill="auto"/>
          </w:tcPr>
          <w:p w:rsidR="00C66835" w:rsidRPr="00CB21B0" w:rsidRDefault="00C66835" w:rsidP="001A00C6">
            <w:pPr>
              <w:pStyle w:val="Tabletext"/>
            </w:pPr>
            <w:r w:rsidRPr="00CB21B0">
              <w:t>Special data—level 2</w:t>
            </w:r>
          </w:p>
        </w:tc>
        <w:tc>
          <w:tcPr>
            <w:tcW w:w="1418" w:type="dxa"/>
            <w:shd w:val="clear" w:color="auto" w:fill="auto"/>
          </w:tcPr>
          <w:p w:rsidR="00C66835" w:rsidRPr="00CB21B0" w:rsidRDefault="00C66835" w:rsidP="001A00C6">
            <w:pPr>
              <w:pStyle w:val="Tabletext"/>
            </w:pPr>
            <w:r w:rsidRPr="00CB21B0">
              <w:t>7 months</w:t>
            </w:r>
          </w:p>
        </w:tc>
        <w:tc>
          <w:tcPr>
            <w:tcW w:w="1134" w:type="dxa"/>
            <w:shd w:val="clear" w:color="auto" w:fill="auto"/>
          </w:tcPr>
          <w:p w:rsidR="00C66835" w:rsidRPr="00CB21B0" w:rsidRDefault="00C66835" w:rsidP="001A00C6">
            <w:pPr>
              <w:pStyle w:val="Tabletext"/>
              <w:jc w:val="right"/>
            </w:pPr>
            <w:r w:rsidRPr="00CB21B0">
              <w:t>nil</w:t>
            </w:r>
          </w:p>
        </w:tc>
        <w:tc>
          <w:tcPr>
            <w:tcW w:w="1134" w:type="dxa"/>
            <w:shd w:val="clear" w:color="auto" w:fill="auto"/>
          </w:tcPr>
          <w:p w:rsidR="00C66835" w:rsidRPr="00CB21B0" w:rsidRDefault="00C66835" w:rsidP="001A00C6">
            <w:pPr>
              <w:pStyle w:val="Tabletext"/>
              <w:jc w:val="right"/>
            </w:pPr>
            <w:r w:rsidRPr="00CB21B0">
              <w:t>nil</w:t>
            </w:r>
          </w:p>
        </w:tc>
      </w:tr>
      <w:tr w:rsidR="00C66835" w:rsidRPr="00CB21B0" w:rsidTr="00220E1B">
        <w:tc>
          <w:tcPr>
            <w:tcW w:w="709" w:type="dxa"/>
            <w:shd w:val="clear" w:color="auto" w:fill="auto"/>
          </w:tcPr>
          <w:p w:rsidR="00C66835" w:rsidRPr="00CB21B0" w:rsidRDefault="00C66835" w:rsidP="001A00C6">
            <w:pPr>
              <w:pStyle w:val="Tabletext"/>
            </w:pPr>
            <w:r w:rsidRPr="00CB21B0">
              <w:t>10.3</w:t>
            </w:r>
          </w:p>
        </w:tc>
        <w:tc>
          <w:tcPr>
            <w:tcW w:w="2693" w:type="dxa"/>
            <w:shd w:val="clear" w:color="auto" w:fill="auto"/>
          </w:tcPr>
          <w:p w:rsidR="00C66835" w:rsidRPr="00CB21B0" w:rsidRDefault="00C66835" w:rsidP="001A00C6">
            <w:pPr>
              <w:pStyle w:val="Tabletext"/>
            </w:pPr>
            <w:r w:rsidRPr="00CB21B0">
              <w:rPr>
                <w:iCs/>
              </w:rPr>
              <w:t>Special data</w:t>
            </w:r>
            <w:r w:rsidRPr="00CB21B0">
              <w:t>—level 3</w:t>
            </w:r>
          </w:p>
        </w:tc>
        <w:tc>
          <w:tcPr>
            <w:tcW w:w="1418" w:type="dxa"/>
            <w:shd w:val="clear" w:color="auto" w:fill="auto"/>
          </w:tcPr>
          <w:p w:rsidR="00C66835" w:rsidRPr="00CB21B0" w:rsidRDefault="00C66835" w:rsidP="001A00C6">
            <w:pPr>
              <w:pStyle w:val="Tabletext"/>
            </w:pPr>
            <w:r w:rsidRPr="00CB21B0">
              <w:t>7 months</w:t>
            </w:r>
          </w:p>
        </w:tc>
        <w:tc>
          <w:tcPr>
            <w:tcW w:w="1134" w:type="dxa"/>
            <w:shd w:val="clear" w:color="auto" w:fill="auto"/>
          </w:tcPr>
          <w:p w:rsidR="00C66835" w:rsidRPr="00CB21B0" w:rsidRDefault="00C66835" w:rsidP="001A00C6">
            <w:pPr>
              <w:pStyle w:val="Tabletext"/>
              <w:jc w:val="right"/>
            </w:pPr>
            <w:r w:rsidRPr="00CB21B0">
              <w:t>nil</w:t>
            </w:r>
          </w:p>
        </w:tc>
        <w:tc>
          <w:tcPr>
            <w:tcW w:w="1134" w:type="dxa"/>
            <w:shd w:val="clear" w:color="auto" w:fill="auto"/>
          </w:tcPr>
          <w:p w:rsidR="00C66835" w:rsidRPr="00CB21B0" w:rsidRDefault="00C66835" w:rsidP="001A00C6">
            <w:pPr>
              <w:pStyle w:val="Tabletext"/>
              <w:jc w:val="right"/>
            </w:pPr>
            <w:r w:rsidRPr="00CB21B0">
              <w:t>nil</w:t>
            </w:r>
          </w:p>
        </w:tc>
      </w:tr>
      <w:tr w:rsidR="00C66835" w:rsidRPr="00CB21B0" w:rsidTr="00220E1B">
        <w:tc>
          <w:tcPr>
            <w:tcW w:w="709" w:type="dxa"/>
            <w:shd w:val="clear" w:color="auto" w:fill="auto"/>
          </w:tcPr>
          <w:p w:rsidR="00C66835" w:rsidRPr="00CB21B0" w:rsidRDefault="00C66835" w:rsidP="001A00C6">
            <w:pPr>
              <w:pStyle w:val="Tabletext"/>
            </w:pPr>
            <w:r w:rsidRPr="00CB21B0">
              <w:t>10.4</w:t>
            </w:r>
          </w:p>
        </w:tc>
        <w:tc>
          <w:tcPr>
            <w:tcW w:w="2693" w:type="dxa"/>
            <w:shd w:val="clear" w:color="auto" w:fill="auto"/>
          </w:tcPr>
          <w:p w:rsidR="00C66835" w:rsidRPr="00CB21B0" w:rsidRDefault="00C66835" w:rsidP="00B50FA1">
            <w:pPr>
              <w:pStyle w:val="Tabletext"/>
            </w:pPr>
            <w:r w:rsidRPr="00CB21B0">
              <w:rPr>
                <w:iCs/>
              </w:rPr>
              <w:t>Special data—timeshift application</w:t>
            </w:r>
          </w:p>
        </w:tc>
        <w:tc>
          <w:tcPr>
            <w:tcW w:w="1418" w:type="dxa"/>
            <w:shd w:val="clear" w:color="auto" w:fill="auto"/>
          </w:tcPr>
          <w:p w:rsidR="00C66835" w:rsidRPr="00CB21B0" w:rsidRDefault="00C66835" w:rsidP="00B50FA1">
            <w:pPr>
              <w:pStyle w:val="Tabletext"/>
            </w:pPr>
            <w:r w:rsidRPr="00CB21B0">
              <w:t>As set out in the project plan</w:t>
            </w:r>
          </w:p>
        </w:tc>
        <w:tc>
          <w:tcPr>
            <w:tcW w:w="1134" w:type="dxa"/>
            <w:shd w:val="clear" w:color="auto" w:fill="auto"/>
          </w:tcPr>
          <w:p w:rsidR="00C66835" w:rsidRPr="00CB21B0" w:rsidRDefault="00C66835" w:rsidP="001A00C6">
            <w:pPr>
              <w:pStyle w:val="Tabletext"/>
              <w:jc w:val="right"/>
            </w:pPr>
            <w:r w:rsidRPr="00CB21B0">
              <w:t>nil</w:t>
            </w:r>
          </w:p>
        </w:tc>
        <w:tc>
          <w:tcPr>
            <w:tcW w:w="1134" w:type="dxa"/>
            <w:shd w:val="clear" w:color="auto" w:fill="auto"/>
          </w:tcPr>
          <w:p w:rsidR="00C66835" w:rsidRPr="00CB21B0" w:rsidRDefault="00C66835" w:rsidP="001A00C6">
            <w:pPr>
              <w:pStyle w:val="Tabletext"/>
              <w:jc w:val="right"/>
            </w:pPr>
            <w:r w:rsidRPr="00CB21B0">
              <w:t>nil</w:t>
            </w:r>
          </w:p>
        </w:tc>
      </w:tr>
      <w:tr w:rsidR="00C66835" w:rsidRPr="00CB21B0" w:rsidTr="00220E1B">
        <w:tc>
          <w:tcPr>
            <w:tcW w:w="709" w:type="dxa"/>
            <w:shd w:val="clear" w:color="auto" w:fill="auto"/>
          </w:tcPr>
          <w:p w:rsidR="00C66835" w:rsidRPr="00CB21B0" w:rsidRDefault="00C66835" w:rsidP="001A00C6">
            <w:pPr>
              <w:pStyle w:val="Tabletext"/>
            </w:pPr>
            <w:r w:rsidRPr="00CB21B0">
              <w:rPr>
                <w:b/>
              </w:rPr>
              <w:t>11</w:t>
            </w:r>
          </w:p>
        </w:tc>
        <w:tc>
          <w:tcPr>
            <w:tcW w:w="2693" w:type="dxa"/>
            <w:shd w:val="clear" w:color="auto" w:fill="auto"/>
          </w:tcPr>
          <w:p w:rsidR="00C66835" w:rsidRPr="00CB21B0" w:rsidRDefault="00C66835" w:rsidP="001A00C6">
            <w:pPr>
              <w:pStyle w:val="Tabletext"/>
            </w:pPr>
            <w:r w:rsidRPr="00CB21B0">
              <w:rPr>
                <w:b/>
                <w:iCs/>
              </w:rPr>
              <w:t>Finalisation</w:t>
            </w:r>
          </w:p>
        </w:tc>
        <w:tc>
          <w:tcPr>
            <w:tcW w:w="1418" w:type="dxa"/>
            <w:shd w:val="clear" w:color="auto" w:fill="auto"/>
          </w:tcPr>
          <w:p w:rsidR="00C66835" w:rsidRPr="00CB21B0" w:rsidRDefault="00C66835" w:rsidP="001A00C6"/>
        </w:tc>
        <w:tc>
          <w:tcPr>
            <w:tcW w:w="1134" w:type="dxa"/>
            <w:shd w:val="clear" w:color="auto" w:fill="auto"/>
          </w:tcPr>
          <w:p w:rsidR="00C66835" w:rsidRPr="00CB21B0" w:rsidRDefault="00C66835" w:rsidP="001A00C6">
            <w:pPr>
              <w:tabs>
                <w:tab w:val="right" w:pos="612"/>
              </w:tabs>
              <w:ind w:right="12"/>
              <w:jc w:val="right"/>
            </w:pPr>
          </w:p>
        </w:tc>
        <w:tc>
          <w:tcPr>
            <w:tcW w:w="1134" w:type="dxa"/>
            <w:shd w:val="clear" w:color="auto" w:fill="auto"/>
          </w:tcPr>
          <w:p w:rsidR="00C66835" w:rsidRPr="00CB21B0" w:rsidRDefault="00C66835" w:rsidP="001A00C6">
            <w:pPr>
              <w:pStyle w:val="Tabletext"/>
              <w:jc w:val="right"/>
            </w:pPr>
          </w:p>
        </w:tc>
      </w:tr>
      <w:tr w:rsidR="00C66835" w:rsidRPr="00CB21B0" w:rsidTr="00220E1B">
        <w:tc>
          <w:tcPr>
            <w:tcW w:w="709" w:type="dxa"/>
            <w:shd w:val="clear" w:color="auto" w:fill="auto"/>
          </w:tcPr>
          <w:p w:rsidR="00C66835" w:rsidRPr="00CB21B0" w:rsidRDefault="00C66835" w:rsidP="001A00C6">
            <w:pPr>
              <w:pStyle w:val="Tabletext"/>
            </w:pPr>
            <w:r w:rsidRPr="00CB21B0">
              <w:t>11.1</w:t>
            </w:r>
          </w:p>
        </w:tc>
        <w:tc>
          <w:tcPr>
            <w:tcW w:w="2693" w:type="dxa"/>
            <w:shd w:val="clear" w:color="auto" w:fill="auto"/>
          </w:tcPr>
          <w:p w:rsidR="00C66835" w:rsidRPr="00CB21B0" w:rsidRDefault="00C66835" w:rsidP="001A00C6">
            <w:pPr>
              <w:pStyle w:val="Tabletext"/>
            </w:pPr>
            <w:r w:rsidRPr="00CB21B0">
              <w:t>Finalisation—type 1</w:t>
            </w:r>
          </w:p>
        </w:tc>
        <w:tc>
          <w:tcPr>
            <w:tcW w:w="1418" w:type="dxa"/>
            <w:shd w:val="clear" w:color="auto" w:fill="auto"/>
          </w:tcPr>
          <w:p w:rsidR="00C66835" w:rsidRPr="00CB21B0" w:rsidRDefault="00C66835" w:rsidP="001A00C6">
            <w:pPr>
              <w:pStyle w:val="Tabletext"/>
            </w:pPr>
            <w:r w:rsidRPr="00CB21B0">
              <w:t>3 months</w:t>
            </w:r>
          </w:p>
        </w:tc>
        <w:tc>
          <w:tcPr>
            <w:tcW w:w="1134" w:type="dxa"/>
            <w:shd w:val="clear" w:color="auto" w:fill="auto"/>
          </w:tcPr>
          <w:p w:rsidR="00C66835" w:rsidRPr="00CB21B0" w:rsidRDefault="00C66835" w:rsidP="001A00C6">
            <w:pPr>
              <w:pStyle w:val="Tabletext"/>
              <w:jc w:val="right"/>
            </w:pPr>
            <w:r w:rsidRPr="00CB21B0">
              <w:t>3</w:t>
            </w:r>
            <w:r w:rsidR="00CB21B0" w:rsidRPr="00CB21B0">
              <w:t> </w:t>
            </w:r>
            <w:r w:rsidRPr="00CB21B0">
              <w:t>545</w:t>
            </w:r>
          </w:p>
        </w:tc>
        <w:tc>
          <w:tcPr>
            <w:tcW w:w="1134" w:type="dxa"/>
            <w:shd w:val="clear" w:color="auto" w:fill="auto"/>
          </w:tcPr>
          <w:p w:rsidR="00C66835" w:rsidRPr="00CB21B0" w:rsidRDefault="00C66835" w:rsidP="001A00C6">
            <w:pPr>
              <w:pStyle w:val="Tabletext"/>
              <w:jc w:val="right"/>
            </w:pPr>
            <w:r w:rsidRPr="00CB21B0">
              <w:t>4</w:t>
            </w:r>
            <w:r w:rsidR="00CB21B0" w:rsidRPr="00CB21B0">
              <w:t> </w:t>
            </w:r>
            <w:r w:rsidRPr="00CB21B0">
              <w:t>055</w:t>
            </w:r>
          </w:p>
        </w:tc>
      </w:tr>
      <w:tr w:rsidR="00C66835" w:rsidRPr="00CB21B0" w:rsidTr="00220E1B">
        <w:tc>
          <w:tcPr>
            <w:tcW w:w="709" w:type="dxa"/>
            <w:shd w:val="clear" w:color="auto" w:fill="auto"/>
          </w:tcPr>
          <w:p w:rsidR="00C66835" w:rsidRPr="00CB21B0" w:rsidRDefault="00C66835" w:rsidP="001A00C6">
            <w:pPr>
              <w:pStyle w:val="Tabletext"/>
            </w:pPr>
            <w:r w:rsidRPr="00CB21B0">
              <w:t>11.2</w:t>
            </w:r>
          </w:p>
        </w:tc>
        <w:tc>
          <w:tcPr>
            <w:tcW w:w="2693" w:type="dxa"/>
            <w:shd w:val="clear" w:color="auto" w:fill="auto"/>
          </w:tcPr>
          <w:p w:rsidR="00C66835" w:rsidRPr="00CB21B0" w:rsidRDefault="00C66835" w:rsidP="00DE0F23">
            <w:pPr>
              <w:pStyle w:val="Tabletext"/>
            </w:pPr>
            <w:r w:rsidRPr="00CB21B0">
              <w:t>Finalisation—type 2</w:t>
            </w:r>
          </w:p>
        </w:tc>
        <w:tc>
          <w:tcPr>
            <w:tcW w:w="1418" w:type="dxa"/>
            <w:shd w:val="clear" w:color="auto" w:fill="auto"/>
          </w:tcPr>
          <w:p w:rsidR="00C66835" w:rsidRPr="00CB21B0" w:rsidRDefault="00C66835" w:rsidP="001A00C6">
            <w:pPr>
              <w:pStyle w:val="Tabletext"/>
            </w:pPr>
            <w:r w:rsidRPr="00CB21B0">
              <w:t>2 months</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350</w:t>
            </w:r>
          </w:p>
        </w:tc>
        <w:tc>
          <w:tcPr>
            <w:tcW w:w="1134" w:type="dxa"/>
            <w:shd w:val="clear" w:color="auto" w:fill="auto"/>
          </w:tcPr>
          <w:p w:rsidR="00C66835" w:rsidRPr="00CB21B0" w:rsidRDefault="00C66835" w:rsidP="001A00C6">
            <w:pPr>
              <w:pStyle w:val="Tabletext"/>
              <w:jc w:val="right"/>
            </w:pPr>
            <w:r w:rsidRPr="00CB21B0">
              <w:t>1</w:t>
            </w:r>
            <w:r w:rsidR="00CB21B0" w:rsidRPr="00CB21B0">
              <w:t> </w:t>
            </w:r>
            <w:r w:rsidRPr="00CB21B0">
              <w:t>545</w:t>
            </w:r>
          </w:p>
        </w:tc>
      </w:tr>
      <w:tr w:rsidR="00C66835" w:rsidRPr="00CB21B0" w:rsidTr="00220E1B">
        <w:tc>
          <w:tcPr>
            <w:tcW w:w="709" w:type="dxa"/>
            <w:tcBorders>
              <w:bottom w:val="single" w:sz="4" w:space="0" w:color="auto"/>
            </w:tcBorders>
            <w:shd w:val="clear" w:color="auto" w:fill="auto"/>
          </w:tcPr>
          <w:p w:rsidR="00C66835" w:rsidRPr="00CB21B0" w:rsidRDefault="00C66835" w:rsidP="001A00C6">
            <w:pPr>
              <w:pStyle w:val="Tabletext"/>
            </w:pPr>
            <w:r w:rsidRPr="00CB21B0">
              <w:t>11.3</w:t>
            </w:r>
          </w:p>
        </w:tc>
        <w:tc>
          <w:tcPr>
            <w:tcW w:w="2693" w:type="dxa"/>
            <w:tcBorders>
              <w:bottom w:val="single" w:sz="4" w:space="0" w:color="auto"/>
            </w:tcBorders>
            <w:shd w:val="clear" w:color="auto" w:fill="auto"/>
          </w:tcPr>
          <w:p w:rsidR="00C66835" w:rsidRPr="00CB21B0" w:rsidRDefault="00C66835" w:rsidP="00DE0F23">
            <w:pPr>
              <w:pStyle w:val="Tabletext"/>
            </w:pPr>
            <w:r w:rsidRPr="00CB21B0">
              <w:t>Finalisation—type 3</w:t>
            </w:r>
          </w:p>
        </w:tc>
        <w:tc>
          <w:tcPr>
            <w:tcW w:w="1418" w:type="dxa"/>
            <w:tcBorders>
              <w:bottom w:val="single" w:sz="4" w:space="0" w:color="auto"/>
            </w:tcBorders>
            <w:shd w:val="clear" w:color="auto" w:fill="auto"/>
          </w:tcPr>
          <w:p w:rsidR="00C66835" w:rsidRPr="00CB21B0" w:rsidRDefault="00C66835" w:rsidP="001A00C6">
            <w:pPr>
              <w:pStyle w:val="Tabletext"/>
            </w:pPr>
            <w:r w:rsidRPr="00CB21B0">
              <w:t>2 months</w:t>
            </w:r>
          </w:p>
        </w:tc>
        <w:tc>
          <w:tcPr>
            <w:tcW w:w="1134" w:type="dxa"/>
            <w:tcBorders>
              <w:bottom w:val="single" w:sz="4" w:space="0" w:color="auto"/>
            </w:tcBorders>
            <w:shd w:val="clear" w:color="auto" w:fill="auto"/>
          </w:tcPr>
          <w:p w:rsidR="00C66835" w:rsidRPr="00CB21B0" w:rsidRDefault="00C66835" w:rsidP="001A00C6">
            <w:pPr>
              <w:pStyle w:val="Tabletext"/>
              <w:jc w:val="right"/>
            </w:pPr>
            <w:r w:rsidRPr="00CB21B0">
              <w:t>755</w:t>
            </w:r>
          </w:p>
        </w:tc>
        <w:tc>
          <w:tcPr>
            <w:tcW w:w="1134" w:type="dxa"/>
            <w:tcBorders>
              <w:bottom w:val="single" w:sz="4" w:space="0" w:color="auto"/>
            </w:tcBorders>
            <w:shd w:val="clear" w:color="auto" w:fill="auto"/>
          </w:tcPr>
          <w:p w:rsidR="00C66835" w:rsidRPr="00CB21B0" w:rsidRDefault="00C66835" w:rsidP="001A00C6">
            <w:pPr>
              <w:pStyle w:val="Tabletext"/>
              <w:jc w:val="right"/>
            </w:pPr>
            <w:r w:rsidRPr="00CB21B0">
              <w:t>865</w:t>
            </w:r>
          </w:p>
        </w:tc>
      </w:tr>
      <w:tr w:rsidR="00C66835" w:rsidRPr="00CB21B0" w:rsidTr="00220E1B">
        <w:tc>
          <w:tcPr>
            <w:tcW w:w="709" w:type="dxa"/>
            <w:tcBorders>
              <w:bottom w:val="single" w:sz="12" w:space="0" w:color="auto"/>
            </w:tcBorders>
            <w:shd w:val="clear" w:color="auto" w:fill="auto"/>
          </w:tcPr>
          <w:p w:rsidR="00C66835" w:rsidRPr="00CB21B0" w:rsidRDefault="00C66835" w:rsidP="001A00C6">
            <w:pPr>
              <w:pStyle w:val="Tabletext"/>
            </w:pPr>
            <w:r w:rsidRPr="00CB21B0">
              <w:rPr>
                <w:b/>
              </w:rPr>
              <w:t>12</w:t>
            </w:r>
          </w:p>
        </w:tc>
        <w:tc>
          <w:tcPr>
            <w:tcW w:w="2693" w:type="dxa"/>
            <w:tcBorders>
              <w:bottom w:val="single" w:sz="12" w:space="0" w:color="auto"/>
            </w:tcBorders>
            <w:shd w:val="clear" w:color="auto" w:fill="auto"/>
          </w:tcPr>
          <w:p w:rsidR="00C66835" w:rsidRPr="00CB21B0" w:rsidRDefault="00C66835" w:rsidP="001A00C6">
            <w:pPr>
              <w:pStyle w:val="Tabletext"/>
            </w:pPr>
            <w:r w:rsidRPr="00CB21B0">
              <w:rPr>
                <w:b/>
              </w:rPr>
              <w:t>Data protection</w:t>
            </w:r>
          </w:p>
        </w:tc>
        <w:tc>
          <w:tcPr>
            <w:tcW w:w="1418" w:type="dxa"/>
            <w:tcBorders>
              <w:bottom w:val="single" w:sz="12" w:space="0" w:color="auto"/>
            </w:tcBorders>
            <w:shd w:val="clear" w:color="auto" w:fill="auto"/>
          </w:tcPr>
          <w:p w:rsidR="00C66835" w:rsidRPr="00CB21B0" w:rsidRDefault="00C66835" w:rsidP="001A00C6"/>
        </w:tc>
        <w:tc>
          <w:tcPr>
            <w:tcW w:w="1134" w:type="dxa"/>
            <w:tcBorders>
              <w:bottom w:val="single" w:sz="12" w:space="0" w:color="auto"/>
            </w:tcBorders>
            <w:shd w:val="clear" w:color="auto" w:fill="auto"/>
          </w:tcPr>
          <w:p w:rsidR="00C66835" w:rsidRPr="00CB21B0" w:rsidRDefault="00C66835" w:rsidP="001A00C6">
            <w:pPr>
              <w:pStyle w:val="Tabletext"/>
              <w:jc w:val="right"/>
            </w:pPr>
            <w:r w:rsidRPr="00CB21B0">
              <w:t>400</w:t>
            </w:r>
          </w:p>
        </w:tc>
        <w:tc>
          <w:tcPr>
            <w:tcW w:w="1134" w:type="dxa"/>
            <w:tcBorders>
              <w:bottom w:val="single" w:sz="12" w:space="0" w:color="auto"/>
            </w:tcBorders>
            <w:shd w:val="clear" w:color="auto" w:fill="auto"/>
          </w:tcPr>
          <w:p w:rsidR="00C66835" w:rsidRPr="00CB21B0" w:rsidRDefault="00C66835" w:rsidP="001A00C6">
            <w:pPr>
              <w:pStyle w:val="Tabletext"/>
              <w:jc w:val="right"/>
            </w:pPr>
            <w:r w:rsidRPr="00CB21B0">
              <w:t>460</w:t>
            </w:r>
          </w:p>
        </w:tc>
      </w:tr>
    </w:tbl>
    <w:p w:rsidR="007920DF" w:rsidRPr="00CB21B0" w:rsidRDefault="007920DF" w:rsidP="00F57ECC">
      <w:pPr>
        <w:pStyle w:val="Tabletext"/>
      </w:pPr>
    </w:p>
    <w:sectPr w:rsidR="007920DF" w:rsidRPr="00CB21B0" w:rsidSect="00472199">
      <w:headerReference w:type="even" r:id="rId39"/>
      <w:headerReference w:type="default" r:id="rId40"/>
      <w:footerReference w:type="even" r:id="rId41"/>
      <w:footerReference w:type="default" r:id="rId42"/>
      <w:footerReference w:type="first" r:id="rId43"/>
      <w:pgSz w:w="11907" w:h="16839" w:code="9"/>
      <w:pgMar w:top="1985" w:right="2410" w:bottom="3969" w:left="2410" w:header="567" w:footer="3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C6" w:rsidRDefault="00EA6BC6">
      <w:r>
        <w:separator/>
      </w:r>
    </w:p>
  </w:endnote>
  <w:endnote w:type="continuationSeparator" w:id="0">
    <w:p w:rsidR="00EA6BC6" w:rsidRDefault="00EA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99" w:rsidRPr="00472199" w:rsidRDefault="00472199" w:rsidP="00472199">
    <w:pPr>
      <w:pStyle w:val="Footer"/>
      <w:rPr>
        <w:sz w:val="18"/>
      </w:rPr>
    </w:pPr>
    <w:r>
      <w:rPr>
        <w:sz w:val="18"/>
      </w:rPr>
      <w:t>OPC60056</w:t>
    </w:r>
    <w:r w:rsidRPr="00472199">
      <w:rPr>
        <w:sz w:val="18"/>
      </w:rPr>
      <w:t xml:space="preserve">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2B0EA5" w:rsidRDefault="00EA6BC6" w:rsidP="00C47DFF">
    <w:pPr>
      <w:pBdr>
        <w:top w:val="single" w:sz="6" w:space="1" w:color="auto"/>
      </w:pBdr>
      <w:spacing w:before="120" w:line="0" w:lineRule="atLeast"/>
      <w:rPr>
        <w:sz w:val="16"/>
        <w:szCs w:val="16"/>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gridCol w:w="1559"/>
    </w:tblGrid>
    <w:tr w:rsidR="00EA6BC6" w:rsidTr="00C47DFF">
      <w:tc>
        <w:tcPr>
          <w:tcW w:w="1701" w:type="dxa"/>
        </w:tcPr>
        <w:p w:rsidR="00EA6BC6" w:rsidRDefault="00EA6BC6" w:rsidP="00C47DF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54129">
            <w:rPr>
              <w:i/>
              <w:sz w:val="18"/>
            </w:rPr>
            <w:t>No. 179, 2013</w:t>
          </w:r>
          <w:r w:rsidRPr="007A1328">
            <w:rPr>
              <w:i/>
              <w:sz w:val="18"/>
            </w:rPr>
            <w:fldChar w:fldCharType="end"/>
          </w:r>
        </w:p>
      </w:tc>
      <w:tc>
        <w:tcPr>
          <w:tcW w:w="7621" w:type="dxa"/>
        </w:tcPr>
        <w:p w:rsidR="00EA6BC6" w:rsidRDefault="00EA6BC6" w:rsidP="00C47D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129">
            <w:rPr>
              <w:i/>
              <w:sz w:val="18"/>
            </w:rPr>
            <w:t>Agricultural and Veterinary Chemicals Legislation Amendment (2013 Measures No. 2) Regulation 2013</w:t>
          </w:r>
          <w:r w:rsidRPr="007A1328">
            <w:rPr>
              <w:i/>
              <w:sz w:val="18"/>
            </w:rPr>
            <w:fldChar w:fldCharType="end"/>
          </w:r>
        </w:p>
      </w:tc>
      <w:tc>
        <w:tcPr>
          <w:tcW w:w="1559" w:type="dxa"/>
        </w:tcPr>
        <w:p w:rsidR="00EA6BC6" w:rsidRDefault="00EA6BC6" w:rsidP="00C47D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3BA">
            <w:rPr>
              <w:i/>
              <w:noProof/>
              <w:sz w:val="18"/>
            </w:rPr>
            <w:t>113</w:t>
          </w:r>
          <w:r w:rsidRPr="00ED79B6">
            <w:rPr>
              <w:i/>
              <w:sz w:val="18"/>
            </w:rPr>
            <w:fldChar w:fldCharType="end"/>
          </w:r>
        </w:p>
      </w:tc>
    </w:tr>
    <w:tr w:rsidR="00EA6BC6" w:rsidTr="00C47DFF">
      <w:tc>
        <w:tcPr>
          <w:tcW w:w="10881" w:type="dxa"/>
          <w:gridSpan w:val="3"/>
        </w:tcPr>
        <w:p w:rsidR="00EA6BC6" w:rsidRDefault="00EA6BC6" w:rsidP="00C47DFF">
          <w:pPr>
            <w:rPr>
              <w:sz w:val="18"/>
            </w:rPr>
          </w:pPr>
        </w:p>
      </w:tc>
    </w:tr>
  </w:tbl>
  <w:p w:rsidR="00EA6BC6" w:rsidRPr="00ED79B6" w:rsidRDefault="00472199" w:rsidP="00472199">
    <w:pPr>
      <w:rPr>
        <w:i/>
        <w:sz w:val="18"/>
      </w:rPr>
    </w:pPr>
    <w:r>
      <w:rPr>
        <w:i/>
        <w:sz w:val="18"/>
      </w:rPr>
      <w:t>OPC60056</w:t>
    </w:r>
    <w:r w:rsidRPr="00472199">
      <w:rPr>
        <w:rFonts w:cs="Times New Roman"/>
        <w:i/>
        <w:sz w:val="18"/>
      </w:rPr>
      <w:t xml:space="preserve">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472199" w:rsidRDefault="00EA6BC6" w:rsidP="00C9611B">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A6BC6" w:rsidRPr="00472199" w:rsidTr="00C9611B">
      <w:tc>
        <w:tcPr>
          <w:tcW w:w="533" w:type="dxa"/>
        </w:tcPr>
        <w:p w:rsidR="00EA6BC6" w:rsidRPr="00472199" w:rsidRDefault="00EA6BC6" w:rsidP="00C9611B">
          <w:pPr>
            <w:spacing w:line="0" w:lineRule="atLeast"/>
            <w:rPr>
              <w:rFonts w:cs="Times New Roman"/>
              <w:sz w:val="18"/>
            </w:rPr>
          </w:pPr>
          <w:r w:rsidRPr="00472199">
            <w:rPr>
              <w:rFonts w:cs="Times New Roman"/>
              <w:i/>
              <w:sz w:val="18"/>
            </w:rPr>
            <w:fldChar w:fldCharType="begin"/>
          </w:r>
          <w:r w:rsidRPr="00472199">
            <w:rPr>
              <w:rFonts w:cs="Times New Roman"/>
              <w:i/>
              <w:sz w:val="18"/>
            </w:rPr>
            <w:instrText xml:space="preserve"> PAGE </w:instrText>
          </w:r>
          <w:r w:rsidRPr="00472199">
            <w:rPr>
              <w:rFonts w:cs="Times New Roman"/>
              <w:i/>
              <w:sz w:val="18"/>
            </w:rPr>
            <w:fldChar w:fldCharType="separate"/>
          </w:r>
          <w:r w:rsidR="001933BA">
            <w:rPr>
              <w:rFonts w:cs="Times New Roman"/>
              <w:i/>
              <w:noProof/>
              <w:sz w:val="18"/>
            </w:rPr>
            <w:t>116</w:t>
          </w:r>
          <w:r w:rsidRPr="00472199">
            <w:rPr>
              <w:rFonts w:cs="Times New Roman"/>
              <w:i/>
              <w:sz w:val="18"/>
            </w:rPr>
            <w:fldChar w:fldCharType="end"/>
          </w:r>
        </w:p>
      </w:tc>
      <w:tc>
        <w:tcPr>
          <w:tcW w:w="5387" w:type="dxa"/>
        </w:tcPr>
        <w:p w:rsidR="00EA6BC6" w:rsidRPr="00472199" w:rsidRDefault="00EA6BC6" w:rsidP="00C9611B">
          <w:pPr>
            <w:spacing w:line="0" w:lineRule="atLeast"/>
            <w:jc w:val="center"/>
            <w:rPr>
              <w:rFonts w:cs="Times New Roman"/>
              <w:sz w:val="18"/>
            </w:rPr>
          </w:pPr>
          <w:r w:rsidRPr="00472199">
            <w:rPr>
              <w:rFonts w:cs="Times New Roman"/>
              <w:i/>
              <w:sz w:val="18"/>
            </w:rPr>
            <w:fldChar w:fldCharType="begin"/>
          </w:r>
          <w:r w:rsidRPr="00472199">
            <w:rPr>
              <w:rFonts w:cs="Times New Roman"/>
              <w:i/>
              <w:sz w:val="18"/>
            </w:rPr>
            <w:instrText xml:space="preserve"> DOCPROPERTY ShortT </w:instrText>
          </w:r>
          <w:r w:rsidRPr="00472199">
            <w:rPr>
              <w:rFonts w:cs="Times New Roman"/>
              <w:i/>
              <w:sz w:val="18"/>
            </w:rPr>
            <w:fldChar w:fldCharType="separate"/>
          </w:r>
          <w:r w:rsidR="00354129">
            <w:rPr>
              <w:rFonts w:cs="Times New Roman"/>
              <w:i/>
              <w:sz w:val="18"/>
            </w:rPr>
            <w:t>Agricultural and Veterinary Chemicals Legislation Amendment (2013 Measures No. 2) Regulation 2013</w:t>
          </w:r>
          <w:r w:rsidRPr="00472199">
            <w:rPr>
              <w:rFonts w:cs="Times New Roman"/>
              <w:i/>
              <w:sz w:val="18"/>
            </w:rPr>
            <w:fldChar w:fldCharType="end"/>
          </w:r>
        </w:p>
      </w:tc>
      <w:tc>
        <w:tcPr>
          <w:tcW w:w="1383" w:type="dxa"/>
        </w:tcPr>
        <w:p w:rsidR="00EA6BC6" w:rsidRPr="00472199" w:rsidRDefault="00EA6BC6" w:rsidP="00C9611B">
          <w:pPr>
            <w:spacing w:line="0" w:lineRule="atLeast"/>
            <w:jc w:val="right"/>
            <w:rPr>
              <w:rFonts w:cs="Times New Roman"/>
              <w:sz w:val="18"/>
            </w:rPr>
          </w:pPr>
          <w:r w:rsidRPr="00472199">
            <w:rPr>
              <w:rFonts w:cs="Times New Roman"/>
              <w:i/>
              <w:sz w:val="18"/>
            </w:rPr>
            <w:fldChar w:fldCharType="begin"/>
          </w:r>
          <w:r w:rsidRPr="00472199">
            <w:rPr>
              <w:rFonts w:cs="Times New Roman"/>
              <w:i/>
              <w:sz w:val="18"/>
            </w:rPr>
            <w:instrText xml:space="preserve"> DOCPROPERTY ActNo </w:instrText>
          </w:r>
          <w:r w:rsidRPr="00472199">
            <w:rPr>
              <w:rFonts w:cs="Times New Roman"/>
              <w:i/>
              <w:sz w:val="18"/>
            </w:rPr>
            <w:fldChar w:fldCharType="separate"/>
          </w:r>
          <w:r w:rsidR="00354129">
            <w:rPr>
              <w:rFonts w:cs="Times New Roman"/>
              <w:i/>
              <w:sz w:val="18"/>
            </w:rPr>
            <w:t>No. 179, 2013</w:t>
          </w:r>
          <w:r w:rsidRPr="00472199">
            <w:rPr>
              <w:rFonts w:cs="Times New Roman"/>
              <w:i/>
              <w:sz w:val="18"/>
            </w:rPr>
            <w:fldChar w:fldCharType="end"/>
          </w:r>
        </w:p>
      </w:tc>
    </w:tr>
    <w:tr w:rsidR="00EA6BC6" w:rsidRPr="00472199" w:rsidTr="00C9611B">
      <w:tc>
        <w:tcPr>
          <w:tcW w:w="7303" w:type="dxa"/>
          <w:gridSpan w:val="3"/>
        </w:tcPr>
        <w:p w:rsidR="00EA6BC6" w:rsidRPr="00472199" w:rsidRDefault="00EA6BC6" w:rsidP="00C9611B">
          <w:pPr>
            <w:jc w:val="right"/>
            <w:rPr>
              <w:rFonts w:cs="Times New Roman"/>
              <w:sz w:val="18"/>
            </w:rPr>
          </w:pPr>
        </w:p>
      </w:tc>
    </w:tr>
  </w:tbl>
  <w:p w:rsidR="00EA6BC6" w:rsidRPr="00472199" w:rsidRDefault="00472199" w:rsidP="00472199">
    <w:pPr>
      <w:rPr>
        <w:rFonts w:cs="Times New Roman"/>
        <w:sz w:val="18"/>
      </w:rPr>
    </w:pPr>
    <w:r>
      <w:rPr>
        <w:rFonts w:cs="Times New Roman"/>
        <w:sz w:val="18"/>
      </w:rPr>
      <w:t>OPC60056</w:t>
    </w:r>
    <w:r w:rsidRPr="00472199">
      <w:rPr>
        <w:rFonts w:cs="Times New Roman"/>
        <w:sz w:val="18"/>
      </w:rPr>
      <w:t xml:space="preserve">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D90ABA" w:rsidRDefault="00EA6BC6" w:rsidP="00C9611B">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EA6BC6" w:rsidTr="00C9611B">
      <w:tc>
        <w:tcPr>
          <w:tcW w:w="1383" w:type="dxa"/>
        </w:tcPr>
        <w:p w:rsidR="00EA6BC6" w:rsidRDefault="00EA6BC6" w:rsidP="00C9611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54129">
            <w:rPr>
              <w:i/>
              <w:sz w:val="18"/>
            </w:rPr>
            <w:t>No. 179, 2013</w:t>
          </w:r>
          <w:r w:rsidRPr="007A1328">
            <w:rPr>
              <w:i/>
              <w:sz w:val="18"/>
            </w:rPr>
            <w:fldChar w:fldCharType="end"/>
          </w:r>
        </w:p>
      </w:tc>
      <w:tc>
        <w:tcPr>
          <w:tcW w:w="5387" w:type="dxa"/>
        </w:tcPr>
        <w:p w:rsidR="00EA6BC6" w:rsidRDefault="00EA6BC6" w:rsidP="00C961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129">
            <w:rPr>
              <w:i/>
              <w:sz w:val="18"/>
            </w:rPr>
            <w:t>Agricultural and Veterinary Chemicals Legislation Amendment (2013 Measures No. 2) Regulation 2013</w:t>
          </w:r>
          <w:r w:rsidRPr="007A1328">
            <w:rPr>
              <w:i/>
              <w:sz w:val="18"/>
            </w:rPr>
            <w:fldChar w:fldCharType="end"/>
          </w:r>
        </w:p>
      </w:tc>
      <w:tc>
        <w:tcPr>
          <w:tcW w:w="533" w:type="dxa"/>
        </w:tcPr>
        <w:p w:rsidR="00EA6BC6" w:rsidRDefault="00EA6BC6" w:rsidP="00C9611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3BA">
            <w:rPr>
              <w:i/>
              <w:noProof/>
              <w:sz w:val="18"/>
            </w:rPr>
            <w:t>117</w:t>
          </w:r>
          <w:r w:rsidRPr="00ED79B6">
            <w:rPr>
              <w:i/>
              <w:sz w:val="18"/>
            </w:rPr>
            <w:fldChar w:fldCharType="end"/>
          </w:r>
        </w:p>
      </w:tc>
    </w:tr>
    <w:tr w:rsidR="00EA6BC6" w:rsidTr="00C9611B">
      <w:tc>
        <w:tcPr>
          <w:tcW w:w="7338" w:type="dxa"/>
          <w:gridSpan w:val="3"/>
        </w:tcPr>
        <w:p w:rsidR="00EA6BC6" w:rsidRDefault="00EA6BC6" w:rsidP="00C9611B">
          <w:pPr>
            <w:rPr>
              <w:sz w:val="18"/>
            </w:rPr>
          </w:pPr>
        </w:p>
      </w:tc>
    </w:tr>
  </w:tbl>
  <w:p w:rsidR="00EA6BC6" w:rsidRPr="00D90ABA" w:rsidRDefault="00472199" w:rsidP="00472199">
    <w:pPr>
      <w:rPr>
        <w:i/>
        <w:sz w:val="18"/>
      </w:rPr>
    </w:pPr>
    <w:r>
      <w:rPr>
        <w:i/>
        <w:sz w:val="18"/>
      </w:rPr>
      <w:t>OPC60056</w:t>
    </w:r>
    <w:r w:rsidRPr="00472199">
      <w:rPr>
        <w:rFonts w:cs="Times New Roman"/>
        <w:i/>
        <w:sz w:val="18"/>
      </w:rPr>
      <w:t xml:space="preserve">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Default="00EA6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EA6BC6" w:rsidTr="00EA6BC6">
      <w:tc>
        <w:tcPr>
          <w:tcW w:w="7303" w:type="dxa"/>
        </w:tcPr>
        <w:p w:rsidR="00EA6BC6" w:rsidRDefault="00EA6BC6" w:rsidP="00EA6BC6">
          <w:pPr>
            <w:rPr>
              <w:sz w:val="18"/>
            </w:rPr>
          </w:pPr>
        </w:p>
      </w:tc>
    </w:tr>
  </w:tbl>
  <w:p w:rsidR="00EA6BC6" w:rsidRPr="006D3667" w:rsidRDefault="00472199" w:rsidP="00472199">
    <w:pPr>
      <w:pStyle w:val="Footer"/>
    </w:pPr>
    <w:r>
      <w:t>OPC60056</w:t>
    </w:r>
    <w:r w:rsidRPr="00472199">
      <w:rPr>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99" w:rsidRPr="00472199" w:rsidRDefault="00472199" w:rsidP="00472199">
    <w:pPr>
      <w:pStyle w:val="Footer"/>
      <w:rPr>
        <w:sz w:val="18"/>
      </w:rPr>
    </w:pPr>
    <w:r>
      <w:rPr>
        <w:sz w:val="18"/>
      </w:rPr>
      <w:t>OPC60056</w:t>
    </w:r>
    <w:r w:rsidRPr="00472199">
      <w:rPr>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472199" w:rsidRDefault="00EA6BC6" w:rsidP="001F0693">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EA6BC6" w:rsidRPr="00472199" w:rsidTr="00EA6BC6">
      <w:tc>
        <w:tcPr>
          <w:tcW w:w="533" w:type="dxa"/>
          <w:tcBorders>
            <w:top w:val="nil"/>
            <w:left w:val="nil"/>
            <w:bottom w:val="nil"/>
            <w:right w:val="nil"/>
          </w:tcBorders>
        </w:tcPr>
        <w:p w:rsidR="00EA6BC6" w:rsidRPr="00472199" w:rsidRDefault="00EA6BC6" w:rsidP="00EA6BC6">
          <w:pPr>
            <w:spacing w:line="0" w:lineRule="atLeast"/>
            <w:rPr>
              <w:rFonts w:cs="Times New Roman"/>
              <w:sz w:val="18"/>
            </w:rPr>
          </w:pPr>
          <w:r w:rsidRPr="00472199">
            <w:rPr>
              <w:rFonts w:cs="Times New Roman"/>
              <w:i/>
              <w:sz w:val="18"/>
            </w:rPr>
            <w:fldChar w:fldCharType="begin"/>
          </w:r>
          <w:r w:rsidRPr="00472199">
            <w:rPr>
              <w:rFonts w:cs="Times New Roman"/>
              <w:i/>
              <w:sz w:val="18"/>
            </w:rPr>
            <w:instrText xml:space="preserve"> PAGE </w:instrText>
          </w:r>
          <w:r w:rsidRPr="00472199">
            <w:rPr>
              <w:rFonts w:cs="Times New Roman"/>
              <w:i/>
              <w:sz w:val="18"/>
            </w:rPr>
            <w:fldChar w:fldCharType="separate"/>
          </w:r>
          <w:r w:rsidR="00591B8E">
            <w:rPr>
              <w:rFonts w:cs="Times New Roman"/>
              <w:i/>
              <w:noProof/>
              <w:sz w:val="18"/>
            </w:rPr>
            <w:t>viii</w:t>
          </w:r>
          <w:r w:rsidRPr="00472199">
            <w:rPr>
              <w:rFonts w:cs="Times New Roman"/>
              <w:i/>
              <w:sz w:val="18"/>
            </w:rPr>
            <w:fldChar w:fldCharType="end"/>
          </w:r>
        </w:p>
      </w:tc>
      <w:tc>
        <w:tcPr>
          <w:tcW w:w="5387" w:type="dxa"/>
          <w:tcBorders>
            <w:top w:val="nil"/>
            <w:left w:val="nil"/>
            <w:bottom w:val="nil"/>
            <w:right w:val="nil"/>
          </w:tcBorders>
        </w:tcPr>
        <w:p w:rsidR="00EA6BC6" w:rsidRPr="00472199" w:rsidRDefault="00EA6BC6" w:rsidP="00EA6BC6">
          <w:pPr>
            <w:spacing w:line="0" w:lineRule="atLeast"/>
            <w:jc w:val="center"/>
            <w:rPr>
              <w:rFonts w:cs="Times New Roman"/>
              <w:sz w:val="18"/>
            </w:rPr>
          </w:pPr>
          <w:r w:rsidRPr="00472199">
            <w:rPr>
              <w:rFonts w:cs="Times New Roman"/>
              <w:i/>
              <w:sz w:val="18"/>
            </w:rPr>
            <w:fldChar w:fldCharType="begin"/>
          </w:r>
          <w:r w:rsidRPr="00472199">
            <w:rPr>
              <w:rFonts w:cs="Times New Roman"/>
              <w:i/>
              <w:sz w:val="18"/>
            </w:rPr>
            <w:instrText xml:space="preserve"> DOCPROPERTY ShortT </w:instrText>
          </w:r>
          <w:r w:rsidRPr="00472199">
            <w:rPr>
              <w:rFonts w:cs="Times New Roman"/>
              <w:i/>
              <w:sz w:val="18"/>
            </w:rPr>
            <w:fldChar w:fldCharType="separate"/>
          </w:r>
          <w:r w:rsidR="00354129">
            <w:rPr>
              <w:rFonts w:cs="Times New Roman"/>
              <w:i/>
              <w:sz w:val="18"/>
            </w:rPr>
            <w:t>Agricultural and Veterinary Chemicals Legislation Amendment (2013 Measures No. 2) Regulation 2013</w:t>
          </w:r>
          <w:r w:rsidRPr="00472199">
            <w:rPr>
              <w:rFonts w:cs="Times New Roman"/>
              <w:i/>
              <w:sz w:val="18"/>
            </w:rPr>
            <w:fldChar w:fldCharType="end"/>
          </w:r>
        </w:p>
      </w:tc>
      <w:tc>
        <w:tcPr>
          <w:tcW w:w="1383" w:type="dxa"/>
          <w:tcBorders>
            <w:top w:val="nil"/>
            <w:left w:val="nil"/>
            <w:bottom w:val="nil"/>
            <w:right w:val="nil"/>
          </w:tcBorders>
        </w:tcPr>
        <w:p w:rsidR="00EA6BC6" w:rsidRPr="00472199" w:rsidRDefault="00EA6BC6" w:rsidP="00EA6BC6">
          <w:pPr>
            <w:spacing w:line="0" w:lineRule="atLeast"/>
            <w:jc w:val="right"/>
            <w:rPr>
              <w:rFonts w:cs="Times New Roman"/>
              <w:sz w:val="18"/>
            </w:rPr>
          </w:pPr>
          <w:r w:rsidRPr="00472199">
            <w:rPr>
              <w:rFonts w:cs="Times New Roman"/>
              <w:i/>
              <w:sz w:val="18"/>
            </w:rPr>
            <w:fldChar w:fldCharType="begin"/>
          </w:r>
          <w:r w:rsidRPr="00472199">
            <w:rPr>
              <w:rFonts w:cs="Times New Roman"/>
              <w:i/>
              <w:sz w:val="18"/>
            </w:rPr>
            <w:instrText xml:space="preserve"> DOCPROPERTY ActNo </w:instrText>
          </w:r>
          <w:r w:rsidRPr="00472199">
            <w:rPr>
              <w:rFonts w:cs="Times New Roman"/>
              <w:i/>
              <w:sz w:val="18"/>
            </w:rPr>
            <w:fldChar w:fldCharType="separate"/>
          </w:r>
          <w:r w:rsidR="00354129">
            <w:rPr>
              <w:rFonts w:cs="Times New Roman"/>
              <w:i/>
              <w:sz w:val="18"/>
            </w:rPr>
            <w:t>No. 179, 2013</w:t>
          </w:r>
          <w:r w:rsidRPr="00472199">
            <w:rPr>
              <w:rFonts w:cs="Times New Roman"/>
              <w:i/>
              <w:sz w:val="18"/>
            </w:rPr>
            <w:fldChar w:fldCharType="end"/>
          </w:r>
        </w:p>
      </w:tc>
    </w:tr>
    <w:tr w:rsidR="00EA6BC6" w:rsidRPr="00472199" w:rsidTr="00EA6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6BC6" w:rsidRPr="00472199" w:rsidRDefault="00EA6BC6" w:rsidP="00EA6BC6">
          <w:pPr>
            <w:jc w:val="right"/>
            <w:rPr>
              <w:rFonts w:cs="Times New Roman"/>
              <w:sz w:val="18"/>
            </w:rPr>
          </w:pPr>
        </w:p>
      </w:tc>
    </w:tr>
  </w:tbl>
  <w:p w:rsidR="00EA6BC6" w:rsidRPr="00472199" w:rsidRDefault="00472199" w:rsidP="00472199">
    <w:pPr>
      <w:rPr>
        <w:rFonts w:cs="Times New Roman"/>
        <w:i/>
        <w:sz w:val="18"/>
      </w:rPr>
    </w:pPr>
    <w:r>
      <w:rPr>
        <w:rFonts w:cs="Times New Roman"/>
        <w:i/>
        <w:sz w:val="18"/>
      </w:rPr>
      <w:t>OPC60056</w:t>
    </w:r>
    <w:r w:rsidRPr="00472199">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33C1C" w:rsidRDefault="00EA6BC6" w:rsidP="001F069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6BC6" w:rsidTr="00EA6BC6">
      <w:tc>
        <w:tcPr>
          <w:tcW w:w="1383" w:type="dxa"/>
          <w:tcBorders>
            <w:top w:val="nil"/>
            <w:left w:val="nil"/>
            <w:bottom w:val="nil"/>
            <w:right w:val="nil"/>
          </w:tcBorders>
        </w:tcPr>
        <w:p w:rsidR="00EA6BC6" w:rsidRDefault="00EA6BC6" w:rsidP="00EA6BC6">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54129">
            <w:rPr>
              <w:i/>
              <w:sz w:val="18"/>
            </w:rPr>
            <w:t>No. 179, 2013</w:t>
          </w:r>
          <w:r w:rsidRPr="007A1328">
            <w:rPr>
              <w:i/>
              <w:sz w:val="18"/>
            </w:rPr>
            <w:fldChar w:fldCharType="end"/>
          </w:r>
        </w:p>
      </w:tc>
      <w:tc>
        <w:tcPr>
          <w:tcW w:w="5387" w:type="dxa"/>
          <w:tcBorders>
            <w:top w:val="nil"/>
            <w:left w:val="nil"/>
            <w:bottom w:val="nil"/>
            <w:right w:val="nil"/>
          </w:tcBorders>
        </w:tcPr>
        <w:p w:rsidR="00EA6BC6" w:rsidRDefault="00EA6BC6" w:rsidP="00EA6B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129">
            <w:rPr>
              <w:i/>
              <w:sz w:val="18"/>
            </w:rPr>
            <w:t>Agricultural and Veterinary Chemicals Legislation Amendment (2013 Measures No. 2) Regulation 2013</w:t>
          </w:r>
          <w:r w:rsidRPr="007A1328">
            <w:rPr>
              <w:i/>
              <w:sz w:val="18"/>
            </w:rPr>
            <w:fldChar w:fldCharType="end"/>
          </w:r>
        </w:p>
      </w:tc>
      <w:tc>
        <w:tcPr>
          <w:tcW w:w="533" w:type="dxa"/>
          <w:tcBorders>
            <w:top w:val="nil"/>
            <w:left w:val="nil"/>
            <w:bottom w:val="nil"/>
            <w:right w:val="nil"/>
          </w:tcBorders>
        </w:tcPr>
        <w:p w:rsidR="00EA6BC6" w:rsidRDefault="00EA6BC6" w:rsidP="00EA6B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3BA">
            <w:rPr>
              <w:i/>
              <w:noProof/>
              <w:sz w:val="18"/>
            </w:rPr>
            <w:t>i</w:t>
          </w:r>
          <w:r w:rsidRPr="00ED79B6">
            <w:rPr>
              <w:i/>
              <w:sz w:val="18"/>
            </w:rPr>
            <w:fldChar w:fldCharType="end"/>
          </w:r>
        </w:p>
      </w:tc>
    </w:tr>
    <w:tr w:rsidR="00EA6BC6" w:rsidTr="00EA6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6BC6" w:rsidRDefault="00EA6BC6" w:rsidP="00EA6BC6">
          <w:pPr>
            <w:rPr>
              <w:sz w:val="18"/>
            </w:rPr>
          </w:pPr>
        </w:p>
      </w:tc>
    </w:tr>
  </w:tbl>
  <w:p w:rsidR="00EA6BC6" w:rsidRPr="00ED79B6" w:rsidRDefault="00472199" w:rsidP="00472199">
    <w:pPr>
      <w:rPr>
        <w:i/>
        <w:sz w:val="18"/>
      </w:rPr>
    </w:pPr>
    <w:r>
      <w:rPr>
        <w:i/>
        <w:sz w:val="18"/>
      </w:rPr>
      <w:t>OPC60056</w:t>
    </w:r>
    <w:r w:rsidRPr="00472199">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472199" w:rsidRDefault="00EA6BC6" w:rsidP="001F0693">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EA6BC6" w:rsidRPr="00472199" w:rsidTr="00EA6BC6">
      <w:tc>
        <w:tcPr>
          <w:tcW w:w="533" w:type="dxa"/>
          <w:tcBorders>
            <w:top w:val="nil"/>
            <w:left w:val="nil"/>
            <w:bottom w:val="nil"/>
            <w:right w:val="nil"/>
          </w:tcBorders>
        </w:tcPr>
        <w:p w:rsidR="00EA6BC6" w:rsidRPr="00472199" w:rsidRDefault="00EA6BC6" w:rsidP="00EA6BC6">
          <w:pPr>
            <w:spacing w:line="0" w:lineRule="atLeast"/>
            <w:rPr>
              <w:rFonts w:cs="Times New Roman"/>
              <w:sz w:val="18"/>
            </w:rPr>
          </w:pPr>
          <w:r w:rsidRPr="00472199">
            <w:rPr>
              <w:rFonts w:cs="Times New Roman"/>
              <w:i/>
              <w:sz w:val="18"/>
            </w:rPr>
            <w:fldChar w:fldCharType="begin"/>
          </w:r>
          <w:r w:rsidRPr="00472199">
            <w:rPr>
              <w:rFonts w:cs="Times New Roman"/>
              <w:i/>
              <w:sz w:val="18"/>
            </w:rPr>
            <w:instrText xml:space="preserve"> PAGE </w:instrText>
          </w:r>
          <w:r w:rsidRPr="00472199">
            <w:rPr>
              <w:rFonts w:cs="Times New Roman"/>
              <w:i/>
              <w:sz w:val="18"/>
            </w:rPr>
            <w:fldChar w:fldCharType="separate"/>
          </w:r>
          <w:r w:rsidR="001933BA">
            <w:rPr>
              <w:rFonts w:cs="Times New Roman"/>
              <w:i/>
              <w:noProof/>
              <w:sz w:val="18"/>
            </w:rPr>
            <w:t>88</w:t>
          </w:r>
          <w:r w:rsidRPr="00472199">
            <w:rPr>
              <w:rFonts w:cs="Times New Roman"/>
              <w:i/>
              <w:sz w:val="18"/>
            </w:rPr>
            <w:fldChar w:fldCharType="end"/>
          </w:r>
        </w:p>
      </w:tc>
      <w:tc>
        <w:tcPr>
          <w:tcW w:w="5387" w:type="dxa"/>
          <w:tcBorders>
            <w:top w:val="nil"/>
            <w:left w:val="nil"/>
            <w:bottom w:val="nil"/>
            <w:right w:val="nil"/>
          </w:tcBorders>
        </w:tcPr>
        <w:p w:rsidR="00EA6BC6" w:rsidRPr="00472199" w:rsidRDefault="00EA6BC6" w:rsidP="00EA6BC6">
          <w:pPr>
            <w:spacing w:line="0" w:lineRule="atLeast"/>
            <w:jc w:val="center"/>
            <w:rPr>
              <w:rFonts w:cs="Times New Roman"/>
              <w:sz w:val="18"/>
            </w:rPr>
          </w:pPr>
          <w:r w:rsidRPr="00472199">
            <w:rPr>
              <w:rFonts w:cs="Times New Roman"/>
              <w:i/>
              <w:sz w:val="18"/>
            </w:rPr>
            <w:fldChar w:fldCharType="begin"/>
          </w:r>
          <w:r w:rsidRPr="00472199">
            <w:rPr>
              <w:rFonts w:cs="Times New Roman"/>
              <w:i/>
              <w:sz w:val="18"/>
            </w:rPr>
            <w:instrText xml:space="preserve"> DOCPROPERTY ShortT </w:instrText>
          </w:r>
          <w:r w:rsidRPr="00472199">
            <w:rPr>
              <w:rFonts w:cs="Times New Roman"/>
              <w:i/>
              <w:sz w:val="18"/>
            </w:rPr>
            <w:fldChar w:fldCharType="separate"/>
          </w:r>
          <w:r w:rsidR="00354129">
            <w:rPr>
              <w:rFonts w:cs="Times New Roman"/>
              <w:i/>
              <w:sz w:val="18"/>
            </w:rPr>
            <w:t>Agricultural and Veterinary Chemicals Legislation Amendment (2013 Measures No. 2) Regulation 2013</w:t>
          </w:r>
          <w:r w:rsidRPr="00472199">
            <w:rPr>
              <w:rFonts w:cs="Times New Roman"/>
              <w:i/>
              <w:sz w:val="18"/>
            </w:rPr>
            <w:fldChar w:fldCharType="end"/>
          </w:r>
        </w:p>
      </w:tc>
      <w:tc>
        <w:tcPr>
          <w:tcW w:w="1383" w:type="dxa"/>
          <w:tcBorders>
            <w:top w:val="nil"/>
            <w:left w:val="nil"/>
            <w:bottom w:val="nil"/>
            <w:right w:val="nil"/>
          </w:tcBorders>
        </w:tcPr>
        <w:p w:rsidR="00EA6BC6" w:rsidRPr="00472199" w:rsidRDefault="00EA6BC6" w:rsidP="00EA6BC6">
          <w:pPr>
            <w:spacing w:line="0" w:lineRule="atLeast"/>
            <w:jc w:val="right"/>
            <w:rPr>
              <w:rFonts w:cs="Times New Roman"/>
              <w:sz w:val="18"/>
            </w:rPr>
          </w:pPr>
          <w:r w:rsidRPr="00472199">
            <w:rPr>
              <w:rFonts w:cs="Times New Roman"/>
              <w:i/>
              <w:sz w:val="18"/>
            </w:rPr>
            <w:fldChar w:fldCharType="begin"/>
          </w:r>
          <w:r w:rsidRPr="00472199">
            <w:rPr>
              <w:rFonts w:cs="Times New Roman"/>
              <w:i/>
              <w:sz w:val="18"/>
            </w:rPr>
            <w:instrText xml:space="preserve"> DOCPROPERTY ActNo </w:instrText>
          </w:r>
          <w:r w:rsidRPr="00472199">
            <w:rPr>
              <w:rFonts w:cs="Times New Roman"/>
              <w:i/>
              <w:sz w:val="18"/>
            </w:rPr>
            <w:fldChar w:fldCharType="separate"/>
          </w:r>
          <w:r w:rsidR="00354129">
            <w:rPr>
              <w:rFonts w:cs="Times New Roman"/>
              <w:i/>
              <w:sz w:val="18"/>
            </w:rPr>
            <w:t>No. 179, 2013</w:t>
          </w:r>
          <w:r w:rsidRPr="00472199">
            <w:rPr>
              <w:rFonts w:cs="Times New Roman"/>
              <w:i/>
              <w:sz w:val="18"/>
            </w:rPr>
            <w:fldChar w:fldCharType="end"/>
          </w:r>
        </w:p>
      </w:tc>
    </w:tr>
    <w:tr w:rsidR="00EA6BC6" w:rsidRPr="00472199" w:rsidTr="00EA6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6BC6" w:rsidRPr="00472199" w:rsidRDefault="00EA6BC6" w:rsidP="00EA6BC6">
          <w:pPr>
            <w:jc w:val="right"/>
            <w:rPr>
              <w:rFonts w:cs="Times New Roman"/>
              <w:sz w:val="18"/>
            </w:rPr>
          </w:pPr>
        </w:p>
      </w:tc>
    </w:tr>
  </w:tbl>
  <w:p w:rsidR="00EA6BC6" w:rsidRPr="00472199" w:rsidRDefault="00472199" w:rsidP="00472199">
    <w:pPr>
      <w:rPr>
        <w:rFonts w:cs="Times New Roman"/>
        <w:i/>
        <w:sz w:val="18"/>
      </w:rPr>
    </w:pPr>
    <w:r>
      <w:rPr>
        <w:rFonts w:cs="Times New Roman"/>
        <w:i/>
        <w:sz w:val="18"/>
      </w:rPr>
      <w:t>OPC60056</w:t>
    </w:r>
    <w:r w:rsidRPr="00472199">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33C1C" w:rsidRDefault="00EA6BC6" w:rsidP="001F069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6BC6" w:rsidTr="00EA6BC6">
      <w:tc>
        <w:tcPr>
          <w:tcW w:w="1383" w:type="dxa"/>
          <w:tcBorders>
            <w:top w:val="nil"/>
            <w:left w:val="nil"/>
            <w:bottom w:val="nil"/>
            <w:right w:val="nil"/>
          </w:tcBorders>
        </w:tcPr>
        <w:p w:rsidR="00EA6BC6" w:rsidRDefault="00EA6BC6" w:rsidP="00EA6BC6">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54129">
            <w:rPr>
              <w:i/>
              <w:sz w:val="18"/>
            </w:rPr>
            <w:t>No. 179, 2013</w:t>
          </w:r>
          <w:r w:rsidRPr="007A1328">
            <w:rPr>
              <w:i/>
              <w:sz w:val="18"/>
            </w:rPr>
            <w:fldChar w:fldCharType="end"/>
          </w:r>
        </w:p>
      </w:tc>
      <w:tc>
        <w:tcPr>
          <w:tcW w:w="5387" w:type="dxa"/>
          <w:tcBorders>
            <w:top w:val="nil"/>
            <w:left w:val="nil"/>
            <w:bottom w:val="nil"/>
            <w:right w:val="nil"/>
          </w:tcBorders>
        </w:tcPr>
        <w:p w:rsidR="00EA6BC6" w:rsidRDefault="00EA6BC6" w:rsidP="00EA6B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129">
            <w:rPr>
              <w:i/>
              <w:sz w:val="18"/>
            </w:rPr>
            <w:t>Agricultural and Veterinary Chemicals Legislation Amendment (2013 Measures No. 2) Regulation 2013</w:t>
          </w:r>
          <w:r w:rsidRPr="007A1328">
            <w:rPr>
              <w:i/>
              <w:sz w:val="18"/>
            </w:rPr>
            <w:fldChar w:fldCharType="end"/>
          </w:r>
        </w:p>
      </w:tc>
      <w:tc>
        <w:tcPr>
          <w:tcW w:w="533" w:type="dxa"/>
          <w:tcBorders>
            <w:top w:val="nil"/>
            <w:left w:val="nil"/>
            <w:bottom w:val="nil"/>
            <w:right w:val="nil"/>
          </w:tcBorders>
        </w:tcPr>
        <w:p w:rsidR="00EA6BC6" w:rsidRDefault="00EA6BC6" w:rsidP="00EA6B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3BA">
            <w:rPr>
              <w:i/>
              <w:noProof/>
              <w:sz w:val="18"/>
            </w:rPr>
            <w:t>89</w:t>
          </w:r>
          <w:r w:rsidRPr="00ED79B6">
            <w:rPr>
              <w:i/>
              <w:sz w:val="18"/>
            </w:rPr>
            <w:fldChar w:fldCharType="end"/>
          </w:r>
        </w:p>
      </w:tc>
    </w:tr>
    <w:tr w:rsidR="00EA6BC6" w:rsidTr="00EA6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6BC6" w:rsidRDefault="00EA6BC6" w:rsidP="00EA6BC6">
          <w:pPr>
            <w:rPr>
              <w:sz w:val="18"/>
            </w:rPr>
          </w:pPr>
        </w:p>
      </w:tc>
    </w:tr>
  </w:tbl>
  <w:p w:rsidR="00EA6BC6" w:rsidRPr="00ED79B6" w:rsidRDefault="00472199" w:rsidP="00472199">
    <w:pPr>
      <w:rPr>
        <w:i/>
        <w:sz w:val="18"/>
      </w:rPr>
    </w:pPr>
    <w:r>
      <w:rPr>
        <w:i/>
        <w:sz w:val="18"/>
      </w:rPr>
      <w:t>OPC60056</w:t>
    </w:r>
    <w:r w:rsidRPr="00472199">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33C1C" w:rsidRDefault="00EA6BC6" w:rsidP="001F069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6BC6" w:rsidTr="00EA6BC6">
      <w:tc>
        <w:tcPr>
          <w:tcW w:w="1383" w:type="dxa"/>
          <w:tcBorders>
            <w:top w:val="nil"/>
            <w:left w:val="nil"/>
            <w:bottom w:val="nil"/>
            <w:right w:val="nil"/>
          </w:tcBorders>
        </w:tcPr>
        <w:p w:rsidR="00EA6BC6" w:rsidRDefault="00EA6BC6" w:rsidP="00EA6BC6">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54129">
            <w:rPr>
              <w:i/>
              <w:sz w:val="18"/>
            </w:rPr>
            <w:t>No. 179, 2013</w:t>
          </w:r>
          <w:r w:rsidRPr="007A1328">
            <w:rPr>
              <w:i/>
              <w:sz w:val="18"/>
            </w:rPr>
            <w:fldChar w:fldCharType="end"/>
          </w:r>
        </w:p>
      </w:tc>
      <w:tc>
        <w:tcPr>
          <w:tcW w:w="5387" w:type="dxa"/>
          <w:tcBorders>
            <w:top w:val="nil"/>
            <w:left w:val="nil"/>
            <w:bottom w:val="nil"/>
            <w:right w:val="nil"/>
          </w:tcBorders>
        </w:tcPr>
        <w:p w:rsidR="00EA6BC6" w:rsidRDefault="00EA6BC6" w:rsidP="00EA6BC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129">
            <w:rPr>
              <w:i/>
              <w:sz w:val="18"/>
            </w:rPr>
            <w:t>Agricultural and Veterinary Chemicals Legislation Amendment (2013 Measures No. 2) Regulation 2013</w:t>
          </w:r>
          <w:r w:rsidRPr="007A1328">
            <w:rPr>
              <w:i/>
              <w:sz w:val="18"/>
            </w:rPr>
            <w:fldChar w:fldCharType="end"/>
          </w:r>
        </w:p>
      </w:tc>
      <w:tc>
        <w:tcPr>
          <w:tcW w:w="533" w:type="dxa"/>
          <w:tcBorders>
            <w:top w:val="nil"/>
            <w:left w:val="nil"/>
            <w:bottom w:val="nil"/>
            <w:right w:val="nil"/>
          </w:tcBorders>
        </w:tcPr>
        <w:p w:rsidR="00EA6BC6" w:rsidRDefault="00EA6BC6" w:rsidP="00EA6B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1B8E">
            <w:rPr>
              <w:i/>
              <w:noProof/>
              <w:sz w:val="18"/>
            </w:rPr>
            <w:t>8</w:t>
          </w:r>
          <w:r w:rsidRPr="00ED79B6">
            <w:rPr>
              <w:i/>
              <w:sz w:val="18"/>
            </w:rPr>
            <w:fldChar w:fldCharType="end"/>
          </w:r>
        </w:p>
      </w:tc>
    </w:tr>
    <w:tr w:rsidR="00EA6BC6" w:rsidTr="00EA6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A6BC6" w:rsidRDefault="00EA6BC6" w:rsidP="00EA6BC6">
          <w:pPr>
            <w:rPr>
              <w:sz w:val="18"/>
            </w:rPr>
          </w:pPr>
        </w:p>
      </w:tc>
    </w:tr>
  </w:tbl>
  <w:p w:rsidR="00EA6BC6" w:rsidRPr="00ED79B6" w:rsidRDefault="00EA6BC6" w:rsidP="001F0693">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472199" w:rsidRDefault="00EA6BC6" w:rsidP="00C47DFF">
    <w:pPr>
      <w:pBdr>
        <w:top w:val="single" w:sz="6" w:space="1" w:color="auto"/>
      </w:pBdr>
      <w:spacing w:before="120" w:line="0" w:lineRule="atLeast"/>
      <w:rPr>
        <w:rFonts w:cs="Times New Roman"/>
        <w:sz w:val="18"/>
        <w:szCs w:val="16"/>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gridCol w:w="1559"/>
    </w:tblGrid>
    <w:tr w:rsidR="00EA6BC6" w:rsidRPr="00472199" w:rsidTr="00C47DFF">
      <w:tc>
        <w:tcPr>
          <w:tcW w:w="1701" w:type="dxa"/>
        </w:tcPr>
        <w:p w:rsidR="00EA6BC6" w:rsidRPr="00472199" w:rsidRDefault="00EA6BC6" w:rsidP="00C47DFF">
          <w:pPr>
            <w:spacing w:line="0" w:lineRule="atLeast"/>
            <w:rPr>
              <w:rFonts w:cs="Times New Roman"/>
              <w:sz w:val="18"/>
            </w:rPr>
          </w:pPr>
          <w:r w:rsidRPr="00472199">
            <w:rPr>
              <w:rFonts w:cs="Times New Roman"/>
              <w:i/>
              <w:sz w:val="18"/>
            </w:rPr>
            <w:fldChar w:fldCharType="begin"/>
          </w:r>
          <w:r w:rsidRPr="00472199">
            <w:rPr>
              <w:rFonts w:cs="Times New Roman"/>
              <w:i/>
              <w:sz w:val="18"/>
            </w:rPr>
            <w:instrText xml:space="preserve"> DOCPROPERTY ActNo </w:instrText>
          </w:r>
          <w:r w:rsidRPr="00472199">
            <w:rPr>
              <w:rFonts w:cs="Times New Roman"/>
              <w:i/>
              <w:sz w:val="18"/>
            </w:rPr>
            <w:fldChar w:fldCharType="separate"/>
          </w:r>
          <w:r w:rsidR="00354129">
            <w:rPr>
              <w:rFonts w:cs="Times New Roman"/>
              <w:i/>
              <w:sz w:val="18"/>
            </w:rPr>
            <w:t>No. 179, 2013</w:t>
          </w:r>
          <w:r w:rsidRPr="00472199">
            <w:rPr>
              <w:rFonts w:cs="Times New Roman"/>
              <w:i/>
              <w:sz w:val="18"/>
            </w:rPr>
            <w:fldChar w:fldCharType="end"/>
          </w:r>
        </w:p>
      </w:tc>
      <w:tc>
        <w:tcPr>
          <w:tcW w:w="7621" w:type="dxa"/>
        </w:tcPr>
        <w:p w:rsidR="00EA6BC6" w:rsidRPr="00472199" w:rsidRDefault="00EA6BC6" w:rsidP="00C47DFF">
          <w:pPr>
            <w:spacing w:line="0" w:lineRule="atLeast"/>
            <w:jc w:val="center"/>
            <w:rPr>
              <w:rFonts w:cs="Times New Roman"/>
              <w:sz w:val="18"/>
            </w:rPr>
          </w:pPr>
          <w:r w:rsidRPr="00472199">
            <w:rPr>
              <w:rFonts w:cs="Times New Roman"/>
              <w:i/>
              <w:sz w:val="18"/>
            </w:rPr>
            <w:fldChar w:fldCharType="begin"/>
          </w:r>
          <w:r w:rsidRPr="00472199">
            <w:rPr>
              <w:rFonts w:cs="Times New Roman"/>
              <w:i/>
              <w:sz w:val="18"/>
            </w:rPr>
            <w:instrText xml:space="preserve"> DOCPROPERTY ShortT </w:instrText>
          </w:r>
          <w:r w:rsidRPr="00472199">
            <w:rPr>
              <w:rFonts w:cs="Times New Roman"/>
              <w:i/>
              <w:sz w:val="18"/>
            </w:rPr>
            <w:fldChar w:fldCharType="separate"/>
          </w:r>
          <w:r w:rsidR="00354129">
            <w:rPr>
              <w:rFonts w:cs="Times New Roman"/>
              <w:i/>
              <w:sz w:val="18"/>
            </w:rPr>
            <w:t>Agricultural and Veterinary Chemicals Legislation Amendment (2013 Measures No. 2) Regulation 2013</w:t>
          </w:r>
          <w:r w:rsidRPr="00472199">
            <w:rPr>
              <w:rFonts w:cs="Times New Roman"/>
              <w:i/>
              <w:sz w:val="18"/>
            </w:rPr>
            <w:fldChar w:fldCharType="end"/>
          </w:r>
        </w:p>
      </w:tc>
      <w:tc>
        <w:tcPr>
          <w:tcW w:w="1559" w:type="dxa"/>
        </w:tcPr>
        <w:p w:rsidR="00EA6BC6" w:rsidRPr="00472199" w:rsidRDefault="00EA6BC6" w:rsidP="00C47DFF">
          <w:pPr>
            <w:spacing w:line="0" w:lineRule="atLeast"/>
            <w:jc w:val="right"/>
            <w:rPr>
              <w:rFonts w:cs="Times New Roman"/>
              <w:sz w:val="18"/>
            </w:rPr>
          </w:pPr>
          <w:r w:rsidRPr="00472199">
            <w:rPr>
              <w:rFonts w:cs="Times New Roman"/>
              <w:i/>
              <w:sz w:val="18"/>
            </w:rPr>
            <w:fldChar w:fldCharType="begin"/>
          </w:r>
          <w:r w:rsidRPr="00472199">
            <w:rPr>
              <w:rFonts w:cs="Times New Roman"/>
              <w:i/>
              <w:sz w:val="18"/>
            </w:rPr>
            <w:instrText xml:space="preserve"> PAGE </w:instrText>
          </w:r>
          <w:r w:rsidRPr="00472199">
            <w:rPr>
              <w:rFonts w:cs="Times New Roman"/>
              <w:i/>
              <w:sz w:val="18"/>
            </w:rPr>
            <w:fldChar w:fldCharType="separate"/>
          </w:r>
          <w:r w:rsidR="001933BA">
            <w:rPr>
              <w:rFonts w:cs="Times New Roman"/>
              <w:i/>
              <w:noProof/>
              <w:sz w:val="18"/>
            </w:rPr>
            <w:t>114</w:t>
          </w:r>
          <w:r w:rsidRPr="00472199">
            <w:rPr>
              <w:rFonts w:cs="Times New Roman"/>
              <w:i/>
              <w:sz w:val="18"/>
            </w:rPr>
            <w:fldChar w:fldCharType="end"/>
          </w:r>
        </w:p>
      </w:tc>
    </w:tr>
    <w:tr w:rsidR="00EA6BC6" w:rsidRPr="00472199" w:rsidTr="00C47DFF">
      <w:tc>
        <w:tcPr>
          <w:tcW w:w="10881" w:type="dxa"/>
          <w:gridSpan w:val="3"/>
        </w:tcPr>
        <w:p w:rsidR="00EA6BC6" w:rsidRPr="00472199" w:rsidRDefault="00EA6BC6" w:rsidP="00C47DFF">
          <w:pPr>
            <w:rPr>
              <w:rFonts w:cs="Times New Roman"/>
              <w:sz w:val="18"/>
            </w:rPr>
          </w:pPr>
        </w:p>
      </w:tc>
    </w:tr>
  </w:tbl>
  <w:p w:rsidR="00EA6BC6" w:rsidRPr="00472199" w:rsidRDefault="00472199" w:rsidP="00472199">
    <w:pPr>
      <w:rPr>
        <w:rFonts w:cs="Times New Roman"/>
        <w:i/>
        <w:sz w:val="18"/>
      </w:rPr>
    </w:pPr>
    <w:r>
      <w:rPr>
        <w:rFonts w:cs="Times New Roman"/>
        <w:i/>
        <w:sz w:val="18"/>
      </w:rPr>
      <w:t>OPC60056</w:t>
    </w:r>
    <w:r w:rsidRPr="00472199">
      <w:rPr>
        <w:rFonts w:cs="Times New Roman"/>
        <w:i/>
        <w:sz w:val="18"/>
      </w:rPr>
      <w:t xml:space="preserve">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C6" w:rsidRDefault="00EA6BC6">
      <w:r>
        <w:separator/>
      </w:r>
    </w:p>
  </w:footnote>
  <w:footnote w:type="continuationSeparator" w:id="0">
    <w:p w:rsidR="00EA6BC6" w:rsidRDefault="00EA6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5F1388" w:rsidRDefault="00EA6BC6" w:rsidP="001F0693">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A961C4" w:rsidRDefault="00EA6BC6" w:rsidP="00C47DF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1933B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933BA">
      <w:rPr>
        <w:b/>
        <w:noProof/>
        <w:sz w:val="20"/>
      </w:rPr>
      <w:t>Schedule 1</w:t>
    </w:r>
    <w:r>
      <w:rPr>
        <w:b/>
        <w:sz w:val="20"/>
      </w:rPr>
      <w:fldChar w:fldCharType="end"/>
    </w:r>
  </w:p>
  <w:p w:rsidR="00EA6BC6" w:rsidRPr="00A961C4" w:rsidRDefault="00EA6BC6" w:rsidP="00C47DF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A6BC6" w:rsidRPr="00A961C4" w:rsidRDefault="00EA6BC6" w:rsidP="00C47DFF">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A961C4" w:rsidRDefault="00EA6BC6" w:rsidP="00C47DFF">
    <w:pPr>
      <w:rPr>
        <w:b/>
        <w:sz w:val="20"/>
      </w:rPr>
    </w:pPr>
    <w:r>
      <w:rPr>
        <w:b/>
        <w:sz w:val="20"/>
      </w:rPr>
      <w:fldChar w:fldCharType="begin"/>
    </w:r>
    <w:r>
      <w:rPr>
        <w:b/>
        <w:sz w:val="20"/>
      </w:rPr>
      <w:instrText xml:space="preserve"> STYLEREF CharAmSchNo </w:instrText>
    </w:r>
    <w:r>
      <w:rPr>
        <w:b/>
        <w:sz w:val="20"/>
      </w:rPr>
      <w:fldChar w:fldCharType="separate"/>
    </w:r>
    <w:r w:rsidR="001933B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933BA">
      <w:rPr>
        <w:noProof/>
        <w:sz w:val="20"/>
      </w:rPr>
      <w:t>Amendments</w:t>
    </w:r>
    <w:r>
      <w:rPr>
        <w:sz w:val="20"/>
      </w:rPr>
      <w:fldChar w:fldCharType="end"/>
    </w:r>
  </w:p>
  <w:p w:rsidR="00EA6BC6" w:rsidRPr="00A961C4" w:rsidRDefault="00EA6BC6" w:rsidP="00C47DF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A6BC6" w:rsidRPr="00A961C4" w:rsidRDefault="00EA6BC6" w:rsidP="00C47DFF">
    <w:pPr>
      <w:pBdr>
        <w:bottom w:val="single" w:sz="6"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Default="00EA6BC6">
    <w:pPr>
      <w:rPr>
        <w:sz w:val="20"/>
      </w:rPr>
    </w:pPr>
    <w:r>
      <w:rPr>
        <w:b/>
        <w:sz w:val="20"/>
      </w:rPr>
      <w:fldChar w:fldCharType="begin"/>
    </w:r>
    <w:r>
      <w:rPr>
        <w:b/>
        <w:sz w:val="20"/>
      </w:rPr>
      <w:instrText xml:space="preserve"> STYLEREF CharAmSchNo </w:instrText>
    </w:r>
    <w:r>
      <w:rPr>
        <w:b/>
        <w:sz w:val="20"/>
      </w:rPr>
      <w:fldChar w:fldCharType="separate"/>
    </w:r>
    <w:r w:rsidR="001933BA">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1933BA">
      <w:rPr>
        <w:noProof/>
        <w:sz w:val="20"/>
      </w:rPr>
      <w:t>Amendments</w:t>
    </w:r>
    <w:r>
      <w:rPr>
        <w:sz w:val="20"/>
      </w:rPr>
      <w:fldChar w:fldCharType="end"/>
    </w:r>
  </w:p>
  <w:p w:rsidR="00EA6BC6" w:rsidRDefault="00EA6BC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EA6BC6" w:rsidRDefault="00EA6BC6">
    <w:pPr>
      <w:pBdr>
        <w:bottom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Default="00EA6BC6">
    <w:pPr>
      <w:jc w:val="right"/>
      <w:rPr>
        <w:sz w:val="20"/>
      </w:rPr>
    </w:pPr>
    <w:r>
      <w:rPr>
        <w:sz w:val="20"/>
      </w:rPr>
      <w:fldChar w:fldCharType="begin"/>
    </w:r>
    <w:r>
      <w:rPr>
        <w:sz w:val="20"/>
      </w:rPr>
      <w:instrText xml:space="preserve"> STYLEREF CharAmSchText </w:instrText>
    </w:r>
    <w:r>
      <w:rPr>
        <w:sz w:val="20"/>
      </w:rPr>
      <w:fldChar w:fldCharType="separate"/>
    </w:r>
    <w:r w:rsidR="001933BA">
      <w:rPr>
        <w:noProof/>
        <w:sz w:val="20"/>
      </w:rPr>
      <w:t>Amendments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933BA">
      <w:rPr>
        <w:b/>
        <w:noProof/>
        <w:sz w:val="20"/>
      </w:rPr>
      <w:t>Schedule 1</w:t>
    </w:r>
    <w:r>
      <w:rPr>
        <w:b/>
        <w:sz w:val="20"/>
      </w:rPr>
      <w:fldChar w:fldCharType="end"/>
    </w:r>
  </w:p>
  <w:p w:rsidR="00EA6BC6" w:rsidRDefault="00EA6BC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EA6BC6" w:rsidRDefault="00EA6BC6">
    <w:pPr>
      <w:pBdr>
        <w:bottom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5F1388" w:rsidRDefault="00EA6BC6" w:rsidP="001F0693">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5F1388" w:rsidRDefault="00EA6BC6" w:rsidP="001F069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D79B6" w:rsidRDefault="00EA6BC6" w:rsidP="001F0693">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D79B6" w:rsidRDefault="00EA6BC6" w:rsidP="001F0693">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ED79B6" w:rsidRDefault="00EA6BC6" w:rsidP="001F069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A961C4" w:rsidRDefault="00EA6BC6" w:rsidP="001F0693">
    <w:pPr>
      <w:rPr>
        <w:b/>
        <w:sz w:val="20"/>
      </w:rPr>
    </w:pPr>
    <w:r>
      <w:rPr>
        <w:b/>
        <w:sz w:val="20"/>
      </w:rPr>
      <w:fldChar w:fldCharType="begin"/>
    </w:r>
    <w:r>
      <w:rPr>
        <w:b/>
        <w:sz w:val="20"/>
      </w:rPr>
      <w:instrText xml:space="preserve"> STYLEREF CharAmSchNo </w:instrText>
    </w:r>
    <w:r w:rsidR="001933BA">
      <w:rPr>
        <w:b/>
        <w:sz w:val="20"/>
      </w:rPr>
      <w:fldChar w:fldCharType="separate"/>
    </w:r>
    <w:r w:rsidR="001933B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933BA">
      <w:rPr>
        <w:sz w:val="20"/>
      </w:rPr>
      <w:fldChar w:fldCharType="separate"/>
    </w:r>
    <w:r w:rsidR="001933BA">
      <w:rPr>
        <w:noProof/>
        <w:sz w:val="20"/>
      </w:rPr>
      <w:t>Amendments</w:t>
    </w:r>
    <w:r>
      <w:rPr>
        <w:sz w:val="20"/>
      </w:rPr>
      <w:fldChar w:fldCharType="end"/>
    </w:r>
  </w:p>
  <w:p w:rsidR="00EA6BC6" w:rsidRPr="00A961C4" w:rsidRDefault="00EA6BC6" w:rsidP="001F069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A6BC6" w:rsidRPr="00A961C4" w:rsidRDefault="00EA6BC6" w:rsidP="001F0693">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A961C4" w:rsidRDefault="00EA6BC6" w:rsidP="001F0693">
    <w:pPr>
      <w:jc w:val="right"/>
      <w:rPr>
        <w:sz w:val="20"/>
      </w:rPr>
    </w:pPr>
    <w:r w:rsidRPr="00A961C4">
      <w:rPr>
        <w:sz w:val="20"/>
      </w:rPr>
      <w:fldChar w:fldCharType="begin"/>
    </w:r>
    <w:r w:rsidRPr="00A961C4">
      <w:rPr>
        <w:sz w:val="20"/>
      </w:rPr>
      <w:instrText xml:space="preserve"> STYLEREF CharAmSchText </w:instrText>
    </w:r>
    <w:r w:rsidR="001933BA">
      <w:rPr>
        <w:sz w:val="20"/>
      </w:rPr>
      <w:fldChar w:fldCharType="separate"/>
    </w:r>
    <w:r w:rsidR="001933B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933BA">
      <w:rPr>
        <w:b/>
        <w:sz w:val="20"/>
      </w:rPr>
      <w:fldChar w:fldCharType="separate"/>
    </w:r>
    <w:r w:rsidR="001933BA">
      <w:rPr>
        <w:b/>
        <w:noProof/>
        <w:sz w:val="20"/>
      </w:rPr>
      <w:t>Schedule 1</w:t>
    </w:r>
    <w:r>
      <w:rPr>
        <w:b/>
        <w:sz w:val="20"/>
      </w:rPr>
      <w:fldChar w:fldCharType="end"/>
    </w:r>
  </w:p>
  <w:p w:rsidR="00EA6BC6" w:rsidRPr="00A961C4" w:rsidRDefault="00EA6BC6" w:rsidP="001F069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A6BC6" w:rsidRPr="00A961C4" w:rsidRDefault="00EA6BC6" w:rsidP="001F0693">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6" w:rsidRPr="00A961C4" w:rsidRDefault="00EA6BC6" w:rsidP="001F06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5680EFB"/>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33E6DA4"/>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A376A48"/>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5207297"/>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4A7D10"/>
    <w:multiLevelType w:val="hybridMultilevel"/>
    <w:tmpl w:val="B2E467D2"/>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CA692C"/>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2A050D6"/>
    <w:multiLevelType w:val="hybridMultilevel"/>
    <w:tmpl w:val="28F49EC6"/>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2521E9"/>
    <w:multiLevelType w:val="hybridMultilevel"/>
    <w:tmpl w:val="E4924008"/>
    <w:lvl w:ilvl="0" w:tplc="5838BC4A">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66235D"/>
    <w:multiLevelType w:val="hybridMultilevel"/>
    <w:tmpl w:val="B396321A"/>
    <w:lvl w:ilvl="0" w:tplc="88FEFA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12B5613"/>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34C061B"/>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66F5A04"/>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9203EB"/>
    <w:multiLevelType w:val="hybridMultilevel"/>
    <w:tmpl w:val="351CF980"/>
    <w:lvl w:ilvl="0" w:tplc="33CC7F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F95E2D"/>
    <w:multiLevelType w:val="hybridMultilevel"/>
    <w:tmpl w:val="C75470C6"/>
    <w:lvl w:ilvl="0" w:tplc="881AE354">
      <w:start w:val="1"/>
      <w:numFmt w:val="lowerLetter"/>
      <w:lvlText w:val="(%1)"/>
      <w:lvlJc w:val="left"/>
      <w:pPr>
        <w:ind w:left="510" w:hanging="36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19D0F7A"/>
    <w:multiLevelType w:val="hybridMultilevel"/>
    <w:tmpl w:val="28F49EC6"/>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7205BA"/>
    <w:multiLevelType w:val="hybridMultilevel"/>
    <w:tmpl w:val="28F49EC6"/>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D191E13"/>
    <w:multiLevelType w:val="hybridMultilevel"/>
    <w:tmpl w:val="E4924008"/>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1837028"/>
    <w:multiLevelType w:val="hybridMultilevel"/>
    <w:tmpl w:val="0E3ED600"/>
    <w:lvl w:ilvl="0" w:tplc="EDDC99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B60441"/>
    <w:multiLevelType w:val="hybridMultilevel"/>
    <w:tmpl w:val="28F49EC6"/>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0C3A99"/>
    <w:multiLevelType w:val="hybridMultilevel"/>
    <w:tmpl w:val="E4924008"/>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2B6929"/>
    <w:multiLevelType w:val="hybridMultilevel"/>
    <w:tmpl w:val="E842BBEC"/>
    <w:lvl w:ilvl="0" w:tplc="5838B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6"/>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8"/>
  </w:num>
  <w:num w:numId="16">
    <w:abstractNumId w:val="22"/>
  </w:num>
  <w:num w:numId="17">
    <w:abstractNumId w:val="34"/>
  </w:num>
  <w:num w:numId="18">
    <w:abstractNumId w:val="36"/>
  </w:num>
  <w:num w:numId="19">
    <w:abstractNumId w:val="33"/>
  </w:num>
  <w:num w:numId="20">
    <w:abstractNumId w:val="21"/>
  </w:num>
  <w:num w:numId="21">
    <w:abstractNumId w:val="35"/>
  </w:num>
  <w:num w:numId="22">
    <w:abstractNumId w:val="18"/>
  </w:num>
  <w:num w:numId="23">
    <w:abstractNumId w:val="11"/>
  </w:num>
  <w:num w:numId="24">
    <w:abstractNumId w:val="26"/>
  </w:num>
  <w:num w:numId="25">
    <w:abstractNumId w:val="31"/>
  </w:num>
  <w:num w:numId="26">
    <w:abstractNumId w:val="17"/>
  </w:num>
  <w:num w:numId="27">
    <w:abstractNumId w:val="13"/>
  </w:num>
  <w:num w:numId="28">
    <w:abstractNumId w:val="25"/>
  </w:num>
  <w:num w:numId="29">
    <w:abstractNumId w:val="14"/>
  </w:num>
  <w:num w:numId="30">
    <w:abstractNumId w:val="19"/>
  </w:num>
  <w:num w:numId="31">
    <w:abstractNumId w:val="37"/>
  </w:num>
  <w:num w:numId="32">
    <w:abstractNumId w:val="27"/>
  </w:num>
  <w:num w:numId="33">
    <w:abstractNumId w:val="20"/>
  </w:num>
  <w:num w:numId="34">
    <w:abstractNumId w:val="32"/>
  </w:num>
  <w:num w:numId="35">
    <w:abstractNumId w:val="23"/>
  </w:num>
  <w:num w:numId="36">
    <w:abstractNumId w:val="30"/>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1C"/>
    <w:rsid w:val="00000562"/>
    <w:rsid w:val="00002328"/>
    <w:rsid w:val="000025D9"/>
    <w:rsid w:val="00002ABE"/>
    <w:rsid w:val="000032D9"/>
    <w:rsid w:val="0000366C"/>
    <w:rsid w:val="00003808"/>
    <w:rsid w:val="00003A23"/>
    <w:rsid w:val="000040EF"/>
    <w:rsid w:val="000045E8"/>
    <w:rsid w:val="000047FD"/>
    <w:rsid w:val="00004F81"/>
    <w:rsid w:val="000056EE"/>
    <w:rsid w:val="00005907"/>
    <w:rsid w:val="00005AA5"/>
    <w:rsid w:val="00005D8A"/>
    <w:rsid w:val="00006ACB"/>
    <w:rsid w:val="00007473"/>
    <w:rsid w:val="000077D1"/>
    <w:rsid w:val="00007EE4"/>
    <w:rsid w:val="00007F62"/>
    <w:rsid w:val="00010203"/>
    <w:rsid w:val="000111C1"/>
    <w:rsid w:val="000113D1"/>
    <w:rsid w:val="000118B4"/>
    <w:rsid w:val="0001270D"/>
    <w:rsid w:val="00012A4E"/>
    <w:rsid w:val="00013A38"/>
    <w:rsid w:val="000142C2"/>
    <w:rsid w:val="00015264"/>
    <w:rsid w:val="00016091"/>
    <w:rsid w:val="00016445"/>
    <w:rsid w:val="0001739E"/>
    <w:rsid w:val="000175A8"/>
    <w:rsid w:val="00020180"/>
    <w:rsid w:val="00020375"/>
    <w:rsid w:val="00020F66"/>
    <w:rsid w:val="0002107F"/>
    <w:rsid w:val="00023437"/>
    <w:rsid w:val="00023D2F"/>
    <w:rsid w:val="00023FD2"/>
    <w:rsid w:val="0002458E"/>
    <w:rsid w:val="00024783"/>
    <w:rsid w:val="000250C4"/>
    <w:rsid w:val="00027C56"/>
    <w:rsid w:val="0003029C"/>
    <w:rsid w:val="000316A7"/>
    <w:rsid w:val="00032471"/>
    <w:rsid w:val="00033003"/>
    <w:rsid w:val="0003398B"/>
    <w:rsid w:val="0003434D"/>
    <w:rsid w:val="0003471E"/>
    <w:rsid w:val="0003498B"/>
    <w:rsid w:val="00035B74"/>
    <w:rsid w:val="00036301"/>
    <w:rsid w:val="00036546"/>
    <w:rsid w:val="00037821"/>
    <w:rsid w:val="0003791C"/>
    <w:rsid w:val="00037BA5"/>
    <w:rsid w:val="00040676"/>
    <w:rsid w:val="0004081D"/>
    <w:rsid w:val="000408ED"/>
    <w:rsid w:val="000415F2"/>
    <w:rsid w:val="00041955"/>
    <w:rsid w:val="00041DE5"/>
    <w:rsid w:val="00042049"/>
    <w:rsid w:val="000421A3"/>
    <w:rsid w:val="00042371"/>
    <w:rsid w:val="00042AD3"/>
    <w:rsid w:val="00042BF3"/>
    <w:rsid w:val="00044704"/>
    <w:rsid w:val="00044F02"/>
    <w:rsid w:val="00045938"/>
    <w:rsid w:val="000464B6"/>
    <w:rsid w:val="000472C2"/>
    <w:rsid w:val="0005041E"/>
    <w:rsid w:val="00050C0D"/>
    <w:rsid w:val="000510B9"/>
    <w:rsid w:val="00051214"/>
    <w:rsid w:val="000519C8"/>
    <w:rsid w:val="00051C9B"/>
    <w:rsid w:val="0005202E"/>
    <w:rsid w:val="000528D1"/>
    <w:rsid w:val="00052B95"/>
    <w:rsid w:val="00052DA2"/>
    <w:rsid w:val="0005430F"/>
    <w:rsid w:val="0005460B"/>
    <w:rsid w:val="00054959"/>
    <w:rsid w:val="00055174"/>
    <w:rsid w:val="000551A3"/>
    <w:rsid w:val="000557E0"/>
    <w:rsid w:val="00055DEB"/>
    <w:rsid w:val="00055E25"/>
    <w:rsid w:val="0005745F"/>
    <w:rsid w:val="0005767F"/>
    <w:rsid w:val="000579A4"/>
    <w:rsid w:val="00057ABF"/>
    <w:rsid w:val="00057B50"/>
    <w:rsid w:val="000607FE"/>
    <w:rsid w:val="0006096E"/>
    <w:rsid w:val="00061434"/>
    <w:rsid w:val="000616DC"/>
    <w:rsid w:val="000616DD"/>
    <w:rsid w:val="000617A1"/>
    <w:rsid w:val="00061C22"/>
    <w:rsid w:val="00062587"/>
    <w:rsid w:val="00063AD9"/>
    <w:rsid w:val="00064771"/>
    <w:rsid w:val="00064AF2"/>
    <w:rsid w:val="00065A0E"/>
    <w:rsid w:val="00066330"/>
    <w:rsid w:val="0006722F"/>
    <w:rsid w:val="00067481"/>
    <w:rsid w:val="0007062B"/>
    <w:rsid w:val="000708D6"/>
    <w:rsid w:val="0007092C"/>
    <w:rsid w:val="00070B32"/>
    <w:rsid w:val="00070FAC"/>
    <w:rsid w:val="00071791"/>
    <w:rsid w:val="000721B0"/>
    <w:rsid w:val="0007402F"/>
    <w:rsid w:val="000740BC"/>
    <w:rsid w:val="00074238"/>
    <w:rsid w:val="00075398"/>
    <w:rsid w:val="000753EE"/>
    <w:rsid w:val="0007559C"/>
    <w:rsid w:val="000757BE"/>
    <w:rsid w:val="00075B0E"/>
    <w:rsid w:val="00075B3D"/>
    <w:rsid w:val="00076B35"/>
    <w:rsid w:val="00076D05"/>
    <w:rsid w:val="00076FC8"/>
    <w:rsid w:val="00077643"/>
    <w:rsid w:val="00081E3F"/>
    <w:rsid w:val="000825EB"/>
    <w:rsid w:val="000827A1"/>
    <w:rsid w:val="00082BBE"/>
    <w:rsid w:val="0008311E"/>
    <w:rsid w:val="00083DC5"/>
    <w:rsid w:val="00084468"/>
    <w:rsid w:val="00085877"/>
    <w:rsid w:val="00086090"/>
    <w:rsid w:val="00086166"/>
    <w:rsid w:val="00086386"/>
    <w:rsid w:val="00086D3B"/>
    <w:rsid w:val="00086E1D"/>
    <w:rsid w:val="00086F57"/>
    <w:rsid w:val="00087303"/>
    <w:rsid w:val="000909F5"/>
    <w:rsid w:val="00090B0D"/>
    <w:rsid w:val="00090E51"/>
    <w:rsid w:val="00090E69"/>
    <w:rsid w:val="000917C8"/>
    <w:rsid w:val="00091818"/>
    <w:rsid w:val="00091CB1"/>
    <w:rsid w:val="00092802"/>
    <w:rsid w:val="00092827"/>
    <w:rsid w:val="00092EC3"/>
    <w:rsid w:val="00093E69"/>
    <w:rsid w:val="000943E6"/>
    <w:rsid w:val="00094A7B"/>
    <w:rsid w:val="00094BB8"/>
    <w:rsid w:val="00095097"/>
    <w:rsid w:val="0009536A"/>
    <w:rsid w:val="00095CC4"/>
    <w:rsid w:val="000961D9"/>
    <w:rsid w:val="000967A0"/>
    <w:rsid w:val="00096B9B"/>
    <w:rsid w:val="00096BA9"/>
    <w:rsid w:val="00096EB2"/>
    <w:rsid w:val="00097F91"/>
    <w:rsid w:val="000A0338"/>
    <w:rsid w:val="000A0AC2"/>
    <w:rsid w:val="000A10DC"/>
    <w:rsid w:val="000A1D4F"/>
    <w:rsid w:val="000A2F0D"/>
    <w:rsid w:val="000A37B4"/>
    <w:rsid w:val="000A3C52"/>
    <w:rsid w:val="000A482A"/>
    <w:rsid w:val="000A522E"/>
    <w:rsid w:val="000A5376"/>
    <w:rsid w:val="000A547F"/>
    <w:rsid w:val="000A5B55"/>
    <w:rsid w:val="000A6051"/>
    <w:rsid w:val="000A6BAB"/>
    <w:rsid w:val="000A6D0A"/>
    <w:rsid w:val="000A70F6"/>
    <w:rsid w:val="000A7810"/>
    <w:rsid w:val="000A7C89"/>
    <w:rsid w:val="000B09A4"/>
    <w:rsid w:val="000B0A20"/>
    <w:rsid w:val="000B1EFE"/>
    <w:rsid w:val="000B215A"/>
    <w:rsid w:val="000B26C3"/>
    <w:rsid w:val="000B3318"/>
    <w:rsid w:val="000B3401"/>
    <w:rsid w:val="000B3508"/>
    <w:rsid w:val="000B3FE0"/>
    <w:rsid w:val="000B435C"/>
    <w:rsid w:val="000B51E4"/>
    <w:rsid w:val="000B52F3"/>
    <w:rsid w:val="000B68A5"/>
    <w:rsid w:val="000B74C6"/>
    <w:rsid w:val="000C0115"/>
    <w:rsid w:val="000C0E91"/>
    <w:rsid w:val="000C1217"/>
    <w:rsid w:val="000C1E9C"/>
    <w:rsid w:val="000C2183"/>
    <w:rsid w:val="000C2AB1"/>
    <w:rsid w:val="000C2C86"/>
    <w:rsid w:val="000C2ED9"/>
    <w:rsid w:val="000C35FB"/>
    <w:rsid w:val="000C3AB7"/>
    <w:rsid w:val="000C4497"/>
    <w:rsid w:val="000C56FE"/>
    <w:rsid w:val="000C5C6B"/>
    <w:rsid w:val="000C718C"/>
    <w:rsid w:val="000C73AB"/>
    <w:rsid w:val="000C78B5"/>
    <w:rsid w:val="000C7AC3"/>
    <w:rsid w:val="000C7C24"/>
    <w:rsid w:val="000D0300"/>
    <w:rsid w:val="000D0A8B"/>
    <w:rsid w:val="000D112D"/>
    <w:rsid w:val="000D14E3"/>
    <w:rsid w:val="000D20AC"/>
    <w:rsid w:val="000D22DA"/>
    <w:rsid w:val="000D363E"/>
    <w:rsid w:val="000D3CFC"/>
    <w:rsid w:val="000D4C8A"/>
    <w:rsid w:val="000D4EC2"/>
    <w:rsid w:val="000D633A"/>
    <w:rsid w:val="000D7167"/>
    <w:rsid w:val="000D7302"/>
    <w:rsid w:val="000D736B"/>
    <w:rsid w:val="000E081D"/>
    <w:rsid w:val="000E122F"/>
    <w:rsid w:val="000E1B90"/>
    <w:rsid w:val="000E2888"/>
    <w:rsid w:val="000E2B13"/>
    <w:rsid w:val="000E2CD2"/>
    <w:rsid w:val="000E2E09"/>
    <w:rsid w:val="000E348C"/>
    <w:rsid w:val="000E37BD"/>
    <w:rsid w:val="000E3E87"/>
    <w:rsid w:val="000E42E5"/>
    <w:rsid w:val="000E470D"/>
    <w:rsid w:val="000E4CD9"/>
    <w:rsid w:val="000E5821"/>
    <w:rsid w:val="000E606F"/>
    <w:rsid w:val="000E651D"/>
    <w:rsid w:val="000E66C6"/>
    <w:rsid w:val="000E6719"/>
    <w:rsid w:val="000E6A70"/>
    <w:rsid w:val="000E7F72"/>
    <w:rsid w:val="000F019B"/>
    <w:rsid w:val="000F140F"/>
    <w:rsid w:val="000F1BA1"/>
    <w:rsid w:val="000F1CE2"/>
    <w:rsid w:val="000F3177"/>
    <w:rsid w:val="000F365E"/>
    <w:rsid w:val="000F3758"/>
    <w:rsid w:val="000F39BC"/>
    <w:rsid w:val="000F453F"/>
    <w:rsid w:val="000F5537"/>
    <w:rsid w:val="000F6631"/>
    <w:rsid w:val="00100B21"/>
    <w:rsid w:val="0010198F"/>
    <w:rsid w:val="00102078"/>
    <w:rsid w:val="00102127"/>
    <w:rsid w:val="0010214F"/>
    <w:rsid w:val="00102347"/>
    <w:rsid w:val="00103876"/>
    <w:rsid w:val="00103D6C"/>
    <w:rsid w:val="001043DE"/>
    <w:rsid w:val="001044E0"/>
    <w:rsid w:val="00104E76"/>
    <w:rsid w:val="00106F54"/>
    <w:rsid w:val="0010787C"/>
    <w:rsid w:val="00110881"/>
    <w:rsid w:val="00110F98"/>
    <w:rsid w:val="0011102E"/>
    <w:rsid w:val="0011161E"/>
    <w:rsid w:val="0011172E"/>
    <w:rsid w:val="00111E48"/>
    <w:rsid w:val="00113100"/>
    <w:rsid w:val="0011314E"/>
    <w:rsid w:val="00113440"/>
    <w:rsid w:val="001140A6"/>
    <w:rsid w:val="00114286"/>
    <w:rsid w:val="001156F4"/>
    <w:rsid w:val="001160FF"/>
    <w:rsid w:val="0011679A"/>
    <w:rsid w:val="001170EB"/>
    <w:rsid w:val="00117290"/>
    <w:rsid w:val="00121946"/>
    <w:rsid w:val="00121B18"/>
    <w:rsid w:val="00122CA1"/>
    <w:rsid w:val="00122CAC"/>
    <w:rsid w:val="00122F4E"/>
    <w:rsid w:val="00123222"/>
    <w:rsid w:val="00123414"/>
    <w:rsid w:val="00123BF5"/>
    <w:rsid w:val="00124F75"/>
    <w:rsid w:val="0012560F"/>
    <w:rsid w:val="00126BC4"/>
    <w:rsid w:val="00126D00"/>
    <w:rsid w:val="001310DB"/>
    <w:rsid w:val="00131C44"/>
    <w:rsid w:val="00131CF4"/>
    <w:rsid w:val="00131F04"/>
    <w:rsid w:val="0013255C"/>
    <w:rsid w:val="0013277F"/>
    <w:rsid w:val="00132CC7"/>
    <w:rsid w:val="00133419"/>
    <w:rsid w:val="00133864"/>
    <w:rsid w:val="0013414A"/>
    <w:rsid w:val="00134191"/>
    <w:rsid w:val="00134204"/>
    <w:rsid w:val="0013449F"/>
    <w:rsid w:val="00135438"/>
    <w:rsid w:val="001363F5"/>
    <w:rsid w:val="0013691F"/>
    <w:rsid w:val="00136C48"/>
    <w:rsid w:val="00136E28"/>
    <w:rsid w:val="00137246"/>
    <w:rsid w:val="0013740B"/>
    <w:rsid w:val="00137EF4"/>
    <w:rsid w:val="001400F3"/>
    <w:rsid w:val="0014071B"/>
    <w:rsid w:val="00141608"/>
    <w:rsid w:val="00141B2F"/>
    <w:rsid w:val="00141D11"/>
    <w:rsid w:val="00142155"/>
    <w:rsid w:val="001421A6"/>
    <w:rsid w:val="00142481"/>
    <w:rsid w:val="001443A5"/>
    <w:rsid w:val="0014500F"/>
    <w:rsid w:val="001450A5"/>
    <w:rsid w:val="00145321"/>
    <w:rsid w:val="001453A3"/>
    <w:rsid w:val="0014540A"/>
    <w:rsid w:val="00145C33"/>
    <w:rsid w:val="00146245"/>
    <w:rsid w:val="00146381"/>
    <w:rsid w:val="001463F0"/>
    <w:rsid w:val="0014660D"/>
    <w:rsid w:val="0014669C"/>
    <w:rsid w:val="00146B3F"/>
    <w:rsid w:val="00146D49"/>
    <w:rsid w:val="00147C6A"/>
    <w:rsid w:val="0015076B"/>
    <w:rsid w:val="001509A9"/>
    <w:rsid w:val="001510F9"/>
    <w:rsid w:val="00151709"/>
    <w:rsid w:val="00151B35"/>
    <w:rsid w:val="001520FA"/>
    <w:rsid w:val="00152202"/>
    <w:rsid w:val="00152824"/>
    <w:rsid w:val="00152ECB"/>
    <w:rsid w:val="00153593"/>
    <w:rsid w:val="001538DB"/>
    <w:rsid w:val="00153D47"/>
    <w:rsid w:val="0015449B"/>
    <w:rsid w:val="001544DD"/>
    <w:rsid w:val="001568C2"/>
    <w:rsid w:val="00156A5A"/>
    <w:rsid w:val="001571C9"/>
    <w:rsid w:val="00157E82"/>
    <w:rsid w:val="0016039E"/>
    <w:rsid w:val="00160DC4"/>
    <w:rsid w:val="001620B3"/>
    <w:rsid w:val="001621AD"/>
    <w:rsid w:val="001639A0"/>
    <w:rsid w:val="0016552E"/>
    <w:rsid w:val="001661B3"/>
    <w:rsid w:val="001667B4"/>
    <w:rsid w:val="00166A85"/>
    <w:rsid w:val="001671F7"/>
    <w:rsid w:val="001676F6"/>
    <w:rsid w:val="001716C4"/>
    <w:rsid w:val="00171A0A"/>
    <w:rsid w:val="0017241A"/>
    <w:rsid w:val="00173453"/>
    <w:rsid w:val="0017420C"/>
    <w:rsid w:val="00174FDF"/>
    <w:rsid w:val="001756A3"/>
    <w:rsid w:val="00176457"/>
    <w:rsid w:val="0017669E"/>
    <w:rsid w:val="00176B14"/>
    <w:rsid w:val="00176BCE"/>
    <w:rsid w:val="00176D1A"/>
    <w:rsid w:val="001777F4"/>
    <w:rsid w:val="00177E97"/>
    <w:rsid w:val="00180401"/>
    <w:rsid w:val="00180911"/>
    <w:rsid w:val="00180CD3"/>
    <w:rsid w:val="001813AC"/>
    <w:rsid w:val="00183116"/>
    <w:rsid w:val="001832DB"/>
    <w:rsid w:val="001833C6"/>
    <w:rsid w:val="00183B30"/>
    <w:rsid w:val="00183CA9"/>
    <w:rsid w:val="0018405C"/>
    <w:rsid w:val="001840EA"/>
    <w:rsid w:val="00184324"/>
    <w:rsid w:val="001859EB"/>
    <w:rsid w:val="00185CB7"/>
    <w:rsid w:val="00185E66"/>
    <w:rsid w:val="001874F6"/>
    <w:rsid w:val="00187D77"/>
    <w:rsid w:val="001904BF"/>
    <w:rsid w:val="00190511"/>
    <w:rsid w:val="00190AB8"/>
    <w:rsid w:val="00190ADE"/>
    <w:rsid w:val="00190B63"/>
    <w:rsid w:val="00190D22"/>
    <w:rsid w:val="001910B3"/>
    <w:rsid w:val="00191152"/>
    <w:rsid w:val="00191360"/>
    <w:rsid w:val="00191B57"/>
    <w:rsid w:val="00192A0A"/>
    <w:rsid w:val="001933BA"/>
    <w:rsid w:val="00194CD2"/>
    <w:rsid w:val="00196980"/>
    <w:rsid w:val="00197665"/>
    <w:rsid w:val="001A00C6"/>
    <w:rsid w:val="001A0125"/>
    <w:rsid w:val="001A062E"/>
    <w:rsid w:val="001A0890"/>
    <w:rsid w:val="001A116C"/>
    <w:rsid w:val="001A15C9"/>
    <w:rsid w:val="001A2113"/>
    <w:rsid w:val="001A235A"/>
    <w:rsid w:val="001A25BD"/>
    <w:rsid w:val="001A27AD"/>
    <w:rsid w:val="001A2921"/>
    <w:rsid w:val="001A2B82"/>
    <w:rsid w:val="001A31D6"/>
    <w:rsid w:val="001A3DDE"/>
    <w:rsid w:val="001A4AB7"/>
    <w:rsid w:val="001A4D27"/>
    <w:rsid w:val="001A4FD3"/>
    <w:rsid w:val="001A5364"/>
    <w:rsid w:val="001A587E"/>
    <w:rsid w:val="001A73A3"/>
    <w:rsid w:val="001A745A"/>
    <w:rsid w:val="001A751D"/>
    <w:rsid w:val="001A77A1"/>
    <w:rsid w:val="001A7941"/>
    <w:rsid w:val="001B0997"/>
    <w:rsid w:val="001B0F3E"/>
    <w:rsid w:val="001B14F1"/>
    <w:rsid w:val="001B2801"/>
    <w:rsid w:val="001B2A2A"/>
    <w:rsid w:val="001B3814"/>
    <w:rsid w:val="001B3D63"/>
    <w:rsid w:val="001B3F20"/>
    <w:rsid w:val="001B4168"/>
    <w:rsid w:val="001B6137"/>
    <w:rsid w:val="001B680B"/>
    <w:rsid w:val="001B71FF"/>
    <w:rsid w:val="001B750D"/>
    <w:rsid w:val="001B7649"/>
    <w:rsid w:val="001B7908"/>
    <w:rsid w:val="001C02E0"/>
    <w:rsid w:val="001C093B"/>
    <w:rsid w:val="001C0C2C"/>
    <w:rsid w:val="001C16FF"/>
    <w:rsid w:val="001C2D2D"/>
    <w:rsid w:val="001C3036"/>
    <w:rsid w:val="001C31F8"/>
    <w:rsid w:val="001C48B6"/>
    <w:rsid w:val="001C49B9"/>
    <w:rsid w:val="001C4AB2"/>
    <w:rsid w:val="001C4CDF"/>
    <w:rsid w:val="001C4FE6"/>
    <w:rsid w:val="001C52FA"/>
    <w:rsid w:val="001C6447"/>
    <w:rsid w:val="001C6C10"/>
    <w:rsid w:val="001C6C78"/>
    <w:rsid w:val="001C6E23"/>
    <w:rsid w:val="001C7177"/>
    <w:rsid w:val="001C793D"/>
    <w:rsid w:val="001C79EC"/>
    <w:rsid w:val="001C7E40"/>
    <w:rsid w:val="001D0394"/>
    <w:rsid w:val="001D06D4"/>
    <w:rsid w:val="001D1730"/>
    <w:rsid w:val="001D1999"/>
    <w:rsid w:val="001D2353"/>
    <w:rsid w:val="001D402C"/>
    <w:rsid w:val="001D494B"/>
    <w:rsid w:val="001D49E7"/>
    <w:rsid w:val="001D57B3"/>
    <w:rsid w:val="001D5E70"/>
    <w:rsid w:val="001D620E"/>
    <w:rsid w:val="001D6C3C"/>
    <w:rsid w:val="001D6FB1"/>
    <w:rsid w:val="001D7B14"/>
    <w:rsid w:val="001D7DD2"/>
    <w:rsid w:val="001E027A"/>
    <w:rsid w:val="001E0596"/>
    <w:rsid w:val="001E1152"/>
    <w:rsid w:val="001E16C9"/>
    <w:rsid w:val="001E1C4B"/>
    <w:rsid w:val="001E1FF9"/>
    <w:rsid w:val="001E27FC"/>
    <w:rsid w:val="001E30E4"/>
    <w:rsid w:val="001E3E0E"/>
    <w:rsid w:val="001E3F90"/>
    <w:rsid w:val="001E4B35"/>
    <w:rsid w:val="001E551F"/>
    <w:rsid w:val="001E611A"/>
    <w:rsid w:val="001E709C"/>
    <w:rsid w:val="001E7B29"/>
    <w:rsid w:val="001E7BD0"/>
    <w:rsid w:val="001F053A"/>
    <w:rsid w:val="001F0693"/>
    <w:rsid w:val="001F0994"/>
    <w:rsid w:val="001F0C98"/>
    <w:rsid w:val="001F0CF8"/>
    <w:rsid w:val="001F0F35"/>
    <w:rsid w:val="001F1819"/>
    <w:rsid w:val="001F204C"/>
    <w:rsid w:val="001F2315"/>
    <w:rsid w:val="001F24BC"/>
    <w:rsid w:val="001F24CF"/>
    <w:rsid w:val="001F3632"/>
    <w:rsid w:val="001F3A06"/>
    <w:rsid w:val="001F3D0A"/>
    <w:rsid w:val="001F3D80"/>
    <w:rsid w:val="001F3F05"/>
    <w:rsid w:val="001F4451"/>
    <w:rsid w:val="001F4AE4"/>
    <w:rsid w:val="001F4D18"/>
    <w:rsid w:val="001F4E9C"/>
    <w:rsid w:val="001F6172"/>
    <w:rsid w:val="001F624B"/>
    <w:rsid w:val="001F71AE"/>
    <w:rsid w:val="00200C8C"/>
    <w:rsid w:val="00200E1B"/>
    <w:rsid w:val="00201228"/>
    <w:rsid w:val="0020253A"/>
    <w:rsid w:val="00202645"/>
    <w:rsid w:val="002046AC"/>
    <w:rsid w:val="0020488A"/>
    <w:rsid w:val="00204FB2"/>
    <w:rsid w:val="00205072"/>
    <w:rsid w:val="00205173"/>
    <w:rsid w:val="00205495"/>
    <w:rsid w:val="0020650F"/>
    <w:rsid w:val="002075E0"/>
    <w:rsid w:val="00207EAA"/>
    <w:rsid w:val="00211B0A"/>
    <w:rsid w:val="00211DBB"/>
    <w:rsid w:val="00212392"/>
    <w:rsid w:val="002125DA"/>
    <w:rsid w:val="00212B65"/>
    <w:rsid w:val="00213748"/>
    <w:rsid w:val="00213F30"/>
    <w:rsid w:val="0021481F"/>
    <w:rsid w:val="002150A9"/>
    <w:rsid w:val="002155FF"/>
    <w:rsid w:val="0021612F"/>
    <w:rsid w:val="00217C72"/>
    <w:rsid w:val="00217F73"/>
    <w:rsid w:val="00220E1B"/>
    <w:rsid w:val="00220E6F"/>
    <w:rsid w:val="00220EDA"/>
    <w:rsid w:val="00221C24"/>
    <w:rsid w:val="002221F3"/>
    <w:rsid w:val="002224EF"/>
    <w:rsid w:val="00222DA1"/>
    <w:rsid w:val="00222E64"/>
    <w:rsid w:val="00223A7F"/>
    <w:rsid w:val="00224BB8"/>
    <w:rsid w:val="00224C35"/>
    <w:rsid w:val="00224E83"/>
    <w:rsid w:val="002250FB"/>
    <w:rsid w:val="002253D8"/>
    <w:rsid w:val="00225D9D"/>
    <w:rsid w:val="002269E8"/>
    <w:rsid w:val="002271DC"/>
    <w:rsid w:val="00230352"/>
    <w:rsid w:val="00230454"/>
    <w:rsid w:val="00231AD3"/>
    <w:rsid w:val="00231D2B"/>
    <w:rsid w:val="00232293"/>
    <w:rsid w:val="00233B6C"/>
    <w:rsid w:val="0023421A"/>
    <w:rsid w:val="00234DD5"/>
    <w:rsid w:val="00234EE2"/>
    <w:rsid w:val="00236609"/>
    <w:rsid w:val="0023677D"/>
    <w:rsid w:val="0024008A"/>
    <w:rsid w:val="00240957"/>
    <w:rsid w:val="00240B08"/>
    <w:rsid w:val="00240CD1"/>
    <w:rsid w:val="002418F4"/>
    <w:rsid w:val="00242260"/>
    <w:rsid w:val="00242906"/>
    <w:rsid w:val="002434EC"/>
    <w:rsid w:val="00244088"/>
    <w:rsid w:val="0024420A"/>
    <w:rsid w:val="00244A36"/>
    <w:rsid w:val="00245E48"/>
    <w:rsid w:val="00246545"/>
    <w:rsid w:val="00246887"/>
    <w:rsid w:val="00246C21"/>
    <w:rsid w:val="002478DA"/>
    <w:rsid w:val="00250B5C"/>
    <w:rsid w:val="00253458"/>
    <w:rsid w:val="002538BC"/>
    <w:rsid w:val="00253EE7"/>
    <w:rsid w:val="00254211"/>
    <w:rsid w:val="00254B2F"/>
    <w:rsid w:val="00254C12"/>
    <w:rsid w:val="00255B84"/>
    <w:rsid w:val="002569E0"/>
    <w:rsid w:val="00256BBA"/>
    <w:rsid w:val="00256CFC"/>
    <w:rsid w:val="0025739D"/>
    <w:rsid w:val="002600AD"/>
    <w:rsid w:val="00260641"/>
    <w:rsid w:val="0026091E"/>
    <w:rsid w:val="00260A47"/>
    <w:rsid w:val="00261159"/>
    <w:rsid w:val="002611F7"/>
    <w:rsid w:val="00262431"/>
    <w:rsid w:val="00262647"/>
    <w:rsid w:val="00262C7E"/>
    <w:rsid w:val="0026330B"/>
    <w:rsid w:val="0026347F"/>
    <w:rsid w:val="00263F6B"/>
    <w:rsid w:val="00265328"/>
    <w:rsid w:val="00265BD0"/>
    <w:rsid w:val="00265D19"/>
    <w:rsid w:val="00265E15"/>
    <w:rsid w:val="00265ED0"/>
    <w:rsid w:val="002671D7"/>
    <w:rsid w:val="002673BD"/>
    <w:rsid w:val="002676BC"/>
    <w:rsid w:val="00267EE4"/>
    <w:rsid w:val="00270826"/>
    <w:rsid w:val="0027106F"/>
    <w:rsid w:val="002719E8"/>
    <w:rsid w:val="0027246B"/>
    <w:rsid w:val="00272DFF"/>
    <w:rsid w:val="00272E2C"/>
    <w:rsid w:val="00273F19"/>
    <w:rsid w:val="00273F37"/>
    <w:rsid w:val="00273FD4"/>
    <w:rsid w:val="002742DE"/>
    <w:rsid w:val="00274652"/>
    <w:rsid w:val="00274C7D"/>
    <w:rsid w:val="002752D7"/>
    <w:rsid w:val="002757D6"/>
    <w:rsid w:val="00276103"/>
    <w:rsid w:val="002774EB"/>
    <w:rsid w:val="002775C0"/>
    <w:rsid w:val="00277782"/>
    <w:rsid w:val="00277C16"/>
    <w:rsid w:val="002805DB"/>
    <w:rsid w:val="0028116B"/>
    <w:rsid w:val="00281E62"/>
    <w:rsid w:val="002823EC"/>
    <w:rsid w:val="00282716"/>
    <w:rsid w:val="00282B6E"/>
    <w:rsid w:val="00285AD8"/>
    <w:rsid w:val="00286378"/>
    <w:rsid w:val="002867C0"/>
    <w:rsid w:val="00286E08"/>
    <w:rsid w:val="002870C2"/>
    <w:rsid w:val="002873F9"/>
    <w:rsid w:val="00290262"/>
    <w:rsid w:val="002937F9"/>
    <w:rsid w:val="00293ADE"/>
    <w:rsid w:val="00293C1D"/>
    <w:rsid w:val="00293C63"/>
    <w:rsid w:val="00295315"/>
    <w:rsid w:val="002957A9"/>
    <w:rsid w:val="00295EFF"/>
    <w:rsid w:val="00296435"/>
    <w:rsid w:val="0029646C"/>
    <w:rsid w:val="00296E69"/>
    <w:rsid w:val="002978C0"/>
    <w:rsid w:val="00297E69"/>
    <w:rsid w:val="002A12FE"/>
    <w:rsid w:val="002A2013"/>
    <w:rsid w:val="002A3383"/>
    <w:rsid w:val="002A5213"/>
    <w:rsid w:val="002A54A7"/>
    <w:rsid w:val="002A57A4"/>
    <w:rsid w:val="002A6276"/>
    <w:rsid w:val="002A70A9"/>
    <w:rsid w:val="002B04B9"/>
    <w:rsid w:val="002B064B"/>
    <w:rsid w:val="002B0C08"/>
    <w:rsid w:val="002B1C9B"/>
    <w:rsid w:val="002B222B"/>
    <w:rsid w:val="002B2271"/>
    <w:rsid w:val="002B2A9A"/>
    <w:rsid w:val="002B3883"/>
    <w:rsid w:val="002B3F7E"/>
    <w:rsid w:val="002B44F9"/>
    <w:rsid w:val="002B4A01"/>
    <w:rsid w:val="002B689D"/>
    <w:rsid w:val="002B6F8C"/>
    <w:rsid w:val="002B769B"/>
    <w:rsid w:val="002B7958"/>
    <w:rsid w:val="002C01A2"/>
    <w:rsid w:val="002C0290"/>
    <w:rsid w:val="002C02B8"/>
    <w:rsid w:val="002C0E89"/>
    <w:rsid w:val="002C1AEB"/>
    <w:rsid w:val="002C1E85"/>
    <w:rsid w:val="002C326F"/>
    <w:rsid w:val="002C32C2"/>
    <w:rsid w:val="002C370F"/>
    <w:rsid w:val="002C42F1"/>
    <w:rsid w:val="002C491C"/>
    <w:rsid w:val="002C4E5F"/>
    <w:rsid w:val="002C51BD"/>
    <w:rsid w:val="002C77BC"/>
    <w:rsid w:val="002C79E4"/>
    <w:rsid w:val="002C7D23"/>
    <w:rsid w:val="002C7F8D"/>
    <w:rsid w:val="002D022E"/>
    <w:rsid w:val="002D0A1D"/>
    <w:rsid w:val="002D0D52"/>
    <w:rsid w:val="002D0D64"/>
    <w:rsid w:val="002D1C7B"/>
    <w:rsid w:val="002D1F63"/>
    <w:rsid w:val="002D2353"/>
    <w:rsid w:val="002D2B2D"/>
    <w:rsid w:val="002D35D3"/>
    <w:rsid w:val="002D4A1D"/>
    <w:rsid w:val="002D5525"/>
    <w:rsid w:val="002D5D14"/>
    <w:rsid w:val="002D60BF"/>
    <w:rsid w:val="002D613C"/>
    <w:rsid w:val="002D658C"/>
    <w:rsid w:val="002D6743"/>
    <w:rsid w:val="002D6ACF"/>
    <w:rsid w:val="002D72ED"/>
    <w:rsid w:val="002D7454"/>
    <w:rsid w:val="002D7727"/>
    <w:rsid w:val="002E0393"/>
    <w:rsid w:val="002E0A65"/>
    <w:rsid w:val="002E2B95"/>
    <w:rsid w:val="002E2C2B"/>
    <w:rsid w:val="002E32A4"/>
    <w:rsid w:val="002E39FE"/>
    <w:rsid w:val="002E4402"/>
    <w:rsid w:val="002E47B1"/>
    <w:rsid w:val="002E73A9"/>
    <w:rsid w:val="002E75E9"/>
    <w:rsid w:val="002F05DB"/>
    <w:rsid w:val="002F1088"/>
    <w:rsid w:val="002F11AE"/>
    <w:rsid w:val="002F149C"/>
    <w:rsid w:val="002F17A4"/>
    <w:rsid w:val="002F2110"/>
    <w:rsid w:val="002F2731"/>
    <w:rsid w:val="002F2866"/>
    <w:rsid w:val="002F286A"/>
    <w:rsid w:val="002F2B59"/>
    <w:rsid w:val="002F4EAB"/>
    <w:rsid w:val="002F6A52"/>
    <w:rsid w:val="002F7F66"/>
    <w:rsid w:val="002F7FB4"/>
    <w:rsid w:val="00300B2C"/>
    <w:rsid w:val="00300F80"/>
    <w:rsid w:val="00301867"/>
    <w:rsid w:val="00302231"/>
    <w:rsid w:val="00302912"/>
    <w:rsid w:val="00302D1D"/>
    <w:rsid w:val="00303666"/>
    <w:rsid w:val="003037B2"/>
    <w:rsid w:val="00303E6B"/>
    <w:rsid w:val="003042DB"/>
    <w:rsid w:val="00304B66"/>
    <w:rsid w:val="00304F86"/>
    <w:rsid w:val="00304FEB"/>
    <w:rsid w:val="00305F6E"/>
    <w:rsid w:val="0030627F"/>
    <w:rsid w:val="00307011"/>
    <w:rsid w:val="0030758B"/>
    <w:rsid w:val="00307C73"/>
    <w:rsid w:val="00307DD0"/>
    <w:rsid w:val="00307E16"/>
    <w:rsid w:val="0031023E"/>
    <w:rsid w:val="00310F59"/>
    <w:rsid w:val="00311083"/>
    <w:rsid w:val="003113F4"/>
    <w:rsid w:val="003120CA"/>
    <w:rsid w:val="00312829"/>
    <w:rsid w:val="00312A36"/>
    <w:rsid w:val="00312BF2"/>
    <w:rsid w:val="00312ED7"/>
    <w:rsid w:val="00315E0D"/>
    <w:rsid w:val="00316A3A"/>
    <w:rsid w:val="00317847"/>
    <w:rsid w:val="003208B1"/>
    <w:rsid w:val="003214C3"/>
    <w:rsid w:val="003229AA"/>
    <w:rsid w:val="00323469"/>
    <w:rsid w:val="00323901"/>
    <w:rsid w:val="00323ACA"/>
    <w:rsid w:val="00323AD4"/>
    <w:rsid w:val="00323E61"/>
    <w:rsid w:val="00324250"/>
    <w:rsid w:val="003242D2"/>
    <w:rsid w:val="0032530C"/>
    <w:rsid w:val="00325C10"/>
    <w:rsid w:val="00326279"/>
    <w:rsid w:val="003269CD"/>
    <w:rsid w:val="003273C6"/>
    <w:rsid w:val="00327AAB"/>
    <w:rsid w:val="003303E3"/>
    <w:rsid w:val="00330BE7"/>
    <w:rsid w:val="00330E64"/>
    <w:rsid w:val="0033106A"/>
    <w:rsid w:val="003313D8"/>
    <w:rsid w:val="0033197F"/>
    <w:rsid w:val="00331B6C"/>
    <w:rsid w:val="00332237"/>
    <w:rsid w:val="0033233A"/>
    <w:rsid w:val="00332345"/>
    <w:rsid w:val="003326BF"/>
    <w:rsid w:val="003328BD"/>
    <w:rsid w:val="00332BD3"/>
    <w:rsid w:val="00332DC5"/>
    <w:rsid w:val="00332EAB"/>
    <w:rsid w:val="003332AF"/>
    <w:rsid w:val="00334FA7"/>
    <w:rsid w:val="003357C9"/>
    <w:rsid w:val="00336635"/>
    <w:rsid w:val="00336768"/>
    <w:rsid w:val="00336840"/>
    <w:rsid w:val="00336BE3"/>
    <w:rsid w:val="00336E26"/>
    <w:rsid w:val="003375A7"/>
    <w:rsid w:val="00337936"/>
    <w:rsid w:val="00337F40"/>
    <w:rsid w:val="0034080D"/>
    <w:rsid w:val="0034081A"/>
    <w:rsid w:val="003412DC"/>
    <w:rsid w:val="00341C8C"/>
    <w:rsid w:val="0034242F"/>
    <w:rsid w:val="003425C9"/>
    <w:rsid w:val="003430FE"/>
    <w:rsid w:val="00343A1B"/>
    <w:rsid w:val="00343EA6"/>
    <w:rsid w:val="003442D0"/>
    <w:rsid w:val="003442D9"/>
    <w:rsid w:val="003443F3"/>
    <w:rsid w:val="0034523B"/>
    <w:rsid w:val="00345DCF"/>
    <w:rsid w:val="003460A9"/>
    <w:rsid w:val="003462DF"/>
    <w:rsid w:val="00346301"/>
    <w:rsid w:val="00346837"/>
    <w:rsid w:val="00347380"/>
    <w:rsid w:val="00347ABE"/>
    <w:rsid w:val="003510F3"/>
    <w:rsid w:val="00351569"/>
    <w:rsid w:val="00351600"/>
    <w:rsid w:val="003517D4"/>
    <w:rsid w:val="00351D39"/>
    <w:rsid w:val="00352521"/>
    <w:rsid w:val="003526D3"/>
    <w:rsid w:val="00352B36"/>
    <w:rsid w:val="003537F7"/>
    <w:rsid w:val="00354129"/>
    <w:rsid w:val="003546BB"/>
    <w:rsid w:val="00354742"/>
    <w:rsid w:val="0035603C"/>
    <w:rsid w:val="0035612E"/>
    <w:rsid w:val="0035614F"/>
    <w:rsid w:val="003567D5"/>
    <w:rsid w:val="00356CB9"/>
    <w:rsid w:val="003570F6"/>
    <w:rsid w:val="0035732A"/>
    <w:rsid w:val="00357721"/>
    <w:rsid w:val="0036038A"/>
    <w:rsid w:val="003608A1"/>
    <w:rsid w:val="003609BB"/>
    <w:rsid w:val="00361395"/>
    <w:rsid w:val="003628A5"/>
    <w:rsid w:val="00362C8E"/>
    <w:rsid w:val="0036371B"/>
    <w:rsid w:val="00363C3E"/>
    <w:rsid w:val="0036444E"/>
    <w:rsid w:val="00364789"/>
    <w:rsid w:val="0036491C"/>
    <w:rsid w:val="0036497C"/>
    <w:rsid w:val="00364ACB"/>
    <w:rsid w:val="00364DB8"/>
    <w:rsid w:val="00365485"/>
    <w:rsid w:val="00365707"/>
    <w:rsid w:val="00366209"/>
    <w:rsid w:val="00366637"/>
    <w:rsid w:val="003670A6"/>
    <w:rsid w:val="00371156"/>
    <w:rsid w:val="003722D5"/>
    <w:rsid w:val="00373789"/>
    <w:rsid w:val="00374DBE"/>
    <w:rsid w:val="00375793"/>
    <w:rsid w:val="00376CB7"/>
    <w:rsid w:val="00377872"/>
    <w:rsid w:val="00377BD8"/>
    <w:rsid w:val="00377C91"/>
    <w:rsid w:val="00377F77"/>
    <w:rsid w:val="00380759"/>
    <w:rsid w:val="003811E6"/>
    <w:rsid w:val="003816C4"/>
    <w:rsid w:val="00381A34"/>
    <w:rsid w:val="00381AF2"/>
    <w:rsid w:val="00381C0C"/>
    <w:rsid w:val="003823D6"/>
    <w:rsid w:val="00384442"/>
    <w:rsid w:val="00384B57"/>
    <w:rsid w:val="00384E04"/>
    <w:rsid w:val="00384F3C"/>
    <w:rsid w:val="00384F7B"/>
    <w:rsid w:val="00385283"/>
    <w:rsid w:val="003857E3"/>
    <w:rsid w:val="0038595B"/>
    <w:rsid w:val="00385A67"/>
    <w:rsid w:val="00386394"/>
    <w:rsid w:val="00386E5C"/>
    <w:rsid w:val="0038715C"/>
    <w:rsid w:val="003879DD"/>
    <w:rsid w:val="003903ED"/>
    <w:rsid w:val="00390E65"/>
    <w:rsid w:val="003919F6"/>
    <w:rsid w:val="00392167"/>
    <w:rsid w:val="00392CCF"/>
    <w:rsid w:val="00393246"/>
    <w:rsid w:val="00393A96"/>
    <w:rsid w:val="00393F9A"/>
    <w:rsid w:val="00394145"/>
    <w:rsid w:val="003951FC"/>
    <w:rsid w:val="003956E1"/>
    <w:rsid w:val="00395FAC"/>
    <w:rsid w:val="0039669D"/>
    <w:rsid w:val="00396732"/>
    <w:rsid w:val="003970B4"/>
    <w:rsid w:val="00397E58"/>
    <w:rsid w:val="003A05E7"/>
    <w:rsid w:val="003A0983"/>
    <w:rsid w:val="003A0C0D"/>
    <w:rsid w:val="003A0FBC"/>
    <w:rsid w:val="003A1B12"/>
    <w:rsid w:val="003A2193"/>
    <w:rsid w:val="003A271A"/>
    <w:rsid w:val="003A2945"/>
    <w:rsid w:val="003A3291"/>
    <w:rsid w:val="003A358A"/>
    <w:rsid w:val="003A3701"/>
    <w:rsid w:val="003A3951"/>
    <w:rsid w:val="003A429F"/>
    <w:rsid w:val="003A49CB"/>
    <w:rsid w:val="003A4C15"/>
    <w:rsid w:val="003A62A9"/>
    <w:rsid w:val="003A68DC"/>
    <w:rsid w:val="003A782E"/>
    <w:rsid w:val="003A7BC9"/>
    <w:rsid w:val="003A7E27"/>
    <w:rsid w:val="003A7ED2"/>
    <w:rsid w:val="003B03A5"/>
    <w:rsid w:val="003B0A46"/>
    <w:rsid w:val="003B2846"/>
    <w:rsid w:val="003B29A0"/>
    <w:rsid w:val="003B2D72"/>
    <w:rsid w:val="003B3937"/>
    <w:rsid w:val="003B4FB5"/>
    <w:rsid w:val="003B55ED"/>
    <w:rsid w:val="003B5839"/>
    <w:rsid w:val="003B6381"/>
    <w:rsid w:val="003B779B"/>
    <w:rsid w:val="003B78F8"/>
    <w:rsid w:val="003C1016"/>
    <w:rsid w:val="003C1885"/>
    <w:rsid w:val="003C1C66"/>
    <w:rsid w:val="003C2786"/>
    <w:rsid w:val="003C2992"/>
    <w:rsid w:val="003C41F2"/>
    <w:rsid w:val="003C459D"/>
    <w:rsid w:val="003C4C74"/>
    <w:rsid w:val="003C4EB9"/>
    <w:rsid w:val="003C4F2F"/>
    <w:rsid w:val="003C5616"/>
    <w:rsid w:val="003C563A"/>
    <w:rsid w:val="003C69A2"/>
    <w:rsid w:val="003C6D45"/>
    <w:rsid w:val="003C700C"/>
    <w:rsid w:val="003C7100"/>
    <w:rsid w:val="003D0423"/>
    <w:rsid w:val="003D05E2"/>
    <w:rsid w:val="003D0A16"/>
    <w:rsid w:val="003D0E46"/>
    <w:rsid w:val="003D0F09"/>
    <w:rsid w:val="003D1F25"/>
    <w:rsid w:val="003D20DD"/>
    <w:rsid w:val="003D2BA2"/>
    <w:rsid w:val="003D321D"/>
    <w:rsid w:val="003D38AA"/>
    <w:rsid w:val="003D3A4D"/>
    <w:rsid w:val="003D4AFD"/>
    <w:rsid w:val="003D54C9"/>
    <w:rsid w:val="003D5B35"/>
    <w:rsid w:val="003D5B9A"/>
    <w:rsid w:val="003D60CF"/>
    <w:rsid w:val="003D61EE"/>
    <w:rsid w:val="003D73DC"/>
    <w:rsid w:val="003E1397"/>
    <w:rsid w:val="003E13EC"/>
    <w:rsid w:val="003E1B86"/>
    <w:rsid w:val="003E1BA4"/>
    <w:rsid w:val="003E2622"/>
    <w:rsid w:val="003E2852"/>
    <w:rsid w:val="003E28B7"/>
    <w:rsid w:val="003E2C62"/>
    <w:rsid w:val="003E32C7"/>
    <w:rsid w:val="003E3911"/>
    <w:rsid w:val="003E4512"/>
    <w:rsid w:val="003E5475"/>
    <w:rsid w:val="003E5662"/>
    <w:rsid w:val="003E6251"/>
    <w:rsid w:val="003E644D"/>
    <w:rsid w:val="003E64C5"/>
    <w:rsid w:val="003E65A7"/>
    <w:rsid w:val="003E6743"/>
    <w:rsid w:val="003E6F4C"/>
    <w:rsid w:val="003E7093"/>
    <w:rsid w:val="003E7627"/>
    <w:rsid w:val="003E7D5E"/>
    <w:rsid w:val="003F034A"/>
    <w:rsid w:val="003F0804"/>
    <w:rsid w:val="003F091D"/>
    <w:rsid w:val="003F1328"/>
    <w:rsid w:val="003F17C2"/>
    <w:rsid w:val="003F18D4"/>
    <w:rsid w:val="003F1A97"/>
    <w:rsid w:val="003F1AF9"/>
    <w:rsid w:val="003F25FB"/>
    <w:rsid w:val="003F30F7"/>
    <w:rsid w:val="003F3B79"/>
    <w:rsid w:val="003F46A6"/>
    <w:rsid w:val="003F54F7"/>
    <w:rsid w:val="003F60C9"/>
    <w:rsid w:val="003F77FE"/>
    <w:rsid w:val="004000AB"/>
    <w:rsid w:val="00400A42"/>
    <w:rsid w:val="0040181F"/>
    <w:rsid w:val="00402E52"/>
    <w:rsid w:val="00402E60"/>
    <w:rsid w:val="0040318C"/>
    <w:rsid w:val="00403373"/>
    <w:rsid w:val="00403AE4"/>
    <w:rsid w:val="00404B5A"/>
    <w:rsid w:val="00404E8F"/>
    <w:rsid w:val="0040581C"/>
    <w:rsid w:val="00406449"/>
    <w:rsid w:val="00406A94"/>
    <w:rsid w:val="00406B69"/>
    <w:rsid w:val="004070A9"/>
    <w:rsid w:val="00407103"/>
    <w:rsid w:val="004072CA"/>
    <w:rsid w:val="00407902"/>
    <w:rsid w:val="00407C0C"/>
    <w:rsid w:val="00411455"/>
    <w:rsid w:val="00411EEA"/>
    <w:rsid w:val="004120B2"/>
    <w:rsid w:val="00412A9A"/>
    <w:rsid w:val="00412C3E"/>
    <w:rsid w:val="00412D84"/>
    <w:rsid w:val="00413068"/>
    <w:rsid w:val="00414188"/>
    <w:rsid w:val="0041434B"/>
    <w:rsid w:val="004143CB"/>
    <w:rsid w:val="00414DC3"/>
    <w:rsid w:val="00414E5F"/>
    <w:rsid w:val="00414EF2"/>
    <w:rsid w:val="00414F0B"/>
    <w:rsid w:val="004150E5"/>
    <w:rsid w:val="00415C87"/>
    <w:rsid w:val="004165B8"/>
    <w:rsid w:val="00416A06"/>
    <w:rsid w:val="00416CA3"/>
    <w:rsid w:val="00416FCA"/>
    <w:rsid w:val="0041730E"/>
    <w:rsid w:val="00417E99"/>
    <w:rsid w:val="004202EA"/>
    <w:rsid w:val="004207D7"/>
    <w:rsid w:val="00420932"/>
    <w:rsid w:val="00420E93"/>
    <w:rsid w:val="00420F3E"/>
    <w:rsid w:val="00421834"/>
    <w:rsid w:val="00421EE0"/>
    <w:rsid w:val="00422AAB"/>
    <w:rsid w:val="00422C19"/>
    <w:rsid w:val="00422D47"/>
    <w:rsid w:val="0042329B"/>
    <w:rsid w:val="004232FA"/>
    <w:rsid w:val="004233B8"/>
    <w:rsid w:val="00423C0A"/>
    <w:rsid w:val="00423EDF"/>
    <w:rsid w:val="0042418B"/>
    <w:rsid w:val="00424431"/>
    <w:rsid w:val="004248A1"/>
    <w:rsid w:val="0042496B"/>
    <w:rsid w:val="00425581"/>
    <w:rsid w:val="00425C1F"/>
    <w:rsid w:val="00426864"/>
    <w:rsid w:val="00427249"/>
    <w:rsid w:val="0042760F"/>
    <w:rsid w:val="00430AFB"/>
    <w:rsid w:val="00431F25"/>
    <w:rsid w:val="00434422"/>
    <w:rsid w:val="004348F0"/>
    <w:rsid w:val="00434F32"/>
    <w:rsid w:val="00436FAB"/>
    <w:rsid w:val="0043725F"/>
    <w:rsid w:val="0044095E"/>
    <w:rsid w:val="00440DE0"/>
    <w:rsid w:val="00441257"/>
    <w:rsid w:val="0044188B"/>
    <w:rsid w:val="00441ABE"/>
    <w:rsid w:val="00442444"/>
    <w:rsid w:val="00442A5E"/>
    <w:rsid w:val="00442E89"/>
    <w:rsid w:val="00443895"/>
    <w:rsid w:val="00443CAE"/>
    <w:rsid w:val="00444028"/>
    <w:rsid w:val="0044467C"/>
    <w:rsid w:val="00445007"/>
    <w:rsid w:val="00445288"/>
    <w:rsid w:val="004452C5"/>
    <w:rsid w:val="004454CF"/>
    <w:rsid w:val="00446891"/>
    <w:rsid w:val="0044728E"/>
    <w:rsid w:val="004476A3"/>
    <w:rsid w:val="00447FB8"/>
    <w:rsid w:val="00447FF1"/>
    <w:rsid w:val="00450284"/>
    <w:rsid w:val="0045063A"/>
    <w:rsid w:val="00450978"/>
    <w:rsid w:val="004521C0"/>
    <w:rsid w:val="004532B5"/>
    <w:rsid w:val="004538AB"/>
    <w:rsid w:val="004539C8"/>
    <w:rsid w:val="00453ADE"/>
    <w:rsid w:val="004544EB"/>
    <w:rsid w:val="00454D0B"/>
    <w:rsid w:val="00454EB1"/>
    <w:rsid w:val="00456454"/>
    <w:rsid w:val="00456894"/>
    <w:rsid w:val="004570E6"/>
    <w:rsid w:val="00457204"/>
    <w:rsid w:val="00457869"/>
    <w:rsid w:val="004605C8"/>
    <w:rsid w:val="004624C0"/>
    <w:rsid w:val="004624F7"/>
    <w:rsid w:val="00462B63"/>
    <w:rsid w:val="00463C99"/>
    <w:rsid w:val="00465685"/>
    <w:rsid w:val="004656A7"/>
    <w:rsid w:val="00465EFB"/>
    <w:rsid w:val="00466CD6"/>
    <w:rsid w:val="004675FD"/>
    <w:rsid w:val="004676C5"/>
    <w:rsid w:val="00470BF2"/>
    <w:rsid w:val="00471210"/>
    <w:rsid w:val="00471344"/>
    <w:rsid w:val="00472199"/>
    <w:rsid w:val="0047221D"/>
    <w:rsid w:val="00472C39"/>
    <w:rsid w:val="004738AF"/>
    <w:rsid w:val="00474060"/>
    <w:rsid w:val="004742DF"/>
    <w:rsid w:val="00474497"/>
    <w:rsid w:val="00474F64"/>
    <w:rsid w:val="00475ECA"/>
    <w:rsid w:val="00476F0D"/>
    <w:rsid w:val="00477577"/>
    <w:rsid w:val="00477B83"/>
    <w:rsid w:val="00477E76"/>
    <w:rsid w:val="004801AC"/>
    <w:rsid w:val="00480412"/>
    <w:rsid w:val="0048083A"/>
    <w:rsid w:val="00480939"/>
    <w:rsid w:val="00480BB9"/>
    <w:rsid w:val="00480DC0"/>
    <w:rsid w:val="004813CA"/>
    <w:rsid w:val="004820C7"/>
    <w:rsid w:val="004825F7"/>
    <w:rsid w:val="0048262E"/>
    <w:rsid w:val="00482734"/>
    <w:rsid w:val="00482A5C"/>
    <w:rsid w:val="00482B0A"/>
    <w:rsid w:val="00483EDB"/>
    <w:rsid w:val="00484293"/>
    <w:rsid w:val="00484438"/>
    <w:rsid w:val="00484B27"/>
    <w:rsid w:val="0048529F"/>
    <w:rsid w:val="00485482"/>
    <w:rsid w:val="00485BCD"/>
    <w:rsid w:val="0048673E"/>
    <w:rsid w:val="004867E3"/>
    <w:rsid w:val="00486877"/>
    <w:rsid w:val="004872A4"/>
    <w:rsid w:val="00487759"/>
    <w:rsid w:val="00487A4B"/>
    <w:rsid w:val="00490926"/>
    <w:rsid w:val="00490966"/>
    <w:rsid w:val="00490B01"/>
    <w:rsid w:val="00490BA1"/>
    <w:rsid w:val="0049111E"/>
    <w:rsid w:val="004915E0"/>
    <w:rsid w:val="004919AD"/>
    <w:rsid w:val="004929DA"/>
    <w:rsid w:val="00492AF6"/>
    <w:rsid w:val="00492DDB"/>
    <w:rsid w:val="00493332"/>
    <w:rsid w:val="00493B61"/>
    <w:rsid w:val="004946E7"/>
    <w:rsid w:val="00494A3D"/>
    <w:rsid w:val="00495EBA"/>
    <w:rsid w:val="00495FD3"/>
    <w:rsid w:val="0049754E"/>
    <w:rsid w:val="00497C4A"/>
    <w:rsid w:val="00497D31"/>
    <w:rsid w:val="00497DA1"/>
    <w:rsid w:val="004A0476"/>
    <w:rsid w:val="004A0CB5"/>
    <w:rsid w:val="004A1A89"/>
    <w:rsid w:val="004A1DF3"/>
    <w:rsid w:val="004A1F39"/>
    <w:rsid w:val="004A2B58"/>
    <w:rsid w:val="004A38B1"/>
    <w:rsid w:val="004A473F"/>
    <w:rsid w:val="004A4CC3"/>
    <w:rsid w:val="004A520F"/>
    <w:rsid w:val="004A53ED"/>
    <w:rsid w:val="004A5986"/>
    <w:rsid w:val="004A5EC1"/>
    <w:rsid w:val="004B029C"/>
    <w:rsid w:val="004B07EF"/>
    <w:rsid w:val="004B088C"/>
    <w:rsid w:val="004B0996"/>
    <w:rsid w:val="004B0B01"/>
    <w:rsid w:val="004B0CFD"/>
    <w:rsid w:val="004B1CA9"/>
    <w:rsid w:val="004B1E60"/>
    <w:rsid w:val="004B2369"/>
    <w:rsid w:val="004B25B4"/>
    <w:rsid w:val="004B2CCC"/>
    <w:rsid w:val="004B3683"/>
    <w:rsid w:val="004B37A9"/>
    <w:rsid w:val="004B3CCA"/>
    <w:rsid w:val="004B3EEE"/>
    <w:rsid w:val="004B59B1"/>
    <w:rsid w:val="004B5BC1"/>
    <w:rsid w:val="004B5D10"/>
    <w:rsid w:val="004B66B6"/>
    <w:rsid w:val="004B69FC"/>
    <w:rsid w:val="004B6DD2"/>
    <w:rsid w:val="004B709E"/>
    <w:rsid w:val="004B717C"/>
    <w:rsid w:val="004B752C"/>
    <w:rsid w:val="004B7CA0"/>
    <w:rsid w:val="004C0190"/>
    <w:rsid w:val="004C0FF4"/>
    <w:rsid w:val="004C175B"/>
    <w:rsid w:val="004C1FFB"/>
    <w:rsid w:val="004C2119"/>
    <w:rsid w:val="004C2660"/>
    <w:rsid w:val="004C2E2C"/>
    <w:rsid w:val="004C2EDF"/>
    <w:rsid w:val="004C3A75"/>
    <w:rsid w:val="004C3B51"/>
    <w:rsid w:val="004C3EA5"/>
    <w:rsid w:val="004C3EC9"/>
    <w:rsid w:val="004C4155"/>
    <w:rsid w:val="004C58F9"/>
    <w:rsid w:val="004C66E2"/>
    <w:rsid w:val="004C6D83"/>
    <w:rsid w:val="004C72F3"/>
    <w:rsid w:val="004D067E"/>
    <w:rsid w:val="004D0D48"/>
    <w:rsid w:val="004D25B2"/>
    <w:rsid w:val="004D2CCB"/>
    <w:rsid w:val="004D3255"/>
    <w:rsid w:val="004D3927"/>
    <w:rsid w:val="004D3A2C"/>
    <w:rsid w:val="004D3B5F"/>
    <w:rsid w:val="004D43AE"/>
    <w:rsid w:val="004D448A"/>
    <w:rsid w:val="004D45DF"/>
    <w:rsid w:val="004D460F"/>
    <w:rsid w:val="004D49B5"/>
    <w:rsid w:val="004D4E19"/>
    <w:rsid w:val="004D5737"/>
    <w:rsid w:val="004D7093"/>
    <w:rsid w:val="004D7AF0"/>
    <w:rsid w:val="004E01BE"/>
    <w:rsid w:val="004E0232"/>
    <w:rsid w:val="004E06D0"/>
    <w:rsid w:val="004E100E"/>
    <w:rsid w:val="004E1500"/>
    <w:rsid w:val="004E1A38"/>
    <w:rsid w:val="004E1CEF"/>
    <w:rsid w:val="004E24F7"/>
    <w:rsid w:val="004E329F"/>
    <w:rsid w:val="004E3375"/>
    <w:rsid w:val="004E3516"/>
    <w:rsid w:val="004E3D9C"/>
    <w:rsid w:val="004E4E2B"/>
    <w:rsid w:val="004E4E41"/>
    <w:rsid w:val="004E5F3D"/>
    <w:rsid w:val="004E61DB"/>
    <w:rsid w:val="004E6672"/>
    <w:rsid w:val="004E6761"/>
    <w:rsid w:val="004E70BA"/>
    <w:rsid w:val="004E7649"/>
    <w:rsid w:val="004F0932"/>
    <w:rsid w:val="004F0A32"/>
    <w:rsid w:val="004F0C66"/>
    <w:rsid w:val="004F0D4F"/>
    <w:rsid w:val="004F1005"/>
    <w:rsid w:val="004F23F4"/>
    <w:rsid w:val="004F2D9D"/>
    <w:rsid w:val="004F318F"/>
    <w:rsid w:val="004F31E2"/>
    <w:rsid w:val="004F32B8"/>
    <w:rsid w:val="004F33B9"/>
    <w:rsid w:val="004F40D2"/>
    <w:rsid w:val="004F586F"/>
    <w:rsid w:val="004F5EB8"/>
    <w:rsid w:val="004F5FB0"/>
    <w:rsid w:val="004F6F63"/>
    <w:rsid w:val="004F75EB"/>
    <w:rsid w:val="00500293"/>
    <w:rsid w:val="00502755"/>
    <w:rsid w:val="00502B24"/>
    <w:rsid w:val="00502E97"/>
    <w:rsid w:val="0050341F"/>
    <w:rsid w:val="00503E84"/>
    <w:rsid w:val="00504AA0"/>
    <w:rsid w:val="00505144"/>
    <w:rsid w:val="00505282"/>
    <w:rsid w:val="00505580"/>
    <w:rsid w:val="00506619"/>
    <w:rsid w:val="005069EE"/>
    <w:rsid w:val="00507C08"/>
    <w:rsid w:val="005111D7"/>
    <w:rsid w:val="0051152B"/>
    <w:rsid w:val="005117AB"/>
    <w:rsid w:val="00512C3B"/>
    <w:rsid w:val="00512DA4"/>
    <w:rsid w:val="00513491"/>
    <w:rsid w:val="00513972"/>
    <w:rsid w:val="00513B88"/>
    <w:rsid w:val="00513D3A"/>
    <w:rsid w:val="00514EF8"/>
    <w:rsid w:val="0051543A"/>
    <w:rsid w:val="005158D2"/>
    <w:rsid w:val="00515EE7"/>
    <w:rsid w:val="005165F1"/>
    <w:rsid w:val="00516698"/>
    <w:rsid w:val="0051716D"/>
    <w:rsid w:val="00517AA8"/>
    <w:rsid w:val="00517E9B"/>
    <w:rsid w:val="005211AD"/>
    <w:rsid w:val="0052196C"/>
    <w:rsid w:val="005229B8"/>
    <w:rsid w:val="005247FC"/>
    <w:rsid w:val="00524BE1"/>
    <w:rsid w:val="00524C2B"/>
    <w:rsid w:val="00526F61"/>
    <w:rsid w:val="005272BD"/>
    <w:rsid w:val="0052732A"/>
    <w:rsid w:val="00527C34"/>
    <w:rsid w:val="00527D65"/>
    <w:rsid w:val="0053263C"/>
    <w:rsid w:val="005331A0"/>
    <w:rsid w:val="00533468"/>
    <w:rsid w:val="00534E76"/>
    <w:rsid w:val="0053570C"/>
    <w:rsid w:val="00535BFA"/>
    <w:rsid w:val="00536285"/>
    <w:rsid w:val="005367FE"/>
    <w:rsid w:val="00537136"/>
    <w:rsid w:val="005412D9"/>
    <w:rsid w:val="00541A57"/>
    <w:rsid w:val="00541DFF"/>
    <w:rsid w:val="005430FE"/>
    <w:rsid w:val="0054504A"/>
    <w:rsid w:val="00545102"/>
    <w:rsid w:val="00545821"/>
    <w:rsid w:val="005458A1"/>
    <w:rsid w:val="00546CA1"/>
    <w:rsid w:val="0054705A"/>
    <w:rsid w:val="005470E2"/>
    <w:rsid w:val="00550F00"/>
    <w:rsid w:val="00552882"/>
    <w:rsid w:val="00553BBD"/>
    <w:rsid w:val="00553CCE"/>
    <w:rsid w:val="00553DF0"/>
    <w:rsid w:val="005547EB"/>
    <w:rsid w:val="005548F9"/>
    <w:rsid w:val="00555098"/>
    <w:rsid w:val="00555647"/>
    <w:rsid w:val="00556EF0"/>
    <w:rsid w:val="00557055"/>
    <w:rsid w:val="0055740C"/>
    <w:rsid w:val="005576B7"/>
    <w:rsid w:val="00557DB3"/>
    <w:rsid w:val="00560D28"/>
    <w:rsid w:val="0056100D"/>
    <w:rsid w:val="00561460"/>
    <w:rsid w:val="00561EAC"/>
    <w:rsid w:val="00562209"/>
    <w:rsid w:val="00562702"/>
    <w:rsid w:val="00563A1A"/>
    <w:rsid w:val="00564001"/>
    <w:rsid w:val="0056559C"/>
    <w:rsid w:val="00565E06"/>
    <w:rsid w:val="005665B2"/>
    <w:rsid w:val="005667CC"/>
    <w:rsid w:val="00567F29"/>
    <w:rsid w:val="00571FCD"/>
    <w:rsid w:val="0057244B"/>
    <w:rsid w:val="005729FF"/>
    <w:rsid w:val="00572DA8"/>
    <w:rsid w:val="005732A7"/>
    <w:rsid w:val="005739F2"/>
    <w:rsid w:val="00573EE8"/>
    <w:rsid w:val="00574621"/>
    <w:rsid w:val="00574A09"/>
    <w:rsid w:val="00574BF1"/>
    <w:rsid w:val="00574CAE"/>
    <w:rsid w:val="00575487"/>
    <w:rsid w:val="00575599"/>
    <w:rsid w:val="00575925"/>
    <w:rsid w:val="00576DA9"/>
    <w:rsid w:val="00576DFD"/>
    <w:rsid w:val="00577475"/>
    <w:rsid w:val="0058089A"/>
    <w:rsid w:val="00580E49"/>
    <w:rsid w:val="005815C4"/>
    <w:rsid w:val="005818B9"/>
    <w:rsid w:val="00581EB9"/>
    <w:rsid w:val="00582375"/>
    <w:rsid w:val="00582CA3"/>
    <w:rsid w:val="00584A71"/>
    <w:rsid w:val="00584B30"/>
    <w:rsid w:val="005854CF"/>
    <w:rsid w:val="00585DDB"/>
    <w:rsid w:val="0058629C"/>
    <w:rsid w:val="0058655A"/>
    <w:rsid w:val="005867F2"/>
    <w:rsid w:val="0058696B"/>
    <w:rsid w:val="0059058C"/>
    <w:rsid w:val="00590AD5"/>
    <w:rsid w:val="00590B66"/>
    <w:rsid w:val="005913C3"/>
    <w:rsid w:val="005914FF"/>
    <w:rsid w:val="00591B8E"/>
    <w:rsid w:val="00592664"/>
    <w:rsid w:val="00592C4A"/>
    <w:rsid w:val="00592EAC"/>
    <w:rsid w:val="005936C5"/>
    <w:rsid w:val="00594EF6"/>
    <w:rsid w:val="00594F6A"/>
    <w:rsid w:val="005954C6"/>
    <w:rsid w:val="005959CF"/>
    <w:rsid w:val="00596B78"/>
    <w:rsid w:val="00596CB5"/>
    <w:rsid w:val="00597133"/>
    <w:rsid w:val="00597474"/>
    <w:rsid w:val="00597B00"/>
    <w:rsid w:val="005A04A5"/>
    <w:rsid w:val="005A0CF7"/>
    <w:rsid w:val="005A0F53"/>
    <w:rsid w:val="005A17E0"/>
    <w:rsid w:val="005A1CD3"/>
    <w:rsid w:val="005A2339"/>
    <w:rsid w:val="005A260F"/>
    <w:rsid w:val="005A2A56"/>
    <w:rsid w:val="005A388A"/>
    <w:rsid w:val="005A389A"/>
    <w:rsid w:val="005A3DAD"/>
    <w:rsid w:val="005A5A81"/>
    <w:rsid w:val="005A5BCF"/>
    <w:rsid w:val="005A5C9C"/>
    <w:rsid w:val="005A5E49"/>
    <w:rsid w:val="005B084A"/>
    <w:rsid w:val="005B19A9"/>
    <w:rsid w:val="005B2727"/>
    <w:rsid w:val="005B2816"/>
    <w:rsid w:val="005B2B5E"/>
    <w:rsid w:val="005B2E75"/>
    <w:rsid w:val="005B3790"/>
    <w:rsid w:val="005B44F2"/>
    <w:rsid w:val="005B4AA0"/>
    <w:rsid w:val="005B4DB5"/>
    <w:rsid w:val="005B5D24"/>
    <w:rsid w:val="005B638C"/>
    <w:rsid w:val="005B65F2"/>
    <w:rsid w:val="005B6DFA"/>
    <w:rsid w:val="005B7D9B"/>
    <w:rsid w:val="005C098D"/>
    <w:rsid w:val="005C0BF6"/>
    <w:rsid w:val="005C14A6"/>
    <w:rsid w:val="005C20BB"/>
    <w:rsid w:val="005C2A03"/>
    <w:rsid w:val="005C2D75"/>
    <w:rsid w:val="005C3553"/>
    <w:rsid w:val="005C3F44"/>
    <w:rsid w:val="005C40C1"/>
    <w:rsid w:val="005C47D3"/>
    <w:rsid w:val="005C5586"/>
    <w:rsid w:val="005C6058"/>
    <w:rsid w:val="005C6726"/>
    <w:rsid w:val="005C6DED"/>
    <w:rsid w:val="005C70B1"/>
    <w:rsid w:val="005C713B"/>
    <w:rsid w:val="005C7760"/>
    <w:rsid w:val="005C79B6"/>
    <w:rsid w:val="005C7BB8"/>
    <w:rsid w:val="005C7D87"/>
    <w:rsid w:val="005D1839"/>
    <w:rsid w:val="005D1E65"/>
    <w:rsid w:val="005D33A9"/>
    <w:rsid w:val="005D3576"/>
    <w:rsid w:val="005D40F1"/>
    <w:rsid w:val="005D491C"/>
    <w:rsid w:val="005D4DBB"/>
    <w:rsid w:val="005D4E41"/>
    <w:rsid w:val="005D55EE"/>
    <w:rsid w:val="005D5651"/>
    <w:rsid w:val="005D5D3B"/>
    <w:rsid w:val="005D627D"/>
    <w:rsid w:val="005D6288"/>
    <w:rsid w:val="005D62BA"/>
    <w:rsid w:val="005D67F2"/>
    <w:rsid w:val="005D68FA"/>
    <w:rsid w:val="005D6CFE"/>
    <w:rsid w:val="005D6F22"/>
    <w:rsid w:val="005D7B47"/>
    <w:rsid w:val="005D7FD3"/>
    <w:rsid w:val="005E0A31"/>
    <w:rsid w:val="005E10C0"/>
    <w:rsid w:val="005E294A"/>
    <w:rsid w:val="005E342A"/>
    <w:rsid w:val="005E34E6"/>
    <w:rsid w:val="005E3703"/>
    <w:rsid w:val="005E3C9E"/>
    <w:rsid w:val="005E3F15"/>
    <w:rsid w:val="005E42DE"/>
    <w:rsid w:val="005E4FF9"/>
    <w:rsid w:val="005E5309"/>
    <w:rsid w:val="005E5357"/>
    <w:rsid w:val="005E556C"/>
    <w:rsid w:val="005E5BF6"/>
    <w:rsid w:val="005E5D51"/>
    <w:rsid w:val="005E6D04"/>
    <w:rsid w:val="005E6D7C"/>
    <w:rsid w:val="005E7FB1"/>
    <w:rsid w:val="005F0BCD"/>
    <w:rsid w:val="005F0C65"/>
    <w:rsid w:val="005F11B8"/>
    <w:rsid w:val="005F175C"/>
    <w:rsid w:val="005F17D7"/>
    <w:rsid w:val="005F19F5"/>
    <w:rsid w:val="005F1EE8"/>
    <w:rsid w:val="005F2596"/>
    <w:rsid w:val="005F25FB"/>
    <w:rsid w:val="005F3A98"/>
    <w:rsid w:val="005F51BF"/>
    <w:rsid w:val="005F5257"/>
    <w:rsid w:val="005F5365"/>
    <w:rsid w:val="005F5392"/>
    <w:rsid w:val="005F667E"/>
    <w:rsid w:val="005F6901"/>
    <w:rsid w:val="005F721D"/>
    <w:rsid w:val="005F7800"/>
    <w:rsid w:val="00600036"/>
    <w:rsid w:val="00600551"/>
    <w:rsid w:val="0060116F"/>
    <w:rsid w:val="00601280"/>
    <w:rsid w:val="006034EE"/>
    <w:rsid w:val="00603977"/>
    <w:rsid w:val="006047B3"/>
    <w:rsid w:val="0060499E"/>
    <w:rsid w:val="00604D57"/>
    <w:rsid w:val="006051A9"/>
    <w:rsid w:val="006052E2"/>
    <w:rsid w:val="00606ED9"/>
    <w:rsid w:val="00610BCA"/>
    <w:rsid w:val="00610CB1"/>
    <w:rsid w:val="0061205C"/>
    <w:rsid w:val="006121C2"/>
    <w:rsid w:val="00612688"/>
    <w:rsid w:val="006133D2"/>
    <w:rsid w:val="006134C6"/>
    <w:rsid w:val="00613C97"/>
    <w:rsid w:val="00614309"/>
    <w:rsid w:val="0061431B"/>
    <w:rsid w:val="00614EBA"/>
    <w:rsid w:val="00615689"/>
    <w:rsid w:val="00615855"/>
    <w:rsid w:val="00617122"/>
    <w:rsid w:val="0062109B"/>
    <w:rsid w:val="0062117E"/>
    <w:rsid w:val="006211E6"/>
    <w:rsid w:val="0062172F"/>
    <w:rsid w:val="00621C02"/>
    <w:rsid w:val="00621D4C"/>
    <w:rsid w:val="00622479"/>
    <w:rsid w:val="006228B6"/>
    <w:rsid w:val="006228F8"/>
    <w:rsid w:val="00623354"/>
    <w:rsid w:val="00623FCB"/>
    <w:rsid w:val="00625EBE"/>
    <w:rsid w:val="00626111"/>
    <w:rsid w:val="00626213"/>
    <w:rsid w:val="00626972"/>
    <w:rsid w:val="006300BC"/>
    <w:rsid w:val="0063063D"/>
    <w:rsid w:val="00630C62"/>
    <w:rsid w:val="00631C2C"/>
    <w:rsid w:val="00631ED5"/>
    <w:rsid w:val="006329CC"/>
    <w:rsid w:val="006330E1"/>
    <w:rsid w:val="006334F8"/>
    <w:rsid w:val="00633BDC"/>
    <w:rsid w:val="0063773F"/>
    <w:rsid w:val="0064005D"/>
    <w:rsid w:val="00640758"/>
    <w:rsid w:val="00640CD9"/>
    <w:rsid w:val="0064126D"/>
    <w:rsid w:val="00641C7A"/>
    <w:rsid w:val="00641CB9"/>
    <w:rsid w:val="00642014"/>
    <w:rsid w:val="00642A47"/>
    <w:rsid w:val="0064304E"/>
    <w:rsid w:val="0064313D"/>
    <w:rsid w:val="00643853"/>
    <w:rsid w:val="006448FB"/>
    <w:rsid w:val="00645165"/>
    <w:rsid w:val="006452FD"/>
    <w:rsid w:val="00645A49"/>
    <w:rsid w:val="00645B30"/>
    <w:rsid w:val="00645F23"/>
    <w:rsid w:val="0064733B"/>
    <w:rsid w:val="00647421"/>
    <w:rsid w:val="006503AC"/>
    <w:rsid w:val="0065051F"/>
    <w:rsid w:val="00651A97"/>
    <w:rsid w:val="00652C53"/>
    <w:rsid w:val="006530F4"/>
    <w:rsid w:val="00653402"/>
    <w:rsid w:val="0065366C"/>
    <w:rsid w:val="00653F93"/>
    <w:rsid w:val="006548E6"/>
    <w:rsid w:val="0065503D"/>
    <w:rsid w:val="00655442"/>
    <w:rsid w:val="00655A02"/>
    <w:rsid w:val="00655AA7"/>
    <w:rsid w:val="0065662F"/>
    <w:rsid w:val="00657009"/>
    <w:rsid w:val="00657047"/>
    <w:rsid w:val="006575CB"/>
    <w:rsid w:val="0065794A"/>
    <w:rsid w:val="006618DA"/>
    <w:rsid w:val="00662115"/>
    <w:rsid w:val="006622ED"/>
    <w:rsid w:val="00662429"/>
    <w:rsid w:val="00662ABE"/>
    <w:rsid w:val="00662D68"/>
    <w:rsid w:val="00663A51"/>
    <w:rsid w:val="00663A8F"/>
    <w:rsid w:val="006642C2"/>
    <w:rsid w:val="00664714"/>
    <w:rsid w:val="00664B1F"/>
    <w:rsid w:val="00666109"/>
    <w:rsid w:val="0066656A"/>
    <w:rsid w:val="006668B0"/>
    <w:rsid w:val="00666CA7"/>
    <w:rsid w:val="00666EAD"/>
    <w:rsid w:val="006671F5"/>
    <w:rsid w:val="006678A4"/>
    <w:rsid w:val="00670ABC"/>
    <w:rsid w:val="00670AFC"/>
    <w:rsid w:val="00670C6F"/>
    <w:rsid w:val="00671D13"/>
    <w:rsid w:val="00671E83"/>
    <w:rsid w:val="00671FC3"/>
    <w:rsid w:val="00672003"/>
    <w:rsid w:val="0067285E"/>
    <w:rsid w:val="00672979"/>
    <w:rsid w:val="00672DC5"/>
    <w:rsid w:val="00673296"/>
    <w:rsid w:val="00673C07"/>
    <w:rsid w:val="00674C10"/>
    <w:rsid w:val="00675602"/>
    <w:rsid w:val="00675DB2"/>
    <w:rsid w:val="00675EBE"/>
    <w:rsid w:val="00676955"/>
    <w:rsid w:val="006778A2"/>
    <w:rsid w:val="00677F72"/>
    <w:rsid w:val="006801AD"/>
    <w:rsid w:val="00680DF0"/>
    <w:rsid w:val="00680F27"/>
    <w:rsid w:val="0068182D"/>
    <w:rsid w:val="00682AC6"/>
    <w:rsid w:val="006832CA"/>
    <w:rsid w:val="00683682"/>
    <w:rsid w:val="00683B97"/>
    <w:rsid w:val="00683D1F"/>
    <w:rsid w:val="0068404A"/>
    <w:rsid w:val="0068520B"/>
    <w:rsid w:val="006854BC"/>
    <w:rsid w:val="00685554"/>
    <w:rsid w:val="00686152"/>
    <w:rsid w:val="00686485"/>
    <w:rsid w:val="006868E0"/>
    <w:rsid w:val="00686DBF"/>
    <w:rsid w:val="00690977"/>
    <w:rsid w:val="0069171C"/>
    <w:rsid w:val="00691AD5"/>
    <w:rsid w:val="00693475"/>
    <w:rsid w:val="0069500E"/>
    <w:rsid w:val="0069603E"/>
    <w:rsid w:val="006979D4"/>
    <w:rsid w:val="006A06BC"/>
    <w:rsid w:val="006A0880"/>
    <w:rsid w:val="006A1BED"/>
    <w:rsid w:val="006A2140"/>
    <w:rsid w:val="006A3107"/>
    <w:rsid w:val="006A4180"/>
    <w:rsid w:val="006A4638"/>
    <w:rsid w:val="006A4643"/>
    <w:rsid w:val="006A4BA5"/>
    <w:rsid w:val="006A732C"/>
    <w:rsid w:val="006B035C"/>
    <w:rsid w:val="006B0E93"/>
    <w:rsid w:val="006B141F"/>
    <w:rsid w:val="006B160B"/>
    <w:rsid w:val="006B1977"/>
    <w:rsid w:val="006B23F3"/>
    <w:rsid w:val="006B28EE"/>
    <w:rsid w:val="006B2FBA"/>
    <w:rsid w:val="006B3F9E"/>
    <w:rsid w:val="006B4E5C"/>
    <w:rsid w:val="006B6DFC"/>
    <w:rsid w:val="006B6F10"/>
    <w:rsid w:val="006B6FE0"/>
    <w:rsid w:val="006C09B8"/>
    <w:rsid w:val="006C12AB"/>
    <w:rsid w:val="006C1DC7"/>
    <w:rsid w:val="006C2841"/>
    <w:rsid w:val="006C31CA"/>
    <w:rsid w:val="006C3718"/>
    <w:rsid w:val="006C39EB"/>
    <w:rsid w:val="006C3A68"/>
    <w:rsid w:val="006C3E96"/>
    <w:rsid w:val="006C4BED"/>
    <w:rsid w:val="006C5070"/>
    <w:rsid w:val="006C53D2"/>
    <w:rsid w:val="006C795D"/>
    <w:rsid w:val="006D0603"/>
    <w:rsid w:val="006D0DF8"/>
    <w:rsid w:val="006D18DE"/>
    <w:rsid w:val="006D1D21"/>
    <w:rsid w:val="006D2051"/>
    <w:rsid w:val="006D274B"/>
    <w:rsid w:val="006D2E73"/>
    <w:rsid w:val="006D421C"/>
    <w:rsid w:val="006D55F4"/>
    <w:rsid w:val="006D57CD"/>
    <w:rsid w:val="006D57F4"/>
    <w:rsid w:val="006D5EA3"/>
    <w:rsid w:val="006D62CE"/>
    <w:rsid w:val="006D6925"/>
    <w:rsid w:val="006D70A0"/>
    <w:rsid w:val="006D7137"/>
    <w:rsid w:val="006D795B"/>
    <w:rsid w:val="006E113D"/>
    <w:rsid w:val="006E15E1"/>
    <w:rsid w:val="006E1F97"/>
    <w:rsid w:val="006E23CD"/>
    <w:rsid w:val="006E2AB3"/>
    <w:rsid w:val="006E2B55"/>
    <w:rsid w:val="006E3967"/>
    <w:rsid w:val="006E3B98"/>
    <w:rsid w:val="006E4009"/>
    <w:rsid w:val="006E43AE"/>
    <w:rsid w:val="006E45E6"/>
    <w:rsid w:val="006E50B6"/>
    <w:rsid w:val="006E544E"/>
    <w:rsid w:val="006E54F0"/>
    <w:rsid w:val="006E5A83"/>
    <w:rsid w:val="006E605A"/>
    <w:rsid w:val="006E685E"/>
    <w:rsid w:val="006E6AF8"/>
    <w:rsid w:val="006E7007"/>
    <w:rsid w:val="006E7AB7"/>
    <w:rsid w:val="006E7DE7"/>
    <w:rsid w:val="006F0F67"/>
    <w:rsid w:val="006F2504"/>
    <w:rsid w:val="006F257F"/>
    <w:rsid w:val="006F4361"/>
    <w:rsid w:val="006F4850"/>
    <w:rsid w:val="006F56C4"/>
    <w:rsid w:val="006F5C58"/>
    <w:rsid w:val="006F5CAA"/>
    <w:rsid w:val="006F6D9E"/>
    <w:rsid w:val="006F7DDB"/>
    <w:rsid w:val="0070000F"/>
    <w:rsid w:val="00701312"/>
    <w:rsid w:val="007014F3"/>
    <w:rsid w:val="00701DD0"/>
    <w:rsid w:val="0070264A"/>
    <w:rsid w:val="007037DD"/>
    <w:rsid w:val="00703B9D"/>
    <w:rsid w:val="0070410D"/>
    <w:rsid w:val="00705832"/>
    <w:rsid w:val="0070653A"/>
    <w:rsid w:val="007069E8"/>
    <w:rsid w:val="007073C2"/>
    <w:rsid w:val="007074A4"/>
    <w:rsid w:val="00707A41"/>
    <w:rsid w:val="00710430"/>
    <w:rsid w:val="00710775"/>
    <w:rsid w:val="00710ABA"/>
    <w:rsid w:val="00710BB4"/>
    <w:rsid w:val="00711719"/>
    <w:rsid w:val="00712D18"/>
    <w:rsid w:val="00713320"/>
    <w:rsid w:val="00714984"/>
    <w:rsid w:val="00715B04"/>
    <w:rsid w:val="00716CEB"/>
    <w:rsid w:val="00716FF4"/>
    <w:rsid w:val="00717207"/>
    <w:rsid w:val="0071736E"/>
    <w:rsid w:val="00717563"/>
    <w:rsid w:val="007200A6"/>
    <w:rsid w:val="00720564"/>
    <w:rsid w:val="00720AAE"/>
    <w:rsid w:val="00720FEC"/>
    <w:rsid w:val="00721034"/>
    <w:rsid w:val="00721800"/>
    <w:rsid w:val="0072211B"/>
    <w:rsid w:val="0072295C"/>
    <w:rsid w:val="0072343D"/>
    <w:rsid w:val="00723DAF"/>
    <w:rsid w:val="00725A68"/>
    <w:rsid w:val="00726357"/>
    <w:rsid w:val="00727A69"/>
    <w:rsid w:val="00727B7D"/>
    <w:rsid w:val="0073063D"/>
    <w:rsid w:val="00730924"/>
    <w:rsid w:val="00730AB3"/>
    <w:rsid w:val="00731E51"/>
    <w:rsid w:val="007320E4"/>
    <w:rsid w:val="00732425"/>
    <w:rsid w:val="00732A06"/>
    <w:rsid w:val="00733D1E"/>
    <w:rsid w:val="00733ED9"/>
    <w:rsid w:val="007341F1"/>
    <w:rsid w:val="007349C8"/>
    <w:rsid w:val="0073521A"/>
    <w:rsid w:val="007352EF"/>
    <w:rsid w:val="00735B24"/>
    <w:rsid w:val="00735BDC"/>
    <w:rsid w:val="00735D7E"/>
    <w:rsid w:val="00736AF1"/>
    <w:rsid w:val="00736DB2"/>
    <w:rsid w:val="0073761F"/>
    <w:rsid w:val="00737788"/>
    <w:rsid w:val="00737900"/>
    <w:rsid w:val="00740497"/>
    <w:rsid w:val="00740F7C"/>
    <w:rsid w:val="00741706"/>
    <w:rsid w:val="00741F43"/>
    <w:rsid w:val="00742B2F"/>
    <w:rsid w:val="00742BE4"/>
    <w:rsid w:val="00742CDA"/>
    <w:rsid w:val="00742D69"/>
    <w:rsid w:val="00744149"/>
    <w:rsid w:val="0074456A"/>
    <w:rsid w:val="0074530F"/>
    <w:rsid w:val="007455B9"/>
    <w:rsid w:val="00745B31"/>
    <w:rsid w:val="00747391"/>
    <w:rsid w:val="0075009D"/>
    <w:rsid w:val="007504FA"/>
    <w:rsid w:val="007507CB"/>
    <w:rsid w:val="007508AB"/>
    <w:rsid w:val="00750F54"/>
    <w:rsid w:val="007519D0"/>
    <w:rsid w:val="00751C35"/>
    <w:rsid w:val="00751F86"/>
    <w:rsid w:val="00751F8F"/>
    <w:rsid w:val="00752EB3"/>
    <w:rsid w:val="00753332"/>
    <w:rsid w:val="0075402B"/>
    <w:rsid w:val="007540DB"/>
    <w:rsid w:val="007546BB"/>
    <w:rsid w:val="007553BC"/>
    <w:rsid w:val="0075564B"/>
    <w:rsid w:val="007566B4"/>
    <w:rsid w:val="00756D78"/>
    <w:rsid w:val="00756F23"/>
    <w:rsid w:val="00756F71"/>
    <w:rsid w:val="007576E3"/>
    <w:rsid w:val="007579BA"/>
    <w:rsid w:val="00757D9D"/>
    <w:rsid w:val="007600AC"/>
    <w:rsid w:val="0076042A"/>
    <w:rsid w:val="00760DF3"/>
    <w:rsid w:val="007614A3"/>
    <w:rsid w:val="00761E10"/>
    <w:rsid w:val="00763EB4"/>
    <w:rsid w:val="007640FB"/>
    <w:rsid w:val="00764794"/>
    <w:rsid w:val="00764821"/>
    <w:rsid w:val="00764F43"/>
    <w:rsid w:val="0076524F"/>
    <w:rsid w:val="0076572B"/>
    <w:rsid w:val="00765A2D"/>
    <w:rsid w:val="007663FF"/>
    <w:rsid w:val="00767850"/>
    <w:rsid w:val="007711A0"/>
    <w:rsid w:val="0077177A"/>
    <w:rsid w:val="007719AF"/>
    <w:rsid w:val="00771A91"/>
    <w:rsid w:val="00772097"/>
    <w:rsid w:val="00772E48"/>
    <w:rsid w:val="00772F15"/>
    <w:rsid w:val="00773D12"/>
    <w:rsid w:val="00773DF7"/>
    <w:rsid w:val="007741AA"/>
    <w:rsid w:val="0077465D"/>
    <w:rsid w:val="00774D9D"/>
    <w:rsid w:val="0077546E"/>
    <w:rsid w:val="007755B6"/>
    <w:rsid w:val="007757B5"/>
    <w:rsid w:val="00776570"/>
    <w:rsid w:val="0077765E"/>
    <w:rsid w:val="007803FF"/>
    <w:rsid w:val="0078048C"/>
    <w:rsid w:val="00780E6D"/>
    <w:rsid w:val="00781C86"/>
    <w:rsid w:val="00781E62"/>
    <w:rsid w:val="00782030"/>
    <w:rsid w:val="007824FC"/>
    <w:rsid w:val="0078324E"/>
    <w:rsid w:val="00783596"/>
    <w:rsid w:val="00783634"/>
    <w:rsid w:val="00783B21"/>
    <w:rsid w:val="00783C5D"/>
    <w:rsid w:val="00784538"/>
    <w:rsid w:val="0078543C"/>
    <w:rsid w:val="00785DFE"/>
    <w:rsid w:val="00786868"/>
    <w:rsid w:val="007868E7"/>
    <w:rsid w:val="00786C43"/>
    <w:rsid w:val="00787D5F"/>
    <w:rsid w:val="00787E97"/>
    <w:rsid w:val="00790C36"/>
    <w:rsid w:val="007916FB"/>
    <w:rsid w:val="007918CE"/>
    <w:rsid w:val="007920DF"/>
    <w:rsid w:val="007928DA"/>
    <w:rsid w:val="00792C57"/>
    <w:rsid w:val="00792D08"/>
    <w:rsid w:val="00792E7C"/>
    <w:rsid w:val="00793C84"/>
    <w:rsid w:val="0079406A"/>
    <w:rsid w:val="007944CC"/>
    <w:rsid w:val="007946EC"/>
    <w:rsid w:val="007952D3"/>
    <w:rsid w:val="00795775"/>
    <w:rsid w:val="00795923"/>
    <w:rsid w:val="0079643C"/>
    <w:rsid w:val="007969A2"/>
    <w:rsid w:val="0079710F"/>
    <w:rsid w:val="00797C09"/>
    <w:rsid w:val="00797F78"/>
    <w:rsid w:val="007A0273"/>
    <w:rsid w:val="007A0D8B"/>
    <w:rsid w:val="007A0D91"/>
    <w:rsid w:val="007A1141"/>
    <w:rsid w:val="007A1349"/>
    <w:rsid w:val="007A1829"/>
    <w:rsid w:val="007A18FD"/>
    <w:rsid w:val="007A1CD7"/>
    <w:rsid w:val="007A22A9"/>
    <w:rsid w:val="007A31B4"/>
    <w:rsid w:val="007A3567"/>
    <w:rsid w:val="007A3AE3"/>
    <w:rsid w:val="007A4543"/>
    <w:rsid w:val="007A4FAD"/>
    <w:rsid w:val="007A5059"/>
    <w:rsid w:val="007A5223"/>
    <w:rsid w:val="007A5B76"/>
    <w:rsid w:val="007A61A7"/>
    <w:rsid w:val="007A6E07"/>
    <w:rsid w:val="007A724E"/>
    <w:rsid w:val="007A7801"/>
    <w:rsid w:val="007A78C9"/>
    <w:rsid w:val="007B02BD"/>
    <w:rsid w:val="007B0430"/>
    <w:rsid w:val="007B0C74"/>
    <w:rsid w:val="007B0E83"/>
    <w:rsid w:val="007B15C4"/>
    <w:rsid w:val="007B16F7"/>
    <w:rsid w:val="007B18D3"/>
    <w:rsid w:val="007B1B3A"/>
    <w:rsid w:val="007B2BFC"/>
    <w:rsid w:val="007B2DE5"/>
    <w:rsid w:val="007B2E6B"/>
    <w:rsid w:val="007B3739"/>
    <w:rsid w:val="007B518C"/>
    <w:rsid w:val="007B51F2"/>
    <w:rsid w:val="007B52B8"/>
    <w:rsid w:val="007B5948"/>
    <w:rsid w:val="007B5D0D"/>
    <w:rsid w:val="007B674D"/>
    <w:rsid w:val="007B748C"/>
    <w:rsid w:val="007C012A"/>
    <w:rsid w:val="007C0378"/>
    <w:rsid w:val="007C0566"/>
    <w:rsid w:val="007C0D3D"/>
    <w:rsid w:val="007C1414"/>
    <w:rsid w:val="007C17A1"/>
    <w:rsid w:val="007C18C3"/>
    <w:rsid w:val="007C1DA7"/>
    <w:rsid w:val="007C23A0"/>
    <w:rsid w:val="007C26BA"/>
    <w:rsid w:val="007C27A1"/>
    <w:rsid w:val="007C2989"/>
    <w:rsid w:val="007C2E21"/>
    <w:rsid w:val="007C378E"/>
    <w:rsid w:val="007C3798"/>
    <w:rsid w:val="007C4792"/>
    <w:rsid w:val="007C49D9"/>
    <w:rsid w:val="007C4D60"/>
    <w:rsid w:val="007C64E8"/>
    <w:rsid w:val="007C681D"/>
    <w:rsid w:val="007C7132"/>
    <w:rsid w:val="007C7271"/>
    <w:rsid w:val="007C7D5A"/>
    <w:rsid w:val="007C7ED2"/>
    <w:rsid w:val="007D0933"/>
    <w:rsid w:val="007D0B43"/>
    <w:rsid w:val="007D1275"/>
    <w:rsid w:val="007D1730"/>
    <w:rsid w:val="007D2042"/>
    <w:rsid w:val="007D3B12"/>
    <w:rsid w:val="007D4230"/>
    <w:rsid w:val="007D4D7B"/>
    <w:rsid w:val="007D7E5F"/>
    <w:rsid w:val="007E01C1"/>
    <w:rsid w:val="007E0F45"/>
    <w:rsid w:val="007E19F9"/>
    <w:rsid w:val="007E1D88"/>
    <w:rsid w:val="007E1FA0"/>
    <w:rsid w:val="007E21C3"/>
    <w:rsid w:val="007E2BAA"/>
    <w:rsid w:val="007E3C6B"/>
    <w:rsid w:val="007E4185"/>
    <w:rsid w:val="007E43E3"/>
    <w:rsid w:val="007E4725"/>
    <w:rsid w:val="007E4889"/>
    <w:rsid w:val="007E4936"/>
    <w:rsid w:val="007E52BF"/>
    <w:rsid w:val="007E6128"/>
    <w:rsid w:val="007E7712"/>
    <w:rsid w:val="007F0CF9"/>
    <w:rsid w:val="007F1219"/>
    <w:rsid w:val="007F12BF"/>
    <w:rsid w:val="007F2069"/>
    <w:rsid w:val="007F273B"/>
    <w:rsid w:val="007F32CF"/>
    <w:rsid w:val="007F4046"/>
    <w:rsid w:val="007F5E46"/>
    <w:rsid w:val="007F6065"/>
    <w:rsid w:val="007F69B3"/>
    <w:rsid w:val="007F6B43"/>
    <w:rsid w:val="007F7384"/>
    <w:rsid w:val="007F7799"/>
    <w:rsid w:val="007F797F"/>
    <w:rsid w:val="007F7FE9"/>
    <w:rsid w:val="00800E39"/>
    <w:rsid w:val="00800EE9"/>
    <w:rsid w:val="00801A58"/>
    <w:rsid w:val="00801C5E"/>
    <w:rsid w:val="00802693"/>
    <w:rsid w:val="008037D8"/>
    <w:rsid w:val="00803B71"/>
    <w:rsid w:val="008057F9"/>
    <w:rsid w:val="0080588F"/>
    <w:rsid w:val="00805B1D"/>
    <w:rsid w:val="00805BA2"/>
    <w:rsid w:val="00805E16"/>
    <w:rsid w:val="0080654A"/>
    <w:rsid w:val="00806682"/>
    <w:rsid w:val="00807177"/>
    <w:rsid w:val="00811017"/>
    <w:rsid w:val="008116ED"/>
    <w:rsid w:val="00812E73"/>
    <w:rsid w:val="00814DA0"/>
    <w:rsid w:val="00814F41"/>
    <w:rsid w:val="0081531D"/>
    <w:rsid w:val="008164B4"/>
    <w:rsid w:val="0081774F"/>
    <w:rsid w:val="008177DC"/>
    <w:rsid w:val="00817D88"/>
    <w:rsid w:val="008200F1"/>
    <w:rsid w:val="008202B4"/>
    <w:rsid w:val="00820E6A"/>
    <w:rsid w:val="00821F9E"/>
    <w:rsid w:val="008223E9"/>
    <w:rsid w:val="00822440"/>
    <w:rsid w:val="008224FD"/>
    <w:rsid w:val="00822769"/>
    <w:rsid w:val="00823D07"/>
    <w:rsid w:val="00824C1F"/>
    <w:rsid w:val="00825104"/>
    <w:rsid w:val="008263A8"/>
    <w:rsid w:val="00826D10"/>
    <w:rsid w:val="00826D3D"/>
    <w:rsid w:val="0082710B"/>
    <w:rsid w:val="00827CF0"/>
    <w:rsid w:val="00827E0C"/>
    <w:rsid w:val="00827F35"/>
    <w:rsid w:val="008308A8"/>
    <w:rsid w:val="008310F0"/>
    <w:rsid w:val="00831149"/>
    <w:rsid w:val="0083147C"/>
    <w:rsid w:val="0083232E"/>
    <w:rsid w:val="00833881"/>
    <w:rsid w:val="00834026"/>
    <w:rsid w:val="0083445E"/>
    <w:rsid w:val="008369E2"/>
    <w:rsid w:val="00836F81"/>
    <w:rsid w:val="008372B2"/>
    <w:rsid w:val="008377D1"/>
    <w:rsid w:val="00837950"/>
    <w:rsid w:val="00837C85"/>
    <w:rsid w:val="00840583"/>
    <w:rsid w:val="008405E8"/>
    <w:rsid w:val="008421EA"/>
    <w:rsid w:val="00844DB6"/>
    <w:rsid w:val="0084777F"/>
    <w:rsid w:val="00847AB5"/>
    <w:rsid w:val="00847C36"/>
    <w:rsid w:val="00850658"/>
    <w:rsid w:val="008525DF"/>
    <w:rsid w:val="008529D0"/>
    <w:rsid w:val="00853012"/>
    <w:rsid w:val="0085398C"/>
    <w:rsid w:val="00853C4B"/>
    <w:rsid w:val="00854B5F"/>
    <w:rsid w:val="00855500"/>
    <w:rsid w:val="00855B7C"/>
    <w:rsid w:val="00856556"/>
    <w:rsid w:val="00857700"/>
    <w:rsid w:val="00857A41"/>
    <w:rsid w:val="00860C5C"/>
    <w:rsid w:val="00861241"/>
    <w:rsid w:val="008613D4"/>
    <w:rsid w:val="008619F1"/>
    <w:rsid w:val="008621D6"/>
    <w:rsid w:val="00863564"/>
    <w:rsid w:val="008638A9"/>
    <w:rsid w:val="00863B1B"/>
    <w:rsid w:val="00863B1E"/>
    <w:rsid w:val="008642F1"/>
    <w:rsid w:val="00864524"/>
    <w:rsid w:val="00864DC8"/>
    <w:rsid w:val="00865C97"/>
    <w:rsid w:val="0086666D"/>
    <w:rsid w:val="00867659"/>
    <w:rsid w:val="00871246"/>
    <w:rsid w:val="00871BD1"/>
    <w:rsid w:val="00871EF4"/>
    <w:rsid w:val="00872D79"/>
    <w:rsid w:val="008732EB"/>
    <w:rsid w:val="00874604"/>
    <w:rsid w:val="008748A6"/>
    <w:rsid w:val="0087539B"/>
    <w:rsid w:val="008768E5"/>
    <w:rsid w:val="008770CE"/>
    <w:rsid w:val="00877102"/>
    <w:rsid w:val="008800E2"/>
    <w:rsid w:val="00880302"/>
    <w:rsid w:val="00880A6F"/>
    <w:rsid w:val="00881010"/>
    <w:rsid w:val="00881834"/>
    <w:rsid w:val="008818EE"/>
    <w:rsid w:val="00883AD5"/>
    <w:rsid w:val="00883AE6"/>
    <w:rsid w:val="00883BF0"/>
    <w:rsid w:val="00883C82"/>
    <w:rsid w:val="00883FB9"/>
    <w:rsid w:val="00884728"/>
    <w:rsid w:val="00884A91"/>
    <w:rsid w:val="00884AF0"/>
    <w:rsid w:val="00884AF4"/>
    <w:rsid w:val="00884ECD"/>
    <w:rsid w:val="00885A66"/>
    <w:rsid w:val="00885B70"/>
    <w:rsid w:val="00886158"/>
    <w:rsid w:val="0088683D"/>
    <w:rsid w:val="00886E0A"/>
    <w:rsid w:val="00887B4F"/>
    <w:rsid w:val="00887C5B"/>
    <w:rsid w:val="00890489"/>
    <w:rsid w:val="008906DF"/>
    <w:rsid w:val="00890764"/>
    <w:rsid w:val="00890A16"/>
    <w:rsid w:val="008911A6"/>
    <w:rsid w:val="008915C5"/>
    <w:rsid w:val="00892376"/>
    <w:rsid w:val="008924B9"/>
    <w:rsid w:val="00892CFF"/>
    <w:rsid w:val="00892D0E"/>
    <w:rsid w:val="008931DF"/>
    <w:rsid w:val="00893515"/>
    <w:rsid w:val="00894A77"/>
    <w:rsid w:val="008953AB"/>
    <w:rsid w:val="00895F67"/>
    <w:rsid w:val="0089676D"/>
    <w:rsid w:val="00897671"/>
    <w:rsid w:val="008A029A"/>
    <w:rsid w:val="008A0D3A"/>
    <w:rsid w:val="008A0EF2"/>
    <w:rsid w:val="008A1B60"/>
    <w:rsid w:val="008A1D68"/>
    <w:rsid w:val="008A2EEA"/>
    <w:rsid w:val="008A3104"/>
    <w:rsid w:val="008A32BD"/>
    <w:rsid w:val="008A3602"/>
    <w:rsid w:val="008A3D32"/>
    <w:rsid w:val="008A3DF1"/>
    <w:rsid w:val="008A3F84"/>
    <w:rsid w:val="008A490D"/>
    <w:rsid w:val="008A4C0E"/>
    <w:rsid w:val="008A5836"/>
    <w:rsid w:val="008A5870"/>
    <w:rsid w:val="008A596A"/>
    <w:rsid w:val="008A5B1F"/>
    <w:rsid w:val="008A5DD5"/>
    <w:rsid w:val="008A644B"/>
    <w:rsid w:val="008A68BF"/>
    <w:rsid w:val="008A6C92"/>
    <w:rsid w:val="008A7E36"/>
    <w:rsid w:val="008B02AD"/>
    <w:rsid w:val="008B02F9"/>
    <w:rsid w:val="008B033D"/>
    <w:rsid w:val="008B09DB"/>
    <w:rsid w:val="008B242B"/>
    <w:rsid w:val="008B2A89"/>
    <w:rsid w:val="008B2BAA"/>
    <w:rsid w:val="008B311C"/>
    <w:rsid w:val="008B4365"/>
    <w:rsid w:val="008B43FA"/>
    <w:rsid w:val="008B4A67"/>
    <w:rsid w:val="008B6CB2"/>
    <w:rsid w:val="008B729F"/>
    <w:rsid w:val="008B798B"/>
    <w:rsid w:val="008B7DD7"/>
    <w:rsid w:val="008C058B"/>
    <w:rsid w:val="008C0DE2"/>
    <w:rsid w:val="008C0F88"/>
    <w:rsid w:val="008C117F"/>
    <w:rsid w:val="008C15A7"/>
    <w:rsid w:val="008C199A"/>
    <w:rsid w:val="008C1D70"/>
    <w:rsid w:val="008C20B2"/>
    <w:rsid w:val="008C2812"/>
    <w:rsid w:val="008C2B87"/>
    <w:rsid w:val="008C374B"/>
    <w:rsid w:val="008C37C2"/>
    <w:rsid w:val="008C38FE"/>
    <w:rsid w:val="008C3CD9"/>
    <w:rsid w:val="008C3EF8"/>
    <w:rsid w:val="008C47FE"/>
    <w:rsid w:val="008C5E9A"/>
    <w:rsid w:val="008C6170"/>
    <w:rsid w:val="008C628F"/>
    <w:rsid w:val="008C64BE"/>
    <w:rsid w:val="008C6FFC"/>
    <w:rsid w:val="008D027A"/>
    <w:rsid w:val="008D05DF"/>
    <w:rsid w:val="008D064B"/>
    <w:rsid w:val="008D0C9C"/>
    <w:rsid w:val="008D0EC5"/>
    <w:rsid w:val="008D2513"/>
    <w:rsid w:val="008D2C3B"/>
    <w:rsid w:val="008D2EB4"/>
    <w:rsid w:val="008D2F4A"/>
    <w:rsid w:val="008D3615"/>
    <w:rsid w:val="008D3896"/>
    <w:rsid w:val="008D3AFC"/>
    <w:rsid w:val="008D3FB6"/>
    <w:rsid w:val="008D3FDE"/>
    <w:rsid w:val="008D4500"/>
    <w:rsid w:val="008D48F2"/>
    <w:rsid w:val="008D4E81"/>
    <w:rsid w:val="008D555B"/>
    <w:rsid w:val="008D58AE"/>
    <w:rsid w:val="008D64ED"/>
    <w:rsid w:val="008D74AE"/>
    <w:rsid w:val="008E02E5"/>
    <w:rsid w:val="008E07AB"/>
    <w:rsid w:val="008E08F6"/>
    <w:rsid w:val="008E094E"/>
    <w:rsid w:val="008E0B7C"/>
    <w:rsid w:val="008E0FB0"/>
    <w:rsid w:val="008E101F"/>
    <w:rsid w:val="008E1131"/>
    <w:rsid w:val="008E16BD"/>
    <w:rsid w:val="008E1F5D"/>
    <w:rsid w:val="008E366C"/>
    <w:rsid w:val="008E3C0B"/>
    <w:rsid w:val="008E3CFC"/>
    <w:rsid w:val="008E45F9"/>
    <w:rsid w:val="008E54A0"/>
    <w:rsid w:val="008E54F6"/>
    <w:rsid w:val="008E55EB"/>
    <w:rsid w:val="008E6278"/>
    <w:rsid w:val="008E628F"/>
    <w:rsid w:val="008E638F"/>
    <w:rsid w:val="008E68E5"/>
    <w:rsid w:val="008E74ED"/>
    <w:rsid w:val="008E76FB"/>
    <w:rsid w:val="008E78CB"/>
    <w:rsid w:val="008E7D39"/>
    <w:rsid w:val="008E7E69"/>
    <w:rsid w:val="008F0506"/>
    <w:rsid w:val="008F0B7A"/>
    <w:rsid w:val="008F1917"/>
    <w:rsid w:val="008F276D"/>
    <w:rsid w:val="008F2DAA"/>
    <w:rsid w:val="008F33B5"/>
    <w:rsid w:val="008F344D"/>
    <w:rsid w:val="008F3F01"/>
    <w:rsid w:val="008F3F4B"/>
    <w:rsid w:val="008F3F52"/>
    <w:rsid w:val="008F45F8"/>
    <w:rsid w:val="008F48FB"/>
    <w:rsid w:val="008F4ABB"/>
    <w:rsid w:val="008F5C84"/>
    <w:rsid w:val="008F5E44"/>
    <w:rsid w:val="008F5EC2"/>
    <w:rsid w:val="008F671A"/>
    <w:rsid w:val="008F70B7"/>
    <w:rsid w:val="008F71D4"/>
    <w:rsid w:val="008F7448"/>
    <w:rsid w:val="0090005E"/>
    <w:rsid w:val="00900E26"/>
    <w:rsid w:val="00901DA5"/>
    <w:rsid w:val="009029BA"/>
    <w:rsid w:val="00902FB5"/>
    <w:rsid w:val="00903243"/>
    <w:rsid w:val="0090335E"/>
    <w:rsid w:val="00903D4B"/>
    <w:rsid w:val="009042F5"/>
    <w:rsid w:val="009050D2"/>
    <w:rsid w:val="00905A06"/>
    <w:rsid w:val="00905C0B"/>
    <w:rsid w:val="00905E34"/>
    <w:rsid w:val="0090685E"/>
    <w:rsid w:val="00906D49"/>
    <w:rsid w:val="009070F5"/>
    <w:rsid w:val="00910E2F"/>
    <w:rsid w:val="00911D3C"/>
    <w:rsid w:val="009123E3"/>
    <w:rsid w:val="009125B8"/>
    <w:rsid w:val="0091287D"/>
    <w:rsid w:val="0091392E"/>
    <w:rsid w:val="00913ECD"/>
    <w:rsid w:val="00914149"/>
    <w:rsid w:val="00914155"/>
    <w:rsid w:val="009149F1"/>
    <w:rsid w:val="00914B68"/>
    <w:rsid w:val="00914CC9"/>
    <w:rsid w:val="009157CF"/>
    <w:rsid w:val="00915993"/>
    <w:rsid w:val="00915994"/>
    <w:rsid w:val="00915F06"/>
    <w:rsid w:val="0091699B"/>
    <w:rsid w:val="00916C9C"/>
    <w:rsid w:val="00917E63"/>
    <w:rsid w:val="0092012A"/>
    <w:rsid w:val="00920B68"/>
    <w:rsid w:val="00921436"/>
    <w:rsid w:val="009219CF"/>
    <w:rsid w:val="00922335"/>
    <w:rsid w:val="0092235C"/>
    <w:rsid w:val="009232FD"/>
    <w:rsid w:val="00923493"/>
    <w:rsid w:val="00924C24"/>
    <w:rsid w:val="00924F2B"/>
    <w:rsid w:val="00925578"/>
    <w:rsid w:val="0092558D"/>
    <w:rsid w:val="00925DFF"/>
    <w:rsid w:val="00927811"/>
    <w:rsid w:val="00927C8F"/>
    <w:rsid w:val="0093033C"/>
    <w:rsid w:val="00930C1D"/>
    <w:rsid w:val="00931077"/>
    <w:rsid w:val="00931B0E"/>
    <w:rsid w:val="00932259"/>
    <w:rsid w:val="0093294A"/>
    <w:rsid w:val="00933903"/>
    <w:rsid w:val="0093394E"/>
    <w:rsid w:val="00934B6E"/>
    <w:rsid w:val="00934DC3"/>
    <w:rsid w:val="009353CB"/>
    <w:rsid w:val="009356C5"/>
    <w:rsid w:val="009360BD"/>
    <w:rsid w:val="00936650"/>
    <w:rsid w:val="009378C9"/>
    <w:rsid w:val="00937CF7"/>
    <w:rsid w:val="00940706"/>
    <w:rsid w:val="00940768"/>
    <w:rsid w:val="00941AE6"/>
    <w:rsid w:val="00942302"/>
    <w:rsid w:val="009429C5"/>
    <w:rsid w:val="00942C0F"/>
    <w:rsid w:val="00942DCC"/>
    <w:rsid w:val="00943307"/>
    <w:rsid w:val="009437DF"/>
    <w:rsid w:val="00943AD9"/>
    <w:rsid w:val="00943F2B"/>
    <w:rsid w:val="0094403C"/>
    <w:rsid w:val="00944217"/>
    <w:rsid w:val="009443FB"/>
    <w:rsid w:val="00944599"/>
    <w:rsid w:val="00944BE1"/>
    <w:rsid w:val="00945DDB"/>
    <w:rsid w:val="00945E12"/>
    <w:rsid w:val="00946AE0"/>
    <w:rsid w:val="00946DF7"/>
    <w:rsid w:val="00946FCB"/>
    <w:rsid w:val="00947345"/>
    <w:rsid w:val="00947A6D"/>
    <w:rsid w:val="009506BB"/>
    <w:rsid w:val="00950AE8"/>
    <w:rsid w:val="00950B11"/>
    <w:rsid w:val="00950B72"/>
    <w:rsid w:val="00951870"/>
    <w:rsid w:val="00952173"/>
    <w:rsid w:val="00952C0A"/>
    <w:rsid w:val="0095322A"/>
    <w:rsid w:val="009535AD"/>
    <w:rsid w:val="0095467E"/>
    <w:rsid w:val="009553F5"/>
    <w:rsid w:val="00955913"/>
    <w:rsid w:val="00956A64"/>
    <w:rsid w:val="009573FB"/>
    <w:rsid w:val="00957E2C"/>
    <w:rsid w:val="00960E91"/>
    <w:rsid w:val="00961033"/>
    <w:rsid w:val="00961AD2"/>
    <w:rsid w:val="0096603C"/>
    <w:rsid w:val="0096605B"/>
    <w:rsid w:val="009660FC"/>
    <w:rsid w:val="00966224"/>
    <w:rsid w:val="00966987"/>
    <w:rsid w:val="009669B2"/>
    <w:rsid w:val="009669DC"/>
    <w:rsid w:val="00966D2A"/>
    <w:rsid w:val="009676B9"/>
    <w:rsid w:val="009703DB"/>
    <w:rsid w:val="00970A25"/>
    <w:rsid w:val="00970ADF"/>
    <w:rsid w:val="00970C37"/>
    <w:rsid w:val="00970DE9"/>
    <w:rsid w:val="009712B8"/>
    <w:rsid w:val="009715F9"/>
    <w:rsid w:val="00971F4F"/>
    <w:rsid w:val="00972082"/>
    <w:rsid w:val="009745D1"/>
    <w:rsid w:val="009746D4"/>
    <w:rsid w:val="00974DDD"/>
    <w:rsid w:val="00975214"/>
    <w:rsid w:val="0097529E"/>
    <w:rsid w:val="009753A1"/>
    <w:rsid w:val="009757CF"/>
    <w:rsid w:val="00975FCE"/>
    <w:rsid w:val="00976098"/>
    <w:rsid w:val="00976D28"/>
    <w:rsid w:val="00977C4E"/>
    <w:rsid w:val="009809E3"/>
    <w:rsid w:val="009810B4"/>
    <w:rsid w:val="0098180F"/>
    <w:rsid w:val="009828ED"/>
    <w:rsid w:val="009829B2"/>
    <w:rsid w:val="00982F44"/>
    <w:rsid w:val="00982FFF"/>
    <w:rsid w:val="009835C5"/>
    <w:rsid w:val="00983C7C"/>
    <w:rsid w:val="00983DCC"/>
    <w:rsid w:val="00983F35"/>
    <w:rsid w:val="009845CE"/>
    <w:rsid w:val="00984752"/>
    <w:rsid w:val="00984B4E"/>
    <w:rsid w:val="00984BFF"/>
    <w:rsid w:val="00985B59"/>
    <w:rsid w:val="009863CD"/>
    <w:rsid w:val="00986488"/>
    <w:rsid w:val="009865BB"/>
    <w:rsid w:val="00986B55"/>
    <w:rsid w:val="009871CD"/>
    <w:rsid w:val="00987B57"/>
    <w:rsid w:val="00987DF2"/>
    <w:rsid w:val="009901D6"/>
    <w:rsid w:val="00990905"/>
    <w:rsid w:val="00991BD3"/>
    <w:rsid w:val="00992087"/>
    <w:rsid w:val="00992710"/>
    <w:rsid w:val="00992A3E"/>
    <w:rsid w:val="00992D4C"/>
    <w:rsid w:val="0099319F"/>
    <w:rsid w:val="00993AE4"/>
    <w:rsid w:val="00993BCE"/>
    <w:rsid w:val="00994521"/>
    <w:rsid w:val="0099525D"/>
    <w:rsid w:val="009955A7"/>
    <w:rsid w:val="00996958"/>
    <w:rsid w:val="00996B0A"/>
    <w:rsid w:val="0099721E"/>
    <w:rsid w:val="00997421"/>
    <w:rsid w:val="009976CA"/>
    <w:rsid w:val="00997F02"/>
    <w:rsid w:val="009A0505"/>
    <w:rsid w:val="009A28F8"/>
    <w:rsid w:val="009A434D"/>
    <w:rsid w:val="009A487C"/>
    <w:rsid w:val="009A4BDC"/>
    <w:rsid w:val="009A4E86"/>
    <w:rsid w:val="009A5112"/>
    <w:rsid w:val="009A595E"/>
    <w:rsid w:val="009A5DF5"/>
    <w:rsid w:val="009A62D2"/>
    <w:rsid w:val="009A639E"/>
    <w:rsid w:val="009A6AF0"/>
    <w:rsid w:val="009A6B91"/>
    <w:rsid w:val="009A77F9"/>
    <w:rsid w:val="009B0454"/>
    <w:rsid w:val="009B0F77"/>
    <w:rsid w:val="009B0FFF"/>
    <w:rsid w:val="009B10B3"/>
    <w:rsid w:val="009B2319"/>
    <w:rsid w:val="009B242B"/>
    <w:rsid w:val="009B252C"/>
    <w:rsid w:val="009B29D2"/>
    <w:rsid w:val="009B2AA0"/>
    <w:rsid w:val="009B3BCE"/>
    <w:rsid w:val="009B3C2C"/>
    <w:rsid w:val="009B3CC5"/>
    <w:rsid w:val="009B3E9D"/>
    <w:rsid w:val="009B5686"/>
    <w:rsid w:val="009B5C07"/>
    <w:rsid w:val="009B6270"/>
    <w:rsid w:val="009B636F"/>
    <w:rsid w:val="009B6633"/>
    <w:rsid w:val="009B674D"/>
    <w:rsid w:val="009B6797"/>
    <w:rsid w:val="009B720B"/>
    <w:rsid w:val="009C094E"/>
    <w:rsid w:val="009C12C9"/>
    <w:rsid w:val="009C153D"/>
    <w:rsid w:val="009C185C"/>
    <w:rsid w:val="009C1ABE"/>
    <w:rsid w:val="009C1F30"/>
    <w:rsid w:val="009C2166"/>
    <w:rsid w:val="009C25F9"/>
    <w:rsid w:val="009C27D9"/>
    <w:rsid w:val="009C2B8C"/>
    <w:rsid w:val="009C2C25"/>
    <w:rsid w:val="009C3479"/>
    <w:rsid w:val="009C3838"/>
    <w:rsid w:val="009C3D8B"/>
    <w:rsid w:val="009C5DE0"/>
    <w:rsid w:val="009C744C"/>
    <w:rsid w:val="009C782F"/>
    <w:rsid w:val="009D0150"/>
    <w:rsid w:val="009D07B1"/>
    <w:rsid w:val="009D0F39"/>
    <w:rsid w:val="009D100F"/>
    <w:rsid w:val="009D1637"/>
    <w:rsid w:val="009D1B58"/>
    <w:rsid w:val="009D2F21"/>
    <w:rsid w:val="009D5753"/>
    <w:rsid w:val="009D59C5"/>
    <w:rsid w:val="009D5A5E"/>
    <w:rsid w:val="009D614C"/>
    <w:rsid w:val="009D7E9D"/>
    <w:rsid w:val="009D7ED1"/>
    <w:rsid w:val="009E07EB"/>
    <w:rsid w:val="009E1B80"/>
    <w:rsid w:val="009E2539"/>
    <w:rsid w:val="009E3171"/>
    <w:rsid w:val="009E326A"/>
    <w:rsid w:val="009E3572"/>
    <w:rsid w:val="009E3682"/>
    <w:rsid w:val="009E39CE"/>
    <w:rsid w:val="009E456F"/>
    <w:rsid w:val="009E5108"/>
    <w:rsid w:val="009E5220"/>
    <w:rsid w:val="009E6F97"/>
    <w:rsid w:val="009E72F1"/>
    <w:rsid w:val="009E75C8"/>
    <w:rsid w:val="009E77C5"/>
    <w:rsid w:val="009F0643"/>
    <w:rsid w:val="009F076A"/>
    <w:rsid w:val="009F1121"/>
    <w:rsid w:val="009F3211"/>
    <w:rsid w:val="009F345B"/>
    <w:rsid w:val="009F3E93"/>
    <w:rsid w:val="009F3F34"/>
    <w:rsid w:val="009F46E7"/>
    <w:rsid w:val="009F496D"/>
    <w:rsid w:val="00A00BDD"/>
    <w:rsid w:val="00A00E28"/>
    <w:rsid w:val="00A01246"/>
    <w:rsid w:val="00A01333"/>
    <w:rsid w:val="00A019B5"/>
    <w:rsid w:val="00A01FB2"/>
    <w:rsid w:val="00A027A5"/>
    <w:rsid w:val="00A03850"/>
    <w:rsid w:val="00A0598E"/>
    <w:rsid w:val="00A06243"/>
    <w:rsid w:val="00A0666C"/>
    <w:rsid w:val="00A0678D"/>
    <w:rsid w:val="00A06F19"/>
    <w:rsid w:val="00A074C7"/>
    <w:rsid w:val="00A07733"/>
    <w:rsid w:val="00A11994"/>
    <w:rsid w:val="00A11A39"/>
    <w:rsid w:val="00A12816"/>
    <w:rsid w:val="00A1281A"/>
    <w:rsid w:val="00A12B40"/>
    <w:rsid w:val="00A12D17"/>
    <w:rsid w:val="00A131EE"/>
    <w:rsid w:val="00A15407"/>
    <w:rsid w:val="00A155CB"/>
    <w:rsid w:val="00A15BFB"/>
    <w:rsid w:val="00A15C00"/>
    <w:rsid w:val="00A162E6"/>
    <w:rsid w:val="00A17CCF"/>
    <w:rsid w:val="00A17D1D"/>
    <w:rsid w:val="00A201AC"/>
    <w:rsid w:val="00A20768"/>
    <w:rsid w:val="00A20966"/>
    <w:rsid w:val="00A20FA4"/>
    <w:rsid w:val="00A2158C"/>
    <w:rsid w:val="00A2183F"/>
    <w:rsid w:val="00A21F8E"/>
    <w:rsid w:val="00A223EC"/>
    <w:rsid w:val="00A240E5"/>
    <w:rsid w:val="00A24F87"/>
    <w:rsid w:val="00A26AD4"/>
    <w:rsid w:val="00A26EC4"/>
    <w:rsid w:val="00A30A15"/>
    <w:rsid w:val="00A31347"/>
    <w:rsid w:val="00A31BE9"/>
    <w:rsid w:val="00A31F2F"/>
    <w:rsid w:val="00A3372C"/>
    <w:rsid w:val="00A33BCC"/>
    <w:rsid w:val="00A34334"/>
    <w:rsid w:val="00A3491E"/>
    <w:rsid w:val="00A3699E"/>
    <w:rsid w:val="00A371D3"/>
    <w:rsid w:val="00A378EC"/>
    <w:rsid w:val="00A37CB3"/>
    <w:rsid w:val="00A37E7E"/>
    <w:rsid w:val="00A40509"/>
    <w:rsid w:val="00A40923"/>
    <w:rsid w:val="00A40A5B"/>
    <w:rsid w:val="00A41806"/>
    <w:rsid w:val="00A4212E"/>
    <w:rsid w:val="00A428C2"/>
    <w:rsid w:val="00A42DCE"/>
    <w:rsid w:val="00A43AF6"/>
    <w:rsid w:val="00A43BA2"/>
    <w:rsid w:val="00A43CCC"/>
    <w:rsid w:val="00A44AD2"/>
    <w:rsid w:val="00A45C77"/>
    <w:rsid w:val="00A4716C"/>
    <w:rsid w:val="00A47465"/>
    <w:rsid w:val="00A50089"/>
    <w:rsid w:val="00A504DB"/>
    <w:rsid w:val="00A50F2B"/>
    <w:rsid w:val="00A51378"/>
    <w:rsid w:val="00A51515"/>
    <w:rsid w:val="00A533B6"/>
    <w:rsid w:val="00A53495"/>
    <w:rsid w:val="00A54510"/>
    <w:rsid w:val="00A54EC6"/>
    <w:rsid w:val="00A55458"/>
    <w:rsid w:val="00A572DB"/>
    <w:rsid w:val="00A57642"/>
    <w:rsid w:val="00A5772D"/>
    <w:rsid w:val="00A5794C"/>
    <w:rsid w:val="00A57FC4"/>
    <w:rsid w:val="00A60394"/>
    <w:rsid w:val="00A6045B"/>
    <w:rsid w:val="00A60B73"/>
    <w:rsid w:val="00A60B79"/>
    <w:rsid w:val="00A611D5"/>
    <w:rsid w:val="00A62053"/>
    <w:rsid w:val="00A620E8"/>
    <w:rsid w:val="00A623AE"/>
    <w:rsid w:val="00A6282A"/>
    <w:rsid w:val="00A62CA2"/>
    <w:rsid w:val="00A62DB9"/>
    <w:rsid w:val="00A6337C"/>
    <w:rsid w:val="00A63783"/>
    <w:rsid w:val="00A639A0"/>
    <w:rsid w:val="00A63C08"/>
    <w:rsid w:val="00A64421"/>
    <w:rsid w:val="00A645D3"/>
    <w:rsid w:val="00A64ADC"/>
    <w:rsid w:val="00A64D50"/>
    <w:rsid w:val="00A64ED1"/>
    <w:rsid w:val="00A650BA"/>
    <w:rsid w:val="00A65A47"/>
    <w:rsid w:val="00A65E59"/>
    <w:rsid w:val="00A67535"/>
    <w:rsid w:val="00A67927"/>
    <w:rsid w:val="00A70635"/>
    <w:rsid w:val="00A715A3"/>
    <w:rsid w:val="00A7238F"/>
    <w:rsid w:val="00A725A4"/>
    <w:rsid w:val="00A733C4"/>
    <w:rsid w:val="00A73BA1"/>
    <w:rsid w:val="00A73CAF"/>
    <w:rsid w:val="00A73E35"/>
    <w:rsid w:val="00A74114"/>
    <w:rsid w:val="00A74A1C"/>
    <w:rsid w:val="00A74A73"/>
    <w:rsid w:val="00A76BC9"/>
    <w:rsid w:val="00A77F4D"/>
    <w:rsid w:val="00A80163"/>
    <w:rsid w:val="00A803F1"/>
    <w:rsid w:val="00A80813"/>
    <w:rsid w:val="00A810A3"/>
    <w:rsid w:val="00A811B2"/>
    <w:rsid w:val="00A812E2"/>
    <w:rsid w:val="00A82CEF"/>
    <w:rsid w:val="00A836B6"/>
    <w:rsid w:val="00A843B2"/>
    <w:rsid w:val="00A85155"/>
    <w:rsid w:val="00A862B8"/>
    <w:rsid w:val="00A86E60"/>
    <w:rsid w:val="00A86FCA"/>
    <w:rsid w:val="00A87853"/>
    <w:rsid w:val="00A87C19"/>
    <w:rsid w:val="00A901B6"/>
    <w:rsid w:val="00A906D3"/>
    <w:rsid w:val="00A91F48"/>
    <w:rsid w:val="00A92553"/>
    <w:rsid w:val="00A92B80"/>
    <w:rsid w:val="00A92E70"/>
    <w:rsid w:val="00A939BC"/>
    <w:rsid w:val="00A9492D"/>
    <w:rsid w:val="00A94D9F"/>
    <w:rsid w:val="00A955D9"/>
    <w:rsid w:val="00A958AB"/>
    <w:rsid w:val="00A96396"/>
    <w:rsid w:val="00A96417"/>
    <w:rsid w:val="00A96D3A"/>
    <w:rsid w:val="00A96FCB"/>
    <w:rsid w:val="00A9742A"/>
    <w:rsid w:val="00AA015B"/>
    <w:rsid w:val="00AA04DF"/>
    <w:rsid w:val="00AA052C"/>
    <w:rsid w:val="00AA064A"/>
    <w:rsid w:val="00AA370C"/>
    <w:rsid w:val="00AA43E4"/>
    <w:rsid w:val="00AA4E6D"/>
    <w:rsid w:val="00AA50C0"/>
    <w:rsid w:val="00AA5686"/>
    <w:rsid w:val="00AA585C"/>
    <w:rsid w:val="00AA5DBA"/>
    <w:rsid w:val="00AA602A"/>
    <w:rsid w:val="00AA64FB"/>
    <w:rsid w:val="00AA7625"/>
    <w:rsid w:val="00AA7930"/>
    <w:rsid w:val="00AB0144"/>
    <w:rsid w:val="00AB0406"/>
    <w:rsid w:val="00AB0466"/>
    <w:rsid w:val="00AB06F6"/>
    <w:rsid w:val="00AB0DDC"/>
    <w:rsid w:val="00AB13A9"/>
    <w:rsid w:val="00AB1AC2"/>
    <w:rsid w:val="00AB2A7F"/>
    <w:rsid w:val="00AB3442"/>
    <w:rsid w:val="00AB3504"/>
    <w:rsid w:val="00AB3647"/>
    <w:rsid w:val="00AB370F"/>
    <w:rsid w:val="00AB3AB7"/>
    <w:rsid w:val="00AB4399"/>
    <w:rsid w:val="00AB4847"/>
    <w:rsid w:val="00AB492E"/>
    <w:rsid w:val="00AB4A5F"/>
    <w:rsid w:val="00AB4DA7"/>
    <w:rsid w:val="00AB539C"/>
    <w:rsid w:val="00AB6218"/>
    <w:rsid w:val="00AB67AC"/>
    <w:rsid w:val="00AB6CE5"/>
    <w:rsid w:val="00AB7D4E"/>
    <w:rsid w:val="00AC0714"/>
    <w:rsid w:val="00AC0ECC"/>
    <w:rsid w:val="00AC117B"/>
    <w:rsid w:val="00AC1DD6"/>
    <w:rsid w:val="00AC256D"/>
    <w:rsid w:val="00AC2749"/>
    <w:rsid w:val="00AC2ACB"/>
    <w:rsid w:val="00AC2BFC"/>
    <w:rsid w:val="00AC34A8"/>
    <w:rsid w:val="00AC4206"/>
    <w:rsid w:val="00AC5561"/>
    <w:rsid w:val="00AC557B"/>
    <w:rsid w:val="00AC59F8"/>
    <w:rsid w:val="00AC5F57"/>
    <w:rsid w:val="00AC6194"/>
    <w:rsid w:val="00AC630E"/>
    <w:rsid w:val="00AC6800"/>
    <w:rsid w:val="00AC6BA2"/>
    <w:rsid w:val="00AC725F"/>
    <w:rsid w:val="00AC72C6"/>
    <w:rsid w:val="00AC7A2D"/>
    <w:rsid w:val="00AC7A4F"/>
    <w:rsid w:val="00AC7CC2"/>
    <w:rsid w:val="00AC7F99"/>
    <w:rsid w:val="00AD16D6"/>
    <w:rsid w:val="00AD22BD"/>
    <w:rsid w:val="00AD25BA"/>
    <w:rsid w:val="00AD29A7"/>
    <w:rsid w:val="00AD2B30"/>
    <w:rsid w:val="00AD2FDA"/>
    <w:rsid w:val="00AD3862"/>
    <w:rsid w:val="00AD4A3C"/>
    <w:rsid w:val="00AD4C82"/>
    <w:rsid w:val="00AD517E"/>
    <w:rsid w:val="00AD537C"/>
    <w:rsid w:val="00AD564C"/>
    <w:rsid w:val="00AD56FF"/>
    <w:rsid w:val="00AD5708"/>
    <w:rsid w:val="00AD6369"/>
    <w:rsid w:val="00AD7490"/>
    <w:rsid w:val="00AD7A8A"/>
    <w:rsid w:val="00AE0314"/>
    <w:rsid w:val="00AE0388"/>
    <w:rsid w:val="00AE07FF"/>
    <w:rsid w:val="00AE08FD"/>
    <w:rsid w:val="00AE0F5D"/>
    <w:rsid w:val="00AE25B4"/>
    <w:rsid w:val="00AE25F7"/>
    <w:rsid w:val="00AE2B81"/>
    <w:rsid w:val="00AE3BDB"/>
    <w:rsid w:val="00AE41B7"/>
    <w:rsid w:val="00AE48B6"/>
    <w:rsid w:val="00AE4D20"/>
    <w:rsid w:val="00AE5649"/>
    <w:rsid w:val="00AE5801"/>
    <w:rsid w:val="00AE6455"/>
    <w:rsid w:val="00AE7B9F"/>
    <w:rsid w:val="00AF06FD"/>
    <w:rsid w:val="00AF0A17"/>
    <w:rsid w:val="00AF0D83"/>
    <w:rsid w:val="00AF1F5F"/>
    <w:rsid w:val="00AF2352"/>
    <w:rsid w:val="00AF290C"/>
    <w:rsid w:val="00AF2E12"/>
    <w:rsid w:val="00AF319F"/>
    <w:rsid w:val="00AF60AF"/>
    <w:rsid w:val="00AF77CA"/>
    <w:rsid w:val="00AF7ED9"/>
    <w:rsid w:val="00B00165"/>
    <w:rsid w:val="00B0029F"/>
    <w:rsid w:val="00B01A6A"/>
    <w:rsid w:val="00B022E4"/>
    <w:rsid w:val="00B02301"/>
    <w:rsid w:val="00B02802"/>
    <w:rsid w:val="00B0347E"/>
    <w:rsid w:val="00B039D2"/>
    <w:rsid w:val="00B03D86"/>
    <w:rsid w:val="00B042C1"/>
    <w:rsid w:val="00B0642A"/>
    <w:rsid w:val="00B06566"/>
    <w:rsid w:val="00B07BE9"/>
    <w:rsid w:val="00B07D2B"/>
    <w:rsid w:val="00B10288"/>
    <w:rsid w:val="00B10F98"/>
    <w:rsid w:val="00B11FF4"/>
    <w:rsid w:val="00B124FD"/>
    <w:rsid w:val="00B1270A"/>
    <w:rsid w:val="00B12896"/>
    <w:rsid w:val="00B12ACE"/>
    <w:rsid w:val="00B12CF3"/>
    <w:rsid w:val="00B15265"/>
    <w:rsid w:val="00B162F3"/>
    <w:rsid w:val="00B16C11"/>
    <w:rsid w:val="00B16FF4"/>
    <w:rsid w:val="00B17D7D"/>
    <w:rsid w:val="00B20143"/>
    <w:rsid w:val="00B20376"/>
    <w:rsid w:val="00B20564"/>
    <w:rsid w:val="00B20637"/>
    <w:rsid w:val="00B20DCA"/>
    <w:rsid w:val="00B218A9"/>
    <w:rsid w:val="00B22C97"/>
    <w:rsid w:val="00B22E80"/>
    <w:rsid w:val="00B23914"/>
    <w:rsid w:val="00B23B04"/>
    <w:rsid w:val="00B23D22"/>
    <w:rsid w:val="00B265DA"/>
    <w:rsid w:val="00B266B3"/>
    <w:rsid w:val="00B267A3"/>
    <w:rsid w:val="00B269EC"/>
    <w:rsid w:val="00B26A16"/>
    <w:rsid w:val="00B27197"/>
    <w:rsid w:val="00B2730F"/>
    <w:rsid w:val="00B27AA7"/>
    <w:rsid w:val="00B3008D"/>
    <w:rsid w:val="00B30277"/>
    <w:rsid w:val="00B303CD"/>
    <w:rsid w:val="00B30639"/>
    <w:rsid w:val="00B31053"/>
    <w:rsid w:val="00B312AC"/>
    <w:rsid w:val="00B31EE1"/>
    <w:rsid w:val="00B31F77"/>
    <w:rsid w:val="00B32109"/>
    <w:rsid w:val="00B33BAD"/>
    <w:rsid w:val="00B341F1"/>
    <w:rsid w:val="00B35329"/>
    <w:rsid w:val="00B35574"/>
    <w:rsid w:val="00B35FF0"/>
    <w:rsid w:val="00B3624B"/>
    <w:rsid w:val="00B36AB5"/>
    <w:rsid w:val="00B37AAA"/>
    <w:rsid w:val="00B4067E"/>
    <w:rsid w:val="00B4117D"/>
    <w:rsid w:val="00B412DB"/>
    <w:rsid w:val="00B41A08"/>
    <w:rsid w:val="00B420CA"/>
    <w:rsid w:val="00B425A5"/>
    <w:rsid w:val="00B4267B"/>
    <w:rsid w:val="00B42A97"/>
    <w:rsid w:val="00B4357B"/>
    <w:rsid w:val="00B4372D"/>
    <w:rsid w:val="00B43747"/>
    <w:rsid w:val="00B439A7"/>
    <w:rsid w:val="00B43CC7"/>
    <w:rsid w:val="00B440EB"/>
    <w:rsid w:val="00B444C7"/>
    <w:rsid w:val="00B44A30"/>
    <w:rsid w:val="00B44E56"/>
    <w:rsid w:val="00B45C92"/>
    <w:rsid w:val="00B4600B"/>
    <w:rsid w:val="00B46184"/>
    <w:rsid w:val="00B46965"/>
    <w:rsid w:val="00B47070"/>
    <w:rsid w:val="00B470D1"/>
    <w:rsid w:val="00B476FD"/>
    <w:rsid w:val="00B50404"/>
    <w:rsid w:val="00B50B2D"/>
    <w:rsid w:val="00B50FA1"/>
    <w:rsid w:val="00B51A45"/>
    <w:rsid w:val="00B51DB4"/>
    <w:rsid w:val="00B51F65"/>
    <w:rsid w:val="00B53515"/>
    <w:rsid w:val="00B54AA8"/>
    <w:rsid w:val="00B54AC1"/>
    <w:rsid w:val="00B54B03"/>
    <w:rsid w:val="00B552C1"/>
    <w:rsid w:val="00B5582C"/>
    <w:rsid w:val="00B55B1F"/>
    <w:rsid w:val="00B564FE"/>
    <w:rsid w:val="00B568B9"/>
    <w:rsid w:val="00B56B8D"/>
    <w:rsid w:val="00B56D8E"/>
    <w:rsid w:val="00B56E0E"/>
    <w:rsid w:val="00B56F49"/>
    <w:rsid w:val="00B5711B"/>
    <w:rsid w:val="00B574A9"/>
    <w:rsid w:val="00B57849"/>
    <w:rsid w:val="00B57EAD"/>
    <w:rsid w:val="00B60040"/>
    <w:rsid w:val="00B602AB"/>
    <w:rsid w:val="00B61209"/>
    <w:rsid w:val="00B61592"/>
    <w:rsid w:val="00B63A49"/>
    <w:rsid w:val="00B64111"/>
    <w:rsid w:val="00B6415F"/>
    <w:rsid w:val="00B64636"/>
    <w:rsid w:val="00B6471B"/>
    <w:rsid w:val="00B64D46"/>
    <w:rsid w:val="00B64FBC"/>
    <w:rsid w:val="00B65B18"/>
    <w:rsid w:val="00B65D30"/>
    <w:rsid w:val="00B65F0E"/>
    <w:rsid w:val="00B6604D"/>
    <w:rsid w:val="00B664EF"/>
    <w:rsid w:val="00B672A4"/>
    <w:rsid w:val="00B67BFC"/>
    <w:rsid w:val="00B71B40"/>
    <w:rsid w:val="00B7258A"/>
    <w:rsid w:val="00B72EC7"/>
    <w:rsid w:val="00B73BFE"/>
    <w:rsid w:val="00B74EBD"/>
    <w:rsid w:val="00B750D0"/>
    <w:rsid w:val="00B75420"/>
    <w:rsid w:val="00B75B44"/>
    <w:rsid w:val="00B75D53"/>
    <w:rsid w:val="00B75D7B"/>
    <w:rsid w:val="00B76958"/>
    <w:rsid w:val="00B76C87"/>
    <w:rsid w:val="00B76F60"/>
    <w:rsid w:val="00B76F70"/>
    <w:rsid w:val="00B779A9"/>
    <w:rsid w:val="00B81181"/>
    <w:rsid w:val="00B81B3A"/>
    <w:rsid w:val="00B82EAA"/>
    <w:rsid w:val="00B82FE3"/>
    <w:rsid w:val="00B83763"/>
    <w:rsid w:val="00B83997"/>
    <w:rsid w:val="00B83DE7"/>
    <w:rsid w:val="00B84E1C"/>
    <w:rsid w:val="00B8552D"/>
    <w:rsid w:val="00B85982"/>
    <w:rsid w:val="00B86054"/>
    <w:rsid w:val="00B864BF"/>
    <w:rsid w:val="00B86819"/>
    <w:rsid w:val="00B86B73"/>
    <w:rsid w:val="00B87134"/>
    <w:rsid w:val="00B87A0E"/>
    <w:rsid w:val="00B919C9"/>
    <w:rsid w:val="00B91BFB"/>
    <w:rsid w:val="00B91C80"/>
    <w:rsid w:val="00B91D5F"/>
    <w:rsid w:val="00B922ED"/>
    <w:rsid w:val="00B923FA"/>
    <w:rsid w:val="00B9298A"/>
    <w:rsid w:val="00B92DB9"/>
    <w:rsid w:val="00B93137"/>
    <w:rsid w:val="00B93B5C"/>
    <w:rsid w:val="00B93D33"/>
    <w:rsid w:val="00B947B5"/>
    <w:rsid w:val="00B9493A"/>
    <w:rsid w:val="00B94967"/>
    <w:rsid w:val="00B949F0"/>
    <w:rsid w:val="00B95945"/>
    <w:rsid w:val="00B95CEB"/>
    <w:rsid w:val="00B9639B"/>
    <w:rsid w:val="00B96863"/>
    <w:rsid w:val="00B9704A"/>
    <w:rsid w:val="00B97990"/>
    <w:rsid w:val="00BA08A4"/>
    <w:rsid w:val="00BA0D20"/>
    <w:rsid w:val="00BA1357"/>
    <w:rsid w:val="00BA1742"/>
    <w:rsid w:val="00BA1C1B"/>
    <w:rsid w:val="00BA2463"/>
    <w:rsid w:val="00BA3AA3"/>
    <w:rsid w:val="00BA454E"/>
    <w:rsid w:val="00BA4CD6"/>
    <w:rsid w:val="00BA4E2C"/>
    <w:rsid w:val="00BA56DA"/>
    <w:rsid w:val="00BA5A9A"/>
    <w:rsid w:val="00BA61EE"/>
    <w:rsid w:val="00BA6350"/>
    <w:rsid w:val="00BA6AF2"/>
    <w:rsid w:val="00BA761C"/>
    <w:rsid w:val="00BA7684"/>
    <w:rsid w:val="00BA7889"/>
    <w:rsid w:val="00BA7FA7"/>
    <w:rsid w:val="00BB0706"/>
    <w:rsid w:val="00BB0D7F"/>
    <w:rsid w:val="00BB197D"/>
    <w:rsid w:val="00BB272F"/>
    <w:rsid w:val="00BB2EF7"/>
    <w:rsid w:val="00BB3AC0"/>
    <w:rsid w:val="00BB4612"/>
    <w:rsid w:val="00BB4AFF"/>
    <w:rsid w:val="00BB5A22"/>
    <w:rsid w:val="00BB626D"/>
    <w:rsid w:val="00BB6E81"/>
    <w:rsid w:val="00BB7421"/>
    <w:rsid w:val="00BB7444"/>
    <w:rsid w:val="00BB7AE0"/>
    <w:rsid w:val="00BC067A"/>
    <w:rsid w:val="00BC1798"/>
    <w:rsid w:val="00BC295B"/>
    <w:rsid w:val="00BC2DEA"/>
    <w:rsid w:val="00BC3D0D"/>
    <w:rsid w:val="00BC3D9E"/>
    <w:rsid w:val="00BC40CC"/>
    <w:rsid w:val="00BC44A6"/>
    <w:rsid w:val="00BC621F"/>
    <w:rsid w:val="00BC63F3"/>
    <w:rsid w:val="00BC6830"/>
    <w:rsid w:val="00BC7987"/>
    <w:rsid w:val="00BC79D6"/>
    <w:rsid w:val="00BD014B"/>
    <w:rsid w:val="00BD017F"/>
    <w:rsid w:val="00BD01A4"/>
    <w:rsid w:val="00BD0739"/>
    <w:rsid w:val="00BD12AB"/>
    <w:rsid w:val="00BD1348"/>
    <w:rsid w:val="00BD15C3"/>
    <w:rsid w:val="00BD1A10"/>
    <w:rsid w:val="00BD1F03"/>
    <w:rsid w:val="00BD3967"/>
    <w:rsid w:val="00BD3F1E"/>
    <w:rsid w:val="00BD40EB"/>
    <w:rsid w:val="00BD4463"/>
    <w:rsid w:val="00BD4B29"/>
    <w:rsid w:val="00BD4BF4"/>
    <w:rsid w:val="00BD501B"/>
    <w:rsid w:val="00BD5922"/>
    <w:rsid w:val="00BD5BB0"/>
    <w:rsid w:val="00BD637C"/>
    <w:rsid w:val="00BD6E4F"/>
    <w:rsid w:val="00BD7252"/>
    <w:rsid w:val="00BD7CD6"/>
    <w:rsid w:val="00BE17B3"/>
    <w:rsid w:val="00BE37AC"/>
    <w:rsid w:val="00BE39D6"/>
    <w:rsid w:val="00BE4420"/>
    <w:rsid w:val="00BE482F"/>
    <w:rsid w:val="00BE56C5"/>
    <w:rsid w:val="00BE5787"/>
    <w:rsid w:val="00BE5A03"/>
    <w:rsid w:val="00BE63CA"/>
    <w:rsid w:val="00BE641F"/>
    <w:rsid w:val="00BE6969"/>
    <w:rsid w:val="00BE6BF8"/>
    <w:rsid w:val="00BE6CB9"/>
    <w:rsid w:val="00BE75AD"/>
    <w:rsid w:val="00BE781C"/>
    <w:rsid w:val="00BF039D"/>
    <w:rsid w:val="00BF098C"/>
    <w:rsid w:val="00BF1177"/>
    <w:rsid w:val="00BF12B8"/>
    <w:rsid w:val="00BF135B"/>
    <w:rsid w:val="00BF1750"/>
    <w:rsid w:val="00BF1DEB"/>
    <w:rsid w:val="00BF2664"/>
    <w:rsid w:val="00BF3AAD"/>
    <w:rsid w:val="00BF3AC7"/>
    <w:rsid w:val="00BF4499"/>
    <w:rsid w:val="00BF45FB"/>
    <w:rsid w:val="00BF5026"/>
    <w:rsid w:val="00BF5511"/>
    <w:rsid w:val="00BF61A3"/>
    <w:rsid w:val="00BF65E6"/>
    <w:rsid w:val="00BF6D49"/>
    <w:rsid w:val="00BF7554"/>
    <w:rsid w:val="00BF7C0A"/>
    <w:rsid w:val="00C00786"/>
    <w:rsid w:val="00C00E04"/>
    <w:rsid w:val="00C01241"/>
    <w:rsid w:val="00C01793"/>
    <w:rsid w:val="00C01E41"/>
    <w:rsid w:val="00C02DBF"/>
    <w:rsid w:val="00C03332"/>
    <w:rsid w:val="00C034C5"/>
    <w:rsid w:val="00C039CA"/>
    <w:rsid w:val="00C0430D"/>
    <w:rsid w:val="00C04FC4"/>
    <w:rsid w:val="00C05360"/>
    <w:rsid w:val="00C0571F"/>
    <w:rsid w:val="00C06014"/>
    <w:rsid w:val="00C06125"/>
    <w:rsid w:val="00C06FF5"/>
    <w:rsid w:val="00C071C9"/>
    <w:rsid w:val="00C0743B"/>
    <w:rsid w:val="00C121D0"/>
    <w:rsid w:val="00C12962"/>
    <w:rsid w:val="00C13011"/>
    <w:rsid w:val="00C13C8E"/>
    <w:rsid w:val="00C13E0B"/>
    <w:rsid w:val="00C143E8"/>
    <w:rsid w:val="00C14942"/>
    <w:rsid w:val="00C14BDC"/>
    <w:rsid w:val="00C14C04"/>
    <w:rsid w:val="00C14C80"/>
    <w:rsid w:val="00C15425"/>
    <w:rsid w:val="00C15AF9"/>
    <w:rsid w:val="00C15B36"/>
    <w:rsid w:val="00C16871"/>
    <w:rsid w:val="00C170D3"/>
    <w:rsid w:val="00C17668"/>
    <w:rsid w:val="00C20345"/>
    <w:rsid w:val="00C208BC"/>
    <w:rsid w:val="00C211DC"/>
    <w:rsid w:val="00C21324"/>
    <w:rsid w:val="00C233A5"/>
    <w:rsid w:val="00C24244"/>
    <w:rsid w:val="00C248D4"/>
    <w:rsid w:val="00C249FD"/>
    <w:rsid w:val="00C24D82"/>
    <w:rsid w:val="00C256BD"/>
    <w:rsid w:val="00C26338"/>
    <w:rsid w:val="00C26479"/>
    <w:rsid w:val="00C2651E"/>
    <w:rsid w:val="00C27A72"/>
    <w:rsid w:val="00C3002F"/>
    <w:rsid w:val="00C30E90"/>
    <w:rsid w:val="00C30FEC"/>
    <w:rsid w:val="00C31E48"/>
    <w:rsid w:val="00C321EA"/>
    <w:rsid w:val="00C324A3"/>
    <w:rsid w:val="00C32A04"/>
    <w:rsid w:val="00C32F2F"/>
    <w:rsid w:val="00C3308F"/>
    <w:rsid w:val="00C33891"/>
    <w:rsid w:val="00C3393D"/>
    <w:rsid w:val="00C33E69"/>
    <w:rsid w:val="00C344BA"/>
    <w:rsid w:val="00C348EB"/>
    <w:rsid w:val="00C34B2A"/>
    <w:rsid w:val="00C34CCF"/>
    <w:rsid w:val="00C3535A"/>
    <w:rsid w:val="00C35580"/>
    <w:rsid w:val="00C359A9"/>
    <w:rsid w:val="00C3635F"/>
    <w:rsid w:val="00C3692E"/>
    <w:rsid w:val="00C36D3C"/>
    <w:rsid w:val="00C36E9A"/>
    <w:rsid w:val="00C36F94"/>
    <w:rsid w:val="00C4000D"/>
    <w:rsid w:val="00C403DA"/>
    <w:rsid w:val="00C41AE5"/>
    <w:rsid w:val="00C41E39"/>
    <w:rsid w:val="00C43FA4"/>
    <w:rsid w:val="00C44208"/>
    <w:rsid w:val="00C446CD"/>
    <w:rsid w:val="00C447A3"/>
    <w:rsid w:val="00C457B8"/>
    <w:rsid w:val="00C4678E"/>
    <w:rsid w:val="00C47091"/>
    <w:rsid w:val="00C47DFF"/>
    <w:rsid w:val="00C47EEC"/>
    <w:rsid w:val="00C50FB8"/>
    <w:rsid w:val="00C5123D"/>
    <w:rsid w:val="00C51E1F"/>
    <w:rsid w:val="00C525F2"/>
    <w:rsid w:val="00C527F0"/>
    <w:rsid w:val="00C52EAF"/>
    <w:rsid w:val="00C53253"/>
    <w:rsid w:val="00C534C8"/>
    <w:rsid w:val="00C54244"/>
    <w:rsid w:val="00C54CC2"/>
    <w:rsid w:val="00C55571"/>
    <w:rsid w:val="00C55675"/>
    <w:rsid w:val="00C55CB4"/>
    <w:rsid w:val="00C5685E"/>
    <w:rsid w:val="00C56C15"/>
    <w:rsid w:val="00C56F57"/>
    <w:rsid w:val="00C603E8"/>
    <w:rsid w:val="00C60B86"/>
    <w:rsid w:val="00C61086"/>
    <w:rsid w:val="00C620AC"/>
    <w:rsid w:val="00C620F3"/>
    <w:rsid w:val="00C62E38"/>
    <w:rsid w:val="00C63BD4"/>
    <w:rsid w:val="00C63D85"/>
    <w:rsid w:val="00C63F82"/>
    <w:rsid w:val="00C64D24"/>
    <w:rsid w:val="00C65016"/>
    <w:rsid w:val="00C666CF"/>
    <w:rsid w:val="00C66835"/>
    <w:rsid w:val="00C66DBA"/>
    <w:rsid w:val="00C678E6"/>
    <w:rsid w:val="00C67AB3"/>
    <w:rsid w:val="00C70390"/>
    <w:rsid w:val="00C70AEF"/>
    <w:rsid w:val="00C70FAF"/>
    <w:rsid w:val="00C718F0"/>
    <w:rsid w:val="00C71F14"/>
    <w:rsid w:val="00C71F73"/>
    <w:rsid w:val="00C7214F"/>
    <w:rsid w:val="00C7290B"/>
    <w:rsid w:val="00C72D77"/>
    <w:rsid w:val="00C733F9"/>
    <w:rsid w:val="00C73929"/>
    <w:rsid w:val="00C73C04"/>
    <w:rsid w:val="00C743FA"/>
    <w:rsid w:val="00C750E1"/>
    <w:rsid w:val="00C7515E"/>
    <w:rsid w:val="00C757B2"/>
    <w:rsid w:val="00C7609B"/>
    <w:rsid w:val="00C763ED"/>
    <w:rsid w:val="00C76FD0"/>
    <w:rsid w:val="00C77407"/>
    <w:rsid w:val="00C80228"/>
    <w:rsid w:val="00C80607"/>
    <w:rsid w:val="00C80624"/>
    <w:rsid w:val="00C80D64"/>
    <w:rsid w:val="00C81402"/>
    <w:rsid w:val="00C8222B"/>
    <w:rsid w:val="00C82315"/>
    <w:rsid w:val="00C823A8"/>
    <w:rsid w:val="00C82711"/>
    <w:rsid w:val="00C828C8"/>
    <w:rsid w:val="00C82B39"/>
    <w:rsid w:val="00C82D38"/>
    <w:rsid w:val="00C839E5"/>
    <w:rsid w:val="00C83D72"/>
    <w:rsid w:val="00C83FC3"/>
    <w:rsid w:val="00C84977"/>
    <w:rsid w:val="00C85260"/>
    <w:rsid w:val="00C85D79"/>
    <w:rsid w:val="00C85E2A"/>
    <w:rsid w:val="00C8607F"/>
    <w:rsid w:val="00C861D2"/>
    <w:rsid w:val="00C864C1"/>
    <w:rsid w:val="00C872A8"/>
    <w:rsid w:val="00C8747A"/>
    <w:rsid w:val="00C90D84"/>
    <w:rsid w:val="00C9182C"/>
    <w:rsid w:val="00C91AAF"/>
    <w:rsid w:val="00C91C25"/>
    <w:rsid w:val="00C91D41"/>
    <w:rsid w:val="00C91EB2"/>
    <w:rsid w:val="00C92281"/>
    <w:rsid w:val="00C92CDA"/>
    <w:rsid w:val="00C9310F"/>
    <w:rsid w:val="00C93387"/>
    <w:rsid w:val="00C9417A"/>
    <w:rsid w:val="00C942B0"/>
    <w:rsid w:val="00C944E1"/>
    <w:rsid w:val="00C9472B"/>
    <w:rsid w:val="00C9475F"/>
    <w:rsid w:val="00C95378"/>
    <w:rsid w:val="00C954F8"/>
    <w:rsid w:val="00C9550B"/>
    <w:rsid w:val="00C95A4E"/>
    <w:rsid w:val="00C95E03"/>
    <w:rsid w:val="00C9611B"/>
    <w:rsid w:val="00C96597"/>
    <w:rsid w:val="00C96742"/>
    <w:rsid w:val="00C969F3"/>
    <w:rsid w:val="00C97211"/>
    <w:rsid w:val="00C97444"/>
    <w:rsid w:val="00C976A3"/>
    <w:rsid w:val="00C979B1"/>
    <w:rsid w:val="00C97F3C"/>
    <w:rsid w:val="00CA008A"/>
    <w:rsid w:val="00CA0482"/>
    <w:rsid w:val="00CA05DD"/>
    <w:rsid w:val="00CA0B87"/>
    <w:rsid w:val="00CA12A7"/>
    <w:rsid w:val="00CA147E"/>
    <w:rsid w:val="00CA1820"/>
    <w:rsid w:val="00CA1EB2"/>
    <w:rsid w:val="00CA2653"/>
    <w:rsid w:val="00CA271D"/>
    <w:rsid w:val="00CA284C"/>
    <w:rsid w:val="00CA298A"/>
    <w:rsid w:val="00CA3091"/>
    <w:rsid w:val="00CA3E5D"/>
    <w:rsid w:val="00CA495C"/>
    <w:rsid w:val="00CA5138"/>
    <w:rsid w:val="00CA5AF4"/>
    <w:rsid w:val="00CA6790"/>
    <w:rsid w:val="00CA742A"/>
    <w:rsid w:val="00CA74BB"/>
    <w:rsid w:val="00CB0165"/>
    <w:rsid w:val="00CB016A"/>
    <w:rsid w:val="00CB02C7"/>
    <w:rsid w:val="00CB075B"/>
    <w:rsid w:val="00CB14CB"/>
    <w:rsid w:val="00CB1DBC"/>
    <w:rsid w:val="00CB2099"/>
    <w:rsid w:val="00CB21B0"/>
    <w:rsid w:val="00CB4130"/>
    <w:rsid w:val="00CB418B"/>
    <w:rsid w:val="00CB5260"/>
    <w:rsid w:val="00CB5B2A"/>
    <w:rsid w:val="00CB6E5D"/>
    <w:rsid w:val="00CB7757"/>
    <w:rsid w:val="00CB7DE9"/>
    <w:rsid w:val="00CC0028"/>
    <w:rsid w:val="00CC0C9F"/>
    <w:rsid w:val="00CC1069"/>
    <w:rsid w:val="00CC11FE"/>
    <w:rsid w:val="00CC282B"/>
    <w:rsid w:val="00CC37CF"/>
    <w:rsid w:val="00CC39DC"/>
    <w:rsid w:val="00CC4563"/>
    <w:rsid w:val="00CC46BC"/>
    <w:rsid w:val="00CC46E2"/>
    <w:rsid w:val="00CC4EF4"/>
    <w:rsid w:val="00CC5842"/>
    <w:rsid w:val="00CC5A7E"/>
    <w:rsid w:val="00CC60E7"/>
    <w:rsid w:val="00CC61E5"/>
    <w:rsid w:val="00CC6668"/>
    <w:rsid w:val="00CC698C"/>
    <w:rsid w:val="00CC7753"/>
    <w:rsid w:val="00CD02FC"/>
    <w:rsid w:val="00CD0A16"/>
    <w:rsid w:val="00CD0C0E"/>
    <w:rsid w:val="00CD1011"/>
    <w:rsid w:val="00CD11C3"/>
    <w:rsid w:val="00CD2143"/>
    <w:rsid w:val="00CD22C1"/>
    <w:rsid w:val="00CD294E"/>
    <w:rsid w:val="00CD29DA"/>
    <w:rsid w:val="00CD35AB"/>
    <w:rsid w:val="00CD37A0"/>
    <w:rsid w:val="00CD4799"/>
    <w:rsid w:val="00CD4B2F"/>
    <w:rsid w:val="00CD51E5"/>
    <w:rsid w:val="00CD5A24"/>
    <w:rsid w:val="00CD5C01"/>
    <w:rsid w:val="00CD5E83"/>
    <w:rsid w:val="00CD6A6D"/>
    <w:rsid w:val="00CD7AA1"/>
    <w:rsid w:val="00CD7F82"/>
    <w:rsid w:val="00CE04D3"/>
    <w:rsid w:val="00CE17B6"/>
    <w:rsid w:val="00CE233A"/>
    <w:rsid w:val="00CE3008"/>
    <w:rsid w:val="00CE3084"/>
    <w:rsid w:val="00CE3799"/>
    <w:rsid w:val="00CE3894"/>
    <w:rsid w:val="00CE427D"/>
    <w:rsid w:val="00CE4766"/>
    <w:rsid w:val="00CE4A81"/>
    <w:rsid w:val="00CE4F66"/>
    <w:rsid w:val="00CE5B9A"/>
    <w:rsid w:val="00CE6EAB"/>
    <w:rsid w:val="00CE7366"/>
    <w:rsid w:val="00CE7408"/>
    <w:rsid w:val="00CF0A7C"/>
    <w:rsid w:val="00CF0E7B"/>
    <w:rsid w:val="00CF103D"/>
    <w:rsid w:val="00CF106F"/>
    <w:rsid w:val="00CF205D"/>
    <w:rsid w:val="00CF2352"/>
    <w:rsid w:val="00CF2AD0"/>
    <w:rsid w:val="00CF334A"/>
    <w:rsid w:val="00CF42F7"/>
    <w:rsid w:val="00CF4382"/>
    <w:rsid w:val="00CF4798"/>
    <w:rsid w:val="00CF60F8"/>
    <w:rsid w:val="00CF6B7F"/>
    <w:rsid w:val="00D0226A"/>
    <w:rsid w:val="00D029B2"/>
    <w:rsid w:val="00D03284"/>
    <w:rsid w:val="00D035FA"/>
    <w:rsid w:val="00D039F5"/>
    <w:rsid w:val="00D03AFF"/>
    <w:rsid w:val="00D054DE"/>
    <w:rsid w:val="00D057E2"/>
    <w:rsid w:val="00D06066"/>
    <w:rsid w:val="00D061C2"/>
    <w:rsid w:val="00D07324"/>
    <w:rsid w:val="00D10173"/>
    <w:rsid w:val="00D103B4"/>
    <w:rsid w:val="00D10555"/>
    <w:rsid w:val="00D11E28"/>
    <w:rsid w:val="00D1206A"/>
    <w:rsid w:val="00D12AD9"/>
    <w:rsid w:val="00D12CC4"/>
    <w:rsid w:val="00D134BA"/>
    <w:rsid w:val="00D1472B"/>
    <w:rsid w:val="00D155AC"/>
    <w:rsid w:val="00D15608"/>
    <w:rsid w:val="00D15D3C"/>
    <w:rsid w:val="00D15E76"/>
    <w:rsid w:val="00D1624E"/>
    <w:rsid w:val="00D16783"/>
    <w:rsid w:val="00D17046"/>
    <w:rsid w:val="00D20FD3"/>
    <w:rsid w:val="00D21C87"/>
    <w:rsid w:val="00D22243"/>
    <w:rsid w:val="00D222D8"/>
    <w:rsid w:val="00D223A5"/>
    <w:rsid w:val="00D224DA"/>
    <w:rsid w:val="00D232C2"/>
    <w:rsid w:val="00D246E6"/>
    <w:rsid w:val="00D2471A"/>
    <w:rsid w:val="00D25051"/>
    <w:rsid w:val="00D26CA8"/>
    <w:rsid w:val="00D27113"/>
    <w:rsid w:val="00D273C6"/>
    <w:rsid w:val="00D27969"/>
    <w:rsid w:val="00D27E19"/>
    <w:rsid w:val="00D27EAA"/>
    <w:rsid w:val="00D30298"/>
    <w:rsid w:val="00D304D1"/>
    <w:rsid w:val="00D313B4"/>
    <w:rsid w:val="00D317B5"/>
    <w:rsid w:val="00D31B5D"/>
    <w:rsid w:val="00D32B61"/>
    <w:rsid w:val="00D33130"/>
    <w:rsid w:val="00D331DE"/>
    <w:rsid w:val="00D33DA9"/>
    <w:rsid w:val="00D34502"/>
    <w:rsid w:val="00D34D9F"/>
    <w:rsid w:val="00D35106"/>
    <w:rsid w:val="00D35396"/>
    <w:rsid w:val="00D35666"/>
    <w:rsid w:val="00D36966"/>
    <w:rsid w:val="00D37633"/>
    <w:rsid w:val="00D37C6E"/>
    <w:rsid w:val="00D401C4"/>
    <w:rsid w:val="00D403B4"/>
    <w:rsid w:val="00D4087C"/>
    <w:rsid w:val="00D40B84"/>
    <w:rsid w:val="00D40E4E"/>
    <w:rsid w:val="00D41DE6"/>
    <w:rsid w:val="00D431B4"/>
    <w:rsid w:val="00D4327E"/>
    <w:rsid w:val="00D439C0"/>
    <w:rsid w:val="00D43AA3"/>
    <w:rsid w:val="00D43C47"/>
    <w:rsid w:val="00D44A74"/>
    <w:rsid w:val="00D44DAA"/>
    <w:rsid w:val="00D4502B"/>
    <w:rsid w:val="00D45D5F"/>
    <w:rsid w:val="00D46320"/>
    <w:rsid w:val="00D46546"/>
    <w:rsid w:val="00D473F5"/>
    <w:rsid w:val="00D47728"/>
    <w:rsid w:val="00D5011A"/>
    <w:rsid w:val="00D5028A"/>
    <w:rsid w:val="00D50A88"/>
    <w:rsid w:val="00D50AA7"/>
    <w:rsid w:val="00D50D04"/>
    <w:rsid w:val="00D51A6A"/>
    <w:rsid w:val="00D52207"/>
    <w:rsid w:val="00D524BD"/>
    <w:rsid w:val="00D52833"/>
    <w:rsid w:val="00D52EF0"/>
    <w:rsid w:val="00D532DC"/>
    <w:rsid w:val="00D53474"/>
    <w:rsid w:val="00D54A8D"/>
    <w:rsid w:val="00D5505A"/>
    <w:rsid w:val="00D5576B"/>
    <w:rsid w:val="00D55C1B"/>
    <w:rsid w:val="00D55CEB"/>
    <w:rsid w:val="00D5689B"/>
    <w:rsid w:val="00D569F0"/>
    <w:rsid w:val="00D57652"/>
    <w:rsid w:val="00D57DCD"/>
    <w:rsid w:val="00D608D7"/>
    <w:rsid w:val="00D60941"/>
    <w:rsid w:val="00D61C41"/>
    <w:rsid w:val="00D61EFF"/>
    <w:rsid w:val="00D62311"/>
    <w:rsid w:val="00D62365"/>
    <w:rsid w:val="00D62BB9"/>
    <w:rsid w:val="00D634B7"/>
    <w:rsid w:val="00D63ADF"/>
    <w:rsid w:val="00D6429F"/>
    <w:rsid w:val="00D64A74"/>
    <w:rsid w:val="00D64EE6"/>
    <w:rsid w:val="00D65286"/>
    <w:rsid w:val="00D67489"/>
    <w:rsid w:val="00D7008B"/>
    <w:rsid w:val="00D705E6"/>
    <w:rsid w:val="00D70C7F"/>
    <w:rsid w:val="00D70D82"/>
    <w:rsid w:val="00D71196"/>
    <w:rsid w:val="00D71999"/>
    <w:rsid w:val="00D71F9F"/>
    <w:rsid w:val="00D72203"/>
    <w:rsid w:val="00D72818"/>
    <w:rsid w:val="00D72D29"/>
    <w:rsid w:val="00D739C1"/>
    <w:rsid w:val="00D744F7"/>
    <w:rsid w:val="00D74958"/>
    <w:rsid w:val="00D74A44"/>
    <w:rsid w:val="00D74E58"/>
    <w:rsid w:val="00D75124"/>
    <w:rsid w:val="00D763CA"/>
    <w:rsid w:val="00D76621"/>
    <w:rsid w:val="00D7799A"/>
    <w:rsid w:val="00D77EC6"/>
    <w:rsid w:val="00D801D6"/>
    <w:rsid w:val="00D81D67"/>
    <w:rsid w:val="00D81EC7"/>
    <w:rsid w:val="00D82494"/>
    <w:rsid w:val="00D82C9D"/>
    <w:rsid w:val="00D831BF"/>
    <w:rsid w:val="00D83B5B"/>
    <w:rsid w:val="00D85CB6"/>
    <w:rsid w:val="00D86012"/>
    <w:rsid w:val="00D873E7"/>
    <w:rsid w:val="00D90C7B"/>
    <w:rsid w:val="00D917C8"/>
    <w:rsid w:val="00D91D0A"/>
    <w:rsid w:val="00D92BAA"/>
    <w:rsid w:val="00D93293"/>
    <w:rsid w:val="00D9415C"/>
    <w:rsid w:val="00D944E9"/>
    <w:rsid w:val="00D94A3E"/>
    <w:rsid w:val="00D9525A"/>
    <w:rsid w:val="00D9574F"/>
    <w:rsid w:val="00D96034"/>
    <w:rsid w:val="00D96A1C"/>
    <w:rsid w:val="00D96B51"/>
    <w:rsid w:val="00D96FAA"/>
    <w:rsid w:val="00D97798"/>
    <w:rsid w:val="00D97C3B"/>
    <w:rsid w:val="00D97C6A"/>
    <w:rsid w:val="00D97F3C"/>
    <w:rsid w:val="00DA05BB"/>
    <w:rsid w:val="00DA0E2E"/>
    <w:rsid w:val="00DA1A7A"/>
    <w:rsid w:val="00DA39B1"/>
    <w:rsid w:val="00DA4141"/>
    <w:rsid w:val="00DA4B35"/>
    <w:rsid w:val="00DA4F56"/>
    <w:rsid w:val="00DA688C"/>
    <w:rsid w:val="00DA76C2"/>
    <w:rsid w:val="00DB043D"/>
    <w:rsid w:val="00DB060B"/>
    <w:rsid w:val="00DB1BF4"/>
    <w:rsid w:val="00DB1C24"/>
    <w:rsid w:val="00DB2833"/>
    <w:rsid w:val="00DB4874"/>
    <w:rsid w:val="00DB4A69"/>
    <w:rsid w:val="00DB4CF0"/>
    <w:rsid w:val="00DB4FEB"/>
    <w:rsid w:val="00DB6AD2"/>
    <w:rsid w:val="00DB6EFB"/>
    <w:rsid w:val="00DB78AA"/>
    <w:rsid w:val="00DB7978"/>
    <w:rsid w:val="00DC01D0"/>
    <w:rsid w:val="00DC1125"/>
    <w:rsid w:val="00DC13C7"/>
    <w:rsid w:val="00DC1DB6"/>
    <w:rsid w:val="00DC2768"/>
    <w:rsid w:val="00DC360F"/>
    <w:rsid w:val="00DC3E81"/>
    <w:rsid w:val="00DC420E"/>
    <w:rsid w:val="00DC5D54"/>
    <w:rsid w:val="00DC61E2"/>
    <w:rsid w:val="00DC62DB"/>
    <w:rsid w:val="00DC686D"/>
    <w:rsid w:val="00DC7ACD"/>
    <w:rsid w:val="00DD0C2A"/>
    <w:rsid w:val="00DD194B"/>
    <w:rsid w:val="00DD23BA"/>
    <w:rsid w:val="00DD3616"/>
    <w:rsid w:val="00DD3AD6"/>
    <w:rsid w:val="00DD3AD7"/>
    <w:rsid w:val="00DD49B9"/>
    <w:rsid w:val="00DD566A"/>
    <w:rsid w:val="00DD5B06"/>
    <w:rsid w:val="00DD6404"/>
    <w:rsid w:val="00DD718A"/>
    <w:rsid w:val="00DD7770"/>
    <w:rsid w:val="00DD7A48"/>
    <w:rsid w:val="00DE00DA"/>
    <w:rsid w:val="00DE0366"/>
    <w:rsid w:val="00DE03E3"/>
    <w:rsid w:val="00DE0A50"/>
    <w:rsid w:val="00DE0B13"/>
    <w:rsid w:val="00DE0F23"/>
    <w:rsid w:val="00DE1013"/>
    <w:rsid w:val="00DE114F"/>
    <w:rsid w:val="00DE11A9"/>
    <w:rsid w:val="00DE1266"/>
    <w:rsid w:val="00DE19E6"/>
    <w:rsid w:val="00DE2052"/>
    <w:rsid w:val="00DE2A58"/>
    <w:rsid w:val="00DE34CE"/>
    <w:rsid w:val="00DE4038"/>
    <w:rsid w:val="00DE4259"/>
    <w:rsid w:val="00DE42BD"/>
    <w:rsid w:val="00DE5686"/>
    <w:rsid w:val="00DE56FF"/>
    <w:rsid w:val="00DE59A3"/>
    <w:rsid w:val="00DE5FA8"/>
    <w:rsid w:val="00DE6994"/>
    <w:rsid w:val="00DE6A18"/>
    <w:rsid w:val="00DE6B92"/>
    <w:rsid w:val="00DE6D46"/>
    <w:rsid w:val="00DE7FB7"/>
    <w:rsid w:val="00DF0669"/>
    <w:rsid w:val="00DF08AB"/>
    <w:rsid w:val="00DF1241"/>
    <w:rsid w:val="00DF15B7"/>
    <w:rsid w:val="00DF1C40"/>
    <w:rsid w:val="00DF1D61"/>
    <w:rsid w:val="00DF2066"/>
    <w:rsid w:val="00DF22F2"/>
    <w:rsid w:val="00DF248F"/>
    <w:rsid w:val="00DF2A7A"/>
    <w:rsid w:val="00DF35CC"/>
    <w:rsid w:val="00DF456B"/>
    <w:rsid w:val="00DF571A"/>
    <w:rsid w:val="00DF5A7B"/>
    <w:rsid w:val="00DF641B"/>
    <w:rsid w:val="00DF6759"/>
    <w:rsid w:val="00DF6C7D"/>
    <w:rsid w:val="00DF7235"/>
    <w:rsid w:val="00DF73E8"/>
    <w:rsid w:val="00DF7A26"/>
    <w:rsid w:val="00DF7A67"/>
    <w:rsid w:val="00DF7D73"/>
    <w:rsid w:val="00E0170F"/>
    <w:rsid w:val="00E01972"/>
    <w:rsid w:val="00E020B5"/>
    <w:rsid w:val="00E02225"/>
    <w:rsid w:val="00E03BDE"/>
    <w:rsid w:val="00E03E66"/>
    <w:rsid w:val="00E040B9"/>
    <w:rsid w:val="00E046CD"/>
    <w:rsid w:val="00E04F7C"/>
    <w:rsid w:val="00E06384"/>
    <w:rsid w:val="00E07103"/>
    <w:rsid w:val="00E07367"/>
    <w:rsid w:val="00E079E8"/>
    <w:rsid w:val="00E10347"/>
    <w:rsid w:val="00E10DC2"/>
    <w:rsid w:val="00E11442"/>
    <w:rsid w:val="00E1154B"/>
    <w:rsid w:val="00E115EE"/>
    <w:rsid w:val="00E11A5C"/>
    <w:rsid w:val="00E12827"/>
    <w:rsid w:val="00E13FBA"/>
    <w:rsid w:val="00E147C5"/>
    <w:rsid w:val="00E14AE7"/>
    <w:rsid w:val="00E14C28"/>
    <w:rsid w:val="00E17FE3"/>
    <w:rsid w:val="00E20819"/>
    <w:rsid w:val="00E212D0"/>
    <w:rsid w:val="00E21C9C"/>
    <w:rsid w:val="00E21E8E"/>
    <w:rsid w:val="00E22161"/>
    <w:rsid w:val="00E2217C"/>
    <w:rsid w:val="00E2378E"/>
    <w:rsid w:val="00E239CC"/>
    <w:rsid w:val="00E23BF7"/>
    <w:rsid w:val="00E25813"/>
    <w:rsid w:val="00E25DA4"/>
    <w:rsid w:val="00E2615E"/>
    <w:rsid w:val="00E2651A"/>
    <w:rsid w:val="00E26CDE"/>
    <w:rsid w:val="00E27D2F"/>
    <w:rsid w:val="00E3021A"/>
    <w:rsid w:val="00E3078C"/>
    <w:rsid w:val="00E30BFD"/>
    <w:rsid w:val="00E3120E"/>
    <w:rsid w:val="00E31642"/>
    <w:rsid w:val="00E31AF8"/>
    <w:rsid w:val="00E31CD8"/>
    <w:rsid w:val="00E31D40"/>
    <w:rsid w:val="00E3265F"/>
    <w:rsid w:val="00E326F4"/>
    <w:rsid w:val="00E3272A"/>
    <w:rsid w:val="00E33F08"/>
    <w:rsid w:val="00E34719"/>
    <w:rsid w:val="00E347C2"/>
    <w:rsid w:val="00E34B83"/>
    <w:rsid w:val="00E34BC4"/>
    <w:rsid w:val="00E353B6"/>
    <w:rsid w:val="00E3574A"/>
    <w:rsid w:val="00E35E33"/>
    <w:rsid w:val="00E36082"/>
    <w:rsid w:val="00E36248"/>
    <w:rsid w:val="00E3665B"/>
    <w:rsid w:val="00E36AE2"/>
    <w:rsid w:val="00E36DF4"/>
    <w:rsid w:val="00E3706E"/>
    <w:rsid w:val="00E3709B"/>
    <w:rsid w:val="00E371BB"/>
    <w:rsid w:val="00E37305"/>
    <w:rsid w:val="00E37AD5"/>
    <w:rsid w:val="00E402BC"/>
    <w:rsid w:val="00E4229D"/>
    <w:rsid w:val="00E42DB0"/>
    <w:rsid w:val="00E430EE"/>
    <w:rsid w:val="00E43562"/>
    <w:rsid w:val="00E44413"/>
    <w:rsid w:val="00E45252"/>
    <w:rsid w:val="00E45998"/>
    <w:rsid w:val="00E45BE5"/>
    <w:rsid w:val="00E463E3"/>
    <w:rsid w:val="00E4659E"/>
    <w:rsid w:val="00E46A4D"/>
    <w:rsid w:val="00E46DFE"/>
    <w:rsid w:val="00E47031"/>
    <w:rsid w:val="00E474D5"/>
    <w:rsid w:val="00E476B6"/>
    <w:rsid w:val="00E476FE"/>
    <w:rsid w:val="00E501A3"/>
    <w:rsid w:val="00E508BB"/>
    <w:rsid w:val="00E50D31"/>
    <w:rsid w:val="00E5157C"/>
    <w:rsid w:val="00E51B0C"/>
    <w:rsid w:val="00E51FF8"/>
    <w:rsid w:val="00E52241"/>
    <w:rsid w:val="00E529BC"/>
    <w:rsid w:val="00E52DF0"/>
    <w:rsid w:val="00E532BE"/>
    <w:rsid w:val="00E5338F"/>
    <w:rsid w:val="00E537B4"/>
    <w:rsid w:val="00E55AA6"/>
    <w:rsid w:val="00E55BB7"/>
    <w:rsid w:val="00E56ADA"/>
    <w:rsid w:val="00E56D0C"/>
    <w:rsid w:val="00E57228"/>
    <w:rsid w:val="00E60CF2"/>
    <w:rsid w:val="00E61105"/>
    <w:rsid w:val="00E61122"/>
    <w:rsid w:val="00E61DD6"/>
    <w:rsid w:val="00E62BED"/>
    <w:rsid w:val="00E678E2"/>
    <w:rsid w:val="00E709F9"/>
    <w:rsid w:val="00E73A1B"/>
    <w:rsid w:val="00E74A4D"/>
    <w:rsid w:val="00E74DDE"/>
    <w:rsid w:val="00E75FD5"/>
    <w:rsid w:val="00E76310"/>
    <w:rsid w:val="00E765E1"/>
    <w:rsid w:val="00E76659"/>
    <w:rsid w:val="00E7672E"/>
    <w:rsid w:val="00E76E27"/>
    <w:rsid w:val="00E770DC"/>
    <w:rsid w:val="00E77287"/>
    <w:rsid w:val="00E77D21"/>
    <w:rsid w:val="00E77E95"/>
    <w:rsid w:val="00E8021C"/>
    <w:rsid w:val="00E811C2"/>
    <w:rsid w:val="00E8142C"/>
    <w:rsid w:val="00E819F9"/>
    <w:rsid w:val="00E820F5"/>
    <w:rsid w:val="00E83092"/>
    <w:rsid w:val="00E8345A"/>
    <w:rsid w:val="00E83635"/>
    <w:rsid w:val="00E83A5C"/>
    <w:rsid w:val="00E83CB5"/>
    <w:rsid w:val="00E8470C"/>
    <w:rsid w:val="00E84743"/>
    <w:rsid w:val="00E8485C"/>
    <w:rsid w:val="00E85747"/>
    <w:rsid w:val="00E865F4"/>
    <w:rsid w:val="00E869DB"/>
    <w:rsid w:val="00E86A49"/>
    <w:rsid w:val="00E876A1"/>
    <w:rsid w:val="00E87B80"/>
    <w:rsid w:val="00E9078C"/>
    <w:rsid w:val="00E9130F"/>
    <w:rsid w:val="00E91A76"/>
    <w:rsid w:val="00E91E8E"/>
    <w:rsid w:val="00E91EF5"/>
    <w:rsid w:val="00E924EE"/>
    <w:rsid w:val="00E93B00"/>
    <w:rsid w:val="00E9489F"/>
    <w:rsid w:val="00E949D6"/>
    <w:rsid w:val="00E94FEE"/>
    <w:rsid w:val="00E95891"/>
    <w:rsid w:val="00E95A18"/>
    <w:rsid w:val="00E95A6B"/>
    <w:rsid w:val="00E974E4"/>
    <w:rsid w:val="00EA0056"/>
    <w:rsid w:val="00EA03CE"/>
    <w:rsid w:val="00EA130C"/>
    <w:rsid w:val="00EA14B9"/>
    <w:rsid w:val="00EA1566"/>
    <w:rsid w:val="00EA1CD6"/>
    <w:rsid w:val="00EA39A1"/>
    <w:rsid w:val="00EA426C"/>
    <w:rsid w:val="00EA5466"/>
    <w:rsid w:val="00EA5B09"/>
    <w:rsid w:val="00EA653C"/>
    <w:rsid w:val="00EA65AF"/>
    <w:rsid w:val="00EA6BC6"/>
    <w:rsid w:val="00EA71CB"/>
    <w:rsid w:val="00EA79BF"/>
    <w:rsid w:val="00EB00FD"/>
    <w:rsid w:val="00EB0254"/>
    <w:rsid w:val="00EB062D"/>
    <w:rsid w:val="00EB09AF"/>
    <w:rsid w:val="00EB0A79"/>
    <w:rsid w:val="00EB184B"/>
    <w:rsid w:val="00EB2586"/>
    <w:rsid w:val="00EB31CA"/>
    <w:rsid w:val="00EB37B8"/>
    <w:rsid w:val="00EB3B08"/>
    <w:rsid w:val="00EB3EE0"/>
    <w:rsid w:val="00EB43B6"/>
    <w:rsid w:val="00EB44C0"/>
    <w:rsid w:val="00EB45F5"/>
    <w:rsid w:val="00EB4D34"/>
    <w:rsid w:val="00EB5355"/>
    <w:rsid w:val="00EB56CA"/>
    <w:rsid w:val="00EB64C2"/>
    <w:rsid w:val="00EB6DBF"/>
    <w:rsid w:val="00EB723E"/>
    <w:rsid w:val="00EB77C4"/>
    <w:rsid w:val="00EB7936"/>
    <w:rsid w:val="00EB7BDE"/>
    <w:rsid w:val="00EB7CE1"/>
    <w:rsid w:val="00EC01BD"/>
    <w:rsid w:val="00EC0252"/>
    <w:rsid w:val="00EC0C5E"/>
    <w:rsid w:val="00EC1032"/>
    <w:rsid w:val="00EC1470"/>
    <w:rsid w:val="00EC18DC"/>
    <w:rsid w:val="00EC1D38"/>
    <w:rsid w:val="00EC217B"/>
    <w:rsid w:val="00EC27BE"/>
    <w:rsid w:val="00EC2B68"/>
    <w:rsid w:val="00EC37D3"/>
    <w:rsid w:val="00EC3C95"/>
    <w:rsid w:val="00EC3DDF"/>
    <w:rsid w:val="00EC4F02"/>
    <w:rsid w:val="00EC4F54"/>
    <w:rsid w:val="00EC6506"/>
    <w:rsid w:val="00EC6507"/>
    <w:rsid w:val="00EC6938"/>
    <w:rsid w:val="00EC6DE6"/>
    <w:rsid w:val="00ED0172"/>
    <w:rsid w:val="00ED0F84"/>
    <w:rsid w:val="00ED148F"/>
    <w:rsid w:val="00ED153A"/>
    <w:rsid w:val="00ED1DB1"/>
    <w:rsid w:val="00ED1F9A"/>
    <w:rsid w:val="00ED310D"/>
    <w:rsid w:val="00ED3249"/>
    <w:rsid w:val="00ED32A7"/>
    <w:rsid w:val="00ED3A0E"/>
    <w:rsid w:val="00ED3B47"/>
    <w:rsid w:val="00ED3B7E"/>
    <w:rsid w:val="00ED41D5"/>
    <w:rsid w:val="00ED4665"/>
    <w:rsid w:val="00ED544A"/>
    <w:rsid w:val="00ED5D72"/>
    <w:rsid w:val="00ED6F21"/>
    <w:rsid w:val="00EE2EBD"/>
    <w:rsid w:val="00EE337B"/>
    <w:rsid w:val="00EE3AB9"/>
    <w:rsid w:val="00EE54A3"/>
    <w:rsid w:val="00EE5A5F"/>
    <w:rsid w:val="00EE5FA5"/>
    <w:rsid w:val="00EE60E3"/>
    <w:rsid w:val="00EE6E3F"/>
    <w:rsid w:val="00EE6F48"/>
    <w:rsid w:val="00EE7017"/>
    <w:rsid w:val="00EE71FE"/>
    <w:rsid w:val="00EE7651"/>
    <w:rsid w:val="00EF07A8"/>
    <w:rsid w:val="00EF0DB8"/>
    <w:rsid w:val="00EF1F58"/>
    <w:rsid w:val="00EF2088"/>
    <w:rsid w:val="00EF22EE"/>
    <w:rsid w:val="00EF292A"/>
    <w:rsid w:val="00EF2A15"/>
    <w:rsid w:val="00EF2F07"/>
    <w:rsid w:val="00EF2F9D"/>
    <w:rsid w:val="00EF316B"/>
    <w:rsid w:val="00EF3889"/>
    <w:rsid w:val="00EF39F9"/>
    <w:rsid w:val="00EF4068"/>
    <w:rsid w:val="00EF4344"/>
    <w:rsid w:val="00EF4880"/>
    <w:rsid w:val="00EF4F03"/>
    <w:rsid w:val="00EF52E6"/>
    <w:rsid w:val="00EF545E"/>
    <w:rsid w:val="00EF54E6"/>
    <w:rsid w:val="00EF63FD"/>
    <w:rsid w:val="00EF6B41"/>
    <w:rsid w:val="00EF6BCA"/>
    <w:rsid w:val="00EF6E49"/>
    <w:rsid w:val="00F00623"/>
    <w:rsid w:val="00F00836"/>
    <w:rsid w:val="00F00C4C"/>
    <w:rsid w:val="00F010D5"/>
    <w:rsid w:val="00F01BCA"/>
    <w:rsid w:val="00F02735"/>
    <w:rsid w:val="00F02DCC"/>
    <w:rsid w:val="00F02FB6"/>
    <w:rsid w:val="00F0327C"/>
    <w:rsid w:val="00F03BA0"/>
    <w:rsid w:val="00F04553"/>
    <w:rsid w:val="00F04E88"/>
    <w:rsid w:val="00F057F6"/>
    <w:rsid w:val="00F05DBB"/>
    <w:rsid w:val="00F06AB6"/>
    <w:rsid w:val="00F06BA9"/>
    <w:rsid w:val="00F06EB5"/>
    <w:rsid w:val="00F07689"/>
    <w:rsid w:val="00F10548"/>
    <w:rsid w:val="00F10EAE"/>
    <w:rsid w:val="00F11104"/>
    <w:rsid w:val="00F11D99"/>
    <w:rsid w:val="00F126D4"/>
    <w:rsid w:val="00F1343A"/>
    <w:rsid w:val="00F138B1"/>
    <w:rsid w:val="00F13B15"/>
    <w:rsid w:val="00F14019"/>
    <w:rsid w:val="00F1449F"/>
    <w:rsid w:val="00F14FD8"/>
    <w:rsid w:val="00F170DF"/>
    <w:rsid w:val="00F1710C"/>
    <w:rsid w:val="00F2097D"/>
    <w:rsid w:val="00F21027"/>
    <w:rsid w:val="00F21E4E"/>
    <w:rsid w:val="00F22A44"/>
    <w:rsid w:val="00F22C0B"/>
    <w:rsid w:val="00F231B9"/>
    <w:rsid w:val="00F2330B"/>
    <w:rsid w:val="00F240BC"/>
    <w:rsid w:val="00F2443C"/>
    <w:rsid w:val="00F24BE8"/>
    <w:rsid w:val="00F25865"/>
    <w:rsid w:val="00F264B2"/>
    <w:rsid w:val="00F269FF"/>
    <w:rsid w:val="00F27DF5"/>
    <w:rsid w:val="00F27F77"/>
    <w:rsid w:val="00F3058D"/>
    <w:rsid w:val="00F316FB"/>
    <w:rsid w:val="00F322D2"/>
    <w:rsid w:val="00F32C48"/>
    <w:rsid w:val="00F333D8"/>
    <w:rsid w:val="00F33606"/>
    <w:rsid w:val="00F34AD3"/>
    <w:rsid w:val="00F34C34"/>
    <w:rsid w:val="00F34F37"/>
    <w:rsid w:val="00F35516"/>
    <w:rsid w:val="00F35827"/>
    <w:rsid w:val="00F35903"/>
    <w:rsid w:val="00F3623A"/>
    <w:rsid w:val="00F36A39"/>
    <w:rsid w:val="00F3744E"/>
    <w:rsid w:val="00F37562"/>
    <w:rsid w:val="00F3797F"/>
    <w:rsid w:val="00F37EF9"/>
    <w:rsid w:val="00F408AF"/>
    <w:rsid w:val="00F41AAE"/>
    <w:rsid w:val="00F41EA3"/>
    <w:rsid w:val="00F4275B"/>
    <w:rsid w:val="00F429CB"/>
    <w:rsid w:val="00F42B7C"/>
    <w:rsid w:val="00F42C68"/>
    <w:rsid w:val="00F43628"/>
    <w:rsid w:val="00F43807"/>
    <w:rsid w:val="00F44327"/>
    <w:rsid w:val="00F44C7C"/>
    <w:rsid w:val="00F4594E"/>
    <w:rsid w:val="00F46A6C"/>
    <w:rsid w:val="00F47525"/>
    <w:rsid w:val="00F4771F"/>
    <w:rsid w:val="00F502FB"/>
    <w:rsid w:val="00F504C6"/>
    <w:rsid w:val="00F50E51"/>
    <w:rsid w:val="00F50F4E"/>
    <w:rsid w:val="00F51041"/>
    <w:rsid w:val="00F5106F"/>
    <w:rsid w:val="00F510DE"/>
    <w:rsid w:val="00F511CF"/>
    <w:rsid w:val="00F5132F"/>
    <w:rsid w:val="00F51703"/>
    <w:rsid w:val="00F5332E"/>
    <w:rsid w:val="00F53F88"/>
    <w:rsid w:val="00F54B0B"/>
    <w:rsid w:val="00F54EC9"/>
    <w:rsid w:val="00F55371"/>
    <w:rsid w:val="00F55F62"/>
    <w:rsid w:val="00F5634A"/>
    <w:rsid w:val="00F56A0D"/>
    <w:rsid w:val="00F57858"/>
    <w:rsid w:val="00F57ECC"/>
    <w:rsid w:val="00F60166"/>
    <w:rsid w:val="00F60524"/>
    <w:rsid w:val="00F60AAA"/>
    <w:rsid w:val="00F60C4E"/>
    <w:rsid w:val="00F60CF7"/>
    <w:rsid w:val="00F60FA4"/>
    <w:rsid w:val="00F61562"/>
    <w:rsid w:val="00F623B9"/>
    <w:rsid w:val="00F62595"/>
    <w:rsid w:val="00F625FC"/>
    <w:rsid w:val="00F62BA2"/>
    <w:rsid w:val="00F6301D"/>
    <w:rsid w:val="00F634D7"/>
    <w:rsid w:val="00F6389D"/>
    <w:rsid w:val="00F6393A"/>
    <w:rsid w:val="00F63992"/>
    <w:rsid w:val="00F6535A"/>
    <w:rsid w:val="00F6541D"/>
    <w:rsid w:val="00F6565E"/>
    <w:rsid w:val="00F65ABE"/>
    <w:rsid w:val="00F6634E"/>
    <w:rsid w:val="00F664C3"/>
    <w:rsid w:val="00F66C3E"/>
    <w:rsid w:val="00F673E4"/>
    <w:rsid w:val="00F676AF"/>
    <w:rsid w:val="00F7004E"/>
    <w:rsid w:val="00F705B9"/>
    <w:rsid w:val="00F71A43"/>
    <w:rsid w:val="00F720F4"/>
    <w:rsid w:val="00F72662"/>
    <w:rsid w:val="00F726F9"/>
    <w:rsid w:val="00F727E8"/>
    <w:rsid w:val="00F72D3C"/>
    <w:rsid w:val="00F72D84"/>
    <w:rsid w:val="00F72F1A"/>
    <w:rsid w:val="00F73CEB"/>
    <w:rsid w:val="00F73FDF"/>
    <w:rsid w:val="00F747B8"/>
    <w:rsid w:val="00F7498E"/>
    <w:rsid w:val="00F7544B"/>
    <w:rsid w:val="00F77B33"/>
    <w:rsid w:val="00F8004D"/>
    <w:rsid w:val="00F80AF7"/>
    <w:rsid w:val="00F8123C"/>
    <w:rsid w:val="00F81596"/>
    <w:rsid w:val="00F81BE7"/>
    <w:rsid w:val="00F82CB2"/>
    <w:rsid w:val="00F84118"/>
    <w:rsid w:val="00F8464C"/>
    <w:rsid w:val="00F85469"/>
    <w:rsid w:val="00F85736"/>
    <w:rsid w:val="00F85FAF"/>
    <w:rsid w:val="00F862AB"/>
    <w:rsid w:val="00F8632C"/>
    <w:rsid w:val="00F87A7C"/>
    <w:rsid w:val="00F87B42"/>
    <w:rsid w:val="00F90C58"/>
    <w:rsid w:val="00F90E8B"/>
    <w:rsid w:val="00F9181F"/>
    <w:rsid w:val="00F918B1"/>
    <w:rsid w:val="00F91D28"/>
    <w:rsid w:val="00F92909"/>
    <w:rsid w:val="00F92BA4"/>
    <w:rsid w:val="00F94B54"/>
    <w:rsid w:val="00F94E94"/>
    <w:rsid w:val="00F94F72"/>
    <w:rsid w:val="00F95943"/>
    <w:rsid w:val="00F95988"/>
    <w:rsid w:val="00F959A0"/>
    <w:rsid w:val="00F95DF7"/>
    <w:rsid w:val="00F96141"/>
    <w:rsid w:val="00F96189"/>
    <w:rsid w:val="00F961D0"/>
    <w:rsid w:val="00F96701"/>
    <w:rsid w:val="00F97917"/>
    <w:rsid w:val="00F97D6D"/>
    <w:rsid w:val="00FA03BE"/>
    <w:rsid w:val="00FA04CA"/>
    <w:rsid w:val="00FA1125"/>
    <w:rsid w:val="00FA15E6"/>
    <w:rsid w:val="00FA2190"/>
    <w:rsid w:val="00FA2260"/>
    <w:rsid w:val="00FA28D4"/>
    <w:rsid w:val="00FA3112"/>
    <w:rsid w:val="00FA33E4"/>
    <w:rsid w:val="00FA35A0"/>
    <w:rsid w:val="00FA3A4A"/>
    <w:rsid w:val="00FA3A60"/>
    <w:rsid w:val="00FA3D0B"/>
    <w:rsid w:val="00FA4800"/>
    <w:rsid w:val="00FA4E7B"/>
    <w:rsid w:val="00FA518B"/>
    <w:rsid w:val="00FA5D04"/>
    <w:rsid w:val="00FA61AA"/>
    <w:rsid w:val="00FA64A4"/>
    <w:rsid w:val="00FA675A"/>
    <w:rsid w:val="00FA6DE7"/>
    <w:rsid w:val="00FA745C"/>
    <w:rsid w:val="00FA77A6"/>
    <w:rsid w:val="00FB0F3F"/>
    <w:rsid w:val="00FB104E"/>
    <w:rsid w:val="00FB11D7"/>
    <w:rsid w:val="00FB19DD"/>
    <w:rsid w:val="00FB2313"/>
    <w:rsid w:val="00FB2A3E"/>
    <w:rsid w:val="00FB3025"/>
    <w:rsid w:val="00FB3ADB"/>
    <w:rsid w:val="00FB4AEE"/>
    <w:rsid w:val="00FB515C"/>
    <w:rsid w:val="00FB5DFA"/>
    <w:rsid w:val="00FB5EF1"/>
    <w:rsid w:val="00FB6B80"/>
    <w:rsid w:val="00FB757B"/>
    <w:rsid w:val="00FC0306"/>
    <w:rsid w:val="00FC044B"/>
    <w:rsid w:val="00FC0EE4"/>
    <w:rsid w:val="00FC1090"/>
    <w:rsid w:val="00FC1CF1"/>
    <w:rsid w:val="00FC1E1E"/>
    <w:rsid w:val="00FC3189"/>
    <w:rsid w:val="00FC3F36"/>
    <w:rsid w:val="00FC55F2"/>
    <w:rsid w:val="00FC5A3D"/>
    <w:rsid w:val="00FC6BC2"/>
    <w:rsid w:val="00FC7176"/>
    <w:rsid w:val="00FC7B23"/>
    <w:rsid w:val="00FC7F70"/>
    <w:rsid w:val="00FD01A0"/>
    <w:rsid w:val="00FD01E4"/>
    <w:rsid w:val="00FD0D0B"/>
    <w:rsid w:val="00FD0E8A"/>
    <w:rsid w:val="00FD11E1"/>
    <w:rsid w:val="00FD153C"/>
    <w:rsid w:val="00FD189C"/>
    <w:rsid w:val="00FD20E3"/>
    <w:rsid w:val="00FD212A"/>
    <w:rsid w:val="00FD2781"/>
    <w:rsid w:val="00FD346A"/>
    <w:rsid w:val="00FD41B2"/>
    <w:rsid w:val="00FD4894"/>
    <w:rsid w:val="00FD4915"/>
    <w:rsid w:val="00FD4B3A"/>
    <w:rsid w:val="00FD4C92"/>
    <w:rsid w:val="00FD4FBA"/>
    <w:rsid w:val="00FD5365"/>
    <w:rsid w:val="00FD63AB"/>
    <w:rsid w:val="00FD673D"/>
    <w:rsid w:val="00FD6EDB"/>
    <w:rsid w:val="00FE04BC"/>
    <w:rsid w:val="00FE07D4"/>
    <w:rsid w:val="00FE17DF"/>
    <w:rsid w:val="00FE1B74"/>
    <w:rsid w:val="00FE265D"/>
    <w:rsid w:val="00FE28CC"/>
    <w:rsid w:val="00FE2C01"/>
    <w:rsid w:val="00FE43AA"/>
    <w:rsid w:val="00FE4700"/>
    <w:rsid w:val="00FE4B4E"/>
    <w:rsid w:val="00FE4CB6"/>
    <w:rsid w:val="00FE5BAB"/>
    <w:rsid w:val="00FE5C7A"/>
    <w:rsid w:val="00FE6284"/>
    <w:rsid w:val="00FE658E"/>
    <w:rsid w:val="00FE6802"/>
    <w:rsid w:val="00FE7485"/>
    <w:rsid w:val="00FF0801"/>
    <w:rsid w:val="00FF0AFA"/>
    <w:rsid w:val="00FF0E6D"/>
    <w:rsid w:val="00FF20D1"/>
    <w:rsid w:val="00FF4407"/>
    <w:rsid w:val="00FF44BD"/>
    <w:rsid w:val="00FF4B00"/>
    <w:rsid w:val="00FF4DE9"/>
    <w:rsid w:val="00FF52D2"/>
    <w:rsid w:val="00FF5B0A"/>
    <w:rsid w:val="00FF5B4B"/>
    <w:rsid w:val="00FF6124"/>
    <w:rsid w:val="00FF6A37"/>
    <w:rsid w:val="00FF6B8A"/>
    <w:rsid w:val="00FF727D"/>
    <w:rsid w:val="00FF7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21B0"/>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CB21B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CB21B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B21B0"/>
    <w:rPr>
      <w:color w:val="0000FF"/>
      <w:u w:val="single"/>
    </w:rPr>
  </w:style>
  <w:style w:type="character" w:styleId="LineNumber">
    <w:name w:val="line number"/>
    <w:basedOn w:val="OPCCharBase"/>
    <w:uiPriority w:val="99"/>
    <w:unhideWhenUsed/>
    <w:rsid w:val="00CB21B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42A5E"/>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21B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CB21B0"/>
  </w:style>
  <w:style w:type="character" w:customStyle="1" w:styleId="CharAmSchText">
    <w:name w:val="CharAmSchText"/>
    <w:basedOn w:val="OPCCharBase"/>
    <w:qFormat/>
    <w:rsid w:val="00CB21B0"/>
  </w:style>
  <w:style w:type="character" w:customStyle="1" w:styleId="CharChapNo">
    <w:name w:val="CharChapNo"/>
    <w:basedOn w:val="OPCCharBase"/>
    <w:uiPriority w:val="1"/>
    <w:qFormat/>
    <w:rsid w:val="00CB21B0"/>
  </w:style>
  <w:style w:type="character" w:customStyle="1" w:styleId="CharChapText">
    <w:name w:val="CharChapText"/>
    <w:basedOn w:val="OPCCharBase"/>
    <w:uiPriority w:val="1"/>
    <w:qFormat/>
    <w:rsid w:val="00CB21B0"/>
  </w:style>
  <w:style w:type="character" w:customStyle="1" w:styleId="CharDivNo">
    <w:name w:val="CharDivNo"/>
    <w:basedOn w:val="OPCCharBase"/>
    <w:uiPriority w:val="1"/>
    <w:qFormat/>
    <w:rsid w:val="00CB21B0"/>
  </w:style>
  <w:style w:type="character" w:customStyle="1" w:styleId="CharDivText">
    <w:name w:val="CharDivText"/>
    <w:basedOn w:val="OPCCharBase"/>
    <w:uiPriority w:val="1"/>
    <w:qFormat/>
    <w:rsid w:val="00CB21B0"/>
  </w:style>
  <w:style w:type="character" w:customStyle="1" w:styleId="CharPartNo">
    <w:name w:val="CharPartNo"/>
    <w:basedOn w:val="OPCCharBase"/>
    <w:uiPriority w:val="1"/>
    <w:qFormat/>
    <w:rsid w:val="00CB21B0"/>
  </w:style>
  <w:style w:type="character" w:customStyle="1" w:styleId="CharPartText">
    <w:name w:val="CharPartText"/>
    <w:basedOn w:val="OPCCharBase"/>
    <w:uiPriority w:val="1"/>
    <w:qFormat/>
    <w:rsid w:val="00CB21B0"/>
  </w:style>
  <w:style w:type="character" w:customStyle="1" w:styleId="OPCCharBase">
    <w:name w:val="OPCCharBase"/>
    <w:uiPriority w:val="1"/>
    <w:qFormat/>
    <w:rsid w:val="00CB21B0"/>
  </w:style>
  <w:style w:type="paragraph" w:customStyle="1" w:styleId="OPCParaBase">
    <w:name w:val="OPCParaBase"/>
    <w:link w:val="OPCParaBaseChar"/>
    <w:qFormat/>
    <w:rsid w:val="00CB21B0"/>
    <w:pPr>
      <w:spacing w:line="260" w:lineRule="atLeast"/>
    </w:pPr>
    <w:rPr>
      <w:sz w:val="22"/>
    </w:rPr>
  </w:style>
  <w:style w:type="character" w:customStyle="1" w:styleId="CharSectno">
    <w:name w:val="CharSectno"/>
    <w:basedOn w:val="OPCCharBase"/>
    <w:qFormat/>
    <w:rsid w:val="00CB21B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B21B0"/>
    <w:pPr>
      <w:spacing w:line="240" w:lineRule="auto"/>
      <w:ind w:left="1134"/>
    </w:pPr>
    <w:rPr>
      <w:sz w:val="20"/>
    </w:rPr>
  </w:style>
  <w:style w:type="paragraph" w:customStyle="1" w:styleId="ShortT">
    <w:name w:val="ShortT"/>
    <w:basedOn w:val="OPCParaBase"/>
    <w:next w:val="Normal"/>
    <w:qFormat/>
    <w:rsid w:val="00CB21B0"/>
    <w:pPr>
      <w:spacing w:line="240" w:lineRule="auto"/>
    </w:pPr>
    <w:rPr>
      <w:b/>
      <w:sz w:val="40"/>
    </w:rPr>
  </w:style>
  <w:style w:type="paragraph" w:customStyle="1" w:styleId="Penalty">
    <w:name w:val="Penalty"/>
    <w:basedOn w:val="OPCParaBase"/>
    <w:rsid w:val="00CB21B0"/>
    <w:pPr>
      <w:tabs>
        <w:tab w:val="left" w:pos="2977"/>
      </w:tabs>
      <w:spacing w:before="180" w:line="240" w:lineRule="auto"/>
      <w:ind w:left="1985" w:hanging="851"/>
    </w:pPr>
  </w:style>
  <w:style w:type="paragraph" w:customStyle="1" w:styleId="ActHead1">
    <w:name w:val="ActHead 1"/>
    <w:aliases w:val="c"/>
    <w:basedOn w:val="OPCParaBase"/>
    <w:next w:val="Normal"/>
    <w:qFormat/>
    <w:rsid w:val="00CB21B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B21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21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21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21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2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2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2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2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21B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B21B0"/>
    <w:pPr>
      <w:spacing w:line="240" w:lineRule="auto"/>
    </w:pPr>
    <w:rPr>
      <w:sz w:val="20"/>
    </w:rPr>
  </w:style>
  <w:style w:type="paragraph" w:customStyle="1" w:styleId="ActHead2">
    <w:name w:val="ActHead 2"/>
    <w:aliases w:val="p"/>
    <w:basedOn w:val="OPCParaBase"/>
    <w:next w:val="ActHead3"/>
    <w:qFormat/>
    <w:rsid w:val="00CB21B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B21B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2">
    <w:name w:val="subsection2"/>
    <w:aliases w:val="ss2"/>
    <w:basedOn w:val="OPCParaBase"/>
    <w:next w:val="subsection"/>
    <w:rsid w:val="00CB21B0"/>
    <w:pPr>
      <w:spacing w:before="40" w:line="240" w:lineRule="auto"/>
      <w:ind w:left="1134"/>
    </w:pPr>
  </w:style>
  <w:style w:type="paragraph" w:customStyle="1" w:styleId="subsection">
    <w:name w:val="subsection"/>
    <w:aliases w:val="ss"/>
    <w:basedOn w:val="OPCParaBase"/>
    <w:link w:val="subsectionChar"/>
    <w:rsid w:val="00CB21B0"/>
    <w:pPr>
      <w:tabs>
        <w:tab w:val="right" w:pos="1021"/>
      </w:tabs>
      <w:spacing w:before="180" w:line="240" w:lineRule="auto"/>
      <w:ind w:left="1134" w:hanging="1134"/>
    </w:pPr>
  </w:style>
  <w:style w:type="paragraph" w:customStyle="1" w:styleId="ActHead3">
    <w:name w:val="ActHead 3"/>
    <w:aliases w:val="d"/>
    <w:basedOn w:val="OPCParaBase"/>
    <w:next w:val="ActHead4"/>
    <w:qFormat/>
    <w:rsid w:val="00CB2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2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2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B2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2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2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CB21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21B0"/>
  </w:style>
  <w:style w:type="paragraph" w:customStyle="1" w:styleId="Blocks">
    <w:name w:val="Blocks"/>
    <w:aliases w:val="bb"/>
    <w:basedOn w:val="OPCParaBase"/>
    <w:qFormat/>
    <w:rsid w:val="00CB21B0"/>
    <w:pPr>
      <w:spacing w:line="240" w:lineRule="auto"/>
    </w:pPr>
    <w:rPr>
      <w:sz w:val="24"/>
    </w:rPr>
  </w:style>
  <w:style w:type="paragraph" w:customStyle="1" w:styleId="BoxText">
    <w:name w:val="BoxText"/>
    <w:aliases w:val="bt"/>
    <w:basedOn w:val="OPCParaBase"/>
    <w:qFormat/>
    <w:rsid w:val="00CB2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21B0"/>
    <w:rPr>
      <w:b/>
    </w:rPr>
  </w:style>
  <w:style w:type="paragraph" w:customStyle="1" w:styleId="BoxHeadItalic">
    <w:name w:val="BoxHeadItalic"/>
    <w:aliases w:val="bhi"/>
    <w:basedOn w:val="BoxText"/>
    <w:next w:val="BoxStep"/>
    <w:qFormat/>
    <w:rsid w:val="00CB21B0"/>
    <w:rPr>
      <w:i/>
    </w:rPr>
  </w:style>
  <w:style w:type="paragraph" w:customStyle="1" w:styleId="BoxList">
    <w:name w:val="BoxList"/>
    <w:aliases w:val="bl"/>
    <w:basedOn w:val="BoxText"/>
    <w:qFormat/>
    <w:rsid w:val="00CB21B0"/>
    <w:pPr>
      <w:ind w:left="1559" w:hanging="425"/>
    </w:pPr>
  </w:style>
  <w:style w:type="paragraph" w:customStyle="1" w:styleId="BoxNote">
    <w:name w:val="BoxNote"/>
    <w:aliases w:val="bn"/>
    <w:basedOn w:val="BoxText"/>
    <w:qFormat/>
    <w:rsid w:val="00CB21B0"/>
    <w:pPr>
      <w:tabs>
        <w:tab w:val="left" w:pos="1985"/>
      </w:tabs>
      <w:spacing w:before="122" w:line="198" w:lineRule="exact"/>
      <w:ind w:left="2948" w:hanging="1814"/>
    </w:pPr>
    <w:rPr>
      <w:sz w:val="18"/>
    </w:rPr>
  </w:style>
  <w:style w:type="paragraph" w:customStyle="1" w:styleId="BoxPara">
    <w:name w:val="BoxPara"/>
    <w:aliases w:val="bp"/>
    <w:basedOn w:val="BoxText"/>
    <w:qFormat/>
    <w:rsid w:val="00CB21B0"/>
    <w:pPr>
      <w:tabs>
        <w:tab w:val="right" w:pos="2268"/>
      </w:tabs>
      <w:ind w:left="2552" w:hanging="1418"/>
    </w:pPr>
  </w:style>
  <w:style w:type="paragraph" w:customStyle="1" w:styleId="BoxStep">
    <w:name w:val="BoxStep"/>
    <w:aliases w:val="bs"/>
    <w:basedOn w:val="BoxText"/>
    <w:qFormat/>
    <w:rsid w:val="00CB21B0"/>
    <w:pPr>
      <w:ind w:left="1985" w:hanging="851"/>
    </w:pPr>
  </w:style>
  <w:style w:type="character" w:customStyle="1" w:styleId="CharAmPartNo">
    <w:name w:val="CharAmPartNo"/>
    <w:basedOn w:val="OPCCharBase"/>
    <w:qFormat/>
    <w:rsid w:val="00CB21B0"/>
  </w:style>
  <w:style w:type="character" w:customStyle="1" w:styleId="CharAmPartText">
    <w:name w:val="CharAmPartText"/>
    <w:basedOn w:val="OPCCharBase"/>
    <w:qFormat/>
    <w:rsid w:val="00CB21B0"/>
  </w:style>
  <w:style w:type="character" w:customStyle="1" w:styleId="CharBoldItalic">
    <w:name w:val="CharBoldItalic"/>
    <w:basedOn w:val="OPCCharBase"/>
    <w:uiPriority w:val="1"/>
    <w:qFormat/>
    <w:rsid w:val="00CB21B0"/>
    <w:rPr>
      <w:b/>
      <w:i/>
    </w:rPr>
  </w:style>
  <w:style w:type="character" w:customStyle="1" w:styleId="CharItalic">
    <w:name w:val="CharItalic"/>
    <w:basedOn w:val="OPCCharBase"/>
    <w:uiPriority w:val="1"/>
    <w:qFormat/>
    <w:rsid w:val="00CB21B0"/>
    <w:rPr>
      <w:i/>
    </w:rPr>
  </w:style>
  <w:style w:type="character" w:customStyle="1" w:styleId="CharSubdNo">
    <w:name w:val="CharSubdNo"/>
    <w:basedOn w:val="OPCCharBase"/>
    <w:uiPriority w:val="1"/>
    <w:qFormat/>
    <w:rsid w:val="00CB21B0"/>
  </w:style>
  <w:style w:type="character" w:customStyle="1" w:styleId="CharSubdText">
    <w:name w:val="CharSubdText"/>
    <w:basedOn w:val="OPCCharBase"/>
    <w:uiPriority w:val="1"/>
    <w:qFormat/>
    <w:rsid w:val="00CB21B0"/>
  </w:style>
  <w:style w:type="paragraph" w:customStyle="1" w:styleId="CTA--">
    <w:name w:val="CTA --"/>
    <w:basedOn w:val="OPCParaBase"/>
    <w:next w:val="Normal"/>
    <w:rsid w:val="00CB21B0"/>
    <w:pPr>
      <w:spacing w:before="60" w:line="240" w:lineRule="atLeast"/>
      <w:ind w:left="142" w:hanging="142"/>
    </w:pPr>
    <w:rPr>
      <w:sz w:val="20"/>
    </w:rPr>
  </w:style>
  <w:style w:type="paragraph" w:customStyle="1" w:styleId="CTA-">
    <w:name w:val="CTA -"/>
    <w:basedOn w:val="OPCParaBase"/>
    <w:rsid w:val="00CB21B0"/>
    <w:pPr>
      <w:spacing w:before="60" w:line="240" w:lineRule="atLeast"/>
      <w:ind w:left="85" w:hanging="85"/>
    </w:pPr>
    <w:rPr>
      <w:sz w:val="20"/>
    </w:rPr>
  </w:style>
  <w:style w:type="paragraph" w:customStyle="1" w:styleId="CTA---">
    <w:name w:val="CTA ---"/>
    <w:basedOn w:val="OPCParaBase"/>
    <w:next w:val="Normal"/>
    <w:rsid w:val="00CB21B0"/>
    <w:pPr>
      <w:spacing w:before="60" w:line="240" w:lineRule="atLeast"/>
      <w:ind w:left="198" w:hanging="198"/>
    </w:pPr>
    <w:rPr>
      <w:sz w:val="20"/>
    </w:rPr>
  </w:style>
  <w:style w:type="paragraph" w:customStyle="1" w:styleId="CTA----">
    <w:name w:val="CTA ----"/>
    <w:basedOn w:val="OPCParaBase"/>
    <w:next w:val="Normal"/>
    <w:rsid w:val="00CB21B0"/>
    <w:pPr>
      <w:spacing w:before="60" w:line="240" w:lineRule="atLeast"/>
      <w:ind w:left="255" w:hanging="255"/>
    </w:pPr>
    <w:rPr>
      <w:sz w:val="20"/>
    </w:rPr>
  </w:style>
  <w:style w:type="paragraph" w:customStyle="1" w:styleId="CTA1a">
    <w:name w:val="CTA 1(a)"/>
    <w:basedOn w:val="OPCParaBase"/>
    <w:rsid w:val="00CB21B0"/>
    <w:pPr>
      <w:tabs>
        <w:tab w:val="right" w:pos="414"/>
      </w:tabs>
      <w:spacing w:before="40" w:line="240" w:lineRule="atLeast"/>
      <w:ind w:left="675" w:hanging="675"/>
    </w:pPr>
    <w:rPr>
      <w:sz w:val="20"/>
    </w:rPr>
  </w:style>
  <w:style w:type="paragraph" w:customStyle="1" w:styleId="CTA1ai">
    <w:name w:val="CTA 1(a)(i)"/>
    <w:basedOn w:val="OPCParaBase"/>
    <w:rsid w:val="00CB21B0"/>
    <w:pPr>
      <w:tabs>
        <w:tab w:val="right" w:pos="1004"/>
      </w:tabs>
      <w:spacing w:before="40" w:line="240" w:lineRule="atLeast"/>
      <w:ind w:left="1253" w:hanging="1253"/>
    </w:pPr>
    <w:rPr>
      <w:sz w:val="20"/>
    </w:rPr>
  </w:style>
  <w:style w:type="paragraph" w:customStyle="1" w:styleId="CTA2a">
    <w:name w:val="CTA 2(a)"/>
    <w:basedOn w:val="OPCParaBase"/>
    <w:rsid w:val="00CB21B0"/>
    <w:pPr>
      <w:tabs>
        <w:tab w:val="right" w:pos="482"/>
      </w:tabs>
      <w:spacing w:before="40" w:line="240" w:lineRule="atLeast"/>
      <w:ind w:left="748" w:hanging="748"/>
    </w:pPr>
    <w:rPr>
      <w:sz w:val="20"/>
    </w:rPr>
  </w:style>
  <w:style w:type="paragraph" w:customStyle="1" w:styleId="CTA2ai">
    <w:name w:val="CTA 2(a)(i)"/>
    <w:basedOn w:val="OPCParaBase"/>
    <w:rsid w:val="00CB21B0"/>
    <w:pPr>
      <w:tabs>
        <w:tab w:val="right" w:pos="1089"/>
      </w:tabs>
      <w:spacing w:before="40" w:line="240" w:lineRule="atLeast"/>
      <w:ind w:left="1327" w:hanging="1327"/>
    </w:pPr>
    <w:rPr>
      <w:sz w:val="20"/>
    </w:rPr>
  </w:style>
  <w:style w:type="paragraph" w:customStyle="1" w:styleId="CTA3a">
    <w:name w:val="CTA 3(a)"/>
    <w:basedOn w:val="OPCParaBase"/>
    <w:rsid w:val="00CB21B0"/>
    <w:pPr>
      <w:tabs>
        <w:tab w:val="right" w:pos="556"/>
      </w:tabs>
      <w:spacing w:before="40" w:line="240" w:lineRule="atLeast"/>
      <w:ind w:left="805" w:hanging="805"/>
    </w:pPr>
    <w:rPr>
      <w:sz w:val="20"/>
    </w:rPr>
  </w:style>
  <w:style w:type="paragraph" w:customStyle="1" w:styleId="CTA3ai">
    <w:name w:val="CTA 3(a)(i)"/>
    <w:basedOn w:val="OPCParaBase"/>
    <w:rsid w:val="00CB21B0"/>
    <w:pPr>
      <w:tabs>
        <w:tab w:val="right" w:pos="1140"/>
      </w:tabs>
      <w:spacing w:before="40" w:line="240" w:lineRule="atLeast"/>
      <w:ind w:left="1361" w:hanging="1361"/>
    </w:pPr>
    <w:rPr>
      <w:sz w:val="20"/>
    </w:rPr>
  </w:style>
  <w:style w:type="paragraph" w:customStyle="1" w:styleId="CTA4a">
    <w:name w:val="CTA 4(a)"/>
    <w:basedOn w:val="OPCParaBase"/>
    <w:rsid w:val="00CB21B0"/>
    <w:pPr>
      <w:tabs>
        <w:tab w:val="right" w:pos="624"/>
      </w:tabs>
      <w:spacing w:before="40" w:line="240" w:lineRule="atLeast"/>
      <w:ind w:left="873" w:hanging="873"/>
    </w:pPr>
    <w:rPr>
      <w:sz w:val="20"/>
    </w:rPr>
  </w:style>
  <w:style w:type="paragraph" w:customStyle="1" w:styleId="CTA4ai">
    <w:name w:val="CTA 4(a)(i)"/>
    <w:basedOn w:val="OPCParaBase"/>
    <w:rsid w:val="00CB21B0"/>
    <w:pPr>
      <w:tabs>
        <w:tab w:val="right" w:pos="1213"/>
      </w:tabs>
      <w:spacing w:before="40" w:line="240" w:lineRule="atLeast"/>
      <w:ind w:left="1452" w:hanging="1452"/>
    </w:pPr>
    <w:rPr>
      <w:sz w:val="20"/>
    </w:rPr>
  </w:style>
  <w:style w:type="paragraph" w:customStyle="1" w:styleId="CTACAPS">
    <w:name w:val="CTA CAPS"/>
    <w:basedOn w:val="OPCParaBase"/>
    <w:rsid w:val="00CB21B0"/>
    <w:pPr>
      <w:spacing w:before="60" w:line="240" w:lineRule="atLeast"/>
    </w:pPr>
    <w:rPr>
      <w:sz w:val="20"/>
    </w:rPr>
  </w:style>
  <w:style w:type="paragraph" w:customStyle="1" w:styleId="CTAright">
    <w:name w:val="CTA right"/>
    <w:basedOn w:val="OPCParaBase"/>
    <w:rsid w:val="00CB21B0"/>
    <w:pPr>
      <w:spacing w:before="60" w:line="240" w:lineRule="auto"/>
      <w:jc w:val="right"/>
    </w:pPr>
    <w:rPr>
      <w:sz w:val="20"/>
    </w:rPr>
  </w:style>
  <w:style w:type="paragraph" w:customStyle="1" w:styleId="Definition">
    <w:name w:val="Definition"/>
    <w:aliases w:val="dd"/>
    <w:basedOn w:val="OPCParaBase"/>
    <w:rsid w:val="00CB21B0"/>
    <w:pPr>
      <w:spacing w:before="180" w:line="240" w:lineRule="auto"/>
      <w:ind w:left="1134"/>
    </w:pPr>
  </w:style>
  <w:style w:type="paragraph" w:customStyle="1" w:styleId="ETAsubitem">
    <w:name w:val="ETA(subitem)"/>
    <w:basedOn w:val="OPCParaBase"/>
    <w:rsid w:val="00CB21B0"/>
    <w:pPr>
      <w:tabs>
        <w:tab w:val="right" w:pos="340"/>
      </w:tabs>
      <w:spacing w:before="60" w:line="240" w:lineRule="auto"/>
      <w:ind w:left="454" w:hanging="454"/>
    </w:pPr>
    <w:rPr>
      <w:sz w:val="20"/>
    </w:rPr>
  </w:style>
  <w:style w:type="paragraph" w:customStyle="1" w:styleId="ETApara">
    <w:name w:val="ETA(para)"/>
    <w:basedOn w:val="OPCParaBase"/>
    <w:rsid w:val="00CB21B0"/>
    <w:pPr>
      <w:tabs>
        <w:tab w:val="right" w:pos="754"/>
      </w:tabs>
      <w:spacing w:before="60" w:line="240" w:lineRule="auto"/>
      <w:ind w:left="828" w:hanging="828"/>
    </w:pPr>
    <w:rPr>
      <w:sz w:val="20"/>
    </w:rPr>
  </w:style>
  <w:style w:type="paragraph" w:customStyle="1" w:styleId="ETAsubpara">
    <w:name w:val="ETA(subpara)"/>
    <w:basedOn w:val="OPCParaBase"/>
    <w:rsid w:val="00CB21B0"/>
    <w:pPr>
      <w:tabs>
        <w:tab w:val="right" w:pos="1083"/>
      </w:tabs>
      <w:spacing w:before="60" w:line="240" w:lineRule="auto"/>
      <w:ind w:left="1191" w:hanging="1191"/>
    </w:pPr>
    <w:rPr>
      <w:sz w:val="20"/>
    </w:rPr>
  </w:style>
  <w:style w:type="paragraph" w:customStyle="1" w:styleId="ETAsub-subpara">
    <w:name w:val="ETA(sub-subpara)"/>
    <w:basedOn w:val="OPCParaBase"/>
    <w:rsid w:val="00CB21B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B21B0"/>
    <w:rPr>
      <w:sz w:val="16"/>
    </w:rPr>
  </w:style>
  <w:style w:type="paragraph" w:customStyle="1" w:styleId="House">
    <w:name w:val="House"/>
    <w:basedOn w:val="OPCParaBase"/>
    <w:rsid w:val="00CB21B0"/>
    <w:pPr>
      <w:spacing w:line="240" w:lineRule="auto"/>
    </w:pPr>
    <w:rPr>
      <w:sz w:val="28"/>
    </w:rPr>
  </w:style>
  <w:style w:type="paragraph" w:customStyle="1" w:styleId="Item">
    <w:name w:val="Item"/>
    <w:aliases w:val="i"/>
    <w:basedOn w:val="OPCParaBase"/>
    <w:next w:val="ItemHead"/>
    <w:rsid w:val="00CB21B0"/>
    <w:pPr>
      <w:keepLines/>
      <w:spacing w:before="80" w:line="240" w:lineRule="auto"/>
      <w:ind w:left="709"/>
    </w:pPr>
  </w:style>
  <w:style w:type="paragraph" w:customStyle="1" w:styleId="ItemHead">
    <w:name w:val="ItemHead"/>
    <w:aliases w:val="ih"/>
    <w:basedOn w:val="OPCParaBase"/>
    <w:next w:val="Item"/>
    <w:rsid w:val="00CB21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21B0"/>
    <w:pPr>
      <w:spacing w:line="240" w:lineRule="auto"/>
    </w:pPr>
    <w:rPr>
      <w:b/>
      <w:sz w:val="32"/>
    </w:rPr>
  </w:style>
  <w:style w:type="paragraph" w:customStyle="1" w:styleId="notedraft">
    <w:name w:val="note(draft)"/>
    <w:aliases w:val="nd"/>
    <w:basedOn w:val="OPCParaBase"/>
    <w:rsid w:val="00CB21B0"/>
    <w:pPr>
      <w:spacing w:before="240" w:line="240" w:lineRule="auto"/>
      <w:ind w:left="284" w:hanging="284"/>
    </w:pPr>
    <w:rPr>
      <w:i/>
      <w:sz w:val="24"/>
    </w:rPr>
  </w:style>
  <w:style w:type="paragraph" w:customStyle="1" w:styleId="notemargin">
    <w:name w:val="note(margin)"/>
    <w:aliases w:val="nm"/>
    <w:basedOn w:val="OPCParaBase"/>
    <w:rsid w:val="00CB21B0"/>
    <w:pPr>
      <w:tabs>
        <w:tab w:val="left" w:pos="709"/>
      </w:tabs>
      <w:spacing w:before="122" w:line="198" w:lineRule="exact"/>
      <w:ind w:left="709" w:hanging="709"/>
    </w:pPr>
    <w:rPr>
      <w:sz w:val="18"/>
    </w:rPr>
  </w:style>
  <w:style w:type="paragraph" w:customStyle="1" w:styleId="notepara">
    <w:name w:val="note(para)"/>
    <w:aliases w:val="na"/>
    <w:basedOn w:val="OPCParaBase"/>
    <w:rsid w:val="00CB21B0"/>
    <w:pPr>
      <w:spacing w:before="40" w:line="198" w:lineRule="exact"/>
      <w:ind w:left="2354" w:hanging="369"/>
    </w:pPr>
    <w:rPr>
      <w:sz w:val="18"/>
    </w:rPr>
  </w:style>
  <w:style w:type="paragraph" w:customStyle="1" w:styleId="noteParlAmend">
    <w:name w:val="note(ParlAmend)"/>
    <w:aliases w:val="npp"/>
    <w:basedOn w:val="OPCParaBase"/>
    <w:next w:val="ParlAmend"/>
    <w:rsid w:val="00CB21B0"/>
    <w:pPr>
      <w:spacing w:line="240" w:lineRule="auto"/>
      <w:jc w:val="right"/>
    </w:pPr>
    <w:rPr>
      <w:rFonts w:ascii="Arial" w:hAnsi="Arial"/>
      <w:b/>
      <w:i/>
    </w:rPr>
  </w:style>
  <w:style w:type="paragraph" w:customStyle="1" w:styleId="notetext">
    <w:name w:val="note(text)"/>
    <w:aliases w:val="n"/>
    <w:basedOn w:val="OPCParaBase"/>
    <w:link w:val="notetextChar"/>
    <w:rsid w:val="00CB21B0"/>
    <w:pPr>
      <w:spacing w:before="122" w:line="198" w:lineRule="exact"/>
      <w:ind w:left="1985" w:hanging="851"/>
    </w:pPr>
    <w:rPr>
      <w:sz w:val="18"/>
    </w:rPr>
  </w:style>
  <w:style w:type="paragraph" w:customStyle="1" w:styleId="Page1">
    <w:name w:val="Page1"/>
    <w:basedOn w:val="OPCParaBase"/>
    <w:rsid w:val="00CB21B0"/>
    <w:pPr>
      <w:spacing w:before="5600" w:line="240" w:lineRule="auto"/>
    </w:pPr>
    <w:rPr>
      <w:b/>
      <w:sz w:val="32"/>
    </w:rPr>
  </w:style>
  <w:style w:type="paragraph" w:customStyle="1" w:styleId="paragraphsub">
    <w:name w:val="paragraph(sub)"/>
    <w:aliases w:val="aa"/>
    <w:basedOn w:val="OPCParaBase"/>
    <w:rsid w:val="00CB21B0"/>
    <w:pPr>
      <w:tabs>
        <w:tab w:val="right" w:pos="1985"/>
      </w:tabs>
      <w:spacing w:before="40" w:line="240" w:lineRule="auto"/>
      <w:ind w:left="2098" w:hanging="2098"/>
    </w:pPr>
  </w:style>
  <w:style w:type="paragraph" w:customStyle="1" w:styleId="paragraphsub-sub">
    <w:name w:val="paragraph(sub-sub)"/>
    <w:aliases w:val="aaa"/>
    <w:basedOn w:val="OPCParaBase"/>
    <w:rsid w:val="00CB21B0"/>
    <w:pPr>
      <w:tabs>
        <w:tab w:val="right" w:pos="2722"/>
      </w:tabs>
      <w:spacing w:before="40" w:line="240" w:lineRule="auto"/>
      <w:ind w:left="2835" w:hanging="2835"/>
    </w:pPr>
  </w:style>
  <w:style w:type="paragraph" w:customStyle="1" w:styleId="paragraph">
    <w:name w:val="paragraph"/>
    <w:aliases w:val="a"/>
    <w:basedOn w:val="OPCParaBase"/>
    <w:link w:val="paragraphChar"/>
    <w:rsid w:val="00CB21B0"/>
    <w:pPr>
      <w:tabs>
        <w:tab w:val="right" w:pos="1531"/>
      </w:tabs>
      <w:spacing w:before="40" w:line="240" w:lineRule="auto"/>
      <w:ind w:left="1644" w:hanging="1644"/>
    </w:pPr>
  </w:style>
  <w:style w:type="paragraph" w:customStyle="1" w:styleId="ParlAmend">
    <w:name w:val="ParlAmend"/>
    <w:aliases w:val="pp"/>
    <w:basedOn w:val="OPCParaBase"/>
    <w:rsid w:val="00CB21B0"/>
    <w:pPr>
      <w:spacing w:before="240" w:line="240" w:lineRule="atLeast"/>
      <w:ind w:hanging="567"/>
    </w:pPr>
    <w:rPr>
      <w:sz w:val="24"/>
    </w:rPr>
  </w:style>
  <w:style w:type="paragraph" w:customStyle="1" w:styleId="Portfolio">
    <w:name w:val="Portfolio"/>
    <w:basedOn w:val="OPCParaBase"/>
    <w:rsid w:val="00CB21B0"/>
    <w:pPr>
      <w:spacing w:line="240" w:lineRule="auto"/>
    </w:pPr>
    <w:rPr>
      <w:i/>
      <w:sz w:val="20"/>
    </w:rPr>
  </w:style>
  <w:style w:type="paragraph" w:customStyle="1" w:styleId="Preamble">
    <w:name w:val="Preamble"/>
    <w:basedOn w:val="OPCParaBase"/>
    <w:next w:val="Normal"/>
    <w:rsid w:val="00CB2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21B0"/>
    <w:pPr>
      <w:spacing w:line="240" w:lineRule="auto"/>
    </w:pPr>
    <w:rPr>
      <w:i/>
      <w:sz w:val="20"/>
    </w:rPr>
  </w:style>
  <w:style w:type="paragraph" w:customStyle="1" w:styleId="Session">
    <w:name w:val="Session"/>
    <w:basedOn w:val="OPCParaBase"/>
    <w:rsid w:val="00CB21B0"/>
    <w:pPr>
      <w:spacing w:line="240" w:lineRule="auto"/>
    </w:pPr>
    <w:rPr>
      <w:sz w:val="28"/>
    </w:rPr>
  </w:style>
  <w:style w:type="paragraph" w:customStyle="1" w:styleId="Sponsor">
    <w:name w:val="Sponsor"/>
    <w:basedOn w:val="OPCParaBase"/>
    <w:rsid w:val="00CB21B0"/>
    <w:pPr>
      <w:spacing w:line="240" w:lineRule="auto"/>
    </w:pPr>
    <w:rPr>
      <w:i/>
    </w:rPr>
  </w:style>
  <w:style w:type="paragraph" w:customStyle="1" w:styleId="Subitem">
    <w:name w:val="Subitem"/>
    <w:aliases w:val="iss"/>
    <w:basedOn w:val="OPCParaBase"/>
    <w:rsid w:val="00CB21B0"/>
    <w:pPr>
      <w:spacing w:before="180" w:line="240" w:lineRule="auto"/>
      <w:ind w:left="709" w:hanging="709"/>
    </w:pPr>
  </w:style>
  <w:style w:type="paragraph" w:customStyle="1" w:styleId="SubitemHead">
    <w:name w:val="SubitemHead"/>
    <w:aliases w:val="issh"/>
    <w:basedOn w:val="OPCParaBase"/>
    <w:rsid w:val="00CB21B0"/>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CB21B0"/>
    <w:pPr>
      <w:keepNext/>
      <w:keepLines/>
      <w:spacing w:before="240" w:line="240" w:lineRule="auto"/>
      <w:ind w:left="1134"/>
    </w:pPr>
    <w:rPr>
      <w:i/>
    </w:rPr>
  </w:style>
  <w:style w:type="paragraph" w:customStyle="1" w:styleId="Tablea">
    <w:name w:val="Table(a)"/>
    <w:aliases w:val="ta"/>
    <w:basedOn w:val="OPCParaBase"/>
    <w:rsid w:val="00CB21B0"/>
    <w:pPr>
      <w:spacing w:before="60" w:line="240" w:lineRule="auto"/>
      <w:ind w:left="284" w:hanging="284"/>
    </w:pPr>
    <w:rPr>
      <w:sz w:val="20"/>
    </w:rPr>
  </w:style>
  <w:style w:type="paragraph" w:customStyle="1" w:styleId="TableAA">
    <w:name w:val="Table(AA)"/>
    <w:aliases w:val="taaa"/>
    <w:basedOn w:val="OPCParaBase"/>
    <w:rsid w:val="00CB21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21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21B0"/>
    <w:pPr>
      <w:spacing w:before="60" w:line="240" w:lineRule="atLeast"/>
    </w:pPr>
    <w:rPr>
      <w:sz w:val="20"/>
    </w:rPr>
  </w:style>
  <w:style w:type="paragraph" w:customStyle="1" w:styleId="TLPBoxTextnote">
    <w:name w:val="TLPBoxText(note"/>
    <w:aliases w:val="right)"/>
    <w:basedOn w:val="OPCParaBase"/>
    <w:rsid w:val="00CB2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21B0"/>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21B0"/>
    <w:pPr>
      <w:spacing w:before="122" w:line="198" w:lineRule="exact"/>
      <w:ind w:left="1985" w:hanging="851"/>
      <w:jc w:val="right"/>
    </w:pPr>
    <w:rPr>
      <w:sz w:val="18"/>
    </w:rPr>
  </w:style>
  <w:style w:type="paragraph" w:customStyle="1" w:styleId="TLPTableBullet">
    <w:name w:val="TLPTableBullet"/>
    <w:aliases w:val="ttb"/>
    <w:basedOn w:val="OPCParaBase"/>
    <w:rsid w:val="00CB21B0"/>
    <w:pPr>
      <w:spacing w:line="240" w:lineRule="exact"/>
      <w:ind w:left="284" w:hanging="284"/>
    </w:pPr>
    <w:rPr>
      <w:sz w:val="20"/>
    </w:rPr>
  </w:style>
  <w:style w:type="paragraph" w:customStyle="1" w:styleId="TofSectsGroupHeading">
    <w:name w:val="TofSects(GroupHeading)"/>
    <w:basedOn w:val="OPCParaBase"/>
    <w:next w:val="TofSectsSection"/>
    <w:rsid w:val="00CB21B0"/>
    <w:pPr>
      <w:keepLines/>
      <w:spacing w:before="240" w:after="120" w:line="240" w:lineRule="auto"/>
      <w:ind w:left="794"/>
    </w:pPr>
    <w:rPr>
      <w:b/>
      <w:kern w:val="28"/>
      <w:sz w:val="20"/>
    </w:rPr>
  </w:style>
  <w:style w:type="paragraph" w:customStyle="1" w:styleId="TofSectsHeading">
    <w:name w:val="TofSects(Heading)"/>
    <w:basedOn w:val="OPCParaBase"/>
    <w:rsid w:val="00CB21B0"/>
    <w:pPr>
      <w:spacing w:before="240" w:after="120" w:line="240" w:lineRule="auto"/>
    </w:pPr>
    <w:rPr>
      <w:b/>
      <w:sz w:val="24"/>
    </w:rPr>
  </w:style>
  <w:style w:type="paragraph" w:customStyle="1" w:styleId="TofSectsSection">
    <w:name w:val="TofSects(Section)"/>
    <w:basedOn w:val="OPCParaBase"/>
    <w:rsid w:val="00CB21B0"/>
    <w:pPr>
      <w:keepLines/>
      <w:spacing w:before="40" w:line="240" w:lineRule="auto"/>
      <w:ind w:left="1588" w:hanging="794"/>
    </w:pPr>
    <w:rPr>
      <w:kern w:val="28"/>
      <w:sz w:val="18"/>
    </w:rPr>
  </w:style>
  <w:style w:type="paragraph" w:customStyle="1" w:styleId="TofSectsSubdiv">
    <w:name w:val="TofSects(Subdiv)"/>
    <w:basedOn w:val="OPCParaBase"/>
    <w:rsid w:val="00CB21B0"/>
    <w:pPr>
      <w:keepLines/>
      <w:spacing w:before="80" w:line="240" w:lineRule="auto"/>
      <w:ind w:left="1588" w:hanging="794"/>
    </w:pPr>
    <w:rPr>
      <w:kern w:val="28"/>
    </w:rPr>
  </w:style>
  <w:style w:type="paragraph" w:customStyle="1" w:styleId="WRStyle">
    <w:name w:val="WR Style"/>
    <w:aliases w:val="WR"/>
    <w:basedOn w:val="OPCParaBase"/>
    <w:rsid w:val="00CB21B0"/>
    <w:pPr>
      <w:spacing w:before="240" w:line="240" w:lineRule="auto"/>
      <w:ind w:left="284" w:hanging="284"/>
    </w:pPr>
    <w:rPr>
      <w:b/>
      <w:i/>
      <w:kern w:val="28"/>
      <w:sz w:val="24"/>
    </w:rPr>
  </w:style>
  <w:style w:type="numbering" w:customStyle="1" w:styleId="OPCBodyList">
    <w:name w:val="OPCBodyList"/>
    <w:uiPriority w:val="99"/>
    <w:rsid w:val="00442A5E"/>
    <w:pPr>
      <w:numPr>
        <w:numId w:val="37"/>
      </w:numPr>
    </w:pPr>
  </w:style>
  <w:style w:type="paragraph" w:customStyle="1" w:styleId="noteToPara">
    <w:name w:val="noteToPara"/>
    <w:aliases w:val="ntp"/>
    <w:basedOn w:val="OPCParaBase"/>
    <w:rsid w:val="00CB21B0"/>
    <w:pPr>
      <w:spacing w:before="122" w:line="198" w:lineRule="exact"/>
      <w:ind w:left="2353" w:hanging="709"/>
    </w:pPr>
    <w:rPr>
      <w:sz w:val="18"/>
    </w:rPr>
  </w:style>
  <w:style w:type="character" w:customStyle="1" w:styleId="FooterChar">
    <w:name w:val="Footer Char"/>
    <w:basedOn w:val="DefaultParagraphFont"/>
    <w:link w:val="Footer"/>
    <w:rsid w:val="00CB21B0"/>
    <w:rPr>
      <w:sz w:val="22"/>
      <w:szCs w:val="24"/>
    </w:rPr>
  </w:style>
  <w:style w:type="character" w:customStyle="1" w:styleId="BalloonTextChar">
    <w:name w:val="Balloon Text Char"/>
    <w:basedOn w:val="DefaultParagraphFont"/>
    <w:link w:val="BalloonText"/>
    <w:uiPriority w:val="99"/>
    <w:rsid w:val="00CB21B0"/>
    <w:rPr>
      <w:rFonts w:ascii="Tahoma" w:eastAsiaTheme="minorHAnsi" w:hAnsi="Tahoma" w:cs="Tahoma"/>
      <w:sz w:val="16"/>
      <w:szCs w:val="16"/>
      <w:lang w:eastAsia="en-US"/>
    </w:rPr>
  </w:style>
  <w:style w:type="table" w:customStyle="1" w:styleId="CFlag">
    <w:name w:val="CFlag"/>
    <w:basedOn w:val="TableNormal"/>
    <w:uiPriority w:val="99"/>
    <w:rsid w:val="00CB21B0"/>
    <w:tblPr>
      <w:tblInd w:w="0" w:type="dxa"/>
      <w:tblCellMar>
        <w:top w:w="0" w:type="dxa"/>
        <w:left w:w="108" w:type="dxa"/>
        <w:bottom w:w="0" w:type="dxa"/>
        <w:right w:w="108" w:type="dxa"/>
      </w:tblCellMar>
    </w:tblPr>
  </w:style>
  <w:style w:type="paragraph" w:customStyle="1" w:styleId="InstNo">
    <w:name w:val="InstNo"/>
    <w:basedOn w:val="OPCParaBase"/>
    <w:next w:val="Normal"/>
    <w:rsid w:val="00CB21B0"/>
    <w:rPr>
      <w:b/>
      <w:sz w:val="28"/>
      <w:szCs w:val="32"/>
    </w:rPr>
  </w:style>
  <w:style w:type="paragraph" w:customStyle="1" w:styleId="TerritoryT">
    <w:name w:val="TerritoryT"/>
    <w:basedOn w:val="OPCParaBase"/>
    <w:next w:val="Normal"/>
    <w:rsid w:val="00CB21B0"/>
    <w:rPr>
      <w:b/>
      <w:sz w:val="32"/>
    </w:rPr>
  </w:style>
  <w:style w:type="paragraph" w:customStyle="1" w:styleId="LegislationMadeUnder">
    <w:name w:val="LegislationMadeUnder"/>
    <w:basedOn w:val="OPCParaBase"/>
    <w:next w:val="Normal"/>
    <w:rsid w:val="00CB21B0"/>
    <w:rPr>
      <w:i/>
      <w:sz w:val="32"/>
      <w:szCs w:val="32"/>
    </w:rPr>
  </w:style>
  <w:style w:type="paragraph" w:customStyle="1" w:styleId="SignCoverPageEnd">
    <w:name w:val="SignCoverPageEnd"/>
    <w:basedOn w:val="OPCParaBase"/>
    <w:next w:val="Normal"/>
    <w:rsid w:val="00CB21B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B21B0"/>
    <w:pPr>
      <w:pBdr>
        <w:top w:val="single" w:sz="4" w:space="1" w:color="auto"/>
      </w:pBdr>
      <w:spacing w:before="360"/>
      <w:ind w:right="397"/>
      <w:jc w:val="both"/>
    </w:pPr>
  </w:style>
  <w:style w:type="paragraph" w:customStyle="1" w:styleId="NotesHeading1">
    <w:name w:val="NotesHeading 1"/>
    <w:basedOn w:val="OPCParaBase"/>
    <w:next w:val="Normal"/>
    <w:rsid w:val="00CB21B0"/>
    <w:rPr>
      <w:b/>
      <w:sz w:val="28"/>
      <w:szCs w:val="28"/>
    </w:rPr>
  </w:style>
  <w:style w:type="paragraph" w:customStyle="1" w:styleId="NotesHeading2">
    <w:name w:val="NotesHeading 2"/>
    <w:basedOn w:val="OPCParaBase"/>
    <w:next w:val="Normal"/>
    <w:rsid w:val="00CB21B0"/>
    <w:rPr>
      <w:b/>
      <w:sz w:val="28"/>
      <w:szCs w:val="28"/>
    </w:rPr>
  </w:style>
  <w:style w:type="paragraph" w:customStyle="1" w:styleId="ENotesHeading1">
    <w:name w:val="ENotesHeading 1"/>
    <w:aliases w:val="Enh1"/>
    <w:basedOn w:val="OPCParaBase"/>
    <w:next w:val="Normal"/>
    <w:rsid w:val="00CB21B0"/>
    <w:pPr>
      <w:spacing w:before="120"/>
      <w:outlineLvl w:val="1"/>
    </w:pPr>
    <w:rPr>
      <w:b/>
      <w:sz w:val="28"/>
      <w:szCs w:val="28"/>
    </w:rPr>
  </w:style>
  <w:style w:type="paragraph" w:customStyle="1" w:styleId="ENotesHeading2">
    <w:name w:val="ENotesHeading 2"/>
    <w:aliases w:val="Enh2"/>
    <w:basedOn w:val="OPCParaBase"/>
    <w:next w:val="Normal"/>
    <w:rsid w:val="00CB21B0"/>
    <w:pPr>
      <w:spacing w:before="120" w:after="120"/>
      <w:outlineLvl w:val="2"/>
    </w:pPr>
    <w:rPr>
      <w:b/>
      <w:sz w:val="24"/>
      <w:szCs w:val="28"/>
    </w:rPr>
  </w:style>
  <w:style w:type="paragraph" w:customStyle="1" w:styleId="ENotesHeading3">
    <w:name w:val="ENotesHeading 3"/>
    <w:aliases w:val="Enh3"/>
    <w:basedOn w:val="OPCParaBase"/>
    <w:next w:val="Normal"/>
    <w:rsid w:val="00CB21B0"/>
    <w:pPr>
      <w:keepNext/>
      <w:spacing w:before="120" w:line="240" w:lineRule="auto"/>
      <w:outlineLvl w:val="4"/>
    </w:pPr>
    <w:rPr>
      <w:b/>
      <w:szCs w:val="24"/>
    </w:rPr>
  </w:style>
  <w:style w:type="paragraph" w:customStyle="1" w:styleId="ENotesText">
    <w:name w:val="ENotesText"/>
    <w:basedOn w:val="OPCParaBase"/>
    <w:next w:val="Normal"/>
    <w:rsid w:val="00CB21B0"/>
  </w:style>
  <w:style w:type="paragraph" w:customStyle="1" w:styleId="CompiledActNo">
    <w:name w:val="CompiledActNo"/>
    <w:basedOn w:val="OPCParaBase"/>
    <w:next w:val="Normal"/>
    <w:rsid w:val="00CB21B0"/>
    <w:rPr>
      <w:b/>
      <w:sz w:val="24"/>
      <w:szCs w:val="24"/>
    </w:rPr>
  </w:style>
  <w:style w:type="paragraph" w:customStyle="1" w:styleId="CompiledMadeUnder">
    <w:name w:val="CompiledMadeUnder"/>
    <w:basedOn w:val="OPCParaBase"/>
    <w:next w:val="Normal"/>
    <w:rsid w:val="00CB21B0"/>
    <w:rPr>
      <w:i/>
      <w:sz w:val="24"/>
      <w:szCs w:val="24"/>
    </w:rPr>
  </w:style>
  <w:style w:type="paragraph" w:customStyle="1" w:styleId="Paragraphsub-sub-sub">
    <w:name w:val="Paragraph(sub-sub-sub)"/>
    <w:aliases w:val="aaaa"/>
    <w:basedOn w:val="OPCParaBase"/>
    <w:rsid w:val="00CB21B0"/>
    <w:pPr>
      <w:tabs>
        <w:tab w:val="right" w:pos="3402"/>
      </w:tabs>
      <w:spacing w:before="40" w:line="240" w:lineRule="auto"/>
      <w:ind w:left="3402" w:hanging="3402"/>
    </w:pPr>
  </w:style>
  <w:style w:type="paragraph" w:customStyle="1" w:styleId="SubPartCASA">
    <w:name w:val="SubPart(CASA)"/>
    <w:aliases w:val="csp"/>
    <w:basedOn w:val="OPCParaBase"/>
    <w:next w:val="ActHead3"/>
    <w:rsid w:val="00CB21B0"/>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442A5E"/>
    <w:rPr>
      <w:sz w:val="22"/>
    </w:rPr>
  </w:style>
  <w:style w:type="character" w:customStyle="1" w:styleId="Heading1Char">
    <w:name w:val="Heading 1 Char"/>
    <w:basedOn w:val="DefaultParagraphFont"/>
    <w:link w:val="Heading1"/>
    <w:rsid w:val="00377BD8"/>
    <w:rPr>
      <w:rFonts w:ascii="Arial" w:eastAsiaTheme="minorHAnsi" w:hAnsi="Arial" w:cs="Arial"/>
      <w:b/>
      <w:bCs/>
      <w:kern w:val="32"/>
      <w:sz w:val="32"/>
      <w:szCs w:val="32"/>
      <w:lang w:eastAsia="en-US"/>
    </w:rPr>
  </w:style>
  <w:style w:type="paragraph" w:customStyle="1" w:styleId="TableHeading">
    <w:name w:val="TableHeading"/>
    <w:aliases w:val="th"/>
    <w:basedOn w:val="OPCParaBase"/>
    <w:next w:val="Tabletext"/>
    <w:rsid w:val="00CB21B0"/>
    <w:pPr>
      <w:keepNext/>
      <w:spacing w:before="60" w:line="240" w:lineRule="atLeast"/>
    </w:pPr>
    <w:rPr>
      <w:b/>
      <w:sz w:val="20"/>
    </w:rPr>
  </w:style>
  <w:style w:type="paragraph" w:customStyle="1" w:styleId="NoteToSubpara">
    <w:name w:val="NoteToSubpara"/>
    <w:aliases w:val="nts"/>
    <w:basedOn w:val="OPCParaBase"/>
    <w:rsid w:val="00CB21B0"/>
    <w:pPr>
      <w:spacing w:before="40" w:line="198" w:lineRule="exact"/>
      <w:ind w:left="2835" w:hanging="709"/>
    </w:pPr>
    <w:rPr>
      <w:sz w:val="18"/>
    </w:rPr>
  </w:style>
  <w:style w:type="character" w:customStyle="1" w:styleId="OPCParaBaseChar">
    <w:name w:val="OPCParaBase Char"/>
    <w:basedOn w:val="DefaultParagraphFont"/>
    <w:link w:val="OPCParaBase"/>
    <w:rsid w:val="00F57ECC"/>
    <w:rPr>
      <w:sz w:val="22"/>
    </w:rPr>
  </w:style>
  <w:style w:type="character" w:customStyle="1" w:styleId="ActHead6Char">
    <w:name w:val="ActHead 6 Char"/>
    <w:aliases w:val="as Char"/>
    <w:basedOn w:val="OPCParaBaseChar"/>
    <w:link w:val="ActHead6"/>
    <w:rsid w:val="00F57ECC"/>
    <w:rPr>
      <w:rFonts w:ascii="Arial" w:hAnsi="Arial"/>
      <w:b/>
      <w:kern w:val="28"/>
      <w:sz w:val="32"/>
    </w:rPr>
  </w:style>
  <w:style w:type="character" w:customStyle="1" w:styleId="ActHead9Char">
    <w:name w:val="ActHead 9 Char"/>
    <w:aliases w:val="aat Char"/>
    <w:basedOn w:val="OPCParaBaseChar"/>
    <w:link w:val="ActHead9"/>
    <w:rsid w:val="00F57ECC"/>
    <w:rPr>
      <w:b/>
      <w:i/>
      <w:kern w:val="28"/>
      <w:sz w:val="28"/>
    </w:rPr>
  </w:style>
  <w:style w:type="paragraph" w:customStyle="1" w:styleId="EndNotespara">
    <w:name w:val="EndNotes(para)"/>
    <w:aliases w:val="eta"/>
    <w:basedOn w:val="OPCParaBase"/>
    <w:next w:val="Normal"/>
    <w:rsid w:val="00CB2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2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CB2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21B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B21B0"/>
    <w:pPr>
      <w:keepNext/>
      <w:spacing w:before="60" w:line="240" w:lineRule="atLeast"/>
    </w:pPr>
    <w:rPr>
      <w:rFonts w:ascii="Arial" w:hAnsi="Arial"/>
      <w:b/>
      <w:sz w:val="16"/>
    </w:rPr>
  </w:style>
  <w:style w:type="paragraph" w:customStyle="1" w:styleId="ENoteTTi">
    <w:name w:val="ENoteTTi"/>
    <w:aliases w:val="entti"/>
    <w:basedOn w:val="OPCParaBase"/>
    <w:rsid w:val="00CB21B0"/>
    <w:pPr>
      <w:keepNext/>
      <w:spacing w:before="60" w:line="240" w:lineRule="atLeast"/>
      <w:ind w:left="170"/>
    </w:pPr>
    <w:rPr>
      <w:sz w:val="16"/>
    </w:rPr>
  </w:style>
  <w:style w:type="paragraph" w:customStyle="1" w:styleId="ENoteTTIndentHeading">
    <w:name w:val="ENoteTTIndentHeading"/>
    <w:aliases w:val="enTTHi"/>
    <w:basedOn w:val="OPCParaBase"/>
    <w:rsid w:val="00CB2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21B0"/>
    <w:pPr>
      <w:spacing w:before="60" w:line="240" w:lineRule="atLeast"/>
    </w:pPr>
    <w:rPr>
      <w:sz w:val="16"/>
    </w:rPr>
  </w:style>
  <w:style w:type="paragraph" w:customStyle="1" w:styleId="MadeunderText">
    <w:name w:val="MadeunderText"/>
    <w:basedOn w:val="OPCParaBase"/>
    <w:next w:val="CompiledMadeUnder"/>
    <w:rsid w:val="00CB21B0"/>
    <w:pPr>
      <w:spacing w:before="240"/>
    </w:pPr>
    <w:rPr>
      <w:sz w:val="24"/>
      <w:szCs w:val="24"/>
    </w:rPr>
  </w:style>
  <w:style w:type="character" w:customStyle="1" w:styleId="paragraphChar">
    <w:name w:val="paragraph Char"/>
    <w:aliases w:val="a Char"/>
    <w:basedOn w:val="DefaultParagraphFont"/>
    <w:link w:val="paragraph"/>
    <w:rsid w:val="00422D47"/>
    <w:rPr>
      <w:sz w:val="22"/>
    </w:rPr>
  </w:style>
  <w:style w:type="character" w:customStyle="1" w:styleId="CharSchPTText">
    <w:name w:val="CharSchPTText"/>
    <w:basedOn w:val="DefaultParagraphFont"/>
    <w:rsid w:val="003609BB"/>
  </w:style>
  <w:style w:type="character" w:customStyle="1" w:styleId="notetextChar">
    <w:name w:val="note(text) Char"/>
    <w:aliases w:val="n Char"/>
    <w:basedOn w:val="DefaultParagraphFont"/>
    <w:link w:val="notetext"/>
    <w:rsid w:val="009A62D2"/>
    <w:rPr>
      <w:sz w:val="18"/>
    </w:rPr>
  </w:style>
  <w:style w:type="character" w:customStyle="1" w:styleId="CharSubPartTextCASA">
    <w:name w:val="CharSubPartText(CASA)"/>
    <w:basedOn w:val="OPCCharBase"/>
    <w:uiPriority w:val="1"/>
    <w:rsid w:val="00CB21B0"/>
  </w:style>
  <w:style w:type="character" w:customStyle="1" w:styleId="CharSubPartNoCASA">
    <w:name w:val="CharSubPartNo(CASA)"/>
    <w:basedOn w:val="OPCCharBase"/>
    <w:uiPriority w:val="1"/>
    <w:rsid w:val="00CB21B0"/>
  </w:style>
  <w:style w:type="paragraph" w:customStyle="1" w:styleId="ENoteTTIndentHeadingSub">
    <w:name w:val="ENoteTTIndentHeadingSub"/>
    <w:aliases w:val="enTTHis"/>
    <w:basedOn w:val="OPCParaBase"/>
    <w:rsid w:val="00CB21B0"/>
    <w:pPr>
      <w:keepNext/>
      <w:spacing w:before="60" w:line="240" w:lineRule="atLeast"/>
      <w:ind w:left="340"/>
    </w:pPr>
    <w:rPr>
      <w:b/>
      <w:sz w:val="16"/>
    </w:rPr>
  </w:style>
  <w:style w:type="paragraph" w:customStyle="1" w:styleId="ENoteTTiSub">
    <w:name w:val="ENoteTTiSub"/>
    <w:aliases w:val="enttis"/>
    <w:basedOn w:val="OPCParaBase"/>
    <w:rsid w:val="00CB21B0"/>
    <w:pPr>
      <w:keepNext/>
      <w:spacing w:before="60" w:line="240" w:lineRule="atLeast"/>
      <w:ind w:left="340"/>
    </w:pPr>
    <w:rPr>
      <w:sz w:val="16"/>
    </w:rPr>
  </w:style>
  <w:style w:type="paragraph" w:customStyle="1" w:styleId="SubDivisionMigration">
    <w:name w:val="SubDivisionMigration"/>
    <w:aliases w:val="sdm"/>
    <w:basedOn w:val="OPCParaBase"/>
    <w:rsid w:val="00CB2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21B0"/>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21B0"/>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CB21B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CB21B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B21B0"/>
    <w:rPr>
      <w:color w:val="0000FF"/>
      <w:u w:val="single"/>
    </w:rPr>
  </w:style>
  <w:style w:type="character" w:styleId="LineNumber">
    <w:name w:val="line number"/>
    <w:basedOn w:val="OPCCharBase"/>
    <w:uiPriority w:val="99"/>
    <w:unhideWhenUsed/>
    <w:rsid w:val="00CB21B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42A5E"/>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21B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CB21B0"/>
  </w:style>
  <w:style w:type="character" w:customStyle="1" w:styleId="CharAmSchText">
    <w:name w:val="CharAmSchText"/>
    <w:basedOn w:val="OPCCharBase"/>
    <w:qFormat/>
    <w:rsid w:val="00CB21B0"/>
  </w:style>
  <w:style w:type="character" w:customStyle="1" w:styleId="CharChapNo">
    <w:name w:val="CharChapNo"/>
    <w:basedOn w:val="OPCCharBase"/>
    <w:uiPriority w:val="1"/>
    <w:qFormat/>
    <w:rsid w:val="00CB21B0"/>
  </w:style>
  <w:style w:type="character" w:customStyle="1" w:styleId="CharChapText">
    <w:name w:val="CharChapText"/>
    <w:basedOn w:val="OPCCharBase"/>
    <w:uiPriority w:val="1"/>
    <w:qFormat/>
    <w:rsid w:val="00CB21B0"/>
  </w:style>
  <w:style w:type="character" w:customStyle="1" w:styleId="CharDivNo">
    <w:name w:val="CharDivNo"/>
    <w:basedOn w:val="OPCCharBase"/>
    <w:uiPriority w:val="1"/>
    <w:qFormat/>
    <w:rsid w:val="00CB21B0"/>
  </w:style>
  <w:style w:type="character" w:customStyle="1" w:styleId="CharDivText">
    <w:name w:val="CharDivText"/>
    <w:basedOn w:val="OPCCharBase"/>
    <w:uiPriority w:val="1"/>
    <w:qFormat/>
    <w:rsid w:val="00CB21B0"/>
  </w:style>
  <w:style w:type="character" w:customStyle="1" w:styleId="CharPartNo">
    <w:name w:val="CharPartNo"/>
    <w:basedOn w:val="OPCCharBase"/>
    <w:uiPriority w:val="1"/>
    <w:qFormat/>
    <w:rsid w:val="00CB21B0"/>
  </w:style>
  <w:style w:type="character" w:customStyle="1" w:styleId="CharPartText">
    <w:name w:val="CharPartText"/>
    <w:basedOn w:val="OPCCharBase"/>
    <w:uiPriority w:val="1"/>
    <w:qFormat/>
    <w:rsid w:val="00CB21B0"/>
  </w:style>
  <w:style w:type="character" w:customStyle="1" w:styleId="OPCCharBase">
    <w:name w:val="OPCCharBase"/>
    <w:uiPriority w:val="1"/>
    <w:qFormat/>
    <w:rsid w:val="00CB21B0"/>
  </w:style>
  <w:style w:type="paragraph" w:customStyle="1" w:styleId="OPCParaBase">
    <w:name w:val="OPCParaBase"/>
    <w:link w:val="OPCParaBaseChar"/>
    <w:qFormat/>
    <w:rsid w:val="00CB21B0"/>
    <w:pPr>
      <w:spacing w:line="260" w:lineRule="atLeast"/>
    </w:pPr>
    <w:rPr>
      <w:sz w:val="22"/>
    </w:rPr>
  </w:style>
  <w:style w:type="character" w:customStyle="1" w:styleId="CharSectno">
    <w:name w:val="CharSectno"/>
    <w:basedOn w:val="OPCCharBase"/>
    <w:qFormat/>
    <w:rsid w:val="00CB21B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B21B0"/>
    <w:pPr>
      <w:spacing w:line="240" w:lineRule="auto"/>
      <w:ind w:left="1134"/>
    </w:pPr>
    <w:rPr>
      <w:sz w:val="20"/>
    </w:rPr>
  </w:style>
  <w:style w:type="paragraph" w:customStyle="1" w:styleId="ShortT">
    <w:name w:val="ShortT"/>
    <w:basedOn w:val="OPCParaBase"/>
    <w:next w:val="Normal"/>
    <w:qFormat/>
    <w:rsid w:val="00CB21B0"/>
    <w:pPr>
      <w:spacing w:line="240" w:lineRule="auto"/>
    </w:pPr>
    <w:rPr>
      <w:b/>
      <w:sz w:val="40"/>
    </w:rPr>
  </w:style>
  <w:style w:type="paragraph" w:customStyle="1" w:styleId="Penalty">
    <w:name w:val="Penalty"/>
    <w:basedOn w:val="OPCParaBase"/>
    <w:rsid w:val="00CB21B0"/>
    <w:pPr>
      <w:tabs>
        <w:tab w:val="left" w:pos="2977"/>
      </w:tabs>
      <w:spacing w:before="180" w:line="240" w:lineRule="auto"/>
      <w:ind w:left="1985" w:hanging="851"/>
    </w:pPr>
  </w:style>
  <w:style w:type="paragraph" w:customStyle="1" w:styleId="ActHead1">
    <w:name w:val="ActHead 1"/>
    <w:aliases w:val="c"/>
    <w:basedOn w:val="OPCParaBase"/>
    <w:next w:val="Normal"/>
    <w:qFormat/>
    <w:rsid w:val="00CB21B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B21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21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21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21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2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2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2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2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21B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B21B0"/>
    <w:pPr>
      <w:spacing w:line="240" w:lineRule="auto"/>
    </w:pPr>
    <w:rPr>
      <w:sz w:val="20"/>
    </w:rPr>
  </w:style>
  <w:style w:type="paragraph" w:customStyle="1" w:styleId="ActHead2">
    <w:name w:val="ActHead 2"/>
    <w:aliases w:val="p"/>
    <w:basedOn w:val="OPCParaBase"/>
    <w:next w:val="ActHead3"/>
    <w:qFormat/>
    <w:rsid w:val="00CB21B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B21B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ubsection2">
    <w:name w:val="subsection2"/>
    <w:aliases w:val="ss2"/>
    <w:basedOn w:val="OPCParaBase"/>
    <w:next w:val="subsection"/>
    <w:rsid w:val="00CB21B0"/>
    <w:pPr>
      <w:spacing w:before="40" w:line="240" w:lineRule="auto"/>
      <w:ind w:left="1134"/>
    </w:pPr>
  </w:style>
  <w:style w:type="paragraph" w:customStyle="1" w:styleId="subsection">
    <w:name w:val="subsection"/>
    <w:aliases w:val="ss"/>
    <w:basedOn w:val="OPCParaBase"/>
    <w:link w:val="subsectionChar"/>
    <w:rsid w:val="00CB21B0"/>
    <w:pPr>
      <w:tabs>
        <w:tab w:val="right" w:pos="1021"/>
      </w:tabs>
      <w:spacing w:before="180" w:line="240" w:lineRule="auto"/>
      <w:ind w:left="1134" w:hanging="1134"/>
    </w:pPr>
  </w:style>
  <w:style w:type="paragraph" w:customStyle="1" w:styleId="ActHead3">
    <w:name w:val="ActHead 3"/>
    <w:aliases w:val="d"/>
    <w:basedOn w:val="OPCParaBase"/>
    <w:next w:val="ActHead4"/>
    <w:qFormat/>
    <w:rsid w:val="00CB2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2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2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B2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2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2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CB21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21B0"/>
  </w:style>
  <w:style w:type="paragraph" w:customStyle="1" w:styleId="Blocks">
    <w:name w:val="Blocks"/>
    <w:aliases w:val="bb"/>
    <w:basedOn w:val="OPCParaBase"/>
    <w:qFormat/>
    <w:rsid w:val="00CB21B0"/>
    <w:pPr>
      <w:spacing w:line="240" w:lineRule="auto"/>
    </w:pPr>
    <w:rPr>
      <w:sz w:val="24"/>
    </w:rPr>
  </w:style>
  <w:style w:type="paragraph" w:customStyle="1" w:styleId="BoxText">
    <w:name w:val="BoxText"/>
    <w:aliases w:val="bt"/>
    <w:basedOn w:val="OPCParaBase"/>
    <w:qFormat/>
    <w:rsid w:val="00CB2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21B0"/>
    <w:rPr>
      <w:b/>
    </w:rPr>
  </w:style>
  <w:style w:type="paragraph" w:customStyle="1" w:styleId="BoxHeadItalic">
    <w:name w:val="BoxHeadItalic"/>
    <w:aliases w:val="bhi"/>
    <w:basedOn w:val="BoxText"/>
    <w:next w:val="BoxStep"/>
    <w:qFormat/>
    <w:rsid w:val="00CB21B0"/>
    <w:rPr>
      <w:i/>
    </w:rPr>
  </w:style>
  <w:style w:type="paragraph" w:customStyle="1" w:styleId="BoxList">
    <w:name w:val="BoxList"/>
    <w:aliases w:val="bl"/>
    <w:basedOn w:val="BoxText"/>
    <w:qFormat/>
    <w:rsid w:val="00CB21B0"/>
    <w:pPr>
      <w:ind w:left="1559" w:hanging="425"/>
    </w:pPr>
  </w:style>
  <w:style w:type="paragraph" w:customStyle="1" w:styleId="BoxNote">
    <w:name w:val="BoxNote"/>
    <w:aliases w:val="bn"/>
    <w:basedOn w:val="BoxText"/>
    <w:qFormat/>
    <w:rsid w:val="00CB21B0"/>
    <w:pPr>
      <w:tabs>
        <w:tab w:val="left" w:pos="1985"/>
      </w:tabs>
      <w:spacing w:before="122" w:line="198" w:lineRule="exact"/>
      <w:ind w:left="2948" w:hanging="1814"/>
    </w:pPr>
    <w:rPr>
      <w:sz w:val="18"/>
    </w:rPr>
  </w:style>
  <w:style w:type="paragraph" w:customStyle="1" w:styleId="BoxPara">
    <w:name w:val="BoxPara"/>
    <w:aliases w:val="bp"/>
    <w:basedOn w:val="BoxText"/>
    <w:qFormat/>
    <w:rsid w:val="00CB21B0"/>
    <w:pPr>
      <w:tabs>
        <w:tab w:val="right" w:pos="2268"/>
      </w:tabs>
      <w:ind w:left="2552" w:hanging="1418"/>
    </w:pPr>
  </w:style>
  <w:style w:type="paragraph" w:customStyle="1" w:styleId="BoxStep">
    <w:name w:val="BoxStep"/>
    <w:aliases w:val="bs"/>
    <w:basedOn w:val="BoxText"/>
    <w:qFormat/>
    <w:rsid w:val="00CB21B0"/>
    <w:pPr>
      <w:ind w:left="1985" w:hanging="851"/>
    </w:pPr>
  </w:style>
  <w:style w:type="character" w:customStyle="1" w:styleId="CharAmPartNo">
    <w:name w:val="CharAmPartNo"/>
    <w:basedOn w:val="OPCCharBase"/>
    <w:qFormat/>
    <w:rsid w:val="00CB21B0"/>
  </w:style>
  <w:style w:type="character" w:customStyle="1" w:styleId="CharAmPartText">
    <w:name w:val="CharAmPartText"/>
    <w:basedOn w:val="OPCCharBase"/>
    <w:qFormat/>
    <w:rsid w:val="00CB21B0"/>
  </w:style>
  <w:style w:type="character" w:customStyle="1" w:styleId="CharBoldItalic">
    <w:name w:val="CharBoldItalic"/>
    <w:basedOn w:val="OPCCharBase"/>
    <w:uiPriority w:val="1"/>
    <w:qFormat/>
    <w:rsid w:val="00CB21B0"/>
    <w:rPr>
      <w:b/>
      <w:i/>
    </w:rPr>
  </w:style>
  <w:style w:type="character" w:customStyle="1" w:styleId="CharItalic">
    <w:name w:val="CharItalic"/>
    <w:basedOn w:val="OPCCharBase"/>
    <w:uiPriority w:val="1"/>
    <w:qFormat/>
    <w:rsid w:val="00CB21B0"/>
    <w:rPr>
      <w:i/>
    </w:rPr>
  </w:style>
  <w:style w:type="character" w:customStyle="1" w:styleId="CharSubdNo">
    <w:name w:val="CharSubdNo"/>
    <w:basedOn w:val="OPCCharBase"/>
    <w:uiPriority w:val="1"/>
    <w:qFormat/>
    <w:rsid w:val="00CB21B0"/>
  </w:style>
  <w:style w:type="character" w:customStyle="1" w:styleId="CharSubdText">
    <w:name w:val="CharSubdText"/>
    <w:basedOn w:val="OPCCharBase"/>
    <w:uiPriority w:val="1"/>
    <w:qFormat/>
    <w:rsid w:val="00CB21B0"/>
  </w:style>
  <w:style w:type="paragraph" w:customStyle="1" w:styleId="CTA--">
    <w:name w:val="CTA --"/>
    <w:basedOn w:val="OPCParaBase"/>
    <w:next w:val="Normal"/>
    <w:rsid w:val="00CB21B0"/>
    <w:pPr>
      <w:spacing w:before="60" w:line="240" w:lineRule="atLeast"/>
      <w:ind w:left="142" w:hanging="142"/>
    </w:pPr>
    <w:rPr>
      <w:sz w:val="20"/>
    </w:rPr>
  </w:style>
  <w:style w:type="paragraph" w:customStyle="1" w:styleId="CTA-">
    <w:name w:val="CTA -"/>
    <w:basedOn w:val="OPCParaBase"/>
    <w:rsid w:val="00CB21B0"/>
    <w:pPr>
      <w:spacing w:before="60" w:line="240" w:lineRule="atLeast"/>
      <w:ind w:left="85" w:hanging="85"/>
    </w:pPr>
    <w:rPr>
      <w:sz w:val="20"/>
    </w:rPr>
  </w:style>
  <w:style w:type="paragraph" w:customStyle="1" w:styleId="CTA---">
    <w:name w:val="CTA ---"/>
    <w:basedOn w:val="OPCParaBase"/>
    <w:next w:val="Normal"/>
    <w:rsid w:val="00CB21B0"/>
    <w:pPr>
      <w:spacing w:before="60" w:line="240" w:lineRule="atLeast"/>
      <w:ind w:left="198" w:hanging="198"/>
    </w:pPr>
    <w:rPr>
      <w:sz w:val="20"/>
    </w:rPr>
  </w:style>
  <w:style w:type="paragraph" w:customStyle="1" w:styleId="CTA----">
    <w:name w:val="CTA ----"/>
    <w:basedOn w:val="OPCParaBase"/>
    <w:next w:val="Normal"/>
    <w:rsid w:val="00CB21B0"/>
    <w:pPr>
      <w:spacing w:before="60" w:line="240" w:lineRule="atLeast"/>
      <w:ind w:left="255" w:hanging="255"/>
    </w:pPr>
    <w:rPr>
      <w:sz w:val="20"/>
    </w:rPr>
  </w:style>
  <w:style w:type="paragraph" w:customStyle="1" w:styleId="CTA1a">
    <w:name w:val="CTA 1(a)"/>
    <w:basedOn w:val="OPCParaBase"/>
    <w:rsid w:val="00CB21B0"/>
    <w:pPr>
      <w:tabs>
        <w:tab w:val="right" w:pos="414"/>
      </w:tabs>
      <w:spacing w:before="40" w:line="240" w:lineRule="atLeast"/>
      <w:ind w:left="675" w:hanging="675"/>
    </w:pPr>
    <w:rPr>
      <w:sz w:val="20"/>
    </w:rPr>
  </w:style>
  <w:style w:type="paragraph" w:customStyle="1" w:styleId="CTA1ai">
    <w:name w:val="CTA 1(a)(i)"/>
    <w:basedOn w:val="OPCParaBase"/>
    <w:rsid w:val="00CB21B0"/>
    <w:pPr>
      <w:tabs>
        <w:tab w:val="right" w:pos="1004"/>
      </w:tabs>
      <w:spacing w:before="40" w:line="240" w:lineRule="atLeast"/>
      <w:ind w:left="1253" w:hanging="1253"/>
    </w:pPr>
    <w:rPr>
      <w:sz w:val="20"/>
    </w:rPr>
  </w:style>
  <w:style w:type="paragraph" w:customStyle="1" w:styleId="CTA2a">
    <w:name w:val="CTA 2(a)"/>
    <w:basedOn w:val="OPCParaBase"/>
    <w:rsid w:val="00CB21B0"/>
    <w:pPr>
      <w:tabs>
        <w:tab w:val="right" w:pos="482"/>
      </w:tabs>
      <w:spacing w:before="40" w:line="240" w:lineRule="atLeast"/>
      <w:ind w:left="748" w:hanging="748"/>
    </w:pPr>
    <w:rPr>
      <w:sz w:val="20"/>
    </w:rPr>
  </w:style>
  <w:style w:type="paragraph" w:customStyle="1" w:styleId="CTA2ai">
    <w:name w:val="CTA 2(a)(i)"/>
    <w:basedOn w:val="OPCParaBase"/>
    <w:rsid w:val="00CB21B0"/>
    <w:pPr>
      <w:tabs>
        <w:tab w:val="right" w:pos="1089"/>
      </w:tabs>
      <w:spacing w:before="40" w:line="240" w:lineRule="atLeast"/>
      <w:ind w:left="1327" w:hanging="1327"/>
    </w:pPr>
    <w:rPr>
      <w:sz w:val="20"/>
    </w:rPr>
  </w:style>
  <w:style w:type="paragraph" w:customStyle="1" w:styleId="CTA3a">
    <w:name w:val="CTA 3(a)"/>
    <w:basedOn w:val="OPCParaBase"/>
    <w:rsid w:val="00CB21B0"/>
    <w:pPr>
      <w:tabs>
        <w:tab w:val="right" w:pos="556"/>
      </w:tabs>
      <w:spacing w:before="40" w:line="240" w:lineRule="atLeast"/>
      <w:ind w:left="805" w:hanging="805"/>
    </w:pPr>
    <w:rPr>
      <w:sz w:val="20"/>
    </w:rPr>
  </w:style>
  <w:style w:type="paragraph" w:customStyle="1" w:styleId="CTA3ai">
    <w:name w:val="CTA 3(a)(i)"/>
    <w:basedOn w:val="OPCParaBase"/>
    <w:rsid w:val="00CB21B0"/>
    <w:pPr>
      <w:tabs>
        <w:tab w:val="right" w:pos="1140"/>
      </w:tabs>
      <w:spacing w:before="40" w:line="240" w:lineRule="atLeast"/>
      <w:ind w:left="1361" w:hanging="1361"/>
    </w:pPr>
    <w:rPr>
      <w:sz w:val="20"/>
    </w:rPr>
  </w:style>
  <w:style w:type="paragraph" w:customStyle="1" w:styleId="CTA4a">
    <w:name w:val="CTA 4(a)"/>
    <w:basedOn w:val="OPCParaBase"/>
    <w:rsid w:val="00CB21B0"/>
    <w:pPr>
      <w:tabs>
        <w:tab w:val="right" w:pos="624"/>
      </w:tabs>
      <w:spacing w:before="40" w:line="240" w:lineRule="atLeast"/>
      <w:ind w:left="873" w:hanging="873"/>
    </w:pPr>
    <w:rPr>
      <w:sz w:val="20"/>
    </w:rPr>
  </w:style>
  <w:style w:type="paragraph" w:customStyle="1" w:styleId="CTA4ai">
    <w:name w:val="CTA 4(a)(i)"/>
    <w:basedOn w:val="OPCParaBase"/>
    <w:rsid w:val="00CB21B0"/>
    <w:pPr>
      <w:tabs>
        <w:tab w:val="right" w:pos="1213"/>
      </w:tabs>
      <w:spacing w:before="40" w:line="240" w:lineRule="atLeast"/>
      <w:ind w:left="1452" w:hanging="1452"/>
    </w:pPr>
    <w:rPr>
      <w:sz w:val="20"/>
    </w:rPr>
  </w:style>
  <w:style w:type="paragraph" w:customStyle="1" w:styleId="CTACAPS">
    <w:name w:val="CTA CAPS"/>
    <w:basedOn w:val="OPCParaBase"/>
    <w:rsid w:val="00CB21B0"/>
    <w:pPr>
      <w:spacing w:before="60" w:line="240" w:lineRule="atLeast"/>
    </w:pPr>
    <w:rPr>
      <w:sz w:val="20"/>
    </w:rPr>
  </w:style>
  <w:style w:type="paragraph" w:customStyle="1" w:styleId="CTAright">
    <w:name w:val="CTA right"/>
    <w:basedOn w:val="OPCParaBase"/>
    <w:rsid w:val="00CB21B0"/>
    <w:pPr>
      <w:spacing w:before="60" w:line="240" w:lineRule="auto"/>
      <w:jc w:val="right"/>
    </w:pPr>
    <w:rPr>
      <w:sz w:val="20"/>
    </w:rPr>
  </w:style>
  <w:style w:type="paragraph" w:customStyle="1" w:styleId="Definition">
    <w:name w:val="Definition"/>
    <w:aliases w:val="dd"/>
    <w:basedOn w:val="OPCParaBase"/>
    <w:rsid w:val="00CB21B0"/>
    <w:pPr>
      <w:spacing w:before="180" w:line="240" w:lineRule="auto"/>
      <w:ind w:left="1134"/>
    </w:pPr>
  </w:style>
  <w:style w:type="paragraph" w:customStyle="1" w:styleId="ETAsubitem">
    <w:name w:val="ETA(subitem)"/>
    <w:basedOn w:val="OPCParaBase"/>
    <w:rsid w:val="00CB21B0"/>
    <w:pPr>
      <w:tabs>
        <w:tab w:val="right" w:pos="340"/>
      </w:tabs>
      <w:spacing w:before="60" w:line="240" w:lineRule="auto"/>
      <w:ind w:left="454" w:hanging="454"/>
    </w:pPr>
    <w:rPr>
      <w:sz w:val="20"/>
    </w:rPr>
  </w:style>
  <w:style w:type="paragraph" w:customStyle="1" w:styleId="ETApara">
    <w:name w:val="ETA(para)"/>
    <w:basedOn w:val="OPCParaBase"/>
    <w:rsid w:val="00CB21B0"/>
    <w:pPr>
      <w:tabs>
        <w:tab w:val="right" w:pos="754"/>
      </w:tabs>
      <w:spacing w:before="60" w:line="240" w:lineRule="auto"/>
      <w:ind w:left="828" w:hanging="828"/>
    </w:pPr>
    <w:rPr>
      <w:sz w:val="20"/>
    </w:rPr>
  </w:style>
  <w:style w:type="paragraph" w:customStyle="1" w:styleId="ETAsubpara">
    <w:name w:val="ETA(subpara)"/>
    <w:basedOn w:val="OPCParaBase"/>
    <w:rsid w:val="00CB21B0"/>
    <w:pPr>
      <w:tabs>
        <w:tab w:val="right" w:pos="1083"/>
      </w:tabs>
      <w:spacing w:before="60" w:line="240" w:lineRule="auto"/>
      <w:ind w:left="1191" w:hanging="1191"/>
    </w:pPr>
    <w:rPr>
      <w:sz w:val="20"/>
    </w:rPr>
  </w:style>
  <w:style w:type="paragraph" w:customStyle="1" w:styleId="ETAsub-subpara">
    <w:name w:val="ETA(sub-subpara)"/>
    <w:basedOn w:val="OPCParaBase"/>
    <w:rsid w:val="00CB21B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B21B0"/>
    <w:rPr>
      <w:sz w:val="16"/>
    </w:rPr>
  </w:style>
  <w:style w:type="paragraph" w:customStyle="1" w:styleId="House">
    <w:name w:val="House"/>
    <w:basedOn w:val="OPCParaBase"/>
    <w:rsid w:val="00CB21B0"/>
    <w:pPr>
      <w:spacing w:line="240" w:lineRule="auto"/>
    </w:pPr>
    <w:rPr>
      <w:sz w:val="28"/>
    </w:rPr>
  </w:style>
  <w:style w:type="paragraph" w:customStyle="1" w:styleId="Item">
    <w:name w:val="Item"/>
    <w:aliases w:val="i"/>
    <w:basedOn w:val="OPCParaBase"/>
    <w:next w:val="ItemHead"/>
    <w:rsid w:val="00CB21B0"/>
    <w:pPr>
      <w:keepLines/>
      <w:spacing w:before="80" w:line="240" w:lineRule="auto"/>
      <w:ind w:left="709"/>
    </w:pPr>
  </w:style>
  <w:style w:type="paragraph" w:customStyle="1" w:styleId="ItemHead">
    <w:name w:val="ItemHead"/>
    <w:aliases w:val="ih"/>
    <w:basedOn w:val="OPCParaBase"/>
    <w:next w:val="Item"/>
    <w:rsid w:val="00CB21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21B0"/>
    <w:pPr>
      <w:spacing w:line="240" w:lineRule="auto"/>
    </w:pPr>
    <w:rPr>
      <w:b/>
      <w:sz w:val="32"/>
    </w:rPr>
  </w:style>
  <w:style w:type="paragraph" w:customStyle="1" w:styleId="notedraft">
    <w:name w:val="note(draft)"/>
    <w:aliases w:val="nd"/>
    <w:basedOn w:val="OPCParaBase"/>
    <w:rsid w:val="00CB21B0"/>
    <w:pPr>
      <w:spacing w:before="240" w:line="240" w:lineRule="auto"/>
      <w:ind w:left="284" w:hanging="284"/>
    </w:pPr>
    <w:rPr>
      <w:i/>
      <w:sz w:val="24"/>
    </w:rPr>
  </w:style>
  <w:style w:type="paragraph" w:customStyle="1" w:styleId="notemargin">
    <w:name w:val="note(margin)"/>
    <w:aliases w:val="nm"/>
    <w:basedOn w:val="OPCParaBase"/>
    <w:rsid w:val="00CB21B0"/>
    <w:pPr>
      <w:tabs>
        <w:tab w:val="left" w:pos="709"/>
      </w:tabs>
      <w:spacing w:before="122" w:line="198" w:lineRule="exact"/>
      <w:ind w:left="709" w:hanging="709"/>
    </w:pPr>
    <w:rPr>
      <w:sz w:val="18"/>
    </w:rPr>
  </w:style>
  <w:style w:type="paragraph" w:customStyle="1" w:styleId="notepara">
    <w:name w:val="note(para)"/>
    <w:aliases w:val="na"/>
    <w:basedOn w:val="OPCParaBase"/>
    <w:rsid w:val="00CB21B0"/>
    <w:pPr>
      <w:spacing w:before="40" w:line="198" w:lineRule="exact"/>
      <w:ind w:left="2354" w:hanging="369"/>
    </w:pPr>
    <w:rPr>
      <w:sz w:val="18"/>
    </w:rPr>
  </w:style>
  <w:style w:type="paragraph" w:customStyle="1" w:styleId="noteParlAmend">
    <w:name w:val="note(ParlAmend)"/>
    <w:aliases w:val="npp"/>
    <w:basedOn w:val="OPCParaBase"/>
    <w:next w:val="ParlAmend"/>
    <w:rsid w:val="00CB21B0"/>
    <w:pPr>
      <w:spacing w:line="240" w:lineRule="auto"/>
      <w:jc w:val="right"/>
    </w:pPr>
    <w:rPr>
      <w:rFonts w:ascii="Arial" w:hAnsi="Arial"/>
      <w:b/>
      <w:i/>
    </w:rPr>
  </w:style>
  <w:style w:type="paragraph" w:customStyle="1" w:styleId="notetext">
    <w:name w:val="note(text)"/>
    <w:aliases w:val="n"/>
    <w:basedOn w:val="OPCParaBase"/>
    <w:link w:val="notetextChar"/>
    <w:rsid w:val="00CB21B0"/>
    <w:pPr>
      <w:spacing w:before="122" w:line="198" w:lineRule="exact"/>
      <w:ind w:left="1985" w:hanging="851"/>
    </w:pPr>
    <w:rPr>
      <w:sz w:val="18"/>
    </w:rPr>
  </w:style>
  <w:style w:type="paragraph" w:customStyle="1" w:styleId="Page1">
    <w:name w:val="Page1"/>
    <w:basedOn w:val="OPCParaBase"/>
    <w:rsid w:val="00CB21B0"/>
    <w:pPr>
      <w:spacing w:before="5600" w:line="240" w:lineRule="auto"/>
    </w:pPr>
    <w:rPr>
      <w:b/>
      <w:sz w:val="32"/>
    </w:rPr>
  </w:style>
  <w:style w:type="paragraph" w:customStyle="1" w:styleId="paragraphsub">
    <w:name w:val="paragraph(sub)"/>
    <w:aliases w:val="aa"/>
    <w:basedOn w:val="OPCParaBase"/>
    <w:rsid w:val="00CB21B0"/>
    <w:pPr>
      <w:tabs>
        <w:tab w:val="right" w:pos="1985"/>
      </w:tabs>
      <w:spacing w:before="40" w:line="240" w:lineRule="auto"/>
      <w:ind w:left="2098" w:hanging="2098"/>
    </w:pPr>
  </w:style>
  <w:style w:type="paragraph" w:customStyle="1" w:styleId="paragraphsub-sub">
    <w:name w:val="paragraph(sub-sub)"/>
    <w:aliases w:val="aaa"/>
    <w:basedOn w:val="OPCParaBase"/>
    <w:rsid w:val="00CB21B0"/>
    <w:pPr>
      <w:tabs>
        <w:tab w:val="right" w:pos="2722"/>
      </w:tabs>
      <w:spacing w:before="40" w:line="240" w:lineRule="auto"/>
      <w:ind w:left="2835" w:hanging="2835"/>
    </w:pPr>
  </w:style>
  <w:style w:type="paragraph" w:customStyle="1" w:styleId="paragraph">
    <w:name w:val="paragraph"/>
    <w:aliases w:val="a"/>
    <w:basedOn w:val="OPCParaBase"/>
    <w:link w:val="paragraphChar"/>
    <w:rsid w:val="00CB21B0"/>
    <w:pPr>
      <w:tabs>
        <w:tab w:val="right" w:pos="1531"/>
      </w:tabs>
      <w:spacing w:before="40" w:line="240" w:lineRule="auto"/>
      <w:ind w:left="1644" w:hanging="1644"/>
    </w:pPr>
  </w:style>
  <w:style w:type="paragraph" w:customStyle="1" w:styleId="ParlAmend">
    <w:name w:val="ParlAmend"/>
    <w:aliases w:val="pp"/>
    <w:basedOn w:val="OPCParaBase"/>
    <w:rsid w:val="00CB21B0"/>
    <w:pPr>
      <w:spacing w:before="240" w:line="240" w:lineRule="atLeast"/>
      <w:ind w:hanging="567"/>
    </w:pPr>
    <w:rPr>
      <w:sz w:val="24"/>
    </w:rPr>
  </w:style>
  <w:style w:type="paragraph" w:customStyle="1" w:styleId="Portfolio">
    <w:name w:val="Portfolio"/>
    <w:basedOn w:val="OPCParaBase"/>
    <w:rsid w:val="00CB21B0"/>
    <w:pPr>
      <w:spacing w:line="240" w:lineRule="auto"/>
    </w:pPr>
    <w:rPr>
      <w:i/>
      <w:sz w:val="20"/>
    </w:rPr>
  </w:style>
  <w:style w:type="paragraph" w:customStyle="1" w:styleId="Preamble">
    <w:name w:val="Preamble"/>
    <w:basedOn w:val="OPCParaBase"/>
    <w:next w:val="Normal"/>
    <w:rsid w:val="00CB2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21B0"/>
    <w:pPr>
      <w:spacing w:line="240" w:lineRule="auto"/>
    </w:pPr>
    <w:rPr>
      <w:i/>
      <w:sz w:val="20"/>
    </w:rPr>
  </w:style>
  <w:style w:type="paragraph" w:customStyle="1" w:styleId="Session">
    <w:name w:val="Session"/>
    <w:basedOn w:val="OPCParaBase"/>
    <w:rsid w:val="00CB21B0"/>
    <w:pPr>
      <w:spacing w:line="240" w:lineRule="auto"/>
    </w:pPr>
    <w:rPr>
      <w:sz w:val="28"/>
    </w:rPr>
  </w:style>
  <w:style w:type="paragraph" w:customStyle="1" w:styleId="Sponsor">
    <w:name w:val="Sponsor"/>
    <w:basedOn w:val="OPCParaBase"/>
    <w:rsid w:val="00CB21B0"/>
    <w:pPr>
      <w:spacing w:line="240" w:lineRule="auto"/>
    </w:pPr>
    <w:rPr>
      <w:i/>
    </w:rPr>
  </w:style>
  <w:style w:type="paragraph" w:customStyle="1" w:styleId="Subitem">
    <w:name w:val="Subitem"/>
    <w:aliases w:val="iss"/>
    <w:basedOn w:val="OPCParaBase"/>
    <w:rsid w:val="00CB21B0"/>
    <w:pPr>
      <w:spacing w:before="180" w:line="240" w:lineRule="auto"/>
      <w:ind w:left="709" w:hanging="709"/>
    </w:pPr>
  </w:style>
  <w:style w:type="paragraph" w:customStyle="1" w:styleId="SubitemHead">
    <w:name w:val="SubitemHead"/>
    <w:aliases w:val="issh"/>
    <w:basedOn w:val="OPCParaBase"/>
    <w:rsid w:val="00CB21B0"/>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CB21B0"/>
    <w:pPr>
      <w:keepNext/>
      <w:keepLines/>
      <w:spacing w:before="240" w:line="240" w:lineRule="auto"/>
      <w:ind w:left="1134"/>
    </w:pPr>
    <w:rPr>
      <w:i/>
    </w:rPr>
  </w:style>
  <w:style w:type="paragraph" w:customStyle="1" w:styleId="Tablea">
    <w:name w:val="Table(a)"/>
    <w:aliases w:val="ta"/>
    <w:basedOn w:val="OPCParaBase"/>
    <w:rsid w:val="00CB21B0"/>
    <w:pPr>
      <w:spacing w:before="60" w:line="240" w:lineRule="auto"/>
      <w:ind w:left="284" w:hanging="284"/>
    </w:pPr>
    <w:rPr>
      <w:sz w:val="20"/>
    </w:rPr>
  </w:style>
  <w:style w:type="paragraph" w:customStyle="1" w:styleId="TableAA">
    <w:name w:val="Table(AA)"/>
    <w:aliases w:val="taaa"/>
    <w:basedOn w:val="OPCParaBase"/>
    <w:rsid w:val="00CB21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21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21B0"/>
    <w:pPr>
      <w:spacing w:before="60" w:line="240" w:lineRule="atLeast"/>
    </w:pPr>
    <w:rPr>
      <w:sz w:val="20"/>
    </w:rPr>
  </w:style>
  <w:style w:type="paragraph" w:customStyle="1" w:styleId="TLPBoxTextnote">
    <w:name w:val="TLPBoxText(note"/>
    <w:aliases w:val="right)"/>
    <w:basedOn w:val="OPCParaBase"/>
    <w:rsid w:val="00CB2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21B0"/>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21B0"/>
    <w:pPr>
      <w:spacing w:before="122" w:line="198" w:lineRule="exact"/>
      <w:ind w:left="1985" w:hanging="851"/>
      <w:jc w:val="right"/>
    </w:pPr>
    <w:rPr>
      <w:sz w:val="18"/>
    </w:rPr>
  </w:style>
  <w:style w:type="paragraph" w:customStyle="1" w:styleId="TLPTableBullet">
    <w:name w:val="TLPTableBullet"/>
    <w:aliases w:val="ttb"/>
    <w:basedOn w:val="OPCParaBase"/>
    <w:rsid w:val="00CB21B0"/>
    <w:pPr>
      <w:spacing w:line="240" w:lineRule="exact"/>
      <w:ind w:left="284" w:hanging="284"/>
    </w:pPr>
    <w:rPr>
      <w:sz w:val="20"/>
    </w:rPr>
  </w:style>
  <w:style w:type="paragraph" w:customStyle="1" w:styleId="TofSectsGroupHeading">
    <w:name w:val="TofSects(GroupHeading)"/>
    <w:basedOn w:val="OPCParaBase"/>
    <w:next w:val="TofSectsSection"/>
    <w:rsid w:val="00CB21B0"/>
    <w:pPr>
      <w:keepLines/>
      <w:spacing w:before="240" w:after="120" w:line="240" w:lineRule="auto"/>
      <w:ind w:left="794"/>
    </w:pPr>
    <w:rPr>
      <w:b/>
      <w:kern w:val="28"/>
      <w:sz w:val="20"/>
    </w:rPr>
  </w:style>
  <w:style w:type="paragraph" w:customStyle="1" w:styleId="TofSectsHeading">
    <w:name w:val="TofSects(Heading)"/>
    <w:basedOn w:val="OPCParaBase"/>
    <w:rsid w:val="00CB21B0"/>
    <w:pPr>
      <w:spacing w:before="240" w:after="120" w:line="240" w:lineRule="auto"/>
    </w:pPr>
    <w:rPr>
      <w:b/>
      <w:sz w:val="24"/>
    </w:rPr>
  </w:style>
  <w:style w:type="paragraph" w:customStyle="1" w:styleId="TofSectsSection">
    <w:name w:val="TofSects(Section)"/>
    <w:basedOn w:val="OPCParaBase"/>
    <w:rsid w:val="00CB21B0"/>
    <w:pPr>
      <w:keepLines/>
      <w:spacing w:before="40" w:line="240" w:lineRule="auto"/>
      <w:ind w:left="1588" w:hanging="794"/>
    </w:pPr>
    <w:rPr>
      <w:kern w:val="28"/>
      <w:sz w:val="18"/>
    </w:rPr>
  </w:style>
  <w:style w:type="paragraph" w:customStyle="1" w:styleId="TofSectsSubdiv">
    <w:name w:val="TofSects(Subdiv)"/>
    <w:basedOn w:val="OPCParaBase"/>
    <w:rsid w:val="00CB21B0"/>
    <w:pPr>
      <w:keepLines/>
      <w:spacing w:before="80" w:line="240" w:lineRule="auto"/>
      <w:ind w:left="1588" w:hanging="794"/>
    </w:pPr>
    <w:rPr>
      <w:kern w:val="28"/>
    </w:rPr>
  </w:style>
  <w:style w:type="paragraph" w:customStyle="1" w:styleId="WRStyle">
    <w:name w:val="WR Style"/>
    <w:aliases w:val="WR"/>
    <w:basedOn w:val="OPCParaBase"/>
    <w:rsid w:val="00CB21B0"/>
    <w:pPr>
      <w:spacing w:before="240" w:line="240" w:lineRule="auto"/>
      <w:ind w:left="284" w:hanging="284"/>
    </w:pPr>
    <w:rPr>
      <w:b/>
      <w:i/>
      <w:kern w:val="28"/>
      <w:sz w:val="24"/>
    </w:rPr>
  </w:style>
  <w:style w:type="numbering" w:customStyle="1" w:styleId="OPCBodyList">
    <w:name w:val="OPCBodyList"/>
    <w:uiPriority w:val="99"/>
    <w:rsid w:val="00442A5E"/>
    <w:pPr>
      <w:numPr>
        <w:numId w:val="37"/>
      </w:numPr>
    </w:pPr>
  </w:style>
  <w:style w:type="paragraph" w:customStyle="1" w:styleId="noteToPara">
    <w:name w:val="noteToPara"/>
    <w:aliases w:val="ntp"/>
    <w:basedOn w:val="OPCParaBase"/>
    <w:rsid w:val="00CB21B0"/>
    <w:pPr>
      <w:spacing w:before="122" w:line="198" w:lineRule="exact"/>
      <w:ind w:left="2353" w:hanging="709"/>
    </w:pPr>
    <w:rPr>
      <w:sz w:val="18"/>
    </w:rPr>
  </w:style>
  <w:style w:type="character" w:customStyle="1" w:styleId="FooterChar">
    <w:name w:val="Footer Char"/>
    <w:basedOn w:val="DefaultParagraphFont"/>
    <w:link w:val="Footer"/>
    <w:rsid w:val="00CB21B0"/>
    <w:rPr>
      <w:sz w:val="22"/>
      <w:szCs w:val="24"/>
    </w:rPr>
  </w:style>
  <w:style w:type="character" w:customStyle="1" w:styleId="BalloonTextChar">
    <w:name w:val="Balloon Text Char"/>
    <w:basedOn w:val="DefaultParagraphFont"/>
    <w:link w:val="BalloonText"/>
    <w:uiPriority w:val="99"/>
    <w:rsid w:val="00CB21B0"/>
    <w:rPr>
      <w:rFonts w:ascii="Tahoma" w:eastAsiaTheme="minorHAnsi" w:hAnsi="Tahoma" w:cs="Tahoma"/>
      <w:sz w:val="16"/>
      <w:szCs w:val="16"/>
      <w:lang w:eastAsia="en-US"/>
    </w:rPr>
  </w:style>
  <w:style w:type="table" w:customStyle="1" w:styleId="CFlag">
    <w:name w:val="CFlag"/>
    <w:basedOn w:val="TableNormal"/>
    <w:uiPriority w:val="99"/>
    <w:rsid w:val="00CB21B0"/>
    <w:tblPr>
      <w:tblInd w:w="0" w:type="dxa"/>
      <w:tblCellMar>
        <w:top w:w="0" w:type="dxa"/>
        <w:left w:w="108" w:type="dxa"/>
        <w:bottom w:w="0" w:type="dxa"/>
        <w:right w:w="108" w:type="dxa"/>
      </w:tblCellMar>
    </w:tblPr>
  </w:style>
  <w:style w:type="paragraph" w:customStyle="1" w:styleId="InstNo">
    <w:name w:val="InstNo"/>
    <w:basedOn w:val="OPCParaBase"/>
    <w:next w:val="Normal"/>
    <w:rsid w:val="00CB21B0"/>
    <w:rPr>
      <w:b/>
      <w:sz w:val="28"/>
      <w:szCs w:val="32"/>
    </w:rPr>
  </w:style>
  <w:style w:type="paragraph" w:customStyle="1" w:styleId="TerritoryT">
    <w:name w:val="TerritoryT"/>
    <w:basedOn w:val="OPCParaBase"/>
    <w:next w:val="Normal"/>
    <w:rsid w:val="00CB21B0"/>
    <w:rPr>
      <w:b/>
      <w:sz w:val="32"/>
    </w:rPr>
  </w:style>
  <w:style w:type="paragraph" w:customStyle="1" w:styleId="LegislationMadeUnder">
    <w:name w:val="LegislationMadeUnder"/>
    <w:basedOn w:val="OPCParaBase"/>
    <w:next w:val="Normal"/>
    <w:rsid w:val="00CB21B0"/>
    <w:rPr>
      <w:i/>
      <w:sz w:val="32"/>
      <w:szCs w:val="32"/>
    </w:rPr>
  </w:style>
  <w:style w:type="paragraph" w:customStyle="1" w:styleId="SignCoverPageEnd">
    <w:name w:val="SignCoverPageEnd"/>
    <w:basedOn w:val="OPCParaBase"/>
    <w:next w:val="Normal"/>
    <w:rsid w:val="00CB21B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B21B0"/>
    <w:pPr>
      <w:pBdr>
        <w:top w:val="single" w:sz="4" w:space="1" w:color="auto"/>
      </w:pBdr>
      <w:spacing w:before="360"/>
      <w:ind w:right="397"/>
      <w:jc w:val="both"/>
    </w:pPr>
  </w:style>
  <w:style w:type="paragraph" w:customStyle="1" w:styleId="NotesHeading1">
    <w:name w:val="NotesHeading 1"/>
    <w:basedOn w:val="OPCParaBase"/>
    <w:next w:val="Normal"/>
    <w:rsid w:val="00CB21B0"/>
    <w:rPr>
      <w:b/>
      <w:sz w:val="28"/>
      <w:szCs w:val="28"/>
    </w:rPr>
  </w:style>
  <w:style w:type="paragraph" w:customStyle="1" w:styleId="NotesHeading2">
    <w:name w:val="NotesHeading 2"/>
    <w:basedOn w:val="OPCParaBase"/>
    <w:next w:val="Normal"/>
    <w:rsid w:val="00CB21B0"/>
    <w:rPr>
      <w:b/>
      <w:sz w:val="28"/>
      <w:szCs w:val="28"/>
    </w:rPr>
  </w:style>
  <w:style w:type="paragraph" w:customStyle="1" w:styleId="ENotesHeading1">
    <w:name w:val="ENotesHeading 1"/>
    <w:aliases w:val="Enh1"/>
    <w:basedOn w:val="OPCParaBase"/>
    <w:next w:val="Normal"/>
    <w:rsid w:val="00CB21B0"/>
    <w:pPr>
      <w:spacing w:before="120"/>
      <w:outlineLvl w:val="1"/>
    </w:pPr>
    <w:rPr>
      <w:b/>
      <w:sz w:val="28"/>
      <w:szCs w:val="28"/>
    </w:rPr>
  </w:style>
  <w:style w:type="paragraph" w:customStyle="1" w:styleId="ENotesHeading2">
    <w:name w:val="ENotesHeading 2"/>
    <w:aliases w:val="Enh2"/>
    <w:basedOn w:val="OPCParaBase"/>
    <w:next w:val="Normal"/>
    <w:rsid w:val="00CB21B0"/>
    <w:pPr>
      <w:spacing w:before="120" w:after="120"/>
      <w:outlineLvl w:val="2"/>
    </w:pPr>
    <w:rPr>
      <w:b/>
      <w:sz w:val="24"/>
      <w:szCs w:val="28"/>
    </w:rPr>
  </w:style>
  <w:style w:type="paragraph" w:customStyle="1" w:styleId="ENotesHeading3">
    <w:name w:val="ENotesHeading 3"/>
    <w:aliases w:val="Enh3"/>
    <w:basedOn w:val="OPCParaBase"/>
    <w:next w:val="Normal"/>
    <w:rsid w:val="00CB21B0"/>
    <w:pPr>
      <w:keepNext/>
      <w:spacing w:before="120" w:line="240" w:lineRule="auto"/>
      <w:outlineLvl w:val="4"/>
    </w:pPr>
    <w:rPr>
      <w:b/>
      <w:szCs w:val="24"/>
    </w:rPr>
  </w:style>
  <w:style w:type="paragraph" w:customStyle="1" w:styleId="ENotesText">
    <w:name w:val="ENotesText"/>
    <w:basedOn w:val="OPCParaBase"/>
    <w:next w:val="Normal"/>
    <w:rsid w:val="00CB21B0"/>
  </w:style>
  <w:style w:type="paragraph" w:customStyle="1" w:styleId="CompiledActNo">
    <w:name w:val="CompiledActNo"/>
    <w:basedOn w:val="OPCParaBase"/>
    <w:next w:val="Normal"/>
    <w:rsid w:val="00CB21B0"/>
    <w:rPr>
      <w:b/>
      <w:sz w:val="24"/>
      <w:szCs w:val="24"/>
    </w:rPr>
  </w:style>
  <w:style w:type="paragraph" w:customStyle="1" w:styleId="CompiledMadeUnder">
    <w:name w:val="CompiledMadeUnder"/>
    <w:basedOn w:val="OPCParaBase"/>
    <w:next w:val="Normal"/>
    <w:rsid w:val="00CB21B0"/>
    <w:rPr>
      <w:i/>
      <w:sz w:val="24"/>
      <w:szCs w:val="24"/>
    </w:rPr>
  </w:style>
  <w:style w:type="paragraph" w:customStyle="1" w:styleId="Paragraphsub-sub-sub">
    <w:name w:val="Paragraph(sub-sub-sub)"/>
    <w:aliases w:val="aaaa"/>
    <w:basedOn w:val="OPCParaBase"/>
    <w:rsid w:val="00CB21B0"/>
    <w:pPr>
      <w:tabs>
        <w:tab w:val="right" w:pos="3402"/>
      </w:tabs>
      <w:spacing w:before="40" w:line="240" w:lineRule="auto"/>
      <w:ind w:left="3402" w:hanging="3402"/>
    </w:pPr>
  </w:style>
  <w:style w:type="paragraph" w:customStyle="1" w:styleId="SubPartCASA">
    <w:name w:val="SubPart(CASA)"/>
    <w:aliases w:val="csp"/>
    <w:basedOn w:val="OPCParaBase"/>
    <w:next w:val="ActHead3"/>
    <w:rsid w:val="00CB21B0"/>
    <w:pPr>
      <w:keepNext/>
      <w:keepLines/>
      <w:spacing w:before="280"/>
      <w:outlineLvl w:val="1"/>
    </w:pPr>
    <w:rPr>
      <w:b/>
      <w:kern w:val="28"/>
      <w:sz w:val="32"/>
    </w:rPr>
  </w:style>
  <w:style w:type="character" w:customStyle="1" w:styleId="subsectionChar">
    <w:name w:val="subsection Char"/>
    <w:aliases w:val="ss Char"/>
    <w:basedOn w:val="DefaultParagraphFont"/>
    <w:link w:val="subsection"/>
    <w:rsid w:val="00442A5E"/>
    <w:rPr>
      <w:sz w:val="22"/>
    </w:rPr>
  </w:style>
  <w:style w:type="character" w:customStyle="1" w:styleId="Heading1Char">
    <w:name w:val="Heading 1 Char"/>
    <w:basedOn w:val="DefaultParagraphFont"/>
    <w:link w:val="Heading1"/>
    <w:rsid w:val="00377BD8"/>
    <w:rPr>
      <w:rFonts w:ascii="Arial" w:eastAsiaTheme="minorHAnsi" w:hAnsi="Arial" w:cs="Arial"/>
      <w:b/>
      <w:bCs/>
      <w:kern w:val="32"/>
      <w:sz w:val="32"/>
      <w:szCs w:val="32"/>
      <w:lang w:eastAsia="en-US"/>
    </w:rPr>
  </w:style>
  <w:style w:type="paragraph" w:customStyle="1" w:styleId="TableHeading">
    <w:name w:val="TableHeading"/>
    <w:aliases w:val="th"/>
    <w:basedOn w:val="OPCParaBase"/>
    <w:next w:val="Tabletext"/>
    <w:rsid w:val="00CB21B0"/>
    <w:pPr>
      <w:keepNext/>
      <w:spacing w:before="60" w:line="240" w:lineRule="atLeast"/>
    </w:pPr>
    <w:rPr>
      <w:b/>
      <w:sz w:val="20"/>
    </w:rPr>
  </w:style>
  <w:style w:type="paragraph" w:customStyle="1" w:styleId="NoteToSubpara">
    <w:name w:val="NoteToSubpara"/>
    <w:aliases w:val="nts"/>
    <w:basedOn w:val="OPCParaBase"/>
    <w:rsid w:val="00CB21B0"/>
    <w:pPr>
      <w:spacing w:before="40" w:line="198" w:lineRule="exact"/>
      <w:ind w:left="2835" w:hanging="709"/>
    </w:pPr>
    <w:rPr>
      <w:sz w:val="18"/>
    </w:rPr>
  </w:style>
  <w:style w:type="character" w:customStyle="1" w:styleId="OPCParaBaseChar">
    <w:name w:val="OPCParaBase Char"/>
    <w:basedOn w:val="DefaultParagraphFont"/>
    <w:link w:val="OPCParaBase"/>
    <w:rsid w:val="00F57ECC"/>
    <w:rPr>
      <w:sz w:val="22"/>
    </w:rPr>
  </w:style>
  <w:style w:type="character" w:customStyle="1" w:styleId="ActHead6Char">
    <w:name w:val="ActHead 6 Char"/>
    <w:aliases w:val="as Char"/>
    <w:basedOn w:val="OPCParaBaseChar"/>
    <w:link w:val="ActHead6"/>
    <w:rsid w:val="00F57ECC"/>
    <w:rPr>
      <w:rFonts w:ascii="Arial" w:hAnsi="Arial"/>
      <w:b/>
      <w:kern w:val="28"/>
      <w:sz w:val="32"/>
    </w:rPr>
  </w:style>
  <w:style w:type="character" w:customStyle="1" w:styleId="ActHead9Char">
    <w:name w:val="ActHead 9 Char"/>
    <w:aliases w:val="aat Char"/>
    <w:basedOn w:val="OPCParaBaseChar"/>
    <w:link w:val="ActHead9"/>
    <w:rsid w:val="00F57ECC"/>
    <w:rPr>
      <w:b/>
      <w:i/>
      <w:kern w:val="28"/>
      <w:sz w:val="28"/>
    </w:rPr>
  </w:style>
  <w:style w:type="paragraph" w:customStyle="1" w:styleId="EndNotespara">
    <w:name w:val="EndNotes(para)"/>
    <w:aliases w:val="eta"/>
    <w:basedOn w:val="OPCParaBase"/>
    <w:next w:val="Normal"/>
    <w:rsid w:val="00CB2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2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CB2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21B0"/>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B21B0"/>
    <w:pPr>
      <w:keepNext/>
      <w:spacing w:before="60" w:line="240" w:lineRule="atLeast"/>
    </w:pPr>
    <w:rPr>
      <w:rFonts w:ascii="Arial" w:hAnsi="Arial"/>
      <w:b/>
      <w:sz w:val="16"/>
    </w:rPr>
  </w:style>
  <w:style w:type="paragraph" w:customStyle="1" w:styleId="ENoteTTi">
    <w:name w:val="ENoteTTi"/>
    <w:aliases w:val="entti"/>
    <w:basedOn w:val="OPCParaBase"/>
    <w:rsid w:val="00CB21B0"/>
    <w:pPr>
      <w:keepNext/>
      <w:spacing w:before="60" w:line="240" w:lineRule="atLeast"/>
      <w:ind w:left="170"/>
    </w:pPr>
    <w:rPr>
      <w:sz w:val="16"/>
    </w:rPr>
  </w:style>
  <w:style w:type="paragraph" w:customStyle="1" w:styleId="ENoteTTIndentHeading">
    <w:name w:val="ENoteTTIndentHeading"/>
    <w:aliases w:val="enTTHi"/>
    <w:basedOn w:val="OPCParaBase"/>
    <w:rsid w:val="00CB2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21B0"/>
    <w:pPr>
      <w:spacing w:before="60" w:line="240" w:lineRule="atLeast"/>
    </w:pPr>
    <w:rPr>
      <w:sz w:val="16"/>
    </w:rPr>
  </w:style>
  <w:style w:type="paragraph" w:customStyle="1" w:styleId="MadeunderText">
    <w:name w:val="MadeunderText"/>
    <w:basedOn w:val="OPCParaBase"/>
    <w:next w:val="CompiledMadeUnder"/>
    <w:rsid w:val="00CB21B0"/>
    <w:pPr>
      <w:spacing w:before="240"/>
    </w:pPr>
    <w:rPr>
      <w:sz w:val="24"/>
      <w:szCs w:val="24"/>
    </w:rPr>
  </w:style>
  <w:style w:type="character" w:customStyle="1" w:styleId="paragraphChar">
    <w:name w:val="paragraph Char"/>
    <w:aliases w:val="a Char"/>
    <w:basedOn w:val="DefaultParagraphFont"/>
    <w:link w:val="paragraph"/>
    <w:rsid w:val="00422D47"/>
    <w:rPr>
      <w:sz w:val="22"/>
    </w:rPr>
  </w:style>
  <w:style w:type="character" w:customStyle="1" w:styleId="CharSchPTText">
    <w:name w:val="CharSchPTText"/>
    <w:basedOn w:val="DefaultParagraphFont"/>
    <w:rsid w:val="003609BB"/>
  </w:style>
  <w:style w:type="character" w:customStyle="1" w:styleId="notetextChar">
    <w:name w:val="note(text) Char"/>
    <w:aliases w:val="n Char"/>
    <w:basedOn w:val="DefaultParagraphFont"/>
    <w:link w:val="notetext"/>
    <w:rsid w:val="009A62D2"/>
    <w:rPr>
      <w:sz w:val="18"/>
    </w:rPr>
  </w:style>
  <w:style w:type="character" w:customStyle="1" w:styleId="CharSubPartTextCASA">
    <w:name w:val="CharSubPartText(CASA)"/>
    <w:basedOn w:val="OPCCharBase"/>
    <w:uiPriority w:val="1"/>
    <w:rsid w:val="00CB21B0"/>
  </w:style>
  <w:style w:type="character" w:customStyle="1" w:styleId="CharSubPartNoCASA">
    <w:name w:val="CharSubPartNo(CASA)"/>
    <w:basedOn w:val="OPCCharBase"/>
    <w:uiPriority w:val="1"/>
    <w:rsid w:val="00CB21B0"/>
  </w:style>
  <w:style w:type="paragraph" w:customStyle="1" w:styleId="ENoteTTIndentHeadingSub">
    <w:name w:val="ENoteTTIndentHeadingSub"/>
    <w:aliases w:val="enTTHis"/>
    <w:basedOn w:val="OPCParaBase"/>
    <w:rsid w:val="00CB21B0"/>
    <w:pPr>
      <w:keepNext/>
      <w:spacing w:before="60" w:line="240" w:lineRule="atLeast"/>
      <w:ind w:left="340"/>
    </w:pPr>
    <w:rPr>
      <w:b/>
      <w:sz w:val="16"/>
    </w:rPr>
  </w:style>
  <w:style w:type="paragraph" w:customStyle="1" w:styleId="ENoteTTiSub">
    <w:name w:val="ENoteTTiSub"/>
    <w:aliases w:val="enttis"/>
    <w:basedOn w:val="OPCParaBase"/>
    <w:rsid w:val="00CB21B0"/>
    <w:pPr>
      <w:keepNext/>
      <w:spacing w:before="60" w:line="240" w:lineRule="atLeast"/>
      <w:ind w:left="340"/>
    </w:pPr>
    <w:rPr>
      <w:sz w:val="16"/>
    </w:rPr>
  </w:style>
  <w:style w:type="paragraph" w:customStyle="1" w:styleId="SubDivisionMigration">
    <w:name w:val="SubDivisionMigration"/>
    <w:aliases w:val="sdm"/>
    <w:basedOn w:val="OPCParaBase"/>
    <w:rsid w:val="00CB2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21B0"/>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8361">
      <w:bodyDiv w:val="1"/>
      <w:marLeft w:val="0"/>
      <w:marRight w:val="0"/>
      <w:marTop w:val="0"/>
      <w:marBottom w:val="0"/>
      <w:divBdr>
        <w:top w:val="none" w:sz="0" w:space="0" w:color="auto"/>
        <w:left w:val="none" w:sz="0" w:space="0" w:color="auto"/>
        <w:bottom w:val="none" w:sz="0" w:space="0" w:color="auto"/>
        <w:right w:val="none" w:sz="0" w:space="0" w:color="auto"/>
      </w:divBdr>
    </w:div>
    <w:div w:id="677540962">
      <w:bodyDiv w:val="1"/>
      <w:marLeft w:val="0"/>
      <w:marRight w:val="0"/>
      <w:marTop w:val="0"/>
      <w:marBottom w:val="0"/>
      <w:divBdr>
        <w:top w:val="none" w:sz="0" w:space="0" w:color="auto"/>
        <w:left w:val="none" w:sz="0" w:space="0" w:color="auto"/>
        <w:bottom w:val="none" w:sz="0" w:space="0" w:color="auto"/>
        <w:right w:val="none" w:sz="0" w:space="0" w:color="auto"/>
      </w:divBdr>
    </w:div>
    <w:div w:id="768768969">
      <w:bodyDiv w:val="1"/>
      <w:marLeft w:val="0"/>
      <w:marRight w:val="0"/>
      <w:marTop w:val="0"/>
      <w:marBottom w:val="0"/>
      <w:divBdr>
        <w:top w:val="none" w:sz="0" w:space="0" w:color="auto"/>
        <w:left w:val="none" w:sz="0" w:space="0" w:color="auto"/>
        <w:bottom w:val="none" w:sz="0" w:space="0" w:color="auto"/>
        <w:right w:val="none" w:sz="0" w:space="0" w:color="auto"/>
      </w:divBdr>
    </w:div>
    <w:div w:id="961963029">
      <w:bodyDiv w:val="1"/>
      <w:marLeft w:val="0"/>
      <w:marRight w:val="0"/>
      <w:marTop w:val="0"/>
      <w:marBottom w:val="0"/>
      <w:divBdr>
        <w:top w:val="none" w:sz="0" w:space="0" w:color="auto"/>
        <w:left w:val="none" w:sz="0" w:space="0" w:color="auto"/>
        <w:bottom w:val="none" w:sz="0" w:space="0" w:color="auto"/>
        <w:right w:val="none" w:sz="0" w:space="0" w:color="auto"/>
      </w:divBdr>
    </w:div>
    <w:div w:id="1136140938">
      <w:bodyDiv w:val="1"/>
      <w:marLeft w:val="0"/>
      <w:marRight w:val="0"/>
      <w:marTop w:val="0"/>
      <w:marBottom w:val="0"/>
      <w:divBdr>
        <w:top w:val="none" w:sz="0" w:space="0" w:color="auto"/>
        <w:left w:val="none" w:sz="0" w:space="0" w:color="auto"/>
        <w:bottom w:val="none" w:sz="0" w:space="0" w:color="auto"/>
        <w:right w:val="none" w:sz="0" w:space="0" w:color="auto"/>
      </w:divBdr>
      <w:divsChild>
        <w:div w:id="838155236">
          <w:marLeft w:val="0"/>
          <w:marRight w:val="0"/>
          <w:marTop w:val="0"/>
          <w:marBottom w:val="0"/>
          <w:divBdr>
            <w:top w:val="none" w:sz="0" w:space="0" w:color="auto"/>
            <w:left w:val="none" w:sz="0" w:space="0" w:color="auto"/>
            <w:bottom w:val="none" w:sz="0" w:space="0" w:color="auto"/>
            <w:right w:val="none" w:sz="0" w:space="0" w:color="auto"/>
          </w:divBdr>
          <w:divsChild>
            <w:div w:id="1053307505">
              <w:marLeft w:val="0"/>
              <w:marRight w:val="0"/>
              <w:marTop w:val="0"/>
              <w:marBottom w:val="0"/>
              <w:divBdr>
                <w:top w:val="none" w:sz="0" w:space="0" w:color="auto"/>
                <w:left w:val="none" w:sz="0" w:space="0" w:color="auto"/>
                <w:bottom w:val="none" w:sz="0" w:space="0" w:color="auto"/>
                <w:right w:val="none" w:sz="0" w:space="0" w:color="auto"/>
              </w:divBdr>
              <w:divsChild>
                <w:div w:id="606666880">
                  <w:marLeft w:val="0"/>
                  <w:marRight w:val="0"/>
                  <w:marTop w:val="0"/>
                  <w:marBottom w:val="0"/>
                  <w:divBdr>
                    <w:top w:val="none" w:sz="0" w:space="0" w:color="auto"/>
                    <w:left w:val="none" w:sz="0" w:space="0" w:color="auto"/>
                    <w:bottom w:val="none" w:sz="0" w:space="0" w:color="auto"/>
                    <w:right w:val="none" w:sz="0" w:space="0" w:color="auto"/>
                  </w:divBdr>
                  <w:divsChild>
                    <w:div w:id="1726100908">
                      <w:marLeft w:val="0"/>
                      <w:marRight w:val="0"/>
                      <w:marTop w:val="0"/>
                      <w:marBottom w:val="0"/>
                      <w:divBdr>
                        <w:top w:val="none" w:sz="0" w:space="0" w:color="auto"/>
                        <w:left w:val="none" w:sz="0" w:space="0" w:color="auto"/>
                        <w:bottom w:val="none" w:sz="0" w:space="0" w:color="auto"/>
                        <w:right w:val="none" w:sz="0" w:space="0" w:color="auto"/>
                      </w:divBdr>
                      <w:divsChild>
                        <w:div w:id="1253392157">
                          <w:marLeft w:val="0"/>
                          <w:marRight w:val="0"/>
                          <w:marTop w:val="0"/>
                          <w:marBottom w:val="0"/>
                          <w:divBdr>
                            <w:top w:val="single" w:sz="6" w:space="0" w:color="828282"/>
                            <w:left w:val="single" w:sz="6" w:space="0" w:color="828282"/>
                            <w:bottom w:val="single" w:sz="6" w:space="0" w:color="828282"/>
                            <w:right w:val="single" w:sz="6" w:space="0" w:color="828282"/>
                          </w:divBdr>
                          <w:divsChild>
                            <w:div w:id="99839950">
                              <w:marLeft w:val="0"/>
                              <w:marRight w:val="0"/>
                              <w:marTop w:val="0"/>
                              <w:marBottom w:val="0"/>
                              <w:divBdr>
                                <w:top w:val="none" w:sz="0" w:space="0" w:color="auto"/>
                                <w:left w:val="none" w:sz="0" w:space="0" w:color="auto"/>
                                <w:bottom w:val="none" w:sz="0" w:space="0" w:color="auto"/>
                                <w:right w:val="none" w:sz="0" w:space="0" w:color="auto"/>
                              </w:divBdr>
                              <w:divsChild>
                                <w:div w:id="1804617920">
                                  <w:marLeft w:val="0"/>
                                  <w:marRight w:val="0"/>
                                  <w:marTop w:val="0"/>
                                  <w:marBottom w:val="0"/>
                                  <w:divBdr>
                                    <w:top w:val="none" w:sz="0" w:space="0" w:color="auto"/>
                                    <w:left w:val="none" w:sz="0" w:space="0" w:color="auto"/>
                                    <w:bottom w:val="none" w:sz="0" w:space="0" w:color="auto"/>
                                    <w:right w:val="none" w:sz="0" w:space="0" w:color="auto"/>
                                  </w:divBdr>
                                  <w:divsChild>
                                    <w:div w:id="1243837889">
                                      <w:marLeft w:val="0"/>
                                      <w:marRight w:val="0"/>
                                      <w:marTop w:val="0"/>
                                      <w:marBottom w:val="0"/>
                                      <w:divBdr>
                                        <w:top w:val="none" w:sz="0" w:space="0" w:color="auto"/>
                                        <w:left w:val="none" w:sz="0" w:space="0" w:color="auto"/>
                                        <w:bottom w:val="none" w:sz="0" w:space="0" w:color="auto"/>
                                        <w:right w:val="none" w:sz="0" w:space="0" w:color="auto"/>
                                      </w:divBdr>
                                      <w:divsChild>
                                        <w:div w:id="474949333">
                                          <w:marLeft w:val="0"/>
                                          <w:marRight w:val="0"/>
                                          <w:marTop w:val="0"/>
                                          <w:marBottom w:val="0"/>
                                          <w:divBdr>
                                            <w:top w:val="none" w:sz="0" w:space="0" w:color="auto"/>
                                            <w:left w:val="none" w:sz="0" w:space="0" w:color="auto"/>
                                            <w:bottom w:val="none" w:sz="0" w:space="0" w:color="auto"/>
                                            <w:right w:val="none" w:sz="0" w:space="0" w:color="auto"/>
                                          </w:divBdr>
                                          <w:divsChild>
                                            <w:div w:id="491873658">
                                              <w:marLeft w:val="0"/>
                                              <w:marRight w:val="0"/>
                                              <w:marTop w:val="0"/>
                                              <w:marBottom w:val="0"/>
                                              <w:divBdr>
                                                <w:top w:val="none" w:sz="0" w:space="0" w:color="auto"/>
                                                <w:left w:val="none" w:sz="0" w:space="0" w:color="auto"/>
                                                <w:bottom w:val="none" w:sz="0" w:space="0" w:color="auto"/>
                                                <w:right w:val="none" w:sz="0" w:space="0" w:color="auto"/>
                                              </w:divBdr>
                                              <w:divsChild>
                                                <w:div w:id="5438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483851">
      <w:bodyDiv w:val="1"/>
      <w:marLeft w:val="0"/>
      <w:marRight w:val="0"/>
      <w:marTop w:val="0"/>
      <w:marBottom w:val="0"/>
      <w:divBdr>
        <w:top w:val="none" w:sz="0" w:space="0" w:color="auto"/>
        <w:left w:val="none" w:sz="0" w:space="0" w:color="auto"/>
        <w:bottom w:val="none" w:sz="0" w:space="0" w:color="auto"/>
        <w:right w:val="none" w:sz="0" w:space="0" w:color="auto"/>
      </w:divBdr>
    </w:div>
    <w:div w:id="17950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7.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7302-A068-4F28-A4E2-4A043841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121</Pages>
  <Words>23121</Words>
  <Characters>115379</Characters>
  <Application>Microsoft Office Word</Application>
  <DocSecurity>0</DocSecurity>
  <PresentationFormat/>
  <Lines>4437</Lines>
  <Paragraphs>2613</Paragraphs>
  <ScaleCrop>false</ScaleCrop>
  <HeadingPairs>
    <vt:vector size="2" baseType="variant">
      <vt:variant>
        <vt:lpstr>Title</vt:lpstr>
      </vt:variant>
      <vt:variant>
        <vt:i4>1</vt:i4>
      </vt:variant>
    </vt:vector>
  </HeadingPairs>
  <TitlesOfParts>
    <vt:vector size="1" baseType="lpstr">
      <vt:lpstr>Agricultural and Veterinary Chemicals Legislation Amendment (2013 Measures No. 2) Regulation 2013</vt:lpstr>
    </vt:vector>
  </TitlesOfParts>
  <Manager/>
  <Company/>
  <LinksUpToDate>false</LinksUpToDate>
  <CharactersWithSpaces>135887</CharactersWithSpaces>
  <SharedDoc>false</SharedDoc>
  <HyperlinkBase/>
  <HLinks>
    <vt:vector size="6" baseType="variant">
      <vt:variant>
        <vt:i4>6160468</vt:i4>
      </vt:variant>
      <vt:variant>
        <vt:i4>339</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2013-07-04T03:46:00Z</cp:lastPrinted>
  <dcterms:created xsi:type="dcterms:W3CDTF">2013-07-23T02:44:00Z</dcterms:created>
  <dcterms:modified xsi:type="dcterms:W3CDTF">2013-07-23T02:44:00Z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887</vt:lpwstr>
  </property>
  <property fmtid="{D5CDD505-2E9C-101B-9397-08002B2CF9AE}" pid="3" name="IndexMatter">
    <vt:lpwstr>1203754A</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ActNo">
    <vt:lpwstr>No. 179, 2013</vt:lpwstr>
  </property>
  <property fmtid="{D5CDD505-2E9C-101B-9397-08002B2CF9AE}" pid="8" name="ShortT">
    <vt:lpwstr>Agricultural and Veterinary Chemicals Legislation Amendment (2013 Measures No. 2) Regulation 2013</vt:lpwstr>
  </property>
  <property fmtid="{D5CDD505-2E9C-101B-9397-08002B2CF9AE}" pid="9" name="Class">
    <vt:lpwstr>Regulation</vt:lpwstr>
  </property>
  <property fmtid="{D5CDD505-2E9C-101B-9397-08002B2CF9AE}" pid="10" name="Type">
    <vt:lpwstr>SLI</vt:lpwstr>
  </property>
  <property fmtid="{D5CDD505-2E9C-101B-9397-08002B2CF9AE}" pid="11" name="DocType">
    <vt:lpwstr>AMD</vt:lpwstr>
  </property>
  <property fmtid="{D5CDD505-2E9C-101B-9397-08002B2CF9AE}" pid="12" name="Exco">
    <vt:lpwstr>Yes</vt:lpwstr>
  </property>
  <property fmtid="{D5CDD505-2E9C-101B-9397-08002B2CF9AE}" pid="13" name="Authority">
    <vt:lpwstr/>
  </property>
  <property fmtid="{D5CDD505-2E9C-101B-9397-08002B2CF9AE}" pid="14" name="DateMade">
    <vt:lpwstr>25 July 2013</vt:lpwstr>
  </property>
  <property fmtid="{D5CDD505-2E9C-101B-9397-08002B2CF9AE}" pid="15" name="ID">
    <vt:lpwstr>OPC60056</vt:lpwstr>
  </property>
  <property fmtid="{D5CDD505-2E9C-101B-9397-08002B2CF9AE}" pid="16" name="DoNotAsk">
    <vt:lpwstr>0</vt:lpwstr>
  </property>
  <property fmtid="{D5CDD505-2E9C-101B-9397-08002B2CF9AE}" pid="17" name="ChangedTitle">
    <vt:lpwstr/>
  </property>
  <property fmtid="{D5CDD505-2E9C-101B-9397-08002B2CF9AE}" pid="18" name="CounterSign">
    <vt:lpwstr/>
  </property>
  <property fmtid="{D5CDD505-2E9C-101B-9397-08002B2CF9AE}" pid="19" name="ExcoDate">
    <vt:lpwstr>25 July 2013</vt:lpwstr>
  </property>
</Properties>
</file>