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27" w:rsidRDefault="00114227" w:rsidP="00114227">
      <w:pPr>
        <w:pStyle w:val="Paragraph"/>
        <w:spacing w:before="0"/>
        <w:jc w:val="center"/>
        <w:rPr>
          <w:b/>
          <w:u w:val="single"/>
        </w:rPr>
      </w:pPr>
      <w:r w:rsidRPr="00A128A9">
        <w:rPr>
          <w:b/>
          <w:u w:val="single"/>
        </w:rPr>
        <w:t xml:space="preserve">EXPLANATORY </w:t>
      </w:r>
      <w:r>
        <w:rPr>
          <w:b/>
          <w:u w:val="single"/>
        </w:rPr>
        <w:t>STATEMENT</w:t>
      </w:r>
    </w:p>
    <w:p w:rsidR="00114227" w:rsidRPr="0048611E" w:rsidRDefault="00114227" w:rsidP="00114227">
      <w:pPr>
        <w:pStyle w:val="Paragraph"/>
        <w:jc w:val="center"/>
        <w:rPr>
          <w:rFonts w:ascii="Times" w:hAnsi="Times"/>
          <w:b/>
          <w:szCs w:val="24"/>
          <w:u w:val="single"/>
        </w:rPr>
      </w:pPr>
      <w:r>
        <w:rPr>
          <w:rFonts w:ascii="Times" w:hAnsi="Times"/>
          <w:b/>
          <w:szCs w:val="24"/>
          <w:u w:val="single"/>
        </w:rPr>
        <w:t>Select Legislative Instrument 2013 No. 199</w:t>
      </w:r>
    </w:p>
    <w:p w:rsidR="00114227" w:rsidRPr="0011052D" w:rsidRDefault="00114227" w:rsidP="00114227">
      <w:pPr>
        <w:pStyle w:val="Paragraph"/>
        <w:jc w:val="center"/>
        <w:rPr>
          <w:rFonts w:ascii="Times" w:hAnsi="Times"/>
          <w:szCs w:val="24"/>
        </w:rPr>
      </w:pPr>
      <w:r>
        <w:rPr>
          <w:rFonts w:ascii="Times" w:hAnsi="Times"/>
          <w:szCs w:val="24"/>
        </w:rPr>
        <w:t>Issued by the authority of the Attorney-General</w:t>
      </w:r>
    </w:p>
    <w:p w:rsidR="00114227" w:rsidRDefault="00114227" w:rsidP="00114227">
      <w:pPr>
        <w:pStyle w:val="Paragraph"/>
        <w:jc w:val="center"/>
        <w:rPr>
          <w:rFonts w:ascii="Times" w:hAnsi="Times"/>
          <w:i/>
          <w:szCs w:val="24"/>
        </w:rPr>
      </w:pPr>
      <w:r>
        <w:rPr>
          <w:rFonts w:ascii="Times" w:hAnsi="Times"/>
          <w:i/>
          <w:szCs w:val="24"/>
        </w:rPr>
        <w:t>Crimes Amendment (X-ray) Regulation 2013</w:t>
      </w:r>
    </w:p>
    <w:p w:rsidR="00114227" w:rsidRDefault="00114227" w:rsidP="00114227">
      <w:pPr>
        <w:spacing w:before="0"/>
        <w:ind w:right="91"/>
      </w:pPr>
      <w:bookmarkStart w:id="0" w:name="OLE_LINK2"/>
    </w:p>
    <w:p w:rsidR="00114227" w:rsidRDefault="00114227" w:rsidP="00114227">
      <w:pPr>
        <w:spacing w:before="0"/>
        <w:ind w:right="91"/>
      </w:pPr>
      <w:r>
        <w:t xml:space="preserve">Section 91 of the </w:t>
      </w:r>
      <w:bookmarkStart w:id="1" w:name="OLE_LINK7"/>
      <w:r>
        <w:rPr>
          <w:i/>
        </w:rPr>
        <w:t>Crimes Act 1914</w:t>
      </w:r>
      <w:r>
        <w:t xml:space="preserve"> </w:t>
      </w:r>
      <w:bookmarkEnd w:id="1"/>
      <w:r>
        <w:t>(the Crimes Act) provides that the Governor</w:t>
      </w:r>
      <w:r>
        <w:noBreakHyphen/>
        <w:t>General may make regulations, not inconsistent with the Crimes Act, prescribing all matters required or permitted by the Crimes Act to be prescribed, or necessary or convenient to be prescribed, for carrying out or giving effect to the Crimes Act.</w:t>
      </w:r>
    </w:p>
    <w:p w:rsidR="00114227" w:rsidRDefault="00114227" w:rsidP="00114227">
      <w:pPr>
        <w:spacing w:before="0"/>
        <w:ind w:right="91"/>
      </w:pPr>
    </w:p>
    <w:p w:rsidR="00114227" w:rsidRDefault="00114227" w:rsidP="00114227">
      <w:pPr>
        <w:spacing w:before="0"/>
        <w:ind w:right="91"/>
      </w:pPr>
      <w:r w:rsidRPr="002862AB">
        <w:t>Regulation 6C of the Crimes Regulations prescribes wrist X-rays as a procedure for determining age under Division 4A of the Crimes Act.  In the past, the AFP have arranged for wrist X-rays to be taken in order to have an expert analysis of those X-rays put before the court as evidence in an age determination</w:t>
      </w:r>
      <w:r>
        <w:t>.</w:t>
      </w:r>
      <w:r w:rsidRPr="00C15F39">
        <w:t xml:space="preserve"> </w:t>
      </w:r>
      <w:r>
        <w:t>Removing wrist X-</w:t>
      </w:r>
      <w:r w:rsidRPr="00C15F39">
        <w:t>rays as a prescribed procedure will not change current age determination processes, but will respond to crit</w:t>
      </w:r>
      <w:r>
        <w:t>icisms about the use of wrist X-</w:t>
      </w:r>
      <w:r w:rsidRPr="00C15F39">
        <w:t>rays</w:t>
      </w:r>
      <w:r>
        <w:t>.  The removal of wrist X-rays</w:t>
      </w:r>
      <w:r w:rsidRPr="00C15F39">
        <w:t xml:space="preserve"> is supported </w:t>
      </w:r>
      <w:r>
        <w:t xml:space="preserve">by advice </w:t>
      </w:r>
      <w:r w:rsidRPr="00C15F39">
        <w:t>from the Office of the Chief Scientist that there is not sufficient scientific data to support the use of wrist X</w:t>
      </w:r>
      <w:r>
        <w:t>-</w:t>
      </w:r>
      <w:r w:rsidRPr="00C15F39">
        <w:t>rays to determine whether a person is a minor.</w:t>
      </w:r>
    </w:p>
    <w:p w:rsidR="00114227" w:rsidRDefault="00114227" w:rsidP="00114227">
      <w:pPr>
        <w:spacing w:before="0"/>
        <w:ind w:right="91"/>
      </w:pPr>
    </w:p>
    <w:p w:rsidR="00114227" w:rsidRDefault="00114227" w:rsidP="00114227">
      <w:pPr>
        <w:spacing w:before="0"/>
        <w:ind w:right="91"/>
      </w:pPr>
      <w:r>
        <w:t>The purpose of this Regulation is to amend regulation 6C to remove the reference to wrist X-rays to accord with current practice in procedures f</w:t>
      </w:r>
      <w:r w:rsidRPr="00002901">
        <w:t>or determining whether people smuggling crew are minors</w:t>
      </w:r>
      <w:r>
        <w:t xml:space="preserve">.  This ensures that </w:t>
      </w:r>
      <w:r w:rsidRPr="008D16D2">
        <w:t>age determination procedures provide the best evidence for a court to determine the age of people smuggling crew who claim to be minors.</w:t>
      </w:r>
    </w:p>
    <w:p w:rsidR="00114227" w:rsidRPr="0056588D" w:rsidRDefault="00114227" w:rsidP="00114227">
      <w:pPr>
        <w:keepNext/>
        <w:keepLines/>
        <w:ind w:right="91"/>
        <w:rPr>
          <w:u w:val="single"/>
        </w:rPr>
      </w:pPr>
      <w:r>
        <w:rPr>
          <w:u w:val="single"/>
        </w:rPr>
        <w:t>Statement of Compatibility with Human Rights</w:t>
      </w:r>
    </w:p>
    <w:p w:rsidR="00114227" w:rsidRDefault="00114227" w:rsidP="00114227">
      <w:pPr>
        <w:spacing w:before="0"/>
        <w:ind w:right="91"/>
        <w:rPr>
          <w:color w:val="000000"/>
        </w:rPr>
      </w:pPr>
    </w:p>
    <w:p w:rsidR="00114227" w:rsidRPr="00275D76" w:rsidRDefault="00114227" w:rsidP="00114227">
      <w:pPr>
        <w:spacing w:before="120" w:after="120"/>
        <w:jc w:val="center"/>
        <w:rPr>
          <w:szCs w:val="24"/>
        </w:rPr>
      </w:pPr>
      <w:r w:rsidRPr="00275D76">
        <w:rPr>
          <w:i/>
          <w:szCs w:val="24"/>
        </w:rPr>
        <w:t>Prepared in accordance with Part 3 of the Human Rights (Parliamentary Scrutiny) Act 2011</w:t>
      </w:r>
    </w:p>
    <w:p w:rsidR="00114227" w:rsidRPr="00275D76" w:rsidRDefault="00114227" w:rsidP="00114227">
      <w:pPr>
        <w:spacing w:after="240"/>
        <w:jc w:val="center"/>
        <w:rPr>
          <w:b/>
          <w:bCs/>
          <w:szCs w:val="24"/>
        </w:rPr>
      </w:pPr>
      <w:r>
        <w:rPr>
          <w:b/>
          <w:bCs/>
          <w:szCs w:val="24"/>
        </w:rPr>
        <w:t>Crimes Amendment (X-ray) Regulation</w:t>
      </w:r>
      <w:r w:rsidRPr="00275D76">
        <w:rPr>
          <w:b/>
          <w:bCs/>
          <w:szCs w:val="24"/>
        </w:rPr>
        <w:t xml:space="preserve"> </w:t>
      </w:r>
      <w:r>
        <w:rPr>
          <w:b/>
          <w:bCs/>
          <w:szCs w:val="24"/>
        </w:rPr>
        <w:t>2013</w:t>
      </w:r>
    </w:p>
    <w:p w:rsidR="00114227" w:rsidRDefault="00114227" w:rsidP="00114227">
      <w:pPr>
        <w:spacing w:before="0"/>
        <w:ind w:right="91"/>
        <w:rPr>
          <w:szCs w:val="24"/>
        </w:rPr>
      </w:pPr>
      <w:r w:rsidRPr="00275D76">
        <w:rPr>
          <w:szCs w:val="24"/>
        </w:rPr>
        <w:t xml:space="preserve">This </w:t>
      </w:r>
      <w:r>
        <w:rPr>
          <w:szCs w:val="24"/>
        </w:rPr>
        <w:t>legislative instrument</w:t>
      </w:r>
      <w:r w:rsidRPr="00275D76">
        <w:rPr>
          <w:szCs w:val="24"/>
        </w:rPr>
        <w:t xml:space="preserve"> is compatible with the human rights and freedoms recognised or declared in the international instruments listed in section 3 of the </w:t>
      </w:r>
      <w:r w:rsidRPr="00275D76">
        <w:rPr>
          <w:i/>
          <w:szCs w:val="24"/>
        </w:rPr>
        <w:t>Human Rights (Parliamentary Scrutiny) Act 2011</w:t>
      </w:r>
      <w:r w:rsidRPr="00275D76">
        <w:rPr>
          <w:szCs w:val="24"/>
        </w:rPr>
        <w:t>.</w:t>
      </w:r>
    </w:p>
    <w:p w:rsidR="00114227" w:rsidRPr="00275D76" w:rsidRDefault="00114227" w:rsidP="00114227">
      <w:pPr>
        <w:spacing w:before="0"/>
        <w:ind w:right="91"/>
        <w:rPr>
          <w:szCs w:val="24"/>
        </w:rPr>
      </w:pPr>
    </w:p>
    <w:p w:rsidR="00114227" w:rsidRPr="00AF69C5" w:rsidRDefault="00114227" w:rsidP="00114227">
      <w:pPr>
        <w:spacing w:before="0"/>
        <w:ind w:right="91"/>
        <w:rPr>
          <w:b/>
          <w:szCs w:val="24"/>
        </w:rPr>
      </w:pPr>
      <w:r w:rsidRPr="00AF69C5">
        <w:rPr>
          <w:b/>
          <w:szCs w:val="24"/>
        </w:rPr>
        <w:t>Overview of the Legislative Instrument</w:t>
      </w:r>
    </w:p>
    <w:p w:rsidR="00114227" w:rsidRDefault="00114227" w:rsidP="00114227">
      <w:pPr>
        <w:spacing w:before="0"/>
        <w:ind w:right="91"/>
        <w:rPr>
          <w:szCs w:val="24"/>
        </w:rPr>
      </w:pPr>
      <w:r>
        <w:rPr>
          <w:szCs w:val="24"/>
        </w:rPr>
        <w:t>The</w:t>
      </w:r>
      <w:r w:rsidRPr="00A53294">
        <w:rPr>
          <w:szCs w:val="24"/>
        </w:rPr>
        <w:t xml:space="preserve"> Crimes Act provide</w:t>
      </w:r>
      <w:r>
        <w:rPr>
          <w:szCs w:val="24"/>
        </w:rPr>
        <w:t xml:space="preserve">s a regime for determining age. Under the Crimes Act </w:t>
      </w:r>
      <w:r w:rsidRPr="00A53294">
        <w:rPr>
          <w:szCs w:val="24"/>
        </w:rPr>
        <w:t>an officer can seek permission to carry out a ‘prescribed procedure’, either with the consent of the person whose age is in question, or by order of a magistrate</w:t>
      </w:r>
      <w:r>
        <w:rPr>
          <w:szCs w:val="24"/>
        </w:rPr>
        <w:t xml:space="preserve">. </w:t>
      </w:r>
    </w:p>
    <w:p w:rsidR="00114227" w:rsidRPr="00A53294" w:rsidRDefault="00114227" w:rsidP="00114227">
      <w:pPr>
        <w:spacing w:before="0"/>
        <w:ind w:right="91"/>
        <w:rPr>
          <w:szCs w:val="24"/>
        </w:rPr>
      </w:pPr>
    </w:p>
    <w:p w:rsidR="00114227" w:rsidRPr="00A53294" w:rsidRDefault="00114227" w:rsidP="00114227">
      <w:pPr>
        <w:spacing w:before="0"/>
        <w:ind w:right="91"/>
        <w:rPr>
          <w:szCs w:val="24"/>
        </w:rPr>
      </w:pPr>
      <w:r w:rsidRPr="00A53294">
        <w:rPr>
          <w:szCs w:val="24"/>
        </w:rPr>
        <w:t>Currently, the only prescribed procedure</w:t>
      </w:r>
      <w:r>
        <w:rPr>
          <w:szCs w:val="24"/>
        </w:rPr>
        <w:t xml:space="preserve"> </w:t>
      </w:r>
      <w:r w:rsidRPr="00A53294">
        <w:rPr>
          <w:szCs w:val="24"/>
        </w:rPr>
        <w:t xml:space="preserve">for determining age under the Crimes Act is ‘radiograph of the hand and wrist of the person </w:t>
      </w:r>
      <w:r>
        <w:rPr>
          <w:szCs w:val="24"/>
        </w:rPr>
        <w:t>whose age is to be determined’.</w:t>
      </w:r>
    </w:p>
    <w:p w:rsidR="00114227" w:rsidRPr="00A53294" w:rsidRDefault="00114227" w:rsidP="00114227">
      <w:pPr>
        <w:spacing w:before="0"/>
        <w:ind w:right="91"/>
        <w:rPr>
          <w:szCs w:val="24"/>
        </w:rPr>
      </w:pPr>
    </w:p>
    <w:p w:rsidR="00114227" w:rsidRPr="00F8653C" w:rsidRDefault="00114227" w:rsidP="00114227">
      <w:pPr>
        <w:spacing w:before="0"/>
        <w:ind w:right="91"/>
        <w:rPr>
          <w:szCs w:val="24"/>
        </w:rPr>
      </w:pPr>
      <w:r>
        <w:rPr>
          <w:szCs w:val="24"/>
        </w:rPr>
        <w:t>This Regulation amends Regulation</w:t>
      </w:r>
      <w:r w:rsidRPr="00A53294">
        <w:rPr>
          <w:szCs w:val="24"/>
        </w:rPr>
        <w:t xml:space="preserve"> 6C of the Crimes Regulations</w:t>
      </w:r>
      <w:r>
        <w:rPr>
          <w:szCs w:val="24"/>
        </w:rPr>
        <w:t xml:space="preserve"> to reflect changes to </w:t>
      </w:r>
      <w:r w:rsidRPr="00F8653C">
        <w:rPr>
          <w:szCs w:val="24"/>
        </w:rPr>
        <w:t xml:space="preserve">current age determination processes </w:t>
      </w:r>
      <w:r>
        <w:rPr>
          <w:szCs w:val="24"/>
        </w:rPr>
        <w:t xml:space="preserve">that were announced in July 2011.  </w:t>
      </w:r>
      <w:r w:rsidRPr="00D34C00">
        <w:rPr>
          <w:szCs w:val="24"/>
        </w:rPr>
        <w:t xml:space="preserve">In the past, the AFP have arranged for wrist X-rays to be taken in order to have an expert analysis of those X-rays put before the court as evidence in an age determination hearing.  </w:t>
      </w:r>
      <w:r>
        <w:rPr>
          <w:szCs w:val="24"/>
        </w:rPr>
        <w:t>However, s</w:t>
      </w:r>
      <w:r w:rsidRPr="00F8653C">
        <w:rPr>
          <w:szCs w:val="24"/>
        </w:rPr>
        <w:t>ince August 2011, wrist X-rays have not been used as a method of determining age unless requested by the defendant.</w:t>
      </w:r>
      <w:r>
        <w:rPr>
          <w:szCs w:val="24"/>
        </w:rPr>
        <w:t xml:space="preserve">  </w:t>
      </w:r>
      <w:r w:rsidRPr="00D34C00">
        <w:t xml:space="preserve">The Government notes that this amendment implements the recommendation of the Senate Legal and Constitutional </w:t>
      </w:r>
      <w:r w:rsidRPr="00D34C00">
        <w:lastRenderedPageBreak/>
        <w:t xml:space="preserve">Affairs References Committee, and responds to concerns raised by Australian Human Rights Commission and advice from the Office of the Chief Scientist that there is not sufficient scientific data to support the use of wrist X rays to determine whether a person is a minor.  </w:t>
      </w:r>
      <w:r>
        <w:rPr>
          <w:color w:val="000000"/>
        </w:rPr>
        <w:t>It also confirmed that wrist x-rays did not allow for precise estimation of chronological age and that results varied according to ethnic and socio</w:t>
      </w:r>
      <w:r>
        <w:rPr>
          <w:color w:val="000000"/>
        </w:rPr>
        <w:noBreakHyphen/>
        <w:t xml:space="preserve">economic conditions.  </w:t>
      </w:r>
    </w:p>
    <w:p w:rsidR="00114227" w:rsidRPr="00275D76" w:rsidRDefault="00114227" w:rsidP="00114227">
      <w:pPr>
        <w:spacing w:before="0"/>
        <w:ind w:right="91"/>
        <w:rPr>
          <w:szCs w:val="24"/>
        </w:rPr>
      </w:pPr>
    </w:p>
    <w:p w:rsidR="00114227" w:rsidRDefault="00114227" w:rsidP="00114227">
      <w:pPr>
        <w:spacing w:before="0"/>
        <w:ind w:right="91"/>
        <w:rPr>
          <w:szCs w:val="24"/>
        </w:rPr>
      </w:pPr>
      <w:r w:rsidRPr="00275D76">
        <w:rPr>
          <w:szCs w:val="24"/>
        </w:rPr>
        <w:t xml:space="preserve">The </w:t>
      </w:r>
      <w:r>
        <w:rPr>
          <w:szCs w:val="24"/>
        </w:rPr>
        <w:t xml:space="preserve">legislative instrument does not make any substantive amendments to Commonwealth law or policy in relation to age determination procedures.  It reflects current practice in age determination procedures, which is that age determination is a matter for judicial determination after both the prosecution and the defence have had the opportunity to put evidence, and ensures </w:t>
      </w:r>
      <w:r>
        <w:t xml:space="preserve">that </w:t>
      </w:r>
      <w:r w:rsidRPr="008D16D2">
        <w:t>age determination procedures provide the best evidence for a court to determine the age of people smuggling crew who claim to be minors</w:t>
      </w:r>
      <w:r>
        <w:t>.</w:t>
      </w:r>
    </w:p>
    <w:p w:rsidR="00114227" w:rsidRPr="00275D76" w:rsidRDefault="00114227" w:rsidP="00114227">
      <w:pPr>
        <w:spacing w:before="0"/>
        <w:ind w:right="91"/>
        <w:rPr>
          <w:szCs w:val="24"/>
        </w:rPr>
      </w:pPr>
    </w:p>
    <w:p w:rsidR="00114227" w:rsidRPr="00AF69C5" w:rsidRDefault="00114227" w:rsidP="00114227">
      <w:pPr>
        <w:spacing w:before="0"/>
        <w:ind w:right="91"/>
        <w:rPr>
          <w:b/>
          <w:szCs w:val="24"/>
        </w:rPr>
      </w:pPr>
      <w:r w:rsidRPr="00AF69C5">
        <w:rPr>
          <w:b/>
          <w:szCs w:val="24"/>
        </w:rPr>
        <w:t>Human rights implications</w:t>
      </w:r>
    </w:p>
    <w:p w:rsidR="00114227" w:rsidRDefault="00114227" w:rsidP="00114227">
      <w:pPr>
        <w:spacing w:before="0"/>
        <w:ind w:right="91"/>
        <w:rPr>
          <w:szCs w:val="24"/>
        </w:rPr>
      </w:pPr>
    </w:p>
    <w:p w:rsidR="00114227" w:rsidRDefault="00114227" w:rsidP="00114227">
      <w:pPr>
        <w:pStyle w:val="Celltext"/>
      </w:pPr>
      <w:r w:rsidRPr="00D34C00">
        <w:t>These amendments promote the rights of juvenile defendants under</w:t>
      </w:r>
      <w:r>
        <w:t>:</w:t>
      </w:r>
      <w:r w:rsidRPr="00D34C00">
        <w:t xml:space="preserve"> </w:t>
      </w:r>
    </w:p>
    <w:p w:rsidR="00114227" w:rsidRDefault="00114227" w:rsidP="00114227">
      <w:pPr>
        <w:pStyle w:val="Celltext"/>
        <w:numPr>
          <w:ilvl w:val="0"/>
          <w:numId w:val="17"/>
        </w:numPr>
      </w:pPr>
      <w:r w:rsidRPr="00D34C00">
        <w:t>the Convention on the Rights of the Child</w:t>
      </w:r>
      <w:r>
        <w:t xml:space="preserve"> (CRC),</w:t>
      </w:r>
      <w:r w:rsidRPr="00D34C00">
        <w:t xml:space="preserve"> and </w:t>
      </w:r>
    </w:p>
    <w:p w:rsidR="00114227" w:rsidRDefault="00114227" w:rsidP="00114227">
      <w:pPr>
        <w:pStyle w:val="Celltext"/>
        <w:numPr>
          <w:ilvl w:val="0"/>
          <w:numId w:val="17"/>
        </w:numPr>
      </w:pPr>
      <w:r w:rsidRPr="00D34C00">
        <w:t>Article</w:t>
      </w:r>
      <w:r>
        <w:t>s</w:t>
      </w:r>
      <w:r w:rsidRPr="00D34C00">
        <w:t xml:space="preserve"> 10</w:t>
      </w:r>
      <w:r>
        <w:t>(2) and 10(3)</w:t>
      </w:r>
      <w:r w:rsidRPr="00D34C00">
        <w:t xml:space="preserve"> of the I</w:t>
      </w:r>
      <w:r>
        <w:t xml:space="preserve">nternational </w:t>
      </w:r>
      <w:r w:rsidRPr="00D34C00">
        <w:t>C</w:t>
      </w:r>
      <w:r>
        <w:t xml:space="preserve">ovenant on </w:t>
      </w:r>
      <w:r w:rsidRPr="00D34C00">
        <w:t>C</w:t>
      </w:r>
      <w:r>
        <w:t xml:space="preserve">ivil and </w:t>
      </w:r>
      <w:r w:rsidRPr="00D34C00">
        <w:t>P</w:t>
      </w:r>
      <w:r>
        <w:t xml:space="preserve">olitical </w:t>
      </w:r>
      <w:r w:rsidRPr="00D34C00">
        <w:t>R</w:t>
      </w:r>
      <w:r>
        <w:t>ights (ICCPR)</w:t>
      </w:r>
      <w:r w:rsidRPr="00D34C00">
        <w:t xml:space="preserve">. </w:t>
      </w:r>
    </w:p>
    <w:p w:rsidR="00114227" w:rsidRPr="004D1BAF" w:rsidRDefault="00114227" w:rsidP="00114227">
      <w:pPr>
        <w:rPr>
          <w:i/>
          <w:color w:val="000000"/>
        </w:rPr>
      </w:pPr>
      <w:r w:rsidRPr="004D1BAF">
        <w:rPr>
          <w:i/>
          <w:color w:val="000000"/>
        </w:rPr>
        <w:t>Children’s rights</w:t>
      </w:r>
    </w:p>
    <w:p w:rsidR="00114227" w:rsidRDefault="00114227" w:rsidP="00114227">
      <w:pPr>
        <w:rPr>
          <w:color w:val="000000"/>
        </w:rPr>
      </w:pPr>
      <w:r>
        <w:rPr>
          <w:color w:val="000000"/>
        </w:rPr>
        <w:t xml:space="preserve">Article 3 of the CRC requires that in all actions concerning children, whether undertaken by public or private social welfare institutions, courts of law, administrative authorities or legislative bodies, the best interests of the child shall be a primary consideration.  This legislative instrument will promote the best interests of the child by ensuring that those persons claiming to be minors will have their claims determined by a judicial officer in a court on the basis of the best evidence put before them.  This process will also be supported by measures already undertaken by the Australian Federal Police in gathering evidence from Indonesia, as outlined in the </w:t>
      </w:r>
      <w:r w:rsidRPr="00416B7B">
        <w:rPr>
          <w:i/>
          <w:color w:val="000000"/>
        </w:rPr>
        <w:t>Australian Government response to the Senate Legal and Constitutional Affairs References Committee report: Detention of Indonesian minors in Australia</w:t>
      </w:r>
      <w:r>
        <w:rPr>
          <w:color w:val="000000"/>
        </w:rPr>
        <w:t>, December 2012.</w:t>
      </w:r>
    </w:p>
    <w:p w:rsidR="00114227" w:rsidRDefault="00114227" w:rsidP="00114227">
      <w:pPr>
        <w:rPr>
          <w:color w:val="000000"/>
        </w:rPr>
      </w:pPr>
      <w:r>
        <w:rPr>
          <w:color w:val="000000"/>
        </w:rPr>
        <w:t>Article 37(c) of the CRC relevantly provides that each child deprived of their liberty shall be treated with humanity, in a manner that takes into account the needs of persons of his or her age and shall be separated from adults unless it is considered in the child’s best interest not to do so.  Article 10(2</w:t>
      </w:r>
      <w:proofErr w:type="gramStart"/>
      <w:r>
        <w:rPr>
          <w:color w:val="000000"/>
        </w:rPr>
        <w:t>)(</w:t>
      </w:r>
      <w:proofErr w:type="gramEnd"/>
      <w:r>
        <w:rPr>
          <w:color w:val="000000"/>
        </w:rPr>
        <w:t>b) also provides that accused juvenile persons shall be separated from adults.   This instrument will promote children’s rights by ensuring that a person’s age is determined on the best evidence available.</w:t>
      </w:r>
    </w:p>
    <w:p w:rsidR="00114227" w:rsidRPr="00275D76" w:rsidRDefault="00114227" w:rsidP="00114227">
      <w:pPr>
        <w:rPr>
          <w:szCs w:val="24"/>
        </w:rPr>
      </w:pPr>
    </w:p>
    <w:p w:rsidR="00114227" w:rsidRDefault="00114227" w:rsidP="00114227">
      <w:pPr>
        <w:spacing w:before="0"/>
        <w:ind w:right="91"/>
        <w:rPr>
          <w:b/>
          <w:szCs w:val="24"/>
        </w:rPr>
      </w:pPr>
      <w:r w:rsidRPr="00AF69C5">
        <w:rPr>
          <w:b/>
          <w:szCs w:val="24"/>
        </w:rPr>
        <w:t>Conclusion</w:t>
      </w:r>
    </w:p>
    <w:p w:rsidR="00114227" w:rsidRPr="00AF69C5" w:rsidRDefault="00114227" w:rsidP="00114227">
      <w:pPr>
        <w:spacing w:before="0"/>
        <w:ind w:right="91"/>
        <w:rPr>
          <w:b/>
          <w:szCs w:val="24"/>
        </w:rPr>
      </w:pPr>
    </w:p>
    <w:p w:rsidR="00114227" w:rsidRPr="00275D76" w:rsidRDefault="00114227" w:rsidP="00114227">
      <w:pPr>
        <w:spacing w:before="0"/>
        <w:ind w:right="91"/>
        <w:rPr>
          <w:szCs w:val="24"/>
        </w:rPr>
      </w:pPr>
      <w:r w:rsidRPr="00275D76">
        <w:rPr>
          <w:szCs w:val="24"/>
        </w:rPr>
        <w:t xml:space="preserve">This </w:t>
      </w:r>
      <w:r>
        <w:rPr>
          <w:szCs w:val="24"/>
        </w:rPr>
        <w:t>legislative instrument</w:t>
      </w:r>
      <w:r w:rsidRPr="00275D76">
        <w:rPr>
          <w:szCs w:val="24"/>
        </w:rPr>
        <w:t xml:space="preserve"> is compatible with human rights as it </w:t>
      </w:r>
      <w:r>
        <w:rPr>
          <w:szCs w:val="24"/>
        </w:rPr>
        <w:t xml:space="preserve">promotes the rights of juvenile </w:t>
      </w:r>
      <w:r w:rsidRPr="00D34C00">
        <w:t>defendants under the Convention on the Rights of the Child and Article 10 of the ICCPR</w:t>
      </w:r>
      <w:r w:rsidRPr="00275D76">
        <w:rPr>
          <w:szCs w:val="24"/>
        </w:rPr>
        <w:t>.</w:t>
      </w:r>
    </w:p>
    <w:p w:rsidR="00114227" w:rsidRDefault="00114227" w:rsidP="00114227">
      <w:pPr>
        <w:spacing w:before="0"/>
        <w:ind w:right="91"/>
        <w:rPr>
          <w:b/>
          <w:szCs w:val="24"/>
        </w:rPr>
      </w:pPr>
    </w:p>
    <w:p w:rsidR="00114227" w:rsidRPr="00AF69C5" w:rsidRDefault="00114227" w:rsidP="00114227">
      <w:pPr>
        <w:spacing w:before="0"/>
        <w:ind w:right="91"/>
        <w:jc w:val="center"/>
        <w:rPr>
          <w:b/>
          <w:szCs w:val="24"/>
        </w:rPr>
      </w:pPr>
      <w:r w:rsidRPr="00AF69C5">
        <w:rPr>
          <w:b/>
          <w:szCs w:val="24"/>
        </w:rPr>
        <w:t>[</w:t>
      </w:r>
      <w:r>
        <w:rPr>
          <w:b/>
          <w:szCs w:val="24"/>
        </w:rPr>
        <w:t>The Hon Mark Dreyfus QC MP, Attorney-General</w:t>
      </w:r>
      <w:r w:rsidRPr="00AF69C5">
        <w:rPr>
          <w:b/>
          <w:szCs w:val="24"/>
        </w:rPr>
        <w:t>]</w:t>
      </w:r>
    </w:p>
    <w:p w:rsidR="00114227" w:rsidRPr="0056588D" w:rsidRDefault="00114227" w:rsidP="00114227">
      <w:pPr>
        <w:keepNext/>
        <w:keepLines/>
        <w:ind w:right="91"/>
        <w:rPr>
          <w:u w:val="single"/>
        </w:rPr>
      </w:pPr>
      <w:r w:rsidRPr="0056588D">
        <w:rPr>
          <w:u w:val="single"/>
        </w:rPr>
        <w:lastRenderedPageBreak/>
        <w:t>Other Issues</w:t>
      </w:r>
    </w:p>
    <w:p w:rsidR="00114227" w:rsidRDefault="00114227" w:rsidP="00114227">
      <w:pPr>
        <w:pStyle w:val="Paragraph"/>
        <w:rPr>
          <w:rFonts w:ascii="Times" w:hAnsi="Times"/>
          <w:szCs w:val="24"/>
        </w:rPr>
      </w:pPr>
      <w:r w:rsidRPr="00344748">
        <w:rPr>
          <w:rFonts w:ascii="Times" w:hAnsi="Times"/>
          <w:szCs w:val="24"/>
        </w:rPr>
        <w:t>Th</w:t>
      </w:r>
      <w:r>
        <w:rPr>
          <w:rFonts w:ascii="Times" w:hAnsi="Times"/>
          <w:szCs w:val="24"/>
        </w:rPr>
        <w:t>is regulation</w:t>
      </w:r>
      <w:r w:rsidRPr="00344748">
        <w:rPr>
          <w:rFonts w:ascii="Times" w:hAnsi="Times"/>
          <w:szCs w:val="24"/>
        </w:rPr>
        <w:t xml:space="preserve"> address</w:t>
      </w:r>
      <w:r>
        <w:rPr>
          <w:rFonts w:ascii="Times" w:hAnsi="Times"/>
          <w:szCs w:val="24"/>
        </w:rPr>
        <w:t>es</w:t>
      </w:r>
      <w:r w:rsidRPr="00344748">
        <w:rPr>
          <w:rFonts w:ascii="Times" w:hAnsi="Times"/>
          <w:szCs w:val="24"/>
        </w:rPr>
        <w:t xml:space="preserve"> recommendations made by the Senate Legal and Constitutional Affairs References Committee report into the Detention of Indonesian minors in Australia, and the Senate Legal and Constitutional Affairs Legislation Committee’s report into the Crimes Amendment (</w:t>
      </w:r>
      <w:r>
        <w:rPr>
          <w:rFonts w:ascii="Times" w:hAnsi="Times"/>
          <w:szCs w:val="24"/>
        </w:rPr>
        <w:t>F</w:t>
      </w:r>
      <w:r w:rsidRPr="00344748">
        <w:rPr>
          <w:rFonts w:ascii="Times" w:hAnsi="Times"/>
          <w:szCs w:val="24"/>
        </w:rPr>
        <w:t>airness for Minors) Bill 2011, as well the Australian Human Rights Commission’s report of the Inquiry into the treatment of individuals suspected of people smuggling offences who say that they are children</w:t>
      </w:r>
    </w:p>
    <w:p w:rsidR="00114227" w:rsidRDefault="00114227" w:rsidP="00114227">
      <w:pPr>
        <w:pStyle w:val="Paragraph"/>
        <w:rPr>
          <w:rFonts w:ascii="Times" w:hAnsi="Times"/>
          <w:szCs w:val="24"/>
        </w:rPr>
      </w:pPr>
      <w:r w:rsidRPr="00013E77">
        <w:rPr>
          <w:rFonts w:ascii="Times" w:hAnsi="Times"/>
          <w:szCs w:val="24"/>
        </w:rPr>
        <w:t>If in the future any procedure for determining whether a person is an adult or a minor is identified as appropriate and consistent with Australia’s human rights obligations, consideration will be given to prescribing such a procedure in the Crimes Regulations.</w:t>
      </w:r>
    </w:p>
    <w:p w:rsidR="00114227" w:rsidRDefault="00114227" w:rsidP="00114227">
      <w:pPr>
        <w:pStyle w:val="Paragraph"/>
        <w:rPr>
          <w:rFonts w:ascii="Times" w:hAnsi="Times"/>
          <w:szCs w:val="24"/>
        </w:rPr>
      </w:pPr>
      <w:r>
        <w:rPr>
          <w:rFonts w:ascii="Times" w:hAnsi="Times"/>
          <w:szCs w:val="24"/>
        </w:rPr>
        <w:t>The R</w:t>
      </w:r>
      <w:r w:rsidRPr="00166E6C">
        <w:rPr>
          <w:rFonts w:ascii="Times" w:hAnsi="Times"/>
          <w:szCs w:val="24"/>
        </w:rPr>
        <w:t>egulation</w:t>
      </w:r>
      <w:r>
        <w:rPr>
          <w:rFonts w:ascii="Times" w:hAnsi="Times"/>
          <w:szCs w:val="24"/>
        </w:rPr>
        <w:t xml:space="preserve"> is</w:t>
      </w:r>
      <w:r w:rsidRPr="00166E6C">
        <w:rPr>
          <w:rFonts w:ascii="Times" w:hAnsi="Times"/>
          <w:szCs w:val="24"/>
        </w:rPr>
        <w:t xml:space="preserve"> not likely to impact on business or restrict competition</w:t>
      </w:r>
      <w:r>
        <w:rPr>
          <w:rFonts w:ascii="Times" w:hAnsi="Times"/>
          <w:szCs w:val="24"/>
        </w:rPr>
        <w:t>.</w:t>
      </w:r>
    </w:p>
    <w:p w:rsidR="00114227" w:rsidRDefault="00114227" w:rsidP="00114227">
      <w:pPr>
        <w:pStyle w:val="Paragraph"/>
        <w:rPr>
          <w:rFonts w:ascii="Times" w:hAnsi="Times"/>
          <w:szCs w:val="24"/>
        </w:rPr>
      </w:pPr>
      <w:r>
        <w:rPr>
          <w:rFonts w:ascii="Times" w:hAnsi="Times"/>
          <w:szCs w:val="24"/>
        </w:rPr>
        <w:t xml:space="preserve">The Regulation is a legislative instrument for the purposes of the </w:t>
      </w:r>
      <w:r>
        <w:rPr>
          <w:rFonts w:ascii="Times" w:hAnsi="Times"/>
          <w:i/>
          <w:szCs w:val="24"/>
        </w:rPr>
        <w:t>Crimes Act 1914.</w:t>
      </w:r>
      <w:r w:rsidRPr="006771CE">
        <w:rPr>
          <w:rFonts w:ascii="Times" w:hAnsi="Times"/>
          <w:szCs w:val="24"/>
        </w:rPr>
        <w:t xml:space="preserve"> </w:t>
      </w:r>
    </w:p>
    <w:p w:rsidR="00114227" w:rsidRDefault="00114227" w:rsidP="00114227">
      <w:pPr>
        <w:pStyle w:val="Paragraph"/>
        <w:rPr>
          <w:rFonts w:ascii="Times" w:hAnsi="Times"/>
          <w:szCs w:val="24"/>
        </w:rPr>
      </w:pPr>
      <w:r>
        <w:rPr>
          <w:rFonts w:ascii="Times" w:hAnsi="Times"/>
          <w:szCs w:val="24"/>
        </w:rPr>
        <w:t>The Regulation commences the day after the Regulation is registered.</w:t>
      </w:r>
    </w:p>
    <w:p w:rsidR="00114227" w:rsidRPr="00D06A4E" w:rsidRDefault="00114227" w:rsidP="00114227">
      <w:pPr>
        <w:tabs>
          <w:tab w:val="left" w:pos="3105"/>
        </w:tabs>
        <w:sectPr w:rsidR="00114227" w:rsidRPr="00D06A4E" w:rsidSect="0068697B">
          <w:headerReference w:type="default" r:id="rId9"/>
          <w:pgSz w:w="11907" w:h="16840" w:code="9"/>
          <w:pgMar w:top="1418" w:right="851" w:bottom="1418" w:left="851" w:header="680" w:footer="567" w:gutter="567"/>
          <w:cols w:space="720"/>
          <w:titlePg/>
          <w:docGrid w:linePitch="326"/>
        </w:sectPr>
      </w:pPr>
      <w:r>
        <w:rPr>
          <w:rFonts w:ascii="Times" w:hAnsi="Times"/>
          <w:szCs w:val="24"/>
        </w:rPr>
        <w:t xml:space="preserve">Details of the Regulation are set out in </w:t>
      </w:r>
      <w:r w:rsidRPr="001A40BB">
        <w:rPr>
          <w:rFonts w:ascii="Times" w:hAnsi="Times"/>
          <w:szCs w:val="24"/>
          <w:u w:val="single"/>
        </w:rPr>
        <w:t>Attachment</w:t>
      </w:r>
      <w:r>
        <w:rPr>
          <w:rFonts w:ascii="Times" w:hAnsi="Times"/>
          <w:szCs w:val="24"/>
          <w:u w:val="single"/>
        </w:rPr>
        <w:t xml:space="preserve"> A</w:t>
      </w:r>
      <w:r w:rsidRPr="001A40BB">
        <w:rPr>
          <w:rFonts w:ascii="Times" w:hAnsi="Times"/>
          <w:szCs w:val="24"/>
        </w:rPr>
        <w:t>.</w:t>
      </w:r>
      <w:bookmarkEnd w:id="0"/>
    </w:p>
    <w:p w:rsidR="00114227" w:rsidRDefault="00114227" w:rsidP="00114227">
      <w:pPr>
        <w:pStyle w:val="Paragraph"/>
        <w:tabs>
          <w:tab w:val="left" w:pos="2415"/>
        </w:tabs>
        <w:jc w:val="right"/>
        <w:rPr>
          <w:rFonts w:ascii="Times" w:hAnsi="Times"/>
          <w:b/>
          <w:szCs w:val="24"/>
          <w:u w:val="single"/>
        </w:rPr>
      </w:pPr>
      <w:r w:rsidRPr="00A24E6F">
        <w:rPr>
          <w:rFonts w:ascii="Times" w:hAnsi="Times"/>
          <w:b/>
          <w:szCs w:val="24"/>
          <w:u w:val="single"/>
        </w:rPr>
        <w:lastRenderedPageBreak/>
        <w:t>A</w:t>
      </w:r>
      <w:r>
        <w:rPr>
          <w:rFonts w:ascii="Times" w:hAnsi="Times"/>
          <w:b/>
          <w:szCs w:val="24"/>
          <w:u w:val="single"/>
        </w:rPr>
        <w:t>TTACHMENT A</w:t>
      </w:r>
    </w:p>
    <w:p w:rsidR="00114227" w:rsidRPr="009C7A63" w:rsidRDefault="00114227" w:rsidP="00114227">
      <w:pPr>
        <w:ind w:right="91"/>
        <w:rPr>
          <w:u w:val="single"/>
        </w:rPr>
      </w:pPr>
      <w:r w:rsidRPr="009C7A63">
        <w:rPr>
          <w:b/>
          <w:u w:val="single"/>
        </w:rPr>
        <w:t xml:space="preserve">Details of the </w:t>
      </w:r>
      <w:r>
        <w:rPr>
          <w:b/>
          <w:i/>
          <w:u w:val="single"/>
        </w:rPr>
        <w:t>Crimes Amendment (X-ray) Regulation 2013</w:t>
      </w:r>
    </w:p>
    <w:p w:rsidR="00114227" w:rsidRDefault="00114227" w:rsidP="00114227">
      <w:pPr>
        <w:spacing w:before="0"/>
        <w:ind w:right="91"/>
      </w:pPr>
    </w:p>
    <w:p w:rsidR="00114227" w:rsidRDefault="00114227" w:rsidP="00114227">
      <w:pPr>
        <w:spacing w:before="0"/>
        <w:ind w:right="91"/>
      </w:pPr>
      <w:r>
        <w:t>Regulation 6C of the Crimes Regulations prescribes wrist X-rays as a procedure for determining age under Division 4A of the Crimes Act.  In the past, the AFP have arranged for wrist X-rays to be taken in order to have an expert analysis of those X</w:t>
      </w:r>
      <w:r>
        <w:noBreakHyphen/>
        <w:t>rays put before the court as evidence in an age determination. Removing wrist X</w:t>
      </w:r>
      <w:r>
        <w:noBreakHyphen/>
        <w:t>rays as a prescribed procedure will not change current age determination processes, but will respond to criticisms about the use of wrist X-rays.  The removal of wrist X</w:t>
      </w:r>
      <w:r>
        <w:noBreakHyphen/>
        <w:t>rays is supported from the Office of the Chief Scientist that there is not sufficient scientific data to support the use of wrist X rays to determine whether a person is a minor.</w:t>
      </w:r>
    </w:p>
    <w:p w:rsidR="00114227" w:rsidRDefault="00114227" w:rsidP="00114227">
      <w:pPr>
        <w:spacing w:before="0"/>
        <w:ind w:right="91"/>
      </w:pPr>
    </w:p>
    <w:p w:rsidR="00114227" w:rsidRDefault="00114227" w:rsidP="00114227">
      <w:pPr>
        <w:spacing w:before="0"/>
        <w:ind w:right="91"/>
      </w:pPr>
      <w:r>
        <w:t>The purpose of this Regulation is to amend regulation 6C to remove wrist X-rays to accord with current practice in procedures for determining whether people smuggling crew are minors.  This accords with current practice, and ensures that age determination procedures provide the best evidence for a court to determine the age of people smuggling crew who claim to be minors.</w:t>
      </w:r>
    </w:p>
    <w:p w:rsidR="00114227" w:rsidRDefault="00114227" w:rsidP="00114227">
      <w:pPr>
        <w:spacing w:before="0"/>
        <w:ind w:right="91"/>
        <w:rPr>
          <w:u w:val="single"/>
        </w:rPr>
      </w:pPr>
    </w:p>
    <w:p w:rsidR="00114227" w:rsidRDefault="00114227" w:rsidP="00114227">
      <w:pPr>
        <w:spacing w:before="0"/>
        <w:ind w:right="91"/>
      </w:pPr>
      <w:r>
        <w:rPr>
          <w:u w:val="single"/>
        </w:rPr>
        <w:t>Section 1 – Name of regulation</w:t>
      </w:r>
    </w:p>
    <w:p w:rsidR="00114227" w:rsidRDefault="00114227" w:rsidP="00114227">
      <w:pPr>
        <w:spacing w:before="0"/>
        <w:ind w:right="91"/>
      </w:pPr>
    </w:p>
    <w:p w:rsidR="00114227" w:rsidRDefault="00114227" w:rsidP="00114227">
      <w:pPr>
        <w:spacing w:before="0"/>
        <w:ind w:right="91"/>
      </w:pPr>
      <w:r>
        <w:t>This section provides that the title of the regulation is the </w:t>
      </w:r>
      <w:r>
        <w:rPr>
          <w:i/>
        </w:rPr>
        <w:t>Crimes Amendment (X-ray) Regulation 2013.</w:t>
      </w:r>
    </w:p>
    <w:p w:rsidR="00114227" w:rsidRDefault="00114227" w:rsidP="00114227">
      <w:pPr>
        <w:spacing w:before="0"/>
        <w:ind w:right="91"/>
      </w:pPr>
    </w:p>
    <w:p w:rsidR="00114227" w:rsidRPr="00AE63D2" w:rsidRDefault="00114227" w:rsidP="00114227">
      <w:pPr>
        <w:spacing w:before="0"/>
        <w:ind w:right="91"/>
        <w:rPr>
          <w:u w:val="single"/>
        </w:rPr>
      </w:pPr>
      <w:r>
        <w:rPr>
          <w:u w:val="single"/>
        </w:rPr>
        <w:t xml:space="preserve">Section </w:t>
      </w:r>
      <w:r w:rsidRPr="00AE63D2">
        <w:rPr>
          <w:u w:val="single"/>
        </w:rPr>
        <w:t>2 – Commencement</w:t>
      </w:r>
    </w:p>
    <w:p w:rsidR="00114227" w:rsidRDefault="00114227" w:rsidP="00114227">
      <w:pPr>
        <w:spacing w:before="0"/>
        <w:ind w:right="91"/>
      </w:pPr>
    </w:p>
    <w:p w:rsidR="00114227" w:rsidRDefault="00114227" w:rsidP="00114227">
      <w:pPr>
        <w:spacing w:before="0"/>
        <w:ind w:right="91"/>
      </w:pPr>
      <w:r>
        <w:t>This section provides that the regulation commences the day after the Regulation is registered.</w:t>
      </w:r>
    </w:p>
    <w:p w:rsidR="00114227" w:rsidRDefault="00114227" w:rsidP="00114227">
      <w:pPr>
        <w:spacing w:before="0"/>
        <w:ind w:right="91"/>
      </w:pPr>
    </w:p>
    <w:p w:rsidR="00114227" w:rsidRPr="00114227" w:rsidRDefault="00114227" w:rsidP="00114227">
      <w:pPr>
        <w:spacing w:before="0"/>
        <w:ind w:right="91"/>
        <w:rPr>
          <w:u w:val="single"/>
        </w:rPr>
      </w:pPr>
      <w:bookmarkStart w:id="2" w:name="_GoBack"/>
      <w:r w:rsidRPr="00114227">
        <w:rPr>
          <w:u w:val="single"/>
        </w:rPr>
        <w:t>Section 3 – Authority</w:t>
      </w:r>
    </w:p>
    <w:p w:rsidR="00114227" w:rsidRPr="00114227" w:rsidRDefault="00114227" w:rsidP="00114227">
      <w:pPr>
        <w:spacing w:before="0"/>
        <w:ind w:right="91"/>
        <w:rPr>
          <w:u w:val="single"/>
        </w:rPr>
      </w:pPr>
    </w:p>
    <w:p w:rsidR="00114227" w:rsidRPr="00114227" w:rsidRDefault="0073449C" w:rsidP="00114227">
      <w:pPr>
        <w:spacing w:before="0"/>
        <w:ind w:right="91"/>
      </w:pPr>
      <w:r>
        <w:t>This section provides that t</w:t>
      </w:r>
      <w:r w:rsidR="00D56CFA">
        <w:t xml:space="preserve">his regulation is made under the </w:t>
      </w:r>
      <w:r w:rsidR="00D56CFA">
        <w:rPr>
          <w:i/>
        </w:rPr>
        <w:t>Crimes Act 1914</w:t>
      </w:r>
      <w:r w:rsidR="00114227" w:rsidRPr="00114227">
        <w:t>.</w:t>
      </w:r>
    </w:p>
    <w:bookmarkEnd w:id="2"/>
    <w:p w:rsidR="00114227" w:rsidRPr="00114227" w:rsidRDefault="00114227" w:rsidP="00114227">
      <w:pPr>
        <w:spacing w:before="0"/>
        <w:ind w:right="91"/>
      </w:pPr>
    </w:p>
    <w:p w:rsidR="00114227" w:rsidRPr="00114227" w:rsidRDefault="00114227" w:rsidP="00114227">
      <w:pPr>
        <w:spacing w:before="0"/>
        <w:ind w:right="91"/>
        <w:rPr>
          <w:u w:val="single"/>
        </w:rPr>
      </w:pPr>
      <w:r w:rsidRPr="00114227">
        <w:rPr>
          <w:u w:val="single"/>
        </w:rPr>
        <w:t>Section 4 – Schedule(s)</w:t>
      </w:r>
    </w:p>
    <w:p w:rsidR="00114227" w:rsidRPr="00114227" w:rsidRDefault="00114227" w:rsidP="00114227">
      <w:pPr>
        <w:spacing w:before="0"/>
        <w:ind w:right="91"/>
      </w:pPr>
      <w:r w:rsidRPr="00114227">
        <w:tab/>
      </w:r>
      <w:r w:rsidRPr="00114227">
        <w:tab/>
      </w:r>
    </w:p>
    <w:p w:rsidR="00114227" w:rsidRPr="00114227" w:rsidRDefault="00114227" w:rsidP="00114227">
      <w:pPr>
        <w:spacing w:before="0"/>
        <w:ind w:right="91"/>
      </w:pPr>
      <w:r w:rsidRPr="00114227">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114227" w:rsidRDefault="00114227" w:rsidP="00114227">
      <w:pPr>
        <w:spacing w:before="0"/>
        <w:ind w:right="91"/>
      </w:pPr>
    </w:p>
    <w:p w:rsidR="00114227" w:rsidRPr="006A740F" w:rsidRDefault="00114227" w:rsidP="00114227">
      <w:pPr>
        <w:spacing w:before="0"/>
        <w:ind w:right="91"/>
        <w:rPr>
          <w:u w:val="single"/>
        </w:rPr>
      </w:pPr>
      <w:r w:rsidRPr="006A740F">
        <w:rPr>
          <w:u w:val="single"/>
        </w:rPr>
        <w:t>Schedule 1 – Amendment</w:t>
      </w:r>
    </w:p>
    <w:p w:rsidR="00114227" w:rsidRDefault="00114227" w:rsidP="00114227">
      <w:pPr>
        <w:spacing w:before="0"/>
        <w:ind w:right="91"/>
      </w:pPr>
    </w:p>
    <w:p w:rsidR="00114227" w:rsidRDefault="00114227" w:rsidP="00114227">
      <w:pPr>
        <w:spacing w:before="0"/>
        <w:ind w:right="91"/>
      </w:pPr>
      <w:r>
        <w:rPr>
          <w:b/>
        </w:rPr>
        <w:t>Item [1] – Regulation 6C</w:t>
      </w:r>
    </w:p>
    <w:p w:rsidR="00114227" w:rsidRPr="00965D2F" w:rsidRDefault="00114227" w:rsidP="00114227">
      <w:pPr>
        <w:ind w:right="91"/>
      </w:pPr>
      <w:r>
        <w:t>Repeal the regulation.</w:t>
      </w:r>
    </w:p>
    <w:p w:rsidR="00114227" w:rsidRPr="007F0042" w:rsidRDefault="00114227" w:rsidP="00114227"/>
    <w:p w:rsidR="004B5D69" w:rsidRPr="00114227" w:rsidRDefault="004B5D69" w:rsidP="00114227"/>
    <w:sectPr w:rsidR="004B5D69" w:rsidRPr="00114227" w:rsidSect="00B37984">
      <w:headerReference w:type="default" r:id="rId10"/>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17" w:rsidRDefault="00C97C17" w:rsidP="0028549E">
      <w:r>
        <w:separator/>
      </w:r>
    </w:p>
  </w:endnote>
  <w:endnote w:type="continuationSeparator" w:id="0">
    <w:p w:rsidR="00C97C17" w:rsidRDefault="00C97C17" w:rsidP="0028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17" w:rsidRDefault="00C97C17" w:rsidP="0028549E">
      <w:r>
        <w:separator/>
      </w:r>
    </w:p>
  </w:footnote>
  <w:footnote w:type="continuationSeparator" w:id="0">
    <w:p w:rsidR="00C97C17" w:rsidRDefault="00C97C17" w:rsidP="0028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27" w:rsidRDefault="00114227" w:rsidP="00735D22">
    <w:pPr>
      <w:pStyle w:val="Header"/>
      <w:jc w:val="center"/>
    </w:pPr>
    <w:r>
      <w:t xml:space="preserve">- </w:t>
    </w:r>
    <w:r>
      <w:fldChar w:fldCharType="begin"/>
    </w:r>
    <w:r>
      <w:instrText xml:space="preserve"> PAGE   \* MERGEFORMAT </w:instrText>
    </w:r>
    <w:r>
      <w:fldChar w:fldCharType="separate"/>
    </w:r>
    <w:r w:rsidR="0073449C">
      <w:rPr>
        <w:noProof/>
      </w:rP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37" w:rsidRDefault="008A6B37" w:rsidP="00735D22">
    <w:pPr>
      <w:pStyle w:val="Header"/>
      <w:jc w:val="center"/>
    </w:pPr>
    <w:r>
      <w:t xml:space="preserve">- </w:t>
    </w:r>
    <w:r>
      <w:fldChar w:fldCharType="begin"/>
    </w:r>
    <w:r>
      <w:instrText xml:space="preserve"> PAGE   \* MERGEFORMAT </w:instrText>
    </w:r>
    <w:r>
      <w:fldChar w:fldCharType="separate"/>
    </w:r>
    <w:r w:rsidR="0073449C">
      <w:rPr>
        <w:noProof/>
      </w:rP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423D"/>
    <w:multiLevelType w:val="hybridMultilevel"/>
    <w:tmpl w:val="37E1BE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2E6A73"/>
    <w:multiLevelType w:val="hybridMultilevel"/>
    <w:tmpl w:val="98A0AE1E"/>
    <w:lvl w:ilvl="0" w:tplc="067AEB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C84AFD"/>
    <w:multiLevelType w:val="hybridMultilevel"/>
    <w:tmpl w:val="88408142"/>
    <w:lvl w:ilvl="0" w:tplc="BBC40866">
      <w:start w:val="91"/>
      <w:numFmt w:val="bullet"/>
      <w:lvlText w:val="-"/>
      <w:lvlJc w:val="left"/>
      <w:pPr>
        <w:tabs>
          <w:tab w:val="num" w:pos="720"/>
        </w:tabs>
        <w:ind w:left="720" w:hanging="360"/>
      </w:pPr>
      <w:rPr>
        <w:rFonts w:ascii="Times" w:eastAsia="Times New Roman" w:hAnsi="Times" w:cs="Time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2D70D84"/>
    <w:multiLevelType w:val="hybridMultilevel"/>
    <w:tmpl w:val="98A0AE1E"/>
    <w:lvl w:ilvl="0" w:tplc="067AEB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7B5458"/>
    <w:multiLevelType w:val="singleLevel"/>
    <w:tmpl w:val="3732C6CA"/>
    <w:lvl w:ilvl="0">
      <w:start w:val="1"/>
      <w:numFmt w:val="bullet"/>
      <w:pStyle w:val="dotpoint"/>
      <w:lvlText w:val=""/>
      <w:lvlJc w:val="left"/>
      <w:pPr>
        <w:tabs>
          <w:tab w:val="num" w:pos="720"/>
        </w:tabs>
        <w:ind w:left="720" w:hanging="720"/>
      </w:pPr>
      <w:rPr>
        <w:rFonts w:ascii="Symbol" w:hAnsi="Symbol" w:hint="default"/>
        <w:sz w:val="20"/>
      </w:rPr>
    </w:lvl>
  </w:abstractNum>
  <w:abstractNum w:abstractNumId="5">
    <w:nsid w:val="3DF928EA"/>
    <w:multiLevelType w:val="hybridMultilevel"/>
    <w:tmpl w:val="85C8F408"/>
    <w:lvl w:ilvl="0" w:tplc="0C090001">
      <w:start w:val="1"/>
      <w:numFmt w:val="bullet"/>
      <w:lvlText w:val=""/>
      <w:lvlJc w:val="left"/>
      <w:pPr>
        <w:ind w:left="927" w:hanging="360"/>
      </w:pPr>
      <w:rPr>
        <w:rFonts w:ascii="Symbol" w:hAnsi="Symbol" w:hint="default"/>
        <w:i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47D03C89"/>
    <w:multiLevelType w:val="singleLevel"/>
    <w:tmpl w:val="8D1631A0"/>
    <w:lvl w:ilvl="0">
      <w:start w:val="1"/>
      <w:numFmt w:val="bullet"/>
      <w:pStyle w:val="Bullet1"/>
      <w:lvlText w:val=""/>
      <w:lvlJc w:val="left"/>
      <w:pPr>
        <w:tabs>
          <w:tab w:val="num" w:pos="425"/>
        </w:tabs>
        <w:ind w:left="425" w:hanging="425"/>
      </w:pPr>
      <w:rPr>
        <w:rFonts w:ascii="Symbol" w:hAnsi="Symbol" w:hint="default"/>
        <w:color w:val="auto"/>
      </w:rPr>
    </w:lvl>
  </w:abstractNum>
  <w:abstractNum w:abstractNumId="7">
    <w:nsid w:val="4B25139C"/>
    <w:multiLevelType w:val="hybridMultilevel"/>
    <w:tmpl w:val="4D005524"/>
    <w:lvl w:ilvl="0" w:tplc="A4ACF6AA">
      <w:start w:val="2"/>
      <w:numFmt w:val="decimal"/>
      <w:lvlText w:val="%1."/>
      <w:lvlJc w:val="left"/>
      <w:pPr>
        <w:tabs>
          <w:tab w:val="num" w:pos="567"/>
        </w:tabs>
        <w:ind w:left="0" w:firstLine="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9">
    <w:nsid w:val="505170E4"/>
    <w:multiLevelType w:val="hybridMultilevel"/>
    <w:tmpl w:val="CFC689C6"/>
    <w:lvl w:ilvl="0" w:tplc="E50A53A8">
      <w:start w:val="2"/>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38F4F44"/>
    <w:multiLevelType w:val="hybridMultilevel"/>
    <w:tmpl w:val="7288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0133D5"/>
    <w:multiLevelType w:val="hybridMultilevel"/>
    <w:tmpl w:val="5DAE4E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nsid w:val="6FC76DAD"/>
    <w:multiLevelType w:val="multilevel"/>
    <w:tmpl w:val="88408142"/>
    <w:lvl w:ilvl="0">
      <w:start w:val="91"/>
      <w:numFmt w:val="bullet"/>
      <w:lvlText w:val="-"/>
      <w:lvlJc w:val="left"/>
      <w:pPr>
        <w:tabs>
          <w:tab w:val="num" w:pos="720"/>
        </w:tabs>
        <w:ind w:left="720" w:hanging="360"/>
      </w:pPr>
      <w:rPr>
        <w:rFonts w:ascii="Times" w:eastAsia="Times New Roman"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7A555B0"/>
    <w:multiLevelType w:val="hybridMultilevel"/>
    <w:tmpl w:val="2530FA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A51358C"/>
    <w:multiLevelType w:val="hybridMultilevel"/>
    <w:tmpl w:val="98A0AE1E"/>
    <w:lvl w:ilvl="0" w:tplc="067AEB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8"/>
    <w:lvlOverride w:ilvl="0">
      <w:startOverride w:val="1"/>
    </w:lvlOverride>
  </w:num>
  <w:num w:numId="5">
    <w:abstractNumId w:val="2"/>
  </w:num>
  <w:num w:numId="6">
    <w:abstractNumId w:val="14"/>
  </w:num>
  <w:num w:numId="7">
    <w:abstractNumId w:val="7"/>
  </w:num>
  <w:num w:numId="8">
    <w:abstractNumId w:val="13"/>
  </w:num>
  <w:num w:numId="9">
    <w:abstractNumId w:val="11"/>
  </w:num>
  <w:num w:numId="10">
    <w:abstractNumId w:val="0"/>
  </w:num>
  <w:num w:numId="11">
    <w:abstractNumId w:val="3"/>
  </w:num>
  <w:num w:numId="12">
    <w:abstractNumId w:val="1"/>
  </w:num>
  <w:num w:numId="13">
    <w:abstractNumId w:val="15"/>
  </w:num>
  <w:num w:numId="14">
    <w:abstractNumId w:val="9"/>
  </w:num>
  <w:num w:numId="15">
    <w:abstractNumId w:val="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82E"/>
    <w:rsid w:val="00001207"/>
    <w:rsid w:val="00002901"/>
    <w:rsid w:val="00005013"/>
    <w:rsid w:val="00013E77"/>
    <w:rsid w:val="00014661"/>
    <w:rsid w:val="00022436"/>
    <w:rsid w:val="00030659"/>
    <w:rsid w:val="000400BA"/>
    <w:rsid w:val="000466CE"/>
    <w:rsid w:val="00056AFA"/>
    <w:rsid w:val="00061BE5"/>
    <w:rsid w:val="00061DF8"/>
    <w:rsid w:val="00061E39"/>
    <w:rsid w:val="00063A24"/>
    <w:rsid w:val="00065CCF"/>
    <w:rsid w:val="00076D1B"/>
    <w:rsid w:val="00081C6C"/>
    <w:rsid w:val="00081DB2"/>
    <w:rsid w:val="00086C5A"/>
    <w:rsid w:val="000966F0"/>
    <w:rsid w:val="000A016E"/>
    <w:rsid w:val="000B2436"/>
    <w:rsid w:val="000B4979"/>
    <w:rsid w:val="000B4CA0"/>
    <w:rsid w:val="000C0C6F"/>
    <w:rsid w:val="000C1182"/>
    <w:rsid w:val="000C3B11"/>
    <w:rsid w:val="000C5A87"/>
    <w:rsid w:val="000D44BF"/>
    <w:rsid w:val="000D4F3C"/>
    <w:rsid w:val="000D4F51"/>
    <w:rsid w:val="000E1C81"/>
    <w:rsid w:val="000E4B64"/>
    <w:rsid w:val="000F0CE0"/>
    <w:rsid w:val="000F7F1E"/>
    <w:rsid w:val="001010B2"/>
    <w:rsid w:val="001068E7"/>
    <w:rsid w:val="00107699"/>
    <w:rsid w:val="001102B5"/>
    <w:rsid w:val="0011052D"/>
    <w:rsid w:val="0011110A"/>
    <w:rsid w:val="00113F66"/>
    <w:rsid w:val="00114227"/>
    <w:rsid w:val="00117B0A"/>
    <w:rsid w:val="00124564"/>
    <w:rsid w:val="001272A0"/>
    <w:rsid w:val="0013064E"/>
    <w:rsid w:val="00137EED"/>
    <w:rsid w:val="001443A7"/>
    <w:rsid w:val="0014516B"/>
    <w:rsid w:val="0016078E"/>
    <w:rsid w:val="00160CF0"/>
    <w:rsid w:val="0016252B"/>
    <w:rsid w:val="00163421"/>
    <w:rsid w:val="00164524"/>
    <w:rsid w:val="00180187"/>
    <w:rsid w:val="00180D84"/>
    <w:rsid w:val="00184900"/>
    <w:rsid w:val="00184BEE"/>
    <w:rsid w:val="001911EF"/>
    <w:rsid w:val="00193562"/>
    <w:rsid w:val="001A40C5"/>
    <w:rsid w:val="001A42EB"/>
    <w:rsid w:val="001A60FC"/>
    <w:rsid w:val="001B1076"/>
    <w:rsid w:val="001B780B"/>
    <w:rsid w:val="001B787B"/>
    <w:rsid w:val="001B7A90"/>
    <w:rsid w:val="001C6993"/>
    <w:rsid w:val="001C6FF6"/>
    <w:rsid w:val="001D1AA4"/>
    <w:rsid w:val="001D6D3C"/>
    <w:rsid w:val="001E1E8B"/>
    <w:rsid w:val="001E38B2"/>
    <w:rsid w:val="001F5E6D"/>
    <w:rsid w:val="001F6BF1"/>
    <w:rsid w:val="001F6FE6"/>
    <w:rsid w:val="00202244"/>
    <w:rsid w:val="00204288"/>
    <w:rsid w:val="0021662F"/>
    <w:rsid w:val="00222027"/>
    <w:rsid w:val="0023099D"/>
    <w:rsid w:val="0023285E"/>
    <w:rsid w:val="002362A5"/>
    <w:rsid w:val="0023684A"/>
    <w:rsid w:val="002401B9"/>
    <w:rsid w:val="0024287E"/>
    <w:rsid w:val="002457D0"/>
    <w:rsid w:val="002532E9"/>
    <w:rsid w:val="0025684B"/>
    <w:rsid w:val="00256D44"/>
    <w:rsid w:val="00262CDD"/>
    <w:rsid w:val="002713BC"/>
    <w:rsid w:val="00273346"/>
    <w:rsid w:val="00274379"/>
    <w:rsid w:val="00275D76"/>
    <w:rsid w:val="00277AE5"/>
    <w:rsid w:val="0028549E"/>
    <w:rsid w:val="002938C0"/>
    <w:rsid w:val="002A30F6"/>
    <w:rsid w:val="002A6927"/>
    <w:rsid w:val="002B1820"/>
    <w:rsid w:val="002B1F92"/>
    <w:rsid w:val="002C04F1"/>
    <w:rsid w:val="002C0E2E"/>
    <w:rsid w:val="002C2B0E"/>
    <w:rsid w:val="002C3CE8"/>
    <w:rsid w:val="002C47D0"/>
    <w:rsid w:val="002C5215"/>
    <w:rsid w:val="002D108F"/>
    <w:rsid w:val="002D2578"/>
    <w:rsid w:val="002D5DE6"/>
    <w:rsid w:val="002E21D8"/>
    <w:rsid w:val="002E27F3"/>
    <w:rsid w:val="002F7C7D"/>
    <w:rsid w:val="00307C91"/>
    <w:rsid w:val="0031622D"/>
    <w:rsid w:val="003163BF"/>
    <w:rsid w:val="0032004D"/>
    <w:rsid w:val="00332857"/>
    <w:rsid w:val="003445E8"/>
    <w:rsid w:val="00344748"/>
    <w:rsid w:val="00346A76"/>
    <w:rsid w:val="00351937"/>
    <w:rsid w:val="00352482"/>
    <w:rsid w:val="00357177"/>
    <w:rsid w:val="00364E3F"/>
    <w:rsid w:val="0037007B"/>
    <w:rsid w:val="0037138C"/>
    <w:rsid w:val="00376A66"/>
    <w:rsid w:val="00377F72"/>
    <w:rsid w:val="003827E3"/>
    <w:rsid w:val="00396C4B"/>
    <w:rsid w:val="003A0C62"/>
    <w:rsid w:val="003A33D6"/>
    <w:rsid w:val="003A3ED4"/>
    <w:rsid w:val="003A53AE"/>
    <w:rsid w:val="003B681C"/>
    <w:rsid w:val="003B6A59"/>
    <w:rsid w:val="003C28BF"/>
    <w:rsid w:val="003C342A"/>
    <w:rsid w:val="003C450E"/>
    <w:rsid w:val="003C625D"/>
    <w:rsid w:val="003C6777"/>
    <w:rsid w:val="003D430D"/>
    <w:rsid w:val="003D6206"/>
    <w:rsid w:val="003D7A58"/>
    <w:rsid w:val="003D7CBD"/>
    <w:rsid w:val="003D7F70"/>
    <w:rsid w:val="003E1368"/>
    <w:rsid w:val="003E32C5"/>
    <w:rsid w:val="003F3EE7"/>
    <w:rsid w:val="003F5C66"/>
    <w:rsid w:val="00400CF2"/>
    <w:rsid w:val="004017BA"/>
    <w:rsid w:val="00405F0E"/>
    <w:rsid w:val="00407F4E"/>
    <w:rsid w:val="0041056A"/>
    <w:rsid w:val="00412647"/>
    <w:rsid w:val="00417CE1"/>
    <w:rsid w:val="00421B1B"/>
    <w:rsid w:val="00426AF4"/>
    <w:rsid w:val="00430B0D"/>
    <w:rsid w:val="00432885"/>
    <w:rsid w:val="0043341A"/>
    <w:rsid w:val="00437EF2"/>
    <w:rsid w:val="0044033E"/>
    <w:rsid w:val="00441DD0"/>
    <w:rsid w:val="0044528D"/>
    <w:rsid w:val="00451203"/>
    <w:rsid w:val="004533B7"/>
    <w:rsid w:val="004541B4"/>
    <w:rsid w:val="004543AF"/>
    <w:rsid w:val="004610A4"/>
    <w:rsid w:val="00462093"/>
    <w:rsid w:val="0046714B"/>
    <w:rsid w:val="0047047F"/>
    <w:rsid w:val="0047059C"/>
    <w:rsid w:val="00470C13"/>
    <w:rsid w:val="004733A5"/>
    <w:rsid w:val="0048611E"/>
    <w:rsid w:val="004923B8"/>
    <w:rsid w:val="004951BF"/>
    <w:rsid w:val="00497D90"/>
    <w:rsid w:val="004A1AD5"/>
    <w:rsid w:val="004A40EB"/>
    <w:rsid w:val="004A4A34"/>
    <w:rsid w:val="004A680F"/>
    <w:rsid w:val="004A7CBB"/>
    <w:rsid w:val="004B18EA"/>
    <w:rsid w:val="004B5D69"/>
    <w:rsid w:val="004D2AD3"/>
    <w:rsid w:val="004D5870"/>
    <w:rsid w:val="004D58E5"/>
    <w:rsid w:val="004E2E58"/>
    <w:rsid w:val="004F2144"/>
    <w:rsid w:val="004F4B87"/>
    <w:rsid w:val="004F786E"/>
    <w:rsid w:val="00502BD7"/>
    <w:rsid w:val="005058EC"/>
    <w:rsid w:val="00505C7F"/>
    <w:rsid w:val="005100C0"/>
    <w:rsid w:val="005129BB"/>
    <w:rsid w:val="00513B86"/>
    <w:rsid w:val="005162A7"/>
    <w:rsid w:val="00521A31"/>
    <w:rsid w:val="00523506"/>
    <w:rsid w:val="00523C0B"/>
    <w:rsid w:val="0053635C"/>
    <w:rsid w:val="00541915"/>
    <w:rsid w:val="00541EFB"/>
    <w:rsid w:val="00542B6D"/>
    <w:rsid w:val="00546072"/>
    <w:rsid w:val="00546F16"/>
    <w:rsid w:val="00550082"/>
    <w:rsid w:val="005500A1"/>
    <w:rsid w:val="00550686"/>
    <w:rsid w:val="00553C98"/>
    <w:rsid w:val="005576B5"/>
    <w:rsid w:val="00562FFC"/>
    <w:rsid w:val="0056588D"/>
    <w:rsid w:val="0057170D"/>
    <w:rsid w:val="005720D6"/>
    <w:rsid w:val="00572A80"/>
    <w:rsid w:val="00577B1B"/>
    <w:rsid w:val="00580C24"/>
    <w:rsid w:val="00585C44"/>
    <w:rsid w:val="00593031"/>
    <w:rsid w:val="005972CF"/>
    <w:rsid w:val="005A2B38"/>
    <w:rsid w:val="005A4D44"/>
    <w:rsid w:val="005B2378"/>
    <w:rsid w:val="005B47D2"/>
    <w:rsid w:val="005B586B"/>
    <w:rsid w:val="005B5AC8"/>
    <w:rsid w:val="005B5D09"/>
    <w:rsid w:val="005B62B6"/>
    <w:rsid w:val="005B63CB"/>
    <w:rsid w:val="005B75B6"/>
    <w:rsid w:val="005C19DA"/>
    <w:rsid w:val="005C4020"/>
    <w:rsid w:val="005C526A"/>
    <w:rsid w:val="005D010C"/>
    <w:rsid w:val="005D246C"/>
    <w:rsid w:val="005D6CB2"/>
    <w:rsid w:val="005D77B7"/>
    <w:rsid w:val="005E076F"/>
    <w:rsid w:val="005E2764"/>
    <w:rsid w:val="005E5DFB"/>
    <w:rsid w:val="005F58A8"/>
    <w:rsid w:val="00601AC7"/>
    <w:rsid w:val="006023BE"/>
    <w:rsid w:val="00606451"/>
    <w:rsid w:val="006145CD"/>
    <w:rsid w:val="0061670F"/>
    <w:rsid w:val="00617413"/>
    <w:rsid w:val="00621CB1"/>
    <w:rsid w:val="00621D05"/>
    <w:rsid w:val="00625739"/>
    <w:rsid w:val="006357F2"/>
    <w:rsid w:val="00636DD8"/>
    <w:rsid w:val="00637B33"/>
    <w:rsid w:val="0064364E"/>
    <w:rsid w:val="00645494"/>
    <w:rsid w:val="00645769"/>
    <w:rsid w:val="006468C1"/>
    <w:rsid w:val="006543F1"/>
    <w:rsid w:val="0065679B"/>
    <w:rsid w:val="00660A1D"/>
    <w:rsid w:val="00664764"/>
    <w:rsid w:val="00664FF3"/>
    <w:rsid w:val="00665A78"/>
    <w:rsid w:val="00670895"/>
    <w:rsid w:val="00671F1D"/>
    <w:rsid w:val="0067659F"/>
    <w:rsid w:val="006771CE"/>
    <w:rsid w:val="0068625C"/>
    <w:rsid w:val="0068697B"/>
    <w:rsid w:val="00686A5A"/>
    <w:rsid w:val="00687961"/>
    <w:rsid w:val="00691AD7"/>
    <w:rsid w:val="006A3C73"/>
    <w:rsid w:val="006B09E6"/>
    <w:rsid w:val="006B1A3E"/>
    <w:rsid w:val="006B3768"/>
    <w:rsid w:val="006B7027"/>
    <w:rsid w:val="006B7D3B"/>
    <w:rsid w:val="006C0B13"/>
    <w:rsid w:val="006C3A32"/>
    <w:rsid w:val="006C4526"/>
    <w:rsid w:val="006C4F43"/>
    <w:rsid w:val="006D257E"/>
    <w:rsid w:val="006D6E63"/>
    <w:rsid w:val="006E5F50"/>
    <w:rsid w:val="006F0662"/>
    <w:rsid w:val="0070051B"/>
    <w:rsid w:val="00700D47"/>
    <w:rsid w:val="0070456B"/>
    <w:rsid w:val="007116DE"/>
    <w:rsid w:val="00712F10"/>
    <w:rsid w:val="007131B0"/>
    <w:rsid w:val="00713B5D"/>
    <w:rsid w:val="007156C8"/>
    <w:rsid w:val="00717387"/>
    <w:rsid w:val="0073449C"/>
    <w:rsid w:val="00735D22"/>
    <w:rsid w:val="00736C12"/>
    <w:rsid w:val="00737F15"/>
    <w:rsid w:val="007439B7"/>
    <w:rsid w:val="00747FC1"/>
    <w:rsid w:val="007502ED"/>
    <w:rsid w:val="00754A13"/>
    <w:rsid w:val="00754E43"/>
    <w:rsid w:val="007663AD"/>
    <w:rsid w:val="0077270C"/>
    <w:rsid w:val="00773061"/>
    <w:rsid w:val="0078656B"/>
    <w:rsid w:val="00792251"/>
    <w:rsid w:val="00793589"/>
    <w:rsid w:val="007961A7"/>
    <w:rsid w:val="007A376F"/>
    <w:rsid w:val="007A3D58"/>
    <w:rsid w:val="007B3427"/>
    <w:rsid w:val="007B3F80"/>
    <w:rsid w:val="007B4041"/>
    <w:rsid w:val="007C025C"/>
    <w:rsid w:val="007C13ED"/>
    <w:rsid w:val="007C1DE1"/>
    <w:rsid w:val="007C2742"/>
    <w:rsid w:val="007C79FE"/>
    <w:rsid w:val="007D6D1F"/>
    <w:rsid w:val="007E6FEB"/>
    <w:rsid w:val="007F0042"/>
    <w:rsid w:val="007F2CE1"/>
    <w:rsid w:val="007F705D"/>
    <w:rsid w:val="008008DF"/>
    <w:rsid w:val="008009CD"/>
    <w:rsid w:val="00803902"/>
    <w:rsid w:val="008041E6"/>
    <w:rsid w:val="00810755"/>
    <w:rsid w:val="00820A8C"/>
    <w:rsid w:val="00820D13"/>
    <w:rsid w:val="0082134A"/>
    <w:rsid w:val="008226C7"/>
    <w:rsid w:val="00823D56"/>
    <w:rsid w:val="00825BC2"/>
    <w:rsid w:val="008349AD"/>
    <w:rsid w:val="00834BB7"/>
    <w:rsid w:val="00835957"/>
    <w:rsid w:val="0084131E"/>
    <w:rsid w:val="00845376"/>
    <w:rsid w:val="00851AFF"/>
    <w:rsid w:val="00851BE1"/>
    <w:rsid w:val="008639C6"/>
    <w:rsid w:val="00863F08"/>
    <w:rsid w:val="008641E7"/>
    <w:rsid w:val="00867E2E"/>
    <w:rsid w:val="00876598"/>
    <w:rsid w:val="008839AF"/>
    <w:rsid w:val="0089208F"/>
    <w:rsid w:val="00894539"/>
    <w:rsid w:val="00896289"/>
    <w:rsid w:val="008A30A0"/>
    <w:rsid w:val="008A313A"/>
    <w:rsid w:val="008A6B37"/>
    <w:rsid w:val="008B588D"/>
    <w:rsid w:val="008B7362"/>
    <w:rsid w:val="008B781E"/>
    <w:rsid w:val="008C166C"/>
    <w:rsid w:val="008D16D2"/>
    <w:rsid w:val="008D1B50"/>
    <w:rsid w:val="008D2BD0"/>
    <w:rsid w:val="008D6886"/>
    <w:rsid w:val="008E1DFC"/>
    <w:rsid w:val="008E402F"/>
    <w:rsid w:val="008E60B5"/>
    <w:rsid w:val="008E7E6E"/>
    <w:rsid w:val="008F05DC"/>
    <w:rsid w:val="00900E47"/>
    <w:rsid w:val="0090360C"/>
    <w:rsid w:val="009054B2"/>
    <w:rsid w:val="009075AB"/>
    <w:rsid w:val="00911AA8"/>
    <w:rsid w:val="00917781"/>
    <w:rsid w:val="00924B70"/>
    <w:rsid w:val="00932488"/>
    <w:rsid w:val="00934456"/>
    <w:rsid w:val="00936711"/>
    <w:rsid w:val="00947010"/>
    <w:rsid w:val="00947398"/>
    <w:rsid w:val="00952A68"/>
    <w:rsid w:val="00954052"/>
    <w:rsid w:val="00957E12"/>
    <w:rsid w:val="0096090D"/>
    <w:rsid w:val="00965D2F"/>
    <w:rsid w:val="00967768"/>
    <w:rsid w:val="009732A7"/>
    <w:rsid w:val="00977BA1"/>
    <w:rsid w:val="00981A35"/>
    <w:rsid w:val="0098382E"/>
    <w:rsid w:val="00986256"/>
    <w:rsid w:val="00990617"/>
    <w:rsid w:val="009959C8"/>
    <w:rsid w:val="009A0123"/>
    <w:rsid w:val="009A0EA6"/>
    <w:rsid w:val="009A36BB"/>
    <w:rsid w:val="009B07EC"/>
    <w:rsid w:val="009B5ACE"/>
    <w:rsid w:val="009B7026"/>
    <w:rsid w:val="009C00AB"/>
    <w:rsid w:val="009C314F"/>
    <w:rsid w:val="009C34A9"/>
    <w:rsid w:val="009C45A9"/>
    <w:rsid w:val="009C61E4"/>
    <w:rsid w:val="009E519A"/>
    <w:rsid w:val="009E6209"/>
    <w:rsid w:val="009F4A74"/>
    <w:rsid w:val="009F50FE"/>
    <w:rsid w:val="009F6F97"/>
    <w:rsid w:val="00A06298"/>
    <w:rsid w:val="00A13984"/>
    <w:rsid w:val="00A16409"/>
    <w:rsid w:val="00A253FB"/>
    <w:rsid w:val="00A25972"/>
    <w:rsid w:val="00A27A8C"/>
    <w:rsid w:val="00A37C98"/>
    <w:rsid w:val="00A37F82"/>
    <w:rsid w:val="00A42ADB"/>
    <w:rsid w:val="00A448E8"/>
    <w:rsid w:val="00A53294"/>
    <w:rsid w:val="00A63854"/>
    <w:rsid w:val="00A661DC"/>
    <w:rsid w:val="00A7064A"/>
    <w:rsid w:val="00A7127B"/>
    <w:rsid w:val="00A75DFD"/>
    <w:rsid w:val="00A75FBE"/>
    <w:rsid w:val="00A763AA"/>
    <w:rsid w:val="00A863C4"/>
    <w:rsid w:val="00A87B6F"/>
    <w:rsid w:val="00A90ADE"/>
    <w:rsid w:val="00A91325"/>
    <w:rsid w:val="00A9186C"/>
    <w:rsid w:val="00AA1687"/>
    <w:rsid w:val="00AA5561"/>
    <w:rsid w:val="00AA6572"/>
    <w:rsid w:val="00AB1D4C"/>
    <w:rsid w:val="00AB3062"/>
    <w:rsid w:val="00AD0AE7"/>
    <w:rsid w:val="00AD2F13"/>
    <w:rsid w:val="00AD30AD"/>
    <w:rsid w:val="00AE0C46"/>
    <w:rsid w:val="00AE379F"/>
    <w:rsid w:val="00AE42F0"/>
    <w:rsid w:val="00AF66DB"/>
    <w:rsid w:val="00AF69C5"/>
    <w:rsid w:val="00B03613"/>
    <w:rsid w:val="00B042DB"/>
    <w:rsid w:val="00B07007"/>
    <w:rsid w:val="00B14E7E"/>
    <w:rsid w:val="00B222EB"/>
    <w:rsid w:val="00B37984"/>
    <w:rsid w:val="00B403B6"/>
    <w:rsid w:val="00B429B9"/>
    <w:rsid w:val="00B43769"/>
    <w:rsid w:val="00B551BB"/>
    <w:rsid w:val="00B56CAE"/>
    <w:rsid w:val="00B60642"/>
    <w:rsid w:val="00B616C8"/>
    <w:rsid w:val="00B66F4D"/>
    <w:rsid w:val="00B71359"/>
    <w:rsid w:val="00B76E61"/>
    <w:rsid w:val="00B850FE"/>
    <w:rsid w:val="00B8529D"/>
    <w:rsid w:val="00B8587A"/>
    <w:rsid w:val="00BA7A1E"/>
    <w:rsid w:val="00BB11A3"/>
    <w:rsid w:val="00BB25A8"/>
    <w:rsid w:val="00BB5F19"/>
    <w:rsid w:val="00BB6060"/>
    <w:rsid w:val="00BC0902"/>
    <w:rsid w:val="00BC0F0D"/>
    <w:rsid w:val="00BC37C9"/>
    <w:rsid w:val="00BC4C01"/>
    <w:rsid w:val="00BC5408"/>
    <w:rsid w:val="00BC7C8E"/>
    <w:rsid w:val="00BD4B54"/>
    <w:rsid w:val="00BD4ED3"/>
    <w:rsid w:val="00BD5BE1"/>
    <w:rsid w:val="00BE1E13"/>
    <w:rsid w:val="00BE30C3"/>
    <w:rsid w:val="00BF2662"/>
    <w:rsid w:val="00BF3D76"/>
    <w:rsid w:val="00BF6B7F"/>
    <w:rsid w:val="00BF7208"/>
    <w:rsid w:val="00C01EA4"/>
    <w:rsid w:val="00C05D2E"/>
    <w:rsid w:val="00C1117E"/>
    <w:rsid w:val="00C150E0"/>
    <w:rsid w:val="00C15F39"/>
    <w:rsid w:val="00C168A3"/>
    <w:rsid w:val="00C314A1"/>
    <w:rsid w:val="00C335B2"/>
    <w:rsid w:val="00C3382E"/>
    <w:rsid w:val="00C3585F"/>
    <w:rsid w:val="00C35D9C"/>
    <w:rsid w:val="00C407E9"/>
    <w:rsid w:val="00C431A2"/>
    <w:rsid w:val="00C473AA"/>
    <w:rsid w:val="00C47FDA"/>
    <w:rsid w:val="00C513AE"/>
    <w:rsid w:val="00C55E7E"/>
    <w:rsid w:val="00C6298C"/>
    <w:rsid w:val="00C64B1D"/>
    <w:rsid w:val="00C748D9"/>
    <w:rsid w:val="00C76684"/>
    <w:rsid w:val="00C82CB3"/>
    <w:rsid w:val="00C84FC3"/>
    <w:rsid w:val="00C86D13"/>
    <w:rsid w:val="00C87D19"/>
    <w:rsid w:val="00C93A5A"/>
    <w:rsid w:val="00C97C17"/>
    <w:rsid w:val="00CA1EC1"/>
    <w:rsid w:val="00CA48EC"/>
    <w:rsid w:val="00CB4EB2"/>
    <w:rsid w:val="00CB73A0"/>
    <w:rsid w:val="00CB7F62"/>
    <w:rsid w:val="00CC171F"/>
    <w:rsid w:val="00CC2129"/>
    <w:rsid w:val="00CD3510"/>
    <w:rsid w:val="00CD3AFE"/>
    <w:rsid w:val="00CF2F97"/>
    <w:rsid w:val="00CF4A43"/>
    <w:rsid w:val="00D00239"/>
    <w:rsid w:val="00D06A4E"/>
    <w:rsid w:val="00D107AC"/>
    <w:rsid w:val="00D10C70"/>
    <w:rsid w:val="00D127CA"/>
    <w:rsid w:val="00D13536"/>
    <w:rsid w:val="00D20204"/>
    <w:rsid w:val="00D20BF3"/>
    <w:rsid w:val="00D26380"/>
    <w:rsid w:val="00D30CFF"/>
    <w:rsid w:val="00D31233"/>
    <w:rsid w:val="00D324E6"/>
    <w:rsid w:val="00D32C24"/>
    <w:rsid w:val="00D32ED9"/>
    <w:rsid w:val="00D33B76"/>
    <w:rsid w:val="00D4098B"/>
    <w:rsid w:val="00D40E67"/>
    <w:rsid w:val="00D41B68"/>
    <w:rsid w:val="00D44C35"/>
    <w:rsid w:val="00D471FD"/>
    <w:rsid w:val="00D52CE8"/>
    <w:rsid w:val="00D53C3A"/>
    <w:rsid w:val="00D54195"/>
    <w:rsid w:val="00D56CFA"/>
    <w:rsid w:val="00D6310D"/>
    <w:rsid w:val="00D63AA2"/>
    <w:rsid w:val="00D6504F"/>
    <w:rsid w:val="00D7480E"/>
    <w:rsid w:val="00D75445"/>
    <w:rsid w:val="00D75783"/>
    <w:rsid w:val="00D807DD"/>
    <w:rsid w:val="00D817AC"/>
    <w:rsid w:val="00D81A91"/>
    <w:rsid w:val="00D837B5"/>
    <w:rsid w:val="00D936FD"/>
    <w:rsid w:val="00D96587"/>
    <w:rsid w:val="00DA09B0"/>
    <w:rsid w:val="00DA149E"/>
    <w:rsid w:val="00DA32DF"/>
    <w:rsid w:val="00DC1064"/>
    <w:rsid w:val="00DC741F"/>
    <w:rsid w:val="00DD0959"/>
    <w:rsid w:val="00DD1BC7"/>
    <w:rsid w:val="00DD51D8"/>
    <w:rsid w:val="00DD6ED8"/>
    <w:rsid w:val="00DE034D"/>
    <w:rsid w:val="00DE1041"/>
    <w:rsid w:val="00DE2F82"/>
    <w:rsid w:val="00DE3A39"/>
    <w:rsid w:val="00DE59AD"/>
    <w:rsid w:val="00DE6ACE"/>
    <w:rsid w:val="00DF0193"/>
    <w:rsid w:val="00DF01F1"/>
    <w:rsid w:val="00DF03DA"/>
    <w:rsid w:val="00DF762C"/>
    <w:rsid w:val="00E012FB"/>
    <w:rsid w:val="00E02411"/>
    <w:rsid w:val="00E03E4C"/>
    <w:rsid w:val="00E232FC"/>
    <w:rsid w:val="00E27747"/>
    <w:rsid w:val="00E27B05"/>
    <w:rsid w:val="00E30C58"/>
    <w:rsid w:val="00E35764"/>
    <w:rsid w:val="00E40280"/>
    <w:rsid w:val="00E4203D"/>
    <w:rsid w:val="00E42986"/>
    <w:rsid w:val="00E514A9"/>
    <w:rsid w:val="00E53966"/>
    <w:rsid w:val="00E5698F"/>
    <w:rsid w:val="00E6401E"/>
    <w:rsid w:val="00E72DCC"/>
    <w:rsid w:val="00E739F0"/>
    <w:rsid w:val="00E778DA"/>
    <w:rsid w:val="00E8149F"/>
    <w:rsid w:val="00E8278D"/>
    <w:rsid w:val="00E85DF7"/>
    <w:rsid w:val="00E877F5"/>
    <w:rsid w:val="00E90780"/>
    <w:rsid w:val="00EA2F53"/>
    <w:rsid w:val="00EA33B8"/>
    <w:rsid w:val="00EA3ACC"/>
    <w:rsid w:val="00EB58DB"/>
    <w:rsid w:val="00EB5CFC"/>
    <w:rsid w:val="00EB6C98"/>
    <w:rsid w:val="00EC1C61"/>
    <w:rsid w:val="00EC5032"/>
    <w:rsid w:val="00EC525F"/>
    <w:rsid w:val="00ED0E70"/>
    <w:rsid w:val="00ED4F4C"/>
    <w:rsid w:val="00EE067E"/>
    <w:rsid w:val="00EE13FD"/>
    <w:rsid w:val="00EE21AC"/>
    <w:rsid w:val="00EE4BA8"/>
    <w:rsid w:val="00EE4FEA"/>
    <w:rsid w:val="00EF07ED"/>
    <w:rsid w:val="00EF4596"/>
    <w:rsid w:val="00EF723E"/>
    <w:rsid w:val="00F00F85"/>
    <w:rsid w:val="00F013D7"/>
    <w:rsid w:val="00F06D6E"/>
    <w:rsid w:val="00F07ADD"/>
    <w:rsid w:val="00F1080A"/>
    <w:rsid w:val="00F10EB9"/>
    <w:rsid w:val="00F14F2A"/>
    <w:rsid w:val="00F151B5"/>
    <w:rsid w:val="00F16CE5"/>
    <w:rsid w:val="00F171F6"/>
    <w:rsid w:val="00F222BD"/>
    <w:rsid w:val="00F23AF9"/>
    <w:rsid w:val="00F24F11"/>
    <w:rsid w:val="00F252CE"/>
    <w:rsid w:val="00F2625E"/>
    <w:rsid w:val="00F26B76"/>
    <w:rsid w:val="00F272BE"/>
    <w:rsid w:val="00F33984"/>
    <w:rsid w:val="00F34A35"/>
    <w:rsid w:val="00F35B40"/>
    <w:rsid w:val="00F428AC"/>
    <w:rsid w:val="00F45CF8"/>
    <w:rsid w:val="00F46B06"/>
    <w:rsid w:val="00F50C24"/>
    <w:rsid w:val="00F54CAD"/>
    <w:rsid w:val="00F60E13"/>
    <w:rsid w:val="00F642F7"/>
    <w:rsid w:val="00F70C52"/>
    <w:rsid w:val="00F7122B"/>
    <w:rsid w:val="00F73B12"/>
    <w:rsid w:val="00F75157"/>
    <w:rsid w:val="00F75ADF"/>
    <w:rsid w:val="00F76D44"/>
    <w:rsid w:val="00F83E64"/>
    <w:rsid w:val="00F83F7D"/>
    <w:rsid w:val="00F8653C"/>
    <w:rsid w:val="00F86903"/>
    <w:rsid w:val="00F87B8A"/>
    <w:rsid w:val="00F92662"/>
    <w:rsid w:val="00F93A31"/>
    <w:rsid w:val="00F94CAD"/>
    <w:rsid w:val="00F96FFD"/>
    <w:rsid w:val="00F97EDC"/>
    <w:rsid w:val="00FA2738"/>
    <w:rsid w:val="00FA358D"/>
    <w:rsid w:val="00FA50C6"/>
    <w:rsid w:val="00FA6F29"/>
    <w:rsid w:val="00FA79D5"/>
    <w:rsid w:val="00FB029B"/>
    <w:rsid w:val="00FB076B"/>
    <w:rsid w:val="00FB4486"/>
    <w:rsid w:val="00FC077D"/>
    <w:rsid w:val="00FC3D82"/>
    <w:rsid w:val="00FC43BE"/>
    <w:rsid w:val="00FD2FC2"/>
    <w:rsid w:val="00FD3CCD"/>
    <w:rsid w:val="00FD4F6E"/>
    <w:rsid w:val="00FE22CB"/>
    <w:rsid w:val="00FE7DDE"/>
    <w:rsid w:val="00FF2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C2"/>
    <w:pPr>
      <w:spacing w:before="240"/>
    </w:pPr>
    <w:rPr>
      <w:sz w:val="24"/>
    </w:rPr>
  </w:style>
  <w:style w:type="paragraph" w:styleId="Heading4">
    <w:name w:val="heading 4"/>
    <w:basedOn w:val="Normal"/>
    <w:next w:val="Normal"/>
    <w:qFormat/>
    <w:rsid w:val="0098382E"/>
    <w:pPr>
      <w:keepNext/>
      <w:ind w:right="91"/>
      <w:jc w:val="right"/>
      <w:outlineLvl w:val="3"/>
    </w:pPr>
  </w:style>
  <w:style w:type="paragraph" w:styleId="Heading6">
    <w:name w:val="heading 6"/>
    <w:basedOn w:val="Normal"/>
    <w:next w:val="Normal"/>
    <w:qFormat/>
    <w:rsid w:val="0098382E"/>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98382E"/>
    <w:pPr>
      <w:numPr>
        <w:numId w:val="1"/>
      </w:numPr>
      <w:spacing w:before="180"/>
    </w:pPr>
  </w:style>
  <w:style w:type="paragraph" w:styleId="Header">
    <w:name w:val="header"/>
    <w:basedOn w:val="Normal"/>
    <w:link w:val="HeaderChar"/>
    <w:uiPriority w:val="99"/>
    <w:rsid w:val="0098382E"/>
    <w:pPr>
      <w:tabs>
        <w:tab w:val="center" w:pos="4153"/>
        <w:tab w:val="right" w:pos="8306"/>
      </w:tabs>
    </w:pPr>
  </w:style>
  <w:style w:type="paragraph" w:styleId="Footer">
    <w:name w:val="footer"/>
    <w:basedOn w:val="Normal"/>
    <w:rsid w:val="0098382E"/>
    <w:pPr>
      <w:tabs>
        <w:tab w:val="center" w:pos="4153"/>
        <w:tab w:val="right" w:pos="8306"/>
      </w:tabs>
    </w:pPr>
  </w:style>
  <w:style w:type="character" w:styleId="PageNumber">
    <w:name w:val="page number"/>
    <w:basedOn w:val="DefaultParagraphFont"/>
    <w:rsid w:val="0098382E"/>
  </w:style>
  <w:style w:type="paragraph" w:customStyle="1" w:styleId="Paragraphnumbered">
    <w:name w:val="Paragraph (numbered)"/>
    <w:basedOn w:val="Normal"/>
    <w:uiPriority w:val="99"/>
    <w:rsid w:val="0014516B"/>
    <w:pPr>
      <w:numPr>
        <w:numId w:val="3"/>
      </w:numPr>
      <w:ind w:left="0" w:firstLine="0"/>
    </w:pPr>
    <w:rPr>
      <w:szCs w:val="24"/>
    </w:rPr>
  </w:style>
  <w:style w:type="paragraph" w:customStyle="1" w:styleId="CharCharChar">
    <w:name w:val="Char Char Char"/>
    <w:basedOn w:val="Normal"/>
    <w:rsid w:val="008009CD"/>
    <w:pPr>
      <w:spacing w:before="0"/>
    </w:pPr>
    <w:rPr>
      <w:rFonts w:ascii="Arial" w:hAnsi="Arial" w:cs="Arial"/>
      <w:sz w:val="22"/>
      <w:szCs w:val="22"/>
      <w:lang w:eastAsia="en-US"/>
    </w:rPr>
  </w:style>
  <w:style w:type="character" w:styleId="CommentReference">
    <w:name w:val="annotation reference"/>
    <w:basedOn w:val="DefaultParagraphFont"/>
    <w:semiHidden/>
    <w:rsid w:val="00505C7F"/>
    <w:rPr>
      <w:sz w:val="16"/>
      <w:szCs w:val="16"/>
    </w:rPr>
  </w:style>
  <w:style w:type="paragraph" w:styleId="CommentText">
    <w:name w:val="annotation text"/>
    <w:basedOn w:val="Normal"/>
    <w:link w:val="CommentTextChar"/>
    <w:uiPriority w:val="99"/>
    <w:semiHidden/>
    <w:rsid w:val="00505C7F"/>
    <w:rPr>
      <w:sz w:val="20"/>
    </w:rPr>
  </w:style>
  <w:style w:type="paragraph" w:styleId="CommentSubject">
    <w:name w:val="annotation subject"/>
    <w:basedOn w:val="CommentText"/>
    <w:next w:val="CommentText"/>
    <w:semiHidden/>
    <w:rsid w:val="00505C7F"/>
    <w:rPr>
      <w:b/>
      <w:bCs/>
    </w:rPr>
  </w:style>
  <w:style w:type="paragraph" w:styleId="BalloonText">
    <w:name w:val="Balloon Text"/>
    <w:basedOn w:val="Normal"/>
    <w:semiHidden/>
    <w:rsid w:val="00505C7F"/>
    <w:rPr>
      <w:rFonts w:ascii="Tahoma" w:hAnsi="Tahoma" w:cs="Tahoma"/>
      <w:sz w:val="16"/>
      <w:szCs w:val="16"/>
    </w:rPr>
  </w:style>
  <w:style w:type="paragraph" w:customStyle="1" w:styleId="Classification">
    <w:name w:val="Classification"/>
    <w:basedOn w:val="Normal"/>
    <w:rsid w:val="00637B33"/>
    <w:pPr>
      <w:spacing w:before="60" w:after="60"/>
      <w:jc w:val="center"/>
    </w:pPr>
    <w:rPr>
      <w:rFonts w:ascii="Arial" w:hAnsi="Arial"/>
      <w:b/>
      <w:caps/>
      <w:color w:val="FF0000"/>
      <w:sz w:val="28"/>
    </w:rPr>
  </w:style>
  <w:style w:type="paragraph" w:customStyle="1" w:styleId="Paragraph">
    <w:name w:val="Paragraph"/>
    <w:basedOn w:val="Paragraphnumbered"/>
    <w:rsid w:val="00637B33"/>
    <w:pPr>
      <w:numPr>
        <w:ilvl w:val="12"/>
        <w:numId w:val="0"/>
      </w:numPr>
    </w:pPr>
    <w:rPr>
      <w:szCs w:val="20"/>
    </w:rPr>
  </w:style>
  <w:style w:type="paragraph" w:customStyle="1" w:styleId="CharCharCharCharCharChar">
    <w:name w:val="Char Char Char Char Char Char"/>
    <w:basedOn w:val="Normal"/>
    <w:rsid w:val="00637B33"/>
    <w:pPr>
      <w:spacing w:before="0"/>
    </w:pPr>
    <w:rPr>
      <w:rFonts w:ascii="Arial" w:hAnsi="Arial"/>
      <w:sz w:val="22"/>
      <w:szCs w:val="24"/>
      <w:lang w:eastAsia="en-US"/>
    </w:rPr>
  </w:style>
  <w:style w:type="paragraph" w:customStyle="1" w:styleId="CharChar">
    <w:name w:val="Char Char"/>
    <w:basedOn w:val="Normal"/>
    <w:rsid w:val="009B07EC"/>
    <w:pPr>
      <w:spacing w:before="0"/>
    </w:pPr>
    <w:rPr>
      <w:rFonts w:ascii="Arial" w:hAnsi="Arial"/>
      <w:sz w:val="22"/>
      <w:lang w:eastAsia="en-US"/>
    </w:rPr>
  </w:style>
  <w:style w:type="paragraph" w:customStyle="1" w:styleId="Default">
    <w:name w:val="Default"/>
    <w:rsid w:val="00C47FD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735D22"/>
    <w:rPr>
      <w:sz w:val="24"/>
    </w:rPr>
  </w:style>
  <w:style w:type="character" w:styleId="Hyperlink">
    <w:name w:val="Hyperlink"/>
    <w:basedOn w:val="DefaultParagraphFont"/>
    <w:rsid w:val="00E40280"/>
    <w:rPr>
      <w:color w:val="0000FF"/>
      <w:u w:val="single"/>
    </w:rPr>
  </w:style>
  <w:style w:type="paragraph" w:styleId="ListParagraph">
    <w:name w:val="List Paragraph"/>
    <w:basedOn w:val="Normal"/>
    <w:uiPriority w:val="34"/>
    <w:qFormat/>
    <w:rsid w:val="00845376"/>
    <w:pPr>
      <w:spacing w:before="0" w:after="200" w:line="276" w:lineRule="auto"/>
      <w:ind w:left="720"/>
    </w:pPr>
    <w:rPr>
      <w:rFonts w:ascii="Calibri" w:eastAsia="Calibri" w:hAnsi="Calibri"/>
      <w:sz w:val="22"/>
      <w:szCs w:val="22"/>
      <w:lang w:eastAsia="en-US"/>
    </w:rPr>
  </w:style>
  <w:style w:type="paragraph" w:customStyle="1" w:styleId="Bullet1">
    <w:name w:val="Bullet 1"/>
    <w:basedOn w:val="Normal"/>
    <w:uiPriority w:val="99"/>
    <w:rsid w:val="00F8653C"/>
    <w:pPr>
      <w:numPr>
        <w:numId w:val="16"/>
      </w:numPr>
      <w:spacing w:before="120"/>
    </w:pPr>
  </w:style>
  <w:style w:type="paragraph" w:customStyle="1" w:styleId="Celltext">
    <w:name w:val="Cell text"/>
    <w:basedOn w:val="Normal"/>
    <w:rsid w:val="00F50C24"/>
    <w:pPr>
      <w:spacing w:before="120"/>
    </w:pPr>
  </w:style>
  <w:style w:type="character" w:customStyle="1" w:styleId="CommentTextChar">
    <w:name w:val="Comment Text Char"/>
    <w:link w:val="CommentText"/>
    <w:uiPriority w:val="99"/>
    <w:semiHidden/>
    <w:rsid w:val="007F0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7907">
      <w:bodyDiv w:val="1"/>
      <w:marLeft w:val="0"/>
      <w:marRight w:val="0"/>
      <w:marTop w:val="0"/>
      <w:marBottom w:val="0"/>
      <w:divBdr>
        <w:top w:val="none" w:sz="0" w:space="0" w:color="auto"/>
        <w:left w:val="none" w:sz="0" w:space="0" w:color="auto"/>
        <w:bottom w:val="none" w:sz="0" w:space="0" w:color="auto"/>
        <w:right w:val="none" w:sz="0" w:space="0" w:color="auto"/>
      </w:divBdr>
    </w:div>
    <w:div w:id="437483285">
      <w:bodyDiv w:val="1"/>
      <w:marLeft w:val="0"/>
      <w:marRight w:val="0"/>
      <w:marTop w:val="0"/>
      <w:marBottom w:val="0"/>
      <w:divBdr>
        <w:top w:val="none" w:sz="0" w:space="0" w:color="auto"/>
        <w:left w:val="none" w:sz="0" w:space="0" w:color="auto"/>
        <w:bottom w:val="none" w:sz="0" w:space="0" w:color="auto"/>
        <w:right w:val="none" w:sz="0" w:space="0" w:color="auto"/>
      </w:divBdr>
    </w:div>
    <w:div w:id="945963265">
      <w:bodyDiv w:val="1"/>
      <w:marLeft w:val="0"/>
      <w:marRight w:val="0"/>
      <w:marTop w:val="0"/>
      <w:marBottom w:val="0"/>
      <w:divBdr>
        <w:top w:val="none" w:sz="0" w:space="0" w:color="auto"/>
        <w:left w:val="none" w:sz="0" w:space="0" w:color="auto"/>
        <w:bottom w:val="none" w:sz="0" w:space="0" w:color="auto"/>
        <w:right w:val="none" w:sz="0" w:space="0" w:color="auto"/>
      </w:divBdr>
    </w:div>
    <w:div w:id="1103645293">
      <w:bodyDiv w:val="1"/>
      <w:marLeft w:val="0"/>
      <w:marRight w:val="0"/>
      <w:marTop w:val="0"/>
      <w:marBottom w:val="0"/>
      <w:divBdr>
        <w:top w:val="none" w:sz="0" w:space="0" w:color="auto"/>
        <w:left w:val="none" w:sz="0" w:space="0" w:color="auto"/>
        <w:bottom w:val="none" w:sz="0" w:space="0" w:color="auto"/>
        <w:right w:val="none" w:sz="0" w:space="0" w:color="auto"/>
      </w:divBdr>
    </w:div>
    <w:div w:id="1270745379">
      <w:bodyDiv w:val="1"/>
      <w:marLeft w:val="0"/>
      <w:marRight w:val="0"/>
      <w:marTop w:val="0"/>
      <w:marBottom w:val="0"/>
      <w:divBdr>
        <w:top w:val="none" w:sz="0" w:space="0" w:color="auto"/>
        <w:left w:val="none" w:sz="0" w:space="0" w:color="auto"/>
        <w:bottom w:val="none" w:sz="0" w:space="0" w:color="auto"/>
        <w:right w:val="none" w:sz="0" w:space="0" w:color="auto"/>
      </w:divBdr>
    </w:div>
    <w:div w:id="15932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B6B0-A1B0-4FDF-9732-F3EDFA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1369</Words>
  <Characters>7294</Characters>
  <Application>Microsoft Office Word</Application>
  <DocSecurity>0</DocSecurity>
  <Lines>148</Lines>
  <Paragraphs>56</Paragraphs>
  <ScaleCrop>false</ScaleCrop>
  <HeadingPairs>
    <vt:vector size="2" baseType="variant">
      <vt:variant>
        <vt:lpstr>Title</vt:lpstr>
      </vt:variant>
      <vt:variant>
        <vt:i4>1</vt:i4>
      </vt:variant>
    </vt:vector>
  </HeadingPairs>
  <TitlesOfParts>
    <vt:vector size="1" baseType="lpstr">
      <vt:lpstr>EXAMPLE OF EXPLANATORY MEMORANDUM FOR REGULATIONS</vt:lpstr>
    </vt:vector>
  </TitlesOfParts>
  <Company>Department of the Prime Minister and Cabinet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EXPLANATORY MEMORANDUM FOR REGULATIONS</dc:title>
  <dc:subject/>
  <dc:creator>smitdo</dc:creator>
  <cp:keywords/>
  <cp:lastModifiedBy>palmek</cp:lastModifiedBy>
  <cp:revision>6</cp:revision>
  <cp:lastPrinted>2013-05-10T03:42:00Z</cp:lastPrinted>
  <dcterms:created xsi:type="dcterms:W3CDTF">2013-07-26T03:56:00Z</dcterms:created>
  <dcterms:modified xsi:type="dcterms:W3CDTF">2013-07-26T04:58:00Z</dcterms:modified>
</cp:coreProperties>
</file>