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B9E" w:rsidRDefault="00CD0B9E" w:rsidP="00CD0B9E">
      <w:pPr>
        <w:tabs>
          <w:tab w:val="right" w:pos="9072"/>
        </w:tabs>
        <w:spacing w:before="0" w:line="240" w:lineRule="exact"/>
        <w:ind w:right="91"/>
      </w:pPr>
    </w:p>
    <w:p w:rsidR="00CD0B9E" w:rsidRDefault="00CD0B9E" w:rsidP="000D2BB2">
      <w:pPr>
        <w:spacing w:before="0" w:after="240"/>
        <w:ind w:right="91"/>
        <w:jc w:val="center"/>
        <w:rPr>
          <w:b/>
          <w:u w:val="single"/>
        </w:rPr>
      </w:pPr>
      <w:r>
        <w:rPr>
          <w:b/>
          <w:u w:val="single"/>
        </w:rPr>
        <w:t xml:space="preserve">EXPLANATORY </w:t>
      </w:r>
      <w:r w:rsidR="00E7125C">
        <w:rPr>
          <w:b/>
          <w:u w:val="single"/>
        </w:rPr>
        <w:t>STATEMENT</w:t>
      </w:r>
    </w:p>
    <w:p w:rsidR="001B69BA" w:rsidRPr="00CE08C3" w:rsidRDefault="00CD0B9E" w:rsidP="001B69BA">
      <w:pPr>
        <w:pStyle w:val="Paragraph"/>
        <w:spacing w:before="0" w:after="240"/>
        <w:rPr>
          <w:i/>
        </w:rPr>
      </w:pPr>
      <w:r>
        <w:t xml:space="preserve">Subject </w:t>
      </w:r>
      <w:r w:rsidR="00CE08C3">
        <w:t>–</w:t>
      </w:r>
      <w:r>
        <w:t xml:space="preserve"> </w:t>
      </w:r>
      <w:r w:rsidR="00CE08C3">
        <w:rPr>
          <w:i/>
        </w:rPr>
        <w:t>Trans-Tasman Proceedings Act 2010</w:t>
      </w:r>
    </w:p>
    <w:p w:rsidR="00CD0B9E" w:rsidRPr="001B69BA" w:rsidRDefault="001B69BA" w:rsidP="00E9608C">
      <w:pPr>
        <w:pStyle w:val="Paragraph"/>
        <w:spacing w:before="0" w:after="240"/>
        <w:ind w:left="720"/>
        <w:rPr>
          <w:i/>
        </w:rPr>
      </w:pPr>
      <w:r>
        <w:rPr>
          <w:color w:val="000000" w:themeColor="text1"/>
        </w:rPr>
        <w:t xml:space="preserve">   </w:t>
      </w:r>
      <w:r w:rsidR="00CD0B9E" w:rsidRPr="00870342">
        <w:rPr>
          <w:color w:val="000000" w:themeColor="text1"/>
        </w:rPr>
        <w:t>Proclamation</w:t>
      </w:r>
    </w:p>
    <w:p w:rsidR="00E7125C" w:rsidRPr="00E7125C" w:rsidRDefault="00E7125C" w:rsidP="00DE12F0">
      <w:pPr>
        <w:pStyle w:val="Paragraph"/>
        <w:spacing w:before="0" w:after="240"/>
      </w:pPr>
      <w:bookmarkStart w:id="0" w:name="OLE_LINK3"/>
      <w:r>
        <w:t xml:space="preserve">This proclamation sets 11 October 2013 as the date for commencement of sections 3 to 110 of the </w:t>
      </w:r>
      <w:r>
        <w:rPr>
          <w:i/>
        </w:rPr>
        <w:t>Trans-Tasman Proceedings Act 2010</w:t>
      </w:r>
      <w:r>
        <w:t xml:space="preserve"> (the Act). </w:t>
      </w:r>
    </w:p>
    <w:p w:rsidR="002143C5" w:rsidRPr="002143C5" w:rsidRDefault="002143C5" w:rsidP="002143C5">
      <w:pPr>
        <w:pStyle w:val="Paragraph"/>
        <w:spacing w:before="0" w:after="240"/>
      </w:pPr>
      <w:r>
        <w:rPr>
          <w:szCs w:val="24"/>
        </w:rPr>
        <w:t xml:space="preserve">The Act received Royal Assent on 13 April 2010.  </w:t>
      </w:r>
      <w:r w:rsidR="00AE0E9A">
        <w:rPr>
          <w:szCs w:val="24"/>
        </w:rPr>
        <w:t xml:space="preserve">The Act domestically implements Australia’s obligations under the </w:t>
      </w:r>
      <w:r w:rsidR="000C7AF9">
        <w:rPr>
          <w:szCs w:val="24"/>
        </w:rPr>
        <w:t>Agreement, which was</w:t>
      </w:r>
      <w:r w:rsidR="00AE0E9A">
        <w:rPr>
          <w:szCs w:val="24"/>
        </w:rPr>
        <w:t xml:space="preserve"> signed on 24 July 2008.</w:t>
      </w:r>
      <w:r>
        <w:rPr>
          <w:szCs w:val="24"/>
        </w:rPr>
        <w:t xml:space="preserve"> </w:t>
      </w:r>
      <w:r w:rsidR="00E30C4E">
        <w:rPr>
          <w:szCs w:val="24"/>
        </w:rPr>
        <w:t xml:space="preserve">The primary purpose </w:t>
      </w:r>
      <w:r>
        <w:rPr>
          <w:szCs w:val="24"/>
        </w:rPr>
        <w:t>of the Ac</w:t>
      </w:r>
      <w:bookmarkStart w:id="1" w:name="_GoBack"/>
      <w:bookmarkEnd w:id="1"/>
      <w:r>
        <w:rPr>
          <w:szCs w:val="24"/>
        </w:rPr>
        <w:t>t</w:t>
      </w:r>
      <w:r w:rsidR="00E30C4E">
        <w:rPr>
          <w:szCs w:val="24"/>
        </w:rPr>
        <w:t xml:space="preserve"> is to streamline the process for resolving civil proceedings with a </w:t>
      </w:r>
      <w:r w:rsidR="000C7AF9">
        <w:t>trans</w:t>
      </w:r>
      <w:r w:rsidR="000C7AF9">
        <w:noBreakHyphen/>
      </w:r>
      <w:r w:rsidR="00E30C4E" w:rsidRPr="002143C5">
        <w:t xml:space="preserve">Tasman element in order to reduce costs and improve efficiency. </w:t>
      </w:r>
    </w:p>
    <w:p w:rsidR="00AE0E9A" w:rsidRPr="002143C5" w:rsidRDefault="002143C5" w:rsidP="002143C5">
      <w:pPr>
        <w:pStyle w:val="Paragraph"/>
        <w:spacing w:before="0" w:after="240"/>
        <w:rPr>
          <w:szCs w:val="24"/>
        </w:rPr>
      </w:pPr>
      <w:r>
        <w:t xml:space="preserve">Part 1 deals with preliminary matters such as commencement and definitions. </w:t>
      </w:r>
      <w:r w:rsidR="00E30C4E" w:rsidRPr="002143C5">
        <w:t>Part 2 allows for initiating documents for certain civil proceedings in Australian courts or tribunals to</w:t>
      </w:r>
      <w:r w:rsidR="00E30C4E">
        <w:rPr>
          <w:szCs w:val="24"/>
        </w:rPr>
        <w:t xml:space="preserve"> be served in New Zealand. Part 3 provides for Australian courts to stay a proceeding </w:t>
      </w:r>
      <w:r w:rsidR="003A63DE">
        <w:rPr>
          <w:szCs w:val="24"/>
        </w:rPr>
        <w:t>where</w:t>
      </w:r>
      <w:r>
        <w:rPr>
          <w:szCs w:val="24"/>
        </w:rPr>
        <w:t xml:space="preserve"> a New Zealand court is the more appropriate forum to determine the matters in dispute. Part 4 provides for certain Australian courts to give interim relief in support of civil proceedings</w:t>
      </w:r>
      <w:r w:rsidR="003A63DE">
        <w:rPr>
          <w:szCs w:val="24"/>
        </w:rPr>
        <w:t xml:space="preserve"> in New Zealand courts. Part 5 allows for the trans-Tasman service of subpoenas issued by certain Australian and New Zealand courts and tribunals. Part 6 allows for trans-Tasman remote appearance in Australian and New Zealand proceedings. Part 7 provides for the </w:t>
      </w:r>
      <w:r w:rsidR="00F70CD8">
        <w:rPr>
          <w:szCs w:val="24"/>
        </w:rPr>
        <w:t xml:space="preserve">recognition and </w:t>
      </w:r>
      <w:r w:rsidR="003A63DE">
        <w:rPr>
          <w:szCs w:val="24"/>
        </w:rPr>
        <w:t xml:space="preserve">enforcement in Australia of specified judgments of New Zealand courts and tribunals. Part 8 provides special rules </w:t>
      </w:r>
      <w:r w:rsidR="000C7AF9">
        <w:rPr>
          <w:szCs w:val="24"/>
        </w:rPr>
        <w:t>for</w:t>
      </w:r>
      <w:r w:rsidR="003A63DE">
        <w:rPr>
          <w:szCs w:val="24"/>
        </w:rPr>
        <w:t xml:space="preserve"> particular Australian and New Zealand proceedings that relate to the trans-Tasman market. Part 9 contains a number of evidentiar</w:t>
      </w:r>
      <w:r w:rsidR="000C7AF9">
        <w:rPr>
          <w:szCs w:val="24"/>
        </w:rPr>
        <w:t xml:space="preserve">y rules relating to New Zealand based evidence </w:t>
      </w:r>
      <w:r w:rsidR="003A63DE">
        <w:rPr>
          <w:szCs w:val="24"/>
        </w:rPr>
        <w:t xml:space="preserve">that apply in proceedings in Australian courts and certain other bodies. Part 10 deals with miscellaneous issues. </w:t>
      </w:r>
    </w:p>
    <w:p w:rsidR="000966E3" w:rsidRPr="000966E3" w:rsidRDefault="000966E3" w:rsidP="000966E3">
      <w:pPr>
        <w:rPr>
          <w:szCs w:val="24"/>
          <w:lang w:val="en-US"/>
        </w:rPr>
      </w:pPr>
      <w:r>
        <w:rPr>
          <w:szCs w:val="24"/>
          <w:lang w:val="en-US"/>
        </w:rPr>
        <w:t xml:space="preserve">Commencement of sections 3 to 110 of the Act will cause </w:t>
      </w:r>
      <w:r w:rsidR="000C7AF9">
        <w:rPr>
          <w:szCs w:val="24"/>
          <w:lang w:val="en-US"/>
        </w:rPr>
        <w:t>Schedule 1 and items 1 to 23</w:t>
      </w:r>
      <w:r w:rsidR="006B7160">
        <w:rPr>
          <w:szCs w:val="24"/>
          <w:lang w:val="en-US"/>
        </w:rPr>
        <w:t xml:space="preserve"> and</w:t>
      </w:r>
      <w:r w:rsidR="00CE00FD">
        <w:rPr>
          <w:szCs w:val="24"/>
          <w:lang w:val="en-US"/>
        </w:rPr>
        <w:t xml:space="preserve"> 25</w:t>
      </w:r>
      <w:r w:rsidR="006B7160">
        <w:rPr>
          <w:szCs w:val="24"/>
          <w:lang w:val="en-US"/>
        </w:rPr>
        <w:t xml:space="preserve"> to</w:t>
      </w:r>
      <w:r w:rsidR="000C7AF9">
        <w:rPr>
          <w:szCs w:val="24"/>
          <w:lang w:val="en-US"/>
        </w:rPr>
        <w:t xml:space="preserve"> 2</w:t>
      </w:r>
      <w:r w:rsidR="006B7160">
        <w:rPr>
          <w:szCs w:val="24"/>
          <w:lang w:val="en-US"/>
        </w:rPr>
        <w:t>8</w:t>
      </w:r>
      <w:r w:rsidR="000C7AF9">
        <w:rPr>
          <w:szCs w:val="24"/>
          <w:lang w:val="en-US"/>
        </w:rPr>
        <w:t xml:space="preserve"> of Schedule 2 to</w:t>
      </w:r>
      <w:r>
        <w:rPr>
          <w:szCs w:val="24"/>
          <w:lang w:val="en-US"/>
        </w:rPr>
        <w:t xml:space="preserve"> the </w:t>
      </w:r>
      <w:r>
        <w:rPr>
          <w:i/>
          <w:szCs w:val="24"/>
          <w:lang w:val="en-US"/>
        </w:rPr>
        <w:t>Trans-Tasman Proceedings (Transitional and Consequential Provisions) Act 2010</w:t>
      </w:r>
      <w:r>
        <w:rPr>
          <w:szCs w:val="24"/>
          <w:lang w:val="en-US"/>
        </w:rPr>
        <w:t xml:space="preserve"> to commence. </w:t>
      </w:r>
      <w:r w:rsidR="00DD62BD">
        <w:rPr>
          <w:szCs w:val="24"/>
          <w:lang w:val="en-US"/>
        </w:rPr>
        <w:t xml:space="preserve">Schedule 1 provides the rules governing the application of the Act to civil proceedings that have not yet commenced or have commenced but have not been completed. Schedule 2 repeals the </w:t>
      </w:r>
      <w:r w:rsidR="00DD62BD">
        <w:rPr>
          <w:i/>
          <w:szCs w:val="24"/>
          <w:lang w:val="en-US"/>
        </w:rPr>
        <w:t>Evidence and Procedure (New Zealand) Act 1994</w:t>
      </w:r>
      <w:r w:rsidR="00DD62BD">
        <w:rPr>
          <w:szCs w:val="24"/>
          <w:lang w:val="en-US"/>
        </w:rPr>
        <w:t xml:space="preserve"> and updates references to the </w:t>
      </w:r>
      <w:r w:rsidR="00DD62BD">
        <w:rPr>
          <w:i/>
          <w:szCs w:val="24"/>
          <w:lang w:val="en-US"/>
        </w:rPr>
        <w:t>Evidence and Procedure (New Zealand) Act 1994</w:t>
      </w:r>
      <w:r w:rsidR="00DD62BD">
        <w:rPr>
          <w:szCs w:val="24"/>
          <w:lang w:val="en-US"/>
        </w:rPr>
        <w:t xml:space="preserve"> to now reference the </w:t>
      </w:r>
      <w:r w:rsidR="00DD62BD">
        <w:rPr>
          <w:i/>
          <w:szCs w:val="24"/>
          <w:lang w:val="en-US"/>
        </w:rPr>
        <w:t>Trans-Tasman Proceedings Act 2010</w:t>
      </w:r>
      <w:r w:rsidR="00DD62BD">
        <w:rPr>
          <w:szCs w:val="24"/>
          <w:lang w:val="en-US"/>
        </w:rPr>
        <w:t xml:space="preserve">.  </w:t>
      </w:r>
      <w:r>
        <w:rPr>
          <w:szCs w:val="24"/>
          <w:lang w:val="en-US"/>
        </w:rPr>
        <w:t xml:space="preserve">Commencement of sections 3 to 110 of the Act will also cause the </w:t>
      </w:r>
      <w:r>
        <w:rPr>
          <w:i/>
          <w:szCs w:val="24"/>
          <w:lang w:val="en-US"/>
        </w:rPr>
        <w:t>Trans-Tasman Proceedings Regulation 2012</w:t>
      </w:r>
      <w:r>
        <w:rPr>
          <w:szCs w:val="24"/>
          <w:lang w:val="en-US"/>
        </w:rPr>
        <w:t xml:space="preserve"> to commence. </w:t>
      </w:r>
    </w:p>
    <w:p w:rsidR="0065601B" w:rsidRPr="003E668C" w:rsidRDefault="0065601B" w:rsidP="0065601B">
      <w:pPr>
        <w:ind w:right="91"/>
        <w:rPr>
          <w:sz w:val="28"/>
        </w:rPr>
      </w:pPr>
      <w:bookmarkStart w:id="2" w:name="OLE_LINK6"/>
      <w:bookmarkStart w:id="3" w:name="OLE_LINK9"/>
      <w:r w:rsidRPr="003E668C">
        <w:rPr>
          <w:color w:val="000000"/>
        </w:rPr>
        <w:t>The Proclamation was drafted by the Office of Parliamentary Counsel.  No consultation was required given the administrative nature of the instrument.</w:t>
      </w:r>
      <w:bookmarkEnd w:id="2"/>
      <w:bookmarkEnd w:id="3"/>
      <w:r w:rsidRPr="003E668C">
        <w:rPr>
          <w:color w:val="000000"/>
        </w:rPr>
        <w:t xml:space="preserve">  </w:t>
      </w:r>
    </w:p>
    <w:p w:rsidR="0065601B" w:rsidRPr="00C8057C" w:rsidRDefault="0065601B" w:rsidP="0065601B">
      <w:pPr>
        <w:ind w:right="91"/>
        <w:rPr>
          <w:sz w:val="28"/>
          <w:szCs w:val="24"/>
        </w:rPr>
      </w:pPr>
      <w:r w:rsidRPr="00C8057C">
        <w:t xml:space="preserve">The Proclamation is registered on the Federal Register of Legislative Instruments under the </w:t>
      </w:r>
      <w:r w:rsidRPr="00C8057C">
        <w:rPr>
          <w:i/>
        </w:rPr>
        <w:t>Legislative Instruments Act 2003</w:t>
      </w:r>
      <w:r w:rsidRPr="00C8057C">
        <w:t>.</w:t>
      </w:r>
    </w:p>
    <w:p w:rsidR="00CE08C3" w:rsidRDefault="00736FDD" w:rsidP="003A63DE">
      <w:pPr>
        <w:tabs>
          <w:tab w:val="left" w:pos="1276"/>
        </w:tabs>
        <w:ind w:left="4536" w:right="91" w:hanging="1134"/>
        <w:rPr>
          <w:i/>
        </w:rPr>
      </w:pPr>
      <w:r>
        <w:rPr>
          <w:u w:val="single"/>
        </w:rPr>
        <w:t>Authority</w:t>
      </w:r>
      <w:r>
        <w:t>:</w:t>
      </w:r>
      <w:r>
        <w:tab/>
        <w:t xml:space="preserve">Subsection 2(1) of the </w:t>
      </w:r>
      <w:r>
        <w:rPr>
          <w:i/>
        </w:rPr>
        <w:t>Trans-Tasman Proceedings Act 2010</w:t>
      </w:r>
    </w:p>
    <w:p w:rsidR="0065601B" w:rsidRDefault="0065601B" w:rsidP="003A63DE">
      <w:pPr>
        <w:tabs>
          <w:tab w:val="left" w:pos="1276"/>
        </w:tabs>
        <w:ind w:left="4536" w:right="91" w:hanging="1134"/>
      </w:pPr>
    </w:p>
    <w:p w:rsidR="0065601B" w:rsidRDefault="0065601B" w:rsidP="003A63DE">
      <w:pPr>
        <w:tabs>
          <w:tab w:val="left" w:pos="1276"/>
        </w:tabs>
        <w:ind w:left="4536" w:right="91" w:hanging="1134"/>
      </w:pPr>
    </w:p>
    <w:p w:rsidR="0065601B" w:rsidRDefault="0065601B" w:rsidP="003A63DE">
      <w:pPr>
        <w:tabs>
          <w:tab w:val="left" w:pos="1276"/>
        </w:tabs>
        <w:ind w:left="4536" w:right="91" w:hanging="1134"/>
      </w:pPr>
    </w:p>
    <w:p w:rsidR="0065601B" w:rsidRDefault="0065601B" w:rsidP="003A63DE">
      <w:pPr>
        <w:tabs>
          <w:tab w:val="left" w:pos="1276"/>
        </w:tabs>
        <w:ind w:left="4536" w:right="91" w:hanging="1134"/>
      </w:pPr>
    </w:p>
    <w:bookmarkEnd w:id="0"/>
    <w:p w:rsidR="006075CD" w:rsidRDefault="006075CD" w:rsidP="00DE12F0">
      <w:pPr>
        <w:pStyle w:val="Paragraph"/>
        <w:spacing w:before="0" w:after="240"/>
      </w:pPr>
    </w:p>
    <w:p w:rsidR="00B84DD2" w:rsidRPr="00F9562D" w:rsidRDefault="00B84DD2" w:rsidP="00B84DD2">
      <w:pPr>
        <w:spacing w:before="360" w:after="120"/>
        <w:jc w:val="center"/>
        <w:rPr>
          <w:szCs w:val="24"/>
        </w:rPr>
      </w:pPr>
      <w:r w:rsidRPr="00F9562D">
        <w:rPr>
          <w:b/>
          <w:bCs/>
          <w:szCs w:val="24"/>
        </w:rPr>
        <w:t>Statement of Compatibility with Human Rights</w:t>
      </w:r>
    </w:p>
    <w:p w:rsidR="00B84DD2" w:rsidRPr="00F9562D" w:rsidRDefault="00B84DD2" w:rsidP="00B84DD2">
      <w:pPr>
        <w:spacing w:before="120" w:after="120"/>
        <w:jc w:val="center"/>
        <w:rPr>
          <w:szCs w:val="24"/>
        </w:rPr>
      </w:pPr>
      <w:r w:rsidRPr="00F9562D">
        <w:rPr>
          <w:i/>
          <w:iCs/>
          <w:szCs w:val="24"/>
        </w:rPr>
        <w:lastRenderedPageBreak/>
        <w:t>Prepared in accordance with Part 3 of the Human Rights (Parliamentary Scrutiny) Act 2011</w:t>
      </w:r>
    </w:p>
    <w:p w:rsidR="00B84DD2" w:rsidRPr="00B84DD2" w:rsidRDefault="00B84DD2" w:rsidP="00B84DD2">
      <w:pPr>
        <w:pStyle w:val="Default"/>
        <w:jc w:val="center"/>
        <w:rPr>
          <w:i/>
        </w:rPr>
      </w:pPr>
      <w:r w:rsidRPr="00B84DD2">
        <w:rPr>
          <w:b/>
          <w:bCs/>
          <w:i/>
        </w:rPr>
        <w:t>Trans-Tasman Proceedings Act Commencement Proclamation 2013</w:t>
      </w:r>
    </w:p>
    <w:p w:rsidR="00B84DD2" w:rsidRPr="00F9562D" w:rsidRDefault="00B84DD2" w:rsidP="00B84DD2">
      <w:pPr>
        <w:spacing w:before="120" w:after="120"/>
        <w:rPr>
          <w:szCs w:val="24"/>
        </w:rPr>
      </w:pPr>
      <w:r w:rsidRPr="00F9562D">
        <w:rPr>
          <w:szCs w:val="24"/>
        </w:rPr>
        <w:t xml:space="preserve">This Legislative Instrument is compatible with the human rights and freedoms recognised or declared in the international instruments listed in section 3 of the </w:t>
      </w:r>
      <w:r w:rsidRPr="00F9562D">
        <w:rPr>
          <w:i/>
          <w:iCs/>
          <w:szCs w:val="24"/>
        </w:rPr>
        <w:t>Human Rights</w:t>
      </w:r>
      <w:r>
        <w:rPr>
          <w:i/>
          <w:iCs/>
          <w:szCs w:val="24"/>
        </w:rPr>
        <w:t xml:space="preserve"> </w:t>
      </w:r>
      <w:r w:rsidRPr="00F9562D">
        <w:rPr>
          <w:i/>
          <w:iCs/>
          <w:szCs w:val="24"/>
        </w:rPr>
        <w:t>(Parliamentary Scrutiny) Act 2011</w:t>
      </w:r>
      <w:r w:rsidRPr="00F9562D">
        <w:rPr>
          <w:szCs w:val="24"/>
        </w:rPr>
        <w:t>.</w:t>
      </w:r>
    </w:p>
    <w:p w:rsidR="00B84DD2" w:rsidRPr="00190DE1" w:rsidRDefault="00B84DD2" w:rsidP="00B84DD2">
      <w:pPr>
        <w:spacing w:before="120" w:after="120"/>
        <w:jc w:val="both"/>
        <w:rPr>
          <w:szCs w:val="24"/>
        </w:rPr>
      </w:pPr>
      <w:r w:rsidRPr="00F9562D">
        <w:rPr>
          <w:b/>
          <w:bCs/>
          <w:szCs w:val="24"/>
        </w:rPr>
        <w:t xml:space="preserve">Overview of </w:t>
      </w:r>
      <w:r w:rsidRPr="00190DE1">
        <w:rPr>
          <w:b/>
          <w:bCs/>
          <w:szCs w:val="24"/>
        </w:rPr>
        <w:t>the Legislative Instrument</w:t>
      </w:r>
    </w:p>
    <w:p w:rsidR="00B84DD2" w:rsidRPr="00190DE1" w:rsidRDefault="00B84DD2" w:rsidP="00B84DD2">
      <w:pPr>
        <w:pStyle w:val="Paragraph"/>
        <w:spacing w:before="0" w:after="240"/>
      </w:pPr>
      <w:r w:rsidRPr="00190DE1">
        <w:rPr>
          <w:color w:val="000000" w:themeColor="text1"/>
        </w:rPr>
        <w:t xml:space="preserve">The Proclamation sets </w:t>
      </w:r>
      <w:r>
        <w:rPr>
          <w:color w:val="000000" w:themeColor="text1"/>
        </w:rPr>
        <w:t>11 October 2013</w:t>
      </w:r>
      <w:r w:rsidRPr="00190DE1">
        <w:rPr>
          <w:color w:val="000000" w:themeColor="text1"/>
        </w:rPr>
        <w:t xml:space="preserve"> as the date for commencement of </w:t>
      </w:r>
      <w:r>
        <w:t xml:space="preserve">sections 3 to 110 of the </w:t>
      </w:r>
      <w:r>
        <w:rPr>
          <w:i/>
        </w:rPr>
        <w:t>Trans-Tasman Proceedings Act 2010</w:t>
      </w:r>
      <w:r>
        <w:t xml:space="preserve"> (the Act). </w:t>
      </w:r>
    </w:p>
    <w:p w:rsidR="00B84DD2" w:rsidRPr="00190DE1" w:rsidRDefault="00B84DD2" w:rsidP="00B84DD2">
      <w:pPr>
        <w:spacing w:before="120" w:after="120"/>
        <w:rPr>
          <w:szCs w:val="24"/>
        </w:rPr>
      </w:pPr>
      <w:r w:rsidRPr="00190DE1">
        <w:rPr>
          <w:b/>
          <w:bCs/>
          <w:szCs w:val="24"/>
        </w:rPr>
        <w:t>Human rights implications</w:t>
      </w:r>
    </w:p>
    <w:p w:rsidR="00B84DD2" w:rsidRPr="00190DE1" w:rsidRDefault="00B84DD2" w:rsidP="00B84DD2">
      <w:pPr>
        <w:spacing w:before="120" w:after="120"/>
        <w:rPr>
          <w:b/>
          <w:bCs/>
          <w:szCs w:val="24"/>
        </w:rPr>
      </w:pPr>
      <w:r w:rsidRPr="00190DE1">
        <w:rPr>
          <w:szCs w:val="24"/>
        </w:rPr>
        <w:t>The Proclamation does not engage any of the applicable rights or freedoms.</w:t>
      </w:r>
    </w:p>
    <w:p w:rsidR="00B84DD2" w:rsidRPr="00190DE1" w:rsidRDefault="00B84DD2" w:rsidP="00B84DD2">
      <w:pPr>
        <w:spacing w:before="120" w:after="120"/>
        <w:rPr>
          <w:b/>
          <w:bCs/>
          <w:szCs w:val="24"/>
        </w:rPr>
      </w:pPr>
      <w:r w:rsidRPr="00190DE1">
        <w:rPr>
          <w:b/>
          <w:bCs/>
          <w:szCs w:val="24"/>
        </w:rPr>
        <w:t>Conclusion</w:t>
      </w:r>
    </w:p>
    <w:p w:rsidR="00B84DD2" w:rsidRPr="00190DE1" w:rsidRDefault="00B84DD2" w:rsidP="00B84DD2">
      <w:pPr>
        <w:spacing w:before="120" w:after="120"/>
        <w:rPr>
          <w:szCs w:val="24"/>
        </w:rPr>
      </w:pPr>
      <w:r w:rsidRPr="00190DE1">
        <w:rPr>
          <w:rFonts w:eastAsiaTheme="minorHAnsi"/>
          <w:szCs w:val="24"/>
        </w:rPr>
        <w:t xml:space="preserve">The </w:t>
      </w:r>
      <w:r>
        <w:rPr>
          <w:rFonts w:eastAsiaTheme="minorHAnsi"/>
          <w:szCs w:val="24"/>
        </w:rPr>
        <w:t>Proclamation</w:t>
      </w:r>
      <w:r w:rsidRPr="00190DE1">
        <w:rPr>
          <w:rFonts w:eastAsiaTheme="minorHAnsi"/>
          <w:szCs w:val="24"/>
        </w:rPr>
        <w:t xml:space="preserve"> is compatible with human rights and does not raise any human rights issues.</w:t>
      </w:r>
    </w:p>
    <w:p w:rsidR="00B84DD2" w:rsidRPr="00CD0B9E" w:rsidRDefault="00B84DD2" w:rsidP="00DE12F0">
      <w:pPr>
        <w:pStyle w:val="Paragraph"/>
        <w:spacing w:before="0" w:after="240"/>
      </w:pPr>
    </w:p>
    <w:sectPr w:rsidR="00B84DD2" w:rsidRPr="00CD0B9E" w:rsidSect="003A63DE">
      <w:headerReference w:type="default" r:id="rId9"/>
      <w:pgSz w:w="11907" w:h="16840" w:code="9"/>
      <w:pgMar w:top="851" w:right="1418" w:bottom="28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37F" w:rsidRDefault="0040337F">
      <w:pPr>
        <w:spacing w:before="0"/>
      </w:pPr>
      <w:r>
        <w:separator/>
      </w:r>
    </w:p>
  </w:endnote>
  <w:endnote w:type="continuationSeparator" w:id="0">
    <w:p w:rsidR="0040337F" w:rsidRDefault="0040337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37F" w:rsidRDefault="0040337F">
      <w:pPr>
        <w:spacing w:before="0"/>
      </w:pPr>
      <w:r>
        <w:separator/>
      </w:r>
    </w:p>
  </w:footnote>
  <w:footnote w:type="continuationSeparator" w:id="0">
    <w:p w:rsidR="0040337F" w:rsidRDefault="0040337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9468131"/>
      <w:docPartObj>
        <w:docPartGallery w:val="Page Numbers (Top of Page)"/>
        <w:docPartUnique/>
      </w:docPartObj>
    </w:sdtPr>
    <w:sdtEndPr>
      <w:rPr>
        <w:noProof/>
      </w:rPr>
    </w:sdtEndPr>
    <w:sdtContent>
      <w:p w:rsidR="00AB2BA3" w:rsidRDefault="00AB2BA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13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2BA3" w:rsidRDefault="00AB2B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47087"/>
    <w:multiLevelType w:val="hybridMultilevel"/>
    <w:tmpl w:val="C2386494"/>
    <w:lvl w:ilvl="0" w:tplc="11C28D1C">
      <w:start w:val="1"/>
      <w:numFmt w:val="bullet"/>
      <w:pStyle w:val="HB-Table-dotpoi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4E2E0478"/>
    <w:multiLevelType w:val="singleLevel"/>
    <w:tmpl w:val="EA6E1C66"/>
    <w:lvl w:ilvl="0">
      <w:start w:val="2"/>
      <w:numFmt w:val="decimal"/>
      <w:pStyle w:val="Paragraphnumbered"/>
      <w:lvlText w:val="%1."/>
      <w:legacy w:legacy="1" w:legacySpace="0" w:legacyIndent="567"/>
      <w:lvlJc w:val="left"/>
      <w:pPr>
        <w:ind w:left="567" w:hanging="567"/>
      </w:pPr>
    </w:lvl>
  </w:abstractNum>
  <w:abstractNum w:abstractNumId="2">
    <w:nsid w:val="741C389F"/>
    <w:multiLevelType w:val="hybridMultilevel"/>
    <w:tmpl w:val="A0F2E4FE"/>
    <w:lvl w:ilvl="0" w:tplc="D4DA35F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6772A"/>
    <w:multiLevelType w:val="hybridMultilevel"/>
    <w:tmpl w:val="C074C08E"/>
    <w:lvl w:ilvl="0" w:tplc="05A62E6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363599"/>
    <w:multiLevelType w:val="singleLevel"/>
    <w:tmpl w:val="5BF64B10"/>
    <w:lvl w:ilvl="0">
      <w:start w:val="1"/>
      <w:numFmt w:val="bullet"/>
      <w:pStyle w:val="HB-Table-Subpoin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E9500AA"/>
    <w:multiLevelType w:val="hybridMultilevel"/>
    <w:tmpl w:val="522273F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EB008FF"/>
    <w:multiLevelType w:val="multilevel"/>
    <w:tmpl w:val="883CC8BE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B-Paragraph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5CD"/>
    <w:rsid w:val="00035599"/>
    <w:rsid w:val="00040F47"/>
    <w:rsid w:val="00083914"/>
    <w:rsid w:val="00091F5C"/>
    <w:rsid w:val="000966E3"/>
    <w:rsid w:val="000B4E57"/>
    <w:rsid w:val="000B5521"/>
    <w:rsid w:val="000C7AF9"/>
    <w:rsid w:val="000D2BB2"/>
    <w:rsid w:val="000E4D05"/>
    <w:rsid w:val="0012416A"/>
    <w:rsid w:val="00140966"/>
    <w:rsid w:val="00197654"/>
    <w:rsid w:val="001B69BA"/>
    <w:rsid w:val="002143C5"/>
    <w:rsid w:val="002F5F8B"/>
    <w:rsid w:val="00354AF9"/>
    <w:rsid w:val="0036150B"/>
    <w:rsid w:val="003A63DE"/>
    <w:rsid w:val="003A78EF"/>
    <w:rsid w:val="003B5034"/>
    <w:rsid w:val="003C0E68"/>
    <w:rsid w:val="003E25CE"/>
    <w:rsid w:val="0040337F"/>
    <w:rsid w:val="004E32FA"/>
    <w:rsid w:val="00570AD6"/>
    <w:rsid w:val="006075CD"/>
    <w:rsid w:val="00630FF1"/>
    <w:rsid w:val="006324E0"/>
    <w:rsid w:val="0065601B"/>
    <w:rsid w:val="00660A06"/>
    <w:rsid w:val="006A1A77"/>
    <w:rsid w:val="006B7160"/>
    <w:rsid w:val="00736FDD"/>
    <w:rsid w:val="007772A6"/>
    <w:rsid w:val="007813E4"/>
    <w:rsid w:val="007A72DC"/>
    <w:rsid w:val="0082503A"/>
    <w:rsid w:val="008571E3"/>
    <w:rsid w:val="00956570"/>
    <w:rsid w:val="00984CBB"/>
    <w:rsid w:val="009D5397"/>
    <w:rsid w:val="00A20813"/>
    <w:rsid w:val="00A73370"/>
    <w:rsid w:val="00AA5C1D"/>
    <w:rsid w:val="00AB2BA3"/>
    <w:rsid w:val="00AE0E9A"/>
    <w:rsid w:val="00AF7B65"/>
    <w:rsid w:val="00B845EA"/>
    <w:rsid w:val="00B84DD2"/>
    <w:rsid w:val="00BD477C"/>
    <w:rsid w:val="00C4504D"/>
    <w:rsid w:val="00CD0B9E"/>
    <w:rsid w:val="00CE00FD"/>
    <w:rsid w:val="00CE08C3"/>
    <w:rsid w:val="00DD62BD"/>
    <w:rsid w:val="00DE12F0"/>
    <w:rsid w:val="00E30C4E"/>
    <w:rsid w:val="00E50A9B"/>
    <w:rsid w:val="00E6696F"/>
    <w:rsid w:val="00E7125C"/>
    <w:rsid w:val="00E84840"/>
    <w:rsid w:val="00E9608C"/>
    <w:rsid w:val="00F70CD8"/>
    <w:rsid w:val="00F93C68"/>
    <w:rsid w:val="00FA0946"/>
    <w:rsid w:val="00FB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B9E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6075CD"/>
    <w:pPr>
      <w:keepNext/>
      <w:numPr>
        <w:numId w:val="1"/>
      </w:numPr>
      <w:spacing w:before="0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6075CD"/>
    <w:pPr>
      <w:keepNext/>
      <w:numPr>
        <w:ilvl w:val="1"/>
        <w:numId w:val="1"/>
      </w:numPr>
      <w:spacing w:before="360" w:after="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6075CD"/>
    <w:pPr>
      <w:keepNext/>
      <w:tabs>
        <w:tab w:val="left" w:pos="720"/>
      </w:tabs>
      <w:spacing w:before="360" w:after="120"/>
      <w:ind w:left="720" w:hanging="720"/>
      <w:outlineLvl w:val="2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5CD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5CD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75CD"/>
    <w:rPr>
      <w:rFonts w:ascii="Times New Roman" w:eastAsia="Times New Roman" w:hAnsi="Times New Roman" w:cs="Times New Roman"/>
      <w:b/>
      <w:caps/>
      <w:sz w:val="24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rsid w:val="006075CD"/>
    <w:rPr>
      <w:rFonts w:ascii="Times New Roman" w:eastAsia="Times New Roman" w:hAnsi="Times New Roman" w:cs="Times New Roman"/>
      <w:b/>
      <w:sz w:val="24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6075CD"/>
    <w:rPr>
      <w:rFonts w:ascii="Times New Roman" w:eastAsia="Times New Roman" w:hAnsi="Times New Roman" w:cs="Times New Roman"/>
      <w:b/>
      <w:i/>
      <w:sz w:val="24"/>
      <w:szCs w:val="20"/>
      <w:lang w:eastAsia="en-AU"/>
    </w:rPr>
  </w:style>
  <w:style w:type="paragraph" w:customStyle="1" w:styleId="HB-Paragraph">
    <w:name w:val="HB - Paragraph"/>
    <w:basedOn w:val="Normal"/>
    <w:link w:val="HB-ParagraphCharChar"/>
    <w:rsid w:val="006075CD"/>
    <w:pPr>
      <w:numPr>
        <w:ilvl w:val="2"/>
        <w:numId w:val="1"/>
      </w:numPr>
      <w:spacing w:before="120" w:after="120"/>
    </w:pPr>
  </w:style>
  <w:style w:type="character" w:customStyle="1" w:styleId="HB-ParagraphCharChar">
    <w:name w:val="HB - Paragraph Char Char"/>
    <w:link w:val="HB-Paragraph"/>
    <w:rsid w:val="006075CD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AppendixTitle">
    <w:name w:val="Appendix Title"/>
    <w:basedOn w:val="Normal"/>
    <w:rsid w:val="006075CD"/>
    <w:pPr>
      <w:jc w:val="center"/>
    </w:pPr>
    <w:rPr>
      <w:b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5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5C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Appendix">
    <w:name w:val="Appendix"/>
    <w:basedOn w:val="Normal"/>
    <w:link w:val="AppendixCharChar"/>
    <w:rsid w:val="006075CD"/>
    <w:pPr>
      <w:spacing w:before="0"/>
      <w:jc w:val="right"/>
    </w:pPr>
    <w:rPr>
      <w:b/>
    </w:rPr>
  </w:style>
  <w:style w:type="character" w:customStyle="1" w:styleId="AppendixCharChar">
    <w:name w:val="Appendix Char Char"/>
    <w:link w:val="Appendix"/>
    <w:rsid w:val="006075CD"/>
    <w:rPr>
      <w:rFonts w:ascii="Times New Roman" w:eastAsia="Times New Roman" w:hAnsi="Times New Roman" w:cs="Times New Roman"/>
      <w:b/>
      <w:sz w:val="24"/>
      <w:szCs w:val="20"/>
      <w:lang w:eastAsia="en-AU"/>
    </w:rPr>
  </w:style>
  <w:style w:type="paragraph" w:customStyle="1" w:styleId="HB-Table-dotpoint">
    <w:name w:val="HB - Table - dot point"/>
    <w:basedOn w:val="Normal"/>
    <w:rsid w:val="006075CD"/>
    <w:pPr>
      <w:numPr>
        <w:numId w:val="3"/>
      </w:numPr>
      <w:tabs>
        <w:tab w:val="clear" w:pos="720"/>
        <w:tab w:val="num" w:pos="567"/>
      </w:tabs>
      <w:spacing w:before="120" w:after="120"/>
      <w:ind w:left="567" w:hanging="425"/>
    </w:pPr>
  </w:style>
  <w:style w:type="paragraph" w:customStyle="1" w:styleId="HB-Table-Subpoint">
    <w:name w:val="HB - Table - Subpoint"/>
    <w:basedOn w:val="Normal"/>
    <w:rsid w:val="006075CD"/>
    <w:pPr>
      <w:numPr>
        <w:numId w:val="2"/>
      </w:numPr>
      <w:tabs>
        <w:tab w:val="clear" w:pos="360"/>
        <w:tab w:val="num" w:pos="993"/>
      </w:tabs>
      <w:spacing w:before="60" w:after="60"/>
      <w:ind w:left="993" w:hanging="426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75CD"/>
    <w:pPr>
      <w:spacing w:before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5C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CD0B9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D0B9E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Paragraph">
    <w:name w:val="Paragraph"/>
    <w:basedOn w:val="Normal"/>
    <w:rsid w:val="00CD0B9E"/>
    <w:pPr>
      <w:numPr>
        <w:ilvl w:val="12"/>
      </w:numPr>
    </w:pPr>
  </w:style>
  <w:style w:type="paragraph" w:styleId="ListParagraph">
    <w:name w:val="List Paragraph"/>
    <w:basedOn w:val="Normal"/>
    <w:uiPriority w:val="34"/>
    <w:qFormat/>
    <w:rsid w:val="002F5F8B"/>
    <w:pPr>
      <w:spacing w:before="0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B2BA3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B2BA3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Paragraphnumbered">
    <w:name w:val="Paragraph (numbered)"/>
    <w:basedOn w:val="Normal"/>
    <w:rsid w:val="00AE0E9A"/>
    <w:pPr>
      <w:numPr>
        <w:numId w:val="7"/>
      </w:numPr>
      <w:spacing w:line="360" w:lineRule="auto"/>
    </w:pPr>
  </w:style>
  <w:style w:type="paragraph" w:customStyle="1" w:styleId="Default">
    <w:name w:val="Default"/>
    <w:rsid w:val="006560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B9E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6075CD"/>
    <w:pPr>
      <w:keepNext/>
      <w:numPr>
        <w:numId w:val="1"/>
      </w:numPr>
      <w:spacing w:before="0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6075CD"/>
    <w:pPr>
      <w:keepNext/>
      <w:numPr>
        <w:ilvl w:val="1"/>
        <w:numId w:val="1"/>
      </w:numPr>
      <w:spacing w:before="360" w:after="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6075CD"/>
    <w:pPr>
      <w:keepNext/>
      <w:tabs>
        <w:tab w:val="left" w:pos="720"/>
      </w:tabs>
      <w:spacing w:before="360" w:after="120"/>
      <w:ind w:left="720" w:hanging="720"/>
      <w:outlineLvl w:val="2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5CD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5CD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75CD"/>
    <w:rPr>
      <w:rFonts w:ascii="Times New Roman" w:eastAsia="Times New Roman" w:hAnsi="Times New Roman" w:cs="Times New Roman"/>
      <w:b/>
      <w:caps/>
      <w:sz w:val="24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rsid w:val="006075CD"/>
    <w:rPr>
      <w:rFonts w:ascii="Times New Roman" w:eastAsia="Times New Roman" w:hAnsi="Times New Roman" w:cs="Times New Roman"/>
      <w:b/>
      <w:sz w:val="24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6075CD"/>
    <w:rPr>
      <w:rFonts w:ascii="Times New Roman" w:eastAsia="Times New Roman" w:hAnsi="Times New Roman" w:cs="Times New Roman"/>
      <w:b/>
      <w:i/>
      <w:sz w:val="24"/>
      <w:szCs w:val="20"/>
      <w:lang w:eastAsia="en-AU"/>
    </w:rPr>
  </w:style>
  <w:style w:type="paragraph" w:customStyle="1" w:styleId="HB-Paragraph">
    <w:name w:val="HB - Paragraph"/>
    <w:basedOn w:val="Normal"/>
    <w:link w:val="HB-ParagraphCharChar"/>
    <w:rsid w:val="006075CD"/>
    <w:pPr>
      <w:numPr>
        <w:ilvl w:val="2"/>
        <w:numId w:val="1"/>
      </w:numPr>
      <w:spacing w:before="120" w:after="120"/>
    </w:pPr>
  </w:style>
  <w:style w:type="character" w:customStyle="1" w:styleId="HB-ParagraphCharChar">
    <w:name w:val="HB - Paragraph Char Char"/>
    <w:link w:val="HB-Paragraph"/>
    <w:rsid w:val="006075CD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AppendixTitle">
    <w:name w:val="Appendix Title"/>
    <w:basedOn w:val="Normal"/>
    <w:rsid w:val="006075CD"/>
    <w:pPr>
      <w:jc w:val="center"/>
    </w:pPr>
    <w:rPr>
      <w:b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5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5C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Appendix">
    <w:name w:val="Appendix"/>
    <w:basedOn w:val="Normal"/>
    <w:link w:val="AppendixCharChar"/>
    <w:rsid w:val="006075CD"/>
    <w:pPr>
      <w:spacing w:before="0"/>
      <w:jc w:val="right"/>
    </w:pPr>
    <w:rPr>
      <w:b/>
    </w:rPr>
  </w:style>
  <w:style w:type="character" w:customStyle="1" w:styleId="AppendixCharChar">
    <w:name w:val="Appendix Char Char"/>
    <w:link w:val="Appendix"/>
    <w:rsid w:val="006075CD"/>
    <w:rPr>
      <w:rFonts w:ascii="Times New Roman" w:eastAsia="Times New Roman" w:hAnsi="Times New Roman" w:cs="Times New Roman"/>
      <w:b/>
      <w:sz w:val="24"/>
      <w:szCs w:val="20"/>
      <w:lang w:eastAsia="en-AU"/>
    </w:rPr>
  </w:style>
  <w:style w:type="paragraph" w:customStyle="1" w:styleId="HB-Table-dotpoint">
    <w:name w:val="HB - Table - dot point"/>
    <w:basedOn w:val="Normal"/>
    <w:rsid w:val="006075CD"/>
    <w:pPr>
      <w:numPr>
        <w:numId w:val="3"/>
      </w:numPr>
      <w:tabs>
        <w:tab w:val="clear" w:pos="720"/>
        <w:tab w:val="num" w:pos="567"/>
      </w:tabs>
      <w:spacing w:before="120" w:after="120"/>
      <w:ind w:left="567" w:hanging="425"/>
    </w:pPr>
  </w:style>
  <w:style w:type="paragraph" w:customStyle="1" w:styleId="HB-Table-Subpoint">
    <w:name w:val="HB - Table - Subpoint"/>
    <w:basedOn w:val="Normal"/>
    <w:rsid w:val="006075CD"/>
    <w:pPr>
      <w:numPr>
        <w:numId w:val="2"/>
      </w:numPr>
      <w:tabs>
        <w:tab w:val="clear" w:pos="360"/>
        <w:tab w:val="num" w:pos="993"/>
      </w:tabs>
      <w:spacing w:before="60" w:after="60"/>
      <w:ind w:left="993" w:hanging="426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75CD"/>
    <w:pPr>
      <w:spacing w:before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5C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CD0B9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D0B9E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Paragraph">
    <w:name w:val="Paragraph"/>
    <w:basedOn w:val="Normal"/>
    <w:rsid w:val="00CD0B9E"/>
    <w:pPr>
      <w:numPr>
        <w:ilvl w:val="12"/>
      </w:numPr>
    </w:pPr>
  </w:style>
  <w:style w:type="paragraph" w:styleId="ListParagraph">
    <w:name w:val="List Paragraph"/>
    <w:basedOn w:val="Normal"/>
    <w:uiPriority w:val="34"/>
    <w:qFormat/>
    <w:rsid w:val="002F5F8B"/>
    <w:pPr>
      <w:spacing w:before="0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B2BA3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B2BA3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Paragraphnumbered">
    <w:name w:val="Paragraph (numbered)"/>
    <w:basedOn w:val="Normal"/>
    <w:rsid w:val="00AE0E9A"/>
    <w:pPr>
      <w:numPr>
        <w:numId w:val="7"/>
      </w:numPr>
      <w:spacing w:line="360" w:lineRule="auto"/>
    </w:pPr>
  </w:style>
  <w:style w:type="paragraph" w:customStyle="1" w:styleId="Default">
    <w:name w:val="Default"/>
    <w:rsid w:val="006560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0AAC5-A2FD-4132-B467-75E573841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Attorney General's Department</Company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brownt</dc:creator>
  <cp:lastModifiedBy>Hilhorst, Matt</cp:lastModifiedBy>
  <cp:revision>2</cp:revision>
  <cp:lastPrinted>2013-03-28T01:46:00Z</cp:lastPrinted>
  <dcterms:created xsi:type="dcterms:W3CDTF">2013-07-24T05:06:00Z</dcterms:created>
  <dcterms:modified xsi:type="dcterms:W3CDTF">2013-07-24T05:06:00Z</dcterms:modified>
</cp:coreProperties>
</file>