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7DC" w:rsidRPr="00105ABD" w:rsidRDefault="009077DC" w:rsidP="009077DC">
      <w:pPr>
        <w:pStyle w:val="Style3"/>
        <w:spacing w:before="240"/>
      </w:pPr>
      <w:r w:rsidRPr="00105ABD">
        <w:t xml:space="preserve">EXPLANATORY </w:t>
      </w:r>
      <w:r w:rsidR="00906346">
        <w:t>STATEMENT</w:t>
      </w:r>
    </w:p>
    <w:p w:rsidR="00C866C4" w:rsidRPr="00C866C4" w:rsidRDefault="00C866C4" w:rsidP="00C866C4">
      <w:pPr>
        <w:spacing w:before="0"/>
        <w:ind w:right="91"/>
        <w:jc w:val="center"/>
        <w:rPr>
          <w:b/>
          <w:bCs/>
          <w:sz w:val="28"/>
          <w:u w:val="single"/>
        </w:rPr>
      </w:pPr>
      <w:r w:rsidRPr="00C866C4">
        <w:rPr>
          <w:b/>
          <w:bCs/>
          <w:sz w:val="28"/>
          <w:u w:val="single"/>
        </w:rPr>
        <w:t>Select Legis</w:t>
      </w:r>
      <w:r w:rsidR="008B586C">
        <w:rPr>
          <w:b/>
          <w:bCs/>
          <w:sz w:val="28"/>
          <w:u w:val="single"/>
        </w:rPr>
        <w:t>lative Instrument 2013 No.</w:t>
      </w:r>
      <w:r w:rsidR="00E20BEB">
        <w:rPr>
          <w:b/>
          <w:bCs/>
          <w:sz w:val="28"/>
          <w:u w:val="single"/>
        </w:rPr>
        <w:t xml:space="preserve"> 175</w:t>
      </w:r>
    </w:p>
    <w:p w:rsidR="00C866C4" w:rsidRPr="00C866C4" w:rsidRDefault="00C866C4" w:rsidP="00C866C4">
      <w:pPr>
        <w:keepNext/>
        <w:ind w:right="91"/>
        <w:jc w:val="center"/>
        <w:outlineLvl w:val="5"/>
        <w:rPr>
          <w:u w:val="single"/>
        </w:rPr>
      </w:pPr>
      <w:r w:rsidRPr="00C866C4">
        <w:rPr>
          <w:u w:val="single"/>
        </w:rPr>
        <w:t xml:space="preserve">Issued by the Authority of the </w:t>
      </w:r>
      <w:r w:rsidR="00871FE9">
        <w:rPr>
          <w:u w:val="single"/>
        </w:rPr>
        <w:t>Minister</w:t>
      </w:r>
      <w:r w:rsidRPr="00C866C4">
        <w:rPr>
          <w:u w:val="single"/>
        </w:rPr>
        <w:t xml:space="preserve"> for </w:t>
      </w:r>
      <w:r w:rsidRPr="005D4067">
        <w:rPr>
          <w:u w:val="single"/>
        </w:rPr>
        <w:t>Climate Change</w:t>
      </w:r>
    </w:p>
    <w:p w:rsidR="00190BC9" w:rsidRDefault="00190BC9" w:rsidP="003B1707">
      <w:pPr>
        <w:jc w:val="center"/>
        <w:rPr>
          <w:i/>
        </w:rPr>
      </w:pPr>
      <w:r w:rsidRPr="00BA1A82">
        <w:rPr>
          <w:i/>
        </w:rPr>
        <w:t>National Greenhouse and Energy Reporting</w:t>
      </w:r>
      <w:r>
        <w:rPr>
          <w:i/>
        </w:rPr>
        <w:t xml:space="preserve"> Act 2007</w:t>
      </w:r>
    </w:p>
    <w:p w:rsidR="003B1707" w:rsidRDefault="003B1707" w:rsidP="003B1707">
      <w:pPr>
        <w:jc w:val="center"/>
        <w:rPr>
          <w:i/>
        </w:rPr>
      </w:pPr>
      <w:r w:rsidRPr="003B1707">
        <w:rPr>
          <w:i/>
        </w:rPr>
        <w:t>National Greenhouse and Energy Reporting Amendment (</w:t>
      </w:r>
      <w:r w:rsidR="006F6C63">
        <w:rPr>
          <w:i/>
        </w:rPr>
        <w:t xml:space="preserve">Streamlining </w:t>
      </w:r>
      <w:r w:rsidR="00386E59">
        <w:rPr>
          <w:i/>
        </w:rPr>
        <w:t>Reporting</w:t>
      </w:r>
      <w:r w:rsidR="00871FE9">
        <w:rPr>
          <w:i/>
        </w:rPr>
        <w:t>) Regulation </w:t>
      </w:r>
      <w:r w:rsidRPr="003B1707">
        <w:rPr>
          <w:i/>
        </w:rPr>
        <w:t>2013</w:t>
      </w:r>
    </w:p>
    <w:p w:rsidR="00D4072B" w:rsidRDefault="00D4072B" w:rsidP="00D4072B">
      <w:pPr>
        <w:spacing w:before="0"/>
        <w:ind w:right="91"/>
      </w:pPr>
      <w:r>
        <w:t xml:space="preserve">Section 77 of the </w:t>
      </w:r>
      <w:r>
        <w:rPr>
          <w:i/>
        </w:rPr>
        <w:t>National Greenhouse and Energy Reporting Act 2007</w:t>
      </w:r>
      <w:r>
        <w:t xml:space="preserve"> (the NGER Act) provi</w:t>
      </w:r>
      <w:r w:rsidR="008E7A42">
        <w:t>des, in part, that the Governor-</w:t>
      </w:r>
      <w:r>
        <w:t xml:space="preserve">General may make regulations required or permitted by the NGER Act, or necessary or convenient to be prescribed for carrying out or giving effect to the NGER Act. The NGER Act and its supporting legislative instrument, the </w:t>
      </w:r>
      <w:r w:rsidRPr="003437E6">
        <w:rPr>
          <w:i/>
        </w:rPr>
        <w:t>National Greenhouse and Energy Reportin</w:t>
      </w:r>
      <w:r>
        <w:rPr>
          <w:i/>
        </w:rPr>
        <w:t xml:space="preserve">g Regulations 2008 </w:t>
      </w:r>
      <w:r>
        <w:t xml:space="preserve">(the NGER Regulations) </w:t>
      </w:r>
      <w:r w:rsidRPr="00056BCE">
        <w:t>provide a data and accounting framework in relat</w:t>
      </w:r>
      <w:r>
        <w:t xml:space="preserve">ion to greenhouse gas emissions, </w:t>
      </w:r>
      <w:r w:rsidRPr="00056BCE">
        <w:t>en</w:t>
      </w:r>
      <w:r>
        <w:t xml:space="preserve">ergy consumption and energy production. This framework </w:t>
      </w:r>
      <w:r w:rsidRPr="00056BCE">
        <w:t>underpin</w:t>
      </w:r>
      <w:r>
        <w:t>s</w:t>
      </w:r>
      <w:r w:rsidRPr="00056BCE">
        <w:t xml:space="preserve"> the </w:t>
      </w:r>
      <w:r>
        <w:t>carbon pricing mechanism</w:t>
      </w:r>
      <w:r w:rsidRPr="00056BCE">
        <w:t>.</w:t>
      </w:r>
    </w:p>
    <w:p w:rsidR="00D4072B" w:rsidRDefault="00D4072B" w:rsidP="00D4072B">
      <w:pPr>
        <w:spacing w:before="0"/>
        <w:ind w:right="91"/>
      </w:pPr>
      <w:r>
        <w:t xml:space="preserve">The </w:t>
      </w:r>
      <w:r w:rsidRPr="00C367E5">
        <w:rPr>
          <w:i/>
        </w:rPr>
        <w:t xml:space="preserve">National Greenhouse and Energy Reporting Amendment (Streamlining Reporting) Regulation 2013 </w:t>
      </w:r>
      <w:r>
        <w:t>(the Regulation) amend</w:t>
      </w:r>
      <w:r w:rsidR="009B0CED">
        <w:t>s</w:t>
      </w:r>
      <w:r>
        <w:t xml:space="preserve"> the NGER Regulations. </w:t>
      </w:r>
    </w:p>
    <w:p w:rsidR="00D4072B" w:rsidRPr="00D4072B" w:rsidRDefault="00D4072B" w:rsidP="00D4072B">
      <w:pPr>
        <w:spacing w:before="0"/>
        <w:ind w:right="91"/>
        <w:rPr>
          <w:i/>
          <w:iCs/>
          <w:u w:val="single"/>
          <w:lang w:val="en-GB"/>
        </w:rPr>
      </w:pPr>
      <w:r>
        <w:rPr>
          <w:i/>
          <w:iCs/>
          <w:u w:val="single"/>
          <w:lang w:val="en-GB"/>
        </w:rPr>
        <w:t xml:space="preserve">Amendments to streamline the reporting requirements of entities under the NGER Scheme </w:t>
      </w:r>
    </w:p>
    <w:p w:rsidR="00B03178" w:rsidRPr="00AF311C" w:rsidRDefault="00B03178" w:rsidP="00B03178">
      <w:pPr>
        <w:spacing w:before="0"/>
        <w:ind w:right="91"/>
      </w:pPr>
      <w:r>
        <w:rPr>
          <w:color w:val="000000"/>
        </w:rPr>
        <w:t>A</w:t>
      </w:r>
      <w:r w:rsidRPr="00907145">
        <w:rPr>
          <w:color w:val="000000"/>
        </w:rPr>
        <w:t xml:space="preserve"> </w:t>
      </w:r>
      <w:r>
        <w:rPr>
          <w:color w:val="000000"/>
        </w:rPr>
        <w:t>person</w:t>
      </w:r>
      <w:r w:rsidRPr="00907145">
        <w:rPr>
          <w:color w:val="000000"/>
        </w:rPr>
        <w:t xml:space="preserve"> that triggers a </w:t>
      </w:r>
      <w:r>
        <w:rPr>
          <w:color w:val="000000"/>
        </w:rPr>
        <w:t xml:space="preserve">threshold in section 13 of the NGER Act must register </w:t>
      </w:r>
      <w:r w:rsidR="007842F0">
        <w:rPr>
          <w:color w:val="000000"/>
        </w:rPr>
        <w:t xml:space="preserve">with </w:t>
      </w:r>
      <w:r>
        <w:rPr>
          <w:color w:val="000000"/>
        </w:rPr>
        <w:t xml:space="preserve">and </w:t>
      </w:r>
      <w:r w:rsidRPr="00907145">
        <w:rPr>
          <w:color w:val="000000"/>
        </w:rPr>
        <w:t xml:space="preserve">report </w:t>
      </w:r>
      <w:r w:rsidR="007842F0">
        <w:rPr>
          <w:color w:val="000000"/>
        </w:rPr>
        <w:t xml:space="preserve">to the Clean Energy Regulator </w:t>
      </w:r>
      <w:r w:rsidRPr="00907145">
        <w:rPr>
          <w:color w:val="000000"/>
        </w:rPr>
        <w:t xml:space="preserve">on their energy consumption, energy production and greenhouse gas emissions. </w:t>
      </w:r>
      <w:r>
        <w:t xml:space="preserve">The details of the information required in these </w:t>
      </w:r>
      <w:r w:rsidR="00A20C45">
        <w:t>reports are set out in the NGER </w:t>
      </w:r>
      <w:r>
        <w:t xml:space="preserve">Regulations. </w:t>
      </w:r>
    </w:p>
    <w:p w:rsidR="00D4072B" w:rsidRPr="00D4072B" w:rsidRDefault="00D4072B" w:rsidP="00D4072B">
      <w:pPr>
        <w:tabs>
          <w:tab w:val="num" w:pos="0"/>
        </w:tabs>
        <w:spacing w:before="0"/>
        <w:ind w:right="91"/>
        <w:rPr>
          <w:color w:val="000000"/>
        </w:rPr>
      </w:pPr>
      <w:r>
        <w:rPr>
          <w:color w:val="000000"/>
        </w:rPr>
        <w:t>The Regulation</w:t>
      </w:r>
      <w:r w:rsidR="008709E9">
        <w:rPr>
          <w:color w:val="000000"/>
        </w:rPr>
        <w:t xml:space="preserve">, which is a result of </w:t>
      </w:r>
      <w:r w:rsidR="00DC62F3">
        <w:rPr>
          <w:color w:val="000000"/>
        </w:rPr>
        <w:t xml:space="preserve">the </w:t>
      </w:r>
      <w:r w:rsidR="008709E9">
        <w:rPr>
          <w:color w:val="000000"/>
        </w:rPr>
        <w:t>consultation</w:t>
      </w:r>
      <w:r w:rsidR="00DC62F3">
        <w:rPr>
          <w:color w:val="000000"/>
        </w:rPr>
        <w:t xml:space="preserve"> processes described below</w:t>
      </w:r>
      <w:r w:rsidR="008709E9">
        <w:rPr>
          <w:color w:val="000000"/>
        </w:rPr>
        <w:t>,</w:t>
      </w:r>
      <w:r>
        <w:rPr>
          <w:color w:val="000000"/>
        </w:rPr>
        <w:t xml:space="preserve"> introduce</w:t>
      </w:r>
      <w:r w:rsidR="00112064">
        <w:rPr>
          <w:color w:val="000000"/>
        </w:rPr>
        <w:t>s</w:t>
      </w:r>
      <w:r>
        <w:rPr>
          <w:color w:val="000000"/>
        </w:rPr>
        <w:t xml:space="preserve"> amendments to streamline the reporting requirements under the NGER Scheme</w:t>
      </w:r>
      <w:r w:rsidR="008709E9">
        <w:rPr>
          <w:color w:val="000000"/>
        </w:rPr>
        <w:t xml:space="preserve">. The amendments will allow many reporters to reduce </w:t>
      </w:r>
      <w:r>
        <w:rPr>
          <w:color w:val="000000"/>
        </w:rPr>
        <w:t>the</w:t>
      </w:r>
      <w:r w:rsidR="008709E9">
        <w:rPr>
          <w:color w:val="000000"/>
        </w:rPr>
        <w:t>ir</w:t>
      </w:r>
      <w:r>
        <w:rPr>
          <w:color w:val="000000"/>
        </w:rPr>
        <w:t xml:space="preserve"> </w:t>
      </w:r>
      <w:r w:rsidR="008709E9">
        <w:rPr>
          <w:color w:val="000000"/>
        </w:rPr>
        <w:t xml:space="preserve">compliance </w:t>
      </w:r>
      <w:r>
        <w:rPr>
          <w:color w:val="000000"/>
        </w:rPr>
        <w:t>cost</w:t>
      </w:r>
      <w:r w:rsidR="008709E9">
        <w:rPr>
          <w:color w:val="000000"/>
        </w:rPr>
        <w:t>s, without reducing the integrity of the Scheme</w:t>
      </w:r>
      <w:r w:rsidR="00525DEA">
        <w:rPr>
          <w:color w:val="000000"/>
        </w:rPr>
        <w:t>.</w:t>
      </w:r>
      <w:r w:rsidR="008709E9">
        <w:rPr>
          <w:color w:val="000000"/>
        </w:rPr>
        <w:t xml:space="preserve"> </w:t>
      </w:r>
      <w:r w:rsidR="00525DEA">
        <w:rPr>
          <w:color w:val="000000"/>
        </w:rPr>
        <w:t>T</w:t>
      </w:r>
      <w:r w:rsidR="008709E9">
        <w:rPr>
          <w:color w:val="000000"/>
        </w:rPr>
        <w:t>he</w:t>
      </w:r>
      <w:r w:rsidR="00DC62F3">
        <w:rPr>
          <w:color w:val="000000"/>
        </w:rPr>
        <w:t xml:space="preserve"> amendments </w:t>
      </w:r>
      <w:r>
        <w:rPr>
          <w:color w:val="000000"/>
        </w:rPr>
        <w:t xml:space="preserve">are briefly outlined below. </w:t>
      </w:r>
    </w:p>
    <w:p w:rsidR="00D4072B" w:rsidRPr="00D4072B" w:rsidRDefault="00D4072B" w:rsidP="00D4072B">
      <w:pPr>
        <w:spacing w:before="0"/>
        <w:ind w:right="91"/>
        <w:rPr>
          <w:i/>
          <w:u w:val="single"/>
        </w:rPr>
      </w:pPr>
      <w:r>
        <w:rPr>
          <w:i/>
          <w:iCs/>
          <w:u w:val="single"/>
          <w:lang w:val="en-GB"/>
        </w:rPr>
        <w:t xml:space="preserve">Amendment to </w:t>
      </w:r>
      <w:r w:rsidR="00712BC5">
        <w:rPr>
          <w:i/>
          <w:iCs/>
          <w:u w:val="single"/>
          <w:lang w:val="en-GB"/>
        </w:rPr>
        <w:t>r</w:t>
      </w:r>
      <w:r w:rsidR="00C86282">
        <w:rPr>
          <w:i/>
          <w:iCs/>
          <w:u w:val="single"/>
          <w:lang w:val="en-GB"/>
        </w:rPr>
        <w:t xml:space="preserve">egulation 4.17A - </w:t>
      </w:r>
      <w:r>
        <w:rPr>
          <w:i/>
          <w:iCs/>
          <w:u w:val="single"/>
          <w:lang w:val="en-GB"/>
        </w:rPr>
        <w:t xml:space="preserve">reporting of statistical uncertainty </w:t>
      </w:r>
    </w:p>
    <w:p w:rsidR="00D4072B" w:rsidRDefault="00C6180B" w:rsidP="00D4072B">
      <w:pPr>
        <w:spacing w:before="0"/>
        <w:ind w:right="91"/>
      </w:pPr>
      <w:r>
        <w:t>C</w:t>
      </w:r>
      <w:r w:rsidR="00D4072B">
        <w:t>ontrolling corporation</w:t>
      </w:r>
      <w:r>
        <w:t>s</w:t>
      </w:r>
      <w:r w:rsidR="00D4072B" w:rsidRPr="00B334AE">
        <w:t xml:space="preserve"> </w:t>
      </w:r>
      <w:r w:rsidR="00687771">
        <w:t>(constitutional corporations that do not have a holding company incorporated in Australia)</w:t>
      </w:r>
      <w:r w:rsidR="00687771" w:rsidRPr="00B334AE">
        <w:t xml:space="preserve"> </w:t>
      </w:r>
      <w:r w:rsidR="00687771">
        <w:t xml:space="preserve">that trigger a threshold under the NGER Act </w:t>
      </w:r>
      <w:r w:rsidR="00D4072B" w:rsidRPr="00B334AE">
        <w:t xml:space="preserve">must </w:t>
      </w:r>
      <w:r>
        <w:t>provide an</w:t>
      </w:r>
      <w:r w:rsidR="00D4072B" w:rsidRPr="00B334AE">
        <w:t xml:space="preserve"> estimate of the statistical uncertainty associated with the</w:t>
      </w:r>
      <w:r>
        <w:t>ir</w:t>
      </w:r>
      <w:r w:rsidR="00D4072B" w:rsidRPr="00B334AE">
        <w:t xml:space="preserve"> total </w:t>
      </w:r>
      <w:r>
        <w:t xml:space="preserve">reported </w:t>
      </w:r>
      <w:r w:rsidR="00D4072B" w:rsidRPr="00B334AE">
        <w:t>scope 1 emissions</w:t>
      </w:r>
      <w:r w:rsidR="00A01CDC">
        <w:t xml:space="preserve"> (the greenhouse gases emitted as a direct result of an activity or activities that constitute the facility)</w:t>
      </w:r>
      <w:r w:rsidR="00D4072B" w:rsidRPr="00B334AE">
        <w:t>.</w:t>
      </w:r>
      <w:r w:rsidR="00D4072B">
        <w:t xml:space="preserve"> This requires the controlling corporation to estimate the statistical uncertainty associated with the measurement of emissions from each source</w:t>
      </w:r>
      <w:r w:rsidR="00C5114A">
        <w:t xml:space="preserve">, and </w:t>
      </w:r>
      <w:r w:rsidR="00525DEA">
        <w:t>aggregate that information to the facility and corporate group levels.</w:t>
      </w:r>
      <w:r w:rsidR="00D4072B">
        <w:t xml:space="preserve"> </w:t>
      </w:r>
    </w:p>
    <w:p w:rsidR="00B03178" w:rsidRDefault="00B03178" w:rsidP="00B03178">
      <w:pPr>
        <w:keepLines/>
        <w:spacing w:before="0"/>
        <w:ind w:right="91"/>
      </w:pPr>
      <w:r>
        <w:t xml:space="preserve">The Regulation amends the NGER Regulations so that the requirement to calculate and report uncertainty only applies to </w:t>
      </w:r>
      <w:r w:rsidR="00591250">
        <w:t>very large uses of fuel</w:t>
      </w:r>
      <w:r>
        <w:t xml:space="preserve"> and other sources of emissions.</w:t>
      </w:r>
    </w:p>
    <w:p w:rsidR="00D4072B" w:rsidRPr="00D4072B" w:rsidRDefault="00157383" w:rsidP="00DE4B63">
      <w:pPr>
        <w:keepLines/>
        <w:spacing w:before="0"/>
        <w:ind w:right="91"/>
      </w:pPr>
      <w:r>
        <w:lastRenderedPageBreak/>
        <w:t>T</w:t>
      </w:r>
      <w:r w:rsidR="00D4072B" w:rsidRPr="00AF6D29">
        <w:t xml:space="preserve">he Department estimates </w:t>
      </w:r>
      <w:r w:rsidR="004A19CB">
        <w:t xml:space="preserve">that </w:t>
      </w:r>
      <w:r>
        <w:t xml:space="preserve">with these amendments, </w:t>
      </w:r>
      <w:r w:rsidR="004A19CB">
        <w:t xml:space="preserve">uncertainty </w:t>
      </w:r>
      <w:r>
        <w:t xml:space="preserve">information </w:t>
      </w:r>
      <w:r w:rsidR="004A19CB">
        <w:t xml:space="preserve">will still be </w:t>
      </w:r>
      <w:r w:rsidR="003C6DA1">
        <w:t>collected</w:t>
      </w:r>
      <w:r w:rsidR="004A19CB">
        <w:t xml:space="preserve"> for </w:t>
      </w:r>
      <w:r w:rsidR="003C6DA1">
        <w:t xml:space="preserve">approximately </w:t>
      </w:r>
      <w:r w:rsidR="004A19CB">
        <w:t xml:space="preserve">90 per cent of reported scope 1 emissions, </w:t>
      </w:r>
      <w:r w:rsidR="00DC1235">
        <w:t>whilst</w:t>
      </w:r>
      <w:r w:rsidR="004A19CB">
        <w:t xml:space="preserve"> the majority of reporters </w:t>
      </w:r>
      <w:r w:rsidR="00FE68F2">
        <w:t>would</w:t>
      </w:r>
      <w:r w:rsidR="004A19CB">
        <w:t xml:space="preserve"> </w:t>
      </w:r>
      <w:r w:rsidR="00FE68F2">
        <w:t>be relieved from having</w:t>
      </w:r>
      <w:r w:rsidR="004A19CB">
        <w:t xml:space="preserve"> to calculate or report uncertainty at all.</w:t>
      </w:r>
      <w:r w:rsidR="00D4072B">
        <w:t xml:space="preserve"> </w:t>
      </w:r>
    </w:p>
    <w:p w:rsidR="00D4072B" w:rsidRPr="00D4072B" w:rsidRDefault="00D4072B" w:rsidP="00D4072B">
      <w:pPr>
        <w:spacing w:before="0"/>
        <w:ind w:right="91"/>
        <w:rPr>
          <w:i/>
          <w:u w:val="single"/>
        </w:rPr>
      </w:pPr>
      <w:r>
        <w:rPr>
          <w:i/>
          <w:iCs/>
          <w:u w:val="single"/>
          <w:lang w:val="en-GB"/>
        </w:rPr>
        <w:t xml:space="preserve">Amendments to </w:t>
      </w:r>
      <w:r w:rsidR="00DF6D79">
        <w:rPr>
          <w:i/>
          <w:iCs/>
          <w:u w:val="single"/>
          <w:lang w:val="en-GB"/>
        </w:rPr>
        <w:t>r</w:t>
      </w:r>
      <w:r w:rsidR="004A19CB">
        <w:rPr>
          <w:i/>
          <w:iCs/>
          <w:u w:val="single"/>
          <w:lang w:val="en-GB"/>
        </w:rPr>
        <w:t xml:space="preserve">egulations 4.26 and 4.27 - </w:t>
      </w:r>
      <w:r>
        <w:rPr>
          <w:i/>
          <w:iCs/>
          <w:u w:val="single"/>
          <w:lang w:val="en-GB"/>
        </w:rPr>
        <w:t xml:space="preserve">percentage </w:t>
      </w:r>
      <w:r w:rsidR="004A19CB">
        <w:rPr>
          <w:i/>
          <w:iCs/>
          <w:u w:val="single"/>
          <w:lang w:val="en-GB"/>
        </w:rPr>
        <w:t>and incidental reporting</w:t>
      </w:r>
    </w:p>
    <w:p w:rsidR="00D4072B" w:rsidRDefault="00D4072B" w:rsidP="00D4072B">
      <w:pPr>
        <w:tabs>
          <w:tab w:val="left" w:pos="6521"/>
        </w:tabs>
        <w:spacing w:before="0"/>
        <w:ind w:right="91"/>
      </w:pPr>
      <w:r w:rsidRPr="00E84030">
        <w:t xml:space="preserve">NGER </w:t>
      </w:r>
      <w:r w:rsidR="00712BC5">
        <w:t>r</w:t>
      </w:r>
      <w:r w:rsidRPr="00E84030">
        <w:t>egulations 4.26 and 4.27 allow reporters to develop and use their own simplified methods for estimating emissions and energy production and consumption associated with small sources and small facilities, instead of using the more sophisticated measurement methods set out in the Measurement Determination.</w:t>
      </w:r>
    </w:p>
    <w:p w:rsidR="00B03178" w:rsidRDefault="00B03178" w:rsidP="00B03178">
      <w:pPr>
        <w:tabs>
          <w:tab w:val="left" w:pos="6521"/>
        </w:tabs>
        <w:spacing w:before="0"/>
        <w:ind w:right="91"/>
      </w:pPr>
      <w:r>
        <w:t xml:space="preserve">The Regulation amends </w:t>
      </w:r>
      <w:r w:rsidR="00712BC5">
        <w:t>r</w:t>
      </w:r>
      <w:r>
        <w:t>egulations 4.26 and 4.27 to make them m</w:t>
      </w:r>
      <w:r w:rsidR="00DF6D79">
        <w:t xml:space="preserve">ore accessible to reporters by </w:t>
      </w:r>
      <w:r>
        <w:t xml:space="preserve">increasing the </w:t>
      </w:r>
      <w:r w:rsidR="00DF6D79">
        <w:t>thresholds</w:t>
      </w:r>
      <w:r>
        <w:t xml:space="preserve"> and removing other restrictions on their use.</w:t>
      </w:r>
    </w:p>
    <w:p w:rsidR="00D4072B" w:rsidRDefault="00D4072B" w:rsidP="00D4072B">
      <w:pPr>
        <w:spacing w:before="0"/>
        <w:ind w:right="91"/>
        <w:rPr>
          <w:i/>
          <w:iCs/>
          <w:u w:val="single"/>
          <w:lang w:val="en-GB"/>
        </w:rPr>
      </w:pPr>
      <w:r>
        <w:rPr>
          <w:i/>
          <w:iCs/>
          <w:u w:val="single"/>
          <w:lang w:val="en-GB"/>
        </w:rPr>
        <w:t>Amendment</w:t>
      </w:r>
      <w:r w:rsidRPr="002D60EC">
        <w:rPr>
          <w:i/>
          <w:iCs/>
          <w:u w:val="single"/>
          <w:lang w:val="en-GB"/>
        </w:rPr>
        <w:t xml:space="preserve"> to </w:t>
      </w:r>
      <w:r w:rsidR="00C86282">
        <w:rPr>
          <w:i/>
          <w:iCs/>
          <w:u w:val="single"/>
          <w:lang w:val="en-GB"/>
        </w:rPr>
        <w:t xml:space="preserve">regulation 4.25 - </w:t>
      </w:r>
      <w:r w:rsidR="00AB78F2">
        <w:rPr>
          <w:i/>
          <w:iCs/>
          <w:u w:val="single"/>
          <w:lang w:val="en-GB"/>
        </w:rPr>
        <w:t>facility aggregates</w:t>
      </w:r>
    </w:p>
    <w:p w:rsidR="00B03178" w:rsidRDefault="00B03178" w:rsidP="00B03178">
      <w:pPr>
        <w:spacing w:before="0"/>
        <w:ind w:right="91"/>
        <w:rPr>
          <w:iCs/>
          <w:lang w:val="en-GB"/>
        </w:rPr>
      </w:pPr>
      <w:r w:rsidRPr="00056A5E">
        <w:rPr>
          <w:iCs/>
          <w:lang w:val="en-GB"/>
        </w:rPr>
        <w:t>Regulation 4.25 a</w:t>
      </w:r>
      <w:r>
        <w:rPr>
          <w:iCs/>
          <w:lang w:val="en-GB"/>
        </w:rPr>
        <w:t xml:space="preserve">llows controlling corporations </w:t>
      </w:r>
      <w:r w:rsidRPr="00056A5E">
        <w:rPr>
          <w:iCs/>
          <w:lang w:val="en-GB"/>
        </w:rPr>
        <w:t xml:space="preserve">to report information for </w:t>
      </w:r>
      <w:r w:rsidR="003317CF">
        <w:rPr>
          <w:iCs/>
          <w:lang w:val="en-GB"/>
        </w:rPr>
        <w:t xml:space="preserve">their </w:t>
      </w:r>
      <w:r>
        <w:rPr>
          <w:iCs/>
          <w:lang w:val="en-GB"/>
        </w:rPr>
        <w:t xml:space="preserve">smaller </w:t>
      </w:r>
      <w:r w:rsidRPr="00056A5E">
        <w:rPr>
          <w:iCs/>
          <w:lang w:val="en-GB"/>
        </w:rPr>
        <w:t>facilities</w:t>
      </w:r>
      <w:r w:rsidR="003317CF">
        <w:rPr>
          <w:iCs/>
          <w:lang w:val="en-GB"/>
        </w:rPr>
        <w:t xml:space="preserve"> in aggregated form</w:t>
      </w:r>
      <w:r w:rsidRPr="00056A5E">
        <w:rPr>
          <w:iCs/>
          <w:lang w:val="en-GB"/>
        </w:rPr>
        <w:t>.</w:t>
      </w:r>
      <w:r>
        <w:rPr>
          <w:iCs/>
          <w:lang w:val="en-GB"/>
        </w:rPr>
        <w:t xml:space="preserve"> The Regulation would </w:t>
      </w:r>
      <w:r w:rsidR="00D04A14">
        <w:rPr>
          <w:iCs/>
          <w:lang w:val="en-GB"/>
        </w:rPr>
        <w:t xml:space="preserve">make regulation 4.25 available for use by more reporters. </w:t>
      </w:r>
    </w:p>
    <w:p w:rsidR="00B03178" w:rsidRDefault="00B03178" w:rsidP="00B03178">
      <w:pPr>
        <w:spacing w:before="0"/>
        <w:ind w:right="91"/>
        <w:rPr>
          <w:iCs/>
          <w:lang w:val="en-GB"/>
        </w:rPr>
      </w:pPr>
      <w:r>
        <w:rPr>
          <w:iCs/>
          <w:lang w:val="en-GB"/>
        </w:rPr>
        <w:t xml:space="preserve">The Regulation also prevents designated generation facilities from being reported under </w:t>
      </w:r>
      <w:r w:rsidR="00712BC5">
        <w:rPr>
          <w:iCs/>
          <w:lang w:val="en-GB"/>
        </w:rPr>
        <w:t>r</w:t>
      </w:r>
      <w:r>
        <w:rPr>
          <w:iCs/>
          <w:lang w:val="en-GB"/>
        </w:rPr>
        <w:t xml:space="preserve">egulation 4.25. This amendment will ensure that the Clean Energy Regulator can meet its obligation under section 24(1AF) of the </w:t>
      </w:r>
      <w:r w:rsidR="0025067F">
        <w:rPr>
          <w:iCs/>
          <w:lang w:val="en-GB"/>
        </w:rPr>
        <w:t xml:space="preserve">NGER </w:t>
      </w:r>
      <w:r>
        <w:rPr>
          <w:iCs/>
          <w:lang w:val="en-GB"/>
        </w:rPr>
        <w:t>Act to publish the emissions, energy consumption and energy production associated with each designated generation facility.</w:t>
      </w:r>
    </w:p>
    <w:p w:rsidR="009B0CED" w:rsidRDefault="009B0CED" w:rsidP="009B0CED">
      <w:pPr>
        <w:spacing w:before="0"/>
        <w:ind w:right="91"/>
        <w:rPr>
          <w:i/>
          <w:iCs/>
          <w:u w:val="single"/>
          <w:lang w:val="en-GB"/>
        </w:rPr>
      </w:pPr>
      <w:r>
        <w:rPr>
          <w:i/>
          <w:iCs/>
          <w:u w:val="single"/>
          <w:lang w:val="en-GB"/>
        </w:rPr>
        <w:t>Amendment</w:t>
      </w:r>
      <w:r w:rsidRPr="002D60EC">
        <w:rPr>
          <w:i/>
          <w:iCs/>
          <w:u w:val="single"/>
          <w:lang w:val="en-GB"/>
        </w:rPr>
        <w:t xml:space="preserve"> to </w:t>
      </w:r>
      <w:r w:rsidR="00465261">
        <w:rPr>
          <w:i/>
          <w:iCs/>
          <w:u w:val="single"/>
          <w:lang w:val="en-GB"/>
        </w:rPr>
        <w:t>r</w:t>
      </w:r>
      <w:r w:rsidR="00C86282">
        <w:rPr>
          <w:i/>
          <w:iCs/>
          <w:u w:val="single"/>
          <w:lang w:val="en-GB"/>
        </w:rPr>
        <w:t xml:space="preserve">egulation 4.29 - </w:t>
      </w:r>
      <w:r>
        <w:rPr>
          <w:i/>
          <w:iCs/>
          <w:u w:val="single"/>
          <w:lang w:val="en-GB"/>
        </w:rPr>
        <w:t>vertically integrated production processes</w:t>
      </w:r>
    </w:p>
    <w:p w:rsidR="009059EA" w:rsidRDefault="00B03178" w:rsidP="009059EA">
      <w:pPr>
        <w:tabs>
          <w:tab w:val="left" w:pos="6521"/>
        </w:tabs>
        <w:spacing w:before="0"/>
        <w:ind w:right="91"/>
      </w:pPr>
      <w:r>
        <w:rPr>
          <w:iCs/>
          <w:lang w:val="en-GB"/>
        </w:rPr>
        <w:t xml:space="preserve">Regulation 4.29 allows the totals for </w:t>
      </w:r>
      <w:r w:rsidRPr="00800CD1">
        <w:rPr>
          <w:iCs/>
          <w:lang w:val="en-GB"/>
        </w:rPr>
        <w:t xml:space="preserve">facilities grouped as a </w:t>
      </w:r>
      <w:r w:rsidRPr="00DE5FB1">
        <w:rPr>
          <w:iCs/>
          <w:lang w:val="en-GB"/>
        </w:rPr>
        <w:t>vertically</w:t>
      </w:r>
      <w:r>
        <w:rPr>
          <w:iCs/>
          <w:lang w:val="en-GB"/>
        </w:rPr>
        <w:t xml:space="preserve"> integrated production process to be reported, rather than</w:t>
      </w:r>
      <w:r w:rsidRPr="00DE5FB1">
        <w:t xml:space="preserve"> </w:t>
      </w:r>
      <w:r w:rsidR="00465261">
        <w:t xml:space="preserve">requiring </w:t>
      </w:r>
      <w:r w:rsidRPr="00DE5FB1">
        <w:t>data for each facility</w:t>
      </w:r>
      <w:r>
        <w:t>.</w:t>
      </w:r>
      <w:r w:rsidR="00E66F91">
        <w:t xml:space="preserve"> </w:t>
      </w:r>
      <w:r w:rsidR="001A5930">
        <w:t>U</w:t>
      </w:r>
      <w:r w:rsidR="009059EA">
        <w:t xml:space="preserve">se of regulation 4.29 in liable entity reports is inconsistent with the requirement of the </w:t>
      </w:r>
      <w:r w:rsidR="009059EA" w:rsidRPr="004A4EA7">
        <w:rPr>
          <w:i/>
        </w:rPr>
        <w:t>Clean Energy Act 2011</w:t>
      </w:r>
      <w:r w:rsidR="009059EA">
        <w:t xml:space="preserve"> that liable entities report on each facility individually. </w:t>
      </w:r>
    </w:p>
    <w:p w:rsidR="009059EA" w:rsidRDefault="000B28CD" w:rsidP="009059EA">
      <w:pPr>
        <w:tabs>
          <w:tab w:val="left" w:pos="6521"/>
        </w:tabs>
        <w:spacing w:before="0"/>
        <w:ind w:right="91"/>
        <w:rPr>
          <w:iCs/>
          <w:lang w:val="en-GB"/>
        </w:rPr>
      </w:pPr>
      <w:r>
        <w:rPr>
          <w:iCs/>
          <w:lang w:val="en-GB"/>
        </w:rPr>
        <w:t>T</w:t>
      </w:r>
      <w:r w:rsidR="009059EA">
        <w:rPr>
          <w:iCs/>
          <w:lang w:val="en-GB"/>
        </w:rPr>
        <w:t>he Regulation remove</w:t>
      </w:r>
      <w:r>
        <w:rPr>
          <w:iCs/>
          <w:lang w:val="en-GB"/>
        </w:rPr>
        <w:t>s</w:t>
      </w:r>
      <w:r w:rsidR="009059EA">
        <w:rPr>
          <w:iCs/>
          <w:lang w:val="en-GB"/>
        </w:rPr>
        <w:t xml:space="preserve"> the ability of liable entities to report under regulation 4.29</w:t>
      </w:r>
      <w:r>
        <w:rPr>
          <w:iCs/>
          <w:lang w:val="en-GB"/>
        </w:rPr>
        <w:t xml:space="preserve"> from the day after registration, in order to remove this inconsistency</w:t>
      </w:r>
      <w:r w:rsidR="009059EA">
        <w:rPr>
          <w:iCs/>
          <w:lang w:val="en-GB"/>
        </w:rPr>
        <w:t xml:space="preserve">. </w:t>
      </w:r>
    </w:p>
    <w:p w:rsidR="009059EA" w:rsidRDefault="009059EA" w:rsidP="009059EA">
      <w:pPr>
        <w:tabs>
          <w:tab w:val="left" w:pos="6521"/>
        </w:tabs>
        <w:spacing w:before="0"/>
        <w:ind w:right="91"/>
        <w:rPr>
          <w:iCs/>
          <w:lang w:val="en-GB"/>
        </w:rPr>
      </w:pPr>
      <w:r>
        <w:rPr>
          <w:iCs/>
          <w:lang w:val="en-GB"/>
        </w:rPr>
        <w:t xml:space="preserve">Additionally, experience with the NGER Scheme </w:t>
      </w:r>
      <w:r w:rsidR="000D631D">
        <w:rPr>
          <w:iCs/>
          <w:lang w:val="en-GB"/>
        </w:rPr>
        <w:t xml:space="preserve">has </w:t>
      </w:r>
      <w:r>
        <w:rPr>
          <w:iCs/>
          <w:lang w:val="en-GB"/>
        </w:rPr>
        <w:t>indicated that reporting under regulation 4.29, even for non-liable entity reports, does not provide sufficient information about individual facilities for the Clean Energy Regulator’s purposes. Thus, the Regulation remove</w:t>
      </w:r>
      <w:r w:rsidR="008F0438">
        <w:rPr>
          <w:iCs/>
          <w:lang w:val="en-GB"/>
        </w:rPr>
        <w:t>s</w:t>
      </w:r>
      <w:r>
        <w:rPr>
          <w:iCs/>
          <w:lang w:val="en-GB"/>
        </w:rPr>
        <w:t xml:space="preserve"> regulation 4.29 altogether</w:t>
      </w:r>
      <w:r w:rsidR="008F0438">
        <w:rPr>
          <w:iCs/>
          <w:lang w:val="en-GB"/>
        </w:rPr>
        <w:t xml:space="preserve"> from 1 July 2014</w:t>
      </w:r>
      <w:r>
        <w:rPr>
          <w:iCs/>
          <w:lang w:val="en-GB"/>
        </w:rPr>
        <w:t>. This later date give</w:t>
      </w:r>
      <w:r w:rsidR="00FB05B2">
        <w:rPr>
          <w:iCs/>
          <w:lang w:val="en-GB"/>
        </w:rPr>
        <w:t>s</w:t>
      </w:r>
      <w:r>
        <w:rPr>
          <w:iCs/>
          <w:lang w:val="en-GB"/>
        </w:rPr>
        <w:t xml:space="preserve"> reporters time to transition to the new arrangements. </w:t>
      </w:r>
    </w:p>
    <w:p w:rsidR="009077DC" w:rsidRPr="00105ABD" w:rsidRDefault="005209B5" w:rsidP="002B0E35">
      <w:pPr>
        <w:widowControl/>
        <w:autoSpaceDE/>
        <w:autoSpaceDN/>
        <w:adjustRightInd/>
        <w:rPr>
          <w:color w:val="000000"/>
        </w:rPr>
      </w:pPr>
      <w:r>
        <w:rPr>
          <w:color w:val="000000"/>
        </w:rPr>
        <w:t>Details of the Regulation</w:t>
      </w:r>
      <w:r w:rsidR="009077DC">
        <w:rPr>
          <w:color w:val="000000"/>
        </w:rPr>
        <w:t xml:space="preserve"> are set out in </w:t>
      </w:r>
      <w:r w:rsidR="009077DC">
        <w:rPr>
          <w:color w:val="000000"/>
          <w:u w:val="single"/>
        </w:rPr>
        <w:t xml:space="preserve">Attachment </w:t>
      </w:r>
      <w:r w:rsidR="005B7D70">
        <w:rPr>
          <w:color w:val="000000"/>
          <w:u w:val="single"/>
        </w:rPr>
        <w:t>A</w:t>
      </w:r>
      <w:r w:rsidR="009077DC">
        <w:rPr>
          <w:color w:val="000000"/>
        </w:rPr>
        <w:t>.</w:t>
      </w:r>
    </w:p>
    <w:p w:rsidR="009077DC" w:rsidRPr="00105ABD" w:rsidRDefault="005209B5" w:rsidP="009077DC">
      <w:pPr>
        <w:widowControl/>
        <w:autoSpaceDE/>
        <w:autoSpaceDN/>
        <w:adjustRightInd/>
        <w:spacing w:before="100" w:beforeAutospacing="1" w:after="100" w:afterAutospacing="1"/>
        <w:ind w:right="91"/>
      </w:pPr>
      <w:r>
        <w:t>The Regulation is</w:t>
      </w:r>
      <w:r w:rsidR="009077DC">
        <w:t xml:space="preserve"> a legislative instrument for the purposes of the </w:t>
      </w:r>
      <w:r w:rsidR="009B0CED">
        <w:rPr>
          <w:i/>
          <w:iCs/>
        </w:rPr>
        <w:t>Legislative Instruments Act </w:t>
      </w:r>
      <w:r w:rsidR="009077DC">
        <w:rPr>
          <w:i/>
          <w:iCs/>
        </w:rPr>
        <w:t>2003</w:t>
      </w:r>
      <w:r w:rsidR="009077DC">
        <w:t>.</w:t>
      </w:r>
    </w:p>
    <w:p w:rsidR="004470C2" w:rsidRDefault="002B6A1B" w:rsidP="004470C2">
      <w:pPr>
        <w:tabs>
          <w:tab w:val="left" w:pos="6521"/>
        </w:tabs>
        <w:spacing w:before="0"/>
        <w:ind w:right="91"/>
      </w:pPr>
      <w:r>
        <w:t>Schedule 1 of t</w:t>
      </w:r>
      <w:r w:rsidR="00134A11">
        <w:t>he Regulation</w:t>
      </w:r>
      <w:r w:rsidR="004470C2" w:rsidRPr="008408DC">
        <w:t xml:space="preserve"> </w:t>
      </w:r>
      <w:r w:rsidR="00B03178">
        <w:t>will commence on the day after it is registered, but will not apply for 2012-13 reporting obligations that must be met in 2013-14.</w:t>
      </w:r>
      <w:r w:rsidR="00CF6693">
        <w:t xml:space="preserve"> Schedule 2 </w:t>
      </w:r>
      <w:r>
        <w:t xml:space="preserve">of the Regulation </w:t>
      </w:r>
      <w:r w:rsidR="00B03178">
        <w:t>commences on 1 </w:t>
      </w:r>
      <w:r w:rsidR="00CF6693">
        <w:t>July 2014.</w:t>
      </w:r>
    </w:p>
    <w:p w:rsidR="009077DC" w:rsidRPr="009962DF" w:rsidRDefault="009077DC" w:rsidP="00094075">
      <w:pPr>
        <w:keepNext/>
        <w:widowControl/>
        <w:autoSpaceDE/>
        <w:autoSpaceDN/>
        <w:adjustRightInd/>
        <w:rPr>
          <w:b/>
        </w:rPr>
      </w:pPr>
      <w:r w:rsidRPr="009962DF">
        <w:rPr>
          <w:b/>
        </w:rPr>
        <w:lastRenderedPageBreak/>
        <w:t>Consultation</w:t>
      </w:r>
    </w:p>
    <w:p w:rsidR="0031480B" w:rsidRDefault="00637632" w:rsidP="009B0CED">
      <w:pPr>
        <w:tabs>
          <w:tab w:val="num" w:pos="0"/>
        </w:tabs>
        <w:spacing w:before="0"/>
        <w:ind w:right="91"/>
        <w:rPr>
          <w:color w:val="000000"/>
        </w:rPr>
      </w:pPr>
      <w:r>
        <w:rPr>
          <w:color w:val="000000"/>
        </w:rPr>
        <w:t>On 5 </w:t>
      </w:r>
      <w:r w:rsidR="009B0CED">
        <w:rPr>
          <w:color w:val="000000"/>
        </w:rPr>
        <w:t>December</w:t>
      </w:r>
      <w:r>
        <w:rPr>
          <w:color w:val="000000"/>
        </w:rPr>
        <w:t> </w:t>
      </w:r>
      <w:r w:rsidR="009B0CED">
        <w:rPr>
          <w:color w:val="000000"/>
        </w:rPr>
        <w:t xml:space="preserve">2012, the then Department of Climate Change and Energy Efficiency (now the Department of Industry, Innovation, Climate Change, Science, Research and Tertiary Education) (the Department) </w:t>
      </w:r>
      <w:r w:rsidR="0031480B">
        <w:rPr>
          <w:color w:val="000000"/>
        </w:rPr>
        <w:t>commenced</w:t>
      </w:r>
      <w:r w:rsidR="009B0CED">
        <w:rPr>
          <w:color w:val="000000"/>
        </w:rPr>
        <w:t xml:space="preserve"> </w:t>
      </w:r>
      <w:r w:rsidR="00804C0F">
        <w:rPr>
          <w:color w:val="000000"/>
        </w:rPr>
        <w:t>a</w:t>
      </w:r>
      <w:r w:rsidR="009B0CED">
        <w:rPr>
          <w:color w:val="000000"/>
        </w:rPr>
        <w:t xml:space="preserve"> public consultation </w:t>
      </w:r>
      <w:r w:rsidR="0031480B">
        <w:rPr>
          <w:color w:val="000000"/>
        </w:rPr>
        <w:t xml:space="preserve">process </w:t>
      </w:r>
      <w:r w:rsidR="009B0CED">
        <w:rPr>
          <w:color w:val="000000"/>
        </w:rPr>
        <w:t xml:space="preserve">on the efficiency of reporting under </w:t>
      </w:r>
      <w:r>
        <w:rPr>
          <w:color w:val="000000"/>
        </w:rPr>
        <w:t>the NGER Scheme by releasing a</w:t>
      </w:r>
      <w:r w:rsidR="009B0CED">
        <w:rPr>
          <w:color w:val="000000"/>
        </w:rPr>
        <w:t xml:space="preserve"> </w:t>
      </w:r>
      <w:r>
        <w:rPr>
          <w:color w:val="000000"/>
        </w:rPr>
        <w:t xml:space="preserve">consultation paper. </w:t>
      </w:r>
      <w:r w:rsidR="00B03178">
        <w:rPr>
          <w:color w:val="000000"/>
        </w:rPr>
        <w:t xml:space="preserve">The consultation process </w:t>
      </w:r>
      <w:r w:rsidR="009B0CED">
        <w:rPr>
          <w:color w:val="000000"/>
        </w:rPr>
        <w:t>closed on 1 February 2013</w:t>
      </w:r>
      <w:r>
        <w:rPr>
          <w:color w:val="000000"/>
        </w:rPr>
        <w:t xml:space="preserve"> and</w:t>
      </w:r>
      <w:r w:rsidR="009B0CED">
        <w:rPr>
          <w:color w:val="000000"/>
        </w:rPr>
        <w:t xml:space="preserve"> </w:t>
      </w:r>
      <w:r>
        <w:rPr>
          <w:color w:val="000000"/>
        </w:rPr>
        <w:t>49 </w:t>
      </w:r>
      <w:r w:rsidR="009B0CED" w:rsidRPr="009B0CED">
        <w:rPr>
          <w:color w:val="000000"/>
        </w:rPr>
        <w:t xml:space="preserve">submissions were received. </w:t>
      </w:r>
      <w:r w:rsidR="00737666">
        <w:rPr>
          <w:color w:val="000000"/>
        </w:rPr>
        <w:t>The comments received informed</w:t>
      </w:r>
      <w:r w:rsidR="002357DD">
        <w:rPr>
          <w:color w:val="000000"/>
        </w:rPr>
        <w:t xml:space="preserve"> the development of draft amendments to the NGER Regulations.</w:t>
      </w:r>
      <w:r w:rsidR="00EC33E2">
        <w:rPr>
          <w:color w:val="000000"/>
        </w:rPr>
        <w:t xml:space="preserve"> </w:t>
      </w:r>
    </w:p>
    <w:p w:rsidR="0031480B" w:rsidRDefault="001028B4" w:rsidP="0031480B">
      <w:pPr>
        <w:tabs>
          <w:tab w:val="num" w:pos="0"/>
        </w:tabs>
        <w:spacing w:before="0"/>
        <w:ind w:right="91"/>
        <w:rPr>
          <w:color w:val="000000"/>
        </w:rPr>
      </w:pPr>
      <w:r>
        <w:rPr>
          <w:color w:val="000000"/>
        </w:rPr>
        <w:t xml:space="preserve">On </w:t>
      </w:r>
      <w:r w:rsidR="0031480B">
        <w:rPr>
          <w:color w:val="000000"/>
        </w:rPr>
        <w:t>23 May </w:t>
      </w:r>
      <w:r w:rsidR="0031480B" w:rsidRPr="009B0CED">
        <w:rPr>
          <w:color w:val="000000"/>
        </w:rPr>
        <w:t>2013</w:t>
      </w:r>
      <w:r w:rsidR="0031480B">
        <w:rPr>
          <w:color w:val="000000"/>
        </w:rPr>
        <w:t xml:space="preserve"> the Department released </w:t>
      </w:r>
      <w:r w:rsidR="0031480B" w:rsidRPr="0031480B">
        <w:rPr>
          <w:color w:val="000000"/>
        </w:rPr>
        <w:t>the exposure draft of the Regulation</w:t>
      </w:r>
      <w:r w:rsidR="0031480B">
        <w:rPr>
          <w:color w:val="000000"/>
        </w:rPr>
        <w:t xml:space="preserve"> for public comment, together with a</w:t>
      </w:r>
      <w:r w:rsidR="0031480B" w:rsidRPr="0031480B">
        <w:rPr>
          <w:color w:val="000000"/>
        </w:rPr>
        <w:t xml:space="preserve"> position paper to assist stakeholders in their consideration of the draft Regulation</w:t>
      </w:r>
      <w:r w:rsidR="0031480B">
        <w:rPr>
          <w:color w:val="000000"/>
        </w:rPr>
        <w:t xml:space="preserve">. </w:t>
      </w:r>
      <w:r w:rsidR="00F0655D">
        <w:rPr>
          <w:color w:val="000000"/>
        </w:rPr>
        <w:t>The Department also held discussions on the exposure draft: over 50 </w:t>
      </w:r>
      <w:r w:rsidR="00F0655D" w:rsidRPr="009B0CED">
        <w:rPr>
          <w:color w:val="000000"/>
        </w:rPr>
        <w:t xml:space="preserve">people participated in </w:t>
      </w:r>
      <w:r w:rsidR="00F0655D">
        <w:rPr>
          <w:color w:val="000000"/>
        </w:rPr>
        <w:t>a</w:t>
      </w:r>
      <w:r w:rsidR="00F0655D" w:rsidRPr="009B0CED">
        <w:rPr>
          <w:color w:val="000000"/>
        </w:rPr>
        <w:t xml:space="preserve"> teleconference and 11 people attended face-to-face discussions</w:t>
      </w:r>
      <w:r w:rsidR="00F0655D">
        <w:rPr>
          <w:color w:val="000000"/>
        </w:rPr>
        <w:t xml:space="preserve">. </w:t>
      </w:r>
      <w:r w:rsidR="0031480B">
        <w:rPr>
          <w:color w:val="000000"/>
        </w:rPr>
        <w:t>Comments closed on 7 June </w:t>
      </w:r>
      <w:r w:rsidR="0031480B" w:rsidRPr="0031480B">
        <w:rPr>
          <w:color w:val="000000"/>
        </w:rPr>
        <w:t>2013</w:t>
      </w:r>
      <w:r w:rsidR="0031480B">
        <w:rPr>
          <w:color w:val="000000"/>
        </w:rPr>
        <w:t xml:space="preserve"> and </w:t>
      </w:r>
      <w:r w:rsidR="0031480B" w:rsidRPr="009B0CED">
        <w:rPr>
          <w:color w:val="000000"/>
        </w:rPr>
        <w:t>17 submissions were received</w:t>
      </w:r>
      <w:r w:rsidR="0031480B" w:rsidRPr="0031480B">
        <w:rPr>
          <w:color w:val="000000"/>
        </w:rPr>
        <w:t xml:space="preserve">. </w:t>
      </w:r>
      <w:r w:rsidR="002357DD">
        <w:rPr>
          <w:color w:val="000000"/>
        </w:rPr>
        <w:t xml:space="preserve">The </w:t>
      </w:r>
      <w:r w:rsidR="00B03178">
        <w:rPr>
          <w:color w:val="000000"/>
        </w:rPr>
        <w:t xml:space="preserve">suggestions made </w:t>
      </w:r>
      <w:r w:rsidR="002357DD">
        <w:rPr>
          <w:color w:val="000000"/>
        </w:rPr>
        <w:t xml:space="preserve">in the discussions </w:t>
      </w:r>
      <w:r w:rsidR="00F0655D">
        <w:rPr>
          <w:color w:val="000000"/>
        </w:rPr>
        <w:t xml:space="preserve">and submissions </w:t>
      </w:r>
      <w:r w:rsidR="002357DD">
        <w:rPr>
          <w:color w:val="000000"/>
        </w:rPr>
        <w:t>were taken into account in finalising the Regulation.</w:t>
      </w:r>
    </w:p>
    <w:p w:rsidR="00642ECA" w:rsidRPr="00245CBD" w:rsidRDefault="00642ECA" w:rsidP="00060FDF">
      <w:pPr>
        <w:keepNext/>
        <w:spacing w:after="0"/>
        <w:rPr>
          <w:b/>
        </w:rPr>
      </w:pPr>
      <w:r w:rsidRPr="00245CBD">
        <w:rPr>
          <w:b/>
        </w:rPr>
        <w:t xml:space="preserve">Statement of </w:t>
      </w:r>
      <w:r>
        <w:rPr>
          <w:b/>
        </w:rPr>
        <w:t>C</w:t>
      </w:r>
      <w:r w:rsidRPr="00245CBD">
        <w:rPr>
          <w:b/>
        </w:rPr>
        <w:t xml:space="preserve">ompatibility with </w:t>
      </w:r>
      <w:r>
        <w:rPr>
          <w:b/>
        </w:rPr>
        <w:t>H</w:t>
      </w:r>
      <w:r w:rsidRPr="00245CBD">
        <w:rPr>
          <w:b/>
        </w:rPr>
        <w:t xml:space="preserve">uman </w:t>
      </w:r>
      <w:r>
        <w:rPr>
          <w:b/>
        </w:rPr>
        <w:t>R</w:t>
      </w:r>
      <w:r w:rsidRPr="00245CBD">
        <w:rPr>
          <w:b/>
        </w:rPr>
        <w:t>ights</w:t>
      </w:r>
    </w:p>
    <w:p w:rsidR="00642ECA" w:rsidRDefault="00642ECA" w:rsidP="00642ECA">
      <w:pPr>
        <w:spacing w:after="0"/>
      </w:pPr>
      <w:r w:rsidRPr="00245CBD">
        <w:t>A statement of compatibility with human rights for the purposes of Part 3 of the</w:t>
      </w:r>
      <w:r>
        <w:t xml:space="preserve"> </w:t>
      </w:r>
      <w:r w:rsidRPr="00245CBD">
        <w:rPr>
          <w:i/>
        </w:rPr>
        <w:t>Human Rights (Parliamentary Scrutiny) Act 2011</w:t>
      </w:r>
      <w:r w:rsidRPr="00245CBD">
        <w:t xml:space="preserve"> is set out at </w:t>
      </w:r>
      <w:r w:rsidRPr="004F40C1">
        <w:rPr>
          <w:u w:val="single"/>
        </w:rPr>
        <w:t xml:space="preserve">Attachment </w:t>
      </w:r>
      <w:r>
        <w:rPr>
          <w:u w:val="single"/>
        </w:rPr>
        <w:t>B</w:t>
      </w:r>
      <w:r w:rsidRPr="00245CBD">
        <w:t>.</w:t>
      </w:r>
    </w:p>
    <w:p w:rsidR="005A4521" w:rsidRPr="00D86754" w:rsidRDefault="005A4521" w:rsidP="00D86754">
      <w:pPr>
        <w:spacing w:after="0"/>
      </w:pPr>
      <w:r>
        <w:br/>
      </w:r>
    </w:p>
    <w:p w:rsidR="009077DC" w:rsidRPr="00D86754" w:rsidRDefault="009077DC" w:rsidP="00D86754">
      <w:pPr>
        <w:spacing w:after="0"/>
        <w:rPr>
          <w:b/>
        </w:rPr>
      </w:pPr>
    </w:p>
    <w:p w:rsidR="00E2618D" w:rsidRPr="00105ABD" w:rsidRDefault="00E2618D" w:rsidP="000E6DB6">
      <w:pPr>
        <w:tabs>
          <w:tab w:val="left" w:pos="5103"/>
          <w:tab w:val="left" w:pos="5245"/>
        </w:tabs>
        <w:spacing w:before="0"/>
        <w:ind w:left="6480" w:hanging="6480"/>
      </w:pPr>
      <w:r w:rsidRPr="008B586C">
        <w:tab/>
      </w:r>
      <w:r>
        <w:rPr>
          <w:u w:val="single"/>
        </w:rPr>
        <w:t>Authority:</w:t>
      </w:r>
      <w:r w:rsidR="000E6DB6">
        <w:tab/>
        <w:t xml:space="preserve">Section 77 of the </w:t>
      </w:r>
      <w:r w:rsidR="000E6DB6" w:rsidRPr="000E6DB6">
        <w:rPr>
          <w:i/>
        </w:rPr>
        <w:t>National Greenhouse and Energy Reporting Act 2007</w:t>
      </w:r>
    </w:p>
    <w:p w:rsidR="00AE184C" w:rsidRDefault="00AE184C">
      <w:pPr>
        <w:widowControl/>
        <w:autoSpaceDE/>
        <w:autoSpaceDN/>
        <w:adjustRightInd/>
        <w:spacing w:before="0" w:after="200" w:line="276" w:lineRule="auto"/>
      </w:pPr>
      <w:r>
        <w:br w:type="page"/>
      </w:r>
    </w:p>
    <w:p w:rsidR="00AE184C" w:rsidRPr="00AE184C" w:rsidRDefault="00AE184C" w:rsidP="00AE184C">
      <w:pPr>
        <w:keepLines/>
        <w:widowControl/>
        <w:autoSpaceDE/>
        <w:autoSpaceDN/>
        <w:adjustRightInd/>
        <w:spacing w:before="100" w:beforeAutospacing="1" w:after="100" w:afterAutospacing="1"/>
        <w:jc w:val="right"/>
        <w:rPr>
          <w:b/>
          <w:u w:val="single"/>
        </w:rPr>
      </w:pPr>
      <w:r w:rsidRPr="00AE184C">
        <w:rPr>
          <w:b/>
          <w:u w:val="single"/>
        </w:rPr>
        <w:lastRenderedPageBreak/>
        <w:t>Attachment A</w:t>
      </w:r>
    </w:p>
    <w:p w:rsidR="00AE184C" w:rsidRPr="00AE184C" w:rsidRDefault="00AE184C" w:rsidP="00AE184C">
      <w:pPr>
        <w:keepNext/>
        <w:keepLines/>
        <w:rPr>
          <w:b/>
          <w:bCs/>
          <w:u w:val="single"/>
        </w:rPr>
      </w:pPr>
      <w:r w:rsidRPr="00AE184C">
        <w:rPr>
          <w:b/>
          <w:bCs/>
          <w:u w:val="single"/>
        </w:rPr>
        <w:t xml:space="preserve">Details of the </w:t>
      </w:r>
      <w:r w:rsidR="00F1703C" w:rsidRPr="00F1703C">
        <w:rPr>
          <w:b/>
          <w:bCs/>
          <w:i/>
          <w:u w:val="single"/>
          <w:lang w:val="en-GB"/>
        </w:rPr>
        <w:t>National Greenhouse and Energy Reporting Amendment (</w:t>
      </w:r>
      <w:r w:rsidR="00680A92">
        <w:rPr>
          <w:b/>
          <w:bCs/>
          <w:i/>
          <w:u w:val="single"/>
          <w:lang w:val="en-GB"/>
        </w:rPr>
        <w:t>Streamlining Reporting</w:t>
      </w:r>
      <w:r w:rsidR="00F1703C">
        <w:rPr>
          <w:b/>
          <w:bCs/>
          <w:i/>
          <w:u w:val="single"/>
          <w:lang w:val="en-GB"/>
        </w:rPr>
        <w:t xml:space="preserve">) Regulation 2013 </w:t>
      </w:r>
    </w:p>
    <w:p w:rsidR="00AE184C" w:rsidRPr="00AE184C" w:rsidRDefault="00AE184C" w:rsidP="00AE184C">
      <w:pPr>
        <w:keepLines/>
        <w:spacing w:before="0"/>
        <w:ind w:right="91"/>
        <w:rPr>
          <w:b/>
        </w:rPr>
      </w:pPr>
      <w:r w:rsidRPr="00AE184C">
        <w:rPr>
          <w:b/>
        </w:rPr>
        <w:t xml:space="preserve">Section 1 – Name of Regulation </w:t>
      </w:r>
    </w:p>
    <w:p w:rsidR="00AE184C" w:rsidRPr="00AE184C" w:rsidRDefault="00AE184C" w:rsidP="00AE184C">
      <w:pPr>
        <w:keepLines/>
        <w:spacing w:before="0"/>
        <w:ind w:right="91"/>
      </w:pPr>
      <w:r w:rsidRPr="00AE184C">
        <w:t xml:space="preserve">Section 1 provides that the name of the Regulation is the </w:t>
      </w:r>
      <w:r w:rsidR="00953BF7">
        <w:rPr>
          <w:i/>
        </w:rPr>
        <w:t xml:space="preserve">National Greenhouse and Energy </w:t>
      </w:r>
      <w:r w:rsidR="00386E59">
        <w:rPr>
          <w:i/>
        </w:rPr>
        <w:t xml:space="preserve">Reporting </w:t>
      </w:r>
      <w:r w:rsidR="00C047F4">
        <w:rPr>
          <w:i/>
        </w:rPr>
        <w:t>Amendment (</w:t>
      </w:r>
      <w:r w:rsidR="00035A55">
        <w:rPr>
          <w:i/>
        </w:rPr>
        <w:t>Streamlining Reporting</w:t>
      </w:r>
      <w:r w:rsidR="00C047F4">
        <w:rPr>
          <w:i/>
        </w:rPr>
        <w:t>)</w:t>
      </w:r>
      <w:r w:rsidR="00953BF7">
        <w:rPr>
          <w:i/>
        </w:rPr>
        <w:t xml:space="preserve"> Regulation 2013 </w:t>
      </w:r>
      <w:r w:rsidRPr="00AE184C">
        <w:t>(the Regulation).</w:t>
      </w:r>
      <w:r w:rsidR="00F26EC3">
        <w:t xml:space="preserve"> </w:t>
      </w:r>
    </w:p>
    <w:p w:rsidR="00AE184C" w:rsidRPr="00AE184C" w:rsidRDefault="00AE184C" w:rsidP="00AE184C">
      <w:pPr>
        <w:keepLines/>
        <w:spacing w:before="0"/>
        <w:ind w:right="91"/>
        <w:rPr>
          <w:b/>
        </w:rPr>
      </w:pPr>
      <w:r w:rsidRPr="00AE184C">
        <w:rPr>
          <w:b/>
        </w:rPr>
        <w:t>Section 2 – Commencement</w:t>
      </w:r>
    </w:p>
    <w:p w:rsidR="007B09BA" w:rsidRDefault="007B09BA" w:rsidP="007B09BA">
      <w:pPr>
        <w:tabs>
          <w:tab w:val="left" w:pos="6521"/>
        </w:tabs>
        <w:spacing w:before="0"/>
        <w:ind w:right="91"/>
      </w:pPr>
      <w:r>
        <w:t xml:space="preserve">Section 2 provides that </w:t>
      </w:r>
      <w:r w:rsidR="00A145D7">
        <w:t xml:space="preserve">the Regulation </w:t>
      </w:r>
      <w:r w:rsidR="00386E59">
        <w:t>commence</w:t>
      </w:r>
      <w:r w:rsidR="00A145D7">
        <w:t>s</w:t>
      </w:r>
      <w:r w:rsidR="00386E59">
        <w:t xml:space="preserve"> on </w:t>
      </w:r>
      <w:r w:rsidR="00F9054D">
        <w:t xml:space="preserve">the day after the </w:t>
      </w:r>
      <w:r w:rsidR="000E0126">
        <w:t>R</w:t>
      </w:r>
      <w:r w:rsidR="00F9054D">
        <w:t>egulation is registered</w:t>
      </w:r>
      <w:r w:rsidR="00A145D7">
        <w:t>, with the exception of Schedule </w:t>
      </w:r>
      <w:r w:rsidR="00386E59">
        <w:t xml:space="preserve">2 </w:t>
      </w:r>
      <w:r w:rsidR="00A145D7">
        <w:t xml:space="preserve">which </w:t>
      </w:r>
      <w:r w:rsidR="00386E59">
        <w:t xml:space="preserve">commences </w:t>
      </w:r>
      <w:r w:rsidRPr="006D7E39">
        <w:t>on 1 July 201</w:t>
      </w:r>
      <w:r w:rsidR="00386E59">
        <w:t>4</w:t>
      </w:r>
      <w:r w:rsidRPr="006D7E39">
        <w:t>.</w:t>
      </w:r>
    </w:p>
    <w:p w:rsidR="00AE184C" w:rsidRPr="00AE184C" w:rsidRDefault="00AE184C" w:rsidP="00AE184C">
      <w:pPr>
        <w:keepLines/>
        <w:spacing w:before="0"/>
        <w:ind w:right="91"/>
        <w:rPr>
          <w:b/>
        </w:rPr>
      </w:pPr>
      <w:r w:rsidRPr="00AE184C">
        <w:rPr>
          <w:b/>
        </w:rPr>
        <w:t>Section 3 – Authority</w:t>
      </w:r>
    </w:p>
    <w:p w:rsidR="00AE184C" w:rsidRPr="00AE184C" w:rsidRDefault="005A3F36" w:rsidP="00AE184C">
      <w:pPr>
        <w:keepLines/>
        <w:spacing w:before="100" w:beforeAutospacing="1" w:after="100" w:afterAutospacing="1"/>
      </w:pPr>
      <w:r>
        <w:t>Section</w:t>
      </w:r>
      <w:r w:rsidR="00AE184C" w:rsidRPr="00AE184C">
        <w:t xml:space="preserve"> </w:t>
      </w:r>
      <w:r>
        <w:t xml:space="preserve">3 </w:t>
      </w:r>
      <w:r w:rsidR="00AE184C" w:rsidRPr="00AE184C">
        <w:t xml:space="preserve">specifies that the Regulation is made under the </w:t>
      </w:r>
      <w:r w:rsidR="006D7E39" w:rsidRPr="006D7E39">
        <w:rPr>
          <w:i/>
        </w:rPr>
        <w:t xml:space="preserve">National Greenhouse and Energy Reporting Act 2007. </w:t>
      </w:r>
    </w:p>
    <w:p w:rsidR="00AE184C" w:rsidRPr="00AE184C" w:rsidRDefault="00AE184C" w:rsidP="00AE184C">
      <w:pPr>
        <w:keepLines/>
        <w:spacing w:before="100" w:beforeAutospacing="1" w:after="100" w:afterAutospacing="1"/>
        <w:rPr>
          <w:b/>
        </w:rPr>
      </w:pPr>
      <w:r w:rsidRPr="00AE184C">
        <w:rPr>
          <w:b/>
        </w:rPr>
        <w:t>Section 4 – Schedule(s)</w:t>
      </w:r>
    </w:p>
    <w:p w:rsidR="00AE184C" w:rsidRDefault="005A3F36" w:rsidP="00AE184C">
      <w:pPr>
        <w:keepLines/>
        <w:spacing w:before="100" w:beforeAutospacing="1" w:after="100" w:afterAutospacing="1"/>
      </w:pPr>
      <w:r>
        <w:t>Section</w:t>
      </w:r>
      <w:r w:rsidR="00AE184C" w:rsidRPr="00AE184C">
        <w:t xml:space="preserve"> </w:t>
      </w:r>
      <w:r>
        <w:t xml:space="preserve">4 </w:t>
      </w:r>
      <w:r w:rsidR="00AE184C" w:rsidRPr="00AE184C">
        <w:t>provides that the Regulation amends or repeals each instrument that is specified in a Schedule to the Regulation.</w:t>
      </w:r>
    </w:p>
    <w:p w:rsidR="00AE184C" w:rsidRPr="00AE184C" w:rsidRDefault="00AE184C" w:rsidP="00AE184C">
      <w:pPr>
        <w:keepLines/>
        <w:spacing w:before="100" w:beforeAutospacing="1" w:after="100" w:afterAutospacing="1"/>
        <w:rPr>
          <w:b/>
          <w:u w:val="single"/>
        </w:rPr>
      </w:pPr>
      <w:r w:rsidRPr="00AE184C">
        <w:rPr>
          <w:b/>
          <w:u w:val="single"/>
        </w:rPr>
        <w:t>Schedule 1 – Amendments</w:t>
      </w:r>
      <w:r w:rsidR="00651FB4">
        <w:rPr>
          <w:b/>
          <w:u w:val="single"/>
        </w:rPr>
        <w:t xml:space="preserve"> commencing on the day after registration </w:t>
      </w:r>
    </w:p>
    <w:p w:rsidR="00AE184C" w:rsidRPr="00AE184C" w:rsidRDefault="00DE35FC" w:rsidP="00AE184C">
      <w:pPr>
        <w:keepLines/>
        <w:spacing w:before="100" w:beforeAutospacing="1" w:after="100" w:afterAutospacing="1"/>
        <w:ind w:right="91"/>
        <w:rPr>
          <w:b/>
          <w:highlight w:val="yellow"/>
        </w:rPr>
      </w:pPr>
      <w:r>
        <w:rPr>
          <w:b/>
          <w:bCs/>
          <w:i/>
          <w:iCs/>
          <w:sz w:val="28"/>
          <w:szCs w:val="28"/>
        </w:rPr>
        <w:t>National Greenhouse and</w:t>
      </w:r>
      <w:r w:rsidR="00AE184C" w:rsidRPr="00AE184C">
        <w:rPr>
          <w:b/>
          <w:bCs/>
          <w:i/>
          <w:iCs/>
          <w:sz w:val="28"/>
          <w:szCs w:val="28"/>
        </w:rPr>
        <w:t xml:space="preserve"> Energy </w:t>
      </w:r>
      <w:r>
        <w:rPr>
          <w:b/>
          <w:bCs/>
          <w:i/>
          <w:iCs/>
          <w:sz w:val="28"/>
          <w:szCs w:val="28"/>
        </w:rPr>
        <w:t>Reporting Regulations 2008</w:t>
      </w:r>
    </w:p>
    <w:p w:rsidR="006C3B18" w:rsidRPr="00B235DF" w:rsidRDefault="00CC0ECC" w:rsidP="00D642BD">
      <w:pPr>
        <w:spacing w:before="100" w:beforeAutospacing="1" w:after="100" w:afterAutospacing="1"/>
        <w:ind w:right="91"/>
      </w:pPr>
      <w:r>
        <w:rPr>
          <w:b/>
        </w:rPr>
        <w:t xml:space="preserve">Item 1 </w:t>
      </w:r>
    </w:p>
    <w:p w:rsidR="00321EF1" w:rsidRDefault="00321EF1" w:rsidP="00321EF1">
      <w:r>
        <w:t xml:space="preserve">Item 1 adds a note to regulation 2.02, indicating that the Global Warming Potential figures will be updated from 1 July 2017. </w:t>
      </w:r>
      <w:r w:rsidR="00136BB3">
        <w:t xml:space="preserve">This change will not </w:t>
      </w:r>
      <w:r w:rsidR="00291FAA">
        <w:t>alter</w:t>
      </w:r>
      <w:r w:rsidR="00136BB3">
        <w:t xml:space="preserve"> the liability of </w:t>
      </w:r>
      <w:r>
        <w:t>landfill operators from 1 July 2017 for emissions from waste collected between 1 July 2012 and 30 June 2017.</w:t>
      </w:r>
      <w:r w:rsidR="00F8748B">
        <w:t xml:space="preserve"> </w:t>
      </w:r>
    </w:p>
    <w:p w:rsidR="003D567D" w:rsidRPr="00FA1170" w:rsidRDefault="003D567D" w:rsidP="00FA1170">
      <w:pPr>
        <w:spacing w:before="100" w:beforeAutospacing="1" w:after="100" w:afterAutospacing="1"/>
        <w:ind w:right="91"/>
        <w:rPr>
          <w:b/>
        </w:rPr>
      </w:pPr>
      <w:r w:rsidRPr="00FA1170">
        <w:rPr>
          <w:b/>
        </w:rPr>
        <w:t>Item</w:t>
      </w:r>
      <w:r w:rsidR="000E0126">
        <w:rPr>
          <w:b/>
        </w:rPr>
        <w:t>s</w:t>
      </w:r>
      <w:r w:rsidRPr="00FA1170">
        <w:rPr>
          <w:b/>
        </w:rPr>
        <w:t xml:space="preserve"> 2</w:t>
      </w:r>
      <w:r w:rsidR="00F92E9F">
        <w:rPr>
          <w:b/>
        </w:rPr>
        <w:t>-</w:t>
      </w:r>
      <w:r w:rsidR="000E0126">
        <w:rPr>
          <w:b/>
        </w:rPr>
        <w:t>4</w:t>
      </w:r>
    </w:p>
    <w:p w:rsidR="00176E17" w:rsidRDefault="00176E17" w:rsidP="00F61B7B">
      <w:r>
        <w:t xml:space="preserve">Items 2 and 3 make a minor amendment for consistency of wording. </w:t>
      </w:r>
    </w:p>
    <w:p w:rsidR="003D567D" w:rsidRDefault="00B823B2" w:rsidP="00F61B7B">
      <w:r>
        <w:t xml:space="preserve">Item </w:t>
      </w:r>
      <w:r w:rsidR="000E0126">
        <w:t>4</w:t>
      </w:r>
      <w:r>
        <w:t xml:space="preserve"> amend</w:t>
      </w:r>
      <w:r w:rsidR="00974AA5">
        <w:t>s</w:t>
      </w:r>
      <w:r>
        <w:t xml:space="preserve"> </w:t>
      </w:r>
      <w:r w:rsidR="00712BC5">
        <w:t>r</w:t>
      </w:r>
      <w:r w:rsidR="003D567D">
        <w:t xml:space="preserve">egulation 4.07 to require reporters to report the percentage of carbon in each solid fuel or coal based product consumed, if they used method 2 or 3. Prior to this amendment, </w:t>
      </w:r>
      <w:r w:rsidR="002A05D7">
        <w:t xml:space="preserve">affected </w:t>
      </w:r>
      <w:r w:rsidR="003D567D">
        <w:t>reporters have been required to collect</w:t>
      </w:r>
      <w:r w:rsidR="002A05D7">
        <w:t>, retain and record</w:t>
      </w:r>
      <w:r w:rsidR="003D567D">
        <w:t>, but not report, this information in order to meet their obligations.</w:t>
      </w:r>
    </w:p>
    <w:p w:rsidR="003D567D" w:rsidRPr="00FA1170" w:rsidRDefault="003D567D" w:rsidP="00FA1170">
      <w:pPr>
        <w:spacing w:before="100" w:beforeAutospacing="1" w:after="100" w:afterAutospacing="1"/>
        <w:ind w:right="91"/>
        <w:rPr>
          <w:b/>
        </w:rPr>
      </w:pPr>
      <w:r w:rsidRPr="00FA1170">
        <w:rPr>
          <w:b/>
        </w:rPr>
        <w:t xml:space="preserve">Item </w:t>
      </w:r>
      <w:r w:rsidR="00365D3F">
        <w:rPr>
          <w:b/>
        </w:rPr>
        <w:t>5</w:t>
      </w:r>
    </w:p>
    <w:p w:rsidR="00770D16" w:rsidRDefault="00B823B2" w:rsidP="00F61B7B">
      <w:r>
        <w:t xml:space="preserve">Item </w:t>
      </w:r>
      <w:r w:rsidR="00365D3F">
        <w:t>5</w:t>
      </w:r>
      <w:r>
        <w:t xml:space="preserve"> introduces </w:t>
      </w:r>
      <w:r w:rsidR="00712BC5">
        <w:t>r</w:t>
      </w:r>
      <w:r w:rsidR="003D567D">
        <w:t>egulation 4.08 to require reporters to calculate and report the uncertainty associated with the scope 1 emissions associated with the combustion of a fuel type</w:t>
      </w:r>
      <w:r w:rsidR="00764C83">
        <w:t>,</w:t>
      </w:r>
      <w:r w:rsidR="003D567D">
        <w:t xml:space="preserve"> if the </w:t>
      </w:r>
      <w:r w:rsidR="003D567D">
        <w:lastRenderedPageBreak/>
        <w:t>emissions from the combustion of that fuel type have CO</w:t>
      </w:r>
      <w:r w:rsidR="003D567D" w:rsidRPr="003D567D">
        <w:rPr>
          <w:vertAlign w:val="subscript"/>
        </w:rPr>
        <w:t>2</w:t>
      </w:r>
      <w:r w:rsidR="003D567D">
        <w:t>-e</w:t>
      </w:r>
      <w:r w:rsidR="004B7848">
        <w:t xml:space="preserve"> of </w:t>
      </w:r>
      <w:r w:rsidR="002A05D7">
        <w:t>more</w:t>
      </w:r>
      <w:r w:rsidR="004B7848">
        <w:t xml:space="preserve"> than 25 kilotonnes in the</w:t>
      </w:r>
      <w:r w:rsidR="003D567D">
        <w:t xml:space="preserve"> reporting year.</w:t>
      </w:r>
      <w:r w:rsidR="00770D16">
        <w:t xml:space="preserve"> Fuel types are listed in schedule 1 of the NGER Regulations.</w:t>
      </w:r>
    </w:p>
    <w:p w:rsidR="00770D16" w:rsidRDefault="00770D16" w:rsidP="00F61B7B">
      <w:r>
        <w:t xml:space="preserve">For example, a reporter with emissions </w:t>
      </w:r>
      <w:r w:rsidR="00712BC5">
        <w:t>of</w:t>
      </w:r>
      <w:r>
        <w:t xml:space="preserve"> 25 kilotonnes CO</w:t>
      </w:r>
      <w:r w:rsidRPr="003D567D">
        <w:rPr>
          <w:vertAlign w:val="subscript"/>
        </w:rPr>
        <w:t>2</w:t>
      </w:r>
      <w:r>
        <w:t xml:space="preserve">-e from the combustion of diesel, and emissions </w:t>
      </w:r>
      <w:r w:rsidR="00712BC5">
        <w:t>of</w:t>
      </w:r>
      <w:r>
        <w:t xml:space="preserve"> 15 kilotonnes CO</w:t>
      </w:r>
      <w:r w:rsidRPr="003D567D">
        <w:rPr>
          <w:vertAlign w:val="subscript"/>
        </w:rPr>
        <w:t>2</w:t>
      </w:r>
      <w:r>
        <w:t>-e from the combustion of petrol would only have to calculate and report the uncertainty associated with the emissions from the combustion of the diesel.</w:t>
      </w:r>
    </w:p>
    <w:p w:rsidR="003D567D" w:rsidRDefault="00770D16" w:rsidP="00F61B7B">
      <w:r>
        <w:t xml:space="preserve">Together, Item </w:t>
      </w:r>
      <w:r w:rsidR="00764C83">
        <w:t>5</w:t>
      </w:r>
      <w:r>
        <w:t xml:space="preserve"> and Item </w:t>
      </w:r>
      <w:r w:rsidR="00764C83">
        <w:t>8</w:t>
      </w:r>
      <w:r>
        <w:t xml:space="preserve"> reduce the total requirements for reporters to calculate and report the uncertainty associated with their emissions.</w:t>
      </w:r>
    </w:p>
    <w:p w:rsidR="003D567D" w:rsidRPr="00FA1170" w:rsidRDefault="003D567D" w:rsidP="00FA1170">
      <w:pPr>
        <w:spacing w:before="100" w:beforeAutospacing="1" w:after="100" w:afterAutospacing="1"/>
        <w:ind w:right="91"/>
        <w:rPr>
          <w:b/>
        </w:rPr>
      </w:pPr>
      <w:r w:rsidRPr="00FA1170">
        <w:rPr>
          <w:b/>
        </w:rPr>
        <w:t xml:space="preserve">Item </w:t>
      </w:r>
      <w:r w:rsidR="0056490B">
        <w:rPr>
          <w:b/>
        </w:rPr>
        <w:t>6</w:t>
      </w:r>
    </w:p>
    <w:p w:rsidR="00770D16" w:rsidRDefault="00770D16" w:rsidP="00F61B7B">
      <w:r>
        <w:t xml:space="preserve">Item </w:t>
      </w:r>
      <w:r w:rsidR="0056490B">
        <w:t>6</w:t>
      </w:r>
      <w:r>
        <w:t xml:space="preserve"> corrects a typographical error in </w:t>
      </w:r>
      <w:r w:rsidR="00712BC5">
        <w:t>r</w:t>
      </w:r>
      <w:r w:rsidR="005F6362">
        <w:t>egulation 4.16.</w:t>
      </w:r>
      <w:r w:rsidR="00B357D4">
        <w:t xml:space="preserve"> Subregulation 4.16(1A)(b) was erroneously included in this regulation as it is unrelated. </w:t>
      </w:r>
    </w:p>
    <w:p w:rsidR="00770D16" w:rsidRPr="00FA1170" w:rsidRDefault="00770D16" w:rsidP="00FA1170">
      <w:pPr>
        <w:spacing w:before="100" w:beforeAutospacing="1" w:after="100" w:afterAutospacing="1"/>
        <w:ind w:right="91"/>
        <w:rPr>
          <w:b/>
        </w:rPr>
      </w:pPr>
      <w:r w:rsidRPr="00FA1170">
        <w:rPr>
          <w:b/>
        </w:rPr>
        <w:t xml:space="preserve">Item </w:t>
      </w:r>
      <w:r w:rsidR="003C5C83">
        <w:rPr>
          <w:b/>
        </w:rPr>
        <w:t>7</w:t>
      </w:r>
    </w:p>
    <w:p w:rsidR="00770D16" w:rsidRDefault="00770D16" w:rsidP="00F61B7B">
      <w:r>
        <w:t xml:space="preserve">Item </w:t>
      </w:r>
      <w:r w:rsidR="003C5C83">
        <w:t>7</w:t>
      </w:r>
      <w:r>
        <w:t xml:space="preserve"> amends </w:t>
      </w:r>
      <w:r w:rsidR="00712BC5">
        <w:t>r</w:t>
      </w:r>
      <w:r>
        <w:t xml:space="preserve">egulation 4.17 to require reporters to report the criteria used to estimate the amount </w:t>
      </w:r>
      <w:r w:rsidR="003C5C83">
        <w:t xml:space="preserve">of </w:t>
      </w:r>
      <w:r>
        <w:t xml:space="preserve">waste. Prior to this amendment, </w:t>
      </w:r>
      <w:r w:rsidR="002A05D7">
        <w:t xml:space="preserve">affected </w:t>
      </w:r>
      <w:r>
        <w:t>reporters have been required to collect,</w:t>
      </w:r>
      <w:r w:rsidR="002A05D7">
        <w:t xml:space="preserve"> record and retain,</w:t>
      </w:r>
      <w:r>
        <w:t xml:space="preserve"> but not report, this information in order to meet their obligations.</w:t>
      </w:r>
    </w:p>
    <w:p w:rsidR="00770D16" w:rsidRPr="00FA1170" w:rsidRDefault="00770D16" w:rsidP="00FA1170">
      <w:pPr>
        <w:spacing w:before="100" w:beforeAutospacing="1" w:after="100" w:afterAutospacing="1"/>
        <w:ind w:right="91"/>
        <w:rPr>
          <w:b/>
        </w:rPr>
      </w:pPr>
      <w:r w:rsidRPr="00FA1170">
        <w:rPr>
          <w:b/>
        </w:rPr>
        <w:t xml:space="preserve">Item </w:t>
      </w:r>
      <w:r w:rsidR="00ED55EA">
        <w:rPr>
          <w:b/>
        </w:rPr>
        <w:t>8</w:t>
      </w:r>
    </w:p>
    <w:p w:rsidR="00770D16" w:rsidRPr="00770D16" w:rsidRDefault="00770D16" w:rsidP="00F61B7B">
      <w:r>
        <w:t xml:space="preserve">Item </w:t>
      </w:r>
      <w:r w:rsidR="00ED55EA">
        <w:t>8</w:t>
      </w:r>
      <w:r>
        <w:t xml:space="preserve"> amends </w:t>
      </w:r>
      <w:r w:rsidR="00712BC5">
        <w:t>r</w:t>
      </w:r>
      <w:r>
        <w:t xml:space="preserve">egulation 4.17A to require reporters to calculate and report the uncertainty associated with the scope 1 emissions </w:t>
      </w:r>
      <w:r w:rsidR="00224BC7">
        <w:t>from</w:t>
      </w:r>
      <w:r>
        <w:t xml:space="preserve"> sources of emissions that have CO</w:t>
      </w:r>
      <w:r w:rsidRPr="00770D16">
        <w:rPr>
          <w:vertAlign w:val="subscript"/>
        </w:rPr>
        <w:t>2</w:t>
      </w:r>
      <w:r>
        <w:t>-e</w:t>
      </w:r>
      <w:r w:rsidR="004B7848">
        <w:t xml:space="preserve"> of more than 25 kilotonnes in the reporting year. Prior to this amendment, reporters were required to calculate and report the uncertai</w:t>
      </w:r>
      <w:r w:rsidR="002B6A1B">
        <w:t xml:space="preserve">nty with all scope 1 emissions, </w:t>
      </w:r>
      <w:r w:rsidR="004B7848">
        <w:t>at the source, facility and corporate group levels.</w:t>
      </w:r>
    </w:p>
    <w:p w:rsidR="00770D16" w:rsidRDefault="004B7848" w:rsidP="00F61B7B">
      <w:r>
        <w:t xml:space="preserve">Together, Item </w:t>
      </w:r>
      <w:r w:rsidR="000F52FF">
        <w:t>8</w:t>
      </w:r>
      <w:r>
        <w:t xml:space="preserve"> and Item </w:t>
      </w:r>
      <w:r w:rsidR="000F52FF">
        <w:t>5</w:t>
      </w:r>
      <w:r>
        <w:t xml:space="preserve"> reduce the total requirements for reporters to calculate and report the uncertainty associated with their emissions.</w:t>
      </w:r>
    </w:p>
    <w:p w:rsidR="004B7848" w:rsidRPr="00FA1170" w:rsidRDefault="004B7848" w:rsidP="00FA1170">
      <w:pPr>
        <w:spacing w:before="100" w:beforeAutospacing="1" w:after="100" w:afterAutospacing="1"/>
        <w:ind w:right="91"/>
        <w:rPr>
          <w:b/>
        </w:rPr>
      </w:pPr>
      <w:r w:rsidRPr="00FA1170">
        <w:rPr>
          <w:b/>
        </w:rPr>
        <w:t>Item</w:t>
      </w:r>
      <w:r w:rsidR="006E0F99">
        <w:rPr>
          <w:b/>
        </w:rPr>
        <w:t>s</w:t>
      </w:r>
      <w:r w:rsidRPr="00FA1170">
        <w:rPr>
          <w:b/>
        </w:rPr>
        <w:t xml:space="preserve"> </w:t>
      </w:r>
      <w:r w:rsidR="006E0F99">
        <w:rPr>
          <w:b/>
        </w:rPr>
        <w:t>9-10</w:t>
      </w:r>
    </w:p>
    <w:p w:rsidR="004B7848" w:rsidRDefault="004B7848" w:rsidP="00F61B7B">
      <w:r>
        <w:t xml:space="preserve">Items </w:t>
      </w:r>
      <w:r w:rsidR="001107AA">
        <w:t>9</w:t>
      </w:r>
      <w:r>
        <w:t xml:space="preserve"> and </w:t>
      </w:r>
      <w:r w:rsidR="001107AA">
        <w:t>10</w:t>
      </w:r>
      <w:r>
        <w:t xml:space="preserve"> correct </w:t>
      </w:r>
      <w:r w:rsidR="00712BC5">
        <w:t xml:space="preserve">minor </w:t>
      </w:r>
      <w:r>
        <w:t>typographical errors</w:t>
      </w:r>
      <w:r w:rsidR="002A05D7">
        <w:t>.</w:t>
      </w:r>
    </w:p>
    <w:p w:rsidR="004B7848" w:rsidRPr="00FA1170" w:rsidRDefault="004B7848" w:rsidP="00FA1170">
      <w:pPr>
        <w:spacing w:before="100" w:beforeAutospacing="1" w:after="100" w:afterAutospacing="1"/>
        <w:ind w:right="91"/>
        <w:rPr>
          <w:b/>
        </w:rPr>
      </w:pPr>
      <w:r w:rsidRPr="00FA1170">
        <w:rPr>
          <w:b/>
        </w:rPr>
        <w:t>Item</w:t>
      </w:r>
      <w:r w:rsidR="00F92E9F">
        <w:rPr>
          <w:b/>
        </w:rPr>
        <w:t>s</w:t>
      </w:r>
      <w:r w:rsidRPr="00FA1170">
        <w:rPr>
          <w:b/>
        </w:rPr>
        <w:t xml:space="preserve"> </w:t>
      </w:r>
      <w:r w:rsidR="001107AA">
        <w:rPr>
          <w:b/>
        </w:rPr>
        <w:t>11</w:t>
      </w:r>
      <w:r w:rsidRPr="00FA1170">
        <w:rPr>
          <w:b/>
        </w:rPr>
        <w:t>-1</w:t>
      </w:r>
      <w:r w:rsidR="006357BB">
        <w:rPr>
          <w:b/>
        </w:rPr>
        <w:t>5</w:t>
      </w:r>
    </w:p>
    <w:p w:rsidR="004B7848" w:rsidRDefault="004B7848" w:rsidP="00F61B7B">
      <w:pPr>
        <w:rPr>
          <w:iCs/>
          <w:lang w:val="en-GB"/>
        </w:rPr>
      </w:pPr>
      <w:r>
        <w:t xml:space="preserve">Items </w:t>
      </w:r>
      <w:r w:rsidR="00C11655">
        <w:t>11</w:t>
      </w:r>
      <w:r>
        <w:t>-1</w:t>
      </w:r>
      <w:r w:rsidR="006357BB">
        <w:t>5</w:t>
      </w:r>
      <w:r>
        <w:t xml:space="preserve"> amend </w:t>
      </w:r>
      <w:r w:rsidR="00712BC5">
        <w:t>r</w:t>
      </w:r>
      <w:r>
        <w:t xml:space="preserve">egulation 4.25 to allow </w:t>
      </w:r>
      <w:r>
        <w:rPr>
          <w:iCs/>
          <w:lang w:val="en-GB"/>
        </w:rPr>
        <w:t>reporters to report single facilities by business unit, in situations where they would have been able to aggregate information from those facilities by member of the corporate group.</w:t>
      </w:r>
      <w:r w:rsidR="002A05D7">
        <w:rPr>
          <w:iCs/>
          <w:lang w:val="en-GB"/>
        </w:rPr>
        <w:t xml:space="preserve"> This gives reporters more options for using regulation 4.25.</w:t>
      </w:r>
    </w:p>
    <w:p w:rsidR="002A05D7" w:rsidRDefault="002A05D7" w:rsidP="002A05D7">
      <w:pPr>
        <w:spacing w:before="0"/>
        <w:ind w:right="91"/>
        <w:rPr>
          <w:iCs/>
          <w:lang w:val="en-GB"/>
        </w:rPr>
      </w:pPr>
      <w:r>
        <w:rPr>
          <w:iCs/>
          <w:lang w:val="en-GB"/>
        </w:rPr>
        <w:t xml:space="preserve">Items </w:t>
      </w:r>
      <w:r w:rsidR="00823809">
        <w:rPr>
          <w:iCs/>
          <w:lang w:val="en-GB"/>
        </w:rPr>
        <w:t>11</w:t>
      </w:r>
      <w:r>
        <w:rPr>
          <w:iCs/>
          <w:lang w:val="en-GB"/>
        </w:rPr>
        <w:t>-1</w:t>
      </w:r>
      <w:r w:rsidR="006357BB">
        <w:rPr>
          <w:iCs/>
          <w:lang w:val="en-GB"/>
        </w:rPr>
        <w:t>5</w:t>
      </w:r>
      <w:r>
        <w:rPr>
          <w:iCs/>
          <w:lang w:val="en-GB"/>
        </w:rPr>
        <w:t xml:space="preserve"> also prevent designated generation facilities from being reported under </w:t>
      </w:r>
      <w:r w:rsidR="008D44D6">
        <w:rPr>
          <w:iCs/>
          <w:lang w:val="en-GB"/>
        </w:rPr>
        <w:t>r</w:t>
      </w:r>
      <w:r>
        <w:rPr>
          <w:iCs/>
          <w:lang w:val="en-GB"/>
        </w:rPr>
        <w:t xml:space="preserve">egulation 4.25. This amendment will ensure that the Clean Energy Regulator can meet its obligation under section 24(1AF) of the </w:t>
      </w:r>
      <w:r w:rsidR="00823809">
        <w:rPr>
          <w:iCs/>
          <w:lang w:val="en-GB"/>
        </w:rPr>
        <w:t xml:space="preserve">NGER </w:t>
      </w:r>
      <w:r>
        <w:rPr>
          <w:iCs/>
          <w:lang w:val="en-GB"/>
        </w:rPr>
        <w:t>Act to publish the emissions, energy consumption and energy production associated with each designated generation facility.</w:t>
      </w:r>
    </w:p>
    <w:p w:rsidR="004B7848" w:rsidRPr="00FA1170" w:rsidRDefault="004B7848" w:rsidP="00FA1170">
      <w:pPr>
        <w:spacing w:before="100" w:beforeAutospacing="1" w:after="100" w:afterAutospacing="1"/>
        <w:ind w:right="91"/>
        <w:rPr>
          <w:b/>
        </w:rPr>
      </w:pPr>
      <w:r w:rsidRPr="00FA1170">
        <w:rPr>
          <w:b/>
        </w:rPr>
        <w:lastRenderedPageBreak/>
        <w:t>Item 1</w:t>
      </w:r>
      <w:r w:rsidR="006357BB">
        <w:rPr>
          <w:b/>
        </w:rPr>
        <w:t>6</w:t>
      </w:r>
    </w:p>
    <w:p w:rsidR="004B7848" w:rsidRDefault="004B7848" w:rsidP="00F61B7B">
      <w:pPr>
        <w:rPr>
          <w:iCs/>
          <w:lang w:val="en-GB"/>
        </w:rPr>
      </w:pPr>
      <w:r>
        <w:rPr>
          <w:iCs/>
          <w:lang w:val="en-GB"/>
        </w:rPr>
        <w:t>Item 1</w:t>
      </w:r>
      <w:r w:rsidR="006357BB">
        <w:rPr>
          <w:iCs/>
          <w:lang w:val="en-GB"/>
        </w:rPr>
        <w:t>6</w:t>
      </w:r>
      <w:r>
        <w:rPr>
          <w:iCs/>
          <w:lang w:val="en-GB"/>
        </w:rPr>
        <w:t xml:space="preserve"> amends </w:t>
      </w:r>
      <w:r w:rsidR="008D44D6">
        <w:rPr>
          <w:iCs/>
          <w:lang w:val="en-GB"/>
        </w:rPr>
        <w:t>r</w:t>
      </w:r>
      <w:r>
        <w:rPr>
          <w:iCs/>
          <w:lang w:val="en-GB"/>
        </w:rPr>
        <w:t xml:space="preserve">egulation 4.26 so that it can be used to report on </w:t>
      </w:r>
      <w:r w:rsidR="002A05D7">
        <w:rPr>
          <w:iCs/>
          <w:lang w:val="en-GB"/>
        </w:rPr>
        <w:t>more facili</w:t>
      </w:r>
      <w:r w:rsidR="000821C5">
        <w:rPr>
          <w:iCs/>
          <w:lang w:val="en-GB"/>
        </w:rPr>
        <w:t>ties</w:t>
      </w:r>
      <w:r w:rsidR="00A275CF">
        <w:rPr>
          <w:iCs/>
          <w:lang w:val="en-GB"/>
        </w:rPr>
        <w:t xml:space="preserve"> and larger facilities</w:t>
      </w:r>
      <w:r w:rsidR="002A05D7">
        <w:rPr>
          <w:iCs/>
          <w:lang w:val="en-GB"/>
        </w:rPr>
        <w:t xml:space="preserve"> by changing the </w:t>
      </w:r>
      <w:r>
        <w:rPr>
          <w:iCs/>
          <w:lang w:val="en-GB"/>
        </w:rPr>
        <w:t xml:space="preserve">thresholds </w:t>
      </w:r>
      <w:r w:rsidR="00466E25">
        <w:rPr>
          <w:iCs/>
          <w:lang w:val="en-GB"/>
        </w:rPr>
        <w:t>that limit its availability to</w:t>
      </w:r>
      <w:r>
        <w:rPr>
          <w:iCs/>
          <w:lang w:val="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0"/>
        <w:gridCol w:w="1187"/>
        <w:gridCol w:w="1059"/>
        <w:gridCol w:w="1189"/>
        <w:gridCol w:w="10"/>
        <w:gridCol w:w="1360"/>
        <w:gridCol w:w="11"/>
      </w:tblGrid>
      <w:tr w:rsidR="00FF2CFA" w:rsidRPr="00EC51FA" w:rsidTr="00FF2CFA">
        <w:trPr>
          <w:jc w:val="center"/>
        </w:trPr>
        <w:tc>
          <w:tcPr>
            <w:tcW w:w="2485" w:type="pct"/>
            <w:tcBorders>
              <w:top w:val="nil"/>
              <w:left w:val="nil"/>
            </w:tcBorders>
            <w:shd w:val="clear" w:color="auto" w:fill="auto"/>
            <w:vAlign w:val="center"/>
          </w:tcPr>
          <w:p w:rsidR="00FF2CFA" w:rsidRPr="00EC51FA" w:rsidRDefault="00FF2CFA" w:rsidP="00FF2CFA">
            <w:pPr>
              <w:pStyle w:val="Heading4"/>
              <w:spacing w:before="60" w:after="60"/>
              <w:rPr>
                <w:rFonts w:asciiTheme="minorHAnsi" w:hAnsiTheme="minorHAnsi" w:cstheme="minorHAnsi"/>
                <w:i/>
                <w:sz w:val="20"/>
                <w:szCs w:val="20"/>
              </w:rPr>
            </w:pPr>
          </w:p>
        </w:tc>
        <w:tc>
          <w:tcPr>
            <w:tcW w:w="620" w:type="pct"/>
            <w:shd w:val="clear" w:color="auto" w:fill="BFBFBF" w:themeFill="background1" w:themeFillShade="BF"/>
          </w:tcPr>
          <w:p w:rsidR="00FF2CFA" w:rsidRPr="00EC51FA" w:rsidRDefault="00FF2CFA" w:rsidP="00FF2CFA">
            <w:pPr>
              <w:pStyle w:val="ListBullet"/>
              <w:numPr>
                <w:ilvl w:val="0"/>
                <w:numId w:val="0"/>
              </w:numPr>
              <w:spacing w:before="60" w:after="60"/>
              <w:contextualSpacing w:val="0"/>
              <w:rPr>
                <w:rFonts w:asciiTheme="minorHAnsi" w:hAnsiTheme="minorHAnsi" w:cstheme="minorHAnsi"/>
                <w:b/>
                <w:sz w:val="20"/>
                <w:szCs w:val="20"/>
              </w:rPr>
            </w:pPr>
            <w:r w:rsidRPr="00EC51FA">
              <w:rPr>
                <w:rFonts w:asciiTheme="minorHAnsi" w:hAnsiTheme="minorHAnsi" w:cstheme="minorHAnsi"/>
                <w:b/>
                <w:sz w:val="20"/>
                <w:szCs w:val="20"/>
              </w:rPr>
              <w:t>Scope 1 Emissions (CO</w:t>
            </w:r>
            <w:r w:rsidRPr="00EC51FA">
              <w:rPr>
                <w:rFonts w:asciiTheme="minorHAnsi" w:hAnsiTheme="minorHAnsi" w:cstheme="minorHAnsi"/>
                <w:b/>
                <w:sz w:val="20"/>
                <w:szCs w:val="20"/>
                <w:vertAlign w:val="subscript"/>
              </w:rPr>
              <w:t>2</w:t>
            </w:r>
            <w:r w:rsidRPr="00EC51FA">
              <w:rPr>
                <w:rFonts w:asciiTheme="minorHAnsi" w:hAnsiTheme="minorHAnsi" w:cstheme="minorHAnsi"/>
                <w:b/>
                <w:sz w:val="20"/>
                <w:szCs w:val="20"/>
              </w:rPr>
              <w:t>-e)</w:t>
            </w:r>
          </w:p>
        </w:tc>
        <w:tc>
          <w:tcPr>
            <w:tcW w:w="553" w:type="pct"/>
            <w:shd w:val="clear" w:color="auto" w:fill="BFBFBF" w:themeFill="background1" w:themeFillShade="BF"/>
          </w:tcPr>
          <w:p w:rsidR="00FF2CFA" w:rsidRPr="00EC51FA" w:rsidRDefault="00FF2CFA" w:rsidP="00FF2CFA">
            <w:pPr>
              <w:pStyle w:val="ListBullet"/>
              <w:numPr>
                <w:ilvl w:val="0"/>
                <w:numId w:val="0"/>
              </w:numPr>
              <w:spacing w:before="60" w:after="60"/>
              <w:contextualSpacing w:val="0"/>
              <w:rPr>
                <w:rFonts w:asciiTheme="minorHAnsi" w:hAnsiTheme="minorHAnsi" w:cstheme="minorHAnsi"/>
                <w:b/>
                <w:sz w:val="20"/>
                <w:szCs w:val="20"/>
              </w:rPr>
            </w:pPr>
            <w:r w:rsidRPr="00EC51FA">
              <w:rPr>
                <w:rFonts w:asciiTheme="minorHAnsi" w:hAnsiTheme="minorHAnsi" w:cstheme="minorHAnsi"/>
                <w:b/>
                <w:sz w:val="20"/>
                <w:szCs w:val="20"/>
              </w:rPr>
              <w:t>Scope 2 Emissions (CO</w:t>
            </w:r>
            <w:r w:rsidRPr="00EC51FA">
              <w:rPr>
                <w:rFonts w:asciiTheme="minorHAnsi" w:hAnsiTheme="minorHAnsi" w:cstheme="minorHAnsi"/>
                <w:b/>
                <w:sz w:val="20"/>
                <w:szCs w:val="20"/>
                <w:vertAlign w:val="subscript"/>
              </w:rPr>
              <w:t>2</w:t>
            </w:r>
            <w:r w:rsidRPr="00EC51FA">
              <w:rPr>
                <w:rFonts w:asciiTheme="minorHAnsi" w:hAnsiTheme="minorHAnsi" w:cstheme="minorHAnsi"/>
                <w:b/>
                <w:sz w:val="20"/>
                <w:szCs w:val="20"/>
              </w:rPr>
              <w:t>-e)</w:t>
            </w:r>
          </w:p>
        </w:tc>
        <w:tc>
          <w:tcPr>
            <w:tcW w:w="626" w:type="pct"/>
            <w:gridSpan w:val="2"/>
            <w:shd w:val="clear" w:color="auto" w:fill="BFBFBF" w:themeFill="background1" w:themeFillShade="BF"/>
          </w:tcPr>
          <w:p w:rsidR="00FF2CFA" w:rsidRPr="00EC51FA" w:rsidRDefault="00FF2CFA" w:rsidP="00FF2CFA">
            <w:pPr>
              <w:pStyle w:val="ListBullet"/>
              <w:numPr>
                <w:ilvl w:val="0"/>
                <w:numId w:val="0"/>
              </w:numPr>
              <w:spacing w:before="60" w:after="60"/>
              <w:contextualSpacing w:val="0"/>
              <w:rPr>
                <w:rFonts w:asciiTheme="minorHAnsi" w:hAnsiTheme="minorHAnsi" w:cstheme="minorHAnsi"/>
                <w:b/>
                <w:sz w:val="20"/>
                <w:szCs w:val="20"/>
              </w:rPr>
            </w:pPr>
            <w:r w:rsidRPr="00EC51FA">
              <w:rPr>
                <w:rFonts w:asciiTheme="minorHAnsi" w:hAnsiTheme="minorHAnsi" w:cstheme="minorHAnsi"/>
                <w:b/>
                <w:sz w:val="20"/>
                <w:szCs w:val="20"/>
              </w:rPr>
              <w:t>Energy Production</w:t>
            </w:r>
          </w:p>
        </w:tc>
        <w:tc>
          <w:tcPr>
            <w:tcW w:w="716" w:type="pct"/>
            <w:gridSpan w:val="2"/>
            <w:shd w:val="clear" w:color="auto" w:fill="BFBFBF" w:themeFill="background1" w:themeFillShade="BF"/>
          </w:tcPr>
          <w:p w:rsidR="00FF2CFA" w:rsidRPr="00EC51FA" w:rsidRDefault="00FF2CFA" w:rsidP="00FF2CFA">
            <w:pPr>
              <w:pStyle w:val="ListBullet"/>
              <w:numPr>
                <w:ilvl w:val="0"/>
                <w:numId w:val="0"/>
              </w:numPr>
              <w:spacing w:before="60" w:after="60"/>
              <w:contextualSpacing w:val="0"/>
              <w:rPr>
                <w:rFonts w:asciiTheme="minorHAnsi" w:hAnsiTheme="minorHAnsi" w:cstheme="minorHAnsi"/>
                <w:b/>
                <w:sz w:val="20"/>
                <w:szCs w:val="20"/>
              </w:rPr>
            </w:pPr>
            <w:r w:rsidRPr="00EC51FA">
              <w:rPr>
                <w:rFonts w:asciiTheme="minorHAnsi" w:hAnsiTheme="minorHAnsi" w:cstheme="minorHAnsi"/>
                <w:b/>
                <w:sz w:val="20"/>
                <w:szCs w:val="20"/>
              </w:rPr>
              <w:t>Energy Consumption</w:t>
            </w:r>
          </w:p>
        </w:tc>
      </w:tr>
      <w:tr w:rsidR="00FF2CFA" w:rsidRPr="00D6043D" w:rsidTr="00FF2CFA">
        <w:trPr>
          <w:jc w:val="center"/>
        </w:trPr>
        <w:tc>
          <w:tcPr>
            <w:tcW w:w="5000" w:type="pct"/>
            <w:gridSpan w:val="7"/>
            <w:shd w:val="clear" w:color="auto" w:fill="auto"/>
          </w:tcPr>
          <w:p w:rsidR="00FF2CFA" w:rsidRPr="00D6043D" w:rsidRDefault="00FF2CFA" w:rsidP="006357BB">
            <w:pPr>
              <w:pStyle w:val="ListBullet"/>
              <w:numPr>
                <w:ilvl w:val="0"/>
                <w:numId w:val="0"/>
              </w:numPr>
              <w:spacing w:before="60" w:after="60"/>
              <w:contextualSpacing w:val="0"/>
              <w:jc w:val="center"/>
              <w:rPr>
                <w:rFonts w:asciiTheme="minorHAnsi" w:hAnsiTheme="minorHAnsi" w:cstheme="minorHAnsi"/>
                <w:sz w:val="20"/>
                <w:szCs w:val="20"/>
                <w:highlight w:val="yellow"/>
              </w:rPr>
            </w:pPr>
            <w:r w:rsidRPr="00D6043D">
              <w:rPr>
                <w:rFonts w:asciiTheme="minorHAnsi" w:hAnsiTheme="minorHAnsi" w:cstheme="minorHAnsi"/>
                <w:sz w:val="20"/>
                <w:szCs w:val="20"/>
              </w:rPr>
              <w:t>A corporation</w:t>
            </w:r>
            <w:r>
              <w:rPr>
                <w:rFonts w:asciiTheme="minorHAnsi" w:hAnsiTheme="minorHAnsi" w:cstheme="minorHAnsi"/>
                <w:sz w:val="20"/>
                <w:szCs w:val="20"/>
              </w:rPr>
              <w:t xml:space="preserve"> or responsible member</w:t>
            </w:r>
            <w:r w:rsidRPr="00D6043D">
              <w:rPr>
                <w:rFonts w:asciiTheme="minorHAnsi" w:hAnsiTheme="minorHAnsi" w:cstheme="minorHAnsi"/>
                <w:sz w:val="20"/>
                <w:szCs w:val="20"/>
              </w:rPr>
              <w:t xml:space="preserve"> must </w:t>
            </w:r>
            <w:r w:rsidR="006357BB">
              <w:rPr>
                <w:rFonts w:asciiTheme="minorHAnsi" w:hAnsiTheme="minorHAnsi" w:cstheme="minorHAnsi"/>
                <w:sz w:val="20"/>
                <w:szCs w:val="20"/>
              </w:rPr>
              <w:t>meet</w:t>
            </w:r>
            <w:r w:rsidR="00E96117">
              <w:rPr>
                <w:rFonts w:asciiTheme="minorHAnsi" w:hAnsiTheme="minorHAnsi" w:cstheme="minorHAnsi"/>
                <w:sz w:val="20"/>
                <w:szCs w:val="20"/>
              </w:rPr>
              <w:t xml:space="preserve"> threshold (1)</w:t>
            </w:r>
            <w:r w:rsidRPr="00D6043D">
              <w:rPr>
                <w:rFonts w:asciiTheme="minorHAnsi" w:hAnsiTheme="minorHAnsi" w:cstheme="minorHAnsi"/>
                <w:sz w:val="20"/>
                <w:szCs w:val="20"/>
              </w:rPr>
              <w:t xml:space="preserve"> and threshold (2) </w:t>
            </w:r>
            <w:r w:rsidRPr="00FF2CFA">
              <w:rPr>
                <w:rFonts w:asciiTheme="minorHAnsi" w:hAnsiTheme="minorHAnsi" w:cstheme="minorHAnsi"/>
                <w:sz w:val="20"/>
                <w:szCs w:val="20"/>
                <w:u w:val="single"/>
              </w:rPr>
              <w:t>or</w:t>
            </w:r>
            <w:r w:rsidRPr="00D6043D">
              <w:rPr>
                <w:rFonts w:asciiTheme="minorHAnsi" w:hAnsiTheme="minorHAnsi" w:cstheme="minorHAnsi"/>
                <w:sz w:val="20"/>
                <w:szCs w:val="20"/>
              </w:rPr>
              <w:t xml:space="preserve"> (3)</w:t>
            </w:r>
          </w:p>
        </w:tc>
      </w:tr>
      <w:tr w:rsidR="00FF2CFA" w:rsidRPr="00D6043D" w:rsidTr="00FF2CFA">
        <w:trPr>
          <w:gridAfter w:val="1"/>
          <w:wAfter w:w="6" w:type="pct"/>
          <w:jc w:val="center"/>
        </w:trPr>
        <w:tc>
          <w:tcPr>
            <w:tcW w:w="2485" w:type="pct"/>
            <w:shd w:val="clear" w:color="auto" w:fill="auto"/>
          </w:tcPr>
          <w:p w:rsidR="00FF2CFA" w:rsidRPr="00D6043D" w:rsidRDefault="00FF2CFA" w:rsidP="00FF2CFA">
            <w:pPr>
              <w:pStyle w:val="ListBullet"/>
              <w:numPr>
                <w:ilvl w:val="0"/>
                <w:numId w:val="0"/>
              </w:numPr>
              <w:spacing w:before="60" w:after="60"/>
              <w:contextualSpacing w:val="0"/>
              <w:rPr>
                <w:rFonts w:asciiTheme="minorHAnsi" w:hAnsiTheme="minorHAnsi" w:cstheme="minorHAnsi"/>
                <w:sz w:val="20"/>
                <w:szCs w:val="20"/>
              </w:rPr>
            </w:pPr>
            <w:r w:rsidRPr="00D6043D">
              <w:rPr>
                <w:rFonts w:asciiTheme="minorHAnsi" w:hAnsiTheme="minorHAnsi" w:cstheme="minorHAnsi"/>
                <w:sz w:val="20"/>
                <w:szCs w:val="20"/>
              </w:rPr>
              <w:t xml:space="preserve">(1) Maximum size of a facility reported under r4.26 </w:t>
            </w:r>
          </w:p>
        </w:tc>
        <w:tc>
          <w:tcPr>
            <w:tcW w:w="620" w:type="pct"/>
            <w:shd w:val="clear" w:color="auto" w:fill="auto"/>
            <w:vAlign w:val="center"/>
          </w:tcPr>
          <w:p w:rsidR="00FF2CFA" w:rsidRPr="00D6043D" w:rsidRDefault="00FF2CFA" w:rsidP="00FF2CFA">
            <w:pPr>
              <w:pStyle w:val="ListBullet"/>
              <w:numPr>
                <w:ilvl w:val="0"/>
                <w:numId w:val="0"/>
              </w:numPr>
              <w:spacing w:before="60" w:after="60"/>
              <w:contextualSpacing w:val="0"/>
              <w:jc w:val="center"/>
              <w:rPr>
                <w:rFonts w:asciiTheme="minorHAnsi" w:hAnsiTheme="minorHAnsi" w:cstheme="minorHAnsi"/>
                <w:sz w:val="20"/>
                <w:szCs w:val="20"/>
              </w:rPr>
            </w:pPr>
            <w:r w:rsidRPr="00D6043D">
              <w:rPr>
                <w:rFonts w:asciiTheme="minorHAnsi" w:hAnsiTheme="minorHAnsi" w:cstheme="minorHAnsi"/>
                <w:sz w:val="20"/>
                <w:szCs w:val="20"/>
              </w:rPr>
              <w:t>3 kt</w:t>
            </w:r>
          </w:p>
        </w:tc>
        <w:tc>
          <w:tcPr>
            <w:tcW w:w="553" w:type="pct"/>
            <w:shd w:val="clear" w:color="auto" w:fill="auto"/>
            <w:vAlign w:val="center"/>
          </w:tcPr>
          <w:p w:rsidR="00FF2CFA" w:rsidRPr="00D6043D" w:rsidRDefault="00FF2CFA" w:rsidP="00FF2CFA">
            <w:pPr>
              <w:pStyle w:val="ListBullet"/>
              <w:numPr>
                <w:ilvl w:val="0"/>
                <w:numId w:val="0"/>
              </w:numPr>
              <w:spacing w:before="60" w:after="60"/>
              <w:contextualSpacing w:val="0"/>
              <w:jc w:val="center"/>
              <w:rPr>
                <w:rFonts w:asciiTheme="minorHAnsi" w:hAnsiTheme="minorHAnsi" w:cstheme="minorHAnsi"/>
                <w:sz w:val="20"/>
                <w:szCs w:val="20"/>
              </w:rPr>
            </w:pPr>
            <w:r w:rsidRPr="00D6043D">
              <w:rPr>
                <w:rFonts w:asciiTheme="minorHAnsi" w:hAnsiTheme="minorHAnsi" w:cstheme="minorHAnsi"/>
                <w:sz w:val="20"/>
                <w:szCs w:val="20"/>
              </w:rPr>
              <w:t>3 kt</w:t>
            </w:r>
          </w:p>
        </w:tc>
        <w:tc>
          <w:tcPr>
            <w:tcW w:w="621" w:type="pct"/>
            <w:shd w:val="clear" w:color="auto" w:fill="auto"/>
            <w:vAlign w:val="center"/>
          </w:tcPr>
          <w:p w:rsidR="00FF2CFA" w:rsidRPr="00D6043D" w:rsidRDefault="00FF2CFA" w:rsidP="00FF2CFA">
            <w:pPr>
              <w:pStyle w:val="ListBullet"/>
              <w:numPr>
                <w:ilvl w:val="0"/>
                <w:numId w:val="0"/>
              </w:numPr>
              <w:spacing w:before="60" w:after="60"/>
              <w:contextualSpacing w:val="0"/>
              <w:jc w:val="center"/>
              <w:rPr>
                <w:rFonts w:asciiTheme="minorHAnsi" w:hAnsiTheme="minorHAnsi" w:cstheme="minorHAnsi"/>
                <w:sz w:val="20"/>
                <w:szCs w:val="20"/>
              </w:rPr>
            </w:pPr>
            <w:r w:rsidRPr="00D6043D">
              <w:rPr>
                <w:rFonts w:asciiTheme="minorHAnsi" w:hAnsiTheme="minorHAnsi" w:cstheme="minorHAnsi"/>
                <w:sz w:val="20"/>
                <w:szCs w:val="20"/>
              </w:rPr>
              <w:t>30 TJ</w:t>
            </w:r>
          </w:p>
        </w:tc>
        <w:tc>
          <w:tcPr>
            <w:tcW w:w="715" w:type="pct"/>
            <w:gridSpan w:val="2"/>
            <w:shd w:val="clear" w:color="auto" w:fill="auto"/>
            <w:vAlign w:val="center"/>
          </w:tcPr>
          <w:p w:rsidR="00FF2CFA" w:rsidRPr="00D6043D" w:rsidRDefault="00FF2CFA" w:rsidP="00FF2CFA">
            <w:pPr>
              <w:pStyle w:val="ListBullet"/>
              <w:numPr>
                <w:ilvl w:val="0"/>
                <w:numId w:val="0"/>
              </w:numPr>
              <w:spacing w:before="60" w:after="60"/>
              <w:contextualSpacing w:val="0"/>
              <w:jc w:val="center"/>
              <w:rPr>
                <w:rFonts w:asciiTheme="minorHAnsi" w:hAnsiTheme="minorHAnsi" w:cstheme="minorHAnsi"/>
                <w:sz w:val="20"/>
                <w:szCs w:val="20"/>
              </w:rPr>
            </w:pPr>
            <w:r w:rsidRPr="00D6043D">
              <w:rPr>
                <w:rFonts w:asciiTheme="minorHAnsi" w:hAnsiTheme="minorHAnsi" w:cstheme="minorHAnsi"/>
                <w:sz w:val="20"/>
                <w:szCs w:val="20"/>
              </w:rPr>
              <w:t>30 TJ</w:t>
            </w:r>
          </w:p>
        </w:tc>
      </w:tr>
      <w:tr w:rsidR="00FF2CFA" w:rsidRPr="00D6043D" w:rsidTr="00FF2CFA">
        <w:trPr>
          <w:gridAfter w:val="1"/>
          <w:wAfter w:w="6" w:type="pct"/>
          <w:trHeight w:val="269"/>
          <w:jc w:val="center"/>
        </w:trPr>
        <w:tc>
          <w:tcPr>
            <w:tcW w:w="2485" w:type="pct"/>
            <w:shd w:val="clear" w:color="auto" w:fill="auto"/>
          </w:tcPr>
          <w:p w:rsidR="00FF2CFA" w:rsidRDefault="00FF2CFA" w:rsidP="00FF2CFA">
            <w:pPr>
              <w:pStyle w:val="ListBullet"/>
              <w:numPr>
                <w:ilvl w:val="0"/>
                <w:numId w:val="0"/>
              </w:numPr>
              <w:spacing w:before="60" w:after="60"/>
              <w:rPr>
                <w:rFonts w:asciiTheme="minorHAnsi" w:hAnsiTheme="minorHAnsi" w:cstheme="minorHAnsi"/>
                <w:sz w:val="20"/>
                <w:szCs w:val="20"/>
              </w:rPr>
            </w:pPr>
            <w:r w:rsidRPr="00D6043D">
              <w:rPr>
                <w:rFonts w:asciiTheme="minorHAnsi" w:hAnsiTheme="minorHAnsi" w:cstheme="minorHAnsi"/>
                <w:sz w:val="20"/>
                <w:szCs w:val="20"/>
              </w:rPr>
              <w:t>(2) Maximum amount reported under r4.26</w:t>
            </w:r>
            <w:r>
              <w:rPr>
                <w:rFonts w:asciiTheme="minorHAnsi" w:hAnsiTheme="minorHAnsi" w:cstheme="minorHAnsi"/>
                <w:sz w:val="20"/>
                <w:szCs w:val="20"/>
              </w:rPr>
              <w:t xml:space="preserve"> by a   </w:t>
            </w:r>
          </w:p>
          <w:p w:rsidR="00FF2CFA" w:rsidRPr="00D6043D" w:rsidRDefault="00FF2CFA" w:rsidP="00FF2CFA">
            <w:pPr>
              <w:pStyle w:val="ListBullet"/>
              <w:numPr>
                <w:ilvl w:val="0"/>
                <w:numId w:val="0"/>
              </w:numPr>
              <w:spacing w:before="60" w:after="60"/>
              <w:rPr>
                <w:rFonts w:asciiTheme="minorHAnsi" w:hAnsiTheme="minorHAnsi" w:cstheme="minorHAnsi"/>
                <w:sz w:val="20"/>
                <w:szCs w:val="20"/>
              </w:rPr>
            </w:pPr>
            <w:r>
              <w:rPr>
                <w:rFonts w:asciiTheme="minorHAnsi" w:hAnsiTheme="minorHAnsi" w:cstheme="minorHAnsi"/>
                <w:sz w:val="20"/>
                <w:szCs w:val="20"/>
              </w:rPr>
              <w:t xml:space="preserve">      controlling corporation’s group</w:t>
            </w:r>
          </w:p>
        </w:tc>
        <w:tc>
          <w:tcPr>
            <w:tcW w:w="620" w:type="pct"/>
            <w:shd w:val="clear" w:color="auto" w:fill="auto"/>
            <w:vAlign w:val="center"/>
          </w:tcPr>
          <w:p w:rsidR="00FF2CFA" w:rsidRPr="00D6043D" w:rsidRDefault="00FF2CFA" w:rsidP="00FF2CFA">
            <w:pPr>
              <w:pStyle w:val="ListBullet"/>
              <w:numPr>
                <w:ilvl w:val="0"/>
                <w:numId w:val="0"/>
              </w:numPr>
              <w:spacing w:before="60" w:after="60"/>
              <w:contextualSpacing w:val="0"/>
              <w:jc w:val="center"/>
              <w:rPr>
                <w:rFonts w:asciiTheme="minorHAnsi" w:hAnsiTheme="minorHAnsi" w:cstheme="minorHAnsi"/>
                <w:sz w:val="20"/>
                <w:szCs w:val="20"/>
              </w:rPr>
            </w:pPr>
            <w:r w:rsidRPr="00D6043D">
              <w:rPr>
                <w:rFonts w:asciiTheme="minorHAnsi" w:hAnsiTheme="minorHAnsi" w:cstheme="minorHAnsi"/>
                <w:sz w:val="20"/>
                <w:szCs w:val="20"/>
              </w:rPr>
              <w:t>12 kt</w:t>
            </w:r>
          </w:p>
        </w:tc>
        <w:tc>
          <w:tcPr>
            <w:tcW w:w="553" w:type="pct"/>
            <w:shd w:val="clear" w:color="auto" w:fill="auto"/>
            <w:vAlign w:val="center"/>
          </w:tcPr>
          <w:p w:rsidR="00FF2CFA" w:rsidRPr="00D6043D" w:rsidRDefault="00FF2CFA" w:rsidP="00FF2CFA">
            <w:pPr>
              <w:pStyle w:val="ListBullet"/>
              <w:numPr>
                <w:ilvl w:val="0"/>
                <w:numId w:val="0"/>
              </w:numPr>
              <w:spacing w:before="60" w:after="60"/>
              <w:contextualSpacing w:val="0"/>
              <w:jc w:val="center"/>
              <w:rPr>
                <w:rFonts w:asciiTheme="minorHAnsi" w:hAnsiTheme="minorHAnsi" w:cstheme="minorHAnsi"/>
                <w:sz w:val="20"/>
                <w:szCs w:val="20"/>
              </w:rPr>
            </w:pPr>
            <w:r w:rsidRPr="00D6043D">
              <w:rPr>
                <w:rFonts w:asciiTheme="minorHAnsi" w:hAnsiTheme="minorHAnsi" w:cstheme="minorHAnsi"/>
                <w:sz w:val="20"/>
                <w:szCs w:val="20"/>
              </w:rPr>
              <w:t>12 kt</w:t>
            </w:r>
          </w:p>
        </w:tc>
        <w:tc>
          <w:tcPr>
            <w:tcW w:w="621" w:type="pct"/>
            <w:shd w:val="clear" w:color="auto" w:fill="auto"/>
            <w:vAlign w:val="center"/>
          </w:tcPr>
          <w:p w:rsidR="00FF2CFA" w:rsidRPr="00D6043D" w:rsidRDefault="00FF2CFA" w:rsidP="00FF2CFA">
            <w:pPr>
              <w:pStyle w:val="ListBullet"/>
              <w:numPr>
                <w:ilvl w:val="0"/>
                <w:numId w:val="0"/>
              </w:numPr>
              <w:spacing w:before="60" w:after="60"/>
              <w:contextualSpacing w:val="0"/>
              <w:jc w:val="center"/>
              <w:rPr>
                <w:rFonts w:asciiTheme="minorHAnsi" w:hAnsiTheme="minorHAnsi" w:cstheme="minorHAnsi"/>
                <w:sz w:val="20"/>
                <w:szCs w:val="20"/>
              </w:rPr>
            </w:pPr>
            <w:r w:rsidRPr="00D6043D">
              <w:rPr>
                <w:rFonts w:asciiTheme="minorHAnsi" w:hAnsiTheme="minorHAnsi" w:cstheme="minorHAnsi"/>
                <w:sz w:val="20"/>
                <w:szCs w:val="20"/>
              </w:rPr>
              <w:t>120 TJ</w:t>
            </w:r>
          </w:p>
        </w:tc>
        <w:tc>
          <w:tcPr>
            <w:tcW w:w="715" w:type="pct"/>
            <w:gridSpan w:val="2"/>
            <w:shd w:val="clear" w:color="auto" w:fill="auto"/>
            <w:vAlign w:val="center"/>
          </w:tcPr>
          <w:p w:rsidR="00FF2CFA" w:rsidRPr="00D6043D" w:rsidRDefault="00FF2CFA" w:rsidP="00FF2CFA">
            <w:pPr>
              <w:pStyle w:val="ListBullet"/>
              <w:numPr>
                <w:ilvl w:val="0"/>
                <w:numId w:val="0"/>
              </w:numPr>
              <w:spacing w:before="60" w:after="60"/>
              <w:contextualSpacing w:val="0"/>
              <w:jc w:val="center"/>
              <w:rPr>
                <w:rFonts w:asciiTheme="minorHAnsi" w:hAnsiTheme="minorHAnsi" w:cstheme="minorHAnsi"/>
                <w:sz w:val="20"/>
                <w:szCs w:val="20"/>
              </w:rPr>
            </w:pPr>
            <w:r w:rsidRPr="00D6043D">
              <w:rPr>
                <w:rFonts w:asciiTheme="minorHAnsi" w:hAnsiTheme="minorHAnsi" w:cstheme="minorHAnsi"/>
                <w:sz w:val="20"/>
                <w:szCs w:val="20"/>
              </w:rPr>
              <w:t>120 TJ</w:t>
            </w:r>
          </w:p>
        </w:tc>
      </w:tr>
      <w:tr w:rsidR="00FF2CFA" w:rsidRPr="00D6043D" w:rsidTr="00FF2CFA">
        <w:trPr>
          <w:trHeight w:val="164"/>
          <w:jc w:val="center"/>
        </w:trPr>
        <w:tc>
          <w:tcPr>
            <w:tcW w:w="2485" w:type="pct"/>
            <w:shd w:val="clear" w:color="auto" w:fill="auto"/>
          </w:tcPr>
          <w:p w:rsidR="00FF2CFA" w:rsidRDefault="00FF2CFA" w:rsidP="00FF2CFA">
            <w:pPr>
              <w:pStyle w:val="ListBullet"/>
              <w:numPr>
                <w:ilvl w:val="0"/>
                <w:numId w:val="0"/>
              </w:numPr>
              <w:spacing w:before="60" w:after="60"/>
              <w:rPr>
                <w:rFonts w:asciiTheme="minorHAnsi" w:hAnsiTheme="minorHAnsi" w:cstheme="minorHAnsi"/>
                <w:sz w:val="20"/>
                <w:szCs w:val="20"/>
              </w:rPr>
            </w:pPr>
            <w:r w:rsidRPr="00D6043D">
              <w:rPr>
                <w:rFonts w:asciiTheme="minorHAnsi" w:hAnsiTheme="minorHAnsi" w:cstheme="minorHAnsi"/>
                <w:sz w:val="20"/>
                <w:szCs w:val="20"/>
              </w:rPr>
              <w:t>(3) Maxi</w:t>
            </w:r>
            <w:r>
              <w:rPr>
                <w:rFonts w:asciiTheme="minorHAnsi" w:hAnsiTheme="minorHAnsi" w:cstheme="minorHAnsi"/>
                <w:sz w:val="20"/>
                <w:szCs w:val="20"/>
              </w:rPr>
              <w:t>mum percentage of a controlling</w:t>
            </w:r>
          </w:p>
          <w:p w:rsidR="00FF2CFA" w:rsidRPr="00D6043D" w:rsidRDefault="00FF2CFA" w:rsidP="00FF2CFA">
            <w:pPr>
              <w:pStyle w:val="ListBullet"/>
              <w:numPr>
                <w:ilvl w:val="0"/>
                <w:numId w:val="0"/>
              </w:numPr>
              <w:spacing w:before="60" w:after="60"/>
              <w:rPr>
                <w:rFonts w:asciiTheme="minorHAnsi" w:hAnsiTheme="minorHAnsi" w:cstheme="minorHAnsi"/>
                <w:sz w:val="20"/>
                <w:szCs w:val="20"/>
              </w:rPr>
            </w:pPr>
            <w:r>
              <w:rPr>
                <w:rFonts w:asciiTheme="minorHAnsi" w:hAnsiTheme="minorHAnsi" w:cstheme="minorHAnsi"/>
                <w:sz w:val="20"/>
                <w:szCs w:val="20"/>
              </w:rPr>
              <w:t xml:space="preserve">      </w:t>
            </w:r>
            <w:r w:rsidRPr="00D6043D">
              <w:rPr>
                <w:rFonts w:asciiTheme="minorHAnsi" w:hAnsiTheme="minorHAnsi" w:cstheme="minorHAnsi"/>
                <w:sz w:val="20"/>
                <w:szCs w:val="20"/>
              </w:rPr>
              <w:t>corporation’s totals reported under r4.26</w:t>
            </w:r>
          </w:p>
        </w:tc>
        <w:tc>
          <w:tcPr>
            <w:tcW w:w="1173" w:type="pct"/>
            <w:gridSpan w:val="2"/>
            <w:shd w:val="clear" w:color="auto" w:fill="auto"/>
            <w:vAlign w:val="center"/>
          </w:tcPr>
          <w:p w:rsidR="00FF2CFA" w:rsidRPr="00D6043D" w:rsidRDefault="00FF2CFA" w:rsidP="00FF2CFA">
            <w:pPr>
              <w:pStyle w:val="ListBullet"/>
              <w:numPr>
                <w:ilvl w:val="0"/>
                <w:numId w:val="0"/>
              </w:numPr>
              <w:spacing w:before="60" w:after="60"/>
              <w:contextualSpacing w:val="0"/>
              <w:jc w:val="center"/>
              <w:rPr>
                <w:rFonts w:asciiTheme="minorHAnsi" w:hAnsiTheme="minorHAnsi" w:cstheme="minorHAnsi"/>
                <w:sz w:val="20"/>
                <w:szCs w:val="20"/>
              </w:rPr>
            </w:pPr>
            <w:r w:rsidRPr="00D6043D">
              <w:rPr>
                <w:rFonts w:asciiTheme="minorHAnsi" w:hAnsiTheme="minorHAnsi" w:cstheme="minorHAnsi"/>
                <w:sz w:val="20"/>
                <w:szCs w:val="20"/>
              </w:rPr>
              <w:t>5 %</w:t>
            </w:r>
            <w:r w:rsidR="00D01F0A">
              <w:rPr>
                <w:rFonts w:asciiTheme="minorHAnsi" w:hAnsiTheme="minorHAnsi" w:cstheme="minorHAnsi"/>
                <w:sz w:val="20"/>
                <w:szCs w:val="20"/>
              </w:rPr>
              <w:t xml:space="preserve"> </w:t>
            </w:r>
            <w:r w:rsidR="00D01F0A" w:rsidRPr="00B823B2">
              <w:rPr>
                <w:rFonts w:asciiTheme="minorHAnsi" w:hAnsiTheme="minorHAnsi" w:cstheme="minorHAnsi"/>
                <w:sz w:val="18"/>
                <w:szCs w:val="20"/>
              </w:rPr>
              <w:t xml:space="preserve">of </w:t>
            </w:r>
            <w:r w:rsidR="00B823B2" w:rsidRPr="00B823B2">
              <w:rPr>
                <w:rFonts w:asciiTheme="minorHAnsi" w:hAnsiTheme="minorHAnsi" w:cstheme="minorHAnsi"/>
                <w:sz w:val="18"/>
                <w:szCs w:val="20"/>
              </w:rPr>
              <w:t>(</w:t>
            </w:r>
            <w:r w:rsidR="00D01F0A" w:rsidRPr="00B823B2">
              <w:rPr>
                <w:rFonts w:asciiTheme="minorHAnsi" w:hAnsiTheme="minorHAnsi" w:cstheme="minorHAnsi"/>
                <w:sz w:val="18"/>
                <w:szCs w:val="20"/>
              </w:rPr>
              <w:t>scope 1 + scope 2</w:t>
            </w:r>
            <w:r w:rsidR="00B823B2" w:rsidRPr="00B823B2">
              <w:rPr>
                <w:rFonts w:asciiTheme="minorHAnsi" w:hAnsiTheme="minorHAnsi" w:cstheme="minorHAnsi"/>
                <w:sz w:val="18"/>
                <w:szCs w:val="20"/>
              </w:rPr>
              <w:t>)</w:t>
            </w:r>
          </w:p>
        </w:tc>
        <w:tc>
          <w:tcPr>
            <w:tcW w:w="621" w:type="pct"/>
            <w:shd w:val="clear" w:color="auto" w:fill="auto"/>
            <w:vAlign w:val="center"/>
          </w:tcPr>
          <w:p w:rsidR="00FF2CFA" w:rsidRPr="00D6043D" w:rsidRDefault="00FF2CFA" w:rsidP="00B31EEC">
            <w:pPr>
              <w:pStyle w:val="ListBullet"/>
              <w:numPr>
                <w:ilvl w:val="0"/>
                <w:numId w:val="0"/>
              </w:numPr>
              <w:spacing w:before="60" w:after="60"/>
              <w:contextualSpacing w:val="0"/>
              <w:jc w:val="center"/>
              <w:rPr>
                <w:rFonts w:asciiTheme="minorHAnsi" w:hAnsiTheme="minorHAnsi" w:cstheme="minorHAnsi"/>
                <w:sz w:val="20"/>
                <w:szCs w:val="20"/>
              </w:rPr>
            </w:pPr>
            <w:r w:rsidRPr="00D6043D">
              <w:rPr>
                <w:rFonts w:asciiTheme="minorHAnsi" w:hAnsiTheme="minorHAnsi" w:cstheme="minorHAnsi"/>
                <w:sz w:val="20"/>
                <w:szCs w:val="20"/>
              </w:rPr>
              <w:t>5 %</w:t>
            </w:r>
          </w:p>
        </w:tc>
        <w:tc>
          <w:tcPr>
            <w:tcW w:w="721" w:type="pct"/>
            <w:gridSpan w:val="3"/>
            <w:shd w:val="clear" w:color="auto" w:fill="auto"/>
            <w:vAlign w:val="center"/>
          </w:tcPr>
          <w:p w:rsidR="00FF2CFA" w:rsidRPr="00D6043D" w:rsidRDefault="00FF2CFA" w:rsidP="00B31EEC">
            <w:pPr>
              <w:pStyle w:val="ListBullet"/>
              <w:numPr>
                <w:ilvl w:val="0"/>
                <w:numId w:val="0"/>
              </w:numPr>
              <w:spacing w:before="60" w:after="60"/>
              <w:contextualSpacing w:val="0"/>
              <w:jc w:val="center"/>
              <w:rPr>
                <w:rFonts w:asciiTheme="minorHAnsi" w:hAnsiTheme="minorHAnsi" w:cstheme="minorHAnsi"/>
                <w:sz w:val="20"/>
                <w:szCs w:val="20"/>
              </w:rPr>
            </w:pPr>
            <w:r w:rsidRPr="00D6043D">
              <w:rPr>
                <w:rFonts w:asciiTheme="minorHAnsi" w:hAnsiTheme="minorHAnsi" w:cstheme="minorHAnsi"/>
                <w:sz w:val="20"/>
                <w:szCs w:val="20"/>
              </w:rPr>
              <w:t>5 %</w:t>
            </w:r>
          </w:p>
        </w:tc>
      </w:tr>
    </w:tbl>
    <w:p w:rsidR="004B7848" w:rsidRDefault="00466E25" w:rsidP="00F61B7B">
      <w:pPr>
        <w:rPr>
          <w:iCs/>
          <w:lang w:val="en-GB"/>
        </w:rPr>
      </w:pPr>
      <w:r>
        <w:rPr>
          <w:iCs/>
          <w:lang w:val="en-GB"/>
        </w:rPr>
        <w:t>Item 1</w:t>
      </w:r>
      <w:r w:rsidR="001F374B">
        <w:rPr>
          <w:iCs/>
          <w:lang w:val="en-GB"/>
        </w:rPr>
        <w:t>6</w:t>
      </w:r>
      <w:r>
        <w:rPr>
          <w:iCs/>
          <w:lang w:val="en-GB"/>
        </w:rPr>
        <w:t xml:space="preserve"> also amends </w:t>
      </w:r>
      <w:r w:rsidR="008D44D6">
        <w:rPr>
          <w:iCs/>
          <w:lang w:val="en-GB"/>
        </w:rPr>
        <w:t>r</w:t>
      </w:r>
      <w:r w:rsidR="004B7848">
        <w:rPr>
          <w:iCs/>
          <w:lang w:val="en-GB"/>
        </w:rPr>
        <w:t xml:space="preserve">egulation 4.26 </w:t>
      </w:r>
      <w:r>
        <w:rPr>
          <w:iCs/>
          <w:lang w:val="en-GB"/>
        </w:rPr>
        <w:t xml:space="preserve">so that it </w:t>
      </w:r>
      <w:r w:rsidR="004B7848">
        <w:rPr>
          <w:iCs/>
          <w:lang w:val="en-GB"/>
        </w:rPr>
        <w:t>may be used for reports under section 22X of the Act, noting that a facility reported under section 22X of the Act is considered part of the controlling corporation’s group of facilities</w:t>
      </w:r>
      <w:r w:rsidR="00C2513C">
        <w:rPr>
          <w:iCs/>
          <w:lang w:val="en-GB"/>
        </w:rPr>
        <w:t xml:space="preserve">. </w:t>
      </w:r>
      <w:r>
        <w:rPr>
          <w:iCs/>
          <w:lang w:val="en-GB"/>
        </w:rPr>
        <w:t xml:space="preserve">Use of </w:t>
      </w:r>
      <w:r w:rsidR="008D44D6">
        <w:rPr>
          <w:iCs/>
          <w:lang w:val="en-GB"/>
        </w:rPr>
        <w:t>r</w:t>
      </w:r>
      <w:r>
        <w:rPr>
          <w:iCs/>
          <w:lang w:val="en-GB"/>
        </w:rPr>
        <w:t>egulation 4.26 in a report under section 22X of the Act will require coordination of the use of regulation 4.26 across the corporate group, and it will require the responsible member to access to the corporate groups’ totals.</w:t>
      </w:r>
    </w:p>
    <w:p w:rsidR="00C2513C" w:rsidRPr="00FA1170" w:rsidRDefault="00C2513C" w:rsidP="00F61B7B">
      <w:pPr>
        <w:rPr>
          <w:b/>
        </w:rPr>
      </w:pPr>
      <w:r w:rsidRPr="00FA1170">
        <w:rPr>
          <w:b/>
        </w:rPr>
        <w:t>Item 1</w:t>
      </w:r>
      <w:r w:rsidR="00B91B29">
        <w:rPr>
          <w:b/>
        </w:rPr>
        <w:t>7</w:t>
      </w:r>
    </w:p>
    <w:p w:rsidR="00C2513C" w:rsidRDefault="00B91B29" w:rsidP="00F61B7B">
      <w:pPr>
        <w:rPr>
          <w:iCs/>
          <w:lang w:val="en-GB"/>
        </w:rPr>
      </w:pPr>
      <w:r>
        <w:rPr>
          <w:iCs/>
          <w:lang w:val="en-GB"/>
        </w:rPr>
        <w:t>Item 17</w:t>
      </w:r>
      <w:r w:rsidR="00C2513C">
        <w:rPr>
          <w:iCs/>
          <w:lang w:val="en-GB"/>
        </w:rPr>
        <w:t xml:space="preserve"> </w:t>
      </w:r>
      <w:r w:rsidR="00466E25">
        <w:rPr>
          <w:iCs/>
          <w:lang w:val="en-GB"/>
        </w:rPr>
        <w:t>amends regulation 4.27 so that it can be used to report on more sources, and larger sources. This is achieved by removing</w:t>
      </w:r>
      <w:r w:rsidR="00D01F0A">
        <w:rPr>
          <w:iCs/>
          <w:lang w:val="en-GB"/>
        </w:rPr>
        <w:t xml:space="preserve"> the requirement</w:t>
      </w:r>
      <w:r w:rsidR="000921FB">
        <w:rPr>
          <w:iCs/>
          <w:lang w:val="en-GB"/>
        </w:rPr>
        <w:t xml:space="preserve"> to prove</w:t>
      </w:r>
      <w:r w:rsidR="00D01F0A">
        <w:rPr>
          <w:iCs/>
          <w:lang w:val="en-GB"/>
        </w:rPr>
        <w:t xml:space="preserve"> that </w:t>
      </w:r>
      <w:r w:rsidR="00B823B2">
        <w:rPr>
          <w:iCs/>
          <w:lang w:val="en-GB"/>
        </w:rPr>
        <w:t xml:space="preserve">significant </w:t>
      </w:r>
      <w:r w:rsidR="00D01F0A">
        <w:rPr>
          <w:iCs/>
          <w:lang w:val="en-GB"/>
        </w:rPr>
        <w:t>hardship or expense woul</w:t>
      </w:r>
      <w:r w:rsidR="00466E25">
        <w:rPr>
          <w:iCs/>
          <w:lang w:val="en-GB"/>
        </w:rPr>
        <w:t xml:space="preserve">d be incurred if </w:t>
      </w:r>
      <w:r w:rsidR="008D44D6">
        <w:rPr>
          <w:iCs/>
          <w:lang w:val="en-GB"/>
        </w:rPr>
        <w:t>r</w:t>
      </w:r>
      <w:r w:rsidR="00466E25">
        <w:rPr>
          <w:iCs/>
          <w:lang w:val="en-GB"/>
        </w:rPr>
        <w:t>egulation 4.27</w:t>
      </w:r>
      <w:r w:rsidR="00D01F0A">
        <w:rPr>
          <w:iCs/>
          <w:lang w:val="en-GB"/>
        </w:rPr>
        <w:t xml:space="preserve"> were not used, and </w:t>
      </w:r>
      <w:r w:rsidR="00466E25">
        <w:rPr>
          <w:iCs/>
          <w:lang w:val="en-GB"/>
        </w:rPr>
        <w:t>by changing the thresholds that limit its availability 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2"/>
        <w:gridCol w:w="1286"/>
        <w:gridCol w:w="1174"/>
        <w:gridCol w:w="1297"/>
        <w:gridCol w:w="1467"/>
      </w:tblGrid>
      <w:tr w:rsidR="00D01F0A" w:rsidRPr="00EC51FA" w:rsidTr="00D01F0A">
        <w:trPr>
          <w:jc w:val="center"/>
        </w:trPr>
        <w:tc>
          <w:tcPr>
            <w:tcW w:w="2272" w:type="pct"/>
            <w:tcBorders>
              <w:top w:val="nil"/>
              <w:left w:val="nil"/>
            </w:tcBorders>
            <w:shd w:val="clear" w:color="auto" w:fill="auto"/>
            <w:vAlign w:val="center"/>
          </w:tcPr>
          <w:p w:rsidR="00D01F0A" w:rsidRPr="00EC51FA" w:rsidRDefault="00D01F0A" w:rsidP="00D01F0A">
            <w:pPr>
              <w:pStyle w:val="Heading4"/>
              <w:spacing w:before="60" w:after="60"/>
              <w:rPr>
                <w:rFonts w:asciiTheme="minorHAnsi" w:hAnsiTheme="minorHAnsi" w:cstheme="minorHAnsi"/>
                <w:i/>
                <w:sz w:val="20"/>
                <w:szCs w:val="20"/>
              </w:rPr>
            </w:pPr>
          </w:p>
        </w:tc>
        <w:tc>
          <w:tcPr>
            <w:tcW w:w="671" w:type="pct"/>
            <w:shd w:val="clear" w:color="auto" w:fill="A6A6A6" w:themeFill="background1" w:themeFillShade="A6"/>
          </w:tcPr>
          <w:p w:rsidR="00D01F0A" w:rsidRPr="00EC51FA" w:rsidRDefault="00D01F0A" w:rsidP="00D01F0A">
            <w:pPr>
              <w:pStyle w:val="ListBullet"/>
              <w:numPr>
                <w:ilvl w:val="0"/>
                <w:numId w:val="0"/>
              </w:numPr>
              <w:spacing w:before="60" w:after="60"/>
              <w:contextualSpacing w:val="0"/>
              <w:rPr>
                <w:rFonts w:asciiTheme="minorHAnsi" w:hAnsiTheme="minorHAnsi" w:cstheme="minorHAnsi"/>
                <w:b/>
                <w:sz w:val="20"/>
                <w:szCs w:val="20"/>
              </w:rPr>
            </w:pPr>
            <w:r>
              <w:rPr>
                <w:rFonts w:asciiTheme="minorHAnsi" w:hAnsiTheme="minorHAnsi" w:cstheme="minorHAnsi"/>
                <w:b/>
                <w:sz w:val="20"/>
                <w:szCs w:val="20"/>
              </w:rPr>
              <w:t xml:space="preserve">Scope 1 Emissions </w:t>
            </w:r>
            <w:r w:rsidRPr="00EC51FA">
              <w:rPr>
                <w:rFonts w:asciiTheme="minorHAnsi" w:hAnsiTheme="minorHAnsi" w:cstheme="minorHAnsi"/>
                <w:b/>
                <w:sz w:val="20"/>
                <w:szCs w:val="20"/>
              </w:rPr>
              <w:t>(CO2-e)</w:t>
            </w:r>
          </w:p>
        </w:tc>
        <w:tc>
          <w:tcPr>
            <w:tcW w:w="613" w:type="pct"/>
            <w:shd w:val="clear" w:color="auto" w:fill="A6A6A6" w:themeFill="background1" w:themeFillShade="A6"/>
          </w:tcPr>
          <w:p w:rsidR="00D01F0A" w:rsidRPr="00EC51FA" w:rsidRDefault="00D01F0A" w:rsidP="00D01F0A">
            <w:pPr>
              <w:pStyle w:val="ListBullet"/>
              <w:numPr>
                <w:ilvl w:val="0"/>
                <w:numId w:val="0"/>
              </w:numPr>
              <w:spacing w:before="60" w:after="60"/>
              <w:contextualSpacing w:val="0"/>
              <w:rPr>
                <w:rFonts w:asciiTheme="minorHAnsi" w:hAnsiTheme="minorHAnsi" w:cstheme="minorHAnsi"/>
                <w:b/>
                <w:sz w:val="20"/>
                <w:szCs w:val="20"/>
              </w:rPr>
            </w:pPr>
            <w:r w:rsidRPr="00EC51FA">
              <w:rPr>
                <w:rFonts w:asciiTheme="minorHAnsi" w:hAnsiTheme="minorHAnsi" w:cstheme="minorHAnsi"/>
                <w:b/>
                <w:sz w:val="20"/>
                <w:szCs w:val="20"/>
              </w:rPr>
              <w:t>Scope 2 Emissions (CO2-e)</w:t>
            </w:r>
          </w:p>
        </w:tc>
        <w:tc>
          <w:tcPr>
            <w:tcW w:w="677" w:type="pct"/>
            <w:shd w:val="clear" w:color="auto" w:fill="A6A6A6" w:themeFill="background1" w:themeFillShade="A6"/>
          </w:tcPr>
          <w:p w:rsidR="00D01F0A" w:rsidRPr="00EC51FA" w:rsidRDefault="00D01F0A" w:rsidP="00D01F0A">
            <w:pPr>
              <w:pStyle w:val="ListBullet"/>
              <w:numPr>
                <w:ilvl w:val="0"/>
                <w:numId w:val="0"/>
              </w:numPr>
              <w:spacing w:before="60" w:after="60"/>
              <w:contextualSpacing w:val="0"/>
              <w:rPr>
                <w:rFonts w:asciiTheme="minorHAnsi" w:hAnsiTheme="minorHAnsi" w:cstheme="minorHAnsi"/>
                <w:b/>
                <w:sz w:val="20"/>
                <w:szCs w:val="20"/>
              </w:rPr>
            </w:pPr>
            <w:r w:rsidRPr="00EC51FA">
              <w:rPr>
                <w:rFonts w:asciiTheme="minorHAnsi" w:hAnsiTheme="minorHAnsi" w:cstheme="minorHAnsi"/>
                <w:b/>
                <w:sz w:val="20"/>
                <w:szCs w:val="20"/>
              </w:rPr>
              <w:t>Energy Production</w:t>
            </w:r>
          </w:p>
        </w:tc>
        <w:tc>
          <w:tcPr>
            <w:tcW w:w="766" w:type="pct"/>
            <w:shd w:val="clear" w:color="auto" w:fill="A6A6A6" w:themeFill="background1" w:themeFillShade="A6"/>
          </w:tcPr>
          <w:p w:rsidR="00D01F0A" w:rsidRPr="00EC51FA" w:rsidRDefault="00D01F0A" w:rsidP="00D01F0A">
            <w:pPr>
              <w:pStyle w:val="ListBullet"/>
              <w:numPr>
                <w:ilvl w:val="0"/>
                <w:numId w:val="0"/>
              </w:numPr>
              <w:spacing w:before="60" w:after="60"/>
              <w:contextualSpacing w:val="0"/>
              <w:rPr>
                <w:rFonts w:asciiTheme="minorHAnsi" w:hAnsiTheme="minorHAnsi" w:cstheme="minorHAnsi"/>
                <w:b/>
                <w:sz w:val="20"/>
                <w:szCs w:val="20"/>
              </w:rPr>
            </w:pPr>
            <w:r w:rsidRPr="00EC51FA">
              <w:rPr>
                <w:rFonts w:asciiTheme="minorHAnsi" w:hAnsiTheme="minorHAnsi" w:cstheme="minorHAnsi"/>
                <w:b/>
                <w:sz w:val="20"/>
                <w:szCs w:val="20"/>
              </w:rPr>
              <w:t>Energy Consumption</w:t>
            </w:r>
          </w:p>
        </w:tc>
      </w:tr>
      <w:tr w:rsidR="00D01F0A" w:rsidRPr="00D6043D" w:rsidTr="00D01F0A">
        <w:trPr>
          <w:jc w:val="center"/>
        </w:trPr>
        <w:tc>
          <w:tcPr>
            <w:tcW w:w="2272" w:type="pct"/>
            <w:shd w:val="clear" w:color="auto" w:fill="auto"/>
          </w:tcPr>
          <w:p w:rsidR="00D01F0A" w:rsidRPr="00D6043D" w:rsidRDefault="00D01F0A" w:rsidP="0061637C">
            <w:pPr>
              <w:pStyle w:val="ListBullet"/>
              <w:keepNext/>
              <w:keepLines/>
              <w:numPr>
                <w:ilvl w:val="0"/>
                <w:numId w:val="0"/>
              </w:numPr>
              <w:spacing w:before="60" w:after="60"/>
              <w:rPr>
                <w:rFonts w:asciiTheme="minorHAnsi" w:hAnsiTheme="minorHAnsi" w:cstheme="minorHAnsi"/>
                <w:sz w:val="20"/>
                <w:szCs w:val="20"/>
              </w:rPr>
            </w:pPr>
            <w:r w:rsidRPr="00D6043D">
              <w:rPr>
                <w:rFonts w:asciiTheme="minorHAnsi" w:hAnsiTheme="minorHAnsi" w:cstheme="minorHAnsi"/>
                <w:sz w:val="20"/>
                <w:szCs w:val="20"/>
              </w:rPr>
              <w:t>Maximum size of a source reported under r4.27 (</w:t>
            </w:r>
            <w:r w:rsidR="0061637C">
              <w:rPr>
                <w:rFonts w:asciiTheme="minorHAnsi" w:hAnsiTheme="minorHAnsi" w:cstheme="minorHAnsi"/>
                <w:sz w:val="20"/>
                <w:szCs w:val="20"/>
              </w:rPr>
              <w:t>for emissions from a source other than</w:t>
            </w:r>
            <w:r>
              <w:rPr>
                <w:rFonts w:asciiTheme="minorHAnsi" w:hAnsiTheme="minorHAnsi" w:cstheme="minorHAnsi"/>
                <w:sz w:val="20"/>
                <w:szCs w:val="20"/>
              </w:rPr>
              <w:t xml:space="preserve"> </w:t>
            </w:r>
            <w:r w:rsidRPr="00D6043D">
              <w:rPr>
                <w:rFonts w:asciiTheme="minorHAnsi" w:hAnsiTheme="minorHAnsi" w:cstheme="minorHAnsi"/>
                <w:sz w:val="20"/>
                <w:szCs w:val="20"/>
              </w:rPr>
              <w:t>fuel combustion)</w:t>
            </w:r>
          </w:p>
        </w:tc>
        <w:tc>
          <w:tcPr>
            <w:tcW w:w="671" w:type="pct"/>
            <w:shd w:val="clear" w:color="auto" w:fill="auto"/>
            <w:vAlign w:val="center"/>
          </w:tcPr>
          <w:p w:rsidR="00D01F0A" w:rsidRPr="00D6043D" w:rsidRDefault="00D01F0A" w:rsidP="00D01F0A">
            <w:pPr>
              <w:pStyle w:val="ListBullet"/>
              <w:numPr>
                <w:ilvl w:val="0"/>
                <w:numId w:val="0"/>
              </w:numPr>
              <w:spacing w:before="60" w:after="60"/>
              <w:contextualSpacing w:val="0"/>
              <w:jc w:val="center"/>
              <w:rPr>
                <w:rFonts w:asciiTheme="minorHAnsi" w:hAnsiTheme="minorHAnsi" w:cstheme="minorHAnsi"/>
                <w:sz w:val="20"/>
                <w:szCs w:val="20"/>
              </w:rPr>
            </w:pPr>
            <w:r w:rsidRPr="00D6043D">
              <w:rPr>
                <w:rFonts w:asciiTheme="minorHAnsi" w:hAnsiTheme="minorHAnsi" w:cstheme="minorHAnsi"/>
                <w:sz w:val="20"/>
                <w:szCs w:val="20"/>
              </w:rPr>
              <w:t>3 kt</w:t>
            </w:r>
          </w:p>
        </w:tc>
        <w:tc>
          <w:tcPr>
            <w:tcW w:w="613" w:type="pct"/>
            <w:shd w:val="clear" w:color="auto" w:fill="auto"/>
            <w:vAlign w:val="center"/>
          </w:tcPr>
          <w:p w:rsidR="00D01F0A" w:rsidRPr="00D6043D" w:rsidRDefault="00D01F0A" w:rsidP="00D01F0A">
            <w:pPr>
              <w:pStyle w:val="ListBullet"/>
              <w:numPr>
                <w:ilvl w:val="0"/>
                <w:numId w:val="0"/>
              </w:numPr>
              <w:spacing w:before="60" w:after="60"/>
              <w:contextualSpacing w:val="0"/>
              <w:jc w:val="center"/>
              <w:rPr>
                <w:rFonts w:asciiTheme="minorHAnsi" w:hAnsiTheme="minorHAnsi" w:cstheme="minorHAnsi"/>
                <w:sz w:val="20"/>
                <w:szCs w:val="20"/>
              </w:rPr>
            </w:pPr>
            <w:r w:rsidRPr="00D6043D">
              <w:rPr>
                <w:rFonts w:asciiTheme="minorHAnsi" w:hAnsiTheme="minorHAnsi" w:cstheme="minorHAnsi"/>
                <w:sz w:val="20"/>
                <w:szCs w:val="20"/>
              </w:rPr>
              <w:t>3 kt</w:t>
            </w:r>
          </w:p>
        </w:tc>
        <w:tc>
          <w:tcPr>
            <w:tcW w:w="677" w:type="pct"/>
            <w:shd w:val="clear" w:color="auto" w:fill="auto"/>
            <w:vAlign w:val="center"/>
          </w:tcPr>
          <w:p w:rsidR="00D01F0A" w:rsidRPr="00D6043D" w:rsidRDefault="00D01F0A" w:rsidP="00D01F0A">
            <w:pPr>
              <w:pStyle w:val="ListBullet"/>
              <w:numPr>
                <w:ilvl w:val="0"/>
                <w:numId w:val="0"/>
              </w:numPr>
              <w:spacing w:before="60" w:after="60"/>
              <w:contextualSpacing w:val="0"/>
              <w:jc w:val="center"/>
              <w:rPr>
                <w:rFonts w:asciiTheme="minorHAnsi" w:hAnsiTheme="minorHAnsi" w:cstheme="minorHAnsi"/>
                <w:sz w:val="20"/>
                <w:szCs w:val="20"/>
              </w:rPr>
            </w:pPr>
            <w:r w:rsidRPr="00D6043D">
              <w:rPr>
                <w:rFonts w:asciiTheme="minorHAnsi" w:hAnsiTheme="minorHAnsi" w:cstheme="minorHAnsi"/>
                <w:sz w:val="20"/>
                <w:szCs w:val="20"/>
              </w:rPr>
              <w:t>30 TJ</w:t>
            </w:r>
          </w:p>
        </w:tc>
        <w:tc>
          <w:tcPr>
            <w:tcW w:w="766" w:type="pct"/>
            <w:shd w:val="clear" w:color="auto" w:fill="auto"/>
            <w:vAlign w:val="center"/>
          </w:tcPr>
          <w:p w:rsidR="00D01F0A" w:rsidRPr="00D6043D" w:rsidRDefault="00D01F0A" w:rsidP="00D01F0A">
            <w:pPr>
              <w:pStyle w:val="ListBullet"/>
              <w:numPr>
                <w:ilvl w:val="0"/>
                <w:numId w:val="0"/>
              </w:numPr>
              <w:spacing w:before="60" w:after="60"/>
              <w:contextualSpacing w:val="0"/>
              <w:jc w:val="center"/>
              <w:rPr>
                <w:rFonts w:asciiTheme="minorHAnsi" w:hAnsiTheme="minorHAnsi" w:cstheme="minorHAnsi"/>
                <w:sz w:val="20"/>
                <w:szCs w:val="20"/>
              </w:rPr>
            </w:pPr>
            <w:r w:rsidRPr="00D6043D">
              <w:rPr>
                <w:rFonts w:asciiTheme="minorHAnsi" w:hAnsiTheme="minorHAnsi" w:cstheme="minorHAnsi"/>
                <w:sz w:val="20"/>
                <w:szCs w:val="20"/>
              </w:rPr>
              <w:t>30 TJ</w:t>
            </w:r>
          </w:p>
        </w:tc>
      </w:tr>
      <w:tr w:rsidR="00D01F0A" w:rsidRPr="00D6043D" w:rsidTr="00D01F0A">
        <w:trPr>
          <w:jc w:val="center"/>
        </w:trPr>
        <w:tc>
          <w:tcPr>
            <w:tcW w:w="2272" w:type="pct"/>
            <w:shd w:val="clear" w:color="auto" w:fill="auto"/>
          </w:tcPr>
          <w:p w:rsidR="00D01F0A" w:rsidRPr="00D6043D" w:rsidRDefault="00D01F0A" w:rsidP="00D01F0A">
            <w:pPr>
              <w:pStyle w:val="ListBullet"/>
              <w:keepNext/>
              <w:keepLines/>
              <w:numPr>
                <w:ilvl w:val="0"/>
                <w:numId w:val="0"/>
              </w:numPr>
              <w:spacing w:before="60" w:after="60"/>
              <w:contextualSpacing w:val="0"/>
              <w:rPr>
                <w:rFonts w:asciiTheme="minorHAnsi" w:hAnsiTheme="minorHAnsi" w:cstheme="minorHAnsi"/>
                <w:sz w:val="20"/>
                <w:szCs w:val="20"/>
              </w:rPr>
            </w:pPr>
            <w:r w:rsidRPr="00D6043D">
              <w:rPr>
                <w:rFonts w:asciiTheme="minorHAnsi" w:hAnsiTheme="minorHAnsi" w:cstheme="minorHAnsi"/>
                <w:sz w:val="20"/>
                <w:szCs w:val="20"/>
              </w:rPr>
              <w:t>Maximum amount reported under r4.27 per facility</w:t>
            </w:r>
          </w:p>
        </w:tc>
        <w:tc>
          <w:tcPr>
            <w:tcW w:w="671" w:type="pct"/>
            <w:shd w:val="clear" w:color="auto" w:fill="auto"/>
            <w:vAlign w:val="center"/>
          </w:tcPr>
          <w:p w:rsidR="00D01F0A" w:rsidRPr="00D6043D" w:rsidRDefault="00D01F0A" w:rsidP="00D01F0A">
            <w:pPr>
              <w:pStyle w:val="ListBullet"/>
              <w:numPr>
                <w:ilvl w:val="0"/>
                <w:numId w:val="0"/>
              </w:numPr>
              <w:spacing w:before="60" w:after="60"/>
              <w:contextualSpacing w:val="0"/>
              <w:jc w:val="center"/>
              <w:rPr>
                <w:rFonts w:asciiTheme="minorHAnsi" w:hAnsiTheme="minorHAnsi" w:cstheme="minorHAnsi"/>
                <w:sz w:val="20"/>
                <w:szCs w:val="20"/>
              </w:rPr>
            </w:pPr>
            <w:r w:rsidRPr="00D6043D">
              <w:rPr>
                <w:rFonts w:asciiTheme="minorHAnsi" w:hAnsiTheme="minorHAnsi" w:cstheme="minorHAnsi"/>
                <w:sz w:val="20"/>
                <w:szCs w:val="20"/>
              </w:rPr>
              <w:t>12 kt</w:t>
            </w:r>
          </w:p>
        </w:tc>
        <w:tc>
          <w:tcPr>
            <w:tcW w:w="613" w:type="pct"/>
            <w:shd w:val="clear" w:color="auto" w:fill="auto"/>
            <w:vAlign w:val="center"/>
          </w:tcPr>
          <w:p w:rsidR="00D01F0A" w:rsidRPr="00D6043D" w:rsidRDefault="00D01F0A" w:rsidP="00D01F0A">
            <w:pPr>
              <w:pStyle w:val="ListBullet"/>
              <w:numPr>
                <w:ilvl w:val="0"/>
                <w:numId w:val="0"/>
              </w:numPr>
              <w:spacing w:before="60" w:after="60"/>
              <w:contextualSpacing w:val="0"/>
              <w:jc w:val="center"/>
              <w:rPr>
                <w:rFonts w:asciiTheme="minorHAnsi" w:hAnsiTheme="minorHAnsi" w:cstheme="minorHAnsi"/>
                <w:sz w:val="20"/>
                <w:szCs w:val="20"/>
              </w:rPr>
            </w:pPr>
            <w:r w:rsidRPr="00D6043D">
              <w:rPr>
                <w:rFonts w:asciiTheme="minorHAnsi" w:hAnsiTheme="minorHAnsi" w:cstheme="minorHAnsi"/>
                <w:sz w:val="20"/>
                <w:szCs w:val="20"/>
              </w:rPr>
              <w:t>12 kt</w:t>
            </w:r>
          </w:p>
        </w:tc>
        <w:tc>
          <w:tcPr>
            <w:tcW w:w="677" w:type="pct"/>
            <w:shd w:val="clear" w:color="auto" w:fill="auto"/>
            <w:vAlign w:val="center"/>
          </w:tcPr>
          <w:p w:rsidR="00D01F0A" w:rsidRPr="00D6043D" w:rsidRDefault="00D01F0A" w:rsidP="00D01F0A">
            <w:pPr>
              <w:pStyle w:val="ListBullet"/>
              <w:numPr>
                <w:ilvl w:val="0"/>
                <w:numId w:val="0"/>
              </w:numPr>
              <w:spacing w:before="60" w:after="60"/>
              <w:contextualSpacing w:val="0"/>
              <w:jc w:val="center"/>
              <w:rPr>
                <w:rFonts w:asciiTheme="minorHAnsi" w:hAnsiTheme="minorHAnsi" w:cstheme="minorHAnsi"/>
                <w:sz w:val="20"/>
                <w:szCs w:val="20"/>
              </w:rPr>
            </w:pPr>
            <w:r w:rsidRPr="00D6043D">
              <w:rPr>
                <w:rFonts w:asciiTheme="minorHAnsi" w:hAnsiTheme="minorHAnsi" w:cstheme="minorHAnsi"/>
                <w:sz w:val="20"/>
                <w:szCs w:val="20"/>
              </w:rPr>
              <w:t>120 TJ</w:t>
            </w:r>
          </w:p>
        </w:tc>
        <w:tc>
          <w:tcPr>
            <w:tcW w:w="766" w:type="pct"/>
            <w:shd w:val="clear" w:color="auto" w:fill="auto"/>
            <w:vAlign w:val="center"/>
          </w:tcPr>
          <w:p w:rsidR="00D01F0A" w:rsidRPr="00D6043D" w:rsidRDefault="00D01F0A" w:rsidP="00D01F0A">
            <w:pPr>
              <w:pStyle w:val="ListBullet"/>
              <w:numPr>
                <w:ilvl w:val="0"/>
                <w:numId w:val="0"/>
              </w:numPr>
              <w:spacing w:before="60" w:after="60"/>
              <w:contextualSpacing w:val="0"/>
              <w:jc w:val="center"/>
              <w:rPr>
                <w:rFonts w:asciiTheme="minorHAnsi" w:hAnsiTheme="minorHAnsi" w:cstheme="minorHAnsi"/>
                <w:sz w:val="20"/>
                <w:szCs w:val="20"/>
              </w:rPr>
            </w:pPr>
            <w:r w:rsidRPr="00D6043D">
              <w:rPr>
                <w:rFonts w:asciiTheme="minorHAnsi" w:hAnsiTheme="minorHAnsi" w:cstheme="minorHAnsi"/>
                <w:sz w:val="20"/>
                <w:szCs w:val="20"/>
              </w:rPr>
              <w:t>120 TJ</w:t>
            </w:r>
          </w:p>
        </w:tc>
      </w:tr>
    </w:tbl>
    <w:p w:rsidR="000F212D" w:rsidRPr="000F212D" w:rsidRDefault="000F212D" w:rsidP="00F61B7B">
      <w:r>
        <w:t>These amendments should also make it easier for reporters to meet their obligations in regard to fuel combustion by contractors. Reporters may need to work with their auditors to develop methods that are suitable for this purpose.</w:t>
      </w:r>
    </w:p>
    <w:p w:rsidR="00D01F0A" w:rsidRPr="00FA1170" w:rsidRDefault="00D01F0A" w:rsidP="00F61B7B">
      <w:pPr>
        <w:rPr>
          <w:b/>
        </w:rPr>
      </w:pPr>
      <w:r w:rsidRPr="00FA1170">
        <w:rPr>
          <w:b/>
        </w:rPr>
        <w:t>Item 1</w:t>
      </w:r>
      <w:r w:rsidR="00687D6D">
        <w:rPr>
          <w:b/>
        </w:rPr>
        <w:t>8</w:t>
      </w:r>
    </w:p>
    <w:p w:rsidR="00D01F0A" w:rsidRDefault="00D01F0A" w:rsidP="00F61B7B">
      <w:pPr>
        <w:rPr>
          <w:iCs/>
          <w:lang w:val="en-GB"/>
        </w:rPr>
      </w:pPr>
      <w:r>
        <w:rPr>
          <w:iCs/>
          <w:lang w:val="en-GB"/>
        </w:rPr>
        <w:t>Item 1</w:t>
      </w:r>
      <w:r w:rsidR="001D0A8B">
        <w:rPr>
          <w:iCs/>
          <w:lang w:val="en-GB"/>
        </w:rPr>
        <w:t>8</w:t>
      </w:r>
      <w:r>
        <w:rPr>
          <w:iCs/>
          <w:lang w:val="en-GB"/>
        </w:rPr>
        <w:t xml:space="preserve"> amends </w:t>
      </w:r>
      <w:r w:rsidR="008D44D6">
        <w:rPr>
          <w:iCs/>
          <w:lang w:val="en-GB"/>
        </w:rPr>
        <w:t>r</w:t>
      </w:r>
      <w:r>
        <w:rPr>
          <w:iCs/>
          <w:lang w:val="en-GB"/>
        </w:rPr>
        <w:t xml:space="preserve">egulation 4.29 to correct an inconsistency between the </w:t>
      </w:r>
      <w:r w:rsidRPr="00466E25">
        <w:rPr>
          <w:i/>
          <w:iCs/>
          <w:lang w:val="en-GB"/>
        </w:rPr>
        <w:t>Clean Energy Act 2011</w:t>
      </w:r>
      <w:r>
        <w:rPr>
          <w:iCs/>
          <w:lang w:val="en-GB"/>
        </w:rPr>
        <w:t xml:space="preserve"> and liable entity reporting requirements as set out in the NGER Regulations. </w:t>
      </w:r>
      <w:r w:rsidR="002B6A1B">
        <w:rPr>
          <w:iCs/>
          <w:lang w:val="en-GB"/>
        </w:rPr>
        <w:t xml:space="preserve">As a result, </w:t>
      </w:r>
      <w:r w:rsidR="008D44D6">
        <w:rPr>
          <w:iCs/>
          <w:lang w:val="en-GB"/>
        </w:rPr>
        <w:t>r</w:t>
      </w:r>
      <w:r>
        <w:rPr>
          <w:iCs/>
          <w:lang w:val="en-GB"/>
        </w:rPr>
        <w:t>egulation 4.29 will no longer be available fo</w:t>
      </w:r>
      <w:r w:rsidR="00FA1170">
        <w:rPr>
          <w:iCs/>
          <w:lang w:val="en-GB"/>
        </w:rPr>
        <w:t xml:space="preserve">r reports under sections 22A, 22E and 22G of the </w:t>
      </w:r>
      <w:r w:rsidR="008D44D6">
        <w:rPr>
          <w:iCs/>
          <w:lang w:val="en-GB"/>
        </w:rPr>
        <w:t>NGER </w:t>
      </w:r>
      <w:r w:rsidR="00FA1170">
        <w:rPr>
          <w:iCs/>
          <w:lang w:val="en-GB"/>
        </w:rPr>
        <w:t>Act.</w:t>
      </w:r>
    </w:p>
    <w:p w:rsidR="00C2513C" w:rsidRPr="00BD6A07" w:rsidRDefault="00FA1170" w:rsidP="00F61B7B">
      <w:pPr>
        <w:rPr>
          <w:b/>
          <w:iCs/>
          <w:lang w:val="en-GB"/>
        </w:rPr>
      </w:pPr>
      <w:r w:rsidRPr="00BD6A07">
        <w:rPr>
          <w:b/>
          <w:iCs/>
          <w:lang w:val="en-GB"/>
        </w:rPr>
        <w:lastRenderedPageBreak/>
        <w:t>Item 1</w:t>
      </w:r>
      <w:r w:rsidR="00AD0A88">
        <w:rPr>
          <w:b/>
          <w:iCs/>
          <w:lang w:val="en-GB"/>
        </w:rPr>
        <w:t>9</w:t>
      </w:r>
    </w:p>
    <w:p w:rsidR="00FA1170" w:rsidRDefault="00FA1170" w:rsidP="00F61B7B">
      <w:pPr>
        <w:rPr>
          <w:iCs/>
          <w:lang w:val="en-GB"/>
        </w:rPr>
      </w:pPr>
      <w:r>
        <w:rPr>
          <w:iCs/>
          <w:lang w:val="en-GB"/>
        </w:rPr>
        <w:t>Item 1</w:t>
      </w:r>
      <w:r w:rsidR="00AD0A88">
        <w:rPr>
          <w:iCs/>
          <w:lang w:val="en-GB"/>
        </w:rPr>
        <w:t>9</w:t>
      </w:r>
      <w:r>
        <w:rPr>
          <w:iCs/>
          <w:lang w:val="en-GB"/>
        </w:rPr>
        <w:t xml:space="preserve"> corrects an inconsistency between the NGER Regulations and the </w:t>
      </w:r>
      <w:r w:rsidRPr="00BD6A07">
        <w:rPr>
          <w:i/>
          <w:iCs/>
          <w:lang w:val="en-GB"/>
        </w:rPr>
        <w:t>National Greenhouse and Energy Reporting (Measurement) Determination 2008</w:t>
      </w:r>
      <w:r w:rsidR="002A05D7">
        <w:rPr>
          <w:iCs/>
          <w:lang w:val="en-GB"/>
        </w:rPr>
        <w:t>, with regard to units of measurement.</w:t>
      </w:r>
    </w:p>
    <w:p w:rsidR="00FA1170" w:rsidRPr="00BD6A07" w:rsidRDefault="00FA1170" w:rsidP="00F61B7B">
      <w:pPr>
        <w:rPr>
          <w:b/>
          <w:iCs/>
          <w:lang w:val="en-GB"/>
        </w:rPr>
      </w:pPr>
      <w:r w:rsidRPr="00BD6A07">
        <w:rPr>
          <w:b/>
          <w:iCs/>
          <w:lang w:val="en-GB"/>
        </w:rPr>
        <w:t xml:space="preserve">Item </w:t>
      </w:r>
      <w:r w:rsidR="00CA184A">
        <w:rPr>
          <w:b/>
          <w:iCs/>
          <w:lang w:val="en-GB"/>
        </w:rPr>
        <w:t>20</w:t>
      </w:r>
    </w:p>
    <w:p w:rsidR="00FA1170" w:rsidRDefault="00CA184A" w:rsidP="00F61B7B">
      <w:pPr>
        <w:rPr>
          <w:iCs/>
          <w:lang w:val="en-GB"/>
        </w:rPr>
      </w:pPr>
      <w:r>
        <w:rPr>
          <w:iCs/>
          <w:lang w:val="en-GB"/>
        </w:rPr>
        <w:t>Item 20</w:t>
      </w:r>
      <w:r w:rsidR="00FA1170">
        <w:rPr>
          <w:iCs/>
          <w:lang w:val="en-GB"/>
        </w:rPr>
        <w:t xml:space="preserve"> requires persons to report the amount of any adjustment to their Provisional Emissions Number made in accordance with the </w:t>
      </w:r>
      <w:r w:rsidR="00FA1170" w:rsidRPr="00BD6A07">
        <w:rPr>
          <w:i/>
          <w:iCs/>
          <w:lang w:val="en-GB"/>
        </w:rPr>
        <w:t>National Greenhouse and Energy Reporting (Measurement) Determination 2008</w:t>
      </w:r>
      <w:r w:rsidR="00FA1170">
        <w:rPr>
          <w:iCs/>
          <w:lang w:val="en-GB"/>
        </w:rPr>
        <w:t>.</w:t>
      </w:r>
    </w:p>
    <w:p w:rsidR="00FA1170" w:rsidRPr="00BD6A07" w:rsidRDefault="00CA184A" w:rsidP="00F61B7B">
      <w:pPr>
        <w:rPr>
          <w:b/>
          <w:iCs/>
          <w:lang w:val="en-GB"/>
        </w:rPr>
      </w:pPr>
      <w:r>
        <w:rPr>
          <w:b/>
          <w:iCs/>
          <w:lang w:val="en-GB"/>
        </w:rPr>
        <w:t>Item 21</w:t>
      </w:r>
    </w:p>
    <w:p w:rsidR="00FA1170" w:rsidRDefault="007A23C2" w:rsidP="00F61B7B">
      <w:pPr>
        <w:rPr>
          <w:iCs/>
          <w:lang w:val="en-GB"/>
        </w:rPr>
      </w:pPr>
      <w:r>
        <w:rPr>
          <w:iCs/>
          <w:lang w:val="en-GB"/>
        </w:rPr>
        <w:t>Item 21</w:t>
      </w:r>
      <w:r w:rsidR="00FA1170">
        <w:rPr>
          <w:iCs/>
          <w:lang w:val="en-GB"/>
        </w:rPr>
        <w:t xml:space="preserve"> </w:t>
      </w:r>
      <w:r>
        <w:rPr>
          <w:iCs/>
          <w:lang w:val="en-GB"/>
        </w:rPr>
        <w:t xml:space="preserve">introduces a self-repealing transitional provision which states that the amendments made by Schedule 1 to the Regulation do not apply to reports given for the 2013-2013 financial year. </w:t>
      </w:r>
    </w:p>
    <w:p w:rsidR="00BD6A07" w:rsidRPr="00BD6A07" w:rsidRDefault="00BD6A07" w:rsidP="00F61B7B">
      <w:pPr>
        <w:rPr>
          <w:b/>
          <w:iCs/>
          <w:lang w:val="en-GB"/>
        </w:rPr>
      </w:pPr>
      <w:r w:rsidRPr="00BD6A07">
        <w:rPr>
          <w:b/>
          <w:iCs/>
          <w:lang w:val="en-GB"/>
        </w:rPr>
        <w:t xml:space="preserve">Items </w:t>
      </w:r>
      <w:r w:rsidR="002F7F18">
        <w:rPr>
          <w:b/>
          <w:iCs/>
          <w:lang w:val="en-GB"/>
        </w:rPr>
        <w:t>22-32</w:t>
      </w:r>
    </w:p>
    <w:p w:rsidR="00BD6A07" w:rsidRDefault="00BD6A07" w:rsidP="00F61B7B">
      <w:pPr>
        <w:rPr>
          <w:iCs/>
          <w:lang w:val="en-GB"/>
        </w:rPr>
      </w:pPr>
      <w:r>
        <w:rPr>
          <w:iCs/>
          <w:lang w:val="en-GB"/>
        </w:rPr>
        <w:t xml:space="preserve">Items </w:t>
      </w:r>
      <w:r w:rsidR="00644386">
        <w:rPr>
          <w:iCs/>
          <w:lang w:val="en-GB"/>
        </w:rPr>
        <w:t>22</w:t>
      </w:r>
      <w:r>
        <w:rPr>
          <w:iCs/>
          <w:lang w:val="en-GB"/>
        </w:rPr>
        <w:t>-</w:t>
      </w:r>
      <w:r w:rsidR="00644386">
        <w:rPr>
          <w:iCs/>
          <w:lang w:val="en-GB"/>
        </w:rPr>
        <w:t>32</w:t>
      </w:r>
      <w:r>
        <w:rPr>
          <w:iCs/>
          <w:lang w:val="en-GB"/>
        </w:rPr>
        <w:t xml:space="preserve"> clarify that more than one emissions factor can be used for a facility, and require reporting of each emissions factor.</w:t>
      </w:r>
    </w:p>
    <w:p w:rsidR="00BD6A07" w:rsidRPr="00BD6A07" w:rsidRDefault="00BD6A07" w:rsidP="00F61B7B">
      <w:pPr>
        <w:rPr>
          <w:b/>
          <w:iCs/>
          <w:lang w:val="en-GB"/>
        </w:rPr>
      </w:pPr>
      <w:r w:rsidRPr="00BD6A07">
        <w:rPr>
          <w:b/>
          <w:iCs/>
          <w:lang w:val="en-GB"/>
        </w:rPr>
        <w:t>Items 3</w:t>
      </w:r>
      <w:r w:rsidR="002F7F18">
        <w:rPr>
          <w:b/>
          <w:iCs/>
          <w:lang w:val="en-GB"/>
        </w:rPr>
        <w:t>3-37</w:t>
      </w:r>
    </w:p>
    <w:p w:rsidR="00BD6A07" w:rsidRDefault="00BD6A07" w:rsidP="00F61B7B">
      <w:pPr>
        <w:rPr>
          <w:iCs/>
          <w:lang w:val="en-GB"/>
        </w:rPr>
      </w:pPr>
      <w:r>
        <w:rPr>
          <w:iCs/>
          <w:lang w:val="en-GB"/>
        </w:rPr>
        <w:t>Items 3</w:t>
      </w:r>
      <w:r w:rsidR="00644386">
        <w:rPr>
          <w:iCs/>
          <w:lang w:val="en-GB"/>
        </w:rPr>
        <w:t>3</w:t>
      </w:r>
      <w:r>
        <w:rPr>
          <w:iCs/>
          <w:lang w:val="en-GB"/>
        </w:rPr>
        <w:t>-3</w:t>
      </w:r>
      <w:r w:rsidR="00644386">
        <w:rPr>
          <w:iCs/>
          <w:lang w:val="en-GB"/>
        </w:rPr>
        <w:t>7</w:t>
      </w:r>
      <w:r>
        <w:rPr>
          <w:iCs/>
          <w:lang w:val="en-GB"/>
        </w:rPr>
        <w:t xml:space="preserve"> set out new reporting requirements associated with improved methods for solid waste disposal on land in the </w:t>
      </w:r>
      <w:r w:rsidRPr="00BD6A07">
        <w:rPr>
          <w:i/>
          <w:iCs/>
          <w:lang w:val="en-GB"/>
        </w:rPr>
        <w:t>National Greenhouse and Energy Reporting (Measurement) Determination 2008</w:t>
      </w:r>
      <w:r>
        <w:rPr>
          <w:iCs/>
          <w:lang w:val="en-GB"/>
        </w:rPr>
        <w:t>.</w:t>
      </w:r>
      <w:r w:rsidR="00466E25">
        <w:rPr>
          <w:iCs/>
          <w:lang w:val="en-GB"/>
        </w:rPr>
        <w:t xml:space="preserve"> This will ensure that the information is reported.</w:t>
      </w:r>
    </w:p>
    <w:p w:rsidR="00BD6A07" w:rsidRPr="00AE184C" w:rsidRDefault="00BD6A07" w:rsidP="00BD6A07">
      <w:pPr>
        <w:keepLines/>
        <w:spacing w:before="100" w:beforeAutospacing="1" w:after="100" w:afterAutospacing="1"/>
        <w:rPr>
          <w:b/>
          <w:u w:val="single"/>
        </w:rPr>
      </w:pPr>
      <w:r w:rsidRPr="00AE184C">
        <w:rPr>
          <w:b/>
          <w:u w:val="single"/>
        </w:rPr>
        <w:t xml:space="preserve">Schedule </w:t>
      </w:r>
      <w:r w:rsidR="00232F7A">
        <w:rPr>
          <w:b/>
          <w:u w:val="single"/>
        </w:rPr>
        <w:t>2</w:t>
      </w:r>
      <w:r w:rsidRPr="00AE184C">
        <w:rPr>
          <w:b/>
          <w:u w:val="single"/>
        </w:rPr>
        <w:t xml:space="preserve"> – Amendments</w:t>
      </w:r>
      <w:r w:rsidR="00651FB4">
        <w:rPr>
          <w:b/>
          <w:u w:val="single"/>
        </w:rPr>
        <w:t xml:space="preserve"> commencing on 1 July 2014 </w:t>
      </w:r>
    </w:p>
    <w:p w:rsidR="00BD6A07" w:rsidRPr="00AE184C" w:rsidRDefault="00BD6A07" w:rsidP="00BD6A07">
      <w:pPr>
        <w:keepLines/>
        <w:spacing w:before="100" w:beforeAutospacing="1" w:after="100" w:afterAutospacing="1"/>
        <w:ind w:right="91"/>
        <w:rPr>
          <w:b/>
          <w:highlight w:val="yellow"/>
        </w:rPr>
      </w:pPr>
      <w:r>
        <w:rPr>
          <w:b/>
          <w:bCs/>
          <w:i/>
          <w:iCs/>
          <w:sz w:val="28"/>
          <w:szCs w:val="28"/>
        </w:rPr>
        <w:t>National Greenhouse and</w:t>
      </w:r>
      <w:r w:rsidRPr="00AE184C">
        <w:rPr>
          <w:b/>
          <w:bCs/>
          <w:i/>
          <w:iCs/>
          <w:sz w:val="28"/>
          <w:szCs w:val="28"/>
        </w:rPr>
        <w:t xml:space="preserve"> Energy </w:t>
      </w:r>
      <w:r>
        <w:rPr>
          <w:b/>
          <w:bCs/>
          <w:i/>
          <w:iCs/>
          <w:sz w:val="28"/>
          <w:szCs w:val="28"/>
        </w:rPr>
        <w:t>Reporting Regulations 2008</w:t>
      </w:r>
    </w:p>
    <w:p w:rsidR="00C93A49" w:rsidRDefault="00BD6A07" w:rsidP="00F61B7B">
      <w:pPr>
        <w:rPr>
          <w:b/>
          <w:iCs/>
          <w:lang w:val="en-GB"/>
        </w:rPr>
      </w:pPr>
      <w:r w:rsidRPr="009E3D41">
        <w:rPr>
          <w:b/>
          <w:iCs/>
          <w:lang w:val="en-GB"/>
        </w:rPr>
        <w:t>Item</w:t>
      </w:r>
      <w:r w:rsidR="00866DFB">
        <w:rPr>
          <w:b/>
          <w:iCs/>
          <w:lang w:val="en-GB"/>
        </w:rPr>
        <w:t>s</w:t>
      </w:r>
      <w:r w:rsidRPr="009E3D41">
        <w:rPr>
          <w:b/>
          <w:iCs/>
          <w:lang w:val="en-GB"/>
        </w:rPr>
        <w:t xml:space="preserve"> 1</w:t>
      </w:r>
    </w:p>
    <w:p w:rsidR="00C93A49" w:rsidRPr="00C93A49" w:rsidRDefault="00C93A49" w:rsidP="00F61B7B">
      <w:pPr>
        <w:rPr>
          <w:iCs/>
          <w:lang w:val="en-GB"/>
        </w:rPr>
      </w:pPr>
      <w:r>
        <w:rPr>
          <w:iCs/>
          <w:lang w:val="en-GB"/>
        </w:rPr>
        <w:t xml:space="preserve">Item 1 removes regulation 1.03. </w:t>
      </w:r>
    </w:p>
    <w:p w:rsidR="00BD6A07" w:rsidRPr="009E3D41" w:rsidRDefault="00C93A49" w:rsidP="00F61B7B">
      <w:pPr>
        <w:rPr>
          <w:b/>
          <w:iCs/>
          <w:lang w:val="en-GB"/>
        </w:rPr>
      </w:pPr>
      <w:r>
        <w:rPr>
          <w:b/>
          <w:iCs/>
          <w:lang w:val="en-GB"/>
        </w:rPr>
        <w:t>Items 2</w:t>
      </w:r>
      <w:r w:rsidR="00866DFB">
        <w:rPr>
          <w:b/>
          <w:iCs/>
          <w:lang w:val="en-GB"/>
        </w:rPr>
        <w:t xml:space="preserve">-3 </w:t>
      </w:r>
    </w:p>
    <w:p w:rsidR="00FA1170" w:rsidRDefault="00BD6A07" w:rsidP="00F61B7B">
      <w:pPr>
        <w:rPr>
          <w:iCs/>
          <w:lang w:val="en-GB"/>
        </w:rPr>
      </w:pPr>
      <w:r>
        <w:rPr>
          <w:iCs/>
          <w:lang w:val="en-GB"/>
        </w:rPr>
        <w:t>Item</w:t>
      </w:r>
      <w:r w:rsidR="00866DFB">
        <w:rPr>
          <w:iCs/>
          <w:lang w:val="en-GB"/>
        </w:rPr>
        <w:t>s</w:t>
      </w:r>
      <w:r>
        <w:rPr>
          <w:iCs/>
          <w:lang w:val="en-GB"/>
        </w:rPr>
        <w:t xml:space="preserve"> </w:t>
      </w:r>
      <w:r w:rsidR="00F308B4">
        <w:rPr>
          <w:iCs/>
          <w:lang w:val="en-GB"/>
        </w:rPr>
        <w:t>2 and 3</w:t>
      </w:r>
      <w:r w:rsidR="00866DFB">
        <w:rPr>
          <w:iCs/>
          <w:lang w:val="en-GB"/>
        </w:rPr>
        <w:t xml:space="preserve"> remove</w:t>
      </w:r>
      <w:r>
        <w:rPr>
          <w:iCs/>
          <w:lang w:val="en-GB"/>
        </w:rPr>
        <w:t xml:space="preserve"> </w:t>
      </w:r>
      <w:r w:rsidR="008D44D6">
        <w:rPr>
          <w:iCs/>
          <w:lang w:val="en-GB"/>
        </w:rPr>
        <w:t>r</w:t>
      </w:r>
      <w:r>
        <w:rPr>
          <w:iCs/>
          <w:lang w:val="en-GB"/>
        </w:rPr>
        <w:t>egulation 4</w:t>
      </w:r>
      <w:r w:rsidR="00651457">
        <w:rPr>
          <w:iCs/>
          <w:lang w:val="en-GB"/>
        </w:rPr>
        <w:t>.29</w:t>
      </w:r>
      <w:r w:rsidR="00866DFB">
        <w:rPr>
          <w:iCs/>
          <w:lang w:val="en-GB"/>
        </w:rPr>
        <w:t xml:space="preserve"> and subregulations related to regulation 4.29</w:t>
      </w:r>
      <w:r w:rsidR="00651457">
        <w:rPr>
          <w:iCs/>
          <w:lang w:val="en-GB"/>
        </w:rPr>
        <w:t xml:space="preserve">, as </w:t>
      </w:r>
      <w:r w:rsidR="006E7C25">
        <w:rPr>
          <w:iCs/>
          <w:lang w:val="en-GB"/>
        </w:rPr>
        <w:t>of 1 July </w:t>
      </w:r>
      <w:r w:rsidR="00651457">
        <w:rPr>
          <w:iCs/>
          <w:lang w:val="en-GB"/>
        </w:rPr>
        <w:t>2014. The delay will give reporters time to transition to the new arrangements.</w:t>
      </w:r>
    </w:p>
    <w:p w:rsidR="004B7848" w:rsidRPr="003D567D" w:rsidRDefault="004B7848" w:rsidP="00F61B7B"/>
    <w:p w:rsidR="00FA3EE6" w:rsidRPr="0058153F" w:rsidRDefault="00FA3EE6" w:rsidP="008861EA">
      <w:pPr>
        <w:keepNext/>
        <w:keepLines/>
        <w:spacing w:before="100" w:beforeAutospacing="1" w:after="100" w:afterAutospacing="1"/>
        <w:ind w:right="91"/>
      </w:pPr>
    </w:p>
    <w:p w:rsidR="00AE184C" w:rsidRDefault="00AE184C" w:rsidP="00065624">
      <w:pPr>
        <w:keepNext/>
        <w:keepLines/>
        <w:spacing w:before="100" w:beforeAutospacing="1" w:after="100" w:afterAutospacing="1"/>
        <w:ind w:right="91"/>
      </w:pPr>
      <w:r>
        <w:br w:type="page"/>
      </w:r>
    </w:p>
    <w:p w:rsidR="00DE2311" w:rsidRDefault="00DE2311" w:rsidP="00DE2311">
      <w:pPr>
        <w:widowControl/>
        <w:autoSpaceDE/>
        <w:autoSpaceDN/>
        <w:adjustRightInd/>
        <w:spacing w:before="0" w:after="200" w:line="276" w:lineRule="auto"/>
        <w:jc w:val="right"/>
        <w:rPr>
          <w:b/>
          <w:u w:val="single"/>
        </w:rPr>
      </w:pPr>
      <w:r w:rsidRPr="000147FA">
        <w:rPr>
          <w:b/>
          <w:u w:val="single"/>
        </w:rPr>
        <w:lastRenderedPageBreak/>
        <w:t xml:space="preserve">Attachment </w:t>
      </w:r>
      <w:r>
        <w:rPr>
          <w:b/>
          <w:u w:val="single"/>
        </w:rPr>
        <w:t>B</w:t>
      </w:r>
    </w:p>
    <w:p w:rsidR="00575F81" w:rsidRPr="008E1079" w:rsidRDefault="00575F81" w:rsidP="00B76169">
      <w:pPr>
        <w:spacing w:after="120"/>
        <w:jc w:val="center"/>
        <w:rPr>
          <w:b/>
          <w:sz w:val="28"/>
          <w:szCs w:val="28"/>
        </w:rPr>
      </w:pPr>
      <w:r w:rsidRPr="008E1079">
        <w:rPr>
          <w:b/>
          <w:sz w:val="28"/>
          <w:szCs w:val="28"/>
        </w:rPr>
        <w:t>Statement of Compatibility with Human Rights</w:t>
      </w:r>
    </w:p>
    <w:p w:rsidR="00575F81" w:rsidRPr="008E1079" w:rsidRDefault="00575F81" w:rsidP="00575F81">
      <w:pPr>
        <w:spacing w:before="120"/>
        <w:jc w:val="center"/>
      </w:pPr>
      <w:r w:rsidRPr="008E1079">
        <w:rPr>
          <w:i/>
        </w:rPr>
        <w:t>Prepared in accordance with Part 3 of the Human Rights (Parliamentary Scrutiny) Act 2011</w:t>
      </w:r>
    </w:p>
    <w:p w:rsidR="00575F81" w:rsidRPr="00264A02" w:rsidRDefault="00575F81" w:rsidP="00575F81">
      <w:pPr>
        <w:spacing w:before="120" w:after="120"/>
        <w:jc w:val="center"/>
        <w:rPr>
          <w:b/>
        </w:rPr>
      </w:pPr>
      <w:r w:rsidRPr="00E10AF1">
        <w:rPr>
          <w:b/>
        </w:rPr>
        <w:t>National Greenhouse and Energy Reporting Amendment (</w:t>
      </w:r>
      <w:r>
        <w:rPr>
          <w:b/>
        </w:rPr>
        <w:t>Streamlining Reporting</w:t>
      </w:r>
      <w:r w:rsidRPr="00E10AF1">
        <w:rPr>
          <w:b/>
        </w:rPr>
        <w:t>) Regulation 2013</w:t>
      </w:r>
      <w:r w:rsidRPr="008E1079">
        <w:rPr>
          <w:b/>
        </w:rPr>
        <w:t xml:space="preserve"> </w:t>
      </w:r>
    </w:p>
    <w:p w:rsidR="00575F81" w:rsidRPr="00222093" w:rsidRDefault="00575F81" w:rsidP="00575F81">
      <w:pPr>
        <w:spacing w:before="120" w:after="120"/>
        <w:jc w:val="center"/>
      </w:pPr>
      <w:r w:rsidRPr="008E1079">
        <w:t xml:space="preserve">This Regulation is compatible with the human rights and freedoms recognised or declared in the international instruments listed in section 3 of the </w:t>
      </w:r>
      <w:r w:rsidRPr="008E1079">
        <w:rPr>
          <w:i/>
        </w:rPr>
        <w:t>Human</w:t>
      </w:r>
      <w:r>
        <w:rPr>
          <w:i/>
        </w:rPr>
        <w:t> </w:t>
      </w:r>
      <w:r w:rsidRPr="008E1079">
        <w:rPr>
          <w:i/>
        </w:rPr>
        <w:t>Rights</w:t>
      </w:r>
      <w:r>
        <w:rPr>
          <w:i/>
        </w:rPr>
        <w:t> </w:t>
      </w:r>
      <w:r w:rsidRPr="008E1079">
        <w:rPr>
          <w:i/>
        </w:rPr>
        <w:t>(Parliamentary</w:t>
      </w:r>
      <w:r>
        <w:rPr>
          <w:i/>
        </w:rPr>
        <w:t> </w:t>
      </w:r>
      <w:r w:rsidRPr="008E1079">
        <w:rPr>
          <w:i/>
        </w:rPr>
        <w:t>Scrutiny)</w:t>
      </w:r>
      <w:r>
        <w:rPr>
          <w:i/>
        </w:rPr>
        <w:t> </w:t>
      </w:r>
      <w:r w:rsidRPr="008E1079">
        <w:rPr>
          <w:i/>
        </w:rPr>
        <w:t>Act</w:t>
      </w:r>
      <w:r>
        <w:rPr>
          <w:i/>
        </w:rPr>
        <w:t> </w:t>
      </w:r>
      <w:r w:rsidRPr="008E1079">
        <w:rPr>
          <w:i/>
        </w:rPr>
        <w:t>2011</w:t>
      </w:r>
      <w:r w:rsidRPr="008E1079">
        <w:t>.</w:t>
      </w:r>
    </w:p>
    <w:p w:rsidR="00575F81" w:rsidRPr="00222093" w:rsidRDefault="00575F81" w:rsidP="00575F81">
      <w:pPr>
        <w:spacing w:before="120" w:after="120"/>
        <w:rPr>
          <w:b/>
        </w:rPr>
      </w:pPr>
      <w:r w:rsidRPr="00222093">
        <w:rPr>
          <w:b/>
        </w:rPr>
        <w:t xml:space="preserve">Overview of the </w:t>
      </w:r>
      <w:r w:rsidRPr="00264A02">
        <w:rPr>
          <w:b/>
        </w:rPr>
        <w:t>National Greenhouse and Energy Reporting Amendment (</w:t>
      </w:r>
      <w:r>
        <w:rPr>
          <w:b/>
        </w:rPr>
        <w:t>Streamlining Reporting</w:t>
      </w:r>
      <w:r w:rsidRPr="00264A02">
        <w:rPr>
          <w:b/>
        </w:rPr>
        <w:t>) Regulation 2013</w:t>
      </w:r>
    </w:p>
    <w:p w:rsidR="00575F81" w:rsidRDefault="00575F81" w:rsidP="00575F81">
      <w:pPr>
        <w:spacing w:before="0"/>
      </w:pPr>
      <w:r>
        <w:rPr>
          <w:color w:val="000000"/>
        </w:rPr>
        <w:t xml:space="preserve">The </w:t>
      </w:r>
      <w:r w:rsidRPr="00F45459">
        <w:rPr>
          <w:i/>
        </w:rPr>
        <w:t>National Greenhouse and Energy Reporting Amendment (Streamlining Reporting) Regulation 2013</w:t>
      </w:r>
      <w:r>
        <w:rPr>
          <w:b/>
        </w:rPr>
        <w:t xml:space="preserve"> </w:t>
      </w:r>
      <w:r w:rsidRPr="00C606AA">
        <w:t>(</w:t>
      </w:r>
      <w:r>
        <w:t xml:space="preserve">the </w:t>
      </w:r>
      <w:r>
        <w:rPr>
          <w:color w:val="000000"/>
        </w:rPr>
        <w:t xml:space="preserve">Amendment Regulation) introduces amendments to streamline the reporting requirements under the </w:t>
      </w:r>
      <w:r w:rsidRPr="001F0B65">
        <w:t xml:space="preserve">National Greenhouse and Energy Reporting </w:t>
      </w:r>
      <w:r>
        <w:t>Scheme</w:t>
      </w:r>
      <w:r>
        <w:rPr>
          <w:color w:val="000000"/>
        </w:rPr>
        <w:t xml:space="preserve"> (the NGER Scheme), reducing the compliance costs for many reporters. The Amendment Regulation</w:t>
      </w:r>
      <w:r>
        <w:t>:</w:t>
      </w:r>
    </w:p>
    <w:p w:rsidR="00575F81" w:rsidRDefault="00575F81" w:rsidP="00575F81">
      <w:pPr>
        <w:numPr>
          <w:ilvl w:val="0"/>
          <w:numId w:val="27"/>
        </w:numPr>
        <w:spacing w:before="0" w:after="0"/>
        <w:ind w:left="714" w:hanging="357"/>
        <w:rPr>
          <w:lang w:val="en-GB"/>
        </w:rPr>
      </w:pPr>
      <w:r>
        <w:t>reduces the requirements for reporting uncertainty, so that only reporters with the largest sources of emissions will be required to calculate the statistical uncertainty associated with emissions reporting; and</w:t>
      </w:r>
    </w:p>
    <w:p w:rsidR="00575F81" w:rsidRDefault="00575F81" w:rsidP="00575F81">
      <w:pPr>
        <w:numPr>
          <w:ilvl w:val="0"/>
          <w:numId w:val="27"/>
        </w:numPr>
        <w:tabs>
          <w:tab w:val="left" w:pos="709"/>
        </w:tabs>
        <w:spacing w:before="0"/>
        <w:ind w:left="714" w:hanging="357"/>
        <w:rPr>
          <w:lang w:val="en-GB"/>
        </w:rPr>
      </w:pPr>
      <w:r>
        <w:rPr>
          <w:lang w:val="en-GB"/>
        </w:rPr>
        <w:t>encourages broader access to existing provisions designed to reduce reporting costs for minor amounts of emissions or energy by revising existing application thresholds.</w:t>
      </w:r>
    </w:p>
    <w:p w:rsidR="00575F81" w:rsidRDefault="00575F81" w:rsidP="00575F81">
      <w:pPr>
        <w:tabs>
          <w:tab w:val="left" w:pos="709"/>
        </w:tabs>
        <w:spacing w:before="0" w:after="0"/>
      </w:pPr>
      <w:r>
        <w:t xml:space="preserve">The Amendment Regulation also makes some minor technical amendments to the </w:t>
      </w:r>
      <w:r>
        <w:rPr>
          <w:i/>
        </w:rPr>
        <w:t xml:space="preserve">National Greenhouse and Energy Reporting </w:t>
      </w:r>
      <w:r w:rsidRPr="008A0E8D">
        <w:rPr>
          <w:i/>
        </w:rPr>
        <w:t xml:space="preserve">Regulations </w:t>
      </w:r>
      <w:r>
        <w:rPr>
          <w:i/>
        </w:rPr>
        <w:t>2008</w:t>
      </w:r>
      <w:r>
        <w:t xml:space="preserve"> (the existing regulations)</w:t>
      </w:r>
      <w:r w:rsidRPr="00CD5796">
        <w:t xml:space="preserve"> to correct anomalies or clarify existing provisions</w:t>
      </w:r>
      <w:r>
        <w:t>.</w:t>
      </w:r>
    </w:p>
    <w:p w:rsidR="00575F81" w:rsidRDefault="00575F81" w:rsidP="00575F81">
      <w:pPr>
        <w:spacing w:before="120" w:after="120"/>
      </w:pPr>
      <w:r>
        <w:t xml:space="preserve">The Amendment Regulation may provide some advantages to persons required to report under the </w:t>
      </w:r>
      <w:r>
        <w:rPr>
          <w:i/>
        </w:rPr>
        <w:t xml:space="preserve">National Greenhouse and Energy Reporting Act 2007 </w:t>
      </w:r>
      <w:r>
        <w:t xml:space="preserve">(NGER Act). It reduces the requirement to report the statistical uncertainty associated with the measurement of greenhouse gas emissions. It also allows greater access to existing measures which can be used to simplify measurement of emissions and energy from small sources and small facilities. </w:t>
      </w:r>
    </w:p>
    <w:p w:rsidR="00575F81" w:rsidRDefault="00575F81" w:rsidP="00575F81">
      <w:pPr>
        <w:spacing w:before="120" w:after="120"/>
      </w:pPr>
      <w:r w:rsidRPr="0062406F">
        <w:t>The Amendment Regul</w:t>
      </w:r>
      <w:r>
        <w:t>ation</w:t>
      </w:r>
      <w:r w:rsidRPr="0062406F">
        <w:t xml:space="preserve"> also remove</w:t>
      </w:r>
      <w:r>
        <w:t>s</w:t>
      </w:r>
      <w:r w:rsidRPr="0062406F">
        <w:t xml:space="preserve"> regulation 4.29</w:t>
      </w:r>
      <w:r>
        <w:t xml:space="preserve"> of the existing regulations, from 1 July </w:t>
      </w:r>
      <w:r w:rsidRPr="0062406F">
        <w:t>2014. That means that persons required to report information under</w:t>
      </w:r>
      <w:r>
        <w:t xml:space="preserve"> the NGER Act,</w:t>
      </w:r>
      <w:r w:rsidRPr="0062406F">
        <w:t xml:space="preserve"> will no longer be</w:t>
      </w:r>
      <w:r>
        <w:t xml:space="preserve"> able to</w:t>
      </w:r>
      <w:r w:rsidRPr="0062406F">
        <w:t xml:space="preserve"> report aggregated information from facilities that form part of a vertically aggregated production process. Obligations that apply to all other facilities under the NGER Act will apply to those facilities from the 2014-15 reporting year.</w:t>
      </w:r>
    </w:p>
    <w:p w:rsidR="00575F81" w:rsidRDefault="00575F81" w:rsidP="00575F81">
      <w:pPr>
        <w:spacing w:before="120" w:after="120"/>
      </w:pPr>
      <w:r>
        <w:t>The NGER Act has a civil penalty regime which applies if a person does not comply with reporting and record keeping requirements (for example, under sections 19, 22, 22A and 22X). A contravention of a civil penalty provision under the NGER Act is not an offence (section 32) and the quantum of the penalty is determined by a Court. There are also other protections in the NGER Act which provide, for example, that a</w:t>
      </w:r>
      <w:r w:rsidRPr="00675778">
        <w:t xml:space="preserve"> </w:t>
      </w:r>
      <w:r>
        <w:t>C</w:t>
      </w:r>
      <w:r w:rsidRPr="00675778">
        <w:t>ourt cannot make a pecuniary penalty order against a person for contravention of a civil penalty provision, if the person is convicted of a criminal offence for substa</w:t>
      </w:r>
      <w:r>
        <w:t>ntially the same conduct (section 35 of the NGER Act). Civil penalty court proceedings are also stayed while criminal proceedings for substantially the same conduct are on foot (sections 36 and 37 of the NGER Act).</w:t>
      </w:r>
    </w:p>
    <w:p w:rsidR="00575F81" w:rsidRDefault="00575F81" w:rsidP="00575F81">
      <w:pPr>
        <w:spacing w:before="120" w:after="120"/>
      </w:pPr>
      <w:bookmarkStart w:id="0" w:name="_GoBack"/>
      <w:bookmarkEnd w:id="0"/>
      <w:r>
        <w:lastRenderedPageBreak/>
        <w:t>Generally, the Amendment Regulation will make it easier for persons to comply with existing requirements under the NGER Act, including existing measuring, reporting and record keeping requirements (for example, reporting requirements under sections 19, 22A, 22E, 22G and 22X and sections 22, 22B, 22F, 22H and 22XA for recording keeping requirements).</w:t>
      </w:r>
    </w:p>
    <w:p w:rsidR="00575F81" w:rsidRPr="004C002B" w:rsidRDefault="00575F81" w:rsidP="00575F81">
      <w:pPr>
        <w:widowControl/>
        <w:rPr>
          <w:b/>
        </w:rPr>
      </w:pPr>
      <w:r w:rsidRPr="00DB0605">
        <w:rPr>
          <w:b/>
        </w:rPr>
        <w:t>Human rights implications</w:t>
      </w:r>
    </w:p>
    <w:p w:rsidR="00575F81" w:rsidRDefault="00575F81" w:rsidP="00575F81">
      <w:pPr>
        <w:spacing w:before="120" w:after="0"/>
      </w:pPr>
      <w:r w:rsidRPr="00F45459">
        <w:t xml:space="preserve">This </w:t>
      </w:r>
      <w:r>
        <w:t xml:space="preserve">Amendment Regulation does not engage any human rights. It makes a series of changes to the reporting scheme which will make it easier for persons to comply with existing reporting requirements under the NGER </w:t>
      </w:r>
      <w:r w:rsidRPr="00E01228">
        <w:t>Act</w:t>
      </w:r>
      <w:r>
        <w:t>. The Amendment Regulation does not introduce new civil penalties, modify existing ones or expand the scope of the conduct which attracts civil penalties.</w:t>
      </w:r>
    </w:p>
    <w:p w:rsidR="00575F81" w:rsidRDefault="00575F81" w:rsidP="00575F81">
      <w:pPr>
        <w:spacing w:before="120" w:after="0"/>
        <w:rPr>
          <w:b/>
        </w:rPr>
      </w:pPr>
      <w:r>
        <w:rPr>
          <w:b/>
        </w:rPr>
        <w:t>Conclusion</w:t>
      </w:r>
    </w:p>
    <w:p w:rsidR="00575F81" w:rsidRDefault="00575F81" w:rsidP="00575F81">
      <w:pPr>
        <w:spacing w:before="120" w:after="120"/>
      </w:pPr>
      <w:r w:rsidRPr="008C25DD">
        <w:t xml:space="preserve">The </w:t>
      </w:r>
      <w:r>
        <w:t>Amendment Regulation</w:t>
      </w:r>
      <w:r w:rsidRPr="008C25DD">
        <w:t xml:space="preserve"> is compatible with human rights because it </w:t>
      </w:r>
      <w:r>
        <w:t>does not engage any human rights.</w:t>
      </w:r>
    </w:p>
    <w:p w:rsidR="00DE2311" w:rsidRDefault="00DE2311" w:rsidP="00DE2311">
      <w:pPr>
        <w:spacing w:before="120" w:after="120"/>
      </w:pPr>
    </w:p>
    <w:p w:rsidR="00DE2311" w:rsidRPr="000317CA" w:rsidRDefault="00DE2311" w:rsidP="00DE2311">
      <w:pPr>
        <w:spacing w:before="120" w:after="120"/>
        <w:jc w:val="center"/>
        <w:rPr>
          <w:b/>
        </w:rPr>
      </w:pPr>
      <w:r>
        <w:rPr>
          <w:b/>
        </w:rPr>
        <w:t>Mark Butler</w:t>
      </w:r>
    </w:p>
    <w:p w:rsidR="00DE2311" w:rsidRDefault="00DE2311" w:rsidP="00DE2311">
      <w:pPr>
        <w:spacing w:before="120" w:after="120"/>
        <w:jc w:val="center"/>
      </w:pPr>
      <w:r>
        <w:rPr>
          <w:b/>
        </w:rPr>
        <w:t>Minister</w:t>
      </w:r>
      <w:r w:rsidRPr="00222093">
        <w:rPr>
          <w:b/>
        </w:rPr>
        <w:t xml:space="preserve"> for Climate Change</w:t>
      </w:r>
    </w:p>
    <w:p w:rsidR="00B51087" w:rsidRPr="0006317D" w:rsidRDefault="00B51087" w:rsidP="0006317D">
      <w:pPr>
        <w:spacing w:before="120" w:after="120"/>
        <w:jc w:val="center"/>
        <w:rPr>
          <w:b/>
        </w:rPr>
      </w:pPr>
    </w:p>
    <w:sectPr w:rsidR="00B51087" w:rsidRPr="0006317D" w:rsidSect="002C7253">
      <w:footerReference w:type="default" r:id="rId9"/>
      <w:pgSz w:w="12240" w:h="15840"/>
      <w:pgMar w:top="1276" w:right="1440" w:bottom="1276"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695" w:rsidRDefault="008F5695" w:rsidP="0056784D">
      <w:pPr>
        <w:spacing w:before="0" w:after="0"/>
      </w:pPr>
      <w:r>
        <w:separator/>
      </w:r>
    </w:p>
  </w:endnote>
  <w:endnote w:type="continuationSeparator" w:id="0">
    <w:p w:rsidR="008F5695" w:rsidRDefault="008F5695" w:rsidP="005678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12D" w:rsidRDefault="000F212D">
    <w:pPr>
      <w:pStyle w:val="Footer"/>
      <w:jc w:val="right"/>
    </w:pPr>
    <w:r>
      <w:fldChar w:fldCharType="begin"/>
    </w:r>
    <w:r>
      <w:instrText xml:space="preserve"> PAGE   \* MERGEFORMAT </w:instrText>
    </w:r>
    <w:r>
      <w:fldChar w:fldCharType="separate"/>
    </w:r>
    <w:r w:rsidR="00E20BEB">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695" w:rsidRDefault="008F5695" w:rsidP="0056784D">
      <w:pPr>
        <w:spacing w:before="0" w:after="0"/>
      </w:pPr>
      <w:r>
        <w:separator/>
      </w:r>
    </w:p>
  </w:footnote>
  <w:footnote w:type="continuationSeparator" w:id="0">
    <w:p w:rsidR="008F5695" w:rsidRDefault="008F5695" w:rsidP="0056784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4323"/>
    <w:multiLevelType w:val="hybridMultilevel"/>
    <w:tmpl w:val="A0289C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3F87154"/>
    <w:multiLevelType w:val="hybridMultilevel"/>
    <w:tmpl w:val="4FACD712"/>
    <w:lvl w:ilvl="0" w:tplc="D6B8F466">
      <w:start w:val="1"/>
      <w:numFmt w:val="lowerLetter"/>
      <w:lvlText w:val="%1."/>
      <w:lvlJc w:val="left"/>
      <w:pPr>
        <w:ind w:left="1440" w:hanging="360"/>
      </w:pPr>
    </w:lvl>
    <w:lvl w:ilvl="1" w:tplc="B162A36A" w:tentative="1">
      <w:start w:val="1"/>
      <w:numFmt w:val="lowerLetter"/>
      <w:lvlText w:val="%2."/>
      <w:lvlJc w:val="left"/>
      <w:pPr>
        <w:ind w:left="2160" w:hanging="360"/>
      </w:pPr>
    </w:lvl>
    <w:lvl w:ilvl="2" w:tplc="A2AE749A" w:tentative="1">
      <w:start w:val="1"/>
      <w:numFmt w:val="lowerRoman"/>
      <w:lvlText w:val="%3."/>
      <w:lvlJc w:val="right"/>
      <w:pPr>
        <w:ind w:left="2880" w:hanging="180"/>
      </w:pPr>
    </w:lvl>
    <w:lvl w:ilvl="3" w:tplc="C6568592" w:tentative="1">
      <w:start w:val="1"/>
      <w:numFmt w:val="decimal"/>
      <w:lvlText w:val="%4."/>
      <w:lvlJc w:val="left"/>
      <w:pPr>
        <w:ind w:left="3600" w:hanging="360"/>
      </w:pPr>
    </w:lvl>
    <w:lvl w:ilvl="4" w:tplc="AF1E89F6" w:tentative="1">
      <w:start w:val="1"/>
      <w:numFmt w:val="lowerLetter"/>
      <w:lvlText w:val="%5."/>
      <w:lvlJc w:val="left"/>
      <w:pPr>
        <w:ind w:left="4320" w:hanging="360"/>
      </w:pPr>
    </w:lvl>
    <w:lvl w:ilvl="5" w:tplc="18A4D55A" w:tentative="1">
      <w:start w:val="1"/>
      <w:numFmt w:val="lowerRoman"/>
      <w:lvlText w:val="%6."/>
      <w:lvlJc w:val="right"/>
      <w:pPr>
        <w:ind w:left="5040" w:hanging="180"/>
      </w:pPr>
    </w:lvl>
    <w:lvl w:ilvl="6" w:tplc="892CD16A" w:tentative="1">
      <w:start w:val="1"/>
      <w:numFmt w:val="decimal"/>
      <w:lvlText w:val="%7."/>
      <w:lvlJc w:val="left"/>
      <w:pPr>
        <w:ind w:left="5760" w:hanging="360"/>
      </w:pPr>
    </w:lvl>
    <w:lvl w:ilvl="7" w:tplc="8A7C1DB8" w:tentative="1">
      <w:start w:val="1"/>
      <w:numFmt w:val="lowerLetter"/>
      <w:lvlText w:val="%8."/>
      <w:lvlJc w:val="left"/>
      <w:pPr>
        <w:ind w:left="6480" w:hanging="360"/>
      </w:pPr>
    </w:lvl>
    <w:lvl w:ilvl="8" w:tplc="71ECF790" w:tentative="1">
      <w:start w:val="1"/>
      <w:numFmt w:val="lowerRoman"/>
      <w:lvlText w:val="%9."/>
      <w:lvlJc w:val="right"/>
      <w:pPr>
        <w:ind w:left="7200" w:hanging="180"/>
      </w:pPr>
    </w:lvl>
  </w:abstractNum>
  <w:abstractNum w:abstractNumId="2">
    <w:nsid w:val="04402DC7"/>
    <w:multiLevelType w:val="hybridMultilevel"/>
    <w:tmpl w:val="B7501F3C"/>
    <w:lvl w:ilvl="0" w:tplc="679A0478">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872C93"/>
    <w:multiLevelType w:val="hybridMultilevel"/>
    <w:tmpl w:val="95A8D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6E2A87"/>
    <w:multiLevelType w:val="hybridMultilevel"/>
    <w:tmpl w:val="38A0B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327664"/>
    <w:multiLevelType w:val="multilevel"/>
    <w:tmpl w:val="D9E257EC"/>
    <w:lvl w:ilvl="0">
      <w:start w:val="1"/>
      <w:numFmt w:val="decimal"/>
      <w:pStyle w:val="NumberLevel1"/>
      <w:lvlText w:val="%1."/>
      <w:lvlJc w:val="left"/>
      <w:pPr>
        <w:tabs>
          <w:tab w:val="num" w:pos="0"/>
        </w:tabs>
        <w:ind w:left="0" w:hanging="709"/>
      </w:pPr>
      <w:rPr>
        <w:sz w:val="20"/>
      </w:rPr>
    </w:lvl>
    <w:lvl w:ilvl="1">
      <w:start w:val="1"/>
      <w:numFmt w:val="decimal"/>
      <w:pStyle w:val="NumberLevel2"/>
      <w:lvlText w:val="%1.%2."/>
      <w:lvlJc w:val="left"/>
      <w:pPr>
        <w:tabs>
          <w:tab w:val="num" w:pos="0"/>
        </w:tabs>
        <w:ind w:left="0" w:hanging="709"/>
      </w:pPr>
      <w:rPr>
        <w:sz w:val="20"/>
      </w:rPr>
    </w:lvl>
    <w:lvl w:ilvl="2">
      <w:start w:val="1"/>
      <w:numFmt w:val="decimal"/>
      <w:pStyle w:val="NumberLevel3"/>
      <w:lvlText w:val="%1.%2.%3."/>
      <w:lvlJc w:val="left"/>
      <w:pPr>
        <w:tabs>
          <w:tab w:val="num" w:pos="0"/>
        </w:tabs>
        <w:ind w:left="0" w:hanging="709"/>
      </w:pPr>
      <w:rPr>
        <w:sz w:val="20"/>
      </w:rPr>
    </w:lvl>
    <w:lvl w:ilvl="3">
      <w:start w:val="1"/>
      <w:numFmt w:val="lowerLetter"/>
      <w:pStyle w:val="NumberLevel4"/>
      <w:lvlText w:val="%4."/>
      <w:lvlJc w:val="left"/>
      <w:pPr>
        <w:tabs>
          <w:tab w:val="num" w:pos="425"/>
        </w:tabs>
        <w:ind w:left="425" w:hanging="425"/>
      </w:pPr>
    </w:lvl>
    <w:lvl w:ilvl="4">
      <w:start w:val="1"/>
      <w:numFmt w:val="bullet"/>
      <w:pStyle w:val="NumberLevel5"/>
      <w:lvlText w:val="–"/>
      <w:lvlJc w:val="left"/>
      <w:pPr>
        <w:tabs>
          <w:tab w:val="num" w:pos="850"/>
        </w:tabs>
        <w:ind w:left="850" w:hanging="425"/>
      </w:pPr>
      <w:rPr>
        <w:b w:val="0"/>
        <w:i w:val="0"/>
      </w:rPr>
    </w:lvl>
    <w:lvl w:ilvl="5">
      <w:start w:val="1"/>
      <w:numFmt w:val="bullet"/>
      <w:pStyle w:val="NumberLevel6"/>
      <w:lvlText w:val="–"/>
      <w:lvlJc w:val="left"/>
      <w:pPr>
        <w:tabs>
          <w:tab w:val="num" w:pos="1276"/>
        </w:tabs>
        <w:ind w:left="1276" w:hanging="426"/>
      </w:pPr>
      <w:rPr>
        <w:b w:val="0"/>
        <w:i w:val="0"/>
      </w:rPr>
    </w:lvl>
    <w:lvl w:ilvl="6">
      <w:start w:val="1"/>
      <w:numFmt w:val="bullet"/>
      <w:pStyle w:val="NumberLevel7"/>
      <w:lvlText w:val="–"/>
      <w:lvlJc w:val="left"/>
      <w:pPr>
        <w:tabs>
          <w:tab w:val="num" w:pos="1701"/>
        </w:tabs>
        <w:ind w:left="1701" w:hanging="425"/>
      </w:pPr>
      <w:rPr>
        <w:b w:val="0"/>
        <w:i w:val="0"/>
      </w:rPr>
    </w:lvl>
    <w:lvl w:ilvl="7">
      <w:start w:val="1"/>
      <w:numFmt w:val="bullet"/>
      <w:pStyle w:val="NumberLevel8"/>
      <w:lvlText w:val="–"/>
      <w:lvlJc w:val="left"/>
      <w:pPr>
        <w:tabs>
          <w:tab w:val="num" w:pos="2126"/>
        </w:tabs>
        <w:ind w:left="2126" w:hanging="425"/>
      </w:pPr>
      <w:rPr>
        <w:b w:val="0"/>
        <w:i w:val="0"/>
      </w:rPr>
    </w:lvl>
    <w:lvl w:ilvl="8">
      <w:start w:val="1"/>
      <w:numFmt w:val="bullet"/>
      <w:pStyle w:val="NumberLevel9"/>
      <w:lvlText w:val="–"/>
      <w:lvlJc w:val="left"/>
      <w:pPr>
        <w:tabs>
          <w:tab w:val="num" w:pos="2551"/>
        </w:tabs>
        <w:ind w:left="2551" w:hanging="425"/>
      </w:pPr>
      <w:rPr>
        <w:b w:val="0"/>
        <w:i w:val="0"/>
      </w:rPr>
    </w:lvl>
  </w:abstractNum>
  <w:abstractNum w:abstractNumId="6">
    <w:nsid w:val="1B524CEB"/>
    <w:multiLevelType w:val="hybridMultilevel"/>
    <w:tmpl w:val="4FACD712"/>
    <w:lvl w:ilvl="0" w:tplc="A1DC1CC2">
      <w:start w:val="1"/>
      <w:numFmt w:val="lowerLetter"/>
      <w:lvlText w:val="%1."/>
      <w:lvlJc w:val="left"/>
      <w:pPr>
        <w:ind w:left="1440" w:hanging="360"/>
      </w:pPr>
    </w:lvl>
    <w:lvl w:ilvl="1" w:tplc="80F010A2" w:tentative="1">
      <w:start w:val="1"/>
      <w:numFmt w:val="lowerLetter"/>
      <w:lvlText w:val="%2."/>
      <w:lvlJc w:val="left"/>
      <w:pPr>
        <w:ind w:left="2160" w:hanging="360"/>
      </w:pPr>
    </w:lvl>
    <w:lvl w:ilvl="2" w:tplc="71A8AC06" w:tentative="1">
      <w:start w:val="1"/>
      <w:numFmt w:val="lowerRoman"/>
      <w:lvlText w:val="%3."/>
      <w:lvlJc w:val="right"/>
      <w:pPr>
        <w:ind w:left="2880" w:hanging="180"/>
      </w:pPr>
    </w:lvl>
    <w:lvl w:ilvl="3" w:tplc="DE70F5AE" w:tentative="1">
      <w:start w:val="1"/>
      <w:numFmt w:val="decimal"/>
      <w:lvlText w:val="%4."/>
      <w:lvlJc w:val="left"/>
      <w:pPr>
        <w:ind w:left="3600" w:hanging="360"/>
      </w:pPr>
    </w:lvl>
    <w:lvl w:ilvl="4" w:tplc="BBDC84D6" w:tentative="1">
      <w:start w:val="1"/>
      <w:numFmt w:val="lowerLetter"/>
      <w:lvlText w:val="%5."/>
      <w:lvlJc w:val="left"/>
      <w:pPr>
        <w:ind w:left="4320" w:hanging="360"/>
      </w:pPr>
    </w:lvl>
    <w:lvl w:ilvl="5" w:tplc="A8265B5C" w:tentative="1">
      <w:start w:val="1"/>
      <w:numFmt w:val="lowerRoman"/>
      <w:lvlText w:val="%6."/>
      <w:lvlJc w:val="right"/>
      <w:pPr>
        <w:ind w:left="5040" w:hanging="180"/>
      </w:pPr>
    </w:lvl>
    <w:lvl w:ilvl="6" w:tplc="3C5E2AD0" w:tentative="1">
      <w:start w:val="1"/>
      <w:numFmt w:val="decimal"/>
      <w:lvlText w:val="%7."/>
      <w:lvlJc w:val="left"/>
      <w:pPr>
        <w:ind w:left="5760" w:hanging="360"/>
      </w:pPr>
    </w:lvl>
    <w:lvl w:ilvl="7" w:tplc="D7CE8DEA" w:tentative="1">
      <w:start w:val="1"/>
      <w:numFmt w:val="lowerLetter"/>
      <w:lvlText w:val="%8."/>
      <w:lvlJc w:val="left"/>
      <w:pPr>
        <w:ind w:left="6480" w:hanging="360"/>
      </w:pPr>
    </w:lvl>
    <w:lvl w:ilvl="8" w:tplc="ACAE1AAE" w:tentative="1">
      <w:start w:val="1"/>
      <w:numFmt w:val="lowerRoman"/>
      <w:lvlText w:val="%9."/>
      <w:lvlJc w:val="right"/>
      <w:pPr>
        <w:ind w:left="7200" w:hanging="180"/>
      </w:pPr>
    </w:lvl>
  </w:abstractNum>
  <w:abstractNum w:abstractNumId="7">
    <w:nsid w:val="27313BE6"/>
    <w:multiLevelType w:val="hybridMultilevel"/>
    <w:tmpl w:val="7114A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F8F3570"/>
    <w:multiLevelType w:val="hybridMultilevel"/>
    <w:tmpl w:val="A4BC69BC"/>
    <w:lvl w:ilvl="0" w:tplc="679A0478">
      <w:numFmt w:val="bullet"/>
      <w:lvlText w:val="•"/>
      <w:lvlJc w:val="left"/>
      <w:pPr>
        <w:ind w:left="1440" w:hanging="72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32773576"/>
    <w:multiLevelType w:val="hybridMultilevel"/>
    <w:tmpl w:val="3BFE0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99F4056"/>
    <w:multiLevelType w:val="hybridMultilevel"/>
    <w:tmpl w:val="4FACD712"/>
    <w:lvl w:ilvl="0" w:tplc="70328602">
      <w:start w:val="1"/>
      <w:numFmt w:val="lowerLetter"/>
      <w:lvlText w:val="%1."/>
      <w:lvlJc w:val="left"/>
      <w:pPr>
        <w:ind w:left="1440" w:hanging="360"/>
      </w:pPr>
    </w:lvl>
    <w:lvl w:ilvl="1" w:tplc="5F1ACE58" w:tentative="1">
      <w:start w:val="1"/>
      <w:numFmt w:val="lowerLetter"/>
      <w:lvlText w:val="%2."/>
      <w:lvlJc w:val="left"/>
      <w:pPr>
        <w:ind w:left="2160" w:hanging="360"/>
      </w:pPr>
    </w:lvl>
    <w:lvl w:ilvl="2" w:tplc="99748CF6" w:tentative="1">
      <w:start w:val="1"/>
      <w:numFmt w:val="lowerRoman"/>
      <w:lvlText w:val="%3."/>
      <w:lvlJc w:val="right"/>
      <w:pPr>
        <w:ind w:left="2880" w:hanging="180"/>
      </w:pPr>
    </w:lvl>
    <w:lvl w:ilvl="3" w:tplc="46BC13EA" w:tentative="1">
      <w:start w:val="1"/>
      <w:numFmt w:val="decimal"/>
      <w:lvlText w:val="%4."/>
      <w:lvlJc w:val="left"/>
      <w:pPr>
        <w:ind w:left="3600" w:hanging="360"/>
      </w:pPr>
    </w:lvl>
    <w:lvl w:ilvl="4" w:tplc="7902B178" w:tentative="1">
      <w:start w:val="1"/>
      <w:numFmt w:val="lowerLetter"/>
      <w:lvlText w:val="%5."/>
      <w:lvlJc w:val="left"/>
      <w:pPr>
        <w:ind w:left="4320" w:hanging="360"/>
      </w:pPr>
    </w:lvl>
    <w:lvl w:ilvl="5" w:tplc="DAACB6C6" w:tentative="1">
      <w:start w:val="1"/>
      <w:numFmt w:val="lowerRoman"/>
      <w:lvlText w:val="%6."/>
      <w:lvlJc w:val="right"/>
      <w:pPr>
        <w:ind w:left="5040" w:hanging="180"/>
      </w:pPr>
    </w:lvl>
    <w:lvl w:ilvl="6" w:tplc="58BEC904" w:tentative="1">
      <w:start w:val="1"/>
      <w:numFmt w:val="decimal"/>
      <w:lvlText w:val="%7."/>
      <w:lvlJc w:val="left"/>
      <w:pPr>
        <w:ind w:left="5760" w:hanging="360"/>
      </w:pPr>
    </w:lvl>
    <w:lvl w:ilvl="7" w:tplc="54F222FC" w:tentative="1">
      <w:start w:val="1"/>
      <w:numFmt w:val="lowerLetter"/>
      <w:lvlText w:val="%8."/>
      <w:lvlJc w:val="left"/>
      <w:pPr>
        <w:ind w:left="6480" w:hanging="360"/>
      </w:pPr>
    </w:lvl>
    <w:lvl w:ilvl="8" w:tplc="A2368C44" w:tentative="1">
      <w:start w:val="1"/>
      <w:numFmt w:val="lowerRoman"/>
      <w:lvlText w:val="%9."/>
      <w:lvlJc w:val="right"/>
      <w:pPr>
        <w:ind w:left="7200" w:hanging="180"/>
      </w:pPr>
    </w:lvl>
  </w:abstractNum>
  <w:abstractNum w:abstractNumId="11">
    <w:nsid w:val="3EEF1490"/>
    <w:multiLevelType w:val="multilevel"/>
    <w:tmpl w:val="2FFAE7DC"/>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28237BD"/>
    <w:multiLevelType w:val="hybridMultilevel"/>
    <w:tmpl w:val="35C43058"/>
    <w:lvl w:ilvl="0" w:tplc="F5F0BA5E">
      <w:start w:val="2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5994A62"/>
    <w:multiLevelType w:val="hybridMultilevel"/>
    <w:tmpl w:val="CA98E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78D416D"/>
    <w:multiLevelType w:val="multilevel"/>
    <w:tmpl w:val="469EAFC0"/>
    <w:styleLink w:val="DotPointList"/>
    <w:lvl w:ilvl="0">
      <w:start w:val="1"/>
      <w:numFmt w:val="bullet"/>
      <w:pStyle w:val="dotpoint"/>
      <w:lvlText w:val="•"/>
      <w:lvlJc w:val="left"/>
      <w:pPr>
        <w:tabs>
          <w:tab w:val="num" w:pos="1247"/>
        </w:tabs>
        <w:ind w:left="1247" w:hanging="283"/>
      </w:pPr>
      <w:rPr>
        <w:rFonts w:ascii="Times New Roman" w:hAnsi="Times New Roman" w:cs="Times New Roman" w:hint="default"/>
        <w:color w:val="000000" w:themeColor="text1"/>
      </w:rPr>
    </w:lvl>
    <w:lvl w:ilvl="1">
      <w:start w:val="1"/>
      <w:numFmt w:val="bullet"/>
      <w:pStyle w:val="dotpoint2"/>
      <w:lvlText w:val="–"/>
      <w:lvlJc w:val="left"/>
      <w:pPr>
        <w:tabs>
          <w:tab w:val="num" w:pos="1531"/>
        </w:tabs>
        <w:ind w:left="1531" w:hanging="284"/>
      </w:pPr>
      <w:rPr>
        <w:rFonts w:ascii="Times New Roman" w:hAnsi="Times New Roman" w:cs="Times New Roman" w:hint="default"/>
        <w:color w:val="000000" w:themeColor="text1"/>
      </w:rPr>
    </w:lvl>
    <w:lvl w:ilvl="2">
      <w:start w:val="1"/>
      <w:numFmt w:val="lowerRoman"/>
      <w:lvlText w:val="%3)"/>
      <w:lvlJc w:val="left"/>
      <w:pPr>
        <w:ind w:left="59" w:hanging="360"/>
      </w:pPr>
      <w:rPr>
        <w:rFonts w:hint="default"/>
      </w:rPr>
    </w:lvl>
    <w:lvl w:ilvl="3">
      <w:start w:val="1"/>
      <w:numFmt w:val="decimal"/>
      <w:lvlText w:val="(%4)"/>
      <w:lvlJc w:val="left"/>
      <w:pPr>
        <w:ind w:left="419" w:hanging="360"/>
      </w:pPr>
      <w:rPr>
        <w:rFonts w:hint="default"/>
      </w:rPr>
    </w:lvl>
    <w:lvl w:ilvl="4">
      <w:start w:val="1"/>
      <w:numFmt w:val="lowerLetter"/>
      <w:lvlText w:val="(%5)"/>
      <w:lvlJc w:val="left"/>
      <w:pPr>
        <w:ind w:left="779" w:hanging="360"/>
      </w:pPr>
      <w:rPr>
        <w:rFonts w:hint="default"/>
      </w:rPr>
    </w:lvl>
    <w:lvl w:ilvl="5">
      <w:start w:val="1"/>
      <w:numFmt w:val="lowerRoman"/>
      <w:lvlText w:val="(%6)"/>
      <w:lvlJc w:val="left"/>
      <w:pPr>
        <w:ind w:left="1139" w:hanging="360"/>
      </w:pPr>
      <w:rPr>
        <w:rFonts w:hint="default"/>
      </w:rPr>
    </w:lvl>
    <w:lvl w:ilvl="6">
      <w:start w:val="1"/>
      <w:numFmt w:val="decimal"/>
      <w:lvlText w:val="%7."/>
      <w:lvlJc w:val="left"/>
      <w:pPr>
        <w:ind w:left="1499" w:hanging="360"/>
      </w:pPr>
      <w:rPr>
        <w:rFonts w:hint="default"/>
      </w:rPr>
    </w:lvl>
    <w:lvl w:ilvl="7">
      <w:start w:val="1"/>
      <w:numFmt w:val="lowerLetter"/>
      <w:lvlText w:val="%8."/>
      <w:lvlJc w:val="left"/>
      <w:pPr>
        <w:ind w:left="1859" w:hanging="360"/>
      </w:pPr>
      <w:rPr>
        <w:rFonts w:hint="default"/>
      </w:rPr>
    </w:lvl>
    <w:lvl w:ilvl="8">
      <w:start w:val="1"/>
      <w:numFmt w:val="lowerRoman"/>
      <w:lvlText w:val="%9."/>
      <w:lvlJc w:val="left"/>
      <w:pPr>
        <w:ind w:left="2219" w:hanging="360"/>
      </w:pPr>
      <w:rPr>
        <w:rFonts w:hint="default"/>
      </w:rPr>
    </w:lvl>
  </w:abstractNum>
  <w:abstractNum w:abstractNumId="15">
    <w:nsid w:val="47B653BA"/>
    <w:multiLevelType w:val="multilevel"/>
    <w:tmpl w:val="2E562912"/>
    <w:lvl w:ilvl="0">
      <w:start w:val="1"/>
      <w:numFmt w:val="bullet"/>
      <w:pStyle w:val="Bullet"/>
      <w:lvlText w:val="•"/>
      <w:lvlJc w:val="left"/>
      <w:pPr>
        <w:tabs>
          <w:tab w:val="num" w:pos="993"/>
        </w:tabs>
        <w:ind w:left="993"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8564E7C"/>
    <w:multiLevelType w:val="hybridMultilevel"/>
    <w:tmpl w:val="5308E694"/>
    <w:lvl w:ilvl="0" w:tplc="AC5A85E4">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9197828"/>
    <w:multiLevelType w:val="hybridMultilevel"/>
    <w:tmpl w:val="E5E62A9A"/>
    <w:name w:val="StandardBulletedList"/>
    <w:lvl w:ilvl="0" w:tplc="6BEA7C0A">
      <w:start w:val="1"/>
      <w:numFmt w:val="bullet"/>
      <w:pStyle w:val="Style4"/>
      <w:lvlText w:val=""/>
      <w:lvlJc w:val="left"/>
      <w:pPr>
        <w:ind w:left="720" w:hanging="360"/>
      </w:pPr>
      <w:rPr>
        <w:rFonts w:ascii="Symbol" w:hAnsi="Symbol" w:hint="default"/>
      </w:rPr>
    </w:lvl>
    <w:lvl w:ilvl="1" w:tplc="EA72D1CE" w:tentative="1">
      <w:start w:val="1"/>
      <w:numFmt w:val="bullet"/>
      <w:lvlText w:val="o"/>
      <w:lvlJc w:val="left"/>
      <w:pPr>
        <w:ind w:left="1440" w:hanging="360"/>
      </w:pPr>
      <w:rPr>
        <w:rFonts w:ascii="Courier New" w:hAnsi="Courier New" w:cs="Courier New" w:hint="default"/>
      </w:rPr>
    </w:lvl>
    <w:lvl w:ilvl="2" w:tplc="6986BCD0" w:tentative="1">
      <w:start w:val="1"/>
      <w:numFmt w:val="bullet"/>
      <w:lvlText w:val=""/>
      <w:lvlJc w:val="left"/>
      <w:pPr>
        <w:ind w:left="2160" w:hanging="360"/>
      </w:pPr>
      <w:rPr>
        <w:rFonts w:ascii="Wingdings" w:hAnsi="Wingdings" w:hint="default"/>
      </w:rPr>
    </w:lvl>
    <w:lvl w:ilvl="3" w:tplc="19AEAA92" w:tentative="1">
      <w:start w:val="1"/>
      <w:numFmt w:val="bullet"/>
      <w:lvlText w:val=""/>
      <w:lvlJc w:val="left"/>
      <w:pPr>
        <w:ind w:left="2880" w:hanging="360"/>
      </w:pPr>
      <w:rPr>
        <w:rFonts w:ascii="Symbol" w:hAnsi="Symbol" w:hint="default"/>
      </w:rPr>
    </w:lvl>
    <w:lvl w:ilvl="4" w:tplc="4EFC6E12" w:tentative="1">
      <w:start w:val="1"/>
      <w:numFmt w:val="bullet"/>
      <w:lvlText w:val="o"/>
      <w:lvlJc w:val="left"/>
      <w:pPr>
        <w:ind w:left="3600" w:hanging="360"/>
      </w:pPr>
      <w:rPr>
        <w:rFonts w:ascii="Courier New" w:hAnsi="Courier New" w:cs="Courier New" w:hint="default"/>
      </w:rPr>
    </w:lvl>
    <w:lvl w:ilvl="5" w:tplc="2C841D5C" w:tentative="1">
      <w:start w:val="1"/>
      <w:numFmt w:val="bullet"/>
      <w:lvlText w:val=""/>
      <w:lvlJc w:val="left"/>
      <w:pPr>
        <w:ind w:left="4320" w:hanging="360"/>
      </w:pPr>
      <w:rPr>
        <w:rFonts w:ascii="Wingdings" w:hAnsi="Wingdings" w:hint="default"/>
      </w:rPr>
    </w:lvl>
    <w:lvl w:ilvl="6" w:tplc="C9848986" w:tentative="1">
      <w:start w:val="1"/>
      <w:numFmt w:val="bullet"/>
      <w:lvlText w:val=""/>
      <w:lvlJc w:val="left"/>
      <w:pPr>
        <w:ind w:left="5040" w:hanging="360"/>
      </w:pPr>
      <w:rPr>
        <w:rFonts w:ascii="Symbol" w:hAnsi="Symbol" w:hint="default"/>
      </w:rPr>
    </w:lvl>
    <w:lvl w:ilvl="7" w:tplc="855EFE00" w:tentative="1">
      <w:start w:val="1"/>
      <w:numFmt w:val="bullet"/>
      <w:lvlText w:val="o"/>
      <w:lvlJc w:val="left"/>
      <w:pPr>
        <w:ind w:left="5760" w:hanging="360"/>
      </w:pPr>
      <w:rPr>
        <w:rFonts w:ascii="Courier New" w:hAnsi="Courier New" w:cs="Courier New" w:hint="default"/>
      </w:rPr>
    </w:lvl>
    <w:lvl w:ilvl="8" w:tplc="00E24FA4" w:tentative="1">
      <w:start w:val="1"/>
      <w:numFmt w:val="bullet"/>
      <w:lvlText w:val=""/>
      <w:lvlJc w:val="left"/>
      <w:pPr>
        <w:ind w:left="6480" w:hanging="360"/>
      </w:pPr>
      <w:rPr>
        <w:rFonts w:ascii="Wingdings" w:hAnsi="Wingdings" w:hint="default"/>
      </w:rPr>
    </w:lvl>
  </w:abstractNum>
  <w:abstractNum w:abstractNumId="18">
    <w:nsid w:val="4CF33E36"/>
    <w:multiLevelType w:val="hybridMultilevel"/>
    <w:tmpl w:val="E14CC44E"/>
    <w:lvl w:ilvl="0" w:tplc="679A0478">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D6972DE"/>
    <w:multiLevelType w:val="hybridMultilevel"/>
    <w:tmpl w:val="1FEE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D725EE5"/>
    <w:multiLevelType w:val="hybridMultilevel"/>
    <w:tmpl w:val="611E15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4DD51E46"/>
    <w:multiLevelType w:val="hybridMultilevel"/>
    <w:tmpl w:val="40649F5A"/>
    <w:lvl w:ilvl="0" w:tplc="F62A45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566004A"/>
    <w:multiLevelType w:val="hybridMultilevel"/>
    <w:tmpl w:val="78724AB0"/>
    <w:lvl w:ilvl="0" w:tplc="01F673F8">
      <w:start w:val="1"/>
      <w:numFmt w:val="bullet"/>
      <w:pStyle w:val="ListBullet"/>
      <w:lvlText w:val=""/>
      <w:lvlJc w:val="left"/>
      <w:pPr>
        <w:ind w:left="360" w:hanging="360"/>
      </w:pPr>
      <w:rPr>
        <w:rFonts w:ascii="Symbol" w:hAnsi="Symbol" w:hint="default"/>
        <w:color w:val="17AED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E168F1"/>
    <w:multiLevelType w:val="hybridMultilevel"/>
    <w:tmpl w:val="701A0698"/>
    <w:lvl w:ilvl="0" w:tplc="F710A90A">
      <w:start w:val="39"/>
      <w:numFmt w:val="bullet"/>
      <w:lvlText w:val="-"/>
      <w:lvlJc w:val="left"/>
      <w:pPr>
        <w:ind w:left="720" w:hanging="360"/>
      </w:pPr>
      <w:rPr>
        <w:rFonts w:ascii="Calibri" w:eastAsia="Times New Roman" w:hAnsi="Calibri" w:cs="Times New Roman" w:hint="default"/>
      </w:rPr>
    </w:lvl>
    <w:lvl w:ilvl="1" w:tplc="60528708">
      <w:start w:val="1"/>
      <w:numFmt w:val="bullet"/>
      <w:lvlText w:val="o"/>
      <w:lvlJc w:val="left"/>
      <w:pPr>
        <w:ind w:left="1440" w:hanging="360"/>
      </w:pPr>
      <w:rPr>
        <w:rFonts w:ascii="Courier New" w:hAnsi="Courier New" w:cs="Courier New" w:hint="default"/>
      </w:rPr>
    </w:lvl>
    <w:lvl w:ilvl="2" w:tplc="D71E57EA" w:tentative="1">
      <w:start w:val="1"/>
      <w:numFmt w:val="bullet"/>
      <w:lvlText w:val=""/>
      <w:lvlJc w:val="left"/>
      <w:pPr>
        <w:ind w:left="2160" w:hanging="360"/>
      </w:pPr>
      <w:rPr>
        <w:rFonts w:ascii="Wingdings" w:hAnsi="Wingdings" w:hint="default"/>
      </w:rPr>
    </w:lvl>
    <w:lvl w:ilvl="3" w:tplc="480C54FA" w:tentative="1">
      <w:start w:val="1"/>
      <w:numFmt w:val="bullet"/>
      <w:lvlText w:val=""/>
      <w:lvlJc w:val="left"/>
      <w:pPr>
        <w:ind w:left="2880" w:hanging="360"/>
      </w:pPr>
      <w:rPr>
        <w:rFonts w:ascii="Symbol" w:hAnsi="Symbol" w:hint="default"/>
      </w:rPr>
    </w:lvl>
    <w:lvl w:ilvl="4" w:tplc="4D44BE72" w:tentative="1">
      <w:start w:val="1"/>
      <w:numFmt w:val="bullet"/>
      <w:lvlText w:val="o"/>
      <w:lvlJc w:val="left"/>
      <w:pPr>
        <w:ind w:left="3600" w:hanging="360"/>
      </w:pPr>
      <w:rPr>
        <w:rFonts w:ascii="Courier New" w:hAnsi="Courier New" w:cs="Courier New" w:hint="default"/>
      </w:rPr>
    </w:lvl>
    <w:lvl w:ilvl="5" w:tplc="90A23556" w:tentative="1">
      <w:start w:val="1"/>
      <w:numFmt w:val="bullet"/>
      <w:lvlText w:val=""/>
      <w:lvlJc w:val="left"/>
      <w:pPr>
        <w:ind w:left="4320" w:hanging="360"/>
      </w:pPr>
      <w:rPr>
        <w:rFonts w:ascii="Wingdings" w:hAnsi="Wingdings" w:hint="default"/>
      </w:rPr>
    </w:lvl>
    <w:lvl w:ilvl="6" w:tplc="A31ACB92" w:tentative="1">
      <w:start w:val="1"/>
      <w:numFmt w:val="bullet"/>
      <w:lvlText w:val=""/>
      <w:lvlJc w:val="left"/>
      <w:pPr>
        <w:ind w:left="5040" w:hanging="360"/>
      </w:pPr>
      <w:rPr>
        <w:rFonts w:ascii="Symbol" w:hAnsi="Symbol" w:hint="default"/>
      </w:rPr>
    </w:lvl>
    <w:lvl w:ilvl="7" w:tplc="4510013C" w:tentative="1">
      <w:start w:val="1"/>
      <w:numFmt w:val="bullet"/>
      <w:lvlText w:val="o"/>
      <w:lvlJc w:val="left"/>
      <w:pPr>
        <w:ind w:left="5760" w:hanging="360"/>
      </w:pPr>
      <w:rPr>
        <w:rFonts w:ascii="Courier New" w:hAnsi="Courier New" w:cs="Courier New" w:hint="default"/>
      </w:rPr>
    </w:lvl>
    <w:lvl w:ilvl="8" w:tplc="B9E63ABA" w:tentative="1">
      <w:start w:val="1"/>
      <w:numFmt w:val="bullet"/>
      <w:lvlText w:val=""/>
      <w:lvlJc w:val="left"/>
      <w:pPr>
        <w:ind w:left="6480" w:hanging="360"/>
      </w:pPr>
      <w:rPr>
        <w:rFonts w:ascii="Wingdings" w:hAnsi="Wingdings" w:hint="default"/>
      </w:rPr>
    </w:lvl>
  </w:abstractNum>
  <w:abstractNum w:abstractNumId="24">
    <w:nsid w:val="5A0B2259"/>
    <w:multiLevelType w:val="multilevel"/>
    <w:tmpl w:val="BBD0A34A"/>
    <w:lvl w:ilvl="0">
      <w:start w:val="1"/>
      <w:numFmt w:val="bullet"/>
      <w:lvlText w:val=""/>
      <w:lvlJc w:val="left"/>
      <w:pPr>
        <w:tabs>
          <w:tab w:val="num" w:pos="1247"/>
        </w:tabs>
        <w:ind w:left="1247" w:hanging="283"/>
      </w:pPr>
      <w:rPr>
        <w:rFonts w:ascii="Symbol" w:hAnsi="Symbol" w:hint="default"/>
        <w:color w:val="000000" w:themeColor="text1"/>
      </w:rPr>
    </w:lvl>
    <w:lvl w:ilvl="1">
      <w:start w:val="1"/>
      <w:numFmt w:val="bullet"/>
      <w:lvlText w:val="–"/>
      <w:lvlJc w:val="left"/>
      <w:pPr>
        <w:tabs>
          <w:tab w:val="num" w:pos="1531"/>
        </w:tabs>
        <w:ind w:left="1531" w:hanging="284"/>
      </w:pPr>
      <w:rPr>
        <w:rFonts w:ascii="Times New Roman" w:hAnsi="Times New Roman" w:cs="Times New Roman" w:hint="default"/>
        <w:color w:val="000000" w:themeColor="text1"/>
      </w:rPr>
    </w:lvl>
    <w:lvl w:ilvl="2">
      <w:start w:val="1"/>
      <w:numFmt w:val="lowerRoman"/>
      <w:lvlText w:val="%3)"/>
      <w:lvlJc w:val="left"/>
      <w:pPr>
        <w:ind w:left="59" w:hanging="360"/>
      </w:pPr>
      <w:rPr>
        <w:rFonts w:hint="default"/>
      </w:rPr>
    </w:lvl>
    <w:lvl w:ilvl="3">
      <w:start w:val="1"/>
      <w:numFmt w:val="decimal"/>
      <w:lvlText w:val="(%4)"/>
      <w:lvlJc w:val="left"/>
      <w:pPr>
        <w:ind w:left="419" w:hanging="360"/>
      </w:pPr>
      <w:rPr>
        <w:rFonts w:hint="default"/>
      </w:rPr>
    </w:lvl>
    <w:lvl w:ilvl="4">
      <w:start w:val="1"/>
      <w:numFmt w:val="lowerLetter"/>
      <w:lvlText w:val="(%5)"/>
      <w:lvlJc w:val="left"/>
      <w:pPr>
        <w:ind w:left="779" w:hanging="360"/>
      </w:pPr>
      <w:rPr>
        <w:rFonts w:hint="default"/>
      </w:rPr>
    </w:lvl>
    <w:lvl w:ilvl="5">
      <w:start w:val="1"/>
      <w:numFmt w:val="lowerRoman"/>
      <w:lvlText w:val="(%6)"/>
      <w:lvlJc w:val="left"/>
      <w:pPr>
        <w:ind w:left="1139" w:hanging="360"/>
      </w:pPr>
      <w:rPr>
        <w:rFonts w:hint="default"/>
      </w:rPr>
    </w:lvl>
    <w:lvl w:ilvl="6">
      <w:start w:val="1"/>
      <w:numFmt w:val="decimal"/>
      <w:lvlText w:val="%7."/>
      <w:lvlJc w:val="left"/>
      <w:pPr>
        <w:ind w:left="1499" w:hanging="360"/>
      </w:pPr>
      <w:rPr>
        <w:rFonts w:hint="default"/>
      </w:rPr>
    </w:lvl>
    <w:lvl w:ilvl="7">
      <w:start w:val="1"/>
      <w:numFmt w:val="lowerLetter"/>
      <w:lvlText w:val="%8."/>
      <w:lvlJc w:val="left"/>
      <w:pPr>
        <w:ind w:left="1859" w:hanging="360"/>
      </w:pPr>
      <w:rPr>
        <w:rFonts w:hint="default"/>
      </w:rPr>
    </w:lvl>
    <w:lvl w:ilvl="8">
      <w:start w:val="1"/>
      <w:numFmt w:val="lowerRoman"/>
      <w:lvlText w:val="%9."/>
      <w:lvlJc w:val="left"/>
      <w:pPr>
        <w:ind w:left="2219" w:hanging="360"/>
      </w:pPr>
      <w:rPr>
        <w:rFonts w:hint="default"/>
      </w:rPr>
    </w:lvl>
  </w:abstractNum>
  <w:abstractNum w:abstractNumId="25">
    <w:nsid w:val="5B2A1961"/>
    <w:multiLevelType w:val="multilevel"/>
    <w:tmpl w:val="84680B32"/>
    <w:lvl w:ilvl="0">
      <w:start w:val="1"/>
      <w:numFmt w:val="bullet"/>
      <w:lvlText w:val=""/>
      <w:lvlJc w:val="left"/>
      <w:pPr>
        <w:tabs>
          <w:tab w:val="num" w:pos="1247"/>
        </w:tabs>
        <w:ind w:left="1247" w:hanging="283"/>
      </w:pPr>
      <w:rPr>
        <w:rFonts w:ascii="Symbol" w:hAnsi="Symbol" w:hint="default"/>
        <w:color w:val="000000" w:themeColor="text1"/>
      </w:rPr>
    </w:lvl>
    <w:lvl w:ilvl="1">
      <w:start w:val="1"/>
      <w:numFmt w:val="bullet"/>
      <w:lvlText w:val=""/>
      <w:lvlJc w:val="left"/>
      <w:pPr>
        <w:tabs>
          <w:tab w:val="num" w:pos="1531"/>
        </w:tabs>
        <w:ind w:left="1531" w:hanging="284"/>
      </w:pPr>
      <w:rPr>
        <w:rFonts w:ascii="Symbol" w:hAnsi="Symbol" w:hint="default"/>
        <w:color w:val="000000" w:themeColor="text1"/>
      </w:rPr>
    </w:lvl>
    <w:lvl w:ilvl="2">
      <w:start w:val="1"/>
      <w:numFmt w:val="lowerRoman"/>
      <w:lvlText w:val="%3)"/>
      <w:lvlJc w:val="left"/>
      <w:pPr>
        <w:ind w:left="59" w:hanging="360"/>
      </w:pPr>
      <w:rPr>
        <w:rFonts w:hint="default"/>
      </w:rPr>
    </w:lvl>
    <w:lvl w:ilvl="3">
      <w:start w:val="1"/>
      <w:numFmt w:val="decimal"/>
      <w:lvlText w:val="(%4)"/>
      <w:lvlJc w:val="left"/>
      <w:pPr>
        <w:ind w:left="419" w:hanging="360"/>
      </w:pPr>
      <w:rPr>
        <w:rFonts w:hint="default"/>
      </w:rPr>
    </w:lvl>
    <w:lvl w:ilvl="4">
      <w:start w:val="1"/>
      <w:numFmt w:val="lowerLetter"/>
      <w:lvlText w:val="(%5)"/>
      <w:lvlJc w:val="left"/>
      <w:pPr>
        <w:ind w:left="779" w:hanging="360"/>
      </w:pPr>
      <w:rPr>
        <w:rFonts w:hint="default"/>
      </w:rPr>
    </w:lvl>
    <w:lvl w:ilvl="5">
      <w:start w:val="1"/>
      <w:numFmt w:val="lowerRoman"/>
      <w:lvlText w:val="(%6)"/>
      <w:lvlJc w:val="left"/>
      <w:pPr>
        <w:ind w:left="1139" w:hanging="360"/>
      </w:pPr>
      <w:rPr>
        <w:rFonts w:hint="default"/>
      </w:rPr>
    </w:lvl>
    <w:lvl w:ilvl="6">
      <w:start w:val="1"/>
      <w:numFmt w:val="decimal"/>
      <w:lvlText w:val="%7."/>
      <w:lvlJc w:val="left"/>
      <w:pPr>
        <w:ind w:left="1499" w:hanging="360"/>
      </w:pPr>
      <w:rPr>
        <w:rFonts w:hint="default"/>
      </w:rPr>
    </w:lvl>
    <w:lvl w:ilvl="7">
      <w:start w:val="1"/>
      <w:numFmt w:val="lowerLetter"/>
      <w:lvlText w:val="%8."/>
      <w:lvlJc w:val="left"/>
      <w:pPr>
        <w:ind w:left="1859" w:hanging="360"/>
      </w:pPr>
      <w:rPr>
        <w:rFonts w:hint="default"/>
      </w:rPr>
    </w:lvl>
    <w:lvl w:ilvl="8">
      <w:start w:val="1"/>
      <w:numFmt w:val="lowerRoman"/>
      <w:lvlText w:val="%9."/>
      <w:lvlJc w:val="left"/>
      <w:pPr>
        <w:ind w:left="2219" w:hanging="360"/>
      </w:pPr>
      <w:rPr>
        <w:rFonts w:hint="default"/>
      </w:rPr>
    </w:lvl>
  </w:abstractNum>
  <w:abstractNum w:abstractNumId="26">
    <w:nsid w:val="60112C6D"/>
    <w:multiLevelType w:val="multilevel"/>
    <w:tmpl w:val="01BAA672"/>
    <w:lvl w:ilvl="0">
      <w:start w:val="1"/>
      <w:numFmt w:val="bullet"/>
      <w:lvlText w:val=""/>
      <w:lvlJc w:val="left"/>
      <w:pPr>
        <w:tabs>
          <w:tab w:val="num" w:pos="1247"/>
        </w:tabs>
        <w:ind w:left="1247" w:hanging="283"/>
      </w:pPr>
      <w:rPr>
        <w:rFonts w:ascii="Symbol" w:hAnsi="Symbol" w:hint="default"/>
        <w:color w:val="000000" w:themeColor="text1"/>
      </w:rPr>
    </w:lvl>
    <w:lvl w:ilvl="1">
      <w:start w:val="1"/>
      <w:numFmt w:val="bullet"/>
      <w:lvlText w:val=""/>
      <w:lvlJc w:val="left"/>
      <w:pPr>
        <w:tabs>
          <w:tab w:val="num" w:pos="1531"/>
        </w:tabs>
        <w:ind w:left="1531" w:hanging="284"/>
      </w:pPr>
      <w:rPr>
        <w:rFonts w:ascii="Symbol" w:hAnsi="Symbol" w:hint="default"/>
        <w:color w:val="000000" w:themeColor="text1"/>
      </w:rPr>
    </w:lvl>
    <w:lvl w:ilvl="2">
      <w:start w:val="1"/>
      <w:numFmt w:val="lowerRoman"/>
      <w:lvlText w:val="%3)"/>
      <w:lvlJc w:val="left"/>
      <w:pPr>
        <w:ind w:left="59" w:hanging="360"/>
      </w:pPr>
      <w:rPr>
        <w:rFonts w:hint="default"/>
      </w:rPr>
    </w:lvl>
    <w:lvl w:ilvl="3">
      <w:start w:val="1"/>
      <w:numFmt w:val="decimal"/>
      <w:lvlText w:val="(%4)"/>
      <w:lvlJc w:val="left"/>
      <w:pPr>
        <w:ind w:left="419" w:hanging="360"/>
      </w:pPr>
      <w:rPr>
        <w:rFonts w:hint="default"/>
      </w:rPr>
    </w:lvl>
    <w:lvl w:ilvl="4">
      <w:start w:val="1"/>
      <w:numFmt w:val="lowerLetter"/>
      <w:lvlText w:val="(%5)"/>
      <w:lvlJc w:val="left"/>
      <w:pPr>
        <w:ind w:left="779" w:hanging="360"/>
      </w:pPr>
      <w:rPr>
        <w:rFonts w:hint="default"/>
      </w:rPr>
    </w:lvl>
    <w:lvl w:ilvl="5">
      <w:start w:val="1"/>
      <w:numFmt w:val="lowerRoman"/>
      <w:lvlText w:val="(%6)"/>
      <w:lvlJc w:val="left"/>
      <w:pPr>
        <w:ind w:left="1139" w:hanging="360"/>
      </w:pPr>
      <w:rPr>
        <w:rFonts w:hint="default"/>
      </w:rPr>
    </w:lvl>
    <w:lvl w:ilvl="6">
      <w:start w:val="1"/>
      <w:numFmt w:val="decimal"/>
      <w:lvlText w:val="%7."/>
      <w:lvlJc w:val="left"/>
      <w:pPr>
        <w:ind w:left="1499" w:hanging="360"/>
      </w:pPr>
      <w:rPr>
        <w:rFonts w:hint="default"/>
      </w:rPr>
    </w:lvl>
    <w:lvl w:ilvl="7">
      <w:start w:val="1"/>
      <w:numFmt w:val="lowerLetter"/>
      <w:lvlText w:val="%8."/>
      <w:lvlJc w:val="left"/>
      <w:pPr>
        <w:ind w:left="1859" w:hanging="360"/>
      </w:pPr>
      <w:rPr>
        <w:rFonts w:hint="default"/>
      </w:rPr>
    </w:lvl>
    <w:lvl w:ilvl="8">
      <w:start w:val="1"/>
      <w:numFmt w:val="lowerRoman"/>
      <w:lvlText w:val="%9."/>
      <w:lvlJc w:val="left"/>
      <w:pPr>
        <w:ind w:left="2219" w:hanging="360"/>
      </w:pPr>
      <w:rPr>
        <w:rFonts w:hint="default"/>
      </w:rPr>
    </w:lvl>
  </w:abstractNum>
  <w:abstractNum w:abstractNumId="27">
    <w:nsid w:val="66E067F9"/>
    <w:multiLevelType w:val="hybridMultilevel"/>
    <w:tmpl w:val="07267AF2"/>
    <w:lvl w:ilvl="0" w:tplc="FFFFFFFF">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C665C51"/>
    <w:multiLevelType w:val="hybridMultilevel"/>
    <w:tmpl w:val="8CD664F0"/>
    <w:lvl w:ilvl="0" w:tplc="FCFCE2D4">
      <w:start w:val="1"/>
      <w:numFmt w:val="decimal"/>
      <w:lvlText w:val="%1."/>
      <w:lvlJc w:val="left"/>
      <w:pPr>
        <w:ind w:left="108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9">
    <w:nsid w:val="7510289C"/>
    <w:multiLevelType w:val="hybridMultilevel"/>
    <w:tmpl w:val="86C0DF90"/>
    <w:lvl w:ilvl="0" w:tplc="DF08B2A4">
      <w:start w:val="1"/>
      <w:numFmt w:val="decimal"/>
      <w:lvlText w:val="%1."/>
      <w:lvlJc w:val="left"/>
      <w:pPr>
        <w:ind w:left="720" w:hanging="360"/>
      </w:pPr>
      <w:rPr>
        <w:rFonts w:hint="default"/>
      </w:rPr>
    </w:lvl>
    <w:lvl w:ilvl="1" w:tplc="E8C8D70C">
      <w:start w:val="1"/>
      <w:numFmt w:val="lowerLetter"/>
      <w:lvlText w:val="%2."/>
      <w:lvlJc w:val="left"/>
      <w:pPr>
        <w:ind w:left="1440" w:hanging="360"/>
      </w:pPr>
    </w:lvl>
    <w:lvl w:ilvl="2" w:tplc="6A6656B8">
      <w:start w:val="1"/>
      <w:numFmt w:val="lowerRoman"/>
      <w:lvlText w:val="%3."/>
      <w:lvlJc w:val="right"/>
      <w:pPr>
        <w:ind w:left="2160" w:hanging="180"/>
      </w:pPr>
    </w:lvl>
    <w:lvl w:ilvl="3" w:tplc="5A4A563A" w:tentative="1">
      <w:start w:val="1"/>
      <w:numFmt w:val="decimal"/>
      <w:lvlText w:val="%4."/>
      <w:lvlJc w:val="left"/>
      <w:pPr>
        <w:ind w:left="2880" w:hanging="360"/>
      </w:pPr>
    </w:lvl>
    <w:lvl w:ilvl="4" w:tplc="66EE4A26" w:tentative="1">
      <w:start w:val="1"/>
      <w:numFmt w:val="lowerLetter"/>
      <w:lvlText w:val="%5."/>
      <w:lvlJc w:val="left"/>
      <w:pPr>
        <w:ind w:left="3600" w:hanging="360"/>
      </w:pPr>
    </w:lvl>
    <w:lvl w:ilvl="5" w:tplc="0186CF90" w:tentative="1">
      <w:start w:val="1"/>
      <w:numFmt w:val="lowerRoman"/>
      <w:lvlText w:val="%6."/>
      <w:lvlJc w:val="right"/>
      <w:pPr>
        <w:ind w:left="4320" w:hanging="180"/>
      </w:pPr>
    </w:lvl>
    <w:lvl w:ilvl="6" w:tplc="48C40252" w:tentative="1">
      <w:start w:val="1"/>
      <w:numFmt w:val="decimal"/>
      <w:lvlText w:val="%7."/>
      <w:lvlJc w:val="left"/>
      <w:pPr>
        <w:ind w:left="5040" w:hanging="360"/>
      </w:pPr>
    </w:lvl>
    <w:lvl w:ilvl="7" w:tplc="4D787F72" w:tentative="1">
      <w:start w:val="1"/>
      <w:numFmt w:val="lowerLetter"/>
      <w:lvlText w:val="%8."/>
      <w:lvlJc w:val="left"/>
      <w:pPr>
        <w:ind w:left="5760" w:hanging="360"/>
      </w:pPr>
    </w:lvl>
    <w:lvl w:ilvl="8" w:tplc="B0A63BF2" w:tentative="1">
      <w:start w:val="1"/>
      <w:numFmt w:val="lowerRoman"/>
      <w:lvlText w:val="%9."/>
      <w:lvlJc w:val="right"/>
      <w:pPr>
        <w:ind w:left="6480" w:hanging="180"/>
      </w:pPr>
    </w:lvl>
  </w:abstractNum>
  <w:abstractNum w:abstractNumId="30">
    <w:nsid w:val="79B90E11"/>
    <w:multiLevelType w:val="multilevel"/>
    <w:tmpl w:val="84680B32"/>
    <w:lvl w:ilvl="0">
      <w:start w:val="1"/>
      <w:numFmt w:val="bullet"/>
      <w:lvlText w:val=""/>
      <w:lvlJc w:val="left"/>
      <w:pPr>
        <w:tabs>
          <w:tab w:val="num" w:pos="1247"/>
        </w:tabs>
        <w:ind w:left="1247" w:hanging="283"/>
      </w:pPr>
      <w:rPr>
        <w:rFonts w:ascii="Symbol" w:hAnsi="Symbol" w:hint="default"/>
        <w:color w:val="000000" w:themeColor="text1"/>
      </w:rPr>
    </w:lvl>
    <w:lvl w:ilvl="1">
      <w:start w:val="1"/>
      <w:numFmt w:val="bullet"/>
      <w:lvlText w:val=""/>
      <w:lvlJc w:val="left"/>
      <w:pPr>
        <w:tabs>
          <w:tab w:val="num" w:pos="1531"/>
        </w:tabs>
        <w:ind w:left="1531" w:hanging="284"/>
      </w:pPr>
      <w:rPr>
        <w:rFonts w:ascii="Symbol" w:hAnsi="Symbol" w:hint="default"/>
        <w:color w:val="000000" w:themeColor="text1"/>
      </w:rPr>
    </w:lvl>
    <w:lvl w:ilvl="2">
      <w:start w:val="1"/>
      <w:numFmt w:val="lowerRoman"/>
      <w:lvlText w:val="%3)"/>
      <w:lvlJc w:val="left"/>
      <w:pPr>
        <w:ind w:left="59" w:hanging="360"/>
      </w:pPr>
      <w:rPr>
        <w:rFonts w:hint="default"/>
      </w:rPr>
    </w:lvl>
    <w:lvl w:ilvl="3">
      <w:start w:val="1"/>
      <w:numFmt w:val="decimal"/>
      <w:lvlText w:val="(%4)"/>
      <w:lvlJc w:val="left"/>
      <w:pPr>
        <w:ind w:left="419" w:hanging="360"/>
      </w:pPr>
      <w:rPr>
        <w:rFonts w:hint="default"/>
      </w:rPr>
    </w:lvl>
    <w:lvl w:ilvl="4">
      <w:start w:val="1"/>
      <w:numFmt w:val="lowerLetter"/>
      <w:lvlText w:val="(%5)"/>
      <w:lvlJc w:val="left"/>
      <w:pPr>
        <w:ind w:left="779" w:hanging="360"/>
      </w:pPr>
      <w:rPr>
        <w:rFonts w:hint="default"/>
      </w:rPr>
    </w:lvl>
    <w:lvl w:ilvl="5">
      <w:start w:val="1"/>
      <w:numFmt w:val="lowerRoman"/>
      <w:lvlText w:val="(%6)"/>
      <w:lvlJc w:val="left"/>
      <w:pPr>
        <w:ind w:left="1139" w:hanging="360"/>
      </w:pPr>
      <w:rPr>
        <w:rFonts w:hint="default"/>
      </w:rPr>
    </w:lvl>
    <w:lvl w:ilvl="6">
      <w:start w:val="1"/>
      <w:numFmt w:val="decimal"/>
      <w:lvlText w:val="%7."/>
      <w:lvlJc w:val="left"/>
      <w:pPr>
        <w:ind w:left="1499" w:hanging="360"/>
      </w:pPr>
      <w:rPr>
        <w:rFonts w:hint="default"/>
      </w:rPr>
    </w:lvl>
    <w:lvl w:ilvl="7">
      <w:start w:val="1"/>
      <w:numFmt w:val="lowerLetter"/>
      <w:lvlText w:val="%8."/>
      <w:lvlJc w:val="left"/>
      <w:pPr>
        <w:ind w:left="1859" w:hanging="360"/>
      </w:pPr>
      <w:rPr>
        <w:rFonts w:hint="default"/>
      </w:rPr>
    </w:lvl>
    <w:lvl w:ilvl="8">
      <w:start w:val="1"/>
      <w:numFmt w:val="lowerRoman"/>
      <w:lvlText w:val="%9."/>
      <w:lvlJc w:val="left"/>
      <w:pPr>
        <w:ind w:left="2219" w:hanging="360"/>
      </w:pPr>
      <w:rPr>
        <w:rFonts w:hint="default"/>
      </w:rPr>
    </w:lvl>
  </w:abstractNum>
  <w:abstractNum w:abstractNumId="31">
    <w:nsid w:val="7A7B18E5"/>
    <w:multiLevelType w:val="hybridMultilevel"/>
    <w:tmpl w:val="0B0AB99E"/>
    <w:lvl w:ilvl="0" w:tplc="B652F17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EC23B8A"/>
    <w:multiLevelType w:val="multilevel"/>
    <w:tmpl w:val="BBD0A34A"/>
    <w:lvl w:ilvl="0">
      <w:start w:val="1"/>
      <w:numFmt w:val="bullet"/>
      <w:lvlText w:val=""/>
      <w:lvlJc w:val="left"/>
      <w:pPr>
        <w:tabs>
          <w:tab w:val="num" w:pos="1247"/>
        </w:tabs>
        <w:ind w:left="1247" w:hanging="283"/>
      </w:pPr>
      <w:rPr>
        <w:rFonts w:ascii="Symbol" w:hAnsi="Symbol" w:hint="default"/>
        <w:color w:val="000000" w:themeColor="text1"/>
      </w:rPr>
    </w:lvl>
    <w:lvl w:ilvl="1">
      <w:start w:val="1"/>
      <w:numFmt w:val="bullet"/>
      <w:lvlText w:val="–"/>
      <w:lvlJc w:val="left"/>
      <w:pPr>
        <w:tabs>
          <w:tab w:val="num" w:pos="1531"/>
        </w:tabs>
        <w:ind w:left="1531" w:hanging="284"/>
      </w:pPr>
      <w:rPr>
        <w:rFonts w:ascii="Times New Roman" w:hAnsi="Times New Roman" w:cs="Times New Roman" w:hint="default"/>
        <w:color w:val="000000" w:themeColor="text1"/>
      </w:rPr>
    </w:lvl>
    <w:lvl w:ilvl="2">
      <w:start w:val="1"/>
      <w:numFmt w:val="lowerRoman"/>
      <w:lvlText w:val="%3)"/>
      <w:lvlJc w:val="left"/>
      <w:pPr>
        <w:ind w:left="59" w:hanging="360"/>
      </w:pPr>
      <w:rPr>
        <w:rFonts w:hint="default"/>
      </w:rPr>
    </w:lvl>
    <w:lvl w:ilvl="3">
      <w:start w:val="1"/>
      <w:numFmt w:val="decimal"/>
      <w:lvlText w:val="(%4)"/>
      <w:lvlJc w:val="left"/>
      <w:pPr>
        <w:ind w:left="419" w:hanging="360"/>
      </w:pPr>
      <w:rPr>
        <w:rFonts w:hint="default"/>
      </w:rPr>
    </w:lvl>
    <w:lvl w:ilvl="4">
      <w:start w:val="1"/>
      <w:numFmt w:val="lowerLetter"/>
      <w:lvlText w:val="(%5)"/>
      <w:lvlJc w:val="left"/>
      <w:pPr>
        <w:ind w:left="779" w:hanging="360"/>
      </w:pPr>
      <w:rPr>
        <w:rFonts w:hint="default"/>
      </w:rPr>
    </w:lvl>
    <w:lvl w:ilvl="5">
      <w:start w:val="1"/>
      <w:numFmt w:val="lowerRoman"/>
      <w:lvlText w:val="(%6)"/>
      <w:lvlJc w:val="left"/>
      <w:pPr>
        <w:ind w:left="1139" w:hanging="360"/>
      </w:pPr>
      <w:rPr>
        <w:rFonts w:hint="default"/>
      </w:rPr>
    </w:lvl>
    <w:lvl w:ilvl="6">
      <w:start w:val="1"/>
      <w:numFmt w:val="decimal"/>
      <w:lvlText w:val="%7."/>
      <w:lvlJc w:val="left"/>
      <w:pPr>
        <w:ind w:left="1499" w:hanging="360"/>
      </w:pPr>
      <w:rPr>
        <w:rFonts w:hint="default"/>
      </w:rPr>
    </w:lvl>
    <w:lvl w:ilvl="7">
      <w:start w:val="1"/>
      <w:numFmt w:val="lowerLetter"/>
      <w:lvlText w:val="%8."/>
      <w:lvlJc w:val="left"/>
      <w:pPr>
        <w:ind w:left="1859" w:hanging="360"/>
      </w:pPr>
      <w:rPr>
        <w:rFonts w:hint="default"/>
      </w:rPr>
    </w:lvl>
    <w:lvl w:ilvl="8">
      <w:start w:val="1"/>
      <w:numFmt w:val="lowerRoman"/>
      <w:lvlText w:val="%9."/>
      <w:lvlJc w:val="left"/>
      <w:pPr>
        <w:ind w:left="2219" w:hanging="360"/>
      </w:pPr>
      <w:rPr>
        <w:rFonts w:hint="default"/>
      </w:rPr>
    </w:lvl>
  </w:abstractNum>
  <w:num w:numId="1">
    <w:abstractNumId w:val="15"/>
  </w:num>
  <w:num w:numId="2">
    <w:abstractNumId w:val="17"/>
  </w:num>
  <w:num w:numId="3">
    <w:abstractNumId w:val="5"/>
  </w:num>
  <w:num w:numId="4">
    <w:abstractNumId w:val="11"/>
  </w:num>
  <w:num w:numId="5">
    <w:abstractNumId w:val="0"/>
  </w:num>
  <w:num w:numId="6">
    <w:abstractNumId w:val="29"/>
  </w:num>
  <w:num w:numId="7">
    <w:abstractNumId w:val="6"/>
  </w:num>
  <w:num w:numId="8">
    <w:abstractNumId w:val="23"/>
  </w:num>
  <w:num w:numId="9">
    <w:abstractNumId w:val="1"/>
  </w:num>
  <w:num w:numId="10">
    <w:abstractNumId w:val="10"/>
  </w:num>
  <w:num w:numId="11">
    <w:abstractNumId w:val="3"/>
  </w:num>
  <w:num w:numId="12">
    <w:abstractNumId w:val="7"/>
  </w:num>
  <w:num w:numId="13">
    <w:abstractNumId w:val="9"/>
  </w:num>
  <w:num w:numId="14">
    <w:abstractNumId w:val="14"/>
  </w:num>
  <w:num w:numId="15">
    <w:abstractNumId w:val="24"/>
  </w:num>
  <w:num w:numId="16">
    <w:abstractNumId w:val="32"/>
  </w:num>
  <w:num w:numId="17">
    <w:abstractNumId w:val="26"/>
  </w:num>
  <w:num w:numId="18">
    <w:abstractNumId w:val="30"/>
  </w:num>
  <w:num w:numId="19">
    <w:abstractNumId w:val="14"/>
  </w:num>
  <w:num w:numId="20">
    <w:abstractNumId w:val="25"/>
  </w:num>
  <w:num w:numId="21">
    <w:abstractNumId w:val="16"/>
  </w:num>
  <w:num w:numId="22">
    <w:abstractNumId w:val="13"/>
  </w:num>
  <w:num w:numId="23">
    <w:abstractNumId w:val="18"/>
  </w:num>
  <w:num w:numId="24">
    <w:abstractNumId w:val="8"/>
  </w:num>
  <w:num w:numId="25">
    <w:abstractNumId w:val="2"/>
  </w:num>
  <w:num w:numId="26">
    <w:abstractNumId w:val="4"/>
  </w:num>
  <w:num w:numId="27">
    <w:abstractNumId w:val="27"/>
  </w:num>
  <w:num w:numId="28">
    <w:abstractNumId w:val="12"/>
  </w:num>
  <w:num w:numId="29">
    <w:abstractNumId w:val="19"/>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1"/>
  </w:num>
  <w:num w:numId="33">
    <w:abstractNumId w:val="2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DC"/>
    <w:rsid w:val="000000E6"/>
    <w:rsid w:val="00000413"/>
    <w:rsid w:val="00000F8E"/>
    <w:rsid w:val="000057BB"/>
    <w:rsid w:val="00007F53"/>
    <w:rsid w:val="000147FA"/>
    <w:rsid w:val="0002466A"/>
    <w:rsid w:val="00035A55"/>
    <w:rsid w:val="000406B4"/>
    <w:rsid w:val="000416BB"/>
    <w:rsid w:val="00041E33"/>
    <w:rsid w:val="00045081"/>
    <w:rsid w:val="00054588"/>
    <w:rsid w:val="00056BCE"/>
    <w:rsid w:val="00060FDF"/>
    <w:rsid w:val="000627A7"/>
    <w:rsid w:val="0006317D"/>
    <w:rsid w:val="00065624"/>
    <w:rsid w:val="0008179E"/>
    <w:rsid w:val="000821C5"/>
    <w:rsid w:val="000830FB"/>
    <w:rsid w:val="000847F4"/>
    <w:rsid w:val="000863E2"/>
    <w:rsid w:val="000921FB"/>
    <w:rsid w:val="00094075"/>
    <w:rsid w:val="000945D9"/>
    <w:rsid w:val="00095574"/>
    <w:rsid w:val="000977C4"/>
    <w:rsid w:val="000A31AD"/>
    <w:rsid w:val="000A37AD"/>
    <w:rsid w:val="000A428B"/>
    <w:rsid w:val="000B28CD"/>
    <w:rsid w:val="000C2940"/>
    <w:rsid w:val="000C2DC2"/>
    <w:rsid w:val="000C2E2D"/>
    <w:rsid w:val="000C4649"/>
    <w:rsid w:val="000C470E"/>
    <w:rsid w:val="000C597A"/>
    <w:rsid w:val="000D1B3D"/>
    <w:rsid w:val="000D4AC6"/>
    <w:rsid w:val="000D5C24"/>
    <w:rsid w:val="000D5EF3"/>
    <w:rsid w:val="000D631D"/>
    <w:rsid w:val="000E0126"/>
    <w:rsid w:val="000E26E0"/>
    <w:rsid w:val="000E6DB6"/>
    <w:rsid w:val="000F08C8"/>
    <w:rsid w:val="000F13FE"/>
    <w:rsid w:val="000F212D"/>
    <w:rsid w:val="000F243E"/>
    <w:rsid w:val="000F52FF"/>
    <w:rsid w:val="000F72B3"/>
    <w:rsid w:val="000F770B"/>
    <w:rsid w:val="001028B4"/>
    <w:rsid w:val="001064B5"/>
    <w:rsid w:val="00106594"/>
    <w:rsid w:val="001106BB"/>
    <w:rsid w:val="001107AA"/>
    <w:rsid w:val="00112064"/>
    <w:rsid w:val="00113ED8"/>
    <w:rsid w:val="00125A9D"/>
    <w:rsid w:val="001318E3"/>
    <w:rsid w:val="00134A11"/>
    <w:rsid w:val="00135AA8"/>
    <w:rsid w:val="00136BB3"/>
    <w:rsid w:val="00141D58"/>
    <w:rsid w:val="001458C2"/>
    <w:rsid w:val="00146C9E"/>
    <w:rsid w:val="00147618"/>
    <w:rsid w:val="00157383"/>
    <w:rsid w:val="00162620"/>
    <w:rsid w:val="00164013"/>
    <w:rsid w:val="00167E03"/>
    <w:rsid w:val="00171799"/>
    <w:rsid w:val="00171B1B"/>
    <w:rsid w:val="0017371C"/>
    <w:rsid w:val="00176E17"/>
    <w:rsid w:val="001800C8"/>
    <w:rsid w:val="001862FD"/>
    <w:rsid w:val="00190BC9"/>
    <w:rsid w:val="001A249C"/>
    <w:rsid w:val="001A5930"/>
    <w:rsid w:val="001B10B9"/>
    <w:rsid w:val="001B6799"/>
    <w:rsid w:val="001C2BAC"/>
    <w:rsid w:val="001C2CAF"/>
    <w:rsid w:val="001C5A4C"/>
    <w:rsid w:val="001C799F"/>
    <w:rsid w:val="001D0A8B"/>
    <w:rsid w:val="001F0B65"/>
    <w:rsid w:val="001F3300"/>
    <w:rsid w:val="001F374B"/>
    <w:rsid w:val="001F7139"/>
    <w:rsid w:val="002005BB"/>
    <w:rsid w:val="002008BA"/>
    <w:rsid w:val="002034A7"/>
    <w:rsid w:val="00206B02"/>
    <w:rsid w:val="00214584"/>
    <w:rsid w:val="002165E8"/>
    <w:rsid w:val="002206C9"/>
    <w:rsid w:val="00220E14"/>
    <w:rsid w:val="00220F9F"/>
    <w:rsid w:val="00221056"/>
    <w:rsid w:val="00222D09"/>
    <w:rsid w:val="00224BC7"/>
    <w:rsid w:val="00232F7A"/>
    <w:rsid w:val="00234E14"/>
    <w:rsid w:val="002357DD"/>
    <w:rsid w:val="00240990"/>
    <w:rsid w:val="00241EA0"/>
    <w:rsid w:val="00243A89"/>
    <w:rsid w:val="00244136"/>
    <w:rsid w:val="00250604"/>
    <w:rsid w:val="0025067F"/>
    <w:rsid w:val="00252FE2"/>
    <w:rsid w:val="00253019"/>
    <w:rsid w:val="00262BB3"/>
    <w:rsid w:val="00264A02"/>
    <w:rsid w:val="00265EB4"/>
    <w:rsid w:val="002819A1"/>
    <w:rsid w:val="00283C6B"/>
    <w:rsid w:val="002841F0"/>
    <w:rsid w:val="00284E61"/>
    <w:rsid w:val="00291EA8"/>
    <w:rsid w:val="00291FAA"/>
    <w:rsid w:val="002A05D7"/>
    <w:rsid w:val="002A3884"/>
    <w:rsid w:val="002A6BB3"/>
    <w:rsid w:val="002B0E35"/>
    <w:rsid w:val="002B0EA7"/>
    <w:rsid w:val="002B6A1B"/>
    <w:rsid w:val="002B7246"/>
    <w:rsid w:val="002C0B63"/>
    <w:rsid w:val="002C7253"/>
    <w:rsid w:val="002D23A1"/>
    <w:rsid w:val="002E1EED"/>
    <w:rsid w:val="002F7F18"/>
    <w:rsid w:val="0031480B"/>
    <w:rsid w:val="00321EF1"/>
    <w:rsid w:val="00324A80"/>
    <w:rsid w:val="0032540A"/>
    <w:rsid w:val="003317CF"/>
    <w:rsid w:val="00332AAD"/>
    <w:rsid w:val="0033669D"/>
    <w:rsid w:val="00337A8E"/>
    <w:rsid w:val="00341A01"/>
    <w:rsid w:val="003437E6"/>
    <w:rsid w:val="003507F3"/>
    <w:rsid w:val="0035377D"/>
    <w:rsid w:val="00365D3F"/>
    <w:rsid w:val="003831AE"/>
    <w:rsid w:val="003869DB"/>
    <w:rsid w:val="00386E59"/>
    <w:rsid w:val="00387433"/>
    <w:rsid w:val="00387877"/>
    <w:rsid w:val="003A191A"/>
    <w:rsid w:val="003A1AED"/>
    <w:rsid w:val="003A2B67"/>
    <w:rsid w:val="003A347C"/>
    <w:rsid w:val="003A4042"/>
    <w:rsid w:val="003B097D"/>
    <w:rsid w:val="003B1707"/>
    <w:rsid w:val="003B3200"/>
    <w:rsid w:val="003B69FB"/>
    <w:rsid w:val="003C0A27"/>
    <w:rsid w:val="003C5C83"/>
    <w:rsid w:val="003C6DA1"/>
    <w:rsid w:val="003C6FE8"/>
    <w:rsid w:val="003D4AC5"/>
    <w:rsid w:val="003D567D"/>
    <w:rsid w:val="003F1CD8"/>
    <w:rsid w:val="003F515E"/>
    <w:rsid w:val="0040622D"/>
    <w:rsid w:val="00415798"/>
    <w:rsid w:val="00420982"/>
    <w:rsid w:val="0042240F"/>
    <w:rsid w:val="00424A89"/>
    <w:rsid w:val="004258A2"/>
    <w:rsid w:val="004262EC"/>
    <w:rsid w:val="00426E8F"/>
    <w:rsid w:val="00443E3C"/>
    <w:rsid w:val="004470C2"/>
    <w:rsid w:val="004470DE"/>
    <w:rsid w:val="00454CEA"/>
    <w:rsid w:val="004564F7"/>
    <w:rsid w:val="004567F6"/>
    <w:rsid w:val="0045728F"/>
    <w:rsid w:val="00460608"/>
    <w:rsid w:val="00465261"/>
    <w:rsid w:val="00466E25"/>
    <w:rsid w:val="00482031"/>
    <w:rsid w:val="00486604"/>
    <w:rsid w:val="0048701B"/>
    <w:rsid w:val="004911AE"/>
    <w:rsid w:val="004941AD"/>
    <w:rsid w:val="004A19CB"/>
    <w:rsid w:val="004A5475"/>
    <w:rsid w:val="004A7166"/>
    <w:rsid w:val="004B17A7"/>
    <w:rsid w:val="004B59AB"/>
    <w:rsid w:val="004B62A2"/>
    <w:rsid w:val="004B64F5"/>
    <w:rsid w:val="004B7848"/>
    <w:rsid w:val="004D5AC2"/>
    <w:rsid w:val="004D7B05"/>
    <w:rsid w:val="004E078E"/>
    <w:rsid w:val="004E59B6"/>
    <w:rsid w:val="004E7964"/>
    <w:rsid w:val="00500CF4"/>
    <w:rsid w:val="00506F4C"/>
    <w:rsid w:val="005136F1"/>
    <w:rsid w:val="00514D29"/>
    <w:rsid w:val="005205F9"/>
    <w:rsid w:val="005209B5"/>
    <w:rsid w:val="005227E8"/>
    <w:rsid w:val="005250BB"/>
    <w:rsid w:val="00525DEA"/>
    <w:rsid w:val="005272E4"/>
    <w:rsid w:val="00531417"/>
    <w:rsid w:val="00532C80"/>
    <w:rsid w:val="00536394"/>
    <w:rsid w:val="0054045D"/>
    <w:rsid w:val="00554F1D"/>
    <w:rsid w:val="00560F51"/>
    <w:rsid w:val="0056490B"/>
    <w:rsid w:val="00565F98"/>
    <w:rsid w:val="0056784D"/>
    <w:rsid w:val="00573A42"/>
    <w:rsid w:val="005751D0"/>
    <w:rsid w:val="00575F81"/>
    <w:rsid w:val="0057662F"/>
    <w:rsid w:val="0058153F"/>
    <w:rsid w:val="00581673"/>
    <w:rsid w:val="00582E26"/>
    <w:rsid w:val="0058515A"/>
    <w:rsid w:val="005865A6"/>
    <w:rsid w:val="005877E9"/>
    <w:rsid w:val="00591250"/>
    <w:rsid w:val="005950DB"/>
    <w:rsid w:val="00595F92"/>
    <w:rsid w:val="00596816"/>
    <w:rsid w:val="00597734"/>
    <w:rsid w:val="0059795E"/>
    <w:rsid w:val="005A198A"/>
    <w:rsid w:val="005A3F36"/>
    <w:rsid w:val="005A4521"/>
    <w:rsid w:val="005A7E8F"/>
    <w:rsid w:val="005B2B27"/>
    <w:rsid w:val="005B70AB"/>
    <w:rsid w:val="005B7D70"/>
    <w:rsid w:val="005C060E"/>
    <w:rsid w:val="005C2792"/>
    <w:rsid w:val="005D4067"/>
    <w:rsid w:val="005E4E59"/>
    <w:rsid w:val="005E61F4"/>
    <w:rsid w:val="005F5824"/>
    <w:rsid w:val="005F6362"/>
    <w:rsid w:val="006028A3"/>
    <w:rsid w:val="006152A8"/>
    <w:rsid w:val="0061637C"/>
    <w:rsid w:val="0061668C"/>
    <w:rsid w:val="0062031A"/>
    <w:rsid w:val="00623005"/>
    <w:rsid w:val="00623834"/>
    <w:rsid w:val="006357BB"/>
    <w:rsid w:val="00637632"/>
    <w:rsid w:val="00642ECA"/>
    <w:rsid w:val="00644386"/>
    <w:rsid w:val="00651457"/>
    <w:rsid w:val="00651FB4"/>
    <w:rsid w:val="0065338A"/>
    <w:rsid w:val="00653F87"/>
    <w:rsid w:val="00656D08"/>
    <w:rsid w:val="00665BDF"/>
    <w:rsid w:val="006708CC"/>
    <w:rsid w:val="00670A94"/>
    <w:rsid w:val="0067266A"/>
    <w:rsid w:val="00676203"/>
    <w:rsid w:val="00676A21"/>
    <w:rsid w:val="00680A92"/>
    <w:rsid w:val="0068501E"/>
    <w:rsid w:val="00685D86"/>
    <w:rsid w:val="00685DD9"/>
    <w:rsid w:val="006865D8"/>
    <w:rsid w:val="00687771"/>
    <w:rsid w:val="00687D6D"/>
    <w:rsid w:val="00691717"/>
    <w:rsid w:val="006A3722"/>
    <w:rsid w:val="006B0B05"/>
    <w:rsid w:val="006C13E7"/>
    <w:rsid w:val="006C3B18"/>
    <w:rsid w:val="006D05C2"/>
    <w:rsid w:val="006D171A"/>
    <w:rsid w:val="006D1C50"/>
    <w:rsid w:val="006D5BB0"/>
    <w:rsid w:val="006D7E39"/>
    <w:rsid w:val="006E0F99"/>
    <w:rsid w:val="006E79DE"/>
    <w:rsid w:val="006E7C25"/>
    <w:rsid w:val="006E7DA5"/>
    <w:rsid w:val="006F0E0B"/>
    <w:rsid w:val="006F189F"/>
    <w:rsid w:val="006F27E8"/>
    <w:rsid w:val="006F33FC"/>
    <w:rsid w:val="006F6AAB"/>
    <w:rsid w:val="006F6C63"/>
    <w:rsid w:val="007057C6"/>
    <w:rsid w:val="00706838"/>
    <w:rsid w:val="00712BC5"/>
    <w:rsid w:val="007261E4"/>
    <w:rsid w:val="00727A0A"/>
    <w:rsid w:val="007304BC"/>
    <w:rsid w:val="00730968"/>
    <w:rsid w:val="007315FA"/>
    <w:rsid w:val="00732782"/>
    <w:rsid w:val="007363A2"/>
    <w:rsid w:val="00737666"/>
    <w:rsid w:val="0074157B"/>
    <w:rsid w:val="00741947"/>
    <w:rsid w:val="00742BA5"/>
    <w:rsid w:val="00747B30"/>
    <w:rsid w:val="00750C8B"/>
    <w:rsid w:val="007530D3"/>
    <w:rsid w:val="0075701F"/>
    <w:rsid w:val="00763CE9"/>
    <w:rsid w:val="00763E4D"/>
    <w:rsid w:val="00764C83"/>
    <w:rsid w:val="00770D16"/>
    <w:rsid w:val="0078095A"/>
    <w:rsid w:val="007842F0"/>
    <w:rsid w:val="00792C33"/>
    <w:rsid w:val="00793E3B"/>
    <w:rsid w:val="007A23C2"/>
    <w:rsid w:val="007A2D44"/>
    <w:rsid w:val="007A3F9B"/>
    <w:rsid w:val="007A7FB9"/>
    <w:rsid w:val="007B09BA"/>
    <w:rsid w:val="007B1845"/>
    <w:rsid w:val="007B21C1"/>
    <w:rsid w:val="007B275F"/>
    <w:rsid w:val="007C444C"/>
    <w:rsid w:val="007C621B"/>
    <w:rsid w:val="007D76E6"/>
    <w:rsid w:val="007D7D5D"/>
    <w:rsid w:val="007E2B61"/>
    <w:rsid w:val="007E6610"/>
    <w:rsid w:val="007F020E"/>
    <w:rsid w:val="007F0FC0"/>
    <w:rsid w:val="007F1E31"/>
    <w:rsid w:val="007F58E8"/>
    <w:rsid w:val="007F5991"/>
    <w:rsid w:val="00804C0F"/>
    <w:rsid w:val="00823809"/>
    <w:rsid w:val="00835992"/>
    <w:rsid w:val="00835C53"/>
    <w:rsid w:val="00837B7E"/>
    <w:rsid w:val="00846846"/>
    <w:rsid w:val="0084777D"/>
    <w:rsid w:val="00853098"/>
    <w:rsid w:val="00856FA9"/>
    <w:rsid w:val="00861BD5"/>
    <w:rsid w:val="00866DFB"/>
    <w:rsid w:val="008709E9"/>
    <w:rsid w:val="00871FE9"/>
    <w:rsid w:val="00875715"/>
    <w:rsid w:val="008861EA"/>
    <w:rsid w:val="00887821"/>
    <w:rsid w:val="0089095B"/>
    <w:rsid w:val="00893DA2"/>
    <w:rsid w:val="00896B37"/>
    <w:rsid w:val="008A4720"/>
    <w:rsid w:val="008B4B18"/>
    <w:rsid w:val="008B586C"/>
    <w:rsid w:val="008B7E17"/>
    <w:rsid w:val="008C6F55"/>
    <w:rsid w:val="008D22C5"/>
    <w:rsid w:val="008D3E53"/>
    <w:rsid w:val="008D422F"/>
    <w:rsid w:val="008D44D6"/>
    <w:rsid w:val="008E0BB1"/>
    <w:rsid w:val="008E7A42"/>
    <w:rsid w:val="008F0438"/>
    <w:rsid w:val="008F0555"/>
    <w:rsid w:val="008F37A0"/>
    <w:rsid w:val="008F5695"/>
    <w:rsid w:val="009059EA"/>
    <w:rsid w:val="00906346"/>
    <w:rsid w:val="009077DC"/>
    <w:rsid w:val="009265B4"/>
    <w:rsid w:val="00927B07"/>
    <w:rsid w:val="00932569"/>
    <w:rsid w:val="00935E78"/>
    <w:rsid w:val="009369CA"/>
    <w:rsid w:val="009455A4"/>
    <w:rsid w:val="009523CF"/>
    <w:rsid w:val="00953BF7"/>
    <w:rsid w:val="009732D7"/>
    <w:rsid w:val="00974AA5"/>
    <w:rsid w:val="009778F0"/>
    <w:rsid w:val="009845F2"/>
    <w:rsid w:val="009848AD"/>
    <w:rsid w:val="00986450"/>
    <w:rsid w:val="009962DF"/>
    <w:rsid w:val="009A06D5"/>
    <w:rsid w:val="009A2C14"/>
    <w:rsid w:val="009A4210"/>
    <w:rsid w:val="009B0CED"/>
    <w:rsid w:val="009B11E3"/>
    <w:rsid w:val="009C1B33"/>
    <w:rsid w:val="009C21A9"/>
    <w:rsid w:val="009C7D43"/>
    <w:rsid w:val="009D009E"/>
    <w:rsid w:val="009D0AAC"/>
    <w:rsid w:val="009D506A"/>
    <w:rsid w:val="009E0A92"/>
    <w:rsid w:val="009E23A6"/>
    <w:rsid w:val="009E2699"/>
    <w:rsid w:val="009E3D41"/>
    <w:rsid w:val="009E7740"/>
    <w:rsid w:val="009F072B"/>
    <w:rsid w:val="009F2921"/>
    <w:rsid w:val="00A01CDC"/>
    <w:rsid w:val="00A04A44"/>
    <w:rsid w:val="00A11CFC"/>
    <w:rsid w:val="00A1385D"/>
    <w:rsid w:val="00A145D7"/>
    <w:rsid w:val="00A20569"/>
    <w:rsid w:val="00A20C45"/>
    <w:rsid w:val="00A25048"/>
    <w:rsid w:val="00A275CF"/>
    <w:rsid w:val="00A30A8B"/>
    <w:rsid w:val="00A36F09"/>
    <w:rsid w:val="00A414E1"/>
    <w:rsid w:val="00A46719"/>
    <w:rsid w:val="00A472A0"/>
    <w:rsid w:val="00A65B19"/>
    <w:rsid w:val="00A71FDC"/>
    <w:rsid w:val="00A77D6F"/>
    <w:rsid w:val="00A84855"/>
    <w:rsid w:val="00A9760C"/>
    <w:rsid w:val="00AA1782"/>
    <w:rsid w:val="00AA22E4"/>
    <w:rsid w:val="00AB2269"/>
    <w:rsid w:val="00AB3D58"/>
    <w:rsid w:val="00AB78F2"/>
    <w:rsid w:val="00AC6C4E"/>
    <w:rsid w:val="00AD0A88"/>
    <w:rsid w:val="00AD7A03"/>
    <w:rsid w:val="00AE0369"/>
    <w:rsid w:val="00AE184C"/>
    <w:rsid w:val="00AF146B"/>
    <w:rsid w:val="00B02A61"/>
    <w:rsid w:val="00B03178"/>
    <w:rsid w:val="00B04E79"/>
    <w:rsid w:val="00B0767D"/>
    <w:rsid w:val="00B10716"/>
    <w:rsid w:val="00B12586"/>
    <w:rsid w:val="00B125B9"/>
    <w:rsid w:val="00B162C6"/>
    <w:rsid w:val="00B16C5D"/>
    <w:rsid w:val="00B21E12"/>
    <w:rsid w:val="00B235DF"/>
    <w:rsid w:val="00B265F8"/>
    <w:rsid w:val="00B2681D"/>
    <w:rsid w:val="00B31EEC"/>
    <w:rsid w:val="00B348F1"/>
    <w:rsid w:val="00B357D4"/>
    <w:rsid w:val="00B50EA8"/>
    <w:rsid w:val="00B51087"/>
    <w:rsid w:val="00B51928"/>
    <w:rsid w:val="00B52DCB"/>
    <w:rsid w:val="00B53E62"/>
    <w:rsid w:val="00B574A4"/>
    <w:rsid w:val="00B62B12"/>
    <w:rsid w:val="00B6411F"/>
    <w:rsid w:val="00B71809"/>
    <w:rsid w:val="00B73852"/>
    <w:rsid w:val="00B76169"/>
    <w:rsid w:val="00B823B2"/>
    <w:rsid w:val="00B82EFC"/>
    <w:rsid w:val="00B912D8"/>
    <w:rsid w:val="00B913B3"/>
    <w:rsid w:val="00B91B29"/>
    <w:rsid w:val="00B91DC3"/>
    <w:rsid w:val="00BA27F5"/>
    <w:rsid w:val="00BA5B8A"/>
    <w:rsid w:val="00BB0626"/>
    <w:rsid w:val="00BB4477"/>
    <w:rsid w:val="00BC24A7"/>
    <w:rsid w:val="00BC647F"/>
    <w:rsid w:val="00BD2EDB"/>
    <w:rsid w:val="00BD6A07"/>
    <w:rsid w:val="00BE020B"/>
    <w:rsid w:val="00BE4869"/>
    <w:rsid w:val="00BE5C43"/>
    <w:rsid w:val="00BE6B70"/>
    <w:rsid w:val="00BE7AC1"/>
    <w:rsid w:val="00BF1AA5"/>
    <w:rsid w:val="00BF3C5E"/>
    <w:rsid w:val="00BF54E1"/>
    <w:rsid w:val="00BF72E1"/>
    <w:rsid w:val="00C047F4"/>
    <w:rsid w:val="00C101D7"/>
    <w:rsid w:val="00C11655"/>
    <w:rsid w:val="00C2513C"/>
    <w:rsid w:val="00C32C75"/>
    <w:rsid w:val="00C3490C"/>
    <w:rsid w:val="00C35D4A"/>
    <w:rsid w:val="00C362C7"/>
    <w:rsid w:val="00C412CE"/>
    <w:rsid w:val="00C42F8F"/>
    <w:rsid w:val="00C4435C"/>
    <w:rsid w:val="00C502E2"/>
    <w:rsid w:val="00C5114A"/>
    <w:rsid w:val="00C527C4"/>
    <w:rsid w:val="00C559E3"/>
    <w:rsid w:val="00C6180B"/>
    <w:rsid w:val="00C65D33"/>
    <w:rsid w:val="00C70CD1"/>
    <w:rsid w:val="00C76FDF"/>
    <w:rsid w:val="00C77571"/>
    <w:rsid w:val="00C830B3"/>
    <w:rsid w:val="00C85764"/>
    <w:rsid w:val="00C85A92"/>
    <w:rsid w:val="00C86282"/>
    <w:rsid w:val="00C866C4"/>
    <w:rsid w:val="00C86760"/>
    <w:rsid w:val="00C93A49"/>
    <w:rsid w:val="00C97B3F"/>
    <w:rsid w:val="00CA184A"/>
    <w:rsid w:val="00CB065F"/>
    <w:rsid w:val="00CB43DE"/>
    <w:rsid w:val="00CC0ECC"/>
    <w:rsid w:val="00CC1BA4"/>
    <w:rsid w:val="00CD023D"/>
    <w:rsid w:val="00CD08B4"/>
    <w:rsid w:val="00CD0FCE"/>
    <w:rsid w:val="00CD3CE5"/>
    <w:rsid w:val="00CD4652"/>
    <w:rsid w:val="00CD529E"/>
    <w:rsid w:val="00CF0EF3"/>
    <w:rsid w:val="00CF6693"/>
    <w:rsid w:val="00D01F0A"/>
    <w:rsid w:val="00D04A14"/>
    <w:rsid w:val="00D057C4"/>
    <w:rsid w:val="00D21D95"/>
    <w:rsid w:val="00D23DD2"/>
    <w:rsid w:val="00D267E2"/>
    <w:rsid w:val="00D2743B"/>
    <w:rsid w:val="00D31B04"/>
    <w:rsid w:val="00D33127"/>
    <w:rsid w:val="00D3540C"/>
    <w:rsid w:val="00D4072B"/>
    <w:rsid w:val="00D4255A"/>
    <w:rsid w:val="00D44790"/>
    <w:rsid w:val="00D44A4E"/>
    <w:rsid w:val="00D458D6"/>
    <w:rsid w:val="00D50D1B"/>
    <w:rsid w:val="00D51D4C"/>
    <w:rsid w:val="00D553C3"/>
    <w:rsid w:val="00D5737E"/>
    <w:rsid w:val="00D578C3"/>
    <w:rsid w:val="00D608CF"/>
    <w:rsid w:val="00D642BD"/>
    <w:rsid w:val="00D66EF6"/>
    <w:rsid w:val="00D71F7A"/>
    <w:rsid w:val="00D75E8D"/>
    <w:rsid w:val="00D83DEF"/>
    <w:rsid w:val="00D86754"/>
    <w:rsid w:val="00D93580"/>
    <w:rsid w:val="00D95C7B"/>
    <w:rsid w:val="00DA36CB"/>
    <w:rsid w:val="00DA3AE9"/>
    <w:rsid w:val="00DA777F"/>
    <w:rsid w:val="00DB032C"/>
    <w:rsid w:val="00DB5B21"/>
    <w:rsid w:val="00DC1235"/>
    <w:rsid w:val="00DC2D20"/>
    <w:rsid w:val="00DC62F3"/>
    <w:rsid w:val="00DC637C"/>
    <w:rsid w:val="00DD3A36"/>
    <w:rsid w:val="00DD5439"/>
    <w:rsid w:val="00DD788C"/>
    <w:rsid w:val="00DE2311"/>
    <w:rsid w:val="00DE35FC"/>
    <w:rsid w:val="00DE4B63"/>
    <w:rsid w:val="00DF06D8"/>
    <w:rsid w:val="00DF08E2"/>
    <w:rsid w:val="00DF31D7"/>
    <w:rsid w:val="00DF3D17"/>
    <w:rsid w:val="00DF67DC"/>
    <w:rsid w:val="00DF6D79"/>
    <w:rsid w:val="00E008B1"/>
    <w:rsid w:val="00E03FA6"/>
    <w:rsid w:val="00E051C0"/>
    <w:rsid w:val="00E10AF1"/>
    <w:rsid w:val="00E14D80"/>
    <w:rsid w:val="00E14FC4"/>
    <w:rsid w:val="00E20AD2"/>
    <w:rsid w:val="00E20BEB"/>
    <w:rsid w:val="00E2582E"/>
    <w:rsid w:val="00E2618D"/>
    <w:rsid w:val="00E30A16"/>
    <w:rsid w:val="00E31E30"/>
    <w:rsid w:val="00E34A16"/>
    <w:rsid w:val="00E42B3E"/>
    <w:rsid w:val="00E42DA2"/>
    <w:rsid w:val="00E44660"/>
    <w:rsid w:val="00E44887"/>
    <w:rsid w:val="00E46FD6"/>
    <w:rsid w:val="00E47FB4"/>
    <w:rsid w:val="00E52A5E"/>
    <w:rsid w:val="00E52B76"/>
    <w:rsid w:val="00E53854"/>
    <w:rsid w:val="00E60CEA"/>
    <w:rsid w:val="00E6543F"/>
    <w:rsid w:val="00E66F91"/>
    <w:rsid w:val="00E93394"/>
    <w:rsid w:val="00E96117"/>
    <w:rsid w:val="00EA38D7"/>
    <w:rsid w:val="00EA524E"/>
    <w:rsid w:val="00EA7ECC"/>
    <w:rsid w:val="00EB01E7"/>
    <w:rsid w:val="00EB0348"/>
    <w:rsid w:val="00EB0C6A"/>
    <w:rsid w:val="00EB18BB"/>
    <w:rsid w:val="00EB3B1F"/>
    <w:rsid w:val="00EB4703"/>
    <w:rsid w:val="00EC33E2"/>
    <w:rsid w:val="00EC4018"/>
    <w:rsid w:val="00EC7E57"/>
    <w:rsid w:val="00ED0958"/>
    <w:rsid w:val="00ED2E41"/>
    <w:rsid w:val="00ED55EA"/>
    <w:rsid w:val="00EF0167"/>
    <w:rsid w:val="00EF0BA0"/>
    <w:rsid w:val="00F04968"/>
    <w:rsid w:val="00F0655D"/>
    <w:rsid w:val="00F12374"/>
    <w:rsid w:val="00F1703C"/>
    <w:rsid w:val="00F265D1"/>
    <w:rsid w:val="00F26EC3"/>
    <w:rsid w:val="00F308B4"/>
    <w:rsid w:val="00F367CA"/>
    <w:rsid w:val="00F40185"/>
    <w:rsid w:val="00F44CD0"/>
    <w:rsid w:val="00F47488"/>
    <w:rsid w:val="00F476F4"/>
    <w:rsid w:val="00F5634F"/>
    <w:rsid w:val="00F61B7B"/>
    <w:rsid w:val="00F70A5D"/>
    <w:rsid w:val="00F752F0"/>
    <w:rsid w:val="00F77D14"/>
    <w:rsid w:val="00F85637"/>
    <w:rsid w:val="00F86DCD"/>
    <w:rsid w:val="00F8720F"/>
    <w:rsid w:val="00F8748B"/>
    <w:rsid w:val="00F90362"/>
    <w:rsid w:val="00F9054D"/>
    <w:rsid w:val="00F91F9C"/>
    <w:rsid w:val="00F926D5"/>
    <w:rsid w:val="00F92E9F"/>
    <w:rsid w:val="00F96AAB"/>
    <w:rsid w:val="00FA1170"/>
    <w:rsid w:val="00FA2AA7"/>
    <w:rsid w:val="00FA3EE6"/>
    <w:rsid w:val="00FA3FEB"/>
    <w:rsid w:val="00FA56E3"/>
    <w:rsid w:val="00FA7C1E"/>
    <w:rsid w:val="00FB0306"/>
    <w:rsid w:val="00FB05B2"/>
    <w:rsid w:val="00FB0F84"/>
    <w:rsid w:val="00FB1559"/>
    <w:rsid w:val="00FC37FA"/>
    <w:rsid w:val="00FC41AB"/>
    <w:rsid w:val="00FD17E4"/>
    <w:rsid w:val="00FD4216"/>
    <w:rsid w:val="00FD6745"/>
    <w:rsid w:val="00FE68F2"/>
    <w:rsid w:val="00FE6D36"/>
    <w:rsid w:val="00FE7C30"/>
    <w:rsid w:val="00FF2A96"/>
    <w:rsid w:val="00FF2CFA"/>
    <w:rsid w:val="00FF78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FC4"/>
    <w:pPr>
      <w:widowControl w:val="0"/>
      <w:autoSpaceDE w:val="0"/>
      <w:autoSpaceDN w:val="0"/>
      <w:adjustRightInd w:val="0"/>
      <w:spacing w:before="240" w:after="24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9"/>
    <w:qFormat/>
    <w:rsid w:val="009077DC"/>
    <w:pPr>
      <w:outlineLvl w:val="0"/>
    </w:pPr>
    <w:rPr>
      <w:b/>
      <w:sz w:val="28"/>
    </w:rPr>
  </w:style>
  <w:style w:type="paragraph" w:styleId="Heading2">
    <w:name w:val="heading 2"/>
    <w:basedOn w:val="Normal"/>
    <w:next w:val="Normal"/>
    <w:link w:val="Heading2Char"/>
    <w:uiPriority w:val="99"/>
    <w:qFormat/>
    <w:rsid w:val="009077DC"/>
    <w:pPr>
      <w:outlineLvl w:val="1"/>
    </w:pPr>
  </w:style>
  <w:style w:type="paragraph" w:styleId="Heading3">
    <w:name w:val="heading 3"/>
    <w:basedOn w:val="Normal"/>
    <w:next w:val="Normal"/>
    <w:link w:val="Heading3Char"/>
    <w:uiPriority w:val="99"/>
    <w:qFormat/>
    <w:rsid w:val="009077DC"/>
    <w:pPr>
      <w:outlineLvl w:val="2"/>
    </w:pPr>
  </w:style>
  <w:style w:type="paragraph" w:styleId="Heading4">
    <w:name w:val="heading 4"/>
    <w:basedOn w:val="Normal"/>
    <w:next w:val="Normal"/>
    <w:link w:val="Heading4Char"/>
    <w:uiPriority w:val="99"/>
    <w:qFormat/>
    <w:rsid w:val="009077DC"/>
    <w:pPr>
      <w:outlineLvl w:val="3"/>
    </w:pPr>
  </w:style>
  <w:style w:type="paragraph" w:styleId="Heading5">
    <w:name w:val="heading 5"/>
    <w:basedOn w:val="Normal"/>
    <w:next w:val="Normal"/>
    <w:link w:val="Heading5Char"/>
    <w:uiPriority w:val="99"/>
    <w:qFormat/>
    <w:rsid w:val="009077DC"/>
    <w:pPr>
      <w:outlineLvl w:val="4"/>
    </w:pPr>
  </w:style>
  <w:style w:type="paragraph" w:styleId="Heading6">
    <w:name w:val="heading 6"/>
    <w:basedOn w:val="Normal"/>
    <w:next w:val="Normal"/>
    <w:link w:val="Heading6Char"/>
    <w:uiPriority w:val="99"/>
    <w:qFormat/>
    <w:rsid w:val="009077DC"/>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077DC"/>
    <w:rPr>
      <w:rFonts w:ascii="Times New Roman" w:eastAsia="Times New Roman" w:hAnsi="Times New Roman" w:cs="Times New Roman"/>
      <w:b/>
      <w:sz w:val="28"/>
      <w:szCs w:val="24"/>
      <w:lang w:eastAsia="en-AU"/>
    </w:rPr>
  </w:style>
  <w:style w:type="character" w:customStyle="1" w:styleId="Heading2Char">
    <w:name w:val="Heading 2 Char"/>
    <w:basedOn w:val="DefaultParagraphFont"/>
    <w:link w:val="Heading2"/>
    <w:uiPriority w:val="99"/>
    <w:rsid w:val="009077DC"/>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9"/>
    <w:rsid w:val="009077DC"/>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9"/>
    <w:rsid w:val="009077DC"/>
    <w:rPr>
      <w:rFonts w:ascii="Times New Roman" w:eastAsia="Times New Roman" w:hAnsi="Times New Roman" w:cs="Times New Roman"/>
      <w:sz w:val="24"/>
      <w:szCs w:val="24"/>
      <w:lang w:eastAsia="en-AU"/>
    </w:rPr>
  </w:style>
  <w:style w:type="character" w:customStyle="1" w:styleId="Heading5Char">
    <w:name w:val="Heading 5 Char"/>
    <w:basedOn w:val="DefaultParagraphFont"/>
    <w:link w:val="Heading5"/>
    <w:uiPriority w:val="99"/>
    <w:rsid w:val="009077DC"/>
    <w:rPr>
      <w:rFonts w:ascii="Times New Roman" w:eastAsia="Times New Roman" w:hAnsi="Times New Roman" w:cs="Times New Roman"/>
      <w:sz w:val="24"/>
      <w:szCs w:val="24"/>
      <w:lang w:eastAsia="en-AU"/>
    </w:rPr>
  </w:style>
  <w:style w:type="character" w:customStyle="1" w:styleId="Heading6Char">
    <w:name w:val="Heading 6 Char"/>
    <w:basedOn w:val="DefaultParagraphFont"/>
    <w:link w:val="Heading6"/>
    <w:uiPriority w:val="99"/>
    <w:rsid w:val="009077DC"/>
    <w:rPr>
      <w:rFonts w:ascii="Times New Roman" w:eastAsia="Times New Roman" w:hAnsi="Times New Roman" w:cs="Times New Roman"/>
      <w:sz w:val="24"/>
      <w:szCs w:val="24"/>
      <w:lang w:eastAsia="en-AU"/>
    </w:rPr>
  </w:style>
  <w:style w:type="paragraph" w:customStyle="1" w:styleId="Style1">
    <w:name w:val="Style1"/>
    <w:basedOn w:val="Normal"/>
    <w:link w:val="Style1Char"/>
    <w:qFormat/>
    <w:rsid w:val="009077DC"/>
    <w:pPr>
      <w:keepNext/>
      <w:keepLines/>
    </w:pPr>
    <w:rPr>
      <w:b/>
      <w:bCs/>
    </w:rPr>
  </w:style>
  <w:style w:type="paragraph" w:styleId="Header">
    <w:name w:val="header"/>
    <w:basedOn w:val="Normal"/>
    <w:link w:val="HeaderChar"/>
    <w:uiPriority w:val="99"/>
    <w:unhideWhenUsed/>
    <w:rsid w:val="009077DC"/>
    <w:pPr>
      <w:tabs>
        <w:tab w:val="center" w:pos="4513"/>
        <w:tab w:val="right" w:pos="9026"/>
      </w:tabs>
      <w:spacing w:before="0" w:after="0"/>
    </w:pPr>
  </w:style>
  <w:style w:type="character" w:customStyle="1" w:styleId="HeaderChar">
    <w:name w:val="Header Char"/>
    <w:basedOn w:val="DefaultParagraphFont"/>
    <w:link w:val="Header"/>
    <w:uiPriority w:val="99"/>
    <w:rsid w:val="009077DC"/>
    <w:rPr>
      <w:rFonts w:ascii="Times New Roman" w:eastAsia="Times New Roman" w:hAnsi="Times New Roman" w:cs="Times New Roman"/>
      <w:sz w:val="24"/>
      <w:szCs w:val="24"/>
      <w:lang w:eastAsia="en-AU"/>
    </w:rPr>
  </w:style>
  <w:style w:type="character" w:customStyle="1" w:styleId="Style1Char">
    <w:name w:val="Style1 Char"/>
    <w:basedOn w:val="DefaultParagraphFont"/>
    <w:link w:val="Style1"/>
    <w:rsid w:val="009077DC"/>
    <w:rPr>
      <w:rFonts w:ascii="Times New Roman" w:eastAsia="Times New Roman" w:hAnsi="Times New Roman" w:cs="Times New Roman"/>
      <w:b/>
      <w:bCs/>
      <w:sz w:val="24"/>
      <w:szCs w:val="24"/>
      <w:lang w:eastAsia="en-AU"/>
    </w:rPr>
  </w:style>
  <w:style w:type="paragraph" w:styleId="Footer">
    <w:name w:val="footer"/>
    <w:basedOn w:val="Normal"/>
    <w:link w:val="FooterChar"/>
    <w:uiPriority w:val="99"/>
    <w:unhideWhenUsed/>
    <w:rsid w:val="009077DC"/>
    <w:pPr>
      <w:tabs>
        <w:tab w:val="center" w:pos="4513"/>
        <w:tab w:val="right" w:pos="9026"/>
      </w:tabs>
      <w:spacing w:before="0" w:after="0"/>
    </w:pPr>
  </w:style>
  <w:style w:type="character" w:customStyle="1" w:styleId="FooterChar">
    <w:name w:val="Footer Char"/>
    <w:basedOn w:val="DefaultParagraphFont"/>
    <w:link w:val="Footer"/>
    <w:uiPriority w:val="99"/>
    <w:rsid w:val="009077DC"/>
    <w:rPr>
      <w:rFonts w:ascii="Times New Roman" w:eastAsia="Times New Roman" w:hAnsi="Times New Roman" w:cs="Times New Roman"/>
      <w:sz w:val="24"/>
      <w:szCs w:val="24"/>
      <w:lang w:eastAsia="en-AU"/>
    </w:rPr>
  </w:style>
  <w:style w:type="paragraph" w:customStyle="1" w:styleId="Style2">
    <w:name w:val="Style2"/>
    <w:basedOn w:val="Normal"/>
    <w:link w:val="Style2Char"/>
    <w:qFormat/>
    <w:rsid w:val="009077DC"/>
    <w:pPr>
      <w:keepNext/>
    </w:pPr>
    <w:rPr>
      <w:u w:val="single"/>
    </w:rPr>
  </w:style>
  <w:style w:type="paragraph" w:customStyle="1" w:styleId="Style3">
    <w:name w:val="Style3"/>
    <w:basedOn w:val="Normal"/>
    <w:link w:val="Style3Char"/>
    <w:qFormat/>
    <w:rsid w:val="009077DC"/>
    <w:pPr>
      <w:spacing w:before="0"/>
      <w:ind w:right="91"/>
      <w:jc w:val="center"/>
    </w:pPr>
    <w:rPr>
      <w:b/>
      <w:bCs/>
      <w:sz w:val="28"/>
      <w:u w:val="single"/>
    </w:rPr>
  </w:style>
  <w:style w:type="character" w:customStyle="1" w:styleId="Style2Char">
    <w:name w:val="Style2 Char"/>
    <w:basedOn w:val="DefaultParagraphFont"/>
    <w:link w:val="Style2"/>
    <w:rsid w:val="009077DC"/>
    <w:rPr>
      <w:rFonts w:ascii="Times New Roman" w:eastAsia="Times New Roman" w:hAnsi="Times New Roman" w:cs="Times New Roman"/>
      <w:sz w:val="24"/>
      <w:szCs w:val="24"/>
      <w:u w:val="single"/>
      <w:lang w:eastAsia="en-AU"/>
    </w:rPr>
  </w:style>
  <w:style w:type="paragraph" w:styleId="BalloonText">
    <w:name w:val="Balloon Text"/>
    <w:basedOn w:val="Normal"/>
    <w:link w:val="BalloonTextChar"/>
    <w:uiPriority w:val="99"/>
    <w:semiHidden/>
    <w:unhideWhenUsed/>
    <w:rsid w:val="009077D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7DC"/>
    <w:rPr>
      <w:rFonts w:ascii="Tahoma" w:eastAsia="Times New Roman" w:hAnsi="Tahoma" w:cs="Tahoma"/>
      <w:sz w:val="16"/>
      <w:szCs w:val="16"/>
      <w:lang w:eastAsia="en-AU"/>
    </w:rPr>
  </w:style>
  <w:style w:type="character" w:customStyle="1" w:styleId="Style3Char">
    <w:name w:val="Style3 Char"/>
    <w:basedOn w:val="DefaultParagraphFont"/>
    <w:link w:val="Style3"/>
    <w:rsid w:val="009077DC"/>
    <w:rPr>
      <w:rFonts w:ascii="Times New Roman" w:eastAsia="Times New Roman" w:hAnsi="Times New Roman" w:cs="Times New Roman"/>
      <w:b/>
      <w:bCs/>
      <w:sz w:val="28"/>
      <w:szCs w:val="24"/>
      <w:u w:val="single"/>
      <w:lang w:eastAsia="en-AU"/>
    </w:rPr>
  </w:style>
  <w:style w:type="paragraph" w:customStyle="1" w:styleId="Bullet">
    <w:name w:val="Bullet"/>
    <w:aliases w:val="b"/>
    <w:basedOn w:val="Normal"/>
    <w:link w:val="BulletChar"/>
    <w:qFormat/>
    <w:rsid w:val="009077DC"/>
    <w:pPr>
      <w:numPr>
        <w:numId w:val="1"/>
      </w:numPr>
      <w:ind w:right="91"/>
    </w:pPr>
  </w:style>
  <w:style w:type="character" w:customStyle="1" w:styleId="BulletChar">
    <w:name w:val="Bullet Char"/>
    <w:aliases w:val="b Char"/>
    <w:basedOn w:val="DefaultParagraphFont"/>
    <w:link w:val="Bullet"/>
    <w:rsid w:val="009077DC"/>
    <w:rPr>
      <w:rFonts w:ascii="Times New Roman" w:eastAsia="Times New Roman" w:hAnsi="Times New Roman" w:cs="Times New Roman"/>
      <w:sz w:val="24"/>
      <w:szCs w:val="24"/>
      <w:lang w:eastAsia="en-AU"/>
    </w:rPr>
  </w:style>
  <w:style w:type="paragraph" w:customStyle="1" w:styleId="Dash">
    <w:name w:val="Dash"/>
    <w:basedOn w:val="Normal"/>
    <w:link w:val="DashChar"/>
    <w:qFormat/>
    <w:rsid w:val="009077DC"/>
    <w:pPr>
      <w:numPr>
        <w:ilvl w:val="1"/>
        <w:numId w:val="1"/>
      </w:numPr>
      <w:ind w:right="91"/>
    </w:pPr>
  </w:style>
  <w:style w:type="character" w:customStyle="1" w:styleId="DashChar">
    <w:name w:val="Dash Char"/>
    <w:basedOn w:val="DefaultParagraphFont"/>
    <w:link w:val="Dash"/>
    <w:rsid w:val="009077DC"/>
    <w:rPr>
      <w:rFonts w:ascii="Times New Roman" w:eastAsia="Times New Roman" w:hAnsi="Times New Roman" w:cs="Times New Roman"/>
      <w:sz w:val="24"/>
      <w:szCs w:val="24"/>
      <w:lang w:eastAsia="en-AU"/>
    </w:rPr>
  </w:style>
  <w:style w:type="paragraph" w:customStyle="1" w:styleId="DoubleDot">
    <w:name w:val="Double Dot"/>
    <w:basedOn w:val="Normal"/>
    <w:link w:val="DoubleDotChar"/>
    <w:rsid w:val="009077DC"/>
    <w:pPr>
      <w:numPr>
        <w:ilvl w:val="2"/>
        <w:numId w:val="1"/>
      </w:numPr>
      <w:ind w:right="91"/>
    </w:pPr>
  </w:style>
  <w:style w:type="character" w:customStyle="1" w:styleId="DoubleDotChar">
    <w:name w:val="Double Dot Char"/>
    <w:basedOn w:val="DefaultParagraphFont"/>
    <w:link w:val="DoubleDot"/>
    <w:rsid w:val="009077DC"/>
    <w:rPr>
      <w:rFonts w:ascii="Times New Roman" w:eastAsia="Times New Roman" w:hAnsi="Times New Roman" w:cs="Times New Roman"/>
      <w:sz w:val="24"/>
      <w:szCs w:val="24"/>
      <w:lang w:eastAsia="en-AU"/>
    </w:rPr>
  </w:style>
  <w:style w:type="paragraph" w:customStyle="1" w:styleId="Style4">
    <w:name w:val="Style4"/>
    <w:basedOn w:val="Normal"/>
    <w:link w:val="Style4Char"/>
    <w:qFormat/>
    <w:rsid w:val="009077DC"/>
    <w:pPr>
      <w:numPr>
        <w:numId w:val="2"/>
      </w:numPr>
      <w:tabs>
        <w:tab w:val="left" w:pos="567"/>
      </w:tabs>
      <w:ind w:left="567" w:hanging="567"/>
    </w:pPr>
  </w:style>
  <w:style w:type="character" w:customStyle="1" w:styleId="Style4Char">
    <w:name w:val="Style4 Char"/>
    <w:basedOn w:val="DefaultParagraphFont"/>
    <w:link w:val="Style4"/>
    <w:rsid w:val="009077DC"/>
    <w:rPr>
      <w:rFonts w:ascii="Times New Roman" w:eastAsia="Times New Roman" w:hAnsi="Times New Roman" w:cs="Times New Roman"/>
      <w:sz w:val="24"/>
      <w:szCs w:val="24"/>
      <w:lang w:eastAsia="en-AU"/>
    </w:rPr>
  </w:style>
  <w:style w:type="table" w:styleId="TableGrid">
    <w:name w:val="Table Grid"/>
    <w:basedOn w:val="TableNormal"/>
    <w:uiPriority w:val="59"/>
    <w:rsid w:val="009077DC"/>
    <w:pPr>
      <w:spacing w:after="0" w:line="240" w:lineRule="auto"/>
    </w:pPr>
    <w:rPr>
      <w:rFonts w:ascii="Calibri" w:eastAsia="Times New Roman" w:hAnsi="Calibri" w:cs="Times New Roman"/>
      <w:sz w:val="20"/>
      <w:szCs w:val="20"/>
      <w:lang w:eastAsia="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5">
    <w:name w:val="Style5"/>
    <w:basedOn w:val="Normal"/>
    <w:link w:val="Style5Char"/>
    <w:qFormat/>
    <w:rsid w:val="009077DC"/>
    <w:pPr>
      <w:keepNext/>
    </w:pPr>
    <w:rPr>
      <w:i/>
      <w:iCs/>
      <w:sz w:val="23"/>
      <w:szCs w:val="23"/>
    </w:rPr>
  </w:style>
  <w:style w:type="character" w:customStyle="1" w:styleId="Style5Char">
    <w:name w:val="Style5 Char"/>
    <w:basedOn w:val="DefaultParagraphFont"/>
    <w:link w:val="Style5"/>
    <w:rsid w:val="009077DC"/>
    <w:rPr>
      <w:rFonts w:ascii="Times New Roman" w:eastAsia="Times New Roman" w:hAnsi="Times New Roman" w:cs="Times New Roman"/>
      <w:i/>
      <w:iCs/>
      <w:sz w:val="23"/>
      <w:szCs w:val="23"/>
      <w:lang w:eastAsia="en-AU"/>
    </w:rPr>
  </w:style>
  <w:style w:type="paragraph" w:styleId="BodyText3">
    <w:name w:val="Body Text 3"/>
    <w:basedOn w:val="Normal"/>
    <w:link w:val="BodyText3Char"/>
    <w:rsid w:val="009077DC"/>
    <w:pPr>
      <w:widowControl/>
      <w:autoSpaceDE/>
      <w:autoSpaceDN/>
      <w:adjustRightInd/>
      <w:spacing w:before="0" w:after="0"/>
    </w:pPr>
    <w:rPr>
      <w:b/>
      <w:szCs w:val="20"/>
      <w:lang w:eastAsia="en-US"/>
    </w:rPr>
  </w:style>
  <w:style w:type="character" w:customStyle="1" w:styleId="BodyText3Char">
    <w:name w:val="Body Text 3 Char"/>
    <w:basedOn w:val="DefaultParagraphFont"/>
    <w:link w:val="BodyText3"/>
    <w:rsid w:val="009077DC"/>
    <w:rPr>
      <w:rFonts w:ascii="Times New Roman" w:eastAsia="Times New Roman" w:hAnsi="Times New Roman" w:cs="Times New Roman"/>
      <w:b/>
      <w:sz w:val="24"/>
      <w:szCs w:val="20"/>
    </w:rPr>
  </w:style>
  <w:style w:type="paragraph" w:styleId="NormalWeb">
    <w:name w:val="Normal (Web)"/>
    <w:basedOn w:val="Normal"/>
    <w:uiPriority w:val="99"/>
    <w:rsid w:val="009077DC"/>
    <w:pPr>
      <w:widowControl/>
      <w:autoSpaceDE/>
      <w:autoSpaceDN/>
      <w:adjustRightInd/>
      <w:spacing w:before="100" w:after="100"/>
    </w:pPr>
    <w:rPr>
      <w:rFonts w:ascii="Arial Unicode MS" w:eastAsia="Arial Unicode MS" w:hAnsi="Arial Unicode MS"/>
      <w:szCs w:val="20"/>
      <w:lang w:val="en-US" w:eastAsia="en-US"/>
    </w:rPr>
  </w:style>
  <w:style w:type="paragraph" w:customStyle="1" w:styleId="StyleHeading2TimesNewRoman">
    <w:name w:val="Style Heading 2 + Times New Roman"/>
    <w:basedOn w:val="Heading2"/>
    <w:rsid w:val="009077DC"/>
    <w:pPr>
      <w:keepNext/>
      <w:widowControl/>
      <w:autoSpaceDE/>
      <w:autoSpaceDN/>
      <w:adjustRightInd/>
      <w:spacing w:after="60"/>
    </w:pPr>
    <w:rPr>
      <w:rFonts w:cs="Arial"/>
      <w:b/>
      <w:bCs/>
      <w:iCs/>
      <w:szCs w:val="28"/>
    </w:rPr>
  </w:style>
  <w:style w:type="paragraph" w:styleId="ListParagraph">
    <w:name w:val="List Paragraph"/>
    <w:aliases w:val="List Paragraph1,Recommendation,List Paragraph11"/>
    <w:basedOn w:val="Normal"/>
    <w:link w:val="ListParagraphChar"/>
    <w:uiPriority w:val="34"/>
    <w:qFormat/>
    <w:rsid w:val="009077DC"/>
    <w:pPr>
      <w:ind w:left="720"/>
      <w:contextualSpacing/>
    </w:pPr>
  </w:style>
  <w:style w:type="paragraph" w:customStyle="1" w:styleId="Default">
    <w:name w:val="Default"/>
    <w:rsid w:val="009077DC"/>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customStyle="1" w:styleId="NumberLevel1">
    <w:name w:val="Number Level 1"/>
    <w:basedOn w:val="Normal"/>
    <w:link w:val="NumberLevel1Char"/>
    <w:rsid w:val="009077DC"/>
    <w:pPr>
      <w:widowControl/>
      <w:numPr>
        <w:numId w:val="3"/>
      </w:numPr>
      <w:autoSpaceDE/>
      <w:autoSpaceDN/>
      <w:adjustRightInd/>
      <w:spacing w:before="140" w:after="140" w:line="280" w:lineRule="atLeast"/>
    </w:pPr>
    <w:rPr>
      <w:rFonts w:ascii="Arial" w:hAnsi="Arial" w:cs="Arial"/>
      <w:sz w:val="22"/>
      <w:szCs w:val="22"/>
    </w:rPr>
  </w:style>
  <w:style w:type="paragraph" w:customStyle="1" w:styleId="NumberLevel2">
    <w:name w:val="Number Level 2"/>
    <w:basedOn w:val="Normal"/>
    <w:rsid w:val="009077DC"/>
    <w:pPr>
      <w:widowControl/>
      <w:numPr>
        <w:ilvl w:val="1"/>
        <w:numId w:val="3"/>
      </w:numPr>
      <w:autoSpaceDE/>
      <w:autoSpaceDN/>
      <w:adjustRightInd/>
      <w:spacing w:before="140" w:after="140" w:line="280" w:lineRule="atLeast"/>
    </w:pPr>
    <w:rPr>
      <w:rFonts w:ascii="Arial" w:hAnsi="Arial" w:cs="Arial"/>
      <w:sz w:val="22"/>
      <w:szCs w:val="22"/>
    </w:rPr>
  </w:style>
  <w:style w:type="paragraph" w:customStyle="1" w:styleId="NumberLevel3">
    <w:name w:val="Number Level 3"/>
    <w:basedOn w:val="Normal"/>
    <w:rsid w:val="009077DC"/>
    <w:pPr>
      <w:widowControl/>
      <w:numPr>
        <w:ilvl w:val="2"/>
        <w:numId w:val="3"/>
      </w:numPr>
      <w:autoSpaceDE/>
      <w:autoSpaceDN/>
      <w:adjustRightInd/>
      <w:spacing w:before="140" w:after="140" w:line="280" w:lineRule="atLeast"/>
    </w:pPr>
    <w:rPr>
      <w:rFonts w:ascii="Arial" w:hAnsi="Arial" w:cs="Arial"/>
      <w:sz w:val="22"/>
      <w:szCs w:val="22"/>
    </w:rPr>
  </w:style>
  <w:style w:type="paragraph" w:customStyle="1" w:styleId="NumberLevel4">
    <w:name w:val="Number Level 4"/>
    <w:basedOn w:val="Normal"/>
    <w:rsid w:val="009077DC"/>
    <w:pPr>
      <w:widowControl/>
      <w:numPr>
        <w:ilvl w:val="3"/>
        <w:numId w:val="3"/>
      </w:numPr>
      <w:autoSpaceDE/>
      <w:autoSpaceDN/>
      <w:adjustRightInd/>
      <w:spacing w:before="0" w:after="140" w:line="280" w:lineRule="atLeast"/>
    </w:pPr>
    <w:rPr>
      <w:rFonts w:ascii="Arial" w:hAnsi="Arial" w:cs="Arial"/>
      <w:sz w:val="22"/>
      <w:szCs w:val="22"/>
    </w:rPr>
  </w:style>
  <w:style w:type="paragraph" w:customStyle="1" w:styleId="NumberLevel5">
    <w:name w:val="Number Level 5"/>
    <w:basedOn w:val="Normal"/>
    <w:rsid w:val="009077DC"/>
    <w:pPr>
      <w:widowControl/>
      <w:numPr>
        <w:ilvl w:val="4"/>
        <w:numId w:val="3"/>
      </w:numPr>
      <w:autoSpaceDE/>
      <w:autoSpaceDN/>
      <w:adjustRightInd/>
      <w:spacing w:before="0" w:after="140" w:line="280" w:lineRule="atLeast"/>
    </w:pPr>
    <w:rPr>
      <w:rFonts w:ascii="Arial" w:hAnsi="Arial" w:cs="Arial"/>
      <w:sz w:val="22"/>
      <w:szCs w:val="22"/>
    </w:rPr>
  </w:style>
  <w:style w:type="paragraph" w:customStyle="1" w:styleId="NumberLevel6">
    <w:name w:val="Number Level 6"/>
    <w:basedOn w:val="NumberLevel5"/>
    <w:rsid w:val="009077DC"/>
    <w:pPr>
      <w:numPr>
        <w:ilvl w:val="5"/>
      </w:numPr>
    </w:pPr>
  </w:style>
  <w:style w:type="paragraph" w:customStyle="1" w:styleId="NumberLevel7">
    <w:name w:val="Number Level 7"/>
    <w:basedOn w:val="NumberLevel6"/>
    <w:rsid w:val="009077DC"/>
    <w:pPr>
      <w:numPr>
        <w:ilvl w:val="6"/>
      </w:numPr>
    </w:pPr>
  </w:style>
  <w:style w:type="paragraph" w:customStyle="1" w:styleId="NumberLevel8">
    <w:name w:val="Number Level 8"/>
    <w:basedOn w:val="NumberLevel7"/>
    <w:rsid w:val="009077DC"/>
    <w:pPr>
      <w:numPr>
        <w:ilvl w:val="7"/>
      </w:numPr>
    </w:pPr>
  </w:style>
  <w:style w:type="paragraph" w:customStyle="1" w:styleId="NumberLevel9">
    <w:name w:val="Number Level 9"/>
    <w:basedOn w:val="NumberLevel8"/>
    <w:rsid w:val="009077DC"/>
    <w:pPr>
      <w:numPr>
        <w:ilvl w:val="8"/>
      </w:numPr>
    </w:pPr>
  </w:style>
  <w:style w:type="paragraph" w:customStyle="1" w:styleId="paragraph">
    <w:name w:val="paragraph"/>
    <w:aliases w:val="a"/>
    <w:basedOn w:val="Normal"/>
    <w:link w:val="paragraphChar"/>
    <w:rsid w:val="009077DC"/>
    <w:pPr>
      <w:widowControl/>
      <w:tabs>
        <w:tab w:val="right" w:pos="1531"/>
      </w:tabs>
      <w:autoSpaceDE/>
      <w:autoSpaceDN/>
      <w:adjustRightInd/>
      <w:spacing w:before="40" w:after="0"/>
      <w:ind w:left="1644" w:hanging="1644"/>
    </w:pPr>
    <w:rPr>
      <w:rFonts w:eastAsia="Calibri"/>
      <w:sz w:val="22"/>
      <w:szCs w:val="20"/>
    </w:rPr>
  </w:style>
  <w:style w:type="paragraph" w:customStyle="1" w:styleId="ActHead5">
    <w:name w:val="ActHead 5"/>
    <w:aliases w:val="s"/>
    <w:basedOn w:val="Normal"/>
    <w:next w:val="subsection"/>
    <w:rsid w:val="009077DC"/>
    <w:pPr>
      <w:keepNext/>
      <w:keepLines/>
      <w:widowControl/>
      <w:autoSpaceDE/>
      <w:autoSpaceDN/>
      <w:adjustRightInd/>
      <w:spacing w:before="280" w:after="0"/>
      <w:ind w:left="1134" w:hanging="1134"/>
      <w:outlineLvl w:val="4"/>
    </w:pPr>
    <w:rPr>
      <w:rFonts w:eastAsia="Calibri"/>
      <w:b/>
      <w:kern w:val="28"/>
      <w:szCs w:val="20"/>
    </w:rPr>
  </w:style>
  <w:style w:type="character" w:customStyle="1" w:styleId="CharSectno">
    <w:name w:val="CharSectno"/>
    <w:basedOn w:val="DefaultParagraphFont"/>
    <w:rsid w:val="009077DC"/>
    <w:rPr>
      <w:rFonts w:cs="Times New Roman"/>
    </w:rPr>
  </w:style>
  <w:style w:type="paragraph" w:customStyle="1" w:styleId="subsection">
    <w:name w:val="subsection"/>
    <w:aliases w:val="ss"/>
    <w:basedOn w:val="Normal"/>
    <w:link w:val="subsectionChar"/>
    <w:rsid w:val="009077DC"/>
    <w:pPr>
      <w:widowControl/>
      <w:tabs>
        <w:tab w:val="right" w:pos="1021"/>
      </w:tabs>
      <w:autoSpaceDE/>
      <w:autoSpaceDN/>
      <w:adjustRightInd/>
      <w:spacing w:before="180" w:after="0"/>
      <w:ind w:left="1134" w:hanging="1134"/>
    </w:pPr>
    <w:rPr>
      <w:rFonts w:eastAsia="Calibri"/>
      <w:sz w:val="22"/>
      <w:szCs w:val="20"/>
    </w:rPr>
  </w:style>
  <w:style w:type="paragraph" w:customStyle="1" w:styleId="paragraphsub">
    <w:name w:val="paragraph(sub)"/>
    <w:aliases w:val="aa"/>
    <w:basedOn w:val="Normal"/>
    <w:rsid w:val="009077DC"/>
    <w:pPr>
      <w:widowControl/>
      <w:tabs>
        <w:tab w:val="right" w:pos="1985"/>
      </w:tabs>
      <w:autoSpaceDE/>
      <w:autoSpaceDN/>
      <w:adjustRightInd/>
      <w:spacing w:before="40" w:after="0"/>
      <w:ind w:left="2098" w:hanging="2098"/>
    </w:pPr>
    <w:rPr>
      <w:rFonts w:eastAsia="Calibri"/>
      <w:sz w:val="22"/>
      <w:szCs w:val="20"/>
    </w:rPr>
  </w:style>
  <w:style w:type="paragraph" w:customStyle="1" w:styleId="SubsectionHead">
    <w:name w:val="SubsectionHead"/>
    <w:aliases w:val="ssh"/>
    <w:basedOn w:val="Normal"/>
    <w:next w:val="subsection"/>
    <w:rsid w:val="009077DC"/>
    <w:pPr>
      <w:keepNext/>
      <w:keepLines/>
      <w:widowControl/>
      <w:autoSpaceDE/>
      <w:autoSpaceDN/>
      <w:adjustRightInd/>
      <w:spacing w:after="0"/>
      <w:ind w:left="1134"/>
    </w:pPr>
    <w:rPr>
      <w:rFonts w:eastAsia="Calibri"/>
      <w:i/>
      <w:sz w:val="22"/>
      <w:szCs w:val="20"/>
    </w:rPr>
  </w:style>
  <w:style w:type="paragraph" w:customStyle="1" w:styleId="OutlineNumbered1">
    <w:name w:val="Outline Numbered 1"/>
    <w:basedOn w:val="Normal"/>
    <w:link w:val="OutlineNumbered1Char"/>
    <w:rsid w:val="009077DC"/>
    <w:pPr>
      <w:numPr>
        <w:numId w:val="4"/>
      </w:numPr>
    </w:pPr>
  </w:style>
  <w:style w:type="character" w:customStyle="1" w:styleId="NumberLevel1Char">
    <w:name w:val="Number Level 1 Char"/>
    <w:basedOn w:val="DefaultParagraphFont"/>
    <w:link w:val="NumberLevel1"/>
    <w:rsid w:val="009077DC"/>
    <w:rPr>
      <w:rFonts w:ascii="Arial" w:eastAsia="Times New Roman" w:hAnsi="Arial" w:cs="Arial"/>
      <w:lang w:eastAsia="en-AU"/>
    </w:rPr>
  </w:style>
  <w:style w:type="character" w:customStyle="1" w:styleId="OutlineNumbered1Char">
    <w:name w:val="Outline Numbered 1 Char"/>
    <w:basedOn w:val="NumberLevel1Char"/>
    <w:link w:val="OutlineNumbered1"/>
    <w:rsid w:val="009077DC"/>
    <w:rPr>
      <w:rFonts w:ascii="Times New Roman" w:eastAsia="Times New Roman" w:hAnsi="Times New Roman" w:cs="Times New Roman"/>
      <w:sz w:val="24"/>
      <w:szCs w:val="24"/>
      <w:lang w:eastAsia="en-AU"/>
    </w:rPr>
  </w:style>
  <w:style w:type="paragraph" w:customStyle="1" w:styleId="OutlineNumbered2">
    <w:name w:val="Outline Numbered 2"/>
    <w:basedOn w:val="Normal"/>
    <w:link w:val="OutlineNumbered2Char"/>
    <w:rsid w:val="009077DC"/>
    <w:pPr>
      <w:numPr>
        <w:ilvl w:val="1"/>
        <w:numId w:val="4"/>
      </w:numPr>
    </w:pPr>
  </w:style>
  <w:style w:type="character" w:customStyle="1" w:styleId="OutlineNumbered2Char">
    <w:name w:val="Outline Numbered 2 Char"/>
    <w:basedOn w:val="NumberLevel1Char"/>
    <w:link w:val="OutlineNumbered2"/>
    <w:rsid w:val="009077DC"/>
    <w:rPr>
      <w:rFonts w:ascii="Times New Roman" w:eastAsia="Times New Roman" w:hAnsi="Times New Roman" w:cs="Times New Roman"/>
      <w:sz w:val="24"/>
      <w:szCs w:val="24"/>
      <w:lang w:eastAsia="en-AU"/>
    </w:rPr>
  </w:style>
  <w:style w:type="paragraph" w:customStyle="1" w:styleId="OutlineNumbered3">
    <w:name w:val="Outline Numbered 3"/>
    <w:basedOn w:val="Normal"/>
    <w:link w:val="OutlineNumbered3Char"/>
    <w:rsid w:val="009077DC"/>
    <w:pPr>
      <w:numPr>
        <w:ilvl w:val="2"/>
        <w:numId w:val="4"/>
      </w:numPr>
    </w:pPr>
  </w:style>
  <w:style w:type="character" w:customStyle="1" w:styleId="OutlineNumbered3Char">
    <w:name w:val="Outline Numbered 3 Char"/>
    <w:basedOn w:val="NumberLevel1Char"/>
    <w:link w:val="OutlineNumbered3"/>
    <w:rsid w:val="009077DC"/>
    <w:rPr>
      <w:rFonts w:ascii="Times New Roman" w:eastAsia="Times New Roman" w:hAnsi="Times New Roman" w:cs="Times New Roman"/>
      <w:sz w:val="24"/>
      <w:szCs w:val="24"/>
      <w:lang w:eastAsia="en-AU"/>
    </w:rPr>
  </w:style>
  <w:style w:type="character" w:styleId="HTMLAcronym">
    <w:name w:val="HTML Acronym"/>
    <w:basedOn w:val="DefaultParagraphFont"/>
    <w:uiPriority w:val="99"/>
    <w:semiHidden/>
    <w:unhideWhenUsed/>
    <w:rsid w:val="009077DC"/>
  </w:style>
  <w:style w:type="character" w:styleId="CommentReference">
    <w:name w:val="annotation reference"/>
    <w:basedOn w:val="DefaultParagraphFont"/>
    <w:uiPriority w:val="99"/>
    <w:unhideWhenUsed/>
    <w:rsid w:val="009077DC"/>
    <w:rPr>
      <w:sz w:val="16"/>
      <w:szCs w:val="16"/>
    </w:rPr>
  </w:style>
  <w:style w:type="paragraph" w:styleId="CommentText">
    <w:name w:val="annotation text"/>
    <w:basedOn w:val="Normal"/>
    <w:link w:val="CommentTextChar"/>
    <w:uiPriority w:val="99"/>
    <w:unhideWhenUsed/>
    <w:rsid w:val="009077DC"/>
    <w:rPr>
      <w:sz w:val="20"/>
      <w:szCs w:val="20"/>
    </w:rPr>
  </w:style>
  <w:style w:type="character" w:customStyle="1" w:styleId="CommentTextChar">
    <w:name w:val="Comment Text Char"/>
    <w:basedOn w:val="DefaultParagraphFont"/>
    <w:link w:val="CommentText"/>
    <w:uiPriority w:val="99"/>
    <w:rsid w:val="009077D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077DC"/>
    <w:rPr>
      <w:b/>
      <w:bCs/>
    </w:rPr>
  </w:style>
  <w:style w:type="character" w:customStyle="1" w:styleId="CommentSubjectChar">
    <w:name w:val="Comment Subject Char"/>
    <w:basedOn w:val="CommentTextChar"/>
    <w:link w:val="CommentSubject"/>
    <w:uiPriority w:val="99"/>
    <w:semiHidden/>
    <w:rsid w:val="009077DC"/>
    <w:rPr>
      <w:rFonts w:ascii="Times New Roman" w:eastAsia="Times New Roman" w:hAnsi="Times New Roman" w:cs="Times New Roman"/>
      <w:b/>
      <w:bCs/>
      <w:sz w:val="20"/>
      <w:szCs w:val="20"/>
      <w:lang w:eastAsia="en-AU"/>
    </w:rPr>
  </w:style>
  <w:style w:type="paragraph" w:styleId="FootnoteText">
    <w:name w:val="footnote text"/>
    <w:basedOn w:val="Normal"/>
    <w:link w:val="FootnoteTextChar"/>
    <w:uiPriority w:val="99"/>
    <w:unhideWhenUsed/>
    <w:rsid w:val="009077DC"/>
    <w:pPr>
      <w:widowControl/>
      <w:autoSpaceDE/>
      <w:autoSpaceDN/>
      <w:adjustRightInd/>
      <w:spacing w:after="0"/>
    </w:pPr>
    <w:rPr>
      <w:sz w:val="20"/>
      <w:szCs w:val="20"/>
    </w:rPr>
  </w:style>
  <w:style w:type="character" w:customStyle="1" w:styleId="FootnoteTextChar">
    <w:name w:val="Footnote Text Char"/>
    <w:basedOn w:val="DefaultParagraphFont"/>
    <w:link w:val="FootnoteText"/>
    <w:uiPriority w:val="99"/>
    <w:rsid w:val="009077DC"/>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rsid w:val="009077DC"/>
    <w:rPr>
      <w:rFonts w:ascii="Arial" w:hAnsi="Arial" w:cs="Arial"/>
      <w:sz w:val="22"/>
      <w:vertAlign w:val="superscript"/>
    </w:rPr>
  </w:style>
  <w:style w:type="character" w:styleId="Hyperlink">
    <w:name w:val="Hyperlink"/>
    <w:basedOn w:val="DefaultParagraphFont"/>
    <w:uiPriority w:val="99"/>
    <w:unhideWhenUsed/>
    <w:rsid w:val="009077DC"/>
    <w:rPr>
      <w:color w:val="0000FF" w:themeColor="hyperlink"/>
      <w:u w:val="single"/>
    </w:rPr>
  </w:style>
  <w:style w:type="paragraph" w:customStyle="1" w:styleId="PlainParagraph">
    <w:name w:val="Plain Paragraph"/>
    <w:basedOn w:val="Normal"/>
    <w:link w:val="PlainParagraphChar"/>
    <w:rsid w:val="009077DC"/>
    <w:pPr>
      <w:widowControl/>
      <w:autoSpaceDE/>
      <w:autoSpaceDN/>
      <w:adjustRightInd/>
      <w:spacing w:before="140" w:after="140" w:line="280" w:lineRule="atLeast"/>
    </w:pPr>
    <w:rPr>
      <w:rFonts w:ascii="Arial" w:hAnsi="Arial" w:cs="Arial"/>
      <w:sz w:val="22"/>
      <w:szCs w:val="22"/>
    </w:rPr>
  </w:style>
  <w:style w:type="character" w:customStyle="1" w:styleId="PlainParagraphChar">
    <w:name w:val="Plain Paragraph Char"/>
    <w:basedOn w:val="DefaultParagraphFont"/>
    <w:link w:val="PlainParagraph"/>
    <w:locked/>
    <w:rsid w:val="009077DC"/>
    <w:rPr>
      <w:rFonts w:ascii="Arial" w:eastAsia="Times New Roman" w:hAnsi="Arial" w:cs="Arial"/>
      <w:lang w:eastAsia="en-AU"/>
    </w:rPr>
  </w:style>
  <w:style w:type="paragraph" w:customStyle="1" w:styleId="base-text-paragraphnonumbers">
    <w:name w:val="base-text-paragraph no numbers"/>
    <w:basedOn w:val="Normal"/>
    <w:link w:val="base-text-paragraphnonumbersChar"/>
    <w:rsid w:val="009077DC"/>
    <w:pPr>
      <w:widowControl/>
      <w:autoSpaceDE/>
      <w:autoSpaceDN/>
      <w:adjustRightInd/>
      <w:spacing w:before="120" w:after="120"/>
      <w:ind w:left="1134"/>
    </w:pPr>
    <w:rPr>
      <w:sz w:val="22"/>
      <w:szCs w:val="20"/>
    </w:rPr>
  </w:style>
  <w:style w:type="character" w:customStyle="1" w:styleId="paragraphChar">
    <w:name w:val="paragraph Char"/>
    <w:aliases w:val="a Char"/>
    <w:basedOn w:val="DefaultParagraphFont"/>
    <w:link w:val="paragraph"/>
    <w:rsid w:val="009077DC"/>
    <w:rPr>
      <w:rFonts w:ascii="Times New Roman" w:eastAsia="Calibri" w:hAnsi="Times New Roman" w:cs="Times New Roman"/>
      <w:szCs w:val="20"/>
      <w:lang w:eastAsia="en-AU"/>
    </w:rPr>
  </w:style>
  <w:style w:type="character" w:customStyle="1" w:styleId="subsectionChar">
    <w:name w:val="subsection Char"/>
    <w:aliases w:val="ss Char"/>
    <w:basedOn w:val="DefaultParagraphFont"/>
    <w:link w:val="subsection"/>
    <w:rsid w:val="009077DC"/>
    <w:rPr>
      <w:rFonts w:ascii="Times New Roman" w:eastAsia="Calibri" w:hAnsi="Times New Roman" w:cs="Times New Roman"/>
      <w:szCs w:val="20"/>
      <w:lang w:eastAsia="en-AU"/>
    </w:rPr>
  </w:style>
  <w:style w:type="paragraph" w:customStyle="1" w:styleId="subsection2">
    <w:name w:val="subsection2"/>
    <w:aliases w:val="ss2"/>
    <w:basedOn w:val="Normal"/>
    <w:rsid w:val="009077DC"/>
    <w:pPr>
      <w:widowControl/>
      <w:autoSpaceDE/>
      <w:autoSpaceDN/>
      <w:adjustRightInd/>
      <w:spacing w:before="40" w:after="0"/>
      <w:ind w:left="1134"/>
    </w:pPr>
    <w:rPr>
      <w:rFonts w:eastAsiaTheme="minorHAnsi"/>
      <w:sz w:val="22"/>
      <w:szCs w:val="22"/>
    </w:rPr>
  </w:style>
  <w:style w:type="paragraph" w:styleId="Revision">
    <w:name w:val="Revision"/>
    <w:hidden/>
    <w:uiPriority w:val="99"/>
    <w:semiHidden/>
    <w:rsid w:val="009077DC"/>
    <w:pPr>
      <w:spacing w:after="0" w:line="240" w:lineRule="auto"/>
    </w:pPr>
    <w:rPr>
      <w:rFonts w:ascii="Times New Roman" w:eastAsia="Times New Roman" w:hAnsi="Times New Roman" w:cs="Times New Roman"/>
      <w:sz w:val="24"/>
      <w:szCs w:val="24"/>
      <w:lang w:eastAsia="en-AU"/>
    </w:rPr>
  </w:style>
  <w:style w:type="character" w:customStyle="1" w:styleId="msochangeprop0">
    <w:name w:val="msochangeprop"/>
    <w:basedOn w:val="DefaultParagraphFont"/>
    <w:rsid w:val="009077DC"/>
  </w:style>
  <w:style w:type="character" w:styleId="Strong">
    <w:name w:val="Strong"/>
    <w:basedOn w:val="DefaultParagraphFont"/>
    <w:uiPriority w:val="22"/>
    <w:qFormat/>
    <w:rsid w:val="009077DC"/>
    <w:rPr>
      <w:b/>
      <w:bCs/>
    </w:rPr>
  </w:style>
  <w:style w:type="paragraph" w:customStyle="1" w:styleId="dotpoint">
    <w:name w:val="dot point"/>
    <w:basedOn w:val="Normal"/>
    <w:link w:val="dotpointChar"/>
    <w:autoRedefine/>
    <w:rsid w:val="009C1B33"/>
    <w:pPr>
      <w:widowControl/>
      <w:numPr>
        <w:numId w:val="14"/>
      </w:numPr>
      <w:autoSpaceDE/>
      <w:autoSpaceDN/>
      <w:adjustRightInd/>
      <w:spacing w:before="120" w:after="120"/>
    </w:pPr>
    <w:rPr>
      <w:sz w:val="22"/>
      <w:szCs w:val="20"/>
    </w:rPr>
  </w:style>
  <w:style w:type="paragraph" w:customStyle="1" w:styleId="dotpoint2">
    <w:name w:val="dot point 2"/>
    <w:basedOn w:val="Normal"/>
    <w:rsid w:val="009C1B33"/>
    <w:pPr>
      <w:widowControl/>
      <w:numPr>
        <w:ilvl w:val="1"/>
        <w:numId w:val="14"/>
      </w:numPr>
      <w:autoSpaceDE/>
      <w:autoSpaceDN/>
      <w:adjustRightInd/>
      <w:spacing w:before="120" w:after="120"/>
    </w:pPr>
    <w:rPr>
      <w:sz w:val="22"/>
      <w:szCs w:val="20"/>
    </w:rPr>
  </w:style>
  <w:style w:type="numbering" w:customStyle="1" w:styleId="DotPointList">
    <w:name w:val="Dot Point List"/>
    <w:uiPriority w:val="99"/>
    <w:rsid w:val="009C1B33"/>
    <w:pPr>
      <w:numPr>
        <w:numId w:val="14"/>
      </w:numPr>
    </w:pPr>
  </w:style>
  <w:style w:type="character" w:customStyle="1" w:styleId="base-text-paragraphnonumbersChar">
    <w:name w:val="base-text-paragraph no numbers Char"/>
    <w:basedOn w:val="DefaultParagraphFont"/>
    <w:link w:val="base-text-paragraphnonumbers"/>
    <w:rsid w:val="009C1B33"/>
    <w:rPr>
      <w:rFonts w:ascii="Times New Roman" w:eastAsia="Times New Roman" w:hAnsi="Times New Roman" w:cs="Times New Roman"/>
      <w:szCs w:val="20"/>
      <w:lang w:eastAsia="en-AU"/>
    </w:rPr>
  </w:style>
  <w:style w:type="character" w:customStyle="1" w:styleId="dotpointChar">
    <w:name w:val="dot point Char"/>
    <w:basedOn w:val="DefaultParagraphFont"/>
    <w:link w:val="dotpoint"/>
    <w:rsid w:val="009C1B33"/>
    <w:rPr>
      <w:rFonts w:ascii="Times New Roman" w:eastAsia="Times New Roman" w:hAnsi="Times New Roman" w:cs="Times New Roman"/>
      <w:szCs w:val="20"/>
      <w:lang w:eastAsia="en-AU"/>
    </w:rPr>
  </w:style>
  <w:style w:type="character" w:customStyle="1" w:styleId="ListParagraphChar">
    <w:name w:val="List Paragraph Char"/>
    <w:aliases w:val="List Paragraph1 Char,Recommendation Char,List Paragraph11 Char"/>
    <w:link w:val="ListParagraph"/>
    <w:uiPriority w:val="34"/>
    <w:locked/>
    <w:rsid w:val="009B0CED"/>
    <w:rPr>
      <w:rFonts w:ascii="Times New Roman" w:eastAsia="Times New Roman" w:hAnsi="Times New Roman" w:cs="Times New Roman"/>
      <w:sz w:val="24"/>
      <w:szCs w:val="24"/>
      <w:lang w:eastAsia="en-AU"/>
    </w:rPr>
  </w:style>
  <w:style w:type="paragraph" w:styleId="ListBullet">
    <w:name w:val="List Bullet"/>
    <w:basedOn w:val="Normal"/>
    <w:uiPriority w:val="99"/>
    <w:unhideWhenUsed/>
    <w:rsid w:val="00FF2CFA"/>
    <w:pPr>
      <w:widowControl/>
      <w:numPr>
        <w:numId w:val="34"/>
      </w:numPr>
      <w:autoSpaceDE/>
      <w:autoSpaceDN/>
      <w:adjustRightInd/>
      <w:spacing w:before="120" w:after="120"/>
      <w:contextualSpacing/>
    </w:pPr>
    <w:rPr>
      <w:rFonts w:ascii="Arial" w:eastAsia="Cambria" w:hAnsi="Arial"/>
      <w:sz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FC4"/>
    <w:pPr>
      <w:widowControl w:val="0"/>
      <w:autoSpaceDE w:val="0"/>
      <w:autoSpaceDN w:val="0"/>
      <w:adjustRightInd w:val="0"/>
      <w:spacing w:before="240" w:after="24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9"/>
    <w:qFormat/>
    <w:rsid w:val="009077DC"/>
    <w:pPr>
      <w:outlineLvl w:val="0"/>
    </w:pPr>
    <w:rPr>
      <w:b/>
      <w:sz w:val="28"/>
    </w:rPr>
  </w:style>
  <w:style w:type="paragraph" w:styleId="Heading2">
    <w:name w:val="heading 2"/>
    <w:basedOn w:val="Normal"/>
    <w:next w:val="Normal"/>
    <w:link w:val="Heading2Char"/>
    <w:uiPriority w:val="99"/>
    <w:qFormat/>
    <w:rsid w:val="009077DC"/>
    <w:pPr>
      <w:outlineLvl w:val="1"/>
    </w:pPr>
  </w:style>
  <w:style w:type="paragraph" w:styleId="Heading3">
    <w:name w:val="heading 3"/>
    <w:basedOn w:val="Normal"/>
    <w:next w:val="Normal"/>
    <w:link w:val="Heading3Char"/>
    <w:uiPriority w:val="99"/>
    <w:qFormat/>
    <w:rsid w:val="009077DC"/>
    <w:pPr>
      <w:outlineLvl w:val="2"/>
    </w:pPr>
  </w:style>
  <w:style w:type="paragraph" w:styleId="Heading4">
    <w:name w:val="heading 4"/>
    <w:basedOn w:val="Normal"/>
    <w:next w:val="Normal"/>
    <w:link w:val="Heading4Char"/>
    <w:uiPriority w:val="99"/>
    <w:qFormat/>
    <w:rsid w:val="009077DC"/>
    <w:pPr>
      <w:outlineLvl w:val="3"/>
    </w:pPr>
  </w:style>
  <w:style w:type="paragraph" w:styleId="Heading5">
    <w:name w:val="heading 5"/>
    <w:basedOn w:val="Normal"/>
    <w:next w:val="Normal"/>
    <w:link w:val="Heading5Char"/>
    <w:uiPriority w:val="99"/>
    <w:qFormat/>
    <w:rsid w:val="009077DC"/>
    <w:pPr>
      <w:outlineLvl w:val="4"/>
    </w:pPr>
  </w:style>
  <w:style w:type="paragraph" w:styleId="Heading6">
    <w:name w:val="heading 6"/>
    <w:basedOn w:val="Normal"/>
    <w:next w:val="Normal"/>
    <w:link w:val="Heading6Char"/>
    <w:uiPriority w:val="99"/>
    <w:qFormat/>
    <w:rsid w:val="009077DC"/>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077DC"/>
    <w:rPr>
      <w:rFonts w:ascii="Times New Roman" w:eastAsia="Times New Roman" w:hAnsi="Times New Roman" w:cs="Times New Roman"/>
      <w:b/>
      <w:sz w:val="28"/>
      <w:szCs w:val="24"/>
      <w:lang w:eastAsia="en-AU"/>
    </w:rPr>
  </w:style>
  <w:style w:type="character" w:customStyle="1" w:styleId="Heading2Char">
    <w:name w:val="Heading 2 Char"/>
    <w:basedOn w:val="DefaultParagraphFont"/>
    <w:link w:val="Heading2"/>
    <w:uiPriority w:val="99"/>
    <w:rsid w:val="009077DC"/>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9"/>
    <w:rsid w:val="009077DC"/>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9"/>
    <w:rsid w:val="009077DC"/>
    <w:rPr>
      <w:rFonts w:ascii="Times New Roman" w:eastAsia="Times New Roman" w:hAnsi="Times New Roman" w:cs="Times New Roman"/>
      <w:sz w:val="24"/>
      <w:szCs w:val="24"/>
      <w:lang w:eastAsia="en-AU"/>
    </w:rPr>
  </w:style>
  <w:style w:type="character" w:customStyle="1" w:styleId="Heading5Char">
    <w:name w:val="Heading 5 Char"/>
    <w:basedOn w:val="DefaultParagraphFont"/>
    <w:link w:val="Heading5"/>
    <w:uiPriority w:val="99"/>
    <w:rsid w:val="009077DC"/>
    <w:rPr>
      <w:rFonts w:ascii="Times New Roman" w:eastAsia="Times New Roman" w:hAnsi="Times New Roman" w:cs="Times New Roman"/>
      <w:sz w:val="24"/>
      <w:szCs w:val="24"/>
      <w:lang w:eastAsia="en-AU"/>
    </w:rPr>
  </w:style>
  <w:style w:type="character" w:customStyle="1" w:styleId="Heading6Char">
    <w:name w:val="Heading 6 Char"/>
    <w:basedOn w:val="DefaultParagraphFont"/>
    <w:link w:val="Heading6"/>
    <w:uiPriority w:val="99"/>
    <w:rsid w:val="009077DC"/>
    <w:rPr>
      <w:rFonts w:ascii="Times New Roman" w:eastAsia="Times New Roman" w:hAnsi="Times New Roman" w:cs="Times New Roman"/>
      <w:sz w:val="24"/>
      <w:szCs w:val="24"/>
      <w:lang w:eastAsia="en-AU"/>
    </w:rPr>
  </w:style>
  <w:style w:type="paragraph" w:customStyle="1" w:styleId="Style1">
    <w:name w:val="Style1"/>
    <w:basedOn w:val="Normal"/>
    <w:link w:val="Style1Char"/>
    <w:qFormat/>
    <w:rsid w:val="009077DC"/>
    <w:pPr>
      <w:keepNext/>
      <w:keepLines/>
    </w:pPr>
    <w:rPr>
      <w:b/>
      <w:bCs/>
    </w:rPr>
  </w:style>
  <w:style w:type="paragraph" w:styleId="Header">
    <w:name w:val="header"/>
    <w:basedOn w:val="Normal"/>
    <w:link w:val="HeaderChar"/>
    <w:uiPriority w:val="99"/>
    <w:unhideWhenUsed/>
    <w:rsid w:val="009077DC"/>
    <w:pPr>
      <w:tabs>
        <w:tab w:val="center" w:pos="4513"/>
        <w:tab w:val="right" w:pos="9026"/>
      </w:tabs>
      <w:spacing w:before="0" w:after="0"/>
    </w:pPr>
  </w:style>
  <w:style w:type="character" w:customStyle="1" w:styleId="HeaderChar">
    <w:name w:val="Header Char"/>
    <w:basedOn w:val="DefaultParagraphFont"/>
    <w:link w:val="Header"/>
    <w:uiPriority w:val="99"/>
    <w:rsid w:val="009077DC"/>
    <w:rPr>
      <w:rFonts w:ascii="Times New Roman" w:eastAsia="Times New Roman" w:hAnsi="Times New Roman" w:cs="Times New Roman"/>
      <w:sz w:val="24"/>
      <w:szCs w:val="24"/>
      <w:lang w:eastAsia="en-AU"/>
    </w:rPr>
  </w:style>
  <w:style w:type="character" w:customStyle="1" w:styleId="Style1Char">
    <w:name w:val="Style1 Char"/>
    <w:basedOn w:val="DefaultParagraphFont"/>
    <w:link w:val="Style1"/>
    <w:rsid w:val="009077DC"/>
    <w:rPr>
      <w:rFonts w:ascii="Times New Roman" w:eastAsia="Times New Roman" w:hAnsi="Times New Roman" w:cs="Times New Roman"/>
      <w:b/>
      <w:bCs/>
      <w:sz w:val="24"/>
      <w:szCs w:val="24"/>
      <w:lang w:eastAsia="en-AU"/>
    </w:rPr>
  </w:style>
  <w:style w:type="paragraph" w:styleId="Footer">
    <w:name w:val="footer"/>
    <w:basedOn w:val="Normal"/>
    <w:link w:val="FooterChar"/>
    <w:uiPriority w:val="99"/>
    <w:unhideWhenUsed/>
    <w:rsid w:val="009077DC"/>
    <w:pPr>
      <w:tabs>
        <w:tab w:val="center" w:pos="4513"/>
        <w:tab w:val="right" w:pos="9026"/>
      </w:tabs>
      <w:spacing w:before="0" w:after="0"/>
    </w:pPr>
  </w:style>
  <w:style w:type="character" w:customStyle="1" w:styleId="FooterChar">
    <w:name w:val="Footer Char"/>
    <w:basedOn w:val="DefaultParagraphFont"/>
    <w:link w:val="Footer"/>
    <w:uiPriority w:val="99"/>
    <w:rsid w:val="009077DC"/>
    <w:rPr>
      <w:rFonts w:ascii="Times New Roman" w:eastAsia="Times New Roman" w:hAnsi="Times New Roman" w:cs="Times New Roman"/>
      <w:sz w:val="24"/>
      <w:szCs w:val="24"/>
      <w:lang w:eastAsia="en-AU"/>
    </w:rPr>
  </w:style>
  <w:style w:type="paragraph" w:customStyle="1" w:styleId="Style2">
    <w:name w:val="Style2"/>
    <w:basedOn w:val="Normal"/>
    <w:link w:val="Style2Char"/>
    <w:qFormat/>
    <w:rsid w:val="009077DC"/>
    <w:pPr>
      <w:keepNext/>
    </w:pPr>
    <w:rPr>
      <w:u w:val="single"/>
    </w:rPr>
  </w:style>
  <w:style w:type="paragraph" w:customStyle="1" w:styleId="Style3">
    <w:name w:val="Style3"/>
    <w:basedOn w:val="Normal"/>
    <w:link w:val="Style3Char"/>
    <w:qFormat/>
    <w:rsid w:val="009077DC"/>
    <w:pPr>
      <w:spacing w:before="0"/>
      <w:ind w:right="91"/>
      <w:jc w:val="center"/>
    </w:pPr>
    <w:rPr>
      <w:b/>
      <w:bCs/>
      <w:sz w:val="28"/>
      <w:u w:val="single"/>
    </w:rPr>
  </w:style>
  <w:style w:type="character" w:customStyle="1" w:styleId="Style2Char">
    <w:name w:val="Style2 Char"/>
    <w:basedOn w:val="DefaultParagraphFont"/>
    <w:link w:val="Style2"/>
    <w:rsid w:val="009077DC"/>
    <w:rPr>
      <w:rFonts w:ascii="Times New Roman" w:eastAsia="Times New Roman" w:hAnsi="Times New Roman" w:cs="Times New Roman"/>
      <w:sz w:val="24"/>
      <w:szCs w:val="24"/>
      <w:u w:val="single"/>
      <w:lang w:eastAsia="en-AU"/>
    </w:rPr>
  </w:style>
  <w:style w:type="paragraph" w:styleId="BalloonText">
    <w:name w:val="Balloon Text"/>
    <w:basedOn w:val="Normal"/>
    <w:link w:val="BalloonTextChar"/>
    <w:uiPriority w:val="99"/>
    <w:semiHidden/>
    <w:unhideWhenUsed/>
    <w:rsid w:val="009077D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7DC"/>
    <w:rPr>
      <w:rFonts w:ascii="Tahoma" w:eastAsia="Times New Roman" w:hAnsi="Tahoma" w:cs="Tahoma"/>
      <w:sz w:val="16"/>
      <w:szCs w:val="16"/>
      <w:lang w:eastAsia="en-AU"/>
    </w:rPr>
  </w:style>
  <w:style w:type="character" w:customStyle="1" w:styleId="Style3Char">
    <w:name w:val="Style3 Char"/>
    <w:basedOn w:val="DefaultParagraphFont"/>
    <w:link w:val="Style3"/>
    <w:rsid w:val="009077DC"/>
    <w:rPr>
      <w:rFonts w:ascii="Times New Roman" w:eastAsia="Times New Roman" w:hAnsi="Times New Roman" w:cs="Times New Roman"/>
      <w:b/>
      <w:bCs/>
      <w:sz w:val="28"/>
      <w:szCs w:val="24"/>
      <w:u w:val="single"/>
      <w:lang w:eastAsia="en-AU"/>
    </w:rPr>
  </w:style>
  <w:style w:type="paragraph" w:customStyle="1" w:styleId="Bullet">
    <w:name w:val="Bullet"/>
    <w:aliases w:val="b"/>
    <w:basedOn w:val="Normal"/>
    <w:link w:val="BulletChar"/>
    <w:qFormat/>
    <w:rsid w:val="009077DC"/>
    <w:pPr>
      <w:numPr>
        <w:numId w:val="1"/>
      </w:numPr>
      <w:ind w:right="91"/>
    </w:pPr>
  </w:style>
  <w:style w:type="character" w:customStyle="1" w:styleId="BulletChar">
    <w:name w:val="Bullet Char"/>
    <w:aliases w:val="b Char"/>
    <w:basedOn w:val="DefaultParagraphFont"/>
    <w:link w:val="Bullet"/>
    <w:rsid w:val="009077DC"/>
    <w:rPr>
      <w:rFonts w:ascii="Times New Roman" w:eastAsia="Times New Roman" w:hAnsi="Times New Roman" w:cs="Times New Roman"/>
      <w:sz w:val="24"/>
      <w:szCs w:val="24"/>
      <w:lang w:eastAsia="en-AU"/>
    </w:rPr>
  </w:style>
  <w:style w:type="paragraph" w:customStyle="1" w:styleId="Dash">
    <w:name w:val="Dash"/>
    <w:basedOn w:val="Normal"/>
    <w:link w:val="DashChar"/>
    <w:qFormat/>
    <w:rsid w:val="009077DC"/>
    <w:pPr>
      <w:numPr>
        <w:ilvl w:val="1"/>
        <w:numId w:val="1"/>
      </w:numPr>
      <w:ind w:right="91"/>
    </w:pPr>
  </w:style>
  <w:style w:type="character" w:customStyle="1" w:styleId="DashChar">
    <w:name w:val="Dash Char"/>
    <w:basedOn w:val="DefaultParagraphFont"/>
    <w:link w:val="Dash"/>
    <w:rsid w:val="009077DC"/>
    <w:rPr>
      <w:rFonts w:ascii="Times New Roman" w:eastAsia="Times New Roman" w:hAnsi="Times New Roman" w:cs="Times New Roman"/>
      <w:sz w:val="24"/>
      <w:szCs w:val="24"/>
      <w:lang w:eastAsia="en-AU"/>
    </w:rPr>
  </w:style>
  <w:style w:type="paragraph" w:customStyle="1" w:styleId="DoubleDot">
    <w:name w:val="Double Dot"/>
    <w:basedOn w:val="Normal"/>
    <w:link w:val="DoubleDotChar"/>
    <w:rsid w:val="009077DC"/>
    <w:pPr>
      <w:numPr>
        <w:ilvl w:val="2"/>
        <w:numId w:val="1"/>
      </w:numPr>
      <w:ind w:right="91"/>
    </w:pPr>
  </w:style>
  <w:style w:type="character" w:customStyle="1" w:styleId="DoubleDotChar">
    <w:name w:val="Double Dot Char"/>
    <w:basedOn w:val="DefaultParagraphFont"/>
    <w:link w:val="DoubleDot"/>
    <w:rsid w:val="009077DC"/>
    <w:rPr>
      <w:rFonts w:ascii="Times New Roman" w:eastAsia="Times New Roman" w:hAnsi="Times New Roman" w:cs="Times New Roman"/>
      <w:sz w:val="24"/>
      <w:szCs w:val="24"/>
      <w:lang w:eastAsia="en-AU"/>
    </w:rPr>
  </w:style>
  <w:style w:type="paragraph" w:customStyle="1" w:styleId="Style4">
    <w:name w:val="Style4"/>
    <w:basedOn w:val="Normal"/>
    <w:link w:val="Style4Char"/>
    <w:qFormat/>
    <w:rsid w:val="009077DC"/>
    <w:pPr>
      <w:numPr>
        <w:numId w:val="2"/>
      </w:numPr>
      <w:tabs>
        <w:tab w:val="left" w:pos="567"/>
      </w:tabs>
      <w:ind w:left="567" w:hanging="567"/>
    </w:pPr>
  </w:style>
  <w:style w:type="character" w:customStyle="1" w:styleId="Style4Char">
    <w:name w:val="Style4 Char"/>
    <w:basedOn w:val="DefaultParagraphFont"/>
    <w:link w:val="Style4"/>
    <w:rsid w:val="009077DC"/>
    <w:rPr>
      <w:rFonts w:ascii="Times New Roman" w:eastAsia="Times New Roman" w:hAnsi="Times New Roman" w:cs="Times New Roman"/>
      <w:sz w:val="24"/>
      <w:szCs w:val="24"/>
      <w:lang w:eastAsia="en-AU"/>
    </w:rPr>
  </w:style>
  <w:style w:type="table" w:styleId="TableGrid">
    <w:name w:val="Table Grid"/>
    <w:basedOn w:val="TableNormal"/>
    <w:uiPriority w:val="59"/>
    <w:rsid w:val="009077DC"/>
    <w:pPr>
      <w:spacing w:after="0" w:line="240" w:lineRule="auto"/>
    </w:pPr>
    <w:rPr>
      <w:rFonts w:ascii="Calibri" w:eastAsia="Times New Roman" w:hAnsi="Calibri" w:cs="Times New Roman"/>
      <w:sz w:val="20"/>
      <w:szCs w:val="20"/>
      <w:lang w:eastAsia="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5">
    <w:name w:val="Style5"/>
    <w:basedOn w:val="Normal"/>
    <w:link w:val="Style5Char"/>
    <w:qFormat/>
    <w:rsid w:val="009077DC"/>
    <w:pPr>
      <w:keepNext/>
    </w:pPr>
    <w:rPr>
      <w:i/>
      <w:iCs/>
      <w:sz w:val="23"/>
      <w:szCs w:val="23"/>
    </w:rPr>
  </w:style>
  <w:style w:type="character" w:customStyle="1" w:styleId="Style5Char">
    <w:name w:val="Style5 Char"/>
    <w:basedOn w:val="DefaultParagraphFont"/>
    <w:link w:val="Style5"/>
    <w:rsid w:val="009077DC"/>
    <w:rPr>
      <w:rFonts w:ascii="Times New Roman" w:eastAsia="Times New Roman" w:hAnsi="Times New Roman" w:cs="Times New Roman"/>
      <w:i/>
      <w:iCs/>
      <w:sz w:val="23"/>
      <w:szCs w:val="23"/>
      <w:lang w:eastAsia="en-AU"/>
    </w:rPr>
  </w:style>
  <w:style w:type="paragraph" w:styleId="BodyText3">
    <w:name w:val="Body Text 3"/>
    <w:basedOn w:val="Normal"/>
    <w:link w:val="BodyText3Char"/>
    <w:rsid w:val="009077DC"/>
    <w:pPr>
      <w:widowControl/>
      <w:autoSpaceDE/>
      <w:autoSpaceDN/>
      <w:adjustRightInd/>
      <w:spacing w:before="0" w:after="0"/>
    </w:pPr>
    <w:rPr>
      <w:b/>
      <w:szCs w:val="20"/>
      <w:lang w:eastAsia="en-US"/>
    </w:rPr>
  </w:style>
  <w:style w:type="character" w:customStyle="1" w:styleId="BodyText3Char">
    <w:name w:val="Body Text 3 Char"/>
    <w:basedOn w:val="DefaultParagraphFont"/>
    <w:link w:val="BodyText3"/>
    <w:rsid w:val="009077DC"/>
    <w:rPr>
      <w:rFonts w:ascii="Times New Roman" w:eastAsia="Times New Roman" w:hAnsi="Times New Roman" w:cs="Times New Roman"/>
      <w:b/>
      <w:sz w:val="24"/>
      <w:szCs w:val="20"/>
    </w:rPr>
  </w:style>
  <w:style w:type="paragraph" w:styleId="NormalWeb">
    <w:name w:val="Normal (Web)"/>
    <w:basedOn w:val="Normal"/>
    <w:uiPriority w:val="99"/>
    <w:rsid w:val="009077DC"/>
    <w:pPr>
      <w:widowControl/>
      <w:autoSpaceDE/>
      <w:autoSpaceDN/>
      <w:adjustRightInd/>
      <w:spacing w:before="100" w:after="100"/>
    </w:pPr>
    <w:rPr>
      <w:rFonts w:ascii="Arial Unicode MS" w:eastAsia="Arial Unicode MS" w:hAnsi="Arial Unicode MS"/>
      <w:szCs w:val="20"/>
      <w:lang w:val="en-US" w:eastAsia="en-US"/>
    </w:rPr>
  </w:style>
  <w:style w:type="paragraph" w:customStyle="1" w:styleId="StyleHeading2TimesNewRoman">
    <w:name w:val="Style Heading 2 + Times New Roman"/>
    <w:basedOn w:val="Heading2"/>
    <w:rsid w:val="009077DC"/>
    <w:pPr>
      <w:keepNext/>
      <w:widowControl/>
      <w:autoSpaceDE/>
      <w:autoSpaceDN/>
      <w:adjustRightInd/>
      <w:spacing w:after="60"/>
    </w:pPr>
    <w:rPr>
      <w:rFonts w:cs="Arial"/>
      <w:b/>
      <w:bCs/>
      <w:iCs/>
      <w:szCs w:val="28"/>
    </w:rPr>
  </w:style>
  <w:style w:type="paragraph" w:styleId="ListParagraph">
    <w:name w:val="List Paragraph"/>
    <w:aliases w:val="List Paragraph1,Recommendation,List Paragraph11"/>
    <w:basedOn w:val="Normal"/>
    <w:link w:val="ListParagraphChar"/>
    <w:uiPriority w:val="34"/>
    <w:qFormat/>
    <w:rsid w:val="009077DC"/>
    <w:pPr>
      <w:ind w:left="720"/>
      <w:contextualSpacing/>
    </w:pPr>
  </w:style>
  <w:style w:type="paragraph" w:customStyle="1" w:styleId="Default">
    <w:name w:val="Default"/>
    <w:rsid w:val="009077DC"/>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customStyle="1" w:styleId="NumberLevel1">
    <w:name w:val="Number Level 1"/>
    <w:basedOn w:val="Normal"/>
    <w:link w:val="NumberLevel1Char"/>
    <w:rsid w:val="009077DC"/>
    <w:pPr>
      <w:widowControl/>
      <w:numPr>
        <w:numId w:val="3"/>
      </w:numPr>
      <w:autoSpaceDE/>
      <w:autoSpaceDN/>
      <w:adjustRightInd/>
      <w:spacing w:before="140" w:after="140" w:line="280" w:lineRule="atLeast"/>
    </w:pPr>
    <w:rPr>
      <w:rFonts w:ascii="Arial" w:hAnsi="Arial" w:cs="Arial"/>
      <w:sz w:val="22"/>
      <w:szCs w:val="22"/>
    </w:rPr>
  </w:style>
  <w:style w:type="paragraph" w:customStyle="1" w:styleId="NumberLevel2">
    <w:name w:val="Number Level 2"/>
    <w:basedOn w:val="Normal"/>
    <w:rsid w:val="009077DC"/>
    <w:pPr>
      <w:widowControl/>
      <w:numPr>
        <w:ilvl w:val="1"/>
        <w:numId w:val="3"/>
      </w:numPr>
      <w:autoSpaceDE/>
      <w:autoSpaceDN/>
      <w:adjustRightInd/>
      <w:spacing w:before="140" w:after="140" w:line="280" w:lineRule="atLeast"/>
    </w:pPr>
    <w:rPr>
      <w:rFonts w:ascii="Arial" w:hAnsi="Arial" w:cs="Arial"/>
      <w:sz w:val="22"/>
      <w:szCs w:val="22"/>
    </w:rPr>
  </w:style>
  <w:style w:type="paragraph" w:customStyle="1" w:styleId="NumberLevel3">
    <w:name w:val="Number Level 3"/>
    <w:basedOn w:val="Normal"/>
    <w:rsid w:val="009077DC"/>
    <w:pPr>
      <w:widowControl/>
      <w:numPr>
        <w:ilvl w:val="2"/>
        <w:numId w:val="3"/>
      </w:numPr>
      <w:autoSpaceDE/>
      <w:autoSpaceDN/>
      <w:adjustRightInd/>
      <w:spacing w:before="140" w:after="140" w:line="280" w:lineRule="atLeast"/>
    </w:pPr>
    <w:rPr>
      <w:rFonts w:ascii="Arial" w:hAnsi="Arial" w:cs="Arial"/>
      <w:sz w:val="22"/>
      <w:szCs w:val="22"/>
    </w:rPr>
  </w:style>
  <w:style w:type="paragraph" w:customStyle="1" w:styleId="NumberLevel4">
    <w:name w:val="Number Level 4"/>
    <w:basedOn w:val="Normal"/>
    <w:rsid w:val="009077DC"/>
    <w:pPr>
      <w:widowControl/>
      <w:numPr>
        <w:ilvl w:val="3"/>
        <w:numId w:val="3"/>
      </w:numPr>
      <w:autoSpaceDE/>
      <w:autoSpaceDN/>
      <w:adjustRightInd/>
      <w:spacing w:before="0" w:after="140" w:line="280" w:lineRule="atLeast"/>
    </w:pPr>
    <w:rPr>
      <w:rFonts w:ascii="Arial" w:hAnsi="Arial" w:cs="Arial"/>
      <w:sz w:val="22"/>
      <w:szCs w:val="22"/>
    </w:rPr>
  </w:style>
  <w:style w:type="paragraph" w:customStyle="1" w:styleId="NumberLevel5">
    <w:name w:val="Number Level 5"/>
    <w:basedOn w:val="Normal"/>
    <w:rsid w:val="009077DC"/>
    <w:pPr>
      <w:widowControl/>
      <w:numPr>
        <w:ilvl w:val="4"/>
        <w:numId w:val="3"/>
      </w:numPr>
      <w:autoSpaceDE/>
      <w:autoSpaceDN/>
      <w:adjustRightInd/>
      <w:spacing w:before="0" w:after="140" w:line="280" w:lineRule="atLeast"/>
    </w:pPr>
    <w:rPr>
      <w:rFonts w:ascii="Arial" w:hAnsi="Arial" w:cs="Arial"/>
      <w:sz w:val="22"/>
      <w:szCs w:val="22"/>
    </w:rPr>
  </w:style>
  <w:style w:type="paragraph" w:customStyle="1" w:styleId="NumberLevel6">
    <w:name w:val="Number Level 6"/>
    <w:basedOn w:val="NumberLevel5"/>
    <w:rsid w:val="009077DC"/>
    <w:pPr>
      <w:numPr>
        <w:ilvl w:val="5"/>
      </w:numPr>
    </w:pPr>
  </w:style>
  <w:style w:type="paragraph" w:customStyle="1" w:styleId="NumberLevel7">
    <w:name w:val="Number Level 7"/>
    <w:basedOn w:val="NumberLevel6"/>
    <w:rsid w:val="009077DC"/>
    <w:pPr>
      <w:numPr>
        <w:ilvl w:val="6"/>
      </w:numPr>
    </w:pPr>
  </w:style>
  <w:style w:type="paragraph" w:customStyle="1" w:styleId="NumberLevel8">
    <w:name w:val="Number Level 8"/>
    <w:basedOn w:val="NumberLevel7"/>
    <w:rsid w:val="009077DC"/>
    <w:pPr>
      <w:numPr>
        <w:ilvl w:val="7"/>
      </w:numPr>
    </w:pPr>
  </w:style>
  <w:style w:type="paragraph" w:customStyle="1" w:styleId="NumberLevel9">
    <w:name w:val="Number Level 9"/>
    <w:basedOn w:val="NumberLevel8"/>
    <w:rsid w:val="009077DC"/>
    <w:pPr>
      <w:numPr>
        <w:ilvl w:val="8"/>
      </w:numPr>
    </w:pPr>
  </w:style>
  <w:style w:type="paragraph" w:customStyle="1" w:styleId="paragraph">
    <w:name w:val="paragraph"/>
    <w:aliases w:val="a"/>
    <w:basedOn w:val="Normal"/>
    <w:link w:val="paragraphChar"/>
    <w:rsid w:val="009077DC"/>
    <w:pPr>
      <w:widowControl/>
      <w:tabs>
        <w:tab w:val="right" w:pos="1531"/>
      </w:tabs>
      <w:autoSpaceDE/>
      <w:autoSpaceDN/>
      <w:adjustRightInd/>
      <w:spacing w:before="40" w:after="0"/>
      <w:ind w:left="1644" w:hanging="1644"/>
    </w:pPr>
    <w:rPr>
      <w:rFonts w:eastAsia="Calibri"/>
      <w:sz w:val="22"/>
      <w:szCs w:val="20"/>
    </w:rPr>
  </w:style>
  <w:style w:type="paragraph" w:customStyle="1" w:styleId="ActHead5">
    <w:name w:val="ActHead 5"/>
    <w:aliases w:val="s"/>
    <w:basedOn w:val="Normal"/>
    <w:next w:val="subsection"/>
    <w:rsid w:val="009077DC"/>
    <w:pPr>
      <w:keepNext/>
      <w:keepLines/>
      <w:widowControl/>
      <w:autoSpaceDE/>
      <w:autoSpaceDN/>
      <w:adjustRightInd/>
      <w:spacing w:before="280" w:after="0"/>
      <w:ind w:left="1134" w:hanging="1134"/>
      <w:outlineLvl w:val="4"/>
    </w:pPr>
    <w:rPr>
      <w:rFonts w:eastAsia="Calibri"/>
      <w:b/>
      <w:kern w:val="28"/>
      <w:szCs w:val="20"/>
    </w:rPr>
  </w:style>
  <w:style w:type="character" w:customStyle="1" w:styleId="CharSectno">
    <w:name w:val="CharSectno"/>
    <w:basedOn w:val="DefaultParagraphFont"/>
    <w:rsid w:val="009077DC"/>
    <w:rPr>
      <w:rFonts w:cs="Times New Roman"/>
    </w:rPr>
  </w:style>
  <w:style w:type="paragraph" w:customStyle="1" w:styleId="subsection">
    <w:name w:val="subsection"/>
    <w:aliases w:val="ss"/>
    <w:basedOn w:val="Normal"/>
    <w:link w:val="subsectionChar"/>
    <w:rsid w:val="009077DC"/>
    <w:pPr>
      <w:widowControl/>
      <w:tabs>
        <w:tab w:val="right" w:pos="1021"/>
      </w:tabs>
      <w:autoSpaceDE/>
      <w:autoSpaceDN/>
      <w:adjustRightInd/>
      <w:spacing w:before="180" w:after="0"/>
      <w:ind w:left="1134" w:hanging="1134"/>
    </w:pPr>
    <w:rPr>
      <w:rFonts w:eastAsia="Calibri"/>
      <w:sz w:val="22"/>
      <w:szCs w:val="20"/>
    </w:rPr>
  </w:style>
  <w:style w:type="paragraph" w:customStyle="1" w:styleId="paragraphsub">
    <w:name w:val="paragraph(sub)"/>
    <w:aliases w:val="aa"/>
    <w:basedOn w:val="Normal"/>
    <w:rsid w:val="009077DC"/>
    <w:pPr>
      <w:widowControl/>
      <w:tabs>
        <w:tab w:val="right" w:pos="1985"/>
      </w:tabs>
      <w:autoSpaceDE/>
      <w:autoSpaceDN/>
      <w:adjustRightInd/>
      <w:spacing w:before="40" w:after="0"/>
      <w:ind w:left="2098" w:hanging="2098"/>
    </w:pPr>
    <w:rPr>
      <w:rFonts w:eastAsia="Calibri"/>
      <w:sz w:val="22"/>
      <w:szCs w:val="20"/>
    </w:rPr>
  </w:style>
  <w:style w:type="paragraph" w:customStyle="1" w:styleId="SubsectionHead">
    <w:name w:val="SubsectionHead"/>
    <w:aliases w:val="ssh"/>
    <w:basedOn w:val="Normal"/>
    <w:next w:val="subsection"/>
    <w:rsid w:val="009077DC"/>
    <w:pPr>
      <w:keepNext/>
      <w:keepLines/>
      <w:widowControl/>
      <w:autoSpaceDE/>
      <w:autoSpaceDN/>
      <w:adjustRightInd/>
      <w:spacing w:after="0"/>
      <w:ind w:left="1134"/>
    </w:pPr>
    <w:rPr>
      <w:rFonts w:eastAsia="Calibri"/>
      <w:i/>
      <w:sz w:val="22"/>
      <w:szCs w:val="20"/>
    </w:rPr>
  </w:style>
  <w:style w:type="paragraph" w:customStyle="1" w:styleId="OutlineNumbered1">
    <w:name w:val="Outline Numbered 1"/>
    <w:basedOn w:val="Normal"/>
    <w:link w:val="OutlineNumbered1Char"/>
    <w:rsid w:val="009077DC"/>
    <w:pPr>
      <w:numPr>
        <w:numId w:val="4"/>
      </w:numPr>
    </w:pPr>
  </w:style>
  <w:style w:type="character" w:customStyle="1" w:styleId="NumberLevel1Char">
    <w:name w:val="Number Level 1 Char"/>
    <w:basedOn w:val="DefaultParagraphFont"/>
    <w:link w:val="NumberLevel1"/>
    <w:rsid w:val="009077DC"/>
    <w:rPr>
      <w:rFonts w:ascii="Arial" w:eastAsia="Times New Roman" w:hAnsi="Arial" w:cs="Arial"/>
      <w:lang w:eastAsia="en-AU"/>
    </w:rPr>
  </w:style>
  <w:style w:type="character" w:customStyle="1" w:styleId="OutlineNumbered1Char">
    <w:name w:val="Outline Numbered 1 Char"/>
    <w:basedOn w:val="NumberLevel1Char"/>
    <w:link w:val="OutlineNumbered1"/>
    <w:rsid w:val="009077DC"/>
    <w:rPr>
      <w:rFonts w:ascii="Times New Roman" w:eastAsia="Times New Roman" w:hAnsi="Times New Roman" w:cs="Times New Roman"/>
      <w:sz w:val="24"/>
      <w:szCs w:val="24"/>
      <w:lang w:eastAsia="en-AU"/>
    </w:rPr>
  </w:style>
  <w:style w:type="paragraph" w:customStyle="1" w:styleId="OutlineNumbered2">
    <w:name w:val="Outline Numbered 2"/>
    <w:basedOn w:val="Normal"/>
    <w:link w:val="OutlineNumbered2Char"/>
    <w:rsid w:val="009077DC"/>
    <w:pPr>
      <w:numPr>
        <w:ilvl w:val="1"/>
        <w:numId w:val="4"/>
      </w:numPr>
    </w:pPr>
  </w:style>
  <w:style w:type="character" w:customStyle="1" w:styleId="OutlineNumbered2Char">
    <w:name w:val="Outline Numbered 2 Char"/>
    <w:basedOn w:val="NumberLevel1Char"/>
    <w:link w:val="OutlineNumbered2"/>
    <w:rsid w:val="009077DC"/>
    <w:rPr>
      <w:rFonts w:ascii="Times New Roman" w:eastAsia="Times New Roman" w:hAnsi="Times New Roman" w:cs="Times New Roman"/>
      <w:sz w:val="24"/>
      <w:szCs w:val="24"/>
      <w:lang w:eastAsia="en-AU"/>
    </w:rPr>
  </w:style>
  <w:style w:type="paragraph" w:customStyle="1" w:styleId="OutlineNumbered3">
    <w:name w:val="Outline Numbered 3"/>
    <w:basedOn w:val="Normal"/>
    <w:link w:val="OutlineNumbered3Char"/>
    <w:rsid w:val="009077DC"/>
    <w:pPr>
      <w:numPr>
        <w:ilvl w:val="2"/>
        <w:numId w:val="4"/>
      </w:numPr>
    </w:pPr>
  </w:style>
  <w:style w:type="character" w:customStyle="1" w:styleId="OutlineNumbered3Char">
    <w:name w:val="Outline Numbered 3 Char"/>
    <w:basedOn w:val="NumberLevel1Char"/>
    <w:link w:val="OutlineNumbered3"/>
    <w:rsid w:val="009077DC"/>
    <w:rPr>
      <w:rFonts w:ascii="Times New Roman" w:eastAsia="Times New Roman" w:hAnsi="Times New Roman" w:cs="Times New Roman"/>
      <w:sz w:val="24"/>
      <w:szCs w:val="24"/>
      <w:lang w:eastAsia="en-AU"/>
    </w:rPr>
  </w:style>
  <w:style w:type="character" w:styleId="HTMLAcronym">
    <w:name w:val="HTML Acronym"/>
    <w:basedOn w:val="DefaultParagraphFont"/>
    <w:uiPriority w:val="99"/>
    <w:semiHidden/>
    <w:unhideWhenUsed/>
    <w:rsid w:val="009077DC"/>
  </w:style>
  <w:style w:type="character" w:styleId="CommentReference">
    <w:name w:val="annotation reference"/>
    <w:basedOn w:val="DefaultParagraphFont"/>
    <w:uiPriority w:val="99"/>
    <w:unhideWhenUsed/>
    <w:rsid w:val="009077DC"/>
    <w:rPr>
      <w:sz w:val="16"/>
      <w:szCs w:val="16"/>
    </w:rPr>
  </w:style>
  <w:style w:type="paragraph" w:styleId="CommentText">
    <w:name w:val="annotation text"/>
    <w:basedOn w:val="Normal"/>
    <w:link w:val="CommentTextChar"/>
    <w:uiPriority w:val="99"/>
    <w:unhideWhenUsed/>
    <w:rsid w:val="009077DC"/>
    <w:rPr>
      <w:sz w:val="20"/>
      <w:szCs w:val="20"/>
    </w:rPr>
  </w:style>
  <w:style w:type="character" w:customStyle="1" w:styleId="CommentTextChar">
    <w:name w:val="Comment Text Char"/>
    <w:basedOn w:val="DefaultParagraphFont"/>
    <w:link w:val="CommentText"/>
    <w:uiPriority w:val="99"/>
    <w:rsid w:val="009077D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077DC"/>
    <w:rPr>
      <w:b/>
      <w:bCs/>
    </w:rPr>
  </w:style>
  <w:style w:type="character" w:customStyle="1" w:styleId="CommentSubjectChar">
    <w:name w:val="Comment Subject Char"/>
    <w:basedOn w:val="CommentTextChar"/>
    <w:link w:val="CommentSubject"/>
    <w:uiPriority w:val="99"/>
    <w:semiHidden/>
    <w:rsid w:val="009077DC"/>
    <w:rPr>
      <w:rFonts w:ascii="Times New Roman" w:eastAsia="Times New Roman" w:hAnsi="Times New Roman" w:cs="Times New Roman"/>
      <w:b/>
      <w:bCs/>
      <w:sz w:val="20"/>
      <w:szCs w:val="20"/>
      <w:lang w:eastAsia="en-AU"/>
    </w:rPr>
  </w:style>
  <w:style w:type="paragraph" w:styleId="FootnoteText">
    <w:name w:val="footnote text"/>
    <w:basedOn w:val="Normal"/>
    <w:link w:val="FootnoteTextChar"/>
    <w:uiPriority w:val="99"/>
    <w:unhideWhenUsed/>
    <w:rsid w:val="009077DC"/>
    <w:pPr>
      <w:widowControl/>
      <w:autoSpaceDE/>
      <w:autoSpaceDN/>
      <w:adjustRightInd/>
      <w:spacing w:after="0"/>
    </w:pPr>
    <w:rPr>
      <w:sz w:val="20"/>
      <w:szCs w:val="20"/>
    </w:rPr>
  </w:style>
  <w:style w:type="character" w:customStyle="1" w:styleId="FootnoteTextChar">
    <w:name w:val="Footnote Text Char"/>
    <w:basedOn w:val="DefaultParagraphFont"/>
    <w:link w:val="FootnoteText"/>
    <w:uiPriority w:val="99"/>
    <w:rsid w:val="009077DC"/>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rsid w:val="009077DC"/>
    <w:rPr>
      <w:rFonts w:ascii="Arial" w:hAnsi="Arial" w:cs="Arial"/>
      <w:sz w:val="22"/>
      <w:vertAlign w:val="superscript"/>
    </w:rPr>
  </w:style>
  <w:style w:type="character" w:styleId="Hyperlink">
    <w:name w:val="Hyperlink"/>
    <w:basedOn w:val="DefaultParagraphFont"/>
    <w:uiPriority w:val="99"/>
    <w:unhideWhenUsed/>
    <w:rsid w:val="009077DC"/>
    <w:rPr>
      <w:color w:val="0000FF" w:themeColor="hyperlink"/>
      <w:u w:val="single"/>
    </w:rPr>
  </w:style>
  <w:style w:type="paragraph" w:customStyle="1" w:styleId="PlainParagraph">
    <w:name w:val="Plain Paragraph"/>
    <w:basedOn w:val="Normal"/>
    <w:link w:val="PlainParagraphChar"/>
    <w:rsid w:val="009077DC"/>
    <w:pPr>
      <w:widowControl/>
      <w:autoSpaceDE/>
      <w:autoSpaceDN/>
      <w:adjustRightInd/>
      <w:spacing w:before="140" w:after="140" w:line="280" w:lineRule="atLeast"/>
    </w:pPr>
    <w:rPr>
      <w:rFonts w:ascii="Arial" w:hAnsi="Arial" w:cs="Arial"/>
      <w:sz w:val="22"/>
      <w:szCs w:val="22"/>
    </w:rPr>
  </w:style>
  <w:style w:type="character" w:customStyle="1" w:styleId="PlainParagraphChar">
    <w:name w:val="Plain Paragraph Char"/>
    <w:basedOn w:val="DefaultParagraphFont"/>
    <w:link w:val="PlainParagraph"/>
    <w:locked/>
    <w:rsid w:val="009077DC"/>
    <w:rPr>
      <w:rFonts w:ascii="Arial" w:eastAsia="Times New Roman" w:hAnsi="Arial" w:cs="Arial"/>
      <w:lang w:eastAsia="en-AU"/>
    </w:rPr>
  </w:style>
  <w:style w:type="paragraph" w:customStyle="1" w:styleId="base-text-paragraphnonumbers">
    <w:name w:val="base-text-paragraph no numbers"/>
    <w:basedOn w:val="Normal"/>
    <w:link w:val="base-text-paragraphnonumbersChar"/>
    <w:rsid w:val="009077DC"/>
    <w:pPr>
      <w:widowControl/>
      <w:autoSpaceDE/>
      <w:autoSpaceDN/>
      <w:adjustRightInd/>
      <w:spacing w:before="120" w:after="120"/>
      <w:ind w:left="1134"/>
    </w:pPr>
    <w:rPr>
      <w:sz w:val="22"/>
      <w:szCs w:val="20"/>
    </w:rPr>
  </w:style>
  <w:style w:type="character" w:customStyle="1" w:styleId="paragraphChar">
    <w:name w:val="paragraph Char"/>
    <w:aliases w:val="a Char"/>
    <w:basedOn w:val="DefaultParagraphFont"/>
    <w:link w:val="paragraph"/>
    <w:rsid w:val="009077DC"/>
    <w:rPr>
      <w:rFonts w:ascii="Times New Roman" w:eastAsia="Calibri" w:hAnsi="Times New Roman" w:cs="Times New Roman"/>
      <w:szCs w:val="20"/>
      <w:lang w:eastAsia="en-AU"/>
    </w:rPr>
  </w:style>
  <w:style w:type="character" w:customStyle="1" w:styleId="subsectionChar">
    <w:name w:val="subsection Char"/>
    <w:aliases w:val="ss Char"/>
    <w:basedOn w:val="DefaultParagraphFont"/>
    <w:link w:val="subsection"/>
    <w:rsid w:val="009077DC"/>
    <w:rPr>
      <w:rFonts w:ascii="Times New Roman" w:eastAsia="Calibri" w:hAnsi="Times New Roman" w:cs="Times New Roman"/>
      <w:szCs w:val="20"/>
      <w:lang w:eastAsia="en-AU"/>
    </w:rPr>
  </w:style>
  <w:style w:type="paragraph" w:customStyle="1" w:styleId="subsection2">
    <w:name w:val="subsection2"/>
    <w:aliases w:val="ss2"/>
    <w:basedOn w:val="Normal"/>
    <w:rsid w:val="009077DC"/>
    <w:pPr>
      <w:widowControl/>
      <w:autoSpaceDE/>
      <w:autoSpaceDN/>
      <w:adjustRightInd/>
      <w:spacing w:before="40" w:after="0"/>
      <w:ind w:left="1134"/>
    </w:pPr>
    <w:rPr>
      <w:rFonts w:eastAsiaTheme="minorHAnsi"/>
      <w:sz w:val="22"/>
      <w:szCs w:val="22"/>
    </w:rPr>
  </w:style>
  <w:style w:type="paragraph" w:styleId="Revision">
    <w:name w:val="Revision"/>
    <w:hidden/>
    <w:uiPriority w:val="99"/>
    <w:semiHidden/>
    <w:rsid w:val="009077DC"/>
    <w:pPr>
      <w:spacing w:after="0" w:line="240" w:lineRule="auto"/>
    </w:pPr>
    <w:rPr>
      <w:rFonts w:ascii="Times New Roman" w:eastAsia="Times New Roman" w:hAnsi="Times New Roman" w:cs="Times New Roman"/>
      <w:sz w:val="24"/>
      <w:szCs w:val="24"/>
      <w:lang w:eastAsia="en-AU"/>
    </w:rPr>
  </w:style>
  <w:style w:type="character" w:customStyle="1" w:styleId="msochangeprop0">
    <w:name w:val="msochangeprop"/>
    <w:basedOn w:val="DefaultParagraphFont"/>
    <w:rsid w:val="009077DC"/>
  </w:style>
  <w:style w:type="character" w:styleId="Strong">
    <w:name w:val="Strong"/>
    <w:basedOn w:val="DefaultParagraphFont"/>
    <w:uiPriority w:val="22"/>
    <w:qFormat/>
    <w:rsid w:val="009077DC"/>
    <w:rPr>
      <w:b/>
      <w:bCs/>
    </w:rPr>
  </w:style>
  <w:style w:type="paragraph" w:customStyle="1" w:styleId="dotpoint">
    <w:name w:val="dot point"/>
    <w:basedOn w:val="Normal"/>
    <w:link w:val="dotpointChar"/>
    <w:autoRedefine/>
    <w:rsid w:val="009C1B33"/>
    <w:pPr>
      <w:widowControl/>
      <w:numPr>
        <w:numId w:val="14"/>
      </w:numPr>
      <w:autoSpaceDE/>
      <w:autoSpaceDN/>
      <w:adjustRightInd/>
      <w:spacing w:before="120" w:after="120"/>
    </w:pPr>
    <w:rPr>
      <w:sz w:val="22"/>
      <w:szCs w:val="20"/>
    </w:rPr>
  </w:style>
  <w:style w:type="paragraph" w:customStyle="1" w:styleId="dotpoint2">
    <w:name w:val="dot point 2"/>
    <w:basedOn w:val="Normal"/>
    <w:rsid w:val="009C1B33"/>
    <w:pPr>
      <w:widowControl/>
      <w:numPr>
        <w:ilvl w:val="1"/>
        <w:numId w:val="14"/>
      </w:numPr>
      <w:autoSpaceDE/>
      <w:autoSpaceDN/>
      <w:adjustRightInd/>
      <w:spacing w:before="120" w:after="120"/>
    </w:pPr>
    <w:rPr>
      <w:sz w:val="22"/>
      <w:szCs w:val="20"/>
    </w:rPr>
  </w:style>
  <w:style w:type="numbering" w:customStyle="1" w:styleId="DotPointList">
    <w:name w:val="Dot Point List"/>
    <w:uiPriority w:val="99"/>
    <w:rsid w:val="009C1B33"/>
    <w:pPr>
      <w:numPr>
        <w:numId w:val="14"/>
      </w:numPr>
    </w:pPr>
  </w:style>
  <w:style w:type="character" w:customStyle="1" w:styleId="base-text-paragraphnonumbersChar">
    <w:name w:val="base-text-paragraph no numbers Char"/>
    <w:basedOn w:val="DefaultParagraphFont"/>
    <w:link w:val="base-text-paragraphnonumbers"/>
    <w:rsid w:val="009C1B33"/>
    <w:rPr>
      <w:rFonts w:ascii="Times New Roman" w:eastAsia="Times New Roman" w:hAnsi="Times New Roman" w:cs="Times New Roman"/>
      <w:szCs w:val="20"/>
      <w:lang w:eastAsia="en-AU"/>
    </w:rPr>
  </w:style>
  <w:style w:type="character" w:customStyle="1" w:styleId="dotpointChar">
    <w:name w:val="dot point Char"/>
    <w:basedOn w:val="DefaultParagraphFont"/>
    <w:link w:val="dotpoint"/>
    <w:rsid w:val="009C1B33"/>
    <w:rPr>
      <w:rFonts w:ascii="Times New Roman" w:eastAsia="Times New Roman" w:hAnsi="Times New Roman" w:cs="Times New Roman"/>
      <w:szCs w:val="20"/>
      <w:lang w:eastAsia="en-AU"/>
    </w:rPr>
  </w:style>
  <w:style w:type="character" w:customStyle="1" w:styleId="ListParagraphChar">
    <w:name w:val="List Paragraph Char"/>
    <w:aliases w:val="List Paragraph1 Char,Recommendation Char,List Paragraph11 Char"/>
    <w:link w:val="ListParagraph"/>
    <w:uiPriority w:val="34"/>
    <w:locked/>
    <w:rsid w:val="009B0CED"/>
    <w:rPr>
      <w:rFonts w:ascii="Times New Roman" w:eastAsia="Times New Roman" w:hAnsi="Times New Roman" w:cs="Times New Roman"/>
      <w:sz w:val="24"/>
      <w:szCs w:val="24"/>
      <w:lang w:eastAsia="en-AU"/>
    </w:rPr>
  </w:style>
  <w:style w:type="paragraph" w:styleId="ListBullet">
    <w:name w:val="List Bullet"/>
    <w:basedOn w:val="Normal"/>
    <w:uiPriority w:val="99"/>
    <w:unhideWhenUsed/>
    <w:rsid w:val="00FF2CFA"/>
    <w:pPr>
      <w:widowControl/>
      <w:numPr>
        <w:numId w:val="34"/>
      </w:numPr>
      <w:autoSpaceDE/>
      <w:autoSpaceDN/>
      <w:adjustRightInd/>
      <w:spacing w:before="120" w:after="120"/>
      <w:contextualSpacing/>
    </w:pPr>
    <w:rPr>
      <w:rFonts w:ascii="Arial" w:eastAsia="Cambria" w:hAnsi="Arial"/>
      <w:sz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635663">
      <w:bodyDiv w:val="1"/>
      <w:marLeft w:val="0"/>
      <w:marRight w:val="0"/>
      <w:marTop w:val="0"/>
      <w:marBottom w:val="0"/>
      <w:divBdr>
        <w:top w:val="none" w:sz="0" w:space="0" w:color="auto"/>
        <w:left w:val="none" w:sz="0" w:space="0" w:color="auto"/>
        <w:bottom w:val="none" w:sz="0" w:space="0" w:color="auto"/>
        <w:right w:val="none" w:sz="0" w:space="0" w:color="auto"/>
      </w:divBdr>
    </w:div>
    <w:div w:id="532814492">
      <w:bodyDiv w:val="1"/>
      <w:marLeft w:val="0"/>
      <w:marRight w:val="0"/>
      <w:marTop w:val="0"/>
      <w:marBottom w:val="0"/>
      <w:divBdr>
        <w:top w:val="none" w:sz="0" w:space="0" w:color="auto"/>
        <w:left w:val="none" w:sz="0" w:space="0" w:color="auto"/>
        <w:bottom w:val="none" w:sz="0" w:space="0" w:color="auto"/>
        <w:right w:val="none" w:sz="0" w:space="0" w:color="auto"/>
      </w:divBdr>
    </w:div>
    <w:div w:id="636108513">
      <w:bodyDiv w:val="1"/>
      <w:marLeft w:val="0"/>
      <w:marRight w:val="0"/>
      <w:marTop w:val="0"/>
      <w:marBottom w:val="0"/>
      <w:divBdr>
        <w:top w:val="none" w:sz="0" w:space="0" w:color="auto"/>
        <w:left w:val="none" w:sz="0" w:space="0" w:color="auto"/>
        <w:bottom w:val="none" w:sz="0" w:space="0" w:color="auto"/>
        <w:right w:val="none" w:sz="0" w:space="0" w:color="auto"/>
      </w:divBdr>
    </w:div>
    <w:div w:id="843321838">
      <w:bodyDiv w:val="1"/>
      <w:marLeft w:val="0"/>
      <w:marRight w:val="0"/>
      <w:marTop w:val="0"/>
      <w:marBottom w:val="0"/>
      <w:divBdr>
        <w:top w:val="none" w:sz="0" w:space="0" w:color="auto"/>
        <w:left w:val="none" w:sz="0" w:space="0" w:color="auto"/>
        <w:bottom w:val="none" w:sz="0" w:space="0" w:color="auto"/>
        <w:right w:val="none" w:sz="0" w:space="0" w:color="auto"/>
      </w:divBdr>
    </w:div>
    <w:div w:id="1458261598">
      <w:bodyDiv w:val="1"/>
      <w:marLeft w:val="0"/>
      <w:marRight w:val="0"/>
      <w:marTop w:val="0"/>
      <w:marBottom w:val="0"/>
      <w:divBdr>
        <w:top w:val="none" w:sz="0" w:space="0" w:color="auto"/>
        <w:left w:val="none" w:sz="0" w:space="0" w:color="auto"/>
        <w:bottom w:val="none" w:sz="0" w:space="0" w:color="auto"/>
        <w:right w:val="none" w:sz="0" w:space="0" w:color="auto"/>
      </w:divBdr>
    </w:div>
    <w:div w:id="17919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3FAAD-9E7C-4AF3-873C-825A6A85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2749</Words>
  <Characters>15673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18386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Lukeman</dc:creator>
  <cp:lastModifiedBy>Davy, Gavin</cp:lastModifiedBy>
  <cp:revision>2</cp:revision>
  <cp:lastPrinted>2013-07-05T00:28:00Z</cp:lastPrinted>
  <dcterms:created xsi:type="dcterms:W3CDTF">2013-07-10T02:08:00Z</dcterms:created>
  <dcterms:modified xsi:type="dcterms:W3CDTF">2013-07-10T02:08:00Z</dcterms:modified>
</cp:coreProperties>
</file>