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B4686B" w:rsidRDefault="00193461" w:rsidP="0048364F">
      <w:pPr>
        <w:rPr>
          <w:sz w:val="28"/>
        </w:rPr>
      </w:pPr>
      <w:r w:rsidRPr="00B4686B">
        <w:rPr>
          <w:noProof/>
          <w:lang w:eastAsia="en-AU"/>
        </w:rPr>
        <w:drawing>
          <wp:inline distT="0" distB="0" distL="0" distR="0" wp14:anchorId="5F98C32C" wp14:editId="02845378">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8364F" w:rsidRPr="00B4686B" w:rsidRDefault="0048364F" w:rsidP="0048364F">
      <w:pPr>
        <w:rPr>
          <w:sz w:val="19"/>
        </w:rPr>
      </w:pPr>
    </w:p>
    <w:p w:rsidR="0048364F" w:rsidRPr="00B4686B" w:rsidRDefault="0048364F" w:rsidP="0048364F">
      <w:pPr>
        <w:rPr>
          <w:sz w:val="19"/>
        </w:rPr>
      </w:pPr>
      <w:bookmarkStart w:id="0" w:name="ConfidenceBlock"/>
      <w:bookmarkEnd w:id="0"/>
    </w:p>
    <w:p w:rsidR="0048364F" w:rsidRPr="00B4686B" w:rsidRDefault="00D20898" w:rsidP="0048364F">
      <w:pPr>
        <w:pStyle w:val="ShortT"/>
      </w:pPr>
      <w:r>
        <w:t>Energy Efficiency Opportunities Amendment Regulation 2013 (No. 1)</w:t>
      </w:r>
    </w:p>
    <w:p w:rsidR="0048364F" w:rsidRPr="00B4686B" w:rsidRDefault="0048364F" w:rsidP="0048364F"/>
    <w:p w:rsidR="0048364F" w:rsidRPr="00B4686B" w:rsidRDefault="00A4361F" w:rsidP="00680F17">
      <w:pPr>
        <w:pStyle w:val="InstNo"/>
      </w:pPr>
      <w:r w:rsidRPr="00B4686B">
        <w:t>Select Legislative Instrument</w:t>
      </w:r>
      <w:r w:rsidR="00154EAC" w:rsidRPr="00B4686B">
        <w:t xml:space="preserve"> </w:t>
      </w:r>
      <w:bookmarkStart w:id="1" w:name="BKCheck15B_1"/>
      <w:bookmarkEnd w:id="1"/>
      <w:r w:rsidR="00381481" w:rsidRPr="00B4686B">
        <w:fldChar w:fldCharType="begin"/>
      </w:r>
      <w:r w:rsidR="00381481" w:rsidRPr="00B4686B">
        <w:instrText xml:space="preserve"> DOCPROPERTY  ActNo </w:instrText>
      </w:r>
      <w:r w:rsidR="00381481" w:rsidRPr="00B4686B">
        <w:fldChar w:fldCharType="separate"/>
      </w:r>
      <w:r w:rsidR="00D20898">
        <w:t>No. 176, 2013</w:t>
      </w:r>
      <w:r w:rsidR="00381481" w:rsidRPr="00B4686B">
        <w:fldChar w:fldCharType="end"/>
      </w:r>
    </w:p>
    <w:p w:rsidR="00BA2067" w:rsidRPr="00B4686B" w:rsidRDefault="00BA2067" w:rsidP="00985945">
      <w:pPr>
        <w:pStyle w:val="SignCoverPageStart"/>
        <w:spacing w:before="240"/>
      </w:pPr>
      <w:r w:rsidRPr="00B4686B">
        <w:t>I, Quentin Bryce AC CVO, Governor</w:t>
      </w:r>
      <w:r w:rsidR="00B4686B">
        <w:noBreakHyphen/>
      </w:r>
      <w:r w:rsidRPr="00B4686B">
        <w:t xml:space="preserve">General of the Commonwealth of Australia, acting with the advice of the Federal Executive Council, make the following regulation under the </w:t>
      </w:r>
      <w:r w:rsidRPr="00B4686B">
        <w:rPr>
          <w:i/>
        </w:rPr>
        <w:t>Energy Efficiency Opportunities Act 2006</w:t>
      </w:r>
      <w:r w:rsidRPr="00B4686B">
        <w:t>.</w:t>
      </w:r>
    </w:p>
    <w:p w:rsidR="00BA2067" w:rsidRPr="00B4686B" w:rsidRDefault="00BA2067" w:rsidP="00985945">
      <w:pPr>
        <w:keepNext/>
        <w:spacing w:before="720" w:line="240" w:lineRule="atLeast"/>
        <w:ind w:right="397"/>
        <w:jc w:val="both"/>
        <w:rPr>
          <w:sz w:val="24"/>
          <w:szCs w:val="24"/>
        </w:rPr>
      </w:pPr>
      <w:r w:rsidRPr="00B4686B">
        <w:rPr>
          <w:sz w:val="24"/>
          <w:szCs w:val="24"/>
        </w:rPr>
        <w:t xml:space="preserve">Dated </w:t>
      </w:r>
      <w:bookmarkStart w:id="2" w:name="BKCheck15B_2"/>
      <w:bookmarkEnd w:id="2"/>
      <w:r w:rsidRPr="00B4686B">
        <w:rPr>
          <w:sz w:val="24"/>
          <w:szCs w:val="24"/>
        </w:rPr>
        <w:fldChar w:fldCharType="begin"/>
      </w:r>
      <w:r w:rsidRPr="00B4686B">
        <w:rPr>
          <w:sz w:val="24"/>
          <w:szCs w:val="24"/>
        </w:rPr>
        <w:instrText xml:space="preserve"> DOCPROPERTY  DateMade </w:instrText>
      </w:r>
      <w:r w:rsidRPr="00B4686B">
        <w:rPr>
          <w:sz w:val="24"/>
          <w:szCs w:val="24"/>
        </w:rPr>
        <w:fldChar w:fldCharType="separate"/>
      </w:r>
      <w:r w:rsidR="00D20898">
        <w:rPr>
          <w:sz w:val="24"/>
          <w:szCs w:val="24"/>
        </w:rPr>
        <w:t>11 July 2013</w:t>
      </w:r>
      <w:r w:rsidRPr="00B4686B">
        <w:rPr>
          <w:sz w:val="24"/>
          <w:szCs w:val="24"/>
        </w:rPr>
        <w:fldChar w:fldCharType="end"/>
      </w:r>
    </w:p>
    <w:p w:rsidR="00BA2067" w:rsidRPr="00B4686B" w:rsidRDefault="00BA2067" w:rsidP="00985945">
      <w:pPr>
        <w:keepNext/>
        <w:tabs>
          <w:tab w:val="left" w:pos="3402"/>
        </w:tabs>
        <w:spacing w:before="960" w:line="300" w:lineRule="atLeast"/>
        <w:ind w:left="397" w:right="397"/>
        <w:jc w:val="right"/>
        <w:rPr>
          <w:sz w:val="24"/>
          <w:szCs w:val="24"/>
        </w:rPr>
      </w:pPr>
      <w:r w:rsidRPr="00B4686B">
        <w:t>Quentin Bryce</w:t>
      </w:r>
    </w:p>
    <w:p w:rsidR="00BA2067" w:rsidRPr="00B4686B" w:rsidRDefault="00BA2067" w:rsidP="00985945">
      <w:pPr>
        <w:keepNext/>
        <w:tabs>
          <w:tab w:val="left" w:pos="3402"/>
        </w:tabs>
        <w:spacing w:line="300" w:lineRule="atLeast"/>
        <w:ind w:left="397" w:right="397"/>
        <w:jc w:val="right"/>
        <w:rPr>
          <w:sz w:val="24"/>
          <w:szCs w:val="24"/>
        </w:rPr>
      </w:pPr>
      <w:r w:rsidRPr="00B4686B">
        <w:rPr>
          <w:sz w:val="24"/>
          <w:szCs w:val="24"/>
        </w:rPr>
        <w:t>Governor</w:t>
      </w:r>
      <w:r w:rsidR="00B4686B">
        <w:rPr>
          <w:sz w:val="24"/>
          <w:szCs w:val="24"/>
        </w:rPr>
        <w:noBreakHyphen/>
      </w:r>
      <w:r w:rsidRPr="00B4686B">
        <w:rPr>
          <w:sz w:val="24"/>
          <w:szCs w:val="24"/>
        </w:rPr>
        <w:t>General</w:t>
      </w:r>
    </w:p>
    <w:p w:rsidR="00BA2067" w:rsidRPr="00B4686B" w:rsidRDefault="00BA2067" w:rsidP="00985945">
      <w:pPr>
        <w:keepNext/>
        <w:tabs>
          <w:tab w:val="left" w:pos="3402"/>
        </w:tabs>
        <w:spacing w:after="800" w:line="300" w:lineRule="atLeast"/>
        <w:ind w:right="397"/>
        <w:rPr>
          <w:sz w:val="24"/>
          <w:szCs w:val="24"/>
        </w:rPr>
      </w:pPr>
      <w:r w:rsidRPr="00B4686B">
        <w:rPr>
          <w:sz w:val="24"/>
          <w:szCs w:val="24"/>
        </w:rPr>
        <w:t>By Her Excellency’s Command</w:t>
      </w:r>
    </w:p>
    <w:p w:rsidR="00BA2067" w:rsidRPr="00B4686B" w:rsidRDefault="00BA2067" w:rsidP="00985945">
      <w:pPr>
        <w:keepNext/>
        <w:tabs>
          <w:tab w:val="left" w:pos="3402"/>
        </w:tabs>
        <w:spacing w:before="480" w:line="300" w:lineRule="atLeast"/>
        <w:ind w:right="397"/>
        <w:rPr>
          <w:szCs w:val="22"/>
        </w:rPr>
      </w:pPr>
      <w:r w:rsidRPr="00B4686B">
        <w:rPr>
          <w:szCs w:val="22"/>
        </w:rPr>
        <w:t>Gary Gray AO</w:t>
      </w:r>
    </w:p>
    <w:p w:rsidR="00BA2067" w:rsidRPr="00B4686B" w:rsidRDefault="00BA2067" w:rsidP="00985945">
      <w:pPr>
        <w:pStyle w:val="SignCoverPageEnd"/>
      </w:pPr>
      <w:r w:rsidRPr="00B4686B">
        <w:t>Minister for Resources and Energy</w:t>
      </w:r>
    </w:p>
    <w:p w:rsidR="00BA2067" w:rsidRPr="00B4686B" w:rsidRDefault="00BA2067">
      <w:pPr>
        <w:pStyle w:val="Tabletext"/>
      </w:pPr>
    </w:p>
    <w:p w:rsidR="00BA2067" w:rsidRPr="00B4686B" w:rsidRDefault="00BA2067" w:rsidP="00BA2067"/>
    <w:p w:rsidR="0048364F" w:rsidRPr="00B4686B" w:rsidRDefault="0048364F" w:rsidP="0048364F">
      <w:pPr>
        <w:pStyle w:val="Header"/>
        <w:tabs>
          <w:tab w:val="clear" w:pos="4150"/>
          <w:tab w:val="clear" w:pos="8307"/>
        </w:tabs>
      </w:pPr>
      <w:r w:rsidRPr="00B4686B">
        <w:rPr>
          <w:rStyle w:val="CharAmSchNo"/>
        </w:rPr>
        <w:t xml:space="preserve"> </w:t>
      </w:r>
      <w:r w:rsidRPr="00B4686B">
        <w:rPr>
          <w:rStyle w:val="CharAmSchText"/>
        </w:rPr>
        <w:t xml:space="preserve"> </w:t>
      </w:r>
    </w:p>
    <w:p w:rsidR="0048364F" w:rsidRPr="00B4686B" w:rsidRDefault="0048364F" w:rsidP="0048364F">
      <w:pPr>
        <w:pStyle w:val="Header"/>
        <w:tabs>
          <w:tab w:val="clear" w:pos="4150"/>
          <w:tab w:val="clear" w:pos="8307"/>
        </w:tabs>
      </w:pPr>
      <w:r w:rsidRPr="00B4686B">
        <w:rPr>
          <w:rStyle w:val="CharAmPartNo"/>
        </w:rPr>
        <w:t xml:space="preserve"> </w:t>
      </w:r>
      <w:r w:rsidRPr="00B4686B">
        <w:rPr>
          <w:rStyle w:val="CharAmPartText"/>
        </w:rPr>
        <w:t xml:space="preserve"> </w:t>
      </w:r>
    </w:p>
    <w:p w:rsidR="0048364F" w:rsidRPr="00B4686B" w:rsidRDefault="0048364F" w:rsidP="0048364F">
      <w:pPr>
        <w:sectPr w:rsidR="0048364F" w:rsidRPr="00B4686B" w:rsidSect="007C0FD8">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B4686B" w:rsidRDefault="0048364F" w:rsidP="003B0224">
      <w:pPr>
        <w:rPr>
          <w:sz w:val="36"/>
        </w:rPr>
      </w:pPr>
      <w:r w:rsidRPr="00B4686B">
        <w:rPr>
          <w:sz w:val="36"/>
        </w:rPr>
        <w:lastRenderedPageBreak/>
        <w:t>Contents</w:t>
      </w:r>
    </w:p>
    <w:bookmarkStart w:id="3" w:name="BKCheck15B_3"/>
    <w:bookmarkEnd w:id="3"/>
    <w:p w:rsidR="00473126" w:rsidRPr="00B4686B" w:rsidRDefault="00473126">
      <w:pPr>
        <w:pStyle w:val="TOC5"/>
        <w:rPr>
          <w:rFonts w:asciiTheme="minorHAnsi" w:eastAsiaTheme="minorEastAsia" w:hAnsiTheme="minorHAnsi" w:cstheme="minorBidi"/>
          <w:noProof/>
          <w:kern w:val="0"/>
          <w:sz w:val="22"/>
          <w:szCs w:val="22"/>
        </w:rPr>
      </w:pPr>
      <w:r w:rsidRPr="00B4686B">
        <w:fldChar w:fldCharType="begin"/>
      </w:r>
      <w:r w:rsidRPr="00B4686B">
        <w:instrText xml:space="preserve"> TOC \o "1-9" </w:instrText>
      </w:r>
      <w:r w:rsidRPr="00B4686B">
        <w:fldChar w:fldCharType="separate"/>
      </w:r>
      <w:r w:rsidRPr="00B4686B">
        <w:rPr>
          <w:noProof/>
        </w:rPr>
        <w:t>1</w:t>
      </w:r>
      <w:r w:rsidRPr="00B4686B">
        <w:rPr>
          <w:noProof/>
        </w:rPr>
        <w:tab/>
        <w:t>Name of regulation</w:t>
      </w:r>
      <w:r w:rsidRPr="00B4686B">
        <w:rPr>
          <w:noProof/>
        </w:rPr>
        <w:tab/>
      </w:r>
      <w:r w:rsidRPr="00B4686B">
        <w:rPr>
          <w:noProof/>
        </w:rPr>
        <w:fldChar w:fldCharType="begin"/>
      </w:r>
      <w:r w:rsidRPr="00B4686B">
        <w:rPr>
          <w:noProof/>
        </w:rPr>
        <w:instrText xml:space="preserve"> PAGEREF _Toc360028918 \h </w:instrText>
      </w:r>
      <w:r w:rsidRPr="00B4686B">
        <w:rPr>
          <w:noProof/>
        </w:rPr>
      </w:r>
      <w:r w:rsidRPr="00B4686B">
        <w:rPr>
          <w:noProof/>
        </w:rPr>
        <w:fldChar w:fldCharType="separate"/>
      </w:r>
      <w:r w:rsidR="00D20898">
        <w:rPr>
          <w:noProof/>
        </w:rPr>
        <w:t>1</w:t>
      </w:r>
      <w:r w:rsidRPr="00B4686B">
        <w:rPr>
          <w:noProof/>
        </w:rPr>
        <w:fldChar w:fldCharType="end"/>
      </w:r>
    </w:p>
    <w:p w:rsidR="00473126" w:rsidRPr="00B4686B" w:rsidRDefault="00473126">
      <w:pPr>
        <w:pStyle w:val="TOC5"/>
        <w:rPr>
          <w:rFonts w:asciiTheme="minorHAnsi" w:eastAsiaTheme="minorEastAsia" w:hAnsiTheme="minorHAnsi" w:cstheme="minorBidi"/>
          <w:noProof/>
          <w:kern w:val="0"/>
          <w:sz w:val="22"/>
          <w:szCs w:val="22"/>
        </w:rPr>
      </w:pPr>
      <w:r w:rsidRPr="00B4686B">
        <w:rPr>
          <w:noProof/>
        </w:rPr>
        <w:t>2</w:t>
      </w:r>
      <w:r w:rsidRPr="00B4686B">
        <w:rPr>
          <w:noProof/>
        </w:rPr>
        <w:tab/>
        <w:t>Commencement</w:t>
      </w:r>
      <w:r w:rsidRPr="00B4686B">
        <w:rPr>
          <w:noProof/>
        </w:rPr>
        <w:tab/>
      </w:r>
      <w:r w:rsidRPr="00B4686B">
        <w:rPr>
          <w:noProof/>
        </w:rPr>
        <w:fldChar w:fldCharType="begin"/>
      </w:r>
      <w:r w:rsidRPr="00B4686B">
        <w:rPr>
          <w:noProof/>
        </w:rPr>
        <w:instrText xml:space="preserve"> PAGEREF _Toc360028919 \h </w:instrText>
      </w:r>
      <w:r w:rsidRPr="00B4686B">
        <w:rPr>
          <w:noProof/>
        </w:rPr>
      </w:r>
      <w:r w:rsidRPr="00B4686B">
        <w:rPr>
          <w:noProof/>
        </w:rPr>
        <w:fldChar w:fldCharType="separate"/>
      </w:r>
      <w:r w:rsidR="00D20898">
        <w:rPr>
          <w:noProof/>
        </w:rPr>
        <w:t>1</w:t>
      </w:r>
      <w:r w:rsidRPr="00B4686B">
        <w:rPr>
          <w:noProof/>
        </w:rPr>
        <w:fldChar w:fldCharType="end"/>
      </w:r>
    </w:p>
    <w:p w:rsidR="00473126" w:rsidRPr="00B4686B" w:rsidRDefault="00473126">
      <w:pPr>
        <w:pStyle w:val="TOC5"/>
        <w:rPr>
          <w:rFonts w:asciiTheme="minorHAnsi" w:eastAsiaTheme="minorEastAsia" w:hAnsiTheme="minorHAnsi" w:cstheme="minorBidi"/>
          <w:noProof/>
          <w:kern w:val="0"/>
          <w:sz w:val="22"/>
          <w:szCs w:val="22"/>
        </w:rPr>
      </w:pPr>
      <w:r w:rsidRPr="00B4686B">
        <w:rPr>
          <w:noProof/>
        </w:rPr>
        <w:t>3</w:t>
      </w:r>
      <w:r w:rsidRPr="00B4686B">
        <w:rPr>
          <w:noProof/>
        </w:rPr>
        <w:tab/>
        <w:t>Authority</w:t>
      </w:r>
      <w:r w:rsidRPr="00B4686B">
        <w:rPr>
          <w:noProof/>
        </w:rPr>
        <w:tab/>
      </w:r>
      <w:r w:rsidRPr="00B4686B">
        <w:rPr>
          <w:noProof/>
        </w:rPr>
        <w:fldChar w:fldCharType="begin"/>
      </w:r>
      <w:r w:rsidRPr="00B4686B">
        <w:rPr>
          <w:noProof/>
        </w:rPr>
        <w:instrText xml:space="preserve"> PAGEREF _Toc360028920 \h </w:instrText>
      </w:r>
      <w:r w:rsidRPr="00B4686B">
        <w:rPr>
          <w:noProof/>
        </w:rPr>
      </w:r>
      <w:r w:rsidRPr="00B4686B">
        <w:rPr>
          <w:noProof/>
        </w:rPr>
        <w:fldChar w:fldCharType="separate"/>
      </w:r>
      <w:r w:rsidR="00D20898">
        <w:rPr>
          <w:noProof/>
        </w:rPr>
        <w:t>1</w:t>
      </w:r>
      <w:r w:rsidRPr="00B4686B">
        <w:rPr>
          <w:noProof/>
        </w:rPr>
        <w:fldChar w:fldCharType="end"/>
      </w:r>
    </w:p>
    <w:p w:rsidR="00473126" w:rsidRPr="00B4686B" w:rsidRDefault="00473126">
      <w:pPr>
        <w:pStyle w:val="TOC5"/>
        <w:rPr>
          <w:rFonts w:asciiTheme="minorHAnsi" w:eastAsiaTheme="minorEastAsia" w:hAnsiTheme="minorHAnsi" w:cstheme="minorBidi"/>
          <w:noProof/>
          <w:kern w:val="0"/>
          <w:sz w:val="22"/>
          <w:szCs w:val="22"/>
        </w:rPr>
      </w:pPr>
      <w:r w:rsidRPr="00B4686B">
        <w:rPr>
          <w:noProof/>
        </w:rPr>
        <w:t>4</w:t>
      </w:r>
      <w:r w:rsidRPr="00B4686B">
        <w:rPr>
          <w:noProof/>
        </w:rPr>
        <w:tab/>
        <w:t>Schedule(s)</w:t>
      </w:r>
      <w:r w:rsidRPr="00B4686B">
        <w:rPr>
          <w:noProof/>
        </w:rPr>
        <w:tab/>
      </w:r>
      <w:r w:rsidRPr="00B4686B">
        <w:rPr>
          <w:noProof/>
        </w:rPr>
        <w:fldChar w:fldCharType="begin"/>
      </w:r>
      <w:r w:rsidRPr="00B4686B">
        <w:rPr>
          <w:noProof/>
        </w:rPr>
        <w:instrText xml:space="preserve"> PAGEREF _Toc360028921 \h </w:instrText>
      </w:r>
      <w:r w:rsidRPr="00B4686B">
        <w:rPr>
          <w:noProof/>
        </w:rPr>
      </w:r>
      <w:r w:rsidRPr="00B4686B">
        <w:rPr>
          <w:noProof/>
        </w:rPr>
        <w:fldChar w:fldCharType="separate"/>
      </w:r>
      <w:r w:rsidR="00D20898">
        <w:rPr>
          <w:noProof/>
        </w:rPr>
        <w:t>1</w:t>
      </w:r>
      <w:r w:rsidRPr="00B4686B">
        <w:rPr>
          <w:noProof/>
        </w:rPr>
        <w:fldChar w:fldCharType="end"/>
      </w:r>
    </w:p>
    <w:p w:rsidR="00473126" w:rsidRPr="00B4686B" w:rsidRDefault="00473126">
      <w:pPr>
        <w:pStyle w:val="TOC6"/>
        <w:rPr>
          <w:rFonts w:asciiTheme="minorHAnsi" w:eastAsiaTheme="minorEastAsia" w:hAnsiTheme="minorHAnsi" w:cstheme="minorBidi"/>
          <w:b w:val="0"/>
          <w:noProof/>
          <w:kern w:val="0"/>
          <w:sz w:val="22"/>
          <w:szCs w:val="22"/>
        </w:rPr>
      </w:pPr>
      <w:r w:rsidRPr="00B4686B">
        <w:rPr>
          <w:noProof/>
        </w:rPr>
        <w:t>Schedule</w:t>
      </w:r>
      <w:r w:rsidR="00B4686B" w:rsidRPr="00B4686B">
        <w:rPr>
          <w:noProof/>
        </w:rPr>
        <w:t> </w:t>
      </w:r>
      <w:r w:rsidRPr="00B4686B">
        <w:rPr>
          <w:noProof/>
        </w:rPr>
        <w:t>1—Amendments</w:t>
      </w:r>
      <w:r w:rsidRPr="00B4686B">
        <w:rPr>
          <w:b w:val="0"/>
          <w:noProof/>
          <w:sz w:val="18"/>
        </w:rPr>
        <w:tab/>
      </w:r>
      <w:r w:rsidRPr="00B4686B">
        <w:rPr>
          <w:b w:val="0"/>
          <w:noProof/>
          <w:sz w:val="18"/>
        </w:rPr>
        <w:fldChar w:fldCharType="begin"/>
      </w:r>
      <w:r w:rsidRPr="00B4686B">
        <w:rPr>
          <w:b w:val="0"/>
          <w:noProof/>
          <w:sz w:val="18"/>
        </w:rPr>
        <w:instrText xml:space="preserve"> PAGEREF _Toc360028922 \h </w:instrText>
      </w:r>
      <w:r w:rsidRPr="00B4686B">
        <w:rPr>
          <w:b w:val="0"/>
          <w:noProof/>
          <w:sz w:val="18"/>
        </w:rPr>
      </w:r>
      <w:r w:rsidRPr="00B4686B">
        <w:rPr>
          <w:b w:val="0"/>
          <w:noProof/>
          <w:sz w:val="18"/>
        </w:rPr>
        <w:fldChar w:fldCharType="separate"/>
      </w:r>
      <w:r w:rsidR="00D20898">
        <w:rPr>
          <w:b w:val="0"/>
          <w:noProof/>
          <w:sz w:val="18"/>
        </w:rPr>
        <w:t>2</w:t>
      </w:r>
      <w:r w:rsidRPr="00B4686B">
        <w:rPr>
          <w:b w:val="0"/>
          <w:noProof/>
          <w:sz w:val="18"/>
        </w:rPr>
        <w:fldChar w:fldCharType="end"/>
      </w:r>
    </w:p>
    <w:p w:rsidR="00473126" w:rsidRPr="00B4686B" w:rsidRDefault="00473126">
      <w:pPr>
        <w:pStyle w:val="TOC9"/>
        <w:rPr>
          <w:rFonts w:asciiTheme="minorHAnsi" w:eastAsiaTheme="minorEastAsia" w:hAnsiTheme="minorHAnsi" w:cstheme="minorBidi"/>
          <w:i w:val="0"/>
          <w:noProof/>
          <w:kern w:val="0"/>
          <w:sz w:val="22"/>
          <w:szCs w:val="22"/>
        </w:rPr>
      </w:pPr>
      <w:r w:rsidRPr="00B4686B">
        <w:rPr>
          <w:noProof/>
        </w:rPr>
        <w:t>Energy Efficiency Opportunities Regulations</w:t>
      </w:r>
      <w:r w:rsidR="00B4686B" w:rsidRPr="00B4686B">
        <w:rPr>
          <w:noProof/>
        </w:rPr>
        <w:t> </w:t>
      </w:r>
      <w:r w:rsidRPr="00B4686B">
        <w:rPr>
          <w:noProof/>
        </w:rPr>
        <w:t>2006</w:t>
      </w:r>
      <w:r w:rsidRPr="00B4686B">
        <w:rPr>
          <w:i w:val="0"/>
          <w:noProof/>
          <w:sz w:val="18"/>
        </w:rPr>
        <w:tab/>
      </w:r>
      <w:r w:rsidRPr="00B4686B">
        <w:rPr>
          <w:i w:val="0"/>
          <w:noProof/>
          <w:sz w:val="18"/>
        </w:rPr>
        <w:fldChar w:fldCharType="begin"/>
      </w:r>
      <w:r w:rsidRPr="00B4686B">
        <w:rPr>
          <w:i w:val="0"/>
          <w:noProof/>
          <w:sz w:val="18"/>
        </w:rPr>
        <w:instrText xml:space="preserve"> PAGEREF _Toc360028923 \h </w:instrText>
      </w:r>
      <w:r w:rsidRPr="00B4686B">
        <w:rPr>
          <w:i w:val="0"/>
          <w:noProof/>
          <w:sz w:val="18"/>
        </w:rPr>
      </w:r>
      <w:r w:rsidRPr="00B4686B">
        <w:rPr>
          <w:i w:val="0"/>
          <w:noProof/>
          <w:sz w:val="18"/>
        </w:rPr>
        <w:fldChar w:fldCharType="separate"/>
      </w:r>
      <w:r w:rsidR="00D20898">
        <w:rPr>
          <w:i w:val="0"/>
          <w:noProof/>
          <w:sz w:val="18"/>
        </w:rPr>
        <w:t>2</w:t>
      </w:r>
      <w:r w:rsidRPr="00B4686B">
        <w:rPr>
          <w:i w:val="0"/>
          <w:noProof/>
          <w:sz w:val="18"/>
        </w:rPr>
        <w:fldChar w:fldCharType="end"/>
      </w:r>
    </w:p>
    <w:p w:rsidR="00833416" w:rsidRPr="00B4686B" w:rsidRDefault="00473126" w:rsidP="0048364F">
      <w:r w:rsidRPr="00B4686B">
        <w:fldChar w:fldCharType="end"/>
      </w:r>
    </w:p>
    <w:p w:rsidR="00722023" w:rsidRPr="00B4686B" w:rsidRDefault="00722023" w:rsidP="0048364F">
      <w:pPr>
        <w:sectPr w:rsidR="00722023" w:rsidRPr="00B4686B" w:rsidSect="007C0FD8">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B4686B" w:rsidRDefault="0048364F" w:rsidP="0048364F">
      <w:pPr>
        <w:pStyle w:val="ActHead5"/>
      </w:pPr>
      <w:bookmarkStart w:id="4" w:name="_Toc360028918"/>
      <w:r w:rsidRPr="00B4686B">
        <w:rPr>
          <w:rStyle w:val="CharSectno"/>
        </w:rPr>
        <w:lastRenderedPageBreak/>
        <w:t>1</w:t>
      </w:r>
      <w:r w:rsidRPr="00B4686B">
        <w:t xml:space="preserve">  </w:t>
      </w:r>
      <w:r w:rsidR="004F676E" w:rsidRPr="00B4686B">
        <w:t xml:space="preserve">Name of </w:t>
      </w:r>
      <w:r w:rsidR="006232A3" w:rsidRPr="00B4686B">
        <w:t>regulation</w:t>
      </w:r>
      <w:bookmarkEnd w:id="4"/>
    </w:p>
    <w:p w:rsidR="0048364F" w:rsidRPr="00B4686B" w:rsidRDefault="0048364F" w:rsidP="0048364F">
      <w:pPr>
        <w:pStyle w:val="subsection"/>
      </w:pPr>
      <w:r w:rsidRPr="00B4686B">
        <w:tab/>
      </w:r>
      <w:r w:rsidRPr="00B4686B">
        <w:tab/>
        <w:t>Th</w:t>
      </w:r>
      <w:r w:rsidR="00F24C35" w:rsidRPr="00B4686B">
        <w:t>is</w:t>
      </w:r>
      <w:r w:rsidRPr="00B4686B">
        <w:t xml:space="preserve"> </w:t>
      </w:r>
      <w:r w:rsidR="006232A3" w:rsidRPr="00B4686B">
        <w:t>regulation</w:t>
      </w:r>
      <w:r w:rsidRPr="00B4686B">
        <w:t xml:space="preserve"> </w:t>
      </w:r>
      <w:r w:rsidR="00F24C35" w:rsidRPr="00B4686B">
        <w:t>is</w:t>
      </w:r>
      <w:r w:rsidR="003801D0" w:rsidRPr="00B4686B">
        <w:t xml:space="preserve"> the</w:t>
      </w:r>
      <w:r w:rsidRPr="00B4686B">
        <w:t xml:space="preserve"> </w:t>
      </w:r>
      <w:bookmarkStart w:id="5" w:name="BKCheck15B_4"/>
      <w:bookmarkEnd w:id="5"/>
      <w:r w:rsidR="00CB0180" w:rsidRPr="00B4686B">
        <w:rPr>
          <w:i/>
        </w:rPr>
        <w:fldChar w:fldCharType="begin"/>
      </w:r>
      <w:r w:rsidR="00CB0180" w:rsidRPr="00B4686B">
        <w:rPr>
          <w:i/>
        </w:rPr>
        <w:instrText xml:space="preserve"> STYLEREF  ShortT </w:instrText>
      </w:r>
      <w:r w:rsidR="00CB0180" w:rsidRPr="00B4686B">
        <w:rPr>
          <w:i/>
        </w:rPr>
        <w:fldChar w:fldCharType="separate"/>
      </w:r>
      <w:r w:rsidR="00D20898">
        <w:rPr>
          <w:i/>
          <w:noProof/>
        </w:rPr>
        <w:t>Energy Efficiency Opportunities Amendment Regulation 2013 (No. 1)</w:t>
      </w:r>
      <w:r w:rsidR="00CB0180" w:rsidRPr="00B4686B">
        <w:rPr>
          <w:i/>
        </w:rPr>
        <w:fldChar w:fldCharType="end"/>
      </w:r>
      <w:r w:rsidRPr="00B4686B">
        <w:t>.</w:t>
      </w:r>
    </w:p>
    <w:p w:rsidR="0048364F" w:rsidRPr="00B4686B" w:rsidRDefault="0048364F" w:rsidP="0048364F">
      <w:pPr>
        <w:pStyle w:val="ActHead5"/>
      </w:pPr>
      <w:bookmarkStart w:id="6" w:name="_Toc360028919"/>
      <w:r w:rsidRPr="00B4686B">
        <w:rPr>
          <w:rStyle w:val="CharSectno"/>
        </w:rPr>
        <w:t>2</w:t>
      </w:r>
      <w:r w:rsidRPr="00B4686B">
        <w:t xml:space="preserve">  Commencement</w:t>
      </w:r>
      <w:bookmarkEnd w:id="6"/>
    </w:p>
    <w:p w:rsidR="004F676E" w:rsidRPr="00B4686B" w:rsidRDefault="004F676E" w:rsidP="004F676E">
      <w:pPr>
        <w:pStyle w:val="subsection"/>
      </w:pPr>
      <w:bookmarkStart w:id="7" w:name="_GoBack"/>
      <w:r w:rsidRPr="00B4686B">
        <w:tab/>
      </w:r>
      <w:r w:rsidRPr="00B4686B">
        <w:tab/>
        <w:t>Th</w:t>
      </w:r>
      <w:r w:rsidR="00F24C35" w:rsidRPr="00B4686B">
        <w:t>is</w:t>
      </w:r>
      <w:r w:rsidRPr="00B4686B">
        <w:t xml:space="preserve"> </w:t>
      </w:r>
      <w:r w:rsidR="006232A3" w:rsidRPr="00B4686B">
        <w:t>regulation</w:t>
      </w:r>
      <w:r w:rsidRPr="00B4686B">
        <w:t xml:space="preserve"> commence</w:t>
      </w:r>
      <w:r w:rsidR="00D17B17" w:rsidRPr="00B4686B">
        <w:t>s</w:t>
      </w:r>
      <w:r w:rsidRPr="00B4686B">
        <w:t xml:space="preserve"> on</w:t>
      </w:r>
      <w:r w:rsidR="006232A3" w:rsidRPr="00B4686B">
        <w:t xml:space="preserve"> </w:t>
      </w:r>
      <w:r w:rsidR="00B27928" w:rsidRPr="00B4686B">
        <w:t>the day after it is registered</w:t>
      </w:r>
      <w:r w:rsidRPr="00B4686B">
        <w:t>.</w:t>
      </w:r>
      <w:bookmarkEnd w:id="7"/>
    </w:p>
    <w:p w:rsidR="007769D4" w:rsidRPr="00B4686B" w:rsidRDefault="007769D4" w:rsidP="007769D4">
      <w:pPr>
        <w:pStyle w:val="ActHead5"/>
      </w:pPr>
      <w:bookmarkStart w:id="8" w:name="_Toc360028920"/>
      <w:r w:rsidRPr="00B4686B">
        <w:rPr>
          <w:rStyle w:val="CharSectno"/>
        </w:rPr>
        <w:t>3</w:t>
      </w:r>
      <w:r w:rsidRPr="00B4686B">
        <w:t xml:space="preserve">  Authority</w:t>
      </w:r>
      <w:bookmarkEnd w:id="8"/>
    </w:p>
    <w:p w:rsidR="007769D4" w:rsidRPr="00B4686B" w:rsidRDefault="007769D4" w:rsidP="007769D4">
      <w:pPr>
        <w:pStyle w:val="subsection"/>
      </w:pPr>
      <w:r w:rsidRPr="00B4686B">
        <w:tab/>
      </w:r>
      <w:r w:rsidRPr="00B4686B">
        <w:tab/>
      </w:r>
      <w:r w:rsidR="00AF0336" w:rsidRPr="00B4686B">
        <w:t xml:space="preserve">This </w:t>
      </w:r>
      <w:r w:rsidR="006232A3" w:rsidRPr="00B4686B">
        <w:t>regulation</w:t>
      </w:r>
      <w:r w:rsidR="00AF0336" w:rsidRPr="00B4686B">
        <w:t xml:space="preserve"> is made under the </w:t>
      </w:r>
      <w:r w:rsidR="006232A3" w:rsidRPr="00B4686B">
        <w:rPr>
          <w:i/>
        </w:rPr>
        <w:t>Energy Efficiency Opportunities Act 2006</w:t>
      </w:r>
      <w:r w:rsidR="00D83D21" w:rsidRPr="00B4686B">
        <w:rPr>
          <w:i/>
        </w:rPr>
        <w:t>.</w:t>
      </w:r>
    </w:p>
    <w:p w:rsidR="00557C7A" w:rsidRPr="00B4686B" w:rsidRDefault="007769D4" w:rsidP="00557C7A">
      <w:pPr>
        <w:pStyle w:val="ActHead5"/>
      </w:pPr>
      <w:bookmarkStart w:id="9" w:name="_Toc360028921"/>
      <w:r w:rsidRPr="00B4686B">
        <w:rPr>
          <w:rStyle w:val="CharSectno"/>
        </w:rPr>
        <w:t>4</w:t>
      </w:r>
      <w:r w:rsidR="00557C7A" w:rsidRPr="00B4686B">
        <w:t xml:space="preserve">  </w:t>
      </w:r>
      <w:r w:rsidR="00B332B8" w:rsidRPr="00B4686B">
        <w:t>Schedule(s)</w:t>
      </w:r>
      <w:bookmarkEnd w:id="9"/>
    </w:p>
    <w:p w:rsidR="00557C7A" w:rsidRPr="00B4686B" w:rsidRDefault="00557C7A" w:rsidP="00557C7A">
      <w:pPr>
        <w:pStyle w:val="subsection"/>
      </w:pPr>
      <w:r w:rsidRPr="00B4686B">
        <w:tab/>
      </w:r>
      <w:r w:rsidRPr="00B4686B">
        <w:tab/>
      </w:r>
      <w:r w:rsidR="00CD7ECB" w:rsidRPr="00B4686B">
        <w:t>Each instrument that is specified in a Schedule to this instrument is amended or repealed as set out in the applicable items in the Schedule concerned, and any other item in a Schedule to this instrument has effect according to its terms.</w:t>
      </w:r>
    </w:p>
    <w:p w:rsidR="0048364F" w:rsidRPr="00B4686B" w:rsidRDefault="0048364F" w:rsidP="00FF3089">
      <w:pPr>
        <w:pStyle w:val="ActHead6"/>
        <w:pageBreakBefore/>
      </w:pPr>
      <w:bookmarkStart w:id="10" w:name="_Toc360028922"/>
      <w:bookmarkStart w:id="11" w:name="opcAmSched"/>
      <w:bookmarkStart w:id="12" w:name="opcCurrentFind"/>
      <w:r w:rsidRPr="00B4686B">
        <w:rPr>
          <w:rStyle w:val="CharAmSchNo"/>
        </w:rPr>
        <w:lastRenderedPageBreak/>
        <w:t>Schedule</w:t>
      </w:r>
      <w:r w:rsidR="00B4686B" w:rsidRPr="00B4686B">
        <w:rPr>
          <w:rStyle w:val="CharAmSchNo"/>
        </w:rPr>
        <w:t> </w:t>
      </w:r>
      <w:r w:rsidRPr="00B4686B">
        <w:rPr>
          <w:rStyle w:val="CharAmSchNo"/>
        </w:rPr>
        <w:t>1</w:t>
      </w:r>
      <w:r w:rsidRPr="00B4686B">
        <w:t>—</w:t>
      </w:r>
      <w:r w:rsidR="00460499" w:rsidRPr="00B4686B">
        <w:rPr>
          <w:rStyle w:val="CharAmSchText"/>
        </w:rPr>
        <w:t>Amendments</w:t>
      </w:r>
      <w:bookmarkEnd w:id="10"/>
    </w:p>
    <w:bookmarkEnd w:id="11"/>
    <w:bookmarkEnd w:id="12"/>
    <w:p w:rsidR="0004044E" w:rsidRPr="00B4686B" w:rsidRDefault="0004044E" w:rsidP="0004044E">
      <w:pPr>
        <w:pStyle w:val="Header"/>
      </w:pPr>
      <w:r w:rsidRPr="00B4686B">
        <w:rPr>
          <w:rStyle w:val="CharAmPartNo"/>
        </w:rPr>
        <w:t xml:space="preserve"> </w:t>
      </w:r>
      <w:r w:rsidRPr="00B4686B">
        <w:rPr>
          <w:rStyle w:val="CharAmPartText"/>
        </w:rPr>
        <w:t xml:space="preserve"> </w:t>
      </w:r>
    </w:p>
    <w:p w:rsidR="006232A3" w:rsidRPr="00B4686B" w:rsidRDefault="006232A3" w:rsidP="006232A3">
      <w:pPr>
        <w:pStyle w:val="ActHead9"/>
      </w:pPr>
      <w:bookmarkStart w:id="13" w:name="_Toc360028923"/>
      <w:r w:rsidRPr="00B4686B">
        <w:t>Energy Efficiency Opportunities Regulations</w:t>
      </w:r>
      <w:r w:rsidR="00B4686B" w:rsidRPr="00B4686B">
        <w:t> </w:t>
      </w:r>
      <w:r w:rsidRPr="00B4686B">
        <w:t>2006</w:t>
      </w:r>
      <w:bookmarkEnd w:id="13"/>
    </w:p>
    <w:p w:rsidR="004025A9" w:rsidRPr="00B4686B" w:rsidRDefault="00DC0E16" w:rsidP="004025A9">
      <w:pPr>
        <w:pStyle w:val="ItemHead"/>
      </w:pPr>
      <w:r w:rsidRPr="00B4686B">
        <w:t>1</w:t>
      </w:r>
      <w:r w:rsidR="004025A9" w:rsidRPr="00B4686B">
        <w:t xml:space="preserve">  Subregulation</w:t>
      </w:r>
      <w:r w:rsidR="00B4686B" w:rsidRPr="00B4686B">
        <w:t> </w:t>
      </w:r>
      <w:r w:rsidR="004025A9" w:rsidRPr="00B4686B">
        <w:t>1.3(1)</w:t>
      </w:r>
    </w:p>
    <w:p w:rsidR="004025A9" w:rsidRPr="00B4686B" w:rsidRDefault="004025A9" w:rsidP="004025A9">
      <w:pPr>
        <w:pStyle w:val="Item"/>
      </w:pPr>
      <w:r w:rsidRPr="00B4686B">
        <w:t>Insert:</w:t>
      </w:r>
    </w:p>
    <w:p w:rsidR="004025A9" w:rsidRPr="00B4686B" w:rsidRDefault="004025A9" w:rsidP="00BD4E60">
      <w:pPr>
        <w:pStyle w:val="Definition"/>
      </w:pPr>
      <w:r w:rsidRPr="00B4686B">
        <w:rPr>
          <w:b/>
          <w:i/>
        </w:rPr>
        <w:t>design stage</w:t>
      </w:r>
      <w:r w:rsidRPr="00B4686B">
        <w:t xml:space="preserve">, in relation to a project, means a stage (however described) in the process undertaken by an entity to design the project and develop it to </w:t>
      </w:r>
      <w:r w:rsidR="006A1088" w:rsidRPr="00B4686B">
        <w:t>the commencement of commercial operation</w:t>
      </w:r>
      <w:r w:rsidRPr="00B4686B">
        <w:t>.</w:t>
      </w:r>
    </w:p>
    <w:p w:rsidR="004025A9" w:rsidRPr="00B4686B" w:rsidRDefault="004025A9" w:rsidP="004025A9">
      <w:pPr>
        <w:pStyle w:val="notetext"/>
      </w:pPr>
      <w:r w:rsidRPr="00B4686B">
        <w:t>Note:</w:t>
      </w:r>
      <w:r w:rsidRPr="00B4686B">
        <w:tab/>
        <w:t xml:space="preserve">A stage would occur </w:t>
      </w:r>
      <w:r w:rsidR="00BD4E60" w:rsidRPr="00B4686B">
        <w:t>at some time</w:t>
      </w:r>
      <w:r w:rsidRPr="00B4686B">
        <w:t xml:space="preserve"> from the initial concept </w:t>
      </w:r>
      <w:r w:rsidR="00BD4E60" w:rsidRPr="00B4686B">
        <w:t>to when commercial operation has commenced</w:t>
      </w:r>
      <w:r w:rsidRPr="00B4686B">
        <w:t>.</w:t>
      </w:r>
    </w:p>
    <w:p w:rsidR="004025A9" w:rsidRPr="00B4686B" w:rsidRDefault="004025A9" w:rsidP="004025A9">
      <w:pPr>
        <w:pStyle w:val="notetext"/>
      </w:pPr>
      <w:r w:rsidRPr="00B4686B">
        <w:t>Examples:</w:t>
      </w:r>
      <w:r w:rsidRPr="00B4686B">
        <w:tab/>
        <w:t>The following are possible descriptions of stages:</w:t>
      </w:r>
    </w:p>
    <w:p w:rsidR="004025A9" w:rsidRPr="00B4686B" w:rsidRDefault="004025A9" w:rsidP="004025A9">
      <w:pPr>
        <w:pStyle w:val="notepara"/>
      </w:pPr>
      <w:r w:rsidRPr="00B4686B">
        <w:t>(a)</w:t>
      </w:r>
      <w:r w:rsidRPr="00B4686B">
        <w:tab/>
        <w:t>concept;</w:t>
      </w:r>
    </w:p>
    <w:p w:rsidR="004025A9" w:rsidRPr="00B4686B" w:rsidRDefault="004025A9" w:rsidP="004025A9">
      <w:pPr>
        <w:pStyle w:val="notepara"/>
      </w:pPr>
      <w:r w:rsidRPr="00B4686B">
        <w:t>(b)</w:t>
      </w:r>
      <w:r w:rsidRPr="00B4686B">
        <w:tab/>
        <w:t>pre</w:t>
      </w:r>
      <w:r w:rsidR="00B4686B">
        <w:noBreakHyphen/>
      </w:r>
      <w:r w:rsidRPr="00B4686B">
        <w:t>feasibility;</w:t>
      </w:r>
    </w:p>
    <w:p w:rsidR="004025A9" w:rsidRPr="00B4686B" w:rsidRDefault="004025A9" w:rsidP="004025A9">
      <w:pPr>
        <w:pStyle w:val="notepara"/>
      </w:pPr>
      <w:r w:rsidRPr="00B4686B">
        <w:t>(c)</w:t>
      </w:r>
      <w:r w:rsidRPr="00B4686B">
        <w:tab/>
        <w:t>feasibility;</w:t>
      </w:r>
    </w:p>
    <w:p w:rsidR="004025A9" w:rsidRPr="00B4686B" w:rsidRDefault="004025A9" w:rsidP="004025A9">
      <w:pPr>
        <w:pStyle w:val="notepara"/>
      </w:pPr>
      <w:r w:rsidRPr="00B4686B">
        <w:t>(d)</w:t>
      </w:r>
      <w:r w:rsidRPr="00B4686B">
        <w:tab/>
        <w:t>front end engineering design;</w:t>
      </w:r>
    </w:p>
    <w:p w:rsidR="004025A9" w:rsidRPr="00B4686B" w:rsidRDefault="004025A9" w:rsidP="004025A9">
      <w:pPr>
        <w:pStyle w:val="notepara"/>
      </w:pPr>
      <w:r w:rsidRPr="00B4686B">
        <w:t>(e)</w:t>
      </w:r>
      <w:r w:rsidRPr="00B4686B">
        <w:tab/>
        <w:t>procurement;</w:t>
      </w:r>
    </w:p>
    <w:p w:rsidR="004025A9" w:rsidRPr="00B4686B" w:rsidRDefault="004025A9" w:rsidP="004025A9">
      <w:pPr>
        <w:pStyle w:val="notepara"/>
      </w:pPr>
      <w:r w:rsidRPr="00B4686B">
        <w:t>(f)</w:t>
      </w:r>
      <w:r w:rsidRPr="00B4686B">
        <w:tab/>
        <w:t>detailed design and construction;</w:t>
      </w:r>
    </w:p>
    <w:p w:rsidR="004025A9" w:rsidRPr="00B4686B" w:rsidRDefault="004025A9" w:rsidP="004025A9">
      <w:pPr>
        <w:pStyle w:val="notepara"/>
      </w:pPr>
      <w:r w:rsidRPr="00B4686B">
        <w:t>(g)</w:t>
      </w:r>
      <w:r w:rsidRPr="00B4686B">
        <w:tab/>
        <w:t>commissioning;</w:t>
      </w:r>
    </w:p>
    <w:p w:rsidR="004025A9" w:rsidRPr="00B4686B" w:rsidRDefault="004025A9" w:rsidP="004025A9">
      <w:pPr>
        <w:pStyle w:val="notepara"/>
      </w:pPr>
      <w:r w:rsidRPr="00B4686B">
        <w:t>(h)</w:t>
      </w:r>
      <w:r w:rsidRPr="00B4686B">
        <w:tab/>
        <w:t>post</w:t>
      </w:r>
      <w:r w:rsidR="00B4686B">
        <w:noBreakHyphen/>
      </w:r>
      <w:r w:rsidRPr="00B4686B">
        <w:t>construction optimisation.</w:t>
      </w:r>
    </w:p>
    <w:p w:rsidR="00BD4E60" w:rsidRPr="00B4686B" w:rsidRDefault="00DC0E16" w:rsidP="00BD4E60">
      <w:pPr>
        <w:pStyle w:val="ItemHead"/>
      </w:pPr>
      <w:r w:rsidRPr="00B4686B">
        <w:t>2</w:t>
      </w:r>
      <w:r w:rsidR="00BD4E60" w:rsidRPr="00B4686B">
        <w:t xml:space="preserve">  Subregulation</w:t>
      </w:r>
      <w:r w:rsidR="00B4686B" w:rsidRPr="00B4686B">
        <w:t> </w:t>
      </w:r>
      <w:r w:rsidR="00BD4E60" w:rsidRPr="00B4686B">
        <w:t>1.3(1)</w:t>
      </w:r>
    </w:p>
    <w:p w:rsidR="00BD4E60" w:rsidRPr="00B4686B" w:rsidRDefault="00BD4E60" w:rsidP="00BD4E60">
      <w:pPr>
        <w:pStyle w:val="Item"/>
      </w:pPr>
      <w:r w:rsidRPr="00B4686B">
        <w:t>Insert:</w:t>
      </w:r>
    </w:p>
    <w:p w:rsidR="00BD4E60" w:rsidRPr="00B4686B" w:rsidRDefault="00C30ED8" w:rsidP="00BD4E60">
      <w:pPr>
        <w:pStyle w:val="Definition"/>
      </w:pPr>
      <w:r w:rsidRPr="00B4686B">
        <w:rPr>
          <w:b/>
          <w:i/>
        </w:rPr>
        <w:t>f</w:t>
      </w:r>
      <w:r w:rsidR="00BD4E60" w:rsidRPr="00B4686B">
        <w:rPr>
          <w:b/>
          <w:i/>
        </w:rPr>
        <w:t>uture energy</w:t>
      </w:r>
      <w:r w:rsidR="00BD4E60" w:rsidRPr="00B4686B">
        <w:t xml:space="preserve"> means energy that a new development </w:t>
      </w:r>
      <w:r w:rsidR="00985945" w:rsidRPr="00B4686B">
        <w:t>or an expansion</w:t>
      </w:r>
      <w:r w:rsidR="00BD4E60" w:rsidRPr="00B4686B">
        <w:t xml:space="preserve"> will use</w:t>
      </w:r>
      <w:r w:rsidRPr="00B4686B">
        <w:t xml:space="preserve"> </w:t>
      </w:r>
      <w:r w:rsidR="00BD4E60" w:rsidRPr="00B4686B">
        <w:t>after commercial operation has commenced.</w:t>
      </w:r>
    </w:p>
    <w:p w:rsidR="006D3667" w:rsidRPr="00B4686B" w:rsidRDefault="00DC0E16" w:rsidP="006C2C12">
      <w:pPr>
        <w:pStyle w:val="ItemHead"/>
        <w:tabs>
          <w:tab w:val="left" w:pos="6663"/>
        </w:tabs>
      </w:pPr>
      <w:r w:rsidRPr="00B4686B">
        <w:t>3</w:t>
      </w:r>
      <w:r w:rsidR="00BB6E79" w:rsidRPr="00B4686B">
        <w:t xml:space="preserve">  </w:t>
      </w:r>
      <w:r w:rsidR="008B79C8" w:rsidRPr="00B4686B">
        <w:t>Subregulation</w:t>
      </w:r>
      <w:r w:rsidR="00B4686B" w:rsidRPr="00B4686B">
        <w:t> </w:t>
      </w:r>
      <w:r w:rsidR="001816D2" w:rsidRPr="00B4686B">
        <w:t>1.3(3</w:t>
      </w:r>
      <w:r w:rsidR="00A1360F" w:rsidRPr="00B4686B">
        <w:t>)</w:t>
      </w:r>
    </w:p>
    <w:p w:rsidR="001816D2" w:rsidRPr="00B4686B" w:rsidRDefault="00A1360F" w:rsidP="001816D2">
      <w:pPr>
        <w:pStyle w:val="Item"/>
      </w:pPr>
      <w:r w:rsidRPr="00B4686B">
        <w:t xml:space="preserve">Repeal the </w:t>
      </w:r>
      <w:r w:rsidR="008B79C8" w:rsidRPr="00B4686B">
        <w:t>subregulation</w:t>
      </w:r>
      <w:r w:rsidRPr="00B4686B">
        <w:t>, substitute</w:t>
      </w:r>
      <w:r w:rsidR="001816D2" w:rsidRPr="00B4686B">
        <w:t>:</w:t>
      </w:r>
    </w:p>
    <w:p w:rsidR="008B79C8" w:rsidRPr="00B4686B" w:rsidRDefault="008B79C8" w:rsidP="008B79C8">
      <w:pPr>
        <w:pStyle w:val="subsection"/>
      </w:pPr>
      <w:r w:rsidRPr="00B4686B">
        <w:tab/>
        <w:t>(3)</w:t>
      </w:r>
      <w:r w:rsidRPr="00B4686B">
        <w:tab/>
        <w:t xml:space="preserve">A project is an </w:t>
      </w:r>
      <w:r w:rsidRPr="00B4686B">
        <w:rPr>
          <w:b/>
          <w:i/>
        </w:rPr>
        <w:t>expansion</w:t>
      </w:r>
      <w:r w:rsidRPr="00B4686B">
        <w:t xml:space="preserve"> if:</w:t>
      </w:r>
    </w:p>
    <w:p w:rsidR="008B79C8" w:rsidRPr="00B4686B" w:rsidRDefault="008B79C8" w:rsidP="008B79C8">
      <w:pPr>
        <w:pStyle w:val="paragraph"/>
      </w:pPr>
      <w:r w:rsidRPr="00B4686B">
        <w:tab/>
        <w:t>(a)</w:t>
      </w:r>
      <w:r w:rsidRPr="00B4686B">
        <w:tab/>
        <w:t>it relates to an existing facility; and</w:t>
      </w:r>
    </w:p>
    <w:p w:rsidR="008B79C8" w:rsidRPr="00B4686B" w:rsidRDefault="008B79C8" w:rsidP="008B79C8">
      <w:pPr>
        <w:pStyle w:val="paragraph"/>
      </w:pPr>
      <w:r w:rsidRPr="00B4686B">
        <w:tab/>
        <w:t>(b)</w:t>
      </w:r>
      <w:r w:rsidRPr="00B4686B">
        <w:tab/>
        <w:t>it is expected that additional energy use will be required by the facility when the project has commenced commercial operation; and</w:t>
      </w:r>
    </w:p>
    <w:p w:rsidR="00A1360F" w:rsidRPr="00B4686B" w:rsidRDefault="00A1360F" w:rsidP="001816D2">
      <w:pPr>
        <w:pStyle w:val="paragraph"/>
      </w:pPr>
      <w:r w:rsidRPr="00B4686B">
        <w:tab/>
        <w:t>(</w:t>
      </w:r>
      <w:r w:rsidR="00CB3349" w:rsidRPr="00B4686B">
        <w:t>c</w:t>
      </w:r>
      <w:r w:rsidRPr="00B4686B">
        <w:t>)</w:t>
      </w:r>
      <w:r w:rsidRPr="00B4686B">
        <w:tab/>
      </w:r>
      <w:r w:rsidR="00CB3349" w:rsidRPr="00B4686B">
        <w:t xml:space="preserve">the project is not part of standard business operations and is not covered by an </w:t>
      </w:r>
      <w:r w:rsidR="00B27928" w:rsidRPr="00B4686B">
        <w:t>approved</w:t>
      </w:r>
      <w:r w:rsidR="00CB3349" w:rsidRPr="00B4686B">
        <w:t xml:space="preserve"> assessment plan</w:t>
      </w:r>
      <w:r w:rsidRPr="00B4686B">
        <w:t>; and</w:t>
      </w:r>
    </w:p>
    <w:p w:rsidR="001816D2" w:rsidRPr="00B4686B" w:rsidRDefault="00A1360F" w:rsidP="001816D2">
      <w:pPr>
        <w:pStyle w:val="paragraph"/>
      </w:pPr>
      <w:r w:rsidRPr="00B4686B">
        <w:lastRenderedPageBreak/>
        <w:tab/>
      </w:r>
      <w:r w:rsidR="001816D2" w:rsidRPr="00B4686B">
        <w:t>(d)</w:t>
      </w:r>
      <w:r w:rsidR="001816D2" w:rsidRPr="00B4686B">
        <w:tab/>
        <w:t>the project has been publicly announced</w:t>
      </w:r>
      <w:r w:rsidR="00FA226A" w:rsidRPr="00B4686B">
        <w:t xml:space="preserve"> by the controlling corporation</w:t>
      </w:r>
      <w:r w:rsidR="00083CA2" w:rsidRPr="00B4686B">
        <w:t>;</w:t>
      </w:r>
    </w:p>
    <w:p w:rsidR="00083CA2" w:rsidRPr="00B4686B" w:rsidRDefault="00083CA2" w:rsidP="00083CA2">
      <w:pPr>
        <w:pStyle w:val="subsection2"/>
      </w:pPr>
      <w:r w:rsidRPr="00B4686B">
        <w:t>but a project by a controlling corporation is not an expansion if the Secretary is satisfied that the corporation’s existing systems and processes meet the requirements of the Key Elements set out in Schedule</w:t>
      </w:r>
      <w:r w:rsidR="00B4686B" w:rsidRPr="00B4686B">
        <w:t> </w:t>
      </w:r>
      <w:r w:rsidRPr="00B4686B">
        <w:t>6.</w:t>
      </w:r>
    </w:p>
    <w:p w:rsidR="00435AF6" w:rsidRPr="00B4686B" w:rsidRDefault="00DC0E16" w:rsidP="00435AF6">
      <w:pPr>
        <w:pStyle w:val="ItemHead"/>
        <w:tabs>
          <w:tab w:val="left" w:pos="6663"/>
        </w:tabs>
      </w:pPr>
      <w:r w:rsidRPr="00B4686B">
        <w:t>4</w:t>
      </w:r>
      <w:r w:rsidR="00435AF6" w:rsidRPr="00B4686B">
        <w:t xml:space="preserve">  </w:t>
      </w:r>
      <w:r w:rsidR="00B27928" w:rsidRPr="00B4686B">
        <w:t>Subregulation</w:t>
      </w:r>
      <w:r w:rsidR="00B4686B" w:rsidRPr="00B4686B">
        <w:t> </w:t>
      </w:r>
      <w:r w:rsidR="00435AF6" w:rsidRPr="00B4686B">
        <w:t>1.3(5)</w:t>
      </w:r>
    </w:p>
    <w:p w:rsidR="00CB3349" w:rsidRPr="00B4686B" w:rsidRDefault="00CB3349" w:rsidP="00CB3349">
      <w:pPr>
        <w:pStyle w:val="Item"/>
      </w:pPr>
      <w:r w:rsidRPr="00B4686B">
        <w:t xml:space="preserve">Repeal the </w:t>
      </w:r>
      <w:r w:rsidR="00B27928" w:rsidRPr="00B4686B">
        <w:t>subregulation</w:t>
      </w:r>
      <w:r w:rsidRPr="00B4686B">
        <w:t>, substitute:</w:t>
      </w:r>
    </w:p>
    <w:p w:rsidR="00B27928" w:rsidRPr="00B4686B" w:rsidRDefault="00B27928" w:rsidP="00B27928">
      <w:pPr>
        <w:pStyle w:val="subsection"/>
      </w:pPr>
      <w:r w:rsidRPr="00B4686B">
        <w:tab/>
        <w:t>(5)</w:t>
      </w:r>
      <w:r w:rsidRPr="00B4686B">
        <w:tab/>
        <w:t xml:space="preserve">A project is a </w:t>
      </w:r>
      <w:r w:rsidRPr="00B4686B">
        <w:rPr>
          <w:b/>
          <w:i/>
        </w:rPr>
        <w:t>new development</w:t>
      </w:r>
      <w:r w:rsidRPr="00B4686B">
        <w:t xml:space="preserve"> if:</w:t>
      </w:r>
    </w:p>
    <w:p w:rsidR="00B27928" w:rsidRPr="00B4686B" w:rsidRDefault="00B27928" w:rsidP="00B27928">
      <w:pPr>
        <w:pStyle w:val="paragraph"/>
      </w:pPr>
      <w:r w:rsidRPr="00B4686B">
        <w:tab/>
        <w:t>(a)</w:t>
      </w:r>
      <w:r w:rsidRPr="00B4686B">
        <w:tab/>
        <w:t>it is a project to construct a new facility or facilities; and</w:t>
      </w:r>
    </w:p>
    <w:p w:rsidR="00CB3349" w:rsidRPr="00B4686B" w:rsidRDefault="00CB3349" w:rsidP="00435AF6">
      <w:pPr>
        <w:pStyle w:val="paragraph"/>
      </w:pPr>
      <w:r w:rsidRPr="00B4686B">
        <w:tab/>
        <w:t>(b)</w:t>
      </w:r>
      <w:r w:rsidRPr="00B4686B">
        <w:tab/>
        <w:t xml:space="preserve">the project is not part of standard business operations and is not covered by an </w:t>
      </w:r>
      <w:r w:rsidR="00B27928" w:rsidRPr="00B4686B">
        <w:t>approved</w:t>
      </w:r>
      <w:r w:rsidRPr="00B4686B">
        <w:t xml:space="preserve"> assessment plan</w:t>
      </w:r>
      <w:r w:rsidR="00435AF6" w:rsidRPr="00B4686B">
        <w:t>; and</w:t>
      </w:r>
    </w:p>
    <w:p w:rsidR="00435AF6" w:rsidRPr="00B4686B" w:rsidRDefault="00CB3349" w:rsidP="00435AF6">
      <w:pPr>
        <w:pStyle w:val="paragraph"/>
      </w:pPr>
      <w:r w:rsidRPr="00B4686B">
        <w:tab/>
      </w:r>
      <w:r w:rsidR="00435AF6" w:rsidRPr="00B4686B">
        <w:t>(c)</w:t>
      </w:r>
      <w:r w:rsidR="00435AF6" w:rsidRPr="00B4686B">
        <w:tab/>
        <w:t>the project has been publicly announced</w:t>
      </w:r>
      <w:r w:rsidR="00FA226A" w:rsidRPr="00B4686B">
        <w:t xml:space="preserve"> by the controlling corporation</w:t>
      </w:r>
      <w:r w:rsidR="00083CA2" w:rsidRPr="00B4686B">
        <w:t>;</w:t>
      </w:r>
    </w:p>
    <w:p w:rsidR="00083CA2" w:rsidRPr="00B4686B" w:rsidRDefault="00083CA2" w:rsidP="00083CA2">
      <w:pPr>
        <w:pStyle w:val="subsection2"/>
      </w:pPr>
      <w:r w:rsidRPr="00B4686B">
        <w:t>but a project by a controlling corporation is not a</w:t>
      </w:r>
      <w:r w:rsidR="00B27928" w:rsidRPr="00B4686B">
        <w:t xml:space="preserve"> </w:t>
      </w:r>
      <w:r w:rsidRPr="00B4686B">
        <w:t>n</w:t>
      </w:r>
      <w:r w:rsidR="00B27928" w:rsidRPr="00B4686B">
        <w:t>ew development</w:t>
      </w:r>
      <w:r w:rsidRPr="00B4686B">
        <w:t xml:space="preserve"> if the Secretary is satisfied that the corporation’s existing systems and processes meet the requirements of the Key Elements set out in Schedule</w:t>
      </w:r>
      <w:r w:rsidR="00B4686B" w:rsidRPr="00B4686B">
        <w:t> </w:t>
      </w:r>
      <w:r w:rsidRPr="00B4686B">
        <w:t>6.</w:t>
      </w:r>
    </w:p>
    <w:p w:rsidR="00BD4E60" w:rsidRPr="00B4686B" w:rsidRDefault="00DC0E16" w:rsidP="00BD4E60">
      <w:pPr>
        <w:pStyle w:val="ItemHead"/>
      </w:pPr>
      <w:r w:rsidRPr="00B4686B">
        <w:t>5</w:t>
      </w:r>
      <w:r w:rsidR="00BD4E60" w:rsidRPr="00B4686B">
        <w:t xml:space="preserve">  Subregulation</w:t>
      </w:r>
      <w:r w:rsidR="00B4686B" w:rsidRPr="00B4686B">
        <w:t> </w:t>
      </w:r>
      <w:r w:rsidR="00BD4E60" w:rsidRPr="00B4686B">
        <w:t>1.4(1)</w:t>
      </w:r>
    </w:p>
    <w:p w:rsidR="00BD4E60" w:rsidRPr="00B4686B" w:rsidRDefault="00BD4E60" w:rsidP="00BD4E60">
      <w:pPr>
        <w:pStyle w:val="Item"/>
      </w:pPr>
      <w:r w:rsidRPr="00B4686B">
        <w:t>Omit “1.4C”, substitute “1.4</w:t>
      </w:r>
      <w:r w:rsidR="004A7148" w:rsidRPr="00B4686B">
        <w:t>D</w:t>
      </w:r>
      <w:r w:rsidRPr="00B4686B">
        <w:t>”.</w:t>
      </w:r>
    </w:p>
    <w:p w:rsidR="00BD4E60" w:rsidRPr="00B4686B" w:rsidRDefault="00DC0E16" w:rsidP="00BD4E60">
      <w:pPr>
        <w:pStyle w:val="ItemHead"/>
      </w:pPr>
      <w:r w:rsidRPr="00B4686B">
        <w:t>6</w:t>
      </w:r>
      <w:r w:rsidR="00BD4E60" w:rsidRPr="00B4686B">
        <w:t xml:space="preserve">  After regulation</w:t>
      </w:r>
      <w:r w:rsidR="00B4686B" w:rsidRPr="00B4686B">
        <w:t> </w:t>
      </w:r>
      <w:r w:rsidR="00BD4E60" w:rsidRPr="00B4686B">
        <w:t>1.4C</w:t>
      </w:r>
    </w:p>
    <w:p w:rsidR="00BD4E60" w:rsidRPr="00B4686B" w:rsidRDefault="00BD4E60" w:rsidP="00BD4E60">
      <w:pPr>
        <w:pStyle w:val="Item"/>
      </w:pPr>
      <w:r w:rsidRPr="00B4686B">
        <w:t>Insert:</w:t>
      </w:r>
    </w:p>
    <w:p w:rsidR="00BD4E60" w:rsidRPr="00B4686B" w:rsidRDefault="00BD4E60" w:rsidP="00BD4E60">
      <w:pPr>
        <w:pStyle w:val="ActHead5"/>
        <w:rPr>
          <w:bCs/>
        </w:rPr>
      </w:pPr>
      <w:bookmarkStart w:id="14" w:name="_Toc360028924"/>
      <w:r w:rsidRPr="00B4686B">
        <w:rPr>
          <w:rStyle w:val="CharSectno"/>
        </w:rPr>
        <w:t>1.4D</w:t>
      </w:r>
      <w:r w:rsidRPr="00B4686B">
        <w:t xml:space="preserve">  User of energy—future energy </w:t>
      </w:r>
      <w:r w:rsidR="00EF1D77" w:rsidRPr="00B4686B">
        <w:rPr>
          <w:bCs/>
        </w:rPr>
        <w:t>(new developments</w:t>
      </w:r>
      <w:r w:rsidR="006A1088" w:rsidRPr="00B4686B">
        <w:rPr>
          <w:bCs/>
        </w:rPr>
        <w:t xml:space="preserve"> and expansions</w:t>
      </w:r>
      <w:r w:rsidRPr="00B4686B">
        <w:rPr>
          <w:bCs/>
        </w:rPr>
        <w:t>)</w:t>
      </w:r>
      <w:bookmarkEnd w:id="14"/>
    </w:p>
    <w:p w:rsidR="00C30ED8" w:rsidRPr="00B4686B" w:rsidRDefault="00BD4E60" w:rsidP="00C30ED8">
      <w:pPr>
        <w:pStyle w:val="subsection"/>
      </w:pPr>
      <w:r w:rsidRPr="00B4686B">
        <w:tab/>
        <w:t>(1)</w:t>
      </w:r>
      <w:r w:rsidRPr="00B4686B">
        <w:tab/>
        <w:t>Despite regulation</w:t>
      </w:r>
      <w:r w:rsidR="00B4686B" w:rsidRPr="00B4686B">
        <w:t> </w:t>
      </w:r>
      <w:r w:rsidRPr="00B4686B">
        <w:t xml:space="preserve">1.4, </w:t>
      </w:r>
      <w:r w:rsidR="00751A9A" w:rsidRPr="00B4686B">
        <w:t>if a project is a new development</w:t>
      </w:r>
      <w:r w:rsidR="007254AA" w:rsidRPr="00B4686B">
        <w:t>,</w:t>
      </w:r>
      <w:r w:rsidR="006A1088" w:rsidRPr="00B4686B">
        <w:t xml:space="preserve"> or </w:t>
      </w:r>
      <w:r w:rsidR="00985945" w:rsidRPr="00B4686B">
        <w:t xml:space="preserve">an </w:t>
      </w:r>
      <w:r w:rsidR="006A1088" w:rsidRPr="00B4686B">
        <w:t>expansion</w:t>
      </w:r>
      <w:r w:rsidR="007254AA" w:rsidRPr="00B4686B">
        <w:t>,</w:t>
      </w:r>
      <w:r w:rsidR="00751A9A" w:rsidRPr="00B4686B">
        <w:t xml:space="preserve"> at which energy is to be consumed, </w:t>
      </w:r>
      <w:r w:rsidR="00C30ED8" w:rsidRPr="00B4686B">
        <w:t xml:space="preserve">each entity </w:t>
      </w:r>
      <w:r w:rsidR="005E7319" w:rsidRPr="00B4686B">
        <w:t>that owns</w:t>
      </w:r>
      <w:r w:rsidR="00C30ED8" w:rsidRPr="00B4686B">
        <w:t xml:space="preserve"> </w:t>
      </w:r>
      <w:r w:rsidR="00751A9A" w:rsidRPr="00B4686B">
        <w:t>the</w:t>
      </w:r>
      <w:r w:rsidR="00C30ED8" w:rsidRPr="00B4686B">
        <w:t xml:space="preserve"> new development </w:t>
      </w:r>
      <w:r w:rsidR="006A1088" w:rsidRPr="00B4686B">
        <w:t xml:space="preserve">or </w:t>
      </w:r>
      <w:r w:rsidR="00985945" w:rsidRPr="00B4686B">
        <w:t xml:space="preserve">the </w:t>
      </w:r>
      <w:r w:rsidR="006A1088" w:rsidRPr="00B4686B">
        <w:t xml:space="preserve">expansion </w:t>
      </w:r>
      <w:r w:rsidR="00C30ED8" w:rsidRPr="00B4686B">
        <w:t xml:space="preserve">is a </w:t>
      </w:r>
      <w:r w:rsidR="00C30ED8" w:rsidRPr="00B4686B">
        <w:rPr>
          <w:b/>
          <w:i/>
        </w:rPr>
        <w:t xml:space="preserve">user </w:t>
      </w:r>
      <w:r w:rsidR="00C30ED8" w:rsidRPr="00B4686B">
        <w:t>of th</w:t>
      </w:r>
      <w:r w:rsidR="005E7319" w:rsidRPr="00B4686B">
        <w:t>e</w:t>
      </w:r>
      <w:r w:rsidR="00C30ED8" w:rsidRPr="00B4686B">
        <w:t xml:space="preserve"> future energy.</w:t>
      </w:r>
    </w:p>
    <w:p w:rsidR="00B856B4" w:rsidRPr="00B4686B" w:rsidRDefault="00123EDF" w:rsidP="00B856B4">
      <w:pPr>
        <w:pStyle w:val="subsection"/>
      </w:pPr>
      <w:r w:rsidRPr="00B4686B">
        <w:tab/>
        <w:t>(</w:t>
      </w:r>
      <w:r w:rsidR="005E7319" w:rsidRPr="00B4686B">
        <w:t>2</w:t>
      </w:r>
      <w:r w:rsidRPr="00B4686B">
        <w:t>)</w:t>
      </w:r>
      <w:r w:rsidRPr="00B4686B">
        <w:tab/>
      </w:r>
      <w:r w:rsidR="00B856B4" w:rsidRPr="00B4686B">
        <w:t xml:space="preserve">An entity (the </w:t>
      </w:r>
      <w:r w:rsidR="00B856B4" w:rsidRPr="00B4686B">
        <w:rPr>
          <w:b/>
          <w:i/>
        </w:rPr>
        <w:t>second entity</w:t>
      </w:r>
      <w:r w:rsidR="00B856B4" w:rsidRPr="00B4686B">
        <w:t>) that:</w:t>
      </w:r>
    </w:p>
    <w:p w:rsidR="00B856B4" w:rsidRPr="00B4686B" w:rsidRDefault="00B856B4" w:rsidP="00B856B4">
      <w:pPr>
        <w:pStyle w:val="paragraph"/>
      </w:pPr>
      <w:r w:rsidRPr="00B4686B">
        <w:tab/>
        <w:t>(a)</w:t>
      </w:r>
      <w:r w:rsidRPr="00B4686B">
        <w:tab/>
        <w:t>has the greatest influence over design decisions which affect future energy; and</w:t>
      </w:r>
    </w:p>
    <w:p w:rsidR="00B856B4" w:rsidRPr="00B4686B" w:rsidRDefault="00B856B4" w:rsidP="00B856B4">
      <w:pPr>
        <w:pStyle w:val="paragraph"/>
      </w:pPr>
      <w:r w:rsidRPr="00B4686B">
        <w:tab/>
        <w:t>(b)</w:t>
      </w:r>
      <w:r w:rsidRPr="00B4686B">
        <w:tab/>
        <w:t xml:space="preserve">is not the user of </w:t>
      </w:r>
      <w:r w:rsidR="00E245F7" w:rsidRPr="00B4686B">
        <w:t xml:space="preserve">the </w:t>
      </w:r>
      <w:r w:rsidRPr="00B4686B">
        <w:t>future energy;</w:t>
      </w:r>
    </w:p>
    <w:p w:rsidR="00B856B4" w:rsidRPr="00B4686B" w:rsidRDefault="00B856B4" w:rsidP="00B856B4">
      <w:pPr>
        <w:pStyle w:val="subsection2"/>
      </w:pPr>
      <w:r w:rsidRPr="00B4686B">
        <w:lastRenderedPageBreak/>
        <w:t>may ask the Secretary, in writing, to treat the second entity as the user of future energy to which the request relates at the facility to which the request relates.</w:t>
      </w:r>
    </w:p>
    <w:p w:rsidR="00B856B4" w:rsidRPr="00B4686B" w:rsidRDefault="00B856B4" w:rsidP="00E245F7">
      <w:pPr>
        <w:pStyle w:val="subsection"/>
      </w:pPr>
      <w:r w:rsidRPr="00B4686B">
        <w:tab/>
        <w:t>(</w:t>
      </w:r>
      <w:r w:rsidR="005E7319" w:rsidRPr="00B4686B">
        <w:t>3</w:t>
      </w:r>
      <w:r w:rsidRPr="00B4686B">
        <w:t>)</w:t>
      </w:r>
      <w:r w:rsidRPr="00B4686B">
        <w:tab/>
        <w:t>The request must be accompanied by a statement, in writing, that</w:t>
      </w:r>
      <w:r w:rsidR="00E245F7" w:rsidRPr="00B4686B">
        <w:t xml:space="preserve"> </w:t>
      </w:r>
      <w:r w:rsidRPr="00B4686B">
        <w:t xml:space="preserve">the entity that </w:t>
      </w:r>
      <w:r w:rsidR="00E245F7" w:rsidRPr="00B4686B">
        <w:t>is currently</w:t>
      </w:r>
      <w:r w:rsidRPr="00B4686B">
        <w:t xml:space="preserve"> the user of future energy</w:t>
      </w:r>
      <w:r w:rsidR="00E245F7" w:rsidRPr="00B4686B">
        <w:t xml:space="preserve"> </w:t>
      </w:r>
      <w:r w:rsidRPr="00B4686B">
        <w:t>agrees to the request.</w:t>
      </w:r>
    </w:p>
    <w:p w:rsidR="00B856B4" w:rsidRPr="00B4686B" w:rsidRDefault="00B856B4" w:rsidP="00B856B4">
      <w:pPr>
        <w:pStyle w:val="subsection"/>
      </w:pPr>
      <w:r w:rsidRPr="00B4686B">
        <w:tab/>
        <w:t>(</w:t>
      </w:r>
      <w:r w:rsidR="005E7319" w:rsidRPr="00B4686B">
        <w:t>4</w:t>
      </w:r>
      <w:r w:rsidRPr="00B4686B">
        <w:t>)</w:t>
      </w:r>
      <w:r w:rsidRPr="00B4686B">
        <w:tab/>
        <w:t>If:</w:t>
      </w:r>
    </w:p>
    <w:p w:rsidR="00B856B4" w:rsidRPr="00B4686B" w:rsidRDefault="00B856B4" w:rsidP="00B856B4">
      <w:pPr>
        <w:pStyle w:val="paragraph"/>
      </w:pPr>
      <w:r w:rsidRPr="00B4686B">
        <w:tab/>
        <w:t>(a)</w:t>
      </w:r>
      <w:r w:rsidR="00E245F7" w:rsidRPr="00B4686B">
        <w:tab/>
      </w:r>
      <w:r w:rsidRPr="00B4686B">
        <w:t xml:space="preserve">the </w:t>
      </w:r>
      <w:r w:rsidR="00E245F7" w:rsidRPr="00B4686B">
        <w:t>request is made by an entity that</w:t>
      </w:r>
      <w:r w:rsidRPr="00B4686B">
        <w:t xml:space="preserve"> compl</w:t>
      </w:r>
      <w:r w:rsidR="00E245F7" w:rsidRPr="00B4686B">
        <w:t xml:space="preserve">ies with </w:t>
      </w:r>
      <w:r w:rsidR="00B4686B" w:rsidRPr="00B4686B">
        <w:t>paragraphs (</w:t>
      </w:r>
      <w:r w:rsidR="005E7319" w:rsidRPr="00B4686B">
        <w:t>2</w:t>
      </w:r>
      <w:r w:rsidRPr="00B4686B">
        <w:t>)</w:t>
      </w:r>
      <w:r w:rsidR="007254AA" w:rsidRPr="00B4686B">
        <w:t>(a) and (b)</w:t>
      </w:r>
      <w:r w:rsidRPr="00B4686B">
        <w:t>; and</w:t>
      </w:r>
    </w:p>
    <w:p w:rsidR="00B856B4" w:rsidRPr="00B4686B" w:rsidRDefault="00B856B4" w:rsidP="00B856B4">
      <w:pPr>
        <w:pStyle w:val="paragraph"/>
      </w:pPr>
      <w:r w:rsidRPr="00B4686B">
        <w:tab/>
        <w:t>(b)</w:t>
      </w:r>
      <w:r w:rsidRPr="00B4686B">
        <w:tab/>
        <w:t>the requ</w:t>
      </w:r>
      <w:r w:rsidR="00E245F7" w:rsidRPr="00B4686B">
        <w:t xml:space="preserve">est complies with subregulation </w:t>
      </w:r>
      <w:r w:rsidRPr="00B4686B">
        <w:t>(</w:t>
      </w:r>
      <w:r w:rsidR="005E7319" w:rsidRPr="00B4686B">
        <w:t>3</w:t>
      </w:r>
      <w:r w:rsidRPr="00B4686B">
        <w:t>); and</w:t>
      </w:r>
    </w:p>
    <w:p w:rsidR="00B856B4" w:rsidRPr="00B4686B" w:rsidRDefault="00B856B4" w:rsidP="00B856B4">
      <w:pPr>
        <w:pStyle w:val="paragraph"/>
      </w:pPr>
      <w:r w:rsidRPr="00B4686B">
        <w:tab/>
        <w:t>(c)</w:t>
      </w:r>
      <w:r w:rsidRPr="00B4686B">
        <w:tab/>
        <w:t>the Secretary is satisfied that the second entity would be required to be registered under Part</w:t>
      </w:r>
      <w:r w:rsidR="00B4686B" w:rsidRPr="00B4686B">
        <w:t> </w:t>
      </w:r>
      <w:r w:rsidRPr="00B4686B">
        <w:t xml:space="preserve">4 of the Act if it became the user of the </w:t>
      </w:r>
      <w:r w:rsidR="00E245F7" w:rsidRPr="00B4686B">
        <w:t xml:space="preserve">future </w:t>
      </w:r>
      <w:r w:rsidRPr="00B4686B">
        <w:t>energy;</w:t>
      </w:r>
    </w:p>
    <w:p w:rsidR="00B856B4" w:rsidRPr="00B4686B" w:rsidRDefault="00B856B4" w:rsidP="00B856B4">
      <w:pPr>
        <w:pStyle w:val="subsection2"/>
      </w:pPr>
      <w:r w:rsidRPr="00B4686B">
        <w:t>the Secretary must accept the request as soon as practicable.</w:t>
      </w:r>
    </w:p>
    <w:p w:rsidR="00B856B4" w:rsidRPr="00B4686B" w:rsidRDefault="00B856B4" w:rsidP="00B856B4">
      <w:pPr>
        <w:pStyle w:val="subsection"/>
      </w:pPr>
      <w:r w:rsidRPr="00B4686B">
        <w:tab/>
        <w:t>(</w:t>
      </w:r>
      <w:r w:rsidR="005E7319" w:rsidRPr="00B4686B">
        <w:t>5</w:t>
      </w:r>
      <w:r w:rsidRPr="00B4686B">
        <w:t>)</w:t>
      </w:r>
      <w:r w:rsidRPr="00B4686B">
        <w:tab/>
        <w:t xml:space="preserve">If </w:t>
      </w:r>
      <w:r w:rsidR="00E245F7" w:rsidRPr="00B4686B">
        <w:t>the Secretary accepts a request</w:t>
      </w:r>
      <w:r w:rsidRPr="00B4686B">
        <w:t xml:space="preserve">, the </w:t>
      </w:r>
      <w:r w:rsidR="00E245F7" w:rsidRPr="00B4686B">
        <w:t xml:space="preserve">second </w:t>
      </w:r>
      <w:r w:rsidRPr="00B4686B">
        <w:t xml:space="preserve">entity becomes the user of the </w:t>
      </w:r>
      <w:r w:rsidR="00E245F7" w:rsidRPr="00B4686B">
        <w:t xml:space="preserve">future </w:t>
      </w:r>
      <w:r w:rsidRPr="00B4686B">
        <w:t>energy to which the request relates when the request is accepted.</w:t>
      </w:r>
    </w:p>
    <w:p w:rsidR="00B856B4" w:rsidRPr="00B4686B" w:rsidRDefault="00B856B4" w:rsidP="00B856B4">
      <w:pPr>
        <w:pStyle w:val="subsection"/>
      </w:pPr>
      <w:r w:rsidRPr="00B4686B">
        <w:tab/>
        <w:t>(</w:t>
      </w:r>
      <w:r w:rsidR="005E7319" w:rsidRPr="00B4686B">
        <w:t>6</w:t>
      </w:r>
      <w:r w:rsidRPr="00B4686B">
        <w:t>)</w:t>
      </w:r>
      <w:r w:rsidRPr="00B4686B">
        <w:tab/>
        <w:t xml:space="preserve">If the entity that </w:t>
      </w:r>
      <w:r w:rsidR="00E245F7" w:rsidRPr="00B4686B">
        <w:t>would be the user of the future energy in accordance with subregulation (1)</w:t>
      </w:r>
      <w:r w:rsidR="005E7319" w:rsidRPr="00B4686B">
        <w:t xml:space="preserve"> </w:t>
      </w:r>
      <w:r w:rsidRPr="00B4686B">
        <w:t xml:space="preserve">notifies the Secretary, in writing, that it no longer wants the second entity to be the user of </w:t>
      </w:r>
      <w:r w:rsidR="00E245F7" w:rsidRPr="00B4686B">
        <w:t xml:space="preserve">the future </w:t>
      </w:r>
      <w:r w:rsidRPr="00B4686B">
        <w:t>energy:</w:t>
      </w:r>
    </w:p>
    <w:p w:rsidR="00B856B4" w:rsidRPr="00B4686B" w:rsidRDefault="00B856B4" w:rsidP="00B856B4">
      <w:pPr>
        <w:pStyle w:val="paragraph"/>
      </w:pPr>
      <w:r w:rsidRPr="00B4686B">
        <w:tab/>
        <w:t>(a)</w:t>
      </w:r>
      <w:r w:rsidRPr="00B4686B">
        <w:tab/>
        <w:t xml:space="preserve">the second entity ceases to be the user of </w:t>
      </w:r>
      <w:r w:rsidR="00E245F7" w:rsidRPr="00B4686B">
        <w:t xml:space="preserve">the future </w:t>
      </w:r>
      <w:r w:rsidRPr="00B4686B">
        <w:t>energy when the Secretary receives the notice; and</w:t>
      </w:r>
    </w:p>
    <w:p w:rsidR="00B856B4" w:rsidRPr="00B4686B" w:rsidRDefault="00B856B4" w:rsidP="00B856B4">
      <w:pPr>
        <w:pStyle w:val="paragraph"/>
      </w:pPr>
      <w:r w:rsidRPr="00B4686B">
        <w:tab/>
        <w:t>(b)</w:t>
      </w:r>
      <w:r w:rsidRPr="00B4686B">
        <w:tab/>
        <w:t xml:space="preserve">the entity that </w:t>
      </w:r>
      <w:r w:rsidR="00E245F7" w:rsidRPr="00B4686B">
        <w:t>notified the Secretary</w:t>
      </w:r>
      <w:r w:rsidRPr="00B4686B">
        <w:t xml:space="preserve"> becomes the user of </w:t>
      </w:r>
      <w:r w:rsidR="00E245F7" w:rsidRPr="00B4686B">
        <w:t xml:space="preserve">the future </w:t>
      </w:r>
      <w:r w:rsidRPr="00B4686B">
        <w:t>energy.</w:t>
      </w:r>
    </w:p>
    <w:p w:rsidR="00B856B4" w:rsidRPr="00B4686B" w:rsidRDefault="00B856B4" w:rsidP="00B856B4">
      <w:pPr>
        <w:pStyle w:val="subsection"/>
      </w:pPr>
      <w:r w:rsidRPr="00B4686B">
        <w:tab/>
        <w:t>(</w:t>
      </w:r>
      <w:r w:rsidR="005E7319" w:rsidRPr="00B4686B">
        <w:t>7</w:t>
      </w:r>
      <w:r w:rsidRPr="00B4686B">
        <w:t>)</w:t>
      </w:r>
      <w:r w:rsidRPr="00B4686B">
        <w:tab/>
        <w:t xml:space="preserve">If the second entity notifies the Secretary, in writing, that it no longer wants to be the user of </w:t>
      </w:r>
      <w:r w:rsidR="00E245F7" w:rsidRPr="00B4686B">
        <w:t xml:space="preserve">the future </w:t>
      </w:r>
      <w:r w:rsidRPr="00B4686B">
        <w:t>energy:</w:t>
      </w:r>
    </w:p>
    <w:p w:rsidR="00B856B4" w:rsidRPr="00B4686B" w:rsidRDefault="00B856B4" w:rsidP="00B856B4">
      <w:pPr>
        <w:pStyle w:val="paragraph"/>
      </w:pPr>
      <w:r w:rsidRPr="00B4686B">
        <w:tab/>
        <w:t>(a)</w:t>
      </w:r>
      <w:r w:rsidRPr="00B4686B">
        <w:tab/>
        <w:t xml:space="preserve">the second entity ceases to be the user of </w:t>
      </w:r>
      <w:r w:rsidR="00E245F7" w:rsidRPr="00B4686B">
        <w:t xml:space="preserve">the future </w:t>
      </w:r>
      <w:r w:rsidRPr="00B4686B">
        <w:t>energy when the Secretary receives the notice; and</w:t>
      </w:r>
    </w:p>
    <w:p w:rsidR="00B856B4" w:rsidRPr="00B4686B" w:rsidRDefault="00B856B4" w:rsidP="00B856B4">
      <w:pPr>
        <w:pStyle w:val="paragraph"/>
      </w:pPr>
      <w:r w:rsidRPr="00B4686B">
        <w:tab/>
        <w:t>(b)</w:t>
      </w:r>
      <w:r w:rsidRPr="00B4686B">
        <w:tab/>
      </w:r>
      <w:r w:rsidR="00E245F7" w:rsidRPr="00B4686B">
        <w:t>the entity that would be the user of the future energy in accordance with subregulation (1)</w:t>
      </w:r>
      <w:r w:rsidR="005E7319" w:rsidRPr="00B4686B">
        <w:t xml:space="preserve"> </w:t>
      </w:r>
      <w:r w:rsidRPr="00B4686B">
        <w:t xml:space="preserve">becomes the user of </w:t>
      </w:r>
      <w:r w:rsidR="00E245F7" w:rsidRPr="00B4686B">
        <w:t xml:space="preserve">the future </w:t>
      </w:r>
      <w:r w:rsidRPr="00B4686B">
        <w:t>energy.</w:t>
      </w:r>
    </w:p>
    <w:p w:rsidR="00435AF6" w:rsidRPr="00B4686B" w:rsidRDefault="00DC0E16" w:rsidP="00435AF6">
      <w:pPr>
        <w:pStyle w:val="ItemHead"/>
      </w:pPr>
      <w:r w:rsidRPr="00B4686B">
        <w:t>7</w:t>
      </w:r>
      <w:r w:rsidR="00435AF6" w:rsidRPr="00B4686B">
        <w:t xml:space="preserve">  Paragraph 1.5(2)(b)</w:t>
      </w:r>
    </w:p>
    <w:p w:rsidR="00435AF6" w:rsidRPr="00B4686B" w:rsidRDefault="00297655" w:rsidP="00435AF6">
      <w:pPr>
        <w:pStyle w:val="Item"/>
      </w:pPr>
      <w:r w:rsidRPr="00B4686B">
        <w:t>Omit “future use of energy”, substitute “future energy use”.</w:t>
      </w:r>
    </w:p>
    <w:p w:rsidR="00EF1D77" w:rsidRPr="00B4686B" w:rsidRDefault="00EF1D77" w:rsidP="00EF1D77">
      <w:pPr>
        <w:pStyle w:val="ItemHead"/>
      </w:pPr>
      <w:r w:rsidRPr="00B4686B">
        <w:lastRenderedPageBreak/>
        <w:t>8  After regulation</w:t>
      </w:r>
      <w:r w:rsidR="00B4686B" w:rsidRPr="00B4686B">
        <w:t> </w:t>
      </w:r>
      <w:r w:rsidRPr="00B4686B">
        <w:t>1.5</w:t>
      </w:r>
    </w:p>
    <w:p w:rsidR="00EF1D77" w:rsidRPr="00B4686B" w:rsidRDefault="00EF1D77" w:rsidP="00EF1D77">
      <w:pPr>
        <w:pStyle w:val="Item"/>
      </w:pPr>
      <w:r w:rsidRPr="00B4686B">
        <w:t>Insert:</w:t>
      </w:r>
    </w:p>
    <w:p w:rsidR="00EF1D77" w:rsidRPr="00B4686B" w:rsidRDefault="00EF1D77" w:rsidP="00EF1D77">
      <w:pPr>
        <w:pStyle w:val="ActHead5"/>
        <w:rPr>
          <w:bCs/>
        </w:rPr>
      </w:pPr>
      <w:bookmarkStart w:id="15" w:name="_Toc360028925"/>
      <w:r w:rsidRPr="00B4686B">
        <w:rPr>
          <w:rStyle w:val="CharSectno"/>
        </w:rPr>
        <w:t>1.5A</w:t>
      </w:r>
      <w:r w:rsidRPr="00B4686B">
        <w:t xml:space="preserve">  Energy use threshold—energy used for </w:t>
      </w:r>
      <w:r w:rsidRPr="00B4686B">
        <w:rPr>
          <w:bCs/>
        </w:rPr>
        <w:t>supporting services or supporting infrastructure for new developments and expansions</w:t>
      </w:r>
      <w:bookmarkEnd w:id="15"/>
    </w:p>
    <w:p w:rsidR="00EF1D77" w:rsidRPr="00B4686B" w:rsidRDefault="00EF1D77" w:rsidP="00EF1D77">
      <w:pPr>
        <w:pStyle w:val="subsection"/>
      </w:pPr>
      <w:r w:rsidRPr="00B4686B">
        <w:tab/>
        <w:t>(1)</w:t>
      </w:r>
      <w:r w:rsidRPr="00B4686B">
        <w:tab/>
        <w:t>This regulation applies if:</w:t>
      </w:r>
    </w:p>
    <w:p w:rsidR="00EF1D77" w:rsidRPr="00B4686B" w:rsidRDefault="00EF1D77" w:rsidP="00EF1D77">
      <w:pPr>
        <w:pStyle w:val="paragraph"/>
        <w:rPr>
          <w:bCs/>
        </w:rPr>
      </w:pPr>
      <w:r w:rsidRPr="00B4686B">
        <w:rPr>
          <w:bCs/>
        </w:rPr>
        <w:tab/>
        <w:t>(a)</w:t>
      </w:r>
      <w:r w:rsidRPr="00B4686B">
        <w:rPr>
          <w:bCs/>
        </w:rPr>
        <w:tab/>
      </w:r>
      <w:r w:rsidRPr="00B4686B">
        <w:t xml:space="preserve">a project is a new development </w:t>
      </w:r>
      <w:r w:rsidR="00985945" w:rsidRPr="00B4686B">
        <w:t>or an expansion</w:t>
      </w:r>
      <w:r w:rsidRPr="00B4686B">
        <w:t xml:space="preserve"> at which energy is </w:t>
      </w:r>
      <w:r w:rsidR="00F0638F" w:rsidRPr="00B4686B">
        <w:t xml:space="preserve">to be </w:t>
      </w:r>
      <w:r w:rsidRPr="00B4686B">
        <w:t>consumed; and</w:t>
      </w:r>
    </w:p>
    <w:p w:rsidR="00EF1D77" w:rsidRPr="00B4686B" w:rsidRDefault="00EF1D77" w:rsidP="00EF1D77">
      <w:pPr>
        <w:pStyle w:val="paragraph"/>
        <w:rPr>
          <w:bCs/>
        </w:rPr>
      </w:pPr>
      <w:r w:rsidRPr="00B4686B">
        <w:rPr>
          <w:bCs/>
        </w:rPr>
        <w:tab/>
        <w:t>(b)</w:t>
      </w:r>
      <w:r w:rsidRPr="00B4686B">
        <w:rPr>
          <w:bCs/>
        </w:rPr>
        <w:tab/>
        <w:t>the design of the project involves the provision of a service, site, or supporting infrastructure that is not under the control of the registered corporation.</w:t>
      </w:r>
    </w:p>
    <w:p w:rsidR="00EF1D77" w:rsidRPr="00B4686B" w:rsidRDefault="00EF1D77" w:rsidP="00EF1D77">
      <w:pPr>
        <w:pStyle w:val="subsection"/>
      </w:pPr>
      <w:r w:rsidRPr="00B4686B">
        <w:tab/>
        <w:t>(2)</w:t>
      </w:r>
      <w:r w:rsidRPr="00B4686B">
        <w:tab/>
        <w:t>The registered corporation is not required to:</w:t>
      </w:r>
    </w:p>
    <w:p w:rsidR="00EF1D77" w:rsidRPr="00B4686B" w:rsidRDefault="00EF1D77" w:rsidP="00EF1D77">
      <w:pPr>
        <w:pStyle w:val="paragraph"/>
        <w:rPr>
          <w:bCs/>
        </w:rPr>
      </w:pPr>
      <w:r w:rsidRPr="00B4686B">
        <w:rPr>
          <w:bCs/>
        </w:rPr>
        <w:tab/>
        <w:t>(a)</w:t>
      </w:r>
      <w:r w:rsidRPr="00B4686B">
        <w:rPr>
          <w:bCs/>
        </w:rPr>
        <w:tab/>
        <w:t xml:space="preserve">treat the energy </w:t>
      </w:r>
      <w:r w:rsidR="00F0638F" w:rsidRPr="00B4686B">
        <w:rPr>
          <w:bCs/>
        </w:rPr>
        <w:t xml:space="preserve">to be </w:t>
      </w:r>
      <w:r w:rsidRPr="00B4686B">
        <w:rPr>
          <w:bCs/>
        </w:rPr>
        <w:t>used in relation to the service, site, or supporting infrastructure as energy used; and</w:t>
      </w:r>
    </w:p>
    <w:p w:rsidR="00EF1D77" w:rsidRPr="00B4686B" w:rsidRDefault="00EF1D77" w:rsidP="00EF1D77">
      <w:pPr>
        <w:pStyle w:val="paragraph"/>
        <w:rPr>
          <w:bCs/>
        </w:rPr>
      </w:pPr>
      <w:r w:rsidRPr="00B4686B">
        <w:rPr>
          <w:bCs/>
        </w:rPr>
        <w:tab/>
        <w:t>(b)</w:t>
      </w:r>
      <w:r w:rsidRPr="00B4686B">
        <w:rPr>
          <w:bCs/>
        </w:rPr>
        <w:tab/>
        <w:t>include that energy as part of its baseline energy.</w:t>
      </w:r>
    </w:p>
    <w:p w:rsidR="00D83CB8" w:rsidRPr="00B4686B" w:rsidRDefault="00E7456E" w:rsidP="005F7593">
      <w:pPr>
        <w:pStyle w:val="ItemHead"/>
      </w:pPr>
      <w:r w:rsidRPr="00B4686B">
        <w:t>9</w:t>
      </w:r>
      <w:r w:rsidR="00D83CB8" w:rsidRPr="00B4686B">
        <w:t xml:space="preserve">  Regulation</w:t>
      </w:r>
      <w:r w:rsidR="00B4686B" w:rsidRPr="00B4686B">
        <w:t> </w:t>
      </w:r>
      <w:r w:rsidR="00D83CB8" w:rsidRPr="00B4686B">
        <w:t>5.2</w:t>
      </w:r>
    </w:p>
    <w:p w:rsidR="00D83CB8" w:rsidRPr="00B4686B" w:rsidRDefault="00D83CB8" w:rsidP="00D83CB8">
      <w:pPr>
        <w:pStyle w:val="Item"/>
      </w:pPr>
      <w:r w:rsidRPr="00B4686B">
        <w:t>Repeal the regulation, substitute:</w:t>
      </w:r>
    </w:p>
    <w:p w:rsidR="00D83CB8" w:rsidRPr="00B4686B" w:rsidRDefault="00D83CB8" w:rsidP="00D83CB8">
      <w:pPr>
        <w:pStyle w:val="ActHead5"/>
      </w:pPr>
      <w:bookmarkStart w:id="16" w:name="_Toc360028926"/>
      <w:r w:rsidRPr="00B4686B">
        <w:rPr>
          <w:rStyle w:val="CharSectno"/>
        </w:rPr>
        <w:t>5.2</w:t>
      </w:r>
      <w:r w:rsidRPr="00B4686B">
        <w:t xml:space="preserve">  Requirements for an assessment plan—content of plan</w:t>
      </w:r>
      <w:bookmarkEnd w:id="16"/>
    </w:p>
    <w:p w:rsidR="00D83CB8" w:rsidRPr="00B4686B" w:rsidRDefault="00D83CB8" w:rsidP="00D83CB8">
      <w:pPr>
        <w:pStyle w:val="subsection"/>
      </w:pPr>
      <w:r w:rsidRPr="00B4686B">
        <w:tab/>
        <w:t>(1)</w:t>
      </w:r>
      <w:r w:rsidRPr="00B4686B">
        <w:tab/>
        <w:t>For paragraph</w:t>
      </w:r>
      <w:r w:rsidR="00B4686B" w:rsidRPr="00B4686B">
        <w:t> </w:t>
      </w:r>
      <w:r w:rsidRPr="00B4686B">
        <w:t>18(8)(b) of the Act, the information mentioned in this regulation must be set out in an assessment plan.</w:t>
      </w:r>
    </w:p>
    <w:p w:rsidR="00FA226A" w:rsidRPr="00B4686B" w:rsidRDefault="00FA226A" w:rsidP="00FA226A">
      <w:pPr>
        <w:pStyle w:val="SubsectionHead"/>
      </w:pPr>
      <w:r w:rsidRPr="00B4686B">
        <w:t xml:space="preserve">Assessment plan for a new development </w:t>
      </w:r>
      <w:r w:rsidR="00985945" w:rsidRPr="00B4686B">
        <w:t>or an expansion</w:t>
      </w:r>
    </w:p>
    <w:p w:rsidR="00FA226A" w:rsidRPr="00B4686B" w:rsidRDefault="00FA226A" w:rsidP="00FA226A">
      <w:pPr>
        <w:pStyle w:val="subsection"/>
      </w:pPr>
      <w:r w:rsidRPr="00B4686B">
        <w:tab/>
        <w:t>(2)</w:t>
      </w:r>
      <w:r w:rsidRPr="00B4686B">
        <w:tab/>
        <w:t xml:space="preserve">If the assessment plan relates to a new development </w:t>
      </w:r>
      <w:r w:rsidR="00985945" w:rsidRPr="00B4686B">
        <w:t>or an expansion</w:t>
      </w:r>
      <w:r w:rsidRPr="00B4686B">
        <w:t>, the information:</w:t>
      </w:r>
    </w:p>
    <w:p w:rsidR="00FA226A" w:rsidRPr="00B4686B" w:rsidRDefault="00FA226A" w:rsidP="00FA226A">
      <w:pPr>
        <w:pStyle w:val="paragraph"/>
      </w:pPr>
      <w:r w:rsidRPr="00B4686B">
        <w:tab/>
        <w:t>(a)</w:t>
      </w:r>
      <w:r w:rsidRPr="00B4686B">
        <w:tab/>
        <w:t>is the information set out in Schedule</w:t>
      </w:r>
      <w:r w:rsidR="00B4686B" w:rsidRPr="00B4686B">
        <w:t> </w:t>
      </w:r>
      <w:r w:rsidRPr="00B4686B">
        <w:t>2A; and</w:t>
      </w:r>
    </w:p>
    <w:p w:rsidR="00FA226A" w:rsidRPr="00B4686B" w:rsidRDefault="00FA226A" w:rsidP="00FA226A">
      <w:pPr>
        <w:pStyle w:val="paragraph"/>
      </w:pPr>
      <w:r w:rsidRPr="00B4686B">
        <w:tab/>
        <w:t>(b)</w:t>
      </w:r>
      <w:r w:rsidRPr="00B4686B">
        <w:tab/>
        <w:t>must relate to:</w:t>
      </w:r>
    </w:p>
    <w:p w:rsidR="00FA226A" w:rsidRPr="00B4686B" w:rsidRDefault="00FA226A" w:rsidP="00FA226A">
      <w:pPr>
        <w:pStyle w:val="paragraphsub"/>
      </w:pPr>
      <w:r w:rsidRPr="00B4686B">
        <w:tab/>
        <w:t>(i)</w:t>
      </w:r>
      <w:r w:rsidRPr="00B4686B">
        <w:tab/>
        <w:t>the controlling corporation’s group as a whole; or</w:t>
      </w:r>
    </w:p>
    <w:p w:rsidR="00FA226A" w:rsidRPr="00B4686B" w:rsidRDefault="00FA226A" w:rsidP="00FA226A">
      <w:pPr>
        <w:pStyle w:val="paragraphsub"/>
      </w:pPr>
      <w:r w:rsidRPr="00B4686B">
        <w:tab/>
        <w:t>(ii)</w:t>
      </w:r>
      <w:r w:rsidRPr="00B4686B">
        <w:tab/>
        <w:t>if the controlling corporation has authorised members of the group to submit parts of the plan—all of the group, when the parts are combined.</w:t>
      </w:r>
    </w:p>
    <w:p w:rsidR="00D83CB8" w:rsidRPr="00B4686B" w:rsidRDefault="00147C65" w:rsidP="00D83CB8">
      <w:pPr>
        <w:pStyle w:val="SubsectionHead"/>
      </w:pPr>
      <w:r w:rsidRPr="00B4686B">
        <w:lastRenderedPageBreak/>
        <w:t>Assessment plan</w:t>
      </w:r>
      <w:r w:rsidR="00D83CB8" w:rsidRPr="00B4686B">
        <w:t xml:space="preserve"> other than </w:t>
      </w:r>
      <w:r w:rsidRPr="00B4686B">
        <w:t xml:space="preserve">for </w:t>
      </w:r>
      <w:r w:rsidR="00D83CB8" w:rsidRPr="00B4686B">
        <w:t xml:space="preserve">a new development </w:t>
      </w:r>
      <w:r w:rsidR="00985945" w:rsidRPr="00B4686B">
        <w:t>or an expansion</w:t>
      </w:r>
    </w:p>
    <w:p w:rsidR="00D83CB8" w:rsidRPr="00B4686B" w:rsidRDefault="00FA226A" w:rsidP="00D83CB8">
      <w:pPr>
        <w:pStyle w:val="subsection"/>
      </w:pPr>
      <w:r w:rsidRPr="00B4686B">
        <w:tab/>
        <w:t>(3</w:t>
      </w:r>
      <w:r w:rsidR="00D83CB8" w:rsidRPr="00B4686B">
        <w:t>)</w:t>
      </w:r>
      <w:r w:rsidR="00D83CB8" w:rsidRPr="00B4686B">
        <w:tab/>
        <w:t xml:space="preserve">If the </w:t>
      </w:r>
      <w:r w:rsidR="00147C65" w:rsidRPr="00B4686B">
        <w:t>assessment plan does</w:t>
      </w:r>
      <w:r w:rsidR="00D83CB8" w:rsidRPr="00B4686B">
        <w:t xml:space="preserve"> not </w:t>
      </w:r>
      <w:r w:rsidR="00147C65" w:rsidRPr="00B4686B">
        <w:t xml:space="preserve">relate to </w:t>
      </w:r>
      <w:r w:rsidR="00D83CB8" w:rsidRPr="00B4686B">
        <w:t xml:space="preserve">a new development </w:t>
      </w:r>
      <w:r w:rsidR="00985945" w:rsidRPr="00B4686B">
        <w:t>or an expansion</w:t>
      </w:r>
      <w:r w:rsidR="00D83CB8" w:rsidRPr="00B4686B">
        <w:t>, the informatio</w:t>
      </w:r>
      <w:r w:rsidR="00147C65" w:rsidRPr="00B4686B">
        <w:t>n</w:t>
      </w:r>
      <w:r w:rsidR="00D83CB8" w:rsidRPr="00B4686B">
        <w:t>:</w:t>
      </w:r>
    </w:p>
    <w:p w:rsidR="00D83CB8" w:rsidRPr="00B4686B" w:rsidRDefault="00147C65" w:rsidP="00D83CB8">
      <w:pPr>
        <w:pStyle w:val="paragraph"/>
      </w:pPr>
      <w:r w:rsidRPr="00B4686B">
        <w:tab/>
      </w:r>
      <w:r w:rsidR="00D83CB8" w:rsidRPr="00B4686B">
        <w:t>(a)</w:t>
      </w:r>
      <w:r w:rsidRPr="00B4686B">
        <w:tab/>
        <w:t xml:space="preserve">is </w:t>
      </w:r>
      <w:r w:rsidR="00D83CB8" w:rsidRPr="00B4686B">
        <w:t>the information set out in Schedule</w:t>
      </w:r>
      <w:r w:rsidR="00B4686B" w:rsidRPr="00B4686B">
        <w:t> </w:t>
      </w:r>
      <w:r w:rsidR="00D83CB8" w:rsidRPr="00B4686B">
        <w:t>3; and</w:t>
      </w:r>
    </w:p>
    <w:p w:rsidR="00D83CB8" w:rsidRPr="00B4686B" w:rsidRDefault="00147C65" w:rsidP="00D83CB8">
      <w:pPr>
        <w:pStyle w:val="paragraph"/>
      </w:pPr>
      <w:r w:rsidRPr="00B4686B">
        <w:tab/>
      </w:r>
      <w:r w:rsidR="00D83CB8" w:rsidRPr="00B4686B">
        <w:t>(b</w:t>
      </w:r>
      <w:r w:rsidRPr="00B4686B">
        <w:t>)</w:t>
      </w:r>
      <w:r w:rsidRPr="00B4686B">
        <w:tab/>
        <w:t xml:space="preserve">must </w:t>
      </w:r>
      <w:r w:rsidR="00D83CB8" w:rsidRPr="00B4686B">
        <w:t>relate</w:t>
      </w:r>
      <w:r w:rsidRPr="00B4686B">
        <w:t xml:space="preserve"> to</w:t>
      </w:r>
      <w:r w:rsidR="00D83CB8" w:rsidRPr="00B4686B">
        <w:t>:</w:t>
      </w:r>
    </w:p>
    <w:p w:rsidR="00D83CB8" w:rsidRPr="00B4686B" w:rsidRDefault="00147C65" w:rsidP="00D83CB8">
      <w:pPr>
        <w:pStyle w:val="paragraphsub"/>
      </w:pPr>
      <w:r w:rsidRPr="00B4686B">
        <w:tab/>
      </w:r>
      <w:r w:rsidR="00D83CB8" w:rsidRPr="00B4686B">
        <w:t>(i)</w:t>
      </w:r>
      <w:r w:rsidRPr="00B4686B">
        <w:tab/>
      </w:r>
      <w:r w:rsidR="00D83CB8" w:rsidRPr="00B4686B">
        <w:t>the controlling corporation’s group as a whole; or</w:t>
      </w:r>
    </w:p>
    <w:p w:rsidR="00D83CB8" w:rsidRPr="00B4686B" w:rsidRDefault="00147C65" w:rsidP="00D83CB8">
      <w:pPr>
        <w:pStyle w:val="paragraphsub"/>
      </w:pPr>
      <w:r w:rsidRPr="00B4686B">
        <w:tab/>
      </w:r>
      <w:r w:rsidR="00D83CB8" w:rsidRPr="00B4686B">
        <w:t>(ii)</w:t>
      </w:r>
      <w:r w:rsidRPr="00B4686B">
        <w:tab/>
      </w:r>
      <w:r w:rsidR="00D83CB8" w:rsidRPr="00B4686B">
        <w:t>if the controlling corporation has authorised members of the gr</w:t>
      </w:r>
      <w:r w:rsidRPr="00B4686B">
        <w:t>oup to submit parts of the plan</w:t>
      </w:r>
      <w:r w:rsidR="00D83CB8" w:rsidRPr="00B4686B">
        <w:t>—all of the group, when the parts are combined.</w:t>
      </w:r>
    </w:p>
    <w:p w:rsidR="00F123F7" w:rsidRPr="00B4686B" w:rsidRDefault="00F123F7" w:rsidP="00147C65">
      <w:pPr>
        <w:pStyle w:val="SubsectionHead"/>
      </w:pPr>
      <w:r w:rsidRPr="00B4686B">
        <w:t>Combined assessment plan</w:t>
      </w:r>
    </w:p>
    <w:p w:rsidR="00F123F7" w:rsidRPr="00B4686B" w:rsidRDefault="00F123F7" w:rsidP="00F123F7">
      <w:pPr>
        <w:pStyle w:val="subsection"/>
      </w:pPr>
      <w:r w:rsidRPr="00B4686B">
        <w:tab/>
        <w:t>(4)</w:t>
      </w:r>
      <w:r w:rsidRPr="00B4686B">
        <w:tab/>
        <w:t>If</w:t>
      </w:r>
      <w:r w:rsidR="005E7319" w:rsidRPr="00B4686B">
        <w:t xml:space="preserve"> subregulations (2) and (3) would both apply to an assessment plan</w:t>
      </w:r>
      <w:r w:rsidRPr="00B4686B">
        <w:t>:</w:t>
      </w:r>
    </w:p>
    <w:p w:rsidR="00F123F7" w:rsidRPr="00B4686B" w:rsidRDefault="00F123F7" w:rsidP="00F123F7">
      <w:pPr>
        <w:pStyle w:val="paragraph"/>
      </w:pPr>
      <w:r w:rsidRPr="00B4686B">
        <w:tab/>
        <w:t>(a)</w:t>
      </w:r>
      <w:r w:rsidRPr="00B4686B">
        <w:tab/>
        <w:t xml:space="preserve">subregulation (2) applies to the </w:t>
      </w:r>
      <w:r w:rsidR="00040EDE" w:rsidRPr="00B4686B">
        <w:t>extent</w:t>
      </w:r>
      <w:r w:rsidRPr="00B4686B">
        <w:t xml:space="preserve"> </w:t>
      </w:r>
      <w:r w:rsidR="005E7319" w:rsidRPr="00B4686B">
        <w:t xml:space="preserve">that </w:t>
      </w:r>
      <w:r w:rsidR="00040EDE" w:rsidRPr="00B4686B">
        <w:t xml:space="preserve">the assessment plan </w:t>
      </w:r>
      <w:r w:rsidR="005E7319" w:rsidRPr="00B4686B">
        <w:t>relates to</w:t>
      </w:r>
      <w:r w:rsidRPr="00B4686B">
        <w:t xml:space="preserve"> the new development or </w:t>
      </w:r>
      <w:r w:rsidR="00985945" w:rsidRPr="00B4686B">
        <w:t xml:space="preserve">the </w:t>
      </w:r>
      <w:r w:rsidRPr="00B4686B">
        <w:t>expansion; and</w:t>
      </w:r>
    </w:p>
    <w:p w:rsidR="00F123F7" w:rsidRPr="00B4686B" w:rsidRDefault="00F123F7" w:rsidP="00F123F7">
      <w:pPr>
        <w:pStyle w:val="paragraph"/>
      </w:pPr>
      <w:r w:rsidRPr="00B4686B">
        <w:tab/>
        <w:t>(b)</w:t>
      </w:r>
      <w:r w:rsidRPr="00B4686B">
        <w:tab/>
        <w:t xml:space="preserve">subregulation (3) applies </w:t>
      </w:r>
      <w:r w:rsidR="00040EDE" w:rsidRPr="00B4686B">
        <w:t>to the extent that the assessment plan relates</w:t>
      </w:r>
      <w:r w:rsidR="005E7319" w:rsidRPr="00B4686B">
        <w:t xml:space="preserve"> to</w:t>
      </w:r>
      <w:r w:rsidRPr="00B4686B">
        <w:t xml:space="preserve"> the development or expansion that is not a new development </w:t>
      </w:r>
      <w:r w:rsidR="00985945" w:rsidRPr="00B4686B">
        <w:t>or an expansion</w:t>
      </w:r>
      <w:r w:rsidRPr="00B4686B">
        <w:t>.</w:t>
      </w:r>
    </w:p>
    <w:p w:rsidR="00D83CB8" w:rsidRPr="00B4686B" w:rsidRDefault="00E7456E" w:rsidP="00D83CB8">
      <w:pPr>
        <w:pStyle w:val="ItemHead"/>
      </w:pPr>
      <w:r w:rsidRPr="00B4686B">
        <w:t>10</w:t>
      </w:r>
      <w:r w:rsidR="00C430C2" w:rsidRPr="00B4686B">
        <w:t xml:space="preserve">  After subregulation</w:t>
      </w:r>
      <w:r w:rsidR="00B4686B" w:rsidRPr="00B4686B">
        <w:t> </w:t>
      </w:r>
      <w:r w:rsidR="00C430C2" w:rsidRPr="00B4686B">
        <w:t>5.3(4)</w:t>
      </w:r>
    </w:p>
    <w:p w:rsidR="00C430C2" w:rsidRPr="00B4686B" w:rsidRDefault="00C430C2" w:rsidP="00C430C2">
      <w:pPr>
        <w:pStyle w:val="Item"/>
      </w:pPr>
      <w:r w:rsidRPr="00B4686B">
        <w:t>Insert:</w:t>
      </w:r>
    </w:p>
    <w:p w:rsidR="00C430C2" w:rsidRPr="00B4686B" w:rsidRDefault="00C430C2" w:rsidP="00C430C2">
      <w:pPr>
        <w:pStyle w:val="subsection"/>
      </w:pPr>
      <w:r w:rsidRPr="00B4686B">
        <w:tab/>
        <w:t>(4A)</w:t>
      </w:r>
      <w:r w:rsidRPr="00B4686B">
        <w:tab/>
        <w:t>In addition to subregulation (4), if:</w:t>
      </w:r>
    </w:p>
    <w:p w:rsidR="00C430C2" w:rsidRPr="00B4686B" w:rsidRDefault="00C430C2" w:rsidP="00C430C2">
      <w:pPr>
        <w:pStyle w:val="paragraph"/>
      </w:pPr>
      <w:r w:rsidRPr="00B4686B">
        <w:tab/>
        <w:t>(a)</w:t>
      </w:r>
      <w:r w:rsidRPr="00B4686B">
        <w:tab/>
        <w:t>a member of the controlling corporation’s group acquires a site within 18 months before the end of the relevant assessment cycle; and</w:t>
      </w:r>
    </w:p>
    <w:p w:rsidR="00C430C2" w:rsidRPr="00B4686B" w:rsidRDefault="00C430C2" w:rsidP="00C430C2">
      <w:pPr>
        <w:pStyle w:val="paragraph"/>
      </w:pPr>
      <w:r w:rsidRPr="00B4686B">
        <w:tab/>
        <w:t>(b)</w:t>
      </w:r>
      <w:r w:rsidRPr="00B4686B">
        <w:tab/>
        <w:t>the site uses more than 0.5 PJ during a financial year after the acquisition;</w:t>
      </w:r>
    </w:p>
    <w:p w:rsidR="00C430C2" w:rsidRPr="00B4686B" w:rsidRDefault="00C430C2" w:rsidP="00C430C2">
      <w:pPr>
        <w:pStyle w:val="subsection2"/>
      </w:pPr>
      <w:r w:rsidRPr="00B4686B">
        <w:t>the controlling corporation’s group must assess the site and subregulation (5) or (7) applies.</w:t>
      </w:r>
    </w:p>
    <w:p w:rsidR="00466436" w:rsidRPr="00B4686B" w:rsidRDefault="00DC0E16" w:rsidP="00466436">
      <w:pPr>
        <w:pStyle w:val="ItemHead"/>
      </w:pPr>
      <w:r w:rsidRPr="00B4686B">
        <w:t>1</w:t>
      </w:r>
      <w:r w:rsidR="00E7456E" w:rsidRPr="00B4686B">
        <w:t>1</w:t>
      </w:r>
      <w:r w:rsidR="00466436" w:rsidRPr="00B4686B">
        <w:t xml:space="preserve">  Subregulation</w:t>
      </w:r>
      <w:r w:rsidR="00B4686B" w:rsidRPr="00B4686B">
        <w:t> </w:t>
      </w:r>
      <w:r w:rsidR="00466436" w:rsidRPr="00B4686B">
        <w:t>5.3(9)</w:t>
      </w:r>
    </w:p>
    <w:p w:rsidR="00466436" w:rsidRPr="00B4686B" w:rsidRDefault="00466436" w:rsidP="00466436">
      <w:pPr>
        <w:pStyle w:val="Item"/>
      </w:pPr>
      <w:r w:rsidRPr="00B4686B">
        <w:t>Repeal the subregulation.</w:t>
      </w:r>
    </w:p>
    <w:p w:rsidR="00DA4687" w:rsidRPr="00B4686B" w:rsidRDefault="00DC0E16" w:rsidP="005F7593">
      <w:pPr>
        <w:pStyle w:val="ItemHead"/>
      </w:pPr>
      <w:r w:rsidRPr="00B4686B">
        <w:t>1</w:t>
      </w:r>
      <w:r w:rsidR="00E7456E" w:rsidRPr="00B4686B">
        <w:t>2</w:t>
      </w:r>
      <w:r w:rsidR="00DA4687" w:rsidRPr="00B4686B">
        <w:t xml:space="preserve">  </w:t>
      </w:r>
      <w:r w:rsidR="00466436" w:rsidRPr="00B4686B">
        <w:t>A</w:t>
      </w:r>
      <w:r w:rsidR="007823E7" w:rsidRPr="00B4686B">
        <w:t>fter sub</w:t>
      </w:r>
      <w:r w:rsidR="00466436" w:rsidRPr="00B4686B">
        <w:t>regulation</w:t>
      </w:r>
      <w:r w:rsidR="00B4686B" w:rsidRPr="00B4686B">
        <w:t> </w:t>
      </w:r>
      <w:r w:rsidR="00466436" w:rsidRPr="00B4686B">
        <w:t>5.6</w:t>
      </w:r>
      <w:r w:rsidR="007823E7" w:rsidRPr="00B4686B">
        <w:t>(3)</w:t>
      </w:r>
    </w:p>
    <w:p w:rsidR="00DA4687" w:rsidRPr="00B4686B" w:rsidRDefault="007823E7" w:rsidP="00DA4687">
      <w:pPr>
        <w:pStyle w:val="Item"/>
      </w:pPr>
      <w:r w:rsidRPr="00B4686B">
        <w:t>Insert</w:t>
      </w:r>
      <w:r w:rsidR="00466436" w:rsidRPr="00B4686B">
        <w:t>:</w:t>
      </w:r>
    </w:p>
    <w:p w:rsidR="00466436" w:rsidRPr="00B4686B" w:rsidRDefault="00466436" w:rsidP="007823E7">
      <w:pPr>
        <w:pStyle w:val="subsection"/>
      </w:pPr>
      <w:r w:rsidRPr="00B4686B">
        <w:lastRenderedPageBreak/>
        <w:tab/>
        <w:t>(</w:t>
      </w:r>
      <w:r w:rsidR="007823E7" w:rsidRPr="00B4686B">
        <w:t>3A</w:t>
      </w:r>
      <w:r w:rsidRPr="00B4686B">
        <w:t>)</w:t>
      </w:r>
      <w:r w:rsidRPr="00B4686B">
        <w:tab/>
      </w:r>
      <w:r w:rsidR="007823E7" w:rsidRPr="00B4686B">
        <w:t>T</w:t>
      </w:r>
      <w:r w:rsidRPr="00B4686B">
        <w:t xml:space="preserve">he </w:t>
      </w:r>
      <w:r w:rsidR="007823E7" w:rsidRPr="00B4686B">
        <w:t xml:space="preserve">different percentage in </w:t>
      </w:r>
      <w:r w:rsidR="00EF1D77" w:rsidRPr="00B4686B">
        <w:t xml:space="preserve">a </w:t>
      </w:r>
      <w:r w:rsidRPr="00B4686B">
        <w:t>proposed variation</w:t>
      </w:r>
      <w:r w:rsidR="007823E7" w:rsidRPr="00B4686B">
        <w:t xml:space="preserve"> may be calculated by excluding the percentage of baseline energy for</w:t>
      </w:r>
      <w:r w:rsidRPr="00B4686B">
        <w:t xml:space="preserve"> an existing facility </w:t>
      </w:r>
      <w:r w:rsidR="007823E7" w:rsidRPr="00B4686B">
        <w:t>if</w:t>
      </w:r>
      <w:r w:rsidRPr="00B4686B">
        <w:t>:</w:t>
      </w:r>
    </w:p>
    <w:p w:rsidR="00466436" w:rsidRPr="00B4686B" w:rsidRDefault="00466436" w:rsidP="00466436">
      <w:pPr>
        <w:pStyle w:val="paragraph"/>
      </w:pPr>
      <w:r w:rsidRPr="00B4686B">
        <w:tab/>
        <w:t>(a)</w:t>
      </w:r>
      <w:r w:rsidRPr="00B4686B">
        <w:tab/>
      </w:r>
      <w:r w:rsidR="007823E7" w:rsidRPr="00B4686B">
        <w:t xml:space="preserve">the controlling corporation </w:t>
      </w:r>
      <w:r w:rsidRPr="00B4686B">
        <w:t>was required to be registered under section</w:t>
      </w:r>
      <w:r w:rsidR="00B4686B" w:rsidRPr="00B4686B">
        <w:t> </w:t>
      </w:r>
      <w:r w:rsidRPr="00B4686B">
        <w:t xml:space="preserve">13 of the Act only because of the existence of a new development </w:t>
      </w:r>
      <w:r w:rsidR="00985945" w:rsidRPr="00B4686B">
        <w:t>or an expansion</w:t>
      </w:r>
      <w:r w:rsidRPr="00B4686B">
        <w:t>; and</w:t>
      </w:r>
    </w:p>
    <w:p w:rsidR="00466436" w:rsidRPr="00B4686B" w:rsidRDefault="00466436" w:rsidP="00466436">
      <w:pPr>
        <w:pStyle w:val="paragraph"/>
      </w:pPr>
      <w:r w:rsidRPr="00B4686B">
        <w:tab/>
        <w:t>(b)</w:t>
      </w:r>
      <w:r w:rsidRPr="00B4686B">
        <w:tab/>
        <w:t xml:space="preserve">the </w:t>
      </w:r>
      <w:r w:rsidR="00E7456E" w:rsidRPr="00B4686B">
        <w:t xml:space="preserve">controlling corporation’s group </w:t>
      </w:r>
      <w:r w:rsidR="00E87F12" w:rsidRPr="00B4686B">
        <w:t>does</w:t>
      </w:r>
      <w:r w:rsidR="00425C4E" w:rsidRPr="00B4686B">
        <w:t xml:space="preserve"> not</w:t>
      </w:r>
      <w:r w:rsidR="00E7456E" w:rsidRPr="00B4686B">
        <w:t xml:space="preserve"> m</w:t>
      </w:r>
      <w:r w:rsidR="00E87F12" w:rsidRPr="00B4686B">
        <w:t>e</w:t>
      </w:r>
      <w:r w:rsidR="00E7456E" w:rsidRPr="00B4686B">
        <w:t xml:space="preserve">et the </w:t>
      </w:r>
      <w:r w:rsidRPr="00B4686B">
        <w:t>energy use threshold</w:t>
      </w:r>
      <w:r w:rsidR="007823E7" w:rsidRPr="00B4686B">
        <w:t xml:space="preserve"> </w:t>
      </w:r>
      <w:r w:rsidR="00E7456E" w:rsidRPr="00B4686B">
        <w:t>for the year if the new development or expansion is not taken into account</w:t>
      </w:r>
      <w:r w:rsidRPr="00B4686B">
        <w:t>.</w:t>
      </w:r>
    </w:p>
    <w:p w:rsidR="005F7593" w:rsidRPr="00B4686B" w:rsidRDefault="00DC0E16" w:rsidP="005F7593">
      <w:pPr>
        <w:pStyle w:val="ItemHead"/>
      </w:pPr>
      <w:r w:rsidRPr="00B4686B">
        <w:t>1</w:t>
      </w:r>
      <w:r w:rsidR="00E7456E" w:rsidRPr="00B4686B">
        <w:t>3</w:t>
      </w:r>
      <w:r w:rsidR="00DF0F91" w:rsidRPr="00B4686B">
        <w:t xml:space="preserve">  </w:t>
      </w:r>
      <w:r w:rsidR="007D7DFB" w:rsidRPr="00B4686B">
        <w:t>At the end of Part</w:t>
      </w:r>
      <w:r w:rsidR="00B4686B" w:rsidRPr="00B4686B">
        <w:t> </w:t>
      </w:r>
      <w:r w:rsidR="007D7DFB" w:rsidRPr="00B4686B">
        <w:t>5</w:t>
      </w:r>
    </w:p>
    <w:p w:rsidR="00DF0F91" w:rsidRPr="00B4686B" w:rsidRDefault="007D7DFB" w:rsidP="00DF0F91">
      <w:pPr>
        <w:pStyle w:val="Item"/>
      </w:pPr>
      <w:r w:rsidRPr="00B4686B">
        <w:t>Add</w:t>
      </w:r>
      <w:r w:rsidR="00DF0F91" w:rsidRPr="00B4686B">
        <w:t>:</w:t>
      </w:r>
    </w:p>
    <w:p w:rsidR="007D7DFB" w:rsidRPr="00B4686B" w:rsidRDefault="007D7DFB" w:rsidP="007D7DFB">
      <w:pPr>
        <w:pStyle w:val="ActHead5"/>
        <w:rPr>
          <w:bCs/>
        </w:rPr>
      </w:pPr>
      <w:bookmarkStart w:id="17" w:name="_Toc360028927"/>
      <w:r w:rsidRPr="00B4686B">
        <w:rPr>
          <w:rStyle w:val="CharSectno"/>
        </w:rPr>
        <w:t>5.8</w:t>
      </w:r>
      <w:r w:rsidRPr="00B4686B">
        <w:t xml:space="preserve">  Variation </w:t>
      </w:r>
      <w:r w:rsidR="0016080F" w:rsidRPr="00B4686B">
        <w:t>to</w:t>
      </w:r>
      <w:r w:rsidRPr="00B4686B">
        <w:t xml:space="preserve"> </w:t>
      </w:r>
      <w:r w:rsidR="0016080F" w:rsidRPr="00B4686B">
        <w:t xml:space="preserve">approved </w:t>
      </w:r>
      <w:r w:rsidRPr="00B4686B">
        <w:t>assessment plan—</w:t>
      </w:r>
      <w:r w:rsidRPr="00B4686B">
        <w:rPr>
          <w:bCs/>
        </w:rPr>
        <w:t>new developments and expansions</w:t>
      </w:r>
      <w:bookmarkEnd w:id="17"/>
    </w:p>
    <w:p w:rsidR="008B2AEA" w:rsidRPr="00B4686B" w:rsidRDefault="0016080F" w:rsidP="0016080F">
      <w:pPr>
        <w:pStyle w:val="subsection"/>
      </w:pPr>
      <w:r w:rsidRPr="00B4686B">
        <w:tab/>
        <w:t>(1)</w:t>
      </w:r>
      <w:r w:rsidRPr="00B4686B">
        <w:tab/>
        <w:t>This regulation applies if</w:t>
      </w:r>
      <w:r w:rsidR="008B2AEA" w:rsidRPr="00B4686B">
        <w:t>:</w:t>
      </w:r>
    </w:p>
    <w:p w:rsidR="008B2AEA" w:rsidRPr="00B4686B" w:rsidRDefault="008B2AEA" w:rsidP="008B2AEA">
      <w:pPr>
        <w:pStyle w:val="paragraph"/>
      </w:pPr>
      <w:r w:rsidRPr="00B4686B">
        <w:tab/>
        <w:t>(a)</w:t>
      </w:r>
      <w:r w:rsidRPr="00B4686B">
        <w:tab/>
      </w:r>
      <w:r w:rsidR="00DF0F91" w:rsidRPr="00B4686B">
        <w:t xml:space="preserve">a registered corporation </w:t>
      </w:r>
      <w:r w:rsidR="0016080F" w:rsidRPr="00B4686B">
        <w:t>wishes to give the Secretary a proposed variation to an approved assessment plan under subsection</w:t>
      </w:r>
      <w:r w:rsidR="00B4686B" w:rsidRPr="00B4686B">
        <w:t> </w:t>
      </w:r>
      <w:r w:rsidR="0016080F" w:rsidRPr="00B4686B">
        <w:t>19(1) of the Act</w:t>
      </w:r>
      <w:r w:rsidRPr="00B4686B">
        <w:t>; and</w:t>
      </w:r>
    </w:p>
    <w:p w:rsidR="0016080F" w:rsidRPr="00B4686B" w:rsidRDefault="008B2AEA" w:rsidP="008B2AEA">
      <w:pPr>
        <w:pStyle w:val="paragraph"/>
      </w:pPr>
      <w:r w:rsidRPr="00B4686B">
        <w:tab/>
        <w:t>(b)</w:t>
      </w:r>
      <w:r w:rsidRPr="00B4686B">
        <w:tab/>
        <w:t>the variation is for the purpose of including</w:t>
      </w:r>
      <w:r w:rsidR="0089611A" w:rsidRPr="00B4686B">
        <w:t xml:space="preserve"> in the approved assessment plan</w:t>
      </w:r>
      <w:r w:rsidR="0016080F" w:rsidRPr="00B4686B">
        <w:t xml:space="preserve"> </w:t>
      </w:r>
      <w:r w:rsidR="0089611A" w:rsidRPr="00B4686B">
        <w:t xml:space="preserve">an assessment of </w:t>
      </w:r>
      <w:r w:rsidRPr="00B4686B">
        <w:t>the opportunities for improving the energy efficiency</w:t>
      </w:r>
      <w:r w:rsidR="0089611A" w:rsidRPr="00B4686B">
        <w:t xml:space="preserve"> in </w:t>
      </w:r>
      <w:r w:rsidR="0016080F" w:rsidRPr="00B4686B">
        <w:t xml:space="preserve">a new development </w:t>
      </w:r>
      <w:r w:rsidR="00985945" w:rsidRPr="00B4686B">
        <w:t>or an expansion</w:t>
      </w:r>
      <w:r w:rsidR="0016080F" w:rsidRPr="00B4686B">
        <w:t>.</w:t>
      </w:r>
    </w:p>
    <w:p w:rsidR="0016080F" w:rsidRPr="00B4686B" w:rsidRDefault="0016080F" w:rsidP="0016080F">
      <w:pPr>
        <w:pStyle w:val="subsection"/>
        <w:rPr>
          <w:bCs/>
        </w:rPr>
      </w:pPr>
      <w:r w:rsidRPr="00B4686B">
        <w:tab/>
        <w:t>(2)</w:t>
      </w:r>
      <w:r w:rsidRPr="00B4686B">
        <w:tab/>
        <w:t xml:space="preserve">If the </w:t>
      </w:r>
      <w:r w:rsidRPr="00B4686B">
        <w:rPr>
          <w:bCs/>
        </w:rPr>
        <w:t xml:space="preserve">new development </w:t>
      </w:r>
      <w:r w:rsidR="00985945" w:rsidRPr="00B4686B">
        <w:rPr>
          <w:bCs/>
        </w:rPr>
        <w:t>or the expansion</w:t>
      </w:r>
      <w:r w:rsidR="00DF0F91" w:rsidRPr="00B4686B">
        <w:rPr>
          <w:bCs/>
        </w:rPr>
        <w:t xml:space="preserve"> </w:t>
      </w:r>
      <w:r w:rsidR="00F9112A" w:rsidRPr="00B4686B">
        <w:rPr>
          <w:bCs/>
        </w:rPr>
        <w:t>was</w:t>
      </w:r>
      <w:r w:rsidR="00496845" w:rsidRPr="00B4686B">
        <w:rPr>
          <w:bCs/>
        </w:rPr>
        <w:t xml:space="preserve"> publicly announced</w:t>
      </w:r>
      <w:r w:rsidRPr="00B4686B">
        <w:rPr>
          <w:bCs/>
        </w:rPr>
        <w:t xml:space="preserve"> before </w:t>
      </w:r>
      <w:r w:rsidR="00496845" w:rsidRPr="00B4686B">
        <w:rPr>
          <w:bCs/>
        </w:rPr>
        <w:t>31</w:t>
      </w:r>
      <w:r w:rsidR="00B4686B" w:rsidRPr="00B4686B">
        <w:rPr>
          <w:bCs/>
        </w:rPr>
        <w:t> </w:t>
      </w:r>
      <w:r w:rsidR="00496845" w:rsidRPr="00B4686B">
        <w:rPr>
          <w:bCs/>
        </w:rPr>
        <w:t>December</w:t>
      </w:r>
      <w:r w:rsidRPr="00B4686B">
        <w:rPr>
          <w:bCs/>
        </w:rPr>
        <w:t xml:space="preserve"> 2013, the registered corporation must give the Secretary </w:t>
      </w:r>
      <w:r w:rsidR="008B2AEA" w:rsidRPr="00B4686B">
        <w:rPr>
          <w:bCs/>
        </w:rPr>
        <w:t>the variation no later than 3</w:t>
      </w:r>
      <w:r w:rsidR="00144A93" w:rsidRPr="00B4686B">
        <w:rPr>
          <w:bCs/>
        </w:rPr>
        <w:t>0</w:t>
      </w:r>
      <w:r w:rsidR="00B4686B" w:rsidRPr="00B4686B">
        <w:rPr>
          <w:bCs/>
        </w:rPr>
        <w:t> </w:t>
      </w:r>
      <w:r w:rsidR="00144A93" w:rsidRPr="00B4686B">
        <w:rPr>
          <w:bCs/>
        </w:rPr>
        <w:t>June 2014</w:t>
      </w:r>
      <w:r w:rsidR="008B2AEA" w:rsidRPr="00B4686B">
        <w:rPr>
          <w:bCs/>
        </w:rPr>
        <w:t>.</w:t>
      </w:r>
    </w:p>
    <w:p w:rsidR="008B2AEA" w:rsidRPr="00B4686B" w:rsidRDefault="008B2AEA" w:rsidP="008B2AEA">
      <w:pPr>
        <w:pStyle w:val="subsection"/>
        <w:rPr>
          <w:bCs/>
        </w:rPr>
      </w:pPr>
      <w:r w:rsidRPr="00B4686B">
        <w:tab/>
        <w:t>(3)</w:t>
      </w:r>
      <w:r w:rsidRPr="00B4686B">
        <w:tab/>
        <w:t xml:space="preserve">If the </w:t>
      </w:r>
      <w:r w:rsidRPr="00B4686B">
        <w:rPr>
          <w:bCs/>
        </w:rPr>
        <w:t xml:space="preserve">new development </w:t>
      </w:r>
      <w:r w:rsidR="00985945" w:rsidRPr="00B4686B">
        <w:rPr>
          <w:bCs/>
        </w:rPr>
        <w:t>or the expansion</w:t>
      </w:r>
      <w:r w:rsidRPr="00B4686B">
        <w:rPr>
          <w:bCs/>
        </w:rPr>
        <w:t xml:space="preserve"> </w:t>
      </w:r>
      <w:r w:rsidR="00F9112A" w:rsidRPr="00B4686B">
        <w:rPr>
          <w:bCs/>
        </w:rPr>
        <w:t>was</w:t>
      </w:r>
      <w:r w:rsidR="00FD0408" w:rsidRPr="00B4686B">
        <w:rPr>
          <w:bCs/>
        </w:rPr>
        <w:t xml:space="preserve"> not publicly announced</w:t>
      </w:r>
      <w:r w:rsidRPr="00B4686B">
        <w:rPr>
          <w:bCs/>
        </w:rPr>
        <w:t xml:space="preserve"> before </w:t>
      </w:r>
      <w:r w:rsidR="00FD0408" w:rsidRPr="00B4686B">
        <w:rPr>
          <w:bCs/>
        </w:rPr>
        <w:t>31</w:t>
      </w:r>
      <w:r w:rsidR="00B4686B" w:rsidRPr="00B4686B">
        <w:rPr>
          <w:bCs/>
        </w:rPr>
        <w:t> </w:t>
      </w:r>
      <w:r w:rsidR="00FD0408" w:rsidRPr="00B4686B">
        <w:rPr>
          <w:bCs/>
        </w:rPr>
        <w:t>December 2013</w:t>
      </w:r>
      <w:r w:rsidRPr="00B4686B">
        <w:rPr>
          <w:bCs/>
        </w:rPr>
        <w:t xml:space="preserve">, the registered corporation must give the Secretary the variation within </w:t>
      </w:r>
      <w:r w:rsidR="00FD0408" w:rsidRPr="00B4686B">
        <w:rPr>
          <w:bCs/>
        </w:rPr>
        <w:t>6</w:t>
      </w:r>
      <w:r w:rsidRPr="00B4686B">
        <w:rPr>
          <w:bCs/>
        </w:rPr>
        <w:t xml:space="preserve"> months after the first public announcement of the new development </w:t>
      </w:r>
      <w:r w:rsidR="00985945" w:rsidRPr="00B4686B">
        <w:rPr>
          <w:bCs/>
        </w:rPr>
        <w:t>or the expansion</w:t>
      </w:r>
      <w:r w:rsidRPr="00B4686B">
        <w:rPr>
          <w:bCs/>
        </w:rPr>
        <w:t>.</w:t>
      </w:r>
    </w:p>
    <w:p w:rsidR="005F7593" w:rsidRPr="00B4686B" w:rsidRDefault="00DC0E16" w:rsidP="005F7593">
      <w:pPr>
        <w:pStyle w:val="ItemHead"/>
      </w:pPr>
      <w:r w:rsidRPr="00B4686B">
        <w:t>1</w:t>
      </w:r>
      <w:r w:rsidR="00E7456E" w:rsidRPr="00B4686B">
        <w:t>4</w:t>
      </w:r>
      <w:r w:rsidR="003A7D33" w:rsidRPr="00B4686B">
        <w:t xml:space="preserve">  </w:t>
      </w:r>
      <w:r w:rsidR="003A6E18" w:rsidRPr="00B4686B">
        <w:t>Before regulation</w:t>
      </w:r>
      <w:r w:rsidR="00B4686B" w:rsidRPr="00B4686B">
        <w:t> </w:t>
      </w:r>
      <w:r w:rsidR="003A6E18" w:rsidRPr="00B4686B">
        <w:t>6.1</w:t>
      </w:r>
    </w:p>
    <w:p w:rsidR="003A7D33" w:rsidRPr="00B4686B" w:rsidRDefault="003A7D33" w:rsidP="003A7D33">
      <w:pPr>
        <w:pStyle w:val="Item"/>
      </w:pPr>
      <w:r w:rsidRPr="00B4686B">
        <w:t>Insert:</w:t>
      </w:r>
    </w:p>
    <w:p w:rsidR="003A7D33" w:rsidRPr="00B4686B" w:rsidRDefault="003A7D33" w:rsidP="003A7D33">
      <w:pPr>
        <w:pStyle w:val="ActHead5"/>
      </w:pPr>
      <w:bookmarkStart w:id="18" w:name="_Toc360028928"/>
      <w:r w:rsidRPr="00B4686B">
        <w:rPr>
          <w:rStyle w:val="CharSectno"/>
        </w:rPr>
        <w:lastRenderedPageBreak/>
        <w:t>6.</w:t>
      </w:r>
      <w:r w:rsidR="003A6E18" w:rsidRPr="00B4686B">
        <w:rPr>
          <w:rStyle w:val="CharSectno"/>
        </w:rPr>
        <w:t>1A</w:t>
      </w:r>
      <w:r w:rsidRPr="00B4686B">
        <w:t xml:space="preserve">  Requirement to carry out energy efficiency opportunities assessments—new development </w:t>
      </w:r>
      <w:r w:rsidR="00985945" w:rsidRPr="00B4686B">
        <w:t>or an expansion</w:t>
      </w:r>
      <w:bookmarkEnd w:id="18"/>
    </w:p>
    <w:p w:rsidR="003A7D33" w:rsidRPr="00B4686B" w:rsidRDefault="003A7D33" w:rsidP="003A7D33">
      <w:pPr>
        <w:pStyle w:val="subsection"/>
      </w:pPr>
      <w:r w:rsidRPr="00B4686B">
        <w:tab/>
        <w:t>(1)</w:t>
      </w:r>
      <w:r w:rsidRPr="00B4686B">
        <w:tab/>
      </w:r>
      <w:r w:rsidR="00B96226" w:rsidRPr="00B4686B">
        <w:t>For paragraphs 20</w:t>
      </w:r>
      <w:r w:rsidRPr="00B4686B">
        <w:t>(3)(a), (b), (c) and (d) of the Act, the requirements for the carrying out of a proposal for assessing the opportunities for improving energy efficiency</w:t>
      </w:r>
      <w:r w:rsidR="004A2FFB" w:rsidRPr="00B4686B">
        <w:t xml:space="preserve"> that relates to a new development </w:t>
      </w:r>
      <w:r w:rsidR="00985945" w:rsidRPr="00B4686B">
        <w:t>or an expansion</w:t>
      </w:r>
      <w:r w:rsidRPr="00B4686B">
        <w:t xml:space="preserve"> are set out in the Assessment Framework in Schedule</w:t>
      </w:r>
      <w:r w:rsidR="00B4686B" w:rsidRPr="00B4686B">
        <w:t> </w:t>
      </w:r>
      <w:r w:rsidR="00756D03" w:rsidRPr="00B4686B">
        <w:t>6</w:t>
      </w:r>
      <w:r w:rsidRPr="00B4686B">
        <w:t>.</w:t>
      </w:r>
    </w:p>
    <w:p w:rsidR="00831F45" w:rsidRPr="00B4686B" w:rsidRDefault="00831F45" w:rsidP="00831F45">
      <w:pPr>
        <w:pStyle w:val="subsection"/>
      </w:pPr>
      <w:r w:rsidRPr="00B4686B">
        <w:tab/>
        <w:t>(2)</w:t>
      </w:r>
      <w:r w:rsidRPr="00B4686B">
        <w:tab/>
        <w:t>A controlling corporation must complete energy efficiency opportunities assessments, or arrange for the completion of energy efficiency opportunities assessments, in accordance with subregulation (1).</w:t>
      </w:r>
    </w:p>
    <w:p w:rsidR="001334B2" w:rsidRPr="00B4686B" w:rsidRDefault="00B96226" w:rsidP="003A7D33">
      <w:pPr>
        <w:pStyle w:val="subsection"/>
      </w:pPr>
      <w:r w:rsidRPr="00B4686B">
        <w:tab/>
      </w:r>
      <w:r w:rsidR="003A7D33" w:rsidRPr="00B4686B">
        <w:t>(</w:t>
      </w:r>
      <w:r w:rsidR="00831F45" w:rsidRPr="00B4686B">
        <w:t>3</w:t>
      </w:r>
      <w:r w:rsidR="003A7D33" w:rsidRPr="00B4686B">
        <w:t>)</w:t>
      </w:r>
      <w:r w:rsidRPr="00B4686B">
        <w:tab/>
      </w:r>
      <w:r w:rsidR="00144A93" w:rsidRPr="00B4686B">
        <w:t>However</w:t>
      </w:r>
      <w:r w:rsidR="00831F45" w:rsidRPr="00B4686B">
        <w:t>, if</w:t>
      </w:r>
      <w:r w:rsidR="004A7148" w:rsidRPr="00B4686B">
        <w:t>:</w:t>
      </w:r>
    </w:p>
    <w:p w:rsidR="00831F45" w:rsidRPr="00B4686B" w:rsidRDefault="00831F45" w:rsidP="00831F45">
      <w:pPr>
        <w:pStyle w:val="paragraph"/>
      </w:pPr>
      <w:r w:rsidRPr="00B4686B">
        <w:tab/>
        <w:t>(a)</w:t>
      </w:r>
      <w:r w:rsidRPr="00B4686B">
        <w:tab/>
        <w:t xml:space="preserve">a controlling corporation’s proposal for assessing the opportunities for improving energy efficiency relates to </w:t>
      </w:r>
      <w:r w:rsidR="00120D27" w:rsidRPr="00B4686B">
        <w:t xml:space="preserve">an </w:t>
      </w:r>
      <w:r w:rsidRPr="00B4686B">
        <w:t>expansion; and</w:t>
      </w:r>
    </w:p>
    <w:p w:rsidR="00831F45" w:rsidRPr="00B4686B" w:rsidRDefault="00831F45" w:rsidP="00831F45">
      <w:pPr>
        <w:pStyle w:val="paragraph"/>
      </w:pPr>
      <w:r w:rsidRPr="00B4686B">
        <w:tab/>
        <w:t>(b)</w:t>
      </w:r>
      <w:r w:rsidRPr="00B4686B">
        <w:tab/>
        <w:t>the expansion is likely to affect energy use in relation to an existing facility of the controlling corporation;</w:t>
      </w:r>
    </w:p>
    <w:p w:rsidR="00831F45" w:rsidRPr="00B4686B" w:rsidRDefault="00831F45" w:rsidP="009567DB">
      <w:pPr>
        <w:pStyle w:val="subsection2"/>
      </w:pPr>
      <w:r w:rsidRPr="00B4686B">
        <w:t xml:space="preserve">the controlling corporation </w:t>
      </w:r>
      <w:r w:rsidR="009567DB" w:rsidRPr="00B4686B">
        <w:t>may elect that</w:t>
      </w:r>
      <w:r w:rsidRPr="00B4686B">
        <w:t xml:space="preserve"> the requirements for the carrying out of the proposal</w:t>
      </w:r>
      <w:r w:rsidR="00FB1D25" w:rsidRPr="00B4686B">
        <w:t xml:space="preserve"> in relation to the existing facility</w:t>
      </w:r>
      <w:r w:rsidRPr="00B4686B">
        <w:t xml:space="preserve"> are the requirements set out in the Assessment Framework in Schedule</w:t>
      </w:r>
      <w:r w:rsidR="00B4686B" w:rsidRPr="00B4686B">
        <w:t> </w:t>
      </w:r>
      <w:r w:rsidR="00756D03" w:rsidRPr="00B4686B">
        <w:t>6</w:t>
      </w:r>
      <w:r w:rsidRPr="00B4686B">
        <w:t xml:space="preserve"> </w:t>
      </w:r>
      <w:r w:rsidR="00F43E96" w:rsidRPr="00B4686B">
        <w:t>and</w:t>
      </w:r>
      <w:r w:rsidR="00120D27" w:rsidRPr="00B4686B">
        <w:t xml:space="preserve">, if the </w:t>
      </w:r>
      <w:r w:rsidR="009567DB" w:rsidRPr="00B4686B">
        <w:t>controlling corporation makes that election</w:t>
      </w:r>
      <w:r w:rsidR="00120D27" w:rsidRPr="00B4686B">
        <w:t>,</w:t>
      </w:r>
      <w:r w:rsidR="00F43E96" w:rsidRPr="00B4686B">
        <w:t xml:space="preserve"> </w:t>
      </w:r>
      <w:r w:rsidR="00120D27" w:rsidRPr="00B4686B">
        <w:t>give</w:t>
      </w:r>
      <w:r w:rsidR="00F43E96" w:rsidRPr="00B4686B">
        <w:t xml:space="preserve"> the Secretary </w:t>
      </w:r>
      <w:r w:rsidR="00120D27" w:rsidRPr="00B4686B">
        <w:t>an assessment plan that reflects</w:t>
      </w:r>
      <w:r w:rsidR="00F43E96" w:rsidRPr="00B4686B">
        <w:t xml:space="preserve"> </w:t>
      </w:r>
      <w:r w:rsidR="009567DB" w:rsidRPr="00B4686B">
        <w:t xml:space="preserve">the election </w:t>
      </w:r>
      <w:r w:rsidR="00F43E96" w:rsidRPr="00B4686B">
        <w:t>as soon as practicable</w:t>
      </w:r>
      <w:r w:rsidRPr="00B4686B">
        <w:t>.</w:t>
      </w:r>
    </w:p>
    <w:p w:rsidR="003A7D33" w:rsidRPr="00B4686B" w:rsidRDefault="001334B2" w:rsidP="003A7D33">
      <w:pPr>
        <w:pStyle w:val="subsection"/>
      </w:pPr>
      <w:r w:rsidRPr="00B4686B">
        <w:tab/>
        <w:t>(</w:t>
      </w:r>
      <w:r w:rsidR="00831F45" w:rsidRPr="00B4686B">
        <w:t>4</w:t>
      </w:r>
      <w:r w:rsidRPr="00B4686B">
        <w:t>)</w:t>
      </w:r>
      <w:r w:rsidRPr="00B4686B">
        <w:tab/>
      </w:r>
      <w:r w:rsidR="00831F45" w:rsidRPr="00B4686B">
        <w:t>A</w:t>
      </w:r>
      <w:r w:rsidR="003A7D33" w:rsidRPr="00B4686B">
        <w:t xml:space="preserve"> controlling corporation </w:t>
      </w:r>
      <w:r w:rsidR="00831F45" w:rsidRPr="00B4686B">
        <w:t xml:space="preserve">that </w:t>
      </w:r>
      <w:r w:rsidR="00FB1D25" w:rsidRPr="00B4686B">
        <w:t xml:space="preserve">makes an election </w:t>
      </w:r>
      <w:r w:rsidR="00831F45" w:rsidRPr="00B4686B">
        <w:t>under subregulation (3)</w:t>
      </w:r>
      <w:r w:rsidR="00FB1D25" w:rsidRPr="00B4686B">
        <w:t xml:space="preserve"> </w:t>
      </w:r>
      <w:r w:rsidR="003A7D33" w:rsidRPr="00B4686B">
        <w:t xml:space="preserve">must complete energy efficiency opportunities assessments, or arrange for the completion of energy efficiency opportunities assessments, </w:t>
      </w:r>
      <w:r w:rsidR="00FB1D25" w:rsidRPr="00B4686B">
        <w:t xml:space="preserve">in relation to the existing facility </w:t>
      </w:r>
      <w:r w:rsidR="003A7D33" w:rsidRPr="00B4686B">
        <w:t>in accordance with subregulation (</w:t>
      </w:r>
      <w:r w:rsidR="00144A93" w:rsidRPr="00B4686B">
        <w:t>1</w:t>
      </w:r>
      <w:r w:rsidR="003A7D33" w:rsidRPr="00B4686B">
        <w:t>).</w:t>
      </w:r>
    </w:p>
    <w:p w:rsidR="003A6E18" w:rsidRPr="00B4686B" w:rsidRDefault="00DC0E16" w:rsidP="003A6E18">
      <w:pPr>
        <w:pStyle w:val="ItemHead"/>
      </w:pPr>
      <w:r w:rsidRPr="00B4686B">
        <w:t>1</w:t>
      </w:r>
      <w:r w:rsidR="00E7456E" w:rsidRPr="00B4686B">
        <w:t>5</w:t>
      </w:r>
      <w:r w:rsidR="003A6E18" w:rsidRPr="00B4686B">
        <w:t xml:space="preserve">  Regulation</w:t>
      </w:r>
      <w:r w:rsidR="00B4686B" w:rsidRPr="00B4686B">
        <w:t> </w:t>
      </w:r>
      <w:r w:rsidR="003A6E18" w:rsidRPr="00B4686B">
        <w:t>6.1, heading</w:t>
      </w:r>
    </w:p>
    <w:p w:rsidR="003A6E18" w:rsidRPr="00B4686B" w:rsidRDefault="003A6E18" w:rsidP="003A6E18">
      <w:pPr>
        <w:pStyle w:val="Item"/>
      </w:pPr>
      <w:r w:rsidRPr="00B4686B">
        <w:t>Repeal the heading, substitute:</w:t>
      </w:r>
    </w:p>
    <w:p w:rsidR="003A6E18" w:rsidRPr="00B4686B" w:rsidRDefault="003A6E18" w:rsidP="003A6E18">
      <w:pPr>
        <w:pStyle w:val="ActHead5"/>
      </w:pPr>
      <w:bookmarkStart w:id="19" w:name="_Toc360028929"/>
      <w:r w:rsidRPr="00B4686B">
        <w:rPr>
          <w:rStyle w:val="CharSectno"/>
        </w:rPr>
        <w:lastRenderedPageBreak/>
        <w:t>6.1</w:t>
      </w:r>
      <w:r w:rsidRPr="00B4686B">
        <w:t xml:space="preserve">  Requirement to carry out energy efficiency opportunities assessments</w:t>
      </w:r>
      <w:r w:rsidR="0006148B" w:rsidRPr="00B4686B">
        <w:t xml:space="preserve"> (</w:t>
      </w:r>
      <w:r w:rsidRPr="00B4686B">
        <w:t>no new development or expansion</w:t>
      </w:r>
      <w:r w:rsidR="0006148B" w:rsidRPr="00B4686B">
        <w:t>)</w:t>
      </w:r>
      <w:bookmarkEnd w:id="19"/>
    </w:p>
    <w:p w:rsidR="003A6E18" w:rsidRPr="00B4686B" w:rsidRDefault="00DC0E16" w:rsidP="003A6E18">
      <w:pPr>
        <w:pStyle w:val="ItemHead"/>
      </w:pPr>
      <w:r w:rsidRPr="00B4686B">
        <w:t>1</w:t>
      </w:r>
      <w:r w:rsidR="00E7456E" w:rsidRPr="00B4686B">
        <w:t>6</w:t>
      </w:r>
      <w:r w:rsidR="0024048B" w:rsidRPr="00B4686B">
        <w:t xml:space="preserve">  </w:t>
      </w:r>
      <w:r w:rsidR="003A6E18" w:rsidRPr="00B4686B">
        <w:t>Subregulation</w:t>
      </w:r>
      <w:r w:rsidR="00B4686B" w:rsidRPr="00B4686B">
        <w:t> </w:t>
      </w:r>
      <w:r w:rsidR="003A6E18" w:rsidRPr="00B4686B">
        <w:t>6.1(1)</w:t>
      </w:r>
    </w:p>
    <w:p w:rsidR="003A6E18" w:rsidRPr="00B4686B" w:rsidRDefault="003A6E18" w:rsidP="003A6E18">
      <w:pPr>
        <w:pStyle w:val="Item"/>
      </w:pPr>
      <w:r w:rsidRPr="00B4686B">
        <w:t xml:space="preserve">After “energy efficiency”, insert “that does not relate to a new development or </w:t>
      </w:r>
      <w:r w:rsidR="00985945" w:rsidRPr="00B4686B">
        <w:t xml:space="preserve">an </w:t>
      </w:r>
      <w:r w:rsidRPr="00B4686B">
        <w:t>expansion”.</w:t>
      </w:r>
    </w:p>
    <w:p w:rsidR="005F7593" w:rsidRPr="00B4686B" w:rsidRDefault="00DC0E16" w:rsidP="005F7593">
      <w:pPr>
        <w:pStyle w:val="ItemHead"/>
      </w:pPr>
      <w:r w:rsidRPr="00B4686B">
        <w:t>1</w:t>
      </w:r>
      <w:r w:rsidR="00E7456E" w:rsidRPr="00B4686B">
        <w:t>7</w:t>
      </w:r>
      <w:r w:rsidR="00F43E96" w:rsidRPr="00B4686B">
        <w:t xml:space="preserve">  A</w:t>
      </w:r>
      <w:r w:rsidR="00FA32CA" w:rsidRPr="00B4686B">
        <w:t>fter sub</w:t>
      </w:r>
      <w:r w:rsidR="00F43E96" w:rsidRPr="00B4686B">
        <w:t>regulation</w:t>
      </w:r>
      <w:r w:rsidR="00B4686B" w:rsidRPr="00B4686B">
        <w:t> </w:t>
      </w:r>
      <w:r w:rsidR="00F43E96" w:rsidRPr="00B4686B">
        <w:t>7.1</w:t>
      </w:r>
      <w:r w:rsidR="00FA32CA" w:rsidRPr="00B4686B">
        <w:t>(1)</w:t>
      </w:r>
    </w:p>
    <w:p w:rsidR="00F43E96" w:rsidRPr="00B4686B" w:rsidRDefault="00F43E96" w:rsidP="00F43E96">
      <w:pPr>
        <w:pStyle w:val="Item"/>
      </w:pPr>
      <w:r w:rsidRPr="00B4686B">
        <w:t>Insert:</w:t>
      </w:r>
    </w:p>
    <w:p w:rsidR="005F7593" w:rsidRPr="00B4686B" w:rsidRDefault="00FA32CA" w:rsidP="00F43E96">
      <w:pPr>
        <w:pStyle w:val="SubsectionHead"/>
      </w:pPr>
      <w:r w:rsidRPr="00B4686B">
        <w:t>Period for new developments and expansions</w:t>
      </w:r>
    </w:p>
    <w:p w:rsidR="00FA32CA" w:rsidRPr="00B4686B" w:rsidRDefault="00F43E96" w:rsidP="00F43E96">
      <w:pPr>
        <w:pStyle w:val="subsection"/>
        <w:rPr>
          <w:bCs/>
        </w:rPr>
      </w:pPr>
      <w:r w:rsidRPr="00B4686B">
        <w:tab/>
        <w:t>(</w:t>
      </w:r>
      <w:r w:rsidR="00FA32CA" w:rsidRPr="00B4686B">
        <w:t>1A</w:t>
      </w:r>
      <w:r w:rsidRPr="00B4686B">
        <w:t>)</w:t>
      </w:r>
      <w:r w:rsidRPr="00B4686B">
        <w:tab/>
      </w:r>
      <w:r w:rsidR="00FA32CA" w:rsidRPr="00B4686B">
        <w:t>If the report relates</w:t>
      </w:r>
      <w:r w:rsidR="009329F4" w:rsidRPr="00B4686B">
        <w:t xml:space="preserve"> </w:t>
      </w:r>
      <w:r w:rsidR="00FA32CA" w:rsidRPr="00B4686B">
        <w:t xml:space="preserve">to </w:t>
      </w:r>
      <w:r w:rsidR="00FA32CA" w:rsidRPr="00B4686B">
        <w:rPr>
          <w:bCs/>
        </w:rPr>
        <w:t>a new development or an expansion:</w:t>
      </w:r>
    </w:p>
    <w:p w:rsidR="00FA32CA" w:rsidRPr="00B4686B" w:rsidRDefault="00FA32CA" w:rsidP="00FA32CA">
      <w:pPr>
        <w:pStyle w:val="paragraph"/>
      </w:pPr>
      <w:r w:rsidRPr="00B4686B">
        <w:tab/>
        <w:t>(a)</w:t>
      </w:r>
      <w:r w:rsidRPr="00B4686B">
        <w:tab/>
        <w:t>subregulations (2) to (6) do not apply; and</w:t>
      </w:r>
    </w:p>
    <w:p w:rsidR="00FA32CA" w:rsidRPr="00B4686B" w:rsidRDefault="00FA32CA" w:rsidP="00FA32CA">
      <w:pPr>
        <w:pStyle w:val="paragraph"/>
      </w:pPr>
      <w:r w:rsidRPr="00B4686B">
        <w:tab/>
        <w:t>(b)</w:t>
      </w:r>
      <w:r w:rsidRPr="00B4686B">
        <w:tab/>
        <w:t xml:space="preserve">the reporting period commences at the commencement of the </w:t>
      </w:r>
      <w:r w:rsidR="002F2FB5" w:rsidRPr="00B4686B">
        <w:t xml:space="preserve">first </w:t>
      </w:r>
      <w:r w:rsidRPr="00B4686B">
        <w:t xml:space="preserve">design stage of the new development </w:t>
      </w:r>
      <w:r w:rsidR="00985945" w:rsidRPr="00B4686B">
        <w:t>or the expansion</w:t>
      </w:r>
      <w:r w:rsidRPr="00B4686B">
        <w:t>; and</w:t>
      </w:r>
    </w:p>
    <w:p w:rsidR="00FA32CA" w:rsidRPr="00B4686B" w:rsidRDefault="002F2FB5" w:rsidP="00FA32CA">
      <w:pPr>
        <w:pStyle w:val="paragraph"/>
      </w:pPr>
      <w:r w:rsidRPr="00B4686B">
        <w:tab/>
        <w:t>(c)</w:t>
      </w:r>
      <w:r w:rsidRPr="00B4686B">
        <w:tab/>
        <w:t xml:space="preserve">the reporting period </w:t>
      </w:r>
      <w:r w:rsidR="00FA32CA" w:rsidRPr="00B4686B">
        <w:t>end</w:t>
      </w:r>
      <w:r w:rsidRPr="00B4686B">
        <w:t>s</w:t>
      </w:r>
      <w:r w:rsidR="00FA32CA" w:rsidRPr="00B4686B">
        <w:t xml:space="preserve"> when </w:t>
      </w:r>
      <w:r w:rsidRPr="00B4686B">
        <w:t>commercial operation commences</w:t>
      </w:r>
      <w:r w:rsidR="00FA32CA" w:rsidRPr="00B4686B">
        <w:t>.</w:t>
      </w:r>
    </w:p>
    <w:p w:rsidR="005B3ACF" w:rsidRPr="00B4686B" w:rsidRDefault="005B3ACF" w:rsidP="005F7593">
      <w:pPr>
        <w:pStyle w:val="ItemHead"/>
      </w:pPr>
      <w:r w:rsidRPr="00B4686B">
        <w:t>1</w:t>
      </w:r>
      <w:r w:rsidR="008B79C8" w:rsidRPr="00B4686B">
        <w:t>8</w:t>
      </w:r>
      <w:r w:rsidRPr="00B4686B">
        <w:t xml:space="preserve">  Subregulation</w:t>
      </w:r>
      <w:r w:rsidR="00B4686B" w:rsidRPr="00B4686B">
        <w:t> </w:t>
      </w:r>
      <w:r w:rsidRPr="00B4686B">
        <w:t>7.2(1)</w:t>
      </w:r>
    </w:p>
    <w:p w:rsidR="00985945" w:rsidRPr="00B4686B" w:rsidRDefault="00985945" w:rsidP="00985945">
      <w:pPr>
        <w:pStyle w:val="Item"/>
      </w:pPr>
      <w:r w:rsidRPr="00B4686B">
        <w:t>After “</w:t>
      </w:r>
      <w:r w:rsidR="00A45C70" w:rsidRPr="00B4686B">
        <w:t>section</w:t>
      </w:r>
      <w:r w:rsidR="00B4686B" w:rsidRPr="00B4686B">
        <w:t> </w:t>
      </w:r>
      <w:r w:rsidR="00A45C70" w:rsidRPr="00B4686B">
        <w:t xml:space="preserve">22 of </w:t>
      </w:r>
      <w:r w:rsidRPr="00B4686B">
        <w:t>the Act”, insert “that does not relate to a new development or an expansion</w:t>
      </w:r>
      <w:r w:rsidR="000F0C5A" w:rsidRPr="00B4686B">
        <w:t>”.</w:t>
      </w:r>
    </w:p>
    <w:p w:rsidR="005F7593" w:rsidRPr="00B4686B" w:rsidRDefault="00DC0E16" w:rsidP="005F7593">
      <w:pPr>
        <w:pStyle w:val="ItemHead"/>
      </w:pPr>
      <w:r w:rsidRPr="00B4686B">
        <w:t>1</w:t>
      </w:r>
      <w:r w:rsidR="008B79C8" w:rsidRPr="00B4686B">
        <w:t>9</w:t>
      </w:r>
      <w:r w:rsidR="0024048B" w:rsidRPr="00B4686B">
        <w:t xml:space="preserve"> </w:t>
      </w:r>
      <w:r w:rsidR="005D3327" w:rsidRPr="00B4686B">
        <w:t xml:space="preserve"> </w:t>
      </w:r>
      <w:r w:rsidR="006A1088" w:rsidRPr="00B4686B">
        <w:t>At the end of</w:t>
      </w:r>
      <w:r w:rsidR="00000EC0" w:rsidRPr="00B4686B">
        <w:t xml:space="preserve"> sub</w:t>
      </w:r>
      <w:r w:rsidR="003030DB" w:rsidRPr="00B4686B">
        <w:t>regulation</w:t>
      </w:r>
      <w:r w:rsidR="00B4686B" w:rsidRPr="00B4686B">
        <w:t> </w:t>
      </w:r>
      <w:r w:rsidR="003030DB" w:rsidRPr="00B4686B">
        <w:t>7.</w:t>
      </w:r>
      <w:r w:rsidR="00542E3B" w:rsidRPr="00B4686B">
        <w:t>2</w:t>
      </w:r>
    </w:p>
    <w:p w:rsidR="003030DB" w:rsidRPr="00B4686B" w:rsidRDefault="003030DB" w:rsidP="003030DB">
      <w:pPr>
        <w:pStyle w:val="Item"/>
      </w:pPr>
      <w:r w:rsidRPr="00B4686B">
        <w:t>Add:</w:t>
      </w:r>
    </w:p>
    <w:p w:rsidR="00FA32CA" w:rsidRPr="00B4686B" w:rsidRDefault="003030DB" w:rsidP="003030DB">
      <w:pPr>
        <w:pStyle w:val="subsection"/>
      </w:pPr>
      <w:r w:rsidRPr="00B4686B">
        <w:tab/>
        <w:t>(3)</w:t>
      </w:r>
      <w:r w:rsidRPr="00B4686B">
        <w:tab/>
        <w:t xml:space="preserve">If the report relates to </w:t>
      </w:r>
      <w:r w:rsidRPr="00B4686B">
        <w:rPr>
          <w:bCs/>
        </w:rPr>
        <w:t xml:space="preserve">a new </w:t>
      </w:r>
      <w:r w:rsidRPr="00B4686B">
        <w:t>development or an expansion, other information required to be contained in the report is set out in Schedule</w:t>
      </w:r>
      <w:r w:rsidR="00B4686B" w:rsidRPr="00B4686B">
        <w:t> </w:t>
      </w:r>
      <w:r w:rsidR="00A275C0" w:rsidRPr="00B4686B">
        <w:t>4</w:t>
      </w:r>
      <w:r w:rsidRPr="00B4686B">
        <w:t>A.</w:t>
      </w:r>
    </w:p>
    <w:p w:rsidR="00542E3B" w:rsidRPr="00B4686B" w:rsidRDefault="008B79C8" w:rsidP="00542E3B">
      <w:pPr>
        <w:pStyle w:val="ItemHead"/>
      </w:pPr>
      <w:r w:rsidRPr="00B4686B">
        <w:t>20</w:t>
      </w:r>
      <w:r w:rsidR="00542E3B" w:rsidRPr="00B4686B">
        <w:t xml:space="preserve">  </w:t>
      </w:r>
      <w:r w:rsidR="00DE5ED0" w:rsidRPr="00B4686B">
        <w:t>R</w:t>
      </w:r>
      <w:r w:rsidR="00542E3B" w:rsidRPr="00B4686B">
        <w:t>egulation</w:t>
      </w:r>
      <w:r w:rsidR="00B4686B" w:rsidRPr="00B4686B">
        <w:t> </w:t>
      </w:r>
      <w:r w:rsidR="00566B91" w:rsidRPr="00B4686B">
        <w:t>7.4</w:t>
      </w:r>
    </w:p>
    <w:p w:rsidR="00542E3B" w:rsidRPr="00B4686B" w:rsidRDefault="00542E3B" w:rsidP="00542E3B">
      <w:pPr>
        <w:pStyle w:val="Item"/>
      </w:pPr>
      <w:r w:rsidRPr="00B4686B">
        <w:t>Repeal the regulation, substitute:</w:t>
      </w:r>
    </w:p>
    <w:p w:rsidR="00566B91" w:rsidRPr="00B4686B" w:rsidRDefault="00566B91" w:rsidP="00566B91">
      <w:pPr>
        <w:pStyle w:val="ActHead5"/>
      </w:pPr>
      <w:bookmarkStart w:id="20" w:name="_Toc360028930"/>
      <w:r w:rsidRPr="00B4686B">
        <w:rPr>
          <w:rStyle w:val="CharSectno"/>
        </w:rPr>
        <w:t>7.4</w:t>
      </w:r>
      <w:r w:rsidRPr="00B4686B">
        <w:t xml:space="preserve">  Time of making report available</w:t>
      </w:r>
      <w:bookmarkEnd w:id="20"/>
    </w:p>
    <w:p w:rsidR="00542E3B" w:rsidRPr="00B4686B" w:rsidRDefault="00542E3B" w:rsidP="00566B91">
      <w:pPr>
        <w:pStyle w:val="subsection"/>
        <w:rPr>
          <w:bCs/>
        </w:rPr>
      </w:pPr>
      <w:r w:rsidRPr="00B4686B">
        <w:tab/>
        <w:t>(1)</w:t>
      </w:r>
      <w:r w:rsidRPr="00B4686B">
        <w:tab/>
        <w:t>For paragraph</w:t>
      </w:r>
      <w:r w:rsidR="00B4686B" w:rsidRPr="00B4686B">
        <w:t> </w:t>
      </w:r>
      <w:r w:rsidR="00566B91" w:rsidRPr="00B4686B">
        <w:t xml:space="preserve">22(5)(a) of the Act, </w:t>
      </w:r>
      <w:r w:rsidRPr="00B4686B">
        <w:t>a report under section</w:t>
      </w:r>
      <w:r w:rsidR="00B4686B" w:rsidRPr="00B4686B">
        <w:t> </w:t>
      </w:r>
      <w:r w:rsidRPr="00B4686B">
        <w:t xml:space="preserve">22 of the Act that relates to </w:t>
      </w:r>
      <w:r w:rsidRPr="00B4686B">
        <w:rPr>
          <w:bCs/>
        </w:rPr>
        <w:t xml:space="preserve">a new </w:t>
      </w:r>
      <w:r w:rsidRPr="00B4686B">
        <w:t xml:space="preserve">development or an expansion must be made available to the public by a registered corporation, or a </w:t>
      </w:r>
      <w:r w:rsidRPr="00B4686B">
        <w:lastRenderedPageBreak/>
        <w:t xml:space="preserve">member or a group, </w:t>
      </w:r>
      <w:r w:rsidRPr="00B4686B">
        <w:rPr>
          <w:bCs/>
        </w:rPr>
        <w:t xml:space="preserve">no later than 12 months after the end of the financial year in which </w:t>
      </w:r>
      <w:r w:rsidRPr="00B4686B">
        <w:t>commercial operation commences</w:t>
      </w:r>
      <w:r w:rsidR="00566B91" w:rsidRPr="00B4686B">
        <w:rPr>
          <w:bCs/>
        </w:rPr>
        <w:t>.</w:t>
      </w:r>
    </w:p>
    <w:p w:rsidR="00566B91" w:rsidRPr="00B4686B" w:rsidRDefault="00566B91" w:rsidP="00566B91">
      <w:pPr>
        <w:pStyle w:val="notetext"/>
      </w:pPr>
      <w:r w:rsidRPr="00B4686B">
        <w:t>Note:</w:t>
      </w:r>
      <w:r w:rsidRPr="00B4686B">
        <w:tab/>
        <w:t xml:space="preserve">No subsequent reports are required for </w:t>
      </w:r>
      <w:r w:rsidRPr="00B4686B">
        <w:rPr>
          <w:bCs/>
        </w:rPr>
        <w:t xml:space="preserve">a new </w:t>
      </w:r>
      <w:r w:rsidRPr="00B4686B">
        <w:t>development or an expansion.</w:t>
      </w:r>
    </w:p>
    <w:p w:rsidR="00566B91" w:rsidRPr="00B4686B" w:rsidRDefault="00566B91" w:rsidP="00566B91">
      <w:pPr>
        <w:pStyle w:val="subsection"/>
      </w:pPr>
      <w:r w:rsidRPr="00B4686B">
        <w:tab/>
        <w:t>(2)</w:t>
      </w:r>
      <w:r w:rsidRPr="00B4686B">
        <w:tab/>
        <w:t>For paragraph</w:t>
      </w:r>
      <w:r w:rsidR="00B4686B" w:rsidRPr="00B4686B">
        <w:t> </w:t>
      </w:r>
      <w:r w:rsidRPr="00B4686B">
        <w:t>22(5)(a) of the Act:</w:t>
      </w:r>
    </w:p>
    <w:p w:rsidR="00542E3B" w:rsidRPr="00B4686B" w:rsidRDefault="00566B91" w:rsidP="00542E3B">
      <w:pPr>
        <w:pStyle w:val="paragraph"/>
      </w:pPr>
      <w:r w:rsidRPr="00B4686B">
        <w:tab/>
        <w:t>(a)</w:t>
      </w:r>
      <w:r w:rsidRPr="00B4686B">
        <w:tab/>
      </w:r>
      <w:r w:rsidR="00542E3B" w:rsidRPr="00B4686B">
        <w:t xml:space="preserve">a </w:t>
      </w:r>
      <w:r w:rsidRPr="00B4686B">
        <w:t xml:space="preserve">first </w:t>
      </w:r>
      <w:r w:rsidR="00542E3B" w:rsidRPr="00B4686B">
        <w:t>report under section</w:t>
      </w:r>
      <w:r w:rsidR="00B4686B" w:rsidRPr="00B4686B">
        <w:t> </w:t>
      </w:r>
      <w:r w:rsidR="00542E3B" w:rsidRPr="00B4686B">
        <w:t>22 of the Act that does not relate to a new development or an expansion must be made available to the public by a registered corporation, or a member or a group, no later than 30</w:t>
      </w:r>
      <w:r w:rsidR="003B0224" w:rsidRPr="00B4686B">
        <w:t xml:space="preserve"> </w:t>
      </w:r>
      <w:r w:rsidR="00542E3B" w:rsidRPr="00B4686B">
        <w:t>months after the commencemen</w:t>
      </w:r>
      <w:r w:rsidRPr="00B4686B">
        <w:t>t of the first assessment cycle; and</w:t>
      </w:r>
    </w:p>
    <w:p w:rsidR="00DE5ED0" w:rsidRPr="00B4686B" w:rsidRDefault="00DE5ED0" w:rsidP="00566B91">
      <w:pPr>
        <w:pStyle w:val="paragraph"/>
      </w:pPr>
      <w:r w:rsidRPr="00B4686B">
        <w:tab/>
        <w:t>(b)</w:t>
      </w:r>
      <w:r w:rsidRPr="00B4686B">
        <w:tab/>
      </w:r>
      <w:r w:rsidR="00566B91" w:rsidRPr="00B4686B">
        <w:t>each report subsequent to that</w:t>
      </w:r>
      <w:r w:rsidRPr="00B4686B">
        <w:t xml:space="preserve"> first report must be made available to the public by a registered corporation, or a member or a group, no later than 12</w:t>
      </w:r>
      <w:r w:rsidR="003A7F73" w:rsidRPr="00B4686B">
        <w:t xml:space="preserve"> </w:t>
      </w:r>
      <w:r w:rsidRPr="00B4686B">
        <w:t>months after the previous report was made available to the public.</w:t>
      </w:r>
    </w:p>
    <w:p w:rsidR="005F7593" w:rsidRPr="00B4686B" w:rsidRDefault="00E7456E" w:rsidP="005F7593">
      <w:pPr>
        <w:pStyle w:val="ItemHead"/>
      </w:pPr>
      <w:r w:rsidRPr="00B4686B">
        <w:t>2</w:t>
      </w:r>
      <w:r w:rsidR="008B79C8" w:rsidRPr="00B4686B">
        <w:t>1</w:t>
      </w:r>
      <w:r w:rsidR="00696FE1" w:rsidRPr="00B4686B">
        <w:t xml:space="preserve">  After subregulation</w:t>
      </w:r>
      <w:r w:rsidR="00B4686B" w:rsidRPr="00B4686B">
        <w:t> </w:t>
      </w:r>
      <w:r w:rsidR="00696FE1" w:rsidRPr="00B4686B">
        <w:t>7.6(1)</w:t>
      </w:r>
    </w:p>
    <w:p w:rsidR="00696FE1" w:rsidRPr="00B4686B" w:rsidRDefault="00696FE1" w:rsidP="00696FE1">
      <w:pPr>
        <w:pStyle w:val="Item"/>
      </w:pPr>
      <w:r w:rsidRPr="00B4686B">
        <w:t>Insert:</w:t>
      </w:r>
    </w:p>
    <w:p w:rsidR="00696FE1" w:rsidRPr="00B4686B" w:rsidRDefault="00026B06" w:rsidP="00696FE1">
      <w:pPr>
        <w:pStyle w:val="SubsectionHead"/>
      </w:pPr>
      <w:r w:rsidRPr="00B4686B">
        <w:t>R</w:t>
      </w:r>
      <w:r w:rsidR="00696FE1" w:rsidRPr="00B4686B">
        <w:t>eporting period for new developments and expansions</w:t>
      </w:r>
    </w:p>
    <w:p w:rsidR="00696FE1" w:rsidRPr="00B4686B" w:rsidRDefault="00696FE1" w:rsidP="00696FE1">
      <w:pPr>
        <w:pStyle w:val="subsection"/>
        <w:rPr>
          <w:bCs/>
        </w:rPr>
      </w:pPr>
      <w:r w:rsidRPr="00B4686B">
        <w:tab/>
        <w:t>(1A)</w:t>
      </w:r>
      <w:r w:rsidRPr="00B4686B">
        <w:tab/>
        <w:t>If the report relates</w:t>
      </w:r>
      <w:r w:rsidR="009329F4" w:rsidRPr="00B4686B">
        <w:t xml:space="preserve"> </w:t>
      </w:r>
      <w:r w:rsidRPr="00B4686B">
        <w:t xml:space="preserve">to </w:t>
      </w:r>
      <w:r w:rsidRPr="00B4686B">
        <w:rPr>
          <w:bCs/>
        </w:rPr>
        <w:t>a new development or an expansion:</w:t>
      </w:r>
    </w:p>
    <w:p w:rsidR="00696FE1" w:rsidRPr="00B4686B" w:rsidRDefault="00696FE1" w:rsidP="00696FE1">
      <w:pPr>
        <w:pStyle w:val="paragraph"/>
      </w:pPr>
      <w:r w:rsidRPr="00B4686B">
        <w:tab/>
        <w:t>(a)</w:t>
      </w:r>
      <w:r w:rsidRPr="00B4686B">
        <w:tab/>
        <w:t xml:space="preserve">subregulations (2) </w:t>
      </w:r>
      <w:r w:rsidR="00026B06" w:rsidRPr="00B4686B">
        <w:t>to (4</w:t>
      </w:r>
      <w:r w:rsidRPr="00B4686B">
        <w:t>) do not apply; and</w:t>
      </w:r>
    </w:p>
    <w:p w:rsidR="00696FE1" w:rsidRPr="00B4686B" w:rsidRDefault="00696FE1" w:rsidP="00696FE1">
      <w:pPr>
        <w:pStyle w:val="paragraph"/>
      </w:pPr>
      <w:r w:rsidRPr="00B4686B">
        <w:tab/>
        <w:t>(b)</w:t>
      </w:r>
      <w:r w:rsidRPr="00B4686B">
        <w:tab/>
        <w:t>the reporting period</w:t>
      </w:r>
      <w:r w:rsidR="00026B06" w:rsidRPr="00B4686B">
        <w:t xml:space="preserve"> </w:t>
      </w:r>
      <w:r w:rsidRPr="00B4686B">
        <w:t>commences at the commencement of the first financial year in which the controlling corporation</w:t>
      </w:r>
      <w:r w:rsidR="009329F4" w:rsidRPr="00B4686B">
        <w:t xml:space="preserve"> </w:t>
      </w:r>
      <w:r w:rsidRPr="00B4686B">
        <w:t xml:space="preserve">is required to assess the future energy use of the new development </w:t>
      </w:r>
      <w:r w:rsidR="00985945" w:rsidRPr="00B4686B">
        <w:t>or the expansion</w:t>
      </w:r>
      <w:r w:rsidRPr="00B4686B">
        <w:t xml:space="preserve"> for the purposes of the Act; and</w:t>
      </w:r>
    </w:p>
    <w:p w:rsidR="00696FE1" w:rsidRPr="00B4686B" w:rsidRDefault="00696FE1" w:rsidP="00696FE1">
      <w:pPr>
        <w:pStyle w:val="paragraph"/>
      </w:pPr>
      <w:r w:rsidRPr="00B4686B">
        <w:tab/>
        <w:t>(c)</w:t>
      </w:r>
      <w:r w:rsidRPr="00B4686B">
        <w:tab/>
        <w:t>the reporting period ends when commercial operation commences.</w:t>
      </w:r>
    </w:p>
    <w:p w:rsidR="005F7593" w:rsidRPr="00B4686B" w:rsidRDefault="00DC0E16" w:rsidP="005F7593">
      <w:pPr>
        <w:pStyle w:val="ItemHead"/>
      </w:pPr>
      <w:r w:rsidRPr="00B4686B">
        <w:t>2</w:t>
      </w:r>
      <w:r w:rsidR="008B79C8" w:rsidRPr="00B4686B">
        <w:t>2</w:t>
      </w:r>
      <w:r w:rsidR="006420A1" w:rsidRPr="00B4686B">
        <w:t xml:space="preserve">  After regulation</w:t>
      </w:r>
      <w:r w:rsidR="00B4686B" w:rsidRPr="00B4686B">
        <w:t> </w:t>
      </w:r>
      <w:r w:rsidR="006420A1" w:rsidRPr="00B4686B">
        <w:t>7.</w:t>
      </w:r>
      <w:r w:rsidR="003B15BB" w:rsidRPr="00B4686B">
        <w:t>6</w:t>
      </w:r>
    </w:p>
    <w:p w:rsidR="005F7593" w:rsidRPr="00B4686B" w:rsidRDefault="006420A1" w:rsidP="005F7593">
      <w:pPr>
        <w:pStyle w:val="Item"/>
      </w:pPr>
      <w:r w:rsidRPr="00B4686B">
        <w:t>Insert:</w:t>
      </w:r>
    </w:p>
    <w:p w:rsidR="003B15BB" w:rsidRPr="00B4686B" w:rsidRDefault="003B15BB" w:rsidP="003B15BB">
      <w:pPr>
        <w:pStyle w:val="ActHead5"/>
      </w:pPr>
      <w:bookmarkStart w:id="21" w:name="_Toc360028931"/>
      <w:r w:rsidRPr="00B4686B">
        <w:rPr>
          <w:rStyle w:val="CharSectno"/>
        </w:rPr>
        <w:t>7.6A</w:t>
      </w:r>
      <w:r w:rsidRPr="00B4686B">
        <w:t xml:space="preserve">  Information in report (new development </w:t>
      </w:r>
      <w:r w:rsidR="00985945" w:rsidRPr="00B4686B">
        <w:t>or expansion</w:t>
      </w:r>
      <w:r w:rsidRPr="00B4686B">
        <w:t>)</w:t>
      </w:r>
      <w:bookmarkEnd w:id="21"/>
    </w:p>
    <w:p w:rsidR="003B15BB" w:rsidRPr="00B4686B" w:rsidRDefault="003B15BB" w:rsidP="003B15BB">
      <w:pPr>
        <w:pStyle w:val="subsection"/>
      </w:pPr>
      <w:r w:rsidRPr="00B4686B">
        <w:tab/>
      </w:r>
      <w:r w:rsidRPr="00B4686B">
        <w:tab/>
        <w:t>For paragraph</w:t>
      </w:r>
      <w:r w:rsidR="00B4686B" w:rsidRPr="00B4686B">
        <w:t> </w:t>
      </w:r>
      <w:r w:rsidRPr="00B4686B">
        <w:t>23(3)(b) of the Act, the other information required to be contained in a report under section</w:t>
      </w:r>
      <w:r w:rsidR="00B4686B" w:rsidRPr="00B4686B">
        <w:t> </w:t>
      </w:r>
      <w:r w:rsidRPr="00B4686B">
        <w:t xml:space="preserve">23 of the Act that relates to a new development </w:t>
      </w:r>
      <w:r w:rsidR="00985945" w:rsidRPr="00B4686B">
        <w:t>or an expansion</w:t>
      </w:r>
      <w:r w:rsidRPr="00B4686B">
        <w:t xml:space="preserve"> is:</w:t>
      </w:r>
    </w:p>
    <w:p w:rsidR="003B15BB" w:rsidRPr="00B4686B" w:rsidRDefault="00FC586F" w:rsidP="00FC586F">
      <w:pPr>
        <w:pStyle w:val="paragraph"/>
      </w:pPr>
      <w:r w:rsidRPr="00B4686B">
        <w:lastRenderedPageBreak/>
        <w:tab/>
        <w:t>(a)</w:t>
      </w:r>
      <w:r w:rsidRPr="00B4686B">
        <w:tab/>
        <w:t>a p</w:t>
      </w:r>
      <w:r w:rsidR="003B15BB" w:rsidRPr="00B4686B">
        <w:t>redict</w:t>
      </w:r>
      <w:r w:rsidRPr="00B4686B">
        <w:t>ion of the</w:t>
      </w:r>
      <w:r w:rsidR="003B15BB" w:rsidRPr="00B4686B">
        <w:t xml:space="preserve"> future energy use</w:t>
      </w:r>
      <w:r w:rsidRPr="00B4686B">
        <w:t xml:space="preserve"> for each design stage </w:t>
      </w:r>
      <w:r w:rsidR="008C0DC7" w:rsidRPr="00B4686B">
        <w:t xml:space="preserve">of the new development </w:t>
      </w:r>
      <w:r w:rsidR="00985945" w:rsidRPr="00B4686B">
        <w:t>or the expansion</w:t>
      </w:r>
      <w:r w:rsidRPr="00B4686B">
        <w:t xml:space="preserve">, </w:t>
      </w:r>
      <w:r w:rsidR="00C03B36" w:rsidRPr="00B4686B">
        <w:t xml:space="preserve">measured by </w:t>
      </w:r>
      <w:r w:rsidR="003B15BB" w:rsidRPr="00B4686B">
        <w:t>an indicator;</w:t>
      </w:r>
      <w:r w:rsidR="008C0DC7" w:rsidRPr="00B4686B">
        <w:t xml:space="preserve"> and</w:t>
      </w:r>
    </w:p>
    <w:p w:rsidR="006C5D1C" w:rsidRPr="00B4686B" w:rsidRDefault="008C0DC7" w:rsidP="00FC586F">
      <w:pPr>
        <w:pStyle w:val="paragraph"/>
      </w:pPr>
      <w:r w:rsidRPr="00B4686B">
        <w:tab/>
        <w:t>(b)</w:t>
      </w:r>
      <w:r w:rsidRPr="00B4686B">
        <w:tab/>
        <w:t>if the prediction</w:t>
      </w:r>
      <w:r w:rsidR="003B15BB" w:rsidRPr="00B4686B">
        <w:t xml:space="preserve"> in </w:t>
      </w:r>
      <w:r w:rsidR="00B4686B" w:rsidRPr="00B4686B">
        <w:t>paragraph (</w:t>
      </w:r>
      <w:r w:rsidRPr="00B4686B">
        <w:t>a</w:t>
      </w:r>
      <w:r w:rsidR="003B15BB" w:rsidRPr="00B4686B">
        <w:t xml:space="preserve">) does not adequately </w:t>
      </w:r>
      <w:r w:rsidR="006C5D1C" w:rsidRPr="00B4686B">
        <w:t>show</w:t>
      </w:r>
      <w:r w:rsidR="003B15BB" w:rsidRPr="00B4686B">
        <w:t xml:space="preserve"> the result of the assessment </w:t>
      </w:r>
      <w:r w:rsidR="006C5D1C" w:rsidRPr="00B4686B">
        <w:t xml:space="preserve">of the future energy use of the new development </w:t>
      </w:r>
      <w:r w:rsidR="00985945" w:rsidRPr="00B4686B">
        <w:t>or the expansion</w:t>
      </w:r>
      <w:r w:rsidR="006C5D1C" w:rsidRPr="00B4686B">
        <w:t>:</w:t>
      </w:r>
    </w:p>
    <w:p w:rsidR="006C5D1C" w:rsidRPr="00B4686B" w:rsidRDefault="006C5D1C" w:rsidP="006C5D1C">
      <w:pPr>
        <w:pStyle w:val="paragraphsub"/>
      </w:pPr>
      <w:r w:rsidRPr="00B4686B">
        <w:tab/>
        <w:t>(i)</w:t>
      </w:r>
      <w:r w:rsidRPr="00B4686B">
        <w:tab/>
        <w:t>a summary</w:t>
      </w:r>
      <w:r w:rsidR="003B15BB" w:rsidRPr="00B4686B">
        <w:t xml:space="preserve"> of </w:t>
      </w:r>
      <w:r w:rsidRPr="00B4686B">
        <w:t xml:space="preserve">the </w:t>
      </w:r>
      <w:r w:rsidR="003B15BB" w:rsidRPr="00B4686B">
        <w:t xml:space="preserve">energy savings found </w:t>
      </w:r>
      <w:r w:rsidRPr="00B4686B">
        <w:t xml:space="preserve">in </w:t>
      </w:r>
      <w:r w:rsidR="003B15BB" w:rsidRPr="00B4686B">
        <w:t>the design</w:t>
      </w:r>
      <w:r w:rsidRPr="00B4686B">
        <w:t xml:space="preserve"> of the new development </w:t>
      </w:r>
      <w:r w:rsidR="00985945" w:rsidRPr="00B4686B">
        <w:t>or the expansion</w:t>
      </w:r>
      <w:r w:rsidRPr="00B4686B">
        <w:t xml:space="preserve">; </w:t>
      </w:r>
      <w:r w:rsidR="003B15BB" w:rsidRPr="00B4686B">
        <w:t>or</w:t>
      </w:r>
    </w:p>
    <w:p w:rsidR="003B15BB" w:rsidRPr="00B4686B" w:rsidRDefault="006C5D1C" w:rsidP="006C5D1C">
      <w:pPr>
        <w:pStyle w:val="paragraphsub"/>
      </w:pPr>
      <w:r w:rsidRPr="00B4686B">
        <w:tab/>
        <w:t>(ii)</w:t>
      </w:r>
      <w:r w:rsidRPr="00B4686B">
        <w:tab/>
      </w:r>
      <w:r w:rsidR="00122701" w:rsidRPr="00B4686B">
        <w:t xml:space="preserve">a statement of the result, measured by </w:t>
      </w:r>
      <w:r w:rsidR="003B15BB" w:rsidRPr="00B4686B">
        <w:t xml:space="preserve">another reporting method </w:t>
      </w:r>
      <w:r w:rsidR="00122701" w:rsidRPr="00B4686B">
        <w:t xml:space="preserve">has been specified </w:t>
      </w:r>
      <w:r w:rsidR="003B15BB" w:rsidRPr="00B4686B">
        <w:t xml:space="preserve">in the </w:t>
      </w:r>
      <w:r w:rsidR="00122701" w:rsidRPr="00B4686B">
        <w:t xml:space="preserve">approved </w:t>
      </w:r>
      <w:r w:rsidR="003B15BB" w:rsidRPr="00B4686B">
        <w:t xml:space="preserve">assessment plan and </w:t>
      </w:r>
      <w:r w:rsidR="00122701" w:rsidRPr="00B4686B">
        <w:t>approved</w:t>
      </w:r>
      <w:r w:rsidR="003B15BB" w:rsidRPr="00B4686B">
        <w:t xml:space="preserve"> by the Secretary</w:t>
      </w:r>
      <w:r w:rsidR="00122701" w:rsidRPr="00B4686B">
        <w:t xml:space="preserve"> for that purpose</w:t>
      </w:r>
      <w:r w:rsidR="003B15BB" w:rsidRPr="00B4686B">
        <w:t>;</w:t>
      </w:r>
    </w:p>
    <w:p w:rsidR="003B15BB" w:rsidRPr="00B4686B" w:rsidRDefault="00122701" w:rsidP="00D4768E">
      <w:pPr>
        <w:pStyle w:val="paragraph"/>
      </w:pPr>
      <w:r w:rsidRPr="00B4686B">
        <w:tab/>
        <w:t>(c)</w:t>
      </w:r>
      <w:r w:rsidRPr="00B4686B">
        <w:tab/>
        <w:t>t</w:t>
      </w:r>
      <w:r w:rsidR="003B15BB" w:rsidRPr="00B4686B">
        <w:t xml:space="preserve">he </w:t>
      </w:r>
      <w:r w:rsidR="00D4768E" w:rsidRPr="00B4686B">
        <w:t xml:space="preserve">information mentioned in </w:t>
      </w:r>
      <w:r w:rsidR="00B4686B" w:rsidRPr="00B4686B">
        <w:t>paragraph (</w:t>
      </w:r>
      <w:r w:rsidR="00D4768E" w:rsidRPr="00B4686B">
        <w:t xml:space="preserve">a) and, if required, </w:t>
      </w:r>
      <w:r w:rsidR="00B4686B" w:rsidRPr="00B4686B">
        <w:t>paragraph (</w:t>
      </w:r>
      <w:r w:rsidR="00D4768E" w:rsidRPr="00B4686B">
        <w:t>b), identified</w:t>
      </w:r>
      <w:r w:rsidR="003B15BB" w:rsidRPr="00B4686B">
        <w:t xml:space="preserve"> by </w:t>
      </w:r>
      <w:r w:rsidR="00D4768E" w:rsidRPr="00B4686B">
        <w:t xml:space="preserve">the </w:t>
      </w:r>
      <w:r w:rsidR="00586702" w:rsidRPr="00B4686B">
        <w:t xml:space="preserve">main </w:t>
      </w:r>
      <w:r w:rsidR="003B15BB" w:rsidRPr="00B4686B">
        <w:t>type</w:t>
      </w:r>
      <w:r w:rsidR="00D4768E" w:rsidRPr="00B4686B">
        <w:t>s of energy used</w:t>
      </w:r>
      <w:r w:rsidR="003B15BB" w:rsidRPr="00B4686B">
        <w:t>;</w:t>
      </w:r>
    </w:p>
    <w:p w:rsidR="00F0638F" w:rsidRPr="00B4686B" w:rsidRDefault="00F0638F" w:rsidP="00F0638F">
      <w:pPr>
        <w:pStyle w:val="paragraph"/>
      </w:pPr>
      <w:r w:rsidRPr="00B4686B">
        <w:tab/>
        <w:t>(d)</w:t>
      </w:r>
      <w:r w:rsidRPr="00B4686B">
        <w:tab/>
        <w:t xml:space="preserve">for </w:t>
      </w:r>
      <w:r w:rsidR="00092260" w:rsidRPr="00B4686B">
        <w:t>the</w:t>
      </w:r>
      <w:r w:rsidRPr="00B4686B">
        <w:t xml:space="preserve"> information mentioned in </w:t>
      </w:r>
      <w:r w:rsidR="00B4686B" w:rsidRPr="00B4686B">
        <w:t>paragraph (</w:t>
      </w:r>
      <w:r w:rsidRPr="00B4686B">
        <w:t>a):</w:t>
      </w:r>
    </w:p>
    <w:p w:rsidR="00F0638F" w:rsidRPr="00B4686B" w:rsidRDefault="00F0638F" w:rsidP="00F0638F">
      <w:pPr>
        <w:pStyle w:val="paragraphsub"/>
      </w:pPr>
      <w:r w:rsidRPr="00B4686B">
        <w:tab/>
        <w:t>(i)</w:t>
      </w:r>
      <w:r w:rsidRPr="00B4686B">
        <w:tab/>
        <w:t>a statement whether the predicted energy use or the indicator changed at any time during 2 or more design stages</w:t>
      </w:r>
      <w:r w:rsidR="00092260" w:rsidRPr="00B4686B">
        <w:t>, but not including any information that is commercially sensitive</w:t>
      </w:r>
      <w:r w:rsidRPr="00B4686B">
        <w:t>; and</w:t>
      </w:r>
    </w:p>
    <w:p w:rsidR="00F0638F" w:rsidRPr="00B4686B" w:rsidRDefault="00F0638F" w:rsidP="00F0638F">
      <w:pPr>
        <w:pStyle w:val="paragraphsub"/>
      </w:pPr>
      <w:r w:rsidRPr="00B4686B">
        <w:tab/>
        <w:t>(ii)</w:t>
      </w:r>
      <w:r w:rsidRPr="00B4686B">
        <w:tab/>
        <w:t>a description of the change and an explanation of why the change occurred</w:t>
      </w:r>
      <w:r w:rsidR="00092260" w:rsidRPr="00B4686B">
        <w:t>, but not including any information that is commercially sensitive</w:t>
      </w:r>
      <w:r w:rsidRPr="00B4686B">
        <w:t>;</w:t>
      </w:r>
    </w:p>
    <w:p w:rsidR="00F0638F" w:rsidRPr="00B4686B" w:rsidRDefault="00F0638F" w:rsidP="00F0638F">
      <w:pPr>
        <w:pStyle w:val="paragraph"/>
      </w:pPr>
      <w:r w:rsidRPr="00B4686B">
        <w:tab/>
        <w:t>(e)</w:t>
      </w:r>
      <w:r w:rsidRPr="00B4686B">
        <w:tab/>
        <w:t xml:space="preserve">a general explanation of each design feature or choice of technology that contributed to the majority of the energy savings, but not including </w:t>
      </w:r>
      <w:r w:rsidR="00092260" w:rsidRPr="00B4686B">
        <w:t xml:space="preserve">any </w:t>
      </w:r>
      <w:r w:rsidRPr="00B4686B">
        <w:t>information that is commercially sensitive.</w:t>
      </w:r>
    </w:p>
    <w:p w:rsidR="005F7593" w:rsidRPr="00B4686B" w:rsidRDefault="00DC0E16" w:rsidP="005F7593">
      <w:pPr>
        <w:pStyle w:val="ItemHead"/>
      </w:pPr>
      <w:r w:rsidRPr="00B4686B">
        <w:t>2</w:t>
      </w:r>
      <w:r w:rsidR="008B79C8" w:rsidRPr="00B4686B">
        <w:t>3</w:t>
      </w:r>
      <w:r w:rsidR="003B15BB" w:rsidRPr="00B4686B">
        <w:t xml:space="preserve">  Regulation</w:t>
      </w:r>
      <w:r w:rsidR="00B4686B" w:rsidRPr="00B4686B">
        <w:t> </w:t>
      </w:r>
      <w:r w:rsidR="003B15BB" w:rsidRPr="00B4686B">
        <w:t>7.7 (heading)</w:t>
      </w:r>
    </w:p>
    <w:p w:rsidR="003B15BB" w:rsidRPr="00B4686B" w:rsidRDefault="003B15BB" w:rsidP="003B15BB">
      <w:pPr>
        <w:pStyle w:val="Item"/>
      </w:pPr>
      <w:r w:rsidRPr="00B4686B">
        <w:t>Repeal the heading, substitute:</w:t>
      </w:r>
    </w:p>
    <w:p w:rsidR="003B15BB" w:rsidRPr="00B4686B" w:rsidRDefault="003B15BB" w:rsidP="003B15BB">
      <w:pPr>
        <w:pStyle w:val="ActHead5"/>
      </w:pPr>
      <w:bookmarkStart w:id="22" w:name="_Toc360028932"/>
      <w:r w:rsidRPr="00B4686B">
        <w:rPr>
          <w:rStyle w:val="CharSectno"/>
        </w:rPr>
        <w:t>7.</w:t>
      </w:r>
      <w:r w:rsidR="002F3C15" w:rsidRPr="00B4686B">
        <w:rPr>
          <w:rStyle w:val="CharSectno"/>
        </w:rPr>
        <w:t>7</w:t>
      </w:r>
      <w:r w:rsidRPr="00B4686B">
        <w:t xml:space="preserve">  Information in report (no new development or expansion)</w:t>
      </w:r>
      <w:bookmarkEnd w:id="22"/>
    </w:p>
    <w:p w:rsidR="005F7593" w:rsidRPr="00B4686B" w:rsidRDefault="00DC0E16" w:rsidP="005F7593">
      <w:pPr>
        <w:pStyle w:val="ItemHead"/>
      </w:pPr>
      <w:r w:rsidRPr="00B4686B">
        <w:t>2</w:t>
      </w:r>
      <w:r w:rsidR="008B79C8" w:rsidRPr="00B4686B">
        <w:t>4</w:t>
      </w:r>
      <w:r w:rsidR="003B15BB" w:rsidRPr="00B4686B">
        <w:t xml:space="preserve">  Subregulation</w:t>
      </w:r>
      <w:r w:rsidR="00B4686B" w:rsidRPr="00B4686B">
        <w:t> </w:t>
      </w:r>
      <w:r w:rsidR="003B15BB" w:rsidRPr="00B4686B">
        <w:t>7.7(1)</w:t>
      </w:r>
    </w:p>
    <w:p w:rsidR="005F7593" w:rsidRPr="00B4686B" w:rsidRDefault="003B15BB" w:rsidP="005F7593">
      <w:pPr>
        <w:pStyle w:val="Item"/>
      </w:pPr>
      <w:r w:rsidRPr="00B4686B">
        <w:t>After “section</w:t>
      </w:r>
      <w:r w:rsidR="00B4686B" w:rsidRPr="00B4686B">
        <w:t> </w:t>
      </w:r>
      <w:r w:rsidRPr="00B4686B">
        <w:t xml:space="preserve">23 of the Act”, insert “that does not relate to a new development </w:t>
      </w:r>
      <w:r w:rsidR="00985945" w:rsidRPr="00B4686B">
        <w:t>or an expansion</w:t>
      </w:r>
      <w:r w:rsidRPr="00B4686B">
        <w:t>”.</w:t>
      </w:r>
    </w:p>
    <w:p w:rsidR="005F7593" w:rsidRPr="00B4686B" w:rsidRDefault="00DC0E16" w:rsidP="005F7593">
      <w:pPr>
        <w:pStyle w:val="ItemHead"/>
      </w:pPr>
      <w:r w:rsidRPr="00B4686B">
        <w:t>2</w:t>
      </w:r>
      <w:r w:rsidR="008B79C8" w:rsidRPr="00B4686B">
        <w:t>5</w:t>
      </w:r>
      <w:r w:rsidR="002F3C15" w:rsidRPr="00B4686B">
        <w:t xml:space="preserve">  After subregulation</w:t>
      </w:r>
      <w:r w:rsidR="00B4686B" w:rsidRPr="00B4686B">
        <w:t> </w:t>
      </w:r>
      <w:r w:rsidR="002F3C15" w:rsidRPr="00B4686B">
        <w:t>7.9(1)</w:t>
      </w:r>
    </w:p>
    <w:p w:rsidR="005F7593" w:rsidRPr="00B4686B" w:rsidRDefault="002F3C15" w:rsidP="005F7593">
      <w:pPr>
        <w:pStyle w:val="Item"/>
      </w:pPr>
      <w:r w:rsidRPr="00B4686B">
        <w:t>Insert:</w:t>
      </w:r>
    </w:p>
    <w:p w:rsidR="00026B06" w:rsidRPr="00B4686B" w:rsidRDefault="002F3C15" w:rsidP="00026B06">
      <w:pPr>
        <w:pStyle w:val="subsection"/>
      </w:pPr>
      <w:r w:rsidRPr="00B4686B">
        <w:lastRenderedPageBreak/>
        <w:tab/>
        <w:t>(1A)</w:t>
      </w:r>
      <w:r w:rsidRPr="00B4686B">
        <w:tab/>
        <w:t>If</w:t>
      </w:r>
      <w:r w:rsidR="00026B06" w:rsidRPr="00B4686B">
        <w:t xml:space="preserve"> the report relates to </w:t>
      </w:r>
      <w:r w:rsidR="00026B06" w:rsidRPr="00B4686B">
        <w:rPr>
          <w:bCs/>
        </w:rPr>
        <w:t xml:space="preserve">a new development or an expansion, </w:t>
      </w:r>
      <w:r w:rsidR="00026B06" w:rsidRPr="00B4686B">
        <w:t xml:space="preserve">the time is 12 </w:t>
      </w:r>
      <w:r w:rsidR="00026B06" w:rsidRPr="00B4686B">
        <w:rPr>
          <w:bCs/>
        </w:rPr>
        <w:t xml:space="preserve">months after the end of the financial year in which </w:t>
      </w:r>
      <w:r w:rsidR="00026B06" w:rsidRPr="00B4686B">
        <w:t>commercial operation commences.</w:t>
      </w:r>
    </w:p>
    <w:p w:rsidR="00586702" w:rsidRPr="00B4686B" w:rsidRDefault="00586702" w:rsidP="00586702">
      <w:pPr>
        <w:pStyle w:val="notetext"/>
      </w:pPr>
      <w:r w:rsidRPr="00B4686B">
        <w:t>Note:</w:t>
      </w:r>
      <w:r w:rsidRPr="00B4686B">
        <w:tab/>
        <w:t xml:space="preserve">No subsequent reports are required for </w:t>
      </w:r>
      <w:r w:rsidRPr="00B4686B">
        <w:rPr>
          <w:bCs/>
        </w:rPr>
        <w:t xml:space="preserve">a new </w:t>
      </w:r>
      <w:r w:rsidRPr="00B4686B">
        <w:t>development or an expansion.</w:t>
      </w:r>
    </w:p>
    <w:p w:rsidR="005F7593" w:rsidRPr="00B4686B" w:rsidRDefault="00DC0E16" w:rsidP="005F7593">
      <w:pPr>
        <w:pStyle w:val="ItemHead"/>
      </w:pPr>
      <w:r w:rsidRPr="00B4686B">
        <w:t>2</w:t>
      </w:r>
      <w:r w:rsidR="008B79C8" w:rsidRPr="00B4686B">
        <w:t>6</w:t>
      </w:r>
      <w:r w:rsidR="002F3C15" w:rsidRPr="00B4686B">
        <w:t xml:space="preserve">  Subregulation</w:t>
      </w:r>
      <w:r w:rsidR="00B4686B" w:rsidRPr="00B4686B">
        <w:t> </w:t>
      </w:r>
      <w:r w:rsidR="002F3C15" w:rsidRPr="00B4686B">
        <w:t>7.9(2)</w:t>
      </w:r>
    </w:p>
    <w:p w:rsidR="002F3C15" w:rsidRPr="00B4686B" w:rsidRDefault="002F3C15" w:rsidP="002F3C15">
      <w:pPr>
        <w:pStyle w:val="Item"/>
      </w:pPr>
      <w:r w:rsidRPr="00B4686B">
        <w:t>Omit “For”, substitute “If subregulation (1A) does not apply, for”.</w:t>
      </w:r>
    </w:p>
    <w:p w:rsidR="00586702" w:rsidRPr="00B4686B" w:rsidRDefault="00586702" w:rsidP="005F7593">
      <w:pPr>
        <w:pStyle w:val="ItemHead"/>
      </w:pPr>
      <w:r w:rsidRPr="00B4686B">
        <w:t>2</w:t>
      </w:r>
      <w:r w:rsidR="008B79C8" w:rsidRPr="00B4686B">
        <w:t>7</w:t>
      </w:r>
      <w:r w:rsidRPr="00B4686B">
        <w:t xml:space="preserve">  Subregulation</w:t>
      </w:r>
      <w:r w:rsidR="00B4686B" w:rsidRPr="00B4686B">
        <w:t> </w:t>
      </w:r>
      <w:r w:rsidRPr="00B4686B">
        <w:t>7.9(2) (note)</w:t>
      </w:r>
    </w:p>
    <w:p w:rsidR="00586702" w:rsidRPr="00B4686B" w:rsidRDefault="00586702" w:rsidP="00586702">
      <w:pPr>
        <w:pStyle w:val="Item"/>
      </w:pPr>
      <w:r w:rsidRPr="00B4686B">
        <w:t>Omit “7.</w:t>
      </w:r>
      <w:r w:rsidR="00040EDE" w:rsidRPr="00B4686B">
        <w:t>4</w:t>
      </w:r>
      <w:r w:rsidRPr="00B4686B">
        <w:t>(1)”, substitute “7.</w:t>
      </w:r>
      <w:r w:rsidR="00040EDE" w:rsidRPr="00B4686B">
        <w:t>4</w:t>
      </w:r>
      <w:r w:rsidRPr="00B4686B">
        <w:t>(2)”.</w:t>
      </w:r>
    </w:p>
    <w:p w:rsidR="00E245F7" w:rsidRPr="00B4686B" w:rsidRDefault="00E245F7" w:rsidP="005F7593">
      <w:pPr>
        <w:pStyle w:val="ItemHead"/>
      </w:pPr>
      <w:r w:rsidRPr="00B4686B">
        <w:t>2</w:t>
      </w:r>
      <w:r w:rsidR="008B79C8" w:rsidRPr="00B4686B">
        <w:t>8</w:t>
      </w:r>
      <w:r w:rsidRPr="00B4686B">
        <w:t xml:space="preserve">  Part</w:t>
      </w:r>
      <w:r w:rsidR="00B4686B" w:rsidRPr="00B4686B">
        <w:t> </w:t>
      </w:r>
      <w:r w:rsidRPr="00B4686B">
        <w:t>2 of Schedule</w:t>
      </w:r>
      <w:r w:rsidR="00B4686B" w:rsidRPr="00B4686B">
        <w:t> </w:t>
      </w:r>
      <w:r w:rsidRPr="00B4686B">
        <w:t>1 (note below heading)</w:t>
      </w:r>
    </w:p>
    <w:p w:rsidR="00E245F7" w:rsidRPr="00B4686B" w:rsidRDefault="00E245F7" w:rsidP="00E245F7">
      <w:pPr>
        <w:pStyle w:val="Item"/>
      </w:pPr>
      <w:r w:rsidRPr="00B4686B">
        <w:t>Repeal the note, substitute:</w:t>
      </w:r>
    </w:p>
    <w:p w:rsidR="00E245F7" w:rsidRPr="00B4686B" w:rsidRDefault="00E245F7" w:rsidP="00A60478">
      <w:pPr>
        <w:pStyle w:val="notemargin"/>
      </w:pPr>
      <w:r w:rsidRPr="00B4686B">
        <w:t>Note:</w:t>
      </w:r>
      <w:r w:rsidRPr="00B4686B">
        <w:tab/>
        <w:t>Subregulation</w:t>
      </w:r>
      <w:r w:rsidR="00B4686B" w:rsidRPr="00B4686B">
        <w:t> </w:t>
      </w:r>
      <w:r w:rsidRPr="00B4686B">
        <w:t xml:space="preserve">1.5(2) explains the </w:t>
      </w:r>
      <w:r w:rsidRPr="00B4686B">
        <w:rPr>
          <w:b/>
          <w:i/>
        </w:rPr>
        <w:t xml:space="preserve">energy used </w:t>
      </w:r>
      <w:r w:rsidRPr="00B4686B">
        <w:t>by an entity.</w:t>
      </w:r>
      <w:r w:rsidR="00A60478" w:rsidRPr="00B4686B">
        <w:t xml:space="preserve"> The </w:t>
      </w:r>
      <w:r w:rsidRPr="00B4686B">
        <w:t>total of all energy used</w:t>
      </w:r>
      <w:r w:rsidR="00A60478" w:rsidRPr="00B4686B">
        <w:t xml:space="preserve"> by the entity does not include any</w:t>
      </w:r>
      <w:r w:rsidRPr="00B4686B">
        <w:t xml:space="preserve"> use of energy or energy sources </w:t>
      </w:r>
      <w:r w:rsidR="00A60478" w:rsidRPr="00B4686B">
        <w:t>specified</w:t>
      </w:r>
      <w:r w:rsidRPr="00B4686B">
        <w:t xml:space="preserve"> in </w:t>
      </w:r>
      <w:r w:rsidR="00586702" w:rsidRPr="00B4686B">
        <w:t>sub</w:t>
      </w:r>
      <w:r w:rsidR="00A60478" w:rsidRPr="00B4686B">
        <w:t>regulation</w:t>
      </w:r>
      <w:r w:rsidR="00B4686B" w:rsidRPr="00B4686B">
        <w:t> </w:t>
      </w:r>
      <w:r w:rsidR="00A60478" w:rsidRPr="00B4686B">
        <w:t>1.5</w:t>
      </w:r>
      <w:r w:rsidR="00586702" w:rsidRPr="00B4686B">
        <w:t>(4)</w:t>
      </w:r>
      <w:r w:rsidR="00A60478" w:rsidRPr="00B4686B">
        <w:t xml:space="preserve"> or </w:t>
      </w:r>
      <w:r w:rsidRPr="00B4686B">
        <w:t>this Part</w:t>
      </w:r>
      <w:r w:rsidR="00A60478" w:rsidRPr="00B4686B">
        <w:t>.</w:t>
      </w:r>
    </w:p>
    <w:p w:rsidR="00E245F7" w:rsidRPr="00B4686B" w:rsidRDefault="00A60478" w:rsidP="00E245F7">
      <w:pPr>
        <w:pStyle w:val="notemargin"/>
      </w:pPr>
      <w:r w:rsidRPr="00B4686B">
        <w:tab/>
        <w:t>Subregulation</w:t>
      </w:r>
      <w:r w:rsidR="00B4686B" w:rsidRPr="00B4686B">
        <w:t> </w:t>
      </w:r>
      <w:r w:rsidRPr="00B4686B">
        <w:t>1.5(2) and this Part are</w:t>
      </w:r>
      <w:r w:rsidR="00E245F7" w:rsidRPr="00B4686B">
        <w:t xml:space="preserve"> intended to prevent “double counting”. If an entity uses an energy source to create energy that the entity then uses, it is only the latter use of energy that counts.</w:t>
      </w:r>
    </w:p>
    <w:p w:rsidR="00E245F7" w:rsidRPr="00B4686B" w:rsidRDefault="00A60478" w:rsidP="00E245F7">
      <w:pPr>
        <w:pStyle w:val="notemargin"/>
      </w:pPr>
      <w:r w:rsidRPr="00B4686B">
        <w:tab/>
      </w:r>
      <w:r w:rsidR="00E245F7" w:rsidRPr="00B4686B">
        <w:t>This Part identifies energy and energy sources that are not to be counted.</w:t>
      </w:r>
    </w:p>
    <w:p w:rsidR="005F7593" w:rsidRPr="00B4686B" w:rsidRDefault="00DC0E16" w:rsidP="005F7593">
      <w:pPr>
        <w:pStyle w:val="ItemHead"/>
      </w:pPr>
      <w:r w:rsidRPr="00B4686B">
        <w:t>2</w:t>
      </w:r>
      <w:r w:rsidR="008B79C8" w:rsidRPr="00B4686B">
        <w:t>9</w:t>
      </w:r>
      <w:r w:rsidR="002F3C15" w:rsidRPr="00B4686B">
        <w:t xml:space="preserve">  After Schedule</w:t>
      </w:r>
      <w:r w:rsidR="00B4686B" w:rsidRPr="00B4686B">
        <w:t> </w:t>
      </w:r>
      <w:r w:rsidR="002F3C15" w:rsidRPr="00B4686B">
        <w:t>2</w:t>
      </w:r>
    </w:p>
    <w:p w:rsidR="002F3C15" w:rsidRPr="00B4686B" w:rsidRDefault="002F3C15" w:rsidP="002F3C15">
      <w:pPr>
        <w:pStyle w:val="Item"/>
      </w:pPr>
      <w:r w:rsidRPr="00B4686B">
        <w:t>Insert:</w:t>
      </w:r>
    </w:p>
    <w:p w:rsidR="005F7593" w:rsidRPr="00B4686B" w:rsidRDefault="002F3C15" w:rsidP="002F3C15">
      <w:pPr>
        <w:pStyle w:val="ActHead1"/>
      </w:pPr>
      <w:bookmarkStart w:id="23" w:name="_Toc360028933"/>
      <w:r w:rsidRPr="00B4686B">
        <w:rPr>
          <w:rStyle w:val="CharChapNo"/>
        </w:rPr>
        <w:t>Schedule</w:t>
      </w:r>
      <w:r w:rsidR="00B4686B" w:rsidRPr="00B4686B">
        <w:rPr>
          <w:rStyle w:val="CharChapNo"/>
        </w:rPr>
        <w:t> </w:t>
      </w:r>
      <w:r w:rsidRPr="00B4686B">
        <w:rPr>
          <w:rStyle w:val="CharChapNo"/>
        </w:rPr>
        <w:t>2A</w:t>
      </w:r>
      <w:r w:rsidRPr="00B4686B">
        <w:t>—</w:t>
      </w:r>
      <w:r w:rsidRPr="00B4686B">
        <w:rPr>
          <w:rStyle w:val="CharChapText"/>
        </w:rPr>
        <w:t>Content of assessment plan (new development or expansion)</w:t>
      </w:r>
      <w:bookmarkEnd w:id="23"/>
    </w:p>
    <w:p w:rsidR="00BE0120" w:rsidRPr="00B4686B" w:rsidRDefault="002F3C15" w:rsidP="001A5893">
      <w:pPr>
        <w:pStyle w:val="notemargin"/>
      </w:pPr>
      <w:r w:rsidRPr="00B4686B">
        <w:t>Note:</w:t>
      </w:r>
      <w:r w:rsidRPr="00B4686B">
        <w:tab/>
        <w:t>See paragraph</w:t>
      </w:r>
      <w:r w:rsidR="00B4686B" w:rsidRPr="00B4686B">
        <w:t> </w:t>
      </w:r>
      <w:r w:rsidRPr="00B4686B">
        <w:t>5.2(</w:t>
      </w:r>
      <w:r w:rsidR="00FA226A" w:rsidRPr="00B4686B">
        <w:t>2</w:t>
      </w:r>
      <w:r w:rsidRPr="00B4686B">
        <w:t>)(a).</w:t>
      </w:r>
    </w:p>
    <w:p w:rsidR="0096136B" w:rsidRPr="00B4686B" w:rsidRDefault="0096136B" w:rsidP="00FA226A">
      <w:pPr>
        <w:pStyle w:val="ActHead2"/>
      </w:pPr>
      <w:bookmarkStart w:id="24" w:name="_Toc360028934"/>
      <w:r w:rsidRPr="00B4686B">
        <w:rPr>
          <w:rStyle w:val="CharPartNo"/>
        </w:rPr>
        <w:t>Part</w:t>
      </w:r>
      <w:r w:rsidR="00B4686B" w:rsidRPr="00B4686B">
        <w:rPr>
          <w:rStyle w:val="CharPartNo"/>
        </w:rPr>
        <w:t> </w:t>
      </w:r>
      <w:r w:rsidRPr="00B4686B">
        <w:rPr>
          <w:rStyle w:val="CharPartNo"/>
        </w:rPr>
        <w:t>1</w:t>
      </w:r>
      <w:r w:rsidR="00FA226A" w:rsidRPr="00B4686B">
        <w:t>—</w:t>
      </w:r>
      <w:r w:rsidRPr="00B4686B">
        <w:rPr>
          <w:rStyle w:val="CharPartText"/>
        </w:rPr>
        <w:t xml:space="preserve">Corporate </w:t>
      </w:r>
      <w:r w:rsidR="00591786" w:rsidRPr="00B4686B">
        <w:rPr>
          <w:rStyle w:val="CharPartText"/>
        </w:rPr>
        <w:t>operations</w:t>
      </w:r>
      <w:bookmarkEnd w:id="24"/>
    </w:p>
    <w:p w:rsidR="00FA226A" w:rsidRPr="00B4686B" w:rsidRDefault="00FA226A" w:rsidP="00FA226A">
      <w:pPr>
        <w:pStyle w:val="Header"/>
      </w:pPr>
      <w:r w:rsidRPr="00B4686B">
        <w:rPr>
          <w:rStyle w:val="CharDivNo"/>
        </w:rPr>
        <w:t xml:space="preserve"> </w:t>
      </w:r>
      <w:r w:rsidRPr="00B4686B">
        <w:rPr>
          <w:rStyle w:val="CharDivText"/>
        </w:rPr>
        <w:t xml:space="preserve"> </w:t>
      </w:r>
    </w:p>
    <w:p w:rsidR="0096136B" w:rsidRPr="00B4686B" w:rsidRDefault="00FA226A" w:rsidP="00FA226A">
      <w:pPr>
        <w:pStyle w:val="subsection"/>
      </w:pPr>
      <w:r w:rsidRPr="00B4686B">
        <w:t>1</w:t>
      </w:r>
      <w:r w:rsidR="00756D03" w:rsidRPr="00B4686B">
        <w:t>01</w:t>
      </w:r>
      <w:r w:rsidRPr="00B4686B">
        <w:tab/>
      </w:r>
      <w:r w:rsidRPr="00B4686B">
        <w:tab/>
        <w:t>All</w:t>
      </w:r>
      <w:r w:rsidR="0096136B" w:rsidRPr="00B4686B">
        <w:t xml:space="preserve"> new developments or exp</w:t>
      </w:r>
      <w:r w:rsidRPr="00B4686B">
        <w:t>ansions that have been publicl</w:t>
      </w:r>
      <w:r w:rsidR="0096136B" w:rsidRPr="00B4686B">
        <w:t xml:space="preserve">y announced by the </w:t>
      </w:r>
      <w:r w:rsidRPr="00B4686B">
        <w:t xml:space="preserve">controlling </w:t>
      </w:r>
      <w:r w:rsidR="0096136B" w:rsidRPr="00B4686B">
        <w:t>corporation.</w:t>
      </w:r>
    </w:p>
    <w:p w:rsidR="0096136B" w:rsidRPr="00B4686B" w:rsidRDefault="0096136B" w:rsidP="00FA226A">
      <w:pPr>
        <w:pStyle w:val="ActHead2"/>
      </w:pPr>
      <w:bookmarkStart w:id="25" w:name="_Toc360028935"/>
      <w:r w:rsidRPr="00B4686B">
        <w:rPr>
          <w:rStyle w:val="CharPartNo"/>
        </w:rPr>
        <w:lastRenderedPageBreak/>
        <w:t>Part</w:t>
      </w:r>
      <w:r w:rsidR="00B4686B" w:rsidRPr="00B4686B">
        <w:rPr>
          <w:rStyle w:val="CharPartNo"/>
        </w:rPr>
        <w:t> </w:t>
      </w:r>
      <w:r w:rsidRPr="00B4686B">
        <w:rPr>
          <w:rStyle w:val="CharPartNo"/>
        </w:rPr>
        <w:t>2</w:t>
      </w:r>
      <w:r w:rsidR="00FA226A" w:rsidRPr="00B4686B">
        <w:t>—</w:t>
      </w:r>
      <w:r w:rsidRPr="00B4686B">
        <w:rPr>
          <w:rStyle w:val="CharPartText"/>
        </w:rPr>
        <w:t xml:space="preserve">Estimated </w:t>
      </w:r>
      <w:r w:rsidR="00040EDE" w:rsidRPr="00B4686B">
        <w:rPr>
          <w:rStyle w:val="CharPartText"/>
        </w:rPr>
        <w:t xml:space="preserve">future </w:t>
      </w:r>
      <w:r w:rsidRPr="00B4686B">
        <w:rPr>
          <w:rStyle w:val="CharPartText"/>
        </w:rPr>
        <w:t>energy use</w:t>
      </w:r>
      <w:bookmarkEnd w:id="25"/>
    </w:p>
    <w:p w:rsidR="00E7629C" w:rsidRPr="00B4686B" w:rsidRDefault="00E7629C" w:rsidP="00E7629C">
      <w:pPr>
        <w:pStyle w:val="Header"/>
      </w:pPr>
      <w:r w:rsidRPr="00B4686B">
        <w:rPr>
          <w:rStyle w:val="CharDivNo"/>
        </w:rPr>
        <w:t xml:space="preserve"> </w:t>
      </w:r>
      <w:r w:rsidRPr="00B4686B">
        <w:rPr>
          <w:rStyle w:val="CharDivText"/>
        </w:rPr>
        <w:t xml:space="preserve"> </w:t>
      </w:r>
    </w:p>
    <w:p w:rsidR="00756D03" w:rsidRPr="00B4686B" w:rsidRDefault="00756D03" w:rsidP="00756D03">
      <w:pPr>
        <w:pStyle w:val="subsection"/>
      </w:pPr>
      <w:r w:rsidRPr="00B4686B">
        <w:t>201</w:t>
      </w:r>
      <w:r w:rsidRPr="00B4686B">
        <w:tab/>
      </w:r>
      <w:r w:rsidRPr="00B4686B">
        <w:tab/>
        <w:t>For each design stage, and for each new development and expansion mentioned in item</w:t>
      </w:r>
      <w:r w:rsidR="00B4686B" w:rsidRPr="00B4686B">
        <w:t> </w:t>
      </w:r>
      <w:r w:rsidRPr="00B4686B">
        <w:t>101, the e</w:t>
      </w:r>
      <w:r w:rsidR="0096136B" w:rsidRPr="00B4686B">
        <w:t xml:space="preserve">stimated </w:t>
      </w:r>
      <w:r w:rsidR="00586702" w:rsidRPr="00B4686B">
        <w:t xml:space="preserve">future </w:t>
      </w:r>
      <w:r w:rsidR="0096136B" w:rsidRPr="00B4686B">
        <w:t>energy use</w:t>
      </w:r>
      <w:r w:rsidRPr="00B4686B">
        <w:t>.</w:t>
      </w:r>
    </w:p>
    <w:p w:rsidR="00756D03" w:rsidRPr="00B4686B" w:rsidRDefault="00756D03" w:rsidP="00756D03">
      <w:pPr>
        <w:pStyle w:val="subsection"/>
      </w:pPr>
      <w:r w:rsidRPr="00B4686B">
        <w:t>202</w:t>
      </w:r>
      <w:r w:rsidRPr="00B4686B">
        <w:tab/>
      </w:r>
      <w:r w:rsidRPr="00B4686B">
        <w:tab/>
        <w:t>For each design stage, and for each new development and expansion mentioned in item</w:t>
      </w:r>
      <w:r w:rsidR="00B4686B" w:rsidRPr="00B4686B">
        <w:t> </w:t>
      </w:r>
      <w:r w:rsidRPr="00B4686B">
        <w:t>101, the indicator used for energy use.</w:t>
      </w:r>
    </w:p>
    <w:p w:rsidR="0096136B" w:rsidRPr="00B4686B" w:rsidRDefault="00756D03" w:rsidP="00756D03">
      <w:pPr>
        <w:pStyle w:val="subsection"/>
      </w:pPr>
      <w:r w:rsidRPr="00B4686B">
        <w:t>203</w:t>
      </w:r>
      <w:r w:rsidRPr="00B4686B">
        <w:tab/>
      </w:r>
      <w:r w:rsidRPr="00B4686B">
        <w:tab/>
        <w:t>The information mentioned in item</w:t>
      </w:r>
      <w:r w:rsidR="00B4686B" w:rsidRPr="00B4686B">
        <w:t> </w:t>
      </w:r>
      <w:r w:rsidRPr="00B4686B">
        <w:t xml:space="preserve">201, identified by the </w:t>
      </w:r>
      <w:r w:rsidR="00586702" w:rsidRPr="00B4686B">
        <w:t xml:space="preserve">main </w:t>
      </w:r>
      <w:r w:rsidRPr="00B4686B">
        <w:t>types of energy used.</w:t>
      </w:r>
    </w:p>
    <w:p w:rsidR="00F61397" w:rsidRPr="00B4686B" w:rsidRDefault="00756D03" w:rsidP="00756D03">
      <w:pPr>
        <w:pStyle w:val="subsection"/>
      </w:pPr>
      <w:r w:rsidRPr="00B4686B">
        <w:t>204</w:t>
      </w:r>
      <w:r w:rsidRPr="00B4686B">
        <w:tab/>
      </w:r>
      <w:r w:rsidRPr="00B4686B">
        <w:tab/>
      </w:r>
      <w:r w:rsidR="00F61397" w:rsidRPr="00B4686B">
        <w:t>If the predicted energy use or the indicator changed at any time during 2 or more design stages:</w:t>
      </w:r>
    </w:p>
    <w:p w:rsidR="00F61397" w:rsidRPr="00B4686B" w:rsidRDefault="00F61397" w:rsidP="00F61397">
      <w:pPr>
        <w:pStyle w:val="paragraph"/>
      </w:pPr>
      <w:r w:rsidRPr="00B4686B">
        <w:tab/>
        <w:t>(a)</w:t>
      </w:r>
      <w:r w:rsidRPr="00B4686B">
        <w:tab/>
      </w:r>
      <w:r w:rsidR="0096136B" w:rsidRPr="00B4686B">
        <w:t xml:space="preserve">a </w:t>
      </w:r>
      <w:r w:rsidRPr="00B4686B">
        <w:t>statement to that effect</w:t>
      </w:r>
      <w:r w:rsidR="0096136B" w:rsidRPr="00B4686B">
        <w:t>; and</w:t>
      </w:r>
    </w:p>
    <w:p w:rsidR="00F61397" w:rsidRPr="00B4686B" w:rsidRDefault="00F61397" w:rsidP="00F61397">
      <w:pPr>
        <w:pStyle w:val="paragraph"/>
      </w:pPr>
      <w:r w:rsidRPr="00B4686B">
        <w:tab/>
        <w:t>(b)</w:t>
      </w:r>
      <w:r w:rsidRPr="00B4686B">
        <w:tab/>
        <w:t>a description of the change and an explanation of why the change occurred</w:t>
      </w:r>
      <w:r w:rsidR="0002261D" w:rsidRPr="00B4686B">
        <w:t>, but not including any information that is commercially sensitive</w:t>
      </w:r>
      <w:r w:rsidRPr="00B4686B">
        <w:t>.</w:t>
      </w:r>
    </w:p>
    <w:p w:rsidR="00F61397" w:rsidRPr="00B4686B" w:rsidRDefault="00F61397" w:rsidP="00F61397">
      <w:pPr>
        <w:pStyle w:val="subsection"/>
      </w:pPr>
      <w:r w:rsidRPr="00B4686B">
        <w:t>205</w:t>
      </w:r>
      <w:r w:rsidRPr="00B4686B">
        <w:tab/>
      </w:r>
      <w:r w:rsidRPr="00B4686B">
        <w:tab/>
        <w:t>A general explanation of each design feature or choice of technology that contributed to the majority of the energy savings during the period before an assessment plan was required to be given to the Secretary</w:t>
      </w:r>
      <w:r w:rsidR="0002261D" w:rsidRPr="00B4686B">
        <w:t>, but not including any information that is commercially sensitive</w:t>
      </w:r>
      <w:r w:rsidRPr="00B4686B">
        <w:t>.</w:t>
      </w:r>
    </w:p>
    <w:p w:rsidR="0002261D" w:rsidRPr="00B4686B" w:rsidRDefault="0002261D" w:rsidP="0002261D">
      <w:pPr>
        <w:pStyle w:val="subsection"/>
      </w:pPr>
      <w:r w:rsidRPr="00B4686B">
        <w:t>206</w:t>
      </w:r>
      <w:r w:rsidRPr="00B4686B">
        <w:tab/>
      </w:r>
      <w:r w:rsidRPr="00B4686B">
        <w:tab/>
        <w:t>Any alternative reporting method or methods that is allowed under regulation</w:t>
      </w:r>
      <w:r w:rsidR="00B4686B" w:rsidRPr="00B4686B">
        <w:t> </w:t>
      </w:r>
      <w:r w:rsidRPr="00B4686B">
        <w:t>7.6A and Schedule</w:t>
      </w:r>
      <w:r w:rsidR="00B4686B" w:rsidRPr="00B4686B">
        <w:t> </w:t>
      </w:r>
      <w:r w:rsidRPr="00B4686B">
        <w:t>4A and that has been used.</w:t>
      </w:r>
    </w:p>
    <w:p w:rsidR="0096136B" w:rsidRPr="00B4686B" w:rsidRDefault="00F61397" w:rsidP="00F61397">
      <w:pPr>
        <w:pStyle w:val="notemargin"/>
      </w:pPr>
      <w:r w:rsidRPr="00B4686B">
        <w:t>Note:</w:t>
      </w:r>
      <w:r w:rsidRPr="00B4686B">
        <w:tab/>
        <w:t>A registered corporation may not be able to give s</w:t>
      </w:r>
      <w:r w:rsidR="0096136B" w:rsidRPr="00B4686B">
        <w:t xml:space="preserve">ome of </w:t>
      </w:r>
      <w:r w:rsidRPr="00B4686B">
        <w:t xml:space="preserve">this information </w:t>
      </w:r>
      <w:r w:rsidR="0096136B" w:rsidRPr="00B4686B">
        <w:t xml:space="preserve">to the Secretary when </w:t>
      </w:r>
      <w:r w:rsidRPr="00B4686B">
        <w:t>it</w:t>
      </w:r>
      <w:r w:rsidR="0096136B" w:rsidRPr="00B4686B">
        <w:t xml:space="preserve"> </w:t>
      </w:r>
      <w:r w:rsidRPr="00B4686B">
        <w:t xml:space="preserve">gives the Secretary the </w:t>
      </w:r>
      <w:r w:rsidR="0096136B" w:rsidRPr="00B4686B">
        <w:t xml:space="preserve">assessment plan for </w:t>
      </w:r>
      <w:r w:rsidRPr="00B4686B">
        <w:t xml:space="preserve">its </w:t>
      </w:r>
      <w:r w:rsidR="0096136B" w:rsidRPr="00B4686B">
        <w:t>first new devel</w:t>
      </w:r>
      <w:r w:rsidRPr="00B4686B">
        <w:t>opment</w:t>
      </w:r>
      <w:r w:rsidR="0096136B" w:rsidRPr="00B4686B">
        <w:t xml:space="preserve"> or expansion, as </w:t>
      </w:r>
      <w:r w:rsidRPr="00B4686B">
        <w:t>it</w:t>
      </w:r>
      <w:r w:rsidR="0096136B" w:rsidRPr="00B4686B">
        <w:t xml:space="preserve"> may not have previously estimated the energy use indicators.</w:t>
      </w:r>
    </w:p>
    <w:p w:rsidR="0096136B" w:rsidRPr="00B4686B" w:rsidRDefault="0096136B" w:rsidP="00FA226A">
      <w:pPr>
        <w:pStyle w:val="ActHead2"/>
      </w:pPr>
      <w:bookmarkStart w:id="26" w:name="_Toc360028936"/>
      <w:r w:rsidRPr="00B4686B">
        <w:rPr>
          <w:rStyle w:val="CharPartNo"/>
        </w:rPr>
        <w:t>Part</w:t>
      </w:r>
      <w:r w:rsidR="00B4686B" w:rsidRPr="00B4686B">
        <w:rPr>
          <w:rStyle w:val="CharPartNo"/>
        </w:rPr>
        <w:t> </w:t>
      </w:r>
      <w:r w:rsidRPr="00B4686B">
        <w:rPr>
          <w:rStyle w:val="CharPartNo"/>
        </w:rPr>
        <w:t>3</w:t>
      </w:r>
      <w:r w:rsidR="00013AFE" w:rsidRPr="00B4686B">
        <w:t>—</w:t>
      </w:r>
      <w:r w:rsidRPr="00B4686B">
        <w:rPr>
          <w:rStyle w:val="CharPartText"/>
        </w:rPr>
        <w:t>A</w:t>
      </w:r>
      <w:r w:rsidR="00F61397" w:rsidRPr="00B4686B">
        <w:rPr>
          <w:rStyle w:val="CharPartText"/>
        </w:rPr>
        <w:t>ssessments</w:t>
      </w:r>
      <w:bookmarkEnd w:id="26"/>
    </w:p>
    <w:p w:rsidR="00E7629C" w:rsidRPr="00B4686B" w:rsidRDefault="00E7629C" w:rsidP="00E7629C">
      <w:pPr>
        <w:pStyle w:val="Header"/>
      </w:pPr>
      <w:r w:rsidRPr="00B4686B">
        <w:rPr>
          <w:rStyle w:val="CharDivNo"/>
        </w:rPr>
        <w:t xml:space="preserve"> </w:t>
      </w:r>
      <w:r w:rsidRPr="00B4686B">
        <w:rPr>
          <w:rStyle w:val="CharDivText"/>
        </w:rPr>
        <w:t xml:space="preserve"> </w:t>
      </w:r>
    </w:p>
    <w:p w:rsidR="0096136B" w:rsidRPr="00B4686B" w:rsidRDefault="00F61397" w:rsidP="00F61397">
      <w:pPr>
        <w:pStyle w:val="subsection"/>
      </w:pPr>
      <w:r w:rsidRPr="00B4686B">
        <w:t>301</w:t>
      </w:r>
      <w:r w:rsidRPr="00B4686B">
        <w:tab/>
      </w:r>
      <w:r w:rsidRPr="00B4686B">
        <w:tab/>
      </w:r>
      <w:r w:rsidR="0096136B" w:rsidRPr="00B4686B">
        <w:t xml:space="preserve">A </w:t>
      </w:r>
      <w:r w:rsidRPr="00B4686B">
        <w:t>general explanation of</w:t>
      </w:r>
      <w:r w:rsidR="0096136B" w:rsidRPr="00B4686B">
        <w:t xml:space="preserve"> how the controlling corporation intends to undertake assessments, including how </w:t>
      </w:r>
      <w:r w:rsidRPr="00B4686B">
        <w:t xml:space="preserve">it will incorporate </w:t>
      </w:r>
      <w:r w:rsidR="0096136B" w:rsidRPr="00B4686B">
        <w:t xml:space="preserve">the </w:t>
      </w:r>
      <w:r w:rsidRPr="00B4686B">
        <w:t>key e</w:t>
      </w:r>
      <w:r w:rsidR="0096136B" w:rsidRPr="00B4686B">
        <w:t xml:space="preserve">lements </w:t>
      </w:r>
      <w:r w:rsidRPr="00B4686B">
        <w:t>in Schedule</w:t>
      </w:r>
      <w:r w:rsidR="00B4686B" w:rsidRPr="00B4686B">
        <w:t> </w:t>
      </w:r>
      <w:r w:rsidRPr="00B4686B">
        <w:t xml:space="preserve">6 </w:t>
      </w:r>
      <w:r w:rsidR="0096136B" w:rsidRPr="00B4686B">
        <w:t xml:space="preserve">into </w:t>
      </w:r>
      <w:r w:rsidR="00013AFE" w:rsidRPr="00B4686B">
        <w:t xml:space="preserve">each </w:t>
      </w:r>
      <w:r w:rsidR="0096136B" w:rsidRPr="00B4686B">
        <w:t xml:space="preserve">design stage in order to meet the requirements set out in </w:t>
      </w:r>
      <w:r w:rsidR="00013AFE" w:rsidRPr="00B4686B">
        <w:t>Schedule</w:t>
      </w:r>
      <w:r w:rsidR="00B4686B" w:rsidRPr="00B4686B">
        <w:t> </w:t>
      </w:r>
      <w:r w:rsidR="00013AFE" w:rsidRPr="00B4686B">
        <w:t>6.</w:t>
      </w:r>
    </w:p>
    <w:p w:rsidR="0096136B" w:rsidRPr="00B4686B" w:rsidRDefault="0096136B" w:rsidP="00013AFE">
      <w:pPr>
        <w:pStyle w:val="ActHead2"/>
      </w:pPr>
      <w:bookmarkStart w:id="27" w:name="_Toc360028937"/>
      <w:r w:rsidRPr="00B4686B">
        <w:rPr>
          <w:rStyle w:val="CharPartNo"/>
        </w:rPr>
        <w:lastRenderedPageBreak/>
        <w:t>Part</w:t>
      </w:r>
      <w:r w:rsidR="00B4686B" w:rsidRPr="00B4686B">
        <w:rPr>
          <w:rStyle w:val="CharPartNo"/>
        </w:rPr>
        <w:t> </w:t>
      </w:r>
      <w:r w:rsidRPr="00B4686B">
        <w:rPr>
          <w:rStyle w:val="CharPartNo"/>
        </w:rPr>
        <w:t>4</w:t>
      </w:r>
      <w:r w:rsidR="00013AFE" w:rsidRPr="00B4686B">
        <w:t>—</w:t>
      </w:r>
      <w:r w:rsidR="009C33A0" w:rsidRPr="00B4686B">
        <w:rPr>
          <w:rStyle w:val="CharPartText"/>
        </w:rPr>
        <w:t>Reporting</w:t>
      </w:r>
      <w:bookmarkEnd w:id="27"/>
    </w:p>
    <w:p w:rsidR="00E7629C" w:rsidRPr="00B4686B" w:rsidRDefault="00E7629C" w:rsidP="00E7629C">
      <w:pPr>
        <w:pStyle w:val="Header"/>
      </w:pPr>
      <w:r w:rsidRPr="00B4686B">
        <w:rPr>
          <w:rStyle w:val="CharDivNo"/>
        </w:rPr>
        <w:t xml:space="preserve"> </w:t>
      </w:r>
      <w:r w:rsidRPr="00B4686B">
        <w:rPr>
          <w:rStyle w:val="CharDivText"/>
        </w:rPr>
        <w:t xml:space="preserve"> </w:t>
      </w:r>
    </w:p>
    <w:p w:rsidR="0096136B" w:rsidRPr="00B4686B" w:rsidRDefault="00013AFE" w:rsidP="00F61397">
      <w:pPr>
        <w:pStyle w:val="subsection"/>
      </w:pPr>
      <w:r w:rsidRPr="00B4686B">
        <w:t>401</w:t>
      </w:r>
      <w:r w:rsidRPr="00B4686B">
        <w:tab/>
      </w:r>
      <w:r w:rsidRPr="00B4686B">
        <w:tab/>
      </w:r>
      <w:r w:rsidR="0096136B" w:rsidRPr="00B4686B">
        <w:t xml:space="preserve">A statement indicating when a </w:t>
      </w:r>
      <w:r w:rsidR="007D01AD" w:rsidRPr="00B4686B">
        <w:t xml:space="preserve">new </w:t>
      </w:r>
      <w:r w:rsidR="0096136B" w:rsidRPr="00B4686B">
        <w:t>development</w:t>
      </w:r>
      <w:r w:rsidR="00203093" w:rsidRPr="00B4686B">
        <w:t xml:space="preserve"> </w:t>
      </w:r>
      <w:r w:rsidR="00985945" w:rsidRPr="00B4686B">
        <w:t>or an expansion</w:t>
      </w:r>
      <w:r w:rsidR="0096136B" w:rsidRPr="00B4686B">
        <w:t xml:space="preserve"> will be considered to have reached commercial operation, which will initiate the provision of a </w:t>
      </w:r>
      <w:r w:rsidR="00586702" w:rsidRPr="00B4686B">
        <w:t>report to the Secretary</w:t>
      </w:r>
      <w:r w:rsidR="0096136B" w:rsidRPr="00B4686B">
        <w:t xml:space="preserve"> </w:t>
      </w:r>
      <w:r w:rsidR="00586702" w:rsidRPr="00B4686B">
        <w:t>and a public r</w:t>
      </w:r>
      <w:r w:rsidR="0096136B" w:rsidRPr="00B4686B">
        <w:t>eport.</w:t>
      </w:r>
    </w:p>
    <w:p w:rsidR="00203093" w:rsidRPr="00B4686B" w:rsidRDefault="00E7629C" w:rsidP="00F61397">
      <w:pPr>
        <w:pStyle w:val="subsection"/>
      </w:pPr>
      <w:r w:rsidRPr="00B4686B">
        <w:t>402</w:t>
      </w:r>
      <w:r w:rsidRPr="00B4686B">
        <w:tab/>
        <w:t>(1)</w:t>
      </w:r>
      <w:r w:rsidRPr="00B4686B">
        <w:tab/>
      </w:r>
      <w:r w:rsidR="00203093" w:rsidRPr="00B4686B">
        <w:t>Either:</w:t>
      </w:r>
    </w:p>
    <w:p w:rsidR="00203093" w:rsidRPr="00B4686B" w:rsidRDefault="00203093" w:rsidP="00203093">
      <w:pPr>
        <w:pStyle w:val="paragraph"/>
      </w:pPr>
      <w:r w:rsidRPr="00B4686B">
        <w:tab/>
        <w:t>(a)</w:t>
      </w:r>
      <w:r w:rsidRPr="00B4686B">
        <w:tab/>
        <w:t>the</w:t>
      </w:r>
      <w:r w:rsidR="0096136B" w:rsidRPr="00B4686B">
        <w:t xml:space="preserve"> leading indicators </w:t>
      </w:r>
      <w:r w:rsidRPr="00B4686B">
        <w:t xml:space="preserve">to be used as part of the </w:t>
      </w:r>
      <w:r w:rsidR="007D01AD" w:rsidRPr="00B4686B">
        <w:t xml:space="preserve">new </w:t>
      </w:r>
      <w:r w:rsidRPr="00B4686B">
        <w:t xml:space="preserve">development </w:t>
      </w:r>
      <w:r w:rsidR="00985945" w:rsidRPr="00B4686B">
        <w:t>or the expansion</w:t>
      </w:r>
      <w:r w:rsidRPr="00B4686B">
        <w:t xml:space="preserve">; </w:t>
      </w:r>
      <w:r w:rsidR="0096136B" w:rsidRPr="00B4686B">
        <w:t>or</w:t>
      </w:r>
    </w:p>
    <w:p w:rsidR="00E7629C" w:rsidRPr="00B4686B" w:rsidRDefault="00203093" w:rsidP="00203093">
      <w:pPr>
        <w:pStyle w:val="paragraph"/>
      </w:pPr>
      <w:r w:rsidRPr="00B4686B">
        <w:tab/>
        <w:t>(b)</w:t>
      </w:r>
      <w:r w:rsidRPr="00B4686B">
        <w:tab/>
      </w:r>
      <w:r w:rsidR="0096136B" w:rsidRPr="00B4686B">
        <w:t>a</w:t>
      </w:r>
      <w:r w:rsidRPr="00B4686B">
        <w:t>n explana</w:t>
      </w:r>
      <w:r w:rsidR="0096136B" w:rsidRPr="00B4686B">
        <w:t>tion of how leading indicators will be chosen fo</w:t>
      </w:r>
      <w:r w:rsidR="00E7629C" w:rsidRPr="00B4686B">
        <w:t>r the</w:t>
      </w:r>
      <w:r w:rsidR="007D01AD" w:rsidRPr="00B4686B">
        <w:t xml:space="preserve"> new</w:t>
      </w:r>
      <w:r w:rsidR="00E7629C" w:rsidRPr="00B4686B">
        <w:t xml:space="preserve"> development </w:t>
      </w:r>
      <w:r w:rsidR="00985945" w:rsidRPr="00B4686B">
        <w:t>or the expansion</w:t>
      </w:r>
      <w:r w:rsidR="00E7629C" w:rsidRPr="00B4686B">
        <w:t>.</w:t>
      </w:r>
    </w:p>
    <w:p w:rsidR="00E7629C" w:rsidRPr="00B4686B" w:rsidRDefault="00E7629C" w:rsidP="00E7629C">
      <w:pPr>
        <w:pStyle w:val="subsection"/>
      </w:pPr>
      <w:r w:rsidRPr="00B4686B">
        <w:tab/>
        <w:t>(2)</w:t>
      </w:r>
      <w:r w:rsidRPr="00B4686B">
        <w:tab/>
        <w:t xml:space="preserve">A </w:t>
      </w:r>
      <w:r w:rsidRPr="00B4686B">
        <w:rPr>
          <w:b/>
          <w:i/>
        </w:rPr>
        <w:t>leading indicator</w:t>
      </w:r>
      <w:r w:rsidRPr="00B4686B">
        <w:t xml:space="preserve"> is an indicator of:</w:t>
      </w:r>
    </w:p>
    <w:p w:rsidR="00E7629C" w:rsidRPr="00B4686B" w:rsidRDefault="00E7629C" w:rsidP="00E7629C">
      <w:pPr>
        <w:pStyle w:val="paragraph"/>
      </w:pPr>
      <w:r w:rsidRPr="00B4686B">
        <w:tab/>
        <w:t>(a)</w:t>
      </w:r>
      <w:r w:rsidRPr="00B4686B">
        <w:tab/>
        <w:t>a system; or</w:t>
      </w:r>
    </w:p>
    <w:p w:rsidR="00E7629C" w:rsidRPr="00B4686B" w:rsidRDefault="00E7629C" w:rsidP="00E7629C">
      <w:pPr>
        <w:pStyle w:val="paragraph"/>
      </w:pPr>
      <w:r w:rsidRPr="00B4686B">
        <w:tab/>
        <w:t>(b)</w:t>
      </w:r>
      <w:r w:rsidRPr="00B4686B">
        <w:tab/>
        <w:t>people; or</w:t>
      </w:r>
    </w:p>
    <w:p w:rsidR="00E7629C" w:rsidRPr="00B4686B" w:rsidRDefault="00E7629C" w:rsidP="00E7629C">
      <w:pPr>
        <w:pStyle w:val="paragraph"/>
      </w:pPr>
      <w:r w:rsidRPr="00B4686B">
        <w:tab/>
        <w:t>(c)</w:t>
      </w:r>
      <w:r w:rsidRPr="00B4686B">
        <w:tab/>
        <w:t>a process;</w:t>
      </w:r>
    </w:p>
    <w:p w:rsidR="00E7629C" w:rsidRPr="00B4686B" w:rsidRDefault="00E7629C" w:rsidP="00E7629C">
      <w:pPr>
        <w:pStyle w:val="subsection2"/>
      </w:pPr>
      <w:r w:rsidRPr="00B4686B">
        <w:t xml:space="preserve">that measures the potential success of a project in relation to energy productivity. The indicator can be used to measure success </w:t>
      </w:r>
      <w:r w:rsidR="00591786" w:rsidRPr="00B4686B">
        <w:t>throughout the design</w:t>
      </w:r>
      <w:r w:rsidRPr="00B4686B">
        <w:t>.</w:t>
      </w:r>
    </w:p>
    <w:p w:rsidR="00E7629C" w:rsidRPr="00B4686B" w:rsidRDefault="00E7629C" w:rsidP="00F61397">
      <w:pPr>
        <w:pStyle w:val="subsection"/>
      </w:pPr>
      <w:r w:rsidRPr="00B4686B">
        <w:t>403</w:t>
      </w:r>
      <w:r w:rsidRPr="00B4686B">
        <w:tab/>
      </w:r>
      <w:r w:rsidRPr="00B4686B">
        <w:tab/>
        <w:t>If a lagging indicator has been used, details of the lagging indicator.</w:t>
      </w:r>
    </w:p>
    <w:p w:rsidR="00E7629C" w:rsidRPr="00B4686B" w:rsidRDefault="00E7629C" w:rsidP="00E7629C">
      <w:pPr>
        <w:pStyle w:val="notetext"/>
      </w:pPr>
      <w:r w:rsidRPr="00B4686B">
        <w:t>Example:</w:t>
      </w:r>
      <w:r w:rsidRPr="00B4686B">
        <w:tab/>
        <w:t>Each of the following is a lagging indicator:</w:t>
      </w:r>
    </w:p>
    <w:p w:rsidR="00E7629C" w:rsidRPr="00B4686B" w:rsidRDefault="00E7629C" w:rsidP="00E7629C">
      <w:pPr>
        <w:pStyle w:val="notepara"/>
      </w:pPr>
      <w:r w:rsidRPr="00B4686B">
        <w:t>(a)</w:t>
      </w:r>
      <w:r w:rsidRPr="00B4686B">
        <w:tab/>
        <w:t>New Present Value (</w:t>
      </w:r>
      <w:r w:rsidRPr="00B4686B">
        <w:rPr>
          <w:b/>
          <w:i/>
        </w:rPr>
        <w:t>NPV</w:t>
      </w:r>
      <w:r w:rsidRPr="00B4686B">
        <w:t>);</w:t>
      </w:r>
    </w:p>
    <w:p w:rsidR="00E7629C" w:rsidRPr="00B4686B" w:rsidRDefault="00E7629C" w:rsidP="00E7629C">
      <w:pPr>
        <w:pStyle w:val="notepara"/>
      </w:pPr>
      <w:r w:rsidRPr="00B4686B">
        <w:t>(b)</w:t>
      </w:r>
      <w:r w:rsidRPr="00B4686B">
        <w:tab/>
        <w:t>Future Worth (</w:t>
      </w:r>
      <w:r w:rsidRPr="00B4686B">
        <w:rPr>
          <w:b/>
          <w:i/>
        </w:rPr>
        <w:t>FW</w:t>
      </w:r>
      <w:r w:rsidRPr="00B4686B">
        <w:t>);</w:t>
      </w:r>
    </w:p>
    <w:p w:rsidR="00E7629C" w:rsidRPr="00B4686B" w:rsidRDefault="00E7629C" w:rsidP="00E7629C">
      <w:pPr>
        <w:pStyle w:val="notepara"/>
      </w:pPr>
      <w:r w:rsidRPr="00B4686B">
        <w:t>(c)</w:t>
      </w:r>
      <w:r w:rsidRPr="00B4686B">
        <w:tab/>
        <w:t>Internal Rate of Return (</w:t>
      </w:r>
      <w:r w:rsidRPr="00B4686B">
        <w:rPr>
          <w:b/>
          <w:i/>
        </w:rPr>
        <w:t>IRR</w:t>
      </w:r>
      <w:r w:rsidRPr="00B4686B">
        <w:t>).</w:t>
      </w:r>
    </w:p>
    <w:p w:rsidR="000B74FA" w:rsidRPr="00B4686B" w:rsidRDefault="000B74FA" w:rsidP="000B74FA">
      <w:pPr>
        <w:pStyle w:val="subsection"/>
      </w:pPr>
      <w:r w:rsidRPr="00B4686B">
        <w:t>404</w:t>
      </w:r>
      <w:r w:rsidRPr="00B4686B">
        <w:tab/>
      </w:r>
      <w:r w:rsidRPr="00B4686B">
        <w:tab/>
        <w:t>Any alternative reporting method or methods that is allowed under regulation</w:t>
      </w:r>
      <w:r w:rsidR="00B4686B" w:rsidRPr="00B4686B">
        <w:t> </w:t>
      </w:r>
      <w:r w:rsidRPr="00B4686B">
        <w:t>7.6A or Schedule</w:t>
      </w:r>
      <w:r w:rsidR="00B4686B" w:rsidRPr="00B4686B">
        <w:t> </w:t>
      </w:r>
      <w:r w:rsidRPr="00B4686B">
        <w:t>4A and that has been used.</w:t>
      </w:r>
    </w:p>
    <w:p w:rsidR="00BE0120" w:rsidRPr="00B4686B" w:rsidRDefault="008B79C8" w:rsidP="00BE0120">
      <w:pPr>
        <w:pStyle w:val="ItemHead"/>
      </w:pPr>
      <w:r w:rsidRPr="00B4686B">
        <w:t>30</w:t>
      </w:r>
      <w:r w:rsidR="00BE0120" w:rsidRPr="00B4686B">
        <w:t xml:space="preserve">  Schedule</w:t>
      </w:r>
      <w:r w:rsidR="00B4686B" w:rsidRPr="00B4686B">
        <w:t> </w:t>
      </w:r>
      <w:r w:rsidR="00BE0120" w:rsidRPr="00B4686B">
        <w:t>3 (heading)</w:t>
      </w:r>
    </w:p>
    <w:p w:rsidR="00BE0120" w:rsidRPr="00B4686B" w:rsidRDefault="00BE0120" w:rsidP="00BE0120">
      <w:pPr>
        <w:pStyle w:val="Item"/>
      </w:pPr>
      <w:r w:rsidRPr="00B4686B">
        <w:t>Repeal the heading, substitute:</w:t>
      </w:r>
    </w:p>
    <w:p w:rsidR="00BE0120" w:rsidRPr="00B4686B" w:rsidRDefault="00BE0120" w:rsidP="00BE0120">
      <w:pPr>
        <w:pStyle w:val="ActHead1"/>
      </w:pPr>
      <w:bookmarkStart w:id="28" w:name="_Toc360028938"/>
      <w:r w:rsidRPr="00B4686B">
        <w:rPr>
          <w:rStyle w:val="CharChapNo"/>
        </w:rPr>
        <w:t>Schedule</w:t>
      </w:r>
      <w:r w:rsidR="00B4686B" w:rsidRPr="00B4686B">
        <w:rPr>
          <w:rStyle w:val="CharChapNo"/>
        </w:rPr>
        <w:t> </w:t>
      </w:r>
      <w:r w:rsidRPr="00B4686B">
        <w:rPr>
          <w:rStyle w:val="CharChapNo"/>
        </w:rPr>
        <w:t>3</w:t>
      </w:r>
      <w:r w:rsidRPr="00B4686B">
        <w:t>—</w:t>
      </w:r>
      <w:r w:rsidRPr="00B4686B">
        <w:rPr>
          <w:rStyle w:val="CharChapText"/>
        </w:rPr>
        <w:t>Content of assessment plan (no new development or expansion)</w:t>
      </w:r>
      <w:bookmarkEnd w:id="28"/>
    </w:p>
    <w:p w:rsidR="00BE0120" w:rsidRPr="00B4686B" w:rsidRDefault="00BE0120" w:rsidP="001A5893">
      <w:pPr>
        <w:pStyle w:val="notemargin"/>
      </w:pPr>
      <w:r w:rsidRPr="00B4686B">
        <w:t>Note:</w:t>
      </w:r>
      <w:r w:rsidRPr="00B4686B">
        <w:tab/>
        <w:t>See paragraph</w:t>
      </w:r>
      <w:r w:rsidR="00B4686B" w:rsidRPr="00B4686B">
        <w:t> </w:t>
      </w:r>
      <w:r w:rsidRPr="00B4686B">
        <w:t>5.2(3)(</w:t>
      </w:r>
      <w:r w:rsidR="00FA226A" w:rsidRPr="00B4686B">
        <w:t>a</w:t>
      </w:r>
      <w:r w:rsidRPr="00B4686B">
        <w:t>).</w:t>
      </w:r>
    </w:p>
    <w:p w:rsidR="005E6BFD" w:rsidRPr="00B4686B" w:rsidRDefault="008B79C8" w:rsidP="005E6BFD">
      <w:pPr>
        <w:pStyle w:val="ItemHead"/>
      </w:pPr>
      <w:r w:rsidRPr="00B4686B">
        <w:lastRenderedPageBreak/>
        <w:t>31</w:t>
      </w:r>
      <w:r w:rsidR="005E6BFD" w:rsidRPr="00B4686B">
        <w:t xml:space="preserve">  Schedule</w:t>
      </w:r>
      <w:r w:rsidR="00B4686B" w:rsidRPr="00B4686B">
        <w:t> </w:t>
      </w:r>
      <w:r w:rsidR="005E6BFD" w:rsidRPr="00B4686B">
        <w:t>4 (heading)</w:t>
      </w:r>
    </w:p>
    <w:p w:rsidR="005E6BFD" w:rsidRPr="00B4686B" w:rsidRDefault="005E6BFD" w:rsidP="005E6BFD">
      <w:pPr>
        <w:pStyle w:val="Item"/>
      </w:pPr>
      <w:r w:rsidRPr="00B4686B">
        <w:t>Repeal the heading, substitute:</w:t>
      </w:r>
    </w:p>
    <w:p w:rsidR="005E6BFD" w:rsidRPr="00B4686B" w:rsidRDefault="005E6BFD" w:rsidP="005E6BFD">
      <w:pPr>
        <w:pStyle w:val="ActHead1"/>
      </w:pPr>
      <w:bookmarkStart w:id="29" w:name="_Toc360028939"/>
      <w:r w:rsidRPr="00B4686B">
        <w:rPr>
          <w:rStyle w:val="CharChapNo"/>
        </w:rPr>
        <w:t>Schedule</w:t>
      </w:r>
      <w:r w:rsidR="00B4686B" w:rsidRPr="00B4686B">
        <w:rPr>
          <w:rStyle w:val="CharChapNo"/>
        </w:rPr>
        <w:t> </w:t>
      </w:r>
      <w:r w:rsidRPr="00B4686B">
        <w:rPr>
          <w:rStyle w:val="CharChapNo"/>
        </w:rPr>
        <w:t>4</w:t>
      </w:r>
      <w:r w:rsidRPr="00B4686B">
        <w:t>—</w:t>
      </w:r>
      <w:r w:rsidRPr="00B4686B">
        <w:rPr>
          <w:rStyle w:val="CharChapText"/>
        </w:rPr>
        <w:t>Information in reports to the public about energy efficiency opportunities assessments (no new development or expansion)</w:t>
      </w:r>
      <w:bookmarkEnd w:id="29"/>
    </w:p>
    <w:p w:rsidR="005E6BFD" w:rsidRPr="00B4686B" w:rsidRDefault="005E6BFD" w:rsidP="00595326">
      <w:pPr>
        <w:pStyle w:val="notemargin"/>
      </w:pPr>
      <w:r w:rsidRPr="00B4686B">
        <w:t>Note:</w:t>
      </w:r>
      <w:r w:rsidRPr="00B4686B">
        <w:tab/>
        <w:t>See subregulation</w:t>
      </w:r>
      <w:r w:rsidR="00B4686B" w:rsidRPr="00B4686B">
        <w:t> </w:t>
      </w:r>
      <w:r w:rsidRPr="00B4686B">
        <w:t>7.2(1).</w:t>
      </w:r>
    </w:p>
    <w:p w:rsidR="0096136B" w:rsidRPr="00B4686B" w:rsidRDefault="008B79C8" w:rsidP="0096136B">
      <w:pPr>
        <w:pStyle w:val="ItemHead"/>
      </w:pPr>
      <w:r w:rsidRPr="00B4686B">
        <w:t>32</w:t>
      </w:r>
      <w:r w:rsidR="0096136B" w:rsidRPr="00B4686B">
        <w:t xml:space="preserve">  After Schedule</w:t>
      </w:r>
      <w:r w:rsidR="00B4686B" w:rsidRPr="00B4686B">
        <w:t> </w:t>
      </w:r>
      <w:r w:rsidR="00A275C0" w:rsidRPr="00B4686B">
        <w:t>4</w:t>
      </w:r>
    </w:p>
    <w:p w:rsidR="0096136B" w:rsidRPr="00B4686B" w:rsidRDefault="0096136B" w:rsidP="0096136B">
      <w:pPr>
        <w:pStyle w:val="Item"/>
      </w:pPr>
      <w:r w:rsidRPr="00B4686B">
        <w:t>Insert:</w:t>
      </w:r>
    </w:p>
    <w:p w:rsidR="0096136B" w:rsidRPr="00B4686B" w:rsidRDefault="0096136B" w:rsidP="0096136B">
      <w:pPr>
        <w:pStyle w:val="ActHead1"/>
      </w:pPr>
      <w:bookmarkStart w:id="30" w:name="_Toc360028940"/>
      <w:r w:rsidRPr="00B4686B">
        <w:rPr>
          <w:rStyle w:val="CharChapNo"/>
        </w:rPr>
        <w:t>Schedule</w:t>
      </w:r>
      <w:r w:rsidR="00B4686B" w:rsidRPr="00B4686B">
        <w:rPr>
          <w:rStyle w:val="CharChapNo"/>
        </w:rPr>
        <w:t> </w:t>
      </w:r>
      <w:r w:rsidR="00A275C0" w:rsidRPr="00B4686B">
        <w:rPr>
          <w:rStyle w:val="CharChapNo"/>
        </w:rPr>
        <w:t>4</w:t>
      </w:r>
      <w:r w:rsidRPr="00B4686B">
        <w:rPr>
          <w:rStyle w:val="CharChapNo"/>
        </w:rPr>
        <w:t>A</w:t>
      </w:r>
      <w:r w:rsidRPr="00B4686B">
        <w:t>—</w:t>
      </w:r>
      <w:r w:rsidR="005E6BFD" w:rsidRPr="00B4686B">
        <w:rPr>
          <w:rStyle w:val="CharChapText"/>
        </w:rPr>
        <w:t>I</w:t>
      </w:r>
      <w:r w:rsidRPr="00B4686B">
        <w:rPr>
          <w:rStyle w:val="CharChapText"/>
        </w:rPr>
        <w:t>nformation in reports to the public about energy efficiency opportunities assessments (new development or expansion)</w:t>
      </w:r>
      <w:bookmarkEnd w:id="30"/>
    </w:p>
    <w:p w:rsidR="0096136B" w:rsidRPr="00B4686B" w:rsidRDefault="0096136B" w:rsidP="0096136B">
      <w:pPr>
        <w:pStyle w:val="notemargin"/>
      </w:pPr>
      <w:r w:rsidRPr="00B4686B">
        <w:t>Note:</w:t>
      </w:r>
      <w:r w:rsidRPr="00B4686B">
        <w:tab/>
        <w:t xml:space="preserve">See </w:t>
      </w:r>
      <w:r w:rsidR="00A275C0" w:rsidRPr="00B4686B">
        <w:t>subregulation</w:t>
      </w:r>
      <w:r w:rsidR="00B4686B" w:rsidRPr="00B4686B">
        <w:t> </w:t>
      </w:r>
      <w:r w:rsidR="00A275C0" w:rsidRPr="00B4686B">
        <w:t>7</w:t>
      </w:r>
      <w:r w:rsidRPr="00B4686B">
        <w:t>.2(3).</w:t>
      </w:r>
    </w:p>
    <w:p w:rsidR="0096136B" w:rsidRPr="00B4686B" w:rsidRDefault="0096136B" w:rsidP="0096136B">
      <w:pPr>
        <w:pStyle w:val="Header"/>
      </w:pPr>
      <w:bookmarkStart w:id="31" w:name="f_Check_Lines_below"/>
      <w:bookmarkEnd w:id="31"/>
      <w:r w:rsidRPr="00B4686B">
        <w:rPr>
          <w:rStyle w:val="CharPartNo"/>
        </w:rPr>
        <w:t xml:space="preserve"> </w:t>
      </w:r>
      <w:r w:rsidRPr="00B4686B">
        <w:rPr>
          <w:rStyle w:val="CharPartText"/>
        </w:rPr>
        <w:t xml:space="preserve"> </w:t>
      </w:r>
    </w:p>
    <w:p w:rsidR="0096136B" w:rsidRPr="00B4686B" w:rsidRDefault="0096136B" w:rsidP="0096136B">
      <w:pPr>
        <w:pStyle w:val="Header"/>
      </w:pPr>
      <w:r w:rsidRPr="00B4686B">
        <w:rPr>
          <w:rStyle w:val="CharDivNo"/>
        </w:rPr>
        <w:t xml:space="preserve"> </w:t>
      </w:r>
      <w:r w:rsidRPr="00B4686B">
        <w:rPr>
          <w:rStyle w:val="CharDivText"/>
        </w:rPr>
        <w:t xml:space="preserve"> </w:t>
      </w:r>
    </w:p>
    <w:p w:rsidR="005624E5" w:rsidRPr="00B4686B" w:rsidRDefault="00A275C0" w:rsidP="00A275C0">
      <w:pPr>
        <w:pStyle w:val="subsection"/>
      </w:pPr>
      <w:r w:rsidRPr="00B4686B">
        <w:t>1</w:t>
      </w:r>
      <w:r w:rsidRPr="00B4686B">
        <w:tab/>
      </w:r>
      <w:r w:rsidRPr="00B4686B">
        <w:tab/>
      </w:r>
      <w:r w:rsidR="005624E5" w:rsidRPr="00B4686B">
        <w:t>A description of ho</w:t>
      </w:r>
      <w:r w:rsidRPr="00B4686B">
        <w:t>w the assessment was undertaken.</w:t>
      </w:r>
    </w:p>
    <w:p w:rsidR="00A275C0" w:rsidRPr="00B4686B" w:rsidRDefault="00A275C0" w:rsidP="00A275C0">
      <w:pPr>
        <w:pStyle w:val="subsection"/>
      </w:pPr>
      <w:r w:rsidRPr="00B4686B">
        <w:t>2</w:t>
      </w:r>
      <w:r w:rsidRPr="00B4686B">
        <w:tab/>
        <w:t>(1)</w:t>
      </w:r>
      <w:r w:rsidRPr="00B4686B">
        <w:tab/>
      </w:r>
      <w:r w:rsidR="005624E5" w:rsidRPr="00B4686B">
        <w:t>A</w:t>
      </w:r>
      <w:r w:rsidRPr="00B4686B">
        <w:t xml:space="preserve"> description, in the form of a graph,</w:t>
      </w:r>
      <w:r w:rsidR="005624E5" w:rsidRPr="00B4686B">
        <w:t xml:space="preserve"> of how anticipated and actual energy use has trended, </w:t>
      </w:r>
      <w:r w:rsidRPr="00B4686B">
        <w:t>as identified by</w:t>
      </w:r>
      <w:r w:rsidR="005624E5" w:rsidRPr="00B4686B">
        <w:t xml:space="preserve"> the indicator</w:t>
      </w:r>
      <w:r w:rsidRPr="00B4686B">
        <w:t xml:space="preserve"> measuring energy use</w:t>
      </w:r>
      <w:r w:rsidR="005624E5" w:rsidRPr="00B4686B">
        <w:t xml:space="preserve">, from the first design stage </w:t>
      </w:r>
      <w:r w:rsidRPr="00B4686B">
        <w:t>to when commercial operation commences.</w:t>
      </w:r>
    </w:p>
    <w:p w:rsidR="005624E5" w:rsidRPr="00B4686B" w:rsidRDefault="00A275C0" w:rsidP="00A275C0">
      <w:pPr>
        <w:pStyle w:val="subsection"/>
      </w:pPr>
      <w:r w:rsidRPr="00B4686B">
        <w:tab/>
        <w:t>(2)</w:t>
      </w:r>
      <w:r w:rsidRPr="00B4686B">
        <w:tab/>
        <w:t>However, if the registered</w:t>
      </w:r>
      <w:r w:rsidR="005624E5" w:rsidRPr="00B4686B">
        <w:t xml:space="preserve"> corporation does not </w:t>
      </w:r>
      <w:r w:rsidRPr="00B4686B">
        <w:t xml:space="preserve">wish </w:t>
      </w:r>
      <w:r w:rsidR="005624E5" w:rsidRPr="00B4686B">
        <w:t xml:space="preserve">to </w:t>
      </w:r>
      <w:r w:rsidRPr="00B4686B">
        <w:t>identify</w:t>
      </w:r>
      <w:r w:rsidR="005624E5" w:rsidRPr="00B4686B">
        <w:t xml:space="preserve"> the </w:t>
      </w:r>
      <w:r w:rsidRPr="00B4686B">
        <w:t>indicator measuring energy use</w:t>
      </w:r>
      <w:r w:rsidR="005624E5" w:rsidRPr="00B4686B">
        <w:t xml:space="preserve">, </w:t>
      </w:r>
      <w:r w:rsidRPr="00B4686B">
        <w:t>because</w:t>
      </w:r>
      <w:r w:rsidR="005624E5" w:rsidRPr="00B4686B">
        <w:t xml:space="preserve"> the data</w:t>
      </w:r>
      <w:r w:rsidRPr="00B4686B">
        <w:t xml:space="preserve"> identified by the indicator</w:t>
      </w:r>
      <w:r w:rsidR="005624E5" w:rsidRPr="00B4686B">
        <w:t xml:space="preserve"> is commercially sensitive</w:t>
      </w:r>
      <w:r w:rsidRPr="00B4686B">
        <w:t>,</w:t>
      </w:r>
      <w:r w:rsidR="005624E5" w:rsidRPr="00B4686B">
        <w:t xml:space="preserve"> the </w:t>
      </w:r>
      <w:r w:rsidRPr="00B4686B">
        <w:t>information is</w:t>
      </w:r>
      <w:r w:rsidR="005624E5" w:rsidRPr="00B4686B">
        <w:t xml:space="preserve"> a </w:t>
      </w:r>
      <w:r w:rsidRPr="00B4686B">
        <w:t>description, in the form of a graph,</w:t>
      </w:r>
      <w:r w:rsidR="005624E5" w:rsidRPr="00B4686B">
        <w:t xml:space="preserve"> of percentage </w:t>
      </w:r>
      <w:r w:rsidRPr="00B4686B">
        <w:t>change in the indicator.</w:t>
      </w:r>
    </w:p>
    <w:p w:rsidR="00A275C0" w:rsidRPr="00B4686B" w:rsidRDefault="00A275C0" w:rsidP="00A275C0">
      <w:pPr>
        <w:pStyle w:val="subsection"/>
      </w:pPr>
      <w:r w:rsidRPr="00B4686B">
        <w:tab/>
        <w:t>(3)</w:t>
      </w:r>
      <w:r w:rsidRPr="00B4686B">
        <w:tab/>
        <w:t>If the energy use or the indicator changed at any time during 2 or more design stages:</w:t>
      </w:r>
    </w:p>
    <w:p w:rsidR="00A275C0" w:rsidRPr="00B4686B" w:rsidRDefault="00A275C0" w:rsidP="00A275C0">
      <w:pPr>
        <w:pStyle w:val="paragraph"/>
      </w:pPr>
      <w:r w:rsidRPr="00B4686B">
        <w:tab/>
        <w:t>(a)</w:t>
      </w:r>
      <w:r w:rsidRPr="00B4686B">
        <w:tab/>
        <w:t>a statement to that effect; and</w:t>
      </w:r>
    </w:p>
    <w:p w:rsidR="00A275C0" w:rsidRPr="00B4686B" w:rsidRDefault="00A275C0" w:rsidP="00A275C0">
      <w:pPr>
        <w:pStyle w:val="paragraph"/>
      </w:pPr>
      <w:r w:rsidRPr="00B4686B">
        <w:lastRenderedPageBreak/>
        <w:tab/>
        <w:t>(b)</w:t>
      </w:r>
      <w:r w:rsidRPr="00B4686B">
        <w:tab/>
        <w:t>a description of the change and an explanation of why the change occurred</w:t>
      </w:r>
      <w:r w:rsidR="000B74FA" w:rsidRPr="00B4686B">
        <w:t>, but not including any information that is commercially sensitive</w:t>
      </w:r>
      <w:r w:rsidRPr="00B4686B">
        <w:t>.</w:t>
      </w:r>
    </w:p>
    <w:p w:rsidR="009C03AD" w:rsidRPr="00B4686B" w:rsidRDefault="00A275C0" w:rsidP="00A275C0">
      <w:pPr>
        <w:pStyle w:val="subsection"/>
      </w:pPr>
      <w:r w:rsidRPr="00B4686B">
        <w:t>3</w:t>
      </w:r>
      <w:r w:rsidRPr="00B4686B">
        <w:tab/>
        <w:t>(1)</w:t>
      </w:r>
      <w:r w:rsidRPr="00B4686B">
        <w:tab/>
      </w:r>
      <w:r w:rsidR="005624E5" w:rsidRPr="00B4686B">
        <w:t>A description of</w:t>
      </w:r>
      <w:r w:rsidR="009C03AD" w:rsidRPr="00B4686B">
        <w:t>:</w:t>
      </w:r>
    </w:p>
    <w:p w:rsidR="009C03AD" w:rsidRPr="00B4686B" w:rsidRDefault="009C03AD" w:rsidP="009C03AD">
      <w:pPr>
        <w:pStyle w:val="paragraph"/>
      </w:pPr>
      <w:r w:rsidRPr="00B4686B">
        <w:tab/>
        <w:t>(a)</w:t>
      </w:r>
      <w:r w:rsidRPr="00B4686B">
        <w:tab/>
      </w:r>
      <w:r w:rsidR="005624E5" w:rsidRPr="00B4686B">
        <w:t xml:space="preserve"> </w:t>
      </w:r>
      <w:r w:rsidRPr="00B4686B">
        <w:t>the</w:t>
      </w:r>
      <w:r w:rsidR="005624E5" w:rsidRPr="00B4686B">
        <w:t xml:space="preserve"> leading indicators </w:t>
      </w:r>
      <w:r w:rsidRPr="00B4686B">
        <w:t xml:space="preserve">used; </w:t>
      </w:r>
      <w:r w:rsidR="005624E5" w:rsidRPr="00B4686B">
        <w:t>and</w:t>
      </w:r>
    </w:p>
    <w:p w:rsidR="005624E5" w:rsidRPr="00B4686B" w:rsidRDefault="009C03AD" w:rsidP="009C03AD">
      <w:pPr>
        <w:pStyle w:val="paragraph"/>
      </w:pPr>
      <w:r w:rsidRPr="00B4686B">
        <w:tab/>
        <w:t>(b)</w:t>
      </w:r>
      <w:r w:rsidRPr="00B4686B">
        <w:tab/>
        <w:t>the</w:t>
      </w:r>
      <w:r w:rsidR="005624E5" w:rsidRPr="00B4686B">
        <w:t xml:space="preserve"> </w:t>
      </w:r>
      <w:r w:rsidR="005514D9" w:rsidRPr="00B4686B">
        <w:t>results</w:t>
      </w:r>
      <w:r w:rsidR="005624E5" w:rsidRPr="00B4686B">
        <w:t xml:space="preserve"> achieved</w:t>
      </w:r>
      <w:r w:rsidR="005514D9" w:rsidRPr="00B4686B">
        <w:t>, using the indicator,</w:t>
      </w:r>
      <w:r w:rsidR="005624E5" w:rsidRPr="00B4686B">
        <w:t xml:space="preserve"> for the </w:t>
      </w:r>
      <w:r w:rsidR="005514D9" w:rsidRPr="00B4686B">
        <w:t xml:space="preserve">new development or </w:t>
      </w:r>
      <w:r w:rsidR="00985945" w:rsidRPr="00B4686B">
        <w:t xml:space="preserve">the </w:t>
      </w:r>
      <w:r w:rsidR="005514D9" w:rsidRPr="00B4686B">
        <w:t>expansion</w:t>
      </w:r>
      <w:r w:rsidRPr="00B4686B">
        <w:t>.</w:t>
      </w:r>
    </w:p>
    <w:p w:rsidR="00A275C0" w:rsidRPr="00B4686B" w:rsidRDefault="00A275C0" w:rsidP="00A275C0">
      <w:pPr>
        <w:pStyle w:val="subsection"/>
      </w:pPr>
      <w:r w:rsidRPr="00B4686B">
        <w:tab/>
        <w:t>(2)</w:t>
      </w:r>
      <w:r w:rsidRPr="00B4686B">
        <w:tab/>
        <w:t xml:space="preserve">A </w:t>
      </w:r>
      <w:r w:rsidRPr="00B4686B">
        <w:rPr>
          <w:b/>
          <w:i/>
        </w:rPr>
        <w:t>leading indicator</w:t>
      </w:r>
      <w:r w:rsidRPr="00B4686B">
        <w:t xml:space="preserve"> is an indicator of:</w:t>
      </w:r>
    </w:p>
    <w:p w:rsidR="00A275C0" w:rsidRPr="00B4686B" w:rsidRDefault="00A275C0" w:rsidP="00A275C0">
      <w:pPr>
        <w:pStyle w:val="paragraph"/>
      </w:pPr>
      <w:r w:rsidRPr="00B4686B">
        <w:tab/>
        <w:t>(a)</w:t>
      </w:r>
      <w:r w:rsidRPr="00B4686B">
        <w:tab/>
        <w:t>a system; or</w:t>
      </w:r>
    </w:p>
    <w:p w:rsidR="00A275C0" w:rsidRPr="00B4686B" w:rsidRDefault="00A275C0" w:rsidP="00A275C0">
      <w:pPr>
        <w:pStyle w:val="paragraph"/>
      </w:pPr>
      <w:r w:rsidRPr="00B4686B">
        <w:tab/>
        <w:t>(b)</w:t>
      </w:r>
      <w:r w:rsidRPr="00B4686B">
        <w:tab/>
        <w:t>people; or</w:t>
      </w:r>
    </w:p>
    <w:p w:rsidR="00A275C0" w:rsidRPr="00B4686B" w:rsidRDefault="00A275C0" w:rsidP="00A275C0">
      <w:pPr>
        <w:pStyle w:val="paragraph"/>
      </w:pPr>
      <w:r w:rsidRPr="00B4686B">
        <w:tab/>
        <w:t>(c)</w:t>
      </w:r>
      <w:r w:rsidRPr="00B4686B">
        <w:tab/>
        <w:t>a process;</w:t>
      </w:r>
    </w:p>
    <w:p w:rsidR="00A275C0" w:rsidRPr="00B4686B" w:rsidRDefault="00A275C0" w:rsidP="00A275C0">
      <w:pPr>
        <w:pStyle w:val="subsection2"/>
      </w:pPr>
      <w:r w:rsidRPr="00B4686B">
        <w:t xml:space="preserve">that measures the potential success of a project in relation to energy productivity. The indicator can be used to measure success </w:t>
      </w:r>
      <w:r w:rsidR="00591786" w:rsidRPr="00B4686B">
        <w:t>throughout</w:t>
      </w:r>
      <w:r w:rsidRPr="00B4686B">
        <w:t xml:space="preserve"> the </w:t>
      </w:r>
      <w:r w:rsidR="00591786" w:rsidRPr="00B4686B">
        <w:t>design</w:t>
      </w:r>
      <w:r w:rsidRPr="00B4686B">
        <w:t>.</w:t>
      </w:r>
    </w:p>
    <w:p w:rsidR="000B74FA" w:rsidRPr="00B4686B" w:rsidRDefault="000B74FA" w:rsidP="000B74FA">
      <w:pPr>
        <w:pStyle w:val="subsection"/>
      </w:pPr>
      <w:r w:rsidRPr="00B4686B">
        <w:t>4</w:t>
      </w:r>
      <w:r w:rsidRPr="00B4686B">
        <w:tab/>
      </w:r>
      <w:r w:rsidRPr="00B4686B">
        <w:tab/>
        <w:t>If either or both of clauses</w:t>
      </w:r>
      <w:r w:rsidR="00B4686B" w:rsidRPr="00B4686B">
        <w:t> </w:t>
      </w:r>
      <w:r w:rsidRPr="00B4686B">
        <w:t>2 and 3 do not adequately demonstrate the results of the assessment, the clause or clauses may be replaced by any alternative reporting method included in the approved assessment plan.</w:t>
      </w:r>
    </w:p>
    <w:p w:rsidR="000B74FA" w:rsidRPr="00B4686B" w:rsidRDefault="000B74FA" w:rsidP="000B74FA">
      <w:pPr>
        <w:pStyle w:val="subsection"/>
      </w:pPr>
      <w:r w:rsidRPr="00B4686B">
        <w:t>5</w:t>
      </w:r>
      <w:r w:rsidRPr="00B4686B">
        <w:tab/>
      </w:r>
      <w:r w:rsidRPr="00B4686B">
        <w:tab/>
        <w:t xml:space="preserve">One or more significant design features that have resulted in a material improvement in the energy efficiency of the new development or </w:t>
      </w:r>
      <w:r w:rsidR="00985945" w:rsidRPr="00B4686B">
        <w:t xml:space="preserve">the </w:t>
      </w:r>
      <w:r w:rsidRPr="00B4686B">
        <w:t>expansion, but not including any information that is commercially sensitive.</w:t>
      </w:r>
    </w:p>
    <w:p w:rsidR="005624E5" w:rsidRPr="00B4686B" w:rsidRDefault="00EE07B7" w:rsidP="005624E5">
      <w:pPr>
        <w:pStyle w:val="ItemHead"/>
      </w:pPr>
      <w:r w:rsidRPr="00B4686B">
        <w:t>3</w:t>
      </w:r>
      <w:r w:rsidR="008B79C8" w:rsidRPr="00B4686B">
        <w:t>3</w:t>
      </w:r>
      <w:r w:rsidR="005624E5" w:rsidRPr="00B4686B">
        <w:t xml:space="preserve">  After Schedule</w:t>
      </w:r>
      <w:r w:rsidR="00B4686B" w:rsidRPr="00B4686B">
        <w:t> </w:t>
      </w:r>
      <w:r w:rsidR="005624E5" w:rsidRPr="00B4686B">
        <w:t>5</w:t>
      </w:r>
    </w:p>
    <w:p w:rsidR="005624E5" w:rsidRPr="00B4686B" w:rsidRDefault="005624E5" w:rsidP="005624E5">
      <w:pPr>
        <w:pStyle w:val="Item"/>
      </w:pPr>
      <w:r w:rsidRPr="00B4686B">
        <w:t>Insert:</w:t>
      </w:r>
    </w:p>
    <w:p w:rsidR="005624E5" w:rsidRPr="00B4686B" w:rsidRDefault="005624E5" w:rsidP="005624E5">
      <w:pPr>
        <w:pStyle w:val="ActHead1"/>
      </w:pPr>
      <w:bookmarkStart w:id="32" w:name="_Toc360028941"/>
      <w:r w:rsidRPr="00B4686B">
        <w:rPr>
          <w:rStyle w:val="CharChapNo"/>
        </w:rPr>
        <w:t>Schedule</w:t>
      </w:r>
      <w:r w:rsidR="00B4686B" w:rsidRPr="00B4686B">
        <w:rPr>
          <w:rStyle w:val="CharChapNo"/>
        </w:rPr>
        <w:t> </w:t>
      </w:r>
      <w:r w:rsidRPr="00B4686B">
        <w:rPr>
          <w:rStyle w:val="CharChapNo"/>
        </w:rPr>
        <w:t>6</w:t>
      </w:r>
      <w:r w:rsidRPr="00B4686B">
        <w:t>—</w:t>
      </w:r>
      <w:r w:rsidRPr="00B4686B">
        <w:rPr>
          <w:rStyle w:val="CharChapText"/>
        </w:rPr>
        <w:t>Assessment Framework (new development or expansion)</w:t>
      </w:r>
      <w:bookmarkEnd w:id="32"/>
    </w:p>
    <w:p w:rsidR="005624E5" w:rsidRPr="00B4686B" w:rsidRDefault="005624E5" w:rsidP="00595326">
      <w:pPr>
        <w:pStyle w:val="notemargin"/>
      </w:pPr>
      <w:r w:rsidRPr="00B4686B">
        <w:t>Note:</w:t>
      </w:r>
      <w:r w:rsidRPr="00B4686B">
        <w:tab/>
        <w:t xml:space="preserve">See </w:t>
      </w:r>
      <w:r w:rsidR="003A6E18" w:rsidRPr="00B4686B">
        <w:t>subregulation</w:t>
      </w:r>
      <w:r w:rsidR="00B4686B" w:rsidRPr="00B4686B">
        <w:t> </w:t>
      </w:r>
      <w:r w:rsidR="003A6E18" w:rsidRPr="00B4686B">
        <w:t>6.1A</w:t>
      </w:r>
      <w:r w:rsidRPr="00B4686B">
        <w:t>(</w:t>
      </w:r>
      <w:r w:rsidR="003A6E18" w:rsidRPr="00B4686B">
        <w:t>1</w:t>
      </w:r>
      <w:r w:rsidRPr="00B4686B">
        <w:t>).</w:t>
      </w:r>
    </w:p>
    <w:p w:rsidR="009C33A0" w:rsidRPr="00B4686B" w:rsidRDefault="009C33A0" w:rsidP="009C33A0">
      <w:pPr>
        <w:pStyle w:val="ActHead2"/>
      </w:pPr>
      <w:bookmarkStart w:id="33" w:name="_Toc360028942"/>
      <w:r w:rsidRPr="00B4686B">
        <w:rPr>
          <w:rStyle w:val="CharPartNo"/>
        </w:rPr>
        <w:t>Part</w:t>
      </w:r>
      <w:r w:rsidR="00B4686B" w:rsidRPr="00B4686B">
        <w:rPr>
          <w:rStyle w:val="CharPartNo"/>
        </w:rPr>
        <w:t> </w:t>
      </w:r>
      <w:r w:rsidRPr="00B4686B">
        <w:rPr>
          <w:rStyle w:val="CharPartNo"/>
        </w:rPr>
        <w:t>1</w:t>
      </w:r>
      <w:r w:rsidRPr="00B4686B">
        <w:t>—</w:t>
      </w:r>
      <w:r w:rsidRPr="00B4686B">
        <w:rPr>
          <w:rStyle w:val="CharPartText"/>
        </w:rPr>
        <w:t>Preliminary</w:t>
      </w:r>
      <w:bookmarkEnd w:id="33"/>
    </w:p>
    <w:p w:rsidR="009C33A0" w:rsidRPr="00B4686B" w:rsidRDefault="009C33A0" w:rsidP="009C33A0">
      <w:pPr>
        <w:pStyle w:val="Header"/>
      </w:pPr>
      <w:r w:rsidRPr="00B4686B">
        <w:rPr>
          <w:rStyle w:val="CharDivNo"/>
        </w:rPr>
        <w:t xml:space="preserve"> </w:t>
      </w:r>
      <w:r w:rsidRPr="00B4686B">
        <w:rPr>
          <w:rStyle w:val="CharDivText"/>
        </w:rPr>
        <w:t xml:space="preserve"> </w:t>
      </w:r>
    </w:p>
    <w:p w:rsidR="00561E35" w:rsidRPr="00B4686B" w:rsidRDefault="00561E35" w:rsidP="00561E35">
      <w:pPr>
        <w:pStyle w:val="ActHead5"/>
      </w:pPr>
      <w:bookmarkStart w:id="34" w:name="_Toc360028943"/>
      <w:r w:rsidRPr="00B4686B">
        <w:rPr>
          <w:rStyle w:val="CharSectno"/>
        </w:rPr>
        <w:t>101</w:t>
      </w:r>
      <w:r w:rsidRPr="00B4686B">
        <w:t xml:space="preserve">  Definitions</w:t>
      </w:r>
      <w:bookmarkEnd w:id="34"/>
    </w:p>
    <w:p w:rsidR="005624E5" w:rsidRPr="00B4686B" w:rsidRDefault="009C33A0" w:rsidP="009C33A0">
      <w:pPr>
        <w:pStyle w:val="subsection"/>
      </w:pPr>
      <w:r w:rsidRPr="00B4686B">
        <w:t>1</w:t>
      </w:r>
      <w:r w:rsidR="00342F96" w:rsidRPr="00B4686B">
        <w:t>01</w:t>
      </w:r>
      <w:r w:rsidRPr="00B4686B">
        <w:tab/>
      </w:r>
      <w:r w:rsidRPr="00B4686B">
        <w:tab/>
      </w:r>
      <w:r w:rsidR="005624E5" w:rsidRPr="00B4686B">
        <w:t>In this Schedule:</w:t>
      </w:r>
    </w:p>
    <w:p w:rsidR="009C33A0" w:rsidRPr="00B4686B" w:rsidRDefault="005624E5" w:rsidP="009C33A0">
      <w:pPr>
        <w:pStyle w:val="Definition"/>
      </w:pPr>
      <w:r w:rsidRPr="00B4686B">
        <w:rPr>
          <w:b/>
          <w:bCs/>
          <w:i/>
        </w:rPr>
        <w:lastRenderedPageBreak/>
        <w:t>aspirational target</w:t>
      </w:r>
      <w:r w:rsidRPr="00B4686B">
        <w:t xml:space="preserve"> means </w:t>
      </w:r>
      <w:r w:rsidR="009C33A0" w:rsidRPr="00B4686B">
        <w:t>a target for energy efficiency which:</w:t>
      </w:r>
    </w:p>
    <w:p w:rsidR="009C33A0" w:rsidRPr="00B4686B" w:rsidRDefault="009C33A0" w:rsidP="009C33A0">
      <w:pPr>
        <w:pStyle w:val="paragraph"/>
      </w:pPr>
      <w:r w:rsidRPr="00B4686B">
        <w:tab/>
        <w:t>(a)</w:t>
      </w:r>
      <w:r w:rsidRPr="00B4686B">
        <w:tab/>
      </w:r>
      <w:r w:rsidR="005624E5" w:rsidRPr="00B4686B">
        <w:t xml:space="preserve">is technically </w:t>
      </w:r>
      <w:r w:rsidRPr="00B4686B">
        <w:t>achievable;</w:t>
      </w:r>
      <w:r w:rsidR="005624E5" w:rsidRPr="00B4686B">
        <w:t xml:space="preserve"> and</w:t>
      </w:r>
    </w:p>
    <w:p w:rsidR="009C33A0" w:rsidRPr="00B4686B" w:rsidRDefault="009C33A0" w:rsidP="009C33A0">
      <w:pPr>
        <w:pStyle w:val="paragraph"/>
      </w:pPr>
      <w:r w:rsidRPr="00B4686B">
        <w:tab/>
        <w:t>(b)</w:t>
      </w:r>
      <w:r w:rsidRPr="00B4686B">
        <w:tab/>
        <w:t xml:space="preserve">encourages the achievement of substantial energy efficiency opportunities in the design of a new development or </w:t>
      </w:r>
      <w:r w:rsidR="00985945" w:rsidRPr="00B4686B">
        <w:t xml:space="preserve">an </w:t>
      </w:r>
      <w:r w:rsidRPr="00B4686B">
        <w:t>expansion.</w:t>
      </w:r>
    </w:p>
    <w:p w:rsidR="005624E5" w:rsidRPr="00B4686B" w:rsidRDefault="009C33A0" w:rsidP="009C33A0">
      <w:pPr>
        <w:pStyle w:val="notetext"/>
      </w:pPr>
      <w:r w:rsidRPr="00B4686B">
        <w:t>Note:</w:t>
      </w:r>
      <w:r w:rsidRPr="00B4686B">
        <w:tab/>
      </w:r>
      <w:r w:rsidR="005E6BFD" w:rsidRPr="00B4686B">
        <w:t>Achieving an aspirational target is not mandatory. An aspirational target is a target for the design team to aim for and consider throughout the design</w:t>
      </w:r>
      <w:r w:rsidR="005624E5" w:rsidRPr="00B4686B">
        <w:t>.</w:t>
      </w:r>
    </w:p>
    <w:p w:rsidR="009C33A0" w:rsidRPr="00B4686B" w:rsidRDefault="009C33A0" w:rsidP="009C33A0">
      <w:pPr>
        <w:pStyle w:val="Definition"/>
      </w:pPr>
      <w:r w:rsidRPr="00B4686B">
        <w:rPr>
          <w:b/>
          <w:bCs/>
          <w:i/>
        </w:rPr>
        <w:t>e</w:t>
      </w:r>
      <w:r w:rsidR="005624E5" w:rsidRPr="00B4686B">
        <w:rPr>
          <w:b/>
          <w:bCs/>
          <w:i/>
        </w:rPr>
        <w:t>nergy productivity improvement</w:t>
      </w:r>
      <w:r w:rsidR="005624E5" w:rsidRPr="00B4686B">
        <w:t xml:space="preserve"> means a design choice</w:t>
      </w:r>
      <w:r w:rsidRPr="00B4686B">
        <w:t xml:space="preserve"> in relation to a new development or </w:t>
      </w:r>
      <w:r w:rsidR="00985945" w:rsidRPr="00B4686B">
        <w:t xml:space="preserve">an </w:t>
      </w:r>
      <w:r w:rsidRPr="00B4686B">
        <w:t>expansion</w:t>
      </w:r>
      <w:r w:rsidR="005624E5" w:rsidRPr="00B4686B">
        <w:t xml:space="preserve"> which</w:t>
      </w:r>
      <w:r w:rsidRPr="00B4686B">
        <w:t>:</w:t>
      </w:r>
    </w:p>
    <w:p w:rsidR="009C33A0" w:rsidRPr="00B4686B" w:rsidRDefault="009C33A0" w:rsidP="009C33A0">
      <w:pPr>
        <w:pStyle w:val="paragraph"/>
      </w:pPr>
      <w:r w:rsidRPr="00B4686B">
        <w:tab/>
        <w:t>(a)</w:t>
      </w:r>
      <w:r w:rsidRPr="00B4686B">
        <w:tab/>
      </w:r>
      <w:r w:rsidR="005624E5" w:rsidRPr="00B4686B">
        <w:t>relates to energy sources and how energy is used</w:t>
      </w:r>
      <w:r w:rsidRPr="00B4686B">
        <w:t xml:space="preserve">; </w:t>
      </w:r>
      <w:r w:rsidR="005624E5" w:rsidRPr="00B4686B">
        <w:t>and</w:t>
      </w:r>
    </w:p>
    <w:p w:rsidR="005624E5" w:rsidRPr="00B4686B" w:rsidRDefault="009C33A0" w:rsidP="009C33A0">
      <w:pPr>
        <w:pStyle w:val="paragraph"/>
      </w:pPr>
      <w:r w:rsidRPr="00B4686B">
        <w:tab/>
        <w:t>(b)</w:t>
      </w:r>
      <w:r w:rsidRPr="00B4686B">
        <w:tab/>
        <w:t>is intended to produce</w:t>
      </w:r>
      <w:r w:rsidR="005624E5" w:rsidRPr="00B4686B">
        <w:t xml:space="preserve"> a financial return.</w:t>
      </w:r>
    </w:p>
    <w:p w:rsidR="005624E5" w:rsidRPr="00B4686B" w:rsidRDefault="009C33A0" w:rsidP="009C33A0">
      <w:pPr>
        <w:pStyle w:val="Definition"/>
      </w:pPr>
      <w:r w:rsidRPr="00B4686B">
        <w:rPr>
          <w:b/>
          <w:bCs/>
          <w:i/>
        </w:rPr>
        <w:t>w</w:t>
      </w:r>
      <w:r w:rsidR="005624E5" w:rsidRPr="00B4686B">
        <w:rPr>
          <w:b/>
          <w:bCs/>
          <w:i/>
        </w:rPr>
        <w:t>hole</w:t>
      </w:r>
      <w:r w:rsidR="00B4686B">
        <w:rPr>
          <w:b/>
          <w:bCs/>
          <w:i/>
        </w:rPr>
        <w:noBreakHyphen/>
      </w:r>
      <w:r w:rsidR="005624E5" w:rsidRPr="00B4686B">
        <w:rPr>
          <w:b/>
          <w:bCs/>
          <w:i/>
        </w:rPr>
        <w:t>of</w:t>
      </w:r>
      <w:r w:rsidR="00B4686B">
        <w:rPr>
          <w:b/>
          <w:bCs/>
          <w:i/>
        </w:rPr>
        <w:noBreakHyphen/>
      </w:r>
      <w:r w:rsidR="005624E5" w:rsidRPr="00B4686B">
        <w:rPr>
          <w:b/>
          <w:bCs/>
          <w:i/>
        </w:rPr>
        <w:t>business evaluation</w:t>
      </w:r>
      <w:r w:rsidR="005624E5" w:rsidRPr="00B4686B">
        <w:t xml:space="preserve"> means the financial evaluation of an energy productivity improvement </w:t>
      </w:r>
      <w:r w:rsidRPr="00B4686B">
        <w:t xml:space="preserve">to </w:t>
      </w:r>
      <w:r w:rsidR="005624E5" w:rsidRPr="00B4686B">
        <w:t>consider all relevant quantifiable business costs and benefits</w:t>
      </w:r>
      <w:r w:rsidRPr="00B4686B">
        <w:t xml:space="preserve"> relating to the improvement.</w:t>
      </w:r>
    </w:p>
    <w:p w:rsidR="009C33A0" w:rsidRPr="00B4686B" w:rsidRDefault="009C33A0" w:rsidP="009C33A0">
      <w:pPr>
        <w:pStyle w:val="notetext"/>
      </w:pPr>
      <w:r w:rsidRPr="00B4686B">
        <w:t>Examples:</w:t>
      </w:r>
      <w:r w:rsidRPr="00B4686B">
        <w:tab/>
        <w:t>Quantifiable business costs and benefits include the following:</w:t>
      </w:r>
    </w:p>
    <w:p w:rsidR="005624E5" w:rsidRPr="00B4686B" w:rsidRDefault="00342F96" w:rsidP="009C33A0">
      <w:pPr>
        <w:pStyle w:val="notepara"/>
      </w:pPr>
      <w:r w:rsidRPr="00B4686B">
        <w:t>(a)</w:t>
      </w:r>
      <w:r w:rsidRPr="00B4686B">
        <w:tab/>
        <w:t>d</w:t>
      </w:r>
      <w:r w:rsidR="005624E5" w:rsidRPr="00B4686B">
        <w:t>irect en</w:t>
      </w:r>
      <w:r w:rsidRPr="00B4686B">
        <w:t>ergy</w:t>
      </w:r>
      <w:r w:rsidR="00B4686B">
        <w:noBreakHyphen/>
      </w:r>
      <w:r w:rsidRPr="00B4686B">
        <w:t>related costs and savings;</w:t>
      </w:r>
    </w:p>
    <w:p w:rsidR="005624E5" w:rsidRPr="00B4686B" w:rsidRDefault="00342F96" w:rsidP="009C33A0">
      <w:pPr>
        <w:pStyle w:val="notepara"/>
      </w:pPr>
      <w:r w:rsidRPr="00B4686B">
        <w:t>(b)</w:t>
      </w:r>
      <w:r w:rsidRPr="00B4686B">
        <w:tab/>
        <w:t xml:space="preserve">a </w:t>
      </w:r>
      <w:r w:rsidR="005624E5" w:rsidRPr="00B4686B">
        <w:t>c</w:t>
      </w:r>
      <w:r w:rsidRPr="00B4686B">
        <w:t>apital cost</w:t>
      </w:r>
      <w:r w:rsidR="005624E5" w:rsidRPr="00B4686B">
        <w:t xml:space="preserve"> o</w:t>
      </w:r>
      <w:r w:rsidRPr="00B4686B">
        <w:t>r an avoided capital investment;</w:t>
      </w:r>
    </w:p>
    <w:p w:rsidR="005624E5" w:rsidRPr="00B4686B" w:rsidRDefault="00342F96" w:rsidP="009C33A0">
      <w:pPr>
        <w:pStyle w:val="notepara"/>
      </w:pPr>
      <w:r w:rsidRPr="00B4686B">
        <w:t>(c)</w:t>
      </w:r>
      <w:r w:rsidRPr="00B4686B">
        <w:tab/>
        <w:t>the cost</w:t>
      </w:r>
      <w:r w:rsidR="005624E5" w:rsidRPr="00B4686B">
        <w:t xml:space="preserve"> of maintenance, waste disposal, water usage or oc</w:t>
      </w:r>
      <w:r w:rsidRPr="00B4686B">
        <w:t>cupational health and safety;</w:t>
      </w:r>
    </w:p>
    <w:p w:rsidR="005624E5" w:rsidRPr="00B4686B" w:rsidRDefault="00342F96" w:rsidP="009C33A0">
      <w:pPr>
        <w:pStyle w:val="notepara"/>
      </w:pPr>
      <w:r w:rsidRPr="00B4686B">
        <w:t>(d)</w:t>
      </w:r>
      <w:r w:rsidRPr="00B4686B">
        <w:tab/>
        <w:t>a cost</w:t>
      </w:r>
      <w:r w:rsidR="005624E5" w:rsidRPr="00B4686B">
        <w:t xml:space="preserve"> associated with </w:t>
      </w:r>
      <w:r w:rsidRPr="00B4686B">
        <w:t>a project delay</w:t>
      </w:r>
      <w:r w:rsidR="005624E5" w:rsidRPr="00B4686B">
        <w:t>;</w:t>
      </w:r>
    </w:p>
    <w:p w:rsidR="005624E5" w:rsidRPr="00B4686B" w:rsidRDefault="00342F96" w:rsidP="009C33A0">
      <w:pPr>
        <w:pStyle w:val="notepara"/>
      </w:pPr>
      <w:r w:rsidRPr="00B4686B">
        <w:t>(e)</w:t>
      </w:r>
      <w:r w:rsidRPr="00B4686B">
        <w:tab/>
        <w:t>a cost associated with a change</w:t>
      </w:r>
      <w:r w:rsidR="005624E5" w:rsidRPr="00B4686B">
        <w:t xml:space="preserve"> in productivity, </w:t>
      </w:r>
      <w:r w:rsidRPr="00B4686B">
        <w:t xml:space="preserve">or </w:t>
      </w:r>
      <w:r w:rsidR="005624E5" w:rsidRPr="00B4686B">
        <w:t xml:space="preserve">the quality or quantity of </w:t>
      </w:r>
      <w:r w:rsidRPr="00B4686B">
        <w:t xml:space="preserve">an </w:t>
      </w:r>
      <w:r w:rsidR="005624E5" w:rsidRPr="00B4686B">
        <w:t>o</w:t>
      </w:r>
      <w:r w:rsidRPr="00B4686B">
        <w:t>utput;</w:t>
      </w:r>
    </w:p>
    <w:p w:rsidR="005624E5" w:rsidRPr="00B4686B" w:rsidRDefault="00342F96" w:rsidP="009C33A0">
      <w:pPr>
        <w:pStyle w:val="notepara"/>
      </w:pPr>
      <w:r w:rsidRPr="00B4686B">
        <w:t>(f)</w:t>
      </w:r>
      <w:r w:rsidRPr="00B4686B">
        <w:tab/>
        <w:t>the cost of an effect</w:t>
      </w:r>
      <w:r w:rsidR="005624E5" w:rsidRPr="00B4686B">
        <w:t xml:space="preserve"> on </w:t>
      </w:r>
      <w:r w:rsidRPr="00B4686B">
        <w:t>another system</w:t>
      </w:r>
      <w:r w:rsidR="005624E5" w:rsidRPr="00B4686B">
        <w:t xml:space="preserve"> in the </w:t>
      </w:r>
      <w:r w:rsidRPr="00B4686B">
        <w:t xml:space="preserve">new development </w:t>
      </w:r>
      <w:r w:rsidR="00985945" w:rsidRPr="00B4686B">
        <w:t>or the expansion</w:t>
      </w:r>
      <w:r w:rsidRPr="00B4686B">
        <w:t>.</w:t>
      </w:r>
    </w:p>
    <w:p w:rsidR="00342F96" w:rsidRPr="00B4686B" w:rsidRDefault="00342F96" w:rsidP="00342F96">
      <w:pPr>
        <w:pStyle w:val="ActHead2"/>
      </w:pPr>
      <w:bookmarkStart w:id="35" w:name="_Toc360028944"/>
      <w:r w:rsidRPr="00B4686B">
        <w:rPr>
          <w:rStyle w:val="CharPartNo"/>
        </w:rPr>
        <w:t>Part</w:t>
      </w:r>
      <w:r w:rsidR="00B4686B" w:rsidRPr="00B4686B">
        <w:rPr>
          <w:rStyle w:val="CharPartNo"/>
        </w:rPr>
        <w:t> </w:t>
      </w:r>
      <w:r w:rsidRPr="00B4686B">
        <w:rPr>
          <w:rStyle w:val="CharPartNo"/>
        </w:rPr>
        <w:t>2</w:t>
      </w:r>
      <w:r w:rsidRPr="00B4686B">
        <w:t>—</w:t>
      </w:r>
      <w:r w:rsidRPr="00B4686B">
        <w:rPr>
          <w:rStyle w:val="CharPartText"/>
        </w:rPr>
        <w:t>Key elements</w:t>
      </w:r>
      <w:bookmarkEnd w:id="35"/>
    </w:p>
    <w:p w:rsidR="00342F96" w:rsidRPr="00B4686B" w:rsidRDefault="00342F96" w:rsidP="00342F96">
      <w:pPr>
        <w:pStyle w:val="Header"/>
      </w:pPr>
      <w:r w:rsidRPr="00B4686B">
        <w:rPr>
          <w:rStyle w:val="CharDivNo"/>
        </w:rPr>
        <w:t xml:space="preserve"> </w:t>
      </w:r>
      <w:r w:rsidRPr="00B4686B">
        <w:rPr>
          <w:rStyle w:val="CharDivText"/>
        </w:rPr>
        <w:t xml:space="preserve"> </w:t>
      </w:r>
    </w:p>
    <w:p w:rsidR="005E6BFD" w:rsidRPr="00B4686B" w:rsidRDefault="00342F96" w:rsidP="00342F96">
      <w:pPr>
        <w:pStyle w:val="notemargin"/>
      </w:pPr>
      <w:r w:rsidRPr="00B4686B">
        <w:t>Note:</w:t>
      </w:r>
      <w:r w:rsidRPr="00B4686B">
        <w:tab/>
      </w:r>
      <w:r w:rsidR="005E6BFD" w:rsidRPr="00B4686B">
        <w:t>The intention of the key elements must be applied to the new development or the expansion, from the initial concept to post</w:t>
      </w:r>
      <w:r w:rsidR="00B4686B">
        <w:noBreakHyphen/>
      </w:r>
      <w:r w:rsidR="005E6BFD" w:rsidRPr="00B4686B">
        <w:t>construction optimisation. Some existing systems and processes may already meet the intent of the key elements and should be used where appropriate. Some Key Elements will be more applicable to early design stages and others will be more applicable to later design stages. The Key Elements may not be applicable to some design stages such as construction and commissioning.</w:t>
      </w:r>
    </w:p>
    <w:p w:rsidR="00342F96" w:rsidRPr="00B4686B" w:rsidRDefault="005E6BFD" w:rsidP="00342F96">
      <w:pPr>
        <w:pStyle w:val="notemargin"/>
      </w:pPr>
      <w:r w:rsidRPr="00B4686B">
        <w:tab/>
        <w:t>A registered corporation should consider how to best align the intent of these key elements, to existing design processes and stage gates, to best identify design decisions which will result in increased energy productivity</w:t>
      </w:r>
      <w:r w:rsidR="00342F96" w:rsidRPr="00B4686B">
        <w:t>.</w:t>
      </w:r>
    </w:p>
    <w:p w:rsidR="006157FD" w:rsidRPr="00B4686B" w:rsidRDefault="006157FD" w:rsidP="006157FD">
      <w:pPr>
        <w:pStyle w:val="ActHead5"/>
      </w:pPr>
      <w:bookmarkStart w:id="36" w:name="_Toc360028945"/>
      <w:r w:rsidRPr="00B4686B">
        <w:rPr>
          <w:rStyle w:val="CharSectno"/>
        </w:rPr>
        <w:lastRenderedPageBreak/>
        <w:t>201</w:t>
      </w:r>
      <w:r w:rsidR="00561E35" w:rsidRPr="00B4686B">
        <w:t xml:space="preserve">  </w:t>
      </w:r>
      <w:r w:rsidRPr="00B4686B">
        <w:t>Key element 1—Leadership</w:t>
      </w:r>
      <w:bookmarkEnd w:id="36"/>
    </w:p>
    <w:p w:rsidR="006157FD" w:rsidRPr="00B4686B" w:rsidRDefault="006157FD" w:rsidP="006157FD">
      <w:pPr>
        <w:pStyle w:val="subsection"/>
      </w:pPr>
      <w:r w:rsidRPr="00B4686B">
        <w:tab/>
      </w:r>
      <w:r w:rsidRPr="00B4686B">
        <w:tab/>
        <w:t>Visible leadership and commitment from senior management provides clear direction and purpose to the assessment throughout the design stage through to commercial operation, which may include:</w:t>
      </w:r>
    </w:p>
    <w:p w:rsidR="006157FD" w:rsidRPr="00B4686B" w:rsidRDefault="006157FD" w:rsidP="006157FD">
      <w:pPr>
        <w:pStyle w:val="paragraph"/>
      </w:pPr>
      <w:r w:rsidRPr="00B4686B">
        <w:tab/>
        <w:t>(a)</w:t>
      </w:r>
      <w:r w:rsidRPr="00B4686B">
        <w:tab/>
        <w:t xml:space="preserve">setting and communicating both feasible and aspirational target energy performance objectives for the </w:t>
      </w:r>
      <w:r w:rsidR="00985945" w:rsidRPr="00B4686B">
        <w:t xml:space="preserve">new </w:t>
      </w:r>
      <w:r w:rsidRPr="00B4686B">
        <w:t xml:space="preserve">development or </w:t>
      </w:r>
      <w:r w:rsidR="00985945" w:rsidRPr="00B4686B">
        <w:t xml:space="preserve">the </w:t>
      </w:r>
      <w:r w:rsidRPr="00B4686B">
        <w:t>expansion once operational; and</w:t>
      </w:r>
    </w:p>
    <w:p w:rsidR="006157FD" w:rsidRPr="00B4686B" w:rsidRDefault="006157FD" w:rsidP="006157FD">
      <w:pPr>
        <w:pStyle w:val="paragraph"/>
      </w:pPr>
      <w:r w:rsidRPr="00B4686B">
        <w:tab/>
        <w:t>(b)</w:t>
      </w:r>
      <w:r w:rsidRPr="00B4686B">
        <w:tab/>
        <w:t>communicating and ensuring that assessment objectives are contributing towards business priorities; and</w:t>
      </w:r>
    </w:p>
    <w:p w:rsidR="006157FD" w:rsidRPr="00B4686B" w:rsidRDefault="006157FD" w:rsidP="006157FD">
      <w:pPr>
        <w:pStyle w:val="paragraph"/>
      </w:pPr>
      <w:r w:rsidRPr="00B4686B">
        <w:tab/>
        <w:t>(c)</w:t>
      </w:r>
      <w:r w:rsidRPr="00B4686B">
        <w:tab/>
        <w:t>setting Key Performance Indicators within the design process and giving recognition for achievement of energy performance objectives and internal processes relating to energy productivity improvements.</w:t>
      </w:r>
    </w:p>
    <w:p w:rsidR="006157FD" w:rsidRPr="00B4686B" w:rsidRDefault="006157FD" w:rsidP="006157FD">
      <w:pPr>
        <w:pStyle w:val="subsection"/>
      </w:pPr>
      <w:r w:rsidRPr="00B4686B">
        <w:tab/>
      </w:r>
      <w:r w:rsidRPr="00B4686B">
        <w:tab/>
        <w:t>Senior management supports, motivates and values the efforts of staff and other stakeholders (for example, project managers, design teams, equipment suppliers, engineering procurement construction management (</w:t>
      </w:r>
      <w:r w:rsidRPr="00B4686B">
        <w:rPr>
          <w:b/>
          <w:i/>
        </w:rPr>
        <w:t>EPCM</w:t>
      </w:r>
      <w:r w:rsidRPr="00B4686B">
        <w:t>) and operation staff) involved in the identification and implementation of energy efficiency opportunities.</w:t>
      </w:r>
    </w:p>
    <w:p w:rsidR="006157FD" w:rsidRPr="00B4686B" w:rsidRDefault="006157FD" w:rsidP="006157FD">
      <w:pPr>
        <w:pStyle w:val="ActHead5"/>
      </w:pPr>
      <w:bookmarkStart w:id="37" w:name="_Toc360028946"/>
      <w:r w:rsidRPr="00B4686B">
        <w:rPr>
          <w:rStyle w:val="CharSectno"/>
        </w:rPr>
        <w:t>202</w:t>
      </w:r>
      <w:r w:rsidR="00561E35" w:rsidRPr="00B4686B">
        <w:t xml:space="preserve">  </w:t>
      </w:r>
      <w:r w:rsidRPr="00B4686B">
        <w:t>Key Element 2—People</w:t>
      </w:r>
      <w:bookmarkEnd w:id="37"/>
    </w:p>
    <w:p w:rsidR="006157FD" w:rsidRPr="00B4686B" w:rsidRDefault="006157FD" w:rsidP="006157FD">
      <w:pPr>
        <w:pStyle w:val="subsection"/>
      </w:pPr>
      <w:r w:rsidRPr="00B4686B">
        <w:tab/>
      </w:r>
      <w:r w:rsidRPr="00B4686B">
        <w:tab/>
        <w:t xml:space="preserve">Skilled and knowledgeable people, and people with direct and indirect influence on the operational energy use of the </w:t>
      </w:r>
      <w:r w:rsidR="00985945" w:rsidRPr="00B4686B">
        <w:t xml:space="preserve">new </w:t>
      </w:r>
      <w:r w:rsidRPr="00B4686B">
        <w:t xml:space="preserve">development </w:t>
      </w:r>
      <w:r w:rsidR="00985945" w:rsidRPr="00B4686B">
        <w:t xml:space="preserve">or the expansion </w:t>
      </w:r>
      <w:r w:rsidRPr="00B4686B">
        <w:t>through design and development decisions are involved in the assessment, these people may include:</w:t>
      </w:r>
    </w:p>
    <w:p w:rsidR="006157FD" w:rsidRPr="00B4686B" w:rsidRDefault="006157FD" w:rsidP="006157FD">
      <w:pPr>
        <w:pStyle w:val="paragraph"/>
      </w:pPr>
      <w:r w:rsidRPr="00B4686B">
        <w:tab/>
        <w:t>(a)</w:t>
      </w:r>
      <w:r w:rsidRPr="00B4686B">
        <w:tab/>
        <w:t>people from the design and commissioning teams—examples may include mechanical engineers, electrical engineers, geotech scientists, planners, commissioning engineers</w:t>
      </w:r>
      <w:r w:rsidR="009472F5" w:rsidRPr="00B4686B">
        <w:t>, project managers and the like; and</w:t>
      </w:r>
    </w:p>
    <w:p w:rsidR="006157FD" w:rsidRPr="00B4686B" w:rsidRDefault="009472F5" w:rsidP="006157FD">
      <w:pPr>
        <w:pStyle w:val="paragraph"/>
      </w:pPr>
      <w:r w:rsidRPr="00B4686B">
        <w:tab/>
        <w:t>(b)</w:t>
      </w:r>
      <w:r w:rsidRPr="00B4686B">
        <w:tab/>
      </w:r>
      <w:r w:rsidR="006157FD" w:rsidRPr="00B4686B">
        <w:t>the operations teams</w:t>
      </w:r>
      <w:r w:rsidRPr="00B4686B">
        <w:t>—</w:t>
      </w:r>
      <w:r w:rsidR="006157FD" w:rsidRPr="00B4686B">
        <w:t>examples may include process engineers, people from operations teams, mai</w:t>
      </w:r>
      <w:r w:rsidRPr="00B4686B">
        <w:t>ntenance personnel and the like; and</w:t>
      </w:r>
    </w:p>
    <w:p w:rsidR="006157FD" w:rsidRPr="00B4686B" w:rsidRDefault="009472F5" w:rsidP="006157FD">
      <w:pPr>
        <w:pStyle w:val="paragraph"/>
      </w:pPr>
      <w:r w:rsidRPr="00B4686B">
        <w:tab/>
        <w:t>(c)</w:t>
      </w:r>
      <w:r w:rsidRPr="00B4686B">
        <w:tab/>
      </w:r>
      <w:r w:rsidR="006157FD" w:rsidRPr="00B4686B">
        <w:t>equipment suppliers and contractors involved in design and construction</w:t>
      </w:r>
      <w:r w:rsidRPr="00B4686B">
        <w:t>—</w:t>
      </w:r>
      <w:r w:rsidR="006157FD" w:rsidRPr="00B4686B">
        <w:t xml:space="preserve">examples may include multiple suppliers for major pieces of plant, EPC contractors, EPCM </w:t>
      </w:r>
      <w:r w:rsidRPr="00B4686B">
        <w:t>contractors; and</w:t>
      </w:r>
    </w:p>
    <w:p w:rsidR="006157FD" w:rsidRPr="00B4686B" w:rsidRDefault="009472F5" w:rsidP="006157FD">
      <w:pPr>
        <w:pStyle w:val="paragraph"/>
      </w:pPr>
      <w:r w:rsidRPr="00B4686B">
        <w:lastRenderedPageBreak/>
        <w:tab/>
        <w:t>(d)</w:t>
      </w:r>
      <w:r w:rsidRPr="00B4686B">
        <w:tab/>
      </w:r>
      <w:r w:rsidR="006157FD" w:rsidRPr="00B4686B">
        <w:t>technical experts</w:t>
      </w:r>
      <w:r w:rsidRPr="00B4686B">
        <w:t>—</w:t>
      </w:r>
      <w:r w:rsidR="006157FD" w:rsidRPr="00B4686B">
        <w:t>examples may include internal and external technical experts, people from other similar industries who could i</w:t>
      </w:r>
      <w:r w:rsidRPr="00B4686B">
        <w:t>dentify a different perspective; and</w:t>
      </w:r>
    </w:p>
    <w:p w:rsidR="006157FD" w:rsidRPr="00B4686B" w:rsidRDefault="009472F5" w:rsidP="006157FD">
      <w:pPr>
        <w:pStyle w:val="paragraph"/>
      </w:pPr>
      <w:r w:rsidRPr="00B4686B">
        <w:tab/>
        <w:t>(e)</w:t>
      </w:r>
      <w:r w:rsidRPr="00B4686B">
        <w:tab/>
      </w:r>
      <w:r w:rsidR="006157FD" w:rsidRPr="00B4686B">
        <w:t>finance and management personnel</w:t>
      </w:r>
      <w:r w:rsidRPr="00B4686B">
        <w:t>—</w:t>
      </w:r>
      <w:r w:rsidR="006157FD" w:rsidRPr="00B4686B">
        <w:t>examples may include accountants, business improvement staff, project and business management.</w:t>
      </w:r>
    </w:p>
    <w:p w:rsidR="006157FD" w:rsidRPr="00B4686B" w:rsidRDefault="006157FD" w:rsidP="006157FD">
      <w:pPr>
        <w:pStyle w:val="subsection"/>
      </w:pPr>
      <w:r w:rsidRPr="00B4686B">
        <w:tab/>
      </w:r>
      <w:r w:rsidRPr="00B4686B">
        <w:tab/>
        <w:t xml:space="preserve">The relevant people listed above or similar relevant people are included in a process to improve the energy productivity of the new development or </w:t>
      </w:r>
      <w:r w:rsidR="00985945" w:rsidRPr="00B4686B">
        <w:t xml:space="preserve">the </w:t>
      </w:r>
      <w:r w:rsidRPr="00B4686B">
        <w:t>expansion. Activities undertaken to improve energy productivity may include:</w:t>
      </w:r>
    </w:p>
    <w:p w:rsidR="006157FD" w:rsidRPr="00B4686B" w:rsidRDefault="006157FD" w:rsidP="006157FD">
      <w:pPr>
        <w:pStyle w:val="paragraph"/>
      </w:pPr>
      <w:r w:rsidRPr="00B4686B">
        <w:tab/>
        <w:t>(a)</w:t>
      </w:r>
      <w:r w:rsidRPr="00B4686B">
        <w:tab/>
        <w:t>utilising knowledge of existing or similar operations</w:t>
      </w:r>
      <w:r w:rsidR="009472F5" w:rsidRPr="00B4686B">
        <w:t>; and</w:t>
      </w:r>
    </w:p>
    <w:p w:rsidR="006157FD" w:rsidRPr="00B4686B" w:rsidRDefault="006157FD" w:rsidP="006157FD">
      <w:pPr>
        <w:pStyle w:val="paragraph"/>
      </w:pPr>
      <w:r w:rsidRPr="00B4686B">
        <w:tab/>
        <w:t>(b)</w:t>
      </w:r>
      <w:r w:rsidRPr="00B4686B">
        <w:tab/>
        <w:t>effectively collecting and analysing energy and process data, and factors impacting on energy use, both des</w:t>
      </w:r>
      <w:r w:rsidR="009472F5" w:rsidRPr="00B4686B">
        <w:t>ign and operational as required; and</w:t>
      </w:r>
    </w:p>
    <w:p w:rsidR="006157FD" w:rsidRPr="00B4686B" w:rsidRDefault="006157FD" w:rsidP="006157FD">
      <w:pPr>
        <w:pStyle w:val="paragraph"/>
      </w:pPr>
      <w:r w:rsidRPr="00B4686B">
        <w:tab/>
        <w:t>(c)</w:t>
      </w:r>
      <w:r w:rsidRPr="00B4686B">
        <w:tab/>
        <w:t>identifying and evaluating opportunities to reduce energy use or increase productivity relative to energy consumption</w:t>
      </w:r>
      <w:r w:rsidR="009472F5" w:rsidRPr="00B4686B">
        <w:t>; and</w:t>
      </w:r>
    </w:p>
    <w:p w:rsidR="006157FD" w:rsidRPr="00B4686B" w:rsidRDefault="006157FD" w:rsidP="006157FD">
      <w:pPr>
        <w:pStyle w:val="paragraph"/>
      </w:pPr>
      <w:r w:rsidRPr="00B4686B">
        <w:tab/>
        <w:t>(d)</w:t>
      </w:r>
      <w:r w:rsidRPr="00B4686B">
        <w:tab/>
        <w:t>considering the design and optimisation from all perspective</w:t>
      </w:r>
      <w:r w:rsidR="009472F5" w:rsidRPr="00B4686B">
        <w:t>s including energy productivity; and</w:t>
      </w:r>
    </w:p>
    <w:p w:rsidR="006157FD" w:rsidRPr="00B4686B" w:rsidRDefault="006157FD" w:rsidP="006157FD">
      <w:pPr>
        <w:pStyle w:val="paragraph"/>
      </w:pPr>
      <w:r w:rsidRPr="00B4686B">
        <w:tab/>
        <w:t>(e)</w:t>
      </w:r>
      <w:r w:rsidRPr="00B4686B">
        <w:tab/>
        <w:t>provide fresh perspectives</w:t>
      </w:r>
      <w:r w:rsidR="009472F5" w:rsidRPr="00B4686B">
        <w:t>; and</w:t>
      </w:r>
    </w:p>
    <w:p w:rsidR="006157FD" w:rsidRPr="00B4686B" w:rsidRDefault="006157FD" w:rsidP="006157FD">
      <w:pPr>
        <w:pStyle w:val="paragraph"/>
      </w:pPr>
      <w:r w:rsidRPr="00B4686B">
        <w:tab/>
        <w:t>(f)</w:t>
      </w:r>
      <w:r w:rsidRPr="00B4686B">
        <w:tab/>
        <w:t>make the business case for identified energy productivity improvements at the design stage through to commercial operation</w:t>
      </w:r>
      <w:r w:rsidR="00561E35" w:rsidRPr="00B4686B">
        <w:t>.</w:t>
      </w:r>
    </w:p>
    <w:p w:rsidR="006157FD" w:rsidRPr="00B4686B" w:rsidRDefault="006157FD" w:rsidP="006157FD">
      <w:pPr>
        <w:pStyle w:val="subsection"/>
      </w:pPr>
      <w:r w:rsidRPr="00B4686B">
        <w:tab/>
      </w:r>
      <w:r w:rsidRPr="00B4686B">
        <w:tab/>
        <w:t>Responsibilities and accountabilities are suitably allocated and team diversity is encouraged.</w:t>
      </w:r>
    </w:p>
    <w:p w:rsidR="006157FD" w:rsidRPr="00B4686B" w:rsidRDefault="006157FD" w:rsidP="006157FD">
      <w:pPr>
        <w:pStyle w:val="ActHead5"/>
      </w:pPr>
      <w:bookmarkStart w:id="38" w:name="_Toc360028947"/>
      <w:r w:rsidRPr="00B4686B">
        <w:rPr>
          <w:rStyle w:val="CharSectno"/>
        </w:rPr>
        <w:t>203</w:t>
      </w:r>
      <w:r w:rsidR="00561E35" w:rsidRPr="00B4686B">
        <w:t xml:space="preserve">  </w:t>
      </w:r>
      <w:r w:rsidRPr="00B4686B">
        <w:t>Key Element 3—Information, data and analysis</w:t>
      </w:r>
      <w:bookmarkEnd w:id="38"/>
    </w:p>
    <w:p w:rsidR="006157FD" w:rsidRPr="00B4686B" w:rsidRDefault="006157FD" w:rsidP="006157FD">
      <w:pPr>
        <w:pStyle w:val="subsection"/>
      </w:pPr>
      <w:r w:rsidRPr="00B4686B">
        <w:tab/>
      </w:r>
      <w:r w:rsidRPr="00B4686B">
        <w:tab/>
        <w:t>Predominately relating to early design stages, an analysis is conducted on the whole site which includes energy productivity, to identify a cost effective facility design from an operational and capital cost perspective. This process may includ</w:t>
      </w:r>
      <w:r w:rsidR="009472F5" w:rsidRPr="00B4686B">
        <w:t>e but is not limited to considering:</w:t>
      </w:r>
    </w:p>
    <w:p w:rsidR="006157FD" w:rsidRPr="00B4686B" w:rsidRDefault="009472F5" w:rsidP="006157FD">
      <w:pPr>
        <w:pStyle w:val="paragraph"/>
      </w:pPr>
      <w:r w:rsidRPr="00B4686B">
        <w:tab/>
        <w:t>(a)</w:t>
      </w:r>
      <w:r w:rsidRPr="00B4686B">
        <w:tab/>
      </w:r>
      <w:r w:rsidR="006157FD" w:rsidRPr="00B4686B">
        <w:t xml:space="preserve">the requirements of the product which the facility will produce, along with the minimum inputs required to produce the product, and considering the optimum method or </w:t>
      </w:r>
      <w:r w:rsidRPr="00B4686B">
        <w:t>methods to produce that product; and</w:t>
      </w:r>
    </w:p>
    <w:p w:rsidR="006157FD" w:rsidRPr="00B4686B" w:rsidRDefault="009472F5" w:rsidP="006157FD">
      <w:pPr>
        <w:pStyle w:val="paragraph"/>
      </w:pPr>
      <w:r w:rsidRPr="00B4686B">
        <w:lastRenderedPageBreak/>
        <w:tab/>
        <w:t>(b)</w:t>
      </w:r>
      <w:r w:rsidRPr="00B4686B">
        <w:tab/>
      </w:r>
      <w:r w:rsidR="006157FD" w:rsidRPr="00B4686B">
        <w:t>the location and arrangement of equipment to allow opportunities such as heat transfer between processes and redu</w:t>
      </w:r>
      <w:r w:rsidRPr="00B4686B">
        <w:t>ced distances in bulk handling; and</w:t>
      </w:r>
    </w:p>
    <w:p w:rsidR="009472F5" w:rsidRPr="00B4686B" w:rsidRDefault="009472F5" w:rsidP="006157FD">
      <w:pPr>
        <w:pStyle w:val="paragraph"/>
      </w:pPr>
      <w:r w:rsidRPr="00B4686B">
        <w:tab/>
        <w:t>(c)</w:t>
      </w:r>
      <w:r w:rsidRPr="00B4686B">
        <w:tab/>
        <w:t>one or more of:</w:t>
      </w:r>
    </w:p>
    <w:p w:rsidR="009472F5" w:rsidRPr="00B4686B" w:rsidRDefault="009472F5" w:rsidP="009472F5">
      <w:pPr>
        <w:pStyle w:val="paragraphsub"/>
      </w:pPr>
      <w:r w:rsidRPr="00B4686B">
        <w:tab/>
        <w:t>(i)</w:t>
      </w:r>
      <w:r w:rsidRPr="00B4686B">
        <w:tab/>
      </w:r>
      <w:r w:rsidR="006157FD" w:rsidRPr="00B4686B">
        <w:t>alternative technology choices</w:t>
      </w:r>
      <w:r w:rsidRPr="00B4686B">
        <w:t>; and</w:t>
      </w:r>
    </w:p>
    <w:p w:rsidR="009472F5" w:rsidRPr="00B4686B" w:rsidRDefault="009472F5" w:rsidP="009472F5">
      <w:pPr>
        <w:pStyle w:val="paragraphsub"/>
      </w:pPr>
      <w:r w:rsidRPr="00B4686B">
        <w:tab/>
        <w:t>(ii)</w:t>
      </w:r>
      <w:r w:rsidRPr="00B4686B">
        <w:tab/>
      </w:r>
      <w:r w:rsidR="006157FD" w:rsidRPr="00B4686B">
        <w:t>sup</w:t>
      </w:r>
      <w:r w:rsidRPr="00B4686B">
        <w:t>pliers; and</w:t>
      </w:r>
    </w:p>
    <w:p w:rsidR="009472F5" w:rsidRPr="00B4686B" w:rsidRDefault="009472F5" w:rsidP="009472F5">
      <w:pPr>
        <w:pStyle w:val="paragraphsub"/>
      </w:pPr>
      <w:r w:rsidRPr="00B4686B">
        <w:tab/>
        <w:t>(iii)</w:t>
      </w:r>
      <w:r w:rsidRPr="00B4686B">
        <w:tab/>
        <w:t>energy impacts;</w:t>
      </w:r>
    </w:p>
    <w:p w:rsidR="006157FD" w:rsidRPr="00B4686B" w:rsidRDefault="009472F5" w:rsidP="006157FD">
      <w:pPr>
        <w:pStyle w:val="paragraph"/>
      </w:pPr>
      <w:r w:rsidRPr="00B4686B">
        <w:tab/>
      </w:r>
      <w:r w:rsidRPr="00B4686B">
        <w:tab/>
        <w:t>of “off the shelf” equipment; and</w:t>
      </w:r>
    </w:p>
    <w:p w:rsidR="006157FD" w:rsidRPr="00B4686B" w:rsidRDefault="009472F5" w:rsidP="006157FD">
      <w:pPr>
        <w:pStyle w:val="paragraph"/>
      </w:pPr>
      <w:r w:rsidRPr="00B4686B">
        <w:tab/>
        <w:t>(d)</w:t>
      </w:r>
      <w:r w:rsidRPr="00B4686B">
        <w:tab/>
      </w:r>
      <w:r w:rsidR="006157FD" w:rsidRPr="00B4686B">
        <w:t>best p</w:t>
      </w:r>
      <w:r w:rsidRPr="00B4686B">
        <w:t>ractice equipment and operation; and</w:t>
      </w:r>
    </w:p>
    <w:p w:rsidR="006157FD" w:rsidRPr="00B4686B" w:rsidRDefault="009472F5" w:rsidP="006157FD">
      <w:pPr>
        <w:pStyle w:val="paragraph"/>
      </w:pPr>
      <w:r w:rsidRPr="00B4686B">
        <w:tab/>
        <w:t>(e)</w:t>
      </w:r>
      <w:r w:rsidRPr="00B4686B">
        <w:tab/>
      </w:r>
      <w:r w:rsidR="006157FD" w:rsidRPr="00B4686B">
        <w:t>how to integrate “off the shelf” equipment.</w:t>
      </w:r>
    </w:p>
    <w:p w:rsidR="006157FD" w:rsidRPr="00B4686B" w:rsidRDefault="006157FD" w:rsidP="006157FD">
      <w:pPr>
        <w:pStyle w:val="subsection"/>
      </w:pPr>
      <w:r w:rsidRPr="00B4686B">
        <w:tab/>
      </w:r>
      <w:r w:rsidRPr="00B4686B">
        <w:tab/>
        <w:t>Relating to design stages prior to construction, predicted energy data, and relating to optimisation, measured energy data, is analysed from different perspectives to understand the relationship between activity and consumption, and to identify energy efficient design features or areas to be optimised. A site</w:t>
      </w:r>
      <w:r w:rsidR="00B4686B">
        <w:noBreakHyphen/>
      </w:r>
      <w:r w:rsidRPr="00B4686B">
        <w:t>wide analysis, connecting and communicating data between different operations, systems and sections of the site, and between other sites, where appropriate</w:t>
      </w:r>
      <w:r w:rsidR="004A7148" w:rsidRPr="00B4686B">
        <w:t>,</w:t>
      </w:r>
      <w:r w:rsidRPr="00B4686B">
        <w:t xml:space="preserve"> is investigated.</w:t>
      </w:r>
    </w:p>
    <w:p w:rsidR="006157FD" w:rsidRPr="00B4686B" w:rsidRDefault="006157FD" w:rsidP="006157FD">
      <w:pPr>
        <w:pStyle w:val="subsection"/>
      </w:pPr>
      <w:r w:rsidRPr="00B4686B">
        <w:tab/>
      </w:r>
      <w:r w:rsidRPr="00B4686B">
        <w:tab/>
        <w:t>Sufficient design</w:t>
      </w:r>
      <w:r w:rsidR="009472F5" w:rsidRPr="00B4686B">
        <w:t xml:space="preserve"> data, </w:t>
      </w:r>
      <w:r w:rsidRPr="00B4686B">
        <w:t xml:space="preserve">operational data, </w:t>
      </w:r>
      <w:r w:rsidR="009472F5" w:rsidRPr="00B4686B">
        <w:t xml:space="preserve">or both, </w:t>
      </w:r>
      <w:r w:rsidRPr="00B4686B">
        <w:t>in suitable forms, is used to estimate, model and understand future and current energy use, identify and quantify energy savings and improve energy productivity. Models of the design are likely to incorporate energy</w:t>
      </w:r>
      <w:r w:rsidR="00B4686B">
        <w:noBreakHyphen/>
      </w:r>
      <w:r w:rsidRPr="00B4686B">
        <w:t>mass flows or other relevant modelling tools.</w:t>
      </w:r>
    </w:p>
    <w:p w:rsidR="006157FD" w:rsidRPr="00B4686B" w:rsidRDefault="006157FD" w:rsidP="006157FD">
      <w:pPr>
        <w:pStyle w:val="subsection"/>
      </w:pPr>
      <w:r w:rsidRPr="00B4686B">
        <w:tab/>
      </w:r>
      <w:r w:rsidRPr="00B4686B">
        <w:tab/>
        <w:t>Provisions are made to track performance and outcomes during operation. This may include appropriate provisions for metering to enable ongoing performance tracking and improvement of energy productivity.</w:t>
      </w:r>
    </w:p>
    <w:p w:rsidR="006157FD" w:rsidRPr="00B4686B" w:rsidRDefault="006157FD" w:rsidP="006157FD">
      <w:pPr>
        <w:pStyle w:val="subsection"/>
      </w:pPr>
      <w:r w:rsidRPr="00B4686B">
        <w:tab/>
      </w:r>
      <w:r w:rsidRPr="00B4686B">
        <w:tab/>
        <w:t>Data accuracy is appropriate to the stage of the design and available data sources. The accuracy is considered when deciding the suitability of the model, assumptions and analysis to make the appropriate project choices.</w:t>
      </w:r>
    </w:p>
    <w:p w:rsidR="006157FD" w:rsidRPr="00B4686B" w:rsidRDefault="006157FD" w:rsidP="006157FD">
      <w:pPr>
        <w:pStyle w:val="subsection"/>
      </w:pPr>
      <w:r w:rsidRPr="00B4686B">
        <w:tab/>
      </w:r>
      <w:r w:rsidRPr="00B4686B">
        <w:tab/>
        <w:t>Processes are put in place to ensure adequate transfer of relevant information, data and potential energy savings initiatives between different design gates through to commercial operation.</w:t>
      </w:r>
    </w:p>
    <w:p w:rsidR="006157FD" w:rsidRPr="00B4686B" w:rsidRDefault="006157FD" w:rsidP="006157FD">
      <w:pPr>
        <w:pStyle w:val="subsection"/>
      </w:pPr>
      <w:r w:rsidRPr="00B4686B">
        <w:lastRenderedPageBreak/>
        <w:tab/>
      </w:r>
      <w:r w:rsidRPr="00B4686B">
        <w:tab/>
        <w:t>If the design involves the provision of a service, site, or supporting infrastructure that is not within the control of the registered corporation, then an investigation of the possibility of a mutual agreement with the entity providing the services, site or supporting infrastructure is conducted, so that a financial benefit can be realised, based on energy savings achieved through design or operational changes.</w:t>
      </w:r>
    </w:p>
    <w:p w:rsidR="006157FD" w:rsidRPr="00B4686B" w:rsidRDefault="006157FD" w:rsidP="006157FD">
      <w:pPr>
        <w:pStyle w:val="ActHead5"/>
      </w:pPr>
      <w:bookmarkStart w:id="39" w:name="_Toc360028948"/>
      <w:r w:rsidRPr="00B4686B">
        <w:rPr>
          <w:rStyle w:val="CharSectno"/>
        </w:rPr>
        <w:t>204</w:t>
      </w:r>
      <w:r w:rsidR="00561E35" w:rsidRPr="00B4686B">
        <w:t xml:space="preserve">  </w:t>
      </w:r>
      <w:r w:rsidRPr="00B4686B">
        <w:t>Key element 4—Identification and evaluation of energy savings</w:t>
      </w:r>
      <w:bookmarkEnd w:id="39"/>
    </w:p>
    <w:p w:rsidR="006157FD" w:rsidRPr="00B4686B" w:rsidRDefault="006157FD" w:rsidP="006157FD">
      <w:pPr>
        <w:pStyle w:val="subsection"/>
      </w:pPr>
      <w:r w:rsidRPr="00B4686B">
        <w:tab/>
      </w:r>
      <w:r w:rsidRPr="00B4686B">
        <w:tab/>
        <w:t>An effective process is undertaken to identify potential cost</w:t>
      </w:r>
      <w:r w:rsidR="00B4686B">
        <w:noBreakHyphen/>
      </w:r>
      <w:r w:rsidRPr="00B4686B">
        <w:t>effective energy productivity improvements. This process covers all stages of the design through to commercial operation and is broad, open</w:t>
      </w:r>
      <w:r w:rsidR="00B4686B">
        <w:noBreakHyphen/>
      </w:r>
      <w:r w:rsidRPr="00B4686B">
        <w:t>mi</w:t>
      </w:r>
      <w:r w:rsidR="009472F5" w:rsidRPr="00B4686B">
        <w:t>nded and encourages innovation.</w:t>
      </w:r>
    </w:p>
    <w:p w:rsidR="006157FD" w:rsidRPr="00B4686B" w:rsidRDefault="006157FD" w:rsidP="006157FD">
      <w:pPr>
        <w:pStyle w:val="subsection"/>
      </w:pPr>
      <w:r w:rsidRPr="00B4686B">
        <w:tab/>
      </w:r>
      <w:r w:rsidRPr="00B4686B">
        <w:tab/>
        <w:t>Sufficient time is taken for the design team to understand and review the information and data from Key Element 3 and the range of perspectives provided by relevant people indicated in Key Element 2 to cooperatively identify and evaluate a range of ideas. Adequate time is scheduled to allow energy productivity improvements to be identified and incorporated into the design.</w:t>
      </w:r>
    </w:p>
    <w:p w:rsidR="006157FD" w:rsidRPr="00B4686B" w:rsidRDefault="006157FD" w:rsidP="006157FD">
      <w:pPr>
        <w:pStyle w:val="subsection"/>
      </w:pPr>
      <w:r w:rsidRPr="00B4686B">
        <w:tab/>
      </w:r>
      <w:r w:rsidRPr="00B4686B">
        <w:tab/>
        <w:t>Relevant ideas are analysed to a sufficient level appropriate to the stage of design. The process allows design aspects that require more detailed investigation to transfer across design stages.</w:t>
      </w:r>
    </w:p>
    <w:p w:rsidR="006157FD" w:rsidRPr="00B4686B" w:rsidRDefault="006157FD" w:rsidP="006157FD">
      <w:pPr>
        <w:pStyle w:val="subsection"/>
      </w:pPr>
      <w:r w:rsidRPr="00B4686B">
        <w:tab/>
      </w:r>
      <w:r w:rsidRPr="00B4686B">
        <w:tab/>
        <w:t>A whole</w:t>
      </w:r>
      <w:r w:rsidR="00B4686B">
        <w:noBreakHyphen/>
      </w:r>
      <w:r w:rsidRPr="00B4686B">
        <w:t>of</w:t>
      </w:r>
      <w:r w:rsidR="00B4686B">
        <w:noBreakHyphen/>
      </w:r>
      <w:r w:rsidRPr="00B4686B">
        <w:t>business evaluation is undertaken to enable decision</w:t>
      </w:r>
      <w:r w:rsidR="00B4686B">
        <w:noBreakHyphen/>
      </w:r>
      <w:r w:rsidRPr="00B4686B">
        <w:t>makers to make informed business decisions about energy efficiency design.</w:t>
      </w:r>
    </w:p>
    <w:p w:rsidR="006157FD" w:rsidRPr="00B4686B" w:rsidRDefault="006157FD" w:rsidP="006157FD">
      <w:pPr>
        <w:pStyle w:val="subsection"/>
      </w:pPr>
      <w:r w:rsidRPr="00B4686B">
        <w:tab/>
      </w:r>
      <w:r w:rsidRPr="00B4686B">
        <w:tab/>
        <w:t>Where relevant, the design process will results in the optimum solution being identified, evaluated and included in the design without alternatives considered. This is particularly rele</w:t>
      </w:r>
      <w:r w:rsidR="009472F5" w:rsidRPr="00B4686B">
        <w:t>vant for minor design aspects.</w:t>
      </w:r>
    </w:p>
    <w:p w:rsidR="006157FD" w:rsidRPr="00B4686B" w:rsidRDefault="006157FD" w:rsidP="006157FD">
      <w:pPr>
        <w:pStyle w:val="subsection"/>
      </w:pPr>
      <w:r w:rsidRPr="00B4686B">
        <w:tab/>
      </w:r>
      <w:r w:rsidRPr="00B4686B">
        <w:tab/>
        <w:t>Where relevant, energy impacts are included in the evaluatio</w:t>
      </w:r>
      <w:r w:rsidR="009472F5" w:rsidRPr="00B4686B">
        <w:t>n of “off the shelf” equipment.</w:t>
      </w:r>
    </w:p>
    <w:p w:rsidR="006157FD" w:rsidRPr="00B4686B" w:rsidRDefault="006157FD" w:rsidP="006157FD">
      <w:pPr>
        <w:pStyle w:val="ActHead5"/>
      </w:pPr>
      <w:bookmarkStart w:id="40" w:name="_Toc360028949"/>
      <w:r w:rsidRPr="00B4686B">
        <w:rPr>
          <w:rStyle w:val="CharSectno"/>
        </w:rPr>
        <w:t>205</w:t>
      </w:r>
      <w:r w:rsidR="00561E35" w:rsidRPr="00B4686B">
        <w:t xml:space="preserve">  </w:t>
      </w:r>
      <w:r w:rsidRPr="00B4686B">
        <w:t>Key element 5—Decision making</w:t>
      </w:r>
      <w:bookmarkEnd w:id="40"/>
    </w:p>
    <w:p w:rsidR="006157FD" w:rsidRPr="00B4686B" w:rsidRDefault="006157FD" w:rsidP="006157FD">
      <w:pPr>
        <w:pStyle w:val="subsection"/>
      </w:pPr>
      <w:r w:rsidRPr="00B4686B">
        <w:tab/>
      </w:r>
      <w:r w:rsidRPr="00B4686B">
        <w:tab/>
        <w:t xml:space="preserve">Management responsible for resource allocation for the development </w:t>
      </w:r>
      <w:r w:rsidR="00985945" w:rsidRPr="00B4686B">
        <w:t xml:space="preserve">or the expansion </w:t>
      </w:r>
      <w:r w:rsidRPr="00B4686B">
        <w:t xml:space="preserve">should make informed energy efficiency decisions based on investment quality information, </w:t>
      </w:r>
      <w:r w:rsidRPr="00B4686B">
        <w:lastRenderedPageBreak/>
        <w:t>which may include but is not limited to data accuracy, capital costs, maintenance costs, and calculated risks. These decisions and their rationale should be recorded.</w:t>
      </w:r>
    </w:p>
    <w:p w:rsidR="006157FD" w:rsidRPr="00B4686B" w:rsidRDefault="006157FD" w:rsidP="006157FD">
      <w:pPr>
        <w:pStyle w:val="subsection"/>
      </w:pPr>
      <w:r w:rsidRPr="00B4686B">
        <w:tab/>
      </w:r>
      <w:r w:rsidRPr="00B4686B">
        <w:tab/>
        <w:t>Mechanisms for reviewing, monitoring, tracking through design gates and reporting on outcomes are established to learn from experience and enable public reporting.</w:t>
      </w:r>
    </w:p>
    <w:p w:rsidR="006157FD" w:rsidRPr="00B4686B" w:rsidRDefault="006157FD" w:rsidP="006157FD">
      <w:pPr>
        <w:pStyle w:val="ActHead5"/>
      </w:pPr>
      <w:bookmarkStart w:id="41" w:name="_Toc360028950"/>
      <w:r w:rsidRPr="00B4686B">
        <w:rPr>
          <w:rStyle w:val="CharSectno"/>
        </w:rPr>
        <w:t>206</w:t>
      </w:r>
      <w:r w:rsidR="00561E35" w:rsidRPr="00B4686B">
        <w:t xml:space="preserve">  </w:t>
      </w:r>
      <w:r w:rsidRPr="00B4686B">
        <w:t>Key element 6—Communicating outcomes</w:t>
      </w:r>
      <w:bookmarkEnd w:id="41"/>
    </w:p>
    <w:p w:rsidR="006157FD" w:rsidRPr="00B4686B" w:rsidRDefault="006157FD" w:rsidP="006157FD">
      <w:pPr>
        <w:pStyle w:val="subsection"/>
      </w:pPr>
      <w:r w:rsidRPr="00B4686B">
        <w:tab/>
      </w:r>
      <w:r w:rsidRPr="00B4686B">
        <w:tab/>
        <w:t xml:space="preserve">Senior management responsible for the </w:t>
      </w:r>
      <w:r w:rsidR="00985945" w:rsidRPr="00B4686B">
        <w:t xml:space="preserve">new </w:t>
      </w:r>
      <w:r w:rsidRPr="00B4686B">
        <w:t xml:space="preserve">development </w:t>
      </w:r>
      <w:r w:rsidR="00985945" w:rsidRPr="00B4686B">
        <w:t xml:space="preserve">or the expansion </w:t>
      </w:r>
      <w:r w:rsidRPr="00B4686B">
        <w:t xml:space="preserve">are aware of the outcomes of the assessment in a strategic business context (including the corporation’s risk management, corporate social responsibility, major investment decisions and energy productivity). Senior management is made aware of capital and operational cost savings </w:t>
      </w:r>
      <w:r w:rsidR="009472F5" w:rsidRPr="00B4686B">
        <w:t>as a result of the assessment.</w:t>
      </w:r>
    </w:p>
    <w:p w:rsidR="006157FD" w:rsidRPr="00B4686B" w:rsidRDefault="006157FD" w:rsidP="006157FD">
      <w:pPr>
        <w:pStyle w:val="subsection"/>
      </w:pPr>
      <w:r w:rsidRPr="00B4686B">
        <w:tab/>
      </w:r>
      <w:r w:rsidRPr="00B4686B">
        <w:tab/>
        <w:t>The board reviews and notes the content for the registered corporation’s public report in the context of relevant business information.</w:t>
      </w:r>
    </w:p>
    <w:p w:rsidR="006157FD" w:rsidRPr="00B4686B" w:rsidRDefault="006157FD" w:rsidP="006157FD">
      <w:pPr>
        <w:pStyle w:val="subsection"/>
      </w:pPr>
      <w:r w:rsidRPr="00B4686B">
        <w:tab/>
      </w:r>
      <w:r w:rsidRPr="00B4686B">
        <w:tab/>
        <w:t>Relevant outcomes of each stage of design or development are communicated to the design team indicating what decisions were made and why.</w:t>
      </w:r>
    </w:p>
    <w:p w:rsidR="006157FD" w:rsidRPr="00B4686B" w:rsidRDefault="006157FD" w:rsidP="006157FD">
      <w:pPr>
        <w:pStyle w:val="subsection"/>
      </w:pPr>
      <w:r w:rsidRPr="00B4686B">
        <w:tab/>
      </w:r>
      <w:r w:rsidRPr="00B4686B">
        <w:tab/>
        <w:t xml:space="preserve">Where relevant, achievements in relation to any objectives identified in Key Element 1 that were set by the design teams, relevant stakeholders, government and senior management responsible for the development </w:t>
      </w:r>
      <w:r w:rsidR="00985945" w:rsidRPr="00B4686B">
        <w:t xml:space="preserve">or the expansion </w:t>
      </w:r>
      <w:r w:rsidRPr="00B4686B">
        <w:t>are communicated.</w:t>
      </w:r>
    </w:p>
    <w:p w:rsidR="005624E5" w:rsidRPr="00B4686B" w:rsidRDefault="00E7456E" w:rsidP="005624E5">
      <w:pPr>
        <w:pStyle w:val="ItemHead"/>
      </w:pPr>
      <w:r w:rsidRPr="00B4686B">
        <w:t>3</w:t>
      </w:r>
      <w:r w:rsidR="008B79C8" w:rsidRPr="00B4686B">
        <w:t>4</w:t>
      </w:r>
      <w:r w:rsidR="005624E5" w:rsidRPr="00B4686B">
        <w:t xml:space="preserve">  Schedule</w:t>
      </w:r>
      <w:r w:rsidR="00B4686B" w:rsidRPr="00B4686B">
        <w:t> </w:t>
      </w:r>
      <w:r w:rsidR="005624E5" w:rsidRPr="00B4686B">
        <w:t>7 (heading)</w:t>
      </w:r>
    </w:p>
    <w:p w:rsidR="005624E5" w:rsidRPr="00B4686B" w:rsidRDefault="005624E5" w:rsidP="005624E5">
      <w:pPr>
        <w:pStyle w:val="Item"/>
      </w:pPr>
      <w:r w:rsidRPr="00B4686B">
        <w:t>Repeal the heading, substitute:</w:t>
      </w:r>
    </w:p>
    <w:p w:rsidR="005624E5" w:rsidRPr="00B4686B" w:rsidRDefault="005624E5" w:rsidP="005624E5">
      <w:pPr>
        <w:pStyle w:val="ActHead1"/>
      </w:pPr>
      <w:bookmarkStart w:id="42" w:name="f_Check_Lines_above"/>
      <w:bookmarkStart w:id="43" w:name="_Toc360028951"/>
      <w:bookmarkEnd w:id="42"/>
      <w:r w:rsidRPr="00B4686B">
        <w:rPr>
          <w:rStyle w:val="CharChapNo"/>
        </w:rPr>
        <w:t>Schedule</w:t>
      </w:r>
      <w:r w:rsidR="00B4686B" w:rsidRPr="00B4686B">
        <w:rPr>
          <w:rStyle w:val="CharChapNo"/>
        </w:rPr>
        <w:t> </w:t>
      </w:r>
      <w:r w:rsidRPr="00B4686B">
        <w:rPr>
          <w:rStyle w:val="CharChapNo"/>
        </w:rPr>
        <w:t>7</w:t>
      </w:r>
      <w:r w:rsidRPr="00B4686B">
        <w:t>—</w:t>
      </w:r>
      <w:r w:rsidRPr="00B4686B">
        <w:rPr>
          <w:rStyle w:val="CharChapText"/>
        </w:rPr>
        <w:t>Assessment Framework (no new development or expansion)</w:t>
      </w:r>
      <w:bookmarkEnd w:id="43"/>
    </w:p>
    <w:p w:rsidR="005624E5" w:rsidRPr="00B4686B" w:rsidRDefault="005624E5" w:rsidP="004A7148">
      <w:pPr>
        <w:pStyle w:val="notemargin"/>
      </w:pPr>
      <w:r w:rsidRPr="00B4686B">
        <w:t>Note:</w:t>
      </w:r>
      <w:r w:rsidRPr="00B4686B">
        <w:tab/>
        <w:t xml:space="preserve">See </w:t>
      </w:r>
      <w:r w:rsidR="003A6E18" w:rsidRPr="00B4686B">
        <w:t>subregulation</w:t>
      </w:r>
      <w:r w:rsidR="00B4686B" w:rsidRPr="00B4686B">
        <w:t> </w:t>
      </w:r>
      <w:r w:rsidR="003A6E18" w:rsidRPr="00B4686B">
        <w:t>6.1</w:t>
      </w:r>
      <w:r w:rsidR="004A7148" w:rsidRPr="00B4686B">
        <w:t>(1)</w:t>
      </w:r>
      <w:r w:rsidRPr="00B4686B">
        <w:t>.</w:t>
      </w:r>
    </w:p>
    <w:p w:rsidR="000D3EE9" w:rsidRPr="00B4686B" w:rsidRDefault="000D3EE9" w:rsidP="000D3EE9"/>
    <w:sectPr w:rsidR="000D3EE9" w:rsidRPr="00B4686B" w:rsidSect="007C0FD8">
      <w:headerReference w:type="even" r:id="rId20"/>
      <w:headerReference w:type="default" r:id="rId21"/>
      <w:footerReference w:type="even" r:id="rId22"/>
      <w:footerReference w:type="default" r:id="rId23"/>
      <w:headerReference w:type="first" r:id="rId24"/>
      <w:footerReference w:type="first" r:id="rId25"/>
      <w:pgSz w:w="11907" w:h="16839"/>
      <w:pgMar w:top="1871" w:right="2410" w:bottom="4253" w:left="2410" w:header="720" w:footer="34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45" w:rsidRDefault="00985945" w:rsidP="0048364F">
      <w:pPr>
        <w:spacing w:line="240" w:lineRule="auto"/>
      </w:pPr>
      <w:r>
        <w:separator/>
      </w:r>
    </w:p>
  </w:endnote>
  <w:endnote w:type="continuationSeparator" w:id="0">
    <w:p w:rsidR="00985945" w:rsidRDefault="0098594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D8" w:rsidRPr="007C0FD8" w:rsidRDefault="007C0FD8" w:rsidP="007C0FD8">
    <w:pPr>
      <w:pStyle w:val="Footer"/>
      <w:rPr>
        <w:sz w:val="18"/>
      </w:rPr>
    </w:pPr>
    <w:r>
      <w:rPr>
        <w:sz w:val="18"/>
      </w:rPr>
      <w:t>OPC60065</w:t>
    </w:r>
    <w:r w:rsidRPr="007C0FD8">
      <w:rPr>
        <w:sz w:val="18"/>
      </w:rPr>
      <w:t xml:space="preserve">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985945" w:rsidTr="00C30ED8">
      <w:tc>
        <w:tcPr>
          <w:tcW w:w="7303" w:type="dxa"/>
        </w:tcPr>
        <w:p w:rsidR="00985945" w:rsidRDefault="00985945" w:rsidP="00C30ED8">
          <w:pPr>
            <w:rPr>
              <w:sz w:val="18"/>
            </w:rPr>
          </w:pPr>
        </w:p>
      </w:tc>
    </w:tr>
  </w:tbl>
  <w:p w:rsidR="00985945" w:rsidRPr="006D3667" w:rsidRDefault="007C0FD8" w:rsidP="007C0FD8">
    <w:pPr>
      <w:pStyle w:val="Footer"/>
    </w:pPr>
    <w:r>
      <w:t>OPC60065</w:t>
    </w:r>
    <w:r w:rsidRPr="007C0FD8">
      <w:rPr>
        <w:sz w:val="18"/>
      </w:rPr>
      <w:t xml:space="preserve">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D8" w:rsidRPr="007C0FD8" w:rsidRDefault="007C0FD8" w:rsidP="007C0FD8">
    <w:pPr>
      <w:pStyle w:val="Footer"/>
      <w:rPr>
        <w:sz w:val="18"/>
      </w:rPr>
    </w:pPr>
    <w:r>
      <w:rPr>
        <w:sz w:val="18"/>
      </w:rPr>
      <w:t>OPC60065</w:t>
    </w:r>
    <w:r w:rsidRPr="007C0FD8">
      <w:rPr>
        <w:sz w:val="18"/>
      </w:rPr>
      <w:t xml:space="preserve">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7C0FD8" w:rsidRDefault="00985945" w:rsidP="002B5B89">
    <w:pPr>
      <w:pBdr>
        <w:top w:val="single" w:sz="6" w:space="1" w:color="auto"/>
      </w:pBdr>
      <w:spacing w:before="120" w:line="0" w:lineRule="atLeast"/>
      <w:rPr>
        <w:rFonts w:cs="Times New Roman"/>
        <w:sz w:val="18"/>
        <w:szCs w:val="16"/>
      </w:rPr>
    </w:pPr>
  </w:p>
  <w:tbl>
    <w:tblPr>
      <w:tblStyle w:val="TableGrid"/>
      <w:tblW w:w="0" w:type="auto"/>
      <w:tblLook w:val="04A0" w:firstRow="1" w:lastRow="0" w:firstColumn="1" w:lastColumn="0" w:noHBand="0" w:noVBand="1"/>
    </w:tblPr>
    <w:tblGrid>
      <w:gridCol w:w="533"/>
      <w:gridCol w:w="5387"/>
      <w:gridCol w:w="1383"/>
    </w:tblGrid>
    <w:tr w:rsidR="00985945" w:rsidRPr="007C0FD8" w:rsidTr="00E33C1C">
      <w:tc>
        <w:tcPr>
          <w:tcW w:w="533" w:type="dxa"/>
          <w:tcBorders>
            <w:top w:val="nil"/>
            <w:left w:val="nil"/>
            <w:bottom w:val="nil"/>
            <w:right w:val="nil"/>
          </w:tcBorders>
        </w:tcPr>
        <w:p w:rsidR="00985945" w:rsidRPr="007C0FD8" w:rsidRDefault="00985945" w:rsidP="00E33C1C">
          <w:pPr>
            <w:spacing w:line="0" w:lineRule="atLeast"/>
            <w:rPr>
              <w:rFonts w:cs="Times New Roman"/>
              <w:sz w:val="18"/>
            </w:rPr>
          </w:pPr>
          <w:r w:rsidRPr="007C0FD8">
            <w:rPr>
              <w:rFonts w:cs="Times New Roman"/>
              <w:i/>
              <w:sz w:val="18"/>
            </w:rPr>
            <w:fldChar w:fldCharType="begin"/>
          </w:r>
          <w:r w:rsidRPr="007C0FD8">
            <w:rPr>
              <w:rFonts w:cs="Times New Roman"/>
              <w:i/>
              <w:sz w:val="18"/>
            </w:rPr>
            <w:instrText xml:space="preserve"> PAGE </w:instrText>
          </w:r>
          <w:r w:rsidRPr="007C0FD8">
            <w:rPr>
              <w:rFonts w:cs="Times New Roman"/>
              <w:i/>
              <w:sz w:val="18"/>
            </w:rPr>
            <w:fldChar w:fldCharType="separate"/>
          </w:r>
          <w:r w:rsidR="008E78C8">
            <w:rPr>
              <w:rFonts w:cs="Times New Roman"/>
              <w:i/>
              <w:noProof/>
              <w:sz w:val="18"/>
            </w:rPr>
            <w:t>ii</w:t>
          </w:r>
          <w:r w:rsidRPr="007C0FD8">
            <w:rPr>
              <w:rFonts w:cs="Times New Roman"/>
              <w:i/>
              <w:sz w:val="18"/>
            </w:rPr>
            <w:fldChar w:fldCharType="end"/>
          </w:r>
        </w:p>
      </w:tc>
      <w:tc>
        <w:tcPr>
          <w:tcW w:w="5387" w:type="dxa"/>
          <w:tcBorders>
            <w:top w:val="nil"/>
            <w:left w:val="nil"/>
            <w:bottom w:val="nil"/>
            <w:right w:val="nil"/>
          </w:tcBorders>
        </w:tcPr>
        <w:p w:rsidR="00985945" w:rsidRPr="007C0FD8" w:rsidRDefault="00985945" w:rsidP="00E33C1C">
          <w:pPr>
            <w:spacing w:line="0" w:lineRule="atLeast"/>
            <w:jc w:val="center"/>
            <w:rPr>
              <w:rFonts w:cs="Times New Roman"/>
              <w:sz w:val="18"/>
            </w:rPr>
          </w:pPr>
          <w:r w:rsidRPr="007C0FD8">
            <w:rPr>
              <w:rFonts w:cs="Times New Roman"/>
              <w:i/>
              <w:sz w:val="18"/>
            </w:rPr>
            <w:fldChar w:fldCharType="begin"/>
          </w:r>
          <w:r w:rsidRPr="007C0FD8">
            <w:rPr>
              <w:rFonts w:cs="Times New Roman"/>
              <w:i/>
              <w:sz w:val="18"/>
            </w:rPr>
            <w:instrText xml:space="preserve"> DOCPROPERTY ShortT </w:instrText>
          </w:r>
          <w:r w:rsidRPr="007C0FD8">
            <w:rPr>
              <w:rFonts w:cs="Times New Roman"/>
              <w:i/>
              <w:sz w:val="18"/>
            </w:rPr>
            <w:fldChar w:fldCharType="separate"/>
          </w:r>
          <w:r w:rsidR="00D20898">
            <w:rPr>
              <w:rFonts w:cs="Times New Roman"/>
              <w:i/>
              <w:sz w:val="18"/>
            </w:rPr>
            <w:t>Energy Efficiency Opportunities Amendment Regulation 2013 (No. 1)</w:t>
          </w:r>
          <w:r w:rsidRPr="007C0FD8">
            <w:rPr>
              <w:rFonts w:cs="Times New Roman"/>
              <w:i/>
              <w:sz w:val="18"/>
            </w:rPr>
            <w:fldChar w:fldCharType="end"/>
          </w:r>
        </w:p>
      </w:tc>
      <w:tc>
        <w:tcPr>
          <w:tcW w:w="1383" w:type="dxa"/>
          <w:tcBorders>
            <w:top w:val="nil"/>
            <w:left w:val="nil"/>
            <w:bottom w:val="nil"/>
            <w:right w:val="nil"/>
          </w:tcBorders>
        </w:tcPr>
        <w:p w:rsidR="00985945" w:rsidRPr="007C0FD8" w:rsidRDefault="00985945" w:rsidP="00E33C1C">
          <w:pPr>
            <w:spacing w:line="0" w:lineRule="atLeast"/>
            <w:jc w:val="right"/>
            <w:rPr>
              <w:rFonts w:cs="Times New Roman"/>
              <w:sz w:val="18"/>
            </w:rPr>
          </w:pPr>
          <w:r w:rsidRPr="007C0FD8">
            <w:rPr>
              <w:rFonts w:cs="Times New Roman"/>
              <w:i/>
              <w:sz w:val="18"/>
            </w:rPr>
            <w:fldChar w:fldCharType="begin"/>
          </w:r>
          <w:r w:rsidRPr="007C0FD8">
            <w:rPr>
              <w:rFonts w:cs="Times New Roman"/>
              <w:i/>
              <w:sz w:val="18"/>
            </w:rPr>
            <w:instrText xml:space="preserve"> DOCPROPERTY ActNo </w:instrText>
          </w:r>
          <w:r w:rsidRPr="007C0FD8">
            <w:rPr>
              <w:rFonts w:cs="Times New Roman"/>
              <w:i/>
              <w:sz w:val="18"/>
            </w:rPr>
            <w:fldChar w:fldCharType="separate"/>
          </w:r>
          <w:r w:rsidR="00D20898">
            <w:rPr>
              <w:rFonts w:cs="Times New Roman"/>
              <w:i/>
              <w:sz w:val="18"/>
            </w:rPr>
            <w:t>No. 176, 2013</w:t>
          </w:r>
          <w:r w:rsidRPr="007C0FD8">
            <w:rPr>
              <w:rFonts w:cs="Times New Roman"/>
              <w:i/>
              <w:sz w:val="18"/>
            </w:rPr>
            <w:fldChar w:fldCharType="end"/>
          </w:r>
        </w:p>
      </w:tc>
    </w:tr>
    <w:tr w:rsidR="00985945" w:rsidRPr="007C0FD8" w:rsidTr="006D3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985945" w:rsidRPr="007C0FD8" w:rsidRDefault="00985945" w:rsidP="00C30ED8">
          <w:pPr>
            <w:jc w:val="right"/>
            <w:rPr>
              <w:rFonts w:cs="Times New Roman"/>
              <w:sz w:val="18"/>
            </w:rPr>
          </w:pPr>
        </w:p>
      </w:tc>
    </w:tr>
  </w:tbl>
  <w:p w:rsidR="00985945" w:rsidRPr="007C0FD8" w:rsidRDefault="007C0FD8" w:rsidP="007C0FD8">
    <w:pPr>
      <w:rPr>
        <w:rFonts w:cs="Times New Roman"/>
        <w:i/>
        <w:sz w:val="18"/>
      </w:rPr>
    </w:pPr>
    <w:r>
      <w:rPr>
        <w:rFonts w:cs="Times New Roman"/>
        <w:i/>
        <w:sz w:val="18"/>
      </w:rPr>
      <w:t>OPC60065</w:t>
    </w:r>
    <w:r w:rsidRPr="007C0FD8">
      <w:rPr>
        <w:rFonts w:cs="Times New Roman"/>
        <w:i/>
        <w:sz w:val="18"/>
      </w:rPr>
      <w:t xml:space="preserve">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E33C1C" w:rsidRDefault="00985945"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985945" w:rsidTr="00E33C1C">
      <w:tc>
        <w:tcPr>
          <w:tcW w:w="1383" w:type="dxa"/>
          <w:tcBorders>
            <w:top w:val="nil"/>
            <w:left w:val="nil"/>
            <w:bottom w:val="nil"/>
            <w:right w:val="nil"/>
          </w:tcBorders>
        </w:tcPr>
        <w:p w:rsidR="00985945" w:rsidRDefault="00985945"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20898">
            <w:rPr>
              <w:i/>
              <w:sz w:val="18"/>
            </w:rPr>
            <w:t>No. 176, 2013</w:t>
          </w:r>
          <w:r w:rsidRPr="007A1328">
            <w:rPr>
              <w:i/>
              <w:sz w:val="18"/>
            </w:rPr>
            <w:fldChar w:fldCharType="end"/>
          </w:r>
        </w:p>
      </w:tc>
      <w:tc>
        <w:tcPr>
          <w:tcW w:w="5387" w:type="dxa"/>
          <w:tcBorders>
            <w:top w:val="nil"/>
            <w:left w:val="nil"/>
            <w:bottom w:val="nil"/>
            <w:right w:val="nil"/>
          </w:tcBorders>
        </w:tcPr>
        <w:p w:rsidR="00985945" w:rsidRDefault="00985945"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20898">
            <w:rPr>
              <w:i/>
              <w:sz w:val="18"/>
            </w:rPr>
            <w:t>Energy Efficiency Opportunities Amendment Regulation 2013 (No. 1)</w:t>
          </w:r>
          <w:r w:rsidRPr="007A1328">
            <w:rPr>
              <w:i/>
              <w:sz w:val="18"/>
            </w:rPr>
            <w:fldChar w:fldCharType="end"/>
          </w:r>
        </w:p>
      </w:tc>
      <w:tc>
        <w:tcPr>
          <w:tcW w:w="533" w:type="dxa"/>
          <w:tcBorders>
            <w:top w:val="nil"/>
            <w:left w:val="nil"/>
            <w:bottom w:val="nil"/>
            <w:right w:val="nil"/>
          </w:tcBorders>
        </w:tcPr>
        <w:p w:rsidR="00985945" w:rsidRDefault="00985945"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47F6">
            <w:rPr>
              <w:i/>
              <w:noProof/>
              <w:sz w:val="18"/>
            </w:rPr>
            <w:t>i</w:t>
          </w:r>
          <w:r w:rsidRPr="00ED79B6">
            <w:rPr>
              <w:i/>
              <w:sz w:val="18"/>
            </w:rPr>
            <w:fldChar w:fldCharType="end"/>
          </w:r>
        </w:p>
      </w:tc>
    </w:tr>
    <w:tr w:rsidR="00985945" w:rsidTr="00C3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985945" w:rsidRDefault="00985945" w:rsidP="00C30ED8">
          <w:pPr>
            <w:rPr>
              <w:sz w:val="18"/>
            </w:rPr>
          </w:pPr>
        </w:p>
      </w:tc>
    </w:tr>
  </w:tbl>
  <w:p w:rsidR="00985945" w:rsidRPr="00ED79B6" w:rsidRDefault="007C0FD8" w:rsidP="007C0FD8">
    <w:pPr>
      <w:rPr>
        <w:i/>
        <w:sz w:val="18"/>
      </w:rPr>
    </w:pPr>
    <w:r>
      <w:rPr>
        <w:i/>
        <w:sz w:val="18"/>
      </w:rPr>
      <w:t>OPC60065</w:t>
    </w:r>
    <w:r w:rsidRPr="007C0FD8">
      <w:rPr>
        <w:rFonts w:cs="Times New Roman"/>
        <w:i/>
        <w:sz w:val="18"/>
      </w:rPr>
      <w:t xml:space="preserve">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7C0FD8" w:rsidRDefault="00985945" w:rsidP="001F6924">
    <w:pPr>
      <w:pBdr>
        <w:top w:val="single" w:sz="6" w:space="1" w:color="auto"/>
      </w:pBdr>
      <w:spacing w:before="120" w:line="0" w:lineRule="atLeast"/>
      <w:rPr>
        <w:rFonts w:cs="Times New Roman"/>
        <w:sz w:val="18"/>
        <w:szCs w:val="16"/>
      </w:rPr>
    </w:pPr>
  </w:p>
  <w:tbl>
    <w:tblPr>
      <w:tblStyle w:val="TableGrid"/>
      <w:tblW w:w="0" w:type="auto"/>
      <w:tblLook w:val="04A0" w:firstRow="1" w:lastRow="0" w:firstColumn="1" w:lastColumn="0" w:noHBand="0" w:noVBand="1"/>
    </w:tblPr>
    <w:tblGrid>
      <w:gridCol w:w="533"/>
      <w:gridCol w:w="5387"/>
      <w:gridCol w:w="1383"/>
    </w:tblGrid>
    <w:tr w:rsidR="00985945" w:rsidRPr="007C0FD8" w:rsidTr="00E33C1C">
      <w:tc>
        <w:tcPr>
          <w:tcW w:w="533" w:type="dxa"/>
          <w:tcBorders>
            <w:top w:val="nil"/>
            <w:left w:val="nil"/>
            <w:bottom w:val="nil"/>
            <w:right w:val="nil"/>
          </w:tcBorders>
        </w:tcPr>
        <w:p w:rsidR="00985945" w:rsidRPr="007C0FD8" w:rsidRDefault="00985945" w:rsidP="00E33C1C">
          <w:pPr>
            <w:spacing w:line="0" w:lineRule="atLeast"/>
            <w:rPr>
              <w:rFonts w:cs="Times New Roman"/>
              <w:sz w:val="18"/>
            </w:rPr>
          </w:pPr>
          <w:r w:rsidRPr="007C0FD8">
            <w:rPr>
              <w:rFonts w:cs="Times New Roman"/>
              <w:i/>
              <w:sz w:val="18"/>
            </w:rPr>
            <w:fldChar w:fldCharType="begin"/>
          </w:r>
          <w:r w:rsidRPr="007C0FD8">
            <w:rPr>
              <w:rFonts w:cs="Times New Roman"/>
              <w:i/>
              <w:sz w:val="18"/>
            </w:rPr>
            <w:instrText xml:space="preserve"> PAGE </w:instrText>
          </w:r>
          <w:r w:rsidRPr="007C0FD8">
            <w:rPr>
              <w:rFonts w:cs="Times New Roman"/>
              <w:i/>
              <w:sz w:val="18"/>
            </w:rPr>
            <w:fldChar w:fldCharType="separate"/>
          </w:r>
          <w:r w:rsidR="002247F6">
            <w:rPr>
              <w:rFonts w:cs="Times New Roman"/>
              <w:i/>
              <w:noProof/>
              <w:sz w:val="18"/>
            </w:rPr>
            <w:t>22</w:t>
          </w:r>
          <w:r w:rsidRPr="007C0FD8">
            <w:rPr>
              <w:rFonts w:cs="Times New Roman"/>
              <w:i/>
              <w:sz w:val="18"/>
            </w:rPr>
            <w:fldChar w:fldCharType="end"/>
          </w:r>
        </w:p>
      </w:tc>
      <w:tc>
        <w:tcPr>
          <w:tcW w:w="5387" w:type="dxa"/>
          <w:tcBorders>
            <w:top w:val="nil"/>
            <w:left w:val="nil"/>
            <w:bottom w:val="nil"/>
            <w:right w:val="nil"/>
          </w:tcBorders>
        </w:tcPr>
        <w:p w:rsidR="00985945" w:rsidRPr="007C0FD8" w:rsidRDefault="00985945" w:rsidP="00E33C1C">
          <w:pPr>
            <w:spacing w:line="0" w:lineRule="atLeast"/>
            <w:jc w:val="center"/>
            <w:rPr>
              <w:rFonts w:cs="Times New Roman"/>
              <w:sz w:val="18"/>
            </w:rPr>
          </w:pPr>
          <w:r w:rsidRPr="007C0FD8">
            <w:rPr>
              <w:rFonts w:cs="Times New Roman"/>
              <w:i/>
              <w:sz w:val="18"/>
            </w:rPr>
            <w:fldChar w:fldCharType="begin"/>
          </w:r>
          <w:r w:rsidRPr="007C0FD8">
            <w:rPr>
              <w:rFonts w:cs="Times New Roman"/>
              <w:i/>
              <w:sz w:val="18"/>
            </w:rPr>
            <w:instrText xml:space="preserve"> DOCPROPERTY ShortT </w:instrText>
          </w:r>
          <w:r w:rsidRPr="007C0FD8">
            <w:rPr>
              <w:rFonts w:cs="Times New Roman"/>
              <w:i/>
              <w:sz w:val="18"/>
            </w:rPr>
            <w:fldChar w:fldCharType="separate"/>
          </w:r>
          <w:r w:rsidR="00D20898">
            <w:rPr>
              <w:rFonts w:cs="Times New Roman"/>
              <w:i/>
              <w:sz w:val="18"/>
            </w:rPr>
            <w:t>Energy Efficiency Opportunities Amendment Regulation 2013 (No. 1)</w:t>
          </w:r>
          <w:r w:rsidRPr="007C0FD8">
            <w:rPr>
              <w:rFonts w:cs="Times New Roman"/>
              <w:i/>
              <w:sz w:val="18"/>
            </w:rPr>
            <w:fldChar w:fldCharType="end"/>
          </w:r>
        </w:p>
      </w:tc>
      <w:tc>
        <w:tcPr>
          <w:tcW w:w="1383" w:type="dxa"/>
          <w:tcBorders>
            <w:top w:val="nil"/>
            <w:left w:val="nil"/>
            <w:bottom w:val="nil"/>
            <w:right w:val="nil"/>
          </w:tcBorders>
        </w:tcPr>
        <w:p w:rsidR="00985945" w:rsidRPr="007C0FD8" w:rsidRDefault="00985945" w:rsidP="00E33C1C">
          <w:pPr>
            <w:spacing w:line="0" w:lineRule="atLeast"/>
            <w:jc w:val="right"/>
            <w:rPr>
              <w:rFonts w:cs="Times New Roman"/>
              <w:sz w:val="18"/>
            </w:rPr>
          </w:pPr>
          <w:r w:rsidRPr="007C0FD8">
            <w:rPr>
              <w:rFonts w:cs="Times New Roman"/>
              <w:i/>
              <w:sz w:val="18"/>
            </w:rPr>
            <w:fldChar w:fldCharType="begin"/>
          </w:r>
          <w:r w:rsidRPr="007C0FD8">
            <w:rPr>
              <w:rFonts w:cs="Times New Roman"/>
              <w:i/>
              <w:sz w:val="18"/>
            </w:rPr>
            <w:instrText xml:space="preserve"> DOCPROPERTY ActNo </w:instrText>
          </w:r>
          <w:r w:rsidRPr="007C0FD8">
            <w:rPr>
              <w:rFonts w:cs="Times New Roman"/>
              <w:i/>
              <w:sz w:val="18"/>
            </w:rPr>
            <w:fldChar w:fldCharType="separate"/>
          </w:r>
          <w:r w:rsidR="00D20898">
            <w:rPr>
              <w:rFonts w:cs="Times New Roman"/>
              <w:i/>
              <w:sz w:val="18"/>
            </w:rPr>
            <w:t>No. 176, 2013</w:t>
          </w:r>
          <w:r w:rsidRPr="007C0FD8">
            <w:rPr>
              <w:rFonts w:cs="Times New Roman"/>
              <w:i/>
              <w:sz w:val="18"/>
            </w:rPr>
            <w:fldChar w:fldCharType="end"/>
          </w:r>
        </w:p>
      </w:tc>
    </w:tr>
    <w:tr w:rsidR="00985945" w:rsidRPr="007C0FD8" w:rsidTr="006D3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985945" w:rsidRPr="007C0FD8" w:rsidRDefault="00985945" w:rsidP="00C30ED8">
          <w:pPr>
            <w:jc w:val="right"/>
            <w:rPr>
              <w:rFonts w:cs="Times New Roman"/>
              <w:sz w:val="18"/>
            </w:rPr>
          </w:pPr>
        </w:p>
      </w:tc>
    </w:tr>
  </w:tbl>
  <w:p w:rsidR="00985945" w:rsidRPr="007C0FD8" w:rsidRDefault="007C0FD8" w:rsidP="007C0FD8">
    <w:pPr>
      <w:rPr>
        <w:rFonts w:cs="Times New Roman"/>
        <w:i/>
        <w:sz w:val="18"/>
      </w:rPr>
    </w:pPr>
    <w:r>
      <w:rPr>
        <w:rFonts w:cs="Times New Roman"/>
        <w:i/>
        <w:sz w:val="18"/>
      </w:rPr>
      <w:t>OPC60065</w:t>
    </w:r>
    <w:r w:rsidRPr="007C0FD8">
      <w:rPr>
        <w:rFonts w:cs="Times New Roman"/>
        <w:i/>
        <w:sz w:val="18"/>
      </w:rPr>
      <w:t xml:space="preserve">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E33C1C" w:rsidRDefault="00985945"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985945" w:rsidTr="00E33C1C">
      <w:tc>
        <w:tcPr>
          <w:tcW w:w="1383" w:type="dxa"/>
          <w:tcBorders>
            <w:top w:val="nil"/>
            <w:left w:val="nil"/>
            <w:bottom w:val="nil"/>
            <w:right w:val="nil"/>
          </w:tcBorders>
        </w:tcPr>
        <w:p w:rsidR="00985945" w:rsidRDefault="00985945"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20898">
            <w:rPr>
              <w:i/>
              <w:sz w:val="18"/>
            </w:rPr>
            <w:t>No. 176, 2013</w:t>
          </w:r>
          <w:r w:rsidRPr="007A1328">
            <w:rPr>
              <w:i/>
              <w:sz w:val="18"/>
            </w:rPr>
            <w:fldChar w:fldCharType="end"/>
          </w:r>
        </w:p>
      </w:tc>
      <w:tc>
        <w:tcPr>
          <w:tcW w:w="5387" w:type="dxa"/>
          <w:tcBorders>
            <w:top w:val="nil"/>
            <w:left w:val="nil"/>
            <w:bottom w:val="nil"/>
            <w:right w:val="nil"/>
          </w:tcBorders>
        </w:tcPr>
        <w:p w:rsidR="00985945" w:rsidRDefault="00985945"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20898">
            <w:rPr>
              <w:i/>
              <w:sz w:val="18"/>
            </w:rPr>
            <w:t>Energy Efficiency Opportunities Amendment Regulation 2013 (No. 1)</w:t>
          </w:r>
          <w:r w:rsidRPr="007A1328">
            <w:rPr>
              <w:i/>
              <w:sz w:val="18"/>
            </w:rPr>
            <w:fldChar w:fldCharType="end"/>
          </w:r>
        </w:p>
      </w:tc>
      <w:tc>
        <w:tcPr>
          <w:tcW w:w="533" w:type="dxa"/>
          <w:tcBorders>
            <w:top w:val="nil"/>
            <w:left w:val="nil"/>
            <w:bottom w:val="nil"/>
            <w:right w:val="nil"/>
          </w:tcBorders>
        </w:tcPr>
        <w:p w:rsidR="00985945" w:rsidRDefault="00985945"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47F6">
            <w:rPr>
              <w:i/>
              <w:noProof/>
              <w:sz w:val="18"/>
            </w:rPr>
            <w:t>21</w:t>
          </w:r>
          <w:r w:rsidRPr="00ED79B6">
            <w:rPr>
              <w:i/>
              <w:sz w:val="18"/>
            </w:rPr>
            <w:fldChar w:fldCharType="end"/>
          </w:r>
        </w:p>
      </w:tc>
    </w:tr>
    <w:tr w:rsidR="00985945" w:rsidTr="00C3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985945" w:rsidRDefault="00985945" w:rsidP="00C30ED8">
          <w:pPr>
            <w:rPr>
              <w:sz w:val="18"/>
            </w:rPr>
          </w:pPr>
        </w:p>
      </w:tc>
    </w:tr>
  </w:tbl>
  <w:p w:rsidR="00985945" w:rsidRPr="00ED79B6" w:rsidRDefault="007C0FD8" w:rsidP="007C0FD8">
    <w:pPr>
      <w:rPr>
        <w:i/>
        <w:sz w:val="18"/>
      </w:rPr>
    </w:pPr>
    <w:r>
      <w:rPr>
        <w:i/>
        <w:sz w:val="18"/>
      </w:rPr>
      <w:t>OPC60065</w:t>
    </w:r>
    <w:r w:rsidRPr="007C0FD8">
      <w:rPr>
        <w:rFonts w:cs="Times New Roman"/>
        <w:i/>
        <w:sz w:val="18"/>
      </w:rPr>
      <w:t xml:space="preserve">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E33C1C" w:rsidRDefault="00985945"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985945" w:rsidTr="00C30ED8">
      <w:tc>
        <w:tcPr>
          <w:tcW w:w="1383" w:type="dxa"/>
          <w:tcBorders>
            <w:top w:val="nil"/>
            <w:left w:val="nil"/>
            <w:bottom w:val="nil"/>
            <w:right w:val="nil"/>
          </w:tcBorders>
        </w:tcPr>
        <w:p w:rsidR="00985945" w:rsidRDefault="00985945" w:rsidP="00C30ED8">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20898">
            <w:rPr>
              <w:i/>
              <w:sz w:val="18"/>
            </w:rPr>
            <w:t>No. 176, 2013</w:t>
          </w:r>
          <w:r w:rsidRPr="007A1328">
            <w:rPr>
              <w:i/>
              <w:sz w:val="18"/>
            </w:rPr>
            <w:fldChar w:fldCharType="end"/>
          </w:r>
        </w:p>
      </w:tc>
      <w:tc>
        <w:tcPr>
          <w:tcW w:w="5387" w:type="dxa"/>
          <w:tcBorders>
            <w:top w:val="nil"/>
            <w:left w:val="nil"/>
            <w:bottom w:val="nil"/>
            <w:right w:val="nil"/>
          </w:tcBorders>
        </w:tcPr>
        <w:p w:rsidR="00985945" w:rsidRDefault="00985945" w:rsidP="00C30ED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20898">
            <w:rPr>
              <w:i/>
              <w:sz w:val="18"/>
            </w:rPr>
            <w:t>Energy Efficiency Opportunities Amendment Regulation 2013 (No. 1)</w:t>
          </w:r>
          <w:r w:rsidRPr="007A1328">
            <w:rPr>
              <w:i/>
              <w:sz w:val="18"/>
            </w:rPr>
            <w:fldChar w:fldCharType="end"/>
          </w:r>
        </w:p>
      </w:tc>
      <w:tc>
        <w:tcPr>
          <w:tcW w:w="533" w:type="dxa"/>
          <w:tcBorders>
            <w:top w:val="nil"/>
            <w:left w:val="nil"/>
            <w:bottom w:val="nil"/>
            <w:right w:val="nil"/>
          </w:tcBorders>
        </w:tcPr>
        <w:p w:rsidR="00985945" w:rsidRDefault="00985945" w:rsidP="00C30ED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E78C8">
            <w:rPr>
              <w:i/>
              <w:noProof/>
              <w:sz w:val="18"/>
            </w:rPr>
            <w:t>2</w:t>
          </w:r>
          <w:r w:rsidRPr="00ED79B6">
            <w:rPr>
              <w:i/>
              <w:sz w:val="18"/>
            </w:rPr>
            <w:fldChar w:fldCharType="end"/>
          </w:r>
        </w:p>
      </w:tc>
    </w:tr>
    <w:tr w:rsidR="00985945" w:rsidTr="00C3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985945" w:rsidRDefault="00985945" w:rsidP="00C30ED8">
          <w:pPr>
            <w:rPr>
              <w:sz w:val="18"/>
            </w:rPr>
          </w:pPr>
        </w:p>
      </w:tc>
    </w:tr>
  </w:tbl>
  <w:p w:rsidR="00985945" w:rsidRPr="00ED79B6" w:rsidRDefault="00985945"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45" w:rsidRDefault="00985945" w:rsidP="0048364F">
      <w:pPr>
        <w:spacing w:line="240" w:lineRule="auto"/>
      </w:pPr>
      <w:r>
        <w:separator/>
      </w:r>
    </w:p>
  </w:footnote>
  <w:footnote w:type="continuationSeparator" w:id="0">
    <w:p w:rsidR="00985945" w:rsidRDefault="0098594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5F1388" w:rsidRDefault="00985945"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5F1388" w:rsidRDefault="00985945"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5F1388" w:rsidRDefault="00985945"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ED79B6" w:rsidRDefault="00985945"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ED79B6" w:rsidRDefault="00985945" w:rsidP="00AB3315">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ED79B6" w:rsidRDefault="00985945"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A961C4" w:rsidRDefault="00985945" w:rsidP="00B63BDE">
    <w:pPr>
      <w:rPr>
        <w:b/>
        <w:sz w:val="20"/>
      </w:rPr>
    </w:pPr>
    <w:r>
      <w:rPr>
        <w:b/>
        <w:sz w:val="20"/>
      </w:rPr>
      <w:fldChar w:fldCharType="begin"/>
    </w:r>
    <w:r>
      <w:rPr>
        <w:b/>
        <w:sz w:val="20"/>
      </w:rPr>
      <w:instrText xml:space="preserve"> STYLEREF CharAmSchNo </w:instrText>
    </w:r>
    <w:r w:rsidR="002247F6">
      <w:rPr>
        <w:b/>
        <w:sz w:val="20"/>
      </w:rPr>
      <w:fldChar w:fldCharType="separate"/>
    </w:r>
    <w:r w:rsidR="002247F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247F6">
      <w:rPr>
        <w:sz w:val="20"/>
      </w:rPr>
      <w:fldChar w:fldCharType="separate"/>
    </w:r>
    <w:r w:rsidR="002247F6">
      <w:rPr>
        <w:noProof/>
        <w:sz w:val="20"/>
      </w:rPr>
      <w:t>Amendments</w:t>
    </w:r>
    <w:r>
      <w:rPr>
        <w:sz w:val="20"/>
      </w:rPr>
      <w:fldChar w:fldCharType="end"/>
    </w:r>
  </w:p>
  <w:p w:rsidR="00985945" w:rsidRPr="00A961C4" w:rsidRDefault="00985945"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85945" w:rsidRPr="00A961C4" w:rsidRDefault="00985945" w:rsidP="00B63BDE">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A961C4" w:rsidRDefault="00985945" w:rsidP="00E443FC">
    <w:pPr>
      <w:jc w:val="right"/>
      <w:rPr>
        <w:sz w:val="20"/>
      </w:rPr>
    </w:pPr>
    <w:r w:rsidRPr="00A961C4">
      <w:rPr>
        <w:sz w:val="20"/>
      </w:rPr>
      <w:fldChar w:fldCharType="begin"/>
    </w:r>
    <w:r w:rsidRPr="00A961C4">
      <w:rPr>
        <w:sz w:val="20"/>
      </w:rPr>
      <w:instrText xml:space="preserve"> STYLEREF CharAmSchText </w:instrText>
    </w:r>
    <w:r w:rsidR="002247F6">
      <w:rPr>
        <w:sz w:val="20"/>
      </w:rPr>
      <w:fldChar w:fldCharType="separate"/>
    </w:r>
    <w:r w:rsidR="002247F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247F6">
      <w:rPr>
        <w:b/>
        <w:sz w:val="20"/>
      </w:rPr>
      <w:fldChar w:fldCharType="separate"/>
    </w:r>
    <w:r w:rsidR="002247F6">
      <w:rPr>
        <w:b/>
        <w:noProof/>
        <w:sz w:val="20"/>
      </w:rPr>
      <w:t>Schedule 1</w:t>
    </w:r>
    <w:r>
      <w:rPr>
        <w:b/>
        <w:sz w:val="20"/>
      </w:rPr>
      <w:fldChar w:fldCharType="end"/>
    </w:r>
  </w:p>
  <w:p w:rsidR="00985945" w:rsidRPr="00A961C4" w:rsidRDefault="00985945"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85945" w:rsidRPr="00A961C4" w:rsidRDefault="00985945" w:rsidP="00E443FC">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5" w:rsidRPr="00A961C4" w:rsidRDefault="00985945"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1B52488"/>
    <w:multiLevelType w:val="hybridMultilevel"/>
    <w:tmpl w:val="91A27822"/>
    <w:lvl w:ilvl="0" w:tplc="0C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92E47FE"/>
    <w:multiLevelType w:val="hybridMultilevel"/>
    <w:tmpl w:val="51021C7C"/>
    <w:lvl w:ilvl="0" w:tplc="0C090013">
      <w:start w:val="1"/>
      <w:numFmt w:val="upp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0A087417"/>
    <w:multiLevelType w:val="hybridMultilevel"/>
    <w:tmpl w:val="C8ECBF3A"/>
    <w:lvl w:ilvl="0" w:tplc="0C090001">
      <w:start w:val="1"/>
      <w:numFmt w:val="bullet"/>
      <w:lvlText w:val=""/>
      <w:lvlJc w:val="left"/>
      <w:pPr>
        <w:tabs>
          <w:tab w:val="num" w:pos="766"/>
        </w:tabs>
        <w:ind w:left="766" w:hanging="360"/>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abstractNum w:abstractNumId="14">
    <w:nsid w:val="0B532CEA"/>
    <w:multiLevelType w:val="hybridMultilevel"/>
    <w:tmpl w:val="ABF460AE"/>
    <w:lvl w:ilvl="0" w:tplc="0C090013">
      <w:start w:val="1"/>
      <w:numFmt w:val="upperRoman"/>
      <w:lvlText w:val="%1."/>
      <w:lvlJc w:val="right"/>
      <w:pPr>
        <w:ind w:left="1004" w:hanging="360"/>
      </w:pPr>
      <w:rPr>
        <w:rFonts w:cs="Times New Roman"/>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15">
    <w:nsid w:val="1FE13DFB"/>
    <w:multiLevelType w:val="hybridMultilevel"/>
    <w:tmpl w:val="047C47BC"/>
    <w:lvl w:ilvl="0" w:tplc="0C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247545E9"/>
    <w:multiLevelType w:val="hybridMultilevel"/>
    <w:tmpl w:val="888C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A52931"/>
    <w:multiLevelType w:val="hybridMultilevel"/>
    <w:tmpl w:val="08BEC974"/>
    <w:lvl w:ilvl="0" w:tplc="21B8D5D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46F727FA"/>
    <w:multiLevelType w:val="hybridMultilevel"/>
    <w:tmpl w:val="3D68149C"/>
    <w:lvl w:ilvl="0" w:tplc="B510DEC8">
      <w:start w:val="1"/>
      <w:numFmt w:val="decimal"/>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20">
    <w:nsid w:val="552A7D27"/>
    <w:multiLevelType w:val="hybridMultilevel"/>
    <w:tmpl w:val="2C1EF55A"/>
    <w:lvl w:ilvl="0" w:tplc="0C090001">
      <w:start w:val="1"/>
      <w:numFmt w:val="bullet"/>
      <w:lvlText w:val=""/>
      <w:lvlJc w:val="left"/>
      <w:pPr>
        <w:tabs>
          <w:tab w:val="num" w:pos="1050"/>
        </w:tabs>
        <w:ind w:left="1050" w:hanging="360"/>
      </w:pPr>
      <w:rPr>
        <w:rFonts w:ascii="Symbol" w:hAnsi="Symbol" w:hint="default"/>
      </w:rPr>
    </w:lvl>
    <w:lvl w:ilvl="1" w:tplc="0C090003" w:tentative="1">
      <w:start w:val="1"/>
      <w:numFmt w:val="bullet"/>
      <w:lvlText w:val="o"/>
      <w:lvlJc w:val="left"/>
      <w:pPr>
        <w:tabs>
          <w:tab w:val="num" w:pos="1770"/>
        </w:tabs>
        <w:ind w:left="1770" w:hanging="360"/>
      </w:pPr>
      <w:rPr>
        <w:rFonts w:ascii="Courier New" w:hAnsi="Courier New" w:cs="Courier New" w:hint="default"/>
      </w:rPr>
    </w:lvl>
    <w:lvl w:ilvl="2" w:tplc="0C090005" w:tentative="1">
      <w:start w:val="1"/>
      <w:numFmt w:val="bullet"/>
      <w:lvlText w:val=""/>
      <w:lvlJc w:val="left"/>
      <w:pPr>
        <w:tabs>
          <w:tab w:val="num" w:pos="2490"/>
        </w:tabs>
        <w:ind w:left="2490" w:hanging="360"/>
      </w:pPr>
      <w:rPr>
        <w:rFonts w:ascii="Wingdings" w:hAnsi="Wingdings" w:hint="default"/>
      </w:rPr>
    </w:lvl>
    <w:lvl w:ilvl="3" w:tplc="0C090001" w:tentative="1">
      <w:start w:val="1"/>
      <w:numFmt w:val="bullet"/>
      <w:lvlText w:val=""/>
      <w:lvlJc w:val="left"/>
      <w:pPr>
        <w:tabs>
          <w:tab w:val="num" w:pos="3210"/>
        </w:tabs>
        <w:ind w:left="3210" w:hanging="360"/>
      </w:pPr>
      <w:rPr>
        <w:rFonts w:ascii="Symbol" w:hAnsi="Symbol" w:hint="default"/>
      </w:rPr>
    </w:lvl>
    <w:lvl w:ilvl="4" w:tplc="0C090003" w:tentative="1">
      <w:start w:val="1"/>
      <w:numFmt w:val="bullet"/>
      <w:lvlText w:val="o"/>
      <w:lvlJc w:val="left"/>
      <w:pPr>
        <w:tabs>
          <w:tab w:val="num" w:pos="3930"/>
        </w:tabs>
        <w:ind w:left="3930" w:hanging="360"/>
      </w:pPr>
      <w:rPr>
        <w:rFonts w:ascii="Courier New" w:hAnsi="Courier New" w:cs="Courier New" w:hint="default"/>
      </w:rPr>
    </w:lvl>
    <w:lvl w:ilvl="5" w:tplc="0C090005" w:tentative="1">
      <w:start w:val="1"/>
      <w:numFmt w:val="bullet"/>
      <w:lvlText w:val=""/>
      <w:lvlJc w:val="left"/>
      <w:pPr>
        <w:tabs>
          <w:tab w:val="num" w:pos="4650"/>
        </w:tabs>
        <w:ind w:left="4650" w:hanging="360"/>
      </w:pPr>
      <w:rPr>
        <w:rFonts w:ascii="Wingdings" w:hAnsi="Wingdings" w:hint="default"/>
      </w:rPr>
    </w:lvl>
    <w:lvl w:ilvl="6" w:tplc="0C090001" w:tentative="1">
      <w:start w:val="1"/>
      <w:numFmt w:val="bullet"/>
      <w:lvlText w:val=""/>
      <w:lvlJc w:val="left"/>
      <w:pPr>
        <w:tabs>
          <w:tab w:val="num" w:pos="5370"/>
        </w:tabs>
        <w:ind w:left="5370" w:hanging="360"/>
      </w:pPr>
      <w:rPr>
        <w:rFonts w:ascii="Symbol" w:hAnsi="Symbol" w:hint="default"/>
      </w:rPr>
    </w:lvl>
    <w:lvl w:ilvl="7" w:tplc="0C090003" w:tentative="1">
      <w:start w:val="1"/>
      <w:numFmt w:val="bullet"/>
      <w:lvlText w:val="o"/>
      <w:lvlJc w:val="left"/>
      <w:pPr>
        <w:tabs>
          <w:tab w:val="num" w:pos="6090"/>
        </w:tabs>
        <w:ind w:left="6090" w:hanging="360"/>
      </w:pPr>
      <w:rPr>
        <w:rFonts w:ascii="Courier New" w:hAnsi="Courier New" w:cs="Courier New" w:hint="default"/>
      </w:rPr>
    </w:lvl>
    <w:lvl w:ilvl="8" w:tplc="0C090005" w:tentative="1">
      <w:start w:val="1"/>
      <w:numFmt w:val="bullet"/>
      <w:lvlText w:val=""/>
      <w:lvlJc w:val="left"/>
      <w:pPr>
        <w:tabs>
          <w:tab w:val="num" w:pos="6810"/>
        </w:tabs>
        <w:ind w:left="6810" w:hanging="360"/>
      </w:pPr>
      <w:rPr>
        <w:rFonts w:ascii="Wingdings" w:hAnsi="Wingdings" w:hint="default"/>
      </w:rPr>
    </w:lvl>
  </w:abstractNum>
  <w:abstractNum w:abstractNumId="21">
    <w:nsid w:val="5D7C2DE6"/>
    <w:multiLevelType w:val="hybridMultilevel"/>
    <w:tmpl w:val="25F22B16"/>
    <w:lvl w:ilvl="0" w:tplc="0C090013">
      <w:start w:val="1"/>
      <w:numFmt w:val="upperRoman"/>
      <w:lvlText w:val="%1."/>
      <w:lvlJc w:val="right"/>
      <w:pPr>
        <w:ind w:left="1004" w:hanging="360"/>
      </w:pPr>
      <w:rPr>
        <w:rFonts w:cs="Times New Roman"/>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22">
    <w:nsid w:val="5EF352D3"/>
    <w:multiLevelType w:val="hybridMultilevel"/>
    <w:tmpl w:val="531248F4"/>
    <w:lvl w:ilvl="0" w:tplc="0C090013">
      <w:start w:val="1"/>
      <w:numFmt w:val="upp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9181361"/>
    <w:multiLevelType w:val="hybridMultilevel"/>
    <w:tmpl w:val="07988BA8"/>
    <w:lvl w:ilvl="0" w:tplc="B2EC9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7D590A2D"/>
    <w:multiLevelType w:val="hybridMultilevel"/>
    <w:tmpl w:val="25F22B16"/>
    <w:lvl w:ilvl="0" w:tplc="0C090013">
      <w:start w:val="1"/>
      <w:numFmt w:val="upperRoman"/>
      <w:lvlText w:val="%1."/>
      <w:lvlJc w:val="right"/>
      <w:pPr>
        <w:ind w:left="1004" w:hanging="360"/>
      </w:pPr>
      <w:rPr>
        <w:rFonts w:cs="Times New Roman"/>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25">
    <w:nsid w:val="7D7F37D9"/>
    <w:multiLevelType w:val="hybridMultilevel"/>
    <w:tmpl w:val="58927242"/>
    <w:lvl w:ilvl="0" w:tplc="8B942B6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3"/>
  </w:num>
  <w:num w:numId="15">
    <w:abstractNumId w:val="19"/>
  </w:num>
  <w:num w:numId="16">
    <w:abstractNumId w:val="22"/>
  </w:num>
  <w:num w:numId="17">
    <w:abstractNumId w:val="12"/>
  </w:num>
  <w:num w:numId="18">
    <w:abstractNumId w:val="24"/>
  </w:num>
  <w:num w:numId="19">
    <w:abstractNumId w:val="21"/>
  </w:num>
  <w:num w:numId="20">
    <w:abstractNumId w:val="14"/>
  </w:num>
  <w:num w:numId="21">
    <w:abstractNumId w:val="10"/>
  </w:num>
  <w:num w:numId="22">
    <w:abstractNumId w:val="1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A3"/>
    <w:rsid w:val="00000EC0"/>
    <w:rsid w:val="000041C6"/>
    <w:rsid w:val="000055D1"/>
    <w:rsid w:val="000113BC"/>
    <w:rsid w:val="000136AF"/>
    <w:rsid w:val="00013AFE"/>
    <w:rsid w:val="0002261D"/>
    <w:rsid w:val="00024B98"/>
    <w:rsid w:val="00025060"/>
    <w:rsid w:val="000252B8"/>
    <w:rsid w:val="00026B06"/>
    <w:rsid w:val="0004044E"/>
    <w:rsid w:val="00040EDE"/>
    <w:rsid w:val="00046E09"/>
    <w:rsid w:val="0006148B"/>
    <w:rsid w:val="000614BF"/>
    <w:rsid w:val="00083CA2"/>
    <w:rsid w:val="000905B1"/>
    <w:rsid w:val="00092260"/>
    <w:rsid w:val="00093183"/>
    <w:rsid w:val="00095FE4"/>
    <w:rsid w:val="000A159D"/>
    <w:rsid w:val="000A55D8"/>
    <w:rsid w:val="000B74FA"/>
    <w:rsid w:val="000D05EF"/>
    <w:rsid w:val="000D3EE9"/>
    <w:rsid w:val="000D6771"/>
    <w:rsid w:val="000F0C5A"/>
    <w:rsid w:val="000F1AD6"/>
    <w:rsid w:val="000F21C1"/>
    <w:rsid w:val="000F7427"/>
    <w:rsid w:val="0010745C"/>
    <w:rsid w:val="00120B98"/>
    <w:rsid w:val="00120D27"/>
    <w:rsid w:val="00122701"/>
    <w:rsid w:val="00123EDF"/>
    <w:rsid w:val="00131133"/>
    <w:rsid w:val="0013329D"/>
    <w:rsid w:val="001334B2"/>
    <w:rsid w:val="00137774"/>
    <w:rsid w:val="00144A93"/>
    <w:rsid w:val="00147C65"/>
    <w:rsid w:val="00154EAC"/>
    <w:rsid w:val="0016080F"/>
    <w:rsid w:val="001643C9"/>
    <w:rsid w:val="00165568"/>
    <w:rsid w:val="00166C2F"/>
    <w:rsid w:val="001716C9"/>
    <w:rsid w:val="00171EAE"/>
    <w:rsid w:val="001816D2"/>
    <w:rsid w:val="001852C4"/>
    <w:rsid w:val="00190C4B"/>
    <w:rsid w:val="00193461"/>
    <w:rsid w:val="001939E1"/>
    <w:rsid w:val="00195382"/>
    <w:rsid w:val="001A5893"/>
    <w:rsid w:val="001B1731"/>
    <w:rsid w:val="001B7A5D"/>
    <w:rsid w:val="001C69C4"/>
    <w:rsid w:val="001E3590"/>
    <w:rsid w:val="001E562E"/>
    <w:rsid w:val="001E5C63"/>
    <w:rsid w:val="001E7407"/>
    <w:rsid w:val="001F0E7A"/>
    <w:rsid w:val="001F1EEE"/>
    <w:rsid w:val="001F44BA"/>
    <w:rsid w:val="001F6924"/>
    <w:rsid w:val="001F7FBF"/>
    <w:rsid w:val="00201D27"/>
    <w:rsid w:val="00202AFA"/>
    <w:rsid w:val="00203093"/>
    <w:rsid w:val="002247F6"/>
    <w:rsid w:val="00236AC4"/>
    <w:rsid w:val="0024048B"/>
    <w:rsid w:val="00240749"/>
    <w:rsid w:val="002421AC"/>
    <w:rsid w:val="00265FBC"/>
    <w:rsid w:val="00266D05"/>
    <w:rsid w:val="00285469"/>
    <w:rsid w:val="002932B1"/>
    <w:rsid w:val="00297655"/>
    <w:rsid w:val="00297ECB"/>
    <w:rsid w:val="002A0FFD"/>
    <w:rsid w:val="002B5B89"/>
    <w:rsid w:val="002B7BB2"/>
    <w:rsid w:val="002B7D96"/>
    <w:rsid w:val="002D043A"/>
    <w:rsid w:val="002F2FB5"/>
    <w:rsid w:val="002F3C15"/>
    <w:rsid w:val="003030DB"/>
    <w:rsid w:val="00304E75"/>
    <w:rsid w:val="003072FA"/>
    <w:rsid w:val="003142C9"/>
    <w:rsid w:val="00314ADE"/>
    <w:rsid w:val="0031713F"/>
    <w:rsid w:val="0033348D"/>
    <w:rsid w:val="00336FD1"/>
    <w:rsid w:val="003415D3"/>
    <w:rsid w:val="00342F96"/>
    <w:rsid w:val="00352B0F"/>
    <w:rsid w:val="00361BD9"/>
    <w:rsid w:val="0037772B"/>
    <w:rsid w:val="003801D0"/>
    <w:rsid w:val="00381481"/>
    <w:rsid w:val="00391187"/>
    <w:rsid w:val="0039228E"/>
    <w:rsid w:val="003926B5"/>
    <w:rsid w:val="003A5AA4"/>
    <w:rsid w:val="003A6E18"/>
    <w:rsid w:val="003A7D33"/>
    <w:rsid w:val="003A7F73"/>
    <w:rsid w:val="003B0224"/>
    <w:rsid w:val="003B04EC"/>
    <w:rsid w:val="003B15BB"/>
    <w:rsid w:val="003C0FDE"/>
    <w:rsid w:val="003C5F2B"/>
    <w:rsid w:val="003C7F7F"/>
    <w:rsid w:val="003D0900"/>
    <w:rsid w:val="003D0BFE"/>
    <w:rsid w:val="003D3CD3"/>
    <w:rsid w:val="003D5700"/>
    <w:rsid w:val="003E3462"/>
    <w:rsid w:val="003E3A32"/>
    <w:rsid w:val="003E5FF5"/>
    <w:rsid w:val="003F17F0"/>
    <w:rsid w:val="003F4CA9"/>
    <w:rsid w:val="003F567B"/>
    <w:rsid w:val="004010E7"/>
    <w:rsid w:val="00401403"/>
    <w:rsid w:val="004025A9"/>
    <w:rsid w:val="004116CD"/>
    <w:rsid w:val="00412B83"/>
    <w:rsid w:val="00424CA9"/>
    <w:rsid w:val="00425C4E"/>
    <w:rsid w:val="00435AF6"/>
    <w:rsid w:val="00440813"/>
    <w:rsid w:val="0044202D"/>
    <w:rsid w:val="0044291A"/>
    <w:rsid w:val="004541B9"/>
    <w:rsid w:val="00460499"/>
    <w:rsid w:val="00466436"/>
    <w:rsid w:val="00473126"/>
    <w:rsid w:val="0048364F"/>
    <w:rsid w:val="00486047"/>
    <w:rsid w:val="00496845"/>
    <w:rsid w:val="00496F97"/>
    <w:rsid w:val="004A092F"/>
    <w:rsid w:val="004A2484"/>
    <w:rsid w:val="004A2FFB"/>
    <w:rsid w:val="004A323B"/>
    <w:rsid w:val="004A7148"/>
    <w:rsid w:val="004A76F0"/>
    <w:rsid w:val="004C23C5"/>
    <w:rsid w:val="004C5EA6"/>
    <w:rsid w:val="004C6444"/>
    <w:rsid w:val="004C6DE1"/>
    <w:rsid w:val="004F1FAC"/>
    <w:rsid w:val="004F3A90"/>
    <w:rsid w:val="004F676E"/>
    <w:rsid w:val="005000D1"/>
    <w:rsid w:val="00501A21"/>
    <w:rsid w:val="00516B8D"/>
    <w:rsid w:val="00525D39"/>
    <w:rsid w:val="00537FBC"/>
    <w:rsid w:val="00542E3B"/>
    <w:rsid w:val="00543469"/>
    <w:rsid w:val="0054609A"/>
    <w:rsid w:val="005514D9"/>
    <w:rsid w:val="00557C7A"/>
    <w:rsid w:val="00561E35"/>
    <w:rsid w:val="005624E5"/>
    <w:rsid w:val="00566B91"/>
    <w:rsid w:val="005715D5"/>
    <w:rsid w:val="00584811"/>
    <w:rsid w:val="0058646E"/>
    <w:rsid w:val="00586702"/>
    <w:rsid w:val="00591786"/>
    <w:rsid w:val="00591E07"/>
    <w:rsid w:val="00593AA6"/>
    <w:rsid w:val="00594161"/>
    <w:rsid w:val="00594749"/>
    <w:rsid w:val="00595326"/>
    <w:rsid w:val="005B3ACF"/>
    <w:rsid w:val="005B4067"/>
    <w:rsid w:val="005C12DE"/>
    <w:rsid w:val="005C3F41"/>
    <w:rsid w:val="005D3327"/>
    <w:rsid w:val="005E6BFD"/>
    <w:rsid w:val="005E7319"/>
    <w:rsid w:val="005F4832"/>
    <w:rsid w:val="005F7593"/>
    <w:rsid w:val="00600219"/>
    <w:rsid w:val="0060716A"/>
    <w:rsid w:val="006157FD"/>
    <w:rsid w:val="006232A3"/>
    <w:rsid w:val="006249E6"/>
    <w:rsid w:val="00630733"/>
    <w:rsid w:val="00632C8B"/>
    <w:rsid w:val="006346BC"/>
    <w:rsid w:val="006420A1"/>
    <w:rsid w:val="0064468A"/>
    <w:rsid w:val="00654539"/>
    <w:rsid w:val="00654CCA"/>
    <w:rsid w:val="00656DE9"/>
    <w:rsid w:val="00660CBD"/>
    <w:rsid w:val="00672540"/>
    <w:rsid w:val="00677CC2"/>
    <w:rsid w:val="00680F17"/>
    <w:rsid w:val="00685F42"/>
    <w:rsid w:val="0069207B"/>
    <w:rsid w:val="006937E2"/>
    <w:rsid w:val="00696FE1"/>
    <w:rsid w:val="006977FB"/>
    <w:rsid w:val="006A1088"/>
    <w:rsid w:val="006B262A"/>
    <w:rsid w:val="006C2C12"/>
    <w:rsid w:val="006C5D1C"/>
    <w:rsid w:val="006C7F8C"/>
    <w:rsid w:val="006D2281"/>
    <w:rsid w:val="006D3667"/>
    <w:rsid w:val="006D5A41"/>
    <w:rsid w:val="006E004B"/>
    <w:rsid w:val="00700B2C"/>
    <w:rsid w:val="00701E6A"/>
    <w:rsid w:val="00713084"/>
    <w:rsid w:val="00722023"/>
    <w:rsid w:val="00722588"/>
    <w:rsid w:val="007254AA"/>
    <w:rsid w:val="00731E00"/>
    <w:rsid w:val="007440B7"/>
    <w:rsid w:val="00751A9A"/>
    <w:rsid w:val="00756D03"/>
    <w:rsid w:val="007634AD"/>
    <w:rsid w:val="00765731"/>
    <w:rsid w:val="007715C9"/>
    <w:rsid w:val="007726E6"/>
    <w:rsid w:val="00774EDD"/>
    <w:rsid w:val="007757EC"/>
    <w:rsid w:val="007769D4"/>
    <w:rsid w:val="007823E7"/>
    <w:rsid w:val="00785AFA"/>
    <w:rsid w:val="0078689A"/>
    <w:rsid w:val="007903AC"/>
    <w:rsid w:val="00792C13"/>
    <w:rsid w:val="007C0BCF"/>
    <w:rsid w:val="007C0FD8"/>
    <w:rsid w:val="007D01AD"/>
    <w:rsid w:val="007D7DFB"/>
    <w:rsid w:val="007E7D4A"/>
    <w:rsid w:val="007F31C5"/>
    <w:rsid w:val="00823F07"/>
    <w:rsid w:val="00826DA5"/>
    <w:rsid w:val="00831F45"/>
    <w:rsid w:val="00833416"/>
    <w:rsid w:val="00853D1A"/>
    <w:rsid w:val="00856A31"/>
    <w:rsid w:val="0086217D"/>
    <w:rsid w:val="00874408"/>
    <w:rsid w:val="00874B69"/>
    <w:rsid w:val="008754D0"/>
    <w:rsid w:val="00875A28"/>
    <w:rsid w:val="00877D48"/>
    <w:rsid w:val="00885A11"/>
    <w:rsid w:val="0089611A"/>
    <w:rsid w:val="0089783B"/>
    <w:rsid w:val="008B2AEA"/>
    <w:rsid w:val="008B58C3"/>
    <w:rsid w:val="008B79C8"/>
    <w:rsid w:val="008C0DC7"/>
    <w:rsid w:val="008C263E"/>
    <w:rsid w:val="008D0EE0"/>
    <w:rsid w:val="008D63A9"/>
    <w:rsid w:val="008E78C8"/>
    <w:rsid w:val="008F07E3"/>
    <w:rsid w:val="008F23A0"/>
    <w:rsid w:val="008F4F1C"/>
    <w:rsid w:val="00905307"/>
    <w:rsid w:val="00907271"/>
    <w:rsid w:val="009128A0"/>
    <w:rsid w:val="00917CC8"/>
    <w:rsid w:val="009201AB"/>
    <w:rsid w:val="00932377"/>
    <w:rsid w:val="009329F4"/>
    <w:rsid w:val="00943B39"/>
    <w:rsid w:val="009472F5"/>
    <w:rsid w:val="009567DB"/>
    <w:rsid w:val="00960432"/>
    <w:rsid w:val="0096136B"/>
    <w:rsid w:val="00964496"/>
    <w:rsid w:val="00966F33"/>
    <w:rsid w:val="00985945"/>
    <w:rsid w:val="0099075B"/>
    <w:rsid w:val="00992A44"/>
    <w:rsid w:val="0099397E"/>
    <w:rsid w:val="009B3629"/>
    <w:rsid w:val="009C03AD"/>
    <w:rsid w:val="009C1318"/>
    <w:rsid w:val="009C33A0"/>
    <w:rsid w:val="009C49D8"/>
    <w:rsid w:val="009E3601"/>
    <w:rsid w:val="009E55B6"/>
    <w:rsid w:val="009E7675"/>
    <w:rsid w:val="009E7AC9"/>
    <w:rsid w:val="009E7B50"/>
    <w:rsid w:val="009F727E"/>
    <w:rsid w:val="00A1360F"/>
    <w:rsid w:val="00A2057D"/>
    <w:rsid w:val="00A231E2"/>
    <w:rsid w:val="00A2550D"/>
    <w:rsid w:val="00A26DBE"/>
    <w:rsid w:val="00A275C0"/>
    <w:rsid w:val="00A326A4"/>
    <w:rsid w:val="00A331D9"/>
    <w:rsid w:val="00A4169B"/>
    <w:rsid w:val="00A4361F"/>
    <w:rsid w:val="00A45C70"/>
    <w:rsid w:val="00A4622D"/>
    <w:rsid w:val="00A56853"/>
    <w:rsid w:val="00A60478"/>
    <w:rsid w:val="00A64912"/>
    <w:rsid w:val="00A708F0"/>
    <w:rsid w:val="00A70A74"/>
    <w:rsid w:val="00A87AB9"/>
    <w:rsid w:val="00A9566A"/>
    <w:rsid w:val="00AB3315"/>
    <w:rsid w:val="00AC66B8"/>
    <w:rsid w:val="00AD5641"/>
    <w:rsid w:val="00AF016F"/>
    <w:rsid w:val="00AF0336"/>
    <w:rsid w:val="00B032D8"/>
    <w:rsid w:val="00B11D7F"/>
    <w:rsid w:val="00B27928"/>
    <w:rsid w:val="00B332B8"/>
    <w:rsid w:val="00B33B3C"/>
    <w:rsid w:val="00B4686B"/>
    <w:rsid w:val="00B61D2C"/>
    <w:rsid w:val="00B63BDE"/>
    <w:rsid w:val="00B813D8"/>
    <w:rsid w:val="00B856B4"/>
    <w:rsid w:val="00B918C9"/>
    <w:rsid w:val="00B92287"/>
    <w:rsid w:val="00B96226"/>
    <w:rsid w:val="00BA0CEB"/>
    <w:rsid w:val="00BA2067"/>
    <w:rsid w:val="00BA5026"/>
    <w:rsid w:val="00BB6E79"/>
    <w:rsid w:val="00BC14AF"/>
    <w:rsid w:val="00BC4594"/>
    <w:rsid w:val="00BC4F91"/>
    <w:rsid w:val="00BD4E60"/>
    <w:rsid w:val="00BD60E6"/>
    <w:rsid w:val="00BD71B4"/>
    <w:rsid w:val="00BE0120"/>
    <w:rsid w:val="00BE253A"/>
    <w:rsid w:val="00BE719A"/>
    <w:rsid w:val="00BE720A"/>
    <w:rsid w:val="00C03B36"/>
    <w:rsid w:val="00C067E5"/>
    <w:rsid w:val="00C137F8"/>
    <w:rsid w:val="00C147D7"/>
    <w:rsid w:val="00C164CA"/>
    <w:rsid w:val="00C21B63"/>
    <w:rsid w:val="00C21CBB"/>
    <w:rsid w:val="00C2423A"/>
    <w:rsid w:val="00C2552B"/>
    <w:rsid w:val="00C30ED8"/>
    <w:rsid w:val="00C31D7D"/>
    <w:rsid w:val="00C3594F"/>
    <w:rsid w:val="00C42BF8"/>
    <w:rsid w:val="00C430C2"/>
    <w:rsid w:val="00C436DD"/>
    <w:rsid w:val="00C460AE"/>
    <w:rsid w:val="00C47F50"/>
    <w:rsid w:val="00C50043"/>
    <w:rsid w:val="00C574A3"/>
    <w:rsid w:val="00C61D2C"/>
    <w:rsid w:val="00C7573B"/>
    <w:rsid w:val="00C76CF3"/>
    <w:rsid w:val="00C77BB3"/>
    <w:rsid w:val="00C97E54"/>
    <w:rsid w:val="00CA0414"/>
    <w:rsid w:val="00CB0180"/>
    <w:rsid w:val="00CB3349"/>
    <w:rsid w:val="00CB64B7"/>
    <w:rsid w:val="00CD463B"/>
    <w:rsid w:val="00CD606E"/>
    <w:rsid w:val="00CD7ECB"/>
    <w:rsid w:val="00CE160D"/>
    <w:rsid w:val="00CF0BB2"/>
    <w:rsid w:val="00CF3D09"/>
    <w:rsid w:val="00D0104A"/>
    <w:rsid w:val="00D13441"/>
    <w:rsid w:val="00D17B17"/>
    <w:rsid w:val="00D20898"/>
    <w:rsid w:val="00D243A3"/>
    <w:rsid w:val="00D26114"/>
    <w:rsid w:val="00D26A9A"/>
    <w:rsid w:val="00D33440"/>
    <w:rsid w:val="00D3673C"/>
    <w:rsid w:val="00D40403"/>
    <w:rsid w:val="00D4768E"/>
    <w:rsid w:val="00D52EFE"/>
    <w:rsid w:val="00D63EF6"/>
    <w:rsid w:val="00D70DFB"/>
    <w:rsid w:val="00D766DF"/>
    <w:rsid w:val="00D83CB8"/>
    <w:rsid w:val="00D83D21"/>
    <w:rsid w:val="00D84B58"/>
    <w:rsid w:val="00D9014A"/>
    <w:rsid w:val="00D925D1"/>
    <w:rsid w:val="00DA4687"/>
    <w:rsid w:val="00DC0E16"/>
    <w:rsid w:val="00DE1720"/>
    <w:rsid w:val="00DE5ED0"/>
    <w:rsid w:val="00DF0F91"/>
    <w:rsid w:val="00E04D2C"/>
    <w:rsid w:val="00E05704"/>
    <w:rsid w:val="00E05C46"/>
    <w:rsid w:val="00E15DE9"/>
    <w:rsid w:val="00E245F7"/>
    <w:rsid w:val="00E30206"/>
    <w:rsid w:val="00E33C1C"/>
    <w:rsid w:val="00E42839"/>
    <w:rsid w:val="00E443FC"/>
    <w:rsid w:val="00E534D8"/>
    <w:rsid w:val="00E54292"/>
    <w:rsid w:val="00E7456E"/>
    <w:rsid w:val="00E74DC7"/>
    <w:rsid w:val="00E7629C"/>
    <w:rsid w:val="00E84B32"/>
    <w:rsid w:val="00E87699"/>
    <w:rsid w:val="00E87F12"/>
    <w:rsid w:val="00EB2926"/>
    <w:rsid w:val="00ED3A7D"/>
    <w:rsid w:val="00EE07B7"/>
    <w:rsid w:val="00EF0258"/>
    <w:rsid w:val="00EF1D77"/>
    <w:rsid w:val="00EF2E3A"/>
    <w:rsid w:val="00F0345A"/>
    <w:rsid w:val="00F047E2"/>
    <w:rsid w:val="00F0638F"/>
    <w:rsid w:val="00F078DC"/>
    <w:rsid w:val="00F123F7"/>
    <w:rsid w:val="00F13E86"/>
    <w:rsid w:val="00F203E1"/>
    <w:rsid w:val="00F23742"/>
    <w:rsid w:val="00F24C35"/>
    <w:rsid w:val="00F43E96"/>
    <w:rsid w:val="00F56759"/>
    <w:rsid w:val="00F61397"/>
    <w:rsid w:val="00F677A9"/>
    <w:rsid w:val="00F82DFF"/>
    <w:rsid w:val="00F84CF5"/>
    <w:rsid w:val="00F877A5"/>
    <w:rsid w:val="00F9112A"/>
    <w:rsid w:val="00F94D52"/>
    <w:rsid w:val="00F95ED9"/>
    <w:rsid w:val="00FA226A"/>
    <w:rsid w:val="00FA32CA"/>
    <w:rsid w:val="00FA420B"/>
    <w:rsid w:val="00FA749E"/>
    <w:rsid w:val="00FB087F"/>
    <w:rsid w:val="00FB1D25"/>
    <w:rsid w:val="00FC586F"/>
    <w:rsid w:val="00FD03EB"/>
    <w:rsid w:val="00FD0408"/>
    <w:rsid w:val="00FD7CFE"/>
    <w:rsid w:val="00FE542A"/>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686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4686B"/>
  </w:style>
  <w:style w:type="paragraph" w:customStyle="1" w:styleId="OPCParaBase">
    <w:name w:val="OPCParaBase"/>
    <w:qFormat/>
    <w:rsid w:val="00B4686B"/>
    <w:pPr>
      <w:spacing w:line="260" w:lineRule="atLeast"/>
    </w:pPr>
    <w:rPr>
      <w:rFonts w:eastAsia="Times New Roman" w:cs="Times New Roman"/>
      <w:sz w:val="22"/>
      <w:lang w:eastAsia="en-AU"/>
    </w:rPr>
  </w:style>
  <w:style w:type="paragraph" w:customStyle="1" w:styleId="ShortT">
    <w:name w:val="ShortT"/>
    <w:basedOn w:val="OPCParaBase"/>
    <w:next w:val="Normal"/>
    <w:qFormat/>
    <w:rsid w:val="00B4686B"/>
    <w:pPr>
      <w:spacing w:line="240" w:lineRule="auto"/>
    </w:pPr>
    <w:rPr>
      <w:b/>
      <w:sz w:val="40"/>
    </w:rPr>
  </w:style>
  <w:style w:type="paragraph" w:customStyle="1" w:styleId="ActHead1">
    <w:name w:val="ActHead 1"/>
    <w:aliases w:val="c"/>
    <w:basedOn w:val="OPCParaBase"/>
    <w:next w:val="Normal"/>
    <w:qFormat/>
    <w:rsid w:val="00B4686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686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686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686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4686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686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686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686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686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686B"/>
  </w:style>
  <w:style w:type="paragraph" w:customStyle="1" w:styleId="Blocks">
    <w:name w:val="Blocks"/>
    <w:aliases w:val="bb"/>
    <w:basedOn w:val="OPCParaBase"/>
    <w:qFormat/>
    <w:rsid w:val="00B4686B"/>
    <w:pPr>
      <w:spacing w:line="240" w:lineRule="auto"/>
    </w:pPr>
    <w:rPr>
      <w:sz w:val="24"/>
    </w:rPr>
  </w:style>
  <w:style w:type="paragraph" w:customStyle="1" w:styleId="BoxText">
    <w:name w:val="BoxText"/>
    <w:aliases w:val="bt"/>
    <w:basedOn w:val="OPCParaBase"/>
    <w:qFormat/>
    <w:rsid w:val="00B4686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686B"/>
    <w:rPr>
      <w:b/>
    </w:rPr>
  </w:style>
  <w:style w:type="paragraph" w:customStyle="1" w:styleId="BoxHeadItalic">
    <w:name w:val="BoxHeadItalic"/>
    <w:aliases w:val="bhi"/>
    <w:basedOn w:val="BoxText"/>
    <w:next w:val="BoxStep"/>
    <w:qFormat/>
    <w:rsid w:val="00B4686B"/>
    <w:rPr>
      <w:i/>
    </w:rPr>
  </w:style>
  <w:style w:type="paragraph" w:customStyle="1" w:styleId="BoxList">
    <w:name w:val="BoxList"/>
    <w:aliases w:val="bl"/>
    <w:basedOn w:val="BoxText"/>
    <w:qFormat/>
    <w:rsid w:val="00B4686B"/>
    <w:pPr>
      <w:ind w:left="1559" w:hanging="425"/>
    </w:pPr>
  </w:style>
  <w:style w:type="paragraph" w:customStyle="1" w:styleId="BoxNote">
    <w:name w:val="BoxNote"/>
    <w:aliases w:val="bn"/>
    <w:basedOn w:val="BoxText"/>
    <w:qFormat/>
    <w:rsid w:val="00B4686B"/>
    <w:pPr>
      <w:tabs>
        <w:tab w:val="left" w:pos="1985"/>
      </w:tabs>
      <w:spacing w:before="122" w:line="198" w:lineRule="exact"/>
      <w:ind w:left="2948" w:hanging="1814"/>
    </w:pPr>
    <w:rPr>
      <w:sz w:val="18"/>
    </w:rPr>
  </w:style>
  <w:style w:type="paragraph" w:customStyle="1" w:styleId="BoxPara">
    <w:name w:val="BoxPara"/>
    <w:aliases w:val="bp"/>
    <w:basedOn w:val="BoxText"/>
    <w:qFormat/>
    <w:rsid w:val="00B4686B"/>
    <w:pPr>
      <w:tabs>
        <w:tab w:val="right" w:pos="2268"/>
      </w:tabs>
      <w:ind w:left="2552" w:hanging="1418"/>
    </w:pPr>
  </w:style>
  <w:style w:type="paragraph" w:customStyle="1" w:styleId="BoxStep">
    <w:name w:val="BoxStep"/>
    <w:aliases w:val="bs"/>
    <w:basedOn w:val="BoxText"/>
    <w:qFormat/>
    <w:rsid w:val="00B4686B"/>
    <w:pPr>
      <w:ind w:left="1985" w:hanging="851"/>
    </w:pPr>
  </w:style>
  <w:style w:type="character" w:customStyle="1" w:styleId="CharAmPartNo">
    <w:name w:val="CharAmPartNo"/>
    <w:basedOn w:val="OPCCharBase"/>
    <w:qFormat/>
    <w:rsid w:val="00B4686B"/>
  </w:style>
  <w:style w:type="character" w:customStyle="1" w:styleId="CharAmPartText">
    <w:name w:val="CharAmPartText"/>
    <w:basedOn w:val="OPCCharBase"/>
    <w:qFormat/>
    <w:rsid w:val="00B4686B"/>
  </w:style>
  <w:style w:type="character" w:customStyle="1" w:styleId="CharAmSchNo">
    <w:name w:val="CharAmSchNo"/>
    <w:basedOn w:val="OPCCharBase"/>
    <w:qFormat/>
    <w:rsid w:val="00B4686B"/>
  </w:style>
  <w:style w:type="character" w:customStyle="1" w:styleId="CharAmSchText">
    <w:name w:val="CharAmSchText"/>
    <w:basedOn w:val="OPCCharBase"/>
    <w:qFormat/>
    <w:rsid w:val="00B4686B"/>
  </w:style>
  <w:style w:type="character" w:customStyle="1" w:styleId="CharBoldItalic">
    <w:name w:val="CharBoldItalic"/>
    <w:basedOn w:val="OPCCharBase"/>
    <w:uiPriority w:val="1"/>
    <w:qFormat/>
    <w:rsid w:val="00B4686B"/>
    <w:rPr>
      <w:b/>
      <w:i/>
    </w:rPr>
  </w:style>
  <w:style w:type="character" w:customStyle="1" w:styleId="CharChapNo">
    <w:name w:val="CharChapNo"/>
    <w:basedOn w:val="OPCCharBase"/>
    <w:uiPriority w:val="1"/>
    <w:qFormat/>
    <w:rsid w:val="00B4686B"/>
  </w:style>
  <w:style w:type="character" w:customStyle="1" w:styleId="CharChapText">
    <w:name w:val="CharChapText"/>
    <w:basedOn w:val="OPCCharBase"/>
    <w:uiPriority w:val="1"/>
    <w:qFormat/>
    <w:rsid w:val="00B4686B"/>
  </w:style>
  <w:style w:type="character" w:customStyle="1" w:styleId="CharDivNo">
    <w:name w:val="CharDivNo"/>
    <w:basedOn w:val="OPCCharBase"/>
    <w:uiPriority w:val="1"/>
    <w:qFormat/>
    <w:rsid w:val="00B4686B"/>
  </w:style>
  <w:style w:type="character" w:customStyle="1" w:styleId="CharDivText">
    <w:name w:val="CharDivText"/>
    <w:basedOn w:val="OPCCharBase"/>
    <w:uiPriority w:val="1"/>
    <w:qFormat/>
    <w:rsid w:val="00B4686B"/>
  </w:style>
  <w:style w:type="character" w:customStyle="1" w:styleId="CharItalic">
    <w:name w:val="CharItalic"/>
    <w:basedOn w:val="OPCCharBase"/>
    <w:uiPriority w:val="1"/>
    <w:qFormat/>
    <w:rsid w:val="00B4686B"/>
    <w:rPr>
      <w:i/>
    </w:rPr>
  </w:style>
  <w:style w:type="character" w:customStyle="1" w:styleId="CharPartNo">
    <w:name w:val="CharPartNo"/>
    <w:basedOn w:val="OPCCharBase"/>
    <w:uiPriority w:val="1"/>
    <w:qFormat/>
    <w:rsid w:val="00B4686B"/>
  </w:style>
  <w:style w:type="character" w:customStyle="1" w:styleId="CharPartText">
    <w:name w:val="CharPartText"/>
    <w:basedOn w:val="OPCCharBase"/>
    <w:uiPriority w:val="1"/>
    <w:qFormat/>
    <w:rsid w:val="00B4686B"/>
  </w:style>
  <w:style w:type="character" w:customStyle="1" w:styleId="CharSectno">
    <w:name w:val="CharSectno"/>
    <w:basedOn w:val="OPCCharBase"/>
    <w:qFormat/>
    <w:rsid w:val="00B4686B"/>
  </w:style>
  <w:style w:type="character" w:customStyle="1" w:styleId="CharSubdNo">
    <w:name w:val="CharSubdNo"/>
    <w:basedOn w:val="OPCCharBase"/>
    <w:uiPriority w:val="1"/>
    <w:qFormat/>
    <w:rsid w:val="00B4686B"/>
  </w:style>
  <w:style w:type="character" w:customStyle="1" w:styleId="CharSubdText">
    <w:name w:val="CharSubdText"/>
    <w:basedOn w:val="OPCCharBase"/>
    <w:uiPriority w:val="1"/>
    <w:qFormat/>
    <w:rsid w:val="00B4686B"/>
  </w:style>
  <w:style w:type="paragraph" w:customStyle="1" w:styleId="CTA--">
    <w:name w:val="CTA --"/>
    <w:basedOn w:val="OPCParaBase"/>
    <w:next w:val="Normal"/>
    <w:rsid w:val="00B4686B"/>
    <w:pPr>
      <w:spacing w:before="60" w:line="240" w:lineRule="atLeast"/>
      <w:ind w:left="142" w:hanging="142"/>
    </w:pPr>
    <w:rPr>
      <w:sz w:val="20"/>
    </w:rPr>
  </w:style>
  <w:style w:type="paragraph" w:customStyle="1" w:styleId="CTA-">
    <w:name w:val="CTA -"/>
    <w:basedOn w:val="OPCParaBase"/>
    <w:rsid w:val="00B4686B"/>
    <w:pPr>
      <w:spacing w:before="60" w:line="240" w:lineRule="atLeast"/>
      <w:ind w:left="85" w:hanging="85"/>
    </w:pPr>
    <w:rPr>
      <w:sz w:val="20"/>
    </w:rPr>
  </w:style>
  <w:style w:type="paragraph" w:customStyle="1" w:styleId="CTA---">
    <w:name w:val="CTA ---"/>
    <w:basedOn w:val="OPCParaBase"/>
    <w:next w:val="Normal"/>
    <w:rsid w:val="00B4686B"/>
    <w:pPr>
      <w:spacing w:before="60" w:line="240" w:lineRule="atLeast"/>
      <w:ind w:left="198" w:hanging="198"/>
    </w:pPr>
    <w:rPr>
      <w:sz w:val="20"/>
    </w:rPr>
  </w:style>
  <w:style w:type="paragraph" w:customStyle="1" w:styleId="CTA----">
    <w:name w:val="CTA ----"/>
    <w:basedOn w:val="OPCParaBase"/>
    <w:next w:val="Normal"/>
    <w:rsid w:val="00B4686B"/>
    <w:pPr>
      <w:spacing w:before="60" w:line="240" w:lineRule="atLeast"/>
      <w:ind w:left="255" w:hanging="255"/>
    </w:pPr>
    <w:rPr>
      <w:sz w:val="20"/>
    </w:rPr>
  </w:style>
  <w:style w:type="paragraph" w:customStyle="1" w:styleId="CTA1a">
    <w:name w:val="CTA 1(a)"/>
    <w:basedOn w:val="OPCParaBase"/>
    <w:rsid w:val="00B4686B"/>
    <w:pPr>
      <w:tabs>
        <w:tab w:val="right" w:pos="414"/>
      </w:tabs>
      <w:spacing w:before="40" w:line="240" w:lineRule="atLeast"/>
      <w:ind w:left="675" w:hanging="675"/>
    </w:pPr>
    <w:rPr>
      <w:sz w:val="20"/>
    </w:rPr>
  </w:style>
  <w:style w:type="paragraph" w:customStyle="1" w:styleId="CTA1ai">
    <w:name w:val="CTA 1(a)(i)"/>
    <w:basedOn w:val="OPCParaBase"/>
    <w:rsid w:val="00B4686B"/>
    <w:pPr>
      <w:tabs>
        <w:tab w:val="right" w:pos="1004"/>
      </w:tabs>
      <w:spacing w:before="40" w:line="240" w:lineRule="atLeast"/>
      <w:ind w:left="1253" w:hanging="1253"/>
    </w:pPr>
    <w:rPr>
      <w:sz w:val="20"/>
    </w:rPr>
  </w:style>
  <w:style w:type="paragraph" w:customStyle="1" w:styleId="CTA2a">
    <w:name w:val="CTA 2(a)"/>
    <w:basedOn w:val="OPCParaBase"/>
    <w:rsid w:val="00B4686B"/>
    <w:pPr>
      <w:tabs>
        <w:tab w:val="right" w:pos="482"/>
      </w:tabs>
      <w:spacing w:before="40" w:line="240" w:lineRule="atLeast"/>
      <w:ind w:left="748" w:hanging="748"/>
    </w:pPr>
    <w:rPr>
      <w:sz w:val="20"/>
    </w:rPr>
  </w:style>
  <w:style w:type="paragraph" w:customStyle="1" w:styleId="CTA2ai">
    <w:name w:val="CTA 2(a)(i)"/>
    <w:basedOn w:val="OPCParaBase"/>
    <w:rsid w:val="00B4686B"/>
    <w:pPr>
      <w:tabs>
        <w:tab w:val="right" w:pos="1089"/>
      </w:tabs>
      <w:spacing w:before="40" w:line="240" w:lineRule="atLeast"/>
      <w:ind w:left="1327" w:hanging="1327"/>
    </w:pPr>
    <w:rPr>
      <w:sz w:val="20"/>
    </w:rPr>
  </w:style>
  <w:style w:type="paragraph" w:customStyle="1" w:styleId="CTA3a">
    <w:name w:val="CTA 3(a)"/>
    <w:basedOn w:val="OPCParaBase"/>
    <w:rsid w:val="00B4686B"/>
    <w:pPr>
      <w:tabs>
        <w:tab w:val="right" w:pos="556"/>
      </w:tabs>
      <w:spacing w:before="40" w:line="240" w:lineRule="atLeast"/>
      <w:ind w:left="805" w:hanging="805"/>
    </w:pPr>
    <w:rPr>
      <w:sz w:val="20"/>
    </w:rPr>
  </w:style>
  <w:style w:type="paragraph" w:customStyle="1" w:styleId="CTA3ai">
    <w:name w:val="CTA 3(a)(i)"/>
    <w:basedOn w:val="OPCParaBase"/>
    <w:rsid w:val="00B4686B"/>
    <w:pPr>
      <w:tabs>
        <w:tab w:val="right" w:pos="1140"/>
      </w:tabs>
      <w:spacing w:before="40" w:line="240" w:lineRule="atLeast"/>
      <w:ind w:left="1361" w:hanging="1361"/>
    </w:pPr>
    <w:rPr>
      <w:sz w:val="20"/>
    </w:rPr>
  </w:style>
  <w:style w:type="paragraph" w:customStyle="1" w:styleId="CTA4a">
    <w:name w:val="CTA 4(a)"/>
    <w:basedOn w:val="OPCParaBase"/>
    <w:rsid w:val="00B4686B"/>
    <w:pPr>
      <w:tabs>
        <w:tab w:val="right" w:pos="624"/>
      </w:tabs>
      <w:spacing w:before="40" w:line="240" w:lineRule="atLeast"/>
      <w:ind w:left="873" w:hanging="873"/>
    </w:pPr>
    <w:rPr>
      <w:sz w:val="20"/>
    </w:rPr>
  </w:style>
  <w:style w:type="paragraph" w:customStyle="1" w:styleId="CTA4ai">
    <w:name w:val="CTA 4(a)(i)"/>
    <w:basedOn w:val="OPCParaBase"/>
    <w:rsid w:val="00B4686B"/>
    <w:pPr>
      <w:tabs>
        <w:tab w:val="right" w:pos="1213"/>
      </w:tabs>
      <w:spacing w:before="40" w:line="240" w:lineRule="atLeast"/>
      <w:ind w:left="1452" w:hanging="1452"/>
    </w:pPr>
    <w:rPr>
      <w:sz w:val="20"/>
    </w:rPr>
  </w:style>
  <w:style w:type="paragraph" w:customStyle="1" w:styleId="CTACAPS">
    <w:name w:val="CTA CAPS"/>
    <w:basedOn w:val="OPCParaBase"/>
    <w:rsid w:val="00B4686B"/>
    <w:pPr>
      <w:spacing w:before="60" w:line="240" w:lineRule="atLeast"/>
    </w:pPr>
    <w:rPr>
      <w:sz w:val="20"/>
    </w:rPr>
  </w:style>
  <w:style w:type="paragraph" w:customStyle="1" w:styleId="CTAright">
    <w:name w:val="CTA right"/>
    <w:basedOn w:val="OPCParaBase"/>
    <w:rsid w:val="00B4686B"/>
    <w:pPr>
      <w:spacing w:before="60" w:line="240" w:lineRule="auto"/>
      <w:jc w:val="right"/>
    </w:pPr>
    <w:rPr>
      <w:sz w:val="20"/>
    </w:rPr>
  </w:style>
  <w:style w:type="paragraph" w:customStyle="1" w:styleId="subsection">
    <w:name w:val="subsection"/>
    <w:aliases w:val="ss"/>
    <w:basedOn w:val="OPCParaBase"/>
    <w:rsid w:val="00B4686B"/>
    <w:pPr>
      <w:tabs>
        <w:tab w:val="right" w:pos="1021"/>
      </w:tabs>
      <w:spacing w:before="180" w:line="240" w:lineRule="auto"/>
      <w:ind w:left="1134" w:hanging="1134"/>
    </w:pPr>
  </w:style>
  <w:style w:type="paragraph" w:customStyle="1" w:styleId="Definition">
    <w:name w:val="Definition"/>
    <w:aliases w:val="dd"/>
    <w:basedOn w:val="OPCParaBase"/>
    <w:rsid w:val="00B4686B"/>
    <w:pPr>
      <w:spacing w:before="180" w:line="240" w:lineRule="auto"/>
      <w:ind w:left="1134"/>
    </w:pPr>
  </w:style>
  <w:style w:type="paragraph" w:customStyle="1" w:styleId="ETAsubitem">
    <w:name w:val="ETA(subitem)"/>
    <w:basedOn w:val="OPCParaBase"/>
    <w:rsid w:val="00B4686B"/>
    <w:pPr>
      <w:tabs>
        <w:tab w:val="right" w:pos="340"/>
      </w:tabs>
      <w:spacing w:before="60" w:line="240" w:lineRule="auto"/>
      <w:ind w:left="454" w:hanging="454"/>
    </w:pPr>
    <w:rPr>
      <w:sz w:val="20"/>
    </w:rPr>
  </w:style>
  <w:style w:type="paragraph" w:customStyle="1" w:styleId="ETApara">
    <w:name w:val="ETA(para)"/>
    <w:basedOn w:val="OPCParaBase"/>
    <w:rsid w:val="00B4686B"/>
    <w:pPr>
      <w:tabs>
        <w:tab w:val="right" w:pos="754"/>
      </w:tabs>
      <w:spacing w:before="60" w:line="240" w:lineRule="auto"/>
      <w:ind w:left="828" w:hanging="828"/>
    </w:pPr>
    <w:rPr>
      <w:sz w:val="20"/>
    </w:rPr>
  </w:style>
  <w:style w:type="paragraph" w:customStyle="1" w:styleId="ETAsubpara">
    <w:name w:val="ETA(subpara)"/>
    <w:basedOn w:val="OPCParaBase"/>
    <w:rsid w:val="00B4686B"/>
    <w:pPr>
      <w:tabs>
        <w:tab w:val="right" w:pos="1083"/>
      </w:tabs>
      <w:spacing w:before="60" w:line="240" w:lineRule="auto"/>
      <w:ind w:left="1191" w:hanging="1191"/>
    </w:pPr>
    <w:rPr>
      <w:sz w:val="20"/>
    </w:rPr>
  </w:style>
  <w:style w:type="paragraph" w:customStyle="1" w:styleId="ETAsub-subpara">
    <w:name w:val="ETA(sub-subpara)"/>
    <w:basedOn w:val="OPCParaBase"/>
    <w:rsid w:val="00B4686B"/>
    <w:pPr>
      <w:tabs>
        <w:tab w:val="right" w:pos="1412"/>
      </w:tabs>
      <w:spacing w:before="60" w:line="240" w:lineRule="auto"/>
      <w:ind w:left="1525" w:hanging="1525"/>
    </w:pPr>
    <w:rPr>
      <w:sz w:val="20"/>
    </w:rPr>
  </w:style>
  <w:style w:type="paragraph" w:customStyle="1" w:styleId="Formula">
    <w:name w:val="Formula"/>
    <w:basedOn w:val="OPCParaBase"/>
    <w:rsid w:val="00B4686B"/>
    <w:pPr>
      <w:spacing w:line="240" w:lineRule="auto"/>
      <w:ind w:left="1134"/>
    </w:pPr>
    <w:rPr>
      <w:sz w:val="20"/>
    </w:rPr>
  </w:style>
  <w:style w:type="paragraph" w:styleId="Header">
    <w:name w:val="header"/>
    <w:basedOn w:val="OPCParaBase"/>
    <w:link w:val="HeaderChar"/>
    <w:unhideWhenUsed/>
    <w:rsid w:val="00B4686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686B"/>
    <w:rPr>
      <w:rFonts w:eastAsia="Times New Roman" w:cs="Times New Roman"/>
      <w:sz w:val="16"/>
      <w:lang w:eastAsia="en-AU"/>
    </w:rPr>
  </w:style>
  <w:style w:type="paragraph" w:customStyle="1" w:styleId="House">
    <w:name w:val="House"/>
    <w:basedOn w:val="OPCParaBase"/>
    <w:rsid w:val="00B4686B"/>
    <w:pPr>
      <w:spacing w:line="240" w:lineRule="auto"/>
    </w:pPr>
    <w:rPr>
      <w:sz w:val="28"/>
    </w:rPr>
  </w:style>
  <w:style w:type="paragraph" w:customStyle="1" w:styleId="Item">
    <w:name w:val="Item"/>
    <w:aliases w:val="i"/>
    <w:basedOn w:val="OPCParaBase"/>
    <w:next w:val="ItemHead"/>
    <w:rsid w:val="00B4686B"/>
    <w:pPr>
      <w:keepLines/>
      <w:spacing w:before="80" w:line="240" w:lineRule="auto"/>
      <w:ind w:left="709"/>
    </w:pPr>
  </w:style>
  <w:style w:type="paragraph" w:customStyle="1" w:styleId="ItemHead">
    <w:name w:val="ItemHead"/>
    <w:aliases w:val="ih"/>
    <w:basedOn w:val="OPCParaBase"/>
    <w:next w:val="Item"/>
    <w:rsid w:val="00B4686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4686B"/>
    <w:pPr>
      <w:spacing w:line="240" w:lineRule="auto"/>
    </w:pPr>
    <w:rPr>
      <w:b/>
      <w:sz w:val="32"/>
    </w:rPr>
  </w:style>
  <w:style w:type="paragraph" w:customStyle="1" w:styleId="notedraft">
    <w:name w:val="note(draft)"/>
    <w:aliases w:val="nd"/>
    <w:basedOn w:val="OPCParaBase"/>
    <w:rsid w:val="00B4686B"/>
    <w:pPr>
      <w:spacing w:before="240" w:line="240" w:lineRule="auto"/>
      <w:ind w:left="284" w:hanging="284"/>
    </w:pPr>
    <w:rPr>
      <w:i/>
      <w:sz w:val="24"/>
    </w:rPr>
  </w:style>
  <w:style w:type="paragraph" w:customStyle="1" w:styleId="notemargin">
    <w:name w:val="note(margin)"/>
    <w:aliases w:val="nm"/>
    <w:basedOn w:val="OPCParaBase"/>
    <w:rsid w:val="00B4686B"/>
    <w:pPr>
      <w:tabs>
        <w:tab w:val="left" w:pos="709"/>
      </w:tabs>
      <w:spacing w:before="122" w:line="198" w:lineRule="exact"/>
      <w:ind w:left="709" w:hanging="709"/>
    </w:pPr>
    <w:rPr>
      <w:sz w:val="18"/>
    </w:rPr>
  </w:style>
  <w:style w:type="paragraph" w:customStyle="1" w:styleId="noteToPara">
    <w:name w:val="noteToPara"/>
    <w:aliases w:val="ntp"/>
    <w:basedOn w:val="OPCParaBase"/>
    <w:rsid w:val="00B4686B"/>
    <w:pPr>
      <w:spacing w:before="122" w:line="198" w:lineRule="exact"/>
      <w:ind w:left="2353" w:hanging="709"/>
    </w:pPr>
    <w:rPr>
      <w:sz w:val="18"/>
    </w:rPr>
  </w:style>
  <w:style w:type="paragraph" w:customStyle="1" w:styleId="noteParlAmend">
    <w:name w:val="note(ParlAmend)"/>
    <w:aliases w:val="npp"/>
    <w:basedOn w:val="OPCParaBase"/>
    <w:next w:val="ParlAmend"/>
    <w:rsid w:val="00B4686B"/>
    <w:pPr>
      <w:spacing w:line="240" w:lineRule="auto"/>
      <w:jc w:val="right"/>
    </w:pPr>
    <w:rPr>
      <w:rFonts w:ascii="Arial" w:hAnsi="Arial"/>
      <w:b/>
      <w:i/>
    </w:rPr>
  </w:style>
  <w:style w:type="paragraph" w:customStyle="1" w:styleId="notetext">
    <w:name w:val="note(text)"/>
    <w:aliases w:val="n"/>
    <w:basedOn w:val="OPCParaBase"/>
    <w:rsid w:val="00B4686B"/>
    <w:pPr>
      <w:spacing w:before="122" w:line="198" w:lineRule="exact"/>
      <w:ind w:left="1985" w:hanging="851"/>
    </w:pPr>
    <w:rPr>
      <w:sz w:val="18"/>
    </w:rPr>
  </w:style>
  <w:style w:type="paragraph" w:customStyle="1" w:styleId="Page1">
    <w:name w:val="Page1"/>
    <w:basedOn w:val="OPCParaBase"/>
    <w:rsid w:val="00B4686B"/>
    <w:pPr>
      <w:spacing w:before="5600" w:line="240" w:lineRule="auto"/>
    </w:pPr>
    <w:rPr>
      <w:b/>
      <w:sz w:val="32"/>
    </w:rPr>
  </w:style>
  <w:style w:type="paragraph" w:customStyle="1" w:styleId="PageBreak">
    <w:name w:val="PageBreak"/>
    <w:aliases w:val="pb"/>
    <w:basedOn w:val="OPCParaBase"/>
    <w:rsid w:val="00B4686B"/>
    <w:pPr>
      <w:spacing w:line="240" w:lineRule="auto"/>
    </w:pPr>
    <w:rPr>
      <w:sz w:val="20"/>
    </w:rPr>
  </w:style>
  <w:style w:type="paragraph" w:customStyle="1" w:styleId="paragraphsub">
    <w:name w:val="paragraph(sub)"/>
    <w:aliases w:val="aa"/>
    <w:basedOn w:val="OPCParaBase"/>
    <w:rsid w:val="00B4686B"/>
    <w:pPr>
      <w:tabs>
        <w:tab w:val="right" w:pos="1985"/>
      </w:tabs>
      <w:spacing w:before="40" w:line="240" w:lineRule="auto"/>
      <w:ind w:left="2098" w:hanging="2098"/>
    </w:pPr>
  </w:style>
  <w:style w:type="paragraph" w:customStyle="1" w:styleId="paragraphsub-sub">
    <w:name w:val="paragraph(sub-sub)"/>
    <w:aliases w:val="aaa"/>
    <w:basedOn w:val="OPCParaBase"/>
    <w:rsid w:val="00B4686B"/>
    <w:pPr>
      <w:tabs>
        <w:tab w:val="right" w:pos="2722"/>
      </w:tabs>
      <w:spacing w:before="40" w:line="240" w:lineRule="auto"/>
      <w:ind w:left="2835" w:hanging="2835"/>
    </w:pPr>
  </w:style>
  <w:style w:type="paragraph" w:customStyle="1" w:styleId="paragraph">
    <w:name w:val="paragraph"/>
    <w:aliases w:val="a"/>
    <w:basedOn w:val="OPCParaBase"/>
    <w:rsid w:val="00B4686B"/>
    <w:pPr>
      <w:tabs>
        <w:tab w:val="right" w:pos="1531"/>
      </w:tabs>
      <w:spacing w:before="40" w:line="240" w:lineRule="auto"/>
      <w:ind w:left="1644" w:hanging="1644"/>
    </w:pPr>
  </w:style>
  <w:style w:type="paragraph" w:customStyle="1" w:styleId="ParlAmend">
    <w:name w:val="ParlAmend"/>
    <w:aliases w:val="pp"/>
    <w:basedOn w:val="OPCParaBase"/>
    <w:rsid w:val="00B4686B"/>
    <w:pPr>
      <w:spacing w:before="240" w:line="240" w:lineRule="atLeast"/>
      <w:ind w:hanging="567"/>
    </w:pPr>
    <w:rPr>
      <w:sz w:val="24"/>
    </w:rPr>
  </w:style>
  <w:style w:type="paragraph" w:customStyle="1" w:styleId="Penalty">
    <w:name w:val="Penalty"/>
    <w:basedOn w:val="OPCParaBase"/>
    <w:rsid w:val="00B4686B"/>
    <w:pPr>
      <w:tabs>
        <w:tab w:val="left" w:pos="2977"/>
      </w:tabs>
      <w:spacing w:before="180" w:line="240" w:lineRule="auto"/>
      <w:ind w:left="1985" w:hanging="851"/>
    </w:pPr>
  </w:style>
  <w:style w:type="paragraph" w:customStyle="1" w:styleId="Portfolio">
    <w:name w:val="Portfolio"/>
    <w:basedOn w:val="OPCParaBase"/>
    <w:rsid w:val="00B4686B"/>
    <w:pPr>
      <w:spacing w:line="240" w:lineRule="auto"/>
    </w:pPr>
    <w:rPr>
      <w:i/>
      <w:sz w:val="20"/>
    </w:rPr>
  </w:style>
  <w:style w:type="paragraph" w:customStyle="1" w:styleId="Preamble">
    <w:name w:val="Preamble"/>
    <w:basedOn w:val="OPCParaBase"/>
    <w:next w:val="Normal"/>
    <w:rsid w:val="00B4686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686B"/>
    <w:pPr>
      <w:spacing w:line="240" w:lineRule="auto"/>
    </w:pPr>
    <w:rPr>
      <w:i/>
      <w:sz w:val="20"/>
    </w:rPr>
  </w:style>
  <w:style w:type="paragraph" w:customStyle="1" w:styleId="Session">
    <w:name w:val="Session"/>
    <w:basedOn w:val="OPCParaBase"/>
    <w:rsid w:val="00B4686B"/>
    <w:pPr>
      <w:spacing w:line="240" w:lineRule="auto"/>
    </w:pPr>
    <w:rPr>
      <w:sz w:val="28"/>
    </w:rPr>
  </w:style>
  <w:style w:type="paragraph" w:customStyle="1" w:styleId="Sponsor">
    <w:name w:val="Sponsor"/>
    <w:basedOn w:val="OPCParaBase"/>
    <w:rsid w:val="00B4686B"/>
    <w:pPr>
      <w:spacing w:line="240" w:lineRule="auto"/>
    </w:pPr>
    <w:rPr>
      <w:i/>
    </w:rPr>
  </w:style>
  <w:style w:type="paragraph" w:customStyle="1" w:styleId="Subitem">
    <w:name w:val="Subitem"/>
    <w:aliases w:val="iss"/>
    <w:basedOn w:val="OPCParaBase"/>
    <w:rsid w:val="00B4686B"/>
    <w:pPr>
      <w:spacing w:before="180" w:line="240" w:lineRule="auto"/>
      <w:ind w:left="709" w:hanging="709"/>
    </w:pPr>
  </w:style>
  <w:style w:type="paragraph" w:customStyle="1" w:styleId="SubitemHead">
    <w:name w:val="SubitemHead"/>
    <w:aliases w:val="issh"/>
    <w:basedOn w:val="OPCParaBase"/>
    <w:rsid w:val="00B4686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686B"/>
    <w:pPr>
      <w:spacing w:before="40" w:line="240" w:lineRule="auto"/>
      <w:ind w:left="1134"/>
    </w:pPr>
  </w:style>
  <w:style w:type="paragraph" w:customStyle="1" w:styleId="SubsectionHead">
    <w:name w:val="SubsectionHead"/>
    <w:aliases w:val="ssh"/>
    <w:basedOn w:val="OPCParaBase"/>
    <w:next w:val="subsection"/>
    <w:rsid w:val="00B4686B"/>
    <w:pPr>
      <w:keepNext/>
      <w:keepLines/>
      <w:spacing w:before="240" w:line="240" w:lineRule="auto"/>
      <w:ind w:left="1134"/>
    </w:pPr>
    <w:rPr>
      <w:i/>
    </w:rPr>
  </w:style>
  <w:style w:type="paragraph" w:customStyle="1" w:styleId="Tablea">
    <w:name w:val="Table(a)"/>
    <w:aliases w:val="ta"/>
    <w:basedOn w:val="OPCParaBase"/>
    <w:rsid w:val="00B4686B"/>
    <w:pPr>
      <w:spacing w:before="60" w:line="240" w:lineRule="auto"/>
      <w:ind w:left="284" w:hanging="284"/>
    </w:pPr>
    <w:rPr>
      <w:sz w:val="20"/>
    </w:rPr>
  </w:style>
  <w:style w:type="paragraph" w:customStyle="1" w:styleId="TableAA">
    <w:name w:val="Table(AA)"/>
    <w:aliases w:val="taaa"/>
    <w:basedOn w:val="OPCParaBase"/>
    <w:rsid w:val="00B4686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686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686B"/>
    <w:pPr>
      <w:spacing w:before="60" w:line="240" w:lineRule="atLeast"/>
    </w:pPr>
    <w:rPr>
      <w:sz w:val="20"/>
    </w:rPr>
  </w:style>
  <w:style w:type="paragraph" w:customStyle="1" w:styleId="TLPBoxTextnote">
    <w:name w:val="TLPBoxText(note"/>
    <w:aliases w:val="right)"/>
    <w:basedOn w:val="OPCParaBase"/>
    <w:rsid w:val="00B4686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686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686B"/>
    <w:pPr>
      <w:spacing w:before="122" w:line="198" w:lineRule="exact"/>
      <w:ind w:left="1985" w:hanging="851"/>
      <w:jc w:val="right"/>
    </w:pPr>
    <w:rPr>
      <w:sz w:val="18"/>
    </w:rPr>
  </w:style>
  <w:style w:type="paragraph" w:customStyle="1" w:styleId="TLPTableBullet">
    <w:name w:val="TLPTableBullet"/>
    <w:aliases w:val="ttb"/>
    <w:basedOn w:val="OPCParaBase"/>
    <w:rsid w:val="00B4686B"/>
    <w:pPr>
      <w:spacing w:line="240" w:lineRule="exact"/>
      <w:ind w:left="284" w:hanging="284"/>
    </w:pPr>
    <w:rPr>
      <w:sz w:val="20"/>
    </w:rPr>
  </w:style>
  <w:style w:type="paragraph" w:styleId="TOC1">
    <w:name w:val="toc 1"/>
    <w:basedOn w:val="OPCParaBase"/>
    <w:next w:val="Normal"/>
    <w:uiPriority w:val="39"/>
    <w:unhideWhenUsed/>
    <w:rsid w:val="00B4686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686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4686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686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686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4686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686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686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686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686B"/>
    <w:pPr>
      <w:keepLines/>
      <w:spacing w:before="240" w:after="120" w:line="240" w:lineRule="auto"/>
      <w:ind w:left="794"/>
    </w:pPr>
    <w:rPr>
      <w:b/>
      <w:kern w:val="28"/>
      <w:sz w:val="20"/>
    </w:rPr>
  </w:style>
  <w:style w:type="paragraph" w:customStyle="1" w:styleId="TofSectsHeading">
    <w:name w:val="TofSects(Heading)"/>
    <w:basedOn w:val="OPCParaBase"/>
    <w:rsid w:val="00B4686B"/>
    <w:pPr>
      <w:spacing w:before="240" w:after="120" w:line="240" w:lineRule="auto"/>
    </w:pPr>
    <w:rPr>
      <w:b/>
      <w:sz w:val="24"/>
    </w:rPr>
  </w:style>
  <w:style w:type="paragraph" w:customStyle="1" w:styleId="TofSectsSection">
    <w:name w:val="TofSects(Section)"/>
    <w:basedOn w:val="OPCParaBase"/>
    <w:rsid w:val="00B4686B"/>
    <w:pPr>
      <w:keepLines/>
      <w:spacing w:before="40" w:line="240" w:lineRule="auto"/>
      <w:ind w:left="1588" w:hanging="794"/>
    </w:pPr>
    <w:rPr>
      <w:kern w:val="28"/>
      <w:sz w:val="18"/>
    </w:rPr>
  </w:style>
  <w:style w:type="paragraph" w:customStyle="1" w:styleId="TofSectsSubdiv">
    <w:name w:val="TofSects(Subdiv)"/>
    <w:basedOn w:val="OPCParaBase"/>
    <w:rsid w:val="00B4686B"/>
    <w:pPr>
      <w:keepLines/>
      <w:spacing w:before="80" w:line="240" w:lineRule="auto"/>
      <w:ind w:left="1588" w:hanging="794"/>
    </w:pPr>
    <w:rPr>
      <w:kern w:val="28"/>
    </w:rPr>
  </w:style>
  <w:style w:type="paragraph" w:customStyle="1" w:styleId="WRStyle">
    <w:name w:val="WR Style"/>
    <w:aliases w:val="WR"/>
    <w:basedOn w:val="OPCParaBase"/>
    <w:rsid w:val="00B4686B"/>
    <w:pPr>
      <w:spacing w:before="240" w:line="240" w:lineRule="auto"/>
      <w:ind w:left="284" w:hanging="284"/>
    </w:pPr>
    <w:rPr>
      <w:b/>
      <w:i/>
      <w:kern w:val="28"/>
      <w:sz w:val="24"/>
    </w:rPr>
  </w:style>
  <w:style w:type="paragraph" w:customStyle="1" w:styleId="notepara">
    <w:name w:val="note(para)"/>
    <w:aliases w:val="na"/>
    <w:basedOn w:val="OPCParaBase"/>
    <w:rsid w:val="00B4686B"/>
    <w:pPr>
      <w:spacing w:before="40" w:line="198" w:lineRule="exact"/>
      <w:ind w:left="2354" w:hanging="369"/>
    </w:pPr>
    <w:rPr>
      <w:sz w:val="18"/>
    </w:rPr>
  </w:style>
  <w:style w:type="paragraph" w:styleId="Footer">
    <w:name w:val="footer"/>
    <w:link w:val="FooterChar"/>
    <w:rsid w:val="00B4686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4686B"/>
    <w:rPr>
      <w:rFonts w:eastAsia="Times New Roman" w:cs="Times New Roman"/>
      <w:sz w:val="22"/>
      <w:szCs w:val="24"/>
      <w:lang w:eastAsia="en-AU"/>
    </w:rPr>
  </w:style>
  <w:style w:type="character" w:styleId="LineNumber">
    <w:name w:val="line number"/>
    <w:basedOn w:val="OPCCharBase"/>
    <w:uiPriority w:val="99"/>
    <w:semiHidden/>
    <w:unhideWhenUsed/>
    <w:rsid w:val="00B4686B"/>
    <w:rPr>
      <w:sz w:val="16"/>
    </w:rPr>
  </w:style>
  <w:style w:type="table" w:customStyle="1" w:styleId="CFlag">
    <w:name w:val="CFlag"/>
    <w:basedOn w:val="TableNormal"/>
    <w:uiPriority w:val="99"/>
    <w:rsid w:val="00B4686B"/>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8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86B"/>
    <w:rPr>
      <w:rFonts w:ascii="Tahoma" w:hAnsi="Tahoma" w:cs="Tahoma"/>
      <w:sz w:val="16"/>
      <w:szCs w:val="16"/>
    </w:rPr>
  </w:style>
  <w:style w:type="character" w:styleId="Hyperlink">
    <w:name w:val="Hyperlink"/>
    <w:basedOn w:val="DefaultParagraphFont"/>
    <w:rsid w:val="00B4686B"/>
    <w:rPr>
      <w:color w:val="0000FF"/>
      <w:u w:val="single"/>
    </w:rPr>
  </w:style>
  <w:style w:type="table" w:styleId="TableGrid">
    <w:name w:val="Table Grid"/>
    <w:basedOn w:val="TableNormal"/>
    <w:uiPriority w:val="59"/>
    <w:rsid w:val="00B46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4686B"/>
    <w:rPr>
      <w:b/>
      <w:sz w:val="28"/>
      <w:szCs w:val="32"/>
    </w:rPr>
  </w:style>
  <w:style w:type="paragraph" w:customStyle="1" w:styleId="TerritoryT">
    <w:name w:val="TerritoryT"/>
    <w:basedOn w:val="OPCParaBase"/>
    <w:next w:val="Normal"/>
    <w:rsid w:val="00B4686B"/>
    <w:rPr>
      <w:b/>
      <w:sz w:val="32"/>
    </w:rPr>
  </w:style>
  <w:style w:type="paragraph" w:customStyle="1" w:styleId="LegislationMadeUnder">
    <w:name w:val="LegislationMadeUnder"/>
    <w:basedOn w:val="OPCParaBase"/>
    <w:next w:val="Normal"/>
    <w:rsid w:val="00B4686B"/>
    <w:rPr>
      <w:i/>
      <w:sz w:val="32"/>
      <w:szCs w:val="32"/>
    </w:rPr>
  </w:style>
  <w:style w:type="paragraph" w:customStyle="1" w:styleId="SignCoverPageEnd">
    <w:name w:val="SignCoverPageEnd"/>
    <w:basedOn w:val="OPCParaBase"/>
    <w:next w:val="Normal"/>
    <w:rsid w:val="00B4686B"/>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4686B"/>
    <w:pPr>
      <w:pBdr>
        <w:top w:val="single" w:sz="4" w:space="1" w:color="auto"/>
      </w:pBdr>
      <w:spacing w:before="360"/>
      <w:ind w:right="397"/>
      <w:jc w:val="both"/>
    </w:pPr>
  </w:style>
  <w:style w:type="paragraph" w:customStyle="1" w:styleId="NotesHeading1">
    <w:name w:val="NotesHeading 1"/>
    <w:basedOn w:val="OPCParaBase"/>
    <w:next w:val="Normal"/>
    <w:rsid w:val="00B4686B"/>
    <w:rPr>
      <w:b/>
      <w:sz w:val="28"/>
      <w:szCs w:val="28"/>
    </w:rPr>
  </w:style>
  <w:style w:type="paragraph" w:customStyle="1" w:styleId="NotesHeading2">
    <w:name w:val="NotesHeading 2"/>
    <w:basedOn w:val="OPCParaBase"/>
    <w:next w:val="Normal"/>
    <w:rsid w:val="00B4686B"/>
    <w:rPr>
      <w:b/>
      <w:sz w:val="28"/>
      <w:szCs w:val="28"/>
    </w:rPr>
  </w:style>
  <w:style w:type="paragraph" w:customStyle="1" w:styleId="ENotesText">
    <w:name w:val="ENotesText"/>
    <w:basedOn w:val="OPCParaBase"/>
    <w:next w:val="Normal"/>
    <w:rsid w:val="00B4686B"/>
  </w:style>
  <w:style w:type="paragraph" w:customStyle="1" w:styleId="CompiledActNo">
    <w:name w:val="CompiledActNo"/>
    <w:basedOn w:val="OPCParaBase"/>
    <w:next w:val="Normal"/>
    <w:rsid w:val="00B4686B"/>
    <w:rPr>
      <w:b/>
      <w:sz w:val="24"/>
      <w:szCs w:val="24"/>
    </w:rPr>
  </w:style>
  <w:style w:type="paragraph" w:customStyle="1" w:styleId="CompiledMadeUnder">
    <w:name w:val="CompiledMadeUnder"/>
    <w:basedOn w:val="OPCParaBase"/>
    <w:next w:val="Normal"/>
    <w:rsid w:val="00B4686B"/>
    <w:rPr>
      <w:i/>
      <w:sz w:val="24"/>
      <w:szCs w:val="24"/>
    </w:rPr>
  </w:style>
  <w:style w:type="paragraph" w:customStyle="1" w:styleId="Paragraphsub-sub-sub">
    <w:name w:val="Paragraph(sub-sub-sub)"/>
    <w:aliases w:val="aaaa"/>
    <w:basedOn w:val="OPCParaBase"/>
    <w:rsid w:val="00B4686B"/>
    <w:pPr>
      <w:tabs>
        <w:tab w:val="right" w:pos="3402"/>
      </w:tabs>
      <w:spacing w:before="40" w:line="240" w:lineRule="auto"/>
      <w:ind w:left="3402" w:hanging="3402"/>
    </w:pPr>
  </w:style>
  <w:style w:type="paragraph" w:customStyle="1" w:styleId="SubPartCASA">
    <w:name w:val="SubPart(CASA)"/>
    <w:aliases w:val="csp"/>
    <w:basedOn w:val="OPCParaBase"/>
    <w:next w:val="ActHead3"/>
    <w:rsid w:val="00B4686B"/>
    <w:pPr>
      <w:keepNext/>
      <w:keepLines/>
      <w:spacing w:before="280"/>
      <w:outlineLvl w:val="1"/>
    </w:pPr>
    <w:rPr>
      <w:b/>
      <w:kern w:val="28"/>
      <w:sz w:val="32"/>
    </w:rPr>
  </w:style>
  <w:style w:type="paragraph" w:customStyle="1" w:styleId="TableHeading">
    <w:name w:val="TableHeading"/>
    <w:aliases w:val="th"/>
    <w:basedOn w:val="OPCParaBase"/>
    <w:next w:val="Tabletext"/>
    <w:rsid w:val="00B4686B"/>
    <w:pPr>
      <w:keepNext/>
      <w:spacing w:before="60" w:line="240" w:lineRule="atLeast"/>
    </w:pPr>
    <w:rPr>
      <w:b/>
      <w:sz w:val="20"/>
    </w:rPr>
  </w:style>
  <w:style w:type="paragraph" w:customStyle="1" w:styleId="NoteToSubpara">
    <w:name w:val="NoteToSubpara"/>
    <w:aliases w:val="nts"/>
    <w:basedOn w:val="OPCParaBase"/>
    <w:rsid w:val="00B4686B"/>
    <w:pPr>
      <w:spacing w:before="40" w:line="198" w:lineRule="exact"/>
      <w:ind w:left="2835" w:hanging="709"/>
    </w:pPr>
    <w:rPr>
      <w:sz w:val="18"/>
    </w:rPr>
  </w:style>
  <w:style w:type="paragraph" w:customStyle="1" w:styleId="EndNotespara">
    <w:name w:val="EndNotes(para)"/>
    <w:aliases w:val="eta"/>
    <w:basedOn w:val="OPCParaBase"/>
    <w:next w:val="Normal"/>
    <w:rsid w:val="00B4686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686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4686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686B"/>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B4686B"/>
    <w:pPr>
      <w:keepNext/>
      <w:spacing w:before="60" w:line="240" w:lineRule="atLeast"/>
    </w:pPr>
    <w:rPr>
      <w:rFonts w:ascii="Arial" w:hAnsi="Arial"/>
      <w:b/>
      <w:sz w:val="16"/>
    </w:rPr>
  </w:style>
  <w:style w:type="paragraph" w:customStyle="1" w:styleId="ENoteTTi">
    <w:name w:val="ENoteTTi"/>
    <w:aliases w:val="entti"/>
    <w:basedOn w:val="OPCParaBase"/>
    <w:rsid w:val="00B4686B"/>
    <w:pPr>
      <w:keepNext/>
      <w:spacing w:before="60" w:line="240" w:lineRule="atLeast"/>
      <w:ind w:left="170"/>
    </w:pPr>
    <w:rPr>
      <w:sz w:val="16"/>
    </w:rPr>
  </w:style>
  <w:style w:type="paragraph" w:customStyle="1" w:styleId="ENotesHeading1">
    <w:name w:val="ENotesHeading 1"/>
    <w:aliases w:val="Enh1"/>
    <w:basedOn w:val="OPCParaBase"/>
    <w:next w:val="Normal"/>
    <w:rsid w:val="00B4686B"/>
    <w:pPr>
      <w:spacing w:before="120"/>
      <w:outlineLvl w:val="1"/>
    </w:pPr>
    <w:rPr>
      <w:b/>
      <w:sz w:val="28"/>
      <w:szCs w:val="28"/>
    </w:rPr>
  </w:style>
  <w:style w:type="paragraph" w:customStyle="1" w:styleId="ENotesHeading2">
    <w:name w:val="ENotesHeading 2"/>
    <w:aliases w:val="Enh2"/>
    <w:basedOn w:val="OPCParaBase"/>
    <w:next w:val="Normal"/>
    <w:rsid w:val="00B4686B"/>
    <w:pPr>
      <w:spacing w:before="120" w:after="120"/>
      <w:outlineLvl w:val="2"/>
    </w:pPr>
    <w:rPr>
      <w:b/>
      <w:sz w:val="24"/>
      <w:szCs w:val="28"/>
    </w:rPr>
  </w:style>
  <w:style w:type="paragraph" w:customStyle="1" w:styleId="ENoteTTIndentHeading">
    <w:name w:val="ENoteTTIndentHeading"/>
    <w:aliases w:val="enTTHi"/>
    <w:basedOn w:val="OPCParaBase"/>
    <w:rsid w:val="00B4686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686B"/>
    <w:pPr>
      <w:spacing w:before="60" w:line="240" w:lineRule="atLeast"/>
    </w:pPr>
    <w:rPr>
      <w:sz w:val="16"/>
    </w:rPr>
  </w:style>
  <w:style w:type="paragraph" w:customStyle="1" w:styleId="MadeunderText">
    <w:name w:val="MadeunderText"/>
    <w:basedOn w:val="OPCParaBase"/>
    <w:next w:val="CompiledMadeUnder"/>
    <w:rsid w:val="00B4686B"/>
    <w:pPr>
      <w:spacing w:before="240"/>
    </w:pPr>
    <w:rPr>
      <w:sz w:val="24"/>
      <w:szCs w:val="24"/>
    </w:rPr>
  </w:style>
  <w:style w:type="paragraph" w:customStyle="1" w:styleId="ENotesHeading3">
    <w:name w:val="ENotesHeading 3"/>
    <w:aliases w:val="Enh3"/>
    <w:basedOn w:val="OPCParaBase"/>
    <w:next w:val="Normal"/>
    <w:rsid w:val="00B4686B"/>
    <w:pPr>
      <w:keepNext/>
      <w:spacing w:before="120" w:line="240" w:lineRule="auto"/>
      <w:outlineLvl w:val="4"/>
    </w:pPr>
    <w:rPr>
      <w:b/>
      <w:szCs w:val="24"/>
    </w:rPr>
  </w:style>
  <w:style w:type="paragraph" w:styleId="ListParagraph">
    <w:name w:val="List Paragraph"/>
    <w:basedOn w:val="Normal"/>
    <w:qFormat/>
    <w:rsid w:val="001816D2"/>
    <w:pPr>
      <w:spacing w:after="200" w:line="276" w:lineRule="auto"/>
      <w:ind w:left="720"/>
      <w:contextualSpacing/>
    </w:pPr>
    <w:rPr>
      <w:rFonts w:ascii="Calibri" w:eastAsia="Times New Roman" w:hAnsi="Calibri" w:cs="Times New Roman"/>
      <w:szCs w:val="22"/>
    </w:rPr>
  </w:style>
  <w:style w:type="paragraph" w:styleId="Caption">
    <w:name w:val="caption"/>
    <w:basedOn w:val="Normal"/>
    <w:next w:val="Normal"/>
    <w:qFormat/>
    <w:rsid w:val="001816D2"/>
    <w:pPr>
      <w:keepNext/>
      <w:spacing w:before="120" w:after="120" w:line="280" w:lineRule="atLeast"/>
    </w:pPr>
    <w:rPr>
      <w:rFonts w:ascii="Arial" w:eastAsia="Calibri" w:hAnsi="Arial" w:cs="Times New Roman"/>
      <w:b/>
      <w:bCs/>
      <w:sz w:val="20"/>
    </w:rPr>
  </w:style>
  <w:style w:type="character" w:customStyle="1" w:styleId="CharSubPartTextCASA">
    <w:name w:val="CharSubPartText(CASA)"/>
    <w:basedOn w:val="OPCCharBase"/>
    <w:uiPriority w:val="1"/>
    <w:rsid w:val="00B4686B"/>
  </w:style>
  <w:style w:type="character" w:customStyle="1" w:styleId="CharSubPartNoCASA">
    <w:name w:val="CharSubPartNo(CASA)"/>
    <w:basedOn w:val="OPCCharBase"/>
    <w:uiPriority w:val="1"/>
    <w:rsid w:val="00B4686B"/>
  </w:style>
  <w:style w:type="paragraph" w:customStyle="1" w:styleId="ENoteTTIndentHeadingSub">
    <w:name w:val="ENoteTTIndentHeadingSub"/>
    <w:aliases w:val="enTTHis"/>
    <w:basedOn w:val="OPCParaBase"/>
    <w:rsid w:val="00B4686B"/>
    <w:pPr>
      <w:keepNext/>
      <w:spacing w:before="60" w:line="240" w:lineRule="atLeast"/>
      <w:ind w:left="340"/>
    </w:pPr>
    <w:rPr>
      <w:b/>
      <w:sz w:val="16"/>
    </w:rPr>
  </w:style>
  <w:style w:type="paragraph" w:customStyle="1" w:styleId="ENoteTTiSub">
    <w:name w:val="ENoteTTiSub"/>
    <w:aliases w:val="enttis"/>
    <w:basedOn w:val="OPCParaBase"/>
    <w:rsid w:val="00B4686B"/>
    <w:pPr>
      <w:keepNext/>
      <w:spacing w:before="60" w:line="240" w:lineRule="atLeast"/>
      <w:ind w:left="340"/>
    </w:pPr>
    <w:rPr>
      <w:sz w:val="16"/>
    </w:rPr>
  </w:style>
  <w:style w:type="paragraph" w:customStyle="1" w:styleId="SubDivisionMigration">
    <w:name w:val="SubDivisionMigration"/>
    <w:aliases w:val="sdm"/>
    <w:basedOn w:val="OPCParaBase"/>
    <w:rsid w:val="00B4686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686B"/>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686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4686B"/>
  </w:style>
  <w:style w:type="paragraph" w:customStyle="1" w:styleId="OPCParaBase">
    <w:name w:val="OPCParaBase"/>
    <w:qFormat/>
    <w:rsid w:val="00B4686B"/>
    <w:pPr>
      <w:spacing w:line="260" w:lineRule="atLeast"/>
    </w:pPr>
    <w:rPr>
      <w:rFonts w:eastAsia="Times New Roman" w:cs="Times New Roman"/>
      <w:sz w:val="22"/>
      <w:lang w:eastAsia="en-AU"/>
    </w:rPr>
  </w:style>
  <w:style w:type="paragraph" w:customStyle="1" w:styleId="ShortT">
    <w:name w:val="ShortT"/>
    <w:basedOn w:val="OPCParaBase"/>
    <w:next w:val="Normal"/>
    <w:qFormat/>
    <w:rsid w:val="00B4686B"/>
    <w:pPr>
      <w:spacing w:line="240" w:lineRule="auto"/>
    </w:pPr>
    <w:rPr>
      <w:b/>
      <w:sz w:val="40"/>
    </w:rPr>
  </w:style>
  <w:style w:type="paragraph" w:customStyle="1" w:styleId="ActHead1">
    <w:name w:val="ActHead 1"/>
    <w:aliases w:val="c"/>
    <w:basedOn w:val="OPCParaBase"/>
    <w:next w:val="Normal"/>
    <w:qFormat/>
    <w:rsid w:val="00B4686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686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686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686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4686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686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686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686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686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686B"/>
  </w:style>
  <w:style w:type="paragraph" w:customStyle="1" w:styleId="Blocks">
    <w:name w:val="Blocks"/>
    <w:aliases w:val="bb"/>
    <w:basedOn w:val="OPCParaBase"/>
    <w:qFormat/>
    <w:rsid w:val="00B4686B"/>
    <w:pPr>
      <w:spacing w:line="240" w:lineRule="auto"/>
    </w:pPr>
    <w:rPr>
      <w:sz w:val="24"/>
    </w:rPr>
  </w:style>
  <w:style w:type="paragraph" w:customStyle="1" w:styleId="BoxText">
    <w:name w:val="BoxText"/>
    <w:aliases w:val="bt"/>
    <w:basedOn w:val="OPCParaBase"/>
    <w:qFormat/>
    <w:rsid w:val="00B4686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686B"/>
    <w:rPr>
      <w:b/>
    </w:rPr>
  </w:style>
  <w:style w:type="paragraph" w:customStyle="1" w:styleId="BoxHeadItalic">
    <w:name w:val="BoxHeadItalic"/>
    <w:aliases w:val="bhi"/>
    <w:basedOn w:val="BoxText"/>
    <w:next w:val="BoxStep"/>
    <w:qFormat/>
    <w:rsid w:val="00B4686B"/>
    <w:rPr>
      <w:i/>
    </w:rPr>
  </w:style>
  <w:style w:type="paragraph" w:customStyle="1" w:styleId="BoxList">
    <w:name w:val="BoxList"/>
    <w:aliases w:val="bl"/>
    <w:basedOn w:val="BoxText"/>
    <w:qFormat/>
    <w:rsid w:val="00B4686B"/>
    <w:pPr>
      <w:ind w:left="1559" w:hanging="425"/>
    </w:pPr>
  </w:style>
  <w:style w:type="paragraph" w:customStyle="1" w:styleId="BoxNote">
    <w:name w:val="BoxNote"/>
    <w:aliases w:val="bn"/>
    <w:basedOn w:val="BoxText"/>
    <w:qFormat/>
    <w:rsid w:val="00B4686B"/>
    <w:pPr>
      <w:tabs>
        <w:tab w:val="left" w:pos="1985"/>
      </w:tabs>
      <w:spacing w:before="122" w:line="198" w:lineRule="exact"/>
      <w:ind w:left="2948" w:hanging="1814"/>
    </w:pPr>
    <w:rPr>
      <w:sz w:val="18"/>
    </w:rPr>
  </w:style>
  <w:style w:type="paragraph" w:customStyle="1" w:styleId="BoxPara">
    <w:name w:val="BoxPara"/>
    <w:aliases w:val="bp"/>
    <w:basedOn w:val="BoxText"/>
    <w:qFormat/>
    <w:rsid w:val="00B4686B"/>
    <w:pPr>
      <w:tabs>
        <w:tab w:val="right" w:pos="2268"/>
      </w:tabs>
      <w:ind w:left="2552" w:hanging="1418"/>
    </w:pPr>
  </w:style>
  <w:style w:type="paragraph" w:customStyle="1" w:styleId="BoxStep">
    <w:name w:val="BoxStep"/>
    <w:aliases w:val="bs"/>
    <w:basedOn w:val="BoxText"/>
    <w:qFormat/>
    <w:rsid w:val="00B4686B"/>
    <w:pPr>
      <w:ind w:left="1985" w:hanging="851"/>
    </w:pPr>
  </w:style>
  <w:style w:type="character" w:customStyle="1" w:styleId="CharAmPartNo">
    <w:name w:val="CharAmPartNo"/>
    <w:basedOn w:val="OPCCharBase"/>
    <w:qFormat/>
    <w:rsid w:val="00B4686B"/>
  </w:style>
  <w:style w:type="character" w:customStyle="1" w:styleId="CharAmPartText">
    <w:name w:val="CharAmPartText"/>
    <w:basedOn w:val="OPCCharBase"/>
    <w:qFormat/>
    <w:rsid w:val="00B4686B"/>
  </w:style>
  <w:style w:type="character" w:customStyle="1" w:styleId="CharAmSchNo">
    <w:name w:val="CharAmSchNo"/>
    <w:basedOn w:val="OPCCharBase"/>
    <w:qFormat/>
    <w:rsid w:val="00B4686B"/>
  </w:style>
  <w:style w:type="character" w:customStyle="1" w:styleId="CharAmSchText">
    <w:name w:val="CharAmSchText"/>
    <w:basedOn w:val="OPCCharBase"/>
    <w:qFormat/>
    <w:rsid w:val="00B4686B"/>
  </w:style>
  <w:style w:type="character" w:customStyle="1" w:styleId="CharBoldItalic">
    <w:name w:val="CharBoldItalic"/>
    <w:basedOn w:val="OPCCharBase"/>
    <w:uiPriority w:val="1"/>
    <w:qFormat/>
    <w:rsid w:val="00B4686B"/>
    <w:rPr>
      <w:b/>
      <w:i/>
    </w:rPr>
  </w:style>
  <w:style w:type="character" w:customStyle="1" w:styleId="CharChapNo">
    <w:name w:val="CharChapNo"/>
    <w:basedOn w:val="OPCCharBase"/>
    <w:uiPriority w:val="1"/>
    <w:qFormat/>
    <w:rsid w:val="00B4686B"/>
  </w:style>
  <w:style w:type="character" w:customStyle="1" w:styleId="CharChapText">
    <w:name w:val="CharChapText"/>
    <w:basedOn w:val="OPCCharBase"/>
    <w:uiPriority w:val="1"/>
    <w:qFormat/>
    <w:rsid w:val="00B4686B"/>
  </w:style>
  <w:style w:type="character" w:customStyle="1" w:styleId="CharDivNo">
    <w:name w:val="CharDivNo"/>
    <w:basedOn w:val="OPCCharBase"/>
    <w:uiPriority w:val="1"/>
    <w:qFormat/>
    <w:rsid w:val="00B4686B"/>
  </w:style>
  <w:style w:type="character" w:customStyle="1" w:styleId="CharDivText">
    <w:name w:val="CharDivText"/>
    <w:basedOn w:val="OPCCharBase"/>
    <w:uiPriority w:val="1"/>
    <w:qFormat/>
    <w:rsid w:val="00B4686B"/>
  </w:style>
  <w:style w:type="character" w:customStyle="1" w:styleId="CharItalic">
    <w:name w:val="CharItalic"/>
    <w:basedOn w:val="OPCCharBase"/>
    <w:uiPriority w:val="1"/>
    <w:qFormat/>
    <w:rsid w:val="00B4686B"/>
    <w:rPr>
      <w:i/>
    </w:rPr>
  </w:style>
  <w:style w:type="character" w:customStyle="1" w:styleId="CharPartNo">
    <w:name w:val="CharPartNo"/>
    <w:basedOn w:val="OPCCharBase"/>
    <w:uiPriority w:val="1"/>
    <w:qFormat/>
    <w:rsid w:val="00B4686B"/>
  </w:style>
  <w:style w:type="character" w:customStyle="1" w:styleId="CharPartText">
    <w:name w:val="CharPartText"/>
    <w:basedOn w:val="OPCCharBase"/>
    <w:uiPriority w:val="1"/>
    <w:qFormat/>
    <w:rsid w:val="00B4686B"/>
  </w:style>
  <w:style w:type="character" w:customStyle="1" w:styleId="CharSectno">
    <w:name w:val="CharSectno"/>
    <w:basedOn w:val="OPCCharBase"/>
    <w:qFormat/>
    <w:rsid w:val="00B4686B"/>
  </w:style>
  <w:style w:type="character" w:customStyle="1" w:styleId="CharSubdNo">
    <w:name w:val="CharSubdNo"/>
    <w:basedOn w:val="OPCCharBase"/>
    <w:uiPriority w:val="1"/>
    <w:qFormat/>
    <w:rsid w:val="00B4686B"/>
  </w:style>
  <w:style w:type="character" w:customStyle="1" w:styleId="CharSubdText">
    <w:name w:val="CharSubdText"/>
    <w:basedOn w:val="OPCCharBase"/>
    <w:uiPriority w:val="1"/>
    <w:qFormat/>
    <w:rsid w:val="00B4686B"/>
  </w:style>
  <w:style w:type="paragraph" w:customStyle="1" w:styleId="CTA--">
    <w:name w:val="CTA --"/>
    <w:basedOn w:val="OPCParaBase"/>
    <w:next w:val="Normal"/>
    <w:rsid w:val="00B4686B"/>
    <w:pPr>
      <w:spacing w:before="60" w:line="240" w:lineRule="atLeast"/>
      <w:ind w:left="142" w:hanging="142"/>
    </w:pPr>
    <w:rPr>
      <w:sz w:val="20"/>
    </w:rPr>
  </w:style>
  <w:style w:type="paragraph" w:customStyle="1" w:styleId="CTA-">
    <w:name w:val="CTA -"/>
    <w:basedOn w:val="OPCParaBase"/>
    <w:rsid w:val="00B4686B"/>
    <w:pPr>
      <w:spacing w:before="60" w:line="240" w:lineRule="atLeast"/>
      <w:ind w:left="85" w:hanging="85"/>
    </w:pPr>
    <w:rPr>
      <w:sz w:val="20"/>
    </w:rPr>
  </w:style>
  <w:style w:type="paragraph" w:customStyle="1" w:styleId="CTA---">
    <w:name w:val="CTA ---"/>
    <w:basedOn w:val="OPCParaBase"/>
    <w:next w:val="Normal"/>
    <w:rsid w:val="00B4686B"/>
    <w:pPr>
      <w:spacing w:before="60" w:line="240" w:lineRule="atLeast"/>
      <w:ind w:left="198" w:hanging="198"/>
    </w:pPr>
    <w:rPr>
      <w:sz w:val="20"/>
    </w:rPr>
  </w:style>
  <w:style w:type="paragraph" w:customStyle="1" w:styleId="CTA----">
    <w:name w:val="CTA ----"/>
    <w:basedOn w:val="OPCParaBase"/>
    <w:next w:val="Normal"/>
    <w:rsid w:val="00B4686B"/>
    <w:pPr>
      <w:spacing w:before="60" w:line="240" w:lineRule="atLeast"/>
      <w:ind w:left="255" w:hanging="255"/>
    </w:pPr>
    <w:rPr>
      <w:sz w:val="20"/>
    </w:rPr>
  </w:style>
  <w:style w:type="paragraph" w:customStyle="1" w:styleId="CTA1a">
    <w:name w:val="CTA 1(a)"/>
    <w:basedOn w:val="OPCParaBase"/>
    <w:rsid w:val="00B4686B"/>
    <w:pPr>
      <w:tabs>
        <w:tab w:val="right" w:pos="414"/>
      </w:tabs>
      <w:spacing w:before="40" w:line="240" w:lineRule="atLeast"/>
      <w:ind w:left="675" w:hanging="675"/>
    </w:pPr>
    <w:rPr>
      <w:sz w:val="20"/>
    </w:rPr>
  </w:style>
  <w:style w:type="paragraph" w:customStyle="1" w:styleId="CTA1ai">
    <w:name w:val="CTA 1(a)(i)"/>
    <w:basedOn w:val="OPCParaBase"/>
    <w:rsid w:val="00B4686B"/>
    <w:pPr>
      <w:tabs>
        <w:tab w:val="right" w:pos="1004"/>
      </w:tabs>
      <w:spacing w:before="40" w:line="240" w:lineRule="atLeast"/>
      <w:ind w:left="1253" w:hanging="1253"/>
    </w:pPr>
    <w:rPr>
      <w:sz w:val="20"/>
    </w:rPr>
  </w:style>
  <w:style w:type="paragraph" w:customStyle="1" w:styleId="CTA2a">
    <w:name w:val="CTA 2(a)"/>
    <w:basedOn w:val="OPCParaBase"/>
    <w:rsid w:val="00B4686B"/>
    <w:pPr>
      <w:tabs>
        <w:tab w:val="right" w:pos="482"/>
      </w:tabs>
      <w:spacing w:before="40" w:line="240" w:lineRule="atLeast"/>
      <w:ind w:left="748" w:hanging="748"/>
    </w:pPr>
    <w:rPr>
      <w:sz w:val="20"/>
    </w:rPr>
  </w:style>
  <w:style w:type="paragraph" w:customStyle="1" w:styleId="CTA2ai">
    <w:name w:val="CTA 2(a)(i)"/>
    <w:basedOn w:val="OPCParaBase"/>
    <w:rsid w:val="00B4686B"/>
    <w:pPr>
      <w:tabs>
        <w:tab w:val="right" w:pos="1089"/>
      </w:tabs>
      <w:spacing w:before="40" w:line="240" w:lineRule="atLeast"/>
      <w:ind w:left="1327" w:hanging="1327"/>
    </w:pPr>
    <w:rPr>
      <w:sz w:val="20"/>
    </w:rPr>
  </w:style>
  <w:style w:type="paragraph" w:customStyle="1" w:styleId="CTA3a">
    <w:name w:val="CTA 3(a)"/>
    <w:basedOn w:val="OPCParaBase"/>
    <w:rsid w:val="00B4686B"/>
    <w:pPr>
      <w:tabs>
        <w:tab w:val="right" w:pos="556"/>
      </w:tabs>
      <w:spacing w:before="40" w:line="240" w:lineRule="atLeast"/>
      <w:ind w:left="805" w:hanging="805"/>
    </w:pPr>
    <w:rPr>
      <w:sz w:val="20"/>
    </w:rPr>
  </w:style>
  <w:style w:type="paragraph" w:customStyle="1" w:styleId="CTA3ai">
    <w:name w:val="CTA 3(a)(i)"/>
    <w:basedOn w:val="OPCParaBase"/>
    <w:rsid w:val="00B4686B"/>
    <w:pPr>
      <w:tabs>
        <w:tab w:val="right" w:pos="1140"/>
      </w:tabs>
      <w:spacing w:before="40" w:line="240" w:lineRule="atLeast"/>
      <w:ind w:left="1361" w:hanging="1361"/>
    </w:pPr>
    <w:rPr>
      <w:sz w:val="20"/>
    </w:rPr>
  </w:style>
  <w:style w:type="paragraph" w:customStyle="1" w:styleId="CTA4a">
    <w:name w:val="CTA 4(a)"/>
    <w:basedOn w:val="OPCParaBase"/>
    <w:rsid w:val="00B4686B"/>
    <w:pPr>
      <w:tabs>
        <w:tab w:val="right" w:pos="624"/>
      </w:tabs>
      <w:spacing w:before="40" w:line="240" w:lineRule="atLeast"/>
      <w:ind w:left="873" w:hanging="873"/>
    </w:pPr>
    <w:rPr>
      <w:sz w:val="20"/>
    </w:rPr>
  </w:style>
  <w:style w:type="paragraph" w:customStyle="1" w:styleId="CTA4ai">
    <w:name w:val="CTA 4(a)(i)"/>
    <w:basedOn w:val="OPCParaBase"/>
    <w:rsid w:val="00B4686B"/>
    <w:pPr>
      <w:tabs>
        <w:tab w:val="right" w:pos="1213"/>
      </w:tabs>
      <w:spacing w:before="40" w:line="240" w:lineRule="atLeast"/>
      <w:ind w:left="1452" w:hanging="1452"/>
    </w:pPr>
    <w:rPr>
      <w:sz w:val="20"/>
    </w:rPr>
  </w:style>
  <w:style w:type="paragraph" w:customStyle="1" w:styleId="CTACAPS">
    <w:name w:val="CTA CAPS"/>
    <w:basedOn w:val="OPCParaBase"/>
    <w:rsid w:val="00B4686B"/>
    <w:pPr>
      <w:spacing w:before="60" w:line="240" w:lineRule="atLeast"/>
    </w:pPr>
    <w:rPr>
      <w:sz w:val="20"/>
    </w:rPr>
  </w:style>
  <w:style w:type="paragraph" w:customStyle="1" w:styleId="CTAright">
    <w:name w:val="CTA right"/>
    <w:basedOn w:val="OPCParaBase"/>
    <w:rsid w:val="00B4686B"/>
    <w:pPr>
      <w:spacing w:before="60" w:line="240" w:lineRule="auto"/>
      <w:jc w:val="right"/>
    </w:pPr>
    <w:rPr>
      <w:sz w:val="20"/>
    </w:rPr>
  </w:style>
  <w:style w:type="paragraph" w:customStyle="1" w:styleId="subsection">
    <w:name w:val="subsection"/>
    <w:aliases w:val="ss"/>
    <w:basedOn w:val="OPCParaBase"/>
    <w:rsid w:val="00B4686B"/>
    <w:pPr>
      <w:tabs>
        <w:tab w:val="right" w:pos="1021"/>
      </w:tabs>
      <w:spacing w:before="180" w:line="240" w:lineRule="auto"/>
      <w:ind w:left="1134" w:hanging="1134"/>
    </w:pPr>
  </w:style>
  <w:style w:type="paragraph" w:customStyle="1" w:styleId="Definition">
    <w:name w:val="Definition"/>
    <w:aliases w:val="dd"/>
    <w:basedOn w:val="OPCParaBase"/>
    <w:rsid w:val="00B4686B"/>
    <w:pPr>
      <w:spacing w:before="180" w:line="240" w:lineRule="auto"/>
      <w:ind w:left="1134"/>
    </w:pPr>
  </w:style>
  <w:style w:type="paragraph" w:customStyle="1" w:styleId="ETAsubitem">
    <w:name w:val="ETA(subitem)"/>
    <w:basedOn w:val="OPCParaBase"/>
    <w:rsid w:val="00B4686B"/>
    <w:pPr>
      <w:tabs>
        <w:tab w:val="right" w:pos="340"/>
      </w:tabs>
      <w:spacing w:before="60" w:line="240" w:lineRule="auto"/>
      <w:ind w:left="454" w:hanging="454"/>
    </w:pPr>
    <w:rPr>
      <w:sz w:val="20"/>
    </w:rPr>
  </w:style>
  <w:style w:type="paragraph" w:customStyle="1" w:styleId="ETApara">
    <w:name w:val="ETA(para)"/>
    <w:basedOn w:val="OPCParaBase"/>
    <w:rsid w:val="00B4686B"/>
    <w:pPr>
      <w:tabs>
        <w:tab w:val="right" w:pos="754"/>
      </w:tabs>
      <w:spacing w:before="60" w:line="240" w:lineRule="auto"/>
      <w:ind w:left="828" w:hanging="828"/>
    </w:pPr>
    <w:rPr>
      <w:sz w:val="20"/>
    </w:rPr>
  </w:style>
  <w:style w:type="paragraph" w:customStyle="1" w:styleId="ETAsubpara">
    <w:name w:val="ETA(subpara)"/>
    <w:basedOn w:val="OPCParaBase"/>
    <w:rsid w:val="00B4686B"/>
    <w:pPr>
      <w:tabs>
        <w:tab w:val="right" w:pos="1083"/>
      </w:tabs>
      <w:spacing w:before="60" w:line="240" w:lineRule="auto"/>
      <w:ind w:left="1191" w:hanging="1191"/>
    </w:pPr>
    <w:rPr>
      <w:sz w:val="20"/>
    </w:rPr>
  </w:style>
  <w:style w:type="paragraph" w:customStyle="1" w:styleId="ETAsub-subpara">
    <w:name w:val="ETA(sub-subpara)"/>
    <w:basedOn w:val="OPCParaBase"/>
    <w:rsid w:val="00B4686B"/>
    <w:pPr>
      <w:tabs>
        <w:tab w:val="right" w:pos="1412"/>
      </w:tabs>
      <w:spacing w:before="60" w:line="240" w:lineRule="auto"/>
      <w:ind w:left="1525" w:hanging="1525"/>
    </w:pPr>
    <w:rPr>
      <w:sz w:val="20"/>
    </w:rPr>
  </w:style>
  <w:style w:type="paragraph" w:customStyle="1" w:styleId="Formula">
    <w:name w:val="Formula"/>
    <w:basedOn w:val="OPCParaBase"/>
    <w:rsid w:val="00B4686B"/>
    <w:pPr>
      <w:spacing w:line="240" w:lineRule="auto"/>
      <w:ind w:left="1134"/>
    </w:pPr>
    <w:rPr>
      <w:sz w:val="20"/>
    </w:rPr>
  </w:style>
  <w:style w:type="paragraph" w:styleId="Header">
    <w:name w:val="header"/>
    <w:basedOn w:val="OPCParaBase"/>
    <w:link w:val="HeaderChar"/>
    <w:unhideWhenUsed/>
    <w:rsid w:val="00B4686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686B"/>
    <w:rPr>
      <w:rFonts w:eastAsia="Times New Roman" w:cs="Times New Roman"/>
      <w:sz w:val="16"/>
      <w:lang w:eastAsia="en-AU"/>
    </w:rPr>
  </w:style>
  <w:style w:type="paragraph" w:customStyle="1" w:styleId="House">
    <w:name w:val="House"/>
    <w:basedOn w:val="OPCParaBase"/>
    <w:rsid w:val="00B4686B"/>
    <w:pPr>
      <w:spacing w:line="240" w:lineRule="auto"/>
    </w:pPr>
    <w:rPr>
      <w:sz w:val="28"/>
    </w:rPr>
  </w:style>
  <w:style w:type="paragraph" w:customStyle="1" w:styleId="Item">
    <w:name w:val="Item"/>
    <w:aliases w:val="i"/>
    <w:basedOn w:val="OPCParaBase"/>
    <w:next w:val="ItemHead"/>
    <w:rsid w:val="00B4686B"/>
    <w:pPr>
      <w:keepLines/>
      <w:spacing w:before="80" w:line="240" w:lineRule="auto"/>
      <w:ind w:left="709"/>
    </w:pPr>
  </w:style>
  <w:style w:type="paragraph" w:customStyle="1" w:styleId="ItemHead">
    <w:name w:val="ItemHead"/>
    <w:aliases w:val="ih"/>
    <w:basedOn w:val="OPCParaBase"/>
    <w:next w:val="Item"/>
    <w:rsid w:val="00B4686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4686B"/>
    <w:pPr>
      <w:spacing w:line="240" w:lineRule="auto"/>
    </w:pPr>
    <w:rPr>
      <w:b/>
      <w:sz w:val="32"/>
    </w:rPr>
  </w:style>
  <w:style w:type="paragraph" w:customStyle="1" w:styleId="notedraft">
    <w:name w:val="note(draft)"/>
    <w:aliases w:val="nd"/>
    <w:basedOn w:val="OPCParaBase"/>
    <w:rsid w:val="00B4686B"/>
    <w:pPr>
      <w:spacing w:before="240" w:line="240" w:lineRule="auto"/>
      <w:ind w:left="284" w:hanging="284"/>
    </w:pPr>
    <w:rPr>
      <w:i/>
      <w:sz w:val="24"/>
    </w:rPr>
  </w:style>
  <w:style w:type="paragraph" w:customStyle="1" w:styleId="notemargin">
    <w:name w:val="note(margin)"/>
    <w:aliases w:val="nm"/>
    <w:basedOn w:val="OPCParaBase"/>
    <w:rsid w:val="00B4686B"/>
    <w:pPr>
      <w:tabs>
        <w:tab w:val="left" w:pos="709"/>
      </w:tabs>
      <w:spacing w:before="122" w:line="198" w:lineRule="exact"/>
      <w:ind w:left="709" w:hanging="709"/>
    </w:pPr>
    <w:rPr>
      <w:sz w:val="18"/>
    </w:rPr>
  </w:style>
  <w:style w:type="paragraph" w:customStyle="1" w:styleId="noteToPara">
    <w:name w:val="noteToPara"/>
    <w:aliases w:val="ntp"/>
    <w:basedOn w:val="OPCParaBase"/>
    <w:rsid w:val="00B4686B"/>
    <w:pPr>
      <w:spacing w:before="122" w:line="198" w:lineRule="exact"/>
      <w:ind w:left="2353" w:hanging="709"/>
    </w:pPr>
    <w:rPr>
      <w:sz w:val="18"/>
    </w:rPr>
  </w:style>
  <w:style w:type="paragraph" w:customStyle="1" w:styleId="noteParlAmend">
    <w:name w:val="note(ParlAmend)"/>
    <w:aliases w:val="npp"/>
    <w:basedOn w:val="OPCParaBase"/>
    <w:next w:val="ParlAmend"/>
    <w:rsid w:val="00B4686B"/>
    <w:pPr>
      <w:spacing w:line="240" w:lineRule="auto"/>
      <w:jc w:val="right"/>
    </w:pPr>
    <w:rPr>
      <w:rFonts w:ascii="Arial" w:hAnsi="Arial"/>
      <w:b/>
      <w:i/>
    </w:rPr>
  </w:style>
  <w:style w:type="paragraph" w:customStyle="1" w:styleId="notetext">
    <w:name w:val="note(text)"/>
    <w:aliases w:val="n"/>
    <w:basedOn w:val="OPCParaBase"/>
    <w:rsid w:val="00B4686B"/>
    <w:pPr>
      <w:spacing w:before="122" w:line="198" w:lineRule="exact"/>
      <w:ind w:left="1985" w:hanging="851"/>
    </w:pPr>
    <w:rPr>
      <w:sz w:val="18"/>
    </w:rPr>
  </w:style>
  <w:style w:type="paragraph" w:customStyle="1" w:styleId="Page1">
    <w:name w:val="Page1"/>
    <w:basedOn w:val="OPCParaBase"/>
    <w:rsid w:val="00B4686B"/>
    <w:pPr>
      <w:spacing w:before="5600" w:line="240" w:lineRule="auto"/>
    </w:pPr>
    <w:rPr>
      <w:b/>
      <w:sz w:val="32"/>
    </w:rPr>
  </w:style>
  <w:style w:type="paragraph" w:customStyle="1" w:styleId="PageBreak">
    <w:name w:val="PageBreak"/>
    <w:aliases w:val="pb"/>
    <w:basedOn w:val="OPCParaBase"/>
    <w:rsid w:val="00B4686B"/>
    <w:pPr>
      <w:spacing w:line="240" w:lineRule="auto"/>
    </w:pPr>
    <w:rPr>
      <w:sz w:val="20"/>
    </w:rPr>
  </w:style>
  <w:style w:type="paragraph" w:customStyle="1" w:styleId="paragraphsub">
    <w:name w:val="paragraph(sub)"/>
    <w:aliases w:val="aa"/>
    <w:basedOn w:val="OPCParaBase"/>
    <w:rsid w:val="00B4686B"/>
    <w:pPr>
      <w:tabs>
        <w:tab w:val="right" w:pos="1985"/>
      </w:tabs>
      <w:spacing w:before="40" w:line="240" w:lineRule="auto"/>
      <w:ind w:left="2098" w:hanging="2098"/>
    </w:pPr>
  </w:style>
  <w:style w:type="paragraph" w:customStyle="1" w:styleId="paragraphsub-sub">
    <w:name w:val="paragraph(sub-sub)"/>
    <w:aliases w:val="aaa"/>
    <w:basedOn w:val="OPCParaBase"/>
    <w:rsid w:val="00B4686B"/>
    <w:pPr>
      <w:tabs>
        <w:tab w:val="right" w:pos="2722"/>
      </w:tabs>
      <w:spacing w:before="40" w:line="240" w:lineRule="auto"/>
      <w:ind w:left="2835" w:hanging="2835"/>
    </w:pPr>
  </w:style>
  <w:style w:type="paragraph" w:customStyle="1" w:styleId="paragraph">
    <w:name w:val="paragraph"/>
    <w:aliases w:val="a"/>
    <w:basedOn w:val="OPCParaBase"/>
    <w:rsid w:val="00B4686B"/>
    <w:pPr>
      <w:tabs>
        <w:tab w:val="right" w:pos="1531"/>
      </w:tabs>
      <w:spacing w:before="40" w:line="240" w:lineRule="auto"/>
      <w:ind w:left="1644" w:hanging="1644"/>
    </w:pPr>
  </w:style>
  <w:style w:type="paragraph" w:customStyle="1" w:styleId="ParlAmend">
    <w:name w:val="ParlAmend"/>
    <w:aliases w:val="pp"/>
    <w:basedOn w:val="OPCParaBase"/>
    <w:rsid w:val="00B4686B"/>
    <w:pPr>
      <w:spacing w:before="240" w:line="240" w:lineRule="atLeast"/>
      <w:ind w:hanging="567"/>
    </w:pPr>
    <w:rPr>
      <w:sz w:val="24"/>
    </w:rPr>
  </w:style>
  <w:style w:type="paragraph" w:customStyle="1" w:styleId="Penalty">
    <w:name w:val="Penalty"/>
    <w:basedOn w:val="OPCParaBase"/>
    <w:rsid w:val="00B4686B"/>
    <w:pPr>
      <w:tabs>
        <w:tab w:val="left" w:pos="2977"/>
      </w:tabs>
      <w:spacing w:before="180" w:line="240" w:lineRule="auto"/>
      <w:ind w:left="1985" w:hanging="851"/>
    </w:pPr>
  </w:style>
  <w:style w:type="paragraph" w:customStyle="1" w:styleId="Portfolio">
    <w:name w:val="Portfolio"/>
    <w:basedOn w:val="OPCParaBase"/>
    <w:rsid w:val="00B4686B"/>
    <w:pPr>
      <w:spacing w:line="240" w:lineRule="auto"/>
    </w:pPr>
    <w:rPr>
      <w:i/>
      <w:sz w:val="20"/>
    </w:rPr>
  </w:style>
  <w:style w:type="paragraph" w:customStyle="1" w:styleId="Preamble">
    <w:name w:val="Preamble"/>
    <w:basedOn w:val="OPCParaBase"/>
    <w:next w:val="Normal"/>
    <w:rsid w:val="00B4686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686B"/>
    <w:pPr>
      <w:spacing w:line="240" w:lineRule="auto"/>
    </w:pPr>
    <w:rPr>
      <w:i/>
      <w:sz w:val="20"/>
    </w:rPr>
  </w:style>
  <w:style w:type="paragraph" w:customStyle="1" w:styleId="Session">
    <w:name w:val="Session"/>
    <w:basedOn w:val="OPCParaBase"/>
    <w:rsid w:val="00B4686B"/>
    <w:pPr>
      <w:spacing w:line="240" w:lineRule="auto"/>
    </w:pPr>
    <w:rPr>
      <w:sz w:val="28"/>
    </w:rPr>
  </w:style>
  <w:style w:type="paragraph" w:customStyle="1" w:styleId="Sponsor">
    <w:name w:val="Sponsor"/>
    <w:basedOn w:val="OPCParaBase"/>
    <w:rsid w:val="00B4686B"/>
    <w:pPr>
      <w:spacing w:line="240" w:lineRule="auto"/>
    </w:pPr>
    <w:rPr>
      <w:i/>
    </w:rPr>
  </w:style>
  <w:style w:type="paragraph" w:customStyle="1" w:styleId="Subitem">
    <w:name w:val="Subitem"/>
    <w:aliases w:val="iss"/>
    <w:basedOn w:val="OPCParaBase"/>
    <w:rsid w:val="00B4686B"/>
    <w:pPr>
      <w:spacing w:before="180" w:line="240" w:lineRule="auto"/>
      <w:ind w:left="709" w:hanging="709"/>
    </w:pPr>
  </w:style>
  <w:style w:type="paragraph" w:customStyle="1" w:styleId="SubitemHead">
    <w:name w:val="SubitemHead"/>
    <w:aliases w:val="issh"/>
    <w:basedOn w:val="OPCParaBase"/>
    <w:rsid w:val="00B4686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686B"/>
    <w:pPr>
      <w:spacing w:before="40" w:line="240" w:lineRule="auto"/>
      <w:ind w:left="1134"/>
    </w:pPr>
  </w:style>
  <w:style w:type="paragraph" w:customStyle="1" w:styleId="SubsectionHead">
    <w:name w:val="SubsectionHead"/>
    <w:aliases w:val="ssh"/>
    <w:basedOn w:val="OPCParaBase"/>
    <w:next w:val="subsection"/>
    <w:rsid w:val="00B4686B"/>
    <w:pPr>
      <w:keepNext/>
      <w:keepLines/>
      <w:spacing w:before="240" w:line="240" w:lineRule="auto"/>
      <w:ind w:left="1134"/>
    </w:pPr>
    <w:rPr>
      <w:i/>
    </w:rPr>
  </w:style>
  <w:style w:type="paragraph" w:customStyle="1" w:styleId="Tablea">
    <w:name w:val="Table(a)"/>
    <w:aliases w:val="ta"/>
    <w:basedOn w:val="OPCParaBase"/>
    <w:rsid w:val="00B4686B"/>
    <w:pPr>
      <w:spacing w:before="60" w:line="240" w:lineRule="auto"/>
      <w:ind w:left="284" w:hanging="284"/>
    </w:pPr>
    <w:rPr>
      <w:sz w:val="20"/>
    </w:rPr>
  </w:style>
  <w:style w:type="paragraph" w:customStyle="1" w:styleId="TableAA">
    <w:name w:val="Table(AA)"/>
    <w:aliases w:val="taaa"/>
    <w:basedOn w:val="OPCParaBase"/>
    <w:rsid w:val="00B4686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686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686B"/>
    <w:pPr>
      <w:spacing w:before="60" w:line="240" w:lineRule="atLeast"/>
    </w:pPr>
    <w:rPr>
      <w:sz w:val="20"/>
    </w:rPr>
  </w:style>
  <w:style w:type="paragraph" w:customStyle="1" w:styleId="TLPBoxTextnote">
    <w:name w:val="TLPBoxText(note"/>
    <w:aliases w:val="right)"/>
    <w:basedOn w:val="OPCParaBase"/>
    <w:rsid w:val="00B4686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686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686B"/>
    <w:pPr>
      <w:spacing w:before="122" w:line="198" w:lineRule="exact"/>
      <w:ind w:left="1985" w:hanging="851"/>
      <w:jc w:val="right"/>
    </w:pPr>
    <w:rPr>
      <w:sz w:val="18"/>
    </w:rPr>
  </w:style>
  <w:style w:type="paragraph" w:customStyle="1" w:styleId="TLPTableBullet">
    <w:name w:val="TLPTableBullet"/>
    <w:aliases w:val="ttb"/>
    <w:basedOn w:val="OPCParaBase"/>
    <w:rsid w:val="00B4686B"/>
    <w:pPr>
      <w:spacing w:line="240" w:lineRule="exact"/>
      <w:ind w:left="284" w:hanging="284"/>
    </w:pPr>
    <w:rPr>
      <w:sz w:val="20"/>
    </w:rPr>
  </w:style>
  <w:style w:type="paragraph" w:styleId="TOC1">
    <w:name w:val="toc 1"/>
    <w:basedOn w:val="OPCParaBase"/>
    <w:next w:val="Normal"/>
    <w:uiPriority w:val="39"/>
    <w:unhideWhenUsed/>
    <w:rsid w:val="00B4686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686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4686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686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686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4686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686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686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686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686B"/>
    <w:pPr>
      <w:keepLines/>
      <w:spacing w:before="240" w:after="120" w:line="240" w:lineRule="auto"/>
      <w:ind w:left="794"/>
    </w:pPr>
    <w:rPr>
      <w:b/>
      <w:kern w:val="28"/>
      <w:sz w:val="20"/>
    </w:rPr>
  </w:style>
  <w:style w:type="paragraph" w:customStyle="1" w:styleId="TofSectsHeading">
    <w:name w:val="TofSects(Heading)"/>
    <w:basedOn w:val="OPCParaBase"/>
    <w:rsid w:val="00B4686B"/>
    <w:pPr>
      <w:spacing w:before="240" w:after="120" w:line="240" w:lineRule="auto"/>
    </w:pPr>
    <w:rPr>
      <w:b/>
      <w:sz w:val="24"/>
    </w:rPr>
  </w:style>
  <w:style w:type="paragraph" w:customStyle="1" w:styleId="TofSectsSection">
    <w:name w:val="TofSects(Section)"/>
    <w:basedOn w:val="OPCParaBase"/>
    <w:rsid w:val="00B4686B"/>
    <w:pPr>
      <w:keepLines/>
      <w:spacing w:before="40" w:line="240" w:lineRule="auto"/>
      <w:ind w:left="1588" w:hanging="794"/>
    </w:pPr>
    <w:rPr>
      <w:kern w:val="28"/>
      <w:sz w:val="18"/>
    </w:rPr>
  </w:style>
  <w:style w:type="paragraph" w:customStyle="1" w:styleId="TofSectsSubdiv">
    <w:name w:val="TofSects(Subdiv)"/>
    <w:basedOn w:val="OPCParaBase"/>
    <w:rsid w:val="00B4686B"/>
    <w:pPr>
      <w:keepLines/>
      <w:spacing w:before="80" w:line="240" w:lineRule="auto"/>
      <w:ind w:left="1588" w:hanging="794"/>
    </w:pPr>
    <w:rPr>
      <w:kern w:val="28"/>
    </w:rPr>
  </w:style>
  <w:style w:type="paragraph" w:customStyle="1" w:styleId="WRStyle">
    <w:name w:val="WR Style"/>
    <w:aliases w:val="WR"/>
    <w:basedOn w:val="OPCParaBase"/>
    <w:rsid w:val="00B4686B"/>
    <w:pPr>
      <w:spacing w:before="240" w:line="240" w:lineRule="auto"/>
      <w:ind w:left="284" w:hanging="284"/>
    </w:pPr>
    <w:rPr>
      <w:b/>
      <w:i/>
      <w:kern w:val="28"/>
      <w:sz w:val="24"/>
    </w:rPr>
  </w:style>
  <w:style w:type="paragraph" w:customStyle="1" w:styleId="notepara">
    <w:name w:val="note(para)"/>
    <w:aliases w:val="na"/>
    <w:basedOn w:val="OPCParaBase"/>
    <w:rsid w:val="00B4686B"/>
    <w:pPr>
      <w:spacing w:before="40" w:line="198" w:lineRule="exact"/>
      <w:ind w:left="2354" w:hanging="369"/>
    </w:pPr>
    <w:rPr>
      <w:sz w:val="18"/>
    </w:rPr>
  </w:style>
  <w:style w:type="paragraph" w:styleId="Footer">
    <w:name w:val="footer"/>
    <w:link w:val="FooterChar"/>
    <w:rsid w:val="00B4686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4686B"/>
    <w:rPr>
      <w:rFonts w:eastAsia="Times New Roman" w:cs="Times New Roman"/>
      <w:sz w:val="22"/>
      <w:szCs w:val="24"/>
      <w:lang w:eastAsia="en-AU"/>
    </w:rPr>
  </w:style>
  <w:style w:type="character" w:styleId="LineNumber">
    <w:name w:val="line number"/>
    <w:basedOn w:val="OPCCharBase"/>
    <w:uiPriority w:val="99"/>
    <w:semiHidden/>
    <w:unhideWhenUsed/>
    <w:rsid w:val="00B4686B"/>
    <w:rPr>
      <w:sz w:val="16"/>
    </w:rPr>
  </w:style>
  <w:style w:type="table" w:customStyle="1" w:styleId="CFlag">
    <w:name w:val="CFlag"/>
    <w:basedOn w:val="TableNormal"/>
    <w:uiPriority w:val="99"/>
    <w:rsid w:val="00B4686B"/>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8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86B"/>
    <w:rPr>
      <w:rFonts w:ascii="Tahoma" w:hAnsi="Tahoma" w:cs="Tahoma"/>
      <w:sz w:val="16"/>
      <w:szCs w:val="16"/>
    </w:rPr>
  </w:style>
  <w:style w:type="character" w:styleId="Hyperlink">
    <w:name w:val="Hyperlink"/>
    <w:basedOn w:val="DefaultParagraphFont"/>
    <w:rsid w:val="00B4686B"/>
    <w:rPr>
      <w:color w:val="0000FF"/>
      <w:u w:val="single"/>
    </w:rPr>
  </w:style>
  <w:style w:type="table" w:styleId="TableGrid">
    <w:name w:val="Table Grid"/>
    <w:basedOn w:val="TableNormal"/>
    <w:uiPriority w:val="59"/>
    <w:rsid w:val="00B46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4686B"/>
    <w:rPr>
      <w:b/>
      <w:sz w:val="28"/>
      <w:szCs w:val="32"/>
    </w:rPr>
  </w:style>
  <w:style w:type="paragraph" w:customStyle="1" w:styleId="TerritoryT">
    <w:name w:val="TerritoryT"/>
    <w:basedOn w:val="OPCParaBase"/>
    <w:next w:val="Normal"/>
    <w:rsid w:val="00B4686B"/>
    <w:rPr>
      <w:b/>
      <w:sz w:val="32"/>
    </w:rPr>
  </w:style>
  <w:style w:type="paragraph" w:customStyle="1" w:styleId="LegislationMadeUnder">
    <w:name w:val="LegislationMadeUnder"/>
    <w:basedOn w:val="OPCParaBase"/>
    <w:next w:val="Normal"/>
    <w:rsid w:val="00B4686B"/>
    <w:rPr>
      <w:i/>
      <w:sz w:val="32"/>
      <w:szCs w:val="32"/>
    </w:rPr>
  </w:style>
  <w:style w:type="paragraph" w:customStyle="1" w:styleId="SignCoverPageEnd">
    <w:name w:val="SignCoverPageEnd"/>
    <w:basedOn w:val="OPCParaBase"/>
    <w:next w:val="Normal"/>
    <w:rsid w:val="00B4686B"/>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4686B"/>
    <w:pPr>
      <w:pBdr>
        <w:top w:val="single" w:sz="4" w:space="1" w:color="auto"/>
      </w:pBdr>
      <w:spacing w:before="360"/>
      <w:ind w:right="397"/>
      <w:jc w:val="both"/>
    </w:pPr>
  </w:style>
  <w:style w:type="paragraph" w:customStyle="1" w:styleId="NotesHeading1">
    <w:name w:val="NotesHeading 1"/>
    <w:basedOn w:val="OPCParaBase"/>
    <w:next w:val="Normal"/>
    <w:rsid w:val="00B4686B"/>
    <w:rPr>
      <w:b/>
      <w:sz w:val="28"/>
      <w:szCs w:val="28"/>
    </w:rPr>
  </w:style>
  <w:style w:type="paragraph" w:customStyle="1" w:styleId="NotesHeading2">
    <w:name w:val="NotesHeading 2"/>
    <w:basedOn w:val="OPCParaBase"/>
    <w:next w:val="Normal"/>
    <w:rsid w:val="00B4686B"/>
    <w:rPr>
      <w:b/>
      <w:sz w:val="28"/>
      <w:szCs w:val="28"/>
    </w:rPr>
  </w:style>
  <w:style w:type="paragraph" w:customStyle="1" w:styleId="ENotesText">
    <w:name w:val="ENotesText"/>
    <w:basedOn w:val="OPCParaBase"/>
    <w:next w:val="Normal"/>
    <w:rsid w:val="00B4686B"/>
  </w:style>
  <w:style w:type="paragraph" w:customStyle="1" w:styleId="CompiledActNo">
    <w:name w:val="CompiledActNo"/>
    <w:basedOn w:val="OPCParaBase"/>
    <w:next w:val="Normal"/>
    <w:rsid w:val="00B4686B"/>
    <w:rPr>
      <w:b/>
      <w:sz w:val="24"/>
      <w:szCs w:val="24"/>
    </w:rPr>
  </w:style>
  <w:style w:type="paragraph" w:customStyle="1" w:styleId="CompiledMadeUnder">
    <w:name w:val="CompiledMadeUnder"/>
    <w:basedOn w:val="OPCParaBase"/>
    <w:next w:val="Normal"/>
    <w:rsid w:val="00B4686B"/>
    <w:rPr>
      <w:i/>
      <w:sz w:val="24"/>
      <w:szCs w:val="24"/>
    </w:rPr>
  </w:style>
  <w:style w:type="paragraph" w:customStyle="1" w:styleId="Paragraphsub-sub-sub">
    <w:name w:val="Paragraph(sub-sub-sub)"/>
    <w:aliases w:val="aaaa"/>
    <w:basedOn w:val="OPCParaBase"/>
    <w:rsid w:val="00B4686B"/>
    <w:pPr>
      <w:tabs>
        <w:tab w:val="right" w:pos="3402"/>
      </w:tabs>
      <w:spacing w:before="40" w:line="240" w:lineRule="auto"/>
      <w:ind w:left="3402" w:hanging="3402"/>
    </w:pPr>
  </w:style>
  <w:style w:type="paragraph" w:customStyle="1" w:styleId="SubPartCASA">
    <w:name w:val="SubPart(CASA)"/>
    <w:aliases w:val="csp"/>
    <w:basedOn w:val="OPCParaBase"/>
    <w:next w:val="ActHead3"/>
    <w:rsid w:val="00B4686B"/>
    <w:pPr>
      <w:keepNext/>
      <w:keepLines/>
      <w:spacing w:before="280"/>
      <w:outlineLvl w:val="1"/>
    </w:pPr>
    <w:rPr>
      <w:b/>
      <w:kern w:val="28"/>
      <w:sz w:val="32"/>
    </w:rPr>
  </w:style>
  <w:style w:type="paragraph" w:customStyle="1" w:styleId="TableHeading">
    <w:name w:val="TableHeading"/>
    <w:aliases w:val="th"/>
    <w:basedOn w:val="OPCParaBase"/>
    <w:next w:val="Tabletext"/>
    <w:rsid w:val="00B4686B"/>
    <w:pPr>
      <w:keepNext/>
      <w:spacing w:before="60" w:line="240" w:lineRule="atLeast"/>
    </w:pPr>
    <w:rPr>
      <w:b/>
      <w:sz w:val="20"/>
    </w:rPr>
  </w:style>
  <w:style w:type="paragraph" w:customStyle="1" w:styleId="NoteToSubpara">
    <w:name w:val="NoteToSubpara"/>
    <w:aliases w:val="nts"/>
    <w:basedOn w:val="OPCParaBase"/>
    <w:rsid w:val="00B4686B"/>
    <w:pPr>
      <w:spacing w:before="40" w:line="198" w:lineRule="exact"/>
      <w:ind w:left="2835" w:hanging="709"/>
    </w:pPr>
    <w:rPr>
      <w:sz w:val="18"/>
    </w:rPr>
  </w:style>
  <w:style w:type="paragraph" w:customStyle="1" w:styleId="EndNotespara">
    <w:name w:val="EndNotes(para)"/>
    <w:aliases w:val="eta"/>
    <w:basedOn w:val="OPCParaBase"/>
    <w:next w:val="Normal"/>
    <w:rsid w:val="00B4686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686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4686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686B"/>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B4686B"/>
    <w:pPr>
      <w:keepNext/>
      <w:spacing w:before="60" w:line="240" w:lineRule="atLeast"/>
    </w:pPr>
    <w:rPr>
      <w:rFonts w:ascii="Arial" w:hAnsi="Arial"/>
      <w:b/>
      <w:sz w:val="16"/>
    </w:rPr>
  </w:style>
  <w:style w:type="paragraph" w:customStyle="1" w:styleId="ENoteTTi">
    <w:name w:val="ENoteTTi"/>
    <w:aliases w:val="entti"/>
    <w:basedOn w:val="OPCParaBase"/>
    <w:rsid w:val="00B4686B"/>
    <w:pPr>
      <w:keepNext/>
      <w:spacing w:before="60" w:line="240" w:lineRule="atLeast"/>
      <w:ind w:left="170"/>
    </w:pPr>
    <w:rPr>
      <w:sz w:val="16"/>
    </w:rPr>
  </w:style>
  <w:style w:type="paragraph" w:customStyle="1" w:styleId="ENotesHeading1">
    <w:name w:val="ENotesHeading 1"/>
    <w:aliases w:val="Enh1"/>
    <w:basedOn w:val="OPCParaBase"/>
    <w:next w:val="Normal"/>
    <w:rsid w:val="00B4686B"/>
    <w:pPr>
      <w:spacing w:before="120"/>
      <w:outlineLvl w:val="1"/>
    </w:pPr>
    <w:rPr>
      <w:b/>
      <w:sz w:val="28"/>
      <w:szCs w:val="28"/>
    </w:rPr>
  </w:style>
  <w:style w:type="paragraph" w:customStyle="1" w:styleId="ENotesHeading2">
    <w:name w:val="ENotesHeading 2"/>
    <w:aliases w:val="Enh2"/>
    <w:basedOn w:val="OPCParaBase"/>
    <w:next w:val="Normal"/>
    <w:rsid w:val="00B4686B"/>
    <w:pPr>
      <w:spacing w:before="120" w:after="120"/>
      <w:outlineLvl w:val="2"/>
    </w:pPr>
    <w:rPr>
      <w:b/>
      <w:sz w:val="24"/>
      <w:szCs w:val="28"/>
    </w:rPr>
  </w:style>
  <w:style w:type="paragraph" w:customStyle="1" w:styleId="ENoteTTIndentHeading">
    <w:name w:val="ENoteTTIndentHeading"/>
    <w:aliases w:val="enTTHi"/>
    <w:basedOn w:val="OPCParaBase"/>
    <w:rsid w:val="00B4686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686B"/>
    <w:pPr>
      <w:spacing w:before="60" w:line="240" w:lineRule="atLeast"/>
    </w:pPr>
    <w:rPr>
      <w:sz w:val="16"/>
    </w:rPr>
  </w:style>
  <w:style w:type="paragraph" w:customStyle="1" w:styleId="MadeunderText">
    <w:name w:val="MadeunderText"/>
    <w:basedOn w:val="OPCParaBase"/>
    <w:next w:val="CompiledMadeUnder"/>
    <w:rsid w:val="00B4686B"/>
    <w:pPr>
      <w:spacing w:before="240"/>
    </w:pPr>
    <w:rPr>
      <w:sz w:val="24"/>
      <w:szCs w:val="24"/>
    </w:rPr>
  </w:style>
  <w:style w:type="paragraph" w:customStyle="1" w:styleId="ENotesHeading3">
    <w:name w:val="ENotesHeading 3"/>
    <w:aliases w:val="Enh3"/>
    <w:basedOn w:val="OPCParaBase"/>
    <w:next w:val="Normal"/>
    <w:rsid w:val="00B4686B"/>
    <w:pPr>
      <w:keepNext/>
      <w:spacing w:before="120" w:line="240" w:lineRule="auto"/>
      <w:outlineLvl w:val="4"/>
    </w:pPr>
    <w:rPr>
      <w:b/>
      <w:szCs w:val="24"/>
    </w:rPr>
  </w:style>
  <w:style w:type="paragraph" w:styleId="ListParagraph">
    <w:name w:val="List Paragraph"/>
    <w:basedOn w:val="Normal"/>
    <w:qFormat/>
    <w:rsid w:val="001816D2"/>
    <w:pPr>
      <w:spacing w:after="200" w:line="276" w:lineRule="auto"/>
      <w:ind w:left="720"/>
      <w:contextualSpacing/>
    </w:pPr>
    <w:rPr>
      <w:rFonts w:ascii="Calibri" w:eastAsia="Times New Roman" w:hAnsi="Calibri" w:cs="Times New Roman"/>
      <w:szCs w:val="22"/>
    </w:rPr>
  </w:style>
  <w:style w:type="paragraph" w:styleId="Caption">
    <w:name w:val="caption"/>
    <w:basedOn w:val="Normal"/>
    <w:next w:val="Normal"/>
    <w:qFormat/>
    <w:rsid w:val="001816D2"/>
    <w:pPr>
      <w:keepNext/>
      <w:spacing w:before="120" w:after="120" w:line="280" w:lineRule="atLeast"/>
    </w:pPr>
    <w:rPr>
      <w:rFonts w:ascii="Arial" w:eastAsia="Calibri" w:hAnsi="Arial" w:cs="Times New Roman"/>
      <w:b/>
      <w:bCs/>
      <w:sz w:val="20"/>
    </w:rPr>
  </w:style>
  <w:style w:type="character" w:customStyle="1" w:styleId="CharSubPartTextCASA">
    <w:name w:val="CharSubPartText(CASA)"/>
    <w:basedOn w:val="OPCCharBase"/>
    <w:uiPriority w:val="1"/>
    <w:rsid w:val="00B4686B"/>
  </w:style>
  <w:style w:type="character" w:customStyle="1" w:styleId="CharSubPartNoCASA">
    <w:name w:val="CharSubPartNo(CASA)"/>
    <w:basedOn w:val="OPCCharBase"/>
    <w:uiPriority w:val="1"/>
    <w:rsid w:val="00B4686B"/>
  </w:style>
  <w:style w:type="paragraph" w:customStyle="1" w:styleId="ENoteTTIndentHeadingSub">
    <w:name w:val="ENoteTTIndentHeadingSub"/>
    <w:aliases w:val="enTTHis"/>
    <w:basedOn w:val="OPCParaBase"/>
    <w:rsid w:val="00B4686B"/>
    <w:pPr>
      <w:keepNext/>
      <w:spacing w:before="60" w:line="240" w:lineRule="atLeast"/>
      <w:ind w:left="340"/>
    </w:pPr>
    <w:rPr>
      <w:b/>
      <w:sz w:val="16"/>
    </w:rPr>
  </w:style>
  <w:style w:type="paragraph" w:customStyle="1" w:styleId="ENoteTTiSub">
    <w:name w:val="ENoteTTiSub"/>
    <w:aliases w:val="enttis"/>
    <w:basedOn w:val="OPCParaBase"/>
    <w:rsid w:val="00B4686B"/>
    <w:pPr>
      <w:keepNext/>
      <w:spacing w:before="60" w:line="240" w:lineRule="atLeast"/>
      <w:ind w:left="340"/>
    </w:pPr>
    <w:rPr>
      <w:sz w:val="16"/>
    </w:rPr>
  </w:style>
  <w:style w:type="paragraph" w:customStyle="1" w:styleId="SubDivisionMigration">
    <w:name w:val="SubDivisionMigration"/>
    <w:aliases w:val="sdm"/>
    <w:basedOn w:val="OPCParaBase"/>
    <w:rsid w:val="00B4686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686B"/>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4710">
      <w:bodyDiv w:val="1"/>
      <w:marLeft w:val="0"/>
      <w:marRight w:val="0"/>
      <w:marTop w:val="0"/>
      <w:marBottom w:val="0"/>
      <w:divBdr>
        <w:top w:val="none" w:sz="0" w:space="0" w:color="auto"/>
        <w:left w:val="none" w:sz="0" w:space="0" w:color="auto"/>
        <w:bottom w:val="none" w:sz="0" w:space="0" w:color="auto"/>
        <w:right w:val="none" w:sz="0" w:space="0" w:color="auto"/>
      </w:divBdr>
      <w:divsChild>
        <w:div w:id="360787425">
          <w:marLeft w:val="0"/>
          <w:marRight w:val="0"/>
          <w:marTop w:val="0"/>
          <w:marBottom w:val="0"/>
          <w:divBdr>
            <w:top w:val="none" w:sz="0" w:space="0" w:color="auto"/>
            <w:left w:val="none" w:sz="0" w:space="0" w:color="auto"/>
            <w:bottom w:val="none" w:sz="0" w:space="0" w:color="auto"/>
            <w:right w:val="none" w:sz="0" w:space="0" w:color="auto"/>
          </w:divBdr>
          <w:divsChild>
            <w:div w:id="609093152">
              <w:marLeft w:val="0"/>
              <w:marRight w:val="0"/>
              <w:marTop w:val="0"/>
              <w:marBottom w:val="0"/>
              <w:divBdr>
                <w:top w:val="none" w:sz="0" w:space="0" w:color="auto"/>
                <w:left w:val="none" w:sz="0" w:space="0" w:color="auto"/>
                <w:bottom w:val="none" w:sz="0" w:space="0" w:color="auto"/>
                <w:right w:val="none" w:sz="0" w:space="0" w:color="auto"/>
              </w:divBdr>
              <w:divsChild>
                <w:div w:id="128593861">
                  <w:marLeft w:val="0"/>
                  <w:marRight w:val="0"/>
                  <w:marTop w:val="0"/>
                  <w:marBottom w:val="0"/>
                  <w:divBdr>
                    <w:top w:val="none" w:sz="0" w:space="0" w:color="auto"/>
                    <w:left w:val="none" w:sz="0" w:space="0" w:color="auto"/>
                    <w:bottom w:val="none" w:sz="0" w:space="0" w:color="auto"/>
                    <w:right w:val="none" w:sz="0" w:space="0" w:color="auto"/>
                  </w:divBdr>
                  <w:divsChild>
                    <w:div w:id="1916817404">
                      <w:marLeft w:val="0"/>
                      <w:marRight w:val="0"/>
                      <w:marTop w:val="0"/>
                      <w:marBottom w:val="0"/>
                      <w:divBdr>
                        <w:top w:val="none" w:sz="0" w:space="0" w:color="auto"/>
                        <w:left w:val="none" w:sz="0" w:space="0" w:color="auto"/>
                        <w:bottom w:val="none" w:sz="0" w:space="0" w:color="auto"/>
                        <w:right w:val="none" w:sz="0" w:space="0" w:color="auto"/>
                      </w:divBdr>
                      <w:divsChild>
                        <w:div w:id="1300578198">
                          <w:marLeft w:val="0"/>
                          <w:marRight w:val="0"/>
                          <w:marTop w:val="0"/>
                          <w:marBottom w:val="0"/>
                          <w:divBdr>
                            <w:top w:val="single" w:sz="6" w:space="0" w:color="828282"/>
                            <w:left w:val="single" w:sz="6" w:space="0" w:color="828282"/>
                            <w:bottom w:val="single" w:sz="6" w:space="0" w:color="828282"/>
                            <w:right w:val="single" w:sz="6" w:space="0" w:color="828282"/>
                          </w:divBdr>
                          <w:divsChild>
                            <w:div w:id="1633562582">
                              <w:marLeft w:val="0"/>
                              <w:marRight w:val="0"/>
                              <w:marTop w:val="0"/>
                              <w:marBottom w:val="0"/>
                              <w:divBdr>
                                <w:top w:val="none" w:sz="0" w:space="0" w:color="auto"/>
                                <w:left w:val="none" w:sz="0" w:space="0" w:color="auto"/>
                                <w:bottom w:val="none" w:sz="0" w:space="0" w:color="auto"/>
                                <w:right w:val="none" w:sz="0" w:space="0" w:color="auto"/>
                              </w:divBdr>
                              <w:divsChild>
                                <w:div w:id="1573809232">
                                  <w:marLeft w:val="0"/>
                                  <w:marRight w:val="0"/>
                                  <w:marTop w:val="0"/>
                                  <w:marBottom w:val="0"/>
                                  <w:divBdr>
                                    <w:top w:val="none" w:sz="0" w:space="0" w:color="auto"/>
                                    <w:left w:val="none" w:sz="0" w:space="0" w:color="auto"/>
                                    <w:bottom w:val="none" w:sz="0" w:space="0" w:color="auto"/>
                                    <w:right w:val="none" w:sz="0" w:space="0" w:color="auto"/>
                                  </w:divBdr>
                                  <w:divsChild>
                                    <w:div w:id="323123099">
                                      <w:marLeft w:val="0"/>
                                      <w:marRight w:val="0"/>
                                      <w:marTop w:val="0"/>
                                      <w:marBottom w:val="0"/>
                                      <w:divBdr>
                                        <w:top w:val="none" w:sz="0" w:space="0" w:color="auto"/>
                                        <w:left w:val="none" w:sz="0" w:space="0" w:color="auto"/>
                                        <w:bottom w:val="none" w:sz="0" w:space="0" w:color="auto"/>
                                        <w:right w:val="none" w:sz="0" w:space="0" w:color="auto"/>
                                      </w:divBdr>
                                      <w:divsChild>
                                        <w:div w:id="1618951610">
                                          <w:marLeft w:val="0"/>
                                          <w:marRight w:val="0"/>
                                          <w:marTop w:val="0"/>
                                          <w:marBottom w:val="0"/>
                                          <w:divBdr>
                                            <w:top w:val="none" w:sz="0" w:space="0" w:color="auto"/>
                                            <w:left w:val="none" w:sz="0" w:space="0" w:color="auto"/>
                                            <w:bottom w:val="none" w:sz="0" w:space="0" w:color="auto"/>
                                            <w:right w:val="none" w:sz="0" w:space="0" w:color="auto"/>
                                          </w:divBdr>
                                          <w:divsChild>
                                            <w:div w:id="1724595263">
                                              <w:marLeft w:val="0"/>
                                              <w:marRight w:val="0"/>
                                              <w:marTop w:val="0"/>
                                              <w:marBottom w:val="0"/>
                                              <w:divBdr>
                                                <w:top w:val="none" w:sz="0" w:space="0" w:color="auto"/>
                                                <w:left w:val="none" w:sz="0" w:space="0" w:color="auto"/>
                                                <w:bottom w:val="none" w:sz="0" w:space="0" w:color="auto"/>
                                                <w:right w:val="none" w:sz="0" w:space="0" w:color="auto"/>
                                              </w:divBdr>
                                              <w:divsChild>
                                                <w:div w:id="5494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140734">
      <w:bodyDiv w:val="1"/>
      <w:marLeft w:val="0"/>
      <w:marRight w:val="0"/>
      <w:marTop w:val="0"/>
      <w:marBottom w:val="0"/>
      <w:divBdr>
        <w:top w:val="none" w:sz="0" w:space="0" w:color="auto"/>
        <w:left w:val="none" w:sz="0" w:space="0" w:color="auto"/>
        <w:bottom w:val="none" w:sz="0" w:space="0" w:color="auto"/>
        <w:right w:val="none" w:sz="0" w:space="0" w:color="auto"/>
      </w:divBdr>
      <w:divsChild>
        <w:div w:id="665743378">
          <w:marLeft w:val="0"/>
          <w:marRight w:val="0"/>
          <w:marTop w:val="0"/>
          <w:marBottom w:val="0"/>
          <w:divBdr>
            <w:top w:val="none" w:sz="0" w:space="0" w:color="auto"/>
            <w:left w:val="none" w:sz="0" w:space="0" w:color="auto"/>
            <w:bottom w:val="none" w:sz="0" w:space="0" w:color="auto"/>
            <w:right w:val="none" w:sz="0" w:space="0" w:color="auto"/>
          </w:divBdr>
          <w:divsChild>
            <w:div w:id="822968023">
              <w:marLeft w:val="0"/>
              <w:marRight w:val="0"/>
              <w:marTop w:val="0"/>
              <w:marBottom w:val="0"/>
              <w:divBdr>
                <w:top w:val="none" w:sz="0" w:space="0" w:color="auto"/>
                <w:left w:val="none" w:sz="0" w:space="0" w:color="auto"/>
                <w:bottom w:val="none" w:sz="0" w:space="0" w:color="auto"/>
                <w:right w:val="none" w:sz="0" w:space="0" w:color="auto"/>
              </w:divBdr>
              <w:divsChild>
                <w:div w:id="1604727556">
                  <w:marLeft w:val="0"/>
                  <w:marRight w:val="0"/>
                  <w:marTop w:val="0"/>
                  <w:marBottom w:val="0"/>
                  <w:divBdr>
                    <w:top w:val="none" w:sz="0" w:space="0" w:color="auto"/>
                    <w:left w:val="none" w:sz="0" w:space="0" w:color="auto"/>
                    <w:bottom w:val="none" w:sz="0" w:space="0" w:color="auto"/>
                    <w:right w:val="none" w:sz="0" w:space="0" w:color="auto"/>
                  </w:divBdr>
                  <w:divsChild>
                    <w:div w:id="2094235422">
                      <w:marLeft w:val="0"/>
                      <w:marRight w:val="0"/>
                      <w:marTop w:val="0"/>
                      <w:marBottom w:val="0"/>
                      <w:divBdr>
                        <w:top w:val="none" w:sz="0" w:space="0" w:color="auto"/>
                        <w:left w:val="none" w:sz="0" w:space="0" w:color="auto"/>
                        <w:bottom w:val="none" w:sz="0" w:space="0" w:color="auto"/>
                        <w:right w:val="none" w:sz="0" w:space="0" w:color="auto"/>
                      </w:divBdr>
                      <w:divsChild>
                        <w:div w:id="322974356">
                          <w:marLeft w:val="0"/>
                          <w:marRight w:val="0"/>
                          <w:marTop w:val="0"/>
                          <w:marBottom w:val="0"/>
                          <w:divBdr>
                            <w:top w:val="single" w:sz="6" w:space="0" w:color="828282"/>
                            <w:left w:val="single" w:sz="6" w:space="0" w:color="828282"/>
                            <w:bottom w:val="single" w:sz="6" w:space="0" w:color="828282"/>
                            <w:right w:val="single" w:sz="6" w:space="0" w:color="828282"/>
                          </w:divBdr>
                          <w:divsChild>
                            <w:div w:id="1318342662">
                              <w:marLeft w:val="0"/>
                              <w:marRight w:val="0"/>
                              <w:marTop w:val="0"/>
                              <w:marBottom w:val="0"/>
                              <w:divBdr>
                                <w:top w:val="none" w:sz="0" w:space="0" w:color="auto"/>
                                <w:left w:val="none" w:sz="0" w:space="0" w:color="auto"/>
                                <w:bottom w:val="none" w:sz="0" w:space="0" w:color="auto"/>
                                <w:right w:val="none" w:sz="0" w:space="0" w:color="auto"/>
                              </w:divBdr>
                              <w:divsChild>
                                <w:div w:id="714162319">
                                  <w:marLeft w:val="0"/>
                                  <w:marRight w:val="0"/>
                                  <w:marTop w:val="0"/>
                                  <w:marBottom w:val="0"/>
                                  <w:divBdr>
                                    <w:top w:val="none" w:sz="0" w:space="0" w:color="auto"/>
                                    <w:left w:val="none" w:sz="0" w:space="0" w:color="auto"/>
                                    <w:bottom w:val="none" w:sz="0" w:space="0" w:color="auto"/>
                                    <w:right w:val="none" w:sz="0" w:space="0" w:color="auto"/>
                                  </w:divBdr>
                                  <w:divsChild>
                                    <w:div w:id="143392904">
                                      <w:marLeft w:val="0"/>
                                      <w:marRight w:val="0"/>
                                      <w:marTop w:val="0"/>
                                      <w:marBottom w:val="0"/>
                                      <w:divBdr>
                                        <w:top w:val="none" w:sz="0" w:space="0" w:color="auto"/>
                                        <w:left w:val="none" w:sz="0" w:space="0" w:color="auto"/>
                                        <w:bottom w:val="none" w:sz="0" w:space="0" w:color="auto"/>
                                        <w:right w:val="none" w:sz="0" w:space="0" w:color="auto"/>
                                      </w:divBdr>
                                      <w:divsChild>
                                        <w:div w:id="1465461473">
                                          <w:marLeft w:val="0"/>
                                          <w:marRight w:val="0"/>
                                          <w:marTop w:val="0"/>
                                          <w:marBottom w:val="0"/>
                                          <w:divBdr>
                                            <w:top w:val="none" w:sz="0" w:space="0" w:color="auto"/>
                                            <w:left w:val="none" w:sz="0" w:space="0" w:color="auto"/>
                                            <w:bottom w:val="none" w:sz="0" w:space="0" w:color="auto"/>
                                            <w:right w:val="none" w:sz="0" w:space="0" w:color="auto"/>
                                          </w:divBdr>
                                          <w:divsChild>
                                            <w:div w:id="1012493038">
                                              <w:marLeft w:val="0"/>
                                              <w:marRight w:val="0"/>
                                              <w:marTop w:val="0"/>
                                              <w:marBottom w:val="0"/>
                                              <w:divBdr>
                                                <w:top w:val="none" w:sz="0" w:space="0" w:color="auto"/>
                                                <w:left w:val="none" w:sz="0" w:space="0" w:color="auto"/>
                                                <w:bottom w:val="none" w:sz="0" w:space="0" w:color="auto"/>
                                                <w:right w:val="none" w:sz="0" w:space="0" w:color="auto"/>
                                              </w:divBdr>
                                              <w:divsChild>
                                                <w:div w:id="16297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774208">
      <w:bodyDiv w:val="1"/>
      <w:marLeft w:val="0"/>
      <w:marRight w:val="0"/>
      <w:marTop w:val="0"/>
      <w:marBottom w:val="0"/>
      <w:divBdr>
        <w:top w:val="none" w:sz="0" w:space="0" w:color="auto"/>
        <w:left w:val="none" w:sz="0" w:space="0" w:color="auto"/>
        <w:bottom w:val="none" w:sz="0" w:space="0" w:color="auto"/>
        <w:right w:val="none" w:sz="0" w:space="0" w:color="auto"/>
      </w:divBdr>
      <w:divsChild>
        <w:div w:id="25641800">
          <w:marLeft w:val="0"/>
          <w:marRight w:val="0"/>
          <w:marTop w:val="0"/>
          <w:marBottom w:val="0"/>
          <w:divBdr>
            <w:top w:val="none" w:sz="0" w:space="0" w:color="auto"/>
            <w:left w:val="none" w:sz="0" w:space="0" w:color="auto"/>
            <w:bottom w:val="none" w:sz="0" w:space="0" w:color="auto"/>
            <w:right w:val="none" w:sz="0" w:space="0" w:color="auto"/>
          </w:divBdr>
          <w:divsChild>
            <w:div w:id="233322410">
              <w:marLeft w:val="0"/>
              <w:marRight w:val="0"/>
              <w:marTop w:val="0"/>
              <w:marBottom w:val="0"/>
              <w:divBdr>
                <w:top w:val="none" w:sz="0" w:space="0" w:color="auto"/>
                <w:left w:val="none" w:sz="0" w:space="0" w:color="auto"/>
                <w:bottom w:val="none" w:sz="0" w:space="0" w:color="auto"/>
                <w:right w:val="none" w:sz="0" w:space="0" w:color="auto"/>
              </w:divBdr>
              <w:divsChild>
                <w:div w:id="1140150955">
                  <w:marLeft w:val="0"/>
                  <w:marRight w:val="0"/>
                  <w:marTop w:val="0"/>
                  <w:marBottom w:val="0"/>
                  <w:divBdr>
                    <w:top w:val="none" w:sz="0" w:space="0" w:color="auto"/>
                    <w:left w:val="none" w:sz="0" w:space="0" w:color="auto"/>
                    <w:bottom w:val="none" w:sz="0" w:space="0" w:color="auto"/>
                    <w:right w:val="none" w:sz="0" w:space="0" w:color="auto"/>
                  </w:divBdr>
                  <w:divsChild>
                    <w:div w:id="1227951961">
                      <w:marLeft w:val="0"/>
                      <w:marRight w:val="0"/>
                      <w:marTop w:val="0"/>
                      <w:marBottom w:val="0"/>
                      <w:divBdr>
                        <w:top w:val="none" w:sz="0" w:space="0" w:color="auto"/>
                        <w:left w:val="none" w:sz="0" w:space="0" w:color="auto"/>
                        <w:bottom w:val="none" w:sz="0" w:space="0" w:color="auto"/>
                        <w:right w:val="none" w:sz="0" w:space="0" w:color="auto"/>
                      </w:divBdr>
                      <w:divsChild>
                        <w:div w:id="549921860">
                          <w:marLeft w:val="0"/>
                          <w:marRight w:val="0"/>
                          <w:marTop w:val="0"/>
                          <w:marBottom w:val="0"/>
                          <w:divBdr>
                            <w:top w:val="single" w:sz="6" w:space="0" w:color="828282"/>
                            <w:left w:val="single" w:sz="6" w:space="0" w:color="828282"/>
                            <w:bottom w:val="single" w:sz="6" w:space="0" w:color="828282"/>
                            <w:right w:val="single" w:sz="6" w:space="0" w:color="828282"/>
                          </w:divBdr>
                          <w:divsChild>
                            <w:div w:id="107086689">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sChild>
                                    <w:div w:id="1862817285">
                                      <w:marLeft w:val="0"/>
                                      <w:marRight w:val="0"/>
                                      <w:marTop w:val="0"/>
                                      <w:marBottom w:val="0"/>
                                      <w:divBdr>
                                        <w:top w:val="none" w:sz="0" w:space="0" w:color="auto"/>
                                        <w:left w:val="none" w:sz="0" w:space="0" w:color="auto"/>
                                        <w:bottom w:val="none" w:sz="0" w:space="0" w:color="auto"/>
                                        <w:right w:val="none" w:sz="0" w:space="0" w:color="auto"/>
                                      </w:divBdr>
                                      <w:divsChild>
                                        <w:div w:id="118884989">
                                          <w:marLeft w:val="0"/>
                                          <w:marRight w:val="0"/>
                                          <w:marTop w:val="0"/>
                                          <w:marBottom w:val="0"/>
                                          <w:divBdr>
                                            <w:top w:val="none" w:sz="0" w:space="0" w:color="auto"/>
                                            <w:left w:val="none" w:sz="0" w:space="0" w:color="auto"/>
                                            <w:bottom w:val="none" w:sz="0" w:space="0" w:color="auto"/>
                                            <w:right w:val="none" w:sz="0" w:space="0" w:color="auto"/>
                                          </w:divBdr>
                                          <w:divsChild>
                                            <w:div w:id="898974298">
                                              <w:marLeft w:val="0"/>
                                              <w:marRight w:val="0"/>
                                              <w:marTop w:val="0"/>
                                              <w:marBottom w:val="0"/>
                                              <w:divBdr>
                                                <w:top w:val="none" w:sz="0" w:space="0" w:color="auto"/>
                                                <w:left w:val="none" w:sz="0" w:space="0" w:color="auto"/>
                                                <w:bottom w:val="none" w:sz="0" w:space="0" w:color="auto"/>
                                                <w:right w:val="none" w:sz="0" w:space="0" w:color="auto"/>
                                              </w:divBdr>
                                              <w:divsChild>
                                                <w:div w:id="1205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968562">
      <w:bodyDiv w:val="1"/>
      <w:marLeft w:val="0"/>
      <w:marRight w:val="0"/>
      <w:marTop w:val="0"/>
      <w:marBottom w:val="0"/>
      <w:divBdr>
        <w:top w:val="none" w:sz="0" w:space="0" w:color="auto"/>
        <w:left w:val="none" w:sz="0" w:space="0" w:color="auto"/>
        <w:bottom w:val="none" w:sz="0" w:space="0" w:color="auto"/>
        <w:right w:val="none" w:sz="0" w:space="0" w:color="auto"/>
      </w:divBdr>
    </w:div>
    <w:div w:id="909854025">
      <w:bodyDiv w:val="1"/>
      <w:marLeft w:val="0"/>
      <w:marRight w:val="0"/>
      <w:marTop w:val="0"/>
      <w:marBottom w:val="0"/>
      <w:divBdr>
        <w:top w:val="none" w:sz="0" w:space="0" w:color="auto"/>
        <w:left w:val="none" w:sz="0" w:space="0" w:color="auto"/>
        <w:bottom w:val="none" w:sz="0" w:space="0" w:color="auto"/>
        <w:right w:val="none" w:sz="0" w:space="0" w:color="auto"/>
      </w:divBdr>
      <w:divsChild>
        <w:div w:id="1947536159">
          <w:marLeft w:val="0"/>
          <w:marRight w:val="0"/>
          <w:marTop w:val="0"/>
          <w:marBottom w:val="0"/>
          <w:divBdr>
            <w:top w:val="none" w:sz="0" w:space="0" w:color="auto"/>
            <w:left w:val="none" w:sz="0" w:space="0" w:color="auto"/>
            <w:bottom w:val="none" w:sz="0" w:space="0" w:color="auto"/>
            <w:right w:val="none" w:sz="0" w:space="0" w:color="auto"/>
          </w:divBdr>
          <w:divsChild>
            <w:div w:id="1762875037">
              <w:marLeft w:val="0"/>
              <w:marRight w:val="0"/>
              <w:marTop w:val="0"/>
              <w:marBottom w:val="0"/>
              <w:divBdr>
                <w:top w:val="none" w:sz="0" w:space="0" w:color="auto"/>
                <w:left w:val="none" w:sz="0" w:space="0" w:color="auto"/>
                <w:bottom w:val="none" w:sz="0" w:space="0" w:color="auto"/>
                <w:right w:val="none" w:sz="0" w:space="0" w:color="auto"/>
              </w:divBdr>
              <w:divsChild>
                <w:div w:id="1846090523">
                  <w:marLeft w:val="0"/>
                  <w:marRight w:val="0"/>
                  <w:marTop w:val="0"/>
                  <w:marBottom w:val="0"/>
                  <w:divBdr>
                    <w:top w:val="none" w:sz="0" w:space="0" w:color="auto"/>
                    <w:left w:val="none" w:sz="0" w:space="0" w:color="auto"/>
                    <w:bottom w:val="none" w:sz="0" w:space="0" w:color="auto"/>
                    <w:right w:val="none" w:sz="0" w:space="0" w:color="auto"/>
                  </w:divBdr>
                  <w:divsChild>
                    <w:div w:id="928344708">
                      <w:marLeft w:val="0"/>
                      <w:marRight w:val="0"/>
                      <w:marTop w:val="0"/>
                      <w:marBottom w:val="0"/>
                      <w:divBdr>
                        <w:top w:val="none" w:sz="0" w:space="0" w:color="auto"/>
                        <w:left w:val="none" w:sz="0" w:space="0" w:color="auto"/>
                        <w:bottom w:val="none" w:sz="0" w:space="0" w:color="auto"/>
                        <w:right w:val="none" w:sz="0" w:space="0" w:color="auto"/>
                      </w:divBdr>
                      <w:divsChild>
                        <w:div w:id="172502497">
                          <w:marLeft w:val="0"/>
                          <w:marRight w:val="0"/>
                          <w:marTop w:val="0"/>
                          <w:marBottom w:val="0"/>
                          <w:divBdr>
                            <w:top w:val="single" w:sz="6" w:space="0" w:color="828282"/>
                            <w:left w:val="single" w:sz="6" w:space="0" w:color="828282"/>
                            <w:bottom w:val="single" w:sz="6" w:space="0" w:color="828282"/>
                            <w:right w:val="single" w:sz="6" w:space="0" w:color="828282"/>
                          </w:divBdr>
                          <w:divsChild>
                            <w:div w:id="722145945">
                              <w:marLeft w:val="0"/>
                              <w:marRight w:val="0"/>
                              <w:marTop w:val="0"/>
                              <w:marBottom w:val="0"/>
                              <w:divBdr>
                                <w:top w:val="none" w:sz="0" w:space="0" w:color="auto"/>
                                <w:left w:val="none" w:sz="0" w:space="0" w:color="auto"/>
                                <w:bottom w:val="none" w:sz="0" w:space="0" w:color="auto"/>
                                <w:right w:val="none" w:sz="0" w:space="0" w:color="auto"/>
                              </w:divBdr>
                              <w:divsChild>
                                <w:div w:id="1329481043">
                                  <w:marLeft w:val="0"/>
                                  <w:marRight w:val="0"/>
                                  <w:marTop w:val="0"/>
                                  <w:marBottom w:val="0"/>
                                  <w:divBdr>
                                    <w:top w:val="none" w:sz="0" w:space="0" w:color="auto"/>
                                    <w:left w:val="none" w:sz="0" w:space="0" w:color="auto"/>
                                    <w:bottom w:val="none" w:sz="0" w:space="0" w:color="auto"/>
                                    <w:right w:val="none" w:sz="0" w:space="0" w:color="auto"/>
                                  </w:divBdr>
                                  <w:divsChild>
                                    <w:div w:id="804011712">
                                      <w:marLeft w:val="0"/>
                                      <w:marRight w:val="0"/>
                                      <w:marTop w:val="0"/>
                                      <w:marBottom w:val="0"/>
                                      <w:divBdr>
                                        <w:top w:val="none" w:sz="0" w:space="0" w:color="auto"/>
                                        <w:left w:val="none" w:sz="0" w:space="0" w:color="auto"/>
                                        <w:bottom w:val="none" w:sz="0" w:space="0" w:color="auto"/>
                                        <w:right w:val="none" w:sz="0" w:space="0" w:color="auto"/>
                                      </w:divBdr>
                                      <w:divsChild>
                                        <w:div w:id="984241336">
                                          <w:marLeft w:val="0"/>
                                          <w:marRight w:val="0"/>
                                          <w:marTop w:val="0"/>
                                          <w:marBottom w:val="0"/>
                                          <w:divBdr>
                                            <w:top w:val="none" w:sz="0" w:space="0" w:color="auto"/>
                                            <w:left w:val="none" w:sz="0" w:space="0" w:color="auto"/>
                                            <w:bottom w:val="none" w:sz="0" w:space="0" w:color="auto"/>
                                            <w:right w:val="none" w:sz="0" w:space="0" w:color="auto"/>
                                          </w:divBdr>
                                          <w:divsChild>
                                            <w:div w:id="1410813428">
                                              <w:marLeft w:val="0"/>
                                              <w:marRight w:val="0"/>
                                              <w:marTop w:val="0"/>
                                              <w:marBottom w:val="0"/>
                                              <w:divBdr>
                                                <w:top w:val="none" w:sz="0" w:space="0" w:color="auto"/>
                                                <w:left w:val="none" w:sz="0" w:space="0" w:color="auto"/>
                                                <w:bottom w:val="none" w:sz="0" w:space="0" w:color="auto"/>
                                                <w:right w:val="none" w:sz="0" w:space="0" w:color="auto"/>
                                              </w:divBdr>
                                              <w:divsChild>
                                                <w:div w:id="1593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383394">
      <w:bodyDiv w:val="1"/>
      <w:marLeft w:val="0"/>
      <w:marRight w:val="0"/>
      <w:marTop w:val="0"/>
      <w:marBottom w:val="0"/>
      <w:divBdr>
        <w:top w:val="none" w:sz="0" w:space="0" w:color="auto"/>
        <w:left w:val="none" w:sz="0" w:space="0" w:color="auto"/>
        <w:bottom w:val="none" w:sz="0" w:space="0" w:color="auto"/>
        <w:right w:val="none" w:sz="0" w:space="0" w:color="auto"/>
      </w:divBdr>
      <w:divsChild>
        <w:div w:id="1591963401">
          <w:marLeft w:val="0"/>
          <w:marRight w:val="0"/>
          <w:marTop w:val="0"/>
          <w:marBottom w:val="0"/>
          <w:divBdr>
            <w:top w:val="none" w:sz="0" w:space="0" w:color="auto"/>
            <w:left w:val="none" w:sz="0" w:space="0" w:color="auto"/>
            <w:bottom w:val="none" w:sz="0" w:space="0" w:color="auto"/>
            <w:right w:val="none" w:sz="0" w:space="0" w:color="auto"/>
          </w:divBdr>
          <w:divsChild>
            <w:div w:id="1690446633">
              <w:marLeft w:val="0"/>
              <w:marRight w:val="0"/>
              <w:marTop w:val="0"/>
              <w:marBottom w:val="0"/>
              <w:divBdr>
                <w:top w:val="none" w:sz="0" w:space="0" w:color="auto"/>
                <w:left w:val="none" w:sz="0" w:space="0" w:color="auto"/>
                <w:bottom w:val="none" w:sz="0" w:space="0" w:color="auto"/>
                <w:right w:val="none" w:sz="0" w:space="0" w:color="auto"/>
              </w:divBdr>
              <w:divsChild>
                <w:div w:id="684285698">
                  <w:marLeft w:val="0"/>
                  <w:marRight w:val="0"/>
                  <w:marTop w:val="0"/>
                  <w:marBottom w:val="0"/>
                  <w:divBdr>
                    <w:top w:val="none" w:sz="0" w:space="0" w:color="auto"/>
                    <w:left w:val="none" w:sz="0" w:space="0" w:color="auto"/>
                    <w:bottom w:val="none" w:sz="0" w:space="0" w:color="auto"/>
                    <w:right w:val="none" w:sz="0" w:space="0" w:color="auto"/>
                  </w:divBdr>
                  <w:divsChild>
                    <w:div w:id="1262686851">
                      <w:marLeft w:val="0"/>
                      <w:marRight w:val="0"/>
                      <w:marTop w:val="0"/>
                      <w:marBottom w:val="0"/>
                      <w:divBdr>
                        <w:top w:val="none" w:sz="0" w:space="0" w:color="auto"/>
                        <w:left w:val="none" w:sz="0" w:space="0" w:color="auto"/>
                        <w:bottom w:val="none" w:sz="0" w:space="0" w:color="auto"/>
                        <w:right w:val="none" w:sz="0" w:space="0" w:color="auto"/>
                      </w:divBdr>
                      <w:divsChild>
                        <w:div w:id="1830901771">
                          <w:marLeft w:val="0"/>
                          <w:marRight w:val="0"/>
                          <w:marTop w:val="0"/>
                          <w:marBottom w:val="0"/>
                          <w:divBdr>
                            <w:top w:val="single" w:sz="6" w:space="0" w:color="828282"/>
                            <w:left w:val="single" w:sz="6" w:space="0" w:color="828282"/>
                            <w:bottom w:val="single" w:sz="6" w:space="0" w:color="828282"/>
                            <w:right w:val="single" w:sz="6" w:space="0" w:color="828282"/>
                          </w:divBdr>
                          <w:divsChild>
                            <w:div w:id="1113786098">
                              <w:marLeft w:val="0"/>
                              <w:marRight w:val="0"/>
                              <w:marTop w:val="0"/>
                              <w:marBottom w:val="0"/>
                              <w:divBdr>
                                <w:top w:val="none" w:sz="0" w:space="0" w:color="auto"/>
                                <w:left w:val="none" w:sz="0" w:space="0" w:color="auto"/>
                                <w:bottom w:val="none" w:sz="0" w:space="0" w:color="auto"/>
                                <w:right w:val="none" w:sz="0" w:space="0" w:color="auto"/>
                              </w:divBdr>
                              <w:divsChild>
                                <w:div w:id="1246648982">
                                  <w:marLeft w:val="0"/>
                                  <w:marRight w:val="0"/>
                                  <w:marTop w:val="0"/>
                                  <w:marBottom w:val="0"/>
                                  <w:divBdr>
                                    <w:top w:val="none" w:sz="0" w:space="0" w:color="auto"/>
                                    <w:left w:val="none" w:sz="0" w:space="0" w:color="auto"/>
                                    <w:bottom w:val="none" w:sz="0" w:space="0" w:color="auto"/>
                                    <w:right w:val="none" w:sz="0" w:space="0" w:color="auto"/>
                                  </w:divBdr>
                                  <w:divsChild>
                                    <w:div w:id="174811889">
                                      <w:marLeft w:val="0"/>
                                      <w:marRight w:val="0"/>
                                      <w:marTop w:val="0"/>
                                      <w:marBottom w:val="0"/>
                                      <w:divBdr>
                                        <w:top w:val="none" w:sz="0" w:space="0" w:color="auto"/>
                                        <w:left w:val="none" w:sz="0" w:space="0" w:color="auto"/>
                                        <w:bottom w:val="none" w:sz="0" w:space="0" w:color="auto"/>
                                        <w:right w:val="none" w:sz="0" w:space="0" w:color="auto"/>
                                      </w:divBdr>
                                      <w:divsChild>
                                        <w:div w:id="999425708">
                                          <w:marLeft w:val="0"/>
                                          <w:marRight w:val="0"/>
                                          <w:marTop w:val="0"/>
                                          <w:marBottom w:val="0"/>
                                          <w:divBdr>
                                            <w:top w:val="none" w:sz="0" w:space="0" w:color="auto"/>
                                            <w:left w:val="none" w:sz="0" w:space="0" w:color="auto"/>
                                            <w:bottom w:val="none" w:sz="0" w:space="0" w:color="auto"/>
                                            <w:right w:val="none" w:sz="0" w:space="0" w:color="auto"/>
                                          </w:divBdr>
                                          <w:divsChild>
                                            <w:div w:id="1778716057">
                                              <w:marLeft w:val="0"/>
                                              <w:marRight w:val="0"/>
                                              <w:marTop w:val="0"/>
                                              <w:marBottom w:val="0"/>
                                              <w:divBdr>
                                                <w:top w:val="none" w:sz="0" w:space="0" w:color="auto"/>
                                                <w:left w:val="none" w:sz="0" w:space="0" w:color="auto"/>
                                                <w:bottom w:val="none" w:sz="0" w:space="0" w:color="auto"/>
                                                <w:right w:val="none" w:sz="0" w:space="0" w:color="auto"/>
                                              </w:divBdr>
                                              <w:divsChild>
                                                <w:div w:id="8256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380027">
      <w:bodyDiv w:val="1"/>
      <w:marLeft w:val="0"/>
      <w:marRight w:val="0"/>
      <w:marTop w:val="0"/>
      <w:marBottom w:val="0"/>
      <w:divBdr>
        <w:top w:val="none" w:sz="0" w:space="0" w:color="auto"/>
        <w:left w:val="none" w:sz="0" w:space="0" w:color="auto"/>
        <w:bottom w:val="none" w:sz="0" w:space="0" w:color="auto"/>
        <w:right w:val="none" w:sz="0" w:space="0" w:color="auto"/>
      </w:divBdr>
      <w:divsChild>
        <w:div w:id="2030333161">
          <w:marLeft w:val="0"/>
          <w:marRight w:val="0"/>
          <w:marTop w:val="0"/>
          <w:marBottom w:val="0"/>
          <w:divBdr>
            <w:top w:val="none" w:sz="0" w:space="0" w:color="auto"/>
            <w:left w:val="none" w:sz="0" w:space="0" w:color="auto"/>
            <w:bottom w:val="none" w:sz="0" w:space="0" w:color="auto"/>
            <w:right w:val="none" w:sz="0" w:space="0" w:color="auto"/>
          </w:divBdr>
          <w:divsChild>
            <w:div w:id="1776316907">
              <w:marLeft w:val="0"/>
              <w:marRight w:val="0"/>
              <w:marTop w:val="0"/>
              <w:marBottom w:val="0"/>
              <w:divBdr>
                <w:top w:val="none" w:sz="0" w:space="0" w:color="auto"/>
                <w:left w:val="none" w:sz="0" w:space="0" w:color="auto"/>
                <w:bottom w:val="none" w:sz="0" w:space="0" w:color="auto"/>
                <w:right w:val="none" w:sz="0" w:space="0" w:color="auto"/>
              </w:divBdr>
              <w:divsChild>
                <w:div w:id="518740174">
                  <w:marLeft w:val="0"/>
                  <w:marRight w:val="0"/>
                  <w:marTop w:val="0"/>
                  <w:marBottom w:val="0"/>
                  <w:divBdr>
                    <w:top w:val="none" w:sz="0" w:space="0" w:color="auto"/>
                    <w:left w:val="none" w:sz="0" w:space="0" w:color="auto"/>
                    <w:bottom w:val="none" w:sz="0" w:space="0" w:color="auto"/>
                    <w:right w:val="none" w:sz="0" w:space="0" w:color="auto"/>
                  </w:divBdr>
                  <w:divsChild>
                    <w:div w:id="1195577840">
                      <w:marLeft w:val="0"/>
                      <w:marRight w:val="0"/>
                      <w:marTop w:val="0"/>
                      <w:marBottom w:val="0"/>
                      <w:divBdr>
                        <w:top w:val="none" w:sz="0" w:space="0" w:color="auto"/>
                        <w:left w:val="none" w:sz="0" w:space="0" w:color="auto"/>
                        <w:bottom w:val="none" w:sz="0" w:space="0" w:color="auto"/>
                        <w:right w:val="none" w:sz="0" w:space="0" w:color="auto"/>
                      </w:divBdr>
                      <w:divsChild>
                        <w:div w:id="2047025953">
                          <w:marLeft w:val="0"/>
                          <w:marRight w:val="0"/>
                          <w:marTop w:val="0"/>
                          <w:marBottom w:val="0"/>
                          <w:divBdr>
                            <w:top w:val="single" w:sz="6" w:space="0" w:color="828282"/>
                            <w:left w:val="single" w:sz="6" w:space="0" w:color="828282"/>
                            <w:bottom w:val="single" w:sz="6" w:space="0" w:color="828282"/>
                            <w:right w:val="single" w:sz="6" w:space="0" w:color="828282"/>
                          </w:divBdr>
                          <w:divsChild>
                            <w:div w:id="1227181765">
                              <w:marLeft w:val="0"/>
                              <w:marRight w:val="0"/>
                              <w:marTop w:val="0"/>
                              <w:marBottom w:val="0"/>
                              <w:divBdr>
                                <w:top w:val="none" w:sz="0" w:space="0" w:color="auto"/>
                                <w:left w:val="none" w:sz="0" w:space="0" w:color="auto"/>
                                <w:bottom w:val="none" w:sz="0" w:space="0" w:color="auto"/>
                                <w:right w:val="none" w:sz="0" w:space="0" w:color="auto"/>
                              </w:divBdr>
                              <w:divsChild>
                                <w:div w:id="1087001104">
                                  <w:marLeft w:val="0"/>
                                  <w:marRight w:val="0"/>
                                  <w:marTop w:val="0"/>
                                  <w:marBottom w:val="0"/>
                                  <w:divBdr>
                                    <w:top w:val="none" w:sz="0" w:space="0" w:color="auto"/>
                                    <w:left w:val="none" w:sz="0" w:space="0" w:color="auto"/>
                                    <w:bottom w:val="none" w:sz="0" w:space="0" w:color="auto"/>
                                    <w:right w:val="none" w:sz="0" w:space="0" w:color="auto"/>
                                  </w:divBdr>
                                  <w:divsChild>
                                    <w:div w:id="2085835160">
                                      <w:marLeft w:val="0"/>
                                      <w:marRight w:val="0"/>
                                      <w:marTop w:val="0"/>
                                      <w:marBottom w:val="0"/>
                                      <w:divBdr>
                                        <w:top w:val="none" w:sz="0" w:space="0" w:color="auto"/>
                                        <w:left w:val="none" w:sz="0" w:space="0" w:color="auto"/>
                                        <w:bottom w:val="none" w:sz="0" w:space="0" w:color="auto"/>
                                        <w:right w:val="none" w:sz="0" w:space="0" w:color="auto"/>
                                      </w:divBdr>
                                      <w:divsChild>
                                        <w:div w:id="1826511291">
                                          <w:marLeft w:val="0"/>
                                          <w:marRight w:val="0"/>
                                          <w:marTop w:val="0"/>
                                          <w:marBottom w:val="0"/>
                                          <w:divBdr>
                                            <w:top w:val="none" w:sz="0" w:space="0" w:color="auto"/>
                                            <w:left w:val="none" w:sz="0" w:space="0" w:color="auto"/>
                                            <w:bottom w:val="none" w:sz="0" w:space="0" w:color="auto"/>
                                            <w:right w:val="none" w:sz="0" w:space="0" w:color="auto"/>
                                          </w:divBdr>
                                          <w:divsChild>
                                            <w:div w:id="683437940">
                                              <w:marLeft w:val="0"/>
                                              <w:marRight w:val="0"/>
                                              <w:marTop w:val="0"/>
                                              <w:marBottom w:val="0"/>
                                              <w:divBdr>
                                                <w:top w:val="none" w:sz="0" w:space="0" w:color="auto"/>
                                                <w:left w:val="none" w:sz="0" w:space="0" w:color="auto"/>
                                                <w:bottom w:val="none" w:sz="0" w:space="0" w:color="auto"/>
                                                <w:right w:val="none" w:sz="0" w:space="0" w:color="auto"/>
                                              </w:divBdr>
                                              <w:divsChild>
                                                <w:div w:id="678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527803">
      <w:bodyDiv w:val="1"/>
      <w:marLeft w:val="0"/>
      <w:marRight w:val="0"/>
      <w:marTop w:val="0"/>
      <w:marBottom w:val="0"/>
      <w:divBdr>
        <w:top w:val="none" w:sz="0" w:space="0" w:color="auto"/>
        <w:left w:val="none" w:sz="0" w:space="0" w:color="auto"/>
        <w:bottom w:val="none" w:sz="0" w:space="0" w:color="auto"/>
        <w:right w:val="none" w:sz="0" w:space="0" w:color="auto"/>
      </w:divBdr>
    </w:div>
    <w:div w:id="1623799858">
      <w:bodyDiv w:val="1"/>
      <w:marLeft w:val="0"/>
      <w:marRight w:val="0"/>
      <w:marTop w:val="0"/>
      <w:marBottom w:val="0"/>
      <w:divBdr>
        <w:top w:val="none" w:sz="0" w:space="0" w:color="auto"/>
        <w:left w:val="none" w:sz="0" w:space="0" w:color="auto"/>
        <w:bottom w:val="none" w:sz="0" w:space="0" w:color="auto"/>
        <w:right w:val="none" w:sz="0" w:space="0" w:color="auto"/>
      </w:divBdr>
      <w:divsChild>
        <w:div w:id="615871539">
          <w:marLeft w:val="0"/>
          <w:marRight w:val="0"/>
          <w:marTop w:val="0"/>
          <w:marBottom w:val="0"/>
          <w:divBdr>
            <w:top w:val="none" w:sz="0" w:space="0" w:color="auto"/>
            <w:left w:val="none" w:sz="0" w:space="0" w:color="auto"/>
            <w:bottom w:val="none" w:sz="0" w:space="0" w:color="auto"/>
            <w:right w:val="none" w:sz="0" w:space="0" w:color="auto"/>
          </w:divBdr>
          <w:divsChild>
            <w:div w:id="996150100">
              <w:marLeft w:val="0"/>
              <w:marRight w:val="0"/>
              <w:marTop w:val="0"/>
              <w:marBottom w:val="0"/>
              <w:divBdr>
                <w:top w:val="none" w:sz="0" w:space="0" w:color="auto"/>
                <w:left w:val="none" w:sz="0" w:space="0" w:color="auto"/>
                <w:bottom w:val="none" w:sz="0" w:space="0" w:color="auto"/>
                <w:right w:val="none" w:sz="0" w:space="0" w:color="auto"/>
              </w:divBdr>
              <w:divsChild>
                <w:div w:id="1438136385">
                  <w:marLeft w:val="0"/>
                  <w:marRight w:val="0"/>
                  <w:marTop w:val="0"/>
                  <w:marBottom w:val="0"/>
                  <w:divBdr>
                    <w:top w:val="none" w:sz="0" w:space="0" w:color="auto"/>
                    <w:left w:val="none" w:sz="0" w:space="0" w:color="auto"/>
                    <w:bottom w:val="none" w:sz="0" w:space="0" w:color="auto"/>
                    <w:right w:val="none" w:sz="0" w:space="0" w:color="auto"/>
                  </w:divBdr>
                  <w:divsChild>
                    <w:div w:id="1559130843">
                      <w:marLeft w:val="0"/>
                      <w:marRight w:val="0"/>
                      <w:marTop w:val="0"/>
                      <w:marBottom w:val="0"/>
                      <w:divBdr>
                        <w:top w:val="none" w:sz="0" w:space="0" w:color="auto"/>
                        <w:left w:val="none" w:sz="0" w:space="0" w:color="auto"/>
                        <w:bottom w:val="none" w:sz="0" w:space="0" w:color="auto"/>
                        <w:right w:val="none" w:sz="0" w:space="0" w:color="auto"/>
                      </w:divBdr>
                      <w:divsChild>
                        <w:div w:id="1528057010">
                          <w:marLeft w:val="0"/>
                          <w:marRight w:val="0"/>
                          <w:marTop w:val="0"/>
                          <w:marBottom w:val="0"/>
                          <w:divBdr>
                            <w:top w:val="single" w:sz="6" w:space="0" w:color="828282"/>
                            <w:left w:val="single" w:sz="6" w:space="0" w:color="828282"/>
                            <w:bottom w:val="single" w:sz="6" w:space="0" w:color="828282"/>
                            <w:right w:val="single" w:sz="6" w:space="0" w:color="828282"/>
                          </w:divBdr>
                          <w:divsChild>
                            <w:div w:id="382407367">
                              <w:marLeft w:val="0"/>
                              <w:marRight w:val="0"/>
                              <w:marTop w:val="0"/>
                              <w:marBottom w:val="0"/>
                              <w:divBdr>
                                <w:top w:val="none" w:sz="0" w:space="0" w:color="auto"/>
                                <w:left w:val="none" w:sz="0" w:space="0" w:color="auto"/>
                                <w:bottom w:val="none" w:sz="0" w:space="0" w:color="auto"/>
                                <w:right w:val="none" w:sz="0" w:space="0" w:color="auto"/>
                              </w:divBdr>
                              <w:divsChild>
                                <w:div w:id="600525580">
                                  <w:marLeft w:val="0"/>
                                  <w:marRight w:val="0"/>
                                  <w:marTop w:val="0"/>
                                  <w:marBottom w:val="0"/>
                                  <w:divBdr>
                                    <w:top w:val="none" w:sz="0" w:space="0" w:color="auto"/>
                                    <w:left w:val="none" w:sz="0" w:space="0" w:color="auto"/>
                                    <w:bottom w:val="none" w:sz="0" w:space="0" w:color="auto"/>
                                    <w:right w:val="none" w:sz="0" w:space="0" w:color="auto"/>
                                  </w:divBdr>
                                  <w:divsChild>
                                    <w:div w:id="1442072426">
                                      <w:marLeft w:val="0"/>
                                      <w:marRight w:val="0"/>
                                      <w:marTop w:val="0"/>
                                      <w:marBottom w:val="0"/>
                                      <w:divBdr>
                                        <w:top w:val="none" w:sz="0" w:space="0" w:color="auto"/>
                                        <w:left w:val="none" w:sz="0" w:space="0" w:color="auto"/>
                                        <w:bottom w:val="none" w:sz="0" w:space="0" w:color="auto"/>
                                        <w:right w:val="none" w:sz="0" w:space="0" w:color="auto"/>
                                      </w:divBdr>
                                      <w:divsChild>
                                        <w:div w:id="790828446">
                                          <w:marLeft w:val="0"/>
                                          <w:marRight w:val="0"/>
                                          <w:marTop w:val="0"/>
                                          <w:marBottom w:val="0"/>
                                          <w:divBdr>
                                            <w:top w:val="none" w:sz="0" w:space="0" w:color="auto"/>
                                            <w:left w:val="none" w:sz="0" w:space="0" w:color="auto"/>
                                            <w:bottom w:val="none" w:sz="0" w:space="0" w:color="auto"/>
                                            <w:right w:val="none" w:sz="0" w:space="0" w:color="auto"/>
                                          </w:divBdr>
                                          <w:divsChild>
                                            <w:div w:id="2071489788">
                                              <w:marLeft w:val="0"/>
                                              <w:marRight w:val="0"/>
                                              <w:marTop w:val="0"/>
                                              <w:marBottom w:val="0"/>
                                              <w:divBdr>
                                                <w:top w:val="none" w:sz="0" w:space="0" w:color="auto"/>
                                                <w:left w:val="none" w:sz="0" w:space="0" w:color="auto"/>
                                                <w:bottom w:val="none" w:sz="0" w:space="0" w:color="auto"/>
                                                <w:right w:val="none" w:sz="0" w:space="0" w:color="auto"/>
                                              </w:divBdr>
                                              <w:divsChild>
                                                <w:div w:id="20859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060592">
      <w:bodyDiv w:val="1"/>
      <w:marLeft w:val="0"/>
      <w:marRight w:val="0"/>
      <w:marTop w:val="0"/>
      <w:marBottom w:val="0"/>
      <w:divBdr>
        <w:top w:val="none" w:sz="0" w:space="0" w:color="auto"/>
        <w:left w:val="none" w:sz="0" w:space="0" w:color="auto"/>
        <w:bottom w:val="none" w:sz="0" w:space="0" w:color="auto"/>
        <w:right w:val="none" w:sz="0" w:space="0" w:color="auto"/>
      </w:divBdr>
    </w:div>
    <w:div w:id="1870484959">
      <w:bodyDiv w:val="1"/>
      <w:marLeft w:val="0"/>
      <w:marRight w:val="0"/>
      <w:marTop w:val="0"/>
      <w:marBottom w:val="0"/>
      <w:divBdr>
        <w:top w:val="none" w:sz="0" w:space="0" w:color="auto"/>
        <w:left w:val="none" w:sz="0" w:space="0" w:color="auto"/>
        <w:bottom w:val="none" w:sz="0" w:space="0" w:color="auto"/>
        <w:right w:val="none" w:sz="0" w:space="0" w:color="auto"/>
      </w:divBdr>
      <w:divsChild>
        <w:div w:id="1060638110">
          <w:marLeft w:val="0"/>
          <w:marRight w:val="0"/>
          <w:marTop w:val="0"/>
          <w:marBottom w:val="0"/>
          <w:divBdr>
            <w:top w:val="none" w:sz="0" w:space="0" w:color="auto"/>
            <w:left w:val="none" w:sz="0" w:space="0" w:color="auto"/>
            <w:bottom w:val="none" w:sz="0" w:space="0" w:color="auto"/>
            <w:right w:val="none" w:sz="0" w:space="0" w:color="auto"/>
          </w:divBdr>
          <w:divsChild>
            <w:div w:id="1247107890">
              <w:marLeft w:val="0"/>
              <w:marRight w:val="0"/>
              <w:marTop w:val="0"/>
              <w:marBottom w:val="0"/>
              <w:divBdr>
                <w:top w:val="none" w:sz="0" w:space="0" w:color="auto"/>
                <w:left w:val="none" w:sz="0" w:space="0" w:color="auto"/>
                <w:bottom w:val="none" w:sz="0" w:space="0" w:color="auto"/>
                <w:right w:val="none" w:sz="0" w:space="0" w:color="auto"/>
              </w:divBdr>
              <w:divsChild>
                <w:div w:id="1456558735">
                  <w:marLeft w:val="0"/>
                  <w:marRight w:val="0"/>
                  <w:marTop w:val="0"/>
                  <w:marBottom w:val="0"/>
                  <w:divBdr>
                    <w:top w:val="none" w:sz="0" w:space="0" w:color="auto"/>
                    <w:left w:val="none" w:sz="0" w:space="0" w:color="auto"/>
                    <w:bottom w:val="none" w:sz="0" w:space="0" w:color="auto"/>
                    <w:right w:val="none" w:sz="0" w:space="0" w:color="auto"/>
                  </w:divBdr>
                  <w:divsChild>
                    <w:div w:id="1284848052">
                      <w:marLeft w:val="0"/>
                      <w:marRight w:val="0"/>
                      <w:marTop w:val="0"/>
                      <w:marBottom w:val="0"/>
                      <w:divBdr>
                        <w:top w:val="none" w:sz="0" w:space="0" w:color="auto"/>
                        <w:left w:val="none" w:sz="0" w:space="0" w:color="auto"/>
                        <w:bottom w:val="none" w:sz="0" w:space="0" w:color="auto"/>
                        <w:right w:val="none" w:sz="0" w:space="0" w:color="auto"/>
                      </w:divBdr>
                      <w:divsChild>
                        <w:div w:id="1823810204">
                          <w:marLeft w:val="0"/>
                          <w:marRight w:val="0"/>
                          <w:marTop w:val="0"/>
                          <w:marBottom w:val="0"/>
                          <w:divBdr>
                            <w:top w:val="single" w:sz="6" w:space="0" w:color="828282"/>
                            <w:left w:val="single" w:sz="6" w:space="0" w:color="828282"/>
                            <w:bottom w:val="single" w:sz="6" w:space="0" w:color="828282"/>
                            <w:right w:val="single" w:sz="6" w:space="0" w:color="828282"/>
                          </w:divBdr>
                          <w:divsChild>
                            <w:div w:id="1325359450">
                              <w:marLeft w:val="0"/>
                              <w:marRight w:val="0"/>
                              <w:marTop w:val="0"/>
                              <w:marBottom w:val="0"/>
                              <w:divBdr>
                                <w:top w:val="none" w:sz="0" w:space="0" w:color="auto"/>
                                <w:left w:val="none" w:sz="0" w:space="0" w:color="auto"/>
                                <w:bottom w:val="none" w:sz="0" w:space="0" w:color="auto"/>
                                <w:right w:val="none" w:sz="0" w:space="0" w:color="auto"/>
                              </w:divBdr>
                              <w:divsChild>
                                <w:div w:id="519513096">
                                  <w:marLeft w:val="0"/>
                                  <w:marRight w:val="0"/>
                                  <w:marTop w:val="0"/>
                                  <w:marBottom w:val="0"/>
                                  <w:divBdr>
                                    <w:top w:val="none" w:sz="0" w:space="0" w:color="auto"/>
                                    <w:left w:val="none" w:sz="0" w:space="0" w:color="auto"/>
                                    <w:bottom w:val="none" w:sz="0" w:space="0" w:color="auto"/>
                                    <w:right w:val="none" w:sz="0" w:space="0" w:color="auto"/>
                                  </w:divBdr>
                                  <w:divsChild>
                                    <w:div w:id="777025621">
                                      <w:marLeft w:val="0"/>
                                      <w:marRight w:val="0"/>
                                      <w:marTop w:val="0"/>
                                      <w:marBottom w:val="0"/>
                                      <w:divBdr>
                                        <w:top w:val="none" w:sz="0" w:space="0" w:color="auto"/>
                                        <w:left w:val="none" w:sz="0" w:space="0" w:color="auto"/>
                                        <w:bottom w:val="none" w:sz="0" w:space="0" w:color="auto"/>
                                        <w:right w:val="none" w:sz="0" w:space="0" w:color="auto"/>
                                      </w:divBdr>
                                      <w:divsChild>
                                        <w:div w:id="837042762">
                                          <w:marLeft w:val="0"/>
                                          <w:marRight w:val="0"/>
                                          <w:marTop w:val="0"/>
                                          <w:marBottom w:val="0"/>
                                          <w:divBdr>
                                            <w:top w:val="none" w:sz="0" w:space="0" w:color="auto"/>
                                            <w:left w:val="none" w:sz="0" w:space="0" w:color="auto"/>
                                            <w:bottom w:val="none" w:sz="0" w:space="0" w:color="auto"/>
                                            <w:right w:val="none" w:sz="0" w:space="0" w:color="auto"/>
                                          </w:divBdr>
                                          <w:divsChild>
                                            <w:div w:id="575166501">
                                              <w:marLeft w:val="0"/>
                                              <w:marRight w:val="0"/>
                                              <w:marTop w:val="0"/>
                                              <w:marBottom w:val="0"/>
                                              <w:divBdr>
                                                <w:top w:val="none" w:sz="0" w:space="0" w:color="auto"/>
                                                <w:left w:val="none" w:sz="0" w:space="0" w:color="auto"/>
                                                <w:bottom w:val="none" w:sz="0" w:space="0" w:color="auto"/>
                                                <w:right w:val="none" w:sz="0" w:space="0" w:color="auto"/>
                                              </w:divBdr>
                                              <w:divsChild>
                                                <w:div w:id="11915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191840">
      <w:bodyDiv w:val="1"/>
      <w:marLeft w:val="0"/>
      <w:marRight w:val="0"/>
      <w:marTop w:val="0"/>
      <w:marBottom w:val="0"/>
      <w:divBdr>
        <w:top w:val="none" w:sz="0" w:space="0" w:color="auto"/>
        <w:left w:val="none" w:sz="0" w:space="0" w:color="auto"/>
        <w:bottom w:val="none" w:sz="0" w:space="0" w:color="auto"/>
        <w:right w:val="none" w:sz="0" w:space="0" w:color="auto"/>
      </w:divBdr>
    </w:div>
    <w:div w:id="1965119292">
      <w:bodyDiv w:val="1"/>
      <w:marLeft w:val="0"/>
      <w:marRight w:val="0"/>
      <w:marTop w:val="0"/>
      <w:marBottom w:val="0"/>
      <w:divBdr>
        <w:top w:val="none" w:sz="0" w:space="0" w:color="auto"/>
        <w:left w:val="none" w:sz="0" w:space="0" w:color="auto"/>
        <w:bottom w:val="none" w:sz="0" w:space="0" w:color="auto"/>
        <w:right w:val="none" w:sz="0" w:space="0" w:color="auto"/>
      </w:divBdr>
      <w:divsChild>
        <w:div w:id="1873417511">
          <w:marLeft w:val="0"/>
          <w:marRight w:val="0"/>
          <w:marTop w:val="0"/>
          <w:marBottom w:val="0"/>
          <w:divBdr>
            <w:top w:val="none" w:sz="0" w:space="0" w:color="auto"/>
            <w:left w:val="none" w:sz="0" w:space="0" w:color="auto"/>
            <w:bottom w:val="none" w:sz="0" w:space="0" w:color="auto"/>
            <w:right w:val="none" w:sz="0" w:space="0" w:color="auto"/>
          </w:divBdr>
          <w:divsChild>
            <w:div w:id="1681154641">
              <w:marLeft w:val="0"/>
              <w:marRight w:val="0"/>
              <w:marTop w:val="0"/>
              <w:marBottom w:val="0"/>
              <w:divBdr>
                <w:top w:val="none" w:sz="0" w:space="0" w:color="auto"/>
                <w:left w:val="none" w:sz="0" w:space="0" w:color="auto"/>
                <w:bottom w:val="none" w:sz="0" w:space="0" w:color="auto"/>
                <w:right w:val="none" w:sz="0" w:space="0" w:color="auto"/>
              </w:divBdr>
              <w:divsChild>
                <w:div w:id="1423601781">
                  <w:marLeft w:val="0"/>
                  <w:marRight w:val="0"/>
                  <w:marTop w:val="0"/>
                  <w:marBottom w:val="0"/>
                  <w:divBdr>
                    <w:top w:val="none" w:sz="0" w:space="0" w:color="auto"/>
                    <w:left w:val="none" w:sz="0" w:space="0" w:color="auto"/>
                    <w:bottom w:val="none" w:sz="0" w:space="0" w:color="auto"/>
                    <w:right w:val="none" w:sz="0" w:space="0" w:color="auto"/>
                  </w:divBdr>
                  <w:divsChild>
                    <w:div w:id="1201476168">
                      <w:marLeft w:val="0"/>
                      <w:marRight w:val="0"/>
                      <w:marTop w:val="0"/>
                      <w:marBottom w:val="0"/>
                      <w:divBdr>
                        <w:top w:val="none" w:sz="0" w:space="0" w:color="auto"/>
                        <w:left w:val="none" w:sz="0" w:space="0" w:color="auto"/>
                        <w:bottom w:val="none" w:sz="0" w:space="0" w:color="auto"/>
                        <w:right w:val="none" w:sz="0" w:space="0" w:color="auto"/>
                      </w:divBdr>
                      <w:divsChild>
                        <w:div w:id="1651979596">
                          <w:marLeft w:val="0"/>
                          <w:marRight w:val="0"/>
                          <w:marTop w:val="0"/>
                          <w:marBottom w:val="0"/>
                          <w:divBdr>
                            <w:top w:val="single" w:sz="6" w:space="0" w:color="828282"/>
                            <w:left w:val="single" w:sz="6" w:space="0" w:color="828282"/>
                            <w:bottom w:val="single" w:sz="6" w:space="0" w:color="828282"/>
                            <w:right w:val="single" w:sz="6" w:space="0" w:color="828282"/>
                          </w:divBdr>
                          <w:divsChild>
                            <w:div w:id="1939018959">
                              <w:marLeft w:val="0"/>
                              <w:marRight w:val="0"/>
                              <w:marTop w:val="0"/>
                              <w:marBottom w:val="0"/>
                              <w:divBdr>
                                <w:top w:val="none" w:sz="0" w:space="0" w:color="auto"/>
                                <w:left w:val="none" w:sz="0" w:space="0" w:color="auto"/>
                                <w:bottom w:val="none" w:sz="0" w:space="0" w:color="auto"/>
                                <w:right w:val="none" w:sz="0" w:space="0" w:color="auto"/>
                              </w:divBdr>
                              <w:divsChild>
                                <w:div w:id="1927181480">
                                  <w:marLeft w:val="0"/>
                                  <w:marRight w:val="0"/>
                                  <w:marTop w:val="0"/>
                                  <w:marBottom w:val="0"/>
                                  <w:divBdr>
                                    <w:top w:val="none" w:sz="0" w:space="0" w:color="auto"/>
                                    <w:left w:val="none" w:sz="0" w:space="0" w:color="auto"/>
                                    <w:bottom w:val="none" w:sz="0" w:space="0" w:color="auto"/>
                                    <w:right w:val="none" w:sz="0" w:space="0" w:color="auto"/>
                                  </w:divBdr>
                                  <w:divsChild>
                                    <w:div w:id="1598517737">
                                      <w:marLeft w:val="0"/>
                                      <w:marRight w:val="0"/>
                                      <w:marTop w:val="0"/>
                                      <w:marBottom w:val="0"/>
                                      <w:divBdr>
                                        <w:top w:val="none" w:sz="0" w:space="0" w:color="auto"/>
                                        <w:left w:val="none" w:sz="0" w:space="0" w:color="auto"/>
                                        <w:bottom w:val="none" w:sz="0" w:space="0" w:color="auto"/>
                                        <w:right w:val="none" w:sz="0" w:space="0" w:color="auto"/>
                                      </w:divBdr>
                                      <w:divsChild>
                                        <w:div w:id="372390255">
                                          <w:marLeft w:val="0"/>
                                          <w:marRight w:val="0"/>
                                          <w:marTop w:val="0"/>
                                          <w:marBottom w:val="0"/>
                                          <w:divBdr>
                                            <w:top w:val="none" w:sz="0" w:space="0" w:color="auto"/>
                                            <w:left w:val="none" w:sz="0" w:space="0" w:color="auto"/>
                                            <w:bottom w:val="none" w:sz="0" w:space="0" w:color="auto"/>
                                            <w:right w:val="none" w:sz="0" w:space="0" w:color="auto"/>
                                          </w:divBdr>
                                          <w:divsChild>
                                            <w:div w:id="1340889575">
                                              <w:marLeft w:val="0"/>
                                              <w:marRight w:val="0"/>
                                              <w:marTop w:val="0"/>
                                              <w:marBottom w:val="0"/>
                                              <w:divBdr>
                                                <w:top w:val="none" w:sz="0" w:space="0" w:color="auto"/>
                                                <w:left w:val="none" w:sz="0" w:space="0" w:color="auto"/>
                                                <w:bottom w:val="none" w:sz="0" w:space="0" w:color="auto"/>
                                                <w:right w:val="none" w:sz="0" w:space="0" w:color="auto"/>
                                              </w:divBdr>
                                              <w:divsChild>
                                                <w:div w:id="1894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26</Pages>
  <Words>5061</Words>
  <Characters>27239</Characters>
  <Application>Microsoft Office Word</Application>
  <DocSecurity>0</DocSecurity>
  <PresentationFormat/>
  <Lines>711</Lines>
  <Paragraphs>349</Paragraphs>
  <ScaleCrop>false</ScaleCrop>
  <HeadingPairs>
    <vt:vector size="2" baseType="variant">
      <vt:variant>
        <vt:lpstr>Title</vt:lpstr>
      </vt:variant>
      <vt:variant>
        <vt:i4>1</vt:i4>
      </vt:variant>
    </vt:vector>
  </HeadingPairs>
  <TitlesOfParts>
    <vt:vector size="1" baseType="lpstr">
      <vt:lpstr>Energy Efficiency Opportunities Amendment Regulation 2013 (No. A)</vt:lpstr>
    </vt:vector>
  </TitlesOfParts>
  <Manager/>
  <Company/>
  <LinksUpToDate>false</LinksUpToDate>
  <CharactersWithSpaces>32201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2013-05-08T22:40:00Z</cp:lastPrinted>
  <dcterms:created xsi:type="dcterms:W3CDTF">2013-07-08T06:36:00Z</dcterms:created>
  <dcterms:modified xsi:type="dcterms:W3CDTF">2013-07-08T06:36:00Z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176, 2013</vt:lpwstr>
  </property>
  <property fmtid="{D5CDD505-2E9C-101B-9397-08002B2CF9AE}" pid="3" name="ShortT">
    <vt:lpwstr>Energy Efficiency Opportunities Amendment Regulation 2013 (No. 1)</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11 July 2013</vt:lpwstr>
  </property>
  <property fmtid="{D5CDD505-2E9C-101B-9397-08002B2CF9AE}" pid="10" name="Authority">
    <vt:lpwstr/>
  </property>
  <property fmtid="{D5CDD505-2E9C-101B-9397-08002B2CF9AE}" pid="11" name="ID">
    <vt:lpwstr>OPC60065</vt:lpwstr>
  </property>
  <property fmtid="{D5CDD505-2E9C-101B-9397-08002B2CF9AE}" pid="12" name="ActMadeUnder">
    <vt:lpwstr>Energy Efficiency Opportunities Act 2006</vt:lpwstr>
  </property>
  <property fmtid="{D5CDD505-2E9C-101B-9397-08002B2CF9AE}" pid="13" name="NonLegInst">
    <vt:lpwstr>0</vt:lpwstr>
  </property>
  <property fmtid="{D5CDD505-2E9C-101B-9397-08002B2CF9AE}" pid="14" name="Classification">
    <vt:lpwstr> </vt:lpwstr>
  </property>
  <property fmtid="{D5CDD505-2E9C-101B-9397-08002B2CF9AE}" pid="15" name="DoNotAsk">
    <vt:lpwstr>0</vt:lpwstr>
  </property>
  <property fmtid="{D5CDD505-2E9C-101B-9397-08002B2CF9AE}" pid="16" name="ChangedTitle">
    <vt:lpwstr/>
  </property>
  <property fmtid="{D5CDD505-2E9C-101B-9397-08002B2CF9AE}" pid="17" name="CounterSign">
    <vt:lpwstr/>
  </property>
  <property fmtid="{D5CDD505-2E9C-101B-9397-08002B2CF9AE}" pid="18" name="ExcoDate">
    <vt:lpwstr>11 July 2013</vt:lpwstr>
  </property>
</Properties>
</file>