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E0" w:rsidRPr="005F1388" w:rsidRDefault="007177E0" w:rsidP="007177E0">
      <w:pPr>
        <w:rPr>
          <w:sz w:val="28"/>
        </w:rPr>
      </w:pPr>
      <w:r>
        <w:rPr>
          <w:noProof/>
          <w:lang w:eastAsia="en-AU"/>
        </w:rPr>
        <w:drawing>
          <wp:inline distT="0" distB="0" distL="0" distR="0" wp14:anchorId="7CC8D319" wp14:editId="3F5750A1">
            <wp:extent cx="1503328" cy="11052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77E0" w:rsidRDefault="00A67313" w:rsidP="007177E0">
      <w:pPr>
        <w:pStyle w:val="ShortT"/>
        <w:spacing w:before="240"/>
      </w:pPr>
      <w:r w:rsidRPr="009D1B8C">
        <w:t>Aged Care (Home Care Subsidy Amount) Determination 2013</w:t>
      </w:r>
    </w:p>
    <w:p w:rsidR="004E370A" w:rsidRDefault="004E370A" w:rsidP="004E370A">
      <w:pPr>
        <w:pStyle w:val="CompiledActNo"/>
        <w:spacing w:before="240"/>
      </w:pPr>
      <w:r>
        <w:t>as amended</w:t>
      </w:r>
    </w:p>
    <w:p w:rsidR="004E370A" w:rsidRPr="00BC3AE3" w:rsidRDefault="004E370A" w:rsidP="00BC3AE3">
      <w:pPr>
        <w:pStyle w:val="MadeunderText"/>
      </w:pPr>
      <w:r w:rsidRPr="00BC3AE3">
        <w:t>made under</w:t>
      </w:r>
      <w:r w:rsidR="00A67313">
        <w:t xml:space="preserve"> </w:t>
      </w:r>
      <w:r w:rsidR="00D05789">
        <w:t>sub</w:t>
      </w:r>
      <w:r w:rsidR="00A67313">
        <w:t xml:space="preserve">section </w:t>
      </w:r>
      <w:r w:rsidR="00D05789">
        <w:t>48-1(</w:t>
      </w:r>
      <w:r w:rsidR="00554ADA">
        <w:t>3</w:t>
      </w:r>
      <w:r w:rsidR="00D05789">
        <w:t>) of the</w:t>
      </w:r>
    </w:p>
    <w:p w:rsidR="004E370A" w:rsidRPr="00F22885" w:rsidRDefault="00A67313" w:rsidP="004E370A">
      <w:pPr>
        <w:pStyle w:val="CompiledMadeUnder"/>
        <w:spacing w:before="240"/>
      </w:pPr>
      <w:r w:rsidRPr="009D1B8C">
        <w:t>Aged Care Act 1997</w:t>
      </w:r>
    </w:p>
    <w:p w:rsidR="007177E0" w:rsidRPr="00642BE4" w:rsidRDefault="007177E0" w:rsidP="007177E0">
      <w:pPr>
        <w:spacing w:before="1000"/>
        <w:rPr>
          <w:rFonts w:cs="Arial"/>
          <w:sz w:val="24"/>
        </w:rPr>
      </w:pPr>
      <w:r w:rsidRPr="00642BE4">
        <w:rPr>
          <w:rFonts w:cs="Arial"/>
          <w:b/>
          <w:sz w:val="24"/>
        </w:rPr>
        <w:t>Compilation start date:</w:t>
      </w:r>
      <w:r>
        <w:rPr>
          <w:rFonts w:cs="Arial"/>
          <w:b/>
          <w:sz w:val="24"/>
        </w:rPr>
        <w:tab/>
      </w:r>
      <w:r>
        <w:rPr>
          <w:rFonts w:cs="Arial"/>
          <w:b/>
          <w:sz w:val="24"/>
        </w:rPr>
        <w:tab/>
      </w:r>
      <w:r w:rsidR="002330CC">
        <w:rPr>
          <w:rFonts w:cs="Arial"/>
          <w:sz w:val="24"/>
        </w:rPr>
        <w:t>29 January 2014</w:t>
      </w:r>
    </w:p>
    <w:p w:rsidR="007177E0" w:rsidRDefault="00FE4EB3" w:rsidP="00554ADA">
      <w:pPr>
        <w:spacing w:before="240"/>
        <w:ind w:left="3600" w:hanging="3600"/>
        <w:rPr>
          <w:rFonts w:cs="Arial"/>
          <w:sz w:val="24"/>
        </w:rPr>
      </w:pPr>
      <w:r>
        <w:rPr>
          <w:rFonts w:cs="Arial"/>
          <w:b/>
          <w:sz w:val="24"/>
        </w:rPr>
        <w:t>Includes amendments up to</w:t>
      </w:r>
      <w:r w:rsidR="007177E0" w:rsidRPr="00642BE4">
        <w:rPr>
          <w:rFonts w:cs="Arial"/>
          <w:b/>
          <w:sz w:val="24"/>
        </w:rPr>
        <w:t>:</w:t>
      </w:r>
      <w:r w:rsidR="007177E0" w:rsidRPr="00642BE4">
        <w:rPr>
          <w:rFonts w:cs="Arial"/>
          <w:b/>
          <w:sz w:val="24"/>
        </w:rPr>
        <w:tab/>
      </w:r>
      <w:r w:rsidR="002330CC">
        <w:rPr>
          <w:sz w:val="24"/>
          <w:szCs w:val="24"/>
        </w:rPr>
        <w:t>Home Care Subsidy Amendment (Transitional Workforce Supplement and Various Measures) Determination 2014</w:t>
      </w:r>
    </w:p>
    <w:p w:rsidR="005C0CFA" w:rsidRPr="00642BE4" w:rsidRDefault="005C0CFA" w:rsidP="007177E0">
      <w:pPr>
        <w:spacing w:before="240"/>
        <w:rPr>
          <w:rFonts w:cs="Arial"/>
          <w:sz w:val="24"/>
        </w:rPr>
      </w:pPr>
    </w:p>
    <w:p w:rsidR="00371193" w:rsidRPr="00C27148" w:rsidRDefault="00371193" w:rsidP="00371193">
      <w:pPr>
        <w:pageBreakBefore/>
        <w:rPr>
          <w:rFonts w:cs="Arial"/>
          <w:b/>
          <w:sz w:val="32"/>
          <w:szCs w:val="32"/>
        </w:rPr>
      </w:pPr>
      <w:r w:rsidRPr="00C27148">
        <w:rPr>
          <w:rFonts w:cs="Arial"/>
          <w:b/>
          <w:sz w:val="32"/>
          <w:szCs w:val="32"/>
        </w:rPr>
        <w:lastRenderedPageBreak/>
        <w:t>About this compilation</w:t>
      </w:r>
    </w:p>
    <w:p w:rsidR="009469C4" w:rsidRPr="00BC57F4" w:rsidRDefault="009469C4" w:rsidP="009469C4">
      <w:pPr>
        <w:spacing w:before="240"/>
        <w:rPr>
          <w:rFonts w:cs="Arial"/>
        </w:rPr>
      </w:pPr>
      <w:r w:rsidRPr="00BC57F4">
        <w:rPr>
          <w:rFonts w:cs="Arial"/>
          <w:b/>
          <w:szCs w:val="22"/>
        </w:rPr>
        <w:t>This compilation</w:t>
      </w:r>
    </w:p>
    <w:p w:rsidR="009469C4" w:rsidRPr="00BC57F4" w:rsidRDefault="009469C4" w:rsidP="009469C4">
      <w:pPr>
        <w:spacing w:before="120" w:after="120" w:line="240" w:lineRule="auto"/>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DD255E">
        <w:rPr>
          <w:rFonts w:cs="Arial"/>
          <w:i/>
          <w:noProof/>
          <w:szCs w:val="22"/>
        </w:rPr>
        <w:t>Aged Care (Home Care Subsidy Amount) Determination 2013</w:t>
      </w:r>
      <w:r w:rsidRPr="00BC57F4">
        <w:rPr>
          <w:rFonts w:cs="Arial"/>
          <w:i/>
          <w:szCs w:val="22"/>
        </w:rPr>
        <w:fldChar w:fldCharType="end"/>
      </w:r>
      <w:r w:rsidRPr="00BC57F4">
        <w:rPr>
          <w:rFonts w:cs="Arial"/>
          <w:szCs w:val="22"/>
        </w:rPr>
        <w:t xml:space="preserve"> as in force on </w:t>
      </w:r>
      <w:r w:rsidR="002330CC">
        <w:rPr>
          <w:rFonts w:cs="Arial"/>
          <w:szCs w:val="22"/>
        </w:rPr>
        <w:t>29 January 2014</w:t>
      </w:r>
      <w:r w:rsidRPr="00BC57F4">
        <w:rPr>
          <w:rFonts w:cs="Arial"/>
          <w:szCs w:val="22"/>
        </w:rPr>
        <w:t xml:space="preserve">. It includes any commenced amendment affecting the </w:t>
      </w:r>
      <w:r w:rsidR="009268B9">
        <w:rPr>
          <w:rFonts w:cs="Arial"/>
          <w:szCs w:val="22"/>
        </w:rPr>
        <w:t>legislation</w:t>
      </w:r>
      <w:r w:rsidRPr="00BC57F4">
        <w:rPr>
          <w:rFonts w:cs="Arial"/>
          <w:szCs w:val="22"/>
        </w:rPr>
        <w:t xml:space="preserve"> to that date.</w:t>
      </w:r>
    </w:p>
    <w:p w:rsidR="009469C4" w:rsidRPr="00BC57F4" w:rsidRDefault="009469C4" w:rsidP="009469C4">
      <w:pPr>
        <w:spacing w:after="120" w:line="240" w:lineRule="auto"/>
        <w:rPr>
          <w:rFonts w:cs="Arial"/>
          <w:szCs w:val="22"/>
        </w:rPr>
      </w:pPr>
      <w:r w:rsidRPr="00BC57F4">
        <w:rPr>
          <w:rFonts w:cs="Arial"/>
          <w:szCs w:val="22"/>
        </w:rPr>
        <w:t xml:space="preserve">This compilation was prepared on </w:t>
      </w:r>
      <w:r w:rsidR="002330CC">
        <w:rPr>
          <w:rFonts w:cs="Arial"/>
          <w:szCs w:val="22"/>
        </w:rPr>
        <w:t>29 January 2014</w:t>
      </w:r>
      <w:r w:rsidR="00AD4C30">
        <w:rPr>
          <w:rFonts w:cs="Arial"/>
          <w:szCs w:val="22"/>
        </w:rPr>
        <w:t>.</w:t>
      </w:r>
    </w:p>
    <w:p w:rsidR="009469C4" w:rsidRPr="00BC57F4" w:rsidRDefault="009469C4" w:rsidP="009469C4">
      <w:pPr>
        <w:spacing w:after="120" w:line="240" w:lineRule="auto"/>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9469C4" w:rsidRPr="00BC57F4" w:rsidRDefault="009469C4" w:rsidP="009469C4">
      <w:pPr>
        <w:tabs>
          <w:tab w:val="left" w:pos="5640"/>
        </w:tabs>
        <w:spacing w:before="120" w:after="120" w:line="240" w:lineRule="auto"/>
        <w:rPr>
          <w:rFonts w:cs="Arial"/>
          <w:b/>
          <w:szCs w:val="22"/>
        </w:rPr>
      </w:pPr>
      <w:proofErr w:type="spellStart"/>
      <w:r w:rsidRPr="00BC57F4">
        <w:rPr>
          <w:rFonts w:cs="Arial"/>
          <w:b/>
          <w:szCs w:val="22"/>
        </w:rPr>
        <w:t>Uncommenced</w:t>
      </w:r>
      <w:proofErr w:type="spellEnd"/>
      <w:r w:rsidRPr="00BC57F4">
        <w:rPr>
          <w:rFonts w:cs="Arial"/>
          <w:b/>
          <w:szCs w:val="22"/>
        </w:rPr>
        <w:t xml:space="preserve"> amendments</w:t>
      </w:r>
    </w:p>
    <w:p w:rsidR="009469C4" w:rsidRPr="00BC57F4" w:rsidRDefault="009469C4" w:rsidP="009469C4">
      <w:pPr>
        <w:spacing w:after="120" w:line="240" w:lineRule="auto"/>
        <w:rPr>
          <w:rFonts w:cs="Arial"/>
          <w:szCs w:val="22"/>
        </w:rPr>
      </w:pPr>
      <w:r w:rsidRPr="00BC57F4">
        <w:rPr>
          <w:rFonts w:cs="Arial"/>
          <w:szCs w:val="22"/>
        </w:rPr>
        <w:t xml:space="preserve">The effect of </w:t>
      </w:r>
      <w:proofErr w:type="spellStart"/>
      <w:r w:rsidRPr="00BC57F4">
        <w:rPr>
          <w:rFonts w:cs="Arial"/>
          <w:szCs w:val="22"/>
        </w:rPr>
        <w:t>uncommenced</w:t>
      </w:r>
      <w:proofErr w:type="spellEnd"/>
      <w:r w:rsidRPr="00BC57F4">
        <w:rPr>
          <w:rFonts w:cs="Arial"/>
          <w:szCs w:val="22"/>
        </w:rPr>
        <w:t xml:space="preserve"> amendments is not reflected in the text of the compiled law but the text of the amendments is included in the endnotes.</w:t>
      </w:r>
    </w:p>
    <w:p w:rsidR="009469C4" w:rsidRPr="00BC57F4" w:rsidRDefault="009469C4" w:rsidP="009469C4">
      <w:pPr>
        <w:spacing w:before="120" w:after="120" w:line="240" w:lineRule="auto"/>
        <w:rPr>
          <w:rFonts w:cs="Arial"/>
          <w:b/>
          <w:szCs w:val="22"/>
        </w:rPr>
      </w:pPr>
      <w:r w:rsidRPr="00BC57F4">
        <w:rPr>
          <w:rFonts w:cs="Arial"/>
          <w:b/>
          <w:szCs w:val="22"/>
        </w:rPr>
        <w:t>Application, saving and transitional provisions for provisions and amendments</w:t>
      </w:r>
    </w:p>
    <w:p w:rsidR="009469C4" w:rsidRPr="00BC57F4" w:rsidRDefault="009469C4" w:rsidP="009469C4">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9469C4" w:rsidRPr="00BC57F4" w:rsidRDefault="009469C4" w:rsidP="009469C4">
      <w:pPr>
        <w:spacing w:before="120" w:after="120" w:line="240" w:lineRule="auto"/>
        <w:rPr>
          <w:rFonts w:cs="Arial"/>
          <w:b/>
          <w:szCs w:val="22"/>
        </w:rPr>
      </w:pPr>
      <w:r w:rsidRPr="00BC57F4">
        <w:rPr>
          <w:rFonts w:cs="Arial"/>
          <w:b/>
          <w:szCs w:val="22"/>
        </w:rPr>
        <w:t>Modifications</w:t>
      </w:r>
    </w:p>
    <w:p w:rsidR="009469C4" w:rsidRPr="00BC57F4" w:rsidRDefault="009469C4" w:rsidP="009469C4">
      <w:pPr>
        <w:spacing w:after="120" w:line="240" w:lineRule="auto"/>
        <w:rPr>
          <w:rFonts w:cs="Arial"/>
          <w:szCs w:val="22"/>
        </w:rPr>
      </w:pPr>
      <w:r w:rsidRPr="00BC57F4">
        <w:rPr>
          <w:rFonts w:cs="Arial"/>
          <w:szCs w:val="22"/>
        </w:rPr>
        <w:t xml:space="preserve">If a provision of the compiled law is affected by a modification that is in force, details are included in the endnotes. </w:t>
      </w:r>
    </w:p>
    <w:p w:rsidR="009469C4" w:rsidRPr="00BC57F4" w:rsidRDefault="009469C4" w:rsidP="009469C4">
      <w:pPr>
        <w:spacing w:before="80" w:after="120"/>
        <w:rPr>
          <w:rFonts w:cs="Arial"/>
          <w:b/>
          <w:szCs w:val="22"/>
        </w:rPr>
      </w:pPr>
      <w:r w:rsidRPr="00BC57F4">
        <w:rPr>
          <w:rFonts w:cs="Arial"/>
          <w:b/>
          <w:szCs w:val="22"/>
        </w:rPr>
        <w:t>Provisions ceasing to have effect</w:t>
      </w:r>
    </w:p>
    <w:p w:rsidR="009469C4" w:rsidRPr="00BC57F4" w:rsidRDefault="009469C4" w:rsidP="009469C4">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427678" w:rsidRPr="00ED79B6" w:rsidRDefault="00427678" w:rsidP="00A67313"/>
    <w:p w:rsidR="00427678" w:rsidRPr="00ED79B6" w:rsidRDefault="00427678" w:rsidP="00A67313">
      <w:pPr>
        <w:pStyle w:val="Header"/>
        <w:tabs>
          <w:tab w:val="clear" w:pos="4150"/>
          <w:tab w:val="clear" w:pos="8307"/>
        </w:tabs>
      </w:pPr>
      <w:r w:rsidRPr="00ED79B6">
        <w:rPr>
          <w:rStyle w:val="CharChapNo"/>
        </w:rPr>
        <w:t xml:space="preserve"> </w:t>
      </w:r>
      <w:r w:rsidRPr="00ED79B6">
        <w:rPr>
          <w:rStyle w:val="CharChapText"/>
        </w:rPr>
        <w:t xml:space="preserve"> </w:t>
      </w:r>
    </w:p>
    <w:p w:rsidR="00427678" w:rsidRPr="00ED79B6" w:rsidRDefault="00427678" w:rsidP="00A67313">
      <w:pPr>
        <w:pStyle w:val="Header"/>
        <w:tabs>
          <w:tab w:val="clear" w:pos="4150"/>
          <w:tab w:val="clear" w:pos="8307"/>
        </w:tabs>
      </w:pPr>
      <w:r w:rsidRPr="00ED79B6">
        <w:rPr>
          <w:rStyle w:val="CharPartNo"/>
        </w:rPr>
        <w:t xml:space="preserve"> </w:t>
      </w:r>
      <w:r w:rsidRPr="00ED79B6">
        <w:rPr>
          <w:rStyle w:val="CharPartText"/>
        </w:rPr>
        <w:t xml:space="preserve"> </w:t>
      </w:r>
    </w:p>
    <w:p w:rsidR="00427678" w:rsidRPr="00ED79B6" w:rsidRDefault="00427678" w:rsidP="00A67313">
      <w:pPr>
        <w:pStyle w:val="Header"/>
        <w:tabs>
          <w:tab w:val="clear" w:pos="4150"/>
          <w:tab w:val="clear" w:pos="8307"/>
        </w:tabs>
      </w:pPr>
      <w:r w:rsidRPr="00ED79B6">
        <w:rPr>
          <w:rStyle w:val="CharDivNo"/>
        </w:rPr>
        <w:t xml:space="preserve"> </w:t>
      </w:r>
      <w:r w:rsidRPr="00ED79B6">
        <w:rPr>
          <w:rStyle w:val="CharDivText"/>
        </w:rPr>
        <w:t xml:space="preserve"> </w:t>
      </w:r>
    </w:p>
    <w:p w:rsidR="00427678" w:rsidRDefault="00427678" w:rsidP="00A67313">
      <w:pPr>
        <w:sectPr w:rsidR="00427678" w:rsidSect="00DE19CA">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8D28AB" w:rsidRDefault="00715914" w:rsidP="00715914">
      <w:pPr>
        <w:outlineLvl w:val="0"/>
        <w:rPr>
          <w:sz w:val="36"/>
        </w:rPr>
      </w:pPr>
      <w:r w:rsidRPr="007A1328">
        <w:rPr>
          <w:sz w:val="36"/>
        </w:rPr>
        <w:lastRenderedPageBreak/>
        <w:t>Contents</w:t>
      </w:r>
    </w:p>
    <w:p w:rsidR="006051FF" w:rsidRDefault="00D05789">
      <w:pPr>
        <w:pStyle w:val="TOC2"/>
        <w:rPr>
          <w:rFonts w:asciiTheme="minorHAnsi" w:eastAsiaTheme="minorEastAsia" w:hAnsiTheme="minorHAnsi" w:cstheme="minorBidi"/>
          <w:b w:val="0"/>
          <w:noProof/>
          <w:kern w:val="0"/>
          <w:sz w:val="22"/>
          <w:szCs w:val="22"/>
        </w:rPr>
      </w:pPr>
      <w:r w:rsidRPr="006051FF">
        <w:fldChar w:fldCharType="begin"/>
      </w:r>
      <w:r>
        <w:instrText xml:space="preserve"> TOC \o "1-9" </w:instrText>
      </w:r>
      <w:r w:rsidRPr="006051FF">
        <w:fldChar w:fldCharType="separate"/>
      </w:r>
      <w:r w:rsidR="006051FF">
        <w:rPr>
          <w:noProof/>
        </w:rPr>
        <w:t>Part 1—Preliminary</w:t>
      </w:r>
      <w:r w:rsidR="006051FF" w:rsidRPr="006051FF">
        <w:rPr>
          <w:b w:val="0"/>
          <w:noProof/>
          <w:sz w:val="18"/>
        </w:rPr>
        <w:tab/>
      </w:r>
      <w:r w:rsidR="006051FF" w:rsidRPr="006051FF">
        <w:rPr>
          <w:b w:val="0"/>
          <w:noProof/>
          <w:sz w:val="18"/>
        </w:rPr>
        <w:fldChar w:fldCharType="begin"/>
      </w:r>
      <w:r w:rsidR="006051FF" w:rsidRPr="006051FF">
        <w:rPr>
          <w:b w:val="0"/>
          <w:noProof/>
          <w:sz w:val="18"/>
        </w:rPr>
        <w:instrText xml:space="preserve"> PAGEREF _Toc379361513 \h </w:instrText>
      </w:r>
      <w:r w:rsidR="006051FF" w:rsidRPr="006051FF">
        <w:rPr>
          <w:b w:val="0"/>
          <w:noProof/>
          <w:sz w:val="18"/>
        </w:rPr>
      </w:r>
      <w:r w:rsidR="006051FF" w:rsidRPr="006051FF">
        <w:rPr>
          <w:b w:val="0"/>
          <w:noProof/>
          <w:sz w:val="18"/>
        </w:rPr>
        <w:fldChar w:fldCharType="separate"/>
      </w:r>
      <w:r w:rsidR="00BD4E69">
        <w:rPr>
          <w:b w:val="0"/>
          <w:noProof/>
          <w:sz w:val="18"/>
        </w:rPr>
        <w:t>1</w:t>
      </w:r>
      <w:r w:rsidR="006051FF"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w:t>
      </w:r>
      <w:r>
        <w:rPr>
          <w:noProof/>
        </w:rPr>
        <w:tab/>
        <w:t>Name of determination</w:t>
      </w:r>
      <w:r w:rsidRPr="006051FF">
        <w:rPr>
          <w:noProof/>
        </w:rPr>
        <w:tab/>
      </w:r>
      <w:r w:rsidRPr="006051FF">
        <w:rPr>
          <w:noProof/>
        </w:rPr>
        <w:fldChar w:fldCharType="begin"/>
      </w:r>
      <w:r w:rsidRPr="006051FF">
        <w:rPr>
          <w:noProof/>
        </w:rPr>
        <w:instrText xml:space="preserve"> PAGEREF _Toc379361514 \h </w:instrText>
      </w:r>
      <w:r w:rsidRPr="006051FF">
        <w:rPr>
          <w:noProof/>
        </w:rPr>
      </w:r>
      <w:r w:rsidRPr="006051FF">
        <w:rPr>
          <w:noProof/>
        </w:rPr>
        <w:fldChar w:fldCharType="separate"/>
      </w:r>
      <w:r w:rsidR="00BD4E69">
        <w:rPr>
          <w:noProof/>
        </w:rPr>
        <w:t>1</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3</w:t>
      </w:r>
      <w:r>
        <w:rPr>
          <w:noProof/>
        </w:rPr>
        <w:tab/>
        <w:t>Authority</w:t>
      </w:r>
      <w:r w:rsidRPr="006051FF">
        <w:rPr>
          <w:noProof/>
        </w:rPr>
        <w:tab/>
      </w:r>
      <w:r w:rsidRPr="006051FF">
        <w:rPr>
          <w:noProof/>
        </w:rPr>
        <w:fldChar w:fldCharType="begin"/>
      </w:r>
      <w:r w:rsidRPr="006051FF">
        <w:rPr>
          <w:noProof/>
        </w:rPr>
        <w:instrText xml:space="preserve"> PAGEREF _Toc379361515 \h </w:instrText>
      </w:r>
      <w:r w:rsidRPr="006051FF">
        <w:rPr>
          <w:noProof/>
        </w:rPr>
      </w:r>
      <w:r w:rsidRPr="006051FF">
        <w:rPr>
          <w:noProof/>
        </w:rPr>
        <w:fldChar w:fldCharType="separate"/>
      </w:r>
      <w:r w:rsidR="00BD4E69">
        <w:rPr>
          <w:noProof/>
        </w:rPr>
        <w:t>1</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5</w:t>
      </w:r>
      <w:r>
        <w:rPr>
          <w:noProof/>
        </w:rPr>
        <w:tab/>
        <w:t>Definitions</w:t>
      </w:r>
      <w:r w:rsidRPr="006051FF">
        <w:rPr>
          <w:noProof/>
        </w:rPr>
        <w:tab/>
      </w:r>
      <w:r w:rsidRPr="006051FF">
        <w:rPr>
          <w:noProof/>
        </w:rPr>
        <w:fldChar w:fldCharType="begin"/>
      </w:r>
      <w:r w:rsidRPr="006051FF">
        <w:rPr>
          <w:noProof/>
        </w:rPr>
        <w:instrText xml:space="preserve"> PAGEREF _Toc379361516 \h </w:instrText>
      </w:r>
      <w:r w:rsidRPr="006051FF">
        <w:rPr>
          <w:noProof/>
        </w:rPr>
      </w:r>
      <w:r w:rsidRPr="006051FF">
        <w:rPr>
          <w:noProof/>
        </w:rPr>
        <w:fldChar w:fldCharType="separate"/>
      </w:r>
      <w:r w:rsidR="00BD4E69">
        <w:rPr>
          <w:noProof/>
        </w:rPr>
        <w:t>1</w:t>
      </w:r>
      <w:r w:rsidRPr="006051FF">
        <w:rPr>
          <w:noProof/>
        </w:rPr>
        <w:fldChar w:fldCharType="end"/>
      </w:r>
    </w:p>
    <w:p w:rsidR="006051FF" w:rsidRDefault="006051FF">
      <w:pPr>
        <w:pStyle w:val="TOC2"/>
        <w:rPr>
          <w:rFonts w:asciiTheme="minorHAnsi" w:eastAsiaTheme="minorEastAsia" w:hAnsiTheme="minorHAnsi" w:cstheme="minorBidi"/>
          <w:b w:val="0"/>
          <w:noProof/>
          <w:kern w:val="0"/>
          <w:sz w:val="22"/>
          <w:szCs w:val="22"/>
        </w:rPr>
      </w:pPr>
      <w:r>
        <w:rPr>
          <w:noProof/>
        </w:rPr>
        <w:t>Part 2—Amount of home care subsidy</w:t>
      </w:r>
      <w:r w:rsidRPr="006051FF">
        <w:rPr>
          <w:b w:val="0"/>
          <w:noProof/>
          <w:sz w:val="18"/>
        </w:rPr>
        <w:tab/>
      </w:r>
      <w:r w:rsidRPr="006051FF">
        <w:rPr>
          <w:b w:val="0"/>
          <w:noProof/>
          <w:sz w:val="18"/>
        </w:rPr>
        <w:fldChar w:fldCharType="begin"/>
      </w:r>
      <w:r w:rsidRPr="006051FF">
        <w:rPr>
          <w:b w:val="0"/>
          <w:noProof/>
          <w:sz w:val="18"/>
        </w:rPr>
        <w:instrText xml:space="preserve"> PAGEREF _Toc379361517 \h </w:instrText>
      </w:r>
      <w:r w:rsidRPr="006051FF">
        <w:rPr>
          <w:b w:val="0"/>
          <w:noProof/>
          <w:sz w:val="18"/>
        </w:rPr>
      </w:r>
      <w:r w:rsidRPr="006051FF">
        <w:rPr>
          <w:b w:val="0"/>
          <w:noProof/>
          <w:sz w:val="18"/>
        </w:rPr>
        <w:fldChar w:fldCharType="separate"/>
      </w:r>
      <w:r w:rsidR="00BD4E69">
        <w:rPr>
          <w:b w:val="0"/>
          <w:noProof/>
          <w:sz w:val="18"/>
        </w:rPr>
        <w:t>2</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2.1—Amount of home care subsidy</w:t>
      </w:r>
      <w:r w:rsidRPr="006051FF">
        <w:rPr>
          <w:b w:val="0"/>
          <w:noProof/>
          <w:sz w:val="18"/>
        </w:rPr>
        <w:tab/>
      </w:r>
      <w:r w:rsidRPr="006051FF">
        <w:rPr>
          <w:b w:val="0"/>
          <w:noProof/>
          <w:sz w:val="18"/>
        </w:rPr>
        <w:fldChar w:fldCharType="begin"/>
      </w:r>
      <w:r w:rsidRPr="006051FF">
        <w:rPr>
          <w:b w:val="0"/>
          <w:noProof/>
          <w:sz w:val="18"/>
        </w:rPr>
        <w:instrText xml:space="preserve"> PAGEREF _Toc379361518 \h </w:instrText>
      </w:r>
      <w:r w:rsidRPr="006051FF">
        <w:rPr>
          <w:b w:val="0"/>
          <w:noProof/>
          <w:sz w:val="18"/>
        </w:rPr>
      </w:r>
      <w:r w:rsidRPr="006051FF">
        <w:rPr>
          <w:b w:val="0"/>
          <w:noProof/>
          <w:sz w:val="18"/>
        </w:rPr>
        <w:fldChar w:fldCharType="separate"/>
      </w:r>
      <w:r w:rsidR="00BD4E69">
        <w:rPr>
          <w:b w:val="0"/>
          <w:noProof/>
          <w:sz w:val="18"/>
        </w:rPr>
        <w:t>2</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6</w:t>
      </w:r>
      <w:r>
        <w:rPr>
          <w:noProof/>
        </w:rPr>
        <w:tab/>
        <w:t>Amount of home care subsidy</w:t>
      </w:r>
      <w:r w:rsidRPr="006051FF">
        <w:rPr>
          <w:noProof/>
        </w:rPr>
        <w:tab/>
      </w:r>
      <w:r w:rsidRPr="006051FF">
        <w:rPr>
          <w:noProof/>
        </w:rPr>
        <w:fldChar w:fldCharType="begin"/>
      </w:r>
      <w:r w:rsidRPr="006051FF">
        <w:rPr>
          <w:noProof/>
        </w:rPr>
        <w:instrText xml:space="preserve"> PAGEREF _Toc379361519 \h </w:instrText>
      </w:r>
      <w:r w:rsidRPr="006051FF">
        <w:rPr>
          <w:noProof/>
        </w:rPr>
      </w:r>
      <w:r w:rsidRPr="006051FF">
        <w:rPr>
          <w:noProof/>
        </w:rPr>
        <w:fldChar w:fldCharType="separate"/>
      </w:r>
      <w:r w:rsidR="00BD4E69">
        <w:rPr>
          <w:noProof/>
        </w:rPr>
        <w:t>2</w:t>
      </w:r>
      <w:r w:rsidRPr="006051FF">
        <w:rPr>
          <w:noProof/>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2.2—Basic subsidy</w:t>
      </w:r>
      <w:r w:rsidRPr="006051FF">
        <w:rPr>
          <w:b w:val="0"/>
          <w:noProof/>
          <w:sz w:val="18"/>
        </w:rPr>
        <w:tab/>
      </w:r>
      <w:r w:rsidRPr="006051FF">
        <w:rPr>
          <w:b w:val="0"/>
          <w:noProof/>
          <w:sz w:val="18"/>
        </w:rPr>
        <w:fldChar w:fldCharType="begin"/>
      </w:r>
      <w:r w:rsidRPr="006051FF">
        <w:rPr>
          <w:b w:val="0"/>
          <w:noProof/>
          <w:sz w:val="18"/>
        </w:rPr>
        <w:instrText xml:space="preserve"> PAGEREF _Toc379361520 \h </w:instrText>
      </w:r>
      <w:r w:rsidRPr="006051FF">
        <w:rPr>
          <w:b w:val="0"/>
          <w:noProof/>
          <w:sz w:val="18"/>
        </w:rPr>
      </w:r>
      <w:r w:rsidRPr="006051FF">
        <w:rPr>
          <w:b w:val="0"/>
          <w:noProof/>
          <w:sz w:val="18"/>
        </w:rPr>
        <w:fldChar w:fldCharType="separate"/>
      </w:r>
      <w:r w:rsidR="00BD4E69">
        <w:rPr>
          <w:b w:val="0"/>
          <w:noProof/>
          <w:sz w:val="18"/>
        </w:rPr>
        <w:t>3</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7</w:t>
      </w:r>
      <w:r>
        <w:rPr>
          <w:noProof/>
        </w:rPr>
        <w:tab/>
        <w:t>Basic subsidy amount—general</w:t>
      </w:r>
      <w:r w:rsidRPr="006051FF">
        <w:rPr>
          <w:noProof/>
        </w:rPr>
        <w:tab/>
      </w:r>
      <w:r w:rsidRPr="006051FF">
        <w:rPr>
          <w:noProof/>
        </w:rPr>
        <w:fldChar w:fldCharType="begin"/>
      </w:r>
      <w:r w:rsidRPr="006051FF">
        <w:rPr>
          <w:noProof/>
        </w:rPr>
        <w:instrText xml:space="preserve"> PAGEREF _Toc379361521 \h </w:instrText>
      </w:r>
      <w:r w:rsidRPr="006051FF">
        <w:rPr>
          <w:noProof/>
        </w:rPr>
      </w:r>
      <w:r w:rsidRPr="006051FF">
        <w:rPr>
          <w:noProof/>
        </w:rPr>
        <w:fldChar w:fldCharType="separate"/>
      </w:r>
      <w:r w:rsidR="00BD4E69">
        <w:rPr>
          <w:noProof/>
        </w:rPr>
        <w:t>3</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8</w:t>
      </w:r>
      <w:r>
        <w:rPr>
          <w:noProof/>
        </w:rPr>
        <w:tab/>
        <w:t>Basic subsidy amount—during suspension period</w:t>
      </w:r>
      <w:r w:rsidRPr="006051FF">
        <w:rPr>
          <w:noProof/>
        </w:rPr>
        <w:tab/>
      </w:r>
      <w:r w:rsidRPr="006051FF">
        <w:rPr>
          <w:noProof/>
        </w:rPr>
        <w:fldChar w:fldCharType="begin"/>
      </w:r>
      <w:r w:rsidRPr="006051FF">
        <w:rPr>
          <w:noProof/>
        </w:rPr>
        <w:instrText xml:space="preserve"> PAGEREF _Toc379361522 \h </w:instrText>
      </w:r>
      <w:r w:rsidRPr="006051FF">
        <w:rPr>
          <w:noProof/>
        </w:rPr>
      </w:r>
      <w:r w:rsidRPr="006051FF">
        <w:rPr>
          <w:noProof/>
        </w:rPr>
        <w:fldChar w:fldCharType="separate"/>
      </w:r>
      <w:r w:rsidR="00BD4E69">
        <w:rPr>
          <w:noProof/>
        </w:rPr>
        <w:t>3</w:t>
      </w:r>
      <w:r w:rsidRPr="006051FF">
        <w:rPr>
          <w:noProof/>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2.3—Viability supplement</w:t>
      </w:r>
      <w:r w:rsidRPr="006051FF">
        <w:rPr>
          <w:b w:val="0"/>
          <w:noProof/>
          <w:sz w:val="18"/>
        </w:rPr>
        <w:tab/>
      </w:r>
      <w:r w:rsidRPr="006051FF">
        <w:rPr>
          <w:b w:val="0"/>
          <w:noProof/>
          <w:sz w:val="18"/>
        </w:rPr>
        <w:fldChar w:fldCharType="begin"/>
      </w:r>
      <w:r w:rsidRPr="006051FF">
        <w:rPr>
          <w:b w:val="0"/>
          <w:noProof/>
          <w:sz w:val="18"/>
        </w:rPr>
        <w:instrText xml:space="preserve"> PAGEREF _Toc379361523 \h </w:instrText>
      </w:r>
      <w:r w:rsidRPr="006051FF">
        <w:rPr>
          <w:b w:val="0"/>
          <w:noProof/>
          <w:sz w:val="18"/>
        </w:rPr>
      </w:r>
      <w:r w:rsidRPr="006051FF">
        <w:rPr>
          <w:b w:val="0"/>
          <w:noProof/>
          <w:sz w:val="18"/>
        </w:rPr>
        <w:fldChar w:fldCharType="separate"/>
      </w:r>
      <w:r w:rsidR="00BD4E69">
        <w:rPr>
          <w:b w:val="0"/>
          <w:noProof/>
          <w:sz w:val="18"/>
        </w:rPr>
        <w:t>5</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9</w:t>
      </w:r>
      <w:r>
        <w:rPr>
          <w:noProof/>
        </w:rPr>
        <w:tab/>
        <w:t>Viability supplement amount</w:t>
      </w:r>
      <w:r w:rsidRPr="006051FF">
        <w:rPr>
          <w:noProof/>
        </w:rPr>
        <w:tab/>
      </w:r>
      <w:r w:rsidRPr="006051FF">
        <w:rPr>
          <w:noProof/>
        </w:rPr>
        <w:fldChar w:fldCharType="begin"/>
      </w:r>
      <w:r w:rsidRPr="006051FF">
        <w:rPr>
          <w:noProof/>
        </w:rPr>
        <w:instrText xml:space="preserve"> PAGEREF _Toc379361524 \h </w:instrText>
      </w:r>
      <w:r w:rsidRPr="006051FF">
        <w:rPr>
          <w:noProof/>
        </w:rPr>
      </w:r>
      <w:r w:rsidRPr="006051FF">
        <w:rPr>
          <w:noProof/>
        </w:rPr>
        <w:fldChar w:fldCharType="separate"/>
      </w:r>
      <w:r w:rsidR="00BD4E69">
        <w:rPr>
          <w:noProof/>
        </w:rPr>
        <w:t>5</w:t>
      </w:r>
      <w:r w:rsidRPr="006051FF">
        <w:rPr>
          <w:noProof/>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2.4─Transitional workforce supplement</w:t>
      </w:r>
      <w:r w:rsidRPr="006051FF">
        <w:rPr>
          <w:b w:val="0"/>
          <w:noProof/>
          <w:sz w:val="18"/>
        </w:rPr>
        <w:tab/>
      </w:r>
      <w:r w:rsidRPr="006051FF">
        <w:rPr>
          <w:b w:val="0"/>
          <w:noProof/>
          <w:sz w:val="18"/>
        </w:rPr>
        <w:fldChar w:fldCharType="begin"/>
      </w:r>
      <w:r w:rsidRPr="006051FF">
        <w:rPr>
          <w:b w:val="0"/>
          <w:noProof/>
          <w:sz w:val="18"/>
        </w:rPr>
        <w:instrText xml:space="preserve"> PAGEREF _Toc379361525 \h </w:instrText>
      </w:r>
      <w:r w:rsidRPr="006051FF">
        <w:rPr>
          <w:b w:val="0"/>
          <w:noProof/>
          <w:sz w:val="18"/>
        </w:rPr>
      </w:r>
      <w:r w:rsidRPr="006051FF">
        <w:rPr>
          <w:b w:val="0"/>
          <w:noProof/>
          <w:sz w:val="18"/>
        </w:rPr>
        <w:fldChar w:fldCharType="separate"/>
      </w:r>
      <w:r w:rsidR="00BD4E69">
        <w:rPr>
          <w:b w:val="0"/>
          <w:noProof/>
          <w:sz w:val="18"/>
        </w:rPr>
        <w:t>6</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10</w:t>
      </w:r>
      <w:r>
        <w:rPr>
          <w:noProof/>
        </w:rPr>
        <w:tab/>
        <w:t>When the transitional workforce supplement applies</w:t>
      </w:r>
      <w:r w:rsidRPr="006051FF">
        <w:rPr>
          <w:noProof/>
        </w:rPr>
        <w:tab/>
      </w:r>
      <w:r w:rsidRPr="006051FF">
        <w:rPr>
          <w:noProof/>
        </w:rPr>
        <w:fldChar w:fldCharType="begin"/>
      </w:r>
      <w:r w:rsidRPr="006051FF">
        <w:rPr>
          <w:noProof/>
        </w:rPr>
        <w:instrText xml:space="preserve"> PAGEREF _Toc379361526 \h </w:instrText>
      </w:r>
      <w:r w:rsidRPr="006051FF">
        <w:rPr>
          <w:noProof/>
        </w:rPr>
      </w:r>
      <w:r w:rsidRPr="006051FF">
        <w:rPr>
          <w:noProof/>
        </w:rPr>
        <w:fldChar w:fldCharType="separate"/>
      </w:r>
      <w:r w:rsidR="00BD4E69">
        <w:rPr>
          <w:noProof/>
        </w:rPr>
        <w:t>6</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11</w:t>
      </w:r>
      <w:r>
        <w:rPr>
          <w:noProof/>
        </w:rPr>
        <w:tab/>
        <w:t>Circumstances in which the transitional workforce supplement ceases to apply</w:t>
      </w:r>
      <w:r w:rsidRPr="006051FF">
        <w:rPr>
          <w:noProof/>
        </w:rPr>
        <w:tab/>
      </w:r>
      <w:r w:rsidRPr="006051FF">
        <w:rPr>
          <w:noProof/>
        </w:rPr>
        <w:fldChar w:fldCharType="begin"/>
      </w:r>
      <w:r w:rsidRPr="006051FF">
        <w:rPr>
          <w:noProof/>
        </w:rPr>
        <w:instrText xml:space="preserve"> PAGEREF _Toc379361527 \h </w:instrText>
      </w:r>
      <w:r w:rsidRPr="006051FF">
        <w:rPr>
          <w:noProof/>
        </w:rPr>
      </w:r>
      <w:r w:rsidRPr="006051FF">
        <w:rPr>
          <w:noProof/>
        </w:rPr>
        <w:fldChar w:fldCharType="separate"/>
      </w:r>
      <w:r w:rsidR="00BD4E69">
        <w:rPr>
          <w:noProof/>
        </w:rPr>
        <w:t>6</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12</w:t>
      </w:r>
      <w:r>
        <w:rPr>
          <w:noProof/>
        </w:rPr>
        <w:tab/>
        <w:t>Reviewable decision</w:t>
      </w:r>
      <w:r w:rsidRPr="006051FF">
        <w:rPr>
          <w:noProof/>
        </w:rPr>
        <w:tab/>
      </w:r>
      <w:r w:rsidRPr="006051FF">
        <w:rPr>
          <w:noProof/>
        </w:rPr>
        <w:fldChar w:fldCharType="begin"/>
      </w:r>
      <w:r w:rsidRPr="006051FF">
        <w:rPr>
          <w:noProof/>
        </w:rPr>
        <w:instrText xml:space="preserve"> PAGEREF _Toc379361528 \h </w:instrText>
      </w:r>
      <w:r w:rsidRPr="006051FF">
        <w:rPr>
          <w:noProof/>
        </w:rPr>
      </w:r>
      <w:r w:rsidRPr="006051FF">
        <w:rPr>
          <w:noProof/>
        </w:rPr>
        <w:fldChar w:fldCharType="separate"/>
      </w:r>
      <w:r w:rsidR="00BD4E69">
        <w:rPr>
          <w:noProof/>
        </w:rPr>
        <w:t>7</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13</w:t>
      </w:r>
      <w:r>
        <w:rPr>
          <w:noProof/>
        </w:rPr>
        <w:tab/>
        <w:t>Amount of the transitional workforce supplement</w:t>
      </w:r>
      <w:r w:rsidRPr="006051FF">
        <w:rPr>
          <w:noProof/>
        </w:rPr>
        <w:tab/>
      </w:r>
      <w:r w:rsidRPr="006051FF">
        <w:rPr>
          <w:noProof/>
        </w:rPr>
        <w:fldChar w:fldCharType="begin"/>
      </w:r>
      <w:r w:rsidRPr="006051FF">
        <w:rPr>
          <w:noProof/>
        </w:rPr>
        <w:instrText xml:space="preserve"> PAGEREF _Toc379361529 \h </w:instrText>
      </w:r>
      <w:r w:rsidRPr="006051FF">
        <w:rPr>
          <w:noProof/>
        </w:rPr>
      </w:r>
      <w:r w:rsidRPr="006051FF">
        <w:rPr>
          <w:noProof/>
        </w:rPr>
        <w:fldChar w:fldCharType="separate"/>
      </w:r>
      <w:r w:rsidR="00BD4E69">
        <w:rPr>
          <w:noProof/>
        </w:rPr>
        <w:t>7</w:t>
      </w:r>
      <w:r w:rsidRPr="006051FF">
        <w:rPr>
          <w:noProof/>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2.5—Dementia and cognition supplement</w:t>
      </w:r>
      <w:r w:rsidRPr="006051FF">
        <w:rPr>
          <w:b w:val="0"/>
          <w:noProof/>
          <w:sz w:val="18"/>
        </w:rPr>
        <w:tab/>
      </w:r>
      <w:r w:rsidRPr="006051FF">
        <w:rPr>
          <w:b w:val="0"/>
          <w:noProof/>
          <w:sz w:val="18"/>
        </w:rPr>
        <w:fldChar w:fldCharType="begin"/>
      </w:r>
      <w:r w:rsidRPr="006051FF">
        <w:rPr>
          <w:b w:val="0"/>
          <w:noProof/>
          <w:sz w:val="18"/>
        </w:rPr>
        <w:instrText xml:space="preserve"> PAGEREF _Toc379361530 \h </w:instrText>
      </w:r>
      <w:r w:rsidRPr="006051FF">
        <w:rPr>
          <w:b w:val="0"/>
          <w:noProof/>
          <w:sz w:val="18"/>
        </w:rPr>
      </w:r>
      <w:r w:rsidRPr="006051FF">
        <w:rPr>
          <w:b w:val="0"/>
          <w:noProof/>
          <w:sz w:val="18"/>
        </w:rPr>
        <w:fldChar w:fldCharType="separate"/>
      </w:r>
      <w:r w:rsidR="00BD4E69">
        <w:rPr>
          <w:b w:val="0"/>
          <w:noProof/>
          <w:sz w:val="18"/>
        </w:rPr>
        <w:t>8</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18</w:t>
      </w:r>
      <w:r>
        <w:rPr>
          <w:noProof/>
        </w:rPr>
        <w:tab/>
        <w:t>When dementia and cognition supplement applies</w:t>
      </w:r>
      <w:r w:rsidRPr="006051FF">
        <w:rPr>
          <w:noProof/>
        </w:rPr>
        <w:tab/>
      </w:r>
      <w:r w:rsidRPr="006051FF">
        <w:rPr>
          <w:noProof/>
        </w:rPr>
        <w:fldChar w:fldCharType="begin"/>
      </w:r>
      <w:r w:rsidRPr="006051FF">
        <w:rPr>
          <w:noProof/>
        </w:rPr>
        <w:instrText xml:space="preserve"> PAGEREF _Toc379361531 \h </w:instrText>
      </w:r>
      <w:r w:rsidRPr="006051FF">
        <w:rPr>
          <w:noProof/>
        </w:rPr>
      </w:r>
      <w:r w:rsidRPr="006051FF">
        <w:rPr>
          <w:noProof/>
        </w:rPr>
        <w:fldChar w:fldCharType="separate"/>
      </w:r>
      <w:r w:rsidR="00BD4E69">
        <w:rPr>
          <w:noProof/>
        </w:rPr>
        <w:t>8</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19</w:t>
      </w:r>
      <w:r>
        <w:rPr>
          <w:noProof/>
        </w:rPr>
        <w:tab/>
        <w:t>Dementia and cognition supplement amount</w:t>
      </w:r>
      <w:r w:rsidRPr="006051FF">
        <w:rPr>
          <w:noProof/>
        </w:rPr>
        <w:tab/>
      </w:r>
      <w:r w:rsidRPr="006051FF">
        <w:rPr>
          <w:noProof/>
        </w:rPr>
        <w:fldChar w:fldCharType="begin"/>
      </w:r>
      <w:r w:rsidRPr="006051FF">
        <w:rPr>
          <w:noProof/>
        </w:rPr>
        <w:instrText xml:space="preserve"> PAGEREF _Toc379361532 \h </w:instrText>
      </w:r>
      <w:r w:rsidRPr="006051FF">
        <w:rPr>
          <w:noProof/>
        </w:rPr>
      </w:r>
      <w:r w:rsidRPr="006051FF">
        <w:rPr>
          <w:noProof/>
        </w:rPr>
        <w:fldChar w:fldCharType="separate"/>
      </w:r>
      <w:r w:rsidR="00BD4E69">
        <w:rPr>
          <w:noProof/>
        </w:rPr>
        <w:t>9</w:t>
      </w:r>
      <w:r w:rsidRPr="006051FF">
        <w:rPr>
          <w:noProof/>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2.6—Veterans’ supplement</w:t>
      </w:r>
      <w:r w:rsidRPr="006051FF">
        <w:rPr>
          <w:b w:val="0"/>
          <w:noProof/>
          <w:sz w:val="18"/>
        </w:rPr>
        <w:tab/>
      </w:r>
      <w:r w:rsidRPr="006051FF">
        <w:rPr>
          <w:b w:val="0"/>
          <w:noProof/>
          <w:sz w:val="18"/>
        </w:rPr>
        <w:fldChar w:fldCharType="begin"/>
      </w:r>
      <w:r w:rsidRPr="006051FF">
        <w:rPr>
          <w:b w:val="0"/>
          <w:noProof/>
          <w:sz w:val="18"/>
        </w:rPr>
        <w:instrText xml:space="preserve"> PAGEREF _Toc379361533 \h </w:instrText>
      </w:r>
      <w:r w:rsidRPr="006051FF">
        <w:rPr>
          <w:b w:val="0"/>
          <w:noProof/>
          <w:sz w:val="18"/>
        </w:rPr>
      </w:r>
      <w:r w:rsidRPr="006051FF">
        <w:rPr>
          <w:b w:val="0"/>
          <w:noProof/>
          <w:sz w:val="18"/>
        </w:rPr>
        <w:fldChar w:fldCharType="separate"/>
      </w:r>
      <w:r w:rsidR="00BD4E69">
        <w:rPr>
          <w:b w:val="0"/>
          <w:noProof/>
          <w:sz w:val="18"/>
        </w:rPr>
        <w:t>10</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20</w:t>
      </w:r>
      <w:r>
        <w:rPr>
          <w:noProof/>
        </w:rPr>
        <w:tab/>
        <w:t>When veterans’ supplement applies</w:t>
      </w:r>
      <w:r w:rsidRPr="006051FF">
        <w:rPr>
          <w:noProof/>
        </w:rPr>
        <w:tab/>
      </w:r>
      <w:r w:rsidRPr="006051FF">
        <w:rPr>
          <w:noProof/>
        </w:rPr>
        <w:fldChar w:fldCharType="begin"/>
      </w:r>
      <w:r w:rsidRPr="006051FF">
        <w:rPr>
          <w:noProof/>
        </w:rPr>
        <w:instrText xml:space="preserve"> PAGEREF _Toc379361534 \h </w:instrText>
      </w:r>
      <w:r w:rsidRPr="006051FF">
        <w:rPr>
          <w:noProof/>
        </w:rPr>
      </w:r>
      <w:r w:rsidRPr="006051FF">
        <w:rPr>
          <w:noProof/>
        </w:rPr>
        <w:fldChar w:fldCharType="separate"/>
      </w:r>
      <w:r w:rsidR="00BD4E69">
        <w:rPr>
          <w:noProof/>
        </w:rPr>
        <w:t>10</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21</w:t>
      </w:r>
      <w:r>
        <w:rPr>
          <w:noProof/>
        </w:rPr>
        <w:tab/>
        <w:t>Veterans’ supplement amount</w:t>
      </w:r>
      <w:r w:rsidRPr="006051FF">
        <w:rPr>
          <w:noProof/>
        </w:rPr>
        <w:tab/>
      </w:r>
      <w:r w:rsidRPr="006051FF">
        <w:rPr>
          <w:noProof/>
        </w:rPr>
        <w:fldChar w:fldCharType="begin"/>
      </w:r>
      <w:r w:rsidRPr="006051FF">
        <w:rPr>
          <w:noProof/>
        </w:rPr>
        <w:instrText xml:space="preserve"> PAGEREF _Toc379361535 \h </w:instrText>
      </w:r>
      <w:r w:rsidRPr="006051FF">
        <w:rPr>
          <w:noProof/>
        </w:rPr>
      </w:r>
      <w:r w:rsidRPr="006051FF">
        <w:rPr>
          <w:noProof/>
        </w:rPr>
        <w:fldChar w:fldCharType="separate"/>
      </w:r>
      <w:r w:rsidR="00BD4E69">
        <w:rPr>
          <w:noProof/>
        </w:rPr>
        <w:t>11</w:t>
      </w:r>
      <w:r w:rsidRPr="006051FF">
        <w:rPr>
          <w:noProof/>
        </w:rPr>
        <w:fldChar w:fldCharType="end"/>
      </w:r>
    </w:p>
    <w:p w:rsidR="006051FF" w:rsidRDefault="006051FF">
      <w:pPr>
        <w:pStyle w:val="TOC3"/>
        <w:rPr>
          <w:rFonts w:asciiTheme="minorHAnsi" w:eastAsiaTheme="minorEastAsia" w:hAnsiTheme="minorHAnsi" w:cstheme="minorBidi"/>
          <w:b w:val="0"/>
          <w:noProof/>
          <w:kern w:val="0"/>
          <w:szCs w:val="22"/>
        </w:rPr>
      </w:pPr>
      <w:r>
        <w:rPr>
          <w:noProof/>
        </w:rPr>
        <w:t>Division 2.7—Top</w:t>
      </w:r>
      <w:r>
        <w:rPr>
          <w:noProof/>
        </w:rPr>
        <w:noBreakHyphen/>
        <w:t>up supplement</w:t>
      </w:r>
      <w:r w:rsidRPr="006051FF">
        <w:rPr>
          <w:b w:val="0"/>
          <w:noProof/>
          <w:sz w:val="18"/>
        </w:rPr>
        <w:tab/>
      </w:r>
      <w:r w:rsidRPr="006051FF">
        <w:rPr>
          <w:b w:val="0"/>
          <w:noProof/>
          <w:sz w:val="18"/>
        </w:rPr>
        <w:fldChar w:fldCharType="begin"/>
      </w:r>
      <w:r w:rsidRPr="006051FF">
        <w:rPr>
          <w:b w:val="0"/>
          <w:noProof/>
          <w:sz w:val="18"/>
        </w:rPr>
        <w:instrText xml:space="preserve"> PAGEREF _Toc379361536 \h </w:instrText>
      </w:r>
      <w:r w:rsidRPr="006051FF">
        <w:rPr>
          <w:b w:val="0"/>
          <w:noProof/>
          <w:sz w:val="18"/>
        </w:rPr>
      </w:r>
      <w:r w:rsidRPr="006051FF">
        <w:rPr>
          <w:b w:val="0"/>
          <w:noProof/>
          <w:sz w:val="18"/>
        </w:rPr>
        <w:fldChar w:fldCharType="separate"/>
      </w:r>
      <w:r w:rsidR="00BD4E69">
        <w:rPr>
          <w:b w:val="0"/>
          <w:noProof/>
          <w:sz w:val="18"/>
        </w:rPr>
        <w:t>12</w:t>
      </w:r>
      <w:r w:rsidRPr="006051FF">
        <w:rPr>
          <w:b w:val="0"/>
          <w:noProof/>
          <w:sz w:val="18"/>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22</w:t>
      </w:r>
      <w:r>
        <w:rPr>
          <w:noProof/>
        </w:rPr>
        <w:tab/>
        <w:t>When top</w:t>
      </w:r>
      <w:r>
        <w:rPr>
          <w:noProof/>
        </w:rPr>
        <w:noBreakHyphen/>
        <w:t>up supplement applies</w:t>
      </w:r>
      <w:r w:rsidRPr="006051FF">
        <w:rPr>
          <w:noProof/>
        </w:rPr>
        <w:tab/>
      </w:r>
      <w:r w:rsidRPr="006051FF">
        <w:rPr>
          <w:noProof/>
        </w:rPr>
        <w:fldChar w:fldCharType="begin"/>
      </w:r>
      <w:r w:rsidRPr="006051FF">
        <w:rPr>
          <w:noProof/>
        </w:rPr>
        <w:instrText xml:space="preserve"> PAGEREF _Toc379361537 \h </w:instrText>
      </w:r>
      <w:r w:rsidRPr="006051FF">
        <w:rPr>
          <w:noProof/>
        </w:rPr>
      </w:r>
      <w:r w:rsidRPr="006051FF">
        <w:rPr>
          <w:noProof/>
        </w:rPr>
        <w:fldChar w:fldCharType="separate"/>
      </w:r>
      <w:r w:rsidR="00BD4E69">
        <w:rPr>
          <w:noProof/>
        </w:rPr>
        <w:t>12</w:t>
      </w:r>
      <w:r w:rsidRPr="006051FF">
        <w:rPr>
          <w:noProof/>
        </w:rPr>
        <w:fldChar w:fldCharType="end"/>
      </w:r>
    </w:p>
    <w:p w:rsidR="006051FF" w:rsidRDefault="006051FF">
      <w:pPr>
        <w:pStyle w:val="TOC5"/>
        <w:rPr>
          <w:rFonts w:asciiTheme="minorHAnsi" w:eastAsiaTheme="minorEastAsia" w:hAnsiTheme="minorHAnsi" w:cstheme="minorBidi"/>
          <w:noProof/>
          <w:kern w:val="0"/>
          <w:sz w:val="22"/>
          <w:szCs w:val="22"/>
        </w:rPr>
      </w:pPr>
      <w:r>
        <w:rPr>
          <w:noProof/>
        </w:rPr>
        <w:t>23</w:t>
      </w:r>
      <w:r>
        <w:rPr>
          <w:noProof/>
        </w:rPr>
        <w:tab/>
        <w:t>Top</w:t>
      </w:r>
      <w:r>
        <w:rPr>
          <w:noProof/>
        </w:rPr>
        <w:noBreakHyphen/>
        <w:t>up supplement amount</w:t>
      </w:r>
      <w:r w:rsidRPr="006051FF">
        <w:rPr>
          <w:noProof/>
        </w:rPr>
        <w:tab/>
      </w:r>
      <w:r w:rsidRPr="006051FF">
        <w:rPr>
          <w:noProof/>
        </w:rPr>
        <w:fldChar w:fldCharType="begin"/>
      </w:r>
      <w:r w:rsidRPr="006051FF">
        <w:rPr>
          <w:noProof/>
        </w:rPr>
        <w:instrText xml:space="preserve"> PAGEREF _Toc379361538 \h </w:instrText>
      </w:r>
      <w:r w:rsidRPr="006051FF">
        <w:rPr>
          <w:noProof/>
        </w:rPr>
      </w:r>
      <w:r w:rsidRPr="006051FF">
        <w:rPr>
          <w:noProof/>
        </w:rPr>
        <w:fldChar w:fldCharType="separate"/>
      </w:r>
      <w:r w:rsidR="00BD4E69">
        <w:rPr>
          <w:noProof/>
        </w:rPr>
        <w:t>12</w:t>
      </w:r>
      <w:r w:rsidRPr="006051FF">
        <w:rPr>
          <w:noProof/>
        </w:rPr>
        <w:fldChar w:fldCharType="end"/>
      </w:r>
    </w:p>
    <w:p w:rsidR="006051FF" w:rsidRDefault="006051FF" w:rsidP="006051FF">
      <w:pPr>
        <w:pStyle w:val="TOC2"/>
        <w:rPr>
          <w:rFonts w:asciiTheme="minorHAnsi" w:eastAsiaTheme="minorEastAsia" w:hAnsiTheme="minorHAnsi" w:cstheme="minorBidi"/>
          <w:b w:val="0"/>
          <w:noProof/>
          <w:kern w:val="0"/>
          <w:sz w:val="22"/>
          <w:szCs w:val="22"/>
        </w:rPr>
      </w:pPr>
      <w:r>
        <w:rPr>
          <w:noProof/>
        </w:rPr>
        <w:t>Endnotes</w:t>
      </w:r>
      <w:r w:rsidRPr="006051FF">
        <w:rPr>
          <w:b w:val="0"/>
          <w:noProof/>
          <w:sz w:val="18"/>
        </w:rPr>
        <w:tab/>
      </w:r>
      <w:r w:rsidRPr="006051FF">
        <w:rPr>
          <w:b w:val="0"/>
          <w:noProof/>
          <w:sz w:val="18"/>
        </w:rPr>
        <w:fldChar w:fldCharType="begin"/>
      </w:r>
      <w:r w:rsidRPr="006051FF">
        <w:rPr>
          <w:b w:val="0"/>
          <w:noProof/>
          <w:sz w:val="18"/>
        </w:rPr>
        <w:instrText xml:space="preserve"> PAGEREF _Toc379361539 \h </w:instrText>
      </w:r>
      <w:r w:rsidRPr="006051FF">
        <w:rPr>
          <w:b w:val="0"/>
          <w:noProof/>
          <w:sz w:val="18"/>
        </w:rPr>
      </w:r>
      <w:r w:rsidRPr="006051FF">
        <w:rPr>
          <w:b w:val="0"/>
          <w:noProof/>
          <w:sz w:val="18"/>
        </w:rPr>
        <w:fldChar w:fldCharType="separate"/>
      </w:r>
      <w:r w:rsidR="00BD4E69">
        <w:rPr>
          <w:b w:val="0"/>
          <w:noProof/>
          <w:sz w:val="18"/>
        </w:rPr>
        <w:t>13</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1—About the endnotes</w:t>
      </w:r>
      <w:r w:rsidRPr="006051FF">
        <w:rPr>
          <w:b w:val="0"/>
          <w:noProof/>
          <w:sz w:val="18"/>
        </w:rPr>
        <w:tab/>
      </w:r>
      <w:r w:rsidRPr="006051FF">
        <w:rPr>
          <w:b w:val="0"/>
          <w:noProof/>
          <w:sz w:val="18"/>
        </w:rPr>
        <w:fldChar w:fldCharType="begin"/>
      </w:r>
      <w:r w:rsidRPr="006051FF">
        <w:rPr>
          <w:b w:val="0"/>
          <w:noProof/>
          <w:sz w:val="18"/>
        </w:rPr>
        <w:instrText xml:space="preserve"> PAGEREF _Toc379361540 \h </w:instrText>
      </w:r>
      <w:r w:rsidRPr="006051FF">
        <w:rPr>
          <w:b w:val="0"/>
          <w:noProof/>
          <w:sz w:val="18"/>
        </w:rPr>
      </w:r>
      <w:r w:rsidRPr="006051FF">
        <w:rPr>
          <w:b w:val="0"/>
          <w:noProof/>
          <w:sz w:val="18"/>
        </w:rPr>
        <w:fldChar w:fldCharType="separate"/>
      </w:r>
      <w:r w:rsidR="00BD4E69">
        <w:rPr>
          <w:b w:val="0"/>
          <w:noProof/>
          <w:sz w:val="18"/>
        </w:rPr>
        <w:t>13</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2—Abbreviation key</w:t>
      </w:r>
      <w:r w:rsidRPr="006051FF">
        <w:rPr>
          <w:b w:val="0"/>
          <w:noProof/>
          <w:sz w:val="18"/>
        </w:rPr>
        <w:tab/>
      </w:r>
      <w:r w:rsidRPr="006051FF">
        <w:rPr>
          <w:b w:val="0"/>
          <w:noProof/>
          <w:sz w:val="18"/>
        </w:rPr>
        <w:fldChar w:fldCharType="begin"/>
      </w:r>
      <w:r w:rsidRPr="006051FF">
        <w:rPr>
          <w:b w:val="0"/>
          <w:noProof/>
          <w:sz w:val="18"/>
        </w:rPr>
        <w:instrText xml:space="preserve"> PAGEREF _Toc379361541 \h </w:instrText>
      </w:r>
      <w:r w:rsidRPr="006051FF">
        <w:rPr>
          <w:b w:val="0"/>
          <w:noProof/>
          <w:sz w:val="18"/>
        </w:rPr>
      </w:r>
      <w:r w:rsidRPr="006051FF">
        <w:rPr>
          <w:b w:val="0"/>
          <w:noProof/>
          <w:sz w:val="18"/>
        </w:rPr>
        <w:fldChar w:fldCharType="separate"/>
      </w:r>
      <w:r w:rsidR="00BD4E69">
        <w:rPr>
          <w:b w:val="0"/>
          <w:noProof/>
          <w:sz w:val="18"/>
        </w:rPr>
        <w:t>14</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3—Legislation history</w:t>
      </w:r>
      <w:r w:rsidRPr="006051FF">
        <w:rPr>
          <w:b w:val="0"/>
          <w:noProof/>
          <w:sz w:val="18"/>
        </w:rPr>
        <w:tab/>
      </w:r>
      <w:r w:rsidRPr="006051FF">
        <w:rPr>
          <w:b w:val="0"/>
          <w:noProof/>
          <w:sz w:val="18"/>
        </w:rPr>
        <w:fldChar w:fldCharType="begin"/>
      </w:r>
      <w:r w:rsidRPr="006051FF">
        <w:rPr>
          <w:b w:val="0"/>
          <w:noProof/>
          <w:sz w:val="18"/>
        </w:rPr>
        <w:instrText xml:space="preserve"> PAGEREF _Toc379361542 \h </w:instrText>
      </w:r>
      <w:r w:rsidRPr="006051FF">
        <w:rPr>
          <w:b w:val="0"/>
          <w:noProof/>
          <w:sz w:val="18"/>
        </w:rPr>
      </w:r>
      <w:r w:rsidRPr="006051FF">
        <w:rPr>
          <w:b w:val="0"/>
          <w:noProof/>
          <w:sz w:val="18"/>
        </w:rPr>
        <w:fldChar w:fldCharType="separate"/>
      </w:r>
      <w:r w:rsidR="00BD4E69">
        <w:rPr>
          <w:b w:val="0"/>
          <w:noProof/>
          <w:sz w:val="18"/>
        </w:rPr>
        <w:t>15</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4—Amendment history</w:t>
      </w:r>
      <w:r w:rsidRPr="006051FF">
        <w:rPr>
          <w:b w:val="0"/>
          <w:noProof/>
          <w:sz w:val="18"/>
        </w:rPr>
        <w:tab/>
      </w:r>
      <w:r w:rsidRPr="006051FF">
        <w:rPr>
          <w:b w:val="0"/>
          <w:noProof/>
          <w:sz w:val="18"/>
        </w:rPr>
        <w:fldChar w:fldCharType="begin"/>
      </w:r>
      <w:r w:rsidRPr="006051FF">
        <w:rPr>
          <w:b w:val="0"/>
          <w:noProof/>
          <w:sz w:val="18"/>
        </w:rPr>
        <w:instrText xml:space="preserve"> PAGEREF _Toc379361543 \h </w:instrText>
      </w:r>
      <w:r w:rsidRPr="006051FF">
        <w:rPr>
          <w:b w:val="0"/>
          <w:noProof/>
          <w:sz w:val="18"/>
        </w:rPr>
      </w:r>
      <w:r w:rsidRPr="006051FF">
        <w:rPr>
          <w:b w:val="0"/>
          <w:noProof/>
          <w:sz w:val="18"/>
        </w:rPr>
        <w:fldChar w:fldCharType="separate"/>
      </w:r>
      <w:r w:rsidR="00BD4E69">
        <w:rPr>
          <w:b w:val="0"/>
          <w:noProof/>
          <w:sz w:val="18"/>
        </w:rPr>
        <w:t>16</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5—Uncommenced amendments [none]</w:t>
      </w:r>
      <w:r w:rsidRPr="006051FF">
        <w:rPr>
          <w:b w:val="0"/>
          <w:noProof/>
          <w:sz w:val="18"/>
        </w:rPr>
        <w:tab/>
      </w:r>
      <w:r w:rsidRPr="006051FF">
        <w:rPr>
          <w:b w:val="0"/>
          <w:noProof/>
          <w:sz w:val="18"/>
        </w:rPr>
        <w:fldChar w:fldCharType="begin"/>
      </w:r>
      <w:r w:rsidRPr="006051FF">
        <w:rPr>
          <w:b w:val="0"/>
          <w:noProof/>
          <w:sz w:val="18"/>
        </w:rPr>
        <w:instrText xml:space="preserve"> PAGEREF _Toc379361544 \h </w:instrText>
      </w:r>
      <w:r w:rsidRPr="006051FF">
        <w:rPr>
          <w:b w:val="0"/>
          <w:noProof/>
          <w:sz w:val="18"/>
        </w:rPr>
      </w:r>
      <w:r w:rsidRPr="006051FF">
        <w:rPr>
          <w:b w:val="0"/>
          <w:noProof/>
          <w:sz w:val="18"/>
        </w:rPr>
        <w:fldChar w:fldCharType="separate"/>
      </w:r>
      <w:r w:rsidR="00BD4E69">
        <w:rPr>
          <w:b w:val="0"/>
          <w:noProof/>
          <w:sz w:val="18"/>
        </w:rPr>
        <w:t>17</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6—Modifications [none]</w:t>
      </w:r>
      <w:r w:rsidRPr="006051FF">
        <w:rPr>
          <w:b w:val="0"/>
          <w:noProof/>
          <w:sz w:val="18"/>
        </w:rPr>
        <w:tab/>
      </w:r>
      <w:r w:rsidRPr="006051FF">
        <w:rPr>
          <w:b w:val="0"/>
          <w:noProof/>
          <w:sz w:val="18"/>
        </w:rPr>
        <w:fldChar w:fldCharType="begin"/>
      </w:r>
      <w:r w:rsidRPr="006051FF">
        <w:rPr>
          <w:b w:val="0"/>
          <w:noProof/>
          <w:sz w:val="18"/>
        </w:rPr>
        <w:instrText xml:space="preserve"> PAGEREF _Toc379361545 \h </w:instrText>
      </w:r>
      <w:r w:rsidRPr="006051FF">
        <w:rPr>
          <w:b w:val="0"/>
          <w:noProof/>
          <w:sz w:val="18"/>
        </w:rPr>
      </w:r>
      <w:r w:rsidRPr="006051FF">
        <w:rPr>
          <w:b w:val="0"/>
          <w:noProof/>
          <w:sz w:val="18"/>
        </w:rPr>
        <w:fldChar w:fldCharType="separate"/>
      </w:r>
      <w:r w:rsidR="00BD4E69">
        <w:rPr>
          <w:b w:val="0"/>
          <w:noProof/>
          <w:sz w:val="18"/>
        </w:rPr>
        <w:t>17</w:t>
      </w:r>
      <w:r w:rsidRPr="006051FF">
        <w:rPr>
          <w:b w:val="0"/>
          <w:noProof/>
          <w:sz w:val="18"/>
        </w:rPr>
        <w:fldChar w:fldCharType="end"/>
      </w:r>
    </w:p>
    <w:p w:rsidR="006051FF" w:rsidRDefault="006051FF">
      <w:pPr>
        <w:pStyle w:val="TOC3"/>
        <w:rPr>
          <w:rFonts w:asciiTheme="minorHAnsi" w:eastAsiaTheme="minorEastAsia" w:hAnsiTheme="minorHAnsi" w:cstheme="minorBidi"/>
          <w:b w:val="0"/>
          <w:noProof/>
          <w:kern w:val="0"/>
          <w:szCs w:val="22"/>
        </w:rPr>
      </w:pPr>
      <w:r>
        <w:rPr>
          <w:noProof/>
        </w:rPr>
        <w:t>Endnote 7—Misdescribed amendments [none]</w:t>
      </w:r>
      <w:r w:rsidRPr="006051FF">
        <w:rPr>
          <w:b w:val="0"/>
          <w:noProof/>
          <w:sz w:val="18"/>
        </w:rPr>
        <w:tab/>
      </w:r>
      <w:r w:rsidRPr="006051FF">
        <w:rPr>
          <w:b w:val="0"/>
          <w:noProof/>
          <w:sz w:val="18"/>
        </w:rPr>
        <w:fldChar w:fldCharType="begin"/>
      </w:r>
      <w:r w:rsidRPr="006051FF">
        <w:rPr>
          <w:b w:val="0"/>
          <w:noProof/>
          <w:sz w:val="18"/>
        </w:rPr>
        <w:instrText xml:space="preserve"> PAGEREF _Toc379361546 \h </w:instrText>
      </w:r>
      <w:r w:rsidRPr="006051FF">
        <w:rPr>
          <w:b w:val="0"/>
          <w:noProof/>
          <w:sz w:val="18"/>
        </w:rPr>
      </w:r>
      <w:r w:rsidRPr="006051FF">
        <w:rPr>
          <w:b w:val="0"/>
          <w:noProof/>
          <w:sz w:val="18"/>
        </w:rPr>
        <w:fldChar w:fldCharType="separate"/>
      </w:r>
      <w:r w:rsidR="00BD4E69">
        <w:rPr>
          <w:b w:val="0"/>
          <w:noProof/>
          <w:sz w:val="18"/>
        </w:rPr>
        <w:t>17</w:t>
      </w:r>
      <w:r w:rsidRPr="006051FF">
        <w:rPr>
          <w:b w:val="0"/>
          <w:noProof/>
          <w:sz w:val="18"/>
        </w:rPr>
        <w:fldChar w:fldCharType="end"/>
      </w:r>
    </w:p>
    <w:p w:rsidR="006051FF" w:rsidRPr="006051FF" w:rsidRDefault="006051FF">
      <w:pPr>
        <w:pStyle w:val="TOC3"/>
        <w:rPr>
          <w:rFonts w:eastAsiaTheme="minorEastAsia"/>
          <w:b w:val="0"/>
          <w:noProof/>
          <w:kern w:val="0"/>
          <w:sz w:val="18"/>
          <w:szCs w:val="22"/>
        </w:rPr>
      </w:pPr>
      <w:r>
        <w:rPr>
          <w:noProof/>
        </w:rPr>
        <w:t>Endnote 8—Miscellaneous [none]</w:t>
      </w:r>
      <w:r w:rsidRPr="006051FF">
        <w:rPr>
          <w:b w:val="0"/>
          <w:noProof/>
          <w:sz w:val="18"/>
        </w:rPr>
        <w:tab/>
      </w:r>
      <w:r w:rsidRPr="006051FF">
        <w:rPr>
          <w:b w:val="0"/>
          <w:noProof/>
          <w:sz w:val="18"/>
        </w:rPr>
        <w:fldChar w:fldCharType="begin"/>
      </w:r>
      <w:r w:rsidRPr="006051FF">
        <w:rPr>
          <w:b w:val="0"/>
          <w:noProof/>
          <w:sz w:val="18"/>
        </w:rPr>
        <w:instrText xml:space="preserve"> PAGEREF _Toc379361547 \h </w:instrText>
      </w:r>
      <w:r w:rsidRPr="006051FF">
        <w:rPr>
          <w:b w:val="0"/>
          <w:noProof/>
          <w:sz w:val="18"/>
        </w:rPr>
      </w:r>
      <w:r w:rsidRPr="006051FF">
        <w:rPr>
          <w:b w:val="0"/>
          <w:noProof/>
          <w:sz w:val="18"/>
        </w:rPr>
        <w:fldChar w:fldCharType="separate"/>
      </w:r>
      <w:r w:rsidR="00BD4E69">
        <w:rPr>
          <w:b w:val="0"/>
          <w:noProof/>
          <w:sz w:val="18"/>
        </w:rPr>
        <w:t>17</w:t>
      </w:r>
      <w:r w:rsidRPr="006051FF">
        <w:rPr>
          <w:b w:val="0"/>
          <w:noProof/>
          <w:sz w:val="18"/>
        </w:rPr>
        <w:fldChar w:fldCharType="end"/>
      </w:r>
    </w:p>
    <w:p w:rsidR="00715914" w:rsidRPr="007A1328" w:rsidRDefault="00D05789" w:rsidP="00715914">
      <w:r w:rsidRPr="006051FF">
        <w:rPr>
          <w:rFonts w:cs="Times New Roman"/>
          <w:sz w:val="18"/>
        </w:rPr>
        <w:fldChar w:fldCharType="end"/>
      </w:r>
    </w:p>
    <w:p w:rsidR="00715914" w:rsidRDefault="00715914" w:rsidP="00715914">
      <w:pPr>
        <w:sectPr w:rsidR="00715914" w:rsidSect="00DE19CA">
          <w:headerReference w:type="even" r:id="rId16"/>
          <w:headerReference w:type="default" r:id="rId17"/>
          <w:footerReference w:type="even" r:id="rId18"/>
          <w:footerReference w:type="default" r:id="rId19"/>
          <w:headerReference w:type="first" r:id="rId20"/>
          <w:pgSz w:w="11907" w:h="16839"/>
          <w:pgMar w:top="2378" w:right="1797" w:bottom="1440" w:left="1797" w:header="720" w:footer="709" w:gutter="0"/>
          <w:pgNumType w:fmt="lowerRoman" w:start="1"/>
          <w:cols w:space="708"/>
          <w:docGrid w:linePitch="360"/>
        </w:sectPr>
      </w:pPr>
    </w:p>
    <w:p w:rsidR="00A67313" w:rsidRPr="009D1B8C" w:rsidRDefault="00A67313" w:rsidP="00A67313">
      <w:pPr>
        <w:pStyle w:val="ActHead2"/>
      </w:pPr>
      <w:bookmarkStart w:id="0" w:name="_Toc379361513"/>
      <w:r w:rsidRPr="009D1B8C">
        <w:rPr>
          <w:rStyle w:val="CharPartNo"/>
        </w:rPr>
        <w:lastRenderedPageBreak/>
        <w:t>Part 1</w:t>
      </w:r>
      <w:r w:rsidRPr="009D1B8C">
        <w:t>—</w:t>
      </w:r>
      <w:r w:rsidRPr="009D1B8C">
        <w:rPr>
          <w:rStyle w:val="CharPartText"/>
        </w:rPr>
        <w:t>Preliminary</w:t>
      </w:r>
      <w:bookmarkEnd w:id="0"/>
    </w:p>
    <w:p w:rsidR="00A67313" w:rsidRPr="009D1B8C" w:rsidRDefault="00A67313" w:rsidP="00A67313">
      <w:pPr>
        <w:pStyle w:val="Header"/>
      </w:pPr>
      <w:r w:rsidRPr="009D1B8C">
        <w:rPr>
          <w:rStyle w:val="CharDivNo"/>
        </w:rPr>
        <w:t xml:space="preserve"> </w:t>
      </w:r>
      <w:r w:rsidRPr="009D1B8C">
        <w:rPr>
          <w:rStyle w:val="CharDivText"/>
        </w:rPr>
        <w:t xml:space="preserve"> </w:t>
      </w:r>
    </w:p>
    <w:p w:rsidR="00A67313" w:rsidRPr="009D1B8C" w:rsidRDefault="00A67313" w:rsidP="00A67313">
      <w:pPr>
        <w:pStyle w:val="ActHead5"/>
      </w:pPr>
      <w:bookmarkStart w:id="1" w:name="_Toc379361514"/>
      <w:r w:rsidRPr="009D1B8C">
        <w:rPr>
          <w:rStyle w:val="CharSectno"/>
        </w:rPr>
        <w:t>1</w:t>
      </w:r>
      <w:r w:rsidRPr="009D1B8C">
        <w:t xml:space="preserve">  Name of determination</w:t>
      </w:r>
      <w:bookmarkEnd w:id="1"/>
    </w:p>
    <w:p w:rsidR="00A67313" w:rsidRPr="009D1B8C" w:rsidRDefault="00A67313" w:rsidP="00A67313">
      <w:pPr>
        <w:pStyle w:val="subsection"/>
      </w:pPr>
      <w:r w:rsidRPr="009D1B8C">
        <w:tab/>
      </w:r>
      <w:r w:rsidRPr="009D1B8C">
        <w:tab/>
        <w:t xml:space="preserve">This determination is the </w:t>
      </w:r>
      <w:bookmarkStart w:id="2" w:name="BKCheck15B_3"/>
      <w:bookmarkEnd w:id="2"/>
      <w:r w:rsidRPr="009D1B8C">
        <w:rPr>
          <w:i/>
        </w:rPr>
        <w:fldChar w:fldCharType="begin"/>
      </w:r>
      <w:r w:rsidRPr="009D1B8C">
        <w:rPr>
          <w:i/>
        </w:rPr>
        <w:instrText xml:space="preserve"> STYLEREF  ShortT </w:instrText>
      </w:r>
      <w:r w:rsidRPr="009D1B8C">
        <w:rPr>
          <w:i/>
        </w:rPr>
        <w:fldChar w:fldCharType="separate"/>
      </w:r>
      <w:r w:rsidR="00DD255E">
        <w:rPr>
          <w:i/>
          <w:noProof/>
        </w:rPr>
        <w:t>Aged Care (Home Care Subsidy Amount) Determination 2013</w:t>
      </w:r>
      <w:r w:rsidRPr="009D1B8C">
        <w:rPr>
          <w:i/>
        </w:rPr>
        <w:fldChar w:fldCharType="end"/>
      </w:r>
      <w:r w:rsidRPr="009D1B8C">
        <w:t>.</w:t>
      </w:r>
    </w:p>
    <w:p w:rsidR="00A67313" w:rsidRPr="009D1B8C" w:rsidRDefault="00A67313" w:rsidP="00A67313">
      <w:pPr>
        <w:pStyle w:val="ActHead5"/>
      </w:pPr>
      <w:bookmarkStart w:id="3" w:name="_Toc379361515"/>
      <w:r w:rsidRPr="009D1B8C">
        <w:rPr>
          <w:rStyle w:val="CharSectno"/>
        </w:rPr>
        <w:t>3</w:t>
      </w:r>
      <w:r w:rsidRPr="009D1B8C">
        <w:t xml:space="preserve">  Authority</w:t>
      </w:r>
      <w:bookmarkEnd w:id="3"/>
    </w:p>
    <w:p w:rsidR="00A67313" w:rsidRPr="009D1B8C" w:rsidRDefault="00A67313" w:rsidP="00A67313">
      <w:pPr>
        <w:pStyle w:val="subsection"/>
      </w:pPr>
      <w:r w:rsidRPr="009D1B8C">
        <w:tab/>
      </w:r>
      <w:r w:rsidRPr="009D1B8C">
        <w:tab/>
        <w:t xml:space="preserve">This determination is made under the </w:t>
      </w:r>
      <w:r w:rsidRPr="009D1B8C">
        <w:rPr>
          <w:i/>
        </w:rPr>
        <w:t>Aged Care Act 1997</w:t>
      </w:r>
      <w:r w:rsidRPr="009D1B8C">
        <w:t>.</w:t>
      </w:r>
    </w:p>
    <w:p w:rsidR="00A67313" w:rsidRPr="009D1B8C" w:rsidRDefault="00A67313" w:rsidP="00A67313">
      <w:pPr>
        <w:pStyle w:val="ActHead5"/>
      </w:pPr>
      <w:bookmarkStart w:id="4" w:name="_Toc379361516"/>
      <w:r w:rsidRPr="009D1B8C">
        <w:rPr>
          <w:rStyle w:val="CharSectno"/>
        </w:rPr>
        <w:t>5</w:t>
      </w:r>
      <w:r w:rsidRPr="009D1B8C">
        <w:t xml:space="preserve">  Definitions</w:t>
      </w:r>
      <w:bookmarkEnd w:id="4"/>
    </w:p>
    <w:p w:rsidR="00A67313" w:rsidRPr="009D1B8C" w:rsidRDefault="00A67313" w:rsidP="00A67313">
      <w:pPr>
        <w:pStyle w:val="subsection"/>
      </w:pPr>
      <w:r w:rsidRPr="009D1B8C">
        <w:tab/>
      </w:r>
      <w:r w:rsidRPr="009D1B8C">
        <w:tab/>
        <w:t>In this determination:</w:t>
      </w:r>
    </w:p>
    <w:p w:rsidR="00A67313" w:rsidRPr="009D1B8C" w:rsidRDefault="00A67313" w:rsidP="00A67313">
      <w:pPr>
        <w:pStyle w:val="Definition"/>
      </w:pPr>
      <w:r w:rsidRPr="009D1B8C">
        <w:rPr>
          <w:b/>
          <w:i/>
        </w:rPr>
        <w:t>Act</w:t>
      </w:r>
      <w:r w:rsidRPr="009D1B8C">
        <w:t xml:space="preserve"> means the </w:t>
      </w:r>
      <w:r w:rsidRPr="009D1B8C">
        <w:rPr>
          <w:i/>
        </w:rPr>
        <w:t>Aged Care Act 1997</w:t>
      </w:r>
      <w:r w:rsidRPr="009D1B8C">
        <w:t>.</w:t>
      </w:r>
    </w:p>
    <w:p w:rsidR="002330CC" w:rsidRDefault="002330CC" w:rsidP="002330CC">
      <w:pPr>
        <w:pStyle w:val="Definition"/>
      </w:pPr>
      <w:r w:rsidRPr="005D77FE">
        <w:rPr>
          <w:b/>
          <w:i/>
        </w:rPr>
        <w:t xml:space="preserve">Aged Care </w:t>
      </w:r>
      <w:r>
        <w:rPr>
          <w:b/>
          <w:i/>
        </w:rPr>
        <w:t xml:space="preserve">Transitional </w:t>
      </w:r>
      <w:r w:rsidRPr="005D77FE">
        <w:rPr>
          <w:b/>
          <w:i/>
        </w:rPr>
        <w:t>Workforce Supplement Guidelines</w:t>
      </w:r>
      <w:r w:rsidRPr="005D77FE">
        <w:t xml:space="preserve"> means the document with that title published by the Departm</w:t>
      </w:r>
      <w:r>
        <w:t xml:space="preserve">ent, as existing on the commencement of the </w:t>
      </w:r>
      <w:r>
        <w:rPr>
          <w:i/>
        </w:rPr>
        <w:t>Home</w:t>
      </w:r>
      <w:r w:rsidRPr="00865E88">
        <w:rPr>
          <w:i/>
        </w:rPr>
        <w:t xml:space="preserve"> Care Subsidy Amendment (Transitional Workforce Supplement</w:t>
      </w:r>
      <w:r>
        <w:rPr>
          <w:i/>
        </w:rPr>
        <w:t xml:space="preserve"> and Various Measures</w:t>
      </w:r>
      <w:r w:rsidRPr="00865E88">
        <w:rPr>
          <w:i/>
        </w:rPr>
        <w:t xml:space="preserve">) </w:t>
      </w:r>
      <w:r>
        <w:rPr>
          <w:i/>
        </w:rPr>
        <w:t>Determination 2014</w:t>
      </w:r>
      <w:r w:rsidRPr="005D77FE">
        <w:t>.</w:t>
      </w:r>
    </w:p>
    <w:p w:rsidR="00A67313" w:rsidRPr="009D1B8C" w:rsidRDefault="00A67313" w:rsidP="00A67313">
      <w:pPr>
        <w:pStyle w:val="Definition"/>
      </w:pPr>
      <w:r w:rsidRPr="009D1B8C">
        <w:rPr>
          <w:b/>
          <w:i/>
        </w:rPr>
        <w:t>ARIA value</w:t>
      </w:r>
      <w:r w:rsidRPr="009D1B8C">
        <w:t xml:space="preserve">, in relation to a location, means the value given to that location in accordance with the methodology set out in the document titled </w:t>
      </w:r>
      <w:r w:rsidRPr="009D1B8C">
        <w:rPr>
          <w:i/>
        </w:rPr>
        <w:t>Measuring Remoteness: Accessibility/Remoteness Index of Australia (ARIA)</w:t>
      </w:r>
      <w:r w:rsidRPr="009D1B8C">
        <w:t>, Occasional Papers: New Series Number 14, published by the Department in October 2001, as the document exists on 1 August 2013.</w:t>
      </w:r>
    </w:p>
    <w:p w:rsidR="00A67313" w:rsidRPr="009D1B8C" w:rsidRDefault="00A67313" w:rsidP="00A67313">
      <w:pPr>
        <w:pStyle w:val="notetext"/>
      </w:pPr>
      <w:r w:rsidRPr="009D1B8C">
        <w:t>Note:</w:t>
      </w:r>
      <w:r w:rsidRPr="009D1B8C">
        <w:tab/>
        <w:t>The document is available through the Department’s website (www.health.gov.au).</w:t>
      </w:r>
    </w:p>
    <w:p w:rsidR="00A67313" w:rsidRPr="009D1B8C" w:rsidRDefault="00A67313" w:rsidP="00A67313">
      <w:pPr>
        <w:pStyle w:val="Definition"/>
      </w:pPr>
      <w:r w:rsidRPr="009D1B8C">
        <w:rPr>
          <w:b/>
          <w:i/>
        </w:rPr>
        <w:t>enteral feeding supplement</w:t>
      </w:r>
      <w:r w:rsidRPr="009D1B8C">
        <w:t xml:space="preserve"> means the enteral feeding supplement referred to in section 44</w:t>
      </w:r>
      <w:r>
        <w:noBreakHyphen/>
      </w:r>
      <w:r w:rsidRPr="009D1B8C">
        <w:t>14 of the Act.</w:t>
      </w:r>
    </w:p>
    <w:p w:rsidR="00A67313" w:rsidRPr="009D1B8C" w:rsidRDefault="00A67313" w:rsidP="00A67313">
      <w:pPr>
        <w:pStyle w:val="Definition"/>
      </w:pPr>
      <w:r w:rsidRPr="009D1B8C">
        <w:rPr>
          <w:b/>
          <w:i/>
        </w:rPr>
        <w:t>extended aged care at home—dementia</w:t>
      </w:r>
      <w:r w:rsidRPr="009D1B8C">
        <w:t xml:space="preserve"> has the meaning given by section 15.8 of the </w:t>
      </w:r>
      <w:r w:rsidRPr="009D1B8C">
        <w:rPr>
          <w:i/>
        </w:rPr>
        <w:t>Flexible Care Subsidy Principles 1997</w:t>
      </w:r>
      <w:r w:rsidRPr="009D1B8C">
        <w:t xml:space="preserve"> as in force immediately before 1 August 2013.</w:t>
      </w:r>
    </w:p>
    <w:p w:rsidR="00A67313" w:rsidRPr="009D1B8C" w:rsidRDefault="00A67313" w:rsidP="00A67313">
      <w:pPr>
        <w:pStyle w:val="Definition"/>
      </w:pPr>
      <w:r w:rsidRPr="009D1B8C">
        <w:rPr>
          <w:b/>
          <w:i/>
        </w:rPr>
        <w:t>oxygen supplement</w:t>
      </w:r>
      <w:r w:rsidRPr="009D1B8C">
        <w:t xml:space="preserve"> means the oxygen supplement referred to in section 44</w:t>
      </w:r>
      <w:r>
        <w:noBreakHyphen/>
      </w:r>
      <w:r w:rsidRPr="009D1B8C">
        <w:t>13 of the Act.</w:t>
      </w:r>
    </w:p>
    <w:p w:rsidR="00A67313" w:rsidRPr="009D1B8C" w:rsidRDefault="00A67313" w:rsidP="00A67313">
      <w:pPr>
        <w:pStyle w:val="Definition"/>
      </w:pPr>
      <w:r w:rsidRPr="009D1B8C">
        <w:rPr>
          <w:b/>
          <w:i/>
        </w:rPr>
        <w:t>reviewable decision</w:t>
      </w:r>
      <w:r w:rsidRPr="009D1B8C">
        <w:t xml:space="preserve"> has the meaning given by section 15.</w:t>
      </w:r>
    </w:p>
    <w:p w:rsidR="00A67313" w:rsidRPr="009D1B8C" w:rsidRDefault="00A67313" w:rsidP="00A67313">
      <w:pPr>
        <w:pStyle w:val="Definition"/>
      </w:pPr>
      <w:r w:rsidRPr="009D1B8C">
        <w:rPr>
          <w:b/>
          <w:i/>
        </w:rPr>
        <w:t>suspension period</w:t>
      </w:r>
      <w:r w:rsidRPr="009D1B8C">
        <w:t>, in relation to the provision of home care, means the period for which the provision of home care is suspended under section 46</w:t>
      </w:r>
      <w:r>
        <w:noBreakHyphen/>
      </w:r>
      <w:r w:rsidRPr="009D1B8C">
        <w:t>2 of the Act.</w:t>
      </w:r>
    </w:p>
    <w:p w:rsidR="00A67313" w:rsidRPr="009D1B8C" w:rsidRDefault="00A67313" w:rsidP="00A67313">
      <w:pPr>
        <w:pStyle w:val="Definition"/>
      </w:pPr>
      <w:r w:rsidRPr="009D1B8C">
        <w:rPr>
          <w:b/>
          <w:i/>
        </w:rPr>
        <w:t>transition care</w:t>
      </w:r>
      <w:r w:rsidRPr="009D1B8C">
        <w:t xml:space="preserve"> has the meaning given by section 15.28 of the </w:t>
      </w:r>
      <w:r w:rsidRPr="009D1B8C">
        <w:rPr>
          <w:i/>
        </w:rPr>
        <w:t>Flexible Care Subsidy Principles 1997</w:t>
      </w:r>
      <w:r w:rsidRPr="009D1B8C">
        <w:t>.</w:t>
      </w:r>
    </w:p>
    <w:p w:rsidR="00A67313" w:rsidRPr="009D1B8C" w:rsidRDefault="00A67313" w:rsidP="00A67313">
      <w:pPr>
        <w:pStyle w:val="ActHead2"/>
        <w:pageBreakBefore/>
      </w:pPr>
      <w:bookmarkStart w:id="5" w:name="f_Check_Lines_above"/>
      <w:bookmarkStart w:id="6" w:name="_Toc379361517"/>
      <w:bookmarkEnd w:id="5"/>
      <w:r w:rsidRPr="009D1B8C">
        <w:rPr>
          <w:rStyle w:val="CharPartNo"/>
        </w:rPr>
        <w:lastRenderedPageBreak/>
        <w:t>Part 2</w:t>
      </w:r>
      <w:r w:rsidRPr="009D1B8C">
        <w:t>—</w:t>
      </w:r>
      <w:r w:rsidRPr="009D1B8C">
        <w:rPr>
          <w:rStyle w:val="CharPartText"/>
        </w:rPr>
        <w:t>Amount of home care subsidy</w:t>
      </w:r>
      <w:bookmarkEnd w:id="6"/>
    </w:p>
    <w:p w:rsidR="00A67313" w:rsidRPr="009D1B8C" w:rsidRDefault="00A67313" w:rsidP="00A67313">
      <w:pPr>
        <w:pStyle w:val="ActHead3"/>
      </w:pPr>
      <w:bookmarkStart w:id="7" w:name="_Toc379361518"/>
      <w:r w:rsidRPr="009D1B8C">
        <w:rPr>
          <w:rStyle w:val="CharDivNo"/>
        </w:rPr>
        <w:t>Division 2.1</w:t>
      </w:r>
      <w:r w:rsidRPr="009D1B8C">
        <w:t>—</w:t>
      </w:r>
      <w:r w:rsidRPr="009D1B8C">
        <w:rPr>
          <w:rStyle w:val="CharDivText"/>
        </w:rPr>
        <w:t>Amount of home care subsidy</w:t>
      </w:r>
      <w:bookmarkEnd w:id="7"/>
    </w:p>
    <w:p w:rsidR="00A67313" w:rsidRPr="009D1B8C" w:rsidRDefault="00A67313" w:rsidP="00A67313">
      <w:pPr>
        <w:pStyle w:val="ActHead5"/>
      </w:pPr>
      <w:bookmarkStart w:id="8" w:name="_Toc379361519"/>
      <w:r w:rsidRPr="009D1B8C">
        <w:rPr>
          <w:rStyle w:val="CharSectno"/>
        </w:rPr>
        <w:t>6</w:t>
      </w:r>
      <w:r w:rsidRPr="009D1B8C">
        <w:t xml:space="preserve">  Amount of home care subsidy</w:t>
      </w:r>
      <w:bookmarkEnd w:id="8"/>
    </w:p>
    <w:p w:rsidR="00A67313" w:rsidRPr="009D1B8C" w:rsidRDefault="00A67313" w:rsidP="00A67313">
      <w:pPr>
        <w:pStyle w:val="subsection"/>
      </w:pPr>
      <w:r w:rsidRPr="009D1B8C">
        <w:tab/>
        <w:t>(1)</w:t>
      </w:r>
      <w:r w:rsidRPr="009D1B8C">
        <w:tab/>
        <w:t>For subsection 48</w:t>
      </w:r>
      <w:r>
        <w:noBreakHyphen/>
      </w:r>
      <w:r w:rsidRPr="009D1B8C">
        <w:t>1(3) of the Act, the amount of home care subsidy payable to an approved provider in respect of a day for a care recipient receiving home care is the sum of the following amounts:</w:t>
      </w:r>
    </w:p>
    <w:p w:rsidR="00A67313" w:rsidRPr="009D1B8C" w:rsidRDefault="00A67313" w:rsidP="00A67313">
      <w:pPr>
        <w:pStyle w:val="paragraph"/>
      </w:pPr>
      <w:r w:rsidRPr="009D1B8C">
        <w:tab/>
        <w:t>(a)</w:t>
      </w:r>
      <w:r w:rsidRPr="009D1B8C">
        <w:tab/>
        <w:t>the basic subsidy amount in respect of that day worked out under Division 2.2;</w:t>
      </w:r>
    </w:p>
    <w:p w:rsidR="00A67313" w:rsidRPr="009D1B8C" w:rsidRDefault="00A67313" w:rsidP="00A67313">
      <w:pPr>
        <w:pStyle w:val="paragraph"/>
      </w:pPr>
      <w:r w:rsidRPr="009D1B8C">
        <w:tab/>
        <w:t>(b)</w:t>
      </w:r>
      <w:r w:rsidRPr="009D1B8C">
        <w:tab/>
        <w:t>the amount of the viability supplement in respect of that day worked out under Division 2.3;</w:t>
      </w:r>
    </w:p>
    <w:p w:rsidR="00A257AD" w:rsidRPr="009546C4" w:rsidRDefault="00A257AD" w:rsidP="009B2ACF">
      <w:pPr>
        <w:pStyle w:val="paragraph"/>
      </w:pPr>
      <w:r>
        <w:tab/>
      </w:r>
      <w:r w:rsidRPr="009546C4">
        <w:t>(c)</w:t>
      </w:r>
      <w:r w:rsidRPr="009546C4">
        <w:tab/>
        <w:t>the amount of the transitional workforce supplement (if applicable) in respect of that day worked out under Division 2.4;</w:t>
      </w:r>
    </w:p>
    <w:p w:rsidR="00A67313" w:rsidRPr="009D1B8C" w:rsidRDefault="00A67313" w:rsidP="00A67313">
      <w:pPr>
        <w:pStyle w:val="paragraph"/>
      </w:pPr>
      <w:r w:rsidRPr="009D1B8C">
        <w:tab/>
        <w:t>(d)</w:t>
      </w:r>
      <w:r w:rsidRPr="009D1B8C">
        <w:tab/>
        <w:t>the amount of the dementia and cognition supplement (if applicable) in respect of that day worked out under Division 2.5;</w:t>
      </w:r>
    </w:p>
    <w:p w:rsidR="00A67313" w:rsidRPr="009D1B8C" w:rsidRDefault="00A67313" w:rsidP="00A67313">
      <w:pPr>
        <w:pStyle w:val="paragraph"/>
      </w:pPr>
      <w:r w:rsidRPr="009D1B8C">
        <w:tab/>
        <w:t>(e)</w:t>
      </w:r>
      <w:r w:rsidRPr="009D1B8C">
        <w:tab/>
        <w:t>the amount of the veterans’ supplement (if applicable) in respect of that day worked out under Division 2.6;</w:t>
      </w:r>
    </w:p>
    <w:p w:rsidR="00A67313" w:rsidRPr="009D1B8C" w:rsidRDefault="00A67313" w:rsidP="00A67313">
      <w:pPr>
        <w:pStyle w:val="paragraph"/>
      </w:pPr>
      <w:r w:rsidRPr="009D1B8C">
        <w:tab/>
        <w:t>(f)</w:t>
      </w:r>
      <w:r w:rsidRPr="009D1B8C">
        <w:tab/>
        <w:t>the amount of the top</w:t>
      </w:r>
      <w:r>
        <w:noBreakHyphen/>
      </w:r>
      <w:r w:rsidRPr="009D1B8C">
        <w:t>up supplement (if applicable) in respect of that day worked out under Division 2.7;</w:t>
      </w:r>
    </w:p>
    <w:p w:rsidR="00A67313" w:rsidRPr="009D1B8C" w:rsidRDefault="00A67313" w:rsidP="00A67313">
      <w:pPr>
        <w:pStyle w:val="paragraph"/>
      </w:pPr>
      <w:r w:rsidRPr="009D1B8C">
        <w:tab/>
        <w:t>(g)</w:t>
      </w:r>
      <w:r w:rsidRPr="009D1B8C">
        <w:tab/>
        <w:t>the amount of the oxygen supplement (if applicable) that would be payable in respect of that day if the care recipient were receiving residential care on that day;</w:t>
      </w:r>
    </w:p>
    <w:p w:rsidR="00A67313" w:rsidRPr="009D1B8C" w:rsidRDefault="00A67313" w:rsidP="00A67313">
      <w:pPr>
        <w:pStyle w:val="paragraph"/>
      </w:pPr>
      <w:r w:rsidRPr="009D1B8C">
        <w:tab/>
        <w:t>(h)</w:t>
      </w:r>
      <w:r w:rsidRPr="009D1B8C">
        <w:tab/>
        <w:t>the amount of the enteral feeding supplement (if applicable) that would be payable in respect of that day if the care recipient were receiving residential care on that day.</w:t>
      </w:r>
    </w:p>
    <w:p w:rsidR="00A67313" w:rsidRPr="009D1B8C" w:rsidRDefault="00A67313" w:rsidP="00A67313">
      <w:pPr>
        <w:pStyle w:val="subsection"/>
      </w:pPr>
      <w:r w:rsidRPr="009D1B8C">
        <w:tab/>
        <w:t>(2)</w:t>
      </w:r>
      <w:r w:rsidRPr="009D1B8C">
        <w:tab/>
        <w:t>However, if the provision of home care to a care recipient is suspended, under section 46</w:t>
      </w:r>
      <w:r>
        <w:noBreakHyphen/>
      </w:r>
      <w:r w:rsidRPr="009D1B8C">
        <w:t>2 of the Act, on a day mentioned in paragraph 8(2)(b), (4)(b) or (5)(b):</w:t>
      </w:r>
    </w:p>
    <w:p w:rsidR="00A67313" w:rsidRPr="009D1B8C" w:rsidRDefault="00A67313" w:rsidP="00A67313">
      <w:pPr>
        <w:pStyle w:val="paragraph"/>
      </w:pPr>
      <w:r w:rsidRPr="009D1B8C">
        <w:tab/>
        <w:t>(a)</w:t>
      </w:r>
      <w:r w:rsidRPr="009D1B8C">
        <w:tab/>
        <w:t>the amount of home care subsidy payable to an approved provider for the care recipient in respect of that day is the sum of the following amounts:</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the amount mentioned in that paragraph;</w:t>
      </w:r>
    </w:p>
    <w:p w:rsidR="00A67313" w:rsidRPr="009D1B8C" w:rsidRDefault="00A67313" w:rsidP="00A67313">
      <w:pPr>
        <w:pStyle w:val="paragraphsub"/>
      </w:pPr>
      <w:r w:rsidRPr="009D1B8C">
        <w:tab/>
        <w:t>(ii)</w:t>
      </w:r>
      <w:r w:rsidRPr="009D1B8C">
        <w:tab/>
        <w:t>the amount of the viability supplement in respect of that day worked out under Division 2.3;</w:t>
      </w:r>
    </w:p>
    <w:p w:rsidR="00A67313" w:rsidRPr="009D1B8C" w:rsidRDefault="00A67313" w:rsidP="00A67313">
      <w:pPr>
        <w:pStyle w:val="paragraphsub"/>
      </w:pPr>
      <w:r w:rsidRPr="009D1B8C">
        <w:tab/>
        <w:t>(iii)</w:t>
      </w:r>
      <w:r w:rsidRPr="009D1B8C">
        <w:tab/>
        <w:t>the amount of the workforce supplement (if applicable) in respect of that day worked out under Division 2.4; and</w:t>
      </w:r>
    </w:p>
    <w:p w:rsidR="00A67313" w:rsidRPr="009D1B8C" w:rsidRDefault="00A67313" w:rsidP="00A67313">
      <w:pPr>
        <w:pStyle w:val="paragraph"/>
      </w:pPr>
      <w:r w:rsidRPr="009D1B8C">
        <w:tab/>
        <w:t>(b)</w:t>
      </w:r>
      <w:r w:rsidRPr="009D1B8C">
        <w:tab/>
        <w:t>no amount of a supplement mentioned in paragraphs (1)(d) to (h) is payable in respect of that day.</w:t>
      </w:r>
    </w:p>
    <w:p w:rsidR="00A67313" w:rsidRPr="009D1B8C" w:rsidRDefault="00A67313" w:rsidP="00D05789">
      <w:pPr>
        <w:pStyle w:val="ActHead3"/>
        <w:pageBreakBefore/>
      </w:pPr>
      <w:bookmarkStart w:id="9" w:name="_Toc379361520"/>
      <w:r w:rsidRPr="009D1B8C">
        <w:rPr>
          <w:rStyle w:val="CharDivNo"/>
        </w:rPr>
        <w:lastRenderedPageBreak/>
        <w:t>Division 2.2</w:t>
      </w:r>
      <w:r w:rsidRPr="009D1B8C">
        <w:t>—</w:t>
      </w:r>
      <w:r w:rsidRPr="009D1B8C">
        <w:rPr>
          <w:rStyle w:val="CharDivText"/>
        </w:rPr>
        <w:t>Basic subsidy</w:t>
      </w:r>
      <w:bookmarkEnd w:id="9"/>
    </w:p>
    <w:p w:rsidR="00A67313" w:rsidRPr="009D1B8C" w:rsidRDefault="00A67313" w:rsidP="00A67313">
      <w:pPr>
        <w:pStyle w:val="ActHead5"/>
      </w:pPr>
      <w:bookmarkStart w:id="10" w:name="_Toc379361521"/>
      <w:r w:rsidRPr="009D1B8C">
        <w:rPr>
          <w:rStyle w:val="CharSectno"/>
        </w:rPr>
        <w:t>7</w:t>
      </w:r>
      <w:r w:rsidRPr="009D1B8C">
        <w:t xml:space="preserve">  Basic subsidy amount—general</w:t>
      </w:r>
      <w:bookmarkEnd w:id="10"/>
    </w:p>
    <w:p w:rsidR="00A67313" w:rsidRPr="009D1B8C" w:rsidRDefault="00A67313" w:rsidP="00A67313">
      <w:pPr>
        <w:pStyle w:val="subsection"/>
      </w:pPr>
      <w:r w:rsidRPr="009D1B8C">
        <w:tab/>
      </w:r>
      <w:r w:rsidRPr="009D1B8C">
        <w:tab/>
        <w:t>Subject to section 8, the basic subsidy amount payable in respect of a day for a care recipient is the amount mentioned in the following table that corresponds to the level of home care mentioned in the table that the care recipient received on that day.</w:t>
      </w:r>
    </w:p>
    <w:p w:rsidR="00A67313" w:rsidRPr="009D1B8C" w:rsidRDefault="00A67313" w:rsidP="00A6731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9"/>
        <w:gridCol w:w="3799"/>
      </w:tblGrid>
      <w:tr w:rsidR="00A67313" w:rsidRPr="009D1B8C" w:rsidTr="00A67313">
        <w:trPr>
          <w:tblHeader/>
        </w:trPr>
        <w:tc>
          <w:tcPr>
            <w:tcW w:w="8312" w:type="dxa"/>
            <w:gridSpan w:val="3"/>
            <w:tcBorders>
              <w:top w:val="single" w:sz="12" w:space="0" w:color="auto"/>
              <w:bottom w:val="single" w:sz="6" w:space="0" w:color="auto"/>
            </w:tcBorders>
            <w:shd w:val="clear" w:color="auto" w:fill="auto"/>
          </w:tcPr>
          <w:p w:rsidR="00A67313" w:rsidRPr="009D1B8C" w:rsidRDefault="00A67313" w:rsidP="00A67313">
            <w:pPr>
              <w:pStyle w:val="TableHeading"/>
            </w:pPr>
            <w:r w:rsidRPr="009D1B8C">
              <w:t>Basic subsidy amount</w:t>
            </w:r>
          </w:p>
        </w:tc>
      </w:tr>
      <w:tr w:rsidR="00A67313" w:rsidRPr="009D1B8C" w:rsidTr="00A67313">
        <w:trPr>
          <w:tblHeader/>
        </w:trPr>
        <w:tc>
          <w:tcPr>
            <w:tcW w:w="714" w:type="dxa"/>
            <w:tcBorders>
              <w:top w:val="single" w:sz="6" w:space="0" w:color="auto"/>
              <w:bottom w:val="single" w:sz="12" w:space="0" w:color="auto"/>
            </w:tcBorders>
            <w:shd w:val="clear" w:color="auto" w:fill="auto"/>
          </w:tcPr>
          <w:p w:rsidR="00A67313" w:rsidRPr="009D1B8C" w:rsidRDefault="00A67313" w:rsidP="00A67313">
            <w:pPr>
              <w:pStyle w:val="TableHeading"/>
            </w:pPr>
            <w:r w:rsidRPr="009D1B8C">
              <w:t>Item</w:t>
            </w:r>
          </w:p>
        </w:tc>
        <w:tc>
          <w:tcPr>
            <w:tcW w:w="3799" w:type="dxa"/>
            <w:tcBorders>
              <w:top w:val="single" w:sz="6" w:space="0" w:color="auto"/>
              <w:bottom w:val="single" w:sz="12" w:space="0" w:color="auto"/>
            </w:tcBorders>
            <w:shd w:val="clear" w:color="auto" w:fill="auto"/>
          </w:tcPr>
          <w:p w:rsidR="00A67313" w:rsidRPr="009D1B8C" w:rsidRDefault="00A67313" w:rsidP="00A67313">
            <w:pPr>
              <w:pStyle w:val="TableHeading"/>
            </w:pPr>
            <w:r w:rsidRPr="009D1B8C">
              <w:t>Level of home care</w:t>
            </w:r>
          </w:p>
        </w:tc>
        <w:tc>
          <w:tcPr>
            <w:tcW w:w="3799" w:type="dxa"/>
            <w:tcBorders>
              <w:top w:val="single" w:sz="6" w:space="0" w:color="auto"/>
              <w:bottom w:val="single" w:sz="12" w:space="0" w:color="auto"/>
            </w:tcBorders>
            <w:shd w:val="clear" w:color="auto" w:fill="auto"/>
          </w:tcPr>
          <w:p w:rsidR="00A67313" w:rsidRPr="009D1B8C" w:rsidRDefault="00A67313" w:rsidP="00A67313">
            <w:pPr>
              <w:pStyle w:val="TableHeading"/>
            </w:pPr>
            <w:r w:rsidRPr="009D1B8C">
              <w:t>Amount</w:t>
            </w:r>
          </w:p>
        </w:tc>
      </w:tr>
      <w:tr w:rsidR="00A67313" w:rsidRPr="009D1B8C" w:rsidTr="00A67313">
        <w:tc>
          <w:tcPr>
            <w:tcW w:w="714" w:type="dxa"/>
            <w:tcBorders>
              <w:top w:val="single" w:sz="12" w:space="0" w:color="auto"/>
            </w:tcBorders>
            <w:shd w:val="clear" w:color="auto" w:fill="auto"/>
          </w:tcPr>
          <w:p w:rsidR="00A67313" w:rsidRPr="009D1B8C" w:rsidRDefault="00A67313" w:rsidP="00A67313">
            <w:pPr>
              <w:pStyle w:val="Tabletext"/>
            </w:pPr>
            <w:r w:rsidRPr="009D1B8C">
              <w:t>1</w:t>
            </w:r>
          </w:p>
        </w:tc>
        <w:tc>
          <w:tcPr>
            <w:tcW w:w="3799" w:type="dxa"/>
            <w:tcBorders>
              <w:top w:val="single" w:sz="12" w:space="0" w:color="auto"/>
            </w:tcBorders>
            <w:shd w:val="clear" w:color="auto" w:fill="auto"/>
          </w:tcPr>
          <w:p w:rsidR="00A67313" w:rsidRPr="009D1B8C" w:rsidRDefault="00A67313" w:rsidP="00A67313">
            <w:pPr>
              <w:pStyle w:val="Tabletext"/>
            </w:pPr>
            <w:r w:rsidRPr="009D1B8C">
              <w:t>Level 1</w:t>
            </w:r>
          </w:p>
        </w:tc>
        <w:tc>
          <w:tcPr>
            <w:tcW w:w="3799" w:type="dxa"/>
            <w:tcBorders>
              <w:top w:val="single" w:sz="12" w:space="0" w:color="auto"/>
            </w:tcBorders>
            <w:shd w:val="clear" w:color="auto" w:fill="auto"/>
          </w:tcPr>
          <w:p w:rsidR="00A67313" w:rsidRPr="009D1B8C" w:rsidRDefault="00A67313" w:rsidP="00A67313">
            <w:pPr>
              <w:pStyle w:val="Tabletext"/>
            </w:pPr>
            <w:r w:rsidRPr="009D1B8C">
              <w:t>$20.55</w:t>
            </w:r>
          </w:p>
        </w:tc>
      </w:tr>
      <w:tr w:rsidR="00A67313" w:rsidRPr="009D1B8C" w:rsidTr="00A67313">
        <w:tc>
          <w:tcPr>
            <w:tcW w:w="714" w:type="dxa"/>
            <w:shd w:val="clear" w:color="auto" w:fill="auto"/>
          </w:tcPr>
          <w:p w:rsidR="00A67313" w:rsidRPr="009D1B8C" w:rsidRDefault="00A67313" w:rsidP="00A67313">
            <w:pPr>
              <w:pStyle w:val="Tabletext"/>
            </w:pPr>
            <w:r w:rsidRPr="009D1B8C">
              <w:t>2</w:t>
            </w:r>
          </w:p>
        </w:tc>
        <w:tc>
          <w:tcPr>
            <w:tcW w:w="3799" w:type="dxa"/>
            <w:shd w:val="clear" w:color="auto" w:fill="auto"/>
          </w:tcPr>
          <w:p w:rsidR="00A67313" w:rsidRPr="009D1B8C" w:rsidRDefault="00A67313" w:rsidP="00A67313">
            <w:pPr>
              <w:pStyle w:val="Tabletext"/>
            </w:pPr>
            <w:r w:rsidRPr="009D1B8C">
              <w:t>Level 2</w:t>
            </w:r>
          </w:p>
        </w:tc>
        <w:tc>
          <w:tcPr>
            <w:tcW w:w="3799" w:type="dxa"/>
            <w:shd w:val="clear" w:color="auto" w:fill="auto"/>
          </w:tcPr>
          <w:p w:rsidR="00A67313" w:rsidRPr="009D1B8C" w:rsidRDefault="00A67313" w:rsidP="00A67313">
            <w:pPr>
              <w:pStyle w:val="Tabletext"/>
            </w:pPr>
            <w:r w:rsidRPr="009D1B8C">
              <w:t>$37.38</w:t>
            </w:r>
          </w:p>
        </w:tc>
      </w:tr>
      <w:tr w:rsidR="00A67313" w:rsidRPr="009D1B8C" w:rsidTr="00A67313">
        <w:tc>
          <w:tcPr>
            <w:tcW w:w="714" w:type="dxa"/>
            <w:tcBorders>
              <w:bottom w:val="single" w:sz="4" w:space="0" w:color="auto"/>
            </w:tcBorders>
            <w:shd w:val="clear" w:color="auto" w:fill="auto"/>
          </w:tcPr>
          <w:p w:rsidR="00A67313" w:rsidRPr="009D1B8C" w:rsidRDefault="00A67313" w:rsidP="00A67313">
            <w:pPr>
              <w:pStyle w:val="Tabletext"/>
            </w:pPr>
            <w:r w:rsidRPr="009D1B8C">
              <w:t>3</w:t>
            </w:r>
          </w:p>
        </w:tc>
        <w:tc>
          <w:tcPr>
            <w:tcW w:w="3799" w:type="dxa"/>
            <w:tcBorders>
              <w:bottom w:val="single" w:sz="4" w:space="0" w:color="auto"/>
            </w:tcBorders>
            <w:shd w:val="clear" w:color="auto" w:fill="auto"/>
          </w:tcPr>
          <w:p w:rsidR="00A67313" w:rsidRPr="009D1B8C" w:rsidRDefault="00A67313" w:rsidP="00A67313">
            <w:pPr>
              <w:pStyle w:val="Tabletext"/>
            </w:pPr>
            <w:r w:rsidRPr="009D1B8C">
              <w:t>Level 3</w:t>
            </w:r>
          </w:p>
        </w:tc>
        <w:tc>
          <w:tcPr>
            <w:tcW w:w="3799" w:type="dxa"/>
            <w:tcBorders>
              <w:bottom w:val="single" w:sz="4" w:space="0" w:color="auto"/>
            </w:tcBorders>
            <w:shd w:val="clear" w:color="auto" w:fill="auto"/>
          </w:tcPr>
          <w:p w:rsidR="00A67313" w:rsidRPr="009D1B8C" w:rsidRDefault="00A67313" w:rsidP="00A67313">
            <w:pPr>
              <w:pStyle w:val="Tabletext"/>
            </w:pPr>
            <w:r w:rsidRPr="009D1B8C">
              <w:t>$82.20</w:t>
            </w:r>
          </w:p>
        </w:tc>
      </w:tr>
      <w:tr w:rsidR="00A67313" w:rsidRPr="009D1B8C" w:rsidTr="00A67313">
        <w:tc>
          <w:tcPr>
            <w:tcW w:w="714" w:type="dxa"/>
            <w:tcBorders>
              <w:bottom w:val="single" w:sz="12" w:space="0" w:color="auto"/>
            </w:tcBorders>
            <w:shd w:val="clear" w:color="auto" w:fill="auto"/>
          </w:tcPr>
          <w:p w:rsidR="00A67313" w:rsidRPr="009D1B8C" w:rsidRDefault="00A67313" w:rsidP="00A67313">
            <w:pPr>
              <w:pStyle w:val="Tabletext"/>
            </w:pPr>
            <w:r w:rsidRPr="009D1B8C">
              <w:t>4</w:t>
            </w:r>
          </w:p>
        </w:tc>
        <w:tc>
          <w:tcPr>
            <w:tcW w:w="3799" w:type="dxa"/>
            <w:tcBorders>
              <w:bottom w:val="single" w:sz="12" w:space="0" w:color="auto"/>
            </w:tcBorders>
            <w:shd w:val="clear" w:color="auto" w:fill="auto"/>
          </w:tcPr>
          <w:p w:rsidR="00A67313" w:rsidRPr="009D1B8C" w:rsidRDefault="00A67313" w:rsidP="00A67313">
            <w:pPr>
              <w:pStyle w:val="Tabletext"/>
            </w:pPr>
            <w:r w:rsidRPr="009D1B8C">
              <w:t>Level 4</w:t>
            </w:r>
          </w:p>
        </w:tc>
        <w:tc>
          <w:tcPr>
            <w:tcW w:w="3799" w:type="dxa"/>
            <w:tcBorders>
              <w:bottom w:val="single" w:sz="12" w:space="0" w:color="auto"/>
            </w:tcBorders>
            <w:shd w:val="clear" w:color="auto" w:fill="auto"/>
          </w:tcPr>
          <w:p w:rsidR="00A67313" w:rsidRPr="009D1B8C" w:rsidRDefault="00A67313" w:rsidP="00A67313">
            <w:pPr>
              <w:pStyle w:val="Tabletext"/>
            </w:pPr>
            <w:r w:rsidRPr="009D1B8C">
              <w:t>$124.95</w:t>
            </w:r>
          </w:p>
        </w:tc>
      </w:tr>
    </w:tbl>
    <w:p w:rsidR="00A67313" w:rsidRPr="009D1B8C" w:rsidRDefault="00A67313" w:rsidP="001C0187">
      <w:pPr>
        <w:pStyle w:val="Tabletext"/>
        <w:spacing w:before="0"/>
      </w:pPr>
    </w:p>
    <w:p w:rsidR="00A67313" w:rsidRPr="009D1B8C" w:rsidRDefault="00A67313" w:rsidP="00A67313">
      <w:pPr>
        <w:pStyle w:val="ActHead5"/>
      </w:pPr>
      <w:bookmarkStart w:id="11" w:name="_Toc379361522"/>
      <w:r w:rsidRPr="009D1B8C">
        <w:rPr>
          <w:rStyle w:val="CharSectno"/>
        </w:rPr>
        <w:t>8</w:t>
      </w:r>
      <w:r w:rsidRPr="009D1B8C">
        <w:t xml:space="preserve">  Basic subsidy amount—during suspension period</w:t>
      </w:r>
      <w:bookmarkEnd w:id="11"/>
    </w:p>
    <w:p w:rsidR="00A67313" w:rsidRPr="009D1B8C" w:rsidRDefault="00A67313" w:rsidP="00A67313">
      <w:pPr>
        <w:pStyle w:val="subsection"/>
      </w:pPr>
      <w:r w:rsidRPr="009D1B8C">
        <w:tab/>
        <w:t>(1)</w:t>
      </w:r>
      <w:r w:rsidRPr="009D1B8C">
        <w:tab/>
        <w:t>If the provision of home care to a care recipient is suspended, on a temporary basis, under section 46</w:t>
      </w:r>
      <w:r>
        <w:noBreakHyphen/>
      </w:r>
      <w:r w:rsidRPr="009D1B8C">
        <w:t>2 of the Act, the basic subsidy amount payable for the care recipient in respect of a day during the suspension period is the amount worked out in accordance with subsection (2), (4) or (5).</w:t>
      </w:r>
    </w:p>
    <w:p w:rsidR="00A67313" w:rsidRPr="009D1B8C" w:rsidRDefault="00A67313" w:rsidP="00A67313">
      <w:pPr>
        <w:pStyle w:val="notetext"/>
      </w:pPr>
      <w:r w:rsidRPr="009D1B8C">
        <w:t>Note:</w:t>
      </w:r>
      <w:r w:rsidRPr="009D1B8C">
        <w:tab/>
        <w:t xml:space="preserve">The home care agreement under which the home care is provided is taken to remain in force during the suspension period, and the care recipient is taken to have been provided with home care, as required by the agreement, on each day of the suspension period: see the </w:t>
      </w:r>
      <w:r w:rsidRPr="009D1B8C">
        <w:rPr>
          <w:i/>
        </w:rPr>
        <w:t>Home Care Subsidy Principles 2013</w:t>
      </w:r>
      <w:r w:rsidRPr="009D1B8C">
        <w:t>.</w:t>
      </w:r>
    </w:p>
    <w:p w:rsidR="00A67313" w:rsidRPr="009D1B8C" w:rsidRDefault="00A67313" w:rsidP="00A67313">
      <w:pPr>
        <w:pStyle w:val="subsection"/>
      </w:pPr>
      <w:r w:rsidRPr="009D1B8C">
        <w:tab/>
        <w:t>(2)</w:t>
      </w:r>
      <w:r w:rsidRPr="009D1B8C">
        <w:tab/>
        <w:t>If the provision of home care is suspended because the care recipient is receiving transition care, or is attending hospital for the purpose of receiving hospital treatment, the amount is the following:</w:t>
      </w:r>
    </w:p>
    <w:p w:rsidR="00A67313" w:rsidRPr="009D1B8C" w:rsidRDefault="00A67313" w:rsidP="00A67313">
      <w:pPr>
        <w:pStyle w:val="paragraph"/>
      </w:pPr>
      <w:r w:rsidRPr="009D1B8C">
        <w:tab/>
        <w:t>(a)</w:t>
      </w:r>
      <w:r w:rsidRPr="009D1B8C">
        <w:tab/>
        <w:t>for up to 28 consecutive days in the suspension period—the amount mentioned in the table in section 7 for the level of home care that the care recipient is taken to have been provided with on the day;</w:t>
      </w:r>
    </w:p>
    <w:p w:rsidR="00A67313" w:rsidRPr="009D1B8C" w:rsidRDefault="00A67313" w:rsidP="00A67313">
      <w:pPr>
        <w:pStyle w:val="paragraph"/>
      </w:pPr>
      <w:r w:rsidRPr="009D1B8C">
        <w:tab/>
        <w:t>(b)</w:t>
      </w:r>
      <w:r w:rsidRPr="009D1B8C">
        <w:tab/>
        <w:t>for a subsequent consecutive day in the suspension period—the amount that is 25% of the amount mentioned in the table in section 7 for the level of home care that the care recipient is taken to have been provided with on the day.</w:t>
      </w:r>
    </w:p>
    <w:p w:rsidR="00A67313" w:rsidRPr="009D1B8C" w:rsidRDefault="00A67313" w:rsidP="00A67313">
      <w:pPr>
        <w:pStyle w:val="subsection"/>
      </w:pPr>
      <w:r w:rsidRPr="009D1B8C">
        <w:tab/>
        <w:t>(3)</w:t>
      </w:r>
      <w:r w:rsidRPr="009D1B8C">
        <w:tab/>
        <w:t>If a suspension period starts in a financial year and ends in the next financial year, then, for the purpose of calculating the number of consecutive days in subsection (2), the number of days restarts on 1 July of that next financial year.</w:t>
      </w:r>
    </w:p>
    <w:p w:rsidR="00A67313" w:rsidRPr="009D1B8C" w:rsidRDefault="00A67313" w:rsidP="00A67313">
      <w:pPr>
        <w:pStyle w:val="subsection"/>
      </w:pPr>
      <w:r w:rsidRPr="009D1B8C">
        <w:tab/>
        <w:t>(4)</w:t>
      </w:r>
      <w:r w:rsidRPr="009D1B8C">
        <w:tab/>
        <w:t>If the provision of home care is suspended because the care recipient is receiving respite care for which subsidy is payable to an approved provider, the amount is the following:</w:t>
      </w:r>
    </w:p>
    <w:p w:rsidR="00A67313" w:rsidRPr="009D1B8C" w:rsidRDefault="00A67313" w:rsidP="00A67313">
      <w:pPr>
        <w:pStyle w:val="paragraph"/>
      </w:pPr>
      <w:r w:rsidRPr="009D1B8C">
        <w:tab/>
        <w:t>(a)</w:t>
      </w:r>
      <w:r w:rsidRPr="009D1B8C">
        <w:tab/>
        <w:t xml:space="preserve">for up to 28 days in a financial year when the provision of home care is suspended because the care recipient is receiving the respite care—the </w:t>
      </w:r>
      <w:r w:rsidRPr="009D1B8C">
        <w:lastRenderedPageBreak/>
        <w:t>amount mentioned in the table in section 7 for the level of home care that the care recipient is taken to have been provided with on the day;</w:t>
      </w:r>
    </w:p>
    <w:p w:rsidR="00A67313" w:rsidRPr="009D1B8C" w:rsidRDefault="00A67313" w:rsidP="00A67313">
      <w:pPr>
        <w:pStyle w:val="paragraph"/>
      </w:pPr>
      <w:r w:rsidRPr="009D1B8C">
        <w:tab/>
        <w:t>(b)</w:t>
      </w:r>
      <w:r w:rsidRPr="009D1B8C">
        <w:tab/>
        <w:t>for a subsequent day in the financial year when the provision of home care is suspended because the care recipient is receiving the respite care—the amount that is 25% of the amount mentioned in the table in section 7 for the level of home care that the care recipient is taken to have been provided with on the day.</w:t>
      </w:r>
    </w:p>
    <w:p w:rsidR="00A67313" w:rsidRPr="009D1B8C" w:rsidRDefault="00A67313" w:rsidP="00A67313">
      <w:pPr>
        <w:pStyle w:val="notetext"/>
      </w:pPr>
      <w:r w:rsidRPr="009D1B8C">
        <w:t>Note:</w:t>
      </w:r>
      <w:r w:rsidRPr="009D1B8C">
        <w:tab/>
        <w:t>The 28 days mentioned in paragraph (a) do not need to be consecutive days.</w:t>
      </w:r>
    </w:p>
    <w:p w:rsidR="00A67313" w:rsidRPr="009D1B8C" w:rsidRDefault="00A67313" w:rsidP="00A67313">
      <w:pPr>
        <w:pStyle w:val="subsection"/>
      </w:pPr>
      <w:r w:rsidRPr="009D1B8C">
        <w:tab/>
        <w:t>(5)</w:t>
      </w:r>
      <w:r w:rsidRPr="009D1B8C">
        <w:tab/>
        <w:t>If the provision of home care is suspended for a reason other than those mentioned in subsection (2) or (4), the amount is the following:</w:t>
      </w:r>
    </w:p>
    <w:p w:rsidR="00A67313" w:rsidRPr="009D1B8C" w:rsidRDefault="00A67313" w:rsidP="00A67313">
      <w:pPr>
        <w:pStyle w:val="paragraph"/>
      </w:pPr>
      <w:r w:rsidRPr="009D1B8C">
        <w:tab/>
        <w:t>(a)</w:t>
      </w:r>
      <w:r w:rsidRPr="009D1B8C">
        <w:tab/>
        <w:t>for up to 28 days in a financial year when the provision of home care to the care recipient is suspended for a reason other than those mentioned in subsection (2) or (4)—the amount mentioned in the table in section 7 for the level of home care that the care recipient is taken to have been provided with on the day;</w:t>
      </w:r>
    </w:p>
    <w:p w:rsidR="00A67313" w:rsidRPr="009D1B8C" w:rsidRDefault="00A67313" w:rsidP="00A67313">
      <w:pPr>
        <w:pStyle w:val="paragraph"/>
      </w:pPr>
      <w:r w:rsidRPr="009D1B8C">
        <w:tab/>
        <w:t>(b)</w:t>
      </w:r>
      <w:r w:rsidRPr="009D1B8C">
        <w:tab/>
        <w:t>for a subsequent day in the financial year when the provision of home care to the care recipient is suspended for a reason other than those mentioned in subsection (2) or (4)—the amount that is 25% of the amount mentioned in the table in section 7 for the level of home care that the care recipient is taken to have been provided with on the day.</w:t>
      </w:r>
    </w:p>
    <w:p w:rsidR="00A67313" w:rsidRPr="009D1B8C" w:rsidRDefault="00A67313" w:rsidP="00A67313">
      <w:pPr>
        <w:pStyle w:val="notetext"/>
      </w:pPr>
      <w:r w:rsidRPr="009D1B8C">
        <w:t>Note:</w:t>
      </w:r>
      <w:r w:rsidRPr="009D1B8C">
        <w:tab/>
        <w:t>The 28 days mentioned in paragraph (a) do not need to be consecutive days.</w:t>
      </w:r>
    </w:p>
    <w:p w:rsidR="00A67313" w:rsidRPr="009D1B8C" w:rsidRDefault="00A67313" w:rsidP="00A67313">
      <w:pPr>
        <w:pStyle w:val="subsection"/>
      </w:pPr>
      <w:r w:rsidRPr="009D1B8C">
        <w:tab/>
        <w:t>(6)</w:t>
      </w:r>
      <w:r w:rsidRPr="009D1B8C">
        <w:tab/>
        <w:t xml:space="preserve">If the care recipient transfers from one level of home care (the </w:t>
      </w:r>
      <w:r w:rsidRPr="009D1B8C">
        <w:rPr>
          <w:b/>
          <w:i/>
        </w:rPr>
        <w:t>previous level of home care</w:t>
      </w:r>
      <w:r w:rsidRPr="009D1B8C">
        <w:t xml:space="preserve">) to another level of home care (the </w:t>
      </w:r>
      <w:r w:rsidRPr="009D1B8C">
        <w:rPr>
          <w:b/>
          <w:i/>
        </w:rPr>
        <w:t>new level of home care</w:t>
      </w:r>
      <w:r w:rsidRPr="009D1B8C">
        <w:t>) during a financial year, then, for the purpose of calculating a number of days for subsection (2), (4) or (5) for the new level of home care, any days when the provision of the previous level of home care was suspended are to be disregarded.</w:t>
      </w:r>
    </w:p>
    <w:p w:rsidR="00A67313" w:rsidRPr="009D1B8C" w:rsidRDefault="00A67313" w:rsidP="00A67313">
      <w:pPr>
        <w:pStyle w:val="ActHead3"/>
        <w:pageBreakBefore/>
      </w:pPr>
      <w:bookmarkStart w:id="12" w:name="_Toc379361523"/>
      <w:r w:rsidRPr="009D1B8C">
        <w:rPr>
          <w:rStyle w:val="CharDivNo"/>
        </w:rPr>
        <w:lastRenderedPageBreak/>
        <w:t>Division 2.3</w:t>
      </w:r>
      <w:r w:rsidRPr="009D1B8C">
        <w:t>—</w:t>
      </w:r>
      <w:r w:rsidRPr="009D1B8C">
        <w:rPr>
          <w:rStyle w:val="CharDivText"/>
        </w:rPr>
        <w:t>Viability supplement</w:t>
      </w:r>
      <w:bookmarkEnd w:id="12"/>
    </w:p>
    <w:p w:rsidR="00A67313" w:rsidRPr="009D1B8C" w:rsidRDefault="00A67313" w:rsidP="00A67313">
      <w:pPr>
        <w:pStyle w:val="ActHead5"/>
      </w:pPr>
      <w:bookmarkStart w:id="13" w:name="_Toc379361524"/>
      <w:r w:rsidRPr="009D1B8C">
        <w:rPr>
          <w:rStyle w:val="CharSectno"/>
        </w:rPr>
        <w:t>9</w:t>
      </w:r>
      <w:r w:rsidRPr="009D1B8C">
        <w:t xml:space="preserve">  Viability supplement amount</w:t>
      </w:r>
      <w:bookmarkEnd w:id="13"/>
    </w:p>
    <w:p w:rsidR="00A67313" w:rsidRPr="009D1B8C" w:rsidRDefault="00A67313" w:rsidP="00A67313">
      <w:pPr>
        <w:pStyle w:val="subsection"/>
      </w:pPr>
      <w:r w:rsidRPr="009D1B8C">
        <w:tab/>
      </w:r>
      <w:r w:rsidRPr="009D1B8C">
        <w:tab/>
        <w:t>The amount of the viability supplement payable in respect of a day for a care recipient is the amount mentioned in the following table that corresponds to the ARIA value for the location where the care recipient resided on that day.</w:t>
      </w:r>
    </w:p>
    <w:p w:rsidR="00A67313" w:rsidRPr="009D1B8C" w:rsidRDefault="00A67313" w:rsidP="00A67313">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799"/>
        <w:gridCol w:w="3799"/>
      </w:tblGrid>
      <w:tr w:rsidR="00A67313" w:rsidRPr="009D1B8C" w:rsidTr="00A67313">
        <w:trPr>
          <w:tblHeader/>
        </w:trPr>
        <w:tc>
          <w:tcPr>
            <w:tcW w:w="8312" w:type="dxa"/>
            <w:gridSpan w:val="3"/>
            <w:tcBorders>
              <w:top w:val="single" w:sz="12" w:space="0" w:color="auto"/>
              <w:bottom w:val="single" w:sz="6" w:space="0" w:color="auto"/>
            </w:tcBorders>
            <w:shd w:val="clear" w:color="auto" w:fill="auto"/>
          </w:tcPr>
          <w:p w:rsidR="00A67313" w:rsidRPr="009D1B8C" w:rsidRDefault="00A67313" w:rsidP="00A67313">
            <w:pPr>
              <w:pStyle w:val="TableHeading"/>
            </w:pPr>
            <w:r w:rsidRPr="009D1B8C">
              <w:t>Amount of viability supplement</w:t>
            </w:r>
          </w:p>
        </w:tc>
      </w:tr>
      <w:tr w:rsidR="00A67313" w:rsidRPr="009D1B8C" w:rsidTr="00A67313">
        <w:trPr>
          <w:tblHeader/>
        </w:trPr>
        <w:tc>
          <w:tcPr>
            <w:tcW w:w="714" w:type="dxa"/>
            <w:tcBorders>
              <w:top w:val="single" w:sz="6" w:space="0" w:color="auto"/>
              <w:bottom w:val="single" w:sz="12" w:space="0" w:color="auto"/>
            </w:tcBorders>
            <w:shd w:val="clear" w:color="auto" w:fill="auto"/>
          </w:tcPr>
          <w:p w:rsidR="00A67313" w:rsidRPr="009D1B8C" w:rsidRDefault="00A67313" w:rsidP="00A67313">
            <w:pPr>
              <w:pStyle w:val="TableHeading"/>
            </w:pPr>
            <w:r w:rsidRPr="009D1B8C">
              <w:t>Item</w:t>
            </w:r>
          </w:p>
        </w:tc>
        <w:tc>
          <w:tcPr>
            <w:tcW w:w="3799" w:type="dxa"/>
            <w:tcBorders>
              <w:top w:val="single" w:sz="6" w:space="0" w:color="auto"/>
              <w:bottom w:val="single" w:sz="12" w:space="0" w:color="auto"/>
            </w:tcBorders>
            <w:shd w:val="clear" w:color="auto" w:fill="auto"/>
          </w:tcPr>
          <w:p w:rsidR="00A67313" w:rsidRPr="009D1B8C" w:rsidRDefault="00A67313" w:rsidP="00A67313">
            <w:pPr>
              <w:pStyle w:val="TableHeading"/>
            </w:pPr>
            <w:r w:rsidRPr="009D1B8C">
              <w:t>ARIA value</w:t>
            </w:r>
          </w:p>
        </w:tc>
        <w:tc>
          <w:tcPr>
            <w:tcW w:w="3799" w:type="dxa"/>
            <w:tcBorders>
              <w:top w:val="single" w:sz="6" w:space="0" w:color="auto"/>
              <w:bottom w:val="single" w:sz="12" w:space="0" w:color="auto"/>
            </w:tcBorders>
            <w:shd w:val="clear" w:color="auto" w:fill="auto"/>
          </w:tcPr>
          <w:p w:rsidR="00A67313" w:rsidRPr="009D1B8C" w:rsidRDefault="00A67313" w:rsidP="00A67313">
            <w:pPr>
              <w:pStyle w:val="TableHeading"/>
            </w:pPr>
            <w:r w:rsidRPr="009D1B8C">
              <w:t>Amount</w:t>
            </w:r>
          </w:p>
        </w:tc>
      </w:tr>
      <w:tr w:rsidR="00A67313" w:rsidRPr="009D1B8C" w:rsidTr="00A67313">
        <w:tc>
          <w:tcPr>
            <w:tcW w:w="714" w:type="dxa"/>
            <w:tcBorders>
              <w:top w:val="single" w:sz="12" w:space="0" w:color="auto"/>
            </w:tcBorders>
            <w:shd w:val="clear" w:color="auto" w:fill="auto"/>
          </w:tcPr>
          <w:p w:rsidR="00A67313" w:rsidRPr="009D1B8C" w:rsidRDefault="00A67313" w:rsidP="00A67313">
            <w:pPr>
              <w:pStyle w:val="Tabletext"/>
            </w:pPr>
            <w:r w:rsidRPr="009D1B8C">
              <w:t>1</w:t>
            </w:r>
          </w:p>
        </w:tc>
        <w:tc>
          <w:tcPr>
            <w:tcW w:w="3799" w:type="dxa"/>
            <w:tcBorders>
              <w:top w:val="single" w:sz="12" w:space="0" w:color="auto"/>
            </w:tcBorders>
            <w:shd w:val="clear" w:color="auto" w:fill="auto"/>
          </w:tcPr>
          <w:p w:rsidR="00A67313" w:rsidRPr="009D1B8C" w:rsidRDefault="00A67313" w:rsidP="00A67313">
            <w:pPr>
              <w:pStyle w:val="Tabletext"/>
            </w:pPr>
            <w:r w:rsidRPr="009D1B8C">
              <w:t>Less than 3.52</w:t>
            </w:r>
          </w:p>
        </w:tc>
        <w:tc>
          <w:tcPr>
            <w:tcW w:w="3799" w:type="dxa"/>
            <w:tcBorders>
              <w:top w:val="single" w:sz="12" w:space="0" w:color="auto"/>
            </w:tcBorders>
            <w:shd w:val="clear" w:color="auto" w:fill="auto"/>
          </w:tcPr>
          <w:p w:rsidR="00A67313" w:rsidRPr="009D1B8C" w:rsidRDefault="00A67313" w:rsidP="00A67313">
            <w:pPr>
              <w:pStyle w:val="Tabletext"/>
            </w:pPr>
            <w:r w:rsidRPr="009D1B8C">
              <w:t>$0.00</w:t>
            </w:r>
          </w:p>
        </w:tc>
      </w:tr>
      <w:tr w:rsidR="00A67313" w:rsidRPr="009D1B8C" w:rsidTr="00A67313">
        <w:tc>
          <w:tcPr>
            <w:tcW w:w="714" w:type="dxa"/>
            <w:shd w:val="clear" w:color="auto" w:fill="auto"/>
          </w:tcPr>
          <w:p w:rsidR="00A67313" w:rsidRPr="009D1B8C" w:rsidRDefault="00A67313" w:rsidP="00A67313">
            <w:pPr>
              <w:pStyle w:val="Tabletext"/>
            </w:pPr>
            <w:r w:rsidRPr="009D1B8C">
              <w:t>2</w:t>
            </w:r>
          </w:p>
        </w:tc>
        <w:tc>
          <w:tcPr>
            <w:tcW w:w="3799" w:type="dxa"/>
            <w:shd w:val="clear" w:color="auto" w:fill="auto"/>
          </w:tcPr>
          <w:p w:rsidR="00A67313" w:rsidRPr="009D1B8C" w:rsidRDefault="00A67313" w:rsidP="00A67313">
            <w:pPr>
              <w:pStyle w:val="Tabletext"/>
            </w:pPr>
            <w:r w:rsidRPr="009D1B8C">
              <w:t>At least 3.52 but less than 4.67</w:t>
            </w:r>
          </w:p>
        </w:tc>
        <w:tc>
          <w:tcPr>
            <w:tcW w:w="3799" w:type="dxa"/>
            <w:shd w:val="clear" w:color="auto" w:fill="auto"/>
          </w:tcPr>
          <w:p w:rsidR="00A67313" w:rsidRPr="009D1B8C" w:rsidRDefault="00A67313" w:rsidP="00A67313">
            <w:pPr>
              <w:pStyle w:val="Tabletext"/>
            </w:pPr>
            <w:r w:rsidRPr="009D1B8C">
              <w:t>$4.21</w:t>
            </w:r>
          </w:p>
        </w:tc>
      </w:tr>
      <w:tr w:rsidR="00A67313" w:rsidRPr="009D1B8C" w:rsidTr="00A67313">
        <w:tc>
          <w:tcPr>
            <w:tcW w:w="714" w:type="dxa"/>
            <w:shd w:val="clear" w:color="auto" w:fill="auto"/>
          </w:tcPr>
          <w:p w:rsidR="00A67313" w:rsidRPr="009D1B8C" w:rsidRDefault="00A67313" w:rsidP="00A67313">
            <w:pPr>
              <w:pStyle w:val="Tabletext"/>
            </w:pPr>
            <w:r w:rsidRPr="009D1B8C">
              <w:t>3</w:t>
            </w:r>
          </w:p>
        </w:tc>
        <w:tc>
          <w:tcPr>
            <w:tcW w:w="3799" w:type="dxa"/>
            <w:shd w:val="clear" w:color="auto" w:fill="auto"/>
          </w:tcPr>
          <w:p w:rsidR="00A67313" w:rsidRPr="009D1B8C" w:rsidRDefault="00A67313" w:rsidP="00A67313">
            <w:pPr>
              <w:pStyle w:val="Tabletext"/>
            </w:pPr>
            <w:r w:rsidRPr="009D1B8C">
              <w:t>At least 4.67 but less than 5.81</w:t>
            </w:r>
          </w:p>
        </w:tc>
        <w:tc>
          <w:tcPr>
            <w:tcW w:w="3799" w:type="dxa"/>
            <w:shd w:val="clear" w:color="auto" w:fill="auto"/>
          </w:tcPr>
          <w:p w:rsidR="00A67313" w:rsidRPr="009D1B8C" w:rsidRDefault="00A67313" w:rsidP="00A67313">
            <w:pPr>
              <w:pStyle w:val="Tabletext"/>
            </w:pPr>
            <w:r w:rsidRPr="009D1B8C">
              <w:t>$5.06</w:t>
            </w:r>
          </w:p>
        </w:tc>
      </w:tr>
      <w:tr w:rsidR="00A67313" w:rsidRPr="009D1B8C" w:rsidTr="00A67313">
        <w:tc>
          <w:tcPr>
            <w:tcW w:w="714" w:type="dxa"/>
            <w:shd w:val="clear" w:color="auto" w:fill="auto"/>
          </w:tcPr>
          <w:p w:rsidR="00A67313" w:rsidRPr="009D1B8C" w:rsidRDefault="00A67313" w:rsidP="00A67313">
            <w:pPr>
              <w:pStyle w:val="Tabletext"/>
            </w:pPr>
            <w:r w:rsidRPr="009D1B8C">
              <w:t>4</w:t>
            </w:r>
          </w:p>
        </w:tc>
        <w:tc>
          <w:tcPr>
            <w:tcW w:w="3799" w:type="dxa"/>
            <w:shd w:val="clear" w:color="auto" w:fill="auto"/>
          </w:tcPr>
          <w:p w:rsidR="00A67313" w:rsidRPr="009D1B8C" w:rsidRDefault="00A67313" w:rsidP="00A67313">
            <w:pPr>
              <w:pStyle w:val="Tabletext"/>
            </w:pPr>
            <w:r w:rsidRPr="009D1B8C">
              <w:t>At least 5.81 but less than 7.45</w:t>
            </w:r>
          </w:p>
        </w:tc>
        <w:tc>
          <w:tcPr>
            <w:tcW w:w="3799" w:type="dxa"/>
            <w:shd w:val="clear" w:color="auto" w:fill="auto"/>
          </w:tcPr>
          <w:p w:rsidR="00A67313" w:rsidRPr="009D1B8C" w:rsidRDefault="00A67313" w:rsidP="00A67313">
            <w:pPr>
              <w:pStyle w:val="Tabletext"/>
            </w:pPr>
            <w:r w:rsidRPr="009D1B8C">
              <w:t>$7.08</w:t>
            </w:r>
          </w:p>
        </w:tc>
      </w:tr>
      <w:tr w:rsidR="00A67313" w:rsidRPr="009D1B8C" w:rsidTr="00A67313">
        <w:tc>
          <w:tcPr>
            <w:tcW w:w="714" w:type="dxa"/>
            <w:shd w:val="clear" w:color="auto" w:fill="auto"/>
          </w:tcPr>
          <w:p w:rsidR="00A67313" w:rsidRPr="009D1B8C" w:rsidRDefault="00A67313" w:rsidP="00A67313">
            <w:pPr>
              <w:pStyle w:val="Tabletext"/>
            </w:pPr>
            <w:r w:rsidRPr="009D1B8C">
              <w:t>5</w:t>
            </w:r>
          </w:p>
        </w:tc>
        <w:tc>
          <w:tcPr>
            <w:tcW w:w="3799" w:type="dxa"/>
            <w:shd w:val="clear" w:color="auto" w:fill="auto"/>
          </w:tcPr>
          <w:p w:rsidR="00A67313" w:rsidRPr="009D1B8C" w:rsidRDefault="00A67313" w:rsidP="00A67313">
            <w:pPr>
              <w:pStyle w:val="Tabletext"/>
            </w:pPr>
            <w:r w:rsidRPr="009D1B8C">
              <w:t>At least 7.45 but less than 9.09</w:t>
            </w:r>
          </w:p>
        </w:tc>
        <w:tc>
          <w:tcPr>
            <w:tcW w:w="3799" w:type="dxa"/>
            <w:shd w:val="clear" w:color="auto" w:fill="auto"/>
          </w:tcPr>
          <w:p w:rsidR="00A67313" w:rsidRPr="009D1B8C" w:rsidRDefault="00A67313" w:rsidP="00A67313">
            <w:pPr>
              <w:pStyle w:val="Tabletext"/>
            </w:pPr>
            <w:r w:rsidRPr="009D1B8C">
              <w:t>$8.50</w:t>
            </w:r>
          </w:p>
        </w:tc>
      </w:tr>
      <w:tr w:rsidR="00A67313" w:rsidRPr="009D1B8C" w:rsidTr="00A67313">
        <w:tc>
          <w:tcPr>
            <w:tcW w:w="714" w:type="dxa"/>
            <w:tcBorders>
              <w:bottom w:val="single" w:sz="4" w:space="0" w:color="auto"/>
            </w:tcBorders>
            <w:shd w:val="clear" w:color="auto" w:fill="auto"/>
          </w:tcPr>
          <w:p w:rsidR="00A67313" w:rsidRPr="009D1B8C" w:rsidRDefault="00A67313" w:rsidP="00A67313">
            <w:pPr>
              <w:pStyle w:val="Tabletext"/>
            </w:pPr>
            <w:r w:rsidRPr="009D1B8C">
              <w:t>6</w:t>
            </w:r>
          </w:p>
        </w:tc>
        <w:tc>
          <w:tcPr>
            <w:tcW w:w="3799" w:type="dxa"/>
            <w:tcBorders>
              <w:bottom w:val="single" w:sz="4" w:space="0" w:color="auto"/>
            </w:tcBorders>
            <w:shd w:val="clear" w:color="auto" w:fill="auto"/>
          </w:tcPr>
          <w:p w:rsidR="00A67313" w:rsidRPr="009D1B8C" w:rsidRDefault="00A67313" w:rsidP="00A67313">
            <w:pPr>
              <w:pStyle w:val="Tabletext"/>
            </w:pPr>
            <w:r w:rsidRPr="009D1B8C">
              <w:t>At least 9.09 but less than 10.55</w:t>
            </w:r>
          </w:p>
        </w:tc>
        <w:tc>
          <w:tcPr>
            <w:tcW w:w="3799" w:type="dxa"/>
            <w:tcBorders>
              <w:bottom w:val="single" w:sz="4" w:space="0" w:color="auto"/>
            </w:tcBorders>
            <w:shd w:val="clear" w:color="auto" w:fill="auto"/>
          </w:tcPr>
          <w:p w:rsidR="00A67313" w:rsidRPr="009D1B8C" w:rsidRDefault="00A67313" w:rsidP="00A67313">
            <w:pPr>
              <w:pStyle w:val="Tabletext"/>
            </w:pPr>
            <w:r w:rsidRPr="009D1B8C">
              <w:t>$11.89</w:t>
            </w:r>
          </w:p>
        </w:tc>
      </w:tr>
      <w:tr w:rsidR="00A67313" w:rsidRPr="009D1B8C" w:rsidTr="00A67313">
        <w:tc>
          <w:tcPr>
            <w:tcW w:w="714" w:type="dxa"/>
            <w:tcBorders>
              <w:bottom w:val="single" w:sz="12" w:space="0" w:color="auto"/>
            </w:tcBorders>
            <w:shd w:val="clear" w:color="auto" w:fill="auto"/>
          </w:tcPr>
          <w:p w:rsidR="00A67313" w:rsidRPr="009D1B8C" w:rsidRDefault="00A67313" w:rsidP="00A67313">
            <w:pPr>
              <w:pStyle w:val="Tabletext"/>
            </w:pPr>
            <w:r w:rsidRPr="009D1B8C">
              <w:t>7</w:t>
            </w:r>
          </w:p>
        </w:tc>
        <w:tc>
          <w:tcPr>
            <w:tcW w:w="3799" w:type="dxa"/>
            <w:tcBorders>
              <w:bottom w:val="single" w:sz="12" w:space="0" w:color="auto"/>
            </w:tcBorders>
            <w:shd w:val="clear" w:color="auto" w:fill="auto"/>
          </w:tcPr>
          <w:p w:rsidR="00A67313" w:rsidRPr="009D1B8C" w:rsidRDefault="00A67313" w:rsidP="00A67313">
            <w:pPr>
              <w:pStyle w:val="Tabletext"/>
            </w:pPr>
            <w:r w:rsidRPr="009D1B8C">
              <w:t>At least 10.55</w:t>
            </w:r>
          </w:p>
        </w:tc>
        <w:tc>
          <w:tcPr>
            <w:tcW w:w="3799" w:type="dxa"/>
            <w:tcBorders>
              <w:bottom w:val="single" w:sz="12" w:space="0" w:color="auto"/>
            </w:tcBorders>
            <w:shd w:val="clear" w:color="auto" w:fill="auto"/>
          </w:tcPr>
          <w:p w:rsidR="00A67313" w:rsidRPr="009D1B8C" w:rsidRDefault="00A67313" w:rsidP="00A67313">
            <w:pPr>
              <w:pStyle w:val="Tabletext"/>
            </w:pPr>
            <w:r w:rsidRPr="009D1B8C">
              <w:t>$14.27</w:t>
            </w:r>
          </w:p>
        </w:tc>
      </w:tr>
    </w:tbl>
    <w:p w:rsidR="00A257AD" w:rsidRPr="009B2ACF" w:rsidRDefault="00A257AD" w:rsidP="009B2ACF">
      <w:pPr>
        <w:pStyle w:val="ActHead3"/>
        <w:pageBreakBefore/>
      </w:pPr>
      <w:bookmarkStart w:id="14" w:name="_Toc379361525"/>
      <w:r w:rsidRPr="009B2ACF">
        <w:rPr>
          <w:rStyle w:val="CharDivNo"/>
        </w:rPr>
        <w:lastRenderedPageBreak/>
        <w:t>Division 2.4</w:t>
      </w:r>
      <w:r w:rsidRPr="009B2ACF">
        <w:t>─Transitional workforce supplement</w:t>
      </w:r>
      <w:bookmarkEnd w:id="14"/>
    </w:p>
    <w:p w:rsidR="00A257AD" w:rsidRPr="009B2ACF" w:rsidRDefault="00A257AD" w:rsidP="009B2ACF">
      <w:pPr>
        <w:pStyle w:val="ActHead5"/>
      </w:pPr>
      <w:bookmarkStart w:id="15" w:name="_Toc379361526"/>
      <w:r w:rsidRPr="009B2ACF">
        <w:rPr>
          <w:rStyle w:val="CharSectno"/>
        </w:rPr>
        <w:t>10</w:t>
      </w:r>
      <w:r w:rsidRPr="009B2ACF">
        <w:t xml:space="preserve">  When the transitional workforce supplement applies</w:t>
      </w:r>
      <w:bookmarkEnd w:id="15"/>
    </w:p>
    <w:p w:rsidR="00A257AD" w:rsidRPr="009546C4" w:rsidRDefault="00A257AD" w:rsidP="00A257AD">
      <w:pPr>
        <w:pStyle w:val="subsection"/>
      </w:pPr>
      <w:r w:rsidRPr="009B2ACF">
        <w:tab/>
      </w:r>
      <w:r w:rsidRPr="009B2ACF">
        <w:tab/>
      </w:r>
      <w:r w:rsidRPr="009546C4">
        <w:t>The transitional workforce supplement applies to a care recipient in respect of a day if:</w:t>
      </w:r>
    </w:p>
    <w:p w:rsidR="00A257AD" w:rsidRPr="009546C4" w:rsidRDefault="00A257AD" w:rsidP="009B2ACF">
      <w:pPr>
        <w:pStyle w:val="paragraph"/>
      </w:pPr>
      <w:r>
        <w:tab/>
      </w:r>
      <w:r w:rsidRPr="009546C4">
        <w:t>(a)</w:t>
      </w:r>
      <w:r w:rsidRPr="009546C4">
        <w:tab/>
        <w:t>the day is on or after 12 December 2013 and before 1 July 2014; and</w:t>
      </w:r>
    </w:p>
    <w:p w:rsidR="00A257AD" w:rsidRPr="009546C4" w:rsidRDefault="00A257AD" w:rsidP="009B2ACF">
      <w:pPr>
        <w:pStyle w:val="paragraph"/>
      </w:pPr>
      <w:r>
        <w:tab/>
      </w:r>
      <w:r w:rsidRPr="009546C4">
        <w:t>(b)</w:t>
      </w:r>
      <w:r w:rsidRPr="009546C4">
        <w:tab/>
        <w:t>the approved provider is eligible to receive home care subsidy for the care recipient in respect of the day; and</w:t>
      </w:r>
    </w:p>
    <w:p w:rsidR="00A257AD" w:rsidRPr="009546C4" w:rsidRDefault="00A257AD" w:rsidP="009B2ACF">
      <w:pPr>
        <w:pStyle w:val="paragraph"/>
      </w:pPr>
      <w:r>
        <w:tab/>
      </w:r>
      <w:r w:rsidRPr="009546C4">
        <w:t>(c)</w:t>
      </w:r>
      <w:r w:rsidRPr="009546C4">
        <w:tab/>
        <w:t>the approved provider conducting the home care service was eligible to receive the workforce supplement on 11 December 2013.</w:t>
      </w:r>
    </w:p>
    <w:p w:rsidR="00A257AD" w:rsidRPr="009B2ACF" w:rsidRDefault="00A257AD" w:rsidP="009B2ACF">
      <w:pPr>
        <w:pStyle w:val="ActHead5"/>
      </w:pPr>
      <w:bookmarkStart w:id="16" w:name="_Toc379361527"/>
      <w:r w:rsidRPr="009B2ACF">
        <w:rPr>
          <w:rStyle w:val="CharSectno"/>
        </w:rPr>
        <w:t>11</w:t>
      </w:r>
      <w:r w:rsidRPr="009B2ACF">
        <w:t xml:space="preserve">  Circumstances in which the transitional workforce supplement ceases to apply</w:t>
      </w:r>
      <w:bookmarkEnd w:id="16"/>
    </w:p>
    <w:p w:rsidR="00A257AD" w:rsidRPr="005D77FE" w:rsidRDefault="00A257AD" w:rsidP="00A257AD">
      <w:pPr>
        <w:pStyle w:val="subsection"/>
      </w:pPr>
      <w:r>
        <w:tab/>
        <w:t>(1)</w:t>
      </w:r>
      <w:r>
        <w:tab/>
        <w:t>The transitional workforce supplement ceases to apply to a care recipient in respect of a day</w:t>
      </w:r>
      <w:r w:rsidRPr="005D77FE">
        <w:t xml:space="preserve"> if:</w:t>
      </w:r>
    </w:p>
    <w:p w:rsidR="00A257AD" w:rsidRPr="005D77FE" w:rsidRDefault="00A257AD" w:rsidP="00A257AD">
      <w:pPr>
        <w:pStyle w:val="paragraph"/>
      </w:pPr>
      <w:r>
        <w:tab/>
        <w:t>(a)</w:t>
      </w:r>
      <w:r>
        <w:tab/>
        <w:t>the Secretary decides</w:t>
      </w:r>
      <w:r w:rsidRPr="005D77FE">
        <w:t xml:space="preserve"> that the approv</w:t>
      </w:r>
      <w:r>
        <w:t xml:space="preserve">ed provider is no longer </w:t>
      </w:r>
      <w:r w:rsidRPr="005D77FE">
        <w:t xml:space="preserve">eligible for the </w:t>
      </w:r>
      <w:r>
        <w:t xml:space="preserve">transitional </w:t>
      </w:r>
      <w:r w:rsidRPr="005D77FE">
        <w:t>workforce supplement; or</w:t>
      </w:r>
    </w:p>
    <w:p w:rsidR="00A257AD" w:rsidRDefault="00A257AD" w:rsidP="00A257AD">
      <w:pPr>
        <w:pStyle w:val="paragraph"/>
      </w:pPr>
      <w:r>
        <w:tab/>
        <w:t>(b</w:t>
      </w:r>
      <w:r w:rsidRPr="005D77FE">
        <w:t>)</w:t>
      </w:r>
      <w:r>
        <w:tab/>
        <w:t>the approved provider requests, in writing,</w:t>
      </w:r>
      <w:r w:rsidRPr="005D77FE">
        <w:t xml:space="preserve"> the Secretary </w:t>
      </w:r>
      <w:r>
        <w:t>to cease payment of the transitional workforce supplement</w:t>
      </w:r>
      <w:r w:rsidRPr="005D77FE">
        <w:t>.</w:t>
      </w:r>
    </w:p>
    <w:p w:rsidR="00A257AD" w:rsidRPr="005D77FE" w:rsidRDefault="00A257AD" w:rsidP="00A257AD">
      <w:pPr>
        <w:pStyle w:val="subsection"/>
      </w:pPr>
      <w:r w:rsidRPr="009546C4">
        <w:tab/>
      </w:r>
      <w:r w:rsidRPr="005D77FE">
        <w:t>(2)</w:t>
      </w:r>
      <w:r w:rsidRPr="005D77FE">
        <w:tab/>
        <w:t xml:space="preserve">Before deciding </w:t>
      </w:r>
      <w:r>
        <w:t>under paragraph (1)(a) that the approved provider is no longer eligible for the transitional workforce supplement</w:t>
      </w:r>
      <w:r w:rsidRPr="005D77FE">
        <w:t>, the Secretary must notify the approved provider that it is being considered. The notice must:</w:t>
      </w:r>
    </w:p>
    <w:p w:rsidR="00A257AD" w:rsidRPr="005D77FE" w:rsidRDefault="00A257AD" w:rsidP="00A257AD">
      <w:pPr>
        <w:pStyle w:val="paragraph"/>
      </w:pPr>
      <w:r w:rsidRPr="005D77FE">
        <w:tab/>
        <w:t>(a)</w:t>
      </w:r>
      <w:r w:rsidRPr="005D77FE">
        <w:tab/>
        <w:t>be in writing; and</w:t>
      </w:r>
    </w:p>
    <w:p w:rsidR="00A257AD" w:rsidRPr="005D77FE" w:rsidRDefault="00A257AD" w:rsidP="00A257AD">
      <w:pPr>
        <w:pStyle w:val="paragraph"/>
      </w:pPr>
      <w:r w:rsidRPr="005D77FE">
        <w:tab/>
        <w:t>(b)</w:t>
      </w:r>
      <w:r w:rsidRPr="005D77FE">
        <w:tab/>
        <w:t>invite the approved provider to make submissions, in writing, to the Secretary within 28 days after receiving the notice; and</w:t>
      </w:r>
    </w:p>
    <w:p w:rsidR="00A257AD" w:rsidRPr="005D77FE" w:rsidRDefault="00A257AD" w:rsidP="00A257AD">
      <w:pPr>
        <w:pStyle w:val="paragraph"/>
      </w:pPr>
      <w:r w:rsidRPr="005D77FE">
        <w:tab/>
        <w:t>(c)</w:t>
      </w:r>
      <w:r w:rsidRPr="005D77FE">
        <w:tab/>
        <w:t>inform the approved provider that, if no submissions are made within the peri</w:t>
      </w:r>
      <w:r>
        <w:t xml:space="preserve">od, the Secretary will make a decision under paragraph (1)(a) </w:t>
      </w:r>
      <w:r w:rsidRPr="005D77FE">
        <w:t>on the day after the last day for making submissions.</w:t>
      </w:r>
    </w:p>
    <w:p w:rsidR="00A257AD" w:rsidRPr="005D77FE" w:rsidRDefault="00A257AD" w:rsidP="00A257AD">
      <w:pPr>
        <w:pStyle w:val="subsection"/>
      </w:pPr>
      <w:r w:rsidRPr="005D77FE">
        <w:tab/>
        <w:t>(3)</w:t>
      </w:r>
      <w:r w:rsidRPr="005D77FE">
        <w:tab/>
        <w:t>In deciding whet</w:t>
      </w:r>
      <w:r>
        <w:t>her to make a decision under paragraph (1)(a) that the approved provider is no longer eligible for the transitional workforce supplement</w:t>
      </w:r>
      <w:r w:rsidRPr="005D77FE">
        <w:t>, the Secretary must:</w:t>
      </w:r>
    </w:p>
    <w:p w:rsidR="00A257AD" w:rsidRPr="005D77FE" w:rsidRDefault="00A257AD" w:rsidP="00A257AD">
      <w:pPr>
        <w:pStyle w:val="paragraph"/>
      </w:pPr>
      <w:r w:rsidRPr="005D77FE">
        <w:tab/>
        <w:t>(a)</w:t>
      </w:r>
      <w:r w:rsidRPr="005D77FE">
        <w:tab/>
        <w:t>consider any submissions made within the period mentioned in paragraph (2)(b); and</w:t>
      </w:r>
    </w:p>
    <w:p w:rsidR="00A257AD" w:rsidRPr="005D77FE" w:rsidRDefault="00A257AD" w:rsidP="00A257AD">
      <w:pPr>
        <w:pStyle w:val="paragraph"/>
      </w:pPr>
      <w:r w:rsidRPr="005D77FE">
        <w:tab/>
        <w:t>(b)</w:t>
      </w:r>
      <w:r w:rsidRPr="005D77FE">
        <w:tab/>
        <w:t xml:space="preserve">have regard to the eligibility </w:t>
      </w:r>
      <w:r>
        <w:t xml:space="preserve">criteria specified in </w:t>
      </w:r>
      <w:r w:rsidRPr="005D77FE">
        <w:t xml:space="preserve">the </w:t>
      </w:r>
      <w:r w:rsidRPr="009B2ACF">
        <w:rPr>
          <w:i/>
        </w:rPr>
        <w:t>Aged Care Transitional Workforce Supplement Guidelines</w:t>
      </w:r>
      <w:r w:rsidRPr="005D77FE">
        <w:t>.</w:t>
      </w:r>
    </w:p>
    <w:p w:rsidR="00A257AD" w:rsidRPr="005D77FE" w:rsidRDefault="00A257AD" w:rsidP="00A257AD">
      <w:pPr>
        <w:pStyle w:val="subsection"/>
      </w:pPr>
      <w:r w:rsidRPr="005D77FE">
        <w:tab/>
        <w:t>(4)</w:t>
      </w:r>
      <w:r w:rsidRPr="005D77FE">
        <w:tab/>
        <w:t>The Secretary must notify, in writing, the approved provider of the decision</w:t>
      </w:r>
      <w:r>
        <w:t xml:space="preserve"> and the date of effect of the decision</w:t>
      </w:r>
      <w:r w:rsidRPr="005D77FE">
        <w:t>.</w:t>
      </w:r>
    </w:p>
    <w:p w:rsidR="00A257AD" w:rsidRPr="005D77FE" w:rsidRDefault="00A257AD" w:rsidP="00A257AD">
      <w:pPr>
        <w:pStyle w:val="subsection"/>
      </w:pPr>
      <w:r w:rsidRPr="005D77FE">
        <w:tab/>
        <w:t>(5)</w:t>
      </w:r>
      <w:r w:rsidRPr="005D77FE">
        <w:tab/>
        <w:t>The notice must be given to the approved provider within 28 days after the end of the period for making submissions. If the notice is not given within that period, the Secretary is taken</w:t>
      </w:r>
      <w:r>
        <w:t xml:space="preserve"> to have decided not to make a decision under paragraph (1)(a) that the approved provider is no longer eligible for the transitional workforce supplement.</w:t>
      </w:r>
    </w:p>
    <w:p w:rsidR="00A257AD" w:rsidRPr="009B2ACF" w:rsidRDefault="00A257AD" w:rsidP="00A257AD">
      <w:pPr>
        <w:pStyle w:val="ActHead5"/>
      </w:pPr>
      <w:bookmarkStart w:id="17" w:name="_Toc379361528"/>
      <w:r w:rsidRPr="009B2ACF">
        <w:rPr>
          <w:rStyle w:val="CharSectno"/>
        </w:rPr>
        <w:lastRenderedPageBreak/>
        <w:t>12</w:t>
      </w:r>
      <w:r w:rsidRPr="009B2ACF">
        <w:t xml:space="preserve">  Reviewable decision</w:t>
      </w:r>
      <w:bookmarkEnd w:id="17"/>
    </w:p>
    <w:p w:rsidR="00A257AD" w:rsidRPr="005D77FE" w:rsidRDefault="00A257AD" w:rsidP="00A257AD">
      <w:pPr>
        <w:pStyle w:val="subsection"/>
      </w:pPr>
      <w:r>
        <w:tab/>
        <w:t>(1)</w:t>
      </w:r>
      <w:r>
        <w:tab/>
        <w:t>A decision by the Secretary under paragraph 11(1)(a) that an approved provider is no longer eligible for the transitional workforce supplement is a reviewable decision.</w:t>
      </w:r>
    </w:p>
    <w:p w:rsidR="00A257AD" w:rsidRDefault="00A257AD" w:rsidP="00A257AD">
      <w:pPr>
        <w:pStyle w:val="subsection"/>
      </w:pPr>
      <w:r w:rsidRPr="005D77FE">
        <w:tab/>
        <w:t>(2)</w:t>
      </w:r>
      <w:r w:rsidRPr="005D77FE">
        <w:tab/>
        <w:t>Part 6.1 of the Act app</w:t>
      </w:r>
      <w:r>
        <w:t>lies to the reviewable decision</w:t>
      </w:r>
      <w:r w:rsidRPr="005D77FE">
        <w:t xml:space="preserve"> mentioned in subsection (1) as if a reference in that Part to this Act included a reference to these Principles.</w:t>
      </w:r>
    </w:p>
    <w:p w:rsidR="00A257AD" w:rsidRPr="009B2ACF" w:rsidRDefault="00A257AD" w:rsidP="009B2ACF">
      <w:pPr>
        <w:pStyle w:val="ActHead5"/>
      </w:pPr>
      <w:bookmarkStart w:id="18" w:name="_Toc379361529"/>
      <w:r w:rsidRPr="009B2ACF">
        <w:rPr>
          <w:rStyle w:val="CharSectno"/>
        </w:rPr>
        <w:t>13</w:t>
      </w:r>
      <w:r w:rsidRPr="009B2ACF">
        <w:t xml:space="preserve">  Amount of the transitional workforce supplement</w:t>
      </w:r>
      <w:bookmarkEnd w:id="18"/>
    </w:p>
    <w:p w:rsidR="00A257AD" w:rsidRDefault="00A257AD" w:rsidP="00A257AD">
      <w:pPr>
        <w:pStyle w:val="subsection"/>
      </w:pPr>
      <w:r w:rsidRPr="005D77FE">
        <w:tab/>
      </w:r>
      <w:r>
        <w:tab/>
        <w:t>The transitional workforce supplement for a particular day is 1% of the basic subsidy amount that is payable in respect of the day for the care recipient under section 7.</w:t>
      </w:r>
    </w:p>
    <w:p w:rsidR="00A67313" w:rsidRPr="009D1B8C" w:rsidRDefault="00A67313" w:rsidP="00A67313">
      <w:pPr>
        <w:pStyle w:val="ActHead3"/>
        <w:pageBreakBefore/>
      </w:pPr>
      <w:bookmarkStart w:id="19" w:name="_Toc379361530"/>
      <w:r w:rsidRPr="009D1B8C">
        <w:rPr>
          <w:rStyle w:val="CharDivNo"/>
        </w:rPr>
        <w:lastRenderedPageBreak/>
        <w:t>Division 2.5</w:t>
      </w:r>
      <w:r w:rsidRPr="009D1B8C">
        <w:t>—</w:t>
      </w:r>
      <w:r w:rsidRPr="009D1B8C">
        <w:rPr>
          <w:rStyle w:val="CharDivText"/>
        </w:rPr>
        <w:t>Dementia and cognition supplement</w:t>
      </w:r>
      <w:bookmarkEnd w:id="19"/>
    </w:p>
    <w:p w:rsidR="00A67313" w:rsidRPr="009D1B8C" w:rsidRDefault="00A67313" w:rsidP="00A67313">
      <w:pPr>
        <w:pStyle w:val="ActHead5"/>
      </w:pPr>
      <w:bookmarkStart w:id="20" w:name="_Toc379361531"/>
      <w:r w:rsidRPr="009D1B8C">
        <w:rPr>
          <w:rStyle w:val="CharSectno"/>
        </w:rPr>
        <w:t>18</w:t>
      </w:r>
      <w:r w:rsidRPr="009D1B8C">
        <w:t xml:space="preserve">  When dementia and cognition supplement applies</w:t>
      </w:r>
      <w:bookmarkEnd w:id="20"/>
    </w:p>
    <w:p w:rsidR="00A67313" w:rsidRPr="009D1B8C" w:rsidRDefault="00A67313" w:rsidP="00A67313">
      <w:pPr>
        <w:pStyle w:val="subsection"/>
      </w:pPr>
      <w:r w:rsidRPr="009D1B8C">
        <w:tab/>
        <w:t>(1)</w:t>
      </w:r>
      <w:r w:rsidRPr="009D1B8C">
        <w:tab/>
        <w:t xml:space="preserve">The dementia and cognition supplement applies to a care recipient (in this Division called an </w:t>
      </w:r>
      <w:r w:rsidRPr="009D1B8C">
        <w:rPr>
          <w:b/>
          <w:i/>
        </w:rPr>
        <w:t>eligible care recipient</w:t>
      </w:r>
      <w:r w:rsidRPr="009D1B8C">
        <w:t>) in respect of a day if:</w:t>
      </w:r>
    </w:p>
    <w:p w:rsidR="00A67313" w:rsidRPr="009D1B8C" w:rsidRDefault="00A67313" w:rsidP="00A67313">
      <w:pPr>
        <w:pStyle w:val="paragraph"/>
      </w:pPr>
      <w:r w:rsidRPr="009D1B8C">
        <w:tab/>
        <w:t>(a)</w:t>
      </w:r>
      <w:r w:rsidRPr="009D1B8C">
        <w:tab/>
        <w:t>there was in force on that day a home care agreement under which the care recipient was to be provided with home care, whether or not the care was provided on that day; and</w:t>
      </w:r>
    </w:p>
    <w:p w:rsidR="00A67313" w:rsidRPr="009D1B8C" w:rsidRDefault="00A67313" w:rsidP="00A67313">
      <w:pPr>
        <w:pStyle w:val="paragraph"/>
      </w:pPr>
      <w:r w:rsidRPr="009D1B8C">
        <w:tab/>
        <w:t>(b)</w:t>
      </w:r>
      <w:r w:rsidRPr="009D1B8C">
        <w:tab/>
        <w:t>subsection (2), (3), (4) or (5) applied to the care recipient on that day; and</w:t>
      </w:r>
    </w:p>
    <w:p w:rsidR="00A67313" w:rsidRPr="009D1B8C" w:rsidRDefault="00A67313" w:rsidP="00A67313">
      <w:pPr>
        <w:pStyle w:val="paragraph"/>
      </w:pPr>
      <w:r w:rsidRPr="009D1B8C">
        <w:tab/>
        <w:t>(c)</w:t>
      </w:r>
      <w:r w:rsidRPr="009D1B8C">
        <w:tab/>
        <w:t>if subsection (2), (3) or (4) applied to the care recipient on that day—the approved provider had a record of the assessment mentioned in that subsection that was conducted in relation to the care recipient; and</w:t>
      </w:r>
    </w:p>
    <w:p w:rsidR="00A67313" w:rsidRPr="009D1B8C" w:rsidRDefault="00A67313" w:rsidP="00A67313">
      <w:pPr>
        <w:pStyle w:val="paragraph"/>
      </w:pPr>
      <w:r w:rsidRPr="009D1B8C">
        <w:tab/>
        <w:t>(d)</w:t>
      </w:r>
      <w:r w:rsidRPr="009D1B8C">
        <w:tab/>
        <w:t>an amount of veterans’ supplement is not payable under section 20 in respect of that day for the care recipient; and</w:t>
      </w:r>
    </w:p>
    <w:p w:rsidR="00A67313" w:rsidRPr="009D1B8C" w:rsidRDefault="00A67313" w:rsidP="00A67313">
      <w:pPr>
        <w:pStyle w:val="subsection"/>
      </w:pPr>
      <w:r w:rsidRPr="009D1B8C">
        <w:tab/>
        <w:t>(2)</w:t>
      </w:r>
      <w:r w:rsidRPr="009D1B8C">
        <w:tab/>
        <w:t>This subsection applies to a care recipient on a day if:</w:t>
      </w:r>
    </w:p>
    <w:p w:rsidR="00A67313" w:rsidRPr="009D1B8C" w:rsidRDefault="00A67313" w:rsidP="00A67313">
      <w:pPr>
        <w:pStyle w:val="paragraph"/>
      </w:pPr>
      <w:r w:rsidRPr="009D1B8C">
        <w:tab/>
        <w:t>(a)</w:t>
      </w:r>
      <w:r w:rsidRPr="009D1B8C">
        <w:tab/>
        <w:t>the care recipient has been assessed in accordance with the Psychogeriatric Assessment Scales, as that tool exists on 1 August 2013; and</w:t>
      </w:r>
    </w:p>
    <w:p w:rsidR="00A67313" w:rsidRPr="009D1B8C" w:rsidRDefault="00A67313" w:rsidP="00A67313">
      <w:pPr>
        <w:pStyle w:val="paragraph"/>
      </w:pPr>
      <w:r w:rsidRPr="009D1B8C">
        <w:tab/>
        <w:t>(b)</w:t>
      </w:r>
      <w:r w:rsidRPr="009D1B8C">
        <w:tab/>
        <w:t>the assessment was conducted by a registered nurse, clinical nurse consultant, nurse practitioner or medical practitioner; and</w:t>
      </w:r>
    </w:p>
    <w:p w:rsidR="00A67313" w:rsidRPr="009D1B8C" w:rsidRDefault="00A67313" w:rsidP="00A67313">
      <w:pPr>
        <w:pStyle w:val="paragraph"/>
      </w:pPr>
      <w:r w:rsidRPr="009D1B8C">
        <w:tab/>
        <w:t>(c)</w:t>
      </w:r>
      <w:r w:rsidRPr="009D1B8C">
        <w:tab/>
        <w:t>the assessment resulted in a score of 10 or more.</w:t>
      </w:r>
    </w:p>
    <w:p w:rsidR="00A67313" w:rsidRPr="009D1B8C" w:rsidRDefault="00A67313" w:rsidP="00A67313">
      <w:pPr>
        <w:pStyle w:val="subsection"/>
      </w:pPr>
      <w:r w:rsidRPr="009D1B8C">
        <w:tab/>
        <w:t>(3)</w:t>
      </w:r>
      <w:r w:rsidRPr="009D1B8C">
        <w:tab/>
        <w:t>This subsection applies to a care recipient on a day if:</w:t>
      </w:r>
    </w:p>
    <w:p w:rsidR="00A67313" w:rsidRPr="009D1B8C" w:rsidRDefault="00A67313" w:rsidP="00A67313">
      <w:pPr>
        <w:pStyle w:val="paragraph"/>
      </w:pPr>
      <w:r w:rsidRPr="009D1B8C">
        <w:tab/>
        <w:t>(a)</w:t>
      </w:r>
      <w:r w:rsidRPr="009D1B8C">
        <w:tab/>
        <w:t>the care recipient is from a culturally or linguistically diverse background; and</w:t>
      </w:r>
    </w:p>
    <w:p w:rsidR="00A67313" w:rsidRPr="009D1B8C" w:rsidRDefault="00A67313" w:rsidP="00A67313">
      <w:pPr>
        <w:pStyle w:val="paragraph"/>
      </w:pPr>
      <w:r w:rsidRPr="009D1B8C">
        <w:tab/>
        <w:t>(b)</w:t>
      </w:r>
      <w:r w:rsidRPr="009D1B8C">
        <w:tab/>
        <w:t>the care recipient has been assessed in accordance with the Rowland Universal Dementia Assessment Scale, as that tool exists on 1 August 2013; and</w:t>
      </w:r>
    </w:p>
    <w:p w:rsidR="00A67313" w:rsidRPr="009D1B8C" w:rsidRDefault="00A67313" w:rsidP="00A67313">
      <w:pPr>
        <w:pStyle w:val="paragraph"/>
      </w:pPr>
      <w:r w:rsidRPr="009D1B8C">
        <w:tab/>
        <w:t>(c)</w:t>
      </w:r>
      <w:r w:rsidRPr="009D1B8C">
        <w:tab/>
        <w:t>the assessment was conducted by a registered nurse, clinical nurse consultant, nurse practitioner or medical practitioner; and</w:t>
      </w:r>
    </w:p>
    <w:p w:rsidR="00A67313" w:rsidRPr="009D1B8C" w:rsidRDefault="00A67313" w:rsidP="00A67313">
      <w:pPr>
        <w:pStyle w:val="paragraph"/>
      </w:pPr>
      <w:r w:rsidRPr="009D1B8C">
        <w:tab/>
        <w:t>(d)</w:t>
      </w:r>
      <w:r w:rsidRPr="009D1B8C">
        <w:tab/>
        <w:t>the assessment resulted in a score of 22 or less.</w:t>
      </w:r>
    </w:p>
    <w:p w:rsidR="00A67313" w:rsidRPr="009D1B8C" w:rsidRDefault="00A67313" w:rsidP="00A67313">
      <w:pPr>
        <w:pStyle w:val="subsection"/>
      </w:pPr>
      <w:r w:rsidRPr="009D1B8C">
        <w:tab/>
        <w:t>(4)</w:t>
      </w:r>
      <w:r w:rsidRPr="009D1B8C">
        <w:tab/>
        <w:t>This subsection applies to a care recipient on a day if:</w:t>
      </w:r>
    </w:p>
    <w:p w:rsidR="00A67313" w:rsidRPr="009D1B8C" w:rsidRDefault="00A67313" w:rsidP="00A67313">
      <w:pPr>
        <w:pStyle w:val="paragraph"/>
      </w:pPr>
      <w:r w:rsidRPr="009D1B8C">
        <w:tab/>
        <w:t>(a)</w:t>
      </w:r>
      <w:r w:rsidRPr="009D1B8C">
        <w:tab/>
        <w:t>the care recipient is an Aboriginal person, or a Torres Strait Islander, who lives in a rural or remote area; and</w:t>
      </w:r>
    </w:p>
    <w:p w:rsidR="00A67313" w:rsidRPr="009D1B8C" w:rsidRDefault="00A67313" w:rsidP="00A67313">
      <w:pPr>
        <w:pStyle w:val="paragraph"/>
      </w:pPr>
      <w:r w:rsidRPr="009D1B8C">
        <w:tab/>
        <w:t>(b)</w:t>
      </w:r>
      <w:r w:rsidRPr="009D1B8C">
        <w:tab/>
        <w:t>the care recipient has been assessed in accordance with the Kimberley Indigenous Cognitive Assessment (</w:t>
      </w:r>
      <w:proofErr w:type="spellStart"/>
      <w:r w:rsidRPr="009D1B8C">
        <w:t>KICA</w:t>
      </w:r>
      <w:proofErr w:type="spellEnd"/>
      <w:r>
        <w:noBreakHyphen/>
      </w:r>
      <w:r w:rsidRPr="009D1B8C">
        <w:t>Cog), as that tool exists on 1 August 2013; and</w:t>
      </w:r>
    </w:p>
    <w:p w:rsidR="00A67313" w:rsidRPr="009D1B8C" w:rsidRDefault="00A67313" w:rsidP="00A67313">
      <w:pPr>
        <w:pStyle w:val="paragraph"/>
      </w:pPr>
      <w:r w:rsidRPr="009D1B8C">
        <w:tab/>
        <w:t>(c)</w:t>
      </w:r>
      <w:r w:rsidRPr="009D1B8C">
        <w:tab/>
        <w:t>the assessment was conducted by:</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a registered nurse, clinical nurse consultant, nurse practitioner or medical practitioner; or</w:t>
      </w:r>
    </w:p>
    <w:p w:rsidR="00A67313" w:rsidRPr="009D1B8C" w:rsidRDefault="00A67313" w:rsidP="00A67313">
      <w:pPr>
        <w:pStyle w:val="paragraphsub"/>
      </w:pPr>
      <w:r w:rsidRPr="009D1B8C">
        <w:tab/>
        <w:t>(ii)</w:t>
      </w:r>
      <w:r w:rsidRPr="009D1B8C">
        <w:tab/>
        <w:t>another health practitioner who is trained in the use of the tool mentioned in paragraph (b); and</w:t>
      </w:r>
    </w:p>
    <w:p w:rsidR="00A67313" w:rsidRPr="009D1B8C" w:rsidRDefault="00A67313" w:rsidP="00A67313">
      <w:pPr>
        <w:pStyle w:val="paragraph"/>
      </w:pPr>
      <w:r w:rsidRPr="009D1B8C">
        <w:tab/>
        <w:t>(d)</w:t>
      </w:r>
      <w:r w:rsidRPr="009D1B8C">
        <w:tab/>
        <w:t xml:space="preserve">the assessment resulted in a score of </w:t>
      </w:r>
      <w:r w:rsidR="00A257AD">
        <w:t>33 or less</w:t>
      </w:r>
      <w:r w:rsidRPr="009D1B8C">
        <w:t>.</w:t>
      </w:r>
    </w:p>
    <w:p w:rsidR="00A67313" w:rsidRPr="009D1B8C" w:rsidRDefault="00A67313" w:rsidP="00A67313">
      <w:pPr>
        <w:pStyle w:val="subsection"/>
      </w:pPr>
      <w:r w:rsidRPr="009D1B8C">
        <w:rPr>
          <w:i/>
        </w:rPr>
        <w:tab/>
      </w:r>
      <w:r w:rsidRPr="009D1B8C">
        <w:t>(5)</w:t>
      </w:r>
      <w:r w:rsidRPr="009D1B8C">
        <w:tab/>
        <w:t xml:space="preserve">This subsection applies to a care recipient on a day if, immediately before 1 August 2013, the care recipient was receiving care, or was approved to receive </w:t>
      </w:r>
      <w:r w:rsidRPr="009D1B8C">
        <w:lastRenderedPageBreak/>
        <w:t>care, in respect of a place allocated for the provision of flexible care in the form of extended aged care at home—dementia.</w:t>
      </w:r>
    </w:p>
    <w:p w:rsidR="00A67313" w:rsidRPr="009D1B8C" w:rsidRDefault="00A67313" w:rsidP="00A67313">
      <w:pPr>
        <w:pStyle w:val="ActHead5"/>
      </w:pPr>
      <w:bookmarkStart w:id="21" w:name="_Toc379361532"/>
      <w:r w:rsidRPr="009D1B8C">
        <w:rPr>
          <w:rStyle w:val="CharSectno"/>
        </w:rPr>
        <w:t>19</w:t>
      </w:r>
      <w:r w:rsidRPr="009D1B8C">
        <w:t xml:space="preserve">  Dementia and cognition supplement amount</w:t>
      </w:r>
      <w:bookmarkEnd w:id="21"/>
    </w:p>
    <w:p w:rsidR="00A67313" w:rsidRPr="009D1B8C" w:rsidRDefault="00A67313" w:rsidP="00A67313">
      <w:pPr>
        <w:pStyle w:val="subsection"/>
      </w:pPr>
      <w:r w:rsidRPr="009D1B8C">
        <w:tab/>
      </w:r>
      <w:r w:rsidRPr="009D1B8C">
        <w:tab/>
        <w:t>The amount of the dementia and cognition supplement payable in respect of a day for an eligible care recipient is the amount that is 10% of the basic subsidy amount that is payable in respect of the day for the care recipient under section 7.</w:t>
      </w:r>
    </w:p>
    <w:p w:rsidR="00A67313" w:rsidRPr="009D1B8C" w:rsidRDefault="00A67313" w:rsidP="00A67313">
      <w:pPr>
        <w:pStyle w:val="ActHead3"/>
        <w:pageBreakBefore/>
      </w:pPr>
      <w:bookmarkStart w:id="22" w:name="_Toc379361533"/>
      <w:r w:rsidRPr="009D1B8C">
        <w:rPr>
          <w:rStyle w:val="CharDivNo"/>
        </w:rPr>
        <w:lastRenderedPageBreak/>
        <w:t>Division 2.6</w:t>
      </w:r>
      <w:r w:rsidRPr="009D1B8C">
        <w:t>—</w:t>
      </w:r>
      <w:r w:rsidRPr="009D1B8C">
        <w:rPr>
          <w:rStyle w:val="CharDivText"/>
        </w:rPr>
        <w:t>Veterans’ supplement</w:t>
      </w:r>
      <w:bookmarkEnd w:id="22"/>
    </w:p>
    <w:p w:rsidR="00A67313" w:rsidRPr="009D1B8C" w:rsidRDefault="00A67313" w:rsidP="00A67313">
      <w:pPr>
        <w:pStyle w:val="ActHead5"/>
      </w:pPr>
      <w:bookmarkStart w:id="23" w:name="_Toc379361534"/>
      <w:r w:rsidRPr="009D1B8C">
        <w:rPr>
          <w:rStyle w:val="CharSectno"/>
        </w:rPr>
        <w:t>20</w:t>
      </w:r>
      <w:r w:rsidRPr="009D1B8C">
        <w:t xml:space="preserve">  When veterans’ supplement applies</w:t>
      </w:r>
      <w:bookmarkEnd w:id="23"/>
    </w:p>
    <w:p w:rsidR="00A67313" w:rsidRPr="009D1B8C" w:rsidRDefault="00A67313" w:rsidP="00A67313">
      <w:pPr>
        <w:pStyle w:val="subsection"/>
      </w:pPr>
      <w:r w:rsidRPr="009D1B8C">
        <w:tab/>
        <w:t>(1)</w:t>
      </w:r>
      <w:r w:rsidRPr="009D1B8C">
        <w:tab/>
        <w:t xml:space="preserve">The veterans’ supplement applies to a care recipient (in this Division called an </w:t>
      </w:r>
      <w:r w:rsidRPr="009D1B8C">
        <w:rPr>
          <w:b/>
          <w:i/>
        </w:rPr>
        <w:t>eligible care recipient</w:t>
      </w:r>
      <w:r w:rsidRPr="009D1B8C">
        <w:t>) in respect of a day if:</w:t>
      </w:r>
    </w:p>
    <w:p w:rsidR="00A67313" w:rsidRPr="009D1B8C" w:rsidRDefault="00A67313" w:rsidP="00A67313">
      <w:pPr>
        <w:pStyle w:val="paragraph"/>
      </w:pPr>
      <w:r w:rsidRPr="009D1B8C">
        <w:tab/>
        <w:t>(a)</w:t>
      </w:r>
      <w:r w:rsidRPr="009D1B8C">
        <w:tab/>
        <w:t>on that day:</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there was in force a home care agreement under which the care recipient was to be provided with home care by an approved provider, whether or not the care was provided on that day; and</w:t>
      </w:r>
    </w:p>
    <w:p w:rsidR="00A67313" w:rsidRPr="009D1B8C" w:rsidRDefault="00A67313" w:rsidP="00A67313">
      <w:pPr>
        <w:pStyle w:val="paragraphsub"/>
      </w:pPr>
      <w:r w:rsidRPr="009D1B8C">
        <w:tab/>
        <w:t>(ii)</w:t>
      </w:r>
      <w:r w:rsidRPr="009D1B8C">
        <w:tab/>
        <w:t>the care recipient was a veteran who had an accepted mental health condition; and</w:t>
      </w:r>
    </w:p>
    <w:p w:rsidR="00A67313" w:rsidRPr="009D1B8C" w:rsidRDefault="00A67313" w:rsidP="00A67313">
      <w:pPr>
        <w:pStyle w:val="paragraph"/>
      </w:pPr>
      <w:r w:rsidRPr="009D1B8C">
        <w:tab/>
        <w:t>(b)</w:t>
      </w:r>
      <w:r w:rsidRPr="009D1B8C">
        <w:tab/>
        <w:t>the care recipient has, before, on or after that day, authorised:</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 xml:space="preserve">the Secretary of the Department administered by the Minister administering the </w:t>
      </w:r>
      <w:r w:rsidRPr="009D1B8C">
        <w:rPr>
          <w:i/>
        </w:rPr>
        <w:t>Veterans’ Entitlements Act 1986</w:t>
      </w:r>
      <w:r w:rsidRPr="009D1B8C">
        <w:t>; and</w:t>
      </w:r>
    </w:p>
    <w:p w:rsidR="00A67313" w:rsidRPr="009D1B8C" w:rsidRDefault="00A67313" w:rsidP="00A67313">
      <w:pPr>
        <w:pStyle w:val="paragraphsub"/>
      </w:pPr>
      <w:r w:rsidRPr="009D1B8C">
        <w:tab/>
        <w:t>(ii)</w:t>
      </w:r>
      <w:r w:rsidRPr="009D1B8C">
        <w:tab/>
        <w:t xml:space="preserve">the Secretary of the Department administered by the Minister administering the </w:t>
      </w:r>
      <w:r w:rsidRPr="009D1B8C">
        <w:rPr>
          <w:i/>
        </w:rPr>
        <w:t>Human Services (</w:t>
      </w:r>
      <w:proofErr w:type="spellStart"/>
      <w:r w:rsidRPr="009D1B8C">
        <w:rPr>
          <w:i/>
        </w:rPr>
        <w:t>Centrelink</w:t>
      </w:r>
      <w:proofErr w:type="spellEnd"/>
      <w:r w:rsidRPr="009D1B8C">
        <w:rPr>
          <w:i/>
        </w:rPr>
        <w:t>) Act 1997</w:t>
      </w:r>
      <w:r w:rsidRPr="009D1B8C">
        <w:t>;</w:t>
      </w:r>
    </w:p>
    <w:p w:rsidR="00A67313" w:rsidRPr="009D1B8C" w:rsidRDefault="00A67313" w:rsidP="00A67313">
      <w:pPr>
        <w:pStyle w:val="paragraph"/>
      </w:pPr>
      <w:r w:rsidRPr="009D1B8C">
        <w:tab/>
      </w:r>
      <w:r w:rsidRPr="009D1B8C">
        <w:tab/>
        <w:t>to disclose to the approved provider that the care recipient is a veteran with an accepted mental health condition.</w:t>
      </w:r>
    </w:p>
    <w:p w:rsidR="00A67313" w:rsidRPr="009D1B8C" w:rsidRDefault="00A67313" w:rsidP="00A67313">
      <w:pPr>
        <w:pStyle w:val="subsection"/>
      </w:pPr>
      <w:r w:rsidRPr="009D1B8C">
        <w:tab/>
        <w:t>(2)</w:t>
      </w:r>
      <w:r w:rsidRPr="009D1B8C">
        <w:tab/>
        <w:t>In this section:</w:t>
      </w:r>
    </w:p>
    <w:p w:rsidR="00A67313" w:rsidRPr="009D1B8C" w:rsidRDefault="00A67313" w:rsidP="00A67313">
      <w:pPr>
        <w:pStyle w:val="Definition"/>
      </w:pPr>
      <w:r w:rsidRPr="009D1B8C">
        <w:rPr>
          <w:b/>
          <w:i/>
        </w:rPr>
        <w:t>accepted mental health condition</w:t>
      </w:r>
      <w:r w:rsidRPr="009D1B8C">
        <w:t xml:space="preserve"> means a mental health condition for which:</w:t>
      </w:r>
    </w:p>
    <w:p w:rsidR="00A67313" w:rsidRPr="009D1B8C" w:rsidRDefault="00A67313" w:rsidP="00A67313">
      <w:pPr>
        <w:pStyle w:val="paragraph"/>
      </w:pPr>
      <w:r w:rsidRPr="009D1B8C">
        <w:tab/>
        <w:t>(a)</w:t>
      </w:r>
      <w:r w:rsidRPr="009D1B8C">
        <w:tab/>
        <w:t xml:space="preserve">the Repatriation Commission has accepted liability to pay a pension under the </w:t>
      </w:r>
      <w:r w:rsidRPr="009D1B8C">
        <w:rPr>
          <w:i/>
        </w:rPr>
        <w:t>Veterans’ Entitlements Act 1986</w:t>
      </w:r>
      <w:r w:rsidRPr="009D1B8C">
        <w:t>; or</w:t>
      </w:r>
    </w:p>
    <w:p w:rsidR="00A67313" w:rsidRPr="009D1B8C" w:rsidRDefault="00A67313" w:rsidP="00A67313">
      <w:pPr>
        <w:pStyle w:val="paragraph"/>
      </w:pPr>
      <w:r w:rsidRPr="009D1B8C">
        <w:tab/>
        <w:t>(b)</w:t>
      </w:r>
      <w:r w:rsidRPr="009D1B8C">
        <w:tab/>
        <w:t xml:space="preserve">the Military Rehabilitation and Compensation Commission has accepted liability to pay compensation under the </w:t>
      </w:r>
      <w:r w:rsidRPr="009D1B8C">
        <w:rPr>
          <w:i/>
        </w:rPr>
        <w:t>Military Rehabilitation and Compensation Act 2004</w:t>
      </w:r>
      <w:r w:rsidRPr="009D1B8C">
        <w:t xml:space="preserve"> or the </w:t>
      </w:r>
      <w:r w:rsidRPr="009D1B8C">
        <w:rPr>
          <w:i/>
        </w:rPr>
        <w:t>Safety, Rehabilitation and Compensation Act 1988</w:t>
      </w:r>
      <w:r w:rsidRPr="009D1B8C">
        <w:t>.</w:t>
      </w:r>
    </w:p>
    <w:p w:rsidR="00A67313" w:rsidRPr="009D1B8C" w:rsidRDefault="00A67313" w:rsidP="00A67313">
      <w:pPr>
        <w:pStyle w:val="Definition"/>
      </w:pPr>
      <w:r w:rsidRPr="009D1B8C">
        <w:rPr>
          <w:b/>
          <w:i/>
        </w:rPr>
        <w:t>veteran</w:t>
      </w:r>
      <w:r w:rsidRPr="009D1B8C">
        <w:t xml:space="preserve"> means a person:</w:t>
      </w:r>
    </w:p>
    <w:p w:rsidR="00A67313" w:rsidRPr="009D1B8C" w:rsidRDefault="00A67313" w:rsidP="00A67313">
      <w:pPr>
        <w:pStyle w:val="paragraph"/>
      </w:pPr>
      <w:r w:rsidRPr="009D1B8C">
        <w:tab/>
        <w:t>(a)</w:t>
      </w:r>
      <w:r w:rsidRPr="009D1B8C">
        <w:tab/>
        <w:t xml:space="preserve">who is taken, under section 7 of the </w:t>
      </w:r>
      <w:r w:rsidRPr="009D1B8C">
        <w:rPr>
          <w:i/>
        </w:rPr>
        <w:t>Veterans’ Entitlements Act 1986</w:t>
      </w:r>
      <w:r w:rsidRPr="009D1B8C">
        <w:t>, to have rendered eligible war service; or</w:t>
      </w:r>
    </w:p>
    <w:p w:rsidR="00A67313" w:rsidRPr="009D1B8C" w:rsidRDefault="00A67313" w:rsidP="00A67313">
      <w:pPr>
        <w:pStyle w:val="paragraph"/>
      </w:pPr>
      <w:r w:rsidRPr="009D1B8C">
        <w:tab/>
        <w:t>(b)</w:t>
      </w:r>
      <w:r w:rsidRPr="009D1B8C">
        <w:tab/>
        <w:t>in respect of whom a pension is payable under subsection 13(6) of that Act; or</w:t>
      </w:r>
    </w:p>
    <w:p w:rsidR="00A67313" w:rsidRPr="009D1B8C" w:rsidRDefault="00A67313" w:rsidP="00A67313">
      <w:pPr>
        <w:pStyle w:val="paragraph"/>
      </w:pPr>
      <w:r w:rsidRPr="009D1B8C">
        <w:tab/>
        <w:t>(c)</w:t>
      </w:r>
      <w:r w:rsidRPr="009D1B8C">
        <w:tab/>
        <w:t>who is:</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a member of the Forces within the meaning of subsection 68(1) of that Act; or</w:t>
      </w:r>
    </w:p>
    <w:p w:rsidR="00A67313" w:rsidRPr="009D1B8C" w:rsidRDefault="00A67313" w:rsidP="00A67313">
      <w:pPr>
        <w:pStyle w:val="paragraphsub"/>
      </w:pPr>
      <w:r w:rsidRPr="009D1B8C">
        <w:tab/>
        <w:t>(ii)</w:t>
      </w:r>
      <w:r w:rsidRPr="009D1B8C">
        <w:tab/>
        <w:t>a member of a Peacekeeping Force within the meaning of that subsection; or</w:t>
      </w:r>
    </w:p>
    <w:p w:rsidR="00A67313" w:rsidRPr="009D1B8C" w:rsidRDefault="00A67313" w:rsidP="00A67313">
      <w:pPr>
        <w:pStyle w:val="paragraph"/>
      </w:pPr>
      <w:r w:rsidRPr="009D1B8C">
        <w:tab/>
        <w:t>(d)</w:t>
      </w:r>
      <w:r w:rsidRPr="009D1B8C">
        <w:tab/>
        <w:t>who is:</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 xml:space="preserve">a member within the meaning of the </w:t>
      </w:r>
      <w:r w:rsidRPr="009D1B8C">
        <w:rPr>
          <w:i/>
        </w:rPr>
        <w:t>Military Rehabilitation and Compensation Act 2004</w:t>
      </w:r>
      <w:r w:rsidRPr="009D1B8C">
        <w:t>; or</w:t>
      </w:r>
    </w:p>
    <w:p w:rsidR="00A67313" w:rsidRPr="009D1B8C" w:rsidRDefault="00A67313" w:rsidP="00A67313">
      <w:pPr>
        <w:pStyle w:val="paragraphsub"/>
      </w:pPr>
      <w:r w:rsidRPr="009D1B8C">
        <w:tab/>
        <w:t>(ii)</w:t>
      </w:r>
      <w:r w:rsidRPr="009D1B8C">
        <w:tab/>
        <w:t>a former member within the meaning of that Act; or</w:t>
      </w:r>
    </w:p>
    <w:p w:rsidR="00A67313" w:rsidRPr="009D1B8C" w:rsidRDefault="00A67313" w:rsidP="00A67313">
      <w:pPr>
        <w:pStyle w:val="paragraph"/>
      </w:pPr>
      <w:r w:rsidRPr="009D1B8C">
        <w:tab/>
        <w:t>(e)</w:t>
      </w:r>
      <w:r w:rsidRPr="009D1B8C">
        <w:tab/>
        <w:t xml:space="preserve">who is an employee within the meaning of the </w:t>
      </w:r>
      <w:r w:rsidRPr="009D1B8C">
        <w:rPr>
          <w:i/>
        </w:rPr>
        <w:t>Safety, Rehabilitation and Compensation Act 1988</w:t>
      </w:r>
      <w:r w:rsidRPr="009D1B8C">
        <w:t>.</w:t>
      </w:r>
    </w:p>
    <w:p w:rsidR="00A67313" w:rsidRPr="009D1B8C" w:rsidRDefault="00A67313" w:rsidP="00D05789">
      <w:pPr>
        <w:pStyle w:val="notetext"/>
        <w:keepNext/>
        <w:keepLines/>
      </w:pPr>
      <w:r w:rsidRPr="009D1B8C">
        <w:lastRenderedPageBreak/>
        <w:t>Note:</w:t>
      </w:r>
      <w:r w:rsidRPr="009D1B8C">
        <w:tab/>
        <w:t>The Acts mentioned in paragraphs (c) and (e) provide that, in some cases:</w:t>
      </w:r>
    </w:p>
    <w:p w:rsidR="00A67313" w:rsidRPr="009D1B8C" w:rsidRDefault="00A67313" w:rsidP="00A67313">
      <w:pPr>
        <w:pStyle w:val="notepara"/>
      </w:pPr>
      <w:r w:rsidRPr="009D1B8C">
        <w:t>(a)</w:t>
      </w:r>
      <w:r w:rsidRPr="009D1B8C">
        <w:tab/>
        <w:t>a member of the Forces, or a member of a Peacekeeping Force, includes a person who is no longer serving; and</w:t>
      </w:r>
    </w:p>
    <w:p w:rsidR="00A67313" w:rsidRPr="009D1B8C" w:rsidRDefault="00A67313" w:rsidP="00A67313">
      <w:pPr>
        <w:pStyle w:val="notepara"/>
      </w:pPr>
      <w:r w:rsidRPr="009D1B8C">
        <w:t>(b)</w:t>
      </w:r>
      <w:r w:rsidRPr="009D1B8C">
        <w:tab/>
        <w:t>an employee includes a person who has ceased to be an employee.</w:t>
      </w:r>
    </w:p>
    <w:p w:rsidR="00A67313" w:rsidRPr="009D1B8C" w:rsidRDefault="00A67313" w:rsidP="00A67313">
      <w:pPr>
        <w:pStyle w:val="ActHead5"/>
      </w:pPr>
      <w:bookmarkStart w:id="24" w:name="_Toc379361535"/>
      <w:r w:rsidRPr="009D1B8C">
        <w:rPr>
          <w:rStyle w:val="CharSectno"/>
        </w:rPr>
        <w:t>21</w:t>
      </w:r>
      <w:r w:rsidRPr="009D1B8C">
        <w:t xml:space="preserve">  Veterans’ supplement amount</w:t>
      </w:r>
      <w:bookmarkEnd w:id="24"/>
    </w:p>
    <w:p w:rsidR="00A67313" w:rsidRPr="009D1B8C" w:rsidRDefault="00A67313" w:rsidP="00A67313">
      <w:pPr>
        <w:pStyle w:val="subsection"/>
      </w:pPr>
      <w:r w:rsidRPr="009D1B8C">
        <w:tab/>
      </w:r>
      <w:r w:rsidRPr="009D1B8C">
        <w:tab/>
        <w:t>The amount of the veterans’ supplement payable in respect of a day for an eligible care recipient is the amount that is 10% of the basic subsidy amount that is payable in respect of the day for the care recipient under section 7.</w:t>
      </w:r>
    </w:p>
    <w:p w:rsidR="00A67313" w:rsidRPr="009D1B8C" w:rsidRDefault="00A67313" w:rsidP="00A67313">
      <w:pPr>
        <w:pStyle w:val="ActHead3"/>
        <w:pageBreakBefore/>
      </w:pPr>
      <w:bookmarkStart w:id="25" w:name="_Toc379361536"/>
      <w:r w:rsidRPr="009D1B8C">
        <w:rPr>
          <w:rStyle w:val="CharDivNo"/>
        </w:rPr>
        <w:lastRenderedPageBreak/>
        <w:t>Division 2.7</w:t>
      </w:r>
      <w:r w:rsidRPr="009D1B8C">
        <w:t>—</w:t>
      </w:r>
      <w:r w:rsidRPr="009D1B8C">
        <w:rPr>
          <w:rStyle w:val="CharDivText"/>
        </w:rPr>
        <w:t>Top</w:t>
      </w:r>
      <w:r w:rsidRPr="009D1B8C">
        <w:rPr>
          <w:rStyle w:val="CharDivText"/>
        </w:rPr>
        <w:noBreakHyphen/>
        <w:t>up supplement</w:t>
      </w:r>
      <w:bookmarkEnd w:id="25"/>
    </w:p>
    <w:p w:rsidR="00A67313" w:rsidRPr="009D1B8C" w:rsidRDefault="00A67313" w:rsidP="00A67313">
      <w:pPr>
        <w:pStyle w:val="ActHead5"/>
      </w:pPr>
      <w:bookmarkStart w:id="26" w:name="_Toc379361537"/>
      <w:r w:rsidRPr="009D1B8C">
        <w:rPr>
          <w:rStyle w:val="CharSectno"/>
        </w:rPr>
        <w:t>22</w:t>
      </w:r>
      <w:r w:rsidRPr="009D1B8C">
        <w:t xml:space="preserve">  When top</w:t>
      </w:r>
      <w:r>
        <w:noBreakHyphen/>
      </w:r>
      <w:r w:rsidRPr="009D1B8C">
        <w:t>up supplement applies</w:t>
      </w:r>
      <w:bookmarkEnd w:id="26"/>
    </w:p>
    <w:p w:rsidR="00A67313" w:rsidRPr="009D1B8C" w:rsidRDefault="00A67313" w:rsidP="00A67313">
      <w:pPr>
        <w:pStyle w:val="subsection"/>
      </w:pPr>
      <w:r w:rsidRPr="009D1B8C">
        <w:tab/>
      </w:r>
      <w:r w:rsidRPr="009D1B8C">
        <w:tab/>
        <w:t>The top</w:t>
      </w:r>
      <w:r>
        <w:noBreakHyphen/>
      </w:r>
      <w:r w:rsidRPr="009D1B8C">
        <w:t xml:space="preserve">up supplement applies to a care recipient (in this Division called an </w:t>
      </w:r>
      <w:r w:rsidRPr="009D1B8C">
        <w:rPr>
          <w:b/>
          <w:i/>
        </w:rPr>
        <w:t>eligible care recipient</w:t>
      </w:r>
      <w:r w:rsidRPr="009D1B8C">
        <w:t xml:space="preserve">) in respect of a day (the </w:t>
      </w:r>
      <w:r w:rsidRPr="009D1B8C">
        <w:rPr>
          <w:b/>
          <w:i/>
        </w:rPr>
        <w:t>relevant day</w:t>
      </w:r>
      <w:r w:rsidRPr="009D1B8C">
        <w:t>) if:</w:t>
      </w:r>
    </w:p>
    <w:p w:rsidR="00A67313" w:rsidRPr="009D1B8C" w:rsidRDefault="00A67313" w:rsidP="00A67313">
      <w:pPr>
        <w:pStyle w:val="paragraph"/>
      </w:pPr>
      <w:r w:rsidRPr="009D1B8C">
        <w:tab/>
        <w:t>(a)</w:t>
      </w:r>
      <w:r w:rsidRPr="009D1B8C">
        <w:tab/>
        <w:t xml:space="preserve">on a day (the </w:t>
      </w:r>
      <w:r w:rsidRPr="009D1B8C">
        <w:rPr>
          <w:b/>
          <w:i/>
        </w:rPr>
        <w:t>eligibility start day</w:t>
      </w:r>
      <w:r w:rsidRPr="009D1B8C">
        <w:t>) within the period of 28 days ending immediately before 1 August 2013, the care recipient was being provided with care in respect of a place allocated for the provision of flexible care in the form of extended aged care at home—dementia; and</w:t>
      </w:r>
    </w:p>
    <w:p w:rsidR="00A67313" w:rsidRPr="009D1B8C" w:rsidRDefault="00A67313" w:rsidP="00A67313">
      <w:pPr>
        <w:pStyle w:val="paragraph"/>
      </w:pPr>
      <w:r w:rsidRPr="009D1B8C">
        <w:tab/>
        <w:t>(b)</w:t>
      </w:r>
      <w:r w:rsidRPr="009D1B8C">
        <w:tab/>
        <w:t>during the relevant day, there was in force a home care agreement under which the care recipient was to be provided with home care level 4 by an approved provider, whether or not the care was to be provided on the relevant day; and</w:t>
      </w:r>
    </w:p>
    <w:p w:rsidR="00A67313" w:rsidRPr="009D1B8C" w:rsidRDefault="00A67313" w:rsidP="00A67313">
      <w:pPr>
        <w:pStyle w:val="paragraph"/>
      </w:pPr>
      <w:r w:rsidRPr="009D1B8C">
        <w:tab/>
        <w:t>(c)</w:t>
      </w:r>
      <w:r w:rsidRPr="009D1B8C">
        <w:tab/>
        <w:t>there has not been 28 consecutive days within the period beginning on the eligibility start day and ending on the relevant day during which:</w:t>
      </w:r>
    </w:p>
    <w:p w:rsidR="00A67313" w:rsidRPr="009D1B8C" w:rsidRDefault="00A67313" w:rsidP="00A67313">
      <w:pPr>
        <w:pStyle w:val="paragraphsub"/>
      </w:pPr>
      <w:r w:rsidRPr="009D1B8C">
        <w:tab/>
        <w:t>(</w:t>
      </w:r>
      <w:proofErr w:type="spellStart"/>
      <w:r w:rsidRPr="009D1B8C">
        <w:t>i</w:t>
      </w:r>
      <w:proofErr w:type="spellEnd"/>
      <w:r w:rsidRPr="009D1B8C">
        <w:t>)</w:t>
      </w:r>
      <w:r w:rsidRPr="009D1B8C">
        <w:tab/>
        <w:t>care of a kind mentioned in paragraph (a); or</w:t>
      </w:r>
    </w:p>
    <w:p w:rsidR="00A67313" w:rsidRPr="009D1B8C" w:rsidRDefault="00A67313" w:rsidP="00A67313">
      <w:pPr>
        <w:pStyle w:val="paragraphsub"/>
      </w:pPr>
      <w:r w:rsidRPr="009D1B8C">
        <w:tab/>
        <w:t>(ii)</w:t>
      </w:r>
      <w:r w:rsidRPr="009D1B8C">
        <w:tab/>
        <w:t>home care in accordance with a home care agreement;</w:t>
      </w:r>
    </w:p>
    <w:p w:rsidR="00A67313" w:rsidRPr="009D1B8C" w:rsidRDefault="00A67313" w:rsidP="00A67313">
      <w:pPr>
        <w:pStyle w:val="paragraph"/>
      </w:pPr>
      <w:r w:rsidRPr="009D1B8C">
        <w:tab/>
      </w:r>
      <w:r w:rsidRPr="009D1B8C">
        <w:tab/>
        <w:t>was not provided to the care recipient.</w:t>
      </w:r>
    </w:p>
    <w:p w:rsidR="00A67313" w:rsidRPr="009D1B8C" w:rsidRDefault="00A67313" w:rsidP="00A67313">
      <w:pPr>
        <w:pStyle w:val="notetext"/>
      </w:pPr>
      <w:r w:rsidRPr="009D1B8C">
        <w:t>Note:</w:t>
      </w:r>
      <w:r w:rsidRPr="009D1B8C">
        <w:tab/>
        <w:t>If the provision of home care to the care recipient is suspended for a period under section 46</w:t>
      </w:r>
      <w:r>
        <w:noBreakHyphen/>
      </w:r>
      <w:r w:rsidRPr="009D1B8C">
        <w:t xml:space="preserve">2 of the Act, the home care agreement under which the home care is provided is taken to remain in force during the suspension period, and the care recipient is taken to have been provided with home care, as required by the agreement, on each day of the suspension period: see the </w:t>
      </w:r>
      <w:r w:rsidRPr="009D1B8C">
        <w:rPr>
          <w:i/>
        </w:rPr>
        <w:t>Home Care Subsidy Principles 2013</w:t>
      </w:r>
      <w:r w:rsidRPr="009D1B8C">
        <w:t>.</w:t>
      </w:r>
    </w:p>
    <w:p w:rsidR="00A67313" w:rsidRPr="009D1B8C" w:rsidRDefault="00A67313" w:rsidP="00A67313">
      <w:pPr>
        <w:pStyle w:val="ActHead5"/>
      </w:pPr>
      <w:bookmarkStart w:id="27" w:name="_Toc379361538"/>
      <w:r w:rsidRPr="009D1B8C">
        <w:rPr>
          <w:rStyle w:val="CharSectno"/>
        </w:rPr>
        <w:t>23</w:t>
      </w:r>
      <w:r w:rsidRPr="009D1B8C">
        <w:t xml:space="preserve">  Top</w:t>
      </w:r>
      <w:r>
        <w:noBreakHyphen/>
      </w:r>
      <w:r w:rsidRPr="009D1B8C">
        <w:t>up supplement amount</w:t>
      </w:r>
      <w:bookmarkEnd w:id="27"/>
    </w:p>
    <w:p w:rsidR="00A67313" w:rsidRDefault="00A67313" w:rsidP="00A67313">
      <w:pPr>
        <w:pStyle w:val="subsection"/>
      </w:pPr>
      <w:r w:rsidRPr="009D1B8C">
        <w:tab/>
      </w:r>
      <w:r w:rsidRPr="009D1B8C">
        <w:tab/>
        <w:t>The amount of the top</w:t>
      </w:r>
      <w:r>
        <w:noBreakHyphen/>
      </w:r>
      <w:r w:rsidRPr="009D1B8C">
        <w:t>up supplement payable in respect of a day for an eligible care recipient is $2.47.</w:t>
      </w:r>
    </w:p>
    <w:p w:rsidR="006E0B3F" w:rsidRPr="009D1B8C" w:rsidRDefault="006E0B3F" w:rsidP="00A67313">
      <w:pPr>
        <w:pStyle w:val="subsection"/>
      </w:pPr>
    </w:p>
    <w:p w:rsidR="00A67313" w:rsidRPr="004F34D7" w:rsidRDefault="00A67313" w:rsidP="00A67313">
      <w:pPr>
        <w:sectPr w:rsidR="00A67313" w:rsidRPr="004F34D7" w:rsidSect="00DE19CA">
          <w:headerReference w:type="even" r:id="rId21"/>
          <w:headerReference w:type="default" r:id="rId22"/>
          <w:footerReference w:type="even" r:id="rId23"/>
          <w:footerReference w:type="default" r:id="rId24"/>
          <w:headerReference w:type="first" r:id="rId25"/>
          <w:footerReference w:type="first" r:id="rId26"/>
          <w:pgSz w:w="11907" w:h="16839" w:code="9"/>
          <w:pgMar w:top="2234" w:right="1797" w:bottom="1440" w:left="1797" w:header="720" w:footer="709" w:gutter="0"/>
          <w:pgNumType w:start="1"/>
          <w:cols w:space="708"/>
          <w:docGrid w:linePitch="360"/>
        </w:sectPr>
      </w:pPr>
      <w:bookmarkStart w:id="28" w:name="OPCSB_BodyPrincipleA4"/>
    </w:p>
    <w:p w:rsidR="00A93CC4" w:rsidRPr="00923BB3" w:rsidRDefault="00A93CC4" w:rsidP="00A93CC4">
      <w:pPr>
        <w:pStyle w:val="ENotesHeading1"/>
        <w:pageBreakBefore/>
        <w:spacing w:line="240" w:lineRule="atLeast"/>
        <w:outlineLvl w:val="9"/>
      </w:pPr>
      <w:bookmarkStart w:id="29" w:name="_Toc379361539"/>
      <w:bookmarkEnd w:id="28"/>
      <w:r w:rsidRPr="00923BB3">
        <w:lastRenderedPageBreak/>
        <w:t>Endnotes</w:t>
      </w:r>
      <w:bookmarkEnd w:id="29"/>
    </w:p>
    <w:p w:rsidR="00A67313" w:rsidRPr="00BC57F4" w:rsidRDefault="00A67313" w:rsidP="00A93CC4">
      <w:pPr>
        <w:pStyle w:val="ENotesHeading2"/>
        <w:spacing w:line="240" w:lineRule="atLeast"/>
      </w:pPr>
      <w:bookmarkStart w:id="30" w:name="_Toc379361540"/>
      <w:r w:rsidRPr="00BC57F4">
        <w:t>Endnote 1—About the endnotes</w:t>
      </w:r>
      <w:bookmarkEnd w:id="30"/>
    </w:p>
    <w:p w:rsidR="00A67313" w:rsidRPr="00BC57F4" w:rsidRDefault="00A67313" w:rsidP="00A93CC4">
      <w:pPr>
        <w:spacing w:line="240" w:lineRule="atLeast"/>
      </w:pPr>
      <w:r w:rsidRPr="00BC57F4">
        <w:t xml:space="preserve">The endnotes provide details of the history of this </w:t>
      </w:r>
      <w:r>
        <w:t>legislation</w:t>
      </w:r>
      <w:r w:rsidRPr="00BC57F4">
        <w:t xml:space="preserve"> and its provisions. The following endnotes are included in each compilation:</w:t>
      </w:r>
    </w:p>
    <w:p w:rsidR="00A67313" w:rsidRPr="00BC57F4" w:rsidRDefault="00A67313" w:rsidP="00A93CC4">
      <w:pPr>
        <w:spacing w:line="240" w:lineRule="atLeast"/>
      </w:pPr>
    </w:p>
    <w:p w:rsidR="00A67313" w:rsidRPr="00BC57F4" w:rsidRDefault="00A67313" w:rsidP="00A93CC4">
      <w:pPr>
        <w:spacing w:line="240" w:lineRule="atLeast"/>
      </w:pPr>
      <w:r w:rsidRPr="00BC57F4">
        <w:t>Endnote 1—About the endnotes</w:t>
      </w:r>
    </w:p>
    <w:p w:rsidR="00A67313" w:rsidRPr="00BC57F4" w:rsidRDefault="00A67313" w:rsidP="00A93CC4">
      <w:pPr>
        <w:spacing w:line="240" w:lineRule="atLeast"/>
      </w:pPr>
      <w:r w:rsidRPr="00BC57F4">
        <w:t>Endnote 2—Abbreviation key</w:t>
      </w:r>
    </w:p>
    <w:p w:rsidR="00A67313" w:rsidRPr="00BC57F4" w:rsidRDefault="00A67313" w:rsidP="00A93CC4">
      <w:pPr>
        <w:spacing w:line="240" w:lineRule="atLeast"/>
      </w:pPr>
      <w:r w:rsidRPr="00BC57F4">
        <w:t>Endnote 3—Legislation history</w:t>
      </w:r>
    </w:p>
    <w:p w:rsidR="00A67313" w:rsidRPr="00BC57F4" w:rsidRDefault="00A67313" w:rsidP="00A93CC4">
      <w:pPr>
        <w:spacing w:line="240" w:lineRule="atLeast"/>
      </w:pPr>
      <w:r w:rsidRPr="00BC57F4">
        <w:t>Endnote 4—Amendment history</w:t>
      </w:r>
    </w:p>
    <w:p w:rsidR="00A67313" w:rsidRPr="00BC57F4" w:rsidRDefault="00A67313" w:rsidP="00A93CC4">
      <w:pPr>
        <w:spacing w:line="240" w:lineRule="atLeast"/>
      </w:pPr>
      <w:r w:rsidRPr="00BC57F4">
        <w:t>Endnote 5—</w:t>
      </w:r>
      <w:proofErr w:type="spellStart"/>
      <w:r w:rsidRPr="00BC57F4">
        <w:t>Uncommenced</w:t>
      </w:r>
      <w:proofErr w:type="spellEnd"/>
      <w:r w:rsidRPr="00BC57F4">
        <w:t xml:space="preserve"> amendments</w:t>
      </w:r>
    </w:p>
    <w:p w:rsidR="00A67313" w:rsidRPr="00BC57F4" w:rsidRDefault="00A67313" w:rsidP="00A93CC4">
      <w:pPr>
        <w:spacing w:line="240" w:lineRule="atLeast"/>
      </w:pPr>
      <w:r w:rsidRPr="00BC57F4">
        <w:t>Endnote 6—Modifications</w:t>
      </w:r>
    </w:p>
    <w:p w:rsidR="00A67313" w:rsidRPr="00BC57F4" w:rsidRDefault="00A67313" w:rsidP="00A93CC4">
      <w:pPr>
        <w:spacing w:line="240" w:lineRule="atLeast"/>
      </w:pPr>
      <w:r w:rsidRPr="00BC57F4">
        <w:t>Endnote 7—</w:t>
      </w:r>
      <w:proofErr w:type="spellStart"/>
      <w:r w:rsidRPr="00BC57F4">
        <w:t>Misdescribed</w:t>
      </w:r>
      <w:proofErr w:type="spellEnd"/>
      <w:r w:rsidRPr="00BC57F4">
        <w:t xml:space="preserve"> amendments</w:t>
      </w:r>
    </w:p>
    <w:p w:rsidR="00A67313" w:rsidRPr="00BC57F4" w:rsidRDefault="00A67313" w:rsidP="00A93CC4">
      <w:pPr>
        <w:spacing w:line="240" w:lineRule="atLeast"/>
      </w:pPr>
      <w:r w:rsidRPr="00BC57F4">
        <w:t>Endnote 8—Miscellaneous</w:t>
      </w:r>
    </w:p>
    <w:p w:rsidR="00A67313" w:rsidRPr="00BC57F4" w:rsidRDefault="00A67313" w:rsidP="00A93CC4">
      <w:pPr>
        <w:spacing w:line="240" w:lineRule="atLeast"/>
        <w:rPr>
          <w:b/>
        </w:rPr>
      </w:pPr>
    </w:p>
    <w:p w:rsidR="00A67313" w:rsidRPr="00BC57F4" w:rsidRDefault="00A67313" w:rsidP="00A93CC4">
      <w:pPr>
        <w:spacing w:line="240" w:lineRule="atLeast"/>
      </w:pPr>
      <w:r w:rsidRPr="00BC57F4">
        <w:t>If there is no information under a particular endnote, the word “none” will appear in square brackets after the endnote heading.</w:t>
      </w:r>
    </w:p>
    <w:p w:rsidR="00A67313" w:rsidRPr="00BC57F4" w:rsidRDefault="00A67313" w:rsidP="00A93CC4">
      <w:pPr>
        <w:spacing w:line="240" w:lineRule="atLeast"/>
        <w:rPr>
          <w:b/>
        </w:rPr>
      </w:pPr>
    </w:p>
    <w:p w:rsidR="00A67313" w:rsidRPr="00BC57F4" w:rsidRDefault="00A67313" w:rsidP="00A93CC4">
      <w:pPr>
        <w:spacing w:line="240" w:lineRule="atLeast"/>
      </w:pPr>
      <w:r w:rsidRPr="00BC57F4">
        <w:rPr>
          <w:b/>
        </w:rPr>
        <w:t>Abbreviation key—</w:t>
      </w:r>
      <w:r>
        <w:rPr>
          <w:b/>
        </w:rPr>
        <w:t>E</w:t>
      </w:r>
      <w:r w:rsidRPr="00BC57F4">
        <w:rPr>
          <w:b/>
        </w:rPr>
        <w:t>ndnote 2</w:t>
      </w:r>
    </w:p>
    <w:p w:rsidR="00A67313" w:rsidRPr="00BC57F4" w:rsidRDefault="00A67313" w:rsidP="00A93CC4">
      <w:pPr>
        <w:spacing w:line="240" w:lineRule="atLeast"/>
      </w:pPr>
      <w:r w:rsidRPr="00BC57F4">
        <w:t xml:space="preserve">The abbreviation key in this endnote sets out abbreviations </w:t>
      </w:r>
      <w:r>
        <w:t xml:space="preserve">that may be </w:t>
      </w:r>
      <w:r w:rsidRPr="00BC57F4">
        <w:t>used in the endnotes.</w:t>
      </w:r>
    </w:p>
    <w:p w:rsidR="00A67313" w:rsidRPr="00BC57F4" w:rsidRDefault="00A67313" w:rsidP="00A93CC4">
      <w:pPr>
        <w:spacing w:line="240" w:lineRule="atLeast"/>
      </w:pPr>
    </w:p>
    <w:p w:rsidR="00A67313" w:rsidRPr="00BC57F4" w:rsidRDefault="00A67313" w:rsidP="00A93CC4">
      <w:pPr>
        <w:spacing w:line="240" w:lineRule="atLeast"/>
        <w:rPr>
          <w:b/>
        </w:rPr>
      </w:pPr>
      <w:r w:rsidRPr="00BC57F4">
        <w:rPr>
          <w:b/>
        </w:rPr>
        <w:t>Legislation history and amendment history—</w:t>
      </w:r>
      <w:r>
        <w:rPr>
          <w:b/>
        </w:rPr>
        <w:t>E</w:t>
      </w:r>
      <w:r w:rsidRPr="00BC57F4">
        <w:rPr>
          <w:b/>
        </w:rPr>
        <w:t>ndnotes 3 and 4</w:t>
      </w:r>
    </w:p>
    <w:p w:rsidR="00A67313" w:rsidRPr="00BC57F4" w:rsidRDefault="00A67313" w:rsidP="00A93CC4">
      <w:pPr>
        <w:spacing w:line="240" w:lineRule="atLeast"/>
      </w:pPr>
      <w:r w:rsidRPr="00BC57F4">
        <w:t>Amending laws are annotated in the legislation history and amendment history.</w:t>
      </w:r>
    </w:p>
    <w:p w:rsidR="00A67313" w:rsidRPr="00BC57F4" w:rsidRDefault="00A67313" w:rsidP="00A93CC4">
      <w:pPr>
        <w:spacing w:line="240" w:lineRule="atLeast"/>
      </w:pPr>
    </w:p>
    <w:p w:rsidR="00A67313" w:rsidRPr="00BC57F4" w:rsidRDefault="00A67313" w:rsidP="00A93CC4">
      <w:pPr>
        <w:spacing w:line="240" w:lineRule="atLeast"/>
      </w:pPr>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A67313" w:rsidRPr="00BC57F4" w:rsidRDefault="00A67313" w:rsidP="00A93CC4">
      <w:pPr>
        <w:spacing w:line="240" w:lineRule="atLeast"/>
      </w:pPr>
    </w:p>
    <w:p w:rsidR="00A67313" w:rsidRDefault="00A67313" w:rsidP="00A93CC4">
      <w:pPr>
        <w:spacing w:line="240" w:lineRule="atLeast"/>
      </w:pPr>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A67313" w:rsidRPr="00BC57F4" w:rsidRDefault="00A67313" w:rsidP="00A93CC4">
      <w:pPr>
        <w:spacing w:line="240" w:lineRule="atLeast"/>
      </w:pPr>
    </w:p>
    <w:p w:rsidR="00A67313" w:rsidRPr="00BC57F4" w:rsidRDefault="00A67313" w:rsidP="00A93CC4">
      <w:pPr>
        <w:spacing w:line="240" w:lineRule="atLeast"/>
        <w:rPr>
          <w:b/>
        </w:rPr>
      </w:pPr>
      <w:proofErr w:type="spellStart"/>
      <w:r w:rsidRPr="00BC57F4">
        <w:rPr>
          <w:b/>
        </w:rPr>
        <w:t>Uncommenced</w:t>
      </w:r>
      <w:proofErr w:type="spellEnd"/>
      <w:r w:rsidRPr="00BC57F4">
        <w:rPr>
          <w:b/>
        </w:rPr>
        <w:t xml:space="preserve"> amendments—</w:t>
      </w:r>
      <w:r>
        <w:rPr>
          <w:b/>
        </w:rPr>
        <w:t>E</w:t>
      </w:r>
      <w:r w:rsidRPr="00BC57F4">
        <w:rPr>
          <w:b/>
        </w:rPr>
        <w:t>ndnote 5</w:t>
      </w:r>
    </w:p>
    <w:p w:rsidR="00A67313" w:rsidRPr="00BC57F4" w:rsidRDefault="00A67313" w:rsidP="00A93CC4">
      <w:pPr>
        <w:spacing w:line="240" w:lineRule="atLeast"/>
      </w:pPr>
      <w:r w:rsidRPr="00BC57F4">
        <w:t xml:space="preserve">The effect of </w:t>
      </w:r>
      <w:proofErr w:type="spellStart"/>
      <w:r w:rsidRPr="00BC57F4">
        <w:t>uncommenced</w:t>
      </w:r>
      <w:proofErr w:type="spellEnd"/>
      <w:r w:rsidRPr="00BC57F4">
        <w:t xml:space="preserve"> amendments is not reflected </w:t>
      </w:r>
      <w:r>
        <w:t>in the text of the compiled law</w:t>
      </w:r>
      <w:r w:rsidRPr="00BC57F4">
        <w:t xml:space="preserve"> but the text of the amendments </w:t>
      </w:r>
      <w:r>
        <w:t>is</w:t>
      </w:r>
      <w:r w:rsidRPr="00BC57F4">
        <w:t xml:space="preserve"> included in endnote 5.</w:t>
      </w:r>
    </w:p>
    <w:p w:rsidR="006E0B3F" w:rsidRDefault="006E0B3F" w:rsidP="00A93CC4">
      <w:pPr>
        <w:keepNext/>
        <w:spacing w:line="240" w:lineRule="atLeast"/>
        <w:rPr>
          <w:b/>
        </w:rPr>
      </w:pPr>
    </w:p>
    <w:p w:rsidR="00A67313" w:rsidRPr="00BC57F4" w:rsidRDefault="00A67313" w:rsidP="00A93CC4">
      <w:pPr>
        <w:keepNext/>
        <w:spacing w:line="240" w:lineRule="atLeast"/>
        <w:rPr>
          <w:b/>
        </w:rPr>
      </w:pPr>
      <w:r w:rsidRPr="00BC57F4">
        <w:rPr>
          <w:b/>
        </w:rPr>
        <w:t>Modifications—</w:t>
      </w:r>
      <w:r>
        <w:rPr>
          <w:b/>
        </w:rPr>
        <w:t>E</w:t>
      </w:r>
      <w:r w:rsidRPr="00BC57F4">
        <w:rPr>
          <w:b/>
        </w:rPr>
        <w:t>ndnote 6</w:t>
      </w:r>
    </w:p>
    <w:p w:rsidR="00A67313" w:rsidRPr="00BC57F4" w:rsidRDefault="00A67313" w:rsidP="00A93CC4">
      <w:pPr>
        <w:spacing w:line="240" w:lineRule="atLeast"/>
      </w:pPr>
      <w:r w:rsidRPr="00BC57F4">
        <w:t>If the compiled law is affected by a modification that is in force, details of the modification are included in endnote 6.</w:t>
      </w:r>
    </w:p>
    <w:p w:rsidR="00A67313" w:rsidRPr="00BC57F4" w:rsidRDefault="00A67313" w:rsidP="00A93CC4">
      <w:pPr>
        <w:spacing w:line="240" w:lineRule="atLeast"/>
      </w:pPr>
    </w:p>
    <w:p w:rsidR="00A67313" w:rsidRPr="00BC57F4" w:rsidRDefault="00A67313" w:rsidP="00A93CC4">
      <w:pPr>
        <w:keepNext/>
        <w:spacing w:line="240" w:lineRule="atLeast"/>
      </w:pPr>
      <w:proofErr w:type="spellStart"/>
      <w:r w:rsidRPr="00BC57F4">
        <w:rPr>
          <w:b/>
        </w:rPr>
        <w:t>Misdescribed</w:t>
      </w:r>
      <w:proofErr w:type="spellEnd"/>
      <w:r w:rsidRPr="00BC57F4">
        <w:rPr>
          <w:b/>
        </w:rPr>
        <w:t xml:space="preserve"> amendments—</w:t>
      </w:r>
      <w:r>
        <w:rPr>
          <w:b/>
        </w:rPr>
        <w:t>E</w:t>
      </w:r>
      <w:r w:rsidRPr="00BC57F4">
        <w:rPr>
          <w:b/>
        </w:rPr>
        <w:t>ndnote 7</w:t>
      </w:r>
    </w:p>
    <w:p w:rsidR="00A67313" w:rsidRPr="00BC57F4" w:rsidRDefault="00A67313" w:rsidP="00A93CC4">
      <w:pPr>
        <w:spacing w:line="240" w:lineRule="atLeast"/>
      </w:pPr>
      <w:r w:rsidRPr="00BC57F4">
        <w:t xml:space="preserve">An amendment is a </w:t>
      </w:r>
      <w:proofErr w:type="spellStart"/>
      <w:r w:rsidRPr="00BC57F4">
        <w:t>misdescribed</w:t>
      </w:r>
      <w:proofErr w:type="spellEnd"/>
      <w:r w:rsidRPr="00BC57F4">
        <w:t xml:space="preserve"> amendment if the effect of the amendment cannot be incorporated into the text of the compilation</w:t>
      </w:r>
      <w:r>
        <w:t>.</w:t>
      </w:r>
      <w:r w:rsidRPr="00BC57F4">
        <w:t xml:space="preserve"> Any </w:t>
      </w:r>
      <w:proofErr w:type="spellStart"/>
      <w:r w:rsidRPr="00BC57F4">
        <w:t>misdescribed</w:t>
      </w:r>
      <w:proofErr w:type="spellEnd"/>
      <w:r w:rsidRPr="00BC57F4">
        <w:t xml:space="preserve"> amendment is included in endnote </w:t>
      </w:r>
      <w:r>
        <w:t>7</w:t>
      </w:r>
      <w:r w:rsidRPr="00BC57F4">
        <w:t>.</w:t>
      </w:r>
    </w:p>
    <w:p w:rsidR="00A67313" w:rsidRPr="00BC57F4" w:rsidRDefault="00A67313" w:rsidP="00A93CC4">
      <w:pPr>
        <w:spacing w:line="240" w:lineRule="atLeast"/>
      </w:pPr>
    </w:p>
    <w:p w:rsidR="00A67313" w:rsidRPr="00BC57F4" w:rsidRDefault="00A67313" w:rsidP="00A93CC4">
      <w:pPr>
        <w:spacing w:line="240" w:lineRule="atLeast"/>
        <w:rPr>
          <w:b/>
        </w:rPr>
      </w:pPr>
      <w:r w:rsidRPr="00BC57F4">
        <w:rPr>
          <w:b/>
        </w:rPr>
        <w:t>Miscellaneous—</w:t>
      </w:r>
      <w:r>
        <w:rPr>
          <w:b/>
        </w:rPr>
        <w:t>E</w:t>
      </w:r>
      <w:r w:rsidRPr="00BC57F4">
        <w:rPr>
          <w:b/>
        </w:rPr>
        <w:t xml:space="preserve">ndnote </w:t>
      </w:r>
      <w:r>
        <w:rPr>
          <w:b/>
        </w:rPr>
        <w:t>8</w:t>
      </w:r>
    </w:p>
    <w:p w:rsidR="00A67313" w:rsidRPr="00BC57F4" w:rsidRDefault="00A67313" w:rsidP="00A93CC4">
      <w:pPr>
        <w:spacing w:line="240" w:lineRule="atLeast"/>
      </w:pPr>
      <w:r w:rsidRPr="00BC57F4">
        <w:t xml:space="preserve">Endnote </w:t>
      </w:r>
      <w:r>
        <w:t>8</w:t>
      </w:r>
      <w:r w:rsidRPr="00BC57F4">
        <w:t xml:space="preserve"> includes any additional information </w:t>
      </w:r>
      <w:r>
        <w:t>that may</w:t>
      </w:r>
      <w:r w:rsidRPr="00BC57F4">
        <w:t xml:space="preserve"> be helpful for a reader of the compilation.</w:t>
      </w:r>
    </w:p>
    <w:p w:rsidR="00A67313" w:rsidRPr="00BC57F4" w:rsidRDefault="00A67313" w:rsidP="00A67313">
      <w:pPr>
        <w:pStyle w:val="ENotesHeading2"/>
        <w:pageBreakBefore/>
        <w:outlineLvl w:val="9"/>
      </w:pPr>
      <w:bookmarkStart w:id="31" w:name="_Toc379361541"/>
      <w:r w:rsidRPr="00BC57F4">
        <w:lastRenderedPageBreak/>
        <w:t>Endnote 2—Abbreviation key</w:t>
      </w:r>
      <w:bookmarkEnd w:id="31"/>
    </w:p>
    <w:p w:rsidR="00A67313" w:rsidRDefault="00A67313" w:rsidP="00A67313">
      <w:pPr>
        <w:pStyle w:val="Tabletext"/>
      </w:pPr>
    </w:p>
    <w:tbl>
      <w:tblPr>
        <w:tblW w:w="0" w:type="auto"/>
        <w:tblInd w:w="113" w:type="dxa"/>
        <w:tblLayout w:type="fixed"/>
        <w:tblLook w:val="0000" w:firstRow="0" w:lastRow="0" w:firstColumn="0" w:lastColumn="0" w:noHBand="0" w:noVBand="0"/>
      </w:tblPr>
      <w:tblGrid>
        <w:gridCol w:w="3543"/>
        <w:gridCol w:w="3543"/>
      </w:tblGrid>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ad = added or inserted</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pres</w:t>
            </w:r>
            <w:proofErr w:type="spellEnd"/>
            <w:r w:rsidRPr="007114C6">
              <w:rPr>
                <w:sz w:val="20"/>
              </w:rPr>
              <w:t xml:space="preserve"> = present</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am = amended</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prev</w:t>
            </w:r>
            <w:proofErr w:type="spellEnd"/>
            <w:r w:rsidRPr="007114C6">
              <w:rPr>
                <w:sz w:val="20"/>
              </w:rPr>
              <w:t xml:space="preserve"> = previous</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c = clause(s)</w:t>
            </w:r>
          </w:p>
        </w:tc>
        <w:tc>
          <w:tcPr>
            <w:tcW w:w="3543" w:type="dxa"/>
            <w:shd w:val="clear" w:color="auto" w:fill="auto"/>
          </w:tcPr>
          <w:p w:rsidR="00A67313" w:rsidRPr="007114C6" w:rsidRDefault="00A67313" w:rsidP="00A67313">
            <w:pPr>
              <w:pStyle w:val="ENoteTableText"/>
              <w:rPr>
                <w:sz w:val="20"/>
              </w:rPr>
            </w:pPr>
            <w:r w:rsidRPr="007114C6">
              <w:rPr>
                <w:sz w:val="20"/>
              </w:rPr>
              <w:t>(</w:t>
            </w:r>
            <w:proofErr w:type="spellStart"/>
            <w:r w:rsidRPr="007114C6">
              <w:rPr>
                <w:sz w:val="20"/>
              </w:rPr>
              <w:t>prev</w:t>
            </w:r>
            <w:proofErr w:type="spellEnd"/>
            <w:r w:rsidRPr="007114C6">
              <w:rPr>
                <w:sz w:val="20"/>
              </w:rPr>
              <w:t>) = previously</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Ch</w:t>
            </w:r>
            <w:proofErr w:type="spellEnd"/>
            <w:r w:rsidRPr="007114C6">
              <w:rPr>
                <w:sz w:val="20"/>
              </w:rPr>
              <w:t xml:space="preserve"> = Chapter(s)</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Pt</w:t>
            </w:r>
            <w:proofErr w:type="spellEnd"/>
            <w:r w:rsidRPr="007114C6">
              <w:rPr>
                <w:sz w:val="20"/>
              </w:rPr>
              <w:t xml:space="preserve"> = Part(s)</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def</w:t>
            </w:r>
            <w:proofErr w:type="spellEnd"/>
            <w:r w:rsidRPr="007114C6">
              <w:rPr>
                <w:sz w:val="20"/>
              </w:rPr>
              <w:t xml:space="preserve"> = definition(s)</w:t>
            </w:r>
          </w:p>
        </w:tc>
        <w:tc>
          <w:tcPr>
            <w:tcW w:w="3543" w:type="dxa"/>
            <w:shd w:val="clear" w:color="auto" w:fill="auto"/>
          </w:tcPr>
          <w:p w:rsidR="00A67313" w:rsidRPr="007114C6" w:rsidRDefault="00A67313" w:rsidP="00A67313">
            <w:pPr>
              <w:pStyle w:val="ENoteTableText"/>
              <w:rPr>
                <w:sz w:val="20"/>
              </w:rPr>
            </w:pPr>
            <w:r w:rsidRPr="007114C6">
              <w:rPr>
                <w:sz w:val="20"/>
              </w:rPr>
              <w:t>r = regulation(s)/rule(s)</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Dict</w:t>
            </w:r>
            <w:proofErr w:type="spellEnd"/>
            <w:r w:rsidRPr="007114C6">
              <w:rPr>
                <w:sz w:val="20"/>
              </w:rPr>
              <w:t xml:space="preserve"> = Dictionary</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Reg</w:t>
            </w:r>
            <w:proofErr w:type="spellEnd"/>
            <w:r w:rsidRPr="007114C6">
              <w:rPr>
                <w:sz w:val="20"/>
              </w:rPr>
              <w:t xml:space="preserve"> = Regulation/Regulations</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disallowed = disallowed by Parliament</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reloc</w:t>
            </w:r>
            <w:proofErr w:type="spellEnd"/>
            <w:r w:rsidRPr="007114C6">
              <w:rPr>
                <w:sz w:val="20"/>
              </w:rPr>
              <w:t xml:space="preserve"> = relocated</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Div</w:t>
            </w:r>
            <w:proofErr w:type="spellEnd"/>
            <w:r w:rsidRPr="007114C6">
              <w:rPr>
                <w:sz w:val="20"/>
              </w:rPr>
              <w:t xml:space="preserve"> = Division(s)</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renum</w:t>
            </w:r>
            <w:proofErr w:type="spellEnd"/>
            <w:r w:rsidRPr="007114C6">
              <w:rPr>
                <w:sz w:val="20"/>
              </w:rPr>
              <w:t xml:space="preserve"> = renumbered</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exp</w:t>
            </w:r>
            <w:proofErr w:type="spellEnd"/>
            <w:r w:rsidRPr="007114C6">
              <w:rPr>
                <w:sz w:val="20"/>
              </w:rPr>
              <w:t xml:space="preserve"> = expired or ceased to have effect</w:t>
            </w:r>
          </w:p>
        </w:tc>
        <w:tc>
          <w:tcPr>
            <w:tcW w:w="3543" w:type="dxa"/>
            <w:shd w:val="clear" w:color="auto" w:fill="auto"/>
          </w:tcPr>
          <w:p w:rsidR="00A67313" w:rsidRPr="007114C6" w:rsidRDefault="00A67313" w:rsidP="00A67313">
            <w:pPr>
              <w:pStyle w:val="ENoteTableText"/>
              <w:rPr>
                <w:sz w:val="20"/>
              </w:rPr>
            </w:pPr>
            <w:r w:rsidRPr="007114C6">
              <w:rPr>
                <w:sz w:val="20"/>
              </w:rPr>
              <w:t>rep = repealed</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hdg</w:t>
            </w:r>
            <w:proofErr w:type="spellEnd"/>
            <w:r w:rsidRPr="007114C6">
              <w:rPr>
                <w:sz w:val="20"/>
              </w:rPr>
              <w:t xml:space="preserve"> = heading(s)</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rs</w:t>
            </w:r>
            <w:proofErr w:type="spellEnd"/>
            <w:r w:rsidRPr="007114C6">
              <w:rPr>
                <w:sz w:val="20"/>
              </w:rPr>
              <w:t xml:space="preserve"> = repealed and substituted</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LI = Legislative Instrument</w:t>
            </w:r>
          </w:p>
        </w:tc>
        <w:tc>
          <w:tcPr>
            <w:tcW w:w="3543" w:type="dxa"/>
            <w:shd w:val="clear" w:color="auto" w:fill="auto"/>
          </w:tcPr>
          <w:p w:rsidR="00A67313" w:rsidRPr="007114C6" w:rsidRDefault="00A67313" w:rsidP="00A67313">
            <w:pPr>
              <w:pStyle w:val="ENoteTableText"/>
              <w:rPr>
                <w:sz w:val="20"/>
              </w:rPr>
            </w:pPr>
            <w:r w:rsidRPr="007114C6">
              <w:rPr>
                <w:sz w:val="20"/>
              </w:rPr>
              <w:t>s = section(s)</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LIA</w:t>
            </w:r>
            <w:proofErr w:type="spellEnd"/>
            <w:r w:rsidRPr="007114C6">
              <w:rPr>
                <w:sz w:val="20"/>
              </w:rPr>
              <w:t xml:space="preserve"> = </w:t>
            </w:r>
            <w:r w:rsidRPr="005A30E5">
              <w:rPr>
                <w:i/>
                <w:sz w:val="20"/>
              </w:rPr>
              <w:t>Legislative Instruments Act 2003</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Sch</w:t>
            </w:r>
            <w:proofErr w:type="spellEnd"/>
            <w:r w:rsidRPr="007114C6">
              <w:rPr>
                <w:sz w:val="20"/>
              </w:rPr>
              <w:t xml:space="preserve"> = Schedule(s)</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mod = modified/modification</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Sdiv</w:t>
            </w:r>
            <w:proofErr w:type="spellEnd"/>
            <w:r w:rsidRPr="007114C6">
              <w:rPr>
                <w:sz w:val="20"/>
              </w:rPr>
              <w:t xml:space="preserve"> = Subdivision(s)</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No = Number(s)</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SLI</w:t>
            </w:r>
            <w:proofErr w:type="spellEnd"/>
            <w:r w:rsidRPr="007114C6">
              <w:rPr>
                <w:sz w:val="20"/>
              </w:rPr>
              <w:t xml:space="preserve"> = Select Legislative Instrument</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o = order(s)</w:t>
            </w:r>
          </w:p>
        </w:tc>
        <w:tc>
          <w:tcPr>
            <w:tcW w:w="3543" w:type="dxa"/>
            <w:shd w:val="clear" w:color="auto" w:fill="auto"/>
          </w:tcPr>
          <w:p w:rsidR="00A67313" w:rsidRPr="007114C6" w:rsidRDefault="00A67313" w:rsidP="00A67313">
            <w:pPr>
              <w:pStyle w:val="ENoteTableText"/>
              <w:rPr>
                <w:sz w:val="20"/>
              </w:rPr>
            </w:pPr>
            <w:r w:rsidRPr="007114C6">
              <w:rPr>
                <w:sz w:val="20"/>
              </w:rPr>
              <w:t>SR = Statutory Rules</w:t>
            </w:r>
          </w:p>
        </w:tc>
      </w:tr>
      <w:tr w:rsidR="00A67313" w:rsidRPr="007114C6" w:rsidTr="00A67313">
        <w:tc>
          <w:tcPr>
            <w:tcW w:w="3543" w:type="dxa"/>
            <w:shd w:val="clear" w:color="auto" w:fill="auto"/>
          </w:tcPr>
          <w:p w:rsidR="00A67313" w:rsidRPr="007114C6" w:rsidRDefault="00A67313" w:rsidP="00A67313">
            <w:pPr>
              <w:pStyle w:val="ENoteTableText"/>
              <w:rPr>
                <w:sz w:val="20"/>
              </w:rPr>
            </w:pPr>
            <w:r w:rsidRPr="007114C6">
              <w:rPr>
                <w:sz w:val="20"/>
              </w:rPr>
              <w:t>Ord = Ordinance</w:t>
            </w:r>
          </w:p>
        </w:tc>
        <w:tc>
          <w:tcPr>
            <w:tcW w:w="3543" w:type="dxa"/>
            <w:shd w:val="clear" w:color="auto" w:fill="auto"/>
          </w:tcPr>
          <w:p w:rsidR="00A67313" w:rsidRPr="007114C6" w:rsidRDefault="00A67313" w:rsidP="00A67313">
            <w:pPr>
              <w:pStyle w:val="ENoteTableText"/>
              <w:rPr>
                <w:sz w:val="20"/>
              </w:rPr>
            </w:pPr>
            <w:r w:rsidRPr="007114C6">
              <w:rPr>
                <w:sz w:val="20"/>
              </w:rPr>
              <w:t>Sub-</w:t>
            </w:r>
            <w:proofErr w:type="spellStart"/>
            <w:r w:rsidRPr="007114C6">
              <w:rPr>
                <w:sz w:val="20"/>
              </w:rPr>
              <w:t>Ch</w:t>
            </w:r>
            <w:proofErr w:type="spellEnd"/>
            <w:r w:rsidRPr="007114C6">
              <w:rPr>
                <w:sz w:val="20"/>
              </w:rPr>
              <w:t xml:space="preserve"> = Sub-Chapter(s)</w:t>
            </w:r>
          </w:p>
        </w:tc>
      </w:tr>
      <w:tr w:rsidR="00A67313" w:rsidRPr="007114C6" w:rsidTr="00A67313">
        <w:tc>
          <w:tcPr>
            <w:tcW w:w="3543" w:type="dxa"/>
            <w:shd w:val="clear" w:color="auto" w:fill="auto"/>
          </w:tcPr>
          <w:p w:rsidR="00A67313" w:rsidRPr="007114C6" w:rsidRDefault="00A67313" w:rsidP="00A67313">
            <w:pPr>
              <w:pStyle w:val="ENoteTableText"/>
              <w:rPr>
                <w:sz w:val="20"/>
              </w:rPr>
            </w:pPr>
            <w:proofErr w:type="spellStart"/>
            <w:r w:rsidRPr="007114C6">
              <w:rPr>
                <w:sz w:val="20"/>
              </w:rPr>
              <w:t>orig</w:t>
            </w:r>
            <w:proofErr w:type="spellEnd"/>
            <w:r w:rsidRPr="007114C6">
              <w:rPr>
                <w:sz w:val="20"/>
              </w:rPr>
              <w:t xml:space="preserve"> = original</w:t>
            </w:r>
          </w:p>
        </w:tc>
        <w:tc>
          <w:tcPr>
            <w:tcW w:w="3543" w:type="dxa"/>
            <w:shd w:val="clear" w:color="auto" w:fill="auto"/>
          </w:tcPr>
          <w:p w:rsidR="00A67313" w:rsidRPr="007114C6" w:rsidRDefault="00A67313" w:rsidP="00A67313">
            <w:pPr>
              <w:pStyle w:val="ENoteTableText"/>
              <w:rPr>
                <w:sz w:val="20"/>
              </w:rPr>
            </w:pPr>
            <w:proofErr w:type="spellStart"/>
            <w:r w:rsidRPr="007114C6">
              <w:rPr>
                <w:sz w:val="20"/>
              </w:rPr>
              <w:t>SubPt</w:t>
            </w:r>
            <w:proofErr w:type="spellEnd"/>
            <w:r w:rsidRPr="007114C6">
              <w:rPr>
                <w:sz w:val="20"/>
              </w:rPr>
              <w:t xml:space="preserve"> = Subpart(s)</w:t>
            </w:r>
          </w:p>
        </w:tc>
      </w:tr>
      <w:tr w:rsidR="00A67313" w:rsidRPr="007114C6" w:rsidTr="00A67313">
        <w:tc>
          <w:tcPr>
            <w:tcW w:w="3543" w:type="dxa"/>
            <w:shd w:val="clear" w:color="auto" w:fill="auto"/>
          </w:tcPr>
          <w:p w:rsidR="00A67313" w:rsidRPr="007114C6" w:rsidRDefault="00A67313" w:rsidP="004A3680">
            <w:pPr>
              <w:pStyle w:val="ENoteTableText"/>
              <w:ind w:left="454" w:hanging="454"/>
              <w:rPr>
                <w:sz w:val="20"/>
              </w:rPr>
            </w:pPr>
            <w:r w:rsidRPr="007114C6">
              <w:rPr>
                <w:sz w:val="20"/>
              </w:rPr>
              <w:t>par = paragraph(s)/subparagraph(s)</w:t>
            </w:r>
            <w:r w:rsidR="004A3680">
              <w:rPr>
                <w:sz w:val="20"/>
              </w:rPr>
              <w:br/>
            </w:r>
            <w:r w:rsidRPr="007114C6">
              <w:rPr>
                <w:sz w:val="20"/>
              </w:rPr>
              <w:t>/sub-subparagraph(s)</w:t>
            </w:r>
          </w:p>
        </w:tc>
        <w:tc>
          <w:tcPr>
            <w:tcW w:w="3543" w:type="dxa"/>
            <w:shd w:val="clear" w:color="auto" w:fill="auto"/>
          </w:tcPr>
          <w:p w:rsidR="00A67313" w:rsidRPr="007114C6" w:rsidRDefault="00A67313" w:rsidP="00A67313">
            <w:pPr>
              <w:pStyle w:val="ENoteTableText"/>
              <w:rPr>
                <w:sz w:val="20"/>
              </w:rPr>
            </w:pPr>
          </w:p>
        </w:tc>
      </w:tr>
    </w:tbl>
    <w:p w:rsidR="00A67313" w:rsidRPr="00BC57F4" w:rsidRDefault="00A67313" w:rsidP="00A67313">
      <w:pPr>
        <w:pStyle w:val="Tabletext"/>
      </w:pPr>
    </w:p>
    <w:p w:rsidR="00A67313" w:rsidRDefault="00A67313" w:rsidP="00A67313">
      <w:pPr>
        <w:pStyle w:val="ENotesHeading2"/>
        <w:pageBreakBefore/>
      </w:pPr>
      <w:bookmarkStart w:id="32" w:name="_Toc379361542"/>
      <w:r>
        <w:lastRenderedPageBreak/>
        <w:t>Endnote 3—Legislation history</w:t>
      </w:r>
      <w:bookmarkEnd w:id="32"/>
    </w:p>
    <w:p w:rsidR="00A67313" w:rsidRDefault="00A67313" w:rsidP="00A67313">
      <w:pPr>
        <w:pStyle w:val="Tabletext"/>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797"/>
        <w:gridCol w:w="1854"/>
        <w:gridCol w:w="1854"/>
        <w:gridCol w:w="1854"/>
      </w:tblGrid>
      <w:tr w:rsidR="00A67313" w:rsidRPr="0098546F" w:rsidTr="0099387A">
        <w:trPr>
          <w:cantSplit/>
          <w:tblHeader/>
        </w:trPr>
        <w:tc>
          <w:tcPr>
            <w:tcW w:w="2797" w:type="dxa"/>
            <w:tcBorders>
              <w:top w:val="single" w:sz="12" w:space="0" w:color="auto"/>
              <w:bottom w:val="single" w:sz="12" w:space="0" w:color="auto"/>
            </w:tcBorders>
            <w:shd w:val="clear" w:color="auto" w:fill="auto"/>
          </w:tcPr>
          <w:p w:rsidR="00A67313" w:rsidRPr="00E117A3" w:rsidRDefault="00A67313" w:rsidP="00A67313">
            <w:pPr>
              <w:pStyle w:val="ENoteTableHeading"/>
            </w:pPr>
            <w:r>
              <w:t>Name</w:t>
            </w:r>
          </w:p>
        </w:tc>
        <w:tc>
          <w:tcPr>
            <w:tcW w:w="1854" w:type="dxa"/>
            <w:tcBorders>
              <w:top w:val="single" w:sz="12" w:space="0" w:color="auto"/>
              <w:bottom w:val="single" w:sz="12" w:space="0" w:color="auto"/>
            </w:tcBorders>
            <w:shd w:val="clear" w:color="auto" w:fill="auto"/>
          </w:tcPr>
          <w:p w:rsidR="00A67313" w:rsidRPr="00E117A3" w:rsidRDefault="00A67313" w:rsidP="00A67313">
            <w:pPr>
              <w:pStyle w:val="ENoteTableHeading"/>
            </w:pPr>
            <w:r w:rsidRPr="00E117A3">
              <w:t>FRLI registration</w:t>
            </w:r>
          </w:p>
        </w:tc>
        <w:tc>
          <w:tcPr>
            <w:tcW w:w="1854" w:type="dxa"/>
            <w:tcBorders>
              <w:top w:val="single" w:sz="12" w:space="0" w:color="auto"/>
              <w:bottom w:val="single" w:sz="12" w:space="0" w:color="auto"/>
            </w:tcBorders>
            <w:shd w:val="clear" w:color="auto" w:fill="auto"/>
          </w:tcPr>
          <w:p w:rsidR="00A67313" w:rsidRPr="00E117A3" w:rsidRDefault="00A67313" w:rsidP="00A67313">
            <w:pPr>
              <w:pStyle w:val="ENoteTableHeading"/>
            </w:pPr>
            <w:r>
              <w:t>Commencement</w:t>
            </w:r>
          </w:p>
        </w:tc>
        <w:tc>
          <w:tcPr>
            <w:tcW w:w="1854" w:type="dxa"/>
            <w:tcBorders>
              <w:top w:val="single" w:sz="12" w:space="0" w:color="auto"/>
              <w:bottom w:val="single" w:sz="12" w:space="0" w:color="auto"/>
            </w:tcBorders>
            <w:shd w:val="clear" w:color="auto" w:fill="auto"/>
          </w:tcPr>
          <w:p w:rsidR="00A67313" w:rsidRPr="00E117A3" w:rsidRDefault="00A67313" w:rsidP="00A67313">
            <w:pPr>
              <w:pStyle w:val="ENoteTableHeading"/>
            </w:pPr>
            <w:r w:rsidRPr="00E117A3">
              <w:t>Application, saving and transitional provisions</w:t>
            </w:r>
          </w:p>
        </w:tc>
      </w:tr>
      <w:tr w:rsidR="00A67313" w:rsidRPr="00E117A3" w:rsidTr="0099387A">
        <w:trPr>
          <w:cantSplit/>
        </w:trPr>
        <w:tc>
          <w:tcPr>
            <w:tcW w:w="2797" w:type="dxa"/>
            <w:tcBorders>
              <w:top w:val="single" w:sz="12" w:space="0" w:color="auto"/>
              <w:bottom w:val="single" w:sz="4" w:space="0" w:color="auto"/>
            </w:tcBorders>
            <w:shd w:val="clear" w:color="auto" w:fill="auto"/>
          </w:tcPr>
          <w:p w:rsidR="00A67313" w:rsidRPr="00D60D24" w:rsidRDefault="00D60D24" w:rsidP="00A67313">
            <w:pPr>
              <w:pStyle w:val="ENoteTableText"/>
            </w:pPr>
            <w:r w:rsidRPr="00554ADA">
              <w:rPr>
                <w:noProof/>
              </w:rPr>
              <w:t>Aged Care (Home Care Subsidy Amount) Determination 2013</w:t>
            </w:r>
            <w:r w:rsidR="00081139">
              <w:rPr>
                <w:noProof/>
              </w:rPr>
              <w:t xml:space="preserve"> </w:t>
            </w:r>
            <w:r w:rsidR="00081139" w:rsidRPr="00814D23">
              <w:rPr>
                <w:i/>
                <w:noProof/>
              </w:rPr>
              <w:t>(a)</w:t>
            </w:r>
          </w:p>
        </w:tc>
        <w:tc>
          <w:tcPr>
            <w:tcW w:w="1854" w:type="dxa"/>
            <w:tcBorders>
              <w:top w:val="single" w:sz="12" w:space="0" w:color="auto"/>
              <w:bottom w:val="single" w:sz="4" w:space="0" w:color="auto"/>
            </w:tcBorders>
            <w:shd w:val="clear" w:color="auto" w:fill="auto"/>
          </w:tcPr>
          <w:p w:rsidR="00A67313" w:rsidRPr="00E117A3" w:rsidRDefault="00D60D24" w:rsidP="00554ADA">
            <w:pPr>
              <w:pStyle w:val="ENoteTableText"/>
            </w:pPr>
            <w:r>
              <w:t>10 July 2013 (</w:t>
            </w:r>
            <w:r>
              <w:rPr>
                <w:i/>
              </w:rPr>
              <w:t>see</w:t>
            </w:r>
            <w:r>
              <w:t xml:space="preserve"> F2013L01339)</w:t>
            </w:r>
          </w:p>
        </w:tc>
        <w:tc>
          <w:tcPr>
            <w:tcW w:w="1854" w:type="dxa"/>
            <w:tcBorders>
              <w:top w:val="single" w:sz="12" w:space="0" w:color="auto"/>
              <w:bottom w:val="single" w:sz="4" w:space="0" w:color="auto"/>
            </w:tcBorders>
            <w:shd w:val="clear" w:color="auto" w:fill="auto"/>
          </w:tcPr>
          <w:p w:rsidR="00A67313" w:rsidRPr="00E117A3" w:rsidRDefault="00D60D24" w:rsidP="00A67313">
            <w:pPr>
              <w:pStyle w:val="ENoteTableText"/>
            </w:pPr>
            <w:r>
              <w:t>1 Aug 2013</w:t>
            </w:r>
          </w:p>
        </w:tc>
        <w:tc>
          <w:tcPr>
            <w:tcW w:w="1854" w:type="dxa"/>
            <w:tcBorders>
              <w:top w:val="single" w:sz="12" w:space="0" w:color="auto"/>
              <w:bottom w:val="single" w:sz="4" w:space="0" w:color="auto"/>
            </w:tcBorders>
            <w:shd w:val="clear" w:color="auto" w:fill="auto"/>
          </w:tcPr>
          <w:p w:rsidR="00A67313" w:rsidRPr="00E117A3" w:rsidRDefault="00A67313" w:rsidP="00A67313">
            <w:pPr>
              <w:pStyle w:val="ENoteTableText"/>
            </w:pPr>
          </w:p>
        </w:tc>
      </w:tr>
      <w:tr w:rsidR="00D60D24" w:rsidTr="0049441B">
        <w:trPr>
          <w:cantSplit/>
        </w:trPr>
        <w:tc>
          <w:tcPr>
            <w:tcW w:w="2797" w:type="dxa"/>
            <w:shd w:val="clear" w:color="auto" w:fill="auto"/>
          </w:tcPr>
          <w:p w:rsidR="00D60D24" w:rsidRPr="00E117A3" w:rsidRDefault="00D60D24" w:rsidP="00A67313">
            <w:pPr>
              <w:pStyle w:val="ENoteTableText"/>
            </w:pPr>
            <w:r w:rsidRPr="009C452A">
              <w:rPr>
                <w:szCs w:val="22"/>
              </w:rPr>
              <w:t>Aged Care Subsidies Amendment (Workforce Supplement) Determination 2013</w:t>
            </w:r>
            <w:r w:rsidR="0099387A" w:rsidRPr="00814D23">
              <w:rPr>
                <w:i/>
                <w:szCs w:val="22"/>
              </w:rPr>
              <w:t xml:space="preserve"> (b)</w:t>
            </w:r>
          </w:p>
        </w:tc>
        <w:tc>
          <w:tcPr>
            <w:tcW w:w="1854" w:type="dxa"/>
            <w:shd w:val="clear" w:color="auto" w:fill="auto"/>
          </w:tcPr>
          <w:p w:rsidR="00D60D24" w:rsidRPr="00E117A3" w:rsidRDefault="00D60D24" w:rsidP="00A67313">
            <w:pPr>
              <w:pStyle w:val="ENoteTableText"/>
            </w:pPr>
            <w:r>
              <w:t>26 Sept 2013 (</w:t>
            </w:r>
            <w:r>
              <w:rPr>
                <w:i/>
              </w:rPr>
              <w:t>see</w:t>
            </w:r>
            <w:r>
              <w:t xml:space="preserve"> F2013L01749)</w:t>
            </w:r>
          </w:p>
        </w:tc>
        <w:tc>
          <w:tcPr>
            <w:tcW w:w="1854" w:type="dxa"/>
            <w:shd w:val="clear" w:color="auto" w:fill="auto"/>
          </w:tcPr>
          <w:p w:rsidR="00D60D24" w:rsidRPr="00E117A3" w:rsidRDefault="00D60D24" w:rsidP="00A67313">
            <w:pPr>
              <w:pStyle w:val="ENoteTableText"/>
            </w:pPr>
            <w:proofErr w:type="spellStart"/>
            <w:r>
              <w:t>Sch</w:t>
            </w:r>
            <w:proofErr w:type="spellEnd"/>
            <w:r>
              <w:t xml:space="preserve"> 1: 27 Sept 2013</w:t>
            </w:r>
          </w:p>
        </w:tc>
        <w:tc>
          <w:tcPr>
            <w:tcW w:w="1854" w:type="dxa"/>
            <w:shd w:val="clear" w:color="auto" w:fill="auto"/>
          </w:tcPr>
          <w:p w:rsidR="00D60D24" w:rsidRPr="00E117A3" w:rsidRDefault="00D60D24" w:rsidP="00A67313">
            <w:pPr>
              <w:pStyle w:val="ENoteTableText"/>
            </w:pPr>
            <w:r>
              <w:t>—</w:t>
            </w:r>
          </w:p>
        </w:tc>
      </w:tr>
      <w:tr w:rsidR="00A257AD" w:rsidTr="0099387A">
        <w:trPr>
          <w:cantSplit/>
        </w:trPr>
        <w:tc>
          <w:tcPr>
            <w:tcW w:w="2797" w:type="dxa"/>
            <w:tcBorders>
              <w:bottom w:val="single" w:sz="12" w:space="0" w:color="auto"/>
            </w:tcBorders>
            <w:shd w:val="clear" w:color="auto" w:fill="auto"/>
          </w:tcPr>
          <w:p w:rsidR="00A257AD" w:rsidRPr="009C452A" w:rsidRDefault="00A257AD" w:rsidP="00A67313">
            <w:pPr>
              <w:pStyle w:val="ENoteTableText"/>
              <w:rPr>
                <w:szCs w:val="22"/>
              </w:rPr>
            </w:pPr>
            <w:r>
              <w:rPr>
                <w:szCs w:val="22"/>
              </w:rPr>
              <w:t xml:space="preserve">Home Care Subsidy </w:t>
            </w:r>
            <w:proofErr w:type="spellStart"/>
            <w:r>
              <w:rPr>
                <w:szCs w:val="22"/>
              </w:rPr>
              <w:t>Amenement</w:t>
            </w:r>
            <w:proofErr w:type="spellEnd"/>
            <w:r>
              <w:rPr>
                <w:szCs w:val="22"/>
              </w:rPr>
              <w:t xml:space="preserve"> (Transitional Workforce Supplement and Various Measures) Determination 2014</w:t>
            </w:r>
          </w:p>
        </w:tc>
        <w:tc>
          <w:tcPr>
            <w:tcW w:w="1854" w:type="dxa"/>
            <w:tcBorders>
              <w:bottom w:val="single" w:sz="12" w:space="0" w:color="auto"/>
            </w:tcBorders>
            <w:shd w:val="clear" w:color="auto" w:fill="auto"/>
          </w:tcPr>
          <w:p w:rsidR="00A257AD" w:rsidRPr="009546C4" w:rsidRDefault="00A257AD" w:rsidP="00A67313">
            <w:pPr>
              <w:pStyle w:val="ENoteTableText"/>
            </w:pPr>
            <w:r>
              <w:t>28 Jan 2014 (</w:t>
            </w:r>
            <w:r>
              <w:rPr>
                <w:i/>
              </w:rPr>
              <w:t>see</w:t>
            </w:r>
            <w:r>
              <w:t xml:space="preserve"> F2014L00096)</w:t>
            </w:r>
          </w:p>
        </w:tc>
        <w:tc>
          <w:tcPr>
            <w:tcW w:w="1854" w:type="dxa"/>
            <w:tcBorders>
              <w:bottom w:val="single" w:sz="12" w:space="0" w:color="auto"/>
            </w:tcBorders>
            <w:shd w:val="clear" w:color="auto" w:fill="auto"/>
          </w:tcPr>
          <w:p w:rsidR="00A257AD" w:rsidRDefault="00A257AD" w:rsidP="00A67313">
            <w:pPr>
              <w:pStyle w:val="ENoteTableText"/>
            </w:pPr>
            <w:r>
              <w:t>29 Jan 2014</w:t>
            </w:r>
          </w:p>
        </w:tc>
        <w:tc>
          <w:tcPr>
            <w:tcW w:w="1854" w:type="dxa"/>
            <w:tcBorders>
              <w:bottom w:val="single" w:sz="12" w:space="0" w:color="auto"/>
            </w:tcBorders>
            <w:shd w:val="clear" w:color="auto" w:fill="auto"/>
          </w:tcPr>
          <w:p w:rsidR="00A257AD" w:rsidRDefault="00A257AD" w:rsidP="00A67313">
            <w:pPr>
              <w:pStyle w:val="ENoteTableText"/>
            </w:pPr>
            <w:r>
              <w:t>—</w:t>
            </w:r>
          </w:p>
        </w:tc>
      </w:tr>
    </w:tbl>
    <w:p w:rsidR="00814D23" w:rsidRDefault="00814D23" w:rsidP="0099387A">
      <w:pPr>
        <w:pStyle w:val="EndNotespara"/>
        <w:rPr>
          <w:i/>
          <w:iCs/>
        </w:rPr>
      </w:pPr>
    </w:p>
    <w:p w:rsidR="0099387A" w:rsidRPr="00E00E7D" w:rsidRDefault="0099387A" w:rsidP="0099387A">
      <w:pPr>
        <w:pStyle w:val="EndNotespara"/>
        <w:rPr>
          <w:iCs/>
        </w:rPr>
      </w:pPr>
      <w:r>
        <w:rPr>
          <w:i/>
          <w:iCs/>
        </w:rPr>
        <w:t>(a</w:t>
      </w:r>
      <w:r w:rsidRPr="00B56FC2">
        <w:rPr>
          <w:i/>
          <w:iCs/>
        </w:rPr>
        <w:t>)</w:t>
      </w:r>
      <w:r w:rsidRPr="00B56FC2">
        <w:rPr>
          <w:i/>
          <w:iCs/>
        </w:rPr>
        <w:tab/>
      </w:r>
      <w:r w:rsidR="00081139" w:rsidRPr="00814D23">
        <w:rPr>
          <w:iCs/>
        </w:rPr>
        <w:t>Division 2.4 of the</w:t>
      </w:r>
      <w:r w:rsidR="00081139">
        <w:rPr>
          <w:i/>
          <w:iCs/>
        </w:rPr>
        <w:t xml:space="preserve"> Aged Care</w:t>
      </w:r>
      <w:r w:rsidR="00B20C9A">
        <w:rPr>
          <w:i/>
          <w:iCs/>
        </w:rPr>
        <w:t xml:space="preserve"> </w:t>
      </w:r>
      <w:r w:rsidR="00081139">
        <w:rPr>
          <w:i/>
          <w:iCs/>
        </w:rPr>
        <w:t xml:space="preserve">(Home Care Subsidy Amount) Determination 2013 </w:t>
      </w:r>
      <w:r w:rsidR="00081139">
        <w:rPr>
          <w:iCs/>
        </w:rPr>
        <w:t>was disallowed by the House of Representatives on 12 December 2013</w:t>
      </w:r>
    </w:p>
    <w:p w:rsidR="0099387A" w:rsidRPr="004957CD" w:rsidRDefault="0099387A" w:rsidP="00814D23">
      <w:pPr>
        <w:pStyle w:val="EndNotespara"/>
        <w:spacing w:before="120"/>
        <w:rPr>
          <w:iCs/>
        </w:rPr>
      </w:pPr>
      <w:r w:rsidRPr="001360CF">
        <w:rPr>
          <w:i/>
          <w:iCs/>
        </w:rPr>
        <w:t>(b)</w:t>
      </w:r>
      <w:r w:rsidRPr="001360CF">
        <w:rPr>
          <w:i/>
          <w:iCs/>
        </w:rPr>
        <w:tab/>
      </w:r>
      <w:r w:rsidR="00814D23" w:rsidRPr="00814D23">
        <w:rPr>
          <w:iCs/>
        </w:rPr>
        <w:t>The</w:t>
      </w:r>
      <w:r w:rsidR="00814D23">
        <w:rPr>
          <w:i/>
          <w:iCs/>
        </w:rPr>
        <w:t xml:space="preserve"> </w:t>
      </w:r>
      <w:r>
        <w:rPr>
          <w:i/>
          <w:iCs/>
        </w:rPr>
        <w:t xml:space="preserve">Aged Care Subsidies Amendment (Workforce Supplement) Determination 2013 </w:t>
      </w:r>
      <w:r>
        <w:rPr>
          <w:iCs/>
        </w:rPr>
        <w:t>was disallowed</w:t>
      </w:r>
      <w:r w:rsidR="00814D23">
        <w:rPr>
          <w:iCs/>
        </w:rPr>
        <w:t xml:space="preserve"> in full</w:t>
      </w:r>
      <w:r>
        <w:rPr>
          <w:iCs/>
        </w:rPr>
        <w:t xml:space="preserve"> by the Senate on 12 December 2013.</w:t>
      </w:r>
    </w:p>
    <w:p w:rsidR="00DB2D42" w:rsidRDefault="00DB2D42" w:rsidP="0049441B">
      <w:pPr>
        <w:pStyle w:val="ENotesHeading2"/>
        <w:pageBreakBefore/>
      </w:pPr>
      <w:bookmarkStart w:id="33" w:name="_Toc379361543"/>
      <w:r>
        <w:lastRenderedPageBreak/>
        <w:t>Endnote 4—Amendment history</w:t>
      </w:r>
      <w:bookmarkEnd w:id="33"/>
    </w:p>
    <w:p w:rsidR="00DB2D42" w:rsidRDefault="00DB2D42" w:rsidP="0049441B">
      <w:pPr>
        <w:pStyle w:val="Tabletext"/>
      </w:pPr>
    </w:p>
    <w:tbl>
      <w:tblPr>
        <w:tblW w:w="7082" w:type="dxa"/>
        <w:tblInd w:w="113" w:type="dxa"/>
        <w:tblLayout w:type="fixed"/>
        <w:tblLook w:val="0000" w:firstRow="0" w:lastRow="0" w:firstColumn="0" w:lastColumn="0" w:noHBand="0" w:noVBand="0"/>
      </w:tblPr>
      <w:tblGrid>
        <w:gridCol w:w="2139"/>
        <w:gridCol w:w="4943"/>
      </w:tblGrid>
      <w:tr w:rsidR="00DB2D42" w:rsidRPr="0098546F" w:rsidTr="0049441B">
        <w:trPr>
          <w:cantSplit/>
          <w:tblHeader/>
        </w:trPr>
        <w:tc>
          <w:tcPr>
            <w:tcW w:w="2139" w:type="dxa"/>
            <w:tcBorders>
              <w:top w:val="single" w:sz="12" w:space="0" w:color="auto"/>
              <w:bottom w:val="single" w:sz="12" w:space="0" w:color="auto"/>
            </w:tcBorders>
            <w:shd w:val="clear" w:color="auto" w:fill="auto"/>
          </w:tcPr>
          <w:p w:rsidR="00DB2D42" w:rsidRPr="00E117A3" w:rsidRDefault="00DB2D42" w:rsidP="0049441B">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DB2D42" w:rsidRPr="00E117A3" w:rsidRDefault="00DB2D42" w:rsidP="0049441B">
            <w:pPr>
              <w:pStyle w:val="ENoteTableHeading"/>
              <w:tabs>
                <w:tab w:val="center" w:leader="dot" w:pos="2268"/>
              </w:tabs>
            </w:pPr>
            <w:r w:rsidRPr="00E117A3">
              <w:t>How affected</w:t>
            </w:r>
          </w:p>
        </w:tc>
      </w:tr>
      <w:tr w:rsidR="00DB2D42" w:rsidRPr="00E117A3" w:rsidTr="0049441B">
        <w:trPr>
          <w:cantSplit/>
        </w:trPr>
        <w:tc>
          <w:tcPr>
            <w:tcW w:w="2139" w:type="dxa"/>
            <w:tcBorders>
              <w:top w:val="single" w:sz="12" w:space="0" w:color="auto"/>
            </w:tcBorders>
            <w:shd w:val="clear" w:color="auto" w:fill="auto"/>
          </w:tcPr>
          <w:p w:rsidR="00DB2D42" w:rsidRPr="00E117A3" w:rsidRDefault="00DB2D42" w:rsidP="0049441B">
            <w:pPr>
              <w:pStyle w:val="ENoteTableText"/>
              <w:tabs>
                <w:tab w:val="center" w:leader="dot" w:pos="2268"/>
              </w:tabs>
            </w:pPr>
            <w:proofErr w:type="spellStart"/>
            <w:r w:rsidRPr="009C452A">
              <w:rPr>
                <w:b/>
              </w:rPr>
              <w:t>Pt</w:t>
            </w:r>
            <w:proofErr w:type="spellEnd"/>
            <w:r w:rsidRPr="009C452A">
              <w:rPr>
                <w:b/>
              </w:rPr>
              <w:t xml:space="preserve"> </w:t>
            </w:r>
            <w:r>
              <w:rPr>
                <w:b/>
              </w:rPr>
              <w:t>1</w:t>
            </w:r>
          </w:p>
        </w:tc>
        <w:tc>
          <w:tcPr>
            <w:tcW w:w="4943" w:type="dxa"/>
            <w:tcBorders>
              <w:top w:val="single" w:sz="12" w:space="0" w:color="auto"/>
            </w:tcBorders>
            <w:shd w:val="clear" w:color="auto" w:fill="auto"/>
          </w:tcPr>
          <w:p w:rsidR="00DB2D42" w:rsidRPr="00E117A3" w:rsidRDefault="00DB2D42" w:rsidP="0049441B">
            <w:pPr>
              <w:pStyle w:val="ENoteTableText"/>
              <w:tabs>
                <w:tab w:val="center" w:leader="dot" w:pos="2268"/>
              </w:tabs>
            </w:pPr>
          </w:p>
        </w:tc>
      </w:tr>
      <w:tr w:rsidR="00DB2D42" w:rsidTr="0049441B">
        <w:trPr>
          <w:cantSplit/>
        </w:trPr>
        <w:tc>
          <w:tcPr>
            <w:tcW w:w="2139" w:type="dxa"/>
            <w:shd w:val="clear" w:color="auto" w:fill="auto"/>
          </w:tcPr>
          <w:p w:rsidR="00DB2D42" w:rsidRPr="00E117A3" w:rsidRDefault="00DB2D42" w:rsidP="0049441B">
            <w:pPr>
              <w:pStyle w:val="ENoteTableText"/>
              <w:tabs>
                <w:tab w:val="center" w:leader="dot" w:pos="2268"/>
              </w:tabs>
            </w:pPr>
            <w:r>
              <w:t>s 2</w:t>
            </w:r>
            <w:r>
              <w:tab/>
            </w:r>
          </w:p>
        </w:tc>
        <w:tc>
          <w:tcPr>
            <w:tcW w:w="4943" w:type="dxa"/>
            <w:shd w:val="clear" w:color="auto" w:fill="auto"/>
          </w:tcPr>
          <w:p w:rsidR="00DB2D42" w:rsidRPr="00E117A3" w:rsidRDefault="00DB2D42" w:rsidP="0049441B">
            <w:pPr>
              <w:pStyle w:val="ENoteTableText"/>
              <w:tabs>
                <w:tab w:val="center" w:leader="dot" w:pos="2268"/>
              </w:tabs>
            </w:pPr>
            <w:r>
              <w:t xml:space="preserve">rep </w:t>
            </w:r>
            <w:proofErr w:type="spellStart"/>
            <w:r>
              <w:t>LIA</w:t>
            </w:r>
            <w:proofErr w:type="spellEnd"/>
            <w:r>
              <w:t xml:space="preserve"> s 48D</w:t>
            </w:r>
          </w:p>
        </w:tc>
      </w:tr>
      <w:tr w:rsidR="00DB2D42" w:rsidTr="0049441B">
        <w:trPr>
          <w:cantSplit/>
        </w:trPr>
        <w:tc>
          <w:tcPr>
            <w:tcW w:w="2139" w:type="dxa"/>
            <w:shd w:val="clear" w:color="auto" w:fill="auto"/>
          </w:tcPr>
          <w:p w:rsidR="00DB2D42" w:rsidRPr="00E117A3" w:rsidRDefault="00DB2D42" w:rsidP="0049441B">
            <w:pPr>
              <w:pStyle w:val="ENoteTableText"/>
              <w:tabs>
                <w:tab w:val="center" w:leader="dot" w:pos="2268"/>
              </w:tabs>
            </w:pPr>
            <w:r>
              <w:t>s 4</w:t>
            </w:r>
            <w:r>
              <w:tab/>
            </w:r>
          </w:p>
        </w:tc>
        <w:tc>
          <w:tcPr>
            <w:tcW w:w="4943" w:type="dxa"/>
            <w:shd w:val="clear" w:color="auto" w:fill="auto"/>
          </w:tcPr>
          <w:p w:rsidR="00DB2D42" w:rsidRPr="00E117A3" w:rsidRDefault="00DB2D42" w:rsidP="0049441B">
            <w:pPr>
              <w:pStyle w:val="ENoteTableText"/>
            </w:pPr>
            <w:r>
              <w:t xml:space="preserve">rep </w:t>
            </w:r>
            <w:proofErr w:type="spellStart"/>
            <w:r>
              <w:t>LIA</w:t>
            </w:r>
            <w:proofErr w:type="spellEnd"/>
            <w:r>
              <w:t xml:space="preserve"> s 48C</w:t>
            </w:r>
          </w:p>
        </w:tc>
      </w:tr>
      <w:tr w:rsidR="00DB2D42" w:rsidTr="0049441B">
        <w:trPr>
          <w:cantSplit/>
        </w:trPr>
        <w:tc>
          <w:tcPr>
            <w:tcW w:w="2139" w:type="dxa"/>
            <w:shd w:val="clear" w:color="auto" w:fill="auto"/>
          </w:tcPr>
          <w:p w:rsidR="00DB2D42" w:rsidRDefault="00DB2D42" w:rsidP="0049441B">
            <w:pPr>
              <w:pStyle w:val="ENoteTableText"/>
              <w:tabs>
                <w:tab w:val="center" w:leader="dot" w:pos="2268"/>
              </w:tabs>
            </w:pPr>
            <w:r>
              <w:t>s 5</w:t>
            </w:r>
            <w:r>
              <w:tab/>
            </w:r>
          </w:p>
        </w:tc>
        <w:tc>
          <w:tcPr>
            <w:tcW w:w="4943" w:type="dxa"/>
            <w:shd w:val="clear" w:color="auto" w:fill="auto"/>
          </w:tcPr>
          <w:p w:rsidR="00DB2D42" w:rsidRDefault="00DB2D42" w:rsidP="0049441B">
            <w:pPr>
              <w:pStyle w:val="ENoteTableText"/>
            </w:pPr>
            <w:r>
              <w:t>am F2014L00096</w:t>
            </w:r>
          </w:p>
        </w:tc>
      </w:tr>
      <w:tr w:rsidR="00DB2D42" w:rsidTr="00DB2D42">
        <w:trPr>
          <w:cantSplit/>
        </w:trPr>
        <w:tc>
          <w:tcPr>
            <w:tcW w:w="2139" w:type="dxa"/>
            <w:shd w:val="clear" w:color="auto" w:fill="auto"/>
          </w:tcPr>
          <w:p w:rsidR="00DB2D42" w:rsidRDefault="00DB2D42" w:rsidP="0049441B">
            <w:pPr>
              <w:pStyle w:val="ENoteTableText"/>
              <w:tabs>
                <w:tab w:val="center" w:leader="dot" w:pos="2268"/>
              </w:tabs>
            </w:pPr>
            <w:r>
              <w:t>s 6</w:t>
            </w:r>
            <w:r>
              <w:tab/>
            </w:r>
          </w:p>
        </w:tc>
        <w:tc>
          <w:tcPr>
            <w:tcW w:w="4943" w:type="dxa"/>
            <w:shd w:val="clear" w:color="auto" w:fill="auto"/>
          </w:tcPr>
          <w:p w:rsidR="00DB2D42" w:rsidRDefault="00DB2D42" w:rsidP="0049441B">
            <w:pPr>
              <w:pStyle w:val="ENoteTableText"/>
            </w:pPr>
            <w:r>
              <w:t>am F2014L00096</w:t>
            </w:r>
          </w:p>
        </w:tc>
      </w:tr>
      <w:tr w:rsidR="0052388F" w:rsidTr="00DB2D42">
        <w:trPr>
          <w:cantSplit/>
        </w:trPr>
        <w:tc>
          <w:tcPr>
            <w:tcW w:w="2139" w:type="dxa"/>
            <w:shd w:val="clear" w:color="auto" w:fill="auto"/>
          </w:tcPr>
          <w:p w:rsidR="0052388F" w:rsidRPr="0052388F" w:rsidRDefault="0052388F" w:rsidP="0049441B">
            <w:pPr>
              <w:pStyle w:val="ENoteTableText"/>
              <w:tabs>
                <w:tab w:val="center" w:leader="dot" w:pos="2268"/>
              </w:tabs>
              <w:rPr>
                <w:b/>
              </w:rPr>
            </w:pPr>
            <w:proofErr w:type="spellStart"/>
            <w:r w:rsidRPr="0052388F">
              <w:rPr>
                <w:b/>
              </w:rPr>
              <w:t>Pt</w:t>
            </w:r>
            <w:proofErr w:type="spellEnd"/>
            <w:r w:rsidRPr="0052388F">
              <w:rPr>
                <w:b/>
              </w:rPr>
              <w:t xml:space="preserve"> 2</w:t>
            </w:r>
          </w:p>
        </w:tc>
        <w:tc>
          <w:tcPr>
            <w:tcW w:w="4943" w:type="dxa"/>
            <w:shd w:val="clear" w:color="auto" w:fill="auto"/>
          </w:tcPr>
          <w:p w:rsidR="0052388F" w:rsidRDefault="0052388F" w:rsidP="0049441B">
            <w:pPr>
              <w:pStyle w:val="ENoteTableText"/>
            </w:pPr>
          </w:p>
        </w:tc>
      </w:tr>
      <w:tr w:rsidR="00DB2D42" w:rsidTr="00DB2D42">
        <w:trPr>
          <w:cantSplit/>
        </w:trPr>
        <w:tc>
          <w:tcPr>
            <w:tcW w:w="2139" w:type="dxa"/>
            <w:shd w:val="clear" w:color="auto" w:fill="auto"/>
          </w:tcPr>
          <w:p w:rsidR="00DB2D42" w:rsidRDefault="00DB2D42" w:rsidP="0049441B">
            <w:pPr>
              <w:pStyle w:val="ENoteTableText"/>
              <w:tabs>
                <w:tab w:val="center" w:leader="dot" w:pos="2268"/>
              </w:tabs>
            </w:pPr>
            <w:proofErr w:type="spellStart"/>
            <w:r w:rsidRPr="009546C4">
              <w:rPr>
                <w:b/>
              </w:rPr>
              <w:t>Div</w:t>
            </w:r>
            <w:proofErr w:type="spellEnd"/>
            <w:r w:rsidRPr="007A133E">
              <w:rPr>
                <w:b/>
              </w:rPr>
              <w:t xml:space="preserve"> 2.4</w:t>
            </w:r>
          </w:p>
        </w:tc>
        <w:tc>
          <w:tcPr>
            <w:tcW w:w="4943" w:type="dxa"/>
            <w:shd w:val="clear" w:color="auto" w:fill="auto"/>
          </w:tcPr>
          <w:p w:rsidR="00DB2D42" w:rsidRDefault="00DB2D42" w:rsidP="0049441B">
            <w:pPr>
              <w:pStyle w:val="ENoteTableText"/>
            </w:pPr>
          </w:p>
        </w:tc>
        <w:bookmarkStart w:id="34" w:name="_GoBack"/>
        <w:bookmarkEnd w:id="34"/>
      </w:tr>
      <w:tr w:rsidR="00DB2D42" w:rsidTr="00DB2D42">
        <w:trPr>
          <w:cantSplit/>
        </w:trPr>
        <w:tc>
          <w:tcPr>
            <w:tcW w:w="2139" w:type="dxa"/>
            <w:shd w:val="clear" w:color="auto" w:fill="auto"/>
          </w:tcPr>
          <w:p w:rsidR="00DB2D42" w:rsidRDefault="00DB2D42" w:rsidP="006051FF">
            <w:pPr>
              <w:pStyle w:val="ENoteTableText"/>
              <w:tabs>
                <w:tab w:val="center" w:leader="dot" w:pos="2268"/>
              </w:tabs>
            </w:pPr>
            <w:proofErr w:type="spellStart"/>
            <w:r>
              <w:t>Div</w:t>
            </w:r>
            <w:proofErr w:type="spellEnd"/>
            <w:r>
              <w:t xml:space="preserve"> 2.4 of </w:t>
            </w:r>
            <w:proofErr w:type="spellStart"/>
            <w:r>
              <w:t>Pt</w:t>
            </w:r>
            <w:proofErr w:type="spellEnd"/>
            <w:r>
              <w:t xml:space="preserve"> 2</w:t>
            </w:r>
            <w:r>
              <w:tab/>
            </w:r>
          </w:p>
        </w:tc>
        <w:tc>
          <w:tcPr>
            <w:tcW w:w="4943" w:type="dxa"/>
            <w:shd w:val="clear" w:color="auto" w:fill="auto"/>
          </w:tcPr>
          <w:p w:rsidR="00DB2D42" w:rsidRDefault="00DB2D42" w:rsidP="0049441B">
            <w:pPr>
              <w:pStyle w:val="ENoteTableText"/>
            </w:pPr>
            <w:r>
              <w:t>ad F2014L00096</w:t>
            </w:r>
          </w:p>
        </w:tc>
      </w:tr>
      <w:tr w:rsidR="00DB2D42" w:rsidTr="00DB2D42">
        <w:trPr>
          <w:cantSplit/>
        </w:trPr>
        <w:tc>
          <w:tcPr>
            <w:tcW w:w="2139" w:type="dxa"/>
            <w:shd w:val="clear" w:color="auto" w:fill="auto"/>
          </w:tcPr>
          <w:p w:rsidR="00DB2D42" w:rsidRDefault="00DB2D42" w:rsidP="0049441B">
            <w:pPr>
              <w:pStyle w:val="ENoteTableText"/>
              <w:tabs>
                <w:tab w:val="center" w:leader="dot" w:pos="2268"/>
              </w:tabs>
            </w:pPr>
            <w:r>
              <w:t>s 10</w:t>
            </w:r>
            <w:r>
              <w:tab/>
            </w:r>
          </w:p>
        </w:tc>
        <w:tc>
          <w:tcPr>
            <w:tcW w:w="4943" w:type="dxa"/>
            <w:shd w:val="clear" w:color="auto" w:fill="auto"/>
          </w:tcPr>
          <w:p w:rsidR="00DB2D42" w:rsidRDefault="00DB2D42" w:rsidP="0049441B">
            <w:pPr>
              <w:pStyle w:val="ENoteTableText"/>
            </w:pPr>
            <w:r>
              <w:t>ad F2014L00096</w:t>
            </w:r>
          </w:p>
        </w:tc>
      </w:tr>
      <w:tr w:rsidR="00DB2D42" w:rsidTr="0049441B">
        <w:trPr>
          <w:cantSplit/>
        </w:trPr>
        <w:tc>
          <w:tcPr>
            <w:tcW w:w="2139" w:type="dxa"/>
            <w:shd w:val="clear" w:color="auto" w:fill="auto"/>
          </w:tcPr>
          <w:p w:rsidR="00DB2D42" w:rsidRDefault="00DB2D42" w:rsidP="0049441B">
            <w:pPr>
              <w:pStyle w:val="ENoteTableText"/>
              <w:tabs>
                <w:tab w:val="center" w:leader="dot" w:pos="2268"/>
              </w:tabs>
            </w:pPr>
            <w:r>
              <w:t>s 11</w:t>
            </w:r>
            <w:r>
              <w:tab/>
            </w:r>
          </w:p>
        </w:tc>
        <w:tc>
          <w:tcPr>
            <w:tcW w:w="4943" w:type="dxa"/>
            <w:shd w:val="clear" w:color="auto" w:fill="auto"/>
          </w:tcPr>
          <w:p w:rsidR="00DB2D42" w:rsidRDefault="00DB2D42" w:rsidP="0049441B">
            <w:pPr>
              <w:pStyle w:val="ENoteTableText"/>
            </w:pPr>
            <w:r w:rsidRPr="00C2405B">
              <w:t>ad F2014L00096</w:t>
            </w:r>
          </w:p>
        </w:tc>
      </w:tr>
      <w:tr w:rsidR="00DB2D42" w:rsidTr="00DB2D42">
        <w:trPr>
          <w:cantSplit/>
        </w:trPr>
        <w:tc>
          <w:tcPr>
            <w:tcW w:w="2139" w:type="dxa"/>
            <w:shd w:val="clear" w:color="auto" w:fill="auto"/>
          </w:tcPr>
          <w:p w:rsidR="00DB2D42" w:rsidRDefault="00DB2D42" w:rsidP="0049441B">
            <w:pPr>
              <w:pStyle w:val="ENoteTableText"/>
              <w:tabs>
                <w:tab w:val="center" w:leader="dot" w:pos="2268"/>
              </w:tabs>
            </w:pPr>
            <w:r>
              <w:t>s 12</w:t>
            </w:r>
            <w:r>
              <w:tab/>
            </w:r>
          </w:p>
        </w:tc>
        <w:tc>
          <w:tcPr>
            <w:tcW w:w="4943" w:type="dxa"/>
            <w:shd w:val="clear" w:color="auto" w:fill="auto"/>
          </w:tcPr>
          <w:p w:rsidR="00DB2D42" w:rsidRDefault="00DB2D42" w:rsidP="0049441B">
            <w:pPr>
              <w:pStyle w:val="ENoteTableText"/>
            </w:pPr>
            <w:r w:rsidRPr="00C2405B">
              <w:t>ad F2014L00096</w:t>
            </w:r>
          </w:p>
        </w:tc>
      </w:tr>
      <w:tr w:rsidR="00DB2D42" w:rsidTr="00DB2D42">
        <w:trPr>
          <w:cantSplit/>
        </w:trPr>
        <w:tc>
          <w:tcPr>
            <w:tcW w:w="2139" w:type="dxa"/>
            <w:shd w:val="clear" w:color="auto" w:fill="auto"/>
          </w:tcPr>
          <w:p w:rsidR="00DB2D42" w:rsidRDefault="0049441B" w:rsidP="0049441B">
            <w:pPr>
              <w:pStyle w:val="ENoteTableText"/>
              <w:tabs>
                <w:tab w:val="center" w:leader="dot" w:pos="2268"/>
              </w:tabs>
            </w:pPr>
            <w:r>
              <w:t>s</w:t>
            </w:r>
            <w:r w:rsidR="00DB2D42">
              <w:t xml:space="preserve"> 13</w:t>
            </w:r>
            <w:r w:rsidR="00DB2D42">
              <w:tab/>
            </w:r>
          </w:p>
        </w:tc>
        <w:tc>
          <w:tcPr>
            <w:tcW w:w="4943" w:type="dxa"/>
            <w:shd w:val="clear" w:color="auto" w:fill="auto"/>
          </w:tcPr>
          <w:p w:rsidR="00DB2D42" w:rsidRDefault="00DB2D42" w:rsidP="0049441B">
            <w:pPr>
              <w:pStyle w:val="ENoteTableText"/>
            </w:pPr>
            <w:r w:rsidRPr="00C2405B">
              <w:t>ad F2014L00096</w:t>
            </w:r>
          </w:p>
        </w:tc>
      </w:tr>
      <w:tr w:rsidR="00300618" w:rsidTr="00A45000">
        <w:trPr>
          <w:cantSplit/>
        </w:trPr>
        <w:tc>
          <w:tcPr>
            <w:tcW w:w="2139" w:type="dxa"/>
            <w:shd w:val="clear" w:color="auto" w:fill="auto"/>
          </w:tcPr>
          <w:p w:rsidR="00300618" w:rsidRPr="00300618" w:rsidRDefault="00300618" w:rsidP="00300618">
            <w:pPr>
              <w:pStyle w:val="ENoteTableText"/>
              <w:tabs>
                <w:tab w:val="center" w:leader="dot" w:pos="2268"/>
              </w:tabs>
              <w:rPr>
                <w:b/>
              </w:rPr>
            </w:pPr>
            <w:proofErr w:type="spellStart"/>
            <w:r w:rsidRPr="00300618">
              <w:rPr>
                <w:b/>
              </w:rPr>
              <w:t>Div</w:t>
            </w:r>
            <w:proofErr w:type="spellEnd"/>
            <w:r w:rsidRPr="00300618">
              <w:rPr>
                <w:b/>
              </w:rPr>
              <w:t xml:space="preserve"> 2.5</w:t>
            </w:r>
          </w:p>
        </w:tc>
        <w:tc>
          <w:tcPr>
            <w:tcW w:w="4943" w:type="dxa"/>
            <w:shd w:val="clear" w:color="auto" w:fill="auto"/>
          </w:tcPr>
          <w:p w:rsidR="00300618" w:rsidRDefault="00300618" w:rsidP="00A45000">
            <w:pPr>
              <w:pStyle w:val="ENoteTableText"/>
            </w:pPr>
          </w:p>
        </w:tc>
      </w:tr>
      <w:tr w:rsidR="00DB2D42" w:rsidTr="0049441B">
        <w:trPr>
          <w:cantSplit/>
        </w:trPr>
        <w:tc>
          <w:tcPr>
            <w:tcW w:w="2139" w:type="dxa"/>
            <w:tcBorders>
              <w:bottom w:val="single" w:sz="12" w:space="0" w:color="auto"/>
            </w:tcBorders>
            <w:shd w:val="clear" w:color="auto" w:fill="auto"/>
          </w:tcPr>
          <w:p w:rsidR="00DB2D42" w:rsidRDefault="00DB2D42" w:rsidP="0049441B">
            <w:pPr>
              <w:pStyle w:val="ENoteTableText"/>
              <w:tabs>
                <w:tab w:val="center" w:leader="dot" w:pos="2268"/>
              </w:tabs>
            </w:pPr>
            <w:r>
              <w:t>s 18</w:t>
            </w:r>
            <w:r>
              <w:tab/>
            </w:r>
          </w:p>
        </w:tc>
        <w:tc>
          <w:tcPr>
            <w:tcW w:w="4943" w:type="dxa"/>
            <w:tcBorders>
              <w:bottom w:val="single" w:sz="12" w:space="0" w:color="auto"/>
            </w:tcBorders>
            <w:shd w:val="clear" w:color="auto" w:fill="auto"/>
          </w:tcPr>
          <w:p w:rsidR="00DB2D42" w:rsidRDefault="00DB2D42" w:rsidP="0049441B">
            <w:pPr>
              <w:pStyle w:val="ENoteTableText"/>
            </w:pPr>
            <w:r>
              <w:t>am F2014L00096</w:t>
            </w:r>
          </w:p>
        </w:tc>
      </w:tr>
    </w:tbl>
    <w:p w:rsidR="00DB2D42" w:rsidRDefault="00DB2D42" w:rsidP="0049441B">
      <w:pPr>
        <w:pStyle w:val="Tabletext"/>
      </w:pPr>
    </w:p>
    <w:p w:rsidR="00A67313" w:rsidRDefault="00A67313" w:rsidP="006E0B3F">
      <w:pPr>
        <w:pStyle w:val="ENotesHeading2"/>
        <w:pageBreakBefore/>
      </w:pPr>
      <w:bookmarkStart w:id="35" w:name="_Toc379361544"/>
      <w:r>
        <w:lastRenderedPageBreak/>
        <w:t>Endnote 5—</w:t>
      </w:r>
      <w:proofErr w:type="spellStart"/>
      <w:r>
        <w:t>Uncommenced</w:t>
      </w:r>
      <w:proofErr w:type="spellEnd"/>
      <w:r>
        <w:t xml:space="preserve"> amendments</w:t>
      </w:r>
      <w:r w:rsidR="00D05789">
        <w:t xml:space="preserve"> [none]</w:t>
      </w:r>
      <w:bookmarkEnd w:id="35"/>
    </w:p>
    <w:p w:rsidR="00A67313" w:rsidRDefault="00A67313" w:rsidP="00A67313">
      <w:pPr>
        <w:pStyle w:val="ENotesHeading2"/>
      </w:pPr>
      <w:bookmarkStart w:id="36" w:name="_Toc379361545"/>
      <w:r>
        <w:t>Endn</w:t>
      </w:r>
      <w:r w:rsidRPr="00786FBC">
        <w:t xml:space="preserve">ote </w:t>
      </w:r>
      <w:r>
        <w:t>6</w:t>
      </w:r>
      <w:r w:rsidRPr="00786FBC">
        <w:t>—Modifications</w:t>
      </w:r>
      <w:r w:rsidR="00D05789">
        <w:t xml:space="preserve"> [none]</w:t>
      </w:r>
      <w:bookmarkEnd w:id="36"/>
    </w:p>
    <w:p w:rsidR="00A67313" w:rsidRPr="00723CF8" w:rsidRDefault="00A67313" w:rsidP="00A67313">
      <w:pPr>
        <w:pStyle w:val="ENotesHeading2"/>
      </w:pPr>
      <w:bookmarkStart w:id="37" w:name="_Toc379361546"/>
      <w:r>
        <w:t>Endnote 7</w:t>
      </w:r>
      <w:r w:rsidRPr="00723CF8">
        <w:t>—</w:t>
      </w:r>
      <w:proofErr w:type="spellStart"/>
      <w:r w:rsidRPr="00723CF8">
        <w:t>Misdescribed</w:t>
      </w:r>
      <w:proofErr w:type="spellEnd"/>
      <w:r w:rsidRPr="00723CF8">
        <w:t xml:space="preserve"> </w:t>
      </w:r>
      <w:r>
        <w:t>a</w:t>
      </w:r>
      <w:r w:rsidRPr="00723CF8">
        <w:t>mendments</w:t>
      </w:r>
      <w:r w:rsidR="00D05789">
        <w:t xml:space="preserve"> [none]</w:t>
      </w:r>
      <w:bookmarkEnd w:id="37"/>
    </w:p>
    <w:p w:rsidR="00A67313" w:rsidRDefault="00A67313" w:rsidP="00A67313">
      <w:pPr>
        <w:pStyle w:val="ENotesHeading2"/>
      </w:pPr>
      <w:bookmarkStart w:id="38" w:name="_Toc379361547"/>
      <w:r>
        <w:t>Endnote 8—Miscellaneous</w:t>
      </w:r>
      <w:r w:rsidR="00D05789">
        <w:t xml:space="preserve"> [none]</w:t>
      </w:r>
      <w:bookmarkEnd w:id="38"/>
    </w:p>
    <w:p w:rsidR="006E0B3F" w:rsidRPr="006E0B3F" w:rsidRDefault="006E0B3F" w:rsidP="006E0B3F">
      <w:pPr>
        <w:rPr>
          <w:lang w:eastAsia="en-AU"/>
        </w:rPr>
      </w:pPr>
    </w:p>
    <w:p w:rsidR="006E0B3F" w:rsidRDefault="006E0B3F" w:rsidP="00A67313">
      <w:pPr>
        <w:sectPr w:rsidR="006E0B3F" w:rsidSect="00DE19CA">
          <w:headerReference w:type="even" r:id="rId27"/>
          <w:headerReference w:type="default" r:id="rId28"/>
          <w:footerReference w:type="even" r:id="rId29"/>
          <w:footerReference w:type="default" r:id="rId30"/>
          <w:pgSz w:w="11907" w:h="16839" w:code="9"/>
          <w:pgMar w:top="1440" w:right="1797" w:bottom="1440" w:left="1797" w:header="720" w:footer="709" w:gutter="0"/>
          <w:cols w:space="708"/>
          <w:docGrid w:linePitch="360"/>
        </w:sectPr>
      </w:pPr>
    </w:p>
    <w:p w:rsidR="00A67313" w:rsidRPr="00152412" w:rsidRDefault="00A67313" w:rsidP="006E0B3F"/>
    <w:sectPr w:rsidR="00A67313" w:rsidRPr="00152412" w:rsidSect="00DE19CA">
      <w:headerReference w:type="even" r:id="rId31"/>
      <w:headerReference w:type="default" r:id="rId32"/>
      <w:footerReference w:type="even" r:id="rId33"/>
      <w:footerReference w:type="default" r:id="rId34"/>
      <w:headerReference w:type="first" r:id="rId35"/>
      <w:footerReference w:type="first" r:id="rId36"/>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1B" w:rsidRDefault="0049441B" w:rsidP="00715914">
      <w:pPr>
        <w:spacing w:line="240" w:lineRule="auto"/>
      </w:pPr>
      <w:r>
        <w:separator/>
      </w:r>
    </w:p>
  </w:endnote>
  <w:endnote w:type="continuationSeparator" w:id="0">
    <w:p w:rsidR="0049441B" w:rsidRDefault="0049441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Default="0049441B" w:rsidP="00983541">
    <w:pPr>
      <w:pStyle w:val="Footer"/>
      <w:pBdr>
        <w:top w:val="single" w:sz="4" w:space="1"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4A3680">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441B" w:rsidTr="00A67313">
      <w:tc>
        <w:tcPr>
          <w:tcW w:w="1384" w:type="dxa"/>
          <w:tcBorders>
            <w:top w:val="nil"/>
            <w:left w:val="nil"/>
            <w:bottom w:val="nil"/>
            <w:right w:val="nil"/>
          </w:tcBorders>
        </w:tcPr>
        <w:p w:rsidR="0049441B" w:rsidRDefault="0049441B" w:rsidP="00A67313">
          <w:pPr>
            <w:spacing w:line="0" w:lineRule="atLeast"/>
            <w:rPr>
              <w:sz w:val="18"/>
            </w:rPr>
          </w:pP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709" w:type="dxa"/>
          <w:tcBorders>
            <w:top w:val="nil"/>
            <w:left w:val="nil"/>
            <w:bottom w:val="nil"/>
            <w:right w:val="nil"/>
          </w:tcBorders>
        </w:tcPr>
        <w:p w:rsidR="0049441B" w:rsidRDefault="0049441B" w:rsidP="00A673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388F">
            <w:rPr>
              <w:i/>
              <w:noProof/>
              <w:sz w:val="18"/>
            </w:rPr>
            <w:t>15</w:t>
          </w:r>
          <w:r w:rsidRPr="00ED79B6">
            <w:rPr>
              <w:i/>
              <w:sz w:val="18"/>
            </w:rPr>
            <w:fldChar w:fldCharType="end"/>
          </w:r>
        </w:p>
      </w:tc>
    </w:tr>
  </w:tbl>
  <w:p w:rsidR="0049441B" w:rsidRPr="00ED79B6" w:rsidRDefault="0049441B" w:rsidP="00A67313">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5720A0" w:rsidRDefault="0049441B" w:rsidP="00A67313">
    <w:pPr>
      <w:pBdr>
        <w:top w:val="single" w:sz="6" w:space="1" w:color="auto"/>
      </w:pBdr>
      <w:spacing w:before="120" w:line="0" w:lineRule="atLeast"/>
      <w:rPr>
        <w:rFonts w:cs="Times New Roman"/>
        <w:sz w:val="18"/>
        <w:szCs w:val="16"/>
      </w:rPr>
    </w:pPr>
  </w:p>
  <w:tbl>
    <w:tblPr>
      <w:tblStyle w:val="TableGrid"/>
      <w:tblW w:w="0" w:type="auto"/>
      <w:tblLayout w:type="fixed"/>
      <w:tblLook w:val="04A0" w:firstRow="1" w:lastRow="0" w:firstColumn="1" w:lastColumn="0" w:noHBand="0" w:noVBand="1"/>
    </w:tblPr>
    <w:tblGrid>
      <w:gridCol w:w="709"/>
      <w:gridCol w:w="6379"/>
      <w:gridCol w:w="1384"/>
    </w:tblGrid>
    <w:tr w:rsidR="0049441B" w:rsidRPr="005720A0" w:rsidTr="006E67AE">
      <w:tc>
        <w:tcPr>
          <w:tcW w:w="709" w:type="dxa"/>
          <w:tcBorders>
            <w:top w:val="nil"/>
            <w:left w:val="nil"/>
            <w:bottom w:val="nil"/>
            <w:right w:val="nil"/>
          </w:tcBorders>
        </w:tcPr>
        <w:p w:rsidR="0049441B" w:rsidRPr="005720A0" w:rsidRDefault="0049441B" w:rsidP="00A67313">
          <w:pPr>
            <w:spacing w:line="0" w:lineRule="atLeast"/>
            <w:rPr>
              <w:rFonts w:cs="Times New Roman"/>
              <w:sz w:val="18"/>
            </w:rPr>
          </w:pPr>
          <w:r w:rsidRPr="005720A0">
            <w:rPr>
              <w:rFonts w:cs="Times New Roman"/>
              <w:i/>
              <w:sz w:val="18"/>
            </w:rPr>
            <w:fldChar w:fldCharType="begin"/>
          </w:r>
          <w:r w:rsidRPr="005720A0">
            <w:rPr>
              <w:rFonts w:cs="Times New Roman"/>
              <w:i/>
              <w:sz w:val="18"/>
            </w:rPr>
            <w:instrText xml:space="preserve"> PAGE </w:instrText>
          </w:r>
          <w:r w:rsidRPr="005720A0">
            <w:rPr>
              <w:rFonts w:cs="Times New Roman"/>
              <w:i/>
              <w:sz w:val="18"/>
            </w:rPr>
            <w:fldChar w:fldCharType="separate"/>
          </w:r>
          <w:r w:rsidR="00DD255E">
            <w:rPr>
              <w:rFonts w:cs="Times New Roman"/>
              <w:i/>
              <w:noProof/>
              <w:sz w:val="18"/>
            </w:rPr>
            <w:t>17</w:t>
          </w:r>
          <w:r w:rsidRPr="005720A0">
            <w:rPr>
              <w:rFonts w:cs="Times New Roman"/>
              <w:i/>
              <w:sz w:val="18"/>
            </w:rPr>
            <w:fldChar w:fldCharType="end"/>
          </w:r>
        </w:p>
      </w:tc>
      <w:tc>
        <w:tcPr>
          <w:tcW w:w="6379" w:type="dxa"/>
          <w:tcBorders>
            <w:top w:val="nil"/>
            <w:left w:val="nil"/>
            <w:bottom w:val="nil"/>
            <w:right w:val="nil"/>
          </w:tcBorders>
        </w:tcPr>
        <w:p w:rsidR="0049441B" w:rsidRPr="005720A0" w:rsidRDefault="0049441B" w:rsidP="00A67313">
          <w:pPr>
            <w:spacing w:line="0" w:lineRule="atLeast"/>
            <w:jc w:val="center"/>
            <w:rPr>
              <w:rFonts w:cs="Times New Roman"/>
              <w:sz w:val="18"/>
            </w:rPr>
          </w:pPr>
          <w:r w:rsidRPr="005720A0">
            <w:rPr>
              <w:rFonts w:cs="Times New Roman"/>
              <w:i/>
              <w:sz w:val="18"/>
            </w:rPr>
            <w:fldChar w:fldCharType="begin"/>
          </w:r>
          <w:r w:rsidRPr="005720A0">
            <w:rPr>
              <w:rFonts w:cs="Times New Roman"/>
              <w:i/>
              <w:sz w:val="18"/>
            </w:rPr>
            <w:instrText xml:space="preserve"> DOCPROPERTY ShortT </w:instrText>
          </w:r>
          <w:r w:rsidRPr="005720A0">
            <w:rPr>
              <w:rFonts w:cs="Times New Roman"/>
              <w:i/>
              <w:sz w:val="18"/>
            </w:rPr>
            <w:fldChar w:fldCharType="separate"/>
          </w:r>
          <w:r w:rsidR="00DD255E">
            <w:rPr>
              <w:rFonts w:cs="Times New Roman"/>
              <w:i/>
              <w:sz w:val="18"/>
            </w:rPr>
            <w:t>Aged Care (Home Care Subsidy Amount) Determination 2013</w:t>
          </w:r>
          <w:r w:rsidRPr="005720A0">
            <w:rPr>
              <w:rFonts w:cs="Times New Roman"/>
              <w:i/>
              <w:sz w:val="18"/>
            </w:rPr>
            <w:fldChar w:fldCharType="end"/>
          </w:r>
        </w:p>
      </w:tc>
      <w:tc>
        <w:tcPr>
          <w:tcW w:w="1384" w:type="dxa"/>
          <w:tcBorders>
            <w:top w:val="nil"/>
            <w:left w:val="nil"/>
            <w:bottom w:val="nil"/>
            <w:right w:val="nil"/>
          </w:tcBorders>
        </w:tcPr>
        <w:p w:rsidR="0049441B" w:rsidRPr="005720A0" w:rsidRDefault="0049441B" w:rsidP="00A67313">
          <w:pPr>
            <w:spacing w:line="0" w:lineRule="atLeast"/>
            <w:jc w:val="right"/>
            <w:rPr>
              <w:rFonts w:cs="Times New Roman"/>
              <w:sz w:val="18"/>
            </w:rPr>
          </w:pPr>
        </w:p>
      </w:tc>
    </w:tr>
  </w:tbl>
  <w:p w:rsidR="0049441B" w:rsidRPr="005720A0" w:rsidRDefault="0049441B" w:rsidP="006E0B3F">
    <w:pPr>
      <w:rPr>
        <w:rFonts w:cs="Times New Roman"/>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A67313">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441B" w:rsidTr="00A67313">
      <w:tc>
        <w:tcPr>
          <w:tcW w:w="1384" w:type="dxa"/>
          <w:tcBorders>
            <w:top w:val="nil"/>
            <w:left w:val="nil"/>
            <w:bottom w:val="nil"/>
            <w:right w:val="nil"/>
          </w:tcBorders>
        </w:tcPr>
        <w:p w:rsidR="0049441B" w:rsidRDefault="0049441B" w:rsidP="00A67313">
          <w:pPr>
            <w:spacing w:line="0" w:lineRule="atLeast"/>
            <w:rPr>
              <w:sz w:val="18"/>
            </w:rPr>
          </w:pP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709" w:type="dxa"/>
          <w:tcBorders>
            <w:top w:val="nil"/>
            <w:left w:val="nil"/>
            <w:bottom w:val="nil"/>
            <w:right w:val="nil"/>
          </w:tcBorders>
        </w:tcPr>
        <w:p w:rsidR="0049441B" w:rsidRDefault="0049441B" w:rsidP="00A673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55E">
            <w:rPr>
              <w:i/>
              <w:noProof/>
              <w:sz w:val="18"/>
            </w:rPr>
            <w:t>17</w:t>
          </w:r>
          <w:r w:rsidRPr="00ED79B6">
            <w:rPr>
              <w:i/>
              <w:sz w:val="18"/>
            </w:rPr>
            <w:fldChar w:fldCharType="end"/>
          </w:r>
        </w:p>
      </w:tc>
    </w:tr>
  </w:tbl>
  <w:p w:rsidR="0049441B" w:rsidRPr="00ED79B6" w:rsidRDefault="0049441B" w:rsidP="006E0B3F">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441B" w:rsidTr="00B33709">
      <w:tc>
        <w:tcPr>
          <w:tcW w:w="1384" w:type="dxa"/>
          <w:tcBorders>
            <w:top w:val="nil"/>
            <w:left w:val="nil"/>
            <w:bottom w:val="nil"/>
            <w:right w:val="nil"/>
          </w:tcBorders>
        </w:tcPr>
        <w:p w:rsidR="0049441B" w:rsidRDefault="0049441B" w:rsidP="00A67313">
          <w:pPr>
            <w:spacing w:line="0" w:lineRule="atLeast"/>
            <w:rPr>
              <w:sz w:val="18"/>
            </w:rPr>
          </w:pP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709" w:type="dxa"/>
          <w:tcBorders>
            <w:top w:val="nil"/>
            <w:left w:val="nil"/>
            <w:bottom w:val="nil"/>
            <w:right w:val="nil"/>
          </w:tcBorders>
        </w:tcPr>
        <w:p w:rsidR="0049441B" w:rsidRDefault="0049441B" w:rsidP="00A673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55E">
            <w:rPr>
              <w:i/>
              <w:noProof/>
              <w:sz w:val="18"/>
            </w:rPr>
            <w:t>17</w:t>
          </w:r>
          <w:r w:rsidRPr="00ED79B6">
            <w:rPr>
              <w:i/>
              <w:sz w:val="18"/>
            </w:rPr>
            <w:fldChar w:fldCharType="end"/>
          </w:r>
        </w:p>
      </w:tc>
    </w:tr>
  </w:tbl>
  <w:p w:rsidR="0049441B" w:rsidRPr="00ED79B6" w:rsidRDefault="0049441B"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CA" w:rsidRDefault="00DE1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D79B6" w:rsidRDefault="0049441B" w:rsidP="00A67313">
    <w:pPr>
      <w:pStyle w:val="Footer"/>
      <w:tabs>
        <w:tab w:val="clear" w:pos="4153"/>
        <w:tab w:val="clear" w:pos="8306"/>
        <w:tab w:val="center" w:pos="4150"/>
        <w:tab w:val="right" w:pos="8307"/>
      </w:tabs>
      <w:spacing w:before="120"/>
    </w:pPr>
    <w: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7177E0">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9441B" w:rsidTr="006E67AE">
      <w:tc>
        <w:tcPr>
          <w:tcW w:w="709" w:type="dxa"/>
          <w:tcBorders>
            <w:top w:val="nil"/>
            <w:left w:val="nil"/>
            <w:bottom w:val="nil"/>
            <w:right w:val="nil"/>
          </w:tcBorders>
        </w:tcPr>
        <w:p w:rsidR="0049441B" w:rsidRDefault="0049441B" w:rsidP="00A6731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55E">
            <w:rPr>
              <w:i/>
              <w:noProof/>
              <w:sz w:val="18"/>
            </w:rPr>
            <w:t>xvii</w:t>
          </w:r>
          <w:r w:rsidRPr="00ED79B6">
            <w:rPr>
              <w:i/>
              <w:sz w:val="18"/>
            </w:rPr>
            <w:fldChar w:fldCharType="end"/>
          </w: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1384" w:type="dxa"/>
          <w:tcBorders>
            <w:top w:val="nil"/>
            <w:left w:val="nil"/>
            <w:bottom w:val="nil"/>
            <w:right w:val="nil"/>
          </w:tcBorders>
        </w:tcPr>
        <w:p w:rsidR="0049441B" w:rsidRDefault="0049441B" w:rsidP="00A67313">
          <w:pPr>
            <w:spacing w:line="0" w:lineRule="atLeast"/>
            <w:jc w:val="right"/>
            <w:rPr>
              <w:sz w:val="18"/>
            </w:rPr>
          </w:pPr>
        </w:p>
      </w:tc>
    </w:tr>
  </w:tbl>
  <w:p w:rsidR="0049441B" w:rsidRPr="00ED79B6" w:rsidRDefault="0049441B"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7177E0">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1383"/>
      <w:gridCol w:w="6380"/>
      <w:gridCol w:w="709"/>
    </w:tblGrid>
    <w:tr w:rsidR="0049441B" w:rsidTr="00B33709">
      <w:tc>
        <w:tcPr>
          <w:tcW w:w="1383" w:type="dxa"/>
          <w:tcBorders>
            <w:top w:val="nil"/>
            <w:left w:val="nil"/>
            <w:bottom w:val="nil"/>
            <w:right w:val="nil"/>
          </w:tcBorders>
        </w:tcPr>
        <w:p w:rsidR="0049441B" w:rsidRDefault="0049441B" w:rsidP="00A67313">
          <w:pPr>
            <w:spacing w:line="0" w:lineRule="atLeast"/>
            <w:rPr>
              <w:sz w:val="18"/>
            </w:rPr>
          </w:pPr>
        </w:p>
      </w:tc>
      <w:tc>
        <w:tcPr>
          <w:tcW w:w="6380"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709" w:type="dxa"/>
          <w:tcBorders>
            <w:top w:val="nil"/>
            <w:left w:val="nil"/>
            <w:bottom w:val="nil"/>
            <w:right w:val="nil"/>
          </w:tcBorders>
        </w:tcPr>
        <w:p w:rsidR="0049441B" w:rsidRDefault="0049441B" w:rsidP="00A673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388F">
            <w:rPr>
              <w:i/>
              <w:noProof/>
              <w:sz w:val="18"/>
            </w:rPr>
            <w:t>i</w:t>
          </w:r>
          <w:r w:rsidRPr="00ED79B6">
            <w:rPr>
              <w:i/>
              <w:sz w:val="18"/>
            </w:rPr>
            <w:fldChar w:fldCharType="end"/>
          </w:r>
        </w:p>
      </w:tc>
    </w:tr>
  </w:tbl>
  <w:p w:rsidR="0049441B" w:rsidRPr="00ED79B6" w:rsidRDefault="0049441B" w:rsidP="007500C8">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A93CC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9441B" w:rsidTr="006E67AE">
      <w:tc>
        <w:tcPr>
          <w:tcW w:w="709" w:type="dxa"/>
          <w:tcBorders>
            <w:top w:val="nil"/>
            <w:left w:val="nil"/>
            <w:bottom w:val="nil"/>
            <w:right w:val="nil"/>
          </w:tcBorders>
        </w:tcPr>
        <w:p w:rsidR="0049441B" w:rsidRDefault="0049441B" w:rsidP="00A6731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388F">
            <w:rPr>
              <w:i/>
              <w:noProof/>
              <w:sz w:val="18"/>
            </w:rPr>
            <w:t>12</w:t>
          </w:r>
          <w:r w:rsidRPr="00ED79B6">
            <w:rPr>
              <w:i/>
              <w:sz w:val="18"/>
            </w:rPr>
            <w:fldChar w:fldCharType="end"/>
          </w: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1384" w:type="dxa"/>
          <w:tcBorders>
            <w:top w:val="nil"/>
            <w:left w:val="nil"/>
            <w:bottom w:val="nil"/>
            <w:right w:val="nil"/>
          </w:tcBorders>
        </w:tcPr>
        <w:p w:rsidR="0049441B" w:rsidRDefault="0049441B" w:rsidP="00A67313">
          <w:pPr>
            <w:spacing w:line="0" w:lineRule="atLeast"/>
            <w:jc w:val="right"/>
            <w:rPr>
              <w:sz w:val="18"/>
            </w:rPr>
          </w:pPr>
        </w:p>
      </w:tc>
    </w:tr>
  </w:tbl>
  <w:p w:rsidR="0049441B" w:rsidRPr="00ED79B6" w:rsidRDefault="0049441B" w:rsidP="00A67313">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A93CC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441B" w:rsidTr="00A67313">
      <w:tc>
        <w:tcPr>
          <w:tcW w:w="1384" w:type="dxa"/>
          <w:tcBorders>
            <w:top w:val="nil"/>
            <w:left w:val="nil"/>
            <w:bottom w:val="nil"/>
            <w:right w:val="nil"/>
          </w:tcBorders>
        </w:tcPr>
        <w:p w:rsidR="0049441B" w:rsidRDefault="0049441B" w:rsidP="00A67313">
          <w:pPr>
            <w:spacing w:line="0" w:lineRule="atLeast"/>
            <w:rPr>
              <w:sz w:val="18"/>
            </w:rPr>
          </w:pP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709" w:type="dxa"/>
          <w:tcBorders>
            <w:top w:val="nil"/>
            <w:left w:val="nil"/>
            <w:bottom w:val="nil"/>
            <w:right w:val="nil"/>
          </w:tcBorders>
        </w:tcPr>
        <w:p w:rsidR="0049441B" w:rsidRDefault="0049441B" w:rsidP="00A673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388F">
            <w:rPr>
              <w:i/>
              <w:noProof/>
              <w:sz w:val="18"/>
            </w:rPr>
            <w:t>11</w:t>
          </w:r>
          <w:r w:rsidRPr="00ED79B6">
            <w:rPr>
              <w:i/>
              <w:sz w:val="18"/>
            </w:rPr>
            <w:fldChar w:fldCharType="end"/>
          </w:r>
        </w:p>
      </w:tc>
    </w:tr>
  </w:tbl>
  <w:p w:rsidR="0049441B" w:rsidRPr="00ED79B6" w:rsidRDefault="0049441B" w:rsidP="00A67313">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A67313">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49441B" w:rsidTr="00A67313">
      <w:tc>
        <w:tcPr>
          <w:tcW w:w="1384" w:type="dxa"/>
          <w:tcBorders>
            <w:top w:val="nil"/>
            <w:left w:val="nil"/>
            <w:bottom w:val="nil"/>
            <w:right w:val="nil"/>
          </w:tcBorders>
        </w:tcPr>
        <w:p w:rsidR="0049441B" w:rsidRDefault="0049441B" w:rsidP="00A67313">
          <w:pPr>
            <w:spacing w:line="0" w:lineRule="atLeast"/>
            <w:rPr>
              <w:sz w:val="18"/>
            </w:rPr>
          </w:pP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709" w:type="dxa"/>
          <w:tcBorders>
            <w:top w:val="nil"/>
            <w:left w:val="nil"/>
            <w:bottom w:val="nil"/>
            <w:right w:val="nil"/>
          </w:tcBorders>
        </w:tcPr>
        <w:p w:rsidR="0049441B" w:rsidRDefault="0049441B" w:rsidP="00A6731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D255E">
            <w:rPr>
              <w:i/>
              <w:noProof/>
              <w:sz w:val="18"/>
            </w:rPr>
            <w:t>17</w:t>
          </w:r>
          <w:r w:rsidRPr="00ED79B6">
            <w:rPr>
              <w:i/>
              <w:sz w:val="18"/>
            </w:rPr>
            <w:fldChar w:fldCharType="end"/>
          </w:r>
        </w:p>
      </w:tc>
    </w:tr>
  </w:tbl>
  <w:p w:rsidR="0049441B" w:rsidRPr="00ED79B6" w:rsidRDefault="0049441B" w:rsidP="00A67313">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33C1C" w:rsidRDefault="0049441B" w:rsidP="00A93CC4">
    <w:pPr>
      <w:pBdr>
        <w:top w:val="single" w:sz="6" w:space="1" w:color="auto"/>
      </w:pBdr>
      <w:spacing w:before="120" w:line="0" w:lineRule="atLeast"/>
      <w:rPr>
        <w:sz w:val="16"/>
        <w:szCs w:val="16"/>
      </w:rPr>
    </w:pPr>
  </w:p>
  <w:tbl>
    <w:tblPr>
      <w:tblStyle w:val="TableGrid"/>
      <w:tblW w:w="0" w:type="auto"/>
      <w:tblLayout w:type="fixed"/>
      <w:tblLook w:val="04A0" w:firstRow="1" w:lastRow="0" w:firstColumn="1" w:lastColumn="0" w:noHBand="0" w:noVBand="1"/>
    </w:tblPr>
    <w:tblGrid>
      <w:gridCol w:w="709"/>
      <w:gridCol w:w="6379"/>
      <w:gridCol w:w="1384"/>
    </w:tblGrid>
    <w:tr w:rsidR="0049441B" w:rsidTr="006E67AE">
      <w:tc>
        <w:tcPr>
          <w:tcW w:w="709" w:type="dxa"/>
          <w:tcBorders>
            <w:top w:val="nil"/>
            <w:left w:val="nil"/>
            <w:bottom w:val="nil"/>
            <w:right w:val="nil"/>
          </w:tcBorders>
        </w:tcPr>
        <w:p w:rsidR="0049441B" w:rsidRDefault="0049441B" w:rsidP="00A6731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2388F">
            <w:rPr>
              <w:i/>
              <w:noProof/>
              <w:sz w:val="18"/>
            </w:rPr>
            <w:t>16</w:t>
          </w:r>
          <w:r w:rsidRPr="00ED79B6">
            <w:rPr>
              <w:i/>
              <w:sz w:val="18"/>
            </w:rPr>
            <w:fldChar w:fldCharType="end"/>
          </w:r>
        </w:p>
      </w:tc>
      <w:tc>
        <w:tcPr>
          <w:tcW w:w="6379" w:type="dxa"/>
          <w:tcBorders>
            <w:top w:val="nil"/>
            <w:left w:val="nil"/>
            <w:bottom w:val="nil"/>
            <w:right w:val="nil"/>
          </w:tcBorders>
        </w:tcPr>
        <w:p w:rsidR="0049441B" w:rsidRDefault="0049441B" w:rsidP="00A6731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DD255E">
            <w:rPr>
              <w:i/>
              <w:sz w:val="18"/>
            </w:rPr>
            <w:t>Aged Care (Home Care Subsidy Amount) Determination 2013</w:t>
          </w:r>
          <w:r w:rsidRPr="007A1328">
            <w:rPr>
              <w:i/>
              <w:sz w:val="18"/>
            </w:rPr>
            <w:fldChar w:fldCharType="end"/>
          </w:r>
        </w:p>
      </w:tc>
      <w:tc>
        <w:tcPr>
          <w:tcW w:w="1384" w:type="dxa"/>
          <w:tcBorders>
            <w:top w:val="nil"/>
            <w:left w:val="nil"/>
            <w:bottom w:val="nil"/>
            <w:right w:val="nil"/>
          </w:tcBorders>
        </w:tcPr>
        <w:p w:rsidR="0049441B" w:rsidRDefault="0049441B" w:rsidP="00A67313">
          <w:pPr>
            <w:spacing w:line="0" w:lineRule="atLeast"/>
            <w:jc w:val="right"/>
            <w:rPr>
              <w:sz w:val="18"/>
            </w:rPr>
          </w:pPr>
        </w:p>
      </w:tc>
    </w:tr>
  </w:tbl>
  <w:p w:rsidR="0049441B" w:rsidRPr="00ED79B6" w:rsidRDefault="0049441B" w:rsidP="00A67313">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1B" w:rsidRDefault="0049441B" w:rsidP="00715914">
      <w:pPr>
        <w:spacing w:line="240" w:lineRule="auto"/>
      </w:pPr>
      <w:r>
        <w:separator/>
      </w:r>
    </w:p>
  </w:footnote>
  <w:footnote w:type="continuationSeparator" w:id="0">
    <w:p w:rsidR="0049441B" w:rsidRDefault="0049441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Default="0049441B" w:rsidP="00A67313">
    <w:pPr>
      <w:pStyle w:val="Header"/>
      <w:pBdr>
        <w:bottom w:val="single" w:sz="4" w:space="1" w:color="auto"/>
      </w:pBdr>
      <w:tabs>
        <w:tab w:val="clear" w:pos="4150"/>
        <w:tab w:val="clear" w:pos="8307"/>
      </w:tabs>
    </w:pPr>
  </w:p>
  <w:p w:rsidR="0049441B" w:rsidRDefault="0049441B" w:rsidP="00A67313">
    <w:pPr>
      <w:pStyle w:val="Header"/>
      <w:pBdr>
        <w:bottom w:val="single" w:sz="4" w:space="1" w:color="auto"/>
      </w:pBdr>
      <w:tabs>
        <w:tab w:val="clear" w:pos="4150"/>
        <w:tab w:val="clear" w:pos="8307"/>
      </w:tabs>
    </w:pPr>
  </w:p>
  <w:p w:rsidR="0049441B" w:rsidRPr="005F1388" w:rsidRDefault="0049441B" w:rsidP="00A67313">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BE5CD2" w:rsidRDefault="0049441B" w:rsidP="00A93CC4">
    <w:pPr>
      <w:rPr>
        <w:sz w:val="26"/>
        <w:szCs w:val="26"/>
      </w:rPr>
    </w:pPr>
  </w:p>
  <w:p w:rsidR="0049441B" w:rsidRPr="0020230A" w:rsidRDefault="0049441B" w:rsidP="00A93CC4">
    <w:pPr>
      <w:rPr>
        <w:b/>
        <w:sz w:val="20"/>
      </w:rPr>
    </w:pPr>
    <w:r w:rsidRPr="0020230A">
      <w:rPr>
        <w:b/>
        <w:sz w:val="20"/>
      </w:rPr>
      <w:t>Endnotes</w:t>
    </w:r>
  </w:p>
  <w:p w:rsidR="0049441B" w:rsidRPr="007A1328" w:rsidRDefault="0049441B" w:rsidP="00A93CC4">
    <w:pPr>
      <w:rPr>
        <w:sz w:val="20"/>
      </w:rPr>
    </w:pPr>
  </w:p>
  <w:p w:rsidR="0049441B" w:rsidRPr="00F06EE7" w:rsidRDefault="0049441B" w:rsidP="00A93CC4">
    <w:pPr>
      <w:rPr>
        <w:sz w:val="24"/>
      </w:rPr>
    </w:pPr>
  </w:p>
  <w:p w:rsidR="0049441B" w:rsidRPr="00BE5CD2" w:rsidRDefault="0049441B" w:rsidP="00A93CC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2388F">
      <w:rPr>
        <w:noProof/>
        <w:szCs w:val="22"/>
      </w:rPr>
      <w:t>Endnote 4—Amendment history</w:t>
    </w:r>
    <w:r>
      <w:rPr>
        <w:szCs w:val="22"/>
      </w:rPr>
      <w:fldChar w:fldCharType="end"/>
    </w:r>
  </w:p>
  <w:p w:rsidR="0049441B" w:rsidRPr="00340A90" w:rsidRDefault="0049441B" w:rsidP="00A93CC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BE5CD2" w:rsidRDefault="0049441B" w:rsidP="00A93CC4">
    <w:pPr>
      <w:jc w:val="right"/>
      <w:rPr>
        <w:sz w:val="26"/>
        <w:szCs w:val="26"/>
      </w:rPr>
    </w:pPr>
  </w:p>
  <w:p w:rsidR="0049441B" w:rsidRPr="0020230A" w:rsidRDefault="0049441B" w:rsidP="00A93CC4">
    <w:pPr>
      <w:jc w:val="right"/>
      <w:rPr>
        <w:b/>
        <w:sz w:val="20"/>
      </w:rPr>
    </w:pPr>
    <w:r w:rsidRPr="0020230A">
      <w:rPr>
        <w:b/>
        <w:sz w:val="20"/>
      </w:rPr>
      <w:t>Endnotes</w:t>
    </w:r>
  </w:p>
  <w:p w:rsidR="0049441B" w:rsidRPr="007A1328" w:rsidRDefault="0049441B" w:rsidP="00A93CC4">
    <w:pPr>
      <w:jc w:val="right"/>
      <w:rPr>
        <w:sz w:val="20"/>
      </w:rPr>
    </w:pPr>
  </w:p>
  <w:p w:rsidR="0049441B" w:rsidRPr="007A1328" w:rsidRDefault="0049441B" w:rsidP="00A93CC4">
    <w:pPr>
      <w:jc w:val="right"/>
      <w:rPr>
        <w:b/>
        <w:sz w:val="24"/>
      </w:rPr>
    </w:pPr>
  </w:p>
  <w:p w:rsidR="0049441B" w:rsidRPr="00BE5CD2" w:rsidRDefault="0049441B" w:rsidP="00A93CC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2388F">
      <w:rPr>
        <w:noProof/>
        <w:szCs w:val="22"/>
      </w:rPr>
      <w:t>Endnote 3—Legislation history</w:t>
    </w:r>
    <w:r>
      <w:rPr>
        <w:szCs w:val="22"/>
      </w:rPr>
      <w:fldChar w:fldCharType="end"/>
    </w:r>
  </w:p>
  <w:p w:rsidR="0049441B" w:rsidRPr="00340A90" w:rsidRDefault="0049441B" w:rsidP="00A93CC4">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Default="0049441B"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9441B" w:rsidRDefault="0049441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D255E">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D255E">
      <w:rPr>
        <w:noProof/>
        <w:sz w:val="20"/>
      </w:rPr>
      <w:t>Amount of home care subsidy</w:t>
    </w:r>
    <w:r>
      <w:rPr>
        <w:sz w:val="20"/>
      </w:rPr>
      <w:fldChar w:fldCharType="end"/>
    </w:r>
  </w:p>
  <w:p w:rsidR="0049441B" w:rsidRPr="007A1328" w:rsidRDefault="0049441B" w:rsidP="00715914">
    <w:pPr>
      <w:rPr>
        <w:sz w:val="20"/>
      </w:rPr>
    </w:pPr>
    <w:r>
      <w:rPr>
        <w:b/>
        <w:sz w:val="20"/>
      </w:rPr>
      <w:fldChar w:fldCharType="begin"/>
    </w:r>
    <w:r>
      <w:rPr>
        <w:b/>
        <w:sz w:val="20"/>
      </w:rPr>
      <w:instrText xml:space="preserve"> STYLEREF CharDivNo </w:instrText>
    </w:r>
    <w:r>
      <w:rPr>
        <w:b/>
        <w:sz w:val="20"/>
      </w:rPr>
      <w:fldChar w:fldCharType="separate"/>
    </w:r>
    <w:r w:rsidR="00DD255E">
      <w:rPr>
        <w:b/>
        <w:noProof/>
        <w:sz w:val="20"/>
      </w:rPr>
      <w:t>Division 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D255E">
      <w:rPr>
        <w:noProof/>
        <w:sz w:val="20"/>
      </w:rPr>
      <w:t>Top-up supplement</w:t>
    </w:r>
    <w:r>
      <w:rPr>
        <w:sz w:val="20"/>
      </w:rPr>
      <w:fldChar w:fldCharType="end"/>
    </w:r>
  </w:p>
  <w:p w:rsidR="0049441B" w:rsidRPr="007A1328" w:rsidRDefault="0049441B" w:rsidP="00715914">
    <w:pPr>
      <w:rPr>
        <w:b/>
        <w:sz w:val="24"/>
      </w:rPr>
    </w:pPr>
  </w:p>
  <w:p w:rsidR="0049441B" w:rsidRPr="007A1328" w:rsidRDefault="0049441B"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255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255E">
      <w:rPr>
        <w:noProof/>
        <w:sz w:val="24"/>
      </w:rPr>
      <w:t>23</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7A1328" w:rsidRDefault="0049441B"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441B" w:rsidRPr="007A1328" w:rsidRDefault="0049441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D255E">
      <w:rPr>
        <w:noProof/>
        <w:sz w:val="20"/>
      </w:rPr>
      <w:t>Amount of home care subsidy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D255E">
      <w:rPr>
        <w:b/>
        <w:noProof/>
        <w:sz w:val="20"/>
      </w:rPr>
      <w:t>Part 2</w:t>
    </w:r>
    <w:r>
      <w:rPr>
        <w:b/>
        <w:sz w:val="20"/>
      </w:rPr>
      <w:fldChar w:fldCharType="end"/>
    </w:r>
  </w:p>
  <w:p w:rsidR="0049441B" w:rsidRPr="007A1328" w:rsidRDefault="0049441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D255E">
      <w:rPr>
        <w:noProof/>
        <w:sz w:val="20"/>
      </w:rPr>
      <w:t>Top-up supplement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D255E">
      <w:rPr>
        <w:b/>
        <w:noProof/>
        <w:sz w:val="20"/>
      </w:rPr>
      <w:t>Division 2.7</w:t>
    </w:r>
    <w:r>
      <w:rPr>
        <w:b/>
        <w:sz w:val="20"/>
      </w:rPr>
      <w:fldChar w:fldCharType="end"/>
    </w:r>
  </w:p>
  <w:p w:rsidR="0049441B" w:rsidRPr="007A1328" w:rsidRDefault="0049441B" w:rsidP="00715914">
    <w:pPr>
      <w:jc w:val="right"/>
      <w:rPr>
        <w:b/>
        <w:sz w:val="24"/>
      </w:rPr>
    </w:pPr>
  </w:p>
  <w:p w:rsidR="0049441B" w:rsidRPr="007A1328" w:rsidRDefault="0049441B"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255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D255E">
      <w:rPr>
        <w:noProof/>
        <w:sz w:val="24"/>
      </w:rPr>
      <w:t>23</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7A1328" w:rsidRDefault="0049441B"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5F1388" w:rsidRDefault="0049441B" w:rsidP="00A67313">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5F1388" w:rsidRDefault="0049441B" w:rsidP="00A67313">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D79B6" w:rsidRDefault="0049441B" w:rsidP="008D28AB">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D79B6" w:rsidRDefault="0049441B" w:rsidP="008D28AB">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ED79B6" w:rsidRDefault="0049441B"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Default="0049441B" w:rsidP="00A6731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9441B" w:rsidRDefault="0049441B" w:rsidP="00A67313">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2388F">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2388F">
      <w:rPr>
        <w:noProof/>
        <w:sz w:val="20"/>
      </w:rPr>
      <w:t>Amount of home care subsidy</w:t>
    </w:r>
    <w:r>
      <w:rPr>
        <w:sz w:val="20"/>
      </w:rPr>
      <w:fldChar w:fldCharType="end"/>
    </w:r>
  </w:p>
  <w:p w:rsidR="0049441B" w:rsidRPr="007A1328" w:rsidRDefault="0049441B" w:rsidP="00A67313">
    <w:pPr>
      <w:rPr>
        <w:sz w:val="20"/>
      </w:rPr>
    </w:pPr>
    <w:r>
      <w:rPr>
        <w:b/>
        <w:sz w:val="20"/>
      </w:rPr>
      <w:fldChar w:fldCharType="begin"/>
    </w:r>
    <w:r>
      <w:rPr>
        <w:b/>
        <w:sz w:val="20"/>
      </w:rPr>
      <w:instrText xml:space="preserve"> STYLEREF CharDivNo </w:instrText>
    </w:r>
    <w:r>
      <w:rPr>
        <w:b/>
        <w:sz w:val="20"/>
      </w:rPr>
      <w:fldChar w:fldCharType="separate"/>
    </w:r>
    <w:r w:rsidR="0052388F">
      <w:rPr>
        <w:b/>
        <w:noProof/>
        <w:sz w:val="20"/>
      </w:rPr>
      <w:t>Division 2.7</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52388F">
      <w:rPr>
        <w:noProof/>
        <w:sz w:val="20"/>
      </w:rPr>
      <w:t>Top-up supplement</w:t>
    </w:r>
    <w:r>
      <w:rPr>
        <w:sz w:val="20"/>
      </w:rPr>
      <w:fldChar w:fldCharType="end"/>
    </w:r>
  </w:p>
  <w:p w:rsidR="0049441B" w:rsidRPr="007A1328" w:rsidRDefault="0049441B" w:rsidP="00A67313">
    <w:pPr>
      <w:rPr>
        <w:b/>
        <w:sz w:val="24"/>
      </w:rPr>
    </w:pPr>
  </w:p>
  <w:p w:rsidR="0049441B" w:rsidRPr="007A1328" w:rsidRDefault="0049441B" w:rsidP="00A67313">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DD255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2388F">
      <w:rPr>
        <w:noProof/>
        <w:sz w:val="24"/>
      </w:rPr>
      <w:t>22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7A1328" w:rsidRDefault="0049441B" w:rsidP="00A6731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441B" w:rsidRPr="007A1328" w:rsidRDefault="0049441B" w:rsidP="00A67313">
    <w:pPr>
      <w:jc w:val="right"/>
      <w:rPr>
        <w:sz w:val="20"/>
      </w:rPr>
    </w:pPr>
    <w:r w:rsidRPr="007A1328">
      <w:rPr>
        <w:sz w:val="20"/>
      </w:rPr>
      <w:fldChar w:fldCharType="begin"/>
    </w:r>
    <w:r w:rsidRPr="007A1328">
      <w:rPr>
        <w:sz w:val="20"/>
      </w:rPr>
      <w:instrText xml:space="preserve"> STYLEREF CharPartText </w:instrText>
    </w:r>
    <w:r w:rsidR="0052388F">
      <w:rPr>
        <w:sz w:val="20"/>
      </w:rPr>
      <w:fldChar w:fldCharType="separate"/>
    </w:r>
    <w:r w:rsidR="0052388F">
      <w:rPr>
        <w:noProof/>
        <w:sz w:val="20"/>
      </w:rPr>
      <w:t>Amount of home care subsidy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2388F">
      <w:rPr>
        <w:b/>
        <w:sz w:val="20"/>
      </w:rPr>
      <w:fldChar w:fldCharType="separate"/>
    </w:r>
    <w:r w:rsidR="0052388F">
      <w:rPr>
        <w:b/>
        <w:noProof/>
        <w:sz w:val="20"/>
      </w:rPr>
      <w:t>Part 2</w:t>
    </w:r>
    <w:r>
      <w:rPr>
        <w:b/>
        <w:sz w:val="20"/>
      </w:rPr>
      <w:fldChar w:fldCharType="end"/>
    </w:r>
  </w:p>
  <w:p w:rsidR="0049441B" w:rsidRPr="007A1328" w:rsidRDefault="0049441B" w:rsidP="00A67313">
    <w:pPr>
      <w:jc w:val="right"/>
      <w:rPr>
        <w:sz w:val="20"/>
      </w:rPr>
    </w:pPr>
    <w:r w:rsidRPr="007A1328">
      <w:rPr>
        <w:sz w:val="20"/>
      </w:rPr>
      <w:fldChar w:fldCharType="begin"/>
    </w:r>
    <w:r w:rsidRPr="007A1328">
      <w:rPr>
        <w:sz w:val="20"/>
      </w:rPr>
      <w:instrText xml:space="preserve"> STYLEREF CharDivText </w:instrText>
    </w:r>
    <w:r w:rsidR="0052388F">
      <w:rPr>
        <w:sz w:val="20"/>
      </w:rPr>
      <w:fldChar w:fldCharType="separate"/>
    </w:r>
    <w:r w:rsidR="0052388F">
      <w:rPr>
        <w:noProof/>
        <w:sz w:val="20"/>
      </w:rPr>
      <w:t>Veterans’ supplement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2388F">
      <w:rPr>
        <w:b/>
        <w:sz w:val="20"/>
      </w:rPr>
      <w:fldChar w:fldCharType="separate"/>
    </w:r>
    <w:r w:rsidR="0052388F">
      <w:rPr>
        <w:b/>
        <w:noProof/>
        <w:sz w:val="20"/>
      </w:rPr>
      <w:t>Division 2.6</w:t>
    </w:r>
    <w:r>
      <w:rPr>
        <w:b/>
        <w:sz w:val="20"/>
      </w:rPr>
      <w:fldChar w:fldCharType="end"/>
    </w:r>
  </w:p>
  <w:p w:rsidR="0049441B" w:rsidRPr="007A1328" w:rsidRDefault="0049441B" w:rsidP="00A67313">
    <w:pPr>
      <w:jc w:val="right"/>
      <w:rPr>
        <w:b/>
        <w:sz w:val="24"/>
      </w:rPr>
    </w:pPr>
  </w:p>
  <w:p w:rsidR="0049441B" w:rsidRPr="007A1328" w:rsidRDefault="0049441B" w:rsidP="00A67313">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DD255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2388F">
      <w:rPr>
        <w:noProof/>
        <w:sz w:val="24"/>
      </w:rPr>
      <w:t>21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1B" w:rsidRPr="007A1328" w:rsidRDefault="0049441B" w:rsidP="00A673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7E3D6A"/>
    <w:lvl w:ilvl="0">
      <w:start w:val="1"/>
      <w:numFmt w:val="decimal"/>
      <w:lvlText w:val="%1."/>
      <w:lvlJc w:val="left"/>
      <w:pPr>
        <w:tabs>
          <w:tab w:val="num" w:pos="1492"/>
        </w:tabs>
        <w:ind w:left="1492" w:hanging="360"/>
      </w:pPr>
    </w:lvl>
  </w:abstractNum>
  <w:abstractNum w:abstractNumId="1">
    <w:nsid w:val="FFFFFF7D"/>
    <w:multiLevelType w:val="singleLevel"/>
    <w:tmpl w:val="47AE5BF4"/>
    <w:lvl w:ilvl="0">
      <w:start w:val="1"/>
      <w:numFmt w:val="decimal"/>
      <w:lvlText w:val="%1."/>
      <w:lvlJc w:val="left"/>
      <w:pPr>
        <w:tabs>
          <w:tab w:val="num" w:pos="1209"/>
        </w:tabs>
        <w:ind w:left="1209" w:hanging="360"/>
      </w:pPr>
    </w:lvl>
  </w:abstractNum>
  <w:abstractNum w:abstractNumId="2">
    <w:nsid w:val="FFFFFF7E"/>
    <w:multiLevelType w:val="singleLevel"/>
    <w:tmpl w:val="A566DEC8"/>
    <w:lvl w:ilvl="0">
      <w:start w:val="1"/>
      <w:numFmt w:val="decimal"/>
      <w:lvlText w:val="%1."/>
      <w:lvlJc w:val="left"/>
      <w:pPr>
        <w:tabs>
          <w:tab w:val="num" w:pos="926"/>
        </w:tabs>
        <w:ind w:left="926" w:hanging="360"/>
      </w:pPr>
    </w:lvl>
  </w:abstractNum>
  <w:abstractNum w:abstractNumId="3">
    <w:nsid w:val="FFFFFF7F"/>
    <w:multiLevelType w:val="singleLevel"/>
    <w:tmpl w:val="8DF6B880"/>
    <w:lvl w:ilvl="0">
      <w:start w:val="1"/>
      <w:numFmt w:val="decimal"/>
      <w:lvlText w:val="%1."/>
      <w:lvlJc w:val="left"/>
      <w:pPr>
        <w:tabs>
          <w:tab w:val="num" w:pos="643"/>
        </w:tabs>
        <w:ind w:left="643" w:hanging="360"/>
      </w:pPr>
    </w:lvl>
  </w:abstractNum>
  <w:abstractNum w:abstractNumId="4">
    <w:nsid w:val="FFFFFF80"/>
    <w:multiLevelType w:val="singleLevel"/>
    <w:tmpl w:val="4328B8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5CE4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0C6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A8FE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B0B04A"/>
    <w:lvl w:ilvl="0">
      <w:start w:val="1"/>
      <w:numFmt w:val="decimal"/>
      <w:lvlText w:val="%1."/>
      <w:lvlJc w:val="left"/>
      <w:pPr>
        <w:tabs>
          <w:tab w:val="num" w:pos="360"/>
        </w:tabs>
        <w:ind w:left="360" w:hanging="360"/>
      </w:pPr>
    </w:lvl>
  </w:abstractNum>
  <w:abstractNum w:abstractNumId="9">
    <w:nsid w:val="FFFFFF89"/>
    <w:multiLevelType w:val="singleLevel"/>
    <w:tmpl w:val="E69A51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13"/>
    <w:rsid w:val="000136AF"/>
    <w:rsid w:val="00023112"/>
    <w:rsid w:val="00051CF8"/>
    <w:rsid w:val="0005365D"/>
    <w:rsid w:val="000614BF"/>
    <w:rsid w:val="0007418D"/>
    <w:rsid w:val="00081139"/>
    <w:rsid w:val="00082EB0"/>
    <w:rsid w:val="00097B98"/>
    <w:rsid w:val="000D05EF"/>
    <w:rsid w:val="000E2261"/>
    <w:rsid w:val="000E7BB5"/>
    <w:rsid w:val="000F21C1"/>
    <w:rsid w:val="000F6EF2"/>
    <w:rsid w:val="0010745C"/>
    <w:rsid w:val="00142B62"/>
    <w:rsid w:val="00152412"/>
    <w:rsid w:val="001550B4"/>
    <w:rsid w:val="00157B8B"/>
    <w:rsid w:val="00166C2F"/>
    <w:rsid w:val="0017524C"/>
    <w:rsid w:val="001809D7"/>
    <w:rsid w:val="001939E1"/>
    <w:rsid w:val="00194C3E"/>
    <w:rsid w:val="00195382"/>
    <w:rsid w:val="001B5C60"/>
    <w:rsid w:val="001C0187"/>
    <w:rsid w:val="001C4BE7"/>
    <w:rsid w:val="001C69C4"/>
    <w:rsid w:val="001D37EF"/>
    <w:rsid w:val="001E3590"/>
    <w:rsid w:val="001E4F62"/>
    <w:rsid w:val="001E7407"/>
    <w:rsid w:val="001F5D5E"/>
    <w:rsid w:val="001F6219"/>
    <w:rsid w:val="00202FD4"/>
    <w:rsid w:val="00206C4D"/>
    <w:rsid w:val="00206FED"/>
    <w:rsid w:val="00212236"/>
    <w:rsid w:val="00215ADB"/>
    <w:rsid w:val="00215E3D"/>
    <w:rsid w:val="00217783"/>
    <w:rsid w:val="002330CC"/>
    <w:rsid w:val="0024010F"/>
    <w:rsid w:val="00240749"/>
    <w:rsid w:val="002564A4"/>
    <w:rsid w:val="0026736C"/>
    <w:rsid w:val="00281308"/>
    <w:rsid w:val="00294A38"/>
    <w:rsid w:val="00297ECB"/>
    <w:rsid w:val="002A7BCF"/>
    <w:rsid w:val="002B0B63"/>
    <w:rsid w:val="002D043A"/>
    <w:rsid w:val="002D6224"/>
    <w:rsid w:val="002E04D4"/>
    <w:rsid w:val="00300618"/>
    <w:rsid w:val="00304F8B"/>
    <w:rsid w:val="003217A5"/>
    <w:rsid w:val="00335BC6"/>
    <w:rsid w:val="003415D3"/>
    <w:rsid w:val="00352B0F"/>
    <w:rsid w:val="00360459"/>
    <w:rsid w:val="00371193"/>
    <w:rsid w:val="00383103"/>
    <w:rsid w:val="003967B9"/>
    <w:rsid w:val="003A0D2E"/>
    <w:rsid w:val="003A1A52"/>
    <w:rsid w:val="003C6231"/>
    <w:rsid w:val="003D0BFE"/>
    <w:rsid w:val="003D5700"/>
    <w:rsid w:val="003E1A8E"/>
    <w:rsid w:val="003E341B"/>
    <w:rsid w:val="004116CD"/>
    <w:rsid w:val="00417EB9"/>
    <w:rsid w:val="00421ED5"/>
    <w:rsid w:val="00424CA9"/>
    <w:rsid w:val="00427678"/>
    <w:rsid w:val="00431E9B"/>
    <w:rsid w:val="004379E3"/>
    <w:rsid w:val="0044291A"/>
    <w:rsid w:val="00467661"/>
    <w:rsid w:val="00472DBE"/>
    <w:rsid w:val="0049441B"/>
    <w:rsid w:val="00496F97"/>
    <w:rsid w:val="004A3680"/>
    <w:rsid w:val="004A561D"/>
    <w:rsid w:val="004C3A07"/>
    <w:rsid w:val="004D7216"/>
    <w:rsid w:val="004E3537"/>
    <w:rsid w:val="004E370A"/>
    <w:rsid w:val="004E7BEC"/>
    <w:rsid w:val="00500CC6"/>
    <w:rsid w:val="00505D3D"/>
    <w:rsid w:val="00506AF6"/>
    <w:rsid w:val="00516B8D"/>
    <w:rsid w:val="0052388F"/>
    <w:rsid w:val="00537FBC"/>
    <w:rsid w:val="00545C63"/>
    <w:rsid w:val="00554ADA"/>
    <w:rsid w:val="00555EA3"/>
    <w:rsid w:val="00584811"/>
    <w:rsid w:val="00585784"/>
    <w:rsid w:val="00593AA6"/>
    <w:rsid w:val="00594161"/>
    <w:rsid w:val="00594749"/>
    <w:rsid w:val="005B4067"/>
    <w:rsid w:val="005C0CFA"/>
    <w:rsid w:val="005C3F41"/>
    <w:rsid w:val="005D2164"/>
    <w:rsid w:val="005D2D09"/>
    <w:rsid w:val="005D3B89"/>
    <w:rsid w:val="005F366F"/>
    <w:rsid w:val="00600219"/>
    <w:rsid w:val="006051FF"/>
    <w:rsid w:val="00620076"/>
    <w:rsid w:val="00626F0A"/>
    <w:rsid w:val="006451CF"/>
    <w:rsid w:val="00672EBE"/>
    <w:rsid w:val="00677CC2"/>
    <w:rsid w:val="006905DE"/>
    <w:rsid w:val="0069207B"/>
    <w:rsid w:val="006A6B66"/>
    <w:rsid w:val="006B78FE"/>
    <w:rsid w:val="006C7F8C"/>
    <w:rsid w:val="006E0B3F"/>
    <w:rsid w:val="006E2776"/>
    <w:rsid w:val="006E6246"/>
    <w:rsid w:val="006E67AE"/>
    <w:rsid w:val="006F318F"/>
    <w:rsid w:val="00700B2C"/>
    <w:rsid w:val="007050A2"/>
    <w:rsid w:val="00713084"/>
    <w:rsid w:val="007133DB"/>
    <w:rsid w:val="00714987"/>
    <w:rsid w:val="00714F20"/>
    <w:rsid w:val="00715896"/>
    <w:rsid w:val="0071590F"/>
    <w:rsid w:val="00715914"/>
    <w:rsid w:val="007177E0"/>
    <w:rsid w:val="00731E00"/>
    <w:rsid w:val="00732021"/>
    <w:rsid w:val="00735CA6"/>
    <w:rsid w:val="007418AC"/>
    <w:rsid w:val="007440B7"/>
    <w:rsid w:val="007500C8"/>
    <w:rsid w:val="007715C9"/>
    <w:rsid w:val="00774EDD"/>
    <w:rsid w:val="007757EC"/>
    <w:rsid w:val="00793915"/>
    <w:rsid w:val="007C2253"/>
    <w:rsid w:val="007E163D"/>
    <w:rsid w:val="007E667A"/>
    <w:rsid w:val="008014BE"/>
    <w:rsid w:val="008117E9"/>
    <w:rsid w:val="00814D23"/>
    <w:rsid w:val="00817F88"/>
    <w:rsid w:val="00821111"/>
    <w:rsid w:val="008477E0"/>
    <w:rsid w:val="00856A31"/>
    <w:rsid w:val="00867B37"/>
    <w:rsid w:val="008754D0"/>
    <w:rsid w:val="00886456"/>
    <w:rsid w:val="0088780B"/>
    <w:rsid w:val="008A46E1"/>
    <w:rsid w:val="008B2706"/>
    <w:rsid w:val="008D0EE0"/>
    <w:rsid w:val="008D28AB"/>
    <w:rsid w:val="008F54E7"/>
    <w:rsid w:val="00903422"/>
    <w:rsid w:val="009268B9"/>
    <w:rsid w:val="00932377"/>
    <w:rsid w:val="00935B36"/>
    <w:rsid w:val="00940071"/>
    <w:rsid w:val="009469C4"/>
    <w:rsid w:val="00947D5A"/>
    <w:rsid w:val="009532A5"/>
    <w:rsid w:val="009546C4"/>
    <w:rsid w:val="00983541"/>
    <w:rsid w:val="009843DA"/>
    <w:rsid w:val="009868E9"/>
    <w:rsid w:val="0099387A"/>
    <w:rsid w:val="009938CC"/>
    <w:rsid w:val="009B2ACF"/>
    <w:rsid w:val="00A12128"/>
    <w:rsid w:val="00A22C98"/>
    <w:rsid w:val="00A231E2"/>
    <w:rsid w:val="00A257AD"/>
    <w:rsid w:val="00A40724"/>
    <w:rsid w:val="00A64071"/>
    <w:rsid w:val="00A64912"/>
    <w:rsid w:val="00A67313"/>
    <w:rsid w:val="00A70A74"/>
    <w:rsid w:val="00A71519"/>
    <w:rsid w:val="00A91044"/>
    <w:rsid w:val="00A93CC4"/>
    <w:rsid w:val="00A95AAA"/>
    <w:rsid w:val="00AA1EAD"/>
    <w:rsid w:val="00AB0A08"/>
    <w:rsid w:val="00AD4C30"/>
    <w:rsid w:val="00AD5641"/>
    <w:rsid w:val="00AE71AD"/>
    <w:rsid w:val="00AF06CF"/>
    <w:rsid w:val="00B07CDB"/>
    <w:rsid w:val="00B16A31"/>
    <w:rsid w:val="00B17DFD"/>
    <w:rsid w:val="00B20C9A"/>
    <w:rsid w:val="00B308FE"/>
    <w:rsid w:val="00B33709"/>
    <w:rsid w:val="00B33B3C"/>
    <w:rsid w:val="00B527D2"/>
    <w:rsid w:val="00B61A16"/>
    <w:rsid w:val="00B63834"/>
    <w:rsid w:val="00B75849"/>
    <w:rsid w:val="00B80199"/>
    <w:rsid w:val="00BA220B"/>
    <w:rsid w:val="00BA3A57"/>
    <w:rsid w:val="00BA64C4"/>
    <w:rsid w:val="00BB4E1A"/>
    <w:rsid w:val="00BC015E"/>
    <w:rsid w:val="00BC3AE3"/>
    <w:rsid w:val="00BC76AC"/>
    <w:rsid w:val="00BD4E69"/>
    <w:rsid w:val="00BE61CE"/>
    <w:rsid w:val="00BE719A"/>
    <w:rsid w:val="00BE720A"/>
    <w:rsid w:val="00BF0D73"/>
    <w:rsid w:val="00BF2465"/>
    <w:rsid w:val="00C25E7F"/>
    <w:rsid w:val="00C2746F"/>
    <w:rsid w:val="00C324A0"/>
    <w:rsid w:val="00C343BC"/>
    <w:rsid w:val="00C42BF8"/>
    <w:rsid w:val="00C50043"/>
    <w:rsid w:val="00C7573B"/>
    <w:rsid w:val="00CA7AB1"/>
    <w:rsid w:val="00CE051D"/>
    <w:rsid w:val="00CE493D"/>
    <w:rsid w:val="00CF0BB2"/>
    <w:rsid w:val="00CF3EE8"/>
    <w:rsid w:val="00D05789"/>
    <w:rsid w:val="00D13441"/>
    <w:rsid w:val="00D150E7"/>
    <w:rsid w:val="00D43FF6"/>
    <w:rsid w:val="00D60D24"/>
    <w:rsid w:val="00D70DFB"/>
    <w:rsid w:val="00D766DF"/>
    <w:rsid w:val="00D77FEB"/>
    <w:rsid w:val="00D84340"/>
    <w:rsid w:val="00D93CA0"/>
    <w:rsid w:val="00D948BD"/>
    <w:rsid w:val="00DA186E"/>
    <w:rsid w:val="00DB251C"/>
    <w:rsid w:val="00DB2D42"/>
    <w:rsid w:val="00DC19FA"/>
    <w:rsid w:val="00DC4F88"/>
    <w:rsid w:val="00DD255E"/>
    <w:rsid w:val="00DE09CF"/>
    <w:rsid w:val="00DE0E8C"/>
    <w:rsid w:val="00DE19CA"/>
    <w:rsid w:val="00E00E7D"/>
    <w:rsid w:val="00E05704"/>
    <w:rsid w:val="00E27225"/>
    <w:rsid w:val="00E338EF"/>
    <w:rsid w:val="00E44430"/>
    <w:rsid w:val="00E648B6"/>
    <w:rsid w:val="00E700BF"/>
    <w:rsid w:val="00E74DC7"/>
    <w:rsid w:val="00E8075A"/>
    <w:rsid w:val="00E8502F"/>
    <w:rsid w:val="00E94913"/>
    <w:rsid w:val="00E94D5E"/>
    <w:rsid w:val="00E95C79"/>
    <w:rsid w:val="00EA10AC"/>
    <w:rsid w:val="00EA7100"/>
    <w:rsid w:val="00EA7F9F"/>
    <w:rsid w:val="00ED2BB6"/>
    <w:rsid w:val="00EF2E3A"/>
    <w:rsid w:val="00EF56E7"/>
    <w:rsid w:val="00F072A7"/>
    <w:rsid w:val="00F078DC"/>
    <w:rsid w:val="00F22885"/>
    <w:rsid w:val="00F349F1"/>
    <w:rsid w:val="00F4350D"/>
    <w:rsid w:val="00F567F7"/>
    <w:rsid w:val="00F73BD6"/>
    <w:rsid w:val="00F83989"/>
    <w:rsid w:val="00F85099"/>
    <w:rsid w:val="00F9379C"/>
    <w:rsid w:val="00F9632C"/>
    <w:rsid w:val="00FA1E52"/>
    <w:rsid w:val="00FE4EB3"/>
    <w:rsid w:val="00FF5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0578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customStyle="1" w:styleId="FreeForm">
    <w:name w:val="FreeForm"/>
    <w:rsid w:val="006A6B66"/>
    <w:rPr>
      <w:rFonts w:ascii="Arial" w:hAnsi="Arial"/>
      <w:sz w:val="22"/>
    </w:rPr>
  </w:style>
  <w:style w:type="paragraph" w:customStyle="1" w:styleId="SOText">
    <w:name w:val="SO Text"/>
    <w:aliases w:val="sot"/>
    <w:link w:val="SOTextChar"/>
    <w:rsid w:val="007158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5896"/>
    <w:rPr>
      <w:sz w:val="22"/>
    </w:rPr>
  </w:style>
  <w:style w:type="paragraph" w:customStyle="1" w:styleId="SOTextNote">
    <w:name w:val="SO TextNote"/>
    <w:aliases w:val="sont"/>
    <w:basedOn w:val="SOText"/>
    <w:qFormat/>
    <w:rsid w:val="00FF5E25"/>
    <w:pPr>
      <w:spacing w:before="122" w:line="198" w:lineRule="exact"/>
      <w:ind w:left="1843" w:hanging="709"/>
    </w:pPr>
    <w:rPr>
      <w:sz w:val="18"/>
    </w:rPr>
  </w:style>
  <w:style w:type="paragraph" w:customStyle="1" w:styleId="SOPara">
    <w:name w:val="SO Para"/>
    <w:aliases w:val="soa"/>
    <w:basedOn w:val="SOText"/>
    <w:link w:val="SOParaChar"/>
    <w:qFormat/>
    <w:rsid w:val="00672EBE"/>
    <w:pPr>
      <w:tabs>
        <w:tab w:val="right" w:pos="1786"/>
      </w:tabs>
      <w:spacing w:before="40"/>
      <w:ind w:left="2070" w:hanging="936"/>
    </w:pPr>
  </w:style>
  <w:style w:type="character" w:customStyle="1" w:styleId="SOParaChar">
    <w:name w:val="SO Para Char"/>
    <w:aliases w:val="soa Char"/>
    <w:basedOn w:val="DefaultParagraphFont"/>
    <w:link w:val="SOPara"/>
    <w:rsid w:val="00672EBE"/>
    <w:rPr>
      <w:sz w:val="22"/>
    </w:rPr>
  </w:style>
  <w:style w:type="paragraph" w:customStyle="1" w:styleId="FileName">
    <w:name w:val="FileName"/>
    <w:basedOn w:val="Normal"/>
    <w:rsid w:val="004C3A07"/>
  </w:style>
  <w:style w:type="paragraph" w:customStyle="1" w:styleId="TableHeading">
    <w:name w:val="TableHeading"/>
    <w:aliases w:val="th"/>
    <w:basedOn w:val="OPCParaBase"/>
    <w:next w:val="Tabletext"/>
    <w:rsid w:val="00215ADB"/>
    <w:pPr>
      <w:keepNext/>
      <w:spacing w:before="60" w:line="240" w:lineRule="atLeast"/>
    </w:pPr>
    <w:rPr>
      <w:b/>
      <w:sz w:val="20"/>
    </w:rPr>
  </w:style>
  <w:style w:type="paragraph" w:customStyle="1" w:styleId="SOHeadBold">
    <w:name w:val="SO HeadBold"/>
    <w:aliases w:val="sohb"/>
    <w:basedOn w:val="SOText"/>
    <w:next w:val="SOText"/>
    <w:link w:val="SOHeadBoldChar"/>
    <w:qFormat/>
    <w:rsid w:val="005D2164"/>
    <w:rPr>
      <w:b/>
    </w:rPr>
  </w:style>
  <w:style w:type="character" w:customStyle="1" w:styleId="SOHeadBoldChar">
    <w:name w:val="SO HeadBold Char"/>
    <w:aliases w:val="sohb Char"/>
    <w:basedOn w:val="DefaultParagraphFont"/>
    <w:link w:val="SOHeadBold"/>
    <w:rsid w:val="005D2164"/>
    <w:rPr>
      <w:b/>
      <w:sz w:val="22"/>
    </w:rPr>
  </w:style>
  <w:style w:type="paragraph" w:customStyle="1" w:styleId="SOHeadItalic">
    <w:name w:val="SO HeadItalic"/>
    <w:aliases w:val="sohi"/>
    <w:basedOn w:val="SOText"/>
    <w:next w:val="SOText"/>
    <w:link w:val="SOHeadItalicChar"/>
    <w:qFormat/>
    <w:rsid w:val="00BE61CE"/>
    <w:rPr>
      <w:i/>
    </w:rPr>
  </w:style>
  <w:style w:type="character" w:customStyle="1" w:styleId="SOHeadItalicChar">
    <w:name w:val="SO HeadItalic Char"/>
    <w:aliases w:val="sohi Char"/>
    <w:basedOn w:val="DefaultParagraphFont"/>
    <w:link w:val="SOHeadItalic"/>
    <w:rsid w:val="00BE61CE"/>
    <w:rPr>
      <w:i/>
      <w:sz w:val="22"/>
    </w:rPr>
  </w:style>
  <w:style w:type="paragraph" w:customStyle="1" w:styleId="SOBullet">
    <w:name w:val="SO Bullet"/>
    <w:aliases w:val="sotb"/>
    <w:basedOn w:val="SOText"/>
    <w:link w:val="SOBulletChar"/>
    <w:qFormat/>
    <w:rsid w:val="00555EA3"/>
    <w:pPr>
      <w:ind w:left="1559" w:hanging="425"/>
    </w:pPr>
  </w:style>
  <w:style w:type="character" w:customStyle="1" w:styleId="SOBulletChar">
    <w:name w:val="SO Bullet Char"/>
    <w:aliases w:val="sotb Char"/>
    <w:basedOn w:val="DefaultParagraphFont"/>
    <w:link w:val="SOBullet"/>
    <w:rsid w:val="00555EA3"/>
    <w:rPr>
      <w:sz w:val="22"/>
    </w:rPr>
  </w:style>
  <w:style w:type="paragraph" w:customStyle="1" w:styleId="SOBulletNote">
    <w:name w:val="SO BulletNote"/>
    <w:aliases w:val="sonb"/>
    <w:basedOn w:val="SOTextNote"/>
    <w:link w:val="SOBulletNoteChar"/>
    <w:qFormat/>
    <w:rsid w:val="00DC19FA"/>
    <w:pPr>
      <w:tabs>
        <w:tab w:val="left" w:pos="1560"/>
      </w:tabs>
      <w:ind w:left="2268" w:hanging="1134"/>
    </w:pPr>
  </w:style>
  <w:style w:type="character" w:customStyle="1" w:styleId="SOBulletNoteChar">
    <w:name w:val="SO BulletNote Char"/>
    <w:aliases w:val="sonb Char"/>
    <w:basedOn w:val="DefaultParagraphFont"/>
    <w:link w:val="SOBulletNote"/>
    <w:rsid w:val="00DC19F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00BF"/>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
    <w:basedOn w:val="OPCParaBase"/>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5D3B8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D3B8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D3B8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D3B8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2B0B6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A7151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A7151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A7151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A7151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0578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7151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A7151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7151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7151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ActHead10">
    <w:name w:val="ActHead 10"/>
    <w:aliases w:val="sp"/>
    <w:basedOn w:val="OPCParaBase"/>
    <w:next w:val="ActHead3"/>
    <w:rsid w:val="0026736C"/>
    <w:pPr>
      <w:keepNext/>
      <w:spacing w:before="280" w:line="240" w:lineRule="auto"/>
      <w:outlineLvl w:val="1"/>
    </w:pPr>
    <w:rPr>
      <w:b/>
      <w:sz w:val="32"/>
      <w:szCs w:val="30"/>
    </w:rPr>
  </w:style>
  <w:style w:type="paragraph" w:customStyle="1" w:styleId="SignCoverPageEnd">
    <w:name w:val="SignCoverPageEnd"/>
    <w:basedOn w:val="OPCParaBase"/>
    <w:next w:val="Normal"/>
    <w:rsid w:val="00B16A3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821111"/>
    <w:pPr>
      <w:spacing w:before="40" w:line="198" w:lineRule="exact"/>
      <w:ind w:left="2835" w:hanging="709"/>
    </w:pPr>
    <w:rPr>
      <w:sz w:val="18"/>
    </w:rPr>
  </w:style>
  <w:style w:type="paragraph" w:customStyle="1" w:styleId="ENoteTableHeading">
    <w:name w:val="ENoteTableHeading"/>
    <w:aliases w:val="enth"/>
    <w:basedOn w:val="OPCParaBase"/>
    <w:rsid w:val="00E8502F"/>
    <w:pPr>
      <w:keepNext/>
      <w:spacing w:before="60" w:line="240" w:lineRule="atLeast"/>
    </w:pPr>
    <w:rPr>
      <w:rFonts w:ascii="Arial" w:hAnsi="Arial"/>
      <w:b/>
      <w:sz w:val="16"/>
    </w:rPr>
  </w:style>
  <w:style w:type="paragraph" w:customStyle="1" w:styleId="ENoteTableText">
    <w:name w:val="ENoteTableText"/>
    <w:aliases w:val="entt"/>
    <w:basedOn w:val="OPCParaBase"/>
    <w:rsid w:val="00E700BF"/>
    <w:pPr>
      <w:spacing w:before="60" w:line="240" w:lineRule="atLeast"/>
    </w:pPr>
    <w:rPr>
      <w:sz w:val="16"/>
    </w:rPr>
  </w:style>
  <w:style w:type="paragraph" w:customStyle="1" w:styleId="ENoteTTi">
    <w:name w:val="ENoteTTi"/>
    <w:aliases w:val="entti"/>
    <w:basedOn w:val="OPCParaBase"/>
    <w:rsid w:val="00E44430"/>
    <w:pPr>
      <w:keepNext/>
      <w:spacing w:before="60" w:line="240" w:lineRule="atLeast"/>
      <w:ind w:left="170"/>
    </w:pPr>
    <w:rPr>
      <w:sz w:val="16"/>
    </w:rPr>
  </w:style>
  <w:style w:type="paragraph" w:customStyle="1" w:styleId="ENoteTTIndentHeading">
    <w:name w:val="ENoteTTIndentHeading"/>
    <w:aliases w:val="enTTHi"/>
    <w:basedOn w:val="OPCParaBase"/>
    <w:rsid w:val="000E7BB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EA10AC"/>
    <w:pPr>
      <w:spacing w:before="120"/>
      <w:outlineLvl w:val="1"/>
    </w:pPr>
    <w:rPr>
      <w:b/>
      <w:sz w:val="28"/>
      <w:szCs w:val="28"/>
    </w:rPr>
  </w:style>
  <w:style w:type="paragraph" w:customStyle="1" w:styleId="ENotesHeading2">
    <w:name w:val="ENotesHeading 2"/>
    <w:aliases w:val="Enh2,ENh2"/>
    <w:basedOn w:val="OPCParaBase"/>
    <w:next w:val="Normal"/>
    <w:rsid w:val="00B75849"/>
    <w:pPr>
      <w:spacing w:before="120" w:after="120"/>
      <w:outlineLvl w:val="2"/>
    </w:pPr>
    <w:rPr>
      <w:b/>
      <w:sz w:val="24"/>
      <w:szCs w:val="28"/>
    </w:rPr>
  </w:style>
  <w:style w:type="paragraph" w:customStyle="1" w:styleId="MadeunderText">
    <w:name w:val="MadeunderText"/>
    <w:basedOn w:val="OPCParaBase"/>
    <w:next w:val="CompiledMadeUnder"/>
    <w:rsid w:val="002E04D4"/>
    <w:pPr>
      <w:spacing w:before="240"/>
    </w:pPr>
    <w:rPr>
      <w:sz w:val="24"/>
      <w:szCs w:val="24"/>
    </w:rPr>
  </w:style>
  <w:style w:type="paragraph" w:customStyle="1" w:styleId="ENotesHeading3">
    <w:name w:val="ENotesHeading 3"/>
    <w:aliases w:val="Enh3"/>
    <w:basedOn w:val="OPCParaBase"/>
    <w:next w:val="Normal"/>
    <w:rsid w:val="008477E0"/>
    <w:pPr>
      <w:keepNext/>
      <w:spacing w:before="120" w:line="240" w:lineRule="auto"/>
    </w:pPr>
    <w:rPr>
      <w:b/>
      <w:szCs w:val="24"/>
    </w:rPr>
  </w:style>
  <w:style w:type="paragraph" w:customStyle="1" w:styleId="SubPartCASA">
    <w:name w:val="SubPart(CASA)"/>
    <w:aliases w:val="csp"/>
    <w:basedOn w:val="OPCParaBase"/>
    <w:next w:val="ActHead3"/>
    <w:rsid w:val="009938CC"/>
    <w:pPr>
      <w:keepNext/>
      <w:keepLines/>
      <w:spacing w:before="280"/>
      <w:outlineLvl w:val="1"/>
    </w:pPr>
    <w:rPr>
      <w:b/>
      <w:kern w:val="28"/>
      <w:sz w:val="32"/>
    </w:rPr>
  </w:style>
  <w:style w:type="character" w:customStyle="1" w:styleId="CharSubPartTextCASA">
    <w:name w:val="CharSubPartText(CASA)"/>
    <w:basedOn w:val="OPCCharBase"/>
    <w:uiPriority w:val="1"/>
    <w:rsid w:val="003217A5"/>
  </w:style>
  <w:style w:type="character" w:customStyle="1" w:styleId="CharSubPartNoCASA">
    <w:name w:val="CharSubPartNo(CASA)"/>
    <w:basedOn w:val="OPCCharBase"/>
    <w:uiPriority w:val="1"/>
    <w:rsid w:val="00E95C79"/>
  </w:style>
  <w:style w:type="paragraph" w:customStyle="1" w:styleId="ENoteTTIndentHeadingSub">
    <w:name w:val="ENoteTTIndentHeadingSub"/>
    <w:aliases w:val="enTTHis"/>
    <w:basedOn w:val="OPCParaBase"/>
    <w:rsid w:val="00500CC6"/>
    <w:pPr>
      <w:keepNext/>
      <w:spacing w:before="60" w:line="240" w:lineRule="atLeast"/>
      <w:ind w:left="340"/>
    </w:pPr>
    <w:rPr>
      <w:b/>
      <w:sz w:val="16"/>
    </w:rPr>
  </w:style>
  <w:style w:type="paragraph" w:customStyle="1" w:styleId="ENoteTTiSub">
    <w:name w:val="ENoteTTiSub"/>
    <w:aliases w:val="enttis"/>
    <w:basedOn w:val="OPCParaBase"/>
    <w:rsid w:val="00CA7AB1"/>
    <w:pPr>
      <w:keepNext/>
      <w:spacing w:before="60" w:line="240" w:lineRule="atLeast"/>
      <w:ind w:left="340"/>
    </w:pPr>
    <w:rPr>
      <w:sz w:val="16"/>
    </w:rPr>
  </w:style>
  <w:style w:type="paragraph" w:customStyle="1" w:styleId="SubDivisionMigration">
    <w:name w:val="SubDivisionMigration"/>
    <w:aliases w:val="sdm"/>
    <w:basedOn w:val="OPCParaBase"/>
    <w:rsid w:val="004D721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51CF8"/>
    <w:pPr>
      <w:keepNext/>
      <w:keepLines/>
      <w:spacing w:before="240" w:line="240" w:lineRule="auto"/>
      <w:ind w:left="1134" w:hanging="1134"/>
    </w:pPr>
    <w:rPr>
      <w:b/>
      <w:sz w:val="28"/>
    </w:rPr>
  </w:style>
  <w:style w:type="paragraph" w:customStyle="1" w:styleId="notetext">
    <w:name w:val="note(text)"/>
    <w:aliases w:val="n"/>
    <w:basedOn w:val="OPCParaBase"/>
    <w:rsid w:val="00421ED5"/>
    <w:pPr>
      <w:spacing w:before="122" w:line="240" w:lineRule="auto"/>
      <w:ind w:left="1985" w:hanging="851"/>
    </w:pPr>
    <w:rPr>
      <w:sz w:val="18"/>
    </w:rPr>
  </w:style>
  <w:style w:type="paragraph" w:customStyle="1" w:styleId="FreeForm">
    <w:name w:val="FreeForm"/>
    <w:rsid w:val="006A6B66"/>
    <w:rPr>
      <w:rFonts w:ascii="Arial" w:hAnsi="Arial"/>
      <w:sz w:val="22"/>
    </w:rPr>
  </w:style>
  <w:style w:type="paragraph" w:customStyle="1" w:styleId="SOText">
    <w:name w:val="SO Text"/>
    <w:aliases w:val="sot"/>
    <w:link w:val="SOTextChar"/>
    <w:rsid w:val="0071589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15896"/>
    <w:rPr>
      <w:sz w:val="22"/>
    </w:rPr>
  </w:style>
  <w:style w:type="paragraph" w:customStyle="1" w:styleId="SOTextNote">
    <w:name w:val="SO TextNote"/>
    <w:aliases w:val="sont"/>
    <w:basedOn w:val="SOText"/>
    <w:qFormat/>
    <w:rsid w:val="00FF5E25"/>
    <w:pPr>
      <w:spacing w:before="122" w:line="198" w:lineRule="exact"/>
      <w:ind w:left="1843" w:hanging="709"/>
    </w:pPr>
    <w:rPr>
      <w:sz w:val="18"/>
    </w:rPr>
  </w:style>
  <w:style w:type="paragraph" w:customStyle="1" w:styleId="SOPara">
    <w:name w:val="SO Para"/>
    <w:aliases w:val="soa"/>
    <w:basedOn w:val="SOText"/>
    <w:link w:val="SOParaChar"/>
    <w:qFormat/>
    <w:rsid w:val="00672EBE"/>
    <w:pPr>
      <w:tabs>
        <w:tab w:val="right" w:pos="1786"/>
      </w:tabs>
      <w:spacing w:before="40"/>
      <w:ind w:left="2070" w:hanging="936"/>
    </w:pPr>
  </w:style>
  <w:style w:type="character" w:customStyle="1" w:styleId="SOParaChar">
    <w:name w:val="SO Para Char"/>
    <w:aliases w:val="soa Char"/>
    <w:basedOn w:val="DefaultParagraphFont"/>
    <w:link w:val="SOPara"/>
    <w:rsid w:val="00672EBE"/>
    <w:rPr>
      <w:sz w:val="22"/>
    </w:rPr>
  </w:style>
  <w:style w:type="paragraph" w:customStyle="1" w:styleId="FileName">
    <w:name w:val="FileName"/>
    <w:basedOn w:val="Normal"/>
    <w:rsid w:val="004C3A07"/>
  </w:style>
  <w:style w:type="paragraph" w:customStyle="1" w:styleId="TableHeading">
    <w:name w:val="TableHeading"/>
    <w:aliases w:val="th"/>
    <w:basedOn w:val="OPCParaBase"/>
    <w:next w:val="Tabletext"/>
    <w:rsid w:val="00215ADB"/>
    <w:pPr>
      <w:keepNext/>
      <w:spacing w:before="60" w:line="240" w:lineRule="atLeast"/>
    </w:pPr>
    <w:rPr>
      <w:b/>
      <w:sz w:val="20"/>
    </w:rPr>
  </w:style>
  <w:style w:type="paragraph" w:customStyle="1" w:styleId="SOHeadBold">
    <w:name w:val="SO HeadBold"/>
    <w:aliases w:val="sohb"/>
    <w:basedOn w:val="SOText"/>
    <w:next w:val="SOText"/>
    <w:link w:val="SOHeadBoldChar"/>
    <w:qFormat/>
    <w:rsid w:val="005D2164"/>
    <w:rPr>
      <w:b/>
    </w:rPr>
  </w:style>
  <w:style w:type="character" w:customStyle="1" w:styleId="SOHeadBoldChar">
    <w:name w:val="SO HeadBold Char"/>
    <w:aliases w:val="sohb Char"/>
    <w:basedOn w:val="DefaultParagraphFont"/>
    <w:link w:val="SOHeadBold"/>
    <w:rsid w:val="005D2164"/>
    <w:rPr>
      <w:b/>
      <w:sz w:val="22"/>
    </w:rPr>
  </w:style>
  <w:style w:type="paragraph" w:customStyle="1" w:styleId="SOHeadItalic">
    <w:name w:val="SO HeadItalic"/>
    <w:aliases w:val="sohi"/>
    <w:basedOn w:val="SOText"/>
    <w:next w:val="SOText"/>
    <w:link w:val="SOHeadItalicChar"/>
    <w:qFormat/>
    <w:rsid w:val="00BE61CE"/>
    <w:rPr>
      <w:i/>
    </w:rPr>
  </w:style>
  <w:style w:type="character" w:customStyle="1" w:styleId="SOHeadItalicChar">
    <w:name w:val="SO HeadItalic Char"/>
    <w:aliases w:val="sohi Char"/>
    <w:basedOn w:val="DefaultParagraphFont"/>
    <w:link w:val="SOHeadItalic"/>
    <w:rsid w:val="00BE61CE"/>
    <w:rPr>
      <w:i/>
      <w:sz w:val="22"/>
    </w:rPr>
  </w:style>
  <w:style w:type="paragraph" w:customStyle="1" w:styleId="SOBullet">
    <w:name w:val="SO Bullet"/>
    <w:aliases w:val="sotb"/>
    <w:basedOn w:val="SOText"/>
    <w:link w:val="SOBulletChar"/>
    <w:qFormat/>
    <w:rsid w:val="00555EA3"/>
    <w:pPr>
      <w:ind w:left="1559" w:hanging="425"/>
    </w:pPr>
  </w:style>
  <w:style w:type="character" w:customStyle="1" w:styleId="SOBulletChar">
    <w:name w:val="SO Bullet Char"/>
    <w:aliases w:val="sotb Char"/>
    <w:basedOn w:val="DefaultParagraphFont"/>
    <w:link w:val="SOBullet"/>
    <w:rsid w:val="00555EA3"/>
    <w:rPr>
      <w:sz w:val="22"/>
    </w:rPr>
  </w:style>
  <w:style w:type="paragraph" w:customStyle="1" w:styleId="SOBulletNote">
    <w:name w:val="SO BulletNote"/>
    <w:aliases w:val="sonb"/>
    <w:basedOn w:val="SOTextNote"/>
    <w:link w:val="SOBulletNoteChar"/>
    <w:qFormat/>
    <w:rsid w:val="00DC19FA"/>
    <w:pPr>
      <w:tabs>
        <w:tab w:val="left" w:pos="1560"/>
      </w:tabs>
      <w:ind w:left="2268" w:hanging="1134"/>
    </w:pPr>
  </w:style>
  <w:style w:type="character" w:customStyle="1" w:styleId="SOBulletNoteChar">
    <w:name w:val="SO BulletNote Char"/>
    <w:aliases w:val="sonb Char"/>
    <w:basedOn w:val="DefaultParagraphFont"/>
    <w:link w:val="SOBulletNote"/>
    <w:rsid w:val="00DC19F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D983-0247-4257-BAC1-81AEF996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21</Pages>
  <Words>4227</Words>
  <Characters>22280</Characters>
  <Application>Microsoft Office Word</Application>
  <DocSecurity>0</DocSecurity>
  <PresentationFormat/>
  <Lines>185</Lines>
  <Paragraphs>52</Paragraphs>
  <ScaleCrop>false</ScaleCrop>
  <HeadingPairs>
    <vt:vector size="2" baseType="variant">
      <vt:variant>
        <vt:lpstr>Title</vt:lpstr>
      </vt:variant>
      <vt:variant>
        <vt:i4>1</vt:i4>
      </vt:variant>
    </vt:vector>
  </HeadingPairs>
  <TitlesOfParts>
    <vt:vector size="1" baseType="lpstr">
      <vt:lpstr>Aged Care (Home Care Subsidy Amount) Determination 2013</vt:lpstr>
    </vt:vector>
  </TitlesOfParts>
  <Manager/>
  <Company/>
  <LinksUpToDate>false</LinksUpToDate>
  <CharactersWithSpaces>26455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Aged Care (Home Care Subsidy Amount) Determination 2013</dc:title>
  <dc:subject/>
  <dc:creator/>
  <cp:keywords/>
  <dc:description/>
  <cp:lastModifiedBy/>
  <cp:revision>1</cp:revision>
  <cp:lastPrinted>2013-11-08T05:17:00Z</cp:lastPrinted>
  <dcterms:created xsi:type="dcterms:W3CDTF">2014-02-05T01:16:00Z</dcterms:created>
  <dcterms:modified xsi:type="dcterms:W3CDTF">2014-02-05T04:25:00Z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 2013</vt:lpwstr>
  </property>
  <property fmtid="{D5CDD505-2E9C-101B-9397-08002B2CF9AE}" pid="3" name="ShortT">
    <vt:lpwstr>Aged Care (Home Care Subsidy Amount) Determination 2013</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2013</vt:lpwstr>
  </property>
  <property fmtid="{D5CDD505-2E9C-101B-9397-08002B2CF9AE}" pid="10" name="Authority">
    <vt:lpwstr>Unk</vt:lpwstr>
  </property>
  <property fmtid="{D5CDD505-2E9C-101B-9397-08002B2CF9AE}" pid="11" name="ID">
    <vt:lpwstr> </vt:lpwstr>
  </property>
  <property fmtid="{D5CDD505-2E9C-101B-9397-08002B2CF9AE}" pid="12" name="Compilation">
    <vt:lpwstr>Yes</vt:lpwstr>
  </property>
  <property fmtid="{D5CDD505-2E9C-101B-9397-08002B2CF9AE}" pid="13" name="IsVolume">
    <vt:lpwstr>No</vt:lpwstr>
  </property>
  <property fmtid="{D5CDD505-2E9C-101B-9397-08002B2CF9AE}" pid="14" name="Classification">
    <vt:lpwstr>UNCLASSIFIED</vt:lpwstr>
  </property>
  <property fmtid="{D5CDD505-2E9C-101B-9397-08002B2CF9AE}" pid="15" name="DLM">
    <vt:lpwstr>No DLM</vt:lpwstr>
  </property>
  <property fmtid="{D5CDD505-2E9C-101B-9397-08002B2CF9AE}" pid="16" name="DoNotAsk">
    <vt:lpwstr>0</vt:lpwstr>
  </property>
  <property fmtid="{D5CDD505-2E9C-101B-9397-08002B2CF9AE}" pid="17" name="ChangedTitle">
    <vt:lpwstr/>
  </property>
  <property fmtid="{D5CDD505-2E9C-101B-9397-08002B2CF9AE}" pid="18" name="Converted">
    <vt:bool>false</vt:bool>
  </property>
</Properties>
</file>