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1901" w14:textId="77777777" w:rsidR="00717530" w:rsidRDefault="00717530">
      <w:pPr>
        <w:pStyle w:val="atitle"/>
        <w:rPr>
          <w:sz w:val="24"/>
          <w:szCs w:val="24"/>
        </w:rPr>
      </w:pPr>
      <w:bookmarkStart w:id="0" w:name="CO_98_51"/>
      <w:bookmarkEnd w:id="0"/>
      <w:r>
        <w:t>ASIC Class Order [</w:t>
      </w:r>
      <w:r w:rsidRPr="00AD4FDC">
        <w:rPr>
          <w:iCs/>
        </w:rPr>
        <w:t xml:space="preserve">CO </w:t>
      </w:r>
      <w:r w:rsidR="00AD4FDC">
        <w:rPr>
          <w:iCs/>
        </w:rPr>
        <w:t>13/760</w:t>
      </w:r>
      <w:r>
        <w:t>]</w:t>
      </w:r>
    </w:p>
    <w:p w14:paraId="56F8F4E8" w14:textId="77777777" w:rsidR="001F624E" w:rsidRPr="00FA1782" w:rsidRDefault="001F624E" w:rsidP="001F624E">
      <w:pPr>
        <w:spacing w:after="0" w:line="260" w:lineRule="atLeast"/>
        <w:rPr>
          <w:rFonts w:ascii="Times New Roman" w:hAnsi="Times New Roman"/>
          <w:b/>
          <w:bCs/>
          <w:sz w:val="28"/>
          <w:szCs w:val="28"/>
        </w:rPr>
      </w:pPr>
      <w:r w:rsidRPr="00FA1782">
        <w:rPr>
          <w:rFonts w:ascii="Times New Roman" w:hAnsi="Times New Roman"/>
          <w:b/>
          <w:bCs/>
          <w:sz w:val="28"/>
          <w:szCs w:val="28"/>
        </w:rPr>
        <w:t>About this compilation</w:t>
      </w:r>
    </w:p>
    <w:p w14:paraId="27D8554E" w14:textId="77777777" w:rsidR="001F624E" w:rsidRPr="00FA1782" w:rsidRDefault="001F624E" w:rsidP="001F624E">
      <w:pPr>
        <w:spacing w:after="0" w:line="260" w:lineRule="atLeast"/>
        <w:rPr>
          <w:rFonts w:ascii="Times New Roman" w:hAnsi="Times New Roman"/>
          <w:b/>
          <w:bCs/>
          <w:szCs w:val="24"/>
        </w:rPr>
      </w:pPr>
    </w:p>
    <w:p w14:paraId="314D4FD4" w14:textId="3FDAF29E" w:rsidR="001F624E" w:rsidRPr="00FA1782" w:rsidRDefault="001F624E" w:rsidP="001F624E">
      <w:pPr>
        <w:spacing w:after="0" w:line="260" w:lineRule="atLeast"/>
        <w:rPr>
          <w:rFonts w:ascii="Times New Roman" w:hAnsi="Times New Roman"/>
          <w:b/>
          <w:szCs w:val="24"/>
        </w:rPr>
      </w:pPr>
      <w:r w:rsidRPr="00FA1782">
        <w:rPr>
          <w:rFonts w:ascii="Times New Roman" w:hAnsi="Times New Roman"/>
          <w:b/>
          <w:szCs w:val="24"/>
        </w:rPr>
        <w:t xml:space="preserve">Compilation No. </w:t>
      </w:r>
      <w:r w:rsidR="00FA1782">
        <w:rPr>
          <w:rFonts w:ascii="Times New Roman" w:hAnsi="Times New Roman"/>
          <w:b/>
          <w:szCs w:val="24"/>
        </w:rPr>
        <w:t>7</w:t>
      </w:r>
    </w:p>
    <w:p w14:paraId="7DFC3E38" w14:textId="77777777" w:rsidR="001F624E" w:rsidRPr="001F624E" w:rsidRDefault="001F624E" w:rsidP="001F624E">
      <w:pPr>
        <w:spacing w:after="0" w:line="260" w:lineRule="atLeast"/>
        <w:rPr>
          <w:szCs w:val="24"/>
        </w:rPr>
      </w:pPr>
    </w:p>
    <w:p w14:paraId="50EBF21D" w14:textId="7EEF02E8" w:rsidR="001F624E" w:rsidRPr="00351010" w:rsidRDefault="001F624E" w:rsidP="001F624E">
      <w:pPr>
        <w:spacing w:after="0" w:line="260" w:lineRule="atLeast"/>
        <w:rPr>
          <w:rFonts w:ascii="Times New Roman" w:hAnsi="Times New Roman"/>
          <w:szCs w:val="24"/>
        </w:rPr>
      </w:pPr>
      <w:r w:rsidRPr="00351010">
        <w:rPr>
          <w:rFonts w:ascii="Times New Roman" w:hAnsi="Times New Roman"/>
          <w:szCs w:val="24"/>
        </w:rPr>
        <w:t xml:space="preserve">This is a compilation of ASIC Class Order [CO </w:t>
      </w:r>
      <w:r w:rsidR="00AD4FDC" w:rsidRPr="00351010">
        <w:rPr>
          <w:rFonts w:ascii="Times New Roman" w:hAnsi="Times New Roman"/>
          <w:szCs w:val="24"/>
        </w:rPr>
        <w:t>13/760</w:t>
      </w:r>
      <w:r w:rsidRPr="00351010">
        <w:rPr>
          <w:rFonts w:ascii="Times New Roman" w:hAnsi="Times New Roman"/>
          <w:szCs w:val="24"/>
        </w:rPr>
        <w:t xml:space="preserve">] as in force on </w:t>
      </w:r>
      <w:r w:rsidR="00FA1782">
        <w:rPr>
          <w:rFonts w:ascii="Times New Roman" w:hAnsi="Times New Roman"/>
          <w:szCs w:val="24"/>
        </w:rPr>
        <w:t>12 December 2020</w:t>
      </w:r>
      <w:r w:rsidRPr="00351010">
        <w:rPr>
          <w:rFonts w:ascii="Times New Roman" w:hAnsi="Times New Roman"/>
          <w:szCs w:val="24"/>
        </w:rPr>
        <w:t xml:space="preserve">. It includes any commenced amendment affecting the legislative instrument to that date. </w:t>
      </w:r>
    </w:p>
    <w:p w14:paraId="06B42179" w14:textId="77777777" w:rsidR="001F624E" w:rsidRPr="00351010" w:rsidRDefault="001F624E" w:rsidP="001F624E">
      <w:pPr>
        <w:spacing w:after="0" w:line="260" w:lineRule="atLeast"/>
        <w:rPr>
          <w:rFonts w:ascii="Times New Roman" w:hAnsi="Times New Roman"/>
          <w:szCs w:val="24"/>
        </w:rPr>
      </w:pPr>
    </w:p>
    <w:p w14:paraId="4774D7C1" w14:textId="77777777" w:rsidR="001F624E" w:rsidRPr="00351010" w:rsidRDefault="001F624E" w:rsidP="001F624E">
      <w:pPr>
        <w:spacing w:after="0" w:line="260" w:lineRule="atLeast"/>
        <w:rPr>
          <w:rFonts w:ascii="Times New Roman" w:hAnsi="Times New Roman"/>
          <w:szCs w:val="24"/>
        </w:rPr>
      </w:pPr>
      <w:r w:rsidRPr="00351010">
        <w:rPr>
          <w:rFonts w:ascii="Times New Roman" w:hAnsi="Times New Roman"/>
          <w:szCs w:val="24"/>
        </w:rPr>
        <w:t>This compilation was prepared by the Australian Securities and Investments Commission.</w:t>
      </w:r>
    </w:p>
    <w:p w14:paraId="6885D4D0" w14:textId="77777777" w:rsidR="001F624E" w:rsidRPr="00351010" w:rsidRDefault="001F624E" w:rsidP="001F624E">
      <w:pPr>
        <w:spacing w:after="0" w:line="260" w:lineRule="atLeast"/>
        <w:rPr>
          <w:rFonts w:ascii="Times New Roman" w:hAnsi="Times New Roman"/>
          <w:szCs w:val="24"/>
        </w:rPr>
      </w:pPr>
    </w:p>
    <w:p w14:paraId="71421743" w14:textId="77777777" w:rsidR="001F624E" w:rsidRPr="00351010" w:rsidRDefault="001F624E" w:rsidP="001F624E">
      <w:pPr>
        <w:spacing w:after="0" w:line="260" w:lineRule="atLeast"/>
        <w:rPr>
          <w:rFonts w:ascii="Times New Roman" w:hAnsi="Times New Roman"/>
          <w:szCs w:val="24"/>
        </w:rPr>
      </w:pPr>
      <w:r w:rsidRPr="00351010">
        <w:rPr>
          <w:rFonts w:ascii="Times New Roman" w:hAnsi="Times New Roman"/>
          <w:szCs w:val="24"/>
        </w:rPr>
        <w:t xml:space="preserve">The notes at the end of this compilation (the </w:t>
      </w:r>
      <w:r w:rsidRPr="00351010">
        <w:rPr>
          <w:rFonts w:ascii="Times New Roman" w:hAnsi="Times New Roman"/>
          <w:b/>
          <w:bCs/>
          <w:i/>
          <w:iCs/>
          <w:szCs w:val="24"/>
        </w:rPr>
        <w:t>endnotes</w:t>
      </w:r>
      <w:r w:rsidRPr="00351010">
        <w:rPr>
          <w:rFonts w:ascii="Times New Roman" w:hAnsi="Times New Roman"/>
          <w:szCs w:val="24"/>
        </w:rPr>
        <w:t>) include information</w:t>
      </w:r>
    </w:p>
    <w:p w14:paraId="0F834E2B" w14:textId="77777777" w:rsidR="001F624E" w:rsidRPr="00351010" w:rsidRDefault="001F624E" w:rsidP="001F624E">
      <w:pPr>
        <w:spacing w:after="0" w:line="260" w:lineRule="atLeast"/>
        <w:rPr>
          <w:rFonts w:ascii="Times New Roman" w:hAnsi="Times New Roman"/>
          <w:szCs w:val="24"/>
        </w:rPr>
      </w:pPr>
      <w:r w:rsidRPr="00351010">
        <w:rPr>
          <w:rFonts w:ascii="Times New Roman" w:hAnsi="Times New Roman"/>
          <w:szCs w:val="24"/>
        </w:rPr>
        <w:t>about amending instruments and the amendment history of each amended provision.</w:t>
      </w:r>
    </w:p>
    <w:p w14:paraId="3B5A7F98" w14:textId="77777777" w:rsidR="00717530" w:rsidRDefault="00717530">
      <w:pPr>
        <w:pStyle w:val="abody"/>
        <w:pBdr>
          <w:bottom w:val="single" w:sz="4" w:space="1" w:color="auto"/>
        </w:pBdr>
      </w:pPr>
    </w:p>
    <w:p w14:paraId="19DDB7FF" w14:textId="77777777" w:rsidR="00AD4FDC" w:rsidRPr="00351010" w:rsidRDefault="00AD4FDC" w:rsidP="00AD4FDC">
      <w:pPr>
        <w:spacing w:before="360" w:after="0"/>
        <w:jc w:val="center"/>
        <w:rPr>
          <w:rFonts w:ascii="Times New Roman" w:hAnsi="Times New Roman"/>
          <w:b/>
          <w:noProof/>
        </w:rPr>
      </w:pPr>
      <w:r w:rsidRPr="00351010">
        <w:rPr>
          <w:rFonts w:ascii="Times New Roman" w:hAnsi="Times New Roman"/>
          <w:b/>
          <w:noProof/>
        </w:rPr>
        <w:t>Australian Securities and Investments Commission</w:t>
      </w:r>
      <w:r w:rsidRPr="00351010">
        <w:rPr>
          <w:rFonts w:ascii="Times New Roman" w:hAnsi="Times New Roman"/>
          <w:b/>
          <w:noProof/>
        </w:rPr>
        <w:br/>
        <w:t>Corporations Act 2001—Paragraph 926A(2)(c)—Declaration and Revocation</w:t>
      </w:r>
    </w:p>
    <w:p w14:paraId="69E879F1" w14:textId="77777777" w:rsidR="00AD4FDC" w:rsidRPr="00351010" w:rsidRDefault="00AD4FDC" w:rsidP="00351010">
      <w:pPr>
        <w:pStyle w:val="aheade"/>
      </w:pPr>
      <w:r w:rsidRPr="00351010">
        <w:t>Enabling legislation</w:t>
      </w:r>
    </w:p>
    <w:p w14:paraId="169AF742" w14:textId="77777777" w:rsidR="00AD4FDC" w:rsidRPr="00351010" w:rsidRDefault="00AD4FDC" w:rsidP="00AD4FDC">
      <w:pPr>
        <w:spacing w:before="120" w:after="120"/>
        <w:ind w:left="425" w:hanging="425"/>
        <w:rPr>
          <w:rFonts w:ascii="Times New Roman" w:hAnsi="Times New Roman"/>
        </w:rPr>
      </w:pPr>
      <w:r w:rsidRPr="00351010">
        <w:rPr>
          <w:rFonts w:ascii="Times New Roman" w:hAnsi="Times New Roman"/>
        </w:rPr>
        <w:t>1.</w:t>
      </w:r>
      <w:r w:rsidRPr="00351010">
        <w:rPr>
          <w:rFonts w:ascii="Times New Roman" w:hAnsi="Times New Roman"/>
        </w:rPr>
        <w:tab/>
        <w:t xml:space="preserve">The Australian Securities and Investments Commission makes this instrument under paragraph 926A(2)(c) of the </w:t>
      </w:r>
      <w:r w:rsidRPr="00351010">
        <w:rPr>
          <w:rFonts w:ascii="Times New Roman" w:hAnsi="Times New Roman"/>
          <w:i/>
          <w:iCs/>
        </w:rPr>
        <w:t xml:space="preserve">Corporations Act 2001 </w:t>
      </w:r>
      <w:r w:rsidRPr="00351010">
        <w:rPr>
          <w:rFonts w:ascii="Times New Roman" w:hAnsi="Times New Roman"/>
        </w:rPr>
        <w:t xml:space="preserve">(the </w:t>
      </w:r>
      <w:r w:rsidRPr="00351010">
        <w:rPr>
          <w:rFonts w:ascii="Times New Roman" w:hAnsi="Times New Roman"/>
          <w:b/>
          <w:bCs/>
          <w:i/>
          <w:iCs/>
        </w:rPr>
        <w:t>Act</w:t>
      </w:r>
      <w:r w:rsidRPr="00351010">
        <w:rPr>
          <w:rFonts w:ascii="Times New Roman" w:hAnsi="Times New Roman"/>
        </w:rPr>
        <w:t>).</w:t>
      </w:r>
    </w:p>
    <w:p w14:paraId="520C573F" w14:textId="77777777" w:rsidR="00AD4FDC" w:rsidRPr="00351010" w:rsidRDefault="00AD4FDC" w:rsidP="00351010">
      <w:pPr>
        <w:pStyle w:val="aheade"/>
      </w:pPr>
      <w:r w:rsidRPr="00351010">
        <w:t>Title</w:t>
      </w:r>
    </w:p>
    <w:p w14:paraId="3E7BF589" w14:textId="77777777" w:rsidR="00AD4FDC" w:rsidRPr="00351010" w:rsidRDefault="00AD4FDC" w:rsidP="00AD4FDC">
      <w:pPr>
        <w:spacing w:before="120" w:after="120"/>
        <w:ind w:left="425" w:hanging="425"/>
        <w:rPr>
          <w:rFonts w:ascii="Times New Roman" w:hAnsi="Times New Roman"/>
        </w:rPr>
      </w:pPr>
      <w:r w:rsidRPr="00351010">
        <w:rPr>
          <w:rFonts w:ascii="Times New Roman" w:hAnsi="Times New Roman"/>
        </w:rPr>
        <w:t>2.</w:t>
      </w:r>
      <w:r w:rsidRPr="00351010">
        <w:rPr>
          <w:rFonts w:ascii="Times New Roman" w:hAnsi="Times New Roman"/>
        </w:rPr>
        <w:tab/>
        <w:t>This instrument is ASIC Class Order [CO 13/760].</w:t>
      </w:r>
    </w:p>
    <w:p w14:paraId="348766F5" w14:textId="77777777" w:rsidR="00AD4FDC" w:rsidRPr="00351010" w:rsidRDefault="00AD4FDC" w:rsidP="00351010">
      <w:pPr>
        <w:pStyle w:val="aheade"/>
      </w:pPr>
      <w:r w:rsidRPr="00351010">
        <w:t xml:space="preserve">Declaration </w:t>
      </w:r>
    </w:p>
    <w:p w14:paraId="498584D8" w14:textId="77777777" w:rsidR="00AD4FDC" w:rsidRPr="00351010" w:rsidRDefault="00AD4FDC" w:rsidP="00AD4FDC">
      <w:pPr>
        <w:spacing w:before="120" w:after="120"/>
        <w:ind w:left="425" w:hanging="425"/>
        <w:rPr>
          <w:rFonts w:ascii="Times New Roman" w:hAnsi="Times New Roman"/>
        </w:rPr>
      </w:pPr>
      <w:r w:rsidRPr="00351010">
        <w:rPr>
          <w:rFonts w:ascii="Times New Roman" w:hAnsi="Times New Roman"/>
        </w:rPr>
        <w:t>4.</w:t>
      </w:r>
      <w:r w:rsidRPr="00351010">
        <w:rPr>
          <w:rFonts w:ascii="Times New Roman" w:hAnsi="Times New Roman"/>
        </w:rPr>
        <w:tab/>
        <w:t xml:space="preserve">Part 7.6 (other than Divisions 4 and 8) of the Act applies in relation to financial services licensees as if that Part were modified or varied by, after subsection 912A, inserting: </w:t>
      </w:r>
    </w:p>
    <w:p w14:paraId="22462305" w14:textId="77777777" w:rsidR="00AD4FDC" w:rsidRPr="00351010" w:rsidRDefault="00AD4FDC" w:rsidP="00AD4FDC">
      <w:pPr>
        <w:spacing w:before="120" w:after="120"/>
        <w:ind w:left="426" w:hanging="1"/>
        <w:rPr>
          <w:rFonts w:ascii="Times New Roman" w:hAnsi="Times New Roman"/>
        </w:rPr>
      </w:pPr>
      <w:r w:rsidRPr="00351010">
        <w:rPr>
          <w:rFonts w:ascii="Times New Roman" w:hAnsi="Times New Roman"/>
        </w:rPr>
        <w:t>“</w:t>
      </w:r>
      <w:r w:rsidRPr="00351010">
        <w:rPr>
          <w:rFonts w:ascii="Times New Roman" w:hAnsi="Times New Roman"/>
          <w:b/>
          <w:lang w:val="en-US"/>
        </w:rPr>
        <w:t>Section 912AA Adequate financial resources for responsible entities and IDPS operators</w:t>
      </w:r>
      <w:r w:rsidRPr="00351010">
        <w:rPr>
          <w:rFonts w:ascii="Times New Roman" w:hAnsi="Times New Roman"/>
          <w:lang w:val="en-US"/>
        </w:rPr>
        <w:t xml:space="preserve"> </w:t>
      </w:r>
    </w:p>
    <w:p w14:paraId="77BA3468"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t>(1)</w:t>
      </w:r>
      <w:r w:rsidRPr="00351010">
        <w:rPr>
          <w:rFonts w:ascii="Times New Roman" w:hAnsi="Times New Roman"/>
        </w:rPr>
        <w:tab/>
        <w:t>This section applies to a financial services licensee that:</w:t>
      </w:r>
    </w:p>
    <w:p w14:paraId="3D795F76"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holds an Australian financial services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xml:space="preserve"> that </w:t>
      </w:r>
      <w:proofErr w:type="spellStart"/>
      <w:r w:rsidRPr="00351010">
        <w:rPr>
          <w:rFonts w:ascii="Times New Roman" w:hAnsi="Times New Roman"/>
          <w:szCs w:val="24"/>
          <w:lang w:val="en-US"/>
        </w:rPr>
        <w:t>authorises</w:t>
      </w:r>
      <w:proofErr w:type="spellEnd"/>
      <w:r w:rsidRPr="00351010">
        <w:rPr>
          <w:rFonts w:ascii="Times New Roman" w:hAnsi="Times New Roman"/>
          <w:szCs w:val="24"/>
          <w:lang w:val="en-US"/>
        </w:rPr>
        <w:t xml:space="preserve"> it to operate: </w:t>
      </w:r>
    </w:p>
    <w:p w14:paraId="744FF81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a registered scheme as a responsible entity; or </w:t>
      </w:r>
    </w:p>
    <w:p w14:paraId="3AECD24F"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an IDPS; and</w:t>
      </w:r>
    </w:p>
    <w:p w14:paraId="2A4CFFA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is not:</w:t>
      </w:r>
    </w:p>
    <w:p w14:paraId="66F7C90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a body regulated by APRA that is not required to comply with paragraph 912A(1)(d); or</w:t>
      </w:r>
    </w:p>
    <w:p w14:paraId="4AE745CA"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 market participant; or</w:t>
      </w:r>
    </w:p>
    <w:p w14:paraId="256D3E16"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a clearing participant.</w:t>
      </w:r>
    </w:p>
    <w:p w14:paraId="6AF39474"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lastRenderedPageBreak/>
        <w:t>(2)</w:t>
      </w:r>
      <w:r w:rsidRPr="00351010">
        <w:rPr>
          <w:rFonts w:ascii="Times New Roman" w:hAnsi="Times New Roman"/>
        </w:rPr>
        <w:tab/>
        <w:t xml:space="preserve">A financial services licensee covered by subsection (1) that complies with this section is taken to comply with conditions (if any) of its licence that relate to: </w:t>
      </w:r>
    </w:p>
    <w:p w14:paraId="1D930467"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a cash needs requirement; and</w:t>
      </w:r>
    </w:p>
    <w:p w14:paraId="2C1CAA60"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net tangible assets that apply because it is a responsible entity or is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operate an IDPS; and</w:t>
      </w:r>
    </w:p>
    <w:p w14:paraId="62C0FF3D"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the obligation to lodge an opinion by a registered company auditor on the financial requirements for licensees that are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operate a registered scheme as a responsible entity or an IDPS to the extent the opinion is for a part of a financial year or other period during which the licensee was covered by subsection (1). </w:t>
      </w:r>
    </w:p>
    <w:p w14:paraId="210CA340" w14:textId="77777777" w:rsidR="00AD4FDC" w:rsidRPr="00351010" w:rsidRDefault="00AD4FDC" w:rsidP="00AD4FDC">
      <w:pPr>
        <w:spacing w:before="60" w:after="120"/>
        <w:ind w:left="1418" w:hanging="567"/>
        <w:rPr>
          <w:rFonts w:ascii="Times New Roman" w:hAnsi="Times New Roman"/>
          <w:sz w:val="18"/>
        </w:rPr>
      </w:pPr>
      <w:r w:rsidRPr="00351010">
        <w:rPr>
          <w:rFonts w:ascii="Times New Roman" w:hAnsi="Times New Roman"/>
          <w:sz w:val="18"/>
        </w:rPr>
        <w:t>Note:</w:t>
      </w:r>
      <w:r w:rsidRPr="00351010">
        <w:rPr>
          <w:rFonts w:ascii="Times New Roman" w:hAnsi="Times New Roman"/>
          <w:sz w:val="18"/>
        </w:rPr>
        <w:tab/>
        <w:t>The conditions on the licence may include other requirements in relation to having available adequate financial resources for the purposes of paragraph 912A(1)(d).</w:t>
      </w:r>
    </w:p>
    <w:p w14:paraId="7CDF8ACA" w14:textId="77777777" w:rsidR="00477A22" w:rsidRPr="00351010" w:rsidRDefault="00477A22" w:rsidP="00477A22">
      <w:pPr>
        <w:pStyle w:val="ListB"/>
      </w:pPr>
      <w:r w:rsidRPr="00351010">
        <w:t>(2A)</w:t>
      </w:r>
      <w:r w:rsidRPr="00351010">
        <w:tab/>
        <w:t>This section applies to a financial services licensee (</w:t>
      </w:r>
      <w:r w:rsidRPr="00351010">
        <w:rPr>
          <w:b/>
          <w:i/>
        </w:rPr>
        <w:t>manager</w:t>
      </w:r>
      <w:r w:rsidRPr="00351010">
        <w:t>) that is covered by subsection (1) and holds an Australian financial services licence that:</w:t>
      </w:r>
    </w:p>
    <w:p w14:paraId="26DC5E98" w14:textId="77777777" w:rsidR="00477A22" w:rsidRPr="00351010" w:rsidRDefault="00477A22" w:rsidP="00477A22">
      <w:pPr>
        <w:pStyle w:val="ListC"/>
      </w:pPr>
      <w:r w:rsidRPr="00351010">
        <w:t>(a)</w:t>
      </w:r>
      <w:r w:rsidRPr="00351010">
        <w:tab/>
        <w:t xml:space="preserve">authorises the manager to provide wholesale equity financial services (within the meaning of the </w:t>
      </w:r>
      <w:r w:rsidRPr="00351010">
        <w:rPr>
          <w:i/>
        </w:rPr>
        <w:t>ASIC Corporations (Wholesale Equity Scheme Trustees) Instrument 2017/849</w:t>
      </w:r>
      <w:r w:rsidRPr="00351010">
        <w:t xml:space="preserve"> (</w:t>
      </w:r>
      <w:r w:rsidRPr="00351010">
        <w:rPr>
          <w:b/>
          <w:i/>
        </w:rPr>
        <w:t>ASIC Instrument</w:t>
      </w:r>
      <w:r w:rsidRPr="00351010">
        <w:t>)); and</w:t>
      </w:r>
    </w:p>
    <w:p w14:paraId="6F25C6C1" w14:textId="77777777" w:rsidR="00477A22" w:rsidRPr="00351010" w:rsidRDefault="00477A22" w:rsidP="00477A22">
      <w:pPr>
        <w:pStyle w:val="ListC"/>
      </w:pPr>
      <w:r w:rsidRPr="00351010">
        <w:t>(b)</w:t>
      </w:r>
      <w:r w:rsidRPr="00351010">
        <w:tab/>
        <w:t xml:space="preserve">contains conditions to the effect of the conditions referred to in subparagraph 6(a)(ii) of the ASIC Instrument); </w:t>
      </w:r>
    </w:p>
    <w:p w14:paraId="1746DCA4" w14:textId="77777777" w:rsidR="00477A22" w:rsidRPr="00351010" w:rsidRDefault="00477A22" w:rsidP="00477A22">
      <w:pPr>
        <w:pStyle w:val="ListC"/>
        <w:ind w:firstLine="0"/>
      </w:pPr>
      <w:r w:rsidRPr="00351010">
        <w:t>as if the assets, liabilities, cash inflows and cash outflows of any eligible trustee were included in the assets, liabilities, cash inflows and cash outflows of the manager.</w:t>
      </w:r>
    </w:p>
    <w:p w14:paraId="148B433E" w14:textId="77777777" w:rsidR="00477A22" w:rsidRPr="00351010" w:rsidRDefault="00477A22" w:rsidP="00477A22">
      <w:pPr>
        <w:pStyle w:val="ListB"/>
      </w:pPr>
      <w:r w:rsidRPr="00351010">
        <w:t>(2B)</w:t>
      </w:r>
      <w:r w:rsidRPr="00351010">
        <w:tab/>
        <w:t xml:space="preserve">In subsection (2A), </w:t>
      </w:r>
      <w:r w:rsidRPr="00351010">
        <w:rPr>
          <w:b/>
          <w:i/>
        </w:rPr>
        <w:t xml:space="preserve">eligible trustee </w:t>
      </w:r>
      <w:r w:rsidRPr="00351010">
        <w:t>means a person who is both:</w:t>
      </w:r>
    </w:p>
    <w:p w14:paraId="3D9F55D3" w14:textId="77777777" w:rsidR="00477A22" w:rsidRPr="00351010" w:rsidRDefault="00477A22" w:rsidP="00477A22">
      <w:pPr>
        <w:pStyle w:val="ListC"/>
      </w:pPr>
      <w:r w:rsidRPr="00351010">
        <w:t>(a)</w:t>
      </w:r>
      <w:r w:rsidRPr="00351010">
        <w:tab/>
        <w:t xml:space="preserve">an eligible trustee of a wholesale equity scheme (within the meaning of the ASIC Instrument); </w:t>
      </w:r>
    </w:p>
    <w:p w14:paraId="24AC5140" w14:textId="77777777" w:rsidR="00477A22" w:rsidRPr="00351010" w:rsidRDefault="00477A22" w:rsidP="00477A22">
      <w:pPr>
        <w:pStyle w:val="ListC"/>
      </w:pPr>
      <w:r w:rsidRPr="00351010">
        <w:t>(b)</w:t>
      </w:r>
      <w:r w:rsidRPr="00351010">
        <w:tab/>
        <w:t>a related body corporate of the manager.</w:t>
      </w:r>
    </w:p>
    <w:p w14:paraId="01B5D6AD" w14:textId="77777777" w:rsidR="00AD4FDC" w:rsidRPr="00351010" w:rsidRDefault="00AD4FDC" w:rsidP="00AD4FDC">
      <w:pPr>
        <w:keepNext/>
        <w:spacing w:before="240" w:after="0"/>
        <w:ind w:firstLine="426"/>
        <w:rPr>
          <w:rFonts w:ascii="Times New Roman" w:hAnsi="Times New Roman"/>
          <w:i/>
        </w:rPr>
      </w:pPr>
      <w:r w:rsidRPr="00351010">
        <w:rPr>
          <w:rFonts w:ascii="Times New Roman" w:hAnsi="Times New Roman"/>
          <w:i/>
        </w:rPr>
        <w:t xml:space="preserve">Cash needs requirement </w:t>
      </w:r>
    </w:p>
    <w:p w14:paraId="37F956D5" w14:textId="77777777" w:rsidR="00AD4FDC" w:rsidRPr="00351010" w:rsidRDefault="00AD4FDC" w:rsidP="00AD4FDC">
      <w:pPr>
        <w:spacing w:before="120" w:after="120"/>
        <w:ind w:left="850" w:hanging="425"/>
        <w:rPr>
          <w:rFonts w:ascii="Times New Roman" w:hAnsi="Times New Roman"/>
          <w:bCs/>
        </w:rPr>
      </w:pPr>
      <w:r w:rsidRPr="00351010">
        <w:rPr>
          <w:rFonts w:ascii="Times New Roman" w:hAnsi="Times New Roman"/>
        </w:rPr>
        <w:t>(3)</w:t>
      </w:r>
      <w:r w:rsidRPr="00351010">
        <w:rPr>
          <w:rFonts w:ascii="Times New Roman" w:hAnsi="Times New Roman"/>
        </w:rPr>
        <w:tab/>
        <w:t>The licensee must</w:t>
      </w:r>
      <w:r w:rsidRPr="00351010">
        <w:rPr>
          <w:rFonts w:ascii="Times New Roman" w:hAnsi="Times New Roman"/>
          <w:bCs/>
        </w:rPr>
        <w:t>:</w:t>
      </w:r>
    </w:p>
    <w:p w14:paraId="7384F4C2"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prepare a projection of the licensee’s cash flows over at least the next 12 months based on the licensee’s reasonable estimate of what is likely to happen over this period; and</w:t>
      </w:r>
    </w:p>
    <w:p w14:paraId="4EAE9CFA"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have the projection approved at least quarterly by the licensee’s directors as satisfying the requirements of paragraph (a); and</w:t>
      </w:r>
    </w:p>
    <w:p w14:paraId="1BC90F3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document the calculations and assumptions used in preparing the projection, and describe in writing why the assumptions are appropriate; and</w:t>
      </w:r>
    </w:p>
    <w:p w14:paraId="0B5A90F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update the projection of the licensee’s cash flows if: </w:t>
      </w:r>
    </w:p>
    <w:p w14:paraId="2C79477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lastRenderedPageBreak/>
        <w:t xml:space="preserve"> (</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projection ceases to cover at least the next 12 months; or</w:t>
      </w:r>
    </w:p>
    <w:p w14:paraId="43B6E53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 xml:space="preserve"> (ii)</w:t>
      </w:r>
      <w:r w:rsidRPr="00351010">
        <w:rPr>
          <w:rFonts w:ascii="Times New Roman" w:hAnsi="Times New Roman"/>
          <w:szCs w:val="24"/>
          <w:lang w:val="en-US"/>
        </w:rPr>
        <w:tab/>
        <w:t>there is reason to suspect that an updated projection would differ materially from the current projection or show that the licensee was not meeting the requirements in subparagraphs (</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 and (ii) of paragraph (e); and</w:t>
      </w:r>
    </w:p>
    <w:p w14:paraId="5A83372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 xml:space="preserve">(e) </w:t>
      </w:r>
      <w:r w:rsidRPr="00351010">
        <w:rPr>
          <w:rFonts w:ascii="Times New Roman" w:hAnsi="Times New Roman"/>
          <w:szCs w:val="24"/>
          <w:lang w:val="en-US"/>
        </w:rPr>
        <w:tab/>
        <w:t xml:space="preserve">document whether, based on the projection of the licensee’s cash flows, the licensee: </w:t>
      </w:r>
    </w:p>
    <w:p w14:paraId="76E8CA4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 xml:space="preserve">) </w:t>
      </w:r>
      <w:r w:rsidRPr="00351010">
        <w:rPr>
          <w:rFonts w:ascii="Times New Roman" w:hAnsi="Times New Roman"/>
          <w:szCs w:val="24"/>
          <w:lang w:val="en-US"/>
        </w:rPr>
        <w:tab/>
        <w:t>will have access when needed to enough financial resources to meet its liabilities over the projected term of at least the next 12 months; and</w:t>
      </w:r>
    </w:p>
    <w:p w14:paraId="5BA42B0E"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r>
      <w:proofErr w:type="gramStart"/>
      <w:r w:rsidRPr="00351010">
        <w:rPr>
          <w:rFonts w:ascii="Times New Roman" w:hAnsi="Times New Roman"/>
          <w:szCs w:val="24"/>
          <w:lang w:val="en-US"/>
        </w:rPr>
        <w:t>will hold at all times</w:t>
      </w:r>
      <w:proofErr w:type="gramEnd"/>
      <w:r w:rsidRPr="00351010">
        <w:rPr>
          <w:rFonts w:ascii="Times New Roman" w:hAnsi="Times New Roman"/>
          <w:szCs w:val="24"/>
          <w:lang w:val="en-US"/>
        </w:rPr>
        <w:t xml:space="preserve"> during the period to which the projection relates in cash or cash equivalents, an amount equal to or greater than the current amount the licensee is required to hold in cash or cash equivalents under subsection (8).</w:t>
      </w:r>
    </w:p>
    <w:p w14:paraId="44149346" w14:textId="77777777" w:rsidR="00AD4FDC" w:rsidRPr="00351010" w:rsidRDefault="00AD4FDC" w:rsidP="00AD4FDC">
      <w:pPr>
        <w:keepNext/>
        <w:spacing w:before="240" w:after="0"/>
        <w:ind w:firstLine="426"/>
        <w:rPr>
          <w:rFonts w:ascii="Times New Roman" w:hAnsi="Times New Roman"/>
          <w:i/>
        </w:rPr>
      </w:pPr>
      <w:r w:rsidRPr="00351010">
        <w:rPr>
          <w:rFonts w:ascii="Times New Roman" w:hAnsi="Times New Roman"/>
          <w:i/>
        </w:rPr>
        <w:t>Net tangible assets</w:t>
      </w:r>
    </w:p>
    <w:p w14:paraId="6462C071" w14:textId="77777777" w:rsidR="00AD4FDC" w:rsidRPr="00351010" w:rsidRDefault="00AD4FDC" w:rsidP="00AD4FDC">
      <w:pPr>
        <w:spacing w:before="120" w:after="120"/>
        <w:ind w:left="850" w:hanging="425"/>
        <w:rPr>
          <w:rFonts w:ascii="Times New Roman" w:hAnsi="Times New Roman"/>
          <w:lang w:val="en-US"/>
        </w:rPr>
      </w:pPr>
      <w:r w:rsidRPr="00351010">
        <w:rPr>
          <w:rFonts w:ascii="Times New Roman" w:hAnsi="Times New Roman"/>
          <w:lang w:val="en-US"/>
        </w:rPr>
        <w:t>(4)</w:t>
      </w:r>
      <w:r w:rsidRPr="00351010">
        <w:rPr>
          <w:rFonts w:ascii="Times New Roman" w:hAnsi="Times New Roman"/>
          <w:lang w:val="en-US"/>
        </w:rPr>
        <w:tab/>
        <w:t xml:space="preserve">The licensee </w:t>
      </w:r>
      <w:proofErr w:type="gramStart"/>
      <w:r w:rsidRPr="00351010">
        <w:rPr>
          <w:rFonts w:ascii="Times New Roman" w:hAnsi="Times New Roman"/>
          <w:lang w:val="en-US"/>
        </w:rPr>
        <w:t>must hold at all times</w:t>
      </w:r>
      <w:proofErr w:type="gramEnd"/>
      <w:r w:rsidRPr="00351010">
        <w:rPr>
          <w:rFonts w:ascii="Times New Roman" w:hAnsi="Times New Roman"/>
          <w:lang w:val="en-US"/>
        </w:rPr>
        <w:t xml:space="preserve"> NTA of:</w:t>
      </w:r>
    </w:p>
    <w:p w14:paraId="3B7D8AFD"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if subsection (5) applies or the licensee does not operate any registered schemes or IPDSs—at least the greatest of: </w:t>
      </w:r>
    </w:p>
    <w:p w14:paraId="5A49E0E1"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$150,000; or</w:t>
      </w:r>
    </w:p>
    <w:p w14:paraId="5F44F0D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an amount of up to $5 million, being 0.5% of the average value of scheme and IDPS property of registered schemes and IDPSs (if any) operated by the licensee; or </w:t>
      </w:r>
    </w:p>
    <w:p w14:paraId="72D7CDBA"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10% of average RE and IDPS revenue of the licensee; </w:t>
      </w:r>
    </w:p>
    <w:p w14:paraId="5BFC5B2B"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otherwise—at least the greater of:</w:t>
      </w:r>
    </w:p>
    <w:p w14:paraId="7B42718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$10 million; or </w:t>
      </w:r>
    </w:p>
    <w:p w14:paraId="3F0A8AB5"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10% of average RE and IDPS revenue of the licensee.</w:t>
      </w:r>
    </w:p>
    <w:p w14:paraId="12781800"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lang w:val="en-US"/>
        </w:rPr>
        <w:t>(5)</w:t>
      </w:r>
      <w:r w:rsidRPr="00351010">
        <w:rPr>
          <w:rFonts w:ascii="Times New Roman" w:hAnsi="Times New Roman"/>
          <w:lang w:val="en-US"/>
        </w:rPr>
        <w:tab/>
        <w:t xml:space="preserve">This subsection applies if at least one of the following is satisfied in relation to each registered scheme (if any) operated by the licensee as responsible entity and each IDPS (if any) operated by the licensee: </w:t>
      </w:r>
    </w:p>
    <w:p w14:paraId="243D6E1A"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in the case of: </w:t>
      </w:r>
    </w:p>
    <w:p w14:paraId="63B5947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a registered scheme, all the scheme property and other assets of the scheme not held by members; and </w:t>
      </w:r>
    </w:p>
    <w:p w14:paraId="480D7BD6"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an IDPS, all IDPS property for which the licensee is responsible to clients of the IDPS for holding; </w:t>
      </w:r>
    </w:p>
    <w:p w14:paraId="48549C14" w14:textId="77777777" w:rsidR="00AD4FDC" w:rsidRPr="00351010" w:rsidRDefault="00AD4FDC" w:rsidP="00AD4FDC">
      <w:pPr>
        <w:spacing w:before="60" w:after="60"/>
        <w:ind w:left="2880" w:hanging="1604"/>
        <w:rPr>
          <w:rFonts w:ascii="Times New Roman" w:hAnsi="Times New Roman"/>
          <w:szCs w:val="24"/>
          <w:lang w:val="en-US"/>
        </w:rPr>
      </w:pPr>
      <w:r w:rsidRPr="00351010">
        <w:rPr>
          <w:rFonts w:ascii="Times New Roman" w:hAnsi="Times New Roman"/>
          <w:szCs w:val="24"/>
          <w:lang w:val="en-US"/>
        </w:rPr>
        <w:t>are held by:</w:t>
      </w:r>
    </w:p>
    <w:p w14:paraId="70F49536"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a custodian appointed by the licensee that: </w:t>
      </w:r>
    </w:p>
    <w:p w14:paraId="720D32AC"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 xml:space="preserve">(A)  if the custodian is a financial services licensee that is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provide a custodial or depository service–the licensee reasonably believes is not an incidental provider and complies with the requirements of section 912AC; and</w:t>
      </w:r>
    </w:p>
    <w:p w14:paraId="7F5DECA3" w14:textId="77777777" w:rsidR="00AD4FDC" w:rsidRPr="00351010" w:rsidRDefault="00AD4FDC" w:rsidP="00AD4FDC">
      <w:pPr>
        <w:spacing w:before="60" w:after="120"/>
        <w:ind w:firstLine="2127"/>
        <w:rPr>
          <w:rFonts w:ascii="Times New Roman" w:hAnsi="Times New Roman"/>
          <w:sz w:val="18"/>
        </w:rPr>
      </w:pPr>
      <w:r w:rsidRPr="00351010">
        <w:rPr>
          <w:rFonts w:ascii="Times New Roman" w:hAnsi="Times New Roman"/>
          <w:sz w:val="18"/>
        </w:rPr>
        <w:t>Note: Section 912AC was notionally inserted by ASIC Class Order [CO 13/761].</w:t>
      </w:r>
    </w:p>
    <w:p w14:paraId="514C28AB" w14:textId="77777777" w:rsidR="00AD4FDC" w:rsidRPr="00351010" w:rsidRDefault="00AD4FDC" w:rsidP="00AD4FDC">
      <w:pPr>
        <w:spacing w:before="60" w:after="60"/>
        <w:ind w:left="3555" w:hanging="1854"/>
        <w:rPr>
          <w:rFonts w:ascii="Times New Roman" w:hAnsi="Times New Roman"/>
          <w:szCs w:val="24"/>
          <w:lang w:val="en-US"/>
        </w:rPr>
      </w:pPr>
      <w:r w:rsidRPr="00351010">
        <w:rPr>
          <w:rFonts w:ascii="Times New Roman" w:hAnsi="Times New Roman"/>
          <w:szCs w:val="24"/>
          <w:lang w:val="en-US"/>
        </w:rPr>
        <w:lastRenderedPageBreak/>
        <w:t>(B) otherwise–satisfies the requirements of subsection (7); or</w:t>
      </w:r>
    </w:p>
    <w:p w14:paraId="71C100E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a sub-custodian appointed by such a custodian; or</w:t>
      </w:r>
    </w:p>
    <w:p w14:paraId="144CCDDA"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w:t>
      </w:r>
      <w:r w:rsidRPr="00351010">
        <w:rPr>
          <w:rFonts w:ascii="Times New Roman" w:hAnsi="Times New Roman"/>
          <w:szCs w:val="24"/>
          <w:lang w:val="en-US"/>
        </w:rPr>
        <w:tab/>
        <w:t>until 1 July 2014, a custodian (or a sub-custodian appointed by such a custodian) who:</w:t>
      </w:r>
    </w:p>
    <w:p w14:paraId="6181EA8D"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immediately before the commencement of this section:</w:t>
      </w:r>
    </w:p>
    <w:p w14:paraId="50101291" w14:textId="77777777" w:rsidR="00AD4FDC" w:rsidRPr="00351010" w:rsidRDefault="00AD4FDC" w:rsidP="00AD4FDC">
      <w:pPr>
        <w:spacing w:before="60" w:after="60"/>
        <w:ind w:left="2694" w:hanging="426"/>
        <w:rPr>
          <w:rFonts w:ascii="Times New Roman" w:hAnsi="Times New Roman"/>
          <w:szCs w:val="24"/>
          <w:lang w:val="en-US"/>
        </w:rPr>
      </w:pPr>
      <w:r w:rsidRPr="00351010">
        <w:rPr>
          <w:rFonts w:ascii="Times New Roman" w:hAnsi="Times New Roman"/>
          <w:szCs w:val="24"/>
          <w:lang w:val="en-US"/>
        </w:rPr>
        <w:t>(I)</w:t>
      </w:r>
      <w:r w:rsidRPr="00351010">
        <w:rPr>
          <w:rFonts w:ascii="Times New Roman" w:hAnsi="Times New Roman"/>
          <w:szCs w:val="24"/>
          <w:lang w:val="en-US"/>
        </w:rPr>
        <w:tab/>
        <w:t xml:space="preserve">held an Australian financial services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xml:space="preserve"> </w:t>
      </w:r>
      <w:proofErr w:type="spellStart"/>
      <w:r w:rsidRPr="00351010">
        <w:rPr>
          <w:rFonts w:ascii="Times New Roman" w:hAnsi="Times New Roman"/>
          <w:szCs w:val="24"/>
          <w:lang w:val="en-US"/>
        </w:rPr>
        <w:t>authorising</w:t>
      </w:r>
      <w:proofErr w:type="spellEnd"/>
      <w:r w:rsidRPr="00351010">
        <w:rPr>
          <w:rFonts w:ascii="Times New Roman" w:hAnsi="Times New Roman"/>
          <w:szCs w:val="24"/>
          <w:lang w:val="en-US"/>
        </w:rPr>
        <w:t xml:space="preserve"> the custodian to provide a custodial or depository service; or</w:t>
      </w:r>
    </w:p>
    <w:p w14:paraId="13A51B5F" w14:textId="77777777" w:rsidR="00AD4FDC" w:rsidRPr="00351010" w:rsidRDefault="00AD4FDC" w:rsidP="00AD4FDC">
      <w:pPr>
        <w:spacing w:before="60" w:after="60"/>
        <w:ind w:left="2694" w:hanging="426"/>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held scheme property or other assets of a registered scheme as a custodian; and</w:t>
      </w:r>
    </w:p>
    <w:p w14:paraId="4017C50F" w14:textId="77777777" w:rsidR="00AD4FDC" w:rsidRPr="00351010" w:rsidRDefault="00AD4FDC" w:rsidP="00AD4FDC">
      <w:pPr>
        <w:spacing w:before="60" w:after="60"/>
        <w:ind w:left="2268" w:hanging="567"/>
        <w:rPr>
          <w:rFonts w:ascii="Times New Roman" w:hAnsi="Times New Roman"/>
          <w:b/>
          <w:i/>
          <w:szCs w:val="24"/>
          <w:lang w:val="en-US"/>
        </w:rPr>
      </w:pPr>
      <w:r w:rsidRPr="00351010">
        <w:rPr>
          <w:rFonts w:ascii="Times New Roman" w:hAnsi="Times New Roman"/>
          <w:szCs w:val="24"/>
          <w:lang w:val="en-US"/>
        </w:rPr>
        <w:t>(B)</w:t>
      </w:r>
      <w:r w:rsidRPr="00351010">
        <w:rPr>
          <w:rFonts w:ascii="Times New Roman" w:hAnsi="Times New Roman"/>
          <w:szCs w:val="24"/>
          <w:lang w:val="en-US"/>
        </w:rPr>
        <w:tab/>
        <w:t>holds $5 million NTA; or</w:t>
      </w:r>
    </w:p>
    <w:p w14:paraId="6AEF971B"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(vi)</w:t>
      </w:r>
      <w:r w:rsidRPr="00351010">
        <w:rPr>
          <w:rFonts w:ascii="Times New Roman" w:hAnsi="Times New Roman"/>
          <w:szCs w:val="24"/>
          <w:lang w:val="en-US"/>
        </w:rPr>
        <w:tab/>
        <w:t>an eligible custodian; or</w:t>
      </w:r>
    </w:p>
    <w:p w14:paraId="0484CBAB"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in the case of a registered scheme, all the scheme property and other assets of the scheme not held by members are Tier $500,000 class assets held by: </w:t>
      </w:r>
    </w:p>
    <w:p w14:paraId="7585FF1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the licensee; or </w:t>
      </w:r>
    </w:p>
    <w:p w14:paraId="3098EAE1"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a custodian appointed by the licensee; or </w:t>
      </w:r>
    </w:p>
    <w:p w14:paraId="7577909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a sub-custodian appointed by the custodian; </w:t>
      </w:r>
    </w:p>
    <w:p w14:paraId="06F26B9D" w14:textId="77777777" w:rsidR="00AD4FDC" w:rsidRPr="00351010" w:rsidRDefault="00AD4FDC" w:rsidP="00AD4FDC">
      <w:pPr>
        <w:spacing w:before="60" w:after="60"/>
        <w:ind w:left="2880" w:hanging="1604"/>
        <w:rPr>
          <w:rFonts w:ascii="Times New Roman" w:hAnsi="Times New Roman"/>
          <w:szCs w:val="24"/>
          <w:lang w:val="en-US"/>
        </w:rPr>
      </w:pPr>
      <w:r w:rsidRPr="00351010">
        <w:rPr>
          <w:rFonts w:ascii="Times New Roman" w:hAnsi="Times New Roman"/>
          <w:szCs w:val="24"/>
          <w:lang w:val="en-US"/>
        </w:rPr>
        <w:t>provided that:</w:t>
      </w:r>
    </w:p>
    <w:p w14:paraId="1D17249A"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where the person holding the scheme property or other assets is the licensee—the licensee holds at least $500,000 NTA; or</w:t>
      </w:r>
    </w:p>
    <w:p w14:paraId="1BE3F52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w:t>
      </w:r>
      <w:r w:rsidRPr="00351010">
        <w:rPr>
          <w:rFonts w:ascii="Times New Roman" w:hAnsi="Times New Roman"/>
          <w:szCs w:val="24"/>
          <w:lang w:val="en-US"/>
        </w:rPr>
        <w:tab/>
        <w:t xml:space="preserve">where the person holding the scheme property or other assets is a custodian or sub-custodian—the custodian: </w:t>
      </w:r>
    </w:p>
    <w:p w14:paraId="133F838D"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holds at least $500,000 NTA; or </w:t>
      </w:r>
    </w:p>
    <w:p w14:paraId="06A6712C"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is an eligible custodian; or</w:t>
      </w:r>
    </w:p>
    <w:p w14:paraId="3A505A42"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in the case of: </w:t>
      </w:r>
    </w:p>
    <w:p w14:paraId="37A3757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a registered scheme, the only scheme property and other assets of the scheme not held by members; and </w:t>
      </w:r>
    </w:p>
    <w:p w14:paraId="14DD0CE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an IDPS, the only IDPS property</w:t>
      </w:r>
      <w:r w:rsidRPr="00351010">
        <w:rPr>
          <w:rFonts w:ascii="Times New Roman" w:hAnsi="Times New Roman"/>
          <w:szCs w:val="24"/>
        </w:rPr>
        <w:t xml:space="preserve"> for which the licensee is responsible to clients of the IDPS for holding</w:t>
      </w:r>
      <w:r w:rsidRPr="00351010">
        <w:rPr>
          <w:rFonts w:ascii="Times New Roman" w:hAnsi="Times New Roman"/>
          <w:szCs w:val="24"/>
          <w:lang w:val="en-US"/>
        </w:rPr>
        <w:t xml:space="preserve">;  </w:t>
      </w:r>
    </w:p>
    <w:p w14:paraId="7F44AAC5" w14:textId="77777777" w:rsidR="00AD4FDC" w:rsidRPr="00351010" w:rsidRDefault="00AD4FDC" w:rsidP="00AD4FDC">
      <w:pPr>
        <w:spacing w:before="60" w:after="60"/>
        <w:ind w:left="1276"/>
        <w:rPr>
          <w:rFonts w:ascii="Times New Roman" w:hAnsi="Times New Roman"/>
          <w:szCs w:val="24"/>
          <w:lang w:val="en-US"/>
        </w:rPr>
      </w:pPr>
      <w:r w:rsidRPr="00351010">
        <w:rPr>
          <w:rFonts w:ascii="Times New Roman" w:hAnsi="Times New Roman"/>
          <w:szCs w:val="24"/>
          <w:lang w:val="en-US"/>
        </w:rPr>
        <w:t>that are not held in accordance with paragraph (a) or (b) are special custody assets, each of which is held by:</w:t>
      </w:r>
    </w:p>
    <w:p w14:paraId="085831E5"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the licensee; or</w:t>
      </w:r>
    </w:p>
    <w:p w14:paraId="3A7EC81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an eligible custodian; or</w:t>
      </w:r>
    </w:p>
    <w:p w14:paraId="2CCE6F5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w:t>
      </w:r>
      <w:r w:rsidRPr="00351010">
        <w:rPr>
          <w:rFonts w:ascii="Times New Roman" w:hAnsi="Times New Roman"/>
          <w:szCs w:val="24"/>
          <w:lang w:val="en-US"/>
        </w:rPr>
        <w:tab/>
        <w:t xml:space="preserve">a custodian that holds at least the NTA that the licensee would be required to hold under paragraph (4)(a) or a sub-custodian appointed by such a custodian; or </w:t>
      </w:r>
    </w:p>
    <w:p w14:paraId="0692792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(vi)</w:t>
      </w:r>
      <w:r w:rsidRPr="00351010">
        <w:rPr>
          <w:rFonts w:ascii="Times New Roman" w:hAnsi="Times New Roman"/>
          <w:szCs w:val="24"/>
          <w:lang w:val="en-US"/>
        </w:rPr>
        <w:tab/>
        <w:t xml:space="preserve">a custodian or a sub-custodian appointed by the custodian if the only assets held for the scheme or IDPS are those mentioned in: </w:t>
      </w:r>
    </w:p>
    <w:p w14:paraId="3C3DD1FD"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lastRenderedPageBreak/>
        <w:t>(A)</w:t>
      </w:r>
      <w:r w:rsidRPr="00351010">
        <w:rPr>
          <w:rFonts w:ascii="Times New Roman" w:hAnsi="Times New Roman"/>
          <w:szCs w:val="24"/>
          <w:lang w:val="en-US"/>
        </w:rPr>
        <w:tab/>
        <w:t xml:space="preserve">paragraphs (a), (c) or (g) of the definition of </w:t>
      </w:r>
      <w:r w:rsidRPr="00351010">
        <w:rPr>
          <w:rFonts w:ascii="Times New Roman" w:hAnsi="Times New Roman"/>
          <w:b/>
          <w:i/>
          <w:szCs w:val="24"/>
          <w:lang w:val="en-US"/>
        </w:rPr>
        <w:t>special custody assets</w:t>
      </w:r>
      <w:r w:rsidRPr="00351010">
        <w:rPr>
          <w:rFonts w:ascii="Times New Roman" w:hAnsi="Times New Roman"/>
          <w:szCs w:val="24"/>
          <w:lang w:val="en-US"/>
        </w:rPr>
        <w:t xml:space="preserve"> in subsection (11); or </w:t>
      </w:r>
    </w:p>
    <w:p w14:paraId="2AAD9913"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paragraph (d) of the definition of </w:t>
      </w:r>
      <w:r w:rsidRPr="00351010">
        <w:rPr>
          <w:rFonts w:ascii="Times New Roman" w:hAnsi="Times New Roman"/>
          <w:b/>
          <w:i/>
          <w:szCs w:val="24"/>
          <w:lang w:val="en-US"/>
        </w:rPr>
        <w:t>special custody assets</w:t>
      </w:r>
      <w:r w:rsidRPr="00351010">
        <w:rPr>
          <w:rFonts w:ascii="Times New Roman" w:hAnsi="Times New Roman"/>
          <w:szCs w:val="24"/>
          <w:lang w:val="en-US"/>
        </w:rPr>
        <w:t xml:space="preserve"> where the audited trust account is a regulated trust account.</w:t>
      </w:r>
    </w:p>
    <w:p w14:paraId="60D6304A" w14:textId="77777777" w:rsidR="00AD4FDC" w:rsidRPr="00351010" w:rsidRDefault="00AD4FDC" w:rsidP="00AD4FDC">
      <w:pPr>
        <w:spacing w:before="120" w:after="120"/>
        <w:ind w:left="850" w:hanging="425"/>
        <w:rPr>
          <w:rFonts w:ascii="Times New Roman" w:hAnsi="Times New Roman"/>
          <w:lang w:val="en-US"/>
        </w:rPr>
      </w:pPr>
      <w:r w:rsidRPr="00351010">
        <w:rPr>
          <w:rFonts w:ascii="Times New Roman" w:hAnsi="Times New Roman"/>
          <w:lang w:val="en-US"/>
        </w:rPr>
        <w:t>(6)</w:t>
      </w:r>
      <w:r w:rsidRPr="00351010">
        <w:rPr>
          <w:rFonts w:ascii="Times New Roman" w:hAnsi="Times New Roman"/>
          <w:lang w:val="en-US"/>
        </w:rPr>
        <w:tab/>
        <w:t>If the licensee:</w:t>
      </w:r>
    </w:p>
    <w:p w14:paraId="14075E2D"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has obtained a written assurance within the preceding 13 months from a custodian that holds an Australian financial services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xml:space="preserve"> </w:t>
      </w:r>
      <w:proofErr w:type="spellStart"/>
      <w:r w:rsidRPr="00351010">
        <w:rPr>
          <w:rFonts w:ascii="Times New Roman" w:hAnsi="Times New Roman"/>
          <w:szCs w:val="24"/>
          <w:lang w:val="en-US"/>
        </w:rPr>
        <w:t>authorising</w:t>
      </w:r>
      <w:proofErr w:type="spellEnd"/>
      <w:r w:rsidRPr="00351010">
        <w:rPr>
          <w:rFonts w:ascii="Times New Roman" w:hAnsi="Times New Roman"/>
          <w:szCs w:val="24"/>
          <w:lang w:val="en-US"/>
        </w:rPr>
        <w:t xml:space="preserve"> it to provide a custodial or depository service that, at the time the assurance is given, the custodian complies with the requirements of section 912AC and is not an incidental provider; and</w:t>
      </w:r>
    </w:p>
    <w:p w14:paraId="79B4AF46"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has no reason to suspect that the custodian does not currently comply with those requirements or is an incidental provider;</w:t>
      </w:r>
    </w:p>
    <w:p w14:paraId="23B502D9" w14:textId="77777777" w:rsidR="00AD4FDC" w:rsidRPr="00351010" w:rsidRDefault="00AD4FDC" w:rsidP="00AD4FDC">
      <w:pPr>
        <w:spacing w:before="60" w:after="60"/>
        <w:ind w:left="1276"/>
        <w:rPr>
          <w:rFonts w:ascii="Times New Roman" w:hAnsi="Times New Roman"/>
          <w:szCs w:val="24"/>
          <w:lang w:val="en-US"/>
        </w:rPr>
      </w:pPr>
      <w:r w:rsidRPr="00351010">
        <w:rPr>
          <w:rFonts w:ascii="Times New Roman" w:hAnsi="Times New Roman"/>
          <w:szCs w:val="24"/>
          <w:lang w:val="en-US"/>
        </w:rPr>
        <w:t xml:space="preserve">the licensee is taken to have the reasonable belief referred to in subsection (5)(a)(iii) in relation to the custodian. </w:t>
      </w:r>
    </w:p>
    <w:p w14:paraId="723B0064" w14:textId="77777777" w:rsidR="00AD4FDC" w:rsidRPr="00351010" w:rsidRDefault="00AD4FDC" w:rsidP="00AD4FDC">
      <w:pPr>
        <w:spacing w:before="120" w:after="120"/>
        <w:ind w:left="850" w:hanging="425"/>
        <w:rPr>
          <w:rFonts w:ascii="Times New Roman" w:hAnsi="Times New Roman"/>
          <w:b/>
          <w:i/>
          <w:lang w:val="en-US"/>
        </w:rPr>
      </w:pPr>
      <w:r w:rsidRPr="00351010">
        <w:rPr>
          <w:rFonts w:ascii="Times New Roman" w:hAnsi="Times New Roman"/>
          <w:lang w:val="en-US"/>
        </w:rPr>
        <w:t>(7)</w:t>
      </w:r>
      <w:r w:rsidRPr="00351010">
        <w:rPr>
          <w:rFonts w:ascii="Times New Roman" w:hAnsi="Times New Roman"/>
          <w:lang w:val="en-US"/>
        </w:rPr>
        <w:tab/>
        <w:t>A custodian satisfies the requirements of this subsection at a time (</w:t>
      </w:r>
      <w:r w:rsidRPr="00351010">
        <w:rPr>
          <w:rFonts w:ascii="Times New Roman" w:hAnsi="Times New Roman"/>
          <w:b/>
          <w:i/>
          <w:lang w:val="en-US"/>
        </w:rPr>
        <w:t>relevant time</w:t>
      </w:r>
      <w:r w:rsidRPr="00351010">
        <w:rPr>
          <w:rFonts w:ascii="Times New Roman" w:hAnsi="Times New Roman"/>
          <w:lang w:val="en-US"/>
        </w:rPr>
        <w:t xml:space="preserve">) if the licensee: </w:t>
      </w:r>
    </w:p>
    <w:p w14:paraId="5C8AFA0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has obtained a written assurance from the custodian within the preceding 13 months that, at the time the assurance is given, the custodian complies with the following requirements as if the custodian were a financial services licensee that was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provide a custodial or depository service and was not an incidental provider:</w:t>
      </w:r>
    </w:p>
    <w:p w14:paraId="5AA7E37F"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requirements of subsections 912</w:t>
      </w:r>
      <w:proofErr w:type="gramStart"/>
      <w:r w:rsidRPr="00351010">
        <w:rPr>
          <w:rFonts w:ascii="Times New Roman" w:hAnsi="Times New Roman"/>
          <w:szCs w:val="24"/>
          <w:lang w:val="en-US"/>
        </w:rPr>
        <w:t>AC(</w:t>
      </w:r>
      <w:proofErr w:type="gramEnd"/>
      <w:r w:rsidRPr="00351010">
        <w:rPr>
          <w:rFonts w:ascii="Times New Roman" w:hAnsi="Times New Roman"/>
          <w:szCs w:val="24"/>
          <w:lang w:val="en-US"/>
        </w:rPr>
        <w:t>3), (4) and (7) and paragraph 912AC(8)(a); and</w:t>
      </w:r>
    </w:p>
    <w:p w14:paraId="75CF550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if the custodian would be required to lodge a report with ASIC under subsection 912D(1B) relating to a breach of subsections 912</w:t>
      </w:r>
      <w:proofErr w:type="gramStart"/>
      <w:r w:rsidRPr="00351010">
        <w:rPr>
          <w:rFonts w:ascii="Times New Roman" w:hAnsi="Times New Roman"/>
          <w:szCs w:val="24"/>
          <w:lang w:val="en-US"/>
        </w:rPr>
        <w:t>AC(</w:t>
      </w:r>
      <w:proofErr w:type="gramEnd"/>
      <w:r w:rsidRPr="00351010">
        <w:rPr>
          <w:rFonts w:ascii="Times New Roman" w:hAnsi="Times New Roman"/>
          <w:szCs w:val="24"/>
          <w:lang w:val="en-US"/>
        </w:rPr>
        <w:t xml:space="preserve">3), (4) or (7), it must immediately notify the licensee; and </w:t>
      </w:r>
    </w:p>
    <w:p w14:paraId="2DFCE759"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has no reason to suspect that the custodian does not currently comply with those requirements; and</w:t>
      </w:r>
    </w:p>
    <w:p w14:paraId="5A440F08"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subject to subsections (7A) and (7B), has obtained a copy of a report from a registered company auditor in respect of a period of at least 12 months ending no more than 16 months before the relevant time, that states that: </w:t>
      </w:r>
    </w:p>
    <w:p w14:paraId="00018D9C"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in the auditor’s opinion, the custodian complied with the requirements referred to in subparagraphs 912</w:t>
      </w:r>
      <w:proofErr w:type="gramStart"/>
      <w:r w:rsidRPr="00351010">
        <w:rPr>
          <w:rFonts w:ascii="Times New Roman" w:hAnsi="Times New Roman"/>
          <w:szCs w:val="24"/>
          <w:lang w:val="en-US"/>
        </w:rPr>
        <w:t>AC(</w:t>
      </w:r>
      <w:proofErr w:type="gramEnd"/>
      <w:r w:rsidRPr="00351010">
        <w:rPr>
          <w:rFonts w:ascii="Times New Roman" w:hAnsi="Times New Roman"/>
          <w:szCs w:val="24"/>
          <w:lang w:val="en-US"/>
        </w:rPr>
        <w:t>10)(a)(</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 to (iii); and</w:t>
      </w:r>
    </w:p>
    <w:p w14:paraId="56A25C2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following an examination of the calculations, assumptions, description, projections and document referred to in paragraph 912AC(10)(b) and prepared by the custodian for the purposes of complying with the requirements of subsection 912AC(3) as if it were a </w:t>
      </w:r>
      <w:r w:rsidRPr="00351010">
        <w:rPr>
          <w:rFonts w:ascii="Times New Roman" w:hAnsi="Times New Roman"/>
          <w:szCs w:val="24"/>
        </w:rPr>
        <w:t>licensee authorised to provide custodial or depository services and was not an incidental provider</w:t>
      </w:r>
      <w:r w:rsidRPr="00351010">
        <w:rPr>
          <w:rFonts w:ascii="Times New Roman" w:hAnsi="Times New Roman"/>
          <w:szCs w:val="24"/>
          <w:lang w:val="en-US"/>
        </w:rPr>
        <w:t>, the auditor has no reason to believe the matters referred to in subparagraphs 912AC(10)(b)(</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 to (v) apply in relation to the custodian;</w:t>
      </w:r>
    </w:p>
    <w:p w14:paraId="2DB5629D" w14:textId="77777777" w:rsidR="00AD4FDC" w:rsidRPr="00351010" w:rsidRDefault="00AD4FDC" w:rsidP="00AD4FDC">
      <w:pPr>
        <w:spacing w:before="60" w:after="60"/>
        <w:ind w:left="1276"/>
        <w:rPr>
          <w:rFonts w:ascii="Times New Roman" w:hAnsi="Times New Roman"/>
          <w:szCs w:val="24"/>
          <w:lang w:val="en-US"/>
        </w:rPr>
      </w:pPr>
      <w:r w:rsidRPr="00351010">
        <w:rPr>
          <w:rFonts w:ascii="Times New Roman" w:hAnsi="Times New Roman"/>
          <w:szCs w:val="24"/>
          <w:lang w:val="en-US"/>
        </w:rPr>
        <w:lastRenderedPageBreak/>
        <w:t xml:space="preserve">other than to the extent that the requirements or matters deal with conditions of an Australian financial services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xml:space="preserve"> that are not requirements under subsections 912AC(3), (4) or (7) or paragraph 912AC(8)(a), as if the custodian were a licensee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provide custodial or depository services and was not an incidental provider. </w:t>
      </w:r>
    </w:p>
    <w:p w14:paraId="2294F5B5" w14:textId="77777777" w:rsidR="00AD4FDC" w:rsidRPr="00351010" w:rsidRDefault="00AD4FDC" w:rsidP="00AD4FDC">
      <w:pPr>
        <w:tabs>
          <w:tab w:val="left" w:pos="993"/>
        </w:tabs>
        <w:spacing w:before="120" w:after="120"/>
        <w:ind w:left="850" w:hanging="425"/>
        <w:rPr>
          <w:rFonts w:ascii="Times New Roman" w:hAnsi="Times New Roman"/>
        </w:rPr>
      </w:pPr>
      <w:r w:rsidRPr="00351010">
        <w:rPr>
          <w:rFonts w:ascii="Times New Roman" w:hAnsi="Times New Roman"/>
        </w:rPr>
        <w:t>(7A)</w:t>
      </w:r>
      <w:r w:rsidRPr="00351010">
        <w:rPr>
          <w:rFonts w:ascii="Times New Roman" w:hAnsi="Times New Roman"/>
        </w:rPr>
        <w:tab/>
        <w:t>Paragraph (7)(c) does not apply in relation to a custodian until:</w:t>
      </w:r>
    </w:p>
    <w:p w14:paraId="47A2DDF8" w14:textId="77777777" w:rsidR="00AD4FDC" w:rsidRPr="00351010" w:rsidRDefault="00AD4FDC" w:rsidP="00AD4FDC">
      <w:pPr>
        <w:widowControl w:val="0"/>
        <w:spacing w:before="120" w:after="120"/>
        <w:ind w:left="1418" w:hanging="425"/>
        <w:rPr>
          <w:rFonts w:ascii="Times New Roman" w:hAnsi="Times New Roman"/>
          <w:szCs w:val="24"/>
          <w:lang w:val="en-US"/>
        </w:rPr>
      </w:pPr>
      <w:r w:rsidRPr="00351010">
        <w:rPr>
          <w:rFonts w:ascii="Times New Roman" w:hAnsi="Times New Roman"/>
          <w:szCs w:val="24"/>
          <w:lang w:val="en-US"/>
        </w:rPr>
        <w:t xml:space="preserve"> (a)</w:t>
      </w:r>
      <w:r w:rsidRPr="00351010">
        <w:rPr>
          <w:rFonts w:ascii="Times New Roman" w:hAnsi="Times New Roman"/>
          <w:szCs w:val="24"/>
          <w:lang w:val="en-US"/>
        </w:rPr>
        <w:tab/>
        <w:t>if the custodian was a custodian of the scheme or IDPS on 30 June 2013 (continuing custodian)—the earlier of 31 October 2015 and the date that the custodian first provides a copy of a report for the purposes of paragraph (7)(c) to the licensee or any other person; and</w:t>
      </w:r>
    </w:p>
    <w:p w14:paraId="4E2A5C4B" w14:textId="77777777" w:rsidR="00AD4FDC" w:rsidRPr="00351010" w:rsidRDefault="00AD4FDC" w:rsidP="00AD4FDC">
      <w:pPr>
        <w:widowControl w:val="0"/>
        <w:spacing w:before="120" w:after="120"/>
        <w:ind w:left="1418" w:hanging="425"/>
        <w:rPr>
          <w:rFonts w:ascii="Times New Roman" w:hAnsi="Times New Roman"/>
          <w:szCs w:val="24"/>
          <w:lang w:val="en-US"/>
        </w:rPr>
      </w:pPr>
      <w:r w:rsidRPr="00351010">
        <w:rPr>
          <w:rFonts w:ascii="Times New Roman" w:hAnsi="Times New Roman"/>
          <w:szCs w:val="24"/>
          <w:lang w:val="en-US"/>
        </w:rPr>
        <w:t xml:space="preserve"> (b)</w:t>
      </w:r>
      <w:r w:rsidRPr="00351010">
        <w:rPr>
          <w:rFonts w:ascii="Times New Roman" w:hAnsi="Times New Roman"/>
          <w:szCs w:val="24"/>
          <w:lang w:val="en-US"/>
        </w:rPr>
        <w:tab/>
        <w:t>if the custodian is not a continuing custodian and has not provided a copy of a report for the purposes of paragraph (7)(c)—the earlier of 16 months after the date that the custodian first became a custodian of the scheme or IDPS and the date that the custodian first provides the licensee or any other person with a copy of a report for the purposes of paragraph (7)(c).</w:t>
      </w:r>
    </w:p>
    <w:p w14:paraId="4A2383FC" w14:textId="77777777" w:rsidR="00AD4FDC" w:rsidRPr="00351010" w:rsidRDefault="00AD4FDC" w:rsidP="00AD4FDC">
      <w:pPr>
        <w:spacing w:before="120" w:after="120"/>
        <w:ind w:left="993" w:hanging="568"/>
        <w:rPr>
          <w:rFonts w:ascii="Times New Roman" w:hAnsi="Times New Roman"/>
        </w:rPr>
      </w:pPr>
      <w:r w:rsidRPr="00351010">
        <w:rPr>
          <w:rFonts w:ascii="Times New Roman" w:hAnsi="Times New Roman"/>
        </w:rPr>
        <w:t xml:space="preserve"> (7B) The first report obtained by a custodian for the purposes of paragraph (7)(c) may cover a period of less than 12 months if it covers the period from: </w:t>
      </w:r>
    </w:p>
    <w:p w14:paraId="4F8B331D" w14:textId="77777777" w:rsidR="00AD4FDC" w:rsidRPr="00351010" w:rsidRDefault="00AD4FDC" w:rsidP="00AD4FDC">
      <w:pPr>
        <w:widowControl w:val="0"/>
        <w:spacing w:before="120" w:after="120"/>
        <w:ind w:left="1418" w:hanging="425"/>
        <w:rPr>
          <w:rFonts w:ascii="Times New Roman" w:hAnsi="Times New Roman"/>
          <w:szCs w:val="24"/>
          <w:lang w:val="en-US"/>
        </w:rPr>
      </w:pPr>
      <w:r w:rsidRPr="00351010">
        <w:rPr>
          <w:rFonts w:ascii="Times New Roman" w:hAnsi="Times New Roman"/>
          <w:szCs w:val="24"/>
          <w:lang w:val="en-US"/>
        </w:rPr>
        <w:t xml:space="preserve"> (a)</w:t>
      </w:r>
      <w:r w:rsidRPr="00351010">
        <w:rPr>
          <w:rFonts w:ascii="Times New Roman" w:hAnsi="Times New Roman"/>
          <w:szCs w:val="24"/>
          <w:lang w:val="en-US"/>
        </w:rPr>
        <w:tab/>
        <w:t xml:space="preserve">for a continuing custodian—1 July 2014; and </w:t>
      </w:r>
    </w:p>
    <w:p w14:paraId="2A34ADD6" w14:textId="77777777" w:rsidR="00AD4FDC" w:rsidRPr="00351010" w:rsidRDefault="00AD4FDC" w:rsidP="00AD4FDC">
      <w:pPr>
        <w:widowControl w:val="0"/>
        <w:spacing w:before="120" w:after="120"/>
        <w:ind w:left="1418" w:hanging="425"/>
        <w:rPr>
          <w:rFonts w:ascii="Times New Roman" w:hAnsi="Times New Roman"/>
          <w:szCs w:val="24"/>
          <w:lang w:val="en-US"/>
        </w:rPr>
      </w:pPr>
      <w:r w:rsidRPr="00351010">
        <w:rPr>
          <w:rFonts w:ascii="Times New Roman" w:hAnsi="Times New Roman"/>
          <w:szCs w:val="24"/>
          <w:lang w:val="en-US"/>
        </w:rPr>
        <w:t xml:space="preserve"> (b)</w:t>
      </w:r>
      <w:r w:rsidRPr="00351010">
        <w:rPr>
          <w:rFonts w:ascii="Times New Roman" w:hAnsi="Times New Roman"/>
          <w:szCs w:val="24"/>
          <w:lang w:val="en-US"/>
        </w:rPr>
        <w:tab/>
        <w:t xml:space="preserve">otherwise—the date that the custodian first provided a written assurance under paragraph (7)(a) to the licensee or any other person; </w:t>
      </w:r>
    </w:p>
    <w:p w14:paraId="41FDBD77" w14:textId="77777777" w:rsidR="00AD4FDC" w:rsidRPr="00351010" w:rsidRDefault="00AD4FDC" w:rsidP="00AD4FDC">
      <w:pPr>
        <w:widowControl w:val="0"/>
        <w:spacing w:before="120" w:after="120"/>
        <w:ind w:left="1276" w:hanging="283"/>
        <w:rPr>
          <w:rFonts w:ascii="Times New Roman" w:hAnsi="Times New Roman"/>
          <w:szCs w:val="24"/>
          <w:lang w:val="en-US"/>
        </w:rPr>
      </w:pPr>
      <w:r w:rsidRPr="00351010">
        <w:rPr>
          <w:rFonts w:ascii="Times New Roman" w:hAnsi="Times New Roman"/>
          <w:szCs w:val="24"/>
          <w:lang w:val="en-US"/>
        </w:rPr>
        <w:t>until the end of the period to which the report relates.</w:t>
      </w:r>
    </w:p>
    <w:p w14:paraId="3E5A4616" w14:textId="77777777" w:rsidR="00AD4FDC" w:rsidRPr="00351010" w:rsidRDefault="00AD4FDC" w:rsidP="00AD4FDC">
      <w:pPr>
        <w:spacing w:before="120" w:after="120"/>
        <w:ind w:left="850" w:hanging="425"/>
        <w:rPr>
          <w:rFonts w:ascii="Times New Roman" w:hAnsi="Times New Roman"/>
          <w:lang w:val="en-US"/>
        </w:rPr>
      </w:pPr>
      <w:r w:rsidRPr="00351010">
        <w:rPr>
          <w:rFonts w:ascii="Times New Roman" w:hAnsi="Times New Roman"/>
          <w:lang w:val="en-US"/>
        </w:rPr>
        <w:t>(8)</w:t>
      </w:r>
      <w:r w:rsidRPr="00351010">
        <w:rPr>
          <w:rFonts w:ascii="Times New Roman" w:hAnsi="Times New Roman"/>
          <w:lang w:val="en-US"/>
        </w:rPr>
        <w:tab/>
        <w:t xml:space="preserve">The licensee </w:t>
      </w:r>
      <w:proofErr w:type="gramStart"/>
      <w:r w:rsidRPr="00351010">
        <w:rPr>
          <w:rFonts w:ascii="Times New Roman" w:hAnsi="Times New Roman"/>
          <w:lang w:val="en-US"/>
        </w:rPr>
        <w:t>must hold at all times</w:t>
      </w:r>
      <w:proofErr w:type="gramEnd"/>
      <w:r w:rsidRPr="00351010">
        <w:rPr>
          <w:rFonts w:ascii="Times New Roman" w:hAnsi="Times New Roman"/>
          <w:lang w:val="en-US"/>
        </w:rPr>
        <w:t>:</w:t>
      </w:r>
    </w:p>
    <w:p w14:paraId="283F9B40"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in cash or cash equivalents in an amount that is at least the greater of:</w:t>
      </w:r>
    </w:p>
    <w:p w14:paraId="2B33B74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$150,000; or</w:t>
      </w:r>
    </w:p>
    <w:p w14:paraId="7A09D34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50% of the amount of NTA that it is required to hold under paragraph (4); and</w:t>
      </w:r>
    </w:p>
    <w:p w14:paraId="65FB8AD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liquid assets in an amount that is at least 100% of the required NTA.</w:t>
      </w:r>
    </w:p>
    <w:p w14:paraId="7E09FC32"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szCs w:val="24"/>
          <w:lang w:val="en-US"/>
        </w:rPr>
        <w:t xml:space="preserve">Money that is in an account held by the licensee for the purposes of section 981B cannot be counted towards either requirement. Other cash or cash equivalents that are also liquid assets can be counted for both paragraph (a) and (b). </w:t>
      </w:r>
    </w:p>
    <w:p w14:paraId="601CFCCD" w14:textId="77777777" w:rsidR="00AD4FDC" w:rsidRPr="00351010" w:rsidRDefault="00AD4FDC" w:rsidP="00AD4FDC">
      <w:pPr>
        <w:keepNext/>
        <w:spacing w:before="240" w:after="0"/>
        <w:rPr>
          <w:rFonts w:ascii="Times New Roman" w:hAnsi="Times New Roman"/>
          <w:i/>
        </w:rPr>
      </w:pPr>
      <w:r w:rsidRPr="00351010">
        <w:rPr>
          <w:rFonts w:ascii="Times New Roman" w:hAnsi="Times New Roman"/>
          <w:i/>
        </w:rPr>
        <w:t>Audit opinion on financial requirements</w:t>
      </w:r>
    </w:p>
    <w:p w14:paraId="531B4161"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t>(9)</w:t>
      </w:r>
      <w:r w:rsidRPr="00351010">
        <w:rPr>
          <w:rFonts w:ascii="Times New Roman" w:hAnsi="Times New Roman"/>
        </w:rPr>
        <w:tab/>
        <w:t xml:space="preserve">The licensee must lodge with ASIC a report (the </w:t>
      </w:r>
      <w:r w:rsidRPr="00351010">
        <w:rPr>
          <w:rFonts w:ascii="Times New Roman" w:hAnsi="Times New Roman"/>
          <w:b/>
          <w:i/>
        </w:rPr>
        <w:t>audit opinion</w:t>
      </w:r>
      <w:r w:rsidRPr="00351010">
        <w:rPr>
          <w:rFonts w:ascii="Times New Roman" w:hAnsi="Times New Roman"/>
        </w:rPr>
        <w:t xml:space="preserve">) by a registered company auditor addressed to the licensee and ASIC for each financial year of the licensee and any other period that ASIC directs in writing that states whether, </w:t>
      </w:r>
      <w:bookmarkStart w:id="1" w:name="OLE_LINK6"/>
      <w:r w:rsidRPr="00351010">
        <w:rPr>
          <w:rFonts w:ascii="Times New Roman" w:hAnsi="Times New Roman"/>
        </w:rPr>
        <w:t>during</w:t>
      </w:r>
      <w:r w:rsidRPr="00351010">
        <w:rPr>
          <w:rFonts w:ascii="Times New Roman" w:hAnsi="Times New Roman"/>
          <w:lang w:val="en-US"/>
        </w:rPr>
        <w:t xml:space="preserve"> any part of the period</w:t>
      </w:r>
      <w:bookmarkEnd w:id="1"/>
      <w:r w:rsidRPr="00351010">
        <w:rPr>
          <w:rFonts w:ascii="Times New Roman" w:hAnsi="Times New Roman"/>
          <w:lang w:val="en-US"/>
        </w:rPr>
        <w:t xml:space="preserve"> for which the licensee was covered by subsection (1)</w:t>
      </w:r>
      <w:r w:rsidRPr="00351010">
        <w:rPr>
          <w:rFonts w:ascii="Times New Roman" w:hAnsi="Times New Roman"/>
        </w:rPr>
        <w:t>:</w:t>
      </w:r>
    </w:p>
    <w:p w14:paraId="57A7F83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in the auditor’s opinion, the licensee:</w:t>
      </w:r>
    </w:p>
    <w:p w14:paraId="61E9FE8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lastRenderedPageBreak/>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complied with paragraph (3)(b) and subsections (4) and (8) and other financial requirements in conditions on its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xml:space="preserve">; and </w:t>
      </w:r>
    </w:p>
    <w:p w14:paraId="68D5F20E"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r>
      <w:proofErr w:type="gramStart"/>
      <w:r w:rsidRPr="00351010">
        <w:rPr>
          <w:rFonts w:ascii="Times New Roman" w:hAnsi="Times New Roman"/>
          <w:szCs w:val="24"/>
          <w:lang w:val="en-US"/>
        </w:rPr>
        <w:t>had at all times</w:t>
      </w:r>
      <w:proofErr w:type="gramEnd"/>
      <w:r w:rsidRPr="00351010">
        <w:rPr>
          <w:rFonts w:ascii="Times New Roman" w:hAnsi="Times New Roman"/>
          <w:szCs w:val="24"/>
          <w:lang w:val="en-US"/>
        </w:rPr>
        <w:t xml:space="preserve"> a projection that purports to, and appears on its face to, comply with paragraph (3)(a); and</w:t>
      </w:r>
    </w:p>
    <w:p w14:paraId="72B3F6B3"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correctly calculated the projection in paragraph (3)(a) </w:t>
      </w:r>
      <w:proofErr w:type="gramStart"/>
      <w:r w:rsidRPr="00351010">
        <w:rPr>
          <w:rFonts w:ascii="Times New Roman" w:hAnsi="Times New Roman"/>
          <w:szCs w:val="24"/>
          <w:lang w:val="en-US"/>
        </w:rPr>
        <w:t>on the basis of</w:t>
      </w:r>
      <w:proofErr w:type="gramEnd"/>
      <w:r w:rsidRPr="00351010">
        <w:rPr>
          <w:rFonts w:ascii="Times New Roman" w:hAnsi="Times New Roman"/>
          <w:szCs w:val="24"/>
          <w:lang w:val="en-US"/>
        </w:rPr>
        <w:t xml:space="preserve"> the assumptions the licensee used for the projection; and</w:t>
      </w:r>
    </w:p>
    <w:p w14:paraId="7D0C1547"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following an examination of the calculations, assumptions and description prepared under paragraph (3)(c) and relied on by the licensee in complying with paragraph (3)(a), the projections prepared under paragraph (3)(a) and the document prepared under paragraph (3)(e), the auditor has no reason to believe that:</w:t>
      </w:r>
    </w:p>
    <w:p w14:paraId="5399467E"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the licensee did not have adequate systems for managing the risk of having insufficient financial resources to comply with subsections (4) and (8) and other financial requirements in conditions on its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or</w:t>
      </w:r>
    </w:p>
    <w:p w14:paraId="3A3239CC" w14:textId="77777777" w:rsidR="00AD4FDC" w:rsidRPr="00351010" w:rsidRDefault="00AD4FDC" w:rsidP="00AD4FDC">
      <w:pPr>
        <w:spacing w:before="60" w:after="120"/>
        <w:ind w:left="2127" w:hanging="426"/>
        <w:rPr>
          <w:rFonts w:ascii="Times New Roman" w:hAnsi="Times New Roman"/>
          <w:sz w:val="18"/>
        </w:rPr>
      </w:pPr>
      <w:r w:rsidRPr="00351010">
        <w:rPr>
          <w:rFonts w:ascii="Times New Roman" w:hAnsi="Times New Roman"/>
          <w:sz w:val="18"/>
        </w:rPr>
        <w:t>Note: Paragraph 912A(1)(h) requires a licensee (other than a body regulated by APRA) to have adequate risk management systems.</w:t>
      </w:r>
    </w:p>
    <w:p w14:paraId="33E021C6"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the licensee failed to comply with paragraph (3)(c); or</w:t>
      </w:r>
    </w:p>
    <w:p w14:paraId="387C7A8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the licensee will not have access when needed to enough financial resources to meet its liabilities over the projected term of at least the next 12 months; or</w:t>
      </w:r>
    </w:p>
    <w:p w14:paraId="1A755F7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the licensee will not hold at all times during the period to which the projection relates in cash or cash equivalents, an amount equal to or greater than the current amount the licensee is required to hold in cash or cash equivalents under subsection (8); or</w:t>
      </w:r>
    </w:p>
    <w:p w14:paraId="23DC2A9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w:t>
      </w:r>
      <w:r w:rsidRPr="00351010">
        <w:rPr>
          <w:rFonts w:ascii="Times New Roman" w:hAnsi="Times New Roman"/>
          <w:szCs w:val="24"/>
          <w:lang w:val="en-US"/>
        </w:rPr>
        <w:tab/>
        <w:t>the assumptions the licensee adopted for its projection in paragraph 3(a) were unreasonable.</w:t>
      </w:r>
    </w:p>
    <w:p w14:paraId="505A3B25"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t>(10)</w:t>
      </w:r>
      <w:r w:rsidRPr="00351010">
        <w:rPr>
          <w:rFonts w:ascii="Times New Roman" w:hAnsi="Times New Roman"/>
        </w:rPr>
        <w:tab/>
        <w:t xml:space="preserve"> The audit opinion must be lodged:</w:t>
      </w:r>
    </w:p>
    <w:p w14:paraId="309BC9F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for each financial year of the licensee—with the balance sheet that the licensee is required to lodge under section 989B; and</w:t>
      </w:r>
    </w:p>
    <w:p w14:paraId="639EF1A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for any </w:t>
      </w:r>
      <w:proofErr w:type="gramStart"/>
      <w:r w:rsidRPr="00351010">
        <w:rPr>
          <w:rFonts w:ascii="Times New Roman" w:hAnsi="Times New Roman"/>
          <w:szCs w:val="24"/>
          <w:lang w:val="en-US"/>
        </w:rPr>
        <w:t>period of time</w:t>
      </w:r>
      <w:proofErr w:type="gramEnd"/>
      <w:r w:rsidRPr="00351010">
        <w:rPr>
          <w:rFonts w:ascii="Times New Roman" w:hAnsi="Times New Roman"/>
          <w:szCs w:val="24"/>
          <w:lang w:val="en-US"/>
        </w:rPr>
        <w:t xml:space="preserve"> that ASIC directs—by no later than the date ASIC directs in writing the audit opinion to be lodged. </w:t>
      </w:r>
    </w:p>
    <w:p w14:paraId="63AA4C7E"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t>(11)</w:t>
      </w:r>
      <w:r w:rsidRPr="00351010">
        <w:rPr>
          <w:rFonts w:ascii="Times New Roman" w:hAnsi="Times New Roman"/>
        </w:rPr>
        <w:tab/>
        <w:t xml:space="preserve">In this section: </w:t>
      </w:r>
    </w:p>
    <w:p w14:paraId="17456507"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bCs/>
          <w:i/>
          <w:szCs w:val="24"/>
          <w:lang w:val="en-US"/>
        </w:rPr>
        <w:t>adequately secured</w:t>
      </w:r>
      <w:r w:rsidRPr="00351010">
        <w:rPr>
          <w:rFonts w:ascii="Times New Roman" w:hAnsi="Times New Roman"/>
          <w:szCs w:val="24"/>
          <w:lang w:val="en-US"/>
        </w:rPr>
        <w:t xml:space="preserve"> means, in relation to a financial services licensee:</w:t>
      </w:r>
    </w:p>
    <w:p w14:paraId="5C417C8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secured by an enforceable security interest over a financial product (other than a financial product issued by the licensee or its associates) if:</w:t>
      </w:r>
    </w:p>
    <w:p w14:paraId="57544A9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financial product is:</w:t>
      </w:r>
    </w:p>
    <w:p w14:paraId="57BDADF6"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regularly traded on:</w:t>
      </w:r>
    </w:p>
    <w:p w14:paraId="22C797ED" w14:textId="77777777" w:rsidR="00AD4FDC" w:rsidRPr="00351010" w:rsidRDefault="00AD4FDC" w:rsidP="00AD4FDC">
      <w:pPr>
        <w:spacing w:before="60" w:after="60"/>
        <w:ind w:left="2694" w:hanging="567"/>
        <w:rPr>
          <w:rFonts w:ascii="Times New Roman" w:hAnsi="Times New Roman"/>
          <w:szCs w:val="24"/>
          <w:lang w:val="en-US"/>
        </w:rPr>
      </w:pPr>
      <w:r w:rsidRPr="00351010">
        <w:rPr>
          <w:rFonts w:ascii="Times New Roman" w:hAnsi="Times New Roman"/>
          <w:szCs w:val="24"/>
          <w:lang w:val="en-US"/>
        </w:rPr>
        <w:t>(I)</w:t>
      </w:r>
      <w:r w:rsidRPr="00351010">
        <w:rPr>
          <w:rFonts w:ascii="Times New Roman" w:hAnsi="Times New Roman"/>
          <w:szCs w:val="24"/>
          <w:lang w:val="en-US"/>
        </w:rPr>
        <w:tab/>
      </w:r>
      <w:r w:rsidRPr="00351010">
        <w:rPr>
          <w:rFonts w:ascii="Times New Roman" w:hAnsi="Times New Roman"/>
          <w:szCs w:val="24"/>
          <w:lang w:val="en-US"/>
        </w:rPr>
        <w:tab/>
        <w:t xml:space="preserve">a financial market (as defined in subsection 767A(1) and disregarding subsection 767A(2)) operated by a market licensee or a financial services licensee other than the licensee or its associates that, in the reasonable opinion of the licensee, produces sufficiently </w:t>
      </w:r>
      <w:r w:rsidRPr="00351010">
        <w:rPr>
          <w:rFonts w:ascii="Times New Roman" w:hAnsi="Times New Roman"/>
          <w:szCs w:val="24"/>
          <w:lang w:val="en-US"/>
        </w:rPr>
        <w:lastRenderedPageBreak/>
        <w:t xml:space="preserve">reliable prices to assess the value of the security provided by the security interest; or </w:t>
      </w:r>
    </w:p>
    <w:p w14:paraId="5E1C259B" w14:textId="77777777" w:rsidR="00AD4FDC" w:rsidRPr="00351010" w:rsidRDefault="00AD4FDC" w:rsidP="00AD4FDC">
      <w:pPr>
        <w:spacing w:before="60" w:after="60"/>
        <w:ind w:left="2694" w:hanging="567"/>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an approved foreign market; or </w:t>
      </w:r>
    </w:p>
    <w:p w14:paraId="78DB8239"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an interest in a registered scheme for which withdrawal prices are regularly quoted by the responsible entity of the scheme and the licensee believes on reasonable grounds that withdrawal may be </w:t>
      </w:r>
      <w:proofErr w:type="gramStart"/>
      <w:r w:rsidRPr="00351010">
        <w:rPr>
          <w:rFonts w:ascii="Times New Roman" w:hAnsi="Times New Roman"/>
          <w:szCs w:val="24"/>
          <w:lang w:val="en-US"/>
        </w:rPr>
        <w:t>effected</w:t>
      </w:r>
      <w:proofErr w:type="gramEnd"/>
      <w:r w:rsidRPr="00351010">
        <w:rPr>
          <w:rFonts w:ascii="Times New Roman" w:hAnsi="Times New Roman"/>
          <w:szCs w:val="24"/>
          <w:lang w:val="en-US"/>
        </w:rPr>
        <w:t xml:space="preserve"> within 5 business days; and</w:t>
      </w:r>
    </w:p>
    <w:p w14:paraId="181FB986"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the market value of the financial product is:</w:t>
      </w:r>
    </w:p>
    <w:p w14:paraId="141D040D"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if the financial product is a debt instrument—at least 109% of the amount owing; or</w:t>
      </w:r>
    </w:p>
    <w:p w14:paraId="38312D4E"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otherwise—at least 120% of the amount owing; or</w:t>
      </w:r>
    </w:p>
    <w:p w14:paraId="51A3E738"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secured by a registered first mortgage over real estate that has a fair market valuation of at least 120% of the amount owing; or</w:t>
      </w:r>
    </w:p>
    <w:p w14:paraId="17EA400A"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owing from an eligible provider; or</w:t>
      </w:r>
    </w:p>
    <w:p w14:paraId="10A77A4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secured by an enforceable security interest over amounts owing to another financial services licensee which themselves are adequately secured.</w:t>
      </w:r>
    </w:p>
    <w:p w14:paraId="040BBE6F"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bCs/>
          <w:i/>
          <w:szCs w:val="24"/>
          <w:lang w:val="en-US"/>
        </w:rPr>
        <w:t>adjusted assets</w:t>
      </w:r>
      <w:r w:rsidRPr="00351010">
        <w:rPr>
          <w:rFonts w:ascii="Times New Roman" w:hAnsi="Times New Roman"/>
          <w:szCs w:val="24"/>
          <w:lang w:val="en-US"/>
        </w:rPr>
        <w:t xml:space="preserve"> means, in relation to a financial services licensee, the value of total assets as they would appear on a balance sheet at the time of calculation made up for </w:t>
      </w:r>
      <w:proofErr w:type="spellStart"/>
      <w:r w:rsidRPr="00351010">
        <w:rPr>
          <w:rFonts w:ascii="Times New Roman" w:hAnsi="Times New Roman"/>
          <w:szCs w:val="24"/>
          <w:lang w:val="en-US"/>
        </w:rPr>
        <w:t>lodgement</w:t>
      </w:r>
      <w:proofErr w:type="spellEnd"/>
      <w:r w:rsidRPr="00351010">
        <w:rPr>
          <w:rFonts w:ascii="Times New Roman" w:hAnsi="Times New Roman"/>
          <w:szCs w:val="24"/>
          <w:lang w:val="en-US"/>
        </w:rPr>
        <w:t xml:space="preserve"> as part of a financial report under Chapter 2M if the licensee were a reporting entity:</w:t>
      </w:r>
    </w:p>
    <w:p w14:paraId="51954F5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minus the value of excluded assets that would be included in the calculation; and</w:t>
      </w:r>
    </w:p>
    <w:p w14:paraId="68126E9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minus the value of any receivable that would be included in the calculation, up to the amount that the licensee has excluded from adjusted liabilities on the basis that there is an enforceable right of set-off with that receivable; and</w:t>
      </w:r>
    </w:p>
    <w:p w14:paraId="262A4FF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minus the value of any assets that would be included in the calculation that are encumbered as a security against liability to a person that provides a security bond to ASIC up to the amount of the bond; and</w:t>
      </w:r>
    </w:p>
    <w:p w14:paraId="404B2CF2"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minus the value of any assets that would be included in the calculation that may be required to be applied to satisfy a liability under a credit facility that is made without recourse to the licensee up to the amount of that liability excluded from adjusted liabilities; and</w:t>
      </w:r>
    </w:p>
    <w:p w14:paraId="1F0814C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(e)</w:t>
      </w:r>
      <w:r w:rsidRPr="00351010">
        <w:rPr>
          <w:rFonts w:ascii="Times New Roman" w:hAnsi="Times New Roman"/>
          <w:szCs w:val="24"/>
          <w:lang w:val="en-US"/>
        </w:rPr>
        <w:tab/>
      </w:r>
      <w:proofErr w:type="gramStart"/>
      <w:r w:rsidRPr="00351010">
        <w:rPr>
          <w:rFonts w:ascii="Times New Roman" w:hAnsi="Times New Roman"/>
          <w:szCs w:val="24"/>
          <w:lang w:val="en-US"/>
        </w:rPr>
        <w:t>plus</w:t>
      </w:r>
      <w:proofErr w:type="gramEnd"/>
      <w:r w:rsidRPr="00351010">
        <w:rPr>
          <w:rFonts w:ascii="Times New Roman" w:hAnsi="Times New Roman"/>
          <w:szCs w:val="24"/>
          <w:lang w:val="en-US"/>
        </w:rPr>
        <w:t xml:space="preserve"> the amount of any eligible undertaking that is not an asset. </w:t>
      </w:r>
    </w:p>
    <w:p w14:paraId="14131B53"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bCs/>
          <w:i/>
          <w:szCs w:val="24"/>
          <w:lang w:val="en-US"/>
        </w:rPr>
        <w:t>adjusted liabilities</w:t>
      </w:r>
      <w:r w:rsidRPr="00351010">
        <w:rPr>
          <w:rFonts w:ascii="Times New Roman" w:hAnsi="Times New Roman"/>
          <w:szCs w:val="24"/>
          <w:lang w:val="en-US"/>
        </w:rPr>
        <w:t xml:space="preserve"> means, in relation to a financial services licensee, the amount of total liabilities as they would appear on a balance sheet at the time of calculation made up for </w:t>
      </w:r>
      <w:proofErr w:type="spellStart"/>
      <w:r w:rsidRPr="00351010">
        <w:rPr>
          <w:rFonts w:ascii="Times New Roman" w:hAnsi="Times New Roman"/>
          <w:szCs w:val="24"/>
          <w:lang w:val="en-US"/>
        </w:rPr>
        <w:t>lodgement</w:t>
      </w:r>
      <w:proofErr w:type="spellEnd"/>
      <w:r w:rsidRPr="00351010">
        <w:rPr>
          <w:rFonts w:ascii="Times New Roman" w:hAnsi="Times New Roman"/>
          <w:szCs w:val="24"/>
          <w:lang w:val="en-US"/>
        </w:rPr>
        <w:t xml:space="preserve"> as part of a financial report under Chapter 2M if the licensee were a reporting entity:</w:t>
      </w:r>
    </w:p>
    <w:p w14:paraId="3C0BF5A0"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minus the amount of any liability under any subordinated debt approved </w:t>
      </w:r>
      <w:proofErr w:type="gramStart"/>
      <w:r w:rsidRPr="00351010">
        <w:rPr>
          <w:rFonts w:ascii="Times New Roman" w:hAnsi="Times New Roman"/>
          <w:szCs w:val="24"/>
          <w:lang w:val="en-US"/>
        </w:rPr>
        <w:t>by  ASIC</w:t>
      </w:r>
      <w:proofErr w:type="gramEnd"/>
      <w:r w:rsidRPr="00351010">
        <w:rPr>
          <w:rFonts w:ascii="Times New Roman" w:hAnsi="Times New Roman"/>
          <w:szCs w:val="24"/>
          <w:lang w:val="en-US"/>
        </w:rPr>
        <w:t xml:space="preserve"> in writing; and </w:t>
      </w:r>
    </w:p>
    <w:p w14:paraId="31DAD6FD"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lastRenderedPageBreak/>
        <w:t>(b)</w:t>
      </w:r>
      <w:r w:rsidRPr="00351010">
        <w:rPr>
          <w:rFonts w:ascii="Times New Roman" w:hAnsi="Times New Roman"/>
          <w:szCs w:val="24"/>
          <w:lang w:val="en-US"/>
        </w:rPr>
        <w:tab/>
        <w:t>minus the amount of any liability that is the subject of an enforceable right of set-off, if the corresponding receivable is excluded from adjusted assets; and</w:t>
      </w:r>
    </w:p>
    <w:p w14:paraId="337675E9"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minus the amount of any liability under a credit facility that is made without recourse to the licensee; and</w:t>
      </w:r>
    </w:p>
    <w:p w14:paraId="629648DB"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plus the value of any assets that are encumbered (other than assets that are encumbered merely to support a guarantee provided by the licensee) as a security against another person’s liability where the licensee is not otherwise liable, but only up to the lower of: </w:t>
      </w:r>
    </w:p>
    <w:p w14:paraId="3A75D1E6"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the amount of that other person’s liability; or </w:t>
      </w:r>
    </w:p>
    <w:p w14:paraId="5502445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the value of the assets encumbered; and</w:t>
      </w:r>
    </w:p>
    <w:p w14:paraId="5303902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(e)</w:t>
      </w:r>
      <w:r w:rsidRPr="00351010">
        <w:rPr>
          <w:rFonts w:ascii="Times New Roman" w:hAnsi="Times New Roman"/>
          <w:szCs w:val="24"/>
          <w:lang w:val="en-US"/>
        </w:rPr>
        <w:tab/>
      </w:r>
      <w:proofErr w:type="gramStart"/>
      <w:r w:rsidRPr="00351010">
        <w:rPr>
          <w:rFonts w:ascii="Times New Roman" w:hAnsi="Times New Roman"/>
          <w:szCs w:val="24"/>
          <w:lang w:val="en-US"/>
        </w:rPr>
        <w:t>plus</w:t>
      </w:r>
      <w:proofErr w:type="gramEnd"/>
      <w:r w:rsidRPr="00351010">
        <w:rPr>
          <w:rFonts w:ascii="Times New Roman" w:hAnsi="Times New Roman"/>
          <w:szCs w:val="24"/>
          <w:lang w:val="en-US"/>
        </w:rPr>
        <w:t xml:space="preserve"> the maximum potential liability of any guarantee provided by the licensee other than: </w:t>
      </w:r>
    </w:p>
    <w:p w14:paraId="4ABDC88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a guarantee limited to an amount recoverable out of any scheme property (and in the case of a scheme which is not registered, out of any contributions, money, property or income that would be scheme property if the scheme were registered) of a managed investment scheme operated by the licensee; or </w:t>
      </w:r>
    </w:p>
    <w:p w14:paraId="6DC31B9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 guarantee of the obligations of another member of a stapled group, except where the licensee is the responsible entity of a registered scheme that is not part of the stapled group.</w:t>
      </w:r>
    </w:p>
    <w:p w14:paraId="7106584E"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 xml:space="preserve">amount </w:t>
      </w:r>
      <w:r w:rsidRPr="00351010">
        <w:rPr>
          <w:rFonts w:ascii="Times New Roman" w:hAnsi="Times New Roman"/>
          <w:szCs w:val="24"/>
          <w:lang w:val="en-US"/>
        </w:rPr>
        <w:t>of an eligible undertaking means the amount that remains payable in accordance with the undertaking at the relevant time despite any amount previously paid under the undertaking less any amount that would be repayable as a liability by the licensee if money were paid.</w:t>
      </w:r>
    </w:p>
    <w:p w14:paraId="1B768A45" w14:textId="77777777" w:rsidR="00740D5E" w:rsidRPr="00351010" w:rsidRDefault="00740D5E" w:rsidP="00740D5E">
      <w:pPr>
        <w:ind w:firstLine="851"/>
        <w:rPr>
          <w:rFonts w:ascii="Times New Roman" w:hAnsi="Times New Roman"/>
        </w:rPr>
      </w:pPr>
      <w:r w:rsidRPr="00351010">
        <w:rPr>
          <w:rFonts w:ascii="Times New Roman" w:hAnsi="Times New Roman"/>
          <w:b/>
          <w:i/>
        </w:rPr>
        <w:t>approved foreign market</w:t>
      </w:r>
      <w:r w:rsidRPr="00351010">
        <w:rPr>
          <w:rFonts w:ascii="Times New Roman" w:hAnsi="Times New Roman"/>
        </w:rPr>
        <w:t xml:space="preserve"> has the meaning given by section 9.</w:t>
      </w:r>
    </w:p>
    <w:p w14:paraId="2DA33C21" w14:textId="77777777" w:rsidR="00740D5E" w:rsidRPr="00351010" w:rsidRDefault="00740D5E" w:rsidP="00740D5E">
      <w:pPr>
        <w:ind w:left="1418" w:hanging="567"/>
        <w:rPr>
          <w:rFonts w:ascii="Times New Roman" w:hAnsi="Times New Roman"/>
          <w:sz w:val="20"/>
        </w:rPr>
      </w:pPr>
      <w:r w:rsidRPr="00351010">
        <w:rPr>
          <w:rFonts w:ascii="Times New Roman" w:hAnsi="Times New Roman"/>
          <w:sz w:val="20"/>
        </w:rPr>
        <w:t>Note:</w:t>
      </w:r>
      <w:r w:rsidRPr="00351010">
        <w:rPr>
          <w:rFonts w:ascii="Times New Roman" w:hAnsi="Times New Roman"/>
          <w:sz w:val="20"/>
        </w:rPr>
        <w:tab/>
        <w:t xml:space="preserve">The definition of </w:t>
      </w:r>
      <w:r w:rsidRPr="00351010">
        <w:rPr>
          <w:rFonts w:ascii="Times New Roman" w:hAnsi="Times New Roman"/>
          <w:b/>
          <w:sz w:val="20"/>
        </w:rPr>
        <w:t>approved foreign market</w:t>
      </w:r>
      <w:r w:rsidRPr="00351010">
        <w:rPr>
          <w:rFonts w:ascii="Times New Roman" w:hAnsi="Times New Roman"/>
          <w:sz w:val="20"/>
        </w:rPr>
        <w:t xml:space="preserve"> is notionally inserted by </w:t>
      </w:r>
      <w:r w:rsidRPr="00351010">
        <w:rPr>
          <w:rFonts w:ascii="Times New Roman" w:hAnsi="Times New Roman"/>
          <w:i/>
          <w:sz w:val="20"/>
        </w:rPr>
        <w:t>ASIC Corporations (Definition of Approved Foreign Market) Instrument 2017/669</w:t>
      </w:r>
      <w:r w:rsidRPr="00351010">
        <w:rPr>
          <w:rFonts w:ascii="Times New Roman" w:hAnsi="Times New Roman"/>
          <w:sz w:val="20"/>
        </w:rPr>
        <w:t>.</w:t>
      </w:r>
    </w:p>
    <w:p w14:paraId="6A468744" w14:textId="77777777" w:rsidR="00AD4FDC" w:rsidRPr="00351010" w:rsidRDefault="00AD4FDC" w:rsidP="00AD4FDC">
      <w:pPr>
        <w:widowControl w:val="0"/>
        <w:spacing w:before="120" w:after="120"/>
        <w:ind w:left="1276" w:hanging="425"/>
        <w:rPr>
          <w:rFonts w:ascii="Times New Roman" w:hAnsi="Times New Roman"/>
          <w:bCs/>
          <w:szCs w:val="24"/>
          <w:lang w:val="en-US"/>
        </w:rPr>
      </w:pPr>
      <w:r w:rsidRPr="00351010">
        <w:rPr>
          <w:rFonts w:ascii="Times New Roman" w:hAnsi="Times New Roman"/>
          <w:b/>
          <w:bCs/>
          <w:i/>
          <w:szCs w:val="24"/>
          <w:lang w:val="en-US"/>
        </w:rPr>
        <w:t>average RE and IDPS revenue</w:t>
      </w:r>
      <w:r w:rsidRPr="00351010">
        <w:rPr>
          <w:rFonts w:ascii="Times New Roman" w:hAnsi="Times New Roman"/>
          <w:b/>
          <w:bCs/>
          <w:szCs w:val="24"/>
          <w:lang w:val="en-US"/>
        </w:rPr>
        <w:t xml:space="preserve"> </w:t>
      </w:r>
      <w:r w:rsidRPr="00351010">
        <w:rPr>
          <w:rFonts w:ascii="Times New Roman" w:hAnsi="Times New Roman"/>
          <w:bCs/>
          <w:szCs w:val="24"/>
          <w:lang w:val="en-US"/>
        </w:rPr>
        <w:t>means:</w:t>
      </w:r>
    </w:p>
    <w:p w14:paraId="2EC02E4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for a financial services licensee in its first financial year, the licensee’s forecast of its RE and IDPS revenue from the calculation date for the remainder of the first financial year pro-rated to a </w:t>
      </w:r>
      <w:proofErr w:type="gramStart"/>
      <w:r w:rsidRPr="00351010">
        <w:rPr>
          <w:rFonts w:ascii="Times New Roman" w:hAnsi="Times New Roman"/>
          <w:szCs w:val="24"/>
          <w:lang w:val="en-US"/>
        </w:rPr>
        <w:t>12 month</w:t>
      </w:r>
      <w:proofErr w:type="gramEnd"/>
      <w:r w:rsidRPr="00351010">
        <w:rPr>
          <w:rFonts w:ascii="Times New Roman" w:hAnsi="Times New Roman"/>
          <w:szCs w:val="24"/>
          <w:lang w:val="en-US"/>
        </w:rPr>
        <w:t xml:space="preserve"> period; and</w:t>
      </w:r>
    </w:p>
    <w:p w14:paraId="1DBBDC7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for a financial services licensee in its second financial year of being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operate a registered scheme as a responsible entity or an IDPS—the aggregate of the licensee’s:</w:t>
      </w:r>
    </w:p>
    <w:p w14:paraId="4B0695EE"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estimate of its RE and IDPS revenue for the second financial year to date; and</w:t>
      </w:r>
      <w:r w:rsidRPr="00351010" w:rsidDel="00D96702">
        <w:rPr>
          <w:rFonts w:ascii="Times New Roman" w:hAnsi="Times New Roman"/>
          <w:szCs w:val="24"/>
          <w:lang w:val="en-US"/>
        </w:rPr>
        <w:t xml:space="preserve"> </w:t>
      </w:r>
    </w:p>
    <w:p w14:paraId="56B2A23A"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forecast of its RE and IDPS revenue for the remainder of the second financial year; and</w:t>
      </w:r>
      <w:r w:rsidRPr="00351010" w:rsidDel="00D96702">
        <w:rPr>
          <w:rFonts w:ascii="Times New Roman" w:hAnsi="Times New Roman"/>
          <w:szCs w:val="24"/>
          <w:lang w:val="en-US"/>
        </w:rPr>
        <w:t xml:space="preserve"> </w:t>
      </w:r>
    </w:p>
    <w:p w14:paraId="1E0671F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for a financial services licensee in its third financial year of being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operate a registered scheme as a responsible entity or an IDPS</w:t>
      </w:r>
      <w:r w:rsidRPr="00351010">
        <w:rPr>
          <w:rFonts w:ascii="Times New Roman" w:hAnsi="Times New Roman"/>
          <w:b/>
          <w:szCs w:val="24"/>
          <w:lang w:val="en-US"/>
        </w:rPr>
        <w:t>—</w:t>
      </w:r>
      <w:r w:rsidRPr="00351010">
        <w:rPr>
          <w:rFonts w:ascii="Times New Roman" w:hAnsi="Times New Roman"/>
          <w:szCs w:val="24"/>
          <w:lang w:val="en-US"/>
        </w:rPr>
        <w:t xml:space="preserve">the average of: </w:t>
      </w:r>
    </w:p>
    <w:p w14:paraId="784E39D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aggregate of the licensee's:</w:t>
      </w:r>
    </w:p>
    <w:p w14:paraId="6C0CC5CA"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lastRenderedPageBreak/>
        <w:t>(A)</w:t>
      </w:r>
      <w:r w:rsidRPr="00351010">
        <w:rPr>
          <w:rFonts w:ascii="Times New Roman" w:hAnsi="Times New Roman"/>
          <w:szCs w:val="24"/>
          <w:lang w:val="en-US"/>
        </w:rPr>
        <w:tab/>
        <w:t>estimate of its RE and IDPS revenue for the third financial year to date; and</w:t>
      </w:r>
    </w:p>
    <w:p w14:paraId="410CBF82"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forecast of its RE and IDPS revenue for the remainder of the third financial year; and</w:t>
      </w:r>
    </w:p>
    <w:p w14:paraId="211BB213"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the licensee's RE and IDPS revenue for its second financial year; and</w:t>
      </w:r>
    </w:p>
    <w:p w14:paraId="3E8B4032"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for all subsequent financial years of a financial services licensee</w:t>
      </w:r>
      <w:r w:rsidRPr="00351010">
        <w:rPr>
          <w:rFonts w:ascii="Times New Roman" w:hAnsi="Times New Roman"/>
          <w:b/>
          <w:szCs w:val="24"/>
          <w:lang w:val="en-US"/>
        </w:rPr>
        <w:t>—</w:t>
      </w:r>
      <w:r w:rsidRPr="00351010">
        <w:rPr>
          <w:rFonts w:ascii="Times New Roman" w:hAnsi="Times New Roman"/>
          <w:szCs w:val="24"/>
          <w:lang w:val="en-US"/>
        </w:rPr>
        <w:t>the average of:</w:t>
      </w:r>
    </w:p>
    <w:p w14:paraId="7F2A87F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aggregate of the licensee's:</w:t>
      </w:r>
    </w:p>
    <w:p w14:paraId="1DAF0BB7"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estimate of its RE and IDPS revenue for the current financial year to date; and</w:t>
      </w:r>
    </w:p>
    <w:p w14:paraId="5F611E0E"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forecast of its RE and IDPS revenue for the remainder of the current financial year; and</w:t>
      </w:r>
    </w:p>
    <w:p w14:paraId="2BCAF03B"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the licensee's RE and IDPS revenue for the last preceding financial year; and </w:t>
      </w:r>
    </w:p>
    <w:p w14:paraId="236EC58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the licensee's RE and IDPS revenue for the second preceding financial year.</w:t>
      </w:r>
    </w:p>
    <w:p w14:paraId="6B9D7BF3"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 xml:space="preserve">average value of scheme and IDPS property </w:t>
      </w:r>
      <w:r w:rsidRPr="00351010">
        <w:rPr>
          <w:rFonts w:ascii="Times New Roman" w:hAnsi="Times New Roman"/>
          <w:szCs w:val="24"/>
          <w:lang w:val="en-US"/>
        </w:rPr>
        <w:t>means, in relation to registered schemes and IDPSs operated by a financial services licensee, the greater of:</w:t>
      </w:r>
    </w:p>
    <w:p w14:paraId="13A90F4B"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the current value of scheme and IDPS property; and </w:t>
      </w:r>
    </w:p>
    <w:p w14:paraId="57BC6704"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the value of scheme and IDPS property in the following circumstances: </w:t>
      </w:r>
    </w:p>
    <w:p w14:paraId="71C8FC30" w14:textId="77777777" w:rsidR="00AD4FDC" w:rsidRPr="00351010" w:rsidRDefault="00AD4FDC" w:rsidP="00AD4FDC">
      <w:pPr>
        <w:spacing w:before="60" w:after="60"/>
        <w:ind w:left="1843"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for a licensee in its first financial year—the average of: </w:t>
      </w:r>
    </w:p>
    <w:p w14:paraId="467FA151" w14:textId="77777777" w:rsidR="00AD4FDC" w:rsidRPr="00351010" w:rsidRDefault="00AD4FDC" w:rsidP="00AD4FDC">
      <w:pPr>
        <w:spacing w:before="60" w:after="60"/>
        <w:ind w:left="2268"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the value of scheme and IDPS property at the end of each calendar month since the calculation date; and </w:t>
      </w:r>
    </w:p>
    <w:p w14:paraId="295C7F36" w14:textId="77777777" w:rsidR="00AD4FDC" w:rsidRPr="00351010" w:rsidRDefault="00AD4FDC" w:rsidP="00AD4FDC">
      <w:pPr>
        <w:spacing w:before="60" w:after="60"/>
        <w:ind w:left="2268"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the forecast value of scheme and IDPS property at the end of each calendar month for the remainder of the first financial year; and</w:t>
      </w:r>
    </w:p>
    <w:p w14:paraId="5C890BD7" w14:textId="77777777" w:rsidR="00AD4FDC" w:rsidRPr="00351010" w:rsidRDefault="00AD4FDC" w:rsidP="00AD4FDC">
      <w:pPr>
        <w:spacing w:before="60" w:after="60"/>
        <w:ind w:left="1843"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for a licensee in its second financial year of being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operate a registered scheme as a responsible entity or an IDPS—the average of: </w:t>
      </w:r>
    </w:p>
    <w:p w14:paraId="10980D0D" w14:textId="77777777" w:rsidR="00AD4FDC" w:rsidRPr="00351010" w:rsidRDefault="00AD4FDC" w:rsidP="00AD4FDC">
      <w:pPr>
        <w:spacing w:before="60" w:after="60"/>
        <w:ind w:left="2268"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the value of scheme and IDPS property at the end of each calendar month since the calculation date; and </w:t>
      </w:r>
    </w:p>
    <w:p w14:paraId="34396C50" w14:textId="77777777" w:rsidR="00AD4FDC" w:rsidRPr="00351010" w:rsidRDefault="00AD4FDC" w:rsidP="00AD4FDC">
      <w:pPr>
        <w:spacing w:before="60" w:after="60"/>
        <w:ind w:left="2268"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the forecast value of scheme and IDPS property at the end of each calendar month for the remainder of the second financial year; and</w:t>
      </w:r>
    </w:p>
    <w:p w14:paraId="19FD0292" w14:textId="77777777" w:rsidR="00AD4FDC" w:rsidRPr="00351010" w:rsidRDefault="00AD4FDC" w:rsidP="00AD4FDC">
      <w:pPr>
        <w:spacing w:before="60" w:after="60"/>
        <w:ind w:left="1843"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for all subsequent financial years of a licensee after the first 2 financial years of operation of a registered scheme as a responsible entity or an IDPS—the average of: </w:t>
      </w:r>
    </w:p>
    <w:p w14:paraId="1A5855C9" w14:textId="77777777" w:rsidR="00AD4FDC" w:rsidRPr="00351010" w:rsidRDefault="00AD4FDC" w:rsidP="00AD4FDC">
      <w:pPr>
        <w:spacing w:before="60" w:after="60"/>
        <w:ind w:left="2268"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the value of scheme and IDPS property at the end of each calendar month since the beginning of the second preceding financial year; and </w:t>
      </w:r>
    </w:p>
    <w:p w14:paraId="49DFC315" w14:textId="77777777" w:rsidR="00AD4FDC" w:rsidRPr="00351010" w:rsidRDefault="00AD4FDC" w:rsidP="00AD4FDC">
      <w:pPr>
        <w:spacing w:before="60" w:after="60"/>
        <w:ind w:left="2268"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the forecast value of scheme and IDPS property at the end of each calendar month for the remainder of the current financial year. </w:t>
      </w:r>
    </w:p>
    <w:p w14:paraId="284BC5E9"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 xml:space="preserve">calculation date </w:t>
      </w:r>
      <w:r w:rsidRPr="00351010">
        <w:rPr>
          <w:rFonts w:ascii="Times New Roman" w:hAnsi="Times New Roman"/>
          <w:szCs w:val="24"/>
          <w:lang w:val="en-US"/>
        </w:rPr>
        <w:t xml:space="preserve">means, in relation to a financial services licensee, the day on which the licensee is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operate a registered scheme or an IDPS.</w:t>
      </w:r>
    </w:p>
    <w:p w14:paraId="7DF447D8"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i/>
          <w:szCs w:val="24"/>
          <w:lang w:val="en-US"/>
        </w:rPr>
        <w:t>cash or cash equivalents</w:t>
      </w:r>
      <w:r w:rsidRPr="00351010">
        <w:rPr>
          <w:rFonts w:ascii="Times New Roman" w:hAnsi="Times New Roman"/>
          <w:szCs w:val="24"/>
          <w:lang w:val="en-US"/>
        </w:rPr>
        <w:t xml:space="preserve"> means:</w:t>
      </w:r>
    </w:p>
    <w:p w14:paraId="1F751F42"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lastRenderedPageBreak/>
        <w:t>(a)</w:t>
      </w:r>
      <w:r w:rsidRPr="00351010">
        <w:rPr>
          <w:rFonts w:ascii="Times New Roman" w:hAnsi="Times New Roman"/>
          <w:szCs w:val="24"/>
          <w:lang w:val="en-US"/>
        </w:rPr>
        <w:tab/>
        <w:t>cash on hand, demand deposits and money deposited with an Australian ADI that is available for immediate withdrawal; and</w:t>
      </w:r>
    </w:p>
    <w:p w14:paraId="6B3CEF2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short-term, highly liquid investments that are readily convertible to known amounts of cash that are subject to an insignificant risk of changes in value; and</w:t>
      </w:r>
    </w:p>
    <w:p w14:paraId="1BAEC21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the value of any eligible undertaking provided by an eligible provider; and </w:t>
      </w:r>
    </w:p>
    <w:p w14:paraId="1A59DFED"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a commitment by an eligible provider to provide cash upon request within 5 business days: </w:t>
      </w:r>
    </w:p>
    <w:p w14:paraId="04F05793"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which will not expire within the next 6 months and which cannot be withdrawn by the provider without giving at least 6 months written notice to the person to whom the commitment is made; and</w:t>
      </w:r>
    </w:p>
    <w:p w14:paraId="135C590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in relation to which any cash provided is not repayable for at least six months. </w:t>
      </w:r>
    </w:p>
    <w:p w14:paraId="58D024FA"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bCs/>
          <w:i/>
          <w:szCs w:val="24"/>
          <w:lang w:val="en-US"/>
        </w:rPr>
        <w:t>clearing participant</w:t>
      </w:r>
      <w:r w:rsidRPr="00351010">
        <w:rPr>
          <w:rFonts w:ascii="Times New Roman" w:hAnsi="Times New Roman"/>
          <w:szCs w:val="24"/>
          <w:lang w:val="en-US"/>
        </w:rPr>
        <w:t xml:space="preserve"> means a participant (as defined in section 761A in relation to a clearing and settlement facility) in the licensed CS facility operated by ASX Clear Pty Limited (</w:t>
      </w:r>
      <w:r w:rsidRPr="00351010">
        <w:rPr>
          <w:rFonts w:ascii="Times New Roman" w:hAnsi="Times New Roman"/>
          <w:b/>
          <w:i/>
          <w:szCs w:val="24"/>
          <w:lang w:val="en-US"/>
        </w:rPr>
        <w:t>ASX Clear</w:t>
      </w:r>
      <w:r w:rsidRPr="00351010">
        <w:rPr>
          <w:rFonts w:ascii="Times New Roman" w:hAnsi="Times New Roman"/>
          <w:szCs w:val="24"/>
          <w:lang w:val="en-US"/>
        </w:rPr>
        <w:t>) that is required to comply with, and complies with, the operating rules of ASX Clear that impose financial requirements, taking into account any waiver of those requirements by ASX Clear.</w:t>
      </w:r>
    </w:p>
    <w:p w14:paraId="442776F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i/>
          <w:szCs w:val="24"/>
          <w:lang w:val="en-US"/>
        </w:rPr>
        <w:t>eligible custodian</w:t>
      </w:r>
      <w:r w:rsidRPr="00351010">
        <w:rPr>
          <w:rFonts w:ascii="Times New Roman" w:hAnsi="Times New Roman"/>
          <w:i/>
          <w:szCs w:val="24"/>
          <w:lang w:val="en-US"/>
        </w:rPr>
        <w:t xml:space="preserve"> </w:t>
      </w:r>
      <w:r w:rsidRPr="00351010">
        <w:rPr>
          <w:rFonts w:ascii="Times New Roman" w:hAnsi="Times New Roman"/>
          <w:szCs w:val="24"/>
          <w:lang w:val="en-US"/>
        </w:rPr>
        <w:t>means:</w:t>
      </w:r>
    </w:p>
    <w:p w14:paraId="390AD98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an Australian ADI; or</w:t>
      </w:r>
    </w:p>
    <w:p w14:paraId="704747E2"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a market participant or a clearing participant; or </w:t>
      </w:r>
    </w:p>
    <w:p w14:paraId="799DAC5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a sub-custodian appointed by a person referred to in paragraph (a) or (b).</w:t>
      </w:r>
    </w:p>
    <w:p w14:paraId="30EAC1B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bCs/>
          <w:i/>
          <w:szCs w:val="24"/>
          <w:lang w:val="en-US"/>
        </w:rPr>
        <w:t>eligible provider</w:t>
      </w:r>
      <w:r w:rsidRPr="00351010">
        <w:rPr>
          <w:rFonts w:ascii="Times New Roman" w:hAnsi="Times New Roman"/>
          <w:szCs w:val="24"/>
          <w:lang w:val="en-US"/>
        </w:rPr>
        <w:t xml:space="preserve"> means:</w:t>
      </w:r>
    </w:p>
    <w:p w14:paraId="391606B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an Australian ADI; or</w:t>
      </w:r>
    </w:p>
    <w:p w14:paraId="1D0C324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the government of the Commonwealth or of a State or Territory government or the government of a country that is a member of the </w:t>
      </w:r>
      <w:proofErr w:type="spellStart"/>
      <w:r w:rsidRPr="00351010">
        <w:rPr>
          <w:rFonts w:ascii="Times New Roman" w:hAnsi="Times New Roman"/>
          <w:szCs w:val="24"/>
          <w:lang w:val="en-US"/>
        </w:rPr>
        <w:t>Organisation</w:t>
      </w:r>
      <w:proofErr w:type="spellEnd"/>
      <w:r w:rsidRPr="00351010">
        <w:rPr>
          <w:rFonts w:ascii="Times New Roman" w:hAnsi="Times New Roman"/>
          <w:szCs w:val="24"/>
          <w:lang w:val="en-US"/>
        </w:rPr>
        <w:t xml:space="preserve"> for Economic Co-operation and Development or an agency or instrumentality of such a government; or</w:t>
      </w:r>
    </w:p>
    <w:p w14:paraId="77F2D16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a foreign deposit-taking institution: </w:t>
      </w:r>
    </w:p>
    <w:p w14:paraId="39580195"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that is regulated by a regulator approved in writing by ASIC for this purpose; or</w:t>
      </w:r>
    </w:p>
    <w:p w14:paraId="00418E9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approved in writing by ASIC for this purpose; or</w:t>
      </w:r>
    </w:p>
    <w:p w14:paraId="6E07178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an Australian CS facility licensee within the meaning of section 761A; or</w:t>
      </w:r>
    </w:p>
    <w:p w14:paraId="211F9C59"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(e)</w:t>
      </w:r>
      <w:r w:rsidRPr="00351010">
        <w:rPr>
          <w:rFonts w:ascii="Times New Roman" w:hAnsi="Times New Roman"/>
          <w:szCs w:val="24"/>
          <w:lang w:val="en-US"/>
        </w:rPr>
        <w:tab/>
        <w:t>an entity approved by ASIC in writing for the purpose of this paragraph.</w:t>
      </w:r>
    </w:p>
    <w:p w14:paraId="54BDCAA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bCs/>
          <w:i/>
          <w:szCs w:val="24"/>
          <w:lang w:val="en-US"/>
        </w:rPr>
        <w:t>eligible undertaking</w:t>
      </w:r>
      <w:r w:rsidRPr="00351010">
        <w:rPr>
          <w:rFonts w:ascii="Times New Roman" w:hAnsi="Times New Roman"/>
          <w:szCs w:val="24"/>
          <w:lang w:val="en-US"/>
        </w:rPr>
        <w:t xml:space="preserve"> means in relation to a financial services licensee: </w:t>
      </w:r>
    </w:p>
    <w:p w14:paraId="1013B3E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an enforceable and unqualified undertaking by an eligible provider, expressed to be </w:t>
      </w:r>
      <w:r w:rsidRPr="00351010">
        <w:rPr>
          <w:rFonts w:ascii="Times New Roman" w:hAnsi="Times New Roman"/>
          <w:szCs w:val="24"/>
          <w:lang w:val="en-US"/>
        </w:rPr>
        <w:lastRenderedPageBreak/>
        <w:t>irrevocable without the written consent of ASIC, to pay, on written demand by the licensee, a certain amount (disregarding any part previously paid or any amount that would be repayable as a liability by the licensee if money were paid); or</w:t>
      </w:r>
    </w:p>
    <w:p w14:paraId="5EEA1D0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an undertaking approved in writing by ASIC as an eligible undertaking.</w:t>
      </w:r>
    </w:p>
    <w:p w14:paraId="5667990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bCs/>
          <w:i/>
          <w:szCs w:val="24"/>
          <w:lang w:val="en-US"/>
        </w:rPr>
        <w:t>excluded assets</w:t>
      </w:r>
      <w:r w:rsidRPr="00351010">
        <w:rPr>
          <w:rFonts w:ascii="Times New Roman" w:hAnsi="Times New Roman"/>
          <w:szCs w:val="24"/>
          <w:lang w:val="en-US"/>
        </w:rPr>
        <w:t xml:space="preserve"> means in relation to a financial services licensee:</w:t>
      </w:r>
    </w:p>
    <w:p w14:paraId="5F65E646"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intangible assets (excluding, for the avoidance of doubt, a deferred tax asset); and </w:t>
      </w:r>
    </w:p>
    <w:p w14:paraId="633FF1A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 xml:space="preserve">(b) </w:t>
      </w:r>
      <w:r w:rsidRPr="00351010">
        <w:rPr>
          <w:rFonts w:ascii="Times New Roman" w:hAnsi="Times New Roman"/>
          <w:szCs w:val="24"/>
          <w:lang w:val="en-US"/>
        </w:rPr>
        <w:tab/>
        <w:t>receivables from, or assets invested in, any person who:</w:t>
      </w:r>
    </w:p>
    <w:p w14:paraId="2725A46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is an associate of the licensee; or</w:t>
      </w:r>
    </w:p>
    <w:p w14:paraId="6A20C102"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 xml:space="preserve">(ii) </w:t>
      </w:r>
      <w:r w:rsidRPr="00351010">
        <w:rPr>
          <w:rFonts w:ascii="Times New Roman" w:hAnsi="Times New Roman"/>
          <w:szCs w:val="24"/>
          <w:lang w:val="en-US"/>
        </w:rPr>
        <w:tab/>
        <w:t xml:space="preserve">was an associate of the licensee at the time the liability was </w:t>
      </w:r>
      <w:proofErr w:type="gramStart"/>
      <w:r w:rsidRPr="00351010">
        <w:rPr>
          <w:rFonts w:ascii="Times New Roman" w:hAnsi="Times New Roman"/>
          <w:szCs w:val="24"/>
          <w:lang w:val="en-US"/>
        </w:rPr>
        <w:t>incurred</w:t>
      </w:r>
      <w:proofErr w:type="gramEnd"/>
      <w:r w:rsidRPr="00351010">
        <w:rPr>
          <w:rFonts w:ascii="Times New Roman" w:hAnsi="Times New Roman"/>
          <w:szCs w:val="24"/>
          <w:lang w:val="en-US"/>
        </w:rPr>
        <w:t xml:space="preserve"> or the investment was made; or</w:t>
      </w:r>
    </w:p>
    <w:p w14:paraId="05994F68"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became liable to the licensee in connection with the acquisition of interests in a managed investment scheme operated by the licensee; and</w:t>
      </w:r>
    </w:p>
    <w:p w14:paraId="65880EEA"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assets:</w:t>
      </w:r>
    </w:p>
    <w:p w14:paraId="2FB10173"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held as a beneficial interest or an interest in a managed investment scheme; or </w:t>
      </w:r>
    </w:p>
    <w:p w14:paraId="34915578"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invested in a superannuation product in respect of which the licensee or an associate may exercise any form of power or control; and</w:t>
      </w:r>
    </w:p>
    <w:p w14:paraId="4688BB6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receivables from a trustee of a trust in respect of which the licensee or an associate may exercise any form of power or control; </w:t>
      </w:r>
    </w:p>
    <w:p w14:paraId="06894977"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 xml:space="preserve">but, despite anything in the paragraphs above, does not include the following: </w:t>
      </w:r>
    </w:p>
    <w:p w14:paraId="5BD409C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(e)</w:t>
      </w:r>
      <w:r w:rsidRPr="00351010">
        <w:rPr>
          <w:rFonts w:ascii="Times New Roman" w:hAnsi="Times New Roman"/>
          <w:szCs w:val="24"/>
          <w:lang w:val="en-US"/>
        </w:rPr>
        <w:tab/>
        <w:t>a receivable mentioned in paragraph (b) or (d):</w:t>
      </w:r>
    </w:p>
    <w:p w14:paraId="70893126"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to the extent that it is adequately secured; or</w:t>
      </w:r>
    </w:p>
    <w:p w14:paraId="5A2F6EAC"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to which </w:t>
      </w:r>
      <w:proofErr w:type="gramStart"/>
      <w:r w:rsidRPr="00351010">
        <w:rPr>
          <w:rFonts w:ascii="Times New Roman" w:hAnsi="Times New Roman"/>
          <w:szCs w:val="24"/>
          <w:lang w:val="en-US"/>
        </w:rPr>
        <w:t>all of</w:t>
      </w:r>
      <w:proofErr w:type="gramEnd"/>
      <w:r w:rsidRPr="00351010">
        <w:rPr>
          <w:rFonts w:ascii="Times New Roman" w:hAnsi="Times New Roman"/>
          <w:szCs w:val="24"/>
          <w:lang w:val="en-US"/>
        </w:rPr>
        <w:t xml:space="preserve"> the following apply:</w:t>
      </w:r>
    </w:p>
    <w:p w14:paraId="68B59DAA"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it is receivable as a result of a transaction entered into by the licensee in the ordinary course of its business on its standard commercial terms applicable to persons that are not associated with the licensee on an arm’s length basis; </w:t>
      </w:r>
    </w:p>
    <w:p w14:paraId="1A6E7327"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no part of the consideration in relation to the transaction is, in substance, directly or indirectly invested in the licensee; </w:t>
      </w:r>
    </w:p>
    <w:p w14:paraId="1A446454"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the value of the receivable (before any discount is applied) is not more than 20% of the assets less liabilities of the licensee; or</w:t>
      </w:r>
    </w:p>
    <w:p w14:paraId="4CC9B718"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to which </w:t>
      </w:r>
      <w:proofErr w:type="gramStart"/>
      <w:r w:rsidRPr="00351010">
        <w:rPr>
          <w:rFonts w:ascii="Times New Roman" w:hAnsi="Times New Roman"/>
          <w:szCs w:val="24"/>
          <w:lang w:val="en-US"/>
        </w:rPr>
        <w:t>all of</w:t>
      </w:r>
      <w:proofErr w:type="gramEnd"/>
      <w:r w:rsidRPr="00351010">
        <w:rPr>
          <w:rFonts w:ascii="Times New Roman" w:hAnsi="Times New Roman"/>
          <w:szCs w:val="24"/>
          <w:lang w:val="en-US"/>
        </w:rPr>
        <w:t xml:space="preserve"> the following apply:</w:t>
      </w:r>
    </w:p>
    <w:p w14:paraId="7181DF9E"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it is receivable from an insurance company that is a body regulated by APRA and results from a transaction entered into by the licensee in the ordinary course of its business on its standard commercial terms applicable to persons that are not associated with the licensee on an arm’s length basis; </w:t>
      </w:r>
    </w:p>
    <w:p w14:paraId="1E6CB0AE"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lastRenderedPageBreak/>
        <w:t>(B)</w:t>
      </w:r>
      <w:r w:rsidRPr="00351010">
        <w:rPr>
          <w:rFonts w:ascii="Times New Roman" w:hAnsi="Times New Roman"/>
          <w:szCs w:val="24"/>
          <w:lang w:val="en-US"/>
        </w:rPr>
        <w:tab/>
        <w:t xml:space="preserve">the licensee has no reason to believe that any amount invested in the licensee would not have been invested if the transaction that caused the receivable had not taken place or were not at the time of the investment expected to take place; </w:t>
      </w:r>
    </w:p>
    <w:p w14:paraId="4AC2B57D"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the licensee has no reason to believe that the recoverability of the receivable will materially depend on the value of an investment by any person in the licensee; </w:t>
      </w:r>
    </w:p>
    <w:p w14:paraId="2AB951AE"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the total value of the receivables under this subparagraph is not more than 60% of the adjusted liabilities of the licensee disregarding this subparagraph; or </w:t>
      </w:r>
    </w:p>
    <w:p w14:paraId="227F4ED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 xml:space="preserve">to which ASIC has given its consent in writing to the licensee treating the receivable as not being an excluded asset; or </w:t>
      </w:r>
    </w:p>
    <w:p w14:paraId="08FF49CC"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w:t>
      </w:r>
      <w:r w:rsidRPr="00351010">
        <w:rPr>
          <w:rFonts w:ascii="Times New Roman" w:hAnsi="Times New Roman"/>
          <w:szCs w:val="24"/>
          <w:lang w:val="en-US"/>
        </w:rPr>
        <w:tab/>
        <w:t xml:space="preserve">to the extent that it is owing by way of fees from, or under rights of reimbursement for expenditure by the licensee out of property of or in relation to: </w:t>
      </w:r>
    </w:p>
    <w:p w14:paraId="44BECE7B"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a superannuation entity; </w:t>
      </w:r>
    </w:p>
    <w:p w14:paraId="67042770"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an IDPS; </w:t>
      </w:r>
    </w:p>
    <w:p w14:paraId="2569DCF7"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a registered scheme,</w:t>
      </w:r>
    </w:p>
    <w:p w14:paraId="694EAB12" w14:textId="77777777" w:rsidR="00AD4FDC" w:rsidRPr="00351010" w:rsidRDefault="00AD4FDC" w:rsidP="00AD4FDC">
      <w:pPr>
        <w:spacing w:before="60" w:after="60"/>
        <w:ind w:left="3555" w:hanging="1854"/>
        <w:rPr>
          <w:rFonts w:ascii="Times New Roman" w:hAnsi="Times New Roman"/>
          <w:szCs w:val="24"/>
          <w:lang w:val="en-US"/>
        </w:rPr>
      </w:pPr>
      <w:r w:rsidRPr="00351010">
        <w:rPr>
          <w:rFonts w:ascii="Times New Roman" w:hAnsi="Times New Roman"/>
          <w:szCs w:val="24"/>
          <w:lang w:val="en-US"/>
        </w:rPr>
        <w:t>to the extent that the receivable:</w:t>
      </w:r>
    </w:p>
    <w:p w14:paraId="0A05CC5A"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exceeds amounts invested by the entity, IDPS or scheme in, or lent (other than by way of a deposit with an Australian ADI in the ordinary course of its banking business) directly or indirectly by the entity, IDPS or scheme to: </w:t>
      </w:r>
    </w:p>
    <w:p w14:paraId="1B7D4102" w14:textId="77777777" w:rsidR="00AD4FDC" w:rsidRPr="00351010" w:rsidRDefault="00AD4FDC" w:rsidP="00AD4FDC">
      <w:pPr>
        <w:spacing w:before="60" w:after="60"/>
        <w:ind w:left="2835" w:hanging="567"/>
        <w:rPr>
          <w:rFonts w:ascii="Times New Roman" w:hAnsi="Times New Roman"/>
          <w:szCs w:val="24"/>
          <w:lang w:val="en-US"/>
        </w:rPr>
      </w:pPr>
      <w:r w:rsidRPr="00351010">
        <w:rPr>
          <w:rFonts w:ascii="Times New Roman" w:hAnsi="Times New Roman"/>
          <w:szCs w:val="24"/>
          <w:lang w:val="en-US"/>
        </w:rPr>
        <w:t>(I)</w:t>
      </w:r>
      <w:r w:rsidRPr="00351010">
        <w:rPr>
          <w:rFonts w:ascii="Times New Roman" w:hAnsi="Times New Roman"/>
          <w:szCs w:val="24"/>
          <w:lang w:val="en-US"/>
        </w:rPr>
        <w:tab/>
        <w:t>the licensee; or</w:t>
      </w:r>
    </w:p>
    <w:p w14:paraId="2F33B8ED" w14:textId="77777777" w:rsidR="00AD4FDC" w:rsidRPr="00351010" w:rsidRDefault="00AD4FDC" w:rsidP="00AD4FDC">
      <w:pPr>
        <w:spacing w:before="60" w:after="60"/>
        <w:ind w:left="2835" w:hanging="567"/>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 body corporate the licensee controls; or</w:t>
      </w:r>
    </w:p>
    <w:p w14:paraId="6E4A35B6" w14:textId="77777777" w:rsidR="00AD4FDC" w:rsidRPr="00351010" w:rsidRDefault="00AD4FDC" w:rsidP="00AD4FDC">
      <w:pPr>
        <w:spacing w:before="60" w:after="60"/>
        <w:ind w:left="2835" w:hanging="567"/>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a body corporate that controls the licensee; or </w:t>
      </w:r>
    </w:p>
    <w:p w14:paraId="2FFB6A40" w14:textId="77777777" w:rsidR="00AD4FDC" w:rsidRPr="00351010" w:rsidRDefault="00AD4FDC" w:rsidP="00AD4FDC">
      <w:pPr>
        <w:spacing w:before="60" w:after="60"/>
        <w:ind w:left="2835" w:hanging="567"/>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a body corporate that the licensee’s controller controls; and</w:t>
      </w:r>
    </w:p>
    <w:p w14:paraId="5B27D8B7"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(E)</w:t>
      </w:r>
      <w:r w:rsidRPr="00351010">
        <w:rPr>
          <w:rFonts w:ascii="Times New Roman" w:hAnsi="Times New Roman"/>
          <w:szCs w:val="24"/>
          <w:lang w:val="en-US"/>
        </w:rPr>
        <w:tab/>
        <w:t>if receivable by way of fees, represents no more than the amount of fees owing for the previous 3 months; and</w:t>
      </w:r>
    </w:p>
    <w:p w14:paraId="22B1B88D"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(F)</w:t>
      </w:r>
      <w:r w:rsidRPr="00351010">
        <w:rPr>
          <w:rFonts w:ascii="Times New Roman" w:hAnsi="Times New Roman"/>
          <w:szCs w:val="24"/>
          <w:lang w:val="en-US"/>
        </w:rPr>
        <w:tab/>
        <w:t>if receivable under rights of reimbursement for expenditure by the licensee, has not been receivable for more than 3 months; and</w:t>
      </w:r>
    </w:p>
    <w:p w14:paraId="1701CB6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(f)</w:t>
      </w:r>
      <w:r w:rsidRPr="00351010">
        <w:rPr>
          <w:rFonts w:ascii="Times New Roman" w:hAnsi="Times New Roman"/>
          <w:szCs w:val="24"/>
          <w:lang w:val="en-US"/>
        </w:rPr>
        <w:tab/>
        <w:t>an asset mentioned in paragraph (c) to the extent it is a managed investment product unless any part of the amount invested is, in substance, directly or indirectly invested in the licensee.</w:t>
      </w:r>
    </w:p>
    <w:p w14:paraId="3AE5ABAD"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first financial year</w:t>
      </w:r>
      <w:r w:rsidRPr="00351010">
        <w:rPr>
          <w:rFonts w:ascii="Times New Roman" w:hAnsi="Times New Roman"/>
          <w:szCs w:val="24"/>
          <w:lang w:val="en-US"/>
        </w:rPr>
        <w:t xml:space="preserve"> means, in relation to a financial services licensee, the financial year in which the calculation date occurs.</w:t>
      </w:r>
    </w:p>
    <w:p w14:paraId="17F7E397" w14:textId="77777777" w:rsidR="00AD4FDC" w:rsidRPr="00351010" w:rsidRDefault="00AD4FDC" w:rsidP="00AD4FDC">
      <w:pPr>
        <w:widowControl w:val="0"/>
        <w:spacing w:before="120" w:after="120"/>
        <w:ind w:left="851"/>
        <w:rPr>
          <w:rFonts w:ascii="Times New Roman" w:hAnsi="Times New Roman"/>
          <w:b/>
          <w:i/>
          <w:szCs w:val="24"/>
          <w:lang w:val="en-US"/>
        </w:rPr>
      </w:pPr>
      <w:r w:rsidRPr="00351010">
        <w:rPr>
          <w:rFonts w:ascii="Times New Roman" w:hAnsi="Times New Roman"/>
          <w:b/>
          <w:i/>
          <w:szCs w:val="24"/>
          <w:lang w:val="en-US"/>
        </w:rPr>
        <w:t xml:space="preserve">IDPS </w:t>
      </w:r>
      <w:r w:rsidRPr="00351010">
        <w:rPr>
          <w:rFonts w:ascii="Times New Roman" w:hAnsi="Times New Roman"/>
          <w:szCs w:val="24"/>
          <w:lang w:val="en-US"/>
        </w:rPr>
        <w:t xml:space="preserve">has the same meaning as in ASIC Class Order [CO 13/763]. </w:t>
      </w:r>
    </w:p>
    <w:p w14:paraId="1BE2E63C" w14:textId="77777777" w:rsidR="00AD4FDC" w:rsidRPr="00351010" w:rsidRDefault="00AD4FDC" w:rsidP="00AD4FDC">
      <w:pPr>
        <w:widowControl w:val="0"/>
        <w:spacing w:before="120" w:after="120"/>
        <w:ind w:left="851"/>
        <w:rPr>
          <w:rFonts w:ascii="Times New Roman" w:hAnsi="Times New Roman"/>
          <w:b/>
          <w:szCs w:val="24"/>
          <w:lang w:val="en-US"/>
        </w:rPr>
      </w:pPr>
      <w:r w:rsidRPr="00351010">
        <w:rPr>
          <w:rFonts w:ascii="Times New Roman" w:hAnsi="Times New Roman"/>
          <w:b/>
          <w:i/>
          <w:szCs w:val="24"/>
          <w:lang w:val="en-US"/>
        </w:rPr>
        <w:t>IDPS property</w:t>
      </w:r>
      <w:r w:rsidRPr="00351010">
        <w:rPr>
          <w:rFonts w:ascii="Times New Roman" w:hAnsi="Times New Roman"/>
          <w:szCs w:val="24"/>
          <w:lang w:val="en-US"/>
        </w:rPr>
        <w:t xml:space="preserve"> means, in relation to an IDPS,</w:t>
      </w:r>
      <w:r w:rsidRPr="00351010" w:rsidDel="00BA3E8C">
        <w:rPr>
          <w:rFonts w:ascii="Times New Roman" w:hAnsi="Times New Roman"/>
          <w:szCs w:val="24"/>
          <w:lang w:val="en-US"/>
        </w:rPr>
        <w:t xml:space="preserve"> </w:t>
      </w:r>
      <w:r w:rsidRPr="00351010">
        <w:rPr>
          <w:rFonts w:ascii="Times New Roman" w:hAnsi="Times New Roman"/>
          <w:szCs w:val="24"/>
          <w:lang w:val="en-US"/>
        </w:rPr>
        <w:t>property acquired or held through the IDPS, other than property held by a client of the IDPS.</w:t>
      </w:r>
    </w:p>
    <w:p w14:paraId="6AA73F1F"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lastRenderedPageBreak/>
        <w:t xml:space="preserve">incidental provider </w:t>
      </w:r>
      <w:r w:rsidRPr="00351010">
        <w:rPr>
          <w:rFonts w:ascii="Times New Roman" w:hAnsi="Times New Roman"/>
          <w:szCs w:val="24"/>
          <w:lang w:val="en-US"/>
        </w:rPr>
        <w:t>has the same meaning as in section 912AC.</w:t>
      </w:r>
    </w:p>
    <w:p w14:paraId="2D2D725D"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liquid assets</w:t>
      </w:r>
      <w:r w:rsidRPr="00351010">
        <w:rPr>
          <w:rFonts w:ascii="Times New Roman" w:hAnsi="Times New Roman"/>
          <w:szCs w:val="24"/>
          <w:lang w:val="en-US"/>
        </w:rPr>
        <w:t xml:space="preserve"> </w:t>
      </w:r>
      <w:proofErr w:type="gramStart"/>
      <w:r w:rsidRPr="00351010">
        <w:rPr>
          <w:rFonts w:ascii="Times New Roman" w:hAnsi="Times New Roman"/>
          <w:szCs w:val="24"/>
          <w:lang w:val="en-US"/>
        </w:rPr>
        <w:t>means</w:t>
      </w:r>
      <w:proofErr w:type="gramEnd"/>
      <w:r w:rsidRPr="00351010">
        <w:rPr>
          <w:rFonts w:ascii="Times New Roman" w:hAnsi="Times New Roman"/>
          <w:szCs w:val="24"/>
          <w:lang w:val="en-US"/>
        </w:rPr>
        <w:t xml:space="preserve"> in relation to a financial services licensee:</w:t>
      </w:r>
    </w:p>
    <w:p w14:paraId="4389150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cash or cash equivalents other than a commitment of the kind referred to in paragraph (d) of the definition of </w:t>
      </w:r>
      <w:r w:rsidRPr="00351010">
        <w:rPr>
          <w:rFonts w:ascii="Times New Roman" w:hAnsi="Times New Roman"/>
          <w:b/>
          <w:i/>
          <w:szCs w:val="24"/>
          <w:lang w:val="en-US"/>
        </w:rPr>
        <w:t>cash or cash equivalents</w:t>
      </w:r>
      <w:r w:rsidRPr="00351010">
        <w:rPr>
          <w:rFonts w:ascii="Times New Roman" w:hAnsi="Times New Roman"/>
          <w:szCs w:val="24"/>
          <w:lang w:val="en-US"/>
        </w:rPr>
        <w:t>; and</w:t>
      </w:r>
    </w:p>
    <w:p w14:paraId="7CF9878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assets that the licensee can reasonably expect to </w:t>
      </w:r>
      <w:proofErr w:type="spellStart"/>
      <w:r w:rsidRPr="00351010">
        <w:rPr>
          <w:rFonts w:ascii="Times New Roman" w:hAnsi="Times New Roman"/>
          <w:szCs w:val="24"/>
          <w:lang w:val="en-US"/>
        </w:rPr>
        <w:t>realise</w:t>
      </w:r>
      <w:proofErr w:type="spellEnd"/>
      <w:r w:rsidRPr="00351010">
        <w:rPr>
          <w:rFonts w:ascii="Times New Roman" w:hAnsi="Times New Roman"/>
          <w:szCs w:val="24"/>
          <w:lang w:val="en-US"/>
        </w:rPr>
        <w:t xml:space="preserve"> for their market value within 6 months, </w:t>
      </w:r>
    </w:p>
    <w:p w14:paraId="0BD2721D"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szCs w:val="24"/>
          <w:lang w:val="en-US"/>
        </w:rPr>
        <w:t>that are free from encumbrances and, in the case of receivables, free from any right of set-off.</w:t>
      </w:r>
    </w:p>
    <w:p w14:paraId="23706B13" w14:textId="77777777" w:rsidR="00AD4FDC" w:rsidRPr="00351010" w:rsidRDefault="00AD4FDC" w:rsidP="00AD4FDC">
      <w:pPr>
        <w:widowControl w:val="0"/>
        <w:spacing w:before="120" w:after="120"/>
        <w:ind w:left="851"/>
        <w:rPr>
          <w:rFonts w:ascii="Times New Roman" w:hAnsi="Times New Roman"/>
          <w:szCs w:val="24"/>
          <w:lang w:val="en-US" w:eastAsia="en-AU"/>
        </w:rPr>
      </w:pPr>
      <w:r w:rsidRPr="00351010">
        <w:rPr>
          <w:rFonts w:ascii="Times New Roman" w:hAnsi="Times New Roman"/>
          <w:b/>
          <w:bCs/>
          <w:i/>
          <w:szCs w:val="24"/>
          <w:lang w:val="en-US"/>
        </w:rPr>
        <w:t xml:space="preserve">market participant </w:t>
      </w:r>
      <w:r w:rsidRPr="00351010">
        <w:rPr>
          <w:rFonts w:ascii="Times New Roman" w:hAnsi="Times New Roman"/>
          <w:szCs w:val="24"/>
          <w:lang w:val="en-US"/>
        </w:rPr>
        <w:t>means</w:t>
      </w:r>
      <w:r w:rsidRPr="00351010">
        <w:rPr>
          <w:rFonts w:ascii="Times New Roman" w:hAnsi="Times New Roman"/>
          <w:bCs/>
          <w:szCs w:val="24"/>
          <w:lang w:val="en-US"/>
        </w:rPr>
        <w:t xml:space="preserve"> </w:t>
      </w:r>
      <w:r w:rsidRPr="00351010">
        <w:rPr>
          <w:rFonts w:ascii="Times New Roman" w:hAnsi="Times New Roman"/>
          <w:szCs w:val="24"/>
          <w:lang w:val="en-US" w:eastAsia="en-AU"/>
        </w:rPr>
        <w:t>a participant as defined in section 761A in relation to a financial market:</w:t>
      </w:r>
    </w:p>
    <w:p w14:paraId="2AC875A5" w14:textId="77777777" w:rsidR="00AD4FDC" w:rsidRPr="00351010" w:rsidRDefault="00AD4FDC" w:rsidP="00AD4FDC">
      <w:pPr>
        <w:widowControl w:val="0"/>
        <w:spacing w:before="120" w:after="120"/>
        <w:ind w:left="1276" w:hanging="425"/>
        <w:rPr>
          <w:rFonts w:ascii="Times New Roman" w:hAnsi="Times New Roman"/>
          <w:szCs w:val="24"/>
          <w:lang w:val="en-US" w:eastAsia="en-AU"/>
        </w:rPr>
      </w:pPr>
      <w:r w:rsidRPr="00351010">
        <w:rPr>
          <w:rFonts w:ascii="Times New Roman" w:hAnsi="Times New Roman"/>
          <w:szCs w:val="24"/>
          <w:lang w:val="en-US" w:eastAsia="en-AU"/>
        </w:rPr>
        <w:t>(a)</w:t>
      </w:r>
      <w:r w:rsidRPr="00351010">
        <w:rPr>
          <w:rFonts w:ascii="Times New Roman" w:hAnsi="Times New Roman"/>
          <w:szCs w:val="24"/>
          <w:lang w:val="en-US" w:eastAsia="en-AU"/>
        </w:rPr>
        <w:tab/>
        <w:t>in the l</w:t>
      </w:r>
      <w:r w:rsidRPr="00351010">
        <w:rPr>
          <w:rFonts w:ascii="Times New Roman" w:hAnsi="Times New Roman"/>
          <w:bCs/>
          <w:szCs w:val="24"/>
          <w:lang w:val="en-US" w:eastAsia="en-AU"/>
        </w:rPr>
        <w:t xml:space="preserve">icensed financial market operated by ASX Limited </w:t>
      </w:r>
      <w:r w:rsidRPr="00351010">
        <w:rPr>
          <w:rFonts w:ascii="Times New Roman" w:hAnsi="Times New Roman"/>
          <w:szCs w:val="24"/>
          <w:lang w:val="en-US" w:eastAsia="en-AU"/>
        </w:rPr>
        <w:t xml:space="preserve">that is required to comply with, and complies with the rules of the </w:t>
      </w:r>
      <w:r w:rsidRPr="00351010">
        <w:rPr>
          <w:rFonts w:ascii="Times New Roman" w:hAnsi="Times New Roman"/>
          <w:i/>
          <w:szCs w:val="24"/>
          <w:lang w:val="en-US" w:eastAsia="en-AU"/>
        </w:rPr>
        <w:t>ASIC Market Integrity Rules (ASX Market) 2010</w:t>
      </w:r>
      <w:r w:rsidRPr="00351010">
        <w:rPr>
          <w:rFonts w:ascii="Times New Roman" w:hAnsi="Times New Roman"/>
          <w:szCs w:val="24"/>
          <w:lang w:val="en-US" w:eastAsia="en-AU"/>
        </w:rPr>
        <w:t xml:space="preserve"> that impose financial requirements, </w:t>
      </w:r>
      <w:proofErr w:type="gramStart"/>
      <w:r w:rsidRPr="00351010">
        <w:rPr>
          <w:rFonts w:ascii="Times New Roman" w:hAnsi="Times New Roman"/>
          <w:szCs w:val="24"/>
          <w:lang w:val="en-US" w:eastAsia="en-AU"/>
        </w:rPr>
        <w:t>taking into account</w:t>
      </w:r>
      <w:proofErr w:type="gramEnd"/>
      <w:r w:rsidRPr="00351010">
        <w:rPr>
          <w:rFonts w:ascii="Times New Roman" w:hAnsi="Times New Roman"/>
          <w:szCs w:val="24"/>
          <w:lang w:val="en-US" w:eastAsia="en-AU"/>
        </w:rPr>
        <w:t xml:space="preserve"> any waiver by ASIC; or </w:t>
      </w:r>
    </w:p>
    <w:p w14:paraId="67560831" w14:textId="77777777" w:rsidR="00AD4FDC" w:rsidRPr="00351010" w:rsidRDefault="00AD4FDC" w:rsidP="00AD4FDC">
      <w:pPr>
        <w:widowControl w:val="0"/>
        <w:spacing w:before="120" w:after="120"/>
        <w:ind w:left="1276" w:hanging="425"/>
        <w:rPr>
          <w:rFonts w:ascii="Times New Roman" w:hAnsi="Times New Roman"/>
          <w:bCs/>
          <w:szCs w:val="24"/>
          <w:lang w:val="en-US"/>
        </w:rPr>
      </w:pPr>
      <w:r w:rsidRPr="00351010">
        <w:rPr>
          <w:rFonts w:ascii="Times New Roman" w:hAnsi="Times New Roman"/>
          <w:szCs w:val="24"/>
          <w:lang w:val="en-US" w:eastAsia="en-AU"/>
        </w:rPr>
        <w:t>(b)</w:t>
      </w:r>
      <w:r w:rsidRPr="00351010">
        <w:rPr>
          <w:rFonts w:ascii="Times New Roman" w:hAnsi="Times New Roman"/>
          <w:szCs w:val="24"/>
          <w:lang w:val="en-US" w:eastAsia="en-AU"/>
        </w:rPr>
        <w:tab/>
      </w:r>
      <w:r w:rsidRPr="00351010">
        <w:rPr>
          <w:rFonts w:ascii="Times New Roman" w:hAnsi="Times New Roman"/>
          <w:bCs/>
          <w:szCs w:val="24"/>
          <w:lang w:val="en-US"/>
        </w:rPr>
        <w:t xml:space="preserve">in the licensed financial market operated by Chi-X Australia Pty Limited that is required to comply with, and complies with the rules of the </w:t>
      </w:r>
      <w:r w:rsidRPr="00351010">
        <w:rPr>
          <w:rFonts w:ascii="Times New Roman" w:hAnsi="Times New Roman"/>
          <w:bCs/>
          <w:i/>
          <w:szCs w:val="24"/>
          <w:lang w:val="en-US"/>
        </w:rPr>
        <w:t>ASIC Market Integrity Rules (Chi-X Australia Market) 2011</w:t>
      </w:r>
      <w:r w:rsidRPr="00351010">
        <w:rPr>
          <w:rFonts w:ascii="Times New Roman" w:hAnsi="Times New Roman"/>
          <w:bCs/>
          <w:szCs w:val="24"/>
          <w:lang w:val="en-US"/>
        </w:rPr>
        <w:t xml:space="preserve"> that impose financial requirements, taking into account any waiver by ASIC; or</w:t>
      </w:r>
    </w:p>
    <w:p w14:paraId="6A85240D" w14:textId="77777777" w:rsidR="00AD4FDC" w:rsidRPr="00351010" w:rsidRDefault="00AD4FDC" w:rsidP="00AD4FDC">
      <w:pPr>
        <w:widowControl w:val="0"/>
        <w:spacing w:before="120" w:after="120"/>
        <w:ind w:left="1276" w:hanging="425"/>
        <w:rPr>
          <w:rFonts w:ascii="Times New Roman" w:hAnsi="Times New Roman"/>
          <w:szCs w:val="24"/>
          <w:lang w:val="en-US" w:eastAsia="en-AU"/>
        </w:rPr>
      </w:pPr>
      <w:r w:rsidRPr="00351010">
        <w:rPr>
          <w:rFonts w:ascii="Times New Roman" w:hAnsi="Times New Roman"/>
          <w:szCs w:val="24"/>
          <w:lang w:val="en-US" w:eastAsia="en-AU"/>
        </w:rPr>
        <w:t>(c)</w:t>
      </w:r>
      <w:r w:rsidRPr="00351010">
        <w:rPr>
          <w:rFonts w:ascii="Times New Roman" w:hAnsi="Times New Roman"/>
          <w:szCs w:val="24"/>
          <w:lang w:val="en-US" w:eastAsia="en-AU"/>
        </w:rPr>
        <w:tab/>
        <w:t xml:space="preserve">in the </w:t>
      </w:r>
      <w:r w:rsidRPr="00351010">
        <w:rPr>
          <w:rFonts w:ascii="Times New Roman" w:hAnsi="Times New Roman"/>
          <w:bCs/>
          <w:szCs w:val="24"/>
          <w:lang w:val="en-US" w:eastAsia="en-AU"/>
        </w:rPr>
        <w:t>licensed financial market operated by Australian Securities Exchange Limited (</w:t>
      </w:r>
      <w:r w:rsidRPr="00351010">
        <w:rPr>
          <w:rFonts w:ascii="Times New Roman" w:hAnsi="Times New Roman"/>
          <w:b/>
          <w:bCs/>
          <w:i/>
          <w:szCs w:val="24"/>
          <w:lang w:val="en-US" w:eastAsia="en-AU"/>
        </w:rPr>
        <w:t>ASX 24 market</w:t>
      </w:r>
      <w:r w:rsidRPr="00351010">
        <w:rPr>
          <w:rFonts w:ascii="Times New Roman" w:hAnsi="Times New Roman"/>
          <w:bCs/>
          <w:szCs w:val="24"/>
          <w:lang w:val="en-US" w:eastAsia="en-AU"/>
        </w:rPr>
        <w:t>)</w:t>
      </w:r>
      <w:r w:rsidRPr="00351010">
        <w:rPr>
          <w:rFonts w:ascii="Times New Roman" w:hAnsi="Times New Roman"/>
          <w:szCs w:val="24"/>
          <w:lang w:val="en-US" w:eastAsia="en-AU"/>
        </w:rPr>
        <w:t xml:space="preserve"> that:</w:t>
      </w:r>
    </w:p>
    <w:p w14:paraId="10C50847" w14:textId="77777777" w:rsidR="00AD4FDC" w:rsidRPr="00351010" w:rsidRDefault="00AD4FDC" w:rsidP="00AD4FDC">
      <w:pPr>
        <w:spacing w:before="60" w:after="60"/>
        <w:ind w:left="1701" w:hanging="425"/>
        <w:rPr>
          <w:rFonts w:ascii="Times New Roman" w:hAnsi="Times New Roman"/>
          <w:szCs w:val="24"/>
          <w:lang w:val="en-US" w:eastAsia="en-AU"/>
        </w:rPr>
      </w:pPr>
      <w:r w:rsidRPr="00351010">
        <w:rPr>
          <w:rFonts w:ascii="Times New Roman" w:hAnsi="Times New Roman"/>
          <w:szCs w:val="24"/>
          <w:lang w:val="en-US" w:eastAsia="en-AU"/>
        </w:rPr>
        <w:t>(</w:t>
      </w:r>
      <w:proofErr w:type="spellStart"/>
      <w:r w:rsidRPr="00351010">
        <w:rPr>
          <w:rFonts w:ascii="Times New Roman" w:hAnsi="Times New Roman"/>
          <w:szCs w:val="24"/>
          <w:lang w:val="en-US" w:eastAsia="en-AU"/>
        </w:rPr>
        <w:t>i</w:t>
      </w:r>
      <w:proofErr w:type="spellEnd"/>
      <w:r w:rsidRPr="00351010">
        <w:rPr>
          <w:rFonts w:ascii="Times New Roman" w:hAnsi="Times New Roman"/>
          <w:szCs w:val="24"/>
          <w:lang w:val="en-US" w:eastAsia="en-AU"/>
        </w:rPr>
        <w:t>)</w:t>
      </w:r>
      <w:r w:rsidRPr="00351010">
        <w:rPr>
          <w:rFonts w:ascii="Times New Roman" w:hAnsi="Times New Roman"/>
          <w:szCs w:val="24"/>
          <w:lang w:val="en-US" w:eastAsia="en-AU"/>
        </w:rPr>
        <w:tab/>
        <w:t xml:space="preserve">restricts its financial services business and its business of acting as a custodian in relation to a registered scheme to participating in the ASX 24 market and incidental business; and </w:t>
      </w:r>
    </w:p>
    <w:p w14:paraId="71DB4170" w14:textId="77777777" w:rsidR="00AD4FDC" w:rsidRPr="00351010" w:rsidRDefault="00AD4FDC" w:rsidP="00AD4FDC">
      <w:pPr>
        <w:spacing w:before="60" w:after="60"/>
        <w:ind w:left="1701" w:hanging="425"/>
        <w:rPr>
          <w:rFonts w:ascii="Times New Roman" w:hAnsi="Times New Roman"/>
          <w:szCs w:val="24"/>
          <w:lang w:val="en-US" w:eastAsia="en-AU"/>
        </w:rPr>
      </w:pPr>
      <w:r w:rsidRPr="00351010">
        <w:rPr>
          <w:rFonts w:ascii="Times New Roman" w:hAnsi="Times New Roman"/>
          <w:szCs w:val="24"/>
          <w:lang w:val="en-US" w:eastAsia="en-AU"/>
        </w:rPr>
        <w:t>(ii)</w:t>
      </w:r>
      <w:r w:rsidRPr="00351010">
        <w:rPr>
          <w:rFonts w:ascii="Times New Roman" w:hAnsi="Times New Roman"/>
          <w:szCs w:val="24"/>
          <w:lang w:val="en-US" w:eastAsia="en-AU"/>
        </w:rPr>
        <w:tab/>
        <w:t>is required to comply with, and complies with, the rules of the</w:t>
      </w:r>
      <w:r w:rsidRPr="00351010">
        <w:rPr>
          <w:rFonts w:ascii="Times New Roman" w:hAnsi="Times New Roman"/>
          <w:i/>
          <w:szCs w:val="24"/>
          <w:lang w:val="en-US" w:eastAsia="en-AU"/>
        </w:rPr>
        <w:t xml:space="preserve"> ASIC Market Integrity Rules (ASX 24 Market) 2010</w:t>
      </w:r>
      <w:r w:rsidRPr="00351010">
        <w:rPr>
          <w:rFonts w:ascii="Times New Roman" w:hAnsi="Times New Roman"/>
          <w:szCs w:val="24"/>
          <w:lang w:val="en-US" w:eastAsia="en-AU"/>
        </w:rPr>
        <w:t xml:space="preserve"> that impose financial requirements, </w:t>
      </w:r>
      <w:proofErr w:type="gramStart"/>
      <w:r w:rsidRPr="00351010">
        <w:rPr>
          <w:rFonts w:ascii="Times New Roman" w:hAnsi="Times New Roman"/>
          <w:szCs w:val="24"/>
          <w:lang w:val="en-US" w:eastAsia="en-AU"/>
        </w:rPr>
        <w:t>taking into account</w:t>
      </w:r>
      <w:proofErr w:type="gramEnd"/>
      <w:r w:rsidRPr="00351010">
        <w:rPr>
          <w:rFonts w:ascii="Times New Roman" w:hAnsi="Times New Roman"/>
          <w:szCs w:val="24"/>
          <w:lang w:val="en-US" w:eastAsia="en-AU"/>
        </w:rPr>
        <w:t xml:space="preserve"> any waiver by ASIC.</w:t>
      </w:r>
    </w:p>
    <w:p w14:paraId="036A67F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i/>
          <w:szCs w:val="24"/>
          <w:lang w:val="en-US"/>
        </w:rPr>
        <w:t>NTA</w:t>
      </w:r>
      <w:r w:rsidRPr="00351010">
        <w:rPr>
          <w:rFonts w:ascii="Times New Roman" w:hAnsi="Times New Roman"/>
          <w:szCs w:val="24"/>
          <w:lang w:val="en-US"/>
        </w:rPr>
        <w:t xml:space="preserve"> means adjusted assets minus adjusted liabilities.</w:t>
      </w:r>
    </w:p>
    <w:p w14:paraId="242429F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i/>
          <w:szCs w:val="24"/>
          <w:lang w:val="en-US"/>
        </w:rPr>
        <w:t>RE and IDPS revenue</w:t>
      </w:r>
      <w:r w:rsidRPr="00351010">
        <w:rPr>
          <w:rFonts w:ascii="Times New Roman" w:hAnsi="Times New Roman"/>
          <w:b/>
          <w:szCs w:val="24"/>
          <w:lang w:val="en-US"/>
        </w:rPr>
        <w:t xml:space="preserve"> </w:t>
      </w:r>
      <w:r w:rsidRPr="00351010">
        <w:rPr>
          <w:rFonts w:ascii="Times New Roman" w:hAnsi="Times New Roman"/>
          <w:szCs w:val="24"/>
          <w:lang w:val="en-US"/>
        </w:rPr>
        <w:t>means, in relation to a financial services licensee:</w:t>
      </w:r>
    </w:p>
    <w:p w14:paraId="1A6A55B4"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the licensee's revenue (within the meaning given by the accounting standards); and</w:t>
      </w:r>
    </w:p>
    <w:p w14:paraId="7C66889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to the extent it is not the licensee’s revenue (within the meaning of the accounting standards)—any amount paid or payable out of scheme property for the performance of the obligations imposed on the licensee as a responsible entity in connection with the registered schemes it operates, even if those obligations are performed by another entity (including asset management, investment management, property management, scheme administration and custodial and trustee services); and</w:t>
      </w:r>
    </w:p>
    <w:p w14:paraId="0494186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to the extent it is not the licensee’s revenue (within the meaning of the accounting standards)—any amount paid or payable out of IDPS property for the performance </w:t>
      </w:r>
      <w:r w:rsidRPr="00351010">
        <w:rPr>
          <w:rFonts w:ascii="Times New Roman" w:hAnsi="Times New Roman"/>
          <w:szCs w:val="24"/>
          <w:lang w:val="en-US"/>
        </w:rPr>
        <w:lastRenderedPageBreak/>
        <w:t xml:space="preserve">of the obligations imposed on the licensee as an operator of an IDPS, even if those obligations are performed by another entity. </w:t>
      </w:r>
    </w:p>
    <w:p w14:paraId="4077E1D5" w14:textId="77777777" w:rsidR="00AD4FDC" w:rsidRPr="00351010" w:rsidRDefault="00AD4FDC" w:rsidP="00AD4FDC">
      <w:pPr>
        <w:widowControl w:val="0"/>
        <w:spacing w:before="120" w:after="120"/>
        <w:ind w:left="1276" w:hanging="425"/>
        <w:rPr>
          <w:rFonts w:ascii="Times New Roman" w:hAnsi="Times New Roman"/>
          <w:sz w:val="20"/>
          <w:szCs w:val="24"/>
          <w:lang w:val="en-US"/>
        </w:rPr>
      </w:pPr>
      <w:r w:rsidRPr="00351010">
        <w:rPr>
          <w:rFonts w:ascii="Times New Roman" w:hAnsi="Times New Roman"/>
          <w:sz w:val="20"/>
          <w:szCs w:val="24"/>
          <w:lang w:val="en-US"/>
        </w:rPr>
        <w:t xml:space="preserve">Note: </w:t>
      </w:r>
      <w:r w:rsidRPr="00351010">
        <w:rPr>
          <w:rFonts w:ascii="Times New Roman" w:hAnsi="Times New Roman"/>
          <w:sz w:val="20"/>
          <w:szCs w:val="24"/>
          <w:lang w:val="en-US"/>
        </w:rPr>
        <w:tab/>
        <w:t xml:space="preserve">An amount under paragraph (b) or (c) excludes any audit fees paid or payable to an auditor engaged to meet any audit requirements under the Act. </w:t>
      </w:r>
    </w:p>
    <w:p w14:paraId="521F82B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bCs/>
          <w:i/>
          <w:szCs w:val="24"/>
          <w:lang w:val="en-US"/>
        </w:rPr>
        <w:t>regulated trust account</w:t>
      </w:r>
      <w:r w:rsidRPr="00351010">
        <w:rPr>
          <w:rFonts w:ascii="Times New Roman" w:hAnsi="Times New Roman"/>
          <w:szCs w:val="24"/>
          <w:lang w:val="en-US"/>
        </w:rPr>
        <w:t xml:space="preserve"> means:</w:t>
      </w:r>
    </w:p>
    <w:p w14:paraId="1DE78F1D"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a trust account maintained by a licensed trustee company within the meaning of Chapter 5D or the Public Trustee of a State or Territory; or </w:t>
      </w:r>
    </w:p>
    <w:p w14:paraId="576A081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a trust account maintained by a solicitor unless moneys in the account include moneys that are excluded from regulation as trust money under laws of the State or Territory relating to legal practitioners that are relevant to the operation of the trust account by the solicitor; or</w:t>
      </w:r>
    </w:p>
    <w:p w14:paraId="19C4B81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a trust account maintained by a real estate agent under the law of a State or Territory; or </w:t>
      </w:r>
    </w:p>
    <w:p w14:paraId="2AD80A00"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a trust account maintained by an entity other than the licensee and that provides protections similar to the accounts described in paragraphs (a) to (c</w:t>
      </w:r>
      <w:proofErr w:type="gramStart"/>
      <w:r w:rsidRPr="00351010">
        <w:rPr>
          <w:rFonts w:ascii="Times New Roman" w:hAnsi="Times New Roman"/>
          <w:szCs w:val="24"/>
          <w:lang w:val="en-US"/>
        </w:rPr>
        <w:t>), and</w:t>
      </w:r>
      <w:proofErr w:type="gramEnd"/>
      <w:r w:rsidRPr="00351010">
        <w:rPr>
          <w:rFonts w:ascii="Times New Roman" w:hAnsi="Times New Roman"/>
          <w:szCs w:val="24"/>
          <w:lang w:val="en-US"/>
        </w:rPr>
        <w:t xml:space="preserve"> is approved in writing by ASIC for this purpose.</w:t>
      </w:r>
    </w:p>
    <w:p w14:paraId="3D047732"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serviced strata scheme</w:t>
      </w:r>
      <w:r w:rsidRPr="00351010">
        <w:rPr>
          <w:rFonts w:ascii="Times New Roman" w:hAnsi="Times New Roman"/>
          <w:szCs w:val="24"/>
          <w:lang w:val="en-US"/>
        </w:rPr>
        <w:t xml:space="preserve"> means a registered scheme that involves owners of strata title units, community title interests or similar real property interests at the one real property location, making their units or interests in real property available to a manager for use as part of a serviced apartment, hotel, motel or resort complex.</w:t>
      </w:r>
    </w:p>
    <w:p w14:paraId="6F5D80CB"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special custody assets</w:t>
      </w:r>
      <w:r w:rsidRPr="00351010">
        <w:rPr>
          <w:rFonts w:ascii="Times New Roman" w:hAnsi="Times New Roman"/>
          <w:szCs w:val="24"/>
          <w:lang w:val="en-US"/>
        </w:rPr>
        <w:t xml:space="preserve"> </w:t>
      </w:r>
      <w:proofErr w:type="gramStart"/>
      <w:r w:rsidRPr="00351010">
        <w:rPr>
          <w:rFonts w:ascii="Times New Roman" w:hAnsi="Times New Roman"/>
          <w:szCs w:val="24"/>
          <w:lang w:val="en-US"/>
        </w:rPr>
        <w:t>means</w:t>
      </w:r>
      <w:proofErr w:type="gramEnd"/>
      <w:r w:rsidRPr="00351010">
        <w:rPr>
          <w:rFonts w:ascii="Times New Roman" w:hAnsi="Times New Roman"/>
          <w:szCs w:val="24"/>
          <w:lang w:val="en-US"/>
        </w:rPr>
        <w:t>, in relation to a registered scheme or an IDPS operated by a financial services licensee, any of the following:</w:t>
      </w:r>
    </w:p>
    <w:p w14:paraId="7122DE7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for a serviced strata scheme, cash held in a regulated trust account for the purposes of:</w:t>
      </w:r>
    </w:p>
    <w:p w14:paraId="61BD324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refurbishment or improvement of real property associated with the scheme; or </w:t>
      </w:r>
    </w:p>
    <w:p w14:paraId="323FA14B"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alleviating seasonal fluctuations in payments of income from the scheme in accordance with provisions in the constitution;</w:t>
      </w:r>
    </w:p>
    <w:p w14:paraId="4E1B949C" w14:textId="77777777" w:rsidR="00AD4FDC" w:rsidRPr="00351010" w:rsidRDefault="00AD4FDC" w:rsidP="00AD4FDC">
      <w:pPr>
        <w:spacing w:before="60" w:after="60"/>
        <w:ind w:left="1276"/>
        <w:rPr>
          <w:rFonts w:ascii="Times New Roman" w:hAnsi="Times New Roman"/>
          <w:szCs w:val="24"/>
          <w:lang w:val="en-US"/>
        </w:rPr>
      </w:pPr>
      <w:r w:rsidRPr="00351010">
        <w:rPr>
          <w:rFonts w:ascii="Times New Roman" w:hAnsi="Times New Roman"/>
          <w:szCs w:val="24"/>
          <w:lang w:val="en-US"/>
        </w:rPr>
        <w:t xml:space="preserve">provided that no more is held than the licensee reasonably considers necessary for the relevant purpose; </w:t>
      </w:r>
    </w:p>
    <w:p w14:paraId="132100C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currency and chattels (other than documents) that it would not be reasonably practicable for a person other than the licensee to hold; </w:t>
      </w:r>
    </w:p>
    <w:p w14:paraId="7426F56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funds received from members of the scheme or clients of the IDPS within the previous 6 months held in a regulated trust account; </w:t>
      </w:r>
    </w:p>
    <w:p w14:paraId="15A08174"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cash held for up to 3 months in an account with an Australian ADI styled as a trust account that is audited at least once every 6 months by a registered company auditor where the auditor’s report states that in the auditor’s opinion the account has been operated in accordance with the trust:</w:t>
      </w:r>
    </w:p>
    <w:p w14:paraId="4992F251"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pending payment to members of the scheme or clients of the IDPS; or</w:t>
      </w:r>
    </w:p>
    <w:p w14:paraId="2566E99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lastRenderedPageBreak/>
        <w:t>(ii)</w:t>
      </w:r>
      <w:r w:rsidRPr="00351010">
        <w:rPr>
          <w:rFonts w:ascii="Times New Roman" w:hAnsi="Times New Roman"/>
          <w:szCs w:val="24"/>
          <w:lang w:val="en-US"/>
        </w:rPr>
        <w:tab/>
        <w:t xml:space="preserve">to meet expected expenses (not including investments) over a </w:t>
      </w:r>
      <w:proofErr w:type="gramStart"/>
      <w:r w:rsidRPr="00351010">
        <w:rPr>
          <w:rFonts w:ascii="Times New Roman" w:hAnsi="Times New Roman"/>
          <w:szCs w:val="24"/>
          <w:lang w:val="en-US"/>
        </w:rPr>
        <w:t>3 month</w:t>
      </w:r>
      <w:proofErr w:type="gramEnd"/>
      <w:r w:rsidRPr="00351010">
        <w:rPr>
          <w:rFonts w:ascii="Times New Roman" w:hAnsi="Times New Roman"/>
          <w:szCs w:val="24"/>
          <w:lang w:val="en-US"/>
        </w:rPr>
        <w:t xml:space="preserve"> period; or</w:t>
      </w:r>
    </w:p>
    <w:p w14:paraId="781C095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pending application in acquiring a mortgage and paying any fees and costs incidental to the acquisition; </w:t>
      </w:r>
    </w:p>
    <w:p w14:paraId="66A027D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(e)</w:t>
      </w:r>
      <w:r w:rsidRPr="00351010">
        <w:rPr>
          <w:rFonts w:ascii="Times New Roman" w:hAnsi="Times New Roman"/>
          <w:szCs w:val="24"/>
          <w:lang w:val="en-US"/>
        </w:rPr>
        <w:tab/>
        <w:t xml:space="preserve">contractual, lease or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xml:space="preserve"> rights that are not assignable except with the consent of the member or client or that it would not be reasonably practicable to assig</w:t>
      </w:r>
      <w:r w:rsidR="00926F9B" w:rsidRPr="00351010">
        <w:rPr>
          <w:rFonts w:ascii="Times New Roman" w:hAnsi="Times New Roman"/>
          <w:szCs w:val="24"/>
          <w:lang w:val="en-US"/>
        </w:rPr>
        <w:t>n</w:t>
      </w:r>
      <w:r w:rsidR="00DB610D" w:rsidRPr="00351010">
        <w:rPr>
          <w:rFonts w:ascii="Times New Roman" w:hAnsi="Times New Roman"/>
          <w:szCs w:val="24"/>
          <w:lang w:val="en-US"/>
        </w:rPr>
        <w:t xml:space="preserve"> </w:t>
      </w:r>
      <w:r w:rsidRPr="00351010">
        <w:rPr>
          <w:rFonts w:ascii="Times New Roman" w:hAnsi="Times New Roman"/>
          <w:szCs w:val="24"/>
          <w:lang w:val="en-US"/>
        </w:rPr>
        <w:t xml:space="preserve">and any documents evidencing those contractual, lease or </w:t>
      </w:r>
      <w:proofErr w:type="spellStart"/>
      <w:r w:rsidRPr="00351010">
        <w:rPr>
          <w:rFonts w:ascii="Times New Roman" w:hAnsi="Times New Roman"/>
          <w:szCs w:val="24"/>
          <w:lang w:val="en-US"/>
        </w:rPr>
        <w:t>licence</w:t>
      </w:r>
      <w:proofErr w:type="spellEnd"/>
      <w:r w:rsidRPr="00351010">
        <w:rPr>
          <w:rFonts w:ascii="Times New Roman" w:hAnsi="Times New Roman"/>
          <w:szCs w:val="24"/>
          <w:lang w:val="en-US"/>
        </w:rPr>
        <w:t xml:space="preserve"> rights; </w:t>
      </w:r>
    </w:p>
    <w:p w14:paraId="29269637"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(f)</w:t>
      </w:r>
      <w:r w:rsidRPr="00351010">
        <w:rPr>
          <w:rFonts w:ascii="Times New Roman" w:hAnsi="Times New Roman"/>
          <w:szCs w:val="24"/>
          <w:lang w:val="en-US"/>
        </w:rPr>
        <w:tab/>
        <w:t xml:space="preserve">assets of trivial value; </w:t>
      </w:r>
    </w:p>
    <w:p w14:paraId="32D44119" w14:textId="77777777" w:rsidR="00C046C4" w:rsidRPr="00C046C4" w:rsidRDefault="00C046C4" w:rsidP="00C046C4">
      <w:pPr>
        <w:widowControl w:val="0"/>
        <w:spacing w:before="120" w:after="120"/>
        <w:ind w:left="1276" w:hanging="425"/>
        <w:rPr>
          <w:rFonts w:ascii="Times New Roman" w:hAnsi="Times New Roman"/>
          <w:szCs w:val="24"/>
          <w:lang w:val="en"/>
        </w:rPr>
      </w:pPr>
      <w:r w:rsidRPr="00C046C4">
        <w:rPr>
          <w:rFonts w:ascii="Times New Roman" w:hAnsi="Times New Roman"/>
          <w:szCs w:val="24"/>
          <w:lang w:val="en"/>
        </w:rPr>
        <w:t>(g)</w:t>
      </w:r>
      <w:r w:rsidRPr="00C046C4">
        <w:rPr>
          <w:rFonts w:ascii="Times New Roman" w:hAnsi="Times New Roman"/>
          <w:szCs w:val="24"/>
          <w:lang w:val="en"/>
        </w:rPr>
        <w:tab/>
        <w:t>for a registered time-sharing scheme:</w:t>
      </w:r>
    </w:p>
    <w:p w14:paraId="13D22D02" w14:textId="77777777" w:rsidR="00C046C4" w:rsidRPr="00C046C4" w:rsidRDefault="00C046C4" w:rsidP="00C046C4">
      <w:pPr>
        <w:widowControl w:val="0"/>
        <w:spacing w:before="120" w:after="120"/>
        <w:ind w:left="1701" w:hanging="425"/>
        <w:rPr>
          <w:rFonts w:ascii="Times New Roman" w:hAnsi="Times New Roman"/>
          <w:szCs w:val="24"/>
          <w:lang w:val="en"/>
        </w:rPr>
      </w:pPr>
      <w:r w:rsidRPr="00C046C4">
        <w:rPr>
          <w:rFonts w:ascii="Times New Roman" w:hAnsi="Times New Roman"/>
          <w:szCs w:val="24"/>
          <w:lang w:val="en"/>
        </w:rPr>
        <w:t>(</w:t>
      </w:r>
      <w:proofErr w:type="spellStart"/>
      <w:r w:rsidRPr="00C046C4">
        <w:rPr>
          <w:rFonts w:ascii="Times New Roman" w:hAnsi="Times New Roman"/>
          <w:szCs w:val="24"/>
          <w:lang w:val="en"/>
        </w:rPr>
        <w:t>i</w:t>
      </w:r>
      <w:proofErr w:type="spellEnd"/>
      <w:r w:rsidRPr="00C046C4">
        <w:rPr>
          <w:rFonts w:ascii="Times New Roman" w:hAnsi="Times New Roman"/>
          <w:szCs w:val="24"/>
          <w:lang w:val="en"/>
        </w:rPr>
        <w:t>)</w:t>
      </w:r>
      <w:r w:rsidRPr="00C046C4">
        <w:rPr>
          <w:rFonts w:ascii="Times New Roman" w:hAnsi="Times New Roman"/>
          <w:szCs w:val="24"/>
          <w:lang w:val="en"/>
        </w:rPr>
        <w:tab/>
        <w:t>levies held in an account with an Australian ADI styled as a trust account that is audited annually by a registered company auditor where the report from the auditor is provided to the responsible entity’s board or compliance committee and states that in the auditor’s opinion the account has been operated in accordance with the trust; and</w:t>
      </w:r>
    </w:p>
    <w:p w14:paraId="01155FCD" w14:textId="77777777" w:rsidR="00C046C4" w:rsidRPr="00C046C4" w:rsidRDefault="00C046C4" w:rsidP="00C046C4">
      <w:pPr>
        <w:widowControl w:val="0"/>
        <w:spacing w:before="120" w:after="120"/>
        <w:ind w:left="1701" w:hanging="425"/>
        <w:rPr>
          <w:rFonts w:ascii="Times New Roman" w:hAnsi="Times New Roman"/>
          <w:szCs w:val="24"/>
          <w:lang w:val="en"/>
        </w:rPr>
      </w:pPr>
      <w:bookmarkStart w:id="2" w:name="_Ref499848148"/>
      <w:r w:rsidRPr="00C046C4">
        <w:rPr>
          <w:rFonts w:ascii="Times New Roman" w:hAnsi="Times New Roman"/>
          <w:szCs w:val="24"/>
          <w:lang w:val="en"/>
        </w:rPr>
        <w:t>(ii)</w:t>
      </w:r>
      <w:r w:rsidRPr="00C046C4">
        <w:rPr>
          <w:rFonts w:ascii="Times New Roman" w:hAnsi="Times New Roman"/>
          <w:szCs w:val="24"/>
          <w:lang w:val="en"/>
        </w:rPr>
        <w:tab/>
        <w:t>cash held in an account with:</w:t>
      </w:r>
    </w:p>
    <w:p w14:paraId="2C08E62F" w14:textId="77777777" w:rsidR="00C046C4" w:rsidRPr="00C046C4" w:rsidRDefault="00C046C4" w:rsidP="00C046C4">
      <w:pPr>
        <w:widowControl w:val="0"/>
        <w:numPr>
          <w:ilvl w:val="0"/>
          <w:numId w:val="35"/>
        </w:numPr>
        <w:spacing w:before="120" w:after="120"/>
        <w:ind w:left="2127" w:hanging="426"/>
        <w:rPr>
          <w:rFonts w:ascii="Times New Roman" w:hAnsi="Times New Roman"/>
          <w:szCs w:val="24"/>
          <w:lang w:val="en"/>
        </w:rPr>
      </w:pPr>
      <w:r w:rsidRPr="00C046C4">
        <w:rPr>
          <w:rFonts w:ascii="Times New Roman" w:hAnsi="Times New Roman"/>
          <w:szCs w:val="24"/>
          <w:lang w:val="en"/>
        </w:rPr>
        <w:t xml:space="preserve">an Australian ADI; or </w:t>
      </w:r>
    </w:p>
    <w:p w14:paraId="6C736114" w14:textId="77777777" w:rsidR="00C046C4" w:rsidRPr="00C046C4" w:rsidRDefault="00C046C4" w:rsidP="00C046C4">
      <w:pPr>
        <w:widowControl w:val="0"/>
        <w:spacing w:before="120" w:after="120"/>
        <w:ind w:left="2127" w:hanging="426"/>
        <w:rPr>
          <w:rFonts w:ascii="Times New Roman" w:hAnsi="Times New Roman"/>
          <w:szCs w:val="24"/>
          <w:lang w:val="en"/>
        </w:rPr>
      </w:pPr>
      <w:r w:rsidRPr="00C046C4">
        <w:rPr>
          <w:rFonts w:ascii="Times New Roman" w:hAnsi="Times New Roman"/>
          <w:szCs w:val="24"/>
          <w:lang w:val="en"/>
        </w:rPr>
        <w:t>(B)</w:t>
      </w:r>
      <w:r w:rsidRPr="00C046C4">
        <w:rPr>
          <w:rFonts w:ascii="Times New Roman" w:hAnsi="Times New Roman"/>
          <w:szCs w:val="24"/>
          <w:lang w:val="en"/>
        </w:rPr>
        <w:tab/>
        <w:t xml:space="preserve">a body formed or incorporated outside of Australia which is </w:t>
      </w:r>
      <w:proofErr w:type="spellStart"/>
      <w:r w:rsidRPr="00C046C4">
        <w:rPr>
          <w:rFonts w:ascii="Times New Roman" w:hAnsi="Times New Roman"/>
          <w:szCs w:val="24"/>
          <w:lang w:val="en"/>
        </w:rPr>
        <w:t>authorised</w:t>
      </w:r>
      <w:proofErr w:type="spellEnd"/>
      <w:r w:rsidRPr="00C046C4">
        <w:rPr>
          <w:rFonts w:ascii="Times New Roman" w:hAnsi="Times New Roman"/>
          <w:szCs w:val="24"/>
          <w:lang w:val="en"/>
        </w:rPr>
        <w:t xml:space="preserve"> to accept deposits and is prudentially regulated by a government or agency of a government in relation to its deposit taking activities in the jurisdiction the deposits are made;</w:t>
      </w:r>
    </w:p>
    <w:bookmarkEnd w:id="2"/>
    <w:p w14:paraId="216036F7" w14:textId="77777777" w:rsidR="00C046C4" w:rsidRPr="00C046C4" w:rsidRDefault="00C046C4" w:rsidP="00845E96">
      <w:pPr>
        <w:widowControl w:val="0"/>
        <w:spacing w:before="120" w:after="120"/>
        <w:ind w:left="1701"/>
        <w:rPr>
          <w:rFonts w:ascii="Times New Roman" w:hAnsi="Times New Roman"/>
          <w:szCs w:val="24"/>
          <w:lang w:val="en"/>
        </w:rPr>
      </w:pPr>
      <w:r w:rsidRPr="00C046C4">
        <w:rPr>
          <w:rFonts w:ascii="Times New Roman" w:hAnsi="Times New Roman"/>
          <w:szCs w:val="24"/>
          <w:lang w:val="en"/>
        </w:rPr>
        <w:t>and styled as a trust account that is audited annually by a registered company auditor (or a foreign equivalent to a registered company auditor for an account held under sub-subparagraph (ii)(B)) where the report from the auditor is provided to the responsible entity’s board or compliance committee and states that in the auditor’s opinion the account has been operated in accordance with the trust; and</w:t>
      </w:r>
    </w:p>
    <w:p w14:paraId="032952D0" w14:textId="77777777" w:rsidR="00C046C4" w:rsidRPr="00C046C4" w:rsidRDefault="00C046C4" w:rsidP="00845E96">
      <w:pPr>
        <w:widowControl w:val="0"/>
        <w:spacing w:before="120" w:after="120"/>
        <w:ind w:left="1701" w:hanging="425"/>
        <w:rPr>
          <w:rFonts w:ascii="Times New Roman" w:hAnsi="Times New Roman"/>
          <w:szCs w:val="24"/>
          <w:lang w:val="en"/>
        </w:rPr>
      </w:pPr>
      <w:r w:rsidRPr="00C046C4">
        <w:rPr>
          <w:rFonts w:ascii="Times New Roman" w:hAnsi="Times New Roman"/>
          <w:szCs w:val="24"/>
          <w:lang w:val="en"/>
        </w:rPr>
        <w:t>(iii)</w:t>
      </w:r>
      <w:r w:rsidRPr="00C046C4">
        <w:rPr>
          <w:rFonts w:ascii="Times New Roman" w:hAnsi="Times New Roman"/>
          <w:szCs w:val="24"/>
          <w:lang w:val="en"/>
        </w:rPr>
        <w:tab/>
        <w:t>general insurance products relating to real property and other assets of a time-sharing scheme; and</w:t>
      </w:r>
    </w:p>
    <w:p w14:paraId="635AA810" w14:textId="77777777" w:rsidR="00C046C4" w:rsidRPr="00C046C4" w:rsidRDefault="00C046C4" w:rsidP="00845E96">
      <w:pPr>
        <w:widowControl w:val="0"/>
        <w:spacing w:before="120" w:after="120"/>
        <w:ind w:left="1701" w:hanging="425"/>
        <w:rPr>
          <w:rFonts w:ascii="Times New Roman" w:hAnsi="Times New Roman"/>
          <w:szCs w:val="24"/>
          <w:lang w:val="en"/>
        </w:rPr>
      </w:pPr>
      <w:r w:rsidRPr="00C046C4">
        <w:rPr>
          <w:rFonts w:ascii="Times New Roman" w:hAnsi="Times New Roman"/>
          <w:szCs w:val="24"/>
          <w:lang w:val="en"/>
        </w:rPr>
        <w:t>(iv)</w:t>
      </w:r>
      <w:r w:rsidRPr="00C046C4">
        <w:rPr>
          <w:rFonts w:ascii="Times New Roman" w:hAnsi="Times New Roman"/>
          <w:szCs w:val="24"/>
          <w:lang w:val="en"/>
        </w:rPr>
        <w:tab/>
        <w:t>interests in real property; and</w:t>
      </w:r>
    </w:p>
    <w:p w14:paraId="27EE57FD" w14:textId="77777777" w:rsidR="00C046C4" w:rsidRPr="00C046C4" w:rsidRDefault="00C046C4" w:rsidP="00845E96">
      <w:pPr>
        <w:widowControl w:val="0"/>
        <w:spacing w:before="120" w:after="120"/>
        <w:ind w:left="1701" w:hanging="425"/>
        <w:rPr>
          <w:rFonts w:ascii="Times New Roman" w:hAnsi="Times New Roman"/>
          <w:szCs w:val="24"/>
          <w:lang w:val="en"/>
        </w:rPr>
      </w:pPr>
      <w:r w:rsidRPr="00C046C4">
        <w:rPr>
          <w:rFonts w:ascii="Times New Roman" w:hAnsi="Times New Roman"/>
          <w:szCs w:val="24"/>
          <w:lang w:val="en"/>
        </w:rPr>
        <w:t>(v)</w:t>
      </w:r>
      <w:r w:rsidRPr="00C046C4">
        <w:rPr>
          <w:rFonts w:ascii="Times New Roman" w:hAnsi="Times New Roman"/>
          <w:szCs w:val="24"/>
          <w:lang w:val="en"/>
        </w:rPr>
        <w:tab/>
        <w:t>interests in other registered time-sharing schemes and interests in time-sharing schemes that are exempt from complying with section 601ED where the holding of these assets is to be audited by a registered company auditor annually and a report from the auditor is provided to the responsible entity and states that in the auditor’s opinion the assets have been held in accordance with the constitution for the registered time-sharing scheme; and</w:t>
      </w:r>
    </w:p>
    <w:p w14:paraId="7DB25E25" w14:textId="77777777" w:rsidR="00C046C4" w:rsidRPr="00C046C4" w:rsidRDefault="00C046C4" w:rsidP="00845E96">
      <w:pPr>
        <w:widowControl w:val="0"/>
        <w:spacing w:before="120" w:after="120"/>
        <w:ind w:left="1701" w:hanging="425"/>
        <w:rPr>
          <w:rFonts w:ascii="Times New Roman" w:hAnsi="Times New Roman"/>
          <w:szCs w:val="24"/>
          <w:lang w:val="en"/>
        </w:rPr>
      </w:pPr>
      <w:r w:rsidRPr="00C046C4">
        <w:rPr>
          <w:rFonts w:ascii="Times New Roman" w:hAnsi="Times New Roman"/>
          <w:szCs w:val="24"/>
          <w:lang w:val="en"/>
        </w:rPr>
        <w:t>(vi)</w:t>
      </w:r>
      <w:r w:rsidRPr="00C046C4">
        <w:rPr>
          <w:rFonts w:ascii="Times New Roman" w:hAnsi="Times New Roman"/>
          <w:szCs w:val="24"/>
          <w:lang w:val="en"/>
        </w:rPr>
        <w:tab/>
        <w:t xml:space="preserve">interests in other time-sharing schemes established outside this jurisdiction that the responsible entity reasonably considers, for documented reasons, is subject to adequate regulation under foreign law where the holding of these assets is to be audited by a registered company auditor (or a foreign equivalent to a </w:t>
      </w:r>
      <w:r w:rsidRPr="00C046C4">
        <w:rPr>
          <w:rFonts w:ascii="Times New Roman" w:hAnsi="Times New Roman"/>
          <w:szCs w:val="24"/>
          <w:lang w:val="en"/>
        </w:rPr>
        <w:lastRenderedPageBreak/>
        <w:t>registered company auditor) annually and a report from the auditor is provided to the responsible entity’s board or compliance committee and states that in the auditor’s opinion the assets have been held in accordance with the constitution for the registered time-sharing scheme.</w:t>
      </w:r>
    </w:p>
    <w:p w14:paraId="4810190F" w14:textId="3ED2BE75" w:rsidR="00AD4FDC" w:rsidRPr="00351010" w:rsidRDefault="00C046C4" w:rsidP="00C046C4">
      <w:pPr>
        <w:widowControl w:val="0"/>
        <w:spacing w:before="120" w:after="120"/>
        <w:ind w:left="1276" w:hanging="425"/>
        <w:rPr>
          <w:rFonts w:ascii="Times New Roman" w:hAnsi="Times New Roman"/>
          <w:szCs w:val="24"/>
          <w:lang w:val="en-US"/>
        </w:rPr>
      </w:pPr>
      <w:r w:rsidRPr="00C046C4">
        <w:rPr>
          <w:rFonts w:ascii="Times New Roman" w:hAnsi="Times New Roman"/>
          <w:szCs w:val="24"/>
          <w:lang w:val="en-US"/>
        </w:rPr>
        <w:t xml:space="preserve"> </w:t>
      </w:r>
      <w:r w:rsidR="00AD4FDC" w:rsidRPr="00351010">
        <w:rPr>
          <w:rFonts w:ascii="Times New Roman" w:hAnsi="Times New Roman"/>
          <w:szCs w:val="24"/>
          <w:lang w:val="en-US"/>
        </w:rPr>
        <w:t>(h)</w:t>
      </w:r>
      <w:r w:rsidR="00AD4FDC" w:rsidRPr="00351010">
        <w:rPr>
          <w:rFonts w:ascii="Times New Roman" w:hAnsi="Times New Roman"/>
          <w:szCs w:val="24"/>
          <w:lang w:val="en-US"/>
        </w:rPr>
        <w:tab/>
        <w:t>mortgages or documents of title held under a mortgage where:</w:t>
      </w:r>
    </w:p>
    <w:p w14:paraId="2C9E22A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r>
      <w:proofErr w:type="gramStart"/>
      <w:r w:rsidRPr="00351010">
        <w:rPr>
          <w:rFonts w:ascii="Times New Roman" w:hAnsi="Times New Roman"/>
          <w:szCs w:val="24"/>
          <w:lang w:val="en-US"/>
        </w:rPr>
        <w:t>particular members</w:t>
      </w:r>
      <w:proofErr w:type="gramEnd"/>
      <w:r w:rsidRPr="00351010">
        <w:rPr>
          <w:rFonts w:ascii="Times New Roman" w:hAnsi="Times New Roman"/>
          <w:szCs w:val="24"/>
          <w:lang w:val="en-US"/>
        </w:rPr>
        <w:t xml:space="preserve"> or clients have a specific beneficial or legal interest in the mortgage; and</w:t>
      </w:r>
    </w:p>
    <w:p w14:paraId="49A5129A"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the mortgage was acquired after disclosure in writing to the relevant members or clients (at the time of the acquisition) of all information that would have been required to be in a Product Disclosure Statement (or in relation to mortgages acquired before Division 2 of Part 7.9 applied to interests in the registered scheme, a disclosure document under Chapter 6D) if an offer of interests in the registered scheme conferring rights in connection with that mortgage had been made immediately prior to the mortgage; </w:t>
      </w:r>
    </w:p>
    <w:p w14:paraId="5CC769EC"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either:</w:t>
      </w:r>
    </w:p>
    <w:p w14:paraId="6937639D"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the mortgage was acquired on the specific direction of the relevant members or clients (at the time of acquisition of the interest); or</w:t>
      </w:r>
    </w:p>
    <w:p w14:paraId="0CF578EC" w14:textId="77777777" w:rsidR="00AD4FDC" w:rsidRPr="00351010" w:rsidRDefault="00AD4FDC" w:rsidP="00AD4FDC">
      <w:pPr>
        <w:spacing w:before="60" w:after="60"/>
        <w:ind w:left="2268" w:hanging="567"/>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the members or clients </w:t>
      </w:r>
      <w:proofErr w:type="gramStart"/>
      <w:r w:rsidRPr="00351010">
        <w:rPr>
          <w:rFonts w:ascii="Times New Roman" w:hAnsi="Times New Roman"/>
          <w:szCs w:val="24"/>
          <w:lang w:val="en-US"/>
        </w:rPr>
        <w:t>are able to</w:t>
      </w:r>
      <w:proofErr w:type="gramEnd"/>
      <w:r w:rsidRPr="00351010">
        <w:rPr>
          <w:rFonts w:ascii="Times New Roman" w:hAnsi="Times New Roman"/>
          <w:szCs w:val="24"/>
          <w:lang w:val="en-US"/>
        </w:rPr>
        <w:t xml:space="preserve"> withdraw from that mortgage for a period of 14 days commencing on the date of disclosure under subparagraph (ii); </w:t>
      </w:r>
    </w:p>
    <w:p w14:paraId="402CA504" w14:textId="77777777" w:rsidR="00AD4FDC" w:rsidRPr="00351010" w:rsidRDefault="00AD4FDC" w:rsidP="00AD4FDC">
      <w:pPr>
        <w:spacing w:after="0"/>
        <w:ind w:left="1418" w:firstLine="698"/>
        <w:contextualSpacing/>
        <w:rPr>
          <w:rFonts w:ascii="Times New Roman" w:hAnsi="Times New Roman"/>
          <w:lang w:val="en-US"/>
        </w:rPr>
      </w:pPr>
    </w:p>
    <w:p w14:paraId="0BC3558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 xml:space="preserve"> (iv)</w:t>
      </w:r>
      <w:r w:rsidRPr="00351010">
        <w:rPr>
          <w:rFonts w:ascii="Times New Roman" w:hAnsi="Times New Roman"/>
          <w:szCs w:val="24"/>
          <w:lang w:val="en-US"/>
        </w:rPr>
        <w:tab/>
        <w:t>it is not reasonable to expect that the mortgage will be sold prior to its discharge;</w:t>
      </w:r>
    </w:p>
    <w:p w14:paraId="5FB51C6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a derivative and any contractual right (the </w:t>
      </w:r>
      <w:r w:rsidRPr="00351010">
        <w:rPr>
          <w:rFonts w:ascii="Times New Roman" w:hAnsi="Times New Roman"/>
          <w:b/>
          <w:i/>
          <w:szCs w:val="24"/>
          <w:lang w:val="en-US"/>
        </w:rPr>
        <w:t>margin repayment right</w:t>
      </w:r>
      <w:r w:rsidRPr="00351010">
        <w:rPr>
          <w:rFonts w:ascii="Times New Roman" w:hAnsi="Times New Roman"/>
          <w:szCs w:val="24"/>
          <w:lang w:val="en-US"/>
        </w:rPr>
        <w:t>) for the payment of any balance owing to the responsible entity of the scheme in relation to dealings in derivatives including margining those dealings through transactions in a deposit taking facility notified to the responsible entity if all of the following apply:</w:t>
      </w:r>
    </w:p>
    <w:p w14:paraId="420F2E4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the responsible entity has directed in writing the other party (the </w:t>
      </w:r>
      <w:r w:rsidRPr="00351010">
        <w:rPr>
          <w:rFonts w:ascii="Times New Roman" w:hAnsi="Times New Roman"/>
          <w:b/>
          <w:i/>
          <w:szCs w:val="24"/>
          <w:lang w:val="en-US"/>
        </w:rPr>
        <w:t>counterparty</w:t>
      </w:r>
      <w:r w:rsidRPr="00351010">
        <w:rPr>
          <w:rFonts w:ascii="Times New Roman" w:hAnsi="Times New Roman"/>
          <w:szCs w:val="24"/>
          <w:lang w:val="en-US"/>
        </w:rPr>
        <w:t>) to the derivative or, in case of a derivative acquired through a financial market, the market participant acting for the responsible entity, that any amounts payable by the counterparty or market participant in connection with the derivative to or at the direction of the responsible entity are to be made only:</w:t>
      </w:r>
    </w:p>
    <w:p w14:paraId="5B70111E"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to the deposit taking facility (if any); or</w:t>
      </w:r>
    </w:p>
    <w:p w14:paraId="754DA13C"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to an eligible custodian (a Complying Custodian) or a custodian (a Complying Custodian) that meets the requirements under subparagraph (5)(a)(iii) or a sub-custodian (a Complying Custodian) appointed by such a custodian; or </w:t>
      </w:r>
    </w:p>
    <w:p w14:paraId="3E2F65DF"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as the Complying Custodian directs; </w:t>
      </w:r>
    </w:p>
    <w:p w14:paraId="3B63E538"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if there is a margin repayment right held as scheme property, the responsible entity has directed in writing the person liable to pay the balance to which the right relates that any amounts payable to or at the direction of the responsible entity that affect the amount of the balance to which the margin repayment </w:t>
      </w:r>
      <w:r w:rsidRPr="00351010">
        <w:rPr>
          <w:rFonts w:ascii="Times New Roman" w:hAnsi="Times New Roman"/>
          <w:szCs w:val="24"/>
          <w:lang w:val="en-US"/>
        </w:rPr>
        <w:lastRenderedPageBreak/>
        <w:t>rights relate are to be made only to a Complying Custodian or as directed by a Complying Custodian;</w:t>
      </w:r>
    </w:p>
    <w:p w14:paraId="025D5A95"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a Complying Custodian and if the direction refers to a Complying Custodian, that Complying Custodian, is given a copy of each written direction given for the purposes of subparagraphs (</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 and (ii) within one business day and is given authority to require the counterparty or market participant to provide:</w:t>
      </w:r>
    </w:p>
    <w:p w14:paraId="5268B34F"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written confirmation that the direction remains in effect; and </w:t>
      </w:r>
    </w:p>
    <w:p w14:paraId="15B3CBD9"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reasonable access on each business day in the place where the person given the direction is located to information about all transactions under the derivative, the acquisition or disposal of the derivative and transactions affecting the amount of the balance in relation to the margin repayment right to which the direction relates for at least one month after the transaction, acquisition or disposal; </w:t>
      </w:r>
    </w:p>
    <w:p w14:paraId="2DA00EC3"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the Complying Custodian has contracted in writing with the responsible entity to:</w:t>
      </w:r>
    </w:p>
    <w:p w14:paraId="70631AE4"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require the provision of, and where obtained, keep for seven years a copy of records to which access is given under subparagraph (iii) to it of all transactions under the derivative, the acquisition or disposal of the derivative or any transactions affecting the amount of the balance in relation to the margin repayment right to which the direction relates; and </w:t>
      </w:r>
    </w:p>
    <w:p w14:paraId="250B84AE"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check whether it appears that:</w:t>
      </w:r>
    </w:p>
    <w:p w14:paraId="45EDD7C2" w14:textId="77777777" w:rsidR="00AD4FDC" w:rsidRPr="00351010" w:rsidRDefault="00AD4FDC" w:rsidP="00AD4FDC">
      <w:pPr>
        <w:spacing w:before="60" w:after="60"/>
        <w:ind w:left="2552" w:hanging="425"/>
        <w:rPr>
          <w:rFonts w:ascii="Times New Roman" w:hAnsi="Times New Roman"/>
          <w:szCs w:val="24"/>
          <w:lang w:val="en-US"/>
        </w:rPr>
      </w:pPr>
      <w:r w:rsidRPr="00351010">
        <w:rPr>
          <w:rFonts w:ascii="Times New Roman" w:hAnsi="Times New Roman"/>
          <w:szCs w:val="24"/>
          <w:lang w:val="en-US"/>
        </w:rPr>
        <w:t>(I)</w:t>
      </w:r>
      <w:r w:rsidRPr="00351010">
        <w:rPr>
          <w:rFonts w:ascii="Times New Roman" w:hAnsi="Times New Roman"/>
          <w:szCs w:val="24"/>
          <w:lang w:val="en-US"/>
        </w:rPr>
        <w:tab/>
        <w:t>those transactions comply with the direction a copy of which has been given to the Complying Custodian under subparagraph (iii); and</w:t>
      </w:r>
    </w:p>
    <w:p w14:paraId="507B116E" w14:textId="77777777" w:rsidR="00AD4FDC" w:rsidRPr="00351010" w:rsidRDefault="00AD4FDC" w:rsidP="00AD4FDC">
      <w:pPr>
        <w:spacing w:before="60" w:after="60"/>
        <w:ind w:left="2552"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the Complying Custodian has been given copies of </w:t>
      </w:r>
      <w:proofErr w:type="spellStart"/>
      <w:r w:rsidRPr="00351010">
        <w:rPr>
          <w:rFonts w:ascii="Times New Roman" w:hAnsi="Times New Roman"/>
          <w:szCs w:val="24"/>
          <w:lang w:val="en-US"/>
        </w:rPr>
        <w:t>authorisations</w:t>
      </w:r>
      <w:proofErr w:type="spellEnd"/>
      <w:r w:rsidRPr="00351010">
        <w:rPr>
          <w:rFonts w:ascii="Times New Roman" w:hAnsi="Times New Roman"/>
          <w:szCs w:val="24"/>
          <w:lang w:val="en-US"/>
        </w:rPr>
        <w:t xml:space="preserve"> for those transactions that comply with requirements for confirming the identity of the person providing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and the process of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notified to the Complying Custodian in writing by the responsible entity; and</w:t>
      </w:r>
    </w:p>
    <w:p w14:paraId="1C588EA4" w14:textId="77777777" w:rsidR="00AD4FDC" w:rsidRPr="00351010" w:rsidRDefault="00AD4FDC" w:rsidP="00AD4FDC">
      <w:pPr>
        <w:spacing w:before="60" w:after="60"/>
        <w:ind w:left="2552"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a transaction has been entered in response to every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 copy of which has been given to the Complying Custodian where the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appears to meet the responsible entity’s requirements notified to the Complying Custodian in writing;</w:t>
      </w:r>
    </w:p>
    <w:p w14:paraId="0C64EFB7" w14:textId="77777777" w:rsidR="00AD4FDC" w:rsidRPr="00351010" w:rsidRDefault="00AD4FDC" w:rsidP="00AD4FDC">
      <w:pPr>
        <w:spacing w:before="60" w:after="60"/>
        <w:ind w:left="2127"/>
        <w:rPr>
          <w:rFonts w:ascii="Times New Roman" w:hAnsi="Times New Roman"/>
          <w:szCs w:val="24"/>
          <w:lang w:val="en-US"/>
        </w:rPr>
      </w:pPr>
      <w:r w:rsidRPr="00351010">
        <w:rPr>
          <w:rFonts w:ascii="Times New Roman" w:hAnsi="Times New Roman"/>
          <w:szCs w:val="24"/>
          <w:lang w:val="en-US"/>
        </w:rPr>
        <w:t>and, if not, notify the responsible entity in writing and keep a copy of the notification for 7 years;</w:t>
      </w:r>
    </w:p>
    <w:p w14:paraId="174CF38F"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(j)</w:t>
      </w:r>
      <w:r w:rsidRPr="00351010">
        <w:rPr>
          <w:rFonts w:ascii="Times New Roman" w:hAnsi="Times New Roman"/>
          <w:szCs w:val="24"/>
          <w:lang w:val="en-US"/>
        </w:rPr>
        <w:tab/>
        <w:t>a security or interest in a managed investment scheme and any chose in action (</w:t>
      </w:r>
      <w:r w:rsidRPr="00351010">
        <w:rPr>
          <w:rFonts w:ascii="Times New Roman" w:hAnsi="Times New Roman"/>
          <w:b/>
          <w:i/>
          <w:szCs w:val="24"/>
          <w:lang w:val="en-US"/>
        </w:rPr>
        <w:t>associated chose in action</w:t>
      </w:r>
      <w:r w:rsidRPr="00351010">
        <w:rPr>
          <w:rFonts w:ascii="Times New Roman" w:hAnsi="Times New Roman"/>
          <w:szCs w:val="24"/>
          <w:lang w:val="en-US"/>
        </w:rPr>
        <w:t xml:space="preserve">) that is not a financial product related to the acquisition or holding of securities or interests in a managed investment scheme where </w:t>
      </w:r>
      <w:proofErr w:type="gramStart"/>
      <w:r w:rsidRPr="00351010">
        <w:rPr>
          <w:rFonts w:ascii="Times New Roman" w:hAnsi="Times New Roman"/>
          <w:szCs w:val="24"/>
          <w:lang w:val="en-US"/>
        </w:rPr>
        <w:t>all of</w:t>
      </w:r>
      <w:proofErr w:type="gramEnd"/>
      <w:r w:rsidRPr="00351010">
        <w:rPr>
          <w:rFonts w:ascii="Times New Roman" w:hAnsi="Times New Roman"/>
          <w:szCs w:val="24"/>
          <w:lang w:val="en-US"/>
        </w:rPr>
        <w:t xml:space="preserve"> the following apply:</w:t>
      </w:r>
    </w:p>
    <w:p w14:paraId="7E2871A3"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security or interest is not of a class that is able to be traded on a financial market;</w:t>
      </w:r>
    </w:p>
    <w:p w14:paraId="709C7F5C"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the security or interest or any associated chose in action may give rise to a liability for the holder under their terms;</w:t>
      </w:r>
    </w:p>
    <w:p w14:paraId="3ECEE415"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lastRenderedPageBreak/>
        <w:t>(iii)</w:t>
      </w:r>
      <w:r w:rsidRPr="00351010">
        <w:rPr>
          <w:rFonts w:ascii="Times New Roman" w:hAnsi="Times New Roman"/>
          <w:szCs w:val="24"/>
          <w:lang w:val="en-US"/>
        </w:rPr>
        <w:tab/>
        <w:t>the responsible entity reasonably considers that it is not reasonably practicable to ensure the exclusion of liability of the person holding the security or interest or any associated chose in action that may arise from that holding;</w:t>
      </w:r>
    </w:p>
    <w:p w14:paraId="2210D69E"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the responsible entity has given a written direction to:</w:t>
      </w:r>
    </w:p>
    <w:p w14:paraId="7B062ED5"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the issuer of the security, interest or associated chose in action; and </w:t>
      </w:r>
    </w:p>
    <w:p w14:paraId="373F8D80"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any counterparties that may be liable to pay or arrange to pay the holder of the security, interest or associated chose in action;</w:t>
      </w:r>
    </w:p>
    <w:p w14:paraId="1C24458A" w14:textId="77777777" w:rsidR="00AD4FDC" w:rsidRPr="00351010" w:rsidRDefault="00AD4FDC" w:rsidP="00AD4FDC">
      <w:pPr>
        <w:spacing w:before="60" w:after="60"/>
        <w:ind w:left="1701"/>
        <w:rPr>
          <w:rFonts w:ascii="Times New Roman" w:hAnsi="Times New Roman"/>
          <w:szCs w:val="24"/>
          <w:lang w:val="en-US"/>
        </w:rPr>
      </w:pPr>
      <w:r w:rsidRPr="00351010">
        <w:rPr>
          <w:rFonts w:ascii="Times New Roman" w:hAnsi="Times New Roman"/>
          <w:szCs w:val="24"/>
          <w:lang w:val="en-US"/>
        </w:rPr>
        <w:t xml:space="preserve">that any payments that are to be made to the responsible entity under the security, interest or associated chose in action must be paid to a Complying Custodian, or as that Complying Custodian directs in writing; </w:t>
      </w:r>
    </w:p>
    <w:p w14:paraId="368C710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w:t>
      </w:r>
      <w:r w:rsidRPr="00351010">
        <w:rPr>
          <w:rFonts w:ascii="Times New Roman" w:hAnsi="Times New Roman"/>
          <w:szCs w:val="24"/>
          <w:lang w:val="en-US"/>
        </w:rPr>
        <w:tab/>
        <w:t xml:space="preserve">any certificates or other title documents and copies of the written directions are held by the Complying Custodian or by a person acting on its behalf, and the Complying Custodian has authority to require the issuer and any such counterparty to confirm in writing that the direction remains in effect; </w:t>
      </w:r>
    </w:p>
    <w:p w14:paraId="44D93F0F"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(vi)</w:t>
      </w:r>
      <w:r w:rsidRPr="00351010">
        <w:rPr>
          <w:rFonts w:ascii="Times New Roman" w:hAnsi="Times New Roman"/>
          <w:szCs w:val="24"/>
          <w:lang w:val="en-US"/>
        </w:rPr>
        <w:tab/>
        <w:t xml:space="preserve">the Complying Custodian has contracted in writing to keep for 7 years a copy of records relating to the security, interest or associated chose in action that are available to it relating to the acquisition or disposal of the security, interest or associated chose in action or transactions under the security, interest or associated chose in action; </w:t>
      </w:r>
    </w:p>
    <w:p w14:paraId="5D5505A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(vii)</w:t>
      </w:r>
      <w:r w:rsidRPr="00351010">
        <w:rPr>
          <w:rFonts w:ascii="Times New Roman" w:hAnsi="Times New Roman"/>
          <w:szCs w:val="24"/>
          <w:lang w:val="en-US"/>
        </w:rPr>
        <w:tab/>
        <w:t>the Complying Custodian has contracted in writing to check whether it appears that:</w:t>
      </w:r>
    </w:p>
    <w:p w14:paraId="21C6C464"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those transactions comply with the direction a copy of which has been given to the Complying Custodian under subparagraph (v); and</w:t>
      </w:r>
    </w:p>
    <w:p w14:paraId="6168F94E"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the Complying Custodian has been given copies of </w:t>
      </w:r>
      <w:proofErr w:type="spellStart"/>
      <w:r w:rsidRPr="00351010">
        <w:rPr>
          <w:rFonts w:ascii="Times New Roman" w:hAnsi="Times New Roman"/>
          <w:szCs w:val="24"/>
          <w:lang w:val="en-US"/>
        </w:rPr>
        <w:t>authorisations</w:t>
      </w:r>
      <w:proofErr w:type="spellEnd"/>
      <w:r w:rsidRPr="00351010">
        <w:rPr>
          <w:rFonts w:ascii="Times New Roman" w:hAnsi="Times New Roman"/>
          <w:szCs w:val="24"/>
          <w:lang w:val="en-US"/>
        </w:rPr>
        <w:t xml:space="preserve"> for those transactions that comply with requirements for confirming the identity of the person providing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and the process of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notified to the Complying Custodian in writing by the responsible entity; and</w:t>
      </w:r>
    </w:p>
    <w:p w14:paraId="13312265"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a transaction has been entered in response to every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 copy of which has been given to the Complying Custodian where the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appears to meet the responsible entity’s requirements notified to the Complying Custodian in writing; </w:t>
      </w:r>
    </w:p>
    <w:p w14:paraId="5F01363C" w14:textId="77777777" w:rsidR="00AD4FDC" w:rsidRPr="00351010" w:rsidRDefault="00AD4FDC" w:rsidP="00AD4FDC">
      <w:pPr>
        <w:spacing w:before="60" w:after="60"/>
        <w:ind w:left="1701"/>
        <w:rPr>
          <w:rFonts w:ascii="Times New Roman" w:hAnsi="Times New Roman"/>
          <w:szCs w:val="24"/>
          <w:lang w:val="en-US"/>
        </w:rPr>
      </w:pPr>
      <w:r w:rsidRPr="00351010">
        <w:rPr>
          <w:rFonts w:ascii="Times New Roman" w:hAnsi="Times New Roman"/>
          <w:szCs w:val="24"/>
          <w:lang w:val="en-US"/>
        </w:rPr>
        <w:t>and, if not, notify the responsible entity in writing and keep a copy of the notification for 7 years;</w:t>
      </w:r>
    </w:p>
    <w:p w14:paraId="4C8A88D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(k)</w:t>
      </w:r>
      <w:r w:rsidRPr="00351010">
        <w:rPr>
          <w:rFonts w:ascii="Times New Roman" w:hAnsi="Times New Roman"/>
          <w:szCs w:val="24"/>
          <w:lang w:val="en-US"/>
        </w:rPr>
        <w:tab/>
        <w:t xml:space="preserve">a deposit taking facility with an Australian ADI or a body (a </w:t>
      </w:r>
      <w:r w:rsidRPr="00351010">
        <w:rPr>
          <w:rFonts w:ascii="Times New Roman" w:hAnsi="Times New Roman"/>
          <w:b/>
          <w:i/>
          <w:szCs w:val="24"/>
          <w:lang w:val="en-US"/>
        </w:rPr>
        <w:t>foreign ADI</w:t>
      </w:r>
      <w:r w:rsidRPr="00351010">
        <w:rPr>
          <w:rFonts w:ascii="Times New Roman" w:hAnsi="Times New Roman"/>
          <w:szCs w:val="24"/>
          <w:lang w:val="en-US"/>
        </w:rPr>
        <w:t xml:space="preserve">) formed or incorporated outside Australia which is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to accept deposits and is prudentially regulated by a government or an agency of a government in relation to its deposit taking activities if the responsible entity reasonably considers that holding the deposit taking facility by another person would raise unreasonable operational difficulties or be impracticable where all of the following apply: </w:t>
      </w:r>
    </w:p>
    <w:p w14:paraId="79AF9EC7"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 xml:space="preserve">the issuer of the deposit taking facility and the responsible entity have a written arrangement under which the issuer would not be likely to make any payments that are to be made under the facility to a person not approved by a Complying </w:t>
      </w:r>
      <w:r w:rsidRPr="00351010">
        <w:rPr>
          <w:rFonts w:ascii="Times New Roman" w:hAnsi="Times New Roman"/>
          <w:szCs w:val="24"/>
          <w:lang w:val="en-US"/>
        </w:rPr>
        <w:lastRenderedPageBreak/>
        <w:t>Custodian</w:t>
      </w:r>
      <w:r w:rsidRPr="00351010" w:rsidDel="00E86BA2">
        <w:rPr>
          <w:rFonts w:ascii="Times New Roman" w:hAnsi="Times New Roman"/>
          <w:szCs w:val="24"/>
          <w:lang w:val="en-US"/>
        </w:rPr>
        <w:t xml:space="preserve"> </w:t>
      </w:r>
      <w:r w:rsidRPr="00351010">
        <w:rPr>
          <w:rFonts w:ascii="Times New Roman" w:hAnsi="Times New Roman"/>
          <w:szCs w:val="24"/>
          <w:lang w:val="en-US"/>
        </w:rPr>
        <w:t xml:space="preserve">and which </w:t>
      </w:r>
      <w:proofErr w:type="spellStart"/>
      <w:r w:rsidRPr="00351010">
        <w:rPr>
          <w:rFonts w:ascii="Times New Roman" w:hAnsi="Times New Roman"/>
          <w:szCs w:val="24"/>
          <w:lang w:val="en-US"/>
        </w:rPr>
        <w:t>authorises</w:t>
      </w:r>
      <w:proofErr w:type="spellEnd"/>
      <w:r w:rsidRPr="00351010">
        <w:rPr>
          <w:rFonts w:ascii="Times New Roman" w:hAnsi="Times New Roman"/>
          <w:szCs w:val="24"/>
          <w:lang w:val="en-US"/>
        </w:rPr>
        <w:t xml:space="preserve"> the issuer to disclose at any time whether the arrangement remains current to the Complying Custodian; </w:t>
      </w:r>
    </w:p>
    <w:p w14:paraId="616B24D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a copy of the written arrangement is held by the Complying Custodian;</w:t>
      </w:r>
    </w:p>
    <w:p w14:paraId="667213C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the Complying Custodian has reasonable access on each business day that the issuer is open for business to information about transactions for at least 2 years before that business day using the facility and access to all the information that the responsible entity has a right to be given or is given in relation to the facility; </w:t>
      </w:r>
    </w:p>
    <w:p w14:paraId="416D2C1B"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(iv)</w:t>
      </w:r>
      <w:r w:rsidRPr="00351010">
        <w:rPr>
          <w:rFonts w:ascii="Times New Roman" w:hAnsi="Times New Roman"/>
          <w:szCs w:val="24"/>
          <w:lang w:val="en-US"/>
        </w:rPr>
        <w:tab/>
        <w:t xml:space="preserve">the Complying Custodian has agreed to keep for 7 years all records relating to transactions under the facility to which access is given under subparagraph (iii); </w:t>
      </w:r>
    </w:p>
    <w:p w14:paraId="1441E2D9"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(v)</w:t>
      </w:r>
      <w:r w:rsidRPr="00351010">
        <w:rPr>
          <w:rFonts w:ascii="Times New Roman" w:hAnsi="Times New Roman"/>
          <w:szCs w:val="24"/>
          <w:lang w:val="en-US"/>
        </w:rPr>
        <w:tab/>
        <w:t>the Complying Custodian has agreed to check whether it appears that:</w:t>
      </w:r>
    </w:p>
    <w:p w14:paraId="3EA86CE8"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those transactions comply with the arrangement a copy of which has been given to the Complying Custodian under subparagraph (ii); and</w:t>
      </w:r>
    </w:p>
    <w:p w14:paraId="5E66E475"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the Complying Custodian has been given copies of </w:t>
      </w:r>
      <w:proofErr w:type="spellStart"/>
      <w:r w:rsidRPr="00351010">
        <w:rPr>
          <w:rFonts w:ascii="Times New Roman" w:hAnsi="Times New Roman"/>
          <w:szCs w:val="24"/>
          <w:lang w:val="en-US"/>
        </w:rPr>
        <w:t>authorisations</w:t>
      </w:r>
      <w:proofErr w:type="spellEnd"/>
      <w:r w:rsidRPr="00351010">
        <w:rPr>
          <w:rFonts w:ascii="Times New Roman" w:hAnsi="Times New Roman"/>
          <w:szCs w:val="24"/>
          <w:lang w:val="en-US"/>
        </w:rPr>
        <w:t xml:space="preserve"> for those transactions that comply with requirements for confirming the identity of the person providing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and the process of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notified to the Complying Custodian by the responsible entity in writing; and</w:t>
      </w:r>
    </w:p>
    <w:p w14:paraId="2C575717"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a transaction has been entered in response to every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 copy of which has been given to the Complying Custodian where the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appears to meet the responsible entity’s requirements notified to the Complying Custodian in writing; </w:t>
      </w:r>
    </w:p>
    <w:p w14:paraId="2DB4C720" w14:textId="77777777" w:rsidR="00AD4FDC" w:rsidRPr="00351010" w:rsidRDefault="00AD4FDC" w:rsidP="00AD4FDC">
      <w:pPr>
        <w:spacing w:before="60" w:after="60"/>
        <w:ind w:left="1701"/>
        <w:rPr>
          <w:rFonts w:ascii="Times New Roman" w:hAnsi="Times New Roman"/>
          <w:szCs w:val="24"/>
          <w:lang w:val="en-US"/>
        </w:rPr>
      </w:pPr>
      <w:r w:rsidRPr="00351010">
        <w:rPr>
          <w:rFonts w:ascii="Times New Roman" w:hAnsi="Times New Roman"/>
          <w:szCs w:val="24"/>
          <w:lang w:val="en-US"/>
        </w:rPr>
        <w:t>and, if not, notify the responsible entity in writing and keep a copy of the notification for 7 years;</w:t>
      </w:r>
    </w:p>
    <w:p w14:paraId="0B47F231"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(l)</w:t>
      </w:r>
      <w:r w:rsidRPr="00351010">
        <w:rPr>
          <w:rFonts w:ascii="Times New Roman" w:hAnsi="Times New Roman"/>
          <w:szCs w:val="24"/>
          <w:lang w:val="en-US"/>
        </w:rPr>
        <w:tab/>
        <w:t xml:space="preserve">a deposit taking facility with an Australian ADI or a foreign ADI if the responsible entity reasonably considers that holding the deposit taking facility by another person would raise unreasonable operational difficulties or be impracticable where: </w:t>
      </w:r>
    </w:p>
    <w:p w14:paraId="6222F3ED"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use of the facility for payments is intended by the responsible entity to be limited to the making of payments to a Complying Custodian who has been engaged to hold the scheme property and persons that the responsible entity or its agents believe are members of the scheme; and</w:t>
      </w:r>
    </w:p>
    <w:p w14:paraId="71F4B8CA"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the responsible entity does not permit any payments to be made from the facility except to the Complying Custodian, as directed by the Complying Custodian or in accordance with instructions made by a person that, except with the consent in writing of ASIC: </w:t>
      </w:r>
    </w:p>
    <w:p w14:paraId="54621A96"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carries on a business consisting of or including maintaining registers of members of registered schemes under Chapter 2C; and</w:t>
      </w:r>
    </w:p>
    <w:p w14:paraId="52A2DA69"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is not the responsible entity or its related body corporate; and</w:t>
      </w:r>
    </w:p>
    <w:p w14:paraId="4CA1D9E4"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the responsible entity reasonably believes has net assets of at least $250,000 as its net assets would appear in a balance sheet if lodged under Chapter 2M at that time or it appeared that the person has such net assets </w:t>
      </w:r>
      <w:r w:rsidRPr="00351010">
        <w:rPr>
          <w:rFonts w:ascii="Times New Roman" w:hAnsi="Times New Roman"/>
          <w:szCs w:val="24"/>
          <w:lang w:val="en-US"/>
        </w:rPr>
        <w:lastRenderedPageBreak/>
        <w:t>on the basis of its balance sheet most recently lodged under Chapter 2M; and</w:t>
      </w:r>
    </w:p>
    <w:p w14:paraId="7830E14F" w14:textId="77777777" w:rsidR="00AD4FDC" w:rsidRPr="00351010" w:rsidRDefault="00AD4FDC" w:rsidP="00AD4FDC">
      <w:pPr>
        <w:spacing w:before="60" w:after="60"/>
        <w:ind w:left="2127" w:hanging="426"/>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the responsible entity reasonably believes has not and will not provide an instruction for a payment that results in the responsible entity being required to lodge a report under subsection 912D(1B); </w:t>
      </w:r>
    </w:p>
    <w:p w14:paraId="0640799B"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(m)</w:t>
      </w:r>
      <w:r w:rsidRPr="00351010">
        <w:rPr>
          <w:rFonts w:ascii="Times New Roman" w:hAnsi="Times New Roman"/>
          <w:szCs w:val="24"/>
          <w:lang w:val="en-US"/>
        </w:rPr>
        <w:tab/>
        <w:t>a deposit taking facility with an Australian ADI or a foreign ADI where the issuer of the deposit taking facility:</w:t>
      </w:r>
    </w:p>
    <w:p w14:paraId="7285E3FB"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is a Complying Custodian who holds other scheme property of the scheme or IDPS property of the IDPS; and</w:t>
      </w:r>
    </w:p>
    <w:p w14:paraId="158808A0"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 xml:space="preserve">has agreed to ensure that staff that are involved with the provision of custodial services and not involved in the provision of banking services check whether each transaction complies with requirements for confirming the identity of the person providing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and the process of </w:t>
      </w:r>
      <w:proofErr w:type="spellStart"/>
      <w:r w:rsidRPr="00351010">
        <w:rPr>
          <w:rFonts w:ascii="Times New Roman" w:hAnsi="Times New Roman"/>
          <w:szCs w:val="24"/>
          <w:lang w:val="en-US"/>
        </w:rPr>
        <w:t>authorisation</w:t>
      </w:r>
      <w:proofErr w:type="spellEnd"/>
      <w:r w:rsidRPr="00351010">
        <w:rPr>
          <w:rFonts w:ascii="Times New Roman" w:hAnsi="Times New Roman"/>
          <w:szCs w:val="24"/>
          <w:lang w:val="en-US"/>
        </w:rPr>
        <w:t xml:space="preserve"> notified to the Complying Custodian by the licensee in writing; and</w:t>
      </w:r>
    </w:p>
    <w:p w14:paraId="1EBFA018"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(iii)</w:t>
      </w:r>
      <w:r w:rsidRPr="00351010">
        <w:rPr>
          <w:rFonts w:ascii="Times New Roman" w:hAnsi="Times New Roman"/>
          <w:szCs w:val="24"/>
          <w:lang w:val="en-US"/>
        </w:rPr>
        <w:tab/>
        <w:t xml:space="preserve">keeps a copy of the records of each transaction including how it was </w:t>
      </w:r>
      <w:proofErr w:type="spellStart"/>
      <w:r w:rsidRPr="00351010">
        <w:rPr>
          <w:rFonts w:ascii="Times New Roman" w:hAnsi="Times New Roman"/>
          <w:szCs w:val="24"/>
          <w:lang w:val="en-US"/>
        </w:rPr>
        <w:t>authorised</w:t>
      </w:r>
      <w:proofErr w:type="spellEnd"/>
      <w:r w:rsidRPr="00351010">
        <w:rPr>
          <w:rFonts w:ascii="Times New Roman" w:hAnsi="Times New Roman"/>
          <w:szCs w:val="24"/>
          <w:lang w:val="en-US"/>
        </w:rPr>
        <w:t xml:space="preserve"> and any notification given under paragraph (ii) for 7 years; and</w:t>
      </w:r>
    </w:p>
    <w:p w14:paraId="386D748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(n)</w:t>
      </w:r>
      <w:r w:rsidRPr="00351010">
        <w:rPr>
          <w:rFonts w:ascii="Times New Roman" w:hAnsi="Times New Roman"/>
          <w:szCs w:val="24"/>
          <w:lang w:val="en-US"/>
        </w:rPr>
        <w:tab/>
        <w:t xml:space="preserve">any chose in action that is not a financial product that is not reasonably practicable to assign other than to the relevant member or members of the scheme or to the clients of the IDPS (as applicable) or together with other property that is covered by any of paragraphs (a) to (m).”. </w:t>
      </w:r>
    </w:p>
    <w:p w14:paraId="5A1B9D7B"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bCs/>
          <w:i/>
          <w:iCs/>
          <w:szCs w:val="24"/>
          <w:lang w:val="en-US"/>
        </w:rPr>
        <w:t>stapled group</w:t>
      </w:r>
      <w:r w:rsidRPr="00351010">
        <w:rPr>
          <w:rFonts w:ascii="Times New Roman" w:hAnsi="Times New Roman"/>
          <w:b/>
          <w:bCs/>
          <w:iCs/>
          <w:szCs w:val="24"/>
          <w:lang w:val="en-US"/>
        </w:rPr>
        <w:t xml:space="preserve"> </w:t>
      </w:r>
      <w:r w:rsidRPr="00351010">
        <w:rPr>
          <w:rFonts w:ascii="Times New Roman" w:hAnsi="Times New Roman"/>
          <w:szCs w:val="24"/>
          <w:lang w:val="en-US"/>
        </w:rPr>
        <w:t xml:space="preserve">means the group of entities consisting of: </w:t>
      </w:r>
    </w:p>
    <w:p w14:paraId="707553FE"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one or more stapled issuers who are issuers of securities or managed investment products that must be transferred together; and</w:t>
      </w:r>
    </w:p>
    <w:p w14:paraId="60242F1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 xml:space="preserve">all </w:t>
      </w:r>
      <w:proofErr w:type="gramStart"/>
      <w:r w:rsidRPr="00351010">
        <w:rPr>
          <w:rFonts w:ascii="Times New Roman" w:hAnsi="Times New Roman"/>
          <w:szCs w:val="24"/>
          <w:lang w:val="en-US"/>
        </w:rPr>
        <w:t>wholly-owned</w:t>
      </w:r>
      <w:proofErr w:type="gramEnd"/>
      <w:r w:rsidRPr="00351010">
        <w:rPr>
          <w:rFonts w:ascii="Times New Roman" w:hAnsi="Times New Roman"/>
          <w:szCs w:val="24"/>
          <w:lang w:val="en-US"/>
        </w:rPr>
        <w:t xml:space="preserve"> entities of the stapled issuers. </w:t>
      </w:r>
    </w:p>
    <w:p w14:paraId="672F238D"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bCs/>
          <w:i/>
          <w:iCs/>
          <w:szCs w:val="24"/>
          <w:lang w:val="en-US"/>
        </w:rPr>
        <w:t>stapled issuer</w:t>
      </w:r>
      <w:r w:rsidRPr="00351010">
        <w:rPr>
          <w:rFonts w:ascii="Times New Roman" w:hAnsi="Times New Roman"/>
          <w:b/>
          <w:bCs/>
          <w:iCs/>
          <w:szCs w:val="24"/>
          <w:lang w:val="en-US"/>
        </w:rPr>
        <w:t xml:space="preserve"> </w:t>
      </w:r>
      <w:r w:rsidRPr="00351010">
        <w:rPr>
          <w:rFonts w:ascii="Times New Roman" w:hAnsi="Times New Roman"/>
          <w:szCs w:val="24"/>
          <w:lang w:val="en-US"/>
        </w:rPr>
        <w:t>means an entity a security or managed investment product of which under the terms on which it is traded on a prescribed financial market or under the constitution of the entity or under the terms of issue, must be transferred together with a security or managed investment product of one or more other entities.</w:t>
      </w:r>
    </w:p>
    <w:p w14:paraId="1673B9C8"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b/>
          <w:bCs/>
          <w:i/>
          <w:szCs w:val="24"/>
          <w:lang w:val="en-US"/>
        </w:rPr>
        <w:t>Tier $500,000 class assets</w:t>
      </w:r>
      <w:r w:rsidRPr="00351010">
        <w:rPr>
          <w:rFonts w:ascii="Times New Roman" w:hAnsi="Times New Roman"/>
          <w:szCs w:val="24"/>
          <w:lang w:val="en-US"/>
        </w:rPr>
        <w:t xml:space="preserve"> means, in relation to a registered scheme:</w:t>
      </w:r>
    </w:p>
    <w:p w14:paraId="70AAF429"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 xml:space="preserve">real property (including mortgages or leases over or </w:t>
      </w:r>
      <w:proofErr w:type="spellStart"/>
      <w:r w:rsidRPr="00351010">
        <w:rPr>
          <w:rFonts w:ascii="Times New Roman" w:hAnsi="Times New Roman"/>
          <w:szCs w:val="24"/>
          <w:lang w:val="en-US"/>
        </w:rPr>
        <w:t>licences</w:t>
      </w:r>
      <w:proofErr w:type="spellEnd"/>
      <w:r w:rsidRPr="00351010">
        <w:rPr>
          <w:rFonts w:ascii="Times New Roman" w:hAnsi="Times New Roman"/>
          <w:szCs w:val="24"/>
          <w:lang w:val="en-US"/>
        </w:rPr>
        <w:t xml:space="preserve"> in relation to real property) that is intended to be kept for the whole duration of the scheme or, the relevant mortgage; and</w:t>
      </w:r>
    </w:p>
    <w:p w14:paraId="6965C62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physical assets which as a matter of reasonable practice can be held by a custodian (such as currency, valuables or precious metals); and</w:t>
      </w:r>
    </w:p>
    <w:p w14:paraId="00707ACD"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funds held in a regulated trust account which were received from members within the following periods:</w:t>
      </w:r>
    </w:p>
    <w:p w14:paraId="7623C4C4"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if held for the purposes of the initial investment by the responsible entity as part of the scheme—the previous 6 months; or</w:t>
      </w:r>
    </w:p>
    <w:p w14:paraId="5540792E" w14:textId="77777777" w:rsidR="00AD4FDC" w:rsidRPr="00351010" w:rsidRDefault="00AD4FDC" w:rsidP="00AD4FDC">
      <w:pPr>
        <w:spacing w:before="60" w:after="60"/>
        <w:ind w:left="1701" w:hanging="425"/>
        <w:rPr>
          <w:rFonts w:ascii="Times New Roman" w:hAnsi="Times New Roman"/>
          <w:szCs w:val="24"/>
          <w:lang w:val="en-US"/>
        </w:rPr>
      </w:pPr>
      <w:r w:rsidRPr="00351010">
        <w:rPr>
          <w:rFonts w:ascii="Times New Roman" w:hAnsi="Times New Roman"/>
          <w:szCs w:val="24"/>
          <w:lang w:val="en-US"/>
        </w:rPr>
        <w:lastRenderedPageBreak/>
        <w:t>(ii)</w:t>
      </w:r>
      <w:r w:rsidRPr="00351010">
        <w:rPr>
          <w:rFonts w:ascii="Times New Roman" w:hAnsi="Times New Roman"/>
          <w:szCs w:val="24"/>
          <w:lang w:val="en-US"/>
        </w:rPr>
        <w:tab/>
        <w:t>if held pending payment of expenses of the scheme—the previous 13 months; and</w:t>
      </w:r>
    </w:p>
    <w:p w14:paraId="2575C755"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special custody assets.</w:t>
      </w:r>
    </w:p>
    <w:p w14:paraId="326CD7C1" w14:textId="77777777" w:rsidR="00AD4FDC" w:rsidRPr="00351010" w:rsidRDefault="00AD4FDC" w:rsidP="00AD4FDC">
      <w:pPr>
        <w:widowControl w:val="0"/>
        <w:spacing w:before="120" w:after="120"/>
        <w:ind w:left="851"/>
        <w:rPr>
          <w:rFonts w:ascii="Times New Roman" w:hAnsi="Times New Roman"/>
          <w:szCs w:val="24"/>
          <w:lang w:val="en-US"/>
        </w:rPr>
      </w:pPr>
      <w:r w:rsidRPr="00351010">
        <w:rPr>
          <w:rFonts w:ascii="Times New Roman" w:hAnsi="Times New Roman"/>
          <w:b/>
          <w:i/>
          <w:szCs w:val="24"/>
          <w:lang w:val="en-US"/>
        </w:rPr>
        <w:t>value of scheme and IDPS property</w:t>
      </w:r>
      <w:r w:rsidRPr="00351010">
        <w:rPr>
          <w:rFonts w:ascii="Times New Roman" w:hAnsi="Times New Roman"/>
          <w:b/>
          <w:szCs w:val="24"/>
          <w:lang w:val="en-US"/>
        </w:rPr>
        <w:t xml:space="preserve"> </w:t>
      </w:r>
      <w:r w:rsidRPr="00351010">
        <w:rPr>
          <w:rFonts w:ascii="Times New Roman" w:hAnsi="Times New Roman"/>
          <w:szCs w:val="24"/>
          <w:lang w:val="en-US"/>
        </w:rPr>
        <w:t xml:space="preserve">means, in relation to a financial services licensee at a time, the aggregate of:  </w:t>
      </w:r>
    </w:p>
    <w:p w14:paraId="149DD2B8"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(a)</w:t>
      </w:r>
      <w:r w:rsidRPr="00351010">
        <w:rPr>
          <w:rFonts w:ascii="Times New Roman" w:hAnsi="Times New Roman"/>
          <w:szCs w:val="24"/>
          <w:lang w:val="en-US"/>
        </w:rPr>
        <w:tab/>
        <w:t>the value of the scheme property and any other assets (including mortgages held by members of a mortgage scheme and managed as part of the scheme) of the registered schemes operated by the licensee as responsible entity; and</w:t>
      </w:r>
    </w:p>
    <w:p w14:paraId="05A99AE3"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(b)</w:t>
      </w:r>
      <w:r w:rsidRPr="00351010">
        <w:rPr>
          <w:rFonts w:ascii="Times New Roman" w:hAnsi="Times New Roman"/>
          <w:szCs w:val="24"/>
          <w:lang w:val="en-US"/>
        </w:rPr>
        <w:tab/>
        <w:t>the value of the IDPS property of the IDPSs operated by the licensee;</w:t>
      </w:r>
    </w:p>
    <w:p w14:paraId="56A7B93A"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 xml:space="preserve">determined as follows: </w:t>
      </w:r>
    </w:p>
    <w:p w14:paraId="7B79B9D6"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(c)</w:t>
      </w:r>
      <w:r w:rsidRPr="00351010">
        <w:rPr>
          <w:rFonts w:ascii="Times New Roman" w:hAnsi="Times New Roman"/>
          <w:szCs w:val="24"/>
          <w:lang w:val="en-US"/>
        </w:rPr>
        <w:tab/>
        <w:t xml:space="preserve">in the case of assets of a scheme that would be </w:t>
      </w:r>
      <w:proofErr w:type="spellStart"/>
      <w:r w:rsidRPr="00351010">
        <w:rPr>
          <w:rFonts w:ascii="Times New Roman" w:hAnsi="Times New Roman"/>
          <w:szCs w:val="24"/>
          <w:lang w:val="en-US"/>
        </w:rPr>
        <w:t>recognised</w:t>
      </w:r>
      <w:proofErr w:type="spellEnd"/>
      <w:r w:rsidRPr="00351010">
        <w:rPr>
          <w:rFonts w:ascii="Times New Roman" w:hAnsi="Times New Roman"/>
          <w:szCs w:val="24"/>
          <w:lang w:val="en-US"/>
        </w:rPr>
        <w:t xml:space="preserve"> in preparing a balance sheet for members under Chapter 2M – the value as if at that time such a balance sheet was being prepared; and</w:t>
      </w:r>
    </w:p>
    <w:p w14:paraId="07DB49CC"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(d)</w:t>
      </w:r>
      <w:r w:rsidRPr="00351010">
        <w:rPr>
          <w:rFonts w:ascii="Times New Roman" w:hAnsi="Times New Roman"/>
          <w:szCs w:val="24"/>
          <w:lang w:val="en-US"/>
        </w:rPr>
        <w:tab/>
        <w:t xml:space="preserve">in the case of any other scheme property or IDPS property – its market value at that time. </w:t>
      </w:r>
    </w:p>
    <w:p w14:paraId="02AABEC0" w14:textId="77777777" w:rsidR="00AD4FDC" w:rsidRPr="00351010" w:rsidRDefault="00AD4FDC" w:rsidP="00351010">
      <w:pPr>
        <w:pStyle w:val="aheade"/>
      </w:pPr>
      <w:r w:rsidRPr="00351010">
        <w:t>Revocation and transitional</w:t>
      </w:r>
    </w:p>
    <w:p w14:paraId="6B648298" w14:textId="77777777" w:rsidR="00AD4FDC" w:rsidRPr="00351010" w:rsidRDefault="00AD4FDC" w:rsidP="00AD4FDC">
      <w:pPr>
        <w:spacing w:before="120" w:after="120"/>
        <w:ind w:left="425" w:hanging="425"/>
        <w:rPr>
          <w:rFonts w:ascii="Times New Roman" w:hAnsi="Times New Roman"/>
        </w:rPr>
      </w:pPr>
      <w:r w:rsidRPr="00351010">
        <w:rPr>
          <w:rFonts w:ascii="Times New Roman" w:hAnsi="Times New Roman"/>
        </w:rPr>
        <w:t>5.</w:t>
      </w:r>
      <w:r w:rsidRPr="00351010">
        <w:rPr>
          <w:rFonts w:ascii="Times New Roman" w:hAnsi="Times New Roman"/>
        </w:rPr>
        <w:tab/>
        <w:t>ASIC Class Order [CO 11/1140] is revoked.</w:t>
      </w:r>
    </w:p>
    <w:p w14:paraId="09F2FFEE" w14:textId="77777777" w:rsidR="00AD4FDC" w:rsidRPr="00351010" w:rsidRDefault="00AD4FDC" w:rsidP="00AD4FDC">
      <w:pPr>
        <w:spacing w:before="120" w:after="120"/>
        <w:ind w:left="425" w:hanging="425"/>
        <w:rPr>
          <w:rFonts w:ascii="Times New Roman" w:hAnsi="Times New Roman"/>
        </w:rPr>
      </w:pPr>
      <w:r w:rsidRPr="00351010">
        <w:rPr>
          <w:rFonts w:ascii="Times New Roman" w:hAnsi="Times New Roman"/>
        </w:rPr>
        <w:t>6.</w:t>
      </w:r>
      <w:r w:rsidRPr="00351010">
        <w:rPr>
          <w:rFonts w:ascii="Times New Roman" w:hAnsi="Times New Roman"/>
          <w:b/>
        </w:rPr>
        <w:tab/>
      </w:r>
      <w:r w:rsidRPr="00351010">
        <w:rPr>
          <w:rFonts w:ascii="Times New Roman" w:hAnsi="Times New Roman"/>
        </w:rPr>
        <w:t>If, immediately before the commencement of this instrument, a person held an Australian financial services licence that authorises the person to operate a registered scheme as a responsible entity or an IDPS:</w:t>
      </w:r>
    </w:p>
    <w:p w14:paraId="4A50F77F"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t>(a)</w:t>
      </w:r>
      <w:r w:rsidRPr="00351010">
        <w:rPr>
          <w:rFonts w:ascii="Times New Roman" w:hAnsi="Times New Roman"/>
        </w:rPr>
        <w:tab/>
        <w:t xml:space="preserve">paragraph 4 of this instrument does not apply to the person until the earlier of (the </w:t>
      </w:r>
      <w:r w:rsidRPr="00351010">
        <w:rPr>
          <w:rFonts w:ascii="Times New Roman" w:hAnsi="Times New Roman"/>
          <w:b/>
          <w:i/>
        </w:rPr>
        <w:t>application date</w:t>
      </w:r>
      <w:r w:rsidRPr="00351010">
        <w:rPr>
          <w:rFonts w:ascii="Times New Roman" w:hAnsi="Times New Roman"/>
        </w:rPr>
        <w:t>):</w:t>
      </w:r>
    </w:p>
    <w:p w14:paraId="1F339928"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w:t>
      </w:r>
      <w:proofErr w:type="spellStart"/>
      <w:r w:rsidRPr="00351010">
        <w:rPr>
          <w:rFonts w:ascii="Times New Roman" w:hAnsi="Times New Roman"/>
          <w:szCs w:val="24"/>
          <w:lang w:val="en-US"/>
        </w:rPr>
        <w:t>i</w:t>
      </w:r>
      <w:proofErr w:type="spellEnd"/>
      <w:r w:rsidRPr="00351010">
        <w:rPr>
          <w:rFonts w:ascii="Times New Roman" w:hAnsi="Times New Roman"/>
          <w:szCs w:val="24"/>
          <w:lang w:val="en-US"/>
        </w:rPr>
        <w:t>)</w:t>
      </w:r>
      <w:r w:rsidRPr="00351010">
        <w:rPr>
          <w:rFonts w:ascii="Times New Roman" w:hAnsi="Times New Roman"/>
          <w:szCs w:val="24"/>
          <w:lang w:val="en-US"/>
        </w:rPr>
        <w:tab/>
        <w:t>the person both lodging with ASIC and publishing on its website a notice that it will rely on this instrument; and</w:t>
      </w:r>
    </w:p>
    <w:p w14:paraId="19875B17" w14:textId="77777777" w:rsidR="00AD4FDC" w:rsidRPr="00351010" w:rsidRDefault="00AD4FDC" w:rsidP="00AD4FDC">
      <w:pPr>
        <w:widowControl w:val="0"/>
        <w:spacing w:before="120" w:after="120"/>
        <w:ind w:left="1276" w:hanging="425"/>
        <w:rPr>
          <w:rFonts w:ascii="Times New Roman" w:hAnsi="Times New Roman"/>
          <w:szCs w:val="24"/>
          <w:lang w:val="en-US"/>
        </w:rPr>
      </w:pPr>
      <w:r w:rsidRPr="00351010">
        <w:rPr>
          <w:rFonts w:ascii="Times New Roman" w:hAnsi="Times New Roman"/>
          <w:szCs w:val="24"/>
          <w:lang w:val="en-US"/>
        </w:rPr>
        <w:t>(ii)</w:t>
      </w:r>
      <w:r w:rsidRPr="00351010">
        <w:rPr>
          <w:rFonts w:ascii="Times New Roman" w:hAnsi="Times New Roman"/>
          <w:szCs w:val="24"/>
          <w:lang w:val="en-US"/>
        </w:rPr>
        <w:tab/>
        <w:t>1 July 2014; and</w:t>
      </w:r>
    </w:p>
    <w:p w14:paraId="78BE46BC" w14:textId="77777777" w:rsidR="00AD4FDC" w:rsidRPr="00351010" w:rsidRDefault="00AD4FDC" w:rsidP="00AD4FDC">
      <w:pPr>
        <w:spacing w:before="60" w:after="120"/>
        <w:ind w:firstLine="851"/>
        <w:rPr>
          <w:rFonts w:ascii="Times New Roman" w:hAnsi="Times New Roman"/>
          <w:sz w:val="18"/>
        </w:rPr>
      </w:pPr>
      <w:r w:rsidRPr="00351010">
        <w:rPr>
          <w:rFonts w:ascii="Times New Roman" w:hAnsi="Times New Roman"/>
          <w:sz w:val="18"/>
        </w:rPr>
        <w:t>Note: A notice under sub-subparagraph 6(a)(</w:t>
      </w:r>
      <w:proofErr w:type="spellStart"/>
      <w:r w:rsidRPr="00351010">
        <w:rPr>
          <w:rFonts w:ascii="Times New Roman" w:hAnsi="Times New Roman"/>
          <w:sz w:val="18"/>
        </w:rPr>
        <w:t>i</w:t>
      </w:r>
      <w:proofErr w:type="spellEnd"/>
      <w:r w:rsidRPr="00351010">
        <w:rPr>
          <w:rFonts w:ascii="Times New Roman" w:hAnsi="Times New Roman"/>
          <w:sz w:val="18"/>
        </w:rPr>
        <w:t>) cannot be revoked.</w:t>
      </w:r>
    </w:p>
    <w:p w14:paraId="36ACA225"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t>(b)</w:t>
      </w:r>
      <w:r w:rsidRPr="00351010">
        <w:rPr>
          <w:rFonts w:ascii="Times New Roman" w:hAnsi="Times New Roman"/>
        </w:rPr>
        <w:tab/>
        <w:t>if the person was authorised to operate a registered scheme, ASIC Class Order</w:t>
      </w:r>
      <w:r w:rsidRPr="00351010">
        <w:rPr>
          <w:rFonts w:ascii="Times New Roman" w:hAnsi="Times New Roman"/>
          <w:iCs/>
        </w:rPr>
        <w:t xml:space="preserve"> [CO 11/1140] </w:t>
      </w:r>
      <w:r w:rsidRPr="00351010">
        <w:rPr>
          <w:rFonts w:ascii="Times New Roman" w:hAnsi="Times New Roman"/>
        </w:rPr>
        <w:t>as in force immediately before the commencement of this instrument despite paragraph 5 continues to apply to the person in relation to the period ending immediately before the application date.</w:t>
      </w:r>
    </w:p>
    <w:p w14:paraId="17D5250F" w14:textId="77777777" w:rsidR="00AD4FDC" w:rsidRPr="00351010" w:rsidRDefault="00AD4FDC" w:rsidP="00AD4FDC">
      <w:pPr>
        <w:spacing w:before="120" w:after="120"/>
        <w:ind w:left="425" w:hanging="425"/>
        <w:rPr>
          <w:rFonts w:ascii="Times New Roman" w:hAnsi="Times New Roman"/>
        </w:rPr>
      </w:pPr>
      <w:r w:rsidRPr="00351010">
        <w:rPr>
          <w:rFonts w:ascii="Times New Roman" w:hAnsi="Times New Roman"/>
        </w:rPr>
        <w:t>7.</w:t>
      </w:r>
      <w:r w:rsidRPr="00351010">
        <w:rPr>
          <w:rFonts w:ascii="Times New Roman" w:hAnsi="Times New Roman"/>
        </w:rPr>
        <w:tab/>
        <w:t xml:space="preserve">Until 1 July 2014, Part 7.9 of the Act applies to a person covered by subparagraph (6)(a) as if provisions of that Part were modified or varied by inserting after section 912AA: </w:t>
      </w:r>
    </w:p>
    <w:p w14:paraId="66FB6C17" w14:textId="77777777" w:rsidR="00AD4FDC" w:rsidRPr="00351010" w:rsidRDefault="00AD4FDC" w:rsidP="00AD4FDC">
      <w:pPr>
        <w:spacing w:before="120" w:after="120"/>
        <w:ind w:left="850" w:hanging="425"/>
        <w:rPr>
          <w:rFonts w:ascii="Times New Roman" w:hAnsi="Times New Roman"/>
        </w:rPr>
      </w:pPr>
      <w:r w:rsidRPr="00351010">
        <w:rPr>
          <w:rFonts w:ascii="Times New Roman" w:hAnsi="Times New Roman"/>
        </w:rPr>
        <w:t>“</w:t>
      </w:r>
      <w:r w:rsidRPr="00351010">
        <w:rPr>
          <w:rFonts w:ascii="Times New Roman" w:hAnsi="Times New Roman"/>
          <w:b/>
        </w:rPr>
        <w:t>912AAA Notice of reliance</w:t>
      </w:r>
    </w:p>
    <w:p w14:paraId="566E9EAC" w14:textId="540641E1" w:rsidR="00AD4FDC" w:rsidRDefault="00AD4FDC" w:rsidP="00AD4FDC">
      <w:pPr>
        <w:spacing w:before="120" w:after="120"/>
        <w:ind w:left="426" w:hanging="1"/>
        <w:rPr>
          <w:rFonts w:ascii="Times New Roman" w:hAnsi="Times New Roman"/>
        </w:rPr>
      </w:pPr>
      <w:r w:rsidRPr="00351010">
        <w:rPr>
          <w:rFonts w:ascii="Times New Roman" w:hAnsi="Times New Roman"/>
        </w:rPr>
        <w:lastRenderedPageBreak/>
        <w:t xml:space="preserve">A person that has elected to rely on ASIC Class Order [CO 13/760] must publish and maintain on its website a notice that it will rely on that instrument.”. </w:t>
      </w:r>
    </w:p>
    <w:p w14:paraId="68D77381" w14:textId="77777777" w:rsidR="00845E96" w:rsidRPr="00845E96" w:rsidRDefault="00845E96" w:rsidP="00845E96">
      <w:pPr>
        <w:spacing w:before="120" w:after="120"/>
        <w:ind w:left="426" w:hanging="426"/>
        <w:rPr>
          <w:rFonts w:ascii="Times New Roman" w:hAnsi="Times New Roman"/>
          <w:bCs/>
        </w:rPr>
      </w:pPr>
      <w:r w:rsidRPr="00845E96">
        <w:rPr>
          <w:rFonts w:ascii="Times New Roman" w:hAnsi="Times New Roman"/>
          <w:bCs/>
        </w:rPr>
        <w:t>7A.</w:t>
      </w:r>
      <w:r w:rsidRPr="00845E96">
        <w:rPr>
          <w:rFonts w:ascii="Times New Roman" w:hAnsi="Times New Roman"/>
          <w:bCs/>
        </w:rPr>
        <w:tab/>
        <w:t xml:space="preserve">The amendments made by Schedule 4 to the </w:t>
      </w:r>
      <w:r w:rsidRPr="00845E96">
        <w:rPr>
          <w:rFonts w:ascii="Times New Roman" w:hAnsi="Times New Roman"/>
          <w:bCs/>
          <w:i/>
          <w:iCs/>
        </w:rPr>
        <w:t>ASIC</w:t>
      </w:r>
      <w:r w:rsidRPr="00845E96">
        <w:rPr>
          <w:rFonts w:ascii="Times New Roman" w:hAnsi="Times New Roman"/>
          <w:bCs/>
        </w:rPr>
        <w:t xml:space="preserve"> </w:t>
      </w:r>
      <w:r w:rsidRPr="00845E96">
        <w:rPr>
          <w:rFonts w:ascii="Times New Roman" w:hAnsi="Times New Roman"/>
          <w:bCs/>
          <w:i/>
          <w:iCs/>
        </w:rPr>
        <w:t>Corporations (Amendment) Instrument 2020/1064</w:t>
      </w:r>
      <w:r w:rsidRPr="00845E96">
        <w:rPr>
          <w:rFonts w:ascii="Times New Roman" w:hAnsi="Times New Roman"/>
          <w:bCs/>
        </w:rPr>
        <w:t xml:space="preserve"> (</w:t>
      </w:r>
      <w:r w:rsidRPr="00845E96">
        <w:rPr>
          <w:rFonts w:ascii="Times New Roman" w:hAnsi="Times New Roman"/>
          <w:b/>
          <w:i/>
          <w:iCs/>
        </w:rPr>
        <w:t>amending instrument</w:t>
      </w:r>
      <w:r w:rsidRPr="00845E96">
        <w:rPr>
          <w:rFonts w:ascii="Times New Roman" w:hAnsi="Times New Roman"/>
          <w:bCs/>
        </w:rPr>
        <w:t>) apply in relation to a financial services licensee that is the responsible entity of a registered time-sharing scheme on and from the earlier of:</w:t>
      </w:r>
    </w:p>
    <w:p w14:paraId="2C770D02" w14:textId="77777777" w:rsidR="00845E96" w:rsidRPr="00845E96" w:rsidRDefault="00845E96" w:rsidP="00845E96">
      <w:pPr>
        <w:spacing w:before="120" w:after="120"/>
        <w:ind w:left="426"/>
        <w:rPr>
          <w:rFonts w:ascii="Times New Roman" w:hAnsi="Times New Roman"/>
          <w:bCs/>
        </w:rPr>
      </w:pPr>
      <w:r w:rsidRPr="00845E96">
        <w:rPr>
          <w:rFonts w:ascii="Times New Roman" w:hAnsi="Times New Roman"/>
          <w:bCs/>
        </w:rPr>
        <w:t>(a)</w:t>
      </w:r>
      <w:r w:rsidRPr="00845E96">
        <w:rPr>
          <w:rFonts w:ascii="Times New Roman" w:hAnsi="Times New Roman"/>
          <w:bCs/>
        </w:rPr>
        <w:tab/>
        <w:t>the date specified in an election made by the licensee under paragraph 7B; and</w:t>
      </w:r>
    </w:p>
    <w:p w14:paraId="6E3AC3D7" w14:textId="77777777" w:rsidR="00845E96" w:rsidRPr="00845E96" w:rsidRDefault="00845E96" w:rsidP="00845E96">
      <w:pPr>
        <w:spacing w:before="120" w:after="120"/>
        <w:ind w:left="426"/>
        <w:rPr>
          <w:rFonts w:ascii="Times New Roman" w:hAnsi="Times New Roman"/>
          <w:bCs/>
        </w:rPr>
      </w:pPr>
      <w:r w:rsidRPr="00845E96">
        <w:rPr>
          <w:rFonts w:ascii="Times New Roman" w:hAnsi="Times New Roman"/>
          <w:bCs/>
        </w:rPr>
        <w:t>(b)</w:t>
      </w:r>
      <w:r w:rsidRPr="00845E96">
        <w:rPr>
          <w:rFonts w:ascii="Times New Roman" w:hAnsi="Times New Roman"/>
          <w:bCs/>
        </w:rPr>
        <w:tab/>
        <w:t>30 September 2021.</w:t>
      </w:r>
    </w:p>
    <w:p w14:paraId="5F77FF32" w14:textId="77777777" w:rsidR="00845E96" w:rsidRPr="00845E96" w:rsidRDefault="00845E96" w:rsidP="00845E96">
      <w:pPr>
        <w:spacing w:before="120" w:after="120"/>
        <w:ind w:left="426" w:hanging="426"/>
        <w:rPr>
          <w:rFonts w:ascii="Times New Roman" w:hAnsi="Times New Roman"/>
        </w:rPr>
      </w:pPr>
      <w:r w:rsidRPr="00845E96">
        <w:rPr>
          <w:rFonts w:ascii="Times New Roman" w:hAnsi="Times New Roman"/>
        </w:rPr>
        <w:t>7B.</w:t>
      </w:r>
      <w:r w:rsidRPr="00845E96">
        <w:rPr>
          <w:rFonts w:ascii="Times New Roman" w:hAnsi="Times New Roman"/>
        </w:rPr>
        <w:tab/>
        <w:t xml:space="preserve">A financial services licensee that is the responsible entity of a registered time-sharing scheme makes an election for the purposes of subparagraph 7A(a) if the licensee makes a written record that records: </w:t>
      </w:r>
    </w:p>
    <w:p w14:paraId="1986172E" w14:textId="77777777" w:rsidR="00845E96" w:rsidRPr="00845E96" w:rsidRDefault="00845E96" w:rsidP="00845E96">
      <w:pPr>
        <w:spacing w:before="120" w:after="120"/>
        <w:ind w:left="851" w:hanging="425"/>
        <w:rPr>
          <w:rFonts w:ascii="Times New Roman" w:hAnsi="Times New Roman"/>
        </w:rPr>
      </w:pPr>
      <w:r w:rsidRPr="00845E96">
        <w:rPr>
          <w:rFonts w:ascii="Times New Roman" w:hAnsi="Times New Roman"/>
        </w:rPr>
        <w:t>(a)</w:t>
      </w:r>
      <w:r w:rsidRPr="00845E96">
        <w:rPr>
          <w:rFonts w:ascii="Times New Roman" w:hAnsi="Times New Roman"/>
        </w:rPr>
        <w:tab/>
        <w:t>that the amendments made by Schedule 4 to the amending instrument will apply to the licensee on and from a specified date (not being a date before the record is made); and</w:t>
      </w:r>
    </w:p>
    <w:p w14:paraId="4833F669" w14:textId="77777777" w:rsidR="00845E96" w:rsidRPr="00845E96" w:rsidRDefault="00845E96" w:rsidP="00845E96">
      <w:pPr>
        <w:spacing w:before="120" w:after="120"/>
        <w:ind w:left="851" w:hanging="425"/>
        <w:rPr>
          <w:rFonts w:ascii="Times New Roman" w:hAnsi="Times New Roman"/>
        </w:rPr>
      </w:pPr>
      <w:r w:rsidRPr="00845E96">
        <w:rPr>
          <w:rFonts w:ascii="Times New Roman" w:hAnsi="Times New Roman"/>
        </w:rPr>
        <w:t>(b)</w:t>
      </w:r>
      <w:r w:rsidRPr="00845E96">
        <w:rPr>
          <w:rFonts w:ascii="Times New Roman" w:hAnsi="Times New Roman"/>
        </w:rPr>
        <w:tab/>
        <w:t>the date the record is made.</w:t>
      </w:r>
    </w:p>
    <w:p w14:paraId="0C80E48D" w14:textId="77777777" w:rsidR="00845E96" w:rsidRPr="00845E96" w:rsidRDefault="00845E96" w:rsidP="00845E96">
      <w:pPr>
        <w:pStyle w:val="ahist"/>
      </w:pPr>
      <w:r w:rsidRPr="00845E96">
        <w:t>Note 1: An election under paragraph 7B cannot be withdrawn.</w:t>
      </w:r>
    </w:p>
    <w:p w14:paraId="0F1A4249" w14:textId="290EE507" w:rsidR="00845E96" w:rsidRPr="00351010" w:rsidRDefault="00845E96" w:rsidP="00845E96">
      <w:pPr>
        <w:pStyle w:val="ahist"/>
        <w:ind w:left="567" w:hanging="567"/>
      </w:pPr>
      <w:r w:rsidRPr="00845E96">
        <w:t>Note 2:</w:t>
      </w:r>
      <w:r w:rsidRPr="00845E96">
        <w:tab/>
        <w:t>An election under paragraph 7B will apply in relation to all registered time-sharing schemes of which the licensee is responsible entity.</w:t>
      </w:r>
    </w:p>
    <w:p w14:paraId="6CCA1109" w14:textId="77777777" w:rsidR="00AD4FDC" w:rsidRPr="00351010" w:rsidRDefault="00AD4FDC" w:rsidP="00351010">
      <w:pPr>
        <w:pStyle w:val="aheade"/>
      </w:pPr>
      <w:r w:rsidRPr="00351010">
        <w:t>Interpretation</w:t>
      </w:r>
    </w:p>
    <w:p w14:paraId="1EFC7D55" w14:textId="77777777" w:rsidR="00AD4FDC" w:rsidRPr="00351010" w:rsidRDefault="00AD4FDC" w:rsidP="00AD4FDC">
      <w:pPr>
        <w:spacing w:before="120" w:after="120"/>
        <w:ind w:left="425" w:hanging="425"/>
        <w:rPr>
          <w:rFonts w:ascii="Times New Roman" w:hAnsi="Times New Roman"/>
          <w:lang w:val="en-US"/>
        </w:rPr>
      </w:pPr>
      <w:r w:rsidRPr="00351010">
        <w:rPr>
          <w:rFonts w:ascii="Times New Roman" w:hAnsi="Times New Roman"/>
        </w:rPr>
        <w:t>8.</w:t>
      </w:r>
      <w:r w:rsidRPr="00351010">
        <w:rPr>
          <w:rFonts w:ascii="Times New Roman" w:hAnsi="Times New Roman"/>
        </w:rPr>
        <w:tab/>
        <w:t xml:space="preserve">In this instrument, </w:t>
      </w:r>
      <w:r w:rsidRPr="00351010">
        <w:rPr>
          <w:rFonts w:ascii="Times New Roman" w:hAnsi="Times New Roman"/>
          <w:b/>
          <w:i/>
        </w:rPr>
        <w:t>IDPS</w:t>
      </w:r>
      <w:r w:rsidRPr="00351010">
        <w:rPr>
          <w:rFonts w:ascii="Times New Roman" w:hAnsi="Times New Roman"/>
        </w:rPr>
        <w:t xml:space="preserve"> has the same meaning as in ASIC Class Order [CO 13/763]. </w:t>
      </w:r>
    </w:p>
    <w:p w14:paraId="5760F17B" w14:textId="77777777" w:rsidR="001B3D09" w:rsidRDefault="001B3D09" w:rsidP="001B3D09">
      <w:pPr>
        <w:pStyle w:val="aNotetoclassorder"/>
      </w:pPr>
      <w:r>
        <w:lastRenderedPageBreak/>
        <w:t xml:space="preserve">Notes to ASIC Class Order </w:t>
      </w:r>
      <w:r w:rsidRPr="00AD4FDC">
        <w:t xml:space="preserve">[CO </w:t>
      </w:r>
      <w:r w:rsidR="00AD4FDC" w:rsidRPr="00AD4FDC">
        <w:t>13/760</w:t>
      </w:r>
      <w:r w:rsidRPr="00AD4FDC">
        <w:t>]</w:t>
      </w:r>
    </w:p>
    <w:p w14:paraId="3D1CE017" w14:textId="77777777" w:rsidR="001B3D09" w:rsidRPr="00E96FC7" w:rsidRDefault="001B3D09" w:rsidP="001B3D09">
      <w:pPr>
        <w:pStyle w:val="aNote1"/>
        <w:rPr>
          <w:sz w:val="24"/>
          <w:szCs w:val="24"/>
        </w:rPr>
      </w:pPr>
      <w:r w:rsidRPr="00E96FC7">
        <w:rPr>
          <w:sz w:val="24"/>
          <w:szCs w:val="24"/>
        </w:rPr>
        <w:t>Note 1</w:t>
      </w:r>
    </w:p>
    <w:p w14:paraId="17CD951F" w14:textId="77777777" w:rsidR="001B3D09" w:rsidRPr="00E96FC7" w:rsidRDefault="001B3D09" w:rsidP="001B3D09">
      <w:pPr>
        <w:pStyle w:val="aNotetext"/>
        <w:rPr>
          <w:b/>
          <w:bCs/>
          <w:sz w:val="24"/>
          <w:szCs w:val="24"/>
        </w:rPr>
      </w:pPr>
      <w:r w:rsidRPr="00E96FC7">
        <w:rPr>
          <w:sz w:val="24"/>
          <w:szCs w:val="24"/>
        </w:rPr>
        <w:t>ASIC Class Order [</w:t>
      </w:r>
      <w:r w:rsidRPr="00AD4FDC">
        <w:rPr>
          <w:sz w:val="24"/>
          <w:szCs w:val="24"/>
        </w:rPr>
        <w:t xml:space="preserve">CO </w:t>
      </w:r>
      <w:r w:rsidR="00AD4FDC">
        <w:rPr>
          <w:sz w:val="24"/>
          <w:szCs w:val="24"/>
        </w:rPr>
        <w:t>13/760</w:t>
      </w:r>
      <w:r w:rsidRPr="00E96FC7">
        <w:rPr>
          <w:sz w:val="24"/>
          <w:szCs w:val="24"/>
        </w:rPr>
        <w:t xml:space="preserve">] (in force under </w:t>
      </w:r>
      <w:r w:rsidR="00AD4FDC">
        <w:rPr>
          <w:sz w:val="24"/>
          <w:szCs w:val="24"/>
        </w:rPr>
        <w:t>s</w:t>
      </w:r>
      <w:r w:rsidR="00AD4FDC" w:rsidRPr="00AD4FDC">
        <w:rPr>
          <w:sz w:val="24"/>
          <w:szCs w:val="24"/>
          <w:lang w:val="en-US"/>
        </w:rPr>
        <w:t>926A(2)(c)</w:t>
      </w:r>
      <w:r w:rsidR="0031240F">
        <w:rPr>
          <w:sz w:val="24"/>
          <w:szCs w:val="24"/>
        </w:rPr>
        <w:t xml:space="preserve"> </w:t>
      </w:r>
      <w:r w:rsidRPr="00E96FC7">
        <w:rPr>
          <w:sz w:val="24"/>
          <w:szCs w:val="24"/>
        </w:rPr>
        <w:t xml:space="preserve">of the </w:t>
      </w:r>
      <w:r w:rsidRPr="00E96FC7">
        <w:rPr>
          <w:i/>
          <w:iCs/>
          <w:sz w:val="24"/>
          <w:szCs w:val="24"/>
        </w:rPr>
        <w:t>Corporations Act 2001</w:t>
      </w:r>
      <w:r w:rsidRPr="00E96FC7">
        <w:rPr>
          <w:sz w:val="24"/>
          <w:szCs w:val="24"/>
        </w:rPr>
        <w:t>) as shown in this compilation comprises that Class Ord</w:t>
      </w:r>
      <w:r>
        <w:rPr>
          <w:sz w:val="24"/>
          <w:szCs w:val="24"/>
        </w:rPr>
        <w:t>er amended as indicated in the t</w:t>
      </w:r>
      <w:r w:rsidRPr="00E96FC7">
        <w:rPr>
          <w:sz w:val="24"/>
          <w:szCs w:val="24"/>
        </w:rPr>
        <w:t>ables below.</w:t>
      </w:r>
    </w:p>
    <w:p w14:paraId="44DE73AB" w14:textId="77777777" w:rsidR="001B3D09" w:rsidRDefault="001B3D09" w:rsidP="001B3D09">
      <w:pPr>
        <w:pStyle w:val="aTableof"/>
      </w:pPr>
      <w:r>
        <w:t>Table of Instruments</w:t>
      </w:r>
    </w:p>
    <w:tbl>
      <w:tblPr>
        <w:tblW w:w="0" w:type="auto"/>
        <w:tblLook w:val="0000" w:firstRow="0" w:lastRow="0" w:firstColumn="0" w:lastColumn="0" w:noHBand="0" w:noVBand="0"/>
      </w:tblPr>
      <w:tblGrid>
        <w:gridCol w:w="1706"/>
        <w:gridCol w:w="1719"/>
        <w:gridCol w:w="1854"/>
        <w:gridCol w:w="1740"/>
      </w:tblGrid>
      <w:tr w:rsidR="001B3D09" w14:paraId="53D4498E" w14:textId="77777777" w:rsidTr="00D84332">
        <w:tblPrEx>
          <w:tblCellMar>
            <w:top w:w="0" w:type="dxa"/>
            <w:bottom w:w="0" w:type="dxa"/>
          </w:tblCellMar>
        </w:tblPrEx>
        <w:tc>
          <w:tcPr>
            <w:tcW w:w="1706" w:type="dxa"/>
            <w:tcBorders>
              <w:top w:val="nil"/>
              <w:left w:val="nil"/>
              <w:bottom w:val="single" w:sz="4" w:space="0" w:color="auto"/>
              <w:right w:val="nil"/>
            </w:tcBorders>
          </w:tcPr>
          <w:p w14:paraId="250843CF" w14:textId="77777777" w:rsidR="001B3D09" w:rsidRDefault="001B3D09" w:rsidP="00D84332">
            <w:pPr>
              <w:pStyle w:val="atableheadings"/>
            </w:pPr>
            <w:r>
              <w:t xml:space="preserve">Instrument number </w:t>
            </w:r>
          </w:p>
        </w:tc>
        <w:tc>
          <w:tcPr>
            <w:tcW w:w="1719" w:type="dxa"/>
            <w:tcBorders>
              <w:top w:val="nil"/>
              <w:left w:val="nil"/>
              <w:bottom w:val="single" w:sz="4" w:space="0" w:color="auto"/>
              <w:right w:val="nil"/>
            </w:tcBorders>
          </w:tcPr>
          <w:p w14:paraId="491E2A20" w14:textId="77777777" w:rsidR="001B3D09" w:rsidRDefault="00AD4FDC" w:rsidP="00D84332">
            <w:pPr>
              <w:pStyle w:val="atableheadings"/>
            </w:pPr>
            <w:r>
              <w:t>Date of</w:t>
            </w:r>
            <w:r w:rsidR="00E25362">
              <w:t xml:space="preserve"> </w:t>
            </w:r>
            <w:r w:rsidR="00E25362" w:rsidRPr="00AD4FDC">
              <w:t>FRL</w:t>
            </w:r>
            <w:r w:rsidR="001B3D09">
              <w:t xml:space="preserve"> registration</w:t>
            </w:r>
          </w:p>
        </w:tc>
        <w:tc>
          <w:tcPr>
            <w:tcW w:w="1854" w:type="dxa"/>
            <w:tcBorders>
              <w:top w:val="nil"/>
              <w:left w:val="nil"/>
              <w:bottom w:val="single" w:sz="4" w:space="0" w:color="auto"/>
              <w:right w:val="nil"/>
            </w:tcBorders>
          </w:tcPr>
          <w:p w14:paraId="2542E3DF" w14:textId="77777777" w:rsidR="001B3D09" w:rsidRDefault="001B3D09" w:rsidP="00D84332">
            <w:pPr>
              <w:pStyle w:val="atableheadings"/>
            </w:pPr>
            <w:r>
              <w:t>Date of commencement</w:t>
            </w:r>
          </w:p>
        </w:tc>
        <w:tc>
          <w:tcPr>
            <w:tcW w:w="1740" w:type="dxa"/>
            <w:tcBorders>
              <w:top w:val="nil"/>
              <w:left w:val="nil"/>
              <w:bottom w:val="single" w:sz="4" w:space="0" w:color="auto"/>
              <w:right w:val="nil"/>
            </w:tcBorders>
          </w:tcPr>
          <w:p w14:paraId="122C981D" w14:textId="77777777" w:rsidR="001B3D09" w:rsidRDefault="001B3D09" w:rsidP="00D84332">
            <w:pPr>
              <w:pStyle w:val="atableheadings"/>
            </w:pPr>
            <w:r>
              <w:t>Application, saving or transitional provisions</w:t>
            </w:r>
          </w:p>
        </w:tc>
      </w:tr>
      <w:tr w:rsidR="00AD4FDC" w14:paraId="456A76EF" w14:textId="77777777" w:rsidTr="00D84332">
        <w:tblPrEx>
          <w:tblCellMar>
            <w:top w:w="0" w:type="dxa"/>
            <w:bottom w:w="0" w:type="dxa"/>
          </w:tblCellMar>
        </w:tblPrEx>
        <w:tc>
          <w:tcPr>
            <w:tcW w:w="1706" w:type="dxa"/>
            <w:tcBorders>
              <w:top w:val="single" w:sz="4" w:space="0" w:color="auto"/>
              <w:left w:val="nil"/>
              <w:bottom w:val="nil"/>
              <w:right w:val="nil"/>
            </w:tcBorders>
          </w:tcPr>
          <w:p w14:paraId="1216AF32" w14:textId="77777777" w:rsidR="00AD4FDC" w:rsidRDefault="00AD4FDC" w:rsidP="00FC6FAA">
            <w:pPr>
              <w:pStyle w:val="atabletext"/>
              <w:spacing w:before="120"/>
            </w:pPr>
            <w:r>
              <w:t>[CO 13/760]</w:t>
            </w:r>
          </w:p>
        </w:tc>
        <w:tc>
          <w:tcPr>
            <w:tcW w:w="1719" w:type="dxa"/>
            <w:tcBorders>
              <w:top w:val="single" w:sz="4" w:space="0" w:color="auto"/>
              <w:left w:val="nil"/>
              <w:bottom w:val="nil"/>
              <w:right w:val="nil"/>
            </w:tcBorders>
          </w:tcPr>
          <w:p w14:paraId="0B4BC624" w14:textId="77777777" w:rsidR="00AD4FDC" w:rsidRDefault="00AD4FDC" w:rsidP="00FC6FAA">
            <w:pPr>
              <w:pStyle w:val="atabletext"/>
              <w:spacing w:before="120"/>
            </w:pPr>
            <w:r>
              <w:t xml:space="preserve">28/6/2013 </w:t>
            </w:r>
            <w:r w:rsidRPr="00A96649">
              <w:t>(</w:t>
            </w:r>
            <w:r w:rsidRPr="00A96649">
              <w:rPr>
                <w:i/>
              </w:rPr>
              <w:t>see</w:t>
            </w:r>
            <w:r w:rsidRPr="00A96649">
              <w:t xml:space="preserve"> </w:t>
            </w:r>
            <w:r w:rsidRPr="00934219">
              <w:t>F2013L01267</w:t>
            </w:r>
            <w:r w:rsidRPr="00A96649">
              <w:t>)</w:t>
            </w:r>
          </w:p>
        </w:tc>
        <w:tc>
          <w:tcPr>
            <w:tcW w:w="1854" w:type="dxa"/>
            <w:tcBorders>
              <w:top w:val="single" w:sz="4" w:space="0" w:color="auto"/>
              <w:left w:val="nil"/>
              <w:bottom w:val="nil"/>
              <w:right w:val="nil"/>
            </w:tcBorders>
          </w:tcPr>
          <w:p w14:paraId="74FD16A9" w14:textId="77777777" w:rsidR="00AD4FDC" w:rsidRDefault="00AD4FDC" w:rsidP="00FC6FAA">
            <w:pPr>
              <w:pStyle w:val="atabletext"/>
              <w:spacing w:before="120"/>
            </w:pPr>
            <w:r>
              <w:t>1/7/2013</w:t>
            </w:r>
          </w:p>
        </w:tc>
        <w:tc>
          <w:tcPr>
            <w:tcW w:w="1740" w:type="dxa"/>
            <w:tcBorders>
              <w:top w:val="single" w:sz="4" w:space="0" w:color="auto"/>
              <w:left w:val="nil"/>
              <w:bottom w:val="nil"/>
              <w:right w:val="nil"/>
            </w:tcBorders>
          </w:tcPr>
          <w:p w14:paraId="2C5B4B74" w14:textId="77777777" w:rsidR="00AD4FDC" w:rsidRDefault="00AD4FDC" w:rsidP="00FC6FAA">
            <w:pPr>
              <w:pStyle w:val="atabletext"/>
              <w:spacing w:before="120"/>
            </w:pPr>
          </w:p>
        </w:tc>
      </w:tr>
      <w:tr w:rsidR="00AD4FDC" w14:paraId="5F48066D" w14:textId="77777777" w:rsidTr="00D84332">
        <w:tblPrEx>
          <w:tblCellMar>
            <w:top w:w="0" w:type="dxa"/>
            <w:bottom w:w="0" w:type="dxa"/>
          </w:tblCellMar>
        </w:tblPrEx>
        <w:tc>
          <w:tcPr>
            <w:tcW w:w="1706" w:type="dxa"/>
            <w:tcBorders>
              <w:top w:val="nil"/>
              <w:left w:val="nil"/>
              <w:bottom w:val="nil"/>
              <w:right w:val="nil"/>
            </w:tcBorders>
          </w:tcPr>
          <w:p w14:paraId="206187D7" w14:textId="77777777" w:rsidR="00AD4FDC" w:rsidRDefault="00AD4FDC" w:rsidP="00FC6FAA">
            <w:pPr>
              <w:pStyle w:val="atabletext"/>
              <w:spacing w:before="120"/>
              <w:rPr>
                <w:b/>
                <w:bCs/>
              </w:rPr>
            </w:pPr>
            <w:r>
              <w:t>[CO 13/1413]</w:t>
            </w:r>
          </w:p>
        </w:tc>
        <w:tc>
          <w:tcPr>
            <w:tcW w:w="1719" w:type="dxa"/>
            <w:tcBorders>
              <w:top w:val="nil"/>
              <w:left w:val="nil"/>
              <w:bottom w:val="nil"/>
              <w:right w:val="nil"/>
            </w:tcBorders>
          </w:tcPr>
          <w:p w14:paraId="58A514DA" w14:textId="77777777" w:rsidR="00AD4FDC" w:rsidRDefault="00AD4FDC" w:rsidP="00FC6FAA">
            <w:pPr>
              <w:pStyle w:val="atabletext"/>
              <w:spacing w:before="120"/>
            </w:pPr>
            <w:r w:rsidRPr="002A45CA">
              <w:t>27/11/2013</w:t>
            </w:r>
            <w:r>
              <w:t xml:space="preserve"> </w:t>
            </w:r>
            <w:r w:rsidRPr="00A96649">
              <w:t>(</w:t>
            </w:r>
            <w:r w:rsidRPr="00A96649">
              <w:rPr>
                <w:i/>
              </w:rPr>
              <w:t>see</w:t>
            </w:r>
            <w:r w:rsidRPr="00A96649">
              <w:t xml:space="preserve"> </w:t>
            </w:r>
            <w:r w:rsidRPr="002A45CA">
              <w:t>F2013L01991</w:t>
            </w:r>
            <w:r w:rsidRPr="00A96649">
              <w:t>)</w:t>
            </w:r>
          </w:p>
        </w:tc>
        <w:tc>
          <w:tcPr>
            <w:tcW w:w="1854" w:type="dxa"/>
            <w:tcBorders>
              <w:top w:val="nil"/>
              <w:left w:val="nil"/>
              <w:bottom w:val="nil"/>
              <w:right w:val="nil"/>
            </w:tcBorders>
          </w:tcPr>
          <w:p w14:paraId="501DCF8D" w14:textId="77777777" w:rsidR="00AD4FDC" w:rsidRDefault="00AD4FDC" w:rsidP="00FC6FAA">
            <w:pPr>
              <w:pStyle w:val="atabletext"/>
              <w:spacing w:before="120"/>
            </w:pPr>
            <w:r w:rsidRPr="002A45CA">
              <w:t>27/11/2013</w:t>
            </w:r>
          </w:p>
        </w:tc>
        <w:tc>
          <w:tcPr>
            <w:tcW w:w="1740" w:type="dxa"/>
            <w:tcBorders>
              <w:top w:val="nil"/>
              <w:left w:val="nil"/>
              <w:bottom w:val="nil"/>
              <w:right w:val="nil"/>
            </w:tcBorders>
          </w:tcPr>
          <w:p w14:paraId="22B044B1" w14:textId="77777777" w:rsidR="00AD4FDC" w:rsidRDefault="00AD4FDC" w:rsidP="00FC6FAA">
            <w:pPr>
              <w:pStyle w:val="atabletext"/>
              <w:spacing w:before="120"/>
            </w:pPr>
            <w:r>
              <w:t>-</w:t>
            </w:r>
          </w:p>
        </w:tc>
      </w:tr>
      <w:tr w:rsidR="00AD4FDC" w14:paraId="153F3675" w14:textId="77777777" w:rsidTr="00271B8D">
        <w:tblPrEx>
          <w:tblCellMar>
            <w:top w:w="0" w:type="dxa"/>
            <w:bottom w:w="0" w:type="dxa"/>
          </w:tblCellMar>
        </w:tblPrEx>
        <w:tc>
          <w:tcPr>
            <w:tcW w:w="1706" w:type="dxa"/>
            <w:tcBorders>
              <w:top w:val="nil"/>
              <w:left w:val="nil"/>
              <w:bottom w:val="nil"/>
              <w:right w:val="nil"/>
            </w:tcBorders>
          </w:tcPr>
          <w:p w14:paraId="692B726A" w14:textId="77777777" w:rsidR="00AD4FDC" w:rsidRDefault="00AD4FDC" w:rsidP="00FC6FAA">
            <w:pPr>
              <w:pStyle w:val="atabletext"/>
              <w:spacing w:before="120"/>
            </w:pPr>
            <w:r>
              <w:t>[CO 14/757]</w:t>
            </w:r>
          </w:p>
        </w:tc>
        <w:tc>
          <w:tcPr>
            <w:tcW w:w="1719" w:type="dxa"/>
            <w:tcBorders>
              <w:top w:val="nil"/>
              <w:left w:val="nil"/>
              <w:bottom w:val="nil"/>
              <w:right w:val="nil"/>
            </w:tcBorders>
          </w:tcPr>
          <w:p w14:paraId="42D13F26" w14:textId="77777777" w:rsidR="00AD4FDC" w:rsidRPr="002A45CA" w:rsidRDefault="00AD4FDC" w:rsidP="00FC6FAA">
            <w:pPr>
              <w:pStyle w:val="atabletext"/>
              <w:spacing w:before="120"/>
            </w:pPr>
            <w:r>
              <w:t>7/8/2014 (</w:t>
            </w:r>
            <w:r w:rsidRPr="00F4593B">
              <w:rPr>
                <w:i/>
              </w:rPr>
              <w:t xml:space="preserve">see </w:t>
            </w:r>
            <w:r w:rsidRPr="00F4593B">
              <w:t>F2014L01082</w:t>
            </w:r>
            <w:r>
              <w:t>)</w:t>
            </w:r>
          </w:p>
        </w:tc>
        <w:tc>
          <w:tcPr>
            <w:tcW w:w="1854" w:type="dxa"/>
            <w:tcBorders>
              <w:top w:val="nil"/>
              <w:left w:val="nil"/>
              <w:bottom w:val="nil"/>
              <w:right w:val="nil"/>
            </w:tcBorders>
          </w:tcPr>
          <w:p w14:paraId="70706B32" w14:textId="77777777" w:rsidR="00AD4FDC" w:rsidRPr="002A45CA" w:rsidRDefault="00AD4FDC" w:rsidP="00FC6FAA">
            <w:pPr>
              <w:pStyle w:val="atabletext"/>
              <w:spacing w:before="120"/>
            </w:pPr>
            <w:r>
              <w:t>7/8/2014</w:t>
            </w:r>
          </w:p>
        </w:tc>
        <w:tc>
          <w:tcPr>
            <w:tcW w:w="1740" w:type="dxa"/>
            <w:tcBorders>
              <w:top w:val="nil"/>
              <w:left w:val="nil"/>
              <w:bottom w:val="nil"/>
              <w:right w:val="nil"/>
            </w:tcBorders>
          </w:tcPr>
          <w:p w14:paraId="23CD4790" w14:textId="77777777" w:rsidR="00AD4FDC" w:rsidRDefault="00AD4FDC" w:rsidP="00FC6FAA">
            <w:pPr>
              <w:pStyle w:val="atabletext"/>
              <w:spacing w:before="120"/>
            </w:pPr>
            <w:r>
              <w:t>-</w:t>
            </w:r>
          </w:p>
        </w:tc>
      </w:tr>
      <w:tr w:rsidR="00271B8D" w14:paraId="07FD197B" w14:textId="77777777" w:rsidTr="00926F9B">
        <w:tblPrEx>
          <w:tblCellMar>
            <w:top w:w="0" w:type="dxa"/>
            <w:bottom w:w="0" w:type="dxa"/>
          </w:tblCellMar>
        </w:tblPrEx>
        <w:tc>
          <w:tcPr>
            <w:tcW w:w="1706" w:type="dxa"/>
            <w:tcBorders>
              <w:top w:val="nil"/>
              <w:left w:val="nil"/>
              <w:bottom w:val="nil"/>
              <w:right w:val="nil"/>
            </w:tcBorders>
          </w:tcPr>
          <w:p w14:paraId="3518E37F" w14:textId="77777777" w:rsidR="00271B8D" w:rsidRDefault="00271B8D" w:rsidP="00FC6FAA">
            <w:pPr>
              <w:pStyle w:val="atabletext"/>
              <w:spacing w:before="120"/>
            </w:pPr>
            <w:r>
              <w:t>2016/1182</w:t>
            </w:r>
          </w:p>
        </w:tc>
        <w:tc>
          <w:tcPr>
            <w:tcW w:w="1719" w:type="dxa"/>
            <w:tcBorders>
              <w:top w:val="nil"/>
              <w:left w:val="nil"/>
              <w:bottom w:val="nil"/>
              <w:right w:val="nil"/>
            </w:tcBorders>
          </w:tcPr>
          <w:p w14:paraId="16DC536F" w14:textId="77777777" w:rsidR="00271B8D" w:rsidRDefault="00271B8D" w:rsidP="00FC6FAA">
            <w:pPr>
              <w:pStyle w:val="atabletext"/>
              <w:spacing w:before="120"/>
            </w:pPr>
            <w:r>
              <w:t>15/12/2016 (</w:t>
            </w:r>
            <w:r w:rsidRPr="00271B8D">
              <w:rPr>
                <w:i/>
              </w:rPr>
              <w:t xml:space="preserve">see </w:t>
            </w:r>
            <w:r w:rsidRPr="00271B8D">
              <w:t>F2016L01957</w:t>
            </w:r>
            <w:r>
              <w:t>)</w:t>
            </w:r>
          </w:p>
        </w:tc>
        <w:tc>
          <w:tcPr>
            <w:tcW w:w="1854" w:type="dxa"/>
            <w:tcBorders>
              <w:top w:val="nil"/>
              <w:left w:val="nil"/>
              <w:bottom w:val="nil"/>
              <w:right w:val="nil"/>
            </w:tcBorders>
          </w:tcPr>
          <w:p w14:paraId="1D798A11" w14:textId="77777777" w:rsidR="00271B8D" w:rsidRDefault="00066B81" w:rsidP="00FC6FAA">
            <w:pPr>
              <w:pStyle w:val="atabletext"/>
              <w:spacing w:before="120"/>
            </w:pPr>
            <w:r w:rsidRPr="00066B81">
              <w:t>20</w:t>
            </w:r>
            <w:r w:rsidR="00271B8D" w:rsidRPr="00066B81">
              <w:t>/12/2016</w:t>
            </w:r>
          </w:p>
        </w:tc>
        <w:tc>
          <w:tcPr>
            <w:tcW w:w="1740" w:type="dxa"/>
            <w:tcBorders>
              <w:top w:val="nil"/>
              <w:left w:val="nil"/>
              <w:bottom w:val="nil"/>
              <w:right w:val="nil"/>
            </w:tcBorders>
          </w:tcPr>
          <w:p w14:paraId="5AB25F41" w14:textId="77777777" w:rsidR="00271B8D" w:rsidRDefault="00271B8D" w:rsidP="00FC6FAA">
            <w:pPr>
              <w:pStyle w:val="atabletext"/>
              <w:spacing w:before="120"/>
            </w:pPr>
            <w:r>
              <w:t>-</w:t>
            </w:r>
          </w:p>
        </w:tc>
      </w:tr>
      <w:tr w:rsidR="00926F9B" w14:paraId="63C13C9C" w14:textId="77777777" w:rsidTr="00740D5E">
        <w:tblPrEx>
          <w:tblCellMar>
            <w:top w:w="0" w:type="dxa"/>
            <w:bottom w:w="0" w:type="dxa"/>
          </w:tblCellMar>
        </w:tblPrEx>
        <w:tc>
          <w:tcPr>
            <w:tcW w:w="1706" w:type="dxa"/>
            <w:tcBorders>
              <w:top w:val="nil"/>
              <w:left w:val="nil"/>
              <w:bottom w:val="nil"/>
              <w:right w:val="nil"/>
            </w:tcBorders>
          </w:tcPr>
          <w:p w14:paraId="13C7477F" w14:textId="77777777" w:rsidR="00926F9B" w:rsidRDefault="00926F9B" w:rsidP="00FC6FAA">
            <w:pPr>
              <w:pStyle w:val="atabletext"/>
              <w:spacing w:before="120"/>
            </w:pPr>
            <w:r>
              <w:t>2017/65</w:t>
            </w:r>
          </w:p>
        </w:tc>
        <w:tc>
          <w:tcPr>
            <w:tcW w:w="1719" w:type="dxa"/>
            <w:tcBorders>
              <w:top w:val="nil"/>
              <w:left w:val="nil"/>
              <w:bottom w:val="nil"/>
              <w:right w:val="nil"/>
            </w:tcBorders>
          </w:tcPr>
          <w:p w14:paraId="5F0E955F" w14:textId="77777777" w:rsidR="00926F9B" w:rsidRPr="00CA41D3" w:rsidRDefault="00CA41D3" w:rsidP="00FC6FAA">
            <w:pPr>
              <w:pStyle w:val="atabletext"/>
              <w:spacing w:before="120"/>
            </w:pPr>
            <w:r w:rsidRPr="00CA41D3">
              <w:t>23</w:t>
            </w:r>
            <w:r w:rsidR="00926F9B" w:rsidRPr="00CA41D3">
              <w:t>/3/2017 (</w:t>
            </w:r>
            <w:r w:rsidR="00926F9B" w:rsidRPr="00CA41D3">
              <w:rPr>
                <w:i/>
              </w:rPr>
              <w:t>see</w:t>
            </w:r>
            <w:r w:rsidRPr="00CA41D3">
              <w:t xml:space="preserve"> F2017L00284</w:t>
            </w:r>
            <w:r w:rsidR="00926F9B" w:rsidRPr="00CA41D3">
              <w:t>)</w:t>
            </w:r>
          </w:p>
        </w:tc>
        <w:tc>
          <w:tcPr>
            <w:tcW w:w="1854" w:type="dxa"/>
            <w:tcBorders>
              <w:top w:val="nil"/>
              <w:left w:val="nil"/>
              <w:bottom w:val="nil"/>
              <w:right w:val="nil"/>
            </w:tcBorders>
          </w:tcPr>
          <w:p w14:paraId="4D854D3B" w14:textId="77777777" w:rsidR="00926F9B" w:rsidRPr="00CA41D3" w:rsidRDefault="00CA41D3" w:rsidP="00FC6FAA">
            <w:pPr>
              <w:pStyle w:val="atabletext"/>
              <w:spacing w:before="120"/>
            </w:pPr>
            <w:r w:rsidRPr="00CA41D3">
              <w:t>24</w:t>
            </w:r>
            <w:r w:rsidR="00926F9B" w:rsidRPr="00CA41D3">
              <w:t>/3/2017</w:t>
            </w:r>
          </w:p>
        </w:tc>
        <w:tc>
          <w:tcPr>
            <w:tcW w:w="1740" w:type="dxa"/>
            <w:tcBorders>
              <w:top w:val="nil"/>
              <w:left w:val="nil"/>
              <w:bottom w:val="nil"/>
              <w:right w:val="nil"/>
            </w:tcBorders>
          </w:tcPr>
          <w:p w14:paraId="0DF0A39B" w14:textId="77777777" w:rsidR="00926F9B" w:rsidRDefault="00926F9B" w:rsidP="00FC6FAA">
            <w:pPr>
              <w:pStyle w:val="atabletext"/>
              <w:spacing w:before="120"/>
            </w:pPr>
            <w:r>
              <w:t>-</w:t>
            </w:r>
          </w:p>
        </w:tc>
      </w:tr>
      <w:tr w:rsidR="00740D5E" w14:paraId="06D3BB57" w14:textId="77777777" w:rsidTr="00477A22">
        <w:tblPrEx>
          <w:tblCellMar>
            <w:top w:w="0" w:type="dxa"/>
            <w:bottom w:w="0" w:type="dxa"/>
          </w:tblCellMar>
        </w:tblPrEx>
        <w:tc>
          <w:tcPr>
            <w:tcW w:w="1706" w:type="dxa"/>
            <w:tcBorders>
              <w:top w:val="nil"/>
              <w:left w:val="nil"/>
              <w:bottom w:val="nil"/>
              <w:right w:val="nil"/>
            </w:tcBorders>
          </w:tcPr>
          <w:p w14:paraId="073F1B92" w14:textId="77777777" w:rsidR="00740D5E" w:rsidRDefault="00740D5E" w:rsidP="00FC6FAA">
            <w:pPr>
              <w:pStyle w:val="atabletext"/>
              <w:spacing w:before="120"/>
            </w:pPr>
            <w:r>
              <w:t>2017/6</w:t>
            </w:r>
          </w:p>
        </w:tc>
        <w:tc>
          <w:tcPr>
            <w:tcW w:w="1719" w:type="dxa"/>
            <w:tcBorders>
              <w:top w:val="nil"/>
              <w:left w:val="nil"/>
              <w:bottom w:val="nil"/>
              <w:right w:val="nil"/>
            </w:tcBorders>
          </w:tcPr>
          <w:p w14:paraId="1B115CEC" w14:textId="77777777" w:rsidR="00740D5E" w:rsidRPr="00E95EE7" w:rsidRDefault="00E95EE7" w:rsidP="00FC6FAA">
            <w:pPr>
              <w:pStyle w:val="atabletext"/>
              <w:spacing w:before="120"/>
            </w:pPr>
            <w:r w:rsidRPr="00E95EE7">
              <w:t>4</w:t>
            </w:r>
            <w:r w:rsidR="00740D5E" w:rsidRPr="00E95EE7">
              <w:t>/9/2017 (</w:t>
            </w:r>
            <w:r w:rsidR="00740D5E" w:rsidRPr="00E95EE7">
              <w:rPr>
                <w:i/>
              </w:rPr>
              <w:t xml:space="preserve">see </w:t>
            </w:r>
            <w:r w:rsidRPr="00E95EE7">
              <w:t>F2017L01128</w:t>
            </w:r>
            <w:r w:rsidR="00740D5E" w:rsidRPr="00E95EE7">
              <w:t>)</w:t>
            </w:r>
          </w:p>
        </w:tc>
        <w:tc>
          <w:tcPr>
            <w:tcW w:w="1854" w:type="dxa"/>
            <w:tcBorders>
              <w:top w:val="nil"/>
              <w:left w:val="nil"/>
              <w:bottom w:val="nil"/>
              <w:right w:val="nil"/>
            </w:tcBorders>
          </w:tcPr>
          <w:p w14:paraId="04269C02" w14:textId="77777777" w:rsidR="00740D5E" w:rsidRPr="00E95EE7" w:rsidRDefault="00E95EE7" w:rsidP="00FC6FAA">
            <w:pPr>
              <w:pStyle w:val="atabletext"/>
              <w:spacing w:before="120"/>
            </w:pPr>
            <w:r w:rsidRPr="00E95EE7">
              <w:t>5</w:t>
            </w:r>
            <w:r w:rsidR="00740D5E" w:rsidRPr="00E95EE7">
              <w:t>/9/2017</w:t>
            </w:r>
          </w:p>
        </w:tc>
        <w:tc>
          <w:tcPr>
            <w:tcW w:w="1740" w:type="dxa"/>
            <w:tcBorders>
              <w:top w:val="nil"/>
              <w:left w:val="nil"/>
              <w:bottom w:val="nil"/>
              <w:right w:val="nil"/>
            </w:tcBorders>
          </w:tcPr>
          <w:p w14:paraId="583BBD23" w14:textId="77777777" w:rsidR="00740D5E" w:rsidRDefault="00740D5E" w:rsidP="00FC6FAA">
            <w:pPr>
              <w:pStyle w:val="atabletext"/>
              <w:spacing w:before="120"/>
            </w:pPr>
            <w:r>
              <w:t>-</w:t>
            </w:r>
          </w:p>
        </w:tc>
      </w:tr>
      <w:tr w:rsidR="00477A22" w14:paraId="54E99C1A" w14:textId="77777777" w:rsidTr="00FA1782">
        <w:tblPrEx>
          <w:tblCellMar>
            <w:top w:w="0" w:type="dxa"/>
            <w:bottom w:w="0" w:type="dxa"/>
          </w:tblCellMar>
        </w:tblPrEx>
        <w:tc>
          <w:tcPr>
            <w:tcW w:w="1706" w:type="dxa"/>
            <w:tcBorders>
              <w:top w:val="nil"/>
              <w:left w:val="nil"/>
              <w:bottom w:val="nil"/>
              <w:right w:val="nil"/>
            </w:tcBorders>
          </w:tcPr>
          <w:p w14:paraId="03C6A0FF" w14:textId="77777777" w:rsidR="00477A22" w:rsidRDefault="00477A22" w:rsidP="00FC6FAA">
            <w:pPr>
              <w:pStyle w:val="atabletext"/>
              <w:spacing w:before="120"/>
            </w:pPr>
            <w:r>
              <w:t>2017/848</w:t>
            </w:r>
          </w:p>
        </w:tc>
        <w:tc>
          <w:tcPr>
            <w:tcW w:w="1719" w:type="dxa"/>
            <w:tcBorders>
              <w:top w:val="nil"/>
              <w:left w:val="nil"/>
              <w:bottom w:val="nil"/>
              <w:right w:val="nil"/>
            </w:tcBorders>
          </w:tcPr>
          <w:p w14:paraId="761B0670" w14:textId="77777777" w:rsidR="00477A22" w:rsidRPr="00E95EE7" w:rsidRDefault="00477A22" w:rsidP="00FC6FAA">
            <w:pPr>
              <w:pStyle w:val="atabletext"/>
              <w:spacing w:before="120"/>
            </w:pPr>
            <w:r>
              <w:t>26/9/2017 (</w:t>
            </w:r>
            <w:r w:rsidRPr="00477A22">
              <w:rPr>
                <w:i/>
              </w:rPr>
              <w:t xml:space="preserve">see </w:t>
            </w:r>
            <w:r w:rsidRPr="00477A22">
              <w:t>F2017L01250</w:t>
            </w:r>
            <w:r>
              <w:t>)</w:t>
            </w:r>
          </w:p>
        </w:tc>
        <w:tc>
          <w:tcPr>
            <w:tcW w:w="1854" w:type="dxa"/>
            <w:tcBorders>
              <w:top w:val="nil"/>
              <w:left w:val="nil"/>
              <w:bottom w:val="nil"/>
              <w:right w:val="nil"/>
            </w:tcBorders>
          </w:tcPr>
          <w:p w14:paraId="05D2F28C" w14:textId="77777777" w:rsidR="00477A22" w:rsidRPr="00E95EE7" w:rsidRDefault="00F4210F" w:rsidP="00FC6FAA">
            <w:pPr>
              <w:pStyle w:val="atabletext"/>
              <w:spacing w:before="120"/>
            </w:pPr>
            <w:r>
              <w:t>27/9/2017</w:t>
            </w:r>
          </w:p>
        </w:tc>
        <w:tc>
          <w:tcPr>
            <w:tcW w:w="1740" w:type="dxa"/>
            <w:tcBorders>
              <w:top w:val="nil"/>
              <w:left w:val="nil"/>
              <w:bottom w:val="nil"/>
              <w:right w:val="nil"/>
            </w:tcBorders>
          </w:tcPr>
          <w:p w14:paraId="08AFA214" w14:textId="77777777" w:rsidR="00477A22" w:rsidRDefault="00477A22" w:rsidP="00FC6FAA">
            <w:pPr>
              <w:pStyle w:val="atabletext"/>
              <w:spacing w:before="120"/>
            </w:pPr>
            <w:r>
              <w:t>-</w:t>
            </w:r>
          </w:p>
        </w:tc>
      </w:tr>
      <w:tr w:rsidR="00FA1782" w14:paraId="02A2776A" w14:textId="77777777" w:rsidTr="001B3D09">
        <w:tblPrEx>
          <w:tblCellMar>
            <w:top w:w="0" w:type="dxa"/>
            <w:bottom w:w="0" w:type="dxa"/>
          </w:tblCellMar>
        </w:tblPrEx>
        <w:tc>
          <w:tcPr>
            <w:tcW w:w="1706" w:type="dxa"/>
            <w:tcBorders>
              <w:top w:val="nil"/>
              <w:left w:val="nil"/>
              <w:bottom w:val="single" w:sz="4" w:space="0" w:color="auto"/>
              <w:right w:val="nil"/>
            </w:tcBorders>
          </w:tcPr>
          <w:p w14:paraId="34E748BF" w14:textId="0B475C15" w:rsidR="00FA1782" w:rsidRDefault="00FA1782" w:rsidP="00FC6FAA">
            <w:pPr>
              <w:pStyle w:val="atabletext"/>
              <w:spacing w:before="120"/>
            </w:pPr>
            <w:r>
              <w:t>2020/1064</w:t>
            </w:r>
          </w:p>
        </w:tc>
        <w:tc>
          <w:tcPr>
            <w:tcW w:w="1719" w:type="dxa"/>
            <w:tcBorders>
              <w:top w:val="nil"/>
              <w:left w:val="nil"/>
              <w:bottom w:val="single" w:sz="4" w:space="0" w:color="auto"/>
              <w:right w:val="nil"/>
            </w:tcBorders>
          </w:tcPr>
          <w:p w14:paraId="27DEA353" w14:textId="37E95807" w:rsidR="00FA1782" w:rsidRDefault="00C046C4" w:rsidP="00FC6FAA">
            <w:pPr>
              <w:pStyle w:val="atabletext"/>
              <w:spacing w:before="120"/>
            </w:pPr>
            <w:r>
              <w:t>11/12/2020 (</w:t>
            </w:r>
            <w:r w:rsidRPr="00C046C4">
              <w:rPr>
                <w:i/>
                <w:iCs/>
              </w:rPr>
              <w:t xml:space="preserve">see </w:t>
            </w:r>
            <w:r w:rsidRPr="00C046C4">
              <w:t>F2020L01571</w:t>
            </w:r>
            <w:r>
              <w:t>)</w:t>
            </w:r>
          </w:p>
        </w:tc>
        <w:tc>
          <w:tcPr>
            <w:tcW w:w="1854" w:type="dxa"/>
            <w:tcBorders>
              <w:top w:val="nil"/>
              <w:left w:val="nil"/>
              <w:bottom w:val="single" w:sz="4" w:space="0" w:color="auto"/>
              <w:right w:val="nil"/>
            </w:tcBorders>
          </w:tcPr>
          <w:p w14:paraId="232C7C20" w14:textId="5C95B608" w:rsidR="00FA1782" w:rsidRDefault="00C046C4" w:rsidP="00FC6FAA">
            <w:pPr>
              <w:pStyle w:val="atabletext"/>
              <w:spacing w:before="120"/>
            </w:pPr>
            <w:r>
              <w:t>12/12/2020</w:t>
            </w:r>
          </w:p>
        </w:tc>
        <w:tc>
          <w:tcPr>
            <w:tcW w:w="1740" w:type="dxa"/>
            <w:tcBorders>
              <w:top w:val="nil"/>
              <w:left w:val="nil"/>
              <w:bottom w:val="single" w:sz="4" w:space="0" w:color="auto"/>
              <w:right w:val="nil"/>
            </w:tcBorders>
          </w:tcPr>
          <w:p w14:paraId="7CA28A59" w14:textId="76753682" w:rsidR="00FA1782" w:rsidRDefault="00C046C4" w:rsidP="00FC6FAA">
            <w:pPr>
              <w:pStyle w:val="atabletext"/>
              <w:spacing w:before="120"/>
            </w:pPr>
            <w:r>
              <w:t>-</w:t>
            </w:r>
          </w:p>
        </w:tc>
      </w:tr>
    </w:tbl>
    <w:p w14:paraId="21166C30" w14:textId="77777777" w:rsidR="001B3D09" w:rsidRDefault="001B3D09" w:rsidP="001B3D09">
      <w:pPr>
        <w:pStyle w:val="aTableof"/>
      </w:pPr>
      <w:r>
        <w:t>Table of Amendments</w:t>
      </w:r>
    </w:p>
    <w:p w14:paraId="74411FA3" w14:textId="77777777" w:rsidR="001B3D09" w:rsidRDefault="001B3D09" w:rsidP="001B3D09">
      <w:pPr>
        <w:pStyle w:val="aNotetext"/>
      </w:pPr>
      <w:r>
        <w:t xml:space="preserve">ad. = added or inserted     am. = amended   </w:t>
      </w:r>
      <w:r w:rsidR="00AD4FDC">
        <w:t xml:space="preserve"> </w:t>
      </w:r>
      <w:r w:rsidR="00B46911" w:rsidRPr="00AD4FDC">
        <w:t xml:space="preserve">LA = </w:t>
      </w:r>
      <w:r w:rsidR="00B46911" w:rsidRPr="00AD4FDC">
        <w:rPr>
          <w:i/>
        </w:rPr>
        <w:t>Legislation Act 2003</w:t>
      </w:r>
      <w:r w:rsidR="00B46911" w:rsidRPr="00B46911">
        <w:t xml:space="preserve">    </w:t>
      </w:r>
      <w:r>
        <w:t xml:space="preserve">rep. = repealed     </w:t>
      </w:r>
      <w:proofErr w:type="spellStart"/>
      <w:r>
        <w:t>rs</w:t>
      </w:r>
      <w:proofErr w:type="spellEnd"/>
      <w:r>
        <w:t>. = repealed and substituted</w:t>
      </w:r>
    </w:p>
    <w:tbl>
      <w:tblPr>
        <w:tblW w:w="0" w:type="auto"/>
        <w:tblLook w:val="0000" w:firstRow="0" w:lastRow="0" w:firstColumn="0" w:lastColumn="0" w:noHBand="0" w:noVBand="0"/>
      </w:tblPr>
      <w:tblGrid>
        <w:gridCol w:w="1899"/>
        <w:gridCol w:w="5120"/>
      </w:tblGrid>
      <w:tr w:rsidR="001B3D09" w14:paraId="5DF93C98" w14:textId="77777777" w:rsidTr="009C4F56">
        <w:tblPrEx>
          <w:tblCellMar>
            <w:top w:w="0" w:type="dxa"/>
            <w:bottom w:w="0" w:type="dxa"/>
          </w:tblCellMar>
        </w:tblPrEx>
        <w:trPr>
          <w:trHeight w:val="285"/>
          <w:tblHeader/>
        </w:trPr>
        <w:tc>
          <w:tcPr>
            <w:tcW w:w="1899" w:type="dxa"/>
            <w:tcBorders>
              <w:top w:val="single" w:sz="4" w:space="0" w:color="auto"/>
              <w:bottom w:val="single" w:sz="4" w:space="0" w:color="auto"/>
            </w:tcBorders>
          </w:tcPr>
          <w:p w14:paraId="0167A4E2" w14:textId="77777777" w:rsidR="001B3D09" w:rsidRDefault="001B3D09" w:rsidP="00D84332">
            <w:pPr>
              <w:pStyle w:val="atableheadings"/>
            </w:pPr>
            <w:r>
              <w:t>Provision affected</w:t>
            </w:r>
          </w:p>
        </w:tc>
        <w:tc>
          <w:tcPr>
            <w:tcW w:w="5120" w:type="dxa"/>
            <w:tcBorders>
              <w:top w:val="single" w:sz="4" w:space="0" w:color="auto"/>
              <w:bottom w:val="single" w:sz="4" w:space="0" w:color="auto"/>
            </w:tcBorders>
          </w:tcPr>
          <w:p w14:paraId="002D1E8A" w14:textId="77777777" w:rsidR="001B3D09" w:rsidRDefault="001B3D09" w:rsidP="00D84332">
            <w:pPr>
              <w:pStyle w:val="atableheadings"/>
            </w:pPr>
            <w:r>
              <w:t>How affected</w:t>
            </w:r>
          </w:p>
        </w:tc>
      </w:tr>
      <w:tr w:rsidR="00B46911" w14:paraId="78F424C7" w14:textId="77777777" w:rsidTr="00B46911">
        <w:tblPrEx>
          <w:tblCellMar>
            <w:top w:w="0" w:type="dxa"/>
            <w:bottom w:w="0" w:type="dxa"/>
          </w:tblCellMar>
        </w:tblPrEx>
        <w:tc>
          <w:tcPr>
            <w:tcW w:w="1899" w:type="dxa"/>
          </w:tcPr>
          <w:p w14:paraId="3D967BDB" w14:textId="77777777" w:rsidR="00B46911" w:rsidRDefault="003D4BA3" w:rsidP="00D84332">
            <w:pPr>
              <w:pStyle w:val="atabletext"/>
              <w:tabs>
                <w:tab w:val="center" w:leader="dot" w:pos="1701"/>
              </w:tabs>
            </w:pPr>
            <w:r>
              <w:t>Para</w:t>
            </w:r>
            <w:r w:rsidR="00B46911">
              <w:t xml:space="preserve"> 3</w:t>
            </w:r>
            <w:r w:rsidR="00B46911">
              <w:tab/>
            </w:r>
          </w:p>
        </w:tc>
        <w:tc>
          <w:tcPr>
            <w:tcW w:w="5120" w:type="dxa"/>
          </w:tcPr>
          <w:p w14:paraId="511A4C76" w14:textId="77777777" w:rsidR="00B46911" w:rsidRDefault="00B46911" w:rsidP="00AD4FDC">
            <w:pPr>
              <w:pStyle w:val="atabletext"/>
            </w:pPr>
            <w:r w:rsidRPr="00B46911">
              <w:t>rep. s48D LA</w:t>
            </w:r>
            <w:r>
              <w:t xml:space="preserve"> </w:t>
            </w:r>
          </w:p>
        </w:tc>
      </w:tr>
      <w:tr w:rsidR="00477A22" w14:paraId="301D8B36" w14:textId="77777777" w:rsidTr="00B46911">
        <w:tblPrEx>
          <w:tblCellMar>
            <w:top w:w="0" w:type="dxa"/>
            <w:bottom w:w="0" w:type="dxa"/>
          </w:tblCellMar>
        </w:tblPrEx>
        <w:tc>
          <w:tcPr>
            <w:tcW w:w="1899" w:type="dxa"/>
          </w:tcPr>
          <w:p w14:paraId="4933E54C" w14:textId="0D2FB222" w:rsidR="00477A22" w:rsidRPr="00740D5E" w:rsidRDefault="00845E96" w:rsidP="00FC6FAA">
            <w:pPr>
              <w:pStyle w:val="atabletext"/>
              <w:tabs>
                <w:tab w:val="center" w:leader="dot" w:pos="1701"/>
              </w:tabs>
            </w:pPr>
            <w:r>
              <w:t>Para</w:t>
            </w:r>
            <w:r w:rsidR="00477A22">
              <w:t xml:space="preserve"> 4 (notional section 912AA(2A</w:t>
            </w:r>
            <w:r w:rsidR="00477A22" w:rsidRPr="00477A22">
              <w:t>))</w:t>
            </w:r>
            <w:r w:rsidR="00477A22" w:rsidRPr="00477A22">
              <w:tab/>
            </w:r>
          </w:p>
        </w:tc>
        <w:tc>
          <w:tcPr>
            <w:tcW w:w="5120" w:type="dxa"/>
          </w:tcPr>
          <w:p w14:paraId="66F069F3" w14:textId="77777777" w:rsidR="00477A22" w:rsidRDefault="00477A22" w:rsidP="00FC6FAA">
            <w:pPr>
              <w:pStyle w:val="atabletext"/>
            </w:pPr>
            <w:r>
              <w:br/>
              <w:t>ad. 2017/848</w:t>
            </w:r>
          </w:p>
        </w:tc>
      </w:tr>
      <w:tr w:rsidR="00AD4FDC" w14:paraId="293C4572" w14:textId="77777777" w:rsidTr="00B46911">
        <w:tblPrEx>
          <w:tblCellMar>
            <w:top w:w="0" w:type="dxa"/>
            <w:bottom w:w="0" w:type="dxa"/>
          </w:tblCellMar>
        </w:tblPrEx>
        <w:tc>
          <w:tcPr>
            <w:tcW w:w="1899" w:type="dxa"/>
          </w:tcPr>
          <w:p w14:paraId="78725AB9" w14:textId="0DB76062" w:rsidR="00AD4FDC" w:rsidRDefault="00845E96" w:rsidP="00FC6FAA">
            <w:pPr>
              <w:pStyle w:val="atabletext"/>
              <w:tabs>
                <w:tab w:val="center" w:leader="dot" w:pos="1701"/>
              </w:tabs>
            </w:pPr>
            <w:r w:rsidRPr="00845E96">
              <w:t>Para</w:t>
            </w:r>
            <w:r w:rsidR="00AD4FDC">
              <w:t xml:space="preserve"> 4 (notional section 912</w:t>
            </w:r>
            <w:proofErr w:type="gramStart"/>
            <w:r w:rsidR="00AD4FDC">
              <w:t>AA(</w:t>
            </w:r>
            <w:proofErr w:type="gramEnd"/>
            <w:r w:rsidR="00AD4FDC">
              <w:t>4))</w:t>
            </w:r>
            <w:r w:rsidR="00AD4FDC">
              <w:tab/>
            </w:r>
          </w:p>
        </w:tc>
        <w:tc>
          <w:tcPr>
            <w:tcW w:w="5120" w:type="dxa"/>
          </w:tcPr>
          <w:p w14:paraId="560F6FAE" w14:textId="77777777" w:rsidR="00AD4FDC" w:rsidRDefault="00AD4FDC" w:rsidP="00FC6FAA">
            <w:pPr>
              <w:pStyle w:val="atabletext"/>
            </w:pPr>
            <w:r>
              <w:br/>
              <w:t>am. [CO 13/1413]</w:t>
            </w:r>
          </w:p>
        </w:tc>
      </w:tr>
      <w:tr w:rsidR="00AD4FDC" w14:paraId="0A923275" w14:textId="77777777" w:rsidTr="00AD4FDC">
        <w:tblPrEx>
          <w:tblCellMar>
            <w:top w:w="0" w:type="dxa"/>
            <w:bottom w:w="0" w:type="dxa"/>
          </w:tblCellMar>
        </w:tblPrEx>
        <w:tc>
          <w:tcPr>
            <w:tcW w:w="1899" w:type="dxa"/>
          </w:tcPr>
          <w:p w14:paraId="0840FB16" w14:textId="5B1DD190" w:rsidR="00AD4FDC" w:rsidRDefault="00845E96" w:rsidP="00FC6FAA">
            <w:pPr>
              <w:pStyle w:val="atabletext"/>
              <w:tabs>
                <w:tab w:val="center" w:leader="dot" w:pos="1701"/>
              </w:tabs>
            </w:pPr>
            <w:r w:rsidRPr="00845E96">
              <w:t>Para</w:t>
            </w:r>
            <w:r w:rsidR="00AD4FDC" w:rsidRPr="00934219">
              <w:t xml:space="preserve"> 4 (notional section 912</w:t>
            </w:r>
            <w:proofErr w:type="gramStart"/>
            <w:r w:rsidR="00AD4FDC" w:rsidRPr="00934219">
              <w:t>AA</w:t>
            </w:r>
            <w:r w:rsidR="00AD4FDC">
              <w:t>(</w:t>
            </w:r>
            <w:proofErr w:type="gramEnd"/>
            <w:r w:rsidR="00AD4FDC">
              <w:t>7</w:t>
            </w:r>
            <w:r w:rsidR="00AD4FDC" w:rsidRPr="00934219">
              <w:t>))</w:t>
            </w:r>
            <w:r w:rsidR="00AD4FDC">
              <w:tab/>
            </w:r>
          </w:p>
        </w:tc>
        <w:tc>
          <w:tcPr>
            <w:tcW w:w="5120" w:type="dxa"/>
          </w:tcPr>
          <w:p w14:paraId="3FED3835" w14:textId="77777777" w:rsidR="00AD4FDC" w:rsidRDefault="00AD4FDC" w:rsidP="00FC6FAA">
            <w:pPr>
              <w:pStyle w:val="atabletext"/>
            </w:pPr>
            <w:r>
              <w:br/>
              <w:t xml:space="preserve">am. </w:t>
            </w:r>
            <w:r w:rsidRPr="00934219">
              <w:t>[CO 13/1413]</w:t>
            </w:r>
          </w:p>
        </w:tc>
      </w:tr>
      <w:tr w:rsidR="00AD4FDC" w14:paraId="6756E4A2" w14:textId="77777777" w:rsidTr="00AD4FDC">
        <w:tblPrEx>
          <w:tblCellMar>
            <w:top w:w="0" w:type="dxa"/>
            <w:bottom w:w="0" w:type="dxa"/>
          </w:tblCellMar>
        </w:tblPrEx>
        <w:tc>
          <w:tcPr>
            <w:tcW w:w="1899" w:type="dxa"/>
          </w:tcPr>
          <w:p w14:paraId="25A666E1" w14:textId="69C3E6B2" w:rsidR="00AD4FDC" w:rsidRDefault="00845E96" w:rsidP="00FC6FAA">
            <w:pPr>
              <w:pStyle w:val="atabletext"/>
              <w:tabs>
                <w:tab w:val="center" w:leader="dot" w:pos="1701"/>
              </w:tabs>
            </w:pPr>
            <w:r w:rsidRPr="00845E96">
              <w:t>Para</w:t>
            </w:r>
            <w:r w:rsidR="00AD4FDC" w:rsidRPr="00934219">
              <w:t xml:space="preserve"> (notional section 912AA</w:t>
            </w:r>
            <w:r w:rsidR="00AD4FDC">
              <w:t>(7A</w:t>
            </w:r>
            <w:r w:rsidR="00AD4FDC" w:rsidRPr="00934219">
              <w:t>)</w:t>
            </w:r>
            <w:r w:rsidR="00AD4FDC">
              <w:t xml:space="preserve"> &amp; (7B)</w:t>
            </w:r>
            <w:r w:rsidR="00AD4FDC" w:rsidRPr="00934219">
              <w:t>)</w:t>
            </w:r>
            <w:r w:rsidR="00AD4FDC" w:rsidRPr="00934219">
              <w:rPr>
                <w:color w:val="000000"/>
                <w:sz w:val="24"/>
              </w:rPr>
              <w:t xml:space="preserve"> </w:t>
            </w:r>
            <w:r w:rsidR="00AD4FDC" w:rsidRPr="00934219">
              <w:tab/>
            </w:r>
          </w:p>
        </w:tc>
        <w:tc>
          <w:tcPr>
            <w:tcW w:w="5120" w:type="dxa"/>
          </w:tcPr>
          <w:p w14:paraId="7BC59E4D" w14:textId="6724FFE1" w:rsidR="00AD4FDC" w:rsidRDefault="00AD4FDC" w:rsidP="00FC6FAA">
            <w:pPr>
              <w:pStyle w:val="atabletext"/>
            </w:pPr>
            <w:r>
              <w:br/>
              <w:t xml:space="preserve">ad. </w:t>
            </w:r>
            <w:r w:rsidRPr="00934219">
              <w:t>[CO 13/1413]</w:t>
            </w:r>
          </w:p>
        </w:tc>
      </w:tr>
      <w:tr w:rsidR="00740D5E" w14:paraId="49F83F25" w14:textId="77777777" w:rsidTr="00AD4FDC">
        <w:tblPrEx>
          <w:tblCellMar>
            <w:top w:w="0" w:type="dxa"/>
            <w:bottom w:w="0" w:type="dxa"/>
          </w:tblCellMar>
        </w:tblPrEx>
        <w:tc>
          <w:tcPr>
            <w:tcW w:w="1899" w:type="dxa"/>
          </w:tcPr>
          <w:p w14:paraId="0B8E1404" w14:textId="61F3F5AE" w:rsidR="00740D5E" w:rsidRPr="00934219" w:rsidRDefault="00845E96" w:rsidP="00FC6FAA">
            <w:pPr>
              <w:pStyle w:val="atabletext"/>
              <w:tabs>
                <w:tab w:val="center" w:leader="dot" w:pos="1701"/>
              </w:tabs>
            </w:pPr>
            <w:r w:rsidRPr="00845E96">
              <w:t>Para</w:t>
            </w:r>
            <w:r w:rsidR="00740D5E" w:rsidRPr="00740D5E">
              <w:t xml:space="preserve"> 4 (definition of </w:t>
            </w:r>
            <w:r w:rsidR="00740D5E" w:rsidRPr="00740D5E">
              <w:rPr>
                <w:b/>
                <w:i/>
              </w:rPr>
              <w:t>approved foreign market</w:t>
            </w:r>
            <w:r w:rsidR="00740D5E" w:rsidRPr="00740D5E">
              <w:t xml:space="preserve"> in subsection 912</w:t>
            </w:r>
            <w:proofErr w:type="gramStart"/>
            <w:r w:rsidR="00740D5E" w:rsidRPr="00740D5E">
              <w:t>AA(</w:t>
            </w:r>
            <w:proofErr w:type="gramEnd"/>
            <w:r w:rsidR="00740D5E" w:rsidRPr="00740D5E">
              <w:t>11))</w:t>
            </w:r>
            <w:r w:rsidR="00740D5E">
              <w:t xml:space="preserve"> </w:t>
            </w:r>
            <w:r w:rsidR="00740D5E" w:rsidRPr="00740D5E">
              <w:tab/>
            </w:r>
          </w:p>
        </w:tc>
        <w:tc>
          <w:tcPr>
            <w:tcW w:w="5120" w:type="dxa"/>
          </w:tcPr>
          <w:p w14:paraId="64A285EA" w14:textId="77777777" w:rsidR="00740D5E" w:rsidRDefault="00740D5E" w:rsidP="00FC6FAA">
            <w:pPr>
              <w:pStyle w:val="atabletext"/>
            </w:pPr>
            <w:r>
              <w:br/>
            </w:r>
            <w:r>
              <w:br/>
            </w:r>
            <w:r>
              <w:br/>
              <w:t>am. 2017/6</w:t>
            </w:r>
          </w:p>
        </w:tc>
      </w:tr>
      <w:tr w:rsidR="00AD4FDC" w14:paraId="47C0B7C3" w14:textId="77777777" w:rsidTr="00AD4FDC">
        <w:tblPrEx>
          <w:tblCellMar>
            <w:top w:w="0" w:type="dxa"/>
            <w:bottom w:w="0" w:type="dxa"/>
          </w:tblCellMar>
        </w:tblPrEx>
        <w:tc>
          <w:tcPr>
            <w:tcW w:w="1899" w:type="dxa"/>
          </w:tcPr>
          <w:p w14:paraId="539B3FD0" w14:textId="08F1E7FD" w:rsidR="00AD4FDC" w:rsidRDefault="00845E96" w:rsidP="00FC6FAA">
            <w:pPr>
              <w:pStyle w:val="atabletext"/>
              <w:tabs>
                <w:tab w:val="center" w:leader="dot" w:pos="1701"/>
              </w:tabs>
            </w:pPr>
            <w:r w:rsidRPr="00845E96">
              <w:t>Para</w:t>
            </w:r>
            <w:r w:rsidR="00AD4FDC" w:rsidRPr="00934219">
              <w:t xml:space="preserve"> </w:t>
            </w:r>
            <w:r>
              <w:t xml:space="preserve">4 </w:t>
            </w:r>
            <w:r w:rsidR="00AD4FDC" w:rsidRPr="00934219">
              <w:t>(notional section 912</w:t>
            </w:r>
            <w:proofErr w:type="gramStart"/>
            <w:r w:rsidR="00AD4FDC" w:rsidRPr="00934219">
              <w:t>AA(</w:t>
            </w:r>
            <w:proofErr w:type="gramEnd"/>
            <w:r w:rsidR="00AD4FDC">
              <w:t>11</w:t>
            </w:r>
            <w:r w:rsidR="00AD4FDC" w:rsidRPr="00934219">
              <w:t>)</w:t>
            </w:r>
            <w:r w:rsidR="00AD4FDC" w:rsidRPr="00076020">
              <w:rPr>
                <w:color w:val="000000"/>
                <w:sz w:val="24"/>
              </w:rPr>
              <w:t xml:space="preserve"> </w:t>
            </w:r>
            <w:r w:rsidR="00AD4FDC" w:rsidRPr="00076020">
              <w:lastRenderedPageBreak/>
              <w:t xml:space="preserve">(definition of </w:t>
            </w:r>
            <w:r w:rsidR="00AD4FDC" w:rsidRPr="00740D5E">
              <w:rPr>
                <w:b/>
                <w:i/>
              </w:rPr>
              <w:t>special custody assets</w:t>
            </w:r>
            <w:r w:rsidR="00AD4FDC" w:rsidRPr="00076020">
              <w:t>)</w:t>
            </w:r>
            <w:r w:rsidR="00AD4FDC">
              <w:t>)</w:t>
            </w:r>
            <w:r w:rsidR="00AD4FDC" w:rsidRPr="00934219">
              <w:t xml:space="preserve"> </w:t>
            </w:r>
            <w:r w:rsidR="00AD4FDC" w:rsidRPr="00934219">
              <w:tab/>
            </w:r>
          </w:p>
        </w:tc>
        <w:tc>
          <w:tcPr>
            <w:tcW w:w="5120" w:type="dxa"/>
          </w:tcPr>
          <w:p w14:paraId="05EBF272" w14:textId="17533BEF" w:rsidR="00AD4FDC" w:rsidRDefault="00AD4FDC" w:rsidP="00FC6FAA">
            <w:pPr>
              <w:pStyle w:val="atabletext"/>
            </w:pPr>
            <w:r>
              <w:lastRenderedPageBreak/>
              <w:br/>
            </w:r>
            <w:r>
              <w:br/>
            </w:r>
            <w:r>
              <w:lastRenderedPageBreak/>
              <w:br/>
              <w:t xml:space="preserve">am. </w:t>
            </w:r>
            <w:r w:rsidRPr="00934219">
              <w:t>[CO 13/1413]</w:t>
            </w:r>
            <w:r w:rsidR="00845E96">
              <w:t xml:space="preserve"> and 2020/1064</w:t>
            </w:r>
          </w:p>
        </w:tc>
      </w:tr>
      <w:tr w:rsidR="00AD4FDC" w14:paraId="19F6C5D3" w14:textId="77777777" w:rsidTr="00AD4FDC">
        <w:tblPrEx>
          <w:tblCellMar>
            <w:top w:w="0" w:type="dxa"/>
            <w:bottom w:w="0" w:type="dxa"/>
          </w:tblCellMar>
        </w:tblPrEx>
        <w:tc>
          <w:tcPr>
            <w:tcW w:w="1899" w:type="dxa"/>
          </w:tcPr>
          <w:p w14:paraId="47567E18" w14:textId="36CAD67D" w:rsidR="00AD4FDC" w:rsidRPr="00934219" w:rsidRDefault="00845E96" w:rsidP="00FC6FAA">
            <w:pPr>
              <w:pStyle w:val="atabletext"/>
              <w:tabs>
                <w:tab w:val="center" w:leader="dot" w:pos="1701"/>
              </w:tabs>
            </w:pPr>
            <w:r w:rsidRPr="00845E96">
              <w:lastRenderedPageBreak/>
              <w:t>Para</w:t>
            </w:r>
            <w:r w:rsidR="00AD4FDC" w:rsidRPr="00934219">
              <w:t xml:space="preserve"> 4 (notional section 912</w:t>
            </w:r>
            <w:proofErr w:type="gramStart"/>
            <w:r w:rsidR="00AD4FDC" w:rsidRPr="00934219">
              <w:t>AA(</w:t>
            </w:r>
            <w:proofErr w:type="gramEnd"/>
            <w:r w:rsidR="00AD4FDC" w:rsidRPr="00934219">
              <w:t>11)</w:t>
            </w:r>
            <w:r w:rsidR="00AD4FDC">
              <w:t>(</w:t>
            </w:r>
            <w:proofErr w:type="spellStart"/>
            <w:r w:rsidR="00AD4FDC">
              <w:t>i</w:t>
            </w:r>
            <w:proofErr w:type="spellEnd"/>
            <w:r w:rsidR="00AD4FDC">
              <w:t>)–(n)</w:t>
            </w:r>
            <w:r w:rsidR="00AD4FDC" w:rsidRPr="00934219">
              <w:t xml:space="preserve"> </w:t>
            </w:r>
            <w:r w:rsidR="00AD4FDC" w:rsidRPr="00076020">
              <w:t xml:space="preserve">(definition of </w:t>
            </w:r>
            <w:r w:rsidR="00AD4FDC" w:rsidRPr="00740D5E">
              <w:rPr>
                <w:b/>
                <w:i/>
              </w:rPr>
              <w:t>special custody assets</w:t>
            </w:r>
            <w:r w:rsidR="00AD4FDC" w:rsidRPr="00076020">
              <w:t>)</w:t>
            </w:r>
            <w:r w:rsidR="00AD4FDC">
              <w:t>)</w:t>
            </w:r>
            <w:r w:rsidR="00AD4FDC" w:rsidRPr="00934219">
              <w:tab/>
            </w:r>
          </w:p>
        </w:tc>
        <w:tc>
          <w:tcPr>
            <w:tcW w:w="5120" w:type="dxa"/>
          </w:tcPr>
          <w:p w14:paraId="5C3038C8" w14:textId="77777777" w:rsidR="00AD4FDC" w:rsidRDefault="00AD4FDC" w:rsidP="00FC6FAA">
            <w:pPr>
              <w:pStyle w:val="atabletext"/>
            </w:pPr>
            <w:r>
              <w:br/>
            </w:r>
            <w:r>
              <w:br/>
            </w:r>
            <w:r>
              <w:br/>
            </w:r>
            <w:r>
              <w:br/>
              <w:t xml:space="preserve">ad. </w:t>
            </w:r>
            <w:r w:rsidRPr="00934219">
              <w:t>[CO 13/1413]</w:t>
            </w:r>
          </w:p>
          <w:p w14:paraId="40FF373C" w14:textId="77777777" w:rsidR="00926F9B" w:rsidRDefault="00926F9B" w:rsidP="00FC6FAA">
            <w:pPr>
              <w:pStyle w:val="atabletext"/>
            </w:pPr>
            <w:r>
              <w:t>am. 2017/65</w:t>
            </w:r>
          </w:p>
        </w:tc>
      </w:tr>
      <w:tr w:rsidR="00AD4FDC" w14:paraId="2205FEAD" w14:textId="77777777" w:rsidTr="00845E96">
        <w:tblPrEx>
          <w:tblCellMar>
            <w:top w:w="0" w:type="dxa"/>
            <w:bottom w:w="0" w:type="dxa"/>
          </w:tblCellMar>
        </w:tblPrEx>
        <w:tc>
          <w:tcPr>
            <w:tcW w:w="1899" w:type="dxa"/>
          </w:tcPr>
          <w:p w14:paraId="2B0FFF01" w14:textId="7EEBF637" w:rsidR="00AD4FDC" w:rsidRPr="00934219" w:rsidRDefault="00845E96" w:rsidP="00FC6FAA">
            <w:pPr>
              <w:pStyle w:val="atabletext"/>
              <w:tabs>
                <w:tab w:val="center" w:leader="dot" w:pos="1701"/>
              </w:tabs>
            </w:pPr>
            <w:r w:rsidRPr="00845E96">
              <w:t>Para</w:t>
            </w:r>
            <w:r w:rsidR="00AD4FDC">
              <w:t xml:space="preserve"> 4 (notional section 912</w:t>
            </w:r>
            <w:proofErr w:type="gramStart"/>
            <w:r w:rsidR="00AD4FDC">
              <w:t>AA(</w:t>
            </w:r>
            <w:proofErr w:type="gramEnd"/>
            <w:r w:rsidR="00AD4FDC">
              <w:t>12</w:t>
            </w:r>
            <w:r w:rsidR="00AD4FDC" w:rsidRPr="00F4593B">
              <w:t>)</w:t>
            </w:r>
            <w:r w:rsidR="00AD4FDC">
              <w:t xml:space="preserve">) </w:t>
            </w:r>
            <w:r w:rsidR="00AD4FDC" w:rsidRPr="00F4593B">
              <w:tab/>
            </w:r>
          </w:p>
        </w:tc>
        <w:tc>
          <w:tcPr>
            <w:tcW w:w="5120" w:type="dxa"/>
          </w:tcPr>
          <w:p w14:paraId="1FB68A8E" w14:textId="77777777" w:rsidR="00AD4FDC" w:rsidRDefault="00AD4FDC" w:rsidP="00FC6FAA">
            <w:pPr>
              <w:pStyle w:val="atabletext"/>
            </w:pPr>
            <w:r>
              <w:br/>
              <w:t>ad. [CO 14/757]</w:t>
            </w:r>
          </w:p>
          <w:p w14:paraId="38EE1E1D" w14:textId="77777777" w:rsidR="00271B8D" w:rsidRDefault="00271B8D" w:rsidP="00FC6FAA">
            <w:pPr>
              <w:pStyle w:val="atabletext"/>
            </w:pPr>
            <w:r>
              <w:t>rep. 2016/1182</w:t>
            </w:r>
          </w:p>
        </w:tc>
      </w:tr>
      <w:tr w:rsidR="00845E96" w14:paraId="486EAAFB" w14:textId="77777777" w:rsidTr="00845E96">
        <w:tblPrEx>
          <w:tblCellMar>
            <w:top w:w="0" w:type="dxa"/>
            <w:bottom w:w="0" w:type="dxa"/>
          </w:tblCellMar>
        </w:tblPrEx>
        <w:tc>
          <w:tcPr>
            <w:tcW w:w="1899" w:type="dxa"/>
          </w:tcPr>
          <w:p w14:paraId="13D6FC8C" w14:textId="7840F9C7" w:rsidR="00845E96" w:rsidRPr="00F4593B" w:rsidRDefault="00845E96" w:rsidP="00FC6FAA">
            <w:pPr>
              <w:pStyle w:val="atabletext"/>
              <w:tabs>
                <w:tab w:val="center" w:leader="dot" w:pos="1701"/>
              </w:tabs>
            </w:pPr>
            <w:r w:rsidRPr="00845E96">
              <w:t>Para</w:t>
            </w:r>
            <w:r>
              <w:t xml:space="preserve"> 7A</w:t>
            </w:r>
            <w:r w:rsidRPr="00845E96">
              <w:tab/>
            </w:r>
          </w:p>
        </w:tc>
        <w:tc>
          <w:tcPr>
            <w:tcW w:w="5120" w:type="dxa"/>
          </w:tcPr>
          <w:p w14:paraId="39A34A85" w14:textId="1868A3EA" w:rsidR="00845E96" w:rsidRDefault="00845E96" w:rsidP="00FC6FAA">
            <w:pPr>
              <w:pStyle w:val="atabletext"/>
            </w:pPr>
            <w:r>
              <w:t>ad. 2020/1064</w:t>
            </w:r>
          </w:p>
        </w:tc>
      </w:tr>
      <w:tr w:rsidR="00845E96" w14:paraId="2F9CEBBD" w14:textId="77777777" w:rsidTr="00271B8D">
        <w:tblPrEx>
          <w:tblCellMar>
            <w:top w:w="0" w:type="dxa"/>
            <w:bottom w:w="0" w:type="dxa"/>
          </w:tblCellMar>
        </w:tblPrEx>
        <w:tc>
          <w:tcPr>
            <w:tcW w:w="1899" w:type="dxa"/>
            <w:tcBorders>
              <w:bottom w:val="single" w:sz="4" w:space="0" w:color="auto"/>
            </w:tcBorders>
          </w:tcPr>
          <w:p w14:paraId="6BCC476B" w14:textId="3FACDB5F" w:rsidR="00845E96" w:rsidRDefault="00845E96" w:rsidP="00FC6FAA">
            <w:pPr>
              <w:pStyle w:val="atabletext"/>
              <w:tabs>
                <w:tab w:val="center" w:leader="dot" w:pos="1701"/>
              </w:tabs>
            </w:pPr>
            <w:r w:rsidRPr="00845E96">
              <w:t>Para</w:t>
            </w:r>
            <w:bookmarkStart w:id="3" w:name="_GoBack"/>
            <w:bookmarkEnd w:id="3"/>
            <w:r>
              <w:t xml:space="preserve"> 7B</w:t>
            </w:r>
            <w:r w:rsidRPr="00845E96">
              <w:tab/>
            </w:r>
          </w:p>
        </w:tc>
        <w:tc>
          <w:tcPr>
            <w:tcW w:w="5120" w:type="dxa"/>
            <w:tcBorders>
              <w:bottom w:val="single" w:sz="4" w:space="0" w:color="auto"/>
            </w:tcBorders>
          </w:tcPr>
          <w:p w14:paraId="16DCCC79" w14:textId="161503FA" w:rsidR="00845E96" w:rsidRDefault="00845E96" w:rsidP="00FC6FAA">
            <w:pPr>
              <w:pStyle w:val="atabletext"/>
            </w:pPr>
            <w:r w:rsidRPr="00845E96">
              <w:t>ad. 2020/1064</w:t>
            </w:r>
          </w:p>
        </w:tc>
      </w:tr>
    </w:tbl>
    <w:p w14:paraId="5B07F8E7" w14:textId="77777777" w:rsidR="00717530" w:rsidRDefault="00717530">
      <w:pPr>
        <w:pStyle w:val="Changes"/>
        <w:rPr>
          <w:rFonts w:ascii="Arial" w:hAnsi="Arial" w:cs="Arial"/>
          <w:color w:val="000000"/>
        </w:rPr>
      </w:pPr>
    </w:p>
    <w:sectPr w:rsidR="00717530" w:rsidSect="007E358E">
      <w:footerReference w:type="default" r:id="rId11"/>
      <w:footerReference w:type="first" r:id="rId12"/>
      <w:pgSz w:w="11907" w:h="16840" w:code="9"/>
      <w:pgMar w:top="1633" w:right="1418" w:bottom="1440" w:left="1797" w:header="737"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1CA9" w14:textId="77777777" w:rsidR="008157AB" w:rsidRDefault="008157AB">
      <w:pPr>
        <w:spacing w:after="0"/>
      </w:pPr>
      <w:r>
        <w:separator/>
      </w:r>
    </w:p>
  </w:endnote>
  <w:endnote w:type="continuationSeparator" w:id="0">
    <w:p w14:paraId="1232447D" w14:textId="77777777" w:rsidR="008157AB" w:rsidRDefault="00815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A546" w14:textId="77777777" w:rsidR="00506446" w:rsidRPr="00506446" w:rsidRDefault="00506446">
    <w:pPr>
      <w:pStyle w:val="Footer"/>
      <w:jc w:val="right"/>
      <w:rPr>
        <w:b w:val="0"/>
        <w:sz w:val="20"/>
      </w:rPr>
    </w:pPr>
    <w:r w:rsidRPr="00506446">
      <w:rPr>
        <w:b w:val="0"/>
        <w:sz w:val="20"/>
      </w:rPr>
      <w:fldChar w:fldCharType="begin"/>
    </w:r>
    <w:r w:rsidRPr="00506446">
      <w:rPr>
        <w:b w:val="0"/>
        <w:sz w:val="20"/>
      </w:rPr>
      <w:instrText xml:space="preserve"> PAGE   \* MERGEFORMAT </w:instrText>
    </w:r>
    <w:r w:rsidRPr="00506446">
      <w:rPr>
        <w:b w:val="0"/>
        <w:sz w:val="20"/>
      </w:rPr>
      <w:fldChar w:fldCharType="separate"/>
    </w:r>
    <w:r w:rsidR="00F4210F">
      <w:rPr>
        <w:b w:val="0"/>
        <w:sz w:val="20"/>
      </w:rPr>
      <w:t>23</w:t>
    </w:r>
    <w:r w:rsidRPr="00506446">
      <w:rPr>
        <w:b w:val="0"/>
        <w:sz w:val="20"/>
      </w:rPr>
      <w:fldChar w:fldCharType="end"/>
    </w:r>
  </w:p>
  <w:p w14:paraId="5BF346EB" w14:textId="77777777" w:rsidR="00506446" w:rsidRPr="00012D22" w:rsidRDefault="00506446">
    <w:pPr>
      <w:pStyle w:val="Footer"/>
      <w:jc w:val="right"/>
      <w:rPr>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CA05" w14:textId="77777777" w:rsidR="00506446" w:rsidRPr="00012D22" w:rsidRDefault="00506446">
    <w:pPr>
      <w:pStyle w:val="Footer"/>
      <w:jc w:val="right"/>
      <w:rPr>
        <w:rFonts w:cs="Arial"/>
        <w:b w:val="0"/>
        <w:sz w:val="20"/>
      </w:rPr>
    </w:pPr>
  </w:p>
  <w:p w14:paraId="43E4E94C" w14:textId="77777777" w:rsidR="00506446" w:rsidRDefault="0050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3FEC" w14:textId="77777777" w:rsidR="008157AB" w:rsidRDefault="008157AB">
      <w:pPr>
        <w:spacing w:after="0"/>
      </w:pPr>
      <w:r>
        <w:separator/>
      </w:r>
    </w:p>
  </w:footnote>
  <w:footnote w:type="continuationSeparator" w:id="0">
    <w:p w14:paraId="472360F8" w14:textId="77777777" w:rsidR="008157AB" w:rsidRDefault="008157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5A2BCB6"/>
    <w:lvl w:ilvl="0">
      <w:numFmt w:val="decimal"/>
      <w:lvlText w:val="*"/>
      <w:lvlJc w:val="left"/>
    </w:lvl>
  </w:abstractNum>
  <w:abstractNum w:abstractNumId="1" w15:restartNumberingAfterBreak="0">
    <w:nsid w:val="01612625"/>
    <w:multiLevelType w:val="hybridMultilevel"/>
    <w:tmpl w:val="2EC2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11FBE"/>
    <w:multiLevelType w:val="hybridMultilevel"/>
    <w:tmpl w:val="F1E81992"/>
    <w:lvl w:ilvl="0" w:tplc="5AB080EE">
      <w:start w:val="1"/>
      <w:numFmt w:val="upperLetter"/>
      <w:lvlText w:val="%1."/>
      <w:lvlJc w:val="left"/>
      <w:pPr>
        <w:tabs>
          <w:tab w:val="num" w:pos="720"/>
        </w:tabs>
        <w:ind w:left="720" w:hanging="360"/>
      </w:pPr>
    </w:lvl>
    <w:lvl w:ilvl="1" w:tplc="C85890E4" w:tentative="1">
      <w:start w:val="1"/>
      <w:numFmt w:val="upperLetter"/>
      <w:lvlText w:val="%2."/>
      <w:lvlJc w:val="left"/>
      <w:pPr>
        <w:tabs>
          <w:tab w:val="num" w:pos="1440"/>
        </w:tabs>
        <w:ind w:left="1440" w:hanging="360"/>
      </w:pPr>
    </w:lvl>
    <w:lvl w:ilvl="2" w:tplc="EE280FD0" w:tentative="1">
      <w:start w:val="1"/>
      <w:numFmt w:val="upperLetter"/>
      <w:lvlText w:val="%3."/>
      <w:lvlJc w:val="left"/>
      <w:pPr>
        <w:tabs>
          <w:tab w:val="num" w:pos="2160"/>
        </w:tabs>
        <w:ind w:left="2160" w:hanging="360"/>
      </w:pPr>
    </w:lvl>
    <w:lvl w:ilvl="3" w:tplc="0B3EB120" w:tentative="1">
      <w:start w:val="1"/>
      <w:numFmt w:val="upperLetter"/>
      <w:lvlText w:val="%4."/>
      <w:lvlJc w:val="left"/>
      <w:pPr>
        <w:tabs>
          <w:tab w:val="num" w:pos="2880"/>
        </w:tabs>
        <w:ind w:left="2880" w:hanging="360"/>
      </w:pPr>
    </w:lvl>
    <w:lvl w:ilvl="4" w:tplc="AA7A7B4C" w:tentative="1">
      <w:start w:val="1"/>
      <w:numFmt w:val="upperLetter"/>
      <w:lvlText w:val="%5."/>
      <w:lvlJc w:val="left"/>
      <w:pPr>
        <w:tabs>
          <w:tab w:val="num" w:pos="3600"/>
        </w:tabs>
        <w:ind w:left="3600" w:hanging="360"/>
      </w:pPr>
    </w:lvl>
    <w:lvl w:ilvl="5" w:tplc="B7E66C9E" w:tentative="1">
      <w:start w:val="1"/>
      <w:numFmt w:val="upperLetter"/>
      <w:lvlText w:val="%6."/>
      <w:lvlJc w:val="left"/>
      <w:pPr>
        <w:tabs>
          <w:tab w:val="num" w:pos="4320"/>
        </w:tabs>
        <w:ind w:left="4320" w:hanging="360"/>
      </w:pPr>
    </w:lvl>
    <w:lvl w:ilvl="6" w:tplc="56A2E63E" w:tentative="1">
      <w:start w:val="1"/>
      <w:numFmt w:val="upperLetter"/>
      <w:lvlText w:val="%7."/>
      <w:lvlJc w:val="left"/>
      <w:pPr>
        <w:tabs>
          <w:tab w:val="num" w:pos="5040"/>
        </w:tabs>
        <w:ind w:left="5040" w:hanging="360"/>
      </w:pPr>
    </w:lvl>
    <w:lvl w:ilvl="7" w:tplc="5E6A615A" w:tentative="1">
      <w:start w:val="1"/>
      <w:numFmt w:val="upperLetter"/>
      <w:lvlText w:val="%8."/>
      <w:lvlJc w:val="left"/>
      <w:pPr>
        <w:tabs>
          <w:tab w:val="num" w:pos="5760"/>
        </w:tabs>
        <w:ind w:left="5760" w:hanging="360"/>
      </w:pPr>
    </w:lvl>
    <w:lvl w:ilvl="8" w:tplc="28ACC46C" w:tentative="1">
      <w:start w:val="1"/>
      <w:numFmt w:val="upperLetter"/>
      <w:lvlText w:val="%9."/>
      <w:lvlJc w:val="left"/>
      <w:pPr>
        <w:tabs>
          <w:tab w:val="num" w:pos="6480"/>
        </w:tabs>
        <w:ind w:left="6480" w:hanging="360"/>
      </w:pPr>
    </w:lvl>
  </w:abstractNum>
  <w:abstractNum w:abstractNumId="3" w15:restartNumberingAfterBreak="0">
    <w:nsid w:val="020A6957"/>
    <w:multiLevelType w:val="hybridMultilevel"/>
    <w:tmpl w:val="FD18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0C27B0"/>
    <w:multiLevelType w:val="hybridMultilevel"/>
    <w:tmpl w:val="37C84AB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646765"/>
    <w:multiLevelType w:val="hybridMultilevel"/>
    <w:tmpl w:val="C7D4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2680091"/>
    <w:multiLevelType w:val="hybridMultilevel"/>
    <w:tmpl w:val="C540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A0EA9"/>
    <w:multiLevelType w:val="hybridMultilevel"/>
    <w:tmpl w:val="4B4AE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9D3F19"/>
    <w:multiLevelType w:val="hybridMultilevel"/>
    <w:tmpl w:val="CE705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40C62D5"/>
    <w:multiLevelType w:val="hybridMultilevel"/>
    <w:tmpl w:val="B9B0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596F3F"/>
    <w:multiLevelType w:val="hybridMultilevel"/>
    <w:tmpl w:val="1D98B192"/>
    <w:lvl w:ilvl="0" w:tplc="A6F214BA">
      <w:start w:val="1"/>
      <w:numFmt w:val="lowerLetter"/>
      <w:lvlText w:val="%1."/>
      <w:lvlJc w:val="left"/>
      <w:pPr>
        <w:tabs>
          <w:tab w:val="num" w:pos="720"/>
        </w:tabs>
        <w:ind w:left="720" w:hanging="360"/>
      </w:pPr>
    </w:lvl>
    <w:lvl w:ilvl="1" w:tplc="820A354A" w:tentative="1">
      <w:start w:val="1"/>
      <w:numFmt w:val="lowerLetter"/>
      <w:lvlText w:val="%2."/>
      <w:lvlJc w:val="left"/>
      <w:pPr>
        <w:tabs>
          <w:tab w:val="num" w:pos="1440"/>
        </w:tabs>
        <w:ind w:left="1440" w:hanging="360"/>
      </w:pPr>
    </w:lvl>
    <w:lvl w:ilvl="2" w:tplc="EA72C052" w:tentative="1">
      <w:start w:val="1"/>
      <w:numFmt w:val="lowerLetter"/>
      <w:lvlText w:val="%3."/>
      <w:lvlJc w:val="left"/>
      <w:pPr>
        <w:tabs>
          <w:tab w:val="num" w:pos="2160"/>
        </w:tabs>
        <w:ind w:left="2160" w:hanging="360"/>
      </w:pPr>
    </w:lvl>
    <w:lvl w:ilvl="3" w:tplc="8CA86FDA" w:tentative="1">
      <w:start w:val="1"/>
      <w:numFmt w:val="lowerLetter"/>
      <w:lvlText w:val="%4."/>
      <w:lvlJc w:val="left"/>
      <w:pPr>
        <w:tabs>
          <w:tab w:val="num" w:pos="2880"/>
        </w:tabs>
        <w:ind w:left="2880" w:hanging="360"/>
      </w:pPr>
    </w:lvl>
    <w:lvl w:ilvl="4" w:tplc="65281246" w:tentative="1">
      <w:start w:val="1"/>
      <w:numFmt w:val="lowerLetter"/>
      <w:lvlText w:val="%5."/>
      <w:lvlJc w:val="left"/>
      <w:pPr>
        <w:tabs>
          <w:tab w:val="num" w:pos="3600"/>
        </w:tabs>
        <w:ind w:left="3600" w:hanging="360"/>
      </w:pPr>
    </w:lvl>
    <w:lvl w:ilvl="5" w:tplc="75D4D31E" w:tentative="1">
      <w:start w:val="1"/>
      <w:numFmt w:val="lowerLetter"/>
      <w:lvlText w:val="%6."/>
      <w:lvlJc w:val="left"/>
      <w:pPr>
        <w:tabs>
          <w:tab w:val="num" w:pos="4320"/>
        </w:tabs>
        <w:ind w:left="4320" w:hanging="360"/>
      </w:pPr>
    </w:lvl>
    <w:lvl w:ilvl="6" w:tplc="C6205C66" w:tentative="1">
      <w:start w:val="1"/>
      <w:numFmt w:val="lowerLetter"/>
      <w:lvlText w:val="%7."/>
      <w:lvlJc w:val="left"/>
      <w:pPr>
        <w:tabs>
          <w:tab w:val="num" w:pos="5040"/>
        </w:tabs>
        <w:ind w:left="5040" w:hanging="360"/>
      </w:pPr>
    </w:lvl>
    <w:lvl w:ilvl="7" w:tplc="4AE21BC2" w:tentative="1">
      <w:start w:val="1"/>
      <w:numFmt w:val="lowerLetter"/>
      <w:lvlText w:val="%8."/>
      <w:lvlJc w:val="left"/>
      <w:pPr>
        <w:tabs>
          <w:tab w:val="num" w:pos="5760"/>
        </w:tabs>
        <w:ind w:left="5760" w:hanging="360"/>
      </w:pPr>
    </w:lvl>
    <w:lvl w:ilvl="8" w:tplc="5C6CFDCC" w:tentative="1">
      <w:start w:val="1"/>
      <w:numFmt w:val="lowerLetter"/>
      <w:lvlText w:val="%9."/>
      <w:lvlJc w:val="left"/>
      <w:pPr>
        <w:tabs>
          <w:tab w:val="num" w:pos="6480"/>
        </w:tabs>
        <w:ind w:left="6480" w:hanging="360"/>
      </w:pPr>
    </w:lvl>
  </w:abstractNum>
  <w:abstractNum w:abstractNumId="11" w15:restartNumberingAfterBreak="0">
    <w:nsid w:val="09221503"/>
    <w:multiLevelType w:val="hybridMultilevel"/>
    <w:tmpl w:val="4CB63944"/>
    <w:lvl w:ilvl="0" w:tplc="C374B3CC">
      <w:numFmt w:val="bullet"/>
      <w:lvlText w:val="•"/>
      <w:lvlJc w:val="left"/>
      <w:pPr>
        <w:ind w:left="810" w:hanging="45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90423D"/>
    <w:multiLevelType w:val="hybridMultilevel"/>
    <w:tmpl w:val="5A307376"/>
    <w:lvl w:ilvl="0" w:tplc="133C5ADA">
      <w:start w:val="1"/>
      <w:numFmt w:val="upperLetter"/>
      <w:pStyle w:val="Style4"/>
      <w:lvlText w:val="(%1)"/>
      <w:lvlJc w:val="left"/>
      <w:pPr>
        <w:ind w:left="2489" w:hanging="360"/>
      </w:pPr>
      <w:rPr>
        <w:rFonts w:hint="default"/>
      </w:rPr>
    </w:lvl>
    <w:lvl w:ilvl="1" w:tplc="0C090019" w:tentative="1">
      <w:start w:val="1"/>
      <w:numFmt w:val="lowerLetter"/>
      <w:lvlText w:val="%2."/>
      <w:lvlJc w:val="left"/>
      <w:pPr>
        <w:ind w:left="3209" w:hanging="360"/>
      </w:pPr>
    </w:lvl>
    <w:lvl w:ilvl="2" w:tplc="0C09001B" w:tentative="1">
      <w:start w:val="1"/>
      <w:numFmt w:val="lowerRoman"/>
      <w:lvlText w:val="%3."/>
      <w:lvlJc w:val="right"/>
      <w:pPr>
        <w:ind w:left="3929" w:hanging="180"/>
      </w:pPr>
    </w:lvl>
    <w:lvl w:ilvl="3" w:tplc="0C09000F" w:tentative="1">
      <w:start w:val="1"/>
      <w:numFmt w:val="decimal"/>
      <w:lvlText w:val="%4."/>
      <w:lvlJc w:val="left"/>
      <w:pPr>
        <w:ind w:left="4649" w:hanging="360"/>
      </w:pPr>
    </w:lvl>
    <w:lvl w:ilvl="4" w:tplc="0C090019" w:tentative="1">
      <w:start w:val="1"/>
      <w:numFmt w:val="lowerLetter"/>
      <w:lvlText w:val="%5."/>
      <w:lvlJc w:val="left"/>
      <w:pPr>
        <w:ind w:left="5369" w:hanging="360"/>
      </w:pPr>
    </w:lvl>
    <w:lvl w:ilvl="5" w:tplc="0C09001B" w:tentative="1">
      <w:start w:val="1"/>
      <w:numFmt w:val="lowerRoman"/>
      <w:lvlText w:val="%6."/>
      <w:lvlJc w:val="right"/>
      <w:pPr>
        <w:ind w:left="6089" w:hanging="180"/>
      </w:pPr>
    </w:lvl>
    <w:lvl w:ilvl="6" w:tplc="0C09000F" w:tentative="1">
      <w:start w:val="1"/>
      <w:numFmt w:val="decimal"/>
      <w:lvlText w:val="%7."/>
      <w:lvlJc w:val="left"/>
      <w:pPr>
        <w:ind w:left="6809" w:hanging="360"/>
      </w:pPr>
    </w:lvl>
    <w:lvl w:ilvl="7" w:tplc="0C090019" w:tentative="1">
      <w:start w:val="1"/>
      <w:numFmt w:val="lowerLetter"/>
      <w:lvlText w:val="%8."/>
      <w:lvlJc w:val="left"/>
      <w:pPr>
        <w:ind w:left="7529" w:hanging="360"/>
      </w:pPr>
    </w:lvl>
    <w:lvl w:ilvl="8" w:tplc="0C09001B" w:tentative="1">
      <w:start w:val="1"/>
      <w:numFmt w:val="lowerRoman"/>
      <w:lvlText w:val="%9."/>
      <w:lvlJc w:val="right"/>
      <w:pPr>
        <w:ind w:left="8249" w:hanging="180"/>
      </w:pPr>
    </w:lvl>
  </w:abstractNum>
  <w:abstractNum w:abstractNumId="13" w15:restartNumberingAfterBreak="0">
    <w:nsid w:val="194230E9"/>
    <w:multiLevelType w:val="hybridMultilevel"/>
    <w:tmpl w:val="336634D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4" w15:restartNumberingAfterBreak="0">
    <w:nsid w:val="203C6638"/>
    <w:multiLevelType w:val="hybridMultilevel"/>
    <w:tmpl w:val="8092E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B4A37"/>
    <w:multiLevelType w:val="hybridMultilevel"/>
    <w:tmpl w:val="21A2A3F4"/>
    <w:lvl w:ilvl="0" w:tplc="0409000F">
      <w:start w:val="1"/>
      <w:numFmt w:val="decimal"/>
      <w:lvlText w:val="%1."/>
      <w:lvlJc w:val="left"/>
      <w:pPr>
        <w:tabs>
          <w:tab w:val="num" w:pos="720"/>
        </w:tabs>
        <w:ind w:left="720" w:hanging="360"/>
      </w:pPr>
    </w:lvl>
    <w:lvl w:ilvl="1" w:tplc="36DA9C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D00BE"/>
    <w:multiLevelType w:val="hybridMultilevel"/>
    <w:tmpl w:val="FB6E2CF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33918"/>
    <w:multiLevelType w:val="hybridMultilevel"/>
    <w:tmpl w:val="016E2C26"/>
    <w:lvl w:ilvl="0" w:tplc="2F42564A">
      <w:start w:val="1"/>
      <w:numFmt w:val="lowerLetter"/>
      <w:lvlText w:val="%1."/>
      <w:lvlJc w:val="left"/>
      <w:pPr>
        <w:tabs>
          <w:tab w:val="num" w:pos="720"/>
        </w:tabs>
        <w:ind w:left="720" w:hanging="360"/>
      </w:pPr>
    </w:lvl>
    <w:lvl w:ilvl="1" w:tplc="BB60F816" w:tentative="1">
      <w:start w:val="1"/>
      <w:numFmt w:val="lowerLetter"/>
      <w:lvlText w:val="%2."/>
      <w:lvlJc w:val="left"/>
      <w:pPr>
        <w:tabs>
          <w:tab w:val="num" w:pos="1440"/>
        </w:tabs>
        <w:ind w:left="1440" w:hanging="360"/>
      </w:pPr>
    </w:lvl>
    <w:lvl w:ilvl="2" w:tplc="F72CECB8" w:tentative="1">
      <w:start w:val="1"/>
      <w:numFmt w:val="lowerLetter"/>
      <w:lvlText w:val="%3."/>
      <w:lvlJc w:val="left"/>
      <w:pPr>
        <w:tabs>
          <w:tab w:val="num" w:pos="2160"/>
        </w:tabs>
        <w:ind w:left="2160" w:hanging="360"/>
      </w:pPr>
    </w:lvl>
    <w:lvl w:ilvl="3" w:tplc="F728835A" w:tentative="1">
      <w:start w:val="1"/>
      <w:numFmt w:val="lowerLetter"/>
      <w:lvlText w:val="%4."/>
      <w:lvlJc w:val="left"/>
      <w:pPr>
        <w:tabs>
          <w:tab w:val="num" w:pos="2880"/>
        </w:tabs>
        <w:ind w:left="2880" w:hanging="360"/>
      </w:pPr>
    </w:lvl>
    <w:lvl w:ilvl="4" w:tplc="93CA4874" w:tentative="1">
      <w:start w:val="1"/>
      <w:numFmt w:val="lowerLetter"/>
      <w:lvlText w:val="%5."/>
      <w:lvlJc w:val="left"/>
      <w:pPr>
        <w:tabs>
          <w:tab w:val="num" w:pos="3600"/>
        </w:tabs>
        <w:ind w:left="3600" w:hanging="360"/>
      </w:pPr>
    </w:lvl>
    <w:lvl w:ilvl="5" w:tplc="E040B980" w:tentative="1">
      <w:start w:val="1"/>
      <w:numFmt w:val="lowerLetter"/>
      <w:lvlText w:val="%6."/>
      <w:lvlJc w:val="left"/>
      <w:pPr>
        <w:tabs>
          <w:tab w:val="num" w:pos="4320"/>
        </w:tabs>
        <w:ind w:left="4320" w:hanging="360"/>
      </w:pPr>
    </w:lvl>
    <w:lvl w:ilvl="6" w:tplc="D788FC82" w:tentative="1">
      <w:start w:val="1"/>
      <w:numFmt w:val="lowerLetter"/>
      <w:lvlText w:val="%7."/>
      <w:lvlJc w:val="left"/>
      <w:pPr>
        <w:tabs>
          <w:tab w:val="num" w:pos="5040"/>
        </w:tabs>
        <w:ind w:left="5040" w:hanging="360"/>
      </w:pPr>
    </w:lvl>
    <w:lvl w:ilvl="7" w:tplc="AF1C7246" w:tentative="1">
      <w:start w:val="1"/>
      <w:numFmt w:val="lowerLetter"/>
      <w:lvlText w:val="%8."/>
      <w:lvlJc w:val="left"/>
      <w:pPr>
        <w:tabs>
          <w:tab w:val="num" w:pos="5760"/>
        </w:tabs>
        <w:ind w:left="5760" w:hanging="360"/>
      </w:pPr>
    </w:lvl>
    <w:lvl w:ilvl="8" w:tplc="46FCA686" w:tentative="1">
      <w:start w:val="1"/>
      <w:numFmt w:val="lowerLetter"/>
      <w:lvlText w:val="%9."/>
      <w:lvlJc w:val="left"/>
      <w:pPr>
        <w:tabs>
          <w:tab w:val="num" w:pos="6480"/>
        </w:tabs>
        <w:ind w:left="6480" w:hanging="360"/>
      </w:pPr>
    </w:lvl>
  </w:abstractNum>
  <w:abstractNum w:abstractNumId="18" w15:restartNumberingAfterBreak="0">
    <w:nsid w:val="388877E5"/>
    <w:multiLevelType w:val="hybridMultilevel"/>
    <w:tmpl w:val="E2A2DDF6"/>
    <w:lvl w:ilvl="0" w:tplc="61EACECC">
      <w:start w:val="1"/>
      <w:numFmt w:val="bullet"/>
      <w:pStyle w:val="List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517DC"/>
    <w:multiLevelType w:val="hybridMultilevel"/>
    <w:tmpl w:val="3076B000"/>
    <w:lvl w:ilvl="0" w:tplc="98FED334">
      <w:start w:val="1"/>
      <w:numFmt w:val="lowerLetter"/>
      <w:lvlText w:val="%1."/>
      <w:lvlJc w:val="left"/>
      <w:pPr>
        <w:tabs>
          <w:tab w:val="num" w:pos="720"/>
        </w:tabs>
        <w:ind w:left="720" w:hanging="360"/>
      </w:pPr>
    </w:lvl>
    <w:lvl w:ilvl="1" w:tplc="2BBE9476" w:tentative="1">
      <w:start w:val="1"/>
      <w:numFmt w:val="lowerLetter"/>
      <w:lvlText w:val="%2."/>
      <w:lvlJc w:val="left"/>
      <w:pPr>
        <w:tabs>
          <w:tab w:val="num" w:pos="1440"/>
        </w:tabs>
        <w:ind w:left="1440" w:hanging="360"/>
      </w:pPr>
    </w:lvl>
    <w:lvl w:ilvl="2" w:tplc="FD02DBF0" w:tentative="1">
      <w:start w:val="1"/>
      <w:numFmt w:val="lowerLetter"/>
      <w:lvlText w:val="%3."/>
      <w:lvlJc w:val="left"/>
      <w:pPr>
        <w:tabs>
          <w:tab w:val="num" w:pos="2160"/>
        </w:tabs>
        <w:ind w:left="2160" w:hanging="360"/>
      </w:pPr>
    </w:lvl>
    <w:lvl w:ilvl="3" w:tplc="33E8A8DE" w:tentative="1">
      <w:start w:val="1"/>
      <w:numFmt w:val="lowerLetter"/>
      <w:lvlText w:val="%4."/>
      <w:lvlJc w:val="left"/>
      <w:pPr>
        <w:tabs>
          <w:tab w:val="num" w:pos="2880"/>
        </w:tabs>
        <w:ind w:left="2880" w:hanging="360"/>
      </w:pPr>
    </w:lvl>
    <w:lvl w:ilvl="4" w:tplc="F6A01A4C" w:tentative="1">
      <w:start w:val="1"/>
      <w:numFmt w:val="lowerLetter"/>
      <w:lvlText w:val="%5."/>
      <w:lvlJc w:val="left"/>
      <w:pPr>
        <w:tabs>
          <w:tab w:val="num" w:pos="3600"/>
        </w:tabs>
        <w:ind w:left="3600" w:hanging="360"/>
      </w:pPr>
    </w:lvl>
    <w:lvl w:ilvl="5" w:tplc="1540AA12" w:tentative="1">
      <w:start w:val="1"/>
      <w:numFmt w:val="lowerLetter"/>
      <w:lvlText w:val="%6."/>
      <w:lvlJc w:val="left"/>
      <w:pPr>
        <w:tabs>
          <w:tab w:val="num" w:pos="4320"/>
        </w:tabs>
        <w:ind w:left="4320" w:hanging="360"/>
      </w:pPr>
    </w:lvl>
    <w:lvl w:ilvl="6" w:tplc="FD6CA40E" w:tentative="1">
      <w:start w:val="1"/>
      <w:numFmt w:val="lowerLetter"/>
      <w:lvlText w:val="%7."/>
      <w:lvlJc w:val="left"/>
      <w:pPr>
        <w:tabs>
          <w:tab w:val="num" w:pos="5040"/>
        </w:tabs>
        <w:ind w:left="5040" w:hanging="360"/>
      </w:pPr>
    </w:lvl>
    <w:lvl w:ilvl="7" w:tplc="32D46480" w:tentative="1">
      <w:start w:val="1"/>
      <w:numFmt w:val="lowerLetter"/>
      <w:lvlText w:val="%8."/>
      <w:lvlJc w:val="left"/>
      <w:pPr>
        <w:tabs>
          <w:tab w:val="num" w:pos="5760"/>
        </w:tabs>
        <w:ind w:left="5760" w:hanging="360"/>
      </w:pPr>
    </w:lvl>
    <w:lvl w:ilvl="8" w:tplc="FCEEC8AC" w:tentative="1">
      <w:start w:val="1"/>
      <w:numFmt w:val="lowerLetter"/>
      <w:lvlText w:val="%9."/>
      <w:lvlJc w:val="left"/>
      <w:pPr>
        <w:tabs>
          <w:tab w:val="num" w:pos="6480"/>
        </w:tabs>
        <w:ind w:left="6480" w:hanging="360"/>
      </w:pPr>
    </w:lvl>
  </w:abstractNum>
  <w:abstractNum w:abstractNumId="20" w15:restartNumberingAfterBreak="0">
    <w:nsid w:val="44E431A0"/>
    <w:multiLevelType w:val="hybridMultilevel"/>
    <w:tmpl w:val="F410B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E1114D"/>
    <w:multiLevelType w:val="hybridMultilevel"/>
    <w:tmpl w:val="3190E268"/>
    <w:lvl w:ilvl="0" w:tplc="04090001">
      <w:start w:val="1"/>
      <w:numFmt w:val="bullet"/>
      <w:lvlText w:val=""/>
      <w:lvlJc w:val="left"/>
      <w:pPr>
        <w:tabs>
          <w:tab w:val="num" w:pos="720"/>
        </w:tabs>
        <w:ind w:left="720" w:hanging="360"/>
      </w:pPr>
      <w:rPr>
        <w:rFonts w:ascii="Symbol" w:hAnsi="Symbol" w:hint="default"/>
      </w:rPr>
    </w:lvl>
    <w:lvl w:ilvl="1" w:tplc="F81CEAD8">
      <w:start w:val="1"/>
      <w:numFmt w:val="decimal"/>
      <w:lvlText w:val="%2."/>
      <w:lvlJc w:val="left"/>
      <w:pPr>
        <w:tabs>
          <w:tab w:val="num" w:pos="1440"/>
        </w:tabs>
        <w:ind w:left="1440" w:hanging="360"/>
      </w:pPr>
      <w:rPr>
        <w:rFonts w:hint="default"/>
      </w:rPr>
    </w:lvl>
    <w:lvl w:ilvl="2" w:tplc="725809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1006E4"/>
    <w:multiLevelType w:val="hybridMultilevel"/>
    <w:tmpl w:val="2DB60BD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3" w15:restartNumberingAfterBreak="0">
    <w:nsid w:val="519E738C"/>
    <w:multiLevelType w:val="hybridMultilevel"/>
    <w:tmpl w:val="AC0A8632"/>
    <w:lvl w:ilvl="0" w:tplc="D1B225C0">
      <w:start w:val="1"/>
      <w:numFmt w:val="bullet"/>
      <w:pStyle w:val="Style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D6F19"/>
    <w:multiLevelType w:val="hybridMultilevel"/>
    <w:tmpl w:val="081A093E"/>
    <w:lvl w:ilvl="0" w:tplc="E9D8A41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756EAF"/>
    <w:multiLevelType w:val="hybridMultilevel"/>
    <w:tmpl w:val="1822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64130"/>
    <w:multiLevelType w:val="hybridMultilevel"/>
    <w:tmpl w:val="0F7C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5D0758"/>
    <w:multiLevelType w:val="hybridMultilevel"/>
    <w:tmpl w:val="01AA1B88"/>
    <w:lvl w:ilvl="0" w:tplc="0792C0D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3F138B"/>
    <w:multiLevelType w:val="hybridMultilevel"/>
    <w:tmpl w:val="F112F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C15202"/>
    <w:multiLevelType w:val="hybridMultilevel"/>
    <w:tmpl w:val="4C70DC2C"/>
    <w:lvl w:ilvl="0" w:tplc="DAAEE5A4">
      <w:start w:val="8"/>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30" w15:restartNumberingAfterBreak="0">
    <w:nsid w:val="779B4637"/>
    <w:multiLevelType w:val="hybridMultilevel"/>
    <w:tmpl w:val="00622D1A"/>
    <w:lvl w:ilvl="0" w:tplc="5E2E940C">
      <w:start w:val="1"/>
      <w:numFmt w:val="upperLetter"/>
      <w:lvlText w:val="(%1)"/>
      <w:lvlJc w:val="left"/>
      <w:pPr>
        <w:ind w:left="2628" w:hanging="360"/>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31" w15:restartNumberingAfterBreak="0">
    <w:nsid w:val="7A1F387B"/>
    <w:multiLevelType w:val="hybridMultilevel"/>
    <w:tmpl w:val="ED28986E"/>
    <w:lvl w:ilvl="0" w:tplc="5E9CDE54">
      <w:start w:val="1"/>
      <w:numFmt w:val="lowerLetter"/>
      <w:lvlText w:val="%1."/>
      <w:lvlJc w:val="left"/>
      <w:pPr>
        <w:tabs>
          <w:tab w:val="num" w:pos="720"/>
        </w:tabs>
        <w:ind w:left="720" w:hanging="360"/>
      </w:pPr>
    </w:lvl>
    <w:lvl w:ilvl="1" w:tplc="E29ADC64" w:tentative="1">
      <w:start w:val="1"/>
      <w:numFmt w:val="lowerLetter"/>
      <w:lvlText w:val="%2."/>
      <w:lvlJc w:val="left"/>
      <w:pPr>
        <w:tabs>
          <w:tab w:val="num" w:pos="1440"/>
        </w:tabs>
        <w:ind w:left="1440" w:hanging="360"/>
      </w:pPr>
    </w:lvl>
    <w:lvl w:ilvl="2" w:tplc="7D7C59F6" w:tentative="1">
      <w:start w:val="1"/>
      <w:numFmt w:val="lowerLetter"/>
      <w:lvlText w:val="%3."/>
      <w:lvlJc w:val="left"/>
      <w:pPr>
        <w:tabs>
          <w:tab w:val="num" w:pos="2160"/>
        </w:tabs>
        <w:ind w:left="2160" w:hanging="360"/>
      </w:pPr>
    </w:lvl>
    <w:lvl w:ilvl="3" w:tplc="CE4CF652" w:tentative="1">
      <w:start w:val="1"/>
      <w:numFmt w:val="lowerLetter"/>
      <w:lvlText w:val="%4."/>
      <w:lvlJc w:val="left"/>
      <w:pPr>
        <w:tabs>
          <w:tab w:val="num" w:pos="2880"/>
        </w:tabs>
        <w:ind w:left="2880" w:hanging="360"/>
      </w:pPr>
    </w:lvl>
    <w:lvl w:ilvl="4" w:tplc="6ACC73EC" w:tentative="1">
      <w:start w:val="1"/>
      <w:numFmt w:val="lowerLetter"/>
      <w:lvlText w:val="%5."/>
      <w:lvlJc w:val="left"/>
      <w:pPr>
        <w:tabs>
          <w:tab w:val="num" w:pos="3600"/>
        </w:tabs>
        <w:ind w:left="3600" w:hanging="360"/>
      </w:pPr>
    </w:lvl>
    <w:lvl w:ilvl="5" w:tplc="BA9EB82C" w:tentative="1">
      <w:start w:val="1"/>
      <w:numFmt w:val="lowerLetter"/>
      <w:lvlText w:val="%6."/>
      <w:lvlJc w:val="left"/>
      <w:pPr>
        <w:tabs>
          <w:tab w:val="num" w:pos="4320"/>
        </w:tabs>
        <w:ind w:left="4320" w:hanging="360"/>
      </w:pPr>
    </w:lvl>
    <w:lvl w:ilvl="6" w:tplc="1BE0C220" w:tentative="1">
      <w:start w:val="1"/>
      <w:numFmt w:val="lowerLetter"/>
      <w:lvlText w:val="%7."/>
      <w:lvlJc w:val="left"/>
      <w:pPr>
        <w:tabs>
          <w:tab w:val="num" w:pos="5040"/>
        </w:tabs>
        <w:ind w:left="5040" w:hanging="360"/>
      </w:pPr>
    </w:lvl>
    <w:lvl w:ilvl="7" w:tplc="FC2E2096" w:tentative="1">
      <w:start w:val="1"/>
      <w:numFmt w:val="lowerLetter"/>
      <w:lvlText w:val="%8."/>
      <w:lvlJc w:val="left"/>
      <w:pPr>
        <w:tabs>
          <w:tab w:val="num" w:pos="5760"/>
        </w:tabs>
        <w:ind w:left="5760" w:hanging="360"/>
      </w:pPr>
    </w:lvl>
    <w:lvl w:ilvl="8" w:tplc="8506C142" w:tentative="1">
      <w:start w:val="1"/>
      <w:numFmt w:val="lowerLetter"/>
      <w:lvlText w:val="%9."/>
      <w:lvlJc w:val="left"/>
      <w:pPr>
        <w:tabs>
          <w:tab w:val="num" w:pos="6480"/>
        </w:tabs>
        <w:ind w:left="6480" w:hanging="360"/>
      </w:pPr>
    </w:lvl>
  </w:abstractNum>
  <w:abstractNum w:abstractNumId="32" w15:restartNumberingAfterBreak="0">
    <w:nsid w:val="7A4E4AD2"/>
    <w:multiLevelType w:val="hybridMultilevel"/>
    <w:tmpl w:val="5EA43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E4C2D"/>
    <w:multiLevelType w:val="hybridMultilevel"/>
    <w:tmpl w:val="19DEC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EC2ECC"/>
    <w:multiLevelType w:val="hybridMultilevel"/>
    <w:tmpl w:val="E7A2DDA2"/>
    <w:lvl w:ilvl="0" w:tplc="8AFEABD0">
      <w:start w:val="1"/>
      <w:numFmt w:val="bullet"/>
      <w:pStyle w:val="aheadnote-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5"/>
  </w:num>
  <w:num w:numId="3">
    <w:abstractNumId w:val="33"/>
  </w:num>
  <w:num w:numId="4">
    <w:abstractNumId w:val="16"/>
  </w:num>
  <w:num w:numId="5">
    <w:abstractNumId w:val="4"/>
  </w:num>
  <w:num w:numId="6">
    <w:abstractNumId w:val="17"/>
  </w:num>
  <w:num w:numId="7">
    <w:abstractNumId w:val="31"/>
  </w:num>
  <w:num w:numId="8">
    <w:abstractNumId w:val="19"/>
  </w:num>
  <w:num w:numId="9">
    <w:abstractNumId w:val="2"/>
  </w:num>
  <w:num w:numId="10">
    <w:abstractNumId w:val="10"/>
  </w:num>
  <w:num w:numId="11">
    <w:abstractNumId w:val="1"/>
  </w:num>
  <w:num w:numId="12">
    <w:abstractNumId w:val="21"/>
  </w:num>
  <w:num w:numId="13">
    <w:abstractNumId w:val="3"/>
  </w:num>
  <w:num w:numId="14">
    <w:abstractNumId w:val="6"/>
  </w:num>
  <w:num w:numId="15">
    <w:abstractNumId w:val="7"/>
  </w:num>
  <w:num w:numId="16">
    <w:abstractNumId w:val="25"/>
  </w:num>
  <w:num w:numId="17">
    <w:abstractNumId w:val="14"/>
  </w:num>
  <w:num w:numId="18">
    <w:abstractNumId w:val="22"/>
  </w:num>
  <w:num w:numId="19">
    <w:abstractNumId w:val="13"/>
  </w:num>
  <w:num w:numId="20">
    <w:abstractNumId w:val="9"/>
  </w:num>
  <w:num w:numId="21">
    <w:abstractNumId w:val="29"/>
  </w:num>
  <w:num w:numId="22">
    <w:abstractNumId w:val="27"/>
  </w:num>
  <w:num w:numId="23">
    <w:abstractNumId w:val="32"/>
  </w:num>
  <w:num w:numId="24">
    <w:abstractNumId w:val="18"/>
  </w:num>
  <w:num w:numId="25">
    <w:abstractNumId w:val="23"/>
  </w:num>
  <w:num w:numId="26">
    <w:abstractNumId w:val="34"/>
  </w:num>
  <w:num w:numId="27">
    <w:abstractNumId w:val="12"/>
  </w:num>
  <w:num w:numId="28">
    <w:abstractNumId w:val="26"/>
  </w:num>
  <w:num w:numId="29">
    <w:abstractNumId w:val="8"/>
  </w:num>
  <w:num w:numId="30">
    <w:abstractNumId w:val="20"/>
  </w:num>
  <w:num w:numId="31">
    <w:abstractNumId w:val="28"/>
  </w:num>
  <w:num w:numId="32">
    <w:abstractNumId w:val="24"/>
  </w:num>
  <w:num w:numId="33">
    <w:abstractNumId w:val="5"/>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454"/>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6"/>
    <w:rsid w:val="00012D22"/>
    <w:rsid w:val="00014660"/>
    <w:rsid w:val="00027FCC"/>
    <w:rsid w:val="00066B81"/>
    <w:rsid w:val="000D0601"/>
    <w:rsid w:val="001957D2"/>
    <w:rsid w:val="001A2622"/>
    <w:rsid w:val="001B3D09"/>
    <w:rsid w:val="001E4FB9"/>
    <w:rsid w:val="001F57AD"/>
    <w:rsid w:val="001F624E"/>
    <w:rsid w:val="00236E45"/>
    <w:rsid w:val="00271B8D"/>
    <w:rsid w:val="00282E39"/>
    <w:rsid w:val="002E04C4"/>
    <w:rsid w:val="002E56A4"/>
    <w:rsid w:val="00302D10"/>
    <w:rsid w:val="0031240F"/>
    <w:rsid w:val="00351010"/>
    <w:rsid w:val="003618EA"/>
    <w:rsid w:val="003D4BA3"/>
    <w:rsid w:val="003F10E8"/>
    <w:rsid w:val="0041204A"/>
    <w:rsid w:val="004158A2"/>
    <w:rsid w:val="00467B51"/>
    <w:rsid w:val="00477A22"/>
    <w:rsid w:val="004F0B01"/>
    <w:rsid w:val="00506446"/>
    <w:rsid w:val="0051659C"/>
    <w:rsid w:val="00535972"/>
    <w:rsid w:val="005601F4"/>
    <w:rsid w:val="0059192B"/>
    <w:rsid w:val="00612844"/>
    <w:rsid w:val="00644686"/>
    <w:rsid w:val="006529B2"/>
    <w:rsid w:val="006F0DB6"/>
    <w:rsid w:val="00717530"/>
    <w:rsid w:val="00740D5E"/>
    <w:rsid w:val="007511B0"/>
    <w:rsid w:val="0076280B"/>
    <w:rsid w:val="007E358E"/>
    <w:rsid w:val="007F428A"/>
    <w:rsid w:val="008157AB"/>
    <w:rsid w:val="00844593"/>
    <w:rsid w:val="00845E96"/>
    <w:rsid w:val="00847D01"/>
    <w:rsid w:val="00885388"/>
    <w:rsid w:val="008E1234"/>
    <w:rsid w:val="00923282"/>
    <w:rsid w:val="00926F9B"/>
    <w:rsid w:val="009B09C0"/>
    <w:rsid w:val="009C4F56"/>
    <w:rsid w:val="009E4374"/>
    <w:rsid w:val="00AD4FDC"/>
    <w:rsid w:val="00B46911"/>
    <w:rsid w:val="00BF0D66"/>
    <w:rsid w:val="00BF37DC"/>
    <w:rsid w:val="00C046C4"/>
    <w:rsid w:val="00C4241D"/>
    <w:rsid w:val="00C46715"/>
    <w:rsid w:val="00C93578"/>
    <w:rsid w:val="00CA41D3"/>
    <w:rsid w:val="00CC5988"/>
    <w:rsid w:val="00D0286E"/>
    <w:rsid w:val="00D1215D"/>
    <w:rsid w:val="00D76E09"/>
    <w:rsid w:val="00D76E2B"/>
    <w:rsid w:val="00D84332"/>
    <w:rsid w:val="00DB610D"/>
    <w:rsid w:val="00DD263E"/>
    <w:rsid w:val="00E25362"/>
    <w:rsid w:val="00E95EE7"/>
    <w:rsid w:val="00F0000F"/>
    <w:rsid w:val="00F4210F"/>
    <w:rsid w:val="00F5448D"/>
    <w:rsid w:val="00F80744"/>
    <w:rsid w:val="00FA1782"/>
    <w:rsid w:val="00FC6FAA"/>
    <w:rsid w:val="00FF3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983D73"/>
  <w15:chartTrackingRefBased/>
  <w15:docId w15:val="{C327C252-3B9E-4F16-8E3B-AFFA4737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A4"/>
    <w:pPr>
      <w:spacing w:after="160" w:line="259" w:lineRule="auto"/>
    </w:pPr>
    <w:rPr>
      <w:rFonts w:ascii="Calibri" w:eastAsia="Calibri" w:hAnsi="Calibri"/>
      <w:sz w:val="22"/>
      <w:szCs w:val="22"/>
      <w:lang w:eastAsia="en-US"/>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28"/>
      <w:lang w:eastAsia="en-US"/>
    </w:rPr>
  </w:style>
  <w:style w:type="paragraph" w:styleId="Heading2">
    <w:name w:val="heading 2"/>
    <w:next w:val="BodyText"/>
    <w:qFormat/>
    <w:pPr>
      <w:keepNext/>
      <w:overflowPunct w:val="0"/>
      <w:autoSpaceDE w:val="0"/>
      <w:autoSpaceDN w:val="0"/>
      <w:adjustRightInd w:val="0"/>
      <w:spacing w:before="240" w:after="120"/>
      <w:textAlignment w:val="baseline"/>
      <w:outlineLvl w:val="1"/>
    </w:pPr>
    <w:rPr>
      <w:rFonts w:ascii="Arial" w:hAnsi="Arial"/>
      <w:b/>
      <w:i/>
      <w:sz w:val="26"/>
      <w:lang w:eastAsia="en-US"/>
    </w:rPr>
  </w:style>
  <w:style w:type="paragraph" w:styleId="Heading3">
    <w:name w:val="heading 3"/>
    <w:next w:val="BodyText"/>
    <w:qFormat/>
    <w:pPr>
      <w:keepNext/>
      <w:overflowPunct w:val="0"/>
      <w:autoSpaceDE w:val="0"/>
      <w:autoSpaceDN w:val="0"/>
      <w:adjustRightInd w:val="0"/>
      <w:spacing w:before="240" w:after="120" w:line="340" w:lineRule="atLeast"/>
      <w:textAlignment w:val="baseline"/>
      <w:outlineLvl w:val="2"/>
    </w:pPr>
    <w:rPr>
      <w:rFonts w:ascii="Arial" w:hAnsi="Arial"/>
      <w:sz w:val="24"/>
      <w:lang w:eastAsia="en-US"/>
    </w:rPr>
  </w:style>
  <w:style w:type="paragraph" w:styleId="Heading4">
    <w:name w:val="heading 4"/>
    <w:next w:val="BodyText"/>
    <w:qFormat/>
    <w:pPr>
      <w:keepNext/>
      <w:overflowPunct w:val="0"/>
      <w:autoSpaceDE w:val="0"/>
      <w:autoSpaceDN w:val="0"/>
      <w:adjustRightInd w:val="0"/>
      <w:spacing w:before="240" w:after="60"/>
      <w:textAlignment w:val="baseline"/>
      <w:outlineLvl w:val="3"/>
    </w:pPr>
    <w:rPr>
      <w:rFonts w:ascii="Arial" w:hAnsi="Arial"/>
      <w:i/>
      <w:sz w:val="22"/>
      <w:lang w:eastAsia="en-US"/>
    </w:rPr>
  </w:style>
  <w:style w:type="paragraph" w:styleId="Heading5">
    <w:name w:val="heading 5"/>
    <w:next w:val="Normal"/>
    <w:qFormat/>
    <w:pPr>
      <w:overflowPunct w:val="0"/>
      <w:autoSpaceDE w:val="0"/>
      <w:autoSpaceDN w:val="0"/>
      <w:adjustRightInd w:val="0"/>
      <w:spacing w:before="240" w:after="60"/>
      <w:textAlignment w:val="baseline"/>
      <w:outlineLvl w:val="4"/>
    </w:pPr>
    <w:rPr>
      <w:rFonts w:ascii="Arial" w:hAnsi="Arial"/>
      <w:noProof/>
      <w:sz w:val="22"/>
      <w:lang w:eastAsia="en-US"/>
    </w:rPr>
  </w:style>
  <w:style w:type="paragraph" w:styleId="Heading6">
    <w:name w:val="heading 6"/>
    <w:next w:val="relatedinfotext"/>
    <w:qFormat/>
    <w:pPr>
      <w:overflowPunct w:val="0"/>
      <w:autoSpaceDE w:val="0"/>
      <w:autoSpaceDN w:val="0"/>
      <w:adjustRightInd w:val="0"/>
      <w:spacing w:before="240"/>
      <w:textAlignment w:val="baseline"/>
      <w:outlineLvl w:val="5"/>
    </w:pPr>
    <w:rPr>
      <w:b/>
      <w:noProof/>
      <w:sz w:val="24"/>
      <w:lang w:eastAsia="en-US"/>
    </w:rPr>
  </w:style>
  <w:style w:type="paragraph" w:styleId="Heading7">
    <w:name w:val="heading 7"/>
    <w:next w:val="Normal"/>
    <w:qFormat/>
    <w:pPr>
      <w:overflowPunct w:val="0"/>
      <w:autoSpaceDE w:val="0"/>
      <w:autoSpaceDN w:val="0"/>
      <w:adjustRightInd w:val="0"/>
      <w:spacing w:before="240" w:after="60"/>
      <w:textAlignment w:val="baseline"/>
      <w:outlineLvl w:val="6"/>
    </w:pPr>
    <w:rPr>
      <w:rFonts w:ascii="Arial" w:hAnsi="Arial"/>
      <w:b/>
      <w:noProof/>
      <w:sz w:val="48"/>
      <w:lang w:eastAsia="en-US"/>
    </w:rPr>
  </w:style>
  <w:style w:type="paragraph" w:styleId="Heading8">
    <w:name w:val="heading 8"/>
    <w:next w:val="Normal"/>
    <w:qFormat/>
    <w:pPr>
      <w:overflowPunct w:val="0"/>
      <w:autoSpaceDE w:val="0"/>
      <w:autoSpaceDN w:val="0"/>
      <w:adjustRightInd w:val="0"/>
      <w:spacing w:before="240" w:after="60"/>
      <w:textAlignment w:val="baseline"/>
      <w:outlineLvl w:val="7"/>
    </w:pPr>
    <w:rPr>
      <w:rFonts w:ascii="Arial" w:hAnsi="Arial"/>
      <w:i/>
      <w:noProof/>
      <w:lang w:eastAsia="en-US"/>
    </w:rPr>
  </w:style>
  <w:style w:type="paragraph" w:styleId="Heading9">
    <w:name w:val="heading 9"/>
    <w:next w:val="Normal"/>
    <w:qFormat/>
    <w:pPr>
      <w:overflowPunct w:val="0"/>
      <w:autoSpaceDE w:val="0"/>
      <w:autoSpaceDN w:val="0"/>
      <w:adjustRightInd w:val="0"/>
      <w:spacing w:before="240" w:after="60"/>
      <w:textAlignment w:val="baseline"/>
      <w:outlineLvl w:val="8"/>
    </w:pPr>
    <w:rPr>
      <w:rFonts w:ascii="Arial" w:hAnsi="Arial"/>
      <w:b/>
      <w:i/>
      <w:noProof/>
      <w:sz w:val="18"/>
      <w:lang w:eastAsia="en-US"/>
    </w:rPr>
  </w:style>
  <w:style w:type="character" w:default="1" w:styleId="DefaultParagraphFont">
    <w:name w:val="Default Paragraph Font"/>
    <w:uiPriority w:val="1"/>
    <w:unhideWhenUsed/>
    <w:rsid w:val="002E56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6A4"/>
  </w:style>
  <w:style w:type="paragraph" w:styleId="CommentText">
    <w:name w:val="annotation text"/>
    <w:basedOn w:val="Normal"/>
    <w:link w:val="CommentTextChar1"/>
    <w:uiPriority w:val="99"/>
    <w:rPr>
      <w:sz w:val="20"/>
    </w:rPr>
  </w:style>
  <w:style w:type="paragraph" w:styleId="BodyText">
    <w:name w:val="Body Text"/>
    <w:semiHidden/>
    <w:pPr>
      <w:overflowPunct w:val="0"/>
      <w:autoSpaceDE w:val="0"/>
      <w:autoSpaceDN w:val="0"/>
      <w:adjustRightInd w:val="0"/>
      <w:spacing w:before="40" w:after="160" w:line="300" w:lineRule="atLeast"/>
      <w:textAlignment w:val="baseline"/>
    </w:pPr>
    <w:rPr>
      <w:color w:val="000000"/>
      <w:sz w:val="24"/>
      <w:lang w:eastAsia="en-US"/>
    </w:rPr>
  </w:style>
  <w:style w:type="paragraph" w:customStyle="1" w:styleId="relatedinfotext">
    <w:name w:val="related info text"/>
    <w:pPr>
      <w:overflowPunct w:val="0"/>
      <w:autoSpaceDE w:val="0"/>
      <w:autoSpaceDN w:val="0"/>
      <w:adjustRightInd w:val="0"/>
      <w:textAlignment w:val="baseline"/>
    </w:pPr>
    <w:rPr>
      <w:noProof/>
      <w:lang w:eastAsia="en-US"/>
    </w:rPr>
  </w:style>
  <w:style w:type="paragraph" w:styleId="Header">
    <w:name w:val="header"/>
    <w:next w:val="Footer"/>
    <w:link w:val="HeaderChar"/>
    <w:uiPriority w:val="99"/>
    <w:pPr>
      <w:tabs>
        <w:tab w:val="center" w:pos="4153"/>
        <w:tab w:val="right" w:pos="8306"/>
      </w:tabs>
      <w:overflowPunct w:val="0"/>
      <w:autoSpaceDE w:val="0"/>
      <w:autoSpaceDN w:val="0"/>
      <w:adjustRightInd w:val="0"/>
      <w:jc w:val="right"/>
      <w:textAlignment w:val="baseline"/>
    </w:pPr>
    <w:rPr>
      <w:rFonts w:ascii="Arial" w:hAnsi="Arial"/>
      <w:b/>
      <w:smallCaps/>
      <w:noProof/>
      <w:sz w:val="18"/>
      <w:lang w:eastAsia="en-US"/>
    </w:rPr>
  </w:style>
  <w:style w:type="paragraph" w:styleId="Footer">
    <w:name w:val="footer"/>
    <w:link w:val="FooterChar"/>
    <w:uiPriority w:val="99"/>
    <w:pPr>
      <w:tabs>
        <w:tab w:val="center" w:pos="4153"/>
        <w:tab w:val="right" w:pos="8306"/>
      </w:tabs>
      <w:overflowPunct w:val="0"/>
      <w:autoSpaceDE w:val="0"/>
      <w:autoSpaceDN w:val="0"/>
      <w:adjustRightInd w:val="0"/>
      <w:textAlignment w:val="baseline"/>
    </w:pPr>
    <w:rPr>
      <w:rFonts w:ascii="Arial" w:hAnsi="Arial"/>
      <w:b/>
      <w:noProof/>
      <w:sz w:val="24"/>
      <w:lang w:eastAsia="en-US"/>
    </w:rPr>
  </w:style>
  <w:style w:type="character" w:styleId="PageNumber">
    <w:name w:val="page number"/>
    <w:basedOn w:val="DefaultParagraphFont"/>
    <w:semiHidden/>
  </w:style>
  <w:style w:type="paragraph" w:styleId="TOC1">
    <w:name w:val="toc 1"/>
    <w:next w:val="TOC2"/>
    <w:semiHidden/>
    <w:pPr>
      <w:keepNext/>
      <w:tabs>
        <w:tab w:val="left" w:leader="dot" w:pos="6803"/>
      </w:tabs>
      <w:overflowPunct w:val="0"/>
      <w:autoSpaceDE w:val="0"/>
      <w:autoSpaceDN w:val="0"/>
      <w:adjustRightInd w:val="0"/>
      <w:spacing w:before="80" w:after="20"/>
      <w:ind w:left="1418"/>
      <w:textAlignment w:val="baseline"/>
    </w:pPr>
    <w:rPr>
      <w:rFonts w:ascii="Arial" w:hAnsi="Arial"/>
      <w:b/>
      <w:noProof/>
      <w:lang w:eastAsia="en-US"/>
    </w:rPr>
  </w:style>
  <w:style w:type="paragraph" w:styleId="TOC2">
    <w:name w:val="toc 2"/>
    <w:next w:val="TOC3"/>
    <w:semiHidden/>
    <w:pPr>
      <w:keepNext/>
      <w:tabs>
        <w:tab w:val="left" w:leader="dot" w:pos="6803"/>
      </w:tabs>
      <w:overflowPunct w:val="0"/>
      <w:autoSpaceDE w:val="0"/>
      <w:autoSpaceDN w:val="0"/>
      <w:adjustRightInd w:val="0"/>
      <w:spacing w:after="20"/>
      <w:ind w:left="1985"/>
      <w:textAlignment w:val="baseline"/>
    </w:pPr>
    <w:rPr>
      <w:rFonts w:ascii="Arial" w:hAnsi="Arial"/>
      <w:noProof/>
      <w:lang w:eastAsia="en-US"/>
    </w:rPr>
  </w:style>
  <w:style w:type="paragraph" w:styleId="TOC3">
    <w:name w:val="toc 3"/>
    <w:next w:val="TOC1"/>
    <w:semiHidden/>
    <w:pPr>
      <w:tabs>
        <w:tab w:val="right" w:pos="6803"/>
      </w:tabs>
      <w:overflowPunct w:val="0"/>
      <w:autoSpaceDE w:val="0"/>
      <w:autoSpaceDN w:val="0"/>
      <w:adjustRightInd w:val="0"/>
      <w:ind w:left="2325"/>
      <w:textAlignment w:val="baseline"/>
    </w:pPr>
    <w:rPr>
      <w:rFonts w:ascii="Arial" w:hAnsi="Arial"/>
      <w:b/>
      <w:noProof/>
      <w:lang w:eastAsia="en-US"/>
    </w:rPr>
  </w:style>
  <w:style w:type="paragraph" w:customStyle="1" w:styleId="ChapterTitle">
    <w:name w:val="Chapter Title"/>
    <w:next w:val="Heading1"/>
    <w:pPr>
      <w:keepNext/>
      <w:keepLines/>
      <w:pageBreakBefore/>
      <w:pBdr>
        <w:bottom w:val="single" w:sz="12" w:space="4" w:color="auto"/>
      </w:pBdr>
      <w:tabs>
        <w:tab w:val="left" w:pos="879"/>
      </w:tabs>
      <w:overflowPunct w:val="0"/>
      <w:autoSpaceDE w:val="0"/>
      <w:autoSpaceDN w:val="0"/>
      <w:adjustRightInd w:val="0"/>
      <w:spacing w:after="240"/>
      <w:textAlignment w:val="baseline"/>
    </w:pPr>
    <w:rPr>
      <w:rFonts w:ascii="Arial" w:hAnsi="Arial"/>
      <w:b/>
      <w:kern w:val="28"/>
      <w:sz w:val="36"/>
      <w:lang w:eastAsia="en-US"/>
    </w:rPr>
  </w:style>
  <w:style w:type="paragraph" w:customStyle="1" w:styleId="psheading">
    <w:name w:val="ps heading"/>
    <w:pPr>
      <w:overflowPunct w:val="0"/>
      <w:autoSpaceDE w:val="0"/>
      <w:autoSpaceDN w:val="0"/>
      <w:adjustRightInd w:val="0"/>
      <w:spacing w:after="240"/>
      <w:textAlignment w:val="baseline"/>
    </w:pPr>
    <w:rPr>
      <w:rFonts w:ascii="Arial" w:hAnsi="Arial"/>
      <w:b/>
      <w:noProof/>
      <w:sz w:val="48"/>
      <w:lang w:eastAsia="en-US"/>
    </w:rPr>
  </w:style>
  <w:style w:type="paragraph" w:customStyle="1" w:styleId="contents">
    <w:name w:val="contents"/>
    <w:pPr>
      <w:keepNext/>
      <w:pBdr>
        <w:top w:val="single" w:sz="24" w:space="1" w:color="auto"/>
      </w:pBdr>
      <w:overflowPunct w:val="0"/>
      <w:autoSpaceDE w:val="0"/>
      <w:autoSpaceDN w:val="0"/>
      <w:adjustRightInd w:val="0"/>
      <w:spacing w:before="240" w:after="120"/>
      <w:ind w:left="1418"/>
      <w:textAlignment w:val="baseline"/>
    </w:pPr>
    <w:rPr>
      <w:rFonts w:ascii="Arial" w:hAnsi="Arial"/>
      <w:b/>
      <w:noProof/>
      <w:sz w:val="24"/>
      <w:lang w:eastAsia="en-US"/>
    </w:rPr>
  </w:style>
  <w:style w:type="paragraph" w:customStyle="1" w:styleId="howtoheading">
    <w:name w:val="how to heading"/>
    <w:pPr>
      <w:pBdr>
        <w:top w:val="dotted" w:sz="6" w:space="3" w:color="auto"/>
      </w:pBdr>
      <w:overflowPunct w:val="0"/>
      <w:autoSpaceDE w:val="0"/>
      <w:autoSpaceDN w:val="0"/>
      <w:adjustRightInd w:val="0"/>
      <w:spacing w:before="480" w:after="120" w:line="312" w:lineRule="auto"/>
      <w:ind w:left="1418"/>
      <w:textAlignment w:val="baseline"/>
    </w:pPr>
    <w:rPr>
      <w:rFonts w:ascii="Arial" w:hAnsi="Arial"/>
      <w:b/>
      <w:sz w:val="24"/>
      <w:lang w:eastAsia="en-US"/>
    </w:rPr>
  </w:style>
  <w:style w:type="paragraph" w:customStyle="1" w:styleId="howtotext">
    <w:name w:val="how to text"/>
    <w:basedOn w:val="BodyText"/>
    <w:pPr>
      <w:ind w:left="1418"/>
    </w:pPr>
    <w:rPr>
      <w:rFonts w:ascii="Arial" w:hAnsi="Arial"/>
      <w:sz w:val="20"/>
    </w:rPr>
  </w:style>
  <w:style w:type="paragraph" w:customStyle="1" w:styleId="seeparas">
    <w:name w:val="see paras"/>
    <w:pPr>
      <w:tabs>
        <w:tab w:val="left" w:pos="709"/>
      </w:tabs>
      <w:overflowPunct w:val="0"/>
      <w:autoSpaceDE w:val="0"/>
      <w:autoSpaceDN w:val="0"/>
      <w:adjustRightInd w:val="0"/>
      <w:spacing w:after="240" w:line="280" w:lineRule="atLeast"/>
      <w:jc w:val="right"/>
      <w:textAlignment w:val="baseline"/>
    </w:pPr>
    <w:rPr>
      <w:i/>
      <w:noProof/>
      <w:sz w:val="24"/>
      <w:lang w:eastAsia="en-US"/>
    </w:rPr>
  </w:style>
  <w:style w:type="paragraph" w:customStyle="1" w:styleId="Listalpha">
    <w:name w:val="List alpha"/>
    <w:pPr>
      <w:overflowPunct w:val="0"/>
      <w:autoSpaceDE w:val="0"/>
      <w:autoSpaceDN w:val="0"/>
      <w:adjustRightInd w:val="0"/>
      <w:spacing w:before="40" w:after="120"/>
      <w:ind w:left="454" w:hanging="454"/>
      <w:textAlignment w:val="baseline"/>
    </w:pPr>
    <w:rPr>
      <w:noProof/>
      <w:sz w:val="24"/>
      <w:lang w:eastAsia="en-US"/>
    </w:rPr>
  </w:style>
  <w:style w:type="paragraph" w:customStyle="1" w:styleId="infoline">
    <w:name w:val="infoline"/>
    <w:pPr>
      <w:pBdr>
        <w:bottom w:val="dotted" w:sz="6" w:space="3" w:color="auto"/>
      </w:pBdr>
      <w:overflowPunct w:val="0"/>
      <w:autoSpaceDE w:val="0"/>
      <w:autoSpaceDN w:val="0"/>
      <w:adjustRightInd w:val="0"/>
      <w:spacing w:after="240" w:line="312" w:lineRule="auto"/>
      <w:ind w:left="1418"/>
      <w:textAlignment w:val="baseline"/>
    </w:pPr>
    <w:rPr>
      <w:rFonts w:ascii="Arial" w:hAnsi="Arial"/>
      <w:lang w:eastAsia="en-US"/>
    </w:rPr>
  </w:style>
  <w:style w:type="paragraph" w:customStyle="1" w:styleId="openinginfo">
    <w:name w:val="opening info"/>
    <w:pPr>
      <w:tabs>
        <w:tab w:val="left" w:pos="2268"/>
      </w:tabs>
      <w:overflowPunct w:val="0"/>
      <w:autoSpaceDE w:val="0"/>
      <w:autoSpaceDN w:val="0"/>
      <w:adjustRightInd w:val="0"/>
      <w:spacing w:after="120" w:line="240" w:lineRule="atLeast"/>
      <w:textAlignment w:val="baseline"/>
    </w:pPr>
    <w:rPr>
      <w:b/>
      <w:noProof/>
      <w:sz w:val="24"/>
      <w:lang w:eastAsia="en-US"/>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customStyle="1" w:styleId="howtolistbullets">
    <w:name w:val="how to list bullets"/>
    <w:pPr>
      <w:overflowPunct w:val="0"/>
      <w:autoSpaceDE w:val="0"/>
      <w:autoSpaceDN w:val="0"/>
      <w:adjustRightInd w:val="0"/>
      <w:spacing w:before="40" w:after="160"/>
      <w:ind w:left="1701" w:hanging="283"/>
      <w:textAlignment w:val="baseline"/>
    </w:pPr>
    <w:rPr>
      <w:rFonts w:ascii="Arial" w:hAnsi="Arial"/>
      <w:noProof/>
      <w:color w:val="000000"/>
      <w:lang w:eastAsia="en-US"/>
    </w:rPr>
  </w:style>
  <w:style w:type="paragraph" w:customStyle="1" w:styleId="listroman">
    <w:name w:val="list roman"/>
    <w:basedOn w:val="Listalpha"/>
    <w:pPr>
      <w:spacing w:line="300" w:lineRule="atLeast"/>
      <w:ind w:left="851"/>
    </w:pPr>
    <w:rPr>
      <w:noProof w:val="0"/>
    </w:rPr>
  </w:style>
  <w:style w:type="paragraph" w:customStyle="1" w:styleId="grey">
    <w:name w:val="grey"/>
    <w:pPr>
      <w:overflowPunct w:val="0"/>
      <w:autoSpaceDE w:val="0"/>
      <w:autoSpaceDN w:val="0"/>
      <w:adjustRightInd w:val="0"/>
      <w:spacing w:line="300" w:lineRule="atLeast"/>
      <w:textAlignment w:val="baseline"/>
    </w:pPr>
    <w:rPr>
      <w:i/>
      <w:color w:val="808080"/>
      <w:sz w:val="24"/>
      <w:lang w:eastAsia="en-US"/>
    </w:rPr>
  </w:style>
  <w:style w:type="paragraph" w:styleId="TOC4">
    <w:name w:val="toc 4"/>
    <w:next w:val="Normal"/>
    <w:semiHidden/>
    <w:pPr>
      <w:tabs>
        <w:tab w:val="right" w:leader="dot" w:pos="6803"/>
      </w:tabs>
      <w:overflowPunct w:val="0"/>
      <w:autoSpaceDE w:val="0"/>
      <w:autoSpaceDN w:val="0"/>
      <w:adjustRightInd w:val="0"/>
      <w:ind w:left="2892"/>
      <w:textAlignment w:val="baseline"/>
    </w:pPr>
    <w:rPr>
      <w:rFonts w:ascii="Arial" w:hAnsi="Arial"/>
      <w:noProof/>
      <w:lang w:eastAsia="en-US"/>
    </w:rPr>
  </w:style>
  <w:style w:type="paragraph" w:styleId="TOC5">
    <w:name w:val="toc 5"/>
    <w:next w:val="Normal"/>
    <w:semiHidden/>
    <w:pPr>
      <w:tabs>
        <w:tab w:val="right" w:leader="dot" w:pos="6803"/>
      </w:tabs>
      <w:overflowPunct w:val="0"/>
      <w:autoSpaceDE w:val="0"/>
      <w:autoSpaceDN w:val="0"/>
      <w:adjustRightInd w:val="0"/>
      <w:ind w:left="3459"/>
      <w:textAlignment w:val="baseline"/>
    </w:pPr>
    <w:rPr>
      <w:noProof/>
      <w:lang w:eastAsia="en-US"/>
    </w:rPr>
  </w:style>
  <w:style w:type="paragraph" w:styleId="TOC6">
    <w:name w:val="toc 6"/>
    <w:next w:val="Normal"/>
    <w:semiHidden/>
    <w:pPr>
      <w:tabs>
        <w:tab w:val="right" w:leader="dot" w:pos="6803"/>
      </w:tabs>
      <w:overflowPunct w:val="0"/>
      <w:autoSpaceDE w:val="0"/>
      <w:autoSpaceDN w:val="0"/>
      <w:adjustRightInd w:val="0"/>
      <w:ind w:left="1200"/>
      <w:textAlignment w:val="baseline"/>
    </w:pPr>
    <w:rPr>
      <w:noProof/>
      <w:lang w:eastAsia="en-US"/>
    </w:rPr>
  </w:style>
  <w:style w:type="paragraph" w:styleId="TOC7">
    <w:name w:val="toc 7"/>
    <w:basedOn w:val="Normal"/>
    <w:next w:val="Normal"/>
    <w:semiHidden/>
    <w:pPr>
      <w:tabs>
        <w:tab w:val="right" w:leader="dot" w:pos="6803"/>
      </w:tabs>
      <w:ind w:left="1440"/>
    </w:pPr>
  </w:style>
  <w:style w:type="paragraph" w:styleId="TOC8">
    <w:name w:val="toc 8"/>
    <w:basedOn w:val="Normal"/>
    <w:next w:val="Normal"/>
    <w:semiHidden/>
    <w:pPr>
      <w:tabs>
        <w:tab w:val="right" w:leader="dot" w:pos="6803"/>
      </w:tabs>
      <w:ind w:left="1680"/>
    </w:pPr>
  </w:style>
  <w:style w:type="paragraph" w:styleId="TOC9">
    <w:name w:val="toc 9"/>
    <w:basedOn w:val="Normal"/>
    <w:next w:val="Normal"/>
    <w:semiHidden/>
    <w:pPr>
      <w:tabs>
        <w:tab w:val="right" w:leader="dot" w:pos="6803"/>
      </w:tabs>
      <w:ind w:left="1920"/>
    </w:pPr>
  </w:style>
  <w:style w:type="paragraph" w:customStyle="1" w:styleId="help">
    <w:name w:val="help"/>
    <w:basedOn w:val="ChapterTitle"/>
  </w:style>
  <w:style w:type="paragraph" w:customStyle="1" w:styleId="keytermtext">
    <w:name w:val="key term text"/>
    <w:basedOn w:val="relatedinfotext"/>
    <w:pPr>
      <w:spacing w:after="120"/>
    </w:pPr>
  </w:style>
  <w:style w:type="paragraph" w:customStyle="1" w:styleId="BodyTextbold">
    <w:name w:val="Body Text bold"/>
    <w:basedOn w:val="BodyText"/>
    <w:rPr>
      <w:b/>
    </w:rPr>
  </w:style>
  <w:style w:type="paragraph" w:styleId="BodyTextIndent">
    <w:name w:val="Body Text Indent"/>
    <w:basedOn w:val="BodyText"/>
    <w:semiHidden/>
    <w:pPr>
      <w:ind w:left="283"/>
    </w:pPr>
  </w:style>
  <w:style w:type="paragraph" w:customStyle="1" w:styleId="ChapterTitlehelp">
    <w:name w:val="Chapter Title help"/>
    <w:basedOn w:val="ChapterTitle"/>
    <w:pPr>
      <w:pageBreakBefore w:val="0"/>
      <w:spacing w:before="360"/>
    </w:pPr>
    <w:rPr>
      <w:sz w:val="56"/>
    </w:rPr>
  </w:style>
  <w:style w:type="paragraph" w:customStyle="1" w:styleId="contentshelp">
    <w:name w:val="contents help"/>
    <w:basedOn w:val="ChapterTitlehelp"/>
  </w:style>
  <w:style w:type="paragraph" w:customStyle="1" w:styleId="Heading1help">
    <w:name w:val="Heading 1 help"/>
    <w:basedOn w:val="Heading1"/>
    <w:pPr>
      <w:outlineLvl w:val="9"/>
    </w:pPr>
    <w:rPr>
      <w:sz w:val="48"/>
    </w:rPr>
  </w:style>
  <w:style w:type="paragraph" w:customStyle="1" w:styleId="Heading2help">
    <w:name w:val="Heading 2 help"/>
    <w:basedOn w:val="Heading2"/>
    <w:pPr>
      <w:spacing w:before="120" w:after="80"/>
      <w:outlineLvl w:val="9"/>
    </w:pPr>
    <w:rPr>
      <w:i w:val="0"/>
      <w:sz w:val="32"/>
    </w:rPr>
  </w:style>
  <w:style w:type="paragraph" w:customStyle="1" w:styleId="Lista0">
    <w:name w:val="Lista"/>
    <w:pPr>
      <w:overflowPunct w:val="0"/>
      <w:autoSpaceDE w:val="0"/>
      <w:autoSpaceDN w:val="0"/>
      <w:adjustRightInd w:val="0"/>
      <w:spacing w:before="40" w:after="120" w:line="300" w:lineRule="atLeast"/>
      <w:ind w:left="425" w:hanging="425"/>
      <w:textAlignment w:val="baseline"/>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styleId="FootnoteReference">
    <w:name w:val="footnote reference"/>
    <w:semiHidden/>
    <w:rPr>
      <w:vertAlign w:val="superscript"/>
    </w:rPr>
  </w:style>
  <w:style w:type="paragraph" w:customStyle="1" w:styleId="nostyle">
    <w:name w:val="nostyle"/>
    <w:basedOn w:val="ChapterTitlehelp"/>
    <w:pPr>
      <w:pBdr>
        <w:bottom w:val="dotted" w:sz="6" w:space="4" w:color="808080"/>
      </w:pBdr>
    </w:pPr>
    <w:rPr>
      <w:color w:val="808080"/>
    </w:rPr>
  </w:style>
  <w:style w:type="paragraph" w:customStyle="1" w:styleId="nostyle0">
    <w:name w:val="no style"/>
    <w:pPr>
      <w:overflowPunct w:val="0"/>
      <w:autoSpaceDE w:val="0"/>
      <w:autoSpaceDN w:val="0"/>
      <w:adjustRightInd w:val="0"/>
      <w:textAlignment w:val="baseline"/>
    </w:pPr>
    <w:rPr>
      <w:noProof/>
      <w:lang w:eastAsia="en-US"/>
    </w:rPr>
  </w:style>
  <w:style w:type="paragraph" w:styleId="FootnoteText">
    <w:name w:val="footnote text"/>
    <w:semiHidden/>
    <w:pPr>
      <w:overflowPunct w:val="0"/>
      <w:autoSpaceDE w:val="0"/>
      <w:autoSpaceDN w:val="0"/>
      <w:adjustRightInd w:val="0"/>
      <w:textAlignment w:val="baseline"/>
    </w:pPr>
    <w:rPr>
      <w:noProof/>
      <w:lang w:eastAsia="en-US"/>
    </w:rPr>
  </w:style>
  <w:style w:type="paragraph" w:styleId="Title">
    <w:name w:val="Title"/>
    <w:qFormat/>
    <w:pPr>
      <w:overflowPunct w:val="0"/>
      <w:autoSpaceDE w:val="0"/>
      <w:autoSpaceDN w:val="0"/>
      <w:adjustRightInd w:val="0"/>
      <w:spacing w:before="240" w:after="60"/>
      <w:jc w:val="center"/>
      <w:textAlignment w:val="baseline"/>
    </w:pPr>
    <w:rPr>
      <w:rFonts w:ascii="Arial" w:hAnsi="Arial"/>
      <w:b/>
      <w:noProof/>
      <w:kern w:val="28"/>
      <w:sz w:val="32"/>
      <w:lang w:eastAsia="en-US"/>
    </w:rPr>
  </w:style>
  <w:style w:type="paragraph" w:styleId="BodyTextIndent2">
    <w:name w:val="Body Text Indent 2"/>
    <w:basedOn w:val="Normal"/>
    <w:semiHidden/>
    <w:pPr>
      <w:spacing w:after="0"/>
      <w:ind w:firstLine="4"/>
      <w:jc w:val="both"/>
    </w:pPr>
  </w:style>
  <w:style w:type="paragraph" w:styleId="BodyTextIndent3">
    <w:name w:val="Body Text Indent 3"/>
    <w:basedOn w:val="Normal"/>
    <w:semiHidden/>
    <w:pPr>
      <w:spacing w:after="0"/>
      <w:ind w:left="567" w:hanging="567"/>
      <w:jc w:val="both"/>
    </w:pPr>
  </w:style>
  <w:style w:type="paragraph" w:styleId="BodyText3">
    <w:name w:val="Body Text 3"/>
    <w:basedOn w:val="Normal"/>
    <w:semiHidden/>
    <w:pPr>
      <w:spacing w:after="0"/>
      <w:jc w:val="both"/>
    </w:pPr>
    <w:rPr>
      <w:sz w:val="20"/>
    </w:rPr>
  </w:style>
  <w:style w:type="paragraph" w:customStyle="1" w:styleId="listNo">
    <w:name w:val="listNo"/>
    <w:basedOn w:val="BodyText"/>
    <w:pPr>
      <w:tabs>
        <w:tab w:val="left" w:pos="403"/>
      </w:tabs>
      <w:ind w:left="397" w:hanging="397"/>
    </w:pPr>
    <w:rPr>
      <w:color w:val="auto"/>
    </w:rPr>
  </w:style>
  <w:style w:type="paragraph" w:styleId="BodyText2">
    <w:name w:val="Body Text 2"/>
    <w:basedOn w:val="Normal"/>
    <w:semiHidden/>
    <w:pPr>
      <w:spacing w:line="240" w:lineRule="atLeast"/>
      <w:ind w:left="426" w:hanging="426"/>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logoB">
    <w:name w:val="logoB"/>
    <w:basedOn w:val="Normal"/>
    <w:pPr>
      <w:spacing w:after="0"/>
    </w:pPr>
    <w:rPr>
      <w:rFonts w:ascii="Book Antiqua" w:hAnsi="Book Antiqua"/>
      <w:sz w:val="16"/>
    </w:rPr>
  </w:style>
  <w:style w:type="paragraph" w:customStyle="1" w:styleId="logoA">
    <w:name w:val="logoA"/>
    <w:basedOn w:val="Normal"/>
    <w:pPr>
      <w:spacing w:after="0"/>
    </w:pPr>
    <w:rPr>
      <w:rFonts w:ascii="Book Antiqua" w:hAnsi="Book Antiqua"/>
      <w:b/>
      <w:sz w:val="28"/>
    </w:rPr>
  </w:style>
  <w:style w:type="paragraph" w:customStyle="1" w:styleId="logo12">
    <w:name w:val="logo12"/>
    <w:basedOn w:val="Normal"/>
    <w:pPr>
      <w:framePr w:w="5104" w:h="2009" w:hSpace="180" w:wrap="around" w:vAnchor="text" w:hAnchor="page" w:x="3612" w:y="472"/>
      <w:tabs>
        <w:tab w:val="left" w:pos="4820"/>
      </w:tabs>
      <w:spacing w:after="0"/>
    </w:pPr>
  </w:style>
  <w:style w:type="paragraph" w:customStyle="1" w:styleId="logo6">
    <w:name w:val="logo6"/>
    <w:basedOn w:val="Normal"/>
    <w:pPr>
      <w:framePr w:w="5104" w:h="2009" w:hSpace="180" w:wrap="around" w:vAnchor="text" w:hAnchor="page" w:x="3612" w:y="472"/>
      <w:tabs>
        <w:tab w:val="left" w:pos="4820"/>
      </w:tabs>
      <w:spacing w:after="0"/>
    </w:pPr>
    <w:rPr>
      <w:sz w:val="12"/>
    </w:rPr>
  </w:style>
  <w:style w:type="paragraph" w:customStyle="1" w:styleId="ahist">
    <w:name w:val="ahist"/>
    <w:pPr>
      <w:spacing w:before="60" w:after="60"/>
    </w:pPr>
    <w:rPr>
      <w:sz w:val="18"/>
      <w:lang w:eastAsia="en-US"/>
    </w:rPr>
  </w:style>
  <w:style w:type="paragraph" w:customStyle="1" w:styleId="atitle">
    <w:name w:val="atitle"/>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headnote">
    <w:name w:val="aheadnote"/>
    <w:basedOn w:val="Normal"/>
    <w:pPr>
      <w:spacing w:after="120" w:line="240" w:lineRule="atLeast"/>
    </w:pPr>
    <w:rPr>
      <w:i/>
      <w:lang w:val="en-US"/>
    </w:rPr>
  </w:style>
  <w:style w:type="paragraph" w:customStyle="1" w:styleId="ListA1">
    <w:name w:val="ListA"/>
    <w:pPr>
      <w:overflowPunct w:val="0"/>
      <w:autoSpaceDE w:val="0"/>
      <w:autoSpaceDN w:val="0"/>
      <w:adjustRightInd w:val="0"/>
      <w:spacing w:before="120" w:after="120"/>
      <w:ind w:left="425" w:hanging="425"/>
      <w:textAlignment w:val="baseline"/>
    </w:pPr>
    <w:rPr>
      <w:sz w:val="24"/>
      <w:lang w:eastAsia="en-US"/>
    </w:rPr>
  </w:style>
  <w:style w:type="paragraph" w:customStyle="1" w:styleId="aheade">
    <w:name w:val="aheade"/>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ListB">
    <w:name w:val="ListB"/>
    <w:pPr>
      <w:overflowPunct w:val="0"/>
      <w:autoSpaceDE w:val="0"/>
      <w:autoSpaceDN w:val="0"/>
      <w:adjustRightInd w:val="0"/>
      <w:spacing w:before="120" w:after="120"/>
      <w:ind w:left="850" w:hanging="425"/>
      <w:textAlignment w:val="baseline"/>
    </w:pPr>
    <w:rPr>
      <w:sz w:val="24"/>
      <w:lang w:eastAsia="en-US"/>
    </w:rPr>
  </w:style>
  <w:style w:type="paragraph" w:customStyle="1" w:styleId="abody">
    <w:name w:val="abody"/>
    <w:pPr>
      <w:overflowPunct w:val="0"/>
      <w:autoSpaceDE w:val="0"/>
      <w:autoSpaceDN w:val="0"/>
      <w:adjustRightInd w:val="0"/>
      <w:spacing w:before="120" w:after="120"/>
      <w:textAlignment w:val="baseline"/>
    </w:pPr>
    <w:rPr>
      <w:noProof/>
      <w:sz w:val="24"/>
      <w:lang w:eastAsia="en-US"/>
    </w:rPr>
  </w:style>
  <w:style w:type="paragraph" w:customStyle="1" w:styleId="aSCHED">
    <w:name w:val="aSCHED"/>
    <w:pPr>
      <w:keepNext/>
      <w:overflowPunct w:val="0"/>
      <w:autoSpaceDE w:val="0"/>
      <w:autoSpaceDN w:val="0"/>
      <w:adjustRightInd w:val="0"/>
      <w:spacing w:before="240" w:after="120"/>
      <w:jc w:val="center"/>
      <w:textAlignment w:val="baseline"/>
    </w:pPr>
    <w:rPr>
      <w:noProof/>
      <w:sz w:val="24"/>
      <w:lang w:eastAsia="en-US"/>
    </w:rPr>
  </w:style>
  <w:style w:type="paragraph" w:customStyle="1" w:styleId="apsref">
    <w:name w:val="apsref"/>
    <w:pPr>
      <w:widowControl w:val="0"/>
      <w:overflowPunct w:val="0"/>
      <w:autoSpaceDE w:val="0"/>
      <w:autoSpaceDN w:val="0"/>
      <w:adjustRightInd w:val="0"/>
      <w:textAlignment w:val="baseline"/>
    </w:pPr>
    <w:rPr>
      <w:rFonts w:ascii="Arial" w:hAnsi="Arial"/>
      <w:b/>
      <w:sz w:val="24"/>
      <w:lang w:val="en-US" w:eastAsia="en-US"/>
    </w:rPr>
  </w:style>
  <w:style w:type="paragraph" w:customStyle="1" w:styleId="Mint">
    <w:name w:val="Mint"/>
    <w:basedOn w:val="Normal"/>
    <w:pPr>
      <w:spacing w:after="0"/>
      <w:ind w:left="567" w:hanging="567"/>
    </w:pPr>
  </w:style>
  <w:style w:type="paragraph" w:customStyle="1" w:styleId="ListC">
    <w:name w:val="ListC"/>
    <w:pPr>
      <w:widowControl w:val="0"/>
      <w:autoSpaceDE w:val="0"/>
      <w:autoSpaceDN w:val="0"/>
      <w:adjustRightInd w:val="0"/>
      <w:spacing w:before="120" w:after="120"/>
      <w:ind w:left="1276" w:hanging="425"/>
    </w:pPr>
    <w:rPr>
      <w:sz w:val="24"/>
      <w:szCs w:val="24"/>
      <w:lang w:val="en-US" w:eastAsia="en-US"/>
    </w:rPr>
  </w:style>
  <w:style w:type="paragraph" w:customStyle="1" w:styleId="ListD">
    <w:name w:val="ListD"/>
    <w:pPr>
      <w:autoSpaceDE w:val="0"/>
      <w:autoSpaceDN w:val="0"/>
      <w:adjustRightInd w:val="0"/>
      <w:spacing w:before="60" w:after="60"/>
      <w:ind w:left="2880" w:hanging="720"/>
    </w:pPr>
    <w:rPr>
      <w:sz w:val="24"/>
      <w:szCs w:val="24"/>
      <w:lang w:val="en-US" w:eastAsia="en-US"/>
    </w:rPr>
  </w:style>
  <w:style w:type="paragraph" w:customStyle="1" w:styleId="HeadE">
    <w:name w:val="HeadE"/>
    <w:pPr>
      <w:widowControl w:val="0"/>
      <w:autoSpaceDE w:val="0"/>
      <w:autoSpaceDN w:val="0"/>
      <w:adjustRightInd w:val="0"/>
      <w:spacing w:after="144"/>
    </w:pPr>
    <w:rPr>
      <w:rFonts w:ascii="Arial" w:hAnsi="Arial" w:cs="Arial"/>
      <w:sz w:val="22"/>
      <w:szCs w:val="22"/>
      <w:lang w:val="en-US" w:eastAsia="en-US"/>
    </w:rPr>
  </w:style>
  <w:style w:type="paragraph" w:customStyle="1" w:styleId="acentred">
    <w:name w:val="acentred"/>
    <w:pPr>
      <w:overflowPunct w:val="0"/>
      <w:autoSpaceDE w:val="0"/>
      <w:autoSpaceDN w:val="0"/>
      <w:adjustRightInd w:val="0"/>
      <w:spacing w:before="360"/>
      <w:jc w:val="center"/>
      <w:textAlignment w:val="baseline"/>
    </w:pPr>
    <w:rPr>
      <w:noProof/>
      <w:sz w:val="24"/>
      <w:lang w:eastAsia="en-US"/>
    </w:rPr>
  </w:style>
  <w:style w:type="paragraph" w:customStyle="1" w:styleId="ListE">
    <w:name w:val="ListE"/>
    <w:basedOn w:val="ListD"/>
    <w:next w:val="ListD"/>
    <w:pPr>
      <w:ind w:left="3555"/>
    </w:pPr>
  </w:style>
  <w:style w:type="paragraph" w:customStyle="1" w:styleId="adate">
    <w:name w:val="adate"/>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
    <w:name w:val="List A"/>
    <w:basedOn w:val="Normal"/>
    <w:pPr>
      <w:numPr>
        <w:numId w:val="24"/>
      </w:numPr>
    </w:pPr>
  </w:style>
  <w:style w:type="paragraph" w:customStyle="1" w:styleId="aheadnote-listA">
    <w:name w:val="aheadnote-listA"/>
    <w:basedOn w:val="aheadnote"/>
    <w:pPr>
      <w:spacing w:after="60" w:line="240" w:lineRule="auto"/>
      <w:ind w:left="425" w:hanging="425"/>
    </w:pPr>
  </w:style>
  <w:style w:type="paragraph" w:customStyle="1" w:styleId="Headnote">
    <w:name w:val="Headnote"/>
    <w:pPr>
      <w:widowControl w:val="0"/>
      <w:tabs>
        <w:tab w:val="left" w:pos="119"/>
        <w:tab w:val="left" w:pos="2279"/>
        <w:tab w:val="left" w:pos="4439"/>
        <w:tab w:val="left" w:pos="6599"/>
        <w:tab w:val="decimal" w:pos="8759"/>
      </w:tabs>
      <w:autoSpaceDE w:val="0"/>
      <w:autoSpaceDN w:val="0"/>
      <w:adjustRightInd w:val="0"/>
      <w:spacing w:after="360"/>
    </w:pPr>
    <w:rPr>
      <w:rFonts w:ascii="Times" w:hAnsi="Times"/>
      <w:i/>
      <w:iCs/>
      <w:szCs w:val="24"/>
      <w:lang w:val="en-US" w:eastAsia="en-US"/>
    </w:rPr>
  </w:style>
  <w:style w:type="paragraph" w:customStyle="1" w:styleId="Style1">
    <w:name w:val="Style1"/>
    <w:basedOn w:val="aheadnote-listA"/>
    <w:link w:val="Style1Char"/>
    <w:qFormat/>
    <w:pPr>
      <w:numPr>
        <w:numId w:val="25"/>
      </w:numPr>
    </w:pPr>
  </w:style>
  <w:style w:type="paragraph" w:customStyle="1" w:styleId="aheadnote-bullet">
    <w:name w:val="aheadnote-bullet"/>
    <w:basedOn w:val="aheadnote-listA"/>
    <w:pPr>
      <w:numPr>
        <w:numId w:val="26"/>
      </w:numPr>
    </w:pPr>
  </w:style>
  <w:style w:type="paragraph" w:customStyle="1" w:styleId="Changes">
    <w:name w:val="Changes"/>
    <w:pPr>
      <w:widowControl w:val="0"/>
      <w:autoSpaceDE w:val="0"/>
      <w:autoSpaceDN w:val="0"/>
      <w:adjustRightInd w:val="0"/>
      <w:spacing w:after="288"/>
    </w:pPr>
    <w:rPr>
      <w:rFonts w:ascii="Times" w:hAnsi="Times"/>
      <w:lang w:val="en-US" w:eastAsia="en-US"/>
    </w:rPr>
  </w:style>
  <w:style w:type="paragraph" w:customStyle="1" w:styleId="publishpara">
    <w:name w:val="publish_para"/>
    <w:pPr>
      <w:widowControl w:val="0"/>
      <w:tabs>
        <w:tab w:val="left" w:pos="119"/>
        <w:tab w:val="left" w:pos="2279"/>
        <w:tab w:val="left" w:pos="4439"/>
        <w:tab w:val="left" w:pos="6599"/>
        <w:tab w:val="decimal" w:pos="8759"/>
      </w:tabs>
      <w:autoSpaceDE w:val="0"/>
      <w:autoSpaceDN w:val="0"/>
      <w:adjustRightInd w:val="0"/>
      <w:spacing w:after="360"/>
    </w:pPr>
    <w:rPr>
      <w:rFonts w:ascii="Times" w:hAnsi="Times" w:cs="Times"/>
      <w:i/>
      <w:iCs/>
      <w:sz w:val="24"/>
      <w:szCs w:val="24"/>
      <w:lang w:val="en-US" w:eastAsia="en-US"/>
    </w:rPr>
  </w:style>
  <w:style w:type="paragraph" w:customStyle="1" w:styleId="atitle-sub">
    <w:name w:val="atitle-sub"/>
    <w:pPr>
      <w:spacing w:after="120"/>
    </w:pPr>
    <w:rPr>
      <w:rFonts w:ascii="Arial" w:hAnsi="Arial"/>
      <w:b/>
      <w:sz w:val="24"/>
      <w:lang w:eastAsia="en-US"/>
    </w:rPr>
  </w:style>
  <w:style w:type="paragraph" w:customStyle="1" w:styleId="aNotetoclassorder">
    <w:name w:val="aNote to class order"/>
    <w:next w:val="abody"/>
    <w:pPr>
      <w:pageBreakBefore/>
      <w:spacing w:after="120"/>
    </w:pPr>
    <w:rPr>
      <w:rFonts w:ascii="Arial" w:hAnsi="Arial" w:cs="Arial"/>
      <w:b/>
      <w:bCs/>
      <w:color w:val="000000"/>
      <w:sz w:val="24"/>
      <w:szCs w:val="24"/>
      <w:lang w:eastAsia="en-US"/>
    </w:rPr>
  </w:style>
  <w:style w:type="paragraph" w:customStyle="1" w:styleId="aNote1">
    <w:name w:val="aNote 1"/>
    <w:next w:val="abody"/>
    <w:pPr>
      <w:spacing w:before="240" w:after="120"/>
    </w:pPr>
    <w:rPr>
      <w:rFonts w:ascii="Arial" w:hAnsi="Arial" w:cs="Arial"/>
      <w:b/>
      <w:bCs/>
      <w:sz w:val="18"/>
      <w:szCs w:val="16"/>
      <w:lang w:eastAsia="en-US"/>
    </w:rPr>
  </w:style>
  <w:style w:type="paragraph" w:customStyle="1" w:styleId="aTableof">
    <w:name w:val="aTable of"/>
    <w:basedOn w:val="aNotetoclassorder"/>
    <w:pPr>
      <w:pageBreakBefore w:val="0"/>
      <w:spacing w:before="360"/>
    </w:pPr>
    <w:rPr>
      <w:bCs w:val="0"/>
    </w:rPr>
  </w:style>
  <w:style w:type="paragraph" w:customStyle="1" w:styleId="atableheadings">
    <w:name w:val="atable headings"/>
    <w:pPr>
      <w:spacing w:before="60" w:after="60"/>
    </w:pPr>
    <w:rPr>
      <w:b/>
      <w:bCs/>
      <w:sz w:val="18"/>
      <w:szCs w:val="16"/>
      <w:lang w:eastAsia="en-US"/>
    </w:rPr>
  </w:style>
  <w:style w:type="paragraph" w:customStyle="1" w:styleId="atabletext">
    <w:name w:val="atable text"/>
    <w:pPr>
      <w:spacing w:before="60" w:after="60"/>
    </w:pPr>
    <w:rPr>
      <w:sz w:val="18"/>
      <w:lang w:eastAsia="en-US"/>
    </w:rPr>
  </w:style>
  <w:style w:type="paragraph" w:customStyle="1" w:styleId="aNotetext">
    <w:name w:val="aNote text"/>
    <w:basedOn w:val="ahist"/>
    <w:pPr>
      <w:spacing w:after="120"/>
    </w:pPr>
  </w:style>
  <w:style w:type="character" w:customStyle="1" w:styleId="FooterChar">
    <w:name w:val="Footer Char"/>
    <w:link w:val="Footer"/>
    <w:uiPriority w:val="99"/>
    <w:rsid w:val="00012D22"/>
    <w:rPr>
      <w:rFonts w:ascii="Arial" w:hAnsi="Arial"/>
      <w:b/>
      <w:noProof/>
      <w:sz w:val="24"/>
      <w:lang w:val="en-AU" w:eastAsia="en-US" w:bidi="ar-SA"/>
    </w:rPr>
  </w:style>
  <w:style w:type="paragraph" w:styleId="BalloonText">
    <w:name w:val="Balloon Text"/>
    <w:basedOn w:val="Normal"/>
    <w:link w:val="BalloonTextChar"/>
    <w:uiPriority w:val="99"/>
    <w:semiHidden/>
    <w:unhideWhenUsed/>
    <w:rsid w:val="00612844"/>
    <w:pPr>
      <w:spacing w:after="0"/>
    </w:pPr>
    <w:rPr>
      <w:rFonts w:ascii="Tahoma" w:hAnsi="Tahoma" w:cs="Tahoma"/>
      <w:sz w:val="16"/>
      <w:szCs w:val="16"/>
    </w:rPr>
  </w:style>
  <w:style w:type="character" w:customStyle="1" w:styleId="BalloonTextChar">
    <w:name w:val="Balloon Text Char"/>
    <w:link w:val="BalloonText"/>
    <w:uiPriority w:val="99"/>
    <w:semiHidden/>
    <w:rsid w:val="00612844"/>
    <w:rPr>
      <w:rFonts w:ascii="Tahoma" w:hAnsi="Tahoma" w:cs="Tahoma"/>
      <w:color w:val="000000"/>
      <w:sz w:val="16"/>
      <w:szCs w:val="16"/>
      <w:lang w:eastAsia="en-US"/>
    </w:rPr>
  </w:style>
  <w:style w:type="paragraph" w:customStyle="1" w:styleId="HeadF">
    <w:name w:val="HeadF"/>
    <w:basedOn w:val="HeadE"/>
    <w:rsid w:val="00AD4FDC"/>
    <w:pPr>
      <w:keepNext/>
      <w:widowControl/>
      <w:overflowPunct w:val="0"/>
      <w:spacing w:before="240" w:after="0"/>
      <w:textAlignment w:val="baseline"/>
    </w:pPr>
    <w:rPr>
      <w:rFonts w:ascii="Times New Roman" w:hAnsi="Times New Roman" w:cs="Times New Roman"/>
      <w:i/>
      <w:color w:val="000000"/>
      <w:sz w:val="24"/>
      <w:szCs w:val="20"/>
      <w:lang w:val="en-AU"/>
    </w:rPr>
  </w:style>
  <w:style w:type="character" w:customStyle="1" w:styleId="corporationsact2001cth">
    <w:name w:val="corporationsact2001cth"/>
    <w:rsid w:val="00AD4FDC"/>
  </w:style>
  <w:style w:type="character" w:customStyle="1" w:styleId="HeaderChar">
    <w:name w:val="Header Char"/>
    <w:link w:val="Header"/>
    <w:uiPriority w:val="99"/>
    <w:rsid w:val="00AD4FDC"/>
    <w:rPr>
      <w:rFonts w:ascii="Arial" w:hAnsi="Arial"/>
      <w:b/>
      <w:smallCaps/>
      <w:noProof/>
      <w:sz w:val="18"/>
      <w:lang w:eastAsia="en-US"/>
    </w:rPr>
  </w:style>
  <w:style w:type="paragraph" w:styleId="ListParagraph">
    <w:name w:val="List Paragraph"/>
    <w:basedOn w:val="Normal"/>
    <w:link w:val="ListParagraphChar"/>
    <w:uiPriority w:val="34"/>
    <w:qFormat/>
    <w:rsid w:val="00AD4FDC"/>
    <w:pPr>
      <w:spacing w:after="0"/>
      <w:ind w:left="720"/>
      <w:contextualSpacing/>
    </w:pPr>
  </w:style>
  <w:style w:type="character" w:styleId="CommentReference">
    <w:name w:val="annotation reference"/>
    <w:uiPriority w:val="99"/>
    <w:semiHidden/>
    <w:unhideWhenUsed/>
    <w:rsid w:val="00AD4FDC"/>
    <w:rPr>
      <w:sz w:val="16"/>
      <w:szCs w:val="16"/>
    </w:rPr>
  </w:style>
  <w:style w:type="character" w:customStyle="1" w:styleId="CommentTextChar">
    <w:name w:val="Comment Text Char"/>
    <w:uiPriority w:val="99"/>
    <w:rsid w:val="00AD4FDC"/>
    <w:rPr>
      <w:lang w:eastAsia="en-US"/>
    </w:rPr>
  </w:style>
  <w:style w:type="paragraph" w:styleId="CommentSubject">
    <w:name w:val="annotation subject"/>
    <w:basedOn w:val="CommentText"/>
    <w:next w:val="CommentText"/>
    <w:link w:val="CommentSubjectChar"/>
    <w:uiPriority w:val="99"/>
    <w:semiHidden/>
    <w:unhideWhenUsed/>
    <w:rsid w:val="00AD4FDC"/>
    <w:pPr>
      <w:spacing w:after="0"/>
    </w:pPr>
    <w:rPr>
      <w:b/>
      <w:bCs/>
    </w:rPr>
  </w:style>
  <w:style w:type="character" w:customStyle="1" w:styleId="CommentTextChar1">
    <w:name w:val="Comment Text Char1"/>
    <w:link w:val="CommentText"/>
    <w:uiPriority w:val="99"/>
    <w:rsid w:val="00AD4FDC"/>
    <w:rPr>
      <w:color w:val="000000"/>
      <w:lang w:eastAsia="en-US"/>
    </w:rPr>
  </w:style>
  <w:style w:type="character" w:customStyle="1" w:styleId="CommentSubjectChar">
    <w:name w:val="Comment Subject Char"/>
    <w:link w:val="CommentSubject"/>
    <w:uiPriority w:val="99"/>
    <w:semiHidden/>
    <w:rsid w:val="00AD4FDC"/>
    <w:rPr>
      <w:b/>
      <w:bCs/>
      <w:color w:val="000000"/>
      <w:lang w:eastAsia="en-US"/>
    </w:rPr>
  </w:style>
  <w:style w:type="paragraph" w:styleId="Revision">
    <w:name w:val="Revision"/>
    <w:hidden/>
    <w:uiPriority w:val="99"/>
    <w:semiHidden/>
    <w:rsid w:val="00AD4FDC"/>
    <w:rPr>
      <w:sz w:val="24"/>
      <w:lang w:eastAsia="en-US"/>
    </w:rPr>
  </w:style>
  <w:style w:type="paragraph" w:styleId="DocumentMap">
    <w:name w:val="Document Map"/>
    <w:basedOn w:val="Normal"/>
    <w:link w:val="DocumentMapChar"/>
    <w:uiPriority w:val="99"/>
    <w:semiHidden/>
    <w:unhideWhenUsed/>
    <w:rsid w:val="00AD4FDC"/>
    <w:pPr>
      <w:spacing w:after="0"/>
    </w:pPr>
    <w:rPr>
      <w:rFonts w:ascii="Tahoma" w:hAnsi="Tahoma" w:cs="Tahoma"/>
      <w:sz w:val="16"/>
      <w:szCs w:val="16"/>
    </w:rPr>
  </w:style>
  <w:style w:type="character" w:customStyle="1" w:styleId="DocumentMapChar">
    <w:name w:val="Document Map Char"/>
    <w:link w:val="DocumentMap"/>
    <w:uiPriority w:val="99"/>
    <w:semiHidden/>
    <w:rsid w:val="00AD4FDC"/>
    <w:rPr>
      <w:rFonts w:ascii="Tahoma" w:hAnsi="Tahoma" w:cs="Tahoma"/>
      <w:sz w:val="16"/>
      <w:szCs w:val="16"/>
      <w:lang w:eastAsia="en-US"/>
    </w:rPr>
  </w:style>
  <w:style w:type="paragraph" w:customStyle="1" w:styleId="Style2">
    <w:name w:val="Style2"/>
    <w:basedOn w:val="ListParagraph"/>
    <w:link w:val="Style2Char"/>
    <w:qFormat/>
    <w:rsid w:val="00AD4FDC"/>
    <w:pPr>
      <w:ind w:left="1701" w:hanging="567"/>
    </w:pPr>
    <w:rPr>
      <w:lang w:val="en-US"/>
    </w:rPr>
  </w:style>
  <w:style w:type="character" w:customStyle="1" w:styleId="Style1Char">
    <w:name w:val="Style1 Char"/>
    <w:link w:val="Style1"/>
    <w:rsid w:val="00AD4FDC"/>
    <w:rPr>
      <w:i/>
      <w:sz w:val="24"/>
      <w:lang w:val="en-US" w:eastAsia="en-US"/>
    </w:rPr>
  </w:style>
  <w:style w:type="paragraph" w:customStyle="1" w:styleId="Style3">
    <w:name w:val="Style3"/>
    <w:basedOn w:val="Normal"/>
    <w:link w:val="Style3Char"/>
    <w:qFormat/>
    <w:rsid w:val="00AD4FDC"/>
    <w:pPr>
      <w:spacing w:after="0"/>
      <w:ind w:left="2268" w:hanging="567"/>
    </w:pPr>
    <w:rPr>
      <w:lang w:val="en-US"/>
    </w:rPr>
  </w:style>
  <w:style w:type="character" w:customStyle="1" w:styleId="ListParagraphChar">
    <w:name w:val="List Paragraph Char"/>
    <w:link w:val="ListParagraph"/>
    <w:uiPriority w:val="34"/>
    <w:rsid w:val="00AD4FDC"/>
    <w:rPr>
      <w:sz w:val="24"/>
      <w:lang w:eastAsia="en-US"/>
    </w:rPr>
  </w:style>
  <w:style w:type="character" w:customStyle="1" w:styleId="Style2Char">
    <w:name w:val="Style2 Char"/>
    <w:link w:val="Style2"/>
    <w:rsid w:val="00AD4FDC"/>
    <w:rPr>
      <w:sz w:val="24"/>
      <w:lang w:val="en-US" w:eastAsia="en-US"/>
    </w:rPr>
  </w:style>
  <w:style w:type="paragraph" w:customStyle="1" w:styleId="Style4">
    <w:name w:val="Style4"/>
    <w:basedOn w:val="ListParagraph"/>
    <w:link w:val="Style4Char"/>
    <w:qFormat/>
    <w:rsid w:val="00AD4FDC"/>
    <w:pPr>
      <w:numPr>
        <w:numId w:val="27"/>
      </w:numPr>
      <w:ind w:left="2835" w:hanging="567"/>
    </w:pPr>
  </w:style>
  <w:style w:type="character" w:customStyle="1" w:styleId="Style3Char">
    <w:name w:val="Style3 Char"/>
    <w:link w:val="Style3"/>
    <w:rsid w:val="00AD4FDC"/>
    <w:rPr>
      <w:sz w:val="24"/>
      <w:lang w:val="en-US" w:eastAsia="en-US"/>
    </w:rPr>
  </w:style>
  <w:style w:type="character" w:customStyle="1" w:styleId="Style4Char">
    <w:name w:val="Style4 Char"/>
    <w:link w:val="Style4"/>
    <w:rsid w:val="00AD4FDC"/>
  </w:style>
  <w:style w:type="paragraph" w:customStyle="1" w:styleId="Style5">
    <w:name w:val="Style5"/>
    <w:basedOn w:val="Normal"/>
    <w:link w:val="Style5Char"/>
    <w:qFormat/>
    <w:rsid w:val="00AD4FDC"/>
    <w:pPr>
      <w:spacing w:after="0"/>
      <w:ind w:left="3402" w:hanging="567"/>
    </w:pPr>
  </w:style>
  <w:style w:type="character" w:customStyle="1" w:styleId="Style5Char">
    <w:name w:val="Style5 Char"/>
    <w:link w:val="Style5"/>
    <w:rsid w:val="00AD4FDC"/>
    <w:rPr>
      <w:sz w:val="24"/>
      <w:lang w:eastAsia="en-US"/>
    </w:rPr>
  </w:style>
  <w:style w:type="paragraph" w:customStyle="1" w:styleId="LI-BodyTextNumbered">
    <w:name w:val="LI - Body Text Numbered"/>
    <w:basedOn w:val="Normal"/>
    <w:link w:val="LI-BodyTextNumberedChar"/>
    <w:qFormat/>
    <w:rsid w:val="00740D5E"/>
    <w:pPr>
      <w:spacing w:before="240" w:after="0"/>
      <w:ind w:left="1134" w:hanging="567"/>
    </w:pPr>
    <w:rPr>
      <w:szCs w:val="24"/>
      <w:lang w:eastAsia="en-AU"/>
    </w:rPr>
  </w:style>
  <w:style w:type="character" w:customStyle="1" w:styleId="LI-BodyTextNumberedChar">
    <w:name w:val="LI - Body Text Numbered Char"/>
    <w:link w:val="LI-BodyTextNumbered"/>
    <w:rsid w:val="00740D5E"/>
    <w:rPr>
      <w:sz w:val="24"/>
      <w:szCs w:val="24"/>
    </w:rPr>
  </w:style>
  <w:style w:type="character" w:customStyle="1" w:styleId="LI-BodyTextParaaChar">
    <w:name w:val="LI - Body Text Para (a) Char"/>
    <w:link w:val="LI-BodyTextParaa"/>
    <w:locked/>
    <w:rsid w:val="00477A22"/>
    <w:rPr>
      <w:sz w:val="24"/>
      <w:szCs w:val="24"/>
    </w:rPr>
  </w:style>
  <w:style w:type="paragraph" w:customStyle="1" w:styleId="LI-BodyTextParaa">
    <w:name w:val="LI - Body Text Para (a)"/>
    <w:basedOn w:val="Normal"/>
    <w:link w:val="LI-BodyTextParaaChar"/>
    <w:rsid w:val="00477A22"/>
    <w:pPr>
      <w:spacing w:before="240" w:after="0"/>
      <w:ind w:left="1701" w:hanging="567"/>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0\template\RPB%20Forms\ASIC%20Policy%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4E00FEAE5848C748A3E264C28CE8DB68" ma:contentTypeVersion="27" ma:contentTypeDescription="" ma:contentTypeScope="" ma:versionID="c2a0f0bc75b1fa97c793bc4efa6c2477">
  <xsd:schema xmlns:xsd="http://www.w3.org/2001/XMLSchema" xmlns:xs="http://www.w3.org/2001/XMLSchema" xmlns:p="http://schemas.microsoft.com/office/2006/metadata/properties" xmlns:ns2="da7a9ac0-bc47-4684-84e6-3a8e9ac80c12" xmlns:ns3="d55e466c-e257-42b7-af3f-f584605a6fd4" xmlns:ns5="17f478ab-373e-4295-9ff0-9b833ad01319" xmlns:ns6="http://schemas.microsoft.com/sharepoint/v4" targetNamespace="http://schemas.microsoft.com/office/2006/metadata/properties" ma:root="true" ma:fieldsID="447c6ad0c35339299816515cb721609b" ns2:_="" ns3:_="" ns5:_="" ns6:_="">
    <xsd:import namespace="da7a9ac0-bc47-4684-84e6-3a8e9ac80c12"/>
    <xsd:import namespace="d55e466c-e257-42b7-af3f-f584605a6fd4"/>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mc5dcfca2dad40d78eb8b343c8184374"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e466c-e257-42b7-af3f-f584605a6fd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c357850-9c06-4cc3-86ac-129493cdbaef}" ma:internalName="TaxCatchAll" ma:showField="CatchAllData" ma:web="d55e466c-e257-42b7-af3f-f584605a6fd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c357850-9c06-4cc3-86ac-129493cdbaef}" ma:internalName="TaxCatchAllLabel" ma:readOnly="true" ma:showField="CatchAllDataLabel" ma:web="d55e466c-e257-42b7-af3f-f584605a6fd4">
      <xsd:complexType>
        <xsd:complexContent>
          <xsd:extension base="dms:MultiChoiceLookup">
            <xsd:sequence>
              <xsd:element name="Value" type="dms:Lookup" maxOccurs="unbounded" minOccurs="0" nillable="true"/>
            </xsd:sequence>
          </xsd:extension>
        </xsd:complexContent>
      </xsd:complexType>
    </xsd:element>
    <xsd:element name="mc5dcfca2dad40d78eb8b343c8184374" ma:index="17" ma:taxonomy="true" ma:internalName="mc5dcfca2dad40d78eb8b343c8184374" ma:taxonomyFieldName="SecurityClassification" ma:displayName="Security Classification" ma:default="-1;#OFFICIAL - Sensitive|6eccc17f-024b-41b0-b6b1-faf98d2aff85" ma:fieldId="{6c5dcfca-2dad-40d7-8eb8-b343c8184374}"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R20200000741969</RecordNumber>
    <ObjectiveID xmlns="da7a9ac0-bc47-4684-84e6-3a8e9ac80c12" xsi:nil="true"/>
    <IconOverlay xmlns="http://schemas.microsoft.com/sharepoint/v4" xsi:nil="true"/>
    <SignificantFlag xmlns="da7a9ac0-bc47-4684-84e6-3a8e9ac80c12">false</SignificantFlag>
    <mc5dcfca2dad40d78eb8b343c8184374 xmlns="d55e466c-e257-42b7-af3f-f584605a6fd4">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mc5dcfca2dad40d78eb8b343c8184374>
    <TaxCatchAll xmlns="d55e466c-e257-42b7-af3f-f584605a6fd4">
      <Value>7</Value>
    </TaxCatchAll>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Props1.xml><?xml version="1.0" encoding="utf-8"?>
<ds:datastoreItem xmlns:ds="http://schemas.openxmlformats.org/officeDocument/2006/customXml" ds:itemID="{89C8C912-F48B-4352-BB96-7E6777151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d55e466c-e257-42b7-af3f-f584605a6fd4"/>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8CE83-79F4-41F0-B635-9B9DC23542C9}">
  <ds:schemaRefs>
    <ds:schemaRef ds:uri="http://schemas.microsoft.com/office/2006/metadata/longProperties"/>
  </ds:schemaRefs>
</ds:datastoreItem>
</file>

<file path=customXml/itemProps3.xml><?xml version="1.0" encoding="utf-8"?>
<ds:datastoreItem xmlns:ds="http://schemas.openxmlformats.org/officeDocument/2006/customXml" ds:itemID="{F02133DE-D9CB-4DA9-9C48-21C4A33D1B02}">
  <ds:schemaRefs>
    <ds:schemaRef ds:uri="http://schemas.microsoft.com/sharepoint/v3/contenttype/forms"/>
  </ds:schemaRefs>
</ds:datastoreItem>
</file>

<file path=customXml/itemProps4.xml><?xml version="1.0" encoding="utf-8"?>
<ds:datastoreItem xmlns:ds="http://schemas.openxmlformats.org/officeDocument/2006/customXml" ds:itemID="{63CDEFA6-C6C2-4A9D-937C-5462A47F5478}">
  <ds:schemaRefs>
    <ds:schemaRef ds:uri="http://purl.org/dc/terms/"/>
    <ds:schemaRef ds:uri="d55e466c-e257-42b7-af3f-f584605a6fd4"/>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office/2006/documentManagement/types"/>
    <ds:schemaRef ds:uri="http://purl.org/dc/dcmitype/"/>
    <ds:schemaRef ds:uri="da7a9ac0-bc47-4684-84e6-3a8e9ac80c12"/>
    <ds:schemaRef ds:uri="17f478ab-373e-4295-9ff0-9b833ad0131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ASIC Policy Paper.dot</Template>
  <TotalTime>28</TotalTime>
  <Pages>25</Pages>
  <Words>9135</Words>
  <Characters>46084</Characters>
  <Application>Microsoft Office Word</Application>
  <DocSecurity>0</DocSecurity>
  <Lines>384</Lines>
  <Paragraphs>110</Paragraphs>
  <ScaleCrop>false</ScaleCrop>
  <HeadingPairs>
    <vt:vector size="2" baseType="variant">
      <vt:variant>
        <vt:lpstr>Title</vt:lpstr>
      </vt:variant>
      <vt:variant>
        <vt:i4>1</vt:i4>
      </vt:variant>
    </vt:vector>
  </HeadingPairs>
  <TitlesOfParts>
    <vt:vector size="1" baseType="lpstr">
      <vt:lpstr>ASIC Class Order [CO 99/1225]</vt:lpstr>
    </vt:vector>
  </TitlesOfParts>
  <Manager>ASIC</Manager>
  <Company>ASIC</Company>
  <LinksUpToDate>false</LinksUpToDate>
  <CharactersWithSpaces>55109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99/1225]</dc:title>
  <dc:subject/>
  <dc:creator>ASIC</dc:creator>
  <cp:keywords/>
  <cp:lastModifiedBy>Chris Flanagan</cp:lastModifiedBy>
  <cp:revision>4</cp:revision>
  <cp:lastPrinted>2005-04-07T01:48:00Z</cp:lastPrinted>
  <dcterms:created xsi:type="dcterms:W3CDTF">2020-12-17T01:06:00Z</dcterms:created>
  <dcterms:modified xsi:type="dcterms:W3CDTF">2020-12-17T01:44:00Z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-844407050</vt:i4>
  </property>
  <property fmtid="{D5CDD505-2E9C-101B-9397-08002B2CF9AE}" pid="3" name="_EmailSubject">
    <vt:lpwstr>1998 and 1999 class orders</vt:lpwstr>
  </property>
  <property fmtid="{D5CDD505-2E9C-101B-9397-08002B2CF9AE}" pid="4" name="_AuthorEmail">
    <vt:lpwstr>sykes@onthe.net.au</vt:lpwstr>
  </property>
  <property fmtid="{D5CDD505-2E9C-101B-9397-08002B2CF9AE}" pid="5" name="_AuthorEmailDisplayName">
    <vt:lpwstr>Fitzpatrick Sykes</vt:lpwstr>
  </property>
  <property fmtid="{D5CDD505-2E9C-101B-9397-08002B2CF9AE}" pid="6" name="Objective-Id">
    <vt:lpwstr>A4225915</vt:lpwstr>
  </property>
  <property fmtid="{D5CDD505-2E9C-101B-9397-08002B2CF9AE}" pid="7" name="Objective-Title">
    <vt:lpwstr>FRLI Amended Class Order template</vt:lpwstr>
  </property>
  <property fmtid="{D5CDD505-2E9C-101B-9397-08002B2CF9AE}" pid="8" name="Objective-Comment">
    <vt:lpwstr/>
  </property>
  <property fmtid="{D5CDD505-2E9C-101B-9397-08002B2CF9AE}" pid="9" name="Objective-CreationStamp">
    <vt:filetime>2014-07-02T03:57:46Z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2015-08-21T00:52:46Z</vt:filetime>
  </property>
  <property fmtid="{D5CDD505-2E9C-101B-9397-08002B2CF9AE}" pid="13" name="Objective-ModificationStamp">
    <vt:filetime>2015-08-21T00:52:48Z</vt:filetime>
  </property>
  <property fmtid="{D5CDD505-2E9C-101B-9397-08002B2CF9AE}" pid="14" name="Objective-Owner">
    <vt:lpwstr>Chris Flanagan</vt:lpwstr>
  </property>
  <property fmtid="{D5CDD505-2E9C-101B-9397-08002B2CF9AE}" pid="15" name="Objective-Path">
    <vt:lpwstr>BCS:ASIC:CORPORATE COMMUNICATION &amp; RELATIONS:Publications:ASIC Digest:Templates:</vt:lpwstr>
  </property>
  <property fmtid="{D5CDD505-2E9C-101B-9397-08002B2CF9AE}" pid="16" name="Objective-Parent">
    <vt:lpwstr>Templates</vt:lpwstr>
  </property>
  <property fmtid="{D5CDD505-2E9C-101B-9397-08002B2CF9AE}" pid="17" name="Objective-State">
    <vt:lpwstr>Published</vt:lpwstr>
  </property>
  <property fmtid="{D5CDD505-2E9C-101B-9397-08002B2CF9AE}" pid="18" name="Objective-Version">
    <vt:lpwstr>3.0</vt:lpwstr>
  </property>
  <property fmtid="{D5CDD505-2E9C-101B-9397-08002B2CF9AE}" pid="19" name="Objective-VersionNumber">
    <vt:i4>4</vt:i4>
  </property>
  <property fmtid="{D5CDD505-2E9C-101B-9397-08002B2CF9AE}" pid="20" name="Objective-VersionComment">
    <vt:lpwstr/>
  </property>
  <property fmtid="{D5CDD505-2E9C-101B-9397-08002B2CF9AE}" pid="21" name="Objective-FileNumber">
    <vt:lpwstr>2009 - 006183</vt:lpwstr>
  </property>
  <property fmtid="{D5CDD505-2E9C-101B-9397-08002B2CF9AE}" pid="22" name="Objective-Classification">
    <vt:lpwstr>[Inherited - IN-CONFIDENCE]</vt:lpwstr>
  </property>
  <property fmtid="{D5CDD505-2E9C-101B-9397-08002B2CF9AE}" pid="23" name="Objective-Caveats">
    <vt:lpwstr/>
  </property>
  <property fmtid="{D5CDD505-2E9C-101B-9397-08002B2CF9AE}" pid="24" name="Objective-Category [system]">
    <vt:lpwstr/>
  </property>
  <property fmtid="{D5CDD505-2E9C-101B-9397-08002B2CF9AE}" pid="25" name="_ReviewingToolsShownOnce">
    <vt:lpwstr/>
  </property>
  <property fmtid="{D5CDD505-2E9C-101B-9397-08002B2CF9AE}" pid="26" name="k274875fb6994245bc6e4e8c07243a23">
    <vt:lpwstr>Sensitive|19fd2cb8-3e97-4464-ae71-8c2c2095d028</vt:lpwstr>
  </property>
  <property fmtid="{D5CDD505-2E9C-101B-9397-08002B2CF9AE}" pid="27" name="RecordPoint_WorkflowType">
    <vt:lpwstr>ActiveSubmitStub</vt:lpwstr>
  </property>
  <property fmtid="{D5CDD505-2E9C-101B-9397-08002B2CF9AE}" pid="28" name="RecordPoint_ActiveItemSiteId">
    <vt:lpwstr>{a76b1441-a4b2-4523-a4ea-86530e62f87b}</vt:lpwstr>
  </property>
  <property fmtid="{D5CDD505-2E9C-101B-9397-08002B2CF9AE}" pid="29" name="RecordPoint_ActiveItemListId">
    <vt:lpwstr>{bd6d7009-6881-4d8b-9f28-e9df1cee7a07}</vt:lpwstr>
  </property>
  <property fmtid="{D5CDD505-2E9C-101B-9397-08002B2CF9AE}" pid="30" name="RecordPoint_ActiveItemUniqueId">
    <vt:lpwstr>{65c6eb2a-f70f-4a74-bbc8-b5fb6406cf25}</vt:lpwstr>
  </property>
  <property fmtid="{D5CDD505-2E9C-101B-9397-08002B2CF9AE}" pid="31" name="RecordPoint_ActiveItemWebId">
    <vt:lpwstr>{d55e466c-e257-42b7-af3f-f584605a6fd4}</vt:lpwstr>
  </property>
  <property fmtid="{D5CDD505-2E9C-101B-9397-08002B2CF9AE}" pid="32" name="SecurityClassification">
    <vt:lpwstr>7;#Sensitive|19fd2cb8-3e97-4464-ae71-8c2c2095d028</vt:lpwstr>
  </property>
  <property fmtid="{D5CDD505-2E9C-101B-9397-08002B2CF9AE}" pid="33" name="ContentTypeId">
    <vt:lpwstr>0x010100B5F685A1365F544391EF8C813B164F3A004E00FEAE5848C748A3E264C28CE8DB68</vt:lpwstr>
  </property>
  <property fmtid="{D5CDD505-2E9C-101B-9397-08002B2CF9AE}" pid="34" name="f947e1037e3e49619e55f8843e0f11fe">
    <vt:lpwstr>Sensitive|19fd2cb8-3e97-4464-ae71-8c2c2095d028</vt:lpwstr>
  </property>
  <property fmtid="{D5CDD505-2E9C-101B-9397-08002B2CF9AE}" pid="35" name="RecordPoint_SubmissionDate">
    <vt:lpwstr/>
  </property>
  <property fmtid="{D5CDD505-2E9C-101B-9397-08002B2CF9AE}" pid="36" name="RecordPoint_RecordFormat">
    <vt:lpwstr/>
  </property>
  <property fmtid="{D5CDD505-2E9C-101B-9397-08002B2CF9AE}" pid="37" name="RecordPoint_ActiveItemMoved">
    <vt:lpwstr/>
  </property>
  <property fmtid="{D5CDD505-2E9C-101B-9397-08002B2CF9AE}" pid="38" name="RecordPoint_SubmissionCompleted">
    <vt:lpwstr>2020-12-17T13:37:49.6078797+11:00</vt:lpwstr>
  </property>
  <property fmtid="{D5CDD505-2E9C-101B-9397-08002B2CF9AE}" pid="39" name="RecordPoint_RecordNumberSubmitted">
    <vt:lpwstr>R20200000741969</vt:lpwstr>
  </property>
</Properties>
</file>