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AF" w:rsidRPr="003F43B0" w:rsidRDefault="00C735AF" w:rsidP="00C735AF">
      <w:pPr>
        <w:rPr>
          <w:sz w:val="28"/>
        </w:rPr>
      </w:pPr>
      <w:r w:rsidRPr="003F43B0">
        <w:rPr>
          <w:noProof/>
          <w:lang w:eastAsia="en-AU"/>
        </w:rPr>
        <w:drawing>
          <wp:inline distT="0" distB="0" distL="0" distR="0" wp14:anchorId="74139E18" wp14:editId="2FA4E6B8">
            <wp:extent cx="1419225" cy="1104900"/>
            <wp:effectExtent l="0" t="0" r="9525" b="0"/>
            <wp:docPr id="24" name="Picture 2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735AF" w:rsidRPr="003F43B0" w:rsidRDefault="00C735AF" w:rsidP="00C735AF">
      <w:pPr>
        <w:rPr>
          <w:sz w:val="19"/>
        </w:rPr>
      </w:pPr>
    </w:p>
    <w:p w:rsidR="00C735AF" w:rsidRPr="003F43B0" w:rsidRDefault="00C735AF" w:rsidP="00C735AF">
      <w:pPr>
        <w:rPr>
          <w:sz w:val="19"/>
        </w:rPr>
      </w:pPr>
      <w:bookmarkStart w:id="0" w:name="ConfidenceBlock"/>
      <w:bookmarkEnd w:id="0"/>
    </w:p>
    <w:p w:rsidR="00C735AF" w:rsidRPr="003F43B0" w:rsidRDefault="00C735AF" w:rsidP="00C735AF">
      <w:pPr>
        <w:pStyle w:val="ShortT"/>
      </w:pPr>
      <w:r w:rsidRPr="003F43B0">
        <w:t xml:space="preserve">Product Stewardship (Televisions and Computers) Amendment </w:t>
      </w:r>
      <w:r w:rsidR="00F07830" w:rsidRPr="003F43B0">
        <w:t>(</w:t>
      </w:r>
      <w:r w:rsidR="0007473E" w:rsidRPr="003F43B0">
        <w:t xml:space="preserve">Single Product </w:t>
      </w:r>
      <w:r w:rsidR="00F07830" w:rsidRPr="003F43B0">
        <w:t xml:space="preserve">Class) </w:t>
      </w:r>
      <w:r w:rsidRPr="003F43B0">
        <w:t>Regulation</w:t>
      </w:r>
      <w:r w:rsidR="003F43B0" w:rsidRPr="003F43B0">
        <w:t> </w:t>
      </w:r>
      <w:r w:rsidRPr="003F43B0">
        <w:t>2013</w:t>
      </w:r>
    </w:p>
    <w:p w:rsidR="00C735AF" w:rsidRPr="003F43B0" w:rsidRDefault="00C735AF" w:rsidP="00C735AF"/>
    <w:p w:rsidR="00C735AF" w:rsidRPr="003F43B0" w:rsidRDefault="00C735AF" w:rsidP="00C735AF">
      <w:pPr>
        <w:pStyle w:val="InstNo"/>
      </w:pPr>
      <w:r w:rsidRPr="003F43B0">
        <w:t xml:space="preserve">Select Legislative Instrument </w:t>
      </w:r>
      <w:bookmarkStart w:id="1" w:name="BKCheck15B_1"/>
      <w:bookmarkEnd w:id="1"/>
      <w:r w:rsidR="00CD0270">
        <w:t>No. 148</w:t>
      </w:r>
      <w:bookmarkStart w:id="2" w:name="_GoBack"/>
      <w:bookmarkEnd w:id="2"/>
      <w:r w:rsidR="00DF6780">
        <w:t>, 2013</w:t>
      </w:r>
    </w:p>
    <w:p w:rsidR="003F43B0" w:rsidRPr="003F43B0" w:rsidRDefault="003F43B0" w:rsidP="001A0BEE">
      <w:pPr>
        <w:pStyle w:val="SignCoverPageStart"/>
        <w:spacing w:before="240"/>
      </w:pPr>
      <w:r w:rsidRPr="003F43B0">
        <w:t>I, Quentin Bryce AC CVO, Governor</w:t>
      </w:r>
      <w:r>
        <w:noBreakHyphen/>
      </w:r>
      <w:r w:rsidRPr="003F43B0">
        <w:t xml:space="preserve">General of the Commonwealth of Australia, acting with the advice of the Federal Executive Council, make the following regulation under the </w:t>
      </w:r>
      <w:r w:rsidRPr="003F43B0">
        <w:rPr>
          <w:i/>
        </w:rPr>
        <w:t>Product Stewardship Act 2011</w:t>
      </w:r>
      <w:r w:rsidRPr="003F43B0">
        <w:t>.</w:t>
      </w:r>
    </w:p>
    <w:p w:rsidR="003F43B0" w:rsidRPr="003F43B0" w:rsidRDefault="003F43B0" w:rsidP="001A0BEE">
      <w:pPr>
        <w:keepNext/>
        <w:spacing w:before="720" w:line="240" w:lineRule="atLeast"/>
        <w:ind w:right="397"/>
        <w:jc w:val="both"/>
        <w:rPr>
          <w:sz w:val="24"/>
          <w:szCs w:val="24"/>
        </w:rPr>
      </w:pPr>
      <w:r w:rsidRPr="003F43B0">
        <w:rPr>
          <w:sz w:val="24"/>
          <w:szCs w:val="24"/>
        </w:rPr>
        <w:t xml:space="preserve">Dated </w:t>
      </w:r>
      <w:r w:rsidRPr="003F43B0">
        <w:rPr>
          <w:sz w:val="24"/>
          <w:szCs w:val="24"/>
        </w:rPr>
        <w:fldChar w:fldCharType="begin"/>
      </w:r>
      <w:r w:rsidRPr="003F43B0">
        <w:rPr>
          <w:sz w:val="24"/>
          <w:szCs w:val="24"/>
        </w:rPr>
        <w:instrText xml:space="preserve"> DOCPROPERTY  DateMade </w:instrText>
      </w:r>
      <w:r w:rsidRPr="003F43B0">
        <w:rPr>
          <w:sz w:val="24"/>
          <w:szCs w:val="24"/>
        </w:rPr>
        <w:fldChar w:fldCharType="separate"/>
      </w:r>
      <w:r w:rsidR="00DF6780">
        <w:rPr>
          <w:sz w:val="24"/>
          <w:szCs w:val="24"/>
        </w:rPr>
        <w:t>28 June 2013</w:t>
      </w:r>
      <w:r w:rsidRPr="003F43B0">
        <w:rPr>
          <w:sz w:val="24"/>
          <w:szCs w:val="24"/>
        </w:rPr>
        <w:fldChar w:fldCharType="end"/>
      </w:r>
    </w:p>
    <w:p w:rsidR="003F43B0" w:rsidRPr="003F43B0" w:rsidRDefault="003F43B0" w:rsidP="001A0BEE">
      <w:pPr>
        <w:keepNext/>
        <w:tabs>
          <w:tab w:val="left" w:pos="3402"/>
        </w:tabs>
        <w:spacing w:before="960" w:line="300" w:lineRule="atLeast"/>
        <w:ind w:left="397" w:right="397"/>
        <w:jc w:val="right"/>
        <w:rPr>
          <w:sz w:val="24"/>
          <w:szCs w:val="24"/>
        </w:rPr>
      </w:pPr>
      <w:r w:rsidRPr="003F43B0">
        <w:t>Quentin Bryce</w:t>
      </w:r>
    </w:p>
    <w:p w:rsidR="003F43B0" w:rsidRPr="003F43B0" w:rsidRDefault="003F43B0" w:rsidP="001A0BEE">
      <w:pPr>
        <w:keepNext/>
        <w:tabs>
          <w:tab w:val="left" w:pos="3402"/>
        </w:tabs>
        <w:spacing w:line="300" w:lineRule="atLeast"/>
        <w:ind w:left="397" w:right="397"/>
        <w:jc w:val="right"/>
        <w:rPr>
          <w:sz w:val="24"/>
          <w:szCs w:val="24"/>
        </w:rPr>
      </w:pPr>
      <w:r w:rsidRPr="003F43B0">
        <w:rPr>
          <w:sz w:val="24"/>
          <w:szCs w:val="24"/>
        </w:rPr>
        <w:t>Governor</w:t>
      </w:r>
      <w:r>
        <w:rPr>
          <w:sz w:val="24"/>
          <w:szCs w:val="24"/>
        </w:rPr>
        <w:noBreakHyphen/>
      </w:r>
      <w:r w:rsidRPr="003F43B0">
        <w:rPr>
          <w:sz w:val="24"/>
          <w:szCs w:val="24"/>
        </w:rPr>
        <w:t>General</w:t>
      </w:r>
    </w:p>
    <w:p w:rsidR="003F43B0" w:rsidRPr="003F43B0" w:rsidRDefault="003F43B0" w:rsidP="001A0BEE">
      <w:pPr>
        <w:keepNext/>
        <w:tabs>
          <w:tab w:val="left" w:pos="3402"/>
        </w:tabs>
        <w:spacing w:after="800" w:line="300" w:lineRule="atLeast"/>
        <w:ind w:right="397"/>
        <w:rPr>
          <w:sz w:val="24"/>
          <w:szCs w:val="24"/>
        </w:rPr>
      </w:pPr>
      <w:r w:rsidRPr="003F43B0">
        <w:rPr>
          <w:sz w:val="24"/>
          <w:szCs w:val="24"/>
        </w:rPr>
        <w:t>By Her Excellency’s Command</w:t>
      </w:r>
    </w:p>
    <w:p w:rsidR="003F43B0" w:rsidRPr="003F43B0" w:rsidRDefault="003F43B0" w:rsidP="001A0BEE">
      <w:pPr>
        <w:keepNext/>
        <w:tabs>
          <w:tab w:val="left" w:pos="3402"/>
        </w:tabs>
        <w:spacing w:before="480" w:line="300" w:lineRule="atLeast"/>
        <w:ind w:right="397"/>
        <w:rPr>
          <w:szCs w:val="22"/>
        </w:rPr>
      </w:pPr>
      <w:r w:rsidRPr="003F43B0">
        <w:rPr>
          <w:szCs w:val="22"/>
        </w:rPr>
        <w:t xml:space="preserve">Amanda </w:t>
      </w:r>
      <w:proofErr w:type="spellStart"/>
      <w:r w:rsidRPr="003F43B0">
        <w:rPr>
          <w:szCs w:val="22"/>
        </w:rPr>
        <w:t>Rishworth</w:t>
      </w:r>
      <w:proofErr w:type="spellEnd"/>
    </w:p>
    <w:p w:rsidR="003F43B0" w:rsidRPr="003F43B0" w:rsidRDefault="003F43B0" w:rsidP="001A0BEE">
      <w:pPr>
        <w:pStyle w:val="SignCoverPageEnd"/>
      </w:pPr>
      <w:r w:rsidRPr="003F43B0">
        <w:t>Parliamentary Secretary for Sustainability and Urban Water</w:t>
      </w:r>
    </w:p>
    <w:p w:rsidR="003F43B0" w:rsidRPr="003F43B0" w:rsidRDefault="003F43B0">
      <w:pPr>
        <w:pStyle w:val="Tabletext"/>
      </w:pPr>
    </w:p>
    <w:p w:rsidR="003F43B0" w:rsidRPr="003F43B0" w:rsidRDefault="003F43B0" w:rsidP="003F43B0"/>
    <w:p w:rsidR="00C735AF" w:rsidRPr="003F43B0" w:rsidRDefault="00C735AF" w:rsidP="00C735AF">
      <w:pPr>
        <w:pStyle w:val="Header"/>
        <w:tabs>
          <w:tab w:val="clear" w:pos="4150"/>
          <w:tab w:val="clear" w:pos="8307"/>
        </w:tabs>
      </w:pPr>
      <w:r w:rsidRPr="003F43B0">
        <w:rPr>
          <w:rStyle w:val="CharAmSchNo"/>
        </w:rPr>
        <w:t xml:space="preserve"> </w:t>
      </w:r>
      <w:r w:rsidRPr="003F43B0">
        <w:rPr>
          <w:rStyle w:val="CharAmSchText"/>
        </w:rPr>
        <w:t xml:space="preserve"> </w:t>
      </w:r>
    </w:p>
    <w:p w:rsidR="00C735AF" w:rsidRPr="003F43B0" w:rsidRDefault="00C735AF" w:rsidP="00C735AF">
      <w:pPr>
        <w:pStyle w:val="Header"/>
        <w:tabs>
          <w:tab w:val="clear" w:pos="4150"/>
          <w:tab w:val="clear" w:pos="8307"/>
        </w:tabs>
      </w:pPr>
      <w:r w:rsidRPr="003F43B0">
        <w:rPr>
          <w:rStyle w:val="CharAmPartNo"/>
        </w:rPr>
        <w:t xml:space="preserve"> </w:t>
      </w:r>
      <w:r w:rsidRPr="003F43B0">
        <w:rPr>
          <w:rStyle w:val="CharAmPartText"/>
        </w:rPr>
        <w:t xml:space="preserve"> </w:t>
      </w:r>
    </w:p>
    <w:p w:rsidR="00C735AF" w:rsidRPr="003F43B0" w:rsidRDefault="00C735AF" w:rsidP="00C735AF">
      <w:pPr>
        <w:sectPr w:rsidR="00C735AF" w:rsidRPr="003F43B0" w:rsidSect="0065310B">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18" w:right="2410" w:bottom="4253" w:left="2410" w:header="720" w:footer="3546" w:gutter="0"/>
          <w:cols w:space="708"/>
          <w:titlePg/>
          <w:docGrid w:linePitch="360"/>
        </w:sectPr>
      </w:pPr>
    </w:p>
    <w:p w:rsidR="00C735AF" w:rsidRPr="003F43B0" w:rsidRDefault="00C735AF" w:rsidP="00C735AF">
      <w:pPr>
        <w:rPr>
          <w:sz w:val="36"/>
        </w:rPr>
      </w:pPr>
      <w:r w:rsidRPr="003F43B0">
        <w:rPr>
          <w:sz w:val="36"/>
        </w:rPr>
        <w:lastRenderedPageBreak/>
        <w:t>Contents</w:t>
      </w:r>
    </w:p>
    <w:bookmarkStart w:id="3" w:name="BKCheck15B_2"/>
    <w:bookmarkEnd w:id="3"/>
    <w:p w:rsidR="001F6CF8" w:rsidRPr="003F43B0" w:rsidRDefault="001F6CF8">
      <w:pPr>
        <w:pStyle w:val="TOC5"/>
        <w:rPr>
          <w:rFonts w:asciiTheme="minorHAnsi" w:eastAsiaTheme="minorEastAsia" w:hAnsiTheme="minorHAnsi" w:cstheme="minorBidi"/>
          <w:noProof/>
          <w:kern w:val="0"/>
          <w:sz w:val="22"/>
          <w:szCs w:val="22"/>
        </w:rPr>
      </w:pPr>
      <w:r w:rsidRPr="003F43B0">
        <w:fldChar w:fldCharType="begin"/>
      </w:r>
      <w:r w:rsidRPr="003F43B0">
        <w:instrText xml:space="preserve"> TOC \o "1-9" </w:instrText>
      </w:r>
      <w:r w:rsidRPr="003F43B0">
        <w:fldChar w:fldCharType="separate"/>
      </w:r>
      <w:r w:rsidRPr="003F43B0">
        <w:rPr>
          <w:noProof/>
        </w:rPr>
        <w:t>1</w:t>
      </w:r>
      <w:r w:rsidRPr="003F43B0">
        <w:rPr>
          <w:noProof/>
        </w:rPr>
        <w:tab/>
        <w:t>Name of regulation</w:t>
      </w:r>
      <w:r w:rsidRPr="003F43B0">
        <w:rPr>
          <w:noProof/>
        </w:rPr>
        <w:tab/>
      </w:r>
      <w:r w:rsidRPr="003F43B0">
        <w:rPr>
          <w:noProof/>
        </w:rPr>
        <w:fldChar w:fldCharType="begin"/>
      </w:r>
      <w:r w:rsidRPr="003F43B0">
        <w:rPr>
          <w:noProof/>
        </w:rPr>
        <w:instrText xml:space="preserve"> PAGEREF _Toc358878526 \h </w:instrText>
      </w:r>
      <w:r w:rsidRPr="003F43B0">
        <w:rPr>
          <w:noProof/>
        </w:rPr>
      </w:r>
      <w:r w:rsidRPr="003F43B0">
        <w:rPr>
          <w:noProof/>
        </w:rPr>
        <w:fldChar w:fldCharType="separate"/>
      </w:r>
      <w:r w:rsidR="00DF6780">
        <w:rPr>
          <w:noProof/>
        </w:rPr>
        <w:t>1</w:t>
      </w:r>
      <w:r w:rsidRPr="003F43B0">
        <w:rPr>
          <w:noProof/>
        </w:rPr>
        <w:fldChar w:fldCharType="end"/>
      </w:r>
    </w:p>
    <w:p w:rsidR="001F6CF8" w:rsidRPr="003F43B0" w:rsidRDefault="001F6CF8">
      <w:pPr>
        <w:pStyle w:val="TOC5"/>
        <w:rPr>
          <w:rFonts w:asciiTheme="minorHAnsi" w:eastAsiaTheme="minorEastAsia" w:hAnsiTheme="minorHAnsi" w:cstheme="minorBidi"/>
          <w:noProof/>
          <w:kern w:val="0"/>
          <w:sz w:val="22"/>
          <w:szCs w:val="22"/>
        </w:rPr>
      </w:pPr>
      <w:r w:rsidRPr="003F43B0">
        <w:rPr>
          <w:noProof/>
        </w:rPr>
        <w:t>2</w:t>
      </w:r>
      <w:r w:rsidRPr="003F43B0">
        <w:rPr>
          <w:noProof/>
        </w:rPr>
        <w:tab/>
        <w:t>Commencement</w:t>
      </w:r>
      <w:r w:rsidRPr="003F43B0">
        <w:rPr>
          <w:noProof/>
        </w:rPr>
        <w:tab/>
      </w:r>
      <w:r w:rsidRPr="003F43B0">
        <w:rPr>
          <w:noProof/>
        </w:rPr>
        <w:fldChar w:fldCharType="begin"/>
      </w:r>
      <w:r w:rsidRPr="003F43B0">
        <w:rPr>
          <w:noProof/>
        </w:rPr>
        <w:instrText xml:space="preserve"> PAGEREF _Toc358878527 \h </w:instrText>
      </w:r>
      <w:r w:rsidRPr="003F43B0">
        <w:rPr>
          <w:noProof/>
        </w:rPr>
      </w:r>
      <w:r w:rsidRPr="003F43B0">
        <w:rPr>
          <w:noProof/>
        </w:rPr>
        <w:fldChar w:fldCharType="separate"/>
      </w:r>
      <w:r w:rsidR="00DF6780">
        <w:rPr>
          <w:noProof/>
        </w:rPr>
        <w:t>1</w:t>
      </w:r>
      <w:r w:rsidRPr="003F43B0">
        <w:rPr>
          <w:noProof/>
        </w:rPr>
        <w:fldChar w:fldCharType="end"/>
      </w:r>
    </w:p>
    <w:p w:rsidR="001F6CF8" w:rsidRPr="003F43B0" w:rsidRDefault="001F6CF8">
      <w:pPr>
        <w:pStyle w:val="TOC5"/>
        <w:rPr>
          <w:rFonts w:asciiTheme="minorHAnsi" w:eastAsiaTheme="minorEastAsia" w:hAnsiTheme="minorHAnsi" w:cstheme="minorBidi"/>
          <w:noProof/>
          <w:kern w:val="0"/>
          <w:sz w:val="22"/>
          <w:szCs w:val="22"/>
        </w:rPr>
      </w:pPr>
      <w:r w:rsidRPr="003F43B0">
        <w:rPr>
          <w:noProof/>
        </w:rPr>
        <w:t>3</w:t>
      </w:r>
      <w:r w:rsidRPr="003F43B0">
        <w:rPr>
          <w:noProof/>
        </w:rPr>
        <w:tab/>
        <w:t>Authority</w:t>
      </w:r>
      <w:r w:rsidRPr="003F43B0">
        <w:rPr>
          <w:noProof/>
        </w:rPr>
        <w:tab/>
      </w:r>
      <w:r w:rsidRPr="003F43B0">
        <w:rPr>
          <w:noProof/>
        </w:rPr>
        <w:fldChar w:fldCharType="begin"/>
      </w:r>
      <w:r w:rsidRPr="003F43B0">
        <w:rPr>
          <w:noProof/>
        </w:rPr>
        <w:instrText xml:space="preserve"> PAGEREF _Toc358878528 \h </w:instrText>
      </w:r>
      <w:r w:rsidRPr="003F43B0">
        <w:rPr>
          <w:noProof/>
        </w:rPr>
      </w:r>
      <w:r w:rsidRPr="003F43B0">
        <w:rPr>
          <w:noProof/>
        </w:rPr>
        <w:fldChar w:fldCharType="separate"/>
      </w:r>
      <w:r w:rsidR="00DF6780">
        <w:rPr>
          <w:noProof/>
        </w:rPr>
        <w:t>1</w:t>
      </w:r>
      <w:r w:rsidRPr="003F43B0">
        <w:rPr>
          <w:noProof/>
        </w:rPr>
        <w:fldChar w:fldCharType="end"/>
      </w:r>
    </w:p>
    <w:p w:rsidR="001F6CF8" w:rsidRPr="003F43B0" w:rsidRDefault="001F6CF8">
      <w:pPr>
        <w:pStyle w:val="TOC5"/>
        <w:rPr>
          <w:rFonts w:asciiTheme="minorHAnsi" w:eastAsiaTheme="minorEastAsia" w:hAnsiTheme="minorHAnsi" w:cstheme="minorBidi"/>
          <w:noProof/>
          <w:kern w:val="0"/>
          <w:sz w:val="22"/>
          <w:szCs w:val="22"/>
        </w:rPr>
      </w:pPr>
      <w:r w:rsidRPr="003F43B0">
        <w:rPr>
          <w:noProof/>
        </w:rPr>
        <w:t>4</w:t>
      </w:r>
      <w:r w:rsidRPr="003F43B0">
        <w:rPr>
          <w:noProof/>
        </w:rPr>
        <w:tab/>
        <w:t>Schedule(s)</w:t>
      </w:r>
      <w:r w:rsidRPr="003F43B0">
        <w:rPr>
          <w:noProof/>
        </w:rPr>
        <w:tab/>
      </w:r>
      <w:r w:rsidRPr="003F43B0">
        <w:rPr>
          <w:noProof/>
        </w:rPr>
        <w:fldChar w:fldCharType="begin"/>
      </w:r>
      <w:r w:rsidRPr="003F43B0">
        <w:rPr>
          <w:noProof/>
        </w:rPr>
        <w:instrText xml:space="preserve"> PAGEREF _Toc358878529 \h </w:instrText>
      </w:r>
      <w:r w:rsidRPr="003F43B0">
        <w:rPr>
          <w:noProof/>
        </w:rPr>
      </w:r>
      <w:r w:rsidRPr="003F43B0">
        <w:rPr>
          <w:noProof/>
        </w:rPr>
        <w:fldChar w:fldCharType="separate"/>
      </w:r>
      <w:r w:rsidR="00DF6780">
        <w:rPr>
          <w:noProof/>
        </w:rPr>
        <w:t>1</w:t>
      </w:r>
      <w:r w:rsidRPr="003F43B0">
        <w:rPr>
          <w:noProof/>
        </w:rPr>
        <w:fldChar w:fldCharType="end"/>
      </w:r>
    </w:p>
    <w:p w:rsidR="001F6CF8" w:rsidRPr="003F43B0" w:rsidRDefault="001F6CF8">
      <w:pPr>
        <w:pStyle w:val="TOC6"/>
        <w:rPr>
          <w:rFonts w:asciiTheme="minorHAnsi" w:eastAsiaTheme="minorEastAsia" w:hAnsiTheme="minorHAnsi" w:cstheme="minorBidi"/>
          <w:b w:val="0"/>
          <w:noProof/>
          <w:kern w:val="0"/>
          <w:sz w:val="22"/>
          <w:szCs w:val="22"/>
        </w:rPr>
      </w:pPr>
      <w:r w:rsidRPr="003F43B0">
        <w:rPr>
          <w:noProof/>
        </w:rPr>
        <w:t>Schedule</w:t>
      </w:r>
      <w:r w:rsidR="003F43B0" w:rsidRPr="003F43B0">
        <w:rPr>
          <w:noProof/>
        </w:rPr>
        <w:t> </w:t>
      </w:r>
      <w:r w:rsidRPr="003F43B0">
        <w:rPr>
          <w:noProof/>
        </w:rPr>
        <w:t>1</w:t>
      </w:r>
      <w:r w:rsidRPr="003F43B0">
        <w:rPr>
          <w:rFonts w:cs="Arial"/>
          <w:noProof/>
        </w:rPr>
        <w:t>—</w:t>
      </w:r>
      <w:r w:rsidRPr="003F43B0">
        <w:rPr>
          <w:noProof/>
        </w:rPr>
        <w:t>Amendments commencing day after registration</w:t>
      </w:r>
      <w:r w:rsidRPr="003F43B0">
        <w:rPr>
          <w:b w:val="0"/>
          <w:noProof/>
          <w:sz w:val="18"/>
        </w:rPr>
        <w:tab/>
      </w:r>
      <w:r w:rsidRPr="003F43B0">
        <w:rPr>
          <w:b w:val="0"/>
          <w:noProof/>
          <w:sz w:val="18"/>
        </w:rPr>
        <w:fldChar w:fldCharType="begin"/>
      </w:r>
      <w:r w:rsidRPr="003F43B0">
        <w:rPr>
          <w:b w:val="0"/>
          <w:noProof/>
          <w:sz w:val="18"/>
        </w:rPr>
        <w:instrText xml:space="preserve"> PAGEREF _Toc358878530 \h </w:instrText>
      </w:r>
      <w:r w:rsidRPr="003F43B0">
        <w:rPr>
          <w:b w:val="0"/>
          <w:noProof/>
          <w:sz w:val="18"/>
        </w:rPr>
      </w:r>
      <w:r w:rsidRPr="003F43B0">
        <w:rPr>
          <w:b w:val="0"/>
          <w:noProof/>
          <w:sz w:val="18"/>
        </w:rPr>
        <w:fldChar w:fldCharType="separate"/>
      </w:r>
      <w:r w:rsidR="00DF6780">
        <w:rPr>
          <w:b w:val="0"/>
          <w:noProof/>
          <w:sz w:val="18"/>
        </w:rPr>
        <w:t>2</w:t>
      </w:r>
      <w:r w:rsidRPr="003F43B0">
        <w:rPr>
          <w:b w:val="0"/>
          <w:noProof/>
          <w:sz w:val="18"/>
        </w:rPr>
        <w:fldChar w:fldCharType="end"/>
      </w:r>
    </w:p>
    <w:p w:rsidR="001F6CF8" w:rsidRPr="003F43B0" w:rsidRDefault="001F6CF8">
      <w:pPr>
        <w:pStyle w:val="TOC9"/>
        <w:rPr>
          <w:rFonts w:asciiTheme="minorHAnsi" w:eastAsiaTheme="minorEastAsia" w:hAnsiTheme="minorHAnsi" w:cstheme="minorBidi"/>
          <w:i w:val="0"/>
          <w:noProof/>
          <w:kern w:val="0"/>
          <w:sz w:val="22"/>
          <w:szCs w:val="22"/>
        </w:rPr>
      </w:pPr>
      <w:r w:rsidRPr="003F43B0">
        <w:rPr>
          <w:noProof/>
        </w:rPr>
        <w:t>Product Stewardship (Televisions and Computers) Regulations</w:t>
      </w:r>
      <w:r w:rsidR="003F43B0" w:rsidRPr="003F43B0">
        <w:rPr>
          <w:noProof/>
        </w:rPr>
        <w:t> </w:t>
      </w:r>
      <w:r w:rsidRPr="003F43B0">
        <w:rPr>
          <w:noProof/>
        </w:rPr>
        <w:t>2011</w:t>
      </w:r>
      <w:r w:rsidRPr="003F43B0">
        <w:rPr>
          <w:i w:val="0"/>
          <w:noProof/>
          <w:sz w:val="18"/>
        </w:rPr>
        <w:tab/>
      </w:r>
      <w:r w:rsidRPr="003F43B0">
        <w:rPr>
          <w:i w:val="0"/>
          <w:noProof/>
          <w:sz w:val="18"/>
        </w:rPr>
        <w:fldChar w:fldCharType="begin"/>
      </w:r>
      <w:r w:rsidRPr="003F43B0">
        <w:rPr>
          <w:i w:val="0"/>
          <w:noProof/>
          <w:sz w:val="18"/>
        </w:rPr>
        <w:instrText xml:space="preserve"> PAGEREF _Toc358878531 \h </w:instrText>
      </w:r>
      <w:r w:rsidRPr="003F43B0">
        <w:rPr>
          <w:i w:val="0"/>
          <w:noProof/>
          <w:sz w:val="18"/>
        </w:rPr>
      </w:r>
      <w:r w:rsidRPr="003F43B0">
        <w:rPr>
          <w:i w:val="0"/>
          <w:noProof/>
          <w:sz w:val="18"/>
        </w:rPr>
        <w:fldChar w:fldCharType="separate"/>
      </w:r>
      <w:r w:rsidR="00DF6780">
        <w:rPr>
          <w:i w:val="0"/>
          <w:noProof/>
          <w:sz w:val="18"/>
        </w:rPr>
        <w:t>2</w:t>
      </w:r>
      <w:r w:rsidRPr="003F43B0">
        <w:rPr>
          <w:i w:val="0"/>
          <w:noProof/>
          <w:sz w:val="18"/>
        </w:rPr>
        <w:fldChar w:fldCharType="end"/>
      </w:r>
    </w:p>
    <w:p w:rsidR="001F6CF8" w:rsidRPr="003F43B0" w:rsidRDefault="001F6CF8">
      <w:pPr>
        <w:pStyle w:val="TOC6"/>
        <w:rPr>
          <w:rFonts w:asciiTheme="minorHAnsi" w:eastAsiaTheme="minorEastAsia" w:hAnsiTheme="minorHAnsi" w:cstheme="minorBidi"/>
          <w:b w:val="0"/>
          <w:noProof/>
          <w:kern w:val="0"/>
          <w:sz w:val="22"/>
          <w:szCs w:val="22"/>
        </w:rPr>
      </w:pPr>
      <w:r w:rsidRPr="003F43B0">
        <w:rPr>
          <w:noProof/>
        </w:rPr>
        <w:t>Schedule</w:t>
      </w:r>
      <w:r w:rsidR="003F43B0" w:rsidRPr="003F43B0">
        <w:rPr>
          <w:noProof/>
        </w:rPr>
        <w:t> </w:t>
      </w:r>
      <w:r w:rsidRPr="003F43B0">
        <w:rPr>
          <w:noProof/>
        </w:rPr>
        <w:t>2</w:t>
      </w:r>
      <w:r w:rsidRPr="003F43B0">
        <w:rPr>
          <w:rFonts w:cs="Arial"/>
          <w:noProof/>
        </w:rPr>
        <w:t>—</w:t>
      </w:r>
      <w:r w:rsidRPr="003F43B0">
        <w:rPr>
          <w:noProof/>
        </w:rPr>
        <w:t>Amendments commencing 1</w:t>
      </w:r>
      <w:r w:rsidR="003F43B0" w:rsidRPr="003F43B0">
        <w:rPr>
          <w:noProof/>
        </w:rPr>
        <w:t> </w:t>
      </w:r>
      <w:r w:rsidRPr="003F43B0">
        <w:rPr>
          <w:noProof/>
        </w:rPr>
        <w:t>July 2013</w:t>
      </w:r>
      <w:r w:rsidRPr="003F43B0">
        <w:rPr>
          <w:b w:val="0"/>
          <w:noProof/>
          <w:sz w:val="18"/>
        </w:rPr>
        <w:tab/>
      </w:r>
      <w:r w:rsidRPr="003F43B0">
        <w:rPr>
          <w:b w:val="0"/>
          <w:noProof/>
          <w:sz w:val="18"/>
        </w:rPr>
        <w:fldChar w:fldCharType="begin"/>
      </w:r>
      <w:r w:rsidRPr="003F43B0">
        <w:rPr>
          <w:b w:val="0"/>
          <w:noProof/>
          <w:sz w:val="18"/>
        </w:rPr>
        <w:instrText xml:space="preserve"> PAGEREF _Toc358878534 \h </w:instrText>
      </w:r>
      <w:r w:rsidRPr="003F43B0">
        <w:rPr>
          <w:b w:val="0"/>
          <w:noProof/>
          <w:sz w:val="18"/>
        </w:rPr>
      </w:r>
      <w:r w:rsidRPr="003F43B0">
        <w:rPr>
          <w:b w:val="0"/>
          <w:noProof/>
          <w:sz w:val="18"/>
        </w:rPr>
        <w:fldChar w:fldCharType="separate"/>
      </w:r>
      <w:r w:rsidR="00DF6780">
        <w:rPr>
          <w:b w:val="0"/>
          <w:noProof/>
          <w:sz w:val="18"/>
        </w:rPr>
        <w:t>6</w:t>
      </w:r>
      <w:r w:rsidRPr="003F43B0">
        <w:rPr>
          <w:b w:val="0"/>
          <w:noProof/>
          <w:sz w:val="18"/>
        </w:rPr>
        <w:fldChar w:fldCharType="end"/>
      </w:r>
    </w:p>
    <w:p w:rsidR="001F6CF8" w:rsidRPr="003F43B0" w:rsidRDefault="001F6CF8">
      <w:pPr>
        <w:pStyle w:val="TOC9"/>
        <w:rPr>
          <w:rFonts w:asciiTheme="minorHAnsi" w:eastAsiaTheme="minorEastAsia" w:hAnsiTheme="minorHAnsi" w:cstheme="minorBidi"/>
          <w:i w:val="0"/>
          <w:noProof/>
          <w:kern w:val="0"/>
          <w:sz w:val="22"/>
          <w:szCs w:val="22"/>
        </w:rPr>
      </w:pPr>
      <w:r w:rsidRPr="003F43B0">
        <w:rPr>
          <w:noProof/>
        </w:rPr>
        <w:t>Product Stewardship (Televisions and Computers) Regulations</w:t>
      </w:r>
      <w:r w:rsidR="003F43B0" w:rsidRPr="003F43B0">
        <w:rPr>
          <w:noProof/>
        </w:rPr>
        <w:t> </w:t>
      </w:r>
      <w:r w:rsidRPr="003F43B0">
        <w:rPr>
          <w:noProof/>
        </w:rPr>
        <w:t>2011</w:t>
      </w:r>
      <w:r w:rsidRPr="003F43B0">
        <w:rPr>
          <w:i w:val="0"/>
          <w:noProof/>
          <w:sz w:val="18"/>
        </w:rPr>
        <w:tab/>
      </w:r>
      <w:r w:rsidRPr="003F43B0">
        <w:rPr>
          <w:i w:val="0"/>
          <w:noProof/>
          <w:sz w:val="18"/>
        </w:rPr>
        <w:fldChar w:fldCharType="begin"/>
      </w:r>
      <w:r w:rsidRPr="003F43B0">
        <w:rPr>
          <w:i w:val="0"/>
          <w:noProof/>
          <w:sz w:val="18"/>
        </w:rPr>
        <w:instrText xml:space="preserve"> PAGEREF _Toc358878535 \h </w:instrText>
      </w:r>
      <w:r w:rsidRPr="003F43B0">
        <w:rPr>
          <w:i w:val="0"/>
          <w:noProof/>
          <w:sz w:val="18"/>
        </w:rPr>
      </w:r>
      <w:r w:rsidRPr="003F43B0">
        <w:rPr>
          <w:i w:val="0"/>
          <w:noProof/>
          <w:sz w:val="18"/>
        </w:rPr>
        <w:fldChar w:fldCharType="separate"/>
      </w:r>
      <w:r w:rsidR="00DF6780">
        <w:rPr>
          <w:i w:val="0"/>
          <w:noProof/>
          <w:sz w:val="18"/>
        </w:rPr>
        <w:t>6</w:t>
      </w:r>
      <w:r w:rsidRPr="003F43B0">
        <w:rPr>
          <w:i w:val="0"/>
          <w:noProof/>
          <w:sz w:val="18"/>
        </w:rPr>
        <w:fldChar w:fldCharType="end"/>
      </w:r>
    </w:p>
    <w:p w:rsidR="00C735AF" w:rsidRPr="003F43B0" w:rsidRDefault="001F6CF8" w:rsidP="00C735AF">
      <w:r w:rsidRPr="003F43B0">
        <w:fldChar w:fldCharType="end"/>
      </w:r>
    </w:p>
    <w:p w:rsidR="00C735AF" w:rsidRPr="003F43B0" w:rsidRDefault="00C735AF" w:rsidP="00C735AF">
      <w:pPr>
        <w:sectPr w:rsidR="00C735AF" w:rsidRPr="003F43B0" w:rsidSect="0065310B">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C735AF" w:rsidRPr="003F43B0" w:rsidRDefault="00C735AF" w:rsidP="00C735AF">
      <w:pPr>
        <w:pStyle w:val="ActHead5"/>
      </w:pPr>
      <w:bookmarkStart w:id="4" w:name="_Toc358878526"/>
      <w:r w:rsidRPr="003F43B0">
        <w:rPr>
          <w:rStyle w:val="CharSectno"/>
        </w:rPr>
        <w:lastRenderedPageBreak/>
        <w:t>1</w:t>
      </w:r>
      <w:r w:rsidRPr="003F43B0">
        <w:t xml:space="preserve">  Name of regulation</w:t>
      </w:r>
      <w:bookmarkEnd w:id="4"/>
    </w:p>
    <w:p w:rsidR="00C735AF" w:rsidRPr="003F43B0" w:rsidRDefault="00C735AF" w:rsidP="00C735AF">
      <w:pPr>
        <w:pStyle w:val="subsection"/>
      </w:pPr>
      <w:r w:rsidRPr="003F43B0">
        <w:tab/>
      </w:r>
      <w:r w:rsidRPr="003F43B0">
        <w:tab/>
        <w:t xml:space="preserve">This regulation is the </w:t>
      </w:r>
      <w:r w:rsidRPr="003F43B0">
        <w:rPr>
          <w:i/>
        </w:rPr>
        <w:t xml:space="preserve">Product Stewardship (Televisions and Computers) Amendment </w:t>
      </w:r>
      <w:r w:rsidR="00CA27C8" w:rsidRPr="003F43B0">
        <w:rPr>
          <w:i/>
        </w:rPr>
        <w:t>(</w:t>
      </w:r>
      <w:r w:rsidR="0007473E" w:rsidRPr="003F43B0">
        <w:rPr>
          <w:i/>
        </w:rPr>
        <w:t xml:space="preserve">Single Product </w:t>
      </w:r>
      <w:r w:rsidR="00CA27C8" w:rsidRPr="003F43B0">
        <w:rPr>
          <w:i/>
        </w:rPr>
        <w:t xml:space="preserve">Class) </w:t>
      </w:r>
      <w:r w:rsidRPr="003F43B0">
        <w:rPr>
          <w:i/>
        </w:rPr>
        <w:t>Regulation</w:t>
      </w:r>
      <w:r w:rsidR="003F43B0" w:rsidRPr="003F43B0">
        <w:rPr>
          <w:i/>
        </w:rPr>
        <w:t> </w:t>
      </w:r>
      <w:r w:rsidR="00CA27C8" w:rsidRPr="003F43B0">
        <w:rPr>
          <w:i/>
        </w:rPr>
        <w:t>2013</w:t>
      </w:r>
      <w:r w:rsidRPr="003F43B0">
        <w:t>.</w:t>
      </w:r>
    </w:p>
    <w:p w:rsidR="00C735AF" w:rsidRPr="003F43B0" w:rsidRDefault="00C735AF" w:rsidP="00C735AF">
      <w:pPr>
        <w:pStyle w:val="ActHead5"/>
      </w:pPr>
      <w:bookmarkStart w:id="5" w:name="_Toc358878527"/>
      <w:r w:rsidRPr="003F43B0">
        <w:rPr>
          <w:rStyle w:val="CharSectno"/>
        </w:rPr>
        <w:t>2</w:t>
      </w:r>
      <w:r w:rsidRPr="003F43B0">
        <w:t xml:space="preserve">  Commencement</w:t>
      </w:r>
      <w:bookmarkEnd w:id="5"/>
    </w:p>
    <w:p w:rsidR="00C735AF" w:rsidRPr="003F43B0" w:rsidRDefault="00C735AF" w:rsidP="00C735AF">
      <w:pPr>
        <w:pStyle w:val="subsection"/>
      </w:pPr>
      <w:r w:rsidRPr="003F43B0">
        <w:tab/>
      </w:r>
      <w:r w:rsidRPr="003F43B0">
        <w:tab/>
        <w:t>Each provision of this regulation specified in column 1 of the table commences, or is taken to have commenced, in accordance with column 2 of the table. Any other statement in column 2 has effect according to its terms.</w:t>
      </w:r>
    </w:p>
    <w:p w:rsidR="00C735AF" w:rsidRPr="003F43B0" w:rsidRDefault="00C735AF" w:rsidP="00C735AF">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DB529A" w:rsidRPr="003F43B0" w:rsidTr="003B6178">
        <w:trPr>
          <w:cantSplit/>
          <w:tblHeader/>
        </w:trPr>
        <w:tc>
          <w:tcPr>
            <w:tcW w:w="7111" w:type="dxa"/>
            <w:gridSpan w:val="3"/>
            <w:tcBorders>
              <w:top w:val="single" w:sz="12" w:space="0" w:color="auto"/>
              <w:left w:val="nil"/>
              <w:bottom w:val="single" w:sz="6" w:space="0" w:color="auto"/>
              <w:right w:val="nil"/>
            </w:tcBorders>
            <w:hideMark/>
          </w:tcPr>
          <w:p w:rsidR="00C735AF" w:rsidRPr="003F43B0" w:rsidRDefault="00C735AF" w:rsidP="003B6178">
            <w:pPr>
              <w:pStyle w:val="Tabletext"/>
              <w:keepNext/>
              <w:rPr>
                <w:b/>
              </w:rPr>
            </w:pPr>
            <w:r w:rsidRPr="003F43B0">
              <w:rPr>
                <w:b/>
              </w:rPr>
              <w:t>Commencement information</w:t>
            </w:r>
          </w:p>
        </w:tc>
      </w:tr>
      <w:tr w:rsidR="00DB529A" w:rsidRPr="003F43B0" w:rsidTr="003B6178">
        <w:trPr>
          <w:cantSplit/>
          <w:tblHeader/>
        </w:trPr>
        <w:tc>
          <w:tcPr>
            <w:tcW w:w="1701" w:type="dxa"/>
            <w:tcBorders>
              <w:top w:val="single" w:sz="6" w:space="0" w:color="auto"/>
              <w:left w:val="nil"/>
              <w:bottom w:val="single" w:sz="6" w:space="0" w:color="auto"/>
              <w:right w:val="nil"/>
            </w:tcBorders>
            <w:hideMark/>
          </w:tcPr>
          <w:p w:rsidR="00C735AF" w:rsidRPr="003F43B0" w:rsidRDefault="00C735AF" w:rsidP="003B6178">
            <w:pPr>
              <w:pStyle w:val="Tabletext"/>
              <w:keepNext/>
              <w:rPr>
                <w:b/>
              </w:rPr>
            </w:pPr>
            <w:r w:rsidRPr="003F43B0">
              <w:rPr>
                <w:b/>
              </w:rPr>
              <w:t>Column 1</w:t>
            </w:r>
          </w:p>
        </w:tc>
        <w:tc>
          <w:tcPr>
            <w:tcW w:w="3828" w:type="dxa"/>
            <w:tcBorders>
              <w:top w:val="single" w:sz="6" w:space="0" w:color="auto"/>
              <w:left w:val="nil"/>
              <w:bottom w:val="single" w:sz="6" w:space="0" w:color="auto"/>
              <w:right w:val="nil"/>
            </w:tcBorders>
            <w:hideMark/>
          </w:tcPr>
          <w:p w:rsidR="00C735AF" w:rsidRPr="003F43B0" w:rsidRDefault="00C735AF" w:rsidP="003B6178">
            <w:pPr>
              <w:pStyle w:val="Tabletext"/>
              <w:keepNext/>
              <w:rPr>
                <w:b/>
              </w:rPr>
            </w:pPr>
            <w:r w:rsidRPr="003F43B0">
              <w:rPr>
                <w:b/>
              </w:rPr>
              <w:t>Column 2</w:t>
            </w:r>
          </w:p>
        </w:tc>
        <w:tc>
          <w:tcPr>
            <w:tcW w:w="1582" w:type="dxa"/>
            <w:tcBorders>
              <w:top w:val="single" w:sz="6" w:space="0" w:color="auto"/>
              <w:left w:val="nil"/>
              <w:bottom w:val="single" w:sz="6" w:space="0" w:color="auto"/>
              <w:right w:val="nil"/>
            </w:tcBorders>
            <w:hideMark/>
          </w:tcPr>
          <w:p w:rsidR="00C735AF" w:rsidRPr="003F43B0" w:rsidRDefault="00C735AF" w:rsidP="003B6178">
            <w:pPr>
              <w:pStyle w:val="Tabletext"/>
              <w:keepNext/>
              <w:rPr>
                <w:b/>
              </w:rPr>
            </w:pPr>
            <w:r w:rsidRPr="003F43B0">
              <w:rPr>
                <w:b/>
              </w:rPr>
              <w:t>Column 3</w:t>
            </w:r>
          </w:p>
        </w:tc>
      </w:tr>
      <w:tr w:rsidR="00DB529A" w:rsidRPr="003F43B0" w:rsidTr="003B6178">
        <w:trPr>
          <w:cantSplit/>
          <w:tblHeader/>
        </w:trPr>
        <w:tc>
          <w:tcPr>
            <w:tcW w:w="1701" w:type="dxa"/>
            <w:tcBorders>
              <w:top w:val="single" w:sz="6" w:space="0" w:color="auto"/>
              <w:left w:val="nil"/>
              <w:bottom w:val="single" w:sz="12" w:space="0" w:color="auto"/>
              <w:right w:val="nil"/>
            </w:tcBorders>
            <w:hideMark/>
          </w:tcPr>
          <w:p w:rsidR="00C735AF" w:rsidRPr="003F43B0" w:rsidRDefault="00C735AF" w:rsidP="003B6178">
            <w:pPr>
              <w:pStyle w:val="Tabletext"/>
              <w:keepNext/>
              <w:rPr>
                <w:b/>
              </w:rPr>
            </w:pPr>
            <w:r w:rsidRPr="003F43B0">
              <w:rPr>
                <w:b/>
              </w:rPr>
              <w:t>Provision(s)</w:t>
            </w:r>
          </w:p>
        </w:tc>
        <w:tc>
          <w:tcPr>
            <w:tcW w:w="3828" w:type="dxa"/>
            <w:tcBorders>
              <w:top w:val="single" w:sz="6" w:space="0" w:color="auto"/>
              <w:left w:val="nil"/>
              <w:bottom w:val="single" w:sz="12" w:space="0" w:color="auto"/>
              <w:right w:val="nil"/>
            </w:tcBorders>
            <w:hideMark/>
          </w:tcPr>
          <w:p w:rsidR="00C735AF" w:rsidRPr="003F43B0" w:rsidRDefault="00C735AF" w:rsidP="003B6178">
            <w:pPr>
              <w:pStyle w:val="Tabletext"/>
              <w:keepNext/>
              <w:rPr>
                <w:b/>
              </w:rPr>
            </w:pPr>
            <w:r w:rsidRPr="003F43B0">
              <w:rPr>
                <w:b/>
              </w:rPr>
              <w:t>Commencement</w:t>
            </w:r>
          </w:p>
        </w:tc>
        <w:tc>
          <w:tcPr>
            <w:tcW w:w="1582" w:type="dxa"/>
            <w:tcBorders>
              <w:top w:val="single" w:sz="6" w:space="0" w:color="auto"/>
              <w:left w:val="nil"/>
              <w:bottom w:val="single" w:sz="12" w:space="0" w:color="auto"/>
              <w:right w:val="nil"/>
            </w:tcBorders>
            <w:hideMark/>
          </w:tcPr>
          <w:p w:rsidR="00C735AF" w:rsidRPr="003F43B0" w:rsidRDefault="00C735AF" w:rsidP="003B6178">
            <w:pPr>
              <w:pStyle w:val="Tabletext"/>
              <w:keepNext/>
              <w:rPr>
                <w:b/>
              </w:rPr>
            </w:pPr>
            <w:r w:rsidRPr="003F43B0">
              <w:rPr>
                <w:b/>
              </w:rPr>
              <w:t>Date/Details</w:t>
            </w:r>
          </w:p>
        </w:tc>
      </w:tr>
      <w:tr w:rsidR="00DB529A" w:rsidRPr="003F43B0" w:rsidTr="003B6178">
        <w:trPr>
          <w:cantSplit/>
        </w:trPr>
        <w:tc>
          <w:tcPr>
            <w:tcW w:w="1701" w:type="dxa"/>
            <w:tcBorders>
              <w:top w:val="single" w:sz="12" w:space="0" w:color="auto"/>
              <w:left w:val="nil"/>
              <w:bottom w:val="single" w:sz="2" w:space="0" w:color="auto"/>
              <w:right w:val="nil"/>
            </w:tcBorders>
            <w:hideMark/>
          </w:tcPr>
          <w:p w:rsidR="00C735AF" w:rsidRPr="003F43B0" w:rsidRDefault="00C735AF" w:rsidP="003B6178">
            <w:pPr>
              <w:pStyle w:val="Tabletext"/>
            </w:pPr>
            <w:r w:rsidRPr="003F43B0">
              <w:t>1.  Sections</w:t>
            </w:r>
            <w:r w:rsidR="003F43B0" w:rsidRPr="003F43B0">
              <w:t> </w:t>
            </w:r>
            <w:r w:rsidRPr="003F43B0">
              <w:t>1 to 4 and anything in this regulation not elsewhere covered by this table</w:t>
            </w:r>
          </w:p>
        </w:tc>
        <w:tc>
          <w:tcPr>
            <w:tcW w:w="3828" w:type="dxa"/>
            <w:tcBorders>
              <w:top w:val="single" w:sz="12" w:space="0" w:color="auto"/>
              <w:left w:val="nil"/>
              <w:bottom w:val="single" w:sz="2" w:space="0" w:color="auto"/>
              <w:right w:val="nil"/>
            </w:tcBorders>
            <w:hideMark/>
          </w:tcPr>
          <w:p w:rsidR="00C735AF" w:rsidRPr="003F43B0" w:rsidRDefault="00C735AF" w:rsidP="003B6178">
            <w:pPr>
              <w:pStyle w:val="Tabletext"/>
            </w:pPr>
            <w:r w:rsidRPr="003F43B0">
              <w:t>The day after this regulation is registered.</w:t>
            </w:r>
          </w:p>
        </w:tc>
        <w:tc>
          <w:tcPr>
            <w:tcW w:w="1582" w:type="dxa"/>
            <w:tcBorders>
              <w:top w:val="single" w:sz="12" w:space="0" w:color="auto"/>
              <w:left w:val="nil"/>
              <w:bottom w:val="single" w:sz="2" w:space="0" w:color="auto"/>
              <w:right w:val="nil"/>
            </w:tcBorders>
          </w:tcPr>
          <w:p w:rsidR="00C735AF" w:rsidRPr="003F43B0" w:rsidRDefault="00C735AF" w:rsidP="003B6178">
            <w:pPr>
              <w:pStyle w:val="Tabletext"/>
            </w:pPr>
          </w:p>
        </w:tc>
      </w:tr>
      <w:tr w:rsidR="00DB529A" w:rsidRPr="003F43B0" w:rsidTr="003B6178">
        <w:trPr>
          <w:cantSplit/>
        </w:trPr>
        <w:tc>
          <w:tcPr>
            <w:tcW w:w="1701" w:type="dxa"/>
            <w:tcBorders>
              <w:top w:val="single" w:sz="2" w:space="0" w:color="auto"/>
              <w:left w:val="nil"/>
              <w:bottom w:val="single" w:sz="2" w:space="0" w:color="auto"/>
              <w:right w:val="nil"/>
            </w:tcBorders>
            <w:hideMark/>
          </w:tcPr>
          <w:p w:rsidR="00C735AF" w:rsidRPr="003F43B0" w:rsidRDefault="00C735AF" w:rsidP="003B6178">
            <w:pPr>
              <w:pStyle w:val="Tabletext"/>
            </w:pPr>
            <w:r w:rsidRPr="003F43B0">
              <w:t>2.  Schedule</w:t>
            </w:r>
            <w:r w:rsidR="003F43B0" w:rsidRPr="003F43B0">
              <w:t> </w:t>
            </w:r>
            <w:r w:rsidRPr="003F43B0">
              <w:t>1</w:t>
            </w:r>
          </w:p>
        </w:tc>
        <w:tc>
          <w:tcPr>
            <w:tcW w:w="3828" w:type="dxa"/>
            <w:tcBorders>
              <w:top w:val="single" w:sz="2" w:space="0" w:color="auto"/>
              <w:left w:val="nil"/>
              <w:bottom w:val="single" w:sz="2" w:space="0" w:color="auto"/>
              <w:right w:val="nil"/>
            </w:tcBorders>
          </w:tcPr>
          <w:p w:rsidR="00C735AF" w:rsidRPr="003F43B0" w:rsidRDefault="00C735AF" w:rsidP="003B6178">
            <w:pPr>
              <w:pStyle w:val="Tabletext"/>
            </w:pPr>
            <w:r w:rsidRPr="003F43B0">
              <w:t>The day after this regulation is registered.</w:t>
            </w:r>
          </w:p>
        </w:tc>
        <w:tc>
          <w:tcPr>
            <w:tcW w:w="1582" w:type="dxa"/>
            <w:tcBorders>
              <w:top w:val="single" w:sz="2" w:space="0" w:color="auto"/>
              <w:left w:val="nil"/>
              <w:bottom w:val="single" w:sz="2" w:space="0" w:color="auto"/>
              <w:right w:val="nil"/>
            </w:tcBorders>
          </w:tcPr>
          <w:p w:rsidR="00C735AF" w:rsidRPr="003F43B0" w:rsidRDefault="00C735AF" w:rsidP="003B6178">
            <w:pPr>
              <w:pStyle w:val="Tabletext"/>
            </w:pPr>
          </w:p>
        </w:tc>
      </w:tr>
      <w:tr w:rsidR="00DB529A" w:rsidRPr="003F43B0" w:rsidTr="003B6178">
        <w:trPr>
          <w:cantSplit/>
        </w:trPr>
        <w:tc>
          <w:tcPr>
            <w:tcW w:w="1701" w:type="dxa"/>
            <w:tcBorders>
              <w:top w:val="single" w:sz="2" w:space="0" w:color="auto"/>
              <w:left w:val="nil"/>
              <w:bottom w:val="single" w:sz="12" w:space="0" w:color="auto"/>
              <w:right w:val="nil"/>
            </w:tcBorders>
            <w:hideMark/>
          </w:tcPr>
          <w:p w:rsidR="00C735AF" w:rsidRPr="003F43B0" w:rsidRDefault="00C735AF" w:rsidP="003B6178">
            <w:pPr>
              <w:pStyle w:val="Tabletext"/>
            </w:pPr>
            <w:r w:rsidRPr="003F43B0">
              <w:t>3.  Schedule</w:t>
            </w:r>
            <w:r w:rsidR="003F43B0" w:rsidRPr="003F43B0">
              <w:t> </w:t>
            </w:r>
            <w:r w:rsidRPr="003F43B0">
              <w:t>2</w:t>
            </w:r>
          </w:p>
        </w:tc>
        <w:tc>
          <w:tcPr>
            <w:tcW w:w="3828" w:type="dxa"/>
            <w:tcBorders>
              <w:top w:val="single" w:sz="2" w:space="0" w:color="auto"/>
              <w:left w:val="nil"/>
              <w:bottom w:val="single" w:sz="12" w:space="0" w:color="auto"/>
              <w:right w:val="nil"/>
            </w:tcBorders>
          </w:tcPr>
          <w:p w:rsidR="00C735AF" w:rsidRPr="003F43B0" w:rsidRDefault="00C735AF" w:rsidP="003B6178">
            <w:pPr>
              <w:pStyle w:val="Tabletext"/>
            </w:pPr>
            <w:r w:rsidRPr="003F43B0">
              <w:t>1</w:t>
            </w:r>
            <w:r w:rsidR="003F43B0" w:rsidRPr="003F43B0">
              <w:t> </w:t>
            </w:r>
            <w:r w:rsidRPr="003F43B0">
              <w:t>July 2013</w:t>
            </w:r>
          </w:p>
        </w:tc>
        <w:tc>
          <w:tcPr>
            <w:tcW w:w="1582" w:type="dxa"/>
            <w:tcBorders>
              <w:top w:val="single" w:sz="2" w:space="0" w:color="auto"/>
              <w:left w:val="nil"/>
              <w:bottom w:val="single" w:sz="12" w:space="0" w:color="auto"/>
              <w:right w:val="nil"/>
            </w:tcBorders>
          </w:tcPr>
          <w:p w:rsidR="00C735AF" w:rsidRPr="003F43B0" w:rsidRDefault="00C735AF" w:rsidP="003B6178">
            <w:pPr>
              <w:pStyle w:val="Tabletext"/>
            </w:pPr>
            <w:r w:rsidRPr="003F43B0">
              <w:t>1</w:t>
            </w:r>
            <w:r w:rsidR="003F43B0" w:rsidRPr="003F43B0">
              <w:t> </w:t>
            </w:r>
            <w:r w:rsidRPr="003F43B0">
              <w:t>July 2013</w:t>
            </w:r>
          </w:p>
        </w:tc>
      </w:tr>
    </w:tbl>
    <w:p w:rsidR="00C735AF" w:rsidRPr="003F43B0" w:rsidRDefault="00C735AF" w:rsidP="00C735AF">
      <w:pPr>
        <w:pStyle w:val="Tabletext"/>
      </w:pPr>
    </w:p>
    <w:p w:rsidR="00C735AF" w:rsidRPr="003F43B0" w:rsidRDefault="00C735AF" w:rsidP="00C735AF">
      <w:pPr>
        <w:pStyle w:val="ActHead5"/>
      </w:pPr>
      <w:bookmarkStart w:id="6" w:name="_Toc358878528"/>
      <w:r w:rsidRPr="003F43B0">
        <w:rPr>
          <w:rStyle w:val="CharSectno"/>
        </w:rPr>
        <w:t>3</w:t>
      </w:r>
      <w:r w:rsidRPr="003F43B0">
        <w:t xml:space="preserve">  Authority</w:t>
      </w:r>
      <w:bookmarkEnd w:id="6"/>
    </w:p>
    <w:p w:rsidR="00C735AF" w:rsidRPr="003F43B0" w:rsidRDefault="00C735AF" w:rsidP="00C735AF">
      <w:pPr>
        <w:pStyle w:val="subsection"/>
      </w:pPr>
      <w:r w:rsidRPr="003F43B0">
        <w:tab/>
      </w:r>
      <w:r w:rsidRPr="003F43B0">
        <w:tab/>
        <w:t xml:space="preserve">This regulation is made under the </w:t>
      </w:r>
      <w:r w:rsidRPr="003F43B0">
        <w:rPr>
          <w:i/>
        </w:rPr>
        <w:t>Product Stewardship Act 2011</w:t>
      </w:r>
      <w:r w:rsidRPr="003F43B0">
        <w:t>.</w:t>
      </w:r>
    </w:p>
    <w:p w:rsidR="00C735AF" w:rsidRPr="003F43B0" w:rsidRDefault="00C735AF" w:rsidP="00C735AF">
      <w:pPr>
        <w:pStyle w:val="ActHead5"/>
      </w:pPr>
      <w:bookmarkStart w:id="7" w:name="_Toc358878529"/>
      <w:r w:rsidRPr="003F43B0">
        <w:rPr>
          <w:rStyle w:val="CharSectno"/>
        </w:rPr>
        <w:t>4</w:t>
      </w:r>
      <w:r w:rsidRPr="003F43B0">
        <w:t xml:space="preserve">  Schedule(s)</w:t>
      </w:r>
      <w:bookmarkEnd w:id="7"/>
    </w:p>
    <w:p w:rsidR="00C735AF" w:rsidRPr="003F43B0" w:rsidRDefault="00C735AF" w:rsidP="00C735AF">
      <w:pPr>
        <w:pStyle w:val="subsection"/>
      </w:pPr>
      <w:r w:rsidRPr="003F43B0">
        <w:tab/>
      </w:r>
      <w:r w:rsidRPr="003F43B0">
        <w:tab/>
        <w:t>Each instrument that is specified in a Schedule to this instrument is amended or repealed as set out in the applicable items in the Schedule concerned, and any other item in a Schedule to this instrument has effect according to its terms.</w:t>
      </w:r>
    </w:p>
    <w:p w:rsidR="00C735AF" w:rsidRPr="003F43B0" w:rsidRDefault="00C735AF" w:rsidP="00C735AF">
      <w:pPr>
        <w:pStyle w:val="ActHead6"/>
        <w:pageBreakBefore/>
        <w:rPr>
          <w:rFonts w:cs="Arial"/>
        </w:rPr>
      </w:pPr>
      <w:bookmarkStart w:id="8" w:name="_Toc358878530"/>
      <w:bookmarkStart w:id="9" w:name="opcAmSched"/>
      <w:r w:rsidRPr="003F43B0">
        <w:rPr>
          <w:rStyle w:val="CharAmSchNo"/>
        </w:rPr>
        <w:lastRenderedPageBreak/>
        <w:t>Schedule</w:t>
      </w:r>
      <w:r w:rsidR="003F43B0" w:rsidRPr="003F43B0">
        <w:rPr>
          <w:rStyle w:val="CharAmSchNo"/>
        </w:rPr>
        <w:t> </w:t>
      </w:r>
      <w:r w:rsidRPr="003F43B0">
        <w:rPr>
          <w:rStyle w:val="CharAmSchNo"/>
        </w:rPr>
        <w:t>1</w:t>
      </w:r>
      <w:r w:rsidRPr="003F43B0">
        <w:rPr>
          <w:rFonts w:cs="Arial"/>
        </w:rPr>
        <w:t>—</w:t>
      </w:r>
      <w:r w:rsidRPr="003F43B0">
        <w:rPr>
          <w:rStyle w:val="CharAmSchText"/>
        </w:rPr>
        <w:t>Amendments commencing day after registration</w:t>
      </w:r>
      <w:bookmarkEnd w:id="8"/>
    </w:p>
    <w:bookmarkEnd w:id="9"/>
    <w:p w:rsidR="00874869" w:rsidRPr="003F43B0" w:rsidRDefault="00874869" w:rsidP="00C735AF">
      <w:pPr>
        <w:pStyle w:val="Header"/>
      </w:pPr>
      <w:r w:rsidRPr="003F43B0">
        <w:rPr>
          <w:rStyle w:val="CharAmPartNo"/>
        </w:rPr>
        <w:t xml:space="preserve"> </w:t>
      </w:r>
      <w:r w:rsidRPr="003F43B0">
        <w:rPr>
          <w:rStyle w:val="CharAmPartText"/>
        </w:rPr>
        <w:t xml:space="preserve"> </w:t>
      </w:r>
    </w:p>
    <w:p w:rsidR="00C735AF" w:rsidRPr="003F43B0" w:rsidRDefault="00C735AF" w:rsidP="00C735AF">
      <w:pPr>
        <w:pStyle w:val="ActHead9"/>
      </w:pPr>
      <w:bookmarkStart w:id="10" w:name="_Toc358878531"/>
      <w:r w:rsidRPr="003F43B0">
        <w:t>Product Stewardship (Televisions and Computers) Regulations</w:t>
      </w:r>
      <w:r w:rsidR="003F43B0" w:rsidRPr="003F43B0">
        <w:t> </w:t>
      </w:r>
      <w:r w:rsidRPr="003F43B0">
        <w:t>2011</w:t>
      </w:r>
      <w:bookmarkEnd w:id="10"/>
    </w:p>
    <w:p w:rsidR="0015753F" w:rsidRPr="003F43B0" w:rsidRDefault="00A21589" w:rsidP="00C735AF">
      <w:pPr>
        <w:pStyle w:val="ItemHead"/>
      </w:pPr>
      <w:r w:rsidRPr="003F43B0">
        <w:t>1</w:t>
      </w:r>
      <w:r w:rsidR="00C735AF" w:rsidRPr="003F43B0">
        <w:t xml:space="preserve">  </w:t>
      </w:r>
      <w:proofErr w:type="spellStart"/>
      <w:r w:rsidR="0015753F" w:rsidRPr="003F43B0">
        <w:t>Subregulation</w:t>
      </w:r>
      <w:r w:rsidR="00C00D13" w:rsidRPr="003F43B0">
        <w:t>s</w:t>
      </w:r>
      <w:proofErr w:type="spellEnd"/>
      <w:r w:rsidR="003F43B0" w:rsidRPr="003F43B0">
        <w:t> </w:t>
      </w:r>
      <w:r w:rsidR="0015753F" w:rsidRPr="003F43B0">
        <w:t>3.04(5) and (6)</w:t>
      </w:r>
    </w:p>
    <w:p w:rsidR="0015753F" w:rsidRPr="003F43B0" w:rsidRDefault="0015753F" w:rsidP="0015753F">
      <w:pPr>
        <w:pStyle w:val="Item"/>
      </w:pPr>
      <w:r w:rsidRPr="003F43B0">
        <w:t xml:space="preserve">Repeal the </w:t>
      </w:r>
      <w:proofErr w:type="spellStart"/>
      <w:r w:rsidRPr="003F43B0">
        <w:t>subregulations</w:t>
      </w:r>
      <w:proofErr w:type="spellEnd"/>
      <w:r w:rsidR="00C10887" w:rsidRPr="003F43B0">
        <w:t>.</w:t>
      </w:r>
    </w:p>
    <w:p w:rsidR="00C10887" w:rsidRPr="003F43B0" w:rsidRDefault="00C10887" w:rsidP="00C10887">
      <w:pPr>
        <w:pStyle w:val="ItemHead"/>
      </w:pPr>
      <w:r w:rsidRPr="003F43B0">
        <w:t>2  After regulation</w:t>
      </w:r>
      <w:r w:rsidR="003F43B0" w:rsidRPr="003F43B0">
        <w:t> </w:t>
      </w:r>
      <w:r w:rsidRPr="003F43B0">
        <w:t>3.04</w:t>
      </w:r>
    </w:p>
    <w:p w:rsidR="00C10887" w:rsidRPr="003F43B0" w:rsidRDefault="00C10887" w:rsidP="00C10887">
      <w:pPr>
        <w:pStyle w:val="Item"/>
      </w:pPr>
      <w:r w:rsidRPr="003F43B0">
        <w:t>Insert:</w:t>
      </w:r>
    </w:p>
    <w:p w:rsidR="00B76A62" w:rsidRPr="003F43B0" w:rsidRDefault="00B76A62" w:rsidP="00B76A62">
      <w:pPr>
        <w:pStyle w:val="ActHead5"/>
      </w:pPr>
      <w:bookmarkStart w:id="11" w:name="_Toc358878532"/>
      <w:r w:rsidRPr="003F43B0">
        <w:rPr>
          <w:rStyle w:val="CharSectno"/>
        </w:rPr>
        <w:t>3.04A</w:t>
      </w:r>
      <w:r w:rsidRPr="003F43B0">
        <w:t xml:space="preserve">  Import or manufactur</w:t>
      </w:r>
      <w:r w:rsidR="001A765B" w:rsidRPr="003F43B0">
        <w:t>e</w:t>
      </w:r>
      <w:r w:rsidRPr="003F43B0">
        <w:t xml:space="preserve"> share—</w:t>
      </w:r>
      <w:r w:rsidR="009A7E8F" w:rsidRPr="003F43B0">
        <w:t>no co</w:t>
      </w:r>
      <w:r w:rsidR="003F43B0">
        <w:noBreakHyphen/>
      </w:r>
      <w:r w:rsidR="009A7E8F" w:rsidRPr="003F43B0">
        <w:t xml:space="preserve">regulatory membership </w:t>
      </w:r>
      <w:r w:rsidR="00D87D0D" w:rsidRPr="003F43B0">
        <w:t>on 30</w:t>
      </w:r>
      <w:r w:rsidR="003F43B0" w:rsidRPr="003F43B0">
        <w:t> </w:t>
      </w:r>
      <w:r w:rsidR="00D87D0D" w:rsidRPr="003F43B0">
        <w:t>June</w:t>
      </w:r>
      <w:bookmarkEnd w:id="11"/>
    </w:p>
    <w:p w:rsidR="0015753F" w:rsidRPr="003F43B0" w:rsidRDefault="0015753F" w:rsidP="00B76A62">
      <w:pPr>
        <w:pStyle w:val="subsection"/>
        <w:keepNext/>
      </w:pPr>
      <w:r w:rsidRPr="003F43B0">
        <w:tab/>
        <w:t>(</w:t>
      </w:r>
      <w:r w:rsidR="00C10887" w:rsidRPr="003F43B0">
        <w:t>1</w:t>
      </w:r>
      <w:r w:rsidRPr="003F43B0">
        <w:t>)</w:t>
      </w:r>
      <w:r w:rsidRPr="003F43B0">
        <w:tab/>
        <w:t xml:space="preserve"> </w:t>
      </w:r>
      <w:r w:rsidR="00C10887" w:rsidRPr="003F43B0">
        <w:t xml:space="preserve">This regulation applies </w:t>
      </w:r>
      <w:r w:rsidRPr="003F43B0">
        <w:t>if a person:</w:t>
      </w:r>
    </w:p>
    <w:p w:rsidR="0015753F" w:rsidRPr="003F43B0" w:rsidRDefault="0015753F" w:rsidP="00B76A62">
      <w:pPr>
        <w:pStyle w:val="paragraph"/>
      </w:pPr>
      <w:r w:rsidRPr="003F43B0">
        <w:tab/>
        <w:t>(a)</w:t>
      </w:r>
      <w:r w:rsidRPr="003F43B0">
        <w:tab/>
        <w:t>is a liable party in a financial year because of television or computer products that were imported or manufactured before the financial year; and</w:t>
      </w:r>
    </w:p>
    <w:p w:rsidR="0015753F" w:rsidRPr="003F43B0" w:rsidRDefault="0015753F" w:rsidP="00B76A62">
      <w:pPr>
        <w:pStyle w:val="paragraph"/>
      </w:pPr>
      <w:r w:rsidRPr="003F43B0">
        <w:tab/>
        <w:t>(b)</w:t>
      </w:r>
      <w:r w:rsidRPr="003F43B0">
        <w:tab/>
        <w:t>is not a member of a co</w:t>
      </w:r>
      <w:r w:rsidR="003F43B0">
        <w:noBreakHyphen/>
      </w:r>
      <w:r w:rsidRPr="003F43B0">
        <w:t>regulatory arrangement on 30</w:t>
      </w:r>
      <w:r w:rsidR="003F43B0" w:rsidRPr="003F43B0">
        <w:t> </w:t>
      </w:r>
      <w:r w:rsidRPr="003F43B0">
        <w:t>June of the financial year</w:t>
      </w:r>
      <w:r w:rsidR="0019415C" w:rsidRPr="003F43B0">
        <w:t>; and</w:t>
      </w:r>
    </w:p>
    <w:p w:rsidR="0019415C" w:rsidRPr="003F43B0" w:rsidRDefault="0019415C" w:rsidP="00B76A62">
      <w:pPr>
        <w:pStyle w:val="paragraph"/>
      </w:pPr>
      <w:r w:rsidRPr="003F43B0">
        <w:tab/>
        <w:t>(c)</w:t>
      </w:r>
      <w:r w:rsidRPr="003F43B0">
        <w:tab/>
        <w:t>becomes a member of a co</w:t>
      </w:r>
      <w:r w:rsidR="003F43B0">
        <w:noBreakHyphen/>
      </w:r>
      <w:r w:rsidRPr="003F43B0">
        <w:t>regulatory arrangement at a later time.</w:t>
      </w:r>
    </w:p>
    <w:p w:rsidR="0015753F" w:rsidRPr="003F43B0" w:rsidRDefault="00C10887" w:rsidP="0019415C">
      <w:pPr>
        <w:pStyle w:val="subsection"/>
      </w:pPr>
      <w:r w:rsidRPr="003F43B0">
        <w:tab/>
        <w:t>(2)</w:t>
      </w:r>
      <w:r w:rsidRPr="003F43B0">
        <w:tab/>
        <w:t xml:space="preserve">For </w:t>
      </w:r>
      <w:proofErr w:type="spellStart"/>
      <w:r w:rsidRPr="003F43B0">
        <w:t>subregulation</w:t>
      </w:r>
      <w:proofErr w:type="spellEnd"/>
      <w:r w:rsidR="003F43B0" w:rsidRPr="003F43B0">
        <w:t> </w:t>
      </w:r>
      <w:r w:rsidRPr="003F43B0">
        <w:t>3.04(4)</w:t>
      </w:r>
      <w:r w:rsidR="0019415C" w:rsidRPr="003F43B0">
        <w:t xml:space="preserve">, a proportion of </w:t>
      </w:r>
      <w:r w:rsidRPr="003F43B0">
        <w:t>the products</w:t>
      </w:r>
      <w:r w:rsidR="0015753F" w:rsidRPr="003F43B0">
        <w:t xml:space="preserve"> </w:t>
      </w:r>
      <w:r w:rsidRPr="003F43B0">
        <w:t>are taken to have</w:t>
      </w:r>
      <w:r w:rsidR="0015753F" w:rsidRPr="003F43B0">
        <w:t xml:space="preserve"> been imported or manufactured in the financial year immediately before the </w:t>
      </w:r>
      <w:r w:rsidRPr="003F43B0">
        <w:t xml:space="preserve">year in which the person becomes </w:t>
      </w:r>
      <w:r w:rsidR="0019415C" w:rsidRPr="003F43B0">
        <w:t>a</w:t>
      </w:r>
      <w:r w:rsidRPr="003F43B0">
        <w:t xml:space="preserve"> member of </w:t>
      </w:r>
      <w:r w:rsidR="0019415C" w:rsidRPr="003F43B0">
        <w:t>the</w:t>
      </w:r>
      <w:r w:rsidRPr="003F43B0">
        <w:t xml:space="preserve"> co</w:t>
      </w:r>
      <w:r w:rsidR="003F43B0">
        <w:noBreakHyphen/>
      </w:r>
      <w:r w:rsidRPr="003F43B0">
        <w:t>regulatory arrangement</w:t>
      </w:r>
      <w:r w:rsidR="0019415C" w:rsidRPr="003F43B0">
        <w:t>, as worked out according to the following formula:</w:t>
      </w:r>
    </w:p>
    <w:p w:rsidR="0019415C" w:rsidRPr="003F43B0" w:rsidRDefault="0019415C" w:rsidP="0019415C">
      <w:pPr>
        <w:pStyle w:val="subsection"/>
      </w:pPr>
      <w:r w:rsidRPr="003F43B0">
        <w:tab/>
      </w:r>
      <w:r w:rsidRPr="003F43B0">
        <w:tab/>
      </w:r>
      <w:bookmarkStart w:id="12" w:name="BKCheck15B_3"/>
      <w:bookmarkEnd w:id="12"/>
      <w:r w:rsidR="00997DD6" w:rsidRPr="003F43B0">
        <w:rPr>
          <w:position w:val="-36"/>
        </w:rPr>
        <w:object w:dxaOrig="31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39.75pt" o:ole="">
            <v:imagedata r:id="rId21" o:title=""/>
          </v:shape>
          <o:OLEObject Type="Embed" ProgID="Equation.DSMT4" ShapeID="_x0000_i1025" DrawAspect="Content" ObjectID="_1433922305" r:id="rId22"/>
        </w:object>
      </w:r>
    </w:p>
    <w:p w:rsidR="0019415C" w:rsidRPr="003F43B0" w:rsidRDefault="0019415C" w:rsidP="0019415C">
      <w:pPr>
        <w:pStyle w:val="subsection"/>
      </w:pPr>
      <w:r w:rsidRPr="003F43B0">
        <w:tab/>
      </w:r>
      <w:r w:rsidRPr="003F43B0">
        <w:tab/>
        <w:t>where:</w:t>
      </w:r>
    </w:p>
    <w:p w:rsidR="0019415C" w:rsidRPr="003F43B0" w:rsidRDefault="0019415C" w:rsidP="0019415C">
      <w:pPr>
        <w:pStyle w:val="Definition"/>
      </w:pPr>
      <w:r w:rsidRPr="003F43B0">
        <w:rPr>
          <w:b/>
          <w:i/>
        </w:rPr>
        <w:t>non</w:t>
      </w:r>
      <w:r w:rsidR="003F43B0">
        <w:rPr>
          <w:b/>
          <w:i/>
        </w:rPr>
        <w:noBreakHyphen/>
      </w:r>
      <w:r w:rsidRPr="003F43B0">
        <w:rPr>
          <w:b/>
          <w:i/>
        </w:rPr>
        <w:t>membership days</w:t>
      </w:r>
      <w:r w:rsidRPr="003F43B0">
        <w:t xml:space="preserve"> means</w:t>
      </w:r>
      <w:r w:rsidR="00167C9D" w:rsidRPr="003F43B0">
        <w:t xml:space="preserve"> the number of days </w:t>
      </w:r>
      <w:r w:rsidR="00213D18" w:rsidRPr="003F43B0">
        <w:t xml:space="preserve">in the financial year, </w:t>
      </w:r>
      <w:r w:rsidR="00167C9D" w:rsidRPr="003F43B0">
        <w:t>immediately before 30</w:t>
      </w:r>
      <w:r w:rsidR="003F43B0" w:rsidRPr="003F43B0">
        <w:t> </w:t>
      </w:r>
      <w:r w:rsidR="00167C9D" w:rsidRPr="003F43B0">
        <w:t>June</w:t>
      </w:r>
      <w:r w:rsidR="00213D18" w:rsidRPr="003F43B0">
        <w:t>,</w:t>
      </w:r>
      <w:r w:rsidR="00167C9D" w:rsidRPr="003F43B0">
        <w:t xml:space="preserve"> for which the liable party was not a member of a co</w:t>
      </w:r>
      <w:r w:rsidR="003F43B0">
        <w:noBreakHyphen/>
      </w:r>
      <w:r w:rsidR="00167C9D" w:rsidRPr="003F43B0">
        <w:t>regulatory arrangement.</w:t>
      </w:r>
    </w:p>
    <w:p w:rsidR="00997DD6" w:rsidRPr="003F43B0" w:rsidRDefault="00997DD6" w:rsidP="00997DD6">
      <w:pPr>
        <w:pStyle w:val="Definition"/>
      </w:pPr>
      <w:r w:rsidRPr="003F43B0">
        <w:rPr>
          <w:b/>
          <w:i/>
        </w:rPr>
        <w:lastRenderedPageBreak/>
        <w:t>number of days in year</w:t>
      </w:r>
      <w:r w:rsidRPr="003F43B0">
        <w:t xml:space="preserve"> means the number of days in the financial year.</w:t>
      </w:r>
    </w:p>
    <w:p w:rsidR="00456627" w:rsidRPr="003F43B0" w:rsidRDefault="00456627" w:rsidP="00456627">
      <w:pPr>
        <w:pStyle w:val="Definition"/>
        <w:rPr>
          <w:b/>
          <w:i/>
        </w:rPr>
      </w:pPr>
      <w:r w:rsidRPr="003F43B0">
        <w:rPr>
          <w:b/>
          <w:i/>
        </w:rPr>
        <w:t>products</w:t>
      </w:r>
      <w:r w:rsidRPr="003F43B0">
        <w:t xml:space="preserve"> means the television or computer products mentioned in </w:t>
      </w:r>
      <w:r w:rsidR="003F43B0" w:rsidRPr="003F43B0">
        <w:t>paragraph (</w:t>
      </w:r>
      <w:r w:rsidRPr="003F43B0">
        <w:t>1)(a).</w:t>
      </w:r>
    </w:p>
    <w:p w:rsidR="00C10887" w:rsidRPr="003F43B0" w:rsidRDefault="0019415C" w:rsidP="0019415C">
      <w:pPr>
        <w:pStyle w:val="subsection"/>
      </w:pPr>
      <w:r w:rsidRPr="003F43B0">
        <w:tab/>
        <w:t>(3</w:t>
      </w:r>
      <w:r w:rsidR="00C10887" w:rsidRPr="003F43B0">
        <w:t>)</w:t>
      </w:r>
      <w:r w:rsidR="00C10887" w:rsidRPr="003F43B0">
        <w:tab/>
      </w:r>
      <w:r w:rsidRPr="003F43B0">
        <w:t>R</w:t>
      </w:r>
      <w:r w:rsidR="00B76A62" w:rsidRPr="003F43B0">
        <w:t>egulation</w:t>
      </w:r>
      <w:r w:rsidR="003F43B0" w:rsidRPr="003F43B0">
        <w:t> </w:t>
      </w:r>
      <w:r w:rsidR="00B76A62" w:rsidRPr="003F43B0">
        <w:t>3.04B (which allow</w:t>
      </w:r>
      <w:r w:rsidR="00213D18" w:rsidRPr="003F43B0">
        <w:t>s proportioning of the products</w:t>
      </w:r>
      <w:r w:rsidRPr="003F43B0">
        <w:t>) does not apply to</w:t>
      </w:r>
      <w:r w:rsidR="002657F6" w:rsidRPr="003F43B0">
        <w:t xml:space="preserve"> those products</w:t>
      </w:r>
      <w:r w:rsidR="00B76A62" w:rsidRPr="003F43B0">
        <w:t>.</w:t>
      </w:r>
    </w:p>
    <w:p w:rsidR="0015753F" w:rsidRPr="003F43B0" w:rsidRDefault="0015753F" w:rsidP="00B76A62">
      <w:pPr>
        <w:pStyle w:val="notetext"/>
      </w:pPr>
      <w:r w:rsidRPr="003F43B0">
        <w:t>Example</w:t>
      </w:r>
      <w:r w:rsidR="00997DD6" w:rsidRPr="003F43B0">
        <w:t xml:space="preserve"> 1</w:t>
      </w:r>
      <w:r w:rsidRPr="003F43B0">
        <w:t>:</w:t>
      </w:r>
      <w:r w:rsidRPr="003F43B0">
        <w:tab/>
        <w:t>A person</w:t>
      </w:r>
      <w:r w:rsidR="00006434" w:rsidRPr="003F43B0">
        <w:t xml:space="preserve"> imports 20</w:t>
      </w:r>
      <w:r w:rsidR="003F43B0" w:rsidRPr="003F43B0">
        <w:t> </w:t>
      </w:r>
      <w:r w:rsidR="00006434" w:rsidRPr="003F43B0">
        <w:t>000 web cameras in the 2013/2014 financial year, and therefore</w:t>
      </w:r>
      <w:r w:rsidRPr="003F43B0">
        <w:t xml:space="preserve"> </w:t>
      </w:r>
      <w:r w:rsidR="000C39DE" w:rsidRPr="003F43B0">
        <w:t xml:space="preserve">is a liable party in the 2014/2015 financial year. </w:t>
      </w:r>
      <w:r w:rsidRPr="003F43B0">
        <w:t xml:space="preserve">The person </w:t>
      </w:r>
      <w:r w:rsidR="000C39DE" w:rsidRPr="003F43B0">
        <w:t>is not a member of a co</w:t>
      </w:r>
      <w:r w:rsidR="003F43B0">
        <w:noBreakHyphen/>
      </w:r>
      <w:r w:rsidR="000C39DE" w:rsidRPr="003F43B0">
        <w:t>regulatory arrangement in the 2014/2015 financial year, and does not become a member of a co</w:t>
      </w:r>
      <w:r w:rsidR="003F43B0">
        <w:noBreakHyphen/>
      </w:r>
      <w:r w:rsidRPr="003F43B0">
        <w:t>regulatory arrangement</w:t>
      </w:r>
      <w:r w:rsidR="000C39DE" w:rsidRPr="003F43B0">
        <w:t xml:space="preserve"> until</w:t>
      </w:r>
      <w:r w:rsidRPr="003F43B0">
        <w:t xml:space="preserve"> </w:t>
      </w:r>
      <w:r w:rsidR="000C39DE" w:rsidRPr="003F43B0">
        <w:t>the 2015/2016 financial year</w:t>
      </w:r>
      <w:r w:rsidRPr="003F43B0">
        <w:t>.</w:t>
      </w:r>
    </w:p>
    <w:p w:rsidR="0015753F" w:rsidRPr="003F43B0" w:rsidRDefault="0015753F" w:rsidP="00B76A62">
      <w:pPr>
        <w:pStyle w:val="notetext"/>
      </w:pPr>
      <w:r w:rsidRPr="003F43B0">
        <w:tab/>
        <w:t>The</w:t>
      </w:r>
      <w:r w:rsidR="00B76A62" w:rsidRPr="003F43B0">
        <w:t xml:space="preserve"> co</w:t>
      </w:r>
      <w:r w:rsidR="003F43B0">
        <w:noBreakHyphen/>
      </w:r>
      <w:r w:rsidR="00B76A62" w:rsidRPr="003F43B0">
        <w:t>regulatory arrangement must count all of the</w:t>
      </w:r>
      <w:r w:rsidRPr="003F43B0">
        <w:t xml:space="preserve"> 20</w:t>
      </w:r>
      <w:r w:rsidR="003F43B0" w:rsidRPr="003F43B0">
        <w:t> </w:t>
      </w:r>
      <w:r w:rsidRPr="003F43B0">
        <w:t xml:space="preserve">000 web cameras </w:t>
      </w:r>
      <w:r w:rsidR="00B76A62" w:rsidRPr="003F43B0">
        <w:t>as if the web cameras had been</w:t>
      </w:r>
      <w:r w:rsidRPr="003F43B0">
        <w:t xml:space="preserve"> imported in the </w:t>
      </w:r>
      <w:r w:rsidR="000C39DE" w:rsidRPr="003F43B0">
        <w:t xml:space="preserve">2014/2015 financial year, even if the liable party </w:t>
      </w:r>
      <w:r w:rsidR="00B8304C" w:rsidRPr="003F43B0">
        <w:t>is not a member of the co</w:t>
      </w:r>
      <w:r w:rsidR="003F43B0">
        <w:noBreakHyphen/>
      </w:r>
      <w:r w:rsidR="00B8304C" w:rsidRPr="003F43B0">
        <w:t xml:space="preserve">regulatory arrangement for the whole </w:t>
      </w:r>
      <w:r w:rsidR="000C39DE" w:rsidRPr="003F43B0">
        <w:t xml:space="preserve">of </w:t>
      </w:r>
      <w:r w:rsidR="00006434" w:rsidRPr="003F43B0">
        <w:t>the 2015/2016 financial year</w:t>
      </w:r>
      <w:r w:rsidRPr="003F43B0">
        <w:t>.</w:t>
      </w:r>
    </w:p>
    <w:p w:rsidR="00213D18" w:rsidRPr="003F43B0" w:rsidRDefault="00213D18" w:rsidP="00B76A62">
      <w:pPr>
        <w:pStyle w:val="notetext"/>
      </w:pPr>
      <w:r w:rsidRPr="003F43B0">
        <w:t>Example</w:t>
      </w:r>
      <w:r w:rsidR="00997DD6" w:rsidRPr="003F43B0">
        <w:t xml:space="preserve"> 2</w:t>
      </w:r>
      <w:r w:rsidRPr="003F43B0">
        <w:t>:</w:t>
      </w:r>
      <w:r w:rsidRPr="003F43B0">
        <w:tab/>
        <w:t>A person imports 36</w:t>
      </w:r>
      <w:r w:rsidR="003F43B0" w:rsidRPr="003F43B0">
        <w:t> </w:t>
      </w:r>
      <w:r w:rsidRPr="003F43B0">
        <w:t>500 web cameras in the 2013/2014 financial year, and therefore is a liable party in the 2014/2015 financial year. The person is a member of a co</w:t>
      </w:r>
      <w:r w:rsidR="003F43B0">
        <w:noBreakHyphen/>
      </w:r>
      <w:r w:rsidRPr="003F43B0">
        <w:t>regulatory arrangement for the first 265 days of the 365 days in the financial year, but is not a member for the last 100 days, including on 30</w:t>
      </w:r>
      <w:r w:rsidR="003F43B0" w:rsidRPr="003F43B0">
        <w:t> </w:t>
      </w:r>
      <w:r w:rsidRPr="003F43B0">
        <w:t>June.</w:t>
      </w:r>
    </w:p>
    <w:p w:rsidR="00213D18" w:rsidRPr="003F43B0" w:rsidRDefault="00213D18" w:rsidP="00B76A62">
      <w:pPr>
        <w:pStyle w:val="notetext"/>
      </w:pPr>
      <w:r w:rsidRPr="003F43B0">
        <w:tab/>
        <w:t>The co</w:t>
      </w:r>
      <w:r w:rsidR="003F43B0">
        <w:noBreakHyphen/>
      </w:r>
      <w:r w:rsidRPr="003F43B0">
        <w:t xml:space="preserve">regulatory arrangement must count </w:t>
      </w:r>
      <w:r w:rsidR="00B8304C" w:rsidRPr="003F43B0">
        <w:t>10</w:t>
      </w:r>
      <w:r w:rsidR="003F43B0" w:rsidRPr="003F43B0">
        <w:t> </w:t>
      </w:r>
      <w:r w:rsidR="00B8304C" w:rsidRPr="003F43B0">
        <w:t>000 web cameras</w:t>
      </w:r>
      <w:r w:rsidRPr="003F43B0">
        <w:t xml:space="preserve"> (</w:t>
      </w:r>
      <w:r w:rsidR="00B8304C" w:rsidRPr="003F43B0">
        <w:t>10</w:t>
      </w:r>
      <w:r w:rsidR="003F43B0" w:rsidRPr="003F43B0">
        <w:t> </w:t>
      </w:r>
      <w:r w:rsidR="00B8304C" w:rsidRPr="003F43B0">
        <w:t xml:space="preserve">000 = </w:t>
      </w:r>
      <w:r w:rsidRPr="003F43B0">
        <w:t>36</w:t>
      </w:r>
      <w:r w:rsidR="003F43B0" w:rsidRPr="003F43B0">
        <w:t> </w:t>
      </w:r>
      <w:r w:rsidRPr="003F43B0">
        <w:t>500 ÷ 365 x 100) as if the web cameras had been imported in the 2014/2015 financial year</w:t>
      </w:r>
      <w:r w:rsidR="00B8304C" w:rsidRPr="003F43B0">
        <w:t>, even if the liable party is not a member of the co</w:t>
      </w:r>
      <w:r w:rsidR="003F43B0">
        <w:noBreakHyphen/>
      </w:r>
      <w:r w:rsidR="00B8304C" w:rsidRPr="003F43B0">
        <w:t>regulatory arrangement for the whole of the 2015/2016 financial year</w:t>
      </w:r>
      <w:r w:rsidRPr="003F43B0">
        <w:t>.</w:t>
      </w:r>
    </w:p>
    <w:p w:rsidR="00C34532" w:rsidRPr="003F43B0" w:rsidRDefault="00C34532" w:rsidP="00C34532">
      <w:pPr>
        <w:pStyle w:val="subsection"/>
      </w:pPr>
      <w:r w:rsidRPr="003F43B0">
        <w:tab/>
        <w:t>(4)</w:t>
      </w:r>
      <w:r w:rsidRPr="003F43B0">
        <w:tab/>
        <w:t>Subregulation (2) does not affect the import of manufacture share of co</w:t>
      </w:r>
      <w:r w:rsidR="003F43B0">
        <w:noBreakHyphen/>
      </w:r>
      <w:r w:rsidRPr="003F43B0">
        <w:t xml:space="preserve">regulatory arrangements in the financial year mentioned in </w:t>
      </w:r>
      <w:r w:rsidR="003F43B0" w:rsidRPr="003F43B0">
        <w:t>paragraph (</w:t>
      </w:r>
      <w:r w:rsidRPr="003F43B0">
        <w:t>1)(a).</w:t>
      </w:r>
    </w:p>
    <w:p w:rsidR="00D15BDB" w:rsidRPr="003F43B0" w:rsidRDefault="00D15BDB" w:rsidP="00D15BDB">
      <w:pPr>
        <w:pStyle w:val="ActHead5"/>
      </w:pPr>
      <w:bookmarkStart w:id="13" w:name="_Toc358878533"/>
      <w:r w:rsidRPr="003F43B0">
        <w:rPr>
          <w:rStyle w:val="CharSectno"/>
        </w:rPr>
        <w:t>3.04</w:t>
      </w:r>
      <w:r w:rsidR="00B76A62" w:rsidRPr="003F43B0">
        <w:rPr>
          <w:rStyle w:val="CharSectno"/>
        </w:rPr>
        <w:t>B</w:t>
      </w:r>
      <w:r w:rsidRPr="003F43B0">
        <w:t xml:space="preserve">  Import or manufactur</w:t>
      </w:r>
      <w:r w:rsidR="001A765B" w:rsidRPr="003F43B0">
        <w:t>e</w:t>
      </w:r>
      <w:r w:rsidRPr="003F43B0">
        <w:t xml:space="preserve"> share</w:t>
      </w:r>
      <w:r w:rsidR="00840092" w:rsidRPr="003F43B0">
        <w:t>—</w:t>
      </w:r>
      <w:r w:rsidR="009A7E8F" w:rsidRPr="003F43B0">
        <w:t>co</w:t>
      </w:r>
      <w:r w:rsidR="003F43B0">
        <w:noBreakHyphen/>
      </w:r>
      <w:r w:rsidR="009A7E8F" w:rsidRPr="003F43B0">
        <w:t>regulatory membership for</w:t>
      </w:r>
      <w:r w:rsidR="0015753F" w:rsidRPr="003F43B0">
        <w:t xml:space="preserve"> part of year</w:t>
      </w:r>
      <w:bookmarkEnd w:id="13"/>
    </w:p>
    <w:p w:rsidR="00D15BDB" w:rsidRPr="003F43B0" w:rsidRDefault="00D15BDB" w:rsidP="00D15BDB">
      <w:pPr>
        <w:pStyle w:val="subsection"/>
      </w:pPr>
      <w:r w:rsidRPr="003F43B0">
        <w:tab/>
        <w:t>(1)</w:t>
      </w:r>
      <w:r w:rsidRPr="003F43B0">
        <w:tab/>
        <w:t>This regulation applies if:</w:t>
      </w:r>
    </w:p>
    <w:p w:rsidR="00D15BDB" w:rsidRPr="003F43B0" w:rsidRDefault="00D15BDB" w:rsidP="00D15BDB">
      <w:pPr>
        <w:pStyle w:val="paragraph"/>
      </w:pPr>
      <w:r w:rsidRPr="003F43B0">
        <w:tab/>
        <w:t>(a)</w:t>
      </w:r>
      <w:r w:rsidRPr="003F43B0">
        <w:tab/>
        <w:t>a co</w:t>
      </w:r>
      <w:r w:rsidR="003F43B0">
        <w:noBreakHyphen/>
      </w:r>
      <w:r w:rsidRPr="003F43B0">
        <w:t>regulatory arrangement is working out its import or manufacture share</w:t>
      </w:r>
      <w:r w:rsidR="00A21589" w:rsidRPr="003F43B0">
        <w:t xml:space="preserve"> of</w:t>
      </w:r>
      <w:r w:rsidRPr="003F43B0">
        <w:t xml:space="preserve"> a kind of television or computer product</w:t>
      </w:r>
      <w:r w:rsidR="00A21589" w:rsidRPr="003F43B0">
        <w:t>s</w:t>
      </w:r>
      <w:r w:rsidRPr="003F43B0">
        <w:t xml:space="preserve">, for </w:t>
      </w:r>
      <w:r w:rsidR="00C77132" w:rsidRPr="003F43B0">
        <w:t>a financial year</w:t>
      </w:r>
      <w:r w:rsidRPr="003F43B0">
        <w:t>; and</w:t>
      </w:r>
    </w:p>
    <w:p w:rsidR="00D15BDB" w:rsidRPr="003F43B0" w:rsidRDefault="00D15BDB" w:rsidP="00D15BDB">
      <w:pPr>
        <w:pStyle w:val="paragraph"/>
      </w:pPr>
      <w:r w:rsidRPr="003F43B0">
        <w:tab/>
        <w:t>(b)</w:t>
      </w:r>
      <w:r w:rsidRPr="003F43B0">
        <w:tab/>
        <w:t>a liable party was a member of the co</w:t>
      </w:r>
      <w:r w:rsidR="003F43B0">
        <w:noBreakHyphen/>
      </w:r>
      <w:r w:rsidRPr="003F43B0">
        <w:t>regulatory arrangement for only part of the financial year.</w:t>
      </w:r>
    </w:p>
    <w:p w:rsidR="00D15BDB" w:rsidRPr="003F43B0" w:rsidRDefault="00D15BDB" w:rsidP="00D15BDB">
      <w:pPr>
        <w:pStyle w:val="subsection"/>
      </w:pPr>
      <w:r w:rsidRPr="003F43B0">
        <w:tab/>
        <w:t>(2)</w:t>
      </w:r>
      <w:r w:rsidRPr="003F43B0">
        <w:tab/>
      </w:r>
      <w:r w:rsidR="00297A7F" w:rsidRPr="003F43B0">
        <w:t>For subregulation</w:t>
      </w:r>
      <w:r w:rsidR="003F43B0" w:rsidRPr="003F43B0">
        <w:t> </w:t>
      </w:r>
      <w:r w:rsidR="00297A7F" w:rsidRPr="003F43B0">
        <w:t>3.04(4), t</w:t>
      </w:r>
      <w:r w:rsidRPr="003F43B0">
        <w:t>he co</w:t>
      </w:r>
      <w:r w:rsidR="003F43B0">
        <w:noBreakHyphen/>
      </w:r>
      <w:r w:rsidRPr="003F43B0">
        <w:t xml:space="preserve">regulatory arrangement must count only a proportion of the kind of television or computer </w:t>
      </w:r>
      <w:r w:rsidRPr="003F43B0">
        <w:lastRenderedPageBreak/>
        <w:t xml:space="preserve">products </w:t>
      </w:r>
      <w:r w:rsidR="00A21589" w:rsidRPr="003F43B0">
        <w:t xml:space="preserve">that were </w:t>
      </w:r>
      <w:r w:rsidRPr="003F43B0">
        <w:t xml:space="preserve">imported or manufactured by the member, </w:t>
      </w:r>
      <w:r w:rsidR="00A21589" w:rsidRPr="003F43B0">
        <w:t>a</w:t>
      </w:r>
      <w:r w:rsidRPr="003F43B0">
        <w:t>s worked out using the following formula:</w:t>
      </w:r>
    </w:p>
    <w:p w:rsidR="00D15BDB" w:rsidRPr="003F43B0" w:rsidRDefault="00D15BDB" w:rsidP="00D15BDB">
      <w:pPr>
        <w:pStyle w:val="subsection"/>
      </w:pPr>
      <w:r w:rsidRPr="003F43B0">
        <w:tab/>
      </w:r>
      <w:r w:rsidRPr="003F43B0">
        <w:tab/>
      </w:r>
      <w:bookmarkStart w:id="14" w:name="BKCheck15B_4"/>
      <w:bookmarkEnd w:id="14"/>
      <w:r w:rsidR="00997DD6" w:rsidRPr="003F43B0">
        <w:rPr>
          <w:position w:val="-36"/>
        </w:rPr>
        <w:object w:dxaOrig="2980" w:dyaOrig="800">
          <v:shape id="_x0000_i1026" type="#_x0000_t75" style="width:149.25pt;height:40.5pt" o:ole="">
            <v:imagedata r:id="rId23" o:title=""/>
          </v:shape>
          <o:OLEObject Type="Embed" ProgID="Equation.DSMT4" ShapeID="_x0000_i1026" DrawAspect="Content" ObjectID="_1433922306" r:id="rId24"/>
        </w:object>
      </w:r>
    </w:p>
    <w:p w:rsidR="00D15BDB" w:rsidRPr="003F43B0" w:rsidRDefault="00D15BDB" w:rsidP="00D15BDB">
      <w:pPr>
        <w:pStyle w:val="subsection"/>
      </w:pPr>
      <w:r w:rsidRPr="003F43B0">
        <w:tab/>
      </w:r>
      <w:r w:rsidRPr="003F43B0">
        <w:tab/>
        <w:t>where:</w:t>
      </w:r>
    </w:p>
    <w:p w:rsidR="00D15BDB" w:rsidRPr="003F43B0" w:rsidRDefault="00D15BDB" w:rsidP="00D15BDB">
      <w:pPr>
        <w:pStyle w:val="Definition"/>
      </w:pPr>
      <w:r w:rsidRPr="003F43B0">
        <w:rPr>
          <w:b/>
          <w:i/>
        </w:rPr>
        <w:t>membership days</w:t>
      </w:r>
      <w:r w:rsidRPr="003F43B0">
        <w:t xml:space="preserve"> means the number of days in the financial year that the liable party was a member of the co</w:t>
      </w:r>
      <w:r w:rsidR="003F43B0">
        <w:noBreakHyphen/>
      </w:r>
      <w:r w:rsidRPr="003F43B0">
        <w:t>regulatory arrangement.</w:t>
      </w:r>
    </w:p>
    <w:p w:rsidR="00997DD6" w:rsidRPr="003F43B0" w:rsidRDefault="00997DD6" w:rsidP="00997DD6">
      <w:pPr>
        <w:pStyle w:val="Definition"/>
      </w:pPr>
      <w:r w:rsidRPr="003F43B0">
        <w:rPr>
          <w:b/>
          <w:i/>
        </w:rPr>
        <w:t xml:space="preserve">number of days in year </w:t>
      </w:r>
      <w:r w:rsidRPr="003F43B0">
        <w:t>means the number of days in the financial year.</w:t>
      </w:r>
    </w:p>
    <w:p w:rsidR="00D15BDB" w:rsidRPr="003F43B0" w:rsidRDefault="00D15BDB" w:rsidP="00D15BDB">
      <w:pPr>
        <w:pStyle w:val="Definition"/>
      </w:pPr>
      <w:r w:rsidRPr="003F43B0">
        <w:rPr>
          <w:b/>
          <w:i/>
        </w:rPr>
        <w:t>products</w:t>
      </w:r>
      <w:r w:rsidRPr="003F43B0">
        <w:t xml:space="preserve"> means the number of that kind of television or computer product </w:t>
      </w:r>
      <w:r w:rsidR="00C77132" w:rsidRPr="003F43B0">
        <w:t>that w</w:t>
      </w:r>
      <w:r w:rsidR="004C2615" w:rsidRPr="003F43B0">
        <w:t>as</w:t>
      </w:r>
      <w:r w:rsidR="00C77132" w:rsidRPr="003F43B0">
        <w:t xml:space="preserve"> </w:t>
      </w:r>
      <w:r w:rsidRPr="003F43B0">
        <w:t>imported or manufactured in the year before the financial year.</w:t>
      </w:r>
    </w:p>
    <w:p w:rsidR="00D15BDB" w:rsidRPr="003F43B0" w:rsidRDefault="00D15BDB" w:rsidP="00D15BDB">
      <w:pPr>
        <w:pStyle w:val="notetext"/>
      </w:pPr>
      <w:r w:rsidRPr="003F43B0">
        <w:t>Example:</w:t>
      </w:r>
      <w:r w:rsidRPr="003F43B0">
        <w:tab/>
        <w:t>A liable party imported 36</w:t>
      </w:r>
      <w:r w:rsidR="003F43B0" w:rsidRPr="003F43B0">
        <w:t> </w:t>
      </w:r>
      <w:r w:rsidRPr="003F43B0">
        <w:t xml:space="preserve">500 web cameras </w:t>
      </w:r>
      <w:r w:rsidR="00456627" w:rsidRPr="003F43B0">
        <w:t>in the year before the</w:t>
      </w:r>
      <w:r w:rsidRPr="003F43B0">
        <w:t xml:space="preserve"> financial year. The liable party was a member of a co</w:t>
      </w:r>
      <w:r w:rsidR="003F43B0">
        <w:noBreakHyphen/>
      </w:r>
      <w:r w:rsidRPr="003F43B0">
        <w:t>regulatory arrangement</w:t>
      </w:r>
      <w:r w:rsidR="00C77132" w:rsidRPr="003F43B0">
        <w:t xml:space="preserve"> for 100 days of th</w:t>
      </w:r>
      <w:r w:rsidR="00456627" w:rsidRPr="003F43B0">
        <w:t>e</w:t>
      </w:r>
      <w:r w:rsidRPr="003F43B0">
        <w:t xml:space="preserve"> financial year.</w:t>
      </w:r>
    </w:p>
    <w:p w:rsidR="00D15BDB" w:rsidRPr="003F43B0" w:rsidRDefault="00D15BDB" w:rsidP="00D15BDB">
      <w:pPr>
        <w:pStyle w:val="notetext"/>
      </w:pPr>
      <w:r w:rsidRPr="003F43B0">
        <w:tab/>
        <w:t>The co</w:t>
      </w:r>
      <w:r w:rsidR="003F43B0">
        <w:noBreakHyphen/>
      </w:r>
      <w:r w:rsidRPr="003F43B0">
        <w:t>regulatory arrangement must count only 10</w:t>
      </w:r>
      <w:r w:rsidR="003F43B0" w:rsidRPr="003F43B0">
        <w:t> </w:t>
      </w:r>
      <w:r w:rsidRPr="003F43B0">
        <w:t>000 of the web cameras (i.e. 10</w:t>
      </w:r>
      <w:r w:rsidR="003F43B0" w:rsidRPr="003F43B0">
        <w:t> </w:t>
      </w:r>
      <w:r w:rsidRPr="003F43B0">
        <w:t>000 = 36</w:t>
      </w:r>
      <w:r w:rsidR="003F43B0" w:rsidRPr="003F43B0">
        <w:t> </w:t>
      </w:r>
      <w:r w:rsidRPr="003F43B0">
        <w:t>500 x 100 ÷ 365) when working out its import or manufacture share</w:t>
      </w:r>
      <w:r w:rsidR="00C77132" w:rsidRPr="003F43B0">
        <w:t xml:space="preserve"> for th</w:t>
      </w:r>
      <w:r w:rsidR="00456627" w:rsidRPr="003F43B0">
        <w:t>e</w:t>
      </w:r>
      <w:r w:rsidR="00C77132" w:rsidRPr="003F43B0">
        <w:t xml:space="preserve"> financial year</w:t>
      </w:r>
      <w:r w:rsidRPr="003F43B0">
        <w:t>.</w:t>
      </w:r>
    </w:p>
    <w:p w:rsidR="00D15BDB" w:rsidRPr="003F43B0" w:rsidRDefault="00D15BDB" w:rsidP="00D15BDB">
      <w:pPr>
        <w:pStyle w:val="subsection"/>
      </w:pPr>
      <w:r w:rsidRPr="003F43B0">
        <w:tab/>
        <w:t>(3)</w:t>
      </w:r>
      <w:r w:rsidRPr="003F43B0">
        <w:tab/>
        <w:t>For subregulation (2), if the liable party:</w:t>
      </w:r>
    </w:p>
    <w:p w:rsidR="00D15BDB" w:rsidRPr="003F43B0" w:rsidRDefault="00D15BDB" w:rsidP="00D15BDB">
      <w:pPr>
        <w:pStyle w:val="paragraph"/>
      </w:pPr>
      <w:r w:rsidRPr="003F43B0">
        <w:tab/>
        <w:t>(a)</w:t>
      </w:r>
      <w:r w:rsidRPr="003F43B0">
        <w:tab/>
        <w:t>becomes a member of a co</w:t>
      </w:r>
      <w:r w:rsidR="003F43B0">
        <w:noBreakHyphen/>
      </w:r>
      <w:r w:rsidRPr="003F43B0">
        <w:t>regulatory arrangement after 1</w:t>
      </w:r>
      <w:r w:rsidR="003F43B0" w:rsidRPr="003F43B0">
        <w:t> </w:t>
      </w:r>
      <w:r w:rsidRPr="003F43B0">
        <w:t>July in a financial year; and</w:t>
      </w:r>
    </w:p>
    <w:p w:rsidR="00D15BDB" w:rsidRPr="003F43B0" w:rsidRDefault="00D15BDB" w:rsidP="00D15BDB">
      <w:pPr>
        <w:pStyle w:val="paragraph"/>
      </w:pPr>
      <w:r w:rsidRPr="003F43B0">
        <w:tab/>
        <w:t>(b)</w:t>
      </w:r>
      <w:r w:rsidRPr="003F43B0">
        <w:tab/>
        <w:t>has not previously been a member of another co</w:t>
      </w:r>
      <w:r w:rsidR="003F43B0">
        <w:noBreakHyphen/>
      </w:r>
      <w:r w:rsidRPr="003F43B0">
        <w:t>regulatory arrangement in the financial year;</w:t>
      </w:r>
    </w:p>
    <w:p w:rsidR="00D15BDB" w:rsidRPr="003F43B0" w:rsidRDefault="00D15BDB" w:rsidP="00D15BDB">
      <w:pPr>
        <w:pStyle w:val="subsection2"/>
      </w:pPr>
      <w:r w:rsidRPr="003F43B0">
        <w:t>the liable party is taken to be a member of the co</w:t>
      </w:r>
      <w:r w:rsidR="003F43B0">
        <w:noBreakHyphen/>
      </w:r>
      <w:r w:rsidRPr="003F43B0">
        <w:t>regulatory arrangement from 1</w:t>
      </w:r>
      <w:r w:rsidR="003F43B0" w:rsidRPr="003F43B0">
        <w:t> </w:t>
      </w:r>
      <w:r w:rsidRPr="003F43B0">
        <w:t>July of the financial year.</w:t>
      </w:r>
    </w:p>
    <w:p w:rsidR="00D15BDB" w:rsidRPr="003F43B0" w:rsidRDefault="00D15BDB" w:rsidP="00D15BDB">
      <w:pPr>
        <w:pStyle w:val="notetext"/>
      </w:pPr>
      <w:r w:rsidRPr="003F43B0">
        <w:t>Example:</w:t>
      </w:r>
      <w:r w:rsidRPr="003F43B0">
        <w:tab/>
        <w:t>A liable party is not a member of a co</w:t>
      </w:r>
      <w:r w:rsidR="003F43B0">
        <w:noBreakHyphen/>
      </w:r>
      <w:r w:rsidRPr="003F43B0">
        <w:t>regulatory arrangement between 1</w:t>
      </w:r>
      <w:r w:rsidR="003F43B0" w:rsidRPr="003F43B0">
        <w:t> </w:t>
      </w:r>
      <w:r w:rsidRPr="003F43B0">
        <w:t>July 2014 and 31</w:t>
      </w:r>
      <w:r w:rsidR="003F43B0" w:rsidRPr="003F43B0">
        <w:t> </w:t>
      </w:r>
      <w:r w:rsidRPr="003F43B0">
        <w:t>August 2014, when the liable party becomes a member of co</w:t>
      </w:r>
      <w:r w:rsidR="003F43B0">
        <w:noBreakHyphen/>
      </w:r>
      <w:r w:rsidRPr="003F43B0">
        <w:t>regulatory arrangement ABC. The liable party remains a member of co</w:t>
      </w:r>
      <w:r w:rsidR="003F43B0">
        <w:noBreakHyphen/>
      </w:r>
      <w:r w:rsidRPr="003F43B0">
        <w:t>regulatory arrangement ABC until 30</w:t>
      </w:r>
      <w:r w:rsidR="003F43B0" w:rsidRPr="003F43B0">
        <w:t> </w:t>
      </w:r>
      <w:r w:rsidRPr="003F43B0">
        <w:t>June 2015.</w:t>
      </w:r>
    </w:p>
    <w:p w:rsidR="00D15BDB" w:rsidRPr="003F43B0" w:rsidRDefault="00D15BDB" w:rsidP="00D15BDB">
      <w:pPr>
        <w:pStyle w:val="notetext"/>
      </w:pPr>
      <w:r w:rsidRPr="003F43B0">
        <w:tab/>
        <w:t>The liable party is taken to have been a member of co</w:t>
      </w:r>
      <w:r w:rsidR="003F43B0">
        <w:noBreakHyphen/>
      </w:r>
      <w:r w:rsidRPr="003F43B0">
        <w:t>regulatory arrangement ABC from 1</w:t>
      </w:r>
      <w:r w:rsidR="003F43B0" w:rsidRPr="003F43B0">
        <w:t> </w:t>
      </w:r>
      <w:r w:rsidRPr="003F43B0">
        <w:t>July 2014 to 30</w:t>
      </w:r>
      <w:r w:rsidR="003F43B0" w:rsidRPr="003F43B0">
        <w:t> </w:t>
      </w:r>
      <w:r w:rsidRPr="003F43B0">
        <w:t>June 2015.</w:t>
      </w:r>
    </w:p>
    <w:p w:rsidR="00D15BDB" w:rsidRPr="003F43B0" w:rsidRDefault="00D15BDB" w:rsidP="00C77132">
      <w:pPr>
        <w:pStyle w:val="subsection"/>
        <w:keepNext/>
      </w:pPr>
      <w:r w:rsidRPr="003F43B0">
        <w:lastRenderedPageBreak/>
        <w:tab/>
        <w:t>(</w:t>
      </w:r>
      <w:r w:rsidR="0015753F" w:rsidRPr="003F43B0">
        <w:t>4</w:t>
      </w:r>
      <w:r w:rsidRPr="003F43B0">
        <w:t>)</w:t>
      </w:r>
      <w:r w:rsidRPr="003F43B0">
        <w:tab/>
        <w:t>For subregulation (2), if a liable party:</w:t>
      </w:r>
    </w:p>
    <w:p w:rsidR="00D15BDB" w:rsidRPr="003F43B0" w:rsidRDefault="00D15BDB" w:rsidP="00D15BDB">
      <w:pPr>
        <w:pStyle w:val="paragraph"/>
      </w:pPr>
      <w:r w:rsidRPr="003F43B0">
        <w:tab/>
        <w:t>(a)</w:t>
      </w:r>
      <w:r w:rsidRPr="003F43B0">
        <w:tab/>
        <w:t>becomes a member of a co</w:t>
      </w:r>
      <w:r w:rsidR="003F43B0">
        <w:noBreakHyphen/>
      </w:r>
      <w:r w:rsidRPr="003F43B0">
        <w:t xml:space="preserve">regulatory arrangement (the </w:t>
      </w:r>
      <w:r w:rsidRPr="003F43B0">
        <w:rPr>
          <w:b/>
          <w:i/>
        </w:rPr>
        <w:t>previous co</w:t>
      </w:r>
      <w:r w:rsidR="003F43B0">
        <w:rPr>
          <w:b/>
          <w:i/>
        </w:rPr>
        <w:noBreakHyphen/>
      </w:r>
      <w:r w:rsidRPr="003F43B0">
        <w:rPr>
          <w:b/>
          <w:i/>
        </w:rPr>
        <w:t>regulatory arrangement</w:t>
      </w:r>
      <w:r w:rsidRPr="003F43B0">
        <w:t>) in a financial year; and</w:t>
      </w:r>
    </w:p>
    <w:p w:rsidR="00D15BDB" w:rsidRPr="003F43B0" w:rsidRDefault="00D15BDB" w:rsidP="00D15BDB">
      <w:pPr>
        <w:pStyle w:val="paragraph"/>
      </w:pPr>
      <w:r w:rsidRPr="003F43B0">
        <w:tab/>
        <w:t>(b)</w:t>
      </w:r>
      <w:r w:rsidRPr="003F43B0">
        <w:tab/>
        <w:t>becomes a member of another co</w:t>
      </w:r>
      <w:r w:rsidR="003F43B0">
        <w:noBreakHyphen/>
      </w:r>
      <w:r w:rsidRPr="003F43B0">
        <w:t xml:space="preserve">regulatory arrangement (the </w:t>
      </w:r>
      <w:r w:rsidRPr="003F43B0">
        <w:rPr>
          <w:b/>
          <w:i/>
        </w:rPr>
        <w:t>later co</w:t>
      </w:r>
      <w:r w:rsidR="003F43B0">
        <w:rPr>
          <w:b/>
          <w:i/>
        </w:rPr>
        <w:noBreakHyphen/>
      </w:r>
      <w:r w:rsidRPr="003F43B0">
        <w:rPr>
          <w:b/>
          <w:i/>
        </w:rPr>
        <w:t>regulatory arrangement</w:t>
      </w:r>
      <w:r w:rsidRPr="003F43B0">
        <w:t>) later that financial year;</w:t>
      </w:r>
    </w:p>
    <w:p w:rsidR="00D15BDB" w:rsidRPr="003F43B0" w:rsidRDefault="00D15BDB" w:rsidP="00D15BDB">
      <w:pPr>
        <w:pStyle w:val="subsection2"/>
      </w:pPr>
      <w:r w:rsidRPr="003F43B0">
        <w:t>the liable party is taken to be a member of the later co</w:t>
      </w:r>
      <w:r w:rsidR="003F43B0">
        <w:noBreakHyphen/>
      </w:r>
      <w:r w:rsidRPr="003F43B0">
        <w:t>regulatory arrangement from the day after the liable party stopped being a member of the previous co</w:t>
      </w:r>
      <w:r w:rsidR="003F43B0">
        <w:noBreakHyphen/>
      </w:r>
      <w:r w:rsidRPr="003F43B0">
        <w:t>regulatory arrangement.</w:t>
      </w:r>
    </w:p>
    <w:p w:rsidR="00D15BDB" w:rsidRPr="003F43B0" w:rsidRDefault="00D15BDB" w:rsidP="00D15BDB">
      <w:pPr>
        <w:pStyle w:val="notetext"/>
      </w:pPr>
      <w:r w:rsidRPr="003F43B0">
        <w:t>Example 1:</w:t>
      </w:r>
      <w:r w:rsidRPr="003F43B0">
        <w:tab/>
        <w:t>A liable party was a member of co</w:t>
      </w:r>
      <w:r w:rsidR="003F43B0">
        <w:noBreakHyphen/>
      </w:r>
      <w:r w:rsidRPr="003F43B0">
        <w:t>regulatory arrangement ABC from 1</w:t>
      </w:r>
      <w:r w:rsidR="003F43B0" w:rsidRPr="003F43B0">
        <w:t> </w:t>
      </w:r>
      <w:r w:rsidRPr="003F43B0">
        <w:t>July until 31</w:t>
      </w:r>
      <w:r w:rsidR="003F43B0" w:rsidRPr="003F43B0">
        <w:t> </w:t>
      </w:r>
      <w:r w:rsidRPr="003F43B0">
        <w:t>August 2013. The liable party becomes a member of co</w:t>
      </w:r>
      <w:r w:rsidR="003F43B0">
        <w:noBreakHyphen/>
      </w:r>
      <w:r w:rsidRPr="003F43B0">
        <w:t>regulatory arrangement XYZ on 1</w:t>
      </w:r>
      <w:r w:rsidR="003F43B0" w:rsidRPr="003F43B0">
        <w:t> </w:t>
      </w:r>
      <w:r w:rsidRPr="003F43B0">
        <w:t>December 2013 and remains a member until 30</w:t>
      </w:r>
      <w:r w:rsidR="003F43B0" w:rsidRPr="003F43B0">
        <w:t> </w:t>
      </w:r>
      <w:r w:rsidRPr="003F43B0">
        <w:t>June 2014.</w:t>
      </w:r>
    </w:p>
    <w:p w:rsidR="00D15BDB" w:rsidRPr="003F43B0" w:rsidRDefault="00D15BDB" w:rsidP="00D15BDB">
      <w:pPr>
        <w:pStyle w:val="notetext"/>
      </w:pPr>
      <w:r w:rsidRPr="003F43B0">
        <w:tab/>
        <w:t xml:space="preserve">For </w:t>
      </w:r>
      <w:r w:rsidR="00A02F9B" w:rsidRPr="003F43B0">
        <w:t>subregulation</w:t>
      </w:r>
      <w:r w:rsidRPr="003F43B0">
        <w:t xml:space="preserve"> (2), the liable </w:t>
      </w:r>
      <w:r w:rsidR="00CC55A9" w:rsidRPr="003F43B0">
        <w:t xml:space="preserve">party </w:t>
      </w:r>
      <w:r w:rsidRPr="003F43B0">
        <w:t>is taken to be a member of co</w:t>
      </w:r>
      <w:r w:rsidR="003F43B0">
        <w:noBreakHyphen/>
      </w:r>
      <w:r w:rsidRPr="003F43B0">
        <w:t>regulatory arrangement XYZ between 1</w:t>
      </w:r>
      <w:r w:rsidR="003F43B0" w:rsidRPr="003F43B0">
        <w:t> </w:t>
      </w:r>
      <w:r w:rsidRPr="003F43B0">
        <w:t>September 2013 and 30</w:t>
      </w:r>
      <w:r w:rsidR="003F43B0" w:rsidRPr="003F43B0">
        <w:t> </w:t>
      </w:r>
      <w:r w:rsidRPr="003F43B0">
        <w:t>June 2014.</w:t>
      </w:r>
    </w:p>
    <w:p w:rsidR="00D15BDB" w:rsidRPr="003F43B0" w:rsidRDefault="00D15BDB" w:rsidP="00D15BDB">
      <w:pPr>
        <w:pStyle w:val="notetext"/>
      </w:pPr>
      <w:r w:rsidRPr="003F43B0">
        <w:t>Example 2:</w:t>
      </w:r>
      <w:r w:rsidRPr="003F43B0">
        <w:tab/>
        <w:t>A liable party became a member of co</w:t>
      </w:r>
      <w:r w:rsidR="003F43B0">
        <w:noBreakHyphen/>
      </w:r>
      <w:r w:rsidRPr="003F43B0">
        <w:t>regulatory arrangement ABC on 1</w:t>
      </w:r>
      <w:r w:rsidR="003F43B0" w:rsidRPr="003F43B0">
        <w:t> </w:t>
      </w:r>
      <w:r w:rsidRPr="003F43B0">
        <w:t>July, and stopped being a member on 31</w:t>
      </w:r>
      <w:r w:rsidR="003F43B0" w:rsidRPr="003F43B0">
        <w:t> </w:t>
      </w:r>
      <w:r w:rsidRPr="003F43B0">
        <w:t>August 2013. The liable party becomes a member of co regulatory arrangement XYZ on 1</w:t>
      </w:r>
      <w:r w:rsidR="003F43B0" w:rsidRPr="003F43B0">
        <w:t> </w:t>
      </w:r>
      <w:r w:rsidRPr="003F43B0">
        <w:t>August 2013, (i.e. before the liable party stopped being a member of co</w:t>
      </w:r>
      <w:r w:rsidR="003F43B0">
        <w:noBreakHyphen/>
      </w:r>
      <w:r w:rsidRPr="003F43B0">
        <w:t>regulatory arrangement ABC) and remains a member until 30</w:t>
      </w:r>
      <w:r w:rsidR="003F43B0" w:rsidRPr="003F43B0">
        <w:t> </w:t>
      </w:r>
      <w:r w:rsidRPr="003F43B0">
        <w:t>June 2014.</w:t>
      </w:r>
    </w:p>
    <w:p w:rsidR="009F7F96" w:rsidRPr="003F43B0" w:rsidRDefault="00D15BDB" w:rsidP="0015753F">
      <w:pPr>
        <w:pStyle w:val="notetext"/>
      </w:pPr>
      <w:r w:rsidRPr="003F43B0">
        <w:tab/>
        <w:t xml:space="preserve">For </w:t>
      </w:r>
      <w:r w:rsidR="00A02F9B" w:rsidRPr="003F43B0">
        <w:t>subregulation</w:t>
      </w:r>
      <w:r w:rsidRPr="003F43B0">
        <w:t xml:space="preserve"> (2), the liable party is taken to be a member of co</w:t>
      </w:r>
      <w:r w:rsidR="003F43B0">
        <w:noBreakHyphen/>
      </w:r>
      <w:r w:rsidRPr="003F43B0">
        <w:t>regulatory arrangement XYZ between 1</w:t>
      </w:r>
      <w:r w:rsidR="003F43B0" w:rsidRPr="003F43B0">
        <w:t> </w:t>
      </w:r>
      <w:r w:rsidRPr="003F43B0">
        <w:t>September 2013 and 30</w:t>
      </w:r>
      <w:r w:rsidR="003F43B0" w:rsidRPr="003F43B0">
        <w:t> </w:t>
      </w:r>
      <w:r w:rsidRPr="003F43B0">
        <w:t>June 2014.</w:t>
      </w:r>
    </w:p>
    <w:p w:rsidR="00C735AF" w:rsidRPr="003F43B0" w:rsidRDefault="00C735AF" w:rsidP="00C735AF">
      <w:pPr>
        <w:pStyle w:val="ActHead6"/>
        <w:pageBreakBefore/>
        <w:rPr>
          <w:rFonts w:cs="Arial"/>
        </w:rPr>
      </w:pPr>
      <w:bookmarkStart w:id="15" w:name="_Toc358878534"/>
      <w:bookmarkStart w:id="16" w:name="opcCurrentFind"/>
      <w:r w:rsidRPr="003F43B0">
        <w:rPr>
          <w:rStyle w:val="CharAmSchNo"/>
        </w:rPr>
        <w:lastRenderedPageBreak/>
        <w:t>Schedule</w:t>
      </w:r>
      <w:r w:rsidR="003F43B0" w:rsidRPr="003F43B0">
        <w:rPr>
          <w:rStyle w:val="CharAmSchNo"/>
        </w:rPr>
        <w:t> </w:t>
      </w:r>
      <w:r w:rsidRPr="003F43B0">
        <w:rPr>
          <w:rStyle w:val="CharAmSchNo"/>
        </w:rPr>
        <w:t>2</w:t>
      </w:r>
      <w:r w:rsidRPr="003F43B0">
        <w:rPr>
          <w:rFonts w:cs="Arial"/>
        </w:rPr>
        <w:t>—</w:t>
      </w:r>
      <w:r w:rsidRPr="003F43B0">
        <w:rPr>
          <w:rStyle w:val="CharAmSchText"/>
        </w:rPr>
        <w:t>Amendments commencing 1</w:t>
      </w:r>
      <w:r w:rsidR="003F43B0" w:rsidRPr="003F43B0">
        <w:rPr>
          <w:rStyle w:val="CharAmSchText"/>
        </w:rPr>
        <w:t> </w:t>
      </w:r>
      <w:r w:rsidRPr="003F43B0">
        <w:rPr>
          <w:rStyle w:val="CharAmSchText"/>
        </w:rPr>
        <w:t>July 2013</w:t>
      </w:r>
      <w:bookmarkEnd w:id="15"/>
    </w:p>
    <w:bookmarkEnd w:id="16"/>
    <w:p w:rsidR="00B85EA6" w:rsidRPr="003F43B0" w:rsidRDefault="00B85EA6" w:rsidP="00C735AF">
      <w:pPr>
        <w:pStyle w:val="Header"/>
      </w:pPr>
      <w:r w:rsidRPr="003F43B0">
        <w:rPr>
          <w:rStyle w:val="CharAmPartNo"/>
        </w:rPr>
        <w:t xml:space="preserve"> </w:t>
      </w:r>
      <w:r w:rsidRPr="003F43B0">
        <w:rPr>
          <w:rStyle w:val="CharAmPartText"/>
        </w:rPr>
        <w:t xml:space="preserve"> </w:t>
      </w:r>
    </w:p>
    <w:p w:rsidR="00C735AF" w:rsidRPr="003F43B0" w:rsidRDefault="00C735AF" w:rsidP="00C735AF">
      <w:pPr>
        <w:pStyle w:val="ActHead9"/>
      </w:pPr>
      <w:bookmarkStart w:id="17" w:name="_Toc358878535"/>
      <w:r w:rsidRPr="003F43B0">
        <w:t>Product Stewardship (Televisions and Computers) Regulations</w:t>
      </w:r>
      <w:r w:rsidR="003F43B0" w:rsidRPr="003F43B0">
        <w:t> </w:t>
      </w:r>
      <w:r w:rsidRPr="003F43B0">
        <w:t>2011</w:t>
      </w:r>
      <w:bookmarkEnd w:id="17"/>
    </w:p>
    <w:p w:rsidR="003B6178" w:rsidRPr="003F43B0" w:rsidRDefault="00FF73FD" w:rsidP="00C735AF">
      <w:pPr>
        <w:pStyle w:val="ItemHead"/>
        <w:rPr>
          <w:rFonts w:cs="Arial"/>
          <w:noProof/>
        </w:rPr>
      </w:pPr>
      <w:r w:rsidRPr="003F43B0">
        <w:rPr>
          <w:rFonts w:cs="Arial"/>
          <w:noProof/>
        </w:rPr>
        <w:t>1</w:t>
      </w:r>
      <w:r w:rsidR="003B6178" w:rsidRPr="003F43B0">
        <w:rPr>
          <w:rFonts w:cs="Arial"/>
          <w:noProof/>
        </w:rPr>
        <w:t xml:space="preserve">  Subregulation</w:t>
      </w:r>
      <w:r w:rsidR="003F43B0" w:rsidRPr="003F43B0">
        <w:rPr>
          <w:rFonts w:cs="Arial"/>
          <w:noProof/>
        </w:rPr>
        <w:t> </w:t>
      </w:r>
      <w:r w:rsidR="003B6178" w:rsidRPr="003F43B0">
        <w:rPr>
          <w:rFonts w:cs="Arial"/>
          <w:noProof/>
        </w:rPr>
        <w:t>1.03(1)</w:t>
      </w:r>
    </w:p>
    <w:p w:rsidR="003B6178" w:rsidRPr="003F43B0" w:rsidRDefault="003B6178" w:rsidP="003B6178">
      <w:pPr>
        <w:pStyle w:val="Item"/>
      </w:pPr>
      <w:r w:rsidRPr="003F43B0">
        <w:t>Omit “(1)</w:t>
      </w:r>
      <w:r w:rsidR="00547FF9" w:rsidRPr="003F43B0">
        <w:t xml:space="preserve"> In”, substitute “In”.</w:t>
      </w:r>
    </w:p>
    <w:p w:rsidR="00FF2DA1" w:rsidRPr="003F43B0" w:rsidRDefault="00FF73FD" w:rsidP="00C735AF">
      <w:pPr>
        <w:pStyle w:val="ItemHead"/>
        <w:rPr>
          <w:rFonts w:cs="Arial"/>
        </w:rPr>
      </w:pPr>
      <w:r w:rsidRPr="003F43B0">
        <w:rPr>
          <w:rFonts w:cs="Arial"/>
          <w:noProof/>
        </w:rPr>
        <w:t>2</w:t>
      </w:r>
      <w:r w:rsidR="00C735AF" w:rsidRPr="003F43B0">
        <w:rPr>
          <w:rFonts w:cs="Arial"/>
        </w:rPr>
        <w:t xml:space="preserve">  Subregulation</w:t>
      </w:r>
      <w:r w:rsidR="003F43B0" w:rsidRPr="003F43B0">
        <w:rPr>
          <w:rFonts w:cs="Arial"/>
        </w:rPr>
        <w:t> </w:t>
      </w:r>
      <w:r w:rsidR="00FF2DA1" w:rsidRPr="003F43B0">
        <w:rPr>
          <w:rFonts w:cs="Arial"/>
        </w:rPr>
        <w:t>1.03(1) (definition</w:t>
      </w:r>
      <w:r w:rsidR="00C735AF" w:rsidRPr="003F43B0">
        <w:rPr>
          <w:rFonts w:cs="Arial"/>
        </w:rPr>
        <w:t xml:space="preserve"> of </w:t>
      </w:r>
      <w:r w:rsidR="00C735AF" w:rsidRPr="003F43B0">
        <w:rPr>
          <w:rFonts w:cs="Arial"/>
          <w:i/>
        </w:rPr>
        <w:t>class</w:t>
      </w:r>
      <w:r w:rsidR="00FF2DA1" w:rsidRPr="003F43B0">
        <w:rPr>
          <w:rFonts w:cs="Arial"/>
          <w:i/>
        </w:rPr>
        <w:t xml:space="preserve"> of products</w:t>
      </w:r>
      <w:r w:rsidR="00FF2DA1" w:rsidRPr="003F43B0">
        <w:rPr>
          <w:rFonts w:cs="Arial"/>
        </w:rPr>
        <w:t>)</w:t>
      </w:r>
    </w:p>
    <w:p w:rsidR="00FF2DA1" w:rsidRPr="003F43B0" w:rsidRDefault="00FF2DA1" w:rsidP="00FF2DA1">
      <w:pPr>
        <w:pStyle w:val="Item"/>
      </w:pPr>
      <w:r w:rsidRPr="003F43B0">
        <w:t>Repeal the definition.</w:t>
      </w:r>
    </w:p>
    <w:p w:rsidR="00FF2DA1" w:rsidRPr="003F43B0" w:rsidRDefault="00FF73FD" w:rsidP="00C735AF">
      <w:pPr>
        <w:pStyle w:val="ItemHead"/>
        <w:rPr>
          <w:rFonts w:cs="Arial"/>
          <w:noProof/>
        </w:rPr>
      </w:pPr>
      <w:r w:rsidRPr="003F43B0">
        <w:rPr>
          <w:rFonts w:cs="Arial"/>
          <w:noProof/>
        </w:rPr>
        <w:t>3</w:t>
      </w:r>
      <w:r w:rsidR="00FF2DA1" w:rsidRPr="003F43B0">
        <w:rPr>
          <w:rFonts w:cs="Arial"/>
          <w:noProof/>
        </w:rPr>
        <w:t xml:space="preserve">  Subregulation</w:t>
      </w:r>
      <w:r w:rsidR="003F43B0" w:rsidRPr="003F43B0">
        <w:rPr>
          <w:rFonts w:cs="Arial"/>
          <w:noProof/>
        </w:rPr>
        <w:t> </w:t>
      </w:r>
      <w:r w:rsidR="00FF2DA1" w:rsidRPr="003F43B0">
        <w:rPr>
          <w:rFonts w:cs="Arial"/>
          <w:noProof/>
        </w:rPr>
        <w:t>1.03(1)</w:t>
      </w:r>
    </w:p>
    <w:p w:rsidR="00FF2DA1" w:rsidRPr="003F43B0" w:rsidRDefault="00FF2DA1" w:rsidP="00FF2DA1">
      <w:pPr>
        <w:pStyle w:val="Item"/>
      </w:pPr>
      <w:r w:rsidRPr="003F43B0">
        <w:t>Insert:</w:t>
      </w:r>
    </w:p>
    <w:p w:rsidR="00FF2DA1" w:rsidRPr="003F43B0" w:rsidRDefault="00FF2DA1" w:rsidP="00FF2DA1">
      <w:pPr>
        <w:pStyle w:val="Definition"/>
      </w:pPr>
      <w:r w:rsidRPr="003F43B0">
        <w:rPr>
          <w:b/>
          <w:i/>
        </w:rPr>
        <w:t>computer</w:t>
      </w:r>
      <w:r w:rsidRPr="003F43B0">
        <w:t xml:space="preserve"> means a product with a product code mentioned in Part</w:t>
      </w:r>
      <w:r w:rsidR="003F43B0" w:rsidRPr="003F43B0">
        <w:t> </w:t>
      </w:r>
      <w:r w:rsidRPr="003F43B0">
        <w:t>2 of Schedule</w:t>
      </w:r>
      <w:r w:rsidR="003F43B0" w:rsidRPr="003F43B0">
        <w:t> </w:t>
      </w:r>
      <w:r w:rsidRPr="003F43B0">
        <w:t>1, 1A or 1B.</w:t>
      </w:r>
    </w:p>
    <w:p w:rsidR="00FF2DA1" w:rsidRPr="003F43B0" w:rsidRDefault="00FF73FD" w:rsidP="00C735AF">
      <w:pPr>
        <w:pStyle w:val="ItemHead"/>
        <w:rPr>
          <w:rFonts w:cs="Arial"/>
        </w:rPr>
      </w:pPr>
      <w:r w:rsidRPr="003F43B0">
        <w:rPr>
          <w:rFonts w:cs="Arial"/>
          <w:noProof/>
        </w:rPr>
        <w:t>4</w:t>
      </w:r>
      <w:r w:rsidR="00FF2DA1" w:rsidRPr="003F43B0">
        <w:rPr>
          <w:rFonts w:cs="Arial"/>
        </w:rPr>
        <w:t xml:space="preserve">  Subregulation</w:t>
      </w:r>
      <w:r w:rsidR="003F43B0" w:rsidRPr="003F43B0">
        <w:rPr>
          <w:rFonts w:cs="Arial"/>
        </w:rPr>
        <w:t> </w:t>
      </w:r>
      <w:r w:rsidR="00FF2DA1" w:rsidRPr="003F43B0">
        <w:rPr>
          <w:rFonts w:cs="Arial"/>
        </w:rPr>
        <w:t xml:space="preserve">1.03(1) (definition of </w:t>
      </w:r>
      <w:r w:rsidR="00E2582F" w:rsidRPr="003F43B0">
        <w:rPr>
          <w:rFonts w:cs="Arial"/>
          <w:i/>
        </w:rPr>
        <w:t>computer class</w:t>
      </w:r>
      <w:r w:rsidR="00FF2DA1" w:rsidRPr="003F43B0">
        <w:rPr>
          <w:rFonts w:cs="Arial"/>
        </w:rPr>
        <w:t>)</w:t>
      </w:r>
    </w:p>
    <w:p w:rsidR="00FF2DA1" w:rsidRPr="003F43B0" w:rsidRDefault="00FF2DA1" w:rsidP="00FF2DA1">
      <w:pPr>
        <w:pStyle w:val="Item"/>
      </w:pPr>
      <w:r w:rsidRPr="003F43B0">
        <w:t>Repeal the definition.</w:t>
      </w:r>
    </w:p>
    <w:p w:rsidR="00FF2DA1" w:rsidRPr="003F43B0" w:rsidRDefault="00FF73FD" w:rsidP="00FF2DA1">
      <w:pPr>
        <w:pStyle w:val="ItemHead"/>
        <w:rPr>
          <w:rFonts w:cs="Arial"/>
          <w:noProof/>
        </w:rPr>
      </w:pPr>
      <w:r w:rsidRPr="003F43B0">
        <w:rPr>
          <w:rFonts w:cs="Arial"/>
          <w:noProof/>
        </w:rPr>
        <w:t>5</w:t>
      </w:r>
      <w:r w:rsidR="00FF2DA1" w:rsidRPr="003F43B0">
        <w:rPr>
          <w:rFonts w:cs="Arial"/>
          <w:noProof/>
        </w:rPr>
        <w:t xml:space="preserve">  Subregulation</w:t>
      </w:r>
      <w:r w:rsidR="003F43B0" w:rsidRPr="003F43B0">
        <w:rPr>
          <w:rFonts w:cs="Arial"/>
          <w:noProof/>
        </w:rPr>
        <w:t> </w:t>
      </w:r>
      <w:r w:rsidR="00FF2DA1" w:rsidRPr="003F43B0">
        <w:rPr>
          <w:rFonts w:cs="Arial"/>
          <w:noProof/>
        </w:rPr>
        <w:t>1.03(1)</w:t>
      </w:r>
    </w:p>
    <w:p w:rsidR="00FF2DA1" w:rsidRPr="003F43B0" w:rsidRDefault="00FF2DA1" w:rsidP="00FF2DA1">
      <w:pPr>
        <w:pStyle w:val="Item"/>
      </w:pPr>
      <w:r w:rsidRPr="003F43B0">
        <w:t>Insert:</w:t>
      </w:r>
    </w:p>
    <w:p w:rsidR="00FF2DA1" w:rsidRPr="003F43B0" w:rsidRDefault="00FF2DA1" w:rsidP="00FF73FD">
      <w:pPr>
        <w:pStyle w:val="Definition"/>
      </w:pPr>
      <w:r w:rsidRPr="003F43B0">
        <w:rPr>
          <w:b/>
          <w:i/>
        </w:rPr>
        <w:t>computer part or peripheral</w:t>
      </w:r>
      <w:r w:rsidRPr="003F43B0">
        <w:t xml:space="preserve"> means a product with a product code mentioned in Part</w:t>
      </w:r>
      <w:r w:rsidR="003F43B0" w:rsidRPr="003F43B0">
        <w:t> </w:t>
      </w:r>
      <w:r w:rsidRPr="003F43B0">
        <w:t>4 of Schedule</w:t>
      </w:r>
      <w:r w:rsidR="003F43B0" w:rsidRPr="003F43B0">
        <w:t> </w:t>
      </w:r>
      <w:r w:rsidR="00FF73FD" w:rsidRPr="003F43B0">
        <w:t>1, 1A or 1B.</w:t>
      </w:r>
    </w:p>
    <w:p w:rsidR="00FF2DA1" w:rsidRPr="003F43B0" w:rsidRDefault="00FF73FD" w:rsidP="00C735AF">
      <w:pPr>
        <w:pStyle w:val="ItemHead"/>
        <w:rPr>
          <w:rFonts w:cs="Arial"/>
          <w:i/>
        </w:rPr>
      </w:pPr>
      <w:r w:rsidRPr="003F43B0">
        <w:rPr>
          <w:rFonts w:cs="Arial"/>
        </w:rPr>
        <w:t>6</w:t>
      </w:r>
      <w:r w:rsidR="00FF2DA1" w:rsidRPr="003F43B0">
        <w:rPr>
          <w:rFonts w:cs="Arial"/>
        </w:rPr>
        <w:t xml:space="preserve">  Subregulation</w:t>
      </w:r>
      <w:r w:rsidR="003F43B0" w:rsidRPr="003F43B0">
        <w:rPr>
          <w:rFonts w:cs="Arial"/>
        </w:rPr>
        <w:t> </w:t>
      </w:r>
      <w:r w:rsidR="00FF2DA1" w:rsidRPr="003F43B0">
        <w:rPr>
          <w:rFonts w:cs="Arial"/>
        </w:rPr>
        <w:t xml:space="preserve">1.03(1) (definition of </w:t>
      </w:r>
      <w:r w:rsidR="00C735AF" w:rsidRPr="003F43B0">
        <w:rPr>
          <w:rFonts w:cs="Arial"/>
          <w:i/>
        </w:rPr>
        <w:t>converted weight</w:t>
      </w:r>
      <w:r w:rsidR="00FF2DA1" w:rsidRPr="003F43B0">
        <w:rPr>
          <w:rFonts w:cs="Arial"/>
        </w:rPr>
        <w:t>)</w:t>
      </w:r>
    </w:p>
    <w:p w:rsidR="00C735AF" w:rsidRPr="003F43B0" w:rsidRDefault="00FF2DA1" w:rsidP="00C735AF">
      <w:pPr>
        <w:pStyle w:val="Item"/>
      </w:pPr>
      <w:r w:rsidRPr="003F43B0">
        <w:t>Repeal the definition</w:t>
      </w:r>
      <w:r w:rsidR="00C735AF" w:rsidRPr="003F43B0">
        <w:t>, substitute:</w:t>
      </w:r>
    </w:p>
    <w:p w:rsidR="00C735AF" w:rsidRPr="003F43B0" w:rsidRDefault="00C735AF" w:rsidP="00C735AF">
      <w:pPr>
        <w:pStyle w:val="Definition"/>
      </w:pPr>
      <w:r w:rsidRPr="003F43B0">
        <w:rPr>
          <w:b/>
          <w:i/>
        </w:rPr>
        <w:t>converted weight</w:t>
      </w:r>
      <w:r w:rsidRPr="003F43B0">
        <w:t xml:space="preserve">, in relation to a number of units of a </w:t>
      </w:r>
      <w:r w:rsidR="00AA6455" w:rsidRPr="003F43B0">
        <w:t>kind</w:t>
      </w:r>
      <w:r w:rsidRPr="003F43B0">
        <w:t xml:space="preserve"> of </w:t>
      </w:r>
      <w:r w:rsidR="00347012" w:rsidRPr="003F43B0">
        <w:t xml:space="preserve">television or computer </w:t>
      </w:r>
      <w:r w:rsidR="00563D72" w:rsidRPr="003F43B0">
        <w:t>product</w:t>
      </w:r>
      <w:r w:rsidRPr="003F43B0">
        <w:t>, means the number obtained by multiplying the number of units by the conversion factor mentioned for the product in column 3 of the relevant Schedule.</w:t>
      </w:r>
    </w:p>
    <w:p w:rsidR="00FF2DA1" w:rsidRPr="003F43B0" w:rsidRDefault="00FF73FD" w:rsidP="00FF2DA1">
      <w:pPr>
        <w:pStyle w:val="ItemHead"/>
        <w:rPr>
          <w:rFonts w:cs="Arial"/>
        </w:rPr>
      </w:pPr>
      <w:r w:rsidRPr="003F43B0">
        <w:rPr>
          <w:rFonts w:cs="Arial"/>
        </w:rPr>
        <w:t>7</w:t>
      </w:r>
      <w:r w:rsidR="00FF2DA1" w:rsidRPr="003F43B0">
        <w:rPr>
          <w:rFonts w:cs="Arial"/>
        </w:rPr>
        <w:t xml:space="preserve">  Subregulation</w:t>
      </w:r>
      <w:r w:rsidR="003F43B0" w:rsidRPr="003F43B0">
        <w:rPr>
          <w:rFonts w:cs="Arial"/>
        </w:rPr>
        <w:t> </w:t>
      </w:r>
      <w:r w:rsidR="00FF2DA1" w:rsidRPr="003F43B0">
        <w:rPr>
          <w:rFonts w:cs="Arial"/>
        </w:rPr>
        <w:t>1.03(1) (definition of</w:t>
      </w:r>
      <w:r w:rsidR="00FF2DA1" w:rsidRPr="003F43B0">
        <w:rPr>
          <w:rFonts w:cs="Arial"/>
          <w:i/>
        </w:rPr>
        <w:t xml:space="preserve"> import or manufacture share of a co</w:t>
      </w:r>
      <w:r w:rsidR="003F43B0">
        <w:rPr>
          <w:rFonts w:cs="Arial"/>
          <w:i/>
        </w:rPr>
        <w:noBreakHyphen/>
      </w:r>
      <w:r w:rsidR="00FF2DA1" w:rsidRPr="003F43B0">
        <w:rPr>
          <w:rFonts w:cs="Arial"/>
          <w:i/>
        </w:rPr>
        <w:t>regulatory arrangement</w:t>
      </w:r>
      <w:r w:rsidR="00FF2DA1" w:rsidRPr="003F43B0">
        <w:rPr>
          <w:rFonts w:cs="Arial"/>
        </w:rPr>
        <w:t>)</w:t>
      </w:r>
    </w:p>
    <w:p w:rsidR="008E7574" w:rsidRPr="003F43B0" w:rsidRDefault="008E7574" w:rsidP="008E7574">
      <w:pPr>
        <w:pStyle w:val="Item"/>
      </w:pPr>
      <w:r w:rsidRPr="003F43B0">
        <w:t>Repeal the definition.</w:t>
      </w:r>
    </w:p>
    <w:p w:rsidR="00FF2DA1" w:rsidRPr="003F43B0" w:rsidRDefault="00FF73FD" w:rsidP="00FF2DA1">
      <w:pPr>
        <w:pStyle w:val="ItemHead"/>
      </w:pPr>
      <w:r w:rsidRPr="003F43B0">
        <w:lastRenderedPageBreak/>
        <w:t>8</w:t>
      </w:r>
      <w:r w:rsidR="00FF2DA1" w:rsidRPr="003F43B0">
        <w:t xml:space="preserve">  Subregulation</w:t>
      </w:r>
      <w:r w:rsidR="003F43B0" w:rsidRPr="003F43B0">
        <w:t> </w:t>
      </w:r>
      <w:r w:rsidR="00FF2DA1" w:rsidRPr="003F43B0">
        <w:t>1.03(1)</w:t>
      </w:r>
    </w:p>
    <w:p w:rsidR="00FF2DA1" w:rsidRPr="003F43B0" w:rsidRDefault="00FF2DA1" w:rsidP="00FF2DA1">
      <w:pPr>
        <w:pStyle w:val="Item"/>
      </w:pPr>
      <w:r w:rsidRPr="003F43B0">
        <w:t>Insert:</w:t>
      </w:r>
    </w:p>
    <w:p w:rsidR="00886D87" w:rsidRPr="003F43B0" w:rsidRDefault="00886D87" w:rsidP="00886D87">
      <w:pPr>
        <w:pStyle w:val="Definition"/>
      </w:pPr>
      <w:r w:rsidRPr="003F43B0">
        <w:rPr>
          <w:b/>
          <w:i/>
        </w:rPr>
        <w:t>import or manufacture share</w:t>
      </w:r>
      <w:r w:rsidRPr="003F43B0">
        <w:t>: see regulation</w:t>
      </w:r>
      <w:r w:rsidR="003F43B0" w:rsidRPr="003F43B0">
        <w:t> </w:t>
      </w:r>
      <w:r w:rsidR="001A765B" w:rsidRPr="003F43B0">
        <w:t>3.04</w:t>
      </w:r>
      <w:r w:rsidRPr="003F43B0">
        <w:t>.</w:t>
      </w:r>
    </w:p>
    <w:p w:rsidR="007447EC" w:rsidRPr="003F43B0" w:rsidRDefault="007447EC" w:rsidP="00C735AF">
      <w:pPr>
        <w:pStyle w:val="Definition"/>
      </w:pPr>
      <w:r w:rsidRPr="003F43B0">
        <w:rPr>
          <w:b/>
          <w:i/>
        </w:rPr>
        <w:t>kind of television or computer product</w:t>
      </w:r>
      <w:r w:rsidRPr="003F43B0">
        <w:t xml:space="preserve"> means a television or computer product with a distinct product code.</w:t>
      </w:r>
    </w:p>
    <w:p w:rsidR="007447EC" w:rsidRPr="003F43B0" w:rsidRDefault="00886D87" w:rsidP="007447EC">
      <w:pPr>
        <w:pStyle w:val="notetext"/>
      </w:pPr>
      <w:r w:rsidRPr="003F43B0">
        <w:t>Example:</w:t>
      </w:r>
      <w:r w:rsidRPr="003F43B0">
        <w:tab/>
      </w:r>
      <w:r w:rsidR="007447EC" w:rsidRPr="003F43B0">
        <w:t>Plasma televisions wi</w:t>
      </w:r>
      <w:r w:rsidRPr="003F43B0">
        <w:t xml:space="preserve">th a screen size less than 76cm </w:t>
      </w:r>
      <w:r w:rsidR="007447EC" w:rsidRPr="003F43B0">
        <w:t>have the distinct product code 8528.72.00.23. They are a kind of television or computer product.</w:t>
      </w:r>
    </w:p>
    <w:p w:rsidR="00C735AF" w:rsidRPr="003F43B0" w:rsidRDefault="00FF73FD" w:rsidP="00C735AF">
      <w:pPr>
        <w:pStyle w:val="ItemHead"/>
        <w:rPr>
          <w:rFonts w:cs="Arial"/>
          <w:noProof/>
        </w:rPr>
      </w:pPr>
      <w:r w:rsidRPr="003F43B0">
        <w:rPr>
          <w:rFonts w:cs="Arial"/>
          <w:noProof/>
        </w:rPr>
        <w:t>9</w:t>
      </w:r>
      <w:r w:rsidR="00C735AF" w:rsidRPr="003F43B0">
        <w:rPr>
          <w:rFonts w:cs="Arial"/>
          <w:noProof/>
        </w:rPr>
        <w:t xml:space="preserve">  Subregulation</w:t>
      </w:r>
      <w:r w:rsidR="003F43B0" w:rsidRPr="003F43B0">
        <w:rPr>
          <w:rFonts w:cs="Arial"/>
          <w:noProof/>
        </w:rPr>
        <w:t> </w:t>
      </w:r>
      <w:r w:rsidR="00C735AF" w:rsidRPr="003F43B0">
        <w:rPr>
          <w:rFonts w:cs="Arial"/>
          <w:noProof/>
        </w:rPr>
        <w:t xml:space="preserve">1.03(1) (definition of </w:t>
      </w:r>
      <w:r w:rsidR="00C735AF" w:rsidRPr="003F43B0">
        <w:rPr>
          <w:rFonts w:cs="Arial"/>
          <w:i/>
          <w:noProof/>
        </w:rPr>
        <w:t>material recovery target</w:t>
      </w:r>
      <w:r w:rsidR="00C735AF" w:rsidRPr="003F43B0">
        <w:rPr>
          <w:rFonts w:cs="Arial"/>
          <w:noProof/>
        </w:rPr>
        <w:t>)</w:t>
      </w:r>
    </w:p>
    <w:p w:rsidR="00C735AF" w:rsidRPr="003F43B0" w:rsidRDefault="00C735AF" w:rsidP="00C735AF">
      <w:pPr>
        <w:pStyle w:val="Item"/>
      </w:pPr>
      <w:r w:rsidRPr="003F43B0">
        <w:t>Omit “products in a class of products”, substitute “</w:t>
      </w:r>
      <w:r w:rsidR="00347012" w:rsidRPr="003F43B0">
        <w:t xml:space="preserve">television or computer </w:t>
      </w:r>
      <w:r w:rsidR="00563D72" w:rsidRPr="003F43B0">
        <w:t>product</w:t>
      </w:r>
      <w:r w:rsidRPr="003F43B0">
        <w:t>s.</w:t>
      </w:r>
    </w:p>
    <w:p w:rsidR="008429F5" w:rsidRPr="003F43B0" w:rsidRDefault="00FF73FD" w:rsidP="00C735AF">
      <w:pPr>
        <w:pStyle w:val="ItemHead"/>
        <w:rPr>
          <w:rFonts w:cs="Arial"/>
        </w:rPr>
      </w:pPr>
      <w:r w:rsidRPr="003F43B0">
        <w:rPr>
          <w:rFonts w:cs="Arial"/>
          <w:noProof/>
        </w:rPr>
        <w:t>10</w:t>
      </w:r>
      <w:r w:rsidR="00C735AF" w:rsidRPr="003F43B0">
        <w:rPr>
          <w:rFonts w:cs="Arial"/>
        </w:rPr>
        <w:t xml:space="preserve">  Subregulation</w:t>
      </w:r>
      <w:r w:rsidR="003F43B0" w:rsidRPr="003F43B0">
        <w:rPr>
          <w:rFonts w:cs="Arial"/>
        </w:rPr>
        <w:t> </w:t>
      </w:r>
      <w:r w:rsidR="008429F5" w:rsidRPr="003F43B0">
        <w:rPr>
          <w:rFonts w:cs="Arial"/>
        </w:rPr>
        <w:t>1.03(1) (definition</w:t>
      </w:r>
      <w:r w:rsidR="00C735AF" w:rsidRPr="003F43B0">
        <w:rPr>
          <w:rFonts w:cs="Arial"/>
        </w:rPr>
        <w:t xml:space="preserve"> of </w:t>
      </w:r>
      <w:r w:rsidR="008429F5" w:rsidRPr="003F43B0">
        <w:rPr>
          <w:rFonts w:cs="Arial"/>
          <w:i/>
        </w:rPr>
        <w:t>percentage target</w:t>
      </w:r>
      <w:r w:rsidR="008429F5" w:rsidRPr="003F43B0">
        <w:rPr>
          <w:rFonts w:cs="Arial"/>
        </w:rPr>
        <w:t>)</w:t>
      </w:r>
    </w:p>
    <w:p w:rsidR="008429F5" w:rsidRPr="003F43B0" w:rsidRDefault="008429F5" w:rsidP="008429F5">
      <w:pPr>
        <w:pStyle w:val="Item"/>
      </w:pPr>
      <w:r w:rsidRPr="003F43B0">
        <w:t>Repeal the definition, substitute:</w:t>
      </w:r>
    </w:p>
    <w:p w:rsidR="008429F5" w:rsidRPr="003F43B0" w:rsidRDefault="008429F5" w:rsidP="008429F5">
      <w:pPr>
        <w:pStyle w:val="Definition"/>
      </w:pPr>
      <w:r w:rsidRPr="003F43B0">
        <w:rPr>
          <w:b/>
          <w:i/>
        </w:rPr>
        <w:t>percentage target</w:t>
      </w:r>
      <w:r w:rsidRPr="003F43B0">
        <w:t>, in relation to a television or computer product for a financial year, means the percentage target set out in Schedule</w:t>
      </w:r>
      <w:r w:rsidR="003F43B0" w:rsidRPr="003F43B0">
        <w:t> </w:t>
      </w:r>
      <w:r w:rsidRPr="003F43B0">
        <w:t>2 for the television or computer product for the financial year.</w:t>
      </w:r>
    </w:p>
    <w:p w:rsidR="008429F5" w:rsidRPr="003F43B0" w:rsidRDefault="00FF73FD" w:rsidP="00C735AF">
      <w:pPr>
        <w:pStyle w:val="ItemHead"/>
        <w:rPr>
          <w:rFonts w:cs="Arial"/>
        </w:rPr>
      </w:pPr>
      <w:r w:rsidRPr="003F43B0">
        <w:rPr>
          <w:rFonts w:cs="Arial"/>
        </w:rPr>
        <w:t>11</w:t>
      </w:r>
      <w:r w:rsidR="008429F5" w:rsidRPr="003F43B0">
        <w:rPr>
          <w:rFonts w:cs="Arial"/>
        </w:rPr>
        <w:t xml:space="preserve">  Subregulation</w:t>
      </w:r>
      <w:r w:rsidR="003F43B0" w:rsidRPr="003F43B0">
        <w:rPr>
          <w:rFonts w:cs="Arial"/>
        </w:rPr>
        <w:t> </w:t>
      </w:r>
      <w:r w:rsidR="008429F5" w:rsidRPr="003F43B0">
        <w:rPr>
          <w:rFonts w:cs="Arial"/>
        </w:rPr>
        <w:t>1.03(1)</w:t>
      </w:r>
    </w:p>
    <w:p w:rsidR="008429F5" w:rsidRPr="003F43B0" w:rsidRDefault="008429F5" w:rsidP="008429F5">
      <w:pPr>
        <w:pStyle w:val="Item"/>
      </w:pPr>
      <w:r w:rsidRPr="003F43B0">
        <w:t>Insert:</w:t>
      </w:r>
    </w:p>
    <w:p w:rsidR="008429F5" w:rsidRPr="003F43B0" w:rsidRDefault="008429F5" w:rsidP="008429F5">
      <w:pPr>
        <w:pStyle w:val="Definition"/>
      </w:pPr>
      <w:r w:rsidRPr="003F43B0">
        <w:rPr>
          <w:b/>
          <w:i/>
        </w:rPr>
        <w:t>printer</w:t>
      </w:r>
      <w:r w:rsidRPr="003F43B0">
        <w:t xml:space="preserve"> means a product with a product code mentioned in Part</w:t>
      </w:r>
      <w:r w:rsidR="003F43B0" w:rsidRPr="003F43B0">
        <w:t> </w:t>
      </w:r>
      <w:r w:rsidRPr="003F43B0">
        <w:t>3 of Schedule</w:t>
      </w:r>
      <w:r w:rsidR="003F43B0" w:rsidRPr="003F43B0">
        <w:t> </w:t>
      </w:r>
      <w:r w:rsidRPr="003F43B0">
        <w:t>1, 1A or 1B.</w:t>
      </w:r>
    </w:p>
    <w:p w:rsidR="00C735AF" w:rsidRPr="003F43B0" w:rsidRDefault="00FF73FD" w:rsidP="00C735AF">
      <w:pPr>
        <w:pStyle w:val="ItemHead"/>
        <w:rPr>
          <w:rFonts w:cs="Arial"/>
          <w:i/>
        </w:rPr>
      </w:pPr>
      <w:r w:rsidRPr="003F43B0">
        <w:rPr>
          <w:rFonts w:cs="Arial"/>
        </w:rPr>
        <w:t>12</w:t>
      </w:r>
      <w:r w:rsidR="008429F5" w:rsidRPr="003F43B0">
        <w:rPr>
          <w:rFonts w:cs="Arial"/>
        </w:rPr>
        <w:t xml:space="preserve">  Subregulation</w:t>
      </w:r>
      <w:r w:rsidR="003F43B0" w:rsidRPr="003F43B0">
        <w:rPr>
          <w:rFonts w:cs="Arial"/>
        </w:rPr>
        <w:t> </w:t>
      </w:r>
      <w:r w:rsidR="008429F5" w:rsidRPr="003F43B0">
        <w:rPr>
          <w:rFonts w:cs="Arial"/>
        </w:rPr>
        <w:t>1.03(1) (definition of</w:t>
      </w:r>
      <w:r w:rsidR="00C735AF" w:rsidRPr="003F43B0">
        <w:rPr>
          <w:rFonts w:cs="Arial"/>
          <w:i/>
        </w:rPr>
        <w:t xml:space="preserve"> product code)</w:t>
      </w:r>
    </w:p>
    <w:p w:rsidR="00C735AF" w:rsidRPr="003F43B0" w:rsidRDefault="008429F5" w:rsidP="00C735AF">
      <w:pPr>
        <w:pStyle w:val="Item"/>
      </w:pPr>
      <w:r w:rsidRPr="003F43B0">
        <w:t>Repeal the definition</w:t>
      </w:r>
      <w:r w:rsidR="00C735AF" w:rsidRPr="003F43B0">
        <w:t>, substitute:</w:t>
      </w:r>
    </w:p>
    <w:p w:rsidR="00C735AF" w:rsidRPr="003F43B0" w:rsidRDefault="00C735AF" w:rsidP="00C735AF">
      <w:pPr>
        <w:pStyle w:val="Definition"/>
      </w:pPr>
      <w:r w:rsidRPr="003F43B0">
        <w:rPr>
          <w:b/>
          <w:i/>
        </w:rPr>
        <w:t>product code</w:t>
      </w:r>
      <w:r w:rsidRPr="003F43B0">
        <w:t xml:space="preserve">, for a </w:t>
      </w:r>
      <w:r w:rsidR="00347012" w:rsidRPr="003F43B0">
        <w:t xml:space="preserve">television or computer </w:t>
      </w:r>
      <w:r w:rsidR="00563D72" w:rsidRPr="003F43B0">
        <w:t>product</w:t>
      </w:r>
      <w:r w:rsidRPr="003F43B0">
        <w:t xml:space="preserve">, means the code mentioned for the product in </w:t>
      </w:r>
      <w:r w:rsidR="00D12762" w:rsidRPr="003F43B0">
        <w:t xml:space="preserve">the document called the </w:t>
      </w:r>
      <w:r w:rsidR="00D12762" w:rsidRPr="003F43B0">
        <w:rPr>
          <w:i/>
        </w:rPr>
        <w:t>Combined Australian Customs Tariff Nomenclature and Statistical Classification</w:t>
      </w:r>
      <w:r w:rsidRPr="003F43B0">
        <w:t>.</w:t>
      </w:r>
    </w:p>
    <w:p w:rsidR="00D12762" w:rsidRPr="003F43B0" w:rsidRDefault="00D12762" w:rsidP="00D12762">
      <w:pPr>
        <w:pStyle w:val="notetext"/>
      </w:pPr>
      <w:r w:rsidRPr="003F43B0">
        <w:t>Note:</w:t>
      </w:r>
      <w:r w:rsidRPr="003F43B0">
        <w:tab/>
        <w:t xml:space="preserve">In 2013, the </w:t>
      </w:r>
      <w:r w:rsidRPr="003F43B0">
        <w:rPr>
          <w:i/>
        </w:rPr>
        <w:t>Combined Australian Customs Tariff Nomenclature and Statistical Classification</w:t>
      </w:r>
      <w:r w:rsidRPr="003F43B0">
        <w:t xml:space="preserve"> </w:t>
      </w:r>
      <w:r w:rsidR="00270F8B" w:rsidRPr="003F43B0">
        <w:t xml:space="preserve">was accessible </w:t>
      </w:r>
      <w:r w:rsidRPr="003F43B0">
        <w:t>on the Australian Customs and Border Protection Service website (www.customs.gov.au).</w:t>
      </w:r>
    </w:p>
    <w:p w:rsidR="00C735AF" w:rsidRPr="003F43B0" w:rsidRDefault="00FF73FD" w:rsidP="00C735AF">
      <w:pPr>
        <w:pStyle w:val="ItemHead"/>
        <w:rPr>
          <w:rFonts w:cs="Arial"/>
        </w:rPr>
      </w:pPr>
      <w:r w:rsidRPr="003F43B0">
        <w:rPr>
          <w:rFonts w:cs="Arial"/>
          <w:noProof/>
        </w:rPr>
        <w:lastRenderedPageBreak/>
        <w:t>13</w:t>
      </w:r>
      <w:r w:rsidR="00C735AF" w:rsidRPr="003F43B0">
        <w:rPr>
          <w:rFonts w:cs="Arial"/>
        </w:rPr>
        <w:t xml:space="preserve">  Subregulation</w:t>
      </w:r>
      <w:r w:rsidR="003F43B0" w:rsidRPr="003F43B0">
        <w:rPr>
          <w:rFonts w:cs="Arial"/>
        </w:rPr>
        <w:t> </w:t>
      </w:r>
      <w:r w:rsidR="00C735AF" w:rsidRPr="003F43B0">
        <w:rPr>
          <w:rFonts w:cs="Arial"/>
        </w:rPr>
        <w:t xml:space="preserve">1.03(1) (definition of </w:t>
      </w:r>
      <w:r w:rsidR="00C735AF" w:rsidRPr="003F43B0">
        <w:rPr>
          <w:rFonts w:cs="Arial"/>
          <w:i/>
        </w:rPr>
        <w:t>recycle)</w:t>
      </w:r>
    </w:p>
    <w:p w:rsidR="00C735AF" w:rsidRPr="003F43B0" w:rsidRDefault="00C735AF" w:rsidP="00C735AF">
      <w:pPr>
        <w:pStyle w:val="Item"/>
      </w:pPr>
      <w:r w:rsidRPr="003F43B0">
        <w:t xml:space="preserve">Omit “a product,”, substitute “a </w:t>
      </w:r>
      <w:r w:rsidR="00347012" w:rsidRPr="003F43B0">
        <w:t xml:space="preserve">television or computer </w:t>
      </w:r>
      <w:r w:rsidR="00563D72" w:rsidRPr="003F43B0">
        <w:t>product</w:t>
      </w:r>
      <w:r w:rsidRPr="003F43B0">
        <w:t>,”.</w:t>
      </w:r>
    </w:p>
    <w:p w:rsidR="00C735AF" w:rsidRPr="003F43B0" w:rsidRDefault="00FF73FD" w:rsidP="00C735AF">
      <w:pPr>
        <w:pStyle w:val="ItemHead"/>
        <w:rPr>
          <w:rFonts w:cs="Arial"/>
          <w:noProof/>
        </w:rPr>
      </w:pPr>
      <w:r w:rsidRPr="003F43B0">
        <w:rPr>
          <w:rFonts w:cs="Arial"/>
          <w:noProof/>
        </w:rPr>
        <w:t>14</w:t>
      </w:r>
      <w:r w:rsidR="00C735AF" w:rsidRPr="003F43B0">
        <w:rPr>
          <w:rFonts w:cs="Arial"/>
          <w:noProof/>
        </w:rPr>
        <w:t xml:space="preserve">  Subregulation</w:t>
      </w:r>
      <w:r w:rsidR="003F43B0" w:rsidRPr="003F43B0">
        <w:rPr>
          <w:rFonts w:cs="Arial"/>
          <w:noProof/>
        </w:rPr>
        <w:t> </w:t>
      </w:r>
      <w:r w:rsidR="00C735AF" w:rsidRPr="003F43B0">
        <w:rPr>
          <w:rFonts w:cs="Arial"/>
          <w:noProof/>
        </w:rPr>
        <w:t xml:space="preserve">1.03(1) (definition of </w:t>
      </w:r>
      <w:r w:rsidR="00C735AF" w:rsidRPr="003F43B0">
        <w:rPr>
          <w:rFonts w:cs="Arial"/>
          <w:i/>
          <w:noProof/>
        </w:rPr>
        <w:t>recycling target</w:t>
      </w:r>
      <w:r w:rsidR="00C735AF" w:rsidRPr="003F43B0">
        <w:rPr>
          <w:rFonts w:cs="Arial"/>
          <w:noProof/>
        </w:rPr>
        <w:t>)</w:t>
      </w:r>
    </w:p>
    <w:p w:rsidR="00C735AF" w:rsidRPr="003F43B0" w:rsidRDefault="00C735AF" w:rsidP="00C735AF">
      <w:pPr>
        <w:pStyle w:val="Item"/>
      </w:pPr>
      <w:r w:rsidRPr="003F43B0">
        <w:t>Repeal the definition, substitute:</w:t>
      </w:r>
    </w:p>
    <w:p w:rsidR="00C735AF" w:rsidRPr="003F43B0" w:rsidRDefault="00C735AF" w:rsidP="00C735AF">
      <w:pPr>
        <w:pStyle w:val="Definition"/>
      </w:pPr>
      <w:r w:rsidRPr="003F43B0">
        <w:rPr>
          <w:b/>
          <w:i/>
        </w:rPr>
        <w:t>recycling target</w:t>
      </w:r>
      <w:r w:rsidRPr="003F43B0">
        <w:t>: see regulation</w:t>
      </w:r>
      <w:r w:rsidR="003F43B0" w:rsidRPr="003F43B0">
        <w:t> </w:t>
      </w:r>
      <w:r w:rsidRPr="003F43B0">
        <w:t>3.04.</w:t>
      </w:r>
    </w:p>
    <w:p w:rsidR="008429F5" w:rsidRPr="003F43B0" w:rsidRDefault="00FF73FD" w:rsidP="008429F5">
      <w:pPr>
        <w:pStyle w:val="ItemHead"/>
        <w:rPr>
          <w:noProof/>
        </w:rPr>
      </w:pPr>
      <w:r w:rsidRPr="003F43B0">
        <w:rPr>
          <w:noProof/>
        </w:rPr>
        <w:t>15</w:t>
      </w:r>
      <w:r w:rsidR="008429F5" w:rsidRPr="003F43B0">
        <w:rPr>
          <w:noProof/>
        </w:rPr>
        <w:t xml:space="preserve">  Subregulation</w:t>
      </w:r>
      <w:r w:rsidR="003F43B0" w:rsidRPr="003F43B0">
        <w:rPr>
          <w:noProof/>
        </w:rPr>
        <w:t> </w:t>
      </w:r>
      <w:r w:rsidR="008429F5" w:rsidRPr="003F43B0">
        <w:rPr>
          <w:noProof/>
        </w:rPr>
        <w:t>1.03(1)</w:t>
      </w:r>
    </w:p>
    <w:p w:rsidR="008429F5" w:rsidRPr="003F43B0" w:rsidRDefault="008429F5" w:rsidP="008429F5">
      <w:pPr>
        <w:pStyle w:val="Item"/>
      </w:pPr>
      <w:r w:rsidRPr="003F43B0">
        <w:t>Insert:</w:t>
      </w:r>
    </w:p>
    <w:p w:rsidR="00C735AF" w:rsidRPr="003F43B0" w:rsidRDefault="00C735AF" w:rsidP="00C735AF">
      <w:pPr>
        <w:pStyle w:val="Definition"/>
      </w:pPr>
      <w:r w:rsidRPr="003F43B0">
        <w:rPr>
          <w:b/>
          <w:i/>
        </w:rPr>
        <w:t>relevant Schedule</w:t>
      </w:r>
      <w:r w:rsidRPr="003F43B0">
        <w:t xml:space="preserve">, for a unit of a </w:t>
      </w:r>
      <w:r w:rsidR="00347012" w:rsidRPr="003F43B0">
        <w:t xml:space="preserve">television or computer </w:t>
      </w:r>
      <w:r w:rsidR="00563D72" w:rsidRPr="003F43B0">
        <w:t>product</w:t>
      </w:r>
      <w:r w:rsidRPr="003F43B0">
        <w:t>, means:</w:t>
      </w:r>
    </w:p>
    <w:p w:rsidR="00C735AF" w:rsidRPr="003F43B0" w:rsidRDefault="00C735AF" w:rsidP="00C735AF">
      <w:pPr>
        <w:pStyle w:val="paragraph"/>
      </w:pPr>
      <w:r w:rsidRPr="003F43B0">
        <w:tab/>
        <w:t>(a)</w:t>
      </w:r>
      <w:r w:rsidRPr="003F43B0">
        <w:tab/>
        <w:t>for a unit imported or manufactured before 1</w:t>
      </w:r>
      <w:r w:rsidR="003F43B0" w:rsidRPr="003F43B0">
        <w:t> </w:t>
      </w:r>
      <w:r w:rsidRPr="003F43B0">
        <w:t>January 2012—Schedule</w:t>
      </w:r>
      <w:r w:rsidR="003F43B0" w:rsidRPr="003F43B0">
        <w:t> </w:t>
      </w:r>
      <w:r w:rsidRPr="003F43B0">
        <w:t>1; and</w:t>
      </w:r>
    </w:p>
    <w:p w:rsidR="00C735AF" w:rsidRPr="003F43B0" w:rsidRDefault="00C735AF" w:rsidP="00C735AF">
      <w:pPr>
        <w:pStyle w:val="paragraph"/>
      </w:pPr>
      <w:r w:rsidRPr="003F43B0">
        <w:tab/>
        <w:t>(b)</w:t>
      </w:r>
      <w:r w:rsidRPr="003F43B0">
        <w:tab/>
        <w:t>for a unit imported or manufactured on or after 1</w:t>
      </w:r>
      <w:r w:rsidR="003F43B0" w:rsidRPr="003F43B0">
        <w:t> </w:t>
      </w:r>
      <w:r w:rsidRPr="003F43B0">
        <w:t>January 2012 and before 1</w:t>
      </w:r>
      <w:r w:rsidR="003F43B0" w:rsidRPr="003F43B0">
        <w:t> </w:t>
      </w:r>
      <w:r w:rsidRPr="003F43B0">
        <w:t>July 2012—Schedule</w:t>
      </w:r>
      <w:r w:rsidR="003F43B0" w:rsidRPr="003F43B0">
        <w:t> </w:t>
      </w:r>
      <w:r w:rsidRPr="003F43B0">
        <w:t>1A; and</w:t>
      </w:r>
    </w:p>
    <w:p w:rsidR="00C735AF" w:rsidRPr="003F43B0" w:rsidRDefault="00C735AF" w:rsidP="00C735AF">
      <w:pPr>
        <w:pStyle w:val="paragraph"/>
      </w:pPr>
      <w:r w:rsidRPr="003F43B0">
        <w:tab/>
        <w:t>(c)</w:t>
      </w:r>
      <w:r w:rsidRPr="003F43B0">
        <w:tab/>
        <w:t>for a unit imported or manufactured on or after 1</w:t>
      </w:r>
      <w:r w:rsidR="003F43B0" w:rsidRPr="003F43B0">
        <w:t> </w:t>
      </w:r>
      <w:r w:rsidRPr="003F43B0">
        <w:t>July 2012—Schedule</w:t>
      </w:r>
      <w:r w:rsidR="003F43B0" w:rsidRPr="003F43B0">
        <w:t> </w:t>
      </w:r>
      <w:r w:rsidRPr="003F43B0">
        <w:t>1B.</w:t>
      </w:r>
    </w:p>
    <w:p w:rsidR="008429F5" w:rsidRPr="003F43B0" w:rsidRDefault="00FF73FD" w:rsidP="008429F5">
      <w:pPr>
        <w:pStyle w:val="ItemHead"/>
        <w:rPr>
          <w:rFonts w:cs="Arial"/>
          <w:noProof/>
        </w:rPr>
      </w:pPr>
      <w:r w:rsidRPr="003F43B0">
        <w:rPr>
          <w:rFonts w:cs="Arial"/>
          <w:noProof/>
        </w:rPr>
        <w:t>16</w:t>
      </w:r>
      <w:r w:rsidR="008429F5" w:rsidRPr="003F43B0">
        <w:rPr>
          <w:rFonts w:cs="Arial"/>
          <w:noProof/>
        </w:rPr>
        <w:t xml:space="preserve">  Subregulation</w:t>
      </w:r>
      <w:r w:rsidR="003F43B0" w:rsidRPr="003F43B0">
        <w:rPr>
          <w:rFonts w:cs="Arial"/>
          <w:noProof/>
        </w:rPr>
        <w:t> </w:t>
      </w:r>
      <w:r w:rsidR="008429F5" w:rsidRPr="003F43B0">
        <w:rPr>
          <w:rFonts w:cs="Arial"/>
          <w:noProof/>
        </w:rPr>
        <w:t xml:space="preserve">1.03(1) (definition of </w:t>
      </w:r>
      <w:r w:rsidR="008429F5" w:rsidRPr="003F43B0">
        <w:rPr>
          <w:rFonts w:cs="Arial"/>
          <w:i/>
          <w:noProof/>
        </w:rPr>
        <w:t>scheme target</w:t>
      </w:r>
      <w:r w:rsidR="008429F5" w:rsidRPr="003F43B0">
        <w:rPr>
          <w:rFonts w:cs="Arial"/>
          <w:noProof/>
        </w:rPr>
        <w:t>)</w:t>
      </w:r>
    </w:p>
    <w:p w:rsidR="008429F5" w:rsidRPr="003F43B0" w:rsidRDefault="008429F5" w:rsidP="008429F5">
      <w:pPr>
        <w:pStyle w:val="Item"/>
      </w:pPr>
      <w:r w:rsidRPr="003F43B0">
        <w:t>Repeal the definition, substitute:</w:t>
      </w:r>
    </w:p>
    <w:p w:rsidR="00C735AF" w:rsidRPr="003F43B0" w:rsidRDefault="00C735AF" w:rsidP="00C735AF">
      <w:pPr>
        <w:pStyle w:val="Definition"/>
      </w:pPr>
      <w:r w:rsidRPr="003F43B0">
        <w:rPr>
          <w:b/>
          <w:i/>
        </w:rPr>
        <w:t>scheme target</w:t>
      </w:r>
      <w:r w:rsidRPr="003F43B0">
        <w:t>: see regulation</w:t>
      </w:r>
      <w:r w:rsidR="003F43B0" w:rsidRPr="003F43B0">
        <w:t> </w:t>
      </w:r>
      <w:r w:rsidRPr="003F43B0">
        <w:t>3.04.</w:t>
      </w:r>
    </w:p>
    <w:p w:rsidR="008429F5" w:rsidRPr="003F43B0" w:rsidRDefault="00FF73FD" w:rsidP="008429F5">
      <w:pPr>
        <w:pStyle w:val="ItemHead"/>
        <w:rPr>
          <w:rFonts w:cs="Arial"/>
          <w:noProof/>
        </w:rPr>
      </w:pPr>
      <w:r w:rsidRPr="003F43B0">
        <w:rPr>
          <w:rFonts w:cs="Arial"/>
          <w:noProof/>
        </w:rPr>
        <w:t>17</w:t>
      </w:r>
      <w:r w:rsidR="008429F5" w:rsidRPr="003F43B0">
        <w:rPr>
          <w:rFonts w:cs="Arial"/>
          <w:noProof/>
        </w:rPr>
        <w:t xml:space="preserve">  Subregulation</w:t>
      </w:r>
      <w:r w:rsidR="003F43B0" w:rsidRPr="003F43B0">
        <w:rPr>
          <w:rFonts w:cs="Arial"/>
          <w:noProof/>
        </w:rPr>
        <w:t> </w:t>
      </w:r>
      <w:r w:rsidR="008429F5" w:rsidRPr="003F43B0">
        <w:rPr>
          <w:rFonts w:cs="Arial"/>
          <w:noProof/>
        </w:rPr>
        <w:t>1.03(1)</w:t>
      </w:r>
    </w:p>
    <w:p w:rsidR="008429F5" w:rsidRPr="003F43B0" w:rsidRDefault="008429F5" w:rsidP="008429F5">
      <w:pPr>
        <w:pStyle w:val="Item"/>
      </w:pPr>
      <w:r w:rsidRPr="003F43B0">
        <w:t>Insert:</w:t>
      </w:r>
    </w:p>
    <w:p w:rsidR="008429F5" w:rsidRPr="003F43B0" w:rsidRDefault="008429F5" w:rsidP="008429F5">
      <w:pPr>
        <w:pStyle w:val="Definition"/>
      </w:pPr>
      <w:r w:rsidRPr="003F43B0">
        <w:rPr>
          <w:b/>
          <w:i/>
        </w:rPr>
        <w:t>television</w:t>
      </w:r>
      <w:r w:rsidRPr="003F43B0">
        <w:t xml:space="preserve"> means a product with a product code mentioned in Part</w:t>
      </w:r>
      <w:r w:rsidR="003F43B0" w:rsidRPr="003F43B0">
        <w:t> </w:t>
      </w:r>
      <w:r w:rsidRPr="003F43B0">
        <w:t>1 of Schedules</w:t>
      </w:r>
      <w:r w:rsidR="003F43B0" w:rsidRPr="003F43B0">
        <w:t> </w:t>
      </w:r>
      <w:r w:rsidRPr="003F43B0">
        <w:t>1, 1A and 1B.</w:t>
      </w:r>
    </w:p>
    <w:p w:rsidR="008429F5" w:rsidRPr="003F43B0" w:rsidRDefault="00FF73FD" w:rsidP="008429F5">
      <w:pPr>
        <w:pStyle w:val="ItemHead"/>
        <w:rPr>
          <w:rFonts w:cs="Arial"/>
          <w:noProof/>
        </w:rPr>
      </w:pPr>
      <w:r w:rsidRPr="003F43B0">
        <w:rPr>
          <w:rFonts w:cs="Arial"/>
          <w:noProof/>
        </w:rPr>
        <w:t>18</w:t>
      </w:r>
      <w:r w:rsidR="008429F5" w:rsidRPr="003F43B0">
        <w:rPr>
          <w:rFonts w:cs="Arial"/>
          <w:noProof/>
        </w:rPr>
        <w:t xml:space="preserve">  Subregulation</w:t>
      </w:r>
      <w:r w:rsidR="003F43B0" w:rsidRPr="003F43B0">
        <w:rPr>
          <w:rFonts w:cs="Arial"/>
          <w:noProof/>
        </w:rPr>
        <w:t> </w:t>
      </w:r>
      <w:r w:rsidR="008429F5" w:rsidRPr="003F43B0">
        <w:rPr>
          <w:rFonts w:cs="Arial"/>
          <w:noProof/>
        </w:rPr>
        <w:t xml:space="preserve">1.03(1) (definition of </w:t>
      </w:r>
      <w:r w:rsidR="008429F5" w:rsidRPr="003F43B0">
        <w:rPr>
          <w:rFonts w:cs="Arial"/>
          <w:i/>
          <w:noProof/>
        </w:rPr>
        <w:t>television class</w:t>
      </w:r>
      <w:r w:rsidR="008429F5" w:rsidRPr="003F43B0">
        <w:rPr>
          <w:rFonts w:cs="Arial"/>
          <w:noProof/>
        </w:rPr>
        <w:t>)</w:t>
      </w:r>
    </w:p>
    <w:p w:rsidR="008429F5" w:rsidRPr="003F43B0" w:rsidRDefault="008429F5" w:rsidP="008429F5">
      <w:pPr>
        <w:pStyle w:val="Item"/>
      </w:pPr>
      <w:r w:rsidRPr="003F43B0">
        <w:t>Repeal the definition.</w:t>
      </w:r>
    </w:p>
    <w:p w:rsidR="00353DEF" w:rsidRPr="003F43B0" w:rsidRDefault="00FF73FD" w:rsidP="00353DEF">
      <w:pPr>
        <w:pStyle w:val="ItemHead"/>
        <w:rPr>
          <w:rFonts w:cs="Arial"/>
          <w:noProof/>
        </w:rPr>
      </w:pPr>
      <w:r w:rsidRPr="003F43B0">
        <w:rPr>
          <w:rFonts w:cs="Arial"/>
          <w:noProof/>
        </w:rPr>
        <w:t>19</w:t>
      </w:r>
      <w:r w:rsidR="00353DEF" w:rsidRPr="003F43B0">
        <w:rPr>
          <w:rFonts w:cs="Arial"/>
          <w:noProof/>
        </w:rPr>
        <w:t xml:space="preserve">  Subregulation</w:t>
      </w:r>
      <w:r w:rsidR="003F43B0" w:rsidRPr="003F43B0">
        <w:rPr>
          <w:rFonts w:cs="Arial"/>
          <w:noProof/>
        </w:rPr>
        <w:t> </w:t>
      </w:r>
      <w:r w:rsidR="00353DEF" w:rsidRPr="003F43B0">
        <w:rPr>
          <w:rFonts w:cs="Arial"/>
          <w:noProof/>
        </w:rPr>
        <w:t>1.03(1)</w:t>
      </w:r>
    </w:p>
    <w:p w:rsidR="00353DEF" w:rsidRPr="003F43B0" w:rsidRDefault="00353DEF" w:rsidP="00353DEF">
      <w:pPr>
        <w:pStyle w:val="Item"/>
      </w:pPr>
      <w:r w:rsidRPr="003F43B0">
        <w:t>Insert:</w:t>
      </w:r>
    </w:p>
    <w:p w:rsidR="00347012" w:rsidRPr="003F43B0" w:rsidRDefault="00347012" w:rsidP="00C735AF">
      <w:pPr>
        <w:pStyle w:val="Definition"/>
      </w:pPr>
      <w:r w:rsidRPr="003F43B0">
        <w:rPr>
          <w:b/>
          <w:i/>
        </w:rPr>
        <w:t>television or computer product</w:t>
      </w:r>
      <w:r w:rsidRPr="003F43B0">
        <w:t>: see subregulation</w:t>
      </w:r>
      <w:r w:rsidR="003F43B0" w:rsidRPr="003F43B0">
        <w:t> </w:t>
      </w:r>
      <w:r w:rsidRPr="003F43B0">
        <w:t>1.04(2).</w:t>
      </w:r>
    </w:p>
    <w:p w:rsidR="008429F5" w:rsidRPr="003F43B0" w:rsidRDefault="00FF73FD" w:rsidP="008429F5">
      <w:pPr>
        <w:pStyle w:val="ItemHead"/>
        <w:rPr>
          <w:rFonts w:cs="Arial"/>
          <w:noProof/>
        </w:rPr>
      </w:pPr>
      <w:r w:rsidRPr="003F43B0">
        <w:rPr>
          <w:rFonts w:cs="Arial"/>
          <w:noProof/>
        </w:rPr>
        <w:lastRenderedPageBreak/>
        <w:t>20</w:t>
      </w:r>
      <w:r w:rsidR="008429F5" w:rsidRPr="003F43B0">
        <w:rPr>
          <w:rFonts w:cs="Arial"/>
          <w:noProof/>
        </w:rPr>
        <w:t xml:space="preserve">  Subregulation</w:t>
      </w:r>
      <w:r w:rsidR="003F43B0" w:rsidRPr="003F43B0">
        <w:rPr>
          <w:rFonts w:cs="Arial"/>
          <w:noProof/>
        </w:rPr>
        <w:t> </w:t>
      </w:r>
      <w:r w:rsidR="008429F5" w:rsidRPr="003F43B0">
        <w:rPr>
          <w:rFonts w:cs="Arial"/>
          <w:noProof/>
        </w:rPr>
        <w:t>1.03(1) (definition of</w:t>
      </w:r>
      <w:r w:rsidR="008429F5" w:rsidRPr="003F43B0">
        <w:rPr>
          <w:rFonts w:cs="Arial"/>
          <w:i/>
          <w:noProof/>
        </w:rPr>
        <w:t xml:space="preserve"> waste arising</w:t>
      </w:r>
      <w:r w:rsidR="008429F5" w:rsidRPr="003F43B0">
        <w:rPr>
          <w:rFonts w:cs="Arial"/>
          <w:noProof/>
        </w:rPr>
        <w:t>)</w:t>
      </w:r>
    </w:p>
    <w:p w:rsidR="008429F5" w:rsidRPr="003F43B0" w:rsidRDefault="008429F5" w:rsidP="008429F5">
      <w:pPr>
        <w:pStyle w:val="Item"/>
      </w:pPr>
      <w:r w:rsidRPr="003F43B0">
        <w:t>Repeal the definition, substitute:</w:t>
      </w:r>
    </w:p>
    <w:p w:rsidR="00314064" w:rsidRPr="003F43B0" w:rsidRDefault="00314064" w:rsidP="00C735AF">
      <w:pPr>
        <w:pStyle w:val="Definition"/>
      </w:pPr>
      <w:r w:rsidRPr="003F43B0">
        <w:rPr>
          <w:b/>
          <w:i/>
        </w:rPr>
        <w:t>waste arising</w:t>
      </w:r>
      <w:r w:rsidRPr="003F43B0">
        <w:t>: see regulation</w:t>
      </w:r>
      <w:r w:rsidR="003F43B0" w:rsidRPr="003F43B0">
        <w:t> </w:t>
      </w:r>
      <w:r w:rsidRPr="003F43B0">
        <w:t>3.04.</w:t>
      </w:r>
    </w:p>
    <w:p w:rsidR="00C735AF" w:rsidRPr="003F43B0" w:rsidRDefault="00FF73FD" w:rsidP="00C735AF">
      <w:pPr>
        <w:pStyle w:val="ItemHead"/>
        <w:rPr>
          <w:rFonts w:cs="Arial"/>
        </w:rPr>
      </w:pPr>
      <w:r w:rsidRPr="003F43B0">
        <w:rPr>
          <w:rFonts w:cs="Arial"/>
          <w:noProof/>
        </w:rPr>
        <w:t>21</w:t>
      </w:r>
      <w:r w:rsidR="00C735AF" w:rsidRPr="003F43B0">
        <w:rPr>
          <w:rFonts w:cs="Arial"/>
        </w:rPr>
        <w:t xml:space="preserve">  Subregulation</w:t>
      </w:r>
      <w:r w:rsidR="003F43B0" w:rsidRPr="003F43B0">
        <w:rPr>
          <w:rFonts w:cs="Arial"/>
        </w:rPr>
        <w:t> </w:t>
      </w:r>
      <w:r w:rsidR="00C735AF" w:rsidRPr="003F43B0">
        <w:rPr>
          <w:rFonts w:cs="Arial"/>
        </w:rPr>
        <w:t xml:space="preserve">1.03(1) (definition of </w:t>
      </w:r>
      <w:r w:rsidR="00C735AF" w:rsidRPr="003F43B0">
        <w:rPr>
          <w:rFonts w:cs="Arial"/>
          <w:i/>
        </w:rPr>
        <w:t>whole unit</w:t>
      </w:r>
      <w:r w:rsidR="00C735AF" w:rsidRPr="003F43B0">
        <w:rPr>
          <w:rFonts w:cs="Arial"/>
        </w:rPr>
        <w:t>)</w:t>
      </w:r>
    </w:p>
    <w:p w:rsidR="00C735AF" w:rsidRPr="003F43B0" w:rsidRDefault="00E2582F" w:rsidP="00C735AF">
      <w:pPr>
        <w:pStyle w:val="Item"/>
      </w:pPr>
      <w:r w:rsidRPr="003F43B0">
        <w:t>Omit “a product</w:t>
      </w:r>
      <w:r w:rsidR="00C735AF" w:rsidRPr="003F43B0">
        <w:t>”</w:t>
      </w:r>
      <w:r w:rsidR="00CC55A9" w:rsidRPr="003F43B0">
        <w:t xml:space="preserve"> (wherever occurring)</w:t>
      </w:r>
      <w:r w:rsidR="00C735AF" w:rsidRPr="003F43B0">
        <w:t xml:space="preserve">, substitute “a </w:t>
      </w:r>
      <w:r w:rsidR="00347012" w:rsidRPr="003F43B0">
        <w:t xml:space="preserve">television or computer </w:t>
      </w:r>
      <w:r w:rsidR="00563D72" w:rsidRPr="003F43B0">
        <w:t>product</w:t>
      </w:r>
      <w:r w:rsidR="00C735AF" w:rsidRPr="003F43B0">
        <w:t>,”.</w:t>
      </w:r>
    </w:p>
    <w:p w:rsidR="00C735AF" w:rsidRPr="003F43B0" w:rsidRDefault="00FF73FD" w:rsidP="00C735AF">
      <w:pPr>
        <w:pStyle w:val="ItemHead"/>
        <w:rPr>
          <w:rFonts w:cs="Arial"/>
        </w:rPr>
      </w:pPr>
      <w:r w:rsidRPr="003F43B0">
        <w:rPr>
          <w:rFonts w:cs="Arial"/>
          <w:noProof/>
        </w:rPr>
        <w:t>22</w:t>
      </w:r>
      <w:r w:rsidR="00C735AF" w:rsidRPr="003F43B0">
        <w:rPr>
          <w:rFonts w:cs="Arial"/>
        </w:rPr>
        <w:t xml:space="preserve">  Subregulation</w:t>
      </w:r>
      <w:r w:rsidR="003F43B0" w:rsidRPr="003F43B0">
        <w:rPr>
          <w:rFonts w:cs="Arial"/>
        </w:rPr>
        <w:t> </w:t>
      </w:r>
      <w:r w:rsidR="00C735AF" w:rsidRPr="003F43B0">
        <w:rPr>
          <w:rFonts w:cs="Arial"/>
        </w:rPr>
        <w:t>1.03(2)</w:t>
      </w:r>
    </w:p>
    <w:p w:rsidR="00C735AF" w:rsidRPr="003F43B0" w:rsidRDefault="00C735AF" w:rsidP="00C735AF">
      <w:pPr>
        <w:pStyle w:val="Item"/>
      </w:pPr>
      <w:r w:rsidRPr="003F43B0">
        <w:t>Repeal the subregulation.</w:t>
      </w:r>
    </w:p>
    <w:p w:rsidR="00C735AF" w:rsidRPr="003F43B0" w:rsidRDefault="00FF73FD" w:rsidP="00C735AF">
      <w:pPr>
        <w:pStyle w:val="ItemHead"/>
        <w:rPr>
          <w:rFonts w:cs="Arial"/>
        </w:rPr>
      </w:pPr>
      <w:r w:rsidRPr="003F43B0">
        <w:rPr>
          <w:rFonts w:cs="Arial"/>
          <w:noProof/>
        </w:rPr>
        <w:t>23</w:t>
      </w:r>
      <w:r w:rsidR="00C735AF" w:rsidRPr="003F43B0">
        <w:rPr>
          <w:rFonts w:cs="Arial"/>
        </w:rPr>
        <w:t xml:space="preserve">  Regulation</w:t>
      </w:r>
      <w:r w:rsidR="003F43B0" w:rsidRPr="003F43B0">
        <w:rPr>
          <w:rFonts w:cs="Arial"/>
        </w:rPr>
        <w:t> </w:t>
      </w:r>
      <w:r w:rsidR="00C735AF" w:rsidRPr="003F43B0">
        <w:rPr>
          <w:rFonts w:cs="Arial"/>
        </w:rPr>
        <w:t>1.04</w:t>
      </w:r>
    </w:p>
    <w:p w:rsidR="00C735AF" w:rsidRPr="003F43B0" w:rsidRDefault="00C735AF" w:rsidP="00C735AF">
      <w:pPr>
        <w:pStyle w:val="Item"/>
      </w:pPr>
      <w:r w:rsidRPr="003F43B0">
        <w:t>Repeal the regulation, substitute:</w:t>
      </w:r>
    </w:p>
    <w:p w:rsidR="00C735AF" w:rsidRPr="003F43B0" w:rsidRDefault="00C735AF" w:rsidP="00C735AF">
      <w:pPr>
        <w:pStyle w:val="ActHead5"/>
      </w:pPr>
      <w:bookmarkStart w:id="18" w:name="_Toc358878536"/>
      <w:r w:rsidRPr="003F43B0">
        <w:rPr>
          <w:rStyle w:val="CharSectno"/>
        </w:rPr>
        <w:t>1.04</w:t>
      </w:r>
      <w:r w:rsidRPr="003F43B0">
        <w:t xml:space="preserve">  Application</w:t>
      </w:r>
      <w:bookmarkEnd w:id="18"/>
    </w:p>
    <w:p w:rsidR="00C735AF" w:rsidRPr="003F43B0" w:rsidRDefault="00C735AF" w:rsidP="00C735AF">
      <w:pPr>
        <w:pStyle w:val="subsection"/>
      </w:pPr>
      <w:r w:rsidRPr="003F43B0">
        <w:tab/>
      </w:r>
      <w:r w:rsidR="003D7761" w:rsidRPr="003F43B0">
        <w:t>(1)</w:t>
      </w:r>
      <w:r w:rsidRPr="003F43B0">
        <w:tab/>
        <w:t xml:space="preserve">These Regulations apply to </w:t>
      </w:r>
      <w:r w:rsidR="00347012" w:rsidRPr="003F43B0">
        <w:t xml:space="preserve">television or computer </w:t>
      </w:r>
      <w:r w:rsidR="00563D72" w:rsidRPr="003F43B0">
        <w:t>product</w:t>
      </w:r>
      <w:r w:rsidRPr="003F43B0">
        <w:t>s.</w:t>
      </w:r>
    </w:p>
    <w:p w:rsidR="003D7761" w:rsidRPr="003F43B0" w:rsidRDefault="003D7761" w:rsidP="00C735AF">
      <w:pPr>
        <w:pStyle w:val="subsection"/>
      </w:pPr>
      <w:r w:rsidRPr="003F43B0">
        <w:tab/>
        <w:t>(2)</w:t>
      </w:r>
      <w:r w:rsidRPr="003F43B0">
        <w:tab/>
        <w:t xml:space="preserve">A </w:t>
      </w:r>
      <w:r w:rsidR="00347012" w:rsidRPr="003F43B0">
        <w:rPr>
          <w:b/>
          <w:i/>
        </w:rPr>
        <w:t xml:space="preserve">television or computer </w:t>
      </w:r>
      <w:r w:rsidRPr="003F43B0">
        <w:rPr>
          <w:b/>
          <w:i/>
        </w:rPr>
        <w:t>product</w:t>
      </w:r>
      <w:r w:rsidRPr="003F43B0">
        <w:t xml:space="preserve"> is:</w:t>
      </w:r>
    </w:p>
    <w:p w:rsidR="003D7761" w:rsidRPr="003F43B0" w:rsidRDefault="003D7761" w:rsidP="003D7761">
      <w:pPr>
        <w:pStyle w:val="paragraph"/>
      </w:pPr>
      <w:r w:rsidRPr="003F43B0">
        <w:tab/>
        <w:t>(a)</w:t>
      </w:r>
      <w:r w:rsidRPr="003F43B0">
        <w:tab/>
        <w:t>a television; or</w:t>
      </w:r>
    </w:p>
    <w:p w:rsidR="003D7761" w:rsidRPr="003F43B0" w:rsidRDefault="003D7761" w:rsidP="003D7761">
      <w:pPr>
        <w:pStyle w:val="paragraph"/>
      </w:pPr>
      <w:r w:rsidRPr="003F43B0">
        <w:tab/>
        <w:t>(b)</w:t>
      </w:r>
      <w:r w:rsidRPr="003F43B0">
        <w:tab/>
        <w:t>a computer that was manufactured outside Australia; or</w:t>
      </w:r>
    </w:p>
    <w:p w:rsidR="003D7761" w:rsidRPr="003F43B0" w:rsidRDefault="003D7761" w:rsidP="003D7761">
      <w:pPr>
        <w:pStyle w:val="paragraph"/>
      </w:pPr>
      <w:r w:rsidRPr="003F43B0">
        <w:tab/>
        <w:t>(c)</w:t>
      </w:r>
      <w:r w:rsidRPr="003F43B0">
        <w:tab/>
        <w:t>a printer; or</w:t>
      </w:r>
    </w:p>
    <w:p w:rsidR="003D7761" w:rsidRPr="003F43B0" w:rsidRDefault="003D7761" w:rsidP="003D7761">
      <w:pPr>
        <w:pStyle w:val="paragraph"/>
      </w:pPr>
      <w:r w:rsidRPr="003F43B0">
        <w:tab/>
        <w:t>(d)</w:t>
      </w:r>
      <w:r w:rsidRPr="003F43B0">
        <w:tab/>
        <w:t xml:space="preserve">a </w:t>
      </w:r>
      <w:r w:rsidR="00347012" w:rsidRPr="003F43B0">
        <w:t>computer part or peripheral</w:t>
      </w:r>
      <w:r w:rsidRPr="003F43B0">
        <w:t>.</w:t>
      </w:r>
    </w:p>
    <w:p w:rsidR="00C735AF" w:rsidRPr="003F43B0" w:rsidRDefault="00FF73FD" w:rsidP="00C735AF">
      <w:pPr>
        <w:pStyle w:val="ItemHead"/>
        <w:rPr>
          <w:rFonts w:cs="Arial"/>
          <w:noProof/>
        </w:rPr>
      </w:pPr>
      <w:r w:rsidRPr="003F43B0">
        <w:rPr>
          <w:rFonts w:cs="Arial"/>
          <w:noProof/>
        </w:rPr>
        <w:t>24</w:t>
      </w:r>
      <w:r w:rsidR="00C735AF" w:rsidRPr="003F43B0">
        <w:rPr>
          <w:rFonts w:cs="Arial"/>
          <w:noProof/>
        </w:rPr>
        <w:t xml:space="preserve">  Regulation</w:t>
      </w:r>
      <w:r w:rsidR="003F43B0" w:rsidRPr="003F43B0">
        <w:rPr>
          <w:rFonts w:cs="Arial"/>
          <w:noProof/>
        </w:rPr>
        <w:t> </w:t>
      </w:r>
      <w:r w:rsidR="00C735AF" w:rsidRPr="003F43B0">
        <w:rPr>
          <w:rFonts w:cs="Arial"/>
          <w:noProof/>
        </w:rPr>
        <w:t>1.05 (note)</w:t>
      </w:r>
    </w:p>
    <w:p w:rsidR="00C735AF" w:rsidRPr="003F43B0" w:rsidRDefault="00C735AF" w:rsidP="00C735AF">
      <w:pPr>
        <w:pStyle w:val="Item"/>
      </w:pPr>
      <w:r w:rsidRPr="003F43B0">
        <w:t>Repeal the note.</w:t>
      </w:r>
    </w:p>
    <w:p w:rsidR="00C735AF" w:rsidRPr="003F43B0" w:rsidRDefault="00FF73FD" w:rsidP="00C735AF">
      <w:pPr>
        <w:pStyle w:val="ItemHead"/>
        <w:rPr>
          <w:rFonts w:cs="Arial"/>
          <w:noProof/>
        </w:rPr>
      </w:pPr>
      <w:r w:rsidRPr="003F43B0">
        <w:rPr>
          <w:rFonts w:cs="Arial"/>
          <w:noProof/>
        </w:rPr>
        <w:t>25</w:t>
      </w:r>
      <w:r w:rsidR="00C735AF" w:rsidRPr="003F43B0">
        <w:rPr>
          <w:rFonts w:cs="Arial"/>
          <w:noProof/>
        </w:rPr>
        <w:t xml:space="preserve">  Regulations</w:t>
      </w:r>
      <w:r w:rsidR="003F43B0" w:rsidRPr="003F43B0">
        <w:rPr>
          <w:rFonts w:cs="Arial"/>
          <w:noProof/>
        </w:rPr>
        <w:t> </w:t>
      </w:r>
      <w:r w:rsidR="00C735AF" w:rsidRPr="003F43B0">
        <w:rPr>
          <w:rFonts w:cs="Arial"/>
          <w:noProof/>
        </w:rPr>
        <w:t>2.01 to 2.03</w:t>
      </w:r>
    </w:p>
    <w:p w:rsidR="00C735AF" w:rsidRPr="003F43B0" w:rsidRDefault="00C735AF" w:rsidP="00C735AF">
      <w:pPr>
        <w:pStyle w:val="Item"/>
      </w:pPr>
      <w:r w:rsidRPr="003F43B0">
        <w:t>Repeal the regulations, substitute:</w:t>
      </w:r>
    </w:p>
    <w:p w:rsidR="00C735AF" w:rsidRPr="003F43B0" w:rsidRDefault="00C735AF" w:rsidP="00C735AF">
      <w:pPr>
        <w:pStyle w:val="ActHead5"/>
      </w:pPr>
      <w:bookmarkStart w:id="19" w:name="_Toc358878537"/>
      <w:r w:rsidRPr="003F43B0">
        <w:rPr>
          <w:rStyle w:val="CharSectno"/>
        </w:rPr>
        <w:t>2.01</w:t>
      </w:r>
      <w:r w:rsidRPr="003F43B0">
        <w:t xml:space="preserve">  What this Division does</w:t>
      </w:r>
      <w:bookmarkEnd w:id="19"/>
    </w:p>
    <w:p w:rsidR="00C735AF" w:rsidRPr="003F43B0" w:rsidRDefault="00C735AF" w:rsidP="00C735AF">
      <w:pPr>
        <w:pStyle w:val="subsection"/>
      </w:pPr>
      <w:r w:rsidRPr="003F43B0">
        <w:tab/>
        <w:t>(1)</w:t>
      </w:r>
      <w:r w:rsidRPr="003F43B0">
        <w:tab/>
        <w:t xml:space="preserve">This Division specifies the class of persons who are liable parties in relation to </w:t>
      </w:r>
      <w:r w:rsidR="00347012" w:rsidRPr="003F43B0">
        <w:t xml:space="preserve">television or computer </w:t>
      </w:r>
      <w:r w:rsidR="00563D72" w:rsidRPr="003F43B0">
        <w:t>product</w:t>
      </w:r>
      <w:r w:rsidRPr="003F43B0">
        <w:t>s; and</w:t>
      </w:r>
    </w:p>
    <w:p w:rsidR="00C735AF" w:rsidRPr="003F43B0" w:rsidRDefault="00C735AF" w:rsidP="00C735AF">
      <w:pPr>
        <w:pStyle w:val="subsection"/>
      </w:pPr>
      <w:r w:rsidRPr="003F43B0">
        <w:tab/>
        <w:t>(2)</w:t>
      </w:r>
      <w:r w:rsidRPr="003F43B0">
        <w:tab/>
        <w:t>This Division is made for subsection</w:t>
      </w:r>
      <w:r w:rsidR="003F43B0" w:rsidRPr="003F43B0">
        <w:t> </w:t>
      </w:r>
      <w:r w:rsidRPr="003F43B0">
        <w:t>19(1) of the Act.</w:t>
      </w:r>
    </w:p>
    <w:p w:rsidR="00C735AF" w:rsidRPr="003F43B0" w:rsidRDefault="00C735AF" w:rsidP="00C735AF">
      <w:pPr>
        <w:pStyle w:val="ActHead5"/>
      </w:pPr>
      <w:bookmarkStart w:id="20" w:name="_Toc358878538"/>
      <w:r w:rsidRPr="003F43B0">
        <w:rPr>
          <w:rStyle w:val="CharSectno"/>
        </w:rPr>
        <w:lastRenderedPageBreak/>
        <w:t>2.02</w:t>
      </w:r>
      <w:r w:rsidRPr="003F43B0">
        <w:t xml:space="preserve">  Liable parties</w:t>
      </w:r>
      <w:bookmarkEnd w:id="20"/>
    </w:p>
    <w:p w:rsidR="00C735AF" w:rsidRPr="003F43B0" w:rsidRDefault="00C735AF" w:rsidP="00C735AF">
      <w:pPr>
        <w:pStyle w:val="SubsectionHead"/>
      </w:pPr>
      <w:r w:rsidRPr="003F43B0">
        <w:t>Televisions</w:t>
      </w:r>
    </w:p>
    <w:p w:rsidR="00C735AF" w:rsidRPr="003F43B0" w:rsidRDefault="00C735AF" w:rsidP="00C735AF">
      <w:pPr>
        <w:pStyle w:val="subsection"/>
      </w:pPr>
      <w:r w:rsidRPr="003F43B0">
        <w:tab/>
        <w:t>(1)</w:t>
      </w:r>
      <w:r w:rsidRPr="003F43B0">
        <w:tab/>
        <w:t>A person is a liable party, for a financial year, if:</w:t>
      </w:r>
    </w:p>
    <w:p w:rsidR="00C735AF" w:rsidRPr="003F43B0" w:rsidRDefault="00C735AF" w:rsidP="00C735AF">
      <w:pPr>
        <w:pStyle w:val="paragraph"/>
      </w:pPr>
      <w:r w:rsidRPr="003F43B0">
        <w:tab/>
        <w:t>(a)</w:t>
      </w:r>
      <w:r w:rsidRPr="003F43B0">
        <w:tab/>
        <w:t>the person is a constitutional corporation in that financial year; and</w:t>
      </w:r>
    </w:p>
    <w:p w:rsidR="00C735AF" w:rsidRPr="003F43B0" w:rsidRDefault="00C735AF" w:rsidP="00C735AF">
      <w:pPr>
        <w:pStyle w:val="paragraph"/>
      </w:pPr>
      <w:r w:rsidRPr="003F43B0">
        <w:tab/>
        <w:t>(b)</w:t>
      </w:r>
      <w:r w:rsidRPr="003F43B0">
        <w:tab/>
        <w:t>in the previous financial year:</w:t>
      </w:r>
    </w:p>
    <w:p w:rsidR="00C735AF" w:rsidRPr="003F43B0" w:rsidRDefault="00C735AF" w:rsidP="00C735AF">
      <w:pPr>
        <w:pStyle w:val="paragraphsub"/>
      </w:pPr>
      <w:r w:rsidRPr="003F43B0">
        <w:tab/>
        <w:t>(i)</w:t>
      </w:r>
      <w:r w:rsidRPr="003F43B0">
        <w:tab/>
        <w:t>the person imported or manufactured more than 5</w:t>
      </w:r>
      <w:r w:rsidR="003F43B0" w:rsidRPr="003F43B0">
        <w:t> </w:t>
      </w:r>
      <w:r w:rsidR="00E2582F" w:rsidRPr="003F43B0">
        <w:t>000</w:t>
      </w:r>
      <w:r w:rsidRPr="003F43B0">
        <w:t xml:space="preserve"> televisions; or</w:t>
      </w:r>
    </w:p>
    <w:p w:rsidR="00C735AF" w:rsidRPr="003F43B0" w:rsidRDefault="00C735AF" w:rsidP="00C735AF">
      <w:pPr>
        <w:pStyle w:val="paragraphsub"/>
      </w:pPr>
      <w:r w:rsidRPr="003F43B0">
        <w:tab/>
        <w:t>(ii)</w:t>
      </w:r>
      <w:r w:rsidRPr="003F43B0">
        <w:tab/>
        <w:t>the person, and a related body corporate, imported or manufactured more than 5</w:t>
      </w:r>
      <w:r w:rsidR="003F43B0" w:rsidRPr="003F43B0">
        <w:t> </w:t>
      </w:r>
      <w:r w:rsidR="00E2582F" w:rsidRPr="003F43B0">
        <w:t>000</w:t>
      </w:r>
      <w:r w:rsidRPr="003F43B0">
        <w:t xml:space="preserve"> televisions, of which </w:t>
      </w:r>
      <w:r w:rsidR="00384EE6" w:rsidRPr="003F43B0">
        <w:t>more than</w:t>
      </w:r>
      <w:r w:rsidRPr="003F43B0">
        <w:t xml:space="preserve"> 1</w:t>
      </w:r>
      <w:r w:rsidR="003F43B0" w:rsidRPr="003F43B0">
        <w:t> </w:t>
      </w:r>
      <w:r w:rsidR="00E2582F" w:rsidRPr="003F43B0">
        <w:t>000</w:t>
      </w:r>
      <w:r w:rsidRPr="003F43B0">
        <w:t xml:space="preserve"> were imported or manufactured by the person.</w:t>
      </w:r>
    </w:p>
    <w:p w:rsidR="00C735AF" w:rsidRPr="003F43B0" w:rsidRDefault="00C735AF" w:rsidP="00C735AF">
      <w:pPr>
        <w:pStyle w:val="notetext"/>
      </w:pPr>
      <w:r w:rsidRPr="003F43B0">
        <w:t>Note 1:</w:t>
      </w:r>
      <w:r w:rsidRPr="003F43B0">
        <w:tab/>
        <w:t xml:space="preserve">An example of </w:t>
      </w:r>
      <w:r w:rsidR="003F43B0" w:rsidRPr="003F43B0">
        <w:t>subparagraph (</w:t>
      </w:r>
      <w:r w:rsidRPr="003F43B0">
        <w:t>1)(b)(i) is a person who imported 4</w:t>
      </w:r>
      <w:r w:rsidR="003F43B0" w:rsidRPr="003F43B0">
        <w:t> </w:t>
      </w:r>
      <w:r w:rsidR="00E2582F" w:rsidRPr="003F43B0">
        <w:t>000</w:t>
      </w:r>
      <w:r w:rsidRPr="003F43B0">
        <w:t xml:space="preserve"> televisions and manufactured 2</w:t>
      </w:r>
      <w:r w:rsidR="003F43B0" w:rsidRPr="003F43B0">
        <w:t> </w:t>
      </w:r>
      <w:r w:rsidR="00E2582F" w:rsidRPr="003F43B0">
        <w:t>000</w:t>
      </w:r>
      <w:r w:rsidRPr="003F43B0">
        <w:t xml:space="preserve"> televisions.</w:t>
      </w:r>
    </w:p>
    <w:p w:rsidR="00C735AF" w:rsidRPr="003F43B0" w:rsidRDefault="00C735AF" w:rsidP="00C735AF">
      <w:pPr>
        <w:pStyle w:val="notetext"/>
      </w:pPr>
      <w:r w:rsidRPr="003F43B0">
        <w:t>Note 2:</w:t>
      </w:r>
      <w:r w:rsidRPr="003F43B0">
        <w:tab/>
        <w:t xml:space="preserve">An example of </w:t>
      </w:r>
      <w:r w:rsidR="003F43B0" w:rsidRPr="003F43B0">
        <w:t>subparagraph (</w:t>
      </w:r>
      <w:r w:rsidRPr="003F43B0">
        <w:t xml:space="preserve">1)(b)(ii) is a person who imported </w:t>
      </w:r>
      <w:r w:rsidR="00384EE6" w:rsidRPr="003F43B0">
        <w:t>2</w:t>
      </w:r>
      <w:r w:rsidR="003F43B0" w:rsidRPr="003F43B0">
        <w:t> </w:t>
      </w:r>
      <w:r w:rsidR="00E2582F" w:rsidRPr="003F43B0">
        <w:t>000</w:t>
      </w:r>
      <w:r w:rsidRPr="003F43B0">
        <w:t xml:space="preserve"> televisions when a related body corporate imported </w:t>
      </w:r>
      <w:r w:rsidR="00AA6455" w:rsidRPr="003F43B0">
        <w:t>4</w:t>
      </w:r>
      <w:r w:rsidR="003F43B0" w:rsidRPr="003F43B0">
        <w:t> </w:t>
      </w:r>
      <w:r w:rsidR="00E2582F" w:rsidRPr="003F43B0">
        <w:t>000</w:t>
      </w:r>
      <w:r w:rsidRPr="003F43B0">
        <w:t xml:space="preserve"> televisions.</w:t>
      </w:r>
    </w:p>
    <w:p w:rsidR="00C735AF" w:rsidRPr="003F43B0" w:rsidRDefault="00C735AF" w:rsidP="00C735AF">
      <w:pPr>
        <w:pStyle w:val="SubsectionHead"/>
      </w:pPr>
      <w:r w:rsidRPr="003F43B0">
        <w:t>Computers or printers</w:t>
      </w:r>
    </w:p>
    <w:p w:rsidR="00C735AF" w:rsidRPr="003F43B0" w:rsidRDefault="00C735AF" w:rsidP="00C735AF">
      <w:pPr>
        <w:pStyle w:val="subsection"/>
      </w:pPr>
      <w:r w:rsidRPr="003F43B0">
        <w:tab/>
        <w:t>(2)</w:t>
      </w:r>
      <w:r w:rsidRPr="003F43B0">
        <w:tab/>
        <w:t>A person is a liable party, for a financial year, if:</w:t>
      </w:r>
    </w:p>
    <w:p w:rsidR="00C735AF" w:rsidRPr="003F43B0" w:rsidRDefault="00C735AF" w:rsidP="00C735AF">
      <w:pPr>
        <w:pStyle w:val="paragraph"/>
      </w:pPr>
      <w:r w:rsidRPr="003F43B0">
        <w:tab/>
        <w:t>(a)</w:t>
      </w:r>
      <w:r w:rsidRPr="003F43B0">
        <w:tab/>
        <w:t>the person is a constitutional corporation in that financial year; and</w:t>
      </w:r>
    </w:p>
    <w:p w:rsidR="00C735AF" w:rsidRPr="003F43B0" w:rsidRDefault="00C735AF" w:rsidP="00C735AF">
      <w:pPr>
        <w:pStyle w:val="paragraph"/>
      </w:pPr>
      <w:r w:rsidRPr="003F43B0">
        <w:tab/>
        <w:t>(b)</w:t>
      </w:r>
      <w:r w:rsidRPr="003F43B0">
        <w:tab/>
        <w:t>in the previous financial year:</w:t>
      </w:r>
    </w:p>
    <w:p w:rsidR="00C735AF" w:rsidRPr="003F43B0" w:rsidRDefault="00C735AF" w:rsidP="00C735AF">
      <w:pPr>
        <w:pStyle w:val="paragraphsub"/>
      </w:pPr>
      <w:r w:rsidRPr="003F43B0">
        <w:tab/>
        <w:t>(i)</w:t>
      </w:r>
      <w:r w:rsidRPr="003F43B0">
        <w:tab/>
        <w:t>the person imported or manufactured more than 5</w:t>
      </w:r>
      <w:r w:rsidR="003F43B0" w:rsidRPr="003F43B0">
        <w:t> </w:t>
      </w:r>
      <w:r w:rsidR="00E2582F" w:rsidRPr="003F43B0">
        <w:t>000</w:t>
      </w:r>
      <w:r w:rsidRPr="003F43B0">
        <w:t xml:space="preserve"> computers or printers; or</w:t>
      </w:r>
    </w:p>
    <w:p w:rsidR="00C735AF" w:rsidRPr="003F43B0" w:rsidRDefault="00C735AF" w:rsidP="00C735AF">
      <w:pPr>
        <w:pStyle w:val="paragraphsub"/>
      </w:pPr>
      <w:r w:rsidRPr="003F43B0">
        <w:tab/>
        <w:t>(ii)</w:t>
      </w:r>
      <w:r w:rsidRPr="003F43B0">
        <w:tab/>
        <w:t>the person, and a related body corporate, imported or manufactured more than 5</w:t>
      </w:r>
      <w:r w:rsidR="003F43B0" w:rsidRPr="003F43B0">
        <w:t> </w:t>
      </w:r>
      <w:r w:rsidR="00E2582F" w:rsidRPr="003F43B0">
        <w:t>000</w:t>
      </w:r>
      <w:r w:rsidRPr="003F43B0">
        <w:t xml:space="preserve"> computers or printers, of which </w:t>
      </w:r>
      <w:r w:rsidR="00384EE6" w:rsidRPr="003F43B0">
        <w:t>more than</w:t>
      </w:r>
      <w:r w:rsidRPr="003F43B0">
        <w:t xml:space="preserve"> 1</w:t>
      </w:r>
      <w:r w:rsidR="003F43B0" w:rsidRPr="003F43B0">
        <w:t> </w:t>
      </w:r>
      <w:r w:rsidR="00E2582F" w:rsidRPr="003F43B0">
        <w:t>000</w:t>
      </w:r>
      <w:r w:rsidRPr="003F43B0">
        <w:t xml:space="preserve"> were imported or manufactured by the person.</w:t>
      </w:r>
    </w:p>
    <w:p w:rsidR="00C735AF" w:rsidRPr="003F43B0" w:rsidRDefault="00C735AF" w:rsidP="00C735AF">
      <w:pPr>
        <w:pStyle w:val="notetext"/>
      </w:pPr>
      <w:r w:rsidRPr="003F43B0">
        <w:t>Note 1:</w:t>
      </w:r>
      <w:r w:rsidRPr="003F43B0">
        <w:tab/>
        <w:t xml:space="preserve">An example of </w:t>
      </w:r>
      <w:r w:rsidR="003F43B0" w:rsidRPr="003F43B0">
        <w:t>subparagraph (</w:t>
      </w:r>
      <w:r w:rsidRPr="003F43B0">
        <w:t>2)(b)(i) is a person who imported 4</w:t>
      </w:r>
      <w:r w:rsidR="003F43B0" w:rsidRPr="003F43B0">
        <w:t> </w:t>
      </w:r>
      <w:r w:rsidR="00E2582F" w:rsidRPr="003F43B0">
        <w:t>000</w:t>
      </w:r>
      <w:r w:rsidRPr="003F43B0">
        <w:t xml:space="preserve"> computers and manufactured 2</w:t>
      </w:r>
      <w:r w:rsidR="003F43B0" w:rsidRPr="003F43B0">
        <w:t> </w:t>
      </w:r>
      <w:r w:rsidR="00E2582F" w:rsidRPr="003F43B0">
        <w:t>000</w:t>
      </w:r>
      <w:r w:rsidRPr="003F43B0">
        <w:t xml:space="preserve"> printers.</w:t>
      </w:r>
    </w:p>
    <w:p w:rsidR="00C735AF" w:rsidRPr="003F43B0" w:rsidRDefault="00C735AF" w:rsidP="00C735AF">
      <w:pPr>
        <w:pStyle w:val="notetext"/>
      </w:pPr>
      <w:r w:rsidRPr="003F43B0">
        <w:t>Note 2:</w:t>
      </w:r>
      <w:r w:rsidRPr="003F43B0">
        <w:tab/>
        <w:t xml:space="preserve">An example of </w:t>
      </w:r>
      <w:r w:rsidR="003F43B0" w:rsidRPr="003F43B0">
        <w:t>subparagraph (</w:t>
      </w:r>
      <w:r w:rsidRPr="003F43B0">
        <w:t xml:space="preserve">2)(b)(ii) is a person who imported </w:t>
      </w:r>
      <w:r w:rsidR="00384EE6" w:rsidRPr="003F43B0">
        <w:t>2</w:t>
      </w:r>
      <w:r w:rsidR="003F43B0" w:rsidRPr="003F43B0">
        <w:t> </w:t>
      </w:r>
      <w:r w:rsidR="00E2582F" w:rsidRPr="003F43B0">
        <w:t>000</w:t>
      </w:r>
      <w:r w:rsidRPr="003F43B0">
        <w:t xml:space="preserve"> computers when a related body corporate manufactured </w:t>
      </w:r>
      <w:r w:rsidR="00AA6455" w:rsidRPr="003F43B0">
        <w:t>4</w:t>
      </w:r>
      <w:r w:rsidR="003F43B0" w:rsidRPr="003F43B0">
        <w:t> </w:t>
      </w:r>
      <w:r w:rsidR="00E2582F" w:rsidRPr="003F43B0">
        <w:t>000</w:t>
      </w:r>
      <w:r w:rsidRPr="003F43B0">
        <w:t xml:space="preserve"> printers.</w:t>
      </w:r>
    </w:p>
    <w:p w:rsidR="00C735AF" w:rsidRPr="003F43B0" w:rsidRDefault="00C735AF" w:rsidP="00C735AF">
      <w:pPr>
        <w:pStyle w:val="SubsectionHead"/>
      </w:pPr>
      <w:r w:rsidRPr="003F43B0">
        <w:t>Computer parts or peripherals</w:t>
      </w:r>
    </w:p>
    <w:p w:rsidR="00C735AF" w:rsidRPr="003F43B0" w:rsidRDefault="00C735AF" w:rsidP="00C735AF">
      <w:pPr>
        <w:pStyle w:val="subsection"/>
      </w:pPr>
      <w:r w:rsidRPr="003F43B0">
        <w:tab/>
        <w:t>(3)</w:t>
      </w:r>
      <w:r w:rsidRPr="003F43B0">
        <w:tab/>
        <w:t>A person is a liable party, for a financial year, if:</w:t>
      </w:r>
    </w:p>
    <w:p w:rsidR="00C735AF" w:rsidRPr="003F43B0" w:rsidRDefault="00C735AF" w:rsidP="00C735AF">
      <w:pPr>
        <w:pStyle w:val="paragraph"/>
      </w:pPr>
      <w:r w:rsidRPr="003F43B0">
        <w:tab/>
        <w:t>(a)</w:t>
      </w:r>
      <w:r w:rsidRPr="003F43B0">
        <w:tab/>
        <w:t>the person is a constitutional corporation in that financial year; and</w:t>
      </w:r>
    </w:p>
    <w:p w:rsidR="00C735AF" w:rsidRPr="003F43B0" w:rsidRDefault="00C735AF" w:rsidP="00C735AF">
      <w:pPr>
        <w:pStyle w:val="paragraph"/>
      </w:pPr>
      <w:r w:rsidRPr="003F43B0">
        <w:lastRenderedPageBreak/>
        <w:tab/>
        <w:t>(b)</w:t>
      </w:r>
      <w:r w:rsidRPr="003F43B0">
        <w:tab/>
        <w:t>in the previous financial year, the person imported or manufactured more than 15</w:t>
      </w:r>
      <w:r w:rsidR="003F43B0" w:rsidRPr="003F43B0">
        <w:t> </w:t>
      </w:r>
      <w:r w:rsidR="00E2582F" w:rsidRPr="003F43B0">
        <w:t>000</w:t>
      </w:r>
      <w:r w:rsidRPr="003F43B0">
        <w:t xml:space="preserve"> computer parts or peripherals.</w:t>
      </w:r>
    </w:p>
    <w:p w:rsidR="00C735AF" w:rsidRPr="003F43B0" w:rsidRDefault="00C735AF" w:rsidP="00C735AF">
      <w:pPr>
        <w:pStyle w:val="SubsectionHead"/>
        <w:rPr>
          <w:i w:val="0"/>
        </w:rPr>
      </w:pPr>
      <w:r w:rsidRPr="003F43B0">
        <w:t>Obligation as liable party continues</w:t>
      </w:r>
    </w:p>
    <w:p w:rsidR="00C735AF" w:rsidRPr="003F43B0" w:rsidRDefault="00AA6455" w:rsidP="00C735AF">
      <w:pPr>
        <w:pStyle w:val="subsection"/>
      </w:pPr>
      <w:r w:rsidRPr="003F43B0">
        <w:tab/>
        <w:t>(4)</w:t>
      </w:r>
      <w:r w:rsidRPr="003F43B0">
        <w:tab/>
        <w:t>If</w:t>
      </w:r>
      <w:r w:rsidR="00C735AF" w:rsidRPr="003F43B0">
        <w:t>:</w:t>
      </w:r>
    </w:p>
    <w:p w:rsidR="00C735AF" w:rsidRPr="003F43B0" w:rsidRDefault="00C735AF" w:rsidP="00C735AF">
      <w:pPr>
        <w:pStyle w:val="paragraph"/>
      </w:pPr>
      <w:r w:rsidRPr="003F43B0">
        <w:tab/>
        <w:t>(a)</w:t>
      </w:r>
      <w:r w:rsidRPr="003F43B0">
        <w:tab/>
        <w:t xml:space="preserve">a person is a liable party for </w:t>
      </w:r>
      <w:r w:rsidR="00347012" w:rsidRPr="003F43B0">
        <w:t xml:space="preserve">television or computer </w:t>
      </w:r>
      <w:r w:rsidR="00563D72" w:rsidRPr="003F43B0">
        <w:t>product</w:t>
      </w:r>
      <w:r w:rsidRPr="003F43B0">
        <w:t>s</w:t>
      </w:r>
      <w:r w:rsidR="00AA6455" w:rsidRPr="003F43B0">
        <w:t xml:space="preserve"> in a financial year</w:t>
      </w:r>
      <w:r w:rsidRPr="003F43B0">
        <w:t>; and</w:t>
      </w:r>
    </w:p>
    <w:p w:rsidR="00C735AF" w:rsidRPr="003F43B0" w:rsidRDefault="00C735AF" w:rsidP="00C735AF">
      <w:pPr>
        <w:pStyle w:val="paragraph"/>
      </w:pPr>
      <w:r w:rsidRPr="003F43B0">
        <w:tab/>
        <w:t>(b)</w:t>
      </w:r>
      <w:r w:rsidRPr="003F43B0">
        <w:tab/>
        <w:t>the person is not a member of a co</w:t>
      </w:r>
      <w:r w:rsidR="003F43B0">
        <w:noBreakHyphen/>
      </w:r>
      <w:r w:rsidR="003B168F" w:rsidRPr="003F43B0">
        <w:t>regulatory arrangement</w:t>
      </w:r>
      <w:r w:rsidR="00AA6455" w:rsidRPr="003F43B0">
        <w:t xml:space="preserve"> on 30</w:t>
      </w:r>
      <w:r w:rsidR="003F43B0" w:rsidRPr="003F43B0">
        <w:t> </w:t>
      </w:r>
      <w:r w:rsidR="00AA6455" w:rsidRPr="003F43B0">
        <w:t>June of that financial year</w:t>
      </w:r>
      <w:r w:rsidRPr="003F43B0">
        <w:t>;</w:t>
      </w:r>
    </w:p>
    <w:p w:rsidR="00C735AF" w:rsidRPr="003F43B0" w:rsidRDefault="00C735AF" w:rsidP="00C735AF">
      <w:pPr>
        <w:pStyle w:val="subsection2"/>
      </w:pPr>
      <w:r w:rsidRPr="003F43B0">
        <w:t>the person</w:t>
      </w:r>
      <w:r w:rsidR="003A5BB9" w:rsidRPr="003F43B0">
        <w:t xml:space="preserve"> continues to be a liable party</w:t>
      </w:r>
      <w:r w:rsidR="00AA6455" w:rsidRPr="003F43B0">
        <w:t>,</w:t>
      </w:r>
      <w:r w:rsidR="003A5BB9" w:rsidRPr="003F43B0">
        <w:t xml:space="preserve"> </w:t>
      </w:r>
      <w:r w:rsidR="00AA6455" w:rsidRPr="003F43B0">
        <w:t>for</w:t>
      </w:r>
      <w:r w:rsidR="003A5BB9" w:rsidRPr="003F43B0">
        <w:t xml:space="preserve"> </w:t>
      </w:r>
      <w:r w:rsidR="00AA6455" w:rsidRPr="003F43B0">
        <w:t xml:space="preserve">those products, </w:t>
      </w:r>
      <w:r w:rsidR="003B168F" w:rsidRPr="003F43B0">
        <w:t>until the end of the financial year in which the person becomes a member of a co</w:t>
      </w:r>
      <w:r w:rsidR="003F43B0">
        <w:noBreakHyphen/>
      </w:r>
      <w:r w:rsidR="003B168F" w:rsidRPr="003F43B0">
        <w:t>regulatory arrangement</w:t>
      </w:r>
      <w:r w:rsidR="00AD4F2D" w:rsidRPr="003F43B0">
        <w:t>, regardless of whether the person would have been a liable party in that financial year but for this subregulation</w:t>
      </w:r>
      <w:r w:rsidRPr="003F43B0">
        <w:t>.</w:t>
      </w:r>
    </w:p>
    <w:p w:rsidR="00C735AF" w:rsidRPr="003F43B0" w:rsidRDefault="00C735AF" w:rsidP="00C735AF">
      <w:pPr>
        <w:pStyle w:val="SubsectionHead"/>
        <w:rPr>
          <w:noProof/>
        </w:rPr>
      </w:pPr>
      <w:r w:rsidRPr="003F43B0">
        <w:rPr>
          <w:noProof/>
        </w:rPr>
        <w:t xml:space="preserve">Definitions for </w:t>
      </w:r>
      <w:r w:rsidR="00B85C7D" w:rsidRPr="003F43B0">
        <w:rPr>
          <w:noProof/>
        </w:rPr>
        <w:t>regulation</w:t>
      </w:r>
    </w:p>
    <w:p w:rsidR="00C735AF" w:rsidRPr="003F43B0" w:rsidRDefault="00C735AF" w:rsidP="00C735AF">
      <w:pPr>
        <w:pStyle w:val="subsection"/>
      </w:pPr>
      <w:r w:rsidRPr="003F43B0">
        <w:rPr>
          <w:noProof/>
        </w:rPr>
        <w:tab/>
      </w:r>
      <w:r w:rsidRPr="003F43B0">
        <w:t>(5)</w:t>
      </w:r>
      <w:r w:rsidRPr="003F43B0">
        <w:tab/>
        <w:t>In this regulation:</w:t>
      </w:r>
    </w:p>
    <w:p w:rsidR="00C735AF" w:rsidRPr="003F43B0" w:rsidRDefault="00C735AF" w:rsidP="00C735AF">
      <w:pPr>
        <w:pStyle w:val="Definition"/>
      </w:pPr>
      <w:r w:rsidRPr="003F43B0">
        <w:rPr>
          <w:b/>
          <w:i/>
        </w:rPr>
        <w:t>imported</w:t>
      </w:r>
      <w:r w:rsidRPr="003F43B0">
        <w:t>, in relation to a product, means:</w:t>
      </w:r>
    </w:p>
    <w:p w:rsidR="00C735AF" w:rsidRPr="003F43B0" w:rsidRDefault="00C735AF" w:rsidP="00C735AF">
      <w:pPr>
        <w:pStyle w:val="paragraph"/>
      </w:pPr>
      <w:r w:rsidRPr="003F43B0">
        <w:tab/>
        <w:t>(a)</w:t>
      </w:r>
      <w:r w:rsidRPr="003F43B0">
        <w:tab/>
        <w:t>the product is the subject of an import declaration under section</w:t>
      </w:r>
      <w:r w:rsidR="003F43B0" w:rsidRPr="003F43B0">
        <w:t> </w:t>
      </w:r>
      <w:r w:rsidRPr="003F43B0">
        <w:t xml:space="preserve">71A of the </w:t>
      </w:r>
      <w:r w:rsidRPr="003F43B0">
        <w:rPr>
          <w:i/>
        </w:rPr>
        <w:t>Customs Act 1901</w:t>
      </w:r>
      <w:r w:rsidRPr="003F43B0">
        <w:t>; and</w:t>
      </w:r>
    </w:p>
    <w:p w:rsidR="00C735AF" w:rsidRPr="003F43B0" w:rsidRDefault="00C735AF" w:rsidP="00C735AF">
      <w:pPr>
        <w:pStyle w:val="paragraph"/>
      </w:pPr>
      <w:r w:rsidRPr="003F43B0">
        <w:tab/>
        <w:t>(b)</w:t>
      </w:r>
      <w:r w:rsidRPr="003F43B0">
        <w:tab/>
        <w:t xml:space="preserve">the product has been entered for home consumption under </w:t>
      </w:r>
      <w:r w:rsidR="001A765B" w:rsidRPr="003F43B0">
        <w:t>subsection</w:t>
      </w:r>
      <w:r w:rsidR="003F43B0" w:rsidRPr="003F43B0">
        <w:t> </w:t>
      </w:r>
      <w:r w:rsidR="001A765B" w:rsidRPr="003F43B0">
        <w:t>68(3A)</w:t>
      </w:r>
      <w:r w:rsidRPr="003F43B0">
        <w:t xml:space="preserve"> of that Act.</w:t>
      </w:r>
    </w:p>
    <w:p w:rsidR="00C735AF" w:rsidRPr="003F43B0" w:rsidRDefault="00C735AF" w:rsidP="00C735AF">
      <w:pPr>
        <w:pStyle w:val="Definition"/>
      </w:pPr>
      <w:r w:rsidRPr="003F43B0">
        <w:rPr>
          <w:b/>
          <w:i/>
        </w:rPr>
        <w:t>manufactured</w:t>
      </w:r>
      <w:r w:rsidRPr="003F43B0">
        <w:t xml:space="preserve"> means manufactured in Australia.</w:t>
      </w:r>
    </w:p>
    <w:p w:rsidR="00C735AF" w:rsidRPr="003F43B0" w:rsidRDefault="00FF73FD" w:rsidP="00C735AF">
      <w:pPr>
        <w:pStyle w:val="ItemHead"/>
        <w:rPr>
          <w:rFonts w:cs="Arial"/>
          <w:noProof/>
        </w:rPr>
      </w:pPr>
      <w:r w:rsidRPr="003F43B0">
        <w:rPr>
          <w:rFonts w:cs="Arial"/>
          <w:noProof/>
        </w:rPr>
        <w:t>26</w:t>
      </w:r>
      <w:r w:rsidR="00C735AF" w:rsidRPr="003F43B0">
        <w:rPr>
          <w:rFonts w:cs="Arial"/>
          <w:noProof/>
        </w:rPr>
        <w:t xml:space="preserve">  Subregulation</w:t>
      </w:r>
      <w:r w:rsidR="003F43B0" w:rsidRPr="003F43B0">
        <w:rPr>
          <w:rFonts w:cs="Arial"/>
          <w:noProof/>
        </w:rPr>
        <w:t> </w:t>
      </w:r>
      <w:r w:rsidR="00C735AF" w:rsidRPr="003F43B0">
        <w:rPr>
          <w:rFonts w:cs="Arial"/>
          <w:noProof/>
        </w:rPr>
        <w:t>3.01(1)</w:t>
      </w:r>
    </w:p>
    <w:p w:rsidR="00C735AF" w:rsidRPr="003F43B0" w:rsidRDefault="00C735AF" w:rsidP="00C735AF">
      <w:pPr>
        <w:pStyle w:val="Item"/>
      </w:pPr>
      <w:r w:rsidRPr="003F43B0">
        <w:t>Omit “a class of</w:t>
      </w:r>
      <w:r w:rsidR="00563D72" w:rsidRPr="003F43B0">
        <w:t xml:space="preserve"> products</w:t>
      </w:r>
      <w:r w:rsidRPr="003F43B0">
        <w:t>”, substitute “</w:t>
      </w:r>
      <w:r w:rsidR="00347012" w:rsidRPr="003F43B0">
        <w:t xml:space="preserve">television or computer </w:t>
      </w:r>
      <w:r w:rsidR="00563D72" w:rsidRPr="003F43B0">
        <w:t>products</w:t>
      </w:r>
      <w:r w:rsidRPr="003F43B0">
        <w:t>”.</w:t>
      </w:r>
    </w:p>
    <w:p w:rsidR="00C735AF" w:rsidRPr="003F43B0" w:rsidRDefault="00FF73FD" w:rsidP="00C735AF">
      <w:pPr>
        <w:pStyle w:val="ItemHead"/>
        <w:rPr>
          <w:rFonts w:cs="Arial"/>
          <w:noProof/>
        </w:rPr>
      </w:pPr>
      <w:r w:rsidRPr="003F43B0">
        <w:rPr>
          <w:rFonts w:cs="Arial"/>
          <w:noProof/>
        </w:rPr>
        <w:t>27</w:t>
      </w:r>
      <w:r w:rsidR="00C735AF" w:rsidRPr="003F43B0">
        <w:rPr>
          <w:rFonts w:cs="Arial"/>
          <w:noProof/>
        </w:rPr>
        <w:t xml:space="preserve">  Paragraph 3.01(1)(a)</w:t>
      </w:r>
    </w:p>
    <w:p w:rsidR="00C735AF" w:rsidRPr="003F43B0" w:rsidRDefault="00C735AF" w:rsidP="00C735AF">
      <w:pPr>
        <w:pStyle w:val="Item"/>
      </w:pPr>
      <w:r w:rsidRPr="003F43B0">
        <w:t>Repeal the paragraph, substitute:</w:t>
      </w:r>
    </w:p>
    <w:p w:rsidR="00C735AF" w:rsidRPr="003F43B0" w:rsidRDefault="00C735AF" w:rsidP="00C735AF">
      <w:pPr>
        <w:pStyle w:val="paragraph"/>
      </w:pPr>
      <w:r w:rsidRPr="003F43B0">
        <w:tab/>
        <w:t>(a)</w:t>
      </w:r>
      <w:r w:rsidRPr="003F43B0">
        <w:tab/>
        <w:t>reasonable access to collection services in metropolitan, inner regional, outer regional and remote areas must be provided in accordance with regulation</w:t>
      </w:r>
      <w:r w:rsidR="003F43B0" w:rsidRPr="003F43B0">
        <w:t> </w:t>
      </w:r>
      <w:r w:rsidRPr="003F43B0">
        <w:t>3.03 before the later of:</w:t>
      </w:r>
    </w:p>
    <w:p w:rsidR="00C735AF" w:rsidRPr="003F43B0" w:rsidRDefault="00C735AF" w:rsidP="00C735AF">
      <w:pPr>
        <w:pStyle w:val="paragraphsub"/>
      </w:pPr>
      <w:r w:rsidRPr="003F43B0">
        <w:tab/>
        <w:t>(i)</w:t>
      </w:r>
      <w:r w:rsidRPr="003F43B0">
        <w:tab/>
        <w:t>31</w:t>
      </w:r>
      <w:r w:rsidR="003F43B0" w:rsidRPr="003F43B0">
        <w:t> </w:t>
      </w:r>
      <w:r w:rsidRPr="003F43B0">
        <w:t>December 2013; and</w:t>
      </w:r>
    </w:p>
    <w:p w:rsidR="00C735AF" w:rsidRPr="003F43B0" w:rsidRDefault="00C735AF" w:rsidP="00C735AF">
      <w:pPr>
        <w:pStyle w:val="paragraphsub"/>
      </w:pPr>
      <w:r w:rsidRPr="003F43B0">
        <w:tab/>
        <w:t>(ii)</w:t>
      </w:r>
      <w:r w:rsidRPr="003F43B0">
        <w:tab/>
        <w:t>the end of 12 months after the co</w:t>
      </w:r>
      <w:r w:rsidR="003F43B0">
        <w:noBreakHyphen/>
      </w:r>
      <w:r w:rsidRPr="003F43B0">
        <w:t>regulatory arrangement was approved;</w:t>
      </w:r>
    </w:p>
    <w:p w:rsidR="00C735AF" w:rsidRPr="003F43B0" w:rsidRDefault="00FF73FD" w:rsidP="00C735AF">
      <w:pPr>
        <w:pStyle w:val="ItemHead"/>
        <w:rPr>
          <w:rFonts w:cs="Arial"/>
          <w:noProof/>
        </w:rPr>
      </w:pPr>
      <w:r w:rsidRPr="003F43B0">
        <w:rPr>
          <w:rFonts w:cs="Arial"/>
          <w:noProof/>
        </w:rPr>
        <w:lastRenderedPageBreak/>
        <w:t>28</w:t>
      </w:r>
      <w:r w:rsidR="00C735AF" w:rsidRPr="003F43B0">
        <w:rPr>
          <w:rFonts w:cs="Arial"/>
          <w:noProof/>
        </w:rPr>
        <w:t xml:space="preserve">  Subregulation</w:t>
      </w:r>
      <w:r w:rsidR="003F43B0" w:rsidRPr="003F43B0">
        <w:rPr>
          <w:rFonts w:cs="Arial"/>
          <w:noProof/>
        </w:rPr>
        <w:t> </w:t>
      </w:r>
      <w:r w:rsidR="00C735AF" w:rsidRPr="003F43B0">
        <w:rPr>
          <w:rFonts w:cs="Arial"/>
          <w:noProof/>
        </w:rPr>
        <w:t>3.01(2)</w:t>
      </w:r>
    </w:p>
    <w:p w:rsidR="00C735AF" w:rsidRPr="003F43B0" w:rsidRDefault="00C735AF" w:rsidP="00C735AF">
      <w:pPr>
        <w:pStyle w:val="Item"/>
      </w:pPr>
      <w:r w:rsidRPr="003F43B0">
        <w:t>Omit “a class of</w:t>
      </w:r>
      <w:r w:rsidR="00563D72" w:rsidRPr="003F43B0">
        <w:t xml:space="preserve"> products</w:t>
      </w:r>
      <w:r w:rsidRPr="003F43B0">
        <w:t>”, substitute “</w:t>
      </w:r>
      <w:r w:rsidR="00347012" w:rsidRPr="003F43B0">
        <w:t xml:space="preserve">television or computer </w:t>
      </w:r>
      <w:r w:rsidR="00563D72" w:rsidRPr="003F43B0">
        <w:t>products</w:t>
      </w:r>
      <w:r w:rsidRPr="003F43B0">
        <w:t>”.</w:t>
      </w:r>
    </w:p>
    <w:p w:rsidR="00C735AF" w:rsidRPr="003F43B0" w:rsidRDefault="00FF73FD" w:rsidP="00C735AF">
      <w:pPr>
        <w:pStyle w:val="ItemHead"/>
        <w:rPr>
          <w:rFonts w:cs="Arial"/>
        </w:rPr>
      </w:pPr>
      <w:r w:rsidRPr="003F43B0">
        <w:rPr>
          <w:rFonts w:cs="Arial"/>
          <w:noProof/>
        </w:rPr>
        <w:t>29</w:t>
      </w:r>
      <w:r w:rsidR="00C735AF" w:rsidRPr="003F43B0">
        <w:rPr>
          <w:rFonts w:cs="Arial"/>
        </w:rPr>
        <w:t xml:space="preserve">  Paragraph 3.01(2)(a)</w:t>
      </w:r>
    </w:p>
    <w:p w:rsidR="00C735AF" w:rsidRPr="003F43B0" w:rsidRDefault="00C735AF" w:rsidP="00C735AF">
      <w:pPr>
        <w:pStyle w:val="Item"/>
      </w:pPr>
      <w:r w:rsidRPr="003F43B0">
        <w:t xml:space="preserve">Omit “a product”, substitute “a </w:t>
      </w:r>
      <w:r w:rsidR="00347012" w:rsidRPr="003F43B0">
        <w:t xml:space="preserve">television or computer </w:t>
      </w:r>
      <w:r w:rsidR="00563D72" w:rsidRPr="003F43B0">
        <w:t>product</w:t>
      </w:r>
      <w:r w:rsidRPr="003F43B0">
        <w:t>”.</w:t>
      </w:r>
    </w:p>
    <w:p w:rsidR="00C735AF" w:rsidRPr="003F43B0" w:rsidRDefault="00FF73FD" w:rsidP="00C735AF">
      <w:pPr>
        <w:pStyle w:val="ItemHead"/>
      </w:pPr>
      <w:r w:rsidRPr="003F43B0">
        <w:t>30</w:t>
      </w:r>
      <w:r w:rsidR="00C735AF" w:rsidRPr="003F43B0">
        <w:t xml:space="preserve">  Paragraph 3.01(2)(b)</w:t>
      </w:r>
    </w:p>
    <w:p w:rsidR="00C735AF" w:rsidRPr="003F43B0" w:rsidRDefault="00C735AF" w:rsidP="00C735AF">
      <w:pPr>
        <w:pStyle w:val="Item"/>
      </w:pPr>
      <w:r w:rsidRPr="003F43B0">
        <w:t>Omit “</w:t>
      </w:r>
      <w:r w:rsidR="00563D72" w:rsidRPr="003F43B0">
        <w:t xml:space="preserve">a </w:t>
      </w:r>
      <w:r w:rsidRPr="003F43B0">
        <w:t>product in the class of products”, substitute “</w:t>
      </w:r>
      <w:r w:rsidR="00347012" w:rsidRPr="003F43B0">
        <w:t xml:space="preserve">television or computer </w:t>
      </w:r>
      <w:r w:rsidR="00563D72" w:rsidRPr="003F43B0">
        <w:t>products</w:t>
      </w:r>
      <w:r w:rsidRPr="003F43B0">
        <w:t>”.</w:t>
      </w:r>
    </w:p>
    <w:p w:rsidR="00C735AF" w:rsidRPr="003F43B0" w:rsidRDefault="00FF73FD" w:rsidP="00C735AF">
      <w:pPr>
        <w:pStyle w:val="ItemHead"/>
        <w:rPr>
          <w:rFonts w:cs="Arial"/>
        </w:rPr>
      </w:pPr>
      <w:r w:rsidRPr="003F43B0">
        <w:rPr>
          <w:rFonts w:cs="Arial"/>
          <w:noProof/>
        </w:rPr>
        <w:t>31</w:t>
      </w:r>
      <w:r w:rsidR="00C735AF" w:rsidRPr="003F43B0">
        <w:rPr>
          <w:rFonts w:cs="Arial"/>
        </w:rPr>
        <w:t xml:space="preserve">  Paragraphs 3.02(a) to (e)</w:t>
      </w:r>
    </w:p>
    <w:p w:rsidR="00C735AF" w:rsidRPr="003F43B0" w:rsidRDefault="00C735AF" w:rsidP="00C735AF">
      <w:pPr>
        <w:pStyle w:val="Item"/>
      </w:pPr>
      <w:r w:rsidRPr="003F43B0">
        <w:t>Omit “products”, substitute “</w:t>
      </w:r>
      <w:r w:rsidR="00347012" w:rsidRPr="003F43B0">
        <w:t xml:space="preserve">television or computer </w:t>
      </w:r>
      <w:r w:rsidR="00563D72" w:rsidRPr="003F43B0">
        <w:t>product</w:t>
      </w:r>
      <w:r w:rsidRPr="003F43B0">
        <w:t>s”.</w:t>
      </w:r>
    </w:p>
    <w:p w:rsidR="00C735AF" w:rsidRPr="003F43B0" w:rsidRDefault="00FF73FD" w:rsidP="00C735AF">
      <w:pPr>
        <w:pStyle w:val="ItemHead"/>
        <w:rPr>
          <w:rFonts w:cs="Arial"/>
          <w:noProof/>
        </w:rPr>
      </w:pPr>
      <w:r w:rsidRPr="003F43B0">
        <w:rPr>
          <w:rFonts w:cs="Arial"/>
          <w:noProof/>
        </w:rPr>
        <w:t>32</w:t>
      </w:r>
      <w:r w:rsidR="00C735AF" w:rsidRPr="003F43B0">
        <w:rPr>
          <w:rFonts w:cs="Arial"/>
          <w:noProof/>
        </w:rPr>
        <w:t xml:space="preserve">  Regulation</w:t>
      </w:r>
      <w:r w:rsidR="003F43B0" w:rsidRPr="003F43B0">
        <w:rPr>
          <w:rFonts w:cs="Arial"/>
          <w:noProof/>
        </w:rPr>
        <w:t> </w:t>
      </w:r>
      <w:r w:rsidR="00C735AF" w:rsidRPr="003F43B0">
        <w:rPr>
          <w:rFonts w:cs="Arial"/>
          <w:noProof/>
        </w:rPr>
        <w:t>3.04</w:t>
      </w:r>
    </w:p>
    <w:p w:rsidR="00C735AF" w:rsidRPr="003F43B0" w:rsidRDefault="00C735AF" w:rsidP="00C735AF">
      <w:pPr>
        <w:pStyle w:val="Item"/>
      </w:pPr>
      <w:r w:rsidRPr="003F43B0">
        <w:t>Repeal the regulation, substitute:</w:t>
      </w:r>
    </w:p>
    <w:p w:rsidR="00C735AF" w:rsidRPr="003F43B0" w:rsidRDefault="00C735AF" w:rsidP="00C735AF">
      <w:pPr>
        <w:pStyle w:val="ActHead5"/>
      </w:pPr>
      <w:bookmarkStart w:id="21" w:name="_Toc358878539"/>
      <w:r w:rsidRPr="003F43B0">
        <w:rPr>
          <w:rStyle w:val="CharSectno"/>
        </w:rPr>
        <w:t>3.04</w:t>
      </w:r>
      <w:r w:rsidRPr="003F43B0">
        <w:t xml:space="preserve">  Working out </w:t>
      </w:r>
      <w:r w:rsidRPr="003F43B0">
        <w:rPr>
          <w:i/>
        </w:rPr>
        <w:t>recycling target</w:t>
      </w:r>
      <w:bookmarkEnd w:id="21"/>
    </w:p>
    <w:p w:rsidR="00C735AF" w:rsidRPr="003F43B0" w:rsidRDefault="00C735AF" w:rsidP="00C735AF">
      <w:pPr>
        <w:pStyle w:val="subsection"/>
      </w:pPr>
      <w:r w:rsidRPr="003F43B0">
        <w:tab/>
      </w:r>
      <w:r w:rsidR="00780687" w:rsidRPr="003F43B0">
        <w:t>(1)</w:t>
      </w:r>
      <w:r w:rsidRPr="003F43B0">
        <w:tab/>
        <w:t xml:space="preserve">The </w:t>
      </w:r>
      <w:r w:rsidRPr="003F43B0">
        <w:rPr>
          <w:b/>
          <w:i/>
        </w:rPr>
        <w:t>recycling target</w:t>
      </w:r>
      <w:r w:rsidRPr="003F43B0">
        <w:t xml:space="preserve"> of a co</w:t>
      </w:r>
      <w:r w:rsidR="003F43B0">
        <w:noBreakHyphen/>
      </w:r>
      <w:r w:rsidRPr="003F43B0">
        <w:t xml:space="preserve">regulatory arrangement, for a financial year, </w:t>
      </w:r>
      <w:r w:rsidR="00D9371E" w:rsidRPr="003F43B0">
        <w:t>is</w:t>
      </w:r>
      <w:r w:rsidR="00780687" w:rsidRPr="003F43B0">
        <w:t xml:space="preserve"> the scheme target </w:t>
      </w:r>
      <w:r w:rsidR="00D9371E" w:rsidRPr="003F43B0">
        <w:t xml:space="preserve">for that year multiplied </w:t>
      </w:r>
      <w:r w:rsidR="00780687" w:rsidRPr="003F43B0">
        <w:t>by the</w:t>
      </w:r>
      <w:r w:rsidR="00D9371E" w:rsidRPr="003F43B0">
        <w:t xml:space="preserve"> co</w:t>
      </w:r>
      <w:r w:rsidR="003F43B0">
        <w:noBreakHyphen/>
      </w:r>
      <w:r w:rsidR="00D9371E" w:rsidRPr="003F43B0">
        <w:t>regulatory arrangement’s</w:t>
      </w:r>
      <w:r w:rsidR="00780687" w:rsidRPr="003F43B0">
        <w:t xml:space="preserve"> import or manufacture share</w:t>
      </w:r>
      <w:r w:rsidR="00D9371E" w:rsidRPr="003F43B0">
        <w:t xml:space="preserve"> for that year</w:t>
      </w:r>
      <w:r w:rsidR="00780687" w:rsidRPr="003F43B0">
        <w:t>.</w:t>
      </w:r>
    </w:p>
    <w:p w:rsidR="00AD4F2D" w:rsidRPr="003F43B0" w:rsidRDefault="00C735AF" w:rsidP="00D9371E">
      <w:pPr>
        <w:pStyle w:val="subsection"/>
      </w:pPr>
      <w:r w:rsidRPr="003F43B0">
        <w:tab/>
      </w:r>
      <w:r w:rsidR="00AB1364" w:rsidRPr="003F43B0">
        <w:t>(</w:t>
      </w:r>
      <w:r w:rsidR="00780687" w:rsidRPr="003F43B0">
        <w:t>2</w:t>
      </w:r>
      <w:r w:rsidR="00AB1364" w:rsidRPr="003F43B0">
        <w:t>)</w:t>
      </w:r>
      <w:r w:rsidRPr="003F43B0">
        <w:tab/>
        <w:t xml:space="preserve">The </w:t>
      </w:r>
      <w:r w:rsidRPr="003F43B0">
        <w:rPr>
          <w:b/>
          <w:i/>
        </w:rPr>
        <w:t>scheme target</w:t>
      </w:r>
      <w:r w:rsidRPr="003F43B0">
        <w:t xml:space="preserve"> </w:t>
      </w:r>
      <w:r w:rsidR="00D9371E" w:rsidRPr="003F43B0">
        <w:t>is</w:t>
      </w:r>
      <w:r w:rsidR="00FD2B88" w:rsidRPr="003F43B0">
        <w:t xml:space="preserve"> the percentage target </w:t>
      </w:r>
      <w:r w:rsidR="00780687" w:rsidRPr="003F43B0">
        <w:t>for a</w:t>
      </w:r>
      <w:r w:rsidR="00FD2B88" w:rsidRPr="003F43B0">
        <w:t xml:space="preserve"> financial year </w:t>
      </w:r>
      <w:r w:rsidR="00AD4F2D" w:rsidRPr="003F43B0">
        <w:t>(see Schedule</w:t>
      </w:r>
      <w:r w:rsidR="003F43B0" w:rsidRPr="003F43B0">
        <w:t> </w:t>
      </w:r>
      <w:r w:rsidR="00AD4F2D" w:rsidRPr="003F43B0">
        <w:t xml:space="preserve">2) </w:t>
      </w:r>
      <w:r w:rsidR="00D9371E" w:rsidRPr="003F43B0">
        <w:t>multiplied by the waste arising</w:t>
      </w:r>
      <w:r w:rsidR="00AD4F2D" w:rsidRPr="003F43B0">
        <w:t>.</w:t>
      </w:r>
    </w:p>
    <w:p w:rsidR="00C735AF" w:rsidRPr="003F43B0" w:rsidRDefault="00AD4F2D" w:rsidP="00D9371E">
      <w:pPr>
        <w:pStyle w:val="subsection"/>
      </w:pPr>
      <w:r w:rsidRPr="003F43B0">
        <w:tab/>
        <w:t>(3)</w:t>
      </w:r>
      <w:r w:rsidRPr="003F43B0">
        <w:tab/>
      </w:r>
      <w:r w:rsidRPr="003F43B0">
        <w:rPr>
          <w:b/>
          <w:i/>
        </w:rPr>
        <w:t>Waste arising</w:t>
      </w:r>
      <w:r w:rsidRPr="003F43B0">
        <w:t xml:space="preserve"> </w:t>
      </w:r>
      <w:r w:rsidR="00D9371E" w:rsidRPr="003F43B0">
        <w:t xml:space="preserve">is </w:t>
      </w:r>
      <w:r w:rsidR="00C735AF" w:rsidRPr="003F43B0">
        <w:t xml:space="preserve">worked out </w:t>
      </w:r>
      <w:r w:rsidR="001B455F" w:rsidRPr="003F43B0">
        <w:t>as follows</w:t>
      </w:r>
      <w:r w:rsidR="00C735AF" w:rsidRPr="003F43B0">
        <w:t>:</w:t>
      </w:r>
    </w:p>
    <w:p w:rsidR="001B455F" w:rsidRPr="003F43B0" w:rsidRDefault="001B455F" w:rsidP="001B455F">
      <w:pPr>
        <w:pStyle w:val="BoxStep"/>
        <w:rPr>
          <w:i/>
        </w:rPr>
      </w:pPr>
      <w:r w:rsidRPr="003F43B0">
        <w:rPr>
          <w:i/>
        </w:rPr>
        <w:t>Method statement</w:t>
      </w:r>
    </w:p>
    <w:p w:rsidR="001B455F" w:rsidRPr="003F43B0" w:rsidRDefault="001B455F" w:rsidP="001B455F">
      <w:pPr>
        <w:pStyle w:val="BoxStep"/>
      </w:pPr>
      <w:r w:rsidRPr="003F43B0">
        <w:t>Step 1</w:t>
      </w:r>
      <w:r w:rsidRPr="003F43B0">
        <w:tab/>
        <w:t>Identify the total converted weight of all television or computer products imported or manufactured in the last 3 financial years.</w:t>
      </w:r>
    </w:p>
    <w:p w:rsidR="001B455F" w:rsidRPr="003F43B0" w:rsidRDefault="001B455F" w:rsidP="001B455F"/>
    <w:p w:rsidR="001B455F" w:rsidRPr="003F43B0" w:rsidRDefault="001B455F" w:rsidP="001B455F">
      <w:pPr>
        <w:pStyle w:val="BoxStep"/>
      </w:pPr>
      <w:r w:rsidRPr="003F43B0">
        <w:t>Step 2</w:t>
      </w:r>
      <w:r w:rsidRPr="003F43B0">
        <w:tab/>
        <w:t>Work out the annual average converted weight of products by dividing the result of step 1 by 3.</w:t>
      </w:r>
    </w:p>
    <w:p w:rsidR="001B455F" w:rsidRPr="003F43B0" w:rsidRDefault="001B455F" w:rsidP="001B455F"/>
    <w:p w:rsidR="001B455F" w:rsidRPr="003F43B0" w:rsidRDefault="001B455F" w:rsidP="001B455F">
      <w:pPr>
        <w:pStyle w:val="BoxStep"/>
      </w:pPr>
      <w:r w:rsidRPr="003F43B0">
        <w:lastRenderedPageBreak/>
        <w:t>Step 3</w:t>
      </w:r>
      <w:r w:rsidRPr="003F43B0">
        <w:tab/>
        <w:t>Multiply the result of step 2 by 0.9</w:t>
      </w:r>
    </w:p>
    <w:p w:rsidR="003B168F" w:rsidRPr="003F43B0" w:rsidRDefault="001B455F" w:rsidP="001B455F">
      <w:pPr>
        <w:pStyle w:val="notetext"/>
      </w:pPr>
      <w:r w:rsidRPr="003F43B0">
        <w:t>Note:</w:t>
      </w:r>
      <w:r w:rsidRPr="003F43B0">
        <w:tab/>
        <w:t xml:space="preserve">In 2013, </w:t>
      </w:r>
      <w:r w:rsidR="0099592A" w:rsidRPr="003F43B0">
        <w:t>the total converted weight was accessible on the department’s website (http://www.environment.gov.au/).</w:t>
      </w:r>
    </w:p>
    <w:p w:rsidR="00C735AF" w:rsidRPr="003F43B0" w:rsidRDefault="00C735AF" w:rsidP="00C735AF">
      <w:pPr>
        <w:pStyle w:val="subsection"/>
      </w:pPr>
      <w:r w:rsidRPr="003F43B0">
        <w:tab/>
        <w:t>(</w:t>
      </w:r>
      <w:r w:rsidR="00780687" w:rsidRPr="003F43B0">
        <w:t>4</w:t>
      </w:r>
      <w:r w:rsidRPr="003F43B0">
        <w:t>)</w:t>
      </w:r>
      <w:r w:rsidRPr="003F43B0">
        <w:tab/>
        <w:t xml:space="preserve">The </w:t>
      </w:r>
      <w:r w:rsidRPr="003F43B0">
        <w:rPr>
          <w:b/>
          <w:i/>
        </w:rPr>
        <w:t>import or manufacture share</w:t>
      </w:r>
      <w:r w:rsidRPr="003F43B0">
        <w:t>,</w:t>
      </w:r>
      <w:r w:rsidRPr="003F43B0">
        <w:rPr>
          <w:b/>
          <w:i/>
        </w:rPr>
        <w:t xml:space="preserve"> </w:t>
      </w:r>
      <w:r w:rsidRPr="003F43B0">
        <w:t>of a co</w:t>
      </w:r>
      <w:r w:rsidR="003F43B0">
        <w:noBreakHyphen/>
      </w:r>
      <w:r w:rsidRPr="003F43B0">
        <w:t xml:space="preserve">regulatory arrangement, for a financial year (the </w:t>
      </w:r>
      <w:r w:rsidRPr="003F43B0">
        <w:rPr>
          <w:b/>
          <w:i/>
        </w:rPr>
        <w:t>current financial year</w:t>
      </w:r>
      <w:r w:rsidRPr="003F43B0">
        <w:t>), is worked out using the following steps:</w:t>
      </w:r>
    </w:p>
    <w:p w:rsidR="00C735AF" w:rsidRPr="003F43B0" w:rsidRDefault="00C735AF" w:rsidP="00C735AF">
      <w:pPr>
        <w:pStyle w:val="BoxHeadItalic"/>
      </w:pPr>
      <w:r w:rsidRPr="003F43B0">
        <w:t>Method statement</w:t>
      </w:r>
    </w:p>
    <w:p w:rsidR="00C735AF" w:rsidRPr="003F43B0" w:rsidRDefault="00C735AF" w:rsidP="00C735AF">
      <w:pPr>
        <w:pStyle w:val="BoxStep"/>
      </w:pPr>
      <w:r w:rsidRPr="003F43B0">
        <w:t>Step 1A</w:t>
      </w:r>
      <w:r w:rsidRPr="003F43B0">
        <w:tab/>
        <w:t xml:space="preserve">For each kind of </w:t>
      </w:r>
      <w:r w:rsidR="00347012" w:rsidRPr="003F43B0">
        <w:t xml:space="preserve">television or computer </w:t>
      </w:r>
      <w:r w:rsidR="00563D72" w:rsidRPr="003F43B0">
        <w:t>product</w:t>
      </w:r>
      <w:r w:rsidRPr="003F43B0">
        <w:t xml:space="preserve">, identify the total number of units imported or manufactured, in the previous financial year, by all liable parties who </w:t>
      </w:r>
      <w:r w:rsidR="00796C81" w:rsidRPr="003F43B0">
        <w:t>are</w:t>
      </w:r>
      <w:r w:rsidRPr="003F43B0">
        <w:t xml:space="preserve"> members of the co</w:t>
      </w:r>
      <w:r w:rsidR="003F43B0">
        <w:noBreakHyphen/>
      </w:r>
      <w:r w:rsidRPr="003F43B0">
        <w:t xml:space="preserve">regulatory arrangement </w:t>
      </w:r>
      <w:r w:rsidR="00796C81" w:rsidRPr="003F43B0">
        <w:t>during</w:t>
      </w:r>
      <w:r w:rsidRPr="003F43B0">
        <w:t xml:space="preserve"> the current financial year.</w:t>
      </w:r>
    </w:p>
    <w:p w:rsidR="00C735AF" w:rsidRPr="003F43B0" w:rsidRDefault="00C735AF" w:rsidP="00C735AF">
      <w:pPr>
        <w:pStyle w:val="BoxStep"/>
      </w:pPr>
      <w:r w:rsidRPr="003F43B0">
        <w:t>Step 1B</w:t>
      </w:r>
      <w:r w:rsidRPr="003F43B0">
        <w:tab/>
        <w:t>Multiply that number by the conversion factor for th</w:t>
      </w:r>
      <w:r w:rsidR="00FD2B88" w:rsidRPr="003F43B0">
        <w:t>at</w:t>
      </w:r>
      <w:r w:rsidRPr="003F43B0">
        <w:t xml:space="preserve"> kind of product (as set out in column 3 of the relevant Schedule).</w:t>
      </w:r>
    </w:p>
    <w:p w:rsidR="00C735AF" w:rsidRPr="003F43B0" w:rsidRDefault="00C735AF" w:rsidP="00C735AF"/>
    <w:p w:rsidR="00C735AF" w:rsidRPr="003F43B0" w:rsidRDefault="00C735AF" w:rsidP="00C735AF">
      <w:pPr>
        <w:pStyle w:val="BoxStep"/>
      </w:pPr>
      <w:r w:rsidRPr="003F43B0">
        <w:t>Step 2A</w:t>
      </w:r>
      <w:r w:rsidRPr="003F43B0">
        <w:tab/>
        <w:t xml:space="preserve">For each kind of </w:t>
      </w:r>
      <w:r w:rsidR="00347012" w:rsidRPr="003F43B0">
        <w:t xml:space="preserve">television or computer </w:t>
      </w:r>
      <w:r w:rsidR="00563D72" w:rsidRPr="003F43B0">
        <w:t>product</w:t>
      </w:r>
      <w:r w:rsidRPr="003F43B0">
        <w:t>, identify the total number of units exported, in the previous financial year, by all liable parties who are members of the co</w:t>
      </w:r>
      <w:r w:rsidR="003F43B0">
        <w:noBreakHyphen/>
      </w:r>
      <w:r w:rsidRPr="003F43B0">
        <w:t>regulatory arrangement on 15</w:t>
      </w:r>
      <w:r w:rsidR="003F43B0" w:rsidRPr="003F43B0">
        <w:t> </w:t>
      </w:r>
      <w:r w:rsidRPr="003F43B0">
        <w:t>September of the current financial year.</w:t>
      </w:r>
    </w:p>
    <w:p w:rsidR="00C735AF" w:rsidRPr="003F43B0" w:rsidRDefault="00C735AF" w:rsidP="00C735AF">
      <w:pPr>
        <w:pStyle w:val="BoxStep"/>
      </w:pPr>
      <w:r w:rsidRPr="003F43B0">
        <w:t>Step 2B</w:t>
      </w:r>
      <w:r w:rsidRPr="003F43B0">
        <w:tab/>
        <w:t>Multiply that number by the conversion factor for th</w:t>
      </w:r>
      <w:r w:rsidR="00FD2B88" w:rsidRPr="003F43B0">
        <w:t>at</w:t>
      </w:r>
      <w:r w:rsidRPr="003F43B0">
        <w:t xml:space="preserve"> kind of product (as set out in column 3 of the relevant Schedule).</w:t>
      </w:r>
    </w:p>
    <w:p w:rsidR="00C735AF" w:rsidRPr="003F43B0" w:rsidRDefault="00C735AF" w:rsidP="00C735AF"/>
    <w:p w:rsidR="00C735AF" w:rsidRPr="003F43B0" w:rsidRDefault="00C735AF" w:rsidP="00C735AF">
      <w:pPr>
        <w:pStyle w:val="BoxStep"/>
      </w:pPr>
      <w:r w:rsidRPr="003F43B0">
        <w:t>Step 3</w:t>
      </w:r>
      <w:r w:rsidRPr="003F43B0">
        <w:tab/>
        <w:t xml:space="preserve">For each kind of </w:t>
      </w:r>
      <w:r w:rsidR="00347012" w:rsidRPr="003F43B0">
        <w:t xml:space="preserve">television or computer </w:t>
      </w:r>
      <w:r w:rsidR="00563D72" w:rsidRPr="003F43B0">
        <w:t>product</w:t>
      </w:r>
      <w:r w:rsidRPr="003F43B0">
        <w:t>, take the result of step 1</w:t>
      </w:r>
      <w:r w:rsidR="0099592A" w:rsidRPr="003F43B0">
        <w:t>B</w:t>
      </w:r>
      <w:r w:rsidRPr="003F43B0">
        <w:t xml:space="preserve"> and subtract the result of step 2</w:t>
      </w:r>
      <w:r w:rsidR="0099592A" w:rsidRPr="003F43B0">
        <w:t>B</w:t>
      </w:r>
      <w:r w:rsidRPr="003F43B0">
        <w:t>.</w:t>
      </w:r>
    </w:p>
    <w:p w:rsidR="00C735AF" w:rsidRPr="003F43B0" w:rsidRDefault="00C735AF" w:rsidP="00C735AF"/>
    <w:p w:rsidR="00C735AF" w:rsidRPr="003F43B0" w:rsidRDefault="00C735AF" w:rsidP="00C735AF">
      <w:pPr>
        <w:pStyle w:val="BoxStep"/>
      </w:pPr>
      <w:r w:rsidRPr="003F43B0">
        <w:t>Step 4</w:t>
      </w:r>
      <w:r w:rsidRPr="003F43B0">
        <w:tab/>
        <w:t>Add together each result of step 3.</w:t>
      </w:r>
    </w:p>
    <w:p w:rsidR="00C735AF" w:rsidRPr="003F43B0" w:rsidRDefault="00C735AF" w:rsidP="00C735AF"/>
    <w:p w:rsidR="00BB3099" w:rsidRPr="003F43B0" w:rsidRDefault="00BB3099" w:rsidP="00BB3099">
      <w:pPr>
        <w:pStyle w:val="BoxStep"/>
      </w:pPr>
      <w:r w:rsidRPr="003F43B0">
        <w:t>Step 5</w:t>
      </w:r>
      <w:r w:rsidR="0099592A" w:rsidRPr="003F43B0">
        <w:t>A</w:t>
      </w:r>
      <w:r w:rsidRPr="003F43B0">
        <w:tab/>
      </w:r>
      <w:r w:rsidR="00EC5186" w:rsidRPr="003F43B0">
        <w:t>I</w:t>
      </w:r>
      <w:r w:rsidRPr="003F43B0">
        <w:t xml:space="preserve">dentify the total converted weight of </w:t>
      </w:r>
      <w:r w:rsidR="00EC5186" w:rsidRPr="003F43B0">
        <w:t xml:space="preserve">all television or computer </w:t>
      </w:r>
      <w:r w:rsidRPr="003F43B0">
        <w:t>product</w:t>
      </w:r>
      <w:r w:rsidR="00EC5186" w:rsidRPr="003F43B0">
        <w:t>s</w:t>
      </w:r>
      <w:r w:rsidRPr="003F43B0">
        <w:t xml:space="preserve"> imported or manufactured </w:t>
      </w:r>
      <w:r w:rsidR="0099592A" w:rsidRPr="003F43B0">
        <w:t xml:space="preserve">by all liable parties </w:t>
      </w:r>
      <w:r w:rsidRPr="003F43B0">
        <w:t xml:space="preserve">in the </w:t>
      </w:r>
      <w:r w:rsidR="00374F20" w:rsidRPr="003F43B0">
        <w:t>previous</w:t>
      </w:r>
      <w:r w:rsidRPr="003F43B0">
        <w:t xml:space="preserve"> </w:t>
      </w:r>
      <w:r w:rsidR="00EC5186" w:rsidRPr="003F43B0">
        <w:t>financial year</w:t>
      </w:r>
      <w:r w:rsidRPr="003F43B0">
        <w:t>.</w:t>
      </w:r>
    </w:p>
    <w:p w:rsidR="00BB3099" w:rsidRPr="003F43B0" w:rsidRDefault="00BB3099" w:rsidP="00BB3099">
      <w:pPr>
        <w:pStyle w:val="BoxStep"/>
        <w:rPr>
          <w:sz w:val="18"/>
          <w:szCs w:val="18"/>
        </w:rPr>
      </w:pPr>
      <w:r w:rsidRPr="003F43B0">
        <w:rPr>
          <w:sz w:val="18"/>
          <w:szCs w:val="18"/>
        </w:rPr>
        <w:t>Note:</w:t>
      </w:r>
      <w:r w:rsidRPr="003F43B0">
        <w:rPr>
          <w:sz w:val="18"/>
          <w:szCs w:val="18"/>
        </w:rPr>
        <w:tab/>
      </w:r>
      <w:r w:rsidR="003A5BB9" w:rsidRPr="003F43B0">
        <w:rPr>
          <w:sz w:val="18"/>
          <w:szCs w:val="18"/>
        </w:rPr>
        <w:t>In 2013, the total converted weight of each kind of television or computer product was accessible on the department’s website (http://www.environment.gov.au/).</w:t>
      </w:r>
    </w:p>
    <w:p w:rsidR="0099592A" w:rsidRPr="003F43B0" w:rsidRDefault="0099592A" w:rsidP="00BB3099">
      <w:pPr>
        <w:pStyle w:val="BoxStep"/>
        <w:rPr>
          <w:szCs w:val="22"/>
        </w:rPr>
      </w:pPr>
      <w:r w:rsidRPr="003F43B0">
        <w:rPr>
          <w:szCs w:val="22"/>
        </w:rPr>
        <w:t>Step 5B</w:t>
      </w:r>
      <w:r w:rsidRPr="003F43B0">
        <w:rPr>
          <w:szCs w:val="22"/>
        </w:rPr>
        <w:tab/>
        <w:t xml:space="preserve">From that number, deduct the total converted weight of </w:t>
      </w:r>
      <w:r w:rsidR="00C53871" w:rsidRPr="003F43B0">
        <w:rPr>
          <w:szCs w:val="22"/>
        </w:rPr>
        <w:t xml:space="preserve">the exported </w:t>
      </w:r>
      <w:r w:rsidRPr="003F43B0">
        <w:rPr>
          <w:szCs w:val="22"/>
        </w:rPr>
        <w:t xml:space="preserve">products </w:t>
      </w:r>
      <w:r w:rsidR="00C53871" w:rsidRPr="003F43B0">
        <w:rPr>
          <w:szCs w:val="22"/>
        </w:rPr>
        <w:t>reported under regulation</w:t>
      </w:r>
      <w:r w:rsidR="003F43B0" w:rsidRPr="003F43B0">
        <w:rPr>
          <w:szCs w:val="22"/>
        </w:rPr>
        <w:t> </w:t>
      </w:r>
      <w:r w:rsidR="00520D4E" w:rsidRPr="003F43B0">
        <w:rPr>
          <w:szCs w:val="22"/>
        </w:rPr>
        <w:t>3.04C</w:t>
      </w:r>
      <w:r w:rsidRPr="003F43B0">
        <w:rPr>
          <w:szCs w:val="22"/>
        </w:rPr>
        <w:t>.</w:t>
      </w:r>
    </w:p>
    <w:p w:rsidR="00C735AF" w:rsidRPr="003F43B0" w:rsidRDefault="00C735AF" w:rsidP="00C735AF"/>
    <w:p w:rsidR="00C735AF" w:rsidRPr="003F43B0" w:rsidRDefault="00C735AF" w:rsidP="00C735AF">
      <w:pPr>
        <w:pStyle w:val="BoxStep"/>
      </w:pPr>
      <w:r w:rsidRPr="003F43B0">
        <w:t xml:space="preserve">Step </w:t>
      </w:r>
      <w:r w:rsidR="00EC5186" w:rsidRPr="003F43B0">
        <w:t>6</w:t>
      </w:r>
      <w:r w:rsidRPr="003F43B0">
        <w:tab/>
        <w:t>Divide the result of step 4 by the</w:t>
      </w:r>
      <w:r w:rsidR="00EC5186" w:rsidRPr="003F43B0">
        <w:t xml:space="preserve"> result of step 5</w:t>
      </w:r>
      <w:r w:rsidR="006F601D" w:rsidRPr="003F43B0">
        <w:t>B</w:t>
      </w:r>
      <w:r w:rsidRPr="003F43B0">
        <w:t>.</w:t>
      </w:r>
    </w:p>
    <w:p w:rsidR="00C735AF" w:rsidRPr="003F43B0" w:rsidRDefault="00C735AF" w:rsidP="00C735AF">
      <w:pPr>
        <w:pStyle w:val="subsection"/>
      </w:pPr>
      <w:r w:rsidRPr="003F43B0">
        <w:tab/>
        <w:t>(</w:t>
      </w:r>
      <w:r w:rsidR="00B76A62" w:rsidRPr="003F43B0">
        <w:t>5</w:t>
      </w:r>
      <w:r w:rsidRPr="003F43B0">
        <w:t>)</w:t>
      </w:r>
      <w:r w:rsidRPr="003F43B0">
        <w:tab/>
      </w:r>
      <w:r w:rsidR="0015753F" w:rsidRPr="003F43B0">
        <w:t>For subregulation (4), the</w:t>
      </w:r>
      <w:r w:rsidRPr="003F43B0">
        <w:t xml:space="preserve"> co</w:t>
      </w:r>
      <w:r w:rsidR="003F43B0">
        <w:noBreakHyphen/>
      </w:r>
      <w:r w:rsidRPr="003F43B0">
        <w:t>regulatory arrangement:</w:t>
      </w:r>
    </w:p>
    <w:p w:rsidR="00C735AF" w:rsidRPr="003F43B0" w:rsidRDefault="00C735AF" w:rsidP="00C735AF">
      <w:pPr>
        <w:pStyle w:val="paragraph"/>
      </w:pPr>
      <w:r w:rsidRPr="003F43B0">
        <w:tab/>
        <w:t>(a)</w:t>
      </w:r>
      <w:r w:rsidRPr="003F43B0">
        <w:tab/>
        <w:t>must use the same conversion factor for steps</w:t>
      </w:r>
      <w:r w:rsidR="0015753F" w:rsidRPr="003F43B0">
        <w:t xml:space="preserve"> 1</w:t>
      </w:r>
      <w:r w:rsidR="006F601D" w:rsidRPr="003F43B0">
        <w:t>B</w:t>
      </w:r>
      <w:r w:rsidR="0015753F" w:rsidRPr="003F43B0">
        <w:t xml:space="preserve"> and 2</w:t>
      </w:r>
      <w:r w:rsidR="006F601D" w:rsidRPr="003F43B0">
        <w:t>B</w:t>
      </w:r>
      <w:r w:rsidRPr="003F43B0">
        <w:t>; and</w:t>
      </w:r>
    </w:p>
    <w:p w:rsidR="00C735AF" w:rsidRPr="003F43B0" w:rsidRDefault="00C735AF" w:rsidP="00C735AF">
      <w:pPr>
        <w:pStyle w:val="paragraph"/>
        <w:rPr>
          <w:shd w:val="clear" w:color="auto" w:fill="D9D9D9" w:themeFill="background1" w:themeFillShade="D9"/>
        </w:rPr>
      </w:pPr>
      <w:r w:rsidRPr="003F43B0">
        <w:tab/>
        <w:t>(b)</w:t>
      </w:r>
      <w:r w:rsidRPr="003F43B0">
        <w:tab/>
      </w:r>
      <w:r w:rsidR="00112FE4" w:rsidRPr="003F43B0">
        <w:t>may</w:t>
      </w:r>
      <w:r w:rsidRPr="003F43B0">
        <w:t xml:space="preserve"> only count products of a </w:t>
      </w:r>
      <w:r w:rsidR="00AA6455" w:rsidRPr="003F43B0">
        <w:t>kind</w:t>
      </w:r>
      <w:r w:rsidRPr="003F43B0">
        <w:t xml:space="preserve"> for which the requirements of subregulation</w:t>
      </w:r>
      <w:r w:rsidR="003F43B0" w:rsidRPr="003F43B0">
        <w:t> </w:t>
      </w:r>
      <w:r w:rsidRPr="003F43B0">
        <w:t>2.02(1), (2) or (3) are satisfied.</w:t>
      </w:r>
    </w:p>
    <w:p w:rsidR="003A5BB9" w:rsidRPr="003F43B0" w:rsidRDefault="00C735AF" w:rsidP="00C735AF">
      <w:pPr>
        <w:pStyle w:val="notetext"/>
      </w:pPr>
      <w:r w:rsidRPr="003F43B0">
        <w:t>Example:</w:t>
      </w:r>
      <w:r w:rsidRPr="003F43B0">
        <w:tab/>
        <w:t>If a person imports 6</w:t>
      </w:r>
      <w:r w:rsidR="003F43B0" w:rsidRPr="003F43B0">
        <w:t> </w:t>
      </w:r>
      <w:r w:rsidR="00E2582F" w:rsidRPr="003F43B0">
        <w:t>000</w:t>
      </w:r>
      <w:r w:rsidRPr="003F43B0">
        <w:t xml:space="preserve"> televisions and 6</w:t>
      </w:r>
      <w:r w:rsidR="003F43B0" w:rsidRPr="003F43B0">
        <w:t> </w:t>
      </w:r>
      <w:r w:rsidR="00E2582F" w:rsidRPr="003F43B0">
        <w:t>000</w:t>
      </w:r>
      <w:r w:rsidRPr="003F43B0">
        <w:t xml:space="preserve"> computers in a financial year, the televisions and the computers </w:t>
      </w:r>
      <w:r w:rsidR="003A5BB9" w:rsidRPr="003F43B0">
        <w:t>must</w:t>
      </w:r>
      <w:r w:rsidRPr="003F43B0">
        <w:t xml:space="preserve"> be taken into account whe</w:t>
      </w:r>
      <w:r w:rsidR="003A5BB9" w:rsidRPr="003F43B0">
        <w:t>n working out the import share.</w:t>
      </w:r>
    </w:p>
    <w:p w:rsidR="00C735AF" w:rsidRPr="003F43B0" w:rsidRDefault="003A5BB9" w:rsidP="00C735AF">
      <w:pPr>
        <w:pStyle w:val="notetext"/>
      </w:pPr>
      <w:r w:rsidRPr="003F43B0">
        <w:tab/>
      </w:r>
      <w:r w:rsidR="00C735AF" w:rsidRPr="003F43B0">
        <w:t>However, if a person imports 6</w:t>
      </w:r>
      <w:r w:rsidR="003F43B0" w:rsidRPr="003F43B0">
        <w:t> </w:t>
      </w:r>
      <w:r w:rsidR="00E2582F" w:rsidRPr="003F43B0">
        <w:t>000</w:t>
      </w:r>
      <w:r w:rsidR="00C735AF" w:rsidRPr="003F43B0">
        <w:t xml:space="preserve"> televisions and 2</w:t>
      </w:r>
      <w:r w:rsidR="003F43B0" w:rsidRPr="003F43B0">
        <w:t> </w:t>
      </w:r>
      <w:r w:rsidR="0066548B" w:rsidRPr="003F43B0">
        <w:t>0</w:t>
      </w:r>
      <w:r w:rsidR="00C735AF" w:rsidRPr="003F43B0">
        <w:t xml:space="preserve">00 computers (i.e. less than the </w:t>
      </w:r>
      <w:r w:rsidR="00796C81" w:rsidRPr="003F43B0">
        <w:t xml:space="preserve">number of </w:t>
      </w:r>
      <w:r w:rsidR="00C735AF" w:rsidRPr="003F43B0">
        <w:t xml:space="preserve">computers </w:t>
      </w:r>
      <w:r w:rsidR="00BD192E" w:rsidRPr="003F43B0">
        <w:t>required</w:t>
      </w:r>
      <w:r w:rsidR="00C735AF" w:rsidRPr="003F43B0">
        <w:t xml:space="preserve"> in subregulation</w:t>
      </w:r>
      <w:r w:rsidR="003F43B0" w:rsidRPr="003F43B0">
        <w:t> </w:t>
      </w:r>
      <w:r w:rsidR="00C735AF" w:rsidRPr="003F43B0">
        <w:t xml:space="preserve">2.02(2)) in a financial year, only the televisions </w:t>
      </w:r>
      <w:r w:rsidRPr="003F43B0">
        <w:t>must</w:t>
      </w:r>
      <w:r w:rsidR="00C735AF" w:rsidRPr="003F43B0">
        <w:t xml:space="preserve"> be counted when working out the import or manufacture share.</w:t>
      </w:r>
    </w:p>
    <w:p w:rsidR="00DC5123" w:rsidRPr="003F43B0" w:rsidRDefault="00FF73FD" w:rsidP="00DC5123">
      <w:pPr>
        <w:pStyle w:val="ItemHead"/>
        <w:rPr>
          <w:rFonts w:cs="Arial"/>
          <w:noProof/>
        </w:rPr>
      </w:pPr>
      <w:r w:rsidRPr="003F43B0">
        <w:rPr>
          <w:rFonts w:cs="Arial"/>
          <w:noProof/>
        </w:rPr>
        <w:t>33</w:t>
      </w:r>
      <w:r w:rsidR="00DC5123" w:rsidRPr="003F43B0">
        <w:rPr>
          <w:rFonts w:cs="Arial"/>
          <w:noProof/>
        </w:rPr>
        <w:t xml:space="preserve">  After regulation</w:t>
      </w:r>
      <w:r w:rsidR="003F43B0" w:rsidRPr="003F43B0">
        <w:rPr>
          <w:rFonts w:cs="Arial"/>
          <w:noProof/>
        </w:rPr>
        <w:t> </w:t>
      </w:r>
      <w:r w:rsidR="00DC5123" w:rsidRPr="003F43B0">
        <w:rPr>
          <w:rFonts w:cs="Arial"/>
          <w:noProof/>
        </w:rPr>
        <w:t>3.04</w:t>
      </w:r>
      <w:r w:rsidR="00CC55A9" w:rsidRPr="003F43B0">
        <w:rPr>
          <w:rFonts w:cs="Arial"/>
          <w:noProof/>
        </w:rPr>
        <w:t>B</w:t>
      </w:r>
    </w:p>
    <w:p w:rsidR="00DC5123" w:rsidRPr="003F43B0" w:rsidRDefault="00DC5123" w:rsidP="00DC5123">
      <w:pPr>
        <w:pStyle w:val="Item"/>
      </w:pPr>
      <w:r w:rsidRPr="003F43B0">
        <w:t>Insert:</w:t>
      </w:r>
    </w:p>
    <w:p w:rsidR="00365410" w:rsidRPr="003F43B0" w:rsidRDefault="00365410" w:rsidP="00365410">
      <w:pPr>
        <w:pStyle w:val="ActHead5"/>
      </w:pPr>
      <w:bookmarkStart w:id="22" w:name="_Toc358878540"/>
      <w:r w:rsidRPr="003F43B0">
        <w:rPr>
          <w:rStyle w:val="CharSectno"/>
        </w:rPr>
        <w:t>3.04</w:t>
      </w:r>
      <w:r w:rsidR="00CC55A9" w:rsidRPr="003F43B0">
        <w:rPr>
          <w:rStyle w:val="CharSectno"/>
        </w:rPr>
        <w:t>C</w:t>
      </w:r>
      <w:r w:rsidR="00840092" w:rsidRPr="003F43B0">
        <w:t xml:space="preserve">  Import or manufacture share—c</w:t>
      </w:r>
      <w:r w:rsidRPr="003F43B0">
        <w:t>ounting exported products</w:t>
      </w:r>
      <w:bookmarkEnd w:id="22"/>
    </w:p>
    <w:p w:rsidR="00365410" w:rsidRPr="003F43B0" w:rsidRDefault="00365410" w:rsidP="00365410">
      <w:pPr>
        <w:pStyle w:val="subsection"/>
      </w:pPr>
      <w:r w:rsidRPr="003F43B0">
        <w:tab/>
        <w:t>(1)</w:t>
      </w:r>
      <w:r w:rsidRPr="003F43B0">
        <w:tab/>
        <w:t>This regulation applies if:</w:t>
      </w:r>
    </w:p>
    <w:p w:rsidR="00365410" w:rsidRPr="003F43B0" w:rsidRDefault="00365410" w:rsidP="00365410">
      <w:pPr>
        <w:pStyle w:val="paragraph"/>
      </w:pPr>
      <w:r w:rsidRPr="003F43B0">
        <w:tab/>
        <w:t>(a)</w:t>
      </w:r>
      <w:r w:rsidRPr="003F43B0">
        <w:tab/>
        <w:t>a liable party was a member of a co</w:t>
      </w:r>
      <w:r w:rsidR="003F43B0">
        <w:noBreakHyphen/>
      </w:r>
      <w:r w:rsidRPr="003F43B0">
        <w:t>regulatory arrangement on 15</w:t>
      </w:r>
      <w:r w:rsidR="003F43B0" w:rsidRPr="003F43B0">
        <w:t> </w:t>
      </w:r>
      <w:r w:rsidRPr="003F43B0">
        <w:t xml:space="preserve">September of a financial year (the </w:t>
      </w:r>
      <w:r w:rsidRPr="003F43B0">
        <w:rPr>
          <w:b/>
          <w:i/>
        </w:rPr>
        <w:t>current financial year</w:t>
      </w:r>
      <w:r w:rsidRPr="003F43B0">
        <w:t>); and</w:t>
      </w:r>
    </w:p>
    <w:p w:rsidR="00365410" w:rsidRPr="003F43B0" w:rsidRDefault="00365410" w:rsidP="00365410">
      <w:pPr>
        <w:pStyle w:val="paragraph"/>
      </w:pPr>
      <w:r w:rsidRPr="003F43B0">
        <w:tab/>
        <w:t>(b)</w:t>
      </w:r>
      <w:r w:rsidRPr="003F43B0">
        <w:tab/>
        <w:t>the liable party exported television or computer products in the previous financial year.</w:t>
      </w:r>
    </w:p>
    <w:p w:rsidR="00365410" w:rsidRPr="003F43B0" w:rsidRDefault="00365410" w:rsidP="00365410">
      <w:pPr>
        <w:pStyle w:val="subsection"/>
      </w:pPr>
      <w:r w:rsidRPr="003F43B0">
        <w:lastRenderedPageBreak/>
        <w:tab/>
        <w:t>(2)</w:t>
      </w:r>
      <w:r w:rsidRPr="003F43B0">
        <w:tab/>
        <w:t>The co</w:t>
      </w:r>
      <w:r w:rsidR="003F43B0">
        <w:noBreakHyphen/>
      </w:r>
      <w:r w:rsidRPr="003F43B0">
        <w:t>regulatory arrangement, when working out its import or manufacture share for the current financial year, may count the exported products only if the administrator of the arrangement, on or before 15</w:t>
      </w:r>
      <w:r w:rsidR="003F43B0" w:rsidRPr="003F43B0">
        <w:t> </w:t>
      </w:r>
      <w:r w:rsidRPr="003F43B0">
        <w:t>September of the current financial year, gives the Minister:</w:t>
      </w:r>
    </w:p>
    <w:p w:rsidR="00365410" w:rsidRPr="003F43B0" w:rsidRDefault="00365410" w:rsidP="00365410">
      <w:pPr>
        <w:pStyle w:val="paragraph"/>
      </w:pPr>
      <w:r w:rsidRPr="003F43B0">
        <w:tab/>
        <w:t>(a)</w:t>
      </w:r>
      <w:r w:rsidRPr="003F43B0">
        <w:tab/>
        <w:t>a report that states:</w:t>
      </w:r>
    </w:p>
    <w:p w:rsidR="00365410" w:rsidRPr="003F43B0" w:rsidRDefault="00365410" w:rsidP="00365410">
      <w:pPr>
        <w:pStyle w:val="paragraphsub"/>
      </w:pPr>
      <w:r w:rsidRPr="003F43B0">
        <w:tab/>
        <w:t>(i)</w:t>
      </w:r>
      <w:r w:rsidRPr="003F43B0">
        <w:tab/>
        <w:t>the total number of units of each kind of television or computer product (identified by product code) exported by members in the previous financial year; and</w:t>
      </w:r>
    </w:p>
    <w:p w:rsidR="00365410" w:rsidRPr="003F43B0" w:rsidRDefault="00365410" w:rsidP="00365410">
      <w:pPr>
        <w:pStyle w:val="paragraphsub"/>
      </w:pPr>
      <w:r w:rsidRPr="003F43B0">
        <w:tab/>
        <w:t>(ii)</w:t>
      </w:r>
      <w:r w:rsidRPr="003F43B0">
        <w:tab/>
        <w:t>the total converted weight of each kind of kind of television or computer product exported by members in the previous financial year; and</w:t>
      </w:r>
    </w:p>
    <w:p w:rsidR="00365410" w:rsidRPr="003F43B0" w:rsidRDefault="00365410" w:rsidP="00365410">
      <w:pPr>
        <w:pStyle w:val="paragraphsub"/>
      </w:pPr>
      <w:r w:rsidRPr="003F43B0">
        <w:tab/>
        <w:t>(iii)</w:t>
      </w:r>
      <w:r w:rsidRPr="003F43B0">
        <w:tab/>
        <w:t>evidence that each product was imported or manufactured no more than 1 year before the product was exported; and</w:t>
      </w:r>
    </w:p>
    <w:p w:rsidR="00365410" w:rsidRPr="003F43B0" w:rsidRDefault="00365410" w:rsidP="00365410">
      <w:pPr>
        <w:pStyle w:val="paragraph"/>
      </w:pPr>
      <w:r w:rsidRPr="003F43B0">
        <w:tab/>
        <w:t>(b)</w:t>
      </w:r>
      <w:r w:rsidRPr="003F43B0">
        <w:tab/>
        <w:t xml:space="preserve">a report, prepared by an auditor, that states the report mentioned in </w:t>
      </w:r>
      <w:r w:rsidR="003F43B0" w:rsidRPr="003F43B0">
        <w:t>paragraph (</w:t>
      </w:r>
      <w:r w:rsidRPr="003F43B0">
        <w:t>a) is accurate.</w:t>
      </w:r>
    </w:p>
    <w:p w:rsidR="00365410" w:rsidRPr="003F43B0" w:rsidRDefault="00365410" w:rsidP="00365410">
      <w:pPr>
        <w:pStyle w:val="subsection"/>
      </w:pPr>
      <w:r w:rsidRPr="003F43B0">
        <w:rPr>
          <w:b/>
        </w:rPr>
        <w:tab/>
      </w:r>
      <w:r w:rsidRPr="003F43B0">
        <w:t>(3)</w:t>
      </w:r>
      <w:r w:rsidRPr="003F43B0">
        <w:tab/>
        <w:t>In this regulation:</w:t>
      </w:r>
    </w:p>
    <w:p w:rsidR="00365410" w:rsidRPr="003F43B0" w:rsidRDefault="00365410" w:rsidP="00365410">
      <w:pPr>
        <w:pStyle w:val="Definition"/>
      </w:pPr>
      <w:r w:rsidRPr="003F43B0">
        <w:rPr>
          <w:b/>
          <w:i/>
        </w:rPr>
        <w:t>auditor</w:t>
      </w:r>
      <w:r w:rsidRPr="003F43B0">
        <w:t xml:space="preserve"> means:</w:t>
      </w:r>
    </w:p>
    <w:p w:rsidR="00365410" w:rsidRPr="003F43B0" w:rsidRDefault="00365410" w:rsidP="00365410">
      <w:pPr>
        <w:pStyle w:val="paragraph"/>
      </w:pPr>
      <w:r w:rsidRPr="003F43B0">
        <w:tab/>
        <w:t>(a)</w:t>
      </w:r>
      <w:r w:rsidRPr="003F43B0">
        <w:tab/>
        <w:t>a person that is a registered company auditor under section</w:t>
      </w:r>
      <w:r w:rsidR="003F43B0" w:rsidRPr="003F43B0">
        <w:t> </w:t>
      </w:r>
      <w:r w:rsidRPr="003F43B0">
        <w:t xml:space="preserve">1280 of the </w:t>
      </w:r>
      <w:r w:rsidRPr="003F43B0">
        <w:rPr>
          <w:i/>
        </w:rPr>
        <w:t>Corporations Act 2001</w:t>
      </w:r>
      <w:r w:rsidRPr="003F43B0">
        <w:t>; or</w:t>
      </w:r>
    </w:p>
    <w:p w:rsidR="00365410" w:rsidRPr="003F43B0" w:rsidRDefault="00365410" w:rsidP="00365410">
      <w:pPr>
        <w:pStyle w:val="paragraph"/>
      </w:pPr>
      <w:r w:rsidRPr="003F43B0">
        <w:tab/>
        <w:t>(b)</w:t>
      </w:r>
      <w:r w:rsidRPr="003F43B0">
        <w:tab/>
        <w:t>a company that is an authorised audit company under section</w:t>
      </w:r>
      <w:r w:rsidR="003F43B0" w:rsidRPr="003F43B0">
        <w:t> </w:t>
      </w:r>
      <w:r w:rsidRPr="003F43B0">
        <w:t xml:space="preserve">1299C of the </w:t>
      </w:r>
      <w:r w:rsidRPr="003F43B0">
        <w:rPr>
          <w:i/>
        </w:rPr>
        <w:t>Corporations Act 2001</w:t>
      </w:r>
      <w:r w:rsidRPr="003F43B0">
        <w:t>.</w:t>
      </w:r>
    </w:p>
    <w:p w:rsidR="00C735AF" w:rsidRPr="003F43B0" w:rsidRDefault="00FF73FD" w:rsidP="00C735AF">
      <w:pPr>
        <w:pStyle w:val="ItemHead"/>
        <w:rPr>
          <w:rFonts w:cs="Arial"/>
          <w:noProof/>
        </w:rPr>
      </w:pPr>
      <w:r w:rsidRPr="003F43B0">
        <w:rPr>
          <w:rFonts w:cs="Arial"/>
          <w:noProof/>
        </w:rPr>
        <w:t>34</w:t>
      </w:r>
      <w:r w:rsidR="00C735AF" w:rsidRPr="003F43B0">
        <w:rPr>
          <w:rFonts w:cs="Arial"/>
          <w:noProof/>
        </w:rPr>
        <w:t xml:space="preserve">  Subregulation</w:t>
      </w:r>
      <w:r w:rsidR="003F43B0" w:rsidRPr="003F43B0">
        <w:rPr>
          <w:rFonts w:cs="Arial"/>
          <w:noProof/>
        </w:rPr>
        <w:t> </w:t>
      </w:r>
      <w:r w:rsidR="00C735AF" w:rsidRPr="003F43B0">
        <w:rPr>
          <w:rFonts w:cs="Arial"/>
          <w:noProof/>
        </w:rPr>
        <w:t>3.05(1)</w:t>
      </w:r>
    </w:p>
    <w:p w:rsidR="00C735AF" w:rsidRPr="003F43B0" w:rsidRDefault="00C735AF" w:rsidP="00C735AF">
      <w:pPr>
        <w:pStyle w:val="Item"/>
      </w:pPr>
      <w:r w:rsidRPr="003F43B0">
        <w:t>Omit “</w:t>
      </w:r>
      <w:r w:rsidR="00563D72" w:rsidRPr="003F43B0">
        <w:t xml:space="preserve">A </w:t>
      </w:r>
      <w:r w:rsidRPr="003F43B0">
        <w:t>product in a class of products”, substitute “</w:t>
      </w:r>
      <w:r w:rsidR="00347012" w:rsidRPr="003F43B0">
        <w:t>A</w:t>
      </w:r>
      <w:r w:rsidR="00563D72" w:rsidRPr="003F43B0">
        <w:t xml:space="preserve"> </w:t>
      </w:r>
      <w:r w:rsidR="00347012" w:rsidRPr="003F43B0">
        <w:t xml:space="preserve">television or computer </w:t>
      </w:r>
      <w:r w:rsidR="00563D72" w:rsidRPr="003F43B0">
        <w:t>product</w:t>
      </w:r>
      <w:r w:rsidRPr="003F43B0">
        <w:t>”.</w:t>
      </w:r>
    </w:p>
    <w:p w:rsidR="00C735AF" w:rsidRPr="003F43B0" w:rsidRDefault="00FF73FD" w:rsidP="00C735AF">
      <w:pPr>
        <w:pStyle w:val="ItemHead"/>
        <w:rPr>
          <w:rFonts w:cs="Arial"/>
          <w:noProof/>
        </w:rPr>
      </w:pPr>
      <w:r w:rsidRPr="003F43B0">
        <w:rPr>
          <w:rFonts w:cs="Arial"/>
          <w:noProof/>
        </w:rPr>
        <w:t>35</w:t>
      </w:r>
      <w:r w:rsidR="00C735AF" w:rsidRPr="003F43B0">
        <w:rPr>
          <w:rFonts w:cs="Arial"/>
          <w:noProof/>
        </w:rPr>
        <w:t xml:space="preserve">  Regulation</w:t>
      </w:r>
      <w:r w:rsidR="003F43B0" w:rsidRPr="003F43B0">
        <w:rPr>
          <w:rFonts w:cs="Arial"/>
          <w:noProof/>
        </w:rPr>
        <w:t> </w:t>
      </w:r>
      <w:r w:rsidR="00C735AF" w:rsidRPr="003F43B0">
        <w:rPr>
          <w:rFonts w:cs="Arial"/>
          <w:noProof/>
        </w:rPr>
        <w:t>3.06</w:t>
      </w:r>
    </w:p>
    <w:p w:rsidR="00C735AF" w:rsidRPr="003F43B0" w:rsidRDefault="00C735AF" w:rsidP="00C735AF">
      <w:pPr>
        <w:pStyle w:val="Item"/>
      </w:pPr>
      <w:r w:rsidRPr="003F43B0">
        <w:t>Omit “the products in a class of</w:t>
      </w:r>
      <w:r w:rsidR="00563D72" w:rsidRPr="003F43B0">
        <w:t xml:space="preserve"> products</w:t>
      </w:r>
      <w:r w:rsidRPr="003F43B0">
        <w:t>”, substitute “</w:t>
      </w:r>
      <w:r w:rsidR="00347012" w:rsidRPr="003F43B0">
        <w:t xml:space="preserve">television or computer </w:t>
      </w:r>
      <w:r w:rsidR="00563D72" w:rsidRPr="003F43B0">
        <w:t>products</w:t>
      </w:r>
      <w:r w:rsidRPr="003F43B0">
        <w:t>”.</w:t>
      </w:r>
    </w:p>
    <w:p w:rsidR="00C735AF" w:rsidRPr="003F43B0" w:rsidRDefault="00FF73FD" w:rsidP="00C735AF">
      <w:pPr>
        <w:pStyle w:val="ItemHead"/>
        <w:rPr>
          <w:rFonts w:cs="Arial"/>
        </w:rPr>
      </w:pPr>
      <w:r w:rsidRPr="003F43B0">
        <w:rPr>
          <w:rFonts w:cs="Arial"/>
          <w:noProof/>
        </w:rPr>
        <w:t>36</w:t>
      </w:r>
      <w:r w:rsidR="00C735AF" w:rsidRPr="003F43B0">
        <w:rPr>
          <w:rFonts w:cs="Arial"/>
        </w:rPr>
        <w:t xml:space="preserve">  Paragraph 4.01(e)</w:t>
      </w:r>
    </w:p>
    <w:p w:rsidR="00C735AF" w:rsidRPr="003F43B0" w:rsidRDefault="00C735AF" w:rsidP="00C735AF">
      <w:pPr>
        <w:pStyle w:val="Item"/>
      </w:pPr>
      <w:r w:rsidRPr="003F43B0">
        <w:t>Omit “products”, substitute “</w:t>
      </w:r>
      <w:r w:rsidR="00347012" w:rsidRPr="003F43B0">
        <w:t xml:space="preserve">television or computer </w:t>
      </w:r>
      <w:r w:rsidR="00563D72" w:rsidRPr="003F43B0">
        <w:t>product</w:t>
      </w:r>
      <w:r w:rsidRPr="003F43B0">
        <w:t>s”.</w:t>
      </w:r>
    </w:p>
    <w:p w:rsidR="00C735AF" w:rsidRPr="003F43B0" w:rsidRDefault="00FF73FD" w:rsidP="00C735AF">
      <w:pPr>
        <w:pStyle w:val="ItemHead"/>
        <w:rPr>
          <w:rFonts w:cs="Arial"/>
          <w:noProof/>
        </w:rPr>
      </w:pPr>
      <w:r w:rsidRPr="003F43B0">
        <w:rPr>
          <w:rFonts w:cs="Arial"/>
          <w:noProof/>
        </w:rPr>
        <w:t>37</w:t>
      </w:r>
      <w:r w:rsidR="00C735AF" w:rsidRPr="003F43B0">
        <w:rPr>
          <w:rFonts w:cs="Arial"/>
          <w:noProof/>
        </w:rPr>
        <w:t xml:space="preserve">  Subregulation</w:t>
      </w:r>
      <w:r w:rsidR="003F43B0" w:rsidRPr="003F43B0">
        <w:rPr>
          <w:rFonts w:cs="Arial"/>
          <w:noProof/>
        </w:rPr>
        <w:t> </w:t>
      </w:r>
      <w:r w:rsidR="00C735AF" w:rsidRPr="003F43B0">
        <w:rPr>
          <w:rFonts w:cs="Arial"/>
          <w:noProof/>
        </w:rPr>
        <w:t>5.08(1)</w:t>
      </w:r>
    </w:p>
    <w:p w:rsidR="00C735AF" w:rsidRPr="003F43B0" w:rsidRDefault="00C735AF" w:rsidP="00C735AF">
      <w:pPr>
        <w:pStyle w:val="Item"/>
      </w:pPr>
      <w:r w:rsidRPr="003F43B0">
        <w:t>Omit “a class of</w:t>
      </w:r>
      <w:r w:rsidR="00563D72" w:rsidRPr="003F43B0">
        <w:t xml:space="preserve"> products</w:t>
      </w:r>
      <w:r w:rsidRPr="003F43B0">
        <w:t>”, substitute “</w:t>
      </w:r>
      <w:r w:rsidR="00347012" w:rsidRPr="003F43B0">
        <w:t xml:space="preserve">television or computer </w:t>
      </w:r>
      <w:r w:rsidR="00563D72" w:rsidRPr="003F43B0">
        <w:t>products</w:t>
      </w:r>
      <w:r w:rsidRPr="003F43B0">
        <w:t>”.</w:t>
      </w:r>
    </w:p>
    <w:p w:rsidR="00C735AF" w:rsidRPr="003F43B0" w:rsidRDefault="00FF73FD" w:rsidP="00C735AF">
      <w:pPr>
        <w:pStyle w:val="ItemHead"/>
        <w:rPr>
          <w:rFonts w:cs="Arial"/>
        </w:rPr>
      </w:pPr>
      <w:r w:rsidRPr="003F43B0">
        <w:rPr>
          <w:rFonts w:cs="Arial"/>
          <w:noProof/>
        </w:rPr>
        <w:lastRenderedPageBreak/>
        <w:t>38</w:t>
      </w:r>
      <w:r w:rsidR="00C735AF" w:rsidRPr="003F43B0">
        <w:rPr>
          <w:rFonts w:cs="Arial"/>
        </w:rPr>
        <w:t xml:space="preserve">  Subregulation</w:t>
      </w:r>
      <w:r w:rsidR="003F43B0" w:rsidRPr="003F43B0">
        <w:rPr>
          <w:rFonts w:cs="Arial"/>
        </w:rPr>
        <w:t> </w:t>
      </w:r>
      <w:r w:rsidR="00C735AF" w:rsidRPr="003F43B0">
        <w:rPr>
          <w:rFonts w:cs="Arial"/>
        </w:rPr>
        <w:t>5.09(1)</w:t>
      </w:r>
    </w:p>
    <w:p w:rsidR="00C735AF" w:rsidRPr="003F43B0" w:rsidRDefault="00C735AF" w:rsidP="00C735AF">
      <w:pPr>
        <w:pStyle w:val="Item"/>
      </w:pPr>
      <w:r w:rsidRPr="003F43B0">
        <w:t>Omit “(1) The liable party in relation to a class of</w:t>
      </w:r>
      <w:r w:rsidR="00563D72" w:rsidRPr="003F43B0">
        <w:t xml:space="preserve"> products</w:t>
      </w:r>
      <w:r w:rsidRPr="003F43B0">
        <w:t xml:space="preserve">”, substitute “The liable party in relation to </w:t>
      </w:r>
      <w:r w:rsidR="00347012" w:rsidRPr="003F43B0">
        <w:t xml:space="preserve">television or computer </w:t>
      </w:r>
      <w:r w:rsidR="00563D72" w:rsidRPr="003F43B0">
        <w:t>products</w:t>
      </w:r>
      <w:r w:rsidRPr="003F43B0">
        <w:t>”.</w:t>
      </w:r>
    </w:p>
    <w:p w:rsidR="00C735AF" w:rsidRPr="003F43B0" w:rsidRDefault="00FF73FD" w:rsidP="00C735AF">
      <w:pPr>
        <w:pStyle w:val="ItemHead"/>
        <w:rPr>
          <w:rFonts w:cs="Arial"/>
        </w:rPr>
      </w:pPr>
      <w:r w:rsidRPr="003F43B0">
        <w:rPr>
          <w:rFonts w:cs="Arial"/>
          <w:noProof/>
        </w:rPr>
        <w:t>39</w:t>
      </w:r>
      <w:r w:rsidR="00C735AF" w:rsidRPr="003F43B0">
        <w:rPr>
          <w:rFonts w:cs="Arial"/>
        </w:rPr>
        <w:t xml:space="preserve">  Subregulation</w:t>
      </w:r>
      <w:r w:rsidR="003F43B0" w:rsidRPr="003F43B0">
        <w:rPr>
          <w:rFonts w:cs="Arial"/>
        </w:rPr>
        <w:t> </w:t>
      </w:r>
      <w:r w:rsidR="00C735AF" w:rsidRPr="003F43B0">
        <w:rPr>
          <w:rFonts w:cs="Arial"/>
        </w:rPr>
        <w:t>5.09(2)</w:t>
      </w:r>
    </w:p>
    <w:p w:rsidR="00C735AF" w:rsidRPr="003F43B0" w:rsidRDefault="00C735AF" w:rsidP="00C735AF">
      <w:pPr>
        <w:pStyle w:val="Item"/>
      </w:pPr>
      <w:r w:rsidRPr="003F43B0">
        <w:t>Repeal the subregulation.</w:t>
      </w:r>
    </w:p>
    <w:p w:rsidR="00C735AF" w:rsidRPr="003F43B0" w:rsidRDefault="00FF73FD" w:rsidP="00C735AF">
      <w:pPr>
        <w:pStyle w:val="ItemHead"/>
        <w:rPr>
          <w:rFonts w:cs="Arial"/>
        </w:rPr>
      </w:pPr>
      <w:r w:rsidRPr="003F43B0">
        <w:rPr>
          <w:rFonts w:cs="Arial"/>
          <w:noProof/>
        </w:rPr>
        <w:t>40</w:t>
      </w:r>
      <w:r w:rsidR="00C735AF" w:rsidRPr="003F43B0">
        <w:rPr>
          <w:rFonts w:cs="Arial"/>
        </w:rPr>
        <w:t xml:space="preserve">  Subregulation</w:t>
      </w:r>
      <w:r w:rsidR="003F43B0" w:rsidRPr="003F43B0">
        <w:rPr>
          <w:rFonts w:cs="Arial"/>
        </w:rPr>
        <w:t> </w:t>
      </w:r>
      <w:r w:rsidR="00C735AF" w:rsidRPr="003F43B0">
        <w:rPr>
          <w:rFonts w:cs="Arial"/>
        </w:rPr>
        <w:t>5.10(1)</w:t>
      </w:r>
    </w:p>
    <w:p w:rsidR="00C735AF" w:rsidRPr="003F43B0" w:rsidRDefault="00C735AF" w:rsidP="00C735AF">
      <w:pPr>
        <w:pStyle w:val="Item"/>
      </w:pPr>
      <w:r w:rsidRPr="003F43B0">
        <w:t>Omit from “(1) The liable party” to “year:”, substitute:</w:t>
      </w:r>
    </w:p>
    <w:p w:rsidR="00B05CB9" w:rsidRPr="003F43B0" w:rsidRDefault="00C735AF" w:rsidP="00C735AF">
      <w:pPr>
        <w:pStyle w:val="subsection"/>
      </w:pPr>
      <w:r w:rsidRPr="003F43B0">
        <w:tab/>
        <w:t>(1)</w:t>
      </w:r>
      <w:r w:rsidRPr="003F43B0">
        <w:tab/>
      </w:r>
      <w:r w:rsidR="00B05CB9" w:rsidRPr="003F43B0">
        <w:t>This regulation applies if a related body corporate</w:t>
      </w:r>
      <w:r w:rsidR="00A67A4E" w:rsidRPr="003F43B0">
        <w:t>,</w:t>
      </w:r>
      <w:r w:rsidR="00B05CB9" w:rsidRPr="003F43B0">
        <w:t xml:space="preserve"> of a liable party</w:t>
      </w:r>
      <w:r w:rsidR="00A67A4E" w:rsidRPr="003F43B0">
        <w:t>,</w:t>
      </w:r>
      <w:r w:rsidR="00B05CB9" w:rsidRPr="003F43B0">
        <w:t xml:space="preserve"> imported or manufactured</w:t>
      </w:r>
      <w:r w:rsidR="00A67A4E" w:rsidRPr="003F43B0">
        <w:t xml:space="preserve"> televisions, computers or printers in a financial year.</w:t>
      </w:r>
    </w:p>
    <w:p w:rsidR="000E2597" w:rsidRPr="003F43B0" w:rsidRDefault="00B05CB9" w:rsidP="00C735AF">
      <w:pPr>
        <w:pStyle w:val="subsection"/>
      </w:pPr>
      <w:r w:rsidRPr="003F43B0">
        <w:tab/>
        <w:t>(1A)</w:t>
      </w:r>
      <w:r w:rsidRPr="003F43B0">
        <w:tab/>
        <w:t>The</w:t>
      </w:r>
      <w:r w:rsidR="001F129C" w:rsidRPr="003F43B0">
        <w:t xml:space="preserve"> liable party must give the Minister, before 1</w:t>
      </w:r>
      <w:r w:rsidR="003F43B0" w:rsidRPr="003F43B0">
        <w:t> </w:t>
      </w:r>
      <w:r w:rsidR="001F129C" w:rsidRPr="003F43B0">
        <w:t xml:space="preserve">September </w:t>
      </w:r>
      <w:r w:rsidRPr="003F43B0">
        <w:t>of the following financial</w:t>
      </w:r>
      <w:r w:rsidR="001F129C" w:rsidRPr="003F43B0">
        <w:t xml:space="preserve"> year, the following information about </w:t>
      </w:r>
      <w:r w:rsidRPr="003F43B0">
        <w:t>the related body corporate</w:t>
      </w:r>
      <w:r w:rsidR="001F129C" w:rsidRPr="003F43B0">
        <w:t>:</w:t>
      </w:r>
    </w:p>
    <w:p w:rsidR="00C735AF" w:rsidRPr="003F43B0" w:rsidRDefault="00FF73FD" w:rsidP="00C735AF">
      <w:pPr>
        <w:pStyle w:val="ItemHead"/>
        <w:rPr>
          <w:rFonts w:cs="Arial"/>
        </w:rPr>
      </w:pPr>
      <w:r w:rsidRPr="003F43B0">
        <w:rPr>
          <w:rFonts w:cs="Arial"/>
          <w:noProof/>
        </w:rPr>
        <w:t>41</w:t>
      </w:r>
      <w:r w:rsidR="00C735AF" w:rsidRPr="003F43B0">
        <w:rPr>
          <w:rFonts w:cs="Arial"/>
        </w:rPr>
        <w:t xml:space="preserve">  Subregulation</w:t>
      </w:r>
      <w:r w:rsidR="003F43B0" w:rsidRPr="003F43B0">
        <w:rPr>
          <w:rFonts w:cs="Arial"/>
        </w:rPr>
        <w:t> </w:t>
      </w:r>
      <w:r w:rsidR="00C735AF" w:rsidRPr="003F43B0">
        <w:rPr>
          <w:rFonts w:cs="Arial"/>
        </w:rPr>
        <w:t>5.10(2)</w:t>
      </w:r>
    </w:p>
    <w:p w:rsidR="00C735AF" w:rsidRPr="003F43B0" w:rsidRDefault="00C735AF" w:rsidP="00C735AF">
      <w:pPr>
        <w:pStyle w:val="Item"/>
      </w:pPr>
      <w:r w:rsidRPr="003F43B0">
        <w:t>Repeal the subregulation</w:t>
      </w:r>
      <w:r w:rsidR="001F129C" w:rsidRPr="003F43B0">
        <w:t>.</w:t>
      </w:r>
    </w:p>
    <w:p w:rsidR="00C735AF" w:rsidRPr="003F43B0" w:rsidRDefault="00FF73FD" w:rsidP="00C735AF">
      <w:pPr>
        <w:pStyle w:val="ItemHead"/>
        <w:rPr>
          <w:rFonts w:cs="Arial"/>
          <w:noProof/>
        </w:rPr>
      </w:pPr>
      <w:r w:rsidRPr="003F43B0">
        <w:rPr>
          <w:rFonts w:cs="Arial"/>
          <w:noProof/>
        </w:rPr>
        <w:t>42</w:t>
      </w:r>
      <w:r w:rsidR="00C735AF" w:rsidRPr="003F43B0">
        <w:rPr>
          <w:rFonts w:cs="Arial"/>
          <w:noProof/>
        </w:rPr>
        <w:t xml:space="preserve">  Subregulation</w:t>
      </w:r>
      <w:r w:rsidR="003F43B0" w:rsidRPr="003F43B0">
        <w:rPr>
          <w:rFonts w:cs="Arial"/>
          <w:noProof/>
        </w:rPr>
        <w:t> </w:t>
      </w:r>
      <w:r w:rsidR="00C735AF" w:rsidRPr="003F43B0">
        <w:rPr>
          <w:rFonts w:cs="Arial"/>
          <w:noProof/>
        </w:rPr>
        <w:t>5.11(1)</w:t>
      </w:r>
    </w:p>
    <w:p w:rsidR="00B05CB9" w:rsidRPr="003F43B0" w:rsidRDefault="00A570BF" w:rsidP="00A570BF">
      <w:pPr>
        <w:pStyle w:val="Item"/>
      </w:pPr>
      <w:r w:rsidRPr="003F43B0">
        <w:t>Omit “a class of products must give the Minister any information relating to products in that class”, substitute “</w:t>
      </w:r>
      <w:r w:rsidR="00B05CB9" w:rsidRPr="003F43B0">
        <w:t>television or compu</w:t>
      </w:r>
      <w:r w:rsidRPr="003F43B0">
        <w:t>ter products must give the Minister any information relating to those products”.</w:t>
      </w:r>
    </w:p>
    <w:p w:rsidR="00C735AF" w:rsidRPr="003F43B0" w:rsidRDefault="00FF73FD" w:rsidP="00C735AF">
      <w:pPr>
        <w:pStyle w:val="ItemHead"/>
        <w:rPr>
          <w:rFonts w:cs="Arial"/>
          <w:noProof/>
        </w:rPr>
      </w:pPr>
      <w:r w:rsidRPr="003F43B0">
        <w:rPr>
          <w:rFonts w:cs="Arial"/>
          <w:noProof/>
        </w:rPr>
        <w:t>43</w:t>
      </w:r>
      <w:r w:rsidR="00C735AF" w:rsidRPr="003F43B0">
        <w:rPr>
          <w:rFonts w:cs="Arial"/>
          <w:noProof/>
        </w:rPr>
        <w:t xml:space="preserve">  Paragraph 5.14(1)(a)</w:t>
      </w:r>
    </w:p>
    <w:p w:rsidR="00C735AF" w:rsidRPr="003F43B0" w:rsidRDefault="00C735AF" w:rsidP="00C735AF">
      <w:pPr>
        <w:pStyle w:val="Item"/>
      </w:pPr>
      <w:r w:rsidRPr="003F43B0">
        <w:t>Repeal the paragraph.</w:t>
      </w:r>
    </w:p>
    <w:p w:rsidR="00C735AF" w:rsidRPr="003F43B0" w:rsidRDefault="00FF73FD" w:rsidP="00C735AF">
      <w:pPr>
        <w:pStyle w:val="ItemHead"/>
        <w:rPr>
          <w:rFonts w:cs="Arial"/>
          <w:noProof/>
        </w:rPr>
      </w:pPr>
      <w:r w:rsidRPr="003F43B0">
        <w:rPr>
          <w:rFonts w:cs="Arial"/>
          <w:noProof/>
        </w:rPr>
        <w:t>44</w:t>
      </w:r>
      <w:r w:rsidR="00C735AF" w:rsidRPr="003F43B0">
        <w:rPr>
          <w:rFonts w:cs="Arial"/>
          <w:noProof/>
        </w:rPr>
        <w:t xml:space="preserve">  Paragraph 5.14(2)(b)</w:t>
      </w:r>
    </w:p>
    <w:p w:rsidR="00C735AF" w:rsidRPr="003F43B0" w:rsidRDefault="00A570BF" w:rsidP="00A570BF">
      <w:pPr>
        <w:pStyle w:val="Item"/>
      </w:pPr>
      <w:r w:rsidRPr="003F43B0">
        <w:t>Omit “if the co</w:t>
      </w:r>
      <w:r w:rsidR="003F43B0">
        <w:noBreakHyphen/>
      </w:r>
      <w:r w:rsidRPr="003F43B0">
        <w:t>regulatory arrangement covers more than one class of products—the class of”, substitute “</w:t>
      </w:r>
      <w:r w:rsidR="00C735AF" w:rsidRPr="003F43B0">
        <w:t>the kind</w:t>
      </w:r>
      <w:r w:rsidRPr="003F43B0">
        <w:t>s</w:t>
      </w:r>
      <w:r w:rsidR="00C735AF" w:rsidRPr="003F43B0">
        <w:t xml:space="preserve"> of </w:t>
      </w:r>
      <w:r w:rsidRPr="003F43B0">
        <w:t>television or computer”.</w:t>
      </w:r>
    </w:p>
    <w:p w:rsidR="00C735AF" w:rsidRPr="003F43B0" w:rsidRDefault="00FF73FD" w:rsidP="00C735AF">
      <w:pPr>
        <w:pStyle w:val="ItemHead"/>
        <w:rPr>
          <w:rFonts w:cs="Arial"/>
        </w:rPr>
      </w:pPr>
      <w:r w:rsidRPr="003F43B0">
        <w:rPr>
          <w:rFonts w:cs="Arial"/>
          <w:noProof/>
        </w:rPr>
        <w:t>45</w:t>
      </w:r>
      <w:r w:rsidR="00C735AF" w:rsidRPr="003F43B0">
        <w:rPr>
          <w:rFonts w:cs="Arial"/>
        </w:rPr>
        <w:t xml:space="preserve">  Subregulation</w:t>
      </w:r>
      <w:r w:rsidR="003F43B0" w:rsidRPr="003F43B0">
        <w:rPr>
          <w:rFonts w:cs="Arial"/>
        </w:rPr>
        <w:t> </w:t>
      </w:r>
      <w:r w:rsidR="00C735AF" w:rsidRPr="003F43B0">
        <w:rPr>
          <w:rFonts w:cs="Arial"/>
        </w:rPr>
        <w:t>5.14(3)</w:t>
      </w:r>
    </w:p>
    <w:p w:rsidR="00C735AF" w:rsidRPr="003F43B0" w:rsidRDefault="00C735AF" w:rsidP="00C735AF">
      <w:pPr>
        <w:pStyle w:val="Item"/>
      </w:pPr>
      <w:r w:rsidRPr="003F43B0">
        <w:t xml:space="preserve">Omit “storage of products”, substitute “storage of </w:t>
      </w:r>
      <w:r w:rsidR="00347012" w:rsidRPr="003F43B0">
        <w:t xml:space="preserve">television or computer </w:t>
      </w:r>
      <w:r w:rsidR="00563D72" w:rsidRPr="003F43B0">
        <w:t>product</w:t>
      </w:r>
      <w:r w:rsidRPr="003F43B0">
        <w:t>s”.</w:t>
      </w:r>
    </w:p>
    <w:p w:rsidR="00C735AF" w:rsidRPr="003F43B0" w:rsidRDefault="00FF73FD" w:rsidP="00C735AF">
      <w:pPr>
        <w:pStyle w:val="ItemHead"/>
        <w:rPr>
          <w:rFonts w:cs="Arial"/>
          <w:noProof/>
        </w:rPr>
      </w:pPr>
      <w:r w:rsidRPr="003F43B0">
        <w:rPr>
          <w:rFonts w:cs="Arial"/>
          <w:noProof/>
        </w:rPr>
        <w:lastRenderedPageBreak/>
        <w:t>46</w:t>
      </w:r>
      <w:r w:rsidR="00C735AF" w:rsidRPr="003F43B0">
        <w:rPr>
          <w:rFonts w:cs="Arial"/>
          <w:noProof/>
        </w:rPr>
        <w:t xml:space="preserve">  Paragraphs 5.14(3)(b) and (c)</w:t>
      </w:r>
    </w:p>
    <w:p w:rsidR="00C735AF" w:rsidRPr="003F43B0" w:rsidRDefault="00C735AF" w:rsidP="00C735AF">
      <w:pPr>
        <w:pStyle w:val="Item"/>
      </w:pPr>
      <w:r w:rsidRPr="003F43B0">
        <w:t>Omit “products in a class of</w:t>
      </w:r>
      <w:r w:rsidR="002C59D0" w:rsidRPr="003F43B0">
        <w:t xml:space="preserve"> products</w:t>
      </w:r>
      <w:r w:rsidRPr="003F43B0">
        <w:t>”, substitute “</w:t>
      </w:r>
      <w:r w:rsidR="00347012" w:rsidRPr="003F43B0">
        <w:t xml:space="preserve">television or computer </w:t>
      </w:r>
      <w:r w:rsidR="002C59D0" w:rsidRPr="003F43B0">
        <w:t>products</w:t>
      </w:r>
      <w:r w:rsidRPr="003F43B0">
        <w:t>”.</w:t>
      </w:r>
    </w:p>
    <w:p w:rsidR="00C735AF" w:rsidRPr="003F43B0" w:rsidRDefault="00FF73FD" w:rsidP="00C735AF">
      <w:pPr>
        <w:pStyle w:val="ItemHead"/>
        <w:rPr>
          <w:rFonts w:cs="Arial"/>
        </w:rPr>
      </w:pPr>
      <w:r w:rsidRPr="003F43B0">
        <w:rPr>
          <w:rFonts w:cs="Arial"/>
          <w:noProof/>
        </w:rPr>
        <w:t>47</w:t>
      </w:r>
      <w:r w:rsidR="00C735AF" w:rsidRPr="003F43B0">
        <w:rPr>
          <w:rFonts w:cs="Arial"/>
        </w:rPr>
        <w:t xml:space="preserve">  Subregulation</w:t>
      </w:r>
      <w:r w:rsidR="003F43B0" w:rsidRPr="003F43B0">
        <w:rPr>
          <w:rFonts w:cs="Arial"/>
        </w:rPr>
        <w:t> </w:t>
      </w:r>
      <w:r w:rsidR="00C735AF" w:rsidRPr="003F43B0">
        <w:rPr>
          <w:rFonts w:cs="Arial"/>
        </w:rPr>
        <w:t>5.14(4)</w:t>
      </w:r>
    </w:p>
    <w:p w:rsidR="00C735AF" w:rsidRPr="003F43B0" w:rsidRDefault="00C735AF" w:rsidP="00C735AF">
      <w:pPr>
        <w:pStyle w:val="Item"/>
      </w:pPr>
      <w:r w:rsidRPr="003F43B0">
        <w:t xml:space="preserve">Omit “recycling of products under”, substitute “recycling of </w:t>
      </w:r>
      <w:r w:rsidR="00347012" w:rsidRPr="003F43B0">
        <w:t xml:space="preserve">television or computer </w:t>
      </w:r>
      <w:r w:rsidR="00563D72" w:rsidRPr="003F43B0">
        <w:t>product</w:t>
      </w:r>
      <w:r w:rsidRPr="003F43B0">
        <w:t>s under”.</w:t>
      </w:r>
    </w:p>
    <w:p w:rsidR="00C735AF" w:rsidRPr="003F43B0" w:rsidRDefault="00FF73FD" w:rsidP="00C735AF">
      <w:pPr>
        <w:pStyle w:val="ItemHead"/>
        <w:rPr>
          <w:rFonts w:cs="Arial"/>
          <w:noProof/>
        </w:rPr>
      </w:pPr>
      <w:r w:rsidRPr="003F43B0">
        <w:rPr>
          <w:rFonts w:cs="Arial"/>
          <w:noProof/>
        </w:rPr>
        <w:t>48</w:t>
      </w:r>
      <w:r w:rsidR="00C735AF" w:rsidRPr="003F43B0">
        <w:rPr>
          <w:rFonts w:cs="Arial"/>
          <w:noProof/>
        </w:rPr>
        <w:t xml:space="preserve">  Paragraphs 5.14(4)(a) to (f)</w:t>
      </w:r>
    </w:p>
    <w:p w:rsidR="00C735AF" w:rsidRPr="003F43B0" w:rsidRDefault="00C735AF" w:rsidP="00C735AF">
      <w:pPr>
        <w:pStyle w:val="Item"/>
      </w:pPr>
      <w:r w:rsidRPr="003F43B0">
        <w:t>Omit</w:t>
      </w:r>
      <w:r w:rsidR="0079311B" w:rsidRPr="003F43B0">
        <w:t xml:space="preserve"> </w:t>
      </w:r>
      <w:r w:rsidRPr="003F43B0">
        <w:t>“products in a class of”, substitute “the”.</w:t>
      </w:r>
    </w:p>
    <w:p w:rsidR="00C735AF" w:rsidRPr="003F43B0" w:rsidRDefault="00FF73FD" w:rsidP="00C735AF">
      <w:pPr>
        <w:pStyle w:val="ItemHead"/>
        <w:rPr>
          <w:rFonts w:cs="Arial"/>
        </w:rPr>
      </w:pPr>
      <w:r w:rsidRPr="003F43B0">
        <w:rPr>
          <w:rFonts w:cs="Arial"/>
          <w:noProof/>
        </w:rPr>
        <w:t>49</w:t>
      </w:r>
      <w:r w:rsidR="00C735AF" w:rsidRPr="003F43B0">
        <w:rPr>
          <w:rFonts w:cs="Arial"/>
        </w:rPr>
        <w:t xml:space="preserve">  Subregulation</w:t>
      </w:r>
      <w:r w:rsidR="003F43B0" w:rsidRPr="003F43B0">
        <w:rPr>
          <w:rFonts w:cs="Arial"/>
        </w:rPr>
        <w:t> </w:t>
      </w:r>
      <w:r w:rsidR="00C735AF" w:rsidRPr="003F43B0">
        <w:rPr>
          <w:rFonts w:cs="Arial"/>
        </w:rPr>
        <w:t>5.14(5)</w:t>
      </w:r>
    </w:p>
    <w:p w:rsidR="00C735AF" w:rsidRPr="003F43B0" w:rsidRDefault="00C735AF" w:rsidP="00C735AF">
      <w:pPr>
        <w:pStyle w:val="Item"/>
      </w:pPr>
      <w:r w:rsidRPr="003F43B0">
        <w:t>Omit “products exported”, substitute “</w:t>
      </w:r>
      <w:r w:rsidR="00347012" w:rsidRPr="003F43B0">
        <w:t xml:space="preserve">television or computer </w:t>
      </w:r>
      <w:r w:rsidR="00563D72" w:rsidRPr="003F43B0">
        <w:t>product</w:t>
      </w:r>
      <w:r w:rsidRPr="003F43B0">
        <w:t>s exported”.</w:t>
      </w:r>
    </w:p>
    <w:p w:rsidR="00C735AF" w:rsidRPr="003F43B0" w:rsidRDefault="00FF73FD" w:rsidP="00C735AF">
      <w:pPr>
        <w:pStyle w:val="ItemHead"/>
        <w:rPr>
          <w:rFonts w:cs="Arial"/>
          <w:noProof/>
        </w:rPr>
      </w:pPr>
      <w:r w:rsidRPr="003F43B0">
        <w:rPr>
          <w:rFonts w:cs="Arial"/>
          <w:noProof/>
        </w:rPr>
        <w:t>50</w:t>
      </w:r>
      <w:r w:rsidR="00C735AF" w:rsidRPr="003F43B0">
        <w:rPr>
          <w:rFonts w:cs="Arial"/>
          <w:noProof/>
        </w:rPr>
        <w:t xml:space="preserve">  Paragraph 5.14(5)(a)</w:t>
      </w:r>
    </w:p>
    <w:p w:rsidR="00C735AF" w:rsidRPr="003F43B0" w:rsidRDefault="00C735AF" w:rsidP="00C735AF">
      <w:pPr>
        <w:pStyle w:val="Item"/>
      </w:pPr>
      <w:r w:rsidRPr="003F43B0">
        <w:t>Omit “products in a class of”, substitute “the”.</w:t>
      </w:r>
    </w:p>
    <w:p w:rsidR="00C735AF" w:rsidRPr="003F43B0" w:rsidRDefault="00FF73FD" w:rsidP="00C735AF">
      <w:pPr>
        <w:pStyle w:val="ItemHead"/>
        <w:rPr>
          <w:rFonts w:cs="Arial"/>
          <w:noProof/>
        </w:rPr>
      </w:pPr>
      <w:r w:rsidRPr="003F43B0">
        <w:rPr>
          <w:rFonts w:cs="Arial"/>
          <w:noProof/>
        </w:rPr>
        <w:t>51</w:t>
      </w:r>
      <w:r w:rsidR="00C735AF" w:rsidRPr="003F43B0">
        <w:rPr>
          <w:rFonts w:cs="Arial"/>
          <w:noProof/>
        </w:rPr>
        <w:t xml:space="preserve">  Subregulation</w:t>
      </w:r>
      <w:r w:rsidR="003F43B0" w:rsidRPr="003F43B0">
        <w:rPr>
          <w:rFonts w:cs="Arial"/>
          <w:noProof/>
        </w:rPr>
        <w:t> </w:t>
      </w:r>
      <w:r w:rsidR="00C735AF" w:rsidRPr="003F43B0">
        <w:rPr>
          <w:rFonts w:cs="Arial"/>
          <w:noProof/>
        </w:rPr>
        <w:t>5.14(6)</w:t>
      </w:r>
    </w:p>
    <w:p w:rsidR="00C735AF" w:rsidRPr="003F43B0" w:rsidRDefault="00C735AF" w:rsidP="00C735AF">
      <w:pPr>
        <w:pStyle w:val="Item"/>
      </w:pPr>
      <w:r w:rsidRPr="003F43B0">
        <w:t>Omit “</w:t>
      </w:r>
      <w:r w:rsidR="00520D4E" w:rsidRPr="003F43B0">
        <w:t xml:space="preserve">each </w:t>
      </w:r>
      <w:r w:rsidRPr="003F43B0">
        <w:t>class of products”, substitute “</w:t>
      </w:r>
      <w:r w:rsidR="00347012" w:rsidRPr="003F43B0">
        <w:t xml:space="preserve">television or computer </w:t>
      </w:r>
      <w:r w:rsidR="00563D72" w:rsidRPr="003F43B0">
        <w:t>product</w:t>
      </w:r>
      <w:r w:rsidR="00520D4E" w:rsidRPr="003F43B0">
        <w:t>s</w:t>
      </w:r>
      <w:r w:rsidRPr="003F43B0">
        <w:t>”.</w:t>
      </w:r>
    </w:p>
    <w:p w:rsidR="00C735AF" w:rsidRPr="003F43B0" w:rsidRDefault="00FF73FD" w:rsidP="00C735AF">
      <w:pPr>
        <w:pStyle w:val="ItemHead"/>
        <w:rPr>
          <w:rFonts w:cs="Arial"/>
        </w:rPr>
      </w:pPr>
      <w:r w:rsidRPr="003F43B0">
        <w:rPr>
          <w:rFonts w:cs="Arial"/>
          <w:noProof/>
        </w:rPr>
        <w:t>52</w:t>
      </w:r>
      <w:r w:rsidR="00C735AF" w:rsidRPr="003F43B0">
        <w:rPr>
          <w:rFonts w:cs="Arial"/>
        </w:rPr>
        <w:t xml:space="preserve">  Paragraphs 5.14(6)(c) and (7)(a)</w:t>
      </w:r>
    </w:p>
    <w:p w:rsidR="00C735AF" w:rsidRPr="003F43B0" w:rsidRDefault="00C735AF" w:rsidP="00C735AF">
      <w:pPr>
        <w:pStyle w:val="Item"/>
      </w:pPr>
      <w:r w:rsidRPr="003F43B0">
        <w:t>Omit “products”, substitute “the products”.</w:t>
      </w:r>
    </w:p>
    <w:p w:rsidR="00C735AF" w:rsidRPr="003F43B0" w:rsidRDefault="00FF73FD" w:rsidP="00C735AF">
      <w:pPr>
        <w:pStyle w:val="ItemHead"/>
        <w:rPr>
          <w:rFonts w:cs="Arial"/>
          <w:noProof/>
        </w:rPr>
      </w:pPr>
      <w:r w:rsidRPr="003F43B0">
        <w:rPr>
          <w:rFonts w:cs="Arial"/>
          <w:noProof/>
        </w:rPr>
        <w:t>53</w:t>
      </w:r>
      <w:r w:rsidR="00C735AF" w:rsidRPr="003F43B0">
        <w:rPr>
          <w:rFonts w:cs="Arial"/>
          <w:noProof/>
        </w:rPr>
        <w:t xml:space="preserve">  Subregulation</w:t>
      </w:r>
      <w:r w:rsidR="003F43B0" w:rsidRPr="003F43B0">
        <w:rPr>
          <w:rFonts w:cs="Arial"/>
          <w:noProof/>
        </w:rPr>
        <w:t> </w:t>
      </w:r>
      <w:r w:rsidR="00C735AF" w:rsidRPr="003F43B0">
        <w:rPr>
          <w:rFonts w:cs="Arial"/>
          <w:noProof/>
        </w:rPr>
        <w:t>5.14(8)</w:t>
      </w:r>
    </w:p>
    <w:p w:rsidR="00C735AF" w:rsidRPr="003F43B0" w:rsidRDefault="00C735AF" w:rsidP="00C735AF">
      <w:pPr>
        <w:pStyle w:val="Item"/>
      </w:pPr>
      <w:r w:rsidRPr="003F43B0">
        <w:t>Omit “products in a class of</w:t>
      </w:r>
      <w:r w:rsidR="002C59D0" w:rsidRPr="003F43B0">
        <w:t xml:space="preserve"> products</w:t>
      </w:r>
      <w:r w:rsidRPr="003F43B0">
        <w:t>”, substitute “</w:t>
      </w:r>
      <w:r w:rsidR="00347012" w:rsidRPr="003F43B0">
        <w:t xml:space="preserve">television or computer </w:t>
      </w:r>
      <w:r w:rsidR="002C59D0" w:rsidRPr="003F43B0">
        <w:t>products</w:t>
      </w:r>
      <w:r w:rsidRPr="003F43B0">
        <w:t>”.</w:t>
      </w:r>
    </w:p>
    <w:p w:rsidR="00C735AF" w:rsidRPr="003F43B0" w:rsidRDefault="00FF73FD" w:rsidP="00C735AF">
      <w:pPr>
        <w:pStyle w:val="ItemHead"/>
        <w:rPr>
          <w:rFonts w:cs="Arial"/>
          <w:noProof/>
        </w:rPr>
      </w:pPr>
      <w:r w:rsidRPr="003F43B0">
        <w:rPr>
          <w:rFonts w:cs="Arial"/>
          <w:noProof/>
        </w:rPr>
        <w:t>54</w:t>
      </w:r>
      <w:r w:rsidR="00C735AF" w:rsidRPr="003F43B0">
        <w:rPr>
          <w:rFonts w:cs="Arial"/>
          <w:noProof/>
        </w:rPr>
        <w:t xml:space="preserve">  Paragraphs 5.14(10)(a)</w:t>
      </w:r>
      <w:r w:rsidR="00C735AF" w:rsidRPr="003F43B0">
        <w:rPr>
          <w:rFonts w:ascii="Times New Roman" w:hAnsi="Times New Roman"/>
          <w:kern w:val="0"/>
          <w:sz w:val="22"/>
        </w:rPr>
        <w:t>,</w:t>
      </w:r>
      <w:r w:rsidR="00C735AF" w:rsidRPr="003F43B0">
        <w:rPr>
          <w:rFonts w:ascii="Times New Roman" w:hAnsi="Times New Roman"/>
          <w:b w:val="0"/>
          <w:kern w:val="0"/>
          <w:sz w:val="22"/>
        </w:rPr>
        <w:t xml:space="preserve"> </w:t>
      </w:r>
      <w:r w:rsidR="00C735AF" w:rsidRPr="003F43B0">
        <w:rPr>
          <w:rFonts w:cs="Arial"/>
          <w:noProof/>
        </w:rPr>
        <w:t>(c) and (d)</w:t>
      </w:r>
    </w:p>
    <w:p w:rsidR="00C735AF" w:rsidRPr="003F43B0" w:rsidRDefault="00C735AF" w:rsidP="00C735AF">
      <w:pPr>
        <w:pStyle w:val="Item"/>
      </w:pPr>
      <w:r w:rsidRPr="003F43B0">
        <w:t>Omit “products in a class of</w:t>
      </w:r>
      <w:r w:rsidR="002C59D0" w:rsidRPr="003F43B0">
        <w:t xml:space="preserve"> products</w:t>
      </w:r>
      <w:r w:rsidRPr="003F43B0">
        <w:t>”, substitute “</w:t>
      </w:r>
      <w:r w:rsidR="00347012" w:rsidRPr="003F43B0">
        <w:t xml:space="preserve">television or computer </w:t>
      </w:r>
      <w:r w:rsidR="002C59D0" w:rsidRPr="003F43B0">
        <w:t>products</w:t>
      </w:r>
      <w:r w:rsidRPr="003F43B0">
        <w:t>”.</w:t>
      </w:r>
    </w:p>
    <w:p w:rsidR="006F1E54" w:rsidRPr="003F43B0" w:rsidRDefault="00FF73FD" w:rsidP="00C735AF">
      <w:pPr>
        <w:pStyle w:val="ItemHead"/>
        <w:rPr>
          <w:rFonts w:cs="Arial"/>
        </w:rPr>
      </w:pPr>
      <w:r w:rsidRPr="003F43B0">
        <w:rPr>
          <w:rFonts w:cs="Arial"/>
          <w:noProof/>
        </w:rPr>
        <w:t>55</w:t>
      </w:r>
      <w:r w:rsidR="00C735AF" w:rsidRPr="003F43B0">
        <w:rPr>
          <w:rFonts w:cs="Arial"/>
        </w:rPr>
        <w:t xml:space="preserve">  </w:t>
      </w:r>
      <w:r w:rsidR="006F1E54" w:rsidRPr="003F43B0">
        <w:rPr>
          <w:rFonts w:cs="Arial"/>
        </w:rPr>
        <w:t>After Part</w:t>
      </w:r>
      <w:r w:rsidR="003F43B0" w:rsidRPr="003F43B0">
        <w:rPr>
          <w:rFonts w:cs="Arial"/>
        </w:rPr>
        <w:t> </w:t>
      </w:r>
      <w:r w:rsidR="006F1E54" w:rsidRPr="003F43B0">
        <w:rPr>
          <w:rFonts w:cs="Arial"/>
        </w:rPr>
        <w:t>5</w:t>
      </w:r>
    </w:p>
    <w:p w:rsidR="006F1E54" w:rsidRPr="003F43B0" w:rsidRDefault="006F1E54" w:rsidP="006F1E54">
      <w:pPr>
        <w:pStyle w:val="Item"/>
      </w:pPr>
      <w:r w:rsidRPr="003F43B0">
        <w:t>Insert:</w:t>
      </w:r>
    </w:p>
    <w:p w:rsidR="006F1E54" w:rsidRPr="003F43B0" w:rsidRDefault="006F1E54" w:rsidP="006F1E54">
      <w:pPr>
        <w:pStyle w:val="ActHead2"/>
      </w:pPr>
      <w:bookmarkStart w:id="23" w:name="_Toc358878541"/>
      <w:r w:rsidRPr="003F43B0">
        <w:rPr>
          <w:rStyle w:val="CharPartNo"/>
        </w:rPr>
        <w:lastRenderedPageBreak/>
        <w:t>Part</w:t>
      </w:r>
      <w:r w:rsidR="003F43B0" w:rsidRPr="003F43B0">
        <w:rPr>
          <w:rStyle w:val="CharPartNo"/>
        </w:rPr>
        <w:t> </w:t>
      </w:r>
      <w:r w:rsidRPr="003F43B0">
        <w:rPr>
          <w:rStyle w:val="CharPartNo"/>
        </w:rPr>
        <w:t>6</w:t>
      </w:r>
      <w:r w:rsidRPr="003F43B0">
        <w:t>—</w:t>
      </w:r>
      <w:r w:rsidRPr="003F43B0">
        <w:rPr>
          <w:rStyle w:val="CharPartText"/>
        </w:rPr>
        <w:t>Transitional provisions</w:t>
      </w:r>
      <w:bookmarkEnd w:id="23"/>
    </w:p>
    <w:p w:rsidR="006F1E54" w:rsidRPr="003F43B0" w:rsidRDefault="006F1E54" w:rsidP="006F1E54">
      <w:pPr>
        <w:pStyle w:val="ActHead3"/>
      </w:pPr>
      <w:bookmarkStart w:id="24" w:name="_Toc358878542"/>
      <w:r w:rsidRPr="003F43B0">
        <w:rPr>
          <w:rStyle w:val="CharDivNo"/>
        </w:rPr>
        <w:t>Division</w:t>
      </w:r>
      <w:r w:rsidR="003F43B0" w:rsidRPr="003F43B0">
        <w:rPr>
          <w:rStyle w:val="CharDivNo"/>
        </w:rPr>
        <w:t> </w:t>
      </w:r>
      <w:r w:rsidRPr="003F43B0">
        <w:rPr>
          <w:rStyle w:val="CharDivNo"/>
        </w:rPr>
        <w:t>1</w:t>
      </w:r>
      <w:r w:rsidRPr="003F43B0">
        <w:t>—</w:t>
      </w:r>
      <w:r w:rsidRPr="003F43B0">
        <w:rPr>
          <w:rStyle w:val="CharDivText"/>
        </w:rPr>
        <w:t>Transition to Product Stewardship (Televisions and Computers) Amendment (Single Product Class) Regulation</w:t>
      </w:r>
      <w:r w:rsidR="003F43B0" w:rsidRPr="003F43B0">
        <w:rPr>
          <w:rStyle w:val="CharDivText"/>
        </w:rPr>
        <w:t> </w:t>
      </w:r>
      <w:r w:rsidRPr="003F43B0">
        <w:rPr>
          <w:rStyle w:val="CharDivText"/>
        </w:rPr>
        <w:t>2013</w:t>
      </w:r>
      <w:bookmarkEnd w:id="24"/>
    </w:p>
    <w:p w:rsidR="006F1E54" w:rsidRPr="003F43B0" w:rsidRDefault="006F1E54" w:rsidP="006F1E54">
      <w:pPr>
        <w:pStyle w:val="ActHead5"/>
      </w:pPr>
      <w:bookmarkStart w:id="25" w:name="_Toc358878543"/>
      <w:r w:rsidRPr="003F43B0">
        <w:rPr>
          <w:rStyle w:val="CharSectno"/>
        </w:rPr>
        <w:t>6.01</w:t>
      </w:r>
      <w:r w:rsidRPr="003F43B0">
        <w:t xml:space="preserve">  Approving co</w:t>
      </w:r>
      <w:r w:rsidR="003F43B0">
        <w:noBreakHyphen/>
      </w:r>
      <w:r w:rsidRPr="003F43B0">
        <w:t>regulatory arrangements</w:t>
      </w:r>
      <w:bookmarkEnd w:id="25"/>
    </w:p>
    <w:p w:rsidR="006F1E54" w:rsidRPr="003F43B0" w:rsidRDefault="00923E43" w:rsidP="006F1E54">
      <w:pPr>
        <w:pStyle w:val="subsection"/>
      </w:pPr>
      <w:r w:rsidRPr="003F43B0">
        <w:tab/>
        <w:t>(1)</w:t>
      </w:r>
      <w:r w:rsidRPr="003F43B0">
        <w:tab/>
        <w:t xml:space="preserve">This regulation applies if, immediately before the commencement of this </w:t>
      </w:r>
      <w:r w:rsidR="00A02F9B" w:rsidRPr="003F43B0">
        <w:t>regulation</w:t>
      </w:r>
      <w:r w:rsidRPr="003F43B0">
        <w:t>, a co</w:t>
      </w:r>
      <w:r w:rsidR="003F43B0">
        <w:noBreakHyphen/>
      </w:r>
      <w:r w:rsidRPr="003F43B0">
        <w:t>regulatory arrangement was approved under section</w:t>
      </w:r>
      <w:r w:rsidR="003F43B0" w:rsidRPr="003F43B0">
        <w:t> </w:t>
      </w:r>
      <w:r w:rsidRPr="003F43B0">
        <w:t>26 of the Act in relation to both the television class and the computer class.</w:t>
      </w:r>
    </w:p>
    <w:p w:rsidR="00923E43" w:rsidRPr="003F43B0" w:rsidRDefault="00923E43" w:rsidP="006F1E54">
      <w:pPr>
        <w:pStyle w:val="subsection"/>
      </w:pPr>
      <w:r w:rsidRPr="003F43B0">
        <w:tab/>
        <w:t>(2)</w:t>
      </w:r>
      <w:r w:rsidRPr="003F43B0">
        <w:tab/>
        <w:t xml:space="preserve">On and from the commencement of this </w:t>
      </w:r>
      <w:r w:rsidR="00A02F9B" w:rsidRPr="003F43B0">
        <w:t>regulation</w:t>
      </w:r>
      <w:r w:rsidRPr="003F43B0">
        <w:t>, the co</w:t>
      </w:r>
      <w:r w:rsidR="003F43B0">
        <w:noBreakHyphen/>
      </w:r>
      <w:r w:rsidRPr="003F43B0">
        <w:t>regulatory arrangement is taken to be approved for television and computer products.</w:t>
      </w:r>
    </w:p>
    <w:p w:rsidR="00C735AF" w:rsidRPr="003F43B0" w:rsidRDefault="00FF73FD" w:rsidP="00C735AF">
      <w:pPr>
        <w:pStyle w:val="ItemHead"/>
        <w:rPr>
          <w:rFonts w:cs="Arial"/>
        </w:rPr>
      </w:pPr>
      <w:r w:rsidRPr="003F43B0">
        <w:rPr>
          <w:rFonts w:cs="Arial"/>
        </w:rPr>
        <w:t>56</w:t>
      </w:r>
      <w:r w:rsidR="006F1E54" w:rsidRPr="003F43B0">
        <w:rPr>
          <w:rFonts w:cs="Arial"/>
        </w:rPr>
        <w:t xml:space="preserve">  </w:t>
      </w:r>
      <w:r w:rsidR="00C735AF" w:rsidRPr="003F43B0">
        <w:rPr>
          <w:rFonts w:cs="Arial"/>
        </w:rPr>
        <w:t>Schedule</w:t>
      </w:r>
      <w:r w:rsidR="003F43B0" w:rsidRPr="003F43B0">
        <w:rPr>
          <w:rFonts w:cs="Arial"/>
        </w:rPr>
        <w:t> </w:t>
      </w:r>
      <w:r w:rsidR="00C735AF" w:rsidRPr="003F43B0">
        <w:rPr>
          <w:rFonts w:cs="Arial"/>
        </w:rPr>
        <w:t>1 (heading)</w:t>
      </w:r>
    </w:p>
    <w:p w:rsidR="00C735AF" w:rsidRPr="003F43B0" w:rsidRDefault="00C735AF" w:rsidP="00C735AF">
      <w:pPr>
        <w:pStyle w:val="Item"/>
      </w:pPr>
      <w:r w:rsidRPr="003F43B0">
        <w:t>Repeal the heading, substitute:</w:t>
      </w:r>
    </w:p>
    <w:p w:rsidR="00C735AF" w:rsidRPr="003F43B0" w:rsidRDefault="00C735AF" w:rsidP="00C735AF">
      <w:pPr>
        <w:pStyle w:val="ActHead1"/>
      </w:pPr>
      <w:bookmarkStart w:id="26" w:name="_Toc358878544"/>
      <w:r w:rsidRPr="003F43B0">
        <w:rPr>
          <w:rStyle w:val="CharChapNo"/>
        </w:rPr>
        <w:t>Schedule</w:t>
      </w:r>
      <w:r w:rsidR="003F43B0" w:rsidRPr="003F43B0">
        <w:rPr>
          <w:rStyle w:val="CharChapNo"/>
        </w:rPr>
        <w:t> </w:t>
      </w:r>
      <w:r w:rsidRPr="003F43B0">
        <w:rPr>
          <w:rStyle w:val="CharChapNo"/>
        </w:rPr>
        <w:t>1</w:t>
      </w:r>
      <w:r w:rsidRPr="003F43B0">
        <w:t>—</w:t>
      </w:r>
      <w:r w:rsidR="00D51665" w:rsidRPr="003F43B0">
        <w:rPr>
          <w:rStyle w:val="CharChapText"/>
        </w:rPr>
        <w:t>T</w:t>
      </w:r>
      <w:r w:rsidR="00347012" w:rsidRPr="003F43B0">
        <w:rPr>
          <w:rStyle w:val="CharChapText"/>
        </w:rPr>
        <w:t xml:space="preserve">elevision or computer </w:t>
      </w:r>
      <w:r w:rsidR="00563D72" w:rsidRPr="003F43B0">
        <w:rPr>
          <w:rStyle w:val="CharChapText"/>
        </w:rPr>
        <w:t>product</w:t>
      </w:r>
      <w:r w:rsidRPr="003F43B0">
        <w:rPr>
          <w:rStyle w:val="CharChapText"/>
        </w:rPr>
        <w:t>s, product codes and conversion factors until 31</w:t>
      </w:r>
      <w:r w:rsidR="003F43B0" w:rsidRPr="003F43B0">
        <w:rPr>
          <w:rStyle w:val="CharChapText"/>
        </w:rPr>
        <w:t> </w:t>
      </w:r>
      <w:r w:rsidRPr="003F43B0">
        <w:rPr>
          <w:rStyle w:val="CharChapText"/>
        </w:rPr>
        <w:t>December 2011</w:t>
      </w:r>
      <w:bookmarkEnd w:id="26"/>
    </w:p>
    <w:p w:rsidR="00C735AF" w:rsidRPr="003F43B0" w:rsidRDefault="00C735AF" w:rsidP="00C735AF">
      <w:pPr>
        <w:pStyle w:val="notemargin"/>
      </w:pPr>
      <w:r w:rsidRPr="003F43B0">
        <w:t>Note:</w:t>
      </w:r>
      <w:r w:rsidRPr="003F43B0">
        <w:tab/>
        <w:t>See regulations</w:t>
      </w:r>
      <w:r w:rsidR="003F43B0" w:rsidRPr="003F43B0">
        <w:t> </w:t>
      </w:r>
      <w:r w:rsidRPr="003F43B0">
        <w:t>1.03 and 1.04.</w:t>
      </w:r>
    </w:p>
    <w:p w:rsidR="00C735AF" w:rsidRPr="003F43B0" w:rsidRDefault="00FF73FD" w:rsidP="00C735AF">
      <w:pPr>
        <w:pStyle w:val="ItemHead"/>
        <w:rPr>
          <w:rFonts w:cs="Arial"/>
        </w:rPr>
      </w:pPr>
      <w:r w:rsidRPr="003F43B0">
        <w:rPr>
          <w:rFonts w:cs="Arial"/>
          <w:noProof/>
        </w:rPr>
        <w:t>57</w:t>
      </w:r>
      <w:r w:rsidR="00C735AF" w:rsidRPr="003F43B0">
        <w:rPr>
          <w:rFonts w:cs="Arial"/>
        </w:rPr>
        <w:t xml:space="preserve">  Part</w:t>
      </w:r>
      <w:r w:rsidR="003F43B0" w:rsidRPr="003F43B0">
        <w:rPr>
          <w:rFonts w:cs="Arial"/>
        </w:rPr>
        <w:t> </w:t>
      </w:r>
      <w:r w:rsidR="00C735AF" w:rsidRPr="003F43B0">
        <w:rPr>
          <w:rFonts w:cs="Arial"/>
        </w:rPr>
        <w:t>2</w:t>
      </w:r>
      <w:r w:rsidR="0079311B" w:rsidRPr="003F43B0">
        <w:rPr>
          <w:rFonts w:cs="Arial"/>
        </w:rPr>
        <w:t xml:space="preserve"> of Schedule</w:t>
      </w:r>
      <w:r w:rsidR="003F43B0" w:rsidRPr="003F43B0">
        <w:rPr>
          <w:rFonts w:cs="Arial"/>
        </w:rPr>
        <w:t> </w:t>
      </w:r>
      <w:r w:rsidR="0079311B" w:rsidRPr="003F43B0">
        <w:rPr>
          <w:rFonts w:cs="Arial"/>
        </w:rPr>
        <w:t>1</w:t>
      </w:r>
      <w:r w:rsidR="00C735AF" w:rsidRPr="003F43B0">
        <w:rPr>
          <w:rFonts w:cs="Arial"/>
        </w:rPr>
        <w:t xml:space="preserve"> (heading)</w:t>
      </w:r>
    </w:p>
    <w:p w:rsidR="00C735AF" w:rsidRPr="003F43B0" w:rsidRDefault="00C735AF" w:rsidP="00C735AF">
      <w:pPr>
        <w:pStyle w:val="Item"/>
      </w:pPr>
      <w:r w:rsidRPr="003F43B0">
        <w:t>Repeal the heading, substitute:</w:t>
      </w:r>
    </w:p>
    <w:p w:rsidR="00C735AF" w:rsidRPr="003F43B0" w:rsidRDefault="00C735AF" w:rsidP="00C735AF">
      <w:pPr>
        <w:pStyle w:val="ActHead2"/>
      </w:pPr>
      <w:bookmarkStart w:id="27" w:name="_Toc358878545"/>
      <w:r w:rsidRPr="003F43B0">
        <w:rPr>
          <w:rStyle w:val="CharPartNo"/>
        </w:rPr>
        <w:t>Part</w:t>
      </w:r>
      <w:r w:rsidR="003F43B0" w:rsidRPr="003F43B0">
        <w:rPr>
          <w:rStyle w:val="CharPartNo"/>
        </w:rPr>
        <w:t> </w:t>
      </w:r>
      <w:r w:rsidRPr="003F43B0">
        <w:rPr>
          <w:rStyle w:val="CharPartNo"/>
        </w:rPr>
        <w:t>2</w:t>
      </w:r>
      <w:r w:rsidRPr="003F43B0">
        <w:t>—</w:t>
      </w:r>
      <w:r w:rsidRPr="003F43B0">
        <w:rPr>
          <w:rStyle w:val="CharPartText"/>
        </w:rPr>
        <w:t>Computers</w:t>
      </w:r>
      <w:bookmarkEnd w:id="27"/>
    </w:p>
    <w:p w:rsidR="00C735AF" w:rsidRPr="003F43B0" w:rsidRDefault="00FF73FD" w:rsidP="00C735AF">
      <w:pPr>
        <w:pStyle w:val="ItemHead"/>
        <w:rPr>
          <w:rFonts w:cs="Arial"/>
        </w:rPr>
      </w:pPr>
      <w:r w:rsidRPr="003F43B0">
        <w:rPr>
          <w:rFonts w:cs="Arial"/>
          <w:noProof/>
        </w:rPr>
        <w:t>58</w:t>
      </w:r>
      <w:r w:rsidR="00C735AF" w:rsidRPr="003F43B0">
        <w:rPr>
          <w:rFonts w:cs="Arial"/>
          <w:noProof/>
        </w:rPr>
        <w:t xml:space="preserve">  </w:t>
      </w:r>
      <w:r w:rsidR="0079311B" w:rsidRPr="003F43B0">
        <w:rPr>
          <w:rFonts w:cs="Arial"/>
        </w:rPr>
        <w:t>Division</w:t>
      </w:r>
      <w:r w:rsidR="003F43B0" w:rsidRPr="003F43B0">
        <w:rPr>
          <w:rFonts w:cs="Arial"/>
        </w:rPr>
        <w:t> </w:t>
      </w:r>
      <w:r w:rsidR="0079311B" w:rsidRPr="003F43B0">
        <w:rPr>
          <w:rFonts w:cs="Arial"/>
        </w:rPr>
        <w:t xml:space="preserve">1 of </w:t>
      </w:r>
      <w:r w:rsidR="00C735AF" w:rsidRPr="003F43B0">
        <w:rPr>
          <w:rFonts w:cs="Arial"/>
        </w:rPr>
        <w:t>Part</w:t>
      </w:r>
      <w:r w:rsidR="003F43B0" w:rsidRPr="003F43B0">
        <w:rPr>
          <w:rFonts w:cs="Arial"/>
        </w:rPr>
        <w:t> </w:t>
      </w:r>
      <w:r w:rsidR="00C735AF" w:rsidRPr="003F43B0">
        <w:rPr>
          <w:rFonts w:cs="Arial"/>
        </w:rPr>
        <w:t xml:space="preserve">2 </w:t>
      </w:r>
      <w:r w:rsidR="0079311B" w:rsidRPr="003F43B0">
        <w:rPr>
          <w:rFonts w:cs="Arial"/>
        </w:rPr>
        <w:t>of Schedule</w:t>
      </w:r>
      <w:r w:rsidR="003F43B0" w:rsidRPr="003F43B0">
        <w:rPr>
          <w:rFonts w:cs="Arial"/>
        </w:rPr>
        <w:t> </w:t>
      </w:r>
      <w:r w:rsidR="0079311B" w:rsidRPr="003F43B0">
        <w:rPr>
          <w:rFonts w:cs="Arial"/>
        </w:rPr>
        <w:t>1</w:t>
      </w:r>
      <w:r w:rsidR="00C735AF" w:rsidRPr="003F43B0">
        <w:rPr>
          <w:rFonts w:cs="Arial"/>
        </w:rPr>
        <w:t xml:space="preserve"> (heading)</w:t>
      </w:r>
    </w:p>
    <w:p w:rsidR="00C735AF" w:rsidRPr="003F43B0" w:rsidRDefault="00C735AF" w:rsidP="00C735AF">
      <w:pPr>
        <w:pStyle w:val="Item"/>
      </w:pPr>
      <w:r w:rsidRPr="003F43B0">
        <w:t>Repeal the heading.</w:t>
      </w:r>
    </w:p>
    <w:p w:rsidR="00C735AF" w:rsidRPr="003F43B0" w:rsidRDefault="00FF73FD" w:rsidP="00C735AF">
      <w:pPr>
        <w:pStyle w:val="ItemHead"/>
        <w:rPr>
          <w:rFonts w:cs="Arial"/>
          <w:noProof/>
        </w:rPr>
      </w:pPr>
      <w:r w:rsidRPr="003F43B0">
        <w:rPr>
          <w:rFonts w:cs="Arial"/>
          <w:noProof/>
        </w:rPr>
        <w:t>59</w:t>
      </w:r>
      <w:r w:rsidR="00C735AF" w:rsidRPr="003F43B0">
        <w:rPr>
          <w:rFonts w:cs="Arial"/>
          <w:noProof/>
        </w:rPr>
        <w:t xml:space="preserve">  </w:t>
      </w:r>
      <w:r w:rsidR="0079311B" w:rsidRPr="003F43B0">
        <w:rPr>
          <w:rFonts w:cs="Arial"/>
          <w:noProof/>
        </w:rPr>
        <w:t>Division</w:t>
      </w:r>
      <w:r w:rsidR="003F43B0" w:rsidRPr="003F43B0">
        <w:rPr>
          <w:rFonts w:cs="Arial"/>
          <w:noProof/>
        </w:rPr>
        <w:t> </w:t>
      </w:r>
      <w:r w:rsidR="0079311B" w:rsidRPr="003F43B0">
        <w:rPr>
          <w:rFonts w:cs="Arial"/>
          <w:noProof/>
        </w:rPr>
        <w:t>2 of Part</w:t>
      </w:r>
      <w:r w:rsidR="003F43B0" w:rsidRPr="003F43B0">
        <w:rPr>
          <w:rFonts w:cs="Arial"/>
          <w:noProof/>
        </w:rPr>
        <w:t> </w:t>
      </w:r>
      <w:r w:rsidR="0079311B" w:rsidRPr="003F43B0">
        <w:rPr>
          <w:rFonts w:cs="Arial"/>
          <w:noProof/>
        </w:rPr>
        <w:t>2 of Schedule</w:t>
      </w:r>
      <w:r w:rsidR="003F43B0" w:rsidRPr="003F43B0">
        <w:rPr>
          <w:rFonts w:cs="Arial"/>
          <w:noProof/>
        </w:rPr>
        <w:t> </w:t>
      </w:r>
      <w:r w:rsidR="0079311B" w:rsidRPr="003F43B0">
        <w:rPr>
          <w:rFonts w:cs="Arial"/>
          <w:noProof/>
        </w:rPr>
        <w:t>1</w:t>
      </w:r>
      <w:r w:rsidR="00C735AF" w:rsidRPr="003F43B0">
        <w:rPr>
          <w:rFonts w:cs="Arial"/>
          <w:noProof/>
        </w:rPr>
        <w:t xml:space="preserve"> (heading)</w:t>
      </w:r>
    </w:p>
    <w:p w:rsidR="00C735AF" w:rsidRPr="003F43B0" w:rsidRDefault="00C735AF" w:rsidP="00C735AF">
      <w:pPr>
        <w:pStyle w:val="Item"/>
      </w:pPr>
      <w:r w:rsidRPr="003F43B0">
        <w:t>Repeal the heading, substitute:</w:t>
      </w:r>
    </w:p>
    <w:p w:rsidR="00C735AF" w:rsidRPr="003F43B0" w:rsidRDefault="00C735AF" w:rsidP="00C735AF">
      <w:pPr>
        <w:pStyle w:val="ActHead2"/>
      </w:pPr>
      <w:bookmarkStart w:id="28" w:name="_Toc358878546"/>
      <w:r w:rsidRPr="003F43B0">
        <w:rPr>
          <w:rStyle w:val="CharPartNo"/>
        </w:rPr>
        <w:lastRenderedPageBreak/>
        <w:t>Part</w:t>
      </w:r>
      <w:r w:rsidR="003F43B0" w:rsidRPr="003F43B0">
        <w:rPr>
          <w:rStyle w:val="CharPartNo"/>
        </w:rPr>
        <w:t> </w:t>
      </w:r>
      <w:r w:rsidR="00CC55A9" w:rsidRPr="003F43B0">
        <w:rPr>
          <w:rStyle w:val="CharPartNo"/>
        </w:rPr>
        <w:t>3</w:t>
      </w:r>
      <w:r w:rsidRPr="003F43B0">
        <w:t>—</w:t>
      </w:r>
      <w:r w:rsidRPr="003F43B0">
        <w:rPr>
          <w:rStyle w:val="CharPartText"/>
        </w:rPr>
        <w:t>Printers</w:t>
      </w:r>
      <w:bookmarkEnd w:id="28"/>
    </w:p>
    <w:p w:rsidR="00C735AF" w:rsidRPr="003F43B0" w:rsidRDefault="00FF73FD" w:rsidP="00C735AF">
      <w:pPr>
        <w:pStyle w:val="ItemHead"/>
        <w:rPr>
          <w:rFonts w:cs="Arial"/>
        </w:rPr>
      </w:pPr>
      <w:r w:rsidRPr="003F43B0">
        <w:rPr>
          <w:rFonts w:cs="Arial"/>
          <w:noProof/>
        </w:rPr>
        <w:t>60</w:t>
      </w:r>
      <w:r w:rsidR="00C735AF" w:rsidRPr="003F43B0">
        <w:rPr>
          <w:rFonts w:cs="Arial"/>
        </w:rPr>
        <w:t xml:space="preserve">  </w:t>
      </w:r>
      <w:r w:rsidR="0079311B" w:rsidRPr="003F43B0">
        <w:rPr>
          <w:rFonts w:cs="Arial"/>
        </w:rPr>
        <w:t>Division</w:t>
      </w:r>
      <w:r w:rsidR="003F43B0" w:rsidRPr="003F43B0">
        <w:rPr>
          <w:rFonts w:cs="Arial"/>
        </w:rPr>
        <w:t> </w:t>
      </w:r>
      <w:r w:rsidR="0079311B" w:rsidRPr="003F43B0">
        <w:rPr>
          <w:rFonts w:cs="Arial"/>
        </w:rPr>
        <w:t>3 of Part</w:t>
      </w:r>
      <w:r w:rsidR="003F43B0" w:rsidRPr="003F43B0">
        <w:rPr>
          <w:rFonts w:cs="Arial"/>
        </w:rPr>
        <w:t> </w:t>
      </w:r>
      <w:r w:rsidR="0079311B" w:rsidRPr="003F43B0">
        <w:rPr>
          <w:rFonts w:cs="Arial"/>
        </w:rPr>
        <w:t>2 of Schedule</w:t>
      </w:r>
      <w:r w:rsidR="003F43B0" w:rsidRPr="003F43B0">
        <w:rPr>
          <w:rFonts w:cs="Arial"/>
        </w:rPr>
        <w:t> </w:t>
      </w:r>
      <w:r w:rsidR="0079311B" w:rsidRPr="003F43B0">
        <w:rPr>
          <w:rFonts w:cs="Arial"/>
        </w:rPr>
        <w:t>1</w:t>
      </w:r>
      <w:r w:rsidR="00C735AF" w:rsidRPr="003F43B0">
        <w:rPr>
          <w:rFonts w:cs="Arial"/>
        </w:rPr>
        <w:t xml:space="preserve"> (heading)</w:t>
      </w:r>
    </w:p>
    <w:p w:rsidR="00C735AF" w:rsidRPr="003F43B0" w:rsidRDefault="00C735AF" w:rsidP="00C735AF">
      <w:pPr>
        <w:pStyle w:val="Item"/>
      </w:pPr>
      <w:r w:rsidRPr="003F43B0">
        <w:t>Repeal the heading, substitute:</w:t>
      </w:r>
    </w:p>
    <w:p w:rsidR="00C735AF" w:rsidRPr="003F43B0" w:rsidRDefault="00C735AF" w:rsidP="00C735AF">
      <w:pPr>
        <w:pStyle w:val="ActHead2"/>
      </w:pPr>
      <w:bookmarkStart w:id="29" w:name="_Toc358878547"/>
      <w:r w:rsidRPr="003F43B0">
        <w:rPr>
          <w:rStyle w:val="CharPartNo"/>
        </w:rPr>
        <w:t>Part</w:t>
      </w:r>
      <w:r w:rsidR="003F43B0" w:rsidRPr="003F43B0">
        <w:rPr>
          <w:rStyle w:val="CharPartNo"/>
        </w:rPr>
        <w:t> </w:t>
      </w:r>
      <w:r w:rsidRPr="003F43B0">
        <w:rPr>
          <w:rStyle w:val="CharPartNo"/>
        </w:rPr>
        <w:t>4</w:t>
      </w:r>
      <w:r w:rsidRPr="003F43B0">
        <w:t>—</w:t>
      </w:r>
      <w:r w:rsidRPr="003F43B0">
        <w:rPr>
          <w:rStyle w:val="CharPartText"/>
        </w:rPr>
        <w:t>Computer parts and peripherals</w:t>
      </w:r>
      <w:bookmarkEnd w:id="29"/>
    </w:p>
    <w:p w:rsidR="00C735AF" w:rsidRPr="003F43B0" w:rsidRDefault="00FF73FD" w:rsidP="00C735AF">
      <w:pPr>
        <w:pStyle w:val="ItemHead"/>
        <w:rPr>
          <w:rFonts w:cs="Arial"/>
        </w:rPr>
      </w:pPr>
      <w:r w:rsidRPr="003F43B0">
        <w:rPr>
          <w:rFonts w:cs="Arial"/>
          <w:noProof/>
        </w:rPr>
        <w:t>61</w:t>
      </w:r>
      <w:r w:rsidR="00C735AF" w:rsidRPr="003F43B0">
        <w:rPr>
          <w:rFonts w:cs="Arial"/>
        </w:rPr>
        <w:t xml:space="preserve">  </w:t>
      </w:r>
      <w:r w:rsidR="0079311B" w:rsidRPr="003F43B0">
        <w:rPr>
          <w:rFonts w:cs="Arial"/>
        </w:rPr>
        <w:t>Division</w:t>
      </w:r>
      <w:r w:rsidR="003F43B0" w:rsidRPr="003F43B0">
        <w:rPr>
          <w:rFonts w:cs="Arial"/>
        </w:rPr>
        <w:t> </w:t>
      </w:r>
      <w:r w:rsidR="0079311B" w:rsidRPr="003F43B0">
        <w:rPr>
          <w:rFonts w:cs="Arial"/>
        </w:rPr>
        <w:t>3 of Part</w:t>
      </w:r>
      <w:r w:rsidR="003F43B0" w:rsidRPr="003F43B0">
        <w:rPr>
          <w:rFonts w:cs="Arial"/>
        </w:rPr>
        <w:t> </w:t>
      </w:r>
      <w:r w:rsidR="0079311B" w:rsidRPr="003F43B0">
        <w:rPr>
          <w:rFonts w:cs="Arial"/>
        </w:rPr>
        <w:t>2 of Schedule</w:t>
      </w:r>
      <w:r w:rsidR="003F43B0" w:rsidRPr="003F43B0">
        <w:rPr>
          <w:rFonts w:cs="Arial"/>
        </w:rPr>
        <w:t> </w:t>
      </w:r>
      <w:r w:rsidR="0079311B" w:rsidRPr="003F43B0">
        <w:rPr>
          <w:rFonts w:cs="Arial"/>
        </w:rPr>
        <w:t>1 (table</w:t>
      </w:r>
      <w:r w:rsidR="00C735AF" w:rsidRPr="003F43B0">
        <w:rPr>
          <w:rFonts w:cs="Arial"/>
        </w:rPr>
        <w:t xml:space="preserve"> item</w:t>
      </w:r>
      <w:r w:rsidR="003F43B0" w:rsidRPr="003F43B0">
        <w:rPr>
          <w:rFonts w:cs="Arial"/>
        </w:rPr>
        <w:t> </w:t>
      </w:r>
      <w:r w:rsidR="00C735AF" w:rsidRPr="003F43B0">
        <w:rPr>
          <w:rFonts w:cs="Arial"/>
        </w:rPr>
        <w:t>6.2</w:t>
      </w:r>
      <w:r w:rsidR="0079311B" w:rsidRPr="003F43B0">
        <w:rPr>
          <w:rFonts w:cs="Arial"/>
        </w:rPr>
        <w:t>)</w:t>
      </w:r>
    </w:p>
    <w:p w:rsidR="00C735AF" w:rsidRPr="003F43B0" w:rsidRDefault="00C735AF" w:rsidP="00C735AF">
      <w:pPr>
        <w:pStyle w:val="Item"/>
      </w:pPr>
      <w:r w:rsidRPr="003F43B0">
        <w:t>Omit “6.1”, substitute “4.1”.</w:t>
      </w:r>
    </w:p>
    <w:p w:rsidR="00C735AF" w:rsidRPr="003F43B0" w:rsidRDefault="00FF73FD" w:rsidP="00C735AF">
      <w:pPr>
        <w:pStyle w:val="ItemHead"/>
        <w:rPr>
          <w:rFonts w:cs="Arial"/>
        </w:rPr>
      </w:pPr>
      <w:r w:rsidRPr="003F43B0">
        <w:rPr>
          <w:rFonts w:cs="Arial"/>
          <w:noProof/>
        </w:rPr>
        <w:t>62</w:t>
      </w:r>
      <w:r w:rsidR="00C735AF" w:rsidRPr="003F43B0">
        <w:rPr>
          <w:rFonts w:cs="Arial"/>
        </w:rPr>
        <w:t xml:space="preserve">  Schedule</w:t>
      </w:r>
      <w:r w:rsidR="003F43B0" w:rsidRPr="003F43B0">
        <w:rPr>
          <w:rFonts w:cs="Arial"/>
        </w:rPr>
        <w:t> </w:t>
      </w:r>
      <w:r w:rsidR="00C735AF" w:rsidRPr="003F43B0">
        <w:rPr>
          <w:rFonts w:cs="Arial"/>
        </w:rPr>
        <w:t>1A (heading)</w:t>
      </w:r>
    </w:p>
    <w:p w:rsidR="00C735AF" w:rsidRPr="003F43B0" w:rsidRDefault="00C735AF" w:rsidP="00C735AF">
      <w:pPr>
        <w:pStyle w:val="Item"/>
      </w:pPr>
      <w:r w:rsidRPr="003F43B0">
        <w:t>Repeal the heading, substitute:</w:t>
      </w:r>
    </w:p>
    <w:p w:rsidR="00C735AF" w:rsidRPr="003F43B0" w:rsidRDefault="00C735AF" w:rsidP="00C735AF">
      <w:pPr>
        <w:pStyle w:val="ActHead1"/>
      </w:pPr>
      <w:bookmarkStart w:id="30" w:name="_Toc358878548"/>
      <w:r w:rsidRPr="003F43B0">
        <w:rPr>
          <w:rStyle w:val="CharChapNo"/>
        </w:rPr>
        <w:t>Schedule</w:t>
      </w:r>
      <w:r w:rsidR="003F43B0" w:rsidRPr="003F43B0">
        <w:rPr>
          <w:rStyle w:val="CharChapNo"/>
        </w:rPr>
        <w:t> </w:t>
      </w:r>
      <w:r w:rsidRPr="003F43B0">
        <w:rPr>
          <w:rStyle w:val="CharChapNo"/>
        </w:rPr>
        <w:t>1A</w:t>
      </w:r>
      <w:r w:rsidRPr="003F43B0">
        <w:t>—</w:t>
      </w:r>
      <w:r w:rsidR="00D51665" w:rsidRPr="003F43B0">
        <w:rPr>
          <w:rStyle w:val="CharChapText"/>
        </w:rPr>
        <w:t>T</w:t>
      </w:r>
      <w:r w:rsidR="00347012" w:rsidRPr="003F43B0">
        <w:rPr>
          <w:rStyle w:val="CharChapText"/>
        </w:rPr>
        <w:t xml:space="preserve">elevision or computer </w:t>
      </w:r>
      <w:r w:rsidR="00563D72" w:rsidRPr="003F43B0">
        <w:rPr>
          <w:rStyle w:val="CharChapText"/>
        </w:rPr>
        <w:t>product</w:t>
      </w:r>
      <w:r w:rsidRPr="003F43B0">
        <w:rPr>
          <w:rStyle w:val="CharChapText"/>
        </w:rPr>
        <w:t>s, product codes and conversion factors from 1</w:t>
      </w:r>
      <w:r w:rsidR="003F43B0" w:rsidRPr="003F43B0">
        <w:rPr>
          <w:rStyle w:val="CharChapText"/>
        </w:rPr>
        <w:t> </w:t>
      </w:r>
      <w:r w:rsidRPr="003F43B0">
        <w:rPr>
          <w:rStyle w:val="CharChapText"/>
        </w:rPr>
        <w:t>January 2012 to 30</w:t>
      </w:r>
      <w:r w:rsidR="003F43B0" w:rsidRPr="003F43B0">
        <w:rPr>
          <w:rStyle w:val="CharChapText"/>
        </w:rPr>
        <w:t> </w:t>
      </w:r>
      <w:r w:rsidRPr="003F43B0">
        <w:rPr>
          <w:rStyle w:val="CharChapText"/>
        </w:rPr>
        <w:t>June 2012</w:t>
      </w:r>
      <w:bookmarkEnd w:id="30"/>
    </w:p>
    <w:p w:rsidR="00C735AF" w:rsidRPr="003F43B0" w:rsidRDefault="00C735AF" w:rsidP="00C735AF">
      <w:pPr>
        <w:pStyle w:val="notemargin"/>
      </w:pPr>
      <w:bookmarkStart w:id="31" w:name="f_Check_Lines_below"/>
      <w:bookmarkEnd w:id="31"/>
      <w:r w:rsidRPr="003F43B0">
        <w:t>Note:</w:t>
      </w:r>
      <w:r w:rsidRPr="003F43B0">
        <w:tab/>
        <w:t>See regulations</w:t>
      </w:r>
      <w:r w:rsidR="003F43B0" w:rsidRPr="003F43B0">
        <w:t> </w:t>
      </w:r>
      <w:r w:rsidRPr="003F43B0">
        <w:t>1.03 and 1.04.</w:t>
      </w:r>
    </w:p>
    <w:p w:rsidR="00C735AF" w:rsidRPr="003F43B0" w:rsidRDefault="00FF73FD" w:rsidP="00C735AF">
      <w:pPr>
        <w:pStyle w:val="ItemHead"/>
        <w:rPr>
          <w:rFonts w:cs="Arial"/>
        </w:rPr>
      </w:pPr>
      <w:r w:rsidRPr="003F43B0">
        <w:rPr>
          <w:rFonts w:cs="Arial"/>
          <w:noProof/>
        </w:rPr>
        <w:t>63</w:t>
      </w:r>
      <w:r w:rsidR="00C735AF" w:rsidRPr="003F43B0">
        <w:rPr>
          <w:rFonts w:cs="Arial"/>
        </w:rPr>
        <w:t xml:space="preserve">  </w:t>
      </w:r>
      <w:r w:rsidR="00322802" w:rsidRPr="003F43B0">
        <w:rPr>
          <w:rFonts w:cs="Arial"/>
        </w:rPr>
        <w:t>Part</w:t>
      </w:r>
      <w:r w:rsidR="003F43B0" w:rsidRPr="003F43B0">
        <w:rPr>
          <w:rFonts w:cs="Arial"/>
        </w:rPr>
        <w:t> </w:t>
      </w:r>
      <w:r w:rsidR="00322802" w:rsidRPr="003F43B0">
        <w:rPr>
          <w:rFonts w:cs="Arial"/>
        </w:rPr>
        <w:t xml:space="preserve">2 of </w:t>
      </w:r>
      <w:r w:rsidR="00C735AF" w:rsidRPr="003F43B0">
        <w:rPr>
          <w:rFonts w:cs="Arial"/>
        </w:rPr>
        <w:t>Schedule</w:t>
      </w:r>
      <w:r w:rsidR="003F43B0" w:rsidRPr="003F43B0">
        <w:rPr>
          <w:rFonts w:cs="Arial"/>
        </w:rPr>
        <w:t> </w:t>
      </w:r>
      <w:r w:rsidR="00C735AF" w:rsidRPr="003F43B0">
        <w:rPr>
          <w:rFonts w:cs="Arial"/>
        </w:rPr>
        <w:t>1A (heading)</w:t>
      </w:r>
    </w:p>
    <w:p w:rsidR="00C735AF" w:rsidRPr="003F43B0" w:rsidRDefault="00C735AF" w:rsidP="00C735AF">
      <w:pPr>
        <w:pStyle w:val="Item"/>
      </w:pPr>
      <w:r w:rsidRPr="003F43B0">
        <w:t>Repeal the heading, substitute:</w:t>
      </w:r>
    </w:p>
    <w:p w:rsidR="00C735AF" w:rsidRPr="003F43B0" w:rsidRDefault="00C735AF" w:rsidP="00C735AF">
      <w:pPr>
        <w:pStyle w:val="ActHead2"/>
      </w:pPr>
      <w:bookmarkStart w:id="32" w:name="_Toc358878549"/>
      <w:r w:rsidRPr="003F43B0">
        <w:rPr>
          <w:rStyle w:val="CharPartNo"/>
        </w:rPr>
        <w:t>Part</w:t>
      </w:r>
      <w:r w:rsidR="003F43B0" w:rsidRPr="003F43B0">
        <w:rPr>
          <w:rStyle w:val="CharPartNo"/>
        </w:rPr>
        <w:t> </w:t>
      </w:r>
      <w:r w:rsidRPr="003F43B0">
        <w:rPr>
          <w:rStyle w:val="CharPartNo"/>
        </w:rPr>
        <w:t>2</w:t>
      </w:r>
      <w:r w:rsidRPr="003F43B0">
        <w:t>—</w:t>
      </w:r>
      <w:r w:rsidRPr="003F43B0">
        <w:rPr>
          <w:rStyle w:val="CharPartText"/>
        </w:rPr>
        <w:t>Computers</w:t>
      </w:r>
      <w:bookmarkEnd w:id="32"/>
    </w:p>
    <w:p w:rsidR="00C735AF" w:rsidRPr="003F43B0" w:rsidRDefault="00FF73FD" w:rsidP="00C735AF">
      <w:pPr>
        <w:pStyle w:val="ItemHead"/>
        <w:rPr>
          <w:rFonts w:cs="Arial"/>
        </w:rPr>
      </w:pPr>
      <w:r w:rsidRPr="003F43B0">
        <w:rPr>
          <w:rFonts w:cs="Arial"/>
          <w:noProof/>
        </w:rPr>
        <w:t>64</w:t>
      </w:r>
      <w:r w:rsidR="00C735AF" w:rsidRPr="003F43B0">
        <w:rPr>
          <w:rFonts w:cs="Arial"/>
          <w:noProof/>
        </w:rPr>
        <w:t xml:space="preserve">  </w:t>
      </w:r>
      <w:r w:rsidR="00322802" w:rsidRPr="003F43B0">
        <w:rPr>
          <w:rFonts w:cs="Arial"/>
          <w:noProof/>
        </w:rPr>
        <w:t>Division</w:t>
      </w:r>
      <w:r w:rsidR="003F43B0" w:rsidRPr="003F43B0">
        <w:rPr>
          <w:rFonts w:cs="Arial"/>
          <w:noProof/>
        </w:rPr>
        <w:t> </w:t>
      </w:r>
      <w:r w:rsidR="00322802" w:rsidRPr="003F43B0">
        <w:rPr>
          <w:rFonts w:cs="Arial"/>
          <w:noProof/>
        </w:rPr>
        <w:t>1 of Part</w:t>
      </w:r>
      <w:r w:rsidR="003F43B0" w:rsidRPr="003F43B0">
        <w:rPr>
          <w:rFonts w:cs="Arial"/>
          <w:noProof/>
        </w:rPr>
        <w:t> </w:t>
      </w:r>
      <w:r w:rsidR="00322802" w:rsidRPr="003F43B0">
        <w:rPr>
          <w:rFonts w:cs="Arial"/>
          <w:noProof/>
        </w:rPr>
        <w:t xml:space="preserve">2 of </w:t>
      </w:r>
      <w:r w:rsidR="00C735AF" w:rsidRPr="003F43B0">
        <w:rPr>
          <w:rFonts w:cs="Arial"/>
        </w:rPr>
        <w:t>Schedule</w:t>
      </w:r>
      <w:r w:rsidR="003F43B0" w:rsidRPr="003F43B0">
        <w:rPr>
          <w:rFonts w:cs="Arial"/>
        </w:rPr>
        <w:t> </w:t>
      </w:r>
      <w:r w:rsidR="00322802" w:rsidRPr="003F43B0">
        <w:rPr>
          <w:rFonts w:cs="Arial"/>
        </w:rPr>
        <w:t>1A</w:t>
      </w:r>
      <w:r w:rsidR="00C735AF" w:rsidRPr="003F43B0">
        <w:rPr>
          <w:rFonts w:cs="Arial"/>
        </w:rPr>
        <w:t xml:space="preserve"> (heading)</w:t>
      </w:r>
    </w:p>
    <w:p w:rsidR="00C735AF" w:rsidRPr="003F43B0" w:rsidRDefault="00C735AF" w:rsidP="00C735AF">
      <w:pPr>
        <w:pStyle w:val="Item"/>
      </w:pPr>
      <w:r w:rsidRPr="003F43B0">
        <w:t>Repeal the heading.</w:t>
      </w:r>
    </w:p>
    <w:p w:rsidR="00C735AF" w:rsidRPr="003F43B0" w:rsidRDefault="00FF73FD" w:rsidP="00C735AF">
      <w:pPr>
        <w:pStyle w:val="ItemHead"/>
        <w:rPr>
          <w:rFonts w:cs="Arial"/>
          <w:noProof/>
        </w:rPr>
      </w:pPr>
      <w:r w:rsidRPr="003F43B0">
        <w:rPr>
          <w:rFonts w:cs="Arial"/>
          <w:noProof/>
        </w:rPr>
        <w:t>65</w:t>
      </w:r>
      <w:r w:rsidR="00C735AF" w:rsidRPr="003F43B0">
        <w:rPr>
          <w:rFonts w:cs="Arial"/>
          <w:noProof/>
        </w:rPr>
        <w:t xml:space="preserve">  </w:t>
      </w:r>
      <w:r w:rsidR="00322802" w:rsidRPr="003F43B0">
        <w:rPr>
          <w:rFonts w:cs="Arial"/>
          <w:noProof/>
        </w:rPr>
        <w:t>Division</w:t>
      </w:r>
      <w:r w:rsidR="003F43B0" w:rsidRPr="003F43B0">
        <w:rPr>
          <w:rFonts w:cs="Arial"/>
          <w:noProof/>
        </w:rPr>
        <w:t> </w:t>
      </w:r>
      <w:r w:rsidR="00322802" w:rsidRPr="003F43B0">
        <w:rPr>
          <w:rFonts w:cs="Arial"/>
          <w:noProof/>
        </w:rPr>
        <w:t>2 of Part</w:t>
      </w:r>
      <w:r w:rsidR="003F43B0" w:rsidRPr="003F43B0">
        <w:rPr>
          <w:rFonts w:cs="Arial"/>
          <w:noProof/>
        </w:rPr>
        <w:t> </w:t>
      </w:r>
      <w:r w:rsidR="00322802" w:rsidRPr="003F43B0">
        <w:rPr>
          <w:rFonts w:cs="Arial"/>
          <w:noProof/>
        </w:rPr>
        <w:t>2 of Schedule</w:t>
      </w:r>
      <w:r w:rsidR="003F43B0" w:rsidRPr="003F43B0">
        <w:rPr>
          <w:rFonts w:cs="Arial"/>
          <w:noProof/>
        </w:rPr>
        <w:t> </w:t>
      </w:r>
      <w:r w:rsidR="00322802" w:rsidRPr="003F43B0">
        <w:rPr>
          <w:rFonts w:cs="Arial"/>
          <w:noProof/>
        </w:rPr>
        <w:t>1A</w:t>
      </w:r>
      <w:r w:rsidR="00C735AF" w:rsidRPr="003F43B0">
        <w:rPr>
          <w:rFonts w:cs="Arial"/>
          <w:noProof/>
        </w:rPr>
        <w:t xml:space="preserve"> (heading)</w:t>
      </w:r>
    </w:p>
    <w:p w:rsidR="00C735AF" w:rsidRPr="003F43B0" w:rsidRDefault="00C735AF" w:rsidP="00C735AF">
      <w:pPr>
        <w:pStyle w:val="Item"/>
      </w:pPr>
      <w:r w:rsidRPr="003F43B0">
        <w:t>Repeal the heading, substitute:</w:t>
      </w:r>
    </w:p>
    <w:p w:rsidR="00C735AF" w:rsidRPr="003F43B0" w:rsidRDefault="00C735AF" w:rsidP="00C735AF">
      <w:pPr>
        <w:pStyle w:val="ActHead2"/>
      </w:pPr>
      <w:bookmarkStart w:id="33" w:name="_Toc358878550"/>
      <w:r w:rsidRPr="003F43B0">
        <w:rPr>
          <w:rStyle w:val="CharPartNo"/>
        </w:rPr>
        <w:t>Part</w:t>
      </w:r>
      <w:r w:rsidR="003F43B0" w:rsidRPr="003F43B0">
        <w:rPr>
          <w:rStyle w:val="CharPartNo"/>
        </w:rPr>
        <w:t> </w:t>
      </w:r>
      <w:r w:rsidRPr="003F43B0">
        <w:rPr>
          <w:rStyle w:val="CharPartNo"/>
        </w:rPr>
        <w:t>3</w:t>
      </w:r>
      <w:r w:rsidRPr="003F43B0">
        <w:t>—</w:t>
      </w:r>
      <w:r w:rsidRPr="003F43B0">
        <w:rPr>
          <w:rStyle w:val="CharPartText"/>
        </w:rPr>
        <w:t>Printers</w:t>
      </w:r>
      <w:bookmarkEnd w:id="33"/>
    </w:p>
    <w:p w:rsidR="00C735AF" w:rsidRPr="003F43B0" w:rsidRDefault="00FF73FD" w:rsidP="00C735AF">
      <w:pPr>
        <w:pStyle w:val="ItemHead"/>
        <w:rPr>
          <w:rFonts w:cs="Arial"/>
        </w:rPr>
      </w:pPr>
      <w:r w:rsidRPr="003F43B0">
        <w:rPr>
          <w:rFonts w:cs="Arial"/>
          <w:noProof/>
        </w:rPr>
        <w:t>66</w:t>
      </w:r>
      <w:r w:rsidR="00C735AF" w:rsidRPr="003F43B0">
        <w:rPr>
          <w:rFonts w:cs="Arial"/>
        </w:rPr>
        <w:t xml:space="preserve">  </w:t>
      </w:r>
      <w:r w:rsidR="00322802" w:rsidRPr="003F43B0">
        <w:rPr>
          <w:rFonts w:cs="Arial"/>
        </w:rPr>
        <w:t>Division</w:t>
      </w:r>
      <w:r w:rsidR="003F43B0" w:rsidRPr="003F43B0">
        <w:rPr>
          <w:rFonts w:cs="Arial"/>
        </w:rPr>
        <w:t> </w:t>
      </w:r>
      <w:r w:rsidR="00322802" w:rsidRPr="003F43B0">
        <w:rPr>
          <w:rFonts w:cs="Arial"/>
        </w:rPr>
        <w:t>3 of Part</w:t>
      </w:r>
      <w:r w:rsidR="003F43B0" w:rsidRPr="003F43B0">
        <w:rPr>
          <w:rFonts w:cs="Arial"/>
        </w:rPr>
        <w:t> </w:t>
      </w:r>
      <w:r w:rsidR="00322802" w:rsidRPr="003F43B0">
        <w:rPr>
          <w:rFonts w:cs="Arial"/>
        </w:rPr>
        <w:t>2 of Schedule</w:t>
      </w:r>
      <w:r w:rsidR="003F43B0" w:rsidRPr="003F43B0">
        <w:rPr>
          <w:rFonts w:cs="Arial"/>
        </w:rPr>
        <w:t> </w:t>
      </w:r>
      <w:r w:rsidR="00322802" w:rsidRPr="003F43B0">
        <w:rPr>
          <w:rFonts w:cs="Arial"/>
        </w:rPr>
        <w:t>1A</w:t>
      </w:r>
      <w:r w:rsidR="00C735AF" w:rsidRPr="003F43B0">
        <w:rPr>
          <w:rFonts w:cs="Arial"/>
        </w:rPr>
        <w:t xml:space="preserve"> (heading)</w:t>
      </w:r>
    </w:p>
    <w:p w:rsidR="00C735AF" w:rsidRPr="003F43B0" w:rsidRDefault="00C735AF" w:rsidP="00C735AF">
      <w:pPr>
        <w:pStyle w:val="Item"/>
      </w:pPr>
      <w:r w:rsidRPr="003F43B0">
        <w:t>Repeal the heading, substitute:</w:t>
      </w:r>
    </w:p>
    <w:p w:rsidR="00C735AF" w:rsidRPr="003F43B0" w:rsidRDefault="00C735AF" w:rsidP="00C735AF">
      <w:pPr>
        <w:pStyle w:val="ActHead2"/>
      </w:pPr>
      <w:bookmarkStart w:id="34" w:name="f_Check_Lines_above"/>
      <w:bookmarkStart w:id="35" w:name="_Toc358878551"/>
      <w:bookmarkEnd w:id="34"/>
      <w:r w:rsidRPr="003F43B0">
        <w:rPr>
          <w:rStyle w:val="CharPartNo"/>
        </w:rPr>
        <w:lastRenderedPageBreak/>
        <w:t>Part</w:t>
      </w:r>
      <w:r w:rsidR="003F43B0" w:rsidRPr="003F43B0">
        <w:rPr>
          <w:rStyle w:val="CharPartNo"/>
        </w:rPr>
        <w:t> </w:t>
      </w:r>
      <w:r w:rsidRPr="003F43B0">
        <w:rPr>
          <w:rStyle w:val="CharPartNo"/>
        </w:rPr>
        <w:t>4</w:t>
      </w:r>
      <w:r w:rsidRPr="003F43B0">
        <w:t>—</w:t>
      </w:r>
      <w:r w:rsidRPr="003F43B0">
        <w:rPr>
          <w:rStyle w:val="CharPartText"/>
        </w:rPr>
        <w:t>Computer parts and peripherals</w:t>
      </w:r>
      <w:bookmarkEnd w:id="35"/>
    </w:p>
    <w:p w:rsidR="00C735AF" w:rsidRPr="003F43B0" w:rsidRDefault="00FF73FD" w:rsidP="00C735AF">
      <w:pPr>
        <w:pStyle w:val="ItemHead"/>
        <w:rPr>
          <w:rFonts w:cs="Arial"/>
          <w:noProof/>
        </w:rPr>
      </w:pPr>
      <w:r w:rsidRPr="003F43B0">
        <w:rPr>
          <w:rFonts w:cs="Arial"/>
          <w:noProof/>
        </w:rPr>
        <w:t>67</w:t>
      </w:r>
      <w:r w:rsidR="00C735AF" w:rsidRPr="003F43B0">
        <w:rPr>
          <w:rFonts w:cs="Arial"/>
          <w:noProof/>
        </w:rPr>
        <w:t xml:space="preserve">  </w:t>
      </w:r>
      <w:r w:rsidR="00322802" w:rsidRPr="003F43B0">
        <w:rPr>
          <w:rFonts w:cs="Arial"/>
          <w:noProof/>
        </w:rPr>
        <w:t>Division</w:t>
      </w:r>
      <w:r w:rsidR="003F43B0" w:rsidRPr="003F43B0">
        <w:rPr>
          <w:rFonts w:cs="Arial"/>
          <w:noProof/>
        </w:rPr>
        <w:t> </w:t>
      </w:r>
      <w:r w:rsidR="00322802" w:rsidRPr="003F43B0">
        <w:rPr>
          <w:rFonts w:cs="Arial"/>
          <w:noProof/>
        </w:rPr>
        <w:t>3 of Part</w:t>
      </w:r>
      <w:r w:rsidR="003F43B0" w:rsidRPr="003F43B0">
        <w:rPr>
          <w:rFonts w:cs="Arial"/>
          <w:noProof/>
        </w:rPr>
        <w:t> </w:t>
      </w:r>
      <w:r w:rsidR="00322802" w:rsidRPr="003F43B0">
        <w:rPr>
          <w:rFonts w:cs="Arial"/>
          <w:noProof/>
        </w:rPr>
        <w:t>2 of Schedule</w:t>
      </w:r>
      <w:r w:rsidR="003F43B0" w:rsidRPr="003F43B0">
        <w:rPr>
          <w:rFonts w:cs="Arial"/>
          <w:noProof/>
        </w:rPr>
        <w:t> </w:t>
      </w:r>
      <w:r w:rsidR="00322802" w:rsidRPr="003F43B0">
        <w:rPr>
          <w:rFonts w:cs="Arial"/>
          <w:noProof/>
        </w:rPr>
        <w:t>1A</w:t>
      </w:r>
      <w:r w:rsidR="00C735AF" w:rsidRPr="003F43B0">
        <w:rPr>
          <w:rFonts w:cs="Arial"/>
          <w:noProof/>
        </w:rPr>
        <w:t xml:space="preserve"> </w:t>
      </w:r>
      <w:r w:rsidR="00322802" w:rsidRPr="003F43B0">
        <w:rPr>
          <w:rFonts w:cs="Arial"/>
          <w:noProof/>
        </w:rPr>
        <w:t xml:space="preserve">(table </w:t>
      </w:r>
      <w:r w:rsidR="00C735AF" w:rsidRPr="003F43B0">
        <w:rPr>
          <w:rFonts w:cs="Arial"/>
          <w:noProof/>
        </w:rPr>
        <w:t>item</w:t>
      </w:r>
      <w:r w:rsidR="003F43B0" w:rsidRPr="003F43B0">
        <w:rPr>
          <w:rFonts w:cs="Arial"/>
          <w:noProof/>
        </w:rPr>
        <w:t> </w:t>
      </w:r>
      <w:r w:rsidR="00C735AF" w:rsidRPr="003F43B0">
        <w:rPr>
          <w:rFonts w:cs="Arial"/>
          <w:noProof/>
        </w:rPr>
        <w:t>6.2</w:t>
      </w:r>
      <w:r w:rsidR="00322802" w:rsidRPr="003F43B0">
        <w:rPr>
          <w:rFonts w:cs="Arial"/>
          <w:noProof/>
        </w:rPr>
        <w:t>)</w:t>
      </w:r>
    </w:p>
    <w:p w:rsidR="00C735AF" w:rsidRPr="003F43B0" w:rsidRDefault="00C735AF" w:rsidP="00C735AF">
      <w:pPr>
        <w:pStyle w:val="Item"/>
      </w:pPr>
      <w:r w:rsidRPr="003F43B0">
        <w:t>Omit “6.1”, substitute “4.1”.</w:t>
      </w:r>
    </w:p>
    <w:p w:rsidR="00C735AF" w:rsidRPr="003F43B0" w:rsidRDefault="00FF73FD" w:rsidP="00C735AF">
      <w:pPr>
        <w:pStyle w:val="ItemHead"/>
        <w:rPr>
          <w:rFonts w:cs="Arial"/>
        </w:rPr>
      </w:pPr>
      <w:r w:rsidRPr="003F43B0">
        <w:rPr>
          <w:rFonts w:cs="Arial"/>
          <w:noProof/>
        </w:rPr>
        <w:t>68</w:t>
      </w:r>
      <w:r w:rsidR="00C735AF" w:rsidRPr="003F43B0">
        <w:rPr>
          <w:rFonts w:cs="Arial"/>
        </w:rPr>
        <w:t xml:space="preserve">  After Schedule</w:t>
      </w:r>
      <w:r w:rsidR="003F43B0" w:rsidRPr="003F43B0">
        <w:rPr>
          <w:rFonts w:cs="Arial"/>
        </w:rPr>
        <w:t> </w:t>
      </w:r>
      <w:r w:rsidR="00C735AF" w:rsidRPr="003F43B0">
        <w:rPr>
          <w:rFonts w:cs="Arial"/>
        </w:rPr>
        <w:t>1A</w:t>
      </w:r>
    </w:p>
    <w:p w:rsidR="00C735AF" w:rsidRPr="003F43B0" w:rsidRDefault="00C735AF" w:rsidP="00C735AF">
      <w:pPr>
        <w:pStyle w:val="Item"/>
      </w:pPr>
      <w:r w:rsidRPr="003F43B0">
        <w:t>Insert:</w:t>
      </w:r>
    </w:p>
    <w:p w:rsidR="00C735AF" w:rsidRPr="003F43B0" w:rsidRDefault="00C735AF" w:rsidP="00C735AF">
      <w:pPr>
        <w:pStyle w:val="ActHead1"/>
      </w:pPr>
      <w:bookmarkStart w:id="36" w:name="_Toc358878552"/>
      <w:r w:rsidRPr="003F43B0">
        <w:rPr>
          <w:rStyle w:val="CharChapNo"/>
        </w:rPr>
        <w:t>Schedule</w:t>
      </w:r>
      <w:r w:rsidR="003F43B0" w:rsidRPr="003F43B0">
        <w:rPr>
          <w:rStyle w:val="CharChapNo"/>
        </w:rPr>
        <w:t> </w:t>
      </w:r>
      <w:r w:rsidRPr="003F43B0">
        <w:rPr>
          <w:rStyle w:val="CharChapNo"/>
        </w:rPr>
        <w:t>1B</w:t>
      </w:r>
      <w:r w:rsidRPr="003F43B0">
        <w:t>—</w:t>
      </w:r>
      <w:r w:rsidR="00D51665" w:rsidRPr="003F43B0">
        <w:rPr>
          <w:rStyle w:val="CharChapText"/>
        </w:rPr>
        <w:t>T</w:t>
      </w:r>
      <w:r w:rsidR="00347012" w:rsidRPr="003F43B0">
        <w:rPr>
          <w:rStyle w:val="CharChapText"/>
        </w:rPr>
        <w:t xml:space="preserve">elevision or computer </w:t>
      </w:r>
      <w:r w:rsidR="00563D72" w:rsidRPr="003F43B0">
        <w:rPr>
          <w:rStyle w:val="CharChapText"/>
        </w:rPr>
        <w:t>product</w:t>
      </w:r>
      <w:r w:rsidRPr="003F43B0">
        <w:rPr>
          <w:rStyle w:val="CharChapText"/>
        </w:rPr>
        <w:t>s, product codes and conversion factors from 1</w:t>
      </w:r>
      <w:r w:rsidR="003F43B0" w:rsidRPr="003F43B0">
        <w:rPr>
          <w:rStyle w:val="CharChapText"/>
        </w:rPr>
        <w:t> </w:t>
      </w:r>
      <w:r w:rsidRPr="003F43B0">
        <w:rPr>
          <w:rStyle w:val="CharChapText"/>
        </w:rPr>
        <w:t>July 2012</w:t>
      </w:r>
      <w:bookmarkEnd w:id="36"/>
    </w:p>
    <w:p w:rsidR="00C735AF" w:rsidRPr="003F43B0" w:rsidRDefault="00C735AF" w:rsidP="00C735AF">
      <w:pPr>
        <w:pStyle w:val="notemargin"/>
      </w:pPr>
      <w:r w:rsidRPr="003F43B0">
        <w:t>Note:</w:t>
      </w:r>
      <w:r w:rsidRPr="003F43B0">
        <w:tab/>
        <w:t>See regulations</w:t>
      </w:r>
      <w:r w:rsidR="003F43B0" w:rsidRPr="003F43B0">
        <w:t> </w:t>
      </w:r>
      <w:r w:rsidRPr="003F43B0">
        <w:t>1.03 and 1.04.</w:t>
      </w:r>
    </w:p>
    <w:p w:rsidR="00C735AF" w:rsidRPr="003F43B0" w:rsidRDefault="00C735AF" w:rsidP="00C735AF">
      <w:pPr>
        <w:pStyle w:val="ActHead2"/>
      </w:pPr>
      <w:bookmarkStart w:id="37" w:name="_Toc358878553"/>
      <w:r w:rsidRPr="003F43B0">
        <w:rPr>
          <w:rStyle w:val="CharPartNo"/>
        </w:rPr>
        <w:t>Part</w:t>
      </w:r>
      <w:r w:rsidR="003F43B0" w:rsidRPr="003F43B0">
        <w:rPr>
          <w:rStyle w:val="CharPartNo"/>
        </w:rPr>
        <w:t> </w:t>
      </w:r>
      <w:r w:rsidRPr="003F43B0">
        <w:rPr>
          <w:rStyle w:val="CharPartNo"/>
        </w:rPr>
        <w:t>1</w:t>
      </w:r>
      <w:r w:rsidRPr="003F43B0">
        <w:t>—</w:t>
      </w:r>
      <w:r w:rsidRPr="003F43B0">
        <w:rPr>
          <w:rStyle w:val="CharPartText"/>
        </w:rPr>
        <w:t>Televisions</w:t>
      </w:r>
      <w:bookmarkEnd w:id="37"/>
    </w:p>
    <w:p w:rsidR="00C735AF" w:rsidRPr="003F43B0" w:rsidRDefault="00C735AF" w:rsidP="00C735AF">
      <w:pPr>
        <w:pStyle w:val="ActHead3"/>
      </w:pPr>
      <w:bookmarkStart w:id="38" w:name="_Toc358878554"/>
      <w:r w:rsidRPr="003F43B0">
        <w:rPr>
          <w:rStyle w:val="CharDivNo"/>
        </w:rPr>
        <w:t>Division</w:t>
      </w:r>
      <w:r w:rsidR="003F43B0" w:rsidRPr="003F43B0">
        <w:rPr>
          <w:rStyle w:val="CharDivNo"/>
        </w:rPr>
        <w:t> </w:t>
      </w:r>
      <w:r w:rsidRPr="003F43B0">
        <w:rPr>
          <w:rStyle w:val="CharDivNo"/>
        </w:rPr>
        <w:t>1</w:t>
      </w:r>
      <w:r w:rsidRPr="003F43B0">
        <w:t>—</w:t>
      </w:r>
      <w:r w:rsidRPr="003F43B0">
        <w:rPr>
          <w:rStyle w:val="CharDivText"/>
        </w:rPr>
        <w:t>Colour</w:t>
      </w:r>
      <w:bookmarkEnd w:id="38"/>
    </w:p>
    <w:p w:rsidR="00CC55A9" w:rsidRPr="003F43B0" w:rsidRDefault="00CC55A9" w:rsidP="00CC55A9">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69"/>
        <w:gridCol w:w="3545"/>
        <w:gridCol w:w="1526"/>
        <w:gridCol w:w="1363"/>
      </w:tblGrid>
      <w:tr w:rsidR="00CC55A9" w:rsidRPr="003F43B0" w:rsidTr="00CC55A9">
        <w:trPr>
          <w:tblHeader/>
        </w:trPr>
        <w:tc>
          <w:tcPr>
            <w:tcW w:w="5000" w:type="pct"/>
            <w:gridSpan w:val="4"/>
            <w:tcBorders>
              <w:top w:val="single" w:sz="12" w:space="0" w:color="auto"/>
              <w:bottom w:val="single" w:sz="6" w:space="0" w:color="auto"/>
            </w:tcBorders>
            <w:shd w:val="clear" w:color="auto" w:fill="auto"/>
          </w:tcPr>
          <w:p w:rsidR="00CC55A9" w:rsidRPr="003F43B0" w:rsidRDefault="00CC55A9" w:rsidP="00A41C5D">
            <w:pPr>
              <w:pStyle w:val="TableHeading"/>
            </w:pPr>
            <w:r w:rsidRPr="003F43B0">
              <w:t>Colour televisions—product codes and conversion factors</w:t>
            </w:r>
          </w:p>
        </w:tc>
      </w:tr>
      <w:tr w:rsidR="00DB529A" w:rsidRPr="003F43B0" w:rsidTr="008E1558">
        <w:trPr>
          <w:tblHeader/>
        </w:trPr>
        <w:tc>
          <w:tcPr>
            <w:tcW w:w="595" w:type="pct"/>
            <w:tcBorders>
              <w:top w:val="single" w:sz="6" w:space="0" w:color="auto"/>
              <w:bottom w:val="single" w:sz="12" w:space="0" w:color="auto"/>
            </w:tcBorders>
            <w:shd w:val="clear" w:color="auto" w:fill="auto"/>
            <w:hideMark/>
          </w:tcPr>
          <w:p w:rsidR="00C735AF" w:rsidRPr="003F43B0" w:rsidRDefault="00C735AF" w:rsidP="00A41C5D">
            <w:pPr>
              <w:pStyle w:val="TableHeading"/>
            </w:pPr>
            <w:r w:rsidRPr="003F43B0">
              <w:t>Item</w:t>
            </w:r>
          </w:p>
        </w:tc>
        <w:tc>
          <w:tcPr>
            <w:tcW w:w="2427" w:type="pct"/>
            <w:tcBorders>
              <w:top w:val="single" w:sz="6" w:space="0" w:color="auto"/>
              <w:bottom w:val="single" w:sz="12" w:space="0" w:color="auto"/>
            </w:tcBorders>
            <w:shd w:val="clear" w:color="auto" w:fill="auto"/>
            <w:hideMark/>
          </w:tcPr>
          <w:p w:rsidR="00CC55A9" w:rsidRPr="003F43B0" w:rsidRDefault="00CC55A9" w:rsidP="00A41C5D">
            <w:pPr>
              <w:pStyle w:val="TableHeading"/>
            </w:pPr>
            <w:r w:rsidRPr="003F43B0">
              <w:t>Column 1</w:t>
            </w:r>
          </w:p>
          <w:p w:rsidR="00C735AF" w:rsidRPr="003F43B0" w:rsidRDefault="00C735AF" w:rsidP="00A41C5D">
            <w:pPr>
              <w:pStyle w:val="TableHeading"/>
            </w:pPr>
            <w:r w:rsidRPr="003F43B0">
              <w:t>Description</w:t>
            </w:r>
          </w:p>
        </w:tc>
        <w:tc>
          <w:tcPr>
            <w:tcW w:w="1045" w:type="pct"/>
            <w:tcBorders>
              <w:top w:val="single" w:sz="6" w:space="0" w:color="auto"/>
              <w:bottom w:val="single" w:sz="12" w:space="0" w:color="auto"/>
            </w:tcBorders>
            <w:shd w:val="clear" w:color="auto" w:fill="auto"/>
            <w:hideMark/>
          </w:tcPr>
          <w:p w:rsidR="00CC55A9" w:rsidRPr="003F43B0" w:rsidRDefault="00CC55A9" w:rsidP="00A41C5D">
            <w:pPr>
              <w:pStyle w:val="TableHeading"/>
            </w:pPr>
            <w:r w:rsidRPr="003F43B0">
              <w:t>Column 2</w:t>
            </w:r>
          </w:p>
          <w:p w:rsidR="00C735AF" w:rsidRPr="003F43B0" w:rsidRDefault="00C735AF" w:rsidP="00A41C5D">
            <w:pPr>
              <w:pStyle w:val="TableHeading"/>
            </w:pPr>
            <w:r w:rsidRPr="003F43B0">
              <w:t>Product code</w:t>
            </w:r>
          </w:p>
        </w:tc>
        <w:tc>
          <w:tcPr>
            <w:tcW w:w="933" w:type="pct"/>
            <w:tcBorders>
              <w:top w:val="single" w:sz="6" w:space="0" w:color="auto"/>
              <w:bottom w:val="single" w:sz="12" w:space="0" w:color="auto"/>
            </w:tcBorders>
            <w:shd w:val="clear" w:color="auto" w:fill="auto"/>
          </w:tcPr>
          <w:p w:rsidR="00CC55A9" w:rsidRPr="003F43B0" w:rsidRDefault="00CC55A9" w:rsidP="00A41C5D">
            <w:pPr>
              <w:pStyle w:val="TableHeading"/>
            </w:pPr>
            <w:r w:rsidRPr="003F43B0">
              <w:t>Column 3</w:t>
            </w:r>
          </w:p>
          <w:p w:rsidR="00C735AF" w:rsidRPr="003F43B0" w:rsidRDefault="00C735AF" w:rsidP="00A41C5D">
            <w:pPr>
              <w:pStyle w:val="TableHeading"/>
            </w:pPr>
            <w:r w:rsidRPr="003F43B0">
              <w:t>Conversion factor (kg)</w:t>
            </w:r>
          </w:p>
        </w:tc>
      </w:tr>
      <w:tr w:rsidR="00DB529A" w:rsidRPr="003F43B0" w:rsidTr="008E1558">
        <w:tc>
          <w:tcPr>
            <w:tcW w:w="595" w:type="pct"/>
            <w:tcBorders>
              <w:top w:val="single" w:sz="12" w:space="0" w:color="auto"/>
              <w:bottom w:val="nil"/>
              <w:right w:val="nil"/>
            </w:tcBorders>
            <w:shd w:val="clear" w:color="auto" w:fill="auto"/>
            <w:hideMark/>
          </w:tcPr>
          <w:p w:rsidR="00C735AF" w:rsidRPr="003F43B0" w:rsidRDefault="00C735AF" w:rsidP="003B6178">
            <w:pPr>
              <w:pStyle w:val="Tabletext"/>
            </w:pPr>
            <w:r w:rsidRPr="003F43B0">
              <w:t>1.1</w:t>
            </w:r>
          </w:p>
        </w:tc>
        <w:tc>
          <w:tcPr>
            <w:tcW w:w="2427" w:type="pct"/>
            <w:tcBorders>
              <w:top w:val="single" w:sz="12" w:space="0" w:color="auto"/>
              <w:left w:val="nil"/>
              <w:bottom w:val="nil"/>
              <w:right w:val="nil"/>
            </w:tcBorders>
            <w:shd w:val="clear" w:color="auto" w:fill="auto"/>
            <w:hideMark/>
          </w:tcPr>
          <w:p w:rsidR="00C735AF" w:rsidRPr="003F43B0" w:rsidRDefault="00C735AF" w:rsidP="003B6178">
            <w:pPr>
              <w:pStyle w:val="Tabletext"/>
            </w:pPr>
            <w:r w:rsidRPr="003F43B0">
              <w:t>Plasma:</w:t>
            </w:r>
          </w:p>
        </w:tc>
        <w:tc>
          <w:tcPr>
            <w:tcW w:w="1045" w:type="pct"/>
            <w:tcBorders>
              <w:top w:val="single" w:sz="12" w:space="0" w:color="auto"/>
              <w:left w:val="nil"/>
              <w:bottom w:val="nil"/>
              <w:right w:val="nil"/>
            </w:tcBorders>
            <w:shd w:val="clear" w:color="auto" w:fill="auto"/>
          </w:tcPr>
          <w:p w:rsidR="00C735AF" w:rsidRPr="003F43B0" w:rsidRDefault="00C735AF" w:rsidP="003B6178">
            <w:pPr>
              <w:pStyle w:val="Tabletext"/>
            </w:pPr>
          </w:p>
        </w:tc>
        <w:tc>
          <w:tcPr>
            <w:tcW w:w="933" w:type="pct"/>
            <w:tcBorders>
              <w:top w:val="single" w:sz="12" w:space="0" w:color="auto"/>
              <w:left w:val="nil"/>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595" w:type="pct"/>
            <w:tcBorders>
              <w:top w:val="nil"/>
              <w:bottom w:val="nil"/>
              <w:right w:val="nil"/>
            </w:tcBorders>
            <w:shd w:val="clear" w:color="auto" w:fill="auto"/>
          </w:tcPr>
          <w:p w:rsidR="00C735AF" w:rsidRPr="003F43B0" w:rsidRDefault="00C735AF" w:rsidP="003B6178">
            <w:pPr>
              <w:pStyle w:val="Tabletext"/>
            </w:pPr>
          </w:p>
        </w:tc>
        <w:tc>
          <w:tcPr>
            <w:tcW w:w="2427" w:type="pct"/>
            <w:tcBorders>
              <w:top w:val="nil"/>
              <w:left w:val="nil"/>
              <w:bottom w:val="nil"/>
              <w:right w:val="nil"/>
            </w:tcBorders>
            <w:shd w:val="clear" w:color="auto" w:fill="auto"/>
          </w:tcPr>
          <w:p w:rsidR="00C735AF" w:rsidRPr="003F43B0" w:rsidRDefault="00C735AF" w:rsidP="003B6178">
            <w:pPr>
              <w:pStyle w:val="Tablea"/>
            </w:pPr>
            <w:r w:rsidRPr="003F43B0">
              <w:t>(a) screen size less than 76cm</w:t>
            </w:r>
          </w:p>
        </w:tc>
        <w:tc>
          <w:tcPr>
            <w:tcW w:w="1045" w:type="pct"/>
            <w:tcBorders>
              <w:top w:val="nil"/>
              <w:left w:val="nil"/>
              <w:bottom w:val="nil"/>
              <w:right w:val="nil"/>
            </w:tcBorders>
            <w:shd w:val="clear" w:color="auto" w:fill="auto"/>
          </w:tcPr>
          <w:p w:rsidR="00C735AF" w:rsidRPr="003F43B0" w:rsidRDefault="00C735AF" w:rsidP="003B6178">
            <w:pPr>
              <w:pStyle w:val="Tabletext"/>
            </w:pPr>
            <w:r w:rsidRPr="003F43B0">
              <w:t>8528.72.00.23</w:t>
            </w:r>
          </w:p>
        </w:tc>
        <w:tc>
          <w:tcPr>
            <w:tcW w:w="933"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25.7</w:t>
            </w:r>
          </w:p>
        </w:tc>
      </w:tr>
      <w:tr w:rsidR="00DB529A" w:rsidRPr="003F43B0" w:rsidTr="008E1558">
        <w:tc>
          <w:tcPr>
            <w:tcW w:w="595" w:type="pct"/>
            <w:tcBorders>
              <w:top w:val="nil"/>
              <w:bottom w:val="nil"/>
              <w:right w:val="nil"/>
            </w:tcBorders>
            <w:shd w:val="clear" w:color="auto" w:fill="auto"/>
          </w:tcPr>
          <w:p w:rsidR="00C735AF" w:rsidRPr="003F43B0" w:rsidRDefault="00C735AF" w:rsidP="003B6178">
            <w:pPr>
              <w:pStyle w:val="Tabletext"/>
            </w:pPr>
          </w:p>
        </w:tc>
        <w:tc>
          <w:tcPr>
            <w:tcW w:w="2427" w:type="pct"/>
            <w:tcBorders>
              <w:top w:val="nil"/>
              <w:left w:val="nil"/>
              <w:bottom w:val="nil"/>
              <w:right w:val="nil"/>
            </w:tcBorders>
            <w:shd w:val="clear" w:color="auto" w:fill="auto"/>
          </w:tcPr>
          <w:p w:rsidR="00C735AF" w:rsidRPr="003F43B0" w:rsidRDefault="00C735AF" w:rsidP="003B6178">
            <w:pPr>
              <w:pStyle w:val="Tablea"/>
            </w:pPr>
            <w:r w:rsidRPr="003F43B0">
              <w:t>(b) screen size 76cm or more but less than 111cm</w:t>
            </w:r>
          </w:p>
        </w:tc>
        <w:tc>
          <w:tcPr>
            <w:tcW w:w="1045" w:type="pct"/>
            <w:tcBorders>
              <w:top w:val="nil"/>
              <w:left w:val="nil"/>
              <w:bottom w:val="nil"/>
              <w:right w:val="nil"/>
            </w:tcBorders>
            <w:shd w:val="clear" w:color="auto" w:fill="auto"/>
          </w:tcPr>
          <w:p w:rsidR="00C735AF" w:rsidRPr="003F43B0" w:rsidRDefault="00C735AF" w:rsidP="003B6178">
            <w:pPr>
              <w:pStyle w:val="Tabletext"/>
            </w:pPr>
            <w:r w:rsidRPr="003F43B0">
              <w:t>8528.72.00.24</w:t>
            </w:r>
          </w:p>
        </w:tc>
        <w:tc>
          <w:tcPr>
            <w:tcW w:w="933"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25.7</w:t>
            </w:r>
          </w:p>
        </w:tc>
      </w:tr>
      <w:tr w:rsidR="00DB529A" w:rsidRPr="003F43B0" w:rsidTr="008E1558">
        <w:tc>
          <w:tcPr>
            <w:tcW w:w="595" w:type="pct"/>
            <w:tcBorders>
              <w:top w:val="nil"/>
              <w:bottom w:val="nil"/>
              <w:right w:val="nil"/>
            </w:tcBorders>
            <w:shd w:val="clear" w:color="auto" w:fill="auto"/>
          </w:tcPr>
          <w:p w:rsidR="00C735AF" w:rsidRPr="003F43B0" w:rsidRDefault="00C735AF" w:rsidP="003B6178">
            <w:pPr>
              <w:pStyle w:val="Tabletext"/>
            </w:pPr>
          </w:p>
        </w:tc>
        <w:tc>
          <w:tcPr>
            <w:tcW w:w="2427" w:type="pct"/>
            <w:tcBorders>
              <w:top w:val="nil"/>
              <w:left w:val="nil"/>
              <w:bottom w:val="nil"/>
              <w:right w:val="nil"/>
            </w:tcBorders>
            <w:shd w:val="clear" w:color="auto" w:fill="auto"/>
          </w:tcPr>
          <w:p w:rsidR="00C735AF" w:rsidRPr="003F43B0" w:rsidRDefault="00C735AF" w:rsidP="00D51665">
            <w:pPr>
              <w:pStyle w:val="Tablea"/>
            </w:pPr>
            <w:r w:rsidRPr="003F43B0">
              <w:t>(c) screen size 111cm or more but less than 13</w:t>
            </w:r>
            <w:r w:rsidR="00D51665" w:rsidRPr="003F43B0">
              <w:t>7</w:t>
            </w:r>
            <w:r w:rsidRPr="003F43B0">
              <w:t>cm</w:t>
            </w:r>
          </w:p>
        </w:tc>
        <w:tc>
          <w:tcPr>
            <w:tcW w:w="1045" w:type="pct"/>
            <w:tcBorders>
              <w:top w:val="nil"/>
              <w:left w:val="nil"/>
              <w:bottom w:val="nil"/>
              <w:right w:val="nil"/>
            </w:tcBorders>
            <w:shd w:val="clear" w:color="auto" w:fill="auto"/>
          </w:tcPr>
          <w:p w:rsidR="00C735AF" w:rsidRPr="003F43B0" w:rsidRDefault="00C735AF" w:rsidP="003B6178">
            <w:pPr>
              <w:pStyle w:val="Tabletext"/>
            </w:pPr>
            <w:r w:rsidRPr="003F43B0">
              <w:t>8528.72.00.25</w:t>
            </w:r>
          </w:p>
        </w:tc>
        <w:tc>
          <w:tcPr>
            <w:tcW w:w="933"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32.7</w:t>
            </w:r>
          </w:p>
        </w:tc>
      </w:tr>
      <w:tr w:rsidR="00DB529A" w:rsidRPr="003F43B0" w:rsidTr="008E1558">
        <w:tc>
          <w:tcPr>
            <w:tcW w:w="595" w:type="pct"/>
            <w:tcBorders>
              <w:top w:val="nil"/>
              <w:bottom w:val="single" w:sz="4" w:space="0" w:color="auto"/>
              <w:right w:val="nil"/>
            </w:tcBorders>
            <w:shd w:val="clear" w:color="auto" w:fill="auto"/>
          </w:tcPr>
          <w:p w:rsidR="00C735AF" w:rsidRPr="003F43B0" w:rsidRDefault="00C735AF" w:rsidP="003B6178">
            <w:pPr>
              <w:pStyle w:val="Tabletext"/>
            </w:pPr>
          </w:p>
        </w:tc>
        <w:tc>
          <w:tcPr>
            <w:tcW w:w="2427" w:type="pct"/>
            <w:tcBorders>
              <w:top w:val="nil"/>
              <w:left w:val="nil"/>
              <w:bottom w:val="single" w:sz="4" w:space="0" w:color="auto"/>
              <w:right w:val="nil"/>
            </w:tcBorders>
            <w:shd w:val="clear" w:color="auto" w:fill="auto"/>
          </w:tcPr>
          <w:p w:rsidR="00C735AF" w:rsidRPr="003F43B0" w:rsidRDefault="00C735AF" w:rsidP="00D51665">
            <w:pPr>
              <w:pStyle w:val="Tablea"/>
            </w:pPr>
            <w:r w:rsidRPr="003F43B0">
              <w:t>(d) screen size 13</w:t>
            </w:r>
            <w:r w:rsidR="00D51665" w:rsidRPr="003F43B0">
              <w:t>7</w:t>
            </w:r>
            <w:r w:rsidRPr="003F43B0">
              <w:t>cm or more</w:t>
            </w:r>
          </w:p>
        </w:tc>
        <w:tc>
          <w:tcPr>
            <w:tcW w:w="1045" w:type="pct"/>
            <w:tcBorders>
              <w:top w:val="nil"/>
              <w:left w:val="nil"/>
              <w:bottom w:val="single" w:sz="4" w:space="0" w:color="auto"/>
              <w:right w:val="nil"/>
            </w:tcBorders>
            <w:shd w:val="clear" w:color="auto" w:fill="auto"/>
          </w:tcPr>
          <w:p w:rsidR="00C735AF" w:rsidRPr="003F43B0" w:rsidRDefault="00C735AF" w:rsidP="003B6178">
            <w:pPr>
              <w:pStyle w:val="Tabletext"/>
            </w:pPr>
            <w:r w:rsidRPr="003F43B0">
              <w:t>8528.72.00.26</w:t>
            </w:r>
          </w:p>
        </w:tc>
        <w:tc>
          <w:tcPr>
            <w:tcW w:w="933" w:type="pct"/>
            <w:tcBorders>
              <w:top w:val="nil"/>
              <w:left w:val="nil"/>
              <w:bottom w:val="single" w:sz="4" w:space="0" w:color="auto"/>
            </w:tcBorders>
            <w:shd w:val="clear" w:color="auto" w:fill="auto"/>
          </w:tcPr>
          <w:p w:rsidR="00C735AF" w:rsidRPr="003F43B0" w:rsidRDefault="00C735AF" w:rsidP="003B6178">
            <w:pPr>
              <w:pStyle w:val="Tabletext"/>
              <w:tabs>
                <w:tab w:val="decimal" w:pos="580"/>
              </w:tabs>
            </w:pPr>
            <w:r w:rsidRPr="003F43B0">
              <w:t>38.6</w:t>
            </w:r>
          </w:p>
        </w:tc>
      </w:tr>
      <w:tr w:rsidR="00DB529A" w:rsidRPr="003F43B0" w:rsidTr="008E1558">
        <w:tc>
          <w:tcPr>
            <w:tcW w:w="595" w:type="pct"/>
            <w:tcBorders>
              <w:top w:val="single" w:sz="4" w:space="0" w:color="auto"/>
              <w:bottom w:val="nil"/>
            </w:tcBorders>
            <w:shd w:val="clear" w:color="auto" w:fill="auto"/>
            <w:hideMark/>
          </w:tcPr>
          <w:p w:rsidR="00C735AF" w:rsidRPr="003F43B0" w:rsidRDefault="00C735AF" w:rsidP="003B6178">
            <w:pPr>
              <w:pStyle w:val="Tabletext"/>
            </w:pPr>
            <w:r w:rsidRPr="003F43B0">
              <w:t>1.2</w:t>
            </w:r>
          </w:p>
        </w:tc>
        <w:tc>
          <w:tcPr>
            <w:tcW w:w="2427" w:type="pct"/>
            <w:tcBorders>
              <w:top w:val="single" w:sz="4" w:space="0" w:color="auto"/>
              <w:bottom w:val="nil"/>
            </w:tcBorders>
            <w:shd w:val="clear" w:color="auto" w:fill="auto"/>
            <w:hideMark/>
          </w:tcPr>
          <w:p w:rsidR="00C735AF" w:rsidRPr="003F43B0" w:rsidRDefault="00C735AF" w:rsidP="003B6178">
            <w:pPr>
              <w:pStyle w:val="Tabletext"/>
            </w:pPr>
            <w:r w:rsidRPr="003F43B0">
              <w:t>LCD and LED:</w:t>
            </w:r>
          </w:p>
        </w:tc>
        <w:tc>
          <w:tcPr>
            <w:tcW w:w="1045" w:type="pct"/>
            <w:tcBorders>
              <w:top w:val="single" w:sz="4" w:space="0" w:color="auto"/>
              <w:bottom w:val="nil"/>
            </w:tcBorders>
            <w:shd w:val="clear" w:color="auto" w:fill="auto"/>
          </w:tcPr>
          <w:p w:rsidR="00C735AF" w:rsidRPr="003F43B0" w:rsidRDefault="00C735AF" w:rsidP="003B6178">
            <w:pPr>
              <w:keepLines/>
              <w:ind w:left="-52" w:right="-85"/>
            </w:pPr>
          </w:p>
        </w:tc>
        <w:tc>
          <w:tcPr>
            <w:tcW w:w="933" w:type="pct"/>
            <w:tcBorders>
              <w:top w:val="single" w:sz="4" w:space="0" w:color="auto"/>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(a) screen size less than 35cm</w:t>
            </w:r>
          </w:p>
        </w:tc>
        <w:tc>
          <w:tcPr>
            <w:tcW w:w="1045" w:type="pct"/>
            <w:tcBorders>
              <w:top w:val="nil"/>
              <w:bottom w:val="nil"/>
            </w:tcBorders>
            <w:shd w:val="clear" w:color="auto" w:fill="auto"/>
          </w:tcPr>
          <w:p w:rsidR="00C735AF" w:rsidRPr="003F43B0" w:rsidRDefault="00C735AF" w:rsidP="003B6178">
            <w:pPr>
              <w:pStyle w:val="Tabletext"/>
            </w:pPr>
            <w:r w:rsidRPr="003F43B0">
              <w:t>8528.72.00.81</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2.5</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(b) screen size 35cm or more but less than 43cm</w:t>
            </w:r>
          </w:p>
        </w:tc>
        <w:tc>
          <w:tcPr>
            <w:tcW w:w="1045" w:type="pct"/>
            <w:tcBorders>
              <w:top w:val="nil"/>
              <w:bottom w:val="nil"/>
            </w:tcBorders>
            <w:shd w:val="clear" w:color="auto" w:fill="auto"/>
          </w:tcPr>
          <w:p w:rsidR="00C735AF" w:rsidRPr="003F43B0" w:rsidRDefault="00C735AF" w:rsidP="003B6178">
            <w:pPr>
              <w:pStyle w:val="Tabletext"/>
            </w:pPr>
            <w:r w:rsidRPr="003F43B0">
              <w:t>8528.72.00.82</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2.6</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(c) screen size 43cm or more but less than 51cm</w:t>
            </w:r>
          </w:p>
        </w:tc>
        <w:tc>
          <w:tcPr>
            <w:tcW w:w="1045" w:type="pct"/>
            <w:tcBorders>
              <w:top w:val="nil"/>
              <w:bottom w:val="nil"/>
            </w:tcBorders>
            <w:shd w:val="clear" w:color="auto" w:fill="auto"/>
          </w:tcPr>
          <w:p w:rsidR="00C735AF" w:rsidRPr="003F43B0" w:rsidRDefault="00C735AF" w:rsidP="003B6178">
            <w:pPr>
              <w:pStyle w:val="Tabletext"/>
            </w:pPr>
            <w:r w:rsidRPr="003F43B0">
              <w:t>8528.72.00.83</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3.4</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(d) screen size 51cm or more but less than 59cm</w:t>
            </w:r>
          </w:p>
        </w:tc>
        <w:tc>
          <w:tcPr>
            <w:tcW w:w="1045" w:type="pct"/>
            <w:tcBorders>
              <w:top w:val="nil"/>
              <w:bottom w:val="nil"/>
            </w:tcBorders>
            <w:shd w:val="clear" w:color="auto" w:fill="auto"/>
          </w:tcPr>
          <w:p w:rsidR="00C735AF" w:rsidRPr="003F43B0" w:rsidRDefault="00C735AF" w:rsidP="003B6178">
            <w:pPr>
              <w:pStyle w:val="Tabletext"/>
            </w:pPr>
            <w:r w:rsidRPr="003F43B0">
              <w:t>8528.72.00.84</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3.9</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(e) screen size 59cm or more but less than 74cm</w:t>
            </w:r>
          </w:p>
        </w:tc>
        <w:tc>
          <w:tcPr>
            <w:tcW w:w="1045" w:type="pct"/>
            <w:tcBorders>
              <w:top w:val="nil"/>
              <w:bottom w:val="nil"/>
            </w:tcBorders>
            <w:shd w:val="clear" w:color="auto" w:fill="auto"/>
          </w:tcPr>
          <w:p w:rsidR="00C735AF" w:rsidRPr="003F43B0" w:rsidRDefault="00C735AF" w:rsidP="003B6178">
            <w:pPr>
              <w:pStyle w:val="Tabletext"/>
            </w:pPr>
            <w:r w:rsidRPr="003F43B0">
              <w:t>8528.72.00.85</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4.8</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(f) screen size 74cm or more but less than 84cm</w:t>
            </w:r>
          </w:p>
        </w:tc>
        <w:tc>
          <w:tcPr>
            <w:tcW w:w="1045" w:type="pct"/>
            <w:tcBorders>
              <w:top w:val="nil"/>
              <w:bottom w:val="nil"/>
            </w:tcBorders>
            <w:shd w:val="clear" w:color="auto" w:fill="auto"/>
          </w:tcPr>
          <w:p w:rsidR="00C735AF" w:rsidRPr="003F43B0" w:rsidRDefault="00C735AF" w:rsidP="003B6178">
            <w:pPr>
              <w:pStyle w:val="Tabletext"/>
            </w:pPr>
            <w:r w:rsidRPr="003F43B0">
              <w:t>8528.72.00.86</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10.9</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(g) screen size 84cm or more but less than 99cm</w:t>
            </w:r>
          </w:p>
        </w:tc>
        <w:tc>
          <w:tcPr>
            <w:tcW w:w="1045" w:type="pct"/>
            <w:tcBorders>
              <w:top w:val="nil"/>
              <w:bottom w:val="nil"/>
            </w:tcBorders>
            <w:shd w:val="clear" w:color="auto" w:fill="auto"/>
          </w:tcPr>
          <w:p w:rsidR="00C735AF" w:rsidRPr="003F43B0" w:rsidRDefault="00C735AF" w:rsidP="003B6178">
            <w:pPr>
              <w:pStyle w:val="Tabletext"/>
            </w:pPr>
            <w:r w:rsidRPr="003F43B0">
              <w:t>8528.72.00.87</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13.7</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(h) screen size 99cm or more but less than 109cm</w:t>
            </w:r>
          </w:p>
        </w:tc>
        <w:tc>
          <w:tcPr>
            <w:tcW w:w="1045" w:type="pct"/>
            <w:tcBorders>
              <w:top w:val="nil"/>
              <w:bottom w:val="nil"/>
            </w:tcBorders>
            <w:shd w:val="clear" w:color="auto" w:fill="auto"/>
          </w:tcPr>
          <w:p w:rsidR="00C735AF" w:rsidRPr="003F43B0" w:rsidRDefault="00C735AF" w:rsidP="003B6178">
            <w:pPr>
              <w:pStyle w:val="Tabletext"/>
            </w:pPr>
            <w:r w:rsidRPr="003F43B0">
              <w:t>8528.72.00.88</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15.9</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(i) screen size 109cm or more but less than 125cm</w:t>
            </w:r>
          </w:p>
        </w:tc>
        <w:tc>
          <w:tcPr>
            <w:tcW w:w="1045" w:type="pct"/>
            <w:tcBorders>
              <w:top w:val="nil"/>
              <w:bottom w:val="nil"/>
            </w:tcBorders>
            <w:shd w:val="clear" w:color="auto" w:fill="auto"/>
          </w:tcPr>
          <w:p w:rsidR="00C735AF" w:rsidRPr="003F43B0" w:rsidRDefault="00C735AF" w:rsidP="003B6178">
            <w:pPr>
              <w:pStyle w:val="Tabletext"/>
            </w:pPr>
            <w:r w:rsidRPr="003F43B0">
              <w:t>8528.72.00.89</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18.0</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(j) screen size 125cm or more but less than 135cm</w:t>
            </w:r>
          </w:p>
        </w:tc>
        <w:tc>
          <w:tcPr>
            <w:tcW w:w="1045" w:type="pct"/>
            <w:tcBorders>
              <w:top w:val="nil"/>
              <w:bottom w:val="nil"/>
            </w:tcBorders>
            <w:shd w:val="clear" w:color="auto" w:fill="auto"/>
          </w:tcPr>
          <w:p w:rsidR="00C735AF" w:rsidRPr="003F43B0" w:rsidRDefault="00C735AF" w:rsidP="003B6178">
            <w:pPr>
              <w:pStyle w:val="Tabletext"/>
            </w:pPr>
            <w:r w:rsidRPr="003F43B0">
              <w:t>8528.72.00.90</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25.5</w:t>
            </w:r>
          </w:p>
        </w:tc>
      </w:tr>
      <w:tr w:rsidR="00DB529A" w:rsidRPr="003F43B0" w:rsidTr="008E1558">
        <w:tc>
          <w:tcPr>
            <w:tcW w:w="595" w:type="pct"/>
            <w:tcBorders>
              <w:top w:val="nil"/>
              <w:bottom w:val="nil"/>
            </w:tcBorders>
            <w:shd w:val="clear" w:color="auto" w:fill="auto"/>
            <w:hideMark/>
          </w:tcPr>
          <w:p w:rsidR="00C735AF" w:rsidRPr="003F43B0" w:rsidRDefault="00C735AF" w:rsidP="003B6178">
            <w:pPr>
              <w:pStyle w:val="Tabletext"/>
            </w:pPr>
          </w:p>
        </w:tc>
        <w:tc>
          <w:tcPr>
            <w:tcW w:w="2427" w:type="pct"/>
            <w:tcBorders>
              <w:top w:val="nil"/>
              <w:bottom w:val="nil"/>
            </w:tcBorders>
            <w:shd w:val="clear" w:color="auto" w:fill="auto"/>
            <w:hideMark/>
          </w:tcPr>
          <w:p w:rsidR="00C735AF" w:rsidRPr="003F43B0" w:rsidRDefault="00C735AF" w:rsidP="003B6178">
            <w:pPr>
              <w:pStyle w:val="Tablea"/>
            </w:pPr>
            <w:r w:rsidRPr="003F43B0">
              <w:t>(k) screen size 135cm or more but less than 150cm</w:t>
            </w:r>
          </w:p>
        </w:tc>
        <w:tc>
          <w:tcPr>
            <w:tcW w:w="1045" w:type="pct"/>
            <w:tcBorders>
              <w:top w:val="nil"/>
              <w:bottom w:val="nil"/>
            </w:tcBorders>
            <w:shd w:val="clear" w:color="auto" w:fill="auto"/>
          </w:tcPr>
          <w:p w:rsidR="00C735AF" w:rsidRPr="003F43B0" w:rsidRDefault="00C735AF" w:rsidP="003B6178">
            <w:pPr>
              <w:pStyle w:val="Tabletext"/>
            </w:pPr>
            <w:r w:rsidRPr="003F43B0">
              <w:t>8528.72.00.91</w:t>
            </w:r>
          </w:p>
        </w:tc>
        <w:tc>
          <w:tcPr>
            <w:tcW w:w="933" w:type="pct"/>
            <w:tcBorders>
              <w:top w:val="nil"/>
              <w:bottom w:val="nil"/>
            </w:tcBorders>
            <w:shd w:val="clear" w:color="auto" w:fill="auto"/>
          </w:tcPr>
          <w:p w:rsidR="00C735AF" w:rsidRPr="003F43B0" w:rsidRDefault="00C735AF" w:rsidP="003B6178">
            <w:pPr>
              <w:pStyle w:val="Tabletext"/>
              <w:tabs>
                <w:tab w:val="decimal" w:pos="580"/>
              </w:tabs>
            </w:pPr>
            <w:r w:rsidRPr="003F43B0">
              <w:t>28.7</w:t>
            </w:r>
          </w:p>
        </w:tc>
      </w:tr>
      <w:tr w:rsidR="00DB529A" w:rsidRPr="003F43B0" w:rsidTr="008E1558">
        <w:tc>
          <w:tcPr>
            <w:tcW w:w="595" w:type="pct"/>
            <w:tcBorders>
              <w:top w:val="nil"/>
              <w:bottom w:val="single" w:sz="4" w:space="0" w:color="auto"/>
            </w:tcBorders>
            <w:shd w:val="clear" w:color="auto" w:fill="auto"/>
            <w:hideMark/>
          </w:tcPr>
          <w:p w:rsidR="00C735AF" w:rsidRPr="003F43B0" w:rsidRDefault="00C735AF" w:rsidP="003B6178">
            <w:pPr>
              <w:pStyle w:val="Tabletext"/>
            </w:pPr>
          </w:p>
        </w:tc>
        <w:tc>
          <w:tcPr>
            <w:tcW w:w="2427" w:type="pct"/>
            <w:tcBorders>
              <w:top w:val="nil"/>
              <w:bottom w:val="single" w:sz="4" w:space="0" w:color="auto"/>
            </w:tcBorders>
            <w:shd w:val="clear" w:color="auto" w:fill="auto"/>
            <w:hideMark/>
          </w:tcPr>
          <w:p w:rsidR="00C735AF" w:rsidRPr="003F43B0" w:rsidRDefault="00C735AF" w:rsidP="003B6178">
            <w:pPr>
              <w:pStyle w:val="Tablea"/>
            </w:pPr>
            <w:r w:rsidRPr="003F43B0">
              <w:t>(l) screen size 150cm or more</w:t>
            </w:r>
          </w:p>
        </w:tc>
        <w:tc>
          <w:tcPr>
            <w:tcW w:w="1045" w:type="pct"/>
            <w:tcBorders>
              <w:top w:val="nil"/>
              <w:bottom w:val="single" w:sz="4" w:space="0" w:color="auto"/>
            </w:tcBorders>
            <w:shd w:val="clear" w:color="auto" w:fill="auto"/>
          </w:tcPr>
          <w:p w:rsidR="00C735AF" w:rsidRPr="003F43B0" w:rsidRDefault="00C735AF" w:rsidP="003B6178">
            <w:pPr>
              <w:pStyle w:val="Tabletext"/>
            </w:pPr>
            <w:r w:rsidRPr="003F43B0">
              <w:t>8528.72.00.92</w:t>
            </w:r>
          </w:p>
        </w:tc>
        <w:tc>
          <w:tcPr>
            <w:tcW w:w="933" w:type="pct"/>
            <w:tcBorders>
              <w:top w:val="nil"/>
              <w:bottom w:val="single" w:sz="4" w:space="0" w:color="auto"/>
            </w:tcBorders>
            <w:shd w:val="clear" w:color="auto" w:fill="auto"/>
          </w:tcPr>
          <w:p w:rsidR="00C735AF" w:rsidRPr="003F43B0" w:rsidRDefault="00C735AF" w:rsidP="003B6178">
            <w:pPr>
              <w:pStyle w:val="Tabletext"/>
              <w:tabs>
                <w:tab w:val="decimal" w:pos="580"/>
              </w:tabs>
            </w:pPr>
            <w:r w:rsidRPr="003F43B0">
              <w:t>37.7</w:t>
            </w:r>
          </w:p>
        </w:tc>
      </w:tr>
      <w:tr w:rsidR="00DB529A" w:rsidRPr="003F43B0" w:rsidTr="008E1558">
        <w:tc>
          <w:tcPr>
            <w:tcW w:w="595" w:type="pct"/>
            <w:tcBorders>
              <w:bottom w:val="single" w:sz="12" w:space="0" w:color="auto"/>
            </w:tcBorders>
            <w:shd w:val="clear" w:color="auto" w:fill="auto"/>
            <w:hideMark/>
          </w:tcPr>
          <w:p w:rsidR="00C735AF" w:rsidRPr="003F43B0" w:rsidRDefault="00C735AF" w:rsidP="003B6178">
            <w:pPr>
              <w:pStyle w:val="Tabletext"/>
            </w:pPr>
            <w:r w:rsidRPr="003F43B0">
              <w:t>1.3</w:t>
            </w:r>
          </w:p>
        </w:tc>
        <w:tc>
          <w:tcPr>
            <w:tcW w:w="2427" w:type="pct"/>
            <w:tcBorders>
              <w:bottom w:val="single" w:sz="12" w:space="0" w:color="auto"/>
            </w:tcBorders>
            <w:shd w:val="clear" w:color="auto" w:fill="auto"/>
            <w:hideMark/>
          </w:tcPr>
          <w:p w:rsidR="00C735AF" w:rsidRPr="003F43B0" w:rsidRDefault="00C735AF" w:rsidP="003B6178">
            <w:pPr>
              <w:pStyle w:val="Tabletext"/>
            </w:pPr>
            <w:r w:rsidRPr="003F43B0">
              <w:t>Other</w:t>
            </w:r>
          </w:p>
        </w:tc>
        <w:tc>
          <w:tcPr>
            <w:tcW w:w="1045" w:type="pct"/>
            <w:tcBorders>
              <w:bottom w:val="single" w:sz="12" w:space="0" w:color="auto"/>
            </w:tcBorders>
            <w:shd w:val="clear" w:color="auto" w:fill="auto"/>
          </w:tcPr>
          <w:p w:rsidR="00C735AF" w:rsidRPr="003F43B0" w:rsidRDefault="00C735AF" w:rsidP="003B6178">
            <w:pPr>
              <w:pStyle w:val="Tabletext"/>
            </w:pPr>
            <w:r w:rsidRPr="003F43B0">
              <w:t>8528.72.00.93</w:t>
            </w:r>
          </w:p>
        </w:tc>
        <w:tc>
          <w:tcPr>
            <w:tcW w:w="933" w:type="pct"/>
            <w:tcBorders>
              <w:bottom w:val="single" w:sz="12" w:space="0" w:color="auto"/>
            </w:tcBorders>
            <w:shd w:val="clear" w:color="auto" w:fill="auto"/>
          </w:tcPr>
          <w:p w:rsidR="00C735AF" w:rsidRPr="003F43B0" w:rsidRDefault="00C735AF" w:rsidP="003B6178">
            <w:pPr>
              <w:pStyle w:val="Tabletext"/>
              <w:tabs>
                <w:tab w:val="decimal" w:pos="580"/>
              </w:tabs>
            </w:pPr>
            <w:r w:rsidRPr="003F43B0">
              <w:t>37.7</w:t>
            </w:r>
          </w:p>
        </w:tc>
      </w:tr>
    </w:tbl>
    <w:p w:rsidR="00C735AF" w:rsidRPr="003F43B0" w:rsidRDefault="00C735AF" w:rsidP="00C735AF">
      <w:pPr>
        <w:pStyle w:val="ActHead3"/>
      </w:pPr>
      <w:bookmarkStart w:id="39" w:name="_Toc358878555"/>
      <w:r w:rsidRPr="003F43B0">
        <w:rPr>
          <w:rStyle w:val="CharDivNo"/>
        </w:rPr>
        <w:t>Division</w:t>
      </w:r>
      <w:r w:rsidR="003F43B0" w:rsidRPr="003F43B0">
        <w:rPr>
          <w:rStyle w:val="CharDivNo"/>
        </w:rPr>
        <w:t> </w:t>
      </w:r>
      <w:r w:rsidRPr="003F43B0">
        <w:rPr>
          <w:rStyle w:val="CharDivNo"/>
        </w:rPr>
        <w:t>2</w:t>
      </w:r>
      <w:r w:rsidRPr="003F43B0">
        <w:t>—</w:t>
      </w:r>
      <w:r w:rsidRPr="003F43B0">
        <w:rPr>
          <w:rStyle w:val="CharDivText"/>
        </w:rPr>
        <w:t>Black and white or other monochrome</w:t>
      </w:r>
      <w:bookmarkEnd w:id="39"/>
    </w:p>
    <w:p w:rsidR="00C735AF" w:rsidRPr="003F43B0" w:rsidRDefault="00C735AF" w:rsidP="00C735AF">
      <w:pPr>
        <w:pStyle w:val="Tabletext"/>
        <w:keepN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358"/>
        <w:gridCol w:w="3028"/>
        <w:gridCol w:w="1541"/>
        <w:gridCol w:w="1376"/>
      </w:tblGrid>
      <w:tr w:rsidR="00CC55A9" w:rsidRPr="003F43B0" w:rsidTr="00CC55A9">
        <w:trPr>
          <w:tblHeader/>
        </w:trPr>
        <w:tc>
          <w:tcPr>
            <w:tcW w:w="5000" w:type="pct"/>
            <w:gridSpan w:val="4"/>
            <w:tcBorders>
              <w:top w:val="single" w:sz="12" w:space="0" w:color="auto"/>
              <w:bottom w:val="single" w:sz="6" w:space="0" w:color="auto"/>
            </w:tcBorders>
            <w:shd w:val="clear" w:color="auto" w:fill="auto"/>
          </w:tcPr>
          <w:p w:rsidR="00CC55A9" w:rsidRPr="003F43B0" w:rsidRDefault="00CC55A9" w:rsidP="00A41C5D">
            <w:pPr>
              <w:pStyle w:val="TableHeading"/>
            </w:pPr>
            <w:r w:rsidRPr="003F43B0">
              <w:t>Other televisions—product codes and conversion factors</w:t>
            </w:r>
          </w:p>
        </w:tc>
      </w:tr>
      <w:tr w:rsidR="00DB529A" w:rsidRPr="003F43B0" w:rsidTr="008E1558">
        <w:trPr>
          <w:tblHeader/>
        </w:trPr>
        <w:tc>
          <w:tcPr>
            <w:tcW w:w="930" w:type="pct"/>
            <w:tcBorders>
              <w:top w:val="single" w:sz="6" w:space="0" w:color="auto"/>
              <w:bottom w:val="single" w:sz="12" w:space="0" w:color="auto"/>
            </w:tcBorders>
            <w:shd w:val="clear" w:color="auto" w:fill="auto"/>
            <w:hideMark/>
          </w:tcPr>
          <w:p w:rsidR="00C735AF" w:rsidRPr="003F43B0" w:rsidRDefault="00C735AF" w:rsidP="00A41C5D">
            <w:pPr>
              <w:pStyle w:val="TableHeading"/>
            </w:pPr>
            <w:r w:rsidRPr="003F43B0">
              <w:t>Item</w:t>
            </w:r>
          </w:p>
        </w:tc>
        <w:tc>
          <w:tcPr>
            <w:tcW w:w="2073" w:type="pct"/>
            <w:tcBorders>
              <w:top w:val="single" w:sz="6" w:space="0" w:color="auto"/>
              <w:bottom w:val="single" w:sz="12" w:space="0" w:color="auto"/>
            </w:tcBorders>
            <w:shd w:val="clear" w:color="auto" w:fill="auto"/>
            <w:hideMark/>
          </w:tcPr>
          <w:p w:rsidR="00CC55A9" w:rsidRPr="003F43B0" w:rsidRDefault="00CC55A9" w:rsidP="00A41C5D">
            <w:pPr>
              <w:pStyle w:val="TableHeading"/>
            </w:pPr>
            <w:r w:rsidRPr="003F43B0">
              <w:t>Column 1</w:t>
            </w:r>
          </w:p>
          <w:p w:rsidR="00C735AF" w:rsidRPr="003F43B0" w:rsidRDefault="00C735AF" w:rsidP="00A41C5D">
            <w:pPr>
              <w:pStyle w:val="TableHeading"/>
            </w:pPr>
            <w:r w:rsidRPr="003F43B0">
              <w:t>Description</w:t>
            </w:r>
          </w:p>
        </w:tc>
        <w:tc>
          <w:tcPr>
            <w:tcW w:w="1055" w:type="pct"/>
            <w:tcBorders>
              <w:top w:val="single" w:sz="6" w:space="0" w:color="auto"/>
              <w:bottom w:val="single" w:sz="12" w:space="0" w:color="auto"/>
            </w:tcBorders>
            <w:shd w:val="clear" w:color="auto" w:fill="auto"/>
            <w:hideMark/>
          </w:tcPr>
          <w:p w:rsidR="00CC55A9" w:rsidRPr="003F43B0" w:rsidRDefault="00CC55A9" w:rsidP="00A41C5D">
            <w:pPr>
              <w:pStyle w:val="TableHeading"/>
            </w:pPr>
            <w:r w:rsidRPr="003F43B0">
              <w:t>Column 2</w:t>
            </w:r>
          </w:p>
          <w:p w:rsidR="00C735AF" w:rsidRPr="003F43B0" w:rsidRDefault="00C735AF" w:rsidP="00A41C5D">
            <w:pPr>
              <w:pStyle w:val="TableHeading"/>
            </w:pPr>
            <w:r w:rsidRPr="003F43B0">
              <w:t>Product code</w:t>
            </w:r>
          </w:p>
        </w:tc>
        <w:tc>
          <w:tcPr>
            <w:tcW w:w="942" w:type="pct"/>
            <w:tcBorders>
              <w:top w:val="single" w:sz="6" w:space="0" w:color="auto"/>
              <w:bottom w:val="single" w:sz="12" w:space="0" w:color="auto"/>
            </w:tcBorders>
            <w:shd w:val="clear" w:color="auto" w:fill="auto"/>
          </w:tcPr>
          <w:p w:rsidR="00CC55A9" w:rsidRPr="003F43B0" w:rsidRDefault="00CC55A9" w:rsidP="00A41C5D">
            <w:pPr>
              <w:pStyle w:val="TableHeading"/>
            </w:pPr>
            <w:r w:rsidRPr="003F43B0">
              <w:t>Column 3</w:t>
            </w:r>
          </w:p>
          <w:p w:rsidR="00C735AF" w:rsidRPr="003F43B0" w:rsidRDefault="00C735AF" w:rsidP="00A41C5D">
            <w:pPr>
              <w:pStyle w:val="TableHeading"/>
            </w:pPr>
            <w:r w:rsidRPr="003F43B0">
              <w:t>Conversion factor (kg)</w:t>
            </w:r>
          </w:p>
        </w:tc>
      </w:tr>
      <w:tr w:rsidR="00DB529A" w:rsidRPr="003F43B0" w:rsidTr="008E1558">
        <w:tc>
          <w:tcPr>
            <w:tcW w:w="930" w:type="pct"/>
            <w:tcBorders>
              <w:top w:val="single" w:sz="12" w:space="0" w:color="auto"/>
              <w:bottom w:val="single" w:sz="12" w:space="0" w:color="auto"/>
            </w:tcBorders>
            <w:shd w:val="clear" w:color="auto" w:fill="auto"/>
            <w:hideMark/>
          </w:tcPr>
          <w:p w:rsidR="00C735AF" w:rsidRPr="003F43B0" w:rsidRDefault="00C735AF" w:rsidP="003B6178">
            <w:pPr>
              <w:pStyle w:val="Tabletext"/>
            </w:pPr>
            <w:r w:rsidRPr="003F43B0">
              <w:t>2.1</w:t>
            </w:r>
          </w:p>
        </w:tc>
        <w:tc>
          <w:tcPr>
            <w:tcW w:w="2073" w:type="pct"/>
            <w:tcBorders>
              <w:top w:val="single" w:sz="12" w:space="0" w:color="auto"/>
              <w:bottom w:val="single" w:sz="12" w:space="0" w:color="auto"/>
            </w:tcBorders>
            <w:shd w:val="clear" w:color="auto" w:fill="auto"/>
            <w:hideMark/>
          </w:tcPr>
          <w:p w:rsidR="00C735AF" w:rsidRPr="003F43B0" w:rsidRDefault="00C735AF" w:rsidP="003B6178">
            <w:pPr>
              <w:pStyle w:val="Tabletext"/>
            </w:pPr>
            <w:r w:rsidRPr="003F43B0">
              <w:t>Black and white or other monochrome</w:t>
            </w:r>
          </w:p>
        </w:tc>
        <w:tc>
          <w:tcPr>
            <w:tcW w:w="1055" w:type="pct"/>
            <w:tcBorders>
              <w:top w:val="single" w:sz="12" w:space="0" w:color="auto"/>
              <w:bottom w:val="single" w:sz="12" w:space="0" w:color="auto"/>
            </w:tcBorders>
            <w:shd w:val="clear" w:color="auto" w:fill="auto"/>
          </w:tcPr>
          <w:p w:rsidR="00C735AF" w:rsidRPr="003F43B0" w:rsidRDefault="00C735AF" w:rsidP="003B6178">
            <w:pPr>
              <w:pStyle w:val="Tabletext"/>
            </w:pPr>
            <w:r w:rsidRPr="003F43B0">
              <w:t>8528.73.00.35</w:t>
            </w:r>
          </w:p>
        </w:tc>
        <w:tc>
          <w:tcPr>
            <w:tcW w:w="942" w:type="pct"/>
            <w:tcBorders>
              <w:top w:val="single" w:sz="12" w:space="0" w:color="auto"/>
              <w:bottom w:val="single" w:sz="12" w:space="0" w:color="auto"/>
            </w:tcBorders>
            <w:shd w:val="clear" w:color="auto" w:fill="auto"/>
          </w:tcPr>
          <w:p w:rsidR="00C735AF" w:rsidRPr="003F43B0" w:rsidRDefault="00C735AF" w:rsidP="003B6178">
            <w:pPr>
              <w:pStyle w:val="Tabletext"/>
              <w:tabs>
                <w:tab w:val="decimal" w:pos="480"/>
              </w:tabs>
            </w:pPr>
            <w:r w:rsidRPr="003F43B0">
              <w:t>1.0</w:t>
            </w:r>
          </w:p>
        </w:tc>
      </w:tr>
    </w:tbl>
    <w:p w:rsidR="00C735AF" w:rsidRPr="003F43B0" w:rsidRDefault="00C735AF" w:rsidP="00C735AF">
      <w:pPr>
        <w:pStyle w:val="ActHead2"/>
      </w:pPr>
      <w:bookmarkStart w:id="40" w:name="_Toc358878556"/>
      <w:r w:rsidRPr="003F43B0">
        <w:rPr>
          <w:rStyle w:val="CharPartNo"/>
        </w:rPr>
        <w:t>Part</w:t>
      </w:r>
      <w:r w:rsidR="003F43B0" w:rsidRPr="003F43B0">
        <w:rPr>
          <w:rStyle w:val="CharPartNo"/>
        </w:rPr>
        <w:t> </w:t>
      </w:r>
      <w:r w:rsidRPr="003F43B0">
        <w:rPr>
          <w:rStyle w:val="CharPartNo"/>
        </w:rPr>
        <w:t>2</w:t>
      </w:r>
      <w:r w:rsidRPr="003F43B0">
        <w:t>—</w:t>
      </w:r>
      <w:r w:rsidRPr="003F43B0">
        <w:rPr>
          <w:rStyle w:val="CharPartText"/>
        </w:rPr>
        <w:t>Computers</w:t>
      </w:r>
      <w:bookmarkEnd w:id="40"/>
    </w:p>
    <w:p w:rsidR="00C735AF" w:rsidRPr="003F43B0" w:rsidRDefault="00C735AF" w:rsidP="00C735AF">
      <w:pPr>
        <w:pStyle w:val="Header"/>
      </w:pPr>
      <w:r w:rsidRPr="003F43B0">
        <w:rPr>
          <w:rStyle w:val="CharDivNo"/>
        </w:rPr>
        <w:t xml:space="preserve"> </w:t>
      </w:r>
      <w:r w:rsidRPr="003F43B0">
        <w:rPr>
          <w:rStyle w:val="CharDivText"/>
        </w:rPr>
        <w:t xml:space="preserve"> </w:t>
      </w:r>
    </w:p>
    <w:p w:rsidR="00C735AF" w:rsidRPr="003F43B0" w:rsidRDefault="00C735AF" w:rsidP="00C735AF">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271"/>
        <w:gridCol w:w="3245"/>
        <w:gridCol w:w="1411"/>
        <w:gridCol w:w="1376"/>
      </w:tblGrid>
      <w:tr w:rsidR="00CC55A9" w:rsidRPr="003F43B0" w:rsidTr="00CC55A9">
        <w:trPr>
          <w:tblHeader/>
        </w:trPr>
        <w:tc>
          <w:tcPr>
            <w:tcW w:w="5000" w:type="pct"/>
            <w:gridSpan w:val="4"/>
            <w:tcBorders>
              <w:top w:val="single" w:sz="12" w:space="0" w:color="auto"/>
              <w:bottom w:val="single" w:sz="6" w:space="0" w:color="auto"/>
            </w:tcBorders>
            <w:shd w:val="clear" w:color="auto" w:fill="auto"/>
          </w:tcPr>
          <w:p w:rsidR="00CC55A9" w:rsidRPr="003F43B0" w:rsidRDefault="00CC55A9" w:rsidP="00A41C5D">
            <w:pPr>
              <w:pStyle w:val="TableHeading"/>
            </w:pPr>
            <w:r w:rsidRPr="003F43B0">
              <w:lastRenderedPageBreak/>
              <w:t>Computers—product codes and conversion factors</w:t>
            </w:r>
          </w:p>
        </w:tc>
      </w:tr>
      <w:tr w:rsidR="00DB529A" w:rsidRPr="003F43B0" w:rsidTr="008E1558">
        <w:trPr>
          <w:tblHeader/>
        </w:trPr>
        <w:tc>
          <w:tcPr>
            <w:tcW w:w="870" w:type="pct"/>
            <w:tcBorders>
              <w:top w:val="single" w:sz="6" w:space="0" w:color="auto"/>
              <w:bottom w:val="single" w:sz="12" w:space="0" w:color="auto"/>
            </w:tcBorders>
            <w:shd w:val="clear" w:color="auto" w:fill="auto"/>
            <w:hideMark/>
          </w:tcPr>
          <w:p w:rsidR="00C735AF" w:rsidRPr="003F43B0" w:rsidRDefault="00C735AF" w:rsidP="00A41C5D">
            <w:pPr>
              <w:pStyle w:val="TableHeading"/>
            </w:pPr>
            <w:r w:rsidRPr="003F43B0">
              <w:t>Item</w:t>
            </w:r>
          </w:p>
        </w:tc>
        <w:tc>
          <w:tcPr>
            <w:tcW w:w="2222" w:type="pct"/>
            <w:tcBorders>
              <w:top w:val="single" w:sz="6" w:space="0" w:color="auto"/>
              <w:bottom w:val="single" w:sz="12" w:space="0" w:color="auto"/>
            </w:tcBorders>
            <w:shd w:val="clear" w:color="auto" w:fill="auto"/>
            <w:hideMark/>
          </w:tcPr>
          <w:p w:rsidR="00CC55A9" w:rsidRPr="003F43B0" w:rsidRDefault="00CC55A9" w:rsidP="00A41C5D">
            <w:pPr>
              <w:pStyle w:val="TableHeading"/>
            </w:pPr>
            <w:r w:rsidRPr="003F43B0">
              <w:t>Column 1</w:t>
            </w:r>
          </w:p>
          <w:p w:rsidR="00C735AF" w:rsidRPr="003F43B0" w:rsidRDefault="00C735AF" w:rsidP="00A41C5D">
            <w:pPr>
              <w:pStyle w:val="TableHeading"/>
            </w:pPr>
            <w:r w:rsidRPr="003F43B0">
              <w:t>Description</w:t>
            </w:r>
          </w:p>
        </w:tc>
        <w:tc>
          <w:tcPr>
            <w:tcW w:w="966" w:type="pct"/>
            <w:tcBorders>
              <w:top w:val="single" w:sz="6" w:space="0" w:color="auto"/>
              <w:bottom w:val="single" w:sz="12" w:space="0" w:color="auto"/>
            </w:tcBorders>
            <w:shd w:val="clear" w:color="auto" w:fill="auto"/>
            <w:hideMark/>
          </w:tcPr>
          <w:p w:rsidR="00CC55A9" w:rsidRPr="003F43B0" w:rsidRDefault="00CC55A9" w:rsidP="00A41C5D">
            <w:pPr>
              <w:pStyle w:val="TableHeading"/>
            </w:pPr>
            <w:r w:rsidRPr="003F43B0">
              <w:t>Column 2</w:t>
            </w:r>
          </w:p>
          <w:p w:rsidR="00C735AF" w:rsidRPr="003F43B0" w:rsidRDefault="00C735AF" w:rsidP="00A41C5D">
            <w:pPr>
              <w:pStyle w:val="TableHeading"/>
            </w:pPr>
            <w:r w:rsidRPr="003F43B0">
              <w:t>Product code</w:t>
            </w:r>
          </w:p>
        </w:tc>
        <w:tc>
          <w:tcPr>
            <w:tcW w:w="942" w:type="pct"/>
            <w:tcBorders>
              <w:top w:val="single" w:sz="6" w:space="0" w:color="auto"/>
              <w:bottom w:val="single" w:sz="12" w:space="0" w:color="auto"/>
            </w:tcBorders>
            <w:shd w:val="clear" w:color="auto" w:fill="auto"/>
          </w:tcPr>
          <w:p w:rsidR="00CC55A9" w:rsidRPr="003F43B0" w:rsidRDefault="00CC55A9" w:rsidP="00A41C5D">
            <w:pPr>
              <w:pStyle w:val="TableHeading"/>
            </w:pPr>
            <w:r w:rsidRPr="003F43B0">
              <w:t>Column 3</w:t>
            </w:r>
          </w:p>
          <w:p w:rsidR="00C735AF" w:rsidRPr="003F43B0" w:rsidRDefault="00C735AF" w:rsidP="00A41C5D">
            <w:pPr>
              <w:pStyle w:val="TableHeading"/>
            </w:pPr>
            <w:r w:rsidRPr="003F43B0">
              <w:t>Conversion factor (kg)</w:t>
            </w:r>
          </w:p>
        </w:tc>
      </w:tr>
      <w:tr w:rsidR="00DB529A" w:rsidRPr="003F43B0" w:rsidTr="008E1558">
        <w:tc>
          <w:tcPr>
            <w:tcW w:w="870" w:type="pct"/>
            <w:tcBorders>
              <w:top w:val="single" w:sz="12" w:space="0" w:color="auto"/>
              <w:bottom w:val="nil"/>
              <w:right w:val="nil"/>
            </w:tcBorders>
            <w:shd w:val="clear" w:color="auto" w:fill="auto"/>
          </w:tcPr>
          <w:p w:rsidR="00C735AF" w:rsidRPr="003F43B0" w:rsidRDefault="00C735AF" w:rsidP="003B6178">
            <w:pPr>
              <w:pStyle w:val="Tabletext"/>
            </w:pPr>
            <w:r w:rsidRPr="003F43B0">
              <w:t>3.1</w:t>
            </w:r>
          </w:p>
        </w:tc>
        <w:tc>
          <w:tcPr>
            <w:tcW w:w="2222" w:type="pct"/>
            <w:tcBorders>
              <w:top w:val="single" w:sz="12" w:space="0" w:color="auto"/>
              <w:left w:val="nil"/>
              <w:bottom w:val="nil"/>
              <w:right w:val="nil"/>
            </w:tcBorders>
            <w:shd w:val="clear" w:color="auto" w:fill="auto"/>
            <w:hideMark/>
          </w:tcPr>
          <w:p w:rsidR="00C735AF" w:rsidRPr="003F43B0" w:rsidRDefault="00C735AF" w:rsidP="003B6178">
            <w:pPr>
              <w:pStyle w:val="Tabletext"/>
            </w:pPr>
            <w:r w:rsidRPr="003F43B0">
              <w:t>Automatic data processing machines and units, magnetic or optical readers, machines for transcribing data onto data media in coded form, and machines for processing the data:</w:t>
            </w:r>
          </w:p>
        </w:tc>
        <w:tc>
          <w:tcPr>
            <w:tcW w:w="966" w:type="pct"/>
            <w:tcBorders>
              <w:top w:val="single" w:sz="12" w:space="0" w:color="auto"/>
              <w:left w:val="nil"/>
              <w:bottom w:val="nil"/>
              <w:right w:val="nil"/>
            </w:tcBorders>
            <w:shd w:val="clear" w:color="auto" w:fill="auto"/>
            <w:hideMark/>
          </w:tcPr>
          <w:p w:rsidR="00C735AF" w:rsidRPr="003F43B0" w:rsidRDefault="00C735AF" w:rsidP="003B6178">
            <w:pPr>
              <w:keepLines/>
              <w:spacing w:before="40"/>
            </w:pPr>
          </w:p>
        </w:tc>
        <w:tc>
          <w:tcPr>
            <w:tcW w:w="942" w:type="pct"/>
            <w:tcBorders>
              <w:top w:val="single" w:sz="12" w:space="0" w:color="auto"/>
              <w:left w:val="nil"/>
              <w:bottom w:val="nil"/>
            </w:tcBorders>
            <w:shd w:val="clear" w:color="auto" w:fill="auto"/>
          </w:tcPr>
          <w:p w:rsidR="00C735AF" w:rsidRPr="003F43B0" w:rsidRDefault="00C735AF" w:rsidP="003B6178">
            <w:pPr>
              <w:pStyle w:val="Tabletext"/>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a"/>
            </w:pPr>
          </w:p>
        </w:tc>
        <w:tc>
          <w:tcPr>
            <w:tcW w:w="2222" w:type="pct"/>
            <w:tcBorders>
              <w:top w:val="nil"/>
              <w:left w:val="nil"/>
              <w:bottom w:val="nil"/>
              <w:right w:val="nil"/>
            </w:tcBorders>
            <w:shd w:val="clear" w:color="auto" w:fill="auto"/>
          </w:tcPr>
          <w:p w:rsidR="00C735AF" w:rsidRPr="003F43B0" w:rsidRDefault="00C735AF" w:rsidP="003B6178">
            <w:pPr>
              <w:pStyle w:val="Tablea"/>
            </w:pPr>
            <w:r w:rsidRPr="003F43B0">
              <w:t>(a) portable automatic data processing machines, weighing not more than 10kg, consisting of at least a central processing unit, a keyboard and a display:</w:t>
            </w:r>
          </w:p>
        </w:tc>
        <w:tc>
          <w:tcPr>
            <w:tcW w:w="966" w:type="pct"/>
            <w:tcBorders>
              <w:top w:val="nil"/>
              <w:left w:val="nil"/>
              <w:bottom w:val="nil"/>
              <w:right w:val="nil"/>
            </w:tcBorders>
            <w:shd w:val="clear" w:color="auto" w:fill="auto"/>
          </w:tcPr>
          <w:p w:rsidR="00C735AF" w:rsidRPr="003F43B0" w:rsidRDefault="00C735AF" w:rsidP="003B6178">
            <w:pPr>
              <w:keepLines/>
              <w:spacing w:before="40"/>
            </w:pPr>
          </w:p>
        </w:tc>
        <w:tc>
          <w:tcPr>
            <w:tcW w:w="942" w:type="pct"/>
            <w:tcBorders>
              <w:top w:val="nil"/>
              <w:left w:val="nil"/>
              <w:bottom w:val="nil"/>
            </w:tcBorders>
            <w:shd w:val="clear" w:color="auto" w:fill="auto"/>
          </w:tcPr>
          <w:p w:rsidR="00C735AF" w:rsidRPr="003F43B0" w:rsidRDefault="00C735AF" w:rsidP="003B6178">
            <w:pPr>
              <w:pStyle w:val="Tabletext"/>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hideMark/>
          </w:tcPr>
          <w:p w:rsidR="00C735AF" w:rsidRPr="003F43B0" w:rsidRDefault="00C735AF" w:rsidP="003B6178">
            <w:pPr>
              <w:pStyle w:val="Tablei"/>
            </w:pPr>
            <w:r w:rsidRPr="003F43B0">
              <w:t>(i) laptops, notebooks and palmtops weighing:</w:t>
            </w:r>
          </w:p>
        </w:tc>
        <w:tc>
          <w:tcPr>
            <w:tcW w:w="966" w:type="pct"/>
            <w:tcBorders>
              <w:top w:val="nil"/>
              <w:left w:val="nil"/>
              <w:bottom w:val="nil"/>
              <w:right w:val="nil"/>
            </w:tcBorders>
            <w:shd w:val="clear" w:color="auto" w:fill="auto"/>
            <w:hideMark/>
          </w:tcPr>
          <w:p w:rsidR="00C735AF" w:rsidRPr="003F43B0" w:rsidRDefault="00C735AF" w:rsidP="003B6178">
            <w:pPr>
              <w:keepLines/>
              <w:spacing w:before="40"/>
            </w:pPr>
          </w:p>
        </w:tc>
        <w:tc>
          <w:tcPr>
            <w:tcW w:w="942" w:type="pct"/>
            <w:tcBorders>
              <w:top w:val="nil"/>
              <w:left w:val="nil"/>
              <w:bottom w:val="nil"/>
            </w:tcBorders>
            <w:shd w:val="clear" w:color="auto" w:fill="auto"/>
          </w:tcPr>
          <w:p w:rsidR="00C735AF" w:rsidRPr="003F43B0" w:rsidRDefault="00C735AF" w:rsidP="003B6178">
            <w:pPr>
              <w:pStyle w:val="Tabletext"/>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hideMark/>
          </w:tcPr>
          <w:p w:rsidR="00C735AF" w:rsidRPr="003F43B0" w:rsidRDefault="00C735AF" w:rsidP="003B6178">
            <w:pPr>
              <w:pStyle w:val="TableAA"/>
            </w:pPr>
            <w:r w:rsidRPr="003F43B0">
              <w:t>(A) not more than 1kg</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8471.30.00.31</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0.6</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hideMark/>
          </w:tcPr>
          <w:p w:rsidR="00C735AF" w:rsidRPr="003F43B0" w:rsidRDefault="00C735AF" w:rsidP="003B6178">
            <w:pPr>
              <w:pStyle w:val="TableAA"/>
            </w:pPr>
            <w:r w:rsidRPr="003F43B0">
              <w:t>(B) more than 1kg but not more than 3kg</w:t>
            </w:r>
          </w:p>
        </w:tc>
        <w:tc>
          <w:tcPr>
            <w:tcW w:w="966" w:type="pct"/>
            <w:tcBorders>
              <w:top w:val="nil"/>
              <w:left w:val="nil"/>
              <w:bottom w:val="nil"/>
              <w:right w:val="nil"/>
            </w:tcBorders>
            <w:shd w:val="clear" w:color="auto" w:fill="auto"/>
            <w:hideMark/>
          </w:tcPr>
          <w:p w:rsidR="00C735AF" w:rsidRPr="003F43B0" w:rsidRDefault="00C735AF" w:rsidP="003B6178">
            <w:pPr>
              <w:pStyle w:val="Tabletext"/>
            </w:pPr>
            <w:r w:rsidRPr="003F43B0">
              <w:t>8471.30.00.33</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2.3</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hideMark/>
          </w:tcPr>
          <w:p w:rsidR="00C735AF" w:rsidRPr="003F43B0" w:rsidRDefault="00C735AF" w:rsidP="003B6178">
            <w:pPr>
              <w:pStyle w:val="TableAA"/>
            </w:pPr>
            <w:r w:rsidRPr="003F43B0">
              <w:t>(C) more than 3kg but not more than 10kg</w:t>
            </w:r>
          </w:p>
        </w:tc>
        <w:tc>
          <w:tcPr>
            <w:tcW w:w="966" w:type="pct"/>
            <w:tcBorders>
              <w:top w:val="nil"/>
              <w:left w:val="nil"/>
              <w:bottom w:val="nil"/>
              <w:right w:val="nil"/>
            </w:tcBorders>
            <w:shd w:val="clear" w:color="auto" w:fill="auto"/>
            <w:hideMark/>
          </w:tcPr>
          <w:p w:rsidR="00C735AF" w:rsidRPr="003F43B0" w:rsidRDefault="00C735AF" w:rsidP="003B6178">
            <w:pPr>
              <w:pStyle w:val="Tabletext"/>
            </w:pPr>
            <w:r w:rsidRPr="003F43B0">
              <w:t>8471.30.00.34</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3.4</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i"/>
            </w:pPr>
            <w:r w:rsidRPr="003F43B0">
              <w:t>(ii) other</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8471.30.00.90</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3.0</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a"/>
            </w:pPr>
          </w:p>
        </w:tc>
        <w:tc>
          <w:tcPr>
            <w:tcW w:w="2222" w:type="pct"/>
            <w:tcBorders>
              <w:top w:val="nil"/>
              <w:left w:val="nil"/>
              <w:bottom w:val="nil"/>
              <w:right w:val="nil"/>
            </w:tcBorders>
            <w:shd w:val="clear" w:color="auto" w:fill="auto"/>
            <w:hideMark/>
          </w:tcPr>
          <w:p w:rsidR="00C735AF" w:rsidRPr="003F43B0" w:rsidRDefault="00C735AF" w:rsidP="003B6178">
            <w:pPr>
              <w:pStyle w:val="Tablea"/>
            </w:pPr>
            <w:r w:rsidRPr="003F43B0">
              <w:t>(b) other automatic data processing machines, comprising in the same housing at least a central processing unit and an input and output unit, whether or not combined:</w:t>
            </w:r>
          </w:p>
        </w:tc>
        <w:tc>
          <w:tcPr>
            <w:tcW w:w="966" w:type="pct"/>
            <w:tcBorders>
              <w:top w:val="nil"/>
              <w:left w:val="nil"/>
              <w:bottom w:val="nil"/>
              <w:right w:val="nil"/>
            </w:tcBorders>
            <w:shd w:val="clear" w:color="auto" w:fill="auto"/>
            <w:hideMark/>
          </w:tcPr>
          <w:p w:rsidR="00C735AF" w:rsidRPr="003F43B0" w:rsidRDefault="00C735AF" w:rsidP="003B6178">
            <w:pPr>
              <w:keepLines/>
            </w:pP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i"/>
            </w:pPr>
            <w:r w:rsidRPr="003F43B0">
              <w:t>(i) personal computers</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8471.41.00.21</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10.7</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i"/>
            </w:pPr>
            <w:r w:rsidRPr="003F43B0">
              <w:t>(ii) other</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8471.41.00.91</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10.0</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a"/>
            </w:pPr>
            <w:r w:rsidRPr="003F43B0">
              <w:t>(c) other automatic data processing machines, presented in the form of systems:</w:t>
            </w:r>
          </w:p>
        </w:tc>
        <w:tc>
          <w:tcPr>
            <w:tcW w:w="966" w:type="pct"/>
            <w:tcBorders>
              <w:top w:val="nil"/>
              <w:left w:val="nil"/>
              <w:bottom w:val="nil"/>
              <w:right w:val="nil"/>
            </w:tcBorders>
            <w:shd w:val="clear" w:color="auto" w:fill="auto"/>
          </w:tcPr>
          <w:p w:rsidR="00C735AF" w:rsidRPr="003F43B0" w:rsidRDefault="00C735AF" w:rsidP="003B6178">
            <w:pPr>
              <w:keepLines/>
            </w:pP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i"/>
            </w:pPr>
            <w:r w:rsidRPr="003F43B0">
              <w:t>(i) personal computers</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8471.49.00.22</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13.5</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i"/>
            </w:pPr>
            <w:r w:rsidRPr="003F43B0">
              <w:t>(ii) other</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8471.49.00.92</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13.5</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a"/>
            </w:pPr>
          </w:p>
        </w:tc>
        <w:tc>
          <w:tcPr>
            <w:tcW w:w="2222" w:type="pct"/>
            <w:tcBorders>
              <w:top w:val="nil"/>
              <w:left w:val="nil"/>
              <w:bottom w:val="nil"/>
              <w:right w:val="nil"/>
            </w:tcBorders>
            <w:shd w:val="clear" w:color="auto" w:fill="auto"/>
          </w:tcPr>
          <w:p w:rsidR="00C735AF" w:rsidRPr="003F43B0" w:rsidRDefault="00C735AF" w:rsidP="003B6178">
            <w:pPr>
              <w:pStyle w:val="Tablea"/>
            </w:pPr>
            <w:r w:rsidRPr="003F43B0">
              <w:t xml:space="preserve">(d) processing units other than those mentioned in </w:t>
            </w:r>
            <w:r w:rsidR="003F43B0" w:rsidRPr="003F43B0">
              <w:t>paragraphs (</w:t>
            </w:r>
            <w:r w:rsidRPr="003F43B0">
              <w:t>b) and (c), whether or not containing in the same housing one or 2 storage units, input units or output units:</w:t>
            </w:r>
          </w:p>
        </w:tc>
        <w:tc>
          <w:tcPr>
            <w:tcW w:w="966" w:type="pct"/>
            <w:tcBorders>
              <w:top w:val="nil"/>
              <w:left w:val="nil"/>
              <w:bottom w:val="nil"/>
              <w:right w:val="nil"/>
            </w:tcBorders>
            <w:shd w:val="clear" w:color="auto" w:fill="auto"/>
          </w:tcPr>
          <w:p w:rsidR="00C735AF" w:rsidRPr="003F43B0" w:rsidRDefault="00C735AF" w:rsidP="003B6178">
            <w:pPr>
              <w:keepLines/>
            </w:pP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222" w:type="pct"/>
            <w:tcBorders>
              <w:top w:val="nil"/>
              <w:left w:val="nil"/>
              <w:bottom w:val="nil"/>
              <w:right w:val="nil"/>
            </w:tcBorders>
            <w:shd w:val="clear" w:color="auto" w:fill="auto"/>
          </w:tcPr>
          <w:p w:rsidR="00C735AF" w:rsidRPr="003F43B0" w:rsidRDefault="00C735AF" w:rsidP="003B6178">
            <w:pPr>
              <w:pStyle w:val="Tablei"/>
            </w:pPr>
            <w:r w:rsidRPr="003F43B0">
              <w:t>(i) central processing units for personal computers</w:t>
            </w:r>
          </w:p>
        </w:tc>
        <w:tc>
          <w:tcPr>
            <w:tcW w:w="966" w:type="pct"/>
            <w:tcBorders>
              <w:top w:val="nil"/>
              <w:left w:val="nil"/>
              <w:bottom w:val="nil"/>
              <w:right w:val="nil"/>
            </w:tcBorders>
            <w:shd w:val="clear" w:color="auto" w:fill="auto"/>
          </w:tcPr>
          <w:p w:rsidR="00C735AF" w:rsidRPr="003F43B0" w:rsidRDefault="00C735AF" w:rsidP="003B6178">
            <w:pPr>
              <w:pStyle w:val="Tabletext"/>
            </w:pPr>
            <w:r w:rsidRPr="003F43B0">
              <w:t>8471.50.00.23</w:t>
            </w:r>
          </w:p>
        </w:tc>
        <w:tc>
          <w:tcPr>
            <w:tcW w:w="942" w:type="pct"/>
            <w:tcBorders>
              <w:top w:val="nil"/>
              <w:left w:val="nil"/>
              <w:bottom w:val="nil"/>
            </w:tcBorders>
            <w:shd w:val="clear" w:color="auto" w:fill="auto"/>
          </w:tcPr>
          <w:p w:rsidR="00C735AF" w:rsidRPr="003F43B0" w:rsidRDefault="00C735AF" w:rsidP="003B6178">
            <w:pPr>
              <w:pStyle w:val="Tabletext"/>
              <w:tabs>
                <w:tab w:val="decimal" w:pos="580"/>
              </w:tabs>
            </w:pPr>
            <w:r w:rsidRPr="003F43B0">
              <w:t>10.4</w:t>
            </w:r>
          </w:p>
        </w:tc>
      </w:tr>
      <w:tr w:rsidR="00DB529A" w:rsidRPr="003F43B0" w:rsidTr="008E1558">
        <w:tc>
          <w:tcPr>
            <w:tcW w:w="870" w:type="pct"/>
            <w:tcBorders>
              <w:top w:val="nil"/>
              <w:bottom w:val="single" w:sz="4" w:space="0" w:color="auto"/>
              <w:right w:val="nil"/>
            </w:tcBorders>
            <w:shd w:val="clear" w:color="auto" w:fill="auto"/>
          </w:tcPr>
          <w:p w:rsidR="00C735AF" w:rsidRPr="003F43B0" w:rsidRDefault="00C735AF" w:rsidP="003B6178">
            <w:pPr>
              <w:pStyle w:val="Tabletext"/>
            </w:pPr>
          </w:p>
        </w:tc>
        <w:tc>
          <w:tcPr>
            <w:tcW w:w="2222" w:type="pct"/>
            <w:tcBorders>
              <w:top w:val="nil"/>
              <w:left w:val="nil"/>
              <w:bottom w:val="single" w:sz="4" w:space="0" w:color="auto"/>
              <w:right w:val="nil"/>
            </w:tcBorders>
            <w:shd w:val="clear" w:color="auto" w:fill="auto"/>
          </w:tcPr>
          <w:p w:rsidR="00C735AF" w:rsidRPr="003F43B0" w:rsidRDefault="00C735AF" w:rsidP="003B6178">
            <w:pPr>
              <w:pStyle w:val="Tablei"/>
            </w:pPr>
            <w:r w:rsidRPr="003F43B0">
              <w:t>(ii) other</w:t>
            </w:r>
          </w:p>
        </w:tc>
        <w:tc>
          <w:tcPr>
            <w:tcW w:w="966" w:type="pct"/>
            <w:tcBorders>
              <w:top w:val="nil"/>
              <w:left w:val="nil"/>
              <w:bottom w:val="single" w:sz="4" w:space="0" w:color="auto"/>
              <w:right w:val="nil"/>
            </w:tcBorders>
            <w:shd w:val="clear" w:color="auto" w:fill="auto"/>
          </w:tcPr>
          <w:p w:rsidR="00C735AF" w:rsidRPr="003F43B0" w:rsidRDefault="00C735AF" w:rsidP="003B6178">
            <w:pPr>
              <w:pStyle w:val="Tabletext"/>
            </w:pPr>
            <w:r w:rsidRPr="003F43B0">
              <w:t>8471.50.00.93</w:t>
            </w:r>
          </w:p>
        </w:tc>
        <w:tc>
          <w:tcPr>
            <w:tcW w:w="942" w:type="pct"/>
            <w:tcBorders>
              <w:top w:val="nil"/>
              <w:left w:val="nil"/>
              <w:bottom w:val="single" w:sz="4" w:space="0" w:color="auto"/>
            </w:tcBorders>
            <w:shd w:val="clear" w:color="auto" w:fill="auto"/>
          </w:tcPr>
          <w:p w:rsidR="00C735AF" w:rsidRPr="003F43B0" w:rsidRDefault="00C735AF" w:rsidP="003B6178">
            <w:pPr>
              <w:pStyle w:val="Tabletext"/>
              <w:tabs>
                <w:tab w:val="decimal" w:pos="580"/>
              </w:tabs>
            </w:pPr>
            <w:r w:rsidRPr="003F43B0">
              <w:t>13.2</w:t>
            </w:r>
          </w:p>
        </w:tc>
      </w:tr>
      <w:tr w:rsidR="00DB529A" w:rsidRPr="003F43B0" w:rsidTr="008E1558">
        <w:tc>
          <w:tcPr>
            <w:tcW w:w="870" w:type="pct"/>
            <w:tcBorders>
              <w:top w:val="single" w:sz="4" w:space="0" w:color="auto"/>
              <w:bottom w:val="nil"/>
            </w:tcBorders>
            <w:shd w:val="clear" w:color="auto" w:fill="auto"/>
          </w:tcPr>
          <w:p w:rsidR="00C735AF" w:rsidRPr="003F43B0" w:rsidRDefault="00C735AF" w:rsidP="003B6178">
            <w:pPr>
              <w:pStyle w:val="Tabletext"/>
            </w:pPr>
            <w:r w:rsidRPr="003F43B0">
              <w:t>3.2</w:t>
            </w:r>
          </w:p>
        </w:tc>
        <w:tc>
          <w:tcPr>
            <w:tcW w:w="2222" w:type="pct"/>
            <w:tcBorders>
              <w:top w:val="single" w:sz="4" w:space="0" w:color="auto"/>
              <w:bottom w:val="nil"/>
            </w:tcBorders>
            <w:shd w:val="clear" w:color="auto" w:fill="auto"/>
          </w:tcPr>
          <w:p w:rsidR="00C735AF" w:rsidRPr="003F43B0" w:rsidRDefault="00C735AF" w:rsidP="003B6178">
            <w:pPr>
              <w:pStyle w:val="Tabletext"/>
            </w:pPr>
            <w:r w:rsidRPr="003F43B0">
              <w:t>Monitors and projectors, not incorporating television reception apparatus, reception apparatus for television, whether or not incorporating radio</w:t>
            </w:r>
            <w:r w:rsidR="003F43B0">
              <w:noBreakHyphen/>
            </w:r>
            <w:r w:rsidRPr="003F43B0">
              <w:t>broadcast receivers or sound or video recording or reproducing apparatus:</w:t>
            </w:r>
          </w:p>
        </w:tc>
        <w:tc>
          <w:tcPr>
            <w:tcW w:w="966" w:type="pct"/>
            <w:tcBorders>
              <w:top w:val="single" w:sz="4" w:space="0" w:color="auto"/>
              <w:bottom w:val="nil"/>
            </w:tcBorders>
            <w:shd w:val="clear" w:color="auto" w:fill="auto"/>
          </w:tcPr>
          <w:p w:rsidR="00C735AF" w:rsidRPr="003F43B0" w:rsidRDefault="00C735AF" w:rsidP="003B6178">
            <w:pPr>
              <w:keepLines/>
            </w:pPr>
          </w:p>
        </w:tc>
        <w:tc>
          <w:tcPr>
            <w:tcW w:w="942" w:type="pct"/>
            <w:tcBorders>
              <w:top w:val="single" w:sz="4" w:space="0" w:color="auto"/>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222" w:type="pct"/>
            <w:tcBorders>
              <w:top w:val="nil"/>
              <w:bottom w:val="nil"/>
            </w:tcBorders>
            <w:shd w:val="clear" w:color="auto" w:fill="auto"/>
          </w:tcPr>
          <w:p w:rsidR="00C735AF" w:rsidRPr="003F43B0" w:rsidRDefault="00C735AF" w:rsidP="003B6178">
            <w:pPr>
              <w:pStyle w:val="Tablea"/>
            </w:pPr>
            <w:r w:rsidRPr="003F43B0">
              <w:t>(a) cathode</w:t>
            </w:r>
            <w:r w:rsidR="003F43B0">
              <w:noBreakHyphen/>
            </w:r>
            <w:r w:rsidRPr="003F43B0">
              <w:t>ray tube monitors of a kind solely or principally used in an automatic data processing system mentioned in item</w:t>
            </w:r>
            <w:r w:rsidR="003F43B0" w:rsidRPr="003F43B0">
              <w:t> </w:t>
            </w:r>
            <w:r w:rsidRPr="003F43B0">
              <w:t>3.1</w:t>
            </w:r>
          </w:p>
        </w:tc>
        <w:tc>
          <w:tcPr>
            <w:tcW w:w="966" w:type="pct"/>
            <w:tcBorders>
              <w:top w:val="nil"/>
              <w:bottom w:val="nil"/>
            </w:tcBorders>
            <w:shd w:val="clear" w:color="auto" w:fill="auto"/>
          </w:tcPr>
          <w:p w:rsidR="00C735AF" w:rsidRPr="003F43B0" w:rsidRDefault="00C735AF" w:rsidP="003B6178">
            <w:pPr>
              <w:pStyle w:val="Tabletext"/>
            </w:pPr>
            <w:r w:rsidRPr="003F43B0">
              <w:t>8528.41.00.10</w:t>
            </w:r>
          </w:p>
        </w:tc>
        <w:tc>
          <w:tcPr>
            <w:tcW w:w="942" w:type="pct"/>
            <w:tcBorders>
              <w:top w:val="nil"/>
              <w:bottom w:val="nil"/>
            </w:tcBorders>
            <w:shd w:val="clear" w:color="auto" w:fill="auto"/>
          </w:tcPr>
          <w:p w:rsidR="00C735AF" w:rsidRPr="003F43B0" w:rsidRDefault="00C735AF" w:rsidP="003B6178">
            <w:pPr>
              <w:pStyle w:val="Tabletext"/>
              <w:tabs>
                <w:tab w:val="decimal" w:pos="580"/>
              </w:tabs>
            </w:pPr>
            <w:r w:rsidRPr="003F43B0">
              <w:t>11.4</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222" w:type="pct"/>
            <w:tcBorders>
              <w:top w:val="nil"/>
              <w:bottom w:val="nil"/>
            </w:tcBorders>
            <w:shd w:val="clear" w:color="auto" w:fill="auto"/>
          </w:tcPr>
          <w:p w:rsidR="00C735AF" w:rsidRPr="003F43B0" w:rsidRDefault="00C735AF" w:rsidP="003B6178">
            <w:pPr>
              <w:pStyle w:val="Tablea"/>
            </w:pPr>
            <w:r w:rsidRPr="003F43B0">
              <w:t>(b) other monitors of a kind solely or principally used in an automatic data processing system mentioned in item</w:t>
            </w:r>
            <w:r w:rsidR="003F43B0" w:rsidRPr="003F43B0">
              <w:t> </w:t>
            </w:r>
            <w:r w:rsidRPr="003F43B0">
              <w:t>3.1:</w:t>
            </w:r>
          </w:p>
        </w:tc>
        <w:tc>
          <w:tcPr>
            <w:tcW w:w="966" w:type="pct"/>
            <w:tcBorders>
              <w:top w:val="nil"/>
              <w:bottom w:val="nil"/>
            </w:tcBorders>
            <w:shd w:val="clear" w:color="auto" w:fill="auto"/>
          </w:tcPr>
          <w:p w:rsidR="00C735AF" w:rsidRPr="003F43B0" w:rsidRDefault="00C735AF" w:rsidP="003B6178">
            <w:pPr>
              <w:keepLines/>
            </w:pPr>
          </w:p>
        </w:tc>
        <w:tc>
          <w:tcPr>
            <w:tcW w:w="942" w:type="pct"/>
            <w:tcBorders>
              <w:top w:val="nil"/>
              <w:bottom w:val="nil"/>
            </w:tcBorders>
            <w:shd w:val="clear" w:color="auto" w:fill="auto"/>
          </w:tcPr>
          <w:p w:rsidR="00C735AF" w:rsidRPr="003F43B0" w:rsidRDefault="00C735AF" w:rsidP="003B6178">
            <w:pPr>
              <w:pStyle w:val="Tabletext"/>
              <w:tabs>
                <w:tab w:val="decimal" w:pos="580"/>
              </w:tabs>
            </w:pP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222" w:type="pct"/>
            <w:tcBorders>
              <w:top w:val="nil"/>
              <w:bottom w:val="nil"/>
            </w:tcBorders>
            <w:shd w:val="clear" w:color="auto" w:fill="auto"/>
          </w:tcPr>
          <w:p w:rsidR="00C735AF" w:rsidRPr="003F43B0" w:rsidRDefault="00C735AF" w:rsidP="003B6178">
            <w:pPr>
              <w:pStyle w:val="Tablei"/>
            </w:pPr>
            <w:r w:rsidRPr="003F43B0">
              <w:t>(i) flat screen monitors</w:t>
            </w:r>
          </w:p>
        </w:tc>
        <w:tc>
          <w:tcPr>
            <w:tcW w:w="966" w:type="pct"/>
            <w:tcBorders>
              <w:top w:val="nil"/>
              <w:bottom w:val="nil"/>
            </w:tcBorders>
            <w:shd w:val="clear" w:color="auto" w:fill="auto"/>
          </w:tcPr>
          <w:p w:rsidR="00C735AF" w:rsidRPr="003F43B0" w:rsidRDefault="00C735AF" w:rsidP="003B6178">
            <w:pPr>
              <w:pStyle w:val="Tabletext"/>
            </w:pPr>
            <w:r w:rsidRPr="003F43B0">
              <w:t>8528.51.00.32</w:t>
            </w:r>
          </w:p>
        </w:tc>
        <w:tc>
          <w:tcPr>
            <w:tcW w:w="942" w:type="pct"/>
            <w:tcBorders>
              <w:top w:val="nil"/>
              <w:bottom w:val="nil"/>
            </w:tcBorders>
            <w:shd w:val="clear" w:color="auto" w:fill="auto"/>
          </w:tcPr>
          <w:p w:rsidR="00C735AF" w:rsidRPr="003F43B0" w:rsidRDefault="00C735AF" w:rsidP="003B6178">
            <w:pPr>
              <w:pStyle w:val="Tabletext"/>
              <w:tabs>
                <w:tab w:val="decimal" w:pos="580"/>
              </w:tabs>
            </w:pPr>
            <w:r w:rsidRPr="003F43B0">
              <w:t>6.4</w:t>
            </w:r>
          </w:p>
        </w:tc>
      </w:tr>
      <w:tr w:rsidR="00DB529A" w:rsidRPr="003F43B0" w:rsidTr="008E1558">
        <w:tc>
          <w:tcPr>
            <w:tcW w:w="870" w:type="pct"/>
            <w:tcBorders>
              <w:top w:val="nil"/>
              <w:bottom w:val="single" w:sz="12" w:space="0" w:color="auto"/>
            </w:tcBorders>
            <w:shd w:val="clear" w:color="auto" w:fill="auto"/>
          </w:tcPr>
          <w:p w:rsidR="00C735AF" w:rsidRPr="003F43B0" w:rsidRDefault="00C735AF" w:rsidP="003B6178">
            <w:pPr>
              <w:pStyle w:val="Tabletext"/>
            </w:pPr>
          </w:p>
        </w:tc>
        <w:tc>
          <w:tcPr>
            <w:tcW w:w="2222" w:type="pct"/>
            <w:tcBorders>
              <w:top w:val="nil"/>
              <w:bottom w:val="single" w:sz="12" w:space="0" w:color="auto"/>
            </w:tcBorders>
            <w:shd w:val="clear" w:color="auto" w:fill="auto"/>
          </w:tcPr>
          <w:p w:rsidR="00C735AF" w:rsidRPr="003F43B0" w:rsidRDefault="00C735AF" w:rsidP="003B6178">
            <w:pPr>
              <w:pStyle w:val="Tablei"/>
            </w:pPr>
            <w:r w:rsidRPr="003F43B0">
              <w:t>(ii) other</w:t>
            </w:r>
          </w:p>
        </w:tc>
        <w:tc>
          <w:tcPr>
            <w:tcW w:w="966" w:type="pct"/>
            <w:tcBorders>
              <w:top w:val="nil"/>
              <w:bottom w:val="single" w:sz="12" w:space="0" w:color="auto"/>
            </w:tcBorders>
            <w:shd w:val="clear" w:color="auto" w:fill="auto"/>
          </w:tcPr>
          <w:p w:rsidR="00C735AF" w:rsidRPr="003F43B0" w:rsidRDefault="00C735AF" w:rsidP="003B6178">
            <w:pPr>
              <w:pStyle w:val="Tabletext"/>
            </w:pPr>
            <w:r w:rsidRPr="003F43B0">
              <w:t>8528.51.00.33</w:t>
            </w:r>
          </w:p>
        </w:tc>
        <w:tc>
          <w:tcPr>
            <w:tcW w:w="942" w:type="pct"/>
            <w:tcBorders>
              <w:top w:val="nil"/>
              <w:bottom w:val="single" w:sz="12" w:space="0" w:color="auto"/>
            </w:tcBorders>
            <w:shd w:val="clear" w:color="auto" w:fill="auto"/>
          </w:tcPr>
          <w:p w:rsidR="00C735AF" w:rsidRPr="003F43B0" w:rsidRDefault="00C735AF" w:rsidP="003B6178">
            <w:pPr>
              <w:pStyle w:val="Tabletext"/>
              <w:tabs>
                <w:tab w:val="decimal" w:pos="580"/>
              </w:tabs>
            </w:pPr>
            <w:r w:rsidRPr="003F43B0">
              <w:t>6.3</w:t>
            </w:r>
          </w:p>
        </w:tc>
      </w:tr>
    </w:tbl>
    <w:p w:rsidR="00C735AF" w:rsidRPr="003F43B0" w:rsidRDefault="00C735AF" w:rsidP="00C735AF">
      <w:pPr>
        <w:pStyle w:val="ActHead2"/>
      </w:pPr>
      <w:bookmarkStart w:id="41" w:name="_Toc358878557"/>
      <w:r w:rsidRPr="003F43B0">
        <w:rPr>
          <w:rStyle w:val="CharPartNo"/>
        </w:rPr>
        <w:t>Part</w:t>
      </w:r>
      <w:r w:rsidR="003F43B0" w:rsidRPr="003F43B0">
        <w:rPr>
          <w:rStyle w:val="CharPartNo"/>
        </w:rPr>
        <w:t> </w:t>
      </w:r>
      <w:r w:rsidRPr="003F43B0">
        <w:rPr>
          <w:rStyle w:val="CharPartNo"/>
        </w:rPr>
        <w:t>3</w:t>
      </w:r>
      <w:r w:rsidRPr="003F43B0">
        <w:t>—</w:t>
      </w:r>
      <w:r w:rsidRPr="003F43B0">
        <w:rPr>
          <w:rStyle w:val="CharPartText"/>
        </w:rPr>
        <w:t>Printers</w:t>
      </w:r>
      <w:bookmarkEnd w:id="41"/>
    </w:p>
    <w:p w:rsidR="00C735AF" w:rsidRPr="003F43B0" w:rsidRDefault="00C735AF" w:rsidP="00C735AF">
      <w:pPr>
        <w:pStyle w:val="Header"/>
      </w:pPr>
      <w:r w:rsidRPr="003F43B0">
        <w:rPr>
          <w:rStyle w:val="CharDivNo"/>
        </w:rPr>
        <w:t xml:space="preserve"> </w:t>
      </w:r>
      <w:r w:rsidRPr="003F43B0">
        <w:rPr>
          <w:rStyle w:val="CharDivText"/>
        </w:rPr>
        <w:t xml:space="preserve"> </w:t>
      </w:r>
    </w:p>
    <w:p w:rsidR="00C735AF" w:rsidRPr="003F43B0" w:rsidRDefault="00C735AF" w:rsidP="00C735AF">
      <w:pPr>
        <w:pStyle w:val="Tabletext"/>
        <w:keepN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271"/>
        <w:gridCol w:w="3105"/>
        <w:gridCol w:w="28"/>
        <w:gridCol w:w="1523"/>
        <w:gridCol w:w="9"/>
        <w:gridCol w:w="1367"/>
      </w:tblGrid>
      <w:tr w:rsidR="00FF2DA1" w:rsidRPr="003F43B0" w:rsidTr="00FF2DA1">
        <w:trPr>
          <w:tblHeader/>
        </w:trPr>
        <w:tc>
          <w:tcPr>
            <w:tcW w:w="5000" w:type="pct"/>
            <w:gridSpan w:val="6"/>
            <w:tcBorders>
              <w:top w:val="single" w:sz="12" w:space="0" w:color="auto"/>
              <w:bottom w:val="single" w:sz="6" w:space="0" w:color="auto"/>
            </w:tcBorders>
            <w:shd w:val="clear" w:color="auto" w:fill="auto"/>
          </w:tcPr>
          <w:p w:rsidR="00FF2DA1" w:rsidRPr="003F43B0" w:rsidRDefault="00FF2DA1" w:rsidP="00A41C5D">
            <w:pPr>
              <w:pStyle w:val="TableHeading"/>
            </w:pPr>
            <w:r w:rsidRPr="003F43B0">
              <w:t>Printers—product codes and conversion factors</w:t>
            </w:r>
          </w:p>
        </w:tc>
      </w:tr>
      <w:tr w:rsidR="00DB529A" w:rsidRPr="003F43B0" w:rsidTr="008E1558">
        <w:trPr>
          <w:tblHeader/>
        </w:trPr>
        <w:tc>
          <w:tcPr>
            <w:tcW w:w="870" w:type="pct"/>
            <w:tcBorders>
              <w:top w:val="single" w:sz="6" w:space="0" w:color="auto"/>
              <w:bottom w:val="single" w:sz="12" w:space="0" w:color="auto"/>
            </w:tcBorders>
            <w:shd w:val="clear" w:color="auto" w:fill="auto"/>
            <w:hideMark/>
          </w:tcPr>
          <w:p w:rsidR="00C735AF" w:rsidRPr="003F43B0" w:rsidRDefault="00C735AF" w:rsidP="00A41C5D">
            <w:pPr>
              <w:pStyle w:val="TableHeading"/>
            </w:pPr>
            <w:r w:rsidRPr="003F43B0">
              <w:t>Item</w:t>
            </w:r>
          </w:p>
        </w:tc>
        <w:tc>
          <w:tcPr>
            <w:tcW w:w="2145" w:type="pct"/>
            <w:gridSpan w:val="2"/>
            <w:tcBorders>
              <w:top w:val="single" w:sz="6" w:space="0" w:color="auto"/>
              <w:bottom w:val="single" w:sz="12" w:space="0" w:color="auto"/>
            </w:tcBorders>
            <w:shd w:val="clear" w:color="auto" w:fill="auto"/>
            <w:hideMark/>
          </w:tcPr>
          <w:p w:rsidR="00FF2DA1" w:rsidRPr="003F43B0" w:rsidRDefault="00FF2DA1" w:rsidP="00A41C5D">
            <w:pPr>
              <w:pStyle w:val="TableHeading"/>
            </w:pPr>
            <w:r w:rsidRPr="003F43B0">
              <w:t>Column 1</w:t>
            </w:r>
          </w:p>
          <w:p w:rsidR="00C735AF" w:rsidRPr="003F43B0" w:rsidRDefault="00C735AF" w:rsidP="00A41C5D">
            <w:pPr>
              <w:pStyle w:val="TableHeading"/>
            </w:pPr>
            <w:r w:rsidRPr="003F43B0">
              <w:t>Description</w:t>
            </w:r>
          </w:p>
        </w:tc>
        <w:tc>
          <w:tcPr>
            <w:tcW w:w="1049" w:type="pct"/>
            <w:gridSpan w:val="2"/>
            <w:tcBorders>
              <w:top w:val="single" w:sz="6" w:space="0" w:color="auto"/>
              <w:bottom w:val="single" w:sz="12" w:space="0" w:color="auto"/>
            </w:tcBorders>
            <w:shd w:val="clear" w:color="auto" w:fill="auto"/>
            <w:hideMark/>
          </w:tcPr>
          <w:p w:rsidR="00FF2DA1" w:rsidRPr="003F43B0" w:rsidRDefault="00FF2DA1" w:rsidP="00A41C5D">
            <w:pPr>
              <w:pStyle w:val="TableHeading"/>
            </w:pPr>
            <w:r w:rsidRPr="003F43B0">
              <w:t>Column 2</w:t>
            </w:r>
          </w:p>
          <w:p w:rsidR="00C735AF" w:rsidRPr="003F43B0" w:rsidRDefault="00C735AF" w:rsidP="00A41C5D">
            <w:pPr>
              <w:pStyle w:val="TableHeading"/>
            </w:pPr>
            <w:r w:rsidRPr="003F43B0">
              <w:t>Product code</w:t>
            </w:r>
          </w:p>
        </w:tc>
        <w:tc>
          <w:tcPr>
            <w:tcW w:w="936" w:type="pct"/>
            <w:tcBorders>
              <w:top w:val="single" w:sz="6" w:space="0" w:color="auto"/>
              <w:bottom w:val="single" w:sz="12" w:space="0" w:color="auto"/>
            </w:tcBorders>
            <w:shd w:val="clear" w:color="auto" w:fill="auto"/>
          </w:tcPr>
          <w:p w:rsidR="00FF2DA1" w:rsidRPr="003F43B0" w:rsidRDefault="00FF2DA1" w:rsidP="00A41C5D">
            <w:pPr>
              <w:pStyle w:val="TableHeading"/>
            </w:pPr>
            <w:r w:rsidRPr="003F43B0">
              <w:t>Column 3</w:t>
            </w:r>
          </w:p>
          <w:p w:rsidR="00C735AF" w:rsidRPr="003F43B0" w:rsidRDefault="00C735AF" w:rsidP="00A41C5D">
            <w:pPr>
              <w:pStyle w:val="TableHeading"/>
            </w:pPr>
            <w:r w:rsidRPr="003F43B0">
              <w:t>Conversion factor (kg)</w:t>
            </w:r>
          </w:p>
        </w:tc>
      </w:tr>
      <w:tr w:rsidR="00DB529A" w:rsidRPr="003F43B0" w:rsidTr="008E1558">
        <w:tc>
          <w:tcPr>
            <w:tcW w:w="870" w:type="pct"/>
            <w:tcBorders>
              <w:top w:val="single" w:sz="12" w:space="0" w:color="auto"/>
              <w:bottom w:val="nil"/>
              <w:right w:val="nil"/>
            </w:tcBorders>
            <w:shd w:val="clear" w:color="auto" w:fill="auto"/>
          </w:tcPr>
          <w:p w:rsidR="00C735AF" w:rsidRPr="003F43B0" w:rsidRDefault="00C735AF" w:rsidP="003B6178">
            <w:pPr>
              <w:pStyle w:val="Tabletext"/>
            </w:pPr>
            <w:r w:rsidRPr="003F43B0">
              <w:t>4.1</w:t>
            </w:r>
          </w:p>
        </w:tc>
        <w:tc>
          <w:tcPr>
            <w:tcW w:w="2126" w:type="pct"/>
            <w:tcBorders>
              <w:top w:val="single" w:sz="12" w:space="0" w:color="auto"/>
              <w:left w:val="nil"/>
              <w:bottom w:val="nil"/>
              <w:right w:val="nil"/>
            </w:tcBorders>
            <w:shd w:val="clear" w:color="auto" w:fill="auto"/>
            <w:hideMark/>
          </w:tcPr>
          <w:p w:rsidR="00C735AF" w:rsidRPr="003F43B0" w:rsidRDefault="00C735AF" w:rsidP="003B6178">
            <w:pPr>
              <w:pStyle w:val="Tabletext"/>
            </w:pPr>
            <w:r w:rsidRPr="003F43B0">
              <w:t>Machines which perform 2 or more of the functions of printing, copying or fax transmission (with printing or copying as the principal function) capable of connecting to an automatic data processing machine or to a network, weighing:</w:t>
            </w:r>
          </w:p>
        </w:tc>
        <w:tc>
          <w:tcPr>
            <w:tcW w:w="1062" w:type="pct"/>
            <w:gridSpan w:val="2"/>
            <w:tcBorders>
              <w:top w:val="single" w:sz="12" w:space="0" w:color="auto"/>
              <w:left w:val="nil"/>
              <w:bottom w:val="nil"/>
              <w:right w:val="nil"/>
            </w:tcBorders>
            <w:shd w:val="clear" w:color="auto" w:fill="auto"/>
            <w:hideMark/>
          </w:tcPr>
          <w:p w:rsidR="00C735AF" w:rsidRPr="003F43B0" w:rsidRDefault="00C735AF" w:rsidP="003B6178">
            <w:pPr>
              <w:keepLines/>
            </w:pPr>
          </w:p>
        </w:tc>
        <w:tc>
          <w:tcPr>
            <w:tcW w:w="942" w:type="pct"/>
            <w:gridSpan w:val="2"/>
            <w:tcBorders>
              <w:top w:val="single" w:sz="12" w:space="0" w:color="auto"/>
              <w:left w:val="nil"/>
              <w:bottom w:val="nil"/>
            </w:tcBorders>
            <w:shd w:val="clear" w:color="auto" w:fill="auto"/>
          </w:tcPr>
          <w:p w:rsidR="00C735AF" w:rsidRPr="003F43B0" w:rsidRDefault="00C735AF" w:rsidP="003B6178">
            <w:pPr>
              <w:pStyle w:val="Tabletext"/>
            </w:pP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(a) not more than 10kg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8443.31.00.20</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5.3</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(b) more than 10kg but not more than 20kg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8443.31.00.21</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11.7</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(c) more than 20kg but not more than 50kg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8443.31.00.22</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23.6</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(d) more than 50kg but not more than 100kg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8443.31.00.23</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81.6</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(e) more than 100kg but not more than 150kg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8443.31.00.24</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122.0</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(f) more than 150kg but not more than 200kg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8443.31.00.25</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152.0</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(g) more than 200kg but not more than 300kg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8443.31.00.26</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238.3</w:t>
            </w:r>
          </w:p>
        </w:tc>
      </w:tr>
      <w:tr w:rsidR="00DB529A" w:rsidRPr="003F43B0" w:rsidTr="008E1558">
        <w:tc>
          <w:tcPr>
            <w:tcW w:w="870" w:type="pct"/>
            <w:tcBorders>
              <w:top w:val="nil"/>
              <w:bottom w:val="nil"/>
              <w:right w:val="nil"/>
            </w:tcBorders>
            <w:shd w:val="clear" w:color="auto" w:fill="auto"/>
          </w:tcPr>
          <w:p w:rsidR="00C735AF" w:rsidRPr="003F43B0" w:rsidRDefault="00C735AF" w:rsidP="003B6178">
            <w:pPr>
              <w:pStyle w:val="Tabletext"/>
            </w:pPr>
          </w:p>
        </w:tc>
        <w:tc>
          <w:tcPr>
            <w:tcW w:w="2126" w:type="pct"/>
            <w:tcBorders>
              <w:top w:val="nil"/>
              <w:left w:val="nil"/>
              <w:bottom w:val="nil"/>
              <w:right w:val="nil"/>
            </w:tcBorders>
            <w:shd w:val="clear" w:color="auto" w:fill="auto"/>
            <w:hideMark/>
          </w:tcPr>
          <w:p w:rsidR="00C735AF" w:rsidRPr="003F43B0" w:rsidRDefault="00C735AF" w:rsidP="003B6178">
            <w:pPr>
              <w:pStyle w:val="Tablea"/>
            </w:pPr>
            <w:r w:rsidRPr="003F43B0">
              <w:t>(h) more than 300kg but not more than 500kg</w:t>
            </w:r>
          </w:p>
        </w:tc>
        <w:tc>
          <w:tcPr>
            <w:tcW w:w="1062" w:type="pct"/>
            <w:gridSpan w:val="2"/>
            <w:tcBorders>
              <w:top w:val="nil"/>
              <w:left w:val="nil"/>
              <w:bottom w:val="nil"/>
              <w:right w:val="nil"/>
            </w:tcBorders>
            <w:shd w:val="clear" w:color="auto" w:fill="auto"/>
            <w:hideMark/>
          </w:tcPr>
          <w:p w:rsidR="00C735AF" w:rsidRPr="003F43B0" w:rsidRDefault="00C735AF" w:rsidP="003B6178">
            <w:pPr>
              <w:pStyle w:val="Tabletext"/>
            </w:pPr>
            <w:r w:rsidRPr="003F43B0">
              <w:t>8443.31.00.27</w:t>
            </w:r>
          </w:p>
        </w:tc>
        <w:tc>
          <w:tcPr>
            <w:tcW w:w="942" w:type="pct"/>
            <w:gridSpan w:val="2"/>
            <w:tcBorders>
              <w:top w:val="nil"/>
              <w:left w:val="nil"/>
              <w:bottom w:val="nil"/>
            </w:tcBorders>
            <w:shd w:val="clear" w:color="auto" w:fill="auto"/>
          </w:tcPr>
          <w:p w:rsidR="00C735AF" w:rsidRPr="003F43B0" w:rsidRDefault="00C735AF" w:rsidP="003B6178">
            <w:pPr>
              <w:pStyle w:val="Tabletext"/>
              <w:tabs>
                <w:tab w:val="decimal" w:pos="640"/>
              </w:tabs>
            </w:pPr>
            <w:r w:rsidRPr="003F43B0">
              <w:t>304.0</w:t>
            </w:r>
          </w:p>
        </w:tc>
      </w:tr>
      <w:tr w:rsidR="00DB529A" w:rsidRPr="003F43B0" w:rsidTr="008E1558">
        <w:tc>
          <w:tcPr>
            <w:tcW w:w="870" w:type="pct"/>
            <w:tcBorders>
              <w:top w:val="nil"/>
              <w:bottom w:val="single" w:sz="4" w:space="0" w:color="auto"/>
              <w:right w:val="nil"/>
            </w:tcBorders>
            <w:shd w:val="clear" w:color="auto" w:fill="auto"/>
          </w:tcPr>
          <w:p w:rsidR="00C735AF" w:rsidRPr="003F43B0" w:rsidRDefault="00C735AF" w:rsidP="003B6178">
            <w:pPr>
              <w:pStyle w:val="Tabletext"/>
            </w:pPr>
          </w:p>
        </w:tc>
        <w:tc>
          <w:tcPr>
            <w:tcW w:w="2126" w:type="pct"/>
            <w:tcBorders>
              <w:top w:val="nil"/>
              <w:left w:val="nil"/>
              <w:bottom w:val="single" w:sz="4" w:space="0" w:color="auto"/>
              <w:right w:val="nil"/>
            </w:tcBorders>
            <w:shd w:val="clear" w:color="auto" w:fill="auto"/>
            <w:hideMark/>
          </w:tcPr>
          <w:p w:rsidR="00C735AF" w:rsidRPr="003F43B0" w:rsidRDefault="00C735AF" w:rsidP="003B6178">
            <w:pPr>
              <w:pStyle w:val="Tablea"/>
            </w:pPr>
            <w:r w:rsidRPr="003F43B0">
              <w:t>(i) more than 500kg</w:t>
            </w:r>
          </w:p>
        </w:tc>
        <w:tc>
          <w:tcPr>
            <w:tcW w:w="1062" w:type="pct"/>
            <w:gridSpan w:val="2"/>
            <w:tcBorders>
              <w:top w:val="nil"/>
              <w:left w:val="nil"/>
              <w:bottom w:val="single" w:sz="4" w:space="0" w:color="auto"/>
              <w:right w:val="nil"/>
            </w:tcBorders>
            <w:shd w:val="clear" w:color="auto" w:fill="auto"/>
            <w:hideMark/>
          </w:tcPr>
          <w:p w:rsidR="00C735AF" w:rsidRPr="003F43B0" w:rsidRDefault="00C735AF" w:rsidP="003B6178">
            <w:pPr>
              <w:pStyle w:val="Tabletext"/>
            </w:pPr>
            <w:r w:rsidRPr="003F43B0">
              <w:t>8443.31.00.28</w:t>
            </w:r>
          </w:p>
        </w:tc>
        <w:tc>
          <w:tcPr>
            <w:tcW w:w="942" w:type="pct"/>
            <w:gridSpan w:val="2"/>
            <w:tcBorders>
              <w:top w:val="nil"/>
              <w:left w:val="nil"/>
              <w:bottom w:val="single" w:sz="4" w:space="0" w:color="auto"/>
            </w:tcBorders>
            <w:shd w:val="clear" w:color="auto" w:fill="auto"/>
          </w:tcPr>
          <w:p w:rsidR="00C735AF" w:rsidRPr="003F43B0" w:rsidRDefault="00C735AF" w:rsidP="003B6178">
            <w:pPr>
              <w:pStyle w:val="Tabletext"/>
              <w:tabs>
                <w:tab w:val="decimal" w:pos="640"/>
              </w:tabs>
            </w:pPr>
            <w:r w:rsidRPr="003F43B0">
              <w:t>617.2</w:t>
            </w:r>
          </w:p>
        </w:tc>
      </w:tr>
      <w:tr w:rsidR="00DB529A" w:rsidRPr="003F43B0" w:rsidTr="008E1558">
        <w:tc>
          <w:tcPr>
            <w:tcW w:w="870" w:type="pct"/>
            <w:tcBorders>
              <w:top w:val="single" w:sz="4" w:space="0" w:color="auto"/>
              <w:bottom w:val="nil"/>
            </w:tcBorders>
            <w:shd w:val="clear" w:color="auto" w:fill="auto"/>
          </w:tcPr>
          <w:p w:rsidR="00C735AF" w:rsidRPr="003F43B0" w:rsidRDefault="00C735AF" w:rsidP="003B6178">
            <w:pPr>
              <w:pStyle w:val="Tabletext"/>
            </w:pPr>
            <w:r w:rsidRPr="003F43B0">
              <w:t>4.2</w:t>
            </w:r>
          </w:p>
        </w:tc>
        <w:tc>
          <w:tcPr>
            <w:tcW w:w="2126" w:type="pct"/>
            <w:tcBorders>
              <w:top w:val="single" w:sz="4" w:space="0" w:color="auto"/>
              <w:bottom w:val="nil"/>
            </w:tcBorders>
            <w:shd w:val="clear" w:color="auto" w:fill="auto"/>
            <w:hideMark/>
          </w:tcPr>
          <w:p w:rsidR="00C735AF" w:rsidRPr="003F43B0" w:rsidRDefault="00C735AF" w:rsidP="003B6178">
            <w:pPr>
              <w:pStyle w:val="Tabletext"/>
            </w:pPr>
            <w:r w:rsidRPr="003F43B0">
              <w:t>Other printers capable of connecting to an automatic data processing machine or to a network, weighing:</w:t>
            </w:r>
          </w:p>
        </w:tc>
        <w:tc>
          <w:tcPr>
            <w:tcW w:w="1062" w:type="pct"/>
            <w:gridSpan w:val="2"/>
            <w:tcBorders>
              <w:top w:val="single" w:sz="4" w:space="0" w:color="auto"/>
              <w:bottom w:val="nil"/>
            </w:tcBorders>
            <w:shd w:val="clear" w:color="auto" w:fill="auto"/>
            <w:hideMark/>
          </w:tcPr>
          <w:p w:rsidR="00C735AF" w:rsidRPr="003F43B0" w:rsidRDefault="00C735AF" w:rsidP="003B6178">
            <w:pPr>
              <w:keepLines/>
            </w:pPr>
          </w:p>
        </w:tc>
        <w:tc>
          <w:tcPr>
            <w:tcW w:w="942" w:type="pct"/>
            <w:gridSpan w:val="2"/>
            <w:tcBorders>
              <w:top w:val="single" w:sz="4" w:space="0" w:color="auto"/>
              <w:bottom w:val="nil"/>
            </w:tcBorders>
            <w:shd w:val="clear" w:color="auto" w:fill="auto"/>
          </w:tcPr>
          <w:p w:rsidR="00C735AF" w:rsidRPr="003F43B0" w:rsidRDefault="00C735AF" w:rsidP="003B6178">
            <w:pPr>
              <w:pStyle w:val="Tabletext"/>
              <w:tabs>
                <w:tab w:val="decimal" w:pos="640"/>
              </w:tabs>
            </w:pP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hideMark/>
          </w:tcPr>
          <w:p w:rsidR="00C735AF" w:rsidRPr="003F43B0" w:rsidRDefault="00C735AF" w:rsidP="003B6178">
            <w:pPr>
              <w:pStyle w:val="Tablea"/>
            </w:pPr>
            <w:r w:rsidRPr="003F43B0">
              <w:t>(a) not more than 10kg</w:t>
            </w:r>
          </w:p>
        </w:tc>
        <w:tc>
          <w:tcPr>
            <w:tcW w:w="1062" w:type="pct"/>
            <w:gridSpan w:val="2"/>
            <w:tcBorders>
              <w:top w:val="nil"/>
              <w:bottom w:val="nil"/>
            </w:tcBorders>
            <w:shd w:val="clear" w:color="auto" w:fill="auto"/>
            <w:hideMark/>
          </w:tcPr>
          <w:p w:rsidR="00C735AF" w:rsidRPr="003F43B0" w:rsidRDefault="00C735AF" w:rsidP="003B6178">
            <w:pPr>
              <w:pStyle w:val="Tabletext"/>
            </w:pPr>
            <w:r w:rsidRPr="003F43B0">
              <w:t>8443.32.00.31</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6.3</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hideMark/>
          </w:tcPr>
          <w:p w:rsidR="00C735AF" w:rsidRPr="003F43B0" w:rsidRDefault="00C735AF" w:rsidP="003B6178">
            <w:pPr>
              <w:pStyle w:val="Tablea"/>
            </w:pPr>
            <w:r w:rsidRPr="003F43B0">
              <w:t>(b) more than 10kg but not more than 20kg</w:t>
            </w:r>
          </w:p>
        </w:tc>
        <w:tc>
          <w:tcPr>
            <w:tcW w:w="1062" w:type="pct"/>
            <w:gridSpan w:val="2"/>
            <w:tcBorders>
              <w:top w:val="nil"/>
              <w:bottom w:val="nil"/>
            </w:tcBorders>
            <w:shd w:val="clear" w:color="auto" w:fill="auto"/>
            <w:hideMark/>
          </w:tcPr>
          <w:p w:rsidR="00C735AF" w:rsidRPr="003F43B0" w:rsidRDefault="00C735AF" w:rsidP="003B6178">
            <w:pPr>
              <w:pStyle w:val="Tabletext"/>
            </w:pPr>
            <w:r w:rsidRPr="003F43B0">
              <w:t>8443.32.00.32</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12.4</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tcPr>
          <w:p w:rsidR="00C735AF" w:rsidRPr="003F43B0" w:rsidRDefault="00C735AF" w:rsidP="003B6178">
            <w:pPr>
              <w:pStyle w:val="Tablea"/>
            </w:pPr>
            <w:r w:rsidRPr="003F43B0">
              <w:t>(c) more than 20kg but not more than 50kg</w:t>
            </w:r>
          </w:p>
        </w:tc>
        <w:tc>
          <w:tcPr>
            <w:tcW w:w="1062" w:type="pct"/>
            <w:gridSpan w:val="2"/>
            <w:tcBorders>
              <w:top w:val="nil"/>
              <w:bottom w:val="nil"/>
            </w:tcBorders>
            <w:shd w:val="clear" w:color="auto" w:fill="auto"/>
          </w:tcPr>
          <w:p w:rsidR="00C735AF" w:rsidRPr="003F43B0" w:rsidRDefault="00C735AF" w:rsidP="003B6178">
            <w:pPr>
              <w:pStyle w:val="Tabletext"/>
            </w:pPr>
            <w:r w:rsidRPr="003F43B0">
              <w:t>8443.32.00.33</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22.5</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tcPr>
          <w:p w:rsidR="00C735AF" w:rsidRPr="003F43B0" w:rsidRDefault="00C735AF" w:rsidP="003B6178">
            <w:pPr>
              <w:pStyle w:val="Tablea"/>
            </w:pPr>
            <w:r w:rsidRPr="003F43B0">
              <w:t>(d) more than 50kg but not more than 100kg</w:t>
            </w:r>
          </w:p>
        </w:tc>
        <w:tc>
          <w:tcPr>
            <w:tcW w:w="1062" w:type="pct"/>
            <w:gridSpan w:val="2"/>
            <w:tcBorders>
              <w:top w:val="nil"/>
              <w:bottom w:val="nil"/>
            </w:tcBorders>
            <w:shd w:val="clear" w:color="auto" w:fill="auto"/>
          </w:tcPr>
          <w:p w:rsidR="00C735AF" w:rsidRPr="003F43B0" w:rsidRDefault="00C735AF" w:rsidP="003B6178">
            <w:pPr>
              <w:pStyle w:val="Tabletext"/>
            </w:pPr>
            <w:r w:rsidRPr="003F43B0">
              <w:t>8443.32.00.34</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75.1</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tcPr>
          <w:p w:rsidR="00C735AF" w:rsidRPr="003F43B0" w:rsidRDefault="00C735AF" w:rsidP="003B6178">
            <w:pPr>
              <w:pStyle w:val="Tablea"/>
            </w:pPr>
            <w:r w:rsidRPr="003F43B0">
              <w:t>(e) more than 100kg but not more than 150kg</w:t>
            </w:r>
          </w:p>
        </w:tc>
        <w:tc>
          <w:tcPr>
            <w:tcW w:w="1062" w:type="pct"/>
            <w:gridSpan w:val="2"/>
            <w:tcBorders>
              <w:top w:val="nil"/>
              <w:bottom w:val="nil"/>
            </w:tcBorders>
            <w:shd w:val="clear" w:color="auto" w:fill="auto"/>
          </w:tcPr>
          <w:p w:rsidR="00C735AF" w:rsidRPr="003F43B0" w:rsidRDefault="00C735AF" w:rsidP="003B6178">
            <w:pPr>
              <w:pStyle w:val="Tabletext"/>
            </w:pPr>
            <w:r w:rsidRPr="003F43B0">
              <w:t>8443.32.00.35</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116.0</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tcPr>
          <w:p w:rsidR="00C735AF" w:rsidRPr="003F43B0" w:rsidRDefault="00C735AF" w:rsidP="003B6178">
            <w:pPr>
              <w:pStyle w:val="Tablea"/>
            </w:pPr>
            <w:r w:rsidRPr="003F43B0">
              <w:t>(f) more than 150kg but not more than 200kg</w:t>
            </w:r>
          </w:p>
        </w:tc>
        <w:tc>
          <w:tcPr>
            <w:tcW w:w="1062" w:type="pct"/>
            <w:gridSpan w:val="2"/>
            <w:tcBorders>
              <w:top w:val="nil"/>
              <w:bottom w:val="nil"/>
            </w:tcBorders>
            <w:shd w:val="clear" w:color="auto" w:fill="auto"/>
          </w:tcPr>
          <w:p w:rsidR="00C735AF" w:rsidRPr="003F43B0" w:rsidRDefault="00C735AF" w:rsidP="003B6178">
            <w:pPr>
              <w:pStyle w:val="Tabletext"/>
            </w:pPr>
            <w:r w:rsidRPr="003F43B0">
              <w:t>8443.32.00.36</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157.7</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tcPr>
          <w:p w:rsidR="00C735AF" w:rsidRPr="003F43B0" w:rsidRDefault="00C735AF" w:rsidP="003B6178">
            <w:pPr>
              <w:pStyle w:val="Tablea"/>
            </w:pPr>
            <w:r w:rsidRPr="003F43B0">
              <w:t>(g) more than 200kg but not more than 300kg</w:t>
            </w:r>
          </w:p>
        </w:tc>
        <w:tc>
          <w:tcPr>
            <w:tcW w:w="1062" w:type="pct"/>
            <w:gridSpan w:val="2"/>
            <w:tcBorders>
              <w:top w:val="nil"/>
              <w:bottom w:val="nil"/>
            </w:tcBorders>
            <w:shd w:val="clear" w:color="auto" w:fill="auto"/>
          </w:tcPr>
          <w:p w:rsidR="00C735AF" w:rsidRPr="003F43B0" w:rsidRDefault="00C735AF" w:rsidP="003B6178">
            <w:pPr>
              <w:pStyle w:val="Tabletext"/>
            </w:pPr>
            <w:r w:rsidRPr="003F43B0">
              <w:t>8443.32.00.37</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239.2</w:t>
            </w:r>
          </w:p>
        </w:tc>
      </w:tr>
      <w:tr w:rsidR="00DB529A" w:rsidRPr="003F43B0" w:rsidTr="008E1558">
        <w:tc>
          <w:tcPr>
            <w:tcW w:w="870" w:type="pct"/>
            <w:tcBorders>
              <w:top w:val="nil"/>
              <w:bottom w:val="nil"/>
            </w:tcBorders>
            <w:shd w:val="clear" w:color="auto" w:fill="auto"/>
          </w:tcPr>
          <w:p w:rsidR="00C735AF" w:rsidRPr="003F43B0" w:rsidRDefault="00C735AF" w:rsidP="003B6178">
            <w:pPr>
              <w:pStyle w:val="Tabletext"/>
            </w:pPr>
          </w:p>
        </w:tc>
        <w:tc>
          <w:tcPr>
            <w:tcW w:w="2126" w:type="pct"/>
            <w:tcBorders>
              <w:top w:val="nil"/>
              <w:bottom w:val="nil"/>
            </w:tcBorders>
            <w:shd w:val="clear" w:color="auto" w:fill="auto"/>
          </w:tcPr>
          <w:p w:rsidR="00C735AF" w:rsidRPr="003F43B0" w:rsidRDefault="00C735AF" w:rsidP="003B6178">
            <w:pPr>
              <w:pStyle w:val="Tablea"/>
            </w:pPr>
            <w:r w:rsidRPr="003F43B0">
              <w:t>(h) more than 300kg but not more than 500kg</w:t>
            </w:r>
          </w:p>
        </w:tc>
        <w:tc>
          <w:tcPr>
            <w:tcW w:w="1062" w:type="pct"/>
            <w:gridSpan w:val="2"/>
            <w:tcBorders>
              <w:top w:val="nil"/>
              <w:bottom w:val="nil"/>
            </w:tcBorders>
            <w:shd w:val="clear" w:color="auto" w:fill="auto"/>
          </w:tcPr>
          <w:p w:rsidR="00C735AF" w:rsidRPr="003F43B0" w:rsidRDefault="00C735AF" w:rsidP="003B6178">
            <w:pPr>
              <w:pStyle w:val="Tabletext"/>
            </w:pPr>
            <w:r w:rsidRPr="003F43B0">
              <w:t>8443.32.00.38</w:t>
            </w:r>
          </w:p>
        </w:tc>
        <w:tc>
          <w:tcPr>
            <w:tcW w:w="942" w:type="pct"/>
            <w:gridSpan w:val="2"/>
            <w:tcBorders>
              <w:top w:val="nil"/>
              <w:bottom w:val="nil"/>
            </w:tcBorders>
            <w:shd w:val="clear" w:color="auto" w:fill="auto"/>
          </w:tcPr>
          <w:p w:rsidR="00C735AF" w:rsidRPr="003F43B0" w:rsidRDefault="00C735AF" w:rsidP="003B6178">
            <w:pPr>
              <w:pStyle w:val="Tabletext"/>
              <w:tabs>
                <w:tab w:val="decimal" w:pos="640"/>
              </w:tabs>
            </w:pPr>
            <w:r w:rsidRPr="003F43B0">
              <w:t>384.2</w:t>
            </w:r>
          </w:p>
        </w:tc>
      </w:tr>
      <w:tr w:rsidR="00DB529A" w:rsidRPr="003F43B0" w:rsidTr="008E1558">
        <w:tc>
          <w:tcPr>
            <w:tcW w:w="870" w:type="pct"/>
            <w:tcBorders>
              <w:top w:val="nil"/>
              <w:bottom w:val="single" w:sz="12" w:space="0" w:color="auto"/>
            </w:tcBorders>
            <w:shd w:val="clear" w:color="auto" w:fill="auto"/>
          </w:tcPr>
          <w:p w:rsidR="00C735AF" w:rsidRPr="003F43B0" w:rsidRDefault="00C735AF" w:rsidP="003B6178">
            <w:pPr>
              <w:pStyle w:val="Tabletext"/>
            </w:pPr>
          </w:p>
        </w:tc>
        <w:tc>
          <w:tcPr>
            <w:tcW w:w="2126" w:type="pct"/>
            <w:tcBorders>
              <w:top w:val="nil"/>
              <w:bottom w:val="single" w:sz="12" w:space="0" w:color="auto"/>
            </w:tcBorders>
            <w:shd w:val="clear" w:color="auto" w:fill="auto"/>
          </w:tcPr>
          <w:p w:rsidR="00C735AF" w:rsidRPr="003F43B0" w:rsidRDefault="00C735AF" w:rsidP="003B6178">
            <w:pPr>
              <w:pStyle w:val="Tablea"/>
            </w:pPr>
            <w:r w:rsidRPr="003F43B0">
              <w:t>(i) more than 500kg</w:t>
            </w:r>
          </w:p>
        </w:tc>
        <w:tc>
          <w:tcPr>
            <w:tcW w:w="1062" w:type="pct"/>
            <w:gridSpan w:val="2"/>
            <w:tcBorders>
              <w:top w:val="nil"/>
              <w:bottom w:val="single" w:sz="12" w:space="0" w:color="auto"/>
            </w:tcBorders>
            <w:shd w:val="clear" w:color="auto" w:fill="auto"/>
          </w:tcPr>
          <w:p w:rsidR="00C735AF" w:rsidRPr="003F43B0" w:rsidRDefault="00C735AF" w:rsidP="003B6178">
            <w:pPr>
              <w:pStyle w:val="Tabletext"/>
            </w:pPr>
            <w:r w:rsidRPr="003F43B0">
              <w:t>8443.32.00.39</w:t>
            </w:r>
          </w:p>
        </w:tc>
        <w:tc>
          <w:tcPr>
            <w:tcW w:w="942" w:type="pct"/>
            <w:gridSpan w:val="2"/>
            <w:tcBorders>
              <w:top w:val="nil"/>
              <w:bottom w:val="single" w:sz="12" w:space="0" w:color="auto"/>
            </w:tcBorders>
            <w:shd w:val="clear" w:color="auto" w:fill="auto"/>
          </w:tcPr>
          <w:p w:rsidR="00C735AF" w:rsidRPr="003F43B0" w:rsidRDefault="00C735AF" w:rsidP="003B6178">
            <w:pPr>
              <w:pStyle w:val="Tabletext"/>
              <w:tabs>
                <w:tab w:val="decimal" w:pos="640"/>
              </w:tabs>
            </w:pPr>
            <w:r w:rsidRPr="003F43B0">
              <w:t>551.0</w:t>
            </w:r>
          </w:p>
        </w:tc>
      </w:tr>
    </w:tbl>
    <w:p w:rsidR="00C735AF" w:rsidRPr="003F43B0" w:rsidRDefault="00C735AF" w:rsidP="00C735AF">
      <w:pPr>
        <w:pStyle w:val="ActHead2"/>
      </w:pPr>
      <w:bookmarkStart w:id="42" w:name="_Toc358878558"/>
      <w:r w:rsidRPr="003F43B0">
        <w:rPr>
          <w:rStyle w:val="CharPartNo"/>
        </w:rPr>
        <w:t>Part</w:t>
      </w:r>
      <w:r w:rsidR="003F43B0" w:rsidRPr="003F43B0">
        <w:rPr>
          <w:rStyle w:val="CharPartNo"/>
        </w:rPr>
        <w:t> </w:t>
      </w:r>
      <w:r w:rsidRPr="003F43B0">
        <w:rPr>
          <w:rStyle w:val="CharPartNo"/>
        </w:rPr>
        <w:t>4</w:t>
      </w:r>
      <w:r w:rsidRPr="003F43B0">
        <w:t>—</w:t>
      </w:r>
      <w:r w:rsidRPr="003F43B0">
        <w:rPr>
          <w:rStyle w:val="CharPartText"/>
        </w:rPr>
        <w:t>Computer parts and peripherals</w:t>
      </w:r>
      <w:bookmarkEnd w:id="42"/>
    </w:p>
    <w:p w:rsidR="00C735AF" w:rsidRPr="003F43B0" w:rsidRDefault="00C735AF" w:rsidP="00C735AF">
      <w:pPr>
        <w:pStyle w:val="Header"/>
      </w:pPr>
      <w:r w:rsidRPr="003F43B0">
        <w:rPr>
          <w:rStyle w:val="CharDivNo"/>
        </w:rPr>
        <w:t xml:space="preserve"> </w:t>
      </w:r>
      <w:r w:rsidRPr="003F43B0">
        <w:rPr>
          <w:rStyle w:val="CharDivText"/>
        </w:rPr>
        <w:t xml:space="preserve"> </w:t>
      </w:r>
    </w:p>
    <w:p w:rsidR="00C735AF" w:rsidRPr="003F43B0" w:rsidRDefault="00C735AF" w:rsidP="00C735AF">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394"/>
        <w:gridCol w:w="3064"/>
        <w:gridCol w:w="1510"/>
        <w:gridCol w:w="1335"/>
      </w:tblGrid>
      <w:tr w:rsidR="00FF2DA1" w:rsidRPr="003F43B0" w:rsidTr="00FF2DA1">
        <w:trPr>
          <w:tblHeader/>
        </w:trPr>
        <w:tc>
          <w:tcPr>
            <w:tcW w:w="5000" w:type="pct"/>
            <w:gridSpan w:val="4"/>
            <w:tcBorders>
              <w:top w:val="single" w:sz="12" w:space="0" w:color="auto"/>
              <w:bottom w:val="single" w:sz="6" w:space="0" w:color="auto"/>
            </w:tcBorders>
            <w:shd w:val="clear" w:color="auto" w:fill="auto"/>
          </w:tcPr>
          <w:p w:rsidR="00FF2DA1" w:rsidRPr="003F43B0" w:rsidRDefault="00FF2DA1" w:rsidP="00A41C5D">
            <w:pPr>
              <w:pStyle w:val="TableHeading"/>
            </w:pPr>
            <w:r w:rsidRPr="003F43B0">
              <w:t>Computer parts and peripherals—product codes and conversion factors</w:t>
            </w:r>
          </w:p>
        </w:tc>
      </w:tr>
      <w:tr w:rsidR="00DB529A" w:rsidRPr="003F43B0" w:rsidTr="00FF2DA1">
        <w:trPr>
          <w:tblHeader/>
        </w:trPr>
        <w:tc>
          <w:tcPr>
            <w:tcW w:w="954" w:type="pct"/>
            <w:tcBorders>
              <w:top w:val="single" w:sz="6" w:space="0" w:color="auto"/>
              <w:bottom w:val="single" w:sz="12" w:space="0" w:color="auto"/>
            </w:tcBorders>
            <w:shd w:val="clear" w:color="auto" w:fill="auto"/>
            <w:hideMark/>
          </w:tcPr>
          <w:p w:rsidR="00C735AF" w:rsidRPr="003F43B0" w:rsidRDefault="00C735AF" w:rsidP="00A41C5D">
            <w:pPr>
              <w:pStyle w:val="TableHeading"/>
            </w:pPr>
            <w:r w:rsidRPr="003F43B0">
              <w:t>Item</w:t>
            </w:r>
          </w:p>
        </w:tc>
        <w:tc>
          <w:tcPr>
            <w:tcW w:w="2098" w:type="pct"/>
            <w:tcBorders>
              <w:top w:val="single" w:sz="6" w:space="0" w:color="auto"/>
              <w:bottom w:val="single" w:sz="12" w:space="0" w:color="auto"/>
            </w:tcBorders>
            <w:shd w:val="clear" w:color="auto" w:fill="auto"/>
            <w:hideMark/>
          </w:tcPr>
          <w:p w:rsidR="00FF2DA1" w:rsidRPr="003F43B0" w:rsidRDefault="00FF2DA1" w:rsidP="00A41C5D">
            <w:pPr>
              <w:pStyle w:val="TableHeading"/>
            </w:pPr>
            <w:r w:rsidRPr="003F43B0">
              <w:t>Column 1</w:t>
            </w:r>
          </w:p>
          <w:p w:rsidR="00C735AF" w:rsidRPr="003F43B0" w:rsidRDefault="00C735AF" w:rsidP="00A41C5D">
            <w:pPr>
              <w:pStyle w:val="TableHeading"/>
            </w:pPr>
            <w:r w:rsidRPr="003F43B0">
              <w:t>Description</w:t>
            </w:r>
          </w:p>
        </w:tc>
        <w:tc>
          <w:tcPr>
            <w:tcW w:w="1034" w:type="pct"/>
            <w:tcBorders>
              <w:top w:val="single" w:sz="6" w:space="0" w:color="auto"/>
              <w:bottom w:val="single" w:sz="12" w:space="0" w:color="auto"/>
            </w:tcBorders>
            <w:shd w:val="clear" w:color="auto" w:fill="auto"/>
            <w:hideMark/>
          </w:tcPr>
          <w:p w:rsidR="00FF2DA1" w:rsidRPr="003F43B0" w:rsidRDefault="00FF2DA1" w:rsidP="00A41C5D">
            <w:pPr>
              <w:pStyle w:val="TableHeading"/>
            </w:pPr>
            <w:r w:rsidRPr="003F43B0">
              <w:t>Column 2</w:t>
            </w:r>
          </w:p>
          <w:p w:rsidR="00C735AF" w:rsidRPr="003F43B0" w:rsidRDefault="00C735AF" w:rsidP="00A41C5D">
            <w:pPr>
              <w:pStyle w:val="TableHeading"/>
            </w:pPr>
            <w:r w:rsidRPr="003F43B0">
              <w:t>Product code</w:t>
            </w:r>
          </w:p>
        </w:tc>
        <w:tc>
          <w:tcPr>
            <w:tcW w:w="914" w:type="pct"/>
            <w:tcBorders>
              <w:top w:val="single" w:sz="6" w:space="0" w:color="auto"/>
              <w:bottom w:val="single" w:sz="12" w:space="0" w:color="auto"/>
            </w:tcBorders>
            <w:shd w:val="clear" w:color="auto" w:fill="auto"/>
          </w:tcPr>
          <w:p w:rsidR="00FF2DA1" w:rsidRPr="003F43B0" w:rsidRDefault="00FF2DA1" w:rsidP="00A41C5D">
            <w:pPr>
              <w:pStyle w:val="TableHeading"/>
            </w:pPr>
            <w:r w:rsidRPr="003F43B0">
              <w:t>Column 3</w:t>
            </w:r>
          </w:p>
          <w:p w:rsidR="00C735AF" w:rsidRPr="003F43B0" w:rsidRDefault="00C735AF" w:rsidP="00A41C5D">
            <w:pPr>
              <w:pStyle w:val="TableHeading"/>
            </w:pPr>
            <w:r w:rsidRPr="003F43B0">
              <w:t>Conversion factor (kg)</w:t>
            </w:r>
          </w:p>
        </w:tc>
      </w:tr>
      <w:tr w:rsidR="00DB529A" w:rsidRPr="003F43B0" w:rsidTr="00FF2DA1">
        <w:tc>
          <w:tcPr>
            <w:tcW w:w="954" w:type="pct"/>
            <w:tcBorders>
              <w:top w:val="single" w:sz="12" w:space="0" w:color="auto"/>
              <w:bottom w:val="nil"/>
            </w:tcBorders>
            <w:shd w:val="clear" w:color="auto" w:fill="auto"/>
            <w:hideMark/>
          </w:tcPr>
          <w:p w:rsidR="00C735AF" w:rsidRPr="003F43B0" w:rsidRDefault="00C735AF" w:rsidP="003B6178">
            <w:pPr>
              <w:pStyle w:val="Tabletext"/>
            </w:pPr>
            <w:r w:rsidRPr="003F43B0">
              <w:t>5.1</w:t>
            </w:r>
          </w:p>
        </w:tc>
        <w:tc>
          <w:tcPr>
            <w:tcW w:w="2098" w:type="pct"/>
            <w:tcBorders>
              <w:top w:val="single" w:sz="12" w:space="0" w:color="auto"/>
              <w:bottom w:val="nil"/>
            </w:tcBorders>
            <w:shd w:val="clear" w:color="auto" w:fill="auto"/>
            <w:hideMark/>
          </w:tcPr>
          <w:p w:rsidR="00C735AF" w:rsidRPr="003F43B0" w:rsidRDefault="00C735AF" w:rsidP="003B6178">
            <w:pPr>
              <w:pStyle w:val="Tabletext"/>
            </w:pPr>
            <w:r w:rsidRPr="003F43B0">
              <w:t>Automatic data processing machines and units, magnetic or optical readers, machines for transcribing data onto data media in coded form, and machines for processing the data:</w:t>
            </w:r>
          </w:p>
        </w:tc>
        <w:tc>
          <w:tcPr>
            <w:tcW w:w="1034" w:type="pct"/>
            <w:tcBorders>
              <w:top w:val="single" w:sz="12" w:space="0" w:color="auto"/>
              <w:bottom w:val="nil"/>
            </w:tcBorders>
            <w:shd w:val="clear" w:color="auto" w:fill="auto"/>
            <w:hideMark/>
          </w:tcPr>
          <w:p w:rsidR="00C735AF" w:rsidRPr="003F43B0" w:rsidRDefault="00C735AF" w:rsidP="003B6178">
            <w:pPr>
              <w:keepLines/>
            </w:pPr>
          </w:p>
        </w:tc>
        <w:tc>
          <w:tcPr>
            <w:tcW w:w="914" w:type="pct"/>
            <w:tcBorders>
              <w:top w:val="single" w:sz="12" w:space="0" w:color="auto"/>
              <w:bottom w:val="nil"/>
            </w:tcBorders>
            <w:shd w:val="clear" w:color="auto" w:fill="auto"/>
          </w:tcPr>
          <w:p w:rsidR="00C735AF" w:rsidRPr="003F43B0" w:rsidRDefault="00C735AF" w:rsidP="003B6178">
            <w:pPr>
              <w:pStyle w:val="Tabletext"/>
            </w:pP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a"/>
            </w:pPr>
            <w:r w:rsidRPr="003F43B0">
              <w:t>(a) input or output units, whether or not containing storage units in the same housing:</w:t>
            </w:r>
          </w:p>
        </w:tc>
        <w:tc>
          <w:tcPr>
            <w:tcW w:w="1034" w:type="pct"/>
            <w:tcBorders>
              <w:top w:val="nil"/>
              <w:bottom w:val="nil"/>
            </w:tcBorders>
            <w:shd w:val="clear" w:color="auto" w:fill="auto"/>
            <w:hideMark/>
          </w:tcPr>
          <w:p w:rsidR="00C735AF" w:rsidRPr="003F43B0" w:rsidRDefault="00C735AF" w:rsidP="003B6178">
            <w:pPr>
              <w:keepLines/>
            </w:pPr>
          </w:p>
        </w:tc>
        <w:tc>
          <w:tcPr>
            <w:tcW w:w="914" w:type="pct"/>
            <w:tcBorders>
              <w:top w:val="nil"/>
              <w:bottom w:val="nil"/>
            </w:tcBorders>
            <w:shd w:val="clear" w:color="auto" w:fill="auto"/>
          </w:tcPr>
          <w:p w:rsidR="00C735AF" w:rsidRPr="003F43B0" w:rsidRDefault="00C735AF" w:rsidP="003B6178">
            <w:pPr>
              <w:pStyle w:val="Tabletext"/>
            </w:pP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 keyboards</w:t>
            </w:r>
          </w:p>
        </w:tc>
        <w:tc>
          <w:tcPr>
            <w:tcW w:w="1034" w:type="pct"/>
            <w:tcBorders>
              <w:top w:val="nil"/>
              <w:bottom w:val="nil"/>
            </w:tcBorders>
            <w:shd w:val="clear" w:color="auto" w:fill="auto"/>
            <w:hideMark/>
          </w:tcPr>
          <w:p w:rsidR="00C735AF" w:rsidRPr="003F43B0" w:rsidRDefault="00C735AF" w:rsidP="003B6178">
            <w:pPr>
              <w:pStyle w:val="Tabletext"/>
            </w:pPr>
            <w:r w:rsidRPr="003F43B0">
              <w:t>8471.60.00.55</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0.8</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(ii) joysticks and game pads</w:t>
            </w:r>
          </w:p>
        </w:tc>
        <w:tc>
          <w:tcPr>
            <w:tcW w:w="1034" w:type="pct"/>
            <w:tcBorders>
              <w:top w:val="nil"/>
              <w:bottom w:val="nil"/>
            </w:tcBorders>
            <w:shd w:val="clear" w:color="auto" w:fill="auto"/>
            <w:hideMark/>
          </w:tcPr>
          <w:p w:rsidR="00C735AF" w:rsidRPr="003F43B0" w:rsidRDefault="00C735AF" w:rsidP="003B6178">
            <w:pPr>
              <w:pStyle w:val="Tabletext"/>
            </w:pPr>
            <w:r w:rsidRPr="003F43B0">
              <w:t>8471.60.00.91</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0.6</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(iii) mouses and trackballs</w:t>
            </w:r>
          </w:p>
        </w:tc>
        <w:tc>
          <w:tcPr>
            <w:tcW w:w="1034" w:type="pct"/>
            <w:tcBorders>
              <w:top w:val="nil"/>
              <w:bottom w:val="nil"/>
            </w:tcBorders>
            <w:shd w:val="clear" w:color="auto" w:fill="auto"/>
            <w:hideMark/>
          </w:tcPr>
          <w:p w:rsidR="00C735AF" w:rsidRPr="003F43B0" w:rsidRDefault="00C735AF" w:rsidP="003B6178">
            <w:pPr>
              <w:pStyle w:val="Tabletext"/>
            </w:pPr>
            <w:r w:rsidRPr="003F43B0">
              <w:t>8471.60.00.92</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0.3</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(iv) scanners:</w:t>
            </w:r>
          </w:p>
        </w:tc>
        <w:tc>
          <w:tcPr>
            <w:tcW w:w="1034" w:type="pct"/>
            <w:tcBorders>
              <w:top w:val="nil"/>
              <w:bottom w:val="nil"/>
            </w:tcBorders>
            <w:shd w:val="clear" w:color="auto" w:fill="auto"/>
            <w:hideMark/>
          </w:tcPr>
          <w:p w:rsidR="00C735AF" w:rsidRPr="003F43B0" w:rsidRDefault="00C735AF" w:rsidP="003B6178">
            <w:pPr>
              <w:pStyle w:val="Tabletext"/>
            </w:pPr>
          </w:p>
        </w:tc>
        <w:tc>
          <w:tcPr>
            <w:tcW w:w="914" w:type="pct"/>
            <w:tcBorders>
              <w:top w:val="nil"/>
              <w:bottom w:val="nil"/>
            </w:tcBorders>
            <w:shd w:val="clear" w:color="auto" w:fill="auto"/>
          </w:tcPr>
          <w:p w:rsidR="00C735AF" w:rsidRPr="003F43B0" w:rsidRDefault="00C735AF" w:rsidP="003B6178">
            <w:pPr>
              <w:pStyle w:val="Tabletext"/>
              <w:tabs>
                <w:tab w:val="decimal" w:pos="440"/>
              </w:tabs>
            </w:pPr>
          </w:p>
        </w:tc>
      </w:tr>
      <w:tr w:rsidR="00DB529A" w:rsidRPr="003F43B0" w:rsidTr="00FF2DA1">
        <w:tc>
          <w:tcPr>
            <w:tcW w:w="954" w:type="pct"/>
            <w:tcBorders>
              <w:top w:val="nil"/>
              <w:bottom w:val="nil"/>
            </w:tcBorders>
            <w:shd w:val="clear" w:color="auto" w:fill="auto"/>
          </w:tcPr>
          <w:p w:rsidR="00C735AF" w:rsidRPr="003F43B0" w:rsidRDefault="00C735AF" w:rsidP="003B6178">
            <w:pPr>
              <w:pStyle w:val="Tabletext"/>
            </w:pPr>
          </w:p>
        </w:tc>
        <w:tc>
          <w:tcPr>
            <w:tcW w:w="2098" w:type="pct"/>
            <w:tcBorders>
              <w:top w:val="nil"/>
              <w:bottom w:val="nil"/>
            </w:tcBorders>
            <w:shd w:val="clear" w:color="auto" w:fill="auto"/>
          </w:tcPr>
          <w:p w:rsidR="00C735AF" w:rsidRPr="003F43B0" w:rsidRDefault="00C735AF" w:rsidP="003B6178">
            <w:pPr>
              <w:pStyle w:val="TableAA"/>
            </w:pPr>
            <w:r w:rsidRPr="003F43B0">
              <w:t>(A) not more than 1kg</w:t>
            </w:r>
          </w:p>
        </w:tc>
        <w:tc>
          <w:tcPr>
            <w:tcW w:w="1034" w:type="pct"/>
            <w:tcBorders>
              <w:top w:val="nil"/>
              <w:bottom w:val="nil"/>
            </w:tcBorders>
            <w:shd w:val="clear" w:color="auto" w:fill="auto"/>
          </w:tcPr>
          <w:p w:rsidR="00C735AF" w:rsidRPr="003F43B0" w:rsidRDefault="00C735AF" w:rsidP="003B6178">
            <w:pPr>
              <w:pStyle w:val="Tabletext"/>
            </w:pPr>
            <w:r w:rsidRPr="003F43B0">
              <w:t>8471.60.00.65</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0.4</w:t>
            </w:r>
          </w:p>
        </w:tc>
      </w:tr>
      <w:tr w:rsidR="00DB529A" w:rsidRPr="003F43B0" w:rsidTr="00FF2DA1">
        <w:tc>
          <w:tcPr>
            <w:tcW w:w="954" w:type="pct"/>
            <w:tcBorders>
              <w:top w:val="nil"/>
              <w:bottom w:val="nil"/>
            </w:tcBorders>
            <w:shd w:val="clear" w:color="auto" w:fill="auto"/>
          </w:tcPr>
          <w:p w:rsidR="00C735AF" w:rsidRPr="003F43B0" w:rsidRDefault="00C735AF" w:rsidP="003B6178">
            <w:pPr>
              <w:pStyle w:val="Tabletext"/>
            </w:pPr>
          </w:p>
        </w:tc>
        <w:tc>
          <w:tcPr>
            <w:tcW w:w="2098" w:type="pct"/>
            <w:tcBorders>
              <w:top w:val="nil"/>
              <w:bottom w:val="nil"/>
            </w:tcBorders>
            <w:shd w:val="clear" w:color="auto" w:fill="auto"/>
          </w:tcPr>
          <w:p w:rsidR="00C735AF" w:rsidRPr="003F43B0" w:rsidRDefault="00C735AF" w:rsidP="003B6178">
            <w:pPr>
              <w:pStyle w:val="TableAA"/>
            </w:pPr>
            <w:r w:rsidRPr="003F43B0">
              <w:t>(B) more than 1kg but not more than 5kg</w:t>
            </w:r>
          </w:p>
        </w:tc>
        <w:tc>
          <w:tcPr>
            <w:tcW w:w="1034" w:type="pct"/>
            <w:tcBorders>
              <w:top w:val="nil"/>
              <w:bottom w:val="nil"/>
            </w:tcBorders>
            <w:shd w:val="clear" w:color="auto" w:fill="auto"/>
          </w:tcPr>
          <w:p w:rsidR="00C735AF" w:rsidRPr="003F43B0" w:rsidRDefault="00C735AF" w:rsidP="003B6178">
            <w:pPr>
              <w:pStyle w:val="Tabletext"/>
            </w:pPr>
            <w:r w:rsidRPr="003F43B0">
              <w:t>8471.60.00.66</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2.2</w:t>
            </w:r>
          </w:p>
        </w:tc>
      </w:tr>
      <w:tr w:rsidR="00DB529A" w:rsidRPr="003F43B0" w:rsidTr="00FF2DA1">
        <w:tc>
          <w:tcPr>
            <w:tcW w:w="954" w:type="pct"/>
            <w:tcBorders>
              <w:top w:val="nil"/>
              <w:bottom w:val="nil"/>
            </w:tcBorders>
            <w:shd w:val="clear" w:color="auto" w:fill="auto"/>
          </w:tcPr>
          <w:p w:rsidR="00C735AF" w:rsidRPr="003F43B0" w:rsidRDefault="00C735AF" w:rsidP="003B6178">
            <w:pPr>
              <w:pStyle w:val="Tabletext"/>
            </w:pPr>
          </w:p>
        </w:tc>
        <w:tc>
          <w:tcPr>
            <w:tcW w:w="2098" w:type="pct"/>
            <w:tcBorders>
              <w:top w:val="nil"/>
              <w:bottom w:val="nil"/>
            </w:tcBorders>
            <w:shd w:val="clear" w:color="auto" w:fill="auto"/>
          </w:tcPr>
          <w:p w:rsidR="00C735AF" w:rsidRPr="003F43B0" w:rsidRDefault="00C735AF" w:rsidP="003B6178">
            <w:pPr>
              <w:pStyle w:val="TableAA"/>
            </w:pPr>
            <w:r w:rsidRPr="003F43B0">
              <w:t>(C) more than 5 kg</w:t>
            </w:r>
          </w:p>
        </w:tc>
        <w:tc>
          <w:tcPr>
            <w:tcW w:w="1034" w:type="pct"/>
            <w:tcBorders>
              <w:top w:val="nil"/>
              <w:bottom w:val="nil"/>
            </w:tcBorders>
            <w:shd w:val="clear" w:color="auto" w:fill="auto"/>
          </w:tcPr>
          <w:p w:rsidR="00C735AF" w:rsidRPr="003F43B0" w:rsidRDefault="00C735AF" w:rsidP="003B6178">
            <w:pPr>
              <w:pStyle w:val="Tabletext"/>
            </w:pPr>
            <w:r w:rsidRPr="003F43B0">
              <w:t>8471.60.00.67</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7.0</w:t>
            </w:r>
          </w:p>
        </w:tc>
      </w:tr>
      <w:tr w:rsidR="00DB529A" w:rsidRPr="003F43B0" w:rsidTr="00FF2DA1">
        <w:tc>
          <w:tcPr>
            <w:tcW w:w="954" w:type="pct"/>
            <w:tcBorders>
              <w:top w:val="nil"/>
              <w:bottom w:val="nil"/>
            </w:tcBorders>
            <w:shd w:val="clear" w:color="auto" w:fill="auto"/>
          </w:tcPr>
          <w:p w:rsidR="00C735AF" w:rsidRPr="003F43B0" w:rsidRDefault="00C735AF" w:rsidP="003B6178">
            <w:pPr>
              <w:pStyle w:val="Tabletext"/>
            </w:pPr>
          </w:p>
        </w:tc>
        <w:tc>
          <w:tcPr>
            <w:tcW w:w="2098" w:type="pct"/>
            <w:tcBorders>
              <w:top w:val="nil"/>
              <w:bottom w:val="nil"/>
            </w:tcBorders>
            <w:shd w:val="clear" w:color="auto" w:fill="auto"/>
          </w:tcPr>
          <w:p w:rsidR="00C735AF" w:rsidRPr="003F43B0" w:rsidRDefault="00C735AF" w:rsidP="003B6178">
            <w:pPr>
              <w:pStyle w:val="Tablei"/>
            </w:pPr>
            <w:r w:rsidRPr="003F43B0">
              <w:t>(v) other</w:t>
            </w:r>
          </w:p>
        </w:tc>
        <w:tc>
          <w:tcPr>
            <w:tcW w:w="1034" w:type="pct"/>
            <w:tcBorders>
              <w:top w:val="nil"/>
              <w:bottom w:val="nil"/>
            </w:tcBorders>
            <w:shd w:val="clear" w:color="auto" w:fill="auto"/>
          </w:tcPr>
          <w:p w:rsidR="00C735AF" w:rsidRPr="003F43B0" w:rsidRDefault="00C735AF" w:rsidP="003B6178">
            <w:pPr>
              <w:pStyle w:val="Tabletext"/>
            </w:pPr>
            <w:r w:rsidRPr="003F43B0">
              <w:t>8471.60.00.98</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0.6</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a"/>
            </w:pPr>
            <w:r w:rsidRPr="003F43B0">
              <w:t>(b) storage units:</w:t>
            </w:r>
          </w:p>
        </w:tc>
        <w:tc>
          <w:tcPr>
            <w:tcW w:w="1034" w:type="pct"/>
            <w:tcBorders>
              <w:top w:val="nil"/>
              <w:bottom w:val="nil"/>
            </w:tcBorders>
            <w:shd w:val="clear" w:color="auto" w:fill="auto"/>
            <w:hideMark/>
          </w:tcPr>
          <w:p w:rsidR="00C735AF" w:rsidRPr="003F43B0" w:rsidRDefault="00C735AF" w:rsidP="003B6178">
            <w:pPr>
              <w:keepLines/>
            </w:pPr>
          </w:p>
        </w:tc>
        <w:tc>
          <w:tcPr>
            <w:tcW w:w="914" w:type="pct"/>
            <w:tcBorders>
              <w:top w:val="nil"/>
              <w:bottom w:val="nil"/>
            </w:tcBorders>
            <w:shd w:val="clear" w:color="auto" w:fill="auto"/>
          </w:tcPr>
          <w:p w:rsidR="00C735AF" w:rsidRPr="003F43B0" w:rsidRDefault="00C735AF" w:rsidP="003B6178">
            <w:pPr>
              <w:pStyle w:val="Tabletext"/>
              <w:tabs>
                <w:tab w:val="decimal" w:pos="440"/>
              </w:tabs>
            </w:pP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 compact disc drives (including burners)</w:t>
            </w:r>
          </w:p>
        </w:tc>
        <w:tc>
          <w:tcPr>
            <w:tcW w:w="1034" w:type="pct"/>
            <w:tcBorders>
              <w:top w:val="nil"/>
              <w:bottom w:val="nil"/>
            </w:tcBorders>
            <w:shd w:val="clear" w:color="auto" w:fill="auto"/>
            <w:hideMark/>
          </w:tcPr>
          <w:p w:rsidR="00C735AF" w:rsidRPr="003F43B0" w:rsidRDefault="00C735AF" w:rsidP="003B6178">
            <w:pPr>
              <w:pStyle w:val="Tabletext"/>
            </w:pPr>
            <w:r w:rsidRPr="003F43B0">
              <w:t>8471.70.00.20</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1.0</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(ii) digital video disc drives (including burners)</w:t>
            </w:r>
          </w:p>
        </w:tc>
        <w:tc>
          <w:tcPr>
            <w:tcW w:w="1034" w:type="pct"/>
            <w:tcBorders>
              <w:top w:val="nil"/>
              <w:bottom w:val="nil"/>
            </w:tcBorders>
            <w:shd w:val="clear" w:color="auto" w:fill="auto"/>
            <w:hideMark/>
          </w:tcPr>
          <w:p w:rsidR="00C735AF" w:rsidRPr="003F43B0" w:rsidRDefault="00C735AF" w:rsidP="003B6178">
            <w:pPr>
              <w:pStyle w:val="Tabletext"/>
            </w:pPr>
            <w:r w:rsidRPr="003F43B0">
              <w:t>8471.70.00.25</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0.6</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i"/>
            </w:pPr>
            <w:r w:rsidRPr="003F43B0">
              <w:t>(iii) hard drives</w:t>
            </w:r>
          </w:p>
        </w:tc>
        <w:tc>
          <w:tcPr>
            <w:tcW w:w="1034" w:type="pct"/>
            <w:tcBorders>
              <w:top w:val="nil"/>
              <w:bottom w:val="nil"/>
            </w:tcBorders>
            <w:shd w:val="clear" w:color="auto" w:fill="auto"/>
            <w:hideMark/>
          </w:tcPr>
          <w:p w:rsidR="00C735AF" w:rsidRPr="003F43B0" w:rsidRDefault="00C735AF" w:rsidP="003B6178">
            <w:pPr>
              <w:pStyle w:val="Tabletext"/>
            </w:pPr>
            <w:r w:rsidRPr="003F43B0">
              <w:t>8471.70.00.74</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0.6</w:t>
            </w:r>
          </w:p>
        </w:tc>
      </w:tr>
      <w:tr w:rsidR="00DB529A" w:rsidRPr="003F43B0" w:rsidTr="00FF2DA1">
        <w:tc>
          <w:tcPr>
            <w:tcW w:w="954" w:type="pct"/>
            <w:tcBorders>
              <w:top w:val="nil"/>
              <w:bottom w:val="single" w:sz="4" w:space="0" w:color="auto"/>
            </w:tcBorders>
            <w:shd w:val="clear" w:color="auto" w:fill="auto"/>
            <w:hideMark/>
          </w:tcPr>
          <w:p w:rsidR="00C735AF" w:rsidRPr="003F43B0" w:rsidRDefault="00C735AF" w:rsidP="003B6178">
            <w:pPr>
              <w:pStyle w:val="Tabletext"/>
            </w:pPr>
          </w:p>
        </w:tc>
        <w:tc>
          <w:tcPr>
            <w:tcW w:w="2098" w:type="pct"/>
            <w:tcBorders>
              <w:top w:val="nil"/>
              <w:bottom w:val="single" w:sz="4" w:space="0" w:color="auto"/>
            </w:tcBorders>
            <w:shd w:val="clear" w:color="auto" w:fill="auto"/>
            <w:hideMark/>
          </w:tcPr>
          <w:p w:rsidR="00C735AF" w:rsidRPr="003F43B0" w:rsidRDefault="00C735AF" w:rsidP="003B6178">
            <w:pPr>
              <w:pStyle w:val="Tablei"/>
            </w:pPr>
            <w:r w:rsidRPr="003F43B0">
              <w:t>(iv) other</w:t>
            </w:r>
          </w:p>
        </w:tc>
        <w:tc>
          <w:tcPr>
            <w:tcW w:w="1034" w:type="pct"/>
            <w:tcBorders>
              <w:top w:val="nil"/>
              <w:bottom w:val="single" w:sz="4" w:space="0" w:color="auto"/>
            </w:tcBorders>
            <w:shd w:val="clear" w:color="auto" w:fill="auto"/>
            <w:hideMark/>
          </w:tcPr>
          <w:p w:rsidR="00C735AF" w:rsidRPr="003F43B0" w:rsidRDefault="00C735AF" w:rsidP="003B6178">
            <w:pPr>
              <w:pStyle w:val="Tabletext"/>
            </w:pPr>
            <w:r w:rsidRPr="003F43B0">
              <w:t>8471.70.00.44</w:t>
            </w:r>
          </w:p>
        </w:tc>
        <w:tc>
          <w:tcPr>
            <w:tcW w:w="914" w:type="pct"/>
            <w:tcBorders>
              <w:top w:val="nil"/>
              <w:bottom w:val="single" w:sz="4" w:space="0" w:color="auto"/>
            </w:tcBorders>
            <w:shd w:val="clear" w:color="auto" w:fill="auto"/>
          </w:tcPr>
          <w:p w:rsidR="00C735AF" w:rsidRPr="003F43B0" w:rsidRDefault="00C735AF" w:rsidP="003B6178">
            <w:pPr>
              <w:pStyle w:val="Tabletext"/>
              <w:tabs>
                <w:tab w:val="decimal" w:pos="440"/>
              </w:tabs>
            </w:pPr>
            <w:r w:rsidRPr="003F43B0">
              <w:t>0.04</w:t>
            </w:r>
          </w:p>
        </w:tc>
      </w:tr>
      <w:tr w:rsidR="00DB529A" w:rsidRPr="003F43B0" w:rsidTr="00FF2DA1">
        <w:tc>
          <w:tcPr>
            <w:tcW w:w="954" w:type="pct"/>
            <w:tcBorders>
              <w:top w:val="single" w:sz="4" w:space="0" w:color="auto"/>
              <w:bottom w:val="nil"/>
            </w:tcBorders>
            <w:shd w:val="clear" w:color="auto" w:fill="auto"/>
            <w:hideMark/>
          </w:tcPr>
          <w:p w:rsidR="00C735AF" w:rsidRPr="003F43B0" w:rsidRDefault="00C735AF" w:rsidP="003B6178">
            <w:pPr>
              <w:pStyle w:val="Tabletext"/>
            </w:pPr>
            <w:r w:rsidRPr="003F43B0">
              <w:lastRenderedPageBreak/>
              <w:t>5.2</w:t>
            </w:r>
          </w:p>
        </w:tc>
        <w:tc>
          <w:tcPr>
            <w:tcW w:w="2098" w:type="pct"/>
            <w:tcBorders>
              <w:top w:val="single" w:sz="4" w:space="0" w:color="auto"/>
              <w:bottom w:val="nil"/>
            </w:tcBorders>
            <w:shd w:val="clear" w:color="auto" w:fill="auto"/>
            <w:hideMark/>
          </w:tcPr>
          <w:p w:rsidR="00C735AF" w:rsidRPr="003F43B0" w:rsidRDefault="00C735AF" w:rsidP="003B6178">
            <w:pPr>
              <w:pStyle w:val="Tabletext"/>
            </w:pPr>
            <w:r w:rsidRPr="003F43B0">
              <w:t>Parts and accessories for machines mentioned in item</w:t>
            </w:r>
            <w:r w:rsidR="003F43B0" w:rsidRPr="003F43B0">
              <w:t> </w:t>
            </w:r>
            <w:r w:rsidRPr="003F43B0">
              <w:t>3.1:</w:t>
            </w:r>
          </w:p>
        </w:tc>
        <w:tc>
          <w:tcPr>
            <w:tcW w:w="1034" w:type="pct"/>
            <w:tcBorders>
              <w:top w:val="single" w:sz="4" w:space="0" w:color="auto"/>
              <w:bottom w:val="nil"/>
            </w:tcBorders>
            <w:shd w:val="clear" w:color="auto" w:fill="auto"/>
            <w:hideMark/>
          </w:tcPr>
          <w:p w:rsidR="00C735AF" w:rsidRPr="003F43B0" w:rsidRDefault="00C735AF" w:rsidP="003B6178">
            <w:pPr>
              <w:keepLines/>
            </w:pPr>
          </w:p>
        </w:tc>
        <w:tc>
          <w:tcPr>
            <w:tcW w:w="914" w:type="pct"/>
            <w:tcBorders>
              <w:top w:val="single" w:sz="4" w:space="0" w:color="auto"/>
              <w:bottom w:val="nil"/>
            </w:tcBorders>
            <w:shd w:val="clear" w:color="auto" w:fill="auto"/>
          </w:tcPr>
          <w:p w:rsidR="00C735AF" w:rsidRPr="003F43B0" w:rsidRDefault="00C735AF" w:rsidP="003B6178">
            <w:pPr>
              <w:pStyle w:val="Tabletext"/>
              <w:tabs>
                <w:tab w:val="decimal" w:pos="440"/>
              </w:tabs>
            </w:pP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a"/>
            </w:pPr>
            <w:r w:rsidRPr="003F43B0">
              <w:t xml:space="preserve">(a) cards </w:t>
            </w:r>
            <w:r w:rsidRPr="003F43B0">
              <w:rPr>
                <w:iCs/>
              </w:rPr>
              <w:t>(including network, sound, video, IDE, SCSI, and other similar cards)</w:t>
            </w:r>
          </w:p>
        </w:tc>
        <w:tc>
          <w:tcPr>
            <w:tcW w:w="1034" w:type="pct"/>
            <w:tcBorders>
              <w:top w:val="nil"/>
              <w:bottom w:val="nil"/>
            </w:tcBorders>
            <w:shd w:val="clear" w:color="auto" w:fill="auto"/>
            <w:hideMark/>
          </w:tcPr>
          <w:p w:rsidR="00C735AF" w:rsidRPr="003F43B0" w:rsidRDefault="00C735AF" w:rsidP="003B6178">
            <w:pPr>
              <w:pStyle w:val="Tabletext"/>
            </w:pPr>
            <w:r w:rsidRPr="003F43B0">
              <w:t>8473.30.00.62</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0.5</w:t>
            </w:r>
          </w:p>
        </w:tc>
      </w:tr>
      <w:tr w:rsidR="00DB529A" w:rsidRPr="003F43B0" w:rsidTr="00FF2DA1">
        <w:tc>
          <w:tcPr>
            <w:tcW w:w="954" w:type="pct"/>
            <w:tcBorders>
              <w:top w:val="nil"/>
              <w:bottom w:val="nil"/>
            </w:tcBorders>
            <w:shd w:val="clear" w:color="auto" w:fill="auto"/>
            <w:hideMark/>
          </w:tcPr>
          <w:p w:rsidR="00C735AF" w:rsidRPr="003F43B0" w:rsidRDefault="00C735AF" w:rsidP="003B6178">
            <w:pPr>
              <w:pStyle w:val="Tabletext"/>
            </w:pPr>
          </w:p>
        </w:tc>
        <w:tc>
          <w:tcPr>
            <w:tcW w:w="2098" w:type="pct"/>
            <w:tcBorders>
              <w:top w:val="nil"/>
              <w:bottom w:val="nil"/>
            </w:tcBorders>
            <w:shd w:val="clear" w:color="auto" w:fill="auto"/>
            <w:hideMark/>
          </w:tcPr>
          <w:p w:rsidR="00C735AF" w:rsidRPr="003F43B0" w:rsidRDefault="00C735AF" w:rsidP="003B6178">
            <w:pPr>
              <w:pStyle w:val="Tablea"/>
            </w:pPr>
            <w:r w:rsidRPr="003F43B0">
              <w:t>(b) motherboards</w:t>
            </w:r>
          </w:p>
        </w:tc>
        <w:tc>
          <w:tcPr>
            <w:tcW w:w="1034" w:type="pct"/>
            <w:tcBorders>
              <w:top w:val="nil"/>
              <w:bottom w:val="nil"/>
            </w:tcBorders>
            <w:shd w:val="clear" w:color="auto" w:fill="auto"/>
            <w:hideMark/>
          </w:tcPr>
          <w:p w:rsidR="00C735AF" w:rsidRPr="003F43B0" w:rsidRDefault="00C735AF" w:rsidP="003B6178">
            <w:pPr>
              <w:pStyle w:val="Tabletext"/>
            </w:pPr>
            <w:r w:rsidRPr="003F43B0">
              <w:t>8473.30.00.68</w:t>
            </w:r>
          </w:p>
        </w:tc>
        <w:tc>
          <w:tcPr>
            <w:tcW w:w="914" w:type="pct"/>
            <w:tcBorders>
              <w:top w:val="nil"/>
              <w:bottom w:val="nil"/>
            </w:tcBorders>
            <w:shd w:val="clear" w:color="auto" w:fill="auto"/>
          </w:tcPr>
          <w:p w:rsidR="00C735AF" w:rsidRPr="003F43B0" w:rsidRDefault="00C735AF" w:rsidP="003B6178">
            <w:pPr>
              <w:pStyle w:val="Tabletext"/>
              <w:tabs>
                <w:tab w:val="decimal" w:pos="440"/>
              </w:tabs>
            </w:pPr>
            <w:r w:rsidRPr="003F43B0">
              <w:t>0.8</w:t>
            </w:r>
          </w:p>
        </w:tc>
      </w:tr>
      <w:tr w:rsidR="00DB529A" w:rsidRPr="003F43B0" w:rsidTr="00FF2DA1">
        <w:tc>
          <w:tcPr>
            <w:tcW w:w="954" w:type="pct"/>
            <w:tcBorders>
              <w:top w:val="nil"/>
              <w:bottom w:val="single" w:sz="4" w:space="0" w:color="auto"/>
            </w:tcBorders>
            <w:shd w:val="clear" w:color="auto" w:fill="auto"/>
            <w:hideMark/>
          </w:tcPr>
          <w:p w:rsidR="00C735AF" w:rsidRPr="003F43B0" w:rsidRDefault="00C735AF" w:rsidP="003B6178">
            <w:pPr>
              <w:pStyle w:val="Tabletext"/>
            </w:pPr>
          </w:p>
        </w:tc>
        <w:tc>
          <w:tcPr>
            <w:tcW w:w="2098" w:type="pct"/>
            <w:tcBorders>
              <w:top w:val="nil"/>
              <w:bottom w:val="single" w:sz="4" w:space="0" w:color="auto"/>
            </w:tcBorders>
            <w:shd w:val="clear" w:color="auto" w:fill="auto"/>
            <w:hideMark/>
          </w:tcPr>
          <w:p w:rsidR="00C735AF" w:rsidRPr="003F43B0" w:rsidRDefault="00C735AF" w:rsidP="003B6178">
            <w:pPr>
              <w:pStyle w:val="Tablea"/>
            </w:pPr>
            <w:r w:rsidRPr="003F43B0">
              <w:t>(c) other</w:t>
            </w:r>
          </w:p>
        </w:tc>
        <w:tc>
          <w:tcPr>
            <w:tcW w:w="1034" w:type="pct"/>
            <w:tcBorders>
              <w:top w:val="nil"/>
              <w:bottom w:val="single" w:sz="4" w:space="0" w:color="auto"/>
            </w:tcBorders>
            <w:shd w:val="clear" w:color="auto" w:fill="auto"/>
            <w:hideMark/>
          </w:tcPr>
          <w:p w:rsidR="00C735AF" w:rsidRPr="003F43B0" w:rsidRDefault="00C735AF" w:rsidP="003B6178">
            <w:pPr>
              <w:pStyle w:val="Tabletext"/>
            </w:pPr>
            <w:r w:rsidRPr="003F43B0">
              <w:t>8473.30.00.70</w:t>
            </w:r>
          </w:p>
        </w:tc>
        <w:tc>
          <w:tcPr>
            <w:tcW w:w="914" w:type="pct"/>
            <w:tcBorders>
              <w:top w:val="nil"/>
              <w:bottom w:val="single" w:sz="4" w:space="0" w:color="auto"/>
            </w:tcBorders>
            <w:shd w:val="clear" w:color="auto" w:fill="auto"/>
          </w:tcPr>
          <w:p w:rsidR="00C735AF" w:rsidRPr="003F43B0" w:rsidRDefault="00C735AF" w:rsidP="003B6178">
            <w:pPr>
              <w:pStyle w:val="Tabletext"/>
              <w:tabs>
                <w:tab w:val="decimal" w:pos="440"/>
              </w:tabs>
            </w:pPr>
            <w:r w:rsidRPr="003F43B0">
              <w:t>1.0</w:t>
            </w:r>
          </w:p>
        </w:tc>
      </w:tr>
      <w:tr w:rsidR="00DB529A" w:rsidRPr="003F43B0" w:rsidTr="00FF2DA1">
        <w:tc>
          <w:tcPr>
            <w:tcW w:w="954" w:type="pct"/>
            <w:tcBorders>
              <w:top w:val="single" w:sz="4" w:space="0" w:color="auto"/>
              <w:bottom w:val="single" w:sz="4" w:space="0" w:color="auto"/>
            </w:tcBorders>
            <w:shd w:val="clear" w:color="auto" w:fill="auto"/>
            <w:hideMark/>
          </w:tcPr>
          <w:p w:rsidR="00C735AF" w:rsidRPr="003F43B0" w:rsidRDefault="00C735AF" w:rsidP="003B6178">
            <w:pPr>
              <w:pStyle w:val="Tabletext"/>
            </w:pPr>
            <w:r w:rsidRPr="003F43B0">
              <w:t>5.3</w:t>
            </w:r>
          </w:p>
        </w:tc>
        <w:tc>
          <w:tcPr>
            <w:tcW w:w="2098" w:type="pct"/>
            <w:tcBorders>
              <w:top w:val="single" w:sz="4" w:space="0" w:color="auto"/>
              <w:bottom w:val="single" w:sz="4" w:space="0" w:color="auto"/>
            </w:tcBorders>
            <w:shd w:val="clear" w:color="auto" w:fill="auto"/>
            <w:hideMark/>
          </w:tcPr>
          <w:p w:rsidR="00C735AF" w:rsidRPr="003F43B0" w:rsidRDefault="00C735AF" w:rsidP="003B6178">
            <w:pPr>
              <w:pStyle w:val="Tabletext"/>
            </w:pPr>
            <w:r w:rsidRPr="003F43B0">
              <w:t>Electrical transformers, static converters (for example, rectifiers and inductors)—static converters—separately housed units, designed to be housed in the same cabinet as the central processing unit of machines mentioned in item</w:t>
            </w:r>
            <w:r w:rsidR="003F43B0" w:rsidRPr="003F43B0">
              <w:t> </w:t>
            </w:r>
            <w:r w:rsidRPr="003F43B0">
              <w:t>3.1</w:t>
            </w:r>
          </w:p>
        </w:tc>
        <w:tc>
          <w:tcPr>
            <w:tcW w:w="1034" w:type="pct"/>
            <w:tcBorders>
              <w:top w:val="single" w:sz="4" w:space="0" w:color="auto"/>
              <w:bottom w:val="single" w:sz="4" w:space="0" w:color="auto"/>
            </w:tcBorders>
            <w:shd w:val="clear" w:color="auto" w:fill="auto"/>
            <w:hideMark/>
          </w:tcPr>
          <w:p w:rsidR="00C735AF" w:rsidRPr="003F43B0" w:rsidRDefault="00C735AF" w:rsidP="003B6178">
            <w:pPr>
              <w:pStyle w:val="Tabletext"/>
            </w:pPr>
            <w:r w:rsidRPr="003F43B0">
              <w:t>8504.40.30.59</w:t>
            </w:r>
          </w:p>
        </w:tc>
        <w:tc>
          <w:tcPr>
            <w:tcW w:w="914" w:type="pct"/>
            <w:tcBorders>
              <w:top w:val="single" w:sz="4" w:space="0" w:color="auto"/>
              <w:bottom w:val="single" w:sz="4" w:space="0" w:color="auto"/>
            </w:tcBorders>
            <w:shd w:val="clear" w:color="auto" w:fill="auto"/>
          </w:tcPr>
          <w:p w:rsidR="00C735AF" w:rsidRPr="003F43B0" w:rsidRDefault="00C735AF" w:rsidP="003B6178">
            <w:pPr>
              <w:pStyle w:val="Tabletext"/>
              <w:tabs>
                <w:tab w:val="decimal" w:pos="440"/>
              </w:tabs>
            </w:pPr>
            <w:r w:rsidRPr="003F43B0">
              <w:t>4.5</w:t>
            </w:r>
          </w:p>
        </w:tc>
      </w:tr>
      <w:tr w:rsidR="00DB529A" w:rsidRPr="003F43B0" w:rsidTr="00FF2DA1">
        <w:tc>
          <w:tcPr>
            <w:tcW w:w="954" w:type="pct"/>
            <w:tcBorders>
              <w:bottom w:val="single" w:sz="12" w:space="0" w:color="auto"/>
            </w:tcBorders>
            <w:shd w:val="clear" w:color="auto" w:fill="auto"/>
            <w:hideMark/>
          </w:tcPr>
          <w:p w:rsidR="00C735AF" w:rsidRPr="003F43B0" w:rsidRDefault="00C735AF" w:rsidP="003B6178">
            <w:pPr>
              <w:pStyle w:val="Tabletext"/>
            </w:pPr>
            <w:r w:rsidRPr="003F43B0">
              <w:t>5.4</w:t>
            </w:r>
          </w:p>
        </w:tc>
        <w:tc>
          <w:tcPr>
            <w:tcW w:w="2098" w:type="pct"/>
            <w:tcBorders>
              <w:bottom w:val="single" w:sz="12" w:space="0" w:color="auto"/>
            </w:tcBorders>
            <w:shd w:val="clear" w:color="auto" w:fill="auto"/>
            <w:hideMark/>
          </w:tcPr>
          <w:p w:rsidR="00C735AF" w:rsidRPr="003F43B0" w:rsidRDefault="00C735AF" w:rsidP="003B6178">
            <w:pPr>
              <w:pStyle w:val="Tabletext"/>
            </w:pPr>
            <w:r w:rsidRPr="003F43B0">
              <w:t>Web cameras</w:t>
            </w:r>
          </w:p>
        </w:tc>
        <w:tc>
          <w:tcPr>
            <w:tcW w:w="1034" w:type="pct"/>
            <w:tcBorders>
              <w:bottom w:val="single" w:sz="12" w:space="0" w:color="auto"/>
            </w:tcBorders>
            <w:shd w:val="clear" w:color="auto" w:fill="auto"/>
            <w:hideMark/>
          </w:tcPr>
          <w:p w:rsidR="00C735AF" w:rsidRPr="003F43B0" w:rsidRDefault="00C735AF" w:rsidP="003B6178">
            <w:pPr>
              <w:pStyle w:val="Tabletext"/>
            </w:pPr>
            <w:r w:rsidRPr="003F43B0">
              <w:t>8525.80.10.15</w:t>
            </w:r>
          </w:p>
        </w:tc>
        <w:tc>
          <w:tcPr>
            <w:tcW w:w="914" w:type="pct"/>
            <w:tcBorders>
              <w:bottom w:val="single" w:sz="12" w:space="0" w:color="auto"/>
            </w:tcBorders>
            <w:shd w:val="clear" w:color="auto" w:fill="auto"/>
          </w:tcPr>
          <w:p w:rsidR="00C735AF" w:rsidRPr="003F43B0" w:rsidRDefault="00C735AF" w:rsidP="003B6178">
            <w:pPr>
              <w:pStyle w:val="Tabletext"/>
              <w:tabs>
                <w:tab w:val="decimal" w:pos="440"/>
              </w:tabs>
            </w:pPr>
            <w:r w:rsidRPr="003F43B0">
              <w:t>0.1</w:t>
            </w:r>
          </w:p>
        </w:tc>
      </w:tr>
    </w:tbl>
    <w:p w:rsidR="00F84E8E" w:rsidRPr="003F43B0" w:rsidRDefault="00FF73FD" w:rsidP="00C735AF">
      <w:pPr>
        <w:pStyle w:val="ItemHead"/>
        <w:rPr>
          <w:rFonts w:cs="Arial"/>
          <w:noProof/>
        </w:rPr>
      </w:pPr>
      <w:r w:rsidRPr="003F43B0">
        <w:rPr>
          <w:rFonts w:cs="Arial"/>
          <w:noProof/>
        </w:rPr>
        <w:t>69</w:t>
      </w:r>
      <w:r w:rsidR="00F84E8E" w:rsidRPr="003F43B0">
        <w:rPr>
          <w:rFonts w:cs="Arial"/>
          <w:noProof/>
        </w:rPr>
        <w:t xml:space="preserve">  Schedule</w:t>
      </w:r>
      <w:r w:rsidR="003F43B0" w:rsidRPr="003F43B0">
        <w:rPr>
          <w:rFonts w:cs="Arial"/>
          <w:noProof/>
        </w:rPr>
        <w:t> </w:t>
      </w:r>
      <w:r w:rsidR="00F84E8E" w:rsidRPr="003F43B0">
        <w:rPr>
          <w:rFonts w:cs="Arial"/>
          <w:noProof/>
        </w:rPr>
        <w:t>2 (heading)</w:t>
      </w:r>
    </w:p>
    <w:p w:rsidR="00F84E8E" w:rsidRPr="003F43B0" w:rsidRDefault="00F84E8E" w:rsidP="00F84E8E">
      <w:pPr>
        <w:pStyle w:val="Item"/>
      </w:pPr>
      <w:r w:rsidRPr="003F43B0">
        <w:t>Repeal the heading, substitute:</w:t>
      </w:r>
    </w:p>
    <w:p w:rsidR="00F84E8E" w:rsidRPr="003F43B0" w:rsidRDefault="00F84E8E" w:rsidP="00F84E8E">
      <w:pPr>
        <w:pStyle w:val="ActHead1"/>
      </w:pPr>
      <w:bookmarkStart w:id="43" w:name="_Toc358878559"/>
      <w:r w:rsidRPr="003F43B0">
        <w:rPr>
          <w:rStyle w:val="CharChapNo"/>
        </w:rPr>
        <w:t>Schedule</w:t>
      </w:r>
      <w:r w:rsidR="003F43B0" w:rsidRPr="003F43B0">
        <w:rPr>
          <w:rStyle w:val="CharChapNo"/>
        </w:rPr>
        <w:t> </w:t>
      </w:r>
      <w:r w:rsidRPr="003F43B0">
        <w:rPr>
          <w:rStyle w:val="CharChapNo"/>
        </w:rPr>
        <w:t>2</w:t>
      </w:r>
      <w:r w:rsidRPr="003F43B0">
        <w:t>—</w:t>
      </w:r>
      <w:r w:rsidRPr="003F43B0">
        <w:rPr>
          <w:rStyle w:val="CharChapText"/>
        </w:rPr>
        <w:t>Percentage targets</w:t>
      </w:r>
      <w:bookmarkEnd w:id="43"/>
    </w:p>
    <w:p w:rsidR="00F84E8E" w:rsidRPr="003F43B0" w:rsidRDefault="00F84E8E" w:rsidP="00F84E8E">
      <w:pPr>
        <w:pStyle w:val="notemargin"/>
      </w:pPr>
      <w:r w:rsidRPr="003F43B0">
        <w:t>Note:</w:t>
      </w:r>
      <w:r w:rsidRPr="003F43B0">
        <w:tab/>
        <w:t>See regulation</w:t>
      </w:r>
      <w:r w:rsidR="003F43B0" w:rsidRPr="003F43B0">
        <w:t> </w:t>
      </w:r>
      <w:r w:rsidRPr="003F43B0">
        <w:t xml:space="preserve">1.03, definition of </w:t>
      </w:r>
      <w:r w:rsidRPr="003F43B0">
        <w:rPr>
          <w:b/>
          <w:i/>
        </w:rPr>
        <w:t>percentage target</w:t>
      </w:r>
    </w:p>
    <w:p w:rsidR="00C735AF" w:rsidRPr="003F43B0" w:rsidRDefault="00FF73FD" w:rsidP="00C735AF">
      <w:pPr>
        <w:pStyle w:val="ItemHead"/>
        <w:rPr>
          <w:rFonts w:cs="Arial"/>
        </w:rPr>
      </w:pPr>
      <w:r w:rsidRPr="003F43B0">
        <w:rPr>
          <w:rFonts w:cs="Arial"/>
          <w:noProof/>
        </w:rPr>
        <w:t>70</w:t>
      </w:r>
      <w:r w:rsidR="00C735AF" w:rsidRPr="003F43B0">
        <w:rPr>
          <w:rFonts w:cs="Arial"/>
        </w:rPr>
        <w:t xml:space="preserve">  </w:t>
      </w:r>
      <w:r w:rsidR="00322802" w:rsidRPr="003F43B0">
        <w:rPr>
          <w:rFonts w:cs="Arial"/>
        </w:rPr>
        <w:t>Part</w:t>
      </w:r>
      <w:r w:rsidR="003F43B0" w:rsidRPr="003F43B0">
        <w:rPr>
          <w:rFonts w:cs="Arial"/>
        </w:rPr>
        <w:t> </w:t>
      </w:r>
      <w:r w:rsidR="00322802" w:rsidRPr="003F43B0">
        <w:rPr>
          <w:rFonts w:cs="Arial"/>
        </w:rPr>
        <w:t xml:space="preserve">1 of </w:t>
      </w:r>
      <w:r w:rsidR="00C735AF" w:rsidRPr="003F43B0">
        <w:rPr>
          <w:rFonts w:cs="Arial"/>
        </w:rPr>
        <w:t>Schedule</w:t>
      </w:r>
      <w:r w:rsidR="003F43B0" w:rsidRPr="003F43B0">
        <w:rPr>
          <w:rFonts w:cs="Arial"/>
        </w:rPr>
        <w:t> </w:t>
      </w:r>
      <w:r w:rsidR="00C735AF" w:rsidRPr="003F43B0">
        <w:rPr>
          <w:rFonts w:cs="Arial"/>
        </w:rPr>
        <w:t>2 (heading)</w:t>
      </w:r>
    </w:p>
    <w:p w:rsidR="00C735AF" w:rsidRPr="003F43B0" w:rsidRDefault="00C735AF" w:rsidP="00C735AF">
      <w:pPr>
        <w:pStyle w:val="Item"/>
      </w:pPr>
      <w:r w:rsidRPr="003F43B0">
        <w:t>Repeal the heading.</w:t>
      </w:r>
    </w:p>
    <w:p w:rsidR="00C735AF" w:rsidRPr="003F43B0" w:rsidRDefault="00FF73FD" w:rsidP="00C735AF">
      <w:pPr>
        <w:pStyle w:val="ItemHead"/>
        <w:rPr>
          <w:rFonts w:cs="Arial"/>
        </w:rPr>
      </w:pPr>
      <w:r w:rsidRPr="003F43B0">
        <w:rPr>
          <w:rFonts w:cs="Arial"/>
        </w:rPr>
        <w:t>71</w:t>
      </w:r>
      <w:r w:rsidR="00C735AF" w:rsidRPr="003F43B0">
        <w:rPr>
          <w:rFonts w:cs="Arial"/>
        </w:rPr>
        <w:t xml:space="preserve">  </w:t>
      </w:r>
      <w:r w:rsidR="00322802" w:rsidRPr="003F43B0">
        <w:rPr>
          <w:rFonts w:cs="Arial"/>
        </w:rPr>
        <w:t>Part</w:t>
      </w:r>
      <w:r w:rsidR="003F43B0" w:rsidRPr="003F43B0">
        <w:rPr>
          <w:rFonts w:cs="Arial"/>
        </w:rPr>
        <w:t> </w:t>
      </w:r>
      <w:r w:rsidR="00322802" w:rsidRPr="003F43B0">
        <w:rPr>
          <w:rFonts w:cs="Arial"/>
        </w:rPr>
        <w:t xml:space="preserve">2 of </w:t>
      </w:r>
      <w:r w:rsidR="00C735AF" w:rsidRPr="003F43B0">
        <w:rPr>
          <w:rFonts w:cs="Arial"/>
        </w:rPr>
        <w:t>Schedule</w:t>
      </w:r>
      <w:r w:rsidR="003F43B0" w:rsidRPr="003F43B0">
        <w:rPr>
          <w:rFonts w:cs="Arial"/>
        </w:rPr>
        <w:t> </w:t>
      </w:r>
      <w:r w:rsidR="00C735AF" w:rsidRPr="003F43B0">
        <w:rPr>
          <w:rFonts w:cs="Arial"/>
        </w:rPr>
        <w:t>2</w:t>
      </w:r>
    </w:p>
    <w:p w:rsidR="00957E1E" w:rsidRPr="003F43B0" w:rsidRDefault="00D51665" w:rsidP="00D51665">
      <w:pPr>
        <w:pStyle w:val="Item"/>
      </w:pPr>
      <w:r w:rsidRPr="003F43B0">
        <w:t>Repeal the Part.</w:t>
      </w:r>
    </w:p>
    <w:sectPr w:rsidR="00957E1E" w:rsidRPr="003F43B0" w:rsidSect="0065310B">
      <w:headerReference w:type="even" r:id="rId25"/>
      <w:headerReference w:type="default" r:id="rId26"/>
      <w:footerReference w:type="even" r:id="rId27"/>
      <w:footerReference w:type="default" r:id="rId28"/>
      <w:footerReference w:type="first" r:id="rId29"/>
      <w:pgSz w:w="11907" w:h="16839" w:code="9"/>
      <w:pgMar w:top="1985" w:right="2410" w:bottom="3969" w:left="2410" w:header="567" w:footer="311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4E" w:rsidRDefault="00520D4E">
      <w:r>
        <w:separator/>
      </w:r>
    </w:p>
  </w:endnote>
  <w:endnote w:type="continuationSeparator" w:id="0">
    <w:p w:rsidR="00520D4E" w:rsidRDefault="0052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0B" w:rsidRPr="0065310B" w:rsidRDefault="0065310B" w:rsidP="0065310B">
    <w:pPr>
      <w:pStyle w:val="Footer"/>
      <w:rPr>
        <w:sz w:val="18"/>
      </w:rPr>
    </w:pPr>
    <w:r>
      <w:rPr>
        <w:sz w:val="18"/>
      </w:rPr>
      <w:t>OPC50272</w:t>
    </w:r>
    <w:r w:rsidRPr="0065310B">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520D4E" w:rsidTr="008F38DE">
      <w:tc>
        <w:tcPr>
          <w:tcW w:w="7303" w:type="dxa"/>
        </w:tcPr>
        <w:p w:rsidR="00520D4E" w:rsidRDefault="00520D4E" w:rsidP="008F38DE">
          <w:pPr>
            <w:rPr>
              <w:sz w:val="18"/>
            </w:rPr>
          </w:pPr>
        </w:p>
      </w:tc>
    </w:tr>
  </w:tbl>
  <w:p w:rsidR="00520D4E" w:rsidRPr="006D3667" w:rsidRDefault="0065310B" w:rsidP="0065310B">
    <w:pPr>
      <w:pStyle w:val="Footer"/>
    </w:pPr>
    <w:r>
      <w:t>OPC50272</w:t>
    </w:r>
    <w:r w:rsidRPr="0065310B">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10B" w:rsidRPr="0065310B" w:rsidRDefault="0065310B" w:rsidP="0065310B">
    <w:pPr>
      <w:pStyle w:val="Footer"/>
      <w:rPr>
        <w:sz w:val="18"/>
      </w:rPr>
    </w:pPr>
    <w:r>
      <w:rPr>
        <w:sz w:val="18"/>
      </w:rPr>
      <w:t>OPC50272</w:t>
    </w:r>
    <w:r w:rsidRPr="0065310B">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65310B" w:rsidRDefault="00520D4E" w:rsidP="008F38DE">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520D4E" w:rsidRPr="0065310B" w:rsidTr="008F38DE">
      <w:tc>
        <w:tcPr>
          <w:tcW w:w="533" w:type="dxa"/>
          <w:tcBorders>
            <w:top w:val="nil"/>
            <w:left w:val="nil"/>
            <w:bottom w:val="nil"/>
            <w:right w:val="nil"/>
          </w:tcBorders>
        </w:tcPr>
        <w:p w:rsidR="00520D4E" w:rsidRPr="0065310B" w:rsidRDefault="00520D4E" w:rsidP="008F38DE">
          <w:pPr>
            <w:spacing w:line="0" w:lineRule="atLeast"/>
            <w:rPr>
              <w:rFonts w:cs="Times New Roman"/>
              <w:sz w:val="18"/>
            </w:rPr>
          </w:pPr>
          <w:r w:rsidRPr="0065310B">
            <w:rPr>
              <w:rFonts w:cs="Times New Roman"/>
              <w:i/>
              <w:sz w:val="18"/>
            </w:rPr>
            <w:fldChar w:fldCharType="begin"/>
          </w:r>
          <w:r w:rsidRPr="0065310B">
            <w:rPr>
              <w:rFonts w:cs="Times New Roman"/>
              <w:i/>
              <w:sz w:val="18"/>
            </w:rPr>
            <w:instrText xml:space="preserve"> PAGE </w:instrText>
          </w:r>
          <w:r w:rsidRPr="0065310B">
            <w:rPr>
              <w:rFonts w:cs="Times New Roman"/>
              <w:i/>
              <w:sz w:val="18"/>
            </w:rPr>
            <w:fldChar w:fldCharType="separate"/>
          </w:r>
          <w:r w:rsidR="00D4704D">
            <w:rPr>
              <w:rFonts w:cs="Times New Roman"/>
              <w:i/>
              <w:noProof/>
              <w:sz w:val="18"/>
            </w:rPr>
            <w:t>vi</w:t>
          </w:r>
          <w:r w:rsidRPr="0065310B">
            <w:rPr>
              <w:rFonts w:cs="Times New Roman"/>
              <w:i/>
              <w:sz w:val="18"/>
            </w:rPr>
            <w:fldChar w:fldCharType="end"/>
          </w:r>
        </w:p>
      </w:tc>
      <w:tc>
        <w:tcPr>
          <w:tcW w:w="5387" w:type="dxa"/>
          <w:tcBorders>
            <w:top w:val="nil"/>
            <w:left w:val="nil"/>
            <w:bottom w:val="nil"/>
            <w:right w:val="nil"/>
          </w:tcBorders>
        </w:tcPr>
        <w:p w:rsidR="00520D4E" w:rsidRPr="0065310B" w:rsidRDefault="00520D4E" w:rsidP="008F38DE">
          <w:pPr>
            <w:spacing w:line="0" w:lineRule="atLeast"/>
            <w:jc w:val="center"/>
            <w:rPr>
              <w:rFonts w:cs="Times New Roman"/>
              <w:sz w:val="18"/>
            </w:rPr>
          </w:pPr>
          <w:r w:rsidRPr="0065310B">
            <w:rPr>
              <w:rFonts w:cs="Times New Roman"/>
              <w:i/>
              <w:sz w:val="18"/>
            </w:rPr>
            <w:fldChar w:fldCharType="begin"/>
          </w:r>
          <w:r w:rsidRPr="0065310B">
            <w:rPr>
              <w:rFonts w:cs="Times New Roman"/>
              <w:i/>
              <w:sz w:val="18"/>
            </w:rPr>
            <w:instrText xml:space="preserve"> DOCPROPERTY ShortT </w:instrText>
          </w:r>
          <w:r w:rsidRPr="0065310B">
            <w:rPr>
              <w:rFonts w:cs="Times New Roman"/>
              <w:i/>
              <w:sz w:val="18"/>
            </w:rPr>
            <w:fldChar w:fldCharType="separate"/>
          </w:r>
          <w:r w:rsidR="00DF6780">
            <w:rPr>
              <w:rFonts w:cs="Times New Roman"/>
              <w:i/>
              <w:sz w:val="18"/>
            </w:rPr>
            <w:t>Product Stewardship (Televisions and Computers) Amendment (Single Product Class) Regulation 2013</w:t>
          </w:r>
          <w:r w:rsidRPr="0065310B">
            <w:rPr>
              <w:rFonts w:cs="Times New Roman"/>
              <w:i/>
              <w:sz w:val="18"/>
            </w:rPr>
            <w:fldChar w:fldCharType="end"/>
          </w:r>
        </w:p>
      </w:tc>
      <w:tc>
        <w:tcPr>
          <w:tcW w:w="1383" w:type="dxa"/>
          <w:tcBorders>
            <w:top w:val="nil"/>
            <w:left w:val="nil"/>
            <w:bottom w:val="nil"/>
            <w:right w:val="nil"/>
          </w:tcBorders>
        </w:tcPr>
        <w:p w:rsidR="00520D4E" w:rsidRPr="0065310B" w:rsidRDefault="00520D4E" w:rsidP="008F38DE">
          <w:pPr>
            <w:spacing w:line="0" w:lineRule="atLeast"/>
            <w:jc w:val="right"/>
            <w:rPr>
              <w:rFonts w:cs="Times New Roman"/>
              <w:sz w:val="18"/>
            </w:rPr>
          </w:pPr>
          <w:r w:rsidRPr="0065310B">
            <w:rPr>
              <w:rFonts w:cs="Times New Roman"/>
              <w:i/>
              <w:sz w:val="18"/>
            </w:rPr>
            <w:fldChar w:fldCharType="begin"/>
          </w:r>
          <w:r w:rsidRPr="0065310B">
            <w:rPr>
              <w:rFonts w:cs="Times New Roman"/>
              <w:i/>
              <w:sz w:val="18"/>
            </w:rPr>
            <w:instrText xml:space="preserve"> DOCPROPERTY ActNo </w:instrText>
          </w:r>
          <w:r w:rsidRPr="0065310B">
            <w:rPr>
              <w:rFonts w:cs="Times New Roman"/>
              <w:i/>
              <w:sz w:val="18"/>
            </w:rPr>
            <w:fldChar w:fldCharType="separate"/>
          </w:r>
          <w:r w:rsidR="00DF6780">
            <w:rPr>
              <w:rFonts w:cs="Times New Roman"/>
              <w:i/>
              <w:sz w:val="18"/>
            </w:rPr>
            <w:t>No. 150, 2013</w:t>
          </w:r>
          <w:r w:rsidRPr="0065310B">
            <w:rPr>
              <w:rFonts w:cs="Times New Roman"/>
              <w:i/>
              <w:sz w:val="18"/>
            </w:rPr>
            <w:fldChar w:fldCharType="end"/>
          </w:r>
        </w:p>
      </w:tc>
    </w:tr>
    <w:tr w:rsidR="00520D4E" w:rsidRPr="0065310B" w:rsidTr="008F38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520D4E" w:rsidRPr="0065310B" w:rsidRDefault="00520D4E" w:rsidP="008F38DE">
          <w:pPr>
            <w:jc w:val="right"/>
            <w:rPr>
              <w:rFonts w:cs="Times New Roman"/>
              <w:sz w:val="18"/>
            </w:rPr>
          </w:pPr>
        </w:p>
      </w:tc>
    </w:tr>
  </w:tbl>
  <w:p w:rsidR="00520D4E" w:rsidRPr="0065310B" w:rsidRDefault="0065310B" w:rsidP="0065310B">
    <w:pPr>
      <w:rPr>
        <w:rFonts w:cs="Times New Roman"/>
        <w:i/>
        <w:sz w:val="18"/>
      </w:rPr>
    </w:pPr>
    <w:r>
      <w:rPr>
        <w:rFonts w:cs="Times New Roman"/>
        <w:i/>
        <w:sz w:val="18"/>
      </w:rPr>
      <w:t>OPC50272</w:t>
    </w:r>
    <w:r w:rsidRPr="0065310B">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E33C1C" w:rsidRDefault="00520D4E" w:rsidP="008F38D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20D4E" w:rsidTr="008F38DE">
      <w:tc>
        <w:tcPr>
          <w:tcW w:w="1383" w:type="dxa"/>
          <w:tcBorders>
            <w:top w:val="nil"/>
            <w:left w:val="nil"/>
            <w:bottom w:val="nil"/>
            <w:right w:val="nil"/>
          </w:tcBorders>
        </w:tcPr>
        <w:p w:rsidR="00520D4E" w:rsidRDefault="00CD0270" w:rsidP="008F38DE">
          <w:pPr>
            <w:spacing w:line="0" w:lineRule="atLeast"/>
            <w:rPr>
              <w:sz w:val="18"/>
            </w:rPr>
          </w:pPr>
          <w:r>
            <w:rPr>
              <w:i/>
              <w:sz w:val="18"/>
            </w:rPr>
            <w:t>No. 148</w:t>
          </w:r>
          <w:r w:rsidR="00DF6780">
            <w:rPr>
              <w:i/>
              <w:sz w:val="18"/>
            </w:rPr>
            <w:t>, 2013</w:t>
          </w:r>
        </w:p>
      </w:tc>
      <w:tc>
        <w:tcPr>
          <w:tcW w:w="5387" w:type="dxa"/>
          <w:tcBorders>
            <w:top w:val="nil"/>
            <w:left w:val="nil"/>
            <w:bottom w:val="nil"/>
            <w:right w:val="nil"/>
          </w:tcBorders>
        </w:tcPr>
        <w:p w:rsidR="00520D4E" w:rsidRDefault="00520D4E" w:rsidP="008F38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6780">
            <w:rPr>
              <w:i/>
              <w:sz w:val="18"/>
            </w:rPr>
            <w:t>Product Stewardship (Televisions and Computers) Amendment (Single Product Class) Regulation 2013</w:t>
          </w:r>
          <w:r w:rsidRPr="007A1328">
            <w:rPr>
              <w:i/>
              <w:sz w:val="18"/>
            </w:rPr>
            <w:fldChar w:fldCharType="end"/>
          </w:r>
        </w:p>
      </w:tc>
      <w:tc>
        <w:tcPr>
          <w:tcW w:w="533" w:type="dxa"/>
          <w:tcBorders>
            <w:top w:val="nil"/>
            <w:left w:val="nil"/>
            <w:bottom w:val="nil"/>
            <w:right w:val="nil"/>
          </w:tcBorders>
        </w:tcPr>
        <w:p w:rsidR="00520D4E" w:rsidRDefault="00520D4E" w:rsidP="008F38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0270">
            <w:rPr>
              <w:i/>
              <w:noProof/>
              <w:sz w:val="18"/>
            </w:rPr>
            <w:t>i</w:t>
          </w:r>
          <w:r w:rsidRPr="00ED79B6">
            <w:rPr>
              <w:i/>
              <w:sz w:val="18"/>
            </w:rPr>
            <w:fldChar w:fldCharType="end"/>
          </w:r>
        </w:p>
      </w:tc>
    </w:tr>
    <w:tr w:rsidR="00520D4E" w:rsidTr="008F38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520D4E" w:rsidRDefault="00520D4E" w:rsidP="008F38DE">
          <w:pPr>
            <w:rPr>
              <w:sz w:val="18"/>
            </w:rPr>
          </w:pPr>
        </w:p>
      </w:tc>
    </w:tr>
  </w:tbl>
  <w:p w:rsidR="00520D4E" w:rsidRPr="00ED79B6" w:rsidRDefault="0065310B" w:rsidP="0065310B">
    <w:pPr>
      <w:rPr>
        <w:i/>
        <w:sz w:val="18"/>
      </w:rPr>
    </w:pPr>
    <w:r>
      <w:rPr>
        <w:i/>
        <w:sz w:val="18"/>
      </w:rPr>
      <w:t>OPC50272</w:t>
    </w:r>
    <w:r w:rsidRPr="0065310B">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65310B" w:rsidRDefault="00520D4E" w:rsidP="00B000FF">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520D4E" w:rsidRPr="0065310B" w:rsidTr="00B000FF">
      <w:tc>
        <w:tcPr>
          <w:tcW w:w="533" w:type="dxa"/>
        </w:tcPr>
        <w:p w:rsidR="00520D4E" w:rsidRPr="0065310B" w:rsidRDefault="00520D4E" w:rsidP="00B000FF">
          <w:pPr>
            <w:spacing w:line="0" w:lineRule="atLeast"/>
            <w:rPr>
              <w:rFonts w:cs="Times New Roman"/>
              <w:sz w:val="18"/>
            </w:rPr>
          </w:pPr>
          <w:r w:rsidRPr="0065310B">
            <w:rPr>
              <w:rFonts w:cs="Times New Roman"/>
              <w:i/>
              <w:sz w:val="18"/>
            </w:rPr>
            <w:fldChar w:fldCharType="begin"/>
          </w:r>
          <w:r w:rsidRPr="0065310B">
            <w:rPr>
              <w:rFonts w:cs="Times New Roman"/>
              <w:i/>
              <w:sz w:val="18"/>
            </w:rPr>
            <w:instrText xml:space="preserve"> PAGE </w:instrText>
          </w:r>
          <w:r w:rsidRPr="0065310B">
            <w:rPr>
              <w:rFonts w:cs="Times New Roman"/>
              <w:i/>
              <w:sz w:val="18"/>
            </w:rPr>
            <w:fldChar w:fldCharType="separate"/>
          </w:r>
          <w:r w:rsidR="00CD0270">
            <w:rPr>
              <w:rFonts w:cs="Times New Roman"/>
              <w:i/>
              <w:noProof/>
              <w:sz w:val="18"/>
            </w:rPr>
            <w:t>2</w:t>
          </w:r>
          <w:r w:rsidRPr="0065310B">
            <w:rPr>
              <w:rFonts w:cs="Times New Roman"/>
              <w:i/>
              <w:sz w:val="18"/>
            </w:rPr>
            <w:fldChar w:fldCharType="end"/>
          </w:r>
        </w:p>
      </w:tc>
      <w:tc>
        <w:tcPr>
          <w:tcW w:w="5387" w:type="dxa"/>
        </w:tcPr>
        <w:p w:rsidR="00520D4E" w:rsidRPr="0065310B" w:rsidRDefault="00520D4E" w:rsidP="00B000FF">
          <w:pPr>
            <w:spacing w:line="0" w:lineRule="atLeast"/>
            <w:jc w:val="center"/>
            <w:rPr>
              <w:rFonts w:cs="Times New Roman"/>
              <w:sz w:val="18"/>
            </w:rPr>
          </w:pPr>
          <w:r w:rsidRPr="0065310B">
            <w:rPr>
              <w:rFonts w:cs="Times New Roman"/>
              <w:i/>
              <w:sz w:val="18"/>
            </w:rPr>
            <w:fldChar w:fldCharType="begin"/>
          </w:r>
          <w:r w:rsidRPr="0065310B">
            <w:rPr>
              <w:rFonts w:cs="Times New Roman"/>
              <w:i/>
              <w:sz w:val="18"/>
            </w:rPr>
            <w:instrText xml:space="preserve"> DOCPROPERTY ShortT </w:instrText>
          </w:r>
          <w:r w:rsidRPr="0065310B">
            <w:rPr>
              <w:rFonts w:cs="Times New Roman"/>
              <w:i/>
              <w:sz w:val="18"/>
            </w:rPr>
            <w:fldChar w:fldCharType="separate"/>
          </w:r>
          <w:r w:rsidR="00DF6780">
            <w:rPr>
              <w:rFonts w:cs="Times New Roman"/>
              <w:i/>
              <w:sz w:val="18"/>
            </w:rPr>
            <w:t>Product Stewardship (Televisions and Computers) Amendment (Single Product Class) Regulation 2013</w:t>
          </w:r>
          <w:r w:rsidRPr="0065310B">
            <w:rPr>
              <w:rFonts w:cs="Times New Roman"/>
              <w:i/>
              <w:sz w:val="18"/>
            </w:rPr>
            <w:fldChar w:fldCharType="end"/>
          </w:r>
        </w:p>
      </w:tc>
      <w:tc>
        <w:tcPr>
          <w:tcW w:w="1383" w:type="dxa"/>
        </w:tcPr>
        <w:p w:rsidR="00520D4E" w:rsidRPr="0065310B" w:rsidRDefault="00CD0270" w:rsidP="00B000FF">
          <w:pPr>
            <w:spacing w:line="0" w:lineRule="atLeast"/>
            <w:jc w:val="right"/>
            <w:rPr>
              <w:rFonts w:cs="Times New Roman"/>
              <w:sz w:val="18"/>
            </w:rPr>
          </w:pPr>
          <w:r>
            <w:rPr>
              <w:rFonts w:cs="Times New Roman"/>
              <w:i/>
              <w:sz w:val="18"/>
            </w:rPr>
            <w:t>No. 148</w:t>
          </w:r>
          <w:r w:rsidR="00DF6780">
            <w:rPr>
              <w:rFonts w:cs="Times New Roman"/>
              <w:i/>
              <w:sz w:val="18"/>
            </w:rPr>
            <w:t>, 2013</w:t>
          </w:r>
        </w:p>
      </w:tc>
    </w:tr>
    <w:tr w:rsidR="00520D4E" w:rsidRPr="0065310B" w:rsidTr="00B000FF">
      <w:tc>
        <w:tcPr>
          <w:tcW w:w="7303" w:type="dxa"/>
          <w:gridSpan w:val="3"/>
        </w:tcPr>
        <w:p w:rsidR="00520D4E" w:rsidRPr="0065310B" w:rsidRDefault="00520D4E" w:rsidP="00B000FF">
          <w:pPr>
            <w:jc w:val="right"/>
            <w:rPr>
              <w:rFonts w:cs="Times New Roman"/>
              <w:sz w:val="18"/>
            </w:rPr>
          </w:pPr>
        </w:p>
      </w:tc>
    </w:tr>
  </w:tbl>
  <w:p w:rsidR="00520D4E" w:rsidRPr="0065310B" w:rsidRDefault="0065310B" w:rsidP="0065310B">
    <w:pPr>
      <w:rPr>
        <w:rFonts w:cs="Times New Roman"/>
        <w:sz w:val="18"/>
      </w:rPr>
    </w:pPr>
    <w:r>
      <w:rPr>
        <w:rFonts w:cs="Times New Roman"/>
        <w:sz w:val="18"/>
      </w:rPr>
      <w:t>OPC50272</w:t>
    </w:r>
    <w:r w:rsidRPr="0065310B">
      <w:rPr>
        <w:rFonts w:cs="Times New Roman"/>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D90ABA" w:rsidRDefault="00520D4E" w:rsidP="00B000FF">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520D4E" w:rsidTr="00B000FF">
      <w:tc>
        <w:tcPr>
          <w:tcW w:w="1383" w:type="dxa"/>
        </w:tcPr>
        <w:p w:rsidR="00520D4E" w:rsidRDefault="00CD0270" w:rsidP="00B000FF">
          <w:pPr>
            <w:spacing w:line="0" w:lineRule="atLeast"/>
            <w:rPr>
              <w:sz w:val="18"/>
            </w:rPr>
          </w:pPr>
          <w:r>
            <w:rPr>
              <w:i/>
              <w:sz w:val="18"/>
            </w:rPr>
            <w:t>No. 148</w:t>
          </w:r>
          <w:r w:rsidR="00DF6780">
            <w:rPr>
              <w:i/>
              <w:sz w:val="18"/>
            </w:rPr>
            <w:t>, 2013</w:t>
          </w:r>
        </w:p>
      </w:tc>
      <w:tc>
        <w:tcPr>
          <w:tcW w:w="5387" w:type="dxa"/>
        </w:tcPr>
        <w:p w:rsidR="00520D4E" w:rsidRDefault="00520D4E" w:rsidP="00B000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6780">
            <w:rPr>
              <w:i/>
              <w:sz w:val="18"/>
            </w:rPr>
            <w:t>Product Stewardship (Televisions and Computers) Amendment (Single Product Class) Regulation 2013</w:t>
          </w:r>
          <w:r w:rsidRPr="007A1328">
            <w:rPr>
              <w:i/>
              <w:sz w:val="18"/>
            </w:rPr>
            <w:fldChar w:fldCharType="end"/>
          </w:r>
        </w:p>
      </w:tc>
      <w:tc>
        <w:tcPr>
          <w:tcW w:w="533" w:type="dxa"/>
        </w:tcPr>
        <w:p w:rsidR="00520D4E" w:rsidRDefault="00520D4E" w:rsidP="00B000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0270">
            <w:rPr>
              <w:i/>
              <w:noProof/>
              <w:sz w:val="18"/>
            </w:rPr>
            <w:t>1</w:t>
          </w:r>
          <w:r w:rsidRPr="00ED79B6">
            <w:rPr>
              <w:i/>
              <w:sz w:val="18"/>
            </w:rPr>
            <w:fldChar w:fldCharType="end"/>
          </w:r>
        </w:p>
      </w:tc>
    </w:tr>
    <w:tr w:rsidR="00520D4E" w:rsidTr="00B000FF">
      <w:tc>
        <w:tcPr>
          <w:tcW w:w="7338" w:type="dxa"/>
          <w:gridSpan w:val="3"/>
        </w:tcPr>
        <w:p w:rsidR="00520D4E" w:rsidRDefault="00520D4E" w:rsidP="00B000FF">
          <w:pPr>
            <w:rPr>
              <w:sz w:val="18"/>
            </w:rPr>
          </w:pPr>
        </w:p>
      </w:tc>
    </w:tr>
  </w:tbl>
  <w:p w:rsidR="00520D4E" w:rsidRPr="00D90ABA" w:rsidRDefault="0065310B" w:rsidP="0065310B">
    <w:pPr>
      <w:rPr>
        <w:i/>
        <w:sz w:val="18"/>
      </w:rPr>
    </w:pPr>
    <w:r>
      <w:rPr>
        <w:i/>
        <w:sz w:val="18"/>
      </w:rPr>
      <w:t>OPC50272</w:t>
    </w:r>
    <w:r w:rsidRPr="0065310B">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Default="0052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4E" w:rsidRDefault="00520D4E">
      <w:r>
        <w:separator/>
      </w:r>
    </w:p>
  </w:footnote>
  <w:footnote w:type="continuationSeparator" w:id="0">
    <w:p w:rsidR="00520D4E" w:rsidRDefault="0052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5F1388" w:rsidRDefault="00520D4E" w:rsidP="008F38DE">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5F1388" w:rsidRDefault="00520D4E" w:rsidP="008F38D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5F1388" w:rsidRDefault="00520D4E" w:rsidP="008F38D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ED79B6" w:rsidRDefault="00520D4E" w:rsidP="008F38DE">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ED79B6" w:rsidRDefault="00520D4E" w:rsidP="008F38DE">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Pr="00ED79B6" w:rsidRDefault="00520D4E" w:rsidP="008F38D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Default="00520D4E">
    <w:pPr>
      <w:rPr>
        <w:sz w:val="20"/>
      </w:rPr>
    </w:pPr>
    <w:r>
      <w:rPr>
        <w:b/>
        <w:sz w:val="20"/>
      </w:rPr>
      <w:fldChar w:fldCharType="begin"/>
    </w:r>
    <w:r>
      <w:rPr>
        <w:b/>
        <w:sz w:val="20"/>
      </w:rPr>
      <w:instrText xml:space="preserve"> STYLEREF CharAmSchNo </w:instrText>
    </w:r>
    <w:r>
      <w:rPr>
        <w:b/>
        <w:sz w:val="20"/>
      </w:rPr>
      <w:fldChar w:fldCharType="separate"/>
    </w:r>
    <w:r w:rsidR="00CD027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D0270">
      <w:rPr>
        <w:noProof/>
        <w:sz w:val="20"/>
      </w:rPr>
      <w:t>Amendments commencing day after registration</w:t>
    </w:r>
    <w:r>
      <w:rPr>
        <w:sz w:val="20"/>
      </w:rPr>
      <w:fldChar w:fldCharType="end"/>
    </w:r>
  </w:p>
  <w:p w:rsidR="00520D4E" w:rsidRDefault="00520D4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520D4E" w:rsidRDefault="00520D4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D4E" w:rsidRDefault="00520D4E">
    <w:pPr>
      <w:jc w:val="right"/>
      <w:rPr>
        <w:sz w:val="20"/>
      </w:rPr>
    </w:pPr>
    <w:r>
      <w:rPr>
        <w:sz w:val="20"/>
      </w:rPr>
      <w:fldChar w:fldCharType="begin"/>
    </w:r>
    <w:r>
      <w:rPr>
        <w:sz w:val="20"/>
      </w:rPr>
      <w:instrText xml:space="preserve"> STYLEREF CharAmSchText </w:instrTex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end"/>
    </w:r>
  </w:p>
  <w:p w:rsidR="00520D4E" w:rsidRDefault="00520D4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520D4E" w:rsidRDefault="00520D4E">
    <w:pPr>
      <w:pBdr>
        <w:bottom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DF6DED"/>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3">
    <w:nsid w:val="0B352070"/>
    <w:multiLevelType w:val="hybridMultilevel"/>
    <w:tmpl w:val="520CF6B2"/>
    <w:lvl w:ilvl="0" w:tplc="938CC73E">
      <w:start w:val="1"/>
      <w:numFmt w:val="lowerRoman"/>
      <w:lvlText w:val="(%1)"/>
      <w:lvlJc w:val="left"/>
      <w:pPr>
        <w:ind w:left="720" w:hanging="360"/>
      </w:pPr>
      <w:rPr>
        <w:rFonts w:hint="default"/>
      </w:rPr>
    </w:lvl>
    <w:lvl w:ilvl="1" w:tplc="7430C39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C205BB9"/>
    <w:multiLevelType w:val="hybridMultilevel"/>
    <w:tmpl w:val="164E1CE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5">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010FB6"/>
    <w:multiLevelType w:val="hybridMultilevel"/>
    <w:tmpl w:val="B88EC9E4"/>
    <w:lvl w:ilvl="0" w:tplc="ACDA9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55B4F81"/>
    <w:multiLevelType w:val="hybridMultilevel"/>
    <w:tmpl w:val="78C0F6AA"/>
    <w:lvl w:ilvl="0" w:tplc="938CC73E">
      <w:start w:val="1"/>
      <w:numFmt w:val="lowerRoman"/>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2C9A3D31"/>
    <w:multiLevelType w:val="hybridMultilevel"/>
    <w:tmpl w:val="88E8A394"/>
    <w:lvl w:ilvl="0" w:tplc="938CC73E">
      <w:start w:val="1"/>
      <w:numFmt w:val="lowerRoman"/>
      <w:lvlText w:val="(%1)"/>
      <w:lvlJc w:val="left"/>
      <w:pPr>
        <w:ind w:left="700" w:hanging="360"/>
      </w:pPr>
    </w:lvl>
    <w:lvl w:ilvl="1" w:tplc="0C090019">
      <w:start w:val="1"/>
      <w:numFmt w:val="decimal"/>
      <w:lvlText w:val="%2."/>
      <w:lvlJc w:val="left"/>
      <w:pPr>
        <w:tabs>
          <w:tab w:val="num" w:pos="1060"/>
        </w:tabs>
        <w:ind w:left="1060" w:hanging="360"/>
      </w:pPr>
    </w:lvl>
    <w:lvl w:ilvl="2" w:tplc="0C09001B">
      <w:start w:val="1"/>
      <w:numFmt w:val="decimal"/>
      <w:lvlText w:val="%3."/>
      <w:lvlJc w:val="left"/>
      <w:pPr>
        <w:tabs>
          <w:tab w:val="num" w:pos="1780"/>
        </w:tabs>
        <w:ind w:left="1780" w:hanging="360"/>
      </w:pPr>
    </w:lvl>
    <w:lvl w:ilvl="3" w:tplc="0C09000F">
      <w:start w:val="1"/>
      <w:numFmt w:val="decimal"/>
      <w:lvlText w:val="%4."/>
      <w:lvlJc w:val="left"/>
      <w:pPr>
        <w:tabs>
          <w:tab w:val="num" w:pos="2500"/>
        </w:tabs>
        <w:ind w:left="2500" w:hanging="360"/>
      </w:pPr>
    </w:lvl>
    <w:lvl w:ilvl="4" w:tplc="0C090019">
      <w:start w:val="1"/>
      <w:numFmt w:val="decimal"/>
      <w:lvlText w:val="%5."/>
      <w:lvlJc w:val="left"/>
      <w:pPr>
        <w:tabs>
          <w:tab w:val="num" w:pos="3220"/>
        </w:tabs>
        <w:ind w:left="3220" w:hanging="360"/>
      </w:pPr>
    </w:lvl>
    <w:lvl w:ilvl="5" w:tplc="0C09001B">
      <w:start w:val="1"/>
      <w:numFmt w:val="decimal"/>
      <w:lvlText w:val="%6."/>
      <w:lvlJc w:val="left"/>
      <w:pPr>
        <w:tabs>
          <w:tab w:val="num" w:pos="3940"/>
        </w:tabs>
        <w:ind w:left="3940" w:hanging="360"/>
      </w:pPr>
    </w:lvl>
    <w:lvl w:ilvl="6" w:tplc="0C09000F">
      <w:start w:val="1"/>
      <w:numFmt w:val="decimal"/>
      <w:lvlText w:val="%7."/>
      <w:lvlJc w:val="left"/>
      <w:pPr>
        <w:tabs>
          <w:tab w:val="num" w:pos="4660"/>
        </w:tabs>
        <w:ind w:left="4660" w:hanging="360"/>
      </w:pPr>
    </w:lvl>
    <w:lvl w:ilvl="7" w:tplc="0C090019">
      <w:start w:val="1"/>
      <w:numFmt w:val="decimal"/>
      <w:lvlText w:val="%8."/>
      <w:lvlJc w:val="left"/>
      <w:pPr>
        <w:tabs>
          <w:tab w:val="num" w:pos="5380"/>
        </w:tabs>
        <w:ind w:left="5380" w:hanging="360"/>
      </w:pPr>
    </w:lvl>
    <w:lvl w:ilvl="8" w:tplc="0C09001B">
      <w:start w:val="1"/>
      <w:numFmt w:val="decimal"/>
      <w:lvlText w:val="%9."/>
      <w:lvlJc w:val="left"/>
      <w:pPr>
        <w:tabs>
          <w:tab w:val="num" w:pos="6100"/>
        </w:tabs>
        <w:ind w:left="6100" w:hanging="360"/>
      </w:pPr>
    </w:lvl>
  </w:abstractNum>
  <w:abstractNum w:abstractNumId="2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9DB254F"/>
    <w:multiLevelType w:val="hybridMultilevel"/>
    <w:tmpl w:val="29ECACEE"/>
    <w:lvl w:ilvl="0" w:tplc="B9D495FE">
      <w:start w:val="1"/>
      <w:numFmt w:val="lowerLetter"/>
      <w:lvlText w:val="%1)"/>
      <w:lvlJc w:val="left"/>
      <w:pPr>
        <w:ind w:left="360" w:hanging="360"/>
      </w:pPr>
      <w:rPr>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4FE71325"/>
    <w:multiLevelType w:val="hybridMultilevel"/>
    <w:tmpl w:val="5AF27F0E"/>
    <w:lvl w:ilvl="0" w:tplc="D5A6FF46">
      <w:start w:val="1"/>
      <w:numFmt w:val="lowerLetter"/>
      <w:lvlText w:val="%1)"/>
      <w:lvlJc w:val="left"/>
      <w:pPr>
        <w:ind w:left="360" w:hanging="360"/>
      </w:pPr>
      <w:rPr>
        <w:b/>
      </w:rPr>
    </w:lvl>
    <w:lvl w:ilvl="1" w:tplc="0C090017">
      <w:start w:val="1"/>
      <w:numFmt w:val="lowerLetter"/>
      <w:lvlText w:val="%2)"/>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1915BBF"/>
    <w:multiLevelType w:val="hybridMultilevel"/>
    <w:tmpl w:val="A784232A"/>
    <w:lvl w:ilvl="0" w:tplc="F4AE4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201F33"/>
    <w:multiLevelType w:val="hybridMultilevel"/>
    <w:tmpl w:val="57083FE0"/>
    <w:lvl w:ilvl="0" w:tplc="938CC73E">
      <w:start w:val="1"/>
      <w:numFmt w:val="lowerRoman"/>
      <w:lvlText w:val="(%1)"/>
      <w:lvlJc w:val="left"/>
      <w:pPr>
        <w:ind w:left="720" w:hanging="360"/>
      </w:pPr>
    </w:lvl>
    <w:lvl w:ilvl="1" w:tplc="0C09001B">
      <w:start w:val="1"/>
      <w:numFmt w:val="lowerRoman"/>
      <w:lvlText w:val="%2."/>
      <w:lvlJc w:val="righ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CE50A78"/>
    <w:multiLevelType w:val="hybridMultilevel"/>
    <w:tmpl w:val="8A0C954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9">
    <w:nsid w:val="5E90100A"/>
    <w:multiLevelType w:val="multilevel"/>
    <w:tmpl w:val="E898CC72"/>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7541EE"/>
    <w:multiLevelType w:val="hybridMultilevel"/>
    <w:tmpl w:val="29200860"/>
    <w:lvl w:ilvl="0" w:tplc="938CC73E">
      <w:start w:val="1"/>
      <w:numFmt w:val="lowerRoman"/>
      <w:lvlText w:val="(%1)"/>
      <w:lvlJc w:val="left"/>
      <w:pPr>
        <w:ind w:left="-132" w:hanging="360"/>
      </w:pPr>
      <w:rPr>
        <w:rFonts w:hint="default"/>
      </w:rPr>
    </w:lvl>
    <w:lvl w:ilvl="1" w:tplc="0C09001B">
      <w:start w:val="1"/>
      <w:numFmt w:val="lowerRoman"/>
      <w:lvlText w:val="%2."/>
      <w:lvlJc w:val="right"/>
      <w:pPr>
        <w:ind w:left="588" w:hanging="360"/>
      </w:pPr>
    </w:lvl>
    <w:lvl w:ilvl="2" w:tplc="FFFFFFFF" w:tentative="1">
      <w:start w:val="1"/>
      <w:numFmt w:val="lowerRoman"/>
      <w:lvlText w:val="%3."/>
      <w:lvlJc w:val="right"/>
      <w:pPr>
        <w:ind w:left="1308" w:hanging="180"/>
      </w:pPr>
    </w:lvl>
    <w:lvl w:ilvl="3" w:tplc="FFFFFFFF" w:tentative="1">
      <w:start w:val="1"/>
      <w:numFmt w:val="decimal"/>
      <w:lvlText w:val="%4."/>
      <w:lvlJc w:val="left"/>
      <w:pPr>
        <w:ind w:left="2028" w:hanging="360"/>
      </w:pPr>
    </w:lvl>
    <w:lvl w:ilvl="4" w:tplc="FFFFFFFF" w:tentative="1">
      <w:start w:val="1"/>
      <w:numFmt w:val="lowerLetter"/>
      <w:lvlText w:val="%5."/>
      <w:lvlJc w:val="left"/>
      <w:pPr>
        <w:ind w:left="2748" w:hanging="360"/>
      </w:pPr>
    </w:lvl>
    <w:lvl w:ilvl="5" w:tplc="FFFFFFFF" w:tentative="1">
      <w:start w:val="1"/>
      <w:numFmt w:val="lowerRoman"/>
      <w:lvlText w:val="%6."/>
      <w:lvlJc w:val="right"/>
      <w:pPr>
        <w:ind w:left="3468" w:hanging="180"/>
      </w:pPr>
    </w:lvl>
    <w:lvl w:ilvl="6" w:tplc="FFFFFFFF" w:tentative="1">
      <w:start w:val="1"/>
      <w:numFmt w:val="decimal"/>
      <w:lvlText w:val="%7."/>
      <w:lvlJc w:val="left"/>
      <w:pPr>
        <w:ind w:left="4188" w:hanging="360"/>
      </w:pPr>
    </w:lvl>
    <w:lvl w:ilvl="7" w:tplc="FFFFFFFF" w:tentative="1">
      <w:start w:val="1"/>
      <w:numFmt w:val="lowerLetter"/>
      <w:lvlText w:val="%8."/>
      <w:lvlJc w:val="left"/>
      <w:pPr>
        <w:ind w:left="4908" w:hanging="360"/>
      </w:pPr>
    </w:lvl>
    <w:lvl w:ilvl="8" w:tplc="FFFFFFFF" w:tentative="1">
      <w:start w:val="1"/>
      <w:numFmt w:val="lowerRoman"/>
      <w:lvlText w:val="%9."/>
      <w:lvlJc w:val="right"/>
      <w:pPr>
        <w:ind w:left="5628" w:hanging="180"/>
      </w:pPr>
    </w:lvl>
  </w:abstractNum>
  <w:abstractNum w:abstractNumId="32">
    <w:nsid w:val="7A6A0EB4"/>
    <w:multiLevelType w:val="hybridMultilevel"/>
    <w:tmpl w:val="E61E9B2C"/>
    <w:lvl w:ilvl="0" w:tplc="1C401C3E">
      <w:start w:val="1"/>
      <w:numFmt w:val="upperLetter"/>
      <w:lvlText w:val="(%1)"/>
      <w:lvlJc w:val="left"/>
      <w:pPr>
        <w:ind w:left="904" w:hanging="36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num w:numId="1">
    <w:abstractNumId w:val="10"/>
  </w:num>
  <w:num w:numId="2">
    <w:abstractNumId w:val="1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4"/>
  </w:num>
  <w:num w:numId="16">
    <w:abstractNumId w:val="21"/>
  </w:num>
  <w:num w:numId="17">
    <w:abstractNumId w:val="31"/>
  </w:num>
  <w:num w:numId="18">
    <w:abstractNumId w:val="13"/>
  </w:num>
  <w:num w:numId="19">
    <w:abstractNumId w:val="12"/>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0"/>
  </w:num>
  <w:num w:numId="29">
    <w:abstractNumId w:val="16"/>
  </w:num>
  <w:num w:numId="30">
    <w:abstractNumId w:val="11"/>
  </w:num>
  <w:num w:numId="31">
    <w:abstractNumId w:val="15"/>
  </w:num>
  <w:num w:numId="32">
    <w:abstractNumId w:val="32"/>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28"/>
    <w:rsid w:val="00002328"/>
    <w:rsid w:val="000047FD"/>
    <w:rsid w:val="000056EE"/>
    <w:rsid w:val="000058D0"/>
    <w:rsid w:val="00006434"/>
    <w:rsid w:val="00010203"/>
    <w:rsid w:val="0001215D"/>
    <w:rsid w:val="0001248B"/>
    <w:rsid w:val="00012A4E"/>
    <w:rsid w:val="00013A38"/>
    <w:rsid w:val="00015D23"/>
    <w:rsid w:val="00017186"/>
    <w:rsid w:val="0001739E"/>
    <w:rsid w:val="00017631"/>
    <w:rsid w:val="00020180"/>
    <w:rsid w:val="000213EB"/>
    <w:rsid w:val="00023FC8"/>
    <w:rsid w:val="00023FD2"/>
    <w:rsid w:val="00025498"/>
    <w:rsid w:val="00026195"/>
    <w:rsid w:val="000269CA"/>
    <w:rsid w:val="00030EB7"/>
    <w:rsid w:val="00032BF8"/>
    <w:rsid w:val="0003434D"/>
    <w:rsid w:val="0003498B"/>
    <w:rsid w:val="000373C2"/>
    <w:rsid w:val="000375E4"/>
    <w:rsid w:val="0004081D"/>
    <w:rsid w:val="00041705"/>
    <w:rsid w:val="000431B1"/>
    <w:rsid w:val="00045A81"/>
    <w:rsid w:val="0004691D"/>
    <w:rsid w:val="000472C2"/>
    <w:rsid w:val="000510B9"/>
    <w:rsid w:val="00051A61"/>
    <w:rsid w:val="00051C9B"/>
    <w:rsid w:val="000551A3"/>
    <w:rsid w:val="00055E25"/>
    <w:rsid w:val="00057FC0"/>
    <w:rsid w:val="000604E0"/>
    <w:rsid w:val="00061508"/>
    <w:rsid w:val="0006323A"/>
    <w:rsid w:val="00064A72"/>
    <w:rsid w:val="00065A0E"/>
    <w:rsid w:val="0006722F"/>
    <w:rsid w:val="00067674"/>
    <w:rsid w:val="00067B0A"/>
    <w:rsid w:val="00071791"/>
    <w:rsid w:val="000721B0"/>
    <w:rsid w:val="0007473E"/>
    <w:rsid w:val="000753EE"/>
    <w:rsid w:val="00075905"/>
    <w:rsid w:val="00075B3D"/>
    <w:rsid w:val="00076B35"/>
    <w:rsid w:val="0008114C"/>
    <w:rsid w:val="00085877"/>
    <w:rsid w:val="00086090"/>
    <w:rsid w:val="00086E1D"/>
    <w:rsid w:val="0008765C"/>
    <w:rsid w:val="00092802"/>
    <w:rsid w:val="00092E92"/>
    <w:rsid w:val="00095CC4"/>
    <w:rsid w:val="000A3C52"/>
    <w:rsid w:val="000A43A1"/>
    <w:rsid w:val="000B09F6"/>
    <w:rsid w:val="000B0A20"/>
    <w:rsid w:val="000B26C3"/>
    <w:rsid w:val="000B37F7"/>
    <w:rsid w:val="000B3AB0"/>
    <w:rsid w:val="000B3ABC"/>
    <w:rsid w:val="000B4A94"/>
    <w:rsid w:val="000B52F3"/>
    <w:rsid w:val="000B5453"/>
    <w:rsid w:val="000B68A5"/>
    <w:rsid w:val="000C047B"/>
    <w:rsid w:val="000C2AB1"/>
    <w:rsid w:val="000C2CCC"/>
    <w:rsid w:val="000C39DE"/>
    <w:rsid w:val="000C56FE"/>
    <w:rsid w:val="000C78B5"/>
    <w:rsid w:val="000D081D"/>
    <w:rsid w:val="000D0C8E"/>
    <w:rsid w:val="000D112D"/>
    <w:rsid w:val="000D363E"/>
    <w:rsid w:val="000D3BF1"/>
    <w:rsid w:val="000D7167"/>
    <w:rsid w:val="000D736B"/>
    <w:rsid w:val="000E00C7"/>
    <w:rsid w:val="000E081D"/>
    <w:rsid w:val="000E0C49"/>
    <w:rsid w:val="000E0CA1"/>
    <w:rsid w:val="000E2597"/>
    <w:rsid w:val="000E470D"/>
    <w:rsid w:val="000E5167"/>
    <w:rsid w:val="000F140F"/>
    <w:rsid w:val="000F3758"/>
    <w:rsid w:val="000F68CB"/>
    <w:rsid w:val="000F6E1D"/>
    <w:rsid w:val="001008F6"/>
    <w:rsid w:val="001015D6"/>
    <w:rsid w:val="001022EB"/>
    <w:rsid w:val="00102347"/>
    <w:rsid w:val="00110F98"/>
    <w:rsid w:val="0011161E"/>
    <w:rsid w:val="0011172E"/>
    <w:rsid w:val="00111E48"/>
    <w:rsid w:val="00112FE4"/>
    <w:rsid w:val="0011314E"/>
    <w:rsid w:val="00114286"/>
    <w:rsid w:val="001169CC"/>
    <w:rsid w:val="00116FC8"/>
    <w:rsid w:val="00117290"/>
    <w:rsid w:val="00121B18"/>
    <w:rsid w:val="00122286"/>
    <w:rsid w:val="00122CA1"/>
    <w:rsid w:val="0012560F"/>
    <w:rsid w:val="00126D00"/>
    <w:rsid w:val="001332F2"/>
    <w:rsid w:val="00133419"/>
    <w:rsid w:val="00134204"/>
    <w:rsid w:val="001358A6"/>
    <w:rsid w:val="001363F5"/>
    <w:rsid w:val="00137EF4"/>
    <w:rsid w:val="00140356"/>
    <w:rsid w:val="001408E1"/>
    <w:rsid w:val="00140FEB"/>
    <w:rsid w:val="00145C33"/>
    <w:rsid w:val="00145FD8"/>
    <w:rsid w:val="0014660D"/>
    <w:rsid w:val="001509A9"/>
    <w:rsid w:val="001510F9"/>
    <w:rsid w:val="00151DD7"/>
    <w:rsid w:val="0015209B"/>
    <w:rsid w:val="0015240E"/>
    <w:rsid w:val="00152824"/>
    <w:rsid w:val="00153593"/>
    <w:rsid w:val="001544DD"/>
    <w:rsid w:val="00155129"/>
    <w:rsid w:val="00156A5A"/>
    <w:rsid w:val="00156E41"/>
    <w:rsid w:val="0015753F"/>
    <w:rsid w:val="00157B43"/>
    <w:rsid w:val="00157E82"/>
    <w:rsid w:val="00163A20"/>
    <w:rsid w:val="0016552E"/>
    <w:rsid w:val="001661B3"/>
    <w:rsid w:val="00167C9D"/>
    <w:rsid w:val="00171A0A"/>
    <w:rsid w:val="0017420C"/>
    <w:rsid w:val="00174661"/>
    <w:rsid w:val="00174D5F"/>
    <w:rsid w:val="00176457"/>
    <w:rsid w:val="0017669E"/>
    <w:rsid w:val="00176BCE"/>
    <w:rsid w:val="00180CD3"/>
    <w:rsid w:val="001821BB"/>
    <w:rsid w:val="00182354"/>
    <w:rsid w:val="001840EA"/>
    <w:rsid w:val="0018483F"/>
    <w:rsid w:val="001877BF"/>
    <w:rsid w:val="00190D22"/>
    <w:rsid w:val="00191B57"/>
    <w:rsid w:val="00192A1A"/>
    <w:rsid w:val="001934FA"/>
    <w:rsid w:val="0019415C"/>
    <w:rsid w:val="00195931"/>
    <w:rsid w:val="001A05DB"/>
    <w:rsid w:val="001A062E"/>
    <w:rsid w:val="001A250E"/>
    <w:rsid w:val="001A25BD"/>
    <w:rsid w:val="001A25FE"/>
    <w:rsid w:val="001A2921"/>
    <w:rsid w:val="001A2B82"/>
    <w:rsid w:val="001A42F2"/>
    <w:rsid w:val="001A4863"/>
    <w:rsid w:val="001A5078"/>
    <w:rsid w:val="001A6157"/>
    <w:rsid w:val="001A745A"/>
    <w:rsid w:val="001A765B"/>
    <w:rsid w:val="001B0B16"/>
    <w:rsid w:val="001B4168"/>
    <w:rsid w:val="001B455F"/>
    <w:rsid w:val="001B680B"/>
    <w:rsid w:val="001B750D"/>
    <w:rsid w:val="001C0700"/>
    <w:rsid w:val="001C1316"/>
    <w:rsid w:val="001C2D2D"/>
    <w:rsid w:val="001C4271"/>
    <w:rsid w:val="001C48B6"/>
    <w:rsid w:val="001C52FA"/>
    <w:rsid w:val="001C67E6"/>
    <w:rsid w:val="001C6B4B"/>
    <w:rsid w:val="001C6C78"/>
    <w:rsid w:val="001C6E23"/>
    <w:rsid w:val="001C6F87"/>
    <w:rsid w:val="001D0469"/>
    <w:rsid w:val="001D1730"/>
    <w:rsid w:val="001D1C84"/>
    <w:rsid w:val="001D49E7"/>
    <w:rsid w:val="001D5151"/>
    <w:rsid w:val="001D7170"/>
    <w:rsid w:val="001D778C"/>
    <w:rsid w:val="001D7DD2"/>
    <w:rsid w:val="001E05E5"/>
    <w:rsid w:val="001E0B69"/>
    <w:rsid w:val="001E1FF9"/>
    <w:rsid w:val="001E388F"/>
    <w:rsid w:val="001E4F7E"/>
    <w:rsid w:val="001E551F"/>
    <w:rsid w:val="001F055F"/>
    <w:rsid w:val="001F0F35"/>
    <w:rsid w:val="001F129C"/>
    <w:rsid w:val="001F1819"/>
    <w:rsid w:val="001F204C"/>
    <w:rsid w:val="001F24CF"/>
    <w:rsid w:val="001F3BD6"/>
    <w:rsid w:val="001F3D0A"/>
    <w:rsid w:val="001F6CF8"/>
    <w:rsid w:val="00200981"/>
    <w:rsid w:val="00201155"/>
    <w:rsid w:val="0020253A"/>
    <w:rsid w:val="00203931"/>
    <w:rsid w:val="0020488A"/>
    <w:rsid w:val="0020650F"/>
    <w:rsid w:val="00210162"/>
    <w:rsid w:val="00211EC0"/>
    <w:rsid w:val="002125DA"/>
    <w:rsid w:val="00213D18"/>
    <w:rsid w:val="002151D1"/>
    <w:rsid w:val="00217542"/>
    <w:rsid w:val="00220EDA"/>
    <w:rsid w:val="00222DA1"/>
    <w:rsid w:val="00223A7F"/>
    <w:rsid w:val="002250FB"/>
    <w:rsid w:val="002271DC"/>
    <w:rsid w:val="00230352"/>
    <w:rsid w:val="00230D09"/>
    <w:rsid w:val="00231D14"/>
    <w:rsid w:val="00232875"/>
    <w:rsid w:val="00236609"/>
    <w:rsid w:val="00240228"/>
    <w:rsid w:val="00240CD1"/>
    <w:rsid w:val="00243CA2"/>
    <w:rsid w:val="00245662"/>
    <w:rsid w:val="002475D3"/>
    <w:rsid w:val="00251FD9"/>
    <w:rsid w:val="002520FD"/>
    <w:rsid w:val="0025268F"/>
    <w:rsid w:val="00253EE7"/>
    <w:rsid w:val="00254B2F"/>
    <w:rsid w:val="00254C12"/>
    <w:rsid w:val="00255086"/>
    <w:rsid w:val="002564C1"/>
    <w:rsid w:val="00260424"/>
    <w:rsid w:val="00260641"/>
    <w:rsid w:val="00262431"/>
    <w:rsid w:val="002640AA"/>
    <w:rsid w:val="002657F6"/>
    <w:rsid w:val="00265E15"/>
    <w:rsid w:val="00265ED0"/>
    <w:rsid w:val="002673BD"/>
    <w:rsid w:val="00267D43"/>
    <w:rsid w:val="00270826"/>
    <w:rsid w:val="00270F8B"/>
    <w:rsid w:val="0027106F"/>
    <w:rsid w:val="002757D6"/>
    <w:rsid w:val="002766BA"/>
    <w:rsid w:val="002778E1"/>
    <w:rsid w:val="00282DB8"/>
    <w:rsid w:val="002870C2"/>
    <w:rsid w:val="00287E02"/>
    <w:rsid w:val="002937F9"/>
    <w:rsid w:val="00293C63"/>
    <w:rsid w:val="00294228"/>
    <w:rsid w:val="002957A9"/>
    <w:rsid w:val="00296435"/>
    <w:rsid w:val="0029646C"/>
    <w:rsid w:val="00296482"/>
    <w:rsid w:val="00296E69"/>
    <w:rsid w:val="00297A7F"/>
    <w:rsid w:val="002A10B4"/>
    <w:rsid w:val="002A13D8"/>
    <w:rsid w:val="002A3A0E"/>
    <w:rsid w:val="002A489C"/>
    <w:rsid w:val="002A57A4"/>
    <w:rsid w:val="002B2A9A"/>
    <w:rsid w:val="002B2CC3"/>
    <w:rsid w:val="002B39F2"/>
    <w:rsid w:val="002B3FF2"/>
    <w:rsid w:val="002B688C"/>
    <w:rsid w:val="002B6C75"/>
    <w:rsid w:val="002C0290"/>
    <w:rsid w:val="002C0E89"/>
    <w:rsid w:val="002C42F1"/>
    <w:rsid w:val="002C59D0"/>
    <w:rsid w:val="002C77BC"/>
    <w:rsid w:val="002C79E4"/>
    <w:rsid w:val="002C7F8D"/>
    <w:rsid w:val="002D08B7"/>
    <w:rsid w:val="002D30BE"/>
    <w:rsid w:val="002D35D3"/>
    <w:rsid w:val="002D520A"/>
    <w:rsid w:val="002D570C"/>
    <w:rsid w:val="002D658C"/>
    <w:rsid w:val="002E4402"/>
    <w:rsid w:val="002E7650"/>
    <w:rsid w:val="002F05DB"/>
    <w:rsid w:val="002F0B53"/>
    <w:rsid w:val="002F11AE"/>
    <w:rsid w:val="002F149C"/>
    <w:rsid w:val="002F180D"/>
    <w:rsid w:val="002F1B53"/>
    <w:rsid w:val="002F1CA2"/>
    <w:rsid w:val="002F335C"/>
    <w:rsid w:val="002F638A"/>
    <w:rsid w:val="002F6D39"/>
    <w:rsid w:val="002F73F7"/>
    <w:rsid w:val="002F7F66"/>
    <w:rsid w:val="00302D1D"/>
    <w:rsid w:val="00303AB3"/>
    <w:rsid w:val="00304F86"/>
    <w:rsid w:val="0030627F"/>
    <w:rsid w:val="00306949"/>
    <w:rsid w:val="00307011"/>
    <w:rsid w:val="0030723A"/>
    <w:rsid w:val="003072AD"/>
    <w:rsid w:val="00312BF2"/>
    <w:rsid w:val="00313F0E"/>
    <w:rsid w:val="00314064"/>
    <w:rsid w:val="00314F9B"/>
    <w:rsid w:val="00317EFF"/>
    <w:rsid w:val="00322802"/>
    <w:rsid w:val="003229AA"/>
    <w:rsid w:val="00323901"/>
    <w:rsid w:val="003242D2"/>
    <w:rsid w:val="00324F94"/>
    <w:rsid w:val="00325C10"/>
    <w:rsid w:val="003269C5"/>
    <w:rsid w:val="003269CD"/>
    <w:rsid w:val="00327AAB"/>
    <w:rsid w:val="00330A30"/>
    <w:rsid w:val="0033106A"/>
    <w:rsid w:val="00332345"/>
    <w:rsid w:val="003328BD"/>
    <w:rsid w:val="003332AF"/>
    <w:rsid w:val="00334AA7"/>
    <w:rsid w:val="00336768"/>
    <w:rsid w:val="0033684B"/>
    <w:rsid w:val="00336E26"/>
    <w:rsid w:val="00336FC1"/>
    <w:rsid w:val="003379C6"/>
    <w:rsid w:val="003412DC"/>
    <w:rsid w:val="00342094"/>
    <w:rsid w:val="00343A1B"/>
    <w:rsid w:val="00343DBE"/>
    <w:rsid w:val="00343EA6"/>
    <w:rsid w:val="0034612B"/>
    <w:rsid w:val="00347012"/>
    <w:rsid w:val="00347380"/>
    <w:rsid w:val="003476BE"/>
    <w:rsid w:val="00347ABE"/>
    <w:rsid w:val="00351600"/>
    <w:rsid w:val="003519BA"/>
    <w:rsid w:val="003526D3"/>
    <w:rsid w:val="003532C7"/>
    <w:rsid w:val="00353406"/>
    <w:rsid w:val="00353DEF"/>
    <w:rsid w:val="003567D5"/>
    <w:rsid w:val="003570F6"/>
    <w:rsid w:val="00357453"/>
    <w:rsid w:val="00357AF0"/>
    <w:rsid w:val="003606BB"/>
    <w:rsid w:val="003610BE"/>
    <w:rsid w:val="003619BF"/>
    <w:rsid w:val="003639BC"/>
    <w:rsid w:val="00363C3E"/>
    <w:rsid w:val="003646B4"/>
    <w:rsid w:val="0036497C"/>
    <w:rsid w:val="00364DB8"/>
    <w:rsid w:val="00364FC9"/>
    <w:rsid w:val="00365410"/>
    <w:rsid w:val="00365485"/>
    <w:rsid w:val="00365707"/>
    <w:rsid w:val="00365987"/>
    <w:rsid w:val="00366209"/>
    <w:rsid w:val="003703D0"/>
    <w:rsid w:val="003722D5"/>
    <w:rsid w:val="00372E12"/>
    <w:rsid w:val="00374DBE"/>
    <w:rsid w:val="00374F20"/>
    <w:rsid w:val="00376858"/>
    <w:rsid w:val="00377C91"/>
    <w:rsid w:val="00382276"/>
    <w:rsid w:val="00384EE6"/>
    <w:rsid w:val="0038715C"/>
    <w:rsid w:val="00390E65"/>
    <w:rsid w:val="00390EC2"/>
    <w:rsid w:val="00392E24"/>
    <w:rsid w:val="003934F5"/>
    <w:rsid w:val="00393A96"/>
    <w:rsid w:val="003947DD"/>
    <w:rsid w:val="00395FAC"/>
    <w:rsid w:val="0039642A"/>
    <w:rsid w:val="00396732"/>
    <w:rsid w:val="003A063D"/>
    <w:rsid w:val="003A0C0D"/>
    <w:rsid w:val="003A271A"/>
    <w:rsid w:val="003A3291"/>
    <w:rsid w:val="003A358A"/>
    <w:rsid w:val="003A3951"/>
    <w:rsid w:val="003A4C15"/>
    <w:rsid w:val="003A5BB9"/>
    <w:rsid w:val="003B0DB5"/>
    <w:rsid w:val="003B168F"/>
    <w:rsid w:val="003B3CB7"/>
    <w:rsid w:val="003B55ED"/>
    <w:rsid w:val="003B6006"/>
    <w:rsid w:val="003B6178"/>
    <w:rsid w:val="003B6878"/>
    <w:rsid w:val="003B690A"/>
    <w:rsid w:val="003C1016"/>
    <w:rsid w:val="003C41F2"/>
    <w:rsid w:val="003C6D45"/>
    <w:rsid w:val="003C700C"/>
    <w:rsid w:val="003D0A16"/>
    <w:rsid w:val="003D1F25"/>
    <w:rsid w:val="003D20DD"/>
    <w:rsid w:val="003D277E"/>
    <w:rsid w:val="003D3A8B"/>
    <w:rsid w:val="003D4319"/>
    <w:rsid w:val="003D5B35"/>
    <w:rsid w:val="003D5F58"/>
    <w:rsid w:val="003D7761"/>
    <w:rsid w:val="003E0DFD"/>
    <w:rsid w:val="003E1EBA"/>
    <w:rsid w:val="003E5662"/>
    <w:rsid w:val="003E576D"/>
    <w:rsid w:val="003E64C5"/>
    <w:rsid w:val="003F0C78"/>
    <w:rsid w:val="003F18D4"/>
    <w:rsid w:val="003F1A97"/>
    <w:rsid w:val="003F1AF9"/>
    <w:rsid w:val="003F3D34"/>
    <w:rsid w:val="003F43B0"/>
    <w:rsid w:val="003F53AF"/>
    <w:rsid w:val="003F5758"/>
    <w:rsid w:val="003F5AB4"/>
    <w:rsid w:val="0040069F"/>
    <w:rsid w:val="00402E52"/>
    <w:rsid w:val="00403373"/>
    <w:rsid w:val="00403AE4"/>
    <w:rsid w:val="004043D7"/>
    <w:rsid w:val="00405605"/>
    <w:rsid w:val="0040581C"/>
    <w:rsid w:val="00406A94"/>
    <w:rsid w:val="004070A9"/>
    <w:rsid w:val="00411455"/>
    <w:rsid w:val="004120B2"/>
    <w:rsid w:val="00413E35"/>
    <w:rsid w:val="00416A06"/>
    <w:rsid w:val="0042040E"/>
    <w:rsid w:val="004207D7"/>
    <w:rsid w:val="004207FC"/>
    <w:rsid w:val="00420E93"/>
    <w:rsid w:val="0042361D"/>
    <w:rsid w:val="00423B91"/>
    <w:rsid w:val="00424431"/>
    <w:rsid w:val="0042496B"/>
    <w:rsid w:val="00425581"/>
    <w:rsid w:val="004261A6"/>
    <w:rsid w:val="00426B7D"/>
    <w:rsid w:val="00427249"/>
    <w:rsid w:val="0042789E"/>
    <w:rsid w:val="0043789F"/>
    <w:rsid w:val="00440DE0"/>
    <w:rsid w:val="00441257"/>
    <w:rsid w:val="004413F6"/>
    <w:rsid w:val="00442444"/>
    <w:rsid w:val="00443C52"/>
    <w:rsid w:val="004454CF"/>
    <w:rsid w:val="00446A5C"/>
    <w:rsid w:val="0044728E"/>
    <w:rsid w:val="00447FF1"/>
    <w:rsid w:val="0045063A"/>
    <w:rsid w:val="00452DED"/>
    <w:rsid w:val="00453A82"/>
    <w:rsid w:val="00454D0B"/>
    <w:rsid w:val="00456454"/>
    <w:rsid w:val="00456627"/>
    <w:rsid w:val="00457C7B"/>
    <w:rsid w:val="00460A6F"/>
    <w:rsid w:val="004615D7"/>
    <w:rsid w:val="00461C28"/>
    <w:rsid w:val="00462633"/>
    <w:rsid w:val="0046314F"/>
    <w:rsid w:val="00467338"/>
    <w:rsid w:val="00467CF3"/>
    <w:rsid w:val="00470F94"/>
    <w:rsid w:val="00471344"/>
    <w:rsid w:val="0047221D"/>
    <w:rsid w:val="004742DF"/>
    <w:rsid w:val="00477B83"/>
    <w:rsid w:val="00480BB9"/>
    <w:rsid w:val="004825F7"/>
    <w:rsid w:val="00482B0A"/>
    <w:rsid w:val="00487A4B"/>
    <w:rsid w:val="00487DD1"/>
    <w:rsid w:val="00492AF6"/>
    <w:rsid w:val="004954EA"/>
    <w:rsid w:val="00495EBA"/>
    <w:rsid w:val="00495FD3"/>
    <w:rsid w:val="00497223"/>
    <w:rsid w:val="00497DA1"/>
    <w:rsid w:val="004A0D21"/>
    <w:rsid w:val="004A339B"/>
    <w:rsid w:val="004B088C"/>
    <w:rsid w:val="004B0996"/>
    <w:rsid w:val="004B1E60"/>
    <w:rsid w:val="004B3683"/>
    <w:rsid w:val="004B371D"/>
    <w:rsid w:val="004B3A8F"/>
    <w:rsid w:val="004B3B9E"/>
    <w:rsid w:val="004B5209"/>
    <w:rsid w:val="004B592A"/>
    <w:rsid w:val="004B64B9"/>
    <w:rsid w:val="004B717C"/>
    <w:rsid w:val="004B7D9F"/>
    <w:rsid w:val="004C0190"/>
    <w:rsid w:val="004C038A"/>
    <w:rsid w:val="004C05F3"/>
    <w:rsid w:val="004C1BA7"/>
    <w:rsid w:val="004C2615"/>
    <w:rsid w:val="004C3A75"/>
    <w:rsid w:val="004C5946"/>
    <w:rsid w:val="004C6D83"/>
    <w:rsid w:val="004D0409"/>
    <w:rsid w:val="004D1232"/>
    <w:rsid w:val="004D25B2"/>
    <w:rsid w:val="004D2CCB"/>
    <w:rsid w:val="004D460F"/>
    <w:rsid w:val="004D7885"/>
    <w:rsid w:val="004E01BE"/>
    <w:rsid w:val="004E1500"/>
    <w:rsid w:val="004E3375"/>
    <w:rsid w:val="004E3516"/>
    <w:rsid w:val="004E6672"/>
    <w:rsid w:val="004E70BA"/>
    <w:rsid w:val="004F0A32"/>
    <w:rsid w:val="004F41D3"/>
    <w:rsid w:val="004F586F"/>
    <w:rsid w:val="004F6F63"/>
    <w:rsid w:val="004F7AA3"/>
    <w:rsid w:val="0050020E"/>
    <w:rsid w:val="00501936"/>
    <w:rsid w:val="00503A2D"/>
    <w:rsid w:val="00505F22"/>
    <w:rsid w:val="005069EE"/>
    <w:rsid w:val="0050772A"/>
    <w:rsid w:val="00507C08"/>
    <w:rsid w:val="00510EAA"/>
    <w:rsid w:val="00512C3B"/>
    <w:rsid w:val="00513841"/>
    <w:rsid w:val="0051543A"/>
    <w:rsid w:val="00515669"/>
    <w:rsid w:val="005179CA"/>
    <w:rsid w:val="00517E9B"/>
    <w:rsid w:val="00520D4E"/>
    <w:rsid w:val="0052196C"/>
    <w:rsid w:val="00524BE1"/>
    <w:rsid w:val="00524C2B"/>
    <w:rsid w:val="00526DDB"/>
    <w:rsid w:val="0052732A"/>
    <w:rsid w:val="00530FE4"/>
    <w:rsid w:val="00531D8E"/>
    <w:rsid w:val="005334C4"/>
    <w:rsid w:val="00533D89"/>
    <w:rsid w:val="00535BFA"/>
    <w:rsid w:val="005360B9"/>
    <w:rsid w:val="005430FE"/>
    <w:rsid w:val="0054537C"/>
    <w:rsid w:val="00545DFE"/>
    <w:rsid w:val="00547FF9"/>
    <w:rsid w:val="00551DDA"/>
    <w:rsid w:val="005523C0"/>
    <w:rsid w:val="00553177"/>
    <w:rsid w:val="00553BBD"/>
    <w:rsid w:val="00553C4E"/>
    <w:rsid w:val="00553CCE"/>
    <w:rsid w:val="005547EB"/>
    <w:rsid w:val="005548F9"/>
    <w:rsid w:val="00555098"/>
    <w:rsid w:val="005556B9"/>
    <w:rsid w:val="0056097E"/>
    <w:rsid w:val="00560D28"/>
    <w:rsid w:val="00560F98"/>
    <w:rsid w:val="00561460"/>
    <w:rsid w:val="00561A42"/>
    <w:rsid w:val="00561FCB"/>
    <w:rsid w:val="00563D72"/>
    <w:rsid w:val="00564001"/>
    <w:rsid w:val="0056559C"/>
    <w:rsid w:val="005661A7"/>
    <w:rsid w:val="005665B2"/>
    <w:rsid w:val="00571FCD"/>
    <w:rsid w:val="0057230C"/>
    <w:rsid w:val="005732A7"/>
    <w:rsid w:val="00573D36"/>
    <w:rsid w:val="00574A09"/>
    <w:rsid w:val="00574CAE"/>
    <w:rsid w:val="00577475"/>
    <w:rsid w:val="00577C9E"/>
    <w:rsid w:val="00580A78"/>
    <w:rsid w:val="00580E49"/>
    <w:rsid w:val="005818B9"/>
    <w:rsid w:val="005823DD"/>
    <w:rsid w:val="00584A71"/>
    <w:rsid w:val="005867F2"/>
    <w:rsid w:val="00590B66"/>
    <w:rsid w:val="005914FF"/>
    <w:rsid w:val="00594F6A"/>
    <w:rsid w:val="00596B78"/>
    <w:rsid w:val="005978AD"/>
    <w:rsid w:val="005A025E"/>
    <w:rsid w:val="005A04A5"/>
    <w:rsid w:val="005A0F53"/>
    <w:rsid w:val="005A1021"/>
    <w:rsid w:val="005A2A56"/>
    <w:rsid w:val="005A388A"/>
    <w:rsid w:val="005A5E49"/>
    <w:rsid w:val="005B161E"/>
    <w:rsid w:val="005B19A9"/>
    <w:rsid w:val="005B2816"/>
    <w:rsid w:val="005B665F"/>
    <w:rsid w:val="005C20BB"/>
    <w:rsid w:val="005C33B7"/>
    <w:rsid w:val="005C3553"/>
    <w:rsid w:val="005C37FA"/>
    <w:rsid w:val="005C3A3A"/>
    <w:rsid w:val="005C4C22"/>
    <w:rsid w:val="005C5586"/>
    <w:rsid w:val="005C6C86"/>
    <w:rsid w:val="005C6C9E"/>
    <w:rsid w:val="005C70B1"/>
    <w:rsid w:val="005C713B"/>
    <w:rsid w:val="005C7760"/>
    <w:rsid w:val="005C7BB8"/>
    <w:rsid w:val="005D0139"/>
    <w:rsid w:val="005D041E"/>
    <w:rsid w:val="005D31C1"/>
    <w:rsid w:val="005D38F9"/>
    <w:rsid w:val="005D40F1"/>
    <w:rsid w:val="005D491C"/>
    <w:rsid w:val="005D5651"/>
    <w:rsid w:val="005D68FA"/>
    <w:rsid w:val="005D6F22"/>
    <w:rsid w:val="005D7C3F"/>
    <w:rsid w:val="005E09E4"/>
    <w:rsid w:val="005E3BDF"/>
    <w:rsid w:val="005E3C9E"/>
    <w:rsid w:val="005E42DE"/>
    <w:rsid w:val="005E5309"/>
    <w:rsid w:val="005E5BF6"/>
    <w:rsid w:val="005E6D7C"/>
    <w:rsid w:val="005E6E44"/>
    <w:rsid w:val="005E7088"/>
    <w:rsid w:val="005F17D7"/>
    <w:rsid w:val="005F2987"/>
    <w:rsid w:val="005F5365"/>
    <w:rsid w:val="005F5C02"/>
    <w:rsid w:val="005F667E"/>
    <w:rsid w:val="005F704D"/>
    <w:rsid w:val="0060064E"/>
    <w:rsid w:val="006021A5"/>
    <w:rsid w:val="00602EAF"/>
    <w:rsid w:val="0060499E"/>
    <w:rsid w:val="00604C60"/>
    <w:rsid w:val="00605E2B"/>
    <w:rsid w:val="00610CB1"/>
    <w:rsid w:val="00611083"/>
    <w:rsid w:val="00612688"/>
    <w:rsid w:val="00612A1D"/>
    <w:rsid w:val="006133D2"/>
    <w:rsid w:val="00614699"/>
    <w:rsid w:val="006150BA"/>
    <w:rsid w:val="00616F21"/>
    <w:rsid w:val="00617608"/>
    <w:rsid w:val="0062109B"/>
    <w:rsid w:val="006228F8"/>
    <w:rsid w:val="0062474A"/>
    <w:rsid w:val="00624976"/>
    <w:rsid w:val="00625EBE"/>
    <w:rsid w:val="00626972"/>
    <w:rsid w:val="00630C62"/>
    <w:rsid w:val="00631236"/>
    <w:rsid w:val="006334F8"/>
    <w:rsid w:val="00635C7C"/>
    <w:rsid w:val="0063783D"/>
    <w:rsid w:val="0063787B"/>
    <w:rsid w:val="00641CB9"/>
    <w:rsid w:val="00642014"/>
    <w:rsid w:val="0064304E"/>
    <w:rsid w:val="00645165"/>
    <w:rsid w:val="00645A49"/>
    <w:rsid w:val="006461EF"/>
    <w:rsid w:val="00647421"/>
    <w:rsid w:val="00650306"/>
    <w:rsid w:val="006503AC"/>
    <w:rsid w:val="0065051F"/>
    <w:rsid w:val="0065080B"/>
    <w:rsid w:val="00651A97"/>
    <w:rsid w:val="00651E53"/>
    <w:rsid w:val="0065202F"/>
    <w:rsid w:val="0065310B"/>
    <w:rsid w:val="00653806"/>
    <w:rsid w:val="006548E6"/>
    <w:rsid w:val="00657009"/>
    <w:rsid w:val="00657047"/>
    <w:rsid w:val="006574CF"/>
    <w:rsid w:val="0065794A"/>
    <w:rsid w:val="006620B1"/>
    <w:rsid w:val="0066548B"/>
    <w:rsid w:val="00665A91"/>
    <w:rsid w:val="00666109"/>
    <w:rsid w:val="006671F5"/>
    <w:rsid w:val="00670AA0"/>
    <w:rsid w:val="00670D6A"/>
    <w:rsid w:val="00672003"/>
    <w:rsid w:val="00672979"/>
    <w:rsid w:val="00675602"/>
    <w:rsid w:val="00675797"/>
    <w:rsid w:val="00675DB2"/>
    <w:rsid w:val="00677B1A"/>
    <w:rsid w:val="00677F8D"/>
    <w:rsid w:val="00680DF0"/>
    <w:rsid w:val="00685AC4"/>
    <w:rsid w:val="00685FEF"/>
    <w:rsid w:val="00686152"/>
    <w:rsid w:val="00686485"/>
    <w:rsid w:val="00687305"/>
    <w:rsid w:val="00691AD5"/>
    <w:rsid w:val="00695A11"/>
    <w:rsid w:val="006970AE"/>
    <w:rsid w:val="006A1BED"/>
    <w:rsid w:val="006A3965"/>
    <w:rsid w:val="006A4638"/>
    <w:rsid w:val="006A49E7"/>
    <w:rsid w:val="006A4BA5"/>
    <w:rsid w:val="006B0561"/>
    <w:rsid w:val="006B141F"/>
    <w:rsid w:val="006B28EE"/>
    <w:rsid w:val="006B2E88"/>
    <w:rsid w:val="006B3F9E"/>
    <w:rsid w:val="006B419E"/>
    <w:rsid w:val="006B51CA"/>
    <w:rsid w:val="006B6FE0"/>
    <w:rsid w:val="006C0AA4"/>
    <w:rsid w:val="006C0D0F"/>
    <w:rsid w:val="006C2118"/>
    <w:rsid w:val="006C31CA"/>
    <w:rsid w:val="006C4BED"/>
    <w:rsid w:val="006C53D2"/>
    <w:rsid w:val="006C674A"/>
    <w:rsid w:val="006C795D"/>
    <w:rsid w:val="006D0603"/>
    <w:rsid w:val="006D18DE"/>
    <w:rsid w:val="006D36EE"/>
    <w:rsid w:val="006D431D"/>
    <w:rsid w:val="006D7884"/>
    <w:rsid w:val="006E0CD1"/>
    <w:rsid w:val="006E1479"/>
    <w:rsid w:val="006E215D"/>
    <w:rsid w:val="006E23CD"/>
    <w:rsid w:val="006E6AF8"/>
    <w:rsid w:val="006F1E54"/>
    <w:rsid w:val="006F2504"/>
    <w:rsid w:val="006F4850"/>
    <w:rsid w:val="006F601D"/>
    <w:rsid w:val="007014F3"/>
    <w:rsid w:val="007018B3"/>
    <w:rsid w:val="0070264A"/>
    <w:rsid w:val="007037DD"/>
    <w:rsid w:val="00705DBC"/>
    <w:rsid w:val="00711719"/>
    <w:rsid w:val="00713057"/>
    <w:rsid w:val="00714984"/>
    <w:rsid w:val="00715B04"/>
    <w:rsid w:val="00717563"/>
    <w:rsid w:val="00725A68"/>
    <w:rsid w:val="00726DAD"/>
    <w:rsid w:val="0073035F"/>
    <w:rsid w:val="00730AB3"/>
    <w:rsid w:val="00732425"/>
    <w:rsid w:val="00732B37"/>
    <w:rsid w:val="00733D1E"/>
    <w:rsid w:val="00733ED9"/>
    <w:rsid w:val="00734D9E"/>
    <w:rsid w:val="0073521A"/>
    <w:rsid w:val="007352EF"/>
    <w:rsid w:val="00735B24"/>
    <w:rsid w:val="0073761F"/>
    <w:rsid w:val="00741706"/>
    <w:rsid w:val="00742BE4"/>
    <w:rsid w:val="007447EC"/>
    <w:rsid w:val="0074530F"/>
    <w:rsid w:val="007507CB"/>
    <w:rsid w:val="00750F54"/>
    <w:rsid w:val="00752A16"/>
    <w:rsid w:val="00753E87"/>
    <w:rsid w:val="00754FC5"/>
    <w:rsid w:val="007576E3"/>
    <w:rsid w:val="00757D9D"/>
    <w:rsid w:val="007600AC"/>
    <w:rsid w:val="00761449"/>
    <w:rsid w:val="007615E9"/>
    <w:rsid w:val="00761E10"/>
    <w:rsid w:val="007625F1"/>
    <w:rsid w:val="007640FB"/>
    <w:rsid w:val="00766709"/>
    <w:rsid w:val="00767850"/>
    <w:rsid w:val="007722E4"/>
    <w:rsid w:val="00772F15"/>
    <w:rsid w:val="0077398A"/>
    <w:rsid w:val="007755B6"/>
    <w:rsid w:val="00775CA4"/>
    <w:rsid w:val="007762F3"/>
    <w:rsid w:val="00776570"/>
    <w:rsid w:val="0077765E"/>
    <w:rsid w:val="0077776C"/>
    <w:rsid w:val="007803FF"/>
    <w:rsid w:val="00780687"/>
    <w:rsid w:val="0078324E"/>
    <w:rsid w:val="00784238"/>
    <w:rsid w:val="00785DFE"/>
    <w:rsid w:val="00787D5F"/>
    <w:rsid w:val="00787E97"/>
    <w:rsid w:val="007916FB"/>
    <w:rsid w:val="00792C57"/>
    <w:rsid w:val="00792D08"/>
    <w:rsid w:val="00793055"/>
    <w:rsid w:val="0079311B"/>
    <w:rsid w:val="007952D3"/>
    <w:rsid w:val="0079643C"/>
    <w:rsid w:val="00796C81"/>
    <w:rsid w:val="0079710F"/>
    <w:rsid w:val="00797C09"/>
    <w:rsid w:val="007A0273"/>
    <w:rsid w:val="007A1349"/>
    <w:rsid w:val="007A18FD"/>
    <w:rsid w:val="007A3567"/>
    <w:rsid w:val="007A64DB"/>
    <w:rsid w:val="007A7801"/>
    <w:rsid w:val="007B0C9F"/>
    <w:rsid w:val="007B0E83"/>
    <w:rsid w:val="007B2499"/>
    <w:rsid w:val="007B386A"/>
    <w:rsid w:val="007B53D2"/>
    <w:rsid w:val="007B5948"/>
    <w:rsid w:val="007B7FE2"/>
    <w:rsid w:val="007C012A"/>
    <w:rsid w:val="007C0378"/>
    <w:rsid w:val="007C18C3"/>
    <w:rsid w:val="007C23A0"/>
    <w:rsid w:val="007C27A1"/>
    <w:rsid w:val="007C378E"/>
    <w:rsid w:val="007C3F78"/>
    <w:rsid w:val="007C49D9"/>
    <w:rsid w:val="007C6C8A"/>
    <w:rsid w:val="007C7ED2"/>
    <w:rsid w:val="007D0863"/>
    <w:rsid w:val="007D1730"/>
    <w:rsid w:val="007D2042"/>
    <w:rsid w:val="007D4230"/>
    <w:rsid w:val="007D4D7B"/>
    <w:rsid w:val="007E14B0"/>
    <w:rsid w:val="007E21C3"/>
    <w:rsid w:val="007F1531"/>
    <w:rsid w:val="007F58B0"/>
    <w:rsid w:val="007F6065"/>
    <w:rsid w:val="007F6B43"/>
    <w:rsid w:val="007F7542"/>
    <w:rsid w:val="00800EE9"/>
    <w:rsid w:val="00801A60"/>
    <w:rsid w:val="00802693"/>
    <w:rsid w:val="00805B1D"/>
    <w:rsid w:val="008125D6"/>
    <w:rsid w:val="00812E73"/>
    <w:rsid w:val="00820024"/>
    <w:rsid w:val="008200F1"/>
    <w:rsid w:val="00820E6A"/>
    <w:rsid w:val="008211E2"/>
    <w:rsid w:val="00826294"/>
    <w:rsid w:val="00826D3D"/>
    <w:rsid w:val="00826E20"/>
    <w:rsid w:val="00830B16"/>
    <w:rsid w:val="00830C7E"/>
    <w:rsid w:val="0083232E"/>
    <w:rsid w:val="0083239E"/>
    <w:rsid w:val="00833881"/>
    <w:rsid w:val="00834026"/>
    <w:rsid w:val="00834C47"/>
    <w:rsid w:val="00836F81"/>
    <w:rsid w:val="00837950"/>
    <w:rsid w:val="008379F8"/>
    <w:rsid w:val="00840092"/>
    <w:rsid w:val="008405E8"/>
    <w:rsid w:val="008421EA"/>
    <w:rsid w:val="008429F5"/>
    <w:rsid w:val="00844D4E"/>
    <w:rsid w:val="008460F2"/>
    <w:rsid w:val="008469F7"/>
    <w:rsid w:val="00847D52"/>
    <w:rsid w:val="008529D0"/>
    <w:rsid w:val="00855A00"/>
    <w:rsid w:val="00855B7C"/>
    <w:rsid w:val="0085654B"/>
    <w:rsid w:val="0085767D"/>
    <w:rsid w:val="008621D6"/>
    <w:rsid w:val="008621F3"/>
    <w:rsid w:val="0086301E"/>
    <w:rsid w:val="00863A22"/>
    <w:rsid w:val="00865A42"/>
    <w:rsid w:val="0086626E"/>
    <w:rsid w:val="00871003"/>
    <w:rsid w:val="00871BD1"/>
    <w:rsid w:val="00872D79"/>
    <w:rsid w:val="00873E3C"/>
    <w:rsid w:val="00874869"/>
    <w:rsid w:val="008800E2"/>
    <w:rsid w:val="00880302"/>
    <w:rsid w:val="00880B7C"/>
    <w:rsid w:val="00884A91"/>
    <w:rsid w:val="00884AF0"/>
    <w:rsid w:val="00885A66"/>
    <w:rsid w:val="00886D87"/>
    <w:rsid w:val="00890489"/>
    <w:rsid w:val="00890A16"/>
    <w:rsid w:val="008911A6"/>
    <w:rsid w:val="008924B9"/>
    <w:rsid w:val="00897992"/>
    <w:rsid w:val="008A0D3A"/>
    <w:rsid w:val="008A0EF2"/>
    <w:rsid w:val="008A16CB"/>
    <w:rsid w:val="008A1797"/>
    <w:rsid w:val="008A1B60"/>
    <w:rsid w:val="008A3D32"/>
    <w:rsid w:val="008A5768"/>
    <w:rsid w:val="008A5870"/>
    <w:rsid w:val="008A5DD5"/>
    <w:rsid w:val="008B02F9"/>
    <w:rsid w:val="008B09DB"/>
    <w:rsid w:val="008B29D4"/>
    <w:rsid w:val="008B43A3"/>
    <w:rsid w:val="008B6E1C"/>
    <w:rsid w:val="008B7DD7"/>
    <w:rsid w:val="008C117F"/>
    <w:rsid w:val="008C15A7"/>
    <w:rsid w:val="008C1D70"/>
    <w:rsid w:val="008C2B87"/>
    <w:rsid w:val="008C38FE"/>
    <w:rsid w:val="008C628F"/>
    <w:rsid w:val="008C661B"/>
    <w:rsid w:val="008C6FFC"/>
    <w:rsid w:val="008D027A"/>
    <w:rsid w:val="008D2C3B"/>
    <w:rsid w:val="008D2F4A"/>
    <w:rsid w:val="008D3896"/>
    <w:rsid w:val="008D3FB6"/>
    <w:rsid w:val="008D41F7"/>
    <w:rsid w:val="008D64ED"/>
    <w:rsid w:val="008E02E5"/>
    <w:rsid w:val="008E0ABE"/>
    <w:rsid w:val="008E1131"/>
    <w:rsid w:val="008E14B2"/>
    <w:rsid w:val="008E1558"/>
    <w:rsid w:val="008E2626"/>
    <w:rsid w:val="008E45F9"/>
    <w:rsid w:val="008E74ED"/>
    <w:rsid w:val="008E7574"/>
    <w:rsid w:val="008E7D39"/>
    <w:rsid w:val="008F1A69"/>
    <w:rsid w:val="008F38DE"/>
    <w:rsid w:val="008F44EA"/>
    <w:rsid w:val="008F5557"/>
    <w:rsid w:val="008F5EC2"/>
    <w:rsid w:val="008F6034"/>
    <w:rsid w:val="008F6AD5"/>
    <w:rsid w:val="00901DA5"/>
    <w:rsid w:val="00902255"/>
    <w:rsid w:val="0090263B"/>
    <w:rsid w:val="00902FB5"/>
    <w:rsid w:val="0090335E"/>
    <w:rsid w:val="009042F5"/>
    <w:rsid w:val="00905A06"/>
    <w:rsid w:val="00906D49"/>
    <w:rsid w:val="009070F5"/>
    <w:rsid w:val="00910767"/>
    <w:rsid w:val="00911895"/>
    <w:rsid w:val="0091227A"/>
    <w:rsid w:val="009123E3"/>
    <w:rsid w:val="009125B8"/>
    <w:rsid w:val="00912939"/>
    <w:rsid w:val="00913ECD"/>
    <w:rsid w:val="009149F1"/>
    <w:rsid w:val="00914CC9"/>
    <w:rsid w:val="00915994"/>
    <w:rsid w:val="009174EC"/>
    <w:rsid w:val="00917505"/>
    <w:rsid w:val="0092208F"/>
    <w:rsid w:val="00922335"/>
    <w:rsid w:val="00923493"/>
    <w:rsid w:val="00923E43"/>
    <w:rsid w:val="009243C7"/>
    <w:rsid w:val="00924780"/>
    <w:rsid w:val="00924C24"/>
    <w:rsid w:val="00926056"/>
    <w:rsid w:val="00927D6D"/>
    <w:rsid w:val="0093033C"/>
    <w:rsid w:val="00930B01"/>
    <w:rsid w:val="00930C1D"/>
    <w:rsid w:val="009314EF"/>
    <w:rsid w:val="00931C5C"/>
    <w:rsid w:val="00933D3A"/>
    <w:rsid w:val="0093460F"/>
    <w:rsid w:val="009356C5"/>
    <w:rsid w:val="009360BD"/>
    <w:rsid w:val="009377F7"/>
    <w:rsid w:val="00941DB9"/>
    <w:rsid w:val="00942C0F"/>
    <w:rsid w:val="009437DF"/>
    <w:rsid w:val="00943E45"/>
    <w:rsid w:val="00944599"/>
    <w:rsid w:val="0094671C"/>
    <w:rsid w:val="00946AE0"/>
    <w:rsid w:val="00947F5D"/>
    <w:rsid w:val="00950B11"/>
    <w:rsid w:val="00952D42"/>
    <w:rsid w:val="0095322A"/>
    <w:rsid w:val="00954886"/>
    <w:rsid w:val="009553F5"/>
    <w:rsid w:val="00955702"/>
    <w:rsid w:val="00955F6B"/>
    <w:rsid w:val="00957E1E"/>
    <w:rsid w:val="00960905"/>
    <w:rsid w:val="00960E91"/>
    <w:rsid w:val="00961E17"/>
    <w:rsid w:val="00961E97"/>
    <w:rsid w:val="00963328"/>
    <w:rsid w:val="009651CC"/>
    <w:rsid w:val="00966987"/>
    <w:rsid w:val="009669B2"/>
    <w:rsid w:val="00966D2A"/>
    <w:rsid w:val="0096763C"/>
    <w:rsid w:val="009676B9"/>
    <w:rsid w:val="00967997"/>
    <w:rsid w:val="00970DE9"/>
    <w:rsid w:val="00971961"/>
    <w:rsid w:val="009746D4"/>
    <w:rsid w:val="0097472A"/>
    <w:rsid w:val="00974A6C"/>
    <w:rsid w:val="009779D9"/>
    <w:rsid w:val="00981121"/>
    <w:rsid w:val="00981835"/>
    <w:rsid w:val="00982FFF"/>
    <w:rsid w:val="00983F35"/>
    <w:rsid w:val="00985033"/>
    <w:rsid w:val="0098578F"/>
    <w:rsid w:val="00985B59"/>
    <w:rsid w:val="00987DF2"/>
    <w:rsid w:val="009901D6"/>
    <w:rsid w:val="009910AF"/>
    <w:rsid w:val="00992087"/>
    <w:rsid w:val="009923E5"/>
    <w:rsid w:val="00992710"/>
    <w:rsid w:val="009955A7"/>
    <w:rsid w:val="0099592A"/>
    <w:rsid w:val="00996B0A"/>
    <w:rsid w:val="00997DD6"/>
    <w:rsid w:val="009A337E"/>
    <w:rsid w:val="009A4BDC"/>
    <w:rsid w:val="009A57F6"/>
    <w:rsid w:val="009A595E"/>
    <w:rsid w:val="009A649B"/>
    <w:rsid w:val="009A7E8F"/>
    <w:rsid w:val="009B074B"/>
    <w:rsid w:val="009B0B21"/>
    <w:rsid w:val="009B10B3"/>
    <w:rsid w:val="009B242B"/>
    <w:rsid w:val="009B252C"/>
    <w:rsid w:val="009C0286"/>
    <w:rsid w:val="009C0BEC"/>
    <w:rsid w:val="009C39D1"/>
    <w:rsid w:val="009C4F15"/>
    <w:rsid w:val="009C7D91"/>
    <w:rsid w:val="009D15E1"/>
    <w:rsid w:val="009D5900"/>
    <w:rsid w:val="009E075A"/>
    <w:rsid w:val="009E2539"/>
    <w:rsid w:val="009E3171"/>
    <w:rsid w:val="009E39CE"/>
    <w:rsid w:val="009E4BE6"/>
    <w:rsid w:val="009E5220"/>
    <w:rsid w:val="009E6F97"/>
    <w:rsid w:val="009F0ADB"/>
    <w:rsid w:val="009F2241"/>
    <w:rsid w:val="009F3211"/>
    <w:rsid w:val="009F3964"/>
    <w:rsid w:val="009F3F34"/>
    <w:rsid w:val="009F46E7"/>
    <w:rsid w:val="009F7F96"/>
    <w:rsid w:val="00A003E8"/>
    <w:rsid w:val="00A00F40"/>
    <w:rsid w:val="00A01333"/>
    <w:rsid w:val="00A01FB2"/>
    <w:rsid w:val="00A02F9B"/>
    <w:rsid w:val="00A074A6"/>
    <w:rsid w:val="00A07733"/>
    <w:rsid w:val="00A12816"/>
    <w:rsid w:val="00A1281A"/>
    <w:rsid w:val="00A12B40"/>
    <w:rsid w:val="00A162E6"/>
    <w:rsid w:val="00A1696C"/>
    <w:rsid w:val="00A16B2B"/>
    <w:rsid w:val="00A17D1D"/>
    <w:rsid w:val="00A20966"/>
    <w:rsid w:val="00A20F97"/>
    <w:rsid w:val="00A21589"/>
    <w:rsid w:val="00A2158C"/>
    <w:rsid w:val="00A215F5"/>
    <w:rsid w:val="00A2391A"/>
    <w:rsid w:val="00A240E5"/>
    <w:rsid w:val="00A24817"/>
    <w:rsid w:val="00A24C06"/>
    <w:rsid w:val="00A26EC4"/>
    <w:rsid w:val="00A27CF6"/>
    <w:rsid w:val="00A30A15"/>
    <w:rsid w:val="00A31BE9"/>
    <w:rsid w:val="00A322C3"/>
    <w:rsid w:val="00A333E6"/>
    <w:rsid w:val="00A33BCC"/>
    <w:rsid w:val="00A344C6"/>
    <w:rsid w:val="00A34744"/>
    <w:rsid w:val="00A3491E"/>
    <w:rsid w:val="00A35C6C"/>
    <w:rsid w:val="00A364BF"/>
    <w:rsid w:val="00A37E7E"/>
    <w:rsid w:val="00A4021C"/>
    <w:rsid w:val="00A40509"/>
    <w:rsid w:val="00A40923"/>
    <w:rsid w:val="00A40D0F"/>
    <w:rsid w:val="00A41806"/>
    <w:rsid w:val="00A41C5D"/>
    <w:rsid w:val="00A428C2"/>
    <w:rsid w:val="00A43AF6"/>
    <w:rsid w:val="00A43F49"/>
    <w:rsid w:val="00A44DEF"/>
    <w:rsid w:val="00A45C77"/>
    <w:rsid w:val="00A45CA9"/>
    <w:rsid w:val="00A4716C"/>
    <w:rsid w:val="00A50546"/>
    <w:rsid w:val="00A51D3C"/>
    <w:rsid w:val="00A52667"/>
    <w:rsid w:val="00A52DCC"/>
    <w:rsid w:val="00A54639"/>
    <w:rsid w:val="00A5677C"/>
    <w:rsid w:val="00A570BF"/>
    <w:rsid w:val="00A5769C"/>
    <w:rsid w:val="00A5794C"/>
    <w:rsid w:val="00A60B79"/>
    <w:rsid w:val="00A611D5"/>
    <w:rsid w:val="00A61977"/>
    <w:rsid w:val="00A64421"/>
    <w:rsid w:val="00A64D50"/>
    <w:rsid w:val="00A650BA"/>
    <w:rsid w:val="00A65E59"/>
    <w:rsid w:val="00A67535"/>
    <w:rsid w:val="00A67927"/>
    <w:rsid w:val="00A67A4E"/>
    <w:rsid w:val="00A70144"/>
    <w:rsid w:val="00A715A3"/>
    <w:rsid w:val="00A7238F"/>
    <w:rsid w:val="00A725A4"/>
    <w:rsid w:val="00A7392F"/>
    <w:rsid w:val="00A77F33"/>
    <w:rsid w:val="00A81124"/>
    <w:rsid w:val="00A85B6C"/>
    <w:rsid w:val="00A91F48"/>
    <w:rsid w:val="00A939BC"/>
    <w:rsid w:val="00A93B74"/>
    <w:rsid w:val="00A9492D"/>
    <w:rsid w:val="00A955D9"/>
    <w:rsid w:val="00A9773C"/>
    <w:rsid w:val="00AA04B9"/>
    <w:rsid w:val="00AA04DF"/>
    <w:rsid w:val="00AA0CD1"/>
    <w:rsid w:val="00AA43E4"/>
    <w:rsid w:val="00AA6455"/>
    <w:rsid w:val="00AA64FB"/>
    <w:rsid w:val="00AA6F86"/>
    <w:rsid w:val="00AA7385"/>
    <w:rsid w:val="00AB0406"/>
    <w:rsid w:val="00AB1364"/>
    <w:rsid w:val="00AB3442"/>
    <w:rsid w:val="00AB3647"/>
    <w:rsid w:val="00AB370F"/>
    <w:rsid w:val="00AB3AB7"/>
    <w:rsid w:val="00AB492E"/>
    <w:rsid w:val="00AB539C"/>
    <w:rsid w:val="00AB6820"/>
    <w:rsid w:val="00AB6CDD"/>
    <w:rsid w:val="00AC0714"/>
    <w:rsid w:val="00AC1555"/>
    <w:rsid w:val="00AC2749"/>
    <w:rsid w:val="00AC4206"/>
    <w:rsid w:val="00AC53DA"/>
    <w:rsid w:val="00AC5561"/>
    <w:rsid w:val="00AC6E5F"/>
    <w:rsid w:val="00AC7CC2"/>
    <w:rsid w:val="00AD29C0"/>
    <w:rsid w:val="00AD2FDA"/>
    <w:rsid w:val="00AD33FD"/>
    <w:rsid w:val="00AD3862"/>
    <w:rsid w:val="00AD3B55"/>
    <w:rsid w:val="00AD4690"/>
    <w:rsid w:val="00AD4C82"/>
    <w:rsid w:val="00AD4F2D"/>
    <w:rsid w:val="00AD56FF"/>
    <w:rsid w:val="00AD5CA9"/>
    <w:rsid w:val="00AD6369"/>
    <w:rsid w:val="00AD7490"/>
    <w:rsid w:val="00AD7A2F"/>
    <w:rsid w:val="00AE0104"/>
    <w:rsid w:val="00AE059E"/>
    <w:rsid w:val="00AE0F99"/>
    <w:rsid w:val="00AE259D"/>
    <w:rsid w:val="00AE25D7"/>
    <w:rsid w:val="00AE3BDB"/>
    <w:rsid w:val="00AE4D82"/>
    <w:rsid w:val="00AE5649"/>
    <w:rsid w:val="00AE711C"/>
    <w:rsid w:val="00AE7F36"/>
    <w:rsid w:val="00AF015F"/>
    <w:rsid w:val="00AF13E4"/>
    <w:rsid w:val="00AF22C7"/>
    <w:rsid w:val="00AF315C"/>
    <w:rsid w:val="00AF319F"/>
    <w:rsid w:val="00AF551D"/>
    <w:rsid w:val="00AF5BA9"/>
    <w:rsid w:val="00AF77CA"/>
    <w:rsid w:val="00B000FF"/>
    <w:rsid w:val="00B01F32"/>
    <w:rsid w:val="00B022E4"/>
    <w:rsid w:val="00B02301"/>
    <w:rsid w:val="00B02802"/>
    <w:rsid w:val="00B0347E"/>
    <w:rsid w:val="00B05CB9"/>
    <w:rsid w:val="00B07D2B"/>
    <w:rsid w:val="00B11FF4"/>
    <w:rsid w:val="00B1270A"/>
    <w:rsid w:val="00B12A24"/>
    <w:rsid w:val="00B12ACE"/>
    <w:rsid w:val="00B1369C"/>
    <w:rsid w:val="00B1489F"/>
    <w:rsid w:val="00B15265"/>
    <w:rsid w:val="00B1589F"/>
    <w:rsid w:val="00B20CBA"/>
    <w:rsid w:val="00B20DCA"/>
    <w:rsid w:val="00B233BD"/>
    <w:rsid w:val="00B23D22"/>
    <w:rsid w:val="00B253CD"/>
    <w:rsid w:val="00B267A3"/>
    <w:rsid w:val="00B2730F"/>
    <w:rsid w:val="00B3015F"/>
    <w:rsid w:val="00B30277"/>
    <w:rsid w:val="00B3096C"/>
    <w:rsid w:val="00B312AC"/>
    <w:rsid w:val="00B32109"/>
    <w:rsid w:val="00B3269E"/>
    <w:rsid w:val="00B341F1"/>
    <w:rsid w:val="00B3520D"/>
    <w:rsid w:val="00B35329"/>
    <w:rsid w:val="00B37299"/>
    <w:rsid w:val="00B4067E"/>
    <w:rsid w:val="00B41A08"/>
    <w:rsid w:val="00B425A5"/>
    <w:rsid w:val="00B42E1E"/>
    <w:rsid w:val="00B4372D"/>
    <w:rsid w:val="00B440EB"/>
    <w:rsid w:val="00B444E0"/>
    <w:rsid w:val="00B44A30"/>
    <w:rsid w:val="00B46740"/>
    <w:rsid w:val="00B50B2D"/>
    <w:rsid w:val="00B51941"/>
    <w:rsid w:val="00B51E03"/>
    <w:rsid w:val="00B52223"/>
    <w:rsid w:val="00B52FB7"/>
    <w:rsid w:val="00B564FE"/>
    <w:rsid w:val="00B56B8D"/>
    <w:rsid w:val="00B602AB"/>
    <w:rsid w:val="00B61209"/>
    <w:rsid w:val="00B64636"/>
    <w:rsid w:val="00B64D46"/>
    <w:rsid w:val="00B65B18"/>
    <w:rsid w:val="00B65D30"/>
    <w:rsid w:val="00B65FF7"/>
    <w:rsid w:val="00B6604D"/>
    <w:rsid w:val="00B6630C"/>
    <w:rsid w:val="00B664EF"/>
    <w:rsid w:val="00B723A7"/>
    <w:rsid w:val="00B72490"/>
    <w:rsid w:val="00B74542"/>
    <w:rsid w:val="00B74EBD"/>
    <w:rsid w:val="00B750D0"/>
    <w:rsid w:val="00B75420"/>
    <w:rsid w:val="00B75D7B"/>
    <w:rsid w:val="00B76A62"/>
    <w:rsid w:val="00B76F60"/>
    <w:rsid w:val="00B776D2"/>
    <w:rsid w:val="00B779A9"/>
    <w:rsid w:val="00B82EAA"/>
    <w:rsid w:val="00B8304C"/>
    <w:rsid w:val="00B83732"/>
    <w:rsid w:val="00B83763"/>
    <w:rsid w:val="00B83997"/>
    <w:rsid w:val="00B85C7D"/>
    <w:rsid w:val="00B85EA6"/>
    <w:rsid w:val="00B87238"/>
    <w:rsid w:val="00B903C3"/>
    <w:rsid w:val="00B91BFB"/>
    <w:rsid w:val="00B922ED"/>
    <w:rsid w:val="00B92C05"/>
    <w:rsid w:val="00B94171"/>
    <w:rsid w:val="00B947B5"/>
    <w:rsid w:val="00B94967"/>
    <w:rsid w:val="00B960B9"/>
    <w:rsid w:val="00BA1E64"/>
    <w:rsid w:val="00BA3AA3"/>
    <w:rsid w:val="00BA454E"/>
    <w:rsid w:val="00BA4CD6"/>
    <w:rsid w:val="00BA4E2C"/>
    <w:rsid w:val="00BA56DA"/>
    <w:rsid w:val="00BA5A9A"/>
    <w:rsid w:val="00BA5DD6"/>
    <w:rsid w:val="00BA61EE"/>
    <w:rsid w:val="00BA71E8"/>
    <w:rsid w:val="00BA761C"/>
    <w:rsid w:val="00BB1ABE"/>
    <w:rsid w:val="00BB2757"/>
    <w:rsid w:val="00BB3099"/>
    <w:rsid w:val="00BB41B4"/>
    <w:rsid w:val="00BB48AC"/>
    <w:rsid w:val="00BB4AFF"/>
    <w:rsid w:val="00BB61AC"/>
    <w:rsid w:val="00BB626D"/>
    <w:rsid w:val="00BC3091"/>
    <w:rsid w:val="00BC3D9E"/>
    <w:rsid w:val="00BC4AB3"/>
    <w:rsid w:val="00BC517D"/>
    <w:rsid w:val="00BC63F3"/>
    <w:rsid w:val="00BD0739"/>
    <w:rsid w:val="00BD12AB"/>
    <w:rsid w:val="00BD1918"/>
    <w:rsid w:val="00BD192E"/>
    <w:rsid w:val="00BD1A10"/>
    <w:rsid w:val="00BD3F1E"/>
    <w:rsid w:val="00BD4BF4"/>
    <w:rsid w:val="00BD5103"/>
    <w:rsid w:val="00BE0CC9"/>
    <w:rsid w:val="00BE203A"/>
    <w:rsid w:val="00BE63CA"/>
    <w:rsid w:val="00BF039D"/>
    <w:rsid w:val="00BF12B8"/>
    <w:rsid w:val="00BF45FB"/>
    <w:rsid w:val="00BF4E02"/>
    <w:rsid w:val="00BF65E6"/>
    <w:rsid w:val="00BF6D49"/>
    <w:rsid w:val="00C00D13"/>
    <w:rsid w:val="00C00E04"/>
    <w:rsid w:val="00C01793"/>
    <w:rsid w:val="00C01E41"/>
    <w:rsid w:val="00C01FED"/>
    <w:rsid w:val="00C0243E"/>
    <w:rsid w:val="00C02DBF"/>
    <w:rsid w:val="00C02E47"/>
    <w:rsid w:val="00C03332"/>
    <w:rsid w:val="00C0430D"/>
    <w:rsid w:val="00C06014"/>
    <w:rsid w:val="00C063BE"/>
    <w:rsid w:val="00C071C9"/>
    <w:rsid w:val="00C101A3"/>
    <w:rsid w:val="00C10887"/>
    <w:rsid w:val="00C12D18"/>
    <w:rsid w:val="00C13C8E"/>
    <w:rsid w:val="00C143E8"/>
    <w:rsid w:val="00C1555F"/>
    <w:rsid w:val="00C16C18"/>
    <w:rsid w:val="00C17668"/>
    <w:rsid w:val="00C219CD"/>
    <w:rsid w:val="00C24D82"/>
    <w:rsid w:val="00C26338"/>
    <w:rsid w:val="00C2651E"/>
    <w:rsid w:val="00C26608"/>
    <w:rsid w:val="00C31E0B"/>
    <w:rsid w:val="00C321EA"/>
    <w:rsid w:val="00C33891"/>
    <w:rsid w:val="00C33E69"/>
    <w:rsid w:val="00C34162"/>
    <w:rsid w:val="00C34532"/>
    <w:rsid w:val="00C34B2A"/>
    <w:rsid w:val="00C40C8D"/>
    <w:rsid w:val="00C42D87"/>
    <w:rsid w:val="00C42E79"/>
    <w:rsid w:val="00C4680C"/>
    <w:rsid w:val="00C46A90"/>
    <w:rsid w:val="00C47091"/>
    <w:rsid w:val="00C47D77"/>
    <w:rsid w:val="00C508F6"/>
    <w:rsid w:val="00C50FB8"/>
    <w:rsid w:val="00C5123D"/>
    <w:rsid w:val="00C534C8"/>
    <w:rsid w:val="00C53871"/>
    <w:rsid w:val="00C54244"/>
    <w:rsid w:val="00C5685E"/>
    <w:rsid w:val="00C56C15"/>
    <w:rsid w:val="00C57CB5"/>
    <w:rsid w:val="00C63471"/>
    <w:rsid w:val="00C63BD4"/>
    <w:rsid w:val="00C63BF5"/>
    <w:rsid w:val="00C65016"/>
    <w:rsid w:val="00C65A62"/>
    <w:rsid w:val="00C70AEF"/>
    <w:rsid w:val="00C70FAF"/>
    <w:rsid w:val="00C735AF"/>
    <w:rsid w:val="00C73929"/>
    <w:rsid w:val="00C757B2"/>
    <w:rsid w:val="00C76C88"/>
    <w:rsid w:val="00C77113"/>
    <w:rsid w:val="00C77132"/>
    <w:rsid w:val="00C77407"/>
    <w:rsid w:val="00C81FF9"/>
    <w:rsid w:val="00C82B39"/>
    <w:rsid w:val="00C82D38"/>
    <w:rsid w:val="00C82EFD"/>
    <w:rsid w:val="00C839E5"/>
    <w:rsid w:val="00C83FC3"/>
    <w:rsid w:val="00C84977"/>
    <w:rsid w:val="00C85260"/>
    <w:rsid w:val="00C861D2"/>
    <w:rsid w:val="00C86E60"/>
    <w:rsid w:val="00C90833"/>
    <w:rsid w:val="00C92281"/>
    <w:rsid w:val="00C92CDA"/>
    <w:rsid w:val="00C930DE"/>
    <w:rsid w:val="00C946E8"/>
    <w:rsid w:val="00C9472B"/>
    <w:rsid w:val="00C949ED"/>
    <w:rsid w:val="00C95442"/>
    <w:rsid w:val="00C95553"/>
    <w:rsid w:val="00C95A4E"/>
    <w:rsid w:val="00C96597"/>
    <w:rsid w:val="00C969F3"/>
    <w:rsid w:val="00C97211"/>
    <w:rsid w:val="00CA0BE1"/>
    <w:rsid w:val="00CA1256"/>
    <w:rsid w:val="00CA12A7"/>
    <w:rsid w:val="00CA138F"/>
    <w:rsid w:val="00CA1EB2"/>
    <w:rsid w:val="00CA2464"/>
    <w:rsid w:val="00CA2653"/>
    <w:rsid w:val="00CA27C8"/>
    <w:rsid w:val="00CA4634"/>
    <w:rsid w:val="00CB0F61"/>
    <w:rsid w:val="00CB19CA"/>
    <w:rsid w:val="00CB2099"/>
    <w:rsid w:val="00CB2160"/>
    <w:rsid w:val="00CB3751"/>
    <w:rsid w:val="00CB3DC8"/>
    <w:rsid w:val="00CB3F73"/>
    <w:rsid w:val="00CB418B"/>
    <w:rsid w:val="00CC0028"/>
    <w:rsid w:val="00CC1069"/>
    <w:rsid w:val="00CC4EF4"/>
    <w:rsid w:val="00CC55A9"/>
    <w:rsid w:val="00CC5842"/>
    <w:rsid w:val="00CC5A7E"/>
    <w:rsid w:val="00CC60E7"/>
    <w:rsid w:val="00CC7753"/>
    <w:rsid w:val="00CD0270"/>
    <w:rsid w:val="00CD0C0E"/>
    <w:rsid w:val="00CD11C3"/>
    <w:rsid w:val="00CD2143"/>
    <w:rsid w:val="00CD22C1"/>
    <w:rsid w:val="00CD26E7"/>
    <w:rsid w:val="00CD496A"/>
    <w:rsid w:val="00CD56DE"/>
    <w:rsid w:val="00CD5C01"/>
    <w:rsid w:val="00CD7646"/>
    <w:rsid w:val="00CE0CB9"/>
    <w:rsid w:val="00CE233A"/>
    <w:rsid w:val="00CE2401"/>
    <w:rsid w:val="00CE2D09"/>
    <w:rsid w:val="00CE32C0"/>
    <w:rsid w:val="00CE5AD0"/>
    <w:rsid w:val="00CE6248"/>
    <w:rsid w:val="00CE63C7"/>
    <w:rsid w:val="00CE648E"/>
    <w:rsid w:val="00CF1831"/>
    <w:rsid w:val="00CF1ACD"/>
    <w:rsid w:val="00CF56D4"/>
    <w:rsid w:val="00CF60F8"/>
    <w:rsid w:val="00D035FA"/>
    <w:rsid w:val="00D03F33"/>
    <w:rsid w:val="00D062C9"/>
    <w:rsid w:val="00D070BE"/>
    <w:rsid w:val="00D10555"/>
    <w:rsid w:val="00D10FA8"/>
    <w:rsid w:val="00D11B33"/>
    <w:rsid w:val="00D11C58"/>
    <w:rsid w:val="00D1206A"/>
    <w:rsid w:val="00D12762"/>
    <w:rsid w:val="00D12E29"/>
    <w:rsid w:val="00D14386"/>
    <w:rsid w:val="00D15BDB"/>
    <w:rsid w:val="00D16CEF"/>
    <w:rsid w:val="00D20D30"/>
    <w:rsid w:val="00D220B8"/>
    <w:rsid w:val="00D222D8"/>
    <w:rsid w:val="00D22B6C"/>
    <w:rsid w:val="00D25E99"/>
    <w:rsid w:val="00D26942"/>
    <w:rsid w:val="00D27EAA"/>
    <w:rsid w:val="00D30298"/>
    <w:rsid w:val="00D304D1"/>
    <w:rsid w:val="00D314AF"/>
    <w:rsid w:val="00D32D1B"/>
    <w:rsid w:val="00D33DA9"/>
    <w:rsid w:val="00D34D9F"/>
    <w:rsid w:val="00D36966"/>
    <w:rsid w:val="00D36B3F"/>
    <w:rsid w:val="00D37A63"/>
    <w:rsid w:val="00D37E61"/>
    <w:rsid w:val="00D37E8A"/>
    <w:rsid w:val="00D40D20"/>
    <w:rsid w:val="00D40E4E"/>
    <w:rsid w:val="00D41EB9"/>
    <w:rsid w:val="00D4327E"/>
    <w:rsid w:val="00D43C47"/>
    <w:rsid w:val="00D4502B"/>
    <w:rsid w:val="00D4704D"/>
    <w:rsid w:val="00D47213"/>
    <w:rsid w:val="00D50A88"/>
    <w:rsid w:val="00D50AA7"/>
    <w:rsid w:val="00D50D04"/>
    <w:rsid w:val="00D51665"/>
    <w:rsid w:val="00D51A6A"/>
    <w:rsid w:val="00D5257D"/>
    <w:rsid w:val="00D52833"/>
    <w:rsid w:val="00D52867"/>
    <w:rsid w:val="00D52B0E"/>
    <w:rsid w:val="00D5397D"/>
    <w:rsid w:val="00D5453E"/>
    <w:rsid w:val="00D563D3"/>
    <w:rsid w:val="00D578F7"/>
    <w:rsid w:val="00D608D7"/>
    <w:rsid w:val="00D60B4C"/>
    <w:rsid w:val="00D61505"/>
    <w:rsid w:val="00D61C41"/>
    <w:rsid w:val="00D62311"/>
    <w:rsid w:val="00D62BB9"/>
    <w:rsid w:val="00D64733"/>
    <w:rsid w:val="00D67AD7"/>
    <w:rsid w:val="00D72203"/>
    <w:rsid w:val="00D72818"/>
    <w:rsid w:val="00D72D29"/>
    <w:rsid w:val="00D77B9D"/>
    <w:rsid w:val="00D81195"/>
    <w:rsid w:val="00D81360"/>
    <w:rsid w:val="00D81D67"/>
    <w:rsid w:val="00D873E7"/>
    <w:rsid w:val="00D87D0D"/>
    <w:rsid w:val="00D93293"/>
    <w:rsid w:val="00D9371E"/>
    <w:rsid w:val="00D9415C"/>
    <w:rsid w:val="00D94F7D"/>
    <w:rsid w:val="00D9574F"/>
    <w:rsid w:val="00D96034"/>
    <w:rsid w:val="00D96FAA"/>
    <w:rsid w:val="00D97C6A"/>
    <w:rsid w:val="00D97F3C"/>
    <w:rsid w:val="00DA0776"/>
    <w:rsid w:val="00DA39B1"/>
    <w:rsid w:val="00DA4F77"/>
    <w:rsid w:val="00DA4FF6"/>
    <w:rsid w:val="00DB16A8"/>
    <w:rsid w:val="00DB2833"/>
    <w:rsid w:val="00DB529A"/>
    <w:rsid w:val="00DB6AD2"/>
    <w:rsid w:val="00DB6D41"/>
    <w:rsid w:val="00DB6EFB"/>
    <w:rsid w:val="00DB78AA"/>
    <w:rsid w:val="00DB7978"/>
    <w:rsid w:val="00DB7DB5"/>
    <w:rsid w:val="00DB7F77"/>
    <w:rsid w:val="00DC12E3"/>
    <w:rsid w:val="00DC13C7"/>
    <w:rsid w:val="00DC1659"/>
    <w:rsid w:val="00DC204D"/>
    <w:rsid w:val="00DC5123"/>
    <w:rsid w:val="00DC6813"/>
    <w:rsid w:val="00DC686D"/>
    <w:rsid w:val="00DD0DE5"/>
    <w:rsid w:val="00DD2CEC"/>
    <w:rsid w:val="00DD3616"/>
    <w:rsid w:val="00DD3913"/>
    <w:rsid w:val="00DD7234"/>
    <w:rsid w:val="00DE0A50"/>
    <w:rsid w:val="00DE0B13"/>
    <w:rsid w:val="00DE2A58"/>
    <w:rsid w:val="00DE2CF9"/>
    <w:rsid w:val="00DE2EFC"/>
    <w:rsid w:val="00DE33E8"/>
    <w:rsid w:val="00DE3D89"/>
    <w:rsid w:val="00DE5FB4"/>
    <w:rsid w:val="00DF4A74"/>
    <w:rsid w:val="00DF53A2"/>
    <w:rsid w:val="00DF6780"/>
    <w:rsid w:val="00DF6AD3"/>
    <w:rsid w:val="00DF7A67"/>
    <w:rsid w:val="00E0170F"/>
    <w:rsid w:val="00E01972"/>
    <w:rsid w:val="00E03BD5"/>
    <w:rsid w:val="00E046CD"/>
    <w:rsid w:val="00E06384"/>
    <w:rsid w:val="00E06690"/>
    <w:rsid w:val="00E06A7E"/>
    <w:rsid w:val="00E071FB"/>
    <w:rsid w:val="00E0782B"/>
    <w:rsid w:val="00E115EE"/>
    <w:rsid w:val="00E117AC"/>
    <w:rsid w:val="00E12849"/>
    <w:rsid w:val="00E141E5"/>
    <w:rsid w:val="00E147C5"/>
    <w:rsid w:val="00E14C28"/>
    <w:rsid w:val="00E20FB3"/>
    <w:rsid w:val="00E211FD"/>
    <w:rsid w:val="00E212D0"/>
    <w:rsid w:val="00E21C9C"/>
    <w:rsid w:val="00E22161"/>
    <w:rsid w:val="00E2378E"/>
    <w:rsid w:val="00E2582F"/>
    <w:rsid w:val="00E26CDE"/>
    <w:rsid w:val="00E3021A"/>
    <w:rsid w:val="00E30BFD"/>
    <w:rsid w:val="00E326F4"/>
    <w:rsid w:val="00E34B83"/>
    <w:rsid w:val="00E358D6"/>
    <w:rsid w:val="00E36DF4"/>
    <w:rsid w:val="00E371BB"/>
    <w:rsid w:val="00E37A43"/>
    <w:rsid w:val="00E407F6"/>
    <w:rsid w:val="00E42DB0"/>
    <w:rsid w:val="00E43725"/>
    <w:rsid w:val="00E44168"/>
    <w:rsid w:val="00E444CD"/>
    <w:rsid w:val="00E45AEC"/>
    <w:rsid w:val="00E476B6"/>
    <w:rsid w:val="00E51B0C"/>
    <w:rsid w:val="00E51FF8"/>
    <w:rsid w:val="00E522D3"/>
    <w:rsid w:val="00E529BC"/>
    <w:rsid w:val="00E537B4"/>
    <w:rsid w:val="00E5461D"/>
    <w:rsid w:val="00E54724"/>
    <w:rsid w:val="00E56088"/>
    <w:rsid w:val="00E57B1E"/>
    <w:rsid w:val="00E61DD6"/>
    <w:rsid w:val="00E62BED"/>
    <w:rsid w:val="00E642DB"/>
    <w:rsid w:val="00E6487D"/>
    <w:rsid w:val="00E65779"/>
    <w:rsid w:val="00E6674E"/>
    <w:rsid w:val="00E73A1B"/>
    <w:rsid w:val="00E74591"/>
    <w:rsid w:val="00E76310"/>
    <w:rsid w:val="00E7672E"/>
    <w:rsid w:val="00E8081D"/>
    <w:rsid w:val="00E81A93"/>
    <w:rsid w:val="00E83CB5"/>
    <w:rsid w:val="00E842D8"/>
    <w:rsid w:val="00E84B43"/>
    <w:rsid w:val="00E87126"/>
    <w:rsid w:val="00E876A1"/>
    <w:rsid w:val="00E91A76"/>
    <w:rsid w:val="00E9217D"/>
    <w:rsid w:val="00E924EE"/>
    <w:rsid w:val="00E94FEE"/>
    <w:rsid w:val="00E95A6B"/>
    <w:rsid w:val="00EA0056"/>
    <w:rsid w:val="00EA14B9"/>
    <w:rsid w:val="00EA2AD7"/>
    <w:rsid w:val="00EA4B12"/>
    <w:rsid w:val="00EA75EA"/>
    <w:rsid w:val="00EB00FD"/>
    <w:rsid w:val="00EB0254"/>
    <w:rsid w:val="00EB0AFF"/>
    <w:rsid w:val="00EB0DE0"/>
    <w:rsid w:val="00EB12CC"/>
    <w:rsid w:val="00EB31CA"/>
    <w:rsid w:val="00EB4EAE"/>
    <w:rsid w:val="00EB69DF"/>
    <w:rsid w:val="00EB7BDE"/>
    <w:rsid w:val="00EC0C5E"/>
    <w:rsid w:val="00EC1470"/>
    <w:rsid w:val="00EC18DC"/>
    <w:rsid w:val="00EC5186"/>
    <w:rsid w:val="00EC5A28"/>
    <w:rsid w:val="00EC6938"/>
    <w:rsid w:val="00EC7823"/>
    <w:rsid w:val="00ED148F"/>
    <w:rsid w:val="00ED153A"/>
    <w:rsid w:val="00ED310D"/>
    <w:rsid w:val="00ED3249"/>
    <w:rsid w:val="00ED3B47"/>
    <w:rsid w:val="00ED4736"/>
    <w:rsid w:val="00EE12FF"/>
    <w:rsid w:val="00EE1F77"/>
    <w:rsid w:val="00EE2D3E"/>
    <w:rsid w:val="00EE4845"/>
    <w:rsid w:val="00EE54A3"/>
    <w:rsid w:val="00EE6884"/>
    <w:rsid w:val="00EE7017"/>
    <w:rsid w:val="00EE7651"/>
    <w:rsid w:val="00EF0360"/>
    <w:rsid w:val="00EF0590"/>
    <w:rsid w:val="00EF2A15"/>
    <w:rsid w:val="00EF2F9D"/>
    <w:rsid w:val="00EF4880"/>
    <w:rsid w:val="00EF4F03"/>
    <w:rsid w:val="00EF54E6"/>
    <w:rsid w:val="00F00C4C"/>
    <w:rsid w:val="00F01938"/>
    <w:rsid w:val="00F01B9E"/>
    <w:rsid w:val="00F0298A"/>
    <w:rsid w:val="00F02FB6"/>
    <w:rsid w:val="00F03651"/>
    <w:rsid w:val="00F03BA0"/>
    <w:rsid w:val="00F041EC"/>
    <w:rsid w:val="00F04553"/>
    <w:rsid w:val="00F053CE"/>
    <w:rsid w:val="00F057F6"/>
    <w:rsid w:val="00F0638C"/>
    <w:rsid w:val="00F07689"/>
    <w:rsid w:val="00F07830"/>
    <w:rsid w:val="00F10548"/>
    <w:rsid w:val="00F110F0"/>
    <w:rsid w:val="00F126D4"/>
    <w:rsid w:val="00F1343A"/>
    <w:rsid w:val="00F13B15"/>
    <w:rsid w:val="00F1449F"/>
    <w:rsid w:val="00F167EC"/>
    <w:rsid w:val="00F203AE"/>
    <w:rsid w:val="00F21027"/>
    <w:rsid w:val="00F264D3"/>
    <w:rsid w:val="00F272A1"/>
    <w:rsid w:val="00F27E6F"/>
    <w:rsid w:val="00F3058D"/>
    <w:rsid w:val="00F31F38"/>
    <w:rsid w:val="00F33606"/>
    <w:rsid w:val="00F35903"/>
    <w:rsid w:val="00F3623A"/>
    <w:rsid w:val="00F36983"/>
    <w:rsid w:val="00F37159"/>
    <w:rsid w:val="00F3797F"/>
    <w:rsid w:val="00F41BE5"/>
    <w:rsid w:val="00F41CBD"/>
    <w:rsid w:val="00F41EA3"/>
    <w:rsid w:val="00F43414"/>
    <w:rsid w:val="00F44297"/>
    <w:rsid w:val="00F4594E"/>
    <w:rsid w:val="00F46EBD"/>
    <w:rsid w:val="00F4771F"/>
    <w:rsid w:val="00F47A85"/>
    <w:rsid w:val="00F504C6"/>
    <w:rsid w:val="00F5332E"/>
    <w:rsid w:val="00F54407"/>
    <w:rsid w:val="00F54B0B"/>
    <w:rsid w:val="00F54EC9"/>
    <w:rsid w:val="00F55371"/>
    <w:rsid w:val="00F55A1C"/>
    <w:rsid w:val="00F5687D"/>
    <w:rsid w:val="00F57858"/>
    <w:rsid w:val="00F60524"/>
    <w:rsid w:val="00F60AAA"/>
    <w:rsid w:val="00F61562"/>
    <w:rsid w:val="00F6570A"/>
    <w:rsid w:val="00F679E1"/>
    <w:rsid w:val="00F67B7D"/>
    <w:rsid w:val="00F70828"/>
    <w:rsid w:val="00F72662"/>
    <w:rsid w:val="00F7544B"/>
    <w:rsid w:val="00F7742E"/>
    <w:rsid w:val="00F8004D"/>
    <w:rsid w:val="00F80AF7"/>
    <w:rsid w:val="00F81648"/>
    <w:rsid w:val="00F81BE7"/>
    <w:rsid w:val="00F83F3D"/>
    <w:rsid w:val="00F84046"/>
    <w:rsid w:val="00F8464C"/>
    <w:rsid w:val="00F84BE9"/>
    <w:rsid w:val="00F84C5D"/>
    <w:rsid w:val="00F84E8E"/>
    <w:rsid w:val="00F851A2"/>
    <w:rsid w:val="00F85736"/>
    <w:rsid w:val="00F8632C"/>
    <w:rsid w:val="00F864BC"/>
    <w:rsid w:val="00F87A29"/>
    <w:rsid w:val="00F87B42"/>
    <w:rsid w:val="00F91C61"/>
    <w:rsid w:val="00F94F72"/>
    <w:rsid w:val="00F959E3"/>
    <w:rsid w:val="00F96701"/>
    <w:rsid w:val="00F97A5B"/>
    <w:rsid w:val="00FA1DA3"/>
    <w:rsid w:val="00FA2260"/>
    <w:rsid w:val="00FA33E4"/>
    <w:rsid w:val="00FA42A7"/>
    <w:rsid w:val="00FA61AA"/>
    <w:rsid w:val="00FA6DE7"/>
    <w:rsid w:val="00FA7430"/>
    <w:rsid w:val="00FA79D7"/>
    <w:rsid w:val="00FB2923"/>
    <w:rsid w:val="00FB2A3E"/>
    <w:rsid w:val="00FB4A2A"/>
    <w:rsid w:val="00FB515C"/>
    <w:rsid w:val="00FB5505"/>
    <w:rsid w:val="00FC1CF1"/>
    <w:rsid w:val="00FC5EEC"/>
    <w:rsid w:val="00FC710E"/>
    <w:rsid w:val="00FC7A02"/>
    <w:rsid w:val="00FC7B1B"/>
    <w:rsid w:val="00FD0E8A"/>
    <w:rsid w:val="00FD189C"/>
    <w:rsid w:val="00FD212A"/>
    <w:rsid w:val="00FD2B88"/>
    <w:rsid w:val="00FD4029"/>
    <w:rsid w:val="00FD41B2"/>
    <w:rsid w:val="00FD485A"/>
    <w:rsid w:val="00FD4915"/>
    <w:rsid w:val="00FD4B3A"/>
    <w:rsid w:val="00FD4C92"/>
    <w:rsid w:val="00FD4EC6"/>
    <w:rsid w:val="00FE0200"/>
    <w:rsid w:val="00FE0623"/>
    <w:rsid w:val="00FE4277"/>
    <w:rsid w:val="00FE435C"/>
    <w:rsid w:val="00FE441C"/>
    <w:rsid w:val="00FE5938"/>
    <w:rsid w:val="00FE6284"/>
    <w:rsid w:val="00FE7429"/>
    <w:rsid w:val="00FF20D1"/>
    <w:rsid w:val="00FF2DA1"/>
    <w:rsid w:val="00FF5397"/>
    <w:rsid w:val="00FF5B0A"/>
    <w:rsid w:val="00FF7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4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F4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3F4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3F43B0"/>
    <w:rPr>
      <w:color w:val="0000FF"/>
      <w:u w:val="single"/>
    </w:rPr>
  </w:style>
  <w:style w:type="character" w:styleId="LineNumber">
    <w:name w:val="line number"/>
    <w:basedOn w:val="OPCCharBase"/>
    <w:uiPriority w:val="99"/>
    <w:unhideWhenUsed/>
    <w:rsid w:val="003F4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uiPriority w:val="99"/>
    <w:rsid w:val="00772F15"/>
    <w:pPr>
      <w:tabs>
        <w:tab w:val="num" w:pos="360"/>
      </w:tabs>
      <w:ind w:left="360" w:hanging="360"/>
    </w:pPr>
  </w:style>
  <w:style w:type="paragraph" w:styleId="ListBullet2">
    <w:name w:val="List Bullet 2"/>
    <w:basedOn w:val="Normal"/>
    <w:autoRedefine/>
    <w:uiPriority w:val="99"/>
    <w:rsid w:val="00772F15"/>
    <w:pPr>
      <w:tabs>
        <w:tab w:val="num" w:pos="360"/>
      </w:tabs>
    </w:pPr>
  </w:style>
  <w:style w:type="paragraph" w:styleId="ListBullet3">
    <w:name w:val="List Bullet 3"/>
    <w:basedOn w:val="Normal"/>
    <w:autoRedefine/>
    <w:uiPriority w:val="99"/>
    <w:rsid w:val="00772F15"/>
    <w:pPr>
      <w:tabs>
        <w:tab w:val="num" w:pos="926"/>
      </w:tabs>
      <w:ind w:left="926" w:hanging="360"/>
    </w:pPr>
  </w:style>
  <w:style w:type="paragraph" w:styleId="ListBullet4">
    <w:name w:val="List Bullet 4"/>
    <w:basedOn w:val="Normal"/>
    <w:autoRedefine/>
    <w:uiPriority w:val="99"/>
    <w:rsid w:val="00772F15"/>
    <w:pPr>
      <w:tabs>
        <w:tab w:val="num" w:pos="1209"/>
      </w:tabs>
      <w:ind w:left="1209" w:hanging="360"/>
    </w:pPr>
  </w:style>
  <w:style w:type="paragraph" w:styleId="ListBullet5">
    <w:name w:val="List Bullet 5"/>
    <w:basedOn w:val="Normal"/>
    <w:autoRedefine/>
    <w:uiPriority w:val="99"/>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uiPriority w:val="99"/>
    <w:rsid w:val="00772F15"/>
    <w:pPr>
      <w:tabs>
        <w:tab w:val="num" w:pos="360"/>
      </w:tabs>
      <w:ind w:left="360" w:hanging="360"/>
    </w:pPr>
  </w:style>
  <w:style w:type="paragraph" w:styleId="ListNumber2">
    <w:name w:val="List Number 2"/>
    <w:basedOn w:val="Normal"/>
    <w:uiPriority w:val="99"/>
    <w:rsid w:val="00772F15"/>
    <w:pPr>
      <w:tabs>
        <w:tab w:val="num" w:pos="643"/>
      </w:tabs>
      <w:ind w:left="643" w:hanging="360"/>
    </w:pPr>
  </w:style>
  <w:style w:type="paragraph" w:styleId="ListNumber3">
    <w:name w:val="List Number 3"/>
    <w:basedOn w:val="Normal"/>
    <w:uiPriority w:val="99"/>
    <w:rsid w:val="00772F15"/>
    <w:pPr>
      <w:tabs>
        <w:tab w:val="num" w:pos="926"/>
      </w:tabs>
      <w:ind w:left="926" w:hanging="360"/>
    </w:pPr>
  </w:style>
  <w:style w:type="paragraph" w:styleId="ListNumber4">
    <w:name w:val="List Number 4"/>
    <w:basedOn w:val="Normal"/>
    <w:uiPriority w:val="99"/>
    <w:rsid w:val="00772F15"/>
    <w:pPr>
      <w:tabs>
        <w:tab w:val="num" w:pos="1209"/>
      </w:tabs>
      <w:ind w:left="1209" w:hanging="360"/>
    </w:pPr>
  </w:style>
  <w:style w:type="paragraph" w:styleId="ListNumber5">
    <w:name w:val="List Number 5"/>
    <w:basedOn w:val="Normal"/>
    <w:uiPriority w:val="99"/>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43C52"/>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43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3F43B0"/>
  </w:style>
  <w:style w:type="character" w:customStyle="1" w:styleId="CharAmSchText">
    <w:name w:val="CharAmSchText"/>
    <w:basedOn w:val="OPCCharBase"/>
    <w:qFormat/>
    <w:rsid w:val="003F43B0"/>
  </w:style>
  <w:style w:type="character" w:customStyle="1" w:styleId="CharChapNo">
    <w:name w:val="CharChapNo"/>
    <w:basedOn w:val="OPCCharBase"/>
    <w:uiPriority w:val="1"/>
    <w:qFormat/>
    <w:rsid w:val="003F43B0"/>
  </w:style>
  <w:style w:type="character" w:customStyle="1" w:styleId="CharChapText">
    <w:name w:val="CharChapText"/>
    <w:basedOn w:val="OPCCharBase"/>
    <w:uiPriority w:val="1"/>
    <w:qFormat/>
    <w:rsid w:val="003F43B0"/>
  </w:style>
  <w:style w:type="character" w:customStyle="1" w:styleId="CharDivNo">
    <w:name w:val="CharDivNo"/>
    <w:basedOn w:val="OPCCharBase"/>
    <w:uiPriority w:val="1"/>
    <w:qFormat/>
    <w:rsid w:val="003F43B0"/>
  </w:style>
  <w:style w:type="character" w:customStyle="1" w:styleId="CharDivText">
    <w:name w:val="CharDivText"/>
    <w:basedOn w:val="OPCCharBase"/>
    <w:uiPriority w:val="1"/>
    <w:qFormat/>
    <w:rsid w:val="003F43B0"/>
  </w:style>
  <w:style w:type="character" w:customStyle="1" w:styleId="CharPartNo">
    <w:name w:val="CharPartNo"/>
    <w:basedOn w:val="OPCCharBase"/>
    <w:uiPriority w:val="1"/>
    <w:qFormat/>
    <w:rsid w:val="003F43B0"/>
  </w:style>
  <w:style w:type="character" w:customStyle="1" w:styleId="CharPartText">
    <w:name w:val="CharPartText"/>
    <w:basedOn w:val="OPCCharBase"/>
    <w:uiPriority w:val="1"/>
    <w:qFormat/>
    <w:rsid w:val="003F43B0"/>
  </w:style>
  <w:style w:type="character" w:customStyle="1" w:styleId="OPCCharBase">
    <w:name w:val="OPCCharBase"/>
    <w:uiPriority w:val="1"/>
    <w:qFormat/>
    <w:rsid w:val="003F43B0"/>
  </w:style>
  <w:style w:type="paragraph" w:customStyle="1" w:styleId="OPCParaBase">
    <w:name w:val="OPCParaBase"/>
    <w:qFormat/>
    <w:rsid w:val="003F43B0"/>
    <w:pPr>
      <w:spacing w:line="260" w:lineRule="atLeast"/>
    </w:pPr>
    <w:rPr>
      <w:sz w:val="22"/>
    </w:rPr>
  </w:style>
  <w:style w:type="character" w:customStyle="1" w:styleId="CharSectno">
    <w:name w:val="CharSectno"/>
    <w:basedOn w:val="OPCCharBase"/>
    <w:qFormat/>
    <w:rsid w:val="003F4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3F43B0"/>
    <w:pPr>
      <w:spacing w:line="240" w:lineRule="auto"/>
      <w:ind w:left="1134"/>
    </w:pPr>
    <w:rPr>
      <w:sz w:val="20"/>
    </w:rPr>
  </w:style>
  <w:style w:type="paragraph" w:customStyle="1" w:styleId="ShortT">
    <w:name w:val="ShortT"/>
    <w:basedOn w:val="OPCParaBase"/>
    <w:next w:val="Normal"/>
    <w:qFormat/>
    <w:rsid w:val="003F43B0"/>
    <w:pPr>
      <w:spacing w:line="240" w:lineRule="auto"/>
    </w:pPr>
    <w:rPr>
      <w:b/>
      <w:sz w:val="40"/>
    </w:rPr>
  </w:style>
  <w:style w:type="paragraph" w:customStyle="1" w:styleId="Penalty">
    <w:name w:val="Penalty"/>
    <w:basedOn w:val="OPCParaBase"/>
    <w:rsid w:val="003F43B0"/>
    <w:pPr>
      <w:tabs>
        <w:tab w:val="left" w:pos="2977"/>
      </w:tabs>
      <w:spacing w:before="180" w:line="240" w:lineRule="auto"/>
      <w:ind w:left="1985" w:hanging="851"/>
    </w:pPr>
  </w:style>
  <w:style w:type="paragraph" w:customStyle="1" w:styleId="ActHead1">
    <w:name w:val="ActHead 1"/>
    <w:aliases w:val="c"/>
    <w:basedOn w:val="OPCParaBase"/>
    <w:next w:val="Normal"/>
    <w:qFormat/>
    <w:rsid w:val="003F4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F4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4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4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4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43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4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4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4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4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F43B0"/>
    <w:pPr>
      <w:spacing w:line="240" w:lineRule="auto"/>
    </w:pPr>
    <w:rPr>
      <w:sz w:val="20"/>
    </w:rPr>
  </w:style>
  <w:style w:type="paragraph" w:customStyle="1" w:styleId="ActHead2">
    <w:name w:val="ActHead 2"/>
    <w:aliases w:val="p"/>
    <w:basedOn w:val="OPCParaBase"/>
    <w:next w:val="ActHead3"/>
    <w:qFormat/>
    <w:rsid w:val="003F4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F4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styleId="ListParagraph">
    <w:name w:val="List Paragraph"/>
    <w:basedOn w:val="Normal"/>
    <w:uiPriority w:val="34"/>
    <w:qFormat/>
    <w:rsid w:val="00E81A93"/>
    <w:pPr>
      <w:numPr>
        <w:numId w:val="16"/>
      </w:numPr>
      <w:spacing w:after="200" w:line="276" w:lineRule="auto"/>
    </w:pPr>
    <w:rPr>
      <w:rFonts w:ascii="Arial" w:eastAsia="Calibri" w:hAnsi="Arial"/>
      <w:szCs w:val="22"/>
    </w:rPr>
  </w:style>
  <w:style w:type="paragraph" w:customStyle="1" w:styleId="ActHead3">
    <w:name w:val="ActHead 3"/>
    <w:aliases w:val="d"/>
    <w:basedOn w:val="OPCParaBase"/>
    <w:next w:val="ActHead4"/>
    <w:qFormat/>
    <w:rsid w:val="003F4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4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F4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4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4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4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4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43B0"/>
  </w:style>
  <w:style w:type="paragraph" w:customStyle="1" w:styleId="Blocks">
    <w:name w:val="Blocks"/>
    <w:aliases w:val="bb"/>
    <w:basedOn w:val="OPCParaBase"/>
    <w:qFormat/>
    <w:rsid w:val="003F43B0"/>
    <w:pPr>
      <w:spacing w:line="240" w:lineRule="auto"/>
    </w:pPr>
    <w:rPr>
      <w:sz w:val="24"/>
    </w:rPr>
  </w:style>
  <w:style w:type="paragraph" w:customStyle="1" w:styleId="BoxText">
    <w:name w:val="BoxText"/>
    <w:aliases w:val="bt"/>
    <w:basedOn w:val="OPCParaBase"/>
    <w:qFormat/>
    <w:rsid w:val="003F4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43B0"/>
    <w:rPr>
      <w:b/>
    </w:rPr>
  </w:style>
  <w:style w:type="paragraph" w:customStyle="1" w:styleId="BoxHeadItalic">
    <w:name w:val="BoxHeadItalic"/>
    <w:aliases w:val="bhi"/>
    <w:basedOn w:val="BoxText"/>
    <w:next w:val="BoxStep"/>
    <w:qFormat/>
    <w:rsid w:val="003F43B0"/>
    <w:rPr>
      <w:i/>
    </w:rPr>
  </w:style>
  <w:style w:type="paragraph" w:customStyle="1" w:styleId="BoxList">
    <w:name w:val="BoxList"/>
    <w:aliases w:val="bl"/>
    <w:basedOn w:val="BoxText"/>
    <w:qFormat/>
    <w:rsid w:val="003F43B0"/>
    <w:pPr>
      <w:ind w:left="1559" w:hanging="425"/>
    </w:pPr>
  </w:style>
  <w:style w:type="paragraph" w:customStyle="1" w:styleId="BoxNote">
    <w:name w:val="BoxNote"/>
    <w:aliases w:val="bn"/>
    <w:basedOn w:val="BoxText"/>
    <w:qFormat/>
    <w:rsid w:val="003F43B0"/>
    <w:pPr>
      <w:tabs>
        <w:tab w:val="left" w:pos="1985"/>
      </w:tabs>
      <w:spacing w:before="122" w:line="198" w:lineRule="exact"/>
      <w:ind w:left="2948" w:hanging="1814"/>
    </w:pPr>
    <w:rPr>
      <w:sz w:val="18"/>
    </w:rPr>
  </w:style>
  <w:style w:type="paragraph" w:customStyle="1" w:styleId="BoxPara">
    <w:name w:val="BoxPara"/>
    <w:aliases w:val="bp"/>
    <w:basedOn w:val="BoxText"/>
    <w:qFormat/>
    <w:rsid w:val="003F43B0"/>
    <w:pPr>
      <w:tabs>
        <w:tab w:val="right" w:pos="2268"/>
      </w:tabs>
      <w:ind w:left="2552" w:hanging="1418"/>
    </w:pPr>
  </w:style>
  <w:style w:type="paragraph" w:customStyle="1" w:styleId="BoxStep">
    <w:name w:val="BoxStep"/>
    <w:aliases w:val="bs"/>
    <w:basedOn w:val="BoxText"/>
    <w:qFormat/>
    <w:rsid w:val="003F43B0"/>
    <w:pPr>
      <w:ind w:left="1985" w:hanging="851"/>
    </w:pPr>
  </w:style>
  <w:style w:type="character" w:customStyle="1" w:styleId="CharAmPartNo">
    <w:name w:val="CharAmPartNo"/>
    <w:basedOn w:val="OPCCharBase"/>
    <w:qFormat/>
    <w:rsid w:val="003F43B0"/>
  </w:style>
  <w:style w:type="character" w:customStyle="1" w:styleId="CharAmPartText">
    <w:name w:val="CharAmPartText"/>
    <w:basedOn w:val="OPCCharBase"/>
    <w:qFormat/>
    <w:rsid w:val="003F43B0"/>
  </w:style>
  <w:style w:type="character" w:customStyle="1" w:styleId="CharBoldItalic">
    <w:name w:val="CharBoldItalic"/>
    <w:basedOn w:val="OPCCharBase"/>
    <w:uiPriority w:val="1"/>
    <w:qFormat/>
    <w:rsid w:val="003F43B0"/>
    <w:rPr>
      <w:b/>
      <w:i/>
    </w:rPr>
  </w:style>
  <w:style w:type="character" w:customStyle="1" w:styleId="CharItalic">
    <w:name w:val="CharItalic"/>
    <w:basedOn w:val="OPCCharBase"/>
    <w:uiPriority w:val="1"/>
    <w:qFormat/>
    <w:rsid w:val="003F43B0"/>
    <w:rPr>
      <w:i/>
    </w:rPr>
  </w:style>
  <w:style w:type="character" w:customStyle="1" w:styleId="CharSubdNo">
    <w:name w:val="CharSubdNo"/>
    <w:basedOn w:val="OPCCharBase"/>
    <w:uiPriority w:val="1"/>
    <w:qFormat/>
    <w:rsid w:val="003F43B0"/>
  </w:style>
  <w:style w:type="character" w:customStyle="1" w:styleId="CharSubdText">
    <w:name w:val="CharSubdText"/>
    <w:basedOn w:val="OPCCharBase"/>
    <w:uiPriority w:val="1"/>
    <w:qFormat/>
    <w:rsid w:val="003F43B0"/>
  </w:style>
  <w:style w:type="paragraph" w:customStyle="1" w:styleId="CTA--">
    <w:name w:val="CTA --"/>
    <w:basedOn w:val="OPCParaBase"/>
    <w:next w:val="Normal"/>
    <w:rsid w:val="003F43B0"/>
    <w:pPr>
      <w:spacing w:before="60" w:line="240" w:lineRule="atLeast"/>
      <w:ind w:left="142" w:hanging="142"/>
    </w:pPr>
    <w:rPr>
      <w:sz w:val="20"/>
    </w:rPr>
  </w:style>
  <w:style w:type="paragraph" w:customStyle="1" w:styleId="CTA-">
    <w:name w:val="CTA -"/>
    <w:basedOn w:val="OPCParaBase"/>
    <w:rsid w:val="003F43B0"/>
    <w:pPr>
      <w:spacing w:before="60" w:line="240" w:lineRule="atLeast"/>
      <w:ind w:left="85" w:hanging="85"/>
    </w:pPr>
    <w:rPr>
      <w:sz w:val="20"/>
    </w:rPr>
  </w:style>
  <w:style w:type="paragraph" w:customStyle="1" w:styleId="CTA---">
    <w:name w:val="CTA ---"/>
    <w:basedOn w:val="OPCParaBase"/>
    <w:next w:val="Normal"/>
    <w:rsid w:val="003F43B0"/>
    <w:pPr>
      <w:spacing w:before="60" w:line="240" w:lineRule="atLeast"/>
      <w:ind w:left="198" w:hanging="198"/>
    </w:pPr>
    <w:rPr>
      <w:sz w:val="20"/>
    </w:rPr>
  </w:style>
  <w:style w:type="paragraph" w:customStyle="1" w:styleId="CTA----">
    <w:name w:val="CTA ----"/>
    <w:basedOn w:val="OPCParaBase"/>
    <w:next w:val="Normal"/>
    <w:rsid w:val="003F43B0"/>
    <w:pPr>
      <w:spacing w:before="60" w:line="240" w:lineRule="atLeast"/>
      <w:ind w:left="255" w:hanging="255"/>
    </w:pPr>
    <w:rPr>
      <w:sz w:val="20"/>
    </w:rPr>
  </w:style>
  <w:style w:type="paragraph" w:customStyle="1" w:styleId="CTA1a">
    <w:name w:val="CTA 1(a)"/>
    <w:basedOn w:val="OPCParaBase"/>
    <w:rsid w:val="003F43B0"/>
    <w:pPr>
      <w:tabs>
        <w:tab w:val="right" w:pos="414"/>
      </w:tabs>
      <w:spacing w:before="40" w:line="240" w:lineRule="atLeast"/>
      <w:ind w:left="675" w:hanging="675"/>
    </w:pPr>
    <w:rPr>
      <w:sz w:val="20"/>
    </w:rPr>
  </w:style>
  <w:style w:type="paragraph" w:customStyle="1" w:styleId="CTA1ai">
    <w:name w:val="CTA 1(a)(i)"/>
    <w:basedOn w:val="OPCParaBase"/>
    <w:rsid w:val="003F43B0"/>
    <w:pPr>
      <w:tabs>
        <w:tab w:val="right" w:pos="1004"/>
      </w:tabs>
      <w:spacing w:before="40" w:line="240" w:lineRule="atLeast"/>
      <w:ind w:left="1253" w:hanging="1253"/>
    </w:pPr>
    <w:rPr>
      <w:sz w:val="20"/>
    </w:rPr>
  </w:style>
  <w:style w:type="paragraph" w:customStyle="1" w:styleId="CTA2a">
    <w:name w:val="CTA 2(a)"/>
    <w:basedOn w:val="OPCParaBase"/>
    <w:rsid w:val="003F43B0"/>
    <w:pPr>
      <w:tabs>
        <w:tab w:val="right" w:pos="482"/>
      </w:tabs>
      <w:spacing w:before="40" w:line="240" w:lineRule="atLeast"/>
      <w:ind w:left="748" w:hanging="748"/>
    </w:pPr>
    <w:rPr>
      <w:sz w:val="20"/>
    </w:rPr>
  </w:style>
  <w:style w:type="paragraph" w:customStyle="1" w:styleId="CTA2ai">
    <w:name w:val="CTA 2(a)(i)"/>
    <w:basedOn w:val="OPCParaBase"/>
    <w:rsid w:val="003F43B0"/>
    <w:pPr>
      <w:tabs>
        <w:tab w:val="right" w:pos="1089"/>
      </w:tabs>
      <w:spacing w:before="40" w:line="240" w:lineRule="atLeast"/>
      <w:ind w:left="1327" w:hanging="1327"/>
    </w:pPr>
    <w:rPr>
      <w:sz w:val="20"/>
    </w:rPr>
  </w:style>
  <w:style w:type="paragraph" w:customStyle="1" w:styleId="CTA3a">
    <w:name w:val="CTA 3(a)"/>
    <w:basedOn w:val="OPCParaBase"/>
    <w:rsid w:val="003F43B0"/>
    <w:pPr>
      <w:tabs>
        <w:tab w:val="right" w:pos="556"/>
      </w:tabs>
      <w:spacing w:before="40" w:line="240" w:lineRule="atLeast"/>
      <w:ind w:left="805" w:hanging="805"/>
    </w:pPr>
    <w:rPr>
      <w:sz w:val="20"/>
    </w:rPr>
  </w:style>
  <w:style w:type="paragraph" w:customStyle="1" w:styleId="CTA3ai">
    <w:name w:val="CTA 3(a)(i)"/>
    <w:basedOn w:val="OPCParaBase"/>
    <w:rsid w:val="003F43B0"/>
    <w:pPr>
      <w:tabs>
        <w:tab w:val="right" w:pos="1140"/>
      </w:tabs>
      <w:spacing w:before="40" w:line="240" w:lineRule="atLeast"/>
      <w:ind w:left="1361" w:hanging="1361"/>
    </w:pPr>
    <w:rPr>
      <w:sz w:val="20"/>
    </w:rPr>
  </w:style>
  <w:style w:type="paragraph" w:customStyle="1" w:styleId="CTA4a">
    <w:name w:val="CTA 4(a)"/>
    <w:basedOn w:val="OPCParaBase"/>
    <w:rsid w:val="003F43B0"/>
    <w:pPr>
      <w:tabs>
        <w:tab w:val="right" w:pos="624"/>
      </w:tabs>
      <w:spacing w:before="40" w:line="240" w:lineRule="atLeast"/>
      <w:ind w:left="873" w:hanging="873"/>
    </w:pPr>
    <w:rPr>
      <w:sz w:val="20"/>
    </w:rPr>
  </w:style>
  <w:style w:type="paragraph" w:customStyle="1" w:styleId="CTA4ai">
    <w:name w:val="CTA 4(a)(i)"/>
    <w:basedOn w:val="OPCParaBase"/>
    <w:rsid w:val="003F43B0"/>
    <w:pPr>
      <w:tabs>
        <w:tab w:val="right" w:pos="1213"/>
      </w:tabs>
      <w:spacing w:before="40" w:line="240" w:lineRule="atLeast"/>
      <w:ind w:left="1452" w:hanging="1452"/>
    </w:pPr>
    <w:rPr>
      <w:sz w:val="20"/>
    </w:rPr>
  </w:style>
  <w:style w:type="paragraph" w:customStyle="1" w:styleId="CTACAPS">
    <w:name w:val="CTA CAPS"/>
    <w:basedOn w:val="OPCParaBase"/>
    <w:rsid w:val="003F43B0"/>
    <w:pPr>
      <w:spacing w:before="60" w:line="240" w:lineRule="atLeast"/>
    </w:pPr>
    <w:rPr>
      <w:sz w:val="20"/>
    </w:rPr>
  </w:style>
  <w:style w:type="paragraph" w:customStyle="1" w:styleId="CTAright">
    <w:name w:val="CTA right"/>
    <w:basedOn w:val="OPCParaBase"/>
    <w:rsid w:val="003F43B0"/>
    <w:pPr>
      <w:spacing w:before="60" w:line="240" w:lineRule="auto"/>
      <w:jc w:val="right"/>
    </w:pPr>
    <w:rPr>
      <w:sz w:val="20"/>
    </w:rPr>
  </w:style>
  <w:style w:type="paragraph" w:customStyle="1" w:styleId="subsection">
    <w:name w:val="subsection"/>
    <w:aliases w:val="ss"/>
    <w:basedOn w:val="OPCParaBase"/>
    <w:link w:val="subsectionChar"/>
    <w:rsid w:val="003F43B0"/>
    <w:pPr>
      <w:tabs>
        <w:tab w:val="right" w:pos="1021"/>
      </w:tabs>
      <w:spacing w:before="180" w:line="240" w:lineRule="auto"/>
      <w:ind w:left="1134" w:hanging="1134"/>
    </w:pPr>
  </w:style>
  <w:style w:type="paragraph" w:customStyle="1" w:styleId="Definition">
    <w:name w:val="Definition"/>
    <w:aliases w:val="dd"/>
    <w:basedOn w:val="OPCParaBase"/>
    <w:rsid w:val="003F43B0"/>
    <w:pPr>
      <w:spacing w:before="180" w:line="240" w:lineRule="auto"/>
      <w:ind w:left="1134"/>
    </w:pPr>
  </w:style>
  <w:style w:type="paragraph" w:customStyle="1" w:styleId="ETAsubitem">
    <w:name w:val="ETA(subitem)"/>
    <w:basedOn w:val="OPCParaBase"/>
    <w:rsid w:val="003F43B0"/>
    <w:pPr>
      <w:tabs>
        <w:tab w:val="right" w:pos="340"/>
      </w:tabs>
      <w:spacing w:before="60" w:line="240" w:lineRule="auto"/>
      <w:ind w:left="454" w:hanging="454"/>
    </w:pPr>
    <w:rPr>
      <w:sz w:val="20"/>
    </w:rPr>
  </w:style>
  <w:style w:type="paragraph" w:customStyle="1" w:styleId="ETApara">
    <w:name w:val="ETA(para)"/>
    <w:basedOn w:val="OPCParaBase"/>
    <w:rsid w:val="003F43B0"/>
    <w:pPr>
      <w:tabs>
        <w:tab w:val="right" w:pos="754"/>
      </w:tabs>
      <w:spacing w:before="60" w:line="240" w:lineRule="auto"/>
      <w:ind w:left="828" w:hanging="828"/>
    </w:pPr>
    <w:rPr>
      <w:sz w:val="20"/>
    </w:rPr>
  </w:style>
  <w:style w:type="paragraph" w:customStyle="1" w:styleId="ETAsubpara">
    <w:name w:val="ETA(subpara)"/>
    <w:basedOn w:val="OPCParaBase"/>
    <w:rsid w:val="003F43B0"/>
    <w:pPr>
      <w:tabs>
        <w:tab w:val="right" w:pos="1083"/>
      </w:tabs>
      <w:spacing w:before="60" w:line="240" w:lineRule="auto"/>
      <w:ind w:left="1191" w:hanging="1191"/>
    </w:pPr>
    <w:rPr>
      <w:sz w:val="20"/>
    </w:rPr>
  </w:style>
  <w:style w:type="paragraph" w:customStyle="1" w:styleId="ETAsub-subpara">
    <w:name w:val="ETA(sub-subpara)"/>
    <w:basedOn w:val="OPCParaBase"/>
    <w:rsid w:val="003F43B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F43B0"/>
    <w:rPr>
      <w:sz w:val="16"/>
    </w:rPr>
  </w:style>
  <w:style w:type="paragraph" w:customStyle="1" w:styleId="House">
    <w:name w:val="House"/>
    <w:basedOn w:val="OPCParaBase"/>
    <w:rsid w:val="003F43B0"/>
    <w:pPr>
      <w:spacing w:line="240" w:lineRule="auto"/>
    </w:pPr>
    <w:rPr>
      <w:sz w:val="28"/>
    </w:rPr>
  </w:style>
  <w:style w:type="paragraph" w:customStyle="1" w:styleId="Item">
    <w:name w:val="Item"/>
    <w:aliases w:val="i"/>
    <w:basedOn w:val="OPCParaBase"/>
    <w:next w:val="ItemHead"/>
    <w:rsid w:val="003F43B0"/>
    <w:pPr>
      <w:keepLines/>
      <w:spacing w:before="80" w:line="240" w:lineRule="auto"/>
      <w:ind w:left="709"/>
    </w:pPr>
  </w:style>
  <w:style w:type="paragraph" w:customStyle="1" w:styleId="ItemHead">
    <w:name w:val="ItemHead"/>
    <w:aliases w:val="ih"/>
    <w:basedOn w:val="OPCParaBase"/>
    <w:next w:val="Item"/>
    <w:rsid w:val="003F4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43B0"/>
    <w:pPr>
      <w:spacing w:line="240" w:lineRule="auto"/>
    </w:pPr>
    <w:rPr>
      <w:b/>
      <w:sz w:val="32"/>
    </w:rPr>
  </w:style>
  <w:style w:type="paragraph" w:customStyle="1" w:styleId="notedraft">
    <w:name w:val="note(draft)"/>
    <w:aliases w:val="nd"/>
    <w:basedOn w:val="OPCParaBase"/>
    <w:rsid w:val="003F43B0"/>
    <w:pPr>
      <w:spacing w:before="240" w:line="240" w:lineRule="auto"/>
      <w:ind w:left="284" w:hanging="284"/>
    </w:pPr>
    <w:rPr>
      <w:i/>
      <w:sz w:val="24"/>
    </w:rPr>
  </w:style>
  <w:style w:type="paragraph" w:customStyle="1" w:styleId="notemargin">
    <w:name w:val="note(margin)"/>
    <w:aliases w:val="nm"/>
    <w:basedOn w:val="OPCParaBase"/>
    <w:rsid w:val="003F43B0"/>
    <w:pPr>
      <w:tabs>
        <w:tab w:val="left" w:pos="709"/>
      </w:tabs>
      <w:spacing w:before="122" w:line="198" w:lineRule="exact"/>
      <w:ind w:left="709" w:hanging="709"/>
    </w:pPr>
    <w:rPr>
      <w:sz w:val="18"/>
    </w:rPr>
  </w:style>
  <w:style w:type="paragraph" w:customStyle="1" w:styleId="notepara">
    <w:name w:val="note(para)"/>
    <w:aliases w:val="na"/>
    <w:basedOn w:val="OPCParaBase"/>
    <w:rsid w:val="003F43B0"/>
    <w:pPr>
      <w:spacing w:before="40" w:line="198" w:lineRule="exact"/>
      <w:ind w:left="2354" w:hanging="369"/>
    </w:pPr>
    <w:rPr>
      <w:sz w:val="18"/>
    </w:rPr>
  </w:style>
  <w:style w:type="paragraph" w:customStyle="1" w:styleId="noteParlAmend">
    <w:name w:val="note(ParlAmend)"/>
    <w:aliases w:val="npp"/>
    <w:basedOn w:val="OPCParaBase"/>
    <w:next w:val="ParlAmend"/>
    <w:rsid w:val="003F43B0"/>
    <w:pPr>
      <w:spacing w:line="240" w:lineRule="auto"/>
      <w:jc w:val="right"/>
    </w:pPr>
    <w:rPr>
      <w:rFonts w:ascii="Arial" w:hAnsi="Arial"/>
      <w:b/>
      <w:i/>
    </w:rPr>
  </w:style>
  <w:style w:type="paragraph" w:customStyle="1" w:styleId="notetext">
    <w:name w:val="note(text)"/>
    <w:aliases w:val="n"/>
    <w:basedOn w:val="OPCParaBase"/>
    <w:rsid w:val="003F43B0"/>
    <w:pPr>
      <w:spacing w:before="122" w:line="198" w:lineRule="exact"/>
      <w:ind w:left="1985" w:hanging="851"/>
    </w:pPr>
    <w:rPr>
      <w:sz w:val="18"/>
    </w:rPr>
  </w:style>
  <w:style w:type="paragraph" w:customStyle="1" w:styleId="Page1">
    <w:name w:val="Page1"/>
    <w:basedOn w:val="OPCParaBase"/>
    <w:rsid w:val="003F43B0"/>
    <w:pPr>
      <w:spacing w:before="5600" w:line="240" w:lineRule="auto"/>
    </w:pPr>
    <w:rPr>
      <w:b/>
      <w:sz w:val="32"/>
    </w:rPr>
  </w:style>
  <w:style w:type="paragraph" w:customStyle="1" w:styleId="paragraphsub">
    <w:name w:val="paragraph(sub)"/>
    <w:aliases w:val="aa"/>
    <w:basedOn w:val="OPCParaBase"/>
    <w:rsid w:val="003F43B0"/>
    <w:pPr>
      <w:tabs>
        <w:tab w:val="right" w:pos="1985"/>
      </w:tabs>
      <w:spacing w:before="40" w:line="240" w:lineRule="auto"/>
      <w:ind w:left="2098" w:hanging="2098"/>
    </w:pPr>
  </w:style>
  <w:style w:type="paragraph" w:customStyle="1" w:styleId="paragraphsub-sub">
    <w:name w:val="paragraph(sub-sub)"/>
    <w:aliases w:val="aaa"/>
    <w:basedOn w:val="OPCParaBase"/>
    <w:rsid w:val="003F43B0"/>
    <w:pPr>
      <w:tabs>
        <w:tab w:val="right" w:pos="2722"/>
      </w:tabs>
      <w:spacing w:before="40" w:line="240" w:lineRule="auto"/>
      <w:ind w:left="2835" w:hanging="2835"/>
    </w:pPr>
  </w:style>
  <w:style w:type="paragraph" w:customStyle="1" w:styleId="paragraph">
    <w:name w:val="paragraph"/>
    <w:aliases w:val="a"/>
    <w:basedOn w:val="OPCParaBase"/>
    <w:rsid w:val="003F43B0"/>
    <w:pPr>
      <w:tabs>
        <w:tab w:val="right" w:pos="1531"/>
      </w:tabs>
      <w:spacing w:before="40" w:line="240" w:lineRule="auto"/>
      <w:ind w:left="1644" w:hanging="1644"/>
    </w:pPr>
  </w:style>
  <w:style w:type="paragraph" w:customStyle="1" w:styleId="ParlAmend">
    <w:name w:val="ParlAmend"/>
    <w:aliases w:val="pp"/>
    <w:basedOn w:val="OPCParaBase"/>
    <w:rsid w:val="003F43B0"/>
    <w:pPr>
      <w:spacing w:before="240" w:line="240" w:lineRule="atLeast"/>
      <w:ind w:hanging="567"/>
    </w:pPr>
    <w:rPr>
      <w:sz w:val="24"/>
    </w:rPr>
  </w:style>
  <w:style w:type="paragraph" w:customStyle="1" w:styleId="Portfolio">
    <w:name w:val="Portfolio"/>
    <w:basedOn w:val="OPCParaBase"/>
    <w:rsid w:val="003F43B0"/>
    <w:pPr>
      <w:spacing w:line="240" w:lineRule="auto"/>
    </w:pPr>
    <w:rPr>
      <w:i/>
      <w:sz w:val="20"/>
    </w:rPr>
  </w:style>
  <w:style w:type="paragraph" w:customStyle="1" w:styleId="Preamble">
    <w:name w:val="Preamble"/>
    <w:basedOn w:val="OPCParaBase"/>
    <w:next w:val="Normal"/>
    <w:rsid w:val="003F4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43B0"/>
    <w:pPr>
      <w:spacing w:line="240" w:lineRule="auto"/>
    </w:pPr>
    <w:rPr>
      <w:i/>
      <w:sz w:val="20"/>
    </w:rPr>
  </w:style>
  <w:style w:type="paragraph" w:customStyle="1" w:styleId="Session">
    <w:name w:val="Session"/>
    <w:basedOn w:val="OPCParaBase"/>
    <w:rsid w:val="003F43B0"/>
    <w:pPr>
      <w:spacing w:line="240" w:lineRule="auto"/>
    </w:pPr>
    <w:rPr>
      <w:sz w:val="28"/>
    </w:rPr>
  </w:style>
  <w:style w:type="paragraph" w:customStyle="1" w:styleId="Sponsor">
    <w:name w:val="Sponsor"/>
    <w:basedOn w:val="OPCParaBase"/>
    <w:rsid w:val="003F43B0"/>
    <w:pPr>
      <w:spacing w:line="240" w:lineRule="auto"/>
    </w:pPr>
    <w:rPr>
      <w:i/>
    </w:rPr>
  </w:style>
  <w:style w:type="paragraph" w:customStyle="1" w:styleId="Subitem">
    <w:name w:val="Subitem"/>
    <w:aliases w:val="iss"/>
    <w:basedOn w:val="OPCParaBase"/>
    <w:rsid w:val="003F43B0"/>
    <w:pPr>
      <w:spacing w:before="180" w:line="240" w:lineRule="auto"/>
      <w:ind w:left="709" w:hanging="709"/>
    </w:pPr>
  </w:style>
  <w:style w:type="paragraph" w:customStyle="1" w:styleId="SubitemHead">
    <w:name w:val="SubitemHead"/>
    <w:aliases w:val="issh"/>
    <w:basedOn w:val="OPCParaBase"/>
    <w:rsid w:val="003F4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43B0"/>
    <w:pPr>
      <w:spacing w:before="40" w:line="240" w:lineRule="auto"/>
      <w:ind w:left="1134"/>
    </w:pPr>
  </w:style>
  <w:style w:type="paragraph" w:customStyle="1" w:styleId="SubsectionHead">
    <w:name w:val="SubsectionHead"/>
    <w:aliases w:val="ssh"/>
    <w:basedOn w:val="OPCParaBase"/>
    <w:next w:val="subsection"/>
    <w:rsid w:val="003F43B0"/>
    <w:pPr>
      <w:keepNext/>
      <w:keepLines/>
      <w:spacing w:before="240" w:line="240" w:lineRule="auto"/>
      <w:ind w:left="1134"/>
    </w:pPr>
    <w:rPr>
      <w:i/>
    </w:rPr>
  </w:style>
  <w:style w:type="paragraph" w:customStyle="1" w:styleId="Tablea">
    <w:name w:val="Table(a)"/>
    <w:aliases w:val="ta"/>
    <w:basedOn w:val="OPCParaBase"/>
    <w:rsid w:val="003F43B0"/>
    <w:pPr>
      <w:spacing w:before="60" w:line="240" w:lineRule="auto"/>
      <w:ind w:left="284" w:hanging="284"/>
    </w:pPr>
    <w:rPr>
      <w:sz w:val="20"/>
    </w:rPr>
  </w:style>
  <w:style w:type="paragraph" w:customStyle="1" w:styleId="TableAA">
    <w:name w:val="Table(AA)"/>
    <w:aliases w:val="taaa"/>
    <w:basedOn w:val="OPCParaBase"/>
    <w:rsid w:val="003F4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4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43B0"/>
    <w:pPr>
      <w:spacing w:before="60" w:line="240" w:lineRule="atLeast"/>
    </w:pPr>
    <w:rPr>
      <w:sz w:val="20"/>
    </w:rPr>
  </w:style>
  <w:style w:type="paragraph" w:customStyle="1" w:styleId="TLPBoxTextnote">
    <w:name w:val="TLPBoxText(note"/>
    <w:aliases w:val="right)"/>
    <w:basedOn w:val="OPCParaBase"/>
    <w:rsid w:val="003F4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43B0"/>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43B0"/>
    <w:pPr>
      <w:spacing w:before="122" w:line="198" w:lineRule="exact"/>
      <w:ind w:left="1985" w:hanging="851"/>
      <w:jc w:val="right"/>
    </w:pPr>
    <w:rPr>
      <w:sz w:val="18"/>
    </w:rPr>
  </w:style>
  <w:style w:type="paragraph" w:customStyle="1" w:styleId="TLPTableBullet">
    <w:name w:val="TLPTableBullet"/>
    <w:aliases w:val="ttb"/>
    <w:basedOn w:val="OPCParaBase"/>
    <w:rsid w:val="003F43B0"/>
    <w:pPr>
      <w:spacing w:line="240" w:lineRule="exact"/>
      <w:ind w:left="284" w:hanging="284"/>
    </w:pPr>
    <w:rPr>
      <w:sz w:val="20"/>
    </w:rPr>
  </w:style>
  <w:style w:type="paragraph" w:customStyle="1" w:styleId="TofSectsGroupHeading">
    <w:name w:val="TofSects(GroupHeading)"/>
    <w:basedOn w:val="OPCParaBase"/>
    <w:next w:val="TofSectsSection"/>
    <w:rsid w:val="003F43B0"/>
    <w:pPr>
      <w:keepLines/>
      <w:spacing w:before="240" w:after="120" w:line="240" w:lineRule="auto"/>
      <w:ind w:left="794"/>
    </w:pPr>
    <w:rPr>
      <w:b/>
      <w:kern w:val="28"/>
      <w:sz w:val="20"/>
    </w:rPr>
  </w:style>
  <w:style w:type="paragraph" w:customStyle="1" w:styleId="TofSectsHeading">
    <w:name w:val="TofSects(Heading)"/>
    <w:basedOn w:val="OPCParaBase"/>
    <w:rsid w:val="003F43B0"/>
    <w:pPr>
      <w:spacing w:before="240" w:after="120" w:line="240" w:lineRule="auto"/>
    </w:pPr>
    <w:rPr>
      <w:b/>
      <w:sz w:val="24"/>
    </w:rPr>
  </w:style>
  <w:style w:type="paragraph" w:customStyle="1" w:styleId="TofSectsSection">
    <w:name w:val="TofSects(Section)"/>
    <w:basedOn w:val="OPCParaBase"/>
    <w:rsid w:val="003F43B0"/>
    <w:pPr>
      <w:keepLines/>
      <w:spacing w:before="40" w:line="240" w:lineRule="auto"/>
      <w:ind w:left="1588" w:hanging="794"/>
    </w:pPr>
    <w:rPr>
      <w:kern w:val="28"/>
      <w:sz w:val="18"/>
    </w:rPr>
  </w:style>
  <w:style w:type="paragraph" w:customStyle="1" w:styleId="TofSectsSubdiv">
    <w:name w:val="TofSects(Subdiv)"/>
    <w:basedOn w:val="OPCParaBase"/>
    <w:rsid w:val="003F43B0"/>
    <w:pPr>
      <w:keepLines/>
      <w:spacing w:before="80" w:line="240" w:lineRule="auto"/>
      <w:ind w:left="1588" w:hanging="794"/>
    </w:pPr>
    <w:rPr>
      <w:kern w:val="28"/>
    </w:rPr>
  </w:style>
  <w:style w:type="paragraph" w:customStyle="1" w:styleId="WRStyle">
    <w:name w:val="WR Style"/>
    <w:aliases w:val="WR"/>
    <w:basedOn w:val="OPCParaBase"/>
    <w:rsid w:val="003F43B0"/>
    <w:pPr>
      <w:spacing w:before="240" w:line="240" w:lineRule="auto"/>
      <w:ind w:left="284" w:hanging="284"/>
    </w:pPr>
    <w:rPr>
      <w:b/>
      <w:i/>
      <w:kern w:val="28"/>
      <w:sz w:val="24"/>
    </w:rPr>
  </w:style>
  <w:style w:type="numbering" w:customStyle="1" w:styleId="OPCBodyList">
    <w:name w:val="OPCBodyList"/>
    <w:uiPriority w:val="99"/>
    <w:rsid w:val="00443C52"/>
    <w:pPr>
      <w:numPr>
        <w:numId w:val="29"/>
      </w:numPr>
    </w:pPr>
  </w:style>
  <w:style w:type="paragraph" w:customStyle="1" w:styleId="noteToPara">
    <w:name w:val="noteToPara"/>
    <w:aliases w:val="ntp"/>
    <w:basedOn w:val="OPCParaBase"/>
    <w:rsid w:val="003F43B0"/>
    <w:pPr>
      <w:spacing w:before="122" w:line="198" w:lineRule="exact"/>
      <w:ind w:left="2353" w:hanging="709"/>
    </w:pPr>
    <w:rPr>
      <w:sz w:val="18"/>
    </w:rPr>
  </w:style>
  <w:style w:type="character" w:customStyle="1" w:styleId="FooterChar">
    <w:name w:val="Footer Char"/>
    <w:basedOn w:val="DefaultParagraphFont"/>
    <w:link w:val="Footer"/>
    <w:rsid w:val="003F43B0"/>
    <w:rPr>
      <w:sz w:val="22"/>
      <w:szCs w:val="24"/>
    </w:rPr>
  </w:style>
  <w:style w:type="character" w:customStyle="1" w:styleId="BalloonTextChar">
    <w:name w:val="Balloon Text Char"/>
    <w:basedOn w:val="DefaultParagraphFont"/>
    <w:link w:val="BalloonText"/>
    <w:uiPriority w:val="99"/>
    <w:rsid w:val="003F43B0"/>
    <w:rPr>
      <w:rFonts w:ascii="Tahoma" w:eastAsiaTheme="minorHAnsi" w:hAnsi="Tahoma" w:cs="Tahoma"/>
      <w:sz w:val="16"/>
      <w:szCs w:val="16"/>
      <w:lang w:eastAsia="en-US"/>
    </w:rPr>
  </w:style>
  <w:style w:type="table" w:customStyle="1" w:styleId="CFlag">
    <w:name w:val="CFlag"/>
    <w:basedOn w:val="TableNormal"/>
    <w:uiPriority w:val="99"/>
    <w:rsid w:val="003F43B0"/>
    <w:tblPr>
      <w:tblInd w:w="0" w:type="dxa"/>
      <w:tblCellMar>
        <w:top w:w="0" w:type="dxa"/>
        <w:left w:w="108" w:type="dxa"/>
        <w:bottom w:w="0" w:type="dxa"/>
        <w:right w:w="108" w:type="dxa"/>
      </w:tblCellMar>
    </w:tblPr>
  </w:style>
  <w:style w:type="paragraph" w:customStyle="1" w:styleId="InstNo">
    <w:name w:val="InstNo"/>
    <w:basedOn w:val="OPCParaBase"/>
    <w:next w:val="Normal"/>
    <w:rsid w:val="003F43B0"/>
    <w:rPr>
      <w:b/>
      <w:sz w:val="28"/>
      <w:szCs w:val="32"/>
    </w:rPr>
  </w:style>
  <w:style w:type="paragraph" w:customStyle="1" w:styleId="TerritoryT">
    <w:name w:val="TerritoryT"/>
    <w:basedOn w:val="OPCParaBase"/>
    <w:next w:val="Normal"/>
    <w:rsid w:val="003F43B0"/>
    <w:rPr>
      <w:b/>
      <w:sz w:val="32"/>
    </w:rPr>
  </w:style>
  <w:style w:type="paragraph" w:customStyle="1" w:styleId="LegislationMadeUnder">
    <w:name w:val="LegislationMadeUnder"/>
    <w:basedOn w:val="OPCParaBase"/>
    <w:next w:val="Normal"/>
    <w:rsid w:val="003F43B0"/>
    <w:rPr>
      <w:i/>
      <w:sz w:val="32"/>
      <w:szCs w:val="32"/>
    </w:rPr>
  </w:style>
  <w:style w:type="paragraph" w:customStyle="1" w:styleId="SignCoverPageEnd">
    <w:name w:val="SignCoverPageEnd"/>
    <w:basedOn w:val="OPCParaBase"/>
    <w:next w:val="Normal"/>
    <w:rsid w:val="003F4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F43B0"/>
    <w:pPr>
      <w:pBdr>
        <w:top w:val="single" w:sz="4" w:space="1" w:color="auto"/>
      </w:pBdr>
      <w:spacing w:before="360"/>
      <w:ind w:right="397"/>
      <w:jc w:val="both"/>
    </w:pPr>
  </w:style>
  <w:style w:type="paragraph" w:customStyle="1" w:styleId="NotesHeading1">
    <w:name w:val="NotesHeading 1"/>
    <w:basedOn w:val="OPCParaBase"/>
    <w:next w:val="Normal"/>
    <w:rsid w:val="003F43B0"/>
    <w:rPr>
      <w:b/>
      <w:sz w:val="28"/>
      <w:szCs w:val="28"/>
    </w:rPr>
  </w:style>
  <w:style w:type="paragraph" w:customStyle="1" w:styleId="NotesHeading2">
    <w:name w:val="NotesHeading 2"/>
    <w:basedOn w:val="OPCParaBase"/>
    <w:next w:val="Normal"/>
    <w:rsid w:val="003F43B0"/>
    <w:rPr>
      <w:b/>
      <w:sz w:val="28"/>
      <w:szCs w:val="28"/>
    </w:rPr>
  </w:style>
  <w:style w:type="paragraph" w:customStyle="1" w:styleId="ENotesHeading1">
    <w:name w:val="ENotesHeading 1"/>
    <w:aliases w:val="Enh1"/>
    <w:basedOn w:val="OPCParaBase"/>
    <w:next w:val="Normal"/>
    <w:rsid w:val="003F43B0"/>
    <w:pPr>
      <w:spacing w:before="120"/>
      <w:outlineLvl w:val="1"/>
    </w:pPr>
    <w:rPr>
      <w:b/>
      <w:sz w:val="28"/>
      <w:szCs w:val="28"/>
    </w:rPr>
  </w:style>
  <w:style w:type="paragraph" w:customStyle="1" w:styleId="ENotesHeading2">
    <w:name w:val="ENotesHeading 2"/>
    <w:aliases w:val="Enh2"/>
    <w:basedOn w:val="OPCParaBase"/>
    <w:next w:val="Normal"/>
    <w:rsid w:val="003F43B0"/>
    <w:pPr>
      <w:spacing w:before="120" w:after="120"/>
      <w:outlineLvl w:val="2"/>
    </w:pPr>
    <w:rPr>
      <w:b/>
      <w:sz w:val="24"/>
      <w:szCs w:val="28"/>
    </w:rPr>
  </w:style>
  <w:style w:type="paragraph" w:customStyle="1" w:styleId="ENotesHeading3">
    <w:name w:val="ENotesHeading 3"/>
    <w:aliases w:val="Enh3"/>
    <w:basedOn w:val="OPCParaBase"/>
    <w:next w:val="Normal"/>
    <w:rsid w:val="003F43B0"/>
    <w:pPr>
      <w:keepNext/>
      <w:spacing w:before="120" w:line="240" w:lineRule="auto"/>
      <w:outlineLvl w:val="4"/>
    </w:pPr>
    <w:rPr>
      <w:b/>
      <w:szCs w:val="24"/>
    </w:rPr>
  </w:style>
  <w:style w:type="paragraph" w:customStyle="1" w:styleId="ENotesText">
    <w:name w:val="ENotesText"/>
    <w:basedOn w:val="OPCParaBase"/>
    <w:next w:val="Normal"/>
    <w:rsid w:val="003F43B0"/>
  </w:style>
  <w:style w:type="paragraph" w:customStyle="1" w:styleId="CompiledActNo">
    <w:name w:val="CompiledActNo"/>
    <w:basedOn w:val="OPCParaBase"/>
    <w:next w:val="Normal"/>
    <w:rsid w:val="003F43B0"/>
    <w:rPr>
      <w:b/>
      <w:sz w:val="24"/>
      <w:szCs w:val="24"/>
    </w:rPr>
  </w:style>
  <w:style w:type="paragraph" w:customStyle="1" w:styleId="CompiledMadeUnder">
    <w:name w:val="CompiledMadeUnder"/>
    <w:basedOn w:val="OPCParaBase"/>
    <w:next w:val="Normal"/>
    <w:rsid w:val="003F43B0"/>
    <w:rPr>
      <w:i/>
      <w:sz w:val="24"/>
      <w:szCs w:val="24"/>
    </w:rPr>
  </w:style>
  <w:style w:type="paragraph" w:customStyle="1" w:styleId="Paragraphsub-sub-sub">
    <w:name w:val="Paragraph(sub-sub-sub)"/>
    <w:aliases w:val="aaaa"/>
    <w:basedOn w:val="OPCParaBase"/>
    <w:rsid w:val="003F43B0"/>
    <w:pPr>
      <w:tabs>
        <w:tab w:val="right" w:pos="3402"/>
      </w:tabs>
      <w:spacing w:before="40" w:line="240" w:lineRule="auto"/>
      <w:ind w:left="3402" w:hanging="3402"/>
    </w:pPr>
  </w:style>
  <w:style w:type="paragraph" w:customStyle="1" w:styleId="SubPartCASA">
    <w:name w:val="SubPart(CASA)"/>
    <w:aliases w:val="csp"/>
    <w:basedOn w:val="OPCParaBase"/>
    <w:next w:val="ActHead3"/>
    <w:rsid w:val="003F43B0"/>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9E075A"/>
    <w:rPr>
      <w:sz w:val="22"/>
    </w:rPr>
  </w:style>
  <w:style w:type="paragraph" w:customStyle="1" w:styleId="TableHeading">
    <w:name w:val="TableHeading"/>
    <w:aliases w:val="th"/>
    <w:basedOn w:val="OPCParaBase"/>
    <w:next w:val="Tabletext"/>
    <w:rsid w:val="003F43B0"/>
    <w:pPr>
      <w:keepNext/>
      <w:spacing w:before="60" w:line="240" w:lineRule="atLeast"/>
    </w:pPr>
    <w:rPr>
      <w:b/>
      <w:sz w:val="20"/>
    </w:rPr>
  </w:style>
  <w:style w:type="paragraph" w:customStyle="1" w:styleId="NoteToSubpara">
    <w:name w:val="NoteToSubpara"/>
    <w:aliases w:val="nts"/>
    <w:basedOn w:val="OPCParaBase"/>
    <w:rsid w:val="003F43B0"/>
    <w:pPr>
      <w:spacing w:before="40" w:line="198" w:lineRule="exact"/>
      <w:ind w:left="2835" w:hanging="709"/>
    </w:pPr>
    <w:rPr>
      <w:sz w:val="18"/>
    </w:rPr>
  </w:style>
  <w:style w:type="paragraph" w:customStyle="1" w:styleId="EndNotespara">
    <w:name w:val="EndNotes(para)"/>
    <w:aliases w:val="eta"/>
    <w:basedOn w:val="OPCParaBase"/>
    <w:next w:val="Normal"/>
    <w:rsid w:val="003F4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4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F4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43B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F43B0"/>
    <w:pPr>
      <w:keepNext/>
      <w:spacing w:before="60" w:line="240" w:lineRule="atLeast"/>
    </w:pPr>
    <w:rPr>
      <w:rFonts w:ascii="Arial" w:hAnsi="Arial"/>
      <w:b/>
      <w:sz w:val="16"/>
    </w:rPr>
  </w:style>
  <w:style w:type="paragraph" w:customStyle="1" w:styleId="ENoteTTi">
    <w:name w:val="ENoteTTi"/>
    <w:aliases w:val="entti"/>
    <w:basedOn w:val="OPCParaBase"/>
    <w:rsid w:val="003F43B0"/>
    <w:pPr>
      <w:keepNext/>
      <w:spacing w:before="60" w:line="240" w:lineRule="atLeast"/>
      <w:ind w:left="170"/>
    </w:pPr>
    <w:rPr>
      <w:sz w:val="16"/>
    </w:rPr>
  </w:style>
  <w:style w:type="paragraph" w:customStyle="1" w:styleId="ENoteTTIndentHeading">
    <w:name w:val="ENoteTTIndentHeading"/>
    <w:aliases w:val="enTTHi"/>
    <w:basedOn w:val="OPCParaBase"/>
    <w:rsid w:val="003F4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43B0"/>
    <w:pPr>
      <w:spacing w:before="60" w:line="240" w:lineRule="atLeast"/>
    </w:pPr>
    <w:rPr>
      <w:sz w:val="16"/>
    </w:rPr>
  </w:style>
  <w:style w:type="paragraph" w:customStyle="1" w:styleId="MadeunderText">
    <w:name w:val="MadeunderText"/>
    <w:basedOn w:val="OPCParaBase"/>
    <w:next w:val="CompiledMadeUnder"/>
    <w:rsid w:val="003F43B0"/>
    <w:pPr>
      <w:spacing w:before="240"/>
    </w:pPr>
    <w:rPr>
      <w:sz w:val="24"/>
      <w:szCs w:val="24"/>
    </w:rPr>
  </w:style>
  <w:style w:type="character" w:customStyle="1" w:styleId="CharSubPartTextCASA">
    <w:name w:val="CharSubPartText(CASA)"/>
    <w:basedOn w:val="OPCCharBase"/>
    <w:uiPriority w:val="1"/>
    <w:rsid w:val="003F43B0"/>
  </w:style>
  <w:style w:type="character" w:customStyle="1" w:styleId="CharSubPartNoCASA">
    <w:name w:val="CharSubPartNo(CASA)"/>
    <w:basedOn w:val="OPCCharBase"/>
    <w:uiPriority w:val="1"/>
    <w:rsid w:val="003F43B0"/>
  </w:style>
  <w:style w:type="paragraph" w:customStyle="1" w:styleId="ENoteTTIndentHeadingSub">
    <w:name w:val="ENoteTTIndentHeadingSub"/>
    <w:aliases w:val="enTTHis"/>
    <w:basedOn w:val="OPCParaBase"/>
    <w:rsid w:val="003F43B0"/>
    <w:pPr>
      <w:keepNext/>
      <w:spacing w:before="60" w:line="240" w:lineRule="atLeast"/>
      <w:ind w:left="340"/>
    </w:pPr>
    <w:rPr>
      <w:b/>
      <w:sz w:val="16"/>
    </w:rPr>
  </w:style>
  <w:style w:type="paragraph" w:customStyle="1" w:styleId="ENoteTTiSub">
    <w:name w:val="ENoteTTiSub"/>
    <w:aliases w:val="enttis"/>
    <w:basedOn w:val="OPCParaBase"/>
    <w:rsid w:val="003F43B0"/>
    <w:pPr>
      <w:keepNext/>
      <w:spacing w:before="60" w:line="240" w:lineRule="atLeast"/>
      <w:ind w:left="340"/>
    </w:pPr>
    <w:rPr>
      <w:sz w:val="16"/>
    </w:rPr>
  </w:style>
  <w:style w:type="paragraph" w:customStyle="1" w:styleId="SubDivisionMigration">
    <w:name w:val="SubDivisionMigration"/>
    <w:aliases w:val="sdm"/>
    <w:basedOn w:val="OPCParaBase"/>
    <w:rsid w:val="003F4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43B0"/>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43B0"/>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F4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3F4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3F43B0"/>
    <w:rPr>
      <w:color w:val="0000FF"/>
      <w:u w:val="single"/>
    </w:rPr>
  </w:style>
  <w:style w:type="character" w:styleId="LineNumber">
    <w:name w:val="line number"/>
    <w:basedOn w:val="OPCCharBase"/>
    <w:uiPriority w:val="99"/>
    <w:unhideWhenUsed/>
    <w:rsid w:val="003F4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uiPriority w:val="99"/>
    <w:rsid w:val="00772F15"/>
    <w:pPr>
      <w:tabs>
        <w:tab w:val="num" w:pos="360"/>
      </w:tabs>
      <w:ind w:left="360" w:hanging="360"/>
    </w:pPr>
  </w:style>
  <w:style w:type="paragraph" w:styleId="ListBullet2">
    <w:name w:val="List Bullet 2"/>
    <w:basedOn w:val="Normal"/>
    <w:autoRedefine/>
    <w:uiPriority w:val="99"/>
    <w:rsid w:val="00772F15"/>
    <w:pPr>
      <w:tabs>
        <w:tab w:val="num" w:pos="360"/>
      </w:tabs>
    </w:pPr>
  </w:style>
  <w:style w:type="paragraph" w:styleId="ListBullet3">
    <w:name w:val="List Bullet 3"/>
    <w:basedOn w:val="Normal"/>
    <w:autoRedefine/>
    <w:uiPriority w:val="99"/>
    <w:rsid w:val="00772F15"/>
    <w:pPr>
      <w:tabs>
        <w:tab w:val="num" w:pos="926"/>
      </w:tabs>
      <w:ind w:left="926" w:hanging="360"/>
    </w:pPr>
  </w:style>
  <w:style w:type="paragraph" w:styleId="ListBullet4">
    <w:name w:val="List Bullet 4"/>
    <w:basedOn w:val="Normal"/>
    <w:autoRedefine/>
    <w:uiPriority w:val="99"/>
    <w:rsid w:val="00772F15"/>
    <w:pPr>
      <w:tabs>
        <w:tab w:val="num" w:pos="1209"/>
      </w:tabs>
      <w:ind w:left="1209" w:hanging="360"/>
    </w:pPr>
  </w:style>
  <w:style w:type="paragraph" w:styleId="ListBullet5">
    <w:name w:val="List Bullet 5"/>
    <w:basedOn w:val="Normal"/>
    <w:autoRedefine/>
    <w:uiPriority w:val="99"/>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uiPriority w:val="99"/>
    <w:rsid w:val="00772F15"/>
    <w:pPr>
      <w:tabs>
        <w:tab w:val="num" w:pos="360"/>
      </w:tabs>
      <w:ind w:left="360" w:hanging="360"/>
    </w:pPr>
  </w:style>
  <w:style w:type="paragraph" w:styleId="ListNumber2">
    <w:name w:val="List Number 2"/>
    <w:basedOn w:val="Normal"/>
    <w:uiPriority w:val="99"/>
    <w:rsid w:val="00772F15"/>
    <w:pPr>
      <w:tabs>
        <w:tab w:val="num" w:pos="643"/>
      </w:tabs>
      <w:ind w:left="643" w:hanging="360"/>
    </w:pPr>
  </w:style>
  <w:style w:type="paragraph" w:styleId="ListNumber3">
    <w:name w:val="List Number 3"/>
    <w:basedOn w:val="Normal"/>
    <w:uiPriority w:val="99"/>
    <w:rsid w:val="00772F15"/>
    <w:pPr>
      <w:tabs>
        <w:tab w:val="num" w:pos="926"/>
      </w:tabs>
      <w:ind w:left="926" w:hanging="360"/>
    </w:pPr>
  </w:style>
  <w:style w:type="paragraph" w:styleId="ListNumber4">
    <w:name w:val="List Number 4"/>
    <w:basedOn w:val="Normal"/>
    <w:uiPriority w:val="99"/>
    <w:rsid w:val="00772F15"/>
    <w:pPr>
      <w:tabs>
        <w:tab w:val="num" w:pos="1209"/>
      </w:tabs>
      <w:ind w:left="1209" w:hanging="360"/>
    </w:pPr>
  </w:style>
  <w:style w:type="paragraph" w:styleId="ListNumber5">
    <w:name w:val="List Number 5"/>
    <w:basedOn w:val="Normal"/>
    <w:uiPriority w:val="99"/>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443C52"/>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43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qFormat/>
    <w:rsid w:val="003F43B0"/>
  </w:style>
  <w:style w:type="character" w:customStyle="1" w:styleId="CharAmSchText">
    <w:name w:val="CharAmSchText"/>
    <w:basedOn w:val="OPCCharBase"/>
    <w:qFormat/>
    <w:rsid w:val="003F43B0"/>
  </w:style>
  <w:style w:type="character" w:customStyle="1" w:styleId="CharChapNo">
    <w:name w:val="CharChapNo"/>
    <w:basedOn w:val="OPCCharBase"/>
    <w:uiPriority w:val="1"/>
    <w:qFormat/>
    <w:rsid w:val="003F43B0"/>
  </w:style>
  <w:style w:type="character" w:customStyle="1" w:styleId="CharChapText">
    <w:name w:val="CharChapText"/>
    <w:basedOn w:val="OPCCharBase"/>
    <w:uiPriority w:val="1"/>
    <w:qFormat/>
    <w:rsid w:val="003F43B0"/>
  </w:style>
  <w:style w:type="character" w:customStyle="1" w:styleId="CharDivNo">
    <w:name w:val="CharDivNo"/>
    <w:basedOn w:val="OPCCharBase"/>
    <w:uiPriority w:val="1"/>
    <w:qFormat/>
    <w:rsid w:val="003F43B0"/>
  </w:style>
  <w:style w:type="character" w:customStyle="1" w:styleId="CharDivText">
    <w:name w:val="CharDivText"/>
    <w:basedOn w:val="OPCCharBase"/>
    <w:uiPriority w:val="1"/>
    <w:qFormat/>
    <w:rsid w:val="003F43B0"/>
  </w:style>
  <w:style w:type="character" w:customStyle="1" w:styleId="CharPartNo">
    <w:name w:val="CharPartNo"/>
    <w:basedOn w:val="OPCCharBase"/>
    <w:uiPriority w:val="1"/>
    <w:qFormat/>
    <w:rsid w:val="003F43B0"/>
  </w:style>
  <w:style w:type="character" w:customStyle="1" w:styleId="CharPartText">
    <w:name w:val="CharPartText"/>
    <w:basedOn w:val="OPCCharBase"/>
    <w:uiPriority w:val="1"/>
    <w:qFormat/>
    <w:rsid w:val="003F43B0"/>
  </w:style>
  <w:style w:type="character" w:customStyle="1" w:styleId="OPCCharBase">
    <w:name w:val="OPCCharBase"/>
    <w:uiPriority w:val="1"/>
    <w:qFormat/>
    <w:rsid w:val="003F43B0"/>
  </w:style>
  <w:style w:type="paragraph" w:customStyle="1" w:styleId="OPCParaBase">
    <w:name w:val="OPCParaBase"/>
    <w:qFormat/>
    <w:rsid w:val="003F43B0"/>
    <w:pPr>
      <w:spacing w:line="260" w:lineRule="atLeast"/>
    </w:pPr>
    <w:rPr>
      <w:sz w:val="22"/>
    </w:rPr>
  </w:style>
  <w:style w:type="character" w:customStyle="1" w:styleId="CharSectno">
    <w:name w:val="CharSectno"/>
    <w:basedOn w:val="OPCCharBase"/>
    <w:qFormat/>
    <w:rsid w:val="003F4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3F43B0"/>
    <w:pPr>
      <w:spacing w:line="240" w:lineRule="auto"/>
      <w:ind w:left="1134"/>
    </w:pPr>
    <w:rPr>
      <w:sz w:val="20"/>
    </w:rPr>
  </w:style>
  <w:style w:type="paragraph" w:customStyle="1" w:styleId="ShortT">
    <w:name w:val="ShortT"/>
    <w:basedOn w:val="OPCParaBase"/>
    <w:next w:val="Normal"/>
    <w:qFormat/>
    <w:rsid w:val="003F43B0"/>
    <w:pPr>
      <w:spacing w:line="240" w:lineRule="auto"/>
    </w:pPr>
    <w:rPr>
      <w:b/>
      <w:sz w:val="40"/>
    </w:rPr>
  </w:style>
  <w:style w:type="paragraph" w:customStyle="1" w:styleId="Penalty">
    <w:name w:val="Penalty"/>
    <w:basedOn w:val="OPCParaBase"/>
    <w:rsid w:val="003F43B0"/>
    <w:pPr>
      <w:tabs>
        <w:tab w:val="left" w:pos="2977"/>
      </w:tabs>
      <w:spacing w:before="180" w:line="240" w:lineRule="auto"/>
      <w:ind w:left="1985" w:hanging="851"/>
    </w:pPr>
  </w:style>
  <w:style w:type="paragraph" w:customStyle="1" w:styleId="ActHead1">
    <w:name w:val="ActHead 1"/>
    <w:aliases w:val="c"/>
    <w:basedOn w:val="OPCParaBase"/>
    <w:next w:val="Normal"/>
    <w:qFormat/>
    <w:rsid w:val="003F4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F4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4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4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4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43B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4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4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4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4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F43B0"/>
    <w:pPr>
      <w:spacing w:line="240" w:lineRule="auto"/>
    </w:pPr>
    <w:rPr>
      <w:sz w:val="20"/>
    </w:rPr>
  </w:style>
  <w:style w:type="paragraph" w:customStyle="1" w:styleId="ActHead2">
    <w:name w:val="ActHead 2"/>
    <w:aliases w:val="p"/>
    <w:basedOn w:val="OPCParaBase"/>
    <w:next w:val="ActHead3"/>
    <w:qFormat/>
    <w:rsid w:val="003F4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F4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styleId="ListParagraph">
    <w:name w:val="List Paragraph"/>
    <w:basedOn w:val="Normal"/>
    <w:uiPriority w:val="34"/>
    <w:qFormat/>
    <w:rsid w:val="00E81A93"/>
    <w:pPr>
      <w:numPr>
        <w:numId w:val="16"/>
      </w:numPr>
      <w:spacing w:after="200" w:line="276" w:lineRule="auto"/>
    </w:pPr>
    <w:rPr>
      <w:rFonts w:ascii="Arial" w:eastAsia="Calibri" w:hAnsi="Arial"/>
      <w:szCs w:val="22"/>
    </w:rPr>
  </w:style>
  <w:style w:type="paragraph" w:customStyle="1" w:styleId="ActHead3">
    <w:name w:val="ActHead 3"/>
    <w:aliases w:val="d"/>
    <w:basedOn w:val="OPCParaBase"/>
    <w:next w:val="ActHead4"/>
    <w:qFormat/>
    <w:rsid w:val="003F4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4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F4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4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4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4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4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43B0"/>
  </w:style>
  <w:style w:type="paragraph" w:customStyle="1" w:styleId="Blocks">
    <w:name w:val="Blocks"/>
    <w:aliases w:val="bb"/>
    <w:basedOn w:val="OPCParaBase"/>
    <w:qFormat/>
    <w:rsid w:val="003F43B0"/>
    <w:pPr>
      <w:spacing w:line="240" w:lineRule="auto"/>
    </w:pPr>
    <w:rPr>
      <w:sz w:val="24"/>
    </w:rPr>
  </w:style>
  <w:style w:type="paragraph" w:customStyle="1" w:styleId="BoxText">
    <w:name w:val="BoxText"/>
    <w:aliases w:val="bt"/>
    <w:basedOn w:val="OPCParaBase"/>
    <w:qFormat/>
    <w:rsid w:val="003F4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43B0"/>
    <w:rPr>
      <w:b/>
    </w:rPr>
  </w:style>
  <w:style w:type="paragraph" w:customStyle="1" w:styleId="BoxHeadItalic">
    <w:name w:val="BoxHeadItalic"/>
    <w:aliases w:val="bhi"/>
    <w:basedOn w:val="BoxText"/>
    <w:next w:val="BoxStep"/>
    <w:qFormat/>
    <w:rsid w:val="003F43B0"/>
    <w:rPr>
      <w:i/>
    </w:rPr>
  </w:style>
  <w:style w:type="paragraph" w:customStyle="1" w:styleId="BoxList">
    <w:name w:val="BoxList"/>
    <w:aliases w:val="bl"/>
    <w:basedOn w:val="BoxText"/>
    <w:qFormat/>
    <w:rsid w:val="003F43B0"/>
    <w:pPr>
      <w:ind w:left="1559" w:hanging="425"/>
    </w:pPr>
  </w:style>
  <w:style w:type="paragraph" w:customStyle="1" w:styleId="BoxNote">
    <w:name w:val="BoxNote"/>
    <w:aliases w:val="bn"/>
    <w:basedOn w:val="BoxText"/>
    <w:qFormat/>
    <w:rsid w:val="003F43B0"/>
    <w:pPr>
      <w:tabs>
        <w:tab w:val="left" w:pos="1985"/>
      </w:tabs>
      <w:spacing w:before="122" w:line="198" w:lineRule="exact"/>
      <w:ind w:left="2948" w:hanging="1814"/>
    </w:pPr>
    <w:rPr>
      <w:sz w:val="18"/>
    </w:rPr>
  </w:style>
  <w:style w:type="paragraph" w:customStyle="1" w:styleId="BoxPara">
    <w:name w:val="BoxPara"/>
    <w:aliases w:val="bp"/>
    <w:basedOn w:val="BoxText"/>
    <w:qFormat/>
    <w:rsid w:val="003F43B0"/>
    <w:pPr>
      <w:tabs>
        <w:tab w:val="right" w:pos="2268"/>
      </w:tabs>
      <w:ind w:left="2552" w:hanging="1418"/>
    </w:pPr>
  </w:style>
  <w:style w:type="paragraph" w:customStyle="1" w:styleId="BoxStep">
    <w:name w:val="BoxStep"/>
    <w:aliases w:val="bs"/>
    <w:basedOn w:val="BoxText"/>
    <w:qFormat/>
    <w:rsid w:val="003F43B0"/>
    <w:pPr>
      <w:ind w:left="1985" w:hanging="851"/>
    </w:pPr>
  </w:style>
  <w:style w:type="character" w:customStyle="1" w:styleId="CharAmPartNo">
    <w:name w:val="CharAmPartNo"/>
    <w:basedOn w:val="OPCCharBase"/>
    <w:qFormat/>
    <w:rsid w:val="003F43B0"/>
  </w:style>
  <w:style w:type="character" w:customStyle="1" w:styleId="CharAmPartText">
    <w:name w:val="CharAmPartText"/>
    <w:basedOn w:val="OPCCharBase"/>
    <w:qFormat/>
    <w:rsid w:val="003F43B0"/>
  </w:style>
  <w:style w:type="character" w:customStyle="1" w:styleId="CharBoldItalic">
    <w:name w:val="CharBoldItalic"/>
    <w:basedOn w:val="OPCCharBase"/>
    <w:uiPriority w:val="1"/>
    <w:qFormat/>
    <w:rsid w:val="003F43B0"/>
    <w:rPr>
      <w:b/>
      <w:i/>
    </w:rPr>
  </w:style>
  <w:style w:type="character" w:customStyle="1" w:styleId="CharItalic">
    <w:name w:val="CharItalic"/>
    <w:basedOn w:val="OPCCharBase"/>
    <w:uiPriority w:val="1"/>
    <w:qFormat/>
    <w:rsid w:val="003F43B0"/>
    <w:rPr>
      <w:i/>
    </w:rPr>
  </w:style>
  <w:style w:type="character" w:customStyle="1" w:styleId="CharSubdNo">
    <w:name w:val="CharSubdNo"/>
    <w:basedOn w:val="OPCCharBase"/>
    <w:uiPriority w:val="1"/>
    <w:qFormat/>
    <w:rsid w:val="003F43B0"/>
  </w:style>
  <w:style w:type="character" w:customStyle="1" w:styleId="CharSubdText">
    <w:name w:val="CharSubdText"/>
    <w:basedOn w:val="OPCCharBase"/>
    <w:uiPriority w:val="1"/>
    <w:qFormat/>
    <w:rsid w:val="003F43B0"/>
  </w:style>
  <w:style w:type="paragraph" w:customStyle="1" w:styleId="CTA--">
    <w:name w:val="CTA --"/>
    <w:basedOn w:val="OPCParaBase"/>
    <w:next w:val="Normal"/>
    <w:rsid w:val="003F43B0"/>
    <w:pPr>
      <w:spacing w:before="60" w:line="240" w:lineRule="atLeast"/>
      <w:ind w:left="142" w:hanging="142"/>
    </w:pPr>
    <w:rPr>
      <w:sz w:val="20"/>
    </w:rPr>
  </w:style>
  <w:style w:type="paragraph" w:customStyle="1" w:styleId="CTA-">
    <w:name w:val="CTA -"/>
    <w:basedOn w:val="OPCParaBase"/>
    <w:rsid w:val="003F43B0"/>
    <w:pPr>
      <w:spacing w:before="60" w:line="240" w:lineRule="atLeast"/>
      <w:ind w:left="85" w:hanging="85"/>
    </w:pPr>
    <w:rPr>
      <w:sz w:val="20"/>
    </w:rPr>
  </w:style>
  <w:style w:type="paragraph" w:customStyle="1" w:styleId="CTA---">
    <w:name w:val="CTA ---"/>
    <w:basedOn w:val="OPCParaBase"/>
    <w:next w:val="Normal"/>
    <w:rsid w:val="003F43B0"/>
    <w:pPr>
      <w:spacing w:before="60" w:line="240" w:lineRule="atLeast"/>
      <w:ind w:left="198" w:hanging="198"/>
    </w:pPr>
    <w:rPr>
      <w:sz w:val="20"/>
    </w:rPr>
  </w:style>
  <w:style w:type="paragraph" w:customStyle="1" w:styleId="CTA----">
    <w:name w:val="CTA ----"/>
    <w:basedOn w:val="OPCParaBase"/>
    <w:next w:val="Normal"/>
    <w:rsid w:val="003F43B0"/>
    <w:pPr>
      <w:spacing w:before="60" w:line="240" w:lineRule="atLeast"/>
      <w:ind w:left="255" w:hanging="255"/>
    </w:pPr>
    <w:rPr>
      <w:sz w:val="20"/>
    </w:rPr>
  </w:style>
  <w:style w:type="paragraph" w:customStyle="1" w:styleId="CTA1a">
    <w:name w:val="CTA 1(a)"/>
    <w:basedOn w:val="OPCParaBase"/>
    <w:rsid w:val="003F43B0"/>
    <w:pPr>
      <w:tabs>
        <w:tab w:val="right" w:pos="414"/>
      </w:tabs>
      <w:spacing w:before="40" w:line="240" w:lineRule="atLeast"/>
      <w:ind w:left="675" w:hanging="675"/>
    </w:pPr>
    <w:rPr>
      <w:sz w:val="20"/>
    </w:rPr>
  </w:style>
  <w:style w:type="paragraph" w:customStyle="1" w:styleId="CTA1ai">
    <w:name w:val="CTA 1(a)(i)"/>
    <w:basedOn w:val="OPCParaBase"/>
    <w:rsid w:val="003F43B0"/>
    <w:pPr>
      <w:tabs>
        <w:tab w:val="right" w:pos="1004"/>
      </w:tabs>
      <w:spacing w:before="40" w:line="240" w:lineRule="atLeast"/>
      <w:ind w:left="1253" w:hanging="1253"/>
    </w:pPr>
    <w:rPr>
      <w:sz w:val="20"/>
    </w:rPr>
  </w:style>
  <w:style w:type="paragraph" w:customStyle="1" w:styleId="CTA2a">
    <w:name w:val="CTA 2(a)"/>
    <w:basedOn w:val="OPCParaBase"/>
    <w:rsid w:val="003F43B0"/>
    <w:pPr>
      <w:tabs>
        <w:tab w:val="right" w:pos="482"/>
      </w:tabs>
      <w:spacing w:before="40" w:line="240" w:lineRule="atLeast"/>
      <w:ind w:left="748" w:hanging="748"/>
    </w:pPr>
    <w:rPr>
      <w:sz w:val="20"/>
    </w:rPr>
  </w:style>
  <w:style w:type="paragraph" w:customStyle="1" w:styleId="CTA2ai">
    <w:name w:val="CTA 2(a)(i)"/>
    <w:basedOn w:val="OPCParaBase"/>
    <w:rsid w:val="003F43B0"/>
    <w:pPr>
      <w:tabs>
        <w:tab w:val="right" w:pos="1089"/>
      </w:tabs>
      <w:spacing w:before="40" w:line="240" w:lineRule="atLeast"/>
      <w:ind w:left="1327" w:hanging="1327"/>
    </w:pPr>
    <w:rPr>
      <w:sz w:val="20"/>
    </w:rPr>
  </w:style>
  <w:style w:type="paragraph" w:customStyle="1" w:styleId="CTA3a">
    <w:name w:val="CTA 3(a)"/>
    <w:basedOn w:val="OPCParaBase"/>
    <w:rsid w:val="003F43B0"/>
    <w:pPr>
      <w:tabs>
        <w:tab w:val="right" w:pos="556"/>
      </w:tabs>
      <w:spacing w:before="40" w:line="240" w:lineRule="atLeast"/>
      <w:ind w:left="805" w:hanging="805"/>
    </w:pPr>
    <w:rPr>
      <w:sz w:val="20"/>
    </w:rPr>
  </w:style>
  <w:style w:type="paragraph" w:customStyle="1" w:styleId="CTA3ai">
    <w:name w:val="CTA 3(a)(i)"/>
    <w:basedOn w:val="OPCParaBase"/>
    <w:rsid w:val="003F43B0"/>
    <w:pPr>
      <w:tabs>
        <w:tab w:val="right" w:pos="1140"/>
      </w:tabs>
      <w:spacing w:before="40" w:line="240" w:lineRule="atLeast"/>
      <w:ind w:left="1361" w:hanging="1361"/>
    </w:pPr>
    <w:rPr>
      <w:sz w:val="20"/>
    </w:rPr>
  </w:style>
  <w:style w:type="paragraph" w:customStyle="1" w:styleId="CTA4a">
    <w:name w:val="CTA 4(a)"/>
    <w:basedOn w:val="OPCParaBase"/>
    <w:rsid w:val="003F43B0"/>
    <w:pPr>
      <w:tabs>
        <w:tab w:val="right" w:pos="624"/>
      </w:tabs>
      <w:spacing w:before="40" w:line="240" w:lineRule="atLeast"/>
      <w:ind w:left="873" w:hanging="873"/>
    </w:pPr>
    <w:rPr>
      <w:sz w:val="20"/>
    </w:rPr>
  </w:style>
  <w:style w:type="paragraph" w:customStyle="1" w:styleId="CTA4ai">
    <w:name w:val="CTA 4(a)(i)"/>
    <w:basedOn w:val="OPCParaBase"/>
    <w:rsid w:val="003F43B0"/>
    <w:pPr>
      <w:tabs>
        <w:tab w:val="right" w:pos="1213"/>
      </w:tabs>
      <w:spacing w:before="40" w:line="240" w:lineRule="atLeast"/>
      <w:ind w:left="1452" w:hanging="1452"/>
    </w:pPr>
    <w:rPr>
      <w:sz w:val="20"/>
    </w:rPr>
  </w:style>
  <w:style w:type="paragraph" w:customStyle="1" w:styleId="CTACAPS">
    <w:name w:val="CTA CAPS"/>
    <w:basedOn w:val="OPCParaBase"/>
    <w:rsid w:val="003F43B0"/>
    <w:pPr>
      <w:spacing w:before="60" w:line="240" w:lineRule="atLeast"/>
    </w:pPr>
    <w:rPr>
      <w:sz w:val="20"/>
    </w:rPr>
  </w:style>
  <w:style w:type="paragraph" w:customStyle="1" w:styleId="CTAright">
    <w:name w:val="CTA right"/>
    <w:basedOn w:val="OPCParaBase"/>
    <w:rsid w:val="003F43B0"/>
    <w:pPr>
      <w:spacing w:before="60" w:line="240" w:lineRule="auto"/>
      <w:jc w:val="right"/>
    </w:pPr>
    <w:rPr>
      <w:sz w:val="20"/>
    </w:rPr>
  </w:style>
  <w:style w:type="paragraph" w:customStyle="1" w:styleId="subsection">
    <w:name w:val="subsection"/>
    <w:aliases w:val="ss"/>
    <w:basedOn w:val="OPCParaBase"/>
    <w:link w:val="subsectionChar"/>
    <w:rsid w:val="003F43B0"/>
    <w:pPr>
      <w:tabs>
        <w:tab w:val="right" w:pos="1021"/>
      </w:tabs>
      <w:spacing w:before="180" w:line="240" w:lineRule="auto"/>
      <w:ind w:left="1134" w:hanging="1134"/>
    </w:pPr>
  </w:style>
  <w:style w:type="paragraph" w:customStyle="1" w:styleId="Definition">
    <w:name w:val="Definition"/>
    <w:aliases w:val="dd"/>
    <w:basedOn w:val="OPCParaBase"/>
    <w:rsid w:val="003F43B0"/>
    <w:pPr>
      <w:spacing w:before="180" w:line="240" w:lineRule="auto"/>
      <w:ind w:left="1134"/>
    </w:pPr>
  </w:style>
  <w:style w:type="paragraph" w:customStyle="1" w:styleId="ETAsubitem">
    <w:name w:val="ETA(subitem)"/>
    <w:basedOn w:val="OPCParaBase"/>
    <w:rsid w:val="003F43B0"/>
    <w:pPr>
      <w:tabs>
        <w:tab w:val="right" w:pos="340"/>
      </w:tabs>
      <w:spacing w:before="60" w:line="240" w:lineRule="auto"/>
      <w:ind w:left="454" w:hanging="454"/>
    </w:pPr>
    <w:rPr>
      <w:sz w:val="20"/>
    </w:rPr>
  </w:style>
  <w:style w:type="paragraph" w:customStyle="1" w:styleId="ETApara">
    <w:name w:val="ETA(para)"/>
    <w:basedOn w:val="OPCParaBase"/>
    <w:rsid w:val="003F43B0"/>
    <w:pPr>
      <w:tabs>
        <w:tab w:val="right" w:pos="754"/>
      </w:tabs>
      <w:spacing w:before="60" w:line="240" w:lineRule="auto"/>
      <w:ind w:left="828" w:hanging="828"/>
    </w:pPr>
    <w:rPr>
      <w:sz w:val="20"/>
    </w:rPr>
  </w:style>
  <w:style w:type="paragraph" w:customStyle="1" w:styleId="ETAsubpara">
    <w:name w:val="ETA(subpara)"/>
    <w:basedOn w:val="OPCParaBase"/>
    <w:rsid w:val="003F43B0"/>
    <w:pPr>
      <w:tabs>
        <w:tab w:val="right" w:pos="1083"/>
      </w:tabs>
      <w:spacing w:before="60" w:line="240" w:lineRule="auto"/>
      <w:ind w:left="1191" w:hanging="1191"/>
    </w:pPr>
    <w:rPr>
      <w:sz w:val="20"/>
    </w:rPr>
  </w:style>
  <w:style w:type="paragraph" w:customStyle="1" w:styleId="ETAsub-subpara">
    <w:name w:val="ETA(sub-subpara)"/>
    <w:basedOn w:val="OPCParaBase"/>
    <w:rsid w:val="003F43B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3F43B0"/>
    <w:rPr>
      <w:sz w:val="16"/>
    </w:rPr>
  </w:style>
  <w:style w:type="paragraph" w:customStyle="1" w:styleId="House">
    <w:name w:val="House"/>
    <w:basedOn w:val="OPCParaBase"/>
    <w:rsid w:val="003F43B0"/>
    <w:pPr>
      <w:spacing w:line="240" w:lineRule="auto"/>
    </w:pPr>
    <w:rPr>
      <w:sz w:val="28"/>
    </w:rPr>
  </w:style>
  <w:style w:type="paragraph" w:customStyle="1" w:styleId="Item">
    <w:name w:val="Item"/>
    <w:aliases w:val="i"/>
    <w:basedOn w:val="OPCParaBase"/>
    <w:next w:val="ItemHead"/>
    <w:rsid w:val="003F43B0"/>
    <w:pPr>
      <w:keepLines/>
      <w:spacing w:before="80" w:line="240" w:lineRule="auto"/>
      <w:ind w:left="709"/>
    </w:pPr>
  </w:style>
  <w:style w:type="paragraph" w:customStyle="1" w:styleId="ItemHead">
    <w:name w:val="ItemHead"/>
    <w:aliases w:val="ih"/>
    <w:basedOn w:val="OPCParaBase"/>
    <w:next w:val="Item"/>
    <w:rsid w:val="003F4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43B0"/>
    <w:pPr>
      <w:spacing w:line="240" w:lineRule="auto"/>
    </w:pPr>
    <w:rPr>
      <w:b/>
      <w:sz w:val="32"/>
    </w:rPr>
  </w:style>
  <w:style w:type="paragraph" w:customStyle="1" w:styleId="notedraft">
    <w:name w:val="note(draft)"/>
    <w:aliases w:val="nd"/>
    <w:basedOn w:val="OPCParaBase"/>
    <w:rsid w:val="003F43B0"/>
    <w:pPr>
      <w:spacing w:before="240" w:line="240" w:lineRule="auto"/>
      <w:ind w:left="284" w:hanging="284"/>
    </w:pPr>
    <w:rPr>
      <w:i/>
      <w:sz w:val="24"/>
    </w:rPr>
  </w:style>
  <w:style w:type="paragraph" w:customStyle="1" w:styleId="notemargin">
    <w:name w:val="note(margin)"/>
    <w:aliases w:val="nm"/>
    <w:basedOn w:val="OPCParaBase"/>
    <w:rsid w:val="003F43B0"/>
    <w:pPr>
      <w:tabs>
        <w:tab w:val="left" w:pos="709"/>
      </w:tabs>
      <w:spacing w:before="122" w:line="198" w:lineRule="exact"/>
      <w:ind w:left="709" w:hanging="709"/>
    </w:pPr>
    <w:rPr>
      <w:sz w:val="18"/>
    </w:rPr>
  </w:style>
  <w:style w:type="paragraph" w:customStyle="1" w:styleId="notepara">
    <w:name w:val="note(para)"/>
    <w:aliases w:val="na"/>
    <w:basedOn w:val="OPCParaBase"/>
    <w:rsid w:val="003F43B0"/>
    <w:pPr>
      <w:spacing w:before="40" w:line="198" w:lineRule="exact"/>
      <w:ind w:left="2354" w:hanging="369"/>
    </w:pPr>
    <w:rPr>
      <w:sz w:val="18"/>
    </w:rPr>
  </w:style>
  <w:style w:type="paragraph" w:customStyle="1" w:styleId="noteParlAmend">
    <w:name w:val="note(ParlAmend)"/>
    <w:aliases w:val="npp"/>
    <w:basedOn w:val="OPCParaBase"/>
    <w:next w:val="ParlAmend"/>
    <w:rsid w:val="003F43B0"/>
    <w:pPr>
      <w:spacing w:line="240" w:lineRule="auto"/>
      <w:jc w:val="right"/>
    </w:pPr>
    <w:rPr>
      <w:rFonts w:ascii="Arial" w:hAnsi="Arial"/>
      <w:b/>
      <w:i/>
    </w:rPr>
  </w:style>
  <w:style w:type="paragraph" w:customStyle="1" w:styleId="notetext">
    <w:name w:val="note(text)"/>
    <w:aliases w:val="n"/>
    <w:basedOn w:val="OPCParaBase"/>
    <w:rsid w:val="003F43B0"/>
    <w:pPr>
      <w:spacing w:before="122" w:line="198" w:lineRule="exact"/>
      <w:ind w:left="1985" w:hanging="851"/>
    </w:pPr>
    <w:rPr>
      <w:sz w:val="18"/>
    </w:rPr>
  </w:style>
  <w:style w:type="paragraph" w:customStyle="1" w:styleId="Page1">
    <w:name w:val="Page1"/>
    <w:basedOn w:val="OPCParaBase"/>
    <w:rsid w:val="003F43B0"/>
    <w:pPr>
      <w:spacing w:before="5600" w:line="240" w:lineRule="auto"/>
    </w:pPr>
    <w:rPr>
      <w:b/>
      <w:sz w:val="32"/>
    </w:rPr>
  </w:style>
  <w:style w:type="paragraph" w:customStyle="1" w:styleId="paragraphsub">
    <w:name w:val="paragraph(sub)"/>
    <w:aliases w:val="aa"/>
    <w:basedOn w:val="OPCParaBase"/>
    <w:rsid w:val="003F43B0"/>
    <w:pPr>
      <w:tabs>
        <w:tab w:val="right" w:pos="1985"/>
      </w:tabs>
      <w:spacing w:before="40" w:line="240" w:lineRule="auto"/>
      <w:ind w:left="2098" w:hanging="2098"/>
    </w:pPr>
  </w:style>
  <w:style w:type="paragraph" w:customStyle="1" w:styleId="paragraphsub-sub">
    <w:name w:val="paragraph(sub-sub)"/>
    <w:aliases w:val="aaa"/>
    <w:basedOn w:val="OPCParaBase"/>
    <w:rsid w:val="003F43B0"/>
    <w:pPr>
      <w:tabs>
        <w:tab w:val="right" w:pos="2722"/>
      </w:tabs>
      <w:spacing w:before="40" w:line="240" w:lineRule="auto"/>
      <w:ind w:left="2835" w:hanging="2835"/>
    </w:pPr>
  </w:style>
  <w:style w:type="paragraph" w:customStyle="1" w:styleId="paragraph">
    <w:name w:val="paragraph"/>
    <w:aliases w:val="a"/>
    <w:basedOn w:val="OPCParaBase"/>
    <w:rsid w:val="003F43B0"/>
    <w:pPr>
      <w:tabs>
        <w:tab w:val="right" w:pos="1531"/>
      </w:tabs>
      <w:spacing w:before="40" w:line="240" w:lineRule="auto"/>
      <w:ind w:left="1644" w:hanging="1644"/>
    </w:pPr>
  </w:style>
  <w:style w:type="paragraph" w:customStyle="1" w:styleId="ParlAmend">
    <w:name w:val="ParlAmend"/>
    <w:aliases w:val="pp"/>
    <w:basedOn w:val="OPCParaBase"/>
    <w:rsid w:val="003F43B0"/>
    <w:pPr>
      <w:spacing w:before="240" w:line="240" w:lineRule="atLeast"/>
      <w:ind w:hanging="567"/>
    </w:pPr>
    <w:rPr>
      <w:sz w:val="24"/>
    </w:rPr>
  </w:style>
  <w:style w:type="paragraph" w:customStyle="1" w:styleId="Portfolio">
    <w:name w:val="Portfolio"/>
    <w:basedOn w:val="OPCParaBase"/>
    <w:rsid w:val="003F43B0"/>
    <w:pPr>
      <w:spacing w:line="240" w:lineRule="auto"/>
    </w:pPr>
    <w:rPr>
      <w:i/>
      <w:sz w:val="20"/>
    </w:rPr>
  </w:style>
  <w:style w:type="paragraph" w:customStyle="1" w:styleId="Preamble">
    <w:name w:val="Preamble"/>
    <w:basedOn w:val="OPCParaBase"/>
    <w:next w:val="Normal"/>
    <w:rsid w:val="003F4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43B0"/>
    <w:pPr>
      <w:spacing w:line="240" w:lineRule="auto"/>
    </w:pPr>
    <w:rPr>
      <w:i/>
      <w:sz w:val="20"/>
    </w:rPr>
  </w:style>
  <w:style w:type="paragraph" w:customStyle="1" w:styleId="Session">
    <w:name w:val="Session"/>
    <w:basedOn w:val="OPCParaBase"/>
    <w:rsid w:val="003F43B0"/>
    <w:pPr>
      <w:spacing w:line="240" w:lineRule="auto"/>
    </w:pPr>
    <w:rPr>
      <w:sz w:val="28"/>
    </w:rPr>
  </w:style>
  <w:style w:type="paragraph" w:customStyle="1" w:styleId="Sponsor">
    <w:name w:val="Sponsor"/>
    <w:basedOn w:val="OPCParaBase"/>
    <w:rsid w:val="003F43B0"/>
    <w:pPr>
      <w:spacing w:line="240" w:lineRule="auto"/>
    </w:pPr>
    <w:rPr>
      <w:i/>
    </w:rPr>
  </w:style>
  <w:style w:type="paragraph" w:customStyle="1" w:styleId="Subitem">
    <w:name w:val="Subitem"/>
    <w:aliases w:val="iss"/>
    <w:basedOn w:val="OPCParaBase"/>
    <w:rsid w:val="003F43B0"/>
    <w:pPr>
      <w:spacing w:before="180" w:line="240" w:lineRule="auto"/>
      <w:ind w:left="709" w:hanging="709"/>
    </w:pPr>
  </w:style>
  <w:style w:type="paragraph" w:customStyle="1" w:styleId="SubitemHead">
    <w:name w:val="SubitemHead"/>
    <w:aliases w:val="issh"/>
    <w:basedOn w:val="OPCParaBase"/>
    <w:rsid w:val="003F4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43B0"/>
    <w:pPr>
      <w:spacing w:before="40" w:line="240" w:lineRule="auto"/>
      <w:ind w:left="1134"/>
    </w:pPr>
  </w:style>
  <w:style w:type="paragraph" w:customStyle="1" w:styleId="SubsectionHead">
    <w:name w:val="SubsectionHead"/>
    <w:aliases w:val="ssh"/>
    <w:basedOn w:val="OPCParaBase"/>
    <w:next w:val="subsection"/>
    <w:rsid w:val="003F43B0"/>
    <w:pPr>
      <w:keepNext/>
      <w:keepLines/>
      <w:spacing w:before="240" w:line="240" w:lineRule="auto"/>
      <w:ind w:left="1134"/>
    </w:pPr>
    <w:rPr>
      <w:i/>
    </w:rPr>
  </w:style>
  <w:style w:type="paragraph" w:customStyle="1" w:styleId="Tablea">
    <w:name w:val="Table(a)"/>
    <w:aliases w:val="ta"/>
    <w:basedOn w:val="OPCParaBase"/>
    <w:rsid w:val="003F43B0"/>
    <w:pPr>
      <w:spacing w:before="60" w:line="240" w:lineRule="auto"/>
      <w:ind w:left="284" w:hanging="284"/>
    </w:pPr>
    <w:rPr>
      <w:sz w:val="20"/>
    </w:rPr>
  </w:style>
  <w:style w:type="paragraph" w:customStyle="1" w:styleId="TableAA">
    <w:name w:val="Table(AA)"/>
    <w:aliases w:val="taaa"/>
    <w:basedOn w:val="OPCParaBase"/>
    <w:rsid w:val="003F4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4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43B0"/>
    <w:pPr>
      <w:spacing w:before="60" w:line="240" w:lineRule="atLeast"/>
    </w:pPr>
    <w:rPr>
      <w:sz w:val="20"/>
    </w:rPr>
  </w:style>
  <w:style w:type="paragraph" w:customStyle="1" w:styleId="TLPBoxTextnote">
    <w:name w:val="TLPBoxText(note"/>
    <w:aliases w:val="right)"/>
    <w:basedOn w:val="OPCParaBase"/>
    <w:rsid w:val="003F4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43B0"/>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43B0"/>
    <w:pPr>
      <w:spacing w:before="122" w:line="198" w:lineRule="exact"/>
      <w:ind w:left="1985" w:hanging="851"/>
      <w:jc w:val="right"/>
    </w:pPr>
    <w:rPr>
      <w:sz w:val="18"/>
    </w:rPr>
  </w:style>
  <w:style w:type="paragraph" w:customStyle="1" w:styleId="TLPTableBullet">
    <w:name w:val="TLPTableBullet"/>
    <w:aliases w:val="ttb"/>
    <w:basedOn w:val="OPCParaBase"/>
    <w:rsid w:val="003F43B0"/>
    <w:pPr>
      <w:spacing w:line="240" w:lineRule="exact"/>
      <w:ind w:left="284" w:hanging="284"/>
    </w:pPr>
    <w:rPr>
      <w:sz w:val="20"/>
    </w:rPr>
  </w:style>
  <w:style w:type="paragraph" w:customStyle="1" w:styleId="TofSectsGroupHeading">
    <w:name w:val="TofSects(GroupHeading)"/>
    <w:basedOn w:val="OPCParaBase"/>
    <w:next w:val="TofSectsSection"/>
    <w:rsid w:val="003F43B0"/>
    <w:pPr>
      <w:keepLines/>
      <w:spacing w:before="240" w:after="120" w:line="240" w:lineRule="auto"/>
      <w:ind w:left="794"/>
    </w:pPr>
    <w:rPr>
      <w:b/>
      <w:kern w:val="28"/>
      <w:sz w:val="20"/>
    </w:rPr>
  </w:style>
  <w:style w:type="paragraph" w:customStyle="1" w:styleId="TofSectsHeading">
    <w:name w:val="TofSects(Heading)"/>
    <w:basedOn w:val="OPCParaBase"/>
    <w:rsid w:val="003F43B0"/>
    <w:pPr>
      <w:spacing w:before="240" w:after="120" w:line="240" w:lineRule="auto"/>
    </w:pPr>
    <w:rPr>
      <w:b/>
      <w:sz w:val="24"/>
    </w:rPr>
  </w:style>
  <w:style w:type="paragraph" w:customStyle="1" w:styleId="TofSectsSection">
    <w:name w:val="TofSects(Section)"/>
    <w:basedOn w:val="OPCParaBase"/>
    <w:rsid w:val="003F43B0"/>
    <w:pPr>
      <w:keepLines/>
      <w:spacing w:before="40" w:line="240" w:lineRule="auto"/>
      <w:ind w:left="1588" w:hanging="794"/>
    </w:pPr>
    <w:rPr>
      <w:kern w:val="28"/>
      <w:sz w:val="18"/>
    </w:rPr>
  </w:style>
  <w:style w:type="paragraph" w:customStyle="1" w:styleId="TofSectsSubdiv">
    <w:name w:val="TofSects(Subdiv)"/>
    <w:basedOn w:val="OPCParaBase"/>
    <w:rsid w:val="003F43B0"/>
    <w:pPr>
      <w:keepLines/>
      <w:spacing w:before="80" w:line="240" w:lineRule="auto"/>
      <w:ind w:left="1588" w:hanging="794"/>
    </w:pPr>
    <w:rPr>
      <w:kern w:val="28"/>
    </w:rPr>
  </w:style>
  <w:style w:type="paragraph" w:customStyle="1" w:styleId="WRStyle">
    <w:name w:val="WR Style"/>
    <w:aliases w:val="WR"/>
    <w:basedOn w:val="OPCParaBase"/>
    <w:rsid w:val="003F43B0"/>
    <w:pPr>
      <w:spacing w:before="240" w:line="240" w:lineRule="auto"/>
      <w:ind w:left="284" w:hanging="284"/>
    </w:pPr>
    <w:rPr>
      <w:b/>
      <w:i/>
      <w:kern w:val="28"/>
      <w:sz w:val="24"/>
    </w:rPr>
  </w:style>
  <w:style w:type="numbering" w:customStyle="1" w:styleId="OPCBodyList">
    <w:name w:val="OPCBodyList"/>
    <w:uiPriority w:val="99"/>
    <w:rsid w:val="00443C52"/>
    <w:pPr>
      <w:numPr>
        <w:numId w:val="29"/>
      </w:numPr>
    </w:pPr>
  </w:style>
  <w:style w:type="paragraph" w:customStyle="1" w:styleId="noteToPara">
    <w:name w:val="noteToPara"/>
    <w:aliases w:val="ntp"/>
    <w:basedOn w:val="OPCParaBase"/>
    <w:rsid w:val="003F43B0"/>
    <w:pPr>
      <w:spacing w:before="122" w:line="198" w:lineRule="exact"/>
      <w:ind w:left="2353" w:hanging="709"/>
    </w:pPr>
    <w:rPr>
      <w:sz w:val="18"/>
    </w:rPr>
  </w:style>
  <w:style w:type="character" w:customStyle="1" w:styleId="FooterChar">
    <w:name w:val="Footer Char"/>
    <w:basedOn w:val="DefaultParagraphFont"/>
    <w:link w:val="Footer"/>
    <w:rsid w:val="003F43B0"/>
    <w:rPr>
      <w:sz w:val="22"/>
      <w:szCs w:val="24"/>
    </w:rPr>
  </w:style>
  <w:style w:type="character" w:customStyle="1" w:styleId="BalloonTextChar">
    <w:name w:val="Balloon Text Char"/>
    <w:basedOn w:val="DefaultParagraphFont"/>
    <w:link w:val="BalloonText"/>
    <w:uiPriority w:val="99"/>
    <w:rsid w:val="003F43B0"/>
    <w:rPr>
      <w:rFonts w:ascii="Tahoma" w:eastAsiaTheme="minorHAnsi" w:hAnsi="Tahoma" w:cs="Tahoma"/>
      <w:sz w:val="16"/>
      <w:szCs w:val="16"/>
      <w:lang w:eastAsia="en-US"/>
    </w:rPr>
  </w:style>
  <w:style w:type="table" w:customStyle="1" w:styleId="CFlag">
    <w:name w:val="CFlag"/>
    <w:basedOn w:val="TableNormal"/>
    <w:uiPriority w:val="99"/>
    <w:rsid w:val="003F43B0"/>
    <w:tblPr>
      <w:tblInd w:w="0" w:type="dxa"/>
      <w:tblCellMar>
        <w:top w:w="0" w:type="dxa"/>
        <w:left w:w="108" w:type="dxa"/>
        <w:bottom w:w="0" w:type="dxa"/>
        <w:right w:w="108" w:type="dxa"/>
      </w:tblCellMar>
    </w:tblPr>
  </w:style>
  <w:style w:type="paragraph" w:customStyle="1" w:styleId="InstNo">
    <w:name w:val="InstNo"/>
    <w:basedOn w:val="OPCParaBase"/>
    <w:next w:val="Normal"/>
    <w:rsid w:val="003F43B0"/>
    <w:rPr>
      <w:b/>
      <w:sz w:val="28"/>
      <w:szCs w:val="32"/>
    </w:rPr>
  </w:style>
  <w:style w:type="paragraph" w:customStyle="1" w:styleId="TerritoryT">
    <w:name w:val="TerritoryT"/>
    <w:basedOn w:val="OPCParaBase"/>
    <w:next w:val="Normal"/>
    <w:rsid w:val="003F43B0"/>
    <w:rPr>
      <w:b/>
      <w:sz w:val="32"/>
    </w:rPr>
  </w:style>
  <w:style w:type="paragraph" w:customStyle="1" w:styleId="LegislationMadeUnder">
    <w:name w:val="LegislationMadeUnder"/>
    <w:basedOn w:val="OPCParaBase"/>
    <w:next w:val="Normal"/>
    <w:rsid w:val="003F43B0"/>
    <w:rPr>
      <w:i/>
      <w:sz w:val="32"/>
      <w:szCs w:val="32"/>
    </w:rPr>
  </w:style>
  <w:style w:type="paragraph" w:customStyle="1" w:styleId="SignCoverPageEnd">
    <w:name w:val="SignCoverPageEnd"/>
    <w:basedOn w:val="OPCParaBase"/>
    <w:next w:val="Normal"/>
    <w:rsid w:val="003F4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3F43B0"/>
    <w:pPr>
      <w:pBdr>
        <w:top w:val="single" w:sz="4" w:space="1" w:color="auto"/>
      </w:pBdr>
      <w:spacing w:before="360"/>
      <w:ind w:right="397"/>
      <w:jc w:val="both"/>
    </w:pPr>
  </w:style>
  <w:style w:type="paragraph" w:customStyle="1" w:styleId="NotesHeading1">
    <w:name w:val="NotesHeading 1"/>
    <w:basedOn w:val="OPCParaBase"/>
    <w:next w:val="Normal"/>
    <w:rsid w:val="003F43B0"/>
    <w:rPr>
      <w:b/>
      <w:sz w:val="28"/>
      <w:szCs w:val="28"/>
    </w:rPr>
  </w:style>
  <w:style w:type="paragraph" w:customStyle="1" w:styleId="NotesHeading2">
    <w:name w:val="NotesHeading 2"/>
    <w:basedOn w:val="OPCParaBase"/>
    <w:next w:val="Normal"/>
    <w:rsid w:val="003F43B0"/>
    <w:rPr>
      <w:b/>
      <w:sz w:val="28"/>
      <w:szCs w:val="28"/>
    </w:rPr>
  </w:style>
  <w:style w:type="paragraph" w:customStyle="1" w:styleId="ENotesHeading1">
    <w:name w:val="ENotesHeading 1"/>
    <w:aliases w:val="Enh1"/>
    <w:basedOn w:val="OPCParaBase"/>
    <w:next w:val="Normal"/>
    <w:rsid w:val="003F43B0"/>
    <w:pPr>
      <w:spacing w:before="120"/>
      <w:outlineLvl w:val="1"/>
    </w:pPr>
    <w:rPr>
      <w:b/>
      <w:sz w:val="28"/>
      <w:szCs w:val="28"/>
    </w:rPr>
  </w:style>
  <w:style w:type="paragraph" w:customStyle="1" w:styleId="ENotesHeading2">
    <w:name w:val="ENotesHeading 2"/>
    <w:aliases w:val="Enh2"/>
    <w:basedOn w:val="OPCParaBase"/>
    <w:next w:val="Normal"/>
    <w:rsid w:val="003F43B0"/>
    <w:pPr>
      <w:spacing w:before="120" w:after="120"/>
      <w:outlineLvl w:val="2"/>
    </w:pPr>
    <w:rPr>
      <w:b/>
      <w:sz w:val="24"/>
      <w:szCs w:val="28"/>
    </w:rPr>
  </w:style>
  <w:style w:type="paragraph" w:customStyle="1" w:styleId="ENotesHeading3">
    <w:name w:val="ENotesHeading 3"/>
    <w:aliases w:val="Enh3"/>
    <w:basedOn w:val="OPCParaBase"/>
    <w:next w:val="Normal"/>
    <w:rsid w:val="003F43B0"/>
    <w:pPr>
      <w:keepNext/>
      <w:spacing w:before="120" w:line="240" w:lineRule="auto"/>
      <w:outlineLvl w:val="4"/>
    </w:pPr>
    <w:rPr>
      <w:b/>
      <w:szCs w:val="24"/>
    </w:rPr>
  </w:style>
  <w:style w:type="paragraph" w:customStyle="1" w:styleId="ENotesText">
    <w:name w:val="ENotesText"/>
    <w:basedOn w:val="OPCParaBase"/>
    <w:next w:val="Normal"/>
    <w:rsid w:val="003F43B0"/>
  </w:style>
  <w:style w:type="paragraph" w:customStyle="1" w:styleId="CompiledActNo">
    <w:name w:val="CompiledActNo"/>
    <w:basedOn w:val="OPCParaBase"/>
    <w:next w:val="Normal"/>
    <w:rsid w:val="003F43B0"/>
    <w:rPr>
      <w:b/>
      <w:sz w:val="24"/>
      <w:szCs w:val="24"/>
    </w:rPr>
  </w:style>
  <w:style w:type="paragraph" w:customStyle="1" w:styleId="CompiledMadeUnder">
    <w:name w:val="CompiledMadeUnder"/>
    <w:basedOn w:val="OPCParaBase"/>
    <w:next w:val="Normal"/>
    <w:rsid w:val="003F43B0"/>
    <w:rPr>
      <w:i/>
      <w:sz w:val="24"/>
      <w:szCs w:val="24"/>
    </w:rPr>
  </w:style>
  <w:style w:type="paragraph" w:customStyle="1" w:styleId="Paragraphsub-sub-sub">
    <w:name w:val="Paragraph(sub-sub-sub)"/>
    <w:aliases w:val="aaaa"/>
    <w:basedOn w:val="OPCParaBase"/>
    <w:rsid w:val="003F43B0"/>
    <w:pPr>
      <w:tabs>
        <w:tab w:val="right" w:pos="3402"/>
      </w:tabs>
      <w:spacing w:before="40" w:line="240" w:lineRule="auto"/>
      <w:ind w:left="3402" w:hanging="3402"/>
    </w:pPr>
  </w:style>
  <w:style w:type="paragraph" w:customStyle="1" w:styleId="SubPartCASA">
    <w:name w:val="SubPart(CASA)"/>
    <w:aliases w:val="csp"/>
    <w:basedOn w:val="OPCParaBase"/>
    <w:next w:val="ActHead3"/>
    <w:rsid w:val="003F43B0"/>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9E075A"/>
    <w:rPr>
      <w:sz w:val="22"/>
    </w:rPr>
  </w:style>
  <w:style w:type="paragraph" w:customStyle="1" w:styleId="TableHeading">
    <w:name w:val="TableHeading"/>
    <w:aliases w:val="th"/>
    <w:basedOn w:val="OPCParaBase"/>
    <w:next w:val="Tabletext"/>
    <w:rsid w:val="003F43B0"/>
    <w:pPr>
      <w:keepNext/>
      <w:spacing w:before="60" w:line="240" w:lineRule="atLeast"/>
    </w:pPr>
    <w:rPr>
      <w:b/>
      <w:sz w:val="20"/>
    </w:rPr>
  </w:style>
  <w:style w:type="paragraph" w:customStyle="1" w:styleId="NoteToSubpara">
    <w:name w:val="NoteToSubpara"/>
    <w:aliases w:val="nts"/>
    <w:basedOn w:val="OPCParaBase"/>
    <w:rsid w:val="003F43B0"/>
    <w:pPr>
      <w:spacing w:before="40" w:line="198" w:lineRule="exact"/>
      <w:ind w:left="2835" w:hanging="709"/>
    </w:pPr>
    <w:rPr>
      <w:sz w:val="18"/>
    </w:rPr>
  </w:style>
  <w:style w:type="paragraph" w:customStyle="1" w:styleId="EndNotespara">
    <w:name w:val="EndNotes(para)"/>
    <w:aliases w:val="eta"/>
    <w:basedOn w:val="OPCParaBase"/>
    <w:next w:val="Normal"/>
    <w:rsid w:val="003F4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4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F4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43B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F43B0"/>
    <w:pPr>
      <w:keepNext/>
      <w:spacing w:before="60" w:line="240" w:lineRule="atLeast"/>
    </w:pPr>
    <w:rPr>
      <w:rFonts w:ascii="Arial" w:hAnsi="Arial"/>
      <w:b/>
      <w:sz w:val="16"/>
    </w:rPr>
  </w:style>
  <w:style w:type="paragraph" w:customStyle="1" w:styleId="ENoteTTi">
    <w:name w:val="ENoteTTi"/>
    <w:aliases w:val="entti"/>
    <w:basedOn w:val="OPCParaBase"/>
    <w:rsid w:val="003F43B0"/>
    <w:pPr>
      <w:keepNext/>
      <w:spacing w:before="60" w:line="240" w:lineRule="atLeast"/>
      <w:ind w:left="170"/>
    </w:pPr>
    <w:rPr>
      <w:sz w:val="16"/>
    </w:rPr>
  </w:style>
  <w:style w:type="paragraph" w:customStyle="1" w:styleId="ENoteTTIndentHeading">
    <w:name w:val="ENoteTTIndentHeading"/>
    <w:aliases w:val="enTTHi"/>
    <w:basedOn w:val="OPCParaBase"/>
    <w:rsid w:val="003F4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43B0"/>
    <w:pPr>
      <w:spacing w:before="60" w:line="240" w:lineRule="atLeast"/>
    </w:pPr>
    <w:rPr>
      <w:sz w:val="16"/>
    </w:rPr>
  </w:style>
  <w:style w:type="paragraph" w:customStyle="1" w:styleId="MadeunderText">
    <w:name w:val="MadeunderText"/>
    <w:basedOn w:val="OPCParaBase"/>
    <w:next w:val="CompiledMadeUnder"/>
    <w:rsid w:val="003F43B0"/>
    <w:pPr>
      <w:spacing w:before="240"/>
    </w:pPr>
    <w:rPr>
      <w:sz w:val="24"/>
      <w:szCs w:val="24"/>
    </w:rPr>
  </w:style>
  <w:style w:type="character" w:customStyle="1" w:styleId="CharSubPartTextCASA">
    <w:name w:val="CharSubPartText(CASA)"/>
    <w:basedOn w:val="OPCCharBase"/>
    <w:uiPriority w:val="1"/>
    <w:rsid w:val="003F43B0"/>
  </w:style>
  <w:style w:type="character" w:customStyle="1" w:styleId="CharSubPartNoCASA">
    <w:name w:val="CharSubPartNo(CASA)"/>
    <w:basedOn w:val="OPCCharBase"/>
    <w:uiPriority w:val="1"/>
    <w:rsid w:val="003F43B0"/>
  </w:style>
  <w:style w:type="paragraph" w:customStyle="1" w:styleId="ENoteTTIndentHeadingSub">
    <w:name w:val="ENoteTTIndentHeadingSub"/>
    <w:aliases w:val="enTTHis"/>
    <w:basedOn w:val="OPCParaBase"/>
    <w:rsid w:val="003F43B0"/>
    <w:pPr>
      <w:keepNext/>
      <w:spacing w:before="60" w:line="240" w:lineRule="atLeast"/>
      <w:ind w:left="340"/>
    </w:pPr>
    <w:rPr>
      <w:b/>
      <w:sz w:val="16"/>
    </w:rPr>
  </w:style>
  <w:style w:type="paragraph" w:customStyle="1" w:styleId="ENoteTTiSub">
    <w:name w:val="ENoteTTiSub"/>
    <w:aliases w:val="enttis"/>
    <w:basedOn w:val="OPCParaBase"/>
    <w:rsid w:val="003F43B0"/>
    <w:pPr>
      <w:keepNext/>
      <w:spacing w:before="60" w:line="240" w:lineRule="atLeast"/>
      <w:ind w:left="340"/>
    </w:pPr>
    <w:rPr>
      <w:sz w:val="16"/>
    </w:rPr>
  </w:style>
  <w:style w:type="paragraph" w:customStyle="1" w:styleId="SubDivisionMigration">
    <w:name w:val="SubDivisionMigration"/>
    <w:aliases w:val="sdm"/>
    <w:basedOn w:val="OPCParaBase"/>
    <w:rsid w:val="003F4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43B0"/>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1804">
      <w:bodyDiv w:val="1"/>
      <w:marLeft w:val="0"/>
      <w:marRight w:val="0"/>
      <w:marTop w:val="0"/>
      <w:marBottom w:val="0"/>
      <w:divBdr>
        <w:top w:val="none" w:sz="0" w:space="0" w:color="auto"/>
        <w:left w:val="none" w:sz="0" w:space="0" w:color="auto"/>
        <w:bottom w:val="none" w:sz="0" w:space="0" w:color="auto"/>
        <w:right w:val="none" w:sz="0" w:space="0" w:color="auto"/>
      </w:divBdr>
    </w:div>
    <w:div w:id="473764126">
      <w:bodyDiv w:val="1"/>
      <w:marLeft w:val="0"/>
      <w:marRight w:val="0"/>
      <w:marTop w:val="0"/>
      <w:marBottom w:val="0"/>
      <w:divBdr>
        <w:top w:val="none" w:sz="0" w:space="0" w:color="auto"/>
        <w:left w:val="none" w:sz="0" w:space="0" w:color="auto"/>
        <w:bottom w:val="none" w:sz="0" w:space="0" w:color="auto"/>
        <w:right w:val="none" w:sz="0" w:space="0" w:color="auto"/>
      </w:divBdr>
    </w:div>
    <w:div w:id="494298692">
      <w:bodyDiv w:val="1"/>
      <w:marLeft w:val="0"/>
      <w:marRight w:val="0"/>
      <w:marTop w:val="0"/>
      <w:marBottom w:val="0"/>
      <w:divBdr>
        <w:top w:val="none" w:sz="0" w:space="0" w:color="auto"/>
        <w:left w:val="none" w:sz="0" w:space="0" w:color="auto"/>
        <w:bottom w:val="none" w:sz="0" w:space="0" w:color="auto"/>
        <w:right w:val="none" w:sz="0" w:space="0" w:color="auto"/>
      </w:divBdr>
    </w:div>
    <w:div w:id="905383202">
      <w:bodyDiv w:val="1"/>
      <w:marLeft w:val="0"/>
      <w:marRight w:val="0"/>
      <w:marTop w:val="0"/>
      <w:marBottom w:val="0"/>
      <w:divBdr>
        <w:top w:val="none" w:sz="0" w:space="0" w:color="auto"/>
        <w:left w:val="none" w:sz="0" w:space="0" w:color="auto"/>
        <w:bottom w:val="none" w:sz="0" w:space="0" w:color="auto"/>
        <w:right w:val="none" w:sz="0" w:space="0" w:color="auto"/>
      </w:divBdr>
    </w:div>
    <w:div w:id="1683581006">
      <w:bodyDiv w:val="1"/>
      <w:marLeft w:val="0"/>
      <w:marRight w:val="0"/>
      <w:marTop w:val="0"/>
      <w:marBottom w:val="0"/>
      <w:divBdr>
        <w:top w:val="none" w:sz="0" w:space="0" w:color="auto"/>
        <w:left w:val="none" w:sz="0" w:space="0" w:color="auto"/>
        <w:bottom w:val="none" w:sz="0" w:space="0" w:color="auto"/>
        <w:right w:val="none" w:sz="0" w:space="0" w:color="auto"/>
      </w:divBdr>
    </w:div>
    <w:div w:id="20942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2AC8-CE16-4F42-8971-93DB6C4C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30</Pages>
  <Words>5002</Words>
  <Characters>27401</Characters>
  <Application>Microsoft Office Word</Application>
  <DocSecurity>0</DocSecurity>
  <PresentationFormat/>
  <Lines>228</Lines>
  <Paragraphs>64</Paragraphs>
  <ScaleCrop>false</ScaleCrop>
  <HeadingPairs>
    <vt:vector size="2" baseType="variant">
      <vt:variant>
        <vt:lpstr>Title</vt:lpstr>
      </vt:variant>
      <vt:variant>
        <vt:i4>1</vt:i4>
      </vt:variant>
    </vt:vector>
  </HeadingPairs>
  <TitlesOfParts>
    <vt:vector size="1" baseType="lpstr">
      <vt:lpstr>Product Stewardship (Televisions and Computers) Amendment (Single Product Class) Regulation 2013</vt:lpstr>
    </vt:vector>
  </TitlesOfParts>
  <Manager/>
  <Company/>
  <LinksUpToDate>false</LinksUpToDate>
  <CharactersWithSpaces>32339</CharactersWithSpaces>
  <SharedDoc>false</SharedDoc>
  <HyperlinkBase/>
  <HLinks>
    <vt:vector size="12" baseType="variant">
      <vt:variant>
        <vt:i4>6160468</vt:i4>
      </vt:variant>
      <vt:variant>
        <vt:i4>132</vt:i4>
      </vt:variant>
      <vt:variant>
        <vt:i4>0</vt:i4>
      </vt:variant>
      <vt:variant>
        <vt:i4>5</vt:i4>
      </vt:variant>
      <vt:variant>
        <vt:lpwstr>http://www.comlaw.gov.au/</vt:lpwstr>
      </vt:variant>
      <vt:variant>
        <vt:lpwstr/>
      </vt:variant>
      <vt:variant>
        <vt:i4>7864358</vt:i4>
      </vt:variant>
      <vt:variant>
        <vt:i4>24</vt:i4>
      </vt:variant>
      <vt:variant>
        <vt:i4>0</vt:i4>
      </vt:variant>
      <vt:variant>
        <vt:i4>5</vt:i4>
      </vt:variant>
      <vt:variant>
        <vt:lpwstr>http://www.customs.gov.au/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2013-01-31T00:27:00Z</cp:lastPrinted>
  <dcterms:created xsi:type="dcterms:W3CDTF">2013-06-24T04:38:00Z</dcterms:created>
  <dcterms:modified xsi:type="dcterms:W3CDTF">2013-06-28T00:58:00Z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1314</vt:lpwstr>
  </property>
  <property fmtid="{D5CDD505-2E9C-101B-9397-08002B2CF9AE}" pid="3" name="IndexMatter">
    <vt:lpwstr>1218271A</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150, 2013</vt:lpwstr>
  </property>
  <property fmtid="{D5CDD505-2E9C-101B-9397-08002B2CF9AE}" pid="8" name="ShortT">
    <vt:lpwstr>Product Stewardship (Televisions and Computers) Amendment (Single Product Class) Regulation 2013</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AMD</vt:lpwstr>
  </property>
  <property fmtid="{D5CDD505-2E9C-101B-9397-08002B2CF9AE}" pid="12" name="Exco">
    <vt:lpwstr>Yes</vt:lpwstr>
  </property>
  <property fmtid="{D5CDD505-2E9C-101B-9397-08002B2CF9AE}" pid="13" name="Authority">
    <vt:lpwstr/>
  </property>
  <property fmtid="{D5CDD505-2E9C-101B-9397-08002B2CF9AE}" pid="14" name="DateMade">
    <vt:lpwstr>28 June 2013</vt:lpwstr>
  </property>
  <property fmtid="{D5CDD505-2E9C-101B-9397-08002B2CF9AE}" pid="15" name="ID">
    <vt:lpwstr>OPC50272</vt:lpwstr>
  </property>
  <property fmtid="{D5CDD505-2E9C-101B-9397-08002B2CF9AE}" pid="16" name="DoNotAsk">
    <vt:lpwstr>0</vt:lpwstr>
  </property>
  <property fmtid="{D5CDD505-2E9C-101B-9397-08002B2CF9AE}" pid="17" name="ChangedTitle">
    <vt:lpwstr/>
  </property>
  <property fmtid="{D5CDD505-2E9C-101B-9397-08002B2CF9AE}" pid="18" name="CounterSign">
    <vt:lpwstr/>
  </property>
  <property fmtid="{D5CDD505-2E9C-101B-9397-08002B2CF9AE}" pid="19" name="ExcoDate">
    <vt:lpwstr>28 June 2013</vt:lpwstr>
  </property>
</Properties>
</file>