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01" w:rsidRDefault="005F7C01" w:rsidP="005F7C01">
      <w:pPr>
        <w:ind w:right="91"/>
        <w:jc w:val="center"/>
      </w:pPr>
      <w:r w:rsidRPr="000E39BF">
        <w:rPr>
          <w:b/>
          <w:u w:val="single"/>
        </w:rPr>
        <w:t xml:space="preserve">EXPLANATORY </w:t>
      </w:r>
      <w:r>
        <w:rPr>
          <w:b/>
          <w:u w:val="single"/>
        </w:rPr>
        <w:t>STATEMENT</w:t>
      </w:r>
    </w:p>
    <w:p w:rsidR="005F7C01" w:rsidRDefault="005F7C01" w:rsidP="005F7C01">
      <w:pPr>
        <w:ind w:right="91"/>
      </w:pPr>
    </w:p>
    <w:p w:rsidR="005F7C01" w:rsidRPr="007D7CED" w:rsidRDefault="005F7C01" w:rsidP="005F7C01">
      <w:pPr>
        <w:jc w:val="center"/>
        <w:rPr>
          <w:b/>
          <w:color w:val="000000" w:themeColor="text1"/>
          <w:u w:val="single"/>
        </w:rPr>
      </w:pPr>
      <w:r w:rsidRPr="007D7CED">
        <w:rPr>
          <w:b/>
          <w:color w:val="000000" w:themeColor="text1"/>
          <w:u w:val="single"/>
        </w:rPr>
        <w:t>Select Legislative Instrument 2013 No.</w:t>
      </w:r>
      <w:r w:rsidR="007D7CED" w:rsidRPr="007D7CED">
        <w:rPr>
          <w:b/>
          <w:color w:val="000000" w:themeColor="text1"/>
          <w:u w:val="single"/>
        </w:rPr>
        <w:t xml:space="preserve"> 141</w:t>
      </w:r>
    </w:p>
    <w:p w:rsidR="005F7C01" w:rsidRPr="005C3C2E" w:rsidRDefault="005F7C01" w:rsidP="005F7C01">
      <w:pPr>
        <w:jc w:val="center"/>
        <w:rPr>
          <w:b/>
          <w:color w:val="000000" w:themeColor="text1"/>
        </w:rPr>
      </w:pPr>
    </w:p>
    <w:p w:rsidR="005F7C01" w:rsidRPr="005C3C2E" w:rsidRDefault="005F7C01" w:rsidP="005F7C01">
      <w:pPr>
        <w:jc w:val="center"/>
        <w:rPr>
          <w:b/>
          <w:color w:val="000000" w:themeColor="text1"/>
        </w:rPr>
      </w:pPr>
      <w:r w:rsidRPr="005C3C2E">
        <w:rPr>
          <w:b/>
          <w:color w:val="000000" w:themeColor="text1"/>
        </w:rPr>
        <w:t>Issued by the Authority of the Minister for Finance and Deregulation</w:t>
      </w:r>
    </w:p>
    <w:p w:rsidR="005F7C01" w:rsidRDefault="005F7C01" w:rsidP="005F7C01">
      <w:pPr>
        <w:tabs>
          <w:tab w:val="left" w:pos="1701"/>
        </w:tabs>
        <w:ind w:right="91"/>
      </w:pPr>
    </w:p>
    <w:p w:rsidR="005F7C01" w:rsidRDefault="005F7C01" w:rsidP="005F7C01">
      <w:pPr>
        <w:tabs>
          <w:tab w:val="left" w:pos="1701"/>
        </w:tabs>
        <w:ind w:right="91"/>
        <w:rPr>
          <w:i/>
        </w:rPr>
      </w:pPr>
      <w:r w:rsidRPr="000E39BF">
        <w:tab/>
      </w:r>
      <w:r w:rsidRPr="000E39BF">
        <w:rPr>
          <w:i/>
        </w:rPr>
        <w:t>Financial Management and Accountability Act 1997</w:t>
      </w:r>
    </w:p>
    <w:p w:rsidR="005F7C01" w:rsidRDefault="005F7C01" w:rsidP="005F7C01">
      <w:pPr>
        <w:tabs>
          <w:tab w:val="left" w:pos="1701"/>
        </w:tabs>
        <w:ind w:right="91"/>
      </w:pPr>
    </w:p>
    <w:p w:rsidR="005F7C01" w:rsidRDefault="005F7C01" w:rsidP="005F7C01">
      <w:pPr>
        <w:tabs>
          <w:tab w:val="left" w:pos="1701"/>
        </w:tabs>
        <w:ind w:left="1695" w:right="91"/>
        <w:rPr>
          <w:i/>
        </w:rPr>
      </w:pPr>
      <w:r w:rsidRPr="000E39BF">
        <w:rPr>
          <w:i/>
        </w:rPr>
        <w:t xml:space="preserve">Financial Management and Accountability Amendment </w:t>
      </w:r>
    </w:p>
    <w:p w:rsidR="005F7C01" w:rsidRDefault="007D7CED" w:rsidP="005F7C01">
      <w:pPr>
        <w:tabs>
          <w:tab w:val="left" w:pos="1701"/>
        </w:tabs>
        <w:ind w:left="1695" w:right="91"/>
        <w:rPr>
          <w:i/>
        </w:rPr>
      </w:pPr>
      <w:r>
        <w:rPr>
          <w:i/>
        </w:rPr>
        <w:t>Regulation 2013 (No. 4</w:t>
      </w:r>
      <w:r w:rsidR="005F7C01">
        <w:rPr>
          <w:i/>
          <w:szCs w:val="24"/>
        </w:rPr>
        <w:t>)</w:t>
      </w:r>
    </w:p>
    <w:p w:rsidR="005F7C01" w:rsidRDefault="005F7C01" w:rsidP="005F7C01">
      <w:pPr>
        <w:ind w:right="91"/>
      </w:pPr>
    </w:p>
    <w:p w:rsidR="005F7C01" w:rsidRDefault="005F7C01" w:rsidP="005F7C01">
      <w:pPr>
        <w:ind w:right="91"/>
      </w:pPr>
      <w:r w:rsidRPr="000E39BF">
        <w:t xml:space="preserve">The </w:t>
      </w:r>
      <w:r w:rsidRPr="000E39BF">
        <w:rPr>
          <w:i/>
        </w:rPr>
        <w:t>Financial Management and Account</w:t>
      </w:r>
      <w:bookmarkStart w:id="0" w:name="_GoBack"/>
      <w:bookmarkEnd w:id="0"/>
      <w:r w:rsidRPr="000E39BF">
        <w:rPr>
          <w:i/>
        </w:rPr>
        <w:t>ability Act 1997</w:t>
      </w:r>
      <w:r w:rsidRPr="000E39BF">
        <w:t xml:space="preserve"> (the FMA Act) </w:t>
      </w:r>
      <w:r w:rsidRPr="000E39BF">
        <w:rPr>
          <w:szCs w:val="24"/>
        </w:rPr>
        <w:t>provides a framework of rules for the proper management of public money and public property by Chief Executives and officials of FMA Act agencies.  The FMA Act applies to Commonwealth Departments of State and their staff, parliamentary departments and their staff, and prescribed agencies.</w:t>
      </w:r>
    </w:p>
    <w:p w:rsidR="005F7C01" w:rsidRDefault="005F7C01" w:rsidP="005F7C01">
      <w:pPr>
        <w:pStyle w:val="ParaNumbering"/>
        <w:tabs>
          <w:tab w:val="clear" w:pos="360"/>
          <w:tab w:val="clear" w:pos="567"/>
        </w:tabs>
        <w:spacing w:after="0" w:line="240" w:lineRule="auto"/>
        <w:ind w:right="-51"/>
        <w:rPr>
          <w:szCs w:val="24"/>
        </w:rPr>
      </w:pPr>
    </w:p>
    <w:p w:rsidR="005F7C01" w:rsidRDefault="005F7C01" w:rsidP="005F7C01">
      <w:pPr>
        <w:pStyle w:val="ParaNumbering"/>
        <w:tabs>
          <w:tab w:val="clear" w:pos="360"/>
          <w:tab w:val="clear" w:pos="567"/>
        </w:tabs>
        <w:spacing w:after="0" w:line="240" w:lineRule="auto"/>
        <w:ind w:right="-51"/>
        <w:rPr>
          <w:szCs w:val="24"/>
        </w:rPr>
      </w:pPr>
      <w:r w:rsidRPr="000E39BF">
        <w:rPr>
          <w:szCs w:val="24"/>
        </w:rPr>
        <w:t>Subsection 65(1) of the FMA Act provides that the Governor-General may make regulations prescribing matters required or permitted by that Act to be prescribed, or necessary or convenient to be prescribed for carrying out or giving effect to that Act.</w:t>
      </w:r>
    </w:p>
    <w:p w:rsidR="005F7C01" w:rsidRDefault="005F7C01" w:rsidP="005F7C01"/>
    <w:p w:rsidR="005F7C01" w:rsidRDefault="005F7C01" w:rsidP="005F7C01">
      <w:pPr>
        <w:rPr>
          <w:color w:val="000000" w:themeColor="text1"/>
        </w:rPr>
      </w:pPr>
      <w:r w:rsidRPr="000E39BF">
        <w:rPr>
          <w:szCs w:val="24"/>
        </w:rPr>
        <w:t xml:space="preserve">Section 5 of the FMA Act provides that, for the purposes of the FMA Act, a prescribed agency means a body, organisation or group of persons prescribed by the regulations for the purposes of that definition.  Agencies are prescribed in Schedule 1 to the </w:t>
      </w:r>
      <w:r w:rsidR="00D0413E" w:rsidRPr="00E64174">
        <w:rPr>
          <w:i/>
          <w:szCs w:val="24"/>
        </w:rPr>
        <w:t>Financial Management and Accountability Regulations 1997</w:t>
      </w:r>
      <w:r w:rsidR="00D0413E">
        <w:rPr>
          <w:szCs w:val="24"/>
        </w:rPr>
        <w:t xml:space="preserve"> (the </w:t>
      </w:r>
      <w:r>
        <w:rPr>
          <w:szCs w:val="24"/>
        </w:rPr>
        <w:t xml:space="preserve">Principal </w:t>
      </w:r>
      <w:r>
        <w:rPr>
          <w:color w:val="000000" w:themeColor="text1"/>
          <w:lang w:eastAsia="en-US"/>
        </w:rPr>
        <w:t>Regulations</w:t>
      </w:r>
      <w:r w:rsidR="00D0413E">
        <w:rPr>
          <w:color w:val="000000" w:themeColor="text1"/>
          <w:lang w:eastAsia="en-US"/>
        </w:rPr>
        <w:t>)</w:t>
      </w:r>
      <w:r w:rsidRPr="00632DE3">
        <w:rPr>
          <w:color w:val="000000" w:themeColor="text1"/>
          <w:szCs w:val="24"/>
        </w:rPr>
        <w:t>.</w:t>
      </w:r>
      <w:r>
        <w:rPr>
          <w:color w:val="000000" w:themeColor="text1"/>
          <w:szCs w:val="24"/>
        </w:rPr>
        <w:t xml:space="preserve">  </w:t>
      </w:r>
    </w:p>
    <w:p w:rsidR="005F7C01" w:rsidRDefault="005F7C01" w:rsidP="005F7C01">
      <w:pPr>
        <w:rPr>
          <w:color w:val="000000" w:themeColor="text1"/>
          <w:szCs w:val="24"/>
        </w:rPr>
      </w:pPr>
    </w:p>
    <w:p w:rsidR="005F7C01" w:rsidRDefault="005F7C01" w:rsidP="005F7C01">
      <w:pPr>
        <w:rPr>
          <w:color w:val="000000" w:themeColor="text1"/>
          <w:szCs w:val="24"/>
        </w:rPr>
      </w:pPr>
      <w:r>
        <w:rPr>
          <w:color w:val="000000" w:themeColor="text1"/>
          <w:szCs w:val="24"/>
        </w:rPr>
        <w:t xml:space="preserve">Schedule 1 to the Principal Regulations lists the Australian Customs and Border Protection Service (Customs) as a prescribed agency for the purposes of the FMA Act.  Amendments to the </w:t>
      </w:r>
      <w:r w:rsidRPr="001D6688">
        <w:rPr>
          <w:i/>
          <w:color w:val="000000" w:themeColor="text1"/>
          <w:szCs w:val="24"/>
        </w:rPr>
        <w:t>Customs Act 1901</w:t>
      </w:r>
      <w:r>
        <w:rPr>
          <w:i/>
          <w:color w:val="000000" w:themeColor="text1"/>
          <w:szCs w:val="24"/>
        </w:rPr>
        <w:t>,</w:t>
      </w:r>
      <w:r>
        <w:rPr>
          <w:color w:val="000000" w:themeColor="text1"/>
          <w:szCs w:val="24"/>
        </w:rPr>
        <w:t xml:space="preserve"> which come into effect on 1 July 2013, </w:t>
      </w:r>
      <w:r>
        <w:rPr>
          <w:szCs w:val="24"/>
        </w:rPr>
        <w:t>establish the Anti-Dumping Commission within Customs.  The Regulation prescribes the Anti</w:t>
      </w:r>
      <w:r>
        <w:rPr>
          <w:szCs w:val="24"/>
        </w:rPr>
        <w:noBreakHyphen/>
        <w:t>Dumping Commission in Schedule 1 as part of Customs so that this new body is also subject to the requirements of the FMA Act</w:t>
      </w:r>
      <w:r>
        <w:rPr>
          <w:color w:val="000000" w:themeColor="text1"/>
          <w:szCs w:val="24"/>
        </w:rPr>
        <w:t>.</w:t>
      </w:r>
    </w:p>
    <w:p w:rsidR="005F7C01" w:rsidRDefault="005F7C01" w:rsidP="005F7C01">
      <w:pPr>
        <w:rPr>
          <w:color w:val="000000" w:themeColor="text1"/>
          <w:szCs w:val="24"/>
        </w:rPr>
      </w:pPr>
    </w:p>
    <w:p w:rsidR="005F7C01" w:rsidRDefault="005F7C01" w:rsidP="005F7C01">
      <w:pPr>
        <w:rPr>
          <w:color w:val="000000" w:themeColor="text1"/>
          <w:szCs w:val="24"/>
        </w:rPr>
      </w:pPr>
      <w:r>
        <w:rPr>
          <w:color w:val="000000" w:themeColor="text1"/>
          <w:szCs w:val="24"/>
        </w:rPr>
        <w:t>Schedule 1 to the Principal Regulations also lists the Family Court of Australia and the Federal Magistrates Court of Australia as two separate prescribed agencies for the purposes of the FMA Act.  The </w:t>
      </w:r>
      <w:r w:rsidRPr="00AB76A8">
        <w:rPr>
          <w:i/>
          <w:color w:val="000000" w:themeColor="text1"/>
          <w:szCs w:val="24"/>
        </w:rPr>
        <w:t>Federal Circuit Court of Australia Legislation Amendment Act 2012</w:t>
      </w:r>
      <w:r>
        <w:rPr>
          <w:color w:val="000000" w:themeColor="text1"/>
          <w:szCs w:val="24"/>
        </w:rPr>
        <w:t xml:space="preserve">, which came into effect on 12 April 2013, changed the name of the Federal Magistrates Court of Australia to the Federal Circuit Court of Australia.  </w:t>
      </w:r>
    </w:p>
    <w:p w:rsidR="005F7C01" w:rsidRDefault="005F7C01" w:rsidP="005F7C01">
      <w:pPr>
        <w:rPr>
          <w:color w:val="000000" w:themeColor="text1"/>
          <w:szCs w:val="24"/>
        </w:rPr>
      </w:pPr>
    </w:p>
    <w:p w:rsidR="005F7C01" w:rsidRDefault="005F7C01" w:rsidP="005F7C01">
      <w:pPr>
        <w:rPr>
          <w:color w:val="000000" w:themeColor="text1"/>
          <w:szCs w:val="24"/>
        </w:rPr>
      </w:pPr>
      <w:r>
        <w:rPr>
          <w:color w:val="000000" w:themeColor="text1"/>
          <w:szCs w:val="24"/>
        </w:rPr>
        <w:t xml:space="preserve">From 1 July 2013, a single agency will be responsible for the administration of the Family Court of Australia and the Federal Circuit Court of Australia.  This agency will be called the Family Court and Federal Circuit Court and will have a single Chief Executive Officer.  </w:t>
      </w:r>
      <w:r w:rsidR="00906ADD">
        <w:rPr>
          <w:color w:val="000000" w:themeColor="text1"/>
        </w:rPr>
        <w:t>The </w:t>
      </w:r>
      <w:r>
        <w:rPr>
          <w:color w:val="000000" w:themeColor="text1"/>
        </w:rPr>
        <w:t>Regulation prescribes the</w:t>
      </w:r>
      <w:r>
        <w:rPr>
          <w:color w:val="000000" w:themeColor="text1"/>
          <w:szCs w:val="24"/>
        </w:rPr>
        <w:t xml:space="preserve"> new single agency in Schedule 1 so that it is subject to the requirements of the FMA Act.</w:t>
      </w:r>
    </w:p>
    <w:p w:rsidR="005F7C01" w:rsidRDefault="005F7C01" w:rsidP="005F7C01">
      <w:pPr>
        <w:rPr>
          <w:color w:val="000000" w:themeColor="text1"/>
          <w:szCs w:val="24"/>
        </w:rPr>
      </w:pPr>
    </w:p>
    <w:p w:rsidR="005F7C01" w:rsidRDefault="005F7C01" w:rsidP="005F7C01">
      <w:pPr>
        <w:rPr>
          <w:color w:val="000000" w:themeColor="text1"/>
          <w:szCs w:val="24"/>
        </w:rPr>
      </w:pPr>
      <w:r w:rsidRPr="000E39BF">
        <w:rPr>
          <w:color w:val="000000" w:themeColor="text1"/>
          <w:szCs w:val="24"/>
        </w:rPr>
        <w:t xml:space="preserve">Details of the Regulation are set out in the </w:t>
      </w:r>
      <w:r w:rsidRPr="000E39BF">
        <w:rPr>
          <w:color w:val="000000" w:themeColor="text1"/>
          <w:szCs w:val="24"/>
          <w:u w:val="single"/>
        </w:rPr>
        <w:t>Attachment</w:t>
      </w:r>
      <w:r w:rsidRPr="000E39BF">
        <w:rPr>
          <w:color w:val="000000" w:themeColor="text1"/>
          <w:szCs w:val="24"/>
        </w:rPr>
        <w:t>.</w:t>
      </w:r>
    </w:p>
    <w:p w:rsidR="005F7C01" w:rsidRDefault="005F7C01" w:rsidP="005F7C01">
      <w:pPr>
        <w:pStyle w:val="ParaNumbering"/>
        <w:tabs>
          <w:tab w:val="clear" w:pos="360"/>
          <w:tab w:val="clear" w:pos="567"/>
        </w:tabs>
        <w:spacing w:after="0" w:line="240" w:lineRule="auto"/>
        <w:rPr>
          <w:color w:val="000000" w:themeColor="text1"/>
        </w:rPr>
      </w:pPr>
    </w:p>
    <w:p w:rsidR="005F7C01" w:rsidRDefault="005F7C01" w:rsidP="00906ADD">
      <w:pPr>
        <w:pStyle w:val="ParaNumbering"/>
        <w:tabs>
          <w:tab w:val="clear" w:pos="360"/>
          <w:tab w:val="clear" w:pos="567"/>
        </w:tabs>
        <w:spacing w:after="0" w:line="240" w:lineRule="auto"/>
        <w:rPr>
          <w:color w:val="000000" w:themeColor="text1"/>
          <w:szCs w:val="24"/>
        </w:rPr>
      </w:pPr>
      <w:r w:rsidRPr="00706F2A">
        <w:rPr>
          <w:color w:val="000000" w:themeColor="text1"/>
        </w:rPr>
        <w:t xml:space="preserve">The Regulation </w:t>
      </w:r>
      <w:r w:rsidRPr="003C7301">
        <w:rPr>
          <w:color w:val="000000" w:themeColor="text1"/>
          <w:szCs w:val="24"/>
        </w:rPr>
        <w:t>is</w:t>
      </w:r>
      <w:r w:rsidRPr="00706F2A">
        <w:rPr>
          <w:color w:val="000000" w:themeColor="text1"/>
        </w:rPr>
        <w:t xml:space="preserve"> a legislative instrument for the purposes of the</w:t>
      </w:r>
      <w:r w:rsidRPr="00706F2A">
        <w:rPr>
          <w:i/>
          <w:color w:val="000000" w:themeColor="text1"/>
        </w:rPr>
        <w:t xml:space="preserve"> Legislative Instruments Act</w:t>
      </w:r>
      <w:r>
        <w:rPr>
          <w:i/>
          <w:color w:val="000000" w:themeColor="text1"/>
        </w:rPr>
        <w:t> </w:t>
      </w:r>
      <w:r w:rsidRPr="00706F2A">
        <w:rPr>
          <w:i/>
          <w:color w:val="000000" w:themeColor="text1"/>
        </w:rPr>
        <w:t>2003.</w:t>
      </w:r>
      <w:r>
        <w:rPr>
          <w:i/>
          <w:color w:val="000000" w:themeColor="text1"/>
        </w:rPr>
        <w:t xml:space="preserve"> </w:t>
      </w:r>
      <w:r w:rsidR="00906ADD">
        <w:rPr>
          <w:i/>
          <w:color w:val="000000" w:themeColor="text1"/>
        </w:rPr>
        <w:t xml:space="preserve"> </w:t>
      </w:r>
      <w:r w:rsidR="00D0413E">
        <w:rPr>
          <w:color w:val="000000" w:themeColor="text1"/>
          <w:szCs w:val="24"/>
        </w:rPr>
        <w:t>The</w:t>
      </w:r>
      <w:r>
        <w:rPr>
          <w:color w:val="000000" w:themeColor="text1"/>
          <w:szCs w:val="24"/>
        </w:rPr>
        <w:t xml:space="preserve"> Regulation commences on</w:t>
      </w:r>
      <w:r w:rsidRPr="00632DE3">
        <w:rPr>
          <w:color w:val="000000" w:themeColor="text1"/>
          <w:szCs w:val="24"/>
        </w:rPr>
        <w:t xml:space="preserve"> </w:t>
      </w:r>
      <w:r>
        <w:rPr>
          <w:color w:val="000000" w:themeColor="text1"/>
          <w:szCs w:val="24"/>
        </w:rPr>
        <w:t>1 July 2013.</w:t>
      </w:r>
    </w:p>
    <w:p w:rsidR="005F7C01" w:rsidRDefault="005F7C01" w:rsidP="005F7C01">
      <w:pPr>
        <w:rPr>
          <w:color w:val="000000" w:themeColor="text1"/>
          <w:szCs w:val="24"/>
        </w:rPr>
      </w:pPr>
    </w:p>
    <w:p w:rsidR="00A51066" w:rsidRDefault="005F7C01">
      <w:pPr>
        <w:ind w:right="510"/>
        <w:rPr>
          <w:b/>
          <w:bCs/>
          <w:szCs w:val="24"/>
        </w:rPr>
      </w:pPr>
      <w:r w:rsidRPr="003C7301">
        <w:rPr>
          <w:b/>
          <w:bCs/>
          <w:szCs w:val="24"/>
        </w:rPr>
        <w:lastRenderedPageBreak/>
        <w:t>Consultation</w:t>
      </w:r>
    </w:p>
    <w:p w:rsidR="00A51066" w:rsidRDefault="00A51066">
      <w:pPr>
        <w:rPr>
          <w:color w:val="000000" w:themeColor="text1"/>
          <w:szCs w:val="24"/>
        </w:rPr>
      </w:pPr>
    </w:p>
    <w:p w:rsidR="00A51066" w:rsidRDefault="005F7C01">
      <w:pPr>
        <w:rPr>
          <w:color w:val="000000" w:themeColor="text1"/>
          <w:szCs w:val="24"/>
        </w:rPr>
      </w:pPr>
      <w:r w:rsidRPr="003C7301">
        <w:rPr>
          <w:color w:val="000000" w:themeColor="text1"/>
          <w:szCs w:val="24"/>
        </w:rPr>
        <w:t xml:space="preserve">In accordance with section 17 of the </w:t>
      </w:r>
      <w:r w:rsidRPr="003C7301">
        <w:rPr>
          <w:i/>
          <w:iCs/>
          <w:color w:val="000000" w:themeColor="text1"/>
          <w:szCs w:val="24"/>
        </w:rPr>
        <w:t>Legislative Instruments Act 2003</w:t>
      </w:r>
      <w:r w:rsidRPr="003C7301">
        <w:rPr>
          <w:color w:val="000000" w:themeColor="text1"/>
          <w:szCs w:val="24"/>
        </w:rPr>
        <w:t xml:space="preserve">, consultation has taken place with </w:t>
      </w:r>
      <w:r w:rsidR="00E64174">
        <w:rPr>
          <w:color w:val="000000" w:themeColor="text1"/>
          <w:szCs w:val="24"/>
        </w:rPr>
        <w:t xml:space="preserve">the Attorney-General’s </w:t>
      </w:r>
      <w:r>
        <w:rPr>
          <w:color w:val="000000" w:themeColor="text1"/>
          <w:szCs w:val="24"/>
        </w:rPr>
        <w:t>Department</w:t>
      </w:r>
      <w:r w:rsidR="008B3EBB">
        <w:rPr>
          <w:color w:val="000000" w:themeColor="text1"/>
          <w:szCs w:val="24"/>
        </w:rPr>
        <w:t xml:space="preserve"> and Customs</w:t>
      </w:r>
      <w:r w:rsidR="001D68F2">
        <w:rPr>
          <w:color w:val="000000" w:themeColor="text1"/>
          <w:szCs w:val="24"/>
        </w:rPr>
        <w:t>.</w:t>
      </w:r>
    </w:p>
    <w:p w:rsidR="00A51066" w:rsidRDefault="00A51066">
      <w:pPr>
        <w:rPr>
          <w:color w:val="000000" w:themeColor="text1"/>
          <w:szCs w:val="24"/>
        </w:rPr>
      </w:pPr>
    </w:p>
    <w:p w:rsidR="00A51066" w:rsidRDefault="005F7C01">
      <w:pPr>
        <w:pStyle w:val="ParaNumbering"/>
        <w:tabs>
          <w:tab w:val="clear" w:pos="360"/>
          <w:tab w:val="clear" w:pos="567"/>
        </w:tabs>
        <w:spacing w:after="0" w:line="240" w:lineRule="auto"/>
        <w:rPr>
          <w:iCs/>
          <w:szCs w:val="24"/>
        </w:rPr>
      </w:pPr>
      <w:r w:rsidRPr="003C7301">
        <w:rPr>
          <w:iCs/>
          <w:szCs w:val="24"/>
        </w:rPr>
        <w:t>A regulation impact statement is not required as the Regulation only applies to FMA</w:t>
      </w:r>
      <w:r>
        <w:rPr>
          <w:iCs/>
          <w:szCs w:val="24"/>
        </w:rPr>
        <w:t> </w:t>
      </w:r>
      <w:r w:rsidRPr="003C7301">
        <w:rPr>
          <w:iCs/>
          <w:szCs w:val="24"/>
        </w:rPr>
        <w:t xml:space="preserve">Act </w:t>
      </w:r>
      <w:r w:rsidR="00E64174">
        <w:rPr>
          <w:iCs/>
          <w:szCs w:val="24"/>
        </w:rPr>
        <w:t>a</w:t>
      </w:r>
      <w:r w:rsidRPr="003C7301">
        <w:rPr>
          <w:iCs/>
          <w:szCs w:val="24"/>
        </w:rPr>
        <w:t xml:space="preserve">gencies, and does not </w:t>
      </w:r>
      <w:r>
        <w:rPr>
          <w:iCs/>
          <w:szCs w:val="24"/>
        </w:rPr>
        <w:t xml:space="preserve">adversely </w:t>
      </w:r>
      <w:r w:rsidRPr="003C7301">
        <w:rPr>
          <w:iCs/>
          <w:szCs w:val="24"/>
        </w:rPr>
        <w:t>affect the private sector.</w:t>
      </w:r>
    </w:p>
    <w:p w:rsidR="00A51066" w:rsidRDefault="00A51066">
      <w:pPr>
        <w:pStyle w:val="ParaNumbering"/>
        <w:tabs>
          <w:tab w:val="clear" w:pos="360"/>
          <w:tab w:val="clear" w:pos="567"/>
        </w:tabs>
        <w:spacing w:after="0" w:line="240" w:lineRule="auto"/>
        <w:rPr>
          <w:iCs/>
          <w:szCs w:val="24"/>
        </w:rPr>
      </w:pPr>
    </w:p>
    <w:p w:rsidR="00A51066" w:rsidRDefault="005F7C01">
      <w:pPr>
        <w:keepNext/>
        <w:ind w:right="510"/>
        <w:rPr>
          <w:b/>
          <w:bCs/>
          <w:szCs w:val="24"/>
        </w:rPr>
      </w:pPr>
      <w:r w:rsidRPr="003C7301">
        <w:rPr>
          <w:b/>
          <w:bCs/>
          <w:szCs w:val="24"/>
        </w:rPr>
        <w:t>Statement of Compatibility with Human Rights</w:t>
      </w:r>
    </w:p>
    <w:p w:rsidR="00A51066" w:rsidRDefault="00A51066">
      <w:pPr>
        <w:tabs>
          <w:tab w:val="left" w:pos="0"/>
        </w:tabs>
        <w:rPr>
          <w:color w:val="000000" w:themeColor="text1"/>
          <w:szCs w:val="24"/>
        </w:rPr>
      </w:pPr>
    </w:p>
    <w:p w:rsidR="00A51066" w:rsidRDefault="005F7C01">
      <w:pPr>
        <w:tabs>
          <w:tab w:val="left" w:pos="0"/>
        </w:tabs>
        <w:rPr>
          <w:color w:val="000000" w:themeColor="text1"/>
          <w:szCs w:val="24"/>
        </w:rPr>
      </w:pPr>
      <w:r w:rsidRPr="003C7301">
        <w:rPr>
          <w:color w:val="000000" w:themeColor="text1"/>
          <w:szCs w:val="24"/>
        </w:rPr>
        <w:t>The Regulation is compatible with the human rights and freedoms recognised or declared</w:t>
      </w:r>
      <w:r w:rsidRPr="00706F2A">
        <w:rPr>
          <w:color w:val="000000" w:themeColor="text1"/>
        </w:rPr>
        <w:t xml:space="preserve"> in the</w:t>
      </w:r>
      <w:r>
        <w:rPr>
          <w:color w:val="000000" w:themeColor="text1"/>
        </w:rPr>
        <w:t xml:space="preserve"> </w:t>
      </w:r>
      <w:r w:rsidRPr="003C7301">
        <w:rPr>
          <w:color w:val="000000" w:themeColor="text1"/>
          <w:szCs w:val="24"/>
        </w:rPr>
        <w:t>international instruments listed in section 3 of the</w:t>
      </w:r>
      <w:r w:rsidRPr="003C7301">
        <w:rPr>
          <w:i/>
          <w:iCs/>
          <w:color w:val="000000" w:themeColor="text1"/>
          <w:szCs w:val="24"/>
        </w:rPr>
        <w:t xml:space="preserve"> Human Rights (Parliamentary Scrutiny) Act 2011</w:t>
      </w:r>
      <w:r w:rsidRPr="003C7301">
        <w:rPr>
          <w:color w:val="000000" w:themeColor="text1"/>
          <w:szCs w:val="24"/>
        </w:rPr>
        <w:t xml:space="preserve">. </w:t>
      </w:r>
    </w:p>
    <w:p w:rsidR="00A51066" w:rsidRDefault="00A51066">
      <w:pPr>
        <w:tabs>
          <w:tab w:val="left" w:pos="0"/>
        </w:tabs>
        <w:rPr>
          <w:color w:val="000000" w:themeColor="text1"/>
          <w:szCs w:val="24"/>
        </w:rPr>
      </w:pPr>
    </w:p>
    <w:p w:rsidR="00D0413E" w:rsidRDefault="005F7C01" w:rsidP="00D0413E">
      <w:pPr>
        <w:tabs>
          <w:tab w:val="left" w:pos="0"/>
        </w:tabs>
        <w:rPr>
          <w:color w:val="000000" w:themeColor="text1"/>
          <w:szCs w:val="24"/>
        </w:rPr>
      </w:pPr>
      <w:r>
        <w:rPr>
          <w:color w:val="000000" w:themeColor="text1"/>
          <w:szCs w:val="24"/>
        </w:rPr>
        <w:t xml:space="preserve">Schedule 1 to the Principal Regulations prescribes agencies for the purposes of the FMA Act.  </w:t>
      </w:r>
      <w:r w:rsidR="00906ADD">
        <w:rPr>
          <w:color w:val="000000" w:themeColor="text1"/>
          <w:szCs w:val="24"/>
        </w:rPr>
        <w:t>For the purposes of the FMA Act, t</w:t>
      </w:r>
      <w:r>
        <w:rPr>
          <w:color w:val="000000" w:themeColor="text1"/>
          <w:szCs w:val="24"/>
        </w:rPr>
        <w:t xml:space="preserve">he Regulation adds the Anti-Dumping Commission to the Australian Customs and Border Protection Service which is </w:t>
      </w:r>
      <w:r w:rsidR="00906ADD">
        <w:rPr>
          <w:color w:val="000000" w:themeColor="text1"/>
          <w:szCs w:val="24"/>
        </w:rPr>
        <w:t>a prescribed agency in Schedule </w:t>
      </w:r>
      <w:r>
        <w:rPr>
          <w:color w:val="000000" w:themeColor="text1"/>
          <w:szCs w:val="24"/>
        </w:rPr>
        <w:t xml:space="preserve">1 to the Principal Regulations.  The Regulation also adds the new single agency, the Family Court and Federal Circuit Court as a prescribed agency in Schedule 1 to the Principal Regulations.  </w:t>
      </w:r>
    </w:p>
    <w:p w:rsidR="00A51066" w:rsidRDefault="00A51066">
      <w:pPr>
        <w:tabs>
          <w:tab w:val="left" w:pos="0"/>
        </w:tabs>
        <w:rPr>
          <w:color w:val="000000" w:themeColor="text1"/>
          <w:szCs w:val="24"/>
        </w:rPr>
      </w:pPr>
    </w:p>
    <w:p w:rsidR="00A51066" w:rsidRDefault="005F7C01">
      <w:pPr>
        <w:tabs>
          <w:tab w:val="left" w:pos="0"/>
        </w:tabs>
        <w:rPr>
          <w:color w:val="000000" w:themeColor="text1"/>
          <w:szCs w:val="24"/>
        </w:rPr>
      </w:pPr>
      <w:r>
        <w:rPr>
          <w:color w:val="000000" w:themeColor="text1"/>
          <w:szCs w:val="24"/>
        </w:rPr>
        <w:t>Both agencies will be subject to the requirements of the FMA Act</w:t>
      </w:r>
      <w:r w:rsidR="00906ADD">
        <w:rPr>
          <w:color w:val="000000" w:themeColor="text1"/>
          <w:szCs w:val="24"/>
        </w:rPr>
        <w:t xml:space="preserve"> relating to the proper management of public money and public property</w:t>
      </w:r>
      <w:r>
        <w:rPr>
          <w:color w:val="000000" w:themeColor="text1"/>
          <w:szCs w:val="24"/>
        </w:rPr>
        <w:t xml:space="preserve">.  </w:t>
      </w:r>
    </w:p>
    <w:p w:rsidR="00A51066" w:rsidRDefault="00A51066">
      <w:pPr>
        <w:tabs>
          <w:tab w:val="left" w:pos="0"/>
        </w:tabs>
        <w:rPr>
          <w:color w:val="000000" w:themeColor="text1"/>
          <w:szCs w:val="24"/>
        </w:rPr>
      </w:pPr>
    </w:p>
    <w:p w:rsidR="00A51066" w:rsidRDefault="007D3259">
      <w:pPr>
        <w:autoSpaceDE w:val="0"/>
        <w:autoSpaceDN w:val="0"/>
        <w:adjustRightInd w:val="0"/>
        <w:rPr>
          <w:color w:val="000000" w:themeColor="text1"/>
          <w:szCs w:val="24"/>
        </w:rPr>
      </w:pPr>
      <w:r>
        <w:rPr>
          <w:rFonts w:eastAsiaTheme="minorHAnsi"/>
          <w:szCs w:val="24"/>
          <w:lang w:eastAsia="en-US"/>
        </w:rPr>
        <w:t xml:space="preserve">The amendments do not engage any of the rights or freedoms outlined in the Human Rights (Parliamentary Scrutiny) Act.  </w:t>
      </w:r>
      <w:r w:rsidR="005F7C01" w:rsidRPr="003C7301">
        <w:rPr>
          <w:color w:val="000000" w:themeColor="text1"/>
          <w:szCs w:val="24"/>
        </w:rPr>
        <w:t xml:space="preserve">The </w:t>
      </w:r>
      <w:r w:rsidR="005F7C01">
        <w:rPr>
          <w:color w:val="000000" w:themeColor="text1"/>
          <w:szCs w:val="24"/>
        </w:rPr>
        <w:t>Regulation does</w:t>
      </w:r>
      <w:r w:rsidR="005F7C01" w:rsidRPr="003C7301">
        <w:rPr>
          <w:color w:val="000000" w:themeColor="text1"/>
          <w:szCs w:val="24"/>
        </w:rPr>
        <w:t xml:space="preserve"> not limit any human rights, nor establish any new offences or penalties.</w:t>
      </w:r>
    </w:p>
    <w:p w:rsidR="00A51066" w:rsidRDefault="00A51066">
      <w:pPr>
        <w:tabs>
          <w:tab w:val="left" w:pos="0"/>
        </w:tabs>
        <w:rPr>
          <w:color w:val="000000" w:themeColor="text1"/>
          <w:szCs w:val="24"/>
        </w:rPr>
      </w:pPr>
    </w:p>
    <w:p w:rsidR="005F7C01" w:rsidRDefault="005F7C01" w:rsidP="00D0413E">
      <w:pPr>
        <w:rPr>
          <w:color w:val="000000" w:themeColor="text1"/>
        </w:rPr>
        <w:sectPr w:rsidR="005F7C01" w:rsidSect="001B652B">
          <w:headerReference w:type="default" r:id="rId8"/>
          <w:headerReference w:type="first" r:id="rId9"/>
          <w:pgSz w:w="11906" w:h="16838"/>
          <w:pgMar w:top="1418" w:right="1440" w:bottom="1389" w:left="1440" w:header="709" w:footer="709" w:gutter="0"/>
          <w:pgNumType w:start="1"/>
          <w:cols w:space="708"/>
          <w:titlePg/>
          <w:docGrid w:linePitch="360"/>
        </w:sectPr>
      </w:pPr>
    </w:p>
    <w:p w:rsidR="005F7C01" w:rsidRDefault="005F7C01" w:rsidP="005F7C01">
      <w:pPr>
        <w:pStyle w:val="ParaNumbering"/>
        <w:tabs>
          <w:tab w:val="clear" w:pos="360"/>
          <w:tab w:val="clear" w:pos="567"/>
        </w:tabs>
        <w:spacing w:after="0" w:line="240" w:lineRule="auto"/>
        <w:jc w:val="right"/>
        <w:rPr>
          <w:b/>
          <w:color w:val="000000" w:themeColor="text1"/>
          <w:szCs w:val="24"/>
          <w:u w:val="single"/>
        </w:rPr>
      </w:pPr>
      <w:r w:rsidRPr="000E39BF">
        <w:rPr>
          <w:b/>
          <w:color w:val="000000" w:themeColor="text1"/>
          <w:szCs w:val="24"/>
          <w:u w:val="single"/>
        </w:rPr>
        <w:lastRenderedPageBreak/>
        <w:t>ATTACHMENT</w:t>
      </w:r>
    </w:p>
    <w:p w:rsidR="005F7C01" w:rsidRDefault="005F7C01" w:rsidP="005F7C01">
      <w:pPr>
        <w:pStyle w:val="Heading1"/>
        <w:keepNext w:val="0"/>
        <w:numPr>
          <w:ilvl w:val="0"/>
          <w:numId w:val="0"/>
        </w:numPr>
        <w:rPr>
          <w:bCs/>
          <w:caps w:val="0"/>
          <w:color w:val="000000" w:themeColor="text1"/>
          <w:szCs w:val="24"/>
          <w:u w:val="single"/>
        </w:rPr>
      </w:pPr>
    </w:p>
    <w:p w:rsidR="005F7C01" w:rsidRDefault="005F7C01" w:rsidP="005F7C01">
      <w:pPr>
        <w:pStyle w:val="Heading1"/>
        <w:keepNext w:val="0"/>
        <w:numPr>
          <w:ilvl w:val="0"/>
          <w:numId w:val="0"/>
        </w:numPr>
        <w:rPr>
          <w:bCs/>
          <w:i/>
          <w:caps w:val="0"/>
          <w:color w:val="000000" w:themeColor="text1"/>
          <w:szCs w:val="24"/>
          <w:u w:val="single"/>
        </w:rPr>
      </w:pPr>
      <w:r w:rsidRPr="000E39BF">
        <w:rPr>
          <w:bCs/>
          <w:caps w:val="0"/>
          <w:color w:val="000000" w:themeColor="text1"/>
          <w:szCs w:val="24"/>
          <w:u w:val="single"/>
        </w:rPr>
        <w:t xml:space="preserve">Details of the </w:t>
      </w:r>
      <w:r w:rsidRPr="000E39BF">
        <w:rPr>
          <w:bCs/>
          <w:i/>
          <w:caps w:val="0"/>
          <w:color w:val="000000" w:themeColor="text1"/>
          <w:szCs w:val="24"/>
          <w:u w:val="single"/>
        </w:rPr>
        <w:t>Financial Management and Accountability A</w:t>
      </w:r>
      <w:r w:rsidR="007D7CED">
        <w:rPr>
          <w:bCs/>
          <w:i/>
          <w:caps w:val="0"/>
          <w:color w:val="000000" w:themeColor="text1"/>
          <w:szCs w:val="24"/>
          <w:u w:val="single"/>
        </w:rPr>
        <w:t>mendment Regulation 2013 (No. 4</w:t>
      </w:r>
      <w:r w:rsidRPr="000E39BF">
        <w:rPr>
          <w:bCs/>
          <w:i/>
          <w:caps w:val="0"/>
          <w:color w:val="000000" w:themeColor="text1"/>
          <w:szCs w:val="24"/>
          <w:u w:val="single"/>
        </w:rPr>
        <w:t>)</w:t>
      </w:r>
    </w:p>
    <w:p w:rsidR="005F7C01" w:rsidRDefault="005F7C01" w:rsidP="005F7C01">
      <w:pPr>
        <w:rPr>
          <w:color w:val="000000" w:themeColor="text1"/>
          <w:szCs w:val="24"/>
          <w:u w:val="single"/>
        </w:rPr>
      </w:pPr>
    </w:p>
    <w:p w:rsidR="005F7C01" w:rsidRDefault="005F7C01" w:rsidP="005F7C01">
      <w:pPr>
        <w:rPr>
          <w:b/>
          <w:color w:val="000000" w:themeColor="text1"/>
        </w:rPr>
      </w:pPr>
      <w:r>
        <w:rPr>
          <w:b/>
          <w:color w:val="000000" w:themeColor="text1"/>
        </w:rPr>
        <w:t>Section 1 – Name of Regulation</w:t>
      </w:r>
    </w:p>
    <w:p w:rsidR="005F7C01" w:rsidRDefault="005F7C01" w:rsidP="005F7C01">
      <w:pPr>
        <w:rPr>
          <w:b/>
          <w:color w:val="000000" w:themeColor="text1"/>
        </w:rPr>
      </w:pPr>
    </w:p>
    <w:p w:rsidR="005F7C01" w:rsidRDefault="005F7C01" w:rsidP="005F7C01">
      <w:pPr>
        <w:rPr>
          <w:color w:val="000000" w:themeColor="text1"/>
        </w:rPr>
      </w:pPr>
      <w:r w:rsidRPr="00706F2A">
        <w:rPr>
          <w:color w:val="000000" w:themeColor="text1"/>
        </w:rPr>
        <w:t>This section provides that</w:t>
      </w:r>
      <w:r>
        <w:rPr>
          <w:color w:val="000000" w:themeColor="text1"/>
        </w:rPr>
        <w:t xml:space="preserve"> the</w:t>
      </w:r>
      <w:r w:rsidRPr="000D0ABE">
        <w:rPr>
          <w:color w:val="000000" w:themeColor="text1"/>
        </w:rPr>
        <w:t xml:space="preserve"> </w:t>
      </w:r>
      <w:r w:rsidRPr="00706F2A">
        <w:rPr>
          <w:color w:val="000000" w:themeColor="text1"/>
        </w:rPr>
        <w:t xml:space="preserve">title of the Regulation </w:t>
      </w:r>
      <w:r>
        <w:t>is</w:t>
      </w:r>
      <w:r w:rsidRPr="00706F2A">
        <w:rPr>
          <w:color w:val="000000" w:themeColor="text1"/>
        </w:rPr>
        <w:t xml:space="preserve"> the </w:t>
      </w:r>
      <w:r w:rsidRPr="00706F2A">
        <w:rPr>
          <w:i/>
          <w:color w:val="000000" w:themeColor="text1"/>
        </w:rPr>
        <w:t>Financial Management and Accountability Am</w:t>
      </w:r>
      <w:r w:rsidR="007D7CED">
        <w:rPr>
          <w:i/>
          <w:color w:val="000000" w:themeColor="text1"/>
        </w:rPr>
        <w:t>endment Regulation 2013 (No. 4</w:t>
      </w:r>
      <w:r>
        <w:rPr>
          <w:i/>
        </w:rPr>
        <w:t>)</w:t>
      </w:r>
      <w:r w:rsidRPr="00706F2A">
        <w:rPr>
          <w:color w:val="000000" w:themeColor="text1"/>
        </w:rPr>
        <w:t>.</w:t>
      </w:r>
    </w:p>
    <w:p w:rsidR="005F7C01" w:rsidRDefault="005F7C01" w:rsidP="005F7C01">
      <w:pPr>
        <w:rPr>
          <w:color w:val="000000" w:themeColor="text1"/>
        </w:rPr>
      </w:pPr>
    </w:p>
    <w:p w:rsidR="005F7C01" w:rsidRDefault="005F7C01" w:rsidP="005F7C01">
      <w:pPr>
        <w:rPr>
          <w:b/>
          <w:color w:val="000000" w:themeColor="text1"/>
        </w:rPr>
      </w:pPr>
      <w:r>
        <w:rPr>
          <w:b/>
          <w:color w:val="000000" w:themeColor="text1"/>
        </w:rPr>
        <w:t xml:space="preserve">Section 2 – Commencement </w:t>
      </w:r>
    </w:p>
    <w:p w:rsidR="005F7C01" w:rsidRDefault="005F7C01" w:rsidP="005F7C01">
      <w:pPr>
        <w:rPr>
          <w:b/>
          <w:color w:val="000000" w:themeColor="text1"/>
        </w:rPr>
      </w:pPr>
    </w:p>
    <w:p w:rsidR="005F7C01" w:rsidRDefault="005F7C01" w:rsidP="005F7C01">
      <w:pPr>
        <w:rPr>
          <w:color w:val="000000" w:themeColor="text1"/>
          <w:szCs w:val="24"/>
        </w:rPr>
      </w:pPr>
      <w:r>
        <w:rPr>
          <w:color w:val="000000" w:themeColor="text1"/>
          <w:szCs w:val="24"/>
        </w:rPr>
        <w:t xml:space="preserve">The amendments in Schedule 1 to </w:t>
      </w:r>
      <w:r w:rsidRPr="00632DE3">
        <w:rPr>
          <w:color w:val="000000" w:themeColor="text1"/>
          <w:szCs w:val="24"/>
        </w:rPr>
        <w:t xml:space="preserve">the Regulation </w:t>
      </w:r>
      <w:r w:rsidRPr="00271FF0">
        <w:rPr>
          <w:color w:val="000000" w:themeColor="text1"/>
          <w:szCs w:val="24"/>
        </w:rPr>
        <w:t>commence on 1 July 2013.</w:t>
      </w:r>
      <w:r>
        <w:rPr>
          <w:color w:val="000000" w:themeColor="text1"/>
          <w:szCs w:val="24"/>
        </w:rPr>
        <w:t xml:space="preserve"> </w:t>
      </w:r>
    </w:p>
    <w:p w:rsidR="005F7C01" w:rsidRDefault="005F7C01" w:rsidP="005F7C01">
      <w:pPr>
        <w:rPr>
          <w:color w:val="000000" w:themeColor="text1"/>
          <w:szCs w:val="24"/>
        </w:rPr>
      </w:pPr>
      <w:r>
        <w:rPr>
          <w:color w:val="000000" w:themeColor="text1"/>
          <w:szCs w:val="24"/>
        </w:rPr>
        <w:t xml:space="preserve"> </w:t>
      </w:r>
    </w:p>
    <w:p w:rsidR="005F7C01" w:rsidRDefault="005F7C01" w:rsidP="005F7C01">
      <w:pPr>
        <w:rPr>
          <w:b/>
          <w:i/>
          <w:color w:val="000000" w:themeColor="text1"/>
        </w:rPr>
      </w:pPr>
      <w:r>
        <w:rPr>
          <w:b/>
          <w:color w:val="000000" w:themeColor="text1"/>
        </w:rPr>
        <w:t>Section 3 – Authority</w:t>
      </w:r>
      <w:r>
        <w:rPr>
          <w:b/>
          <w:i/>
          <w:color w:val="000000" w:themeColor="text1"/>
        </w:rPr>
        <w:t xml:space="preserve"> </w:t>
      </w:r>
    </w:p>
    <w:p w:rsidR="005F7C01" w:rsidRPr="0078560C" w:rsidRDefault="005F7C01" w:rsidP="005F7C01">
      <w:pPr>
        <w:rPr>
          <w:color w:val="000000" w:themeColor="text1"/>
        </w:rPr>
      </w:pPr>
    </w:p>
    <w:p w:rsidR="005F7C01" w:rsidRDefault="005F7C01" w:rsidP="005F7C01">
      <w:pPr>
        <w:rPr>
          <w:color w:val="000000" w:themeColor="text1"/>
          <w:szCs w:val="24"/>
        </w:rPr>
      </w:pPr>
      <w:r w:rsidRPr="000E39BF">
        <w:rPr>
          <w:color w:val="000000" w:themeColor="text1"/>
          <w:szCs w:val="24"/>
        </w:rPr>
        <w:t xml:space="preserve">This section provides that the Regulation </w:t>
      </w:r>
      <w:r>
        <w:rPr>
          <w:color w:val="000000" w:themeColor="text1"/>
          <w:szCs w:val="24"/>
        </w:rPr>
        <w:t>is</w:t>
      </w:r>
      <w:r w:rsidRPr="000E39BF">
        <w:rPr>
          <w:color w:val="000000" w:themeColor="text1"/>
          <w:szCs w:val="24"/>
        </w:rPr>
        <w:t xml:space="preserve"> made under the </w:t>
      </w:r>
      <w:r w:rsidRPr="00632DE3">
        <w:rPr>
          <w:i/>
          <w:color w:val="000000" w:themeColor="text1"/>
          <w:szCs w:val="24"/>
        </w:rPr>
        <w:t>Financial Management and Accountability Act 1997</w:t>
      </w:r>
      <w:r>
        <w:rPr>
          <w:color w:val="000000" w:themeColor="text1"/>
          <w:szCs w:val="24"/>
        </w:rPr>
        <w:t xml:space="preserve"> (</w:t>
      </w:r>
      <w:r w:rsidRPr="000E39BF">
        <w:rPr>
          <w:color w:val="000000" w:themeColor="text1"/>
          <w:szCs w:val="24"/>
        </w:rPr>
        <w:t>FMA Act</w:t>
      </w:r>
      <w:r>
        <w:rPr>
          <w:color w:val="000000" w:themeColor="text1"/>
          <w:szCs w:val="24"/>
        </w:rPr>
        <w:t>)</w:t>
      </w:r>
      <w:r w:rsidRPr="00632DE3">
        <w:rPr>
          <w:color w:val="000000" w:themeColor="text1"/>
          <w:szCs w:val="24"/>
        </w:rPr>
        <w:t>.</w:t>
      </w:r>
    </w:p>
    <w:p w:rsidR="005F7C01" w:rsidRDefault="005F7C01" w:rsidP="005F7C01">
      <w:pPr>
        <w:rPr>
          <w:color w:val="000000" w:themeColor="text1"/>
          <w:szCs w:val="24"/>
        </w:rPr>
      </w:pPr>
    </w:p>
    <w:p w:rsidR="005F7C01" w:rsidRDefault="005F7C01" w:rsidP="005F7C01">
      <w:pPr>
        <w:rPr>
          <w:b/>
          <w:i/>
          <w:color w:val="000000" w:themeColor="text1"/>
        </w:rPr>
      </w:pPr>
      <w:r>
        <w:rPr>
          <w:b/>
          <w:color w:val="000000" w:themeColor="text1"/>
        </w:rPr>
        <w:t>Section 4 – Schedule(s)</w:t>
      </w:r>
      <w:r>
        <w:rPr>
          <w:b/>
          <w:i/>
          <w:color w:val="000000" w:themeColor="text1"/>
        </w:rPr>
        <w:t xml:space="preserve"> </w:t>
      </w:r>
    </w:p>
    <w:p w:rsidR="005F7C01" w:rsidRPr="0078560C" w:rsidRDefault="005F7C01" w:rsidP="005F7C01">
      <w:pPr>
        <w:rPr>
          <w:i/>
          <w:color w:val="000000" w:themeColor="text1"/>
        </w:rPr>
      </w:pPr>
    </w:p>
    <w:p w:rsidR="005F7C01" w:rsidRDefault="005F7C01" w:rsidP="005F7C01">
      <w:pPr>
        <w:rPr>
          <w:color w:val="000000" w:themeColor="text1"/>
          <w:szCs w:val="24"/>
        </w:rPr>
      </w:pPr>
      <w:r w:rsidRPr="000E39BF">
        <w:rPr>
          <w:color w:val="000000" w:themeColor="text1"/>
          <w:szCs w:val="24"/>
        </w:rPr>
        <w:t xml:space="preserve">This section provides that the </w:t>
      </w:r>
      <w:r w:rsidRPr="000E39BF">
        <w:rPr>
          <w:i/>
          <w:color w:val="000000" w:themeColor="text1"/>
          <w:szCs w:val="24"/>
        </w:rPr>
        <w:t>Financial Management and Accountability Regulations 1997</w:t>
      </w:r>
      <w:r w:rsidRPr="000E39BF">
        <w:rPr>
          <w:color w:val="000000" w:themeColor="text1"/>
          <w:szCs w:val="24"/>
        </w:rPr>
        <w:t xml:space="preserve"> (the Principal Regulations) </w:t>
      </w:r>
      <w:r>
        <w:rPr>
          <w:color w:val="000000" w:themeColor="text1"/>
          <w:szCs w:val="24"/>
        </w:rPr>
        <w:t>are</w:t>
      </w:r>
      <w:r w:rsidRPr="000E39BF">
        <w:rPr>
          <w:color w:val="000000" w:themeColor="text1"/>
          <w:szCs w:val="24"/>
        </w:rPr>
        <w:t xml:space="preserve"> amended as set out in Schedule</w:t>
      </w:r>
      <w:r>
        <w:rPr>
          <w:color w:val="000000" w:themeColor="text1"/>
          <w:szCs w:val="24"/>
        </w:rPr>
        <w:t> </w:t>
      </w:r>
      <w:r w:rsidRPr="000E39BF">
        <w:rPr>
          <w:color w:val="000000" w:themeColor="text1"/>
          <w:szCs w:val="24"/>
        </w:rPr>
        <w:t>1 to the Regulation.</w:t>
      </w:r>
    </w:p>
    <w:p w:rsidR="005F7C01" w:rsidRDefault="005F7C01" w:rsidP="005F7C01">
      <w:pPr>
        <w:rPr>
          <w:color w:val="000000" w:themeColor="text1"/>
        </w:rPr>
      </w:pPr>
      <w:r>
        <w:rPr>
          <w:color w:val="000000" w:themeColor="text1"/>
        </w:rPr>
        <w:t xml:space="preserve"> </w:t>
      </w:r>
    </w:p>
    <w:p w:rsidR="005F7C01" w:rsidRDefault="005F7C01" w:rsidP="005F7C01">
      <w:pPr>
        <w:pStyle w:val="ParaNumbering"/>
        <w:tabs>
          <w:tab w:val="clear" w:pos="360"/>
          <w:tab w:val="clear" w:pos="567"/>
        </w:tabs>
        <w:spacing w:after="0"/>
        <w:rPr>
          <w:b/>
          <w:szCs w:val="24"/>
        </w:rPr>
      </w:pPr>
      <w:r w:rsidRPr="000E39BF">
        <w:rPr>
          <w:b/>
          <w:szCs w:val="24"/>
        </w:rPr>
        <w:t xml:space="preserve">Schedule </w:t>
      </w:r>
      <w:r w:rsidR="0066740B">
        <w:rPr>
          <w:b/>
          <w:bCs/>
          <w:szCs w:val="24"/>
        </w:rPr>
        <w:t>1</w:t>
      </w:r>
      <w:r w:rsidR="0066740B" w:rsidRPr="00632DE3">
        <w:rPr>
          <w:b/>
          <w:bCs/>
          <w:szCs w:val="24"/>
        </w:rPr>
        <w:t xml:space="preserve"> </w:t>
      </w:r>
      <w:r w:rsidRPr="00632DE3">
        <w:rPr>
          <w:b/>
          <w:bCs/>
          <w:szCs w:val="24"/>
        </w:rPr>
        <w:t xml:space="preserve">– Amendments </w:t>
      </w:r>
    </w:p>
    <w:p w:rsidR="005F7C01" w:rsidRDefault="005F7C01" w:rsidP="005F7C01">
      <w:pPr>
        <w:pStyle w:val="ParaNumbering"/>
        <w:tabs>
          <w:tab w:val="clear" w:pos="360"/>
          <w:tab w:val="clear" w:pos="567"/>
        </w:tabs>
        <w:spacing w:after="0"/>
        <w:rPr>
          <w:bCs/>
          <w:szCs w:val="24"/>
        </w:rPr>
      </w:pPr>
    </w:p>
    <w:p w:rsidR="005F7C01" w:rsidRDefault="005F7C01" w:rsidP="005F7C01">
      <w:pPr>
        <w:pStyle w:val="ParaNumbering"/>
        <w:tabs>
          <w:tab w:val="clear" w:pos="360"/>
          <w:tab w:val="clear" w:pos="567"/>
        </w:tabs>
        <w:spacing w:after="0"/>
        <w:rPr>
          <w:b/>
          <w:szCs w:val="24"/>
        </w:rPr>
      </w:pPr>
      <w:r w:rsidRPr="00D6382D">
        <w:rPr>
          <w:b/>
          <w:bCs/>
          <w:szCs w:val="24"/>
        </w:rPr>
        <w:t xml:space="preserve">Item 1 </w:t>
      </w:r>
      <w:r w:rsidRPr="00D6382D">
        <w:rPr>
          <w:szCs w:val="24"/>
        </w:rPr>
        <w:t xml:space="preserve">– </w:t>
      </w:r>
      <w:r w:rsidRPr="00D6382D">
        <w:rPr>
          <w:b/>
          <w:szCs w:val="24"/>
        </w:rPr>
        <w:t>Item</w:t>
      </w:r>
      <w:r w:rsidRPr="00D6382D">
        <w:rPr>
          <w:b/>
        </w:rPr>
        <w:t xml:space="preserve"> 109 </w:t>
      </w:r>
      <w:r w:rsidRPr="00D6382D">
        <w:rPr>
          <w:b/>
          <w:szCs w:val="24"/>
        </w:rPr>
        <w:t>of Schedule 1</w:t>
      </w:r>
    </w:p>
    <w:p w:rsidR="005F7C01" w:rsidRDefault="005F7C01" w:rsidP="005F7C01">
      <w:pPr>
        <w:rPr>
          <w:szCs w:val="24"/>
        </w:rPr>
      </w:pPr>
    </w:p>
    <w:p w:rsidR="005F7C01" w:rsidRDefault="005F7C01" w:rsidP="005F7C01">
      <w:pPr>
        <w:rPr>
          <w:szCs w:val="24"/>
        </w:rPr>
      </w:pPr>
      <w:r>
        <w:rPr>
          <w:szCs w:val="24"/>
        </w:rPr>
        <w:t xml:space="preserve">Item 109 of </w:t>
      </w:r>
      <w:r w:rsidRPr="000E39BF">
        <w:t xml:space="preserve">Schedule 1 to the Principal Regulations </w:t>
      </w:r>
      <w:r>
        <w:rPr>
          <w:szCs w:val="24"/>
        </w:rPr>
        <w:t xml:space="preserve">prescribes </w:t>
      </w:r>
      <w:r>
        <w:t xml:space="preserve">the Australian Customs and Border Protection Service </w:t>
      </w:r>
      <w:r>
        <w:rPr>
          <w:szCs w:val="24"/>
        </w:rPr>
        <w:t xml:space="preserve">(Customs) </w:t>
      </w:r>
      <w:r w:rsidRPr="00632DE3">
        <w:rPr>
          <w:color w:val="000000" w:themeColor="text1"/>
          <w:szCs w:val="24"/>
        </w:rPr>
        <w:t xml:space="preserve">as an agency </w:t>
      </w:r>
      <w:r w:rsidRPr="00BD4717">
        <w:t xml:space="preserve">under section </w:t>
      </w:r>
      <w:r w:rsidRPr="00632DE3">
        <w:rPr>
          <w:color w:val="000000" w:themeColor="text1"/>
          <w:szCs w:val="24"/>
        </w:rPr>
        <w:t xml:space="preserve">5 of the </w:t>
      </w:r>
      <w:r>
        <w:rPr>
          <w:color w:val="000000" w:themeColor="text1"/>
          <w:szCs w:val="24"/>
        </w:rPr>
        <w:t>FMA Act</w:t>
      </w:r>
      <w:r w:rsidRPr="00632DE3">
        <w:rPr>
          <w:color w:val="000000" w:themeColor="text1"/>
          <w:szCs w:val="24"/>
        </w:rPr>
        <w:t xml:space="preserve">.  </w:t>
      </w:r>
      <w:r>
        <w:rPr>
          <w:szCs w:val="24"/>
        </w:rPr>
        <w:t>The </w:t>
      </w:r>
      <w:r>
        <w:rPr>
          <w:i/>
          <w:szCs w:val="24"/>
        </w:rPr>
        <w:t>Customs Amendment (Anti</w:t>
      </w:r>
      <w:r>
        <w:rPr>
          <w:i/>
          <w:szCs w:val="24"/>
        </w:rPr>
        <w:noBreakHyphen/>
      </w:r>
      <w:r w:rsidRPr="00632DE3">
        <w:rPr>
          <w:i/>
          <w:szCs w:val="24"/>
        </w:rPr>
        <w:t>Dumping Commission) Act 2013</w:t>
      </w:r>
      <w:r w:rsidRPr="00632DE3">
        <w:rPr>
          <w:szCs w:val="24"/>
        </w:rPr>
        <w:t xml:space="preserve"> </w:t>
      </w:r>
      <w:r>
        <w:rPr>
          <w:szCs w:val="24"/>
        </w:rPr>
        <w:t xml:space="preserve">(Customs Amendment Act) </w:t>
      </w:r>
      <w:r w:rsidRPr="00632DE3">
        <w:rPr>
          <w:szCs w:val="24"/>
        </w:rPr>
        <w:t xml:space="preserve">amended the </w:t>
      </w:r>
      <w:r w:rsidRPr="000E39BF">
        <w:rPr>
          <w:i/>
        </w:rPr>
        <w:t>Customs Act 1901</w:t>
      </w:r>
      <w:r w:rsidRPr="00BD4717">
        <w:rPr>
          <w:i/>
        </w:rPr>
        <w:t xml:space="preserve"> </w:t>
      </w:r>
      <w:r w:rsidRPr="000E39BF">
        <w:t>(</w:t>
      </w:r>
      <w:r>
        <w:rPr>
          <w:szCs w:val="24"/>
        </w:rPr>
        <w:t>Customs Act) to establish the Anti-Dumping Commission within Customs.  The Customs Amendment Act received the Royal Assent on 30 March 2013.  The Anti</w:t>
      </w:r>
      <w:r>
        <w:rPr>
          <w:szCs w:val="24"/>
        </w:rPr>
        <w:noBreakHyphen/>
        <w:t>Dumping Commission will commence on 1 July 2013.</w:t>
      </w:r>
    </w:p>
    <w:p w:rsidR="005F7C01" w:rsidRDefault="005F7C01" w:rsidP="005F7C01">
      <w:pPr>
        <w:rPr>
          <w:szCs w:val="24"/>
        </w:rPr>
      </w:pPr>
    </w:p>
    <w:p w:rsidR="005F7C01" w:rsidRDefault="005F7C01" w:rsidP="005F7C01">
      <w:pPr>
        <w:rPr>
          <w:szCs w:val="24"/>
        </w:rPr>
      </w:pPr>
      <w:r>
        <w:rPr>
          <w:szCs w:val="24"/>
        </w:rPr>
        <w:t>The Customs Amendment Act provides</w:t>
      </w:r>
      <w:r w:rsidRPr="00ED5AB9">
        <w:t xml:space="preserve"> that the Anti</w:t>
      </w:r>
      <w:r>
        <w:rPr>
          <w:szCs w:val="24"/>
        </w:rPr>
        <w:noBreakHyphen/>
      </w:r>
      <w:r w:rsidRPr="00ED5AB9">
        <w:t xml:space="preserve">Dumping Commission </w:t>
      </w:r>
      <w:r>
        <w:rPr>
          <w:szCs w:val="24"/>
        </w:rPr>
        <w:t>shall consist</w:t>
      </w:r>
      <w:r w:rsidRPr="00ED5AB9">
        <w:t xml:space="preserve"> of the Commissioner and the staff assisting the Commissioner</w:t>
      </w:r>
      <w:r w:rsidRPr="000E39BF">
        <w:t xml:space="preserve"> who will </w:t>
      </w:r>
      <w:r>
        <w:rPr>
          <w:szCs w:val="24"/>
        </w:rPr>
        <w:t xml:space="preserve">be made available by the Chief Executive Officer of Customs.  The Commissioner </w:t>
      </w:r>
      <w:r w:rsidRPr="00632DE3">
        <w:rPr>
          <w:szCs w:val="24"/>
        </w:rPr>
        <w:t xml:space="preserve">will </w:t>
      </w:r>
      <w:r w:rsidRPr="000E39BF">
        <w:t xml:space="preserve">have the powers and functions contained in Part XVB of the </w:t>
      </w:r>
      <w:r w:rsidRPr="0054062C">
        <w:rPr>
          <w:szCs w:val="24"/>
        </w:rPr>
        <w:t xml:space="preserve">Customs </w:t>
      </w:r>
      <w:r w:rsidRPr="000E39BF">
        <w:t xml:space="preserve">Act regarding anti-dumping. </w:t>
      </w:r>
      <w:r w:rsidRPr="00632DE3">
        <w:rPr>
          <w:szCs w:val="24"/>
        </w:rPr>
        <w:t xml:space="preserve"> </w:t>
      </w:r>
    </w:p>
    <w:p w:rsidR="005F7C01" w:rsidRDefault="005F7C01" w:rsidP="005F7C01">
      <w:pPr>
        <w:rPr>
          <w:szCs w:val="24"/>
        </w:rPr>
      </w:pPr>
    </w:p>
    <w:p w:rsidR="005F7C01" w:rsidRDefault="005F7C01" w:rsidP="005F7C01">
      <w:r>
        <w:rPr>
          <w:szCs w:val="24"/>
        </w:rPr>
        <w:t>Item 1</w:t>
      </w:r>
      <w:r w:rsidRPr="00632DE3">
        <w:rPr>
          <w:szCs w:val="24"/>
        </w:rPr>
        <w:t xml:space="preserve"> amend</w:t>
      </w:r>
      <w:r>
        <w:rPr>
          <w:szCs w:val="24"/>
        </w:rPr>
        <w:t>s</w:t>
      </w:r>
      <w:r w:rsidRPr="00632DE3">
        <w:rPr>
          <w:szCs w:val="24"/>
        </w:rPr>
        <w:t xml:space="preserve"> item 109 </w:t>
      </w:r>
      <w:r>
        <w:rPr>
          <w:szCs w:val="24"/>
        </w:rPr>
        <w:t>of</w:t>
      </w:r>
      <w:r w:rsidRPr="00632DE3">
        <w:rPr>
          <w:szCs w:val="24"/>
        </w:rPr>
        <w:t xml:space="preserve"> Schedule 1 to the Principal Regulations to </w:t>
      </w:r>
      <w:r>
        <w:rPr>
          <w:szCs w:val="24"/>
        </w:rPr>
        <w:t xml:space="preserve">prescribe </w:t>
      </w:r>
      <w:r w:rsidRPr="00632DE3">
        <w:rPr>
          <w:szCs w:val="24"/>
        </w:rPr>
        <w:t>the</w:t>
      </w:r>
      <w:r>
        <w:t xml:space="preserve"> Anti</w:t>
      </w:r>
      <w:r>
        <w:noBreakHyphen/>
        <w:t xml:space="preserve">Dumping Commission </w:t>
      </w:r>
      <w:r w:rsidRPr="00632DE3">
        <w:rPr>
          <w:szCs w:val="24"/>
        </w:rPr>
        <w:t>as part of Customs</w:t>
      </w:r>
      <w:r>
        <w:rPr>
          <w:szCs w:val="24"/>
        </w:rPr>
        <w:t xml:space="preserve"> so that it will be subject to the requirements of the FMA Act</w:t>
      </w:r>
      <w:r w:rsidRPr="00632DE3">
        <w:rPr>
          <w:szCs w:val="24"/>
        </w:rPr>
        <w:t xml:space="preserve">.  </w:t>
      </w:r>
    </w:p>
    <w:p w:rsidR="005F7C01" w:rsidRDefault="005F7C01" w:rsidP="005F7C01">
      <w:pPr>
        <w:pStyle w:val="ParaNumbering"/>
        <w:tabs>
          <w:tab w:val="clear" w:pos="360"/>
          <w:tab w:val="clear" w:pos="567"/>
        </w:tabs>
        <w:spacing w:after="0"/>
        <w:rPr>
          <w:b/>
        </w:rPr>
      </w:pPr>
    </w:p>
    <w:p w:rsidR="007D3259" w:rsidRDefault="007D3259">
      <w:pPr>
        <w:spacing w:after="200" w:line="276" w:lineRule="auto"/>
        <w:rPr>
          <w:b/>
          <w:color w:val="000000" w:themeColor="text1"/>
          <w:szCs w:val="24"/>
          <w:lang w:eastAsia="en-US"/>
        </w:rPr>
      </w:pPr>
      <w:r>
        <w:rPr>
          <w:b/>
          <w:color w:val="000000" w:themeColor="text1"/>
          <w:szCs w:val="24"/>
        </w:rPr>
        <w:br w:type="page"/>
      </w:r>
    </w:p>
    <w:p w:rsidR="005F7C01" w:rsidRDefault="005F7C01" w:rsidP="005F7C01">
      <w:pPr>
        <w:pStyle w:val="ParaNumbering"/>
        <w:tabs>
          <w:tab w:val="clear" w:pos="360"/>
          <w:tab w:val="clear" w:pos="567"/>
        </w:tabs>
        <w:spacing w:after="0"/>
        <w:rPr>
          <w:b/>
        </w:rPr>
      </w:pPr>
      <w:r w:rsidRPr="00632DE3">
        <w:rPr>
          <w:b/>
          <w:color w:val="000000" w:themeColor="text1"/>
          <w:szCs w:val="24"/>
        </w:rPr>
        <w:lastRenderedPageBreak/>
        <w:t>Items 2 and 3 –</w:t>
      </w:r>
      <w:r>
        <w:rPr>
          <w:b/>
          <w:color w:val="000000" w:themeColor="text1"/>
          <w:szCs w:val="24"/>
        </w:rPr>
        <w:t xml:space="preserve"> </w:t>
      </w:r>
      <w:r w:rsidR="0066740B">
        <w:rPr>
          <w:b/>
        </w:rPr>
        <w:t>I</w:t>
      </w:r>
      <w:r w:rsidRPr="003F7BF7">
        <w:rPr>
          <w:b/>
        </w:rPr>
        <w:t>tems 142 and 144</w:t>
      </w:r>
      <w:r w:rsidRPr="00632DE3">
        <w:rPr>
          <w:b/>
          <w:color w:val="000000" w:themeColor="text1"/>
          <w:szCs w:val="24"/>
        </w:rPr>
        <w:t xml:space="preserve"> of Schedule 1</w:t>
      </w:r>
    </w:p>
    <w:p w:rsidR="005F7C01" w:rsidRDefault="005F7C01" w:rsidP="005F7C01">
      <w:pPr>
        <w:rPr>
          <w:color w:val="000000" w:themeColor="text1"/>
          <w:szCs w:val="24"/>
        </w:rPr>
      </w:pPr>
    </w:p>
    <w:p w:rsidR="005F7C01" w:rsidRDefault="005F7C01" w:rsidP="005F7C01">
      <w:pPr>
        <w:rPr>
          <w:color w:val="000000" w:themeColor="text1"/>
          <w:szCs w:val="24"/>
        </w:rPr>
      </w:pPr>
      <w:r w:rsidRPr="00632DE3">
        <w:rPr>
          <w:color w:val="000000" w:themeColor="text1"/>
          <w:szCs w:val="24"/>
        </w:rPr>
        <w:t>Schedule 1 to the Principal Regulations lists the Family Court of Australia and the Federal Magistrates Court of Australia as two separate prescribed agencies for the purposes of the FMA Act.  The </w:t>
      </w:r>
      <w:r w:rsidRPr="00632DE3">
        <w:rPr>
          <w:i/>
          <w:color w:val="000000" w:themeColor="text1"/>
          <w:szCs w:val="24"/>
        </w:rPr>
        <w:t>Federal Circuit Court of Australia Legislation Amendment Act 2012</w:t>
      </w:r>
      <w:r w:rsidRPr="00632DE3">
        <w:rPr>
          <w:color w:val="000000" w:themeColor="text1"/>
          <w:szCs w:val="24"/>
        </w:rPr>
        <w:t xml:space="preserve">, which came into effect on 12 April 2013, changed the name of the Federal Magistrates Court of Australia to the Federal Circuit Court of Australia.  </w:t>
      </w:r>
    </w:p>
    <w:p w:rsidR="005F7C01" w:rsidRPr="00632DE3" w:rsidRDefault="005F7C01" w:rsidP="005F7C01">
      <w:pPr>
        <w:rPr>
          <w:color w:val="000000" w:themeColor="text1"/>
          <w:szCs w:val="24"/>
        </w:rPr>
      </w:pPr>
    </w:p>
    <w:p w:rsidR="005F7C01" w:rsidRDefault="005F7C01" w:rsidP="005F7C01">
      <w:pPr>
        <w:rPr>
          <w:color w:val="000000" w:themeColor="text1"/>
          <w:szCs w:val="24"/>
        </w:rPr>
      </w:pPr>
      <w:r w:rsidRPr="00632DE3">
        <w:rPr>
          <w:color w:val="000000" w:themeColor="text1"/>
          <w:szCs w:val="24"/>
        </w:rPr>
        <w:t>From 1 July 2013, a single agency will be responsible for the administration of the Family Court of Australia and the Federal Circuit Court of Australia.  This agency will be called the Family Court and Federal Circuit Court and will have a single Chief Executive Officer.  A</w:t>
      </w:r>
      <w:r w:rsidRPr="00632DE3">
        <w:rPr>
          <w:color w:val="000000"/>
          <w:szCs w:val="24"/>
        </w:rPr>
        <w:t xml:space="preserve">mendments to the </w:t>
      </w:r>
      <w:r w:rsidRPr="00632DE3">
        <w:rPr>
          <w:i/>
          <w:color w:val="000000"/>
          <w:szCs w:val="24"/>
        </w:rPr>
        <w:t>Family Law Act 1975</w:t>
      </w:r>
      <w:r w:rsidRPr="00632DE3">
        <w:rPr>
          <w:color w:val="000000"/>
          <w:szCs w:val="24"/>
        </w:rPr>
        <w:t xml:space="preserve"> and the </w:t>
      </w:r>
      <w:r w:rsidRPr="00632DE3">
        <w:rPr>
          <w:i/>
          <w:color w:val="000000"/>
          <w:szCs w:val="24"/>
        </w:rPr>
        <w:t>Federal</w:t>
      </w:r>
      <w:r>
        <w:rPr>
          <w:i/>
          <w:color w:val="000000"/>
          <w:szCs w:val="24"/>
        </w:rPr>
        <w:t xml:space="preserve"> Circuit Court of Australia Act </w:t>
      </w:r>
      <w:r w:rsidRPr="00632DE3">
        <w:rPr>
          <w:i/>
          <w:color w:val="000000"/>
          <w:szCs w:val="24"/>
        </w:rPr>
        <w:t>1999</w:t>
      </w:r>
      <w:r w:rsidRPr="00632DE3">
        <w:rPr>
          <w:color w:val="000000"/>
          <w:szCs w:val="24"/>
        </w:rPr>
        <w:t xml:space="preserve">, made by the </w:t>
      </w:r>
      <w:r w:rsidRPr="00632DE3">
        <w:rPr>
          <w:i/>
          <w:color w:val="000000"/>
          <w:szCs w:val="24"/>
        </w:rPr>
        <w:t>Courts and Tribunals Legislation Amendment (Administration</w:t>
      </w:r>
      <w:r>
        <w:rPr>
          <w:i/>
          <w:color w:val="000000" w:themeColor="text1"/>
          <w:szCs w:val="24"/>
        </w:rPr>
        <w:t>) Act </w:t>
      </w:r>
      <w:r w:rsidRPr="00632DE3">
        <w:rPr>
          <w:i/>
          <w:color w:val="000000" w:themeColor="text1"/>
          <w:szCs w:val="24"/>
        </w:rPr>
        <w:t>2013</w:t>
      </w:r>
      <w:r w:rsidRPr="00632DE3">
        <w:rPr>
          <w:color w:val="000000" w:themeColor="text1"/>
          <w:szCs w:val="24"/>
        </w:rPr>
        <w:t xml:space="preserve">, give effect to this change.  </w:t>
      </w:r>
      <w:r w:rsidR="0033363E">
        <w:rPr>
          <w:color w:val="000000" w:themeColor="text1"/>
          <w:szCs w:val="24"/>
        </w:rPr>
        <w:t>The merger of the administration of the two Courts will not affect the jurisdiction or structure of either Court.</w:t>
      </w:r>
    </w:p>
    <w:p w:rsidR="005F7C01" w:rsidRPr="00632DE3" w:rsidRDefault="005F7C01" w:rsidP="005F7C01">
      <w:pPr>
        <w:rPr>
          <w:color w:val="000000" w:themeColor="text1"/>
          <w:szCs w:val="24"/>
        </w:rPr>
      </w:pPr>
    </w:p>
    <w:p w:rsidR="005F7C01" w:rsidRDefault="00E64174" w:rsidP="005F7C01">
      <w:pPr>
        <w:rPr>
          <w:color w:val="000000"/>
          <w:szCs w:val="24"/>
        </w:rPr>
      </w:pPr>
      <w:r>
        <w:rPr>
          <w:color w:val="000000"/>
          <w:szCs w:val="24"/>
        </w:rPr>
        <w:t>Items 2 and 3</w:t>
      </w:r>
      <w:r w:rsidR="005F7C01" w:rsidRPr="00632DE3">
        <w:rPr>
          <w:color w:val="000000"/>
          <w:szCs w:val="24"/>
        </w:rPr>
        <w:t xml:space="preserve"> remove the Family Court of Australia (item 142) and the Federal Magistrates Court of Australia (item 144) from the list of prescribed agencies in Schedule 1 to the Principal Regulations.  In pla</w:t>
      </w:r>
      <w:r w:rsidR="005F7C01">
        <w:rPr>
          <w:color w:val="000000"/>
          <w:szCs w:val="24"/>
        </w:rPr>
        <w:t>ce of these two agencies, item 2</w:t>
      </w:r>
      <w:r w:rsidR="005F7C01" w:rsidRPr="00632DE3">
        <w:rPr>
          <w:color w:val="000000"/>
          <w:szCs w:val="24"/>
        </w:rPr>
        <w:t xml:space="preserve"> substitute</w:t>
      </w:r>
      <w:r w:rsidR="005F7C01">
        <w:rPr>
          <w:color w:val="000000"/>
          <w:szCs w:val="24"/>
        </w:rPr>
        <w:t>s a new single FMA </w:t>
      </w:r>
      <w:r w:rsidR="005F7C01" w:rsidRPr="00632DE3">
        <w:rPr>
          <w:color w:val="000000"/>
          <w:szCs w:val="24"/>
        </w:rPr>
        <w:t xml:space="preserve">Act agency, called the Family Court and Federal Circuit Court, </w:t>
      </w:r>
      <w:r w:rsidR="005F7C01">
        <w:rPr>
          <w:color w:val="000000"/>
          <w:szCs w:val="24"/>
        </w:rPr>
        <w:t>at</w:t>
      </w:r>
      <w:r w:rsidR="005F7C01" w:rsidRPr="00632DE3">
        <w:rPr>
          <w:color w:val="000000"/>
          <w:szCs w:val="24"/>
        </w:rPr>
        <w:t xml:space="preserve"> item 142 of Schedule 1 to the Principal Regulations.  </w:t>
      </w:r>
    </w:p>
    <w:p w:rsidR="005F7C01" w:rsidRPr="00632DE3" w:rsidRDefault="005F7C01" w:rsidP="005F7C01">
      <w:pPr>
        <w:rPr>
          <w:color w:val="000000"/>
          <w:szCs w:val="24"/>
        </w:rPr>
      </w:pPr>
    </w:p>
    <w:p w:rsidR="005F7C01" w:rsidRPr="00632DE3" w:rsidRDefault="005F7C01" w:rsidP="005F7C01">
      <w:pPr>
        <w:rPr>
          <w:color w:val="000000"/>
          <w:szCs w:val="24"/>
        </w:rPr>
      </w:pPr>
      <w:r>
        <w:rPr>
          <w:color w:val="000000"/>
          <w:szCs w:val="24"/>
        </w:rPr>
        <w:t xml:space="preserve">Substituted </w:t>
      </w:r>
      <w:r w:rsidRPr="00632DE3">
        <w:rPr>
          <w:color w:val="000000"/>
          <w:szCs w:val="24"/>
        </w:rPr>
        <w:t xml:space="preserve">item 142 </w:t>
      </w:r>
      <w:r>
        <w:rPr>
          <w:color w:val="000000"/>
          <w:szCs w:val="24"/>
        </w:rPr>
        <w:t>specifies</w:t>
      </w:r>
      <w:r w:rsidRPr="00632DE3">
        <w:rPr>
          <w:color w:val="000000"/>
          <w:szCs w:val="24"/>
        </w:rPr>
        <w:t xml:space="preserve"> that, for the purposes of the FMA Act, the </w:t>
      </w:r>
      <w:r>
        <w:rPr>
          <w:color w:val="000000"/>
          <w:szCs w:val="24"/>
        </w:rPr>
        <w:t xml:space="preserve">single agency </w:t>
      </w:r>
      <w:r w:rsidRPr="00632DE3">
        <w:rPr>
          <w:color w:val="000000"/>
          <w:szCs w:val="24"/>
        </w:rPr>
        <w:t>Family Court and Federal Circuit Court comprise</w:t>
      </w:r>
      <w:r>
        <w:rPr>
          <w:color w:val="000000"/>
          <w:szCs w:val="24"/>
        </w:rPr>
        <w:t>s</w:t>
      </w:r>
      <w:r w:rsidRPr="00632DE3">
        <w:rPr>
          <w:color w:val="000000"/>
          <w:szCs w:val="24"/>
        </w:rPr>
        <w:t xml:space="preserve"> the Chief Executive Officer appointed under the </w:t>
      </w:r>
      <w:r w:rsidRPr="00632DE3">
        <w:rPr>
          <w:i/>
          <w:color w:val="000000"/>
          <w:szCs w:val="24"/>
        </w:rPr>
        <w:t>Family Law Act 1975</w:t>
      </w:r>
      <w:r w:rsidRPr="00632DE3">
        <w:rPr>
          <w:color w:val="000000"/>
          <w:szCs w:val="24"/>
        </w:rPr>
        <w:t xml:space="preserve">, the officers and staff of the Registries of the Courts, and the staff of the Courts engaged under the </w:t>
      </w:r>
      <w:r w:rsidRPr="00632DE3">
        <w:rPr>
          <w:i/>
          <w:color w:val="000000"/>
          <w:szCs w:val="24"/>
        </w:rPr>
        <w:t>Public Service Act 1999</w:t>
      </w:r>
      <w:r w:rsidRPr="00632DE3">
        <w:rPr>
          <w:color w:val="000000"/>
          <w:szCs w:val="24"/>
        </w:rPr>
        <w:t>.</w:t>
      </w:r>
    </w:p>
    <w:p w:rsidR="005F7C01" w:rsidRDefault="005F7C01" w:rsidP="005F7C01">
      <w:pPr>
        <w:pStyle w:val="paranumbering0"/>
        <w:spacing w:before="0" w:beforeAutospacing="0" w:after="0" w:afterAutospacing="0"/>
      </w:pPr>
    </w:p>
    <w:p w:rsidR="005F7C01" w:rsidRDefault="005F7C01" w:rsidP="005F7C01">
      <w:pPr>
        <w:rPr>
          <w:szCs w:val="24"/>
        </w:rPr>
      </w:pPr>
      <w:r>
        <w:rPr>
          <w:szCs w:val="24"/>
        </w:rPr>
        <w:t>Item 3 repeals item 144 of Schedule 1 to the Principal Regulations.</w:t>
      </w:r>
    </w:p>
    <w:p w:rsidR="005F7C01" w:rsidRDefault="005F7C01" w:rsidP="005F7C01">
      <w:pPr>
        <w:pStyle w:val="paranumbering0"/>
        <w:spacing w:before="0" w:beforeAutospacing="0" w:after="0" w:afterAutospacing="0"/>
      </w:pPr>
    </w:p>
    <w:p w:rsidR="005F7C01" w:rsidRDefault="005F7C01" w:rsidP="005F7C01"/>
    <w:p w:rsidR="001B652B" w:rsidRDefault="001B652B"/>
    <w:sectPr w:rsidR="001B652B" w:rsidSect="001B652B">
      <w:headerReference w:type="first" r:id="rId10"/>
      <w:pgSz w:w="11906" w:h="16838"/>
      <w:pgMar w:top="1418" w:right="1440" w:bottom="1389"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0B" w:rsidRDefault="0066740B" w:rsidP="00A02CB0">
      <w:r>
        <w:separator/>
      </w:r>
    </w:p>
  </w:endnote>
  <w:endnote w:type="continuationSeparator" w:id="0">
    <w:p w:rsidR="0066740B" w:rsidRDefault="0066740B" w:rsidP="00A0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0B" w:rsidRDefault="0066740B" w:rsidP="00A02CB0">
      <w:r>
        <w:separator/>
      </w:r>
    </w:p>
  </w:footnote>
  <w:footnote w:type="continuationSeparator" w:id="0">
    <w:p w:rsidR="0066740B" w:rsidRDefault="0066740B" w:rsidP="00A02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86014"/>
      <w:docPartObj>
        <w:docPartGallery w:val="Page Numbers (Top of Page)"/>
        <w:docPartUnique/>
      </w:docPartObj>
    </w:sdtPr>
    <w:sdtEndPr/>
    <w:sdtContent>
      <w:p w:rsidR="0066740B" w:rsidRDefault="007D7CE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6740B" w:rsidRDefault="00667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0B" w:rsidRDefault="0066740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0B" w:rsidRDefault="0066740B">
    <w:pPr>
      <w:pStyle w:val="Header"/>
      <w:jc w:val="center"/>
    </w:pPr>
  </w:p>
  <w:p w:rsidR="0066740B" w:rsidRDefault="00667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26C"/>
    <w:multiLevelType w:val="hybridMultilevel"/>
    <w:tmpl w:val="AD80AE1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872566"/>
    <w:multiLevelType w:val="hybridMultilevel"/>
    <w:tmpl w:val="CA6C4A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D692B28"/>
    <w:multiLevelType w:val="multilevel"/>
    <w:tmpl w:val="F6DE61D0"/>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3">
    <w:nsid w:val="0DE8383F"/>
    <w:multiLevelType w:val="hybridMultilevel"/>
    <w:tmpl w:val="CBD41972"/>
    <w:lvl w:ilvl="0" w:tplc="9856BD40">
      <w:numFmt w:val="bullet"/>
      <w:lvlText w:val="-"/>
      <w:lvlJc w:val="left"/>
      <w:pPr>
        <w:ind w:left="720" w:hanging="360"/>
      </w:pPr>
      <w:rPr>
        <w:rFonts w:ascii="Times New Roman" w:eastAsiaTheme="minorHAnsi"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F1562B"/>
    <w:multiLevelType w:val="hybridMultilevel"/>
    <w:tmpl w:val="DB2C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7934BF"/>
    <w:multiLevelType w:val="multilevel"/>
    <w:tmpl w:val="0ED66C50"/>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6">
    <w:nsid w:val="16641D4C"/>
    <w:multiLevelType w:val="hybridMultilevel"/>
    <w:tmpl w:val="2DB83BC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nsid w:val="1F4E2590"/>
    <w:multiLevelType w:val="hybridMultilevel"/>
    <w:tmpl w:val="79BC9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8F4716"/>
    <w:multiLevelType w:val="multilevel"/>
    <w:tmpl w:val="377A8C1C"/>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9">
    <w:nsid w:val="23AB14C9"/>
    <w:multiLevelType w:val="hybridMultilevel"/>
    <w:tmpl w:val="FB86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5B1B49"/>
    <w:multiLevelType w:val="multilevel"/>
    <w:tmpl w:val="55B093F8"/>
    <w:name w:val="AGSQuote"/>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nsid w:val="27AB7E65"/>
    <w:multiLevelType w:val="hybridMultilevel"/>
    <w:tmpl w:val="4154919C"/>
    <w:lvl w:ilvl="0" w:tplc="6278078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F61E2B"/>
    <w:multiLevelType w:val="hybridMultilevel"/>
    <w:tmpl w:val="FEC80D0E"/>
    <w:lvl w:ilvl="0" w:tplc="0C090001">
      <w:start w:val="1"/>
      <w:numFmt w:val="bullet"/>
      <w:lvlText w:val=""/>
      <w:lvlJc w:val="left"/>
      <w:pPr>
        <w:ind w:left="2160" w:hanging="360"/>
      </w:pPr>
      <w:rPr>
        <w:rFonts w:ascii="Symbol" w:hAnsi="Symbol"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13">
    <w:nsid w:val="2A146D72"/>
    <w:multiLevelType w:val="multilevel"/>
    <w:tmpl w:val="02D88132"/>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4">
    <w:nsid w:val="2CAE5C45"/>
    <w:multiLevelType w:val="hybridMultilevel"/>
    <w:tmpl w:val="44FA7F2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0607EB5"/>
    <w:multiLevelType w:val="hybridMultilevel"/>
    <w:tmpl w:val="58BCB790"/>
    <w:lvl w:ilvl="0" w:tplc="0DC22EA2">
      <w:start w:val="1"/>
      <w:numFmt w:val="bullet"/>
      <w:lvlText w:val=""/>
      <w:lvlJc w:val="left"/>
      <w:pPr>
        <w:ind w:left="360" w:hanging="360"/>
      </w:pPr>
      <w:rPr>
        <w:rFonts w:ascii="Symbol" w:hAnsi="Symbol" w:hint="default"/>
        <w:sz w:val="20"/>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16">
    <w:nsid w:val="31CE64D9"/>
    <w:multiLevelType w:val="multilevel"/>
    <w:tmpl w:val="FB988D84"/>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6BD41C2"/>
    <w:multiLevelType w:val="multilevel"/>
    <w:tmpl w:val="5E6CC896"/>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8">
    <w:nsid w:val="3ED95714"/>
    <w:multiLevelType w:val="hybridMultilevel"/>
    <w:tmpl w:val="A240E4D8"/>
    <w:lvl w:ilvl="0" w:tplc="54E2B34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0123F83"/>
    <w:multiLevelType w:val="hybridMultilevel"/>
    <w:tmpl w:val="966ACAF8"/>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402B7409"/>
    <w:multiLevelType w:val="hybridMultilevel"/>
    <w:tmpl w:val="A404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C50805"/>
    <w:multiLevelType w:val="multilevel"/>
    <w:tmpl w:val="0C09001D"/>
    <w:numStyleLink w:val="Style1"/>
  </w:abstractNum>
  <w:abstractNum w:abstractNumId="22">
    <w:nsid w:val="414E0611"/>
    <w:multiLevelType w:val="singleLevel"/>
    <w:tmpl w:val="327654E6"/>
    <w:lvl w:ilvl="0">
      <w:start w:val="2"/>
      <w:numFmt w:val="decimal"/>
      <w:pStyle w:val="numberlist"/>
      <w:lvlText w:val="%1."/>
      <w:lvlJc w:val="left"/>
      <w:pPr>
        <w:tabs>
          <w:tab w:val="num" w:pos="360"/>
        </w:tabs>
        <w:ind w:left="360" w:hanging="360"/>
      </w:pPr>
    </w:lvl>
  </w:abstractNum>
  <w:abstractNum w:abstractNumId="23">
    <w:nsid w:val="44330E39"/>
    <w:multiLevelType w:val="hybridMultilevel"/>
    <w:tmpl w:val="6024DE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nsid w:val="44A3677E"/>
    <w:multiLevelType w:val="multilevel"/>
    <w:tmpl w:val="CAD865DA"/>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25">
    <w:nsid w:val="477755BB"/>
    <w:multiLevelType w:val="hybridMultilevel"/>
    <w:tmpl w:val="7820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EF7BBD"/>
    <w:multiLevelType w:val="hybridMultilevel"/>
    <w:tmpl w:val="BF024B38"/>
    <w:lvl w:ilvl="0" w:tplc="F6E41CA6">
      <w:start w:val="1"/>
      <w:numFmt w:val="bullet"/>
      <w:lvlText w:val=""/>
      <w:lvlJc w:val="left"/>
      <w:pPr>
        <w:ind w:left="360" w:hanging="360"/>
      </w:pPr>
      <w:rPr>
        <w:rFonts w:ascii="Symbol" w:hAnsi="Symbol" w:hint="default"/>
        <w:sz w:val="20"/>
      </w:rPr>
    </w:lvl>
    <w:lvl w:ilvl="1" w:tplc="0C090003">
      <w:start w:val="1"/>
      <w:numFmt w:val="decimal"/>
      <w:lvlText w:val="%2."/>
      <w:lvlJc w:val="left"/>
      <w:pPr>
        <w:tabs>
          <w:tab w:val="num" w:pos="-360"/>
        </w:tabs>
        <w:ind w:left="-360" w:hanging="360"/>
      </w:pPr>
    </w:lvl>
    <w:lvl w:ilvl="2" w:tplc="0C090005">
      <w:start w:val="1"/>
      <w:numFmt w:val="decimal"/>
      <w:lvlText w:val="%3."/>
      <w:lvlJc w:val="left"/>
      <w:pPr>
        <w:tabs>
          <w:tab w:val="num" w:pos="360"/>
        </w:tabs>
        <w:ind w:left="360" w:hanging="360"/>
      </w:pPr>
    </w:lvl>
    <w:lvl w:ilvl="3" w:tplc="0C090001">
      <w:start w:val="1"/>
      <w:numFmt w:val="decimal"/>
      <w:lvlText w:val="%4."/>
      <w:lvlJc w:val="left"/>
      <w:pPr>
        <w:tabs>
          <w:tab w:val="num" w:pos="1080"/>
        </w:tabs>
        <w:ind w:left="1080" w:hanging="360"/>
      </w:pPr>
    </w:lvl>
    <w:lvl w:ilvl="4" w:tplc="0C090003">
      <w:start w:val="1"/>
      <w:numFmt w:val="decimal"/>
      <w:lvlText w:val="%5."/>
      <w:lvlJc w:val="left"/>
      <w:pPr>
        <w:tabs>
          <w:tab w:val="num" w:pos="1800"/>
        </w:tabs>
        <w:ind w:left="1800" w:hanging="360"/>
      </w:pPr>
    </w:lvl>
    <w:lvl w:ilvl="5" w:tplc="0C090005">
      <w:start w:val="1"/>
      <w:numFmt w:val="decimal"/>
      <w:lvlText w:val="%6."/>
      <w:lvlJc w:val="left"/>
      <w:pPr>
        <w:tabs>
          <w:tab w:val="num" w:pos="2520"/>
        </w:tabs>
        <w:ind w:left="2520" w:hanging="360"/>
      </w:pPr>
    </w:lvl>
    <w:lvl w:ilvl="6" w:tplc="0C090001">
      <w:start w:val="1"/>
      <w:numFmt w:val="decimal"/>
      <w:lvlText w:val="%7."/>
      <w:lvlJc w:val="left"/>
      <w:pPr>
        <w:tabs>
          <w:tab w:val="num" w:pos="3240"/>
        </w:tabs>
        <w:ind w:left="3240" w:hanging="360"/>
      </w:pPr>
    </w:lvl>
    <w:lvl w:ilvl="7" w:tplc="0C090003">
      <w:start w:val="1"/>
      <w:numFmt w:val="decimal"/>
      <w:lvlText w:val="%8."/>
      <w:lvlJc w:val="left"/>
      <w:pPr>
        <w:tabs>
          <w:tab w:val="num" w:pos="3960"/>
        </w:tabs>
        <w:ind w:left="3960" w:hanging="360"/>
      </w:pPr>
    </w:lvl>
    <w:lvl w:ilvl="8" w:tplc="0C090005">
      <w:start w:val="1"/>
      <w:numFmt w:val="decimal"/>
      <w:lvlText w:val="%9."/>
      <w:lvlJc w:val="left"/>
      <w:pPr>
        <w:tabs>
          <w:tab w:val="num" w:pos="4680"/>
        </w:tabs>
        <w:ind w:left="4680" w:hanging="360"/>
      </w:pPr>
    </w:lvl>
  </w:abstractNum>
  <w:abstractNum w:abstractNumId="27">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59E4921"/>
    <w:multiLevelType w:val="hybridMultilevel"/>
    <w:tmpl w:val="8D30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2E4D04"/>
    <w:multiLevelType w:val="hybridMultilevel"/>
    <w:tmpl w:val="CCE2863A"/>
    <w:lvl w:ilvl="0" w:tplc="E1CCFA7A">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0653D65"/>
    <w:multiLevelType w:val="hybridMultilevel"/>
    <w:tmpl w:val="4A9CC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decimal"/>
      <w:lvlText w:val="%3."/>
      <w:lvlJc w:val="left"/>
      <w:pPr>
        <w:tabs>
          <w:tab w:val="num" w:pos="1440"/>
        </w:tabs>
        <w:ind w:left="1440" w:hanging="360"/>
      </w:pPr>
    </w:lvl>
    <w:lvl w:ilvl="3" w:tplc="0C09000F">
      <w:start w:val="1"/>
      <w:numFmt w:val="decimal"/>
      <w:lvlText w:val="%4."/>
      <w:lvlJc w:val="left"/>
      <w:pPr>
        <w:tabs>
          <w:tab w:val="num" w:pos="2160"/>
        </w:tabs>
        <w:ind w:left="2160" w:hanging="360"/>
      </w:pPr>
    </w:lvl>
    <w:lvl w:ilvl="4" w:tplc="0C090019">
      <w:start w:val="1"/>
      <w:numFmt w:val="decimal"/>
      <w:lvlText w:val="%5."/>
      <w:lvlJc w:val="left"/>
      <w:pPr>
        <w:tabs>
          <w:tab w:val="num" w:pos="2880"/>
        </w:tabs>
        <w:ind w:left="2880" w:hanging="360"/>
      </w:pPr>
    </w:lvl>
    <w:lvl w:ilvl="5" w:tplc="0C09001B">
      <w:start w:val="1"/>
      <w:numFmt w:val="decimal"/>
      <w:lvlText w:val="%6."/>
      <w:lvlJc w:val="left"/>
      <w:pPr>
        <w:tabs>
          <w:tab w:val="num" w:pos="3600"/>
        </w:tabs>
        <w:ind w:left="3600" w:hanging="360"/>
      </w:pPr>
    </w:lvl>
    <w:lvl w:ilvl="6" w:tplc="0C09000F">
      <w:start w:val="1"/>
      <w:numFmt w:val="decimal"/>
      <w:lvlText w:val="%7."/>
      <w:lvlJc w:val="left"/>
      <w:pPr>
        <w:tabs>
          <w:tab w:val="num" w:pos="4320"/>
        </w:tabs>
        <w:ind w:left="4320" w:hanging="360"/>
      </w:pPr>
    </w:lvl>
    <w:lvl w:ilvl="7" w:tplc="0C090019">
      <w:start w:val="1"/>
      <w:numFmt w:val="decimal"/>
      <w:lvlText w:val="%8."/>
      <w:lvlJc w:val="left"/>
      <w:pPr>
        <w:tabs>
          <w:tab w:val="num" w:pos="5040"/>
        </w:tabs>
        <w:ind w:left="5040" w:hanging="360"/>
      </w:pPr>
    </w:lvl>
    <w:lvl w:ilvl="8" w:tplc="0C09001B">
      <w:start w:val="1"/>
      <w:numFmt w:val="decimal"/>
      <w:lvlText w:val="%9."/>
      <w:lvlJc w:val="left"/>
      <w:pPr>
        <w:tabs>
          <w:tab w:val="num" w:pos="5760"/>
        </w:tabs>
        <w:ind w:left="5760" w:hanging="360"/>
      </w:pPr>
    </w:lvl>
  </w:abstractNum>
  <w:abstractNum w:abstractNumId="31">
    <w:nsid w:val="647C39E3"/>
    <w:multiLevelType w:val="multilevel"/>
    <w:tmpl w:val="560677C0"/>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32">
    <w:nsid w:val="668F4F43"/>
    <w:multiLevelType w:val="hybridMultilevel"/>
    <w:tmpl w:val="EB667092"/>
    <w:lvl w:ilvl="0" w:tplc="EFBC9EF0">
      <w:start w:val="1"/>
      <w:numFmt w:val="bullet"/>
      <w:lvlText w:val=""/>
      <w:lvlJc w:val="left"/>
      <w:pPr>
        <w:ind w:left="360" w:hanging="360"/>
      </w:pPr>
      <w:rPr>
        <w:rFonts w:ascii="Symbol" w:hAnsi="Symbol" w:hint="default"/>
        <w:sz w:val="20"/>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33">
    <w:nsid w:val="6A2D09F7"/>
    <w:multiLevelType w:val="hybridMultilevel"/>
    <w:tmpl w:val="93BAD722"/>
    <w:lvl w:ilvl="0" w:tplc="CB807CFE">
      <w:start w:val="22"/>
      <w:numFmt w:val="bullet"/>
      <w:lvlText w:val="•"/>
      <w:lvlJc w:val="left"/>
      <w:pPr>
        <w:ind w:left="927" w:hanging="360"/>
      </w:pPr>
      <w:rPr>
        <w:rFonts w:ascii="Verdana" w:eastAsia="Times New Roman" w:hAnsi="Verdana"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4">
    <w:nsid w:val="6B3C1C5B"/>
    <w:multiLevelType w:val="hybridMultilevel"/>
    <w:tmpl w:val="1AB8653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nsid w:val="6D9C55FE"/>
    <w:multiLevelType w:val="hybridMultilevel"/>
    <w:tmpl w:val="8D56AEF2"/>
    <w:lvl w:ilvl="0" w:tplc="8834B33C">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30" w:hanging="360"/>
      </w:pPr>
      <w:rPr>
        <w:rFonts w:ascii="Courier New" w:hAnsi="Courier New" w:cs="Courier New" w:hint="default"/>
      </w:rPr>
    </w:lvl>
    <w:lvl w:ilvl="2" w:tplc="0C090005" w:tentative="1">
      <w:start w:val="1"/>
      <w:numFmt w:val="bullet"/>
      <w:lvlText w:val=""/>
      <w:lvlJc w:val="left"/>
      <w:pPr>
        <w:ind w:left="1750" w:hanging="360"/>
      </w:pPr>
      <w:rPr>
        <w:rFonts w:ascii="Wingdings" w:hAnsi="Wingdings" w:hint="default"/>
      </w:rPr>
    </w:lvl>
    <w:lvl w:ilvl="3" w:tplc="0C090001" w:tentative="1">
      <w:start w:val="1"/>
      <w:numFmt w:val="bullet"/>
      <w:lvlText w:val=""/>
      <w:lvlJc w:val="left"/>
      <w:pPr>
        <w:ind w:left="2470" w:hanging="360"/>
      </w:pPr>
      <w:rPr>
        <w:rFonts w:ascii="Symbol" w:hAnsi="Symbol" w:hint="default"/>
      </w:rPr>
    </w:lvl>
    <w:lvl w:ilvl="4" w:tplc="0C090003" w:tentative="1">
      <w:start w:val="1"/>
      <w:numFmt w:val="bullet"/>
      <w:lvlText w:val="o"/>
      <w:lvlJc w:val="left"/>
      <w:pPr>
        <w:ind w:left="3190" w:hanging="360"/>
      </w:pPr>
      <w:rPr>
        <w:rFonts w:ascii="Courier New" w:hAnsi="Courier New" w:cs="Courier New" w:hint="default"/>
      </w:rPr>
    </w:lvl>
    <w:lvl w:ilvl="5" w:tplc="0C090005" w:tentative="1">
      <w:start w:val="1"/>
      <w:numFmt w:val="bullet"/>
      <w:lvlText w:val=""/>
      <w:lvlJc w:val="left"/>
      <w:pPr>
        <w:ind w:left="3910" w:hanging="360"/>
      </w:pPr>
      <w:rPr>
        <w:rFonts w:ascii="Wingdings" w:hAnsi="Wingdings" w:hint="default"/>
      </w:rPr>
    </w:lvl>
    <w:lvl w:ilvl="6" w:tplc="0C090001" w:tentative="1">
      <w:start w:val="1"/>
      <w:numFmt w:val="bullet"/>
      <w:lvlText w:val=""/>
      <w:lvlJc w:val="left"/>
      <w:pPr>
        <w:ind w:left="4630" w:hanging="360"/>
      </w:pPr>
      <w:rPr>
        <w:rFonts w:ascii="Symbol" w:hAnsi="Symbol" w:hint="default"/>
      </w:rPr>
    </w:lvl>
    <w:lvl w:ilvl="7" w:tplc="0C090003" w:tentative="1">
      <w:start w:val="1"/>
      <w:numFmt w:val="bullet"/>
      <w:lvlText w:val="o"/>
      <w:lvlJc w:val="left"/>
      <w:pPr>
        <w:ind w:left="5350" w:hanging="360"/>
      </w:pPr>
      <w:rPr>
        <w:rFonts w:ascii="Courier New" w:hAnsi="Courier New" w:cs="Courier New" w:hint="default"/>
      </w:rPr>
    </w:lvl>
    <w:lvl w:ilvl="8" w:tplc="0C090005" w:tentative="1">
      <w:start w:val="1"/>
      <w:numFmt w:val="bullet"/>
      <w:lvlText w:val=""/>
      <w:lvlJc w:val="left"/>
      <w:pPr>
        <w:ind w:left="6070" w:hanging="360"/>
      </w:pPr>
      <w:rPr>
        <w:rFonts w:ascii="Wingdings" w:hAnsi="Wingdings" w:hint="default"/>
      </w:rPr>
    </w:lvl>
  </w:abstractNum>
  <w:abstractNum w:abstractNumId="36">
    <w:nsid w:val="799D4CC8"/>
    <w:multiLevelType w:val="hybridMultilevel"/>
    <w:tmpl w:val="A07E8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706BA1"/>
    <w:multiLevelType w:val="hybridMultilevel"/>
    <w:tmpl w:val="88082A6E"/>
    <w:lvl w:ilvl="0" w:tplc="8834B33C">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DCF440C"/>
    <w:multiLevelType w:val="hybridMultilevel"/>
    <w:tmpl w:val="A418AD7E"/>
    <w:lvl w:ilvl="0" w:tplc="0C090001">
      <w:start w:val="1"/>
      <w:numFmt w:val="bullet"/>
      <w:lvlText w:val=""/>
      <w:lvlJc w:val="left"/>
      <w:pPr>
        <w:ind w:left="21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9">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9"/>
  </w:num>
  <w:num w:numId="2">
    <w:abstractNumId w:val="6"/>
  </w:num>
  <w:num w:numId="3">
    <w:abstractNumId w:val="22"/>
    <w:lvlOverride w:ilvl="0">
      <w:startOverride w:val="2"/>
    </w:lvlOverride>
  </w:num>
  <w:num w:numId="4">
    <w:abstractNumId w:val="20"/>
  </w:num>
  <w:num w:numId="5">
    <w:abstractNumId w:val="3"/>
  </w:num>
  <w:num w:numId="6">
    <w:abstractNumId w:val="0"/>
  </w:num>
  <w:num w:numId="7">
    <w:abstractNumId w:val="25"/>
  </w:num>
  <w:num w:numId="8">
    <w:abstractNumId w:val="28"/>
  </w:num>
  <w:num w:numId="9">
    <w:abstractNumId w:val="11"/>
  </w:num>
  <w:num w:numId="10">
    <w:abstractNumId w:val="4"/>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3"/>
  </w:num>
  <w:num w:numId="17">
    <w:abstractNumId w:val="34"/>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35"/>
  </w:num>
  <w:num w:numId="26">
    <w:abstractNumId w:val="32"/>
  </w:num>
  <w:num w:numId="27">
    <w:abstractNumId w:val="15"/>
  </w:num>
  <w:num w:numId="28">
    <w:abstractNumId w:val="18"/>
  </w:num>
  <w:num w:numId="29">
    <w:abstractNumId w:val="26"/>
  </w:num>
  <w:num w:numId="30">
    <w:abstractNumId w:val="29"/>
  </w:num>
  <w:num w:numId="31">
    <w:abstractNumId w:val="9"/>
  </w:num>
  <w:num w:numId="32">
    <w:abstractNumId w:val="37"/>
  </w:num>
  <w:num w:numId="33">
    <w:abstractNumId w:val="27"/>
  </w:num>
  <w:num w:numId="34">
    <w:abstractNumId w:val="16"/>
  </w:num>
  <w:num w:numId="35">
    <w:abstractNumId w:val="21"/>
  </w:num>
  <w:num w:numId="36">
    <w:abstractNumId w:val="24"/>
  </w:num>
  <w:num w:numId="37">
    <w:abstractNumId w:val="31"/>
  </w:num>
  <w:num w:numId="38">
    <w:abstractNumId w:val="8"/>
  </w:num>
  <w:num w:numId="39">
    <w:abstractNumId w:val="5"/>
  </w:num>
  <w:num w:numId="40">
    <w:abstractNumId w:val="17"/>
  </w:num>
  <w:num w:numId="41">
    <w:abstractNumId w:val="13"/>
  </w:num>
  <w:num w:numId="42">
    <w:abstractNumId w:val="2"/>
  </w:num>
  <w:num w:numId="43">
    <w:abstractNumId w:val="24"/>
    <w:lvlOverride w:ilvl="0">
      <w:lvl w:ilvl="0">
        <w:start w:val="1"/>
        <w:numFmt w:val="bullet"/>
        <w:lvlText w:val=""/>
        <w:lvlJc w:val="left"/>
        <w:pPr>
          <w:ind w:left="720" w:hanging="363"/>
        </w:pPr>
        <w:rPr>
          <w:rFonts w:ascii="Symbol" w:hAnsi="Symbol" w:hint="default"/>
          <w:sz w:val="20"/>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decimal"/>
        <w:lvlText w:val="%3."/>
        <w:lvlJc w:val="left"/>
        <w:pPr>
          <w:tabs>
            <w:tab w:val="num" w:pos="1440"/>
          </w:tabs>
          <w:ind w:left="1440" w:hanging="360"/>
        </w:pPr>
        <w:rPr>
          <w:rFonts w:hint="default"/>
        </w:rPr>
      </w:lvl>
    </w:lvlOverride>
    <w:lvlOverride w:ilvl="3">
      <w:lvl w:ilvl="3">
        <w:start w:val="1"/>
        <w:numFmt w:val="decimal"/>
        <w:lvlText w:val="%4."/>
        <w:lvlJc w:val="left"/>
        <w:pPr>
          <w:tabs>
            <w:tab w:val="num" w:pos="2160"/>
          </w:tabs>
          <w:ind w:left="2160" w:hanging="360"/>
        </w:pPr>
        <w:rPr>
          <w:rFonts w:hint="default"/>
        </w:rPr>
      </w:lvl>
    </w:lvlOverride>
    <w:lvlOverride w:ilvl="4">
      <w:lvl w:ilvl="4">
        <w:start w:val="1"/>
        <w:numFmt w:val="decimal"/>
        <w:lvlText w:val="%5."/>
        <w:lvlJc w:val="left"/>
        <w:pPr>
          <w:tabs>
            <w:tab w:val="num" w:pos="2880"/>
          </w:tabs>
          <w:ind w:left="2880" w:hanging="360"/>
        </w:pPr>
        <w:rPr>
          <w:rFonts w:hint="default"/>
        </w:rPr>
      </w:lvl>
    </w:lvlOverride>
    <w:lvlOverride w:ilvl="5">
      <w:lvl w:ilvl="5">
        <w:start w:val="1"/>
        <w:numFmt w:val="decimal"/>
        <w:lvlText w:val="%6."/>
        <w:lvlJc w:val="left"/>
        <w:pPr>
          <w:tabs>
            <w:tab w:val="num" w:pos="3600"/>
          </w:tabs>
          <w:ind w:left="3600" w:hanging="360"/>
        </w:pPr>
        <w:rPr>
          <w:rFonts w:hint="default"/>
        </w:rPr>
      </w:lvl>
    </w:lvlOverride>
    <w:lvlOverride w:ilvl="6">
      <w:lvl w:ilvl="6">
        <w:start w:val="1"/>
        <w:numFmt w:val="decimal"/>
        <w:lvlText w:val="%7."/>
        <w:lvlJc w:val="left"/>
        <w:pPr>
          <w:tabs>
            <w:tab w:val="num" w:pos="4320"/>
          </w:tabs>
          <w:ind w:left="4320" w:hanging="360"/>
        </w:pPr>
        <w:rPr>
          <w:rFonts w:hint="default"/>
        </w:rPr>
      </w:lvl>
    </w:lvlOverride>
    <w:lvlOverride w:ilvl="7">
      <w:lvl w:ilvl="7">
        <w:start w:val="1"/>
        <w:numFmt w:val="decimal"/>
        <w:lvlText w:val="%8."/>
        <w:lvlJc w:val="left"/>
        <w:pPr>
          <w:tabs>
            <w:tab w:val="num" w:pos="5040"/>
          </w:tabs>
          <w:ind w:left="5040" w:hanging="360"/>
        </w:pPr>
        <w:rPr>
          <w:rFonts w:hint="default"/>
        </w:rPr>
      </w:lvl>
    </w:lvlOverride>
    <w:lvlOverride w:ilvl="8">
      <w:lvl w:ilvl="8">
        <w:start w:val="1"/>
        <w:numFmt w:val="decimal"/>
        <w:lvlText w:val="%9."/>
        <w:lvlJc w:val="left"/>
        <w:pPr>
          <w:tabs>
            <w:tab w:val="num" w:pos="5760"/>
          </w:tabs>
          <w:ind w:left="57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01"/>
    <w:rsid w:val="00013F63"/>
    <w:rsid w:val="00030494"/>
    <w:rsid w:val="001036DF"/>
    <w:rsid w:val="001209F6"/>
    <w:rsid w:val="001B652B"/>
    <w:rsid w:val="001D68F2"/>
    <w:rsid w:val="00244B9E"/>
    <w:rsid w:val="0033363E"/>
    <w:rsid w:val="00356F98"/>
    <w:rsid w:val="004735A9"/>
    <w:rsid w:val="005F7C01"/>
    <w:rsid w:val="0066740B"/>
    <w:rsid w:val="007D3259"/>
    <w:rsid w:val="007D7CED"/>
    <w:rsid w:val="008B3EBB"/>
    <w:rsid w:val="00906ADD"/>
    <w:rsid w:val="00961936"/>
    <w:rsid w:val="00A02CB0"/>
    <w:rsid w:val="00A51066"/>
    <w:rsid w:val="00AC0B14"/>
    <w:rsid w:val="00B54804"/>
    <w:rsid w:val="00D0413E"/>
    <w:rsid w:val="00E64174"/>
    <w:rsid w:val="00EE3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C0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5F7C01"/>
    <w:pPr>
      <w:keepNext/>
      <w:numPr>
        <w:numId w:val="1"/>
      </w:numPr>
      <w:outlineLvl w:val="0"/>
    </w:pPr>
    <w:rPr>
      <w:b/>
      <w:caps/>
    </w:rPr>
  </w:style>
  <w:style w:type="paragraph" w:styleId="Heading2">
    <w:name w:val="heading 2"/>
    <w:basedOn w:val="Normal"/>
    <w:next w:val="Normal"/>
    <w:link w:val="Heading2Char"/>
    <w:uiPriority w:val="9"/>
    <w:qFormat/>
    <w:rsid w:val="005F7C01"/>
    <w:pPr>
      <w:keepNext/>
      <w:numPr>
        <w:ilvl w:val="1"/>
        <w:numId w:val="1"/>
      </w:numPr>
      <w:spacing w:before="360" w:after="60"/>
      <w:outlineLvl w:val="1"/>
    </w:pPr>
    <w:rPr>
      <w:b/>
    </w:rPr>
  </w:style>
  <w:style w:type="paragraph" w:styleId="Heading6">
    <w:name w:val="heading 6"/>
    <w:basedOn w:val="Normal"/>
    <w:next w:val="Normal"/>
    <w:link w:val="Heading6Char"/>
    <w:qFormat/>
    <w:rsid w:val="005F7C01"/>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C01"/>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5F7C01"/>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5F7C01"/>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5F7C01"/>
    <w:pPr>
      <w:tabs>
        <w:tab w:val="center" w:pos="4153"/>
        <w:tab w:val="right" w:pos="8306"/>
      </w:tabs>
    </w:pPr>
  </w:style>
  <w:style w:type="character" w:customStyle="1" w:styleId="FooterChar">
    <w:name w:val="Footer Char"/>
    <w:basedOn w:val="DefaultParagraphFont"/>
    <w:link w:val="Footer"/>
    <w:uiPriority w:val="99"/>
    <w:rsid w:val="005F7C01"/>
    <w:rPr>
      <w:rFonts w:ascii="Times New Roman" w:eastAsia="Times New Roman" w:hAnsi="Times New Roman" w:cs="Times New Roman"/>
      <w:sz w:val="24"/>
      <w:szCs w:val="20"/>
      <w:lang w:eastAsia="en-AU"/>
    </w:rPr>
  </w:style>
  <w:style w:type="paragraph" w:customStyle="1" w:styleId="HB-Paragraph">
    <w:name w:val="HB - Paragraph"/>
    <w:basedOn w:val="Normal"/>
    <w:rsid w:val="005F7C01"/>
    <w:pPr>
      <w:numPr>
        <w:ilvl w:val="2"/>
        <w:numId w:val="1"/>
      </w:numPr>
      <w:spacing w:before="120" w:after="120"/>
    </w:pPr>
  </w:style>
  <w:style w:type="paragraph" w:styleId="Header">
    <w:name w:val="header"/>
    <w:basedOn w:val="Normal"/>
    <w:link w:val="HeaderChar"/>
    <w:uiPriority w:val="99"/>
    <w:rsid w:val="005F7C01"/>
    <w:pPr>
      <w:tabs>
        <w:tab w:val="center" w:pos="4153"/>
        <w:tab w:val="right" w:pos="8306"/>
      </w:tabs>
    </w:pPr>
  </w:style>
  <w:style w:type="character" w:customStyle="1" w:styleId="HeaderChar">
    <w:name w:val="Header Char"/>
    <w:basedOn w:val="DefaultParagraphFont"/>
    <w:link w:val="Header"/>
    <w:uiPriority w:val="99"/>
    <w:rsid w:val="005F7C01"/>
    <w:rPr>
      <w:rFonts w:ascii="Times New Roman" w:eastAsia="Times New Roman" w:hAnsi="Times New Roman" w:cs="Times New Roman"/>
      <w:sz w:val="24"/>
      <w:szCs w:val="20"/>
      <w:lang w:eastAsia="en-AU"/>
    </w:rPr>
  </w:style>
  <w:style w:type="paragraph" w:customStyle="1" w:styleId="ParaNumbering">
    <w:name w:val="Para Numbering"/>
    <w:basedOn w:val="Normal"/>
    <w:rsid w:val="005F7C01"/>
    <w:pPr>
      <w:tabs>
        <w:tab w:val="num" w:pos="360"/>
        <w:tab w:val="left" w:pos="567"/>
      </w:tabs>
      <w:spacing w:after="240" w:line="240" w:lineRule="atLeast"/>
    </w:pPr>
    <w:rPr>
      <w:lang w:eastAsia="en-US"/>
    </w:rPr>
  </w:style>
  <w:style w:type="paragraph" w:styleId="ListParagraph">
    <w:name w:val="List Paragraph"/>
    <w:aliases w:val="NFP GP Bulleted List,List Paragraph1,Recommendation,List Paragraph11"/>
    <w:basedOn w:val="Normal"/>
    <w:link w:val="ListParagraphChar"/>
    <w:uiPriority w:val="34"/>
    <w:qFormat/>
    <w:rsid w:val="005F7C01"/>
    <w:pPr>
      <w:spacing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5F7C01"/>
    <w:pPr>
      <w:spacing w:before="100" w:beforeAutospacing="1" w:after="100" w:afterAutospacing="1"/>
    </w:pPr>
    <w:rPr>
      <w:rFonts w:eastAsiaTheme="minorHAnsi"/>
      <w:szCs w:val="24"/>
    </w:rPr>
  </w:style>
  <w:style w:type="paragraph" w:customStyle="1" w:styleId="numberlist">
    <w:name w:val="number_list"/>
    <w:basedOn w:val="Normal"/>
    <w:uiPriority w:val="99"/>
    <w:rsid w:val="005F7C01"/>
    <w:pPr>
      <w:numPr>
        <w:numId w:val="3"/>
      </w:numPr>
      <w:spacing w:after="120"/>
    </w:pPr>
    <w:rPr>
      <w:rFonts w:eastAsiaTheme="minorHAnsi"/>
      <w:szCs w:val="24"/>
    </w:rPr>
  </w:style>
  <w:style w:type="character" w:styleId="Hyperlink">
    <w:name w:val="Hyperlink"/>
    <w:basedOn w:val="DefaultParagraphFont"/>
    <w:uiPriority w:val="99"/>
    <w:unhideWhenUsed/>
    <w:rsid w:val="005F7C01"/>
    <w:rPr>
      <w:color w:val="0000FF" w:themeColor="hyperlink"/>
      <w:u w:val="single"/>
    </w:rPr>
  </w:style>
  <w:style w:type="paragraph" w:customStyle="1" w:styleId="CABNETParagraphAtt">
    <w:name w:val="CABNET Paragraph Att"/>
    <w:basedOn w:val="Normal"/>
    <w:link w:val="CABNETParagraphAttChar"/>
    <w:qFormat/>
    <w:rsid w:val="005F7C01"/>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5F7C01"/>
    <w:rPr>
      <w:rFonts w:ascii="Verdana" w:eastAsia="Times New Roman" w:hAnsi="Verdana" w:cs="Times New Roman"/>
      <w:szCs w:val="24"/>
      <w:lang w:eastAsia="en-AU"/>
    </w:rPr>
  </w:style>
  <w:style w:type="paragraph" w:styleId="NormalWeb">
    <w:name w:val="Normal (Web)"/>
    <w:basedOn w:val="Normal"/>
    <w:uiPriority w:val="99"/>
    <w:unhideWhenUsed/>
    <w:rsid w:val="005F7C01"/>
    <w:pPr>
      <w:spacing w:after="288"/>
    </w:pPr>
    <w:rPr>
      <w:szCs w:val="24"/>
    </w:rPr>
  </w:style>
  <w:style w:type="paragraph" w:styleId="FootnoteText">
    <w:name w:val="footnote text"/>
    <w:basedOn w:val="Normal"/>
    <w:link w:val="FootnoteTextChar"/>
    <w:rsid w:val="005F7C01"/>
    <w:rPr>
      <w:sz w:val="20"/>
    </w:rPr>
  </w:style>
  <w:style w:type="character" w:customStyle="1" w:styleId="FootnoteTextChar">
    <w:name w:val="Footnote Text Char"/>
    <w:basedOn w:val="DefaultParagraphFont"/>
    <w:link w:val="FootnoteText"/>
    <w:rsid w:val="005F7C01"/>
    <w:rPr>
      <w:rFonts w:ascii="Times New Roman" w:eastAsia="Times New Roman" w:hAnsi="Times New Roman" w:cs="Times New Roman"/>
      <w:sz w:val="20"/>
      <w:szCs w:val="20"/>
      <w:lang w:eastAsia="en-AU"/>
    </w:rPr>
  </w:style>
  <w:style w:type="character" w:customStyle="1" w:styleId="StyleBody">
    <w:name w:val="Style +Body"/>
    <w:basedOn w:val="DefaultParagraphFont"/>
    <w:rsid w:val="005F7C01"/>
    <w:rPr>
      <w:rFonts w:asciiTheme="minorHAnsi" w:hAnsiTheme="minorHAnsi"/>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5F7C01"/>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5F7C01"/>
    <w:rPr>
      <w:rFonts w:ascii="Calibri" w:eastAsiaTheme="minorHAnsi" w:hAnsi="Calibri" w:cs="Calibri"/>
      <w:sz w:val="20"/>
    </w:rPr>
  </w:style>
  <w:style w:type="character" w:customStyle="1" w:styleId="CommentTextChar">
    <w:name w:val="Comment Text Char"/>
    <w:basedOn w:val="DefaultParagraphFont"/>
    <w:link w:val="CommentText"/>
    <w:uiPriority w:val="99"/>
    <w:semiHidden/>
    <w:rsid w:val="005F7C01"/>
    <w:rPr>
      <w:rFonts w:ascii="Calibri" w:hAnsi="Calibri" w:cs="Calibri"/>
      <w:sz w:val="20"/>
      <w:szCs w:val="20"/>
      <w:lang w:eastAsia="en-AU"/>
    </w:rPr>
  </w:style>
  <w:style w:type="paragraph" w:customStyle="1" w:styleId="Default">
    <w:name w:val="Default"/>
    <w:basedOn w:val="Normal"/>
    <w:rsid w:val="005F7C01"/>
    <w:pPr>
      <w:autoSpaceDE w:val="0"/>
      <w:autoSpaceDN w:val="0"/>
    </w:pPr>
    <w:rPr>
      <w:rFonts w:eastAsiaTheme="minorHAnsi"/>
      <w:color w:val="000000"/>
      <w:szCs w:val="24"/>
    </w:rPr>
  </w:style>
  <w:style w:type="character" w:styleId="CommentReference">
    <w:name w:val="annotation reference"/>
    <w:basedOn w:val="DefaultParagraphFont"/>
    <w:uiPriority w:val="99"/>
    <w:semiHidden/>
    <w:unhideWhenUsed/>
    <w:rsid w:val="005F7C01"/>
    <w:rPr>
      <w:sz w:val="16"/>
      <w:szCs w:val="16"/>
    </w:rPr>
  </w:style>
  <w:style w:type="paragraph" w:styleId="BalloonText">
    <w:name w:val="Balloon Text"/>
    <w:basedOn w:val="Normal"/>
    <w:link w:val="BalloonTextChar"/>
    <w:uiPriority w:val="99"/>
    <w:semiHidden/>
    <w:unhideWhenUsed/>
    <w:rsid w:val="005F7C01"/>
    <w:rPr>
      <w:rFonts w:ascii="Tahoma" w:hAnsi="Tahoma" w:cs="Tahoma"/>
      <w:sz w:val="16"/>
      <w:szCs w:val="16"/>
    </w:rPr>
  </w:style>
  <w:style w:type="character" w:customStyle="1" w:styleId="BalloonTextChar">
    <w:name w:val="Balloon Text Char"/>
    <w:basedOn w:val="DefaultParagraphFont"/>
    <w:link w:val="BalloonText"/>
    <w:uiPriority w:val="99"/>
    <w:semiHidden/>
    <w:rsid w:val="005F7C01"/>
    <w:rPr>
      <w:rFonts w:ascii="Tahoma" w:eastAsia="Times New Roman" w:hAnsi="Tahoma" w:cs="Tahoma"/>
      <w:sz w:val="16"/>
      <w:szCs w:val="16"/>
      <w:lang w:eastAsia="en-AU"/>
    </w:rPr>
  </w:style>
  <w:style w:type="paragraph" w:customStyle="1" w:styleId="CABBackGround">
    <w:name w:val="CABBackGround"/>
    <w:basedOn w:val="Normal"/>
    <w:link w:val="CABBackGroundChar1"/>
    <w:rsid w:val="005F7C01"/>
    <w:pPr>
      <w:spacing w:line="360" w:lineRule="auto"/>
    </w:pPr>
  </w:style>
  <w:style w:type="character" w:customStyle="1" w:styleId="CABBackGroundChar1">
    <w:name w:val="CABBackGround Char1"/>
    <w:basedOn w:val="DefaultParagraphFont"/>
    <w:link w:val="CABBackGround"/>
    <w:rsid w:val="005F7C01"/>
    <w:rPr>
      <w:rFonts w:ascii="Times New Roman" w:eastAsia="Times New Roman" w:hAnsi="Times New Roman" w:cs="Times New Roman"/>
      <w:sz w:val="24"/>
      <w:szCs w:val="20"/>
      <w:lang w:eastAsia="en-AU"/>
    </w:rPr>
  </w:style>
  <w:style w:type="paragraph" w:customStyle="1" w:styleId="Quotation">
    <w:name w:val="Quotation"/>
    <w:basedOn w:val="Normal"/>
    <w:uiPriority w:val="99"/>
    <w:rsid w:val="005F7C01"/>
    <w:pPr>
      <w:numPr>
        <w:numId w:val="19"/>
      </w:numPr>
      <w:spacing w:after="140" w:line="260" w:lineRule="atLeast"/>
    </w:pPr>
    <w:rPr>
      <w:rFonts w:ascii="Arial" w:eastAsiaTheme="minorHAnsi" w:hAnsi="Arial" w:cs="Arial"/>
      <w:sz w:val="20"/>
    </w:rPr>
  </w:style>
  <w:style w:type="paragraph" w:customStyle="1" w:styleId="Quotation1">
    <w:name w:val="Quotation 1"/>
    <w:basedOn w:val="Normal"/>
    <w:uiPriority w:val="99"/>
    <w:rsid w:val="005F7C01"/>
    <w:pPr>
      <w:numPr>
        <w:ilvl w:val="1"/>
        <w:numId w:val="19"/>
      </w:numPr>
      <w:spacing w:after="140" w:line="260" w:lineRule="atLeast"/>
    </w:pPr>
    <w:rPr>
      <w:rFonts w:ascii="Arial" w:eastAsiaTheme="minorHAnsi" w:hAnsi="Arial" w:cs="Arial"/>
      <w:sz w:val="20"/>
    </w:rPr>
  </w:style>
  <w:style w:type="paragraph" w:customStyle="1" w:styleId="Quotation2">
    <w:name w:val="Quotation 2"/>
    <w:basedOn w:val="Normal"/>
    <w:uiPriority w:val="99"/>
    <w:rsid w:val="005F7C01"/>
    <w:pPr>
      <w:numPr>
        <w:ilvl w:val="2"/>
        <w:numId w:val="19"/>
      </w:numPr>
      <w:spacing w:after="140" w:line="260" w:lineRule="atLeast"/>
    </w:pPr>
    <w:rPr>
      <w:rFonts w:ascii="Arial" w:eastAsiaTheme="minorHAnsi" w:hAnsi="Arial" w:cs="Arial"/>
      <w:sz w:val="20"/>
    </w:rPr>
  </w:style>
  <w:style w:type="paragraph" w:customStyle="1" w:styleId="Quotation3">
    <w:name w:val="Quotation 3"/>
    <w:basedOn w:val="Normal"/>
    <w:uiPriority w:val="99"/>
    <w:rsid w:val="005F7C01"/>
    <w:pPr>
      <w:numPr>
        <w:ilvl w:val="3"/>
        <w:numId w:val="19"/>
      </w:numPr>
      <w:spacing w:after="140" w:line="260" w:lineRule="atLeast"/>
    </w:pPr>
    <w:rPr>
      <w:rFonts w:ascii="Arial" w:eastAsiaTheme="minorHAnsi" w:hAnsi="Arial" w:cs="Arial"/>
      <w:sz w:val="20"/>
    </w:rPr>
  </w:style>
  <w:style w:type="paragraph" w:customStyle="1" w:styleId="Quotation4">
    <w:name w:val="Quotation 4"/>
    <w:basedOn w:val="Normal"/>
    <w:uiPriority w:val="99"/>
    <w:rsid w:val="005F7C01"/>
    <w:pPr>
      <w:numPr>
        <w:ilvl w:val="4"/>
        <w:numId w:val="19"/>
      </w:numPr>
      <w:spacing w:after="140" w:line="260" w:lineRule="atLeast"/>
    </w:pPr>
    <w:rPr>
      <w:rFonts w:ascii="Arial" w:eastAsiaTheme="minorHAnsi" w:hAnsi="Arial" w:cs="Arial"/>
      <w:sz w:val="20"/>
    </w:rPr>
  </w:style>
  <w:style w:type="paragraph" w:customStyle="1" w:styleId="Quotation5">
    <w:name w:val="Quotation 5"/>
    <w:basedOn w:val="Normal"/>
    <w:uiPriority w:val="99"/>
    <w:rsid w:val="005F7C01"/>
    <w:pPr>
      <w:numPr>
        <w:ilvl w:val="5"/>
        <w:numId w:val="19"/>
      </w:numPr>
      <w:spacing w:after="140" w:line="260" w:lineRule="atLeast"/>
    </w:pPr>
    <w:rPr>
      <w:rFonts w:ascii="Arial" w:eastAsiaTheme="minorHAnsi" w:hAnsi="Arial" w:cs="Arial"/>
      <w:sz w:val="20"/>
    </w:rPr>
  </w:style>
  <w:style w:type="paragraph" w:customStyle="1" w:styleId="Quotation6">
    <w:name w:val="Quotation 6"/>
    <w:basedOn w:val="Normal"/>
    <w:uiPriority w:val="99"/>
    <w:rsid w:val="005F7C01"/>
    <w:pPr>
      <w:numPr>
        <w:ilvl w:val="6"/>
        <w:numId w:val="19"/>
      </w:numPr>
      <w:spacing w:after="140" w:line="260" w:lineRule="atLeast"/>
    </w:pPr>
    <w:rPr>
      <w:rFonts w:ascii="Arial" w:eastAsiaTheme="minorHAnsi" w:hAnsi="Arial" w:cs="Arial"/>
      <w:sz w:val="20"/>
    </w:rPr>
  </w:style>
  <w:style w:type="paragraph" w:customStyle="1" w:styleId="Quotation7">
    <w:name w:val="Quotation 7"/>
    <w:basedOn w:val="Normal"/>
    <w:uiPriority w:val="99"/>
    <w:rsid w:val="005F7C01"/>
    <w:pPr>
      <w:numPr>
        <w:ilvl w:val="7"/>
        <w:numId w:val="19"/>
      </w:numPr>
      <w:spacing w:after="140" w:line="260" w:lineRule="atLeast"/>
    </w:pPr>
    <w:rPr>
      <w:rFonts w:ascii="Arial" w:eastAsiaTheme="minorHAnsi" w:hAnsi="Arial" w:cs="Arial"/>
      <w:sz w:val="20"/>
    </w:rPr>
  </w:style>
  <w:style w:type="paragraph" w:customStyle="1" w:styleId="Quotation8">
    <w:name w:val="Quotation 8"/>
    <w:basedOn w:val="Normal"/>
    <w:uiPriority w:val="99"/>
    <w:rsid w:val="005F7C01"/>
    <w:pPr>
      <w:numPr>
        <w:ilvl w:val="8"/>
        <w:numId w:val="19"/>
      </w:numPr>
      <w:spacing w:after="140" w:line="260" w:lineRule="atLeast"/>
    </w:pPr>
    <w:rPr>
      <w:rFonts w:ascii="Arial" w:eastAsiaTheme="minorHAnsi" w:hAnsi="Arial" w:cs="Arial"/>
      <w:sz w:val="20"/>
    </w:rPr>
  </w:style>
  <w:style w:type="paragraph" w:customStyle="1" w:styleId="PlainParagraph">
    <w:name w:val="Plain Paragraph"/>
    <w:basedOn w:val="Normal"/>
    <w:uiPriority w:val="99"/>
    <w:rsid w:val="005F7C01"/>
    <w:pPr>
      <w:spacing w:before="140" w:after="140" w:line="280" w:lineRule="atLeast"/>
    </w:pPr>
    <w:rPr>
      <w:rFonts w:ascii="Arial" w:eastAsiaTheme="minorHAnsi" w:hAnsi="Arial" w:cs="Arial"/>
      <w:sz w:val="22"/>
      <w:szCs w:val="22"/>
    </w:rPr>
  </w:style>
  <w:style w:type="numbering" w:customStyle="1" w:styleId="Style1">
    <w:name w:val="Style1"/>
    <w:uiPriority w:val="99"/>
    <w:rsid w:val="005F7C01"/>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C0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5F7C01"/>
    <w:pPr>
      <w:keepNext/>
      <w:numPr>
        <w:numId w:val="1"/>
      </w:numPr>
      <w:outlineLvl w:val="0"/>
    </w:pPr>
    <w:rPr>
      <w:b/>
      <w:caps/>
    </w:rPr>
  </w:style>
  <w:style w:type="paragraph" w:styleId="Heading2">
    <w:name w:val="heading 2"/>
    <w:basedOn w:val="Normal"/>
    <w:next w:val="Normal"/>
    <w:link w:val="Heading2Char"/>
    <w:uiPriority w:val="9"/>
    <w:qFormat/>
    <w:rsid w:val="005F7C01"/>
    <w:pPr>
      <w:keepNext/>
      <w:numPr>
        <w:ilvl w:val="1"/>
        <w:numId w:val="1"/>
      </w:numPr>
      <w:spacing w:before="360" w:after="60"/>
      <w:outlineLvl w:val="1"/>
    </w:pPr>
    <w:rPr>
      <w:b/>
    </w:rPr>
  </w:style>
  <w:style w:type="paragraph" w:styleId="Heading6">
    <w:name w:val="heading 6"/>
    <w:basedOn w:val="Normal"/>
    <w:next w:val="Normal"/>
    <w:link w:val="Heading6Char"/>
    <w:qFormat/>
    <w:rsid w:val="005F7C01"/>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C01"/>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5F7C01"/>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5F7C01"/>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5F7C01"/>
    <w:pPr>
      <w:tabs>
        <w:tab w:val="center" w:pos="4153"/>
        <w:tab w:val="right" w:pos="8306"/>
      </w:tabs>
    </w:pPr>
  </w:style>
  <w:style w:type="character" w:customStyle="1" w:styleId="FooterChar">
    <w:name w:val="Footer Char"/>
    <w:basedOn w:val="DefaultParagraphFont"/>
    <w:link w:val="Footer"/>
    <w:uiPriority w:val="99"/>
    <w:rsid w:val="005F7C01"/>
    <w:rPr>
      <w:rFonts w:ascii="Times New Roman" w:eastAsia="Times New Roman" w:hAnsi="Times New Roman" w:cs="Times New Roman"/>
      <w:sz w:val="24"/>
      <w:szCs w:val="20"/>
      <w:lang w:eastAsia="en-AU"/>
    </w:rPr>
  </w:style>
  <w:style w:type="paragraph" w:customStyle="1" w:styleId="HB-Paragraph">
    <w:name w:val="HB - Paragraph"/>
    <w:basedOn w:val="Normal"/>
    <w:rsid w:val="005F7C01"/>
    <w:pPr>
      <w:numPr>
        <w:ilvl w:val="2"/>
        <w:numId w:val="1"/>
      </w:numPr>
      <w:spacing w:before="120" w:after="120"/>
    </w:pPr>
  </w:style>
  <w:style w:type="paragraph" w:styleId="Header">
    <w:name w:val="header"/>
    <w:basedOn w:val="Normal"/>
    <w:link w:val="HeaderChar"/>
    <w:uiPriority w:val="99"/>
    <w:rsid w:val="005F7C01"/>
    <w:pPr>
      <w:tabs>
        <w:tab w:val="center" w:pos="4153"/>
        <w:tab w:val="right" w:pos="8306"/>
      </w:tabs>
    </w:pPr>
  </w:style>
  <w:style w:type="character" w:customStyle="1" w:styleId="HeaderChar">
    <w:name w:val="Header Char"/>
    <w:basedOn w:val="DefaultParagraphFont"/>
    <w:link w:val="Header"/>
    <w:uiPriority w:val="99"/>
    <w:rsid w:val="005F7C01"/>
    <w:rPr>
      <w:rFonts w:ascii="Times New Roman" w:eastAsia="Times New Roman" w:hAnsi="Times New Roman" w:cs="Times New Roman"/>
      <w:sz w:val="24"/>
      <w:szCs w:val="20"/>
      <w:lang w:eastAsia="en-AU"/>
    </w:rPr>
  </w:style>
  <w:style w:type="paragraph" w:customStyle="1" w:styleId="ParaNumbering">
    <w:name w:val="Para Numbering"/>
    <w:basedOn w:val="Normal"/>
    <w:rsid w:val="005F7C01"/>
    <w:pPr>
      <w:tabs>
        <w:tab w:val="num" w:pos="360"/>
        <w:tab w:val="left" w:pos="567"/>
      </w:tabs>
      <w:spacing w:after="240" w:line="240" w:lineRule="atLeast"/>
    </w:pPr>
    <w:rPr>
      <w:lang w:eastAsia="en-US"/>
    </w:rPr>
  </w:style>
  <w:style w:type="paragraph" w:styleId="ListParagraph">
    <w:name w:val="List Paragraph"/>
    <w:aliases w:val="NFP GP Bulleted List,List Paragraph1,Recommendation,List Paragraph11"/>
    <w:basedOn w:val="Normal"/>
    <w:link w:val="ListParagraphChar"/>
    <w:uiPriority w:val="34"/>
    <w:qFormat/>
    <w:rsid w:val="005F7C01"/>
    <w:pPr>
      <w:spacing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5F7C01"/>
    <w:pPr>
      <w:spacing w:before="100" w:beforeAutospacing="1" w:after="100" w:afterAutospacing="1"/>
    </w:pPr>
    <w:rPr>
      <w:rFonts w:eastAsiaTheme="minorHAnsi"/>
      <w:szCs w:val="24"/>
    </w:rPr>
  </w:style>
  <w:style w:type="paragraph" w:customStyle="1" w:styleId="numberlist">
    <w:name w:val="number_list"/>
    <w:basedOn w:val="Normal"/>
    <w:uiPriority w:val="99"/>
    <w:rsid w:val="005F7C01"/>
    <w:pPr>
      <w:numPr>
        <w:numId w:val="3"/>
      </w:numPr>
      <w:spacing w:after="120"/>
    </w:pPr>
    <w:rPr>
      <w:rFonts w:eastAsiaTheme="minorHAnsi"/>
      <w:szCs w:val="24"/>
    </w:rPr>
  </w:style>
  <w:style w:type="character" w:styleId="Hyperlink">
    <w:name w:val="Hyperlink"/>
    <w:basedOn w:val="DefaultParagraphFont"/>
    <w:uiPriority w:val="99"/>
    <w:unhideWhenUsed/>
    <w:rsid w:val="005F7C01"/>
    <w:rPr>
      <w:color w:val="0000FF" w:themeColor="hyperlink"/>
      <w:u w:val="single"/>
    </w:rPr>
  </w:style>
  <w:style w:type="paragraph" w:customStyle="1" w:styleId="CABNETParagraphAtt">
    <w:name w:val="CABNET Paragraph Att"/>
    <w:basedOn w:val="Normal"/>
    <w:link w:val="CABNETParagraphAttChar"/>
    <w:qFormat/>
    <w:rsid w:val="005F7C01"/>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5F7C01"/>
    <w:rPr>
      <w:rFonts w:ascii="Verdana" w:eastAsia="Times New Roman" w:hAnsi="Verdana" w:cs="Times New Roman"/>
      <w:szCs w:val="24"/>
      <w:lang w:eastAsia="en-AU"/>
    </w:rPr>
  </w:style>
  <w:style w:type="paragraph" w:styleId="NormalWeb">
    <w:name w:val="Normal (Web)"/>
    <w:basedOn w:val="Normal"/>
    <w:uiPriority w:val="99"/>
    <w:unhideWhenUsed/>
    <w:rsid w:val="005F7C01"/>
    <w:pPr>
      <w:spacing w:after="288"/>
    </w:pPr>
    <w:rPr>
      <w:szCs w:val="24"/>
    </w:rPr>
  </w:style>
  <w:style w:type="paragraph" w:styleId="FootnoteText">
    <w:name w:val="footnote text"/>
    <w:basedOn w:val="Normal"/>
    <w:link w:val="FootnoteTextChar"/>
    <w:rsid w:val="005F7C01"/>
    <w:rPr>
      <w:sz w:val="20"/>
    </w:rPr>
  </w:style>
  <w:style w:type="character" w:customStyle="1" w:styleId="FootnoteTextChar">
    <w:name w:val="Footnote Text Char"/>
    <w:basedOn w:val="DefaultParagraphFont"/>
    <w:link w:val="FootnoteText"/>
    <w:rsid w:val="005F7C01"/>
    <w:rPr>
      <w:rFonts w:ascii="Times New Roman" w:eastAsia="Times New Roman" w:hAnsi="Times New Roman" w:cs="Times New Roman"/>
      <w:sz w:val="20"/>
      <w:szCs w:val="20"/>
      <w:lang w:eastAsia="en-AU"/>
    </w:rPr>
  </w:style>
  <w:style w:type="character" w:customStyle="1" w:styleId="StyleBody">
    <w:name w:val="Style +Body"/>
    <w:basedOn w:val="DefaultParagraphFont"/>
    <w:rsid w:val="005F7C01"/>
    <w:rPr>
      <w:rFonts w:asciiTheme="minorHAnsi" w:hAnsiTheme="minorHAnsi"/>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5F7C01"/>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5F7C01"/>
    <w:rPr>
      <w:rFonts w:ascii="Calibri" w:eastAsiaTheme="minorHAnsi" w:hAnsi="Calibri" w:cs="Calibri"/>
      <w:sz w:val="20"/>
    </w:rPr>
  </w:style>
  <w:style w:type="character" w:customStyle="1" w:styleId="CommentTextChar">
    <w:name w:val="Comment Text Char"/>
    <w:basedOn w:val="DefaultParagraphFont"/>
    <w:link w:val="CommentText"/>
    <w:uiPriority w:val="99"/>
    <w:semiHidden/>
    <w:rsid w:val="005F7C01"/>
    <w:rPr>
      <w:rFonts w:ascii="Calibri" w:hAnsi="Calibri" w:cs="Calibri"/>
      <w:sz w:val="20"/>
      <w:szCs w:val="20"/>
      <w:lang w:eastAsia="en-AU"/>
    </w:rPr>
  </w:style>
  <w:style w:type="paragraph" w:customStyle="1" w:styleId="Default">
    <w:name w:val="Default"/>
    <w:basedOn w:val="Normal"/>
    <w:rsid w:val="005F7C01"/>
    <w:pPr>
      <w:autoSpaceDE w:val="0"/>
      <w:autoSpaceDN w:val="0"/>
    </w:pPr>
    <w:rPr>
      <w:rFonts w:eastAsiaTheme="minorHAnsi"/>
      <w:color w:val="000000"/>
      <w:szCs w:val="24"/>
    </w:rPr>
  </w:style>
  <w:style w:type="character" w:styleId="CommentReference">
    <w:name w:val="annotation reference"/>
    <w:basedOn w:val="DefaultParagraphFont"/>
    <w:uiPriority w:val="99"/>
    <w:semiHidden/>
    <w:unhideWhenUsed/>
    <w:rsid w:val="005F7C01"/>
    <w:rPr>
      <w:sz w:val="16"/>
      <w:szCs w:val="16"/>
    </w:rPr>
  </w:style>
  <w:style w:type="paragraph" w:styleId="BalloonText">
    <w:name w:val="Balloon Text"/>
    <w:basedOn w:val="Normal"/>
    <w:link w:val="BalloonTextChar"/>
    <w:uiPriority w:val="99"/>
    <w:semiHidden/>
    <w:unhideWhenUsed/>
    <w:rsid w:val="005F7C01"/>
    <w:rPr>
      <w:rFonts w:ascii="Tahoma" w:hAnsi="Tahoma" w:cs="Tahoma"/>
      <w:sz w:val="16"/>
      <w:szCs w:val="16"/>
    </w:rPr>
  </w:style>
  <w:style w:type="character" w:customStyle="1" w:styleId="BalloonTextChar">
    <w:name w:val="Balloon Text Char"/>
    <w:basedOn w:val="DefaultParagraphFont"/>
    <w:link w:val="BalloonText"/>
    <w:uiPriority w:val="99"/>
    <w:semiHidden/>
    <w:rsid w:val="005F7C01"/>
    <w:rPr>
      <w:rFonts w:ascii="Tahoma" w:eastAsia="Times New Roman" w:hAnsi="Tahoma" w:cs="Tahoma"/>
      <w:sz w:val="16"/>
      <w:szCs w:val="16"/>
      <w:lang w:eastAsia="en-AU"/>
    </w:rPr>
  </w:style>
  <w:style w:type="paragraph" w:customStyle="1" w:styleId="CABBackGround">
    <w:name w:val="CABBackGround"/>
    <w:basedOn w:val="Normal"/>
    <w:link w:val="CABBackGroundChar1"/>
    <w:rsid w:val="005F7C01"/>
    <w:pPr>
      <w:spacing w:line="360" w:lineRule="auto"/>
    </w:pPr>
  </w:style>
  <w:style w:type="character" w:customStyle="1" w:styleId="CABBackGroundChar1">
    <w:name w:val="CABBackGround Char1"/>
    <w:basedOn w:val="DefaultParagraphFont"/>
    <w:link w:val="CABBackGround"/>
    <w:rsid w:val="005F7C01"/>
    <w:rPr>
      <w:rFonts w:ascii="Times New Roman" w:eastAsia="Times New Roman" w:hAnsi="Times New Roman" w:cs="Times New Roman"/>
      <w:sz w:val="24"/>
      <w:szCs w:val="20"/>
      <w:lang w:eastAsia="en-AU"/>
    </w:rPr>
  </w:style>
  <w:style w:type="paragraph" w:customStyle="1" w:styleId="Quotation">
    <w:name w:val="Quotation"/>
    <w:basedOn w:val="Normal"/>
    <w:uiPriority w:val="99"/>
    <w:rsid w:val="005F7C01"/>
    <w:pPr>
      <w:numPr>
        <w:numId w:val="19"/>
      </w:numPr>
      <w:spacing w:after="140" w:line="260" w:lineRule="atLeast"/>
    </w:pPr>
    <w:rPr>
      <w:rFonts w:ascii="Arial" w:eastAsiaTheme="minorHAnsi" w:hAnsi="Arial" w:cs="Arial"/>
      <w:sz w:val="20"/>
    </w:rPr>
  </w:style>
  <w:style w:type="paragraph" w:customStyle="1" w:styleId="Quotation1">
    <w:name w:val="Quotation 1"/>
    <w:basedOn w:val="Normal"/>
    <w:uiPriority w:val="99"/>
    <w:rsid w:val="005F7C01"/>
    <w:pPr>
      <w:numPr>
        <w:ilvl w:val="1"/>
        <w:numId w:val="19"/>
      </w:numPr>
      <w:spacing w:after="140" w:line="260" w:lineRule="atLeast"/>
    </w:pPr>
    <w:rPr>
      <w:rFonts w:ascii="Arial" w:eastAsiaTheme="minorHAnsi" w:hAnsi="Arial" w:cs="Arial"/>
      <w:sz w:val="20"/>
    </w:rPr>
  </w:style>
  <w:style w:type="paragraph" w:customStyle="1" w:styleId="Quotation2">
    <w:name w:val="Quotation 2"/>
    <w:basedOn w:val="Normal"/>
    <w:uiPriority w:val="99"/>
    <w:rsid w:val="005F7C01"/>
    <w:pPr>
      <w:numPr>
        <w:ilvl w:val="2"/>
        <w:numId w:val="19"/>
      </w:numPr>
      <w:spacing w:after="140" w:line="260" w:lineRule="atLeast"/>
    </w:pPr>
    <w:rPr>
      <w:rFonts w:ascii="Arial" w:eastAsiaTheme="minorHAnsi" w:hAnsi="Arial" w:cs="Arial"/>
      <w:sz w:val="20"/>
    </w:rPr>
  </w:style>
  <w:style w:type="paragraph" w:customStyle="1" w:styleId="Quotation3">
    <w:name w:val="Quotation 3"/>
    <w:basedOn w:val="Normal"/>
    <w:uiPriority w:val="99"/>
    <w:rsid w:val="005F7C01"/>
    <w:pPr>
      <w:numPr>
        <w:ilvl w:val="3"/>
        <w:numId w:val="19"/>
      </w:numPr>
      <w:spacing w:after="140" w:line="260" w:lineRule="atLeast"/>
    </w:pPr>
    <w:rPr>
      <w:rFonts w:ascii="Arial" w:eastAsiaTheme="minorHAnsi" w:hAnsi="Arial" w:cs="Arial"/>
      <w:sz w:val="20"/>
    </w:rPr>
  </w:style>
  <w:style w:type="paragraph" w:customStyle="1" w:styleId="Quotation4">
    <w:name w:val="Quotation 4"/>
    <w:basedOn w:val="Normal"/>
    <w:uiPriority w:val="99"/>
    <w:rsid w:val="005F7C01"/>
    <w:pPr>
      <w:numPr>
        <w:ilvl w:val="4"/>
        <w:numId w:val="19"/>
      </w:numPr>
      <w:spacing w:after="140" w:line="260" w:lineRule="atLeast"/>
    </w:pPr>
    <w:rPr>
      <w:rFonts w:ascii="Arial" w:eastAsiaTheme="minorHAnsi" w:hAnsi="Arial" w:cs="Arial"/>
      <w:sz w:val="20"/>
    </w:rPr>
  </w:style>
  <w:style w:type="paragraph" w:customStyle="1" w:styleId="Quotation5">
    <w:name w:val="Quotation 5"/>
    <w:basedOn w:val="Normal"/>
    <w:uiPriority w:val="99"/>
    <w:rsid w:val="005F7C01"/>
    <w:pPr>
      <w:numPr>
        <w:ilvl w:val="5"/>
        <w:numId w:val="19"/>
      </w:numPr>
      <w:spacing w:after="140" w:line="260" w:lineRule="atLeast"/>
    </w:pPr>
    <w:rPr>
      <w:rFonts w:ascii="Arial" w:eastAsiaTheme="minorHAnsi" w:hAnsi="Arial" w:cs="Arial"/>
      <w:sz w:val="20"/>
    </w:rPr>
  </w:style>
  <w:style w:type="paragraph" w:customStyle="1" w:styleId="Quotation6">
    <w:name w:val="Quotation 6"/>
    <w:basedOn w:val="Normal"/>
    <w:uiPriority w:val="99"/>
    <w:rsid w:val="005F7C01"/>
    <w:pPr>
      <w:numPr>
        <w:ilvl w:val="6"/>
        <w:numId w:val="19"/>
      </w:numPr>
      <w:spacing w:after="140" w:line="260" w:lineRule="atLeast"/>
    </w:pPr>
    <w:rPr>
      <w:rFonts w:ascii="Arial" w:eastAsiaTheme="minorHAnsi" w:hAnsi="Arial" w:cs="Arial"/>
      <w:sz w:val="20"/>
    </w:rPr>
  </w:style>
  <w:style w:type="paragraph" w:customStyle="1" w:styleId="Quotation7">
    <w:name w:val="Quotation 7"/>
    <w:basedOn w:val="Normal"/>
    <w:uiPriority w:val="99"/>
    <w:rsid w:val="005F7C01"/>
    <w:pPr>
      <w:numPr>
        <w:ilvl w:val="7"/>
        <w:numId w:val="19"/>
      </w:numPr>
      <w:spacing w:after="140" w:line="260" w:lineRule="atLeast"/>
    </w:pPr>
    <w:rPr>
      <w:rFonts w:ascii="Arial" w:eastAsiaTheme="minorHAnsi" w:hAnsi="Arial" w:cs="Arial"/>
      <w:sz w:val="20"/>
    </w:rPr>
  </w:style>
  <w:style w:type="paragraph" w:customStyle="1" w:styleId="Quotation8">
    <w:name w:val="Quotation 8"/>
    <w:basedOn w:val="Normal"/>
    <w:uiPriority w:val="99"/>
    <w:rsid w:val="005F7C01"/>
    <w:pPr>
      <w:numPr>
        <w:ilvl w:val="8"/>
        <w:numId w:val="19"/>
      </w:numPr>
      <w:spacing w:after="140" w:line="260" w:lineRule="atLeast"/>
    </w:pPr>
    <w:rPr>
      <w:rFonts w:ascii="Arial" w:eastAsiaTheme="minorHAnsi" w:hAnsi="Arial" w:cs="Arial"/>
      <w:sz w:val="20"/>
    </w:rPr>
  </w:style>
  <w:style w:type="paragraph" w:customStyle="1" w:styleId="PlainParagraph">
    <w:name w:val="Plain Paragraph"/>
    <w:basedOn w:val="Normal"/>
    <w:uiPriority w:val="99"/>
    <w:rsid w:val="005F7C01"/>
    <w:pPr>
      <w:spacing w:before="140" w:after="140" w:line="280" w:lineRule="atLeast"/>
    </w:pPr>
    <w:rPr>
      <w:rFonts w:ascii="Arial" w:eastAsiaTheme="minorHAnsi" w:hAnsi="Arial" w:cs="Arial"/>
      <w:sz w:val="22"/>
      <w:szCs w:val="22"/>
    </w:rPr>
  </w:style>
  <w:style w:type="numbering" w:customStyle="1" w:styleId="Style1">
    <w:name w:val="Style1"/>
    <w:uiPriority w:val="99"/>
    <w:rsid w:val="005F7C0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6452</Characters>
  <Application>Microsoft Office Word</Application>
  <DocSecurity>0</DocSecurity>
  <Lines>208</Lines>
  <Paragraphs>124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Ravsan</dc:creator>
  <cp:lastModifiedBy>Hilhorst, Matt</cp:lastModifiedBy>
  <cp:revision>2</cp:revision>
  <dcterms:created xsi:type="dcterms:W3CDTF">2013-06-27T06:33:00Z</dcterms:created>
  <dcterms:modified xsi:type="dcterms:W3CDTF">2013-06-27T06:33:00Z</dcterms:modified>
</cp:coreProperties>
</file>