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EF" w:rsidRPr="00686C2A" w:rsidRDefault="00C503EF" w:rsidP="00C503EF">
      <w:pPr>
        <w:rPr>
          <w:sz w:val="28"/>
        </w:rPr>
      </w:pPr>
      <w:r w:rsidRPr="00686C2A">
        <w:rPr>
          <w:noProof/>
          <w:lang w:eastAsia="en-AU"/>
        </w:rPr>
        <w:drawing>
          <wp:inline distT="0" distB="0" distL="0" distR="0" wp14:anchorId="1C0124D6" wp14:editId="72EEDCE3">
            <wp:extent cx="1419225" cy="1104900"/>
            <wp:effectExtent l="0" t="0" r="9525" b="0"/>
            <wp:docPr id="24" name="Picture 2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503EF" w:rsidRPr="00686C2A" w:rsidRDefault="00C503EF" w:rsidP="00C503EF">
      <w:pPr>
        <w:rPr>
          <w:sz w:val="19"/>
        </w:rPr>
      </w:pPr>
    </w:p>
    <w:p w:rsidR="00C503EF" w:rsidRPr="00686C2A" w:rsidRDefault="00C503EF" w:rsidP="00C503EF">
      <w:pPr>
        <w:pStyle w:val="ShortT"/>
      </w:pPr>
      <w:bookmarkStart w:id="0" w:name="ConfidenceBlock"/>
      <w:bookmarkEnd w:id="0"/>
      <w:r w:rsidRPr="00686C2A">
        <w:t xml:space="preserve">Superannuation Legislation Amendment </w:t>
      </w:r>
      <w:r w:rsidR="00E70326" w:rsidRPr="00686C2A">
        <w:t>(</w:t>
      </w:r>
      <w:proofErr w:type="spellStart"/>
      <w:r w:rsidR="00E70326" w:rsidRPr="00686C2A">
        <w:t>MySuper</w:t>
      </w:r>
      <w:proofErr w:type="spellEnd"/>
      <w:r w:rsidR="00E70326" w:rsidRPr="00686C2A">
        <w:t xml:space="preserve"> Measures) </w:t>
      </w:r>
      <w:r w:rsidRPr="00686C2A">
        <w:t>Regulation</w:t>
      </w:r>
      <w:r w:rsidR="00686C2A" w:rsidRPr="00686C2A">
        <w:t> </w:t>
      </w:r>
      <w:r w:rsidRPr="00686C2A">
        <w:t>201</w:t>
      </w:r>
      <w:r w:rsidR="00C11255" w:rsidRPr="00686C2A">
        <w:t>3</w:t>
      </w:r>
    </w:p>
    <w:p w:rsidR="00C503EF" w:rsidRPr="00686C2A" w:rsidRDefault="00C503EF" w:rsidP="00C503EF"/>
    <w:p w:rsidR="00C503EF" w:rsidRPr="00686C2A" w:rsidRDefault="00C503EF" w:rsidP="00C503EF">
      <w:pPr>
        <w:pStyle w:val="InstNo"/>
      </w:pPr>
      <w:r w:rsidRPr="00686C2A">
        <w:t xml:space="preserve">Select Legislative Instrument </w:t>
      </w:r>
      <w:bookmarkStart w:id="1" w:name="BKCheck15B_1"/>
      <w:bookmarkEnd w:id="1"/>
      <w:r w:rsidR="00501FFC">
        <w:t>No. 155</w:t>
      </w:r>
      <w:bookmarkStart w:id="2" w:name="_GoBack"/>
      <w:bookmarkEnd w:id="2"/>
      <w:r w:rsidR="003913C6">
        <w:t>, 2013</w:t>
      </w:r>
    </w:p>
    <w:p w:rsidR="00780002" w:rsidRPr="00686C2A" w:rsidRDefault="00780002" w:rsidP="001A0BEE">
      <w:pPr>
        <w:pStyle w:val="SignCoverPageStart"/>
        <w:spacing w:before="240"/>
      </w:pPr>
      <w:r w:rsidRPr="00686C2A">
        <w:t>I, Quentin Bryce AC CVO, Governor</w:t>
      </w:r>
      <w:r w:rsidR="00686C2A">
        <w:noBreakHyphen/>
      </w:r>
      <w:r w:rsidRPr="00686C2A">
        <w:t>General of the Commonwealth of Australia, acting with the advice of the Federal Executive Council, make the following regulation under the Acts specified in section</w:t>
      </w:r>
      <w:r w:rsidR="00686C2A" w:rsidRPr="00686C2A">
        <w:t> </w:t>
      </w:r>
      <w:r w:rsidRPr="00686C2A">
        <w:t>3.</w:t>
      </w:r>
    </w:p>
    <w:p w:rsidR="00780002" w:rsidRPr="00686C2A" w:rsidRDefault="00780002" w:rsidP="001A0BEE">
      <w:pPr>
        <w:keepNext/>
        <w:spacing w:before="720" w:line="240" w:lineRule="atLeast"/>
        <w:ind w:right="397"/>
        <w:jc w:val="both"/>
        <w:rPr>
          <w:sz w:val="24"/>
          <w:szCs w:val="24"/>
        </w:rPr>
      </w:pPr>
      <w:r w:rsidRPr="00686C2A">
        <w:rPr>
          <w:sz w:val="24"/>
          <w:szCs w:val="24"/>
        </w:rPr>
        <w:t xml:space="preserve">Dated </w:t>
      </w:r>
      <w:r w:rsidRPr="00686C2A">
        <w:rPr>
          <w:sz w:val="24"/>
          <w:szCs w:val="24"/>
        </w:rPr>
        <w:fldChar w:fldCharType="begin"/>
      </w:r>
      <w:r w:rsidRPr="00686C2A">
        <w:rPr>
          <w:sz w:val="24"/>
          <w:szCs w:val="24"/>
        </w:rPr>
        <w:instrText xml:space="preserve"> DOCPROPERTY  DateMade </w:instrText>
      </w:r>
      <w:r w:rsidRPr="00686C2A">
        <w:rPr>
          <w:sz w:val="24"/>
          <w:szCs w:val="24"/>
        </w:rPr>
        <w:fldChar w:fldCharType="separate"/>
      </w:r>
      <w:r w:rsidR="003913C6">
        <w:rPr>
          <w:sz w:val="24"/>
          <w:szCs w:val="24"/>
        </w:rPr>
        <w:t>28 June 2013</w:t>
      </w:r>
      <w:r w:rsidRPr="00686C2A">
        <w:rPr>
          <w:sz w:val="24"/>
          <w:szCs w:val="24"/>
        </w:rPr>
        <w:fldChar w:fldCharType="end"/>
      </w:r>
    </w:p>
    <w:p w:rsidR="00780002" w:rsidRPr="00686C2A" w:rsidRDefault="00780002" w:rsidP="001A0BEE">
      <w:pPr>
        <w:keepNext/>
        <w:tabs>
          <w:tab w:val="left" w:pos="3402"/>
        </w:tabs>
        <w:spacing w:before="960" w:line="300" w:lineRule="atLeast"/>
        <w:ind w:left="397" w:right="397"/>
        <w:jc w:val="right"/>
        <w:rPr>
          <w:sz w:val="24"/>
          <w:szCs w:val="24"/>
        </w:rPr>
      </w:pPr>
      <w:r w:rsidRPr="00686C2A">
        <w:t>Quentin Bryce</w:t>
      </w:r>
    </w:p>
    <w:p w:rsidR="00780002" w:rsidRPr="00686C2A" w:rsidRDefault="00780002" w:rsidP="001A0BEE">
      <w:pPr>
        <w:keepNext/>
        <w:tabs>
          <w:tab w:val="left" w:pos="3402"/>
        </w:tabs>
        <w:spacing w:line="300" w:lineRule="atLeast"/>
        <w:ind w:left="397" w:right="397"/>
        <w:jc w:val="right"/>
        <w:rPr>
          <w:sz w:val="24"/>
          <w:szCs w:val="24"/>
        </w:rPr>
      </w:pPr>
      <w:r w:rsidRPr="00686C2A">
        <w:rPr>
          <w:sz w:val="24"/>
          <w:szCs w:val="24"/>
        </w:rPr>
        <w:t>Governor</w:t>
      </w:r>
      <w:r w:rsidR="00686C2A">
        <w:rPr>
          <w:sz w:val="24"/>
          <w:szCs w:val="24"/>
        </w:rPr>
        <w:noBreakHyphen/>
      </w:r>
      <w:r w:rsidRPr="00686C2A">
        <w:rPr>
          <w:sz w:val="24"/>
          <w:szCs w:val="24"/>
        </w:rPr>
        <w:t>General</w:t>
      </w:r>
    </w:p>
    <w:p w:rsidR="00780002" w:rsidRPr="00686C2A" w:rsidRDefault="00780002" w:rsidP="001A0BEE">
      <w:pPr>
        <w:keepNext/>
        <w:tabs>
          <w:tab w:val="left" w:pos="3402"/>
        </w:tabs>
        <w:spacing w:after="800" w:line="300" w:lineRule="atLeast"/>
        <w:ind w:right="397"/>
        <w:rPr>
          <w:sz w:val="24"/>
          <w:szCs w:val="24"/>
        </w:rPr>
      </w:pPr>
      <w:r w:rsidRPr="00686C2A">
        <w:rPr>
          <w:sz w:val="24"/>
          <w:szCs w:val="24"/>
        </w:rPr>
        <w:t>By Her Excellency’s Command</w:t>
      </w:r>
    </w:p>
    <w:p w:rsidR="00780002" w:rsidRPr="00686C2A" w:rsidRDefault="00780002" w:rsidP="001A0BEE">
      <w:pPr>
        <w:keepNext/>
        <w:tabs>
          <w:tab w:val="left" w:pos="3402"/>
        </w:tabs>
        <w:spacing w:before="480" w:line="300" w:lineRule="atLeast"/>
        <w:ind w:right="397"/>
        <w:rPr>
          <w:szCs w:val="22"/>
        </w:rPr>
      </w:pPr>
      <w:r w:rsidRPr="00686C2A">
        <w:rPr>
          <w:szCs w:val="22"/>
        </w:rPr>
        <w:t>William Richard Shorten</w:t>
      </w:r>
    </w:p>
    <w:p w:rsidR="00780002" w:rsidRPr="00686C2A" w:rsidRDefault="00780002" w:rsidP="001A0BEE">
      <w:pPr>
        <w:pStyle w:val="SignCoverPageEnd"/>
      </w:pPr>
      <w:r w:rsidRPr="00686C2A">
        <w:t>Minister for Financial Services and Superannuation</w:t>
      </w:r>
    </w:p>
    <w:p w:rsidR="00780002" w:rsidRPr="00686C2A" w:rsidRDefault="00780002">
      <w:pPr>
        <w:pStyle w:val="Tabletext"/>
      </w:pPr>
    </w:p>
    <w:p w:rsidR="00780002" w:rsidRPr="00686C2A" w:rsidRDefault="00780002" w:rsidP="00780002"/>
    <w:p w:rsidR="00C503EF" w:rsidRPr="00686C2A" w:rsidRDefault="00C503EF" w:rsidP="00C503EF">
      <w:pPr>
        <w:pStyle w:val="Header"/>
        <w:tabs>
          <w:tab w:val="clear" w:pos="4150"/>
          <w:tab w:val="clear" w:pos="8307"/>
        </w:tabs>
      </w:pPr>
      <w:r w:rsidRPr="00686C2A">
        <w:rPr>
          <w:rStyle w:val="CharAmSchNo"/>
        </w:rPr>
        <w:t xml:space="preserve"> </w:t>
      </w:r>
      <w:r w:rsidRPr="00686C2A">
        <w:rPr>
          <w:rStyle w:val="CharAmSchText"/>
        </w:rPr>
        <w:t xml:space="preserve"> </w:t>
      </w:r>
    </w:p>
    <w:p w:rsidR="00C503EF" w:rsidRPr="00686C2A" w:rsidRDefault="00C503EF" w:rsidP="00C503EF">
      <w:pPr>
        <w:pStyle w:val="Header"/>
        <w:tabs>
          <w:tab w:val="clear" w:pos="4150"/>
          <w:tab w:val="clear" w:pos="8307"/>
        </w:tabs>
      </w:pPr>
      <w:r w:rsidRPr="00686C2A">
        <w:rPr>
          <w:rStyle w:val="CharAmPartNo"/>
        </w:rPr>
        <w:t xml:space="preserve"> </w:t>
      </w:r>
      <w:r w:rsidRPr="00686C2A">
        <w:rPr>
          <w:rStyle w:val="CharAmPartText"/>
        </w:rPr>
        <w:t xml:space="preserve"> </w:t>
      </w:r>
    </w:p>
    <w:p w:rsidR="00C503EF" w:rsidRPr="00686C2A" w:rsidRDefault="00C503EF" w:rsidP="00C503EF">
      <w:pPr>
        <w:sectPr w:rsidR="00C503EF" w:rsidRPr="00686C2A" w:rsidSect="00CE35D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C503EF" w:rsidRPr="00686C2A" w:rsidRDefault="00C503EF" w:rsidP="00867687">
      <w:pPr>
        <w:rPr>
          <w:sz w:val="36"/>
        </w:rPr>
      </w:pPr>
      <w:r w:rsidRPr="00686C2A">
        <w:rPr>
          <w:sz w:val="36"/>
        </w:rPr>
        <w:lastRenderedPageBreak/>
        <w:t>Contents</w:t>
      </w:r>
    </w:p>
    <w:bookmarkStart w:id="3" w:name="BKCheck15B_2"/>
    <w:bookmarkEnd w:id="3"/>
    <w:p w:rsidR="003F422B" w:rsidRPr="00686C2A" w:rsidRDefault="003F422B">
      <w:pPr>
        <w:pStyle w:val="TOC5"/>
        <w:rPr>
          <w:rFonts w:asciiTheme="minorHAnsi" w:eastAsiaTheme="minorEastAsia" w:hAnsiTheme="minorHAnsi" w:cstheme="minorBidi"/>
          <w:noProof/>
          <w:kern w:val="0"/>
          <w:sz w:val="22"/>
          <w:szCs w:val="22"/>
        </w:rPr>
      </w:pPr>
      <w:r w:rsidRPr="00686C2A">
        <w:fldChar w:fldCharType="begin"/>
      </w:r>
      <w:r w:rsidRPr="00686C2A">
        <w:instrText xml:space="preserve"> TOC \o "1-9" </w:instrText>
      </w:r>
      <w:r w:rsidRPr="00686C2A">
        <w:fldChar w:fldCharType="separate"/>
      </w:r>
      <w:r w:rsidRPr="00686C2A">
        <w:rPr>
          <w:noProof/>
        </w:rPr>
        <w:t>1</w:t>
      </w:r>
      <w:r w:rsidRPr="00686C2A">
        <w:rPr>
          <w:noProof/>
        </w:rPr>
        <w:tab/>
        <w:t>Name of regulation</w:t>
      </w:r>
      <w:r w:rsidRPr="00686C2A">
        <w:rPr>
          <w:noProof/>
        </w:rPr>
        <w:tab/>
      </w:r>
      <w:r w:rsidRPr="00686C2A">
        <w:rPr>
          <w:noProof/>
        </w:rPr>
        <w:fldChar w:fldCharType="begin"/>
      </w:r>
      <w:r w:rsidRPr="00686C2A">
        <w:rPr>
          <w:noProof/>
        </w:rPr>
        <w:instrText xml:space="preserve"> PAGEREF _Toc359591500 \h </w:instrText>
      </w:r>
      <w:r w:rsidRPr="00686C2A">
        <w:rPr>
          <w:noProof/>
        </w:rPr>
      </w:r>
      <w:r w:rsidRPr="00686C2A">
        <w:rPr>
          <w:noProof/>
        </w:rPr>
        <w:fldChar w:fldCharType="separate"/>
      </w:r>
      <w:r w:rsidR="003913C6">
        <w:rPr>
          <w:noProof/>
        </w:rPr>
        <w:t>1</w:t>
      </w:r>
      <w:r w:rsidRPr="00686C2A">
        <w:rPr>
          <w:noProof/>
        </w:rPr>
        <w:fldChar w:fldCharType="end"/>
      </w:r>
    </w:p>
    <w:p w:rsidR="003F422B" w:rsidRPr="00686C2A" w:rsidRDefault="003F422B">
      <w:pPr>
        <w:pStyle w:val="TOC5"/>
        <w:rPr>
          <w:rFonts w:asciiTheme="minorHAnsi" w:eastAsiaTheme="minorEastAsia" w:hAnsiTheme="minorHAnsi" w:cstheme="minorBidi"/>
          <w:noProof/>
          <w:kern w:val="0"/>
          <w:sz w:val="22"/>
          <w:szCs w:val="22"/>
        </w:rPr>
      </w:pPr>
      <w:r w:rsidRPr="00686C2A">
        <w:rPr>
          <w:noProof/>
        </w:rPr>
        <w:t>2</w:t>
      </w:r>
      <w:r w:rsidRPr="00686C2A">
        <w:rPr>
          <w:noProof/>
        </w:rPr>
        <w:tab/>
        <w:t>Commencement</w:t>
      </w:r>
      <w:r w:rsidRPr="00686C2A">
        <w:rPr>
          <w:noProof/>
        </w:rPr>
        <w:tab/>
      </w:r>
      <w:r w:rsidRPr="00686C2A">
        <w:rPr>
          <w:noProof/>
        </w:rPr>
        <w:fldChar w:fldCharType="begin"/>
      </w:r>
      <w:r w:rsidRPr="00686C2A">
        <w:rPr>
          <w:noProof/>
        </w:rPr>
        <w:instrText xml:space="preserve"> PAGEREF _Toc359591501 \h </w:instrText>
      </w:r>
      <w:r w:rsidRPr="00686C2A">
        <w:rPr>
          <w:noProof/>
        </w:rPr>
      </w:r>
      <w:r w:rsidRPr="00686C2A">
        <w:rPr>
          <w:noProof/>
        </w:rPr>
        <w:fldChar w:fldCharType="separate"/>
      </w:r>
      <w:r w:rsidR="003913C6">
        <w:rPr>
          <w:noProof/>
        </w:rPr>
        <w:t>1</w:t>
      </w:r>
      <w:r w:rsidRPr="00686C2A">
        <w:rPr>
          <w:noProof/>
        </w:rPr>
        <w:fldChar w:fldCharType="end"/>
      </w:r>
    </w:p>
    <w:p w:rsidR="003F422B" w:rsidRPr="00686C2A" w:rsidRDefault="003F422B">
      <w:pPr>
        <w:pStyle w:val="TOC5"/>
        <w:rPr>
          <w:rFonts w:asciiTheme="minorHAnsi" w:eastAsiaTheme="minorEastAsia" w:hAnsiTheme="minorHAnsi" w:cstheme="minorBidi"/>
          <w:noProof/>
          <w:kern w:val="0"/>
          <w:sz w:val="22"/>
          <w:szCs w:val="22"/>
        </w:rPr>
      </w:pPr>
      <w:r w:rsidRPr="00686C2A">
        <w:rPr>
          <w:noProof/>
        </w:rPr>
        <w:t>3</w:t>
      </w:r>
      <w:r w:rsidRPr="00686C2A">
        <w:rPr>
          <w:noProof/>
        </w:rPr>
        <w:tab/>
        <w:t>Authority</w:t>
      </w:r>
      <w:r w:rsidRPr="00686C2A">
        <w:rPr>
          <w:noProof/>
        </w:rPr>
        <w:tab/>
      </w:r>
      <w:r w:rsidRPr="00686C2A">
        <w:rPr>
          <w:noProof/>
        </w:rPr>
        <w:fldChar w:fldCharType="begin"/>
      </w:r>
      <w:r w:rsidRPr="00686C2A">
        <w:rPr>
          <w:noProof/>
        </w:rPr>
        <w:instrText xml:space="preserve"> PAGEREF _Toc359591502 \h </w:instrText>
      </w:r>
      <w:r w:rsidRPr="00686C2A">
        <w:rPr>
          <w:noProof/>
        </w:rPr>
      </w:r>
      <w:r w:rsidRPr="00686C2A">
        <w:rPr>
          <w:noProof/>
        </w:rPr>
        <w:fldChar w:fldCharType="separate"/>
      </w:r>
      <w:r w:rsidR="003913C6">
        <w:rPr>
          <w:noProof/>
        </w:rPr>
        <w:t>3</w:t>
      </w:r>
      <w:r w:rsidRPr="00686C2A">
        <w:rPr>
          <w:noProof/>
        </w:rPr>
        <w:fldChar w:fldCharType="end"/>
      </w:r>
    </w:p>
    <w:p w:rsidR="003F422B" w:rsidRPr="00686C2A" w:rsidRDefault="003F422B">
      <w:pPr>
        <w:pStyle w:val="TOC5"/>
        <w:rPr>
          <w:rFonts w:asciiTheme="minorHAnsi" w:eastAsiaTheme="minorEastAsia" w:hAnsiTheme="minorHAnsi" w:cstheme="minorBidi"/>
          <w:noProof/>
          <w:kern w:val="0"/>
          <w:sz w:val="22"/>
          <w:szCs w:val="22"/>
        </w:rPr>
      </w:pPr>
      <w:r w:rsidRPr="00686C2A">
        <w:rPr>
          <w:noProof/>
        </w:rPr>
        <w:t>4</w:t>
      </w:r>
      <w:r w:rsidRPr="00686C2A">
        <w:rPr>
          <w:noProof/>
        </w:rPr>
        <w:tab/>
        <w:t>Schedule(s)</w:t>
      </w:r>
      <w:r w:rsidRPr="00686C2A">
        <w:rPr>
          <w:noProof/>
        </w:rPr>
        <w:tab/>
      </w:r>
      <w:r w:rsidRPr="00686C2A">
        <w:rPr>
          <w:noProof/>
        </w:rPr>
        <w:fldChar w:fldCharType="begin"/>
      </w:r>
      <w:r w:rsidRPr="00686C2A">
        <w:rPr>
          <w:noProof/>
        </w:rPr>
        <w:instrText xml:space="preserve"> PAGEREF _Toc359591503 \h </w:instrText>
      </w:r>
      <w:r w:rsidRPr="00686C2A">
        <w:rPr>
          <w:noProof/>
        </w:rPr>
      </w:r>
      <w:r w:rsidRPr="00686C2A">
        <w:rPr>
          <w:noProof/>
        </w:rPr>
        <w:fldChar w:fldCharType="separate"/>
      </w:r>
      <w:r w:rsidR="003913C6">
        <w:rPr>
          <w:noProof/>
        </w:rPr>
        <w:t>3</w:t>
      </w:r>
      <w:r w:rsidRPr="00686C2A">
        <w:rPr>
          <w:noProof/>
        </w:rPr>
        <w:fldChar w:fldCharType="end"/>
      </w:r>
    </w:p>
    <w:p w:rsidR="003F422B" w:rsidRPr="00686C2A" w:rsidRDefault="003F422B">
      <w:pPr>
        <w:pStyle w:val="TOC6"/>
        <w:rPr>
          <w:rFonts w:asciiTheme="minorHAnsi" w:eastAsiaTheme="minorEastAsia" w:hAnsiTheme="minorHAnsi" w:cstheme="minorBidi"/>
          <w:b w:val="0"/>
          <w:noProof/>
          <w:kern w:val="0"/>
          <w:sz w:val="22"/>
          <w:szCs w:val="22"/>
        </w:rPr>
      </w:pPr>
      <w:r w:rsidRPr="00686C2A">
        <w:rPr>
          <w:noProof/>
        </w:rPr>
        <w:t>Schedule</w:t>
      </w:r>
      <w:r w:rsidR="00686C2A" w:rsidRPr="00686C2A">
        <w:rPr>
          <w:noProof/>
        </w:rPr>
        <w:t> </w:t>
      </w:r>
      <w:r w:rsidRPr="00686C2A">
        <w:rPr>
          <w:noProof/>
        </w:rPr>
        <w:t>1—Amendments relating to MySuper</w:t>
      </w:r>
      <w:r w:rsidRPr="00686C2A">
        <w:rPr>
          <w:b w:val="0"/>
          <w:noProof/>
          <w:sz w:val="18"/>
        </w:rPr>
        <w:tab/>
      </w:r>
      <w:r w:rsidRPr="00686C2A">
        <w:rPr>
          <w:b w:val="0"/>
          <w:noProof/>
          <w:sz w:val="18"/>
        </w:rPr>
        <w:fldChar w:fldCharType="begin"/>
      </w:r>
      <w:r w:rsidRPr="00686C2A">
        <w:rPr>
          <w:b w:val="0"/>
          <w:noProof/>
          <w:sz w:val="18"/>
        </w:rPr>
        <w:instrText xml:space="preserve"> PAGEREF _Toc359591504 \h </w:instrText>
      </w:r>
      <w:r w:rsidRPr="00686C2A">
        <w:rPr>
          <w:b w:val="0"/>
          <w:noProof/>
          <w:sz w:val="18"/>
        </w:rPr>
      </w:r>
      <w:r w:rsidRPr="00686C2A">
        <w:rPr>
          <w:b w:val="0"/>
          <w:noProof/>
          <w:sz w:val="18"/>
        </w:rPr>
        <w:fldChar w:fldCharType="separate"/>
      </w:r>
      <w:r w:rsidR="003913C6">
        <w:rPr>
          <w:b w:val="0"/>
          <w:noProof/>
          <w:sz w:val="18"/>
        </w:rPr>
        <w:t>4</w:t>
      </w:r>
      <w:r w:rsidRPr="00686C2A">
        <w:rPr>
          <w:b w:val="0"/>
          <w:noProof/>
          <w:sz w:val="18"/>
        </w:rPr>
        <w:fldChar w:fldCharType="end"/>
      </w:r>
    </w:p>
    <w:p w:rsidR="003F422B" w:rsidRPr="00686C2A" w:rsidRDefault="003F422B">
      <w:pPr>
        <w:pStyle w:val="TOC9"/>
        <w:rPr>
          <w:rFonts w:asciiTheme="minorHAnsi" w:eastAsiaTheme="minorEastAsia" w:hAnsiTheme="minorHAnsi" w:cstheme="minorBidi"/>
          <w:i w:val="0"/>
          <w:noProof/>
          <w:kern w:val="0"/>
          <w:sz w:val="22"/>
          <w:szCs w:val="22"/>
        </w:rPr>
      </w:pPr>
      <w:r w:rsidRPr="00686C2A">
        <w:rPr>
          <w:noProof/>
        </w:rPr>
        <w:t>Corporations Regulations</w:t>
      </w:r>
      <w:r w:rsidR="00686C2A" w:rsidRPr="00686C2A">
        <w:rPr>
          <w:noProof/>
        </w:rPr>
        <w:t> </w:t>
      </w:r>
      <w:r w:rsidRPr="00686C2A">
        <w:rPr>
          <w:noProof/>
        </w:rPr>
        <w:t>2001</w:t>
      </w:r>
      <w:r w:rsidRPr="00686C2A">
        <w:rPr>
          <w:i w:val="0"/>
          <w:noProof/>
          <w:sz w:val="18"/>
        </w:rPr>
        <w:tab/>
      </w:r>
      <w:r w:rsidRPr="00686C2A">
        <w:rPr>
          <w:i w:val="0"/>
          <w:noProof/>
          <w:sz w:val="18"/>
        </w:rPr>
        <w:fldChar w:fldCharType="begin"/>
      </w:r>
      <w:r w:rsidRPr="00686C2A">
        <w:rPr>
          <w:i w:val="0"/>
          <w:noProof/>
          <w:sz w:val="18"/>
        </w:rPr>
        <w:instrText xml:space="preserve"> PAGEREF _Toc359591505 \h </w:instrText>
      </w:r>
      <w:r w:rsidRPr="00686C2A">
        <w:rPr>
          <w:i w:val="0"/>
          <w:noProof/>
          <w:sz w:val="18"/>
        </w:rPr>
      </w:r>
      <w:r w:rsidRPr="00686C2A">
        <w:rPr>
          <w:i w:val="0"/>
          <w:noProof/>
          <w:sz w:val="18"/>
        </w:rPr>
        <w:fldChar w:fldCharType="separate"/>
      </w:r>
      <w:r w:rsidR="003913C6">
        <w:rPr>
          <w:i w:val="0"/>
          <w:noProof/>
          <w:sz w:val="18"/>
        </w:rPr>
        <w:t>4</w:t>
      </w:r>
      <w:r w:rsidRPr="00686C2A">
        <w:rPr>
          <w:i w:val="0"/>
          <w:noProof/>
          <w:sz w:val="18"/>
        </w:rPr>
        <w:fldChar w:fldCharType="end"/>
      </w:r>
    </w:p>
    <w:p w:rsidR="003F422B" w:rsidRPr="00686C2A" w:rsidRDefault="003F422B">
      <w:pPr>
        <w:pStyle w:val="TOC9"/>
        <w:rPr>
          <w:rFonts w:asciiTheme="minorHAnsi" w:eastAsiaTheme="minorEastAsia" w:hAnsiTheme="minorHAnsi" w:cstheme="minorBidi"/>
          <w:i w:val="0"/>
          <w:noProof/>
          <w:kern w:val="0"/>
          <w:sz w:val="22"/>
          <w:szCs w:val="22"/>
        </w:rPr>
      </w:pPr>
      <w:r w:rsidRPr="00686C2A">
        <w:rPr>
          <w:noProof/>
        </w:rPr>
        <w:t>First Home Saver Accounts Regulations</w:t>
      </w:r>
      <w:r w:rsidR="00686C2A" w:rsidRPr="00686C2A">
        <w:rPr>
          <w:noProof/>
        </w:rPr>
        <w:t> </w:t>
      </w:r>
      <w:r w:rsidRPr="00686C2A">
        <w:rPr>
          <w:noProof/>
        </w:rPr>
        <w:t>2008</w:t>
      </w:r>
      <w:r w:rsidRPr="00686C2A">
        <w:rPr>
          <w:i w:val="0"/>
          <w:noProof/>
          <w:sz w:val="18"/>
        </w:rPr>
        <w:tab/>
      </w:r>
      <w:r w:rsidRPr="00686C2A">
        <w:rPr>
          <w:i w:val="0"/>
          <w:noProof/>
          <w:sz w:val="18"/>
        </w:rPr>
        <w:fldChar w:fldCharType="begin"/>
      </w:r>
      <w:r w:rsidRPr="00686C2A">
        <w:rPr>
          <w:i w:val="0"/>
          <w:noProof/>
          <w:sz w:val="18"/>
        </w:rPr>
        <w:instrText xml:space="preserve"> PAGEREF _Toc359591535 \h </w:instrText>
      </w:r>
      <w:r w:rsidRPr="00686C2A">
        <w:rPr>
          <w:i w:val="0"/>
          <w:noProof/>
          <w:sz w:val="18"/>
        </w:rPr>
      </w:r>
      <w:r w:rsidRPr="00686C2A">
        <w:rPr>
          <w:i w:val="0"/>
          <w:noProof/>
          <w:sz w:val="18"/>
        </w:rPr>
        <w:fldChar w:fldCharType="separate"/>
      </w:r>
      <w:r w:rsidR="003913C6">
        <w:rPr>
          <w:i w:val="0"/>
          <w:noProof/>
          <w:sz w:val="18"/>
        </w:rPr>
        <w:t>33</w:t>
      </w:r>
      <w:r w:rsidRPr="00686C2A">
        <w:rPr>
          <w:i w:val="0"/>
          <w:noProof/>
          <w:sz w:val="18"/>
        </w:rPr>
        <w:fldChar w:fldCharType="end"/>
      </w:r>
    </w:p>
    <w:p w:rsidR="003F422B" w:rsidRPr="00686C2A" w:rsidRDefault="003F422B">
      <w:pPr>
        <w:pStyle w:val="TOC9"/>
        <w:rPr>
          <w:rFonts w:asciiTheme="minorHAnsi" w:eastAsiaTheme="minorEastAsia" w:hAnsiTheme="minorHAnsi" w:cstheme="minorBidi"/>
          <w:i w:val="0"/>
          <w:noProof/>
          <w:kern w:val="0"/>
          <w:sz w:val="22"/>
          <w:szCs w:val="22"/>
        </w:rPr>
      </w:pPr>
      <w:r w:rsidRPr="00686C2A">
        <w:rPr>
          <w:noProof/>
        </w:rPr>
        <w:t>Superannuation Guarantee (Administration) Regulations</w:t>
      </w:r>
      <w:r w:rsidR="00686C2A" w:rsidRPr="00686C2A">
        <w:rPr>
          <w:noProof/>
        </w:rPr>
        <w:t> </w:t>
      </w:r>
      <w:r w:rsidRPr="00686C2A">
        <w:rPr>
          <w:noProof/>
        </w:rPr>
        <w:t>1993</w:t>
      </w:r>
      <w:r w:rsidRPr="00686C2A">
        <w:rPr>
          <w:i w:val="0"/>
          <w:noProof/>
          <w:sz w:val="18"/>
        </w:rPr>
        <w:tab/>
      </w:r>
      <w:r w:rsidRPr="00686C2A">
        <w:rPr>
          <w:i w:val="0"/>
          <w:noProof/>
          <w:sz w:val="18"/>
        </w:rPr>
        <w:fldChar w:fldCharType="begin"/>
      </w:r>
      <w:r w:rsidRPr="00686C2A">
        <w:rPr>
          <w:i w:val="0"/>
          <w:noProof/>
          <w:sz w:val="18"/>
        </w:rPr>
        <w:instrText xml:space="preserve"> PAGEREF _Toc359591536 \h </w:instrText>
      </w:r>
      <w:r w:rsidRPr="00686C2A">
        <w:rPr>
          <w:i w:val="0"/>
          <w:noProof/>
          <w:sz w:val="18"/>
        </w:rPr>
      </w:r>
      <w:r w:rsidRPr="00686C2A">
        <w:rPr>
          <w:i w:val="0"/>
          <w:noProof/>
          <w:sz w:val="18"/>
        </w:rPr>
        <w:fldChar w:fldCharType="separate"/>
      </w:r>
      <w:r w:rsidR="003913C6">
        <w:rPr>
          <w:i w:val="0"/>
          <w:noProof/>
          <w:sz w:val="18"/>
        </w:rPr>
        <w:t>34</w:t>
      </w:r>
      <w:r w:rsidRPr="00686C2A">
        <w:rPr>
          <w:i w:val="0"/>
          <w:noProof/>
          <w:sz w:val="18"/>
        </w:rPr>
        <w:fldChar w:fldCharType="end"/>
      </w:r>
    </w:p>
    <w:p w:rsidR="003F422B" w:rsidRPr="00686C2A" w:rsidRDefault="003F422B">
      <w:pPr>
        <w:pStyle w:val="TOC9"/>
        <w:rPr>
          <w:rFonts w:asciiTheme="minorHAnsi" w:eastAsiaTheme="minorEastAsia" w:hAnsiTheme="minorHAnsi" w:cstheme="minorBidi"/>
          <w:i w:val="0"/>
          <w:noProof/>
          <w:kern w:val="0"/>
          <w:sz w:val="22"/>
          <w:szCs w:val="22"/>
        </w:rPr>
      </w:pPr>
      <w:r w:rsidRPr="00686C2A">
        <w:rPr>
          <w:noProof/>
        </w:rPr>
        <w:t>Superannuation Industry (Supervision) Regulations</w:t>
      </w:r>
      <w:r w:rsidR="00686C2A" w:rsidRPr="00686C2A">
        <w:rPr>
          <w:noProof/>
        </w:rPr>
        <w:t> </w:t>
      </w:r>
      <w:r w:rsidRPr="00686C2A">
        <w:rPr>
          <w:noProof/>
        </w:rPr>
        <w:t>1994</w:t>
      </w:r>
      <w:r w:rsidRPr="00686C2A">
        <w:rPr>
          <w:i w:val="0"/>
          <w:noProof/>
          <w:sz w:val="18"/>
        </w:rPr>
        <w:tab/>
      </w:r>
      <w:r w:rsidRPr="00686C2A">
        <w:rPr>
          <w:i w:val="0"/>
          <w:noProof/>
          <w:sz w:val="18"/>
        </w:rPr>
        <w:fldChar w:fldCharType="begin"/>
      </w:r>
      <w:r w:rsidRPr="00686C2A">
        <w:rPr>
          <w:i w:val="0"/>
          <w:noProof/>
          <w:sz w:val="18"/>
        </w:rPr>
        <w:instrText xml:space="preserve"> PAGEREF _Toc359591538 \h </w:instrText>
      </w:r>
      <w:r w:rsidRPr="00686C2A">
        <w:rPr>
          <w:i w:val="0"/>
          <w:noProof/>
          <w:sz w:val="18"/>
        </w:rPr>
      </w:r>
      <w:r w:rsidRPr="00686C2A">
        <w:rPr>
          <w:i w:val="0"/>
          <w:noProof/>
          <w:sz w:val="18"/>
        </w:rPr>
        <w:fldChar w:fldCharType="separate"/>
      </w:r>
      <w:r w:rsidR="003913C6">
        <w:rPr>
          <w:i w:val="0"/>
          <w:noProof/>
          <w:sz w:val="18"/>
        </w:rPr>
        <w:t>35</w:t>
      </w:r>
      <w:r w:rsidRPr="00686C2A">
        <w:rPr>
          <w:i w:val="0"/>
          <w:noProof/>
          <w:sz w:val="18"/>
        </w:rPr>
        <w:fldChar w:fldCharType="end"/>
      </w:r>
    </w:p>
    <w:p w:rsidR="003F422B" w:rsidRPr="00686C2A" w:rsidRDefault="003F422B">
      <w:pPr>
        <w:pStyle w:val="TOC6"/>
        <w:rPr>
          <w:rFonts w:asciiTheme="minorHAnsi" w:eastAsiaTheme="minorEastAsia" w:hAnsiTheme="minorHAnsi" w:cstheme="minorBidi"/>
          <w:b w:val="0"/>
          <w:noProof/>
          <w:kern w:val="0"/>
          <w:sz w:val="22"/>
          <w:szCs w:val="22"/>
        </w:rPr>
      </w:pPr>
      <w:r w:rsidRPr="00686C2A">
        <w:rPr>
          <w:noProof/>
        </w:rPr>
        <w:t>Schedule</w:t>
      </w:r>
      <w:r w:rsidR="00686C2A" w:rsidRPr="00686C2A">
        <w:rPr>
          <w:noProof/>
        </w:rPr>
        <w:t> </w:t>
      </w:r>
      <w:r w:rsidRPr="00686C2A">
        <w:rPr>
          <w:noProof/>
        </w:rPr>
        <w:t>2—Amendments relating to MySuper product dashboard and other measures</w:t>
      </w:r>
      <w:r w:rsidRPr="00686C2A">
        <w:rPr>
          <w:b w:val="0"/>
          <w:noProof/>
          <w:sz w:val="18"/>
        </w:rPr>
        <w:tab/>
      </w:r>
      <w:r w:rsidRPr="00686C2A">
        <w:rPr>
          <w:b w:val="0"/>
          <w:noProof/>
          <w:sz w:val="18"/>
        </w:rPr>
        <w:fldChar w:fldCharType="begin"/>
      </w:r>
      <w:r w:rsidRPr="00686C2A">
        <w:rPr>
          <w:b w:val="0"/>
          <w:noProof/>
          <w:sz w:val="18"/>
        </w:rPr>
        <w:instrText xml:space="preserve"> PAGEREF _Toc359591563 \h </w:instrText>
      </w:r>
      <w:r w:rsidRPr="00686C2A">
        <w:rPr>
          <w:b w:val="0"/>
          <w:noProof/>
          <w:sz w:val="18"/>
        </w:rPr>
      </w:r>
      <w:r w:rsidRPr="00686C2A">
        <w:rPr>
          <w:b w:val="0"/>
          <w:noProof/>
          <w:sz w:val="18"/>
        </w:rPr>
        <w:fldChar w:fldCharType="separate"/>
      </w:r>
      <w:r w:rsidR="003913C6">
        <w:rPr>
          <w:b w:val="0"/>
          <w:noProof/>
          <w:sz w:val="18"/>
        </w:rPr>
        <w:t>60</w:t>
      </w:r>
      <w:r w:rsidRPr="00686C2A">
        <w:rPr>
          <w:b w:val="0"/>
          <w:noProof/>
          <w:sz w:val="18"/>
        </w:rPr>
        <w:fldChar w:fldCharType="end"/>
      </w:r>
    </w:p>
    <w:p w:rsidR="003F422B" w:rsidRPr="00686C2A" w:rsidRDefault="003F422B">
      <w:pPr>
        <w:pStyle w:val="TOC9"/>
        <w:rPr>
          <w:rFonts w:asciiTheme="minorHAnsi" w:eastAsiaTheme="minorEastAsia" w:hAnsiTheme="minorHAnsi" w:cstheme="minorBidi"/>
          <w:i w:val="0"/>
          <w:noProof/>
          <w:kern w:val="0"/>
          <w:sz w:val="22"/>
          <w:szCs w:val="22"/>
        </w:rPr>
      </w:pPr>
      <w:r w:rsidRPr="00686C2A">
        <w:rPr>
          <w:noProof/>
        </w:rPr>
        <w:t>Corporations Regulations</w:t>
      </w:r>
      <w:r w:rsidR="00686C2A" w:rsidRPr="00686C2A">
        <w:rPr>
          <w:noProof/>
        </w:rPr>
        <w:t> </w:t>
      </w:r>
      <w:r w:rsidRPr="00686C2A">
        <w:rPr>
          <w:noProof/>
        </w:rPr>
        <w:t>2001</w:t>
      </w:r>
      <w:r w:rsidRPr="00686C2A">
        <w:rPr>
          <w:i w:val="0"/>
          <w:noProof/>
          <w:sz w:val="18"/>
        </w:rPr>
        <w:tab/>
      </w:r>
      <w:r w:rsidRPr="00686C2A">
        <w:rPr>
          <w:i w:val="0"/>
          <w:noProof/>
          <w:sz w:val="18"/>
        </w:rPr>
        <w:fldChar w:fldCharType="begin"/>
      </w:r>
      <w:r w:rsidRPr="00686C2A">
        <w:rPr>
          <w:i w:val="0"/>
          <w:noProof/>
          <w:sz w:val="18"/>
        </w:rPr>
        <w:instrText xml:space="preserve"> PAGEREF _Toc359591564 \h </w:instrText>
      </w:r>
      <w:r w:rsidRPr="00686C2A">
        <w:rPr>
          <w:i w:val="0"/>
          <w:noProof/>
          <w:sz w:val="18"/>
        </w:rPr>
      </w:r>
      <w:r w:rsidRPr="00686C2A">
        <w:rPr>
          <w:i w:val="0"/>
          <w:noProof/>
          <w:sz w:val="18"/>
        </w:rPr>
        <w:fldChar w:fldCharType="separate"/>
      </w:r>
      <w:r w:rsidR="003913C6">
        <w:rPr>
          <w:i w:val="0"/>
          <w:noProof/>
          <w:sz w:val="18"/>
        </w:rPr>
        <w:t>60</w:t>
      </w:r>
      <w:r w:rsidRPr="00686C2A">
        <w:rPr>
          <w:i w:val="0"/>
          <w:noProof/>
          <w:sz w:val="18"/>
        </w:rPr>
        <w:fldChar w:fldCharType="end"/>
      </w:r>
    </w:p>
    <w:p w:rsidR="003F422B" w:rsidRPr="00686C2A" w:rsidRDefault="003F422B">
      <w:pPr>
        <w:pStyle w:val="TOC9"/>
        <w:rPr>
          <w:rFonts w:asciiTheme="minorHAnsi" w:eastAsiaTheme="minorEastAsia" w:hAnsiTheme="minorHAnsi" w:cstheme="minorBidi"/>
          <w:i w:val="0"/>
          <w:noProof/>
          <w:kern w:val="0"/>
          <w:sz w:val="22"/>
          <w:szCs w:val="22"/>
        </w:rPr>
      </w:pPr>
      <w:r w:rsidRPr="00686C2A">
        <w:rPr>
          <w:noProof/>
        </w:rPr>
        <w:t>First Home Saver Accounts Regulations</w:t>
      </w:r>
      <w:r w:rsidR="00686C2A" w:rsidRPr="00686C2A">
        <w:rPr>
          <w:noProof/>
        </w:rPr>
        <w:t> </w:t>
      </w:r>
      <w:r w:rsidRPr="00686C2A">
        <w:rPr>
          <w:noProof/>
        </w:rPr>
        <w:t>2008</w:t>
      </w:r>
      <w:r w:rsidRPr="00686C2A">
        <w:rPr>
          <w:i w:val="0"/>
          <w:noProof/>
          <w:sz w:val="18"/>
        </w:rPr>
        <w:tab/>
      </w:r>
      <w:r w:rsidRPr="00686C2A">
        <w:rPr>
          <w:i w:val="0"/>
          <w:noProof/>
          <w:sz w:val="18"/>
        </w:rPr>
        <w:fldChar w:fldCharType="begin"/>
      </w:r>
      <w:r w:rsidRPr="00686C2A">
        <w:rPr>
          <w:i w:val="0"/>
          <w:noProof/>
          <w:sz w:val="18"/>
        </w:rPr>
        <w:instrText xml:space="preserve"> PAGEREF _Toc359591580 \h </w:instrText>
      </w:r>
      <w:r w:rsidRPr="00686C2A">
        <w:rPr>
          <w:i w:val="0"/>
          <w:noProof/>
          <w:sz w:val="18"/>
        </w:rPr>
      </w:r>
      <w:r w:rsidRPr="00686C2A">
        <w:rPr>
          <w:i w:val="0"/>
          <w:noProof/>
          <w:sz w:val="18"/>
        </w:rPr>
        <w:fldChar w:fldCharType="separate"/>
      </w:r>
      <w:r w:rsidR="003913C6">
        <w:rPr>
          <w:i w:val="0"/>
          <w:noProof/>
          <w:sz w:val="18"/>
        </w:rPr>
        <w:t>69</w:t>
      </w:r>
      <w:r w:rsidRPr="00686C2A">
        <w:rPr>
          <w:i w:val="0"/>
          <w:noProof/>
          <w:sz w:val="18"/>
        </w:rPr>
        <w:fldChar w:fldCharType="end"/>
      </w:r>
    </w:p>
    <w:p w:rsidR="003F422B" w:rsidRPr="00686C2A" w:rsidRDefault="003F422B">
      <w:pPr>
        <w:pStyle w:val="TOC9"/>
        <w:rPr>
          <w:rFonts w:asciiTheme="minorHAnsi" w:eastAsiaTheme="minorEastAsia" w:hAnsiTheme="minorHAnsi" w:cstheme="minorBidi"/>
          <w:i w:val="0"/>
          <w:noProof/>
          <w:kern w:val="0"/>
          <w:sz w:val="22"/>
          <w:szCs w:val="22"/>
        </w:rPr>
      </w:pPr>
      <w:r w:rsidRPr="00686C2A">
        <w:rPr>
          <w:noProof/>
        </w:rPr>
        <w:t>Superannuation Industry (Supervision) Regulations</w:t>
      </w:r>
      <w:r w:rsidR="00686C2A" w:rsidRPr="00686C2A">
        <w:rPr>
          <w:noProof/>
        </w:rPr>
        <w:t> </w:t>
      </w:r>
      <w:r w:rsidRPr="00686C2A">
        <w:rPr>
          <w:noProof/>
        </w:rPr>
        <w:t>1994</w:t>
      </w:r>
      <w:r w:rsidRPr="00686C2A">
        <w:rPr>
          <w:i w:val="0"/>
          <w:noProof/>
          <w:sz w:val="18"/>
        </w:rPr>
        <w:tab/>
      </w:r>
      <w:r w:rsidRPr="00686C2A">
        <w:rPr>
          <w:i w:val="0"/>
          <w:noProof/>
          <w:sz w:val="18"/>
        </w:rPr>
        <w:fldChar w:fldCharType="begin"/>
      </w:r>
      <w:r w:rsidRPr="00686C2A">
        <w:rPr>
          <w:i w:val="0"/>
          <w:noProof/>
          <w:sz w:val="18"/>
        </w:rPr>
        <w:instrText xml:space="preserve"> PAGEREF _Toc359591581 \h </w:instrText>
      </w:r>
      <w:r w:rsidRPr="00686C2A">
        <w:rPr>
          <w:i w:val="0"/>
          <w:noProof/>
          <w:sz w:val="18"/>
        </w:rPr>
      </w:r>
      <w:r w:rsidRPr="00686C2A">
        <w:rPr>
          <w:i w:val="0"/>
          <w:noProof/>
          <w:sz w:val="18"/>
        </w:rPr>
        <w:fldChar w:fldCharType="separate"/>
      </w:r>
      <w:r w:rsidR="003913C6">
        <w:rPr>
          <w:i w:val="0"/>
          <w:noProof/>
          <w:sz w:val="18"/>
        </w:rPr>
        <w:t>69</w:t>
      </w:r>
      <w:r w:rsidRPr="00686C2A">
        <w:rPr>
          <w:i w:val="0"/>
          <w:noProof/>
          <w:sz w:val="18"/>
        </w:rPr>
        <w:fldChar w:fldCharType="end"/>
      </w:r>
    </w:p>
    <w:p w:rsidR="003F422B" w:rsidRPr="00686C2A" w:rsidRDefault="003F422B">
      <w:pPr>
        <w:pStyle w:val="TOC6"/>
        <w:rPr>
          <w:rFonts w:asciiTheme="minorHAnsi" w:eastAsiaTheme="minorEastAsia" w:hAnsiTheme="minorHAnsi" w:cstheme="minorBidi"/>
          <w:b w:val="0"/>
          <w:noProof/>
          <w:kern w:val="0"/>
          <w:sz w:val="22"/>
          <w:szCs w:val="22"/>
        </w:rPr>
      </w:pPr>
      <w:r w:rsidRPr="00686C2A">
        <w:rPr>
          <w:noProof/>
        </w:rPr>
        <w:t>Schedule</w:t>
      </w:r>
      <w:r w:rsidR="00686C2A" w:rsidRPr="00686C2A">
        <w:rPr>
          <w:noProof/>
        </w:rPr>
        <w:t> </w:t>
      </w:r>
      <w:r w:rsidRPr="00686C2A">
        <w:rPr>
          <w:noProof/>
        </w:rPr>
        <w:t>3—Amendments relating to MySuper product dashboard transitional provisions</w:t>
      </w:r>
      <w:r w:rsidRPr="00686C2A">
        <w:rPr>
          <w:b w:val="0"/>
          <w:noProof/>
          <w:sz w:val="18"/>
        </w:rPr>
        <w:tab/>
      </w:r>
      <w:r w:rsidRPr="00686C2A">
        <w:rPr>
          <w:b w:val="0"/>
          <w:noProof/>
          <w:sz w:val="18"/>
        </w:rPr>
        <w:fldChar w:fldCharType="begin"/>
      </w:r>
      <w:r w:rsidRPr="00686C2A">
        <w:rPr>
          <w:b w:val="0"/>
          <w:noProof/>
          <w:sz w:val="18"/>
        </w:rPr>
        <w:instrText xml:space="preserve"> PAGEREF _Toc359591592 \h </w:instrText>
      </w:r>
      <w:r w:rsidRPr="00686C2A">
        <w:rPr>
          <w:b w:val="0"/>
          <w:noProof/>
          <w:sz w:val="18"/>
        </w:rPr>
      </w:r>
      <w:r w:rsidRPr="00686C2A">
        <w:rPr>
          <w:b w:val="0"/>
          <w:noProof/>
          <w:sz w:val="18"/>
        </w:rPr>
        <w:fldChar w:fldCharType="separate"/>
      </w:r>
      <w:r w:rsidR="003913C6">
        <w:rPr>
          <w:b w:val="0"/>
          <w:noProof/>
          <w:sz w:val="18"/>
        </w:rPr>
        <w:t>79</w:t>
      </w:r>
      <w:r w:rsidRPr="00686C2A">
        <w:rPr>
          <w:b w:val="0"/>
          <w:noProof/>
          <w:sz w:val="18"/>
        </w:rPr>
        <w:fldChar w:fldCharType="end"/>
      </w:r>
    </w:p>
    <w:p w:rsidR="003F422B" w:rsidRPr="00686C2A" w:rsidRDefault="003F422B">
      <w:pPr>
        <w:pStyle w:val="TOC9"/>
        <w:rPr>
          <w:rFonts w:asciiTheme="minorHAnsi" w:eastAsiaTheme="minorEastAsia" w:hAnsiTheme="minorHAnsi" w:cstheme="minorBidi"/>
          <w:i w:val="0"/>
          <w:noProof/>
          <w:kern w:val="0"/>
          <w:sz w:val="22"/>
          <w:szCs w:val="22"/>
        </w:rPr>
      </w:pPr>
      <w:r w:rsidRPr="00686C2A">
        <w:rPr>
          <w:noProof/>
        </w:rPr>
        <w:t>Corporations Regulations</w:t>
      </w:r>
      <w:r w:rsidR="00686C2A" w:rsidRPr="00686C2A">
        <w:rPr>
          <w:noProof/>
        </w:rPr>
        <w:t> </w:t>
      </w:r>
      <w:r w:rsidRPr="00686C2A">
        <w:rPr>
          <w:noProof/>
        </w:rPr>
        <w:t>2001</w:t>
      </w:r>
      <w:r w:rsidRPr="00686C2A">
        <w:rPr>
          <w:i w:val="0"/>
          <w:noProof/>
          <w:sz w:val="18"/>
        </w:rPr>
        <w:tab/>
      </w:r>
      <w:r w:rsidRPr="00686C2A">
        <w:rPr>
          <w:i w:val="0"/>
          <w:noProof/>
          <w:sz w:val="18"/>
        </w:rPr>
        <w:fldChar w:fldCharType="begin"/>
      </w:r>
      <w:r w:rsidRPr="00686C2A">
        <w:rPr>
          <w:i w:val="0"/>
          <w:noProof/>
          <w:sz w:val="18"/>
        </w:rPr>
        <w:instrText xml:space="preserve"> PAGEREF _Toc359591593 \h </w:instrText>
      </w:r>
      <w:r w:rsidRPr="00686C2A">
        <w:rPr>
          <w:i w:val="0"/>
          <w:noProof/>
          <w:sz w:val="18"/>
        </w:rPr>
      </w:r>
      <w:r w:rsidRPr="00686C2A">
        <w:rPr>
          <w:i w:val="0"/>
          <w:noProof/>
          <w:sz w:val="18"/>
        </w:rPr>
        <w:fldChar w:fldCharType="separate"/>
      </w:r>
      <w:r w:rsidR="003913C6">
        <w:rPr>
          <w:i w:val="0"/>
          <w:noProof/>
          <w:sz w:val="18"/>
        </w:rPr>
        <w:t>79</w:t>
      </w:r>
      <w:r w:rsidRPr="00686C2A">
        <w:rPr>
          <w:i w:val="0"/>
          <w:noProof/>
          <w:sz w:val="18"/>
        </w:rPr>
        <w:fldChar w:fldCharType="end"/>
      </w:r>
    </w:p>
    <w:p w:rsidR="00C503EF" w:rsidRPr="00686C2A" w:rsidRDefault="003F422B" w:rsidP="00C503EF">
      <w:r w:rsidRPr="00686C2A">
        <w:fldChar w:fldCharType="end"/>
      </w:r>
    </w:p>
    <w:p w:rsidR="00C503EF" w:rsidRPr="00686C2A" w:rsidRDefault="00C503EF" w:rsidP="00C503EF">
      <w:pPr>
        <w:sectPr w:rsidR="00C503EF" w:rsidRPr="00686C2A" w:rsidSect="00CE35D5">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C503EF" w:rsidRPr="00686C2A" w:rsidRDefault="00C503EF" w:rsidP="00C503EF">
      <w:pPr>
        <w:pStyle w:val="ActHead5"/>
      </w:pPr>
      <w:bookmarkStart w:id="4" w:name="_Toc359591500"/>
      <w:r w:rsidRPr="00686C2A">
        <w:rPr>
          <w:rStyle w:val="CharSectno"/>
        </w:rPr>
        <w:lastRenderedPageBreak/>
        <w:t>1</w:t>
      </w:r>
      <w:r w:rsidRPr="00686C2A">
        <w:t xml:space="preserve">  Name of </w:t>
      </w:r>
      <w:r w:rsidR="000D597C" w:rsidRPr="00686C2A">
        <w:t>regulation</w:t>
      </w:r>
      <w:bookmarkEnd w:id="4"/>
    </w:p>
    <w:p w:rsidR="00C503EF" w:rsidRPr="00686C2A" w:rsidRDefault="00C503EF" w:rsidP="00C503EF">
      <w:pPr>
        <w:pStyle w:val="subsection"/>
      </w:pPr>
      <w:r w:rsidRPr="00686C2A">
        <w:tab/>
      </w:r>
      <w:r w:rsidRPr="00686C2A">
        <w:tab/>
        <w:t xml:space="preserve">This </w:t>
      </w:r>
      <w:r w:rsidR="000D597C" w:rsidRPr="00686C2A">
        <w:t>regulation</w:t>
      </w:r>
      <w:r w:rsidRPr="00686C2A">
        <w:t xml:space="preserve"> is the </w:t>
      </w:r>
      <w:r w:rsidR="000D597C" w:rsidRPr="00686C2A">
        <w:rPr>
          <w:i/>
          <w:noProof/>
        </w:rPr>
        <w:t xml:space="preserve">Superannuation Legislation </w:t>
      </w:r>
      <w:r w:rsidR="00D12E0E" w:rsidRPr="00686C2A">
        <w:rPr>
          <w:i/>
          <w:noProof/>
        </w:rPr>
        <w:t xml:space="preserve">(MySuper Measures) </w:t>
      </w:r>
      <w:r w:rsidR="000D597C" w:rsidRPr="00686C2A">
        <w:rPr>
          <w:i/>
          <w:noProof/>
        </w:rPr>
        <w:t>Amendment Regulation</w:t>
      </w:r>
      <w:r w:rsidR="00686C2A" w:rsidRPr="00686C2A">
        <w:rPr>
          <w:i/>
          <w:noProof/>
        </w:rPr>
        <w:t> </w:t>
      </w:r>
      <w:r w:rsidR="000D597C" w:rsidRPr="00686C2A">
        <w:rPr>
          <w:i/>
          <w:noProof/>
        </w:rPr>
        <w:t>2013</w:t>
      </w:r>
      <w:r w:rsidRPr="00686C2A">
        <w:t>.</w:t>
      </w:r>
    </w:p>
    <w:p w:rsidR="00C503EF" w:rsidRPr="00686C2A" w:rsidRDefault="00C503EF" w:rsidP="00C503EF">
      <w:pPr>
        <w:pStyle w:val="ActHead5"/>
      </w:pPr>
      <w:bookmarkStart w:id="5" w:name="_Toc359591501"/>
      <w:r w:rsidRPr="00686C2A">
        <w:rPr>
          <w:rStyle w:val="CharSectno"/>
        </w:rPr>
        <w:t>2</w:t>
      </w:r>
      <w:r w:rsidRPr="00686C2A">
        <w:t xml:space="preserve">  Commencement</w:t>
      </w:r>
      <w:bookmarkEnd w:id="5"/>
    </w:p>
    <w:p w:rsidR="000C5DFD" w:rsidRPr="00686C2A" w:rsidRDefault="00C503EF" w:rsidP="004666FD">
      <w:pPr>
        <w:pStyle w:val="subsection"/>
      </w:pPr>
      <w:r w:rsidRPr="00686C2A">
        <w:tab/>
      </w:r>
      <w:r w:rsidRPr="00686C2A">
        <w:tab/>
      </w:r>
      <w:r w:rsidR="000C5DFD" w:rsidRPr="00686C2A">
        <w:t>Each provision of this regulation specified in column 1 of the table commences, or is taken to have commenced, in accordance with column 2 of the table. Any other statement in column 2 has effect according to its terms.</w:t>
      </w:r>
    </w:p>
    <w:p w:rsidR="000C5DFD" w:rsidRPr="00686C2A" w:rsidRDefault="000C5DFD" w:rsidP="000C5DFD">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A415EF" w:rsidRPr="00686C2A" w:rsidTr="000C5DFD">
        <w:trPr>
          <w:cantSplit/>
          <w:tblHeader/>
        </w:trPr>
        <w:tc>
          <w:tcPr>
            <w:tcW w:w="7111" w:type="dxa"/>
            <w:gridSpan w:val="3"/>
            <w:tcBorders>
              <w:top w:val="single" w:sz="12" w:space="0" w:color="auto"/>
              <w:left w:val="nil"/>
              <w:bottom w:val="single" w:sz="6" w:space="0" w:color="auto"/>
              <w:right w:val="nil"/>
            </w:tcBorders>
            <w:hideMark/>
          </w:tcPr>
          <w:p w:rsidR="000C5DFD" w:rsidRPr="00686C2A" w:rsidRDefault="000C5DFD" w:rsidP="000C5DFD">
            <w:pPr>
              <w:pStyle w:val="Tabletext"/>
              <w:keepNext/>
              <w:rPr>
                <w:b/>
              </w:rPr>
            </w:pPr>
            <w:r w:rsidRPr="00686C2A">
              <w:rPr>
                <w:b/>
              </w:rPr>
              <w:t>Commencement information</w:t>
            </w:r>
          </w:p>
        </w:tc>
      </w:tr>
      <w:tr w:rsidR="00A415EF" w:rsidRPr="00686C2A" w:rsidTr="000C5DFD">
        <w:trPr>
          <w:cantSplit/>
          <w:tblHeader/>
        </w:trPr>
        <w:tc>
          <w:tcPr>
            <w:tcW w:w="1701" w:type="dxa"/>
            <w:tcBorders>
              <w:top w:val="single" w:sz="6" w:space="0" w:color="auto"/>
              <w:left w:val="nil"/>
              <w:bottom w:val="single" w:sz="6" w:space="0" w:color="auto"/>
              <w:right w:val="nil"/>
            </w:tcBorders>
            <w:hideMark/>
          </w:tcPr>
          <w:p w:rsidR="000C5DFD" w:rsidRPr="00686C2A" w:rsidRDefault="000C5DFD" w:rsidP="000C5DFD">
            <w:pPr>
              <w:pStyle w:val="Tabletext"/>
              <w:keepNext/>
              <w:rPr>
                <w:b/>
              </w:rPr>
            </w:pPr>
            <w:r w:rsidRPr="00686C2A">
              <w:rPr>
                <w:b/>
              </w:rPr>
              <w:t>Column 1</w:t>
            </w:r>
          </w:p>
        </w:tc>
        <w:tc>
          <w:tcPr>
            <w:tcW w:w="3828" w:type="dxa"/>
            <w:tcBorders>
              <w:top w:val="single" w:sz="6" w:space="0" w:color="auto"/>
              <w:left w:val="nil"/>
              <w:bottom w:val="single" w:sz="6" w:space="0" w:color="auto"/>
              <w:right w:val="nil"/>
            </w:tcBorders>
            <w:hideMark/>
          </w:tcPr>
          <w:p w:rsidR="000C5DFD" w:rsidRPr="00686C2A" w:rsidRDefault="000C5DFD" w:rsidP="000C5DFD">
            <w:pPr>
              <w:pStyle w:val="Tabletext"/>
              <w:keepNext/>
              <w:rPr>
                <w:b/>
              </w:rPr>
            </w:pPr>
            <w:r w:rsidRPr="00686C2A">
              <w:rPr>
                <w:b/>
              </w:rPr>
              <w:t>Column 2</w:t>
            </w:r>
          </w:p>
        </w:tc>
        <w:tc>
          <w:tcPr>
            <w:tcW w:w="1582" w:type="dxa"/>
            <w:tcBorders>
              <w:top w:val="single" w:sz="6" w:space="0" w:color="auto"/>
              <w:left w:val="nil"/>
              <w:bottom w:val="single" w:sz="6" w:space="0" w:color="auto"/>
              <w:right w:val="nil"/>
            </w:tcBorders>
            <w:hideMark/>
          </w:tcPr>
          <w:p w:rsidR="000C5DFD" w:rsidRPr="00686C2A" w:rsidRDefault="000C5DFD" w:rsidP="000C5DFD">
            <w:pPr>
              <w:pStyle w:val="Tabletext"/>
              <w:keepNext/>
              <w:rPr>
                <w:b/>
              </w:rPr>
            </w:pPr>
            <w:r w:rsidRPr="00686C2A">
              <w:rPr>
                <w:b/>
              </w:rPr>
              <w:t>Column 3</w:t>
            </w:r>
          </w:p>
        </w:tc>
      </w:tr>
      <w:tr w:rsidR="00A415EF" w:rsidRPr="00686C2A" w:rsidTr="000C5DFD">
        <w:trPr>
          <w:cantSplit/>
          <w:tblHeader/>
        </w:trPr>
        <w:tc>
          <w:tcPr>
            <w:tcW w:w="1701" w:type="dxa"/>
            <w:tcBorders>
              <w:top w:val="single" w:sz="6" w:space="0" w:color="auto"/>
              <w:left w:val="nil"/>
              <w:bottom w:val="single" w:sz="12" w:space="0" w:color="auto"/>
              <w:right w:val="nil"/>
            </w:tcBorders>
            <w:hideMark/>
          </w:tcPr>
          <w:p w:rsidR="000C5DFD" w:rsidRPr="00686C2A" w:rsidRDefault="000C5DFD" w:rsidP="000C5DFD">
            <w:pPr>
              <w:pStyle w:val="Tabletext"/>
              <w:keepNext/>
              <w:rPr>
                <w:b/>
              </w:rPr>
            </w:pPr>
            <w:r w:rsidRPr="00686C2A">
              <w:rPr>
                <w:b/>
              </w:rPr>
              <w:t>Provision(s)</w:t>
            </w:r>
          </w:p>
        </w:tc>
        <w:tc>
          <w:tcPr>
            <w:tcW w:w="3828" w:type="dxa"/>
            <w:tcBorders>
              <w:top w:val="single" w:sz="6" w:space="0" w:color="auto"/>
              <w:left w:val="nil"/>
              <w:bottom w:val="single" w:sz="12" w:space="0" w:color="auto"/>
              <w:right w:val="nil"/>
            </w:tcBorders>
            <w:hideMark/>
          </w:tcPr>
          <w:p w:rsidR="000C5DFD" w:rsidRPr="00686C2A" w:rsidRDefault="000C5DFD" w:rsidP="000C5DFD">
            <w:pPr>
              <w:pStyle w:val="Tabletext"/>
              <w:keepNext/>
              <w:rPr>
                <w:b/>
              </w:rPr>
            </w:pPr>
            <w:r w:rsidRPr="00686C2A">
              <w:rPr>
                <w:b/>
              </w:rPr>
              <w:t>Commencement</w:t>
            </w:r>
          </w:p>
        </w:tc>
        <w:tc>
          <w:tcPr>
            <w:tcW w:w="1582" w:type="dxa"/>
            <w:tcBorders>
              <w:top w:val="single" w:sz="6" w:space="0" w:color="auto"/>
              <w:left w:val="nil"/>
              <w:bottom w:val="single" w:sz="12" w:space="0" w:color="auto"/>
              <w:right w:val="nil"/>
            </w:tcBorders>
            <w:hideMark/>
          </w:tcPr>
          <w:p w:rsidR="000C5DFD" w:rsidRPr="00686C2A" w:rsidRDefault="000C5DFD" w:rsidP="000C5DFD">
            <w:pPr>
              <w:pStyle w:val="Tabletext"/>
              <w:keepNext/>
              <w:rPr>
                <w:b/>
              </w:rPr>
            </w:pPr>
            <w:r w:rsidRPr="00686C2A">
              <w:rPr>
                <w:b/>
              </w:rPr>
              <w:t>Date/Details</w:t>
            </w:r>
          </w:p>
        </w:tc>
      </w:tr>
      <w:tr w:rsidR="00A415EF" w:rsidRPr="00686C2A" w:rsidTr="000C5DFD">
        <w:trPr>
          <w:cantSplit/>
        </w:trPr>
        <w:tc>
          <w:tcPr>
            <w:tcW w:w="1701" w:type="dxa"/>
            <w:tcBorders>
              <w:top w:val="single" w:sz="12" w:space="0" w:color="auto"/>
              <w:left w:val="nil"/>
              <w:bottom w:val="single" w:sz="2" w:space="0" w:color="auto"/>
              <w:right w:val="nil"/>
            </w:tcBorders>
            <w:hideMark/>
          </w:tcPr>
          <w:p w:rsidR="000C5DFD" w:rsidRPr="00686C2A" w:rsidRDefault="000C5DFD" w:rsidP="000C5DFD">
            <w:pPr>
              <w:pStyle w:val="Tabletext"/>
            </w:pPr>
            <w:r w:rsidRPr="00686C2A">
              <w:t>1.  Sections</w:t>
            </w:r>
            <w:r w:rsidR="00686C2A" w:rsidRPr="00686C2A">
              <w:t> </w:t>
            </w:r>
            <w:r w:rsidR="00B94FAA" w:rsidRPr="00686C2A">
              <w:t>1 to 4</w:t>
            </w:r>
            <w:r w:rsidRPr="00686C2A">
              <w:t xml:space="preserve"> and anything in this regulation not elsewhere covered by this table</w:t>
            </w:r>
          </w:p>
        </w:tc>
        <w:tc>
          <w:tcPr>
            <w:tcW w:w="3828" w:type="dxa"/>
            <w:tcBorders>
              <w:top w:val="single" w:sz="12" w:space="0" w:color="auto"/>
              <w:left w:val="nil"/>
              <w:bottom w:val="single" w:sz="2" w:space="0" w:color="auto"/>
              <w:right w:val="nil"/>
            </w:tcBorders>
            <w:hideMark/>
          </w:tcPr>
          <w:p w:rsidR="000C5DFD" w:rsidRPr="00686C2A" w:rsidRDefault="000C5DFD" w:rsidP="000C5DFD">
            <w:pPr>
              <w:pStyle w:val="Tabletext"/>
            </w:pPr>
            <w:r w:rsidRPr="00686C2A">
              <w:t>The day after this regulation is registered.</w:t>
            </w:r>
          </w:p>
        </w:tc>
        <w:tc>
          <w:tcPr>
            <w:tcW w:w="1582" w:type="dxa"/>
            <w:tcBorders>
              <w:top w:val="single" w:sz="12" w:space="0" w:color="auto"/>
              <w:left w:val="nil"/>
              <w:bottom w:val="single" w:sz="2" w:space="0" w:color="auto"/>
              <w:right w:val="nil"/>
            </w:tcBorders>
          </w:tcPr>
          <w:p w:rsidR="000C5DFD" w:rsidRPr="00686C2A" w:rsidRDefault="000C5DFD" w:rsidP="000C5DFD">
            <w:pPr>
              <w:pStyle w:val="Tabletext"/>
            </w:pPr>
          </w:p>
        </w:tc>
      </w:tr>
      <w:tr w:rsidR="00A415EF" w:rsidRPr="00686C2A" w:rsidTr="00B94FAA">
        <w:trPr>
          <w:cantSplit/>
        </w:trPr>
        <w:tc>
          <w:tcPr>
            <w:tcW w:w="1701" w:type="dxa"/>
            <w:tcBorders>
              <w:top w:val="single" w:sz="2" w:space="0" w:color="auto"/>
              <w:left w:val="nil"/>
              <w:bottom w:val="single" w:sz="2" w:space="0" w:color="auto"/>
              <w:right w:val="nil"/>
            </w:tcBorders>
            <w:hideMark/>
          </w:tcPr>
          <w:p w:rsidR="000C5DFD" w:rsidRPr="00686C2A" w:rsidRDefault="000C5DFD" w:rsidP="00B63B85">
            <w:pPr>
              <w:pStyle w:val="Tabletext"/>
            </w:pPr>
            <w:r w:rsidRPr="00686C2A">
              <w:t xml:space="preserve">2. </w:t>
            </w:r>
            <w:r w:rsidR="004720DE" w:rsidRPr="00686C2A">
              <w:t xml:space="preserve"> </w:t>
            </w:r>
            <w:r w:rsidR="0027189B" w:rsidRPr="00686C2A">
              <w:t>Schedule</w:t>
            </w:r>
            <w:r w:rsidR="00686C2A" w:rsidRPr="00686C2A">
              <w:t> </w:t>
            </w:r>
            <w:r w:rsidR="0027189B" w:rsidRPr="00686C2A">
              <w:t>1</w:t>
            </w:r>
            <w:r w:rsidR="00B63B85" w:rsidRPr="00686C2A">
              <w:t>,</w:t>
            </w:r>
          </w:p>
          <w:p w:rsidR="00B63B85" w:rsidRPr="00686C2A" w:rsidRDefault="00B63B85" w:rsidP="00030FCF">
            <w:pPr>
              <w:pStyle w:val="Tabletext"/>
            </w:pPr>
            <w:r w:rsidRPr="00686C2A">
              <w:t>items</w:t>
            </w:r>
            <w:r w:rsidR="00686C2A" w:rsidRPr="00686C2A">
              <w:t> </w:t>
            </w:r>
            <w:r w:rsidRPr="00686C2A">
              <w:t xml:space="preserve">1 to </w:t>
            </w:r>
            <w:r w:rsidR="00030FCF" w:rsidRPr="00686C2A">
              <w:t>88</w:t>
            </w:r>
          </w:p>
        </w:tc>
        <w:tc>
          <w:tcPr>
            <w:tcW w:w="3828" w:type="dxa"/>
            <w:tcBorders>
              <w:top w:val="single" w:sz="2" w:space="0" w:color="auto"/>
              <w:left w:val="nil"/>
              <w:bottom w:val="single" w:sz="2" w:space="0" w:color="auto"/>
              <w:right w:val="nil"/>
            </w:tcBorders>
          </w:tcPr>
          <w:p w:rsidR="000C5DFD" w:rsidRPr="00686C2A" w:rsidRDefault="0027189B" w:rsidP="000C5DFD">
            <w:pPr>
              <w:pStyle w:val="Tabletext"/>
            </w:pPr>
            <w:r w:rsidRPr="00686C2A">
              <w:t>1</w:t>
            </w:r>
            <w:r w:rsidR="00686C2A" w:rsidRPr="00686C2A">
              <w:t> </w:t>
            </w:r>
            <w:r w:rsidRPr="00686C2A">
              <w:t>July 2013.</w:t>
            </w:r>
          </w:p>
        </w:tc>
        <w:tc>
          <w:tcPr>
            <w:tcW w:w="1582" w:type="dxa"/>
            <w:tcBorders>
              <w:top w:val="single" w:sz="2" w:space="0" w:color="auto"/>
              <w:left w:val="nil"/>
              <w:bottom w:val="single" w:sz="2" w:space="0" w:color="auto"/>
              <w:right w:val="nil"/>
            </w:tcBorders>
          </w:tcPr>
          <w:p w:rsidR="000C5DFD" w:rsidRPr="00686C2A" w:rsidRDefault="0027189B" w:rsidP="000C5DFD">
            <w:pPr>
              <w:pStyle w:val="Tabletext"/>
            </w:pPr>
            <w:r w:rsidRPr="00686C2A">
              <w:t>1</w:t>
            </w:r>
            <w:r w:rsidR="00686C2A" w:rsidRPr="00686C2A">
              <w:t> </w:t>
            </w:r>
            <w:r w:rsidRPr="00686C2A">
              <w:t>July 2013</w:t>
            </w:r>
          </w:p>
        </w:tc>
      </w:tr>
      <w:tr w:rsidR="00A415EF" w:rsidRPr="00686C2A" w:rsidTr="00B94FAA">
        <w:trPr>
          <w:cantSplit/>
        </w:trPr>
        <w:tc>
          <w:tcPr>
            <w:tcW w:w="1701" w:type="dxa"/>
            <w:tcBorders>
              <w:top w:val="single" w:sz="2" w:space="0" w:color="auto"/>
              <w:left w:val="nil"/>
              <w:bottom w:val="single" w:sz="2" w:space="0" w:color="auto"/>
              <w:right w:val="nil"/>
            </w:tcBorders>
          </w:tcPr>
          <w:p w:rsidR="004720DE" w:rsidRPr="00686C2A" w:rsidRDefault="004720DE" w:rsidP="00B63B85">
            <w:pPr>
              <w:pStyle w:val="Tabletext"/>
            </w:pPr>
            <w:r w:rsidRPr="00686C2A">
              <w:t>3.  Schedule</w:t>
            </w:r>
            <w:r w:rsidR="00686C2A" w:rsidRPr="00686C2A">
              <w:t> </w:t>
            </w:r>
            <w:r w:rsidRPr="00686C2A">
              <w:t>1</w:t>
            </w:r>
            <w:r w:rsidR="00B63B85" w:rsidRPr="00686C2A">
              <w:t>,</w:t>
            </w:r>
          </w:p>
          <w:p w:rsidR="00B63B85" w:rsidRPr="00686C2A" w:rsidRDefault="00B63B85" w:rsidP="00030FCF">
            <w:pPr>
              <w:pStyle w:val="Tabletext"/>
            </w:pPr>
            <w:r w:rsidRPr="00686C2A">
              <w:t>item</w:t>
            </w:r>
            <w:r w:rsidR="00686C2A" w:rsidRPr="00686C2A">
              <w:t> </w:t>
            </w:r>
            <w:r w:rsidR="00030FCF" w:rsidRPr="00686C2A">
              <w:t>8</w:t>
            </w:r>
            <w:r w:rsidRPr="00686C2A">
              <w:t>9</w:t>
            </w:r>
          </w:p>
        </w:tc>
        <w:tc>
          <w:tcPr>
            <w:tcW w:w="3828" w:type="dxa"/>
            <w:tcBorders>
              <w:top w:val="single" w:sz="2" w:space="0" w:color="auto"/>
              <w:left w:val="nil"/>
              <w:bottom w:val="single" w:sz="2" w:space="0" w:color="auto"/>
              <w:right w:val="nil"/>
            </w:tcBorders>
          </w:tcPr>
          <w:p w:rsidR="004720DE" w:rsidRPr="00686C2A" w:rsidRDefault="004720DE" w:rsidP="000C5DFD">
            <w:pPr>
              <w:pStyle w:val="Tabletext"/>
            </w:pPr>
            <w:r w:rsidRPr="00686C2A">
              <w:t>1</w:t>
            </w:r>
            <w:r w:rsidR="00686C2A" w:rsidRPr="00686C2A">
              <w:t> </w:t>
            </w:r>
            <w:r w:rsidRPr="00686C2A">
              <w:t>January 2014.</w:t>
            </w:r>
          </w:p>
        </w:tc>
        <w:tc>
          <w:tcPr>
            <w:tcW w:w="1582" w:type="dxa"/>
            <w:tcBorders>
              <w:top w:val="single" w:sz="2" w:space="0" w:color="auto"/>
              <w:left w:val="nil"/>
              <w:bottom w:val="single" w:sz="2" w:space="0" w:color="auto"/>
              <w:right w:val="nil"/>
            </w:tcBorders>
          </w:tcPr>
          <w:p w:rsidR="004720DE" w:rsidRPr="00686C2A" w:rsidRDefault="004720DE" w:rsidP="000C5DFD">
            <w:pPr>
              <w:pStyle w:val="Tabletext"/>
            </w:pPr>
            <w:r w:rsidRPr="00686C2A">
              <w:t>1</w:t>
            </w:r>
            <w:r w:rsidR="00686C2A" w:rsidRPr="00686C2A">
              <w:t> </w:t>
            </w:r>
            <w:r w:rsidRPr="00686C2A">
              <w:t>January 2014</w:t>
            </w:r>
          </w:p>
        </w:tc>
      </w:tr>
      <w:tr w:rsidR="00A415EF" w:rsidRPr="00686C2A" w:rsidTr="00B63B85">
        <w:tc>
          <w:tcPr>
            <w:tcW w:w="1701" w:type="dxa"/>
            <w:tcBorders>
              <w:top w:val="single" w:sz="2" w:space="0" w:color="auto"/>
              <w:left w:val="nil"/>
              <w:bottom w:val="single" w:sz="2" w:space="0" w:color="auto"/>
              <w:right w:val="nil"/>
            </w:tcBorders>
          </w:tcPr>
          <w:p w:rsidR="00B63B85" w:rsidRPr="00686C2A" w:rsidRDefault="00B63B85" w:rsidP="00030FCF">
            <w:pPr>
              <w:pStyle w:val="Tabletext"/>
            </w:pPr>
            <w:r w:rsidRPr="00686C2A">
              <w:t>4.  Schedule</w:t>
            </w:r>
            <w:r w:rsidR="00686C2A" w:rsidRPr="00686C2A">
              <w:t> </w:t>
            </w:r>
            <w:r w:rsidRPr="00686C2A">
              <w:t>1, items</w:t>
            </w:r>
            <w:r w:rsidR="00686C2A" w:rsidRPr="00686C2A">
              <w:t> </w:t>
            </w:r>
            <w:r w:rsidRPr="00686C2A">
              <w:t>9</w:t>
            </w:r>
            <w:r w:rsidR="00030FCF" w:rsidRPr="00686C2A">
              <w:t>0</w:t>
            </w:r>
            <w:r w:rsidR="00686C2A">
              <w:noBreakHyphen/>
            </w:r>
            <w:r w:rsidRPr="00686C2A">
              <w:t>10</w:t>
            </w:r>
            <w:r w:rsidR="00CF525B" w:rsidRPr="00686C2A">
              <w:t>4</w:t>
            </w:r>
          </w:p>
        </w:tc>
        <w:tc>
          <w:tcPr>
            <w:tcW w:w="3828" w:type="dxa"/>
            <w:tcBorders>
              <w:top w:val="single" w:sz="2" w:space="0" w:color="auto"/>
              <w:left w:val="nil"/>
              <w:bottom w:val="single" w:sz="2" w:space="0" w:color="auto"/>
              <w:right w:val="nil"/>
            </w:tcBorders>
          </w:tcPr>
          <w:p w:rsidR="00B63B85" w:rsidRPr="00686C2A" w:rsidRDefault="00B63B85" w:rsidP="00A64515">
            <w:pPr>
              <w:pStyle w:val="Tabletext"/>
            </w:pPr>
            <w:r w:rsidRPr="00686C2A">
              <w:t>1</w:t>
            </w:r>
            <w:r w:rsidR="00686C2A" w:rsidRPr="00686C2A">
              <w:t> </w:t>
            </w:r>
            <w:r w:rsidRPr="00686C2A">
              <w:t>July 2013.</w:t>
            </w:r>
          </w:p>
        </w:tc>
        <w:tc>
          <w:tcPr>
            <w:tcW w:w="1582" w:type="dxa"/>
            <w:tcBorders>
              <w:top w:val="single" w:sz="2" w:space="0" w:color="auto"/>
              <w:left w:val="nil"/>
              <w:bottom w:val="single" w:sz="2" w:space="0" w:color="auto"/>
              <w:right w:val="nil"/>
            </w:tcBorders>
          </w:tcPr>
          <w:p w:rsidR="00B63B85" w:rsidRPr="00686C2A" w:rsidRDefault="00B63B85" w:rsidP="0004467D">
            <w:pPr>
              <w:pStyle w:val="Tabletext"/>
              <w:rPr>
                <w:highlight w:val="lightGray"/>
              </w:rPr>
            </w:pPr>
            <w:r w:rsidRPr="00686C2A">
              <w:t>1</w:t>
            </w:r>
            <w:r w:rsidR="00686C2A" w:rsidRPr="00686C2A">
              <w:t> </w:t>
            </w:r>
            <w:r w:rsidRPr="00686C2A">
              <w:t>July 2013</w:t>
            </w:r>
          </w:p>
        </w:tc>
      </w:tr>
      <w:tr w:rsidR="00A415EF" w:rsidRPr="00686C2A" w:rsidTr="000A032C">
        <w:trPr>
          <w:cantSplit/>
        </w:trPr>
        <w:tc>
          <w:tcPr>
            <w:tcW w:w="1701" w:type="dxa"/>
            <w:tcBorders>
              <w:top w:val="single" w:sz="2" w:space="0" w:color="auto"/>
              <w:left w:val="nil"/>
              <w:bottom w:val="single" w:sz="2" w:space="0" w:color="auto"/>
              <w:right w:val="nil"/>
            </w:tcBorders>
          </w:tcPr>
          <w:p w:rsidR="006F63B3" w:rsidRPr="00686C2A" w:rsidRDefault="006F63B3" w:rsidP="001B3BA3">
            <w:pPr>
              <w:pStyle w:val="Tabletext"/>
            </w:pPr>
            <w:r w:rsidRPr="00686C2A">
              <w:t>5.  Schedule</w:t>
            </w:r>
            <w:r w:rsidR="00686C2A" w:rsidRPr="00686C2A">
              <w:t> </w:t>
            </w:r>
            <w:r w:rsidRPr="00686C2A">
              <w:t>2, items</w:t>
            </w:r>
            <w:r w:rsidR="00686C2A" w:rsidRPr="00686C2A">
              <w:t> </w:t>
            </w:r>
            <w:r w:rsidRPr="00686C2A">
              <w:t>1 and 2</w:t>
            </w:r>
          </w:p>
        </w:tc>
        <w:tc>
          <w:tcPr>
            <w:tcW w:w="3828" w:type="dxa"/>
            <w:tcBorders>
              <w:top w:val="single" w:sz="2" w:space="0" w:color="auto"/>
              <w:left w:val="nil"/>
              <w:bottom w:val="single" w:sz="2" w:space="0" w:color="auto"/>
              <w:right w:val="nil"/>
            </w:tcBorders>
          </w:tcPr>
          <w:p w:rsidR="006F63B3" w:rsidRPr="00686C2A" w:rsidRDefault="006F63B3" w:rsidP="001B3BA3">
            <w:pPr>
              <w:pStyle w:val="Tabletext"/>
            </w:pPr>
            <w:r w:rsidRPr="00686C2A">
              <w:t>1</w:t>
            </w:r>
            <w:r w:rsidR="00686C2A" w:rsidRPr="00686C2A">
              <w:t> </w:t>
            </w:r>
            <w:r w:rsidRPr="00686C2A">
              <w:t>July 2015.</w:t>
            </w:r>
          </w:p>
          <w:p w:rsidR="006F63B3" w:rsidRPr="00686C2A" w:rsidRDefault="006F63B3" w:rsidP="001B3BA3">
            <w:pPr>
              <w:pStyle w:val="Tabletext"/>
            </w:pPr>
            <w:r w:rsidRPr="00686C2A">
              <w:t xml:space="preserve">However, the provision(s) do not commence at all if the </w:t>
            </w:r>
            <w:r w:rsidRPr="00686C2A">
              <w:rPr>
                <w:i/>
              </w:rPr>
              <w:t>Superannuation Legislation Amendment (Service Providers and Other Governance Measures) Act 2013</w:t>
            </w:r>
            <w:r w:rsidRPr="00686C2A">
              <w:t xml:space="preserve"> does not receive the Royal Assent.</w:t>
            </w:r>
          </w:p>
        </w:tc>
        <w:tc>
          <w:tcPr>
            <w:tcW w:w="1582" w:type="dxa"/>
            <w:tcBorders>
              <w:top w:val="single" w:sz="2" w:space="0" w:color="auto"/>
              <w:left w:val="nil"/>
              <w:bottom w:val="single" w:sz="2" w:space="0" w:color="auto"/>
              <w:right w:val="nil"/>
            </w:tcBorders>
          </w:tcPr>
          <w:p w:rsidR="006F63B3" w:rsidRPr="00686C2A" w:rsidRDefault="006F63B3" w:rsidP="001B3BA3">
            <w:pPr>
              <w:pStyle w:val="Tabletext"/>
            </w:pPr>
          </w:p>
        </w:tc>
      </w:tr>
      <w:tr w:rsidR="00A415EF" w:rsidRPr="00686C2A" w:rsidTr="000A032C">
        <w:trPr>
          <w:cantSplit/>
        </w:trPr>
        <w:tc>
          <w:tcPr>
            <w:tcW w:w="1701" w:type="dxa"/>
            <w:tcBorders>
              <w:top w:val="single" w:sz="2" w:space="0" w:color="auto"/>
              <w:left w:val="nil"/>
              <w:bottom w:val="single" w:sz="2" w:space="0" w:color="auto"/>
              <w:right w:val="nil"/>
            </w:tcBorders>
            <w:hideMark/>
          </w:tcPr>
          <w:p w:rsidR="006F63B3" w:rsidRPr="00686C2A" w:rsidRDefault="006F63B3" w:rsidP="006F63B3">
            <w:pPr>
              <w:pStyle w:val="Tabletext"/>
              <w:rPr>
                <w:highlight w:val="lightGray"/>
              </w:rPr>
            </w:pPr>
            <w:r w:rsidRPr="00686C2A">
              <w:lastRenderedPageBreak/>
              <w:t>6.  Schedule</w:t>
            </w:r>
            <w:r w:rsidR="00686C2A" w:rsidRPr="00686C2A">
              <w:t> </w:t>
            </w:r>
            <w:r w:rsidRPr="00686C2A">
              <w:t>2, items</w:t>
            </w:r>
            <w:r w:rsidR="00686C2A" w:rsidRPr="00686C2A">
              <w:t> </w:t>
            </w:r>
            <w:r w:rsidRPr="00686C2A">
              <w:t>3 to 20</w:t>
            </w:r>
          </w:p>
        </w:tc>
        <w:tc>
          <w:tcPr>
            <w:tcW w:w="3828" w:type="dxa"/>
            <w:tcBorders>
              <w:top w:val="single" w:sz="2" w:space="0" w:color="auto"/>
              <w:left w:val="nil"/>
              <w:bottom w:val="single" w:sz="2" w:space="0" w:color="auto"/>
              <w:right w:val="nil"/>
            </w:tcBorders>
          </w:tcPr>
          <w:p w:rsidR="006F63B3" w:rsidRPr="00686C2A" w:rsidRDefault="006F63B3" w:rsidP="00A64515">
            <w:pPr>
              <w:pStyle w:val="Tabletext"/>
            </w:pPr>
            <w:r w:rsidRPr="00686C2A">
              <w:t>The later of:</w:t>
            </w:r>
          </w:p>
          <w:p w:rsidR="006F63B3" w:rsidRPr="00686C2A" w:rsidRDefault="006F63B3" w:rsidP="00DD74BE">
            <w:pPr>
              <w:pStyle w:val="Tablea"/>
            </w:pPr>
            <w:r w:rsidRPr="00686C2A">
              <w:t>(a) 1</w:t>
            </w:r>
            <w:r w:rsidR="00686C2A" w:rsidRPr="00686C2A">
              <w:t> </w:t>
            </w:r>
            <w:r w:rsidRPr="00686C2A">
              <w:t>July 2013; and</w:t>
            </w:r>
          </w:p>
          <w:p w:rsidR="006F63B3" w:rsidRPr="00686C2A" w:rsidRDefault="006F63B3" w:rsidP="00DD74BE">
            <w:pPr>
              <w:pStyle w:val="Tablea"/>
            </w:pPr>
            <w:r w:rsidRPr="00686C2A">
              <w:t xml:space="preserve">(b) the day the </w:t>
            </w:r>
            <w:r w:rsidRPr="00686C2A">
              <w:rPr>
                <w:i/>
              </w:rPr>
              <w:t xml:space="preserve">Superannuation Legislation Amendment (Service Providers and Other Governance Measures) Act 2013 </w:t>
            </w:r>
            <w:r w:rsidRPr="00686C2A">
              <w:t>receives the Royal Assent.</w:t>
            </w:r>
          </w:p>
          <w:p w:rsidR="006F63B3" w:rsidRPr="00686C2A" w:rsidRDefault="006F63B3" w:rsidP="00B63B85">
            <w:pPr>
              <w:pStyle w:val="Tabletext"/>
              <w:rPr>
                <w:highlight w:val="lightGray"/>
              </w:rPr>
            </w:pPr>
            <w:r w:rsidRPr="00686C2A">
              <w:t xml:space="preserve">However, the provision(s) do not commence at all if the event mentioned in </w:t>
            </w:r>
            <w:r w:rsidR="00686C2A" w:rsidRPr="00686C2A">
              <w:t>paragraph (</w:t>
            </w:r>
            <w:r w:rsidRPr="00686C2A">
              <w:t xml:space="preserve">b) does not occur. </w:t>
            </w:r>
          </w:p>
        </w:tc>
        <w:tc>
          <w:tcPr>
            <w:tcW w:w="1582" w:type="dxa"/>
            <w:tcBorders>
              <w:top w:val="single" w:sz="2" w:space="0" w:color="auto"/>
              <w:left w:val="nil"/>
              <w:bottom w:val="single" w:sz="2" w:space="0" w:color="auto"/>
              <w:right w:val="nil"/>
            </w:tcBorders>
          </w:tcPr>
          <w:p w:rsidR="006F63B3" w:rsidRPr="00686C2A" w:rsidRDefault="006F63B3" w:rsidP="0004467D">
            <w:pPr>
              <w:pStyle w:val="Tabletext"/>
              <w:rPr>
                <w:highlight w:val="lightGray"/>
              </w:rPr>
            </w:pPr>
          </w:p>
        </w:tc>
      </w:tr>
      <w:tr w:rsidR="00A415EF" w:rsidRPr="00686C2A" w:rsidTr="00BC644B">
        <w:trPr>
          <w:cantSplit/>
        </w:trPr>
        <w:tc>
          <w:tcPr>
            <w:tcW w:w="1701" w:type="dxa"/>
            <w:tcBorders>
              <w:top w:val="single" w:sz="2" w:space="0" w:color="auto"/>
              <w:left w:val="nil"/>
              <w:bottom w:val="single" w:sz="2" w:space="0" w:color="auto"/>
              <w:right w:val="nil"/>
            </w:tcBorders>
          </w:tcPr>
          <w:p w:rsidR="006F63B3" w:rsidRPr="00686C2A" w:rsidRDefault="006F63B3" w:rsidP="00F902DD">
            <w:pPr>
              <w:pStyle w:val="Tabletext"/>
            </w:pPr>
            <w:r w:rsidRPr="00686C2A">
              <w:t>7.  Schedule</w:t>
            </w:r>
            <w:r w:rsidR="00686C2A" w:rsidRPr="00686C2A">
              <w:t> </w:t>
            </w:r>
            <w:r w:rsidRPr="00686C2A">
              <w:t>3, item</w:t>
            </w:r>
            <w:r w:rsidR="00686C2A" w:rsidRPr="00686C2A">
              <w:t> </w:t>
            </w:r>
            <w:r w:rsidRPr="00686C2A">
              <w:t xml:space="preserve">1 </w:t>
            </w:r>
          </w:p>
        </w:tc>
        <w:tc>
          <w:tcPr>
            <w:tcW w:w="3828" w:type="dxa"/>
            <w:tcBorders>
              <w:top w:val="single" w:sz="2" w:space="0" w:color="auto"/>
              <w:left w:val="nil"/>
              <w:bottom w:val="single" w:sz="2" w:space="0" w:color="auto"/>
              <w:right w:val="nil"/>
            </w:tcBorders>
          </w:tcPr>
          <w:p w:rsidR="006F63B3" w:rsidRPr="00686C2A" w:rsidRDefault="006F63B3" w:rsidP="00B63B85">
            <w:pPr>
              <w:pStyle w:val="Tabletext"/>
            </w:pPr>
            <w:r w:rsidRPr="00686C2A">
              <w:t>Immediately after the commencement of the provision(s) mentioned in table item</w:t>
            </w:r>
            <w:r w:rsidR="00686C2A" w:rsidRPr="00686C2A">
              <w:t> </w:t>
            </w:r>
            <w:r w:rsidRPr="00686C2A">
              <w:t>2.</w:t>
            </w:r>
          </w:p>
          <w:p w:rsidR="006F63B3" w:rsidRPr="00686C2A" w:rsidRDefault="006F63B3" w:rsidP="005A292D">
            <w:pPr>
              <w:pStyle w:val="Tabletext"/>
            </w:pPr>
            <w:r w:rsidRPr="00686C2A">
              <w:t xml:space="preserve">However, the provision(s) do not commence at all if the </w:t>
            </w:r>
            <w:r w:rsidRPr="00686C2A">
              <w:rPr>
                <w:i/>
              </w:rPr>
              <w:t>Superannuation Legislation Amendment (Service Providers and Other Governance Measures) Act 2013</w:t>
            </w:r>
            <w:r w:rsidRPr="00686C2A">
              <w:t xml:space="preserve"> receives the Royal Assent before the commencement of the provision(s) mentioned in table item</w:t>
            </w:r>
            <w:r w:rsidR="00686C2A" w:rsidRPr="00686C2A">
              <w:t> </w:t>
            </w:r>
            <w:r w:rsidRPr="00686C2A">
              <w:t>2.</w:t>
            </w:r>
          </w:p>
        </w:tc>
        <w:tc>
          <w:tcPr>
            <w:tcW w:w="1582" w:type="dxa"/>
            <w:tcBorders>
              <w:top w:val="single" w:sz="2" w:space="0" w:color="auto"/>
              <w:left w:val="nil"/>
              <w:bottom w:val="single" w:sz="2" w:space="0" w:color="auto"/>
              <w:right w:val="nil"/>
            </w:tcBorders>
          </w:tcPr>
          <w:p w:rsidR="006F63B3" w:rsidRPr="00686C2A" w:rsidRDefault="006F63B3" w:rsidP="0027189B">
            <w:pPr>
              <w:pStyle w:val="Tabletext"/>
            </w:pPr>
          </w:p>
        </w:tc>
      </w:tr>
      <w:tr w:rsidR="00A415EF" w:rsidRPr="00686C2A" w:rsidTr="00B94FAA">
        <w:trPr>
          <w:cantSplit/>
        </w:trPr>
        <w:tc>
          <w:tcPr>
            <w:tcW w:w="1701" w:type="dxa"/>
            <w:tcBorders>
              <w:top w:val="single" w:sz="2" w:space="0" w:color="auto"/>
              <w:left w:val="nil"/>
              <w:bottom w:val="single" w:sz="12" w:space="0" w:color="auto"/>
              <w:right w:val="nil"/>
            </w:tcBorders>
          </w:tcPr>
          <w:p w:rsidR="006F63B3" w:rsidRPr="00686C2A" w:rsidRDefault="006F63B3" w:rsidP="00F902DD">
            <w:pPr>
              <w:pStyle w:val="Tabletext"/>
            </w:pPr>
            <w:r w:rsidRPr="00686C2A">
              <w:t>8.  Schedule</w:t>
            </w:r>
            <w:r w:rsidR="00686C2A" w:rsidRPr="00686C2A">
              <w:t> </w:t>
            </w:r>
            <w:r w:rsidRPr="00686C2A">
              <w:t>3, item</w:t>
            </w:r>
            <w:r w:rsidR="00686C2A" w:rsidRPr="00686C2A">
              <w:t> </w:t>
            </w:r>
            <w:r w:rsidRPr="00686C2A">
              <w:t>2</w:t>
            </w:r>
          </w:p>
        </w:tc>
        <w:tc>
          <w:tcPr>
            <w:tcW w:w="3828" w:type="dxa"/>
            <w:tcBorders>
              <w:top w:val="single" w:sz="2" w:space="0" w:color="auto"/>
              <w:left w:val="nil"/>
              <w:bottom w:val="single" w:sz="12" w:space="0" w:color="auto"/>
              <w:right w:val="nil"/>
            </w:tcBorders>
          </w:tcPr>
          <w:p w:rsidR="006F63B3" w:rsidRPr="00686C2A" w:rsidRDefault="006F63B3" w:rsidP="000B3871">
            <w:pPr>
              <w:pStyle w:val="Tabletext"/>
            </w:pPr>
            <w:r w:rsidRPr="00686C2A">
              <w:t>The later of:</w:t>
            </w:r>
          </w:p>
          <w:p w:rsidR="006F63B3" w:rsidRPr="00686C2A" w:rsidRDefault="006F63B3" w:rsidP="005A292D">
            <w:pPr>
              <w:pStyle w:val="Tablea"/>
            </w:pPr>
            <w:r w:rsidRPr="00686C2A">
              <w:t>(a) immediately after the commencement of the provision(s) mentioned in table item</w:t>
            </w:r>
            <w:r w:rsidR="00686C2A" w:rsidRPr="00686C2A">
              <w:t> </w:t>
            </w:r>
            <w:r w:rsidRPr="00686C2A">
              <w:t>7; and</w:t>
            </w:r>
          </w:p>
          <w:p w:rsidR="006F63B3" w:rsidRPr="00686C2A" w:rsidRDefault="006F63B3" w:rsidP="005A292D">
            <w:pPr>
              <w:pStyle w:val="Tablea"/>
            </w:pPr>
            <w:r w:rsidRPr="00686C2A">
              <w:t xml:space="preserve">(b) the beginning of the day the </w:t>
            </w:r>
            <w:r w:rsidRPr="00686C2A">
              <w:rPr>
                <w:i/>
              </w:rPr>
              <w:t xml:space="preserve">Superannuation Legislation Amendment (Service Providers and Other Governance Measures) Act 2013 </w:t>
            </w:r>
            <w:r w:rsidRPr="00686C2A">
              <w:t>receives the Royal Assent.</w:t>
            </w:r>
          </w:p>
          <w:p w:rsidR="006F63B3" w:rsidRPr="00686C2A" w:rsidRDefault="006F63B3" w:rsidP="00B666E2">
            <w:pPr>
              <w:pStyle w:val="Tabletext"/>
            </w:pPr>
            <w:r w:rsidRPr="00686C2A">
              <w:t>However, the provision(s) do not commence at all if:</w:t>
            </w:r>
          </w:p>
          <w:p w:rsidR="006F63B3" w:rsidRPr="00686C2A" w:rsidRDefault="006F63B3" w:rsidP="007844A5">
            <w:pPr>
              <w:pStyle w:val="Tablea"/>
            </w:pPr>
            <w:r w:rsidRPr="00686C2A">
              <w:t>(a) the provision(s) mentioned in table item</w:t>
            </w:r>
            <w:r w:rsidR="00686C2A" w:rsidRPr="00686C2A">
              <w:t> </w:t>
            </w:r>
            <w:r w:rsidRPr="00686C2A">
              <w:t>7 do not commence; or</w:t>
            </w:r>
          </w:p>
          <w:p w:rsidR="006F63B3" w:rsidRPr="00686C2A" w:rsidRDefault="006F63B3" w:rsidP="00073DE9">
            <w:pPr>
              <w:pStyle w:val="Tablea"/>
            </w:pPr>
            <w:r w:rsidRPr="00686C2A">
              <w:t xml:space="preserve">(b) the event mentioned in </w:t>
            </w:r>
            <w:r w:rsidR="00686C2A" w:rsidRPr="00686C2A">
              <w:t>paragraph (</w:t>
            </w:r>
            <w:r w:rsidRPr="00686C2A">
              <w:t>b) above does not occur.</w:t>
            </w:r>
          </w:p>
        </w:tc>
        <w:tc>
          <w:tcPr>
            <w:tcW w:w="1582" w:type="dxa"/>
            <w:tcBorders>
              <w:top w:val="single" w:sz="2" w:space="0" w:color="auto"/>
              <w:left w:val="nil"/>
              <w:bottom w:val="single" w:sz="12" w:space="0" w:color="auto"/>
              <w:right w:val="nil"/>
            </w:tcBorders>
          </w:tcPr>
          <w:p w:rsidR="006F63B3" w:rsidRPr="00686C2A" w:rsidRDefault="006F63B3" w:rsidP="0027189B">
            <w:pPr>
              <w:pStyle w:val="Tabletext"/>
            </w:pPr>
          </w:p>
        </w:tc>
      </w:tr>
    </w:tbl>
    <w:p w:rsidR="00C503EF" w:rsidRPr="00686C2A" w:rsidRDefault="00C503EF" w:rsidP="00C503EF">
      <w:pPr>
        <w:pStyle w:val="ActHead5"/>
      </w:pPr>
      <w:bookmarkStart w:id="6" w:name="_Toc359591502"/>
      <w:r w:rsidRPr="00686C2A">
        <w:rPr>
          <w:rStyle w:val="CharSectno"/>
        </w:rPr>
        <w:lastRenderedPageBreak/>
        <w:t>3</w:t>
      </w:r>
      <w:r w:rsidRPr="00686C2A">
        <w:t xml:space="preserve">  Authority</w:t>
      </w:r>
      <w:bookmarkEnd w:id="6"/>
    </w:p>
    <w:p w:rsidR="00C503EF" w:rsidRPr="00686C2A" w:rsidRDefault="00C503EF" w:rsidP="00C503EF">
      <w:pPr>
        <w:pStyle w:val="subsection"/>
      </w:pPr>
      <w:r w:rsidRPr="00686C2A">
        <w:tab/>
      </w:r>
      <w:r w:rsidRPr="00686C2A">
        <w:tab/>
        <w:t xml:space="preserve">This </w:t>
      </w:r>
      <w:r w:rsidR="000D597C" w:rsidRPr="00686C2A">
        <w:t xml:space="preserve">regulation </w:t>
      </w:r>
      <w:r w:rsidRPr="00686C2A">
        <w:t xml:space="preserve">is made under the </w:t>
      </w:r>
      <w:r w:rsidR="000D597C" w:rsidRPr="00686C2A">
        <w:rPr>
          <w:i/>
        </w:rPr>
        <w:t>Corporations Act 2001</w:t>
      </w:r>
      <w:r w:rsidR="000D597C" w:rsidRPr="00686C2A">
        <w:t xml:space="preserve">, the </w:t>
      </w:r>
      <w:r w:rsidR="004B3187" w:rsidRPr="00686C2A">
        <w:rPr>
          <w:i/>
        </w:rPr>
        <w:t>First Home Saver Accounts Act 2008</w:t>
      </w:r>
      <w:r w:rsidR="004B3187" w:rsidRPr="00686C2A">
        <w:t xml:space="preserve">, the </w:t>
      </w:r>
      <w:r w:rsidR="000D597C" w:rsidRPr="00686C2A">
        <w:rPr>
          <w:i/>
        </w:rPr>
        <w:t>Superannuation Guarantee (Administration) Act 1992</w:t>
      </w:r>
      <w:r w:rsidR="000D597C" w:rsidRPr="00686C2A">
        <w:t xml:space="preserve">, and the </w:t>
      </w:r>
      <w:r w:rsidR="000D597C" w:rsidRPr="00686C2A">
        <w:rPr>
          <w:i/>
        </w:rPr>
        <w:t>Superannuation Industry (Supervision) Act 1993</w:t>
      </w:r>
      <w:r w:rsidR="000D597C" w:rsidRPr="00686C2A">
        <w:t>.</w:t>
      </w:r>
    </w:p>
    <w:p w:rsidR="00C503EF" w:rsidRPr="00686C2A" w:rsidRDefault="00C503EF" w:rsidP="00C503EF">
      <w:pPr>
        <w:pStyle w:val="ActHead5"/>
      </w:pPr>
      <w:bookmarkStart w:id="7" w:name="_Toc359591503"/>
      <w:r w:rsidRPr="00686C2A">
        <w:rPr>
          <w:rStyle w:val="CharSectno"/>
        </w:rPr>
        <w:t>4</w:t>
      </w:r>
      <w:r w:rsidRPr="00686C2A">
        <w:t xml:space="preserve">  Schedule(s)</w:t>
      </w:r>
      <w:bookmarkEnd w:id="7"/>
    </w:p>
    <w:p w:rsidR="00C503EF" w:rsidRPr="00686C2A" w:rsidRDefault="00C503EF" w:rsidP="00C503EF">
      <w:pPr>
        <w:pStyle w:val="subsection"/>
      </w:pPr>
      <w:r w:rsidRPr="00686C2A">
        <w:tab/>
      </w:r>
      <w:r w:rsidRPr="00686C2A">
        <w:tab/>
        <w:t>Each instrument that is specified in a Schedule</w:t>
      </w:r>
      <w:r w:rsidR="00867687" w:rsidRPr="00686C2A">
        <w:t xml:space="preserve"> </w:t>
      </w:r>
      <w:r w:rsidRPr="00686C2A">
        <w:t>to this instrument is amended or repealed as set out in the applicable items in the Schedule</w:t>
      </w:r>
      <w:r w:rsidR="00867687" w:rsidRPr="00686C2A">
        <w:t xml:space="preserve"> </w:t>
      </w:r>
      <w:r w:rsidRPr="00686C2A">
        <w:t>concerned, and any other item in a Schedule</w:t>
      </w:r>
      <w:r w:rsidR="00867687" w:rsidRPr="00686C2A">
        <w:t xml:space="preserve"> </w:t>
      </w:r>
      <w:r w:rsidRPr="00686C2A">
        <w:t>to this instrument has effect according to its terms.</w:t>
      </w:r>
    </w:p>
    <w:p w:rsidR="00F451C9" w:rsidRPr="00686C2A" w:rsidRDefault="00F451C9" w:rsidP="00F451C9">
      <w:pPr>
        <w:pStyle w:val="ActHead6"/>
        <w:pageBreakBefore/>
      </w:pPr>
      <w:bookmarkStart w:id="8" w:name="_Toc359591504"/>
      <w:bookmarkStart w:id="9" w:name="opcAmSched"/>
      <w:r w:rsidRPr="00686C2A">
        <w:rPr>
          <w:rStyle w:val="CharAmSchNo"/>
        </w:rPr>
        <w:lastRenderedPageBreak/>
        <w:t>Schedule</w:t>
      </w:r>
      <w:r w:rsidR="00686C2A" w:rsidRPr="00686C2A">
        <w:rPr>
          <w:rStyle w:val="CharAmSchNo"/>
        </w:rPr>
        <w:t> </w:t>
      </w:r>
      <w:r w:rsidRPr="00686C2A">
        <w:rPr>
          <w:rStyle w:val="CharAmSchNo"/>
        </w:rPr>
        <w:t>1</w:t>
      </w:r>
      <w:r w:rsidRPr="00686C2A">
        <w:t>—</w:t>
      </w:r>
      <w:r w:rsidRPr="00686C2A">
        <w:rPr>
          <w:rStyle w:val="CharAmSchText"/>
        </w:rPr>
        <w:t xml:space="preserve">Amendments </w:t>
      </w:r>
      <w:r w:rsidR="00E159FF" w:rsidRPr="00686C2A">
        <w:rPr>
          <w:rStyle w:val="CharAmSchText"/>
        </w:rPr>
        <w:t xml:space="preserve">relating to </w:t>
      </w:r>
      <w:proofErr w:type="spellStart"/>
      <w:r w:rsidR="00E159FF" w:rsidRPr="00686C2A">
        <w:rPr>
          <w:rStyle w:val="CharAmSchText"/>
        </w:rPr>
        <w:t>MySuper</w:t>
      </w:r>
      <w:bookmarkEnd w:id="8"/>
      <w:proofErr w:type="spellEnd"/>
    </w:p>
    <w:bookmarkEnd w:id="9"/>
    <w:p w:rsidR="00F00F50" w:rsidRPr="00686C2A" w:rsidRDefault="00F00F50" w:rsidP="00F00F50">
      <w:pPr>
        <w:pStyle w:val="Header"/>
      </w:pPr>
      <w:r w:rsidRPr="00686C2A">
        <w:rPr>
          <w:rStyle w:val="CharAmPartNo"/>
        </w:rPr>
        <w:t xml:space="preserve"> </w:t>
      </w:r>
      <w:r w:rsidRPr="00686C2A">
        <w:rPr>
          <w:rStyle w:val="CharAmPartText"/>
        </w:rPr>
        <w:t xml:space="preserve"> </w:t>
      </w:r>
    </w:p>
    <w:p w:rsidR="0007260C" w:rsidRPr="00686C2A" w:rsidRDefault="003B5B7C" w:rsidP="004D23BA">
      <w:pPr>
        <w:pStyle w:val="ActHead9"/>
      </w:pPr>
      <w:bookmarkStart w:id="10" w:name="_Toc359591505"/>
      <w:r w:rsidRPr="00686C2A">
        <w:t>Corporations Regulations</w:t>
      </w:r>
      <w:r w:rsidR="00686C2A" w:rsidRPr="00686C2A">
        <w:t> </w:t>
      </w:r>
      <w:r w:rsidRPr="00686C2A">
        <w:t>2001</w:t>
      </w:r>
      <w:bookmarkEnd w:id="10"/>
    </w:p>
    <w:p w:rsidR="00574108" w:rsidRPr="00686C2A" w:rsidRDefault="00574108" w:rsidP="00574108">
      <w:pPr>
        <w:pStyle w:val="ItemHead"/>
      </w:pPr>
      <w:r w:rsidRPr="00686C2A">
        <w:t>1  Regulation</w:t>
      </w:r>
      <w:r w:rsidR="00686C2A" w:rsidRPr="00686C2A">
        <w:t> </w:t>
      </w:r>
      <w:r w:rsidRPr="00686C2A">
        <w:t>1.0.02</w:t>
      </w:r>
    </w:p>
    <w:p w:rsidR="00574108" w:rsidRPr="00686C2A" w:rsidRDefault="00574108" w:rsidP="00574108">
      <w:pPr>
        <w:pStyle w:val="Item"/>
      </w:pPr>
      <w:r w:rsidRPr="00686C2A">
        <w:t>Insert:</w:t>
      </w:r>
    </w:p>
    <w:p w:rsidR="00574108" w:rsidRPr="00686C2A" w:rsidRDefault="00574108" w:rsidP="00574108">
      <w:pPr>
        <w:pStyle w:val="Definition"/>
      </w:pPr>
      <w:r w:rsidRPr="00686C2A">
        <w:rPr>
          <w:b/>
          <w:i/>
        </w:rPr>
        <w:t>choice product</w:t>
      </w:r>
      <w:r w:rsidRPr="00686C2A">
        <w:t xml:space="preserve"> has the same meaning as in the SIS Act.</w:t>
      </w:r>
    </w:p>
    <w:p w:rsidR="009C1196" w:rsidRPr="00686C2A" w:rsidRDefault="00574108" w:rsidP="009C1196">
      <w:pPr>
        <w:pStyle w:val="ItemHead"/>
        <w:rPr>
          <w:rFonts w:cs="Arial"/>
          <w:noProof/>
        </w:rPr>
      </w:pPr>
      <w:r w:rsidRPr="00686C2A">
        <w:rPr>
          <w:rFonts w:cs="Arial"/>
          <w:noProof/>
        </w:rPr>
        <w:t>2</w:t>
      </w:r>
      <w:r w:rsidR="009C1196" w:rsidRPr="00686C2A">
        <w:rPr>
          <w:rFonts w:cs="Arial"/>
          <w:noProof/>
        </w:rPr>
        <w:t xml:space="preserve">  Regulation</w:t>
      </w:r>
      <w:r w:rsidR="00686C2A" w:rsidRPr="00686C2A">
        <w:rPr>
          <w:rFonts w:cs="Arial"/>
          <w:noProof/>
        </w:rPr>
        <w:t> </w:t>
      </w:r>
      <w:r w:rsidR="009C1196" w:rsidRPr="00686C2A">
        <w:rPr>
          <w:rFonts w:cs="Arial"/>
          <w:noProof/>
        </w:rPr>
        <w:t>1.0.02</w:t>
      </w:r>
    </w:p>
    <w:p w:rsidR="009C1196" w:rsidRPr="00686C2A" w:rsidRDefault="009C1196" w:rsidP="009C1196">
      <w:pPr>
        <w:pStyle w:val="Item"/>
      </w:pPr>
      <w:r w:rsidRPr="00686C2A">
        <w:t>Insert:</w:t>
      </w:r>
    </w:p>
    <w:p w:rsidR="009C1196" w:rsidRPr="00686C2A" w:rsidRDefault="009C1196" w:rsidP="009C1196">
      <w:pPr>
        <w:pStyle w:val="Definition"/>
      </w:pPr>
      <w:r w:rsidRPr="00686C2A">
        <w:rPr>
          <w:b/>
          <w:i/>
        </w:rPr>
        <w:t xml:space="preserve">generic </w:t>
      </w:r>
      <w:proofErr w:type="spellStart"/>
      <w:r w:rsidRPr="00686C2A">
        <w:rPr>
          <w:b/>
          <w:i/>
        </w:rPr>
        <w:t>MySuper</w:t>
      </w:r>
      <w:proofErr w:type="spellEnd"/>
      <w:r w:rsidRPr="00686C2A">
        <w:rPr>
          <w:b/>
          <w:i/>
        </w:rPr>
        <w:t xml:space="preserve"> product</w:t>
      </w:r>
      <w:r w:rsidRPr="00686C2A">
        <w:t xml:space="preserve">: a class of beneficial interest in a superannuation entity is a </w:t>
      </w:r>
      <w:r w:rsidRPr="00686C2A">
        <w:rPr>
          <w:b/>
          <w:i/>
        </w:rPr>
        <w:t xml:space="preserve">generic </w:t>
      </w:r>
      <w:proofErr w:type="spellStart"/>
      <w:r w:rsidRPr="00686C2A">
        <w:rPr>
          <w:b/>
          <w:i/>
        </w:rPr>
        <w:t>MySuper</w:t>
      </w:r>
      <w:proofErr w:type="spellEnd"/>
      <w:r w:rsidRPr="00686C2A">
        <w:rPr>
          <w:b/>
          <w:i/>
        </w:rPr>
        <w:t xml:space="preserve"> product </w:t>
      </w:r>
      <w:r w:rsidRPr="00686C2A">
        <w:t>if:</w:t>
      </w:r>
    </w:p>
    <w:p w:rsidR="009C1196" w:rsidRPr="00686C2A" w:rsidRDefault="009C1196" w:rsidP="009C1196">
      <w:pPr>
        <w:pStyle w:val="paragraph"/>
      </w:pPr>
      <w:r w:rsidRPr="00686C2A">
        <w:tab/>
        <w:t>(a)</w:t>
      </w:r>
      <w:r w:rsidRPr="00686C2A">
        <w:tab/>
        <w:t>the superannuation entity is a regulated superannuation fund; and</w:t>
      </w:r>
    </w:p>
    <w:p w:rsidR="009C1196" w:rsidRPr="00686C2A" w:rsidRDefault="009C1196" w:rsidP="009C1196">
      <w:pPr>
        <w:pStyle w:val="paragraph"/>
      </w:pPr>
      <w:r w:rsidRPr="00686C2A">
        <w:tab/>
        <w:t>(b)</w:t>
      </w:r>
      <w:r w:rsidRPr="00686C2A">
        <w:tab/>
        <w:t xml:space="preserve">the </w:t>
      </w:r>
      <w:proofErr w:type="spellStart"/>
      <w:r w:rsidRPr="00686C2A">
        <w:t>RSE</w:t>
      </w:r>
      <w:proofErr w:type="spellEnd"/>
      <w:r w:rsidRPr="00686C2A">
        <w:t xml:space="preserve"> licensee of the fund (within the meaning of the SIS Act) is authorised to offer that class of beneficial interest in the fund as a </w:t>
      </w:r>
      <w:proofErr w:type="spellStart"/>
      <w:r w:rsidRPr="00686C2A">
        <w:t>MySuper</w:t>
      </w:r>
      <w:proofErr w:type="spellEnd"/>
      <w:r w:rsidRPr="00686C2A">
        <w:t xml:space="preserve"> product under section</w:t>
      </w:r>
      <w:r w:rsidR="00686C2A" w:rsidRPr="00686C2A">
        <w:t> </w:t>
      </w:r>
      <w:r w:rsidRPr="00686C2A">
        <w:t>29T of the SIS Act; and</w:t>
      </w:r>
    </w:p>
    <w:p w:rsidR="009C1196" w:rsidRPr="00686C2A" w:rsidRDefault="009C1196" w:rsidP="009C1196">
      <w:pPr>
        <w:pStyle w:val="paragraph"/>
      </w:pPr>
      <w:r w:rsidRPr="00686C2A">
        <w:tab/>
        <w:t>(c)</w:t>
      </w:r>
      <w:r w:rsidRPr="00686C2A">
        <w:tab/>
        <w:t xml:space="preserve">the </w:t>
      </w:r>
      <w:proofErr w:type="spellStart"/>
      <w:r w:rsidRPr="00686C2A">
        <w:t>RSE</w:t>
      </w:r>
      <w:proofErr w:type="spellEnd"/>
      <w:r w:rsidRPr="00686C2A">
        <w:t xml:space="preserve"> licensee of the fund (within the meaning of the SIS Act) is not authorised to offer that class of beneficial interest in the fund as a </w:t>
      </w:r>
      <w:proofErr w:type="spellStart"/>
      <w:r w:rsidRPr="00686C2A">
        <w:t>MySuper</w:t>
      </w:r>
      <w:proofErr w:type="spellEnd"/>
      <w:r w:rsidRPr="00686C2A">
        <w:t xml:space="preserve"> product because section</w:t>
      </w:r>
      <w:r w:rsidR="00686C2A" w:rsidRPr="00686C2A">
        <w:t> </w:t>
      </w:r>
      <w:r w:rsidRPr="00686C2A">
        <w:t>29TA or 29TB of the SIS Act is satisfied in relation to the class.</w:t>
      </w:r>
    </w:p>
    <w:p w:rsidR="009C1196" w:rsidRPr="00686C2A" w:rsidRDefault="00574108" w:rsidP="009C1196">
      <w:pPr>
        <w:pStyle w:val="ItemHead"/>
        <w:rPr>
          <w:rFonts w:cs="Arial"/>
        </w:rPr>
      </w:pPr>
      <w:r w:rsidRPr="00686C2A">
        <w:rPr>
          <w:rFonts w:cs="Arial"/>
        </w:rPr>
        <w:t>3</w:t>
      </w:r>
      <w:r w:rsidR="009C1196" w:rsidRPr="00686C2A">
        <w:rPr>
          <w:rFonts w:cs="Arial"/>
        </w:rPr>
        <w:t xml:space="preserve">  Regulation</w:t>
      </w:r>
      <w:r w:rsidR="00686C2A" w:rsidRPr="00686C2A">
        <w:rPr>
          <w:rFonts w:cs="Arial"/>
        </w:rPr>
        <w:t> </w:t>
      </w:r>
      <w:r w:rsidR="009C1196" w:rsidRPr="00686C2A">
        <w:rPr>
          <w:rFonts w:cs="Arial"/>
        </w:rPr>
        <w:t>1.0.02</w:t>
      </w:r>
    </w:p>
    <w:p w:rsidR="009C1196" w:rsidRPr="00686C2A" w:rsidRDefault="009C1196" w:rsidP="009C1196">
      <w:pPr>
        <w:pStyle w:val="Item"/>
      </w:pPr>
      <w:r w:rsidRPr="00686C2A">
        <w:t>Insert:</w:t>
      </w:r>
    </w:p>
    <w:p w:rsidR="009C1196" w:rsidRPr="00686C2A" w:rsidRDefault="009C1196" w:rsidP="009C1196">
      <w:pPr>
        <w:pStyle w:val="Definition"/>
      </w:pPr>
      <w:proofErr w:type="spellStart"/>
      <w:r w:rsidRPr="00686C2A">
        <w:rPr>
          <w:b/>
          <w:i/>
        </w:rPr>
        <w:t>MySuper</w:t>
      </w:r>
      <w:proofErr w:type="spellEnd"/>
      <w:r w:rsidRPr="00686C2A">
        <w:rPr>
          <w:b/>
          <w:i/>
        </w:rPr>
        <w:t xml:space="preserve"> product</w:t>
      </w:r>
      <w:r w:rsidRPr="00686C2A">
        <w:t xml:space="preserve"> has the same meaning as in the SIS Act.</w:t>
      </w:r>
    </w:p>
    <w:p w:rsidR="00821B56" w:rsidRPr="00686C2A" w:rsidRDefault="0018263A" w:rsidP="00821B56">
      <w:pPr>
        <w:pStyle w:val="ItemHead"/>
        <w:rPr>
          <w:rFonts w:cs="Arial"/>
        </w:rPr>
      </w:pPr>
      <w:r w:rsidRPr="00686C2A">
        <w:rPr>
          <w:rFonts w:cs="Arial"/>
          <w:noProof/>
        </w:rPr>
        <w:t>4</w:t>
      </w:r>
      <w:r w:rsidR="00821B56" w:rsidRPr="00686C2A">
        <w:rPr>
          <w:rFonts w:cs="Arial"/>
        </w:rPr>
        <w:t xml:space="preserve">  After Division</w:t>
      </w:r>
      <w:r w:rsidR="00686C2A" w:rsidRPr="00686C2A">
        <w:rPr>
          <w:rFonts w:cs="Arial"/>
        </w:rPr>
        <w:t> </w:t>
      </w:r>
      <w:r w:rsidR="00821B56" w:rsidRPr="00686C2A">
        <w:rPr>
          <w:rFonts w:cs="Arial"/>
        </w:rPr>
        <w:t>2D of Part</w:t>
      </w:r>
      <w:r w:rsidR="00686C2A" w:rsidRPr="00686C2A">
        <w:rPr>
          <w:rFonts w:cs="Arial"/>
        </w:rPr>
        <w:t> </w:t>
      </w:r>
      <w:r w:rsidR="00821B56" w:rsidRPr="00686C2A">
        <w:rPr>
          <w:rFonts w:cs="Arial"/>
        </w:rPr>
        <w:t>7.9</w:t>
      </w:r>
    </w:p>
    <w:p w:rsidR="00821B56" w:rsidRPr="00686C2A" w:rsidRDefault="00821B56" w:rsidP="00821B56">
      <w:pPr>
        <w:pStyle w:val="Item"/>
      </w:pPr>
      <w:r w:rsidRPr="00686C2A">
        <w:t>Insert:</w:t>
      </w:r>
    </w:p>
    <w:p w:rsidR="00821B56" w:rsidRPr="00686C2A" w:rsidRDefault="00821B56" w:rsidP="00821B56">
      <w:pPr>
        <w:pStyle w:val="ActHead3"/>
      </w:pPr>
      <w:bookmarkStart w:id="11" w:name="_Toc359591506"/>
      <w:r w:rsidRPr="00686C2A">
        <w:rPr>
          <w:rStyle w:val="CharDivNo"/>
        </w:rPr>
        <w:lastRenderedPageBreak/>
        <w:t>Division</w:t>
      </w:r>
      <w:r w:rsidR="00686C2A" w:rsidRPr="00686C2A">
        <w:rPr>
          <w:rStyle w:val="CharDivNo"/>
        </w:rPr>
        <w:t> </w:t>
      </w:r>
      <w:r w:rsidRPr="00686C2A">
        <w:rPr>
          <w:rStyle w:val="CharDivNo"/>
        </w:rPr>
        <w:t>2E</w:t>
      </w:r>
      <w:r w:rsidRPr="00686C2A">
        <w:t>—</w:t>
      </w:r>
      <w:r w:rsidRPr="00686C2A">
        <w:rPr>
          <w:rStyle w:val="CharDivText"/>
        </w:rPr>
        <w:t>Obligation to make information publicly available: registrable superannuation entities</w:t>
      </w:r>
      <w:bookmarkEnd w:id="11"/>
    </w:p>
    <w:p w:rsidR="00821B56" w:rsidRPr="00686C2A" w:rsidRDefault="00821B56" w:rsidP="00821B56">
      <w:pPr>
        <w:pStyle w:val="ActHead4"/>
      </w:pPr>
      <w:bookmarkStart w:id="12" w:name="_Toc359591507"/>
      <w:r w:rsidRPr="00686C2A">
        <w:rPr>
          <w:rStyle w:val="CharSubdNo"/>
        </w:rPr>
        <w:t>Subdivision</w:t>
      </w:r>
      <w:r w:rsidR="00686C2A" w:rsidRPr="00686C2A">
        <w:rPr>
          <w:rStyle w:val="CharSubdNo"/>
        </w:rPr>
        <w:t> </w:t>
      </w:r>
      <w:r w:rsidRPr="00686C2A">
        <w:rPr>
          <w:rStyle w:val="CharSubdNo"/>
        </w:rPr>
        <w:t>2E.1</w:t>
      </w:r>
      <w:r w:rsidRPr="00686C2A">
        <w:t>—</w:t>
      </w:r>
      <w:r w:rsidRPr="00686C2A">
        <w:rPr>
          <w:rStyle w:val="CharSubdText"/>
        </w:rPr>
        <w:t>Obligation to make product dashboard publicly available</w:t>
      </w:r>
      <w:bookmarkEnd w:id="12"/>
    </w:p>
    <w:p w:rsidR="00821B56" w:rsidRPr="00686C2A" w:rsidRDefault="00821B56" w:rsidP="00821B56">
      <w:pPr>
        <w:pStyle w:val="ActHead5"/>
      </w:pPr>
      <w:bookmarkStart w:id="13" w:name="_Toc359591508"/>
      <w:r w:rsidRPr="00686C2A">
        <w:rPr>
          <w:rStyle w:val="CharSectno"/>
        </w:rPr>
        <w:t>7.9.07L</w:t>
      </w:r>
      <w:r w:rsidRPr="00686C2A">
        <w:t xml:space="preserve">  Modification of Act</w:t>
      </w:r>
      <w:bookmarkEnd w:id="13"/>
    </w:p>
    <w:p w:rsidR="00821B56" w:rsidRPr="00686C2A" w:rsidRDefault="00821B56" w:rsidP="00821B56">
      <w:pPr>
        <w:pStyle w:val="subsection"/>
      </w:pPr>
      <w:r w:rsidRPr="00686C2A">
        <w:tab/>
      </w:r>
      <w:r w:rsidRPr="00686C2A">
        <w:tab/>
        <w:t>For paragraph</w:t>
      </w:r>
      <w:r w:rsidR="00686C2A" w:rsidRPr="00686C2A">
        <w:t> </w:t>
      </w:r>
      <w:r w:rsidRPr="00686C2A">
        <w:t>1020G(1)(c) of the Act, Part</w:t>
      </w:r>
      <w:r w:rsidR="00686C2A" w:rsidRPr="00686C2A">
        <w:t> </w:t>
      </w:r>
      <w:r w:rsidRPr="00686C2A">
        <w:t>7.9 of the Act applies as if section</w:t>
      </w:r>
      <w:r w:rsidR="00686C2A" w:rsidRPr="00686C2A">
        <w:t> </w:t>
      </w:r>
      <w:r w:rsidRPr="00686C2A">
        <w:t>1017BA of the Act were modified as set out in Part</w:t>
      </w:r>
      <w:r w:rsidR="00686C2A" w:rsidRPr="00686C2A">
        <w:t> </w:t>
      </w:r>
      <w:r w:rsidRPr="00686C2A">
        <w:t>6A of Schedule</w:t>
      </w:r>
      <w:r w:rsidR="00686C2A" w:rsidRPr="00686C2A">
        <w:t> </w:t>
      </w:r>
      <w:r w:rsidRPr="00686C2A">
        <w:t>10A.</w:t>
      </w:r>
    </w:p>
    <w:p w:rsidR="00615F5D" w:rsidRPr="00686C2A" w:rsidRDefault="0018263A" w:rsidP="00615F5D">
      <w:pPr>
        <w:pStyle w:val="ItemHead"/>
        <w:rPr>
          <w:rFonts w:cs="Arial"/>
        </w:rPr>
      </w:pPr>
      <w:r w:rsidRPr="00686C2A">
        <w:rPr>
          <w:rFonts w:cs="Arial"/>
          <w:noProof/>
        </w:rPr>
        <w:t>5</w:t>
      </w:r>
      <w:r w:rsidR="00615F5D" w:rsidRPr="00686C2A">
        <w:rPr>
          <w:rFonts w:cs="Arial"/>
        </w:rPr>
        <w:t xml:space="preserve">  Paragraph 7.9.20(1)(n)</w:t>
      </w:r>
    </w:p>
    <w:p w:rsidR="00615F5D" w:rsidRPr="00686C2A" w:rsidRDefault="00615F5D" w:rsidP="00615F5D">
      <w:pPr>
        <w:pStyle w:val="Item"/>
      </w:pPr>
      <w:r w:rsidRPr="00686C2A">
        <w:t>Repeal the paragraph, substitute:</w:t>
      </w:r>
    </w:p>
    <w:p w:rsidR="00615F5D" w:rsidRPr="00686C2A" w:rsidRDefault="00615F5D" w:rsidP="00615F5D">
      <w:pPr>
        <w:pStyle w:val="paragraph"/>
      </w:pPr>
      <w:r w:rsidRPr="00686C2A">
        <w:tab/>
        <w:t>(n)</w:t>
      </w:r>
      <w:r w:rsidRPr="00686C2A">
        <w:tab/>
        <w:t>for a regulated superannuation fund—a statement of long</w:t>
      </w:r>
      <w:r w:rsidR="00686C2A">
        <w:noBreakHyphen/>
      </w:r>
      <w:r w:rsidRPr="00686C2A">
        <w:t>term returns, in accordance with regulation</w:t>
      </w:r>
      <w:r w:rsidR="00686C2A" w:rsidRPr="00686C2A">
        <w:t> </w:t>
      </w:r>
      <w:r w:rsidRPr="00686C2A">
        <w:t>7.9.20AA, of:</w:t>
      </w:r>
    </w:p>
    <w:p w:rsidR="00615F5D" w:rsidRPr="00686C2A" w:rsidRDefault="00615F5D" w:rsidP="00615F5D">
      <w:pPr>
        <w:pStyle w:val="paragraphsub"/>
      </w:pPr>
      <w:r w:rsidRPr="00686C2A">
        <w:tab/>
        <w:t>(</w:t>
      </w:r>
      <w:proofErr w:type="spellStart"/>
      <w:r w:rsidRPr="00686C2A">
        <w:t>i</w:t>
      </w:r>
      <w:proofErr w:type="spellEnd"/>
      <w:r w:rsidRPr="00686C2A">
        <w:t>)</w:t>
      </w:r>
      <w:r w:rsidRPr="00686C2A">
        <w:tab/>
        <w:t xml:space="preserve">the </w:t>
      </w:r>
      <w:proofErr w:type="spellStart"/>
      <w:r w:rsidR="001A1714" w:rsidRPr="00686C2A">
        <w:t>MySuper</w:t>
      </w:r>
      <w:proofErr w:type="spellEnd"/>
      <w:r w:rsidR="001A1714" w:rsidRPr="00686C2A">
        <w:t xml:space="preserve"> product or </w:t>
      </w:r>
      <w:r w:rsidR="001A3EFE" w:rsidRPr="00686C2A">
        <w:t xml:space="preserve">investment option within a </w:t>
      </w:r>
      <w:r w:rsidR="001A1714" w:rsidRPr="00686C2A">
        <w:t xml:space="preserve">choice product </w:t>
      </w:r>
      <w:r w:rsidRPr="00686C2A">
        <w:t>in which a member is invested; or</w:t>
      </w:r>
    </w:p>
    <w:p w:rsidR="00615F5D" w:rsidRPr="00686C2A" w:rsidRDefault="00615F5D" w:rsidP="00615F5D">
      <w:pPr>
        <w:pStyle w:val="paragraphsub"/>
      </w:pPr>
      <w:r w:rsidRPr="00686C2A">
        <w:tab/>
        <w:t>(ii)</w:t>
      </w:r>
      <w:r w:rsidRPr="00686C2A">
        <w:tab/>
        <w:t>the sub</w:t>
      </w:r>
      <w:r w:rsidR="00686C2A">
        <w:noBreakHyphen/>
      </w:r>
      <w:r w:rsidRPr="00686C2A">
        <w:t>plan, or, if none, the fund in which the member holds an interest;</w:t>
      </w:r>
    </w:p>
    <w:p w:rsidR="00615F5D" w:rsidRPr="00686C2A" w:rsidRDefault="00615F5D" w:rsidP="00615F5D">
      <w:pPr>
        <w:pStyle w:val="paragraph"/>
      </w:pPr>
      <w:r w:rsidRPr="00686C2A">
        <w:tab/>
        <w:t>(o)</w:t>
      </w:r>
      <w:r w:rsidRPr="00686C2A">
        <w:tab/>
      </w:r>
      <w:r w:rsidR="00651950" w:rsidRPr="00686C2A">
        <w:t>for a regulated superannuation fund, if the trustee is required to make publicly available a product dashboard for the investment option, under section</w:t>
      </w:r>
      <w:r w:rsidR="00686C2A" w:rsidRPr="00686C2A">
        <w:t> </w:t>
      </w:r>
      <w:r w:rsidR="00651950" w:rsidRPr="00686C2A">
        <w:t>1017BA of the Act—the latest product dashboard for the investment option.</w:t>
      </w:r>
    </w:p>
    <w:p w:rsidR="00BA4300" w:rsidRPr="00686C2A" w:rsidRDefault="0018263A" w:rsidP="00BA4300">
      <w:pPr>
        <w:pStyle w:val="ItemHead"/>
      </w:pPr>
      <w:r w:rsidRPr="00686C2A">
        <w:rPr>
          <w:rFonts w:cs="Arial"/>
        </w:rPr>
        <w:t>6</w:t>
      </w:r>
      <w:r w:rsidR="00BA4300" w:rsidRPr="00686C2A">
        <w:rPr>
          <w:rFonts w:cs="Arial"/>
        </w:rPr>
        <w:t xml:space="preserve">  </w:t>
      </w:r>
      <w:r w:rsidR="00BA4300" w:rsidRPr="00686C2A">
        <w:t>Regulation</w:t>
      </w:r>
      <w:r w:rsidR="00686C2A" w:rsidRPr="00686C2A">
        <w:t> </w:t>
      </w:r>
      <w:r w:rsidR="00BA4300" w:rsidRPr="00686C2A">
        <w:t>7.9.48</w:t>
      </w:r>
    </w:p>
    <w:p w:rsidR="00BA4300" w:rsidRPr="00686C2A" w:rsidRDefault="00BA4300" w:rsidP="00BA4300">
      <w:pPr>
        <w:pStyle w:val="Item"/>
      </w:pPr>
      <w:r w:rsidRPr="00686C2A">
        <w:t>Repeal the regulation, substitute:</w:t>
      </w:r>
    </w:p>
    <w:p w:rsidR="00BA4300" w:rsidRPr="00686C2A" w:rsidRDefault="00BA4300" w:rsidP="00BA4300">
      <w:pPr>
        <w:pStyle w:val="ActHead5"/>
      </w:pPr>
      <w:bookmarkStart w:id="14" w:name="_Toc359591509"/>
      <w:r w:rsidRPr="00686C2A">
        <w:rPr>
          <w:rStyle w:val="CharSectno"/>
        </w:rPr>
        <w:t>7.9.48</w:t>
      </w:r>
      <w:r w:rsidRPr="00686C2A">
        <w:t xml:space="preserve">  Source of power for this Subdivision</w:t>
      </w:r>
      <w:bookmarkEnd w:id="14"/>
    </w:p>
    <w:p w:rsidR="00BA4300" w:rsidRPr="00686C2A" w:rsidRDefault="00BA4300" w:rsidP="00BA4300">
      <w:pPr>
        <w:pStyle w:val="subsection"/>
      </w:pPr>
      <w:r w:rsidRPr="00686C2A">
        <w:tab/>
      </w:r>
      <w:r w:rsidRPr="00686C2A">
        <w:tab/>
        <w:t>This Subdivision is made for section</w:t>
      </w:r>
      <w:r w:rsidR="00686C2A" w:rsidRPr="00686C2A">
        <w:t> </w:t>
      </w:r>
      <w:r w:rsidRPr="00686C2A">
        <w:t>1017DA of the Act.</w:t>
      </w:r>
    </w:p>
    <w:p w:rsidR="00BA4300" w:rsidRPr="00686C2A" w:rsidRDefault="00BA4300" w:rsidP="00BA4300">
      <w:pPr>
        <w:pStyle w:val="ActHead5"/>
      </w:pPr>
      <w:bookmarkStart w:id="15" w:name="_Toc359591510"/>
      <w:r w:rsidRPr="00686C2A">
        <w:rPr>
          <w:rStyle w:val="CharSectno"/>
        </w:rPr>
        <w:t>7.9.48A</w:t>
      </w:r>
      <w:r w:rsidRPr="00686C2A">
        <w:t xml:space="preserve">  Definitions</w:t>
      </w:r>
      <w:bookmarkEnd w:id="15"/>
    </w:p>
    <w:p w:rsidR="00BA4300" w:rsidRPr="00686C2A" w:rsidRDefault="00BA4300" w:rsidP="00BA4300">
      <w:pPr>
        <w:pStyle w:val="subsection"/>
      </w:pPr>
      <w:r w:rsidRPr="00686C2A">
        <w:tab/>
      </w:r>
      <w:r w:rsidRPr="00686C2A">
        <w:tab/>
        <w:t>In this Subdivision:</w:t>
      </w:r>
    </w:p>
    <w:p w:rsidR="00BA4300" w:rsidRPr="00686C2A" w:rsidRDefault="00BA4300" w:rsidP="00BA4300">
      <w:pPr>
        <w:pStyle w:val="Definition"/>
      </w:pPr>
      <w:r w:rsidRPr="00686C2A">
        <w:rPr>
          <w:b/>
          <w:i/>
        </w:rPr>
        <w:t>decision</w:t>
      </w:r>
      <w:r w:rsidR="00686C2A">
        <w:rPr>
          <w:b/>
          <w:i/>
        </w:rPr>
        <w:noBreakHyphen/>
      </w:r>
      <w:r w:rsidRPr="00686C2A">
        <w:rPr>
          <w:b/>
          <w:i/>
        </w:rPr>
        <w:t>maker</w:t>
      </w:r>
      <w:r w:rsidRPr="00686C2A">
        <w:t xml:space="preserve"> means:</w:t>
      </w:r>
    </w:p>
    <w:p w:rsidR="00BA4300" w:rsidRPr="00686C2A" w:rsidRDefault="00BA4300" w:rsidP="00BA4300">
      <w:pPr>
        <w:pStyle w:val="paragraph"/>
      </w:pPr>
      <w:r w:rsidRPr="00686C2A">
        <w:lastRenderedPageBreak/>
        <w:tab/>
        <w:t>(a)</w:t>
      </w:r>
      <w:r w:rsidRPr="00686C2A">
        <w:tab/>
        <w:t>the trustee of a regulated superannuation fund or approved deposit fund; or</w:t>
      </w:r>
    </w:p>
    <w:p w:rsidR="00BA4300" w:rsidRPr="00686C2A" w:rsidRDefault="00BA4300" w:rsidP="00BA4300">
      <w:pPr>
        <w:pStyle w:val="paragraph"/>
      </w:pPr>
      <w:r w:rsidRPr="00686C2A">
        <w:tab/>
        <w:t>(b)</w:t>
      </w:r>
      <w:r w:rsidRPr="00686C2A">
        <w:tab/>
        <w:t xml:space="preserve">an </w:t>
      </w:r>
      <w:proofErr w:type="spellStart"/>
      <w:r w:rsidRPr="00686C2A">
        <w:t>RSA</w:t>
      </w:r>
      <w:proofErr w:type="spellEnd"/>
      <w:r w:rsidRPr="00686C2A">
        <w:t xml:space="preserve"> provider.</w:t>
      </w:r>
    </w:p>
    <w:p w:rsidR="00BA4300" w:rsidRPr="00686C2A" w:rsidRDefault="00BA4300" w:rsidP="00BA4300">
      <w:pPr>
        <w:pStyle w:val="Definition"/>
      </w:pPr>
      <w:r w:rsidRPr="00686C2A">
        <w:rPr>
          <w:b/>
          <w:i/>
        </w:rPr>
        <w:t>eligible person</w:t>
      </w:r>
      <w:r w:rsidRPr="00686C2A">
        <w:t xml:space="preserve"> means any of the following:</w:t>
      </w:r>
    </w:p>
    <w:p w:rsidR="00BA4300" w:rsidRPr="00686C2A" w:rsidRDefault="00BA4300" w:rsidP="00BA4300">
      <w:pPr>
        <w:pStyle w:val="paragraph"/>
      </w:pPr>
      <w:r w:rsidRPr="00686C2A">
        <w:tab/>
        <w:t>(a)</w:t>
      </w:r>
      <w:r w:rsidRPr="00686C2A">
        <w:tab/>
        <w:t>a beneficiary of a relevant entity;</w:t>
      </w:r>
    </w:p>
    <w:p w:rsidR="00BA4300" w:rsidRPr="00686C2A" w:rsidRDefault="00BA4300" w:rsidP="00BA4300">
      <w:pPr>
        <w:pStyle w:val="paragraph"/>
      </w:pPr>
      <w:r w:rsidRPr="00686C2A">
        <w:tab/>
        <w:t>(b)</w:t>
      </w:r>
      <w:r w:rsidRPr="00686C2A">
        <w:tab/>
        <w:t>a former beneficiary of a relevant entity;</w:t>
      </w:r>
    </w:p>
    <w:p w:rsidR="00BA4300" w:rsidRPr="00686C2A" w:rsidRDefault="00BA4300" w:rsidP="00BA4300">
      <w:pPr>
        <w:pStyle w:val="paragraph"/>
      </w:pPr>
      <w:r w:rsidRPr="00686C2A">
        <w:tab/>
        <w:t>(c)</w:t>
      </w:r>
      <w:r w:rsidRPr="00686C2A">
        <w:tab/>
        <w:t>the executor or administrator of the estate of a former beneficiary of a relevant entity;</w:t>
      </w:r>
    </w:p>
    <w:p w:rsidR="00BA4300" w:rsidRPr="00686C2A" w:rsidRDefault="00BA4300" w:rsidP="00BA4300">
      <w:pPr>
        <w:pStyle w:val="paragraph"/>
      </w:pPr>
      <w:r w:rsidRPr="00686C2A">
        <w:tab/>
        <w:t>(d)</w:t>
      </w:r>
      <w:r w:rsidRPr="00686C2A">
        <w:tab/>
        <w:t>for a complaint that relates to the payment of a death benefit—a person who:</w:t>
      </w:r>
    </w:p>
    <w:p w:rsidR="00BA4300" w:rsidRPr="00686C2A" w:rsidRDefault="00BA4300" w:rsidP="00BA4300">
      <w:pPr>
        <w:pStyle w:val="paragraphsub"/>
      </w:pPr>
      <w:r w:rsidRPr="00686C2A">
        <w:tab/>
        <w:t>(</w:t>
      </w:r>
      <w:proofErr w:type="spellStart"/>
      <w:r w:rsidRPr="00686C2A">
        <w:t>i</w:t>
      </w:r>
      <w:proofErr w:type="spellEnd"/>
      <w:r w:rsidRPr="00686C2A">
        <w:t>)</w:t>
      </w:r>
      <w:r w:rsidRPr="00686C2A">
        <w:tab/>
        <w:t>has an interest in the death benefit; or</w:t>
      </w:r>
    </w:p>
    <w:p w:rsidR="00BA4300" w:rsidRPr="00686C2A" w:rsidRDefault="00BA4300" w:rsidP="00BA4300">
      <w:pPr>
        <w:pStyle w:val="paragraphsub"/>
      </w:pPr>
      <w:r w:rsidRPr="00686C2A">
        <w:tab/>
        <w:t>(ii)</w:t>
      </w:r>
      <w:r w:rsidRPr="00686C2A">
        <w:tab/>
        <w:t xml:space="preserve">claims to be, or to be entitled to death benefits through, a person mentioned in </w:t>
      </w:r>
      <w:r w:rsidR="00686C2A" w:rsidRPr="00686C2A">
        <w:t>subparagraph (</w:t>
      </w:r>
      <w:proofErr w:type="spellStart"/>
      <w:r w:rsidRPr="00686C2A">
        <w:t>i</w:t>
      </w:r>
      <w:proofErr w:type="spellEnd"/>
      <w:r w:rsidRPr="00686C2A">
        <w:t>).</w:t>
      </w:r>
    </w:p>
    <w:p w:rsidR="00BA4300" w:rsidRPr="00686C2A" w:rsidRDefault="00BA4300" w:rsidP="00BA4300">
      <w:pPr>
        <w:pStyle w:val="Definition"/>
      </w:pPr>
      <w:r w:rsidRPr="00686C2A">
        <w:rPr>
          <w:b/>
          <w:i/>
        </w:rPr>
        <w:t>relevant entity</w:t>
      </w:r>
      <w:r w:rsidRPr="00686C2A">
        <w:t xml:space="preserve"> means any of the following:</w:t>
      </w:r>
    </w:p>
    <w:p w:rsidR="00BA4300" w:rsidRPr="00686C2A" w:rsidRDefault="00BA4300" w:rsidP="00BA4300">
      <w:pPr>
        <w:pStyle w:val="paragraph"/>
      </w:pPr>
      <w:r w:rsidRPr="00686C2A">
        <w:tab/>
        <w:t>(a)</w:t>
      </w:r>
      <w:r w:rsidRPr="00686C2A">
        <w:tab/>
        <w:t>a regulated superannuation fund;</w:t>
      </w:r>
    </w:p>
    <w:p w:rsidR="00BA4300" w:rsidRPr="00686C2A" w:rsidRDefault="00BA4300" w:rsidP="00BA4300">
      <w:pPr>
        <w:pStyle w:val="paragraph"/>
      </w:pPr>
      <w:r w:rsidRPr="00686C2A">
        <w:tab/>
        <w:t>(b)</w:t>
      </w:r>
      <w:r w:rsidRPr="00686C2A">
        <w:tab/>
        <w:t>an approved deposit fund;</w:t>
      </w:r>
    </w:p>
    <w:p w:rsidR="00BA4300" w:rsidRPr="00686C2A" w:rsidRDefault="00BA4300" w:rsidP="00BA4300">
      <w:pPr>
        <w:pStyle w:val="paragraph"/>
      </w:pPr>
      <w:r w:rsidRPr="00686C2A">
        <w:tab/>
        <w:t>(c)</w:t>
      </w:r>
      <w:r w:rsidRPr="00686C2A">
        <w:tab/>
        <w:t xml:space="preserve">an </w:t>
      </w:r>
      <w:proofErr w:type="spellStart"/>
      <w:r w:rsidRPr="00686C2A">
        <w:t>RSA</w:t>
      </w:r>
      <w:proofErr w:type="spellEnd"/>
      <w:r w:rsidRPr="00686C2A">
        <w:t>.</w:t>
      </w:r>
    </w:p>
    <w:p w:rsidR="00BA4300" w:rsidRPr="00686C2A" w:rsidRDefault="00BA4300" w:rsidP="00BA4300">
      <w:pPr>
        <w:pStyle w:val="ActHead5"/>
      </w:pPr>
      <w:bookmarkStart w:id="16" w:name="_Toc359591511"/>
      <w:r w:rsidRPr="00686C2A">
        <w:rPr>
          <w:rStyle w:val="CharSectno"/>
        </w:rPr>
        <w:t>7.9.48B</w:t>
      </w:r>
      <w:r w:rsidRPr="00686C2A">
        <w:t xml:space="preserve">  Complaints—general</w:t>
      </w:r>
      <w:bookmarkEnd w:id="16"/>
    </w:p>
    <w:p w:rsidR="00BA4300" w:rsidRPr="00686C2A" w:rsidRDefault="00BA4300" w:rsidP="00BA4300">
      <w:pPr>
        <w:pStyle w:val="subsection"/>
      </w:pPr>
      <w:r w:rsidRPr="00686C2A">
        <w:tab/>
        <w:t>(1)</w:t>
      </w:r>
      <w:r w:rsidRPr="00686C2A">
        <w:tab/>
        <w:t>This regulation applies to a decision</w:t>
      </w:r>
      <w:r w:rsidR="00686C2A">
        <w:noBreakHyphen/>
      </w:r>
      <w:r w:rsidRPr="00686C2A">
        <w:t>maker if:</w:t>
      </w:r>
    </w:p>
    <w:p w:rsidR="00BA4300" w:rsidRPr="00686C2A" w:rsidRDefault="00BA4300" w:rsidP="00BA4300">
      <w:pPr>
        <w:pStyle w:val="paragraph"/>
      </w:pPr>
      <w:r w:rsidRPr="00686C2A">
        <w:tab/>
        <w:t>(a)</w:t>
      </w:r>
      <w:r w:rsidRPr="00686C2A">
        <w:tab/>
        <w:t>an eligible person makes a complaint; and</w:t>
      </w:r>
    </w:p>
    <w:p w:rsidR="00BA4300" w:rsidRPr="00686C2A" w:rsidRDefault="00BA4300" w:rsidP="00BA4300">
      <w:pPr>
        <w:pStyle w:val="paragraph"/>
      </w:pPr>
      <w:r w:rsidRPr="00686C2A">
        <w:tab/>
        <w:t>(b)</w:t>
      </w:r>
      <w:r w:rsidRPr="00686C2A">
        <w:tab/>
        <w:t>the decision</w:t>
      </w:r>
      <w:r w:rsidR="00686C2A">
        <w:noBreakHyphen/>
      </w:r>
      <w:r w:rsidRPr="00686C2A">
        <w:t>maker makes a decision in relation to the complaint in accordance with the relevant entity’s internal dispute resolution mechanism.</w:t>
      </w:r>
    </w:p>
    <w:p w:rsidR="00BA4300" w:rsidRPr="00686C2A" w:rsidRDefault="00BA4300" w:rsidP="00BA4300">
      <w:pPr>
        <w:pStyle w:val="subsection"/>
      </w:pPr>
      <w:r w:rsidRPr="00686C2A">
        <w:t xml:space="preserve"> </w:t>
      </w:r>
      <w:r w:rsidRPr="00686C2A">
        <w:tab/>
        <w:t>(2)</w:t>
      </w:r>
      <w:r w:rsidRPr="00686C2A">
        <w:tab/>
        <w:t>The decision</w:t>
      </w:r>
      <w:r w:rsidR="00686C2A">
        <w:noBreakHyphen/>
      </w:r>
      <w:r w:rsidRPr="00686C2A">
        <w:t>maker must, within 30 days of making the decision, inform the eligible person:</w:t>
      </w:r>
    </w:p>
    <w:p w:rsidR="00BA4300" w:rsidRPr="00686C2A" w:rsidRDefault="00BA4300" w:rsidP="00BA4300">
      <w:pPr>
        <w:pStyle w:val="paragraph"/>
      </w:pPr>
      <w:r w:rsidRPr="00686C2A">
        <w:tab/>
        <w:t>(a)</w:t>
      </w:r>
      <w:r w:rsidRPr="00686C2A">
        <w:tab/>
        <w:t>of the date of the decision; and</w:t>
      </w:r>
    </w:p>
    <w:p w:rsidR="00BA4300" w:rsidRPr="00686C2A" w:rsidRDefault="00BA4300" w:rsidP="00BA4300">
      <w:pPr>
        <w:pStyle w:val="paragraph"/>
      </w:pPr>
      <w:r w:rsidRPr="00686C2A">
        <w:tab/>
        <w:t>(b)</w:t>
      </w:r>
      <w:r w:rsidRPr="00686C2A">
        <w:tab/>
        <w:t>about the external dispute resolution system that covers complaints by eligible persons; and</w:t>
      </w:r>
    </w:p>
    <w:p w:rsidR="00BA4300" w:rsidRPr="00686C2A" w:rsidRDefault="00BA4300" w:rsidP="00BA4300">
      <w:pPr>
        <w:pStyle w:val="paragraph"/>
      </w:pPr>
      <w:r w:rsidRPr="00686C2A">
        <w:tab/>
        <w:t>(c)</w:t>
      </w:r>
      <w:r w:rsidRPr="00686C2A">
        <w:tab/>
        <w:t>about how that system may be accessed.</w:t>
      </w:r>
    </w:p>
    <w:p w:rsidR="00BA4300" w:rsidRPr="00686C2A" w:rsidRDefault="00BA4300" w:rsidP="00BA4300">
      <w:pPr>
        <w:pStyle w:val="notetext"/>
      </w:pPr>
      <w:r w:rsidRPr="00686C2A">
        <w:t xml:space="preserve">Example: </w:t>
      </w:r>
      <w:r w:rsidRPr="00686C2A">
        <w:tab/>
        <w:t>Information about the Superannuation Complaints Tribunal.</w:t>
      </w:r>
    </w:p>
    <w:p w:rsidR="004A120E" w:rsidRPr="00686C2A" w:rsidRDefault="0018263A" w:rsidP="004A120E">
      <w:pPr>
        <w:pStyle w:val="ItemHead"/>
        <w:rPr>
          <w:rFonts w:cs="Arial"/>
        </w:rPr>
      </w:pPr>
      <w:r w:rsidRPr="00686C2A">
        <w:rPr>
          <w:rFonts w:cs="Arial"/>
        </w:rPr>
        <w:t>7</w:t>
      </w:r>
      <w:r w:rsidR="004A120E" w:rsidRPr="00686C2A">
        <w:rPr>
          <w:rFonts w:cs="Arial"/>
        </w:rPr>
        <w:t xml:space="preserve">  At the end of Chapter</w:t>
      </w:r>
      <w:r w:rsidR="00686C2A" w:rsidRPr="00686C2A">
        <w:rPr>
          <w:rFonts w:cs="Arial"/>
        </w:rPr>
        <w:t> </w:t>
      </w:r>
      <w:r w:rsidR="004A120E" w:rsidRPr="00686C2A">
        <w:rPr>
          <w:rFonts w:cs="Arial"/>
        </w:rPr>
        <w:t>10</w:t>
      </w:r>
    </w:p>
    <w:p w:rsidR="004A120E" w:rsidRPr="00686C2A" w:rsidRDefault="004A120E" w:rsidP="004A120E">
      <w:pPr>
        <w:pStyle w:val="Item"/>
      </w:pPr>
      <w:r w:rsidRPr="00686C2A">
        <w:t>Add:</w:t>
      </w:r>
    </w:p>
    <w:p w:rsidR="004A120E" w:rsidRPr="00686C2A" w:rsidRDefault="004A120E" w:rsidP="004A120E">
      <w:pPr>
        <w:pStyle w:val="ActHead2"/>
      </w:pPr>
      <w:bookmarkStart w:id="17" w:name="f_Check_Lines_above"/>
      <w:bookmarkStart w:id="18" w:name="_Toc359591512"/>
      <w:bookmarkEnd w:id="17"/>
      <w:r w:rsidRPr="00686C2A">
        <w:rPr>
          <w:rStyle w:val="CharPartNo"/>
        </w:rPr>
        <w:lastRenderedPageBreak/>
        <w:t>Part</w:t>
      </w:r>
      <w:r w:rsidR="00686C2A" w:rsidRPr="00686C2A">
        <w:rPr>
          <w:rStyle w:val="CharPartNo"/>
        </w:rPr>
        <w:t> </w:t>
      </w:r>
      <w:r w:rsidRPr="00686C2A">
        <w:rPr>
          <w:rStyle w:val="CharPartNo"/>
        </w:rPr>
        <w:t>10.19</w:t>
      </w:r>
      <w:r w:rsidRPr="00686C2A">
        <w:t>—</w:t>
      </w:r>
      <w:r w:rsidRPr="00686C2A">
        <w:rPr>
          <w:rStyle w:val="CharPartText"/>
        </w:rPr>
        <w:t xml:space="preserve">Transitional matters relating to </w:t>
      </w:r>
      <w:proofErr w:type="spellStart"/>
      <w:r w:rsidRPr="00686C2A">
        <w:rPr>
          <w:rStyle w:val="CharPartText"/>
        </w:rPr>
        <w:t>MySuper</w:t>
      </w:r>
      <w:proofErr w:type="spellEnd"/>
      <w:r w:rsidRPr="00686C2A">
        <w:rPr>
          <w:rStyle w:val="CharPartText"/>
        </w:rPr>
        <w:t xml:space="preserve"> measures</w:t>
      </w:r>
      <w:bookmarkEnd w:id="18"/>
    </w:p>
    <w:p w:rsidR="00F00F50" w:rsidRPr="00686C2A" w:rsidRDefault="00F00F50" w:rsidP="00F00F50">
      <w:pPr>
        <w:pStyle w:val="Header"/>
      </w:pPr>
      <w:r w:rsidRPr="00686C2A">
        <w:rPr>
          <w:rStyle w:val="CharDivNo"/>
        </w:rPr>
        <w:t xml:space="preserve"> </w:t>
      </w:r>
      <w:r w:rsidRPr="00686C2A">
        <w:rPr>
          <w:rStyle w:val="CharDivText"/>
        </w:rPr>
        <w:t xml:space="preserve"> </w:t>
      </w:r>
    </w:p>
    <w:p w:rsidR="004A120E" w:rsidRPr="00686C2A" w:rsidRDefault="004A120E" w:rsidP="004A120E">
      <w:pPr>
        <w:pStyle w:val="ActHead5"/>
      </w:pPr>
      <w:bookmarkStart w:id="19" w:name="_Toc359591513"/>
      <w:r w:rsidRPr="00686C2A">
        <w:rPr>
          <w:rStyle w:val="CharSectno"/>
        </w:rPr>
        <w:t>10.19.01</w:t>
      </w:r>
      <w:r w:rsidRPr="00686C2A">
        <w:t xml:space="preserve">  Changes to product disclosure statements and periodic statements</w:t>
      </w:r>
      <w:bookmarkEnd w:id="19"/>
    </w:p>
    <w:p w:rsidR="00273C67" w:rsidRPr="00686C2A" w:rsidRDefault="004A120E" w:rsidP="00273C67">
      <w:pPr>
        <w:pStyle w:val="subsection"/>
      </w:pPr>
      <w:r w:rsidRPr="00686C2A">
        <w:tab/>
        <w:t>(1)</w:t>
      </w:r>
      <w:r w:rsidRPr="00686C2A">
        <w:tab/>
        <w:t>The amendments made by items</w:t>
      </w:r>
      <w:r w:rsidR="00686C2A" w:rsidRPr="00686C2A">
        <w:t> </w:t>
      </w:r>
      <w:r w:rsidR="007C43EA" w:rsidRPr="00686C2A">
        <w:t>7</w:t>
      </w:r>
      <w:r w:rsidRPr="00686C2A">
        <w:t xml:space="preserve"> to </w:t>
      </w:r>
      <w:r w:rsidR="00372934" w:rsidRPr="00686C2A">
        <w:t>6</w:t>
      </w:r>
      <w:r w:rsidR="00DC7F31" w:rsidRPr="00686C2A">
        <w:t>8</w:t>
      </w:r>
      <w:r w:rsidRPr="00686C2A">
        <w:t xml:space="preserve"> and </w:t>
      </w:r>
      <w:r w:rsidR="00DC7F31" w:rsidRPr="00686C2A">
        <w:t>70</w:t>
      </w:r>
      <w:r w:rsidRPr="00686C2A">
        <w:t xml:space="preserve"> to </w:t>
      </w:r>
      <w:r w:rsidR="00372934" w:rsidRPr="00686C2A">
        <w:t>8</w:t>
      </w:r>
      <w:r w:rsidR="00DC7F31" w:rsidRPr="00686C2A">
        <w:t>6</w:t>
      </w:r>
      <w:r w:rsidRPr="00686C2A">
        <w:t xml:space="preserve"> of Schedule</w:t>
      </w:r>
      <w:r w:rsidR="00686C2A" w:rsidRPr="00686C2A">
        <w:t> </w:t>
      </w:r>
      <w:r w:rsidRPr="00686C2A">
        <w:t xml:space="preserve">1 to the Superannuation </w:t>
      </w:r>
      <w:r w:rsidRPr="00686C2A">
        <w:rPr>
          <w:i/>
        </w:rPr>
        <w:t>Legislation Amendment (</w:t>
      </w:r>
      <w:proofErr w:type="spellStart"/>
      <w:r w:rsidRPr="00686C2A">
        <w:rPr>
          <w:i/>
        </w:rPr>
        <w:t>MySuper</w:t>
      </w:r>
      <w:proofErr w:type="spellEnd"/>
      <w:r w:rsidRPr="00686C2A">
        <w:rPr>
          <w:i/>
        </w:rPr>
        <w:t xml:space="preserve"> Measures) Regulation</w:t>
      </w:r>
      <w:r w:rsidR="00686C2A" w:rsidRPr="00686C2A">
        <w:rPr>
          <w:i/>
        </w:rPr>
        <w:t> </w:t>
      </w:r>
      <w:r w:rsidRPr="00686C2A">
        <w:rPr>
          <w:i/>
        </w:rPr>
        <w:t xml:space="preserve">2013 </w:t>
      </w:r>
      <w:r w:rsidRPr="00686C2A">
        <w:t xml:space="preserve">(the </w:t>
      </w:r>
      <w:r w:rsidRPr="00686C2A">
        <w:rPr>
          <w:b/>
          <w:i/>
        </w:rPr>
        <w:t>amending items</w:t>
      </w:r>
      <w:r w:rsidRPr="00686C2A">
        <w:t>) apply to</w:t>
      </w:r>
      <w:r w:rsidR="00273C67" w:rsidRPr="00686C2A">
        <w:t>:</w:t>
      </w:r>
    </w:p>
    <w:p w:rsidR="00273C67" w:rsidRPr="00686C2A" w:rsidRDefault="00273C67" w:rsidP="00273C67">
      <w:pPr>
        <w:pStyle w:val="paragraph"/>
      </w:pPr>
      <w:r w:rsidRPr="00686C2A">
        <w:tab/>
        <w:t>(a)</w:t>
      </w:r>
      <w:r w:rsidRPr="00686C2A">
        <w:tab/>
      </w:r>
      <w:r w:rsidR="004A120E" w:rsidRPr="00686C2A">
        <w:t>Product Disclosure Statements given</w:t>
      </w:r>
      <w:r w:rsidRPr="00686C2A">
        <w:t>:</w:t>
      </w:r>
    </w:p>
    <w:p w:rsidR="00273C67" w:rsidRPr="00686C2A" w:rsidRDefault="00273C67" w:rsidP="00273C67">
      <w:pPr>
        <w:pStyle w:val="paragraphsub"/>
      </w:pPr>
      <w:r w:rsidRPr="00686C2A">
        <w:tab/>
        <w:t>(</w:t>
      </w:r>
      <w:proofErr w:type="spellStart"/>
      <w:r w:rsidRPr="00686C2A">
        <w:t>i</w:t>
      </w:r>
      <w:proofErr w:type="spellEnd"/>
      <w:r w:rsidRPr="00686C2A">
        <w:t>)</w:t>
      </w:r>
      <w:r w:rsidRPr="00686C2A">
        <w:tab/>
        <w:t xml:space="preserve">for a </w:t>
      </w:r>
      <w:r w:rsidR="00A47039" w:rsidRPr="00686C2A">
        <w:t>superannuation</w:t>
      </w:r>
      <w:r w:rsidRPr="00686C2A">
        <w:t xml:space="preserve"> product—</w:t>
      </w:r>
      <w:r w:rsidR="004A120E" w:rsidRPr="00686C2A">
        <w:t xml:space="preserve">on or after </w:t>
      </w:r>
      <w:r w:rsidRPr="00686C2A">
        <w:t>3</w:t>
      </w:r>
      <w:r w:rsidR="004A120E" w:rsidRPr="00686C2A">
        <w:t>1</w:t>
      </w:r>
      <w:r w:rsidR="00686C2A" w:rsidRPr="00686C2A">
        <w:t> </w:t>
      </w:r>
      <w:r w:rsidR="008453BF" w:rsidRPr="00686C2A">
        <w:t>December</w:t>
      </w:r>
      <w:r w:rsidRPr="00686C2A">
        <w:t xml:space="preserve"> 2</w:t>
      </w:r>
      <w:r w:rsidR="004A120E" w:rsidRPr="00686C2A">
        <w:t xml:space="preserve">013; </w:t>
      </w:r>
      <w:r w:rsidRPr="00686C2A">
        <w:t>or</w:t>
      </w:r>
    </w:p>
    <w:p w:rsidR="004A120E" w:rsidRPr="00686C2A" w:rsidRDefault="00273C67" w:rsidP="00273C67">
      <w:pPr>
        <w:pStyle w:val="paragraphsub"/>
      </w:pPr>
      <w:r w:rsidRPr="00686C2A">
        <w:tab/>
        <w:t>(ii)</w:t>
      </w:r>
      <w:r w:rsidRPr="00686C2A">
        <w:tab/>
        <w:t xml:space="preserve">for a managed investment </w:t>
      </w:r>
      <w:r w:rsidR="00A47039" w:rsidRPr="00686C2A">
        <w:t>product</w:t>
      </w:r>
      <w:r w:rsidRPr="00686C2A">
        <w:t>—on or after 1</w:t>
      </w:r>
      <w:r w:rsidR="00686C2A" w:rsidRPr="00686C2A">
        <w:t> </w:t>
      </w:r>
      <w:r w:rsidRPr="00686C2A">
        <w:t>July 2014; and</w:t>
      </w:r>
    </w:p>
    <w:p w:rsidR="00273C67" w:rsidRPr="00686C2A" w:rsidRDefault="00273C67" w:rsidP="00273C67">
      <w:pPr>
        <w:pStyle w:val="paragraph"/>
      </w:pPr>
      <w:r w:rsidRPr="00686C2A">
        <w:tab/>
        <w:t>(b)</w:t>
      </w:r>
      <w:r w:rsidRPr="00686C2A">
        <w:tab/>
      </w:r>
      <w:r w:rsidR="004A120E" w:rsidRPr="00686C2A">
        <w:t>periodic statements given under section</w:t>
      </w:r>
      <w:r w:rsidR="00686C2A" w:rsidRPr="00686C2A">
        <w:t> </w:t>
      </w:r>
      <w:r w:rsidR="004A120E" w:rsidRPr="00686C2A">
        <w:t>1017D of the Act in relation to reporting periods ending</w:t>
      </w:r>
      <w:r w:rsidRPr="00686C2A">
        <w:t>:</w:t>
      </w:r>
    </w:p>
    <w:p w:rsidR="004A120E" w:rsidRPr="00686C2A" w:rsidRDefault="00273C67" w:rsidP="00273C67">
      <w:pPr>
        <w:pStyle w:val="paragraphsub"/>
      </w:pPr>
      <w:r w:rsidRPr="00686C2A">
        <w:tab/>
        <w:t>(</w:t>
      </w:r>
      <w:proofErr w:type="spellStart"/>
      <w:r w:rsidRPr="00686C2A">
        <w:t>i</w:t>
      </w:r>
      <w:proofErr w:type="spellEnd"/>
      <w:r w:rsidRPr="00686C2A">
        <w:t>)</w:t>
      </w:r>
      <w:r w:rsidRPr="00686C2A">
        <w:tab/>
        <w:t xml:space="preserve">for a </w:t>
      </w:r>
      <w:r w:rsidR="00A47039" w:rsidRPr="00686C2A">
        <w:t xml:space="preserve">superannuation </w:t>
      </w:r>
      <w:r w:rsidRPr="00686C2A">
        <w:t>product—</w:t>
      </w:r>
      <w:r w:rsidR="004A120E" w:rsidRPr="00686C2A">
        <w:t xml:space="preserve">on or after </w:t>
      </w:r>
      <w:r w:rsidRPr="00686C2A">
        <w:t>3</w:t>
      </w:r>
      <w:r w:rsidR="004A120E" w:rsidRPr="00686C2A">
        <w:t>1</w:t>
      </w:r>
      <w:r w:rsidR="00686C2A" w:rsidRPr="00686C2A">
        <w:t> </w:t>
      </w:r>
      <w:r w:rsidR="008453BF" w:rsidRPr="00686C2A">
        <w:t>December</w:t>
      </w:r>
      <w:r w:rsidRPr="00686C2A">
        <w:t xml:space="preserve"> </w:t>
      </w:r>
      <w:r w:rsidR="004A120E" w:rsidRPr="00686C2A">
        <w:t>2013</w:t>
      </w:r>
      <w:r w:rsidRPr="00686C2A">
        <w:t>; or</w:t>
      </w:r>
    </w:p>
    <w:p w:rsidR="00273C67" w:rsidRPr="00686C2A" w:rsidRDefault="00273C67" w:rsidP="00273C67">
      <w:pPr>
        <w:pStyle w:val="paragraphsub"/>
      </w:pPr>
      <w:r w:rsidRPr="00686C2A">
        <w:tab/>
        <w:t>(ii)</w:t>
      </w:r>
      <w:r w:rsidRPr="00686C2A">
        <w:tab/>
        <w:t xml:space="preserve">for a managed investment </w:t>
      </w:r>
      <w:r w:rsidR="00A47039" w:rsidRPr="00686C2A">
        <w:t>product</w:t>
      </w:r>
      <w:r w:rsidRPr="00686C2A">
        <w:t>—on or after 1</w:t>
      </w:r>
      <w:r w:rsidR="00686C2A" w:rsidRPr="00686C2A">
        <w:t> </w:t>
      </w:r>
      <w:r w:rsidRPr="00686C2A">
        <w:t>July 2014.</w:t>
      </w:r>
    </w:p>
    <w:p w:rsidR="004A120E" w:rsidRPr="00686C2A" w:rsidRDefault="004A120E" w:rsidP="004A120E">
      <w:pPr>
        <w:pStyle w:val="subsection"/>
      </w:pPr>
      <w:r w:rsidRPr="00686C2A">
        <w:tab/>
        <w:t>(2)</w:t>
      </w:r>
      <w:r w:rsidRPr="00686C2A">
        <w:tab/>
        <w:t>If:</w:t>
      </w:r>
    </w:p>
    <w:p w:rsidR="004A120E" w:rsidRPr="00686C2A" w:rsidRDefault="004A120E" w:rsidP="004A120E">
      <w:pPr>
        <w:pStyle w:val="paragraph"/>
      </w:pPr>
      <w:r w:rsidRPr="00686C2A">
        <w:tab/>
        <w:t>(a)</w:t>
      </w:r>
      <w:r w:rsidRPr="00686C2A">
        <w:tab/>
        <w:t>a Product Disclosure Statement is given during the transition period; and</w:t>
      </w:r>
    </w:p>
    <w:p w:rsidR="004A120E" w:rsidRPr="00686C2A" w:rsidRDefault="004A120E" w:rsidP="004A120E">
      <w:pPr>
        <w:pStyle w:val="paragraph"/>
      </w:pPr>
      <w:r w:rsidRPr="00686C2A">
        <w:tab/>
        <w:t>(b)</w:t>
      </w:r>
      <w:r w:rsidRPr="00686C2A">
        <w:tab/>
        <w:t>were the amendments made by the amending items to apply during the transition period, the Product Disclosure Statement would comply with Schedule</w:t>
      </w:r>
      <w:r w:rsidR="00686C2A" w:rsidRPr="00686C2A">
        <w:t> </w:t>
      </w:r>
      <w:r w:rsidRPr="00686C2A">
        <w:t>10 or Schedule</w:t>
      </w:r>
      <w:r w:rsidR="00686C2A" w:rsidRPr="00686C2A">
        <w:t> </w:t>
      </w:r>
      <w:r w:rsidRPr="00686C2A">
        <w:t>10D (as the case requires);</w:t>
      </w:r>
    </w:p>
    <w:p w:rsidR="004A120E" w:rsidRPr="00686C2A" w:rsidRDefault="004A120E" w:rsidP="004A120E">
      <w:pPr>
        <w:pStyle w:val="subsection2"/>
      </w:pPr>
      <w:r w:rsidRPr="00686C2A">
        <w:t>the Product Disclosure Statement is taken to comply with Schedule</w:t>
      </w:r>
      <w:r w:rsidR="00686C2A" w:rsidRPr="00686C2A">
        <w:t> </w:t>
      </w:r>
      <w:r w:rsidRPr="00686C2A">
        <w:t>10 or Schedule</w:t>
      </w:r>
      <w:r w:rsidR="00686C2A" w:rsidRPr="00686C2A">
        <w:t> </w:t>
      </w:r>
      <w:r w:rsidRPr="00686C2A">
        <w:t>10D (as the case requires).</w:t>
      </w:r>
    </w:p>
    <w:p w:rsidR="004A120E" w:rsidRPr="00686C2A" w:rsidRDefault="004A120E" w:rsidP="004A120E">
      <w:pPr>
        <w:pStyle w:val="subsection"/>
      </w:pPr>
      <w:r w:rsidRPr="00686C2A">
        <w:tab/>
        <w:t>(3)</w:t>
      </w:r>
      <w:r w:rsidRPr="00686C2A">
        <w:tab/>
        <w:t>If:</w:t>
      </w:r>
    </w:p>
    <w:p w:rsidR="004A120E" w:rsidRPr="00686C2A" w:rsidRDefault="004A120E" w:rsidP="004A120E">
      <w:pPr>
        <w:pStyle w:val="paragraph"/>
      </w:pPr>
      <w:r w:rsidRPr="00686C2A">
        <w:tab/>
        <w:t>(a)</w:t>
      </w:r>
      <w:r w:rsidRPr="00686C2A">
        <w:tab/>
        <w:t>a periodic statement under section</w:t>
      </w:r>
      <w:r w:rsidR="00686C2A" w:rsidRPr="00686C2A">
        <w:t> </w:t>
      </w:r>
      <w:r w:rsidRPr="00686C2A">
        <w:t>1017D of the Act is given during the transition period; and</w:t>
      </w:r>
    </w:p>
    <w:p w:rsidR="004A120E" w:rsidRPr="00686C2A" w:rsidRDefault="004A120E" w:rsidP="004A120E">
      <w:pPr>
        <w:pStyle w:val="paragraph"/>
      </w:pPr>
      <w:r w:rsidRPr="00686C2A">
        <w:tab/>
        <w:t>(b)</w:t>
      </w:r>
      <w:r w:rsidRPr="00686C2A">
        <w:tab/>
        <w:t>were the amendments made by the amending items to apply during the transition period, the periodic statement would comply with Schedule</w:t>
      </w:r>
      <w:r w:rsidR="00686C2A" w:rsidRPr="00686C2A">
        <w:t> </w:t>
      </w:r>
      <w:r w:rsidRPr="00686C2A">
        <w:t>10;</w:t>
      </w:r>
    </w:p>
    <w:p w:rsidR="004A120E" w:rsidRPr="00686C2A" w:rsidRDefault="004A120E" w:rsidP="004A120E">
      <w:pPr>
        <w:pStyle w:val="subsection2"/>
      </w:pPr>
      <w:r w:rsidRPr="00686C2A">
        <w:lastRenderedPageBreak/>
        <w:t>the periodic statement is taken to comply with the Schedule.</w:t>
      </w:r>
    </w:p>
    <w:p w:rsidR="004A120E" w:rsidRPr="00686C2A" w:rsidRDefault="004A120E" w:rsidP="004A120E">
      <w:pPr>
        <w:pStyle w:val="subsection"/>
      </w:pPr>
      <w:r w:rsidRPr="00686C2A">
        <w:tab/>
        <w:t>(4)</w:t>
      </w:r>
      <w:r w:rsidRPr="00686C2A">
        <w:tab/>
        <w:t xml:space="preserve">For the purposes of this regulation, the </w:t>
      </w:r>
      <w:r w:rsidRPr="00686C2A">
        <w:rPr>
          <w:b/>
          <w:i/>
        </w:rPr>
        <w:t xml:space="preserve">transition period </w:t>
      </w:r>
      <w:r w:rsidRPr="00686C2A">
        <w:t>is a period:</w:t>
      </w:r>
    </w:p>
    <w:p w:rsidR="004A120E" w:rsidRPr="00686C2A" w:rsidRDefault="004A120E" w:rsidP="004A120E">
      <w:pPr>
        <w:pStyle w:val="paragraph"/>
      </w:pPr>
      <w:r w:rsidRPr="00686C2A">
        <w:tab/>
        <w:t>(a)</w:t>
      </w:r>
      <w:r w:rsidRPr="00686C2A">
        <w:tab/>
      </w:r>
      <w:r w:rsidR="00273C67" w:rsidRPr="00686C2A">
        <w:t xml:space="preserve">for a </w:t>
      </w:r>
      <w:r w:rsidR="00633E30" w:rsidRPr="00686C2A">
        <w:t>superannuation</w:t>
      </w:r>
      <w:r w:rsidR="00273C67" w:rsidRPr="00686C2A">
        <w:t xml:space="preserve"> product—</w:t>
      </w:r>
      <w:r w:rsidRPr="00686C2A">
        <w:t>beginning on 1</w:t>
      </w:r>
      <w:r w:rsidR="00686C2A" w:rsidRPr="00686C2A">
        <w:t> </w:t>
      </w:r>
      <w:r w:rsidRPr="00686C2A">
        <w:t>July 2013</w:t>
      </w:r>
      <w:r w:rsidR="00273C67" w:rsidRPr="00686C2A">
        <w:t xml:space="preserve"> and </w:t>
      </w:r>
      <w:r w:rsidRPr="00686C2A">
        <w:t>ending on 3</w:t>
      </w:r>
      <w:r w:rsidR="00E00DCC" w:rsidRPr="00686C2A">
        <w:t>0</w:t>
      </w:r>
      <w:r w:rsidR="00686C2A" w:rsidRPr="00686C2A">
        <w:t> </w:t>
      </w:r>
      <w:r w:rsidR="00EC421A" w:rsidRPr="00686C2A">
        <w:t>December</w:t>
      </w:r>
      <w:r w:rsidRPr="00686C2A">
        <w:t xml:space="preserve"> 2013</w:t>
      </w:r>
      <w:r w:rsidR="00273C67" w:rsidRPr="00686C2A">
        <w:t>; or</w:t>
      </w:r>
    </w:p>
    <w:p w:rsidR="00273C67" w:rsidRPr="00686C2A" w:rsidRDefault="00273C67" w:rsidP="00273C67">
      <w:pPr>
        <w:pStyle w:val="paragraph"/>
      </w:pPr>
      <w:r w:rsidRPr="00686C2A">
        <w:tab/>
        <w:t>(b)</w:t>
      </w:r>
      <w:r w:rsidRPr="00686C2A">
        <w:tab/>
        <w:t xml:space="preserve">for a managed investment </w:t>
      </w:r>
      <w:r w:rsidR="00633E30" w:rsidRPr="00686C2A">
        <w:t>product</w:t>
      </w:r>
      <w:r w:rsidRPr="00686C2A">
        <w:t>—beginning on 1</w:t>
      </w:r>
      <w:r w:rsidR="00686C2A" w:rsidRPr="00686C2A">
        <w:t> </w:t>
      </w:r>
      <w:r w:rsidRPr="00686C2A">
        <w:t xml:space="preserve">July 2013 and </w:t>
      </w:r>
      <w:r w:rsidR="000D0C1E" w:rsidRPr="00686C2A">
        <w:t>ending on 30</w:t>
      </w:r>
      <w:r w:rsidR="00686C2A" w:rsidRPr="00686C2A">
        <w:t> </w:t>
      </w:r>
      <w:r w:rsidR="000D0C1E" w:rsidRPr="00686C2A">
        <w:t>June 2014.</w:t>
      </w:r>
    </w:p>
    <w:p w:rsidR="003645DE" w:rsidRPr="00686C2A" w:rsidRDefault="0018263A" w:rsidP="003645DE">
      <w:pPr>
        <w:pStyle w:val="ItemHead"/>
        <w:rPr>
          <w:rFonts w:cs="Arial"/>
        </w:rPr>
      </w:pPr>
      <w:r w:rsidRPr="00686C2A">
        <w:rPr>
          <w:rFonts w:cs="Arial"/>
        </w:rPr>
        <w:t>8</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10</w:t>
      </w:r>
    </w:p>
    <w:p w:rsidR="003645DE" w:rsidRPr="00686C2A" w:rsidRDefault="003645DE" w:rsidP="003645DE">
      <w:pPr>
        <w:pStyle w:val="Item"/>
      </w:pPr>
      <w:r w:rsidRPr="00686C2A">
        <w:t>Insert:</w:t>
      </w:r>
    </w:p>
    <w:p w:rsidR="003645DE" w:rsidRPr="00686C2A" w:rsidRDefault="003645DE" w:rsidP="003645DE">
      <w:pPr>
        <w:pStyle w:val="Definition"/>
      </w:pPr>
      <w:r w:rsidRPr="00686C2A">
        <w:rPr>
          <w:b/>
          <w:i/>
        </w:rPr>
        <w:t>activity fee</w:t>
      </w:r>
      <w:r w:rsidRPr="00686C2A">
        <w:t>, for a superannuation product, has the meaning given by subsection</w:t>
      </w:r>
      <w:r w:rsidR="00686C2A" w:rsidRPr="00686C2A">
        <w:t> </w:t>
      </w:r>
      <w:r w:rsidRPr="00686C2A">
        <w:t>29V(7) of the SIS Act.</w:t>
      </w:r>
    </w:p>
    <w:p w:rsidR="003645DE" w:rsidRPr="00686C2A" w:rsidRDefault="0018263A" w:rsidP="003645DE">
      <w:pPr>
        <w:pStyle w:val="ItemHead"/>
        <w:rPr>
          <w:rFonts w:cs="Arial"/>
        </w:rPr>
      </w:pPr>
      <w:r w:rsidRPr="00686C2A">
        <w:rPr>
          <w:rFonts w:cs="Arial"/>
        </w:rPr>
        <w:t>9</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10</w:t>
      </w:r>
    </w:p>
    <w:p w:rsidR="003645DE" w:rsidRPr="00686C2A" w:rsidRDefault="003645DE" w:rsidP="003645DE">
      <w:pPr>
        <w:pStyle w:val="Item"/>
      </w:pPr>
      <w:r w:rsidRPr="00686C2A">
        <w:t>Insert:</w:t>
      </w:r>
    </w:p>
    <w:p w:rsidR="003645DE" w:rsidRPr="00686C2A" w:rsidRDefault="003645DE" w:rsidP="003645DE">
      <w:pPr>
        <w:pStyle w:val="Definition"/>
      </w:pPr>
      <w:r w:rsidRPr="00686C2A">
        <w:rPr>
          <w:b/>
          <w:i/>
        </w:rPr>
        <w:t>administration fee</w:t>
      </w:r>
      <w:r w:rsidRPr="00686C2A">
        <w:t>, for a superannuation product, has the meaning given by subsection</w:t>
      </w:r>
      <w:r w:rsidR="00686C2A" w:rsidRPr="00686C2A">
        <w:t> </w:t>
      </w:r>
      <w:r w:rsidRPr="00686C2A">
        <w:t>29V(2) of the SIS Act.</w:t>
      </w:r>
    </w:p>
    <w:p w:rsidR="003645DE" w:rsidRPr="00686C2A" w:rsidRDefault="0018263A" w:rsidP="003645DE">
      <w:pPr>
        <w:pStyle w:val="ItemHead"/>
        <w:rPr>
          <w:rFonts w:cs="Arial"/>
        </w:rPr>
      </w:pPr>
      <w:r w:rsidRPr="00686C2A">
        <w:rPr>
          <w:rFonts w:cs="Arial"/>
        </w:rPr>
        <w:t>10</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10</w:t>
      </w:r>
    </w:p>
    <w:p w:rsidR="003645DE" w:rsidRPr="00686C2A" w:rsidRDefault="003645DE" w:rsidP="003645DE">
      <w:pPr>
        <w:pStyle w:val="Item"/>
      </w:pPr>
      <w:r w:rsidRPr="00686C2A">
        <w:t>Insert:</w:t>
      </w:r>
    </w:p>
    <w:p w:rsidR="003645DE" w:rsidRPr="00686C2A" w:rsidRDefault="003645DE" w:rsidP="003645DE">
      <w:pPr>
        <w:pStyle w:val="Definition"/>
      </w:pPr>
      <w:r w:rsidRPr="00686C2A">
        <w:rPr>
          <w:b/>
          <w:i/>
        </w:rPr>
        <w:t>advice fee</w:t>
      </w:r>
      <w:r w:rsidRPr="00686C2A">
        <w:t>:</w:t>
      </w:r>
    </w:p>
    <w:p w:rsidR="003645DE" w:rsidRPr="00686C2A" w:rsidRDefault="003645DE" w:rsidP="003645DE">
      <w:pPr>
        <w:pStyle w:val="paragraph"/>
      </w:pPr>
      <w:r w:rsidRPr="00686C2A">
        <w:tab/>
        <w:t>(a)</w:t>
      </w:r>
      <w:r w:rsidRPr="00686C2A">
        <w:tab/>
        <w:t>for a superannuation product—has the meaning given by subsection</w:t>
      </w:r>
      <w:r w:rsidR="00686C2A" w:rsidRPr="00686C2A">
        <w:t> </w:t>
      </w:r>
      <w:r w:rsidRPr="00686C2A">
        <w:t>29V(8) of the SIS Act; and</w:t>
      </w:r>
    </w:p>
    <w:p w:rsidR="003645DE" w:rsidRPr="00686C2A" w:rsidRDefault="003645DE" w:rsidP="003645DE">
      <w:pPr>
        <w:pStyle w:val="paragraph"/>
      </w:pPr>
      <w:r w:rsidRPr="00686C2A">
        <w:tab/>
        <w:t>(b)</w:t>
      </w:r>
      <w:r w:rsidRPr="00686C2A">
        <w:tab/>
        <w:t>for a managed investment product—means an amount that is:</w:t>
      </w:r>
    </w:p>
    <w:p w:rsidR="003645DE" w:rsidRPr="00686C2A" w:rsidRDefault="003645DE" w:rsidP="003645DE">
      <w:pPr>
        <w:pStyle w:val="paragraphsub"/>
      </w:pPr>
      <w:r w:rsidRPr="00686C2A">
        <w:tab/>
        <w:t>(</w:t>
      </w:r>
      <w:proofErr w:type="spellStart"/>
      <w:r w:rsidRPr="00686C2A">
        <w:t>i</w:t>
      </w:r>
      <w:proofErr w:type="spellEnd"/>
      <w:r w:rsidRPr="00686C2A">
        <w:t>)</w:t>
      </w:r>
      <w:r w:rsidRPr="00686C2A">
        <w:tab/>
        <w:t>paid or payable to a financial adviser for financial product advice to a retail client or product holder about an investment; and</w:t>
      </w:r>
    </w:p>
    <w:p w:rsidR="003645DE" w:rsidRPr="00686C2A" w:rsidRDefault="003645DE" w:rsidP="003645DE">
      <w:pPr>
        <w:pStyle w:val="paragraphsub"/>
      </w:pPr>
      <w:r w:rsidRPr="00686C2A">
        <w:tab/>
        <w:t>(ii)</w:t>
      </w:r>
      <w:r w:rsidRPr="00686C2A">
        <w:tab/>
        <w:t>not included in a contribution fee, withdrawal fee, exit fee, establishment fee or management cost.</w:t>
      </w:r>
    </w:p>
    <w:p w:rsidR="003645DE" w:rsidRPr="00686C2A" w:rsidRDefault="0018263A" w:rsidP="003645DE">
      <w:pPr>
        <w:pStyle w:val="ItemHead"/>
        <w:rPr>
          <w:rFonts w:cs="Arial"/>
        </w:rPr>
      </w:pPr>
      <w:r w:rsidRPr="00686C2A">
        <w:rPr>
          <w:rFonts w:cs="Arial"/>
        </w:rPr>
        <w:t>11</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 xml:space="preserve">10 (definition of </w:t>
      </w:r>
      <w:r w:rsidR="003645DE" w:rsidRPr="00686C2A">
        <w:rPr>
          <w:rFonts w:cs="Arial"/>
          <w:i/>
        </w:rPr>
        <w:t>adviser service fee</w:t>
      </w:r>
      <w:r w:rsidR="003645DE" w:rsidRPr="00686C2A">
        <w:rPr>
          <w:rFonts w:cs="Arial"/>
        </w:rPr>
        <w:t>)</w:t>
      </w:r>
    </w:p>
    <w:p w:rsidR="003645DE" w:rsidRPr="00686C2A" w:rsidRDefault="003645DE" w:rsidP="003645DE">
      <w:pPr>
        <w:pStyle w:val="Item"/>
      </w:pPr>
      <w:r w:rsidRPr="00686C2A">
        <w:t>Repeal the definition.</w:t>
      </w:r>
    </w:p>
    <w:p w:rsidR="003645DE" w:rsidRPr="00686C2A" w:rsidRDefault="0018263A" w:rsidP="003645DE">
      <w:pPr>
        <w:pStyle w:val="ItemHead"/>
        <w:rPr>
          <w:rFonts w:cs="Arial"/>
        </w:rPr>
      </w:pPr>
      <w:r w:rsidRPr="00686C2A">
        <w:rPr>
          <w:rFonts w:cs="Arial"/>
        </w:rPr>
        <w:lastRenderedPageBreak/>
        <w:t>12</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 xml:space="preserve">10 (definition of </w:t>
      </w:r>
      <w:r w:rsidR="003645DE" w:rsidRPr="00686C2A">
        <w:rPr>
          <w:rFonts w:cs="Arial"/>
          <w:i/>
        </w:rPr>
        <w:t>buy</w:t>
      </w:r>
      <w:r w:rsidR="00686C2A">
        <w:rPr>
          <w:rFonts w:cs="Arial"/>
          <w:i/>
        </w:rPr>
        <w:noBreakHyphen/>
      </w:r>
      <w:r w:rsidR="003645DE" w:rsidRPr="00686C2A">
        <w:rPr>
          <w:rFonts w:cs="Arial"/>
          <w:i/>
        </w:rPr>
        <w:t>sell spread</w:t>
      </w:r>
      <w:r w:rsidR="003645DE" w:rsidRPr="00686C2A">
        <w:rPr>
          <w:rFonts w:cs="Arial"/>
        </w:rPr>
        <w:t>)</w:t>
      </w:r>
    </w:p>
    <w:p w:rsidR="003645DE" w:rsidRPr="00686C2A" w:rsidRDefault="003645DE" w:rsidP="003645DE">
      <w:pPr>
        <w:pStyle w:val="Item"/>
      </w:pPr>
      <w:r w:rsidRPr="00686C2A">
        <w:t>Repeal the definition, substitute:</w:t>
      </w:r>
    </w:p>
    <w:p w:rsidR="003645DE" w:rsidRPr="00686C2A" w:rsidRDefault="003645DE" w:rsidP="003645DE">
      <w:pPr>
        <w:pStyle w:val="Definition"/>
      </w:pPr>
      <w:r w:rsidRPr="00686C2A">
        <w:rPr>
          <w:b/>
          <w:i/>
        </w:rPr>
        <w:t>buy</w:t>
      </w:r>
      <w:r w:rsidR="00686C2A">
        <w:rPr>
          <w:b/>
          <w:i/>
        </w:rPr>
        <w:noBreakHyphen/>
      </w:r>
      <w:r w:rsidRPr="00686C2A">
        <w:rPr>
          <w:b/>
          <w:i/>
        </w:rPr>
        <w:t>sell spread</w:t>
      </w:r>
      <w:r w:rsidRPr="00686C2A">
        <w:t>:</w:t>
      </w:r>
    </w:p>
    <w:p w:rsidR="003645DE" w:rsidRPr="00686C2A" w:rsidRDefault="003645DE" w:rsidP="003645DE">
      <w:pPr>
        <w:pStyle w:val="paragraph"/>
      </w:pPr>
      <w:r w:rsidRPr="00686C2A">
        <w:tab/>
        <w:t>(a)</w:t>
      </w:r>
      <w:r w:rsidRPr="00686C2A">
        <w:tab/>
        <w:t>for a superannuation product—has the meaning given by subsection</w:t>
      </w:r>
      <w:r w:rsidR="00686C2A" w:rsidRPr="00686C2A">
        <w:t> </w:t>
      </w:r>
      <w:r w:rsidRPr="00686C2A">
        <w:t>29V(4) of the SIS Act; or</w:t>
      </w:r>
    </w:p>
    <w:p w:rsidR="003645DE" w:rsidRPr="00686C2A" w:rsidRDefault="003645DE" w:rsidP="003645DE">
      <w:pPr>
        <w:pStyle w:val="paragraph"/>
      </w:pPr>
      <w:r w:rsidRPr="00686C2A">
        <w:tab/>
        <w:t>(b)</w:t>
      </w:r>
      <w:r w:rsidRPr="00686C2A">
        <w:tab/>
        <w:t>for a managed investment product—means an amount, deducted from the value of a financial product of a product holder, that represents an apportionment, among product holders, of the actual or estimated transaction costs incurred by the managed investment scheme.</w:t>
      </w:r>
    </w:p>
    <w:p w:rsidR="003645DE" w:rsidRPr="00686C2A" w:rsidRDefault="0018263A" w:rsidP="003645DE">
      <w:pPr>
        <w:pStyle w:val="ItemHead"/>
        <w:rPr>
          <w:rFonts w:cs="Arial"/>
        </w:rPr>
      </w:pPr>
      <w:r w:rsidRPr="00686C2A">
        <w:rPr>
          <w:rFonts w:cs="Arial"/>
        </w:rPr>
        <w:t>13</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 xml:space="preserve">10 (note to definition of </w:t>
      </w:r>
      <w:r w:rsidR="003645DE" w:rsidRPr="00686C2A">
        <w:rPr>
          <w:rFonts w:cs="Arial"/>
          <w:i/>
        </w:rPr>
        <w:t>distribution costs</w:t>
      </w:r>
      <w:r w:rsidR="003645DE" w:rsidRPr="00686C2A">
        <w:rPr>
          <w:rFonts w:cs="Arial"/>
        </w:rPr>
        <w:t>)</w:t>
      </w:r>
    </w:p>
    <w:p w:rsidR="003645DE" w:rsidRPr="00686C2A" w:rsidRDefault="003645DE" w:rsidP="003645DE">
      <w:pPr>
        <w:pStyle w:val="Item"/>
      </w:pPr>
      <w:r w:rsidRPr="00686C2A">
        <w:t xml:space="preserve">Omit </w:t>
      </w:r>
      <w:r w:rsidR="00A16431" w:rsidRPr="00686C2A">
        <w:t>“</w:t>
      </w:r>
      <w:r w:rsidRPr="00686C2A">
        <w:t>adviser service fee</w:t>
      </w:r>
      <w:r w:rsidR="00A16431" w:rsidRPr="00686C2A">
        <w:t>”</w:t>
      </w:r>
      <w:r w:rsidRPr="00686C2A">
        <w:t xml:space="preserve">, substitute </w:t>
      </w:r>
      <w:r w:rsidR="00A16431" w:rsidRPr="00686C2A">
        <w:t>“</w:t>
      </w:r>
      <w:r w:rsidRPr="00686C2A">
        <w:t>advice fee</w:t>
      </w:r>
      <w:r w:rsidR="00A16431" w:rsidRPr="00686C2A">
        <w:t>”</w:t>
      </w:r>
      <w:r w:rsidRPr="00686C2A">
        <w:t>.</w:t>
      </w:r>
    </w:p>
    <w:p w:rsidR="003645DE" w:rsidRPr="00686C2A" w:rsidRDefault="0018263A" w:rsidP="003645DE">
      <w:pPr>
        <w:pStyle w:val="ItemHead"/>
        <w:rPr>
          <w:rFonts w:cs="Arial"/>
        </w:rPr>
      </w:pPr>
      <w:r w:rsidRPr="00686C2A">
        <w:rPr>
          <w:rFonts w:cs="Arial"/>
        </w:rPr>
        <w:t>14</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10</w:t>
      </w:r>
    </w:p>
    <w:p w:rsidR="003645DE" w:rsidRPr="00686C2A" w:rsidRDefault="003645DE" w:rsidP="003645DE">
      <w:pPr>
        <w:pStyle w:val="Item"/>
      </w:pPr>
      <w:r w:rsidRPr="00686C2A">
        <w:t>Insert:</w:t>
      </w:r>
    </w:p>
    <w:p w:rsidR="003645DE" w:rsidRPr="00686C2A" w:rsidRDefault="003645DE" w:rsidP="003645DE">
      <w:pPr>
        <w:pStyle w:val="Definition"/>
      </w:pPr>
      <w:r w:rsidRPr="00686C2A">
        <w:rPr>
          <w:b/>
          <w:i/>
        </w:rPr>
        <w:t>exit fee</w:t>
      </w:r>
      <w:r w:rsidRPr="00686C2A">
        <w:t>:</w:t>
      </w:r>
    </w:p>
    <w:p w:rsidR="003645DE" w:rsidRPr="00686C2A" w:rsidRDefault="003645DE" w:rsidP="003645DE">
      <w:pPr>
        <w:pStyle w:val="paragraph"/>
      </w:pPr>
      <w:r w:rsidRPr="00686C2A">
        <w:tab/>
        <w:t>(a)</w:t>
      </w:r>
      <w:r w:rsidRPr="00686C2A">
        <w:tab/>
        <w:t>for a superannuation product—has the meaning given by subsection</w:t>
      </w:r>
      <w:r w:rsidR="00686C2A" w:rsidRPr="00686C2A">
        <w:t> </w:t>
      </w:r>
      <w:r w:rsidRPr="00686C2A">
        <w:t>29V(6) of the SIS Act; and</w:t>
      </w:r>
    </w:p>
    <w:p w:rsidR="003645DE" w:rsidRPr="00686C2A" w:rsidRDefault="003645DE" w:rsidP="003645DE">
      <w:pPr>
        <w:pStyle w:val="paragraph"/>
      </w:pPr>
      <w:r w:rsidRPr="00686C2A">
        <w:tab/>
        <w:t>(b)</w:t>
      </w:r>
      <w:r w:rsidRPr="00686C2A">
        <w:tab/>
        <w:t>for a managed investment product—means an amount paid or payable on the disposal of all interests held in the product.</w:t>
      </w:r>
    </w:p>
    <w:p w:rsidR="003645DE" w:rsidRPr="00686C2A" w:rsidRDefault="0018263A" w:rsidP="003645DE">
      <w:pPr>
        <w:pStyle w:val="ItemHead"/>
        <w:rPr>
          <w:rFonts w:cs="Arial"/>
          <w:noProof/>
        </w:rPr>
      </w:pPr>
      <w:r w:rsidRPr="00686C2A">
        <w:rPr>
          <w:rFonts w:cs="Arial"/>
          <w:noProof/>
        </w:rPr>
        <w:t>15</w:t>
      </w:r>
      <w:r w:rsidR="003645DE" w:rsidRPr="00686C2A">
        <w:rPr>
          <w:rFonts w:cs="Arial"/>
          <w:noProof/>
        </w:rPr>
        <w:t xml:space="preserve">  Clause</w:t>
      </w:r>
      <w:r w:rsidR="00686C2A" w:rsidRPr="00686C2A">
        <w:rPr>
          <w:rFonts w:cs="Arial"/>
          <w:noProof/>
        </w:rPr>
        <w:t> </w:t>
      </w:r>
      <w:r w:rsidR="003645DE" w:rsidRPr="00686C2A">
        <w:rPr>
          <w:rFonts w:cs="Arial"/>
          <w:noProof/>
        </w:rPr>
        <w:t>101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Insert:</w:t>
      </w:r>
    </w:p>
    <w:p w:rsidR="003645DE" w:rsidRPr="00686C2A" w:rsidRDefault="003645DE" w:rsidP="003645DE">
      <w:pPr>
        <w:pStyle w:val="Definition"/>
      </w:pPr>
      <w:r w:rsidRPr="00686C2A">
        <w:rPr>
          <w:b/>
          <w:i/>
        </w:rPr>
        <w:t>indirect cost</w:t>
      </w:r>
      <w:r w:rsidRPr="00686C2A">
        <w:t xml:space="preserve"> of a </w:t>
      </w:r>
      <w:proofErr w:type="spellStart"/>
      <w:r w:rsidRPr="00686C2A">
        <w:t>MySuper</w:t>
      </w:r>
      <w:proofErr w:type="spellEnd"/>
      <w:r w:rsidRPr="00686C2A">
        <w:t xml:space="preserve"> product or an investment option offered by a superannuation entity means any amount that:</w:t>
      </w:r>
    </w:p>
    <w:p w:rsidR="003645DE" w:rsidRPr="00686C2A" w:rsidRDefault="003645DE" w:rsidP="003645DE">
      <w:pPr>
        <w:pStyle w:val="paragraph"/>
      </w:pPr>
      <w:r w:rsidRPr="00686C2A">
        <w:tab/>
        <w:t>(a)</w:t>
      </w:r>
      <w:r w:rsidRPr="00686C2A">
        <w:tab/>
        <w:t xml:space="preserve">a trustee of the entity knows, or reasonably ought to know, will directly or indirectly reduce the return on the investment of a member of the entity in the </w:t>
      </w:r>
      <w:proofErr w:type="spellStart"/>
      <w:r w:rsidRPr="00686C2A">
        <w:t>MySuper</w:t>
      </w:r>
      <w:proofErr w:type="spellEnd"/>
      <w:r w:rsidRPr="00686C2A">
        <w:t xml:space="preserve"> product or investment option; and</w:t>
      </w:r>
    </w:p>
    <w:p w:rsidR="003645DE" w:rsidRPr="00686C2A" w:rsidRDefault="003645DE" w:rsidP="003645DE">
      <w:pPr>
        <w:pStyle w:val="paragraph"/>
      </w:pPr>
      <w:r w:rsidRPr="00686C2A">
        <w:tab/>
        <w:t>(b)</w:t>
      </w:r>
      <w:r w:rsidRPr="00686C2A">
        <w:tab/>
        <w:t>is not charged to the member as a fee.</w:t>
      </w:r>
    </w:p>
    <w:p w:rsidR="003645DE" w:rsidRPr="00686C2A" w:rsidRDefault="0018263A" w:rsidP="003645DE">
      <w:pPr>
        <w:pStyle w:val="ItemHead"/>
        <w:rPr>
          <w:rFonts w:cs="Arial"/>
        </w:rPr>
      </w:pPr>
      <w:r w:rsidRPr="00686C2A">
        <w:rPr>
          <w:rFonts w:cs="Arial"/>
        </w:rPr>
        <w:t>16</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10</w:t>
      </w:r>
    </w:p>
    <w:p w:rsidR="003645DE" w:rsidRPr="00686C2A" w:rsidRDefault="003645DE" w:rsidP="003645DE">
      <w:pPr>
        <w:pStyle w:val="Item"/>
      </w:pPr>
      <w:r w:rsidRPr="00686C2A">
        <w:t>Insert:</w:t>
      </w:r>
    </w:p>
    <w:p w:rsidR="003645DE" w:rsidRPr="00686C2A" w:rsidRDefault="003645DE" w:rsidP="003645DE">
      <w:pPr>
        <w:pStyle w:val="Definition"/>
      </w:pPr>
      <w:r w:rsidRPr="00686C2A">
        <w:rPr>
          <w:b/>
          <w:i/>
        </w:rPr>
        <w:lastRenderedPageBreak/>
        <w:t>insurance fee</w:t>
      </w:r>
      <w:r w:rsidRPr="00686C2A">
        <w:t>, for a superannuation product, has the meaning given by subsection</w:t>
      </w:r>
      <w:r w:rsidR="00686C2A" w:rsidRPr="00686C2A">
        <w:t> </w:t>
      </w:r>
      <w:r w:rsidRPr="00686C2A">
        <w:t>29V(9) of the SIS Act.</w:t>
      </w:r>
    </w:p>
    <w:p w:rsidR="003645DE" w:rsidRPr="00686C2A" w:rsidRDefault="0018263A" w:rsidP="003645DE">
      <w:pPr>
        <w:pStyle w:val="ItemHead"/>
        <w:rPr>
          <w:rFonts w:cs="Arial"/>
        </w:rPr>
      </w:pPr>
      <w:r w:rsidRPr="00686C2A">
        <w:rPr>
          <w:rFonts w:cs="Arial"/>
        </w:rPr>
        <w:t>17</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10</w:t>
      </w:r>
    </w:p>
    <w:p w:rsidR="003645DE" w:rsidRPr="00686C2A" w:rsidRDefault="003645DE" w:rsidP="003645DE">
      <w:pPr>
        <w:pStyle w:val="Item"/>
      </w:pPr>
      <w:r w:rsidRPr="00686C2A">
        <w:t>Insert:</w:t>
      </w:r>
    </w:p>
    <w:p w:rsidR="003645DE" w:rsidRPr="00686C2A" w:rsidRDefault="003645DE" w:rsidP="003645DE">
      <w:pPr>
        <w:pStyle w:val="Definition"/>
      </w:pPr>
      <w:r w:rsidRPr="00686C2A">
        <w:rPr>
          <w:b/>
          <w:i/>
        </w:rPr>
        <w:t>investment fee</w:t>
      </w:r>
      <w:r w:rsidRPr="00686C2A">
        <w:t>, for a superannuation product, has the meaning given by subsection</w:t>
      </w:r>
      <w:r w:rsidR="00686C2A" w:rsidRPr="00686C2A">
        <w:t> </w:t>
      </w:r>
      <w:r w:rsidRPr="00686C2A">
        <w:t>29V(3) of the SIS Act.</w:t>
      </w:r>
    </w:p>
    <w:p w:rsidR="005B190F" w:rsidRPr="00686C2A" w:rsidRDefault="0018263A" w:rsidP="005B190F">
      <w:pPr>
        <w:pStyle w:val="ItemHead"/>
      </w:pPr>
      <w:r w:rsidRPr="00686C2A">
        <w:t>18</w:t>
      </w:r>
      <w:r w:rsidR="005B190F" w:rsidRPr="00686C2A">
        <w:t xml:space="preserve">  Clause</w:t>
      </w:r>
      <w:r w:rsidR="00686C2A" w:rsidRPr="00686C2A">
        <w:t> </w:t>
      </w:r>
      <w:r w:rsidR="005B190F" w:rsidRPr="00686C2A">
        <w:t>101 of Schedule</w:t>
      </w:r>
      <w:r w:rsidR="00686C2A" w:rsidRPr="00686C2A">
        <w:t> </w:t>
      </w:r>
      <w:r w:rsidR="005B190F" w:rsidRPr="00686C2A">
        <w:t>10</w:t>
      </w:r>
    </w:p>
    <w:p w:rsidR="005B190F" w:rsidRPr="00686C2A" w:rsidRDefault="005B190F" w:rsidP="005B190F">
      <w:pPr>
        <w:pStyle w:val="Item"/>
      </w:pPr>
      <w:r w:rsidRPr="00686C2A">
        <w:t>Insert:</w:t>
      </w:r>
    </w:p>
    <w:p w:rsidR="008A1BD5" w:rsidRPr="00686C2A" w:rsidRDefault="005B190F" w:rsidP="005B190F">
      <w:pPr>
        <w:pStyle w:val="Definition"/>
      </w:pPr>
      <w:r w:rsidRPr="00686C2A">
        <w:rPr>
          <w:b/>
          <w:i/>
        </w:rPr>
        <w:t xml:space="preserve">lifecycle </w:t>
      </w:r>
      <w:proofErr w:type="spellStart"/>
      <w:r w:rsidRPr="00686C2A">
        <w:rPr>
          <w:b/>
          <w:i/>
        </w:rPr>
        <w:t>MySuper</w:t>
      </w:r>
      <w:proofErr w:type="spellEnd"/>
      <w:r w:rsidRPr="00686C2A">
        <w:rPr>
          <w:b/>
          <w:i/>
        </w:rPr>
        <w:t xml:space="preserve"> product</w:t>
      </w:r>
      <w:r w:rsidRPr="00686C2A">
        <w:t xml:space="preserve"> has the meaning given by </w:t>
      </w:r>
      <w:r w:rsidR="008A1BD5" w:rsidRPr="00686C2A">
        <w:t>regulation</w:t>
      </w:r>
      <w:r w:rsidR="00686C2A" w:rsidRPr="00686C2A">
        <w:t> </w:t>
      </w:r>
      <w:r w:rsidR="008A1BD5" w:rsidRPr="00686C2A">
        <w:t>7.9.07N.</w:t>
      </w:r>
    </w:p>
    <w:p w:rsidR="008A1BD5" w:rsidRPr="00686C2A" w:rsidRDefault="0018263A" w:rsidP="008A1BD5">
      <w:pPr>
        <w:pStyle w:val="ItemHead"/>
      </w:pPr>
      <w:r w:rsidRPr="00686C2A">
        <w:t>19</w:t>
      </w:r>
      <w:r w:rsidR="008A1BD5" w:rsidRPr="00686C2A">
        <w:t xml:space="preserve">  </w:t>
      </w:r>
      <w:r w:rsidR="005B190F" w:rsidRPr="00686C2A">
        <w:t xml:space="preserve"> </w:t>
      </w:r>
      <w:r w:rsidR="008A1BD5" w:rsidRPr="00686C2A">
        <w:t>Clause</w:t>
      </w:r>
      <w:r w:rsidR="00686C2A" w:rsidRPr="00686C2A">
        <w:t> </w:t>
      </w:r>
      <w:r w:rsidR="008A1BD5" w:rsidRPr="00686C2A">
        <w:t>101 of Schedule</w:t>
      </w:r>
      <w:r w:rsidR="00686C2A" w:rsidRPr="00686C2A">
        <w:t> </w:t>
      </w:r>
      <w:r w:rsidR="008A1BD5" w:rsidRPr="00686C2A">
        <w:t>10</w:t>
      </w:r>
    </w:p>
    <w:p w:rsidR="008A1BD5" w:rsidRPr="00686C2A" w:rsidRDefault="008A1BD5" w:rsidP="008A1BD5">
      <w:pPr>
        <w:pStyle w:val="Item"/>
      </w:pPr>
      <w:r w:rsidRPr="00686C2A">
        <w:t>Insert:</w:t>
      </w:r>
    </w:p>
    <w:p w:rsidR="008A1BD5" w:rsidRPr="00686C2A" w:rsidRDefault="008A1BD5" w:rsidP="008A1BD5">
      <w:pPr>
        <w:pStyle w:val="Definition"/>
      </w:pPr>
      <w:r w:rsidRPr="00686C2A">
        <w:rPr>
          <w:b/>
          <w:i/>
        </w:rPr>
        <w:t>lifecycle stage</w:t>
      </w:r>
      <w:r w:rsidRPr="00686C2A">
        <w:t xml:space="preserve"> has the meaning given by regulation</w:t>
      </w:r>
      <w:r w:rsidR="00686C2A" w:rsidRPr="00686C2A">
        <w:t> </w:t>
      </w:r>
      <w:r w:rsidRPr="00686C2A">
        <w:t>7.9.07N.</w:t>
      </w:r>
    </w:p>
    <w:p w:rsidR="003645DE" w:rsidRPr="00686C2A" w:rsidRDefault="0018263A" w:rsidP="003645DE">
      <w:pPr>
        <w:pStyle w:val="ItemHead"/>
        <w:rPr>
          <w:rFonts w:cs="Arial"/>
        </w:rPr>
      </w:pPr>
      <w:r w:rsidRPr="00686C2A">
        <w:rPr>
          <w:rFonts w:cs="Arial"/>
        </w:rPr>
        <w:t>20</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 xml:space="preserve">10 (definition of </w:t>
      </w:r>
      <w:r w:rsidR="003645DE" w:rsidRPr="00686C2A">
        <w:rPr>
          <w:rFonts w:cs="Arial"/>
          <w:i/>
        </w:rPr>
        <w:t>performance</w:t>
      </w:r>
      <w:r w:rsidR="003645DE" w:rsidRPr="00686C2A">
        <w:rPr>
          <w:rFonts w:cs="Arial"/>
        </w:rPr>
        <w:t>)</w:t>
      </w:r>
    </w:p>
    <w:p w:rsidR="003645DE" w:rsidRPr="00686C2A" w:rsidRDefault="003645DE" w:rsidP="003645DE">
      <w:pPr>
        <w:pStyle w:val="Item"/>
      </w:pPr>
      <w:r w:rsidRPr="00686C2A">
        <w:t>Repeal the definition, substitute:</w:t>
      </w:r>
    </w:p>
    <w:p w:rsidR="003645DE" w:rsidRPr="00686C2A" w:rsidRDefault="003645DE" w:rsidP="003645DE">
      <w:pPr>
        <w:pStyle w:val="Definition"/>
      </w:pPr>
      <w:r w:rsidRPr="00686C2A">
        <w:rPr>
          <w:b/>
          <w:i/>
        </w:rPr>
        <w:t>performance</w:t>
      </w:r>
      <w:r w:rsidRPr="00686C2A">
        <w:t xml:space="preserve">, of a managed investment product, a superannuation product, a </w:t>
      </w:r>
      <w:proofErr w:type="spellStart"/>
      <w:r w:rsidRPr="00686C2A">
        <w:t>MySuper</w:t>
      </w:r>
      <w:proofErr w:type="spellEnd"/>
      <w:r w:rsidRPr="00686C2A">
        <w:t xml:space="preserve"> product or an investment option, includes:</w:t>
      </w:r>
    </w:p>
    <w:p w:rsidR="003645DE" w:rsidRPr="00686C2A" w:rsidRDefault="003645DE" w:rsidP="003645DE">
      <w:pPr>
        <w:pStyle w:val="paragraph"/>
      </w:pPr>
      <w:r w:rsidRPr="00686C2A">
        <w:tab/>
        <w:t>(a)</w:t>
      </w:r>
      <w:r w:rsidRPr="00686C2A">
        <w:tab/>
        <w:t xml:space="preserve">income in relation to the assets of, or attributed to, the managed investment product, the superannuation product, the </w:t>
      </w:r>
      <w:proofErr w:type="spellStart"/>
      <w:r w:rsidRPr="00686C2A">
        <w:t>MySuper</w:t>
      </w:r>
      <w:proofErr w:type="spellEnd"/>
      <w:r w:rsidRPr="00686C2A">
        <w:t xml:space="preserve"> product or the investment option; and</w:t>
      </w:r>
    </w:p>
    <w:p w:rsidR="003645DE" w:rsidRPr="00686C2A" w:rsidRDefault="003645DE" w:rsidP="003645DE">
      <w:pPr>
        <w:pStyle w:val="paragraph"/>
      </w:pPr>
      <w:r w:rsidRPr="00686C2A">
        <w:tab/>
        <w:t>(b)</w:t>
      </w:r>
      <w:r w:rsidRPr="00686C2A">
        <w:tab/>
        <w:t xml:space="preserve">capital appreciation (realised or unrealised) to the value of the managed investment product, the superannuation product, the </w:t>
      </w:r>
      <w:proofErr w:type="spellStart"/>
      <w:r w:rsidRPr="00686C2A">
        <w:t>MySuper</w:t>
      </w:r>
      <w:proofErr w:type="spellEnd"/>
      <w:r w:rsidRPr="00686C2A">
        <w:t xml:space="preserve"> product or the investment option.</w:t>
      </w:r>
    </w:p>
    <w:p w:rsidR="003645DE" w:rsidRPr="00686C2A" w:rsidRDefault="0018263A" w:rsidP="003645DE">
      <w:pPr>
        <w:pStyle w:val="ItemHead"/>
        <w:rPr>
          <w:rFonts w:cs="Arial"/>
        </w:rPr>
      </w:pPr>
      <w:r w:rsidRPr="00686C2A">
        <w:rPr>
          <w:rFonts w:cs="Arial"/>
        </w:rPr>
        <w:t>21</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 xml:space="preserve">10 (definition of </w:t>
      </w:r>
      <w:r w:rsidR="003645DE" w:rsidRPr="00686C2A">
        <w:rPr>
          <w:rFonts w:cs="Arial"/>
          <w:i/>
        </w:rPr>
        <w:t>performance fee</w:t>
      </w:r>
      <w:r w:rsidR="003645DE" w:rsidRPr="00686C2A">
        <w:rPr>
          <w:rFonts w:cs="Arial"/>
        </w:rPr>
        <w:t>)</w:t>
      </w:r>
    </w:p>
    <w:p w:rsidR="003645DE" w:rsidRPr="00686C2A" w:rsidRDefault="003645DE" w:rsidP="003645DE">
      <w:pPr>
        <w:pStyle w:val="Item"/>
      </w:pPr>
      <w:r w:rsidRPr="00686C2A">
        <w:t xml:space="preserve">Omit </w:t>
      </w:r>
      <w:r w:rsidR="00A16431" w:rsidRPr="00686C2A">
        <w:t>“</w:t>
      </w:r>
      <w:r w:rsidRPr="00686C2A">
        <w:t>a product or fund</w:t>
      </w:r>
      <w:r w:rsidR="00A16431" w:rsidRPr="00686C2A">
        <w:t>”</w:t>
      </w:r>
      <w:r w:rsidRPr="00686C2A">
        <w:t xml:space="preserve">, substitute </w:t>
      </w:r>
      <w:r w:rsidR="00A16431" w:rsidRPr="00686C2A">
        <w:t>“</w:t>
      </w:r>
      <w:r w:rsidRPr="00686C2A">
        <w:t xml:space="preserve">a managed investment product, a superannuation product, a </w:t>
      </w:r>
      <w:proofErr w:type="spellStart"/>
      <w:r w:rsidRPr="00686C2A">
        <w:t>MySuper</w:t>
      </w:r>
      <w:proofErr w:type="spellEnd"/>
      <w:r w:rsidRPr="00686C2A">
        <w:t xml:space="preserve"> product or an investment option</w:t>
      </w:r>
      <w:r w:rsidR="00A16431" w:rsidRPr="00686C2A">
        <w:t>”</w:t>
      </w:r>
      <w:r w:rsidRPr="00686C2A">
        <w:t>.</w:t>
      </w:r>
    </w:p>
    <w:p w:rsidR="00D71E81" w:rsidRPr="00686C2A" w:rsidRDefault="00D71E81" w:rsidP="00D71E81">
      <w:pPr>
        <w:pStyle w:val="ItemHead"/>
        <w:rPr>
          <w:rFonts w:cs="Arial"/>
        </w:rPr>
      </w:pPr>
      <w:r w:rsidRPr="00686C2A">
        <w:rPr>
          <w:rFonts w:cs="Arial"/>
        </w:rPr>
        <w:t>22  Clause</w:t>
      </w:r>
      <w:r w:rsidR="00686C2A" w:rsidRPr="00686C2A">
        <w:rPr>
          <w:rFonts w:cs="Arial"/>
        </w:rPr>
        <w:t> </w:t>
      </w:r>
      <w:r w:rsidRPr="00686C2A">
        <w:rPr>
          <w:rFonts w:cs="Arial"/>
        </w:rPr>
        <w:t>101 of Schedule</w:t>
      </w:r>
      <w:r w:rsidR="00686C2A" w:rsidRPr="00686C2A">
        <w:rPr>
          <w:rFonts w:cs="Arial"/>
        </w:rPr>
        <w:t> </w:t>
      </w:r>
      <w:r w:rsidRPr="00686C2A">
        <w:rPr>
          <w:rFonts w:cs="Arial"/>
        </w:rPr>
        <w:t xml:space="preserve">10 (definition of </w:t>
      </w:r>
      <w:r w:rsidRPr="00686C2A">
        <w:rPr>
          <w:rFonts w:cs="Arial"/>
          <w:i/>
        </w:rPr>
        <w:t>service fees</w:t>
      </w:r>
      <w:r w:rsidRPr="00686C2A">
        <w:rPr>
          <w:rFonts w:cs="Arial"/>
        </w:rPr>
        <w:t>)</w:t>
      </w:r>
    </w:p>
    <w:p w:rsidR="00D71E81" w:rsidRPr="00686C2A" w:rsidRDefault="00D71E81" w:rsidP="00D71E81">
      <w:pPr>
        <w:pStyle w:val="Item"/>
      </w:pPr>
      <w:r w:rsidRPr="00686C2A">
        <w:t>Omit “adviser service fees”, substitute “advice fees”.</w:t>
      </w:r>
    </w:p>
    <w:p w:rsidR="003645DE" w:rsidRPr="00686C2A" w:rsidRDefault="0018263A" w:rsidP="003645DE">
      <w:pPr>
        <w:pStyle w:val="ItemHead"/>
        <w:rPr>
          <w:rFonts w:cs="Arial"/>
        </w:rPr>
      </w:pPr>
      <w:r w:rsidRPr="00686C2A">
        <w:rPr>
          <w:rFonts w:cs="Arial"/>
        </w:rPr>
        <w:lastRenderedPageBreak/>
        <w:t>2</w:t>
      </w:r>
      <w:r w:rsidR="00D71E81" w:rsidRPr="00686C2A">
        <w:rPr>
          <w:rFonts w:cs="Arial"/>
        </w:rPr>
        <w:t>3</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 xml:space="preserve">10 (definition of </w:t>
      </w:r>
      <w:r w:rsidR="003645DE" w:rsidRPr="00686C2A">
        <w:rPr>
          <w:rFonts w:cs="Arial"/>
          <w:i/>
        </w:rPr>
        <w:t>special request fees</w:t>
      </w:r>
      <w:r w:rsidR="003645DE" w:rsidRPr="00686C2A">
        <w:rPr>
          <w:rFonts w:cs="Arial"/>
        </w:rPr>
        <w:t>)</w:t>
      </w:r>
    </w:p>
    <w:p w:rsidR="003645DE" w:rsidRPr="00686C2A" w:rsidRDefault="003645DE" w:rsidP="003645DE">
      <w:pPr>
        <w:pStyle w:val="Item"/>
      </w:pPr>
      <w:r w:rsidRPr="00686C2A">
        <w:t>Repeal the definition, substitute:</w:t>
      </w:r>
    </w:p>
    <w:p w:rsidR="003645DE" w:rsidRPr="00686C2A" w:rsidRDefault="003645DE" w:rsidP="003645DE">
      <w:pPr>
        <w:pStyle w:val="Definition"/>
      </w:pPr>
      <w:r w:rsidRPr="00686C2A">
        <w:rPr>
          <w:b/>
          <w:i/>
        </w:rPr>
        <w:t>special request fees</w:t>
      </w:r>
      <w:r w:rsidRPr="00686C2A">
        <w:rPr>
          <w:b/>
        </w:rPr>
        <w:t xml:space="preserve"> </w:t>
      </w:r>
      <w:r w:rsidRPr="00686C2A">
        <w:t>includes fees paid or deducted from a product holder</w:t>
      </w:r>
      <w:r w:rsidR="00A16431" w:rsidRPr="00686C2A">
        <w:t>’</w:t>
      </w:r>
      <w:r w:rsidRPr="00686C2A">
        <w:t>s managed investment product for a request made to the managed investment scheme.</w:t>
      </w:r>
    </w:p>
    <w:p w:rsidR="003645DE" w:rsidRPr="00686C2A" w:rsidRDefault="003645DE" w:rsidP="003645DE">
      <w:pPr>
        <w:pStyle w:val="notetext"/>
      </w:pPr>
      <w:r w:rsidRPr="00686C2A">
        <w:t>Example:</w:t>
      </w:r>
      <w:r w:rsidRPr="00686C2A">
        <w:tab/>
        <w:t>This applies to a fee for a request for additional information from a managed investment scheme.</w:t>
      </w:r>
    </w:p>
    <w:p w:rsidR="003645DE" w:rsidRPr="00686C2A" w:rsidRDefault="0018263A" w:rsidP="003645DE">
      <w:pPr>
        <w:pStyle w:val="ItemHead"/>
        <w:rPr>
          <w:rFonts w:cs="Arial"/>
        </w:rPr>
      </w:pPr>
      <w:r w:rsidRPr="00686C2A">
        <w:rPr>
          <w:rFonts w:cs="Arial"/>
        </w:rPr>
        <w:t>24</w:t>
      </w:r>
      <w:r w:rsidR="003645DE" w:rsidRPr="00686C2A">
        <w:rPr>
          <w:rFonts w:cs="Arial"/>
        </w:rPr>
        <w:t xml:space="preserve">  Clause</w:t>
      </w:r>
      <w:r w:rsidR="00686C2A" w:rsidRPr="00686C2A">
        <w:rPr>
          <w:rFonts w:cs="Arial"/>
        </w:rPr>
        <w:t> </w:t>
      </w:r>
      <w:r w:rsidR="003645DE" w:rsidRPr="00686C2A">
        <w:rPr>
          <w:rFonts w:cs="Arial"/>
        </w:rPr>
        <w:t>101 of Schedule</w:t>
      </w:r>
      <w:r w:rsidR="00686C2A" w:rsidRPr="00686C2A">
        <w:rPr>
          <w:rFonts w:cs="Arial"/>
        </w:rPr>
        <w:t> </w:t>
      </w:r>
      <w:r w:rsidR="003645DE" w:rsidRPr="00686C2A">
        <w:rPr>
          <w:rFonts w:cs="Arial"/>
        </w:rPr>
        <w:t xml:space="preserve">10 (definition of </w:t>
      </w:r>
      <w:r w:rsidR="003645DE" w:rsidRPr="00686C2A">
        <w:rPr>
          <w:rFonts w:cs="Arial"/>
          <w:i/>
        </w:rPr>
        <w:t>switching fee</w:t>
      </w:r>
      <w:r w:rsidR="003645DE" w:rsidRPr="00686C2A">
        <w:rPr>
          <w:rFonts w:cs="Arial"/>
        </w:rPr>
        <w:t>)</w:t>
      </w:r>
    </w:p>
    <w:p w:rsidR="003645DE" w:rsidRPr="00686C2A" w:rsidRDefault="003645DE" w:rsidP="003645DE">
      <w:pPr>
        <w:pStyle w:val="Item"/>
      </w:pPr>
      <w:r w:rsidRPr="00686C2A">
        <w:t>Repeal the definition, substitute:</w:t>
      </w:r>
    </w:p>
    <w:p w:rsidR="003645DE" w:rsidRPr="00686C2A" w:rsidRDefault="003645DE" w:rsidP="003645DE">
      <w:pPr>
        <w:pStyle w:val="Definition"/>
      </w:pPr>
      <w:r w:rsidRPr="00686C2A">
        <w:rPr>
          <w:b/>
          <w:i/>
        </w:rPr>
        <w:t>switching fee</w:t>
      </w:r>
      <w:r w:rsidRPr="00686C2A">
        <w:t>:</w:t>
      </w:r>
    </w:p>
    <w:p w:rsidR="003645DE" w:rsidRPr="00686C2A" w:rsidRDefault="003645DE" w:rsidP="003645DE">
      <w:pPr>
        <w:pStyle w:val="paragraph"/>
      </w:pPr>
      <w:r w:rsidRPr="00686C2A">
        <w:tab/>
        <w:t>(a)</w:t>
      </w:r>
      <w:r w:rsidRPr="00686C2A">
        <w:tab/>
        <w:t>for a superannuation product—has the meaning given by subsection</w:t>
      </w:r>
      <w:r w:rsidR="00686C2A" w:rsidRPr="00686C2A">
        <w:t> </w:t>
      </w:r>
      <w:r w:rsidRPr="00686C2A">
        <w:t>29V(5) of the SIS Act; or</w:t>
      </w:r>
    </w:p>
    <w:p w:rsidR="003645DE" w:rsidRPr="00686C2A" w:rsidRDefault="003645DE" w:rsidP="003645DE">
      <w:pPr>
        <w:pStyle w:val="paragraph"/>
      </w:pPr>
      <w:r w:rsidRPr="00686C2A">
        <w:tab/>
        <w:t>(b)</w:t>
      </w:r>
      <w:r w:rsidRPr="00686C2A">
        <w:tab/>
        <w:t>for a managed investment product—means an amount paid or payable when a product holder transfers all or part of the product holder</w:t>
      </w:r>
      <w:r w:rsidR="00A16431" w:rsidRPr="00686C2A">
        <w:t>’</w:t>
      </w:r>
      <w:r w:rsidRPr="00686C2A">
        <w:t>s interest in the managed investment product from one investment option to another.</w:t>
      </w:r>
    </w:p>
    <w:p w:rsidR="003645DE" w:rsidRPr="00686C2A" w:rsidRDefault="0018263A" w:rsidP="003645DE">
      <w:pPr>
        <w:pStyle w:val="ItemHead"/>
        <w:rPr>
          <w:rFonts w:cs="Arial"/>
          <w:noProof/>
        </w:rPr>
      </w:pPr>
      <w:r w:rsidRPr="00686C2A">
        <w:rPr>
          <w:rFonts w:cs="Arial"/>
        </w:rPr>
        <w:t>25</w:t>
      </w:r>
      <w:r w:rsidR="003645DE" w:rsidRPr="00686C2A">
        <w:rPr>
          <w:rFonts w:cs="Arial"/>
          <w:noProof/>
        </w:rPr>
        <w:t xml:space="preserve">  Clause</w:t>
      </w:r>
      <w:r w:rsidR="00686C2A" w:rsidRPr="00686C2A">
        <w:rPr>
          <w:rFonts w:cs="Arial"/>
          <w:noProof/>
        </w:rPr>
        <w:t> </w:t>
      </w:r>
      <w:r w:rsidR="003645DE" w:rsidRPr="00686C2A">
        <w:rPr>
          <w:rFonts w:cs="Arial"/>
          <w:noProof/>
        </w:rPr>
        <w:t>101 of Schedule</w:t>
      </w:r>
      <w:r w:rsidR="00686C2A" w:rsidRPr="00686C2A">
        <w:rPr>
          <w:rFonts w:cs="Arial"/>
          <w:noProof/>
        </w:rPr>
        <w:t> </w:t>
      </w:r>
      <w:r w:rsidR="003645DE" w:rsidRPr="00686C2A">
        <w:rPr>
          <w:rFonts w:cs="Arial"/>
          <w:noProof/>
        </w:rPr>
        <w:t xml:space="preserve">10 (definition of </w:t>
      </w:r>
      <w:r w:rsidR="003645DE" w:rsidRPr="00686C2A">
        <w:rPr>
          <w:rFonts w:cs="Arial"/>
          <w:i/>
          <w:noProof/>
        </w:rPr>
        <w:t>termination fee</w:t>
      </w:r>
      <w:r w:rsidR="003645DE" w:rsidRPr="00686C2A">
        <w:rPr>
          <w:rFonts w:cs="Arial"/>
          <w:noProof/>
        </w:rPr>
        <w:t>)</w:t>
      </w:r>
    </w:p>
    <w:p w:rsidR="003645DE" w:rsidRPr="00686C2A" w:rsidRDefault="003645DE" w:rsidP="003645DE">
      <w:pPr>
        <w:pStyle w:val="Item"/>
      </w:pPr>
      <w:r w:rsidRPr="00686C2A">
        <w:t>Repeal the definition.</w:t>
      </w:r>
    </w:p>
    <w:p w:rsidR="003645DE" w:rsidRPr="00686C2A" w:rsidRDefault="0018263A" w:rsidP="003645DE">
      <w:pPr>
        <w:pStyle w:val="ItemHead"/>
        <w:rPr>
          <w:rFonts w:cs="Arial"/>
          <w:noProof/>
        </w:rPr>
      </w:pPr>
      <w:r w:rsidRPr="00686C2A">
        <w:rPr>
          <w:rFonts w:cs="Arial"/>
        </w:rPr>
        <w:t>26</w:t>
      </w:r>
      <w:r w:rsidR="003645DE" w:rsidRPr="00686C2A">
        <w:rPr>
          <w:rFonts w:cs="Arial"/>
          <w:noProof/>
        </w:rPr>
        <w:t xml:space="preserve">  Clause</w:t>
      </w:r>
      <w:r w:rsidR="00686C2A" w:rsidRPr="00686C2A">
        <w:rPr>
          <w:rFonts w:cs="Arial"/>
          <w:noProof/>
        </w:rPr>
        <w:t> </w:t>
      </w:r>
      <w:r w:rsidR="003645DE" w:rsidRPr="00686C2A">
        <w:rPr>
          <w:rFonts w:cs="Arial"/>
          <w:noProof/>
        </w:rPr>
        <w:t>101 of Schedule</w:t>
      </w:r>
      <w:r w:rsidR="00686C2A" w:rsidRPr="00686C2A">
        <w:rPr>
          <w:rFonts w:cs="Arial"/>
          <w:noProof/>
        </w:rPr>
        <w:t> </w:t>
      </w:r>
      <w:r w:rsidR="003645DE" w:rsidRPr="00686C2A">
        <w:rPr>
          <w:rFonts w:cs="Arial"/>
          <w:noProof/>
        </w:rPr>
        <w:t xml:space="preserve">10 (definition of </w:t>
      </w:r>
      <w:r w:rsidR="003645DE" w:rsidRPr="00686C2A">
        <w:rPr>
          <w:rFonts w:cs="Arial"/>
          <w:i/>
          <w:noProof/>
        </w:rPr>
        <w:t>withdrawal fee</w:t>
      </w:r>
      <w:r w:rsidR="003645DE" w:rsidRPr="00686C2A">
        <w:rPr>
          <w:rFonts w:cs="Arial"/>
          <w:noProof/>
        </w:rPr>
        <w:t>)</w:t>
      </w:r>
    </w:p>
    <w:p w:rsidR="003645DE" w:rsidRPr="00686C2A" w:rsidRDefault="003645DE" w:rsidP="003645DE">
      <w:pPr>
        <w:pStyle w:val="Item"/>
      </w:pPr>
      <w:r w:rsidRPr="00686C2A">
        <w:t xml:space="preserve">Omit </w:t>
      </w:r>
      <w:r w:rsidR="00A16431" w:rsidRPr="00686C2A">
        <w:t>“</w:t>
      </w:r>
      <w:r w:rsidRPr="00686C2A">
        <w:t>a termination fee</w:t>
      </w:r>
      <w:r w:rsidR="00A16431" w:rsidRPr="00686C2A">
        <w:t>”</w:t>
      </w:r>
      <w:r w:rsidRPr="00686C2A">
        <w:t xml:space="preserve">, substitute </w:t>
      </w:r>
      <w:r w:rsidR="00A16431" w:rsidRPr="00686C2A">
        <w:t>“</w:t>
      </w:r>
      <w:r w:rsidRPr="00686C2A">
        <w:t>an exit fee</w:t>
      </w:r>
      <w:r w:rsidR="00A16431" w:rsidRPr="00686C2A">
        <w:t>”</w:t>
      </w:r>
      <w:r w:rsidRPr="00686C2A">
        <w:t>.</w:t>
      </w:r>
    </w:p>
    <w:p w:rsidR="003645DE" w:rsidRPr="00686C2A" w:rsidRDefault="0018263A" w:rsidP="003645DE">
      <w:pPr>
        <w:pStyle w:val="ItemHead"/>
        <w:rPr>
          <w:rFonts w:cs="Arial"/>
          <w:noProof/>
        </w:rPr>
      </w:pPr>
      <w:r w:rsidRPr="00686C2A">
        <w:rPr>
          <w:rFonts w:cs="Arial"/>
        </w:rPr>
        <w:t>27</w:t>
      </w:r>
      <w:r w:rsidR="003645DE" w:rsidRPr="00686C2A">
        <w:rPr>
          <w:rFonts w:cs="Arial"/>
          <w:noProof/>
        </w:rPr>
        <w:t xml:space="preserve">  Subclause</w:t>
      </w:r>
      <w:r w:rsidR="00686C2A" w:rsidRPr="00686C2A">
        <w:rPr>
          <w:rFonts w:cs="Arial"/>
          <w:noProof/>
        </w:rPr>
        <w:t> </w:t>
      </w:r>
      <w:r w:rsidR="003645DE" w:rsidRPr="00686C2A">
        <w:rPr>
          <w:rFonts w:cs="Arial"/>
          <w:noProof/>
        </w:rPr>
        <w:t>102(1)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 xml:space="preserve">Omit </w:t>
      </w:r>
      <w:r w:rsidR="00A16431" w:rsidRPr="00686C2A">
        <w:t>“</w:t>
      </w:r>
      <w:r w:rsidRPr="00686C2A">
        <w:rPr>
          <w:b/>
          <w:i/>
        </w:rPr>
        <w:t>Management costs</w:t>
      </w:r>
      <w:r w:rsidRPr="00686C2A">
        <w:t xml:space="preserve"> means any of the following:</w:t>
      </w:r>
      <w:r w:rsidR="00A16431" w:rsidRPr="00686C2A">
        <w:t>”</w:t>
      </w:r>
      <w:r w:rsidRPr="00686C2A">
        <w:t xml:space="preserve">, substitute </w:t>
      </w:r>
      <w:r w:rsidR="00A16431" w:rsidRPr="00686C2A">
        <w:t>“</w:t>
      </w:r>
      <w:r w:rsidRPr="00686C2A">
        <w:rPr>
          <w:b/>
          <w:i/>
        </w:rPr>
        <w:t>Management costs</w:t>
      </w:r>
      <w:r w:rsidRPr="00686C2A">
        <w:t>, for a managed investment product, means any of the following:</w:t>
      </w:r>
      <w:r w:rsidR="00A16431" w:rsidRPr="00686C2A">
        <w:t>”</w:t>
      </w:r>
    </w:p>
    <w:p w:rsidR="003645DE" w:rsidRPr="00686C2A" w:rsidRDefault="0018263A" w:rsidP="003645DE">
      <w:pPr>
        <w:pStyle w:val="ItemHead"/>
      </w:pPr>
      <w:r w:rsidRPr="00686C2A">
        <w:rPr>
          <w:rFonts w:cs="Arial"/>
        </w:rPr>
        <w:t>28</w:t>
      </w:r>
      <w:r w:rsidR="003645DE" w:rsidRPr="00686C2A">
        <w:t xml:space="preserve">  Paragraph 102(1)(a) of Schedule</w:t>
      </w:r>
      <w:r w:rsidR="00686C2A" w:rsidRPr="00686C2A">
        <w:t> </w:t>
      </w:r>
      <w:r w:rsidR="003645DE" w:rsidRPr="00686C2A">
        <w:t>10</w:t>
      </w:r>
    </w:p>
    <w:p w:rsidR="003645DE" w:rsidRPr="00686C2A" w:rsidRDefault="003645DE" w:rsidP="003645DE">
      <w:pPr>
        <w:pStyle w:val="Item"/>
      </w:pPr>
      <w:r w:rsidRPr="00686C2A">
        <w:t>Repeal the paragraph, substitute:</w:t>
      </w:r>
    </w:p>
    <w:p w:rsidR="003645DE" w:rsidRPr="00686C2A" w:rsidRDefault="003645DE" w:rsidP="003645DE">
      <w:pPr>
        <w:pStyle w:val="paragraph"/>
      </w:pPr>
      <w:r w:rsidRPr="00686C2A">
        <w:tab/>
        <w:t>(a)</w:t>
      </w:r>
      <w:r w:rsidRPr="00686C2A">
        <w:tab/>
        <w:t>an amount payable for administering the managed investment scheme;</w:t>
      </w:r>
    </w:p>
    <w:p w:rsidR="003645DE" w:rsidRPr="00686C2A" w:rsidRDefault="0018263A" w:rsidP="003645DE">
      <w:pPr>
        <w:pStyle w:val="ItemHead"/>
      </w:pPr>
      <w:r w:rsidRPr="00686C2A">
        <w:rPr>
          <w:rFonts w:cs="Arial"/>
        </w:rPr>
        <w:lastRenderedPageBreak/>
        <w:t>29</w:t>
      </w:r>
      <w:r w:rsidR="003645DE" w:rsidRPr="00686C2A">
        <w:t xml:space="preserve">  Paragraph 102(1)(d)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a product or fund</w:t>
      </w:r>
      <w:r w:rsidR="00A16431" w:rsidRPr="00686C2A">
        <w:t>”</w:t>
      </w:r>
      <w:r w:rsidRPr="00686C2A">
        <w:t xml:space="preserve">, substitute </w:t>
      </w:r>
      <w:r w:rsidR="00A16431" w:rsidRPr="00686C2A">
        <w:t>“</w:t>
      </w:r>
      <w:r w:rsidRPr="00686C2A">
        <w:t>the managed investment scheme</w:t>
      </w:r>
      <w:r w:rsidR="00A16431" w:rsidRPr="00686C2A">
        <w:t>”</w:t>
      </w:r>
      <w:r w:rsidRPr="00686C2A">
        <w:t>.</w:t>
      </w:r>
    </w:p>
    <w:p w:rsidR="003645DE" w:rsidRPr="00686C2A" w:rsidRDefault="0018263A" w:rsidP="003645DE">
      <w:pPr>
        <w:pStyle w:val="ItemHead"/>
      </w:pPr>
      <w:r w:rsidRPr="00686C2A">
        <w:rPr>
          <w:rFonts w:cs="Arial"/>
        </w:rPr>
        <w:t>30</w:t>
      </w:r>
      <w:r w:rsidR="003645DE" w:rsidRPr="00686C2A">
        <w:t xml:space="preserve">  Paragraph 102(1)(e)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the fund</w:t>
      </w:r>
      <w:r w:rsidR="00A16431" w:rsidRPr="00686C2A">
        <w:t>”</w:t>
      </w:r>
      <w:r w:rsidRPr="00686C2A">
        <w:t xml:space="preserve">, substitute </w:t>
      </w:r>
      <w:r w:rsidR="00A16431" w:rsidRPr="00686C2A">
        <w:t>“</w:t>
      </w:r>
      <w:r w:rsidRPr="00686C2A">
        <w:t>the managed investment scheme</w:t>
      </w:r>
      <w:r w:rsidR="00A16431" w:rsidRPr="00686C2A">
        <w:t>”</w:t>
      </w:r>
      <w:r w:rsidRPr="00686C2A">
        <w:t>.</w:t>
      </w:r>
    </w:p>
    <w:p w:rsidR="003645DE" w:rsidRPr="00686C2A" w:rsidRDefault="0018263A" w:rsidP="003645DE">
      <w:pPr>
        <w:pStyle w:val="ItemHead"/>
        <w:rPr>
          <w:rFonts w:cs="Arial"/>
          <w:noProof/>
        </w:rPr>
      </w:pPr>
      <w:r w:rsidRPr="00686C2A">
        <w:rPr>
          <w:rFonts w:cs="Arial"/>
        </w:rPr>
        <w:t>31</w:t>
      </w:r>
      <w:r w:rsidR="003645DE" w:rsidRPr="00686C2A">
        <w:rPr>
          <w:rFonts w:cs="Arial"/>
          <w:noProof/>
        </w:rPr>
        <w:t xml:space="preserve">  Subclause</w:t>
      </w:r>
      <w:r w:rsidR="00686C2A" w:rsidRPr="00686C2A">
        <w:rPr>
          <w:rFonts w:cs="Arial"/>
          <w:noProof/>
        </w:rPr>
        <w:t> </w:t>
      </w:r>
      <w:r w:rsidR="003645DE" w:rsidRPr="00686C2A">
        <w:rPr>
          <w:rFonts w:cs="Arial"/>
          <w:noProof/>
        </w:rPr>
        <w:t>102(2)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 xml:space="preserve">After </w:t>
      </w:r>
      <w:r w:rsidR="00A16431" w:rsidRPr="00686C2A">
        <w:t>“</w:t>
      </w:r>
      <w:r w:rsidRPr="00686C2A">
        <w:t>not management costs</w:t>
      </w:r>
      <w:r w:rsidR="00A16431" w:rsidRPr="00686C2A">
        <w:t>”</w:t>
      </w:r>
      <w:r w:rsidRPr="00686C2A">
        <w:t xml:space="preserve">, insert </w:t>
      </w:r>
      <w:r w:rsidR="00A16431" w:rsidRPr="00686C2A">
        <w:t>“</w:t>
      </w:r>
      <w:r w:rsidRPr="00686C2A">
        <w:t>for a managed investment product</w:t>
      </w:r>
      <w:r w:rsidR="00A16431" w:rsidRPr="00686C2A">
        <w:t>”</w:t>
      </w:r>
      <w:r w:rsidRPr="00686C2A">
        <w:t>.</w:t>
      </w:r>
    </w:p>
    <w:p w:rsidR="003645DE" w:rsidRPr="00686C2A" w:rsidRDefault="0018263A" w:rsidP="003645DE">
      <w:pPr>
        <w:pStyle w:val="ItemHead"/>
        <w:rPr>
          <w:rFonts w:cs="Arial"/>
          <w:noProof/>
        </w:rPr>
      </w:pPr>
      <w:r w:rsidRPr="00686C2A">
        <w:rPr>
          <w:rFonts w:cs="Arial"/>
          <w:noProof/>
        </w:rPr>
        <w:t>32</w:t>
      </w:r>
      <w:r w:rsidR="003645DE" w:rsidRPr="00686C2A">
        <w:rPr>
          <w:rFonts w:cs="Arial"/>
          <w:noProof/>
        </w:rPr>
        <w:t xml:space="preserve">  Paragraph 102(2)(f)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Repeal the paragraph, substitute:</w:t>
      </w:r>
    </w:p>
    <w:p w:rsidR="003645DE" w:rsidRPr="00686C2A" w:rsidRDefault="003645DE" w:rsidP="003645DE">
      <w:pPr>
        <w:pStyle w:val="paragraph"/>
      </w:pPr>
      <w:r w:rsidRPr="00686C2A">
        <w:tab/>
        <w:t>(f)</w:t>
      </w:r>
      <w:r w:rsidRPr="00686C2A">
        <w:tab/>
        <w:t>an exit fee;</w:t>
      </w:r>
    </w:p>
    <w:p w:rsidR="003645DE" w:rsidRPr="00686C2A" w:rsidRDefault="0018263A" w:rsidP="003645DE">
      <w:pPr>
        <w:pStyle w:val="ItemHead"/>
        <w:rPr>
          <w:rFonts w:cs="Arial"/>
          <w:noProof/>
        </w:rPr>
      </w:pPr>
      <w:r w:rsidRPr="00686C2A">
        <w:rPr>
          <w:rFonts w:cs="Arial"/>
          <w:noProof/>
        </w:rPr>
        <w:t>33</w:t>
      </w:r>
      <w:r w:rsidR="003645DE" w:rsidRPr="00686C2A">
        <w:rPr>
          <w:rFonts w:cs="Arial"/>
          <w:noProof/>
        </w:rPr>
        <w:t xml:space="preserve">  Subclause</w:t>
      </w:r>
      <w:r w:rsidR="00686C2A" w:rsidRPr="00686C2A">
        <w:rPr>
          <w:rFonts w:cs="Arial"/>
          <w:noProof/>
        </w:rPr>
        <w:t> </w:t>
      </w:r>
      <w:r w:rsidR="003645DE" w:rsidRPr="00686C2A">
        <w:rPr>
          <w:rFonts w:cs="Arial"/>
          <w:noProof/>
        </w:rPr>
        <w:t>104(1)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Repeal the subclause, substitute:</w:t>
      </w:r>
    </w:p>
    <w:p w:rsidR="003645DE" w:rsidRPr="00686C2A" w:rsidRDefault="003645DE" w:rsidP="003645DE">
      <w:pPr>
        <w:pStyle w:val="subsection"/>
      </w:pPr>
      <w:r w:rsidRPr="00686C2A">
        <w:tab/>
        <w:t>(1)</w:t>
      </w:r>
      <w:r w:rsidRPr="00686C2A">
        <w:tab/>
        <w:t xml:space="preserve">The </w:t>
      </w:r>
      <w:r w:rsidRPr="00686C2A">
        <w:rPr>
          <w:b/>
          <w:i/>
        </w:rPr>
        <w:t xml:space="preserve">indirect cost ratio </w:t>
      </w:r>
      <w:r w:rsidRPr="00686C2A">
        <w:t>(</w:t>
      </w:r>
      <w:proofErr w:type="spellStart"/>
      <w:r w:rsidRPr="00686C2A">
        <w:rPr>
          <w:b/>
          <w:i/>
        </w:rPr>
        <w:t>ICR</w:t>
      </w:r>
      <w:proofErr w:type="spellEnd"/>
      <w:r w:rsidRPr="00686C2A">
        <w:t xml:space="preserve">), for a </w:t>
      </w:r>
      <w:proofErr w:type="spellStart"/>
      <w:r w:rsidRPr="00686C2A">
        <w:t>MySuper</w:t>
      </w:r>
      <w:proofErr w:type="spellEnd"/>
      <w:r w:rsidRPr="00686C2A">
        <w:t xml:space="preserve"> product or an investment option offered by a superannuation entity, is the ratio of the total of the indirect costs for the </w:t>
      </w:r>
      <w:proofErr w:type="spellStart"/>
      <w:r w:rsidRPr="00686C2A">
        <w:t>MySuper</w:t>
      </w:r>
      <w:proofErr w:type="spellEnd"/>
      <w:r w:rsidRPr="00686C2A">
        <w:t xml:space="preserve"> product or investment option, to the total average net assets of the superannuation entity attributed to the </w:t>
      </w:r>
      <w:proofErr w:type="spellStart"/>
      <w:r w:rsidRPr="00686C2A">
        <w:t>MySuper</w:t>
      </w:r>
      <w:proofErr w:type="spellEnd"/>
      <w:r w:rsidRPr="00686C2A">
        <w:t xml:space="preserve"> product or investment option.</w:t>
      </w:r>
    </w:p>
    <w:p w:rsidR="003645DE" w:rsidRPr="00686C2A" w:rsidRDefault="003645DE" w:rsidP="003645DE">
      <w:pPr>
        <w:pStyle w:val="notetext"/>
      </w:pPr>
      <w:r w:rsidRPr="00686C2A">
        <w:t>Note:</w:t>
      </w:r>
      <w:r w:rsidRPr="00686C2A">
        <w:tab/>
        <w:t>A fee deducted directly from a member</w:t>
      </w:r>
      <w:r w:rsidR="00A16431" w:rsidRPr="00686C2A">
        <w:t>’</w:t>
      </w:r>
      <w:r w:rsidRPr="00686C2A">
        <w:t>s account is not included in the indirect cost ratio.</w:t>
      </w:r>
    </w:p>
    <w:p w:rsidR="003645DE" w:rsidRPr="00686C2A" w:rsidRDefault="003645DE" w:rsidP="003645DE">
      <w:pPr>
        <w:pStyle w:val="subsection"/>
      </w:pPr>
      <w:r w:rsidRPr="00686C2A">
        <w:tab/>
        <w:t>(1A)</w:t>
      </w:r>
      <w:r w:rsidRPr="00686C2A">
        <w:tab/>
        <w:t xml:space="preserve">The </w:t>
      </w:r>
      <w:r w:rsidRPr="00686C2A">
        <w:rPr>
          <w:b/>
          <w:i/>
        </w:rPr>
        <w:t xml:space="preserve">indirect cost ratio </w:t>
      </w:r>
      <w:r w:rsidRPr="00686C2A">
        <w:t>(</w:t>
      </w:r>
      <w:proofErr w:type="spellStart"/>
      <w:r w:rsidRPr="00686C2A">
        <w:rPr>
          <w:b/>
          <w:i/>
        </w:rPr>
        <w:t>ICR</w:t>
      </w:r>
      <w:proofErr w:type="spellEnd"/>
      <w:r w:rsidRPr="00686C2A">
        <w:t>), for an investment option offered by a managed investment scheme, is the ratio of the management costs for the option that are not deducted directly from a product holder</w:t>
      </w:r>
      <w:r w:rsidR="00A16431" w:rsidRPr="00686C2A">
        <w:t>’</w:t>
      </w:r>
      <w:r w:rsidRPr="00686C2A">
        <w:t>s account, to the total average net assets of the managed investment scheme that relates to the investment option.</w:t>
      </w:r>
    </w:p>
    <w:p w:rsidR="003645DE" w:rsidRPr="00686C2A" w:rsidRDefault="003645DE" w:rsidP="003645DE">
      <w:pPr>
        <w:pStyle w:val="notetext"/>
      </w:pPr>
      <w:r w:rsidRPr="00686C2A">
        <w:t>Note:</w:t>
      </w:r>
      <w:r w:rsidRPr="00686C2A">
        <w:tab/>
        <w:t>A fee deducted directly from a product holder</w:t>
      </w:r>
      <w:r w:rsidR="00A16431" w:rsidRPr="00686C2A">
        <w:t>’</w:t>
      </w:r>
      <w:r w:rsidRPr="00686C2A">
        <w:t>s account is not included in the indirect cost ratio.</w:t>
      </w:r>
    </w:p>
    <w:p w:rsidR="003645DE" w:rsidRPr="00686C2A" w:rsidRDefault="0018263A" w:rsidP="003645DE">
      <w:pPr>
        <w:pStyle w:val="ItemHead"/>
        <w:rPr>
          <w:rFonts w:cs="Arial"/>
        </w:rPr>
      </w:pPr>
      <w:r w:rsidRPr="00686C2A">
        <w:rPr>
          <w:rFonts w:cs="Arial"/>
          <w:noProof/>
        </w:rPr>
        <w:t>34</w:t>
      </w:r>
      <w:r w:rsidR="003645DE" w:rsidRPr="00686C2A">
        <w:rPr>
          <w:rFonts w:cs="Arial"/>
        </w:rPr>
        <w:t xml:space="preserve">  Divisions</w:t>
      </w:r>
      <w:r w:rsidR="00686C2A" w:rsidRPr="00686C2A">
        <w:rPr>
          <w:rFonts w:cs="Arial"/>
        </w:rPr>
        <w:t> </w:t>
      </w:r>
      <w:r w:rsidR="003645DE" w:rsidRPr="00686C2A">
        <w:rPr>
          <w:rFonts w:cs="Arial"/>
        </w:rPr>
        <w:t>1 and 2 of Part</w:t>
      </w:r>
      <w:r w:rsidR="00686C2A" w:rsidRPr="00686C2A">
        <w:rPr>
          <w:rFonts w:cs="Arial"/>
        </w:rPr>
        <w:t> </w:t>
      </w:r>
      <w:r w:rsidR="003645DE" w:rsidRPr="00686C2A">
        <w:rPr>
          <w:rFonts w:cs="Arial"/>
        </w:rPr>
        <w:t>2 of Schedule</w:t>
      </w:r>
      <w:r w:rsidR="00686C2A" w:rsidRPr="00686C2A">
        <w:rPr>
          <w:rFonts w:cs="Arial"/>
        </w:rPr>
        <w:t> </w:t>
      </w:r>
      <w:r w:rsidR="003645DE" w:rsidRPr="00686C2A">
        <w:rPr>
          <w:rFonts w:cs="Arial"/>
        </w:rPr>
        <w:t>10</w:t>
      </w:r>
    </w:p>
    <w:p w:rsidR="003645DE" w:rsidRPr="00686C2A" w:rsidRDefault="003645DE" w:rsidP="003645DE">
      <w:pPr>
        <w:pStyle w:val="Item"/>
        <w:spacing w:line="276" w:lineRule="auto"/>
      </w:pPr>
      <w:r w:rsidRPr="00686C2A">
        <w:t>Repeal the Divisions, substitute:</w:t>
      </w:r>
    </w:p>
    <w:p w:rsidR="003645DE" w:rsidRPr="00686C2A" w:rsidRDefault="003645DE" w:rsidP="003645DE">
      <w:pPr>
        <w:pStyle w:val="ActHead3"/>
      </w:pPr>
      <w:bookmarkStart w:id="20" w:name="_Toc359591514"/>
      <w:r w:rsidRPr="00686C2A">
        <w:rPr>
          <w:rStyle w:val="CharDivNo"/>
        </w:rPr>
        <w:lastRenderedPageBreak/>
        <w:t>Division</w:t>
      </w:r>
      <w:r w:rsidR="00686C2A" w:rsidRPr="00686C2A">
        <w:rPr>
          <w:rStyle w:val="CharDivNo"/>
        </w:rPr>
        <w:t> </w:t>
      </w:r>
      <w:r w:rsidRPr="00686C2A">
        <w:rPr>
          <w:rStyle w:val="CharDivNo"/>
        </w:rPr>
        <w:t>1</w:t>
      </w:r>
      <w:r w:rsidRPr="00686C2A">
        <w:t>—</w:t>
      </w:r>
      <w:r w:rsidRPr="00686C2A">
        <w:rPr>
          <w:rStyle w:val="CharDivText"/>
        </w:rPr>
        <w:t>The fees and costs template for superannuation products</w:t>
      </w:r>
      <w:bookmarkEnd w:id="20"/>
    </w:p>
    <w:p w:rsidR="003645DE" w:rsidRPr="00686C2A" w:rsidRDefault="003645DE" w:rsidP="003645DE">
      <w:pPr>
        <w:pStyle w:val="ActHead5"/>
      </w:pPr>
      <w:bookmarkStart w:id="21" w:name="_Toc359591515"/>
      <w:r w:rsidRPr="00686C2A">
        <w:rPr>
          <w:rStyle w:val="CharSectno"/>
        </w:rPr>
        <w:t>201</w:t>
      </w:r>
      <w:r w:rsidRPr="00686C2A">
        <w:t xml:space="preserve">  Template for superannuation products</w:t>
      </w:r>
      <w:bookmarkEnd w:id="21"/>
    </w:p>
    <w:p w:rsidR="003645DE" w:rsidRPr="00686C2A" w:rsidRDefault="003645DE" w:rsidP="003645DE">
      <w:pPr>
        <w:spacing w:line="276" w:lineRule="auto"/>
        <w:rPr>
          <w:rFonts w:ascii="Arial" w:hAnsi="Arial" w:cs="Arial"/>
          <w:b/>
          <w:sz w:val="24"/>
          <w:szCs w:val="24"/>
        </w:rPr>
      </w:pPr>
    </w:p>
    <w:p w:rsidR="003645DE" w:rsidRPr="00686C2A" w:rsidRDefault="003645DE" w:rsidP="003645DE">
      <w:pPr>
        <w:spacing w:line="276" w:lineRule="auto"/>
        <w:rPr>
          <w:rFonts w:ascii="Arial" w:hAnsi="Arial" w:cs="Arial"/>
          <w:b/>
          <w:i/>
          <w:sz w:val="24"/>
          <w:szCs w:val="24"/>
        </w:rPr>
      </w:pPr>
      <w:r w:rsidRPr="00686C2A">
        <w:rPr>
          <w:rFonts w:ascii="Arial" w:hAnsi="Arial" w:cs="Arial"/>
          <w:b/>
          <w:sz w:val="24"/>
          <w:szCs w:val="24"/>
        </w:rPr>
        <w:t>Fees and other costs</w:t>
      </w:r>
    </w:p>
    <w:p w:rsidR="003645DE" w:rsidRPr="00686C2A" w:rsidRDefault="003645DE" w:rsidP="003645DE">
      <w:pPr>
        <w:spacing w:line="240" w:lineRule="auto"/>
      </w:pPr>
      <w:r w:rsidRPr="00686C2A">
        <w:rPr>
          <w:rFonts w:ascii="Arial" w:hAnsi="Arial" w:cs="Arial"/>
          <w:sz w:val="19"/>
          <w:szCs w:val="19"/>
        </w:rPr>
        <w:t>T</w:t>
      </w:r>
      <w:r w:rsidRPr="00686C2A">
        <w:t>his document shows fees and other costs that you may be charged. These fees and other costs may be deducted from your money, from the returns on your investment or from the assets of the superannuation entity as a whole.</w:t>
      </w:r>
    </w:p>
    <w:p w:rsidR="003645DE" w:rsidRPr="00686C2A" w:rsidRDefault="003645DE" w:rsidP="003645DE">
      <w:pPr>
        <w:spacing w:line="240" w:lineRule="auto"/>
      </w:pPr>
    </w:p>
    <w:p w:rsidR="003645DE" w:rsidRPr="00686C2A" w:rsidRDefault="003645DE" w:rsidP="003645DE">
      <w:pPr>
        <w:spacing w:line="240" w:lineRule="auto"/>
      </w:pPr>
      <w:r w:rsidRPr="00686C2A">
        <w:t>Other fees, such as activity fees, advice fees for personal advice and insurance fees, may also be charged, but these will depend on the nature of the activity, advice or insurance chosen by you.</w:t>
      </w:r>
    </w:p>
    <w:p w:rsidR="003645DE" w:rsidRPr="00686C2A" w:rsidRDefault="003645DE" w:rsidP="003645DE">
      <w:pPr>
        <w:spacing w:line="240" w:lineRule="auto"/>
        <w:rPr>
          <w:i/>
        </w:rPr>
      </w:pPr>
    </w:p>
    <w:p w:rsidR="003645DE" w:rsidRPr="00686C2A" w:rsidRDefault="003645DE" w:rsidP="003645DE">
      <w:pPr>
        <w:spacing w:line="240" w:lineRule="auto"/>
      </w:pPr>
      <w:r w:rsidRPr="00686C2A">
        <w:t>Taxes, insurance fees and other costs relating to insurance are set out in another part of this document.</w:t>
      </w:r>
    </w:p>
    <w:p w:rsidR="003645DE" w:rsidRPr="00686C2A" w:rsidRDefault="003645DE" w:rsidP="00F00F50"/>
    <w:p w:rsidR="003645DE" w:rsidRPr="00686C2A" w:rsidRDefault="003645DE" w:rsidP="003645DE">
      <w:pPr>
        <w:spacing w:line="240" w:lineRule="auto"/>
      </w:pPr>
      <w:r w:rsidRPr="00686C2A">
        <w:t>You should read all the information about fees and other costs because it is important to understand their impact on your investment.</w:t>
      </w:r>
    </w:p>
    <w:p w:rsidR="003645DE" w:rsidRPr="00686C2A" w:rsidRDefault="003645DE" w:rsidP="003645DE">
      <w:pPr>
        <w:spacing w:line="240" w:lineRule="auto"/>
      </w:pPr>
    </w:p>
    <w:p w:rsidR="003645DE" w:rsidRPr="00686C2A" w:rsidRDefault="003645DE" w:rsidP="003645DE">
      <w:pPr>
        <w:spacing w:line="240" w:lineRule="auto"/>
      </w:pPr>
      <w:r w:rsidRPr="00686C2A">
        <w:rPr>
          <w:i/>
        </w:rPr>
        <w:t xml:space="preserve">[If relevant] </w:t>
      </w:r>
      <w:r w:rsidRPr="00686C2A">
        <w:t xml:space="preserve">The fees and other costs for each </w:t>
      </w:r>
      <w:proofErr w:type="spellStart"/>
      <w:r w:rsidRPr="00686C2A">
        <w:t>MySuper</w:t>
      </w:r>
      <w:proofErr w:type="spellEnd"/>
      <w:r w:rsidRPr="00686C2A">
        <w:t xml:space="preserve"> product offered by the superannuation entity, and each investment option offered by the entity, are set out on page </w:t>
      </w:r>
      <w:r w:rsidRPr="00686C2A">
        <w:rPr>
          <w:i/>
        </w:rPr>
        <w:t>[insert page number]</w:t>
      </w:r>
      <w:r w:rsidRPr="00686C2A">
        <w:t>.</w:t>
      </w:r>
    </w:p>
    <w:p w:rsidR="003645DE" w:rsidRPr="00686C2A" w:rsidRDefault="003645DE" w:rsidP="003645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362"/>
        <w:gridCol w:w="2362"/>
        <w:gridCol w:w="2362"/>
      </w:tblGrid>
      <w:tr w:rsidR="00A415EF" w:rsidRPr="00686C2A" w:rsidTr="00197785">
        <w:trPr>
          <w:tblHeader/>
        </w:trPr>
        <w:tc>
          <w:tcPr>
            <w:tcW w:w="7086" w:type="dxa"/>
            <w:gridSpan w:val="3"/>
            <w:tcBorders>
              <w:top w:val="single" w:sz="12" w:space="0" w:color="auto"/>
              <w:bottom w:val="single" w:sz="6" w:space="0" w:color="auto"/>
            </w:tcBorders>
            <w:shd w:val="clear" w:color="auto" w:fill="auto"/>
          </w:tcPr>
          <w:p w:rsidR="003645DE" w:rsidRPr="00686C2A" w:rsidRDefault="003645DE" w:rsidP="00197785">
            <w:pPr>
              <w:spacing w:line="240" w:lineRule="auto"/>
              <w:rPr>
                <w:b/>
              </w:rPr>
            </w:pPr>
            <w:r w:rsidRPr="00686C2A">
              <w:rPr>
                <w:b/>
                <w:i/>
              </w:rPr>
              <w:t>[Name of superannuation product]</w:t>
            </w:r>
          </w:p>
        </w:tc>
      </w:tr>
      <w:tr w:rsidR="00A415EF" w:rsidRPr="00686C2A" w:rsidTr="00197785">
        <w:trPr>
          <w:tblHeader/>
        </w:trPr>
        <w:tc>
          <w:tcPr>
            <w:tcW w:w="2362" w:type="dxa"/>
            <w:tcBorders>
              <w:top w:val="single" w:sz="6" w:space="0" w:color="auto"/>
              <w:bottom w:val="single" w:sz="12" w:space="0" w:color="auto"/>
            </w:tcBorders>
            <w:shd w:val="clear" w:color="auto" w:fill="auto"/>
          </w:tcPr>
          <w:p w:rsidR="003645DE" w:rsidRPr="00686C2A" w:rsidRDefault="003645DE" w:rsidP="00197785">
            <w:pPr>
              <w:spacing w:line="240" w:lineRule="auto"/>
              <w:rPr>
                <w:b/>
              </w:rPr>
            </w:pPr>
            <w:r w:rsidRPr="00686C2A">
              <w:rPr>
                <w:b/>
              </w:rPr>
              <w:t>Type of fee</w:t>
            </w:r>
          </w:p>
        </w:tc>
        <w:tc>
          <w:tcPr>
            <w:tcW w:w="2362" w:type="dxa"/>
            <w:tcBorders>
              <w:top w:val="single" w:sz="6" w:space="0" w:color="auto"/>
              <w:bottom w:val="single" w:sz="12" w:space="0" w:color="auto"/>
            </w:tcBorders>
            <w:shd w:val="clear" w:color="auto" w:fill="auto"/>
          </w:tcPr>
          <w:p w:rsidR="003645DE" w:rsidRPr="00686C2A" w:rsidRDefault="003645DE" w:rsidP="00197785">
            <w:pPr>
              <w:spacing w:line="240" w:lineRule="auto"/>
              <w:rPr>
                <w:b/>
              </w:rPr>
            </w:pPr>
            <w:r w:rsidRPr="00686C2A">
              <w:rPr>
                <w:b/>
              </w:rPr>
              <w:t>Amount</w:t>
            </w:r>
          </w:p>
        </w:tc>
        <w:tc>
          <w:tcPr>
            <w:tcW w:w="2362" w:type="dxa"/>
            <w:tcBorders>
              <w:top w:val="single" w:sz="6" w:space="0" w:color="auto"/>
              <w:bottom w:val="single" w:sz="12" w:space="0" w:color="auto"/>
            </w:tcBorders>
            <w:shd w:val="clear" w:color="auto" w:fill="auto"/>
          </w:tcPr>
          <w:p w:rsidR="003645DE" w:rsidRPr="00686C2A" w:rsidRDefault="003645DE" w:rsidP="00197785">
            <w:pPr>
              <w:spacing w:line="240" w:lineRule="auto"/>
              <w:rPr>
                <w:b/>
              </w:rPr>
            </w:pPr>
            <w:r w:rsidRPr="00686C2A">
              <w:rPr>
                <w:b/>
              </w:rPr>
              <w:t>How and when paid</w:t>
            </w:r>
          </w:p>
        </w:tc>
      </w:tr>
      <w:tr w:rsidR="00A415EF" w:rsidRPr="00686C2A" w:rsidTr="00197785">
        <w:tc>
          <w:tcPr>
            <w:tcW w:w="2362" w:type="dxa"/>
            <w:tcBorders>
              <w:top w:val="single" w:sz="12" w:space="0" w:color="auto"/>
            </w:tcBorders>
            <w:shd w:val="clear" w:color="auto" w:fill="auto"/>
          </w:tcPr>
          <w:p w:rsidR="003645DE" w:rsidRPr="00686C2A" w:rsidRDefault="003645DE" w:rsidP="00197785">
            <w:pPr>
              <w:spacing w:line="240" w:lineRule="auto"/>
              <w:rPr>
                <w:i/>
              </w:rPr>
            </w:pPr>
            <w:r w:rsidRPr="00686C2A">
              <w:rPr>
                <w:i/>
              </w:rPr>
              <w:t>Investment fee</w:t>
            </w:r>
          </w:p>
        </w:tc>
        <w:tc>
          <w:tcPr>
            <w:tcW w:w="2362" w:type="dxa"/>
            <w:tcBorders>
              <w:top w:val="single" w:sz="12" w:space="0" w:color="auto"/>
            </w:tcBorders>
            <w:shd w:val="clear" w:color="auto" w:fill="auto"/>
          </w:tcPr>
          <w:p w:rsidR="003645DE" w:rsidRPr="00686C2A" w:rsidRDefault="003645DE" w:rsidP="00197785">
            <w:pPr>
              <w:spacing w:line="240" w:lineRule="auto"/>
            </w:pPr>
          </w:p>
        </w:tc>
        <w:tc>
          <w:tcPr>
            <w:tcW w:w="2362" w:type="dxa"/>
            <w:tcBorders>
              <w:top w:val="single" w:sz="12" w:space="0" w:color="auto"/>
            </w:tcBorders>
            <w:shd w:val="clear" w:color="auto" w:fill="auto"/>
          </w:tcPr>
          <w:p w:rsidR="003645DE" w:rsidRPr="00686C2A" w:rsidRDefault="003645DE" w:rsidP="00197785">
            <w:pPr>
              <w:spacing w:line="240" w:lineRule="auto"/>
            </w:pPr>
          </w:p>
        </w:tc>
      </w:tr>
      <w:tr w:rsidR="00A415EF" w:rsidRPr="00686C2A" w:rsidTr="00197785">
        <w:tc>
          <w:tcPr>
            <w:tcW w:w="2362" w:type="dxa"/>
            <w:shd w:val="clear" w:color="auto" w:fill="auto"/>
          </w:tcPr>
          <w:p w:rsidR="003645DE" w:rsidRPr="00686C2A" w:rsidRDefault="003645DE" w:rsidP="00197785">
            <w:pPr>
              <w:spacing w:line="240" w:lineRule="auto"/>
              <w:rPr>
                <w:i/>
              </w:rPr>
            </w:pPr>
            <w:r w:rsidRPr="00686C2A">
              <w:rPr>
                <w:i/>
              </w:rPr>
              <w:t xml:space="preserve">Administration fee </w:t>
            </w:r>
          </w:p>
        </w:tc>
        <w:tc>
          <w:tcPr>
            <w:tcW w:w="2362" w:type="dxa"/>
            <w:shd w:val="clear" w:color="auto" w:fill="auto"/>
          </w:tcPr>
          <w:p w:rsidR="003645DE" w:rsidRPr="00686C2A" w:rsidRDefault="003645DE" w:rsidP="00197785">
            <w:pPr>
              <w:spacing w:line="240" w:lineRule="auto"/>
            </w:pPr>
          </w:p>
        </w:tc>
        <w:tc>
          <w:tcPr>
            <w:tcW w:w="2362" w:type="dxa"/>
            <w:shd w:val="clear" w:color="auto" w:fill="auto"/>
          </w:tcPr>
          <w:p w:rsidR="003645DE" w:rsidRPr="00686C2A" w:rsidRDefault="003645DE" w:rsidP="00197785">
            <w:pPr>
              <w:spacing w:line="240" w:lineRule="auto"/>
            </w:pPr>
          </w:p>
        </w:tc>
      </w:tr>
      <w:tr w:rsidR="00A415EF" w:rsidRPr="00686C2A" w:rsidTr="00197785">
        <w:tc>
          <w:tcPr>
            <w:tcW w:w="2362" w:type="dxa"/>
            <w:shd w:val="clear" w:color="auto" w:fill="auto"/>
          </w:tcPr>
          <w:p w:rsidR="00B519CB" w:rsidRPr="00686C2A" w:rsidRDefault="00B519CB" w:rsidP="00197785">
            <w:pPr>
              <w:spacing w:line="240" w:lineRule="auto"/>
              <w:rPr>
                <w:i/>
              </w:rPr>
            </w:pPr>
            <w:r w:rsidRPr="00686C2A">
              <w:rPr>
                <w:i/>
              </w:rPr>
              <w:t>Buy</w:t>
            </w:r>
            <w:r w:rsidR="00686C2A">
              <w:rPr>
                <w:i/>
              </w:rPr>
              <w:noBreakHyphen/>
            </w:r>
            <w:r w:rsidRPr="00686C2A">
              <w:rPr>
                <w:i/>
              </w:rPr>
              <w:t>sell spread</w:t>
            </w:r>
          </w:p>
        </w:tc>
        <w:tc>
          <w:tcPr>
            <w:tcW w:w="2362" w:type="dxa"/>
            <w:shd w:val="clear" w:color="auto" w:fill="auto"/>
          </w:tcPr>
          <w:p w:rsidR="00B519CB" w:rsidRPr="00686C2A" w:rsidRDefault="00B519CB" w:rsidP="00197785">
            <w:pPr>
              <w:spacing w:line="240" w:lineRule="auto"/>
            </w:pPr>
          </w:p>
        </w:tc>
        <w:tc>
          <w:tcPr>
            <w:tcW w:w="2362" w:type="dxa"/>
            <w:shd w:val="clear" w:color="auto" w:fill="auto"/>
          </w:tcPr>
          <w:p w:rsidR="00B519CB" w:rsidRPr="00686C2A" w:rsidRDefault="00B519CB" w:rsidP="00197785">
            <w:pPr>
              <w:spacing w:line="240" w:lineRule="auto"/>
            </w:pPr>
          </w:p>
        </w:tc>
      </w:tr>
      <w:tr w:rsidR="00A415EF" w:rsidRPr="00686C2A" w:rsidTr="00197785">
        <w:tc>
          <w:tcPr>
            <w:tcW w:w="2362" w:type="dxa"/>
            <w:shd w:val="clear" w:color="auto" w:fill="auto"/>
          </w:tcPr>
          <w:p w:rsidR="00B519CB" w:rsidRPr="00686C2A" w:rsidRDefault="00B519CB" w:rsidP="00197785">
            <w:pPr>
              <w:spacing w:line="240" w:lineRule="auto"/>
              <w:rPr>
                <w:i/>
              </w:rPr>
            </w:pPr>
            <w:r w:rsidRPr="00686C2A">
              <w:rPr>
                <w:i/>
              </w:rPr>
              <w:t>Switching fee</w:t>
            </w:r>
          </w:p>
        </w:tc>
        <w:tc>
          <w:tcPr>
            <w:tcW w:w="2362" w:type="dxa"/>
            <w:shd w:val="clear" w:color="auto" w:fill="auto"/>
          </w:tcPr>
          <w:p w:rsidR="00B519CB" w:rsidRPr="00686C2A" w:rsidRDefault="00B519CB" w:rsidP="00197785">
            <w:pPr>
              <w:spacing w:line="240" w:lineRule="auto"/>
            </w:pPr>
          </w:p>
        </w:tc>
        <w:tc>
          <w:tcPr>
            <w:tcW w:w="2362" w:type="dxa"/>
            <w:shd w:val="clear" w:color="auto" w:fill="auto"/>
          </w:tcPr>
          <w:p w:rsidR="00B519CB" w:rsidRPr="00686C2A" w:rsidRDefault="00B519CB" w:rsidP="00197785">
            <w:pPr>
              <w:spacing w:line="240" w:lineRule="auto"/>
            </w:pPr>
          </w:p>
        </w:tc>
      </w:tr>
      <w:tr w:rsidR="00A415EF" w:rsidRPr="00686C2A" w:rsidTr="00197785">
        <w:tc>
          <w:tcPr>
            <w:tcW w:w="2362" w:type="dxa"/>
            <w:shd w:val="clear" w:color="auto" w:fill="auto"/>
          </w:tcPr>
          <w:p w:rsidR="00B519CB" w:rsidRPr="00686C2A" w:rsidRDefault="00B519CB" w:rsidP="00197785">
            <w:pPr>
              <w:spacing w:line="240" w:lineRule="auto"/>
              <w:rPr>
                <w:i/>
              </w:rPr>
            </w:pPr>
            <w:r w:rsidRPr="00686C2A">
              <w:rPr>
                <w:i/>
              </w:rPr>
              <w:t>Exit fee</w:t>
            </w:r>
          </w:p>
        </w:tc>
        <w:tc>
          <w:tcPr>
            <w:tcW w:w="2362" w:type="dxa"/>
            <w:shd w:val="clear" w:color="auto" w:fill="auto"/>
          </w:tcPr>
          <w:p w:rsidR="00B519CB" w:rsidRPr="00686C2A" w:rsidRDefault="00B519CB" w:rsidP="00197785">
            <w:pPr>
              <w:spacing w:line="240" w:lineRule="auto"/>
            </w:pPr>
          </w:p>
        </w:tc>
        <w:tc>
          <w:tcPr>
            <w:tcW w:w="2362" w:type="dxa"/>
            <w:shd w:val="clear" w:color="auto" w:fill="auto"/>
          </w:tcPr>
          <w:p w:rsidR="00B519CB" w:rsidRPr="00686C2A" w:rsidRDefault="00B519CB" w:rsidP="00197785">
            <w:pPr>
              <w:spacing w:line="240" w:lineRule="auto"/>
            </w:pPr>
          </w:p>
        </w:tc>
      </w:tr>
      <w:tr w:rsidR="00A415EF" w:rsidRPr="00686C2A" w:rsidTr="00196B7C">
        <w:tc>
          <w:tcPr>
            <w:tcW w:w="2362" w:type="dxa"/>
            <w:tcBorders>
              <w:bottom w:val="single" w:sz="4" w:space="0" w:color="auto"/>
            </w:tcBorders>
            <w:shd w:val="clear" w:color="auto" w:fill="auto"/>
          </w:tcPr>
          <w:p w:rsidR="00B519CB" w:rsidRPr="00686C2A" w:rsidRDefault="00B519CB" w:rsidP="00197785">
            <w:pPr>
              <w:spacing w:line="240" w:lineRule="auto"/>
              <w:rPr>
                <w:i/>
              </w:rPr>
            </w:pPr>
            <w:r w:rsidRPr="00686C2A">
              <w:rPr>
                <w:i/>
              </w:rPr>
              <w:t>Advice fees</w:t>
            </w:r>
          </w:p>
          <w:p w:rsidR="00B519CB" w:rsidRPr="00686C2A" w:rsidRDefault="00B519CB" w:rsidP="00197785">
            <w:pPr>
              <w:spacing w:line="240" w:lineRule="auto"/>
              <w:rPr>
                <w:i/>
              </w:rPr>
            </w:pPr>
            <w:r w:rsidRPr="00686C2A">
              <w:t xml:space="preserve">relating to all members investing in a particular </w:t>
            </w:r>
            <w:proofErr w:type="spellStart"/>
            <w:r w:rsidRPr="00686C2A">
              <w:t>MySuper</w:t>
            </w:r>
            <w:proofErr w:type="spellEnd"/>
            <w:r w:rsidRPr="00686C2A">
              <w:t xml:space="preserve"> product or investment option</w:t>
            </w:r>
          </w:p>
        </w:tc>
        <w:tc>
          <w:tcPr>
            <w:tcW w:w="2362" w:type="dxa"/>
            <w:tcBorders>
              <w:bottom w:val="single" w:sz="4" w:space="0" w:color="auto"/>
            </w:tcBorders>
            <w:shd w:val="clear" w:color="auto" w:fill="auto"/>
          </w:tcPr>
          <w:p w:rsidR="00B519CB" w:rsidRPr="00686C2A" w:rsidRDefault="00B519CB" w:rsidP="00197785">
            <w:pPr>
              <w:spacing w:line="240" w:lineRule="auto"/>
            </w:pPr>
          </w:p>
        </w:tc>
        <w:tc>
          <w:tcPr>
            <w:tcW w:w="2362" w:type="dxa"/>
            <w:tcBorders>
              <w:bottom w:val="single" w:sz="4" w:space="0" w:color="auto"/>
            </w:tcBorders>
            <w:shd w:val="clear" w:color="auto" w:fill="auto"/>
          </w:tcPr>
          <w:p w:rsidR="00B519CB" w:rsidRPr="00686C2A" w:rsidRDefault="00B519CB" w:rsidP="00197785">
            <w:pPr>
              <w:spacing w:line="240" w:lineRule="auto"/>
            </w:pPr>
          </w:p>
        </w:tc>
      </w:tr>
      <w:tr w:rsidR="00A415EF" w:rsidRPr="00686C2A" w:rsidTr="00196B7C">
        <w:tc>
          <w:tcPr>
            <w:tcW w:w="2362" w:type="dxa"/>
            <w:shd w:val="clear" w:color="auto" w:fill="auto"/>
          </w:tcPr>
          <w:p w:rsidR="00B519CB" w:rsidRPr="00686C2A" w:rsidRDefault="00B519CB" w:rsidP="00197785">
            <w:pPr>
              <w:spacing w:line="240" w:lineRule="auto"/>
              <w:rPr>
                <w:i/>
              </w:rPr>
            </w:pPr>
            <w:r w:rsidRPr="00686C2A">
              <w:rPr>
                <w:i/>
              </w:rPr>
              <w:t>Other fees and costs</w:t>
            </w:r>
            <w:r w:rsidRPr="00686C2A">
              <w:rPr>
                <w:rFonts w:cs="Times New Roman"/>
                <w:i/>
              </w:rPr>
              <w:t>¹</w:t>
            </w:r>
          </w:p>
        </w:tc>
        <w:tc>
          <w:tcPr>
            <w:tcW w:w="2362" w:type="dxa"/>
            <w:shd w:val="clear" w:color="auto" w:fill="auto"/>
          </w:tcPr>
          <w:p w:rsidR="00B519CB" w:rsidRPr="00686C2A" w:rsidRDefault="00B519CB" w:rsidP="00197785">
            <w:pPr>
              <w:spacing w:line="240" w:lineRule="auto"/>
            </w:pPr>
          </w:p>
        </w:tc>
        <w:tc>
          <w:tcPr>
            <w:tcW w:w="2362" w:type="dxa"/>
            <w:shd w:val="clear" w:color="auto" w:fill="auto"/>
          </w:tcPr>
          <w:p w:rsidR="00B519CB" w:rsidRPr="00686C2A" w:rsidRDefault="00B519CB" w:rsidP="00197785">
            <w:pPr>
              <w:spacing w:line="240" w:lineRule="auto"/>
            </w:pPr>
          </w:p>
        </w:tc>
      </w:tr>
      <w:tr w:rsidR="00A415EF" w:rsidRPr="00686C2A" w:rsidTr="00196B7C">
        <w:tc>
          <w:tcPr>
            <w:tcW w:w="2362" w:type="dxa"/>
            <w:tcBorders>
              <w:bottom w:val="single" w:sz="12" w:space="0" w:color="auto"/>
            </w:tcBorders>
            <w:shd w:val="clear" w:color="auto" w:fill="auto"/>
          </w:tcPr>
          <w:p w:rsidR="00B519CB" w:rsidRPr="00686C2A" w:rsidRDefault="00B519CB" w:rsidP="00B519CB">
            <w:pPr>
              <w:spacing w:line="240" w:lineRule="auto"/>
              <w:rPr>
                <w:i/>
              </w:rPr>
            </w:pPr>
            <w:r w:rsidRPr="00686C2A">
              <w:rPr>
                <w:i/>
              </w:rPr>
              <w:t>Indirect cost ratio</w:t>
            </w:r>
          </w:p>
        </w:tc>
        <w:tc>
          <w:tcPr>
            <w:tcW w:w="2362" w:type="dxa"/>
            <w:tcBorders>
              <w:bottom w:val="single" w:sz="12" w:space="0" w:color="auto"/>
            </w:tcBorders>
            <w:shd w:val="clear" w:color="auto" w:fill="auto"/>
          </w:tcPr>
          <w:p w:rsidR="00B519CB" w:rsidRPr="00686C2A" w:rsidRDefault="00B519CB" w:rsidP="00197785">
            <w:pPr>
              <w:spacing w:line="240" w:lineRule="auto"/>
            </w:pPr>
          </w:p>
        </w:tc>
        <w:tc>
          <w:tcPr>
            <w:tcW w:w="2362" w:type="dxa"/>
            <w:tcBorders>
              <w:bottom w:val="single" w:sz="12" w:space="0" w:color="auto"/>
            </w:tcBorders>
            <w:shd w:val="clear" w:color="auto" w:fill="auto"/>
          </w:tcPr>
          <w:p w:rsidR="00B519CB" w:rsidRPr="00686C2A" w:rsidRDefault="00B519CB" w:rsidP="00197785">
            <w:pPr>
              <w:spacing w:line="240" w:lineRule="auto"/>
            </w:pPr>
          </w:p>
        </w:tc>
      </w:tr>
    </w:tbl>
    <w:p w:rsidR="003645DE" w:rsidRPr="00686C2A" w:rsidRDefault="003645DE" w:rsidP="00661545">
      <w:pPr>
        <w:pStyle w:val="notemargin"/>
        <w:rPr>
          <w:i/>
        </w:rPr>
      </w:pPr>
      <w:r w:rsidRPr="00686C2A">
        <w:lastRenderedPageBreak/>
        <w:t>1.</w:t>
      </w:r>
      <w:r w:rsidRPr="00686C2A">
        <w:tab/>
      </w:r>
      <w:r w:rsidRPr="00686C2A">
        <w:rPr>
          <w:i/>
        </w:rPr>
        <w:t>[If there are other fees and costs, such as activity fees, advice fees for personal advice or insurance fees, include a cross</w:t>
      </w:r>
      <w:r w:rsidR="00686C2A">
        <w:rPr>
          <w:i/>
        </w:rPr>
        <w:noBreakHyphen/>
      </w:r>
      <w:r w:rsidRPr="00686C2A">
        <w:rPr>
          <w:i/>
        </w:rPr>
        <w:t xml:space="preserve">reference to the </w:t>
      </w:r>
      <w:r w:rsidR="00A16431" w:rsidRPr="00686C2A">
        <w:rPr>
          <w:i/>
        </w:rPr>
        <w:t>“</w:t>
      </w:r>
      <w:r w:rsidRPr="00686C2A">
        <w:rPr>
          <w:i/>
        </w:rPr>
        <w:t>Additional Explanation of Fees and Costs</w:t>
      </w:r>
      <w:r w:rsidR="00A16431" w:rsidRPr="00686C2A">
        <w:rPr>
          <w:i/>
        </w:rPr>
        <w:t>”</w:t>
      </w:r>
      <w:r w:rsidRPr="00686C2A">
        <w:rPr>
          <w:i/>
        </w:rPr>
        <w:t>.]</w:t>
      </w:r>
    </w:p>
    <w:p w:rsidR="003645DE" w:rsidRPr="00686C2A" w:rsidRDefault="003645DE" w:rsidP="003645DE">
      <w:pPr>
        <w:pStyle w:val="ActHead3"/>
      </w:pPr>
      <w:bookmarkStart w:id="22" w:name="_Toc359591516"/>
      <w:r w:rsidRPr="00686C2A">
        <w:rPr>
          <w:rStyle w:val="CharDivNo"/>
        </w:rPr>
        <w:t>Division</w:t>
      </w:r>
      <w:r w:rsidR="00686C2A" w:rsidRPr="00686C2A">
        <w:rPr>
          <w:rStyle w:val="CharDivNo"/>
        </w:rPr>
        <w:t> </w:t>
      </w:r>
      <w:r w:rsidRPr="00686C2A">
        <w:rPr>
          <w:rStyle w:val="CharDivNo"/>
        </w:rPr>
        <w:t>2</w:t>
      </w:r>
      <w:r w:rsidRPr="00686C2A">
        <w:t>—</w:t>
      </w:r>
      <w:r w:rsidRPr="00686C2A">
        <w:rPr>
          <w:rStyle w:val="CharDivText"/>
        </w:rPr>
        <w:t>The fees and costs template for managed investment products</w:t>
      </w:r>
      <w:bookmarkEnd w:id="22"/>
    </w:p>
    <w:p w:rsidR="003645DE" w:rsidRPr="00686C2A" w:rsidRDefault="003645DE" w:rsidP="003645DE">
      <w:pPr>
        <w:pStyle w:val="ActHead5"/>
      </w:pPr>
      <w:bookmarkStart w:id="23" w:name="_Toc359591517"/>
      <w:r w:rsidRPr="00686C2A">
        <w:rPr>
          <w:rStyle w:val="CharSectno"/>
        </w:rPr>
        <w:t>202</w:t>
      </w:r>
      <w:r w:rsidRPr="00686C2A">
        <w:t xml:space="preserve">  Template for a multiple fee structure—managed investment products</w:t>
      </w:r>
      <w:bookmarkEnd w:id="23"/>
    </w:p>
    <w:p w:rsidR="003645DE" w:rsidRPr="00686C2A" w:rsidRDefault="003645DE" w:rsidP="003645DE">
      <w:pPr>
        <w:spacing w:line="276" w:lineRule="auto"/>
        <w:rPr>
          <w:rFonts w:ascii="Arial" w:hAnsi="Arial" w:cs="Arial"/>
          <w:b/>
          <w:sz w:val="24"/>
          <w:szCs w:val="24"/>
        </w:rPr>
      </w:pPr>
    </w:p>
    <w:p w:rsidR="003645DE" w:rsidRPr="00686C2A" w:rsidRDefault="003645DE" w:rsidP="003645DE">
      <w:pPr>
        <w:spacing w:line="276" w:lineRule="auto"/>
        <w:rPr>
          <w:rFonts w:ascii="Arial" w:hAnsi="Arial" w:cs="Arial"/>
          <w:b/>
          <w:sz w:val="24"/>
          <w:szCs w:val="24"/>
        </w:rPr>
      </w:pPr>
      <w:r w:rsidRPr="00686C2A">
        <w:rPr>
          <w:rFonts w:ascii="Arial" w:hAnsi="Arial" w:cs="Arial"/>
          <w:b/>
          <w:sz w:val="24"/>
          <w:szCs w:val="24"/>
        </w:rPr>
        <w:t>Fees and other costs</w:t>
      </w:r>
    </w:p>
    <w:p w:rsidR="003645DE" w:rsidRPr="00686C2A" w:rsidRDefault="003645DE" w:rsidP="003645DE">
      <w:pPr>
        <w:spacing w:line="240" w:lineRule="auto"/>
      </w:pPr>
      <w:r w:rsidRPr="00686C2A">
        <w:rPr>
          <w:rFonts w:ascii="Arial" w:hAnsi="Arial" w:cs="Arial"/>
          <w:sz w:val="19"/>
          <w:szCs w:val="19"/>
        </w:rPr>
        <w:t>T</w:t>
      </w:r>
      <w:r w:rsidRPr="00686C2A">
        <w:t>his document shows fees and other costs that you may be charged. These fees and costs may be deducted from your money, from the returns on your investment or from the assets of the managed investment scheme as a whole.</w:t>
      </w:r>
    </w:p>
    <w:p w:rsidR="003645DE" w:rsidRPr="00686C2A" w:rsidRDefault="003645DE" w:rsidP="003645DE">
      <w:pPr>
        <w:spacing w:line="240" w:lineRule="auto"/>
      </w:pPr>
    </w:p>
    <w:p w:rsidR="003645DE" w:rsidRPr="00686C2A" w:rsidRDefault="003645DE" w:rsidP="003645DE">
      <w:pPr>
        <w:spacing w:line="240" w:lineRule="auto"/>
      </w:pPr>
      <w:r w:rsidRPr="00686C2A">
        <w:t>Taxes and insurance costs are set out in another part of this document.</w:t>
      </w:r>
    </w:p>
    <w:p w:rsidR="003645DE" w:rsidRPr="00686C2A" w:rsidRDefault="003645DE" w:rsidP="003645DE">
      <w:pPr>
        <w:spacing w:line="240" w:lineRule="auto"/>
      </w:pPr>
    </w:p>
    <w:p w:rsidR="003645DE" w:rsidRPr="00686C2A" w:rsidRDefault="003645DE" w:rsidP="003645DE">
      <w:pPr>
        <w:spacing w:line="240" w:lineRule="auto"/>
      </w:pPr>
      <w:r w:rsidRPr="00686C2A">
        <w:t>You have 2 different fee payment options:</w:t>
      </w:r>
    </w:p>
    <w:p w:rsidR="003645DE" w:rsidRPr="00686C2A" w:rsidRDefault="003645DE" w:rsidP="003645DE">
      <w:pPr>
        <w:pStyle w:val="paragraph"/>
      </w:pPr>
      <w:r w:rsidRPr="00686C2A">
        <w:tab/>
        <w:t>(a)</w:t>
      </w:r>
      <w:r w:rsidRPr="00686C2A">
        <w:tab/>
        <w:t>to pay contribution fees upfront, at the time when you make each investment into the managed investment scheme; or</w:t>
      </w:r>
    </w:p>
    <w:p w:rsidR="003645DE" w:rsidRPr="00686C2A" w:rsidRDefault="003645DE" w:rsidP="003645DE">
      <w:pPr>
        <w:pStyle w:val="paragraph"/>
      </w:pPr>
      <w:r w:rsidRPr="00686C2A">
        <w:tab/>
        <w:t>(b)</w:t>
      </w:r>
      <w:r w:rsidRPr="00686C2A">
        <w:tab/>
        <w:t>to pay contribution fees later (for example, on the termination of your investment or by way of other increased fees).</w:t>
      </w:r>
    </w:p>
    <w:p w:rsidR="003645DE" w:rsidRPr="00686C2A" w:rsidRDefault="003645DE" w:rsidP="003645DE">
      <w:pPr>
        <w:pStyle w:val="notemargin"/>
        <w:spacing w:line="240" w:lineRule="auto"/>
      </w:pPr>
      <w:r w:rsidRPr="00686C2A">
        <w:t>Note:</w:t>
      </w:r>
      <w:r w:rsidRPr="00686C2A">
        <w:tab/>
        <w:t>You may pay more in total fees if you choose to pay contribution fees later.</w:t>
      </w:r>
    </w:p>
    <w:p w:rsidR="003645DE" w:rsidRPr="00686C2A" w:rsidRDefault="003645DE" w:rsidP="003645DE">
      <w:pPr>
        <w:pStyle w:val="notemargin"/>
        <w:spacing w:line="240" w:lineRule="auto"/>
      </w:pPr>
    </w:p>
    <w:p w:rsidR="003645DE" w:rsidRPr="00686C2A" w:rsidRDefault="003645DE" w:rsidP="003645DE">
      <w:pPr>
        <w:spacing w:line="240" w:lineRule="auto"/>
      </w:pPr>
      <w:r w:rsidRPr="00686C2A">
        <w:t>You should read all the information about fees and costs because it is important to understand their impact on your investment.</w:t>
      </w:r>
    </w:p>
    <w:p w:rsidR="003645DE" w:rsidRPr="00686C2A" w:rsidRDefault="003645DE" w:rsidP="003645DE">
      <w:pPr>
        <w:spacing w:line="240" w:lineRule="auto"/>
      </w:pPr>
    </w:p>
    <w:p w:rsidR="003645DE" w:rsidRPr="00686C2A" w:rsidRDefault="003645DE" w:rsidP="003645DE">
      <w:pPr>
        <w:spacing w:line="240" w:lineRule="auto"/>
      </w:pPr>
      <w:r w:rsidRPr="00686C2A">
        <w:rPr>
          <w:i/>
        </w:rPr>
        <w:t>[If relevant]</w:t>
      </w:r>
      <w:r w:rsidRPr="00686C2A">
        <w:t xml:space="preserve"> Fees and costs for particular investment options are set out on page </w:t>
      </w:r>
      <w:r w:rsidRPr="00686C2A">
        <w:rPr>
          <w:i/>
        </w:rPr>
        <w:t>[insert page number]</w:t>
      </w:r>
      <w:r w:rsidRPr="00686C2A">
        <w:t>.</w:t>
      </w:r>
    </w:p>
    <w:p w:rsidR="003645DE" w:rsidRPr="00686C2A" w:rsidRDefault="003645DE" w:rsidP="003645DE">
      <w:pPr>
        <w:pStyle w:val="Tabletext"/>
      </w:pPr>
    </w:p>
    <w:p w:rsidR="003645DE" w:rsidRPr="00686C2A" w:rsidRDefault="003645DE" w:rsidP="003645DE">
      <w:pPr>
        <w:pStyle w:val="Tabletext"/>
      </w:pPr>
    </w:p>
    <w:tbl>
      <w:tblPr>
        <w:tblW w:w="0" w:type="auto"/>
        <w:tblInd w:w="113"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1772"/>
        <w:gridCol w:w="1772"/>
        <w:gridCol w:w="1772"/>
        <w:gridCol w:w="1772"/>
      </w:tblGrid>
      <w:tr w:rsidR="00A415EF" w:rsidRPr="00686C2A" w:rsidTr="00197785">
        <w:trPr>
          <w:tblHeader/>
        </w:trPr>
        <w:tc>
          <w:tcPr>
            <w:tcW w:w="7088" w:type="dxa"/>
            <w:gridSpan w:val="4"/>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i/>
              </w:rPr>
            </w:pPr>
            <w:r w:rsidRPr="00686C2A">
              <w:rPr>
                <w:b/>
                <w:i/>
              </w:rPr>
              <w:t>[Name of managed investment product]</w:t>
            </w:r>
          </w:p>
        </w:tc>
      </w:tr>
      <w:tr w:rsidR="00A415EF" w:rsidRPr="00686C2A" w:rsidTr="00197785">
        <w:trPr>
          <w:tblHeader/>
        </w:trPr>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Type of fee or cost</w:t>
            </w:r>
          </w:p>
        </w:tc>
        <w:tc>
          <w:tcPr>
            <w:tcW w:w="3544" w:type="dxa"/>
            <w:gridSpan w:val="2"/>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 xml:space="preserve">Amount </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How and when paid</w:t>
            </w: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Option to pay contribution fees upfront</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Option to pay contribution fees later</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 xml:space="preserve">Fees when your </w:t>
            </w:r>
            <w:r w:rsidRPr="00686C2A">
              <w:rPr>
                <w:b/>
              </w:rPr>
              <w:lastRenderedPageBreak/>
              <w:t>money moves in or out of the managed investment product</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lastRenderedPageBreak/>
              <w:t>Establishment fee</w:t>
            </w:r>
          </w:p>
          <w:p w:rsidR="003645DE" w:rsidRPr="00686C2A" w:rsidRDefault="003645DE" w:rsidP="00197785">
            <w:pPr>
              <w:spacing w:line="240" w:lineRule="auto"/>
            </w:pPr>
            <w:r w:rsidRPr="00686C2A">
              <w:t>The fee to open your investment</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Contribution fee</w:t>
            </w:r>
            <w:r w:rsidRPr="00686C2A">
              <w:rPr>
                <w:rFonts w:cs="Times New Roman"/>
                <w:i/>
              </w:rPr>
              <w:t>¹</w:t>
            </w:r>
          </w:p>
          <w:p w:rsidR="003645DE" w:rsidRPr="00686C2A" w:rsidRDefault="003645DE" w:rsidP="00197785">
            <w:pPr>
              <w:spacing w:line="240" w:lineRule="auto"/>
            </w:pPr>
            <w:r w:rsidRPr="00686C2A">
              <w:t>The fee on each amount contributed to your investment</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Withdrawal fee</w:t>
            </w:r>
            <w:r w:rsidRPr="00686C2A">
              <w:rPr>
                <w:rFonts w:cs="Times New Roman"/>
                <w:i/>
              </w:rPr>
              <w:t>¹</w:t>
            </w:r>
          </w:p>
          <w:p w:rsidR="003645DE" w:rsidRPr="00686C2A" w:rsidRDefault="003645DE" w:rsidP="00197785">
            <w:pPr>
              <w:spacing w:line="240" w:lineRule="auto"/>
            </w:pPr>
            <w:r w:rsidRPr="00686C2A">
              <w:t>The fee on each amount you take out of your investment</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Exit fee</w:t>
            </w:r>
            <w:r w:rsidRPr="00686C2A">
              <w:rPr>
                <w:rFonts w:cs="Times New Roman"/>
                <w:i/>
              </w:rPr>
              <w:t>¹</w:t>
            </w:r>
          </w:p>
          <w:p w:rsidR="003645DE" w:rsidRPr="00686C2A" w:rsidRDefault="003645DE" w:rsidP="00197785">
            <w:pPr>
              <w:spacing w:line="240" w:lineRule="auto"/>
            </w:pPr>
            <w:r w:rsidRPr="00686C2A">
              <w:t>The fee to close your investment</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Management costs</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The fees and costs for managing your investment</w:t>
            </w:r>
            <w:r w:rsidRPr="00686C2A">
              <w:rPr>
                <w:rFonts w:cs="Times New Roman"/>
                <w:i/>
              </w:rPr>
              <w:t>¹</w:t>
            </w:r>
          </w:p>
          <w:p w:rsidR="003645DE" w:rsidRPr="00686C2A" w:rsidRDefault="003645DE" w:rsidP="00197785">
            <w:pPr>
              <w:spacing w:line="240" w:lineRule="auto"/>
            </w:pPr>
            <w:r w:rsidRPr="00686C2A">
              <w:t xml:space="preserve">The amount you pay for specific investment options is shown at page </w:t>
            </w:r>
            <w:r w:rsidRPr="00686C2A">
              <w:rPr>
                <w:i/>
              </w:rPr>
              <w:t>[insert page number]</w:t>
            </w:r>
            <w:r w:rsidRPr="00686C2A">
              <w:t xml:space="preserve"> </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Service fees</w:t>
            </w:r>
            <w:r w:rsidRPr="00686C2A">
              <w:rPr>
                <w:rFonts w:cs="Times New Roman"/>
                <w:b/>
              </w:rPr>
              <w:t>²</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Switching fee</w:t>
            </w:r>
          </w:p>
          <w:p w:rsidR="003645DE" w:rsidRPr="00686C2A" w:rsidRDefault="003645DE" w:rsidP="00197785">
            <w:pPr>
              <w:spacing w:line="240" w:lineRule="auto"/>
            </w:pPr>
            <w:r w:rsidRPr="00686C2A">
              <w:t xml:space="preserve">The fee for </w:t>
            </w:r>
            <w:r w:rsidRPr="00686C2A">
              <w:lastRenderedPageBreak/>
              <w:t>changing investment options</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r>
    </w:tbl>
    <w:p w:rsidR="003645DE" w:rsidRPr="00686C2A" w:rsidRDefault="003645DE" w:rsidP="003645DE">
      <w:pPr>
        <w:pStyle w:val="notemargin"/>
      </w:pPr>
      <w:r w:rsidRPr="00686C2A">
        <w:rPr>
          <w:bCs/>
        </w:rPr>
        <w:lastRenderedPageBreak/>
        <w:t>1.</w:t>
      </w:r>
      <w:r w:rsidRPr="00686C2A">
        <w:rPr>
          <w:b/>
          <w:bCs/>
        </w:rPr>
        <w:tab/>
      </w:r>
      <w:r w:rsidRPr="00686C2A">
        <w:t>This fee includes an amount payable to an adviser. (See Division</w:t>
      </w:r>
      <w:r w:rsidR="00686C2A" w:rsidRPr="00686C2A">
        <w:t> </w:t>
      </w:r>
      <w:r w:rsidRPr="00686C2A">
        <w:t xml:space="preserve">4, </w:t>
      </w:r>
      <w:r w:rsidR="00A16431" w:rsidRPr="00686C2A">
        <w:t>“</w:t>
      </w:r>
      <w:r w:rsidRPr="00686C2A">
        <w:t>Adviser remuneration</w:t>
      </w:r>
      <w:r w:rsidR="00A16431" w:rsidRPr="00686C2A">
        <w:t>”</w:t>
      </w:r>
      <w:r w:rsidRPr="00686C2A">
        <w:t xml:space="preserve"> under the heading </w:t>
      </w:r>
      <w:r w:rsidR="00A16431" w:rsidRPr="00686C2A">
        <w:t>“</w:t>
      </w:r>
      <w:r w:rsidRPr="00686C2A">
        <w:t>Additional Explanation of Fees and Costs</w:t>
      </w:r>
      <w:r w:rsidR="00A16431" w:rsidRPr="00686C2A">
        <w:t>”</w:t>
      </w:r>
      <w:r w:rsidRPr="00686C2A">
        <w:t>.)</w:t>
      </w:r>
    </w:p>
    <w:p w:rsidR="003645DE" w:rsidRPr="00686C2A" w:rsidRDefault="003645DE" w:rsidP="003645DE">
      <w:pPr>
        <w:pStyle w:val="notemargin"/>
        <w:rPr>
          <w:i/>
        </w:rPr>
      </w:pPr>
      <w:r w:rsidRPr="00686C2A">
        <w:rPr>
          <w:bCs/>
        </w:rPr>
        <w:t>2</w:t>
      </w:r>
      <w:r w:rsidRPr="00686C2A">
        <w:t>.</w:t>
      </w:r>
      <w:r w:rsidRPr="00686C2A">
        <w:tab/>
      </w:r>
      <w:r w:rsidRPr="00686C2A">
        <w:rPr>
          <w:i/>
        </w:rPr>
        <w:t>[If there are other service fees, such as advice fees or special request fees, include a cross</w:t>
      </w:r>
      <w:r w:rsidR="00686C2A">
        <w:rPr>
          <w:i/>
        </w:rPr>
        <w:noBreakHyphen/>
      </w:r>
      <w:r w:rsidRPr="00686C2A">
        <w:rPr>
          <w:i/>
        </w:rPr>
        <w:t xml:space="preserve">reference to the </w:t>
      </w:r>
      <w:r w:rsidR="00A16431" w:rsidRPr="00686C2A">
        <w:rPr>
          <w:i/>
        </w:rPr>
        <w:t>“</w:t>
      </w:r>
      <w:r w:rsidRPr="00686C2A">
        <w:rPr>
          <w:i/>
        </w:rPr>
        <w:t>Additional Explanation of Fees and Costs</w:t>
      </w:r>
      <w:r w:rsidR="00A16431" w:rsidRPr="00686C2A">
        <w:rPr>
          <w:i/>
        </w:rPr>
        <w:t>”</w:t>
      </w:r>
      <w:r w:rsidRPr="00686C2A">
        <w:rPr>
          <w:i/>
        </w:rPr>
        <w:t>.]</w:t>
      </w:r>
    </w:p>
    <w:p w:rsidR="003645DE" w:rsidRPr="00686C2A" w:rsidRDefault="003645DE" w:rsidP="003645DE">
      <w:pPr>
        <w:pStyle w:val="ActHead5"/>
      </w:pPr>
      <w:bookmarkStart w:id="24" w:name="_Toc359591518"/>
      <w:r w:rsidRPr="00686C2A">
        <w:rPr>
          <w:rStyle w:val="CharSectno"/>
        </w:rPr>
        <w:t>202A</w:t>
      </w:r>
      <w:r w:rsidRPr="00686C2A">
        <w:t xml:space="preserve">  Template for single fee structure—managed investment products</w:t>
      </w:r>
      <w:bookmarkEnd w:id="24"/>
    </w:p>
    <w:p w:rsidR="003645DE" w:rsidRPr="00686C2A" w:rsidRDefault="003645DE" w:rsidP="003645DE">
      <w:pPr>
        <w:spacing w:line="276" w:lineRule="auto"/>
        <w:rPr>
          <w:rFonts w:ascii="Arial" w:hAnsi="Arial" w:cs="Arial"/>
          <w:b/>
          <w:sz w:val="24"/>
          <w:szCs w:val="24"/>
        </w:rPr>
      </w:pPr>
    </w:p>
    <w:p w:rsidR="003645DE" w:rsidRPr="00686C2A" w:rsidRDefault="003645DE" w:rsidP="003645DE">
      <w:pPr>
        <w:spacing w:line="276" w:lineRule="auto"/>
        <w:rPr>
          <w:rFonts w:ascii="Arial" w:hAnsi="Arial" w:cs="Arial"/>
          <w:b/>
          <w:sz w:val="24"/>
          <w:szCs w:val="24"/>
        </w:rPr>
      </w:pPr>
      <w:r w:rsidRPr="00686C2A">
        <w:rPr>
          <w:rFonts w:ascii="Arial" w:hAnsi="Arial" w:cs="Arial"/>
          <w:b/>
          <w:sz w:val="24"/>
          <w:szCs w:val="24"/>
        </w:rPr>
        <w:t>Fees and other costs</w:t>
      </w:r>
    </w:p>
    <w:p w:rsidR="003645DE" w:rsidRPr="00686C2A" w:rsidRDefault="003645DE" w:rsidP="003645DE">
      <w:pPr>
        <w:spacing w:line="240" w:lineRule="auto"/>
      </w:pPr>
      <w:r w:rsidRPr="00686C2A">
        <w:rPr>
          <w:rFonts w:ascii="Arial" w:hAnsi="Arial" w:cs="Arial"/>
          <w:sz w:val="19"/>
          <w:szCs w:val="19"/>
        </w:rPr>
        <w:t>T</w:t>
      </w:r>
      <w:r w:rsidRPr="00686C2A">
        <w:t>his document shows fees and other costs that you may be charged. These fees and costs may be deducted from your money, from the returns on your investment or from the assets of the managed investment scheme as a whole.</w:t>
      </w:r>
    </w:p>
    <w:p w:rsidR="003645DE" w:rsidRPr="00686C2A" w:rsidRDefault="003645DE" w:rsidP="003645DE">
      <w:pPr>
        <w:spacing w:line="240" w:lineRule="auto"/>
      </w:pPr>
    </w:p>
    <w:p w:rsidR="003645DE" w:rsidRPr="00686C2A" w:rsidRDefault="003645DE" w:rsidP="003645DE">
      <w:pPr>
        <w:spacing w:line="240" w:lineRule="auto"/>
      </w:pPr>
      <w:r w:rsidRPr="00686C2A">
        <w:t>Taxes and insurance costs are set out in another part of this document.</w:t>
      </w:r>
    </w:p>
    <w:p w:rsidR="00B86148" w:rsidRPr="00686C2A" w:rsidRDefault="00B86148" w:rsidP="003645DE">
      <w:pPr>
        <w:spacing w:line="240" w:lineRule="auto"/>
      </w:pPr>
    </w:p>
    <w:p w:rsidR="003645DE" w:rsidRPr="00686C2A" w:rsidRDefault="003645DE" w:rsidP="003645DE">
      <w:pPr>
        <w:spacing w:line="240" w:lineRule="auto"/>
      </w:pPr>
      <w:r w:rsidRPr="00686C2A">
        <w:t>You should read all the information about fees and costs because it is important to understand their impact on your investment.</w:t>
      </w:r>
    </w:p>
    <w:p w:rsidR="003645DE" w:rsidRPr="00686C2A" w:rsidRDefault="003645DE" w:rsidP="003645DE">
      <w:pPr>
        <w:spacing w:line="240" w:lineRule="auto"/>
      </w:pPr>
    </w:p>
    <w:p w:rsidR="003645DE" w:rsidRPr="00686C2A" w:rsidRDefault="003645DE" w:rsidP="003645DE">
      <w:pPr>
        <w:spacing w:line="240" w:lineRule="auto"/>
      </w:pPr>
      <w:r w:rsidRPr="00686C2A">
        <w:rPr>
          <w:i/>
        </w:rPr>
        <w:t>[If relevant]</w:t>
      </w:r>
      <w:r w:rsidRPr="00686C2A">
        <w:t xml:space="preserve"> Fees and costs for particular investment options are set out on page </w:t>
      </w:r>
      <w:r w:rsidRPr="00686C2A">
        <w:rPr>
          <w:i/>
        </w:rPr>
        <w:t>[insert page number]</w:t>
      </w:r>
      <w:r w:rsidRPr="00686C2A">
        <w:t>.</w:t>
      </w:r>
    </w:p>
    <w:tbl>
      <w:tblPr>
        <w:tblW w:w="0" w:type="auto"/>
        <w:tblInd w:w="113"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1772"/>
        <w:gridCol w:w="3544"/>
        <w:gridCol w:w="1772"/>
      </w:tblGrid>
      <w:tr w:rsidR="00A415EF" w:rsidRPr="00686C2A" w:rsidTr="00197785">
        <w:trPr>
          <w:tblHeader/>
        </w:trPr>
        <w:tc>
          <w:tcPr>
            <w:tcW w:w="7088" w:type="dxa"/>
            <w:gridSpan w:val="3"/>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i/>
              </w:rPr>
            </w:pPr>
            <w:r w:rsidRPr="00686C2A">
              <w:rPr>
                <w:b/>
                <w:i/>
              </w:rPr>
              <w:t>[Name of managed investment product]</w:t>
            </w:r>
          </w:p>
        </w:tc>
      </w:tr>
      <w:tr w:rsidR="00A415EF" w:rsidRPr="00686C2A" w:rsidTr="00197785">
        <w:trPr>
          <w:tblHeader/>
        </w:trPr>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Type of fee or cost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 xml:space="preserve">Amount </w:t>
            </w: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How and when paid</w:t>
            </w: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Fees when your money moves in or out of the managed investment product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Establishment fee</w:t>
            </w:r>
          </w:p>
          <w:p w:rsidR="003645DE" w:rsidRPr="00686C2A" w:rsidRDefault="003645DE" w:rsidP="00197785">
            <w:pPr>
              <w:spacing w:line="240" w:lineRule="auto"/>
            </w:pPr>
            <w:r w:rsidRPr="00686C2A">
              <w:t>The fee to open your investment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lastRenderedPageBreak/>
              <w:t>Contribution fee</w:t>
            </w:r>
            <w:r w:rsidRPr="00686C2A">
              <w:rPr>
                <w:rFonts w:cs="Times New Roman"/>
                <w:i/>
              </w:rPr>
              <w:t>¹</w:t>
            </w:r>
          </w:p>
          <w:p w:rsidR="003645DE" w:rsidRPr="00686C2A" w:rsidRDefault="003645DE" w:rsidP="00197785">
            <w:pPr>
              <w:spacing w:line="240" w:lineRule="auto"/>
            </w:pPr>
            <w:r w:rsidRPr="00686C2A">
              <w:t>The fee on each amount contributed to your investment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Withdrawal fee</w:t>
            </w:r>
            <w:r w:rsidRPr="00686C2A">
              <w:rPr>
                <w:rFonts w:cs="Times New Roman"/>
                <w:i/>
              </w:rPr>
              <w:t>¹</w:t>
            </w:r>
          </w:p>
          <w:p w:rsidR="003645DE" w:rsidRPr="00686C2A" w:rsidRDefault="003645DE" w:rsidP="00197785">
            <w:pPr>
              <w:spacing w:line="240" w:lineRule="auto"/>
            </w:pPr>
            <w:r w:rsidRPr="00686C2A">
              <w:t>The fee on each amount you take out of your investment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Exit fee</w:t>
            </w:r>
            <w:r w:rsidRPr="00686C2A">
              <w:rPr>
                <w:rFonts w:cs="Times New Roman"/>
                <w:i/>
              </w:rPr>
              <w:t>¹</w:t>
            </w:r>
          </w:p>
          <w:p w:rsidR="003645DE" w:rsidRPr="00686C2A" w:rsidRDefault="003645DE" w:rsidP="00197785">
            <w:pPr>
              <w:spacing w:line="240" w:lineRule="auto"/>
            </w:pPr>
            <w:r w:rsidRPr="00686C2A">
              <w:t>The fee to close your investment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Management costs</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The fees and costs for managing your investment</w:t>
            </w:r>
            <w:r w:rsidRPr="00686C2A">
              <w:rPr>
                <w:rFonts w:cs="Times New Roman"/>
                <w:i/>
              </w:rPr>
              <w:t>¹</w:t>
            </w:r>
          </w:p>
          <w:p w:rsidR="003645DE" w:rsidRPr="00686C2A" w:rsidRDefault="003645DE" w:rsidP="00197785">
            <w:pPr>
              <w:spacing w:line="240" w:lineRule="auto"/>
            </w:pPr>
            <w:r w:rsidRPr="00686C2A">
              <w:t xml:space="preserve">The amount you pay for specific investment options is shown at page </w:t>
            </w:r>
            <w:r w:rsidRPr="00686C2A">
              <w:rPr>
                <w:i/>
              </w:rPr>
              <w:t>[insert page number]</w:t>
            </w:r>
            <w:r w:rsidRPr="00686C2A">
              <w:t xml:space="preserve"> </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b/>
              </w:rPr>
            </w:pPr>
            <w:r w:rsidRPr="00686C2A">
              <w:rPr>
                <w:b/>
              </w:rPr>
              <w:t>Service fees</w:t>
            </w:r>
            <w:r w:rsidRPr="00686C2A">
              <w:rPr>
                <w:rFonts w:cs="Times New Roman"/>
                <w:b/>
              </w:rPr>
              <w:t>²</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r>
      <w:tr w:rsidR="00A415EF" w:rsidRPr="00686C2A" w:rsidTr="00197785">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i/>
              </w:rPr>
            </w:pPr>
            <w:r w:rsidRPr="00686C2A">
              <w:rPr>
                <w:i/>
              </w:rPr>
              <w:t>Switching fee</w:t>
            </w:r>
          </w:p>
          <w:p w:rsidR="003645DE" w:rsidRPr="00686C2A" w:rsidRDefault="003645DE" w:rsidP="00197785">
            <w:pPr>
              <w:spacing w:line="240" w:lineRule="auto"/>
            </w:pPr>
            <w:r w:rsidRPr="00686C2A">
              <w:t>The fee for changing investment options</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c>
          <w:tcPr>
            <w:tcW w:w="1772" w:type="dxa"/>
            <w:tcBorders>
              <w:top w:val="single" w:sz="2" w:space="0" w:color="auto"/>
              <w:left w:val="single" w:sz="2" w:space="0" w:color="auto"/>
              <w:bottom w:val="single" w:sz="2" w:space="0" w:color="auto"/>
              <w:right w:val="single" w:sz="2" w:space="0" w:color="auto"/>
            </w:tcBorders>
            <w:shd w:val="clear" w:color="auto" w:fill="auto"/>
          </w:tcPr>
          <w:p w:rsidR="003645DE" w:rsidRPr="00686C2A" w:rsidRDefault="003645DE" w:rsidP="00197785">
            <w:pPr>
              <w:spacing w:line="240" w:lineRule="auto"/>
              <w:rPr>
                <w:highlight w:val="yellow"/>
              </w:rPr>
            </w:pPr>
          </w:p>
        </w:tc>
      </w:tr>
    </w:tbl>
    <w:p w:rsidR="003645DE" w:rsidRPr="00686C2A" w:rsidRDefault="003645DE" w:rsidP="003645DE">
      <w:pPr>
        <w:pStyle w:val="notemargin"/>
      </w:pPr>
      <w:r w:rsidRPr="00686C2A">
        <w:rPr>
          <w:bCs/>
        </w:rPr>
        <w:t>1.</w:t>
      </w:r>
      <w:r w:rsidRPr="00686C2A">
        <w:rPr>
          <w:b/>
          <w:bCs/>
        </w:rPr>
        <w:tab/>
      </w:r>
      <w:r w:rsidRPr="00686C2A">
        <w:t>This fee includes an amount payable to an adviser. (See Division</w:t>
      </w:r>
      <w:r w:rsidR="00686C2A" w:rsidRPr="00686C2A">
        <w:t> </w:t>
      </w:r>
      <w:r w:rsidRPr="00686C2A">
        <w:t xml:space="preserve">4, </w:t>
      </w:r>
      <w:r w:rsidR="00A16431" w:rsidRPr="00686C2A">
        <w:t>“</w:t>
      </w:r>
      <w:r w:rsidRPr="00686C2A">
        <w:t>Adviser remuneration</w:t>
      </w:r>
      <w:r w:rsidR="00A16431" w:rsidRPr="00686C2A">
        <w:t>”</w:t>
      </w:r>
      <w:r w:rsidRPr="00686C2A">
        <w:t xml:space="preserve"> under the heading </w:t>
      </w:r>
      <w:r w:rsidR="00A16431" w:rsidRPr="00686C2A">
        <w:t>“</w:t>
      </w:r>
      <w:r w:rsidRPr="00686C2A">
        <w:t>Additional Explanation of Fees and Costs</w:t>
      </w:r>
      <w:r w:rsidR="00A16431" w:rsidRPr="00686C2A">
        <w:t>”</w:t>
      </w:r>
      <w:r w:rsidRPr="00686C2A">
        <w:t>.)</w:t>
      </w:r>
    </w:p>
    <w:p w:rsidR="003645DE" w:rsidRPr="00686C2A" w:rsidRDefault="003645DE" w:rsidP="003645DE">
      <w:pPr>
        <w:pStyle w:val="notemargin"/>
      </w:pPr>
      <w:r w:rsidRPr="00686C2A">
        <w:rPr>
          <w:bCs/>
        </w:rPr>
        <w:t>2</w:t>
      </w:r>
      <w:r w:rsidRPr="00686C2A">
        <w:t>.</w:t>
      </w:r>
      <w:r w:rsidRPr="00686C2A">
        <w:tab/>
      </w:r>
      <w:r w:rsidRPr="00686C2A">
        <w:rPr>
          <w:i/>
        </w:rPr>
        <w:t>[If there are other service fees, such as advice fees or special request fees, include a cross</w:t>
      </w:r>
      <w:r w:rsidR="00686C2A">
        <w:rPr>
          <w:i/>
        </w:rPr>
        <w:noBreakHyphen/>
      </w:r>
      <w:r w:rsidRPr="00686C2A">
        <w:rPr>
          <w:i/>
        </w:rPr>
        <w:t xml:space="preserve">reference to the </w:t>
      </w:r>
      <w:r w:rsidR="00A16431" w:rsidRPr="00686C2A">
        <w:rPr>
          <w:i/>
        </w:rPr>
        <w:t>“</w:t>
      </w:r>
      <w:r w:rsidRPr="00686C2A">
        <w:rPr>
          <w:i/>
        </w:rPr>
        <w:t>Additional Explanation of Fees and Costs</w:t>
      </w:r>
      <w:r w:rsidR="00A16431" w:rsidRPr="00686C2A">
        <w:rPr>
          <w:i/>
        </w:rPr>
        <w:t>”</w:t>
      </w:r>
      <w:r w:rsidRPr="00686C2A">
        <w:rPr>
          <w:i/>
        </w:rPr>
        <w:t>.]</w:t>
      </w:r>
    </w:p>
    <w:p w:rsidR="003645DE" w:rsidRPr="00686C2A" w:rsidRDefault="0018263A" w:rsidP="003645DE">
      <w:pPr>
        <w:pStyle w:val="ItemHead"/>
      </w:pPr>
      <w:r w:rsidRPr="00686C2A">
        <w:lastRenderedPageBreak/>
        <w:t>35</w:t>
      </w:r>
      <w:r w:rsidR="003645DE" w:rsidRPr="00686C2A">
        <w:t xml:space="preserve">  Subclause</w:t>
      </w:r>
      <w:r w:rsidR="00686C2A" w:rsidRPr="00686C2A">
        <w:t> </w:t>
      </w:r>
      <w:r w:rsidR="003645DE" w:rsidRPr="00686C2A">
        <w:t>204(6) of Schedule</w:t>
      </w:r>
      <w:r w:rsidR="00686C2A" w:rsidRPr="00686C2A">
        <w:t> </w:t>
      </w:r>
      <w:r w:rsidR="003645DE" w:rsidRPr="00686C2A">
        <w:t>10 (example)</w:t>
      </w:r>
    </w:p>
    <w:p w:rsidR="003645DE" w:rsidRPr="00686C2A" w:rsidRDefault="003645DE" w:rsidP="003645DE">
      <w:pPr>
        <w:pStyle w:val="Item"/>
      </w:pPr>
      <w:r w:rsidRPr="00686C2A">
        <w:t xml:space="preserve">Omit </w:t>
      </w:r>
      <w:r w:rsidR="00A16431" w:rsidRPr="00686C2A">
        <w:t>“</w:t>
      </w:r>
      <w:r w:rsidRPr="00686C2A">
        <w:t>member balance</w:t>
      </w:r>
      <w:r w:rsidR="00A16431" w:rsidRPr="00686C2A">
        <w:t>”</w:t>
      </w:r>
      <w:r w:rsidRPr="00686C2A">
        <w:t xml:space="preserve">, substitute </w:t>
      </w:r>
      <w:r w:rsidR="00A16431" w:rsidRPr="00686C2A">
        <w:t>“</w:t>
      </w:r>
      <w:r w:rsidRPr="00686C2A">
        <w:t>product holder</w:t>
      </w:r>
      <w:r w:rsidR="00A16431" w:rsidRPr="00686C2A">
        <w:t>’</w:t>
      </w:r>
      <w:r w:rsidRPr="00686C2A">
        <w:t>s balance</w:t>
      </w:r>
      <w:r w:rsidR="00A16431" w:rsidRPr="00686C2A">
        <w:t>”</w:t>
      </w:r>
      <w:r w:rsidRPr="00686C2A">
        <w:t>.</w:t>
      </w:r>
    </w:p>
    <w:p w:rsidR="003645DE" w:rsidRPr="00686C2A" w:rsidRDefault="0018263A" w:rsidP="003645DE">
      <w:pPr>
        <w:pStyle w:val="ItemHead"/>
      </w:pPr>
      <w:r w:rsidRPr="00686C2A">
        <w:t>36</w:t>
      </w:r>
      <w:r w:rsidR="003645DE" w:rsidRPr="00686C2A">
        <w:t xml:space="preserve">  Clause</w:t>
      </w:r>
      <w:r w:rsidR="00686C2A" w:rsidRPr="00686C2A">
        <w:t> </w:t>
      </w:r>
      <w:r w:rsidR="003645DE" w:rsidRPr="00686C2A">
        <w:t>205 of Schedule</w:t>
      </w:r>
      <w:r w:rsidR="00686C2A" w:rsidRPr="00686C2A">
        <w:t> </w:t>
      </w:r>
      <w:r w:rsidR="003645DE" w:rsidRPr="00686C2A">
        <w:t>10</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25" w:name="_Toc359591519"/>
      <w:r w:rsidRPr="00686C2A">
        <w:rPr>
          <w:rStyle w:val="CharSectno"/>
        </w:rPr>
        <w:t>205</w:t>
      </w:r>
      <w:r w:rsidRPr="00686C2A">
        <w:t xml:space="preserve">  Column 2—include information for each </w:t>
      </w:r>
      <w:proofErr w:type="spellStart"/>
      <w:r w:rsidRPr="00686C2A">
        <w:t>MySuper</w:t>
      </w:r>
      <w:proofErr w:type="spellEnd"/>
      <w:r w:rsidRPr="00686C2A">
        <w:t xml:space="preserve"> product or investment option</w:t>
      </w:r>
      <w:bookmarkEnd w:id="25"/>
    </w:p>
    <w:p w:rsidR="003645DE" w:rsidRPr="00686C2A" w:rsidRDefault="003645DE" w:rsidP="003645DE">
      <w:pPr>
        <w:pStyle w:val="subsection"/>
      </w:pPr>
      <w:r w:rsidRPr="00686C2A">
        <w:tab/>
        <w:t>(1)</w:t>
      </w:r>
      <w:r w:rsidRPr="00686C2A">
        <w:tab/>
        <w:t>The fee information must be set out:</w:t>
      </w:r>
    </w:p>
    <w:p w:rsidR="003645DE" w:rsidRPr="00686C2A" w:rsidRDefault="003645DE" w:rsidP="003645DE">
      <w:pPr>
        <w:pStyle w:val="paragraph"/>
      </w:pPr>
      <w:r w:rsidRPr="00686C2A">
        <w:tab/>
        <w:t>(a)</w:t>
      </w:r>
      <w:r w:rsidRPr="00686C2A">
        <w:tab/>
        <w:t xml:space="preserve">for superannuation products—for each </w:t>
      </w:r>
      <w:proofErr w:type="spellStart"/>
      <w:r w:rsidRPr="00686C2A">
        <w:t>MySuper</w:t>
      </w:r>
      <w:proofErr w:type="spellEnd"/>
      <w:r w:rsidRPr="00686C2A">
        <w:t xml:space="preserve"> product and each investment option offered by the relevant superannuation entity; and</w:t>
      </w:r>
    </w:p>
    <w:p w:rsidR="003645DE" w:rsidRPr="00686C2A" w:rsidRDefault="003645DE" w:rsidP="003645DE">
      <w:pPr>
        <w:pStyle w:val="paragraph"/>
      </w:pPr>
      <w:r w:rsidRPr="00686C2A">
        <w:tab/>
        <w:t>(b)</w:t>
      </w:r>
      <w:r w:rsidRPr="00686C2A">
        <w:tab/>
        <w:t>for managed investment products—for each investment option offered by the relevant manage</w:t>
      </w:r>
      <w:r w:rsidR="004A6CEA" w:rsidRPr="00686C2A">
        <w:t>d</w:t>
      </w:r>
      <w:r w:rsidRPr="00686C2A">
        <w:t xml:space="preserve"> investment scheme.</w:t>
      </w:r>
    </w:p>
    <w:p w:rsidR="003645DE" w:rsidRPr="00686C2A" w:rsidRDefault="003645DE" w:rsidP="003645DE">
      <w:pPr>
        <w:pStyle w:val="subsection"/>
      </w:pPr>
      <w:r w:rsidRPr="00686C2A">
        <w:tab/>
        <w:t>(2)</w:t>
      </w:r>
      <w:r w:rsidRPr="00686C2A">
        <w:tab/>
        <w:t>It may be:</w:t>
      </w:r>
    </w:p>
    <w:p w:rsidR="003645DE" w:rsidRPr="00686C2A" w:rsidRDefault="003645DE" w:rsidP="003645DE">
      <w:pPr>
        <w:pStyle w:val="paragraph"/>
      </w:pPr>
      <w:r w:rsidRPr="00686C2A">
        <w:tab/>
        <w:t>(a)</w:t>
      </w:r>
      <w:r w:rsidRPr="00686C2A">
        <w:tab/>
        <w:t>set out in the table; or</w:t>
      </w:r>
    </w:p>
    <w:p w:rsidR="003645DE" w:rsidRPr="00686C2A" w:rsidRDefault="003645DE" w:rsidP="003645DE">
      <w:pPr>
        <w:pStyle w:val="paragraph"/>
      </w:pPr>
      <w:r w:rsidRPr="00686C2A">
        <w:tab/>
        <w:t>(b)</w:t>
      </w:r>
      <w:r w:rsidRPr="00686C2A">
        <w:tab/>
        <w:t>cross</w:t>
      </w:r>
      <w:r w:rsidR="00686C2A">
        <w:noBreakHyphen/>
      </w:r>
      <w:r w:rsidRPr="00686C2A">
        <w:t>referenced in the table to another section of the Product Disclosure Statement that contains the relevant fee information.</w:t>
      </w:r>
    </w:p>
    <w:p w:rsidR="003645DE" w:rsidRPr="00686C2A" w:rsidRDefault="0018263A" w:rsidP="003645DE">
      <w:pPr>
        <w:pStyle w:val="ItemHead"/>
      </w:pPr>
      <w:r w:rsidRPr="00686C2A">
        <w:t>37</w:t>
      </w:r>
      <w:r w:rsidR="003645DE" w:rsidRPr="00686C2A">
        <w:t xml:space="preserve">  Clause</w:t>
      </w:r>
      <w:r w:rsidR="00686C2A" w:rsidRPr="00686C2A">
        <w:t> </w:t>
      </w:r>
      <w:r w:rsidR="003645DE" w:rsidRPr="00686C2A">
        <w:t>206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a fund</w:t>
      </w:r>
      <w:r w:rsidR="00A16431" w:rsidRPr="00686C2A">
        <w:t>”</w:t>
      </w:r>
      <w:r w:rsidRPr="00686C2A">
        <w:t xml:space="preserve">, substitute </w:t>
      </w:r>
      <w:r w:rsidR="00A16431" w:rsidRPr="00686C2A">
        <w:t>“</w:t>
      </w:r>
      <w:r w:rsidRPr="00686C2A">
        <w:t>a superannuation entity or managed investment scheme</w:t>
      </w:r>
      <w:r w:rsidR="00A16431" w:rsidRPr="00686C2A">
        <w:t>”</w:t>
      </w:r>
      <w:r w:rsidRPr="00686C2A">
        <w:t>.</w:t>
      </w:r>
    </w:p>
    <w:p w:rsidR="003645DE" w:rsidRPr="00686C2A" w:rsidRDefault="0018263A" w:rsidP="003645DE">
      <w:pPr>
        <w:pStyle w:val="ItemHead"/>
      </w:pPr>
      <w:r w:rsidRPr="00686C2A">
        <w:t>38</w:t>
      </w:r>
      <w:r w:rsidR="003645DE" w:rsidRPr="00686C2A">
        <w:t xml:space="preserve">  Subparagraph 207(a)(ii) of Schedule</w:t>
      </w:r>
      <w:r w:rsidR="00686C2A" w:rsidRPr="00686C2A">
        <w:t> </w:t>
      </w:r>
      <w:r w:rsidR="003645DE" w:rsidRPr="00686C2A">
        <w:t>10</w:t>
      </w:r>
    </w:p>
    <w:p w:rsidR="003645DE" w:rsidRPr="00686C2A" w:rsidRDefault="003645DE" w:rsidP="003645DE">
      <w:pPr>
        <w:pStyle w:val="Item"/>
      </w:pPr>
      <w:r w:rsidRPr="00686C2A">
        <w:t>Repeal the subparagraph, substitute:</w:t>
      </w:r>
    </w:p>
    <w:p w:rsidR="003645DE" w:rsidRPr="00686C2A" w:rsidRDefault="003645DE" w:rsidP="003645DE">
      <w:pPr>
        <w:pStyle w:val="paragraphsub"/>
      </w:pPr>
      <w:r w:rsidRPr="00686C2A">
        <w:tab/>
        <w:t>(ii)</w:t>
      </w:r>
      <w:r w:rsidRPr="00686C2A">
        <w:tab/>
        <w:t>the assets of the superannuation entity or managed investment scheme;</w:t>
      </w:r>
    </w:p>
    <w:p w:rsidR="003645DE" w:rsidRPr="00686C2A" w:rsidRDefault="0018263A" w:rsidP="003645DE">
      <w:pPr>
        <w:pStyle w:val="ItemHead"/>
      </w:pPr>
      <w:r w:rsidRPr="00686C2A">
        <w:t>39</w:t>
      </w:r>
      <w:r w:rsidR="003645DE" w:rsidRPr="00686C2A">
        <w:t xml:space="preserve">  Clause</w:t>
      </w:r>
      <w:r w:rsidR="00686C2A" w:rsidRPr="00686C2A">
        <w:t> </w:t>
      </w:r>
      <w:r w:rsidR="003645DE" w:rsidRPr="00686C2A">
        <w:t>209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the particular fund or product</w:t>
      </w:r>
      <w:r w:rsidR="00A16431" w:rsidRPr="00686C2A">
        <w:t>”</w:t>
      </w:r>
      <w:r w:rsidRPr="00686C2A">
        <w:t xml:space="preserve">, substitute </w:t>
      </w:r>
      <w:r w:rsidR="00A16431" w:rsidRPr="00686C2A">
        <w:t>“</w:t>
      </w:r>
      <w:r w:rsidRPr="00686C2A">
        <w:t>the particular superannuation product or managed investment product</w:t>
      </w:r>
      <w:r w:rsidR="00A16431" w:rsidRPr="00686C2A">
        <w:t>”</w:t>
      </w:r>
      <w:r w:rsidRPr="00686C2A">
        <w:t>.</w:t>
      </w:r>
    </w:p>
    <w:p w:rsidR="003645DE" w:rsidRPr="00686C2A" w:rsidRDefault="0018263A" w:rsidP="003645DE">
      <w:pPr>
        <w:pStyle w:val="ItemHead"/>
      </w:pPr>
      <w:r w:rsidRPr="00686C2A">
        <w:t>40</w:t>
      </w:r>
      <w:r w:rsidR="003645DE" w:rsidRPr="00686C2A">
        <w:t xml:space="preserve">  Paragraph 209(a) of Schedule</w:t>
      </w:r>
      <w:r w:rsidR="00686C2A" w:rsidRPr="00686C2A">
        <w:t> </w:t>
      </w:r>
      <w:r w:rsidR="003645DE" w:rsidRPr="00686C2A">
        <w:t>10</w:t>
      </w:r>
    </w:p>
    <w:p w:rsidR="003645DE" w:rsidRPr="00686C2A" w:rsidRDefault="003645DE" w:rsidP="003645DE">
      <w:pPr>
        <w:pStyle w:val="Item"/>
      </w:pPr>
      <w:r w:rsidRPr="00686C2A">
        <w:t>Repeal the paragraph, substitute:</w:t>
      </w:r>
    </w:p>
    <w:p w:rsidR="003645DE" w:rsidRPr="00686C2A" w:rsidRDefault="003645DE" w:rsidP="003645DE">
      <w:pPr>
        <w:pStyle w:val="paragraph"/>
      </w:pPr>
      <w:r w:rsidRPr="00686C2A">
        <w:lastRenderedPageBreak/>
        <w:tab/>
        <w:t>(a)</w:t>
      </w:r>
      <w:r w:rsidRPr="00686C2A">
        <w:tab/>
        <w:t>the explanation of the fees mentioned in footnote 1 for superannuation products and footnote 2 for managed investment products;</w:t>
      </w:r>
    </w:p>
    <w:p w:rsidR="003645DE" w:rsidRPr="00686C2A" w:rsidRDefault="0018263A" w:rsidP="003645DE">
      <w:pPr>
        <w:pStyle w:val="ItemHead"/>
      </w:pPr>
      <w:r w:rsidRPr="00686C2A">
        <w:t>41</w:t>
      </w:r>
      <w:r w:rsidR="003645DE" w:rsidRPr="00686C2A">
        <w:t xml:space="preserve">  Subparagraph 209(b)(</w:t>
      </w:r>
      <w:proofErr w:type="spellStart"/>
      <w:r w:rsidR="003645DE" w:rsidRPr="00686C2A">
        <w:t>i</w:t>
      </w:r>
      <w:proofErr w:type="spellEnd"/>
      <w:r w:rsidR="003645DE" w:rsidRPr="00686C2A">
        <w:t>) of Schedule</w:t>
      </w:r>
      <w:r w:rsidR="00686C2A" w:rsidRPr="00686C2A">
        <w:t> </w:t>
      </w:r>
      <w:r w:rsidR="003645DE" w:rsidRPr="00686C2A">
        <w:t>10</w:t>
      </w:r>
    </w:p>
    <w:p w:rsidR="003645DE" w:rsidRPr="00686C2A" w:rsidRDefault="003645DE" w:rsidP="003645DE">
      <w:pPr>
        <w:pStyle w:val="Item"/>
      </w:pPr>
      <w:r w:rsidRPr="00686C2A">
        <w:t>Repeal the subparagraph, substitute:</w:t>
      </w:r>
    </w:p>
    <w:p w:rsidR="003645DE" w:rsidRPr="00686C2A" w:rsidRDefault="003645DE" w:rsidP="003645DE">
      <w:pPr>
        <w:pStyle w:val="paragraphsub"/>
      </w:pPr>
      <w:r w:rsidRPr="00686C2A">
        <w:tab/>
        <w:t>(</w:t>
      </w:r>
      <w:proofErr w:type="spellStart"/>
      <w:r w:rsidRPr="00686C2A">
        <w:t>i</w:t>
      </w:r>
      <w:proofErr w:type="spellEnd"/>
      <w:r w:rsidRPr="00686C2A">
        <w:t>)</w:t>
      </w:r>
      <w:r w:rsidRPr="00686C2A">
        <w:tab/>
        <w:t>a statement about how performance fees affect administration fees and investment fees for a superannuation product, or management costs for a managed investment product; and</w:t>
      </w:r>
    </w:p>
    <w:p w:rsidR="003645DE" w:rsidRPr="00686C2A" w:rsidRDefault="0018263A" w:rsidP="003645DE">
      <w:pPr>
        <w:pStyle w:val="ItemHead"/>
      </w:pPr>
      <w:r w:rsidRPr="00686C2A">
        <w:t>42</w:t>
      </w:r>
      <w:r w:rsidR="003645DE" w:rsidRPr="00686C2A">
        <w:t xml:space="preserve">  Paragraph 209(c) of Schedule</w:t>
      </w:r>
      <w:r w:rsidR="00686C2A" w:rsidRPr="00686C2A">
        <w:t> </w:t>
      </w:r>
      <w:r w:rsidR="003645DE" w:rsidRPr="00686C2A">
        <w:t>10</w:t>
      </w:r>
    </w:p>
    <w:p w:rsidR="003645DE" w:rsidRPr="00686C2A" w:rsidRDefault="003645DE" w:rsidP="003645DE">
      <w:pPr>
        <w:pStyle w:val="Item"/>
      </w:pPr>
      <w:r w:rsidRPr="00686C2A">
        <w:t>Repeal the paragraph, substitute:</w:t>
      </w:r>
    </w:p>
    <w:p w:rsidR="003645DE" w:rsidRPr="00686C2A" w:rsidRDefault="003645DE" w:rsidP="003645DE">
      <w:pPr>
        <w:pStyle w:val="paragraph"/>
      </w:pPr>
      <w:r w:rsidRPr="00686C2A">
        <w:tab/>
        <w:t>(c)</w:t>
      </w:r>
      <w:r w:rsidRPr="00686C2A">
        <w:tab/>
        <w:t xml:space="preserve">for tax—a cross reference to the </w:t>
      </w:r>
      <w:r w:rsidR="00A16431" w:rsidRPr="00686C2A">
        <w:t>“</w:t>
      </w:r>
      <w:r w:rsidRPr="00686C2A">
        <w:t>Tax</w:t>
      </w:r>
      <w:r w:rsidR="00A16431" w:rsidRPr="00686C2A">
        <w:t>”</w:t>
      </w:r>
      <w:r w:rsidRPr="00686C2A">
        <w:t xml:space="preserve"> part of the Product Disclosure Statement;</w:t>
      </w:r>
    </w:p>
    <w:p w:rsidR="003645DE" w:rsidRPr="00686C2A" w:rsidRDefault="003645DE" w:rsidP="003645DE">
      <w:pPr>
        <w:pStyle w:val="paragraph"/>
      </w:pPr>
      <w:r w:rsidRPr="00686C2A">
        <w:tab/>
        <w:t>(</w:t>
      </w:r>
      <w:proofErr w:type="spellStart"/>
      <w:r w:rsidRPr="00686C2A">
        <w:t>ca</w:t>
      </w:r>
      <w:proofErr w:type="spellEnd"/>
      <w:r w:rsidRPr="00686C2A">
        <w:t>)</w:t>
      </w:r>
      <w:r w:rsidRPr="00686C2A">
        <w:tab/>
        <w:t>for insurance fees and other costs relating to insurance</w:t>
      </w:r>
      <w:r w:rsidR="00935391" w:rsidRPr="00686C2A">
        <w:t xml:space="preserve"> (if relevant)</w:t>
      </w:r>
      <w:r w:rsidRPr="00686C2A">
        <w:t xml:space="preserve">—a cross reference to the </w:t>
      </w:r>
      <w:r w:rsidR="00A16431" w:rsidRPr="00686C2A">
        <w:t>“</w:t>
      </w:r>
      <w:r w:rsidRPr="00686C2A">
        <w:t>Insurance</w:t>
      </w:r>
      <w:r w:rsidR="00A16431" w:rsidRPr="00686C2A">
        <w:t>”</w:t>
      </w:r>
      <w:r w:rsidRPr="00686C2A">
        <w:t xml:space="preserve"> part of the Product Disclosure Statement;</w:t>
      </w:r>
    </w:p>
    <w:p w:rsidR="003645DE" w:rsidRPr="00686C2A" w:rsidRDefault="0018263A" w:rsidP="003645DE">
      <w:pPr>
        <w:pStyle w:val="ItemHead"/>
      </w:pPr>
      <w:r w:rsidRPr="00686C2A">
        <w:t>43</w:t>
      </w:r>
      <w:r w:rsidR="003645DE" w:rsidRPr="00686C2A">
        <w:t xml:space="preserve">  Paragraph 209(e)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(if known to the fund)</w:t>
      </w:r>
      <w:r w:rsidR="00A16431" w:rsidRPr="00686C2A">
        <w:t>”</w:t>
      </w:r>
      <w:r w:rsidRPr="00686C2A">
        <w:t xml:space="preserve">, substitute </w:t>
      </w:r>
      <w:r w:rsidR="00A16431" w:rsidRPr="00686C2A">
        <w:t>“</w:t>
      </w:r>
      <w:r w:rsidRPr="00686C2A">
        <w:t>(if known to the product issuer)</w:t>
      </w:r>
      <w:r w:rsidR="00A16431" w:rsidRPr="00686C2A">
        <w:t>”</w:t>
      </w:r>
      <w:r w:rsidRPr="00686C2A">
        <w:t>.</w:t>
      </w:r>
    </w:p>
    <w:p w:rsidR="003645DE" w:rsidRPr="00686C2A" w:rsidRDefault="0018263A" w:rsidP="003645DE">
      <w:pPr>
        <w:pStyle w:val="ItemHead"/>
      </w:pPr>
      <w:r w:rsidRPr="00686C2A">
        <w:t>44</w:t>
      </w:r>
      <w:r w:rsidR="003645DE" w:rsidRPr="00686C2A">
        <w:t xml:space="preserve">  Paragraph 209(f)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advisor service fees</w:t>
      </w:r>
      <w:r w:rsidR="00A16431" w:rsidRPr="00686C2A">
        <w:t>”</w:t>
      </w:r>
      <w:r w:rsidRPr="00686C2A">
        <w:t xml:space="preserve">, substitute </w:t>
      </w:r>
      <w:r w:rsidR="00A16431" w:rsidRPr="00686C2A">
        <w:t>“</w:t>
      </w:r>
      <w:r w:rsidRPr="00686C2A">
        <w:t>advice fees</w:t>
      </w:r>
      <w:r w:rsidR="00A16431" w:rsidRPr="00686C2A">
        <w:t>”</w:t>
      </w:r>
      <w:r w:rsidRPr="00686C2A">
        <w:t>.</w:t>
      </w:r>
    </w:p>
    <w:p w:rsidR="003645DE" w:rsidRPr="00686C2A" w:rsidRDefault="0018263A" w:rsidP="003645DE">
      <w:pPr>
        <w:pStyle w:val="ItemHead"/>
      </w:pPr>
      <w:r w:rsidRPr="00686C2A">
        <w:t>45</w:t>
      </w:r>
      <w:r w:rsidR="003645DE" w:rsidRPr="00686C2A">
        <w:t xml:space="preserve">  Paragraph 209(m)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superannuation fund</w:t>
      </w:r>
      <w:r w:rsidR="00A16431" w:rsidRPr="00686C2A">
        <w:t>”</w:t>
      </w:r>
      <w:r w:rsidRPr="00686C2A">
        <w:t xml:space="preserve">, substitute </w:t>
      </w:r>
      <w:r w:rsidR="00A16431" w:rsidRPr="00686C2A">
        <w:t>“</w:t>
      </w:r>
      <w:r w:rsidRPr="00686C2A">
        <w:t>superannuation product</w:t>
      </w:r>
      <w:r w:rsidR="00A16431" w:rsidRPr="00686C2A">
        <w:t>”</w:t>
      </w:r>
      <w:r w:rsidRPr="00686C2A">
        <w:t>.</w:t>
      </w:r>
    </w:p>
    <w:p w:rsidR="003645DE" w:rsidRPr="00686C2A" w:rsidRDefault="0018263A" w:rsidP="003645DE">
      <w:pPr>
        <w:pStyle w:val="ItemHead"/>
        <w:rPr>
          <w:rFonts w:cs="Arial"/>
          <w:noProof/>
        </w:rPr>
      </w:pPr>
      <w:r w:rsidRPr="00686C2A">
        <w:rPr>
          <w:rFonts w:cs="Arial"/>
          <w:noProof/>
        </w:rPr>
        <w:t>46</w:t>
      </w:r>
      <w:r w:rsidR="003645DE" w:rsidRPr="00686C2A">
        <w:rPr>
          <w:rFonts w:cs="Arial"/>
          <w:noProof/>
        </w:rPr>
        <w:t xml:space="preserve">  After Division</w:t>
      </w:r>
      <w:r w:rsidR="00686C2A" w:rsidRPr="00686C2A">
        <w:rPr>
          <w:rFonts w:cs="Arial"/>
          <w:noProof/>
        </w:rPr>
        <w:t> </w:t>
      </w:r>
      <w:r w:rsidR="003645DE" w:rsidRPr="00686C2A">
        <w:rPr>
          <w:rFonts w:cs="Arial"/>
          <w:noProof/>
        </w:rPr>
        <w:t>4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Insert:</w:t>
      </w:r>
    </w:p>
    <w:p w:rsidR="003645DE" w:rsidRPr="00686C2A" w:rsidRDefault="003645DE" w:rsidP="003645DE">
      <w:pPr>
        <w:pStyle w:val="ActHead3"/>
      </w:pPr>
      <w:bookmarkStart w:id="26" w:name="_Toc359591520"/>
      <w:r w:rsidRPr="00686C2A">
        <w:rPr>
          <w:rStyle w:val="CharDivNo"/>
        </w:rPr>
        <w:t>Division</w:t>
      </w:r>
      <w:r w:rsidR="00686C2A" w:rsidRPr="00686C2A">
        <w:rPr>
          <w:rStyle w:val="CharDivNo"/>
        </w:rPr>
        <w:t> </w:t>
      </w:r>
      <w:r w:rsidRPr="00686C2A">
        <w:rPr>
          <w:rStyle w:val="CharDivNo"/>
        </w:rPr>
        <w:t>4A</w:t>
      </w:r>
      <w:r w:rsidRPr="00686C2A">
        <w:t>—</w:t>
      </w:r>
      <w:r w:rsidRPr="00686C2A">
        <w:rPr>
          <w:rStyle w:val="CharDivText"/>
        </w:rPr>
        <w:t>Defined fees for superannuation products</w:t>
      </w:r>
      <w:bookmarkEnd w:id="26"/>
    </w:p>
    <w:p w:rsidR="003645DE" w:rsidRPr="00686C2A" w:rsidRDefault="003645DE" w:rsidP="003645DE">
      <w:pPr>
        <w:pStyle w:val="ActHead5"/>
      </w:pPr>
      <w:bookmarkStart w:id="27" w:name="_Toc359591521"/>
      <w:r w:rsidRPr="00686C2A">
        <w:rPr>
          <w:rStyle w:val="CharSectno"/>
        </w:rPr>
        <w:t>209A</w:t>
      </w:r>
      <w:r w:rsidRPr="00686C2A">
        <w:t xml:space="preserve">  Defined fees for superannuation products</w:t>
      </w:r>
      <w:bookmarkEnd w:id="27"/>
    </w:p>
    <w:p w:rsidR="003645DE" w:rsidRPr="00686C2A" w:rsidRDefault="003645DE" w:rsidP="003645DE">
      <w:pPr>
        <w:pStyle w:val="subsection"/>
      </w:pPr>
      <w:r w:rsidRPr="00686C2A">
        <w:tab/>
      </w:r>
      <w:r w:rsidRPr="00686C2A">
        <w:tab/>
        <w:t xml:space="preserve">The following definitions must be included for a superannuation product under the heading </w:t>
      </w:r>
      <w:r w:rsidR="00A16431" w:rsidRPr="00686C2A">
        <w:t>“</w:t>
      </w:r>
      <w:r w:rsidRPr="00686C2A">
        <w:t>Defined fees</w:t>
      </w:r>
      <w:r w:rsidR="00A16431" w:rsidRPr="00686C2A">
        <w:t>”</w:t>
      </w:r>
      <w:r w:rsidRPr="00686C2A">
        <w:t>:</w:t>
      </w:r>
    </w:p>
    <w:p w:rsidR="003645DE" w:rsidRPr="00686C2A" w:rsidRDefault="003645DE" w:rsidP="003645DE">
      <w:pPr>
        <w:pStyle w:val="SubsectionHead"/>
      </w:pPr>
      <w:r w:rsidRPr="00686C2A">
        <w:lastRenderedPageBreak/>
        <w:t>Activity fees</w:t>
      </w:r>
    </w:p>
    <w:p w:rsidR="003645DE" w:rsidRPr="00686C2A" w:rsidRDefault="003645DE" w:rsidP="003645DE">
      <w:pPr>
        <w:pStyle w:val="subsection"/>
      </w:pPr>
      <w:r w:rsidRPr="00686C2A">
        <w:tab/>
      </w:r>
      <w:r w:rsidRPr="00686C2A">
        <w:tab/>
        <w:t xml:space="preserve">A fee is an </w:t>
      </w:r>
      <w:r w:rsidRPr="00686C2A">
        <w:rPr>
          <w:b/>
          <w:i/>
        </w:rPr>
        <w:t>activity fee</w:t>
      </w:r>
      <w:r w:rsidRPr="00686C2A">
        <w:t xml:space="preserve"> if:</w:t>
      </w:r>
    </w:p>
    <w:p w:rsidR="003645DE" w:rsidRPr="00686C2A" w:rsidRDefault="003645DE" w:rsidP="003645DE">
      <w:pPr>
        <w:pStyle w:val="paragraph"/>
      </w:pPr>
      <w:r w:rsidRPr="00686C2A">
        <w:tab/>
        <w:t>(a)</w:t>
      </w:r>
      <w:r w:rsidRPr="00686C2A">
        <w:tab/>
        <w:t>the fee relates to costs incurred by the trustee</w:t>
      </w:r>
      <w:r w:rsidRPr="00686C2A">
        <w:rPr>
          <w:i/>
        </w:rPr>
        <w:t xml:space="preserve"> [OR the trustees]</w:t>
      </w:r>
      <w:r w:rsidRPr="00686C2A">
        <w:t xml:space="preserve"> of the superannuation entity that are directly related to an activity of the trustee</w:t>
      </w:r>
      <w:r w:rsidRPr="00686C2A">
        <w:rPr>
          <w:i/>
        </w:rPr>
        <w:t xml:space="preserve"> [OR the trustees]</w:t>
      </w:r>
      <w:r w:rsidRPr="00686C2A">
        <w:t>:</w:t>
      </w:r>
    </w:p>
    <w:p w:rsidR="003645DE" w:rsidRPr="00686C2A" w:rsidRDefault="003645DE" w:rsidP="003645DE">
      <w:pPr>
        <w:pStyle w:val="paragraphsub"/>
      </w:pPr>
      <w:r w:rsidRPr="00686C2A">
        <w:tab/>
        <w:t>(</w:t>
      </w:r>
      <w:proofErr w:type="spellStart"/>
      <w:r w:rsidRPr="00686C2A">
        <w:t>i</w:t>
      </w:r>
      <w:proofErr w:type="spellEnd"/>
      <w:r w:rsidRPr="00686C2A">
        <w:t>)</w:t>
      </w:r>
      <w:r w:rsidRPr="00686C2A">
        <w:tab/>
        <w:t>that is engaged in at the request, or with the consent, of a member; or</w:t>
      </w:r>
    </w:p>
    <w:p w:rsidR="003645DE" w:rsidRPr="00686C2A" w:rsidRDefault="003645DE" w:rsidP="003645DE">
      <w:pPr>
        <w:pStyle w:val="paragraphsub"/>
      </w:pPr>
      <w:r w:rsidRPr="00686C2A">
        <w:tab/>
        <w:t>(ii)</w:t>
      </w:r>
      <w:r w:rsidRPr="00686C2A">
        <w:tab/>
        <w:t>that relates to a member and is required by law; and</w:t>
      </w:r>
    </w:p>
    <w:p w:rsidR="003645DE" w:rsidRPr="00686C2A" w:rsidRDefault="003645DE" w:rsidP="003645DE">
      <w:pPr>
        <w:pStyle w:val="paragraph"/>
      </w:pPr>
      <w:r w:rsidRPr="00686C2A">
        <w:tab/>
        <w:t>(b)</w:t>
      </w:r>
      <w:r w:rsidRPr="00686C2A">
        <w:tab/>
        <w:t>those costs are not otherwise charged as an administration fee, an investment fee, a buy</w:t>
      </w:r>
      <w:r w:rsidR="00686C2A">
        <w:noBreakHyphen/>
      </w:r>
      <w:r w:rsidRPr="00686C2A">
        <w:t>sell spread, a switching fee, an exit fee, an advice fee or an insurance fee.</w:t>
      </w:r>
    </w:p>
    <w:p w:rsidR="003645DE" w:rsidRPr="00686C2A" w:rsidRDefault="003645DE" w:rsidP="003645DE">
      <w:pPr>
        <w:pStyle w:val="SubsectionHead"/>
      </w:pPr>
      <w:r w:rsidRPr="00686C2A">
        <w:t>Administration fees</w:t>
      </w:r>
    </w:p>
    <w:p w:rsidR="003645DE" w:rsidRPr="00686C2A" w:rsidRDefault="003645DE" w:rsidP="003645DE">
      <w:pPr>
        <w:pStyle w:val="subsection"/>
      </w:pPr>
      <w:r w:rsidRPr="00686C2A">
        <w:tab/>
      </w:r>
      <w:r w:rsidRPr="00686C2A">
        <w:tab/>
        <w:t xml:space="preserve">An </w:t>
      </w:r>
      <w:r w:rsidRPr="00686C2A">
        <w:rPr>
          <w:b/>
          <w:i/>
        </w:rPr>
        <w:t>administration fee</w:t>
      </w:r>
      <w:r w:rsidRPr="00686C2A">
        <w:t xml:space="preserve"> is a fee that relates to the administration or operation of the superannuation entity and includes costs incurred by the trustee</w:t>
      </w:r>
      <w:r w:rsidRPr="00686C2A">
        <w:rPr>
          <w:i/>
        </w:rPr>
        <w:t xml:space="preserve"> [OR</w:t>
      </w:r>
      <w:r w:rsidRPr="00686C2A">
        <w:t xml:space="preserve"> </w:t>
      </w:r>
      <w:r w:rsidRPr="00686C2A">
        <w:rPr>
          <w:i/>
        </w:rPr>
        <w:t>the trustees]</w:t>
      </w:r>
      <w:r w:rsidRPr="00686C2A">
        <w:t xml:space="preserve"> of the entity that:</w:t>
      </w:r>
    </w:p>
    <w:p w:rsidR="003645DE" w:rsidRPr="00686C2A" w:rsidRDefault="003645DE" w:rsidP="003645DE">
      <w:pPr>
        <w:pStyle w:val="paragraph"/>
      </w:pPr>
      <w:r w:rsidRPr="00686C2A">
        <w:tab/>
        <w:t>(a)</w:t>
      </w:r>
      <w:r w:rsidRPr="00686C2A">
        <w:tab/>
        <w:t>relate to the administration or operation of the entity; and</w:t>
      </w:r>
    </w:p>
    <w:p w:rsidR="003645DE" w:rsidRPr="00686C2A" w:rsidRDefault="003645DE" w:rsidP="003645DE">
      <w:pPr>
        <w:pStyle w:val="paragraph"/>
      </w:pPr>
      <w:r w:rsidRPr="00686C2A">
        <w:tab/>
        <w:t>(b)</w:t>
      </w:r>
      <w:r w:rsidRPr="00686C2A">
        <w:tab/>
        <w:t>are not otherwise charged as an investment fee, a buy</w:t>
      </w:r>
      <w:r w:rsidR="00686C2A">
        <w:noBreakHyphen/>
      </w:r>
      <w:r w:rsidRPr="00686C2A">
        <w:t>sell spread, a switching fee, an exit fee, an activity fee, an advice fee or an insurance fee.</w:t>
      </w:r>
    </w:p>
    <w:p w:rsidR="003645DE" w:rsidRPr="00686C2A" w:rsidRDefault="003645DE" w:rsidP="003645DE">
      <w:pPr>
        <w:pStyle w:val="SubsectionHead"/>
      </w:pPr>
      <w:r w:rsidRPr="00686C2A">
        <w:t>Advice fees</w:t>
      </w:r>
    </w:p>
    <w:p w:rsidR="003645DE" w:rsidRPr="00686C2A" w:rsidRDefault="003645DE" w:rsidP="003645DE">
      <w:pPr>
        <w:pStyle w:val="subsection"/>
      </w:pPr>
      <w:r w:rsidRPr="00686C2A">
        <w:tab/>
      </w:r>
      <w:r w:rsidRPr="00686C2A">
        <w:tab/>
        <w:t xml:space="preserve">A fee is an </w:t>
      </w:r>
      <w:r w:rsidRPr="00686C2A">
        <w:rPr>
          <w:b/>
          <w:i/>
        </w:rPr>
        <w:t>advice fee</w:t>
      </w:r>
      <w:r w:rsidRPr="00686C2A">
        <w:t xml:space="preserve"> if:</w:t>
      </w:r>
    </w:p>
    <w:p w:rsidR="003645DE" w:rsidRPr="00686C2A" w:rsidRDefault="003645DE" w:rsidP="003645DE">
      <w:pPr>
        <w:pStyle w:val="paragraph"/>
      </w:pPr>
      <w:r w:rsidRPr="00686C2A">
        <w:tab/>
        <w:t>(a)</w:t>
      </w:r>
      <w:r w:rsidRPr="00686C2A">
        <w:tab/>
        <w:t xml:space="preserve">the fee relates directly to costs incurred by the trustee </w:t>
      </w:r>
      <w:r w:rsidRPr="00686C2A">
        <w:rPr>
          <w:i/>
        </w:rPr>
        <w:t>[OR</w:t>
      </w:r>
      <w:r w:rsidRPr="00686C2A">
        <w:t xml:space="preserve"> </w:t>
      </w:r>
      <w:r w:rsidRPr="00686C2A">
        <w:rPr>
          <w:i/>
        </w:rPr>
        <w:t xml:space="preserve">the trustees] </w:t>
      </w:r>
      <w:r w:rsidRPr="00686C2A">
        <w:t>of the superannuation entity because of the provision of financial product advice to a member by:</w:t>
      </w:r>
    </w:p>
    <w:p w:rsidR="003645DE" w:rsidRPr="00686C2A" w:rsidRDefault="003645DE" w:rsidP="003645DE">
      <w:pPr>
        <w:pStyle w:val="paragraphsub"/>
      </w:pPr>
      <w:r w:rsidRPr="00686C2A">
        <w:tab/>
        <w:t>(</w:t>
      </w:r>
      <w:proofErr w:type="spellStart"/>
      <w:r w:rsidRPr="00686C2A">
        <w:t>i</w:t>
      </w:r>
      <w:proofErr w:type="spellEnd"/>
      <w:r w:rsidRPr="00686C2A">
        <w:t>)</w:t>
      </w:r>
      <w:r w:rsidRPr="00686C2A">
        <w:tab/>
        <w:t>a trustee of the entity; or</w:t>
      </w:r>
    </w:p>
    <w:p w:rsidR="003645DE" w:rsidRPr="00686C2A" w:rsidRDefault="003645DE" w:rsidP="003645DE">
      <w:pPr>
        <w:pStyle w:val="paragraphsub"/>
      </w:pPr>
      <w:r w:rsidRPr="00686C2A">
        <w:tab/>
        <w:t>(ii)</w:t>
      </w:r>
      <w:r w:rsidRPr="00686C2A">
        <w:tab/>
        <w:t xml:space="preserve">another person acting as an employee of, or under an arrangement with, the trustee </w:t>
      </w:r>
      <w:r w:rsidRPr="00686C2A">
        <w:rPr>
          <w:i/>
        </w:rPr>
        <w:t xml:space="preserve">[OR the trustees] </w:t>
      </w:r>
      <w:r w:rsidRPr="00686C2A">
        <w:t>of the entity; and</w:t>
      </w:r>
    </w:p>
    <w:p w:rsidR="003645DE" w:rsidRPr="00686C2A" w:rsidRDefault="003645DE" w:rsidP="003645DE">
      <w:pPr>
        <w:pStyle w:val="paragraph"/>
      </w:pPr>
      <w:r w:rsidRPr="00686C2A">
        <w:tab/>
        <w:t>(b)</w:t>
      </w:r>
      <w:r w:rsidRPr="00686C2A">
        <w:tab/>
        <w:t>those costs are not otherwise charged as an administration fee, an investment fee, a switching fee, an exit fee</w:t>
      </w:r>
      <w:r w:rsidRPr="00686C2A">
        <w:rPr>
          <w:i/>
        </w:rPr>
        <w:t xml:space="preserve">, </w:t>
      </w:r>
      <w:r w:rsidRPr="00686C2A">
        <w:t>an activity fee or an insurance fee.</w:t>
      </w:r>
    </w:p>
    <w:p w:rsidR="003645DE" w:rsidRPr="00686C2A" w:rsidRDefault="003645DE" w:rsidP="003645DE">
      <w:pPr>
        <w:pStyle w:val="SubsectionHead"/>
      </w:pPr>
      <w:r w:rsidRPr="00686C2A">
        <w:lastRenderedPageBreak/>
        <w:t>Buy</w:t>
      </w:r>
      <w:r w:rsidR="00686C2A">
        <w:noBreakHyphen/>
      </w:r>
      <w:r w:rsidRPr="00686C2A">
        <w:t>sell spreads</w:t>
      </w:r>
    </w:p>
    <w:p w:rsidR="003645DE" w:rsidRPr="00686C2A" w:rsidRDefault="003645DE" w:rsidP="003645DE">
      <w:pPr>
        <w:pStyle w:val="subsection"/>
        <w:rPr>
          <w:i/>
        </w:rPr>
      </w:pPr>
      <w:r w:rsidRPr="00686C2A">
        <w:tab/>
      </w:r>
      <w:r w:rsidRPr="00686C2A">
        <w:tab/>
        <w:t xml:space="preserve">A </w:t>
      </w:r>
      <w:r w:rsidRPr="00686C2A">
        <w:rPr>
          <w:b/>
          <w:i/>
        </w:rPr>
        <w:t>buy</w:t>
      </w:r>
      <w:r w:rsidR="00686C2A">
        <w:rPr>
          <w:b/>
          <w:i/>
        </w:rPr>
        <w:noBreakHyphen/>
      </w:r>
      <w:r w:rsidRPr="00686C2A">
        <w:rPr>
          <w:b/>
          <w:i/>
        </w:rPr>
        <w:t>sell spread</w:t>
      </w:r>
      <w:r w:rsidRPr="00686C2A">
        <w:t xml:space="preserve"> is a fee to recover transaction costs incurred by the trustee </w:t>
      </w:r>
      <w:r w:rsidRPr="00686C2A">
        <w:rPr>
          <w:i/>
        </w:rPr>
        <w:t>[OR</w:t>
      </w:r>
      <w:r w:rsidRPr="00686C2A">
        <w:t xml:space="preserve"> </w:t>
      </w:r>
      <w:r w:rsidRPr="00686C2A">
        <w:rPr>
          <w:i/>
        </w:rPr>
        <w:t>the trustees]</w:t>
      </w:r>
      <w:r w:rsidRPr="00686C2A">
        <w:t xml:space="preserve"> of the superannuation entity in relation to the sale and purchase of assets of the entity</w:t>
      </w:r>
      <w:r w:rsidRPr="00686C2A">
        <w:rPr>
          <w:i/>
        </w:rPr>
        <w:t>.</w:t>
      </w:r>
    </w:p>
    <w:p w:rsidR="003645DE" w:rsidRPr="00686C2A" w:rsidRDefault="003645DE" w:rsidP="003645DE">
      <w:pPr>
        <w:pStyle w:val="SubsectionHead"/>
      </w:pPr>
      <w:r w:rsidRPr="00686C2A">
        <w:t>Exit fees</w:t>
      </w:r>
    </w:p>
    <w:p w:rsidR="003645DE" w:rsidRPr="00686C2A" w:rsidRDefault="003645DE" w:rsidP="003645DE">
      <w:pPr>
        <w:pStyle w:val="subsection"/>
      </w:pPr>
      <w:r w:rsidRPr="00686C2A">
        <w:tab/>
      </w:r>
      <w:r w:rsidRPr="00686C2A">
        <w:tab/>
        <w:t xml:space="preserve">An </w:t>
      </w:r>
      <w:r w:rsidRPr="00686C2A">
        <w:rPr>
          <w:b/>
          <w:i/>
        </w:rPr>
        <w:t>exit fee</w:t>
      </w:r>
      <w:r w:rsidRPr="00686C2A">
        <w:t xml:space="preserve"> is a fee to recover the costs of disposing of all or part of members</w:t>
      </w:r>
      <w:r w:rsidR="00A16431" w:rsidRPr="00686C2A">
        <w:t>’</w:t>
      </w:r>
      <w:r w:rsidRPr="00686C2A">
        <w:t xml:space="preserve"> interests in the superannuation entity.</w:t>
      </w:r>
    </w:p>
    <w:p w:rsidR="003645DE" w:rsidRPr="00686C2A" w:rsidRDefault="003645DE" w:rsidP="003645DE">
      <w:pPr>
        <w:pStyle w:val="SubsectionHead"/>
      </w:pPr>
      <w:r w:rsidRPr="00686C2A">
        <w:t>Indirect cost ratio</w:t>
      </w:r>
    </w:p>
    <w:p w:rsidR="003645DE" w:rsidRPr="00686C2A" w:rsidRDefault="003645DE" w:rsidP="003645DE">
      <w:pPr>
        <w:pStyle w:val="subsection"/>
      </w:pPr>
      <w:r w:rsidRPr="00686C2A">
        <w:tab/>
      </w:r>
      <w:r w:rsidRPr="00686C2A">
        <w:tab/>
        <w:t xml:space="preserve">The </w:t>
      </w:r>
      <w:r w:rsidRPr="00686C2A">
        <w:rPr>
          <w:b/>
          <w:i/>
        </w:rPr>
        <w:t xml:space="preserve">indirect cost ratio </w:t>
      </w:r>
      <w:r w:rsidRPr="00686C2A">
        <w:t>(</w:t>
      </w:r>
      <w:proofErr w:type="spellStart"/>
      <w:r w:rsidRPr="00686C2A">
        <w:rPr>
          <w:b/>
          <w:i/>
        </w:rPr>
        <w:t>ICR</w:t>
      </w:r>
      <w:proofErr w:type="spellEnd"/>
      <w:r w:rsidRPr="00686C2A">
        <w:t xml:space="preserve">), for a </w:t>
      </w:r>
      <w:proofErr w:type="spellStart"/>
      <w:r w:rsidRPr="00686C2A">
        <w:t>MySuper</w:t>
      </w:r>
      <w:proofErr w:type="spellEnd"/>
      <w:r w:rsidRPr="00686C2A">
        <w:t xml:space="preserve"> product or an investment option offered by a superannuation entity, is the ratio of the total of the indirect costs for the </w:t>
      </w:r>
      <w:proofErr w:type="spellStart"/>
      <w:r w:rsidRPr="00686C2A">
        <w:t>MySuper</w:t>
      </w:r>
      <w:proofErr w:type="spellEnd"/>
      <w:r w:rsidRPr="00686C2A">
        <w:t xml:space="preserve"> product or investment option, to the total average net assets of the superannuation entity attributed to the </w:t>
      </w:r>
      <w:proofErr w:type="spellStart"/>
      <w:r w:rsidRPr="00686C2A">
        <w:t>MySuper</w:t>
      </w:r>
      <w:proofErr w:type="spellEnd"/>
      <w:r w:rsidRPr="00686C2A">
        <w:t xml:space="preserve"> product or investment option.</w:t>
      </w:r>
    </w:p>
    <w:p w:rsidR="003645DE" w:rsidRPr="00686C2A" w:rsidRDefault="003645DE" w:rsidP="003645DE">
      <w:pPr>
        <w:pStyle w:val="notetext"/>
      </w:pPr>
      <w:r w:rsidRPr="00686C2A">
        <w:t>Note:</w:t>
      </w:r>
      <w:r w:rsidRPr="00686C2A">
        <w:tab/>
        <w:t>A dollar</w:t>
      </w:r>
      <w:r w:rsidR="00686C2A">
        <w:noBreakHyphen/>
      </w:r>
      <w:r w:rsidRPr="00686C2A">
        <w:t>based fee deducted directly from a member</w:t>
      </w:r>
      <w:r w:rsidR="00A16431" w:rsidRPr="00686C2A">
        <w:t>’</w:t>
      </w:r>
      <w:r w:rsidRPr="00686C2A">
        <w:t>s account is not included in the indirect cost ratio.</w:t>
      </w:r>
    </w:p>
    <w:p w:rsidR="003645DE" w:rsidRPr="00686C2A" w:rsidRDefault="003645DE" w:rsidP="003645DE">
      <w:pPr>
        <w:pStyle w:val="SubsectionHead"/>
      </w:pPr>
      <w:r w:rsidRPr="00686C2A">
        <w:t>Investment fees</w:t>
      </w:r>
    </w:p>
    <w:p w:rsidR="003645DE" w:rsidRPr="00686C2A" w:rsidRDefault="003645DE" w:rsidP="003645DE">
      <w:pPr>
        <w:pStyle w:val="subsection"/>
      </w:pPr>
      <w:r w:rsidRPr="00686C2A">
        <w:tab/>
      </w:r>
      <w:r w:rsidRPr="00686C2A">
        <w:tab/>
        <w:t xml:space="preserve">An </w:t>
      </w:r>
      <w:r w:rsidRPr="00686C2A">
        <w:rPr>
          <w:b/>
          <w:i/>
        </w:rPr>
        <w:t>investment fee</w:t>
      </w:r>
      <w:r w:rsidRPr="00686C2A">
        <w:t xml:space="preserve"> is a fee that relates to the investment of the assets of a superannuation entity and includes:</w:t>
      </w:r>
    </w:p>
    <w:p w:rsidR="003645DE" w:rsidRPr="00686C2A" w:rsidRDefault="003645DE" w:rsidP="003645DE">
      <w:pPr>
        <w:pStyle w:val="paragraph"/>
      </w:pPr>
      <w:r w:rsidRPr="00686C2A">
        <w:tab/>
        <w:t>(a)</w:t>
      </w:r>
      <w:r w:rsidRPr="00686C2A">
        <w:tab/>
        <w:t>fees in payment for the exercise of care and expertise in the investment of those assets (including performance fees); and</w:t>
      </w:r>
    </w:p>
    <w:p w:rsidR="003645DE" w:rsidRPr="00686C2A" w:rsidRDefault="003645DE" w:rsidP="003645DE">
      <w:pPr>
        <w:pStyle w:val="paragraph"/>
      </w:pPr>
      <w:r w:rsidRPr="00686C2A">
        <w:tab/>
        <w:t>(b)</w:t>
      </w:r>
      <w:r w:rsidRPr="00686C2A">
        <w:tab/>
        <w:t xml:space="preserve">costs incurred by the trustee </w:t>
      </w:r>
      <w:r w:rsidRPr="00686C2A">
        <w:rPr>
          <w:i/>
        </w:rPr>
        <w:t>[OR the trustees]</w:t>
      </w:r>
      <w:r w:rsidRPr="00686C2A">
        <w:t xml:space="preserve"> of the entity that:</w:t>
      </w:r>
    </w:p>
    <w:p w:rsidR="003645DE" w:rsidRPr="00686C2A" w:rsidRDefault="003645DE" w:rsidP="003645DE">
      <w:pPr>
        <w:pStyle w:val="paragraphsub"/>
      </w:pPr>
      <w:r w:rsidRPr="00686C2A">
        <w:tab/>
        <w:t>(</w:t>
      </w:r>
      <w:proofErr w:type="spellStart"/>
      <w:r w:rsidRPr="00686C2A">
        <w:t>i</w:t>
      </w:r>
      <w:proofErr w:type="spellEnd"/>
      <w:r w:rsidRPr="00686C2A">
        <w:t>)</w:t>
      </w:r>
      <w:r w:rsidRPr="00686C2A">
        <w:tab/>
        <w:t>relate to the investment of assets of the entity; and</w:t>
      </w:r>
    </w:p>
    <w:p w:rsidR="003645DE" w:rsidRPr="00686C2A" w:rsidRDefault="003645DE" w:rsidP="003645DE">
      <w:pPr>
        <w:pStyle w:val="paragraphsub"/>
      </w:pPr>
      <w:r w:rsidRPr="00686C2A">
        <w:tab/>
        <w:t>(ii)</w:t>
      </w:r>
      <w:r w:rsidRPr="00686C2A">
        <w:tab/>
        <w:t>are not otherwise charged as an administration fee, a buy</w:t>
      </w:r>
      <w:r w:rsidR="00686C2A">
        <w:noBreakHyphen/>
      </w:r>
      <w:r w:rsidRPr="00686C2A">
        <w:t>sell spread, a switching fee, an exit fee, an activity fee, an advice fee or an insurance fee.</w:t>
      </w:r>
    </w:p>
    <w:p w:rsidR="003645DE" w:rsidRPr="00686C2A" w:rsidRDefault="003645DE" w:rsidP="003645DE">
      <w:pPr>
        <w:pStyle w:val="SubsectionHead"/>
      </w:pPr>
      <w:r w:rsidRPr="00686C2A">
        <w:t>Switching fees</w:t>
      </w:r>
    </w:p>
    <w:p w:rsidR="003645DE" w:rsidRPr="00686C2A" w:rsidRDefault="003645DE" w:rsidP="003645DE">
      <w:pPr>
        <w:pStyle w:val="subsection"/>
      </w:pPr>
      <w:r w:rsidRPr="00686C2A">
        <w:tab/>
      </w:r>
      <w:r w:rsidRPr="00686C2A">
        <w:tab/>
        <w:t xml:space="preserve">A </w:t>
      </w:r>
      <w:r w:rsidRPr="00686C2A">
        <w:rPr>
          <w:b/>
          <w:i/>
        </w:rPr>
        <w:t>switching fee</w:t>
      </w:r>
      <w:r w:rsidRPr="00686C2A">
        <w:t xml:space="preserve"> is a fee to recover the costs of switching all or part of a member</w:t>
      </w:r>
      <w:r w:rsidR="00A16431" w:rsidRPr="00686C2A">
        <w:t>’</w:t>
      </w:r>
      <w:r w:rsidRPr="00686C2A">
        <w:t>s interest in the superannuation entity from one class of beneficial interest in the entity to another.</w:t>
      </w:r>
    </w:p>
    <w:p w:rsidR="003645DE" w:rsidRPr="00686C2A" w:rsidRDefault="0018263A" w:rsidP="003645DE">
      <w:pPr>
        <w:pStyle w:val="ItemHead"/>
        <w:rPr>
          <w:rFonts w:cs="Arial"/>
          <w:noProof/>
        </w:rPr>
      </w:pPr>
      <w:r w:rsidRPr="00686C2A">
        <w:rPr>
          <w:rFonts w:cs="Arial"/>
          <w:noProof/>
        </w:rPr>
        <w:lastRenderedPageBreak/>
        <w:t>47</w:t>
      </w:r>
      <w:r w:rsidR="003645DE" w:rsidRPr="00686C2A">
        <w:rPr>
          <w:rFonts w:cs="Arial"/>
          <w:noProof/>
        </w:rPr>
        <w:t xml:space="preserve">  Clause</w:t>
      </w:r>
      <w:r w:rsidR="00686C2A" w:rsidRPr="00686C2A">
        <w:rPr>
          <w:rFonts w:cs="Arial"/>
          <w:noProof/>
        </w:rPr>
        <w:t> </w:t>
      </w:r>
      <w:r w:rsidR="003645DE" w:rsidRPr="00686C2A">
        <w:rPr>
          <w:rFonts w:cs="Arial"/>
          <w:noProof/>
        </w:rPr>
        <w:t>211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28" w:name="_Toc359591522"/>
      <w:r w:rsidRPr="00686C2A">
        <w:rPr>
          <w:rStyle w:val="CharSectno"/>
        </w:rPr>
        <w:t>211</w:t>
      </w:r>
      <w:r w:rsidRPr="00686C2A">
        <w:t xml:space="preserve">  Superannuation products—Example of annual fees and costs for a </w:t>
      </w:r>
      <w:proofErr w:type="spellStart"/>
      <w:r w:rsidRPr="00686C2A">
        <w:t>MySuper</w:t>
      </w:r>
      <w:proofErr w:type="spellEnd"/>
      <w:r w:rsidRPr="00686C2A">
        <w:t xml:space="preserve"> product</w:t>
      </w:r>
      <w:bookmarkEnd w:id="28"/>
    </w:p>
    <w:p w:rsidR="003645DE" w:rsidRPr="00686C2A" w:rsidRDefault="00196B7C" w:rsidP="00196B7C">
      <w:pPr>
        <w:pStyle w:val="subsection"/>
      </w:pPr>
      <w:r w:rsidRPr="00686C2A">
        <w:tab/>
      </w:r>
      <w:r w:rsidR="007730C5" w:rsidRPr="00686C2A">
        <w:tab/>
      </w:r>
      <w:r w:rsidR="003645DE" w:rsidRPr="00686C2A">
        <w:t xml:space="preserve">This table gives an example of how the fees and costs for the generic </w:t>
      </w:r>
      <w:proofErr w:type="spellStart"/>
      <w:r w:rsidR="003645DE" w:rsidRPr="00686C2A">
        <w:t>MySuper</w:t>
      </w:r>
      <w:proofErr w:type="spellEnd"/>
      <w:r w:rsidR="003645DE" w:rsidRPr="00686C2A">
        <w:t xml:space="preserve"> product for this superannuation product can affect your superannuation investment over a </w:t>
      </w:r>
      <w:r w:rsidR="00A82DC9" w:rsidRPr="00686C2A">
        <w:t>1</w:t>
      </w:r>
      <w:r w:rsidR="003645DE" w:rsidRPr="00686C2A">
        <w:t xml:space="preserve"> year period. You should use this table to compare this superannuation product with other superannuation products.</w:t>
      </w:r>
    </w:p>
    <w:tbl>
      <w:tblPr>
        <w:tblW w:w="0" w:type="auto"/>
        <w:tblInd w:w="108" w:type="dxa"/>
        <w:tblBorders>
          <w:top w:val="single" w:sz="4" w:space="0" w:color="auto"/>
          <w:bottom w:val="single" w:sz="2" w:space="0" w:color="auto"/>
          <w:insideH w:val="single" w:sz="4" w:space="0" w:color="auto"/>
        </w:tblBorders>
        <w:tblCellMar>
          <w:left w:w="0" w:type="dxa"/>
          <w:right w:w="0" w:type="dxa"/>
        </w:tblCellMar>
        <w:tblLook w:val="04A0" w:firstRow="1" w:lastRow="0" w:firstColumn="1" w:lastColumn="0" w:noHBand="0" w:noVBand="1"/>
      </w:tblPr>
      <w:tblGrid>
        <w:gridCol w:w="2230"/>
        <w:gridCol w:w="1286"/>
        <w:gridCol w:w="3572"/>
      </w:tblGrid>
      <w:tr w:rsidR="00A415EF" w:rsidRPr="00686C2A" w:rsidTr="00197785">
        <w:tc>
          <w:tcPr>
            <w:tcW w:w="3516" w:type="dxa"/>
            <w:gridSpan w:val="2"/>
            <w:tcBorders>
              <w:top w:val="nil"/>
              <w:bottom w:val="single" w:sz="4" w:space="0" w:color="auto"/>
            </w:tcBorders>
            <w:shd w:val="clear" w:color="auto" w:fill="FFFFFF"/>
            <w:tcMar>
              <w:top w:w="0" w:type="dxa"/>
              <w:left w:w="108" w:type="dxa"/>
              <w:bottom w:w="0" w:type="dxa"/>
              <w:right w:w="108" w:type="dxa"/>
            </w:tcMar>
            <w:hideMark/>
          </w:tcPr>
          <w:p w:rsidR="003645DE" w:rsidRPr="00686C2A" w:rsidRDefault="003645DE" w:rsidP="00197785">
            <w:pPr>
              <w:pStyle w:val="Tabletext"/>
              <w:rPr>
                <w:rFonts w:eastAsia="Calibri"/>
                <w:sz w:val="22"/>
                <w:szCs w:val="22"/>
              </w:rPr>
            </w:pPr>
            <w:r w:rsidRPr="00686C2A">
              <w:rPr>
                <w:b/>
                <w:sz w:val="22"/>
                <w:szCs w:val="22"/>
              </w:rPr>
              <w:t>EXAMPLE—</w:t>
            </w:r>
            <w:r w:rsidR="00686C2A">
              <w:rPr>
                <w:b/>
                <w:sz w:val="22"/>
                <w:szCs w:val="22"/>
              </w:rPr>
              <w:noBreakHyphen/>
            </w:r>
            <w:proofErr w:type="spellStart"/>
            <w:r w:rsidRPr="00686C2A">
              <w:rPr>
                <w:sz w:val="22"/>
                <w:szCs w:val="22"/>
              </w:rPr>
              <w:t>MySuper</w:t>
            </w:r>
            <w:proofErr w:type="spellEnd"/>
            <w:r w:rsidRPr="00686C2A">
              <w:rPr>
                <w:sz w:val="22"/>
                <w:szCs w:val="22"/>
              </w:rPr>
              <w:t xml:space="preserve"> product</w:t>
            </w:r>
          </w:p>
        </w:tc>
        <w:tc>
          <w:tcPr>
            <w:tcW w:w="3572" w:type="dxa"/>
            <w:tcBorders>
              <w:top w:val="nil"/>
              <w:bottom w:val="single" w:sz="4" w:space="0" w:color="auto"/>
            </w:tcBorders>
            <w:shd w:val="clear" w:color="auto" w:fill="FFFFFF"/>
            <w:tcMar>
              <w:top w:w="0" w:type="dxa"/>
              <w:left w:w="108" w:type="dxa"/>
              <w:bottom w:w="0" w:type="dxa"/>
              <w:right w:w="108" w:type="dxa"/>
            </w:tcMar>
            <w:hideMark/>
          </w:tcPr>
          <w:p w:rsidR="003645DE" w:rsidRPr="00686C2A" w:rsidRDefault="003645DE" w:rsidP="00197785">
            <w:pPr>
              <w:pStyle w:val="Tabletext"/>
              <w:rPr>
                <w:rFonts w:eastAsia="Calibri"/>
                <w:b/>
                <w:sz w:val="22"/>
                <w:szCs w:val="22"/>
              </w:rPr>
            </w:pPr>
            <w:r w:rsidRPr="00686C2A">
              <w:rPr>
                <w:b/>
                <w:sz w:val="22"/>
                <w:szCs w:val="22"/>
              </w:rPr>
              <w:t>BALANCE OF $50</w:t>
            </w:r>
            <w:r w:rsidR="00686C2A" w:rsidRPr="00686C2A">
              <w:rPr>
                <w:b/>
                <w:sz w:val="22"/>
                <w:szCs w:val="22"/>
              </w:rPr>
              <w:t> </w:t>
            </w:r>
            <w:r w:rsidRPr="00686C2A">
              <w:rPr>
                <w:b/>
                <w:sz w:val="22"/>
                <w:szCs w:val="22"/>
              </w:rPr>
              <w:t>000</w:t>
            </w:r>
          </w:p>
        </w:tc>
      </w:tr>
      <w:tr w:rsidR="00A415EF" w:rsidRPr="00686C2A" w:rsidTr="00197785">
        <w:tc>
          <w:tcPr>
            <w:tcW w:w="2230" w:type="dxa"/>
            <w:tcBorders>
              <w:top w:val="single" w:sz="4" w:space="0" w:color="auto"/>
            </w:tcBorders>
            <w:shd w:val="clear" w:color="auto" w:fill="FFFFFF"/>
            <w:tcMar>
              <w:top w:w="0" w:type="dxa"/>
              <w:left w:w="108" w:type="dxa"/>
              <w:bottom w:w="0" w:type="dxa"/>
              <w:right w:w="108" w:type="dxa"/>
            </w:tcMar>
            <w:hideMark/>
          </w:tcPr>
          <w:p w:rsidR="003645DE" w:rsidRPr="00686C2A" w:rsidRDefault="003645DE" w:rsidP="00197785">
            <w:pPr>
              <w:pStyle w:val="Tabletext"/>
              <w:rPr>
                <w:rFonts w:eastAsia="Calibri"/>
                <w:sz w:val="22"/>
                <w:szCs w:val="22"/>
              </w:rPr>
            </w:pPr>
            <w:r w:rsidRPr="00686C2A">
              <w:rPr>
                <w:sz w:val="22"/>
                <w:szCs w:val="22"/>
              </w:rPr>
              <w:t xml:space="preserve">Investment fees </w:t>
            </w:r>
          </w:p>
        </w:tc>
        <w:tc>
          <w:tcPr>
            <w:tcW w:w="1286" w:type="dxa"/>
            <w:tcBorders>
              <w:top w:val="single" w:sz="4" w:space="0" w:color="auto"/>
            </w:tcBorders>
            <w:shd w:val="clear" w:color="auto" w:fill="FFFFFF"/>
            <w:tcMar>
              <w:top w:w="0" w:type="dxa"/>
              <w:left w:w="108" w:type="dxa"/>
              <w:bottom w:w="0" w:type="dxa"/>
              <w:right w:w="108" w:type="dxa"/>
            </w:tcMar>
            <w:hideMark/>
          </w:tcPr>
          <w:p w:rsidR="003645DE" w:rsidRPr="00686C2A" w:rsidRDefault="003645DE" w:rsidP="00197785">
            <w:pPr>
              <w:pStyle w:val="Tabletext"/>
              <w:rPr>
                <w:rFonts w:eastAsia="Calibri"/>
                <w:sz w:val="22"/>
                <w:szCs w:val="22"/>
              </w:rPr>
            </w:pPr>
            <w:r w:rsidRPr="00686C2A">
              <w:rPr>
                <w:sz w:val="22"/>
                <w:szCs w:val="22"/>
              </w:rPr>
              <w:t>1.6%</w:t>
            </w:r>
          </w:p>
        </w:tc>
        <w:tc>
          <w:tcPr>
            <w:tcW w:w="3572" w:type="dxa"/>
            <w:tcBorders>
              <w:top w:val="single" w:sz="4" w:space="0" w:color="auto"/>
            </w:tcBorders>
            <w:shd w:val="clear" w:color="auto" w:fill="FFFFFF"/>
            <w:tcMar>
              <w:top w:w="0" w:type="dxa"/>
              <w:left w:w="108" w:type="dxa"/>
              <w:bottom w:w="0" w:type="dxa"/>
              <w:right w:w="108" w:type="dxa"/>
            </w:tcMar>
            <w:hideMark/>
          </w:tcPr>
          <w:p w:rsidR="003645DE" w:rsidRPr="00686C2A" w:rsidRDefault="003645DE" w:rsidP="00197785">
            <w:pPr>
              <w:pStyle w:val="Tabletext"/>
              <w:rPr>
                <w:rFonts w:eastAsia="Calibri"/>
                <w:sz w:val="22"/>
                <w:szCs w:val="22"/>
              </w:rPr>
            </w:pPr>
            <w:r w:rsidRPr="00686C2A">
              <w:rPr>
                <w:sz w:val="22"/>
                <w:szCs w:val="22"/>
              </w:rPr>
              <w:t>For every $50</w:t>
            </w:r>
            <w:r w:rsidR="00686C2A" w:rsidRPr="00686C2A">
              <w:rPr>
                <w:sz w:val="22"/>
                <w:szCs w:val="22"/>
              </w:rPr>
              <w:t> </w:t>
            </w:r>
            <w:r w:rsidRPr="00686C2A">
              <w:rPr>
                <w:sz w:val="22"/>
                <w:szCs w:val="22"/>
              </w:rPr>
              <w:t xml:space="preserve">000 you have in the </w:t>
            </w:r>
            <w:proofErr w:type="spellStart"/>
            <w:r w:rsidRPr="00686C2A">
              <w:rPr>
                <w:sz w:val="22"/>
                <w:szCs w:val="22"/>
              </w:rPr>
              <w:t>MySuper</w:t>
            </w:r>
            <w:proofErr w:type="spellEnd"/>
            <w:r w:rsidRPr="00686C2A">
              <w:rPr>
                <w:sz w:val="22"/>
                <w:szCs w:val="22"/>
              </w:rPr>
              <w:t xml:space="preserve"> product you will be charged $800 each year</w:t>
            </w:r>
          </w:p>
        </w:tc>
      </w:tr>
      <w:tr w:rsidR="00A415EF" w:rsidRPr="00686C2A" w:rsidTr="00197785">
        <w:tc>
          <w:tcPr>
            <w:tcW w:w="2230" w:type="dxa"/>
            <w:shd w:val="clear" w:color="auto" w:fill="FFFFFF"/>
            <w:tcMar>
              <w:top w:w="0" w:type="dxa"/>
              <w:left w:w="108" w:type="dxa"/>
              <w:bottom w:w="0" w:type="dxa"/>
              <w:right w:w="108" w:type="dxa"/>
            </w:tcMar>
            <w:hideMark/>
          </w:tcPr>
          <w:p w:rsidR="003645DE" w:rsidRPr="00686C2A" w:rsidRDefault="003645DE" w:rsidP="00197785">
            <w:pPr>
              <w:pStyle w:val="Tabletext"/>
              <w:rPr>
                <w:rFonts w:eastAsia="Calibri"/>
                <w:sz w:val="22"/>
                <w:szCs w:val="22"/>
              </w:rPr>
            </w:pPr>
            <w:r w:rsidRPr="00686C2A">
              <w:rPr>
                <w:b/>
                <w:sz w:val="22"/>
                <w:szCs w:val="22"/>
              </w:rPr>
              <w:t>PLUS</w:t>
            </w:r>
            <w:r w:rsidRPr="00686C2A">
              <w:rPr>
                <w:sz w:val="22"/>
                <w:szCs w:val="22"/>
              </w:rPr>
              <w:t xml:space="preserve"> Administration fees</w:t>
            </w:r>
          </w:p>
        </w:tc>
        <w:tc>
          <w:tcPr>
            <w:tcW w:w="1286" w:type="dxa"/>
            <w:shd w:val="clear" w:color="auto" w:fill="FFFFFF"/>
            <w:tcMar>
              <w:top w:w="0" w:type="dxa"/>
              <w:left w:w="108" w:type="dxa"/>
              <w:bottom w:w="0" w:type="dxa"/>
              <w:right w:w="108" w:type="dxa"/>
            </w:tcMar>
            <w:hideMark/>
          </w:tcPr>
          <w:p w:rsidR="003645DE" w:rsidRPr="00686C2A" w:rsidRDefault="003645DE" w:rsidP="00197785">
            <w:pPr>
              <w:pStyle w:val="Tabletext"/>
              <w:rPr>
                <w:sz w:val="22"/>
                <w:szCs w:val="22"/>
              </w:rPr>
            </w:pPr>
            <w:r w:rsidRPr="00686C2A">
              <w:rPr>
                <w:sz w:val="22"/>
                <w:szCs w:val="22"/>
              </w:rPr>
              <w:t>$52</w:t>
            </w:r>
          </w:p>
          <w:p w:rsidR="003645DE" w:rsidRPr="00686C2A" w:rsidRDefault="003645DE" w:rsidP="00197785">
            <w:pPr>
              <w:pStyle w:val="Tabletext"/>
              <w:rPr>
                <w:rFonts w:eastAsia="Calibri"/>
                <w:sz w:val="22"/>
                <w:szCs w:val="22"/>
              </w:rPr>
            </w:pPr>
            <w:r w:rsidRPr="00686C2A">
              <w:rPr>
                <w:sz w:val="22"/>
                <w:szCs w:val="22"/>
              </w:rPr>
              <w:t xml:space="preserve">($1 per week) </w:t>
            </w:r>
          </w:p>
        </w:tc>
        <w:tc>
          <w:tcPr>
            <w:tcW w:w="3572" w:type="dxa"/>
            <w:shd w:val="clear" w:color="auto" w:fill="FFFFFF"/>
            <w:tcMar>
              <w:top w:w="0" w:type="dxa"/>
              <w:left w:w="108" w:type="dxa"/>
              <w:bottom w:w="0" w:type="dxa"/>
              <w:right w:w="108" w:type="dxa"/>
            </w:tcMar>
            <w:hideMark/>
          </w:tcPr>
          <w:p w:rsidR="003645DE" w:rsidRPr="00686C2A" w:rsidRDefault="003645DE" w:rsidP="00197785">
            <w:pPr>
              <w:pStyle w:val="Tabletext"/>
              <w:rPr>
                <w:rFonts w:eastAsia="Calibri"/>
                <w:sz w:val="22"/>
                <w:szCs w:val="22"/>
              </w:rPr>
            </w:pPr>
            <w:r w:rsidRPr="00686C2A">
              <w:rPr>
                <w:b/>
                <w:sz w:val="22"/>
                <w:szCs w:val="22"/>
              </w:rPr>
              <w:t>And</w:t>
            </w:r>
            <w:r w:rsidRPr="00686C2A">
              <w:rPr>
                <w:sz w:val="22"/>
                <w:szCs w:val="22"/>
              </w:rPr>
              <w:t>, you will be charged $52 in administration fees regardless of your balance</w:t>
            </w:r>
          </w:p>
        </w:tc>
      </w:tr>
      <w:tr w:rsidR="00A415EF" w:rsidRPr="00686C2A" w:rsidTr="00197785">
        <w:tc>
          <w:tcPr>
            <w:tcW w:w="2230" w:type="dxa"/>
            <w:tcBorders>
              <w:bottom w:val="single" w:sz="4" w:space="0" w:color="auto"/>
            </w:tcBorders>
            <w:tcMar>
              <w:top w:w="0" w:type="dxa"/>
              <w:left w:w="108" w:type="dxa"/>
              <w:bottom w:w="0" w:type="dxa"/>
              <w:right w:w="108" w:type="dxa"/>
            </w:tcMar>
          </w:tcPr>
          <w:p w:rsidR="003645DE" w:rsidRPr="00686C2A" w:rsidRDefault="003645DE" w:rsidP="00197785">
            <w:pPr>
              <w:pStyle w:val="Tabletext"/>
              <w:rPr>
                <w:sz w:val="22"/>
                <w:szCs w:val="22"/>
              </w:rPr>
            </w:pPr>
            <w:r w:rsidRPr="00686C2A">
              <w:rPr>
                <w:b/>
                <w:sz w:val="22"/>
                <w:szCs w:val="22"/>
              </w:rPr>
              <w:t xml:space="preserve">PLUS </w:t>
            </w:r>
            <w:r w:rsidRPr="00686C2A">
              <w:rPr>
                <w:sz w:val="22"/>
                <w:szCs w:val="22"/>
              </w:rPr>
              <w:t xml:space="preserve">Indirect costs for the </w:t>
            </w:r>
            <w:proofErr w:type="spellStart"/>
            <w:r w:rsidRPr="00686C2A">
              <w:rPr>
                <w:sz w:val="22"/>
                <w:szCs w:val="22"/>
              </w:rPr>
              <w:t>MySuper</w:t>
            </w:r>
            <w:proofErr w:type="spellEnd"/>
            <w:r w:rsidRPr="00686C2A">
              <w:rPr>
                <w:sz w:val="22"/>
                <w:szCs w:val="22"/>
              </w:rPr>
              <w:t xml:space="preserve"> product</w:t>
            </w:r>
          </w:p>
        </w:tc>
        <w:tc>
          <w:tcPr>
            <w:tcW w:w="1286" w:type="dxa"/>
            <w:tcBorders>
              <w:bottom w:val="single" w:sz="4" w:space="0" w:color="auto"/>
            </w:tcBorders>
            <w:tcMar>
              <w:top w:w="0" w:type="dxa"/>
              <w:left w:w="108" w:type="dxa"/>
              <w:bottom w:w="0" w:type="dxa"/>
              <w:right w:w="108" w:type="dxa"/>
            </w:tcMar>
          </w:tcPr>
          <w:p w:rsidR="003645DE" w:rsidRPr="00686C2A" w:rsidRDefault="003645DE" w:rsidP="00197785">
            <w:pPr>
              <w:pStyle w:val="Tabletext"/>
              <w:rPr>
                <w:rFonts w:eastAsia="Calibri"/>
                <w:sz w:val="22"/>
                <w:szCs w:val="22"/>
              </w:rPr>
            </w:pPr>
            <w:r w:rsidRPr="00686C2A">
              <w:rPr>
                <w:rFonts w:eastAsia="Calibri"/>
                <w:sz w:val="22"/>
                <w:szCs w:val="22"/>
              </w:rPr>
              <w:t>1.2%</w:t>
            </w:r>
          </w:p>
        </w:tc>
        <w:tc>
          <w:tcPr>
            <w:tcW w:w="3572" w:type="dxa"/>
            <w:tcBorders>
              <w:bottom w:val="single" w:sz="4" w:space="0" w:color="auto"/>
            </w:tcBorders>
            <w:tcMar>
              <w:top w:w="0" w:type="dxa"/>
              <w:left w:w="108" w:type="dxa"/>
              <w:bottom w:w="0" w:type="dxa"/>
              <w:right w:w="108" w:type="dxa"/>
            </w:tcMar>
          </w:tcPr>
          <w:p w:rsidR="003645DE" w:rsidRPr="00686C2A" w:rsidRDefault="003645DE" w:rsidP="00197785">
            <w:pPr>
              <w:pStyle w:val="Tabletext"/>
              <w:rPr>
                <w:sz w:val="22"/>
                <w:szCs w:val="22"/>
              </w:rPr>
            </w:pPr>
            <w:r w:rsidRPr="00686C2A">
              <w:rPr>
                <w:b/>
                <w:sz w:val="22"/>
                <w:szCs w:val="22"/>
              </w:rPr>
              <w:t>And</w:t>
            </w:r>
            <w:r w:rsidRPr="00686C2A">
              <w:rPr>
                <w:sz w:val="22"/>
                <w:szCs w:val="22"/>
              </w:rPr>
              <w:t>, indirect costs of $600 each year will be deducted from your investment</w:t>
            </w:r>
          </w:p>
        </w:tc>
      </w:tr>
      <w:tr w:rsidR="00A415EF" w:rsidRPr="00686C2A" w:rsidTr="00197785">
        <w:tc>
          <w:tcPr>
            <w:tcW w:w="2230" w:type="dxa"/>
            <w:tcBorders>
              <w:bottom w:val="nil"/>
            </w:tcBorders>
            <w:shd w:val="clear" w:color="auto" w:fill="auto"/>
            <w:tcMar>
              <w:top w:w="0" w:type="dxa"/>
              <w:left w:w="108" w:type="dxa"/>
              <w:bottom w:w="0" w:type="dxa"/>
              <w:right w:w="108" w:type="dxa"/>
            </w:tcMar>
            <w:hideMark/>
          </w:tcPr>
          <w:p w:rsidR="003645DE" w:rsidRPr="00686C2A" w:rsidRDefault="003645DE" w:rsidP="00197785">
            <w:pPr>
              <w:pStyle w:val="Tabletext"/>
              <w:rPr>
                <w:rFonts w:eastAsia="Calibri"/>
                <w:sz w:val="22"/>
                <w:szCs w:val="22"/>
              </w:rPr>
            </w:pPr>
            <w:r w:rsidRPr="00686C2A">
              <w:rPr>
                <w:b/>
                <w:sz w:val="22"/>
                <w:szCs w:val="22"/>
              </w:rPr>
              <w:t>EQUALS</w:t>
            </w:r>
            <w:r w:rsidRPr="00686C2A">
              <w:rPr>
                <w:sz w:val="22"/>
                <w:szCs w:val="22"/>
              </w:rPr>
              <w:t xml:space="preserve"> Cost of product</w:t>
            </w:r>
          </w:p>
        </w:tc>
        <w:tc>
          <w:tcPr>
            <w:tcW w:w="1286" w:type="dxa"/>
            <w:tcBorders>
              <w:bottom w:val="nil"/>
            </w:tcBorders>
            <w:shd w:val="clear" w:color="auto" w:fill="auto"/>
            <w:tcMar>
              <w:top w:w="0" w:type="dxa"/>
              <w:left w:w="108" w:type="dxa"/>
              <w:bottom w:w="0" w:type="dxa"/>
              <w:right w:w="108" w:type="dxa"/>
            </w:tcMar>
            <w:hideMark/>
          </w:tcPr>
          <w:p w:rsidR="003645DE" w:rsidRPr="00686C2A" w:rsidRDefault="003645DE" w:rsidP="00197785">
            <w:pPr>
              <w:pStyle w:val="Tabletext"/>
              <w:rPr>
                <w:rFonts w:eastAsia="Calibri"/>
                <w:sz w:val="22"/>
                <w:szCs w:val="22"/>
              </w:rPr>
            </w:pPr>
          </w:p>
        </w:tc>
        <w:tc>
          <w:tcPr>
            <w:tcW w:w="3572" w:type="dxa"/>
            <w:tcBorders>
              <w:bottom w:val="nil"/>
            </w:tcBorders>
            <w:shd w:val="clear" w:color="auto" w:fill="auto"/>
            <w:tcMar>
              <w:top w:w="0" w:type="dxa"/>
              <w:left w:w="108" w:type="dxa"/>
              <w:bottom w:w="0" w:type="dxa"/>
              <w:right w:w="108" w:type="dxa"/>
            </w:tcMar>
            <w:hideMark/>
          </w:tcPr>
          <w:p w:rsidR="003645DE" w:rsidRPr="00686C2A" w:rsidRDefault="003645DE" w:rsidP="00197785">
            <w:pPr>
              <w:pStyle w:val="Tabletext"/>
              <w:rPr>
                <w:sz w:val="22"/>
                <w:szCs w:val="22"/>
              </w:rPr>
            </w:pPr>
            <w:r w:rsidRPr="00686C2A">
              <w:rPr>
                <w:sz w:val="22"/>
                <w:szCs w:val="22"/>
              </w:rPr>
              <w:t>If your balance was $50</w:t>
            </w:r>
            <w:r w:rsidR="00686C2A" w:rsidRPr="00686C2A">
              <w:rPr>
                <w:sz w:val="22"/>
                <w:szCs w:val="22"/>
              </w:rPr>
              <w:t> </w:t>
            </w:r>
            <w:r w:rsidRPr="00686C2A">
              <w:rPr>
                <w:sz w:val="22"/>
                <w:szCs w:val="22"/>
              </w:rPr>
              <w:t xml:space="preserve">000, then for that year you will be charged fees of </w:t>
            </w:r>
            <w:r w:rsidRPr="00686C2A">
              <w:rPr>
                <w:b/>
                <w:sz w:val="22"/>
                <w:szCs w:val="22"/>
              </w:rPr>
              <w:t>$1</w:t>
            </w:r>
            <w:r w:rsidR="00686C2A" w:rsidRPr="00686C2A">
              <w:rPr>
                <w:b/>
                <w:sz w:val="22"/>
                <w:szCs w:val="22"/>
              </w:rPr>
              <w:t> </w:t>
            </w:r>
            <w:r w:rsidRPr="00686C2A">
              <w:rPr>
                <w:b/>
                <w:sz w:val="22"/>
                <w:szCs w:val="22"/>
              </w:rPr>
              <w:t xml:space="preserve">452 </w:t>
            </w:r>
            <w:r w:rsidRPr="00686C2A">
              <w:rPr>
                <w:sz w:val="22"/>
                <w:szCs w:val="22"/>
              </w:rPr>
              <w:t xml:space="preserve">for the </w:t>
            </w:r>
            <w:proofErr w:type="spellStart"/>
            <w:r w:rsidRPr="00686C2A">
              <w:rPr>
                <w:sz w:val="22"/>
                <w:szCs w:val="22"/>
              </w:rPr>
              <w:t>MySuper</w:t>
            </w:r>
            <w:proofErr w:type="spellEnd"/>
            <w:r w:rsidRPr="00686C2A">
              <w:rPr>
                <w:sz w:val="22"/>
                <w:szCs w:val="22"/>
              </w:rPr>
              <w:t xml:space="preserve"> product.</w:t>
            </w:r>
          </w:p>
          <w:p w:rsidR="003645DE" w:rsidRPr="00686C2A" w:rsidRDefault="003645DE" w:rsidP="00197785">
            <w:pPr>
              <w:pStyle w:val="Tabletext"/>
              <w:rPr>
                <w:sz w:val="22"/>
                <w:szCs w:val="22"/>
              </w:rPr>
            </w:pPr>
          </w:p>
        </w:tc>
      </w:tr>
    </w:tbl>
    <w:p w:rsidR="003645DE" w:rsidRPr="00686C2A" w:rsidRDefault="003645DE" w:rsidP="003645DE">
      <w:pPr>
        <w:pStyle w:val="notemargin"/>
      </w:pPr>
      <w:r w:rsidRPr="00686C2A">
        <w:rPr>
          <w:bCs/>
          <w:position w:val="6"/>
          <w:sz w:val="16"/>
        </w:rPr>
        <w:t>Note:</w:t>
      </w:r>
      <w:r w:rsidRPr="00686C2A">
        <w:rPr>
          <w:bCs/>
          <w:position w:val="6"/>
          <w:sz w:val="16"/>
        </w:rPr>
        <w:tab/>
      </w:r>
      <w:r w:rsidR="00686C2A" w:rsidRPr="00686C2A">
        <w:rPr>
          <w:b/>
          <w:bCs/>
          <w:position w:val="6"/>
          <w:sz w:val="16"/>
        </w:rPr>
        <w:t>*</w:t>
      </w:r>
      <w:r w:rsidRPr="00686C2A">
        <w:rPr>
          <w:b/>
          <w:bCs/>
        </w:rPr>
        <w:t xml:space="preserve"> </w:t>
      </w:r>
      <w:r w:rsidRPr="00686C2A">
        <w:t xml:space="preserve">Additional fees may apply. </w:t>
      </w:r>
      <w:r w:rsidRPr="00686C2A">
        <w:rPr>
          <w:b/>
          <w:bCs/>
        </w:rPr>
        <w:t>And</w:t>
      </w:r>
      <w:r w:rsidRPr="00686C2A">
        <w:t xml:space="preserve">, if you leave the superannuation entity early, you may also be charged </w:t>
      </w:r>
      <w:r w:rsidRPr="00686C2A">
        <w:rPr>
          <w:b/>
          <w:bCs/>
        </w:rPr>
        <w:t xml:space="preserve">exit fees </w:t>
      </w:r>
      <w:r w:rsidRPr="00686C2A">
        <w:t>of between 0% and 5% of your total account balance (between $0 and $2</w:t>
      </w:r>
      <w:r w:rsidR="00686C2A" w:rsidRPr="00686C2A">
        <w:t> </w:t>
      </w:r>
      <w:r w:rsidRPr="00686C2A">
        <w:t>500 for every $50</w:t>
      </w:r>
      <w:r w:rsidR="00686C2A" w:rsidRPr="00686C2A">
        <w:t> </w:t>
      </w:r>
      <w:r w:rsidRPr="00686C2A">
        <w:t>000 you withdraw).</w:t>
      </w:r>
    </w:p>
    <w:p w:rsidR="003645DE" w:rsidRPr="00686C2A" w:rsidRDefault="0018263A" w:rsidP="003645DE">
      <w:pPr>
        <w:pStyle w:val="ItemHead"/>
        <w:rPr>
          <w:rFonts w:cs="Arial"/>
          <w:noProof/>
        </w:rPr>
      </w:pPr>
      <w:r w:rsidRPr="00686C2A">
        <w:rPr>
          <w:rFonts w:cs="Arial"/>
          <w:noProof/>
        </w:rPr>
        <w:t>48</w:t>
      </w:r>
      <w:r w:rsidR="003645DE" w:rsidRPr="00686C2A">
        <w:rPr>
          <w:rFonts w:cs="Arial"/>
          <w:noProof/>
        </w:rPr>
        <w:t xml:space="preserve">  Clause</w:t>
      </w:r>
      <w:r w:rsidR="00686C2A" w:rsidRPr="00686C2A">
        <w:rPr>
          <w:rFonts w:cs="Arial"/>
          <w:noProof/>
        </w:rPr>
        <w:t> </w:t>
      </w:r>
      <w:r w:rsidR="003645DE" w:rsidRPr="00686C2A">
        <w:rPr>
          <w:rFonts w:cs="Arial"/>
          <w:noProof/>
        </w:rPr>
        <w:t>212 of Schedule</w:t>
      </w:r>
      <w:r w:rsidR="00686C2A" w:rsidRPr="00686C2A">
        <w:rPr>
          <w:rFonts w:cs="Arial"/>
          <w:noProof/>
        </w:rPr>
        <w:t> </w:t>
      </w:r>
      <w:r w:rsidR="003645DE" w:rsidRPr="00686C2A">
        <w:rPr>
          <w:rFonts w:cs="Arial"/>
          <w:noProof/>
        </w:rPr>
        <w:t>10 (heading)</w:t>
      </w:r>
    </w:p>
    <w:p w:rsidR="003645DE" w:rsidRPr="00686C2A" w:rsidRDefault="003645DE" w:rsidP="003645DE">
      <w:pPr>
        <w:pStyle w:val="Item"/>
      </w:pPr>
      <w:r w:rsidRPr="00686C2A">
        <w:t>Repeal the heading, substitute:</w:t>
      </w:r>
    </w:p>
    <w:p w:rsidR="003645DE" w:rsidRPr="00686C2A" w:rsidRDefault="003645DE" w:rsidP="003645DE">
      <w:pPr>
        <w:pStyle w:val="ActHead5"/>
      </w:pPr>
      <w:bookmarkStart w:id="29" w:name="_Toc359591523"/>
      <w:r w:rsidRPr="00686C2A">
        <w:rPr>
          <w:rStyle w:val="CharSectno"/>
        </w:rPr>
        <w:lastRenderedPageBreak/>
        <w:t>212</w:t>
      </w:r>
      <w:r w:rsidRPr="00686C2A">
        <w:t xml:space="preserve">  Managed investment products—Example of annual fees and costs for a balanced investment option</w:t>
      </w:r>
      <w:bookmarkEnd w:id="29"/>
    </w:p>
    <w:p w:rsidR="003645DE" w:rsidRPr="00686C2A" w:rsidRDefault="0018263A" w:rsidP="003645DE">
      <w:pPr>
        <w:pStyle w:val="ItemHead"/>
        <w:rPr>
          <w:rFonts w:cs="Arial"/>
          <w:noProof/>
        </w:rPr>
      </w:pPr>
      <w:r w:rsidRPr="00686C2A">
        <w:rPr>
          <w:rFonts w:cs="Arial"/>
          <w:noProof/>
        </w:rPr>
        <w:t>49</w:t>
      </w:r>
      <w:r w:rsidR="003645DE" w:rsidRPr="00686C2A">
        <w:rPr>
          <w:rFonts w:cs="Arial"/>
          <w:noProof/>
        </w:rPr>
        <w:t xml:space="preserve">  Clause</w:t>
      </w:r>
      <w:r w:rsidR="00686C2A" w:rsidRPr="00686C2A">
        <w:rPr>
          <w:rFonts w:cs="Arial"/>
          <w:noProof/>
        </w:rPr>
        <w:t> </w:t>
      </w:r>
      <w:r w:rsidR="003645DE" w:rsidRPr="00686C2A">
        <w:rPr>
          <w:rFonts w:cs="Arial"/>
          <w:noProof/>
        </w:rPr>
        <w:t>212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 xml:space="preserve">Omit </w:t>
      </w:r>
      <w:r w:rsidR="00A16431" w:rsidRPr="00686C2A">
        <w:t>“</w:t>
      </w:r>
      <w:r w:rsidRPr="00686C2A">
        <w:t>the balanced investment option for this product</w:t>
      </w:r>
      <w:r w:rsidR="00A16431" w:rsidRPr="00686C2A">
        <w:t>”</w:t>
      </w:r>
      <w:r w:rsidRPr="00686C2A">
        <w:t xml:space="preserve">, substitute </w:t>
      </w:r>
      <w:r w:rsidR="00A16431" w:rsidRPr="00686C2A">
        <w:t>“</w:t>
      </w:r>
      <w:r w:rsidRPr="00686C2A">
        <w:t>the balanced investment option for this managed investment product</w:t>
      </w:r>
      <w:r w:rsidR="00A16431" w:rsidRPr="00686C2A">
        <w:t>”</w:t>
      </w:r>
      <w:r w:rsidRPr="00686C2A">
        <w:t>.</w:t>
      </w:r>
    </w:p>
    <w:p w:rsidR="003645DE" w:rsidRPr="00686C2A" w:rsidRDefault="0018263A" w:rsidP="003645DE">
      <w:pPr>
        <w:pStyle w:val="ItemHead"/>
        <w:rPr>
          <w:rFonts w:cs="Arial"/>
          <w:noProof/>
        </w:rPr>
      </w:pPr>
      <w:r w:rsidRPr="00686C2A">
        <w:rPr>
          <w:rFonts w:cs="Arial"/>
          <w:noProof/>
        </w:rPr>
        <w:t>50</w:t>
      </w:r>
      <w:r w:rsidR="003645DE" w:rsidRPr="00686C2A">
        <w:rPr>
          <w:rFonts w:cs="Arial"/>
          <w:noProof/>
        </w:rPr>
        <w:t xml:space="preserve">  Clause</w:t>
      </w:r>
      <w:r w:rsidR="00686C2A" w:rsidRPr="00686C2A">
        <w:rPr>
          <w:rFonts w:cs="Arial"/>
          <w:noProof/>
        </w:rPr>
        <w:t> </w:t>
      </w:r>
      <w:r w:rsidR="003645DE" w:rsidRPr="00686C2A">
        <w:rPr>
          <w:rFonts w:cs="Arial"/>
          <w:noProof/>
        </w:rPr>
        <w:t>212 of Schedule</w:t>
      </w:r>
      <w:r w:rsidR="00686C2A" w:rsidRPr="00686C2A">
        <w:rPr>
          <w:rFonts w:cs="Arial"/>
          <w:noProof/>
        </w:rPr>
        <w:t> </w:t>
      </w:r>
      <w:r w:rsidR="003645DE" w:rsidRPr="00686C2A">
        <w:rPr>
          <w:rFonts w:cs="Arial"/>
          <w:noProof/>
        </w:rPr>
        <w:t>10 (example)</w:t>
      </w:r>
    </w:p>
    <w:p w:rsidR="003645DE" w:rsidRPr="00686C2A" w:rsidRDefault="003645DE" w:rsidP="003645DE">
      <w:pPr>
        <w:pStyle w:val="Item"/>
      </w:pPr>
      <w:r w:rsidRPr="00686C2A">
        <w:t xml:space="preserve">Omit </w:t>
      </w:r>
      <w:r w:rsidR="00A16431" w:rsidRPr="00686C2A">
        <w:t>“</w:t>
      </w:r>
      <w:r w:rsidRPr="00686C2A">
        <w:t>for every $50</w:t>
      </w:r>
      <w:r w:rsidR="00686C2A" w:rsidRPr="00686C2A">
        <w:t> </w:t>
      </w:r>
      <w:r w:rsidRPr="00686C2A">
        <w:t>000 you have in the fund</w:t>
      </w:r>
      <w:r w:rsidR="00A16431" w:rsidRPr="00686C2A">
        <w:t>”</w:t>
      </w:r>
      <w:r w:rsidRPr="00686C2A">
        <w:t xml:space="preserve">, substitute </w:t>
      </w:r>
      <w:r w:rsidR="00A16431" w:rsidRPr="00686C2A">
        <w:t>“</w:t>
      </w:r>
      <w:r w:rsidRPr="00686C2A">
        <w:t>for every $50</w:t>
      </w:r>
      <w:r w:rsidR="00686C2A" w:rsidRPr="00686C2A">
        <w:t> </w:t>
      </w:r>
      <w:r w:rsidRPr="00686C2A">
        <w:t>000 you have in the balanced investment option</w:t>
      </w:r>
      <w:r w:rsidR="00A16431" w:rsidRPr="00686C2A">
        <w:t>”</w:t>
      </w:r>
      <w:r w:rsidRPr="00686C2A">
        <w:t>.</w:t>
      </w:r>
    </w:p>
    <w:p w:rsidR="003645DE" w:rsidRPr="00686C2A" w:rsidRDefault="0018263A" w:rsidP="003645DE">
      <w:pPr>
        <w:pStyle w:val="ItemHead"/>
      </w:pPr>
      <w:r w:rsidRPr="00686C2A">
        <w:t>51</w:t>
      </w:r>
      <w:r w:rsidR="003645DE" w:rsidRPr="00686C2A">
        <w:t xml:space="preserve">  Clause</w:t>
      </w:r>
      <w:r w:rsidR="00686C2A" w:rsidRPr="00686C2A">
        <w:t> </w:t>
      </w:r>
      <w:r w:rsidR="003645DE" w:rsidRPr="00686C2A">
        <w:t>212 of Schedule</w:t>
      </w:r>
      <w:r w:rsidR="00686C2A" w:rsidRPr="00686C2A">
        <w:t> </w:t>
      </w:r>
      <w:r w:rsidR="003645DE" w:rsidRPr="00686C2A">
        <w:t>10 (example)</w:t>
      </w:r>
    </w:p>
    <w:p w:rsidR="003645DE" w:rsidRPr="00686C2A" w:rsidRDefault="003645DE" w:rsidP="003645DE">
      <w:pPr>
        <w:pStyle w:val="Item"/>
      </w:pPr>
      <w:r w:rsidRPr="00686C2A">
        <w:t xml:space="preserve">Omit </w:t>
      </w:r>
      <w:r w:rsidR="00A16431" w:rsidRPr="00686C2A">
        <w:t>“</w:t>
      </w:r>
      <w:r w:rsidRPr="00686C2A">
        <w:t>Cost of fund</w:t>
      </w:r>
      <w:r w:rsidR="00A16431" w:rsidRPr="00686C2A">
        <w:t>”</w:t>
      </w:r>
      <w:r w:rsidRPr="00686C2A">
        <w:t xml:space="preserve">, substitute </w:t>
      </w:r>
      <w:r w:rsidR="00A16431" w:rsidRPr="00686C2A">
        <w:t>“</w:t>
      </w:r>
      <w:r w:rsidRPr="00686C2A">
        <w:t>Cost of balanced investment option</w:t>
      </w:r>
      <w:r w:rsidR="00A16431" w:rsidRPr="00686C2A">
        <w:t>”</w:t>
      </w:r>
      <w:r w:rsidRPr="00686C2A">
        <w:t>.</w:t>
      </w:r>
    </w:p>
    <w:p w:rsidR="003645DE" w:rsidRPr="00686C2A" w:rsidRDefault="0018263A" w:rsidP="003645DE">
      <w:pPr>
        <w:pStyle w:val="ItemHead"/>
      </w:pPr>
      <w:r w:rsidRPr="00686C2A">
        <w:t>52</w:t>
      </w:r>
      <w:r w:rsidR="003645DE" w:rsidRPr="00686C2A">
        <w:t xml:space="preserve">  Clause</w:t>
      </w:r>
      <w:r w:rsidR="00686C2A" w:rsidRPr="00686C2A">
        <w:t> </w:t>
      </w:r>
      <w:r w:rsidR="003645DE" w:rsidRPr="00686C2A">
        <w:t>212 of Schedule</w:t>
      </w:r>
      <w:r w:rsidR="00686C2A" w:rsidRPr="00686C2A">
        <w:t> </w:t>
      </w:r>
      <w:r w:rsidR="003645DE" w:rsidRPr="00686C2A">
        <w:t>10 (example)</w:t>
      </w:r>
    </w:p>
    <w:p w:rsidR="003645DE" w:rsidRPr="00686C2A" w:rsidRDefault="003645DE" w:rsidP="003645DE">
      <w:pPr>
        <w:pStyle w:val="Item"/>
      </w:pPr>
      <w:r w:rsidRPr="00686C2A">
        <w:t xml:space="preserve">Omit </w:t>
      </w:r>
      <w:r w:rsidR="00A16431" w:rsidRPr="00686C2A">
        <w:t>“</w:t>
      </w:r>
      <w:r w:rsidRPr="00686C2A">
        <w:rPr>
          <w:b/>
        </w:rPr>
        <w:t>with your fund or financial adviser</w:t>
      </w:r>
      <w:r w:rsidR="00A16431" w:rsidRPr="00686C2A">
        <w:t>”</w:t>
      </w:r>
      <w:r w:rsidRPr="00686C2A">
        <w:t>.</w:t>
      </w:r>
    </w:p>
    <w:p w:rsidR="003645DE" w:rsidRPr="00686C2A" w:rsidRDefault="0018263A" w:rsidP="003645DE">
      <w:pPr>
        <w:pStyle w:val="ItemHead"/>
      </w:pPr>
      <w:r w:rsidRPr="00686C2A">
        <w:t>53</w:t>
      </w:r>
      <w:r w:rsidR="003645DE" w:rsidRPr="00686C2A">
        <w:t xml:space="preserve">  Clause</w:t>
      </w:r>
      <w:r w:rsidR="00686C2A" w:rsidRPr="00686C2A">
        <w:t> </w:t>
      </w:r>
      <w:r w:rsidR="003645DE" w:rsidRPr="00686C2A">
        <w:t>212 of Schedule</w:t>
      </w:r>
      <w:r w:rsidR="00686C2A" w:rsidRPr="00686C2A">
        <w:t> </w:t>
      </w:r>
      <w:r w:rsidR="003645DE" w:rsidRPr="00686C2A">
        <w:t>10 (example)</w:t>
      </w:r>
    </w:p>
    <w:p w:rsidR="003645DE" w:rsidRPr="00686C2A" w:rsidRDefault="003645DE" w:rsidP="003645DE">
      <w:pPr>
        <w:pStyle w:val="Item"/>
      </w:pPr>
      <w:r w:rsidRPr="00686C2A">
        <w:t xml:space="preserve">Omit </w:t>
      </w:r>
      <w:r w:rsidR="00A16431" w:rsidRPr="00686C2A">
        <w:t>“</w:t>
      </w:r>
      <w:r w:rsidRPr="00686C2A">
        <w:t>if you leave the fund early</w:t>
      </w:r>
      <w:r w:rsidR="00A16431" w:rsidRPr="00686C2A">
        <w:t>”</w:t>
      </w:r>
      <w:r w:rsidRPr="00686C2A">
        <w:t xml:space="preserve">, substitute </w:t>
      </w:r>
      <w:r w:rsidR="00A16431" w:rsidRPr="00686C2A">
        <w:t>“</w:t>
      </w:r>
      <w:r w:rsidRPr="00686C2A">
        <w:t>if you leave the managed investment scheme early</w:t>
      </w:r>
      <w:r w:rsidR="00A16431" w:rsidRPr="00686C2A">
        <w:t>”</w:t>
      </w:r>
      <w:r w:rsidRPr="00686C2A">
        <w:t>.</w:t>
      </w:r>
    </w:p>
    <w:p w:rsidR="003645DE" w:rsidRPr="00686C2A" w:rsidRDefault="0018263A" w:rsidP="003645DE">
      <w:pPr>
        <w:pStyle w:val="ItemHead"/>
        <w:rPr>
          <w:rFonts w:cs="Arial"/>
          <w:noProof/>
        </w:rPr>
      </w:pPr>
      <w:r w:rsidRPr="00686C2A">
        <w:rPr>
          <w:rFonts w:cs="Arial"/>
          <w:noProof/>
        </w:rPr>
        <w:t>54</w:t>
      </w:r>
      <w:r w:rsidR="003645DE" w:rsidRPr="00686C2A">
        <w:rPr>
          <w:rFonts w:cs="Arial"/>
          <w:noProof/>
        </w:rPr>
        <w:t xml:space="preserve">  Clause</w:t>
      </w:r>
      <w:r w:rsidR="00686C2A" w:rsidRPr="00686C2A">
        <w:rPr>
          <w:rFonts w:cs="Arial"/>
          <w:noProof/>
        </w:rPr>
        <w:t> </w:t>
      </w:r>
      <w:r w:rsidR="003645DE" w:rsidRPr="00686C2A">
        <w:rPr>
          <w:rFonts w:cs="Arial"/>
          <w:noProof/>
        </w:rPr>
        <w:t>212 of Schedule</w:t>
      </w:r>
      <w:r w:rsidR="00686C2A" w:rsidRPr="00686C2A">
        <w:rPr>
          <w:rFonts w:cs="Arial"/>
          <w:noProof/>
        </w:rPr>
        <w:t> </w:t>
      </w:r>
      <w:r w:rsidR="003645DE" w:rsidRPr="00686C2A">
        <w:rPr>
          <w:rFonts w:cs="Arial"/>
          <w:noProof/>
        </w:rPr>
        <w:t>10 (example)</w:t>
      </w:r>
    </w:p>
    <w:p w:rsidR="003645DE" w:rsidRPr="00686C2A" w:rsidRDefault="003645DE" w:rsidP="003645DE">
      <w:pPr>
        <w:pStyle w:val="Item"/>
      </w:pPr>
      <w:r w:rsidRPr="00686C2A">
        <w:t xml:space="preserve">Omit </w:t>
      </w:r>
      <w:r w:rsidR="00A16431" w:rsidRPr="00686C2A">
        <w:t>“</w:t>
      </w:r>
      <w:r w:rsidRPr="00686C2A">
        <w:rPr>
          <w:b/>
        </w:rPr>
        <w:t>withdrawal fees</w:t>
      </w:r>
      <w:r w:rsidR="00A16431" w:rsidRPr="00686C2A">
        <w:t>”</w:t>
      </w:r>
      <w:r w:rsidRPr="00686C2A">
        <w:t xml:space="preserve">, substitute </w:t>
      </w:r>
      <w:r w:rsidR="00A16431" w:rsidRPr="00686C2A">
        <w:t>“</w:t>
      </w:r>
      <w:r w:rsidRPr="00686C2A">
        <w:rPr>
          <w:b/>
        </w:rPr>
        <w:t>exit fees</w:t>
      </w:r>
      <w:r w:rsidR="00A16431" w:rsidRPr="00686C2A">
        <w:t>”</w:t>
      </w:r>
      <w:r w:rsidRPr="00686C2A">
        <w:t>.</w:t>
      </w:r>
    </w:p>
    <w:p w:rsidR="003645DE" w:rsidRPr="00686C2A" w:rsidRDefault="0018263A" w:rsidP="003645DE">
      <w:pPr>
        <w:pStyle w:val="ItemHead"/>
      </w:pPr>
      <w:r w:rsidRPr="00686C2A">
        <w:t>55</w:t>
      </w:r>
      <w:r w:rsidR="003645DE" w:rsidRPr="00686C2A">
        <w:t xml:space="preserve">  Clause</w:t>
      </w:r>
      <w:r w:rsidR="00686C2A" w:rsidRPr="00686C2A">
        <w:t> </w:t>
      </w:r>
      <w:r w:rsidR="003645DE" w:rsidRPr="00686C2A">
        <w:t>212 of Schedule</w:t>
      </w:r>
      <w:r w:rsidR="00686C2A" w:rsidRPr="00686C2A">
        <w:t> </w:t>
      </w:r>
      <w:r w:rsidR="003645DE" w:rsidRPr="00686C2A">
        <w:t>10 (example)</w:t>
      </w:r>
    </w:p>
    <w:p w:rsidR="003645DE" w:rsidRPr="00686C2A" w:rsidRDefault="003645DE" w:rsidP="003645DE">
      <w:pPr>
        <w:pStyle w:val="Item"/>
      </w:pPr>
      <w:r w:rsidRPr="00686C2A">
        <w:t xml:space="preserve">Omit </w:t>
      </w:r>
      <w:r w:rsidR="00A16431" w:rsidRPr="00686C2A">
        <w:t>“</w:t>
      </w:r>
      <w:r w:rsidRPr="00686C2A">
        <w:t>total fund balance</w:t>
      </w:r>
      <w:r w:rsidR="00A16431" w:rsidRPr="00686C2A">
        <w:t>”</w:t>
      </w:r>
      <w:r w:rsidRPr="00686C2A">
        <w:t xml:space="preserve">, substitute </w:t>
      </w:r>
      <w:r w:rsidR="00A16431" w:rsidRPr="00686C2A">
        <w:t>“</w:t>
      </w:r>
      <w:r w:rsidRPr="00686C2A">
        <w:t>total account balance</w:t>
      </w:r>
      <w:r w:rsidR="00A16431" w:rsidRPr="00686C2A">
        <w:t>”</w:t>
      </w:r>
      <w:r w:rsidRPr="00686C2A">
        <w:t>.</w:t>
      </w:r>
    </w:p>
    <w:p w:rsidR="003645DE" w:rsidRPr="00686C2A" w:rsidRDefault="0018263A" w:rsidP="003645DE">
      <w:pPr>
        <w:pStyle w:val="ItemHead"/>
        <w:rPr>
          <w:rFonts w:cs="Arial"/>
          <w:noProof/>
        </w:rPr>
      </w:pPr>
      <w:r w:rsidRPr="00686C2A">
        <w:rPr>
          <w:rFonts w:cs="Arial"/>
          <w:noProof/>
        </w:rPr>
        <w:t>56</w:t>
      </w:r>
      <w:r w:rsidR="003645DE" w:rsidRPr="00686C2A">
        <w:rPr>
          <w:rFonts w:cs="Arial"/>
          <w:noProof/>
        </w:rPr>
        <w:t xml:space="preserve">  Clause</w:t>
      </w:r>
      <w:r w:rsidR="00686C2A" w:rsidRPr="00686C2A">
        <w:rPr>
          <w:rFonts w:cs="Arial"/>
          <w:noProof/>
        </w:rPr>
        <w:t> </w:t>
      </w:r>
      <w:r w:rsidR="003645DE" w:rsidRPr="00686C2A">
        <w:rPr>
          <w:rFonts w:cs="Arial"/>
          <w:noProof/>
        </w:rPr>
        <w:t>214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30" w:name="_Toc359591524"/>
      <w:r w:rsidRPr="00686C2A">
        <w:rPr>
          <w:rStyle w:val="CharSectno"/>
        </w:rPr>
        <w:t>214</w:t>
      </w:r>
      <w:r w:rsidRPr="00686C2A">
        <w:t xml:space="preserve">  Fees and costs must be ongoing amounts</w:t>
      </w:r>
      <w:bookmarkEnd w:id="30"/>
    </w:p>
    <w:p w:rsidR="003645DE" w:rsidRPr="00686C2A" w:rsidRDefault="003645DE" w:rsidP="003645DE">
      <w:pPr>
        <w:pStyle w:val="subsection"/>
      </w:pPr>
      <w:r w:rsidRPr="00686C2A">
        <w:tab/>
      </w:r>
      <w:r w:rsidRPr="00686C2A">
        <w:tab/>
        <w:t xml:space="preserve">The fees and costs stated in the example must be typical ongoing fees that apply to the </w:t>
      </w:r>
      <w:proofErr w:type="spellStart"/>
      <w:r w:rsidRPr="00686C2A">
        <w:t>MySuper</w:t>
      </w:r>
      <w:proofErr w:type="spellEnd"/>
      <w:r w:rsidRPr="00686C2A">
        <w:t xml:space="preserve"> product or investment option.</w:t>
      </w:r>
    </w:p>
    <w:p w:rsidR="003645DE" w:rsidRPr="00686C2A" w:rsidRDefault="003645DE" w:rsidP="003645DE">
      <w:pPr>
        <w:pStyle w:val="notetext"/>
      </w:pPr>
      <w:r w:rsidRPr="00686C2A">
        <w:t>Note:</w:t>
      </w:r>
      <w:r w:rsidRPr="00686C2A">
        <w:tab/>
        <w:t xml:space="preserve">The example should not be based on </w:t>
      </w:r>
      <w:r w:rsidR="00A16431" w:rsidRPr="00686C2A">
        <w:t>“</w:t>
      </w:r>
      <w:r w:rsidRPr="00686C2A">
        <w:t>honeymoon rates</w:t>
      </w:r>
      <w:r w:rsidR="00A16431" w:rsidRPr="00686C2A">
        <w:t>”</w:t>
      </w:r>
      <w:r w:rsidRPr="00686C2A">
        <w:t>. It must be consistent with the statement for an existing member or product holder having the stated balance and level of contributions each year.</w:t>
      </w:r>
    </w:p>
    <w:p w:rsidR="00046798" w:rsidRPr="00686C2A" w:rsidRDefault="00046798" w:rsidP="00046798">
      <w:pPr>
        <w:pStyle w:val="ActHead5"/>
      </w:pPr>
      <w:bookmarkStart w:id="31" w:name="_Toc359591525"/>
      <w:r w:rsidRPr="00686C2A">
        <w:rPr>
          <w:rStyle w:val="CharSectno"/>
        </w:rPr>
        <w:lastRenderedPageBreak/>
        <w:t>214A</w:t>
      </w:r>
      <w:r w:rsidRPr="00686C2A">
        <w:t xml:space="preserve">  Example of annual fees and costs for a </w:t>
      </w:r>
      <w:proofErr w:type="spellStart"/>
      <w:r w:rsidRPr="00686C2A">
        <w:t>MySuper</w:t>
      </w:r>
      <w:proofErr w:type="spellEnd"/>
      <w:r w:rsidRPr="00686C2A">
        <w:t xml:space="preserve"> product—lifecycle </w:t>
      </w:r>
      <w:proofErr w:type="spellStart"/>
      <w:r w:rsidRPr="00686C2A">
        <w:t>MySuper</w:t>
      </w:r>
      <w:proofErr w:type="spellEnd"/>
      <w:r w:rsidRPr="00686C2A">
        <w:t xml:space="preserve"> product</w:t>
      </w:r>
      <w:bookmarkEnd w:id="31"/>
    </w:p>
    <w:p w:rsidR="00046798" w:rsidRPr="00686C2A" w:rsidRDefault="00046798" w:rsidP="00F00F50">
      <w:pPr>
        <w:pStyle w:val="Item"/>
      </w:pPr>
      <w:r w:rsidRPr="00686C2A">
        <w:t xml:space="preserve">If the example of fees and costs for a </w:t>
      </w:r>
      <w:proofErr w:type="spellStart"/>
      <w:r w:rsidRPr="00686C2A">
        <w:t>MySuper</w:t>
      </w:r>
      <w:proofErr w:type="spellEnd"/>
      <w:r w:rsidRPr="00686C2A">
        <w:t xml:space="preserve"> product uses a lifecycle </w:t>
      </w:r>
      <w:proofErr w:type="spellStart"/>
      <w:r w:rsidRPr="00686C2A">
        <w:t>MySuper</w:t>
      </w:r>
      <w:proofErr w:type="spellEnd"/>
      <w:r w:rsidRPr="00686C2A">
        <w:t xml:space="preserve"> product, the investment fee quoted in the example must be the highest investment fee for a lifecycle stage of the lifecycle </w:t>
      </w:r>
      <w:proofErr w:type="spellStart"/>
      <w:r w:rsidRPr="00686C2A">
        <w:t>MySuper</w:t>
      </w:r>
      <w:proofErr w:type="spellEnd"/>
      <w:r w:rsidRPr="00686C2A">
        <w:t xml:space="preserve"> product.</w:t>
      </w:r>
    </w:p>
    <w:p w:rsidR="003645DE" w:rsidRPr="00686C2A" w:rsidRDefault="0018263A" w:rsidP="003645DE">
      <w:pPr>
        <w:pStyle w:val="ItemHead"/>
        <w:rPr>
          <w:rFonts w:cs="Arial"/>
          <w:noProof/>
        </w:rPr>
      </w:pPr>
      <w:r w:rsidRPr="00686C2A">
        <w:rPr>
          <w:rFonts w:cs="Arial"/>
          <w:noProof/>
        </w:rPr>
        <w:t>57</w:t>
      </w:r>
      <w:r w:rsidR="003645DE" w:rsidRPr="00686C2A">
        <w:rPr>
          <w:rFonts w:cs="Arial"/>
          <w:noProof/>
        </w:rPr>
        <w:t xml:space="preserve">  Clause</w:t>
      </w:r>
      <w:r w:rsidR="00686C2A" w:rsidRPr="00686C2A">
        <w:rPr>
          <w:rFonts w:cs="Arial"/>
          <w:noProof/>
        </w:rPr>
        <w:t> </w:t>
      </w:r>
      <w:r w:rsidR="003645DE" w:rsidRPr="00686C2A">
        <w:rPr>
          <w:rFonts w:cs="Arial"/>
          <w:noProof/>
        </w:rPr>
        <w:t>215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 xml:space="preserve">Omit </w:t>
      </w:r>
      <w:r w:rsidR="00A16431" w:rsidRPr="00686C2A">
        <w:t>“</w:t>
      </w:r>
      <w:r w:rsidRPr="00686C2A">
        <w:t>a fund</w:t>
      </w:r>
      <w:r w:rsidR="00A16431" w:rsidRPr="00686C2A">
        <w:t>”</w:t>
      </w:r>
      <w:r w:rsidRPr="00686C2A">
        <w:t xml:space="preserve"> (wherever occurring), substitute </w:t>
      </w:r>
      <w:r w:rsidR="00A16431" w:rsidRPr="00686C2A">
        <w:t>“</w:t>
      </w:r>
      <w:r w:rsidRPr="00686C2A">
        <w:t>a superannuation entity or a managed investment scheme</w:t>
      </w:r>
      <w:r w:rsidR="00A16431" w:rsidRPr="00686C2A">
        <w:t>”</w:t>
      </w:r>
      <w:r w:rsidRPr="00686C2A">
        <w:t>.</w:t>
      </w:r>
    </w:p>
    <w:p w:rsidR="003645DE" w:rsidRPr="00686C2A" w:rsidRDefault="0018263A" w:rsidP="003645DE">
      <w:pPr>
        <w:pStyle w:val="ItemHead"/>
        <w:rPr>
          <w:rFonts w:cs="Arial"/>
          <w:noProof/>
        </w:rPr>
      </w:pPr>
      <w:r w:rsidRPr="00686C2A">
        <w:rPr>
          <w:rFonts w:cs="Arial"/>
          <w:noProof/>
        </w:rPr>
        <w:t>58</w:t>
      </w:r>
      <w:r w:rsidR="003645DE" w:rsidRPr="00686C2A">
        <w:rPr>
          <w:rFonts w:cs="Arial"/>
          <w:noProof/>
        </w:rPr>
        <w:t xml:space="preserve">  Clause</w:t>
      </w:r>
      <w:r w:rsidR="00686C2A" w:rsidRPr="00686C2A">
        <w:rPr>
          <w:rFonts w:cs="Arial"/>
          <w:noProof/>
        </w:rPr>
        <w:t> </w:t>
      </w:r>
      <w:r w:rsidR="003645DE" w:rsidRPr="00686C2A">
        <w:rPr>
          <w:rFonts w:cs="Arial"/>
          <w:noProof/>
        </w:rPr>
        <w:t>216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32" w:name="_Toc359591526"/>
      <w:r w:rsidRPr="00686C2A">
        <w:rPr>
          <w:rStyle w:val="CharSectno"/>
        </w:rPr>
        <w:t>216</w:t>
      </w:r>
      <w:r w:rsidRPr="00686C2A">
        <w:t xml:space="preserve">  Exit fees</w:t>
      </w:r>
      <w:bookmarkEnd w:id="32"/>
    </w:p>
    <w:p w:rsidR="003645DE" w:rsidRPr="00686C2A" w:rsidRDefault="003645DE" w:rsidP="003645DE">
      <w:pPr>
        <w:pStyle w:val="Item"/>
      </w:pPr>
      <w:r w:rsidRPr="00686C2A">
        <w:t>If an exit fee may be charged, it must be described in footnote to the table, based on:</w:t>
      </w:r>
    </w:p>
    <w:p w:rsidR="003645DE" w:rsidRPr="00686C2A" w:rsidRDefault="003645DE" w:rsidP="003645DE">
      <w:pPr>
        <w:pStyle w:val="paragraph"/>
      </w:pPr>
      <w:r w:rsidRPr="00686C2A">
        <w:tab/>
        <w:t>(a)</w:t>
      </w:r>
      <w:r w:rsidRPr="00686C2A">
        <w:tab/>
        <w:t>a balance of $50</w:t>
      </w:r>
      <w:r w:rsidR="00686C2A" w:rsidRPr="00686C2A">
        <w:t> </w:t>
      </w:r>
      <w:r w:rsidRPr="00686C2A">
        <w:t>000; or</w:t>
      </w:r>
    </w:p>
    <w:p w:rsidR="003645DE" w:rsidRPr="00686C2A" w:rsidRDefault="003645DE" w:rsidP="003645DE">
      <w:pPr>
        <w:pStyle w:val="paragraph"/>
      </w:pPr>
      <w:r w:rsidRPr="00686C2A">
        <w:tab/>
        <w:t>(b)</w:t>
      </w:r>
      <w:r w:rsidRPr="00686C2A">
        <w:tab/>
        <w:t>if clause</w:t>
      </w:r>
      <w:r w:rsidR="00686C2A" w:rsidRPr="00686C2A">
        <w:t> </w:t>
      </w:r>
      <w:r w:rsidRPr="00686C2A">
        <w:t>215 applies—an amount that is a multiple of $50</w:t>
      </w:r>
      <w:r w:rsidR="00686C2A" w:rsidRPr="00686C2A">
        <w:t> </w:t>
      </w:r>
      <w:r w:rsidRPr="00686C2A">
        <w:t>000.</w:t>
      </w:r>
    </w:p>
    <w:p w:rsidR="003645DE" w:rsidRPr="00686C2A" w:rsidRDefault="0018263A" w:rsidP="003645DE">
      <w:pPr>
        <w:pStyle w:val="ItemHead"/>
        <w:rPr>
          <w:rFonts w:cs="Arial"/>
          <w:noProof/>
        </w:rPr>
      </w:pPr>
      <w:r w:rsidRPr="00686C2A">
        <w:rPr>
          <w:rFonts w:cs="Arial"/>
          <w:noProof/>
        </w:rPr>
        <w:t>59</w:t>
      </w:r>
      <w:r w:rsidR="003645DE" w:rsidRPr="00686C2A">
        <w:rPr>
          <w:rFonts w:cs="Arial"/>
          <w:noProof/>
        </w:rPr>
        <w:t xml:space="preserve">  Subclause</w:t>
      </w:r>
      <w:r w:rsidR="00686C2A" w:rsidRPr="00686C2A">
        <w:rPr>
          <w:rFonts w:cs="Arial"/>
          <w:noProof/>
        </w:rPr>
        <w:t> </w:t>
      </w:r>
      <w:r w:rsidR="003645DE" w:rsidRPr="00686C2A">
        <w:rPr>
          <w:rFonts w:cs="Arial"/>
          <w:noProof/>
        </w:rPr>
        <w:t>217(1) of Schedule</w:t>
      </w:r>
      <w:r w:rsidR="00686C2A" w:rsidRPr="00686C2A">
        <w:rPr>
          <w:rFonts w:cs="Arial"/>
          <w:noProof/>
        </w:rPr>
        <w:t> </w:t>
      </w:r>
      <w:r w:rsidR="003645DE" w:rsidRPr="00686C2A">
        <w:rPr>
          <w:rFonts w:cs="Arial"/>
          <w:noProof/>
        </w:rPr>
        <w:t>10</w:t>
      </w:r>
    </w:p>
    <w:p w:rsidR="003645DE" w:rsidRPr="00686C2A" w:rsidRDefault="003645DE" w:rsidP="003645DE">
      <w:pPr>
        <w:pStyle w:val="Item"/>
      </w:pPr>
      <w:r w:rsidRPr="00686C2A">
        <w:t xml:space="preserve">Omit </w:t>
      </w:r>
      <w:r w:rsidR="00A16431" w:rsidRPr="00686C2A">
        <w:t>“</w:t>
      </w:r>
      <w:r w:rsidRPr="00686C2A">
        <w:t>a superannuation product or</w:t>
      </w:r>
      <w:r w:rsidR="00A16431" w:rsidRPr="00686C2A">
        <w:t>”</w:t>
      </w:r>
      <w:r w:rsidRPr="00686C2A">
        <w:t>.</w:t>
      </w:r>
    </w:p>
    <w:p w:rsidR="003645DE" w:rsidRPr="00686C2A" w:rsidRDefault="0018263A" w:rsidP="003645DE">
      <w:pPr>
        <w:pStyle w:val="ItemHead"/>
        <w:rPr>
          <w:rFonts w:cs="Arial"/>
        </w:rPr>
      </w:pPr>
      <w:r w:rsidRPr="00686C2A">
        <w:rPr>
          <w:rFonts w:cs="Arial"/>
          <w:noProof/>
        </w:rPr>
        <w:t>60</w:t>
      </w:r>
      <w:r w:rsidR="003645DE" w:rsidRPr="00686C2A">
        <w:rPr>
          <w:rFonts w:cs="Arial"/>
        </w:rPr>
        <w:t xml:space="preserve">  Clause</w:t>
      </w:r>
      <w:r w:rsidR="00686C2A" w:rsidRPr="00686C2A">
        <w:rPr>
          <w:rFonts w:cs="Arial"/>
        </w:rPr>
        <w:t> </w:t>
      </w:r>
      <w:r w:rsidR="003645DE" w:rsidRPr="00686C2A">
        <w:rPr>
          <w:rFonts w:cs="Arial"/>
        </w:rPr>
        <w:t>218 of Schedule</w:t>
      </w:r>
      <w:r w:rsidR="00686C2A" w:rsidRPr="00686C2A">
        <w:rPr>
          <w:rFonts w:cs="Arial"/>
        </w:rPr>
        <w:t> </w:t>
      </w:r>
      <w:r w:rsidR="003645DE" w:rsidRPr="00686C2A">
        <w:rPr>
          <w:rFonts w:cs="Arial"/>
        </w:rPr>
        <w:t>10</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33" w:name="_Toc359591527"/>
      <w:r w:rsidRPr="00686C2A">
        <w:rPr>
          <w:rStyle w:val="CharSectno"/>
        </w:rPr>
        <w:t>218</w:t>
      </w:r>
      <w:r w:rsidRPr="00686C2A">
        <w:t xml:space="preserve">  Administration fees and investment fees for a superannuation product</w:t>
      </w:r>
      <w:bookmarkEnd w:id="33"/>
    </w:p>
    <w:p w:rsidR="003645DE" w:rsidRPr="00686C2A" w:rsidRDefault="003645DE" w:rsidP="003645DE">
      <w:pPr>
        <w:pStyle w:val="SubsectionHead"/>
      </w:pPr>
      <w:r w:rsidRPr="00686C2A">
        <w:t>Administration fees</w:t>
      </w:r>
    </w:p>
    <w:p w:rsidR="003645DE" w:rsidRPr="00686C2A" w:rsidRDefault="003645DE" w:rsidP="003645DE">
      <w:pPr>
        <w:pStyle w:val="subsection"/>
      </w:pPr>
      <w:r w:rsidRPr="00686C2A">
        <w:tab/>
        <w:t>(1)</w:t>
      </w:r>
      <w:r w:rsidRPr="00686C2A">
        <w:tab/>
        <w:t xml:space="preserve">The example of administration fees for a </w:t>
      </w:r>
      <w:proofErr w:type="spellStart"/>
      <w:r w:rsidRPr="00686C2A">
        <w:t>MySuper</w:t>
      </w:r>
      <w:proofErr w:type="spellEnd"/>
      <w:r w:rsidRPr="00686C2A">
        <w:t xml:space="preserve"> product or an investment option offered by a superannuation entity is applied to an amount of $50</w:t>
      </w:r>
      <w:r w:rsidR="00686C2A" w:rsidRPr="00686C2A">
        <w:t> </w:t>
      </w:r>
      <w:r w:rsidRPr="00686C2A">
        <w:t>000 or an amount that is a multiple of $50</w:t>
      </w:r>
      <w:r w:rsidR="00686C2A" w:rsidRPr="00686C2A">
        <w:t> </w:t>
      </w:r>
      <w:r w:rsidRPr="00686C2A">
        <w:t>000 if clause</w:t>
      </w:r>
      <w:r w:rsidR="00686C2A" w:rsidRPr="00686C2A">
        <w:t> </w:t>
      </w:r>
      <w:r w:rsidRPr="00686C2A">
        <w:t>215 applies.</w:t>
      </w:r>
    </w:p>
    <w:p w:rsidR="003645DE" w:rsidRPr="00686C2A" w:rsidRDefault="003645DE" w:rsidP="003645DE">
      <w:pPr>
        <w:pStyle w:val="notetext"/>
      </w:pPr>
      <w:r w:rsidRPr="00686C2A">
        <w:rPr>
          <w:iCs/>
        </w:rPr>
        <w:t>Note:</w:t>
      </w:r>
      <w:r w:rsidRPr="00686C2A">
        <w:rPr>
          <w:iCs/>
        </w:rPr>
        <w:tab/>
      </w:r>
      <w:r w:rsidRPr="00686C2A">
        <w:t>In calculating the amount, do not include contributions that may be made during the year.</w:t>
      </w:r>
    </w:p>
    <w:p w:rsidR="003645DE" w:rsidRPr="00686C2A" w:rsidRDefault="003645DE" w:rsidP="003645DE">
      <w:pPr>
        <w:pStyle w:val="subsection"/>
      </w:pPr>
      <w:r w:rsidRPr="00686C2A">
        <w:lastRenderedPageBreak/>
        <w:tab/>
        <w:t>(2)</w:t>
      </w:r>
      <w:r w:rsidRPr="00686C2A">
        <w:tab/>
        <w:t xml:space="preserve">If there is a range in the amount of administration fees that may be charged for a </w:t>
      </w:r>
      <w:proofErr w:type="spellStart"/>
      <w:r w:rsidRPr="00686C2A">
        <w:t>MySuper</w:t>
      </w:r>
      <w:proofErr w:type="spellEnd"/>
      <w:r w:rsidRPr="00686C2A">
        <w:t xml:space="preserve"> product or an investment option offered by a superannuation entity, the example must use the highest administration fees in the range.</w:t>
      </w:r>
    </w:p>
    <w:p w:rsidR="003645DE" w:rsidRPr="00686C2A" w:rsidRDefault="003645DE" w:rsidP="003645DE">
      <w:pPr>
        <w:pStyle w:val="SubsectionHead"/>
      </w:pPr>
      <w:r w:rsidRPr="00686C2A">
        <w:t>Investment fees</w:t>
      </w:r>
    </w:p>
    <w:p w:rsidR="003645DE" w:rsidRPr="00686C2A" w:rsidRDefault="003645DE" w:rsidP="003645DE">
      <w:pPr>
        <w:pStyle w:val="subsection"/>
      </w:pPr>
      <w:r w:rsidRPr="00686C2A">
        <w:tab/>
        <w:t>(3)</w:t>
      </w:r>
      <w:r w:rsidRPr="00686C2A">
        <w:tab/>
        <w:t xml:space="preserve">The example of investment fees for a </w:t>
      </w:r>
      <w:proofErr w:type="spellStart"/>
      <w:r w:rsidRPr="00686C2A">
        <w:t>MySuper</w:t>
      </w:r>
      <w:proofErr w:type="spellEnd"/>
      <w:r w:rsidRPr="00686C2A">
        <w:t xml:space="preserve"> product or an investment option offered by a superannuation entity is applied to an amount of $50</w:t>
      </w:r>
      <w:r w:rsidR="00686C2A" w:rsidRPr="00686C2A">
        <w:t> </w:t>
      </w:r>
      <w:r w:rsidRPr="00686C2A">
        <w:t>000 or an amount that is a multiple of $50</w:t>
      </w:r>
      <w:r w:rsidR="00686C2A" w:rsidRPr="00686C2A">
        <w:t> </w:t>
      </w:r>
      <w:r w:rsidRPr="00686C2A">
        <w:t>000 if clause</w:t>
      </w:r>
      <w:r w:rsidR="00686C2A" w:rsidRPr="00686C2A">
        <w:t> </w:t>
      </w:r>
      <w:r w:rsidRPr="00686C2A">
        <w:t>215 applies.</w:t>
      </w:r>
    </w:p>
    <w:p w:rsidR="003645DE" w:rsidRPr="00686C2A" w:rsidRDefault="003645DE" w:rsidP="003645DE">
      <w:pPr>
        <w:pStyle w:val="notetext"/>
      </w:pPr>
      <w:r w:rsidRPr="00686C2A">
        <w:rPr>
          <w:iCs/>
        </w:rPr>
        <w:t>Note:</w:t>
      </w:r>
      <w:r w:rsidRPr="00686C2A">
        <w:rPr>
          <w:iCs/>
        </w:rPr>
        <w:tab/>
      </w:r>
      <w:r w:rsidRPr="00686C2A">
        <w:t>In calculating the amount, do not include contributions that may be made during the year.</w:t>
      </w:r>
    </w:p>
    <w:p w:rsidR="003645DE" w:rsidRPr="00686C2A" w:rsidRDefault="003645DE" w:rsidP="003645DE">
      <w:pPr>
        <w:pStyle w:val="subsection"/>
      </w:pPr>
      <w:r w:rsidRPr="00686C2A">
        <w:tab/>
        <w:t>(4)</w:t>
      </w:r>
      <w:r w:rsidRPr="00686C2A">
        <w:tab/>
        <w:t xml:space="preserve">If there is a range in the amount of investment fees that may be charged for a </w:t>
      </w:r>
      <w:proofErr w:type="spellStart"/>
      <w:r w:rsidRPr="00686C2A">
        <w:t>MySuper</w:t>
      </w:r>
      <w:proofErr w:type="spellEnd"/>
      <w:r w:rsidRPr="00686C2A">
        <w:t xml:space="preserve"> product or an investment option offered by a superannuation entity, the example must use the highest investment fees in the range.</w:t>
      </w:r>
    </w:p>
    <w:p w:rsidR="003645DE" w:rsidRPr="00686C2A" w:rsidRDefault="003645DE" w:rsidP="003645DE">
      <w:pPr>
        <w:pStyle w:val="SubsectionHead"/>
      </w:pPr>
      <w:r w:rsidRPr="00686C2A">
        <w:t xml:space="preserve">Indirect costs for a </w:t>
      </w:r>
      <w:proofErr w:type="spellStart"/>
      <w:r w:rsidRPr="00686C2A">
        <w:t>MySuper</w:t>
      </w:r>
      <w:proofErr w:type="spellEnd"/>
      <w:r w:rsidRPr="00686C2A">
        <w:t xml:space="preserve"> product or investment option</w:t>
      </w:r>
    </w:p>
    <w:p w:rsidR="003645DE" w:rsidRPr="00686C2A" w:rsidRDefault="003645DE" w:rsidP="003645DE">
      <w:pPr>
        <w:pStyle w:val="subsection"/>
      </w:pPr>
      <w:r w:rsidRPr="00686C2A">
        <w:tab/>
        <w:t>(5)</w:t>
      </w:r>
      <w:r w:rsidRPr="00686C2A">
        <w:tab/>
        <w:t xml:space="preserve">The example of indirect costs for a </w:t>
      </w:r>
      <w:proofErr w:type="spellStart"/>
      <w:r w:rsidRPr="00686C2A">
        <w:t>MySuper</w:t>
      </w:r>
      <w:proofErr w:type="spellEnd"/>
      <w:r w:rsidRPr="00686C2A">
        <w:t xml:space="preserve"> product or an investment option offered by a superannuation entity must be worked out by applying the indirect cost ratio for the </w:t>
      </w:r>
      <w:proofErr w:type="spellStart"/>
      <w:r w:rsidRPr="00686C2A">
        <w:t>MySuper</w:t>
      </w:r>
      <w:proofErr w:type="spellEnd"/>
      <w:r w:rsidRPr="00686C2A">
        <w:t xml:space="preserve"> product or the investment option to an amount of $50,000 or an amount that is a multiple of $50,000 if clause</w:t>
      </w:r>
      <w:r w:rsidR="00686C2A" w:rsidRPr="00686C2A">
        <w:t> </w:t>
      </w:r>
      <w:r w:rsidRPr="00686C2A">
        <w:t>215 applies.</w:t>
      </w:r>
    </w:p>
    <w:p w:rsidR="003645DE" w:rsidRPr="00686C2A" w:rsidRDefault="003645DE" w:rsidP="003645DE">
      <w:pPr>
        <w:pStyle w:val="ActHead5"/>
      </w:pPr>
      <w:bookmarkStart w:id="34" w:name="_Toc359591528"/>
      <w:r w:rsidRPr="00686C2A">
        <w:rPr>
          <w:rStyle w:val="CharSectno"/>
        </w:rPr>
        <w:t>218A</w:t>
      </w:r>
      <w:r w:rsidRPr="00686C2A">
        <w:t xml:space="preserve">  Management costs for a managed investment product</w:t>
      </w:r>
      <w:bookmarkEnd w:id="34"/>
    </w:p>
    <w:p w:rsidR="003645DE" w:rsidRPr="00686C2A" w:rsidRDefault="003645DE" w:rsidP="003645DE">
      <w:pPr>
        <w:pStyle w:val="subsection"/>
      </w:pPr>
      <w:r w:rsidRPr="00686C2A">
        <w:tab/>
        <w:t>(1)</w:t>
      </w:r>
      <w:r w:rsidRPr="00686C2A">
        <w:tab/>
        <w:t>The example of management costs for an investment option offered by a managed investment scheme is applied to an amount of $50</w:t>
      </w:r>
      <w:r w:rsidR="00686C2A" w:rsidRPr="00686C2A">
        <w:t> </w:t>
      </w:r>
      <w:r w:rsidRPr="00686C2A">
        <w:t>000 or an amount that is a multiple of $50</w:t>
      </w:r>
      <w:r w:rsidR="00686C2A" w:rsidRPr="00686C2A">
        <w:t> </w:t>
      </w:r>
      <w:r w:rsidRPr="00686C2A">
        <w:t>000 if clause</w:t>
      </w:r>
      <w:r w:rsidR="00686C2A" w:rsidRPr="00686C2A">
        <w:t> </w:t>
      </w:r>
      <w:r w:rsidRPr="00686C2A">
        <w:t>215 applies.</w:t>
      </w:r>
    </w:p>
    <w:p w:rsidR="003645DE" w:rsidRPr="00686C2A" w:rsidRDefault="003645DE" w:rsidP="003645DE">
      <w:pPr>
        <w:pStyle w:val="notetext"/>
      </w:pPr>
      <w:r w:rsidRPr="00686C2A">
        <w:t>Note:</w:t>
      </w:r>
      <w:r w:rsidRPr="00686C2A">
        <w:tab/>
        <w:t>In calculating the amount, do not include contributions that may be made during the year.</w:t>
      </w:r>
    </w:p>
    <w:p w:rsidR="003645DE" w:rsidRPr="00686C2A" w:rsidRDefault="003645DE" w:rsidP="003645DE">
      <w:pPr>
        <w:pStyle w:val="subsection"/>
      </w:pPr>
      <w:r w:rsidRPr="00686C2A">
        <w:tab/>
        <w:t>(2)</w:t>
      </w:r>
      <w:r w:rsidRPr="00686C2A">
        <w:tab/>
        <w:t>If there is a range in the amount of management costs that may be charged for an investment option offered by a managed investment scheme, the example must use the highest management costs in the range.</w:t>
      </w:r>
    </w:p>
    <w:p w:rsidR="003645DE" w:rsidRPr="00686C2A" w:rsidRDefault="003645DE" w:rsidP="003645DE">
      <w:pPr>
        <w:pStyle w:val="subsection"/>
      </w:pPr>
      <w:r w:rsidRPr="00686C2A">
        <w:lastRenderedPageBreak/>
        <w:tab/>
        <w:t>(3)</w:t>
      </w:r>
      <w:r w:rsidRPr="00686C2A">
        <w:tab/>
        <w:t>Management costs that are not deducted directly from a product holder</w:t>
      </w:r>
      <w:r w:rsidR="00A16431" w:rsidRPr="00686C2A">
        <w:t>’</w:t>
      </w:r>
      <w:r w:rsidRPr="00686C2A">
        <w:t>s account must be calculated using the indirect cost ratio for the relevant investment option offered by the managed investment scheme.</w:t>
      </w:r>
    </w:p>
    <w:p w:rsidR="003645DE" w:rsidRPr="00686C2A" w:rsidRDefault="003645DE" w:rsidP="003645DE">
      <w:pPr>
        <w:pStyle w:val="subsection"/>
      </w:pPr>
      <w:r w:rsidRPr="00686C2A">
        <w:tab/>
        <w:t>(4)</w:t>
      </w:r>
      <w:r w:rsidRPr="00686C2A">
        <w:tab/>
        <w:t>Any percentage based management costs that are deducted directly from a product holder</w:t>
      </w:r>
      <w:r w:rsidR="00A16431" w:rsidRPr="00686C2A">
        <w:t>’</w:t>
      </w:r>
      <w:r w:rsidRPr="00686C2A">
        <w:t xml:space="preserve">s account should be added to the percentage amount calculated under </w:t>
      </w:r>
      <w:r w:rsidR="00686C2A" w:rsidRPr="00686C2A">
        <w:t>subclause (</w:t>
      </w:r>
      <w:r w:rsidR="00E524F5" w:rsidRPr="00686C2A">
        <w:t>3</w:t>
      </w:r>
      <w:r w:rsidRPr="00686C2A">
        <w:t>).</w:t>
      </w:r>
    </w:p>
    <w:p w:rsidR="003645DE" w:rsidRPr="00686C2A" w:rsidRDefault="003645DE" w:rsidP="003645DE">
      <w:pPr>
        <w:pStyle w:val="subsection"/>
      </w:pPr>
      <w:r w:rsidRPr="00686C2A">
        <w:tab/>
        <w:t>(5)</w:t>
      </w:r>
      <w:r w:rsidRPr="00686C2A">
        <w:tab/>
        <w:t>Any dollar based management costs that are deducted directly from a product holder</w:t>
      </w:r>
      <w:r w:rsidR="00A16431" w:rsidRPr="00686C2A">
        <w:t>’</w:t>
      </w:r>
      <w:r w:rsidRPr="00686C2A">
        <w:t>s account must be shown separately in the management costs cell.</w:t>
      </w:r>
    </w:p>
    <w:p w:rsidR="003645DE" w:rsidRPr="00686C2A" w:rsidRDefault="003645DE" w:rsidP="003645DE">
      <w:pPr>
        <w:pStyle w:val="notetext"/>
      </w:pPr>
      <w:r w:rsidRPr="00686C2A">
        <w:t>Example 1:</w:t>
      </w:r>
      <w:r w:rsidRPr="00686C2A">
        <w:tab/>
        <w:t>Management costs: 2 % deducted directly from your account + 1.6% deducted indirectly.</w:t>
      </w:r>
    </w:p>
    <w:p w:rsidR="003645DE" w:rsidRPr="00686C2A" w:rsidRDefault="003645DE" w:rsidP="003645DE">
      <w:pPr>
        <w:pStyle w:val="notetext"/>
      </w:pPr>
      <w:r w:rsidRPr="00686C2A">
        <w:t>Example 2:</w:t>
      </w:r>
      <w:r w:rsidRPr="00686C2A">
        <w:tab/>
        <w:t>Management costs: $52 per year ($1 per week) deducted directly from your account + 1.6% deducted indirectly.</w:t>
      </w:r>
    </w:p>
    <w:p w:rsidR="003645DE" w:rsidRPr="00686C2A" w:rsidRDefault="003645DE" w:rsidP="003645DE">
      <w:pPr>
        <w:pStyle w:val="notetext"/>
      </w:pPr>
      <w:r w:rsidRPr="00686C2A">
        <w:t>Example 3:</w:t>
      </w:r>
      <w:r w:rsidRPr="00686C2A">
        <w:tab/>
        <w:t>Management costs: $52 per year ($1 per week) + 1% deducted directly from your account + 1.6% deducted indirectly.</w:t>
      </w:r>
    </w:p>
    <w:p w:rsidR="003645DE" w:rsidRPr="00686C2A" w:rsidRDefault="0018263A" w:rsidP="003645DE">
      <w:pPr>
        <w:pStyle w:val="ItemHead"/>
      </w:pPr>
      <w:r w:rsidRPr="00686C2A">
        <w:rPr>
          <w:noProof/>
        </w:rPr>
        <w:t>61</w:t>
      </w:r>
      <w:r w:rsidR="003645DE" w:rsidRPr="00686C2A">
        <w:t xml:space="preserve">  Clause</w:t>
      </w:r>
      <w:r w:rsidR="00686C2A" w:rsidRPr="00686C2A">
        <w:t> </w:t>
      </w:r>
      <w:r w:rsidR="003645DE" w:rsidRPr="00686C2A">
        <w:t>219 of Schedule</w:t>
      </w:r>
      <w:r w:rsidR="00686C2A" w:rsidRPr="00686C2A">
        <w:t> </w:t>
      </w:r>
      <w:r w:rsidR="003645DE" w:rsidRPr="00686C2A">
        <w:t>10 (heading)</w:t>
      </w:r>
    </w:p>
    <w:p w:rsidR="003645DE" w:rsidRPr="00686C2A" w:rsidRDefault="003645DE" w:rsidP="003645DE">
      <w:pPr>
        <w:pStyle w:val="Item"/>
      </w:pPr>
      <w:r w:rsidRPr="00686C2A">
        <w:t>Repeal the heading, substitute:</w:t>
      </w:r>
    </w:p>
    <w:p w:rsidR="003645DE" w:rsidRPr="00686C2A" w:rsidRDefault="003645DE" w:rsidP="003645DE">
      <w:pPr>
        <w:pStyle w:val="ActHead5"/>
      </w:pPr>
      <w:bookmarkStart w:id="35" w:name="_Toc359591529"/>
      <w:r w:rsidRPr="00686C2A">
        <w:rPr>
          <w:rStyle w:val="CharSectno"/>
        </w:rPr>
        <w:t>219</w:t>
      </w:r>
      <w:r w:rsidRPr="00686C2A">
        <w:t xml:space="preserve">  Withdrawal fees and exit fees</w:t>
      </w:r>
      <w:bookmarkEnd w:id="35"/>
    </w:p>
    <w:p w:rsidR="003645DE" w:rsidRPr="00686C2A" w:rsidRDefault="0018263A" w:rsidP="003645DE">
      <w:pPr>
        <w:pStyle w:val="ItemHead"/>
        <w:rPr>
          <w:rFonts w:cs="Arial"/>
        </w:rPr>
      </w:pPr>
      <w:r w:rsidRPr="00686C2A">
        <w:rPr>
          <w:rFonts w:cs="Arial"/>
          <w:noProof/>
        </w:rPr>
        <w:t>62</w:t>
      </w:r>
      <w:r w:rsidR="003645DE" w:rsidRPr="00686C2A">
        <w:rPr>
          <w:rFonts w:cs="Arial"/>
        </w:rPr>
        <w:t xml:space="preserve">  Subclause</w:t>
      </w:r>
      <w:r w:rsidR="00686C2A" w:rsidRPr="00686C2A">
        <w:rPr>
          <w:rFonts w:cs="Arial"/>
        </w:rPr>
        <w:t> </w:t>
      </w:r>
      <w:r w:rsidR="003645DE" w:rsidRPr="00686C2A">
        <w:rPr>
          <w:rFonts w:cs="Arial"/>
        </w:rPr>
        <w:t>219(1) of Schedule</w:t>
      </w:r>
      <w:r w:rsidR="00686C2A" w:rsidRPr="00686C2A">
        <w:rPr>
          <w:rFonts w:cs="Arial"/>
        </w:rPr>
        <w:t> </w:t>
      </w:r>
      <w:r w:rsidR="003645DE" w:rsidRPr="00686C2A">
        <w:rPr>
          <w:rFonts w:cs="Arial"/>
        </w:rPr>
        <w:t>10</w:t>
      </w:r>
    </w:p>
    <w:p w:rsidR="003645DE" w:rsidRPr="00686C2A" w:rsidRDefault="003645DE" w:rsidP="003645DE">
      <w:pPr>
        <w:pStyle w:val="Item"/>
      </w:pPr>
      <w:r w:rsidRPr="00686C2A">
        <w:t xml:space="preserve">Omit </w:t>
      </w:r>
      <w:r w:rsidR="00A16431" w:rsidRPr="00686C2A">
        <w:t>“</w:t>
      </w:r>
      <w:r w:rsidRPr="00686C2A">
        <w:t>a termination fee</w:t>
      </w:r>
      <w:r w:rsidR="00A16431" w:rsidRPr="00686C2A">
        <w:t>”</w:t>
      </w:r>
      <w:r w:rsidRPr="00686C2A">
        <w:t xml:space="preserve">, substitute </w:t>
      </w:r>
      <w:r w:rsidR="00A16431" w:rsidRPr="00686C2A">
        <w:t>“</w:t>
      </w:r>
      <w:r w:rsidRPr="00686C2A">
        <w:t>an exit fee</w:t>
      </w:r>
      <w:r w:rsidR="00A16431" w:rsidRPr="00686C2A">
        <w:t>”</w:t>
      </w:r>
      <w:r w:rsidRPr="00686C2A">
        <w:t>.</w:t>
      </w:r>
    </w:p>
    <w:p w:rsidR="003645DE" w:rsidRPr="00686C2A" w:rsidRDefault="0018263A" w:rsidP="003645DE">
      <w:pPr>
        <w:pStyle w:val="ItemHead"/>
      </w:pPr>
      <w:r w:rsidRPr="00686C2A">
        <w:t>63</w:t>
      </w:r>
      <w:r w:rsidR="003645DE" w:rsidRPr="00686C2A">
        <w:t xml:space="preserve">  Clause</w:t>
      </w:r>
      <w:r w:rsidR="00686C2A" w:rsidRPr="00686C2A">
        <w:t> </w:t>
      </w:r>
      <w:r w:rsidR="003645DE" w:rsidRPr="00686C2A">
        <w:t>220 of Schedule</w:t>
      </w:r>
      <w:r w:rsidR="00686C2A" w:rsidRPr="00686C2A">
        <w:t> </w:t>
      </w:r>
      <w:r w:rsidR="003645DE" w:rsidRPr="00686C2A">
        <w:t>10</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36" w:name="_Toc359591530"/>
      <w:r w:rsidRPr="00686C2A">
        <w:rPr>
          <w:rStyle w:val="CharSectno"/>
        </w:rPr>
        <w:t>220</w:t>
      </w:r>
      <w:r w:rsidRPr="00686C2A">
        <w:t xml:space="preserve">  If there is no generic </w:t>
      </w:r>
      <w:proofErr w:type="spellStart"/>
      <w:r w:rsidRPr="00686C2A">
        <w:t>MySuper</w:t>
      </w:r>
      <w:proofErr w:type="spellEnd"/>
      <w:r w:rsidRPr="00686C2A">
        <w:t xml:space="preserve"> product </w:t>
      </w:r>
      <w:r w:rsidR="001C16CF" w:rsidRPr="00686C2A">
        <w:t xml:space="preserve">or </w:t>
      </w:r>
      <w:r w:rsidRPr="00686C2A">
        <w:t>balanced investment option</w:t>
      </w:r>
      <w:bookmarkEnd w:id="36"/>
    </w:p>
    <w:p w:rsidR="003645DE" w:rsidRPr="00686C2A" w:rsidRDefault="003645DE" w:rsidP="003645DE">
      <w:pPr>
        <w:pStyle w:val="SubsectionHead"/>
      </w:pPr>
      <w:r w:rsidRPr="00686C2A">
        <w:t>Superannuation entities</w:t>
      </w:r>
    </w:p>
    <w:p w:rsidR="003645DE" w:rsidRPr="00686C2A" w:rsidRDefault="003645DE" w:rsidP="003645DE">
      <w:pPr>
        <w:pStyle w:val="subsection"/>
      </w:pPr>
      <w:r w:rsidRPr="00686C2A">
        <w:tab/>
        <w:t>(1)</w:t>
      </w:r>
      <w:r w:rsidRPr="00686C2A">
        <w:tab/>
        <w:t>If a superannuation entity does not offer a generic</w:t>
      </w:r>
      <w:r w:rsidRPr="00686C2A">
        <w:rPr>
          <w:i/>
        </w:rPr>
        <w:t xml:space="preserve"> </w:t>
      </w:r>
      <w:proofErr w:type="spellStart"/>
      <w:r w:rsidRPr="00686C2A">
        <w:t>MySuper</w:t>
      </w:r>
      <w:proofErr w:type="spellEnd"/>
      <w:r w:rsidRPr="00686C2A">
        <w:t xml:space="preserve"> product, the example should be based on:</w:t>
      </w:r>
    </w:p>
    <w:p w:rsidR="003645DE" w:rsidRPr="00686C2A" w:rsidRDefault="003645DE" w:rsidP="003645DE">
      <w:pPr>
        <w:pStyle w:val="paragraph"/>
      </w:pPr>
      <w:r w:rsidRPr="00686C2A">
        <w:lastRenderedPageBreak/>
        <w:tab/>
        <w:t>(a)</w:t>
      </w:r>
      <w:r w:rsidRPr="00686C2A">
        <w:tab/>
        <w:t>where the superannuation entity offers a balanced investment option—the balanced investment option under which most assets of the superannuation entity are invested; and</w:t>
      </w:r>
    </w:p>
    <w:p w:rsidR="003645DE" w:rsidRPr="00686C2A" w:rsidRDefault="003645DE" w:rsidP="003645DE">
      <w:pPr>
        <w:pStyle w:val="paragraph"/>
      </w:pPr>
      <w:r w:rsidRPr="00686C2A">
        <w:tab/>
        <w:t>(b)</w:t>
      </w:r>
      <w:r w:rsidRPr="00686C2A">
        <w:tab/>
        <w:t xml:space="preserve">where the superannuation entity does not offer a balanced investment option—the investment option under which </w:t>
      </w:r>
      <w:r w:rsidR="001C16CF" w:rsidRPr="00686C2A">
        <w:t>most assets of the superannuation entity are i</w:t>
      </w:r>
      <w:r w:rsidRPr="00686C2A">
        <w:t>nvested.</w:t>
      </w:r>
    </w:p>
    <w:p w:rsidR="003645DE" w:rsidRPr="00686C2A" w:rsidRDefault="003645DE" w:rsidP="003645DE">
      <w:pPr>
        <w:pStyle w:val="SubsectionHead"/>
      </w:pPr>
      <w:r w:rsidRPr="00686C2A">
        <w:t>Managed investment schemes</w:t>
      </w:r>
    </w:p>
    <w:p w:rsidR="003645DE" w:rsidRPr="00686C2A" w:rsidRDefault="003645DE" w:rsidP="003645DE">
      <w:pPr>
        <w:pStyle w:val="subsection"/>
      </w:pPr>
      <w:r w:rsidRPr="00686C2A">
        <w:tab/>
        <w:t>(2)</w:t>
      </w:r>
      <w:r w:rsidRPr="00686C2A">
        <w:tab/>
        <w:t>If a managed investment scheme does not offer a balanced investment option, the example should be based on:</w:t>
      </w:r>
    </w:p>
    <w:p w:rsidR="003645DE" w:rsidRPr="00686C2A" w:rsidRDefault="003645DE" w:rsidP="003645DE">
      <w:pPr>
        <w:pStyle w:val="paragraph"/>
      </w:pPr>
      <w:r w:rsidRPr="00686C2A">
        <w:tab/>
        <w:t>(a)</w:t>
      </w:r>
      <w:r w:rsidRPr="00686C2A">
        <w:tab/>
        <w:t>where the scheme offers a default investment option—that option; and</w:t>
      </w:r>
    </w:p>
    <w:p w:rsidR="003645DE" w:rsidRPr="00686C2A" w:rsidRDefault="003645DE" w:rsidP="003645DE">
      <w:pPr>
        <w:pStyle w:val="paragraph"/>
      </w:pPr>
      <w:r w:rsidRPr="00686C2A">
        <w:tab/>
        <w:t>(b)</w:t>
      </w:r>
      <w:r w:rsidRPr="00686C2A">
        <w:tab/>
        <w:t xml:space="preserve">where the scheme does not offer a default investment option—the investment option under which </w:t>
      </w:r>
      <w:r w:rsidR="00770EBD" w:rsidRPr="00686C2A">
        <w:t xml:space="preserve">most assets of </w:t>
      </w:r>
      <w:r w:rsidRPr="00686C2A">
        <w:t xml:space="preserve">the scheme </w:t>
      </w:r>
      <w:r w:rsidR="00770EBD" w:rsidRPr="00686C2A">
        <w:t xml:space="preserve">are </w:t>
      </w:r>
      <w:r w:rsidRPr="00686C2A">
        <w:t>invested.</w:t>
      </w:r>
    </w:p>
    <w:p w:rsidR="003645DE" w:rsidRPr="00686C2A" w:rsidRDefault="0018263A" w:rsidP="003645DE">
      <w:pPr>
        <w:pStyle w:val="ItemHead"/>
      </w:pPr>
      <w:r w:rsidRPr="00686C2A">
        <w:t>64</w:t>
      </w:r>
      <w:r w:rsidR="003645DE" w:rsidRPr="00686C2A">
        <w:t xml:space="preserve">  Clause</w:t>
      </w:r>
      <w:r w:rsidR="00686C2A" w:rsidRPr="00686C2A">
        <w:t> </w:t>
      </w:r>
      <w:r w:rsidR="003645DE" w:rsidRPr="00686C2A">
        <w:t>221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fund balance</w:t>
      </w:r>
      <w:r w:rsidR="00A16431" w:rsidRPr="00686C2A">
        <w:t>”</w:t>
      </w:r>
      <w:r w:rsidRPr="00686C2A">
        <w:t xml:space="preserve">, substitute </w:t>
      </w:r>
      <w:r w:rsidR="00A16431" w:rsidRPr="00686C2A">
        <w:t>“</w:t>
      </w:r>
      <w:r w:rsidRPr="00686C2A">
        <w:t>account balance</w:t>
      </w:r>
      <w:r w:rsidR="00A16431" w:rsidRPr="00686C2A">
        <w:t>”</w:t>
      </w:r>
      <w:r w:rsidRPr="00686C2A">
        <w:t>.</w:t>
      </w:r>
    </w:p>
    <w:p w:rsidR="003645DE" w:rsidRPr="00686C2A" w:rsidRDefault="0018263A" w:rsidP="003645DE">
      <w:pPr>
        <w:pStyle w:val="ItemHead"/>
      </w:pPr>
      <w:r w:rsidRPr="00686C2A">
        <w:t>65</w:t>
      </w:r>
      <w:r w:rsidR="003645DE" w:rsidRPr="00686C2A">
        <w:t xml:space="preserve">  Clause</w:t>
      </w:r>
      <w:r w:rsidR="00686C2A" w:rsidRPr="00686C2A">
        <w:t> </w:t>
      </w:r>
      <w:r w:rsidR="003645DE" w:rsidRPr="00686C2A">
        <w:t>221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rPr>
          <w:b/>
        </w:rPr>
        <w:t>You may be able to negotiate to pay lower contribution fees and management costs where applicable.</w:t>
      </w:r>
      <w:r w:rsidR="00A16431" w:rsidRPr="00686C2A">
        <w:rPr>
          <w:b/>
        </w:rPr>
        <w:t>”</w:t>
      </w:r>
      <w:r w:rsidRPr="00686C2A">
        <w:t xml:space="preserve">, substitute </w:t>
      </w:r>
      <w:r w:rsidR="00A16431" w:rsidRPr="00686C2A">
        <w:t>“</w:t>
      </w:r>
      <w:r w:rsidRPr="00686C2A">
        <w:rPr>
          <w:b/>
        </w:rPr>
        <w:t>You</w:t>
      </w:r>
      <w:r w:rsidR="00781897" w:rsidRPr="00686C2A">
        <w:rPr>
          <w:b/>
        </w:rPr>
        <w:t>r employer</w:t>
      </w:r>
      <w:r w:rsidRPr="00686C2A">
        <w:rPr>
          <w:b/>
        </w:rPr>
        <w:t xml:space="preserve"> may be able to negotiate to pay lower </w:t>
      </w:r>
      <w:r w:rsidR="00FF1EC9" w:rsidRPr="00686C2A">
        <w:rPr>
          <w:b/>
        </w:rPr>
        <w:t xml:space="preserve">administration </w:t>
      </w:r>
      <w:r w:rsidRPr="00686C2A">
        <w:rPr>
          <w:b/>
        </w:rPr>
        <w:t>fees.</w:t>
      </w:r>
      <w:r w:rsidR="00A16431" w:rsidRPr="00686C2A">
        <w:t>”</w:t>
      </w:r>
      <w:r w:rsidRPr="00686C2A">
        <w:t>.</w:t>
      </w:r>
    </w:p>
    <w:p w:rsidR="003645DE" w:rsidRPr="00686C2A" w:rsidRDefault="0018263A" w:rsidP="003645DE">
      <w:pPr>
        <w:pStyle w:val="ItemHead"/>
      </w:pPr>
      <w:r w:rsidRPr="00686C2A">
        <w:t>66</w:t>
      </w:r>
      <w:r w:rsidR="003645DE" w:rsidRPr="00686C2A">
        <w:t xml:space="preserve">  Clause</w:t>
      </w:r>
      <w:r w:rsidR="00686C2A" w:rsidRPr="00686C2A">
        <w:t> </w:t>
      </w:r>
      <w:r w:rsidR="003645DE" w:rsidRPr="00686C2A">
        <w:t>221 of Schedule</w:t>
      </w:r>
      <w:r w:rsidR="00686C2A" w:rsidRPr="00686C2A">
        <w:t> </w:t>
      </w:r>
      <w:r w:rsidR="003645DE" w:rsidRPr="00686C2A">
        <w:t>10</w:t>
      </w:r>
    </w:p>
    <w:p w:rsidR="003645DE" w:rsidRPr="00686C2A" w:rsidRDefault="003645DE" w:rsidP="003645DE">
      <w:pPr>
        <w:pStyle w:val="Item"/>
      </w:pPr>
      <w:r w:rsidRPr="00686C2A">
        <w:t xml:space="preserve">Omit </w:t>
      </w:r>
      <w:r w:rsidR="00A16431" w:rsidRPr="00686C2A">
        <w:t>“</w:t>
      </w:r>
      <w:r w:rsidRPr="00686C2A">
        <w:t>(www.fido.asic.gov.au)</w:t>
      </w:r>
      <w:r w:rsidR="00A16431" w:rsidRPr="00686C2A">
        <w:t>”</w:t>
      </w:r>
      <w:r w:rsidRPr="00686C2A">
        <w:t xml:space="preserve">, substitute </w:t>
      </w:r>
      <w:r w:rsidR="00A16431" w:rsidRPr="00686C2A">
        <w:t>“</w:t>
      </w:r>
      <w:r w:rsidRPr="00686C2A">
        <w:t>(www.moneysmart.gov.au)</w:t>
      </w:r>
      <w:r w:rsidR="00A16431" w:rsidRPr="00686C2A">
        <w:t>”</w:t>
      </w:r>
      <w:r w:rsidRPr="00686C2A">
        <w:t>.</w:t>
      </w:r>
    </w:p>
    <w:p w:rsidR="003645DE" w:rsidRPr="00686C2A" w:rsidRDefault="0018263A" w:rsidP="003645DE">
      <w:pPr>
        <w:pStyle w:val="ItemHead"/>
      </w:pPr>
      <w:r w:rsidRPr="00686C2A">
        <w:t>67</w:t>
      </w:r>
      <w:r w:rsidR="003645DE" w:rsidRPr="00686C2A">
        <w:t xml:space="preserve">  Clause</w:t>
      </w:r>
      <w:r w:rsidR="00686C2A" w:rsidRPr="00686C2A">
        <w:t> </w:t>
      </w:r>
      <w:r w:rsidR="003645DE" w:rsidRPr="00686C2A">
        <w:t>301 of Schedule</w:t>
      </w:r>
      <w:r w:rsidR="00686C2A" w:rsidRPr="00686C2A">
        <w:t> </w:t>
      </w:r>
      <w:r w:rsidR="003645DE" w:rsidRPr="00686C2A">
        <w:t>10</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37" w:name="_Toc359591531"/>
      <w:r w:rsidRPr="00686C2A">
        <w:rPr>
          <w:rStyle w:val="CharSectno"/>
        </w:rPr>
        <w:t>301</w:t>
      </w:r>
      <w:r w:rsidRPr="00686C2A">
        <w:t xml:space="preserve">  Indirect costs related to investment and administration of accounts</w:t>
      </w:r>
      <w:bookmarkEnd w:id="37"/>
    </w:p>
    <w:p w:rsidR="003645DE" w:rsidRPr="00686C2A" w:rsidRDefault="003645DE" w:rsidP="003645DE">
      <w:pPr>
        <w:pStyle w:val="subsection"/>
      </w:pPr>
      <w:r w:rsidRPr="00686C2A">
        <w:tab/>
        <w:t>(1)</w:t>
      </w:r>
      <w:r w:rsidRPr="00686C2A">
        <w:tab/>
        <w:t>The following text and the appropriate amount, in dollars, must be inserted after the part of the periodic statement that itemises transactions during the period.</w:t>
      </w:r>
    </w:p>
    <w:p w:rsidR="00F00F50" w:rsidRPr="00686C2A" w:rsidRDefault="00F00F50" w:rsidP="00F00F50"/>
    <w:p w:rsidR="003645DE" w:rsidRPr="00686C2A" w:rsidRDefault="003645DE" w:rsidP="00F00F50">
      <w:pPr>
        <w:ind w:left="1134"/>
        <w:rPr>
          <w:b/>
          <w:sz w:val="26"/>
          <w:szCs w:val="26"/>
        </w:rPr>
      </w:pPr>
      <w:r w:rsidRPr="00686C2A">
        <w:rPr>
          <w:b/>
          <w:sz w:val="26"/>
          <w:szCs w:val="26"/>
        </w:rPr>
        <w:t>Indirect costs of your investment</w:t>
      </w:r>
    </w:p>
    <w:p w:rsidR="003645DE" w:rsidRPr="00686C2A" w:rsidRDefault="003645DE" w:rsidP="003645DE">
      <w:pPr>
        <w:pStyle w:val="subsection"/>
      </w:pPr>
      <w:r w:rsidRPr="00686C2A">
        <w:tab/>
      </w:r>
      <w:r w:rsidRPr="00686C2A">
        <w:tab/>
        <w:t>This approximate amount has been deducted from your investment and includes amounts that have reduced the return on your investment but are not charged directly to you as a fee.</w:t>
      </w:r>
    </w:p>
    <w:p w:rsidR="003645DE" w:rsidRPr="00686C2A" w:rsidRDefault="003645DE" w:rsidP="003645DE">
      <w:pPr>
        <w:pStyle w:val="subsection"/>
      </w:pPr>
      <w:r w:rsidRPr="00686C2A">
        <w:tab/>
        <w:t>(2)</w:t>
      </w:r>
      <w:r w:rsidRPr="00686C2A">
        <w:tab/>
        <w:t>The amount inserted must include:</w:t>
      </w:r>
    </w:p>
    <w:p w:rsidR="003645DE" w:rsidRPr="00686C2A" w:rsidRDefault="003645DE" w:rsidP="003645DE">
      <w:pPr>
        <w:pStyle w:val="paragraph"/>
      </w:pPr>
      <w:r w:rsidRPr="00686C2A">
        <w:tab/>
        <w:t>(a)</w:t>
      </w:r>
      <w:r w:rsidRPr="00686C2A">
        <w:tab/>
        <w:t xml:space="preserve">for a </w:t>
      </w:r>
      <w:proofErr w:type="spellStart"/>
      <w:r w:rsidRPr="00686C2A">
        <w:t>MySuper</w:t>
      </w:r>
      <w:proofErr w:type="spellEnd"/>
      <w:r w:rsidRPr="00686C2A">
        <w:t xml:space="preserve"> product or an investment option offered by a superannuation entity—the indirect costs for the </w:t>
      </w:r>
      <w:proofErr w:type="spellStart"/>
      <w:r w:rsidRPr="00686C2A">
        <w:t>MySuper</w:t>
      </w:r>
      <w:proofErr w:type="spellEnd"/>
      <w:r w:rsidRPr="00686C2A">
        <w:t xml:space="preserve"> product or investment option; and</w:t>
      </w:r>
    </w:p>
    <w:p w:rsidR="003645DE" w:rsidRPr="00686C2A" w:rsidRDefault="003645DE" w:rsidP="003645DE">
      <w:pPr>
        <w:pStyle w:val="paragraph"/>
      </w:pPr>
      <w:r w:rsidRPr="00686C2A">
        <w:tab/>
        <w:t>(b)</w:t>
      </w:r>
      <w:r w:rsidRPr="00686C2A">
        <w:tab/>
        <w:t>for an investment option offered by a managed investment scheme—all management costs not deducted directly from a product holder</w:t>
      </w:r>
      <w:r w:rsidR="00A16431" w:rsidRPr="00686C2A">
        <w:t>’</w:t>
      </w:r>
      <w:r w:rsidRPr="00686C2A">
        <w:t>s account during the reporting period.</w:t>
      </w:r>
    </w:p>
    <w:p w:rsidR="003645DE" w:rsidRPr="00686C2A" w:rsidRDefault="003645DE" w:rsidP="003645DE">
      <w:pPr>
        <w:pStyle w:val="subsection"/>
      </w:pPr>
      <w:r w:rsidRPr="00686C2A">
        <w:tab/>
        <w:t>(3)</w:t>
      </w:r>
      <w:r w:rsidRPr="00686C2A">
        <w:tab/>
        <w:t>The amount must be shown as a single total amount in dollars.</w:t>
      </w:r>
    </w:p>
    <w:p w:rsidR="003645DE" w:rsidRPr="00686C2A" w:rsidRDefault="003645DE" w:rsidP="003645DE">
      <w:pPr>
        <w:pStyle w:val="subsection"/>
      </w:pPr>
      <w:r w:rsidRPr="00686C2A">
        <w:tab/>
        <w:t>(4)</w:t>
      </w:r>
      <w:r w:rsidRPr="00686C2A">
        <w:tab/>
        <w:t>The amount for a managed investment product must be calculated by multiplying the indirect cost ratio for the relevant investment option by the product holder</w:t>
      </w:r>
      <w:r w:rsidR="00A16431" w:rsidRPr="00686C2A">
        <w:t>’</w:t>
      </w:r>
      <w:r w:rsidRPr="00686C2A">
        <w:t>s average account balance for the option over the reporting period.</w:t>
      </w:r>
    </w:p>
    <w:p w:rsidR="003645DE" w:rsidRPr="00686C2A" w:rsidRDefault="0018263A" w:rsidP="003645DE">
      <w:pPr>
        <w:pStyle w:val="ItemHead"/>
      </w:pPr>
      <w:r w:rsidRPr="00686C2A">
        <w:t>68</w:t>
      </w:r>
      <w:r w:rsidR="003645DE" w:rsidRPr="00686C2A">
        <w:t xml:space="preserve">  Clause</w:t>
      </w:r>
      <w:r w:rsidR="00686C2A" w:rsidRPr="00686C2A">
        <w:t> </w:t>
      </w:r>
      <w:r w:rsidR="003645DE" w:rsidRPr="00686C2A">
        <w:t>303 of Schedule</w:t>
      </w:r>
      <w:r w:rsidR="00686C2A" w:rsidRPr="00686C2A">
        <w:t> </w:t>
      </w:r>
      <w:r w:rsidR="003645DE" w:rsidRPr="00686C2A">
        <w:t>10</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38" w:name="_Toc359591532"/>
      <w:r w:rsidRPr="00686C2A">
        <w:rPr>
          <w:rStyle w:val="CharSectno"/>
        </w:rPr>
        <w:t>303</w:t>
      </w:r>
      <w:r w:rsidRPr="00686C2A">
        <w:t xml:space="preserve"> </w:t>
      </w:r>
      <w:r w:rsidR="00C73E98" w:rsidRPr="00686C2A">
        <w:t xml:space="preserve"> </w:t>
      </w:r>
      <w:r w:rsidRPr="00686C2A">
        <w:t>Matters to be included as additional explanation of fees and costs</w:t>
      </w:r>
      <w:bookmarkEnd w:id="38"/>
    </w:p>
    <w:p w:rsidR="003645DE" w:rsidRPr="00686C2A" w:rsidRDefault="003645DE" w:rsidP="003645DE">
      <w:pPr>
        <w:pStyle w:val="SubsectionHead"/>
      </w:pPr>
      <w:r w:rsidRPr="00686C2A">
        <w:t>Superannuation products</w:t>
      </w:r>
    </w:p>
    <w:p w:rsidR="003645DE" w:rsidRPr="00686C2A" w:rsidRDefault="003645DE" w:rsidP="003645DE">
      <w:pPr>
        <w:pStyle w:val="subsection"/>
      </w:pPr>
      <w:r w:rsidRPr="00686C2A">
        <w:tab/>
        <w:t>(1)</w:t>
      </w:r>
      <w:r w:rsidRPr="00686C2A">
        <w:tab/>
        <w:t xml:space="preserve">The following information must be included in the periodic statement for a superannuation product under the heading </w:t>
      </w:r>
      <w:r w:rsidR="00A16431" w:rsidRPr="00686C2A">
        <w:t>“</w:t>
      </w:r>
      <w:r w:rsidRPr="00686C2A">
        <w:t>Additional Explanation of Fees and Costs</w:t>
      </w:r>
      <w:r w:rsidR="00A16431" w:rsidRPr="00686C2A">
        <w:t>”</w:t>
      </w:r>
      <w:r w:rsidRPr="00686C2A">
        <w:t>, if it has not been included in another part of the periodic statement:</w:t>
      </w:r>
    </w:p>
    <w:p w:rsidR="003645DE" w:rsidRPr="00686C2A" w:rsidRDefault="003645DE" w:rsidP="003645DE">
      <w:pPr>
        <w:pStyle w:val="paragraph"/>
      </w:pPr>
      <w:r w:rsidRPr="00686C2A">
        <w:tab/>
        <w:t>(a)</w:t>
      </w:r>
      <w:r w:rsidRPr="00686C2A">
        <w:tab/>
        <w:t>details of any activity fees, advice fees and insurance fees that were incurred by the member during the period;</w:t>
      </w:r>
    </w:p>
    <w:p w:rsidR="003645DE" w:rsidRPr="00686C2A" w:rsidRDefault="003645DE" w:rsidP="003645DE">
      <w:pPr>
        <w:pStyle w:val="paragraph"/>
      </w:pPr>
      <w:r w:rsidRPr="00686C2A">
        <w:tab/>
        <w:t>(b)</w:t>
      </w:r>
      <w:r w:rsidRPr="00686C2A">
        <w:tab/>
        <w:t>for a superannuation product that is subject to tax—whether the benefit of any tax deduct</w:t>
      </w:r>
      <w:r w:rsidR="00007B8B" w:rsidRPr="00686C2A">
        <w:t>ion</w:t>
      </w:r>
      <w:r w:rsidRPr="00686C2A">
        <w:t xml:space="preserve"> has been passed on to the investor in the form of a reduced fee or cost.</w:t>
      </w:r>
    </w:p>
    <w:p w:rsidR="003645DE" w:rsidRPr="00686C2A" w:rsidRDefault="003645DE" w:rsidP="003645DE">
      <w:pPr>
        <w:pStyle w:val="SubsectionHead"/>
      </w:pPr>
      <w:r w:rsidRPr="00686C2A">
        <w:lastRenderedPageBreak/>
        <w:t>Managed investment products</w:t>
      </w:r>
    </w:p>
    <w:p w:rsidR="003645DE" w:rsidRPr="00686C2A" w:rsidRDefault="003645DE" w:rsidP="003645DE">
      <w:pPr>
        <w:pStyle w:val="subsection"/>
      </w:pPr>
      <w:r w:rsidRPr="00686C2A">
        <w:tab/>
        <w:t>(2)</w:t>
      </w:r>
      <w:r w:rsidRPr="00686C2A">
        <w:tab/>
        <w:t xml:space="preserve">The following information must be included in the periodic statement under the heading </w:t>
      </w:r>
      <w:r w:rsidR="00A16431" w:rsidRPr="00686C2A">
        <w:t>“</w:t>
      </w:r>
      <w:r w:rsidRPr="00686C2A">
        <w:t>Additional Explanation of Fees and Costs</w:t>
      </w:r>
      <w:r w:rsidR="00A16431" w:rsidRPr="00686C2A">
        <w:t>”</w:t>
      </w:r>
      <w:r w:rsidRPr="00686C2A">
        <w:t>, if it has not been included in another part of the periodic statement:</w:t>
      </w:r>
    </w:p>
    <w:p w:rsidR="003645DE" w:rsidRPr="00686C2A" w:rsidRDefault="003645DE" w:rsidP="003645DE">
      <w:pPr>
        <w:pStyle w:val="paragraph"/>
      </w:pPr>
      <w:r w:rsidRPr="00686C2A">
        <w:tab/>
        <w:t>(a)</w:t>
      </w:r>
      <w:r w:rsidRPr="00686C2A">
        <w:tab/>
        <w:t>details of incidental fees, such as cheque dishonour fees, that were incurred by the product holder during the period;</w:t>
      </w:r>
    </w:p>
    <w:p w:rsidR="003645DE" w:rsidRPr="00686C2A" w:rsidRDefault="003645DE" w:rsidP="003645DE">
      <w:pPr>
        <w:pStyle w:val="paragraph"/>
      </w:pPr>
      <w:r w:rsidRPr="00686C2A">
        <w:tab/>
        <w:t>(b)</w:t>
      </w:r>
      <w:r w:rsidRPr="00686C2A">
        <w:tab/>
        <w:t>details of any service fees that may have been incurred by the product holder;</w:t>
      </w:r>
    </w:p>
    <w:p w:rsidR="003645DE" w:rsidRPr="00686C2A" w:rsidRDefault="003645DE" w:rsidP="003645DE">
      <w:pPr>
        <w:pStyle w:val="paragraph"/>
      </w:pPr>
      <w:r w:rsidRPr="00686C2A">
        <w:tab/>
        <w:t>(c)</w:t>
      </w:r>
      <w:r w:rsidRPr="00686C2A">
        <w:tab/>
        <w:t>for a managed investment product that is subject to tax—whether the benefit of any tax deduction has been passed on to the investor in the form of a reduced fee or cost.</w:t>
      </w:r>
    </w:p>
    <w:p w:rsidR="003645DE" w:rsidRPr="00686C2A" w:rsidRDefault="0018263A" w:rsidP="003645DE">
      <w:pPr>
        <w:pStyle w:val="ItemHead"/>
      </w:pPr>
      <w:r w:rsidRPr="00686C2A">
        <w:t>69</w:t>
      </w:r>
      <w:r w:rsidR="003645DE" w:rsidRPr="00686C2A">
        <w:t xml:space="preserve">  At the end of Part</w:t>
      </w:r>
      <w:r w:rsidR="00686C2A" w:rsidRPr="00686C2A">
        <w:t> </w:t>
      </w:r>
      <w:r w:rsidR="003645DE" w:rsidRPr="00686C2A">
        <w:t>6 of Schedule</w:t>
      </w:r>
      <w:r w:rsidR="00686C2A" w:rsidRPr="00686C2A">
        <w:t> </w:t>
      </w:r>
      <w:r w:rsidR="003645DE" w:rsidRPr="00686C2A">
        <w:t>10A</w:t>
      </w:r>
    </w:p>
    <w:p w:rsidR="003645DE" w:rsidRPr="00686C2A" w:rsidRDefault="003645DE" w:rsidP="003645DE">
      <w:pPr>
        <w:pStyle w:val="Item"/>
      </w:pPr>
      <w:r w:rsidRPr="00686C2A">
        <w:t>Add:</w:t>
      </w:r>
    </w:p>
    <w:p w:rsidR="003645DE" w:rsidRPr="00686C2A" w:rsidRDefault="003645DE" w:rsidP="003645DE">
      <w:pPr>
        <w:pStyle w:val="ActHead2"/>
      </w:pPr>
      <w:bookmarkStart w:id="39" w:name="_Toc359591533"/>
      <w:r w:rsidRPr="00686C2A">
        <w:rPr>
          <w:rStyle w:val="CharPartNo"/>
        </w:rPr>
        <w:t>Part</w:t>
      </w:r>
      <w:r w:rsidR="00686C2A" w:rsidRPr="00686C2A">
        <w:rPr>
          <w:rStyle w:val="CharPartNo"/>
        </w:rPr>
        <w:t> </w:t>
      </w:r>
      <w:r w:rsidRPr="00686C2A">
        <w:rPr>
          <w:rStyle w:val="CharPartNo"/>
        </w:rPr>
        <w:t>6A</w:t>
      </w:r>
      <w:r w:rsidRPr="00686C2A">
        <w:t>—</w:t>
      </w:r>
      <w:r w:rsidRPr="00686C2A">
        <w:rPr>
          <w:rStyle w:val="CharPartText"/>
        </w:rPr>
        <w:t xml:space="preserve">Modifications relating to </w:t>
      </w:r>
      <w:proofErr w:type="spellStart"/>
      <w:r w:rsidRPr="00686C2A">
        <w:rPr>
          <w:rStyle w:val="CharPartText"/>
        </w:rPr>
        <w:t>MySuper</w:t>
      </w:r>
      <w:proofErr w:type="spellEnd"/>
      <w:r w:rsidRPr="00686C2A">
        <w:rPr>
          <w:rStyle w:val="CharPartText"/>
        </w:rPr>
        <w:t xml:space="preserve"> measures</w:t>
      </w:r>
      <w:bookmarkEnd w:id="39"/>
    </w:p>
    <w:p w:rsidR="003645DE" w:rsidRPr="00686C2A" w:rsidRDefault="003645DE" w:rsidP="003645DE">
      <w:pPr>
        <w:pStyle w:val="Header"/>
      </w:pPr>
      <w:r w:rsidRPr="00686C2A">
        <w:rPr>
          <w:rStyle w:val="CharDivNo"/>
        </w:rPr>
        <w:t xml:space="preserve"> </w:t>
      </w:r>
      <w:r w:rsidRPr="00686C2A">
        <w:rPr>
          <w:rStyle w:val="CharDivText"/>
        </w:rPr>
        <w:t xml:space="preserve"> </w:t>
      </w:r>
    </w:p>
    <w:p w:rsidR="003645DE" w:rsidRPr="00686C2A" w:rsidRDefault="009E72E4" w:rsidP="00E75855">
      <w:pPr>
        <w:pStyle w:val="ItemHead"/>
      </w:pPr>
      <w:r w:rsidRPr="00686C2A">
        <w:t>6</w:t>
      </w:r>
      <w:r w:rsidR="00DC3784" w:rsidRPr="00686C2A">
        <w:t>A.1</w:t>
      </w:r>
      <w:r w:rsidR="003645DE" w:rsidRPr="00686C2A">
        <w:t xml:space="preserve">  A</w:t>
      </w:r>
      <w:r w:rsidR="003B6690" w:rsidRPr="00686C2A">
        <w:t>fter sub</w:t>
      </w:r>
      <w:r w:rsidR="003645DE" w:rsidRPr="00686C2A">
        <w:t>section</w:t>
      </w:r>
      <w:r w:rsidR="00686C2A" w:rsidRPr="00686C2A">
        <w:t> </w:t>
      </w:r>
      <w:r w:rsidR="003645DE" w:rsidRPr="00686C2A">
        <w:t>1017BA</w:t>
      </w:r>
      <w:r w:rsidR="003B6690" w:rsidRPr="00686C2A">
        <w:t>(4)</w:t>
      </w:r>
    </w:p>
    <w:p w:rsidR="003645DE" w:rsidRPr="00686C2A" w:rsidRDefault="003B6690" w:rsidP="003645DE">
      <w:pPr>
        <w:pStyle w:val="Item"/>
      </w:pPr>
      <w:r w:rsidRPr="00686C2A">
        <w:t>Insert</w:t>
      </w:r>
      <w:r w:rsidR="003645DE" w:rsidRPr="00686C2A">
        <w:t>:</w:t>
      </w:r>
    </w:p>
    <w:p w:rsidR="003645DE" w:rsidRPr="00686C2A" w:rsidRDefault="003645DE" w:rsidP="003645DE">
      <w:pPr>
        <w:pStyle w:val="subsection"/>
      </w:pPr>
      <w:r w:rsidRPr="00686C2A">
        <w:tab/>
        <w:t>(</w:t>
      </w:r>
      <w:r w:rsidR="003B6690" w:rsidRPr="00686C2A">
        <w:t>4A</w:t>
      </w:r>
      <w:r w:rsidR="00BD4349" w:rsidRPr="00686C2A">
        <w:t>A</w:t>
      </w:r>
      <w:r w:rsidRPr="00686C2A">
        <w:t>)</w:t>
      </w:r>
      <w:r w:rsidRPr="00686C2A">
        <w:tab/>
        <w:t>Despite paragraph</w:t>
      </w:r>
      <w:r w:rsidR="00686C2A" w:rsidRPr="00686C2A">
        <w:t> </w:t>
      </w:r>
      <w:r w:rsidRPr="00686C2A">
        <w:t xml:space="preserve">1539(a) of the Act, this section applies, to the extent that it relates to </w:t>
      </w:r>
      <w:proofErr w:type="spellStart"/>
      <w:r w:rsidRPr="00686C2A">
        <w:t>MySuper</w:t>
      </w:r>
      <w:proofErr w:type="spellEnd"/>
      <w:r w:rsidRPr="00686C2A">
        <w:t xml:space="preserve"> products, on and after</w:t>
      </w:r>
      <w:r w:rsidR="001E2AE1" w:rsidRPr="00686C2A">
        <w:t xml:space="preserve"> </w:t>
      </w:r>
      <w:r w:rsidR="008A2939" w:rsidRPr="00686C2A">
        <w:t>31</w:t>
      </w:r>
      <w:r w:rsidR="00686C2A" w:rsidRPr="00686C2A">
        <w:t> </w:t>
      </w:r>
      <w:r w:rsidR="00CB398A" w:rsidRPr="00686C2A">
        <w:t>December</w:t>
      </w:r>
      <w:r w:rsidR="008A2939" w:rsidRPr="00686C2A">
        <w:t xml:space="preserve"> </w:t>
      </w:r>
      <w:r w:rsidRPr="00686C2A">
        <w:t>2013.</w:t>
      </w:r>
    </w:p>
    <w:p w:rsidR="003645DE" w:rsidRPr="00686C2A" w:rsidRDefault="0018263A" w:rsidP="003645DE">
      <w:pPr>
        <w:pStyle w:val="ItemHead"/>
      </w:pPr>
      <w:r w:rsidRPr="00686C2A">
        <w:t>70</w:t>
      </w:r>
      <w:r w:rsidR="003645DE" w:rsidRPr="00686C2A">
        <w:t xml:space="preserve">  Clause</w:t>
      </w:r>
      <w:r w:rsidR="00686C2A" w:rsidRPr="00686C2A">
        <w:t> </w:t>
      </w:r>
      <w:r w:rsidR="003645DE" w:rsidRPr="00686C2A">
        <w:t>3 of Schedule</w:t>
      </w:r>
      <w:r w:rsidR="00686C2A" w:rsidRPr="00686C2A">
        <w:t> </w:t>
      </w:r>
      <w:r w:rsidR="003645DE" w:rsidRPr="00686C2A">
        <w:t>10D</w:t>
      </w:r>
    </w:p>
    <w:p w:rsidR="003645DE" w:rsidRPr="00686C2A" w:rsidRDefault="003645DE" w:rsidP="003645DE">
      <w:pPr>
        <w:pStyle w:val="Item"/>
      </w:pPr>
      <w:r w:rsidRPr="00686C2A">
        <w:t>Repeal the clause, substitute:</w:t>
      </w:r>
    </w:p>
    <w:p w:rsidR="003645DE" w:rsidRPr="00686C2A" w:rsidRDefault="003645DE" w:rsidP="003645DE">
      <w:pPr>
        <w:pStyle w:val="ActHead5"/>
      </w:pPr>
      <w:bookmarkStart w:id="40" w:name="_Toc359591534"/>
      <w:r w:rsidRPr="00686C2A">
        <w:rPr>
          <w:rStyle w:val="CharSectno"/>
        </w:rPr>
        <w:t>3</w:t>
      </w:r>
      <w:r w:rsidRPr="00686C2A">
        <w:t xml:space="preserve">  Contents of section</w:t>
      </w:r>
      <w:r w:rsidR="00686C2A" w:rsidRPr="00686C2A">
        <w:t> </w:t>
      </w:r>
      <w:r w:rsidRPr="00686C2A">
        <w:t xml:space="preserve">1 (About </w:t>
      </w:r>
      <w:r w:rsidRPr="00686C2A">
        <w:rPr>
          <w:i/>
        </w:rPr>
        <w:t>[name of superannuation product]</w:t>
      </w:r>
      <w:r w:rsidRPr="00686C2A">
        <w:t>)</w:t>
      </w:r>
      <w:bookmarkEnd w:id="40"/>
    </w:p>
    <w:p w:rsidR="003645DE" w:rsidRPr="00686C2A" w:rsidRDefault="003645DE" w:rsidP="003645DE">
      <w:pPr>
        <w:pStyle w:val="subsection"/>
      </w:pPr>
      <w:r w:rsidRPr="00686C2A">
        <w:tab/>
        <w:t>(1)</w:t>
      </w:r>
      <w:r w:rsidRPr="00686C2A">
        <w:tab/>
        <w:t>Section</w:t>
      </w:r>
      <w:r w:rsidR="00686C2A" w:rsidRPr="00686C2A">
        <w:t> </w:t>
      </w:r>
      <w:r w:rsidRPr="00686C2A">
        <w:t>1 of the Product Disclosure Statement must:</w:t>
      </w:r>
    </w:p>
    <w:p w:rsidR="003645DE" w:rsidRPr="00686C2A" w:rsidRDefault="003645DE" w:rsidP="003645DE">
      <w:pPr>
        <w:pStyle w:val="paragraph"/>
      </w:pPr>
      <w:r w:rsidRPr="00686C2A">
        <w:tab/>
        <w:t>(a)</w:t>
      </w:r>
      <w:r w:rsidRPr="00686C2A">
        <w:tab/>
        <w:t xml:space="preserve">describe, in the form of a summary, the superannuation entity and the </w:t>
      </w:r>
      <w:proofErr w:type="spellStart"/>
      <w:r w:rsidRPr="00686C2A">
        <w:t>MySuper</w:t>
      </w:r>
      <w:proofErr w:type="spellEnd"/>
      <w:r w:rsidRPr="00686C2A">
        <w:t xml:space="preserve"> products and other investment options offered by the entity; and</w:t>
      </w:r>
    </w:p>
    <w:p w:rsidR="003645DE" w:rsidRPr="00686C2A" w:rsidRDefault="003645DE" w:rsidP="003645DE">
      <w:pPr>
        <w:pStyle w:val="paragraph"/>
      </w:pPr>
      <w:r w:rsidRPr="00686C2A">
        <w:t xml:space="preserve"> </w:t>
      </w:r>
      <w:r w:rsidRPr="00686C2A">
        <w:tab/>
        <w:t>(b)</w:t>
      </w:r>
      <w:r w:rsidRPr="00686C2A">
        <w:tab/>
        <w:t>include a statement of where, on the entity</w:t>
      </w:r>
      <w:r w:rsidR="00A16431" w:rsidRPr="00686C2A">
        <w:t>’</w:t>
      </w:r>
      <w:r w:rsidRPr="00686C2A">
        <w:t>s website, the member can find:</w:t>
      </w:r>
    </w:p>
    <w:p w:rsidR="003645DE" w:rsidRPr="00686C2A" w:rsidRDefault="003645DE" w:rsidP="003645DE">
      <w:pPr>
        <w:pStyle w:val="paragraphsub"/>
      </w:pPr>
      <w:r w:rsidRPr="00686C2A">
        <w:lastRenderedPageBreak/>
        <w:tab/>
        <w:t>(</w:t>
      </w:r>
      <w:proofErr w:type="spellStart"/>
      <w:r w:rsidRPr="00686C2A">
        <w:t>i</w:t>
      </w:r>
      <w:proofErr w:type="spellEnd"/>
      <w:r w:rsidRPr="00686C2A">
        <w:t>)</w:t>
      </w:r>
      <w:r w:rsidRPr="00686C2A">
        <w:tab/>
        <w:t xml:space="preserve">the product dashboard for each </w:t>
      </w:r>
      <w:proofErr w:type="spellStart"/>
      <w:r w:rsidRPr="00686C2A">
        <w:t>MySuper</w:t>
      </w:r>
      <w:proofErr w:type="spellEnd"/>
      <w:r w:rsidRPr="00686C2A">
        <w:t xml:space="preserve"> product and choice product in the entity; and</w:t>
      </w:r>
    </w:p>
    <w:p w:rsidR="003645DE" w:rsidRPr="00686C2A" w:rsidRDefault="003645DE" w:rsidP="003645DE">
      <w:pPr>
        <w:pStyle w:val="paragraphsub"/>
        <w:rPr>
          <w:i/>
          <w:iCs/>
        </w:rPr>
      </w:pPr>
      <w:r w:rsidRPr="00686C2A">
        <w:tab/>
        <w:t>(ii)</w:t>
      </w:r>
      <w:r w:rsidRPr="00686C2A">
        <w:tab/>
        <w:t xml:space="preserve">each trustee and executive remuneration disclosure for the entity, and any other document that must be disclosed for the entity under the </w:t>
      </w:r>
      <w:r w:rsidRPr="00686C2A">
        <w:rPr>
          <w:i/>
          <w:iCs/>
        </w:rPr>
        <w:t>SIS Regulations</w:t>
      </w:r>
      <w:r w:rsidRPr="00686C2A">
        <w:rPr>
          <w:iCs/>
        </w:rPr>
        <w:t>; and</w:t>
      </w:r>
    </w:p>
    <w:p w:rsidR="003645DE" w:rsidRPr="00686C2A" w:rsidRDefault="003645DE" w:rsidP="003645DE">
      <w:pPr>
        <w:pStyle w:val="paragraph"/>
      </w:pPr>
      <w:r w:rsidRPr="00686C2A">
        <w:tab/>
        <w:t>(c)</w:t>
      </w:r>
      <w:r w:rsidRPr="00686C2A">
        <w:tab/>
        <w:t>a statement describing the entity</w:t>
      </w:r>
      <w:r w:rsidR="00A16431" w:rsidRPr="00686C2A">
        <w:t>’</w:t>
      </w:r>
      <w:r w:rsidRPr="00686C2A">
        <w:t xml:space="preserve">s process for transitioning each member whose interest includes an accrued default amount from an existing default option to a </w:t>
      </w:r>
      <w:proofErr w:type="spellStart"/>
      <w:r w:rsidRPr="00686C2A">
        <w:t>MySuper</w:t>
      </w:r>
      <w:proofErr w:type="spellEnd"/>
      <w:r w:rsidRPr="00686C2A">
        <w:t xml:space="preserve"> product by 1</w:t>
      </w:r>
      <w:r w:rsidR="00686C2A" w:rsidRPr="00686C2A">
        <w:t> </w:t>
      </w:r>
      <w:r w:rsidRPr="00686C2A">
        <w:t>July 2017.</w:t>
      </w:r>
    </w:p>
    <w:p w:rsidR="003645DE" w:rsidRPr="00686C2A" w:rsidRDefault="003645DE" w:rsidP="003645DE">
      <w:pPr>
        <w:pStyle w:val="subsection"/>
      </w:pPr>
      <w:r w:rsidRPr="00686C2A">
        <w:tab/>
        <w:t>(2)</w:t>
      </w:r>
      <w:r w:rsidRPr="00686C2A">
        <w:tab/>
      </w:r>
      <w:r w:rsidR="00686C2A" w:rsidRPr="00686C2A">
        <w:t>Paragraph (</w:t>
      </w:r>
      <w:r w:rsidRPr="00686C2A">
        <w:t>1)(c) applies until the earlier of:</w:t>
      </w:r>
    </w:p>
    <w:p w:rsidR="003645DE" w:rsidRPr="00686C2A" w:rsidRDefault="003645DE" w:rsidP="003645DE">
      <w:pPr>
        <w:pStyle w:val="paragraph"/>
      </w:pPr>
      <w:r w:rsidRPr="00686C2A">
        <w:tab/>
        <w:t>(a)</w:t>
      </w:r>
      <w:r w:rsidRPr="00686C2A">
        <w:tab/>
        <w:t>1</w:t>
      </w:r>
      <w:r w:rsidR="00686C2A" w:rsidRPr="00686C2A">
        <w:t> </w:t>
      </w:r>
      <w:r w:rsidRPr="00686C2A">
        <w:t>July 2017; and</w:t>
      </w:r>
    </w:p>
    <w:p w:rsidR="003645DE" w:rsidRPr="00686C2A" w:rsidRDefault="003645DE" w:rsidP="003645DE">
      <w:pPr>
        <w:pStyle w:val="paragraph"/>
      </w:pPr>
      <w:r w:rsidRPr="00686C2A">
        <w:tab/>
        <w:t>(b)</w:t>
      </w:r>
      <w:r w:rsidRPr="00686C2A">
        <w:tab/>
        <w:t xml:space="preserve">the day on which the entity has attributed each accrued default amount in the entity to a </w:t>
      </w:r>
      <w:proofErr w:type="spellStart"/>
      <w:r w:rsidRPr="00686C2A">
        <w:t>MySuper</w:t>
      </w:r>
      <w:proofErr w:type="spellEnd"/>
      <w:r w:rsidRPr="00686C2A">
        <w:t xml:space="preserve"> product.</w:t>
      </w:r>
    </w:p>
    <w:p w:rsidR="003645DE" w:rsidRPr="00686C2A" w:rsidRDefault="003645DE" w:rsidP="003645DE">
      <w:pPr>
        <w:pStyle w:val="notetext"/>
      </w:pPr>
      <w:r w:rsidRPr="00686C2A">
        <w:t>Note:</w:t>
      </w:r>
      <w:r w:rsidRPr="00686C2A">
        <w:tab/>
        <w:t xml:space="preserve">Putting the information mentioned in </w:t>
      </w:r>
      <w:r w:rsidR="00686C2A" w:rsidRPr="00686C2A">
        <w:t>paragraph (</w:t>
      </w:r>
      <w:r w:rsidRPr="00686C2A">
        <w:t>1)(b) onto the superannuation fund</w:t>
      </w:r>
      <w:r w:rsidR="00A16431" w:rsidRPr="00686C2A">
        <w:t>’</w:t>
      </w:r>
      <w:r w:rsidRPr="00686C2A">
        <w:t>s website does not amount to adding the information to the Product Disclosure Statement.</w:t>
      </w:r>
    </w:p>
    <w:p w:rsidR="003645DE" w:rsidRPr="00686C2A" w:rsidRDefault="0018263A" w:rsidP="003645DE">
      <w:pPr>
        <w:pStyle w:val="ItemHead"/>
      </w:pPr>
      <w:r w:rsidRPr="00686C2A">
        <w:t>71</w:t>
      </w:r>
      <w:r w:rsidR="003645DE" w:rsidRPr="00686C2A">
        <w:t xml:space="preserve">  Paragraph 4(1)(e) of Schedule</w:t>
      </w:r>
      <w:r w:rsidR="00686C2A" w:rsidRPr="00686C2A">
        <w:t> </w:t>
      </w:r>
      <w:r w:rsidR="003645DE" w:rsidRPr="00686C2A">
        <w:t>10D</w:t>
      </w:r>
    </w:p>
    <w:p w:rsidR="003645DE" w:rsidRPr="00686C2A" w:rsidRDefault="003645DE" w:rsidP="003645DE">
      <w:pPr>
        <w:pStyle w:val="Item"/>
      </w:pPr>
      <w:r w:rsidRPr="00686C2A">
        <w:t xml:space="preserve">Omit </w:t>
      </w:r>
      <w:r w:rsidR="00A16431" w:rsidRPr="00686C2A">
        <w:t>“</w:t>
      </w:r>
      <w:r w:rsidRPr="00686C2A">
        <w:t>fund</w:t>
      </w:r>
      <w:r w:rsidR="00A16431" w:rsidRPr="00686C2A">
        <w:t>”</w:t>
      </w:r>
      <w:r w:rsidRPr="00686C2A">
        <w:t xml:space="preserve">, substitute </w:t>
      </w:r>
      <w:r w:rsidR="00A16431" w:rsidRPr="00686C2A">
        <w:t>“</w:t>
      </w:r>
      <w:r w:rsidRPr="00686C2A">
        <w:t>superannuation entity</w:t>
      </w:r>
      <w:r w:rsidR="00A16431" w:rsidRPr="00686C2A">
        <w:t>”</w:t>
      </w:r>
      <w:r w:rsidRPr="00686C2A">
        <w:t>.</w:t>
      </w:r>
    </w:p>
    <w:p w:rsidR="003645DE" w:rsidRPr="00686C2A" w:rsidRDefault="0018263A" w:rsidP="003645DE">
      <w:pPr>
        <w:pStyle w:val="ItemHead"/>
      </w:pPr>
      <w:r w:rsidRPr="00686C2A">
        <w:t>72</w:t>
      </w:r>
      <w:r w:rsidR="003645DE" w:rsidRPr="00686C2A">
        <w:t xml:space="preserve">  Paragraph 7(1)(a) of Schedule</w:t>
      </w:r>
      <w:r w:rsidR="00686C2A" w:rsidRPr="00686C2A">
        <w:t> </w:t>
      </w:r>
      <w:r w:rsidR="003645DE" w:rsidRPr="00686C2A">
        <w:t>10D</w:t>
      </w:r>
    </w:p>
    <w:p w:rsidR="003645DE" w:rsidRPr="00686C2A" w:rsidRDefault="003645DE" w:rsidP="003645DE">
      <w:pPr>
        <w:pStyle w:val="Item"/>
      </w:pPr>
      <w:r w:rsidRPr="00686C2A">
        <w:t>Repeal the paragraph, substitute:</w:t>
      </w:r>
    </w:p>
    <w:p w:rsidR="003645DE" w:rsidRPr="00686C2A" w:rsidRDefault="003645DE" w:rsidP="003645DE">
      <w:pPr>
        <w:pStyle w:val="paragraph"/>
      </w:pPr>
      <w:r w:rsidRPr="00686C2A">
        <w:tab/>
        <w:t>(a)</w:t>
      </w:r>
      <w:r w:rsidRPr="00686C2A">
        <w:tab/>
        <w:t xml:space="preserve">the </w:t>
      </w:r>
      <w:proofErr w:type="spellStart"/>
      <w:r w:rsidRPr="00686C2A">
        <w:t>MySuper</w:t>
      </w:r>
      <w:proofErr w:type="spellEnd"/>
      <w:r w:rsidRPr="00686C2A">
        <w:t xml:space="preserve"> products and investment options being offered; and</w:t>
      </w:r>
    </w:p>
    <w:p w:rsidR="003645DE" w:rsidRPr="00686C2A" w:rsidRDefault="0018263A" w:rsidP="003645DE">
      <w:pPr>
        <w:pStyle w:val="ItemHead"/>
      </w:pPr>
      <w:r w:rsidRPr="00686C2A">
        <w:t>73</w:t>
      </w:r>
      <w:r w:rsidR="003645DE" w:rsidRPr="00686C2A">
        <w:t xml:space="preserve">  Subclause</w:t>
      </w:r>
      <w:r w:rsidR="00686C2A" w:rsidRPr="00686C2A">
        <w:t> </w:t>
      </w:r>
      <w:r w:rsidR="003645DE" w:rsidRPr="00686C2A">
        <w:t>7(2) of Schedule</w:t>
      </w:r>
      <w:r w:rsidR="00686C2A" w:rsidRPr="00686C2A">
        <w:t> </w:t>
      </w:r>
      <w:r w:rsidR="003645DE" w:rsidRPr="00686C2A">
        <w:t>10D</w:t>
      </w:r>
    </w:p>
    <w:p w:rsidR="003645DE" w:rsidRPr="00686C2A" w:rsidRDefault="003645DE" w:rsidP="003645DE">
      <w:pPr>
        <w:pStyle w:val="Item"/>
      </w:pPr>
      <w:r w:rsidRPr="00686C2A">
        <w:t xml:space="preserve">Omit </w:t>
      </w:r>
      <w:r w:rsidR="00A16431" w:rsidRPr="00686C2A">
        <w:t>“</w:t>
      </w:r>
      <w:r w:rsidRPr="00686C2A">
        <w:t>an option</w:t>
      </w:r>
      <w:r w:rsidR="00A16431" w:rsidRPr="00686C2A">
        <w:t>”</w:t>
      </w:r>
      <w:r w:rsidRPr="00686C2A">
        <w:t xml:space="preserve">, substitute </w:t>
      </w:r>
      <w:r w:rsidR="00A16431" w:rsidRPr="00686C2A">
        <w:t>“</w:t>
      </w:r>
      <w:r w:rsidRPr="00686C2A">
        <w:t xml:space="preserve">a </w:t>
      </w:r>
      <w:proofErr w:type="spellStart"/>
      <w:r w:rsidRPr="00686C2A">
        <w:t>MySuper</w:t>
      </w:r>
      <w:proofErr w:type="spellEnd"/>
      <w:r w:rsidRPr="00686C2A">
        <w:t xml:space="preserve"> product or an investment option</w:t>
      </w:r>
      <w:r w:rsidR="00A16431" w:rsidRPr="00686C2A">
        <w:t>”</w:t>
      </w:r>
      <w:r w:rsidRPr="00686C2A">
        <w:t>.</w:t>
      </w:r>
    </w:p>
    <w:p w:rsidR="003645DE" w:rsidRPr="00686C2A" w:rsidRDefault="0018263A" w:rsidP="003645DE">
      <w:pPr>
        <w:pStyle w:val="ItemHead"/>
      </w:pPr>
      <w:r w:rsidRPr="00686C2A">
        <w:t>74</w:t>
      </w:r>
      <w:r w:rsidR="003645DE" w:rsidRPr="00686C2A">
        <w:t xml:space="preserve">  Subclause</w:t>
      </w:r>
      <w:r w:rsidR="00686C2A" w:rsidRPr="00686C2A">
        <w:t> </w:t>
      </w:r>
      <w:r w:rsidR="003645DE" w:rsidRPr="00686C2A">
        <w:t>7(3) of Schedule</w:t>
      </w:r>
      <w:r w:rsidR="00686C2A" w:rsidRPr="00686C2A">
        <w:t> </w:t>
      </w:r>
      <w:r w:rsidR="003645DE" w:rsidRPr="00686C2A">
        <w:t>10D</w:t>
      </w:r>
    </w:p>
    <w:p w:rsidR="003645DE" w:rsidRPr="00686C2A" w:rsidRDefault="003645DE" w:rsidP="003645DE">
      <w:pPr>
        <w:pStyle w:val="Item"/>
      </w:pPr>
      <w:r w:rsidRPr="00686C2A">
        <w:t xml:space="preserve">Omit </w:t>
      </w:r>
      <w:r w:rsidR="00A16431" w:rsidRPr="00686C2A">
        <w:t>“</w:t>
      </w:r>
      <w:r w:rsidRPr="00686C2A">
        <w:t>For at least 1 investment option,</w:t>
      </w:r>
      <w:r w:rsidR="00A16431" w:rsidRPr="00686C2A">
        <w:t>”</w:t>
      </w:r>
      <w:r w:rsidRPr="00686C2A">
        <w:t xml:space="preserve">, substitute </w:t>
      </w:r>
      <w:r w:rsidR="00A16431" w:rsidRPr="00686C2A">
        <w:t>“</w:t>
      </w:r>
      <w:r w:rsidRPr="00686C2A">
        <w:t xml:space="preserve">For at least one </w:t>
      </w:r>
      <w:proofErr w:type="spellStart"/>
      <w:r w:rsidRPr="00686C2A">
        <w:t>MySuper</w:t>
      </w:r>
      <w:proofErr w:type="spellEnd"/>
      <w:r w:rsidRPr="00686C2A">
        <w:t xml:space="preserve"> product or investment option,</w:t>
      </w:r>
      <w:r w:rsidR="00A16431" w:rsidRPr="00686C2A">
        <w:t>”</w:t>
      </w:r>
      <w:r w:rsidRPr="00686C2A">
        <w:t>.</w:t>
      </w:r>
    </w:p>
    <w:p w:rsidR="003645DE" w:rsidRPr="00686C2A" w:rsidRDefault="0018263A" w:rsidP="003645DE">
      <w:pPr>
        <w:pStyle w:val="ItemHead"/>
      </w:pPr>
      <w:r w:rsidRPr="00686C2A">
        <w:t>75</w:t>
      </w:r>
      <w:r w:rsidR="003645DE" w:rsidRPr="00686C2A">
        <w:t xml:space="preserve">  Subclause</w:t>
      </w:r>
      <w:r w:rsidR="00686C2A" w:rsidRPr="00686C2A">
        <w:t> </w:t>
      </w:r>
      <w:r w:rsidR="003645DE" w:rsidRPr="00686C2A">
        <w:t>7(3) of Schedule</w:t>
      </w:r>
      <w:r w:rsidR="00686C2A" w:rsidRPr="00686C2A">
        <w:t> </w:t>
      </w:r>
      <w:r w:rsidR="003645DE" w:rsidRPr="00686C2A">
        <w:t>10D</w:t>
      </w:r>
    </w:p>
    <w:p w:rsidR="003645DE" w:rsidRPr="00686C2A" w:rsidRDefault="003645DE" w:rsidP="003645DE">
      <w:pPr>
        <w:pStyle w:val="Item"/>
      </w:pPr>
      <w:r w:rsidRPr="00686C2A">
        <w:t xml:space="preserve">Omit </w:t>
      </w:r>
      <w:r w:rsidR="00A16431" w:rsidRPr="00686C2A">
        <w:t>“</w:t>
      </w:r>
      <w:r w:rsidRPr="00686C2A">
        <w:t>the option</w:t>
      </w:r>
      <w:r w:rsidR="00A16431" w:rsidRPr="00686C2A">
        <w:t>”</w:t>
      </w:r>
      <w:r w:rsidRPr="00686C2A">
        <w:t xml:space="preserve"> (wherever occurring), substitute </w:t>
      </w:r>
      <w:r w:rsidR="00A16431" w:rsidRPr="00686C2A">
        <w:t>“</w:t>
      </w:r>
      <w:r w:rsidRPr="00686C2A">
        <w:t xml:space="preserve">the </w:t>
      </w:r>
      <w:proofErr w:type="spellStart"/>
      <w:r w:rsidRPr="00686C2A">
        <w:t>MySuper</w:t>
      </w:r>
      <w:proofErr w:type="spellEnd"/>
      <w:r w:rsidRPr="00686C2A">
        <w:t xml:space="preserve"> product or investment option</w:t>
      </w:r>
      <w:r w:rsidR="00A16431" w:rsidRPr="00686C2A">
        <w:t>”</w:t>
      </w:r>
      <w:r w:rsidRPr="00686C2A">
        <w:t>.</w:t>
      </w:r>
    </w:p>
    <w:p w:rsidR="00007B8B" w:rsidRPr="00686C2A" w:rsidRDefault="0018263A" w:rsidP="00007B8B">
      <w:pPr>
        <w:pStyle w:val="ItemHead"/>
      </w:pPr>
      <w:r w:rsidRPr="00686C2A">
        <w:lastRenderedPageBreak/>
        <w:t>76</w:t>
      </w:r>
      <w:r w:rsidR="00007B8B" w:rsidRPr="00686C2A">
        <w:t xml:space="preserve">  Paragraph 7(3)(d)</w:t>
      </w:r>
      <w:r w:rsidR="007235CF" w:rsidRPr="00686C2A">
        <w:t xml:space="preserve"> of Schedule</w:t>
      </w:r>
      <w:r w:rsidR="00686C2A" w:rsidRPr="00686C2A">
        <w:t> </w:t>
      </w:r>
      <w:r w:rsidR="007235CF" w:rsidRPr="00686C2A">
        <w:t>10D</w:t>
      </w:r>
    </w:p>
    <w:p w:rsidR="00007B8B" w:rsidRPr="00686C2A" w:rsidRDefault="00007B8B" w:rsidP="00007B8B">
      <w:pPr>
        <w:pStyle w:val="Item"/>
      </w:pPr>
      <w:r w:rsidRPr="00686C2A">
        <w:t xml:space="preserve">Omit </w:t>
      </w:r>
      <w:r w:rsidR="00A16431" w:rsidRPr="00686C2A">
        <w:t>“</w:t>
      </w:r>
      <w:r w:rsidRPr="00686C2A">
        <w:t>the investment</w:t>
      </w:r>
      <w:r w:rsidR="00A16431" w:rsidRPr="00686C2A">
        <w:t>”</w:t>
      </w:r>
      <w:r w:rsidRPr="00686C2A">
        <w:t xml:space="preserve">, substitute </w:t>
      </w:r>
      <w:r w:rsidR="00A16431" w:rsidRPr="00686C2A">
        <w:t>“</w:t>
      </w:r>
      <w:r w:rsidRPr="00686C2A">
        <w:t xml:space="preserve">the </w:t>
      </w:r>
      <w:proofErr w:type="spellStart"/>
      <w:r w:rsidRPr="00686C2A">
        <w:t>MySuper</w:t>
      </w:r>
      <w:proofErr w:type="spellEnd"/>
      <w:r w:rsidRPr="00686C2A">
        <w:t xml:space="preserve"> product or investment option</w:t>
      </w:r>
      <w:r w:rsidR="00A16431" w:rsidRPr="00686C2A">
        <w:t>”</w:t>
      </w:r>
      <w:r w:rsidRPr="00686C2A">
        <w:t>.</w:t>
      </w:r>
    </w:p>
    <w:p w:rsidR="003645DE" w:rsidRPr="00686C2A" w:rsidRDefault="0018263A" w:rsidP="003645DE">
      <w:pPr>
        <w:pStyle w:val="ItemHead"/>
      </w:pPr>
      <w:r w:rsidRPr="00686C2A">
        <w:t>77</w:t>
      </w:r>
      <w:r w:rsidR="003645DE" w:rsidRPr="00686C2A">
        <w:t xml:space="preserve">  Subclauses</w:t>
      </w:r>
      <w:r w:rsidR="00686C2A" w:rsidRPr="00686C2A">
        <w:t> </w:t>
      </w:r>
      <w:r w:rsidR="003645DE" w:rsidRPr="00686C2A">
        <w:t>7(4), (5), (6) and (7) of Schedule</w:t>
      </w:r>
      <w:r w:rsidR="00686C2A" w:rsidRPr="00686C2A">
        <w:t> </w:t>
      </w:r>
      <w:r w:rsidR="003645DE" w:rsidRPr="00686C2A">
        <w:t>10D</w:t>
      </w:r>
    </w:p>
    <w:p w:rsidR="003645DE" w:rsidRPr="00686C2A" w:rsidRDefault="003645DE" w:rsidP="003645DE">
      <w:pPr>
        <w:pStyle w:val="Item"/>
      </w:pPr>
      <w:r w:rsidRPr="00686C2A">
        <w:t>Repeal the subclauses, substitute:</w:t>
      </w:r>
    </w:p>
    <w:p w:rsidR="003645DE" w:rsidRPr="00686C2A" w:rsidRDefault="003645DE" w:rsidP="003645DE">
      <w:pPr>
        <w:pStyle w:val="subsection"/>
      </w:pPr>
      <w:r w:rsidRPr="00686C2A">
        <w:tab/>
        <w:t>(4)</w:t>
      </w:r>
      <w:r w:rsidRPr="00686C2A">
        <w:tab/>
        <w:t xml:space="preserve">If the superannuation product includes a generic </w:t>
      </w:r>
      <w:proofErr w:type="spellStart"/>
      <w:r w:rsidRPr="00686C2A">
        <w:t>MySuper</w:t>
      </w:r>
      <w:proofErr w:type="spellEnd"/>
      <w:r w:rsidRPr="00686C2A">
        <w:t xml:space="preserve"> product, section</w:t>
      </w:r>
      <w:r w:rsidR="00686C2A" w:rsidRPr="00686C2A">
        <w:t> </w:t>
      </w:r>
      <w:r w:rsidRPr="00686C2A">
        <w:t xml:space="preserve">5 must give the information mentioned in </w:t>
      </w:r>
      <w:r w:rsidR="00686C2A" w:rsidRPr="00686C2A">
        <w:t>subclause (</w:t>
      </w:r>
      <w:r w:rsidRPr="00686C2A">
        <w:t xml:space="preserve">3) for the generic </w:t>
      </w:r>
      <w:proofErr w:type="spellStart"/>
      <w:r w:rsidRPr="00686C2A">
        <w:t>MySuper</w:t>
      </w:r>
      <w:proofErr w:type="spellEnd"/>
      <w:r w:rsidRPr="00686C2A">
        <w:t xml:space="preserve"> product, whether or not section</w:t>
      </w:r>
      <w:r w:rsidR="00686C2A" w:rsidRPr="00686C2A">
        <w:t> </w:t>
      </w:r>
      <w:r w:rsidRPr="00686C2A">
        <w:t xml:space="preserve">5 gives that information for another </w:t>
      </w:r>
      <w:proofErr w:type="spellStart"/>
      <w:r w:rsidRPr="00686C2A">
        <w:t>MySuper</w:t>
      </w:r>
      <w:proofErr w:type="spellEnd"/>
      <w:r w:rsidRPr="00686C2A">
        <w:t xml:space="preserve"> product or investment option.</w:t>
      </w:r>
    </w:p>
    <w:p w:rsidR="003645DE" w:rsidRPr="00686C2A" w:rsidRDefault="003645DE" w:rsidP="003645DE">
      <w:pPr>
        <w:pStyle w:val="subsection"/>
      </w:pPr>
      <w:r w:rsidRPr="00686C2A">
        <w:tab/>
        <w:t>(5)</w:t>
      </w:r>
      <w:r w:rsidRPr="00686C2A">
        <w:tab/>
        <w:t xml:space="preserve">If the superannuation product does not include a generic </w:t>
      </w:r>
      <w:proofErr w:type="spellStart"/>
      <w:r w:rsidRPr="00686C2A">
        <w:t>MySuper</w:t>
      </w:r>
      <w:proofErr w:type="spellEnd"/>
      <w:r w:rsidRPr="00686C2A">
        <w:t xml:space="preserve"> product, and has a balanced investment option (within the meaning given by clause</w:t>
      </w:r>
      <w:r w:rsidR="00686C2A" w:rsidRPr="00686C2A">
        <w:t> </w:t>
      </w:r>
      <w:r w:rsidRPr="00686C2A">
        <w:t>101 of Schedule</w:t>
      </w:r>
      <w:r w:rsidR="00686C2A" w:rsidRPr="00686C2A">
        <w:t> </w:t>
      </w:r>
      <w:r w:rsidRPr="00686C2A">
        <w:t>10), section</w:t>
      </w:r>
      <w:r w:rsidR="00686C2A" w:rsidRPr="00686C2A">
        <w:t> </w:t>
      </w:r>
      <w:r w:rsidRPr="00686C2A">
        <w:t xml:space="preserve">5 must give the information mentioned in </w:t>
      </w:r>
      <w:r w:rsidR="00686C2A" w:rsidRPr="00686C2A">
        <w:t>subclause (</w:t>
      </w:r>
      <w:r w:rsidRPr="00686C2A">
        <w:t>3) for the balanced investment option under which most assets of the superannuation entity are invested, whether or not section</w:t>
      </w:r>
      <w:r w:rsidR="00686C2A" w:rsidRPr="00686C2A">
        <w:t> </w:t>
      </w:r>
      <w:r w:rsidRPr="00686C2A">
        <w:t xml:space="preserve">5 gives that information for any </w:t>
      </w:r>
      <w:proofErr w:type="spellStart"/>
      <w:r w:rsidRPr="00686C2A">
        <w:t>MySuper</w:t>
      </w:r>
      <w:proofErr w:type="spellEnd"/>
      <w:r w:rsidRPr="00686C2A">
        <w:t xml:space="preserve"> product or other investment option.</w:t>
      </w:r>
    </w:p>
    <w:p w:rsidR="003645DE" w:rsidRPr="00686C2A" w:rsidRDefault="003645DE" w:rsidP="003645DE">
      <w:pPr>
        <w:pStyle w:val="subsection"/>
      </w:pPr>
      <w:r w:rsidRPr="00686C2A">
        <w:tab/>
        <w:t>(6)</w:t>
      </w:r>
      <w:r w:rsidRPr="00686C2A">
        <w:tab/>
        <w:t xml:space="preserve">If the superannuation product does not include a generic </w:t>
      </w:r>
      <w:proofErr w:type="spellStart"/>
      <w:r w:rsidRPr="00686C2A">
        <w:t>MySuper</w:t>
      </w:r>
      <w:proofErr w:type="spellEnd"/>
      <w:r w:rsidRPr="00686C2A">
        <w:t xml:space="preserve"> product or a balanced investment option (within the meaning given by clause</w:t>
      </w:r>
      <w:r w:rsidR="00686C2A" w:rsidRPr="00686C2A">
        <w:t> </w:t>
      </w:r>
      <w:r w:rsidRPr="00686C2A">
        <w:t>101 of Schedule</w:t>
      </w:r>
      <w:r w:rsidR="00686C2A" w:rsidRPr="00686C2A">
        <w:t> </w:t>
      </w:r>
      <w:r w:rsidRPr="00686C2A">
        <w:t>10), section</w:t>
      </w:r>
      <w:r w:rsidR="00686C2A" w:rsidRPr="00686C2A">
        <w:t> </w:t>
      </w:r>
      <w:r w:rsidRPr="00686C2A">
        <w:t xml:space="preserve">5 must give the information mentioned in </w:t>
      </w:r>
      <w:r w:rsidR="00686C2A" w:rsidRPr="00686C2A">
        <w:t>subclause (</w:t>
      </w:r>
      <w:r w:rsidRPr="00686C2A">
        <w:t>3) for the investment option under which most assets of the superannuation entity are invested, whether or not section</w:t>
      </w:r>
      <w:r w:rsidR="00686C2A" w:rsidRPr="00686C2A">
        <w:t> </w:t>
      </w:r>
      <w:r w:rsidRPr="00686C2A">
        <w:t xml:space="preserve">5 gives that information for any </w:t>
      </w:r>
      <w:proofErr w:type="spellStart"/>
      <w:r w:rsidRPr="00686C2A">
        <w:t>MySuper</w:t>
      </w:r>
      <w:proofErr w:type="spellEnd"/>
      <w:r w:rsidRPr="00686C2A">
        <w:t xml:space="preserve"> product or other investment option.</w:t>
      </w:r>
    </w:p>
    <w:p w:rsidR="003645DE" w:rsidRPr="00686C2A" w:rsidRDefault="0018263A" w:rsidP="003645DE">
      <w:pPr>
        <w:pStyle w:val="ItemHead"/>
      </w:pPr>
      <w:r w:rsidRPr="00686C2A">
        <w:t>78</w:t>
      </w:r>
      <w:r w:rsidR="003645DE" w:rsidRPr="00686C2A">
        <w:t xml:space="preserve">  Paragraph 7(8)(a) of Schedule</w:t>
      </w:r>
      <w:r w:rsidR="00686C2A" w:rsidRPr="00686C2A">
        <w:t> </w:t>
      </w:r>
      <w:r w:rsidR="003645DE" w:rsidRPr="00686C2A">
        <w:t>10D</w:t>
      </w:r>
    </w:p>
    <w:p w:rsidR="003645DE" w:rsidRPr="00686C2A" w:rsidRDefault="003645DE" w:rsidP="003645DE">
      <w:pPr>
        <w:pStyle w:val="Item"/>
      </w:pPr>
      <w:r w:rsidRPr="00686C2A">
        <w:t>Repeal the paragraph, substitute:</w:t>
      </w:r>
    </w:p>
    <w:p w:rsidR="003645DE" w:rsidRPr="00686C2A" w:rsidRDefault="003645DE" w:rsidP="003645DE">
      <w:pPr>
        <w:pStyle w:val="paragraph"/>
      </w:pPr>
      <w:r w:rsidRPr="00686C2A">
        <w:tab/>
        <w:t>(a)</w:t>
      </w:r>
      <w:r w:rsidRPr="00686C2A">
        <w:tab/>
        <w:t xml:space="preserve">must make provision for each </w:t>
      </w:r>
      <w:proofErr w:type="spellStart"/>
      <w:r w:rsidRPr="00686C2A">
        <w:t>MySuper</w:t>
      </w:r>
      <w:proofErr w:type="spellEnd"/>
      <w:r w:rsidRPr="00686C2A">
        <w:t xml:space="preserve"> product and investment option which is not presented in section</w:t>
      </w:r>
      <w:r w:rsidR="00686C2A" w:rsidRPr="00686C2A">
        <w:t> </w:t>
      </w:r>
      <w:r w:rsidRPr="00686C2A">
        <w:t xml:space="preserve">5 in accordance with </w:t>
      </w:r>
      <w:r w:rsidR="00686C2A" w:rsidRPr="00686C2A">
        <w:t>subclause (</w:t>
      </w:r>
      <w:r w:rsidRPr="00686C2A">
        <w:t>3), (4), (5) or (6); and</w:t>
      </w:r>
    </w:p>
    <w:p w:rsidR="003645DE" w:rsidRPr="00686C2A" w:rsidRDefault="0018263A" w:rsidP="003645DE">
      <w:pPr>
        <w:pStyle w:val="ItemHead"/>
      </w:pPr>
      <w:r w:rsidRPr="00686C2A">
        <w:t>79</w:t>
      </w:r>
      <w:r w:rsidR="003645DE" w:rsidRPr="00686C2A">
        <w:t xml:space="preserve">  Paragraph 7(8)(b) of Schedule</w:t>
      </w:r>
      <w:r w:rsidR="00686C2A" w:rsidRPr="00686C2A">
        <w:t> </w:t>
      </w:r>
      <w:r w:rsidR="003645DE" w:rsidRPr="00686C2A">
        <w:t>10D</w:t>
      </w:r>
    </w:p>
    <w:p w:rsidR="003645DE" w:rsidRPr="00686C2A" w:rsidRDefault="003645DE" w:rsidP="003645DE">
      <w:pPr>
        <w:pStyle w:val="Item"/>
      </w:pPr>
      <w:r w:rsidRPr="00686C2A">
        <w:t xml:space="preserve">Omit </w:t>
      </w:r>
      <w:r w:rsidR="00A16431" w:rsidRPr="00686C2A">
        <w:t>“</w:t>
      </w:r>
      <w:r w:rsidRPr="00686C2A">
        <w:t>the option</w:t>
      </w:r>
      <w:r w:rsidR="00A16431" w:rsidRPr="00686C2A">
        <w:t>”</w:t>
      </w:r>
      <w:r w:rsidRPr="00686C2A">
        <w:t xml:space="preserve">, substitute </w:t>
      </w:r>
      <w:r w:rsidR="00A16431" w:rsidRPr="00686C2A">
        <w:t>“</w:t>
      </w:r>
      <w:r w:rsidRPr="00686C2A">
        <w:t xml:space="preserve">the </w:t>
      </w:r>
      <w:proofErr w:type="spellStart"/>
      <w:r w:rsidRPr="00686C2A">
        <w:t>MySuper</w:t>
      </w:r>
      <w:proofErr w:type="spellEnd"/>
      <w:r w:rsidRPr="00686C2A">
        <w:t xml:space="preserve"> product or investment option</w:t>
      </w:r>
      <w:r w:rsidR="00A16431" w:rsidRPr="00686C2A">
        <w:t>”</w:t>
      </w:r>
      <w:r w:rsidRPr="00686C2A">
        <w:t>.</w:t>
      </w:r>
    </w:p>
    <w:p w:rsidR="003645DE" w:rsidRPr="00686C2A" w:rsidRDefault="0018263A" w:rsidP="003645DE">
      <w:pPr>
        <w:pStyle w:val="ItemHead"/>
      </w:pPr>
      <w:r w:rsidRPr="00686C2A">
        <w:lastRenderedPageBreak/>
        <w:t>80</w:t>
      </w:r>
      <w:r w:rsidR="003645DE" w:rsidRPr="00686C2A">
        <w:t xml:space="preserve">  Paragraph 7(9)(b) of Schedule</w:t>
      </w:r>
      <w:r w:rsidR="00686C2A" w:rsidRPr="00686C2A">
        <w:t> </w:t>
      </w:r>
      <w:r w:rsidR="003645DE" w:rsidRPr="00686C2A">
        <w:t>10D</w:t>
      </w:r>
    </w:p>
    <w:p w:rsidR="003645DE" w:rsidRPr="00686C2A" w:rsidRDefault="003645DE" w:rsidP="003645DE">
      <w:pPr>
        <w:pStyle w:val="Item"/>
      </w:pPr>
      <w:r w:rsidRPr="00686C2A">
        <w:t>Repeal the paragraph, substitute:</w:t>
      </w:r>
    </w:p>
    <w:p w:rsidR="003645DE" w:rsidRPr="00686C2A" w:rsidRDefault="003645DE" w:rsidP="003645DE">
      <w:pPr>
        <w:pStyle w:val="paragraph"/>
      </w:pPr>
      <w:r w:rsidRPr="00686C2A">
        <w:tab/>
        <w:t>(b)</w:t>
      </w:r>
      <w:r w:rsidRPr="00686C2A">
        <w:tab/>
        <w:t>whether the superannuation product</w:t>
      </w:r>
      <w:r w:rsidR="00A16431" w:rsidRPr="00686C2A">
        <w:t>’</w:t>
      </w:r>
      <w:r w:rsidRPr="00686C2A">
        <w:t xml:space="preserve">s </w:t>
      </w:r>
      <w:proofErr w:type="spellStart"/>
      <w:r w:rsidRPr="00686C2A">
        <w:t>MySuper</w:t>
      </w:r>
      <w:proofErr w:type="spellEnd"/>
      <w:r w:rsidRPr="00686C2A">
        <w:t xml:space="preserve"> products and investment options may be changed and, if so, how; and</w:t>
      </w:r>
    </w:p>
    <w:p w:rsidR="003645DE" w:rsidRPr="00686C2A" w:rsidRDefault="0018263A" w:rsidP="003645DE">
      <w:pPr>
        <w:pStyle w:val="ItemHead"/>
      </w:pPr>
      <w:r w:rsidRPr="00686C2A">
        <w:t>81</w:t>
      </w:r>
      <w:r w:rsidR="003645DE" w:rsidRPr="00686C2A">
        <w:t xml:space="preserve">  Paragraph 7(9)(d) of Schedule</w:t>
      </w:r>
      <w:r w:rsidR="00686C2A" w:rsidRPr="00686C2A">
        <w:t> </w:t>
      </w:r>
      <w:r w:rsidR="003645DE" w:rsidRPr="00686C2A">
        <w:t>10D</w:t>
      </w:r>
    </w:p>
    <w:p w:rsidR="003645DE" w:rsidRPr="00686C2A" w:rsidRDefault="003645DE" w:rsidP="003645DE">
      <w:pPr>
        <w:pStyle w:val="Item"/>
      </w:pPr>
      <w:r w:rsidRPr="00686C2A">
        <w:t xml:space="preserve">Omit </w:t>
      </w:r>
      <w:r w:rsidR="00A16431" w:rsidRPr="00686C2A">
        <w:t>“</w:t>
      </w:r>
      <w:r w:rsidRPr="00686C2A">
        <w:t>investment options</w:t>
      </w:r>
      <w:r w:rsidR="00A16431" w:rsidRPr="00686C2A">
        <w:t>”</w:t>
      </w:r>
      <w:r w:rsidRPr="00686C2A">
        <w:t xml:space="preserve">, substitute </w:t>
      </w:r>
      <w:r w:rsidR="00A16431" w:rsidRPr="00686C2A">
        <w:t>“</w:t>
      </w:r>
      <w:proofErr w:type="spellStart"/>
      <w:r w:rsidRPr="00686C2A">
        <w:t>MySuper</w:t>
      </w:r>
      <w:proofErr w:type="spellEnd"/>
      <w:r w:rsidRPr="00686C2A">
        <w:t xml:space="preserve"> products or investment options</w:t>
      </w:r>
      <w:r w:rsidR="00A16431" w:rsidRPr="00686C2A">
        <w:t>”</w:t>
      </w:r>
      <w:r w:rsidRPr="00686C2A">
        <w:t>.</w:t>
      </w:r>
    </w:p>
    <w:p w:rsidR="003645DE" w:rsidRPr="00686C2A" w:rsidRDefault="0018263A" w:rsidP="003645DE">
      <w:pPr>
        <w:pStyle w:val="ItemHead"/>
      </w:pPr>
      <w:r w:rsidRPr="00686C2A">
        <w:t>82</w:t>
      </w:r>
      <w:r w:rsidR="003645DE" w:rsidRPr="00686C2A">
        <w:t xml:space="preserve">  Subclause</w:t>
      </w:r>
      <w:r w:rsidR="00686C2A" w:rsidRPr="00686C2A">
        <w:t> </w:t>
      </w:r>
      <w:r w:rsidR="003645DE" w:rsidRPr="00686C2A">
        <w:t>8(1) of Schedule</w:t>
      </w:r>
      <w:r w:rsidR="00686C2A" w:rsidRPr="00686C2A">
        <w:t> </w:t>
      </w:r>
      <w:r w:rsidR="003645DE" w:rsidRPr="00686C2A">
        <w:t>10D</w:t>
      </w:r>
    </w:p>
    <w:p w:rsidR="003645DE" w:rsidRPr="00686C2A" w:rsidRDefault="003645DE" w:rsidP="003645DE">
      <w:pPr>
        <w:pStyle w:val="Item"/>
      </w:pPr>
      <w:r w:rsidRPr="00686C2A">
        <w:t>Repeal the subclause, substitute:</w:t>
      </w:r>
    </w:p>
    <w:p w:rsidR="003645DE" w:rsidRPr="00686C2A" w:rsidRDefault="003645DE" w:rsidP="003645DE">
      <w:pPr>
        <w:pStyle w:val="subsection"/>
      </w:pPr>
      <w:r w:rsidRPr="00686C2A">
        <w:tab/>
        <w:t>(1)</w:t>
      </w:r>
      <w:r w:rsidRPr="00686C2A">
        <w:tab/>
        <w:t xml:space="preserve">For each </w:t>
      </w:r>
      <w:proofErr w:type="spellStart"/>
      <w:r w:rsidRPr="00686C2A">
        <w:t>MySuper</w:t>
      </w:r>
      <w:proofErr w:type="spellEnd"/>
      <w:r w:rsidRPr="00686C2A">
        <w:t xml:space="preserve"> product or investment option within a superannuation product that is presented in section</w:t>
      </w:r>
      <w:r w:rsidR="00686C2A" w:rsidRPr="00686C2A">
        <w:t> </w:t>
      </w:r>
      <w:r w:rsidRPr="00686C2A">
        <w:t>5 in detail in accordance with subclause</w:t>
      </w:r>
      <w:r w:rsidR="00686C2A" w:rsidRPr="00686C2A">
        <w:t> </w:t>
      </w:r>
      <w:r w:rsidRPr="00686C2A">
        <w:t>7(3), section</w:t>
      </w:r>
      <w:r w:rsidR="00686C2A" w:rsidRPr="00686C2A">
        <w:t> </w:t>
      </w:r>
      <w:r w:rsidRPr="00686C2A">
        <w:t>6 of the Product Disclosure Statement must state:</w:t>
      </w:r>
    </w:p>
    <w:p w:rsidR="003645DE" w:rsidRPr="00686C2A" w:rsidRDefault="003645DE" w:rsidP="003645DE">
      <w:pPr>
        <w:pStyle w:val="paragraph"/>
      </w:pPr>
      <w:r w:rsidRPr="00686C2A">
        <w:tab/>
        <w:t>(a)</w:t>
      </w:r>
      <w:r w:rsidRPr="00686C2A">
        <w:tab/>
        <w:t xml:space="preserve">the cost of acquiring the </w:t>
      </w:r>
      <w:proofErr w:type="spellStart"/>
      <w:r w:rsidRPr="00686C2A">
        <w:t>MySuper</w:t>
      </w:r>
      <w:proofErr w:type="spellEnd"/>
      <w:r w:rsidRPr="00686C2A">
        <w:t xml:space="preserve"> product or investment option; and</w:t>
      </w:r>
    </w:p>
    <w:p w:rsidR="003645DE" w:rsidRPr="00686C2A" w:rsidRDefault="003645DE" w:rsidP="003645DE">
      <w:pPr>
        <w:pStyle w:val="paragraph"/>
      </w:pPr>
      <w:r w:rsidRPr="00686C2A">
        <w:tab/>
        <w:t>(b)</w:t>
      </w:r>
      <w:r w:rsidRPr="00686C2A">
        <w:tab/>
        <w:t xml:space="preserve">the fees and costs that are charged in relation to the </w:t>
      </w:r>
      <w:proofErr w:type="spellStart"/>
      <w:r w:rsidRPr="00686C2A">
        <w:t>MySuper</w:t>
      </w:r>
      <w:proofErr w:type="spellEnd"/>
      <w:r w:rsidRPr="00686C2A">
        <w:t xml:space="preserve"> product or investment option.</w:t>
      </w:r>
    </w:p>
    <w:p w:rsidR="003645DE" w:rsidRPr="00686C2A" w:rsidRDefault="003645DE" w:rsidP="003645DE">
      <w:pPr>
        <w:pStyle w:val="notetext"/>
      </w:pPr>
      <w:r w:rsidRPr="00686C2A">
        <w:t>Note:</w:t>
      </w:r>
      <w:r w:rsidRPr="00686C2A">
        <w:tab/>
        <w:t xml:space="preserve">The statement will be made using the template set out in </w:t>
      </w:r>
      <w:r w:rsidR="00686C2A" w:rsidRPr="00686C2A">
        <w:t>subclause (</w:t>
      </w:r>
      <w:r w:rsidRPr="00686C2A">
        <w:t>3).</w:t>
      </w:r>
    </w:p>
    <w:p w:rsidR="003645DE" w:rsidRPr="00686C2A" w:rsidRDefault="0018263A" w:rsidP="003645DE">
      <w:pPr>
        <w:pStyle w:val="ItemHead"/>
      </w:pPr>
      <w:r w:rsidRPr="00686C2A">
        <w:t>83</w:t>
      </w:r>
      <w:r w:rsidR="003645DE" w:rsidRPr="00686C2A">
        <w:t xml:space="preserve">  Subclause</w:t>
      </w:r>
      <w:r w:rsidR="00686C2A" w:rsidRPr="00686C2A">
        <w:t> </w:t>
      </w:r>
      <w:r w:rsidR="003645DE" w:rsidRPr="00686C2A">
        <w:t>8(3) of Schedule</w:t>
      </w:r>
      <w:r w:rsidR="00686C2A" w:rsidRPr="00686C2A">
        <w:t> </w:t>
      </w:r>
      <w:r w:rsidR="003645DE" w:rsidRPr="00686C2A">
        <w:t>10D</w:t>
      </w:r>
    </w:p>
    <w:p w:rsidR="003645DE" w:rsidRPr="00686C2A" w:rsidRDefault="003645DE" w:rsidP="003645DE">
      <w:pPr>
        <w:pStyle w:val="Item"/>
      </w:pPr>
      <w:r w:rsidRPr="00686C2A">
        <w:t>Repeal the subclause, substitute:</w:t>
      </w:r>
    </w:p>
    <w:p w:rsidR="003645DE" w:rsidRPr="00686C2A" w:rsidRDefault="003645DE" w:rsidP="003645DE">
      <w:pPr>
        <w:pStyle w:val="subsection"/>
      </w:pPr>
      <w:r w:rsidRPr="00686C2A">
        <w:tab/>
        <w:t>(3)</w:t>
      </w:r>
      <w:r w:rsidRPr="00686C2A">
        <w:tab/>
        <w:t>Section</w:t>
      </w:r>
      <w:r w:rsidR="00686C2A" w:rsidRPr="00686C2A">
        <w:t> </w:t>
      </w:r>
      <w:r w:rsidRPr="00686C2A">
        <w:t xml:space="preserve">6 must set out the fees and costs for each </w:t>
      </w:r>
      <w:proofErr w:type="spellStart"/>
      <w:r w:rsidRPr="00686C2A">
        <w:t>MySuper</w:t>
      </w:r>
      <w:proofErr w:type="spellEnd"/>
      <w:r w:rsidRPr="00686C2A">
        <w:t xml:space="preserve"> product or other investment option that is presented in section</w:t>
      </w:r>
      <w:r w:rsidR="00686C2A" w:rsidRPr="00686C2A">
        <w:t> </w:t>
      </w:r>
      <w:r w:rsidRPr="00686C2A">
        <w:t>5 in detail in accordance with subclause</w:t>
      </w:r>
      <w:r w:rsidR="00686C2A" w:rsidRPr="00686C2A">
        <w:t> </w:t>
      </w:r>
      <w:r w:rsidRPr="00686C2A">
        <w:t>7(3), using the following templates:</w:t>
      </w:r>
    </w:p>
    <w:p w:rsidR="003645DE" w:rsidRPr="00686C2A" w:rsidRDefault="003645DE" w:rsidP="003645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362"/>
        <w:gridCol w:w="2362"/>
        <w:gridCol w:w="2362"/>
      </w:tblGrid>
      <w:tr w:rsidR="00A415EF" w:rsidRPr="00686C2A" w:rsidTr="00197785">
        <w:trPr>
          <w:tblHeader/>
        </w:trPr>
        <w:tc>
          <w:tcPr>
            <w:tcW w:w="7086" w:type="dxa"/>
            <w:gridSpan w:val="3"/>
            <w:tcBorders>
              <w:top w:val="single" w:sz="12" w:space="0" w:color="auto"/>
              <w:bottom w:val="single" w:sz="6" w:space="0" w:color="auto"/>
            </w:tcBorders>
            <w:shd w:val="clear" w:color="auto" w:fill="auto"/>
          </w:tcPr>
          <w:p w:rsidR="003645DE" w:rsidRPr="00686C2A" w:rsidRDefault="003645DE" w:rsidP="00197785">
            <w:pPr>
              <w:spacing w:line="240" w:lineRule="auto"/>
              <w:rPr>
                <w:b/>
              </w:rPr>
            </w:pPr>
            <w:r w:rsidRPr="00686C2A">
              <w:rPr>
                <w:b/>
                <w:i/>
              </w:rPr>
              <w:t>[Name of superannuation product]</w:t>
            </w:r>
          </w:p>
        </w:tc>
      </w:tr>
      <w:tr w:rsidR="00A415EF" w:rsidRPr="00686C2A" w:rsidTr="00197785">
        <w:trPr>
          <w:tblHeader/>
        </w:trPr>
        <w:tc>
          <w:tcPr>
            <w:tcW w:w="2362" w:type="dxa"/>
            <w:tcBorders>
              <w:top w:val="single" w:sz="6" w:space="0" w:color="auto"/>
              <w:bottom w:val="single" w:sz="12" w:space="0" w:color="auto"/>
            </w:tcBorders>
            <w:shd w:val="clear" w:color="auto" w:fill="auto"/>
          </w:tcPr>
          <w:p w:rsidR="003645DE" w:rsidRPr="00686C2A" w:rsidRDefault="003645DE" w:rsidP="00197785">
            <w:pPr>
              <w:spacing w:line="240" w:lineRule="auto"/>
              <w:rPr>
                <w:b/>
              </w:rPr>
            </w:pPr>
            <w:r w:rsidRPr="00686C2A">
              <w:rPr>
                <w:b/>
              </w:rPr>
              <w:t>Type of fee</w:t>
            </w:r>
          </w:p>
        </w:tc>
        <w:tc>
          <w:tcPr>
            <w:tcW w:w="2362" w:type="dxa"/>
            <w:tcBorders>
              <w:top w:val="single" w:sz="6" w:space="0" w:color="auto"/>
              <w:bottom w:val="single" w:sz="12" w:space="0" w:color="auto"/>
            </w:tcBorders>
            <w:shd w:val="clear" w:color="auto" w:fill="auto"/>
          </w:tcPr>
          <w:p w:rsidR="003645DE" w:rsidRPr="00686C2A" w:rsidRDefault="003645DE" w:rsidP="00197785">
            <w:pPr>
              <w:spacing w:line="240" w:lineRule="auto"/>
              <w:rPr>
                <w:b/>
              </w:rPr>
            </w:pPr>
            <w:r w:rsidRPr="00686C2A">
              <w:rPr>
                <w:b/>
              </w:rPr>
              <w:t>Amount</w:t>
            </w:r>
          </w:p>
        </w:tc>
        <w:tc>
          <w:tcPr>
            <w:tcW w:w="2362" w:type="dxa"/>
            <w:tcBorders>
              <w:top w:val="single" w:sz="6" w:space="0" w:color="auto"/>
              <w:bottom w:val="single" w:sz="12" w:space="0" w:color="auto"/>
            </w:tcBorders>
            <w:shd w:val="clear" w:color="auto" w:fill="auto"/>
          </w:tcPr>
          <w:p w:rsidR="003645DE" w:rsidRPr="00686C2A" w:rsidRDefault="003645DE" w:rsidP="00197785">
            <w:pPr>
              <w:spacing w:line="240" w:lineRule="auto"/>
              <w:rPr>
                <w:b/>
              </w:rPr>
            </w:pPr>
            <w:r w:rsidRPr="00686C2A">
              <w:rPr>
                <w:b/>
              </w:rPr>
              <w:t>How and when paid</w:t>
            </w:r>
          </w:p>
        </w:tc>
      </w:tr>
      <w:tr w:rsidR="00A415EF" w:rsidRPr="00686C2A" w:rsidTr="00197785">
        <w:tc>
          <w:tcPr>
            <w:tcW w:w="2362" w:type="dxa"/>
            <w:tcBorders>
              <w:top w:val="single" w:sz="12" w:space="0" w:color="auto"/>
            </w:tcBorders>
            <w:shd w:val="clear" w:color="auto" w:fill="auto"/>
          </w:tcPr>
          <w:p w:rsidR="003645DE" w:rsidRPr="00686C2A" w:rsidRDefault="003645DE" w:rsidP="00197785">
            <w:pPr>
              <w:spacing w:line="240" w:lineRule="auto"/>
              <w:rPr>
                <w:i/>
              </w:rPr>
            </w:pPr>
            <w:r w:rsidRPr="00686C2A">
              <w:rPr>
                <w:i/>
              </w:rPr>
              <w:t>Investment fee</w:t>
            </w:r>
          </w:p>
        </w:tc>
        <w:tc>
          <w:tcPr>
            <w:tcW w:w="2362" w:type="dxa"/>
            <w:tcBorders>
              <w:top w:val="single" w:sz="12" w:space="0" w:color="auto"/>
            </w:tcBorders>
            <w:shd w:val="clear" w:color="auto" w:fill="auto"/>
          </w:tcPr>
          <w:p w:rsidR="003645DE" w:rsidRPr="00686C2A" w:rsidRDefault="003645DE" w:rsidP="00197785">
            <w:pPr>
              <w:spacing w:line="240" w:lineRule="auto"/>
            </w:pPr>
          </w:p>
        </w:tc>
        <w:tc>
          <w:tcPr>
            <w:tcW w:w="2362" w:type="dxa"/>
            <w:tcBorders>
              <w:top w:val="single" w:sz="12" w:space="0" w:color="auto"/>
            </w:tcBorders>
            <w:shd w:val="clear" w:color="auto" w:fill="auto"/>
          </w:tcPr>
          <w:p w:rsidR="003645DE" w:rsidRPr="00686C2A" w:rsidRDefault="003645DE" w:rsidP="00197785">
            <w:pPr>
              <w:spacing w:line="240" w:lineRule="auto"/>
            </w:pPr>
          </w:p>
        </w:tc>
      </w:tr>
      <w:tr w:rsidR="00A415EF" w:rsidRPr="00686C2A" w:rsidTr="00197785">
        <w:tc>
          <w:tcPr>
            <w:tcW w:w="2362" w:type="dxa"/>
            <w:shd w:val="clear" w:color="auto" w:fill="auto"/>
          </w:tcPr>
          <w:p w:rsidR="003645DE" w:rsidRPr="00686C2A" w:rsidRDefault="003645DE" w:rsidP="00197785">
            <w:pPr>
              <w:spacing w:line="240" w:lineRule="auto"/>
              <w:rPr>
                <w:i/>
              </w:rPr>
            </w:pPr>
            <w:r w:rsidRPr="00686C2A">
              <w:rPr>
                <w:i/>
              </w:rPr>
              <w:t xml:space="preserve">Administration fee </w:t>
            </w:r>
          </w:p>
        </w:tc>
        <w:tc>
          <w:tcPr>
            <w:tcW w:w="2362" w:type="dxa"/>
            <w:shd w:val="clear" w:color="auto" w:fill="auto"/>
          </w:tcPr>
          <w:p w:rsidR="003645DE" w:rsidRPr="00686C2A" w:rsidRDefault="003645DE" w:rsidP="00197785">
            <w:pPr>
              <w:spacing w:line="240" w:lineRule="auto"/>
            </w:pPr>
          </w:p>
        </w:tc>
        <w:tc>
          <w:tcPr>
            <w:tcW w:w="2362" w:type="dxa"/>
            <w:shd w:val="clear" w:color="auto" w:fill="auto"/>
          </w:tcPr>
          <w:p w:rsidR="003645DE" w:rsidRPr="00686C2A" w:rsidRDefault="003645DE" w:rsidP="00197785">
            <w:pPr>
              <w:spacing w:line="240" w:lineRule="auto"/>
            </w:pPr>
          </w:p>
        </w:tc>
      </w:tr>
      <w:tr w:rsidR="00A415EF" w:rsidRPr="00686C2A" w:rsidTr="00197785">
        <w:tc>
          <w:tcPr>
            <w:tcW w:w="2362" w:type="dxa"/>
            <w:shd w:val="clear" w:color="auto" w:fill="auto"/>
          </w:tcPr>
          <w:p w:rsidR="004A7B84" w:rsidRPr="00686C2A" w:rsidRDefault="004A7B84" w:rsidP="00197785">
            <w:pPr>
              <w:spacing w:line="240" w:lineRule="auto"/>
              <w:rPr>
                <w:i/>
              </w:rPr>
            </w:pPr>
            <w:r w:rsidRPr="00686C2A">
              <w:rPr>
                <w:i/>
              </w:rPr>
              <w:t>Buy</w:t>
            </w:r>
            <w:r w:rsidR="00686C2A">
              <w:rPr>
                <w:i/>
              </w:rPr>
              <w:noBreakHyphen/>
            </w:r>
            <w:r w:rsidRPr="00686C2A">
              <w:rPr>
                <w:i/>
              </w:rPr>
              <w:t>sell spread</w:t>
            </w:r>
          </w:p>
        </w:tc>
        <w:tc>
          <w:tcPr>
            <w:tcW w:w="2362" w:type="dxa"/>
            <w:shd w:val="clear" w:color="auto" w:fill="auto"/>
          </w:tcPr>
          <w:p w:rsidR="004A7B84" w:rsidRPr="00686C2A" w:rsidRDefault="004A7B84" w:rsidP="00197785">
            <w:pPr>
              <w:spacing w:line="240" w:lineRule="auto"/>
            </w:pPr>
          </w:p>
        </w:tc>
        <w:tc>
          <w:tcPr>
            <w:tcW w:w="2362" w:type="dxa"/>
            <w:shd w:val="clear" w:color="auto" w:fill="auto"/>
          </w:tcPr>
          <w:p w:rsidR="004A7B84" w:rsidRPr="00686C2A" w:rsidRDefault="004A7B84" w:rsidP="00197785">
            <w:pPr>
              <w:spacing w:line="240" w:lineRule="auto"/>
            </w:pPr>
          </w:p>
        </w:tc>
      </w:tr>
      <w:tr w:rsidR="00A415EF" w:rsidRPr="00686C2A" w:rsidTr="00197785">
        <w:tc>
          <w:tcPr>
            <w:tcW w:w="2362" w:type="dxa"/>
            <w:shd w:val="clear" w:color="auto" w:fill="auto"/>
          </w:tcPr>
          <w:p w:rsidR="004A7B84" w:rsidRPr="00686C2A" w:rsidRDefault="004A7B84" w:rsidP="00197785">
            <w:pPr>
              <w:spacing w:line="240" w:lineRule="auto"/>
              <w:rPr>
                <w:i/>
              </w:rPr>
            </w:pPr>
            <w:r w:rsidRPr="00686C2A">
              <w:rPr>
                <w:i/>
              </w:rPr>
              <w:t>Switching fee</w:t>
            </w:r>
          </w:p>
        </w:tc>
        <w:tc>
          <w:tcPr>
            <w:tcW w:w="2362" w:type="dxa"/>
            <w:shd w:val="clear" w:color="auto" w:fill="auto"/>
          </w:tcPr>
          <w:p w:rsidR="004A7B84" w:rsidRPr="00686C2A" w:rsidRDefault="004A7B84" w:rsidP="00197785">
            <w:pPr>
              <w:spacing w:line="240" w:lineRule="auto"/>
            </w:pPr>
          </w:p>
        </w:tc>
        <w:tc>
          <w:tcPr>
            <w:tcW w:w="2362" w:type="dxa"/>
            <w:shd w:val="clear" w:color="auto" w:fill="auto"/>
          </w:tcPr>
          <w:p w:rsidR="004A7B84" w:rsidRPr="00686C2A" w:rsidRDefault="004A7B84" w:rsidP="00197785">
            <w:pPr>
              <w:spacing w:line="240" w:lineRule="auto"/>
            </w:pPr>
          </w:p>
        </w:tc>
      </w:tr>
      <w:tr w:rsidR="00A415EF" w:rsidRPr="00686C2A" w:rsidTr="00197785">
        <w:tc>
          <w:tcPr>
            <w:tcW w:w="2362" w:type="dxa"/>
            <w:shd w:val="clear" w:color="auto" w:fill="auto"/>
          </w:tcPr>
          <w:p w:rsidR="004A7B84" w:rsidRPr="00686C2A" w:rsidRDefault="004A7B84" w:rsidP="00197785">
            <w:pPr>
              <w:spacing w:line="240" w:lineRule="auto"/>
              <w:rPr>
                <w:i/>
              </w:rPr>
            </w:pPr>
            <w:r w:rsidRPr="00686C2A">
              <w:rPr>
                <w:i/>
              </w:rPr>
              <w:t>Exit fee</w:t>
            </w:r>
          </w:p>
        </w:tc>
        <w:tc>
          <w:tcPr>
            <w:tcW w:w="2362" w:type="dxa"/>
            <w:shd w:val="clear" w:color="auto" w:fill="auto"/>
          </w:tcPr>
          <w:p w:rsidR="004A7B84" w:rsidRPr="00686C2A" w:rsidRDefault="004A7B84" w:rsidP="00197785">
            <w:pPr>
              <w:spacing w:line="240" w:lineRule="auto"/>
            </w:pPr>
          </w:p>
        </w:tc>
        <w:tc>
          <w:tcPr>
            <w:tcW w:w="2362" w:type="dxa"/>
            <w:shd w:val="clear" w:color="auto" w:fill="auto"/>
          </w:tcPr>
          <w:p w:rsidR="004A7B84" w:rsidRPr="00686C2A" w:rsidRDefault="004A7B84" w:rsidP="00197785">
            <w:pPr>
              <w:spacing w:line="240" w:lineRule="auto"/>
            </w:pPr>
          </w:p>
        </w:tc>
      </w:tr>
      <w:tr w:rsidR="00A415EF" w:rsidRPr="00686C2A" w:rsidTr="00F451C9">
        <w:tc>
          <w:tcPr>
            <w:tcW w:w="2362" w:type="dxa"/>
            <w:tcBorders>
              <w:bottom w:val="single" w:sz="4" w:space="0" w:color="auto"/>
            </w:tcBorders>
            <w:shd w:val="clear" w:color="auto" w:fill="auto"/>
          </w:tcPr>
          <w:p w:rsidR="004A7B84" w:rsidRPr="00686C2A" w:rsidRDefault="004A7B84" w:rsidP="00197785">
            <w:pPr>
              <w:spacing w:line="240" w:lineRule="auto"/>
              <w:rPr>
                <w:i/>
              </w:rPr>
            </w:pPr>
            <w:r w:rsidRPr="00686C2A">
              <w:rPr>
                <w:i/>
              </w:rPr>
              <w:t>Advice fees</w:t>
            </w:r>
          </w:p>
          <w:p w:rsidR="004A7B84" w:rsidRPr="00686C2A" w:rsidRDefault="004A7B84" w:rsidP="00197785">
            <w:pPr>
              <w:spacing w:line="240" w:lineRule="auto"/>
              <w:rPr>
                <w:i/>
              </w:rPr>
            </w:pPr>
            <w:r w:rsidRPr="00686C2A">
              <w:lastRenderedPageBreak/>
              <w:t xml:space="preserve">relating to all members investing in a particular </w:t>
            </w:r>
            <w:proofErr w:type="spellStart"/>
            <w:r w:rsidRPr="00686C2A">
              <w:t>MySuper</w:t>
            </w:r>
            <w:proofErr w:type="spellEnd"/>
            <w:r w:rsidRPr="00686C2A">
              <w:t xml:space="preserve"> product or investment option</w:t>
            </w:r>
          </w:p>
        </w:tc>
        <w:tc>
          <w:tcPr>
            <w:tcW w:w="2362" w:type="dxa"/>
            <w:tcBorders>
              <w:bottom w:val="single" w:sz="4" w:space="0" w:color="auto"/>
            </w:tcBorders>
            <w:shd w:val="clear" w:color="auto" w:fill="auto"/>
          </w:tcPr>
          <w:p w:rsidR="004A7B84" w:rsidRPr="00686C2A" w:rsidRDefault="004A7B84" w:rsidP="00197785">
            <w:pPr>
              <w:spacing w:line="240" w:lineRule="auto"/>
            </w:pPr>
          </w:p>
        </w:tc>
        <w:tc>
          <w:tcPr>
            <w:tcW w:w="2362" w:type="dxa"/>
            <w:tcBorders>
              <w:bottom w:val="single" w:sz="4" w:space="0" w:color="auto"/>
            </w:tcBorders>
            <w:shd w:val="clear" w:color="auto" w:fill="auto"/>
          </w:tcPr>
          <w:p w:rsidR="004A7B84" w:rsidRPr="00686C2A" w:rsidRDefault="004A7B84" w:rsidP="00197785">
            <w:pPr>
              <w:spacing w:line="240" w:lineRule="auto"/>
            </w:pPr>
          </w:p>
        </w:tc>
      </w:tr>
      <w:tr w:rsidR="00A415EF" w:rsidRPr="00686C2A" w:rsidTr="00F451C9">
        <w:tc>
          <w:tcPr>
            <w:tcW w:w="2362" w:type="dxa"/>
            <w:shd w:val="clear" w:color="auto" w:fill="auto"/>
          </w:tcPr>
          <w:p w:rsidR="004A7B84" w:rsidRPr="00686C2A" w:rsidRDefault="004A7B84" w:rsidP="00197785">
            <w:pPr>
              <w:spacing w:line="240" w:lineRule="auto"/>
              <w:rPr>
                <w:i/>
              </w:rPr>
            </w:pPr>
            <w:r w:rsidRPr="00686C2A">
              <w:rPr>
                <w:i/>
              </w:rPr>
              <w:lastRenderedPageBreak/>
              <w:t>Other fees and costs</w:t>
            </w:r>
            <w:r w:rsidRPr="00686C2A">
              <w:rPr>
                <w:rFonts w:cs="Times New Roman"/>
                <w:i/>
              </w:rPr>
              <w:t>¹</w:t>
            </w:r>
          </w:p>
        </w:tc>
        <w:tc>
          <w:tcPr>
            <w:tcW w:w="2362" w:type="dxa"/>
            <w:shd w:val="clear" w:color="auto" w:fill="auto"/>
          </w:tcPr>
          <w:p w:rsidR="004A7B84" w:rsidRPr="00686C2A" w:rsidRDefault="004A7B84" w:rsidP="00197785">
            <w:pPr>
              <w:spacing w:line="240" w:lineRule="auto"/>
            </w:pPr>
          </w:p>
        </w:tc>
        <w:tc>
          <w:tcPr>
            <w:tcW w:w="2362" w:type="dxa"/>
            <w:shd w:val="clear" w:color="auto" w:fill="auto"/>
          </w:tcPr>
          <w:p w:rsidR="004A7B84" w:rsidRPr="00686C2A" w:rsidRDefault="004A7B84" w:rsidP="00197785">
            <w:pPr>
              <w:spacing w:line="240" w:lineRule="auto"/>
            </w:pPr>
          </w:p>
        </w:tc>
      </w:tr>
      <w:tr w:rsidR="00A415EF" w:rsidRPr="00686C2A" w:rsidTr="00F451C9">
        <w:tc>
          <w:tcPr>
            <w:tcW w:w="2362" w:type="dxa"/>
            <w:tcBorders>
              <w:bottom w:val="single" w:sz="12" w:space="0" w:color="auto"/>
            </w:tcBorders>
            <w:shd w:val="clear" w:color="auto" w:fill="auto"/>
          </w:tcPr>
          <w:p w:rsidR="004A7B84" w:rsidRPr="00686C2A" w:rsidRDefault="004A7B84" w:rsidP="00D806F5">
            <w:pPr>
              <w:spacing w:line="240" w:lineRule="auto"/>
              <w:rPr>
                <w:i/>
              </w:rPr>
            </w:pPr>
            <w:r w:rsidRPr="00686C2A">
              <w:rPr>
                <w:i/>
              </w:rPr>
              <w:t>Indirect cost ratio</w:t>
            </w:r>
          </w:p>
        </w:tc>
        <w:tc>
          <w:tcPr>
            <w:tcW w:w="2362" w:type="dxa"/>
            <w:tcBorders>
              <w:bottom w:val="single" w:sz="12" w:space="0" w:color="auto"/>
            </w:tcBorders>
            <w:shd w:val="clear" w:color="auto" w:fill="auto"/>
          </w:tcPr>
          <w:p w:rsidR="004A7B84" w:rsidRPr="00686C2A" w:rsidRDefault="004A7B84" w:rsidP="00197785">
            <w:pPr>
              <w:spacing w:line="240" w:lineRule="auto"/>
            </w:pPr>
          </w:p>
        </w:tc>
        <w:tc>
          <w:tcPr>
            <w:tcW w:w="2362" w:type="dxa"/>
            <w:tcBorders>
              <w:bottom w:val="single" w:sz="12" w:space="0" w:color="auto"/>
            </w:tcBorders>
            <w:shd w:val="clear" w:color="auto" w:fill="auto"/>
          </w:tcPr>
          <w:p w:rsidR="004A7B84" w:rsidRPr="00686C2A" w:rsidRDefault="004A7B84" w:rsidP="00197785">
            <w:pPr>
              <w:spacing w:line="240" w:lineRule="auto"/>
            </w:pPr>
          </w:p>
        </w:tc>
      </w:tr>
    </w:tbl>
    <w:p w:rsidR="003645DE" w:rsidRPr="00686C2A" w:rsidRDefault="003645DE" w:rsidP="003645DE">
      <w:pPr>
        <w:pStyle w:val="notemargin"/>
      </w:pPr>
      <w:r w:rsidRPr="00686C2A">
        <w:t>1.</w:t>
      </w:r>
      <w:r w:rsidRPr="00686C2A">
        <w:tab/>
      </w:r>
      <w:r w:rsidRPr="00686C2A">
        <w:rPr>
          <w:i/>
        </w:rPr>
        <w:t>[If there are other fees and costs, such as activity fees, advice fees for personal advice or insurance fees, include a cross</w:t>
      </w:r>
      <w:r w:rsidR="00686C2A">
        <w:rPr>
          <w:i/>
        </w:rPr>
        <w:noBreakHyphen/>
      </w:r>
      <w:r w:rsidRPr="00686C2A">
        <w:rPr>
          <w:i/>
        </w:rPr>
        <w:t xml:space="preserve">reference to the </w:t>
      </w:r>
      <w:r w:rsidR="00A16431" w:rsidRPr="00686C2A">
        <w:rPr>
          <w:i/>
        </w:rPr>
        <w:t>“</w:t>
      </w:r>
      <w:r w:rsidRPr="00686C2A">
        <w:rPr>
          <w:i/>
        </w:rPr>
        <w:t>Additional Explanation of Fees and Costs</w:t>
      </w:r>
      <w:r w:rsidR="00A16431" w:rsidRPr="00686C2A">
        <w:rPr>
          <w:i/>
        </w:rPr>
        <w:t>”</w:t>
      </w:r>
      <w:r w:rsidRPr="00686C2A">
        <w:rPr>
          <w:i/>
        </w:rPr>
        <w:t>.]</w:t>
      </w:r>
    </w:p>
    <w:p w:rsidR="003645DE" w:rsidRPr="00686C2A" w:rsidRDefault="0018263A" w:rsidP="003645DE">
      <w:pPr>
        <w:pStyle w:val="ItemHead"/>
      </w:pPr>
      <w:r w:rsidRPr="00686C2A">
        <w:t>84</w:t>
      </w:r>
      <w:r w:rsidR="003645DE" w:rsidRPr="00686C2A">
        <w:t xml:space="preserve">  After subclause</w:t>
      </w:r>
      <w:r w:rsidR="00686C2A" w:rsidRPr="00686C2A">
        <w:t> </w:t>
      </w:r>
      <w:r w:rsidR="003645DE" w:rsidRPr="00686C2A">
        <w:t>8(6) of Schedule</w:t>
      </w:r>
      <w:r w:rsidR="00686C2A" w:rsidRPr="00686C2A">
        <w:t> </w:t>
      </w:r>
      <w:r w:rsidR="003645DE" w:rsidRPr="00686C2A">
        <w:t>10D</w:t>
      </w:r>
    </w:p>
    <w:p w:rsidR="003645DE" w:rsidRPr="00686C2A" w:rsidRDefault="003645DE" w:rsidP="003645DE">
      <w:pPr>
        <w:pStyle w:val="Item"/>
      </w:pPr>
      <w:r w:rsidRPr="00686C2A">
        <w:t>Insert:</w:t>
      </w:r>
    </w:p>
    <w:p w:rsidR="00B56E53" w:rsidRPr="00686C2A" w:rsidRDefault="003645DE" w:rsidP="008614FA">
      <w:pPr>
        <w:pStyle w:val="subsection"/>
      </w:pPr>
      <w:r w:rsidRPr="00686C2A">
        <w:tab/>
        <w:t>(6A)</w:t>
      </w:r>
      <w:r w:rsidRPr="00686C2A">
        <w:tab/>
        <w:t>Section</w:t>
      </w:r>
      <w:r w:rsidR="00686C2A" w:rsidRPr="00686C2A">
        <w:t> </w:t>
      </w:r>
      <w:r w:rsidRPr="00686C2A">
        <w:t>6 must</w:t>
      </w:r>
      <w:r w:rsidR="00B56E53" w:rsidRPr="00686C2A">
        <w:t>:</w:t>
      </w:r>
    </w:p>
    <w:p w:rsidR="003645DE" w:rsidRPr="00686C2A" w:rsidRDefault="00B56E53" w:rsidP="00B56E53">
      <w:pPr>
        <w:pStyle w:val="paragraph"/>
      </w:pPr>
      <w:r w:rsidRPr="00686C2A">
        <w:tab/>
        <w:t>(a)</w:t>
      </w:r>
      <w:r w:rsidRPr="00686C2A">
        <w:tab/>
      </w:r>
      <w:r w:rsidR="001D3394" w:rsidRPr="00686C2A">
        <w:t xml:space="preserve">apply, adopt or incorporate </w:t>
      </w:r>
      <w:r w:rsidR="003645DE" w:rsidRPr="00686C2A">
        <w:t xml:space="preserve">the definitions in relation to fees mentioned in </w:t>
      </w:r>
      <w:r w:rsidR="008614FA" w:rsidRPr="00686C2A">
        <w:t>section</w:t>
      </w:r>
      <w:r w:rsidR="00686C2A" w:rsidRPr="00686C2A">
        <w:t> </w:t>
      </w:r>
      <w:r w:rsidR="00D62C8A" w:rsidRPr="00686C2A">
        <w:t>29V</w:t>
      </w:r>
      <w:r w:rsidR="008614FA" w:rsidRPr="00686C2A">
        <w:t xml:space="preserve"> of the SIS Act</w:t>
      </w:r>
      <w:r w:rsidRPr="00686C2A">
        <w:t>; and</w:t>
      </w:r>
    </w:p>
    <w:p w:rsidR="00B56E53" w:rsidRPr="00686C2A" w:rsidRDefault="00B56E53" w:rsidP="00B56E53">
      <w:pPr>
        <w:pStyle w:val="paragraph"/>
      </w:pPr>
      <w:r w:rsidRPr="00686C2A">
        <w:tab/>
        <w:t>(b)</w:t>
      </w:r>
      <w:r w:rsidRPr="00686C2A">
        <w:tab/>
      </w:r>
      <w:r w:rsidR="0083712E" w:rsidRPr="00686C2A">
        <w:t>include the address of a link to the definitions maintained on a website.</w:t>
      </w:r>
    </w:p>
    <w:p w:rsidR="003645DE" w:rsidRPr="00686C2A" w:rsidRDefault="0018263A" w:rsidP="003645DE">
      <w:pPr>
        <w:pStyle w:val="ItemHead"/>
      </w:pPr>
      <w:r w:rsidRPr="00686C2A">
        <w:t>85</w:t>
      </w:r>
      <w:r w:rsidR="003645DE" w:rsidRPr="00686C2A">
        <w:t xml:space="preserve">  Subclause</w:t>
      </w:r>
      <w:r w:rsidR="00686C2A" w:rsidRPr="00686C2A">
        <w:t> </w:t>
      </w:r>
      <w:r w:rsidR="003645DE" w:rsidRPr="00686C2A">
        <w:t>8(7) of Schedule</w:t>
      </w:r>
      <w:r w:rsidR="00686C2A" w:rsidRPr="00686C2A">
        <w:t> </w:t>
      </w:r>
      <w:r w:rsidR="003645DE" w:rsidRPr="00686C2A">
        <w:t>10D</w:t>
      </w:r>
    </w:p>
    <w:p w:rsidR="003645DE" w:rsidRPr="00686C2A" w:rsidRDefault="003645DE" w:rsidP="003645DE">
      <w:pPr>
        <w:pStyle w:val="Item"/>
      </w:pPr>
      <w:r w:rsidRPr="00686C2A">
        <w:t>Repeal the subclause, substitute:</w:t>
      </w:r>
    </w:p>
    <w:p w:rsidR="003645DE" w:rsidRPr="00686C2A" w:rsidRDefault="003645DE" w:rsidP="003645DE">
      <w:pPr>
        <w:pStyle w:val="subsection"/>
      </w:pPr>
      <w:r w:rsidRPr="00686C2A">
        <w:tab/>
        <w:t>(7)</w:t>
      </w:r>
      <w:r w:rsidRPr="00686C2A">
        <w:tab/>
        <w:t>Section</w:t>
      </w:r>
      <w:r w:rsidR="00686C2A" w:rsidRPr="00686C2A">
        <w:t> </w:t>
      </w:r>
      <w:r w:rsidRPr="00686C2A">
        <w:t xml:space="preserve">6 must give a worked example for each </w:t>
      </w:r>
      <w:proofErr w:type="spellStart"/>
      <w:r w:rsidRPr="00686C2A">
        <w:t>MySuper</w:t>
      </w:r>
      <w:proofErr w:type="spellEnd"/>
      <w:r w:rsidRPr="00686C2A">
        <w:t xml:space="preserve"> product or investment option described in section</w:t>
      </w:r>
      <w:r w:rsidR="00686C2A" w:rsidRPr="00686C2A">
        <w:t> </w:t>
      </w:r>
      <w:r w:rsidRPr="00686C2A">
        <w:t>5.</w:t>
      </w:r>
    </w:p>
    <w:p w:rsidR="003645DE" w:rsidRPr="00686C2A" w:rsidRDefault="003645DE" w:rsidP="003645DE">
      <w:pPr>
        <w:pStyle w:val="subsection"/>
      </w:pPr>
      <w:r w:rsidRPr="00686C2A">
        <w:tab/>
        <w:t>(7A)</w:t>
      </w:r>
      <w:r w:rsidRPr="00686C2A">
        <w:tab/>
        <w:t>The example given must be in accordance with Divisions</w:t>
      </w:r>
      <w:r w:rsidR="00686C2A" w:rsidRPr="00686C2A">
        <w:t> </w:t>
      </w:r>
      <w:r w:rsidRPr="00686C2A">
        <w:t>5 and 6 of Schedule</w:t>
      </w:r>
      <w:r w:rsidR="00686C2A" w:rsidRPr="00686C2A">
        <w:t> </w:t>
      </w:r>
      <w:r w:rsidRPr="00686C2A">
        <w:t>10 (including the definitions applicable to those Divisions).</w:t>
      </w:r>
    </w:p>
    <w:p w:rsidR="003645DE" w:rsidRPr="00686C2A" w:rsidRDefault="0018263A" w:rsidP="003645DE">
      <w:pPr>
        <w:pStyle w:val="ItemHead"/>
      </w:pPr>
      <w:r w:rsidRPr="00686C2A">
        <w:t>86</w:t>
      </w:r>
      <w:r w:rsidR="003645DE" w:rsidRPr="00686C2A">
        <w:t xml:space="preserve">  Paragraph 8(10)(a) of Schedule</w:t>
      </w:r>
      <w:r w:rsidR="00686C2A" w:rsidRPr="00686C2A">
        <w:t> </w:t>
      </w:r>
      <w:r w:rsidR="003645DE" w:rsidRPr="00686C2A">
        <w:t>10D</w:t>
      </w:r>
    </w:p>
    <w:p w:rsidR="003645DE" w:rsidRPr="00686C2A" w:rsidRDefault="003645DE" w:rsidP="003645DE">
      <w:pPr>
        <w:pStyle w:val="Item"/>
      </w:pPr>
      <w:r w:rsidRPr="00686C2A">
        <w:t xml:space="preserve">Omit </w:t>
      </w:r>
      <w:r w:rsidR="00A16431" w:rsidRPr="00686C2A">
        <w:t>“</w:t>
      </w:r>
      <w:r w:rsidRPr="00686C2A">
        <w:t>each of the investment options</w:t>
      </w:r>
      <w:r w:rsidR="00A16431" w:rsidRPr="00686C2A">
        <w:t>”</w:t>
      </w:r>
      <w:r w:rsidRPr="00686C2A">
        <w:t xml:space="preserve">, substitute </w:t>
      </w:r>
      <w:r w:rsidR="00A16431" w:rsidRPr="00686C2A">
        <w:t>“</w:t>
      </w:r>
      <w:r w:rsidRPr="00686C2A">
        <w:t xml:space="preserve">each of the </w:t>
      </w:r>
      <w:proofErr w:type="spellStart"/>
      <w:r w:rsidRPr="00686C2A">
        <w:t>MySuper</w:t>
      </w:r>
      <w:proofErr w:type="spellEnd"/>
      <w:r w:rsidRPr="00686C2A">
        <w:t xml:space="preserve"> products and investment options</w:t>
      </w:r>
      <w:r w:rsidR="00A16431" w:rsidRPr="00686C2A">
        <w:t>”</w:t>
      </w:r>
      <w:r w:rsidRPr="00686C2A">
        <w:t>.</w:t>
      </w:r>
    </w:p>
    <w:p w:rsidR="003645DE" w:rsidRPr="00686C2A" w:rsidRDefault="00305A4F" w:rsidP="00030FCF">
      <w:pPr>
        <w:pStyle w:val="ActHead9"/>
        <w:rPr>
          <w:b w:val="0"/>
          <w:i w:val="0"/>
        </w:rPr>
      </w:pPr>
      <w:bookmarkStart w:id="41" w:name="_Toc359591535"/>
      <w:r w:rsidRPr="00686C2A">
        <w:t>First Home Saver Accounts Regulations</w:t>
      </w:r>
      <w:r w:rsidR="00686C2A" w:rsidRPr="00686C2A">
        <w:t> </w:t>
      </w:r>
      <w:r w:rsidRPr="00686C2A">
        <w:t>2008</w:t>
      </w:r>
      <w:bookmarkEnd w:id="41"/>
    </w:p>
    <w:p w:rsidR="003721F5" w:rsidRPr="00686C2A" w:rsidRDefault="0018263A" w:rsidP="004E1679">
      <w:pPr>
        <w:pStyle w:val="ItemHead"/>
      </w:pPr>
      <w:r w:rsidRPr="00686C2A">
        <w:t>87</w:t>
      </w:r>
      <w:r w:rsidR="003721F5" w:rsidRPr="00686C2A">
        <w:t xml:space="preserve">  </w:t>
      </w:r>
      <w:proofErr w:type="spellStart"/>
      <w:r w:rsidR="003721F5" w:rsidRPr="00686C2A">
        <w:t>Subregulation</w:t>
      </w:r>
      <w:proofErr w:type="spellEnd"/>
      <w:r w:rsidR="00686C2A" w:rsidRPr="00686C2A">
        <w:t> </w:t>
      </w:r>
      <w:r w:rsidR="003721F5" w:rsidRPr="00686C2A">
        <w:t>6(1)</w:t>
      </w:r>
    </w:p>
    <w:p w:rsidR="003721F5" w:rsidRPr="00686C2A" w:rsidRDefault="003721F5" w:rsidP="003721F5">
      <w:pPr>
        <w:pStyle w:val="Item"/>
      </w:pPr>
      <w:r w:rsidRPr="00686C2A">
        <w:t xml:space="preserve">Omit </w:t>
      </w:r>
      <w:r w:rsidR="00A16431" w:rsidRPr="00686C2A">
        <w:t>“</w:t>
      </w:r>
      <w:r w:rsidRPr="00686C2A">
        <w:t>paragraph</w:t>
      </w:r>
      <w:r w:rsidR="00686C2A" w:rsidRPr="00686C2A">
        <w:t> </w:t>
      </w:r>
      <w:r w:rsidRPr="00686C2A">
        <w:t>52(2)(h)</w:t>
      </w:r>
      <w:r w:rsidR="00A16431" w:rsidRPr="00686C2A">
        <w:t>”</w:t>
      </w:r>
      <w:r w:rsidRPr="00686C2A">
        <w:t xml:space="preserve">, substitute </w:t>
      </w:r>
      <w:r w:rsidR="00A16431" w:rsidRPr="00686C2A">
        <w:t>“</w:t>
      </w:r>
      <w:r w:rsidRPr="00686C2A">
        <w:t>paragraph</w:t>
      </w:r>
      <w:r w:rsidR="00686C2A" w:rsidRPr="00686C2A">
        <w:t> </w:t>
      </w:r>
      <w:r w:rsidRPr="00686C2A">
        <w:t>52(2)(j)</w:t>
      </w:r>
      <w:r w:rsidR="00A16431" w:rsidRPr="00686C2A">
        <w:t>”</w:t>
      </w:r>
      <w:r w:rsidRPr="00686C2A">
        <w:t>.</w:t>
      </w:r>
    </w:p>
    <w:p w:rsidR="003721F5" w:rsidRPr="00686C2A" w:rsidRDefault="0018263A" w:rsidP="003721F5">
      <w:pPr>
        <w:pStyle w:val="ItemHead"/>
      </w:pPr>
      <w:r w:rsidRPr="00686C2A">
        <w:lastRenderedPageBreak/>
        <w:t>88</w:t>
      </w:r>
      <w:r w:rsidR="003721F5" w:rsidRPr="00686C2A">
        <w:t xml:space="preserve">  Schedule</w:t>
      </w:r>
      <w:r w:rsidR="00686C2A" w:rsidRPr="00686C2A">
        <w:t> </w:t>
      </w:r>
      <w:r w:rsidR="003721F5" w:rsidRPr="00686C2A">
        <w:t>1 (table)</w:t>
      </w:r>
    </w:p>
    <w:p w:rsidR="003721F5" w:rsidRPr="00686C2A" w:rsidRDefault="003721F5" w:rsidP="003721F5">
      <w:pPr>
        <w:pStyle w:val="Item"/>
      </w:pPr>
      <w:r w:rsidRPr="00686C2A">
        <w:t xml:space="preserve">Omit </w:t>
      </w:r>
      <w:r w:rsidR="00A16431" w:rsidRPr="00686C2A">
        <w:t>“</w:t>
      </w:r>
      <w:r w:rsidRPr="00686C2A">
        <w:t>regulation</w:t>
      </w:r>
      <w:r w:rsidR="00686C2A" w:rsidRPr="00686C2A">
        <w:t> </w:t>
      </w:r>
      <w:r w:rsidRPr="00686C2A">
        <w:t>8.02A</w:t>
      </w:r>
      <w:r w:rsidR="00A16431" w:rsidRPr="00686C2A">
        <w:t>”</w:t>
      </w:r>
      <w:r w:rsidRPr="00686C2A">
        <w:t xml:space="preserve">, </w:t>
      </w:r>
      <w:r w:rsidR="00A16431" w:rsidRPr="00686C2A">
        <w:t>“</w:t>
      </w:r>
      <w:r w:rsidRPr="00686C2A">
        <w:t>regulation</w:t>
      </w:r>
      <w:r w:rsidR="00686C2A" w:rsidRPr="00686C2A">
        <w:t> </w:t>
      </w:r>
      <w:r w:rsidRPr="00686C2A">
        <w:t>8.03</w:t>
      </w:r>
      <w:r w:rsidR="00A16431" w:rsidRPr="00686C2A">
        <w:t>”</w:t>
      </w:r>
      <w:r w:rsidRPr="00686C2A">
        <w:t xml:space="preserve">, and </w:t>
      </w:r>
      <w:r w:rsidR="00A16431" w:rsidRPr="00686C2A">
        <w:t>“</w:t>
      </w:r>
      <w:r w:rsidRPr="00686C2A">
        <w:t>regulation</w:t>
      </w:r>
      <w:r w:rsidR="00686C2A" w:rsidRPr="00686C2A">
        <w:t> </w:t>
      </w:r>
      <w:r w:rsidRPr="00686C2A">
        <w:t>8.04</w:t>
      </w:r>
      <w:r w:rsidR="00A16431" w:rsidRPr="00686C2A">
        <w:t>”</w:t>
      </w:r>
      <w:r w:rsidRPr="00686C2A">
        <w:t>.</w:t>
      </w:r>
    </w:p>
    <w:p w:rsidR="003721F5" w:rsidRPr="00686C2A" w:rsidRDefault="003721F5" w:rsidP="003721F5">
      <w:pPr>
        <w:pStyle w:val="ActHead9"/>
      </w:pPr>
      <w:bookmarkStart w:id="42" w:name="_Toc359591536"/>
      <w:r w:rsidRPr="00686C2A">
        <w:t>Superannuation Guarantee (Administration) Regulations</w:t>
      </w:r>
      <w:r w:rsidR="00686C2A" w:rsidRPr="00686C2A">
        <w:t> </w:t>
      </w:r>
      <w:r w:rsidRPr="00686C2A">
        <w:t>1993</w:t>
      </w:r>
      <w:bookmarkEnd w:id="42"/>
    </w:p>
    <w:p w:rsidR="003721F5" w:rsidRPr="00686C2A" w:rsidRDefault="0018263A" w:rsidP="003721F5">
      <w:pPr>
        <w:pStyle w:val="ItemHead"/>
        <w:rPr>
          <w:rFonts w:cs="Arial"/>
        </w:rPr>
      </w:pPr>
      <w:r w:rsidRPr="00686C2A">
        <w:rPr>
          <w:rFonts w:cs="Arial"/>
          <w:noProof/>
        </w:rPr>
        <w:t>89</w:t>
      </w:r>
      <w:r w:rsidR="003721F5" w:rsidRPr="00686C2A">
        <w:rPr>
          <w:rFonts w:cs="Arial"/>
        </w:rPr>
        <w:t xml:space="preserve">  After regulation</w:t>
      </w:r>
      <w:r w:rsidR="00686C2A" w:rsidRPr="00686C2A">
        <w:rPr>
          <w:rFonts w:cs="Arial"/>
        </w:rPr>
        <w:t> </w:t>
      </w:r>
      <w:r w:rsidR="003721F5" w:rsidRPr="00686C2A">
        <w:rPr>
          <w:rFonts w:cs="Arial"/>
        </w:rPr>
        <w:t>6</w:t>
      </w:r>
    </w:p>
    <w:p w:rsidR="003721F5" w:rsidRPr="00686C2A" w:rsidRDefault="003721F5" w:rsidP="003721F5">
      <w:pPr>
        <w:pStyle w:val="Item"/>
      </w:pPr>
      <w:r w:rsidRPr="00686C2A">
        <w:t>Insert:</w:t>
      </w:r>
    </w:p>
    <w:p w:rsidR="003721F5" w:rsidRPr="00686C2A" w:rsidRDefault="003721F5" w:rsidP="003721F5">
      <w:pPr>
        <w:pStyle w:val="ActHead5"/>
      </w:pPr>
      <w:bookmarkStart w:id="43" w:name="_Toc359591537"/>
      <w:r w:rsidRPr="00686C2A">
        <w:rPr>
          <w:rStyle w:val="CharSectno"/>
        </w:rPr>
        <w:t>6A</w:t>
      </w:r>
      <w:r w:rsidRPr="00686C2A">
        <w:t xml:space="preserve">  Circumstances in which member taken to be defined benefit member</w:t>
      </w:r>
      <w:bookmarkEnd w:id="43"/>
    </w:p>
    <w:p w:rsidR="003721F5" w:rsidRPr="00686C2A" w:rsidRDefault="003721F5" w:rsidP="003721F5">
      <w:pPr>
        <w:pStyle w:val="subsection"/>
      </w:pPr>
      <w:r w:rsidRPr="00686C2A">
        <w:tab/>
      </w:r>
      <w:r w:rsidR="00666C56" w:rsidRPr="00686C2A">
        <w:t>(1)</w:t>
      </w:r>
      <w:r w:rsidR="00666C56" w:rsidRPr="00686C2A">
        <w:tab/>
      </w:r>
      <w:r w:rsidRPr="00686C2A">
        <w:t>For paragraph</w:t>
      </w:r>
      <w:r w:rsidR="00686C2A" w:rsidRPr="00686C2A">
        <w:t> </w:t>
      </w:r>
      <w:r w:rsidRPr="00686C2A">
        <w:t xml:space="preserve">6AA(b) of the Act, </w:t>
      </w:r>
      <w:proofErr w:type="spellStart"/>
      <w:r w:rsidR="00666C56" w:rsidRPr="00686C2A">
        <w:t>subregulations</w:t>
      </w:r>
      <w:proofErr w:type="spellEnd"/>
      <w:r w:rsidR="00666C56" w:rsidRPr="00686C2A">
        <w:t xml:space="preserve"> (</w:t>
      </w:r>
      <w:r w:rsidR="002B7525" w:rsidRPr="00686C2A">
        <w:t>2</w:t>
      </w:r>
      <w:r w:rsidR="00666C56" w:rsidRPr="00686C2A">
        <w:t>) and (</w:t>
      </w:r>
      <w:r w:rsidR="002B7525" w:rsidRPr="00686C2A">
        <w:t>3</w:t>
      </w:r>
      <w:r w:rsidR="00666C56" w:rsidRPr="00686C2A">
        <w:t xml:space="preserve">) set out </w:t>
      </w:r>
      <w:r w:rsidRPr="00686C2A">
        <w:t>circumstance</w:t>
      </w:r>
      <w:r w:rsidR="00666C56" w:rsidRPr="00686C2A">
        <w:t>s</w:t>
      </w:r>
      <w:r w:rsidRPr="00686C2A">
        <w:t xml:space="preserve"> in which a member of a superannuation fund is to be taken to be a </w:t>
      </w:r>
      <w:r w:rsidRPr="00686C2A">
        <w:rPr>
          <w:b/>
          <w:i/>
        </w:rPr>
        <w:t>defined benefit member</w:t>
      </w:r>
      <w:r w:rsidRPr="00686C2A">
        <w:t xml:space="preserve"> for subsection</w:t>
      </w:r>
      <w:r w:rsidR="00686C2A" w:rsidRPr="00686C2A">
        <w:t> </w:t>
      </w:r>
      <w:r w:rsidRPr="00686C2A">
        <w:t>19(2CA) of the Act</w:t>
      </w:r>
      <w:r w:rsidR="00666C56" w:rsidRPr="00686C2A">
        <w:t>.</w:t>
      </w:r>
    </w:p>
    <w:p w:rsidR="00666C56" w:rsidRPr="00686C2A" w:rsidRDefault="00666C56" w:rsidP="00666C56">
      <w:pPr>
        <w:pStyle w:val="subsection"/>
      </w:pPr>
      <w:r w:rsidRPr="00686C2A">
        <w:tab/>
        <w:t>(2)</w:t>
      </w:r>
      <w:r w:rsidRPr="00686C2A">
        <w:tab/>
        <w:t>A circumstance is that the member:</w:t>
      </w:r>
    </w:p>
    <w:p w:rsidR="003721F5" w:rsidRPr="00686C2A" w:rsidRDefault="003721F5" w:rsidP="007D1A3D">
      <w:pPr>
        <w:pStyle w:val="paragraph"/>
      </w:pPr>
      <w:r w:rsidRPr="00686C2A">
        <w:tab/>
        <w:t>(a)</w:t>
      </w:r>
      <w:r w:rsidRPr="00686C2A">
        <w:tab/>
        <w:t xml:space="preserve">is a member of </w:t>
      </w:r>
      <w:r w:rsidR="00901F94" w:rsidRPr="00686C2A">
        <w:t>the</w:t>
      </w:r>
      <w:r w:rsidRPr="00686C2A">
        <w:t xml:space="preserve"> scheme established under the </w:t>
      </w:r>
      <w:r w:rsidRPr="00686C2A">
        <w:rPr>
          <w:i/>
        </w:rPr>
        <w:t xml:space="preserve">Military Superannuation and Benefits Act 1991 </w:t>
      </w:r>
      <w:r w:rsidR="00B675EF" w:rsidRPr="00686C2A">
        <w:t>(</w:t>
      </w:r>
      <w:r w:rsidR="00901F94" w:rsidRPr="00686C2A">
        <w:t>the</w:t>
      </w:r>
      <w:r w:rsidR="00B675EF" w:rsidRPr="00686C2A">
        <w:t xml:space="preserve"> </w:t>
      </w:r>
      <w:r w:rsidR="00B675EF" w:rsidRPr="00686C2A">
        <w:rPr>
          <w:b/>
          <w:i/>
        </w:rPr>
        <w:t>military superannuation scheme</w:t>
      </w:r>
      <w:r w:rsidR="00B675EF" w:rsidRPr="00686C2A">
        <w:t>)</w:t>
      </w:r>
      <w:r w:rsidR="00901F94" w:rsidRPr="00686C2A">
        <w:t>;</w:t>
      </w:r>
      <w:r w:rsidR="007D1A3D" w:rsidRPr="00686C2A">
        <w:t xml:space="preserve"> </w:t>
      </w:r>
      <w:r w:rsidR="00666C56" w:rsidRPr="00686C2A">
        <w:t>or</w:t>
      </w:r>
    </w:p>
    <w:p w:rsidR="00666C56" w:rsidRPr="00686C2A" w:rsidRDefault="00666C56" w:rsidP="00666C56">
      <w:pPr>
        <w:pStyle w:val="paragraph"/>
      </w:pPr>
      <w:r w:rsidRPr="00686C2A">
        <w:tab/>
        <w:t>(b)</w:t>
      </w:r>
      <w:r w:rsidRPr="00686C2A">
        <w:tab/>
        <w:t xml:space="preserve">holds an interest, as a </w:t>
      </w:r>
      <w:r w:rsidRPr="00686C2A">
        <w:rPr>
          <w:b/>
          <w:i/>
        </w:rPr>
        <w:t>non</w:t>
      </w:r>
      <w:r w:rsidR="00686C2A">
        <w:rPr>
          <w:b/>
          <w:i/>
        </w:rPr>
        <w:noBreakHyphen/>
      </w:r>
      <w:r w:rsidRPr="00686C2A">
        <w:rPr>
          <w:b/>
          <w:i/>
        </w:rPr>
        <w:t>member spouse</w:t>
      </w:r>
      <w:r w:rsidRPr="00686C2A">
        <w:t xml:space="preserve"> within the meaning of section</w:t>
      </w:r>
      <w:r w:rsidR="00686C2A" w:rsidRPr="00686C2A">
        <w:t> </w:t>
      </w:r>
      <w:r w:rsidRPr="00686C2A">
        <w:t xml:space="preserve">90MD of the </w:t>
      </w:r>
      <w:r w:rsidRPr="00686C2A">
        <w:rPr>
          <w:i/>
        </w:rPr>
        <w:t>Family Law Act 1975</w:t>
      </w:r>
      <w:r w:rsidRPr="00686C2A">
        <w:t xml:space="preserve">, in </w:t>
      </w:r>
      <w:r w:rsidR="007D1A3D" w:rsidRPr="00686C2A">
        <w:t>the</w:t>
      </w:r>
      <w:r w:rsidR="00B675EF" w:rsidRPr="00686C2A">
        <w:t xml:space="preserve"> military </w:t>
      </w:r>
      <w:r w:rsidRPr="00686C2A">
        <w:t>superannuation scheme; or</w:t>
      </w:r>
    </w:p>
    <w:p w:rsidR="00666C56" w:rsidRPr="00686C2A" w:rsidRDefault="00666C56" w:rsidP="00666C56">
      <w:pPr>
        <w:pStyle w:val="paragraph"/>
      </w:pPr>
      <w:r w:rsidRPr="00686C2A">
        <w:tab/>
      </w:r>
      <w:r w:rsidR="0084304E" w:rsidRPr="00686C2A">
        <w:t>(</w:t>
      </w:r>
      <w:r w:rsidR="007D1A3D" w:rsidRPr="00686C2A">
        <w:t>c</w:t>
      </w:r>
      <w:r w:rsidR="0084304E" w:rsidRPr="00686C2A">
        <w:t>)</w:t>
      </w:r>
      <w:r w:rsidR="0084304E" w:rsidRPr="00686C2A">
        <w:tab/>
      </w:r>
      <w:r w:rsidR="00BF16FD" w:rsidRPr="00686C2A">
        <w:t xml:space="preserve">has a </w:t>
      </w:r>
      <w:r w:rsidRPr="00686C2A">
        <w:t xml:space="preserve">preserved benefit in </w:t>
      </w:r>
      <w:r w:rsidR="007D1A3D" w:rsidRPr="00686C2A">
        <w:t>the</w:t>
      </w:r>
      <w:r w:rsidRPr="00686C2A">
        <w:t xml:space="preserve"> </w:t>
      </w:r>
      <w:r w:rsidR="00BF16FD" w:rsidRPr="00686C2A">
        <w:t>military superannuation scheme</w:t>
      </w:r>
      <w:r w:rsidR="0084304E" w:rsidRPr="00686C2A">
        <w:t>; or</w:t>
      </w:r>
    </w:p>
    <w:p w:rsidR="0084304E" w:rsidRPr="00686C2A" w:rsidRDefault="0084304E" w:rsidP="0084304E">
      <w:pPr>
        <w:pStyle w:val="paragraph"/>
      </w:pPr>
      <w:r w:rsidRPr="00686C2A">
        <w:tab/>
        <w:t>(</w:t>
      </w:r>
      <w:r w:rsidR="007D1A3D" w:rsidRPr="00686C2A">
        <w:t>d</w:t>
      </w:r>
      <w:r w:rsidRPr="00686C2A">
        <w:t>)</w:t>
      </w:r>
      <w:r w:rsidRPr="00686C2A">
        <w:tab/>
      </w:r>
      <w:r w:rsidR="00BF16FD" w:rsidRPr="00686C2A">
        <w:t>has</w:t>
      </w:r>
      <w:r w:rsidR="00B675EF" w:rsidRPr="00686C2A">
        <w:t xml:space="preserve"> an </w:t>
      </w:r>
      <w:r w:rsidRPr="00686C2A">
        <w:t>ancillary account</w:t>
      </w:r>
      <w:r w:rsidR="00B675EF" w:rsidRPr="00686C2A">
        <w:t xml:space="preserve"> </w:t>
      </w:r>
      <w:r w:rsidR="00BF16FD" w:rsidRPr="00686C2A">
        <w:t xml:space="preserve">in </w:t>
      </w:r>
      <w:r w:rsidR="007D1A3D" w:rsidRPr="00686C2A">
        <w:t>the</w:t>
      </w:r>
      <w:r w:rsidR="00BF16FD" w:rsidRPr="00686C2A">
        <w:t xml:space="preserve"> military superannuation scheme</w:t>
      </w:r>
      <w:r w:rsidR="00591926" w:rsidRPr="00686C2A">
        <w:t>; or</w:t>
      </w:r>
    </w:p>
    <w:p w:rsidR="00591926" w:rsidRPr="00686C2A" w:rsidRDefault="00591926" w:rsidP="00591926">
      <w:pPr>
        <w:pStyle w:val="paragraph"/>
      </w:pPr>
      <w:r w:rsidRPr="00686C2A">
        <w:tab/>
        <w:t>(e)</w:t>
      </w:r>
      <w:r w:rsidRPr="00686C2A">
        <w:tab/>
        <w:t>both:</w:t>
      </w:r>
    </w:p>
    <w:p w:rsidR="00591926" w:rsidRPr="00686C2A" w:rsidRDefault="00591926" w:rsidP="00591926">
      <w:pPr>
        <w:pStyle w:val="paragraphsub"/>
      </w:pPr>
      <w:r w:rsidRPr="00686C2A">
        <w:tab/>
        <w:t>(</w:t>
      </w:r>
      <w:proofErr w:type="spellStart"/>
      <w:r w:rsidRPr="00686C2A">
        <w:t>i</w:t>
      </w:r>
      <w:proofErr w:type="spellEnd"/>
      <w:r w:rsidRPr="00686C2A">
        <w:t>)</w:t>
      </w:r>
      <w:r w:rsidRPr="00686C2A">
        <w:tab/>
        <w:t xml:space="preserve">is a member of the scheme established under the </w:t>
      </w:r>
      <w:r w:rsidRPr="00686C2A">
        <w:rPr>
          <w:i/>
        </w:rPr>
        <w:t>Defence Force Retirement and Death Benefits Act 1973</w:t>
      </w:r>
      <w:r w:rsidRPr="00686C2A">
        <w:t>; and</w:t>
      </w:r>
    </w:p>
    <w:p w:rsidR="00591926" w:rsidRPr="00686C2A" w:rsidRDefault="00591926" w:rsidP="00591926">
      <w:pPr>
        <w:pStyle w:val="paragraphsub"/>
      </w:pPr>
      <w:r w:rsidRPr="00686C2A">
        <w:tab/>
        <w:t>(ii)</w:t>
      </w:r>
      <w:r w:rsidRPr="00686C2A">
        <w:tab/>
        <w:t>has an ancillary account in the military superannuation scheme.</w:t>
      </w:r>
    </w:p>
    <w:p w:rsidR="0084304E" w:rsidRPr="00686C2A" w:rsidRDefault="0084304E" w:rsidP="0084304E">
      <w:pPr>
        <w:pStyle w:val="subsection"/>
      </w:pPr>
      <w:r w:rsidRPr="00686C2A">
        <w:tab/>
        <w:t>(3)</w:t>
      </w:r>
      <w:r w:rsidRPr="00686C2A">
        <w:tab/>
        <w:t xml:space="preserve">A circumstance is that </w:t>
      </w:r>
      <w:r w:rsidR="003721F5" w:rsidRPr="00686C2A">
        <w:t>the member</w:t>
      </w:r>
      <w:r w:rsidRPr="00686C2A">
        <w:t>:</w:t>
      </w:r>
    </w:p>
    <w:p w:rsidR="003721F5" w:rsidRPr="00686C2A" w:rsidRDefault="0084304E" w:rsidP="0084304E">
      <w:pPr>
        <w:pStyle w:val="paragraph"/>
      </w:pPr>
      <w:r w:rsidRPr="00686C2A">
        <w:tab/>
        <w:t>(a)</w:t>
      </w:r>
      <w:r w:rsidRPr="00686C2A">
        <w:tab/>
      </w:r>
      <w:r w:rsidR="003721F5" w:rsidRPr="00686C2A">
        <w:t xml:space="preserve">holds an interest, as a </w:t>
      </w:r>
      <w:r w:rsidR="003721F5" w:rsidRPr="00686C2A">
        <w:rPr>
          <w:b/>
          <w:i/>
        </w:rPr>
        <w:t>non</w:t>
      </w:r>
      <w:r w:rsidR="00686C2A">
        <w:rPr>
          <w:b/>
          <w:i/>
        </w:rPr>
        <w:noBreakHyphen/>
      </w:r>
      <w:r w:rsidR="003721F5" w:rsidRPr="00686C2A">
        <w:rPr>
          <w:b/>
          <w:i/>
        </w:rPr>
        <w:t>member spouse</w:t>
      </w:r>
      <w:r w:rsidR="003721F5" w:rsidRPr="00686C2A">
        <w:t xml:space="preserve"> within the meaning of section</w:t>
      </w:r>
      <w:r w:rsidR="00686C2A" w:rsidRPr="00686C2A">
        <w:t> </w:t>
      </w:r>
      <w:r w:rsidR="003721F5" w:rsidRPr="00686C2A">
        <w:t xml:space="preserve">90MD of the </w:t>
      </w:r>
      <w:r w:rsidR="003721F5" w:rsidRPr="00686C2A">
        <w:rPr>
          <w:i/>
        </w:rPr>
        <w:t>Family Law Act 1975</w:t>
      </w:r>
      <w:r w:rsidR="003721F5" w:rsidRPr="00686C2A">
        <w:t xml:space="preserve">, in a </w:t>
      </w:r>
      <w:r w:rsidR="003721F5" w:rsidRPr="00686C2A">
        <w:lastRenderedPageBreak/>
        <w:t xml:space="preserve">superannuation scheme established under the </w:t>
      </w:r>
      <w:r w:rsidR="003721F5" w:rsidRPr="00686C2A">
        <w:rPr>
          <w:i/>
        </w:rPr>
        <w:t>Superannuation Act 1976</w:t>
      </w:r>
      <w:r w:rsidR="003721F5" w:rsidRPr="00686C2A">
        <w:t xml:space="preserve"> or the </w:t>
      </w:r>
      <w:r w:rsidR="003721F5" w:rsidRPr="00686C2A">
        <w:rPr>
          <w:i/>
        </w:rPr>
        <w:t>Superannuation Act 1990</w:t>
      </w:r>
      <w:r w:rsidR="003721F5" w:rsidRPr="00686C2A">
        <w:t>;</w:t>
      </w:r>
      <w:r w:rsidRPr="00686C2A">
        <w:t xml:space="preserve"> or</w:t>
      </w:r>
    </w:p>
    <w:p w:rsidR="003721F5" w:rsidRPr="00686C2A" w:rsidRDefault="000F0195" w:rsidP="003721F5">
      <w:pPr>
        <w:pStyle w:val="paragraph"/>
      </w:pPr>
      <w:r w:rsidRPr="00686C2A">
        <w:tab/>
        <w:t>(b</w:t>
      </w:r>
      <w:r w:rsidR="003721F5" w:rsidRPr="00686C2A">
        <w:t>)</w:t>
      </w:r>
      <w:r w:rsidR="003721F5" w:rsidRPr="00686C2A">
        <w:tab/>
      </w:r>
      <w:r w:rsidR="0084304E" w:rsidRPr="00686C2A">
        <w:t>h</w:t>
      </w:r>
      <w:r w:rsidR="003721F5" w:rsidRPr="00686C2A">
        <w:t>as made an election under section</w:t>
      </w:r>
      <w:r w:rsidR="00686C2A" w:rsidRPr="00686C2A">
        <w:t> </w:t>
      </w:r>
      <w:r w:rsidR="003721F5" w:rsidRPr="00686C2A">
        <w:t xml:space="preserve">137 of the </w:t>
      </w:r>
      <w:r w:rsidR="003721F5" w:rsidRPr="00686C2A">
        <w:rPr>
          <w:i/>
        </w:rPr>
        <w:t>Superannuation Act 1976</w:t>
      </w:r>
      <w:r w:rsidR="003721F5" w:rsidRPr="00686C2A">
        <w:t>;</w:t>
      </w:r>
      <w:r w:rsidR="0084304E" w:rsidRPr="00686C2A">
        <w:t xml:space="preserve"> or</w:t>
      </w:r>
    </w:p>
    <w:p w:rsidR="00642CB8" w:rsidRPr="00686C2A" w:rsidRDefault="000F0195" w:rsidP="003721F5">
      <w:pPr>
        <w:pStyle w:val="paragraph"/>
      </w:pPr>
      <w:r w:rsidRPr="00686C2A">
        <w:tab/>
        <w:t>(c</w:t>
      </w:r>
      <w:r w:rsidR="003721F5" w:rsidRPr="00686C2A">
        <w:t>)</w:t>
      </w:r>
      <w:r w:rsidR="003721F5" w:rsidRPr="00686C2A">
        <w:tab/>
        <w:t xml:space="preserve">is a </w:t>
      </w:r>
      <w:r w:rsidR="003721F5" w:rsidRPr="00686C2A">
        <w:rPr>
          <w:b/>
          <w:i/>
        </w:rPr>
        <w:t>preserved benefit member</w:t>
      </w:r>
      <w:r w:rsidR="003721F5" w:rsidRPr="00686C2A">
        <w:t xml:space="preserve"> within the meaning of the </w:t>
      </w:r>
      <w:r w:rsidR="003721F5" w:rsidRPr="00686C2A">
        <w:rPr>
          <w:i/>
        </w:rPr>
        <w:t>Public Sector Superannuation Scheme Trust Deed</w:t>
      </w:r>
      <w:r w:rsidR="003721F5" w:rsidRPr="00686C2A">
        <w:t>, as in force from time to time</w:t>
      </w:r>
      <w:r w:rsidR="00642CB8" w:rsidRPr="00686C2A">
        <w:t>.</w:t>
      </w:r>
    </w:p>
    <w:p w:rsidR="003721F5" w:rsidRPr="00686C2A" w:rsidRDefault="003721F5" w:rsidP="003721F5">
      <w:pPr>
        <w:pStyle w:val="ActHead9"/>
      </w:pPr>
      <w:bookmarkStart w:id="44" w:name="_Toc359591538"/>
      <w:r w:rsidRPr="00686C2A">
        <w:t>Superannuation Industry (Supervision) Regulations</w:t>
      </w:r>
      <w:r w:rsidR="00686C2A" w:rsidRPr="00686C2A">
        <w:t> </w:t>
      </w:r>
      <w:r w:rsidRPr="00686C2A">
        <w:t>1994</w:t>
      </w:r>
      <w:bookmarkEnd w:id="44"/>
    </w:p>
    <w:p w:rsidR="00A9575A" w:rsidRPr="00686C2A" w:rsidRDefault="0018263A" w:rsidP="00A9575A">
      <w:pPr>
        <w:pStyle w:val="ItemHead"/>
        <w:rPr>
          <w:rFonts w:cs="Arial"/>
        </w:rPr>
      </w:pPr>
      <w:r w:rsidRPr="00686C2A">
        <w:rPr>
          <w:rFonts w:cs="Arial"/>
          <w:noProof/>
        </w:rPr>
        <w:t>90</w:t>
      </w:r>
      <w:r w:rsidR="00A9575A" w:rsidRPr="00686C2A">
        <w:rPr>
          <w:rFonts w:cs="Arial"/>
        </w:rPr>
        <w:t xml:space="preserve">  </w:t>
      </w:r>
      <w:proofErr w:type="spellStart"/>
      <w:r w:rsidR="00A9575A" w:rsidRPr="00686C2A">
        <w:rPr>
          <w:rFonts w:cs="Arial"/>
        </w:rPr>
        <w:t>Subregulation</w:t>
      </w:r>
      <w:proofErr w:type="spellEnd"/>
      <w:r w:rsidR="00686C2A" w:rsidRPr="00686C2A">
        <w:rPr>
          <w:rFonts w:cs="Arial"/>
        </w:rPr>
        <w:t> </w:t>
      </w:r>
      <w:r w:rsidR="00A9575A" w:rsidRPr="00686C2A">
        <w:rPr>
          <w:rFonts w:cs="Arial"/>
        </w:rPr>
        <w:t>1.04(2)</w:t>
      </w:r>
    </w:p>
    <w:p w:rsidR="00A9575A" w:rsidRPr="00686C2A" w:rsidRDefault="00A9575A" w:rsidP="00A9575A">
      <w:pPr>
        <w:pStyle w:val="Item"/>
      </w:pPr>
      <w:r w:rsidRPr="00686C2A">
        <w:t xml:space="preserve">Repeal the </w:t>
      </w:r>
      <w:proofErr w:type="spellStart"/>
      <w:r w:rsidRPr="00686C2A">
        <w:t>subregulation</w:t>
      </w:r>
      <w:proofErr w:type="spellEnd"/>
      <w:r w:rsidRPr="00686C2A">
        <w:t>, including the subheading, substitute:</w:t>
      </w:r>
    </w:p>
    <w:p w:rsidR="00A9575A" w:rsidRPr="00686C2A" w:rsidRDefault="00A9575A" w:rsidP="00A9575A">
      <w:pPr>
        <w:pStyle w:val="SubsectionHead"/>
      </w:pPr>
      <w:r w:rsidRPr="00686C2A">
        <w:t>Defined benefit member</w:t>
      </w:r>
    </w:p>
    <w:p w:rsidR="00A9575A" w:rsidRPr="00686C2A" w:rsidRDefault="00A9575A" w:rsidP="00A9575A">
      <w:pPr>
        <w:pStyle w:val="subsection"/>
      </w:pPr>
      <w:r w:rsidRPr="00686C2A">
        <w:tab/>
        <w:t>(2)</w:t>
      </w:r>
      <w:r w:rsidRPr="00686C2A">
        <w:tab/>
        <w:t>For paragraph</w:t>
      </w:r>
      <w:r w:rsidR="00686C2A" w:rsidRPr="00686C2A">
        <w:t> </w:t>
      </w:r>
      <w:r w:rsidRPr="00686C2A">
        <w:t xml:space="preserve">10(1A)(b) of the Act, </w:t>
      </w:r>
      <w:proofErr w:type="spellStart"/>
      <w:r w:rsidRPr="00686C2A">
        <w:t>subregulations</w:t>
      </w:r>
      <w:proofErr w:type="spellEnd"/>
      <w:r w:rsidRPr="00686C2A">
        <w:t xml:space="preserve"> (3) and (3A) set out circumstances in which a member of a superannuation fund is to be taken to be a </w:t>
      </w:r>
      <w:r w:rsidRPr="00686C2A">
        <w:rPr>
          <w:b/>
          <w:i/>
        </w:rPr>
        <w:t>defined benefit member</w:t>
      </w:r>
      <w:r w:rsidRPr="00686C2A">
        <w:t xml:space="preserve"> for section</w:t>
      </w:r>
      <w:r w:rsidR="00686C2A" w:rsidRPr="00686C2A">
        <w:t> </w:t>
      </w:r>
      <w:r w:rsidRPr="00686C2A">
        <w:t>20B or Part</w:t>
      </w:r>
      <w:r w:rsidR="00686C2A" w:rsidRPr="00686C2A">
        <w:t> </w:t>
      </w:r>
      <w:r w:rsidRPr="00686C2A">
        <w:t>2C of the Act.</w:t>
      </w:r>
    </w:p>
    <w:p w:rsidR="00A9575A" w:rsidRPr="00686C2A" w:rsidRDefault="00A9575A" w:rsidP="00A9575A">
      <w:pPr>
        <w:pStyle w:val="subsection"/>
      </w:pPr>
      <w:r w:rsidRPr="00686C2A">
        <w:tab/>
        <w:t>(3)</w:t>
      </w:r>
      <w:r w:rsidRPr="00686C2A">
        <w:tab/>
        <w:t>A circumstance is that the member:</w:t>
      </w:r>
    </w:p>
    <w:p w:rsidR="00A9575A" w:rsidRPr="00686C2A" w:rsidRDefault="00A9575A" w:rsidP="00A9575A">
      <w:pPr>
        <w:pStyle w:val="paragraph"/>
      </w:pPr>
      <w:r w:rsidRPr="00686C2A">
        <w:tab/>
        <w:t>(a)</w:t>
      </w:r>
      <w:r w:rsidRPr="00686C2A">
        <w:tab/>
        <w:t xml:space="preserve">is a member of the scheme established under the </w:t>
      </w:r>
      <w:r w:rsidRPr="00686C2A">
        <w:rPr>
          <w:i/>
        </w:rPr>
        <w:t xml:space="preserve">Military Superannuation and Benefits Act 1991 </w:t>
      </w:r>
      <w:r w:rsidRPr="00686C2A">
        <w:t xml:space="preserve">(the </w:t>
      </w:r>
      <w:r w:rsidRPr="00686C2A">
        <w:rPr>
          <w:b/>
          <w:i/>
        </w:rPr>
        <w:t>military superannuation scheme</w:t>
      </w:r>
      <w:r w:rsidRPr="00686C2A">
        <w:t>); or</w:t>
      </w:r>
    </w:p>
    <w:p w:rsidR="00A9575A" w:rsidRPr="00686C2A" w:rsidRDefault="00A9575A" w:rsidP="00A9575A">
      <w:pPr>
        <w:pStyle w:val="paragraph"/>
      </w:pPr>
      <w:r w:rsidRPr="00686C2A">
        <w:tab/>
        <w:t>(b)</w:t>
      </w:r>
      <w:r w:rsidRPr="00686C2A">
        <w:tab/>
        <w:t xml:space="preserve">holds an interest, as a </w:t>
      </w:r>
      <w:r w:rsidRPr="00686C2A">
        <w:rPr>
          <w:b/>
          <w:i/>
        </w:rPr>
        <w:t>non</w:t>
      </w:r>
      <w:r w:rsidR="00686C2A">
        <w:rPr>
          <w:b/>
          <w:i/>
        </w:rPr>
        <w:noBreakHyphen/>
      </w:r>
      <w:r w:rsidRPr="00686C2A">
        <w:rPr>
          <w:b/>
          <w:i/>
        </w:rPr>
        <w:t>member spouse</w:t>
      </w:r>
      <w:r w:rsidRPr="00686C2A">
        <w:t xml:space="preserve"> within the meaning of section</w:t>
      </w:r>
      <w:r w:rsidR="00686C2A" w:rsidRPr="00686C2A">
        <w:t> </w:t>
      </w:r>
      <w:r w:rsidRPr="00686C2A">
        <w:t xml:space="preserve">90MD of the </w:t>
      </w:r>
      <w:r w:rsidRPr="00686C2A">
        <w:rPr>
          <w:i/>
        </w:rPr>
        <w:t>Family Law Act 1975</w:t>
      </w:r>
      <w:r w:rsidRPr="00686C2A">
        <w:t>, in the military superannuation scheme; or</w:t>
      </w:r>
    </w:p>
    <w:p w:rsidR="00A9575A" w:rsidRPr="00686C2A" w:rsidRDefault="00A9575A" w:rsidP="00A9575A">
      <w:pPr>
        <w:pStyle w:val="paragraph"/>
      </w:pPr>
      <w:r w:rsidRPr="00686C2A">
        <w:tab/>
        <w:t>(c)</w:t>
      </w:r>
      <w:r w:rsidRPr="00686C2A">
        <w:tab/>
        <w:t>has a preserved benefit in the military superannuation scheme; or</w:t>
      </w:r>
    </w:p>
    <w:p w:rsidR="00A9575A" w:rsidRPr="00686C2A" w:rsidRDefault="00A9575A" w:rsidP="00A9575A">
      <w:pPr>
        <w:pStyle w:val="paragraph"/>
      </w:pPr>
      <w:r w:rsidRPr="00686C2A">
        <w:tab/>
        <w:t>(d)</w:t>
      </w:r>
      <w:r w:rsidRPr="00686C2A">
        <w:tab/>
        <w:t>has an ancillary account in the military superannuation scheme; or</w:t>
      </w:r>
    </w:p>
    <w:p w:rsidR="00A9575A" w:rsidRPr="00686C2A" w:rsidRDefault="00A9575A" w:rsidP="00A9575A">
      <w:pPr>
        <w:pStyle w:val="paragraph"/>
      </w:pPr>
      <w:r w:rsidRPr="00686C2A">
        <w:tab/>
        <w:t>(e)</w:t>
      </w:r>
      <w:r w:rsidRPr="00686C2A">
        <w:tab/>
        <w:t>both:</w:t>
      </w:r>
    </w:p>
    <w:p w:rsidR="00A9575A" w:rsidRPr="00686C2A" w:rsidRDefault="00A9575A" w:rsidP="00A9575A">
      <w:pPr>
        <w:pStyle w:val="paragraphsub"/>
      </w:pPr>
      <w:r w:rsidRPr="00686C2A">
        <w:tab/>
        <w:t>(</w:t>
      </w:r>
      <w:proofErr w:type="spellStart"/>
      <w:r w:rsidRPr="00686C2A">
        <w:t>i</w:t>
      </w:r>
      <w:proofErr w:type="spellEnd"/>
      <w:r w:rsidRPr="00686C2A">
        <w:t>)</w:t>
      </w:r>
      <w:r w:rsidRPr="00686C2A">
        <w:tab/>
        <w:t xml:space="preserve">is a member of the scheme established under the </w:t>
      </w:r>
      <w:r w:rsidRPr="00686C2A">
        <w:rPr>
          <w:i/>
        </w:rPr>
        <w:t>Defence Force Retirement and Death Benefits Act 1973</w:t>
      </w:r>
      <w:r w:rsidRPr="00686C2A">
        <w:t>; and</w:t>
      </w:r>
    </w:p>
    <w:p w:rsidR="00A9575A" w:rsidRPr="00686C2A" w:rsidRDefault="00A9575A" w:rsidP="00A9575A">
      <w:pPr>
        <w:pStyle w:val="paragraphsub"/>
      </w:pPr>
      <w:r w:rsidRPr="00686C2A">
        <w:tab/>
        <w:t>(ii)</w:t>
      </w:r>
      <w:r w:rsidRPr="00686C2A">
        <w:tab/>
        <w:t>has an ancillary account in the military superannuation scheme.</w:t>
      </w:r>
    </w:p>
    <w:p w:rsidR="00A9575A" w:rsidRPr="00686C2A" w:rsidRDefault="00A9575A" w:rsidP="00A9575A">
      <w:pPr>
        <w:pStyle w:val="subsection"/>
      </w:pPr>
      <w:r w:rsidRPr="00686C2A">
        <w:tab/>
        <w:t>(3A)</w:t>
      </w:r>
      <w:r w:rsidRPr="00686C2A">
        <w:tab/>
        <w:t>A circumstance is that the member:</w:t>
      </w:r>
    </w:p>
    <w:p w:rsidR="00A9575A" w:rsidRPr="00686C2A" w:rsidRDefault="00A9575A" w:rsidP="00A9575A">
      <w:pPr>
        <w:pStyle w:val="paragraph"/>
      </w:pPr>
      <w:r w:rsidRPr="00686C2A">
        <w:lastRenderedPageBreak/>
        <w:tab/>
        <w:t>(a)</w:t>
      </w:r>
      <w:r w:rsidRPr="00686C2A">
        <w:tab/>
        <w:t xml:space="preserve">holds an interest, as a </w:t>
      </w:r>
      <w:r w:rsidRPr="00686C2A">
        <w:rPr>
          <w:b/>
          <w:i/>
        </w:rPr>
        <w:t>non</w:t>
      </w:r>
      <w:r w:rsidR="00686C2A">
        <w:rPr>
          <w:b/>
          <w:i/>
        </w:rPr>
        <w:noBreakHyphen/>
      </w:r>
      <w:r w:rsidRPr="00686C2A">
        <w:rPr>
          <w:b/>
          <w:i/>
        </w:rPr>
        <w:t>member spouse</w:t>
      </w:r>
      <w:r w:rsidRPr="00686C2A">
        <w:t xml:space="preserve"> within the meaning of section</w:t>
      </w:r>
      <w:r w:rsidR="00686C2A" w:rsidRPr="00686C2A">
        <w:t> </w:t>
      </w:r>
      <w:r w:rsidRPr="00686C2A">
        <w:t xml:space="preserve">90MD of the </w:t>
      </w:r>
      <w:r w:rsidRPr="00686C2A">
        <w:rPr>
          <w:i/>
        </w:rPr>
        <w:t>Family Law Act 1975</w:t>
      </w:r>
      <w:r w:rsidRPr="00686C2A">
        <w:t xml:space="preserve">, in a superannuation scheme established under the </w:t>
      </w:r>
      <w:r w:rsidRPr="00686C2A">
        <w:rPr>
          <w:i/>
        </w:rPr>
        <w:t>Superannuation Act 1976</w:t>
      </w:r>
      <w:r w:rsidRPr="00686C2A">
        <w:t xml:space="preserve"> or the </w:t>
      </w:r>
      <w:r w:rsidRPr="00686C2A">
        <w:rPr>
          <w:i/>
        </w:rPr>
        <w:t>Superannuation Act 1990</w:t>
      </w:r>
      <w:r w:rsidRPr="00686C2A">
        <w:t>; or</w:t>
      </w:r>
    </w:p>
    <w:p w:rsidR="00A9575A" w:rsidRPr="00686C2A" w:rsidRDefault="00A9575A" w:rsidP="00A9575A">
      <w:pPr>
        <w:pStyle w:val="paragraph"/>
      </w:pPr>
      <w:r w:rsidRPr="00686C2A">
        <w:tab/>
        <w:t>(b)</w:t>
      </w:r>
      <w:r w:rsidRPr="00686C2A">
        <w:tab/>
        <w:t>has made an election under section</w:t>
      </w:r>
      <w:r w:rsidR="00686C2A" w:rsidRPr="00686C2A">
        <w:t> </w:t>
      </w:r>
      <w:r w:rsidRPr="00686C2A">
        <w:t xml:space="preserve">137 of the </w:t>
      </w:r>
      <w:r w:rsidRPr="00686C2A">
        <w:rPr>
          <w:i/>
        </w:rPr>
        <w:t>Superannuation Act 1976</w:t>
      </w:r>
      <w:r w:rsidRPr="00686C2A">
        <w:t>; or</w:t>
      </w:r>
    </w:p>
    <w:p w:rsidR="00A9575A" w:rsidRPr="00686C2A" w:rsidRDefault="00A9575A" w:rsidP="00A9575A">
      <w:pPr>
        <w:pStyle w:val="paragraph"/>
      </w:pPr>
      <w:r w:rsidRPr="00686C2A">
        <w:tab/>
        <w:t>(c)</w:t>
      </w:r>
      <w:r w:rsidRPr="00686C2A">
        <w:tab/>
        <w:t xml:space="preserve">is a </w:t>
      </w:r>
      <w:r w:rsidRPr="00686C2A">
        <w:rPr>
          <w:b/>
          <w:i/>
        </w:rPr>
        <w:t>preserved benefit member</w:t>
      </w:r>
      <w:r w:rsidRPr="00686C2A">
        <w:t xml:space="preserve"> within the meaning of the </w:t>
      </w:r>
      <w:r w:rsidRPr="00686C2A">
        <w:rPr>
          <w:i/>
        </w:rPr>
        <w:t>Public Sector Superannuation Scheme Trust Deed</w:t>
      </w:r>
      <w:r w:rsidRPr="00686C2A">
        <w:t>, as in force from time to time; or</w:t>
      </w:r>
    </w:p>
    <w:p w:rsidR="00A9575A" w:rsidRPr="00686C2A" w:rsidRDefault="00A9575A" w:rsidP="00A9575A">
      <w:pPr>
        <w:pStyle w:val="paragraph"/>
      </w:pPr>
      <w:r w:rsidRPr="00686C2A">
        <w:tab/>
        <w:t>(d)</w:t>
      </w:r>
      <w:r w:rsidRPr="00686C2A">
        <w:tab/>
        <w:t xml:space="preserve">has either of the following in the scheme established under the </w:t>
      </w:r>
      <w:r w:rsidRPr="00686C2A">
        <w:rPr>
          <w:i/>
        </w:rPr>
        <w:t>Superannuation (State Public Sector) Act 1990</w:t>
      </w:r>
      <w:r w:rsidRPr="00686C2A">
        <w:t xml:space="preserve"> (Qld):</w:t>
      </w:r>
    </w:p>
    <w:p w:rsidR="00A9575A" w:rsidRPr="00686C2A" w:rsidRDefault="00A9575A" w:rsidP="00A9575A">
      <w:pPr>
        <w:pStyle w:val="paragraphsub"/>
      </w:pPr>
      <w:r w:rsidRPr="00686C2A">
        <w:tab/>
        <w:t>(</w:t>
      </w:r>
      <w:proofErr w:type="spellStart"/>
      <w:r w:rsidRPr="00686C2A">
        <w:t>i</w:t>
      </w:r>
      <w:proofErr w:type="spellEnd"/>
      <w:r w:rsidRPr="00686C2A">
        <w:t>)</w:t>
      </w:r>
      <w:r w:rsidRPr="00686C2A">
        <w:tab/>
        <w:t>a capital guaranteed interest in a voluntary preservation plan;</w:t>
      </w:r>
    </w:p>
    <w:p w:rsidR="00A9575A" w:rsidRPr="00686C2A" w:rsidRDefault="00A9575A" w:rsidP="00A9575A">
      <w:pPr>
        <w:pStyle w:val="paragraphsub"/>
      </w:pPr>
      <w:r w:rsidRPr="00686C2A">
        <w:tab/>
        <w:t>(ii)</w:t>
      </w:r>
      <w:r w:rsidRPr="00686C2A">
        <w:tab/>
        <w:t>a deferred retirement benefit amount; or</w:t>
      </w:r>
    </w:p>
    <w:p w:rsidR="00A9575A" w:rsidRPr="00686C2A" w:rsidRDefault="00A9575A" w:rsidP="00A9575A">
      <w:pPr>
        <w:pStyle w:val="paragraph"/>
      </w:pPr>
      <w:r w:rsidRPr="00686C2A">
        <w:tab/>
        <w:t>(e)</w:t>
      </w:r>
      <w:r w:rsidRPr="00686C2A">
        <w:tab/>
        <w:t>both:</w:t>
      </w:r>
    </w:p>
    <w:p w:rsidR="00A9575A" w:rsidRPr="00686C2A" w:rsidRDefault="00A9575A" w:rsidP="00A9575A">
      <w:pPr>
        <w:pStyle w:val="paragraphsub"/>
      </w:pPr>
      <w:r w:rsidRPr="00686C2A">
        <w:tab/>
        <w:t>(</w:t>
      </w:r>
      <w:proofErr w:type="spellStart"/>
      <w:r w:rsidRPr="00686C2A">
        <w:t>i</w:t>
      </w:r>
      <w:proofErr w:type="spellEnd"/>
      <w:r w:rsidRPr="00686C2A">
        <w:t>)</w:t>
      </w:r>
      <w:r w:rsidRPr="00686C2A">
        <w:tab/>
        <w:t xml:space="preserve">is covered by the </w:t>
      </w:r>
      <w:r w:rsidRPr="00686C2A">
        <w:rPr>
          <w:i/>
        </w:rPr>
        <w:t xml:space="preserve">Crown Employees (Fire and Rescue NSW </w:t>
      </w:r>
      <w:proofErr w:type="spellStart"/>
      <w:r w:rsidRPr="00686C2A">
        <w:rPr>
          <w:i/>
        </w:rPr>
        <w:t>Firefighting</w:t>
      </w:r>
      <w:proofErr w:type="spellEnd"/>
      <w:r w:rsidRPr="00686C2A">
        <w:rPr>
          <w:i/>
        </w:rPr>
        <w:t xml:space="preserve"> Staff</w:t>
      </w:r>
      <w:r w:rsidRPr="00686C2A">
        <w:t xml:space="preserve"> Death and Disability) Award 2012 (the </w:t>
      </w:r>
      <w:r w:rsidRPr="00686C2A">
        <w:rPr>
          <w:b/>
          <w:i/>
        </w:rPr>
        <w:t>2012 award</w:t>
      </w:r>
      <w:r w:rsidRPr="00686C2A">
        <w:t xml:space="preserve">) or by an award that replaces the 2012 award (a </w:t>
      </w:r>
      <w:r w:rsidRPr="00686C2A">
        <w:rPr>
          <w:b/>
          <w:i/>
        </w:rPr>
        <w:t>successor award</w:t>
      </w:r>
      <w:r w:rsidRPr="00686C2A">
        <w:t>); and</w:t>
      </w:r>
    </w:p>
    <w:p w:rsidR="00A9575A" w:rsidRPr="00686C2A" w:rsidRDefault="00A9575A" w:rsidP="00A9575A">
      <w:pPr>
        <w:pStyle w:val="paragraphsub"/>
      </w:pPr>
      <w:r w:rsidRPr="00686C2A">
        <w:tab/>
        <w:t>(ii)</w:t>
      </w:r>
      <w:r w:rsidRPr="00686C2A">
        <w:tab/>
        <w:t>would be entitled, on the occurrence of an event mentioned in any of the following clauses, to a pension or lump sum mentioned in that clause:</w:t>
      </w:r>
    </w:p>
    <w:p w:rsidR="00A9575A" w:rsidRPr="00686C2A" w:rsidRDefault="00A9575A" w:rsidP="00A9575A">
      <w:pPr>
        <w:pStyle w:val="paragraphsub-sub"/>
      </w:pPr>
      <w:r w:rsidRPr="00686C2A">
        <w:tab/>
        <w:t>(A)</w:t>
      </w:r>
      <w:r w:rsidRPr="00686C2A">
        <w:tab/>
        <w:t>clause</w:t>
      </w:r>
      <w:r w:rsidR="00686C2A" w:rsidRPr="00686C2A">
        <w:t> </w:t>
      </w:r>
      <w:r w:rsidRPr="00686C2A">
        <w:t>7 of the 2012 award, or an equivalent clause of a successor award;</w:t>
      </w:r>
    </w:p>
    <w:p w:rsidR="00A9575A" w:rsidRPr="00686C2A" w:rsidRDefault="00A9575A" w:rsidP="00A9575A">
      <w:pPr>
        <w:pStyle w:val="paragraphsub-sub"/>
      </w:pPr>
      <w:r w:rsidRPr="00686C2A">
        <w:tab/>
        <w:t>(B)</w:t>
      </w:r>
      <w:r w:rsidRPr="00686C2A">
        <w:tab/>
        <w:t>clause</w:t>
      </w:r>
      <w:r w:rsidR="00686C2A" w:rsidRPr="00686C2A">
        <w:t> </w:t>
      </w:r>
      <w:r w:rsidRPr="00686C2A">
        <w:t>8 of the 2012 award, or an equivalent clause of a successor award;</w:t>
      </w:r>
    </w:p>
    <w:p w:rsidR="00A9575A" w:rsidRPr="00686C2A" w:rsidRDefault="00A9575A" w:rsidP="00A9575A">
      <w:pPr>
        <w:pStyle w:val="paragraphsub-sub"/>
      </w:pPr>
      <w:r w:rsidRPr="00686C2A">
        <w:tab/>
        <w:t>(C)</w:t>
      </w:r>
      <w:r w:rsidRPr="00686C2A">
        <w:tab/>
        <w:t>clause</w:t>
      </w:r>
      <w:r w:rsidR="00686C2A" w:rsidRPr="00686C2A">
        <w:t> </w:t>
      </w:r>
      <w:r w:rsidRPr="00686C2A">
        <w:t>10 of the 2012 award, or an equivalent clause of a successor award;</w:t>
      </w:r>
    </w:p>
    <w:p w:rsidR="00A9575A" w:rsidRPr="00686C2A" w:rsidRDefault="00A9575A" w:rsidP="00A9575A">
      <w:pPr>
        <w:pStyle w:val="paragraphsub-sub"/>
      </w:pPr>
      <w:r w:rsidRPr="00686C2A">
        <w:tab/>
        <w:t>(D)</w:t>
      </w:r>
      <w:r w:rsidRPr="00686C2A">
        <w:tab/>
        <w:t>clause</w:t>
      </w:r>
      <w:r w:rsidR="00686C2A" w:rsidRPr="00686C2A">
        <w:t> </w:t>
      </w:r>
      <w:r w:rsidRPr="00686C2A">
        <w:t>11 of the 2012 award, or an equivalent clause of a successor award.</w:t>
      </w:r>
    </w:p>
    <w:p w:rsidR="003721F5" w:rsidRPr="00686C2A" w:rsidRDefault="0018263A" w:rsidP="003721F5">
      <w:pPr>
        <w:pStyle w:val="ItemHead"/>
        <w:rPr>
          <w:rStyle w:val="Hyperlink"/>
          <w:rFonts w:cs="Arial"/>
          <w:color w:val="auto"/>
          <w:u w:val="none"/>
        </w:rPr>
      </w:pPr>
      <w:r w:rsidRPr="00686C2A">
        <w:rPr>
          <w:rFonts w:cs="Arial"/>
          <w:noProof/>
        </w:rPr>
        <w:t>91</w:t>
      </w:r>
      <w:r w:rsidR="003721F5" w:rsidRPr="00686C2A">
        <w:rPr>
          <w:rFonts w:cs="Arial"/>
        </w:rPr>
        <w:t xml:space="preserve">  </w:t>
      </w:r>
      <w:r w:rsidR="003721F5" w:rsidRPr="00686C2A">
        <w:rPr>
          <w:rStyle w:val="Hyperlink"/>
          <w:rFonts w:cs="Arial"/>
          <w:color w:val="auto"/>
          <w:u w:val="none"/>
        </w:rPr>
        <w:t>At the end of Part</w:t>
      </w:r>
      <w:r w:rsidR="00686C2A" w:rsidRPr="00686C2A">
        <w:rPr>
          <w:rStyle w:val="Hyperlink"/>
          <w:rFonts w:cs="Arial"/>
          <w:color w:val="auto"/>
          <w:u w:val="none"/>
        </w:rPr>
        <w:t> </w:t>
      </w:r>
      <w:r w:rsidR="003721F5" w:rsidRPr="00686C2A">
        <w:rPr>
          <w:rStyle w:val="Hyperlink"/>
          <w:rFonts w:cs="Arial"/>
          <w:color w:val="auto"/>
          <w:u w:val="none"/>
        </w:rPr>
        <w:t>2</w:t>
      </w:r>
    </w:p>
    <w:p w:rsidR="003721F5" w:rsidRPr="00686C2A" w:rsidRDefault="003721F5" w:rsidP="003721F5">
      <w:pPr>
        <w:pStyle w:val="Item"/>
      </w:pPr>
      <w:r w:rsidRPr="00686C2A">
        <w:t>Add:</w:t>
      </w:r>
    </w:p>
    <w:p w:rsidR="00D77C51" w:rsidRPr="00686C2A" w:rsidRDefault="00D77C51" w:rsidP="00D77C51">
      <w:pPr>
        <w:pStyle w:val="ActHead3"/>
      </w:pPr>
      <w:bookmarkStart w:id="45" w:name="_Toc359591539"/>
      <w:r w:rsidRPr="00686C2A">
        <w:rPr>
          <w:rStyle w:val="CharDivNo"/>
        </w:rPr>
        <w:lastRenderedPageBreak/>
        <w:t>Division</w:t>
      </w:r>
      <w:r w:rsidR="00686C2A" w:rsidRPr="00686C2A">
        <w:rPr>
          <w:rStyle w:val="CharDivNo"/>
        </w:rPr>
        <w:t> </w:t>
      </w:r>
      <w:r w:rsidRPr="00686C2A">
        <w:rPr>
          <w:rStyle w:val="CharDivNo"/>
        </w:rPr>
        <w:t>2.6</w:t>
      </w:r>
      <w:r w:rsidRPr="00686C2A">
        <w:t>—</w:t>
      </w:r>
      <w:r w:rsidRPr="00686C2A">
        <w:rPr>
          <w:rStyle w:val="CharDivText"/>
        </w:rPr>
        <w:t>Remuneration of executive officers and individual trustees</w:t>
      </w:r>
      <w:bookmarkEnd w:id="45"/>
    </w:p>
    <w:p w:rsidR="00D77C51" w:rsidRPr="00686C2A" w:rsidRDefault="00D77C51" w:rsidP="00D77C51">
      <w:pPr>
        <w:pStyle w:val="ActHead5"/>
      </w:pPr>
      <w:bookmarkStart w:id="46" w:name="_Toc359591540"/>
      <w:r w:rsidRPr="00686C2A">
        <w:rPr>
          <w:rStyle w:val="CharSectno"/>
        </w:rPr>
        <w:t>2.37</w:t>
      </w:r>
      <w:r w:rsidRPr="00686C2A">
        <w:t xml:space="preserve">  Prescribed details</w:t>
      </w:r>
      <w:bookmarkEnd w:id="46"/>
    </w:p>
    <w:p w:rsidR="00C15D0A" w:rsidRPr="00686C2A" w:rsidRDefault="00D77C51" w:rsidP="00D77C51">
      <w:pPr>
        <w:pStyle w:val="subsection"/>
      </w:pPr>
      <w:r w:rsidRPr="00686C2A">
        <w:tab/>
        <w:t>(1)</w:t>
      </w:r>
      <w:r w:rsidRPr="00686C2A">
        <w:tab/>
        <w:t>For paragraph</w:t>
      </w:r>
      <w:r w:rsidR="00686C2A" w:rsidRPr="00686C2A">
        <w:t> </w:t>
      </w:r>
      <w:r w:rsidRPr="00686C2A">
        <w:t>29QB(1)(a) of the Act, details of the kind set out in the table are prescribed in relation to</w:t>
      </w:r>
      <w:r w:rsidR="00C15D0A" w:rsidRPr="00686C2A">
        <w:t>:</w:t>
      </w:r>
    </w:p>
    <w:p w:rsidR="00FD1F87" w:rsidRPr="00686C2A" w:rsidRDefault="00FD1F87" w:rsidP="00FD1F87">
      <w:pPr>
        <w:pStyle w:val="paragraph"/>
      </w:pPr>
      <w:r w:rsidRPr="00686C2A">
        <w:tab/>
        <w:t>(a)</w:t>
      </w:r>
      <w:r w:rsidRPr="00686C2A">
        <w:tab/>
        <w:t>a</w:t>
      </w:r>
      <w:r w:rsidR="00C15D0A" w:rsidRPr="00686C2A">
        <w:t xml:space="preserve">n </w:t>
      </w:r>
      <w:r w:rsidR="00D77C51" w:rsidRPr="00686C2A">
        <w:t xml:space="preserve">executive officer </w:t>
      </w:r>
      <w:r w:rsidR="00C15D0A" w:rsidRPr="00686C2A">
        <w:t xml:space="preserve">of </w:t>
      </w:r>
      <w:r w:rsidRPr="00686C2A">
        <w:t xml:space="preserve">the </w:t>
      </w:r>
      <w:proofErr w:type="spellStart"/>
      <w:r w:rsidR="00C15D0A" w:rsidRPr="00686C2A">
        <w:t>RSE</w:t>
      </w:r>
      <w:proofErr w:type="spellEnd"/>
      <w:r w:rsidR="00C15D0A" w:rsidRPr="00686C2A">
        <w:t xml:space="preserve"> licensee of a registrable superannuation entity</w:t>
      </w:r>
      <w:r w:rsidRPr="00686C2A">
        <w:t xml:space="preserve"> (a </w:t>
      </w:r>
      <w:r w:rsidRPr="00686C2A">
        <w:rPr>
          <w:b/>
          <w:i/>
        </w:rPr>
        <w:t xml:space="preserve">relevant </w:t>
      </w:r>
      <w:r w:rsidR="003A2C65" w:rsidRPr="00686C2A">
        <w:rPr>
          <w:b/>
          <w:i/>
        </w:rPr>
        <w:t xml:space="preserve">executive </w:t>
      </w:r>
      <w:r w:rsidRPr="00686C2A">
        <w:rPr>
          <w:b/>
          <w:i/>
        </w:rPr>
        <w:t>officer</w:t>
      </w:r>
      <w:r w:rsidRPr="00686C2A">
        <w:t>) or</w:t>
      </w:r>
    </w:p>
    <w:p w:rsidR="00D77C51" w:rsidRPr="00686C2A" w:rsidRDefault="00FD1F87" w:rsidP="00FD1F87">
      <w:pPr>
        <w:pStyle w:val="paragraph"/>
      </w:pPr>
      <w:r w:rsidRPr="00686C2A">
        <w:tab/>
        <w:t>(b)</w:t>
      </w:r>
      <w:r w:rsidRPr="00686C2A">
        <w:tab/>
        <w:t xml:space="preserve">an </w:t>
      </w:r>
      <w:r w:rsidR="00D77C51" w:rsidRPr="00686C2A">
        <w:t>individual trustee of a registrable superannuation entity</w:t>
      </w:r>
      <w:r w:rsidR="003A2C65" w:rsidRPr="00686C2A">
        <w:t xml:space="preserve"> (a </w:t>
      </w:r>
      <w:r w:rsidR="003A2C65" w:rsidRPr="00686C2A">
        <w:rPr>
          <w:b/>
          <w:i/>
        </w:rPr>
        <w:t>relevant individual trustee</w:t>
      </w:r>
      <w:r w:rsidR="003A2C65" w:rsidRPr="00686C2A">
        <w:t>)</w:t>
      </w:r>
      <w:r w:rsidR="00D77C51" w:rsidRPr="00686C2A">
        <w:t>.</w:t>
      </w:r>
    </w:p>
    <w:p w:rsidR="00D77C51" w:rsidRPr="00686C2A" w:rsidRDefault="00D77C51" w:rsidP="00D77C5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A415EF" w:rsidRPr="00686C2A" w:rsidTr="00197785">
        <w:trPr>
          <w:tblHeader/>
        </w:trPr>
        <w:tc>
          <w:tcPr>
            <w:tcW w:w="7086" w:type="dxa"/>
            <w:gridSpan w:val="3"/>
            <w:tcBorders>
              <w:top w:val="single" w:sz="12" w:space="0" w:color="auto"/>
              <w:bottom w:val="single" w:sz="6" w:space="0" w:color="auto"/>
            </w:tcBorders>
            <w:shd w:val="clear" w:color="auto" w:fill="auto"/>
          </w:tcPr>
          <w:p w:rsidR="00D77C51" w:rsidRPr="00686C2A" w:rsidRDefault="00D77C51" w:rsidP="00197785">
            <w:pPr>
              <w:pStyle w:val="TableHeading"/>
            </w:pPr>
            <w:r w:rsidRPr="00686C2A">
              <w:t>Prescribed remuneration details</w:t>
            </w:r>
          </w:p>
        </w:tc>
      </w:tr>
      <w:tr w:rsidR="00A415EF" w:rsidRPr="00686C2A" w:rsidTr="00197785">
        <w:trPr>
          <w:tblHeader/>
        </w:trPr>
        <w:tc>
          <w:tcPr>
            <w:tcW w:w="714" w:type="dxa"/>
            <w:tcBorders>
              <w:top w:val="single" w:sz="6" w:space="0" w:color="auto"/>
              <w:bottom w:val="single" w:sz="12" w:space="0" w:color="auto"/>
            </w:tcBorders>
            <w:shd w:val="clear" w:color="auto" w:fill="auto"/>
          </w:tcPr>
          <w:p w:rsidR="00D77C51" w:rsidRPr="00686C2A" w:rsidRDefault="00D77C51" w:rsidP="00197785">
            <w:pPr>
              <w:pStyle w:val="TableHeading"/>
            </w:pPr>
            <w:r w:rsidRPr="00686C2A">
              <w:t>Item</w:t>
            </w:r>
          </w:p>
        </w:tc>
        <w:tc>
          <w:tcPr>
            <w:tcW w:w="3186" w:type="dxa"/>
            <w:tcBorders>
              <w:top w:val="single" w:sz="6" w:space="0" w:color="auto"/>
              <w:bottom w:val="single" w:sz="12" w:space="0" w:color="auto"/>
            </w:tcBorders>
            <w:shd w:val="clear" w:color="auto" w:fill="auto"/>
          </w:tcPr>
          <w:p w:rsidR="00D77C51" w:rsidRPr="00686C2A" w:rsidRDefault="00D77C51" w:rsidP="00197785">
            <w:pPr>
              <w:pStyle w:val="TableHeading"/>
            </w:pPr>
            <w:r w:rsidRPr="00686C2A">
              <w:t>Condition (if any)</w:t>
            </w:r>
          </w:p>
        </w:tc>
        <w:tc>
          <w:tcPr>
            <w:tcW w:w="3186" w:type="dxa"/>
            <w:tcBorders>
              <w:top w:val="single" w:sz="6" w:space="0" w:color="auto"/>
              <w:bottom w:val="single" w:sz="12" w:space="0" w:color="auto"/>
            </w:tcBorders>
            <w:shd w:val="clear" w:color="auto" w:fill="auto"/>
          </w:tcPr>
          <w:p w:rsidR="00D77C51" w:rsidRPr="00686C2A" w:rsidRDefault="00D77C51" w:rsidP="00197785">
            <w:pPr>
              <w:pStyle w:val="TableHeading"/>
            </w:pPr>
            <w:r w:rsidRPr="00686C2A">
              <w:t>Details</w:t>
            </w:r>
          </w:p>
        </w:tc>
      </w:tr>
      <w:tr w:rsidR="00A415EF" w:rsidRPr="00686C2A" w:rsidTr="00197785">
        <w:tc>
          <w:tcPr>
            <w:tcW w:w="7086" w:type="dxa"/>
            <w:gridSpan w:val="3"/>
            <w:tcBorders>
              <w:top w:val="single" w:sz="12" w:space="0" w:color="auto"/>
              <w:bottom w:val="single" w:sz="2" w:space="0" w:color="auto"/>
            </w:tcBorders>
            <w:shd w:val="clear" w:color="auto" w:fill="auto"/>
          </w:tcPr>
          <w:p w:rsidR="00D77C51" w:rsidRPr="00686C2A" w:rsidRDefault="00D77C51" w:rsidP="00197785">
            <w:pPr>
              <w:pStyle w:val="TableHeading"/>
              <w:rPr>
                <w:b w:val="0"/>
              </w:rPr>
            </w:pPr>
            <w:r w:rsidRPr="00686C2A">
              <w:rPr>
                <w:b w:val="0"/>
              </w:rPr>
              <w:t>General</w:t>
            </w:r>
          </w:p>
        </w:tc>
      </w:tr>
      <w:tr w:rsidR="00A415EF" w:rsidRPr="00686C2A" w:rsidTr="00197785">
        <w:tc>
          <w:tcPr>
            <w:tcW w:w="714" w:type="dxa"/>
            <w:tcBorders>
              <w:top w:val="single" w:sz="2" w:space="0" w:color="auto"/>
              <w:bottom w:val="single" w:sz="2" w:space="0" w:color="auto"/>
            </w:tcBorders>
            <w:shd w:val="clear" w:color="auto" w:fill="auto"/>
          </w:tcPr>
          <w:p w:rsidR="00D77C51" w:rsidRPr="00686C2A" w:rsidRDefault="00D77C51" w:rsidP="00197785">
            <w:pPr>
              <w:pStyle w:val="Tabletext"/>
            </w:pPr>
            <w:r w:rsidRPr="00686C2A">
              <w:t>1</w:t>
            </w:r>
          </w:p>
        </w:tc>
        <w:tc>
          <w:tcPr>
            <w:tcW w:w="3186" w:type="dxa"/>
            <w:tcBorders>
              <w:top w:val="single" w:sz="2" w:space="0" w:color="auto"/>
              <w:bottom w:val="single" w:sz="2" w:space="0" w:color="auto"/>
            </w:tcBorders>
            <w:shd w:val="clear" w:color="auto" w:fill="auto"/>
          </w:tcPr>
          <w:p w:rsidR="00D77C51" w:rsidRPr="00686C2A" w:rsidRDefault="00D77C51" w:rsidP="00197785">
            <w:pPr>
              <w:pStyle w:val="Tabletext"/>
            </w:pPr>
          </w:p>
        </w:tc>
        <w:tc>
          <w:tcPr>
            <w:tcW w:w="3186" w:type="dxa"/>
            <w:tcBorders>
              <w:top w:val="single" w:sz="2" w:space="0" w:color="auto"/>
              <w:bottom w:val="single" w:sz="2" w:space="0" w:color="auto"/>
            </w:tcBorders>
            <w:shd w:val="clear" w:color="auto" w:fill="auto"/>
          </w:tcPr>
          <w:p w:rsidR="00D77C51" w:rsidRPr="00686C2A" w:rsidRDefault="00D77C51" w:rsidP="003A2C65">
            <w:pPr>
              <w:pStyle w:val="Tabletext"/>
            </w:pPr>
            <w:r w:rsidRPr="00686C2A">
              <w:t>The name of the each person who is a</w:t>
            </w:r>
            <w:r w:rsidR="00FD1F87" w:rsidRPr="00686C2A">
              <w:t xml:space="preserve"> </w:t>
            </w:r>
            <w:r w:rsidR="009B3011" w:rsidRPr="00686C2A">
              <w:t>relevant executive officer</w:t>
            </w:r>
            <w:r w:rsidRPr="00686C2A">
              <w:t xml:space="preserve"> or </w:t>
            </w:r>
            <w:r w:rsidR="009B3011" w:rsidRPr="00686C2A">
              <w:t>relevant individual trustee</w:t>
            </w:r>
          </w:p>
        </w:tc>
      </w:tr>
      <w:tr w:rsidR="00A415EF" w:rsidRPr="00686C2A" w:rsidTr="00197785">
        <w:tc>
          <w:tcPr>
            <w:tcW w:w="714" w:type="dxa"/>
            <w:tcBorders>
              <w:top w:val="single" w:sz="2" w:space="0" w:color="auto"/>
            </w:tcBorders>
            <w:shd w:val="clear" w:color="auto" w:fill="auto"/>
          </w:tcPr>
          <w:p w:rsidR="00D77C51" w:rsidRPr="00686C2A" w:rsidRDefault="00D77C51" w:rsidP="00197785">
            <w:pPr>
              <w:pStyle w:val="Tabletext"/>
            </w:pPr>
            <w:r w:rsidRPr="00686C2A">
              <w:t>2</w:t>
            </w:r>
          </w:p>
        </w:tc>
        <w:tc>
          <w:tcPr>
            <w:tcW w:w="3186" w:type="dxa"/>
            <w:tcBorders>
              <w:top w:val="single" w:sz="2" w:space="0" w:color="auto"/>
            </w:tcBorders>
            <w:shd w:val="clear" w:color="auto" w:fill="auto"/>
          </w:tcPr>
          <w:p w:rsidR="00D77C51" w:rsidRPr="00686C2A" w:rsidRDefault="00D77C51" w:rsidP="00197785">
            <w:pPr>
              <w:pStyle w:val="Tabletext"/>
            </w:pPr>
            <w:r w:rsidRPr="00686C2A">
              <w:t>If a person:</w:t>
            </w:r>
          </w:p>
          <w:p w:rsidR="00D77C51" w:rsidRPr="00686C2A" w:rsidRDefault="00D77C51" w:rsidP="00197785">
            <w:pPr>
              <w:pStyle w:val="Tablea"/>
            </w:pPr>
            <w:r w:rsidRPr="00686C2A">
              <w:t xml:space="preserve">(a) began to hold a position as a </w:t>
            </w:r>
            <w:r w:rsidR="009B3011" w:rsidRPr="00686C2A">
              <w:t>relevant executive officer</w:t>
            </w:r>
            <w:r w:rsidRPr="00686C2A">
              <w:t xml:space="preserve"> or </w:t>
            </w:r>
            <w:r w:rsidR="009B3011" w:rsidRPr="00686C2A">
              <w:t>relevant individual trustee</w:t>
            </w:r>
            <w:r w:rsidRPr="00686C2A">
              <w:t xml:space="preserve"> during the current financial year; or</w:t>
            </w:r>
          </w:p>
          <w:p w:rsidR="00D77C51" w:rsidRPr="00686C2A" w:rsidRDefault="00D77C51" w:rsidP="00197785">
            <w:pPr>
              <w:pStyle w:val="Tablea"/>
            </w:pPr>
            <w:r w:rsidRPr="00686C2A">
              <w:t xml:space="preserve">(b) retired from a position as </w:t>
            </w:r>
            <w:r w:rsidR="00131146" w:rsidRPr="00686C2A">
              <w:t xml:space="preserve">a </w:t>
            </w:r>
            <w:r w:rsidR="009B3011" w:rsidRPr="00686C2A">
              <w:t>relevant executive officer</w:t>
            </w:r>
            <w:r w:rsidRPr="00686C2A">
              <w:t xml:space="preserve"> or </w:t>
            </w:r>
            <w:r w:rsidR="009B3011" w:rsidRPr="00686C2A">
              <w:t>relevant individual trustee</w:t>
            </w:r>
            <w:r w:rsidRPr="00686C2A">
              <w:t xml:space="preserve"> during the current financial year</w:t>
            </w:r>
          </w:p>
          <w:p w:rsidR="00D77C51" w:rsidRPr="00686C2A" w:rsidRDefault="00D77C51" w:rsidP="00197785">
            <w:pPr>
              <w:pStyle w:val="paragraph"/>
            </w:pPr>
          </w:p>
        </w:tc>
        <w:tc>
          <w:tcPr>
            <w:tcW w:w="3186" w:type="dxa"/>
            <w:tcBorders>
              <w:top w:val="single" w:sz="2" w:space="0" w:color="auto"/>
            </w:tcBorders>
            <w:shd w:val="clear" w:color="auto" w:fill="auto"/>
          </w:tcPr>
          <w:p w:rsidR="00D77C51" w:rsidRPr="00686C2A" w:rsidRDefault="00D77C51" w:rsidP="00197785">
            <w:pPr>
              <w:pStyle w:val="Tablea"/>
            </w:pPr>
            <w:r w:rsidRPr="00686C2A">
              <w:t>The date on which the person:</w:t>
            </w:r>
          </w:p>
          <w:p w:rsidR="00D77C51" w:rsidRPr="00686C2A" w:rsidRDefault="00D77C51" w:rsidP="00197785">
            <w:pPr>
              <w:pStyle w:val="Tablea"/>
            </w:pPr>
            <w:r w:rsidRPr="00686C2A">
              <w:t>(a) began holding the position; or</w:t>
            </w:r>
          </w:p>
          <w:p w:rsidR="00D77C51" w:rsidRPr="00686C2A" w:rsidRDefault="00D77C51" w:rsidP="003A2C65">
            <w:pPr>
              <w:pStyle w:val="Tablea"/>
            </w:pPr>
            <w:r w:rsidRPr="00686C2A">
              <w:t xml:space="preserve">(b) retired from the position </w:t>
            </w:r>
          </w:p>
        </w:tc>
      </w:tr>
      <w:tr w:rsidR="00A415EF" w:rsidRPr="00686C2A" w:rsidTr="00197785">
        <w:tc>
          <w:tcPr>
            <w:tcW w:w="714" w:type="dxa"/>
            <w:tcBorders>
              <w:bottom w:val="single" w:sz="4" w:space="0" w:color="auto"/>
            </w:tcBorders>
            <w:shd w:val="clear" w:color="auto" w:fill="auto"/>
          </w:tcPr>
          <w:p w:rsidR="00D77C51" w:rsidRPr="00686C2A" w:rsidRDefault="00D77C51" w:rsidP="00197785">
            <w:pPr>
              <w:pStyle w:val="Tabletext"/>
            </w:pPr>
            <w:r w:rsidRPr="00686C2A">
              <w:t>3</w:t>
            </w:r>
          </w:p>
        </w:tc>
        <w:tc>
          <w:tcPr>
            <w:tcW w:w="3186" w:type="dxa"/>
            <w:tcBorders>
              <w:bottom w:val="single" w:sz="4" w:space="0" w:color="auto"/>
            </w:tcBorders>
            <w:shd w:val="clear" w:color="auto" w:fill="auto"/>
          </w:tcPr>
          <w:p w:rsidR="00D77C51" w:rsidRPr="00686C2A" w:rsidRDefault="00D77C51" w:rsidP="00197785">
            <w:pPr>
              <w:pStyle w:val="Tabletext"/>
            </w:pPr>
            <w:r w:rsidRPr="00686C2A">
              <w:t>If the position of a person who is either of the following changes during the current financial year:</w:t>
            </w:r>
          </w:p>
          <w:p w:rsidR="00D77C51" w:rsidRPr="00686C2A" w:rsidRDefault="00D77C51" w:rsidP="00197785">
            <w:pPr>
              <w:pStyle w:val="Tablea"/>
            </w:pPr>
            <w:r w:rsidRPr="00686C2A">
              <w:t xml:space="preserve">(a) a </w:t>
            </w:r>
            <w:r w:rsidR="009B3011" w:rsidRPr="00686C2A">
              <w:t>relevant executive officer</w:t>
            </w:r>
            <w:r w:rsidR="003A2C65" w:rsidRPr="00686C2A">
              <w:t xml:space="preserve"> who is a</w:t>
            </w:r>
            <w:r w:rsidR="003A2C65" w:rsidRPr="00686C2A">
              <w:rPr>
                <w:i/>
              </w:rPr>
              <w:t xml:space="preserve"> </w:t>
            </w:r>
            <w:r w:rsidRPr="00686C2A">
              <w:t>chief executive officer or director;</w:t>
            </w:r>
          </w:p>
          <w:p w:rsidR="00D77C51" w:rsidRPr="00686C2A" w:rsidRDefault="00D77C51" w:rsidP="00197785">
            <w:pPr>
              <w:pStyle w:val="Tablea"/>
            </w:pPr>
            <w:r w:rsidRPr="00686C2A">
              <w:t xml:space="preserve">(b) a </w:t>
            </w:r>
            <w:r w:rsidR="009B3011" w:rsidRPr="00686C2A">
              <w:t>relevant individual trustee</w:t>
            </w:r>
          </w:p>
          <w:p w:rsidR="00D77C51" w:rsidRPr="00686C2A" w:rsidRDefault="00D77C51" w:rsidP="00197785">
            <w:pPr>
              <w:pStyle w:val="paragraph"/>
              <w:rPr>
                <w:strike/>
              </w:rPr>
            </w:pPr>
          </w:p>
        </w:tc>
        <w:tc>
          <w:tcPr>
            <w:tcW w:w="3186" w:type="dxa"/>
            <w:tcBorders>
              <w:bottom w:val="single" w:sz="4" w:space="0" w:color="auto"/>
            </w:tcBorders>
            <w:shd w:val="clear" w:color="auto" w:fill="auto"/>
          </w:tcPr>
          <w:p w:rsidR="00D77C51" w:rsidRPr="00686C2A" w:rsidRDefault="00D77C51" w:rsidP="00197785">
            <w:pPr>
              <w:pStyle w:val="Tablea"/>
            </w:pPr>
            <w:r w:rsidRPr="00686C2A">
              <w:t>(a) The person</w:t>
            </w:r>
            <w:r w:rsidR="00A16431" w:rsidRPr="00686C2A">
              <w:t>’</w:t>
            </w:r>
            <w:r w:rsidRPr="00686C2A">
              <w:t>s name and position; and</w:t>
            </w:r>
          </w:p>
          <w:p w:rsidR="00D77C51" w:rsidRPr="00686C2A" w:rsidRDefault="00D77C51" w:rsidP="00197785">
            <w:pPr>
              <w:pStyle w:val="Tablea"/>
            </w:pPr>
            <w:r w:rsidRPr="00686C2A">
              <w:t>(b) when the change occurred</w:t>
            </w:r>
          </w:p>
        </w:tc>
      </w:tr>
      <w:tr w:rsidR="00A415EF" w:rsidRPr="00686C2A" w:rsidTr="00197785">
        <w:tc>
          <w:tcPr>
            <w:tcW w:w="714" w:type="dxa"/>
            <w:tcBorders>
              <w:bottom w:val="single" w:sz="2" w:space="0" w:color="auto"/>
            </w:tcBorders>
            <w:shd w:val="clear" w:color="auto" w:fill="auto"/>
          </w:tcPr>
          <w:p w:rsidR="00D77C51" w:rsidRPr="00686C2A" w:rsidRDefault="00D77C51" w:rsidP="00197785">
            <w:pPr>
              <w:pStyle w:val="Tabletext"/>
            </w:pPr>
            <w:r w:rsidRPr="00686C2A">
              <w:t>4</w:t>
            </w:r>
          </w:p>
        </w:tc>
        <w:tc>
          <w:tcPr>
            <w:tcW w:w="3186" w:type="dxa"/>
            <w:tcBorders>
              <w:bottom w:val="single" w:sz="2" w:space="0" w:color="auto"/>
            </w:tcBorders>
            <w:shd w:val="clear" w:color="auto" w:fill="auto"/>
          </w:tcPr>
          <w:p w:rsidR="00D77C51" w:rsidRPr="00686C2A" w:rsidRDefault="00D77C51" w:rsidP="00197785">
            <w:pPr>
              <w:pStyle w:val="Tabletext"/>
            </w:pPr>
            <w:r w:rsidRPr="00686C2A">
              <w:t xml:space="preserve">If </w:t>
            </w:r>
            <w:r w:rsidR="00131146" w:rsidRPr="00686C2A">
              <w:t xml:space="preserve">a </w:t>
            </w:r>
            <w:r w:rsidR="009B3011" w:rsidRPr="00686C2A">
              <w:t>relevant executive officer</w:t>
            </w:r>
            <w:r w:rsidRPr="00686C2A">
              <w:t xml:space="preserve"> who is not mentioned in item</w:t>
            </w:r>
            <w:r w:rsidR="00686C2A" w:rsidRPr="00686C2A">
              <w:t> </w:t>
            </w:r>
            <w:r w:rsidRPr="00686C2A">
              <w:t xml:space="preserve">3 has retired </w:t>
            </w:r>
            <w:r w:rsidRPr="00686C2A">
              <w:lastRenderedPageBreak/>
              <w:t>during the current financial year</w:t>
            </w:r>
          </w:p>
        </w:tc>
        <w:tc>
          <w:tcPr>
            <w:tcW w:w="3186" w:type="dxa"/>
            <w:tcBorders>
              <w:bottom w:val="single" w:sz="2" w:space="0" w:color="auto"/>
            </w:tcBorders>
            <w:shd w:val="clear" w:color="auto" w:fill="auto"/>
          </w:tcPr>
          <w:p w:rsidR="00D77C51" w:rsidRPr="00686C2A" w:rsidRDefault="00D77C51" w:rsidP="00197785">
            <w:pPr>
              <w:pStyle w:val="Tablea"/>
            </w:pPr>
            <w:r w:rsidRPr="00686C2A">
              <w:lastRenderedPageBreak/>
              <w:t xml:space="preserve">(a) The </w:t>
            </w:r>
            <w:r w:rsidR="009B3011" w:rsidRPr="00686C2A">
              <w:t>relevant executive officer</w:t>
            </w:r>
            <w:r w:rsidR="00A16431" w:rsidRPr="00686C2A">
              <w:t>’</w:t>
            </w:r>
            <w:r w:rsidRPr="00686C2A">
              <w:t>s name and position; and</w:t>
            </w:r>
          </w:p>
          <w:p w:rsidR="00D77C51" w:rsidRPr="00686C2A" w:rsidRDefault="00D77C51" w:rsidP="00197785">
            <w:pPr>
              <w:pStyle w:val="Tablea"/>
            </w:pPr>
            <w:r w:rsidRPr="00686C2A">
              <w:lastRenderedPageBreak/>
              <w:t>(b) when the retirement took effect</w:t>
            </w:r>
          </w:p>
        </w:tc>
      </w:tr>
      <w:tr w:rsidR="00A415EF" w:rsidRPr="00686C2A" w:rsidTr="00197785">
        <w:tc>
          <w:tcPr>
            <w:tcW w:w="7086" w:type="dxa"/>
            <w:gridSpan w:val="3"/>
            <w:tcBorders>
              <w:top w:val="single" w:sz="2" w:space="0" w:color="auto"/>
              <w:bottom w:val="single" w:sz="2" w:space="0" w:color="auto"/>
            </w:tcBorders>
            <w:shd w:val="clear" w:color="auto" w:fill="auto"/>
          </w:tcPr>
          <w:p w:rsidR="00D77C51" w:rsidRPr="00686C2A" w:rsidRDefault="00D77C51" w:rsidP="00197785">
            <w:pPr>
              <w:pStyle w:val="TableHeading"/>
              <w:rPr>
                <w:b w:val="0"/>
              </w:rPr>
            </w:pPr>
            <w:r w:rsidRPr="00686C2A">
              <w:rPr>
                <w:b w:val="0"/>
              </w:rPr>
              <w:lastRenderedPageBreak/>
              <w:t>Payments and benefits</w:t>
            </w:r>
          </w:p>
        </w:tc>
      </w:tr>
      <w:tr w:rsidR="00A415EF" w:rsidRPr="00686C2A" w:rsidTr="00197785">
        <w:tc>
          <w:tcPr>
            <w:tcW w:w="714" w:type="dxa"/>
            <w:tcBorders>
              <w:top w:val="single" w:sz="2" w:space="0" w:color="auto"/>
              <w:bottom w:val="single" w:sz="4" w:space="0" w:color="auto"/>
            </w:tcBorders>
            <w:shd w:val="clear" w:color="auto" w:fill="auto"/>
          </w:tcPr>
          <w:p w:rsidR="00D77C51" w:rsidRPr="00686C2A" w:rsidRDefault="00D77C51" w:rsidP="00197785">
            <w:pPr>
              <w:pStyle w:val="Tabletext"/>
            </w:pPr>
            <w:r w:rsidRPr="00686C2A">
              <w:t>5</w:t>
            </w:r>
          </w:p>
        </w:tc>
        <w:tc>
          <w:tcPr>
            <w:tcW w:w="3186" w:type="dxa"/>
            <w:tcBorders>
              <w:top w:val="single" w:sz="2" w:space="0" w:color="auto"/>
              <w:bottom w:val="single" w:sz="4" w:space="0" w:color="auto"/>
            </w:tcBorders>
            <w:shd w:val="clear" w:color="auto" w:fill="auto"/>
          </w:tcPr>
          <w:p w:rsidR="00D77C51" w:rsidRPr="00686C2A" w:rsidRDefault="00D77C51" w:rsidP="00197785">
            <w:pPr>
              <w:pStyle w:val="Tabletext"/>
            </w:pPr>
          </w:p>
        </w:tc>
        <w:tc>
          <w:tcPr>
            <w:tcW w:w="3186" w:type="dxa"/>
            <w:tcBorders>
              <w:top w:val="single" w:sz="2" w:space="0" w:color="auto"/>
              <w:bottom w:val="single" w:sz="4" w:space="0" w:color="auto"/>
            </w:tcBorders>
            <w:shd w:val="clear" w:color="auto" w:fill="auto"/>
          </w:tcPr>
          <w:p w:rsidR="00D77C51" w:rsidRPr="00686C2A" w:rsidRDefault="00D77C51" w:rsidP="00197785">
            <w:pPr>
              <w:pStyle w:val="Tabletext"/>
            </w:pPr>
            <w:r w:rsidRPr="00686C2A">
              <w:t>The short</w:t>
            </w:r>
            <w:r w:rsidR="00686C2A">
              <w:noBreakHyphen/>
            </w:r>
            <w:r w:rsidRPr="00686C2A">
              <w:t xml:space="preserve">term employee benefits of each </w:t>
            </w:r>
            <w:r w:rsidR="009B3011" w:rsidRPr="00686C2A">
              <w:t>relevant executive officer</w:t>
            </w:r>
            <w:r w:rsidRPr="00686C2A">
              <w:t xml:space="preserve"> or </w:t>
            </w:r>
            <w:r w:rsidR="009B3011" w:rsidRPr="00686C2A">
              <w:t>relevant individual trustee</w:t>
            </w:r>
            <w:r w:rsidRPr="00686C2A">
              <w:t xml:space="preserve"> for the 2 most recently completed financial years, divided into at least the following components:</w:t>
            </w:r>
          </w:p>
          <w:p w:rsidR="00D77C51" w:rsidRPr="00686C2A" w:rsidRDefault="00D77C51" w:rsidP="00197785">
            <w:pPr>
              <w:pStyle w:val="Tablea"/>
            </w:pPr>
            <w:r w:rsidRPr="00686C2A">
              <w:t>(a) cash salary, fees and short</w:t>
            </w:r>
            <w:r w:rsidR="00686C2A">
              <w:noBreakHyphen/>
            </w:r>
            <w:r w:rsidRPr="00686C2A">
              <w:t>term compensated absences;</w:t>
            </w:r>
          </w:p>
          <w:p w:rsidR="00D77C51" w:rsidRPr="00686C2A" w:rsidRDefault="00D77C51" w:rsidP="00197785">
            <w:pPr>
              <w:pStyle w:val="Tablea"/>
            </w:pPr>
            <w:r w:rsidRPr="00686C2A">
              <w:t>(b) short</w:t>
            </w:r>
            <w:r w:rsidR="00686C2A">
              <w:noBreakHyphen/>
            </w:r>
            <w:r w:rsidRPr="00686C2A">
              <w:t>term cash profit</w:t>
            </w:r>
            <w:r w:rsidR="00686C2A">
              <w:noBreakHyphen/>
            </w:r>
            <w:r w:rsidRPr="00686C2A">
              <w:t>sharing and other bonuses;</w:t>
            </w:r>
          </w:p>
          <w:p w:rsidR="00D77C51" w:rsidRPr="00686C2A" w:rsidRDefault="00D77C51" w:rsidP="00197785">
            <w:pPr>
              <w:pStyle w:val="Tablea"/>
            </w:pPr>
            <w:r w:rsidRPr="00686C2A">
              <w:t>(c) non</w:t>
            </w:r>
            <w:r w:rsidR="00686C2A">
              <w:noBreakHyphen/>
            </w:r>
            <w:r w:rsidRPr="00686C2A">
              <w:t>monetary benefits;</w:t>
            </w:r>
          </w:p>
          <w:p w:rsidR="00D77C51" w:rsidRPr="00686C2A" w:rsidRDefault="00D77C51" w:rsidP="00197785">
            <w:pPr>
              <w:pStyle w:val="Tablea"/>
            </w:pPr>
            <w:r w:rsidRPr="00686C2A">
              <w:t>(d) other short</w:t>
            </w:r>
            <w:r w:rsidR="00686C2A">
              <w:noBreakHyphen/>
            </w:r>
            <w:r w:rsidRPr="00686C2A">
              <w:t>term employee benefit</w:t>
            </w:r>
            <w:r w:rsidRPr="00686C2A">
              <w:rPr>
                <w:lang w:eastAsia="en-US"/>
              </w:rPr>
              <w:t>s</w:t>
            </w:r>
          </w:p>
        </w:tc>
      </w:tr>
      <w:tr w:rsidR="00A415EF" w:rsidRPr="00686C2A" w:rsidTr="00197785">
        <w:tc>
          <w:tcPr>
            <w:tcW w:w="714" w:type="dxa"/>
            <w:tcBorders>
              <w:top w:val="single" w:sz="4" w:space="0" w:color="auto"/>
            </w:tcBorders>
            <w:shd w:val="clear" w:color="auto" w:fill="auto"/>
          </w:tcPr>
          <w:p w:rsidR="00D77C51" w:rsidRPr="00686C2A" w:rsidRDefault="00D77C51" w:rsidP="00197785">
            <w:pPr>
              <w:pStyle w:val="Tabletext"/>
            </w:pPr>
            <w:r w:rsidRPr="00686C2A">
              <w:t>6</w:t>
            </w:r>
          </w:p>
        </w:tc>
        <w:tc>
          <w:tcPr>
            <w:tcW w:w="3186" w:type="dxa"/>
            <w:tcBorders>
              <w:top w:val="single" w:sz="4" w:space="0" w:color="auto"/>
            </w:tcBorders>
            <w:shd w:val="clear" w:color="auto" w:fill="auto"/>
          </w:tcPr>
          <w:p w:rsidR="00D77C51" w:rsidRPr="00686C2A" w:rsidRDefault="00D77C51" w:rsidP="00197785">
            <w:pPr>
              <w:pStyle w:val="Tabletext"/>
            </w:pPr>
          </w:p>
        </w:tc>
        <w:tc>
          <w:tcPr>
            <w:tcW w:w="3186" w:type="dxa"/>
            <w:tcBorders>
              <w:top w:val="single" w:sz="4" w:space="0" w:color="auto"/>
            </w:tcBorders>
            <w:shd w:val="clear" w:color="auto" w:fill="auto"/>
          </w:tcPr>
          <w:p w:rsidR="00D77C51" w:rsidRPr="00686C2A" w:rsidRDefault="00D77C51" w:rsidP="00197785">
            <w:pPr>
              <w:pStyle w:val="Tabletext"/>
            </w:pPr>
            <w:r w:rsidRPr="00686C2A">
              <w:t>The post</w:t>
            </w:r>
            <w:r w:rsidR="00686C2A">
              <w:noBreakHyphen/>
            </w:r>
            <w:r w:rsidRPr="00686C2A">
              <w:t xml:space="preserve">employment benefits of each </w:t>
            </w:r>
            <w:r w:rsidR="009B3011" w:rsidRPr="00686C2A">
              <w:t>relevant executive officer</w:t>
            </w:r>
            <w:r w:rsidRPr="00686C2A">
              <w:t xml:space="preserve"> or </w:t>
            </w:r>
            <w:r w:rsidR="009B3011" w:rsidRPr="00686C2A">
              <w:t>relevant individual trustee</w:t>
            </w:r>
            <w:r w:rsidRPr="00686C2A">
              <w:t xml:space="preserve"> for the 2 most recently completed financial years, divided into at least the following components:</w:t>
            </w:r>
          </w:p>
          <w:p w:rsidR="00D77C51" w:rsidRPr="00686C2A" w:rsidRDefault="00D77C51" w:rsidP="00197785">
            <w:pPr>
              <w:pStyle w:val="Tablea"/>
            </w:pPr>
            <w:r w:rsidRPr="00686C2A">
              <w:t>(a) pension and superannuation benefits;</w:t>
            </w:r>
          </w:p>
          <w:p w:rsidR="00D77C51" w:rsidRPr="00686C2A" w:rsidRDefault="00D77C51" w:rsidP="00197785">
            <w:pPr>
              <w:pStyle w:val="Tabletext"/>
            </w:pPr>
            <w:r w:rsidRPr="00686C2A">
              <w:t>(b) other post</w:t>
            </w:r>
            <w:r w:rsidR="00686C2A">
              <w:noBreakHyphen/>
            </w:r>
            <w:r w:rsidRPr="00686C2A">
              <w:t>employment benefits</w:t>
            </w:r>
          </w:p>
        </w:tc>
      </w:tr>
      <w:tr w:rsidR="00A415EF" w:rsidRPr="00686C2A" w:rsidTr="00197785">
        <w:tc>
          <w:tcPr>
            <w:tcW w:w="714" w:type="dxa"/>
            <w:shd w:val="clear" w:color="auto" w:fill="auto"/>
          </w:tcPr>
          <w:p w:rsidR="00D77C51" w:rsidRPr="00686C2A" w:rsidRDefault="00D77C51" w:rsidP="00197785">
            <w:pPr>
              <w:pStyle w:val="Tabletext"/>
            </w:pPr>
            <w:r w:rsidRPr="00686C2A">
              <w:t>7</w:t>
            </w:r>
          </w:p>
        </w:tc>
        <w:tc>
          <w:tcPr>
            <w:tcW w:w="3186" w:type="dxa"/>
            <w:shd w:val="clear" w:color="auto" w:fill="auto"/>
          </w:tcPr>
          <w:p w:rsidR="00D77C51" w:rsidRPr="00686C2A" w:rsidRDefault="00D77C51" w:rsidP="00197785">
            <w:pPr>
              <w:pStyle w:val="Tabletext"/>
            </w:pPr>
          </w:p>
        </w:tc>
        <w:tc>
          <w:tcPr>
            <w:tcW w:w="3186" w:type="dxa"/>
            <w:shd w:val="clear" w:color="auto" w:fill="auto"/>
          </w:tcPr>
          <w:p w:rsidR="00D77C51" w:rsidRPr="00686C2A" w:rsidRDefault="00D77C51" w:rsidP="009B3011">
            <w:pPr>
              <w:pStyle w:val="Tabletext"/>
            </w:pPr>
            <w:r w:rsidRPr="00686C2A">
              <w:t>The long</w:t>
            </w:r>
            <w:r w:rsidR="00686C2A">
              <w:noBreakHyphen/>
            </w:r>
            <w:r w:rsidRPr="00686C2A">
              <w:t>term employee benefits other than benefits mentioned in items</w:t>
            </w:r>
            <w:r w:rsidR="00686C2A" w:rsidRPr="00686C2A">
              <w:t> </w:t>
            </w:r>
            <w:r w:rsidRPr="00686C2A">
              <w:t xml:space="preserve">5 and 6 for each </w:t>
            </w:r>
            <w:r w:rsidR="009B3011" w:rsidRPr="00686C2A">
              <w:t>relevant executive officer</w:t>
            </w:r>
            <w:r w:rsidRPr="00686C2A">
              <w:t xml:space="preserve"> or </w:t>
            </w:r>
            <w:r w:rsidR="009B3011" w:rsidRPr="00686C2A">
              <w:t>relevant individual trustee</w:t>
            </w:r>
            <w:r w:rsidRPr="00686C2A">
              <w:t xml:space="preserve"> for the 2 most recently completed financial years (any amount attributable to a long</w:t>
            </w:r>
            <w:r w:rsidR="00686C2A">
              <w:noBreakHyphen/>
            </w:r>
            <w:r w:rsidRPr="00686C2A">
              <w:t xml:space="preserve">term incentive plan being separately identified) </w:t>
            </w:r>
          </w:p>
        </w:tc>
      </w:tr>
      <w:tr w:rsidR="00A415EF" w:rsidRPr="00686C2A" w:rsidTr="00197785">
        <w:tc>
          <w:tcPr>
            <w:tcW w:w="714" w:type="dxa"/>
            <w:shd w:val="clear" w:color="auto" w:fill="auto"/>
          </w:tcPr>
          <w:p w:rsidR="00D77C51" w:rsidRPr="00686C2A" w:rsidRDefault="00D77C51" w:rsidP="00197785">
            <w:pPr>
              <w:pStyle w:val="Tabletext"/>
            </w:pPr>
            <w:r w:rsidRPr="00686C2A">
              <w:t>8</w:t>
            </w:r>
          </w:p>
        </w:tc>
        <w:tc>
          <w:tcPr>
            <w:tcW w:w="3186" w:type="dxa"/>
            <w:shd w:val="clear" w:color="auto" w:fill="auto"/>
          </w:tcPr>
          <w:p w:rsidR="00D77C51" w:rsidRPr="00686C2A" w:rsidRDefault="00D77C51" w:rsidP="00DF6910">
            <w:pPr>
              <w:pStyle w:val="Tabletext"/>
            </w:pPr>
            <w:r w:rsidRPr="00686C2A">
              <w:t>If a person</w:t>
            </w:r>
            <w:r w:rsidR="00A16431" w:rsidRPr="00686C2A">
              <w:t>’</w:t>
            </w:r>
            <w:r w:rsidRPr="00686C2A">
              <w:t xml:space="preserve">s position as </w:t>
            </w:r>
            <w:r w:rsidR="00131146" w:rsidRPr="00686C2A">
              <w:t xml:space="preserve">a </w:t>
            </w:r>
            <w:r w:rsidR="009B3011" w:rsidRPr="00686C2A">
              <w:t>relevant executive officer</w:t>
            </w:r>
            <w:r w:rsidRPr="00686C2A">
              <w:t xml:space="preserve"> or </w:t>
            </w:r>
            <w:r w:rsidR="009B3011" w:rsidRPr="00686C2A">
              <w:t>relevant individual trustee</w:t>
            </w:r>
            <w:r w:rsidRPr="00686C2A">
              <w:t xml:space="preserve"> was terminated during the current financial year</w:t>
            </w:r>
          </w:p>
        </w:tc>
        <w:tc>
          <w:tcPr>
            <w:tcW w:w="3186" w:type="dxa"/>
            <w:shd w:val="clear" w:color="auto" w:fill="auto"/>
          </w:tcPr>
          <w:p w:rsidR="00D77C51" w:rsidRPr="00686C2A" w:rsidRDefault="00D77C51" w:rsidP="00197785">
            <w:pPr>
              <w:pStyle w:val="Tabletext"/>
            </w:pPr>
            <w:r w:rsidRPr="00686C2A">
              <w:t>The person</w:t>
            </w:r>
            <w:r w:rsidR="00A16431" w:rsidRPr="00686C2A">
              <w:t>’</w:t>
            </w:r>
            <w:r w:rsidRPr="00686C2A">
              <w:t>s termination benefits</w:t>
            </w:r>
          </w:p>
        </w:tc>
      </w:tr>
      <w:tr w:rsidR="00A415EF" w:rsidRPr="00686C2A" w:rsidTr="00197785">
        <w:tc>
          <w:tcPr>
            <w:tcW w:w="714" w:type="dxa"/>
            <w:shd w:val="clear" w:color="auto" w:fill="auto"/>
          </w:tcPr>
          <w:p w:rsidR="00D77C51" w:rsidRPr="00686C2A" w:rsidRDefault="00D77C51" w:rsidP="00197785">
            <w:pPr>
              <w:pStyle w:val="Tabletext"/>
            </w:pPr>
            <w:r w:rsidRPr="00686C2A">
              <w:lastRenderedPageBreak/>
              <w:t>9</w:t>
            </w:r>
          </w:p>
        </w:tc>
        <w:tc>
          <w:tcPr>
            <w:tcW w:w="3186" w:type="dxa"/>
            <w:shd w:val="clear" w:color="auto" w:fill="auto"/>
          </w:tcPr>
          <w:p w:rsidR="00D77C51" w:rsidRPr="00686C2A" w:rsidRDefault="00D77C51" w:rsidP="00197785">
            <w:pPr>
              <w:pStyle w:val="Tabletext"/>
            </w:pPr>
            <w:r w:rsidRPr="00686C2A">
              <w:t>If a person:</w:t>
            </w:r>
          </w:p>
          <w:p w:rsidR="00D77C51" w:rsidRPr="00686C2A" w:rsidRDefault="00D77C51" w:rsidP="00197785">
            <w:pPr>
              <w:pStyle w:val="Tablea"/>
            </w:pPr>
            <w:r w:rsidRPr="00686C2A">
              <w:t xml:space="preserve">(a) began to hold a position as </w:t>
            </w:r>
            <w:r w:rsidR="009B3011" w:rsidRPr="00686C2A">
              <w:t>relevant executive officer</w:t>
            </w:r>
            <w:r w:rsidRPr="00686C2A">
              <w:t xml:space="preserve"> or </w:t>
            </w:r>
            <w:r w:rsidR="009B3011" w:rsidRPr="00686C2A">
              <w:t>relevant individual trustee</w:t>
            </w:r>
            <w:r w:rsidRPr="00686C2A">
              <w:t xml:space="preserve"> during the most recently completed financial year; and</w:t>
            </w:r>
          </w:p>
          <w:p w:rsidR="00D77C51" w:rsidRPr="00686C2A" w:rsidRDefault="00D77C51" w:rsidP="00197785">
            <w:pPr>
              <w:pStyle w:val="Tablea"/>
            </w:pPr>
            <w:r w:rsidRPr="00686C2A">
              <w:t xml:space="preserve">(b) received a payment as part of the consideration for agreeing to hold the position </w:t>
            </w:r>
          </w:p>
        </w:tc>
        <w:tc>
          <w:tcPr>
            <w:tcW w:w="3186" w:type="dxa"/>
            <w:shd w:val="clear" w:color="auto" w:fill="auto"/>
          </w:tcPr>
          <w:p w:rsidR="00D77C51" w:rsidRPr="00686C2A" w:rsidRDefault="00D77C51" w:rsidP="00197785">
            <w:pPr>
              <w:pStyle w:val="Tabletext"/>
            </w:pPr>
            <w:r w:rsidRPr="00686C2A">
              <w:t>Details of the payment, including:</w:t>
            </w:r>
          </w:p>
          <w:p w:rsidR="00D77C51" w:rsidRPr="00686C2A" w:rsidRDefault="00D77C51" w:rsidP="00197785">
            <w:pPr>
              <w:pStyle w:val="Tablea"/>
            </w:pPr>
            <w:r w:rsidRPr="00686C2A">
              <w:t>(a) the monetary value of the payment; and</w:t>
            </w:r>
          </w:p>
          <w:p w:rsidR="00D77C51" w:rsidRPr="00686C2A" w:rsidRDefault="00D77C51" w:rsidP="00197785">
            <w:pPr>
              <w:pStyle w:val="Tablea"/>
            </w:pPr>
            <w:r w:rsidRPr="00686C2A">
              <w:t>(b) the date of the payment</w:t>
            </w:r>
          </w:p>
        </w:tc>
      </w:tr>
      <w:tr w:rsidR="00A415EF" w:rsidRPr="00686C2A" w:rsidTr="00197785">
        <w:tc>
          <w:tcPr>
            <w:tcW w:w="714" w:type="dxa"/>
            <w:tcBorders>
              <w:bottom w:val="single" w:sz="2" w:space="0" w:color="auto"/>
            </w:tcBorders>
            <w:shd w:val="clear" w:color="auto" w:fill="auto"/>
          </w:tcPr>
          <w:p w:rsidR="00D77C51" w:rsidRPr="00686C2A" w:rsidRDefault="00D77C51" w:rsidP="00197785">
            <w:pPr>
              <w:pStyle w:val="Tabletext"/>
            </w:pPr>
            <w:r w:rsidRPr="00686C2A">
              <w:t>10</w:t>
            </w:r>
          </w:p>
        </w:tc>
        <w:tc>
          <w:tcPr>
            <w:tcW w:w="3186" w:type="dxa"/>
            <w:tcBorders>
              <w:bottom w:val="single" w:sz="2" w:space="0" w:color="auto"/>
            </w:tcBorders>
            <w:shd w:val="clear" w:color="auto" w:fill="auto"/>
          </w:tcPr>
          <w:p w:rsidR="00D77C51" w:rsidRPr="00686C2A" w:rsidRDefault="00D77C51" w:rsidP="00197785">
            <w:pPr>
              <w:pStyle w:val="Tabletext"/>
            </w:pPr>
          </w:p>
        </w:tc>
        <w:tc>
          <w:tcPr>
            <w:tcW w:w="3186" w:type="dxa"/>
            <w:tcBorders>
              <w:bottom w:val="single" w:sz="2" w:space="0" w:color="auto"/>
            </w:tcBorders>
            <w:shd w:val="clear" w:color="auto" w:fill="auto"/>
          </w:tcPr>
          <w:p w:rsidR="00D77C51" w:rsidRPr="00686C2A" w:rsidRDefault="00D77C51" w:rsidP="00197785">
            <w:pPr>
              <w:pStyle w:val="Tabletext"/>
            </w:pPr>
            <w:r w:rsidRPr="00686C2A">
              <w:t>The share</w:t>
            </w:r>
            <w:r w:rsidR="00686C2A">
              <w:noBreakHyphen/>
            </w:r>
            <w:r w:rsidRPr="00686C2A">
              <w:t xml:space="preserve">based payments made to each person who was </w:t>
            </w:r>
            <w:r w:rsidR="00131146" w:rsidRPr="00686C2A">
              <w:t xml:space="preserve">a </w:t>
            </w:r>
            <w:r w:rsidR="009B3011" w:rsidRPr="00686C2A">
              <w:t>relevant executive officer</w:t>
            </w:r>
            <w:r w:rsidRPr="00686C2A">
              <w:t xml:space="preserve"> or </w:t>
            </w:r>
            <w:r w:rsidR="009B3011" w:rsidRPr="00686C2A">
              <w:t xml:space="preserve">relevant individual trustee </w:t>
            </w:r>
            <w:r w:rsidRPr="00686C2A">
              <w:t>during the 2 most recently completed financial years, divided into at least the following components:</w:t>
            </w:r>
          </w:p>
          <w:p w:rsidR="00D77C51" w:rsidRPr="00686C2A" w:rsidRDefault="00D77C51" w:rsidP="00197785">
            <w:pPr>
              <w:pStyle w:val="Tablea"/>
            </w:pPr>
            <w:r w:rsidRPr="00686C2A">
              <w:t>(a) equity</w:t>
            </w:r>
            <w:r w:rsidR="00686C2A">
              <w:noBreakHyphen/>
            </w:r>
            <w:r w:rsidRPr="00686C2A">
              <w:t>settled share</w:t>
            </w:r>
            <w:r w:rsidR="00686C2A">
              <w:noBreakHyphen/>
            </w:r>
            <w:r w:rsidRPr="00686C2A">
              <w:t>based payment transactions, showing separately:</w:t>
            </w:r>
          </w:p>
          <w:p w:rsidR="00D77C51" w:rsidRPr="00686C2A" w:rsidRDefault="00D77C51" w:rsidP="00197785">
            <w:pPr>
              <w:pStyle w:val="Tablei"/>
            </w:pPr>
            <w:r w:rsidRPr="00686C2A">
              <w:t>(</w:t>
            </w:r>
            <w:proofErr w:type="spellStart"/>
            <w:r w:rsidRPr="00686C2A">
              <w:t>i</w:t>
            </w:r>
            <w:proofErr w:type="spellEnd"/>
            <w:r w:rsidRPr="00686C2A">
              <w:t>) shares and units; and</w:t>
            </w:r>
          </w:p>
          <w:p w:rsidR="00D77C51" w:rsidRPr="00686C2A" w:rsidRDefault="00D77C51" w:rsidP="00197785">
            <w:pPr>
              <w:pStyle w:val="Tablei"/>
            </w:pPr>
            <w:r w:rsidRPr="00686C2A">
              <w:t>(ii) options and rights;</w:t>
            </w:r>
          </w:p>
          <w:p w:rsidR="00D77C51" w:rsidRPr="00686C2A" w:rsidRDefault="00D77C51" w:rsidP="00197785">
            <w:pPr>
              <w:pStyle w:val="Tablea"/>
            </w:pPr>
            <w:r w:rsidRPr="00686C2A">
              <w:t>(b) cash</w:t>
            </w:r>
            <w:r w:rsidR="00686C2A">
              <w:noBreakHyphen/>
            </w:r>
            <w:r w:rsidRPr="00686C2A">
              <w:t>settled share</w:t>
            </w:r>
            <w:r w:rsidR="00686C2A">
              <w:noBreakHyphen/>
            </w:r>
            <w:r w:rsidRPr="00686C2A">
              <w:t>based payment transactions;</w:t>
            </w:r>
          </w:p>
          <w:p w:rsidR="00D77C51" w:rsidRPr="00686C2A" w:rsidRDefault="00D77C51" w:rsidP="00197785">
            <w:pPr>
              <w:pStyle w:val="Tablea"/>
            </w:pPr>
            <w:r w:rsidRPr="00686C2A">
              <w:t>(c) all other forms of share</w:t>
            </w:r>
            <w:r w:rsidR="00686C2A">
              <w:noBreakHyphen/>
            </w:r>
            <w:r w:rsidRPr="00686C2A">
              <w:t>based payment compensation (including hybrids)</w:t>
            </w:r>
          </w:p>
        </w:tc>
      </w:tr>
      <w:tr w:rsidR="00A415EF" w:rsidRPr="00686C2A" w:rsidTr="00197785">
        <w:tc>
          <w:tcPr>
            <w:tcW w:w="7086" w:type="dxa"/>
            <w:gridSpan w:val="3"/>
            <w:tcBorders>
              <w:top w:val="single" w:sz="2" w:space="0" w:color="auto"/>
              <w:bottom w:val="single" w:sz="2" w:space="0" w:color="auto"/>
            </w:tcBorders>
            <w:shd w:val="clear" w:color="auto" w:fill="auto"/>
          </w:tcPr>
          <w:p w:rsidR="00D77C51" w:rsidRPr="00686C2A" w:rsidRDefault="00D77C51" w:rsidP="00197785">
            <w:pPr>
              <w:pStyle w:val="TableHeading"/>
              <w:rPr>
                <w:b w:val="0"/>
              </w:rPr>
            </w:pPr>
            <w:r w:rsidRPr="00686C2A">
              <w:rPr>
                <w:b w:val="0"/>
              </w:rPr>
              <w:t>Compensation</w:t>
            </w:r>
          </w:p>
        </w:tc>
      </w:tr>
      <w:tr w:rsidR="00A415EF" w:rsidRPr="00686C2A" w:rsidTr="00197785">
        <w:tc>
          <w:tcPr>
            <w:tcW w:w="714" w:type="dxa"/>
            <w:tcBorders>
              <w:top w:val="single" w:sz="2" w:space="0" w:color="auto"/>
            </w:tcBorders>
            <w:shd w:val="clear" w:color="auto" w:fill="auto"/>
          </w:tcPr>
          <w:p w:rsidR="00D77C51" w:rsidRPr="00686C2A" w:rsidRDefault="00D77C51" w:rsidP="00197785">
            <w:pPr>
              <w:pStyle w:val="Tabletext"/>
            </w:pPr>
            <w:r w:rsidRPr="00686C2A">
              <w:t>11</w:t>
            </w:r>
          </w:p>
        </w:tc>
        <w:tc>
          <w:tcPr>
            <w:tcW w:w="3186" w:type="dxa"/>
            <w:tcBorders>
              <w:top w:val="single" w:sz="2" w:space="0" w:color="auto"/>
            </w:tcBorders>
            <w:shd w:val="clear" w:color="auto" w:fill="auto"/>
          </w:tcPr>
          <w:p w:rsidR="00D77C51" w:rsidRPr="00686C2A" w:rsidRDefault="00D77C51" w:rsidP="009B3011">
            <w:pPr>
              <w:pStyle w:val="Tabletext"/>
            </w:pPr>
            <w:r w:rsidRPr="00686C2A">
              <w:t>If a grant of a cash bonus, performance</w:t>
            </w:r>
            <w:r w:rsidR="00686C2A">
              <w:noBreakHyphen/>
            </w:r>
            <w:r w:rsidRPr="00686C2A">
              <w:t>related bonus or share</w:t>
            </w:r>
            <w:r w:rsidR="00686C2A">
              <w:noBreakHyphen/>
            </w:r>
            <w:r w:rsidRPr="00686C2A">
              <w:t xml:space="preserve">based payment compensation benefit, whether part of a specific contract for services or not, was made to </w:t>
            </w:r>
            <w:r w:rsidR="00131146" w:rsidRPr="00686C2A">
              <w:t xml:space="preserve">a </w:t>
            </w:r>
            <w:r w:rsidR="009B3011" w:rsidRPr="00686C2A">
              <w:t>relevant executive officer</w:t>
            </w:r>
            <w:r w:rsidRPr="00686C2A">
              <w:t xml:space="preserve"> or </w:t>
            </w:r>
            <w:r w:rsidR="009B3011" w:rsidRPr="00686C2A">
              <w:t>relevant individual trustee</w:t>
            </w:r>
            <w:r w:rsidRPr="00686C2A">
              <w:t xml:space="preserve"> during the most recently completed financial year</w:t>
            </w:r>
          </w:p>
        </w:tc>
        <w:tc>
          <w:tcPr>
            <w:tcW w:w="3186" w:type="dxa"/>
            <w:tcBorders>
              <w:top w:val="single" w:sz="2" w:space="0" w:color="auto"/>
            </w:tcBorders>
            <w:shd w:val="clear" w:color="auto" w:fill="auto"/>
          </w:tcPr>
          <w:p w:rsidR="00D77C51" w:rsidRPr="00686C2A" w:rsidRDefault="00D77C51" w:rsidP="00197785">
            <w:pPr>
              <w:pStyle w:val="Tabletext"/>
            </w:pPr>
            <w:r w:rsidRPr="00686C2A">
              <w:t>The terms and conditions of each grant affecting compensation, including the following:</w:t>
            </w:r>
          </w:p>
          <w:p w:rsidR="00D77C51" w:rsidRPr="00686C2A" w:rsidRDefault="00D77C51" w:rsidP="00197785">
            <w:pPr>
              <w:pStyle w:val="Tablea"/>
            </w:pPr>
            <w:r w:rsidRPr="00686C2A">
              <w:t>(a) the grant date;</w:t>
            </w:r>
          </w:p>
          <w:p w:rsidR="00D77C51" w:rsidRPr="00686C2A" w:rsidRDefault="00D77C51" w:rsidP="00197785">
            <w:pPr>
              <w:pStyle w:val="Tablea"/>
            </w:pPr>
            <w:r w:rsidRPr="00686C2A">
              <w:t>(b) the nature of the compensation granted;</w:t>
            </w:r>
          </w:p>
          <w:p w:rsidR="00D77C51" w:rsidRPr="00686C2A" w:rsidRDefault="00D77C51" w:rsidP="00197785">
            <w:pPr>
              <w:pStyle w:val="Tablea"/>
            </w:pPr>
            <w:r w:rsidRPr="00686C2A">
              <w:t>(c) the service and performance criteria used to determine the amount of compensation;</w:t>
            </w:r>
          </w:p>
          <w:p w:rsidR="00D77C51" w:rsidRPr="00686C2A" w:rsidRDefault="00D77C51" w:rsidP="00197785">
            <w:pPr>
              <w:pStyle w:val="Tablea"/>
            </w:pPr>
            <w:r w:rsidRPr="00686C2A">
              <w:t xml:space="preserve">(d) if there has been any alteration of </w:t>
            </w:r>
            <w:r w:rsidRPr="00686C2A">
              <w:lastRenderedPageBreak/>
              <w:t>the terms or conditions of the grant since the grant date</w:t>
            </w:r>
            <w:r w:rsidR="00686C2A">
              <w:noBreakHyphen/>
            </w:r>
            <w:r w:rsidR="00686C2A">
              <w:noBreakHyphen/>
            </w:r>
            <w:r w:rsidRPr="00686C2A">
              <w:t>the date, details and effect of each alteration;</w:t>
            </w:r>
          </w:p>
          <w:p w:rsidR="00D77C51" w:rsidRPr="00686C2A" w:rsidRDefault="00D77C51" w:rsidP="00197785">
            <w:pPr>
              <w:pStyle w:val="Tablea"/>
            </w:pPr>
            <w:r w:rsidRPr="00686C2A">
              <w:t>(e) the percentage of the bonus or grant for the financial year that was paid to the person, or that vested in the person, in the financial year;</w:t>
            </w:r>
          </w:p>
          <w:p w:rsidR="00D77C51" w:rsidRPr="00686C2A" w:rsidRDefault="00D77C51" w:rsidP="00197785">
            <w:pPr>
              <w:pStyle w:val="Tablea"/>
            </w:pPr>
            <w:r w:rsidRPr="00686C2A">
              <w:t>(f) the percentage of the bonus or grant for the financial year that was forfeited by the person (because the person did not meet the service and performance criteria for the bonus or grant) in the financial year;</w:t>
            </w:r>
          </w:p>
          <w:p w:rsidR="00D77C51" w:rsidRPr="00686C2A" w:rsidRDefault="00D77C51" w:rsidP="00197785">
            <w:pPr>
              <w:pStyle w:val="Tablea"/>
            </w:pPr>
            <w:r w:rsidRPr="00686C2A">
              <w:t>(g) the financial years, after the most recently completed financial year, for which the bonus or grant will be payable if the person meets the service and performance criteria for the bonus or grant;</w:t>
            </w:r>
          </w:p>
          <w:p w:rsidR="00D77C51" w:rsidRPr="00686C2A" w:rsidRDefault="00D77C51" w:rsidP="00197785">
            <w:pPr>
              <w:pStyle w:val="Tablea"/>
            </w:pPr>
            <w:r w:rsidRPr="00686C2A">
              <w:t>(h) estimates of the maximum and minimum possible total value of the bonus or grant (other than option grants) for financial years after the most recently completed financial year</w:t>
            </w:r>
          </w:p>
        </w:tc>
      </w:tr>
      <w:tr w:rsidR="00A415EF" w:rsidRPr="00686C2A" w:rsidTr="00197785">
        <w:tc>
          <w:tcPr>
            <w:tcW w:w="714" w:type="dxa"/>
            <w:shd w:val="clear" w:color="auto" w:fill="auto"/>
          </w:tcPr>
          <w:p w:rsidR="00D77C51" w:rsidRPr="00686C2A" w:rsidRDefault="00D77C51" w:rsidP="00197785">
            <w:pPr>
              <w:pStyle w:val="Tabletext"/>
              <w:rPr>
                <w:highlight w:val="yellow"/>
              </w:rPr>
            </w:pPr>
            <w:r w:rsidRPr="00686C2A">
              <w:lastRenderedPageBreak/>
              <w:t>12</w:t>
            </w:r>
          </w:p>
        </w:tc>
        <w:tc>
          <w:tcPr>
            <w:tcW w:w="3186" w:type="dxa"/>
            <w:shd w:val="clear" w:color="auto" w:fill="auto"/>
          </w:tcPr>
          <w:p w:rsidR="00D77C51" w:rsidRPr="00686C2A" w:rsidRDefault="00D77C51" w:rsidP="003B4560">
            <w:pPr>
              <w:pStyle w:val="Tabletext"/>
            </w:pPr>
            <w:r w:rsidRPr="00686C2A">
              <w:t>If</w:t>
            </w:r>
            <w:r w:rsidR="001C18DC" w:rsidRPr="00686C2A">
              <w:t>,</w:t>
            </w:r>
            <w:r w:rsidRPr="00686C2A">
              <w:t xml:space="preserve"> </w:t>
            </w:r>
            <w:r w:rsidR="001C18DC" w:rsidRPr="00686C2A">
              <w:t xml:space="preserve">during the most recently completed financial year, </w:t>
            </w:r>
            <w:r w:rsidRPr="00686C2A">
              <w:t>a contract for services was negotiated</w:t>
            </w:r>
            <w:r w:rsidR="001C18DC" w:rsidRPr="00686C2A">
              <w:t xml:space="preserve"> </w:t>
            </w:r>
            <w:r w:rsidRPr="00686C2A">
              <w:t>between</w:t>
            </w:r>
            <w:r w:rsidR="003B4560" w:rsidRPr="00686C2A">
              <w:t xml:space="preserve"> the </w:t>
            </w:r>
            <w:proofErr w:type="spellStart"/>
            <w:r w:rsidR="003B4560" w:rsidRPr="00686C2A">
              <w:t>RSE</w:t>
            </w:r>
            <w:proofErr w:type="spellEnd"/>
            <w:r w:rsidR="003B4560" w:rsidRPr="00686C2A">
              <w:t xml:space="preserve"> licensee and </w:t>
            </w:r>
            <w:r w:rsidR="00131146" w:rsidRPr="00686C2A">
              <w:t xml:space="preserve">a </w:t>
            </w:r>
            <w:r w:rsidR="009B3011" w:rsidRPr="00686C2A">
              <w:t>relevant executive officer</w:t>
            </w:r>
            <w:r w:rsidRPr="00686C2A">
              <w:t xml:space="preserve"> </w:t>
            </w:r>
            <w:r w:rsidR="001C18DC" w:rsidRPr="00686C2A">
              <w:t>or</w:t>
            </w:r>
            <w:r w:rsidR="003B4560" w:rsidRPr="00686C2A">
              <w:t xml:space="preserve"> </w:t>
            </w:r>
            <w:r w:rsidR="009B3011" w:rsidRPr="00686C2A">
              <w:t>relevant individual trustee</w:t>
            </w:r>
          </w:p>
        </w:tc>
        <w:tc>
          <w:tcPr>
            <w:tcW w:w="3186" w:type="dxa"/>
            <w:shd w:val="clear" w:color="auto" w:fill="auto"/>
          </w:tcPr>
          <w:p w:rsidR="00D77C51" w:rsidRPr="00686C2A" w:rsidRDefault="00D77C51" w:rsidP="00197785">
            <w:pPr>
              <w:pStyle w:val="Tabletext"/>
            </w:pPr>
            <w:r w:rsidRPr="00686C2A">
              <w:t>An</w:t>
            </w:r>
            <w:r w:rsidR="001C18DC" w:rsidRPr="00686C2A">
              <w:t xml:space="preserve"> explanation of</w:t>
            </w:r>
            <w:r w:rsidRPr="00686C2A">
              <w:t>:</w:t>
            </w:r>
          </w:p>
          <w:p w:rsidR="00D77C51" w:rsidRPr="00686C2A" w:rsidRDefault="00D77C51" w:rsidP="00197785">
            <w:pPr>
              <w:pStyle w:val="Tablea"/>
            </w:pPr>
            <w:r w:rsidRPr="00686C2A">
              <w:t>(a) how the amount of compensation was determined; and</w:t>
            </w:r>
          </w:p>
          <w:p w:rsidR="00D77C51" w:rsidRPr="00686C2A" w:rsidRDefault="00D77C51" w:rsidP="00197785">
            <w:pPr>
              <w:pStyle w:val="Tablea"/>
            </w:pPr>
            <w:r w:rsidRPr="00686C2A">
              <w:t>(b) how the terms of the contract affect compensation in future periods</w:t>
            </w:r>
          </w:p>
        </w:tc>
      </w:tr>
      <w:tr w:rsidR="00A415EF" w:rsidRPr="00686C2A" w:rsidTr="00197785">
        <w:tc>
          <w:tcPr>
            <w:tcW w:w="714" w:type="dxa"/>
            <w:shd w:val="clear" w:color="auto" w:fill="auto"/>
          </w:tcPr>
          <w:p w:rsidR="00D77C51" w:rsidRPr="00686C2A" w:rsidRDefault="00D77C51" w:rsidP="00197785">
            <w:pPr>
              <w:pStyle w:val="Tabletext"/>
            </w:pPr>
            <w:r w:rsidRPr="00686C2A">
              <w:t>13</w:t>
            </w:r>
          </w:p>
        </w:tc>
        <w:tc>
          <w:tcPr>
            <w:tcW w:w="3186" w:type="dxa"/>
            <w:shd w:val="clear" w:color="auto" w:fill="auto"/>
          </w:tcPr>
          <w:p w:rsidR="00D77C51" w:rsidRPr="00686C2A" w:rsidRDefault="00D77C51" w:rsidP="001C18DC">
            <w:pPr>
              <w:pStyle w:val="Tabletext"/>
            </w:pPr>
            <w:r w:rsidRPr="00686C2A">
              <w:t>If the terms of share</w:t>
            </w:r>
            <w:r w:rsidR="00686C2A">
              <w:noBreakHyphen/>
            </w:r>
            <w:r w:rsidRPr="00686C2A">
              <w:t xml:space="preserve">based payment transactions (including options or rights) granted as compensation to </w:t>
            </w:r>
            <w:r w:rsidR="00131146" w:rsidRPr="00686C2A">
              <w:t xml:space="preserve">a </w:t>
            </w:r>
            <w:r w:rsidR="009B3011" w:rsidRPr="00686C2A">
              <w:t>relevant executive officer</w:t>
            </w:r>
            <w:r w:rsidRPr="00686C2A">
              <w:t xml:space="preserve"> were </w:t>
            </w:r>
            <w:r w:rsidRPr="00686C2A">
              <w:lastRenderedPageBreak/>
              <w:t xml:space="preserve">altered or modified by the </w:t>
            </w:r>
            <w:proofErr w:type="spellStart"/>
            <w:r w:rsidRPr="00686C2A">
              <w:t>RSE</w:t>
            </w:r>
            <w:proofErr w:type="spellEnd"/>
            <w:r w:rsidRPr="00686C2A">
              <w:t xml:space="preserve"> licensee during the most recently completed financial year</w:t>
            </w:r>
          </w:p>
        </w:tc>
        <w:tc>
          <w:tcPr>
            <w:tcW w:w="3186" w:type="dxa"/>
            <w:shd w:val="clear" w:color="auto" w:fill="auto"/>
          </w:tcPr>
          <w:p w:rsidR="00D77C51" w:rsidRPr="00686C2A" w:rsidRDefault="00D77C51" w:rsidP="00197785">
            <w:pPr>
              <w:pStyle w:val="Tablea"/>
            </w:pPr>
            <w:r w:rsidRPr="00686C2A">
              <w:lastRenderedPageBreak/>
              <w:t>(a) The date of the alteration or modification; and</w:t>
            </w:r>
          </w:p>
          <w:p w:rsidR="00D77C51" w:rsidRPr="00686C2A" w:rsidRDefault="00D77C51" w:rsidP="00197785">
            <w:pPr>
              <w:pStyle w:val="Tablea"/>
            </w:pPr>
            <w:r w:rsidRPr="00686C2A">
              <w:t xml:space="preserve">(b) the market price of the underlying equity instrument at </w:t>
            </w:r>
            <w:r w:rsidRPr="00686C2A">
              <w:lastRenderedPageBreak/>
              <w:t>the date of the alteration or modification; and</w:t>
            </w:r>
          </w:p>
          <w:p w:rsidR="00D77C51" w:rsidRPr="00686C2A" w:rsidRDefault="00D77C51" w:rsidP="00197785">
            <w:pPr>
              <w:pStyle w:val="Tablea"/>
            </w:pPr>
            <w:r w:rsidRPr="00686C2A">
              <w:t>(c) the terms of the grant of compensation immediately before the alteration or modification, including:</w:t>
            </w:r>
          </w:p>
          <w:p w:rsidR="00D77C51" w:rsidRPr="00686C2A" w:rsidRDefault="00D77C51" w:rsidP="00197785">
            <w:pPr>
              <w:pStyle w:val="Tablei"/>
            </w:pPr>
            <w:r w:rsidRPr="00686C2A">
              <w:t>(</w:t>
            </w:r>
            <w:proofErr w:type="spellStart"/>
            <w:r w:rsidRPr="00686C2A">
              <w:t>i</w:t>
            </w:r>
            <w:proofErr w:type="spellEnd"/>
            <w:r w:rsidRPr="00686C2A">
              <w:t>) the number and class of the underlying equity instruments;</w:t>
            </w:r>
          </w:p>
          <w:p w:rsidR="00D77C51" w:rsidRPr="00686C2A" w:rsidRDefault="00D77C51" w:rsidP="00197785">
            <w:pPr>
              <w:pStyle w:val="Tablei"/>
            </w:pPr>
            <w:r w:rsidRPr="00686C2A">
              <w:t>(ii) the exercise price for any option or other right affected by the alternation or modification, immediately before and after the alteration or modification; and</w:t>
            </w:r>
          </w:p>
          <w:p w:rsidR="00D77C51" w:rsidRPr="00686C2A" w:rsidRDefault="00D77C51" w:rsidP="00197785">
            <w:pPr>
              <w:pStyle w:val="Tablei"/>
            </w:pPr>
            <w:r w:rsidRPr="00686C2A">
              <w:t>(iii) the time remaining until expiry of the underlying equity instruments; and</w:t>
            </w:r>
          </w:p>
          <w:p w:rsidR="00D77C51" w:rsidRPr="00686C2A" w:rsidRDefault="00D77C51" w:rsidP="00197785">
            <w:pPr>
              <w:pStyle w:val="Tablei"/>
            </w:pPr>
            <w:r w:rsidRPr="00686C2A">
              <w:t>(iv) each other condition in the terms affecting the vesting or exercise of an option or other right; and</w:t>
            </w:r>
          </w:p>
          <w:p w:rsidR="00D77C51" w:rsidRPr="00686C2A" w:rsidRDefault="00D77C51" w:rsidP="00197785">
            <w:pPr>
              <w:pStyle w:val="Tablea"/>
            </w:pPr>
            <w:r w:rsidRPr="00686C2A">
              <w:t>(d) the modified or altered terms; and</w:t>
            </w:r>
          </w:p>
          <w:p w:rsidR="00D77C51" w:rsidRPr="00686C2A" w:rsidRDefault="00D77C51" w:rsidP="00197785">
            <w:pPr>
              <w:pStyle w:val="Tablea"/>
            </w:pPr>
            <w:r w:rsidRPr="00686C2A">
              <w:t>(e) the difference between:</w:t>
            </w:r>
          </w:p>
          <w:p w:rsidR="00D77C51" w:rsidRPr="00686C2A" w:rsidRDefault="00D77C51" w:rsidP="00197785">
            <w:pPr>
              <w:pStyle w:val="Tablei"/>
            </w:pPr>
            <w:r w:rsidRPr="00686C2A">
              <w:t>(</w:t>
            </w:r>
            <w:proofErr w:type="spellStart"/>
            <w:r w:rsidRPr="00686C2A">
              <w:t>i</w:t>
            </w:r>
            <w:proofErr w:type="spellEnd"/>
            <w:r w:rsidRPr="00686C2A">
              <w:t>) the total of the fair value of the options or other rights affected by the alteration or modification immediately before the alteration or modification; and</w:t>
            </w:r>
          </w:p>
          <w:p w:rsidR="00D77C51" w:rsidRPr="00686C2A" w:rsidRDefault="00D77C51" w:rsidP="00197785">
            <w:pPr>
              <w:pStyle w:val="Tablei"/>
            </w:pPr>
            <w:r w:rsidRPr="00686C2A">
              <w:t>(ii) the total of the fair value of the options or other rights immediately after the alteration or modification</w:t>
            </w:r>
          </w:p>
        </w:tc>
      </w:tr>
      <w:tr w:rsidR="00A415EF" w:rsidRPr="00686C2A" w:rsidTr="00197785">
        <w:tc>
          <w:tcPr>
            <w:tcW w:w="714" w:type="dxa"/>
            <w:shd w:val="clear" w:color="auto" w:fill="auto"/>
          </w:tcPr>
          <w:p w:rsidR="00D77C51" w:rsidRPr="00686C2A" w:rsidRDefault="00D77C51" w:rsidP="00197785">
            <w:pPr>
              <w:pStyle w:val="Tabletext"/>
            </w:pPr>
            <w:r w:rsidRPr="00686C2A">
              <w:lastRenderedPageBreak/>
              <w:t>14</w:t>
            </w:r>
          </w:p>
        </w:tc>
        <w:tc>
          <w:tcPr>
            <w:tcW w:w="3186" w:type="dxa"/>
            <w:shd w:val="clear" w:color="auto" w:fill="auto"/>
          </w:tcPr>
          <w:p w:rsidR="00D95E66" w:rsidRPr="00686C2A" w:rsidRDefault="00D77C51" w:rsidP="00D95E66">
            <w:pPr>
              <w:pStyle w:val="Tabletext"/>
            </w:pPr>
            <w:r w:rsidRPr="00686C2A">
              <w:t>If</w:t>
            </w:r>
            <w:r w:rsidR="00D95E66" w:rsidRPr="00686C2A">
              <w:t>, during the most recently</w:t>
            </w:r>
            <w:r w:rsidR="0035033D" w:rsidRPr="00686C2A">
              <w:t xml:space="preserve"> </w:t>
            </w:r>
            <w:r w:rsidR="00D95E66" w:rsidRPr="00686C2A">
              <w:lastRenderedPageBreak/>
              <w:t>complete</w:t>
            </w:r>
            <w:r w:rsidR="0035033D" w:rsidRPr="00686C2A">
              <w:t>d financial year,</w:t>
            </w:r>
            <w:r w:rsidRPr="00686C2A">
              <w:t xml:space="preserve"> options and rights </w:t>
            </w:r>
            <w:r w:rsidR="0035033D" w:rsidRPr="00686C2A">
              <w:t xml:space="preserve">over an equity instrument issued or issuable by the </w:t>
            </w:r>
            <w:proofErr w:type="spellStart"/>
            <w:r w:rsidR="0035033D" w:rsidRPr="00686C2A">
              <w:t>RSE</w:t>
            </w:r>
            <w:proofErr w:type="spellEnd"/>
            <w:r w:rsidR="0035033D" w:rsidRPr="00686C2A">
              <w:t xml:space="preserve"> licensee or by a related body corporate </w:t>
            </w:r>
            <w:r w:rsidR="00D95E66" w:rsidRPr="00686C2A">
              <w:t>were provided as compensation to a person who was a relevant executive officer or relevant individual trustee</w:t>
            </w:r>
          </w:p>
          <w:p w:rsidR="002166EE" w:rsidRPr="00686C2A" w:rsidRDefault="002166EE" w:rsidP="002166EE">
            <w:pPr>
              <w:pStyle w:val="Tabletext"/>
              <w:rPr>
                <w:i/>
              </w:rPr>
            </w:pPr>
          </w:p>
        </w:tc>
        <w:tc>
          <w:tcPr>
            <w:tcW w:w="3186" w:type="dxa"/>
            <w:shd w:val="clear" w:color="auto" w:fill="auto"/>
          </w:tcPr>
          <w:p w:rsidR="00D77C51" w:rsidRPr="00686C2A" w:rsidRDefault="00D77C51" w:rsidP="00197785">
            <w:pPr>
              <w:pStyle w:val="Tablea"/>
            </w:pPr>
            <w:r w:rsidRPr="00686C2A">
              <w:lastRenderedPageBreak/>
              <w:t xml:space="preserve">(a) The number of options and the </w:t>
            </w:r>
            <w:r w:rsidRPr="00686C2A">
              <w:lastRenderedPageBreak/>
              <w:t>number of rights that, during the financial year, were:</w:t>
            </w:r>
          </w:p>
          <w:p w:rsidR="00D77C51" w:rsidRPr="00686C2A" w:rsidRDefault="00D77C51" w:rsidP="00197785">
            <w:pPr>
              <w:pStyle w:val="Tablei"/>
            </w:pPr>
            <w:r w:rsidRPr="00686C2A">
              <w:t>(</w:t>
            </w:r>
            <w:proofErr w:type="spellStart"/>
            <w:r w:rsidRPr="00686C2A">
              <w:t>i</w:t>
            </w:r>
            <w:proofErr w:type="spellEnd"/>
            <w:r w:rsidRPr="00686C2A">
              <w:t>) granted; and</w:t>
            </w:r>
          </w:p>
          <w:p w:rsidR="00D77C51" w:rsidRPr="00686C2A" w:rsidRDefault="00D77C51" w:rsidP="00197785">
            <w:pPr>
              <w:pStyle w:val="Tablei"/>
            </w:pPr>
            <w:r w:rsidRPr="00686C2A">
              <w:t>(ii) vested; and</w:t>
            </w:r>
          </w:p>
          <w:p w:rsidR="00D77C51" w:rsidRPr="00686C2A" w:rsidRDefault="00D77C51" w:rsidP="00197785">
            <w:pPr>
              <w:pStyle w:val="Tablea"/>
            </w:pPr>
            <w:r w:rsidRPr="00686C2A">
              <w:t>(b) the terms and conditions of each grant made during the financial year, including:</w:t>
            </w:r>
          </w:p>
          <w:p w:rsidR="00D77C51" w:rsidRPr="00686C2A" w:rsidRDefault="00D77C51" w:rsidP="00197785">
            <w:pPr>
              <w:pStyle w:val="Tablei"/>
            </w:pPr>
            <w:r w:rsidRPr="00686C2A">
              <w:t>(</w:t>
            </w:r>
            <w:proofErr w:type="spellStart"/>
            <w:r w:rsidRPr="00686C2A">
              <w:t>i</w:t>
            </w:r>
            <w:proofErr w:type="spellEnd"/>
            <w:r w:rsidRPr="00686C2A">
              <w:t>) the fair value per option or right at grant date; and</w:t>
            </w:r>
          </w:p>
          <w:p w:rsidR="00D77C51" w:rsidRPr="00686C2A" w:rsidRDefault="00D77C51" w:rsidP="00197785">
            <w:pPr>
              <w:pStyle w:val="Tablei"/>
            </w:pPr>
            <w:r w:rsidRPr="00686C2A">
              <w:t>(ii) the exercise price per share or unit; and</w:t>
            </w:r>
          </w:p>
          <w:p w:rsidR="00D77C51" w:rsidRPr="00686C2A" w:rsidRDefault="00D77C51" w:rsidP="00197785">
            <w:pPr>
              <w:pStyle w:val="Tablei"/>
            </w:pPr>
            <w:r w:rsidRPr="00686C2A">
              <w:t>(iii) the amount, if any, paid or payable by the person; and</w:t>
            </w:r>
          </w:p>
          <w:p w:rsidR="00D77C51" w:rsidRPr="00686C2A" w:rsidRDefault="00D77C51" w:rsidP="00197785">
            <w:pPr>
              <w:pStyle w:val="Tablei"/>
            </w:pPr>
            <w:r w:rsidRPr="00686C2A">
              <w:t>(iv) the expiry date of the grant; and</w:t>
            </w:r>
          </w:p>
          <w:p w:rsidR="00D77C51" w:rsidRPr="00686C2A" w:rsidRDefault="00D77C51" w:rsidP="00197785">
            <w:pPr>
              <w:pStyle w:val="Tablei"/>
            </w:pPr>
            <w:r w:rsidRPr="00686C2A">
              <w:t>(v) when the options or rights may be exercised; and</w:t>
            </w:r>
          </w:p>
          <w:p w:rsidR="00D77C51" w:rsidRPr="00686C2A" w:rsidRDefault="00D77C51" w:rsidP="00197785">
            <w:pPr>
              <w:pStyle w:val="Tablei"/>
            </w:pPr>
            <w:r w:rsidRPr="00686C2A">
              <w:t>(vi) a summary of the service and performance criteria that must be met before the beneficial interest vests in the person</w:t>
            </w:r>
          </w:p>
        </w:tc>
      </w:tr>
      <w:tr w:rsidR="00A415EF" w:rsidRPr="00686C2A" w:rsidTr="00197785">
        <w:tc>
          <w:tcPr>
            <w:tcW w:w="714" w:type="dxa"/>
            <w:tcBorders>
              <w:bottom w:val="single" w:sz="4" w:space="0" w:color="auto"/>
            </w:tcBorders>
            <w:shd w:val="clear" w:color="auto" w:fill="auto"/>
          </w:tcPr>
          <w:p w:rsidR="00D77C51" w:rsidRPr="00686C2A" w:rsidRDefault="00D77C51" w:rsidP="00197785">
            <w:pPr>
              <w:pStyle w:val="Tabletext"/>
            </w:pPr>
            <w:r w:rsidRPr="00686C2A">
              <w:lastRenderedPageBreak/>
              <w:t>15</w:t>
            </w:r>
          </w:p>
        </w:tc>
        <w:tc>
          <w:tcPr>
            <w:tcW w:w="3186" w:type="dxa"/>
            <w:tcBorders>
              <w:bottom w:val="single" w:sz="4" w:space="0" w:color="auto"/>
            </w:tcBorders>
            <w:shd w:val="clear" w:color="auto" w:fill="auto"/>
          </w:tcPr>
          <w:p w:rsidR="00D77C51" w:rsidRPr="00686C2A" w:rsidRDefault="00D77C51" w:rsidP="00197785">
            <w:pPr>
              <w:pStyle w:val="Tabletext"/>
            </w:pPr>
            <w:r w:rsidRPr="00686C2A">
              <w:t xml:space="preserve">If an equity instrument that is issuable by the </w:t>
            </w:r>
            <w:proofErr w:type="spellStart"/>
            <w:r w:rsidRPr="00686C2A">
              <w:t>RSE</w:t>
            </w:r>
            <w:proofErr w:type="spellEnd"/>
            <w:r w:rsidRPr="00686C2A">
              <w:t xml:space="preserve"> licensee or a related body corporate was issued as a result of the exercise, during the most recently completed financial year, of options and rights that were granted as compensation to </w:t>
            </w:r>
            <w:r w:rsidR="00131146" w:rsidRPr="00686C2A">
              <w:t xml:space="preserve">a </w:t>
            </w:r>
            <w:r w:rsidR="009B3011" w:rsidRPr="00686C2A">
              <w:t>relevant executive officer</w:t>
            </w:r>
            <w:r w:rsidRPr="00686C2A">
              <w:t xml:space="preserve"> or </w:t>
            </w:r>
            <w:r w:rsidR="009B3011" w:rsidRPr="00686C2A">
              <w:t>relevant individual trustee</w:t>
            </w:r>
          </w:p>
          <w:p w:rsidR="00D77C51" w:rsidRPr="00686C2A" w:rsidRDefault="00D77C51" w:rsidP="00DF6910">
            <w:pPr>
              <w:pStyle w:val="Tabletext"/>
            </w:pPr>
          </w:p>
        </w:tc>
        <w:tc>
          <w:tcPr>
            <w:tcW w:w="3186" w:type="dxa"/>
            <w:tcBorders>
              <w:bottom w:val="single" w:sz="4" w:space="0" w:color="auto"/>
            </w:tcBorders>
            <w:shd w:val="clear" w:color="auto" w:fill="auto"/>
          </w:tcPr>
          <w:p w:rsidR="00D77C51" w:rsidRPr="00686C2A" w:rsidRDefault="00D77C51" w:rsidP="00197785">
            <w:pPr>
              <w:pStyle w:val="Tablea"/>
            </w:pPr>
            <w:r w:rsidRPr="00686C2A">
              <w:t>(a) How many equity instruments were issued; and</w:t>
            </w:r>
          </w:p>
          <w:p w:rsidR="00D77C51" w:rsidRPr="00686C2A" w:rsidRDefault="00D77C51" w:rsidP="00197785">
            <w:pPr>
              <w:pStyle w:val="Tablea"/>
            </w:pPr>
            <w:r w:rsidRPr="00686C2A">
              <w:t xml:space="preserve">(b) if the number of options or rights exercised differs from the number of equity instruments disclosed under </w:t>
            </w:r>
            <w:r w:rsidR="00686C2A" w:rsidRPr="00686C2A">
              <w:t>paragraph (</w:t>
            </w:r>
            <w:r w:rsidRPr="00686C2A">
              <w:t>a)—how many options or rights were exercised; and</w:t>
            </w:r>
          </w:p>
          <w:p w:rsidR="00D77C51" w:rsidRPr="00686C2A" w:rsidRDefault="00D77C51" w:rsidP="00197785">
            <w:pPr>
              <w:pStyle w:val="Tablea"/>
            </w:pPr>
            <w:r w:rsidRPr="00686C2A">
              <w:t>(c) the amount paid under each instrument; and</w:t>
            </w:r>
          </w:p>
          <w:p w:rsidR="00D77C51" w:rsidRPr="00686C2A" w:rsidRDefault="00D77C51" w:rsidP="00197785">
            <w:pPr>
              <w:pStyle w:val="Tablea"/>
            </w:pPr>
            <w:r w:rsidRPr="00686C2A">
              <w:t>(d) the amount payable under each instrument that is yet to be paid</w:t>
            </w:r>
          </w:p>
        </w:tc>
      </w:tr>
      <w:tr w:rsidR="00A415EF" w:rsidRPr="00686C2A" w:rsidTr="00197785">
        <w:tc>
          <w:tcPr>
            <w:tcW w:w="714" w:type="dxa"/>
            <w:tcBorders>
              <w:bottom w:val="single" w:sz="2" w:space="0" w:color="auto"/>
            </w:tcBorders>
            <w:shd w:val="clear" w:color="auto" w:fill="auto"/>
          </w:tcPr>
          <w:p w:rsidR="00D77C51" w:rsidRPr="00686C2A" w:rsidRDefault="00D77C51" w:rsidP="00197785">
            <w:pPr>
              <w:pStyle w:val="Tabletext"/>
            </w:pPr>
            <w:r w:rsidRPr="00686C2A">
              <w:t>16</w:t>
            </w:r>
          </w:p>
        </w:tc>
        <w:tc>
          <w:tcPr>
            <w:tcW w:w="3186" w:type="dxa"/>
            <w:tcBorders>
              <w:bottom w:val="single" w:sz="2" w:space="0" w:color="auto"/>
            </w:tcBorders>
            <w:shd w:val="clear" w:color="auto" w:fill="auto"/>
          </w:tcPr>
          <w:p w:rsidR="00D77C51" w:rsidRPr="00686C2A" w:rsidRDefault="00D77C51" w:rsidP="008F6F15">
            <w:pPr>
              <w:pStyle w:val="Tabletext"/>
            </w:pPr>
            <w:r w:rsidRPr="00686C2A">
              <w:t xml:space="preserve">If an amount attributable to the service of </w:t>
            </w:r>
            <w:r w:rsidR="00131146" w:rsidRPr="00686C2A">
              <w:t xml:space="preserve">a </w:t>
            </w:r>
            <w:r w:rsidR="009B3011" w:rsidRPr="00686C2A">
              <w:t>relevant executive officer</w:t>
            </w:r>
            <w:r w:rsidRPr="00686C2A">
              <w:t xml:space="preserve"> who is a director, or </w:t>
            </w:r>
            <w:r w:rsidR="009B3011" w:rsidRPr="00686C2A">
              <w:t>a relevant individual trustee</w:t>
            </w:r>
            <w:r w:rsidRPr="00686C2A">
              <w:t xml:space="preserve">, for the </w:t>
            </w:r>
            <w:r w:rsidRPr="00686C2A">
              <w:lastRenderedPageBreak/>
              <w:t xml:space="preserve">most recently completed financial year is paid to an organisation or entity rather than to the </w:t>
            </w:r>
            <w:r w:rsidR="009B3011" w:rsidRPr="00686C2A">
              <w:t>relevant executive officer</w:t>
            </w:r>
            <w:r w:rsidRPr="00686C2A">
              <w:t xml:space="preserve"> or </w:t>
            </w:r>
            <w:r w:rsidR="009B3011" w:rsidRPr="00686C2A">
              <w:t>relevant individual trustee</w:t>
            </w:r>
          </w:p>
        </w:tc>
        <w:tc>
          <w:tcPr>
            <w:tcW w:w="3186" w:type="dxa"/>
            <w:tcBorders>
              <w:bottom w:val="single" w:sz="2" w:space="0" w:color="auto"/>
            </w:tcBorders>
            <w:shd w:val="clear" w:color="auto" w:fill="auto"/>
          </w:tcPr>
          <w:p w:rsidR="00D77C51" w:rsidRPr="00686C2A" w:rsidRDefault="00D77C51" w:rsidP="00197785">
            <w:pPr>
              <w:pStyle w:val="Tablea"/>
            </w:pPr>
            <w:r w:rsidRPr="00686C2A">
              <w:lastRenderedPageBreak/>
              <w:t>(a) The amount; and</w:t>
            </w:r>
          </w:p>
          <w:p w:rsidR="00D77C51" w:rsidRPr="00686C2A" w:rsidRDefault="00D77C51" w:rsidP="00197785">
            <w:pPr>
              <w:pStyle w:val="Tablea"/>
            </w:pPr>
            <w:r w:rsidRPr="00686C2A">
              <w:t>(b) the name of the organisation or entity</w:t>
            </w:r>
          </w:p>
        </w:tc>
      </w:tr>
    </w:tbl>
    <w:p w:rsidR="004A120E" w:rsidRPr="00686C2A" w:rsidRDefault="00D77C51" w:rsidP="00C73E98">
      <w:pPr>
        <w:pStyle w:val="subsection"/>
      </w:pPr>
      <w:r w:rsidRPr="00686C2A">
        <w:lastRenderedPageBreak/>
        <w:tab/>
        <w:t>(2)</w:t>
      </w:r>
      <w:r w:rsidRPr="00686C2A">
        <w:tab/>
      </w:r>
      <w:r w:rsidR="004A120E" w:rsidRPr="00686C2A">
        <w:t>If:</w:t>
      </w:r>
    </w:p>
    <w:p w:rsidR="004A120E" w:rsidRPr="00686C2A" w:rsidRDefault="00C73E98" w:rsidP="008770F2">
      <w:pPr>
        <w:pStyle w:val="paragraph"/>
      </w:pPr>
      <w:r w:rsidRPr="00686C2A">
        <w:tab/>
        <w:t>(a)</w:t>
      </w:r>
      <w:r w:rsidRPr="00686C2A">
        <w:tab/>
      </w:r>
      <w:r w:rsidR="004A120E" w:rsidRPr="00686C2A">
        <w:t>a person is:</w:t>
      </w:r>
    </w:p>
    <w:p w:rsidR="004A120E" w:rsidRPr="00686C2A" w:rsidRDefault="00C73E98" w:rsidP="00505373">
      <w:pPr>
        <w:pStyle w:val="paragraphsub"/>
      </w:pPr>
      <w:r w:rsidRPr="00686C2A">
        <w:tab/>
        <w:t>(</w:t>
      </w:r>
      <w:proofErr w:type="spellStart"/>
      <w:r w:rsidRPr="00686C2A">
        <w:t>i</w:t>
      </w:r>
      <w:proofErr w:type="spellEnd"/>
      <w:r w:rsidRPr="00686C2A">
        <w:t>)</w:t>
      </w:r>
      <w:r w:rsidRPr="00686C2A">
        <w:tab/>
      </w:r>
      <w:r w:rsidR="004A120E" w:rsidRPr="00686C2A">
        <w:t xml:space="preserve">an executive officer of the </w:t>
      </w:r>
      <w:proofErr w:type="spellStart"/>
      <w:r w:rsidR="004A120E" w:rsidRPr="00686C2A">
        <w:t>RSE</w:t>
      </w:r>
      <w:proofErr w:type="spellEnd"/>
      <w:r w:rsidR="004A120E" w:rsidRPr="00686C2A">
        <w:t xml:space="preserve"> licensee of a registrable superannuation entity (the </w:t>
      </w:r>
      <w:r w:rsidR="004A120E" w:rsidRPr="00686C2A">
        <w:rPr>
          <w:b/>
          <w:bCs/>
          <w:i/>
          <w:iCs/>
        </w:rPr>
        <w:t>reporting entity</w:t>
      </w:r>
      <w:r w:rsidR="004A120E" w:rsidRPr="00686C2A">
        <w:t>); or</w:t>
      </w:r>
    </w:p>
    <w:p w:rsidR="004A120E" w:rsidRPr="00686C2A" w:rsidRDefault="00C73E98" w:rsidP="00505373">
      <w:pPr>
        <w:pStyle w:val="paragraphsub"/>
      </w:pPr>
      <w:r w:rsidRPr="00686C2A">
        <w:tab/>
      </w:r>
      <w:r w:rsidR="00505373" w:rsidRPr="00686C2A">
        <w:t>(ii)</w:t>
      </w:r>
      <w:r w:rsidR="00505373" w:rsidRPr="00686C2A">
        <w:tab/>
      </w:r>
      <w:r w:rsidR="004A120E" w:rsidRPr="00686C2A">
        <w:t xml:space="preserve">an individual trustee of a registrable superannuation entity (the </w:t>
      </w:r>
      <w:r w:rsidR="004A120E" w:rsidRPr="00686C2A">
        <w:rPr>
          <w:b/>
          <w:bCs/>
          <w:i/>
          <w:iCs/>
        </w:rPr>
        <w:t>reporting entity</w:t>
      </w:r>
      <w:r w:rsidR="004A120E" w:rsidRPr="00686C2A">
        <w:t>); and</w:t>
      </w:r>
    </w:p>
    <w:p w:rsidR="004A120E" w:rsidRPr="00686C2A" w:rsidRDefault="00C73E98" w:rsidP="008770F2">
      <w:pPr>
        <w:pStyle w:val="paragraph"/>
      </w:pPr>
      <w:r w:rsidRPr="00686C2A">
        <w:tab/>
      </w:r>
      <w:r w:rsidR="008770F2" w:rsidRPr="00686C2A">
        <w:t>(b)</w:t>
      </w:r>
      <w:r w:rsidR="008770F2" w:rsidRPr="00686C2A">
        <w:tab/>
      </w:r>
      <w:r w:rsidR="004A120E" w:rsidRPr="00686C2A">
        <w:t>the person receives a payment, benefit or compensation from a related entity of the reporting entity;</w:t>
      </w:r>
    </w:p>
    <w:p w:rsidR="004A120E" w:rsidRPr="00686C2A" w:rsidRDefault="00C73E98" w:rsidP="008770F2">
      <w:pPr>
        <w:pStyle w:val="paragraph"/>
      </w:pPr>
      <w:r w:rsidRPr="00686C2A">
        <w:tab/>
      </w:r>
      <w:r w:rsidR="008770F2" w:rsidRPr="00686C2A">
        <w:t>(c)</w:t>
      </w:r>
      <w:r w:rsidR="008770F2" w:rsidRPr="00686C2A">
        <w:tab/>
      </w:r>
      <w:r w:rsidR="004A120E" w:rsidRPr="00686C2A">
        <w:t>all or part of the payment, benefit or compensation relates to work performed for the reporting entity;</w:t>
      </w:r>
    </w:p>
    <w:p w:rsidR="004A120E" w:rsidRPr="00686C2A" w:rsidRDefault="004A120E" w:rsidP="00197785">
      <w:pPr>
        <w:pStyle w:val="subsection2"/>
      </w:pPr>
      <w:r w:rsidRPr="00686C2A">
        <w:t>then, to the extent that the payment, benefit or compensation relates to that work, the payment, benefit or compensation must be disclosed in the table in the same way as it would be disclosed if it had been paid or given by the reporting entity.</w:t>
      </w:r>
    </w:p>
    <w:p w:rsidR="00D77C51" w:rsidRPr="00686C2A" w:rsidRDefault="00D77C51" w:rsidP="004A120E">
      <w:pPr>
        <w:pStyle w:val="subsection"/>
      </w:pPr>
      <w:r w:rsidRPr="00686C2A">
        <w:tab/>
        <w:t>(3)</w:t>
      </w:r>
      <w:r w:rsidRPr="00686C2A">
        <w:tab/>
      </w:r>
      <w:r w:rsidR="00C364B5" w:rsidRPr="00686C2A">
        <w:t xml:space="preserve">The </w:t>
      </w:r>
      <w:proofErr w:type="spellStart"/>
      <w:r w:rsidRPr="00686C2A">
        <w:t>RSE</w:t>
      </w:r>
      <w:proofErr w:type="spellEnd"/>
      <w:r w:rsidRPr="00686C2A">
        <w:t xml:space="preserve"> licensee </w:t>
      </w:r>
      <w:r w:rsidR="00C364B5" w:rsidRPr="00686C2A">
        <w:t xml:space="preserve">entity </w:t>
      </w:r>
      <w:r w:rsidRPr="00686C2A">
        <w:t>must apply the requirements of relevant accounting standards when disclosing the info</w:t>
      </w:r>
      <w:r w:rsidR="00C73E98" w:rsidRPr="00686C2A">
        <w:t>rmation mentioned in the table.</w:t>
      </w:r>
    </w:p>
    <w:p w:rsidR="00D77C51" w:rsidRPr="00686C2A" w:rsidRDefault="00D77C51" w:rsidP="00D77C51">
      <w:pPr>
        <w:pStyle w:val="subsection"/>
      </w:pPr>
      <w:r w:rsidRPr="00686C2A">
        <w:tab/>
        <w:t>(4)</w:t>
      </w:r>
      <w:r w:rsidRPr="00686C2A">
        <w:tab/>
        <w:t>If an expression used in the table is defined in an accounting standard that is applied for the purpose of disclosing information, the expression has the meaning given by the standard.</w:t>
      </w:r>
    </w:p>
    <w:p w:rsidR="00D77C51" w:rsidRPr="00686C2A" w:rsidRDefault="00D77C51" w:rsidP="00D77C51">
      <w:pPr>
        <w:pStyle w:val="subsection"/>
      </w:pPr>
      <w:r w:rsidRPr="00686C2A">
        <w:tab/>
        <w:t>(5)</w:t>
      </w:r>
      <w:r w:rsidRPr="00686C2A">
        <w:tab/>
        <w:t>A disclosure required by item</w:t>
      </w:r>
      <w:r w:rsidR="00686C2A" w:rsidRPr="00686C2A">
        <w:t> </w:t>
      </w:r>
      <w:r w:rsidRPr="00686C2A">
        <w:t>14 or 15 of the table must:</w:t>
      </w:r>
    </w:p>
    <w:p w:rsidR="00D77C51" w:rsidRPr="00686C2A" w:rsidRDefault="00D77C51" w:rsidP="00D77C51">
      <w:pPr>
        <w:pStyle w:val="paragraph"/>
      </w:pPr>
      <w:r w:rsidRPr="00686C2A">
        <w:tab/>
        <w:t>(a)</w:t>
      </w:r>
      <w:r w:rsidRPr="00686C2A">
        <w:tab/>
        <w:t>be separated into each class of equity instrument; and</w:t>
      </w:r>
    </w:p>
    <w:p w:rsidR="00D77C51" w:rsidRPr="00686C2A" w:rsidRDefault="00D77C51" w:rsidP="00D77C51">
      <w:pPr>
        <w:pStyle w:val="paragraph"/>
      </w:pPr>
      <w:r w:rsidRPr="00686C2A">
        <w:tab/>
        <w:t>(b)</w:t>
      </w:r>
      <w:r w:rsidRPr="00686C2A">
        <w:tab/>
        <w:t>identify each class of equity instrument by:</w:t>
      </w:r>
    </w:p>
    <w:p w:rsidR="00D77C51" w:rsidRPr="00686C2A" w:rsidRDefault="00D77C51" w:rsidP="00D77C51">
      <w:pPr>
        <w:pStyle w:val="paragraphsub"/>
      </w:pPr>
      <w:r w:rsidRPr="00686C2A">
        <w:tab/>
        <w:t>(</w:t>
      </w:r>
      <w:proofErr w:type="spellStart"/>
      <w:r w:rsidRPr="00686C2A">
        <w:t>i</w:t>
      </w:r>
      <w:proofErr w:type="spellEnd"/>
      <w:r w:rsidRPr="00686C2A">
        <w:t>)</w:t>
      </w:r>
      <w:r w:rsidRPr="00686C2A">
        <w:tab/>
        <w:t>the name of the issuing entity;</w:t>
      </w:r>
    </w:p>
    <w:p w:rsidR="00D77C51" w:rsidRPr="00686C2A" w:rsidRDefault="00D77C51" w:rsidP="00D77C51">
      <w:pPr>
        <w:pStyle w:val="paragraphsub"/>
      </w:pPr>
      <w:r w:rsidRPr="00686C2A">
        <w:tab/>
        <w:t>(ii)</w:t>
      </w:r>
      <w:r w:rsidRPr="00686C2A">
        <w:tab/>
        <w:t>the class of equity instrument; and</w:t>
      </w:r>
    </w:p>
    <w:p w:rsidR="00D77C51" w:rsidRPr="00686C2A" w:rsidRDefault="00D77C51" w:rsidP="00D77C51">
      <w:pPr>
        <w:pStyle w:val="paragraphsub"/>
      </w:pPr>
      <w:r w:rsidRPr="00686C2A">
        <w:tab/>
        <w:t>(iii)</w:t>
      </w:r>
      <w:r w:rsidRPr="00686C2A">
        <w:tab/>
        <w:t>if the instrument is an option or right—the class and number of equity instruments for which it may be exercised.</w:t>
      </w:r>
    </w:p>
    <w:p w:rsidR="00DE4A90" w:rsidRPr="00686C2A" w:rsidRDefault="00DE4A90" w:rsidP="00DE4A90">
      <w:pPr>
        <w:pStyle w:val="ActHead5"/>
      </w:pPr>
      <w:bookmarkStart w:id="47" w:name="_Toc359591541"/>
      <w:r w:rsidRPr="00686C2A">
        <w:rPr>
          <w:rStyle w:val="CharSectno"/>
        </w:rPr>
        <w:lastRenderedPageBreak/>
        <w:t>2.38</w:t>
      </w:r>
      <w:r w:rsidRPr="00686C2A">
        <w:t xml:space="preserve">  Obligation to make information publicly available—</w:t>
      </w:r>
      <w:proofErr w:type="spellStart"/>
      <w:r w:rsidRPr="00686C2A">
        <w:t>RSE</w:t>
      </w:r>
      <w:proofErr w:type="spellEnd"/>
      <w:r w:rsidRPr="00686C2A">
        <w:t xml:space="preserve"> licensee of registrable superannuation entity</w:t>
      </w:r>
      <w:bookmarkEnd w:id="47"/>
    </w:p>
    <w:p w:rsidR="00DE4A90" w:rsidRPr="00686C2A" w:rsidRDefault="00DE4A90" w:rsidP="00DE4A90">
      <w:pPr>
        <w:pStyle w:val="subsection"/>
      </w:pPr>
      <w:r w:rsidRPr="00686C2A">
        <w:tab/>
        <w:t>(1)</w:t>
      </w:r>
      <w:r w:rsidRPr="00686C2A">
        <w:tab/>
        <w:t>This regulation is made for paragraph</w:t>
      </w:r>
      <w:r w:rsidR="00686C2A" w:rsidRPr="00686C2A">
        <w:t> </w:t>
      </w:r>
      <w:r w:rsidRPr="00686C2A">
        <w:t>29QB(1)(b) of the Act.</w:t>
      </w:r>
    </w:p>
    <w:p w:rsidR="00DE4A90" w:rsidRPr="00686C2A" w:rsidRDefault="00DE4A90" w:rsidP="00DE4A90">
      <w:pPr>
        <w:pStyle w:val="subsection"/>
      </w:pPr>
      <w:r w:rsidRPr="00686C2A">
        <w:tab/>
        <w:t>(2)</w:t>
      </w:r>
      <w:r w:rsidRPr="00686C2A">
        <w:tab/>
        <w:t>The following documents and information relating to the registrable superannuation entity are prescribed (if applicable):</w:t>
      </w:r>
    </w:p>
    <w:p w:rsidR="000E4CE3" w:rsidRPr="00686C2A" w:rsidRDefault="00DE4A90" w:rsidP="00DE4A90">
      <w:pPr>
        <w:pStyle w:val="paragraph"/>
      </w:pPr>
      <w:r w:rsidRPr="00686C2A">
        <w:tab/>
        <w:t>(a)</w:t>
      </w:r>
      <w:r w:rsidRPr="00686C2A">
        <w:tab/>
      </w:r>
      <w:r w:rsidR="000E4CE3" w:rsidRPr="00686C2A">
        <w:t>both:</w:t>
      </w:r>
    </w:p>
    <w:p w:rsidR="00DE4A90" w:rsidRPr="00686C2A" w:rsidRDefault="000E4CE3" w:rsidP="000E4CE3">
      <w:pPr>
        <w:pStyle w:val="paragraphsub"/>
      </w:pPr>
      <w:r w:rsidRPr="00686C2A">
        <w:tab/>
        <w:t>(</w:t>
      </w:r>
      <w:proofErr w:type="spellStart"/>
      <w:r w:rsidRPr="00686C2A">
        <w:t>i</w:t>
      </w:r>
      <w:proofErr w:type="spellEnd"/>
      <w:r w:rsidRPr="00686C2A">
        <w:t>)</w:t>
      </w:r>
      <w:r w:rsidRPr="00686C2A">
        <w:tab/>
        <w:t xml:space="preserve">a current version of </w:t>
      </w:r>
      <w:r w:rsidR="00DE4A90" w:rsidRPr="00686C2A">
        <w:t>the trust deed;</w:t>
      </w:r>
      <w:r w:rsidRPr="00686C2A">
        <w:t xml:space="preserve"> and</w:t>
      </w:r>
    </w:p>
    <w:p w:rsidR="00DE4A90" w:rsidRPr="00686C2A" w:rsidRDefault="00DE4A90" w:rsidP="000E4CE3">
      <w:pPr>
        <w:pStyle w:val="paragraphsub"/>
      </w:pPr>
      <w:r w:rsidRPr="00686C2A">
        <w:tab/>
      </w:r>
      <w:r w:rsidR="000E4CE3" w:rsidRPr="00686C2A">
        <w:t>(ii)</w:t>
      </w:r>
      <w:r w:rsidR="000E4CE3" w:rsidRPr="00686C2A">
        <w:tab/>
      </w:r>
      <w:r w:rsidRPr="00686C2A">
        <w:t xml:space="preserve">any </w:t>
      </w:r>
      <w:r w:rsidR="000E4CE3" w:rsidRPr="00686C2A">
        <w:t xml:space="preserve">material not incorporated in the current version of the </w:t>
      </w:r>
      <w:r w:rsidRPr="00686C2A">
        <w:t>trust deed;</w:t>
      </w:r>
    </w:p>
    <w:p w:rsidR="00DE4A90" w:rsidRPr="00686C2A" w:rsidRDefault="00DE4A90" w:rsidP="00DE4A90">
      <w:pPr>
        <w:pStyle w:val="paragraph"/>
      </w:pPr>
      <w:r w:rsidRPr="00686C2A">
        <w:tab/>
        <w:t>(</w:t>
      </w:r>
      <w:r w:rsidR="00DE1154" w:rsidRPr="00686C2A">
        <w:t>b</w:t>
      </w:r>
      <w:r w:rsidRPr="00686C2A">
        <w:t>)</w:t>
      </w:r>
      <w:r w:rsidRPr="00686C2A">
        <w:tab/>
        <w:t>the governing rules;</w:t>
      </w:r>
    </w:p>
    <w:p w:rsidR="00DE4A90" w:rsidRPr="00686C2A" w:rsidRDefault="00DE4A90" w:rsidP="00DE4A90">
      <w:pPr>
        <w:pStyle w:val="paragraph"/>
      </w:pPr>
      <w:r w:rsidRPr="00686C2A">
        <w:tab/>
        <w:t>(</w:t>
      </w:r>
      <w:r w:rsidR="00DE1154" w:rsidRPr="00686C2A">
        <w:t>c</w:t>
      </w:r>
      <w:r w:rsidRPr="00686C2A">
        <w:t>)</w:t>
      </w:r>
      <w:r w:rsidRPr="00686C2A">
        <w:tab/>
        <w:t>rules relating to the nomination, appointment and removal of trustees or trustee directors;</w:t>
      </w:r>
    </w:p>
    <w:p w:rsidR="00DE4A90" w:rsidRPr="00686C2A" w:rsidRDefault="00DE4A90" w:rsidP="00DE4A90">
      <w:pPr>
        <w:pStyle w:val="paragraph"/>
      </w:pPr>
      <w:r w:rsidRPr="00686C2A">
        <w:tab/>
        <w:t>(</w:t>
      </w:r>
      <w:r w:rsidR="00DE1154" w:rsidRPr="00686C2A">
        <w:t>d</w:t>
      </w:r>
      <w:r w:rsidRPr="00686C2A">
        <w:t>)</w:t>
      </w:r>
      <w:r w:rsidRPr="00686C2A">
        <w:tab/>
        <w:t>the most recent actuarial report for each defined benefit fund;</w:t>
      </w:r>
    </w:p>
    <w:p w:rsidR="00DE4A90" w:rsidRPr="00686C2A" w:rsidRDefault="00DE4A90" w:rsidP="00DE4A90">
      <w:pPr>
        <w:pStyle w:val="paragraph"/>
      </w:pPr>
      <w:r w:rsidRPr="00686C2A">
        <w:tab/>
        <w:t>(</w:t>
      </w:r>
      <w:r w:rsidR="00DE1154" w:rsidRPr="00686C2A">
        <w:t>e</w:t>
      </w:r>
      <w:r w:rsidRPr="00686C2A">
        <w:t>)</w:t>
      </w:r>
      <w:r w:rsidRPr="00686C2A">
        <w:tab/>
        <w:t>the most recent product disclosure statement for each superannuation product (within the meaning of Chapter</w:t>
      </w:r>
      <w:r w:rsidR="00686C2A" w:rsidRPr="00686C2A">
        <w:t> </w:t>
      </w:r>
      <w:r w:rsidRPr="00686C2A">
        <w:t xml:space="preserve">7 of the </w:t>
      </w:r>
      <w:r w:rsidRPr="00686C2A">
        <w:rPr>
          <w:i/>
        </w:rPr>
        <w:t>Corporations Act 2001</w:t>
      </w:r>
      <w:r w:rsidRPr="00686C2A">
        <w:t>) offered by the entity;</w:t>
      </w:r>
    </w:p>
    <w:p w:rsidR="00DE4A90" w:rsidRPr="00686C2A" w:rsidRDefault="00DE4A90" w:rsidP="00DE4A90">
      <w:pPr>
        <w:pStyle w:val="paragraph"/>
      </w:pPr>
      <w:r w:rsidRPr="00686C2A">
        <w:tab/>
        <w:t>(</w:t>
      </w:r>
      <w:r w:rsidR="00DE1154" w:rsidRPr="00686C2A">
        <w:t>f</w:t>
      </w:r>
      <w:r w:rsidRPr="00686C2A">
        <w:t>)</w:t>
      </w:r>
      <w:r w:rsidRPr="00686C2A">
        <w:tab/>
        <w:t>the annual report for the previous financial year;</w:t>
      </w:r>
    </w:p>
    <w:p w:rsidR="00DE4A90" w:rsidRPr="00686C2A" w:rsidRDefault="00DE4A90" w:rsidP="00DE4A90">
      <w:pPr>
        <w:pStyle w:val="paragraph"/>
      </w:pPr>
      <w:r w:rsidRPr="00686C2A">
        <w:tab/>
        <w:t>(</w:t>
      </w:r>
      <w:r w:rsidR="00DE1154" w:rsidRPr="00686C2A">
        <w:t>g</w:t>
      </w:r>
      <w:r w:rsidRPr="00686C2A">
        <w:t>)</w:t>
      </w:r>
      <w:r w:rsidRPr="00686C2A">
        <w:tab/>
        <w:t>the financial services guide;</w:t>
      </w:r>
    </w:p>
    <w:p w:rsidR="00DE4A90" w:rsidRPr="00686C2A" w:rsidRDefault="00DE4A90" w:rsidP="00DE4A90">
      <w:pPr>
        <w:pStyle w:val="paragraph"/>
      </w:pPr>
      <w:r w:rsidRPr="00686C2A">
        <w:tab/>
        <w:t>(</w:t>
      </w:r>
      <w:r w:rsidR="00DE1154" w:rsidRPr="00686C2A">
        <w:t>h</w:t>
      </w:r>
      <w:r w:rsidRPr="00686C2A">
        <w:t>)</w:t>
      </w:r>
      <w:r w:rsidRPr="00686C2A">
        <w:tab/>
        <w:t>a summary of each significant event or material change notice made to members</w:t>
      </w:r>
      <w:r w:rsidR="009D163C" w:rsidRPr="00686C2A">
        <w:t xml:space="preserve"> within the previous 2 years</w:t>
      </w:r>
      <w:r w:rsidRPr="00686C2A">
        <w:t>;</w:t>
      </w:r>
    </w:p>
    <w:p w:rsidR="00DE4A90" w:rsidRPr="00686C2A" w:rsidRDefault="00DE4A90" w:rsidP="00DE4A90">
      <w:pPr>
        <w:pStyle w:val="paragraph"/>
      </w:pPr>
      <w:r w:rsidRPr="00686C2A">
        <w:tab/>
        <w:t>(</w:t>
      </w:r>
      <w:proofErr w:type="spellStart"/>
      <w:r w:rsidR="00DE1154" w:rsidRPr="00686C2A">
        <w:t>i</w:t>
      </w:r>
      <w:proofErr w:type="spellEnd"/>
      <w:r w:rsidRPr="00686C2A">
        <w:t>)</w:t>
      </w:r>
      <w:r w:rsidRPr="00686C2A">
        <w:tab/>
      </w:r>
      <w:r w:rsidR="002E5F86" w:rsidRPr="00686C2A">
        <w:t>the name and Australian Business Number of each outsourced service provider who provides a service which may affect a material business activity of the entity;</w:t>
      </w:r>
    </w:p>
    <w:p w:rsidR="002E5F86" w:rsidRPr="00686C2A" w:rsidRDefault="00DE4A90" w:rsidP="002E5F86">
      <w:pPr>
        <w:pStyle w:val="paragraph"/>
      </w:pPr>
      <w:r w:rsidRPr="00686C2A">
        <w:tab/>
        <w:t>(</w:t>
      </w:r>
      <w:r w:rsidR="00DE1154" w:rsidRPr="00686C2A">
        <w:t>j</w:t>
      </w:r>
      <w:r w:rsidRPr="00686C2A">
        <w:t>)</w:t>
      </w:r>
      <w:r w:rsidRPr="00686C2A">
        <w:tab/>
      </w:r>
      <w:r w:rsidR="002E5F86" w:rsidRPr="00686C2A">
        <w:t xml:space="preserve">the following information about each executive officer of the </w:t>
      </w:r>
      <w:proofErr w:type="spellStart"/>
      <w:r w:rsidR="002E5F86" w:rsidRPr="00686C2A">
        <w:t>RSE</w:t>
      </w:r>
      <w:proofErr w:type="spellEnd"/>
      <w:r w:rsidR="002E5F86" w:rsidRPr="00686C2A">
        <w:t xml:space="preserve"> licensee of the entity or each individual trustee of the entity (</w:t>
      </w:r>
      <w:r w:rsidR="002E5F86" w:rsidRPr="00686C2A">
        <w:rPr>
          <w:b/>
          <w:i/>
        </w:rPr>
        <w:t>relevant person</w:t>
      </w:r>
      <w:r w:rsidR="002E5F86" w:rsidRPr="00686C2A">
        <w:t>):</w:t>
      </w:r>
    </w:p>
    <w:p w:rsidR="002E5F86" w:rsidRPr="00686C2A" w:rsidRDefault="002E5F86" w:rsidP="002E5F86">
      <w:pPr>
        <w:pStyle w:val="paragraphsub"/>
      </w:pPr>
      <w:r w:rsidRPr="00686C2A">
        <w:tab/>
        <w:t>(</w:t>
      </w:r>
      <w:proofErr w:type="spellStart"/>
      <w:r w:rsidRPr="00686C2A">
        <w:t>i</w:t>
      </w:r>
      <w:proofErr w:type="spellEnd"/>
      <w:r w:rsidRPr="00686C2A">
        <w:t>)</w:t>
      </w:r>
      <w:r w:rsidRPr="00686C2A">
        <w:tab/>
        <w:t>the relevant person</w:t>
      </w:r>
      <w:r w:rsidR="00A16431" w:rsidRPr="00686C2A">
        <w:t>’</w:t>
      </w:r>
      <w:r w:rsidRPr="00686C2A">
        <w:t>s name;</w:t>
      </w:r>
    </w:p>
    <w:p w:rsidR="002E5F86" w:rsidRPr="00686C2A" w:rsidRDefault="002E5F86" w:rsidP="002E5F86">
      <w:pPr>
        <w:pStyle w:val="paragraphsub"/>
      </w:pPr>
      <w:r w:rsidRPr="00686C2A">
        <w:tab/>
        <w:t>(ii)</w:t>
      </w:r>
      <w:r w:rsidRPr="00686C2A">
        <w:tab/>
        <w:t>the qualifications of the relevant person;</w:t>
      </w:r>
    </w:p>
    <w:p w:rsidR="00DE4A90" w:rsidRPr="00686C2A" w:rsidRDefault="002E5F86" w:rsidP="00DE4A90">
      <w:pPr>
        <w:pStyle w:val="paragraphsub"/>
      </w:pPr>
      <w:r w:rsidRPr="00686C2A">
        <w:tab/>
        <w:t>(iii)</w:t>
      </w:r>
      <w:r w:rsidRPr="00686C2A">
        <w:tab/>
        <w:t>a summary of the relevant person</w:t>
      </w:r>
      <w:r w:rsidR="00A16431" w:rsidRPr="00686C2A">
        <w:t>’</w:t>
      </w:r>
      <w:r w:rsidRPr="00686C2A">
        <w:t>s experience as a trustee or board member, including the periods during which the relevant person served as a trustee or board member;</w:t>
      </w:r>
    </w:p>
    <w:p w:rsidR="00DE4A90" w:rsidRPr="00686C2A" w:rsidRDefault="00DE4A90" w:rsidP="00DE4A90">
      <w:pPr>
        <w:pStyle w:val="paragraph"/>
      </w:pPr>
      <w:r w:rsidRPr="00686C2A">
        <w:tab/>
        <w:t>(</w:t>
      </w:r>
      <w:r w:rsidR="00DE1154" w:rsidRPr="00686C2A">
        <w:t>k</w:t>
      </w:r>
      <w:r w:rsidRPr="00686C2A">
        <w:t>)</w:t>
      </w:r>
      <w:r w:rsidRPr="00686C2A">
        <w:tab/>
        <w:t>the record of attendance at board meetings for each director for:</w:t>
      </w:r>
    </w:p>
    <w:p w:rsidR="00DE4A90" w:rsidRPr="00686C2A" w:rsidRDefault="00DE4A90" w:rsidP="00DE4A90">
      <w:pPr>
        <w:pStyle w:val="paragraphsub"/>
      </w:pPr>
      <w:r w:rsidRPr="00686C2A">
        <w:tab/>
        <w:t>(</w:t>
      </w:r>
      <w:proofErr w:type="spellStart"/>
      <w:r w:rsidRPr="00686C2A">
        <w:t>i</w:t>
      </w:r>
      <w:proofErr w:type="spellEnd"/>
      <w:r w:rsidRPr="00686C2A">
        <w:t>)</w:t>
      </w:r>
      <w:r w:rsidRPr="00686C2A">
        <w:tab/>
        <w:t xml:space="preserve">the </w:t>
      </w:r>
      <w:r w:rsidR="001E413C" w:rsidRPr="00686C2A">
        <w:t>l</w:t>
      </w:r>
      <w:r w:rsidRPr="00686C2A">
        <w:t xml:space="preserve">ast 7 </w:t>
      </w:r>
      <w:r w:rsidR="001E413C" w:rsidRPr="00686C2A">
        <w:t xml:space="preserve">financial </w:t>
      </w:r>
      <w:r w:rsidRPr="00686C2A">
        <w:t>years; or</w:t>
      </w:r>
    </w:p>
    <w:p w:rsidR="00DE4A90" w:rsidRPr="00686C2A" w:rsidRDefault="00DE4A90" w:rsidP="00DE4A90">
      <w:pPr>
        <w:pStyle w:val="paragraphsub"/>
      </w:pPr>
      <w:r w:rsidRPr="00686C2A">
        <w:lastRenderedPageBreak/>
        <w:tab/>
        <w:t>(ii)</w:t>
      </w:r>
      <w:r w:rsidRPr="00686C2A">
        <w:tab/>
        <w:t xml:space="preserve">if the director has served for a period of less than </w:t>
      </w:r>
      <w:r w:rsidR="001E413C" w:rsidRPr="00686C2A">
        <w:t xml:space="preserve">7 </w:t>
      </w:r>
      <w:r w:rsidRPr="00686C2A">
        <w:t>years—that period;</w:t>
      </w:r>
    </w:p>
    <w:p w:rsidR="00DE4A90" w:rsidRPr="00686C2A" w:rsidRDefault="00DE4A90" w:rsidP="00DE4A90">
      <w:pPr>
        <w:pStyle w:val="paragraph"/>
      </w:pPr>
      <w:r w:rsidRPr="00686C2A">
        <w:tab/>
        <w:t>(</w:t>
      </w:r>
      <w:r w:rsidR="00DE1154" w:rsidRPr="00686C2A">
        <w:t>l</w:t>
      </w:r>
      <w:r w:rsidRPr="00686C2A">
        <w:t>)</w:t>
      </w:r>
      <w:r w:rsidRPr="00686C2A">
        <w:tab/>
        <w:t>a register of relevant interests and a register of relevant duties;</w:t>
      </w:r>
    </w:p>
    <w:p w:rsidR="00DE4A90" w:rsidRPr="00686C2A" w:rsidRDefault="00DE4A90" w:rsidP="00DE4A90">
      <w:pPr>
        <w:pStyle w:val="paragraph"/>
      </w:pPr>
      <w:r w:rsidRPr="00686C2A">
        <w:tab/>
        <w:t>(</w:t>
      </w:r>
      <w:r w:rsidR="00DE1154" w:rsidRPr="00686C2A">
        <w:t>m</w:t>
      </w:r>
      <w:r w:rsidRPr="00686C2A">
        <w:t>)</w:t>
      </w:r>
      <w:r w:rsidRPr="00686C2A">
        <w:tab/>
        <w:t>a summary of the conflicts management policy;</w:t>
      </w:r>
    </w:p>
    <w:p w:rsidR="00DE4A90" w:rsidRPr="00686C2A" w:rsidRDefault="00DE4A90" w:rsidP="00DE4A90">
      <w:pPr>
        <w:pStyle w:val="paragraph"/>
      </w:pPr>
      <w:r w:rsidRPr="00686C2A">
        <w:tab/>
        <w:t>(</w:t>
      </w:r>
      <w:r w:rsidR="00DE1154" w:rsidRPr="00686C2A">
        <w:t>n</w:t>
      </w:r>
      <w:r w:rsidRPr="00686C2A">
        <w:t>)</w:t>
      </w:r>
      <w:r w:rsidRPr="00686C2A">
        <w:tab/>
        <w:t>the proxy voting policies;</w:t>
      </w:r>
    </w:p>
    <w:p w:rsidR="00DE4A90" w:rsidRPr="00686C2A" w:rsidRDefault="00DE4A90" w:rsidP="00DE4A90">
      <w:pPr>
        <w:pStyle w:val="paragraph"/>
      </w:pPr>
      <w:r w:rsidRPr="00686C2A">
        <w:tab/>
        <w:t>(</w:t>
      </w:r>
      <w:r w:rsidR="00DE1154" w:rsidRPr="00686C2A">
        <w:t>o</w:t>
      </w:r>
      <w:r w:rsidRPr="00686C2A">
        <w:t>)</w:t>
      </w:r>
      <w:r w:rsidRPr="00686C2A">
        <w:tab/>
        <w:t>a summary of when, during the previous financial year, and how the entity has exercised its voting rights in relation to shares in listed companies.</w:t>
      </w:r>
    </w:p>
    <w:p w:rsidR="00DE4A90" w:rsidRPr="00686C2A" w:rsidRDefault="00DE4A90" w:rsidP="00DE4A90">
      <w:pPr>
        <w:pStyle w:val="subsection"/>
      </w:pPr>
      <w:r w:rsidRPr="00686C2A">
        <w:tab/>
        <w:t>(3)</w:t>
      </w:r>
      <w:r w:rsidRPr="00686C2A">
        <w:tab/>
        <w:t xml:space="preserve">The following documents or information relating to the </w:t>
      </w:r>
      <w:proofErr w:type="spellStart"/>
      <w:r w:rsidRPr="00686C2A">
        <w:t>RSE</w:t>
      </w:r>
      <w:proofErr w:type="spellEnd"/>
      <w:r w:rsidRPr="00686C2A">
        <w:t xml:space="preserve"> licensee are prescribed:</w:t>
      </w:r>
    </w:p>
    <w:p w:rsidR="00DE4A90" w:rsidRPr="00686C2A" w:rsidRDefault="00DE4A90" w:rsidP="00DE4A90">
      <w:pPr>
        <w:pStyle w:val="paragraph"/>
      </w:pPr>
      <w:r w:rsidRPr="00686C2A">
        <w:tab/>
        <w:t>(a)</w:t>
      </w:r>
      <w:r w:rsidRPr="00686C2A">
        <w:tab/>
        <w:t xml:space="preserve">if the </w:t>
      </w:r>
      <w:proofErr w:type="spellStart"/>
      <w:r w:rsidRPr="00686C2A">
        <w:t>RSE</w:t>
      </w:r>
      <w:proofErr w:type="spellEnd"/>
      <w:r w:rsidRPr="00686C2A">
        <w:t xml:space="preserve"> licensee is a body corporate—the constitution;</w:t>
      </w:r>
    </w:p>
    <w:p w:rsidR="00DE4A90" w:rsidRPr="00686C2A" w:rsidRDefault="00DE4A90" w:rsidP="00DE4A90">
      <w:pPr>
        <w:pStyle w:val="paragraph"/>
      </w:pPr>
      <w:r w:rsidRPr="00686C2A">
        <w:tab/>
        <w:t>(b)</w:t>
      </w:r>
      <w:r w:rsidRPr="00686C2A">
        <w:tab/>
        <w:t>the annual financial statement for the previous financial year.</w:t>
      </w:r>
    </w:p>
    <w:p w:rsidR="00DE4A90" w:rsidRPr="00686C2A" w:rsidRDefault="00DE4A90" w:rsidP="001E413C">
      <w:pPr>
        <w:pStyle w:val="subsection"/>
      </w:pPr>
      <w:r w:rsidRPr="00686C2A">
        <w:tab/>
        <w:t>(4)</w:t>
      </w:r>
      <w:r w:rsidRPr="00686C2A">
        <w:tab/>
        <w:t>In this regulation</w:t>
      </w:r>
      <w:r w:rsidR="001E413C" w:rsidRPr="00686C2A">
        <w:t xml:space="preserve"> </w:t>
      </w:r>
      <w:r w:rsidRPr="00686C2A">
        <w:t>a requirement that is expressed to apply to a defined benefit fund may be met by the requirement being satisfied in relation to each defined benefit sub</w:t>
      </w:r>
      <w:r w:rsidR="00686C2A">
        <w:noBreakHyphen/>
      </w:r>
      <w:r w:rsidRPr="00686C2A">
        <w:t>fund in the defined benefit fund.</w:t>
      </w:r>
    </w:p>
    <w:p w:rsidR="003721F5" w:rsidRPr="00686C2A" w:rsidRDefault="0018263A" w:rsidP="003721F5">
      <w:pPr>
        <w:pStyle w:val="ItemHead"/>
        <w:rPr>
          <w:rFonts w:cs="Arial"/>
        </w:rPr>
      </w:pPr>
      <w:r w:rsidRPr="00686C2A">
        <w:rPr>
          <w:rFonts w:cs="Arial"/>
          <w:noProof/>
        </w:rPr>
        <w:t>92</w:t>
      </w:r>
      <w:r w:rsidR="003721F5" w:rsidRPr="00686C2A">
        <w:rPr>
          <w:rFonts w:cs="Arial"/>
        </w:rPr>
        <w:t xml:space="preserve">  </w:t>
      </w:r>
      <w:proofErr w:type="spellStart"/>
      <w:r w:rsidR="003721F5" w:rsidRPr="00686C2A">
        <w:rPr>
          <w:rFonts w:cs="Arial"/>
        </w:rPr>
        <w:t>Subregulation</w:t>
      </w:r>
      <w:proofErr w:type="spellEnd"/>
      <w:r w:rsidR="00686C2A" w:rsidRPr="00686C2A">
        <w:rPr>
          <w:rFonts w:cs="Arial"/>
        </w:rPr>
        <w:t> </w:t>
      </w:r>
      <w:r w:rsidR="003721F5" w:rsidRPr="00686C2A">
        <w:rPr>
          <w:rFonts w:cs="Arial"/>
        </w:rPr>
        <w:t>3A.03(2) (note)</w:t>
      </w:r>
    </w:p>
    <w:p w:rsidR="003721F5" w:rsidRPr="00686C2A" w:rsidRDefault="003721F5" w:rsidP="003721F5">
      <w:pPr>
        <w:pStyle w:val="Item"/>
      </w:pPr>
      <w:r w:rsidRPr="00686C2A">
        <w:t>Repeal the note.</w:t>
      </w:r>
    </w:p>
    <w:p w:rsidR="003721F5" w:rsidRPr="00686C2A" w:rsidRDefault="0018263A" w:rsidP="003721F5">
      <w:pPr>
        <w:pStyle w:val="ItemHead"/>
        <w:rPr>
          <w:rFonts w:cs="Arial"/>
        </w:rPr>
      </w:pPr>
      <w:r w:rsidRPr="00686C2A">
        <w:rPr>
          <w:rFonts w:cs="Arial"/>
          <w:noProof/>
        </w:rPr>
        <w:t>93</w:t>
      </w:r>
      <w:r w:rsidR="003721F5" w:rsidRPr="00686C2A">
        <w:rPr>
          <w:rFonts w:cs="Arial"/>
        </w:rPr>
        <w:t xml:space="preserve">  Division</w:t>
      </w:r>
      <w:r w:rsidR="00686C2A" w:rsidRPr="00686C2A">
        <w:rPr>
          <w:rFonts w:cs="Arial"/>
        </w:rPr>
        <w:t> </w:t>
      </w:r>
      <w:r w:rsidR="003721F5" w:rsidRPr="00686C2A">
        <w:rPr>
          <w:rFonts w:cs="Arial"/>
        </w:rPr>
        <w:t>3A.2</w:t>
      </w:r>
    </w:p>
    <w:p w:rsidR="003721F5" w:rsidRPr="00686C2A" w:rsidRDefault="003721F5" w:rsidP="003721F5">
      <w:pPr>
        <w:pStyle w:val="Item"/>
      </w:pPr>
      <w:r w:rsidRPr="00686C2A">
        <w:t>Repeal the Division.</w:t>
      </w:r>
    </w:p>
    <w:p w:rsidR="003721F5" w:rsidRPr="00686C2A" w:rsidRDefault="0018263A" w:rsidP="003721F5">
      <w:pPr>
        <w:pStyle w:val="ItemHead"/>
        <w:rPr>
          <w:rFonts w:cs="Arial"/>
        </w:rPr>
      </w:pPr>
      <w:r w:rsidRPr="00686C2A">
        <w:rPr>
          <w:rFonts w:cs="Arial"/>
          <w:noProof/>
        </w:rPr>
        <w:t>94</w:t>
      </w:r>
      <w:r w:rsidR="003721F5" w:rsidRPr="00686C2A">
        <w:rPr>
          <w:rFonts w:cs="Arial"/>
        </w:rPr>
        <w:t xml:space="preserve">  Regulations</w:t>
      </w:r>
      <w:r w:rsidR="00686C2A" w:rsidRPr="00686C2A">
        <w:rPr>
          <w:rFonts w:cs="Arial"/>
        </w:rPr>
        <w:t> </w:t>
      </w:r>
      <w:r w:rsidR="003721F5" w:rsidRPr="00686C2A">
        <w:rPr>
          <w:rFonts w:cs="Arial"/>
        </w:rPr>
        <w:t>4.01 and 4.02</w:t>
      </w:r>
    </w:p>
    <w:p w:rsidR="003721F5" w:rsidRPr="00686C2A" w:rsidRDefault="003721F5" w:rsidP="003721F5">
      <w:pPr>
        <w:pStyle w:val="Item"/>
      </w:pPr>
      <w:r w:rsidRPr="00686C2A">
        <w:t>Repeal the regulations, substitute:</w:t>
      </w:r>
    </w:p>
    <w:p w:rsidR="003721F5" w:rsidRPr="00686C2A" w:rsidRDefault="003721F5" w:rsidP="003721F5">
      <w:pPr>
        <w:pStyle w:val="ActHead5"/>
      </w:pPr>
      <w:bookmarkStart w:id="48" w:name="_Toc359591542"/>
      <w:r w:rsidRPr="00686C2A">
        <w:rPr>
          <w:rStyle w:val="CharSectno"/>
        </w:rPr>
        <w:t>4.01</w:t>
      </w:r>
      <w:r w:rsidRPr="00686C2A">
        <w:t xml:space="preserve">  Covenants in governing rules of superannuation entit</w:t>
      </w:r>
      <w:r w:rsidR="00C833AE" w:rsidRPr="00686C2A">
        <w:t>y</w:t>
      </w:r>
      <w:r w:rsidRPr="00686C2A">
        <w:t>—prescribed information and documents</w:t>
      </w:r>
      <w:bookmarkEnd w:id="48"/>
    </w:p>
    <w:p w:rsidR="003721F5" w:rsidRPr="00686C2A" w:rsidRDefault="003721F5" w:rsidP="003721F5">
      <w:pPr>
        <w:pStyle w:val="subsection"/>
      </w:pPr>
      <w:r w:rsidRPr="00686C2A">
        <w:tab/>
      </w:r>
      <w:r w:rsidRPr="00686C2A">
        <w:tab/>
        <w:t>For paragraphs 52(2)(j) and 52B(2)(h) of the Act, the information and documents that are available to a concerned person under section</w:t>
      </w:r>
      <w:r w:rsidR="00686C2A" w:rsidRPr="00686C2A">
        <w:t> </w:t>
      </w:r>
      <w:r w:rsidRPr="00686C2A">
        <w:t xml:space="preserve">1017C of the </w:t>
      </w:r>
      <w:r w:rsidRPr="00686C2A">
        <w:rPr>
          <w:i/>
        </w:rPr>
        <w:t>Corporations Act 2001</w:t>
      </w:r>
      <w:r w:rsidRPr="00686C2A">
        <w:t xml:space="preserve"> are prescribed.</w:t>
      </w:r>
    </w:p>
    <w:p w:rsidR="003721F5" w:rsidRPr="00686C2A" w:rsidRDefault="003721F5" w:rsidP="003721F5">
      <w:pPr>
        <w:pStyle w:val="ActHead5"/>
      </w:pPr>
      <w:bookmarkStart w:id="49" w:name="_Toc359591543"/>
      <w:r w:rsidRPr="00686C2A">
        <w:rPr>
          <w:rStyle w:val="CharSectno"/>
        </w:rPr>
        <w:lastRenderedPageBreak/>
        <w:t>4.02</w:t>
      </w:r>
      <w:r w:rsidRPr="00686C2A">
        <w:t xml:space="preserve">  Covenants in governing rules of </w:t>
      </w:r>
      <w:proofErr w:type="spellStart"/>
      <w:r w:rsidRPr="00686C2A">
        <w:t>self</w:t>
      </w:r>
      <w:r w:rsidR="00ED3B34" w:rsidRPr="00686C2A">
        <w:t xml:space="preserve"> </w:t>
      </w:r>
      <w:r w:rsidRPr="00686C2A">
        <w:t>managed</w:t>
      </w:r>
      <w:proofErr w:type="spellEnd"/>
      <w:r w:rsidRPr="00686C2A">
        <w:t xml:space="preserve"> superannuation fund—beneficiary investment choice</w:t>
      </w:r>
      <w:bookmarkEnd w:id="49"/>
    </w:p>
    <w:p w:rsidR="003721F5" w:rsidRPr="00686C2A" w:rsidRDefault="003721F5" w:rsidP="003721F5">
      <w:pPr>
        <w:pStyle w:val="subsection"/>
      </w:pPr>
      <w:r w:rsidRPr="00686C2A">
        <w:tab/>
        <w:t>(1)</w:t>
      </w:r>
      <w:r w:rsidRPr="00686C2A">
        <w:tab/>
        <w:t>This regulation is made for paragraph</w:t>
      </w:r>
      <w:r w:rsidR="00686C2A" w:rsidRPr="00686C2A">
        <w:t> </w:t>
      </w:r>
      <w:r w:rsidRPr="00686C2A">
        <w:t>52B(4)(b) of the Act.</w:t>
      </w:r>
    </w:p>
    <w:p w:rsidR="003721F5" w:rsidRPr="00686C2A" w:rsidRDefault="003721F5" w:rsidP="003721F5">
      <w:pPr>
        <w:pStyle w:val="subsection"/>
      </w:pPr>
      <w:r w:rsidRPr="00686C2A">
        <w:tab/>
        <w:t>(2)</w:t>
      </w:r>
      <w:r w:rsidRPr="00686C2A">
        <w:tab/>
        <w:t>The circumstances in which a direction, other than a subsequent direction, may be made by a specified beneficiary or class of beneficiaries are the following:</w:t>
      </w:r>
    </w:p>
    <w:p w:rsidR="003721F5" w:rsidRPr="00686C2A" w:rsidRDefault="003721F5" w:rsidP="003721F5">
      <w:pPr>
        <w:pStyle w:val="paragraph"/>
      </w:pPr>
      <w:r w:rsidRPr="00686C2A">
        <w:tab/>
        <w:t>(a)</w:t>
      </w:r>
      <w:r w:rsidRPr="00686C2A">
        <w:tab/>
        <w:t>the trustee:</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gives the beneficiary or class a choice of 2 or more strategies for investing the interest of the beneficiary or class in the fund; and</w:t>
      </w:r>
    </w:p>
    <w:p w:rsidR="003721F5" w:rsidRPr="00686C2A" w:rsidRDefault="003721F5" w:rsidP="003721F5">
      <w:pPr>
        <w:pStyle w:val="paragraphsub"/>
      </w:pPr>
      <w:r w:rsidRPr="00686C2A">
        <w:tab/>
        <w:t>(ii)</w:t>
      </w:r>
      <w:r w:rsidRPr="00686C2A">
        <w:tab/>
        <w:t xml:space="preserve">informs the beneficiary or class that the beneficiary or class may choose a </w:t>
      </w:r>
      <w:r w:rsidR="00B91742" w:rsidRPr="00686C2A">
        <w:t>strategy</w:t>
      </w:r>
      <w:r w:rsidRPr="00686C2A">
        <w:t xml:space="preserve"> or combination of strategies;</w:t>
      </w:r>
    </w:p>
    <w:p w:rsidR="003721F5" w:rsidRPr="00686C2A" w:rsidRDefault="003721F5" w:rsidP="003721F5">
      <w:pPr>
        <w:pStyle w:val="paragraph"/>
      </w:pPr>
      <w:r w:rsidRPr="00686C2A">
        <w:tab/>
        <w:t>(b)</w:t>
      </w:r>
      <w:r w:rsidRPr="00686C2A">
        <w:tab/>
        <w:t>the beneficiary or class is fully informed of:</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the investment objectives of each strategy; and</w:t>
      </w:r>
    </w:p>
    <w:p w:rsidR="003721F5" w:rsidRPr="00686C2A" w:rsidRDefault="003721F5" w:rsidP="003721F5">
      <w:pPr>
        <w:pStyle w:val="paragraphsub"/>
      </w:pPr>
      <w:r w:rsidRPr="00686C2A">
        <w:tab/>
        <w:t>(ii)</w:t>
      </w:r>
      <w:r w:rsidRPr="00686C2A">
        <w:tab/>
        <w:t>anything else the trustee reasonably believes a person would need to know to understand the effect of, and any risk involved in, each strategy;</w:t>
      </w:r>
    </w:p>
    <w:p w:rsidR="003721F5" w:rsidRPr="00686C2A" w:rsidRDefault="003721F5" w:rsidP="003721F5">
      <w:pPr>
        <w:pStyle w:val="paragraph"/>
      </w:pPr>
      <w:r w:rsidRPr="00686C2A">
        <w:tab/>
        <w:t>(c)</w:t>
      </w:r>
      <w:r w:rsidRPr="00686C2A">
        <w:tab/>
        <w:t>the direction specifies:</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which strategy or combination of strategies the beneficiary or class has chosen; and</w:t>
      </w:r>
    </w:p>
    <w:p w:rsidR="003721F5" w:rsidRPr="00686C2A" w:rsidRDefault="003721F5" w:rsidP="003721F5">
      <w:pPr>
        <w:pStyle w:val="paragraphsub"/>
      </w:pPr>
      <w:r w:rsidRPr="00686C2A">
        <w:tab/>
        <w:t>(ii)</w:t>
      </w:r>
      <w:r w:rsidRPr="00686C2A">
        <w:tab/>
        <w:t xml:space="preserve">where applicable, matters related to the choice mentioned in </w:t>
      </w:r>
      <w:r w:rsidR="00686C2A" w:rsidRPr="00686C2A">
        <w:t>subparagraph (</w:t>
      </w:r>
      <w:proofErr w:type="spellStart"/>
      <w:r w:rsidRPr="00686C2A">
        <w:t>i</w:t>
      </w:r>
      <w:proofErr w:type="spellEnd"/>
      <w:r w:rsidRPr="00686C2A">
        <w:t>);</w:t>
      </w:r>
    </w:p>
    <w:p w:rsidR="003721F5" w:rsidRPr="00686C2A" w:rsidRDefault="003721F5" w:rsidP="003721F5">
      <w:pPr>
        <w:pStyle w:val="notetext"/>
      </w:pPr>
      <w:r w:rsidRPr="00686C2A">
        <w:t>Example:</w:t>
      </w:r>
      <w:r w:rsidRPr="00686C2A">
        <w:tab/>
        <w:t xml:space="preserve">The chosen strategy could be one that allows the beneficiary a choice in exposure to certain classes of asset. The beneficiary may choose 60% in fixed interest loans and 40% in shares. The choice of the level of exposure to the class of assets would be information for </w:t>
      </w:r>
      <w:r w:rsidR="00686C2A" w:rsidRPr="00686C2A">
        <w:t>subparagraph (</w:t>
      </w:r>
      <w:r w:rsidRPr="00686C2A">
        <w:t>ii).</w:t>
      </w:r>
    </w:p>
    <w:p w:rsidR="003721F5" w:rsidRPr="00686C2A" w:rsidRDefault="003721F5" w:rsidP="003721F5">
      <w:pPr>
        <w:pStyle w:val="paragraph"/>
      </w:pPr>
      <w:r w:rsidRPr="00686C2A">
        <w:tab/>
        <w:t>(d)</w:t>
      </w:r>
      <w:r w:rsidRPr="00686C2A">
        <w:tab/>
        <w:t>the beneficiary or class is fully informed of the range of directions that can be given and the circumstances in which they can be changed.</w:t>
      </w:r>
    </w:p>
    <w:p w:rsidR="003721F5" w:rsidRPr="00686C2A" w:rsidRDefault="003721F5" w:rsidP="003721F5">
      <w:pPr>
        <w:pStyle w:val="subsection"/>
      </w:pPr>
      <w:r w:rsidRPr="00686C2A">
        <w:tab/>
        <w:t>(3)</w:t>
      </w:r>
      <w:r w:rsidRPr="00686C2A">
        <w:tab/>
        <w:t>A subsequent direction may be given in the following circumstances:</w:t>
      </w:r>
    </w:p>
    <w:p w:rsidR="003721F5" w:rsidRPr="00686C2A" w:rsidRDefault="003721F5" w:rsidP="003721F5">
      <w:pPr>
        <w:pStyle w:val="paragraph"/>
      </w:pPr>
      <w:r w:rsidRPr="00686C2A">
        <w:tab/>
        <w:t>(a)</w:t>
      </w:r>
      <w:r w:rsidRPr="00686C2A">
        <w:tab/>
        <w:t>the beneficiary or class is given all the information the trustee believes a person would need to understand the effect of, and any risk involved in, giving the subsequent direction;</w:t>
      </w:r>
    </w:p>
    <w:p w:rsidR="003721F5" w:rsidRPr="00686C2A" w:rsidRDefault="003721F5" w:rsidP="003721F5">
      <w:pPr>
        <w:pStyle w:val="paragraph"/>
      </w:pPr>
      <w:r w:rsidRPr="00686C2A">
        <w:lastRenderedPageBreak/>
        <w:tab/>
        <w:t>(b)</w:t>
      </w:r>
      <w:r w:rsidRPr="00686C2A">
        <w:tab/>
        <w:t>the subsequent direction relates to the strategy for investing the beneficiary or class</w:t>
      </w:r>
      <w:r w:rsidR="00A16431" w:rsidRPr="00686C2A">
        <w:t>’</w:t>
      </w:r>
      <w:r w:rsidRPr="00686C2A">
        <w:t>s interest in the fund.</w:t>
      </w:r>
    </w:p>
    <w:p w:rsidR="003721F5" w:rsidRPr="00686C2A" w:rsidRDefault="003721F5" w:rsidP="003721F5">
      <w:pPr>
        <w:pStyle w:val="ActHead5"/>
      </w:pPr>
      <w:bookmarkStart w:id="50" w:name="_Toc359591544"/>
      <w:r w:rsidRPr="00686C2A">
        <w:rPr>
          <w:rStyle w:val="CharSectno"/>
        </w:rPr>
        <w:t>4.02A</w:t>
      </w:r>
      <w:r w:rsidRPr="00686C2A">
        <w:t xml:space="preserve">  </w:t>
      </w:r>
      <w:r w:rsidR="00ED3B34" w:rsidRPr="00686C2A">
        <w:t>Trustee subject to direction</w:t>
      </w:r>
      <w:r w:rsidRPr="00686C2A">
        <w:t>—</w:t>
      </w:r>
      <w:r w:rsidR="00ED3B34" w:rsidRPr="00686C2A">
        <w:t>registrable superannuation entit</w:t>
      </w:r>
      <w:r w:rsidR="00C833AE" w:rsidRPr="00686C2A">
        <w:t>y</w:t>
      </w:r>
      <w:r w:rsidR="00ED3B34" w:rsidRPr="00686C2A">
        <w:t xml:space="preserve"> other than </w:t>
      </w:r>
      <w:r w:rsidR="008711D0" w:rsidRPr="00686C2A">
        <w:t>regulated superannuation fund with fewer than 5 members</w:t>
      </w:r>
      <w:bookmarkEnd w:id="50"/>
    </w:p>
    <w:p w:rsidR="003721F5" w:rsidRPr="00686C2A" w:rsidRDefault="003721F5" w:rsidP="003721F5">
      <w:pPr>
        <w:pStyle w:val="subsection"/>
      </w:pPr>
      <w:r w:rsidRPr="00686C2A">
        <w:tab/>
        <w:t>(1)</w:t>
      </w:r>
      <w:r w:rsidRPr="00686C2A">
        <w:tab/>
        <w:t>This regulation is made for subparagraph</w:t>
      </w:r>
      <w:r w:rsidR="00686C2A" w:rsidRPr="00686C2A">
        <w:t> </w:t>
      </w:r>
      <w:r w:rsidRPr="00686C2A">
        <w:t>58(2)(d)(ii) of the Act.</w:t>
      </w:r>
    </w:p>
    <w:p w:rsidR="003721F5" w:rsidRPr="00686C2A" w:rsidRDefault="003721F5" w:rsidP="00DC2C75">
      <w:pPr>
        <w:pStyle w:val="subsection"/>
      </w:pPr>
      <w:r w:rsidRPr="00686C2A">
        <w:tab/>
        <w:t>(2)</w:t>
      </w:r>
      <w:r w:rsidRPr="00686C2A">
        <w:tab/>
        <w:t>If a beneficiary is a standard employer</w:t>
      </w:r>
      <w:r w:rsidR="00686C2A">
        <w:noBreakHyphen/>
      </w:r>
      <w:r w:rsidRPr="00686C2A">
        <w:t>sponsored member, the circumstances in which a direction other than a subsequent direction may be given by the beneficiary to take up, dispose of or alter the amount invested in an investment option are:</w:t>
      </w:r>
    </w:p>
    <w:p w:rsidR="003721F5" w:rsidRPr="00686C2A" w:rsidRDefault="003721F5" w:rsidP="003721F5">
      <w:pPr>
        <w:pStyle w:val="paragraph"/>
      </w:pPr>
      <w:r w:rsidRPr="00686C2A">
        <w:tab/>
        <w:t>(a)</w:t>
      </w:r>
      <w:r w:rsidRPr="00686C2A">
        <w:tab/>
        <w:t>the trustee:</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gives the beneficiary a choice of 2 or more strategies for investing the interest of the beneficiary in the fund; and</w:t>
      </w:r>
    </w:p>
    <w:p w:rsidR="003721F5" w:rsidRPr="00686C2A" w:rsidRDefault="003721F5" w:rsidP="003721F5">
      <w:pPr>
        <w:pStyle w:val="paragraphsub"/>
      </w:pPr>
      <w:r w:rsidRPr="00686C2A">
        <w:tab/>
        <w:t>(ii)</w:t>
      </w:r>
      <w:r w:rsidRPr="00686C2A">
        <w:tab/>
        <w:t>informs the beneficiary that the beneficiary may choose a strategy or combination of strategies;</w:t>
      </w:r>
    </w:p>
    <w:p w:rsidR="003721F5" w:rsidRPr="00686C2A" w:rsidRDefault="003721F5" w:rsidP="003721F5">
      <w:pPr>
        <w:pStyle w:val="paragraph"/>
      </w:pPr>
      <w:r w:rsidRPr="00686C2A">
        <w:tab/>
        <w:t>(b)</w:t>
      </w:r>
      <w:r w:rsidRPr="00686C2A">
        <w:tab/>
        <w:t>the beneficiary is fully informed of:</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the investment objectives of each strategy; and</w:t>
      </w:r>
    </w:p>
    <w:p w:rsidR="003721F5" w:rsidRPr="00686C2A" w:rsidRDefault="003721F5" w:rsidP="003721F5">
      <w:pPr>
        <w:pStyle w:val="paragraphsub"/>
      </w:pPr>
      <w:r w:rsidRPr="00686C2A">
        <w:tab/>
        <w:t>(ii)</w:t>
      </w:r>
      <w:r w:rsidRPr="00686C2A">
        <w:tab/>
        <w:t>anything else the trustee reasonably believes a person would need to know to understand the effect of, and any risk involved in, each strategy;</w:t>
      </w:r>
    </w:p>
    <w:p w:rsidR="003721F5" w:rsidRPr="00686C2A" w:rsidRDefault="003721F5" w:rsidP="003721F5">
      <w:pPr>
        <w:pStyle w:val="paragraph"/>
      </w:pPr>
      <w:r w:rsidRPr="00686C2A">
        <w:tab/>
        <w:t>(c)</w:t>
      </w:r>
      <w:r w:rsidRPr="00686C2A">
        <w:tab/>
        <w:t>the direction specifies:</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which strategy or combination of strategies the beneficiary has chosen; and</w:t>
      </w:r>
    </w:p>
    <w:p w:rsidR="003721F5" w:rsidRPr="00686C2A" w:rsidRDefault="003721F5" w:rsidP="003721F5">
      <w:pPr>
        <w:pStyle w:val="paragraphsub"/>
      </w:pPr>
      <w:r w:rsidRPr="00686C2A">
        <w:tab/>
        <w:t>(ii)</w:t>
      </w:r>
      <w:r w:rsidRPr="00686C2A">
        <w:tab/>
        <w:t xml:space="preserve">where applicable, matters related to the choice mentioned in </w:t>
      </w:r>
      <w:r w:rsidR="00686C2A" w:rsidRPr="00686C2A">
        <w:t>subparagraph (</w:t>
      </w:r>
      <w:proofErr w:type="spellStart"/>
      <w:r w:rsidRPr="00686C2A">
        <w:t>i</w:t>
      </w:r>
      <w:proofErr w:type="spellEnd"/>
      <w:r w:rsidRPr="00686C2A">
        <w:t>).</w:t>
      </w:r>
    </w:p>
    <w:p w:rsidR="003721F5" w:rsidRPr="00686C2A" w:rsidRDefault="003721F5" w:rsidP="003721F5">
      <w:pPr>
        <w:pStyle w:val="notetext"/>
      </w:pPr>
      <w:r w:rsidRPr="00686C2A">
        <w:t>Example:</w:t>
      </w:r>
      <w:r w:rsidRPr="00686C2A">
        <w:tab/>
        <w:t xml:space="preserve">The chosen strategy could be one that allows the beneficiary a choice in exposure to certain classes of asset. The beneficiary may choose 60% in fixed interest loans and 40% in shares. The choice of the level of exposure to the class of assets would be information for </w:t>
      </w:r>
      <w:r w:rsidR="00686C2A" w:rsidRPr="00686C2A">
        <w:t>subparagraph (</w:t>
      </w:r>
      <w:r w:rsidRPr="00686C2A">
        <w:t>ii).</w:t>
      </w:r>
    </w:p>
    <w:p w:rsidR="003721F5" w:rsidRPr="00686C2A" w:rsidRDefault="003721F5" w:rsidP="003721F5">
      <w:pPr>
        <w:pStyle w:val="notetext"/>
      </w:pPr>
      <w:r w:rsidRPr="00686C2A">
        <w:t xml:space="preserve"> Note:</w:t>
      </w:r>
      <w:r w:rsidRPr="00686C2A">
        <w:tab/>
        <w:t xml:space="preserve">Information regarding investment strategies is generally set out in a Product Disclosure Statement. However, a shorter Product Disclosure Statement may, in accordance with the modifications of the </w:t>
      </w:r>
      <w:r w:rsidRPr="00686C2A">
        <w:rPr>
          <w:i/>
        </w:rPr>
        <w:t>Corporations Act 2001</w:t>
      </w:r>
      <w:r w:rsidRPr="00686C2A">
        <w:t xml:space="preserve"> set out in Part</w:t>
      </w:r>
      <w:r w:rsidR="00686C2A" w:rsidRPr="00686C2A">
        <w:t> </w:t>
      </w:r>
      <w:r w:rsidRPr="00686C2A">
        <w:t>5B of Schedule</w:t>
      </w:r>
      <w:r w:rsidR="00686C2A" w:rsidRPr="00686C2A">
        <w:t> </w:t>
      </w:r>
      <w:r w:rsidRPr="00686C2A">
        <w:t xml:space="preserve">10A to the </w:t>
      </w:r>
      <w:r w:rsidRPr="00686C2A">
        <w:rPr>
          <w:i/>
        </w:rPr>
        <w:t>Corporations Regulations</w:t>
      </w:r>
      <w:r w:rsidR="00686C2A" w:rsidRPr="00686C2A">
        <w:rPr>
          <w:i/>
        </w:rPr>
        <w:t> </w:t>
      </w:r>
      <w:r w:rsidRPr="00686C2A">
        <w:rPr>
          <w:i/>
        </w:rPr>
        <w:t xml:space="preserve">2001 </w:t>
      </w:r>
      <w:r w:rsidRPr="00686C2A">
        <w:t>provide some of the information by applying, adopting or incorporating a matter in writing; or refer to information that is set out in another document.</w:t>
      </w:r>
    </w:p>
    <w:p w:rsidR="003721F5" w:rsidRPr="00686C2A" w:rsidRDefault="003721F5" w:rsidP="003721F5">
      <w:pPr>
        <w:pStyle w:val="paragraph"/>
      </w:pPr>
      <w:r w:rsidRPr="00686C2A">
        <w:lastRenderedPageBreak/>
        <w:tab/>
        <w:t>(d)</w:t>
      </w:r>
      <w:r w:rsidRPr="00686C2A">
        <w:tab/>
        <w:t>the beneficiary is fully informed of the range of directions that can be given and the circumstances in which they can be changed;</w:t>
      </w:r>
    </w:p>
    <w:p w:rsidR="003721F5" w:rsidRPr="00686C2A" w:rsidRDefault="003721F5" w:rsidP="003721F5">
      <w:pPr>
        <w:pStyle w:val="paragraph"/>
      </w:pPr>
      <w:r w:rsidRPr="00686C2A">
        <w:tab/>
        <w:t>(e)</w:t>
      </w:r>
      <w:r w:rsidRPr="00686C2A">
        <w:tab/>
        <w:t>the trustee, when presenting a choice of 2 or more investment strategies to the beneficiary, informs the beneficiary which strategy the trustee will adopt if no direction is given.</w:t>
      </w:r>
    </w:p>
    <w:p w:rsidR="003721F5" w:rsidRPr="00686C2A" w:rsidRDefault="003721F5" w:rsidP="003721F5">
      <w:pPr>
        <w:pStyle w:val="subsection"/>
      </w:pPr>
      <w:r w:rsidRPr="00686C2A">
        <w:tab/>
        <w:t>(3)</w:t>
      </w:r>
      <w:r w:rsidRPr="00686C2A">
        <w:tab/>
        <w:t xml:space="preserve">Disregard the circumstance in </w:t>
      </w:r>
      <w:r w:rsidR="00686C2A" w:rsidRPr="00686C2A">
        <w:t>paragraph (</w:t>
      </w:r>
      <w:r w:rsidRPr="00686C2A">
        <w:t>2)(e) if it is a condition of membership that the beneficiary chooses a strategy or combination of strategies.</w:t>
      </w:r>
    </w:p>
    <w:p w:rsidR="003721F5" w:rsidRPr="00686C2A" w:rsidRDefault="003721F5" w:rsidP="003721F5">
      <w:pPr>
        <w:pStyle w:val="subsection"/>
      </w:pPr>
      <w:r w:rsidRPr="00686C2A">
        <w:tab/>
        <w:t>(4)</w:t>
      </w:r>
      <w:r w:rsidRPr="00686C2A">
        <w:tab/>
        <w:t>If a beneficiary is not a standard employer</w:t>
      </w:r>
      <w:r w:rsidR="00686C2A">
        <w:noBreakHyphen/>
      </w:r>
      <w:r w:rsidRPr="00686C2A">
        <w:t xml:space="preserve">sponsored member, the circumstances in which a direction other than a subsequent direction may be given by the beneficiary to take up, dispose of or alter the amount invested in an investment option are the circumstances in </w:t>
      </w:r>
      <w:r w:rsidR="00686C2A" w:rsidRPr="00686C2A">
        <w:t>paragraphs (</w:t>
      </w:r>
      <w:r w:rsidRPr="00686C2A">
        <w:t>2)(a) to (d).</w:t>
      </w:r>
    </w:p>
    <w:p w:rsidR="00B94995" w:rsidRPr="00686C2A" w:rsidRDefault="00B94995" w:rsidP="00B94995">
      <w:pPr>
        <w:pStyle w:val="subsection"/>
      </w:pPr>
      <w:r w:rsidRPr="00686C2A">
        <w:tab/>
        <w:t>(5)</w:t>
      </w:r>
      <w:r w:rsidRPr="00686C2A">
        <w:tab/>
        <w:t>A subsequent direction may be given in the following circumstances:</w:t>
      </w:r>
    </w:p>
    <w:p w:rsidR="00B94995" w:rsidRPr="00686C2A" w:rsidRDefault="00B94995" w:rsidP="00B94995">
      <w:pPr>
        <w:pStyle w:val="paragraph"/>
      </w:pPr>
      <w:r w:rsidRPr="00686C2A">
        <w:tab/>
        <w:t>(a)</w:t>
      </w:r>
      <w:r w:rsidRPr="00686C2A">
        <w:tab/>
        <w:t>the beneficiary is given all the information the trustee believes a person would need to understand the effect of, and any risk involved in, giving the subsequent direction;</w:t>
      </w:r>
    </w:p>
    <w:p w:rsidR="00B94995" w:rsidRPr="00686C2A" w:rsidRDefault="00B94995" w:rsidP="00B94995">
      <w:pPr>
        <w:pStyle w:val="paragraph"/>
      </w:pPr>
      <w:r w:rsidRPr="00686C2A">
        <w:tab/>
        <w:t>(b)</w:t>
      </w:r>
      <w:r w:rsidRPr="00686C2A">
        <w:tab/>
        <w:t>the subsequent direction relates to the strategy for investing the beneficiary</w:t>
      </w:r>
      <w:r w:rsidR="00A16431" w:rsidRPr="00686C2A">
        <w:t>’</w:t>
      </w:r>
      <w:r w:rsidRPr="00686C2A">
        <w:t>s interest in the fund.</w:t>
      </w:r>
    </w:p>
    <w:p w:rsidR="00ED3B34" w:rsidRPr="00686C2A" w:rsidRDefault="00ED3B34" w:rsidP="00ED3B34">
      <w:pPr>
        <w:pStyle w:val="ActHead5"/>
      </w:pPr>
      <w:bookmarkStart w:id="51" w:name="_Toc359591545"/>
      <w:r w:rsidRPr="00686C2A">
        <w:rPr>
          <w:rStyle w:val="CharSectno"/>
        </w:rPr>
        <w:t>4.02AA</w:t>
      </w:r>
      <w:r w:rsidRPr="00686C2A">
        <w:t xml:space="preserve">  </w:t>
      </w:r>
      <w:r w:rsidR="00114279" w:rsidRPr="00686C2A">
        <w:t>Operating standard</w:t>
      </w:r>
      <w:r w:rsidRPr="00686C2A">
        <w:t>—</w:t>
      </w:r>
      <w:r w:rsidR="0008019A" w:rsidRPr="00686C2A">
        <w:t>d</w:t>
      </w:r>
      <w:r w:rsidR="00114279" w:rsidRPr="00686C2A">
        <w:t xml:space="preserve">irection on investment option to trustee of </w:t>
      </w:r>
      <w:r w:rsidR="009E31A8" w:rsidRPr="00686C2A">
        <w:t>regulated superannuation fund with fewer than 5 members</w:t>
      </w:r>
      <w:bookmarkEnd w:id="51"/>
    </w:p>
    <w:p w:rsidR="00ED3B34" w:rsidRPr="00686C2A" w:rsidRDefault="00ED3B34" w:rsidP="00ED3B34">
      <w:pPr>
        <w:pStyle w:val="subsection"/>
      </w:pPr>
      <w:r w:rsidRPr="00686C2A">
        <w:tab/>
        <w:t>(1)</w:t>
      </w:r>
      <w:r w:rsidRPr="00686C2A">
        <w:tab/>
        <w:t xml:space="preserve">This </w:t>
      </w:r>
      <w:r w:rsidR="006B1313" w:rsidRPr="00686C2A">
        <w:t>standard</w:t>
      </w:r>
      <w:r w:rsidRPr="00686C2A">
        <w:t>:</w:t>
      </w:r>
    </w:p>
    <w:p w:rsidR="00ED3B34" w:rsidRPr="00686C2A" w:rsidRDefault="00ED3B34" w:rsidP="00ED3B34">
      <w:pPr>
        <w:pStyle w:val="paragraph"/>
      </w:pPr>
      <w:r w:rsidRPr="00686C2A">
        <w:tab/>
        <w:t>(a)</w:t>
      </w:r>
      <w:r w:rsidRPr="00686C2A">
        <w:tab/>
        <w:t>is made for subsection</w:t>
      </w:r>
      <w:r w:rsidR="00686C2A" w:rsidRPr="00686C2A">
        <w:t> </w:t>
      </w:r>
      <w:r w:rsidRPr="00686C2A">
        <w:t>31(1) of the Act; and</w:t>
      </w:r>
    </w:p>
    <w:p w:rsidR="00ED3B34" w:rsidRPr="00686C2A" w:rsidRDefault="00ED3B34" w:rsidP="00ED3B34">
      <w:pPr>
        <w:pStyle w:val="paragraph"/>
      </w:pPr>
      <w:r w:rsidRPr="00686C2A">
        <w:tab/>
        <w:t>(b)</w:t>
      </w:r>
      <w:r w:rsidRPr="00686C2A">
        <w:tab/>
        <w:t>applies to a reg</w:t>
      </w:r>
      <w:r w:rsidR="00602CC9" w:rsidRPr="00686C2A">
        <w:t xml:space="preserve">ulated superannuation fund </w:t>
      </w:r>
      <w:r w:rsidR="0051578E" w:rsidRPr="00686C2A">
        <w:t xml:space="preserve">(other than a </w:t>
      </w:r>
      <w:proofErr w:type="spellStart"/>
      <w:r w:rsidR="0051578E" w:rsidRPr="00686C2A">
        <w:t>self managed</w:t>
      </w:r>
      <w:proofErr w:type="spellEnd"/>
      <w:r w:rsidR="0051578E" w:rsidRPr="00686C2A">
        <w:t xml:space="preserve"> </w:t>
      </w:r>
      <w:r w:rsidR="00D61966" w:rsidRPr="00686C2A">
        <w:t xml:space="preserve">superannuation fund) </w:t>
      </w:r>
      <w:r w:rsidR="00602CC9" w:rsidRPr="00686C2A">
        <w:t>with fewer than 5 members.</w:t>
      </w:r>
    </w:p>
    <w:p w:rsidR="00FC44E6" w:rsidRPr="00686C2A" w:rsidRDefault="00FF1F94" w:rsidP="00FC44E6">
      <w:pPr>
        <w:pStyle w:val="subsection"/>
      </w:pPr>
      <w:r w:rsidRPr="00686C2A">
        <w:tab/>
        <w:t>(2)</w:t>
      </w:r>
      <w:r w:rsidRPr="00686C2A">
        <w:tab/>
      </w:r>
      <w:r w:rsidR="00602CC9" w:rsidRPr="00686C2A">
        <w:t xml:space="preserve">A </w:t>
      </w:r>
      <w:r w:rsidR="00FC44E6" w:rsidRPr="00686C2A">
        <w:t xml:space="preserve">beneficiary of the fund </w:t>
      </w:r>
      <w:r w:rsidR="006B1313" w:rsidRPr="00686C2A">
        <w:t>who is a standard employer</w:t>
      </w:r>
      <w:r w:rsidR="00686C2A">
        <w:noBreakHyphen/>
      </w:r>
      <w:r w:rsidR="006B1313" w:rsidRPr="00686C2A">
        <w:t xml:space="preserve">sponsored member </w:t>
      </w:r>
      <w:r w:rsidR="00FC44E6" w:rsidRPr="00686C2A">
        <w:t xml:space="preserve">may give a direction </w:t>
      </w:r>
      <w:r w:rsidR="009F1541" w:rsidRPr="00686C2A">
        <w:t xml:space="preserve">other than a subsequent direction </w:t>
      </w:r>
      <w:r w:rsidR="00602CC9" w:rsidRPr="00686C2A">
        <w:t>to take up, dispose of or alter the amount invested in an investment option only if</w:t>
      </w:r>
      <w:r w:rsidR="00FC44E6" w:rsidRPr="00686C2A">
        <w:t xml:space="preserve"> the circumstances in </w:t>
      </w:r>
      <w:proofErr w:type="spellStart"/>
      <w:r w:rsidR="00FC44E6" w:rsidRPr="00686C2A">
        <w:t>subregulation</w:t>
      </w:r>
      <w:proofErr w:type="spellEnd"/>
      <w:r w:rsidR="00FC44E6" w:rsidRPr="00686C2A">
        <w:t xml:space="preserve"> (3) apply.</w:t>
      </w:r>
    </w:p>
    <w:p w:rsidR="00602CC9" w:rsidRPr="00686C2A" w:rsidRDefault="00FC44E6" w:rsidP="00FC44E6">
      <w:pPr>
        <w:pStyle w:val="subsection"/>
      </w:pPr>
      <w:r w:rsidRPr="00686C2A">
        <w:tab/>
      </w:r>
      <w:r w:rsidR="00602CC9" w:rsidRPr="00686C2A">
        <w:t>(3)</w:t>
      </w:r>
      <w:r w:rsidRPr="00686C2A">
        <w:tab/>
      </w:r>
      <w:r w:rsidR="00602CC9" w:rsidRPr="00686C2A">
        <w:t xml:space="preserve">For </w:t>
      </w:r>
      <w:proofErr w:type="spellStart"/>
      <w:r w:rsidR="00602CC9" w:rsidRPr="00686C2A">
        <w:t>subregulation</w:t>
      </w:r>
      <w:proofErr w:type="spellEnd"/>
      <w:r w:rsidR="00602CC9" w:rsidRPr="00686C2A">
        <w:t xml:space="preserve"> (2), the </w:t>
      </w:r>
      <w:r w:rsidRPr="00686C2A">
        <w:t xml:space="preserve">circumstances are </w:t>
      </w:r>
      <w:r w:rsidR="00602CC9" w:rsidRPr="00686C2A">
        <w:t>the following:</w:t>
      </w:r>
    </w:p>
    <w:p w:rsidR="0008019A" w:rsidRPr="00686C2A" w:rsidRDefault="0008019A" w:rsidP="0008019A">
      <w:pPr>
        <w:pStyle w:val="paragraph"/>
      </w:pPr>
      <w:r w:rsidRPr="00686C2A">
        <w:lastRenderedPageBreak/>
        <w:tab/>
        <w:t>(a)</w:t>
      </w:r>
      <w:r w:rsidRPr="00686C2A">
        <w:tab/>
        <w:t>the trustee:</w:t>
      </w:r>
    </w:p>
    <w:p w:rsidR="0008019A" w:rsidRPr="00686C2A" w:rsidRDefault="0008019A" w:rsidP="0008019A">
      <w:pPr>
        <w:pStyle w:val="paragraphsub"/>
      </w:pPr>
      <w:r w:rsidRPr="00686C2A">
        <w:tab/>
        <w:t>(</w:t>
      </w:r>
      <w:proofErr w:type="spellStart"/>
      <w:r w:rsidRPr="00686C2A">
        <w:t>i</w:t>
      </w:r>
      <w:proofErr w:type="spellEnd"/>
      <w:r w:rsidRPr="00686C2A">
        <w:t>)</w:t>
      </w:r>
      <w:r w:rsidRPr="00686C2A">
        <w:tab/>
        <w:t>gives the beneficiary a choice of 2 or more strategies for investing the interest of the beneficiary in the fund; and</w:t>
      </w:r>
    </w:p>
    <w:p w:rsidR="0008019A" w:rsidRPr="00686C2A" w:rsidRDefault="0008019A" w:rsidP="0008019A">
      <w:pPr>
        <w:pStyle w:val="paragraphsub"/>
      </w:pPr>
      <w:r w:rsidRPr="00686C2A">
        <w:tab/>
        <w:t>(ii)</w:t>
      </w:r>
      <w:r w:rsidRPr="00686C2A">
        <w:tab/>
        <w:t>informs the beneficiary that the beneficiary may choose a strategy or combination of strategies;</w:t>
      </w:r>
    </w:p>
    <w:p w:rsidR="0008019A" w:rsidRPr="00686C2A" w:rsidRDefault="0008019A" w:rsidP="0008019A">
      <w:pPr>
        <w:pStyle w:val="paragraph"/>
      </w:pPr>
      <w:r w:rsidRPr="00686C2A">
        <w:tab/>
        <w:t>(b)</w:t>
      </w:r>
      <w:r w:rsidRPr="00686C2A">
        <w:tab/>
        <w:t>the beneficiary is fully informed of:</w:t>
      </w:r>
    </w:p>
    <w:p w:rsidR="0008019A" w:rsidRPr="00686C2A" w:rsidRDefault="0008019A" w:rsidP="0008019A">
      <w:pPr>
        <w:pStyle w:val="paragraphsub"/>
      </w:pPr>
      <w:r w:rsidRPr="00686C2A">
        <w:tab/>
        <w:t>(</w:t>
      </w:r>
      <w:proofErr w:type="spellStart"/>
      <w:r w:rsidRPr="00686C2A">
        <w:t>i</w:t>
      </w:r>
      <w:proofErr w:type="spellEnd"/>
      <w:r w:rsidRPr="00686C2A">
        <w:t>)</w:t>
      </w:r>
      <w:r w:rsidRPr="00686C2A">
        <w:tab/>
        <w:t>the investment objectives of each strategy; and</w:t>
      </w:r>
    </w:p>
    <w:p w:rsidR="0008019A" w:rsidRPr="00686C2A" w:rsidRDefault="0008019A" w:rsidP="0008019A">
      <w:pPr>
        <w:pStyle w:val="paragraphsub"/>
      </w:pPr>
      <w:r w:rsidRPr="00686C2A">
        <w:tab/>
        <w:t>(ii)</w:t>
      </w:r>
      <w:r w:rsidRPr="00686C2A">
        <w:tab/>
        <w:t>anything else the trustee reasonably believes a person would need to know to understand the effect of, and any risk involved in, each strategy;</w:t>
      </w:r>
    </w:p>
    <w:p w:rsidR="0008019A" w:rsidRPr="00686C2A" w:rsidRDefault="0008019A" w:rsidP="0008019A">
      <w:pPr>
        <w:pStyle w:val="paragraph"/>
      </w:pPr>
      <w:r w:rsidRPr="00686C2A">
        <w:tab/>
        <w:t>(c)</w:t>
      </w:r>
      <w:r w:rsidRPr="00686C2A">
        <w:tab/>
        <w:t>the direction specifies:</w:t>
      </w:r>
    </w:p>
    <w:p w:rsidR="0008019A" w:rsidRPr="00686C2A" w:rsidRDefault="0008019A" w:rsidP="0008019A">
      <w:pPr>
        <w:pStyle w:val="paragraphsub"/>
      </w:pPr>
      <w:r w:rsidRPr="00686C2A">
        <w:tab/>
        <w:t>(</w:t>
      </w:r>
      <w:proofErr w:type="spellStart"/>
      <w:r w:rsidRPr="00686C2A">
        <w:t>i</w:t>
      </w:r>
      <w:proofErr w:type="spellEnd"/>
      <w:r w:rsidRPr="00686C2A">
        <w:t>)</w:t>
      </w:r>
      <w:r w:rsidRPr="00686C2A">
        <w:tab/>
        <w:t>which strategy or combination of strategies the beneficiary has chosen; and</w:t>
      </w:r>
    </w:p>
    <w:p w:rsidR="0008019A" w:rsidRPr="00686C2A" w:rsidRDefault="0008019A" w:rsidP="0008019A">
      <w:pPr>
        <w:pStyle w:val="paragraphsub"/>
      </w:pPr>
      <w:r w:rsidRPr="00686C2A">
        <w:tab/>
        <w:t>(ii)</w:t>
      </w:r>
      <w:r w:rsidRPr="00686C2A">
        <w:tab/>
        <w:t xml:space="preserve">where applicable, matters related to the choice mentioned in </w:t>
      </w:r>
      <w:r w:rsidR="00686C2A" w:rsidRPr="00686C2A">
        <w:t>subparagraph (</w:t>
      </w:r>
      <w:proofErr w:type="spellStart"/>
      <w:r w:rsidRPr="00686C2A">
        <w:t>i</w:t>
      </w:r>
      <w:proofErr w:type="spellEnd"/>
      <w:r w:rsidRPr="00686C2A">
        <w:t>)</w:t>
      </w:r>
      <w:r w:rsidR="00FE3AA9" w:rsidRPr="00686C2A">
        <w:t>;</w:t>
      </w:r>
    </w:p>
    <w:p w:rsidR="0008019A" w:rsidRPr="00686C2A" w:rsidRDefault="0008019A" w:rsidP="00FE3AA9">
      <w:pPr>
        <w:pStyle w:val="noteToPara"/>
      </w:pPr>
      <w:proofErr w:type="spellStart"/>
      <w:r w:rsidRPr="00686C2A">
        <w:t>Example:The</w:t>
      </w:r>
      <w:proofErr w:type="spellEnd"/>
      <w:r w:rsidRPr="00686C2A">
        <w:t xml:space="preserve"> chosen strategy could be one that allows the beneficiary a choice in exposure to certain classes of asset. The beneficiary may choose 60% in fixed interest loans and 40% in shares. The</w:t>
      </w:r>
      <w:r w:rsidR="00A1181E" w:rsidRPr="00686C2A">
        <w:t xml:space="preserve"> </w:t>
      </w:r>
      <w:r w:rsidRPr="00686C2A">
        <w:t>choice of the level of exposure to the class of assets</w:t>
      </w:r>
      <w:r w:rsidR="00A1181E" w:rsidRPr="00686C2A">
        <w:t xml:space="preserve"> </w:t>
      </w:r>
      <w:r w:rsidRPr="00686C2A">
        <w:t xml:space="preserve">would be information for </w:t>
      </w:r>
      <w:r w:rsidR="00686C2A" w:rsidRPr="00686C2A">
        <w:t>subparagraph (</w:t>
      </w:r>
      <w:r w:rsidRPr="00686C2A">
        <w:t>ii).</w:t>
      </w:r>
    </w:p>
    <w:p w:rsidR="0008019A" w:rsidRPr="00686C2A" w:rsidRDefault="0008019A" w:rsidP="00FE3AA9">
      <w:pPr>
        <w:pStyle w:val="noteToPara"/>
      </w:pPr>
      <w:r w:rsidRPr="00686C2A">
        <w:t xml:space="preserve"> Note:</w:t>
      </w:r>
      <w:r w:rsidR="00FE3AA9" w:rsidRPr="00686C2A">
        <w:tab/>
      </w:r>
      <w:r w:rsidRPr="00686C2A">
        <w:t xml:space="preserve">Information regarding investment strategies is generally set out in a Product Disclosure Statement. However, a shorter Product Disclosure Statement may, in accordance with the modifications of the </w:t>
      </w:r>
      <w:r w:rsidRPr="00686C2A">
        <w:rPr>
          <w:i/>
        </w:rPr>
        <w:t>Corporations Act 2001</w:t>
      </w:r>
      <w:r w:rsidRPr="00686C2A">
        <w:t xml:space="preserve"> set out in Part</w:t>
      </w:r>
      <w:r w:rsidR="00686C2A" w:rsidRPr="00686C2A">
        <w:t> </w:t>
      </w:r>
      <w:r w:rsidRPr="00686C2A">
        <w:t>5B of Schedule</w:t>
      </w:r>
      <w:r w:rsidR="00686C2A" w:rsidRPr="00686C2A">
        <w:t> </w:t>
      </w:r>
      <w:r w:rsidRPr="00686C2A">
        <w:t xml:space="preserve">10A to the </w:t>
      </w:r>
      <w:r w:rsidRPr="00686C2A">
        <w:rPr>
          <w:i/>
        </w:rPr>
        <w:t>Corporations Regulations</w:t>
      </w:r>
      <w:r w:rsidR="00686C2A" w:rsidRPr="00686C2A">
        <w:rPr>
          <w:i/>
        </w:rPr>
        <w:t> </w:t>
      </w:r>
      <w:r w:rsidRPr="00686C2A">
        <w:rPr>
          <w:i/>
        </w:rPr>
        <w:t xml:space="preserve">2001 </w:t>
      </w:r>
      <w:r w:rsidRPr="00686C2A">
        <w:t>provide some of the information by applying, adopting or incorporating a matter in writing; or refer to information that is set out in another document.</w:t>
      </w:r>
    </w:p>
    <w:p w:rsidR="0008019A" w:rsidRPr="00686C2A" w:rsidRDefault="0008019A" w:rsidP="0008019A">
      <w:pPr>
        <w:pStyle w:val="paragraph"/>
      </w:pPr>
      <w:r w:rsidRPr="00686C2A">
        <w:tab/>
        <w:t>(d)</w:t>
      </w:r>
      <w:r w:rsidRPr="00686C2A">
        <w:tab/>
        <w:t>the beneficiary is fully informed of the range of directions that can be given and the circumstances in which they can be changed;</w:t>
      </w:r>
    </w:p>
    <w:p w:rsidR="007C4C5E" w:rsidRPr="00686C2A" w:rsidRDefault="0008019A" w:rsidP="0008019A">
      <w:pPr>
        <w:pStyle w:val="paragraph"/>
      </w:pPr>
      <w:r w:rsidRPr="00686C2A">
        <w:tab/>
        <w:t>(e)</w:t>
      </w:r>
      <w:r w:rsidRPr="00686C2A">
        <w:tab/>
        <w:t>the trustee, when presenting a choice of 2 or more investment strategies to the beneficiary, informs the beneficiary which strategy the trustee will adopt if no direction is given.</w:t>
      </w:r>
    </w:p>
    <w:p w:rsidR="007C4C5E" w:rsidRPr="00686C2A" w:rsidRDefault="007C4C5E" w:rsidP="007C4C5E">
      <w:pPr>
        <w:pStyle w:val="subsection"/>
      </w:pPr>
      <w:r w:rsidRPr="00686C2A">
        <w:tab/>
        <w:t>(4)</w:t>
      </w:r>
      <w:r w:rsidRPr="00686C2A">
        <w:tab/>
        <w:t xml:space="preserve">Disregard the circumstance in </w:t>
      </w:r>
      <w:r w:rsidR="00686C2A" w:rsidRPr="00686C2A">
        <w:t>paragraph (</w:t>
      </w:r>
      <w:r w:rsidRPr="00686C2A">
        <w:t>2)(e) if it is a condition of membership that the beneficiary chooses a strategy or combination of strategies.</w:t>
      </w:r>
    </w:p>
    <w:p w:rsidR="007C4C5E" w:rsidRPr="00686C2A" w:rsidRDefault="007C4C5E" w:rsidP="007C4C5E">
      <w:pPr>
        <w:pStyle w:val="subsection"/>
      </w:pPr>
      <w:r w:rsidRPr="00686C2A">
        <w:tab/>
        <w:t>(5)</w:t>
      </w:r>
      <w:r w:rsidRPr="00686C2A">
        <w:tab/>
        <w:t>If a beneficiary is not a standard employer</w:t>
      </w:r>
      <w:r w:rsidR="00686C2A">
        <w:noBreakHyphen/>
      </w:r>
      <w:r w:rsidRPr="00686C2A">
        <w:t xml:space="preserve">sponsored member, the circumstances in which a direction other than a subsequent </w:t>
      </w:r>
      <w:r w:rsidRPr="00686C2A">
        <w:lastRenderedPageBreak/>
        <w:t xml:space="preserve">direction may be given by the beneficiary to take up, dispose of or alter the amount invested in an investment option are the circumstances in </w:t>
      </w:r>
      <w:r w:rsidR="00686C2A" w:rsidRPr="00686C2A">
        <w:t>paragraphs (</w:t>
      </w:r>
      <w:r w:rsidRPr="00686C2A">
        <w:t>3)(a) to (d).</w:t>
      </w:r>
    </w:p>
    <w:p w:rsidR="007C4C5E" w:rsidRPr="00686C2A" w:rsidRDefault="007C4C5E" w:rsidP="007C4C5E">
      <w:pPr>
        <w:pStyle w:val="subsection"/>
      </w:pPr>
      <w:r w:rsidRPr="00686C2A">
        <w:tab/>
        <w:t>(6)</w:t>
      </w:r>
      <w:r w:rsidRPr="00686C2A">
        <w:tab/>
        <w:t>A subsequent direction may be given in the following circumstances:</w:t>
      </w:r>
    </w:p>
    <w:p w:rsidR="007C4C5E" w:rsidRPr="00686C2A" w:rsidRDefault="007C4C5E" w:rsidP="007C4C5E">
      <w:pPr>
        <w:pStyle w:val="paragraph"/>
      </w:pPr>
      <w:r w:rsidRPr="00686C2A">
        <w:tab/>
        <w:t>(a)</w:t>
      </w:r>
      <w:r w:rsidRPr="00686C2A">
        <w:tab/>
        <w:t>the beneficiary is given all the information the trustee believes a person would need to understand the effect of, and any risk involved in, giving the subsequent direction;</w:t>
      </w:r>
    </w:p>
    <w:p w:rsidR="00ED3B34" w:rsidRPr="00686C2A" w:rsidRDefault="007C4C5E" w:rsidP="0008019A">
      <w:pPr>
        <w:pStyle w:val="paragraph"/>
      </w:pPr>
      <w:r w:rsidRPr="00686C2A">
        <w:tab/>
        <w:t>(b)</w:t>
      </w:r>
      <w:r w:rsidRPr="00686C2A">
        <w:tab/>
        <w:t>the subsequent direction relates to the strategy for investing the beneficiary</w:t>
      </w:r>
      <w:r w:rsidR="00A16431" w:rsidRPr="00686C2A">
        <w:t>’</w:t>
      </w:r>
      <w:r w:rsidRPr="00686C2A">
        <w:t>s interest in the fund.</w:t>
      </w:r>
    </w:p>
    <w:p w:rsidR="003721F5" w:rsidRPr="00686C2A" w:rsidRDefault="0018263A" w:rsidP="003721F5">
      <w:pPr>
        <w:pStyle w:val="ItemHead"/>
        <w:rPr>
          <w:rFonts w:cs="Arial"/>
        </w:rPr>
      </w:pPr>
      <w:r w:rsidRPr="00686C2A">
        <w:rPr>
          <w:rFonts w:cs="Arial"/>
          <w:noProof/>
        </w:rPr>
        <w:t>95</w:t>
      </w:r>
      <w:r w:rsidR="003721F5" w:rsidRPr="00686C2A">
        <w:rPr>
          <w:rFonts w:cs="Arial"/>
        </w:rPr>
        <w:t xml:space="preserve">  Division</w:t>
      </w:r>
      <w:r w:rsidR="00686C2A" w:rsidRPr="00686C2A">
        <w:rPr>
          <w:rFonts w:cs="Arial"/>
        </w:rPr>
        <w:t> </w:t>
      </w:r>
      <w:r w:rsidR="003721F5" w:rsidRPr="00686C2A">
        <w:rPr>
          <w:rFonts w:cs="Arial"/>
        </w:rPr>
        <w:t>4.1A</w:t>
      </w:r>
    </w:p>
    <w:p w:rsidR="003721F5" w:rsidRPr="00686C2A" w:rsidRDefault="003721F5" w:rsidP="003721F5">
      <w:pPr>
        <w:pStyle w:val="Item"/>
      </w:pPr>
      <w:r w:rsidRPr="00686C2A">
        <w:t>Repeal the Division.</w:t>
      </w:r>
    </w:p>
    <w:p w:rsidR="003721F5" w:rsidRPr="00686C2A" w:rsidRDefault="0018263A" w:rsidP="003721F5">
      <w:pPr>
        <w:pStyle w:val="ItemHead"/>
        <w:rPr>
          <w:rFonts w:cs="Arial"/>
        </w:rPr>
      </w:pPr>
      <w:r w:rsidRPr="00686C2A">
        <w:rPr>
          <w:rFonts w:cs="Arial"/>
          <w:noProof/>
        </w:rPr>
        <w:t>96</w:t>
      </w:r>
      <w:r w:rsidR="003721F5" w:rsidRPr="00686C2A">
        <w:rPr>
          <w:rFonts w:cs="Arial"/>
        </w:rPr>
        <w:t xml:space="preserve">  </w:t>
      </w:r>
      <w:proofErr w:type="spellStart"/>
      <w:r w:rsidR="003721F5" w:rsidRPr="00686C2A">
        <w:rPr>
          <w:rFonts w:cs="Arial"/>
        </w:rPr>
        <w:t>Subregulation</w:t>
      </w:r>
      <w:proofErr w:type="spellEnd"/>
      <w:r w:rsidR="00686C2A" w:rsidRPr="00686C2A">
        <w:rPr>
          <w:rFonts w:cs="Arial"/>
        </w:rPr>
        <w:t> </w:t>
      </w:r>
      <w:r w:rsidR="003721F5" w:rsidRPr="00686C2A">
        <w:rPr>
          <w:rFonts w:cs="Arial"/>
        </w:rPr>
        <w:t>4.09(1)</w:t>
      </w:r>
    </w:p>
    <w:p w:rsidR="003721F5" w:rsidRPr="00686C2A" w:rsidRDefault="003721F5" w:rsidP="003721F5">
      <w:pPr>
        <w:pStyle w:val="Item"/>
      </w:pPr>
      <w:r w:rsidRPr="00686C2A">
        <w:t xml:space="preserve">Repeal the </w:t>
      </w:r>
      <w:proofErr w:type="spellStart"/>
      <w:r w:rsidRPr="00686C2A">
        <w:t>subregulation</w:t>
      </w:r>
      <w:proofErr w:type="spellEnd"/>
      <w:r w:rsidRPr="00686C2A">
        <w:t>, substitute:</w:t>
      </w:r>
    </w:p>
    <w:p w:rsidR="003721F5" w:rsidRPr="00686C2A" w:rsidRDefault="003721F5" w:rsidP="003721F5">
      <w:pPr>
        <w:pStyle w:val="subsection"/>
      </w:pPr>
      <w:r w:rsidRPr="00686C2A">
        <w:tab/>
        <w:t>(1)</w:t>
      </w:r>
      <w:r w:rsidRPr="00686C2A">
        <w:tab/>
        <w:t>This regulation:</w:t>
      </w:r>
    </w:p>
    <w:p w:rsidR="003721F5" w:rsidRPr="00686C2A" w:rsidRDefault="003721F5" w:rsidP="003721F5">
      <w:pPr>
        <w:pStyle w:val="paragraph"/>
      </w:pPr>
      <w:r w:rsidRPr="00686C2A">
        <w:tab/>
        <w:t>(a)</w:t>
      </w:r>
      <w:r w:rsidRPr="00686C2A">
        <w:tab/>
        <w:t>is made for subsection</w:t>
      </w:r>
      <w:r w:rsidR="00686C2A" w:rsidRPr="00686C2A">
        <w:t> </w:t>
      </w:r>
      <w:r w:rsidRPr="00686C2A">
        <w:t>31(1) of the Act; and</w:t>
      </w:r>
    </w:p>
    <w:p w:rsidR="003721F5" w:rsidRPr="00686C2A" w:rsidRDefault="003721F5" w:rsidP="003721F5">
      <w:pPr>
        <w:pStyle w:val="paragraph"/>
      </w:pPr>
      <w:r w:rsidRPr="00686C2A">
        <w:tab/>
        <w:t>(b)</w:t>
      </w:r>
      <w:r w:rsidRPr="00686C2A">
        <w:tab/>
        <w:t xml:space="preserve">applies to a superannuation entity that is a </w:t>
      </w:r>
      <w:proofErr w:type="spellStart"/>
      <w:r w:rsidRPr="00686C2A">
        <w:t>self managed</w:t>
      </w:r>
      <w:proofErr w:type="spellEnd"/>
      <w:r w:rsidRPr="00686C2A">
        <w:t xml:space="preserve"> superannuation fund.</w:t>
      </w:r>
    </w:p>
    <w:p w:rsidR="003721F5" w:rsidRPr="00686C2A" w:rsidRDefault="0018263A" w:rsidP="003721F5">
      <w:pPr>
        <w:pStyle w:val="ItemHead"/>
      </w:pPr>
      <w:r w:rsidRPr="00686C2A">
        <w:t>97</w:t>
      </w:r>
      <w:r w:rsidR="003721F5" w:rsidRPr="00686C2A">
        <w:t xml:space="preserve">  Paragraph 4.09(2)(e)</w:t>
      </w:r>
    </w:p>
    <w:p w:rsidR="003721F5" w:rsidRPr="00686C2A" w:rsidRDefault="003721F5" w:rsidP="003721F5">
      <w:pPr>
        <w:pStyle w:val="Item"/>
      </w:pPr>
      <w:r w:rsidRPr="00686C2A">
        <w:t xml:space="preserve"> Omit </w:t>
      </w:r>
      <w:r w:rsidR="00A16431" w:rsidRPr="00686C2A">
        <w:t>“</w:t>
      </w:r>
      <w:r w:rsidRPr="00686C2A">
        <w:t xml:space="preserve">for a </w:t>
      </w:r>
      <w:proofErr w:type="spellStart"/>
      <w:r w:rsidRPr="00686C2A">
        <w:t>self managed</w:t>
      </w:r>
      <w:proofErr w:type="spellEnd"/>
      <w:r w:rsidRPr="00686C2A">
        <w:t xml:space="preserve"> superannuation fund—</w:t>
      </w:r>
      <w:r w:rsidR="00A16431" w:rsidRPr="00686C2A">
        <w:t>”</w:t>
      </w:r>
      <w:r w:rsidRPr="00686C2A">
        <w:t>.</w:t>
      </w:r>
    </w:p>
    <w:p w:rsidR="003721F5" w:rsidRPr="00686C2A" w:rsidRDefault="0018263A" w:rsidP="003721F5">
      <w:pPr>
        <w:pStyle w:val="ItemHead"/>
        <w:rPr>
          <w:rFonts w:cs="Arial"/>
        </w:rPr>
      </w:pPr>
      <w:r w:rsidRPr="00686C2A">
        <w:rPr>
          <w:rFonts w:cs="Arial"/>
          <w:noProof/>
        </w:rPr>
        <w:t>98</w:t>
      </w:r>
      <w:r w:rsidR="003721F5" w:rsidRPr="00686C2A">
        <w:rPr>
          <w:rFonts w:cs="Arial"/>
        </w:rPr>
        <w:t xml:space="preserve">  Regulations</w:t>
      </w:r>
      <w:r w:rsidR="00686C2A" w:rsidRPr="00686C2A">
        <w:rPr>
          <w:rFonts w:cs="Arial"/>
        </w:rPr>
        <w:t> </w:t>
      </w:r>
      <w:r w:rsidR="003721F5" w:rsidRPr="00686C2A">
        <w:rPr>
          <w:rFonts w:cs="Arial"/>
        </w:rPr>
        <w:t>4.14 to 4.17</w:t>
      </w:r>
    </w:p>
    <w:p w:rsidR="003721F5" w:rsidRPr="00686C2A" w:rsidRDefault="003721F5" w:rsidP="003721F5">
      <w:pPr>
        <w:pStyle w:val="Item"/>
        <w:rPr>
          <w:rFonts w:cs="Arial"/>
          <w:noProof/>
        </w:rPr>
      </w:pPr>
      <w:r w:rsidRPr="00686C2A">
        <w:t>Repeal the regulations.</w:t>
      </w:r>
    </w:p>
    <w:p w:rsidR="003721F5" w:rsidRPr="00686C2A" w:rsidRDefault="0018263A" w:rsidP="003721F5">
      <w:pPr>
        <w:pStyle w:val="ItemHead"/>
      </w:pPr>
      <w:r w:rsidRPr="00686C2A">
        <w:t>99</w:t>
      </w:r>
      <w:r w:rsidR="003721F5" w:rsidRPr="00686C2A">
        <w:t xml:space="preserve">  </w:t>
      </w:r>
      <w:proofErr w:type="spellStart"/>
      <w:r w:rsidR="003721F5" w:rsidRPr="00686C2A">
        <w:t>Subregulation</w:t>
      </w:r>
      <w:proofErr w:type="spellEnd"/>
      <w:r w:rsidR="00686C2A" w:rsidRPr="00686C2A">
        <w:t> </w:t>
      </w:r>
      <w:r w:rsidR="003721F5" w:rsidRPr="00686C2A">
        <w:t>9.44(1)</w:t>
      </w:r>
    </w:p>
    <w:p w:rsidR="003721F5" w:rsidRPr="00686C2A" w:rsidRDefault="003721F5" w:rsidP="003721F5">
      <w:pPr>
        <w:pStyle w:val="Item"/>
      </w:pPr>
      <w:r w:rsidRPr="00686C2A">
        <w:t xml:space="preserve">Omit </w:t>
      </w:r>
      <w:r w:rsidR="00A16431" w:rsidRPr="00686C2A">
        <w:t>“</w:t>
      </w:r>
      <w:r w:rsidRPr="00686C2A">
        <w:t>an accumulation fund</w:t>
      </w:r>
      <w:r w:rsidR="00A16431" w:rsidRPr="00686C2A">
        <w:t>’</w:t>
      </w:r>
      <w:r w:rsidRPr="00686C2A">
        <w:t>s actuary</w:t>
      </w:r>
      <w:r w:rsidR="00A16431" w:rsidRPr="00686C2A">
        <w:t>”</w:t>
      </w:r>
      <w:r w:rsidRPr="00686C2A">
        <w:t xml:space="preserve">, substitute </w:t>
      </w:r>
      <w:r w:rsidR="00A16431" w:rsidRPr="00686C2A">
        <w:t>“</w:t>
      </w:r>
      <w:r w:rsidRPr="00686C2A">
        <w:t>the fund</w:t>
      </w:r>
      <w:r w:rsidR="00A16431" w:rsidRPr="00686C2A">
        <w:t>’</w:t>
      </w:r>
      <w:r w:rsidRPr="00686C2A">
        <w:t>s actuary</w:t>
      </w:r>
      <w:r w:rsidR="00A16431" w:rsidRPr="00686C2A">
        <w:t>”</w:t>
      </w:r>
      <w:r w:rsidRPr="00686C2A">
        <w:t>.</w:t>
      </w:r>
    </w:p>
    <w:p w:rsidR="003721F5" w:rsidRPr="00686C2A" w:rsidRDefault="0018263A" w:rsidP="003721F5">
      <w:pPr>
        <w:pStyle w:val="ItemHead"/>
        <w:rPr>
          <w:rFonts w:cs="Arial"/>
        </w:rPr>
      </w:pPr>
      <w:r w:rsidRPr="00686C2A">
        <w:rPr>
          <w:rFonts w:cs="Arial"/>
          <w:noProof/>
        </w:rPr>
        <w:t>100</w:t>
      </w:r>
      <w:r w:rsidR="003721F5" w:rsidRPr="00686C2A">
        <w:rPr>
          <w:rFonts w:cs="Arial"/>
        </w:rPr>
        <w:t xml:space="preserve">  After regulation</w:t>
      </w:r>
      <w:r w:rsidR="00686C2A" w:rsidRPr="00686C2A">
        <w:rPr>
          <w:rFonts w:cs="Arial"/>
        </w:rPr>
        <w:t> </w:t>
      </w:r>
      <w:r w:rsidR="003721F5" w:rsidRPr="00686C2A">
        <w:rPr>
          <w:rFonts w:cs="Arial"/>
        </w:rPr>
        <w:t>9.46</w:t>
      </w:r>
    </w:p>
    <w:p w:rsidR="003721F5" w:rsidRPr="00686C2A" w:rsidRDefault="003721F5" w:rsidP="003721F5">
      <w:pPr>
        <w:pStyle w:val="Item"/>
      </w:pPr>
      <w:r w:rsidRPr="00686C2A">
        <w:t>Insert:</w:t>
      </w:r>
    </w:p>
    <w:p w:rsidR="003721F5" w:rsidRPr="00686C2A" w:rsidRDefault="003721F5" w:rsidP="003721F5">
      <w:pPr>
        <w:pStyle w:val="ActHead5"/>
      </w:pPr>
      <w:bookmarkStart w:id="52" w:name="_Toc359591546"/>
      <w:r w:rsidRPr="00686C2A">
        <w:rPr>
          <w:rStyle w:val="CharSectno"/>
        </w:rPr>
        <w:t>9.46A</w:t>
      </w:r>
      <w:r w:rsidRPr="00686C2A">
        <w:t xml:space="preserve">  Notification—periodic statements</w:t>
      </w:r>
      <w:bookmarkEnd w:id="52"/>
    </w:p>
    <w:p w:rsidR="003721F5" w:rsidRPr="00686C2A" w:rsidRDefault="003721F5" w:rsidP="003721F5">
      <w:pPr>
        <w:pStyle w:val="subsection"/>
      </w:pPr>
      <w:r w:rsidRPr="00686C2A">
        <w:tab/>
        <w:t>(1)</w:t>
      </w:r>
      <w:r w:rsidRPr="00686C2A">
        <w:tab/>
        <w:t>This regulation is made for subsection</w:t>
      </w:r>
      <w:r w:rsidR="00686C2A" w:rsidRPr="00686C2A">
        <w:t> </w:t>
      </w:r>
      <w:r w:rsidRPr="00686C2A">
        <w:t>29SAA(3) of the Act.</w:t>
      </w:r>
    </w:p>
    <w:p w:rsidR="003721F5" w:rsidRPr="00686C2A" w:rsidRDefault="003721F5" w:rsidP="003721F5">
      <w:pPr>
        <w:pStyle w:val="subsection"/>
      </w:pPr>
      <w:r w:rsidRPr="00686C2A">
        <w:lastRenderedPageBreak/>
        <w:tab/>
        <w:t>(2)</w:t>
      </w:r>
      <w:r w:rsidRPr="00686C2A">
        <w:tab/>
        <w:t xml:space="preserve">An </w:t>
      </w:r>
      <w:proofErr w:type="spellStart"/>
      <w:r w:rsidRPr="00686C2A">
        <w:t>RSE</w:t>
      </w:r>
      <w:proofErr w:type="spellEnd"/>
      <w:r w:rsidRPr="00686C2A">
        <w:t xml:space="preserve"> licensee </w:t>
      </w:r>
      <w:r w:rsidR="00A861F3" w:rsidRPr="00686C2A">
        <w:t>of a regulated superannuation fund that has made an election in accordance with s</w:t>
      </w:r>
      <w:r w:rsidRPr="00686C2A">
        <w:t>ection</w:t>
      </w:r>
      <w:r w:rsidR="00686C2A" w:rsidRPr="00686C2A">
        <w:t> </w:t>
      </w:r>
      <w:r w:rsidRPr="00686C2A">
        <w:t>29SAA of the Act must give a member of the fund mentioned in paragraph</w:t>
      </w:r>
      <w:r w:rsidR="00686C2A" w:rsidRPr="00686C2A">
        <w:t> </w:t>
      </w:r>
      <w:r w:rsidRPr="00686C2A">
        <w:t>29SAA</w:t>
      </w:r>
      <w:r w:rsidR="00122139" w:rsidRPr="00686C2A">
        <w:t>(3)</w:t>
      </w:r>
      <w:r w:rsidRPr="00686C2A">
        <w:t>(a) or (b) of the Act a notice in writing.</w:t>
      </w:r>
    </w:p>
    <w:p w:rsidR="003721F5" w:rsidRPr="00686C2A" w:rsidRDefault="003721F5" w:rsidP="003721F5">
      <w:pPr>
        <w:pStyle w:val="subsection"/>
      </w:pPr>
      <w:r w:rsidRPr="00686C2A">
        <w:tab/>
        <w:t>(3)</w:t>
      </w:r>
      <w:r w:rsidRPr="00686C2A">
        <w:tab/>
        <w:t>The notice must mention the following:</w:t>
      </w:r>
    </w:p>
    <w:p w:rsidR="003721F5" w:rsidRPr="00686C2A" w:rsidRDefault="003721F5" w:rsidP="003721F5">
      <w:pPr>
        <w:pStyle w:val="paragraph"/>
      </w:pPr>
      <w:r w:rsidRPr="00686C2A">
        <w:tab/>
        <w:t>(a)</w:t>
      </w:r>
      <w:r w:rsidRPr="00686C2A">
        <w:tab/>
        <w:t xml:space="preserve">the </w:t>
      </w:r>
      <w:proofErr w:type="spellStart"/>
      <w:r w:rsidRPr="00686C2A">
        <w:t>RSE</w:t>
      </w:r>
      <w:proofErr w:type="spellEnd"/>
      <w:r w:rsidRPr="00686C2A">
        <w:t xml:space="preserve"> licensee</w:t>
      </w:r>
      <w:r w:rsidR="00A16431" w:rsidRPr="00686C2A">
        <w:t>’</w:t>
      </w:r>
      <w:r w:rsidRPr="00686C2A">
        <w:t>s obligation to:</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r>
      <w:r w:rsidR="008F7B31" w:rsidRPr="00686C2A">
        <w:t>move</w:t>
      </w:r>
      <w:r w:rsidRPr="00686C2A">
        <w:t xml:space="preserve"> the accrued default amount by 30</w:t>
      </w:r>
      <w:r w:rsidR="00686C2A" w:rsidRPr="00686C2A">
        <w:t> </w:t>
      </w:r>
      <w:r w:rsidRPr="00686C2A">
        <w:t>June 2017; and</w:t>
      </w:r>
    </w:p>
    <w:p w:rsidR="003721F5" w:rsidRPr="00686C2A" w:rsidRDefault="003721F5" w:rsidP="003721F5">
      <w:pPr>
        <w:pStyle w:val="paragraphsub"/>
      </w:pPr>
      <w:r w:rsidRPr="00686C2A">
        <w:tab/>
        <w:t>(ii)</w:t>
      </w:r>
      <w:r w:rsidRPr="00686C2A">
        <w:tab/>
        <w:t xml:space="preserve">promote the financial interests of the member in relation to a </w:t>
      </w:r>
      <w:proofErr w:type="spellStart"/>
      <w:r w:rsidRPr="00686C2A">
        <w:t>MySuper</w:t>
      </w:r>
      <w:proofErr w:type="spellEnd"/>
      <w:r w:rsidRPr="00686C2A">
        <w:t xml:space="preserve"> product held by the member; and</w:t>
      </w:r>
    </w:p>
    <w:p w:rsidR="003721F5" w:rsidRPr="00686C2A" w:rsidRDefault="003721F5" w:rsidP="003721F5">
      <w:pPr>
        <w:pStyle w:val="paragraph"/>
      </w:pPr>
      <w:r w:rsidRPr="00686C2A">
        <w:tab/>
        <w:t>(b)</w:t>
      </w:r>
      <w:r w:rsidRPr="00686C2A">
        <w:tab/>
        <w:t>the accrued default amount; and</w:t>
      </w:r>
    </w:p>
    <w:p w:rsidR="003721F5" w:rsidRPr="00686C2A" w:rsidRDefault="003721F5" w:rsidP="003721F5">
      <w:pPr>
        <w:pStyle w:val="paragraph"/>
      </w:pPr>
      <w:r w:rsidRPr="00686C2A">
        <w:tab/>
        <w:t>(c)</w:t>
      </w:r>
      <w:r w:rsidRPr="00686C2A">
        <w:tab/>
        <w:t>either:</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 xml:space="preserve">if the </w:t>
      </w:r>
      <w:proofErr w:type="spellStart"/>
      <w:r w:rsidRPr="00686C2A">
        <w:t>RSE</w:t>
      </w:r>
      <w:proofErr w:type="spellEnd"/>
      <w:r w:rsidRPr="00686C2A">
        <w:t xml:space="preserve"> licensee has identified a </w:t>
      </w:r>
      <w:proofErr w:type="spellStart"/>
      <w:r w:rsidRPr="00686C2A">
        <w:t>MySuper</w:t>
      </w:r>
      <w:proofErr w:type="spellEnd"/>
      <w:r w:rsidRPr="00686C2A">
        <w:t xml:space="preserve"> product</w:t>
      </w:r>
      <w:r w:rsidR="00FB6D4B" w:rsidRPr="00686C2A">
        <w:t>, either within the fund or in another regulated</w:t>
      </w:r>
      <w:r w:rsidRPr="00686C2A">
        <w:t xml:space="preserve"> </w:t>
      </w:r>
      <w:r w:rsidR="00FB6D4B" w:rsidRPr="00686C2A">
        <w:t xml:space="preserve">superannuation fund, </w:t>
      </w:r>
      <w:r w:rsidRPr="00686C2A">
        <w:t xml:space="preserve">to which the </w:t>
      </w:r>
      <w:proofErr w:type="spellStart"/>
      <w:r w:rsidRPr="00686C2A">
        <w:t>RSE</w:t>
      </w:r>
      <w:proofErr w:type="spellEnd"/>
      <w:r w:rsidRPr="00686C2A">
        <w:t xml:space="preserve"> licensee proposes to </w:t>
      </w:r>
      <w:r w:rsidR="008F7B31" w:rsidRPr="00686C2A">
        <w:t>move</w:t>
      </w:r>
      <w:r w:rsidRPr="00686C2A">
        <w:t xml:space="preserve"> the accrued default amount—the name of the </w:t>
      </w:r>
      <w:proofErr w:type="spellStart"/>
      <w:r w:rsidRPr="00686C2A">
        <w:t>MySuper</w:t>
      </w:r>
      <w:proofErr w:type="spellEnd"/>
      <w:r w:rsidRPr="00686C2A">
        <w:t xml:space="preserve"> product, and when the proposed </w:t>
      </w:r>
      <w:r w:rsidR="008F7B31" w:rsidRPr="00686C2A">
        <w:t>move</w:t>
      </w:r>
      <w:r w:rsidRPr="00686C2A">
        <w:t xml:space="preserve"> will occur; or</w:t>
      </w:r>
    </w:p>
    <w:p w:rsidR="003721F5" w:rsidRPr="00686C2A" w:rsidRDefault="003721F5" w:rsidP="003721F5">
      <w:pPr>
        <w:pStyle w:val="paragraphsub"/>
      </w:pPr>
      <w:r w:rsidRPr="00686C2A">
        <w:tab/>
        <w:t>(ii)</w:t>
      </w:r>
      <w:r w:rsidRPr="00686C2A">
        <w:tab/>
        <w:t xml:space="preserve">if the </w:t>
      </w:r>
      <w:proofErr w:type="spellStart"/>
      <w:r w:rsidRPr="00686C2A">
        <w:t>RSE</w:t>
      </w:r>
      <w:proofErr w:type="spellEnd"/>
      <w:r w:rsidRPr="00686C2A">
        <w:t xml:space="preserve"> licensee has not identified </w:t>
      </w:r>
      <w:r w:rsidR="00F736B2" w:rsidRPr="00686C2A">
        <w:t xml:space="preserve">such </w:t>
      </w:r>
      <w:r w:rsidRPr="00686C2A">
        <w:t xml:space="preserve">a </w:t>
      </w:r>
      <w:proofErr w:type="spellStart"/>
      <w:r w:rsidRPr="00686C2A">
        <w:t>MySuper</w:t>
      </w:r>
      <w:proofErr w:type="spellEnd"/>
      <w:r w:rsidRPr="00686C2A">
        <w:t xml:space="preserve"> product—why the </w:t>
      </w:r>
      <w:proofErr w:type="spellStart"/>
      <w:r w:rsidRPr="00686C2A">
        <w:t>RSE</w:t>
      </w:r>
      <w:proofErr w:type="spellEnd"/>
      <w:r w:rsidRPr="00686C2A">
        <w:t xml:space="preserve"> licensee has not done so, and what the </w:t>
      </w:r>
      <w:proofErr w:type="spellStart"/>
      <w:r w:rsidRPr="00686C2A">
        <w:t>RSE</w:t>
      </w:r>
      <w:proofErr w:type="spellEnd"/>
      <w:r w:rsidRPr="00686C2A">
        <w:t xml:space="preserve"> licensee has done, and will do, to do so.</w:t>
      </w:r>
    </w:p>
    <w:p w:rsidR="003721F5" w:rsidRPr="00686C2A" w:rsidRDefault="003721F5" w:rsidP="003721F5">
      <w:pPr>
        <w:pStyle w:val="subsection"/>
      </w:pPr>
      <w:r w:rsidRPr="00686C2A">
        <w:tab/>
        <w:t>(4)</w:t>
      </w:r>
      <w:r w:rsidRPr="00686C2A">
        <w:tab/>
        <w:t>The notice must be given to the member with:</w:t>
      </w:r>
    </w:p>
    <w:p w:rsidR="003721F5" w:rsidRPr="00686C2A" w:rsidRDefault="003721F5" w:rsidP="003721F5">
      <w:pPr>
        <w:pStyle w:val="paragraph"/>
      </w:pPr>
      <w:r w:rsidRPr="00686C2A">
        <w:tab/>
        <w:t>(a)</w:t>
      </w:r>
      <w:r w:rsidRPr="00686C2A">
        <w:tab/>
        <w:t xml:space="preserve">the first periodic statement sent to the member after the </w:t>
      </w:r>
      <w:proofErr w:type="spellStart"/>
      <w:r w:rsidRPr="00686C2A">
        <w:t>RSE</w:t>
      </w:r>
      <w:proofErr w:type="spellEnd"/>
      <w:r w:rsidRPr="00686C2A">
        <w:t xml:space="preserve"> licensee has identified the accrued default amount; and</w:t>
      </w:r>
    </w:p>
    <w:p w:rsidR="003721F5" w:rsidRPr="00686C2A" w:rsidRDefault="003721F5" w:rsidP="003721F5">
      <w:pPr>
        <w:pStyle w:val="paragraph"/>
      </w:pPr>
      <w:r w:rsidRPr="00686C2A">
        <w:tab/>
        <w:t>(b)</w:t>
      </w:r>
      <w:r w:rsidRPr="00686C2A">
        <w:tab/>
        <w:t xml:space="preserve">each subsequent periodic statement sent to the member until the accrued default amount is </w:t>
      </w:r>
      <w:r w:rsidR="007C2F79" w:rsidRPr="00686C2A">
        <w:t xml:space="preserve">moved </w:t>
      </w:r>
      <w:r w:rsidRPr="00686C2A">
        <w:t xml:space="preserve">to a </w:t>
      </w:r>
      <w:proofErr w:type="spellStart"/>
      <w:r w:rsidRPr="00686C2A">
        <w:t>MySuper</w:t>
      </w:r>
      <w:proofErr w:type="spellEnd"/>
      <w:r w:rsidRPr="00686C2A">
        <w:t xml:space="preserve"> product.</w:t>
      </w:r>
    </w:p>
    <w:p w:rsidR="003721F5" w:rsidRPr="00686C2A" w:rsidRDefault="003721F5" w:rsidP="00D7659F">
      <w:pPr>
        <w:pStyle w:val="ActHead5"/>
      </w:pPr>
      <w:bookmarkStart w:id="53" w:name="_Toc359591547"/>
      <w:r w:rsidRPr="00686C2A">
        <w:rPr>
          <w:rStyle w:val="CharSectno"/>
        </w:rPr>
        <w:t>9.47</w:t>
      </w:r>
      <w:r w:rsidRPr="00686C2A">
        <w:t xml:space="preserve">  Other factors that may be used for a lifecycle </w:t>
      </w:r>
      <w:proofErr w:type="spellStart"/>
      <w:r w:rsidRPr="00686C2A">
        <w:t>MySuper</w:t>
      </w:r>
      <w:proofErr w:type="spellEnd"/>
      <w:r w:rsidRPr="00686C2A">
        <w:t xml:space="preserve"> product</w:t>
      </w:r>
      <w:bookmarkEnd w:id="53"/>
    </w:p>
    <w:p w:rsidR="003721F5" w:rsidRPr="00686C2A" w:rsidRDefault="003721F5" w:rsidP="003721F5">
      <w:pPr>
        <w:pStyle w:val="subsection"/>
      </w:pPr>
      <w:r w:rsidRPr="00686C2A">
        <w:tab/>
      </w:r>
      <w:r w:rsidRPr="00686C2A">
        <w:tab/>
        <w:t>For paragraph</w:t>
      </w:r>
      <w:r w:rsidR="00686C2A" w:rsidRPr="00686C2A">
        <w:t> </w:t>
      </w:r>
      <w:r w:rsidRPr="00686C2A">
        <w:t>29TC(2)(b) of the Act, the factors are:</w:t>
      </w:r>
    </w:p>
    <w:p w:rsidR="003721F5" w:rsidRPr="00686C2A" w:rsidRDefault="003721F5" w:rsidP="003721F5">
      <w:pPr>
        <w:pStyle w:val="paragraph"/>
      </w:pPr>
      <w:r w:rsidRPr="00686C2A">
        <w:tab/>
        <w:t>(a)</w:t>
      </w:r>
      <w:r w:rsidRPr="00686C2A">
        <w:tab/>
        <w:t>the member</w:t>
      </w:r>
      <w:r w:rsidR="00A16431" w:rsidRPr="00686C2A">
        <w:t>’</w:t>
      </w:r>
      <w:r w:rsidRPr="00686C2A">
        <w:t>s:</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account balance; and</w:t>
      </w:r>
    </w:p>
    <w:p w:rsidR="003721F5" w:rsidRPr="00686C2A" w:rsidRDefault="003721F5" w:rsidP="003721F5">
      <w:pPr>
        <w:pStyle w:val="paragraphsub"/>
      </w:pPr>
      <w:r w:rsidRPr="00686C2A">
        <w:tab/>
        <w:t>(ii)</w:t>
      </w:r>
      <w:r w:rsidRPr="00686C2A">
        <w:tab/>
        <w:t>contribution rate; and</w:t>
      </w:r>
    </w:p>
    <w:p w:rsidR="003721F5" w:rsidRPr="00686C2A" w:rsidRDefault="003721F5" w:rsidP="003721F5">
      <w:pPr>
        <w:pStyle w:val="paragraphsub"/>
      </w:pPr>
      <w:r w:rsidRPr="00686C2A">
        <w:tab/>
        <w:t>(iii)</w:t>
      </w:r>
      <w:r w:rsidRPr="00686C2A">
        <w:tab/>
        <w:t>current salary; and</w:t>
      </w:r>
    </w:p>
    <w:p w:rsidR="003721F5" w:rsidRPr="00686C2A" w:rsidRDefault="003721F5" w:rsidP="003721F5">
      <w:pPr>
        <w:pStyle w:val="paragraphsub"/>
      </w:pPr>
      <w:r w:rsidRPr="00686C2A">
        <w:tab/>
        <w:t>(iv)</w:t>
      </w:r>
      <w:r w:rsidRPr="00686C2A">
        <w:tab/>
        <w:t>gender; and</w:t>
      </w:r>
    </w:p>
    <w:p w:rsidR="003721F5" w:rsidRPr="00686C2A" w:rsidRDefault="003721F5" w:rsidP="003721F5">
      <w:pPr>
        <w:pStyle w:val="paragraph"/>
      </w:pPr>
      <w:r w:rsidRPr="00686C2A">
        <w:tab/>
        <w:t>(b)</w:t>
      </w:r>
      <w:r w:rsidRPr="00686C2A">
        <w:tab/>
        <w:t>the time remaining, in the opinion of the trustee, before the member could be expected to retire.</w:t>
      </w:r>
    </w:p>
    <w:p w:rsidR="003721F5" w:rsidRPr="00686C2A" w:rsidRDefault="003721F5" w:rsidP="003721F5">
      <w:pPr>
        <w:pStyle w:val="ActHead5"/>
      </w:pPr>
      <w:bookmarkStart w:id="54" w:name="_Toc359591548"/>
      <w:r w:rsidRPr="00686C2A">
        <w:rPr>
          <w:rStyle w:val="CharSectno"/>
        </w:rPr>
        <w:lastRenderedPageBreak/>
        <w:t>9.48</w:t>
      </w:r>
      <w:r w:rsidRPr="00686C2A">
        <w:t xml:space="preserve">  Limitation imposed by governing rules</w:t>
      </w:r>
      <w:bookmarkEnd w:id="54"/>
    </w:p>
    <w:p w:rsidR="00770615" w:rsidRPr="00686C2A" w:rsidRDefault="003721F5" w:rsidP="003721F5">
      <w:pPr>
        <w:pStyle w:val="subsection"/>
      </w:pPr>
      <w:r w:rsidRPr="00686C2A">
        <w:tab/>
        <w:t>(1)</w:t>
      </w:r>
      <w:r w:rsidRPr="00686C2A">
        <w:tab/>
        <w:t>For paragraph</w:t>
      </w:r>
      <w:r w:rsidR="00686C2A" w:rsidRPr="00686C2A">
        <w:t> </w:t>
      </w:r>
      <w:r w:rsidRPr="00686C2A">
        <w:t xml:space="preserve">29TC(3)(a) of the Act, the </w:t>
      </w:r>
      <w:r w:rsidR="00770615" w:rsidRPr="00686C2A">
        <w:t xml:space="preserve">following limitations on the source or kind of contributions made by or on behalf of </w:t>
      </w:r>
      <w:r w:rsidR="00A16431" w:rsidRPr="00686C2A">
        <w:t xml:space="preserve">a </w:t>
      </w:r>
      <w:r w:rsidR="00770615" w:rsidRPr="00686C2A">
        <w:t>person who hold</w:t>
      </w:r>
      <w:r w:rsidR="00A16431" w:rsidRPr="00686C2A">
        <w:t>s</w:t>
      </w:r>
      <w:r w:rsidR="00770615" w:rsidRPr="00686C2A">
        <w:t xml:space="preserve"> a </w:t>
      </w:r>
      <w:proofErr w:type="spellStart"/>
      <w:r w:rsidR="007559D5" w:rsidRPr="00686C2A">
        <w:t>MySuper</w:t>
      </w:r>
      <w:proofErr w:type="spellEnd"/>
      <w:r w:rsidR="007559D5" w:rsidRPr="00686C2A">
        <w:t xml:space="preserve"> product offered by </w:t>
      </w:r>
      <w:r w:rsidR="00770615" w:rsidRPr="00686C2A">
        <w:t>a regulated superannuation fund are prescribed:</w:t>
      </w:r>
    </w:p>
    <w:p w:rsidR="00770615" w:rsidRPr="00686C2A" w:rsidRDefault="00770615" w:rsidP="00770615">
      <w:pPr>
        <w:pStyle w:val="paragraph"/>
      </w:pPr>
      <w:r w:rsidRPr="00686C2A">
        <w:tab/>
        <w:t>(a)</w:t>
      </w:r>
      <w:r w:rsidRPr="00686C2A">
        <w:tab/>
        <w:t xml:space="preserve">a limitation on a </w:t>
      </w:r>
      <w:r w:rsidR="007559D5" w:rsidRPr="00686C2A">
        <w:t xml:space="preserve">contribution, by way of </w:t>
      </w:r>
      <w:r w:rsidRPr="00686C2A">
        <w:t>transfer</w:t>
      </w:r>
      <w:r w:rsidR="007559D5" w:rsidRPr="00686C2A">
        <w:t>,</w:t>
      </w:r>
      <w:r w:rsidRPr="00686C2A">
        <w:t xml:space="preserve"> </w:t>
      </w:r>
      <w:r w:rsidR="007559D5" w:rsidRPr="00686C2A">
        <w:t>from a fund that is</w:t>
      </w:r>
      <w:r w:rsidR="00105117" w:rsidRPr="00686C2A">
        <w:t>, at the time the transfer is made</w:t>
      </w:r>
      <w:r w:rsidRPr="00686C2A">
        <w:t>:</w:t>
      </w:r>
    </w:p>
    <w:p w:rsidR="00770615" w:rsidRPr="00686C2A" w:rsidRDefault="00770615" w:rsidP="00770615">
      <w:pPr>
        <w:pStyle w:val="paragraphsub"/>
      </w:pPr>
      <w:r w:rsidRPr="00686C2A">
        <w:tab/>
        <w:t>(</w:t>
      </w:r>
      <w:proofErr w:type="spellStart"/>
      <w:r w:rsidRPr="00686C2A">
        <w:t>i</w:t>
      </w:r>
      <w:proofErr w:type="spellEnd"/>
      <w:r w:rsidRPr="00686C2A">
        <w:t>)</w:t>
      </w:r>
      <w:r w:rsidRPr="00686C2A">
        <w:tab/>
        <w:t>a foreign superannuation fund; or</w:t>
      </w:r>
    </w:p>
    <w:p w:rsidR="00770615" w:rsidRPr="00686C2A" w:rsidRDefault="00770615" w:rsidP="00770615">
      <w:pPr>
        <w:pStyle w:val="paragraphsub"/>
      </w:pPr>
      <w:r w:rsidRPr="00686C2A">
        <w:tab/>
        <w:t>(ii)</w:t>
      </w:r>
      <w:r w:rsidRPr="00686C2A">
        <w:tab/>
        <w:t xml:space="preserve">a </w:t>
      </w:r>
      <w:r w:rsidR="007000F6" w:rsidRPr="00686C2A">
        <w:t>fund that is similar to a foreign superannuation fund</w:t>
      </w:r>
      <w:r w:rsidRPr="00686C2A">
        <w:t>;</w:t>
      </w:r>
    </w:p>
    <w:p w:rsidR="00770615" w:rsidRPr="00686C2A" w:rsidRDefault="00770615" w:rsidP="00770615">
      <w:pPr>
        <w:pStyle w:val="paragraph"/>
      </w:pPr>
      <w:r w:rsidRPr="00686C2A">
        <w:tab/>
        <w:t>(b)</w:t>
      </w:r>
      <w:r w:rsidRPr="00686C2A">
        <w:tab/>
        <w:t xml:space="preserve">a limitation on </w:t>
      </w:r>
      <w:r w:rsidR="00A16431" w:rsidRPr="00686C2A">
        <w:t xml:space="preserve">the </w:t>
      </w:r>
      <w:r w:rsidRPr="00686C2A">
        <w:t>contribution</w:t>
      </w:r>
      <w:r w:rsidR="00A16431" w:rsidRPr="00686C2A">
        <w:t xml:space="preserve"> of an asset in a form other than money</w:t>
      </w:r>
      <w:r w:rsidRPr="00686C2A">
        <w:t>;</w:t>
      </w:r>
    </w:p>
    <w:p w:rsidR="00783743" w:rsidRPr="00686C2A" w:rsidRDefault="00770615" w:rsidP="00770615">
      <w:pPr>
        <w:pStyle w:val="paragraph"/>
      </w:pPr>
      <w:r w:rsidRPr="00686C2A">
        <w:tab/>
        <w:t>(c)</w:t>
      </w:r>
      <w:r w:rsidRPr="00686C2A">
        <w:tab/>
        <w:t>a limitation in relation to</w:t>
      </w:r>
      <w:r w:rsidR="00026A95" w:rsidRPr="00686C2A">
        <w:t xml:space="preserve"> a contribution by a non</w:t>
      </w:r>
      <w:r w:rsidR="00686C2A">
        <w:noBreakHyphen/>
      </w:r>
      <w:r w:rsidR="00026A95" w:rsidRPr="00686C2A">
        <w:t>associated employer to</w:t>
      </w:r>
      <w:r w:rsidR="00783743" w:rsidRPr="00686C2A">
        <w:t>:</w:t>
      </w:r>
    </w:p>
    <w:p w:rsidR="00783743" w:rsidRPr="00686C2A" w:rsidRDefault="00783743" w:rsidP="00783743">
      <w:pPr>
        <w:pStyle w:val="paragraphsub"/>
      </w:pPr>
      <w:r w:rsidRPr="00686C2A">
        <w:tab/>
        <w:t>(</w:t>
      </w:r>
      <w:proofErr w:type="spellStart"/>
      <w:r w:rsidRPr="00686C2A">
        <w:t>i</w:t>
      </w:r>
      <w:proofErr w:type="spellEnd"/>
      <w:r w:rsidRPr="00686C2A">
        <w:t>)</w:t>
      </w:r>
      <w:r w:rsidRPr="00686C2A">
        <w:tab/>
        <w:t xml:space="preserve">a </w:t>
      </w:r>
      <w:proofErr w:type="spellStart"/>
      <w:r w:rsidRPr="00686C2A">
        <w:t>MySuper</w:t>
      </w:r>
      <w:proofErr w:type="spellEnd"/>
      <w:r w:rsidRPr="00686C2A">
        <w:t xml:space="preserve"> product </w:t>
      </w:r>
      <w:r w:rsidR="00A16431" w:rsidRPr="00686C2A">
        <w:t xml:space="preserve">that is authorised because </w:t>
      </w:r>
      <w:r w:rsidRPr="00686C2A">
        <w:t>section</w:t>
      </w:r>
      <w:r w:rsidR="00686C2A" w:rsidRPr="00686C2A">
        <w:t> </w:t>
      </w:r>
      <w:r w:rsidRPr="00686C2A">
        <w:t xml:space="preserve">29TB of the Act </w:t>
      </w:r>
      <w:r w:rsidR="00A16431" w:rsidRPr="00686C2A">
        <w:t>is satisfied</w:t>
      </w:r>
      <w:r w:rsidRPr="00686C2A">
        <w:t>; or</w:t>
      </w:r>
    </w:p>
    <w:p w:rsidR="00747A2B" w:rsidRPr="00686C2A" w:rsidRDefault="00783743" w:rsidP="00783743">
      <w:pPr>
        <w:pStyle w:val="paragraphsub"/>
      </w:pPr>
      <w:r w:rsidRPr="00686C2A">
        <w:tab/>
        <w:t>(ii)</w:t>
      </w:r>
      <w:r w:rsidRPr="00686C2A">
        <w:tab/>
      </w:r>
      <w:r w:rsidR="00163388" w:rsidRPr="00686C2A">
        <w:t xml:space="preserve">a </w:t>
      </w:r>
      <w:r w:rsidR="00026A95" w:rsidRPr="00686C2A">
        <w:t xml:space="preserve">corporate </w:t>
      </w:r>
      <w:proofErr w:type="spellStart"/>
      <w:r w:rsidR="00026A95" w:rsidRPr="00686C2A">
        <w:t>MySuper</w:t>
      </w:r>
      <w:proofErr w:type="spellEnd"/>
      <w:r w:rsidR="00026A95" w:rsidRPr="00686C2A">
        <w:t xml:space="preserve"> product.</w:t>
      </w:r>
    </w:p>
    <w:p w:rsidR="003721F5" w:rsidRPr="00686C2A" w:rsidRDefault="003721F5" w:rsidP="003721F5">
      <w:pPr>
        <w:pStyle w:val="subsection"/>
      </w:pPr>
      <w:r w:rsidRPr="00686C2A">
        <w:tab/>
        <w:t>(2)</w:t>
      </w:r>
      <w:r w:rsidRPr="00686C2A">
        <w:tab/>
        <w:t>In this regulation:</w:t>
      </w:r>
    </w:p>
    <w:p w:rsidR="00A76008" w:rsidRPr="00686C2A" w:rsidRDefault="00A76008" w:rsidP="003721F5">
      <w:pPr>
        <w:pStyle w:val="Definition"/>
      </w:pPr>
      <w:r w:rsidRPr="00686C2A">
        <w:rPr>
          <w:b/>
          <w:i/>
        </w:rPr>
        <w:t xml:space="preserve">corporate </w:t>
      </w:r>
      <w:proofErr w:type="spellStart"/>
      <w:r w:rsidRPr="00686C2A">
        <w:rPr>
          <w:b/>
          <w:i/>
        </w:rPr>
        <w:t>MySuper</w:t>
      </w:r>
      <w:proofErr w:type="spellEnd"/>
      <w:r w:rsidRPr="00686C2A">
        <w:rPr>
          <w:b/>
          <w:i/>
        </w:rPr>
        <w:t xml:space="preserve"> product </w:t>
      </w:r>
      <w:r w:rsidRPr="00686C2A">
        <w:t xml:space="preserve">has the meaning </w:t>
      </w:r>
      <w:r w:rsidR="004D2872" w:rsidRPr="00686C2A">
        <w:t xml:space="preserve">given by </w:t>
      </w:r>
      <w:r w:rsidRPr="00686C2A">
        <w:t>subsection</w:t>
      </w:r>
      <w:r w:rsidR="00686C2A" w:rsidRPr="00686C2A">
        <w:t> </w:t>
      </w:r>
      <w:r w:rsidRPr="00686C2A">
        <w:t xml:space="preserve">23A(3) of the </w:t>
      </w:r>
      <w:r w:rsidRPr="00686C2A">
        <w:rPr>
          <w:i/>
        </w:rPr>
        <w:t>Fair Work Act 20</w:t>
      </w:r>
      <w:r w:rsidR="000D3211" w:rsidRPr="00686C2A">
        <w:rPr>
          <w:i/>
        </w:rPr>
        <w:t>09</w:t>
      </w:r>
      <w:r w:rsidRPr="00686C2A">
        <w:t>.</w:t>
      </w:r>
    </w:p>
    <w:p w:rsidR="003721F5" w:rsidRPr="00686C2A" w:rsidRDefault="003721F5" w:rsidP="003721F5">
      <w:pPr>
        <w:pStyle w:val="Definition"/>
      </w:pPr>
      <w:r w:rsidRPr="00686C2A">
        <w:rPr>
          <w:b/>
          <w:i/>
        </w:rPr>
        <w:t>foreign superannuation fund</w:t>
      </w:r>
      <w:r w:rsidRPr="00686C2A">
        <w:t xml:space="preserve"> has the meaning given by section</w:t>
      </w:r>
      <w:r w:rsidR="00686C2A" w:rsidRPr="00686C2A">
        <w:t> </w:t>
      </w:r>
      <w:r w:rsidRPr="00686C2A">
        <w:t>995</w:t>
      </w:r>
      <w:r w:rsidR="00686C2A">
        <w:noBreakHyphen/>
      </w:r>
      <w:r w:rsidRPr="00686C2A">
        <w:t>1 of the 1997 Tax Act.</w:t>
      </w:r>
    </w:p>
    <w:p w:rsidR="00A16431" w:rsidRPr="00686C2A" w:rsidRDefault="00A16431" w:rsidP="00A16431">
      <w:pPr>
        <w:pStyle w:val="Definition"/>
      </w:pPr>
      <w:r w:rsidRPr="00686C2A">
        <w:rPr>
          <w:b/>
          <w:i/>
        </w:rPr>
        <w:t>non</w:t>
      </w:r>
      <w:r w:rsidR="00686C2A">
        <w:rPr>
          <w:b/>
          <w:i/>
        </w:rPr>
        <w:noBreakHyphen/>
      </w:r>
      <w:r w:rsidRPr="00686C2A">
        <w:rPr>
          <w:b/>
          <w:i/>
        </w:rPr>
        <w:t>associated employer</w:t>
      </w:r>
      <w:r w:rsidRPr="00686C2A">
        <w:t xml:space="preserve"> means a person who is not:</w:t>
      </w:r>
    </w:p>
    <w:p w:rsidR="00A16431" w:rsidRPr="00686C2A" w:rsidRDefault="00A16431" w:rsidP="00A16431">
      <w:pPr>
        <w:pStyle w:val="paragraph"/>
      </w:pPr>
      <w:r w:rsidRPr="00686C2A">
        <w:tab/>
        <w:t>(a)</w:t>
      </w:r>
      <w:r w:rsidRPr="00686C2A">
        <w:tab/>
        <w:t xml:space="preserve">an employer of the person who holds the </w:t>
      </w:r>
      <w:proofErr w:type="spellStart"/>
      <w:r w:rsidRPr="00686C2A">
        <w:t>MySuper</w:t>
      </w:r>
      <w:proofErr w:type="spellEnd"/>
      <w:r w:rsidRPr="00686C2A">
        <w:t xml:space="preserve"> product; or</w:t>
      </w:r>
    </w:p>
    <w:p w:rsidR="00A16431" w:rsidRPr="00686C2A" w:rsidRDefault="00A16431" w:rsidP="00A16431">
      <w:pPr>
        <w:pStyle w:val="paragraph"/>
      </w:pPr>
      <w:r w:rsidRPr="00686C2A">
        <w:tab/>
        <w:t>(b)</w:t>
      </w:r>
      <w:r w:rsidRPr="00686C2A">
        <w:tab/>
        <w:t xml:space="preserve">an employer associated with the employer of the person who holds the </w:t>
      </w:r>
      <w:proofErr w:type="spellStart"/>
      <w:r w:rsidRPr="00686C2A">
        <w:t>MySuper</w:t>
      </w:r>
      <w:proofErr w:type="spellEnd"/>
      <w:r w:rsidRPr="00686C2A">
        <w:t xml:space="preserve"> product.</w:t>
      </w:r>
    </w:p>
    <w:p w:rsidR="003721F5" w:rsidRPr="00686C2A" w:rsidRDefault="0018263A" w:rsidP="003721F5">
      <w:pPr>
        <w:pStyle w:val="ItemHead"/>
      </w:pPr>
      <w:r w:rsidRPr="00686C2A">
        <w:rPr>
          <w:noProof/>
        </w:rPr>
        <w:t>101</w:t>
      </w:r>
      <w:r w:rsidR="003721F5" w:rsidRPr="00686C2A">
        <w:t xml:space="preserve">  Part</w:t>
      </w:r>
      <w:r w:rsidR="00686C2A" w:rsidRPr="00686C2A">
        <w:t> </w:t>
      </w:r>
      <w:r w:rsidR="003721F5" w:rsidRPr="00686C2A">
        <w:t>10</w:t>
      </w:r>
    </w:p>
    <w:p w:rsidR="003721F5" w:rsidRPr="00686C2A" w:rsidRDefault="003721F5" w:rsidP="003721F5">
      <w:pPr>
        <w:pStyle w:val="Item"/>
      </w:pPr>
      <w:r w:rsidRPr="00686C2A">
        <w:t>Repeal the Part, substitute:</w:t>
      </w:r>
    </w:p>
    <w:p w:rsidR="003721F5" w:rsidRPr="00686C2A" w:rsidRDefault="003721F5" w:rsidP="003721F5">
      <w:pPr>
        <w:pStyle w:val="ActHead2"/>
      </w:pPr>
      <w:bookmarkStart w:id="55" w:name="_Toc359591549"/>
      <w:r w:rsidRPr="00686C2A">
        <w:rPr>
          <w:rStyle w:val="CharPartNo"/>
        </w:rPr>
        <w:lastRenderedPageBreak/>
        <w:t>Part</w:t>
      </w:r>
      <w:r w:rsidR="00686C2A" w:rsidRPr="00686C2A">
        <w:rPr>
          <w:rStyle w:val="CharPartNo"/>
        </w:rPr>
        <w:t> </w:t>
      </w:r>
      <w:r w:rsidRPr="00686C2A">
        <w:rPr>
          <w:rStyle w:val="CharPartNo"/>
        </w:rPr>
        <w:t>10</w:t>
      </w:r>
      <w:r w:rsidRPr="00686C2A">
        <w:t>—</w:t>
      </w:r>
      <w:r w:rsidRPr="00686C2A">
        <w:rPr>
          <w:rStyle w:val="CharPartText"/>
        </w:rPr>
        <w:t>Eligible rollover funds</w:t>
      </w:r>
      <w:bookmarkEnd w:id="55"/>
    </w:p>
    <w:p w:rsidR="003721F5" w:rsidRPr="00686C2A" w:rsidRDefault="003721F5" w:rsidP="003721F5">
      <w:pPr>
        <w:pStyle w:val="Header"/>
      </w:pPr>
      <w:r w:rsidRPr="00686C2A">
        <w:rPr>
          <w:rStyle w:val="CharDivNo"/>
        </w:rPr>
        <w:t xml:space="preserve"> </w:t>
      </w:r>
      <w:r w:rsidRPr="00686C2A">
        <w:rPr>
          <w:rStyle w:val="CharDivText"/>
        </w:rPr>
        <w:t xml:space="preserve"> </w:t>
      </w:r>
    </w:p>
    <w:p w:rsidR="003721F5" w:rsidRPr="00686C2A" w:rsidRDefault="003721F5" w:rsidP="003721F5">
      <w:pPr>
        <w:pStyle w:val="ActHead5"/>
      </w:pPr>
      <w:bookmarkStart w:id="56" w:name="_Toc359591550"/>
      <w:r w:rsidRPr="00686C2A">
        <w:rPr>
          <w:rStyle w:val="CharSectno"/>
        </w:rPr>
        <w:t>10.01</w:t>
      </w:r>
      <w:r w:rsidRPr="00686C2A">
        <w:t xml:space="preserve">  Application for authority to operate eligible rollover fund</w:t>
      </w:r>
      <w:bookmarkEnd w:id="56"/>
    </w:p>
    <w:p w:rsidR="003721F5" w:rsidRPr="00686C2A" w:rsidRDefault="003721F5" w:rsidP="003721F5">
      <w:pPr>
        <w:pStyle w:val="subsection"/>
      </w:pPr>
      <w:r w:rsidRPr="00686C2A">
        <w:tab/>
      </w:r>
      <w:r w:rsidRPr="00686C2A">
        <w:tab/>
        <w:t>For subsection</w:t>
      </w:r>
      <w:r w:rsidR="00686C2A" w:rsidRPr="00686C2A">
        <w:t> </w:t>
      </w:r>
      <w:r w:rsidRPr="00686C2A">
        <w:t>242A(1) of the Act, the following may apply to APRA for authority to operate a regulated superannuation fund as an eligible rollover fund:</w:t>
      </w:r>
    </w:p>
    <w:p w:rsidR="003721F5" w:rsidRPr="00686C2A" w:rsidRDefault="003721F5" w:rsidP="003721F5">
      <w:pPr>
        <w:pStyle w:val="paragraph"/>
      </w:pPr>
      <w:r w:rsidRPr="00686C2A">
        <w:tab/>
        <w:t>(a)</w:t>
      </w:r>
      <w:r w:rsidRPr="00686C2A">
        <w:tab/>
        <w:t xml:space="preserve">the class of </w:t>
      </w:r>
      <w:proofErr w:type="spellStart"/>
      <w:r w:rsidRPr="00686C2A">
        <w:t>RSE</w:t>
      </w:r>
      <w:proofErr w:type="spellEnd"/>
      <w:r w:rsidRPr="00686C2A">
        <w:t xml:space="preserve"> licensee that holds a public offer entity licence;</w:t>
      </w:r>
    </w:p>
    <w:p w:rsidR="003721F5" w:rsidRPr="00686C2A" w:rsidRDefault="003721F5" w:rsidP="003721F5">
      <w:pPr>
        <w:pStyle w:val="paragraph"/>
      </w:pPr>
      <w:r w:rsidRPr="00686C2A">
        <w:tab/>
        <w:t>(b)</w:t>
      </w:r>
      <w:r w:rsidRPr="00686C2A">
        <w:tab/>
        <w:t xml:space="preserve">the class of </w:t>
      </w:r>
      <w:proofErr w:type="spellStart"/>
      <w:r w:rsidRPr="00686C2A">
        <w:t>RSE</w:t>
      </w:r>
      <w:proofErr w:type="spellEnd"/>
      <w:r w:rsidRPr="00686C2A">
        <w:t xml:space="preserve"> licensee that holds an extended public offer entity licence.</w:t>
      </w:r>
    </w:p>
    <w:p w:rsidR="003721F5" w:rsidRPr="00686C2A" w:rsidRDefault="003721F5" w:rsidP="003721F5">
      <w:pPr>
        <w:pStyle w:val="notetext"/>
      </w:pPr>
      <w:r w:rsidRPr="00686C2A">
        <w:t>Note:</w:t>
      </w:r>
      <w:r w:rsidRPr="00686C2A">
        <w:tab/>
        <w:t>For extended public offer entity licences, see regulation</w:t>
      </w:r>
      <w:r w:rsidR="00686C2A" w:rsidRPr="00686C2A">
        <w:t> </w:t>
      </w:r>
      <w:r w:rsidRPr="00686C2A">
        <w:t>3A.03.</w:t>
      </w:r>
    </w:p>
    <w:p w:rsidR="003721F5" w:rsidRPr="00686C2A" w:rsidRDefault="003721F5" w:rsidP="003721F5">
      <w:pPr>
        <w:pStyle w:val="ActHead5"/>
      </w:pPr>
      <w:bookmarkStart w:id="57" w:name="_Toc359591551"/>
      <w:r w:rsidRPr="00686C2A">
        <w:rPr>
          <w:rStyle w:val="CharSectno"/>
        </w:rPr>
        <w:t>10.02</w:t>
      </w:r>
      <w:r w:rsidRPr="00686C2A">
        <w:t xml:space="preserve">  Payment of benefit to eligible rollover fund</w:t>
      </w:r>
      <w:bookmarkEnd w:id="57"/>
    </w:p>
    <w:p w:rsidR="003721F5" w:rsidRPr="00686C2A" w:rsidRDefault="003721F5" w:rsidP="003721F5">
      <w:pPr>
        <w:pStyle w:val="subsection"/>
      </w:pPr>
      <w:r w:rsidRPr="00686C2A">
        <w:tab/>
        <w:t>(1)</w:t>
      </w:r>
      <w:r w:rsidRPr="00686C2A">
        <w:tab/>
        <w:t>For paragraph</w:t>
      </w:r>
      <w:r w:rsidR="00686C2A" w:rsidRPr="00686C2A">
        <w:t> </w:t>
      </w:r>
      <w:r w:rsidRPr="00686C2A">
        <w:t>243(1)(b) of the Act, 1</w:t>
      </w:r>
      <w:r w:rsidR="00686C2A" w:rsidRPr="00686C2A">
        <w:t> </w:t>
      </w:r>
      <w:r w:rsidRPr="00686C2A">
        <w:t>July 1995 is the date from which section</w:t>
      </w:r>
      <w:r w:rsidR="00686C2A" w:rsidRPr="00686C2A">
        <w:t> </w:t>
      </w:r>
      <w:r w:rsidRPr="00686C2A">
        <w:t>243 of the Act applies to a person.</w:t>
      </w:r>
    </w:p>
    <w:p w:rsidR="003721F5" w:rsidRPr="00686C2A" w:rsidRDefault="003721F5" w:rsidP="003721F5">
      <w:pPr>
        <w:pStyle w:val="subsection"/>
      </w:pPr>
      <w:r w:rsidRPr="00686C2A">
        <w:tab/>
        <w:t>(2)</w:t>
      </w:r>
      <w:r w:rsidRPr="00686C2A">
        <w:tab/>
        <w:t>For paragraph</w:t>
      </w:r>
      <w:r w:rsidR="00686C2A" w:rsidRPr="00686C2A">
        <w:t> </w:t>
      </w:r>
      <w:r w:rsidRPr="00686C2A">
        <w:t>243(1)(c) of the Act, the condition is that the beneficiary is not a non</w:t>
      </w:r>
      <w:r w:rsidR="00686C2A">
        <w:noBreakHyphen/>
      </w:r>
      <w:r w:rsidRPr="00686C2A">
        <w:t>member spouse whose entitlement under a payment split is to be dealt with under regulation</w:t>
      </w:r>
      <w:r w:rsidR="00686C2A" w:rsidRPr="00686C2A">
        <w:t> </w:t>
      </w:r>
      <w:r w:rsidRPr="00686C2A">
        <w:t>7A.16.</w:t>
      </w:r>
    </w:p>
    <w:p w:rsidR="003721F5" w:rsidRPr="00686C2A" w:rsidRDefault="003721F5" w:rsidP="003721F5">
      <w:pPr>
        <w:pStyle w:val="subsection"/>
      </w:pPr>
      <w:r w:rsidRPr="00686C2A">
        <w:tab/>
        <w:t>(3)</w:t>
      </w:r>
      <w:r w:rsidRPr="00686C2A">
        <w:tab/>
        <w:t>For paragraph</w:t>
      </w:r>
      <w:r w:rsidR="00686C2A" w:rsidRPr="00686C2A">
        <w:t> </w:t>
      </w:r>
      <w:r w:rsidRPr="00686C2A">
        <w:t>243(3)(b) of the Act, the amount of the consideration for the issue of a superannuation interest:</w:t>
      </w:r>
    </w:p>
    <w:p w:rsidR="003721F5" w:rsidRPr="00686C2A" w:rsidRDefault="003721F5" w:rsidP="003721F5">
      <w:pPr>
        <w:pStyle w:val="paragraph"/>
      </w:pPr>
      <w:r w:rsidRPr="00686C2A">
        <w:tab/>
        <w:t>(a)</w:t>
      </w:r>
      <w:r w:rsidRPr="00686C2A">
        <w:tab/>
        <w:t>is the amount of the beneficiary</w:t>
      </w:r>
      <w:r w:rsidR="00A16431" w:rsidRPr="00686C2A">
        <w:t>’</w:t>
      </w:r>
      <w:r w:rsidRPr="00686C2A">
        <w:t>s withdrawal benefit in the transferor fund; and</w:t>
      </w:r>
    </w:p>
    <w:p w:rsidR="003721F5" w:rsidRPr="00686C2A" w:rsidRDefault="003721F5" w:rsidP="003721F5">
      <w:pPr>
        <w:pStyle w:val="paragraph"/>
      </w:pPr>
      <w:r w:rsidRPr="00686C2A">
        <w:tab/>
        <w:t>(b)</w:t>
      </w:r>
      <w:r w:rsidRPr="00686C2A">
        <w:tab/>
        <w:t>does not include any amount that would be payable to the member</w:t>
      </w:r>
      <w:r w:rsidR="00A16431" w:rsidRPr="00686C2A">
        <w:t>’</w:t>
      </w:r>
      <w:r w:rsidRPr="00686C2A">
        <w:t>s spouse or former spouse under a payment split.</w:t>
      </w:r>
    </w:p>
    <w:p w:rsidR="003721F5" w:rsidRPr="00686C2A" w:rsidRDefault="003721F5" w:rsidP="003721F5">
      <w:pPr>
        <w:pStyle w:val="notetext"/>
      </w:pPr>
      <w:r w:rsidRPr="00686C2A">
        <w:t>Note:</w:t>
      </w:r>
      <w:r w:rsidRPr="00686C2A">
        <w:tab/>
        <w:t>Section</w:t>
      </w:r>
      <w:r w:rsidR="00686C2A" w:rsidRPr="00686C2A">
        <w:t> </w:t>
      </w:r>
      <w:r w:rsidRPr="00686C2A">
        <w:t>243 of the Act sets out the circumstances in which the trustee of a fund may apply to an eligible rollover fund, on behalf of a beneficiary of the fund, for the issue of a superannuation interest in the eligible rollover fund to the beneficiary.</w:t>
      </w:r>
    </w:p>
    <w:p w:rsidR="003721F5" w:rsidRPr="00686C2A" w:rsidRDefault="003721F5" w:rsidP="003721F5">
      <w:pPr>
        <w:pStyle w:val="ActHead5"/>
      </w:pPr>
      <w:bookmarkStart w:id="58" w:name="_Toc359591552"/>
      <w:r w:rsidRPr="00686C2A">
        <w:rPr>
          <w:rStyle w:val="CharSectno"/>
        </w:rPr>
        <w:t>10.03</w:t>
      </w:r>
      <w:r w:rsidRPr="00686C2A">
        <w:t xml:space="preserve">  Operating standard—eligible rollover funds</w:t>
      </w:r>
      <w:bookmarkEnd w:id="58"/>
    </w:p>
    <w:p w:rsidR="003721F5" w:rsidRPr="00686C2A" w:rsidRDefault="003721F5" w:rsidP="003721F5">
      <w:pPr>
        <w:pStyle w:val="subsection"/>
      </w:pPr>
      <w:r w:rsidRPr="00686C2A">
        <w:tab/>
        <w:t>(1)</w:t>
      </w:r>
      <w:r w:rsidRPr="00686C2A">
        <w:tab/>
        <w:t xml:space="preserve">For </w:t>
      </w:r>
      <w:r w:rsidR="00E82DD9" w:rsidRPr="00686C2A">
        <w:t>sub</w:t>
      </w:r>
      <w:r w:rsidRPr="00686C2A">
        <w:t>section</w:t>
      </w:r>
      <w:r w:rsidR="00686C2A" w:rsidRPr="00686C2A">
        <w:t> </w:t>
      </w:r>
      <w:r w:rsidRPr="00686C2A">
        <w:t>31(1) of the Act, this standard applies to the trustee of an eligible rollover fund.</w:t>
      </w:r>
    </w:p>
    <w:p w:rsidR="003721F5" w:rsidRPr="00686C2A" w:rsidRDefault="003721F5" w:rsidP="003721F5">
      <w:pPr>
        <w:pStyle w:val="subsection"/>
      </w:pPr>
      <w:r w:rsidRPr="00686C2A">
        <w:lastRenderedPageBreak/>
        <w:tab/>
        <w:t>(2)</w:t>
      </w:r>
      <w:r w:rsidRPr="00686C2A">
        <w:tab/>
        <w:t>The trustee must accept payment of benefits, other than pension benefits, paid from a superannuation fund, other than an eligible rollover fund.</w:t>
      </w:r>
    </w:p>
    <w:p w:rsidR="003721F5" w:rsidRPr="00686C2A" w:rsidRDefault="0018263A" w:rsidP="003721F5">
      <w:pPr>
        <w:pStyle w:val="ItemHead"/>
        <w:rPr>
          <w:rFonts w:cs="Arial"/>
        </w:rPr>
      </w:pPr>
      <w:r w:rsidRPr="00686C2A">
        <w:rPr>
          <w:rFonts w:cs="Arial"/>
          <w:noProof/>
        </w:rPr>
        <w:t>102</w:t>
      </w:r>
      <w:r w:rsidR="003721F5" w:rsidRPr="00686C2A">
        <w:rPr>
          <w:rFonts w:cs="Arial"/>
        </w:rPr>
        <w:t xml:space="preserve">  Regulations</w:t>
      </w:r>
      <w:r w:rsidR="00686C2A" w:rsidRPr="00686C2A">
        <w:rPr>
          <w:rFonts w:cs="Arial"/>
        </w:rPr>
        <w:t> </w:t>
      </w:r>
      <w:r w:rsidR="003721F5" w:rsidRPr="00686C2A">
        <w:rPr>
          <w:rFonts w:cs="Arial"/>
        </w:rPr>
        <w:t>11.07 and 11.07AA</w:t>
      </w:r>
    </w:p>
    <w:p w:rsidR="003721F5" w:rsidRPr="00686C2A" w:rsidRDefault="003721F5" w:rsidP="003721F5">
      <w:pPr>
        <w:pStyle w:val="Item"/>
      </w:pPr>
      <w:r w:rsidRPr="00686C2A">
        <w:t>Repeal the regulations, substitute:</w:t>
      </w:r>
    </w:p>
    <w:p w:rsidR="003721F5" w:rsidRPr="00686C2A" w:rsidRDefault="003721F5" w:rsidP="003721F5">
      <w:pPr>
        <w:pStyle w:val="ActHead5"/>
      </w:pPr>
      <w:bookmarkStart w:id="59" w:name="_Toc359591553"/>
      <w:r w:rsidRPr="00686C2A">
        <w:rPr>
          <w:rStyle w:val="CharSectno"/>
        </w:rPr>
        <w:t>11.07</w:t>
      </w:r>
      <w:r w:rsidRPr="00686C2A">
        <w:t xml:space="preserve">  Operating standard—disclosure of certain information (funds other than </w:t>
      </w:r>
      <w:proofErr w:type="spellStart"/>
      <w:r w:rsidRPr="00686C2A">
        <w:t>self managed</w:t>
      </w:r>
      <w:proofErr w:type="spellEnd"/>
      <w:r w:rsidRPr="00686C2A">
        <w:t xml:space="preserve"> superannuation funds)</w:t>
      </w:r>
      <w:bookmarkEnd w:id="59"/>
    </w:p>
    <w:p w:rsidR="003721F5" w:rsidRPr="00686C2A" w:rsidRDefault="003721F5" w:rsidP="003721F5">
      <w:pPr>
        <w:pStyle w:val="subsection"/>
      </w:pPr>
      <w:r w:rsidRPr="00686C2A">
        <w:tab/>
        <w:t>(1)</w:t>
      </w:r>
      <w:r w:rsidRPr="00686C2A">
        <w:tab/>
        <w:t>This standard:</w:t>
      </w:r>
    </w:p>
    <w:p w:rsidR="003721F5" w:rsidRPr="00686C2A" w:rsidRDefault="003721F5" w:rsidP="003721F5">
      <w:pPr>
        <w:pStyle w:val="paragraph"/>
      </w:pPr>
      <w:r w:rsidRPr="00686C2A">
        <w:tab/>
        <w:t>(a)</w:t>
      </w:r>
      <w:r w:rsidRPr="00686C2A">
        <w:tab/>
        <w:t>is made for subsections</w:t>
      </w:r>
      <w:r w:rsidR="00686C2A" w:rsidRPr="00686C2A">
        <w:t> </w:t>
      </w:r>
      <w:r w:rsidRPr="00686C2A">
        <w:t>31(1), 32(1) and 33(1) of the Act; and</w:t>
      </w:r>
    </w:p>
    <w:p w:rsidR="003721F5" w:rsidRPr="00686C2A" w:rsidRDefault="003721F5" w:rsidP="003721F5">
      <w:pPr>
        <w:pStyle w:val="paragraph"/>
      </w:pPr>
      <w:r w:rsidRPr="00686C2A">
        <w:tab/>
        <w:t>(b)</w:t>
      </w:r>
      <w:r w:rsidRPr="00686C2A">
        <w:tab/>
        <w:t xml:space="preserve">applies to a superannuation entity other than a </w:t>
      </w:r>
      <w:proofErr w:type="spellStart"/>
      <w:r w:rsidRPr="00686C2A">
        <w:t>self managed</w:t>
      </w:r>
      <w:proofErr w:type="spellEnd"/>
      <w:r w:rsidRPr="00686C2A">
        <w:t xml:space="preserve"> superannuation fund.</w:t>
      </w:r>
    </w:p>
    <w:p w:rsidR="003721F5" w:rsidRPr="00686C2A" w:rsidRDefault="003721F5" w:rsidP="003721F5">
      <w:pPr>
        <w:pStyle w:val="subsection"/>
      </w:pPr>
      <w:r w:rsidRPr="00686C2A">
        <w:tab/>
        <w:t>(2)</w:t>
      </w:r>
      <w:r w:rsidRPr="00686C2A">
        <w:tab/>
        <w:t>The trustee of the entity must give written notice to the Regulator of any change in the following:</w:t>
      </w:r>
    </w:p>
    <w:p w:rsidR="003721F5" w:rsidRPr="00686C2A" w:rsidRDefault="003721F5" w:rsidP="003721F5">
      <w:pPr>
        <w:pStyle w:val="paragraph"/>
      </w:pPr>
      <w:r w:rsidRPr="00686C2A">
        <w:tab/>
        <w:t>(a)</w:t>
      </w:r>
      <w:r w:rsidRPr="00686C2A">
        <w:tab/>
        <w:t>the name of the entity;</w:t>
      </w:r>
    </w:p>
    <w:p w:rsidR="003721F5" w:rsidRPr="00686C2A" w:rsidRDefault="003721F5" w:rsidP="003721F5">
      <w:pPr>
        <w:pStyle w:val="paragraph"/>
      </w:pPr>
      <w:r w:rsidRPr="00686C2A">
        <w:tab/>
        <w:t>(b)</w:t>
      </w:r>
      <w:r w:rsidRPr="00686C2A">
        <w:tab/>
        <w:t>the postal address, registered address or address for service of notices of the entity;</w:t>
      </w:r>
    </w:p>
    <w:p w:rsidR="003721F5" w:rsidRPr="00686C2A" w:rsidRDefault="003721F5" w:rsidP="003721F5">
      <w:pPr>
        <w:pStyle w:val="paragraph"/>
      </w:pPr>
      <w:r w:rsidRPr="00686C2A">
        <w:tab/>
        <w:t>(c)</w:t>
      </w:r>
      <w:r w:rsidRPr="00686C2A">
        <w:tab/>
        <w:t>details of the contact person for the entity, and contact telephone and facsimile numbers;</w:t>
      </w:r>
    </w:p>
    <w:p w:rsidR="003721F5" w:rsidRPr="00686C2A" w:rsidRDefault="003721F5" w:rsidP="003721F5">
      <w:pPr>
        <w:pStyle w:val="paragraph"/>
      </w:pPr>
      <w:r w:rsidRPr="00686C2A">
        <w:tab/>
        <w:t>(d)</w:t>
      </w:r>
      <w:r w:rsidRPr="00686C2A">
        <w:tab/>
        <w:t xml:space="preserve">the </w:t>
      </w:r>
      <w:proofErr w:type="spellStart"/>
      <w:r w:rsidRPr="00686C2A">
        <w:t>RSE</w:t>
      </w:r>
      <w:proofErr w:type="spellEnd"/>
      <w:r w:rsidRPr="00686C2A">
        <w:t xml:space="preserve"> licensee of the entity.</w:t>
      </w:r>
    </w:p>
    <w:p w:rsidR="003721F5" w:rsidRPr="00686C2A" w:rsidRDefault="003721F5" w:rsidP="003721F5">
      <w:pPr>
        <w:pStyle w:val="subsection"/>
      </w:pPr>
      <w:r w:rsidRPr="00686C2A">
        <w:tab/>
        <w:t>(3)</w:t>
      </w:r>
      <w:r w:rsidRPr="00686C2A">
        <w:tab/>
        <w:t xml:space="preserve">The notice for </w:t>
      </w:r>
      <w:proofErr w:type="spellStart"/>
      <w:r w:rsidRPr="00686C2A">
        <w:t>subregulation</w:t>
      </w:r>
      <w:proofErr w:type="spellEnd"/>
      <w:r w:rsidRPr="00686C2A">
        <w:t xml:space="preserve"> (2) must be given:</w:t>
      </w:r>
    </w:p>
    <w:p w:rsidR="003721F5" w:rsidRPr="00686C2A" w:rsidRDefault="003721F5" w:rsidP="003721F5">
      <w:pPr>
        <w:pStyle w:val="paragraph"/>
      </w:pPr>
      <w:r w:rsidRPr="00686C2A">
        <w:tab/>
        <w:t>(a)</w:t>
      </w:r>
      <w:r w:rsidRPr="00686C2A">
        <w:tab/>
        <w:t>for a superannuation entity that is an eligible rollover fund—immediately after the change; or</w:t>
      </w:r>
    </w:p>
    <w:p w:rsidR="003721F5" w:rsidRPr="00686C2A" w:rsidRDefault="003721F5" w:rsidP="003721F5">
      <w:pPr>
        <w:pStyle w:val="paragraph"/>
      </w:pPr>
      <w:r w:rsidRPr="00686C2A">
        <w:tab/>
        <w:t>(b)</w:t>
      </w:r>
      <w:r w:rsidRPr="00686C2A">
        <w:tab/>
        <w:t>in any other case—within 28 days of the change.</w:t>
      </w:r>
    </w:p>
    <w:p w:rsidR="003721F5" w:rsidRPr="00686C2A" w:rsidRDefault="003721F5" w:rsidP="003721F5">
      <w:pPr>
        <w:pStyle w:val="subsection"/>
      </w:pPr>
      <w:r w:rsidRPr="00686C2A">
        <w:tab/>
        <w:t>(4)</w:t>
      </w:r>
      <w:r w:rsidRPr="00686C2A">
        <w:tab/>
        <w:t xml:space="preserve">An </w:t>
      </w:r>
      <w:proofErr w:type="spellStart"/>
      <w:r w:rsidRPr="00686C2A">
        <w:t>RSE</w:t>
      </w:r>
      <w:proofErr w:type="spellEnd"/>
      <w:r w:rsidRPr="00686C2A">
        <w:t xml:space="preserve"> licensee who is an incoming trustee of the entity must give written notice of that fact to the Regulator.</w:t>
      </w:r>
    </w:p>
    <w:p w:rsidR="003721F5" w:rsidRPr="00686C2A" w:rsidRDefault="003721F5" w:rsidP="003721F5">
      <w:pPr>
        <w:pStyle w:val="subsection"/>
      </w:pPr>
      <w:r w:rsidRPr="00686C2A">
        <w:tab/>
        <w:t>(5)</w:t>
      </w:r>
      <w:r w:rsidRPr="00686C2A">
        <w:tab/>
        <w:t xml:space="preserve">The notice for </w:t>
      </w:r>
      <w:proofErr w:type="spellStart"/>
      <w:r w:rsidRPr="00686C2A">
        <w:t>subregulation</w:t>
      </w:r>
      <w:proofErr w:type="spellEnd"/>
      <w:r w:rsidRPr="00686C2A">
        <w:t xml:space="preserve"> (4) must be given:</w:t>
      </w:r>
    </w:p>
    <w:p w:rsidR="003721F5" w:rsidRPr="00686C2A" w:rsidRDefault="003721F5" w:rsidP="003721F5">
      <w:pPr>
        <w:pStyle w:val="paragraph"/>
      </w:pPr>
      <w:r w:rsidRPr="00686C2A">
        <w:tab/>
        <w:t xml:space="preserve"> (a)</w:t>
      </w:r>
      <w:r w:rsidRPr="00686C2A">
        <w:tab/>
        <w:t xml:space="preserve">as soon as practicable after the </w:t>
      </w:r>
      <w:proofErr w:type="spellStart"/>
      <w:r w:rsidRPr="00686C2A">
        <w:t>RSE</w:t>
      </w:r>
      <w:proofErr w:type="spellEnd"/>
      <w:r w:rsidRPr="00686C2A">
        <w:t xml:space="preserve"> licensee becomes a trustee of the entity; and</w:t>
      </w:r>
    </w:p>
    <w:p w:rsidR="003721F5" w:rsidRPr="00686C2A" w:rsidRDefault="003721F5" w:rsidP="003721F5">
      <w:pPr>
        <w:pStyle w:val="paragraph"/>
      </w:pPr>
      <w:r w:rsidRPr="00686C2A">
        <w:tab/>
        <w:t>(b)</w:t>
      </w:r>
      <w:r w:rsidRPr="00686C2A">
        <w:tab/>
        <w:t xml:space="preserve">no later than 5 days after the date on which the </w:t>
      </w:r>
      <w:proofErr w:type="spellStart"/>
      <w:r w:rsidRPr="00686C2A">
        <w:t>RSE</w:t>
      </w:r>
      <w:proofErr w:type="spellEnd"/>
      <w:r w:rsidRPr="00686C2A">
        <w:t xml:space="preserve"> licensee becomes a trustee of the entity.</w:t>
      </w:r>
    </w:p>
    <w:p w:rsidR="003721F5" w:rsidRPr="00686C2A" w:rsidRDefault="003721F5" w:rsidP="003721F5">
      <w:pPr>
        <w:pStyle w:val="subsection"/>
      </w:pPr>
      <w:r w:rsidRPr="00686C2A">
        <w:lastRenderedPageBreak/>
        <w:tab/>
        <w:t>(6)</w:t>
      </w:r>
      <w:r w:rsidRPr="00686C2A">
        <w:tab/>
        <w:t>The trustee of the entity must give written notice to the Regulator of a decision or resolution:</w:t>
      </w:r>
    </w:p>
    <w:p w:rsidR="003721F5" w:rsidRPr="00686C2A" w:rsidRDefault="003721F5" w:rsidP="003721F5">
      <w:pPr>
        <w:pStyle w:val="paragraph"/>
      </w:pPr>
      <w:r w:rsidRPr="00686C2A">
        <w:tab/>
        <w:t>(a)</w:t>
      </w:r>
      <w:r w:rsidRPr="00686C2A">
        <w:tab/>
        <w:t>to wind up the entity; or</w:t>
      </w:r>
    </w:p>
    <w:p w:rsidR="003721F5" w:rsidRPr="00686C2A" w:rsidRDefault="003721F5" w:rsidP="003721F5">
      <w:pPr>
        <w:pStyle w:val="paragraph"/>
      </w:pPr>
      <w:r w:rsidRPr="00686C2A">
        <w:tab/>
        <w:t>(b)</w:t>
      </w:r>
      <w:r w:rsidRPr="00686C2A">
        <w:tab/>
        <w:t>to retire as a trustee of the entity.</w:t>
      </w:r>
    </w:p>
    <w:p w:rsidR="003721F5" w:rsidRPr="00686C2A" w:rsidRDefault="003721F5" w:rsidP="003721F5">
      <w:pPr>
        <w:pStyle w:val="subsection"/>
      </w:pPr>
      <w:r w:rsidRPr="00686C2A">
        <w:tab/>
        <w:t>(7)</w:t>
      </w:r>
      <w:r w:rsidRPr="00686C2A">
        <w:tab/>
        <w:t xml:space="preserve">The notice for </w:t>
      </w:r>
      <w:proofErr w:type="spellStart"/>
      <w:r w:rsidRPr="00686C2A">
        <w:t>subregulation</w:t>
      </w:r>
      <w:proofErr w:type="spellEnd"/>
      <w:r w:rsidRPr="00686C2A">
        <w:t xml:space="preserve"> (6) must be given</w:t>
      </w:r>
    </w:p>
    <w:p w:rsidR="003721F5" w:rsidRPr="00686C2A" w:rsidRDefault="003721F5" w:rsidP="003721F5">
      <w:pPr>
        <w:pStyle w:val="paragraph"/>
      </w:pPr>
      <w:r w:rsidRPr="00686C2A">
        <w:tab/>
        <w:t>(a)</w:t>
      </w:r>
      <w:r w:rsidRPr="00686C2A">
        <w:tab/>
        <w:t>as soon as practicable after the making of the decision or resolution; and</w:t>
      </w:r>
    </w:p>
    <w:p w:rsidR="003721F5" w:rsidRPr="00686C2A" w:rsidRDefault="003721F5" w:rsidP="003721F5">
      <w:pPr>
        <w:pStyle w:val="paragraph"/>
      </w:pPr>
      <w:r w:rsidRPr="00686C2A">
        <w:tab/>
        <w:t>(b)</w:t>
      </w:r>
      <w:r w:rsidRPr="00686C2A">
        <w:tab/>
        <w:t xml:space="preserve"> before the winding up has commenced or the trustee has retired.</w:t>
      </w:r>
    </w:p>
    <w:p w:rsidR="003721F5" w:rsidRPr="00686C2A" w:rsidRDefault="003721F5" w:rsidP="003721F5">
      <w:pPr>
        <w:pStyle w:val="subsection"/>
      </w:pPr>
      <w:r w:rsidRPr="00686C2A">
        <w:tab/>
        <w:t>(8)</w:t>
      </w:r>
      <w:r w:rsidRPr="00686C2A">
        <w:tab/>
        <w:t xml:space="preserve">The trustee of the entity must give written notice to the Regulator of a change in class of the </w:t>
      </w:r>
      <w:proofErr w:type="spellStart"/>
      <w:r w:rsidRPr="00686C2A">
        <w:t>RSE</w:t>
      </w:r>
      <w:proofErr w:type="spellEnd"/>
      <w:r w:rsidRPr="00686C2A">
        <w:t>.</w:t>
      </w:r>
    </w:p>
    <w:p w:rsidR="003721F5" w:rsidRPr="00686C2A" w:rsidRDefault="003721F5" w:rsidP="003721F5">
      <w:pPr>
        <w:pStyle w:val="subsection"/>
      </w:pPr>
      <w:r w:rsidRPr="00686C2A">
        <w:tab/>
        <w:t>(9)</w:t>
      </w:r>
      <w:r w:rsidRPr="00686C2A">
        <w:tab/>
        <w:t xml:space="preserve">The notice for </w:t>
      </w:r>
      <w:proofErr w:type="spellStart"/>
      <w:r w:rsidRPr="00686C2A">
        <w:t>subregulation</w:t>
      </w:r>
      <w:proofErr w:type="spellEnd"/>
      <w:r w:rsidRPr="00686C2A">
        <w:t xml:space="preserve"> (8) must be given before, or as soon as practicable after, the change in the class.</w:t>
      </w:r>
    </w:p>
    <w:p w:rsidR="003721F5" w:rsidRPr="00686C2A" w:rsidRDefault="003721F5" w:rsidP="003721F5">
      <w:pPr>
        <w:pStyle w:val="ActHead5"/>
      </w:pPr>
      <w:bookmarkStart w:id="60" w:name="_Toc359591554"/>
      <w:r w:rsidRPr="00686C2A">
        <w:rPr>
          <w:rStyle w:val="CharSectno"/>
        </w:rPr>
        <w:t>11.07AA</w:t>
      </w:r>
      <w:r w:rsidRPr="00686C2A">
        <w:t xml:space="preserve">  Operating standard—disclosure of certain information (</w:t>
      </w:r>
      <w:proofErr w:type="spellStart"/>
      <w:r w:rsidRPr="00686C2A">
        <w:t>self managed</w:t>
      </w:r>
      <w:proofErr w:type="spellEnd"/>
      <w:r w:rsidRPr="00686C2A">
        <w:t xml:space="preserve"> superannuation funds)</w:t>
      </w:r>
      <w:bookmarkEnd w:id="60"/>
    </w:p>
    <w:p w:rsidR="003721F5" w:rsidRPr="00686C2A" w:rsidRDefault="003721F5" w:rsidP="003721F5">
      <w:pPr>
        <w:pStyle w:val="subsection"/>
      </w:pPr>
      <w:r w:rsidRPr="00686C2A">
        <w:tab/>
        <w:t>(1)</w:t>
      </w:r>
      <w:r w:rsidRPr="00686C2A">
        <w:tab/>
        <w:t xml:space="preserve">This </w:t>
      </w:r>
      <w:r w:rsidR="00F56DD9" w:rsidRPr="00686C2A">
        <w:t xml:space="preserve">standard </w:t>
      </w:r>
      <w:r w:rsidRPr="00686C2A">
        <w:t>is made for subsection</w:t>
      </w:r>
      <w:r w:rsidR="00686C2A" w:rsidRPr="00686C2A">
        <w:t> </w:t>
      </w:r>
      <w:r w:rsidRPr="00686C2A">
        <w:t>31(1) of the Act.</w:t>
      </w:r>
    </w:p>
    <w:p w:rsidR="003721F5" w:rsidRPr="00686C2A" w:rsidRDefault="003721F5" w:rsidP="003721F5">
      <w:pPr>
        <w:pStyle w:val="subsection"/>
      </w:pPr>
      <w:r w:rsidRPr="00686C2A">
        <w:tab/>
        <w:t>(2)</w:t>
      </w:r>
      <w:r w:rsidRPr="00686C2A">
        <w:tab/>
        <w:t xml:space="preserve">The trustee of a </w:t>
      </w:r>
      <w:proofErr w:type="spellStart"/>
      <w:r w:rsidRPr="00686C2A">
        <w:t>self managed</w:t>
      </w:r>
      <w:proofErr w:type="spellEnd"/>
      <w:r w:rsidRPr="00686C2A">
        <w:t xml:space="preserve"> superannuation fund must give written notice to the Regulator of any change in the following:</w:t>
      </w:r>
    </w:p>
    <w:p w:rsidR="003721F5" w:rsidRPr="00686C2A" w:rsidRDefault="003721F5" w:rsidP="003721F5">
      <w:pPr>
        <w:pStyle w:val="paragraph"/>
      </w:pPr>
      <w:r w:rsidRPr="00686C2A">
        <w:tab/>
        <w:t>(a)</w:t>
      </w:r>
      <w:r w:rsidRPr="00686C2A">
        <w:tab/>
        <w:t>the name of the fund;</w:t>
      </w:r>
    </w:p>
    <w:p w:rsidR="003721F5" w:rsidRPr="00686C2A" w:rsidRDefault="003721F5" w:rsidP="003721F5">
      <w:pPr>
        <w:pStyle w:val="paragraph"/>
      </w:pPr>
      <w:r w:rsidRPr="00686C2A">
        <w:tab/>
        <w:t>(b)</w:t>
      </w:r>
      <w:r w:rsidRPr="00686C2A">
        <w:tab/>
        <w:t>the postal address, registered address or address for service of notices of the fund;</w:t>
      </w:r>
    </w:p>
    <w:p w:rsidR="003721F5" w:rsidRPr="00686C2A" w:rsidRDefault="003721F5" w:rsidP="003721F5">
      <w:pPr>
        <w:pStyle w:val="paragraph"/>
      </w:pPr>
      <w:r w:rsidRPr="00686C2A">
        <w:tab/>
        <w:t>(c)</w:t>
      </w:r>
      <w:r w:rsidRPr="00686C2A">
        <w:tab/>
        <w:t>details of the contact person for the fund, and contact telephone and facsimile numbers;</w:t>
      </w:r>
    </w:p>
    <w:p w:rsidR="003721F5" w:rsidRPr="00686C2A" w:rsidRDefault="003721F5" w:rsidP="003721F5">
      <w:pPr>
        <w:pStyle w:val="paragraph"/>
      </w:pPr>
      <w:r w:rsidRPr="00686C2A">
        <w:tab/>
        <w:t>(d)</w:t>
      </w:r>
      <w:r w:rsidRPr="00686C2A">
        <w:tab/>
        <w:t>the membership of the fund;</w:t>
      </w:r>
    </w:p>
    <w:p w:rsidR="003721F5" w:rsidRPr="00686C2A" w:rsidRDefault="003721F5" w:rsidP="003721F5">
      <w:pPr>
        <w:pStyle w:val="paragraph"/>
      </w:pPr>
      <w:r w:rsidRPr="00686C2A">
        <w:tab/>
        <w:t>(e)</w:t>
      </w:r>
      <w:r w:rsidRPr="00686C2A">
        <w:tab/>
        <w:t>the trustees of the fund;</w:t>
      </w:r>
    </w:p>
    <w:p w:rsidR="003721F5" w:rsidRPr="00686C2A" w:rsidRDefault="003721F5" w:rsidP="003721F5">
      <w:pPr>
        <w:pStyle w:val="paragraph"/>
      </w:pPr>
      <w:r w:rsidRPr="00686C2A">
        <w:tab/>
        <w:t>(f)</w:t>
      </w:r>
      <w:r w:rsidRPr="00686C2A">
        <w:tab/>
        <w:t>the directors of the fund</w:t>
      </w:r>
      <w:r w:rsidR="00A16431" w:rsidRPr="00686C2A">
        <w:t>’</w:t>
      </w:r>
      <w:r w:rsidRPr="00686C2A">
        <w:t>s corporate trustee.</w:t>
      </w:r>
    </w:p>
    <w:p w:rsidR="003721F5" w:rsidRPr="00686C2A" w:rsidRDefault="003721F5" w:rsidP="003721F5">
      <w:pPr>
        <w:pStyle w:val="subsection"/>
      </w:pPr>
      <w:r w:rsidRPr="00686C2A">
        <w:tab/>
        <w:t>(3)</w:t>
      </w:r>
      <w:r w:rsidRPr="00686C2A">
        <w:tab/>
        <w:t xml:space="preserve">The notice for </w:t>
      </w:r>
      <w:proofErr w:type="spellStart"/>
      <w:r w:rsidRPr="00686C2A">
        <w:t>subregulation</w:t>
      </w:r>
      <w:proofErr w:type="spellEnd"/>
      <w:r w:rsidRPr="00686C2A">
        <w:t xml:space="preserve"> (2) must be given:</w:t>
      </w:r>
    </w:p>
    <w:p w:rsidR="003721F5" w:rsidRPr="00686C2A" w:rsidRDefault="003721F5" w:rsidP="003721F5">
      <w:pPr>
        <w:pStyle w:val="paragraph"/>
      </w:pPr>
      <w:r w:rsidRPr="00686C2A">
        <w:tab/>
        <w:t>(a)</w:t>
      </w:r>
      <w:r w:rsidRPr="00686C2A">
        <w:tab/>
        <w:t>using the approved form; and</w:t>
      </w:r>
    </w:p>
    <w:p w:rsidR="003721F5" w:rsidRPr="00686C2A" w:rsidRDefault="003721F5" w:rsidP="003721F5">
      <w:pPr>
        <w:pStyle w:val="paragraph"/>
      </w:pPr>
      <w:r w:rsidRPr="00686C2A">
        <w:tab/>
        <w:t>(b)</w:t>
      </w:r>
      <w:r w:rsidRPr="00686C2A">
        <w:tab/>
        <w:t>within 28 days after the change.</w:t>
      </w:r>
    </w:p>
    <w:p w:rsidR="003721F5" w:rsidRPr="00686C2A" w:rsidRDefault="0018263A" w:rsidP="003721F5">
      <w:pPr>
        <w:pStyle w:val="ItemHead"/>
      </w:pPr>
      <w:r w:rsidRPr="00686C2A">
        <w:rPr>
          <w:noProof/>
        </w:rPr>
        <w:t>103</w:t>
      </w:r>
      <w:r w:rsidR="003721F5" w:rsidRPr="00686C2A">
        <w:t xml:space="preserve">  After regulation</w:t>
      </w:r>
      <w:r w:rsidR="00686C2A" w:rsidRPr="00686C2A">
        <w:t> </w:t>
      </w:r>
      <w:r w:rsidR="003721F5" w:rsidRPr="00686C2A">
        <w:t>11.07A</w:t>
      </w:r>
    </w:p>
    <w:p w:rsidR="003721F5" w:rsidRPr="00686C2A" w:rsidRDefault="003721F5" w:rsidP="003721F5">
      <w:pPr>
        <w:pStyle w:val="Item"/>
      </w:pPr>
      <w:r w:rsidRPr="00686C2A">
        <w:t>Insert:</w:t>
      </w:r>
    </w:p>
    <w:p w:rsidR="003721F5" w:rsidRPr="00686C2A" w:rsidRDefault="003721F5" w:rsidP="003721F5">
      <w:pPr>
        <w:pStyle w:val="ActHead5"/>
      </w:pPr>
      <w:bookmarkStart w:id="61" w:name="_Toc359591555"/>
      <w:r w:rsidRPr="00686C2A">
        <w:rPr>
          <w:rStyle w:val="CharSectno"/>
        </w:rPr>
        <w:lastRenderedPageBreak/>
        <w:t>11.08</w:t>
      </w:r>
      <w:r w:rsidRPr="00686C2A">
        <w:t xml:space="preserve">  Operating standard—disclosure of successor fund transfer</w:t>
      </w:r>
      <w:bookmarkEnd w:id="61"/>
    </w:p>
    <w:p w:rsidR="003721F5" w:rsidRPr="00686C2A" w:rsidRDefault="003721F5" w:rsidP="003721F5">
      <w:pPr>
        <w:pStyle w:val="subsection"/>
      </w:pPr>
      <w:r w:rsidRPr="00686C2A">
        <w:tab/>
        <w:t>(1)</w:t>
      </w:r>
      <w:r w:rsidRPr="00686C2A">
        <w:tab/>
        <w:t>For subsections</w:t>
      </w:r>
      <w:r w:rsidR="00686C2A" w:rsidRPr="00686C2A">
        <w:t> </w:t>
      </w:r>
      <w:r w:rsidRPr="00686C2A">
        <w:t xml:space="preserve">31(1) and 32(1) of the Act, it is a standard applicable to the operation of a superannuation entity, other than a pooled superannuation trust or a </w:t>
      </w:r>
      <w:proofErr w:type="spellStart"/>
      <w:r w:rsidRPr="00686C2A">
        <w:t>self managed</w:t>
      </w:r>
      <w:proofErr w:type="spellEnd"/>
      <w:r w:rsidRPr="00686C2A">
        <w:t xml:space="preserve"> superannuation fund, that the trustee must give notice in writing to the Regulator, in accordance with </w:t>
      </w:r>
      <w:proofErr w:type="spellStart"/>
      <w:r w:rsidRPr="00686C2A">
        <w:t>subregulation</w:t>
      </w:r>
      <w:proofErr w:type="spellEnd"/>
      <w:r w:rsidRPr="00686C2A">
        <w:t xml:space="preserve"> (2), of a decision to transfer a member</w:t>
      </w:r>
      <w:r w:rsidR="00A16431" w:rsidRPr="00686C2A">
        <w:t>’</w:t>
      </w:r>
      <w:r w:rsidRPr="00686C2A">
        <w:t>s benefits from the fund, without the member</w:t>
      </w:r>
      <w:r w:rsidR="00A16431" w:rsidRPr="00686C2A">
        <w:t>’</w:t>
      </w:r>
      <w:r w:rsidRPr="00686C2A">
        <w:t>s consent.</w:t>
      </w:r>
    </w:p>
    <w:p w:rsidR="003721F5" w:rsidRPr="00686C2A" w:rsidRDefault="003721F5" w:rsidP="003721F5">
      <w:pPr>
        <w:pStyle w:val="subsection"/>
      </w:pPr>
      <w:r w:rsidRPr="00686C2A">
        <w:tab/>
        <w:t>(2)</w:t>
      </w:r>
      <w:r w:rsidRPr="00686C2A">
        <w:tab/>
        <w:t xml:space="preserve">Notice under </w:t>
      </w:r>
      <w:proofErr w:type="spellStart"/>
      <w:r w:rsidRPr="00686C2A">
        <w:t>subregulation</w:t>
      </w:r>
      <w:proofErr w:type="spellEnd"/>
      <w:r w:rsidRPr="00686C2A">
        <w:t xml:space="preserve"> (1) must be given:</w:t>
      </w:r>
    </w:p>
    <w:p w:rsidR="003721F5" w:rsidRPr="00686C2A" w:rsidRDefault="003721F5" w:rsidP="003721F5">
      <w:pPr>
        <w:pStyle w:val="paragraph"/>
      </w:pPr>
      <w:r w:rsidRPr="00686C2A">
        <w:tab/>
        <w:t>(a)</w:t>
      </w:r>
      <w:r w:rsidRPr="00686C2A">
        <w:tab/>
        <w:t>as soon as practicable after the making of the decision to transfer the member</w:t>
      </w:r>
      <w:r w:rsidR="00A16431" w:rsidRPr="00686C2A">
        <w:t>’</w:t>
      </w:r>
      <w:r w:rsidRPr="00686C2A">
        <w:t>s benefits from the fund; or</w:t>
      </w:r>
    </w:p>
    <w:p w:rsidR="003721F5" w:rsidRPr="00686C2A" w:rsidRDefault="003721F5" w:rsidP="003721F5">
      <w:pPr>
        <w:pStyle w:val="paragraph"/>
      </w:pPr>
      <w:r w:rsidRPr="00686C2A">
        <w:tab/>
        <w:t>(b)</w:t>
      </w:r>
      <w:r w:rsidRPr="00686C2A">
        <w:tab/>
        <w:t>if the fund is being wound up—before the winding up is commenced.</w:t>
      </w:r>
    </w:p>
    <w:p w:rsidR="003721F5" w:rsidRPr="00686C2A" w:rsidRDefault="0018263A" w:rsidP="003721F5">
      <w:pPr>
        <w:pStyle w:val="ItemHead"/>
        <w:rPr>
          <w:rFonts w:cs="Arial"/>
        </w:rPr>
      </w:pPr>
      <w:r w:rsidRPr="00686C2A">
        <w:rPr>
          <w:rFonts w:cs="Arial"/>
          <w:noProof/>
        </w:rPr>
        <w:t>104</w:t>
      </w:r>
      <w:r w:rsidR="003721F5" w:rsidRPr="00686C2A">
        <w:rPr>
          <w:rFonts w:cs="Arial"/>
        </w:rPr>
        <w:t xml:space="preserve">  Part</w:t>
      </w:r>
      <w:r w:rsidR="00686C2A" w:rsidRPr="00686C2A">
        <w:rPr>
          <w:rFonts w:cs="Arial"/>
        </w:rPr>
        <w:t> </w:t>
      </w:r>
      <w:r w:rsidR="003721F5" w:rsidRPr="00686C2A">
        <w:rPr>
          <w:rFonts w:cs="Arial"/>
        </w:rPr>
        <w:t>11A</w:t>
      </w:r>
    </w:p>
    <w:p w:rsidR="003721F5" w:rsidRPr="00686C2A" w:rsidRDefault="003721F5" w:rsidP="003721F5">
      <w:pPr>
        <w:pStyle w:val="Item"/>
      </w:pPr>
      <w:r w:rsidRPr="00686C2A">
        <w:t>Repeal the Part, substitute:</w:t>
      </w:r>
    </w:p>
    <w:p w:rsidR="003721F5" w:rsidRPr="00686C2A" w:rsidRDefault="003721F5" w:rsidP="003721F5">
      <w:pPr>
        <w:pStyle w:val="ActHead2"/>
      </w:pPr>
      <w:bookmarkStart w:id="62" w:name="_Toc359591556"/>
      <w:r w:rsidRPr="00686C2A">
        <w:rPr>
          <w:rStyle w:val="CharPartNo"/>
        </w:rPr>
        <w:t>Part</w:t>
      </w:r>
      <w:r w:rsidR="00686C2A" w:rsidRPr="00686C2A">
        <w:rPr>
          <w:rStyle w:val="CharPartNo"/>
        </w:rPr>
        <w:t> </w:t>
      </w:r>
      <w:r w:rsidRPr="00686C2A">
        <w:rPr>
          <w:rStyle w:val="CharPartNo"/>
        </w:rPr>
        <w:t>11A</w:t>
      </w:r>
      <w:r w:rsidRPr="00686C2A">
        <w:t>—</w:t>
      </w:r>
      <w:r w:rsidRPr="00686C2A">
        <w:rPr>
          <w:rStyle w:val="CharPartText"/>
        </w:rPr>
        <w:t>Register to be kept by APRA</w:t>
      </w:r>
      <w:bookmarkEnd w:id="62"/>
    </w:p>
    <w:p w:rsidR="003721F5" w:rsidRPr="00686C2A" w:rsidRDefault="003721F5" w:rsidP="003721F5">
      <w:pPr>
        <w:pStyle w:val="Header"/>
      </w:pPr>
      <w:r w:rsidRPr="00686C2A">
        <w:rPr>
          <w:rStyle w:val="CharDivNo"/>
        </w:rPr>
        <w:t xml:space="preserve"> </w:t>
      </w:r>
      <w:r w:rsidRPr="00686C2A">
        <w:rPr>
          <w:rStyle w:val="CharDivText"/>
        </w:rPr>
        <w:t xml:space="preserve"> </w:t>
      </w:r>
    </w:p>
    <w:p w:rsidR="003721F5" w:rsidRPr="00686C2A" w:rsidRDefault="003721F5" w:rsidP="003721F5">
      <w:pPr>
        <w:pStyle w:val="ActHead5"/>
      </w:pPr>
      <w:bookmarkStart w:id="63" w:name="_Toc359591557"/>
      <w:r w:rsidRPr="00686C2A">
        <w:rPr>
          <w:rStyle w:val="CharSectno"/>
        </w:rPr>
        <w:t>11A.01</w:t>
      </w:r>
      <w:r w:rsidRPr="00686C2A">
        <w:t xml:space="preserve">  Source of power for this Part</w:t>
      </w:r>
      <w:bookmarkEnd w:id="63"/>
    </w:p>
    <w:p w:rsidR="003721F5" w:rsidRPr="00686C2A" w:rsidRDefault="003721F5" w:rsidP="003721F5">
      <w:pPr>
        <w:pStyle w:val="subsection"/>
      </w:pPr>
      <w:r w:rsidRPr="00686C2A">
        <w:tab/>
      </w:r>
      <w:r w:rsidRPr="00686C2A">
        <w:tab/>
        <w:t>This Part is made for subsection</w:t>
      </w:r>
      <w:r w:rsidR="00686C2A" w:rsidRPr="00686C2A">
        <w:t> </w:t>
      </w:r>
      <w:r w:rsidRPr="00686C2A">
        <w:t>353(1) of the Act.</w:t>
      </w:r>
    </w:p>
    <w:p w:rsidR="003721F5" w:rsidRPr="00686C2A" w:rsidRDefault="003721F5" w:rsidP="003721F5">
      <w:pPr>
        <w:pStyle w:val="notetext"/>
      </w:pPr>
      <w:r w:rsidRPr="00686C2A">
        <w:t>Note:</w:t>
      </w:r>
      <w:r w:rsidRPr="00686C2A">
        <w:tab/>
        <w:t>See subsection</w:t>
      </w:r>
      <w:r w:rsidR="00686C2A" w:rsidRPr="00686C2A">
        <w:t> </w:t>
      </w:r>
      <w:r w:rsidRPr="00686C2A">
        <w:t>353(2) of the Act.</w:t>
      </w:r>
    </w:p>
    <w:p w:rsidR="003721F5" w:rsidRPr="00686C2A" w:rsidRDefault="003721F5" w:rsidP="003721F5">
      <w:pPr>
        <w:pStyle w:val="ActHead5"/>
      </w:pPr>
      <w:bookmarkStart w:id="64" w:name="_Toc359591558"/>
      <w:r w:rsidRPr="00686C2A">
        <w:rPr>
          <w:rStyle w:val="CharSectno"/>
        </w:rPr>
        <w:t>11A.02</w:t>
      </w:r>
      <w:r w:rsidRPr="00686C2A">
        <w:t xml:space="preserve">  Definition</w:t>
      </w:r>
      <w:bookmarkEnd w:id="64"/>
    </w:p>
    <w:p w:rsidR="003721F5" w:rsidRPr="00686C2A" w:rsidRDefault="003721F5" w:rsidP="003721F5">
      <w:pPr>
        <w:pStyle w:val="subsection"/>
      </w:pPr>
      <w:r w:rsidRPr="00686C2A">
        <w:tab/>
      </w:r>
      <w:r w:rsidRPr="00686C2A">
        <w:tab/>
        <w:t>In this Part:</w:t>
      </w:r>
    </w:p>
    <w:p w:rsidR="003721F5" w:rsidRPr="00686C2A" w:rsidRDefault="003721F5" w:rsidP="003721F5">
      <w:pPr>
        <w:pStyle w:val="Definition"/>
      </w:pPr>
      <w:r w:rsidRPr="00686C2A">
        <w:rPr>
          <w:b/>
          <w:i/>
        </w:rPr>
        <w:t>Register</w:t>
      </w:r>
      <w:r w:rsidRPr="00686C2A">
        <w:t xml:space="preserve"> means the register kept by APRA under this Part.</w:t>
      </w:r>
    </w:p>
    <w:p w:rsidR="003721F5" w:rsidRPr="00686C2A" w:rsidRDefault="003721F5" w:rsidP="003721F5">
      <w:pPr>
        <w:pStyle w:val="ActHead5"/>
      </w:pPr>
      <w:bookmarkStart w:id="65" w:name="_Toc359591559"/>
      <w:r w:rsidRPr="00686C2A">
        <w:rPr>
          <w:rStyle w:val="CharSectno"/>
        </w:rPr>
        <w:t>11A.03</w:t>
      </w:r>
      <w:r w:rsidRPr="00686C2A">
        <w:t xml:space="preserve">  APRA must keep register</w:t>
      </w:r>
      <w:bookmarkEnd w:id="65"/>
    </w:p>
    <w:p w:rsidR="003721F5" w:rsidRPr="00686C2A" w:rsidRDefault="003721F5" w:rsidP="003721F5">
      <w:pPr>
        <w:pStyle w:val="subsection"/>
      </w:pPr>
      <w:r w:rsidRPr="00686C2A">
        <w:tab/>
        <w:t>(1)</w:t>
      </w:r>
      <w:r w:rsidRPr="00686C2A">
        <w:tab/>
        <w:t>APRA must keep a register of:</w:t>
      </w:r>
    </w:p>
    <w:p w:rsidR="003721F5" w:rsidRPr="00686C2A" w:rsidRDefault="003721F5" w:rsidP="003721F5">
      <w:pPr>
        <w:pStyle w:val="paragraph"/>
      </w:pPr>
      <w:r w:rsidRPr="00686C2A">
        <w:tab/>
        <w:t>(a)</w:t>
      </w:r>
      <w:r w:rsidRPr="00686C2A">
        <w:tab/>
        <w:t>registrable superannuation entities that have been registered under Part</w:t>
      </w:r>
      <w:r w:rsidR="00686C2A" w:rsidRPr="00686C2A">
        <w:t> </w:t>
      </w:r>
      <w:r w:rsidRPr="00686C2A">
        <w:t>2B of the Act; and</w:t>
      </w:r>
    </w:p>
    <w:p w:rsidR="003721F5" w:rsidRPr="00686C2A" w:rsidRDefault="003721F5" w:rsidP="003721F5">
      <w:pPr>
        <w:pStyle w:val="paragraph"/>
      </w:pPr>
      <w:r w:rsidRPr="00686C2A">
        <w:tab/>
        <w:t>(b)</w:t>
      </w:r>
      <w:r w:rsidRPr="00686C2A">
        <w:tab/>
        <w:t xml:space="preserve">the </w:t>
      </w:r>
      <w:proofErr w:type="spellStart"/>
      <w:r w:rsidRPr="00686C2A">
        <w:t>RSE</w:t>
      </w:r>
      <w:proofErr w:type="spellEnd"/>
      <w:r w:rsidRPr="00686C2A">
        <w:t xml:space="preserve"> licensees of those entities.</w:t>
      </w:r>
    </w:p>
    <w:p w:rsidR="003721F5" w:rsidRPr="00686C2A" w:rsidRDefault="003721F5" w:rsidP="003721F5">
      <w:pPr>
        <w:pStyle w:val="subsection"/>
      </w:pPr>
      <w:r w:rsidRPr="00686C2A">
        <w:lastRenderedPageBreak/>
        <w:tab/>
        <w:t>(2)</w:t>
      </w:r>
      <w:r w:rsidRPr="00686C2A">
        <w:tab/>
        <w:t>APRA may determine the form and manner in which the Register is kept.</w:t>
      </w:r>
    </w:p>
    <w:p w:rsidR="003721F5" w:rsidRPr="00686C2A" w:rsidRDefault="003721F5" w:rsidP="003721F5">
      <w:pPr>
        <w:pStyle w:val="notetext"/>
      </w:pPr>
      <w:r w:rsidRPr="00686C2A">
        <w:t>Note:</w:t>
      </w:r>
      <w:r w:rsidRPr="00686C2A">
        <w:tab/>
        <w:t xml:space="preserve">The form of register determined by APRA must be a form that would allow the register to be inspected and copied under </w:t>
      </w:r>
      <w:proofErr w:type="spellStart"/>
      <w:r w:rsidRPr="00686C2A">
        <w:t>subregulation</w:t>
      </w:r>
      <w:proofErr w:type="spellEnd"/>
      <w:r w:rsidRPr="00686C2A">
        <w:t xml:space="preserve"> (3).</w:t>
      </w:r>
    </w:p>
    <w:p w:rsidR="003721F5" w:rsidRPr="00686C2A" w:rsidRDefault="003721F5" w:rsidP="003721F5">
      <w:pPr>
        <w:pStyle w:val="subsection"/>
      </w:pPr>
      <w:r w:rsidRPr="00686C2A">
        <w:tab/>
        <w:t>(3)</w:t>
      </w:r>
      <w:r w:rsidRPr="00686C2A">
        <w:tab/>
        <w:t>A person may:</w:t>
      </w:r>
    </w:p>
    <w:p w:rsidR="003721F5" w:rsidRPr="00686C2A" w:rsidRDefault="003721F5" w:rsidP="003721F5">
      <w:pPr>
        <w:pStyle w:val="paragraph"/>
      </w:pPr>
      <w:r w:rsidRPr="00686C2A">
        <w:tab/>
        <w:t>(a)</w:t>
      </w:r>
      <w:r w:rsidRPr="00686C2A">
        <w:tab/>
        <w:t>inspect the Register; and</w:t>
      </w:r>
    </w:p>
    <w:p w:rsidR="003721F5" w:rsidRPr="00686C2A" w:rsidRDefault="003721F5" w:rsidP="003721F5">
      <w:pPr>
        <w:pStyle w:val="paragraph"/>
      </w:pPr>
      <w:r w:rsidRPr="00686C2A">
        <w:tab/>
        <w:t>(b)</w:t>
      </w:r>
      <w:r w:rsidRPr="00686C2A">
        <w:tab/>
        <w:t>make a copy of, or take extracts from, the Register.</w:t>
      </w:r>
    </w:p>
    <w:p w:rsidR="003721F5" w:rsidRPr="00686C2A" w:rsidRDefault="003721F5" w:rsidP="003721F5">
      <w:pPr>
        <w:pStyle w:val="ActHead5"/>
      </w:pPr>
      <w:bookmarkStart w:id="66" w:name="_Toc359591560"/>
      <w:r w:rsidRPr="00686C2A">
        <w:rPr>
          <w:rStyle w:val="CharSectno"/>
        </w:rPr>
        <w:t>11A.04</w:t>
      </w:r>
      <w:r w:rsidRPr="00686C2A">
        <w:t xml:space="preserve">  Regulated superannuation funds</w:t>
      </w:r>
      <w:bookmarkEnd w:id="66"/>
    </w:p>
    <w:p w:rsidR="003721F5" w:rsidRPr="00686C2A" w:rsidRDefault="003721F5" w:rsidP="003721F5">
      <w:pPr>
        <w:pStyle w:val="subsection"/>
      </w:pPr>
      <w:r w:rsidRPr="00686C2A">
        <w:tab/>
      </w:r>
      <w:r w:rsidRPr="00686C2A">
        <w:tab/>
        <w:t>The Register must contain the following information for each registrable superannuation entity that is a regulated superannuation fund:</w:t>
      </w:r>
    </w:p>
    <w:p w:rsidR="003721F5" w:rsidRPr="00686C2A" w:rsidRDefault="003721F5" w:rsidP="003721F5">
      <w:pPr>
        <w:pStyle w:val="paragraph"/>
        <w:rPr>
          <w:snapToGrid w:val="0"/>
        </w:rPr>
      </w:pPr>
      <w:r w:rsidRPr="00686C2A">
        <w:tab/>
      </w:r>
      <w:r w:rsidRPr="00686C2A">
        <w:rPr>
          <w:snapToGrid w:val="0"/>
        </w:rPr>
        <w:t>(a)</w:t>
      </w:r>
      <w:r w:rsidRPr="00686C2A">
        <w:rPr>
          <w:snapToGrid w:val="0"/>
        </w:rPr>
        <w:tab/>
        <w:t>the name of the entity;</w:t>
      </w:r>
    </w:p>
    <w:p w:rsidR="003721F5" w:rsidRPr="00686C2A" w:rsidRDefault="003721F5" w:rsidP="003721F5">
      <w:pPr>
        <w:pStyle w:val="paragraph"/>
        <w:rPr>
          <w:snapToGrid w:val="0"/>
        </w:rPr>
      </w:pPr>
      <w:r w:rsidRPr="00686C2A">
        <w:rPr>
          <w:snapToGrid w:val="0"/>
        </w:rPr>
        <w:tab/>
        <w:t>(b)</w:t>
      </w:r>
      <w:r w:rsidRPr="00686C2A">
        <w:rPr>
          <w:snapToGrid w:val="0"/>
        </w:rPr>
        <w:tab/>
        <w:t>the postal address of the entity;</w:t>
      </w:r>
    </w:p>
    <w:p w:rsidR="003721F5" w:rsidRPr="00686C2A" w:rsidRDefault="003721F5" w:rsidP="003721F5">
      <w:pPr>
        <w:pStyle w:val="paragraph"/>
        <w:rPr>
          <w:snapToGrid w:val="0"/>
        </w:rPr>
      </w:pPr>
      <w:r w:rsidRPr="00686C2A">
        <w:rPr>
          <w:snapToGrid w:val="0"/>
        </w:rPr>
        <w:tab/>
        <w:t>(c)</w:t>
      </w:r>
      <w:r w:rsidRPr="00686C2A">
        <w:rPr>
          <w:snapToGrid w:val="0"/>
        </w:rPr>
        <w:tab/>
        <w:t>the registered address of, or an address for service of notices on, the entity;</w:t>
      </w:r>
    </w:p>
    <w:p w:rsidR="003721F5" w:rsidRPr="00686C2A" w:rsidRDefault="003721F5" w:rsidP="003721F5">
      <w:pPr>
        <w:pStyle w:val="paragraph"/>
        <w:rPr>
          <w:snapToGrid w:val="0"/>
        </w:rPr>
      </w:pPr>
      <w:r w:rsidRPr="00686C2A">
        <w:rPr>
          <w:snapToGrid w:val="0"/>
        </w:rPr>
        <w:tab/>
        <w:t>(d)</w:t>
      </w:r>
      <w:r w:rsidRPr="00686C2A">
        <w:rPr>
          <w:snapToGrid w:val="0"/>
        </w:rPr>
        <w:tab/>
        <w:t>a contact person and contact telephone and facsimile numbers for the entity;</w:t>
      </w:r>
    </w:p>
    <w:p w:rsidR="003721F5" w:rsidRPr="00686C2A" w:rsidRDefault="003721F5" w:rsidP="003721F5">
      <w:pPr>
        <w:pStyle w:val="paragraph"/>
        <w:rPr>
          <w:snapToGrid w:val="0"/>
        </w:rPr>
      </w:pPr>
      <w:r w:rsidRPr="00686C2A">
        <w:rPr>
          <w:snapToGrid w:val="0"/>
        </w:rPr>
        <w:tab/>
        <w:t>(e)</w:t>
      </w:r>
      <w:r w:rsidRPr="00686C2A">
        <w:rPr>
          <w:snapToGrid w:val="0"/>
        </w:rPr>
        <w:tab/>
        <w:t>the status of the entity under section</w:t>
      </w:r>
      <w:r w:rsidR="00686C2A" w:rsidRPr="00686C2A">
        <w:rPr>
          <w:snapToGrid w:val="0"/>
        </w:rPr>
        <w:t> </w:t>
      </w:r>
      <w:r w:rsidRPr="00686C2A">
        <w:rPr>
          <w:snapToGrid w:val="0"/>
        </w:rPr>
        <w:t>42 of the Act;</w:t>
      </w:r>
    </w:p>
    <w:p w:rsidR="003721F5" w:rsidRPr="00686C2A" w:rsidRDefault="003721F5" w:rsidP="003721F5">
      <w:pPr>
        <w:pStyle w:val="paragraph"/>
        <w:rPr>
          <w:snapToGrid w:val="0"/>
        </w:rPr>
      </w:pPr>
      <w:r w:rsidRPr="00686C2A">
        <w:rPr>
          <w:snapToGrid w:val="0"/>
        </w:rPr>
        <w:tab/>
        <w:t>(f)</w:t>
      </w:r>
      <w:r w:rsidRPr="00686C2A">
        <w:rPr>
          <w:snapToGrid w:val="0"/>
        </w:rPr>
        <w:tab/>
        <w:t>the Australian Business Number (the</w:t>
      </w:r>
      <w:r w:rsidRPr="00686C2A">
        <w:rPr>
          <w:b/>
          <w:i/>
          <w:snapToGrid w:val="0"/>
        </w:rPr>
        <w:t xml:space="preserve"> ABN</w:t>
      </w:r>
      <w:r w:rsidRPr="00686C2A">
        <w:rPr>
          <w:snapToGrid w:val="0"/>
        </w:rPr>
        <w:t>) of the entity;</w:t>
      </w:r>
    </w:p>
    <w:p w:rsidR="003721F5" w:rsidRPr="00686C2A" w:rsidRDefault="003721F5" w:rsidP="003721F5">
      <w:pPr>
        <w:pStyle w:val="paragraph"/>
        <w:rPr>
          <w:snapToGrid w:val="0"/>
        </w:rPr>
      </w:pPr>
      <w:r w:rsidRPr="00686C2A">
        <w:tab/>
        <w:t>(g)</w:t>
      </w:r>
      <w:r w:rsidRPr="00686C2A">
        <w:tab/>
        <w:t>t</w:t>
      </w:r>
      <w:r w:rsidRPr="00686C2A">
        <w:rPr>
          <w:snapToGrid w:val="0"/>
        </w:rPr>
        <w:t xml:space="preserve">he class of </w:t>
      </w:r>
      <w:proofErr w:type="spellStart"/>
      <w:r w:rsidRPr="00686C2A">
        <w:rPr>
          <w:snapToGrid w:val="0"/>
        </w:rPr>
        <w:t>RSE</w:t>
      </w:r>
      <w:proofErr w:type="spellEnd"/>
      <w:r w:rsidRPr="00686C2A">
        <w:rPr>
          <w:snapToGrid w:val="0"/>
        </w:rPr>
        <w:t xml:space="preserve"> licence held by the </w:t>
      </w:r>
      <w:proofErr w:type="spellStart"/>
      <w:r w:rsidRPr="00686C2A">
        <w:rPr>
          <w:snapToGrid w:val="0"/>
        </w:rPr>
        <w:t>RSE</w:t>
      </w:r>
      <w:proofErr w:type="spellEnd"/>
      <w:r w:rsidRPr="00686C2A">
        <w:rPr>
          <w:snapToGrid w:val="0"/>
        </w:rPr>
        <w:t xml:space="preserve"> licensee;</w:t>
      </w:r>
    </w:p>
    <w:p w:rsidR="003721F5" w:rsidRPr="00686C2A" w:rsidRDefault="003721F5" w:rsidP="003721F5">
      <w:pPr>
        <w:pStyle w:val="paragraph"/>
        <w:rPr>
          <w:snapToGrid w:val="0"/>
        </w:rPr>
      </w:pPr>
      <w:r w:rsidRPr="00686C2A">
        <w:rPr>
          <w:snapToGrid w:val="0"/>
        </w:rPr>
        <w:tab/>
        <w:t>(h)</w:t>
      </w:r>
      <w:r w:rsidRPr="00686C2A">
        <w:rPr>
          <w:snapToGrid w:val="0"/>
        </w:rPr>
        <w:tab/>
        <w:t xml:space="preserve">for each </w:t>
      </w:r>
      <w:proofErr w:type="spellStart"/>
      <w:r w:rsidRPr="00686C2A">
        <w:rPr>
          <w:snapToGrid w:val="0"/>
        </w:rPr>
        <w:t>MySuper</w:t>
      </w:r>
      <w:proofErr w:type="spellEnd"/>
      <w:r w:rsidRPr="00686C2A">
        <w:rPr>
          <w:snapToGrid w:val="0"/>
        </w:rPr>
        <w:t xml:space="preserve"> product of the entity:</w:t>
      </w:r>
    </w:p>
    <w:p w:rsidR="003721F5" w:rsidRPr="00686C2A" w:rsidRDefault="003721F5" w:rsidP="003721F5">
      <w:pPr>
        <w:pStyle w:val="paragraphsub"/>
        <w:rPr>
          <w:snapToGrid w:val="0"/>
        </w:rPr>
      </w:pPr>
      <w:r w:rsidRPr="00686C2A">
        <w:rPr>
          <w:snapToGrid w:val="0"/>
        </w:rPr>
        <w:tab/>
        <w:t>(</w:t>
      </w:r>
      <w:proofErr w:type="spellStart"/>
      <w:r w:rsidRPr="00686C2A">
        <w:rPr>
          <w:snapToGrid w:val="0"/>
        </w:rPr>
        <w:t>i</w:t>
      </w:r>
      <w:proofErr w:type="spellEnd"/>
      <w:r w:rsidRPr="00686C2A">
        <w:rPr>
          <w:snapToGrid w:val="0"/>
        </w:rPr>
        <w:t>)</w:t>
      </w:r>
      <w:r w:rsidRPr="00686C2A">
        <w:rPr>
          <w:snapToGrid w:val="0"/>
        </w:rPr>
        <w:tab/>
        <w:t xml:space="preserve">the name of the </w:t>
      </w:r>
      <w:proofErr w:type="spellStart"/>
      <w:r w:rsidRPr="00686C2A">
        <w:rPr>
          <w:snapToGrid w:val="0"/>
        </w:rPr>
        <w:t>MySuper</w:t>
      </w:r>
      <w:proofErr w:type="spellEnd"/>
      <w:r w:rsidRPr="00686C2A">
        <w:rPr>
          <w:snapToGrid w:val="0"/>
        </w:rPr>
        <w:t xml:space="preserve"> product; and</w:t>
      </w:r>
    </w:p>
    <w:p w:rsidR="003721F5" w:rsidRPr="00686C2A" w:rsidRDefault="003721F5" w:rsidP="003721F5">
      <w:pPr>
        <w:pStyle w:val="paragraphsub"/>
        <w:rPr>
          <w:snapToGrid w:val="0"/>
        </w:rPr>
      </w:pPr>
      <w:r w:rsidRPr="00686C2A">
        <w:rPr>
          <w:snapToGrid w:val="0"/>
        </w:rPr>
        <w:tab/>
        <w:t>(ii)</w:t>
      </w:r>
      <w:r w:rsidRPr="00686C2A">
        <w:rPr>
          <w:snapToGrid w:val="0"/>
        </w:rPr>
        <w:tab/>
        <w:t xml:space="preserve">the unique identifier of the </w:t>
      </w:r>
      <w:proofErr w:type="spellStart"/>
      <w:r w:rsidRPr="00686C2A">
        <w:rPr>
          <w:snapToGrid w:val="0"/>
        </w:rPr>
        <w:t>MySuper</w:t>
      </w:r>
      <w:proofErr w:type="spellEnd"/>
      <w:r w:rsidRPr="00686C2A">
        <w:rPr>
          <w:snapToGrid w:val="0"/>
        </w:rPr>
        <w:t xml:space="preserve"> product; and</w:t>
      </w:r>
    </w:p>
    <w:p w:rsidR="003721F5" w:rsidRPr="00686C2A" w:rsidRDefault="003721F5" w:rsidP="003721F5">
      <w:pPr>
        <w:pStyle w:val="paragraphsub"/>
        <w:rPr>
          <w:snapToGrid w:val="0"/>
        </w:rPr>
      </w:pPr>
      <w:r w:rsidRPr="00686C2A">
        <w:rPr>
          <w:snapToGrid w:val="0"/>
        </w:rPr>
        <w:tab/>
        <w:t>(iii)</w:t>
      </w:r>
      <w:r w:rsidRPr="00686C2A">
        <w:rPr>
          <w:snapToGrid w:val="0"/>
        </w:rPr>
        <w:tab/>
        <w:t xml:space="preserve">whether the type of </w:t>
      </w:r>
      <w:proofErr w:type="spellStart"/>
      <w:r w:rsidRPr="00686C2A">
        <w:rPr>
          <w:snapToGrid w:val="0"/>
        </w:rPr>
        <w:t>MySuper</w:t>
      </w:r>
      <w:proofErr w:type="spellEnd"/>
      <w:r w:rsidRPr="00686C2A">
        <w:rPr>
          <w:snapToGrid w:val="0"/>
        </w:rPr>
        <w:t xml:space="preserve"> authorisation held by the entity is generic, large employer or goodwill; and</w:t>
      </w:r>
    </w:p>
    <w:p w:rsidR="003721F5" w:rsidRPr="00686C2A" w:rsidRDefault="003721F5" w:rsidP="003721F5">
      <w:pPr>
        <w:pStyle w:val="paragraphsub"/>
        <w:rPr>
          <w:snapToGrid w:val="0"/>
        </w:rPr>
      </w:pPr>
      <w:r w:rsidRPr="00686C2A">
        <w:rPr>
          <w:snapToGrid w:val="0"/>
        </w:rPr>
        <w:tab/>
        <w:t>(iv)</w:t>
      </w:r>
      <w:r w:rsidRPr="00686C2A">
        <w:rPr>
          <w:snapToGrid w:val="0"/>
        </w:rPr>
        <w:tab/>
        <w:t xml:space="preserve">for an entity that has a large employer authorisation, for each </w:t>
      </w:r>
      <w:proofErr w:type="spellStart"/>
      <w:r w:rsidRPr="00686C2A">
        <w:rPr>
          <w:snapToGrid w:val="0"/>
        </w:rPr>
        <w:t>MySuper</w:t>
      </w:r>
      <w:proofErr w:type="spellEnd"/>
      <w:r w:rsidRPr="00686C2A">
        <w:rPr>
          <w:snapToGrid w:val="0"/>
        </w:rPr>
        <w:t xml:space="preserve"> product authorised—the name and ABN of each associated large employer;</w:t>
      </w:r>
    </w:p>
    <w:p w:rsidR="003721F5" w:rsidRPr="00686C2A" w:rsidRDefault="003721F5" w:rsidP="003721F5">
      <w:pPr>
        <w:pStyle w:val="paragraph"/>
        <w:rPr>
          <w:snapToGrid w:val="0"/>
        </w:rPr>
      </w:pPr>
      <w:r w:rsidRPr="00686C2A">
        <w:rPr>
          <w:snapToGrid w:val="0"/>
        </w:rPr>
        <w:tab/>
        <w:t>(</w:t>
      </w:r>
      <w:proofErr w:type="spellStart"/>
      <w:r w:rsidRPr="00686C2A">
        <w:rPr>
          <w:snapToGrid w:val="0"/>
        </w:rPr>
        <w:t>i</w:t>
      </w:r>
      <w:proofErr w:type="spellEnd"/>
      <w:r w:rsidRPr="00686C2A">
        <w:rPr>
          <w:snapToGrid w:val="0"/>
        </w:rPr>
        <w:t>)</w:t>
      </w:r>
      <w:r w:rsidRPr="00686C2A">
        <w:rPr>
          <w:snapToGrid w:val="0"/>
        </w:rPr>
        <w:tab/>
        <w:t>whether the entity is an eligible rollover fund;</w:t>
      </w:r>
    </w:p>
    <w:p w:rsidR="003721F5" w:rsidRPr="00686C2A" w:rsidRDefault="003721F5" w:rsidP="003721F5">
      <w:pPr>
        <w:pStyle w:val="paragraph"/>
        <w:rPr>
          <w:snapToGrid w:val="0"/>
        </w:rPr>
      </w:pPr>
      <w:r w:rsidRPr="00686C2A">
        <w:rPr>
          <w:snapToGrid w:val="0"/>
        </w:rPr>
        <w:tab/>
        <w:t>(j)</w:t>
      </w:r>
      <w:r w:rsidRPr="00686C2A">
        <w:rPr>
          <w:snapToGrid w:val="0"/>
        </w:rPr>
        <w:tab/>
        <w:t xml:space="preserve">for an </w:t>
      </w:r>
      <w:proofErr w:type="spellStart"/>
      <w:r w:rsidRPr="00686C2A">
        <w:rPr>
          <w:snapToGrid w:val="0"/>
        </w:rPr>
        <w:t>RSE</w:t>
      </w:r>
      <w:proofErr w:type="spellEnd"/>
      <w:r w:rsidRPr="00686C2A">
        <w:rPr>
          <w:snapToGrid w:val="0"/>
        </w:rPr>
        <w:t xml:space="preserve"> licensee that is a body corporate—the </w:t>
      </w:r>
      <w:proofErr w:type="spellStart"/>
      <w:r w:rsidRPr="00686C2A">
        <w:rPr>
          <w:snapToGrid w:val="0"/>
        </w:rPr>
        <w:t>RSE</w:t>
      </w:r>
      <w:proofErr w:type="spellEnd"/>
      <w:r w:rsidRPr="00686C2A">
        <w:rPr>
          <w:snapToGrid w:val="0"/>
        </w:rPr>
        <w:t xml:space="preserve"> licensee</w:t>
      </w:r>
      <w:r w:rsidR="00A16431" w:rsidRPr="00686C2A">
        <w:rPr>
          <w:snapToGrid w:val="0"/>
        </w:rPr>
        <w:t>’</w:t>
      </w:r>
      <w:r w:rsidRPr="00686C2A">
        <w:rPr>
          <w:snapToGrid w:val="0"/>
        </w:rPr>
        <w:t>s:</w:t>
      </w:r>
    </w:p>
    <w:p w:rsidR="003721F5" w:rsidRPr="00686C2A" w:rsidRDefault="003721F5" w:rsidP="003721F5">
      <w:pPr>
        <w:pStyle w:val="paragraphsub"/>
        <w:rPr>
          <w:snapToGrid w:val="0"/>
        </w:rPr>
      </w:pPr>
      <w:r w:rsidRPr="00686C2A">
        <w:rPr>
          <w:snapToGrid w:val="0"/>
        </w:rPr>
        <w:tab/>
        <w:t>(</w:t>
      </w:r>
      <w:proofErr w:type="spellStart"/>
      <w:r w:rsidRPr="00686C2A">
        <w:rPr>
          <w:snapToGrid w:val="0"/>
        </w:rPr>
        <w:t>i</w:t>
      </w:r>
      <w:proofErr w:type="spellEnd"/>
      <w:r w:rsidRPr="00686C2A">
        <w:rPr>
          <w:snapToGrid w:val="0"/>
        </w:rPr>
        <w:t>)</w:t>
      </w:r>
      <w:r w:rsidRPr="00686C2A">
        <w:rPr>
          <w:snapToGrid w:val="0"/>
        </w:rPr>
        <w:tab/>
        <w:t>name; and</w:t>
      </w:r>
    </w:p>
    <w:p w:rsidR="003721F5" w:rsidRPr="00686C2A" w:rsidRDefault="003721F5" w:rsidP="003721F5">
      <w:pPr>
        <w:pStyle w:val="paragraphsub"/>
        <w:rPr>
          <w:snapToGrid w:val="0"/>
        </w:rPr>
      </w:pPr>
      <w:r w:rsidRPr="00686C2A">
        <w:rPr>
          <w:snapToGrid w:val="0"/>
        </w:rPr>
        <w:tab/>
        <w:t>(ii)</w:t>
      </w:r>
      <w:r w:rsidRPr="00686C2A">
        <w:rPr>
          <w:snapToGrid w:val="0"/>
        </w:rPr>
        <w:tab/>
        <w:t>registered address; and</w:t>
      </w:r>
    </w:p>
    <w:p w:rsidR="003721F5" w:rsidRPr="00686C2A" w:rsidRDefault="003721F5" w:rsidP="003721F5">
      <w:pPr>
        <w:pStyle w:val="paragraphsub"/>
        <w:rPr>
          <w:snapToGrid w:val="0"/>
        </w:rPr>
      </w:pPr>
      <w:r w:rsidRPr="00686C2A">
        <w:rPr>
          <w:snapToGrid w:val="0"/>
        </w:rPr>
        <w:tab/>
        <w:t>(iii)</w:t>
      </w:r>
      <w:r w:rsidRPr="00686C2A">
        <w:rPr>
          <w:snapToGrid w:val="0"/>
        </w:rPr>
        <w:tab/>
        <w:t>telephone number; and</w:t>
      </w:r>
    </w:p>
    <w:p w:rsidR="003721F5" w:rsidRPr="00686C2A" w:rsidRDefault="003721F5" w:rsidP="003721F5">
      <w:pPr>
        <w:pStyle w:val="paragraphsub"/>
        <w:rPr>
          <w:snapToGrid w:val="0"/>
        </w:rPr>
      </w:pPr>
      <w:r w:rsidRPr="00686C2A">
        <w:rPr>
          <w:snapToGrid w:val="0"/>
        </w:rPr>
        <w:lastRenderedPageBreak/>
        <w:tab/>
        <w:t>(iv)</w:t>
      </w:r>
      <w:r w:rsidRPr="00686C2A">
        <w:rPr>
          <w:snapToGrid w:val="0"/>
        </w:rPr>
        <w:tab/>
        <w:t>ABN;</w:t>
      </w:r>
    </w:p>
    <w:p w:rsidR="003721F5" w:rsidRPr="00686C2A" w:rsidRDefault="003721F5" w:rsidP="003721F5">
      <w:pPr>
        <w:pStyle w:val="paragraph"/>
        <w:rPr>
          <w:snapToGrid w:val="0"/>
        </w:rPr>
      </w:pPr>
      <w:r w:rsidRPr="00686C2A">
        <w:rPr>
          <w:snapToGrid w:val="0"/>
        </w:rPr>
        <w:tab/>
        <w:t>(k)</w:t>
      </w:r>
      <w:r w:rsidRPr="00686C2A">
        <w:rPr>
          <w:snapToGrid w:val="0"/>
        </w:rPr>
        <w:tab/>
        <w:t xml:space="preserve">for an </w:t>
      </w:r>
      <w:proofErr w:type="spellStart"/>
      <w:r w:rsidRPr="00686C2A">
        <w:rPr>
          <w:snapToGrid w:val="0"/>
        </w:rPr>
        <w:t>RSE</w:t>
      </w:r>
      <w:proofErr w:type="spellEnd"/>
      <w:r w:rsidRPr="00686C2A">
        <w:rPr>
          <w:snapToGrid w:val="0"/>
        </w:rPr>
        <w:t xml:space="preserve"> licensee that is a group of individual trustees:</w:t>
      </w:r>
    </w:p>
    <w:p w:rsidR="003721F5" w:rsidRPr="00686C2A" w:rsidRDefault="003721F5" w:rsidP="003721F5">
      <w:pPr>
        <w:pStyle w:val="paragraphsub"/>
      </w:pPr>
      <w:r w:rsidRPr="00686C2A">
        <w:tab/>
        <w:t>(</w:t>
      </w:r>
      <w:proofErr w:type="spellStart"/>
      <w:r w:rsidRPr="00686C2A">
        <w:t>i</w:t>
      </w:r>
      <w:proofErr w:type="spellEnd"/>
      <w:r w:rsidRPr="00686C2A">
        <w:t>)</w:t>
      </w:r>
      <w:r w:rsidRPr="00686C2A">
        <w:tab/>
        <w:t xml:space="preserve">the ABN of the </w:t>
      </w:r>
      <w:proofErr w:type="spellStart"/>
      <w:r w:rsidRPr="00686C2A">
        <w:t>RSE</w:t>
      </w:r>
      <w:proofErr w:type="spellEnd"/>
      <w:r w:rsidRPr="00686C2A">
        <w:t xml:space="preserve"> licensee; and</w:t>
      </w:r>
    </w:p>
    <w:p w:rsidR="003721F5" w:rsidRPr="00686C2A" w:rsidRDefault="003721F5" w:rsidP="003721F5">
      <w:pPr>
        <w:pStyle w:val="paragraphsub"/>
        <w:rPr>
          <w:snapToGrid w:val="0"/>
        </w:rPr>
      </w:pPr>
      <w:r w:rsidRPr="00686C2A">
        <w:rPr>
          <w:snapToGrid w:val="0"/>
        </w:rPr>
        <w:tab/>
        <w:t>(ii)</w:t>
      </w:r>
      <w:r w:rsidRPr="00686C2A">
        <w:rPr>
          <w:snapToGrid w:val="0"/>
        </w:rPr>
        <w:tab/>
        <w:t>the name of each individual trustee who is a member of the group.</w:t>
      </w:r>
    </w:p>
    <w:p w:rsidR="003721F5" w:rsidRPr="00686C2A" w:rsidRDefault="003721F5" w:rsidP="003721F5">
      <w:pPr>
        <w:pStyle w:val="ActHead5"/>
      </w:pPr>
      <w:bookmarkStart w:id="67" w:name="_Toc359591561"/>
      <w:r w:rsidRPr="00686C2A">
        <w:rPr>
          <w:rStyle w:val="CharSectno"/>
        </w:rPr>
        <w:t>11A.05</w:t>
      </w:r>
      <w:r w:rsidRPr="00686C2A">
        <w:t xml:space="preserve">  Approved deposit funds</w:t>
      </w:r>
      <w:bookmarkEnd w:id="67"/>
    </w:p>
    <w:p w:rsidR="003721F5" w:rsidRPr="00686C2A" w:rsidRDefault="003721F5" w:rsidP="003721F5">
      <w:pPr>
        <w:pStyle w:val="subsection"/>
      </w:pPr>
      <w:r w:rsidRPr="00686C2A">
        <w:tab/>
      </w:r>
      <w:r w:rsidRPr="00686C2A">
        <w:tab/>
        <w:t>The Register must contain the following information for each registrable superannuation entity that is an approved deposit fund:</w:t>
      </w:r>
    </w:p>
    <w:p w:rsidR="003721F5" w:rsidRPr="00686C2A" w:rsidRDefault="003721F5" w:rsidP="003721F5">
      <w:pPr>
        <w:pStyle w:val="paragraph"/>
        <w:rPr>
          <w:snapToGrid w:val="0"/>
        </w:rPr>
      </w:pPr>
      <w:r w:rsidRPr="00686C2A">
        <w:rPr>
          <w:snapToGrid w:val="0"/>
        </w:rPr>
        <w:tab/>
        <w:t>(a)</w:t>
      </w:r>
      <w:r w:rsidRPr="00686C2A">
        <w:rPr>
          <w:snapToGrid w:val="0"/>
        </w:rPr>
        <w:tab/>
        <w:t>the name of the entity;</w:t>
      </w:r>
    </w:p>
    <w:p w:rsidR="003721F5" w:rsidRPr="00686C2A" w:rsidRDefault="003721F5" w:rsidP="003721F5">
      <w:pPr>
        <w:pStyle w:val="paragraph"/>
        <w:rPr>
          <w:snapToGrid w:val="0"/>
        </w:rPr>
      </w:pPr>
      <w:r w:rsidRPr="00686C2A">
        <w:rPr>
          <w:snapToGrid w:val="0"/>
        </w:rPr>
        <w:tab/>
        <w:t>(b)</w:t>
      </w:r>
      <w:r w:rsidRPr="00686C2A">
        <w:rPr>
          <w:snapToGrid w:val="0"/>
        </w:rPr>
        <w:tab/>
        <w:t>the postal address of the entity;</w:t>
      </w:r>
    </w:p>
    <w:p w:rsidR="003721F5" w:rsidRPr="00686C2A" w:rsidRDefault="003721F5" w:rsidP="003721F5">
      <w:pPr>
        <w:pStyle w:val="paragraph"/>
        <w:rPr>
          <w:snapToGrid w:val="0"/>
        </w:rPr>
      </w:pPr>
      <w:r w:rsidRPr="00686C2A">
        <w:rPr>
          <w:snapToGrid w:val="0"/>
        </w:rPr>
        <w:tab/>
        <w:t>(c)</w:t>
      </w:r>
      <w:r w:rsidRPr="00686C2A">
        <w:rPr>
          <w:snapToGrid w:val="0"/>
        </w:rPr>
        <w:tab/>
        <w:t>the registered address of, or an address for service of notices on, the entity;</w:t>
      </w:r>
    </w:p>
    <w:p w:rsidR="003721F5" w:rsidRPr="00686C2A" w:rsidRDefault="003721F5" w:rsidP="003721F5">
      <w:pPr>
        <w:pStyle w:val="paragraph"/>
        <w:rPr>
          <w:snapToGrid w:val="0"/>
        </w:rPr>
      </w:pPr>
      <w:r w:rsidRPr="00686C2A">
        <w:rPr>
          <w:snapToGrid w:val="0"/>
        </w:rPr>
        <w:tab/>
        <w:t>(d)</w:t>
      </w:r>
      <w:r w:rsidRPr="00686C2A">
        <w:rPr>
          <w:snapToGrid w:val="0"/>
        </w:rPr>
        <w:tab/>
        <w:t>a contact person and contact telephone and facsimile numbers for the entity;</w:t>
      </w:r>
    </w:p>
    <w:p w:rsidR="003721F5" w:rsidRPr="00686C2A" w:rsidRDefault="003721F5" w:rsidP="003721F5">
      <w:pPr>
        <w:pStyle w:val="paragraph"/>
        <w:rPr>
          <w:snapToGrid w:val="0"/>
        </w:rPr>
      </w:pPr>
      <w:r w:rsidRPr="00686C2A">
        <w:rPr>
          <w:snapToGrid w:val="0"/>
        </w:rPr>
        <w:tab/>
        <w:t>(e)</w:t>
      </w:r>
      <w:r w:rsidRPr="00686C2A">
        <w:rPr>
          <w:snapToGrid w:val="0"/>
        </w:rPr>
        <w:tab/>
        <w:t>the status of the entity under section</w:t>
      </w:r>
      <w:r w:rsidR="00686C2A" w:rsidRPr="00686C2A">
        <w:rPr>
          <w:snapToGrid w:val="0"/>
        </w:rPr>
        <w:t> </w:t>
      </w:r>
      <w:r w:rsidRPr="00686C2A">
        <w:rPr>
          <w:snapToGrid w:val="0"/>
        </w:rPr>
        <w:t>43 of the Act;</w:t>
      </w:r>
    </w:p>
    <w:p w:rsidR="003721F5" w:rsidRPr="00686C2A" w:rsidRDefault="003721F5" w:rsidP="003721F5">
      <w:pPr>
        <w:pStyle w:val="paragraph"/>
        <w:rPr>
          <w:snapToGrid w:val="0"/>
        </w:rPr>
      </w:pPr>
      <w:r w:rsidRPr="00686C2A">
        <w:rPr>
          <w:snapToGrid w:val="0"/>
        </w:rPr>
        <w:tab/>
        <w:t>(f)</w:t>
      </w:r>
      <w:r w:rsidRPr="00686C2A">
        <w:rPr>
          <w:snapToGrid w:val="0"/>
        </w:rPr>
        <w:tab/>
        <w:t>the ABN of the entity;</w:t>
      </w:r>
    </w:p>
    <w:p w:rsidR="003721F5" w:rsidRPr="00686C2A" w:rsidRDefault="003721F5" w:rsidP="003721F5">
      <w:pPr>
        <w:pStyle w:val="paragraph"/>
        <w:rPr>
          <w:snapToGrid w:val="0"/>
        </w:rPr>
      </w:pPr>
      <w:r w:rsidRPr="00686C2A">
        <w:rPr>
          <w:snapToGrid w:val="0"/>
        </w:rPr>
        <w:tab/>
        <w:t>(g)</w:t>
      </w:r>
      <w:r w:rsidRPr="00686C2A">
        <w:rPr>
          <w:snapToGrid w:val="0"/>
        </w:rPr>
        <w:tab/>
        <w:t xml:space="preserve">the class of </w:t>
      </w:r>
      <w:proofErr w:type="spellStart"/>
      <w:r w:rsidRPr="00686C2A">
        <w:rPr>
          <w:snapToGrid w:val="0"/>
        </w:rPr>
        <w:t>RSE</w:t>
      </w:r>
      <w:proofErr w:type="spellEnd"/>
      <w:r w:rsidRPr="00686C2A">
        <w:rPr>
          <w:snapToGrid w:val="0"/>
        </w:rPr>
        <w:t xml:space="preserve"> licence held by the </w:t>
      </w:r>
      <w:proofErr w:type="spellStart"/>
      <w:r w:rsidRPr="00686C2A">
        <w:rPr>
          <w:snapToGrid w:val="0"/>
        </w:rPr>
        <w:t>RSE</w:t>
      </w:r>
      <w:proofErr w:type="spellEnd"/>
      <w:r w:rsidRPr="00686C2A">
        <w:rPr>
          <w:snapToGrid w:val="0"/>
        </w:rPr>
        <w:t xml:space="preserve"> licensee;</w:t>
      </w:r>
    </w:p>
    <w:p w:rsidR="003721F5" w:rsidRPr="00686C2A" w:rsidRDefault="003721F5" w:rsidP="003721F5">
      <w:pPr>
        <w:pStyle w:val="paragraph"/>
        <w:rPr>
          <w:snapToGrid w:val="0"/>
        </w:rPr>
      </w:pPr>
      <w:r w:rsidRPr="00686C2A">
        <w:rPr>
          <w:snapToGrid w:val="0"/>
        </w:rPr>
        <w:tab/>
        <w:t>(h)</w:t>
      </w:r>
      <w:r w:rsidRPr="00686C2A">
        <w:rPr>
          <w:snapToGrid w:val="0"/>
        </w:rPr>
        <w:tab/>
        <w:t xml:space="preserve">the </w:t>
      </w:r>
      <w:proofErr w:type="spellStart"/>
      <w:r w:rsidRPr="00686C2A">
        <w:rPr>
          <w:snapToGrid w:val="0"/>
        </w:rPr>
        <w:t>RSE</w:t>
      </w:r>
      <w:proofErr w:type="spellEnd"/>
      <w:r w:rsidRPr="00686C2A">
        <w:rPr>
          <w:snapToGrid w:val="0"/>
        </w:rPr>
        <w:t xml:space="preserve"> licensee</w:t>
      </w:r>
      <w:r w:rsidR="00A16431" w:rsidRPr="00686C2A">
        <w:rPr>
          <w:snapToGrid w:val="0"/>
        </w:rPr>
        <w:t>’</w:t>
      </w:r>
      <w:r w:rsidRPr="00686C2A">
        <w:rPr>
          <w:snapToGrid w:val="0"/>
        </w:rPr>
        <w:t>s:</w:t>
      </w:r>
    </w:p>
    <w:p w:rsidR="003721F5" w:rsidRPr="00686C2A" w:rsidRDefault="003721F5" w:rsidP="003721F5">
      <w:pPr>
        <w:pStyle w:val="paragraphsub"/>
        <w:rPr>
          <w:snapToGrid w:val="0"/>
        </w:rPr>
      </w:pPr>
      <w:r w:rsidRPr="00686C2A">
        <w:rPr>
          <w:snapToGrid w:val="0"/>
        </w:rPr>
        <w:tab/>
        <w:t>(</w:t>
      </w:r>
      <w:proofErr w:type="spellStart"/>
      <w:r w:rsidRPr="00686C2A">
        <w:rPr>
          <w:snapToGrid w:val="0"/>
        </w:rPr>
        <w:t>i</w:t>
      </w:r>
      <w:proofErr w:type="spellEnd"/>
      <w:r w:rsidRPr="00686C2A">
        <w:rPr>
          <w:snapToGrid w:val="0"/>
        </w:rPr>
        <w:t>)</w:t>
      </w:r>
      <w:r w:rsidRPr="00686C2A">
        <w:rPr>
          <w:snapToGrid w:val="0"/>
        </w:rPr>
        <w:tab/>
        <w:t>name; and</w:t>
      </w:r>
    </w:p>
    <w:p w:rsidR="003721F5" w:rsidRPr="00686C2A" w:rsidRDefault="003721F5" w:rsidP="003721F5">
      <w:pPr>
        <w:pStyle w:val="paragraphsub"/>
        <w:rPr>
          <w:snapToGrid w:val="0"/>
        </w:rPr>
      </w:pPr>
      <w:r w:rsidRPr="00686C2A">
        <w:rPr>
          <w:snapToGrid w:val="0"/>
        </w:rPr>
        <w:tab/>
        <w:t>(ii)</w:t>
      </w:r>
      <w:r w:rsidRPr="00686C2A">
        <w:rPr>
          <w:snapToGrid w:val="0"/>
        </w:rPr>
        <w:tab/>
        <w:t>registered address; and</w:t>
      </w:r>
    </w:p>
    <w:p w:rsidR="003721F5" w:rsidRPr="00686C2A" w:rsidRDefault="003721F5" w:rsidP="003721F5">
      <w:pPr>
        <w:pStyle w:val="paragraphsub"/>
        <w:rPr>
          <w:snapToGrid w:val="0"/>
        </w:rPr>
      </w:pPr>
      <w:r w:rsidRPr="00686C2A">
        <w:rPr>
          <w:snapToGrid w:val="0"/>
        </w:rPr>
        <w:tab/>
        <w:t>(iii)</w:t>
      </w:r>
      <w:r w:rsidRPr="00686C2A">
        <w:rPr>
          <w:snapToGrid w:val="0"/>
        </w:rPr>
        <w:tab/>
        <w:t>telephone number; and</w:t>
      </w:r>
    </w:p>
    <w:p w:rsidR="003721F5" w:rsidRPr="00686C2A" w:rsidRDefault="003721F5" w:rsidP="003721F5">
      <w:pPr>
        <w:pStyle w:val="paragraphsub"/>
        <w:rPr>
          <w:snapToGrid w:val="0"/>
        </w:rPr>
      </w:pPr>
      <w:r w:rsidRPr="00686C2A">
        <w:rPr>
          <w:snapToGrid w:val="0"/>
        </w:rPr>
        <w:tab/>
        <w:t>(iv)</w:t>
      </w:r>
      <w:r w:rsidRPr="00686C2A">
        <w:rPr>
          <w:snapToGrid w:val="0"/>
        </w:rPr>
        <w:tab/>
        <w:t>ABN.</w:t>
      </w:r>
    </w:p>
    <w:p w:rsidR="003721F5" w:rsidRPr="00686C2A" w:rsidRDefault="003721F5" w:rsidP="003721F5">
      <w:pPr>
        <w:pStyle w:val="ActHead5"/>
      </w:pPr>
      <w:bookmarkStart w:id="68" w:name="_Toc359591562"/>
      <w:r w:rsidRPr="00686C2A">
        <w:rPr>
          <w:rStyle w:val="CharSectno"/>
        </w:rPr>
        <w:t>11A.06</w:t>
      </w:r>
      <w:r w:rsidRPr="00686C2A">
        <w:t xml:space="preserve">  </w:t>
      </w:r>
      <w:proofErr w:type="spellStart"/>
      <w:r w:rsidRPr="00686C2A">
        <w:t>PSTs</w:t>
      </w:r>
      <w:bookmarkEnd w:id="68"/>
      <w:proofErr w:type="spellEnd"/>
    </w:p>
    <w:p w:rsidR="003721F5" w:rsidRPr="00686C2A" w:rsidRDefault="003721F5" w:rsidP="003721F5">
      <w:pPr>
        <w:pStyle w:val="subsection"/>
      </w:pPr>
      <w:r w:rsidRPr="00686C2A">
        <w:tab/>
      </w:r>
      <w:r w:rsidRPr="00686C2A">
        <w:tab/>
        <w:t xml:space="preserve">The Register must contain the following information for each registrable superannuation entity that is a </w:t>
      </w:r>
      <w:proofErr w:type="spellStart"/>
      <w:r w:rsidRPr="00686C2A">
        <w:t>PST</w:t>
      </w:r>
      <w:proofErr w:type="spellEnd"/>
      <w:r w:rsidRPr="00686C2A">
        <w:t>:</w:t>
      </w:r>
    </w:p>
    <w:p w:rsidR="003721F5" w:rsidRPr="00686C2A" w:rsidRDefault="003721F5" w:rsidP="003721F5">
      <w:pPr>
        <w:pStyle w:val="paragraph"/>
        <w:rPr>
          <w:snapToGrid w:val="0"/>
        </w:rPr>
      </w:pPr>
      <w:r w:rsidRPr="00686C2A">
        <w:tab/>
      </w:r>
      <w:r w:rsidRPr="00686C2A">
        <w:rPr>
          <w:snapToGrid w:val="0"/>
        </w:rPr>
        <w:t>(a)</w:t>
      </w:r>
      <w:r w:rsidRPr="00686C2A">
        <w:rPr>
          <w:snapToGrid w:val="0"/>
        </w:rPr>
        <w:tab/>
        <w:t>the name of the entity;</w:t>
      </w:r>
    </w:p>
    <w:p w:rsidR="003721F5" w:rsidRPr="00686C2A" w:rsidRDefault="003721F5" w:rsidP="003721F5">
      <w:pPr>
        <w:pStyle w:val="paragraph"/>
        <w:rPr>
          <w:snapToGrid w:val="0"/>
        </w:rPr>
      </w:pPr>
      <w:r w:rsidRPr="00686C2A">
        <w:rPr>
          <w:snapToGrid w:val="0"/>
        </w:rPr>
        <w:tab/>
        <w:t>(b)</w:t>
      </w:r>
      <w:r w:rsidRPr="00686C2A">
        <w:rPr>
          <w:snapToGrid w:val="0"/>
        </w:rPr>
        <w:tab/>
        <w:t>the postal address of the entity;</w:t>
      </w:r>
    </w:p>
    <w:p w:rsidR="003721F5" w:rsidRPr="00686C2A" w:rsidRDefault="003721F5" w:rsidP="003721F5">
      <w:pPr>
        <w:pStyle w:val="paragraph"/>
        <w:rPr>
          <w:snapToGrid w:val="0"/>
        </w:rPr>
      </w:pPr>
      <w:r w:rsidRPr="00686C2A">
        <w:rPr>
          <w:snapToGrid w:val="0"/>
        </w:rPr>
        <w:tab/>
        <w:t>(c)</w:t>
      </w:r>
      <w:r w:rsidRPr="00686C2A">
        <w:rPr>
          <w:snapToGrid w:val="0"/>
        </w:rPr>
        <w:tab/>
        <w:t>the registered address of, or an address for service of notices on, the entity;</w:t>
      </w:r>
    </w:p>
    <w:p w:rsidR="003721F5" w:rsidRPr="00686C2A" w:rsidRDefault="003721F5" w:rsidP="003721F5">
      <w:pPr>
        <w:pStyle w:val="paragraph"/>
        <w:rPr>
          <w:snapToGrid w:val="0"/>
        </w:rPr>
      </w:pPr>
      <w:r w:rsidRPr="00686C2A">
        <w:rPr>
          <w:snapToGrid w:val="0"/>
        </w:rPr>
        <w:tab/>
        <w:t>(d)</w:t>
      </w:r>
      <w:r w:rsidRPr="00686C2A">
        <w:rPr>
          <w:snapToGrid w:val="0"/>
        </w:rPr>
        <w:tab/>
        <w:t>a contact person and contact telephone and facsimile numbers for the entity;</w:t>
      </w:r>
    </w:p>
    <w:p w:rsidR="003721F5" w:rsidRPr="00686C2A" w:rsidRDefault="003721F5" w:rsidP="003721F5">
      <w:pPr>
        <w:pStyle w:val="paragraph"/>
        <w:rPr>
          <w:snapToGrid w:val="0"/>
        </w:rPr>
      </w:pPr>
      <w:r w:rsidRPr="00686C2A">
        <w:rPr>
          <w:snapToGrid w:val="0"/>
        </w:rPr>
        <w:tab/>
        <w:t>(e)</w:t>
      </w:r>
      <w:r w:rsidRPr="00686C2A">
        <w:rPr>
          <w:snapToGrid w:val="0"/>
        </w:rPr>
        <w:tab/>
        <w:t>the status of the entity under section</w:t>
      </w:r>
      <w:r w:rsidR="00686C2A" w:rsidRPr="00686C2A">
        <w:rPr>
          <w:snapToGrid w:val="0"/>
        </w:rPr>
        <w:t> </w:t>
      </w:r>
      <w:r w:rsidRPr="00686C2A">
        <w:rPr>
          <w:snapToGrid w:val="0"/>
        </w:rPr>
        <w:t>44 of the Act;</w:t>
      </w:r>
    </w:p>
    <w:p w:rsidR="003721F5" w:rsidRPr="00686C2A" w:rsidRDefault="003721F5" w:rsidP="003721F5">
      <w:pPr>
        <w:pStyle w:val="paragraph"/>
        <w:rPr>
          <w:snapToGrid w:val="0"/>
        </w:rPr>
      </w:pPr>
      <w:r w:rsidRPr="00686C2A">
        <w:rPr>
          <w:snapToGrid w:val="0"/>
        </w:rPr>
        <w:tab/>
        <w:t>(f)</w:t>
      </w:r>
      <w:r w:rsidRPr="00686C2A">
        <w:rPr>
          <w:snapToGrid w:val="0"/>
        </w:rPr>
        <w:tab/>
        <w:t>the ABN of the entity;</w:t>
      </w:r>
    </w:p>
    <w:p w:rsidR="003721F5" w:rsidRPr="00686C2A" w:rsidRDefault="003721F5" w:rsidP="003721F5">
      <w:pPr>
        <w:pStyle w:val="paragraph"/>
        <w:rPr>
          <w:snapToGrid w:val="0"/>
        </w:rPr>
      </w:pPr>
      <w:r w:rsidRPr="00686C2A">
        <w:rPr>
          <w:snapToGrid w:val="0"/>
        </w:rPr>
        <w:lastRenderedPageBreak/>
        <w:tab/>
        <w:t>(g)</w:t>
      </w:r>
      <w:r w:rsidRPr="00686C2A">
        <w:rPr>
          <w:snapToGrid w:val="0"/>
        </w:rPr>
        <w:tab/>
        <w:t xml:space="preserve">the class of </w:t>
      </w:r>
      <w:proofErr w:type="spellStart"/>
      <w:r w:rsidRPr="00686C2A">
        <w:rPr>
          <w:snapToGrid w:val="0"/>
        </w:rPr>
        <w:t>RSE</w:t>
      </w:r>
      <w:proofErr w:type="spellEnd"/>
      <w:r w:rsidRPr="00686C2A">
        <w:rPr>
          <w:snapToGrid w:val="0"/>
        </w:rPr>
        <w:t xml:space="preserve"> licence held by the </w:t>
      </w:r>
      <w:proofErr w:type="spellStart"/>
      <w:r w:rsidRPr="00686C2A">
        <w:rPr>
          <w:snapToGrid w:val="0"/>
        </w:rPr>
        <w:t>RSE</w:t>
      </w:r>
      <w:proofErr w:type="spellEnd"/>
      <w:r w:rsidRPr="00686C2A">
        <w:rPr>
          <w:snapToGrid w:val="0"/>
        </w:rPr>
        <w:t xml:space="preserve"> licensee;</w:t>
      </w:r>
    </w:p>
    <w:p w:rsidR="003721F5" w:rsidRPr="00686C2A" w:rsidRDefault="003721F5" w:rsidP="003721F5">
      <w:pPr>
        <w:pStyle w:val="paragraph"/>
        <w:rPr>
          <w:snapToGrid w:val="0"/>
        </w:rPr>
      </w:pPr>
      <w:r w:rsidRPr="00686C2A">
        <w:rPr>
          <w:snapToGrid w:val="0"/>
        </w:rPr>
        <w:tab/>
        <w:t>(h)</w:t>
      </w:r>
      <w:r w:rsidRPr="00686C2A">
        <w:rPr>
          <w:snapToGrid w:val="0"/>
        </w:rPr>
        <w:tab/>
        <w:t xml:space="preserve">the </w:t>
      </w:r>
      <w:proofErr w:type="spellStart"/>
      <w:r w:rsidRPr="00686C2A">
        <w:rPr>
          <w:snapToGrid w:val="0"/>
        </w:rPr>
        <w:t>RSE</w:t>
      </w:r>
      <w:proofErr w:type="spellEnd"/>
      <w:r w:rsidRPr="00686C2A">
        <w:rPr>
          <w:snapToGrid w:val="0"/>
        </w:rPr>
        <w:t xml:space="preserve"> licensee</w:t>
      </w:r>
      <w:r w:rsidR="00A16431" w:rsidRPr="00686C2A">
        <w:rPr>
          <w:snapToGrid w:val="0"/>
        </w:rPr>
        <w:t>’</w:t>
      </w:r>
      <w:r w:rsidRPr="00686C2A">
        <w:rPr>
          <w:snapToGrid w:val="0"/>
        </w:rPr>
        <w:t>s:</w:t>
      </w:r>
    </w:p>
    <w:p w:rsidR="003721F5" w:rsidRPr="00686C2A" w:rsidRDefault="003721F5" w:rsidP="003721F5">
      <w:pPr>
        <w:pStyle w:val="paragraphsub"/>
        <w:rPr>
          <w:snapToGrid w:val="0"/>
        </w:rPr>
      </w:pPr>
      <w:r w:rsidRPr="00686C2A">
        <w:rPr>
          <w:snapToGrid w:val="0"/>
        </w:rPr>
        <w:tab/>
        <w:t>(</w:t>
      </w:r>
      <w:proofErr w:type="spellStart"/>
      <w:r w:rsidRPr="00686C2A">
        <w:rPr>
          <w:snapToGrid w:val="0"/>
        </w:rPr>
        <w:t>i</w:t>
      </w:r>
      <w:proofErr w:type="spellEnd"/>
      <w:r w:rsidRPr="00686C2A">
        <w:rPr>
          <w:snapToGrid w:val="0"/>
        </w:rPr>
        <w:t>)</w:t>
      </w:r>
      <w:r w:rsidRPr="00686C2A">
        <w:rPr>
          <w:snapToGrid w:val="0"/>
        </w:rPr>
        <w:tab/>
        <w:t>name; and</w:t>
      </w:r>
    </w:p>
    <w:p w:rsidR="003721F5" w:rsidRPr="00686C2A" w:rsidRDefault="003721F5" w:rsidP="003721F5">
      <w:pPr>
        <w:pStyle w:val="paragraphsub"/>
        <w:rPr>
          <w:snapToGrid w:val="0"/>
        </w:rPr>
      </w:pPr>
      <w:r w:rsidRPr="00686C2A">
        <w:rPr>
          <w:snapToGrid w:val="0"/>
        </w:rPr>
        <w:tab/>
        <w:t>(ii)</w:t>
      </w:r>
      <w:r w:rsidRPr="00686C2A">
        <w:rPr>
          <w:snapToGrid w:val="0"/>
        </w:rPr>
        <w:tab/>
        <w:t>registered address; and</w:t>
      </w:r>
    </w:p>
    <w:p w:rsidR="003721F5" w:rsidRPr="00686C2A" w:rsidRDefault="003721F5" w:rsidP="003721F5">
      <w:pPr>
        <w:pStyle w:val="paragraphsub"/>
        <w:rPr>
          <w:snapToGrid w:val="0"/>
        </w:rPr>
      </w:pPr>
      <w:r w:rsidRPr="00686C2A">
        <w:rPr>
          <w:snapToGrid w:val="0"/>
        </w:rPr>
        <w:tab/>
        <w:t>(iii)</w:t>
      </w:r>
      <w:r w:rsidRPr="00686C2A">
        <w:rPr>
          <w:snapToGrid w:val="0"/>
        </w:rPr>
        <w:tab/>
        <w:t>telephone number; and</w:t>
      </w:r>
    </w:p>
    <w:p w:rsidR="003721F5" w:rsidRPr="00686C2A" w:rsidRDefault="003721F5" w:rsidP="003721F5">
      <w:pPr>
        <w:pStyle w:val="paragraphsub"/>
        <w:rPr>
          <w:snapToGrid w:val="0"/>
        </w:rPr>
      </w:pPr>
      <w:r w:rsidRPr="00686C2A">
        <w:rPr>
          <w:snapToGrid w:val="0"/>
        </w:rPr>
        <w:tab/>
        <w:t>(iv)</w:t>
      </w:r>
      <w:r w:rsidRPr="00686C2A">
        <w:rPr>
          <w:snapToGrid w:val="0"/>
        </w:rPr>
        <w:tab/>
        <w:t>ABN.</w:t>
      </w:r>
    </w:p>
    <w:p w:rsidR="00E66446" w:rsidRPr="00686C2A" w:rsidRDefault="00E66446" w:rsidP="00597882">
      <w:pPr>
        <w:pStyle w:val="ActHead6"/>
        <w:pageBreakBefore/>
      </w:pPr>
      <w:bookmarkStart w:id="69" w:name="_Toc359591563"/>
      <w:bookmarkStart w:id="70" w:name="OPCSB_AmendSchdB5"/>
      <w:r w:rsidRPr="00686C2A">
        <w:rPr>
          <w:rStyle w:val="CharAmSchNo"/>
        </w:rPr>
        <w:lastRenderedPageBreak/>
        <w:t>Schedule</w:t>
      </w:r>
      <w:r w:rsidR="00686C2A" w:rsidRPr="00686C2A">
        <w:rPr>
          <w:rStyle w:val="CharAmSchNo"/>
        </w:rPr>
        <w:t> </w:t>
      </w:r>
      <w:r w:rsidRPr="00686C2A">
        <w:rPr>
          <w:rStyle w:val="CharAmSchNo"/>
        </w:rPr>
        <w:t>2</w:t>
      </w:r>
      <w:r w:rsidRPr="00686C2A">
        <w:t>—</w:t>
      </w:r>
      <w:r w:rsidR="00DD0B5C" w:rsidRPr="00686C2A">
        <w:rPr>
          <w:rStyle w:val="CharAmSchText"/>
        </w:rPr>
        <w:t xml:space="preserve">Amendments relating to </w:t>
      </w:r>
      <w:proofErr w:type="spellStart"/>
      <w:r w:rsidR="00CF6558" w:rsidRPr="00686C2A">
        <w:rPr>
          <w:rStyle w:val="CharAmSchText"/>
        </w:rPr>
        <w:t>MySuper</w:t>
      </w:r>
      <w:proofErr w:type="spellEnd"/>
      <w:r w:rsidR="00CF6558" w:rsidRPr="00686C2A">
        <w:rPr>
          <w:rStyle w:val="CharAmSchText"/>
        </w:rPr>
        <w:t xml:space="preserve"> </w:t>
      </w:r>
      <w:r w:rsidR="00DF0FF6" w:rsidRPr="00686C2A">
        <w:rPr>
          <w:rStyle w:val="CharAmSchText"/>
        </w:rPr>
        <w:t>product dashboard and other measures</w:t>
      </w:r>
      <w:bookmarkEnd w:id="69"/>
    </w:p>
    <w:p w:rsidR="00C73E98" w:rsidRPr="00686C2A" w:rsidRDefault="00C73E98" w:rsidP="00C73E98">
      <w:pPr>
        <w:pStyle w:val="Header"/>
      </w:pPr>
      <w:r w:rsidRPr="00686C2A">
        <w:rPr>
          <w:rStyle w:val="CharAmPartNo"/>
        </w:rPr>
        <w:t xml:space="preserve"> </w:t>
      </w:r>
      <w:r w:rsidRPr="00686C2A">
        <w:rPr>
          <w:rStyle w:val="CharAmPartText"/>
        </w:rPr>
        <w:t xml:space="preserve"> </w:t>
      </w:r>
    </w:p>
    <w:p w:rsidR="0004467D" w:rsidRPr="00686C2A" w:rsidRDefault="0004467D" w:rsidP="0004467D">
      <w:pPr>
        <w:pStyle w:val="ActHead9"/>
      </w:pPr>
      <w:bookmarkStart w:id="71" w:name="_Toc359591564"/>
      <w:r w:rsidRPr="00686C2A">
        <w:t>Corporations Regulations</w:t>
      </w:r>
      <w:r w:rsidR="00686C2A" w:rsidRPr="00686C2A">
        <w:t> </w:t>
      </w:r>
      <w:r w:rsidRPr="00686C2A">
        <w:t>2001</w:t>
      </w:r>
      <w:bookmarkEnd w:id="71"/>
    </w:p>
    <w:p w:rsidR="00805112" w:rsidRPr="00686C2A" w:rsidRDefault="00805112" w:rsidP="00805112">
      <w:pPr>
        <w:pStyle w:val="ItemHead"/>
        <w:rPr>
          <w:rFonts w:cs="Arial"/>
        </w:rPr>
      </w:pPr>
      <w:r w:rsidRPr="00686C2A">
        <w:rPr>
          <w:rFonts w:cs="Arial"/>
          <w:noProof/>
        </w:rPr>
        <w:t>1</w:t>
      </w:r>
      <w:r w:rsidRPr="00686C2A">
        <w:rPr>
          <w:rFonts w:cs="Arial"/>
        </w:rPr>
        <w:t xml:space="preserve">  Paragraph 7.6.04(1)(a)</w:t>
      </w:r>
    </w:p>
    <w:p w:rsidR="00805112" w:rsidRPr="00686C2A" w:rsidRDefault="00805112" w:rsidP="00805112">
      <w:pPr>
        <w:pStyle w:val="Item"/>
      </w:pPr>
      <w:r w:rsidRPr="00686C2A">
        <w:t xml:space="preserve">Omit “if the financial services licensee is not a body regulated by APRA—”, substitute “subject to </w:t>
      </w:r>
      <w:proofErr w:type="spellStart"/>
      <w:r w:rsidRPr="00686C2A">
        <w:t>subregulation</w:t>
      </w:r>
      <w:proofErr w:type="spellEnd"/>
      <w:r w:rsidRPr="00686C2A">
        <w:t xml:space="preserve"> (1A)—”.</w:t>
      </w:r>
    </w:p>
    <w:p w:rsidR="00805112" w:rsidRPr="00686C2A" w:rsidRDefault="00805112" w:rsidP="00805112">
      <w:pPr>
        <w:pStyle w:val="ItemHead"/>
        <w:rPr>
          <w:rFonts w:cs="Arial"/>
        </w:rPr>
      </w:pPr>
      <w:r w:rsidRPr="00686C2A">
        <w:rPr>
          <w:rFonts w:cs="Arial"/>
          <w:noProof/>
        </w:rPr>
        <w:t>2</w:t>
      </w:r>
      <w:r w:rsidRPr="00686C2A">
        <w:rPr>
          <w:rFonts w:cs="Arial"/>
        </w:rPr>
        <w:t xml:space="preserve">  After </w:t>
      </w:r>
      <w:proofErr w:type="spellStart"/>
      <w:r w:rsidRPr="00686C2A">
        <w:rPr>
          <w:rFonts w:cs="Arial"/>
        </w:rPr>
        <w:t>subregulation</w:t>
      </w:r>
      <w:proofErr w:type="spellEnd"/>
      <w:r w:rsidR="00686C2A" w:rsidRPr="00686C2A">
        <w:rPr>
          <w:rFonts w:cs="Arial"/>
        </w:rPr>
        <w:t> </w:t>
      </w:r>
      <w:r w:rsidRPr="00686C2A">
        <w:rPr>
          <w:rFonts w:cs="Arial"/>
        </w:rPr>
        <w:t>7.6.04(1)</w:t>
      </w:r>
    </w:p>
    <w:p w:rsidR="00805112" w:rsidRPr="00686C2A" w:rsidRDefault="00805112" w:rsidP="00805112">
      <w:pPr>
        <w:pStyle w:val="Item"/>
      </w:pPr>
      <w:r w:rsidRPr="00686C2A">
        <w:t>Insert:</w:t>
      </w:r>
    </w:p>
    <w:p w:rsidR="00805112" w:rsidRPr="00686C2A" w:rsidRDefault="00805112" w:rsidP="00805112">
      <w:pPr>
        <w:pStyle w:val="subsection"/>
      </w:pPr>
      <w:r w:rsidRPr="00686C2A">
        <w:tab/>
        <w:t>(1A)</w:t>
      </w:r>
      <w:r w:rsidRPr="00686C2A">
        <w:tab/>
      </w:r>
      <w:r w:rsidR="00686C2A" w:rsidRPr="00686C2A">
        <w:t>Paragraph (</w:t>
      </w:r>
      <w:r w:rsidRPr="00686C2A">
        <w:t xml:space="preserve">1)(a) does not apply to a body regulated by APRA, unless the body is an </w:t>
      </w:r>
      <w:proofErr w:type="spellStart"/>
      <w:r w:rsidRPr="00686C2A">
        <w:t>RSE</w:t>
      </w:r>
      <w:proofErr w:type="spellEnd"/>
      <w:r w:rsidRPr="00686C2A">
        <w:t xml:space="preserve"> licensee that is also the responsible entity of a registered scheme.</w:t>
      </w:r>
    </w:p>
    <w:p w:rsidR="00DC749C" w:rsidRPr="00686C2A" w:rsidRDefault="00805112" w:rsidP="00DC749C">
      <w:pPr>
        <w:pStyle w:val="ItemHead"/>
        <w:rPr>
          <w:rFonts w:cs="Arial"/>
        </w:rPr>
      </w:pPr>
      <w:r w:rsidRPr="00686C2A">
        <w:rPr>
          <w:rFonts w:cs="Arial"/>
          <w:noProof/>
        </w:rPr>
        <w:t>3</w:t>
      </w:r>
      <w:r w:rsidR="00DC749C" w:rsidRPr="00686C2A">
        <w:rPr>
          <w:rFonts w:cs="Arial"/>
        </w:rPr>
        <w:t xml:space="preserve">  At</w:t>
      </w:r>
      <w:r w:rsidR="00F92A26" w:rsidRPr="00686C2A">
        <w:rPr>
          <w:rFonts w:cs="Arial"/>
        </w:rPr>
        <w:t xml:space="preserve"> the end of Subdivision</w:t>
      </w:r>
      <w:r w:rsidR="00686C2A" w:rsidRPr="00686C2A">
        <w:rPr>
          <w:rFonts w:cs="Arial"/>
        </w:rPr>
        <w:t> </w:t>
      </w:r>
      <w:r w:rsidR="00F92A26" w:rsidRPr="00686C2A">
        <w:rPr>
          <w:rFonts w:cs="Arial"/>
        </w:rPr>
        <w:t>2E.1</w:t>
      </w:r>
      <w:r w:rsidR="00963FDC" w:rsidRPr="00686C2A">
        <w:rPr>
          <w:rFonts w:cs="Arial"/>
        </w:rPr>
        <w:t xml:space="preserve"> of Division</w:t>
      </w:r>
      <w:r w:rsidR="00686C2A" w:rsidRPr="00686C2A">
        <w:rPr>
          <w:rFonts w:cs="Arial"/>
        </w:rPr>
        <w:t> </w:t>
      </w:r>
      <w:r w:rsidR="00963FDC" w:rsidRPr="00686C2A">
        <w:rPr>
          <w:rFonts w:cs="Arial"/>
        </w:rPr>
        <w:t>2E of Part</w:t>
      </w:r>
      <w:r w:rsidR="00686C2A" w:rsidRPr="00686C2A">
        <w:rPr>
          <w:rFonts w:cs="Arial"/>
        </w:rPr>
        <w:t> </w:t>
      </w:r>
      <w:r w:rsidR="00963FDC" w:rsidRPr="00686C2A">
        <w:rPr>
          <w:rFonts w:cs="Arial"/>
        </w:rPr>
        <w:t>7.9</w:t>
      </w:r>
    </w:p>
    <w:p w:rsidR="00DC749C" w:rsidRPr="00686C2A" w:rsidRDefault="00F92A26" w:rsidP="00DC749C">
      <w:pPr>
        <w:pStyle w:val="Item"/>
      </w:pPr>
      <w:r w:rsidRPr="00686C2A">
        <w:t>Add</w:t>
      </w:r>
      <w:r w:rsidR="00DC749C" w:rsidRPr="00686C2A">
        <w:t>:</w:t>
      </w:r>
    </w:p>
    <w:p w:rsidR="00DC749C" w:rsidRPr="00686C2A" w:rsidRDefault="00DC749C" w:rsidP="00DC749C">
      <w:pPr>
        <w:pStyle w:val="ActHead5"/>
      </w:pPr>
      <w:bookmarkStart w:id="72" w:name="_Toc359591565"/>
      <w:r w:rsidRPr="00686C2A">
        <w:rPr>
          <w:rStyle w:val="CharSectno"/>
        </w:rPr>
        <w:t>7.9.07</w:t>
      </w:r>
      <w:r w:rsidR="00821B56" w:rsidRPr="00686C2A">
        <w:rPr>
          <w:rStyle w:val="CharSectno"/>
        </w:rPr>
        <w:t>M</w:t>
      </w:r>
      <w:r w:rsidRPr="00686C2A">
        <w:t xml:space="preserve">  Source of power for this Subdivision</w:t>
      </w:r>
      <w:bookmarkEnd w:id="72"/>
    </w:p>
    <w:p w:rsidR="00DC749C" w:rsidRPr="00686C2A" w:rsidRDefault="00DC749C" w:rsidP="00DC749C">
      <w:pPr>
        <w:pStyle w:val="subsection"/>
      </w:pPr>
      <w:r w:rsidRPr="00686C2A">
        <w:tab/>
      </w:r>
      <w:r w:rsidRPr="00686C2A">
        <w:tab/>
        <w:t>This Subdivision is made for paragraphs 1017BA(1)(c) and (e) and subsection</w:t>
      </w:r>
      <w:r w:rsidR="00686C2A" w:rsidRPr="00686C2A">
        <w:t> </w:t>
      </w:r>
      <w:r w:rsidRPr="00686C2A">
        <w:t>1017BA(2) of the Act.</w:t>
      </w:r>
    </w:p>
    <w:p w:rsidR="00DC749C" w:rsidRPr="00686C2A" w:rsidRDefault="00DC749C" w:rsidP="00DC749C">
      <w:pPr>
        <w:pStyle w:val="ActHead5"/>
      </w:pPr>
      <w:bookmarkStart w:id="73" w:name="_Toc359591566"/>
      <w:r w:rsidRPr="00686C2A">
        <w:rPr>
          <w:rStyle w:val="CharSectno"/>
        </w:rPr>
        <w:t>7.9.07N</w:t>
      </w:r>
      <w:r w:rsidRPr="00686C2A">
        <w:t xml:space="preserve">  Definitions</w:t>
      </w:r>
      <w:bookmarkEnd w:id="73"/>
    </w:p>
    <w:p w:rsidR="00DC749C" w:rsidRPr="00686C2A" w:rsidRDefault="00DC749C" w:rsidP="00DC749C">
      <w:pPr>
        <w:pStyle w:val="subsection"/>
      </w:pPr>
      <w:r w:rsidRPr="00686C2A">
        <w:tab/>
      </w:r>
      <w:r w:rsidRPr="00686C2A">
        <w:tab/>
        <w:t>In this Subdivision:</w:t>
      </w:r>
    </w:p>
    <w:p w:rsidR="00DC749C" w:rsidRPr="00686C2A" w:rsidRDefault="00DC749C" w:rsidP="00DC749C">
      <w:pPr>
        <w:pStyle w:val="Definition"/>
      </w:pPr>
      <w:r w:rsidRPr="00686C2A">
        <w:rPr>
          <w:b/>
          <w:i/>
        </w:rPr>
        <w:t>lifecycle exception</w:t>
      </w:r>
      <w:r w:rsidRPr="00686C2A">
        <w:t xml:space="preserve"> has the meaning given by subsection</w:t>
      </w:r>
      <w:r w:rsidR="00686C2A" w:rsidRPr="00686C2A">
        <w:t> </w:t>
      </w:r>
      <w:r w:rsidRPr="00686C2A">
        <w:t>29TC(2) of the SIS Act.</w:t>
      </w:r>
    </w:p>
    <w:p w:rsidR="00DC749C" w:rsidRPr="00686C2A" w:rsidRDefault="00DC749C" w:rsidP="00DC749C">
      <w:pPr>
        <w:pStyle w:val="Definition"/>
        <w:rPr>
          <w:szCs w:val="22"/>
        </w:rPr>
      </w:pPr>
      <w:r w:rsidRPr="00686C2A">
        <w:rPr>
          <w:b/>
          <w:i/>
        </w:rPr>
        <w:t xml:space="preserve">lifecycle </w:t>
      </w:r>
      <w:proofErr w:type="spellStart"/>
      <w:r w:rsidRPr="00686C2A">
        <w:rPr>
          <w:b/>
          <w:i/>
        </w:rPr>
        <w:t>MySuper</w:t>
      </w:r>
      <w:proofErr w:type="spellEnd"/>
      <w:r w:rsidRPr="00686C2A">
        <w:rPr>
          <w:b/>
          <w:i/>
        </w:rPr>
        <w:t xml:space="preserve"> product</w:t>
      </w:r>
      <w:r w:rsidRPr="00686C2A">
        <w:t xml:space="preserve"> means a </w:t>
      </w:r>
      <w:proofErr w:type="spellStart"/>
      <w:r w:rsidRPr="00686C2A">
        <w:t>MySuper</w:t>
      </w:r>
      <w:proofErr w:type="spellEnd"/>
      <w:r w:rsidRPr="00686C2A">
        <w:t xml:space="preserve"> product to which a lifecycle exception </w:t>
      </w:r>
      <w:r w:rsidRPr="00686C2A">
        <w:rPr>
          <w:iCs/>
          <w:szCs w:val="22"/>
        </w:rPr>
        <w:t>applies.</w:t>
      </w:r>
    </w:p>
    <w:p w:rsidR="00DC749C" w:rsidRPr="00686C2A" w:rsidRDefault="00DC749C" w:rsidP="00DC749C">
      <w:pPr>
        <w:pStyle w:val="Definition"/>
      </w:pPr>
      <w:r w:rsidRPr="00686C2A">
        <w:rPr>
          <w:b/>
          <w:i/>
        </w:rPr>
        <w:t>lifecycle stage</w:t>
      </w:r>
      <w:r w:rsidRPr="00686C2A">
        <w:t xml:space="preserve">, of a </w:t>
      </w:r>
      <w:proofErr w:type="spellStart"/>
      <w:r w:rsidRPr="00686C2A">
        <w:t>MySuper</w:t>
      </w:r>
      <w:proofErr w:type="spellEnd"/>
      <w:r w:rsidRPr="00686C2A">
        <w:t xml:space="preserve"> product offered by a regulated superannuation fund, means a subclass of members of the fund who hold the </w:t>
      </w:r>
      <w:proofErr w:type="spellStart"/>
      <w:r w:rsidRPr="00686C2A">
        <w:t>MySuper</w:t>
      </w:r>
      <w:proofErr w:type="spellEnd"/>
      <w:r w:rsidRPr="00686C2A">
        <w:t xml:space="preserve"> product, determined on the basis of:</w:t>
      </w:r>
    </w:p>
    <w:p w:rsidR="00DC749C" w:rsidRPr="00686C2A" w:rsidRDefault="00DC749C" w:rsidP="00DC749C">
      <w:pPr>
        <w:pStyle w:val="paragraph"/>
      </w:pPr>
      <w:r w:rsidRPr="00686C2A">
        <w:lastRenderedPageBreak/>
        <w:tab/>
        <w:t>(a)</w:t>
      </w:r>
      <w:r w:rsidRPr="00686C2A">
        <w:tab/>
        <w:t>age; or</w:t>
      </w:r>
    </w:p>
    <w:p w:rsidR="00DC749C" w:rsidRPr="00686C2A" w:rsidRDefault="00DC749C" w:rsidP="00DC749C">
      <w:pPr>
        <w:pStyle w:val="paragraph"/>
      </w:pPr>
      <w:r w:rsidRPr="00686C2A">
        <w:tab/>
        <w:t>(b)</w:t>
      </w:r>
      <w:r w:rsidRPr="00686C2A">
        <w:tab/>
        <w:t>age and the factors mentioned in regulation</w:t>
      </w:r>
      <w:r w:rsidR="00686C2A" w:rsidRPr="00686C2A">
        <w:t> </w:t>
      </w:r>
      <w:r w:rsidRPr="00686C2A">
        <w:t>9.47 of the SIS Regulations.</w:t>
      </w:r>
    </w:p>
    <w:p w:rsidR="00DC749C" w:rsidRPr="00686C2A" w:rsidRDefault="00DC749C" w:rsidP="00DC749C">
      <w:pPr>
        <w:pStyle w:val="Definition"/>
      </w:pPr>
      <w:r w:rsidRPr="00686C2A">
        <w:rPr>
          <w:b/>
          <w:i/>
        </w:rPr>
        <w:t>offering period</w:t>
      </w:r>
      <w:r w:rsidRPr="00686C2A">
        <w:t xml:space="preserve"> means:</w:t>
      </w:r>
    </w:p>
    <w:p w:rsidR="00DC749C" w:rsidRPr="00686C2A" w:rsidRDefault="00DC749C" w:rsidP="00DC749C">
      <w:pPr>
        <w:pStyle w:val="paragraph"/>
      </w:pPr>
      <w:r w:rsidRPr="00686C2A">
        <w:tab/>
        <w:t>(a)</w:t>
      </w:r>
      <w:r w:rsidRPr="00686C2A">
        <w:tab/>
        <w:t xml:space="preserve">for a </w:t>
      </w:r>
      <w:proofErr w:type="spellStart"/>
      <w:r w:rsidRPr="00686C2A">
        <w:t>MySuper</w:t>
      </w:r>
      <w:proofErr w:type="spellEnd"/>
      <w:r w:rsidRPr="00686C2A">
        <w:t xml:space="preserve"> product other th</w:t>
      </w:r>
      <w:r w:rsidR="00C73E98" w:rsidRPr="00686C2A">
        <w:t xml:space="preserve">an a lifecycle </w:t>
      </w:r>
      <w:proofErr w:type="spellStart"/>
      <w:r w:rsidR="00C73E98" w:rsidRPr="00686C2A">
        <w:t>MySuper</w:t>
      </w:r>
      <w:proofErr w:type="spellEnd"/>
      <w:r w:rsidR="00C73E98" w:rsidRPr="00686C2A">
        <w:t xml:space="preserve"> product:</w:t>
      </w:r>
    </w:p>
    <w:p w:rsidR="00DC749C" w:rsidRPr="00686C2A" w:rsidRDefault="00DC749C" w:rsidP="00DC749C">
      <w:pPr>
        <w:pStyle w:val="paragraphsub"/>
      </w:pPr>
      <w:r w:rsidRPr="00686C2A">
        <w:tab/>
        <w:t>(</w:t>
      </w:r>
      <w:proofErr w:type="spellStart"/>
      <w:r w:rsidRPr="00686C2A">
        <w:t>i</w:t>
      </w:r>
      <w:proofErr w:type="spellEnd"/>
      <w:r w:rsidRPr="00686C2A">
        <w:t>)</w:t>
      </w:r>
      <w:r w:rsidRPr="00686C2A">
        <w:tab/>
        <w:t xml:space="preserve">if the </w:t>
      </w:r>
      <w:proofErr w:type="spellStart"/>
      <w:r w:rsidRPr="00686C2A">
        <w:t>MySuper</w:t>
      </w:r>
      <w:proofErr w:type="spellEnd"/>
      <w:r w:rsidRPr="00686C2A">
        <w:t xml:space="preserve"> product has been offered for less than 10 financial years and there is no predecessor product—the number of whole financial years for which the product has been offered; or</w:t>
      </w:r>
    </w:p>
    <w:p w:rsidR="00DC749C" w:rsidRPr="00686C2A" w:rsidRDefault="00DC749C" w:rsidP="00DC749C">
      <w:pPr>
        <w:pStyle w:val="paragraphsub"/>
      </w:pPr>
      <w:r w:rsidRPr="00686C2A">
        <w:tab/>
        <w:t>(ii)</w:t>
      </w:r>
      <w:r w:rsidRPr="00686C2A">
        <w:tab/>
        <w:t xml:space="preserve">if the </w:t>
      </w:r>
      <w:proofErr w:type="spellStart"/>
      <w:r w:rsidRPr="00686C2A">
        <w:t>MySuper</w:t>
      </w:r>
      <w:proofErr w:type="spellEnd"/>
      <w:r w:rsidRPr="00686C2A">
        <w:t xml:space="preserve"> product and a predecessor product have been offered for a total of less than 10 financial years—the number of whole financial years for which the products have been offered; or</w:t>
      </w:r>
    </w:p>
    <w:p w:rsidR="00DC749C" w:rsidRPr="00686C2A" w:rsidRDefault="00DC749C" w:rsidP="00DC749C">
      <w:pPr>
        <w:pStyle w:val="paragraph"/>
      </w:pPr>
      <w:r w:rsidRPr="00686C2A">
        <w:tab/>
        <w:t>(b)</w:t>
      </w:r>
      <w:r w:rsidRPr="00686C2A">
        <w:tab/>
        <w:t xml:space="preserve">for a lifecycle stage of a lifecycle </w:t>
      </w:r>
      <w:proofErr w:type="spellStart"/>
      <w:r w:rsidRPr="00686C2A">
        <w:t>MySuper</w:t>
      </w:r>
      <w:proofErr w:type="spellEnd"/>
      <w:r w:rsidRPr="00686C2A">
        <w:t xml:space="preserve"> product:</w:t>
      </w:r>
    </w:p>
    <w:p w:rsidR="00DC749C" w:rsidRPr="00686C2A" w:rsidRDefault="00DC749C" w:rsidP="00DC749C">
      <w:pPr>
        <w:pStyle w:val="paragraphsub"/>
      </w:pPr>
      <w:r w:rsidRPr="00686C2A">
        <w:tab/>
        <w:t>(</w:t>
      </w:r>
      <w:proofErr w:type="spellStart"/>
      <w:r w:rsidRPr="00686C2A">
        <w:t>i</w:t>
      </w:r>
      <w:proofErr w:type="spellEnd"/>
      <w:r w:rsidRPr="00686C2A">
        <w:t>)</w:t>
      </w:r>
      <w:r w:rsidRPr="00686C2A">
        <w:tab/>
        <w:t xml:space="preserve">if the lifecycle stage of the </w:t>
      </w:r>
      <w:proofErr w:type="spellStart"/>
      <w:r w:rsidRPr="00686C2A">
        <w:t>MySuper</w:t>
      </w:r>
      <w:proofErr w:type="spellEnd"/>
      <w:r w:rsidRPr="00686C2A">
        <w:t xml:space="preserve"> product has been offered for less than 10 financial years and there is no equivalent lifecycle stage of a predecessor product—the number of whole financial years for which the lifecycle stage has been offered; or</w:t>
      </w:r>
    </w:p>
    <w:p w:rsidR="00DC749C" w:rsidRPr="00686C2A" w:rsidRDefault="00DC749C" w:rsidP="00DC749C">
      <w:pPr>
        <w:pStyle w:val="paragraphsub"/>
      </w:pPr>
      <w:r w:rsidRPr="00686C2A">
        <w:tab/>
        <w:t>(ii)</w:t>
      </w:r>
      <w:r w:rsidRPr="00686C2A">
        <w:tab/>
        <w:t xml:space="preserve">if the lifecycle stage of the </w:t>
      </w:r>
      <w:proofErr w:type="spellStart"/>
      <w:r w:rsidRPr="00686C2A">
        <w:t>MySuper</w:t>
      </w:r>
      <w:proofErr w:type="spellEnd"/>
      <w:r w:rsidRPr="00686C2A">
        <w:t xml:space="preserve"> product and an equivalent lifecycle stage of a predecessor product have been offered for a total of less than 10 financial years—the number of whole financial years for which the lifecycle stage of the </w:t>
      </w:r>
      <w:proofErr w:type="spellStart"/>
      <w:r w:rsidRPr="00686C2A">
        <w:t>MySuper</w:t>
      </w:r>
      <w:proofErr w:type="spellEnd"/>
      <w:r w:rsidRPr="00686C2A">
        <w:t xml:space="preserve"> product and the predecessor product have been offered.</w:t>
      </w:r>
    </w:p>
    <w:p w:rsidR="00DC749C" w:rsidRPr="00686C2A" w:rsidRDefault="00DC749C" w:rsidP="00DC749C">
      <w:pPr>
        <w:pStyle w:val="subsection"/>
      </w:pPr>
      <w:r w:rsidRPr="00686C2A">
        <w:rPr>
          <w:b/>
          <w:bCs/>
          <w:i/>
          <w:iCs/>
        </w:rPr>
        <w:tab/>
      </w:r>
      <w:r w:rsidRPr="00686C2A">
        <w:rPr>
          <w:b/>
          <w:bCs/>
          <w:i/>
          <w:iCs/>
        </w:rPr>
        <w:tab/>
        <w:t>predecessor product</w:t>
      </w:r>
      <w:r w:rsidRPr="00686C2A">
        <w:rPr>
          <w:bCs/>
          <w:iCs/>
        </w:rPr>
        <w:t xml:space="preserve">, in relation to a </w:t>
      </w:r>
      <w:proofErr w:type="spellStart"/>
      <w:r w:rsidRPr="00686C2A">
        <w:rPr>
          <w:bCs/>
          <w:iCs/>
        </w:rPr>
        <w:t>MySuper</w:t>
      </w:r>
      <w:proofErr w:type="spellEnd"/>
      <w:r w:rsidRPr="00686C2A">
        <w:rPr>
          <w:bCs/>
          <w:iCs/>
        </w:rPr>
        <w:t xml:space="preserve"> product,</w:t>
      </w:r>
      <w:r w:rsidRPr="00686C2A">
        <w:t xml:space="preserve"> means a default investment option in existence on 30</w:t>
      </w:r>
      <w:r w:rsidR="00686C2A" w:rsidRPr="00686C2A">
        <w:t> </w:t>
      </w:r>
      <w:r w:rsidRPr="00686C2A">
        <w:t xml:space="preserve">June 2013 in relation to which, if a member’s accrued default amount were attributed to the </w:t>
      </w:r>
      <w:proofErr w:type="spellStart"/>
      <w:r w:rsidRPr="00686C2A">
        <w:t>MySuper</w:t>
      </w:r>
      <w:proofErr w:type="spellEnd"/>
      <w:r w:rsidRPr="00686C2A">
        <w:t xml:space="preserve"> product, the </w:t>
      </w:r>
      <w:proofErr w:type="spellStart"/>
      <w:r w:rsidRPr="00686C2A">
        <w:t>RSE</w:t>
      </w:r>
      <w:proofErr w:type="spellEnd"/>
      <w:r w:rsidRPr="00686C2A">
        <w:t xml:space="preserve"> </w:t>
      </w:r>
      <w:r w:rsidR="005A2F39" w:rsidRPr="00686C2A">
        <w:t>licensee</w:t>
      </w:r>
      <w:r w:rsidRPr="00686C2A">
        <w:t xml:space="preserve"> would be exempted from disclosure requirements under </w:t>
      </w:r>
      <w:proofErr w:type="spellStart"/>
      <w:r w:rsidRPr="00686C2A">
        <w:t>subregulation</w:t>
      </w:r>
      <w:proofErr w:type="spellEnd"/>
      <w:r w:rsidR="00686C2A" w:rsidRPr="00686C2A">
        <w:t> </w:t>
      </w:r>
      <w:r w:rsidRPr="00686C2A">
        <w:t>9.46(2) of the SIS Regulations.</w:t>
      </w:r>
    </w:p>
    <w:p w:rsidR="00DC749C" w:rsidRPr="00686C2A" w:rsidRDefault="00DC749C" w:rsidP="00DC749C">
      <w:pPr>
        <w:pStyle w:val="subsection"/>
      </w:pPr>
      <w:r w:rsidRPr="00686C2A">
        <w:tab/>
      </w:r>
      <w:r w:rsidRPr="00686C2A">
        <w:tab/>
      </w:r>
      <w:r w:rsidRPr="00686C2A">
        <w:rPr>
          <w:b/>
          <w:i/>
        </w:rPr>
        <w:t>reporting standard</w:t>
      </w:r>
      <w:r w:rsidRPr="00686C2A">
        <w:t xml:space="preserve"> means a reporting standard determined by APRA under subsection</w:t>
      </w:r>
      <w:r w:rsidR="00686C2A" w:rsidRPr="00686C2A">
        <w:t> </w:t>
      </w:r>
      <w:r w:rsidRPr="00686C2A">
        <w:t xml:space="preserve">13(1) of the </w:t>
      </w:r>
      <w:r w:rsidRPr="00686C2A">
        <w:rPr>
          <w:i/>
        </w:rPr>
        <w:t>Financial Sector (Collection of Data) Act 2001</w:t>
      </w:r>
      <w:r w:rsidRPr="00686C2A">
        <w:t>, as in force from time to time.</w:t>
      </w:r>
    </w:p>
    <w:p w:rsidR="00DC749C" w:rsidRPr="00686C2A" w:rsidRDefault="00DC749C" w:rsidP="00DC749C">
      <w:pPr>
        <w:pStyle w:val="ActHead5"/>
        <w:rPr>
          <w:i/>
        </w:rPr>
      </w:pPr>
      <w:bookmarkStart w:id="74" w:name="_Toc359591567"/>
      <w:r w:rsidRPr="00686C2A">
        <w:rPr>
          <w:rStyle w:val="CharSectno"/>
        </w:rPr>
        <w:lastRenderedPageBreak/>
        <w:t>7.9.07P</w:t>
      </w:r>
      <w:r w:rsidR="00C73E98" w:rsidRPr="00686C2A">
        <w:t xml:space="preserve">  </w:t>
      </w:r>
      <w:r w:rsidRPr="00686C2A">
        <w:t xml:space="preserve">Meaning of </w:t>
      </w:r>
      <w:proofErr w:type="spellStart"/>
      <w:r w:rsidRPr="00686C2A">
        <w:rPr>
          <w:i/>
        </w:rPr>
        <w:t>MySuper</w:t>
      </w:r>
      <w:proofErr w:type="spellEnd"/>
      <w:r w:rsidRPr="00686C2A">
        <w:rPr>
          <w:i/>
        </w:rPr>
        <w:t xml:space="preserve"> product dashboard reporting standards</w:t>
      </w:r>
      <w:bookmarkEnd w:id="74"/>
    </w:p>
    <w:p w:rsidR="00DC749C" w:rsidRPr="00686C2A" w:rsidRDefault="00DC749C" w:rsidP="00DC749C">
      <w:pPr>
        <w:pStyle w:val="subsection"/>
      </w:pPr>
      <w:r w:rsidRPr="00686C2A">
        <w:tab/>
      </w:r>
      <w:r w:rsidRPr="00686C2A">
        <w:tab/>
        <w:t xml:space="preserve">For this Subdivision, a reporting standard is a </w:t>
      </w:r>
      <w:proofErr w:type="spellStart"/>
      <w:r w:rsidRPr="00686C2A">
        <w:rPr>
          <w:b/>
          <w:i/>
        </w:rPr>
        <w:t>MySuper</w:t>
      </w:r>
      <w:proofErr w:type="spellEnd"/>
      <w:r w:rsidRPr="00686C2A">
        <w:rPr>
          <w:b/>
          <w:i/>
        </w:rPr>
        <w:t xml:space="preserve"> product dashboard reporting standard</w:t>
      </w:r>
      <w:r w:rsidRPr="00686C2A">
        <w:t xml:space="preserve"> if the reporting standard contains a clause stating that it relates to information that will be included in a product dashboard for a </w:t>
      </w:r>
      <w:proofErr w:type="spellStart"/>
      <w:r w:rsidRPr="00686C2A">
        <w:t>MySuper</w:t>
      </w:r>
      <w:proofErr w:type="spellEnd"/>
      <w:r w:rsidRPr="00686C2A">
        <w:t xml:space="preserve"> product.</w:t>
      </w:r>
    </w:p>
    <w:p w:rsidR="00DC749C" w:rsidRPr="00686C2A" w:rsidRDefault="00DC749C" w:rsidP="00DC749C">
      <w:pPr>
        <w:pStyle w:val="ActHead5"/>
      </w:pPr>
      <w:bookmarkStart w:id="75" w:name="_Toc359591568"/>
      <w:r w:rsidRPr="00686C2A">
        <w:rPr>
          <w:rStyle w:val="CharSectno"/>
        </w:rPr>
        <w:t>7.9.07Q</w:t>
      </w:r>
      <w:r w:rsidRPr="00686C2A">
        <w:t xml:space="preserve">  Product dashboard—how information must be set out</w:t>
      </w:r>
      <w:bookmarkEnd w:id="75"/>
    </w:p>
    <w:p w:rsidR="00DC749C" w:rsidRPr="00686C2A" w:rsidRDefault="00DC749C" w:rsidP="00DC749C">
      <w:pPr>
        <w:pStyle w:val="subsection"/>
      </w:pPr>
      <w:r w:rsidRPr="00686C2A">
        <w:tab/>
        <w:t>(1)</w:t>
      </w:r>
      <w:r w:rsidRPr="00686C2A">
        <w:tab/>
        <w:t xml:space="preserve">Information for a </w:t>
      </w:r>
      <w:proofErr w:type="spellStart"/>
      <w:r w:rsidRPr="00686C2A">
        <w:t>MySuper</w:t>
      </w:r>
      <w:proofErr w:type="spellEnd"/>
      <w:r w:rsidRPr="00686C2A">
        <w:t xml:space="preserve"> product must be set out in a product dashboard as follows (including the headings):</w:t>
      </w:r>
    </w:p>
    <w:p w:rsidR="00DC749C" w:rsidRPr="00686C2A" w:rsidRDefault="00DC749C" w:rsidP="00E82DD9">
      <w:pPr>
        <w:pStyle w:val="Tabletext"/>
      </w:pPr>
    </w:p>
    <w:tbl>
      <w:tblPr>
        <w:tblW w:w="6663"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86"/>
        <w:gridCol w:w="2977"/>
      </w:tblGrid>
      <w:tr w:rsidR="00A415EF" w:rsidRPr="00686C2A" w:rsidTr="001C38A0">
        <w:trPr>
          <w:tblHeader/>
        </w:trPr>
        <w:tc>
          <w:tcPr>
            <w:tcW w:w="6662" w:type="dxa"/>
            <w:gridSpan w:val="2"/>
          </w:tcPr>
          <w:p w:rsidR="00DC749C" w:rsidRPr="00686C2A" w:rsidRDefault="00DC749C" w:rsidP="001C38A0">
            <w:pPr>
              <w:spacing w:line="240" w:lineRule="auto"/>
              <w:rPr>
                <w:b/>
              </w:rPr>
            </w:pPr>
            <w:r w:rsidRPr="00686C2A">
              <w:rPr>
                <w:b/>
              </w:rPr>
              <w:t>PRODUCT DASHBOARD</w:t>
            </w:r>
          </w:p>
        </w:tc>
      </w:tr>
      <w:tr w:rsidR="00A415EF" w:rsidRPr="00686C2A" w:rsidTr="001C38A0">
        <w:trPr>
          <w:tblHeader/>
        </w:trPr>
        <w:tc>
          <w:tcPr>
            <w:tcW w:w="3686" w:type="dxa"/>
            <w:shd w:val="clear" w:color="auto" w:fill="auto"/>
          </w:tcPr>
          <w:p w:rsidR="00DC749C" w:rsidRPr="00686C2A" w:rsidRDefault="00DC749C" w:rsidP="001C38A0">
            <w:pPr>
              <w:spacing w:line="240" w:lineRule="auto"/>
              <w:rPr>
                <w:b/>
              </w:rPr>
            </w:pPr>
            <w:r w:rsidRPr="00686C2A">
              <w:rPr>
                <w:b/>
              </w:rPr>
              <w:t>Return target</w:t>
            </w:r>
          </w:p>
        </w:tc>
        <w:tc>
          <w:tcPr>
            <w:tcW w:w="2977" w:type="dxa"/>
            <w:shd w:val="clear" w:color="auto" w:fill="auto"/>
          </w:tcPr>
          <w:p w:rsidR="00DC749C" w:rsidRPr="00686C2A" w:rsidRDefault="00DC749C" w:rsidP="001C38A0">
            <w:pPr>
              <w:spacing w:line="240" w:lineRule="auto"/>
              <w:rPr>
                <w:b/>
              </w:rPr>
            </w:pPr>
          </w:p>
          <w:p w:rsidR="00DC749C" w:rsidRPr="00686C2A" w:rsidRDefault="00DC749C" w:rsidP="001C38A0">
            <w:pPr>
              <w:spacing w:line="240" w:lineRule="auto"/>
              <w:rPr>
                <w:b/>
              </w:rPr>
            </w:pPr>
          </w:p>
        </w:tc>
      </w:tr>
      <w:tr w:rsidR="00A415EF" w:rsidRPr="00686C2A" w:rsidTr="001C38A0">
        <w:tc>
          <w:tcPr>
            <w:tcW w:w="3686" w:type="dxa"/>
            <w:shd w:val="clear" w:color="auto" w:fill="auto"/>
          </w:tcPr>
          <w:p w:rsidR="00DC749C" w:rsidRPr="00686C2A" w:rsidRDefault="00DC749C" w:rsidP="001C38A0">
            <w:pPr>
              <w:spacing w:line="240" w:lineRule="auto"/>
              <w:rPr>
                <w:b/>
              </w:rPr>
            </w:pPr>
            <w:r w:rsidRPr="00686C2A">
              <w:rPr>
                <w:b/>
              </w:rPr>
              <w:t>Return</w:t>
            </w:r>
          </w:p>
        </w:tc>
        <w:tc>
          <w:tcPr>
            <w:tcW w:w="2977" w:type="dxa"/>
            <w:shd w:val="clear" w:color="auto" w:fill="auto"/>
          </w:tcPr>
          <w:p w:rsidR="00DC749C" w:rsidRPr="00686C2A" w:rsidRDefault="00DC749C" w:rsidP="001C38A0">
            <w:pPr>
              <w:spacing w:line="240" w:lineRule="auto"/>
            </w:pPr>
          </w:p>
          <w:p w:rsidR="00DC749C" w:rsidRPr="00686C2A" w:rsidRDefault="00DC749C" w:rsidP="001C38A0">
            <w:pPr>
              <w:spacing w:line="240" w:lineRule="auto"/>
            </w:pPr>
          </w:p>
        </w:tc>
      </w:tr>
      <w:tr w:rsidR="00A415EF" w:rsidRPr="00686C2A" w:rsidTr="001C38A0">
        <w:tc>
          <w:tcPr>
            <w:tcW w:w="3686" w:type="dxa"/>
            <w:shd w:val="clear" w:color="auto" w:fill="auto"/>
          </w:tcPr>
          <w:p w:rsidR="00DC749C" w:rsidRPr="00686C2A" w:rsidRDefault="00DC749C" w:rsidP="001C38A0">
            <w:pPr>
              <w:spacing w:line="240" w:lineRule="auto"/>
              <w:rPr>
                <w:b/>
              </w:rPr>
            </w:pPr>
            <w:r w:rsidRPr="00686C2A">
              <w:rPr>
                <w:b/>
              </w:rPr>
              <w:t>Comparison between return target and return</w:t>
            </w:r>
          </w:p>
        </w:tc>
        <w:tc>
          <w:tcPr>
            <w:tcW w:w="2977" w:type="dxa"/>
            <w:shd w:val="clear" w:color="auto" w:fill="auto"/>
          </w:tcPr>
          <w:p w:rsidR="00DC749C" w:rsidRPr="00686C2A" w:rsidRDefault="00DC749C" w:rsidP="001C38A0">
            <w:pPr>
              <w:spacing w:line="240" w:lineRule="auto"/>
            </w:pPr>
          </w:p>
          <w:p w:rsidR="00DC749C" w:rsidRPr="00686C2A" w:rsidRDefault="00DC749C" w:rsidP="001C38A0">
            <w:pPr>
              <w:spacing w:line="240" w:lineRule="auto"/>
            </w:pPr>
          </w:p>
          <w:p w:rsidR="00DC749C" w:rsidRPr="00686C2A" w:rsidRDefault="00DC749C" w:rsidP="001C38A0">
            <w:pPr>
              <w:spacing w:line="240" w:lineRule="auto"/>
            </w:pPr>
          </w:p>
          <w:p w:rsidR="00DC749C" w:rsidRPr="00686C2A" w:rsidRDefault="00DC749C" w:rsidP="001C38A0">
            <w:pPr>
              <w:spacing w:line="240" w:lineRule="auto"/>
            </w:pPr>
          </w:p>
        </w:tc>
      </w:tr>
      <w:tr w:rsidR="00A415EF" w:rsidRPr="00686C2A" w:rsidTr="001C38A0">
        <w:tc>
          <w:tcPr>
            <w:tcW w:w="3686" w:type="dxa"/>
            <w:shd w:val="clear" w:color="auto" w:fill="auto"/>
          </w:tcPr>
          <w:p w:rsidR="00DC749C" w:rsidRPr="00686C2A" w:rsidRDefault="00DC749C" w:rsidP="001C38A0">
            <w:pPr>
              <w:spacing w:line="240" w:lineRule="auto"/>
              <w:rPr>
                <w:b/>
              </w:rPr>
            </w:pPr>
            <w:r w:rsidRPr="00686C2A">
              <w:rPr>
                <w:b/>
              </w:rPr>
              <w:t>Level of investment risk</w:t>
            </w:r>
          </w:p>
        </w:tc>
        <w:tc>
          <w:tcPr>
            <w:tcW w:w="2977" w:type="dxa"/>
            <w:shd w:val="clear" w:color="auto" w:fill="auto"/>
          </w:tcPr>
          <w:p w:rsidR="00DC749C" w:rsidRPr="00686C2A" w:rsidRDefault="00DC749C" w:rsidP="001C38A0">
            <w:pPr>
              <w:spacing w:line="240" w:lineRule="auto"/>
            </w:pPr>
          </w:p>
          <w:p w:rsidR="00DC749C" w:rsidRPr="00686C2A" w:rsidRDefault="00DC749C" w:rsidP="001C38A0">
            <w:pPr>
              <w:spacing w:line="240" w:lineRule="auto"/>
            </w:pPr>
          </w:p>
        </w:tc>
      </w:tr>
      <w:tr w:rsidR="00A415EF" w:rsidRPr="00686C2A" w:rsidTr="001C38A0">
        <w:tc>
          <w:tcPr>
            <w:tcW w:w="3686" w:type="dxa"/>
            <w:shd w:val="clear" w:color="auto" w:fill="auto"/>
          </w:tcPr>
          <w:p w:rsidR="00DC749C" w:rsidRPr="00686C2A" w:rsidRDefault="00DC749C" w:rsidP="001C38A0">
            <w:pPr>
              <w:spacing w:line="240" w:lineRule="auto"/>
              <w:rPr>
                <w:b/>
              </w:rPr>
            </w:pPr>
            <w:r w:rsidRPr="00686C2A">
              <w:rPr>
                <w:b/>
              </w:rPr>
              <w:t>Statement of fees and other costs</w:t>
            </w:r>
          </w:p>
        </w:tc>
        <w:tc>
          <w:tcPr>
            <w:tcW w:w="2977" w:type="dxa"/>
            <w:shd w:val="clear" w:color="auto" w:fill="auto"/>
          </w:tcPr>
          <w:p w:rsidR="00DC749C" w:rsidRPr="00686C2A" w:rsidRDefault="00DC749C" w:rsidP="001C38A0">
            <w:pPr>
              <w:spacing w:line="240" w:lineRule="auto"/>
            </w:pPr>
          </w:p>
          <w:p w:rsidR="00DC749C" w:rsidRPr="00686C2A" w:rsidRDefault="00DC749C" w:rsidP="001C38A0">
            <w:pPr>
              <w:spacing w:line="240" w:lineRule="auto"/>
            </w:pPr>
          </w:p>
        </w:tc>
      </w:tr>
    </w:tbl>
    <w:p w:rsidR="00DC749C" w:rsidRPr="00686C2A" w:rsidRDefault="00DC749C" w:rsidP="00DC749C">
      <w:pPr>
        <w:pStyle w:val="subsection"/>
      </w:pPr>
      <w:r w:rsidRPr="00686C2A">
        <w:tab/>
        <w:t>(2)</w:t>
      </w:r>
      <w:r w:rsidRPr="00686C2A">
        <w:tab/>
        <w:t xml:space="preserve">For a lifecycle </w:t>
      </w:r>
      <w:proofErr w:type="spellStart"/>
      <w:r w:rsidRPr="00686C2A">
        <w:t>MySuper</w:t>
      </w:r>
      <w:proofErr w:type="spellEnd"/>
      <w:r w:rsidRPr="00686C2A">
        <w:t xml:space="preserve"> product, the information mentioned in each item of the table must be set out in relation to each lifecycle stage of the product.</w:t>
      </w:r>
    </w:p>
    <w:p w:rsidR="00DC749C" w:rsidRPr="00686C2A" w:rsidRDefault="00DC749C" w:rsidP="00DC749C">
      <w:pPr>
        <w:pStyle w:val="ActHead5"/>
      </w:pPr>
      <w:bookmarkStart w:id="76" w:name="_Toc359591569"/>
      <w:r w:rsidRPr="00686C2A">
        <w:rPr>
          <w:rStyle w:val="CharSectno"/>
        </w:rPr>
        <w:t>7.9.07R</w:t>
      </w:r>
      <w:r w:rsidRPr="00686C2A">
        <w:t xml:space="preserve">  Product dashboard—return target</w:t>
      </w:r>
      <w:bookmarkEnd w:id="76"/>
    </w:p>
    <w:p w:rsidR="00DC749C" w:rsidRPr="00686C2A" w:rsidRDefault="00DC749C" w:rsidP="00DC749C">
      <w:pPr>
        <w:pStyle w:val="subsection"/>
      </w:pPr>
      <w:r w:rsidRPr="00686C2A">
        <w:tab/>
        <w:t>(1)</w:t>
      </w:r>
      <w:r w:rsidRPr="00686C2A">
        <w:tab/>
        <w:t xml:space="preserve">The return target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(2)</w:t>
      </w:r>
      <w:r w:rsidRPr="00686C2A">
        <w:tab/>
        <w:t xml:space="preserve">The return target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lastRenderedPageBreak/>
        <w:tab/>
        <w:t>(3)</w:t>
      </w:r>
      <w:r w:rsidRPr="00686C2A">
        <w:tab/>
        <w:t>The period in relation to which the return target must be worked out is the period of 10 years starting at the beginning of the current financial year.</w:t>
      </w:r>
    </w:p>
    <w:p w:rsidR="00DC749C" w:rsidRPr="00686C2A" w:rsidRDefault="00DC749C" w:rsidP="00091AAF">
      <w:pPr>
        <w:pStyle w:val="ActHead5"/>
      </w:pPr>
      <w:bookmarkStart w:id="77" w:name="_Toc359591570"/>
      <w:r w:rsidRPr="00686C2A">
        <w:rPr>
          <w:rStyle w:val="CharSectno"/>
        </w:rPr>
        <w:t>7.9.07S</w:t>
      </w:r>
      <w:r w:rsidRPr="00686C2A">
        <w:t xml:space="preserve">  Product dashboard—return</w:t>
      </w:r>
      <w:bookmarkEnd w:id="77"/>
    </w:p>
    <w:p w:rsidR="00DC749C" w:rsidRPr="00686C2A" w:rsidRDefault="00DC749C" w:rsidP="00DC749C">
      <w:pPr>
        <w:pStyle w:val="SubsectionHead"/>
      </w:pPr>
      <w:proofErr w:type="spellStart"/>
      <w:r w:rsidRPr="00686C2A">
        <w:t>MySuper</w:t>
      </w:r>
      <w:proofErr w:type="spellEnd"/>
      <w:r w:rsidRPr="00686C2A">
        <w:t xml:space="preserve"> product other</w:t>
      </w:r>
      <w:r w:rsidR="005038B6" w:rsidRPr="00686C2A">
        <w:t xml:space="preserve"> than lifecycle </w:t>
      </w:r>
      <w:proofErr w:type="spellStart"/>
      <w:r w:rsidR="005038B6" w:rsidRPr="00686C2A">
        <w:t>MySuper</w:t>
      </w:r>
      <w:proofErr w:type="spellEnd"/>
      <w:r w:rsidR="005038B6" w:rsidRPr="00686C2A">
        <w:t xml:space="preserve"> product</w:t>
      </w:r>
    </w:p>
    <w:p w:rsidR="00DC749C" w:rsidRPr="00686C2A" w:rsidRDefault="00DC749C" w:rsidP="00DC749C">
      <w:pPr>
        <w:pStyle w:val="subsection"/>
      </w:pPr>
      <w:r w:rsidRPr="00686C2A">
        <w:tab/>
        <w:t>(1)</w:t>
      </w:r>
      <w:r w:rsidRPr="00686C2A">
        <w:tab/>
        <w:t xml:space="preserve">The return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(2)</w:t>
      </w:r>
      <w:r w:rsidRPr="00686C2A">
        <w:tab/>
        <w:t>The period in relation to which the return must be worked out is:</w:t>
      </w:r>
    </w:p>
    <w:p w:rsidR="00DC749C" w:rsidRPr="00686C2A" w:rsidRDefault="00DC749C" w:rsidP="00DC749C">
      <w:pPr>
        <w:pStyle w:val="paragraph"/>
      </w:pPr>
      <w:r w:rsidRPr="00686C2A">
        <w:tab/>
        <w:t>(a)</w:t>
      </w:r>
      <w:r w:rsidRPr="00686C2A">
        <w:tab/>
        <w:t>the last 10 whole financial years, if:</w:t>
      </w:r>
    </w:p>
    <w:p w:rsidR="00DC749C" w:rsidRPr="00686C2A" w:rsidRDefault="00DC749C" w:rsidP="00DC749C">
      <w:pPr>
        <w:pStyle w:val="paragraphsub"/>
      </w:pPr>
      <w:r w:rsidRPr="00686C2A">
        <w:tab/>
        <w:t>(</w:t>
      </w:r>
      <w:proofErr w:type="spellStart"/>
      <w:r w:rsidRPr="00686C2A">
        <w:t>i</w:t>
      </w:r>
      <w:proofErr w:type="spellEnd"/>
      <w:r w:rsidRPr="00686C2A">
        <w:t>)</w:t>
      </w:r>
      <w:r w:rsidRPr="00686C2A">
        <w:tab/>
        <w:t xml:space="preserve">the </w:t>
      </w:r>
      <w:proofErr w:type="spellStart"/>
      <w:r w:rsidRPr="00686C2A">
        <w:t>MySuper</w:t>
      </w:r>
      <w:proofErr w:type="spellEnd"/>
      <w:r w:rsidRPr="00686C2A">
        <w:t xml:space="preserve"> product has been offered for at least 10 financial years; or</w:t>
      </w:r>
    </w:p>
    <w:p w:rsidR="00DC749C" w:rsidRPr="00686C2A" w:rsidRDefault="00DC749C" w:rsidP="00DC749C">
      <w:pPr>
        <w:pStyle w:val="paragraphsub"/>
      </w:pPr>
      <w:r w:rsidRPr="00686C2A">
        <w:tab/>
        <w:t>(ii)</w:t>
      </w:r>
      <w:r w:rsidRPr="00686C2A">
        <w:tab/>
        <w:t xml:space="preserve">the </w:t>
      </w:r>
      <w:proofErr w:type="spellStart"/>
      <w:r w:rsidRPr="00686C2A">
        <w:t>MySuper</w:t>
      </w:r>
      <w:proofErr w:type="spellEnd"/>
      <w:r w:rsidRPr="00686C2A">
        <w:t xml:space="preserve"> product and a predecessor product have been offered for a total of at least 10 financial years; or</w:t>
      </w:r>
    </w:p>
    <w:p w:rsidR="00DC749C" w:rsidRPr="00686C2A" w:rsidRDefault="00DC749C" w:rsidP="00DC749C">
      <w:pPr>
        <w:pStyle w:val="paragraph"/>
      </w:pPr>
      <w:r w:rsidRPr="00686C2A">
        <w:tab/>
        <w:t>(b)</w:t>
      </w:r>
      <w:r w:rsidRPr="00686C2A">
        <w:tab/>
        <w:t>the offering period.</w:t>
      </w:r>
    </w:p>
    <w:p w:rsidR="00DC749C" w:rsidRPr="00686C2A" w:rsidRDefault="00DC749C" w:rsidP="00DC749C">
      <w:pPr>
        <w:pStyle w:val="SubsectionHead"/>
      </w:pPr>
      <w:r w:rsidRPr="00686C2A">
        <w:t xml:space="preserve">Lifecycle </w:t>
      </w:r>
      <w:proofErr w:type="spellStart"/>
      <w:r w:rsidRPr="00686C2A">
        <w:t>MySuper</w:t>
      </w:r>
      <w:proofErr w:type="spellEnd"/>
      <w:r w:rsidRPr="00686C2A">
        <w:t xml:space="preserve"> product</w:t>
      </w:r>
    </w:p>
    <w:p w:rsidR="00DC749C" w:rsidRPr="00686C2A" w:rsidRDefault="00DC749C" w:rsidP="00DC749C">
      <w:pPr>
        <w:pStyle w:val="subsection"/>
      </w:pPr>
      <w:r w:rsidRPr="00686C2A">
        <w:tab/>
        <w:t>(3)</w:t>
      </w:r>
      <w:r w:rsidRPr="00686C2A">
        <w:tab/>
        <w:t xml:space="preserve">The return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(4)</w:t>
      </w:r>
      <w:r w:rsidRPr="00686C2A">
        <w:tab/>
        <w:t xml:space="preserve">The period in relation to which the return </w:t>
      </w:r>
      <w:r w:rsidR="009B09FA" w:rsidRPr="00686C2A">
        <w:t xml:space="preserve">in relation to a lifecycle stage of a lifecycle </w:t>
      </w:r>
      <w:proofErr w:type="spellStart"/>
      <w:r w:rsidR="009B09FA" w:rsidRPr="00686C2A">
        <w:t>MySuper</w:t>
      </w:r>
      <w:proofErr w:type="spellEnd"/>
      <w:r w:rsidR="009B09FA" w:rsidRPr="00686C2A">
        <w:t xml:space="preserve"> product </w:t>
      </w:r>
      <w:r w:rsidRPr="00686C2A">
        <w:t>must be worked out is:</w:t>
      </w:r>
    </w:p>
    <w:p w:rsidR="00DC749C" w:rsidRPr="00686C2A" w:rsidRDefault="00DC749C" w:rsidP="00DC749C">
      <w:pPr>
        <w:pStyle w:val="paragraph"/>
      </w:pPr>
      <w:r w:rsidRPr="00686C2A">
        <w:tab/>
        <w:t>(a)</w:t>
      </w:r>
      <w:r w:rsidRPr="00686C2A">
        <w:tab/>
        <w:t>the last 10 whole financial years, if:</w:t>
      </w:r>
    </w:p>
    <w:p w:rsidR="00DC749C" w:rsidRPr="00686C2A" w:rsidRDefault="00DC749C" w:rsidP="00DC749C">
      <w:pPr>
        <w:pStyle w:val="paragraphsub"/>
      </w:pPr>
      <w:r w:rsidRPr="00686C2A">
        <w:tab/>
        <w:t>(</w:t>
      </w:r>
      <w:proofErr w:type="spellStart"/>
      <w:r w:rsidRPr="00686C2A">
        <w:t>i</w:t>
      </w:r>
      <w:proofErr w:type="spellEnd"/>
      <w:r w:rsidRPr="00686C2A">
        <w:t>)</w:t>
      </w:r>
      <w:r w:rsidRPr="00686C2A">
        <w:tab/>
        <w:t xml:space="preserve">the lifecycle stage of the </w:t>
      </w:r>
      <w:proofErr w:type="spellStart"/>
      <w:r w:rsidRPr="00686C2A">
        <w:t>MySuper</w:t>
      </w:r>
      <w:proofErr w:type="spellEnd"/>
      <w:r w:rsidRPr="00686C2A">
        <w:t xml:space="preserve"> product has been offered for at least 10 financial years; or</w:t>
      </w:r>
    </w:p>
    <w:p w:rsidR="00DC749C" w:rsidRPr="00686C2A" w:rsidRDefault="00DC749C" w:rsidP="00DC749C">
      <w:pPr>
        <w:pStyle w:val="paragraphsub"/>
      </w:pPr>
      <w:r w:rsidRPr="00686C2A">
        <w:tab/>
        <w:t>(ii)</w:t>
      </w:r>
      <w:r w:rsidRPr="00686C2A">
        <w:tab/>
        <w:t xml:space="preserve">the lifecycle stage of the </w:t>
      </w:r>
      <w:proofErr w:type="spellStart"/>
      <w:r w:rsidRPr="00686C2A">
        <w:t>MySuper</w:t>
      </w:r>
      <w:proofErr w:type="spellEnd"/>
      <w:r w:rsidRPr="00686C2A">
        <w:t xml:space="preserve"> product and an equivalent stage of a predecessor product have been offered for a total of at least 10 financial years; or</w:t>
      </w:r>
    </w:p>
    <w:p w:rsidR="00DC749C" w:rsidRPr="00686C2A" w:rsidRDefault="00DC749C" w:rsidP="00DC749C">
      <w:pPr>
        <w:pStyle w:val="paragraph"/>
      </w:pPr>
      <w:r w:rsidRPr="00686C2A">
        <w:tab/>
        <w:t>(b)</w:t>
      </w:r>
      <w:r w:rsidRPr="00686C2A">
        <w:tab/>
        <w:t>the offering period.</w:t>
      </w:r>
    </w:p>
    <w:p w:rsidR="00DC749C" w:rsidRPr="00686C2A" w:rsidRDefault="00DC749C" w:rsidP="00091AAF">
      <w:pPr>
        <w:pStyle w:val="ActHead5"/>
      </w:pPr>
      <w:bookmarkStart w:id="78" w:name="_Toc359591571"/>
      <w:r w:rsidRPr="00686C2A">
        <w:rPr>
          <w:rStyle w:val="CharSectno"/>
        </w:rPr>
        <w:lastRenderedPageBreak/>
        <w:t>7.9.07T</w:t>
      </w:r>
      <w:r w:rsidRPr="00686C2A">
        <w:t xml:space="preserve">  Product dashboard—comparison between return target and return</w:t>
      </w:r>
      <w:bookmarkEnd w:id="78"/>
    </w:p>
    <w:p w:rsidR="00DC749C" w:rsidRPr="00686C2A" w:rsidRDefault="00DC749C" w:rsidP="00DC749C">
      <w:pPr>
        <w:pStyle w:val="SubsectionHead"/>
      </w:pPr>
      <w:proofErr w:type="spellStart"/>
      <w:r w:rsidRPr="00686C2A">
        <w:t>MySuper</w:t>
      </w:r>
      <w:proofErr w:type="spellEnd"/>
      <w:r w:rsidRPr="00686C2A">
        <w:t xml:space="preserve"> product other</w:t>
      </w:r>
      <w:r w:rsidR="005038B6" w:rsidRPr="00686C2A">
        <w:t xml:space="preserve"> than lifecycle </w:t>
      </w:r>
      <w:proofErr w:type="spellStart"/>
      <w:r w:rsidR="005038B6" w:rsidRPr="00686C2A">
        <w:t>MySuper</w:t>
      </w:r>
      <w:proofErr w:type="spellEnd"/>
      <w:r w:rsidR="005038B6" w:rsidRPr="00686C2A">
        <w:t xml:space="preserve"> product</w:t>
      </w:r>
    </w:p>
    <w:p w:rsidR="00DC749C" w:rsidRPr="00686C2A" w:rsidRDefault="00DC749C" w:rsidP="00DC749C">
      <w:pPr>
        <w:pStyle w:val="subsection"/>
      </w:pPr>
      <w:r w:rsidRPr="00686C2A">
        <w:tab/>
        <w:t>(1)</w:t>
      </w:r>
      <w:r w:rsidRPr="00686C2A">
        <w:tab/>
        <w:t xml:space="preserve">The comparison between the return target and the return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(2)</w:t>
      </w:r>
      <w:r w:rsidRPr="00686C2A">
        <w:tab/>
        <w:t>The period in relation to which the comparison must be worked out is:</w:t>
      </w:r>
    </w:p>
    <w:p w:rsidR="00DC749C" w:rsidRPr="00686C2A" w:rsidRDefault="00DC749C" w:rsidP="00DC749C">
      <w:pPr>
        <w:pStyle w:val="paragraph"/>
      </w:pPr>
      <w:r w:rsidRPr="00686C2A">
        <w:tab/>
        <w:t>(a)</w:t>
      </w:r>
      <w:r w:rsidRPr="00686C2A">
        <w:tab/>
        <w:t>the last 10 whole financial years, if:</w:t>
      </w:r>
    </w:p>
    <w:p w:rsidR="00DC749C" w:rsidRPr="00686C2A" w:rsidRDefault="00DC749C" w:rsidP="00DC749C">
      <w:pPr>
        <w:pStyle w:val="paragraphsub"/>
      </w:pPr>
      <w:r w:rsidRPr="00686C2A">
        <w:tab/>
        <w:t>(</w:t>
      </w:r>
      <w:proofErr w:type="spellStart"/>
      <w:r w:rsidRPr="00686C2A">
        <w:t>i</w:t>
      </w:r>
      <w:proofErr w:type="spellEnd"/>
      <w:r w:rsidRPr="00686C2A">
        <w:t>)</w:t>
      </w:r>
      <w:r w:rsidRPr="00686C2A">
        <w:tab/>
        <w:t xml:space="preserve">the </w:t>
      </w:r>
      <w:proofErr w:type="spellStart"/>
      <w:r w:rsidRPr="00686C2A">
        <w:t>MySuper</w:t>
      </w:r>
      <w:proofErr w:type="spellEnd"/>
      <w:r w:rsidRPr="00686C2A">
        <w:t xml:space="preserve"> product has been offered for at least 10 financial years; or</w:t>
      </w:r>
    </w:p>
    <w:p w:rsidR="00DC749C" w:rsidRPr="00686C2A" w:rsidRDefault="00DC749C" w:rsidP="00DC749C">
      <w:pPr>
        <w:pStyle w:val="paragraphsub"/>
      </w:pPr>
      <w:r w:rsidRPr="00686C2A">
        <w:tab/>
        <w:t>(ii)</w:t>
      </w:r>
      <w:r w:rsidRPr="00686C2A">
        <w:tab/>
        <w:t xml:space="preserve">the </w:t>
      </w:r>
      <w:proofErr w:type="spellStart"/>
      <w:r w:rsidRPr="00686C2A">
        <w:t>MySuper</w:t>
      </w:r>
      <w:proofErr w:type="spellEnd"/>
      <w:r w:rsidRPr="00686C2A">
        <w:t xml:space="preserve"> product and a predecessor product, or a lifecycle stage have been offered for a total of at least 10 financial years; or</w:t>
      </w:r>
    </w:p>
    <w:p w:rsidR="00DC749C" w:rsidRPr="00686C2A" w:rsidRDefault="00DC749C" w:rsidP="00DC749C">
      <w:pPr>
        <w:pStyle w:val="paragraph"/>
      </w:pPr>
      <w:r w:rsidRPr="00686C2A">
        <w:tab/>
        <w:t>(b)</w:t>
      </w:r>
      <w:r w:rsidRPr="00686C2A">
        <w:tab/>
        <w:t>the offering period.</w:t>
      </w:r>
    </w:p>
    <w:p w:rsidR="00DC749C" w:rsidRPr="00686C2A" w:rsidRDefault="005038B6" w:rsidP="00DC749C">
      <w:pPr>
        <w:pStyle w:val="SubsectionHead"/>
      </w:pPr>
      <w:r w:rsidRPr="00686C2A">
        <w:t xml:space="preserve">Lifecycle </w:t>
      </w:r>
      <w:proofErr w:type="spellStart"/>
      <w:r w:rsidRPr="00686C2A">
        <w:t>MySuper</w:t>
      </w:r>
      <w:proofErr w:type="spellEnd"/>
      <w:r w:rsidRPr="00686C2A">
        <w:t xml:space="preserve"> product</w:t>
      </w:r>
    </w:p>
    <w:p w:rsidR="00DC749C" w:rsidRPr="00686C2A" w:rsidRDefault="00DC749C" w:rsidP="00DC749C">
      <w:pPr>
        <w:pStyle w:val="subsection"/>
      </w:pPr>
      <w:r w:rsidRPr="00686C2A">
        <w:tab/>
        <w:t>(3)</w:t>
      </w:r>
      <w:r w:rsidRPr="00686C2A">
        <w:tab/>
        <w:t xml:space="preserve">The comparison between the return target and the return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(4)</w:t>
      </w:r>
      <w:r w:rsidRPr="00686C2A">
        <w:tab/>
        <w:t xml:space="preserve">The period in relation to which the comparison </w:t>
      </w:r>
      <w:r w:rsidR="00C65D77" w:rsidRPr="00686C2A">
        <w:t xml:space="preserve">in relation to a lifecycle stage of a </w:t>
      </w:r>
      <w:proofErr w:type="spellStart"/>
      <w:r w:rsidR="00C65D77" w:rsidRPr="00686C2A">
        <w:t>MySuper</w:t>
      </w:r>
      <w:proofErr w:type="spellEnd"/>
      <w:r w:rsidR="00C65D77" w:rsidRPr="00686C2A">
        <w:t xml:space="preserve"> product </w:t>
      </w:r>
      <w:r w:rsidRPr="00686C2A">
        <w:t>must be worked out is:</w:t>
      </w:r>
    </w:p>
    <w:p w:rsidR="00DC749C" w:rsidRPr="00686C2A" w:rsidRDefault="00DC749C" w:rsidP="00DC749C">
      <w:pPr>
        <w:pStyle w:val="paragraph"/>
      </w:pPr>
      <w:r w:rsidRPr="00686C2A">
        <w:tab/>
        <w:t>(a)</w:t>
      </w:r>
      <w:r w:rsidRPr="00686C2A">
        <w:tab/>
        <w:t>the last 10 whole financial years, if:</w:t>
      </w:r>
    </w:p>
    <w:p w:rsidR="00DC749C" w:rsidRPr="00686C2A" w:rsidRDefault="00DC749C" w:rsidP="00DC749C">
      <w:pPr>
        <w:pStyle w:val="paragraphsub"/>
      </w:pPr>
      <w:r w:rsidRPr="00686C2A">
        <w:tab/>
        <w:t>(</w:t>
      </w:r>
      <w:proofErr w:type="spellStart"/>
      <w:r w:rsidRPr="00686C2A">
        <w:t>i</w:t>
      </w:r>
      <w:proofErr w:type="spellEnd"/>
      <w:r w:rsidRPr="00686C2A">
        <w:t>)</w:t>
      </w:r>
      <w:r w:rsidRPr="00686C2A">
        <w:tab/>
        <w:t xml:space="preserve">the lifecycle stage of the </w:t>
      </w:r>
      <w:proofErr w:type="spellStart"/>
      <w:r w:rsidRPr="00686C2A">
        <w:t>MySuper</w:t>
      </w:r>
      <w:proofErr w:type="spellEnd"/>
      <w:r w:rsidRPr="00686C2A">
        <w:t xml:space="preserve"> product has been offered for at least 10 financial years; or</w:t>
      </w:r>
    </w:p>
    <w:p w:rsidR="00DC749C" w:rsidRPr="00686C2A" w:rsidRDefault="00DC749C" w:rsidP="00DC749C">
      <w:pPr>
        <w:pStyle w:val="paragraphsub"/>
      </w:pPr>
      <w:r w:rsidRPr="00686C2A">
        <w:tab/>
        <w:t>(ii)</w:t>
      </w:r>
      <w:r w:rsidRPr="00686C2A">
        <w:tab/>
        <w:t xml:space="preserve">the lifecycle stage of the </w:t>
      </w:r>
      <w:proofErr w:type="spellStart"/>
      <w:r w:rsidRPr="00686C2A">
        <w:t>MySuper</w:t>
      </w:r>
      <w:proofErr w:type="spellEnd"/>
      <w:r w:rsidRPr="00686C2A">
        <w:t xml:space="preserve"> product and an equivalent stage of a predecessor product have been offered for a total of at least 10 financial years; or</w:t>
      </w:r>
    </w:p>
    <w:p w:rsidR="00DC749C" w:rsidRPr="00686C2A" w:rsidRDefault="00DC749C" w:rsidP="00DC749C">
      <w:pPr>
        <w:pStyle w:val="paragraph"/>
      </w:pPr>
      <w:r w:rsidRPr="00686C2A">
        <w:tab/>
        <w:t>(b)</w:t>
      </w:r>
      <w:r w:rsidRPr="00686C2A">
        <w:tab/>
        <w:t>the offering period.</w:t>
      </w:r>
    </w:p>
    <w:p w:rsidR="00DC749C" w:rsidRPr="00686C2A" w:rsidRDefault="00DC749C" w:rsidP="00DC749C">
      <w:pPr>
        <w:pStyle w:val="ActHead5"/>
      </w:pPr>
      <w:bookmarkStart w:id="79" w:name="_Toc359591572"/>
      <w:r w:rsidRPr="00686C2A">
        <w:rPr>
          <w:rStyle w:val="CharSectno"/>
        </w:rPr>
        <w:lastRenderedPageBreak/>
        <w:t>7.9.07U</w:t>
      </w:r>
      <w:r w:rsidRPr="00686C2A">
        <w:t xml:space="preserve">  Comparison to be set out as a graph</w:t>
      </w:r>
      <w:bookmarkEnd w:id="79"/>
    </w:p>
    <w:p w:rsidR="00DC749C" w:rsidRPr="00686C2A" w:rsidRDefault="00DC749C" w:rsidP="00DC749C">
      <w:pPr>
        <w:pStyle w:val="subsection"/>
      </w:pPr>
      <w:r w:rsidRPr="00686C2A">
        <w:tab/>
        <w:t>(1)</w:t>
      </w:r>
      <w:r w:rsidRPr="00686C2A">
        <w:tab/>
        <w:t>A product dashboard must set out a comparison mentioned in regulation</w:t>
      </w:r>
      <w:r w:rsidR="00686C2A" w:rsidRPr="00686C2A">
        <w:t> </w:t>
      </w:r>
      <w:r w:rsidRPr="00686C2A">
        <w:t>7.9.07T as a graph.</w:t>
      </w:r>
    </w:p>
    <w:p w:rsidR="00DC749C" w:rsidRPr="00686C2A" w:rsidRDefault="00DC749C" w:rsidP="00DC749C">
      <w:pPr>
        <w:pStyle w:val="subsection"/>
      </w:pPr>
      <w:r w:rsidRPr="00686C2A">
        <w:tab/>
        <w:t>(2)</w:t>
      </w:r>
      <w:r w:rsidRPr="00686C2A">
        <w:tab/>
        <w:t>The graph must contain:</w:t>
      </w:r>
    </w:p>
    <w:p w:rsidR="00DC749C" w:rsidRPr="00686C2A" w:rsidRDefault="00DC749C" w:rsidP="00DC749C">
      <w:pPr>
        <w:pStyle w:val="paragraph"/>
      </w:pPr>
      <w:r w:rsidRPr="00686C2A">
        <w:t xml:space="preserve"> </w:t>
      </w:r>
      <w:r w:rsidRPr="00686C2A">
        <w:tab/>
        <w:t>(a)</w:t>
      </w:r>
      <w:r w:rsidRPr="00686C2A">
        <w:tab/>
        <w:t>a column representing the return for each year in the comparison period; and</w:t>
      </w:r>
    </w:p>
    <w:p w:rsidR="00DC749C" w:rsidRPr="00686C2A" w:rsidRDefault="00DC749C" w:rsidP="00DC749C">
      <w:pPr>
        <w:pStyle w:val="paragraph"/>
      </w:pPr>
      <w:r w:rsidRPr="00686C2A">
        <w:tab/>
        <w:t>(b)</w:t>
      </w:r>
      <w:r w:rsidRPr="00686C2A">
        <w:tab/>
        <w:t>a line representing the moving average return target for the comparison period; and</w:t>
      </w:r>
    </w:p>
    <w:p w:rsidR="00DC749C" w:rsidRPr="00686C2A" w:rsidRDefault="00DC749C" w:rsidP="00DC749C">
      <w:pPr>
        <w:pStyle w:val="paragraph"/>
      </w:pPr>
      <w:r w:rsidRPr="00686C2A">
        <w:tab/>
        <w:t>(c)</w:t>
      </w:r>
      <w:r w:rsidRPr="00686C2A">
        <w:tab/>
        <w:t>a line representing the moving average return for the comparison period.</w:t>
      </w:r>
    </w:p>
    <w:p w:rsidR="00DC749C" w:rsidRPr="00686C2A" w:rsidRDefault="00DC749C" w:rsidP="00DC749C">
      <w:pPr>
        <w:pStyle w:val="subsection"/>
      </w:pPr>
      <w:r w:rsidRPr="00686C2A">
        <w:tab/>
        <w:t>(3)</w:t>
      </w:r>
      <w:r w:rsidRPr="00686C2A">
        <w:tab/>
        <w:t xml:space="preserve">The column and the lines mentioned in </w:t>
      </w:r>
      <w:proofErr w:type="spellStart"/>
      <w:r w:rsidRPr="00686C2A">
        <w:t>subregulation</w:t>
      </w:r>
      <w:proofErr w:type="spellEnd"/>
      <w:r w:rsidRPr="00686C2A">
        <w:t xml:space="preserve"> (2) must be identified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(4)</w:t>
      </w:r>
      <w:r w:rsidRPr="00686C2A">
        <w:tab/>
        <w:t>In this regulation:</w:t>
      </w:r>
    </w:p>
    <w:p w:rsidR="00DC749C" w:rsidRPr="00686C2A" w:rsidRDefault="00DC749C" w:rsidP="00DC749C">
      <w:pPr>
        <w:pStyle w:val="Definition"/>
      </w:pPr>
      <w:r w:rsidRPr="00686C2A">
        <w:rPr>
          <w:b/>
          <w:i/>
        </w:rPr>
        <w:t>comparison period</w:t>
      </w:r>
      <w:r w:rsidRPr="00686C2A">
        <w:t xml:space="preserve"> means the period mentioned in </w:t>
      </w:r>
      <w:proofErr w:type="spellStart"/>
      <w:r w:rsidRPr="00686C2A">
        <w:t>subregulation</w:t>
      </w:r>
      <w:proofErr w:type="spellEnd"/>
      <w:r w:rsidR="00686C2A" w:rsidRPr="00686C2A">
        <w:t> </w:t>
      </w:r>
      <w:r w:rsidRPr="00686C2A">
        <w:t>7.9.07S(3) that is applicable in the circumstances.</w:t>
      </w:r>
    </w:p>
    <w:p w:rsidR="00DC749C" w:rsidRPr="00686C2A" w:rsidRDefault="00DC749C" w:rsidP="00DC749C">
      <w:pPr>
        <w:pStyle w:val="Definition"/>
      </w:pPr>
      <w:r w:rsidRPr="00686C2A">
        <w:rPr>
          <w:b/>
          <w:i/>
        </w:rPr>
        <w:t>moving average return</w:t>
      </w:r>
      <w:r w:rsidRPr="00686C2A">
        <w:t xml:space="preserve"> has the meaning given by the </w:t>
      </w:r>
      <w:proofErr w:type="spellStart"/>
      <w:r w:rsidRPr="00686C2A">
        <w:t>MySuper</w:t>
      </w:r>
      <w:proofErr w:type="spellEnd"/>
      <w:r w:rsidRPr="00686C2A">
        <w:t xml:space="preserve"> product </w:t>
      </w:r>
      <w:r w:rsidR="00B12313" w:rsidRPr="00686C2A">
        <w:t xml:space="preserve">dashboard </w:t>
      </w:r>
      <w:r w:rsidRPr="00686C2A">
        <w:t>reporting standards.</w:t>
      </w:r>
    </w:p>
    <w:p w:rsidR="00DC749C" w:rsidRPr="00686C2A" w:rsidRDefault="00DC749C" w:rsidP="00DC749C">
      <w:pPr>
        <w:pStyle w:val="Definition"/>
      </w:pPr>
      <w:r w:rsidRPr="00686C2A">
        <w:rPr>
          <w:b/>
          <w:i/>
        </w:rPr>
        <w:t>moving average return target</w:t>
      </w:r>
      <w:r w:rsidRPr="00686C2A">
        <w:t xml:space="preserve"> has the meaning given by the </w:t>
      </w:r>
      <w:proofErr w:type="spellStart"/>
      <w:r w:rsidRPr="00686C2A">
        <w:t>MySuper</w:t>
      </w:r>
      <w:proofErr w:type="spellEnd"/>
      <w:r w:rsidRPr="00686C2A">
        <w:t xml:space="preserve"> product </w:t>
      </w:r>
      <w:r w:rsidR="00B12313" w:rsidRPr="00686C2A">
        <w:t xml:space="preserve">dashboard </w:t>
      </w:r>
      <w:r w:rsidRPr="00686C2A">
        <w:t>reporting standards.</w:t>
      </w:r>
    </w:p>
    <w:p w:rsidR="00DC749C" w:rsidRPr="00686C2A" w:rsidRDefault="00DC749C" w:rsidP="00DC749C">
      <w:pPr>
        <w:pStyle w:val="ActHead5"/>
      </w:pPr>
      <w:bookmarkStart w:id="80" w:name="_Toc359591573"/>
      <w:r w:rsidRPr="00686C2A">
        <w:rPr>
          <w:rStyle w:val="CharSectno"/>
        </w:rPr>
        <w:t>7.9.07V</w:t>
      </w:r>
      <w:r w:rsidRPr="00686C2A">
        <w:t xml:space="preserve">  Product dashboard—level of investment risk</w:t>
      </w:r>
      <w:bookmarkEnd w:id="80"/>
    </w:p>
    <w:p w:rsidR="00DC749C" w:rsidRPr="00686C2A" w:rsidRDefault="00DC749C" w:rsidP="00DC749C">
      <w:pPr>
        <w:pStyle w:val="subsection"/>
      </w:pPr>
      <w:r w:rsidRPr="00686C2A">
        <w:tab/>
        <w:t>(1)</w:t>
      </w:r>
      <w:r w:rsidRPr="00686C2A">
        <w:tab/>
        <w:t xml:space="preserve">The level of investment risk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(2)</w:t>
      </w:r>
      <w:r w:rsidRPr="00686C2A">
        <w:tab/>
        <w:t xml:space="preserve">The level of investment risk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(3)</w:t>
      </w:r>
      <w:r w:rsidRPr="00686C2A">
        <w:tab/>
        <w:t xml:space="preserve">The level of investment risk must be expressed using the relevant risk label set out in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lastRenderedPageBreak/>
        <w:tab/>
        <w:t>(4)</w:t>
      </w:r>
      <w:r w:rsidRPr="00686C2A">
        <w:tab/>
        <w:t>The period in relation to which the level of investment risk must be worked out is the current financial year.</w:t>
      </w:r>
    </w:p>
    <w:p w:rsidR="00DC749C" w:rsidRPr="00686C2A" w:rsidRDefault="00DC749C" w:rsidP="00DC749C">
      <w:pPr>
        <w:pStyle w:val="ActHead5"/>
      </w:pPr>
      <w:bookmarkStart w:id="81" w:name="_Toc359591574"/>
      <w:r w:rsidRPr="00686C2A">
        <w:rPr>
          <w:rStyle w:val="CharSectno"/>
        </w:rPr>
        <w:t>7.9.07W</w:t>
      </w:r>
      <w:r w:rsidRPr="00686C2A">
        <w:t xml:space="preserve">  Product dashboard—statement of fees and other costs</w:t>
      </w:r>
      <w:bookmarkEnd w:id="81"/>
    </w:p>
    <w:p w:rsidR="00DC749C" w:rsidRPr="00686C2A" w:rsidRDefault="00DC749C" w:rsidP="00DC749C">
      <w:pPr>
        <w:pStyle w:val="subsection"/>
      </w:pPr>
      <w:r w:rsidRPr="00686C2A">
        <w:tab/>
        <w:t>(1)</w:t>
      </w:r>
      <w:r w:rsidRPr="00686C2A">
        <w:tab/>
        <w:t xml:space="preserve">The statement of fees and other costs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(2)</w:t>
      </w:r>
      <w:r w:rsidRPr="00686C2A">
        <w:tab/>
        <w:t xml:space="preserve">The statement of fees and other costs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DC749C" w:rsidRPr="00686C2A" w:rsidRDefault="00DC749C" w:rsidP="00DC749C">
      <w:pPr>
        <w:pStyle w:val="subsection"/>
      </w:pPr>
      <w:r w:rsidRPr="00686C2A">
        <w:tab/>
        <w:t>(3)</w:t>
      </w:r>
      <w:r w:rsidRPr="00686C2A">
        <w:tab/>
        <w:t>The period in relation to which the statement of fees and other costs must be worked out is the current financial year.</w:t>
      </w:r>
    </w:p>
    <w:p w:rsidR="00DC749C" w:rsidRPr="00686C2A" w:rsidRDefault="00DC749C" w:rsidP="00DC749C">
      <w:pPr>
        <w:pStyle w:val="subsection"/>
      </w:pPr>
      <w:r w:rsidRPr="00686C2A">
        <w:tab/>
        <w:t>(4)</w:t>
      </w:r>
      <w:r w:rsidRPr="00686C2A">
        <w:tab/>
        <w:t>For paragraph</w:t>
      </w:r>
      <w:r w:rsidR="00686C2A" w:rsidRPr="00686C2A">
        <w:t> </w:t>
      </w:r>
      <w:r w:rsidRPr="00686C2A">
        <w:t>1017BA(1)(c) of the Act, the period is 14 days after a change to the fees or other costs.</w:t>
      </w:r>
    </w:p>
    <w:p w:rsidR="00104BD6" w:rsidRPr="00686C2A" w:rsidRDefault="00805112" w:rsidP="00104BD6">
      <w:pPr>
        <w:pStyle w:val="ItemHead"/>
      </w:pPr>
      <w:r w:rsidRPr="00686C2A">
        <w:t>4</w:t>
      </w:r>
      <w:r w:rsidR="00104BD6" w:rsidRPr="00686C2A">
        <w:t xml:space="preserve">  Regulation</w:t>
      </w:r>
      <w:r w:rsidR="00686C2A" w:rsidRPr="00686C2A">
        <w:t> </w:t>
      </w:r>
      <w:r w:rsidR="00104BD6" w:rsidRPr="00686C2A">
        <w:t>7.9.48</w:t>
      </w:r>
    </w:p>
    <w:p w:rsidR="00104BD6" w:rsidRPr="00686C2A" w:rsidRDefault="00104BD6" w:rsidP="00104BD6">
      <w:pPr>
        <w:pStyle w:val="Item"/>
      </w:pPr>
      <w:r w:rsidRPr="00686C2A">
        <w:t>Repeal the regulation, substitute:</w:t>
      </w:r>
    </w:p>
    <w:p w:rsidR="00104BD6" w:rsidRPr="00686C2A" w:rsidRDefault="00104BD6" w:rsidP="00104BD6">
      <w:pPr>
        <w:pStyle w:val="ActHead5"/>
      </w:pPr>
      <w:bookmarkStart w:id="82" w:name="_Toc359591575"/>
      <w:r w:rsidRPr="00686C2A">
        <w:rPr>
          <w:rStyle w:val="CharSectno"/>
        </w:rPr>
        <w:t>7.9.48</w:t>
      </w:r>
      <w:r w:rsidRPr="00686C2A">
        <w:t xml:space="preserve">  Source of power for this Subdivision</w:t>
      </w:r>
      <w:bookmarkEnd w:id="82"/>
    </w:p>
    <w:p w:rsidR="00104BD6" w:rsidRPr="00686C2A" w:rsidRDefault="00104BD6" w:rsidP="00104BD6">
      <w:pPr>
        <w:pStyle w:val="subsection"/>
      </w:pPr>
      <w:r w:rsidRPr="00686C2A">
        <w:tab/>
      </w:r>
      <w:r w:rsidRPr="00686C2A">
        <w:tab/>
        <w:t>This Subdivision is made for section</w:t>
      </w:r>
      <w:r w:rsidR="00686C2A" w:rsidRPr="00686C2A">
        <w:t> </w:t>
      </w:r>
      <w:r w:rsidRPr="00686C2A">
        <w:t>1017DA of the Act.</w:t>
      </w:r>
    </w:p>
    <w:p w:rsidR="00104BD6" w:rsidRPr="00686C2A" w:rsidRDefault="00104BD6" w:rsidP="00104BD6">
      <w:pPr>
        <w:pStyle w:val="ActHead5"/>
      </w:pPr>
      <w:bookmarkStart w:id="83" w:name="_Toc359591576"/>
      <w:r w:rsidRPr="00686C2A">
        <w:rPr>
          <w:rStyle w:val="CharSectno"/>
        </w:rPr>
        <w:t>7.9.48A</w:t>
      </w:r>
      <w:r w:rsidRPr="00686C2A">
        <w:t xml:space="preserve">  Definitions</w:t>
      </w:r>
      <w:bookmarkEnd w:id="83"/>
    </w:p>
    <w:p w:rsidR="00104BD6" w:rsidRPr="00686C2A" w:rsidRDefault="00104BD6" w:rsidP="00104BD6">
      <w:pPr>
        <w:pStyle w:val="subsection"/>
      </w:pPr>
      <w:r w:rsidRPr="00686C2A">
        <w:tab/>
      </w:r>
      <w:r w:rsidRPr="00686C2A">
        <w:tab/>
        <w:t>In this Subdivision:</w:t>
      </w:r>
    </w:p>
    <w:p w:rsidR="00104BD6" w:rsidRPr="00686C2A" w:rsidRDefault="00104BD6" w:rsidP="00104BD6">
      <w:pPr>
        <w:pStyle w:val="Definition"/>
      </w:pPr>
      <w:r w:rsidRPr="00686C2A">
        <w:rPr>
          <w:b/>
          <w:i/>
        </w:rPr>
        <w:t>decision</w:t>
      </w:r>
      <w:r w:rsidR="00686C2A">
        <w:rPr>
          <w:b/>
          <w:i/>
        </w:rPr>
        <w:noBreakHyphen/>
      </w:r>
      <w:r w:rsidRPr="00686C2A">
        <w:rPr>
          <w:b/>
          <w:i/>
        </w:rPr>
        <w:t>maker</w:t>
      </w:r>
      <w:r w:rsidRPr="00686C2A">
        <w:t xml:space="preserve"> means:</w:t>
      </w:r>
    </w:p>
    <w:p w:rsidR="00104BD6" w:rsidRPr="00686C2A" w:rsidRDefault="00104BD6" w:rsidP="00104BD6">
      <w:pPr>
        <w:pStyle w:val="paragraph"/>
      </w:pPr>
      <w:r w:rsidRPr="00686C2A">
        <w:tab/>
        <w:t>(a)</w:t>
      </w:r>
      <w:r w:rsidRPr="00686C2A">
        <w:tab/>
        <w:t>the trustee of a regulated superannuation fund or approved deposit fund; or</w:t>
      </w:r>
    </w:p>
    <w:p w:rsidR="00104BD6" w:rsidRPr="00686C2A" w:rsidRDefault="00104BD6" w:rsidP="00104BD6">
      <w:pPr>
        <w:pStyle w:val="paragraph"/>
      </w:pPr>
      <w:r w:rsidRPr="00686C2A">
        <w:tab/>
        <w:t>(b)</w:t>
      </w:r>
      <w:r w:rsidRPr="00686C2A">
        <w:tab/>
        <w:t xml:space="preserve">an </w:t>
      </w:r>
      <w:proofErr w:type="spellStart"/>
      <w:r w:rsidRPr="00686C2A">
        <w:t>RSA</w:t>
      </w:r>
      <w:proofErr w:type="spellEnd"/>
      <w:r w:rsidRPr="00686C2A">
        <w:t xml:space="preserve"> provider.</w:t>
      </w:r>
    </w:p>
    <w:p w:rsidR="00104BD6" w:rsidRPr="00686C2A" w:rsidRDefault="00104BD6" w:rsidP="00104BD6">
      <w:pPr>
        <w:pStyle w:val="Definition"/>
      </w:pPr>
      <w:r w:rsidRPr="00686C2A">
        <w:rPr>
          <w:b/>
          <w:i/>
        </w:rPr>
        <w:t>eligible person</w:t>
      </w:r>
      <w:r w:rsidRPr="00686C2A">
        <w:t xml:space="preserve"> means any of the following:</w:t>
      </w:r>
    </w:p>
    <w:p w:rsidR="00104BD6" w:rsidRPr="00686C2A" w:rsidRDefault="00104BD6" w:rsidP="00104BD6">
      <w:pPr>
        <w:pStyle w:val="paragraph"/>
      </w:pPr>
      <w:r w:rsidRPr="00686C2A">
        <w:tab/>
        <w:t>(a)</w:t>
      </w:r>
      <w:r w:rsidRPr="00686C2A">
        <w:tab/>
        <w:t>a beneficiary of a relevant entity;</w:t>
      </w:r>
    </w:p>
    <w:p w:rsidR="00104BD6" w:rsidRPr="00686C2A" w:rsidRDefault="00104BD6" w:rsidP="00104BD6">
      <w:pPr>
        <w:pStyle w:val="paragraph"/>
      </w:pPr>
      <w:r w:rsidRPr="00686C2A">
        <w:tab/>
        <w:t>(b)</w:t>
      </w:r>
      <w:r w:rsidRPr="00686C2A">
        <w:tab/>
        <w:t>a former beneficiary of a relevant entity;</w:t>
      </w:r>
    </w:p>
    <w:p w:rsidR="00104BD6" w:rsidRPr="00686C2A" w:rsidRDefault="00104BD6" w:rsidP="00104BD6">
      <w:pPr>
        <w:pStyle w:val="paragraph"/>
      </w:pPr>
      <w:r w:rsidRPr="00686C2A">
        <w:lastRenderedPageBreak/>
        <w:tab/>
        <w:t>(c)</w:t>
      </w:r>
      <w:r w:rsidRPr="00686C2A">
        <w:tab/>
        <w:t>the executor or administrator of the estate of a former beneficiary of a relevant entity;</w:t>
      </w:r>
    </w:p>
    <w:p w:rsidR="00104BD6" w:rsidRPr="00686C2A" w:rsidRDefault="00104BD6" w:rsidP="00104BD6">
      <w:pPr>
        <w:pStyle w:val="paragraph"/>
      </w:pPr>
      <w:r w:rsidRPr="00686C2A">
        <w:tab/>
        <w:t>(d)</w:t>
      </w:r>
      <w:r w:rsidRPr="00686C2A">
        <w:tab/>
        <w:t>for a complaint that relates to the payment of a death benefit—a person who:</w:t>
      </w:r>
    </w:p>
    <w:p w:rsidR="00104BD6" w:rsidRPr="00686C2A" w:rsidRDefault="00104BD6" w:rsidP="00104BD6">
      <w:pPr>
        <w:pStyle w:val="paragraphsub"/>
      </w:pPr>
      <w:r w:rsidRPr="00686C2A">
        <w:tab/>
        <w:t>(</w:t>
      </w:r>
      <w:proofErr w:type="spellStart"/>
      <w:r w:rsidRPr="00686C2A">
        <w:t>i</w:t>
      </w:r>
      <w:proofErr w:type="spellEnd"/>
      <w:r w:rsidRPr="00686C2A">
        <w:t>)</w:t>
      </w:r>
      <w:r w:rsidRPr="00686C2A">
        <w:tab/>
        <w:t>has an interest in the death benefit; or</w:t>
      </w:r>
    </w:p>
    <w:p w:rsidR="00104BD6" w:rsidRPr="00686C2A" w:rsidRDefault="00104BD6" w:rsidP="00104BD6">
      <w:pPr>
        <w:pStyle w:val="paragraphsub"/>
      </w:pPr>
      <w:r w:rsidRPr="00686C2A">
        <w:tab/>
        <w:t>(ii)</w:t>
      </w:r>
      <w:r w:rsidRPr="00686C2A">
        <w:tab/>
        <w:t xml:space="preserve">claims to be, or to be entitled to death benefits through, a person mentioned in </w:t>
      </w:r>
      <w:r w:rsidR="00686C2A" w:rsidRPr="00686C2A">
        <w:t>subparagraph (</w:t>
      </w:r>
      <w:proofErr w:type="spellStart"/>
      <w:r w:rsidRPr="00686C2A">
        <w:t>i</w:t>
      </w:r>
      <w:proofErr w:type="spellEnd"/>
      <w:r w:rsidRPr="00686C2A">
        <w:t>).</w:t>
      </w:r>
    </w:p>
    <w:p w:rsidR="00104BD6" w:rsidRPr="00686C2A" w:rsidRDefault="00104BD6" w:rsidP="00104BD6">
      <w:pPr>
        <w:pStyle w:val="Definition"/>
      </w:pPr>
      <w:r w:rsidRPr="00686C2A">
        <w:rPr>
          <w:b/>
          <w:i/>
        </w:rPr>
        <w:t>relevant entity</w:t>
      </w:r>
      <w:r w:rsidRPr="00686C2A">
        <w:t xml:space="preserve"> means any of the following:</w:t>
      </w:r>
    </w:p>
    <w:p w:rsidR="00104BD6" w:rsidRPr="00686C2A" w:rsidRDefault="00104BD6" w:rsidP="00104BD6">
      <w:pPr>
        <w:pStyle w:val="paragraph"/>
      </w:pPr>
      <w:r w:rsidRPr="00686C2A">
        <w:tab/>
        <w:t>(a)</w:t>
      </w:r>
      <w:r w:rsidRPr="00686C2A">
        <w:tab/>
        <w:t>a regulated superannuation fund;</w:t>
      </w:r>
    </w:p>
    <w:p w:rsidR="00104BD6" w:rsidRPr="00686C2A" w:rsidRDefault="00104BD6" w:rsidP="00104BD6">
      <w:pPr>
        <w:pStyle w:val="paragraph"/>
      </w:pPr>
      <w:r w:rsidRPr="00686C2A">
        <w:tab/>
        <w:t>(b)</w:t>
      </w:r>
      <w:r w:rsidRPr="00686C2A">
        <w:tab/>
        <w:t>an approved deposit fund;</w:t>
      </w:r>
    </w:p>
    <w:p w:rsidR="00104BD6" w:rsidRPr="00686C2A" w:rsidRDefault="00104BD6" w:rsidP="00104BD6">
      <w:pPr>
        <w:pStyle w:val="paragraph"/>
      </w:pPr>
      <w:r w:rsidRPr="00686C2A">
        <w:tab/>
        <w:t>(c)</w:t>
      </w:r>
      <w:r w:rsidRPr="00686C2A">
        <w:tab/>
        <w:t xml:space="preserve">an </w:t>
      </w:r>
      <w:proofErr w:type="spellStart"/>
      <w:r w:rsidRPr="00686C2A">
        <w:t>RSA</w:t>
      </w:r>
      <w:proofErr w:type="spellEnd"/>
      <w:r w:rsidRPr="00686C2A">
        <w:t>.</w:t>
      </w:r>
    </w:p>
    <w:p w:rsidR="00104BD6" w:rsidRPr="00686C2A" w:rsidRDefault="00104BD6" w:rsidP="00104BD6">
      <w:pPr>
        <w:pStyle w:val="ActHead5"/>
      </w:pPr>
      <w:bookmarkStart w:id="84" w:name="_Toc359591577"/>
      <w:r w:rsidRPr="00686C2A">
        <w:rPr>
          <w:rStyle w:val="CharSectno"/>
        </w:rPr>
        <w:t>7.9.48B</w:t>
      </w:r>
      <w:r w:rsidRPr="00686C2A">
        <w:t xml:space="preserve">  Complaints—general</w:t>
      </w:r>
      <w:bookmarkEnd w:id="84"/>
    </w:p>
    <w:p w:rsidR="00104BD6" w:rsidRPr="00686C2A" w:rsidRDefault="00104BD6" w:rsidP="00104BD6">
      <w:pPr>
        <w:pStyle w:val="subsection"/>
      </w:pPr>
      <w:r w:rsidRPr="00686C2A">
        <w:tab/>
        <w:t>(1)</w:t>
      </w:r>
      <w:r w:rsidRPr="00686C2A">
        <w:tab/>
        <w:t>This regulation applies to a decision</w:t>
      </w:r>
      <w:r w:rsidR="00686C2A">
        <w:noBreakHyphen/>
      </w:r>
      <w:r w:rsidRPr="00686C2A">
        <w:t>maker if:</w:t>
      </w:r>
    </w:p>
    <w:p w:rsidR="00104BD6" w:rsidRPr="00686C2A" w:rsidRDefault="00104BD6" w:rsidP="00104BD6">
      <w:pPr>
        <w:pStyle w:val="paragraph"/>
      </w:pPr>
      <w:r w:rsidRPr="00686C2A">
        <w:tab/>
        <w:t>(a)</w:t>
      </w:r>
      <w:r w:rsidRPr="00686C2A">
        <w:tab/>
        <w:t>an eligible person makes a complaint; and</w:t>
      </w:r>
    </w:p>
    <w:p w:rsidR="00104BD6" w:rsidRPr="00686C2A" w:rsidRDefault="00104BD6" w:rsidP="00104BD6">
      <w:pPr>
        <w:pStyle w:val="paragraph"/>
      </w:pPr>
      <w:r w:rsidRPr="00686C2A">
        <w:tab/>
        <w:t>(b)</w:t>
      </w:r>
      <w:r w:rsidRPr="00686C2A">
        <w:tab/>
        <w:t>the decision</w:t>
      </w:r>
      <w:r w:rsidR="00686C2A">
        <w:noBreakHyphen/>
      </w:r>
      <w:r w:rsidRPr="00686C2A">
        <w:t>maker makes a decision in relation to the complaint in accordance with the relevant entity’s internal dispute resolution mechanism.</w:t>
      </w:r>
    </w:p>
    <w:p w:rsidR="00104BD6" w:rsidRPr="00686C2A" w:rsidRDefault="00104BD6" w:rsidP="00104BD6">
      <w:pPr>
        <w:pStyle w:val="subsection"/>
      </w:pPr>
      <w:r w:rsidRPr="00686C2A">
        <w:t xml:space="preserve"> </w:t>
      </w:r>
      <w:r w:rsidRPr="00686C2A">
        <w:tab/>
        <w:t>(2)</w:t>
      </w:r>
      <w:r w:rsidRPr="00686C2A">
        <w:tab/>
        <w:t>The decision</w:t>
      </w:r>
      <w:r w:rsidR="00686C2A">
        <w:noBreakHyphen/>
      </w:r>
      <w:r w:rsidRPr="00686C2A">
        <w:t>maker must, within 30 days of making the decision, inform the eligible person:</w:t>
      </w:r>
    </w:p>
    <w:p w:rsidR="00104BD6" w:rsidRPr="00686C2A" w:rsidRDefault="00104BD6" w:rsidP="00104BD6">
      <w:pPr>
        <w:pStyle w:val="paragraph"/>
      </w:pPr>
      <w:r w:rsidRPr="00686C2A">
        <w:tab/>
        <w:t>(a)</w:t>
      </w:r>
      <w:r w:rsidRPr="00686C2A">
        <w:tab/>
        <w:t>of the date of the decision; and</w:t>
      </w:r>
    </w:p>
    <w:p w:rsidR="00104BD6" w:rsidRPr="00686C2A" w:rsidRDefault="00104BD6" w:rsidP="00104BD6">
      <w:pPr>
        <w:pStyle w:val="paragraph"/>
      </w:pPr>
      <w:r w:rsidRPr="00686C2A">
        <w:tab/>
        <w:t>(b)</w:t>
      </w:r>
      <w:r w:rsidRPr="00686C2A">
        <w:tab/>
        <w:t>about the external dispute resolution system that covers complaints by eligible persons; and</w:t>
      </w:r>
    </w:p>
    <w:p w:rsidR="00104BD6" w:rsidRPr="00686C2A" w:rsidRDefault="00104BD6" w:rsidP="00104BD6">
      <w:pPr>
        <w:pStyle w:val="paragraph"/>
      </w:pPr>
      <w:r w:rsidRPr="00686C2A">
        <w:tab/>
        <w:t>(c)</w:t>
      </w:r>
      <w:r w:rsidRPr="00686C2A">
        <w:tab/>
        <w:t>about how that system may be accessed.</w:t>
      </w:r>
    </w:p>
    <w:p w:rsidR="00104BD6" w:rsidRPr="00686C2A" w:rsidRDefault="00104BD6" w:rsidP="00104BD6">
      <w:pPr>
        <w:pStyle w:val="notetext"/>
      </w:pPr>
      <w:r w:rsidRPr="00686C2A">
        <w:t xml:space="preserve">Example: </w:t>
      </w:r>
      <w:r w:rsidRPr="00686C2A">
        <w:tab/>
        <w:t>Information about the Superannuation Complaints Tribunal.</w:t>
      </w:r>
    </w:p>
    <w:p w:rsidR="00104BD6" w:rsidRPr="00686C2A" w:rsidRDefault="00104BD6" w:rsidP="00104BD6">
      <w:pPr>
        <w:pStyle w:val="ActHead5"/>
      </w:pPr>
      <w:bookmarkStart w:id="85" w:name="_Toc359591578"/>
      <w:r w:rsidRPr="00686C2A">
        <w:rPr>
          <w:rStyle w:val="CharSectno"/>
        </w:rPr>
        <w:t>7.9.48C</w:t>
      </w:r>
      <w:r w:rsidRPr="00686C2A">
        <w:t xml:space="preserve">  Complaints about benefits other than death benefits—decision made</w:t>
      </w:r>
      <w:bookmarkEnd w:id="85"/>
    </w:p>
    <w:p w:rsidR="00104BD6" w:rsidRPr="00686C2A" w:rsidRDefault="00104BD6" w:rsidP="00104BD6">
      <w:pPr>
        <w:pStyle w:val="subsection"/>
      </w:pPr>
      <w:r w:rsidRPr="00686C2A">
        <w:tab/>
        <w:t>(1)</w:t>
      </w:r>
      <w:r w:rsidRPr="00686C2A">
        <w:tab/>
        <w:t>This regulation applies to a decision</w:t>
      </w:r>
      <w:r w:rsidR="00686C2A">
        <w:noBreakHyphen/>
      </w:r>
      <w:r w:rsidRPr="00686C2A">
        <w:t>maker if:</w:t>
      </w:r>
    </w:p>
    <w:p w:rsidR="00104BD6" w:rsidRPr="00686C2A" w:rsidRDefault="00104BD6" w:rsidP="00104BD6">
      <w:pPr>
        <w:pStyle w:val="paragraph"/>
      </w:pPr>
      <w:r w:rsidRPr="00686C2A">
        <w:tab/>
        <w:t>(a)</w:t>
      </w:r>
      <w:r w:rsidRPr="00686C2A">
        <w:tab/>
        <w:t>an eligible person makes a complaint; and</w:t>
      </w:r>
    </w:p>
    <w:p w:rsidR="00104BD6" w:rsidRPr="00686C2A" w:rsidRDefault="00104BD6" w:rsidP="00104BD6">
      <w:pPr>
        <w:pStyle w:val="paragraph"/>
      </w:pPr>
      <w:r w:rsidRPr="00686C2A">
        <w:tab/>
        <w:t>(b)</w:t>
      </w:r>
      <w:r w:rsidRPr="00686C2A">
        <w:tab/>
        <w:t>the complaint is not a complaint that relates to the payment of a death benefit; and</w:t>
      </w:r>
    </w:p>
    <w:p w:rsidR="00104BD6" w:rsidRPr="00686C2A" w:rsidRDefault="00104BD6" w:rsidP="00104BD6">
      <w:pPr>
        <w:pStyle w:val="paragraph"/>
      </w:pPr>
      <w:r w:rsidRPr="00686C2A">
        <w:lastRenderedPageBreak/>
        <w:tab/>
        <w:t>(c)</w:t>
      </w:r>
      <w:r w:rsidRPr="00686C2A">
        <w:tab/>
        <w:t>the decision</w:t>
      </w:r>
      <w:r w:rsidR="00686C2A">
        <w:noBreakHyphen/>
      </w:r>
      <w:r w:rsidRPr="00686C2A">
        <w:t>maker makes a decision in relation to the complaint in accordance with the relevant entity’s internal dispute resolution mechanism.</w:t>
      </w:r>
    </w:p>
    <w:p w:rsidR="00104BD6" w:rsidRPr="00686C2A" w:rsidRDefault="00104BD6" w:rsidP="00104BD6">
      <w:pPr>
        <w:pStyle w:val="subsection"/>
      </w:pPr>
      <w:r w:rsidRPr="00686C2A">
        <w:tab/>
        <w:t>(2)</w:t>
      </w:r>
      <w:r w:rsidRPr="00686C2A">
        <w:tab/>
        <w:t>The decision</w:t>
      </w:r>
      <w:r w:rsidR="00686C2A">
        <w:noBreakHyphen/>
      </w:r>
      <w:r w:rsidRPr="00686C2A">
        <w:t>maker must, within 30 days of making the decision, inform the eligible person:</w:t>
      </w:r>
    </w:p>
    <w:p w:rsidR="00104BD6" w:rsidRPr="00686C2A" w:rsidRDefault="00104BD6" w:rsidP="00104BD6">
      <w:pPr>
        <w:pStyle w:val="paragraph"/>
      </w:pPr>
      <w:r w:rsidRPr="00686C2A">
        <w:tab/>
        <w:t>(a)</w:t>
      </w:r>
      <w:r w:rsidRPr="00686C2A">
        <w:tab/>
        <w:t>that the eligible person may, in writing, request written reasons for the decision; and</w:t>
      </w:r>
    </w:p>
    <w:p w:rsidR="00104BD6" w:rsidRPr="00686C2A" w:rsidRDefault="00104BD6" w:rsidP="00104BD6">
      <w:pPr>
        <w:pStyle w:val="paragraph"/>
      </w:pPr>
      <w:r w:rsidRPr="00686C2A">
        <w:tab/>
        <w:t>(b)</w:t>
      </w:r>
      <w:r w:rsidRPr="00686C2A">
        <w:tab/>
        <w:t xml:space="preserve">that the reasons mentioned in </w:t>
      </w:r>
      <w:r w:rsidR="00686C2A" w:rsidRPr="00686C2A">
        <w:t>paragraph (</w:t>
      </w:r>
      <w:r w:rsidRPr="00686C2A">
        <w:t>a) must be given:</w:t>
      </w:r>
    </w:p>
    <w:p w:rsidR="00104BD6" w:rsidRPr="00686C2A" w:rsidRDefault="00104BD6" w:rsidP="00104BD6">
      <w:pPr>
        <w:pStyle w:val="paragraphsub"/>
      </w:pPr>
      <w:r w:rsidRPr="00686C2A">
        <w:tab/>
        <w:t>(</w:t>
      </w:r>
      <w:proofErr w:type="spellStart"/>
      <w:r w:rsidRPr="00686C2A">
        <w:t>i</w:t>
      </w:r>
      <w:proofErr w:type="spellEnd"/>
      <w:r w:rsidRPr="00686C2A">
        <w:t>)</w:t>
      </w:r>
      <w:r w:rsidRPr="00686C2A">
        <w:tab/>
        <w:t xml:space="preserve">within 28 days of the eligible person’s request under </w:t>
      </w:r>
      <w:r w:rsidR="00686C2A" w:rsidRPr="00686C2A">
        <w:t>paragraph (</w:t>
      </w:r>
      <w:r w:rsidRPr="00686C2A">
        <w:t>a); or</w:t>
      </w:r>
    </w:p>
    <w:p w:rsidR="00104BD6" w:rsidRPr="00686C2A" w:rsidRDefault="00104BD6" w:rsidP="00104BD6">
      <w:pPr>
        <w:pStyle w:val="paragraphsub"/>
      </w:pPr>
      <w:r w:rsidRPr="00686C2A">
        <w:tab/>
        <w:t>(ii)</w:t>
      </w:r>
      <w:r w:rsidRPr="00686C2A">
        <w:tab/>
        <w:t>if the Regulator gives the decision</w:t>
      </w:r>
      <w:r w:rsidR="00686C2A">
        <w:noBreakHyphen/>
      </w:r>
      <w:r w:rsidRPr="00686C2A">
        <w:t>maker an extension—within the extended period.</w:t>
      </w:r>
    </w:p>
    <w:p w:rsidR="00104BD6" w:rsidRPr="00686C2A" w:rsidRDefault="00104BD6" w:rsidP="00104BD6">
      <w:pPr>
        <w:pStyle w:val="ActHead5"/>
      </w:pPr>
      <w:bookmarkStart w:id="86" w:name="_Toc359591579"/>
      <w:r w:rsidRPr="00686C2A">
        <w:rPr>
          <w:rStyle w:val="CharSectno"/>
        </w:rPr>
        <w:t>7.9.48D</w:t>
      </w:r>
      <w:r w:rsidRPr="00686C2A">
        <w:t xml:space="preserve">  Complaints about benefits other than death benefits—no decision made</w:t>
      </w:r>
      <w:bookmarkEnd w:id="86"/>
    </w:p>
    <w:p w:rsidR="00104BD6" w:rsidRPr="00686C2A" w:rsidRDefault="00104BD6" w:rsidP="00104BD6">
      <w:pPr>
        <w:pStyle w:val="subsection"/>
      </w:pPr>
      <w:r w:rsidRPr="00686C2A">
        <w:tab/>
        <w:t>(1)</w:t>
      </w:r>
      <w:r w:rsidRPr="00686C2A">
        <w:tab/>
        <w:t>This regulation applies to a decision</w:t>
      </w:r>
      <w:r w:rsidR="00686C2A">
        <w:noBreakHyphen/>
      </w:r>
      <w:r w:rsidRPr="00686C2A">
        <w:t>maker if:</w:t>
      </w:r>
    </w:p>
    <w:p w:rsidR="00104BD6" w:rsidRPr="00686C2A" w:rsidRDefault="00104BD6" w:rsidP="00104BD6">
      <w:pPr>
        <w:pStyle w:val="paragraph"/>
      </w:pPr>
      <w:r w:rsidRPr="00686C2A">
        <w:tab/>
        <w:t>(a)</w:t>
      </w:r>
      <w:r w:rsidRPr="00686C2A">
        <w:tab/>
        <w:t>an eligible person makes a complaint; and</w:t>
      </w:r>
    </w:p>
    <w:p w:rsidR="00104BD6" w:rsidRPr="00686C2A" w:rsidRDefault="00104BD6" w:rsidP="00104BD6">
      <w:pPr>
        <w:pStyle w:val="paragraph"/>
      </w:pPr>
      <w:r w:rsidRPr="00686C2A">
        <w:tab/>
        <w:t>(b)</w:t>
      </w:r>
      <w:r w:rsidRPr="00686C2A">
        <w:tab/>
        <w:t>the complaint is not a complaint that relates to the payment of a death benefit; and</w:t>
      </w:r>
    </w:p>
    <w:p w:rsidR="00104BD6" w:rsidRPr="00686C2A" w:rsidRDefault="00104BD6" w:rsidP="00104BD6">
      <w:pPr>
        <w:pStyle w:val="paragraph"/>
      </w:pPr>
      <w:r w:rsidRPr="00686C2A">
        <w:tab/>
        <w:t>(c)</w:t>
      </w:r>
      <w:r w:rsidRPr="00686C2A">
        <w:tab/>
        <w:t>the decision</w:t>
      </w:r>
      <w:r w:rsidR="00686C2A">
        <w:noBreakHyphen/>
      </w:r>
      <w:r w:rsidRPr="00686C2A">
        <w:t>maker has not made a decision in relation to the complaint.</w:t>
      </w:r>
    </w:p>
    <w:p w:rsidR="00104BD6" w:rsidRPr="00686C2A" w:rsidRDefault="00104BD6" w:rsidP="00104BD6">
      <w:pPr>
        <w:pStyle w:val="subsection"/>
      </w:pPr>
      <w:r w:rsidRPr="00686C2A">
        <w:tab/>
        <w:t>(2)</w:t>
      </w:r>
      <w:r w:rsidRPr="00686C2A">
        <w:tab/>
        <w:t>The decision</w:t>
      </w:r>
      <w:r w:rsidR="00686C2A">
        <w:noBreakHyphen/>
      </w:r>
      <w:r w:rsidRPr="00686C2A">
        <w:t>maker must, within 45 days of the complaint, inform the eligible person:</w:t>
      </w:r>
    </w:p>
    <w:p w:rsidR="00104BD6" w:rsidRPr="00686C2A" w:rsidRDefault="00104BD6" w:rsidP="00104BD6">
      <w:pPr>
        <w:pStyle w:val="paragraph"/>
      </w:pPr>
      <w:r w:rsidRPr="00686C2A">
        <w:tab/>
        <w:t>(a)</w:t>
      </w:r>
      <w:r w:rsidRPr="00686C2A">
        <w:tab/>
        <w:t>that if the decision is not made within 90 days of the complaint, the eligible person may, in writing, request written reasons for the failure to make the decision; and</w:t>
      </w:r>
    </w:p>
    <w:p w:rsidR="00104BD6" w:rsidRPr="00686C2A" w:rsidRDefault="00104BD6" w:rsidP="00104BD6">
      <w:pPr>
        <w:pStyle w:val="paragraph"/>
      </w:pPr>
      <w:r w:rsidRPr="00686C2A">
        <w:tab/>
        <w:t>(b)</w:t>
      </w:r>
      <w:r w:rsidRPr="00686C2A">
        <w:tab/>
        <w:t xml:space="preserve">that the reasons mentioned in </w:t>
      </w:r>
      <w:r w:rsidR="00686C2A" w:rsidRPr="00686C2A">
        <w:t>paragraph (</w:t>
      </w:r>
      <w:r w:rsidRPr="00686C2A">
        <w:t>a) must be given:</w:t>
      </w:r>
    </w:p>
    <w:p w:rsidR="00104BD6" w:rsidRPr="00686C2A" w:rsidRDefault="00104BD6" w:rsidP="00104BD6">
      <w:pPr>
        <w:pStyle w:val="paragraphsub"/>
      </w:pPr>
      <w:r w:rsidRPr="00686C2A">
        <w:tab/>
        <w:t>(</w:t>
      </w:r>
      <w:proofErr w:type="spellStart"/>
      <w:r w:rsidRPr="00686C2A">
        <w:t>i</w:t>
      </w:r>
      <w:proofErr w:type="spellEnd"/>
      <w:r w:rsidRPr="00686C2A">
        <w:t>)</w:t>
      </w:r>
      <w:r w:rsidRPr="00686C2A">
        <w:tab/>
        <w:t xml:space="preserve">within 28 days of the eligible person’s request under </w:t>
      </w:r>
      <w:r w:rsidR="00686C2A" w:rsidRPr="00686C2A">
        <w:t>paragraph (</w:t>
      </w:r>
      <w:r w:rsidRPr="00686C2A">
        <w:t>a); or</w:t>
      </w:r>
    </w:p>
    <w:p w:rsidR="00104BD6" w:rsidRPr="00686C2A" w:rsidRDefault="00104BD6" w:rsidP="00104BD6">
      <w:pPr>
        <w:pStyle w:val="paragraphsub"/>
      </w:pPr>
      <w:r w:rsidRPr="00686C2A">
        <w:tab/>
        <w:t>(ii)</w:t>
      </w:r>
      <w:r w:rsidRPr="00686C2A">
        <w:tab/>
        <w:t>if the Regulator gives the decision</w:t>
      </w:r>
      <w:r w:rsidR="00686C2A">
        <w:noBreakHyphen/>
      </w:r>
      <w:r w:rsidRPr="00686C2A">
        <w:t>maker an extension—within the extended period.</w:t>
      </w:r>
    </w:p>
    <w:p w:rsidR="00104BD6" w:rsidRPr="00686C2A" w:rsidRDefault="00104BD6" w:rsidP="00104BD6">
      <w:pPr>
        <w:pStyle w:val="ActHead9"/>
      </w:pPr>
      <w:bookmarkStart w:id="87" w:name="_Toc359591580"/>
      <w:r w:rsidRPr="00686C2A">
        <w:lastRenderedPageBreak/>
        <w:t>First Home Saver Accounts Regulations</w:t>
      </w:r>
      <w:r w:rsidR="00686C2A" w:rsidRPr="00686C2A">
        <w:t> </w:t>
      </w:r>
      <w:r w:rsidRPr="00686C2A">
        <w:t>2008</w:t>
      </w:r>
      <w:bookmarkEnd w:id="87"/>
    </w:p>
    <w:p w:rsidR="00104BD6" w:rsidRPr="00686C2A" w:rsidRDefault="00805112" w:rsidP="00104BD6">
      <w:pPr>
        <w:pStyle w:val="ItemHead"/>
      </w:pPr>
      <w:r w:rsidRPr="00686C2A">
        <w:t>5</w:t>
      </w:r>
      <w:r w:rsidR="00104BD6" w:rsidRPr="00686C2A">
        <w:t xml:space="preserve">  After paragraph</w:t>
      </w:r>
      <w:r w:rsidR="00686C2A" w:rsidRPr="00686C2A">
        <w:t> </w:t>
      </w:r>
      <w:r w:rsidR="00104BD6" w:rsidRPr="00686C2A">
        <w:t>4(a)</w:t>
      </w:r>
    </w:p>
    <w:p w:rsidR="00104BD6" w:rsidRPr="00686C2A" w:rsidRDefault="00104BD6" w:rsidP="00104BD6">
      <w:pPr>
        <w:pStyle w:val="Item"/>
      </w:pPr>
      <w:r w:rsidRPr="00686C2A">
        <w:t>Insert:</w:t>
      </w:r>
    </w:p>
    <w:p w:rsidR="00104BD6" w:rsidRPr="00686C2A" w:rsidRDefault="00104BD6" w:rsidP="00104BD6">
      <w:pPr>
        <w:pStyle w:val="paragraph"/>
      </w:pPr>
      <w:r w:rsidRPr="00686C2A">
        <w:tab/>
        <w:t>(</w:t>
      </w:r>
      <w:proofErr w:type="spellStart"/>
      <w:r w:rsidRPr="00686C2A">
        <w:t>aa</w:t>
      </w:r>
      <w:proofErr w:type="spellEnd"/>
      <w:r w:rsidRPr="00686C2A">
        <w:t>)</w:t>
      </w:r>
      <w:r w:rsidRPr="00686C2A">
        <w:tab/>
        <w:t xml:space="preserve">to the following persons, in the same way that the provisions apply to a responsible officer of an </w:t>
      </w:r>
      <w:proofErr w:type="spellStart"/>
      <w:r w:rsidRPr="00686C2A">
        <w:t>RSE</w:t>
      </w:r>
      <w:proofErr w:type="spellEnd"/>
      <w:r w:rsidRPr="00686C2A">
        <w:t xml:space="preserve"> licensee that is a trustee of a public offer superannuation fund:</w:t>
      </w:r>
    </w:p>
    <w:p w:rsidR="00104BD6" w:rsidRPr="00686C2A" w:rsidRDefault="00104BD6" w:rsidP="00104BD6">
      <w:pPr>
        <w:pStyle w:val="paragraphsub"/>
      </w:pPr>
      <w:r w:rsidRPr="00686C2A">
        <w:tab/>
        <w:t>(</w:t>
      </w:r>
      <w:proofErr w:type="spellStart"/>
      <w:r w:rsidRPr="00686C2A">
        <w:t>i</w:t>
      </w:r>
      <w:proofErr w:type="spellEnd"/>
      <w:r w:rsidRPr="00686C2A">
        <w:t>)</w:t>
      </w:r>
      <w:r w:rsidRPr="00686C2A">
        <w:tab/>
        <w:t xml:space="preserve">a director of the </w:t>
      </w:r>
      <w:proofErr w:type="spellStart"/>
      <w:r w:rsidRPr="00686C2A">
        <w:t>RSE</w:t>
      </w:r>
      <w:proofErr w:type="spellEnd"/>
      <w:r w:rsidRPr="00686C2A">
        <w:t xml:space="preserve"> </w:t>
      </w:r>
      <w:proofErr w:type="spellStart"/>
      <w:r w:rsidRPr="00686C2A">
        <w:t>FHSA</w:t>
      </w:r>
      <w:proofErr w:type="spellEnd"/>
      <w:r w:rsidRPr="00686C2A">
        <w:t xml:space="preserve"> provider;</w:t>
      </w:r>
    </w:p>
    <w:p w:rsidR="00104BD6" w:rsidRPr="00686C2A" w:rsidRDefault="00104BD6" w:rsidP="00104BD6">
      <w:pPr>
        <w:pStyle w:val="paragraphsub"/>
      </w:pPr>
      <w:r w:rsidRPr="00686C2A">
        <w:tab/>
        <w:t>(ii)</w:t>
      </w:r>
      <w:r w:rsidRPr="00686C2A">
        <w:tab/>
        <w:t xml:space="preserve">a secretary of the </w:t>
      </w:r>
      <w:proofErr w:type="spellStart"/>
      <w:r w:rsidRPr="00686C2A">
        <w:t>RSE</w:t>
      </w:r>
      <w:proofErr w:type="spellEnd"/>
      <w:r w:rsidRPr="00686C2A">
        <w:t xml:space="preserve"> </w:t>
      </w:r>
      <w:proofErr w:type="spellStart"/>
      <w:r w:rsidRPr="00686C2A">
        <w:t>FHSA</w:t>
      </w:r>
      <w:proofErr w:type="spellEnd"/>
      <w:r w:rsidRPr="00686C2A">
        <w:t xml:space="preserve"> provider;</w:t>
      </w:r>
    </w:p>
    <w:p w:rsidR="00104BD6" w:rsidRPr="00686C2A" w:rsidRDefault="00104BD6" w:rsidP="00104BD6">
      <w:pPr>
        <w:pStyle w:val="paragraphsub"/>
      </w:pPr>
      <w:r w:rsidRPr="00686C2A">
        <w:tab/>
        <w:t>(iii)</w:t>
      </w:r>
      <w:r w:rsidRPr="00686C2A">
        <w:tab/>
        <w:t xml:space="preserve">another person who is concerned or takes part in the management of the </w:t>
      </w:r>
      <w:proofErr w:type="spellStart"/>
      <w:r w:rsidRPr="00686C2A">
        <w:t>RSE</w:t>
      </w:r>
      <w:proofErr w:type="spellEnd"/>
      <w:r w:rsidRPr="00686C2A">
        <w:t xml:space="preserve"> </w:t>
      </w:r>
      <w:proofErr w:type="spellStart"/>
      <w:r w:rsidRPr="00686C2A">
        <w:t>FHSA</w:t>
      </w:r>
      <w:proofErr w:type="spellEnd"/>
      <w:r w:rsidRPr="00686C2A">
        <w:t xml:space="preserve"> provider; and</w:t>
      </w:r>
    </w:p>
    <w:p w:rsidR="0004467D" w:rsidRPr="00686C2A" w:rsidRDefault="0004467D" w:rsidP="0004467D">
      <w:pPr>
        <w:pStyle w:val="ActHead9"/>
      </w:pPr>
      <w:bookmarkStart w:id="88" w:name="_Toc359591581"/>
      <w:r w:rsidRPr="00686C2A">
        <w:t>Superannuation Industry (Supervision) Regulations</w:t>
      </w:r>
      <w:r w:rsidR="00686C2A" w:rsidRPr="00686C2A">
        <w:t> </w:t>
      </w:r>
      <w:r w:rsidRPr="00686C2A">
        <w:t>1994</w:t>
      </w:r>
      <w:bookmarkEnd w:id="88"/>
    </w:p>
    <w:p w:rsidR="0004467D" w:rsidRPr="00686C2A" w:rsidRDefault="00805112" w:rsidP="0004467D">
      <w:pPr>
        <w:pStyle w:val="ItemHead"/>
        <w:rPr>
          <w:rFonts w:cs="Arial"/>
          <w:noProof/>
        </w:rPr>
      </w:pPr>
      <w:r w:rsidRPr="00686C2A">
        <w:rPr>
          <w:rFonts w:cs="Arial"/>
          <w:noProof/>
        </w:rPr>
        <w:t>6</w:t>
      </w:r>
      <w:r w:rsidR="0004467D" w:rsidRPr="00686C2A">
        <w:rPr>
          <w:rFonts w:cs="Arial"/>
          <w:noProof/>
        </w:rPr>
        <w:t xml:space="preserve">  Subregulation</w:t>
      </w:r>
      <w:r w:rsidR="00686C2A" w:rsidRPr="00686C2A">
        <w:rPr>
          <w:rFonts w:cs="Arial"/>
          <w:noProof/>
        </w:rPr>
        <w:t> </w:t>
      </w:r>
      <w:r w:rsidR="0004467D" w:rsidRPr="00686C2A">
        <w:rPr>
          <w:rFonts w:cs="Arial"/>
          <w:noProof/>
        </w:rPr>
        <w:t xml:space="preserve">1.03(1) (definition of </w:t>
      </w:r>
      <w:r w:rsidR="0004467D" w:rsidRPr="00686C2A">
        <w:rPr>
          <w:rFonts w:cs="Arial"/>
          <w:i/>
          <w:noProof/>
        </w:rPr>
        <w:t>defined benefit fund</w:t>
      </w:r>
      <w:r w:rsidR="0004467D" w:rsidRPr="00686C2A">
        <w:rPr>
          <w:rFonts w:cs="Arial"/>
          <w:noProof/>
        </w:rPr>
        <w:t>)</w:t>
      </w:r>
    </w:p>
    <w:p w:rsidR="0004467D" w:rsidRPr="00686C2A" w:rsidRDefault="0004467D" w:rsidP="0004467D">
      <w:pPr>
        <w:pStyle w:val="Item"/>
      </w:pPr>
      <w:r w:rsidRPr="00686C2A">
        <w:t>After “</w:t>
      </w:r>
      <w:r w:rsidRPr="00686C2A">
        <w:rPr>
          <w:b/>
          <w:i/>
        </w:rPr>
        <w:t>defined benefit fund</w:t>
      </w:r>
      <w:r w:rsidRPr="00686C2A">
        <w:t>”, insert “, subject to regulation</w:t>
      </w:r>
      <w:r w:rsidR="00686C2A" w:rsidRPr="00686C2A">
        <w:t> </w:t>
      </w:r>
      <w:r w:rsidRPr="00686C2A">
        <w:t>1.03AAA,”</w:t>
      </w:r>
    </w:p>
    <w:p w:rsidR="0004467D" w:rsidRPr="00686C2A" w:rsidRDefault="00805112" w:rsidP="0004467D">
      <w:pPr>
        <w:pStyle w:val="ItemHead"/>
        <w:rPr>
          <w:rFonts w:cs="Arial"/>
        </w:rPr>
      </w:pPr>
      <w:r w:rsidRPr="00686C2A">
        <w:rPr>
          <w:rFonts w:cs="Arial"/>
          <w:noProof/>
        </w:rPr>
        <w:t>7</w:t>
      </w:r>
      <w:r w:rsidR="0004467D" w:rsidRPr="00686C2A">
        <w:rPr>
          <w:rFonts w:cs="Arial"/>
        </w:rPr>
        <w:t xml:space="preserve">  </w:t>
      </w:r>
      <w:proofErr w:type="spellStart"/>
      <w:r w:rsidR="0004467D" w:rsidRPr="00686C2A">
        <w:rPr>
          <w:rFonts w:cs="Arial"/>
        </w:rPr>
        <w:t>Subregulation</w:t>
      </w:r>
      <w:proofErr w:type="spellEnd"/>
      <w:r w:rsidR="00686C2A" w:rsidRPr="00686C2A">
        <w:rPr>
          <w:rFonts w:cs="Arial"/>
        </w:rPr>
        <w:t> </w:t>
      </w:r>
      <w:r w:rsidR="0004467D" w:rsidRPr="00686C2A">
        <w:rPr>
          <w:rFonts w:cs="Arial"/>
        </w:rPr>
        <w:t xml:space="preserve">1.03(1) (definition of </w:t>
      </w:r>
      <w:r w:rsidR="0004467D" w:rsidRPr="00686C2A">
        <w:rPr>
          <w:rFonts w:cs="Arial"/>
          <w:i/>
        </w:rPr>
        <w:t>defined benefit member</w:t>
      </w:r>
      <w:r w:rsidR="0004467D" w:rsidRPr="00686C2A">
        <w:rPr>
          <w:rFonts w:cs="Arial"/>
        </w:rPr>
        <w:t>)</w:t>
      </w:r>
    </w:p>
    <w:p w:rsidR="0004467D" w:rsidRPr="00686C2A" w:rsidRDefault="0004467D" w:rsidP="0004467D">
      <w:pPr>
        <w:pStyle w:val="Item"/>
      </w:pPr>
      <w:r w:rsidRPr="00686C2A">
        <w:t>Repeal the definition, substitute:</w:t>
      </w:r>
    </w:p>
    <w:p w:rsidR="0004467D" w:rsidRPr="00686C2A" w:rsidRDefault="0004467D" w:rsidP="0004467D">
      <w:pPr>
        <w:pStyle w:val="Definition"/>
      </w:pPr>
      <w:r w:rsidRPr="00686C2A">
        <w:rPr>
          <w:b/>
          <w:i/>
        </w:rPr>
        <w:t>defined benefit member</w:t>
      </w:r>
      <w:r w:rsidRPr="00686C2A">
        <w:t xml:space="preserve"> means a member who is entitled, on retirement or termination of employment, to be paid a benefit defined wholly or in part by reference to:</w:t>
      </w:r>
    </w:p>
    <w:p w:rsidR="0004467D" w:rsidRPr="00686C2A" w:rsidRDefault="0004467D" w:rsidP="0004467D">
      <w:pPr>
        <w:pStyle w:val="paragraph"/>
      </w:pPr>
      <w:r w:rsidRPr="00686C2A">
        <w:tab/>
        <w:t>(a)</w:t>
      </w:r>
      <w:r w:rsidRPr="00686C2A">
        <w:tab/>
        <w:t>the member’s salary on retirement, termination of employment or an earlier date; or</w:t>
      </w:r>
    </w:p>
    <w:p w:rsidR="0004467D" w:rsidRPr="00686C2A" w:rsidRDefault="0004467D" w:rsidP="0004467D">
      <w:pPr>
        <w:pStyle w:val="paragraph"/>
      </w:pPr>
      <w:r w:rsidRPr="00686C2A">
        <w:tab/>
        <w:t>(b)</w:t>
      </w:r>
      <w:r w:rsidRPr="00686C2A">
        <w:tab/>
        <w:t>the member’s salary averaged over a period before retirement; or</w:t>
      </w:r>
    </w:p>
    <w:p w:rsidR="0004467D" w:rsidRPr="00686C2A" w:rsidRDefault="0004467D" w:rsidP="0004467D">
      <w:pPr>
        <w:pStyle w:val="paragraph"/>
      </w:pPr>
      <w:r w:rsidRPr="00686C2A">
        <w:tab/>
        <w:t>(c)</w:t>
      </w:r>
      <w:r w:rsidRPr="00686C2A">
        <w:tab/>
        <w:t>both (a) and (b); or</w:t>
      </w:r>
    </w:p>
    <w:p w:rsidR="0004467D" w:rsidRPr="00686C2A" w:rsidRDefault="0004467D" w:rsidP="0004467D">
      <w:pPr>
        <w:pStyle w:val="paragraph"/>
      </w:pPr>
      <w:r w:rsidRPr="00686C2A">
        <w:tab/>
        <w:t>(d)</w:t>
      </w:r>
      <w:r w:rsidRPr="00686C2A">
        <w:tab/>
        <w:t>a specified amount.</w:t>
      </w:r>
    </w:p>
    <w:p w:rsidR="0004467D" w:rsidRPr="00686C2A" w:rsidRDefault="0004467D" w:rsidP="0004467D">
      <w:pPr>
        <w:pStyle w:val="Definition"/>
      </w:pPr>
      <w:r w:rsidRPr="00686C2A">
        <w:rPr>
          <w:b/>
          <w:i/>
        </w:rPr>
        <w:t>defined benefit pension</w:t>
      </w:r>
      <w:r w:rsidRPr="00686C2A">
        <w:t xml:space="preserve"> means a pension mentioned in section</w:t>
      </w:r>
      <w:r w:rsidR="00686C2A" w:rsidRPr="00686C2A">
        <w:t> </w:t>
      </w:r>
      <w:r w:rsidRPr="00686C2A">
        <w:t>10 of the Act, other than:</w:t>
      </w:r>
    </w:p>
    <w:p w:rsidR="0004467D" w:rsidRPr="00686C2A" w:rsidRDefault="0004467D" w:rsidP="0004467D">
      <w:pPr>
        <w:pStyle w:val="paragraph"/>
      </w:pPr>
      <w:r w:rsidRPr="00686C2A">
        <w:tab/>
        <w:t>(a)</w:t>
      </w:r>
      <w:r w:rsidRPr="00686C2A">
        <w:tab/>
        <w:t>a pension wholly determined by reference to policies of life assurance purchased or obtained by the trustee of a regulated superannuation fund, solely for the purposes of providing benefits to members of that fund; or</w:t>
      </w:r>
    </w:p>
    <w:p w:rsidR="0004467D" w:rsidRPr="00686C2A" w:rsidRDefault="0004467D" w:rsidP="0004467D">
      <w:pPr>
        <w:pStyle w:val="paragraph"/>
      </w:pPr>
      <w:r w:rsidRPr="00686C2A">
        <w:tab/>
        <w:t>(b)</w:t>
      </w:r>
      <w:r w:rsidRPr="00686C2A">
        <w:tab/>
        <w:t>an allocated pension; or</w:t>
      </w:r>
    </w:p>
    <w:p w:rsidR="0004467D" w:rsidRPr="00686C2A" w:rsidRDefault="0004467D" w:rsidP="0004467D">
      <w:pPr>
        <w:pStyle w:val="paragraph"/>
      </w:pPr>
      <w:r w:rsidRPr="00686C2A">
        <w:tab/>
        <w:t>(c)</w:t>
      </w:r>
      <w:r w:rsidRPr="00686C2A">
        <w:tab/>
        <w:t>a market linked pension; or</w:t>
      </w:r>
    </w:p>
    <w:p w:rsidR="0004467D" w:rsidRPr="00686C2A" w:rsidRDefault="0004467D" w:rsidP="0004467D">
      <w:pPr>
        <w:pStyle w:val="paragraph"/>
      </w:pPr>
      <w:r w:rsidRPr="00686C2A">
        <w:lastRenderedPageBreak/>
        <w:tab/>
        <w:t>(d)</w:t>
      </w:r>
      <w:r w:rsidRPr="00686C2A">
        <w:tab/>
        <w:t>an account</w:t>
      </w:r>
      <w:r w:rsidR="00686C2A">
        <w:noBreakHyphen/>
      </w:r>
      <w:r w:rsidRPr="00686C2A">
        <w:t>based pension.</w:t>
      </w:r>
    </w:p>
    <w:p w:rsidR="0004467D" w:rsidRPr="00686C2A" w:rsidRDefault="0004467D" w:rsidP="0004467D">
      <w:pPr>
        <w:pStyle w:val="Definition"/>
      </w:pPr>
      <w:r w:rsidRPr="00686C2A">
        <w:rPr>
          <w:b/>
          <w:bCs/>
          <w:i/>
        </w:rPr>
        <w:t>defined benefit sub</w:t>
      </w:r>
      <w:r w:rsidR="00686C2A">
        <w:rPr>
          <w:b/>
          <w:bCs/>
          <w:i/>
        </w:rPr>
        <w:noBreakHyphen/>
      </w:r>
      <w:r w:rsidRPr="00686C2A">
        <w:rPr>
          <w:b/>
          <w:bCs/>
          <w:i/>
        </w:rPr>
        <w:t>fund</w:t>
      </w:r>
      <w:r w:rsidRPr="00686C2A">
        <w:t xml:space="preserve"> means a sub</w:t>
      </w:r>
      <w:r w:rsidR="00686C2A">
        <w:noBreakHyphen/>
      </w:r>
      <w:r w:rsidRPr="00686C2A">
        <w:t>fund of a defined benefit fund that:</w:t>
      </w:r>
    </w:p>
    <w:p w:rsidR="0004467D" w:rsidRPr="00686C2A" w:rsidRDefault="0004467D" w:rsidP="0004467D">
      <w:pPr>
        <w:pStyle w:val="paragraph"/>
      </w:pPr>
      <w:r w:rsidRPr="00686C2A">
        <w:tab/>
        <w:t>(a)</w:t>
      </w:r>
      <w:r w:rsidRPr="00686C2A">
        <w:tab/>
        <w:t>has at least one defined benefit member; and</w:t>
      </w:r>
    </w:p>
    <w:p w:rsidR="0004467D" w:rsidRPr="00686C2A" w:rsidRDefault="0004467D" w:rsidP="0004467D">
      <w:pPr>
        <w:pStyle w:val="paragraph"/>
      </w:pPr>
      <w:r w:rsidRPr="00686C2A">
        <w:tab/>
        <w:t>(b)</w:t>
      </w:r>
      <w:r w:rsidRPr="00686C2A">
        <w:tab/>
        <w:t>satisfies the conditions mentioned in section</w:t>
      </w:r>
      <w:r w:rsidR="00686C2A" w:rsidRPr="00686C2A">
        <w:t> </w:t>
      </w:r>
      <w:r w:rsidRPr="00686C2A">
        <w:t>69A of the Act.</w:t>
      </w:r>
    </w:p>
    <w:p w:rsidR="0004467D" w:rsidRPr="00686C2A" w:rsidRDefault="00805112" w:rsidP="0004467D">
      <w:pPr>
        <w:pStyle w:val="ItemHead"/>
      </w:pPr>
      <w:r w:rsidRPr="00686C2A">
        <w:t>8</w:t>
      </w:r>
      <w:r w:rsidR="0004467D" w:rsidRPr="00686C2A">
        <w:t xml:space="preserve">  After regulation</w:t>
      </w:r>
      <w:r w:rsidR="00686C2A" w:rsidRPr="00686C2A">
        <w:t> </w:t>
      </w:r>
      <w:r w:rsidR="0004467D" w:rsidRPr="00686C2A">
        <w:t>1.03AA</w:t>
      </w:r>
    </w:p>
    <w:p w:rsidR="0004467D" w:rsidRPr="00686C2A" w:rsidRDefault="0004467D" w:rsidP="0004467D">
      <w:pPr>
        <w:pStyle w:val="Item"/>
      </w:pPr>
      <w:r w:rsidRPr="00686C2A">
        <w:t>Insert:</w:t>
      </w:r>
    </w:p>
    <w:p w:rsidR="0004467D" w:rsidRPr="00686C2A" w:rsidRDefault="0004467D" w:rsidP="0004467D">
      <w:pPr>
        <w:pStyle w:val="ActHead5"/>
      </w:pPr>
      <w:bookmarkStart w:id="89" w:name="_Toc359591582"/>
      <w:r w:rsidRPr="00686C2A">
        <w:rPr>
          <w:rStyle w:val="CharSectno"/>
        </w:rPr>
        <w:t>1.03AAA</w:t>
      </w:r>
      <w:r w:rsidRPr="00686C2A">
        <w:t xml:space="preserve">  Defined benefit fund</w:t>
      </w:r>
      <w:bookmarkEnd w:id="89"/>
    </w:p>
    <w:p w:rsidR="0004467D" w:rsidRPr="00686C2A" w:rsidRDefault="0004467D" w:rsidP="0004467D">
      <w:pPr>
        <w:pStyle w:val="subsection"/>
      </w:pPr>
      <w:r w:rsidRPr="00686C2A">
        <w:tab/>
      </w:r>
      <w:r w:rsidRPr="00686C2A">
        <w:tab/>
        <w:t>For the following provisions, a fund is taken to be a defined benefit fund if at least one member of the fund receives a defined benefit pension:</w:t>
      </w:r>
    </w:p>
    <w:p w:rsidR="0004467D" w:rsidRPr="00686C2A" w:rsidRDefault="0004467D" w:rsidP="0004467D">
      <w:pPr>
        <w:pStyle w:val="paragraph"/>
      </w:pPr>
      <w:r w:rsidRPr="00686C2A">
        <w:tab/>
        <w:t>(a)</w:t>
      </w:r>
      <w:r w:rsidRPr="00686C2A">
        <w:tab/>
      </w:r>
      <w:r w:rsidR="00686C2A" w:rsidRPr="00686C2A">
        <w:t>paragraph (</w:t>
      </w:r>
      <w:r w:rsidRPr="00686C2A">
        <w:t xml:space="preserve">c) of the definition of </w:t>
      </w:r>
      <w:r w:rsidRPr="00686C2A">
        <w:rPr>
          <w:b/>
          <w:i/>
        </w:rPr>
        <w:t>investment return</w:t>
      </w:r>
      <w:r w:rsidRPr="00686C2A">
        <w:t xml:space="preserve"> in </w:t>
      </w:r>
      <w:proofErr w:type="spellStart"/>
      <w:r w:rsidRPr="00686C2A">
        <w:t>subregulation</w:t>
      </w:r>
      <w:proofErr w:type="spellEnd"/>
      <w:r w:rsidR="00686C2A" w:rsidRPr="00686C2A">
        <w:t> </w:t>
      </w:r>
      <w:r w:rsidRPr="00686C2A">
        <w:t>5.01(1);</w:t>
      </w:r>
    </w:p>
    <w:p w:rsidR="0004467D" w:rsidRPr="00686C2A" w:rsidRDefault="0004467D" w:rsidP="0004467D">
      <w:pPr>
        <w:pStyle w:val="paragraph"/>
      </w:pPr>
      <w:r w:rsidRPr="00686C2A">
        <w:tab/>
        <w:t>(b)</w:t>
      </w:r>
      <w:r w:rsidRPr="00686C2A">
        <w:tab/>
      </w:r>
      <w:proofErr w:type="spellStart"/>
      <w:r w:rsidRPr="00686C2A">
        <w:t>subregulation</w:t>
      </w:r>
      <w:proofErr w:type="spellEnd"/>
      <w:r w:rsidR="00686C2A" w:rsidRPr="00686C2A">
        <w:t> </w:t>
      </w:r>
      <w:r w:rsidRPr="00686C2A">
        <w:t>5.04(3);</w:t>
      </w:r>
    </w:p>
    <w:p w:rsidR="0004467D" w:rsidRPr="00686C2A" w:rsidRDefault="0004467D" w:rsidP="0004467D">
      <w:pPr>
        <w:pStyle w:val="paragraph"/>
      </w:pPr>
      <w:r w:rsidRPr="00686C2A">
        <w:tab/>
        <w:t>(c)</w:t>
      </w:r>
      <w:r w:rsidRPr="00686C2A">
        <w:tab/>
        <w:t>regulation</w:t>
      </w:r>
      <w:r w:rsidR="00686C2A" w:rsidRPr="00686C2A">
        <w:t> </w:t>
      </w:r>
      <w:r w:rsidRPr="00686C2A">
        <w:t>7.05;</w:t>
      </w:r>
    </w:p>
    <w:p w:rsidR="0004467D" w:rsidRPr="00686C2A" w:rsidRDefault="0004467D" w:rsidP="00306EAD">
      <w:pPr>
        <w:pStyle w:val="paragraph"/>
      </w:pPr>
      <w:r w:rsidRPr="00686C2A">
        <w:tab/>
        <w:t>(d)</w:t>
      </w:r>
      <w:r w:rsidRPr="00686C2A">
        <w:tab/>
        <w:t>Divisions</w:t>
      </w:r>
      <w:r w:rsidR="00686C2A" w:rsidRPr="00686C2A">
        <w:t> </w:t>
      </w:r>
      <w:r w:rsidRPr="00686C2A">
        <w:t>9.3 to 9.5.</w:t>
      </w:r>
    </w:p>
    <w:p w:rsidR="0004467D" w:rsidRPr="00686C2A" w:rsidRDefault="00805112" w:rsidP="0004467D">
      <w:pPr>
        <w:pStyle w:val="ItemHead"/>
      </w:pPr>
      <w:r w:rsidRPr="00686C2A">
        <w:t>9</w:t>
      </w:r>
      <w:r w:rsidR="0004467D" w:rsidRPr="00686C2A">
        <w:t xml:space="preserve">  Paragraph 2.33(2)(a)</w:t>
      </w:r>
    </w:p>
    <w:p w:rsidR="0004467D" w:rsidRPr="00686C2A" w:rsidRDefault="0004467D" w:rsidP="0004467D">
      <w:pPr>
        <w:pStyle w:val="Item"/>
      </w:pPr>
      <w:r w:rsidRPr="00686C2A">
        <w:t>Omit “auditor’s”, substitute “</w:t>
      </w:r>
      <w:proofErr w:type="spellStart"/>
      <w:r w:rsidRPr="00686C2A">
        <w:t>RSE</w:t>
      </w:r>
      <w:proofErr w:type="spellEnd"/>
      <w:r w:rsidRPr="00686C2A">
        <w:t xml:space="preserve"> auditor’s”.</w:t>
      </w:r>
    </w:p>
    <w:p w:rsidR="0004467D" w:rsidRPr="00686C2A" w:rsidRDefault="00805112" w:rsidP="0004467D">
      <w:pPr>
        <w:pStyle w:val="ItemHead"/>
        <w:rPr>
          <w:rFonts w:cs="Arial"/>
        </w:rPr>
      </w:pPr>
      <w:r w:rsidRPr="00686C2A">
        <w:rPr>
          <w:rFonts w:cs="Arial"/>
          <w:noProof/>
        </w:rPr>
        <w:t>10</w:t>
      </w:r>
      <w:r w:rsidR="0004467D" w:rsidRPr="00686C2A">
        <w:rPr>
          <w:rFonts w:cs="Arial"/>
        </w:rPr>
        <w:t xml:space="preserve">  Regulation</w:t>
      </w:r>
      <w:r w:rsidR="00686C2A" w:rsidRPr="00686C2A">
        <w:rPr>
          <w:rFonts w:cs="Arial"/>
        </w:rPr>
        <w:t> </w:t>
      </w:r>
      <w:r w:rsidR="0004467D" w:rsidRPr="00686C2A">
        <w:rPr>
          <w:rFonts w:cs="Arial"/>
        </w:rPr>
        <w:t>8.02A</w:t>
      </w:r>
    </w:p>
    <w:p w:rsidR="0004467D" w:rsidRPr="00686C2A" w:rsidRDefault="0004467D" w:rsidP="0004467D">
      <w:pPr>
        <w:pStyle w:val="Item"/>
      </w:pPr>
      <w:r w:rsidRPr="00686C2A">
        <w:t>Repeal the regulation, substitute:</w:t>
      </w:r>
    </w:p>
    <w:p w:rsidR="0004467D" w:rsidRPr="00686C2A" w:rsidRDefault="0004467D" w:rsidP="0004467D">
      <w:pPr>
        <w:pStyle w:val="ActHead5"/>
        <w:rPr>
          <w:strike/>
        </w:rPr>
      </w:pPr>
      <w:bookmarkStart w:id="90" w:name="_Toc359591583"/>
      <w:r w:rsidRPr="00686C2A">
        <w:rPr>
          <w:rStyle w:val="CharSectno"/>
        </w:rPr>
        <w:t>8.02A</w:t>
      </w:r>
      <w:r w:rsidRPr="00686C2A">
        <w:t xml:space="preserve">  Period within which an auditor must be appointed</w:t>
      </w:r>
      <w:bookmarkEnd w:id="90"/>
    </w:p>
    <w:p w:rsidR="0004467D" w:rsidRPr="00686C2A" w:rsidRDefault="0004467D" w:rsidP="0004467D">
      <w:pPr>
        <w:pStyle w:val="subsection"/>
      </w:pPr>
      <w:r w:rsidRPr="00686C2A">
        <w:tab/>
      </w:r>
      <w:r w:rsidRPr="00686C2A">
        <w:tab/>
        <w:t>For subsection</w:t>
      </w:r>
      <w:r w:rsidR="00686C2A" w:rsidRPr="00686C2A">
        <w:t> </w:t>
      </w:r>
      <w:r w:rsidRPr="00686C2A">
        <w:t>35C(1) of the Act, the prescribed period is not later than 45 days before the day by which section</w:t>
      </w:r>
      <w:r w:rsidR="00686C2A" w:rsidRPr="00686C2A">
        <w:t> </w:t>
      </w:r>
      <w:r w:rsidRPr="00686C2A">
        <w:t>35D of the Act requires a return to be lodged for the fund.</w:t>
      </w:r>
    </w:p>
    <w:p w:rsidR="0004467D" w:rsidRPr="00686C2A" w:rsidRDefault="0004467D" w:rsidP="0004467D">
      <w:pPr>
        <w:pStyle w:val="notetext"/>
      </w:pPr>
      <w:r w:rsidRPr="00686C2A">
        <w:rPr>
          <w:iCs/>
        </w:rPr>
        <w:t>Note:</w:t>
      </w:r>
      <w:r w:rsidRPr="00686C2A">
        <w:rPr>
          <w:iCs/>
        </w:rPr>
        <w:tab/>
      </w:r>
      <w:r w:rsidRPr="00686C2A">
        <w:t>See regulation</w:t>
      </w:r>
      <w:r w:rsidR="00686C2A" w:rsidRPr="00686C2A">
        <w:t> </w:t>
      </w:r>
      <w:r w:rsidRPr="00686C2A">
        <w:t>8.03 for the period within which a report mentioned in subsection</w:t>
      </w:r>
      <w:r w:rsidR="00686C2A" w:rsidRPr="00686C2A">
        <w:t> </w:t>
      </w:r>
      <w:r w:rsidRPr="00686C2A">
        <w:t>35C(6) of the Act must be provided.</w:t>
      </w:r>
    </w:p>
    <w:p w:rsidR="0004467D" w:rsidRPr="00686C2A" w:rsidRDefault="00805112" w:rsidP="0004467D">
      <w:pPr>
        <w:pStyle w:val="ItemHead"/>
      </w:pPr>
      <w:r w:rsidRPr="00686C2A">
        <w:rPr>
          <w:noProof/>
        </w:rPr>
        <w:t>11</w:t>
      </w:r>
      <w:r w:rsidR="0004467D" w:rsidRPr="00686C2A">
        <w:t xml:space="preserve">  Regulation</w:t>
      </w:r>
      <w:r w:rsidR="00686C2A" w:rsidRPr="00686C2A">
        <w:t> </w:t>
      </w:r>
      <w:r w:rsidR="0004467D" w:rsidRPr="00686C2A">
        <w:t>8.03</w:t>
      </w:r>
    </w:p>
    <w:p w:rsidR="0004467D" w:rsidRPr="00686C2A" w:rsidRDefault="0004467D" w:rsidP="0004467D">
      <w:pPr>
        <w:pStyle w:val="Item"/>
      </w:pPr>
      <w:r w:rsidRPr="00686C2A">
        <w:t>Repeal the regulation, substitute:</w:t>
      </w:r>
    </w:p>
    <w:p w:rsidR="0004467D" w:rsidRPr="00686C2A" w:rsidRDefault="0004467D" w:rsidP="0004467D">
      <w:pPr>
        <w:pStyle w:val="ActHead5"/>
      </w:pPr>
      <w:bookmarkStart w:id="91" w:name="_Toc359591584"/>
      <w:r w:rsidRPr="00686C2A">
        <w:rPr>
          <w:rStyle w:val="CharSectno"/>
        </w:rPr>
        <w:lastRenderedPageBreak/>
        <w:t>8.03</w:t>
      </w:r>
      <w:r w:rsidRPr="00686C2A">
        <w:t xml:space="preserve">  Period within which audit report must be given</w:t>
      </w:r>
      <w:bookmarkEnd w:id="91"/>
    </w:p>
    <w:p w:rsidR="0004467D" w:rsidRPr="00686C2A" w:rsidRDefault="0004467D" w:rsidP="0004467D">
      <w:pPr>
        <w:pStyle w:val="subsection"/>
      </w:pPr>
      <w:r w:rsidRPr="00686C2A">
        <w:tab/>
      </w:r>
      <w:r w:rsidRPr="00686C2A">
        <w:tab/>
        <w:t>For subsection</w:t>
      </w:r>
      <w:r w:rsidR="00686C2A" w:rsidRPr="00686C2A">
        <w:t> </w:t>
      </w:r>
      <w:r w:rsidRPr="00686C2A">
        <w:t>35C(6) of the Act, the period within which a report mentioned in that subsection must be given is 28 days after the trustee of the fund has provided all documents relevant to the preparation of the report to the auditor.</w:t>
      </w:r>
    </w:p>
    <w:p w:rsidR="0004467D" w:rsidRPr="00686C2A" w:rsidRDefault="0018263A" w:rsidP="0004467D">
      <w:pPr>
        <w:pStyle w:val="ItemHead"/>
      </w:pPr>
      <w:r w:rsidRPr="00686C2A">
        <w:rPr>
          <w:noProof/>
        </w:rPr>
        <w:t>1</w:t>
      </w:r>
      <w:r w:rsidR="00805112" w:rsidRPr="00686C2A">
        <w:rPr>
          <w:noProof/>
        </w:rPr>
        <w:t>2</w:t>
      </w:r>
      <w:r w:rsidR="0004467D" w:rsidRPr="00686C2A">
        <w:t xml:space="preserve">  Regulation</w:t>
      </w:r>
      <w:r w:rsidR="00686C2A" w:rsidRPr="00686C2A">
        <w:t> </w:t>
      </w:r>
      <w:r w:rsidR="0004467D" w:rsidRPr="00686C2A">
        <w:t>8.04</w:t>
      </w:r>
    </w:p>
    <w:p w:rsidR="0004467D" w:rsidRPr="00686C2A" w:rsidRDefault="0004467D" w:rsidP="0004467D">
      <w:pPr>
        <w:pStyle w:val="Item"/>
      </w:pPr>
      <w:r w:rsidRPr="00686C2A">
        <w:t>Repeal the regulation.</w:t>
      </w:r>
    </w:p>
    <w:p w:rsidR="0004467D" w:rsidRPr="00686C2A" w:rsidRDefault="0018263A" w:rsidP="0004467D">
      <w:pPr>
        <w:pStyle w:val="ItemHead"/>
        <w:rPr>
          <w:rFonts w:cs="Arial"/>
        </w:rPr>
      </w:pPr>
      <w:r w:rsidRPr="00686C2A">
        <w:rPr>
          <w:rFonts w:cs="Arial"/>
          <w:noProof/>
        </w:rPr>
        <w:t>1</w:t>
      </w:r>
      <w:r w:rsidR="00805112" w:rsidRPr="00686C2A">
        <w:rPr>
          <w:rFonts w:cs="Arial"/>
          <w:noProof/>
        </w:rPr>
        <w:t>3</w:t>
      </w:r>
      <w:r w:rsidR="0004467D" w:rsidRPr="00686C2A">
        <w:rPr>
          <w:rFonts w:cs="Arial"/>
        </w:rPr>
        <w:t xml:space="preserve">  Division</w:t>
      </w:r>
      <w:r w:rsidR="00686C2A" w:rsidRPr="00686C2A">
        <w:rPr>
          <w:rFonts w:cs="Arial"/>
        </w:rPr>
        <w:t> </w:t>
      </w:r>
      <w:r w:rsidR="0004467D" w:rsidRPr="00686C2A">
        <w:rPr>
          <w:rFonts w:cs="Arial"/>
        </w:rPr>
        <w:t>9.5 (heading)</w:t>
      </w:r>
    </w:p>
    <w:p w:rsidR="0004467D" w:rsidRPr="00686C2A" w:rsidRDefault="0004467D" w:rsidP="0004467D">
      <w:pPr>
        <w:pStyle w:val="Item"/>
      </w:pPr>
      <w:r w:rsidRPr="00686C2A">
        <w:t>Repeal the heading, substitute:</w:t>
      </w:r>
    </w:p>
    <w:p w:rsidR="0004467D" w:rsidRPr="00686C2A" w:rsidRDefault="0004467D" w:rsidP="0004467D">
      <w:pPr>
        <w:pStyle w:val="ActHead3"/>
      </w:pPr>
      <w:bookmarkStart w:id="92" w:name="_Toc359591585"/>
      <w:r w:rsidRPr="00686C2A">
        <w:rPr>
          <w:rStyle w:val="CharDivNo"/>
        </w:rPr>
        <w:t>9.5</w:t>
      </w:r>
      <w:r w:rsidRPr="00686C2A">
        <w:t>—</w:t>
      </w:r>
      <w:r w:rsidRPr="00686C2A">
        <w:rPr>
          <w:rStyle w:val="CharDivText"/>
        </w:rPr>
        <w:t>Actuarial standards relating to defined benefit funds that are self</w:t>
      </w:r>
      <w:r w:rsidR="00686C2A" w:rsidRPr="00686C2A">
        <w:rPr>
          <w:rStyle w:val="CharDivText"/>
        </w:rPr>
        <w:noBreakHyphen/>
      </w:r>
      <w:r w:rsidRPr="00686C2A">
        <w:rPr>
          <w:rStyle w:val="CharDivText"/>
        </w:rPr>
        <w:t>managed superannuation funds</w:t>
      </w:r>
      <w:bookmarkEnd w:id="92"/>
    </w:p>
    <w:p w:rsidR="0004467D" w:rsidRPr="00686C2A" w:rsidRDefault="0018263A" w:rsidP="0004467D">
      <w:pPr>
        <w:pStyle w:val="ItemHead"/>
        <w:rPr>
          <w:rFonts w:cs="Arial"/>
        </w:rPr>
      </w:pPr>
      <w:r w:rsidRPr="00686C2A">
        <w:rPr>
          <w:rFonts w:cs="Arial"/>
          <w:noProof/>
        </w:rPr>
        <w:t>1</w:t>
      </w:r>
      <w:r w:rsidR="00805112" w:rsidRPr="00686C2A">
        <w:rPr>
          <w:rFonts w:cs="Arial"/>
          <w:noProof/>
        </w:rPr>
        <w:t>4</w:t>
      </w:r>
      <w:r w:rsidR="0004467D" w:rsidRPr="00686C2A">
        <w:rPr>
          <w:rFonts w:cs="Arial"/>
        </w:rPr>
        <w:t xml:space="preserve">  Regulation</w:t>
      </w:r>
      <w:r w:rsidR="00686C2A" w:rsidRPr="00686C2A">
        <w:rPr>
          <w:rFonts w:cs="Arial"/>
        </w:rPr>
        <w:t> </w:t>
      </w:r>
      <w:r w:rsidR="0004467D" w:rsidRPr="00686C2A">
        <w:rPr>
          <w:rFonts w:cs="Arial"/>
        </w:rPr>
        <w:t>9.26</w:t>
      </w:r>
    </w:p>
    <w:p w:rsidR="0004467D" w:rsidRPr="00686C2A" w:rsidRDefault="0004467D" w:rsidP="0004467D">
      <w:pPr>
        <w:pStyle w:val="Item"/>
      </w:pPr>
      <w:r w:rsidRPr="00686C2A">
        <w:t>Repeal the regulation, substitute:</w:t>
      </w:r>
    </w:p>
    <w:p w:rsidR="0004467D" w:rsidRPr="00686C2A" w:rsidRDefault="0004467D" w:rsidP="0004467D">
      <w:pPr>
        <w:pStyle w:val="ActHead5"/>
      </w:pPr>
      <w:bookmarkStart w:id="93" w:name="_Toc359591586"/>
      <w:r w:rsidRPr="00686C2A">
        <w:rPr>
          <w:rStyle w:val="CharSectno"/>
        </w:rPr>
        <w:t>9.26</w:t>
      </w:r>
      <w:r w:rsidRPr="00686C2A">
        <w:t xml:space="preserve">  Application</w:t>
      </w:r>
      <w:bookmarkEnd w:id="93"/>
    </w:p>
    <w:p w:rsidR="0004467D" w:rsidRPr="00686C2A" w:rsidRDefault="0004467D" w:rsidP="0004467D">
      <w:pPr>
        <w:pStyle w:val="subsection"/>
      </w:pPr>
      <w:r w:rsidRPr="00686C2A">
        <w:tab/>
      </w:r>
      <w:r w:rsidRPr="00686C2A">
        <w:tab/>
        <w:t>This Division applies to a defined benefit fund that is a self</w:t>
      </w:r>
      <w:r w:rsidR="00686C2A">
        <w:noBreakHyphen/>
      </w:r>
      <w:r w:rsidRPr="00686C2A">
        <w:t>managed superannuation fund.</w:t>
      </w:r>
    </w:p>
    <w:p w:rsidR="0004467D" w:rsidRPr="00686C2A" w:rsidRDefault="0018263A" w:rsidP="0004467D">
      <w:pPr>
        <w:pStyle w:val="ItemHead"/>
        <w:rPr>
          <w:rFonts w:cs="Arial"/>
        </w:rPr>
      </w:pPr>
      <w:r w:rsidRPr="00686C2A">
        <w:rPr>
          <w:rFonts w:cs="Arial"/>
          <w:noProof/>
        </w:rPr>
        <w:t>1</w:t>
      </w:r>
      <w:r w:rsidR="00805112" w:rsidRPr="00686C2A">
        <w:rPr>
          <w:rFonts w:cs="Arial"/>
          <w:noProof/>
        </w:rPr>
        <w:t>5</w:t>
      </w:r>
      <w:r w:rsidR="0004467D" w:rsidRPr="00686C2A">
        <w:rPr>
          <w:rFonts w:cs="Arial"/>
        </w:rPr>
        <w:t xml:space="preserve">  Regulation</w:t>
      </w:r>
      <w:r w:rsidR="00686C2A" w:rsidRPr="00686C2A">
        <w:rPr>
          <w:rFonts w:cs="Arial"/>
        </w:rPr>
        <w:t> </w:t>
      </w:r>
      <w:r w:rsidR="0004467D" w:rsidRPr="00686C2A">
        <w:rPr>
          <w:rFonts w:cs="Arial"/>
        </w:rPr>
        <w:t xml:space="preserve">9.27 (definition of </w:t>
      </w:r>
      <w:r w:rsidR="0004467D" w:rsidRPr="00686C2A">
        <w:rPr>
          <w:rFonts w:cs="Arial"/>
          <w:i/>
        </w:rPr>
        <w:t>accrued benefits</w:t>
      </w:r>
      <w:r w:rsidR="0004467D" w:rsidRPr="00686C2A">
        <w:rPr>
          <w:rFonts w:cs="Arial"/>
        </w:rPr>
        <w:t>)</w:t>
      </w:r>
    </w:p>
    <w:p w:rsidR="0004467D" w:rsidRPr="00686C2A" w:rsidRDefault="0004467D" w:rsidP="0004467D">
      <w:pPr>
        <w:pStyle w:val="Item"/>
      </w:pPr>
      <w:r w:rsidRPr="00686C2A">
        <w:t>Repeal the definition, substitute:</w:t>
      </w:r>
    </w:p>
    <w:p w:rsidR="0004467D" w:rsidRPr="00686C2A" w:rsidRDefault="0004467D" w:rsidP="0004467D">
      <w:pPr>
        <w:pStyle w:val="Definition"/>
      </w:pPr>
      <w:r w:rsidRPr="00686C2A">
        <w:rPr>
          <w:b/>
          <w:i/>
        </w:rPr>
        <w:t>accrued benefits</w:t>
      </w:r>
      <w:r w:rsidRPr="00686C2A">
        <w:t>, in relation to a member of a defined benefit fund or a defined benefit sub</w:t>
      </w:r>
      <w:r w:rsidR="00686C2A">
        <w:noBreakHyphen/>
      </w:r>
      <w:r w:rsidRPr="00686C2A">
        <w:t>fund:</w:t>
      </w:r>
    </w:p>
    <w:p w:rsidR="0004467D" w:rsidRPr="00686C2A" w:rsidRDefault="0004467D" w:rsidP="0004467D">
      <w:pPr>
        <w:pStyle w:val="paragraph"/>
      </w:pPr>
      <w:r w:rsidRPr="00686C2A">
        <w:tab/>
        <w:t>(a)</w:t>
      </w:r>
      <w:r w:rsidRPr="00686C2A">
        <w:tab/>
        <w:t>means the benefits to which the member has an absolute or potential entitlement at the valuation date on account of the length of time the member has been a member of the fund or sub</w:t>
      </w:r>
      <w:r w:rsidR="00686C2A">
        <w:noBreakHyphen/>
      </w:r>
      <w:r w:rsidRPr="00686C2A">
        <w:t>fund; and</w:t>
      </w:r>
    </w:p>
    <w:p w:rsidR="0004467D" w:rsidRPr="00686C2A" w:rsidRDefault="0004467D" w:rsidP="0004467D">
      <w:pPr>
        <w:pStyle w:val="paragraph"/>
      </w:pPr>
      <w:r w:rsidRPr="00686C2A">
        <w:tab/>
        <w:t>(b)</w:t>
      </w:r>
      <w:r w:rsidRPr="00686C2A">
        <w:tab/>
        <w:t xml:space="preserve">includes any amount that would be payable out of the benefits mentioned in </w:t>
      </w:r>
      <w:r w:rsidR="00686C2A" w:rsidRPr="00686C2A">
        <w:t>paragraph (</w:t>
      </w:r>
      <w:r w:rsidRPr="00686C2A">
        <w:t>a) to the member’s spouse or former spouse under a payment split.</w:t>
      </w:r>
    </w:p>
    <w:p w:rsidR="0004467D" w:rsidRPr="00686C2A" w:rsidRDefault="0018263A" w:rsidP="0004467D">
      <w:pPr>
        <w:pStyle w:val="ItemHead"/>
        <w:rPr>
          <w:rFonts w:cs="Arial"/>
        </w:rPr>
      </w:pPr>
      <w:r w:rsidRPr="00686C2A">
        <w:rPr>
          <w:rFonts w:cs="Arial"/>
          <w:noProof/>
        </w:rPr>
        <w:t>1</w:t>
      </w:r>
      <w:r w:rsidR="00805112" w:rsidRPr="00686C2A">
        <w:rPr>
          <w:rFonts w:cs="Arial"/>
          <w:noProof/>
        </w:rPr>
        <w:t>6</w:t>
      </w:r>
      <w:r w:rsidR="0004467D" w:rsidRPr="00686C2A">
        <w:rPr>
          <w:rFonts w:cs="Arial"/>
        </w:rPr>
        <w:t xml:space="preserve">  Regulation</w:t>
      </w:r>
      <w:r w:rsidR="00686C2A" w:rsidRPr="00686C2A">
        <w:rPr>
          <w:rFonts w:cs="Arial"/>
        </w:rPr>
        <w:t> </w:t>
      </w:r>
      <w:r w:rsidR="0004467D" w:rsidRPr="00686C2A">
        <w:rPr>
          <w:rFonts w:cs="Arial"/>
        </w:rPr>
        <w:t xml:space="preserve">9.27 (definition of </w:t>
      </w:r>
      <w:r w:rsidR="0004467D" w:rsidRPr="00686C2A">
        <w:rPr>
          <w:rFonts w:cs="Arial"/>
          <w:i/>
        </w:rPr>
        <w:t>fully</w:t>
      </w:r>
      <w:r w:rsidR="00686C2A">
        <w:rPr>
          <w:rFonts w:cs="Arial"/>
          <w:i/>
        </w:rPr>
        <w:noBreakHyphen/>
      </w:r>
      <w:r w:rsidR="0004467D" w:rsidRPr="00686C2A">
        <w:rPr>
          <w:rFonts w:cs="Arial"/>
          <w:i/>
        </w:rPr>
        <w:t>funded</w:t>
      </w:r>
      <w:r w:rsidR="0004467D" w:rsidRPr="00686C2A">
        <w:rPr>
          <w:rFonts w:cs="Arial"/>
        </w:rPr>
        <w:t>)</w:t>
      </w:r>
    </w:p>
    <w:p w:rsidR="0004467D" w:rsidRPr="00686C2A" w:rsidRDefault="0004467D" w:rsidP="0004467D">
      <w:pPr>
        <w:pStyle w:val="Item"/>
      </w:pPr>
      <w:r w:rsidRPr="00686C2A">
        <w:t>Repeal the definition.</w:t>
      </w:r>
    </w:p>
    <w:p w:rsidR="0004467D" w:rsidRPr="00686C2A" w:rsidRDefault="0018263A" w:rsidP="0004467D">
      <w:pPr>
        <w:pStyle w:val="ItemHead"/>
        <w:rPr>
          <w:rFonts w:cs="Arial"/>
        </w:rPr>
      </w:pPr>
      <w:r w:rsidRPr="00686C2A">
        <w:rPr>
          <w:rFonts w:cs="Arial"/>
          <w:noProof/>
        </w:rPr>
        <w:lastRenderedPageBreak/>
        <w:t>1</w:t>
      </w:r>
      <w:r w:rsidR="00805112" w:rsidRPr="00686C2A">
        <w:rPr>
          <w:rFonts w:cs="Arial"/>
          <w:noProof/>
        </w:rPr>
        <w:t>7</w:t>
      </w:r>
      <w:r w:rsidR="0004467D" w:rsidRPr="00686C2A">
        <w:rPr>
          <w:rFonts w:cs="Arial"/>
        </w:rPr>
        <w:t xml:space="preserve">  Regulation</w:t>
      </w:r>
      <w:r w:rsidR="00686C2A" w:rsidRPr="00686C2A">
        <w:rPr>
          <w:rFonts w:cs="Arial"/>
        </w:rPr>
        <w:t> </w:t>
      </w:r>
      <w:r w:rsidR="0004467D" w:rsidRPr="00686C2A">
        <w:rPr>
          <w:rFonts w:cs="Arial"/>
        </w:rPr>
        <w:t xml:space="preserve">9.27 (definition of </w:t>
      </w:r>
      <w:r w:rsidR="0004467D" w:rsidRPr="00686C2A">
        <w:rPr>
          <w:rFonts w:cs="Arial"/>
          <w:i/>
        </w:rPr>
        <w:t>valuation date</w:t>
      </w:r>
      <w:r w:rsidR="0004467D" w:rsidRPr="00686C2A">
        <w:rPr>
          <w:rFonts w:cs="Arial"/>
        </w:rPr>
        <w:t>)</w:t>
      </w:r>
    </w:p>
    <w:p w:rsidR="0004467D" w:rsidRPr="00686C2A" w:rsidRDefault="0004467D" w:rsidP="0004467D">
      <w:pPr>
        <w:pStyle w:val="Item"/>
      </w:pPr>
      <w:r w:rsidRPr="00686C2A">
        <w:t>Repeal the definition, substitute:</w:t>
      </w:r>
    </w:p>
    <w:p w:rsidR="0004467D" w:rsidRPr="00686C2A" w:rsidRDefault="0004467D" w:rsidP="0004467D">
      <w:pPr>
        <w:pStyle w:val="Definition"/>
      </w:pPr>
      <w:r w:rsidRPr="00686C2A">
        <w:rPr>
          <w:b/>
          <w:i/>
        </w:rPr>
        <w:t>valuation date</w:t>
      </w:r>
      <w:r w:rsidRPr="00686C2A">
        <w:t>, in relation to a defined benefit fund or sub</w:t>
      </w:r>
      <w:r w:rsidR="00686C2A">
        <w:noBreakHyphen/>
      </w:r>
      <w:r w:rsidRPr="00686C2A">
        <w:t>fund, means the date on which an investigation required under regulation</w:t>
      </w:r>
      <w:r w:rsidR="00686C2A" w:rsidRPr="00686C2A">
        <w:t> </w:t>
      </w:r>
      <w:r w:rsidRPr="00686C2A">
        <w:t>9.29 or 9.29A was carried out in relation to the fund or sub</w:t>
      </w:r>
      <w:r w:rsidR="00686C2A">
        <w:noBreakHyphen/>
      </w:r>
      <w:r w:rsidRPr="00686C2A">
        <w:t>fund.</w:t>
      </w:r>
    </w:p>
    <w:p w:rsidR="0004467D" w:rsidRPr="00686C2A" w:rsidRDefault="0018263A" w:rsidP="0004467D">
      <w:pPr>
        <w:pStyle w:val="ItemHead"/>
        <w:rPr>
          <w:rFonts w:cs="Arial"/>
        </w:rPr>
      </w:pPr>
      <w:r w:rsidRPr="00686C2A">
        <w:rPr>
          <w:rFonts w:cs="Arial"/>
          <w:noProof/>
        </w:rPr>
        <w:t>1</w:t>
      </w:r>
      <w:r w:rsidR="00805112" w:rsidRPr="00686C2A">
        <w:rPr>
          <w:rFonts w:cs="Arial"/>
          <w:noProof/>
        </w:rPr>
        <w:t>8</w:t>
      </w:r>
      <w:r w:rsidR="0004467D" w:rsidRPr="00686C2A">
        <w:rPr>
          <w:rFonts w:cs="Arial"/>
        </w:rPr>
        <w:t xml:space="preserve">  Regulation</w:t>
      </w:r>
      <w:r w:rsidR="00686C2A" w:rsidRPr="00686C2A">
        <w:rPr>
          <w:rFonts w:cs="Arial"/>
        </w:rPr>
        <w:t> </w:t>
      </w:r>
      <w:r w:rsidR="0004467D" w:rsidRPr="00686C2A">
        <w:rPr>
          <w:rFonts w:cs="Arial"/>
        </w:rPr>
        <w:t>9.28</w:t>
      </w:r>
    </w:p>
    <w:p w:rsidR="0004467D" w:rsidRPr="00686C2A" w:rsidRDefault="0004467D" w:rsidP="0004467D">
      <w:pPr>
        <w:pStyle w:val="Item"/>
      </w:pPr>
      <w:r w:rsidRPr="00686C2A">
        <w:t>Repeal the regulation, substitute:</w:t>
      </w:r>
    </w:p>
    <w:p w:rsidR="0004467D" w:rsidRPr="00686C2A" w:rsidRDefault="0004467D" w:rsidP="0004467D">
      <w:pPr>
        <w:pStyle w:val="ActHead5"/>
      </w:pPr>
      <w:bookmarkStart w:id="94" w:name="_Toc359591587"/>
      <w:r w:rsidRPr="00686C2A">
        <w:rPr>
          <w:rStyle w:val="CharSectno"/>
        </w:rPr>
        <w:t>9.28</w:t>
      </w:r>
      <w:r w:rsidRPr="00686C2A">
        <w:t xml:space="preserve">  Prescription of standards</w:t>
      </w:r>
      <w:bookmarkEnd w:id="94"/>
    </w:p>
    <w:p w:rsidR="0004467D" w:rsidRPr="00686C2A" w:rsidRDefault="0004467D" w:rsidP="0004467D">
      <w:pPr>
        <w:pStyle w:val="subsection"/>
      </w:pPr>
      <w:r w:rsidRPr="00686C2A">
        <w:tab/>
      </w:r>
      <w:r w:rsidRPr="00686C2A">
        <w:tab/>
        <w:t>For the purposes of subsection</w:t>
      </w:r>
      <w:r w:rsidR="00686C2A" w:rsidRPr="00686C2A">
        <w:t> </w:t>
      </w:r>
      <w:r w:rsidRPr="00686C2A">
        <w:t>31(1) of the Act, the standards contained in regulations</w:t>
      </w:r>
      <w:r w:rsidR="00686C2A" w:rsidRPr="00686C2A">
        <w:t> </w:t>
      </w:r>
      <w:r w:rsidRPr="00686C2A">
        <w:t xml:space="preserve">9.29, 9.29A and 9.30 are prescribed as standards applicable to the operation of defined benefit funds that are </w:t>
      </w:r>
      <w:proofErr w:type="spellStart"/>
      <w:r w:rsidRPr="00686C2A">
        <w:t>self managed</w:t>
      </w:r>
      <w:proofErr w:type="spellEnd"/>
      <w:r w:rsidRPr="00686C2A">
        <w:t xml:space="preserve"> superannuation funds.</w:t>
      </w:r>
    </w:p>
    <w:p w:rsidR="0004467D" w:rsidRPr="00686C2A" w:rsidRDefault="0018263A" w:rsidP="0004467D">
      <w:pPr>
        <w:pStyle w:val="ItemHead"/>
        <w:rPr>
          <w:rFonts w:cs="Arial"/>
        </w:rPr>
      </w:pPr>
      <w:r w:rsidRPr="00686C2A">
        <w:rPr>
          <w:rFonts w:cs="Arial"/>
          <w:noProof/>
        </w:rPr>
        <w:t>1</w:t>
      </w:r>
      <w:r w:rsidR="00805112" w:rsidRPr="00686C2A">
        <w:rPr>
          <w:rFonts w:cs="Arial"/>
          <w:noProof/>
        </w:rPr>
        <w:t>9</w:t>
      </w:r>
      <w:r w:rsidR="0004467D" w:rsidRPr="00686C2A">
        <w:rPr>
          <w:rFonts w:cs="Arial"/>
        </w:rPr>
        <w:t xml:space="preserve">  Regulations</w:t>
      </w:r>
      <w:r w:rsidR="00686C2A" w:rsidRPr="00686C2A">
        <w:rPr>
          <w:rFonts w:cs="Arial"/>
        </w:rPr>
        <w:t> </w:t>
      </w:r>
      <w:r w:rsidR="0004467D" w:rsidRPr="00686C2A">
        <w:rPr>
          <w:rFonts w:cs="Arial"/>
        </w:rPr>
        <w:t>9.29 to 9.33</w:t>
      </w:r>
    </w:p>
    <w:p w:rsidR="0004467D" w:rsidRPr="00686C2A" w:rsidRDefault="0004467D" w:rsidP="0004467D">
      <w:pPr>
        <w:pStyle w:val="Item"/>
      </w:pPr>
      <w:r w:rsidRPr="00686C2A">
        <w:t>Repeal the regulations, substitute:</w:t>
      </w:r>
    </w:p>
    <w:p w:rsidR="0004467D" w:rsidRPr="00686C2A" w:rsidRDefault="0004467D" w:rsidP="0004467D">
      <w:pPr>
        <w:pStyle w:val="ActHead5"/>
      </w:pPr>
      <w:bookmarkStart w:id="95" w:name="_Toc359591588"/>
      <w:r w:rsidRPr="00686C2A">
        <w:rPr>
          <w:rStyle w:val="CharSectno"/>
        </w:rPr>
        <w:t>9.29</w:t>
      </w:r>
      <w:r w:rsidRPr="00686C2A">
        <w:t xml:space="preserve">  Actuarial investigation standard</w:t>
      </w:r>
      <w:bookmarkEnd w:id="95"/>
    </w:p>
    <w:p w:rsidR="0004467D" w:rsidRPr="00686C2A" w:rsidRDefault="0004467D" w:rsidP="0004467D">
      <w:pPr>
        <w:pStyle w:val="subsection"/>
      </w:pPr>
      <w:r w:rsidRPr="00686C2A">
        <w:tab/>
        <w:t>(1)</w:t>
      </w:r>
      <w:r w:rsidRPr="00686C2A">
        <w:tab/>
        <w:t>Subject to regulation</w:t>
      </w:r>
      <w:r w:rsidR="00686C2A" w:rsidRPr="00686C2A">
        <w:t> </w:t>
      </w:r>
      <w:r w:rsidRPr="00686C2A">
        <w:t xml:space="preserve">9.29A, a trustee of a defined benefit fund must require an initial actuarial investigation (the </w:t>
      </w:r>
      <w:r w:rsidRPr="00686C2A">
        <w:rPr>
          <w:b/>
          <w:i/>
        </w:rPr>
        <w:t>first actuarial investigation</w:t>
      </w:r>
      <w:r w:rsidRPr="00686C2A">
        <w:t>) to be made in relation to the fund as a whole or each defined benefit sub</w:t>
      </w:r>
      <w:r w:rsidR="00686C2A">
        <w:noBreakHyphen/>
      </w:r>
      <w:r w:rsidRPr="00686C2A">
        <w:t>fund in the fund.</w:t>
      </w:r>
    </w:p>
    <w:p w:rsidR="0004467D" w:rsidRPr="00686C2A" w:rsidRDefault="0004467D" w:rsidP="0004467D">
      <w:pPr>
        <w:pStyle w:val="subsection"/>
      </w:pPr>
      <w:r w:rsidRPr="00686C2A">
        <w:tab/>
        <w:t>(2)</w:t>
      </w:r>
      <w:r w:rsidRPr="00686C2A">
        <w:tab/>
        <w:t>If the first actuarial investigation is in relation to the fund as a whole it must be made:</w:t>
      </w:r>
    </w:p>
    <w:p w:rsidR="0004467D" w:rsidRPr="00686C2A" w:rsidRDefault="0004467D" w:rsidP="0004467D">
      <w:pPr>
        <w:pStyle w:val="paragraph"/>
      </w:pPr>
      <w:r w:rsidRPr="00686C2A">
        <w:tab/>
        <w:t>(a)</w:t>
      </w:r>
      <w:r w:rsidRPr="00686C2A">
        <w:tab/>
        <w:t>for a defined benefit fund in operation on 30</w:t>
      </w:r>
      <w:r w:rsidR="00686C2A" w:rsidRPr="00686C2A">
        <w:t> </w:t>
      </w:r>
      <w:r w:rsidRPr="00686C2A">
        <w:t>June 1994—at a date no later than 3 years after:</w:t>
      </w:r>
    </w:p>
    <w:p w:rsidR="0004467D" w:rsidRPr="00686C2A" w:rsidRDefault="0004467D" w:rsidP="0004467D">
      <w:pPr>
        <w:pStyle w:val="paragraphsub"/>
      </w:pPr>
      <w:r w:rsidRPr="00686C2A">
        <w:tab/>
        <w:t>(</w:t>
      </w:r>
      <w:proofErr w:type="spellStart"/>
      <w:r w:rsidRPr="00686C2A">
        <w:t>i</w:t>
      </w:r>
      <w:proofErr w:type="spellEnd"/>
      <w:r w:rsidRPr="00686C2A">
        <w:t>)</w:t>
      </w:r>
      <w:r w:rsidRPr="00686C2A">
        <w:tab/>
        <w:t>the date at which the last actuarial investigation of the fund as a whole was made; or</w:t>
      </w:r>
    </w:p>
    <w:p w:rsidR="0004467D" w:rsidRPr="00686C2A" w:rsidRDefault="0004467D" w:rsidP="0004467D">
      <w:pPr>
        <w:pStyle w:val="paragraphsub"/>
      </w:pPr>
      <w:r w:rsidRPr="00686C2A">
        <w:tab/>
        <w:t>(ii)</w:t>
      </w:r>
      <w:r w:rsidRPr="00686C2A">
        <w:tab/>
        <w:t>if no actuarial investigation has been made—the date of establishment of the fund or conversion of the fund to a defined benefit fund; or</w:t>
      </w:r>
    </w:p>
    <w:p w:rsidR="0004467D" w:rsidRPr="00686C2A" w:rsidRDefault="0004467D" w:rsidP="0004467D">
      <w:pPr>
        <w:pStyle w:val="paragraph"/>
      </w:pPr>
      <w:r w:rsidRPr="00686C2A">
        <w:tab/>
        <w:t>(b)</w:t>
      </w:r>
      <w:r w:rsidRPr="00686C2A">
        <w:tab/>
        <w:t>for a new fund—at the date of establishment or conversion of the fund.</w:t>
      </w:r>
    </w:p>
    <w:p w:rsidR="0004467D" w:rsidRPr="00686C2A" w:rsidRDefault="0004467D" w:rsidP="0004467D">
      <w:pPr>
        <w:pStyle w:val="subsection"/>
      </w:pPr>
      <w:r w:rsidRPr="00686C2A">
        <w:lastRenderedPageBreak/>
        <w:tab/>
        <w:t>(3)</w:t>
      </w:r>
      <w:r w:rsidRPr="00686C2A">
        <w:tab/>
        <w:t>If the first actuarial investigation is in relation to a defined benefit sub</w:t>
      </w:r>
      <w:r w:rsidR="00686C2A">
        <w:noBreakHyphen/>
      </w:r>
      <w:r w:rsidRPr="00686C2A">
        <w:t>fund in the fund it must be made:</w:t>
      </w:r>
    </w:p>
    <w:p w:rsidR="0004467D" w:rsidRPr="00686C2A" w:rsidRDefault="0004467D" w:rsidP="0004467D">
      <w:pPr>
        <w:pStyle w:val="paragraph"/>
      </w:pPr>
      <w:r w:rsidRPr="00686C2A">
        <w:tab/>
        <w:t>(a)</w:t>
      </w:r>
      <w:r w:rsidRPr="00686C2A">
        <w:tab/>
        <w:t>for a defined benefit sub</w:t>
      </w:r>
      <w:r w:rsidR="00686C2A">
        <w:noBreakHyphen/>
      </w:r>
      <w:r w:rsidRPr="00686C2A">
        <w:t>fund in operation on 30</w:t>
      </w:r>
      <w:r w:rsidR="00686C2A" w:rsidRPr="00686C2A">
        <w:t> </w:t>
      </w:r>
      <w:r w:rsidRPr="00686C2A">
        <w:t>June 1994—at a date no later than 3 years after:</w:t>
      </w:r>
    </w:p>
    <w:p w:rsidR="0004467D" w:rsidRPr="00686C2A" w:rsidRDefault="0004467D" w:rsidP="0004467D">
      <w:pPr>
        <w:pStyle w:val="paragraphsub"/>
      </w:pPr>
      <w:r w:rsidRPr="00686C2A">
        <w:tab/>
        <w:t>(</w:t>
      </w:r>
      <w:proofErr w:type="spellStart"/>
      <w:r w:rsidRPr="00686C2A">
        <w:t>i</w:t>
      </w:r>
      <w:proofErr w:type="spellEnd"/>
      <w:r w:rsidRPr="00686C2A">
        <w:t>)</w:t>
      </w:r>
      <w:r w:rsidRPr="00686C2A">
        <w:tab/>
        <w:t>the date at which the last actuarial investigation of the sub</w:t>
      </w:r>
      <w:r w:rsidR="00686C2A">
        <w:noBreakHyphen/>
      </w:r>
      <w:r w:rsidRPr="00686C2A">
        <w:t>fund was made; or</w:t>
      </w:r>
    </w:p>
    <w:p w:rsidR="0004467D" w:rsidRPr="00686C2A" w:rsidRDefault="0004467D" w:rsidP="0004467D">
      <w:pPr>
        <w:pStyle w:val="paragraphsub"/>
      </w:pPr>
      <w:r w:rsidRPr="00686C2A">
        <w:tab/>
        <w:t>(ii)</w:t>
      </w:r>
      <w:r w:rsidRPr="00686C2A">
        <w:tab/>
        <w:t>if no actuarial investigation was made—the date of establishment of the sub</w:t>
      </w:r>
      <w:r w:rsidR="00686C2A">
        <w:noBreakHyphen/>
      </w:r>
      <w:r w:rsidRPr="00686C2A">
        <w:t>fund or conversion of the sub</w:t>
      </w:r>
      <w:r w:rsidR="00686C2A">
        <w:noBreakHyphen/>
      </w:r>
      <w:r w:rsidRPr="00686C2A">
        <w:t>fund to a defined benefit sub</w:t>
      </w:r>
      <w:r w:rsidR="00686C2A">
        <w:noBreakHyphen/>
      </w:r>
      <w:r w:rsidRPr="00686C2A">
        <w:t>fund; or</w:t>
      </w:r>
    </w:p>
    <w:p w:rsidR="0004467D" w:rsidRPr="00686C2A" w:rsidRDefault="0004467D" w:rsidP="0004467D">
      <w:pPr>
        <w:pStyle w:val="paragraph"/>
      </w:pPr>
      <w:r w:rsidRPr="00686C2A">
        <w:tab/>
        <w:t>(b)</w:t>
      </w:r>
      <w:r w:rsidRPr="00686C2A">
        <w:tab/>
        <w:t>for a new defined benefit sub</w:t>
      </w:r>
      <w:r w:rsidR="00686C2A">
        <w:noBreakHyphen/>
      </w:r>
      <w:r w:rsidRPr="00686C2A">
        <w:t>fund—at the date of establishment or conversion of the sub</w:t>
      </w:r>
      <w:r w:rsidR="00686C2A">
        <w:noBreakHyphen/>
      </w:r>
      <w:r w:rsidRPr="00686C2A">
        <w:t>fund.</w:t>
      </w:r>
    </w:p>
    <w:p w:rsidR="0004467D" w:rsidRPr="00686C2A" w:rsidRDefault="0004467D" w:rsidP="0004467D">
      <w:pPr>
        <w:pStyle w:val="subsection"/>
        <w:rPr>
          <w:i/>
        </w:rPr>
      </w:pPr>
      <w:r w:rsidRPr="00686C2A">
        <w:tab/>
        <w:t>(4)</w:t>
      </w:r>
      <w:r w:rsidRPr="00686C2A">
        <w:tab/>
        <w:t>A trustee of a defined benefit fund or sub</w:t>
      </w:r>
      <w:r w:rsidR="00686C2A">
        <w:noBreakHyphen/>
      </w:r>
      <w:r w:rsidRPr="00686C2A">
        <w:t>fund must, after the first actuarial investigation has been made in relation to the fund or sub</w:t>
      </w:r>
      <w:r w:rsidR="00686C2A">
        <w:noBreakHyphen/>
      </w:r>
      <w:r w:rsidRPr="00686C2A">
        <w:t>fund, require regular actuarial investigations to be made in relation to the fund or sub</w:t>
      </w:r>
      <w:r w:rsidR="00686C2A">
        <w:noBreakHyphen/>
      </w:r>
      <w:r w:rsidRPr="00686C2A">
        <w:t>fund at least every 3 years.</w:t>
      </w:r>
    </w:p>
    <w:p w:rsidR="0004467D" w:rsidRPr="00686C2A" w:rsidRDefault="0004467D" w:rsidP="0004467D">
      <w:pPr>
        <w:pStyle w:val="subsection"/>
      </w:pPr>
      <w:r w:rsidRPr="00686C2A">
        <w:tab/>
        <w:t>(5)</w:t>
      </w:r>
      <w:r w:rsidRPr="00686C2A">
        <w:tab/>
        <w:t>The Commissioner of Taxation may direct the trustee of the fund or sub</w:t>
      </w:r>
      <w:r w:rsidR="00686C2A">
        <w:noBreakHyphen/>
      </w:r>
      <w:r w:rsidRPr="00686C2A">
        <w:t>fund, in writing, to require an actuarial investigation to be made in relation to the fund or sub</w:t>
      </w:r>
      <w:r w:rsidR="00686C2A">
        <w:noBreakHyphen/>
      </w:r>
      <w:r w:rsidRPr="00686C2A">
        <w:t>fund, if the Commissioner of Taxation considers, on reasonable grounds, that to do so would be:</w:t>
      </w:r>
    </w:p>
    <w:p w:rsidR="0004467D" w:rsidRPr="00686C2A" w:rsidRDefault="0004467D" w:rsidP="0004467D">
      <w:pPr>
        <w:pStyle w:val="paragraph"/>
      </w:pPr>
      <w:r w:rsidRPr="00686C2A">
        <w:tab/>
        <w:t>(a)</w:t>
      </w:r>
      <w:r w:rsidRPr="00686C2A">
        <w:tab/>
        <w:t>in the prudential interests of the fund or sub</w:t>
      </w:r>
      <w:r w:rsidR="00686C2A">
        <w:noBreakHyphen/>
      </w:r>
      <w:r w:rsidRPr="00686C2A">
        <w:t>fund; and</w:t>
      </w:r>
    </w:p>
    <w:p w:rsidR="0004467D" w:rsidRPr="00686C2A" w:rsidRDefault="0004467D" w:rsidP="0004467D">
      <w:pPr>
        <w:pStyle w:val="paragraph"/>
      </w:pPr>
      <w:r w:rsidRPr="00686C2A">
        <w:tab/>
        <w:t>(b)</w:t>
      </w:r>
      <w:r w:rsidRPr="00686C2A">
        <w:tab/>
        <w:t>in the best interests of the members or beneficiaries of the fund or sub</w:t>
      </w:r>
      <w:r w:rsidR="00686C2A">
        <w:noBreakHyphen/>
      </w:r>
      <w:r w:rsidRPr="00686C2A">
        <w:t>fund.</w:t>
      </w:r>
    </w:p>
    <w:p w:rsidR="0004467D" w:rsidRPr="00686C2A" w:rsidRDefault="0004467D" w:rsidP="0004467D">
      <w:pPr>
        <w:pStyle w:val="subsection"/>
      </w:pPr>
      <w:r w:rsidRPr="00686C2A">
        <w:tab/>
        <w:t>(6)</w:t>
      </w:r>
      <w:r w:rsidRPr="00686C2A">
        <w:tab/>
        <w:t>The trustee of the fund or sub</w:t>
      </w:r>
      <w:r w:rsidR="00686C2A">
        <w:noBreakHyphen/>
      </w:r>
      <w:r w:rsidRPr="00686C2A">
        <w:t xml:space="preserve">fund must comply with a written direction under </w:t>
      </w:r>
      <w:proofErr w:type="spellStart"/>
      <w:r w:rsidRPr="00686C2A">
        <w:t>subregulation</w:t>
      </w:r>
      <w:proofErr w:type="spellEnd"/>
      <w:r w:rsidRPr="00686C2A">
        <w:t xml:space="preserve"> (5).</w:t>
      </w:r>
    </w:p>
    <w:p w:rsidR="0004467D" w:rsidRPr="00686C2A" w:rsidRDefault="0004467D" w:rsidP="0004467D">
      <w:pPr>
        <w:pStyle w:val="ActHead5"/>
      </w:pPr>
      <w:bookmarkStart w:id="96" w:name="_Toc359591589"/>
      <w:r w:rsidRPr="00686C2A">
        <w:rPr>
          <w:rStyle w:val="CharSectno"/>
        </w:rPr>
        <w:t>9.29A</w:t>
      </w:r>
      <w:r w:rsidRPr="00686C2A">
        <w:t xml:space="preserve">  Actuarial investigation standard—exemption</w:t>
      </w:r>
      <w:bookmarkEnd w:id="96"/>
    </w:p>
    <w:p w:rsidR="0004467D" w:rsidRPr="00686C2A" w:rsidRDefault="0004467D" w:rsidP="0004467D">
      <w:pPr>
        <w:pStyle w:val="subsection"/>
      </w:pPr>
      <w:r w:rsidRPr="00686C2A">
        <w:tab/>
        <w:t>(1)</w:t>
      </w:r>
      <w:r w:rsidRPr="00686C2A">
        <w:tab/>
        <w:t>Regulation</w:t>
      </w:r>
      <w:r w:rsidR="00686C2A" w:rsidRPr="00686C2A">
        <w:t> </w:t>
      </w:r>
      <w:r w:rsidRPr="00686C2A">
        <w:t>9.29 does not apply to a defined benefit fund or a defined benefit sub</w:t>
      </w:r>
      <w:r w:rsidR="00686C2A">
        <w:noBreakHyphen/>
      </w:r>
      <w:r w:rsidRPr="00686C2A">
        <w:t>fund to which this regulation applies.</w:t>
      </w:r>
    </w:p>
    <w:p w:rsidR="0004467D" w:rsidRPr="00686C2A" w:rsidRDefault="0004467D" w:rsidP="0004467D">
      <w:pPr>
        <w:pStyle w:val="subsection"/>
      </w:pPr>
      <w:r w:rsidRPr="00686C2A">
        <w:tab/>
        <w:t>(2)</w:t>
      </w:r>
      <w:r w:rsidRPr="00686C2A">
        <w:tab/>
        <w:t>This regulation applies to a defined benefit fund or a defined benefit sub</w:t>
      </w:r>
      <w:r w:rsidR="00686C2A">
        <w:noBreakHyphen/>
      </w:r>
      <w:r w:rsidRPr="00686C2A">
        <w:t>fund that pays a defined benefit pension to at least one member.</w:t>
      </w:r>
    </w:p>
    <w:p w:rsidR="0004467D" w:rsidRPr="00686C2A" w:rsidRDefault="0004467D" w:rsidP="0004467D">
      <w:pPr>
        <w:pStyle w:val="subsection"/>
      </w:pPr>
      <w:r w:rsidRPr="00686C2A">
        <w:tab/>
        <w:t>(3)</w:t>
      </w:r>
      <w:r w:rsidRPr="00686C2A">
        <w:tab/>
        <w:t>The trustee must require annual actuarial investigations to be made in relation to the fund or sub</w:t>
      </w:r>
      <w:r w:rsidR="00686C2A">
        <w:noBreakHyphen/>
      </w:r>
      <w:r w:rsidRPr="00686C2A">
        <w:t>fund, starting from the day that is 1 year after the day on which the fund or sub</w:t>
      </w:r>
      <w:r w:rsidR="00686C2A">
        <w:noBreakHyphen/>
      </w:r>
      <w:r w:rsidRPr="00686C2A">
        <w:t>fund made the first defined benefit pension payment.</w:t>
      </w:r>
    </w:p>
    <w:p w:rsidR="0004467D" w:rsidRPr="00686C2A" w:rsidRDefault="0004467D" w:rsidP="0004467D">
      <w:pPr>
        <w:pStyle w:val="ActHead5"/>
      </w:pPr>
      <w:bookmarkStart w:id="97" w:name="_Toc359591590"/>
      <w:r w:rsidRPr="00686C2A">
        <w:rPr>
          <w:rStyle w:val="CharSectno"/>
        </w:rPr>
        <w:lastRenderedPageBreak/>
        <w:t>9.30</w:t>
      </w:r>
      <w:r w:rsidRPr="00686C2A">
        <w:t xml:space="preserve">  Actuarial reporting standard</w:t>
      </w:r>
      <w:bookmarkEnd w:id="97"/>
    </w:p>
    <w:p w:rsidR="0004467D" w:rsidRPr="00686C2A" w:rsidRDefault="0004467D" w:rsidP="0004467D">
      <w:pPr>
        <w:pStyle w:val="subsection"/>
      </w:pPr>
      <w:r w:rsidRPr="00686C2A">
        <w:tab/>
        <w:t>(1)</w:t>
      </w:r>
      <w:r w:rsidRPr="00686C2A">
        <w:tab/>
        <w:t>A trustee of a defined benefit fund or a defined benefit sub</w:t>
      </w:r>
      <w:r w:rsidR="00686C2A">
        <w:noBreakHyphen/>
      </w:r>
      <w:r w:rsidRPr="00686C2A">
        <w:t>fund must obtain an actuarial report in accordance with this regulation in relation to each investigation that is required to be made under regulation</w:t>
      </w:r>
      <w:r w:rsidR="00686C2A" w:rsidRPr="00686C2A">
        <w:t> </w:t>
      </w:r>
      <w:r w:rsidRPr="00686C2A">
        <w:t>9.29 or 9.29A in relation to the fund or sub</w:t>
      </w:r>
      <w:r w:rsidR="00686C2A">
        <w:noBreakHyphen/>
      </w:r>
      <w:r w:rsidRPr="00686C2A">
        <w:t>fund.</w:t>
      </w:r>
    </w:p>
    <w:p w:rsidR="0004467D" w:rsidRPr="00686C2A" w:rsidRDefault="0004467D" w:rsidP="0004467D">
      <w:pPr>
        <w:pStyle w:val="subsection"/>
      </w:pPr>
      <w:r w:rsidRPr="00686C2A">
        <w:tab/>
        <w:t>(2)</w:t>
      </w:r>
      <w:r w:rsidRPr="00686C2A">
        <w:tab/>
        <w:t>The actuarial report must be obtained within the period of 12 months commencing on the date immediately following the valuation date in relation to the fund or sub</w:t>
      </w:r>
      <w:r w:rsidR="00686C2A">
        <w:noBreakHyphen/>
      </w:r>
      <w:r w:rsidRPr="00686C2A">
        <w:t>fund.</w:t>
      </w:r>
    </w:p>
    <w:p w:rsidR="0004467D" w:rsidRPr="00686C2A" w:rsidRDefault="0004467D" w:rsidP="0004467D">
      <w:pPr>
        <w:pStyle w:val="subsection"/>
      </w:pPr>
      <w:r w:rsidRPr="00686C2A">
        <w:tab/>
        <w:t>(3)</w:t>
      </w:r>
      <w:r w:rsidRPr="00686C2A">
        <w:tab/>
        <w:t>The actuarial report must contain the information mentioned in regulation</w:t>
      </w:r>
      <w:r w:rsidR="00686C2A" w:rsidRPr="00686C2A">
        <w:t> </w:t>
      </w:r>
      <w:r w:rsidRPr="00686C2A">
        <w:t>9.31.</w:t>
      </w:r>
    </w:p>
    <w:p w:rsidR="0004467D" w:rsidRPr="00686C2A" w:rsidRDefault="0004467D" w:rsidP="0004467D">
      <w:pPr>
        <w:pStyle w:val="ActHead5"/>
      </w:pPr>
      <w:bookmarkStart w:id="98" w:name="_Toc359591591"/>
      <w:r w:rsidRPr="00686C2A">
        <w:rPr>
          <w:rStyle w:val="CharSectno"/>
        </w:rPr>
        <w:t>9.31</w:t>
      </w:r>
      <w:r w:rsidRPr="00686C2A">
        <w:t xml:space="preserve">  Contents of actuarial report</w:t>
      </w:r>
      <w:bookmarkEnd w:id="98"/>
    </w:p>
    <w:p w:rsidR="0004467D" w:rsidRPr="00686C2A" w:rsidRDefault="0004467D" w:rsidP="0004467D">
      <w:pPr>
        <w:pStyle w:val="subsection"/>
      </w:pPr>
      <w:r w:rsidRPr="00686C2A">
        <w:tab/>
        <w:t>(1)</w:t>
      </w:r>
      <w:r w:rsidRPr="00686C2A">
        <w:tab/>
        <w:t>For regulation</w:t>
      </w:r>
      <w:r w:rsidR="00686C2A" w:rsidRPr="00686C2A">
        <w:t> </w:t>
      </w:r>
      <w:r w:rsidRPr="00686C2A">
        <w:t>9.30, an actuarial report must contain, in addition to any other required information:</w:t>
      </w:r>
    </w:p>
    <w:p w:rsidR="0004467D" w:rsidRPr="00686C2A" w:rsidRDefault="0004467D" w:rsidP="0004467D">
      <w:pPr>
        <w:pStyle w:val="paragraph"/>
      </w:pPr>
      <w:r w:rsidRPr="00686C2A">
        <w:tab/>
        <w:t>(a)</w:t>
      </w:r>
      <w:r w:rsidRPr="00686C2A">
        <w:tab/>
        <w:t>a statement of the value of the assets of the fund or sub</w:t>
      </w:r>
      <w:r w:rsidR="00686C2A">
        <w:noBreakHyphen/>
      </w:r>
      <w:r w:rsidRPr="00686C2A">
        <w:t>fund at the valuation date; and</w:t>
      </w:r>
    </w:p>
    <w:p w:rsidR="0004467D" w:rsidRPr="00686C2A" w:rsidRDefault="0004467D" w:rsidP="0004467D">
      <w:pPr>
        <w:pStyle w:val="paragraph"/>
      </w:pPr>
      <w:r w:rsidRPr="00686C2A">
        <w:tab/>
        <w:t>(b)</w:t>
      </w:r>
      <w:r w:rsidRPr="00686C2A">
        <w:tab/>
        <w:t xml:space="preserve">a statement of the </w:t>
      </w:r>
      <w:proofErr w:type="spellStart"/>
      <w:r w:rsidRPr="00686C2A">
        <w:t>SMSF</w:t>
      </w:r>
      <w:proofErr w:type="spellEnd"/>
      <w:r w:rsidRPr="00686C2A">
        <w:t xml:space="preserve"> actuary’s opinion on whether, at the valuation date, the value of the fund’s or sub</w:t>
      </w:r>
      <w:r w:rsidR="00686C2A">
        <w:noBreakHyphen/>
      </w:r>
      <w:r w:rsidRPr="00686C2A">
        <w:t>fund’s assets is adequate to meet the value of the fund or sub</w:t>
      </w:r>
      <w:r w:rsidR="00686C2A">
        <w:noBreakHyphen/>
      </w:r>
      <w:r w:rsidRPr="00686C2A">
        <w:t>fund’s liabilities in relation to the accrued benefits of members of the fund or sub</w:t>
      </w:r>
      <w:r w:rsidR="00686C2A">
        <w:noBreakHyphen/>
      </w:r>
      <w:r w:rsidRPr="00686C2A">
        <w:t>fund; and</w:t>
      </w:r>
    </w:p>
    <w:p w:rsidR="0004467D" w:rsidRPr="00686C2A" w:rsidRDefault="0004467D" w:rsidP="0004467D">
      <w:pPr>
        <w:pStyle w:val="paragraph"/>
      </w:pPr>
      <w:r w:rsidRPr="00686C2A">
        <w:tab/>
        <w:t>(c)</w:t>
      </w:r>
      <w:r w:rsidRPr="00686C2A">
        <w:tab/>
        <w:t>for a regulated superannuation fund that has at least one defined benefit member who is being paid a defined benefit pension from the fund, but which has no defined benefit sub</w:t>
      </w:r>
      <w:r w:rsidR="00686C2A">
        <w:noBreakHyphen/>
      </w:r>
      <w:r w:rsidRPr="00686C2A">
        <w:t xml:space="preserve">funds—a statement of the </w:t>
      </w:r>
      <w:proofErr w:type="spellStart"/>
      <w:r w:rsidRPr="00686C2A">
        <w:t>SMSF</w:t>
      </w:r>
      <w:proofErr w:type="spellEnd"/>
      <w:r w:rsidRPr="00686C2A">
        <w:t xml:space="preserve"> actuary’s opinion on whether, at the valuation date, there is a high degree of probability that the defined benefit fund will be able to pay the pension as required under the fund’s governing rules; and</w:t>
      </w:r>
    </w:p>
    <w:p w:rsidR="0004467D" w:rsidRPr="00686C2A" w:rsidRDefault="0004467D" w:rsidP="0004467D">
      <w:pPr>
        <w:pStyle w:val="paragraph"/>
      </w:pPr>
      <w:r w:rsidRPr="00686C2A">
        <w:tab/>
        <w:t>(d)</w:t>
      </w:r>
      <w:r w:rsidRPr="00686C2A">
        <w:tab/>
        <w:t>for a defined benefit sub</w:t>
      </w:r>
      <w:r w:rsidR="00686C2A">
        <w:noBreakHyphen/>
      </w:r>
      <w:r w:rsidRPr="00686C2A">
        <w:t xml:space="preserve">fund from which at least one defined benefit member is being paid a defined benefit pension—a statement of the </w:t>
      </w:r>
      <w:proofErr w:type="spellStart"/>
      <w:r w:rsidRPr="00686C2A">
        <w:t>SMSF</w:t>
      </w:r>
      <w:proofErr w:type="spellEnd"/>
      <w:r w:rsidRPr="00686C2A">
        <w:t xml:space="preserve"> actuary’s opinion on whether, at the valuation date, there is a high degree of probability that the defined benefit sub</w:t>
      </w:r>
      <w:r w:rsidR="00686C2A">
        <w:noBreakHyphen/>
      </w:r>
      <w:r w:rsidRPr="00686C2A">
        <w:t>fund will be able to pay the pension as required under the fund’s governing rules.</w:t>
      </w:r>
    </w:p>
    <w:p w:rsidR="0004467D" w:rsidRPr="00686C2A" w:rsidRDefault="0004467D" w:rsidP="0004467D">
      <w:pPr>
        <w:pStyle w:val="paragraph"/>
      </w:pPr>
      <w:r w:rsidRPr="00686C2A">
        <w:tab/>
        <w:t>(e)</w:t>
      </w:r>
      <w:r w:rsidRPr="00686C2A">
        <w:tab/>
        <w:t>a statement recommending, in relation to the 3</w:t>
      </w:r>
      <w:r w:rsidR="00686C2A">
        <w:noBreakHyphen/>
      </w:r>
      <w:r w:rsidRPr="00686C2A">
        <w:t>year period immediately following the valuation date:</w:t>
      </w:r>
    </w:p>
    <w:p w:rsidR="0004467D" w:rsidRPr="00686C2A" w:rsidRDefault="0004467D" w:rsidP="0004467D">
      <w:pPr>
        <w:pStyle w:val="paragraphsub"/>
      </w:pPr>
      <w:r w:rsidRPr="00686C2A">
        <w:lastRenderedPageBreak/>
        <w:tab/>
        <w:t xml:space="preserve"> (</w:t>
      </w:r>
      <w:proofErr w:type="spellStart"/>
      <w:r w:rsidRPr="00686C2A">
        <w:t>i</w:t>
      </w:r>
      <w:proofErr w:type="spellEnd"/>
      <w:r w:rsidRPr="00686C2A">
        <w:t>)</w:t>
      </w:r>
      <w:r w:rsidRPr="00686C2A">
        <w:tab/>
        <w:t xml:space="preserve">the rate at which, or the range of rates within which, the </w:t>
      </w:r>
      <w:proofErr w:type="spellStart"/>
      <w:r w:rsidRPr="00686C2A">
        <w:t>SMSF</w:t>
      </w:r>
      <w:proofErr w:type="spellEnd"/>
      <w:r w:rsidRPr="00686C2A">
        <w:t xml:space="preserve"> actuary considers employer contributions should be made; or</w:t>
      </w:r>
    </w:p>
    <w:p w:rsidR="0004467D" w:rsidRPr="00686C2A" w:rsidRDefault="0004467D" w:rsidP="0004467D">
      <w:pPr>
        <w:pStyle w:val="paragraphsub"/>
      </w:pPr>
      <w:r w:rsidRPr="00686C2A">
        <w:tab/>
        <w:t>(ii)</w:t>
      </w:r>
      <w:r w:rsidRPr="00686C2A">
        <w:tab/>
        <w:t xml:space="preserve">if the </w:t>
      </w:r>
      <w:proofErr w:type="spellStart"/>
      <w:r w:rsidRPr="00686C2A">
        <w:t>SMSF</w:t>
      </w:r>
      <w:proofErr w:type="spellEnd"/>
      <w:r w:rsidRPr="00686C2A">
        <w:t xml:space="preserve"> actuary considers employer contributions should be made at different rates or within different ranges in respect of 2 or more periods within the 3</w:t>
      </w:r>
      <w:r w:rsidR="00686C2A">
        <w:noBreakHyphen/>
      </w:r>
      <w:r w:rsidRPr="00686C2A">
        <w:t>year period—those rates or ranges of rates; and</w:t>
      </w:r>
    </w:p>
    <w:p w:rsidR="0004467D" w:rsidRPr="00686C2A" w:rsidRDefault="0004467D" w:rsidP="0004467D">
      <w:pPr>
        <w:pStyle w:val="paragraph"/>
      </w:pPr>
      <w:r w:rsidRPr="00686C2A">
        <w:tab/>
        <w:t>(f)</w:t>
      </w:r>
      <w:r w:rsidRPr="00686C2A">
        <w:tab/>
        <w:t xml:space="preserve">a statement, made in accordance with </w:t>
      </w:r>
      <w:proofErr w:type="spellStart"/>
      <w:r w:rsidRPr="00686C2A">
        <w:t>subregulations</w:t>
      </w:r>
      <w:proofErr w:type="spellEnd"/>
      <w:r w:rsidRPr="00686C2A">
        <w:t xml:space="preserve"> (3) and (4), regarding the financial position of the fund or the sub</w:t>
      </w:r>
      <w:r w:rsidR="00686C2A">
        <w:noBreakHyphen/>
      </w:r>
      <w:r w:rsidRPr="00686C2A">
        <w:t>fund; and</w:t>
      </w:r>
    </w:p>
    <w:p w:rsidR="0004467D" w:rsidRPr="00686C2A" w:rsidRDefault="0004467D" w:rsidP="0004467D">
      <w:pPr>
        <w:pStyle w:val="paragraph"/>
      </w:pPr>
      <w:r w:rsidRPr="00686C2A">
        <w:tab/>
        <w:t>(g)</w:t>
      </w:r>
      <w:r w:rsidRPr="00686C2A">
        <w:tab/>
        <w:t>if the fund or sub</w:t>
      </w:r>
      <w:r w:rsidR="00686C2A">
        <w:noBreakHyphen/>
      </w:r>
      <w:r w:rsidRPr="00686C2A">
        <w:t>fund, has been used to reduce or remove the superannuation guarantee charge imposed by section</w:t>
      </w:r>
      <w:r w:rsidR="00686C2A" w:rsidRPr="00686C2A">
        <w:t> </w:t>
      </w:r>
      <w:r w:rsidRPr="00686C2A">
        <w:t xml:space="preserve">5 of the </w:t>
      </w:r>
      <w:r w:rsidRPr="00686C2A">
        <w:rPr>
          <w:i/>
          <w:iCs/>
        </w:rPr>
        <w:t>Superannuation Guarantee Charge Act 1992</w:t>
      </w:r>
      <w:r w:rsidRPr="00686C2A">
        <w:t>:</w:t>
      </w:r>
    </w:p>
    <w:p w:rsidR="0004467D" w:rsidRPr="00686C2A" w:rsidRDefault="0004467D" w:rsidP="0004467D">
      <w:pPr>
        <w:pStyle w:val="paragraphsub"/>
      </w:pPr>
      <w:r w:rsidRPr="00686C2A">
        <w:tab/>
        <w:t>(</w:t>
      </w:r>
      <w:proofErr w:type="spellStart"/>
      <w:r w:rsidRPr="00686C2A">
        <w:t>i</w:t>
      </w:r>
      <w:proofErr w:type="spellEnd"/>
      <w:r w:rsidRPr="00686C2A">
        <w:t>)</w:t>
      </w:r>
      <w:r w:rsidRPr="00686C2A">
        <w:tab/>
        <w:t>a statement that all funding and solvency certificates required under this Part during the period of the investigation to which the report relates were obtained; and</w:t>
      </w:r>
    </w:p>
    <w:p w:rsidR="0004467D" w:rsidRPr="00686C2A" w:rsidRDefault="0004467D" w:rsidP="0004467D">
      <w:pPr>
        <w:pStyle w:val="paragraphsub"/>
      </w:pPr>
      <w:r w:rsidRPr="00686C2A">
        <w:tab/>
        <w:t>(ii)</w:t>
      </w:r>
      <w:r w:rsidRPr="00686C2A">
        <w:tab/>
        <w:t xml:space="preserve">a statement of the </w:t>
      </w:r>
      <w:proofErr w:type="spellStart"/>
      <w:r w:rsidRPr="00686C2A">
        <w:t>SMSF</w:t>
      </w:r>
      <w:proofErr w:type="spellEnd"/>
      <w:r w:rsidRPr="00686C2A">
        <w:t xml:space="preserve"> actuary’s opinion regarding the likelihood of an actuary being able to certify the solvency of the fund or sub</w:t>
      </w:r>
      <w:r w:rsidR="00686C2A">
        <w:noBreakHyphen/>
      </w:r>
      <w:r w:rsidRPr="00686C2A">
        <w:t>fund in any funding and solvency certificate that may be required under these regulations during the 3</w:t>
      </w:r>
      <w:r w:rsidR="00686C2A">
        <w:noBreakHyphen/>
      </w:r>
      <w:r w:rsidRPr="00686C2A">
        <w:t>year period immediately following the valuation date; and</w:t>
      </w:r>
    </w:p>
    <w:p w:rsidR="0004467D" w:rsidRPr="00686C2A" w:rsidRDefault="0004467D" w:rsidP="0004467D">
      <w:pPr>
        <w:pStyle w:val="paragraph"/>
      </w:pPr>
      <w:r w:rsidRPr="00686C2A">
        <w:tab/>
        <w:t>(h)</w:t>
      </w:r>
      <w:r w:rsidRPr="00686C2A">
        <w:tab/>
        <w:t>if a prescribed event for paragraph</w:t>
      </w:r>
      <w:r w:rsidR="00686C2A" w:rsidRPr="00686C2A">
        <w:t> </w:t>
      </w:r>
      <w:r w:rsidRPr="00686C2A">
        <w:t>342(4)(a) has occurred in relation to the grant or transfer of a pre</w:t>
      </w:r>
      <w:r w:rsidR="00686C2A">
        <w:noBreakHyphen/>
      </w:r>
      <w:r w:rsidRPr="00686C2A">
        <w:t>1</w:t>
      </w:r>
      <w:r w:rsidR="00686C2A" w:rsidRPr="00686C2A">
        <w:t> </w:t>
      </w:r>
      <w:r w:rsidRPr="00686C2A">
        <w:t>July 1988 funding credit—a statement that the prescribed event has occurred.</w:t>
      </w:r>
    </w:p>
    <w:p w:rsidR="0004467D" w:rsidRPr="00686C2A" w:rsidRDefault="0004467D" w:rsidP="0004467D">
      <w:pPr>
        <w:pStyle w:val="subsection"/>
      </w:pPr>
      <w:r w:rsidRPr="00686C2A">
        <w:tab/>
        <w:t>(2)</w:t>
      </w:r>
      <w:r w:rsidRPr="00686C2A">
        <w:tab/>
        <w:t xml:space="preserve">In forming an opinion mentioned in </w:t>
      </w:r>
      <w:r w:rsidR="00686C2A" w:rsidRPr="00686C2A">
        <w:t>paragraph (</w:t>
      </w:r>
      <w:r w:rsidRPr="00686C2A">
        <w:t xml:space="preserve">1)(b), (1)(c) or (1)(d), the </w:t>
      </w:r>
      <w:proofErr w:type="spellStart"/>
      <w:r w:rsidRPr="00686C2A">
        <w:t>SMSF</w:t>
      </w:r>
      <w:proofErr w:type="spellEnd"/>
      <w:r w:rsidRPr="00686C2A">
        <w:t xml:space="preserve"> actuary must consider:</w:t>
      </w:r>
    </w:p>
    <w:p w:rsidR="0004467D" w:rsidRPr="00686C2A" w:rsidRDefault="0004467D" w:rsidP="0004467D">
      <w:pPr>
        <w:pStyle w:val="paragraph"/>
      </w:pPr>
      <w:r w:rsidRPr="00686C2A">
        <w:tab/>
        <w:t>(a)</w:t>
      </w:r>
      <w:r w:rsidRPr="00686C2A">
        <w:tab/>
        <w:t>the position of the fund or sub</w:t>
      </w:r>
      <w:r w:rsidR="00686C2A">
        <w:noBreakHyphen/>
      </w:r>
      <w:r w:rsidRPr="00686C2A">
        <w:t>fund at the valuation date; and</w:t>
      </w:r>
    </w:p>
    <w:p w:rsidR="0004467D" w:rsidRPr="00686C2A" w:rsidRDefault="0004467D" w:rsidP="0004467D">
      <w:pPr>
        <w:pStyle w:val="paragraph"/>
      </w:pPr>
      <w:r w:rsidRPr="00686C2A">
        <w:tab/>
        <w:t>(b)</w:t>
      </w:r>
      <w:r w:rsidRPr="00686C2A">
        <w:tab/>
        <w:t>the likely future position of the fund or sub</w:t>
      </w:r>
      <w:r w:rsidR="00686C2A">
        <w:noBreakHyphen/>
      </w:r>
      <w:r w:rsidRPr="00686C2A">
        <w:t xml:space="preserve">fund during the 3 years immediately following the valuation date, based on the </w:t>
      </w:r>
      <w:proofErr w:type="spellStart"/>
      <w:r w:rsidRPr="00686C2A">
        <w:t>SMSF</w:t>
      </w:r>
      <w:proofErr w:type="spellEnd"/>
      <w:r w:rsidRPr="00686C2A">
        <w:t xml:space="preserve"> actuary’s reasonable expectations.</w:t>
      </w:r>
    </w:p>
    <w:p w:rsidR="0004467D" w:rsidRPr="00686C2A" w:rsidRDefault="0004467D" w:rsidP="0004467D">
      <w:pPr>
        <w:pStyle w:val="subsection"/>
      </w:pPr>
      <w:r w:rsidRPr="00686C2A">
        <w:tab/>
        <w:t>(3)</w:t>
      </w:r>
      <w:r w:rsidRPr="00686C2A">
        <w:tab/>
        <w:t xml:space="preserve">In making a statement regarding financial position under </w:t>
      </w:r>
      <w:r w:rsidR="00686C2A" w:rsidRPr="00686C2A">
        <w:t>paragraph (</w:t>
      </w:r>
      <w:r w:rsidRPr="00686C2A">
        <w:t xml:space="preserve">1)(f), the </w:t>
      </w:r>
      <w:proofErr w:type="spellStart"/>
      <w:r w:rsidRPr="00686C2A">
        <w:t>SMSF</w:t>
      </w:r>
      <w:proofErr w:type="spellEnd"/>
      <w:r w:rsidRPr="00686C2A">
        <w:t xml:space="preserve"> actuary must indicate whether the financial position of the fund or sub</w:t>
      </w:r>
      <w:r w:rsidR="00686C2A">
        <w:noBreakHyphen/>
      </w:r>
      <w:r w:rsidRPr="00686C2A">
        <w:t>fund, is treated as unsatisfactory under regulation</w:t>
      </w:r>
      <w:r w:rsidR="00686C2A" w:rsidRPr="00686C2A">
        <w:t> </w:t>
      </w:r>
      <w:r w:rsidRPr="00686C2A">
        <w:t xml:space="preserve">9.04 and whether that position may, </w:t>
      </w:r>
      <w:r w:rsidRPr="00686C2A">
        <w:lastRenderedPageBreak/>
        <w:t xml:space="preserve">in the </w:t>
      </w:r>
      <w:proofErr w:type="spellStart"/>
      <w:r w:rsidRPr="00686C2A">
        <w:t>SMSF</w:t>
      </w:r>
      <w:proofErr w:type="spellEnd"/>
      <w:r w:rsidRPr="00686C2A">
        <w:t xml:space="preserve"> actuary’s opinion, be about to become unsatisfactory, taking into consideration the matters referred to in regulation</w:t>
      </w:r>
      <w:r w:rsidR="00686C2A" w:rsidRPr="00686C2A">
        <w:t> </w:t>
      </w:r>
      <w:r w:rsidRPr="00686C2A">
        <w:t>9.03.</w:t>
      </w:r>
    </w:p>
    <w:p w:rsidR="0004467D" w:rsidRPr="00686C2A" w:rsidRDefault="0004467D" w:rsidP="0004467D">
      <w:pPr>
        <w:pStyle w:val="subsection"/>
      </w:pPr>
      <w:r w:rsidRPr="00686C2A">
        <w:tab/>
        <w:t>(4)</w:t>
      </w:r>
      <w:r w:rsidRPr="00686C2A">
        <w:tab/>
        <w:t xml:space="preserve">If, in a statement made under </w:t>
      </w:r>
      <w:r w:rsidR="00686C2A" w:rsidRPr="00686C2A">
        <w:t>paragraph (</w:t>
      </w:r>
      <w:r w:rsidRPr="00686C2A">
        <w:t xml:space="preserve">1)(f), the </w:t>
      </w:r>
      <w:proofErr w:type="spellStart"/>
      <w:r w:rsidRPr="00686C2A">
        <w:t>SMSF</w:t>
      </w:r>
      <w:proofErr w:type="spellEnd"/>
      <w:r w:rsidRPr="00686C2A">
        <w:t xml:space="preserve"> actuary considers that the stated financial position of the fund or sub</w:t>
      </w:r>
      <w:r w:rsidR="00686C2A">
        <w:noBreakHyphen/>
      </w:r>
      <w:r w:rsidRPr="00686C2A">
        <w:t xml:space="preserve">fund is dependent on certain actions being taken, or certain schemes being implemented, the </w:t>
      </w:r>
      <w:proofErr w:type="spellStart"/>
      <w:r w:rsidRPr="00686C2A">
        <w:t>SMSF</w:t>
      </w:r>
      <w:proofErr w:type="spellEnd"/>
      <w:r w:rsidRPr="00686C2A">
        <w:t xml:space="preserve"> actuary must indicate this and must include in the statement a detailed description of those actions or schemes.</w:t>
      </w:r>
    </w:p>
    <w:p w:rsidR="0004467D" w:rsidRPr="00686C2A" w:rsidRDefault="00805112" w:rsidP="0004467D">
      <w:pPr>
        <w:pStyle w:val="ItemHead"/>
      </w:pPr>
      <w:r w:rsidRPr="00686C2A">
        <w:t>20</w:t>
      </w:r>
      <w:r w:rsidR="0004467D" w:rsidRPr="00686C2A">
        <w:t xml:space="preserve">  Amendments of listed provisions</w:t>
      </w:r>
    </w:p>
    <w:p w:rsidR="0004467D" w:rsidRPr="00686C2A" w:rsidRDefault="0004467D" w:rsidP="0004467D">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1417"/>
        <w:gridCol w:w="2555"/>
      </w:tblGrid>
      <w:tr w:rsidR="00A415EF" w:rsidRPr="00686C2A" w:rsidTr="001C38A0">
        <w:trPr>
          <w:tblHeader/>
        </w:trPr>
        <w:tc>
          <w:tcPr>
            <w:tcW w:w="7086" w:type="dxa"/>
            <w:gridSpan w:val="4"/>
            <w:tcBorders>
              <w:top w:val="single" w:sz="12" w:space="0" w:color="auto"/>
              <w:bottom w:val="single" w:sz="6" w:space="0" w:color="auto"/>
            </w:tcBorders>
            <w:shd w:val="clear" w:color="auto" w:fill="auto"/>
          </w:tcPr>
          <w:p w:rsidR="0004467D" w:rsidRPr="00686C2A" w:rsidRDefault="0004467D" w:rsidP="001C38A0">
            <w:pPr>
              <w:pStyle w:val="TableHeading"/>
            </w:pPr>
            <w:r w:rsidRPr="00686C2A">
              <w:t>Amendments of listed provisions—responsible actuary, superannuation actuary and superannuation auditor</w:t>
            </w:r>
          </w:p>
        </w:tc>
      </w:tr>
      <w:tr w:rsidR="00A415EF" w:rsidRPr="00686C2A" w:rsidTr="006928AF">
        <w:trPr>
          <w:tblHeader/>
        </w:trPr>
        <w:tc>
          <w:tcPr>
            <w:tcW w:w="714" w:type="dxa"/>
            <w:tcBorders>
              <w:top w:val="single" w:sz="6" w:space="0" w:color="auto"/>
              <w:bottom w:val="single" w:sz="12" w:space="0" w:color="auto"/>
            </w:tcBorders>
            <w:shd w:val="clear" w:color="auto" w:fill="auto"/>
          </w:tcPr>
          <w:p w:rsidR="0004467D" w:rsidRPr="00686C2A" w:rsidRDefault="0004467D" w:rsidP="001C38A0">
            <w:pPr>
              <w:pStyle w:val="TableHeading"/>
            </w:pPr>
            <w:r w:rsidRPr="00686C2A">
              <w:t>Item</w:t>
            </w:r>
          </w:p>
        </w:tc>
        <w:tc>
          <w:tcPr>
            <w:tcW w:w="2400" w:type="dxa"/>
            <w:tcBorders>
              <w:top w:val="single" w:sz="6" w:space="0" w:color="auto"/>
              <w:bottom w:val="single" w:sz="12" w:space="0" w:color="auto"/>
            </w:tcBorders>
            <w:shd w:val="clear" w:color="auto" w:fill="auto"/>
          </w:tcPr>
          <w:p w:rsidR="0004467D" w:rsidRPr="00686C2A" w:rsidRDefault="0004467D" w:rsidP="001C38A0">
            <w:pPr>
              <w:pStyle w:val="TableHeading"/>
            </w:pPr>
            <w:r w:rsidRPr="00686C2A">
              <w:t>Provision</w:t>
            </w:r>
          </w:p>
        </w:tc>
        <w:tc>
          <w:tcPr>
            <w:tcW w:w="1417" w:type="dxa"/>
            <w:tcBorders>
              <w:top w:val="single" w:sz="6" w:space="0" w:color="auto"/>
              <w:bottom w:val="single" w:sz="12" w:space="0" w:color="auto"/>
            </w:tcBorders>
            <w:shd w:val="clear" w:color="auto" w:fill="auto"/>
          </w:tcPr>
          <w:p w:rsidR="0004467D" w:rsidRPr="00686C2A" w:rsidRDefault="0004467D" w:rsidP="001C38A0">
            <w:pPr>
              <w:pStyle w:val="TableHeading"/>
            </w:pPr>
            <w:r w:rsidRPr="00686C2A">
              <w:t>Omit:</w:t>
            </w:r>
          </w:p>
        </w:tc>
        <w:tc>
          <w:tcPr>
            <w:tcW w:w="2555" w:type="dxa"/>
            <w:tcBorders>
              <w:top w:val="single" w:sz="6" w:space="0" w:color="auto"/>
              <w:bottom w:val="single" w:sz="12" w:space="0" w:color="auto"/>
            </w:tcBorders>
            <w:shd w:val="clear" w:color="auto" w:fill="auto"/>
          </w:tcPr>
          <w:p w:rsidR="0004467D" w:rsidRPr="00686C2A" w:rsidRDefault="0004467D" w:rsidP="001C38A0">
            <w:pPr>
              <w:pStyle w:val="TableHeading"/>
            </w:pPr>
            <w:r w:rsidRPr="00686C2A">
              <w:t>Substitute:</w:t>
            </w:r>
          </w:p>
        </w:tc>
      </w:tr>
      <w:tr w:rsidR="00A415EF" w:rsidRPr="00686C2A" w:rsidTr="006928AF">
        <w:tc>
          <w:tcPr>
            <w:tcW w:w="714" w:type="dxa"/>
            <w:tcBorders>
              <w:top w:val="single" w:sz="12" w:space="0" w:color="auto"/>
              <w:bottom w:val="single" w:sz="6" w:space="0" w:color="auto"/>
            </w:tcBorders>
            <w:shd w:val="clear" w:color="auto" w:fill="auto"/>
          </w:tcPr>
          <w:p w:rsidR="0004467D" w:rsidRPr="00686C2A" w:rsidRDefault="0004467D" w:rsidP="001C38A0">
            <w:pPr>
              <w:pStyle w:val="Tabletext"/>
            </w:pPr>
            <w:r w:rsidRPr="00686C2A">
              <w:t>1</w:t>
            </w:r>
          </w:p>
        </w:tc>
        <w:tc>
          <w:tcPr>
            <w:tcW w:w="2400" w:type="dxa"/>
            <w:tcBorders>
              <w:top w:val="single" w:sz="12" w:space="0" w:color="auto"/>
              <w:bottom w:val="single" w:sz="6" w:space="0" w:color="auto"/>
            </w:tcBorders>
            <w:shd w:val="clear" w:color="auto" w:fill="auto"/>
          </w:tcPr>
          <w:p w:rsidR="0004467D" w:rsidRPr="00686C2A" w:rsidRDefault="0004467D" w:rsidP="001C38A0">
            <w:pPr>
              <w:pStyle w:val="Tabletext"/>
            </w:pPr>
            <w:r w:rsidRPr="00686C2A">
              <w:t>Paragraph</w:t>
            </w:r>
            <w:r w:rsidR="001B3BA3" w:rsidRPr="00686C2A">
              <w:t xml:space="preserve"> </w:t>
            </w:r>
            <w:r w:rsidRPr="00686C2A">
              <w:t>9.03(2)(a)</w:t>
            </w:r>
          </w:p>
        </w:tc>
        <w:tc>
          <w:tcPr>
            <w:tcW w:w="1417" w:type="dxa"/>
            <w:tcBorders>
              <w:top w:val="single" w:sz="12" w:space="0" w:color="auto"/>
              <w:bottom w:val="single" w:sz="6" w:space="0" w:color="auto"/>
            </w:tcBorders>
            <w:shd w:val="clear" w:color="auto" w:fill="auto"/>
          </w:tcPr>
          <w:p w:rsidR="0004467D" w:rsidRPr="00686C2A" w:rsidRDefault="0004467D" w:rsidP="001C38A0">
            <w:pPr>
              <w:pStyle w:val="Tabletext"/>
            </w:pPr>
            <w:r w:rsidRPr="00686C2A">
              <w:t>an actuary</w:t>
            </w:r>
          </w:p>
        </w:tc>
        <w:tc>
          <w:tcPr>
            <w:tcW w:w="2555" w:type="dxa"/>
            <w:tcBorders>
              <w:top w:val="single" w:sz="12" w:space="0" w:color="auto"/>
              <w:bottom w:val="single" w:sz="6" w:space="0" w:color="auto"/>
            </w:tcBorders>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tcBorders>
              <w:top w:val="single" w:sz="6" w:space="0" w:color="auto"/>
              <w:bottom w:val="single" w:sz="6" w:space="0" w:color="auto"/>
            </w:tcBorders>
            <w:shd w:val="clear" w:color="auto" w:fill="auto"/>
          </w:tcPr>
          <w:p w:rsidR="0004467D" w:rsidRPr="00686C2A" w:rsidRDefault="0004467D" w:rsidP="001C38A0">
            <w:pPr>
              <w:pStyle w:val="Tabletext"/>
            </w:pPr>
            <w:r w:rsidRPr="00686C2A">
              <w:t>2</w:t>
            </w:r>
          </w:p>
        </w:tc>
        <w:tc>
          <w:tcPr>
            <w:tcW w:w="2400" w:type="dxa"/>
            <w:tcBorders>
              <w:top w:val="single" w:sz="6" w:space="0" w:color="auto"/>
              <w:bottom w:val="single" w:sz="6" w:space="0" w:color="auto"/>
            </w:tcBorders>
            <w:shd w:val="clear" w:color="auto" w:fill="auto"/>
          </w:tcPr>
          <w:p w:rsidR="0004467D" w:rsidRPr="00686C2A" w:rsidRDefault="0004467D" w:rsidP="001C38A0">
            <w:pPr>
              <w:pStyle w:val="Tabletext"/>
            </w:pPr>
            <w:r w:rsidRPr="00686C2A">
              <w:t>Paragraph</w:t>
            </w:r>
            <w:r w:rsidR="001B3BA3" w:rsidRPr="00686C2A">
              <w:t xml:space="preserve"> </w:t>
            </w:r>
            <w:r w:rsidRPr="00686C2A">
              <w:t>9.03(2)(b)</w:t>
            </w:r>
          </w:p>
        </w:tc>
        <w:tc>
          <w:tcPr>
            <w:tcW w:w="1417" w:type="dxa"/>
            <w:tcBorders>
              <w:top w:val="single" w:sz="6" w:space="0" w:color="auto"/>
              <w:bottom w:val="single" w:sz="6" w:space="0" w:color="auto"/>
            </w:tcBorders>
            <w:shd w:val="clear" w:color="auto" w:fill="auto"/>
          </w:tcPr>
          <w:p w:rsidR="0004467D" w:rsidRPr="00686C2A" w:rsidRDefault="0004467D" w:rsidP="001C38A0">
            <w:pPr>
              <w:pStyle w:val="Tabletext"/>
            </w:pPr>
            <w:r w:rsidRPr="00686C2A">
              <w:t>an auditor</w:t>
            </w:r>
          </w:p>
        </w:tc>
        <w:tc>
          <w:tcPr>
            <w:tcW w:w="2555" w:type="dxa"/>
            <w:tcBorders>
              <w:top w:val="single" w:sz="6" w:space="0" w:color="auto"/>
              <w:bottom w:val="single" w:sz="6" w:space="0" w:color="auto"/>
            </w:tcBorders>
            <w:shd w:val="clear" w:color="auto" w:fill="auto"/>
          </w:tcPr>
          <w:p w:rsidR="0004467D" w:rsidRPr="00686C2A" w:rsidRDefault="0004467D" w:rsidP="001C38A0">
            <w:pPr>
              <w:pStyle w:val="Tabletext"/>
            </w:pPr>
            <w:r w:rsidRPr="00686C2A">
              <w:t>a superannuation auditor</w:t>
            </w:r>
          </w:p>
        </w:tc>
      </w:tr>
      <w:tr w:rsidR="00A415EF" w:rsidRPr="00686C2A" w:rsidTr="006928AF">
        <w:tc>
          <w:tcPr>
            <w:tcW w:w="714"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3</w:t>
            </w:r>
          </w:p>
        </w:tc>
        <w:tc>
          <w:tcPr>
            <w:tcW w:w="2400"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Paragraph</w:t>
            </w:r>
            <w:r w:rsidR="001B3BA3" w:rsidRPr="00686C2A">
              <w:t xml:space="preserve"> </w:t>
            </w:r>
            <w:r w:rsidRPr="00686C2A">
              <w:t>9.03(2)(b)</w:t>
            </w:r>
          </w:p>
        </w:tc>
        <w:tc>
          <w:tcPr>
            <w:tcW w:w="1417"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an actuary</w:t>
            </w:r>
          </w:p>
        </w:tc>
        <w:tc>
          <w:tcPr>
            <w:tcW w:w="2555"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4</w:t>
            </w:r>
          </w:p>
        </w:tc>
        <w:tc>
          <w:tcPr>
            <w:tcW w:w="2400" w:type="dxa"/>
            <w:tcBorders>
              <w:top w:val="single" w:sz="6" w:space="0" w:color="auto"/>
              <w:bottom w:val="single" w:sz="2" w:space="0" w:color="auto"/>
            </w:tcBorders>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9.03(4)</w:t>
            </w:r>
          </w:p>
        </w:tc>
        <w:tc>
          <w:tcPr>
            <w:tcW w:w="1417"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an actuary</w:t>
            </w:r>
          </w:p>
        </w:tc>
        <w:tc>
          <w:tcPr>
            <w:tcW w:w="2555"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5</w:t>
            </w:r>
          </w:p>
        </w:tc>
        <w:tc>
          <w:tcPr>
            <w:tcW w:w="2400" w:type="dxa"/>
            <w:tcBorders>
              <w:top w:val="single" w:sz="6" w:space="0" w:color="auto"/>
              <w:bottom w:val="single" w:sz="2" w:space="0" w:color="auto"/>
            </w:tcBorders>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9.03(5)</w:t>
            </w:r>
          </w:p>
        </w:tc>
        <w:tc>
          <w:tcPr>
            <w:tcW w:w="1417"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an auditor</w:t>
            </w:r>
          </w:p>
        </w:tc>
        <w:tc>
          <w:tcPr>
            <w:tcW w:w="2555"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a superannuation auditor</w:t>
            </w:r>
          </w:p>
        </w:tc>
      </w:tr>
      <w:tr w:rsidR="00A415EF" w:rsidRPr="00686C2A" w:rsidTr="006928AF">
        <w:tc>
          <w:tcPr>
            <w:tcW w:w="714"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6</w:t>
            </w:r>
          </w:p>
        </w:tc>
        <w:tc>
          <w:tcPr>
            <w:tcW w:w="2400" w:type="dxa"/>
            <w:tcBorders>
              <w:top w:val="single" w:sz="6" w:space="0" w:color="auto"/>
              <w:bottom w:val="single" w:sz="2" w:space="0" w:color="auto"/>
            </w:tcBorders>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9.03(5)</w:t>
            </w:r>
          </w:p>
        </w:tc>
        <w:tc>
          <w:tcPr>
            <w:tcW w:w="1417"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the auditor</w:t>
            </w:r>
          </w:p>
        </w:tc>
        <w:tc>
          <w:tcPr>
            <w:tcW w:w="2555" w:type="dxa"/>
            <w:tcBorders>
              <w:top w:val="single" w:sz="6" w:space="0" w:color="auto"/>
              <w:bottom w:val="single" w:sz="2" w:space="0" w:color="auto"/>
            </w:tcBorders>
            <w:shd w:val="clear" w:color="auto" w:fill="auto"/>
          </w:tcPr>
          <w:p w:rsidR="0004467D" w:rsidRPr="00686C2A" w:rsidRDefault="0004467D" w:rsidP="001C38A0">
            <w:pPr>
              <w:pStyle w:val="Tabletext"/>
            </w:pPr>
            <w:r w:rsidRPr="00686C2A">
              <w:t>the superannuation auditor</w:t>
            </w:r>
          </w:p>
        </w:tc>
      </w:tr>
      <w:tr w:rsidR="00A415EF" w:rsidRPr="00686C2A" w:rsidTr="006928AF">
        <w:tc>
          <w:tcPr>
            <w:tcW w:w="714"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7</w:t>
            </w:r>
          </w:p>
        </w:tc>
        <w:tc>
          <w:tcPr>
            <w:tcW w:w="2400" w:type="dxa"/>
            <w:tcBorders>
              <w:top w:val="single" w:sz="2" w:space="0" w:color="auto"/>
              <w:bottom w:val="single" w:sz="2" w:space="0" w:color="auto"/>
            </w:tcBorders>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9.06(1)</w:t>
            </w:r>
          </w:p>
        </w:tc>
        <w:tc>
          <w:tcPr>
            <w:tcW w:w="1417"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an actuary (wherever occurring)</w:t>
            </w:r>
          </w:p>
        </w:tc>
        <w:tc>
          <w:tcPr>
            <w:tcW w:w="2555"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8</w:t>
            </w:r>
          </w:p>
        </w:tc>
        <w:tc>
          <w:tcPr>
            <w:tcW w:w="2400" w:type="dxa"/>
            <w:tcBorders>
              <w:top w:val="single" w:sz="2" w:space="0" w:color="auto"/>
              <w:bottom w:val="single" w:sz="2" w:space="0" w:color="auto"/>
            </w:tcBorders>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9.06(1) (</w:t>
            </w:r>
            <w:r w:rsidR="00686C2A" w:rsidRPr="00686C2A">
              <w:t>paragraph (</w:t>
            </w:r>
            <w:r w:rsidRPr="00686C2A">
              <w:t xml:space="preserve">a) of the definition of </w:t>
            </w:r>
            <w:r w:rsidRPr="00686C2A">
              <w:rPr>
                <w:b/>
                <w:i/>
              </w:rPr>
              <w:t>period of technical insolvency</w:t>
            </w:r>
            <w:r w:rsidRPr="00686C2A">
              <w:t>)</w:t>
            </w:r>
          </w:p>
        </w:tc>
        <w:tc>
          <w:tcPr>
            <w:tcW w:w="1417"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the actuary</w:t>
            </w:r>
          </w:p>
        </w:tc>
        <w:tc>
          <w:tcPr>
            <w:tcW w:w="2555"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the responsible actuary</w:t>
            </w:r>
          </w:p>
        </w:tc>
      </w:tr>
      <w:tr w:rsidR="00A415EF" w:rsidRPr="00686C2A" w:rsidTr="006928AF">
        <w:tc>
          <w:tcPr>
            <w:tcW w:w="714"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9</w:t>
            </w:r>
          </w:p>
        </w:tc>
        <w:tc>
          <w:tcPr>
            <w:tcW w:w="2400" w:type="dxa"/>
            <w:tcBorders>
              <w:top w:val="single" w:sz="2" w:space="0" w:color="auto"/>
              <w:bottom w:val="single" w:sz="2" w:space="0" w:color="auto"/>
            </w:tcBorders>
            <w:shd w:val="clear" w:color="auto" w:fill="auto"/>
          </w:tcPr>
          <w:p w:rsidR="0004467D" w:rsidRPr="00686C2A" w:rsidRDefault="0004467D" w:rsidP="001C38A0">
            <w:pPr>
              <w:pStyle w:val="Tabletext"/>
            </w:pPr>
            <w:proofErr w:type="spellStart"/>
            <w:r w:rsidRPr="00686C2A">
              <w:t>Subregulations</w:t>
            </w:r>
            <w:proofErr w:type="spellEnd"/>
            <w:r w:rsidR="00686C2A" w:rsidRPr="00686C2A">
              <w:t> </w:t>
            </w:r>
            <w:r w:rsidRPr="00686C2A">
              <w:t>9.08(3) and (4)</w:t>
            </w:r>
          </w:p>
        </w:tc>
        <w:tc>
          <w:tcPr>
            <w:tcW w:w="1417"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the actuary</w:t>
            </w:r>
          </w:p>
        </w:tc>
        <w:tc>
          <w:tcPr>
            <w:tcW w:w="2555"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10</w:t>
            </w:r>
          </w:p>
        </w:tc>
        <w:tc>
          <w:tcPr>
            <w:tcW w:w="2400" w:type="dxa"/>
            <w:tcBorders>
              <w:top w:val="single" w:sz="2" w:space="0" w:color="auto"/>
              <w:bottom w:val="single" w:sz="2" w:space="0" w:color="auto"/>
            </w:tcBorders>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9.08(4)</w:t>
            </w:r>
          </w:p>
        </w:tc>
        <w:tc>
          <w:tcPr>
            <w:tcW w:w="1417"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an actuary</w:t>
            </w:r>
          </w:p>
        </w:tc>
        <w:tc>
          <w:tcPr>
            <w:tcW w:w="2555" w:type="dxa"/>
            <w:tcBorders>
              <w:top w:val="single" w:sz="2" w:space="0" w:color="auto"/>
              <w:bottom w:val="single" w:sz="2" w:space="0" w:color="auto"/>
            </w:tcBorders>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tcBorders>
              <w:top w:val="single" w:sz="2" w:space="0" w:color="auto"/>
            </w:tcBorders>
            <w:shd w:val="clear" w:color="auto" w:fill="auto"/>
          </w:tcPr>
          <w:p w:rsidR="0004467D" w:rsidRPr="00686C2A" w:rsidRDefault="0004467D" w:rsidP="001C38A0">
            <w:pPr>
              <w:pStyle w:val="Tabletext"/>
            </w:pPr>
            <w:r w:rsidRPr="00686C2A">
              <w:t>11</w:t>
            </w:r>
          </w:p>
        </w:tc>
        <w:tc>
          <w:tcPr>
            <w:tcW w:w="2400" w:type="dxa"/>
            <w:tcBorders>
              <w:top w:val="single" w:sz="2" w:space="0" w:color="auto"/>
            </w:tcBorders>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9.08(5)</w:t>
            </w:r>
          </w:p>
        </w:tc>
        <w:tc>
          <w:tcPr>
            <w:tcW w:w="1417" w:type="dxa"/>
            <w:tcBorders>
              <w:top w:val="single" w:sz="2" w:space="0" w:color="auto"/>
            </w:tcBorders>
            <w:shd w:val="clear" w:color="auto" w:fill="auto"/>
          </w:tcPr>
          <w:p w:rsidR="0004467D" w:rsidRPr="00686C2A" w:rsidRDefault="0004467D" w:rsidP="001C38A0">
            <w:pPr>
              <w:pStyle w:val="Tabletext"/>
            </w:pPr>
            <w:r w:rsidRPr="00686C2A">
              <w:t>the actuary</w:t>
            </w:r>
          </w:p>
        </w:tc>
        <w:tc>
          <w:tcPr>
            <w:tcW w:w="2555" w:type="dxa"/>
            <w:tcBorders>
              <w:top w:val="single" w:sz="2" w:space="0" w:color="auto"/>
            </w:tcBorders>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12</w:t>
            </w:r>
          </w:p>
        </w:tc>
        <w:tc>
          <w:tcPr>
            <w:tcW w:w="2400" w:type="dxa"/>
            <w:shd w:val="clear" w:color="auto" w:fill="auto"/>
          </w:tcPr>
          <w:p w:rsidR="0004467D" w:rsidRPr="00686C2A" w:rsidRDefault="0004467D" w:rsidP="001C38A0">
            <w:pPr>
              <w:pStyle w:val="Tabletext"/>
            </w:pPr>
            <w:r w:rsidRPr="00686C2A">
              <w:t>Regulation</w:t>
            </w:r>
            <w:r w:rsidR="00686C2A" w:rsidRPr="00686C2A">
              <w:t> </w:t>
            </w:r>
            <w:r w:rsidRPr="00686C2A">
              <w:t>9.09</w:t>
            </w:r>
          </w:p>
        </w:tc>
        <w:tc>
          <w:tcPr>
            <w:tcW w:w="1417" w:type="dxa"/>
            <w:shd w:val="clear" w:color="auto" w:fill="auto"/>
          </w:tcPr>
          <w:p w:rsidR="0004467D" w:rsidRPr="00686C2A" w:rsidRDefault="0004467D" w:rsidP="001C38A0">
            <w:pPr>
              <w:pStyle w:val="Tabletext"/>
            </w:pPr>
            <w:r w:rsidRPr="00686C2A">
              <w:t>an actuary (wherever occurring)</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13</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9.10(1)</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14</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9.10(1)</w:t>
            </w:r>
          </w:p>
        </w:tc>
        <w:tc>
          <w:tcPr>
            <w:tcW w:w="1417" w:type="dxa"/>
            <w:shd w:val="clear" w:color="auto" w:fill="auto"/>
          </w:tcPr>
          <w:p w:rsidR="0004467D" w:rsidRPr="00686C2A" w:rsidRDefault="0004467D" w:rsidP="001C38A0">
            <w:pPr>
              <w:pStyle w:val="Tabletext"/>
            </w:pPr>
            <w:r w:rsidRPr="00686C2A">
              <w:t xml:space="preserve">the actuary </w:t>
            </w:r>
            <w:r w:rsidRPr="00686C2A">
              <w:lastRenderedPageBreak/>
              <w:t>(wherever occurring)</w:t>
            </w:r>
          </w:p>
        </w:tc>
        <w:tc>
          <w:tcPr>
            <w:tcW w:w="2555" w:type="dxa"/>
            <w:shd w:val="clear" w:color="auto" w:fill="auto"/>
          </w:tcPr>
          <w:p w:rsidR="0004467D" w:rsidRPr="00686C2A" w:rsidRDefault="0004467D" w:rsidP="001C38A0">
            <w:pPr>
              <w:pStyle w:val="Tabletext"/>
            </w:pPr>
            <w:r w:rsidRPr="00686C2A">
              <w:lastRenderedPageBreak/>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lastRenderedPageBreak/>
              <w:t>15</w:t>
            </w:r>
          </w:p>
        </w:tc>
        <w:tc>
          <w:tcPr>
            <w:tcW w:w="2400" w:type="dxa"/>
            <w:shd w:val="clear" w:color="auto" w:fill="auto"/>
          </w:tcPr>
          <w:p w:rsidR="0004467D" w:rsidRPr="00686C2A" w:rsidRDefault="0004467D" w:rsidP="001C38A0">
            <w:pPr>
              <w:pStyle w:val="Tabletext"/>
            </w:pPr>
            <w:r w:rsidRPr="00686C2A">
              <w:t>Regulations</w:t>
            </w:r>
            <w:r w:rsidR="00686C2A" w:rsidRPr="00686C2A">
              <w:t> </w:t>
            </w:r>
            <w:r w:rsidRPr="00686C2A">
              <w:t>9.11 and 9.12</w:t>
            </w:r>
          </w:p>
        </w:tc>
        <w:tc>
          <w:tcPr>
            <w:tcW w:w="1417" w:type="dxa"/>
            <w:shd w:val="clear" w:color="auto" w:fill="auto"/>
          </w:tcPr>
          <w:p w:rsidR="0004467D" w:rsidRPr="00686C2A" w:rsidRDefault="0004467D" w:rsidP="001C38A0">
            <w:pPr>
              <w:pStyle w:val="Tabletext"/>
            </w:pPr>
            <w:r w:rsidRPr="00686C2A">
              <w:t>the actuary (wherever occurring)</w:t>
            </w:r>
          </w:p>
        </w:tc>
        <w:tc>
          <w:tcPr>
            <w:tcW w:w="2555" w:type="dxa"/>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16</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9.13(4)</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17</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9.13(4)</w:t>
            </w:r>
          </w:p>
        </w:tc>
        <w:tc>
          <w:tcPr>
            <w:tcW w:w="1417" w:type="dxa"/>
            <w:shd w:val="clear" w:color="auto" w:fill="auto"/>
          </w:tcPr>
          <w:p w:rsidR="0004467D" w:rsidRPr="00686C2A" w:rsidRDefault="0004467D" w:rsidP="001C38A0">
            <w:pPr>
              <w:pStyle w:val="Tabletext"/>
            </w:pPr>
            <w:r w:rsidRPr="00686C2A">
              <w:t>the actuary (wherever occurring)</w:t>
            </w:r>
          </w:p>
        </w:tc>
        <w:tc>
          <w:tcPr>
            <w:tcW w:w="2555" w:type="dxa"/>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18</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9.16(1)</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19</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9.16(1)</w:t>
            </w:r>
          </w:p>
        </w:tc>
        <w:tc>
          <w:tcPr>
            <w:tcW w:w="1417" w:type="dxa"/>
            <w:shd w:val="clear" w:color="auto" w:fill="auto"/>
          </w:tcPr>
          <w:p w:rsidR="0004467D" w:rsidRPr="00686C2A" w:rsidRDefault="0004467D" w:rsidP="001C38A0">
            <w:pPr>
              <w:pStyle w:val="Tabletext"/>
            </w:pPr>
            <w:r w:rsidRPr="00686C2A">
              <w:t>the actuary (wherever occurring)</w:t>
            </w:r>
          </w:p>
        </w:tc>
        <w:tc>
          <w:tcPr>
            <w:tcW w:w="2555" w:type="dxa"/>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20</w:t>
            </w:r>
          </w:p>
        </w:tc>
        <w:tc>
          <w:tcPr>
            <w:tcW w:w="2400" w:type="dxa"/>
            <w:shd w:val="clear" w:color="auto" w:fill="auto"/>
          </w:tcPr>
          <w:p w:rsidR="0004467D" w:rsidRPr="00686C2A" w:rsidRDefault="0004467D" w:rsidP="001C38A0">
            <w:pPr>
              <w:pStyle w:val="Tabletext"/>
            </w:pPr>
            <w:r w:rsidRPr="00686C2A">
              <w:t>Paragraph 9.17(a)</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21</w:t>
            </w:r>
          </w:p>
        </w:tc>
        <w:tc>
          <w:tcPr>
            <w:tcW w:w="2400" w:type="dxa"/>
            <w:shd w:val="clear" w:color="auto" w:fill="auto"/>
          </w:tcPr>
          <w:p w:rsidR="0004467D" w:rsidRPr="00686C2A" w:rsidRDefault="0004467D" w:rsidP="001C38A0">
            <w:pPr>
              <w:pStyle w:val="Tabletext"/>
            </w:pPr>
            <w:r w:rsidRPr="00686C2A">
              <w:t>Paragraph 9.17(a)</w:t>
            </w:r>
          </w:p>
        </w:tc>
        <w:tc>
          <w:tcPr>
            <w:tcW w:w="1417" w:type="dxa"/>
            <w:shd w:val="clear" w:color="auto" w:fill="auto"/>
          </w:tcPr>
          <w:p w:rsidR="0004467D" w:rsidRPr="00686C2A" w:rsidRDefault="0004467D" w:rsidP="001C38A0">
            <w:pPr>
              <w:pStyle w:val="Tabletext"/>
            </w:pPr>
            <w:r w:rsidRPr="00686C2A">
              <w:t>the actuary</w:t>
            </w:r>
          </w:p>
        </w:tc>
        <w:tc>
          <w:tcPr>
            <w:tcW w:w="2555" w:type="dxa"/>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22</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9.18(9)</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23</w:t>
            </w:r>
          </w:p>
        </w:tc>
        <w:tc>
          <w:tcPr>
            <w:tcW w:w="2400" w:type="dxa"/>
            <w:shd w:val="clear" w:color="auto" w:fill="auto"/>
          </w:tcPr>
          <w:p w:rsidR="0004467D" w:rsidRPr="00686C2A" w:rsidRDefault="0004467D" w:rsidP="001C38A0">
            <w:pPr>
              <w:pStyle w:val="Tabletext"/>
            </w:pPr>
            <w:r w:rsidRPr="00686C2A">
              <w:t>Paragraphs 9.18(9)(b) and (d)</w:t>
            </w:r>
          </w:p>
        </w:tc>
        <w:tc>
          <w:tcPr>
            <w:tcW w:w="1417" w:type="dxa"/>
            <w:shd w:val="clear" w:color="auto" w:fill="auto"/>
          </w:tcPr>
          <w:p w:rsidR="0004467D" w:rsidRPr="00686C2A" w:rsidRDefault="0004467D" w:rsidP="001C38A0">
            <w:pPr>
              <w:pStyle w:val="Tabletext"/>
            </w:pPr>
            <w:r w:rsidRPr="00686C2A">
              <w:t>the actuary</w:t>
            </w:r>
          </w:p>
        </w:tc>
        <w:tc>
          <w:tcPr>
            <w:tcW w:w="2555" w:type="dxa"/>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24</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9.19(3)</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25</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9.19(5)</w:t>
            </w:r>
          </w:p>
        </w:tc>
        <w:tc>
          <w:tcPr>
            <w:tcW w:w="1417" w:type="dxa"/>
            <w:shd w:val="clear" w:color="auto" w:fill="auto"/>
          </w:tcPr>
          <w:p w:rsidR="0004467D" w:rsidRPr="00686C2A" w:rsidRDefault="0004467D" w:rsidP="001C38A0">
            <w:pPr>
              <w:pStyle w:val="Tabletext"/>
            </w:pPr>
            <w:r w:rsidRPr="00686C2A">
              <w:t>the actuary</w:t>
            </w:r>
          </w:p>
        </w:tc>
        <w:tc>
          <w:tcPr>
            <w:tcW w:w="2555" w:type="dxa"/>
            <w:shd w:val="clear" w:color="auto" w:fill="auto"/>
          </w:tcPr>
          <w:p w:rsidR="0004467D" w:rsidRPr="00686C2A" w:rsidRDefault="0004467D" w:rsidP="001C38A0">
            <w:pPr>
              <w:pStyle w:val="Tabletext"/>
            </w:pPr>
            <w:r w:rsidRPr="00686C2A">
              <w:t>the responsible actuary</w:t>
            </w:r>
          </w:p>
        </w:tc>
      </w:tr>
      <w:tr w:rsidR="00A415EF" w:rsidRPr="00686C2A" w:rsidTr="006928AF">
        <w:tc>
          <w:tcPr>
            <w:tcW w:w="714" w:type="dxa"/>
            <w:shd w:val="clear" w:color="auto" w:fill="auto"/>
          </w:tcPr>
          <w:p w:rsidR="0004467D" w:rsidRPr="00686C2A" w:rsidRDefault="0004467D" w:rsidP="001C38A0">
            <w:pPr>
              <w:pStyle w:val="Tabletext"/>
            </w:pPr>
            <w:r w:rsidRPr="00686C2A">
              <w:t>26</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9.23(1)(b)</w:t>
            </w:r>
          </w:p>
        </w:tc>
        <w:tc>
          <w:tcPr>
            <w:tcW w:w="1417" w:type="dxa"/>
            <w:shd w:val="clear" w:color="auto" w:fill="auto"/>
          </w:tcPr>
          <w:p w:rsidR="0004467D" w:rsidRPr="00686C2A" w:rsidRDefault="0004467D" w:rsidP="001C38A0">
            <w:pPr>
              <w:pStyle w:val="Tabletext"/>
            </w:pPr>
            <w:r w:rsidRPr="00686C2A">
              <w:t>the actuary</w:t>
            </w:r>
          </w:p>
        </w:tc>
        <w:tc>
          <w:tcPr>
            <w:tcW w:w="2555" w:type="dxa"/>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27</w:t>
            </w:r>
          </w:p>
        </w:tc>
        <w:tc>
          <w:tcPr>
            <w:tcW w:w="2400" w:type="dxa"/>
            <w:shd w:val="clear" w:color="auto" w:fill="auto"/>
          </w:tcPr>
          <w:p w:rsidR="0004467D" w:rsidRPr="00686C2A" w:rsidRDefault="0004467D" w:rsidP="001C38A0">
            <w:pPr>
              <w:pStyle w:val="Tabletext"/>
            </w:pPr>
            <w:r w:rsidRPr="00686C2A">
              <w:t>Regulation</w:t>
            </w:r>
            <w:r w:rsidR="00686C2A" w:rsidRPr="00686C2A">
              <w:t> </w:t>
            </w:r>
            <w:r w:rsidRPr="00686C2A">
              <w:t>9.24</w:t>
            </w:r>
          </w:p>
        </w:tc>
        <w:tc>
          <w:tcPr>
            <w:tcW w:w="1417" w:type="dxa"/>
            <w:shd w:val="clear" w:color="auto" w:fill="auto"/>
          </w:tcPr>
          <w:p w:rsidR="0004467D" w:rsidRPr="00686C2A" w:rsidRDefault="0004467D" w:rsidP="001C38A0">
            <w:pPr>
              <w:pStyle w:val="Tabletext"/>
            </w:pPr>
            <w:r w:rsidRPr="00686C2A">
              <w:t>the actuary’s (wherever occurring)</w:t>
            </w:r>
          </w:p>
        </w:tc>
        <w:tc>
          <w:tcPr>
            <w:tcW w:w="2555" w:type="dxa"/>
            <w:shd w:val="clear" w:color="auto" w:fill="auto"/>
          </w:tcPr>
          <w:p w:rsidR="0004467D" w:rsidRPr="00686C2A" w:rsidRDefault="0004467D" w:rsidP="001C38A0">
            <w:pPr>
              <w:pStyle w:val="Tabletext"/>
            </w:pPr>
            <w:r w:rsidRPr="00686C2A">
              <w:t>the responsible actuary’s</w:t>
            </w:r>
          </w:p>
        </w:tc>
      </w:tr>
      <w:tr w:rsidR="00A415EF" w:rsidRPr="00686C2A" w:rsidTr="006928AF">
        <w:tc>
          <w:tcPr>
            <w:tcW w:w="714" w:type="dxa"/>
            <w:shd w:val="clear" w:color="auto" w:fill="auto"/>
          </w:tcPr>
          <w:p w:rsidR="0004467D" w:rsidRPr="00686C2A" w:rsidRDefault="0004467D" w:rsidP="001C38A0">
            <w:pPr>
              <w:pStyle w:val="Tabletext"/>
            </w:pPr>
            <w:r w:rsidRPr="00686C2A">
              <w:t>28</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 xml:space="preserve">9.35(1) (definition of </w:t>
            </w:r>
            <w:r w:rsidRPr="00686C2A">
              <w:rPr>
                <w:b/>
                <w:i/>
              </w:rPr>
              <w:t>fund’s actuary</w:t>
            </w:r>
            <w:r w:rsidRPr="00686C2A">
              <w:t>)</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29</w:t>
            </w:r>
          </w:p>
        </w:tc>
        <w:tc>
          <w:tcPr>
            <w:tcW w:w="2400" w:type="dxa"/>
            <w:shd w:val="clear" w:color="auto" w:fill="auto"/>
          </w:tcPr>
          <w:p w:rsidR="0004467D" w:rsidRPr="00686C2A" w:rsidRDefault="0004467D" w:rsidP="001C38A0">
            <w:pPr>
              <w:pStyle w:val="Tabletext"/>
            </w:pPr>
            <w:r w:rsidRPr="00686C2A">
              <w:t>Regulations</w:t>
            </w:r>
            <w:r w:rsidR="00686C2A" w:rsidRPr="00686C2A">
              <w:t> </w:t>
            </w:r>
            <w:r w:rsidRPr="00686C2A">
              <w:t>9.38 and 9.39</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30</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 xml:space="preserve">9.41(1) (definition of </w:t>
            </w:r>
            <w:r w:rsidRPr="00686C2A">
              <w:rPr>
                <w:b/>
                <w:i/>
              </w:rPr>
              <w:t>fund’s actuary</w:t>
            </w:r>
            <w:r w:rsidRPr="00686C2A">
              <w:t>)</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31</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12.05(4)</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32</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12.05(4)</w:t>
            </w:r>
          </w:p>
        </w:tc>
        <w:tc>
          <w:tcPr>
            <w:tcW w:w="1417" w:type="dxa"/>
            <w:shd w:val="clear" w:color="auto" w:fill="auto"/>
          </w:tcPr>
          <w:p w:rsidR="0004467D" w:rsidRPr="00686C2A" w:rsidRDefault="0004467D" w:rsidP="001C38A0">
            <w:pPr>
              <w:pStyle w:val="Tabletext"/>
            </w:pPr>
            <w:r w:rsidRPr="00686C2A">
              <w:t xml:space="preserve">the actuary </w:t>
            </w:r>
          </w:p>
        </w:tc>
        <w:tc>
          <w:tcPr>
            <w:tcW w:w="2555" w:type="dxa"/>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lastRenderedPageBreak/>
              <w:t>33</w:t>
            </w:r>
          </w:p>
        </w:tc>
        <w:tc>
          <w:tcPr>
            <w:tcW w:w="2400" w:type="dxa"/>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12.06(4)</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34</w:t>
            </w:r>
          </w:p>
        </w:tc>
        <w:tc>
          <w:tcPr>
            <w:tcW w:w="2400" w:type="dxa"/>
            <w:shd w:val="clear" w:color="auto" w:fill="auto"/>
          </w:tcPr>
          <w:p w:rsidR="0004467D" w:rsidRPr="00686C2A" w:rsidRDefault="0004467D" w:rsidP="001C38A0">
            <w:pPr>
              <w:pStyle w:val="Tabletext"/>
            </w:pPr>
            <w:r w:rsidRPr="00686C2A">
              <w:t>Regulation</w:t>
            </w:r>
            <w:r w:rsidR="00686C2A" w:rsidRPr="00686C2A">
              <w:t> </w:t>
            </w:r>
            <w:r w:rsidRPr="00686C2A">
              <w:t>12.07</w:t>
            </w:r>
          </w:p>
        </w:tc>
        <w:tc>
          <w:tcPr>
            <w:tcW w:w="1417" w:type="dxa"/>
            <w:shd w:val="clear" w:color="auto" w:fill="auto"/>
          </w:tcPr>
          <w:p w:rsidR="0004467D" w:rsidRPr="00686C2A" w:rsidRDefault="0004467D" w:rsidP="001C38A0">
            <w:pPr>
              <w:pStyle w:val="Tabletext"/>
            </w:pPr>
            <w:r w:rsidRPr="00686C2A">
              <w:t>an actuary</w:t>
            </w:r>
          </w:p>
        </w:tc>
        <w:tc>
          <w:tcPr>
            <w:tcW w:w="2555" w:type="dxa"/>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shd w:val="clear" w:color="auto" w:fill="auto"/>
          </w:tcPr>
          <w:p w:rsidR="0004467D" w:rsidRPr="00686C2A" w:rsidRDefault="0004467D" w:rsidP="001C38A0">
            <w:pPr>
              <w:pStyle w:val="Tabletext"/>
            </w:pPr>
            <w:r w:rsidRPr="00686C2A">
              <w:t>35</w:t>
            </w:r>
          </w:p>
        </w:tc>
        <w:tc>
          <w:tcPr>
            <w:tcW w:w="2400" w:type="dxa"/>
            <w:shd w:val="clear" w:color="auto" w:fill="auto"/>
          </w:tcPr>
          <w:p w:rsidR="0004467D" w:rsidRPr="00686C2A" w:rsidRDefault="0004467D" w:rsidP="001C38A0">
            <w:pPr>
              <w:pStyle w:val="Tabletext"/>
            </w:pPr>
            <w:r w:rsidRPr="00686C2A">
              <w:t>Paragraph 12.07(b)</w:t>
            </w:r>
          </w:p>
        </w:tc>
        <w:tc>
          <w:tcPr>
            <w:tcW w:w="1417" w:type="dxa"/>
            <w:shd w:val="clear" w:color="auto" w:fill="auto"/>
          </w:tcPr>
          <w:p w:rsidR="0004467D" w:rsidRPr="00686C2A" w:rsidRDefault="0004467D" w:rsidP="001C38A0">
            <w:pPr>
              <w:pStyle w:val="Tabletext"/>
            </w:pPr>
            <w:r w:rsidRPr="00686C2A">
              <w:t>the actuary (wherever occurring)</w:t>
            </w:r>
          </w:p>
        </w:tc>
        <w:tc>
          <w:tcPr>
            <w:tcW w:w="2555" w:type="dxa"/>
            <w:shd w:val="clear" w:color="auto" w:fill="auto"/>
          </w:tcPr>
          <w:p w:rsidR="0004467D" w:rsidRPr="00686C2A" w:rsidRDefault="0004467D" w:rsidP="001C38A0">
            <w:pPr>
              <w:pStyle w:val="Tabletext"/>
            </w:pPr>
            <w:r w:rsidRPr="00686C2A">
              <w:t>the superannuation actuary</w:t>
            </w:r>
          </w:p>
        </w:tc>
      </w:tr>
      <w:tr w:rsidR="00A415EF" w:rsidRPr="00686C2A" w:rsidTr="006928AF">
        <w:tc>
          <w:tcPr>
            <w:tcW w:w="714" w:type="dxa"/>
            <w:tcBorders>
              <w:bottom w:val="single" w:sz="2" w:space="0" w:color="auto"/>
            </w:tcBorders>
            <w:shd w:val="clear" w:color="auto" w:fill="auto"/>
          </w:tcPr>
          <w:p w:rsidR="0004467D" w:rsidRPr="00686C2A" w:rsidRDefault="0004467D" w:rsidP="001C38A0">
            <w:pPr>
              <w:pStyle w:val="Tabletext"/>
            </w:pPr>
            <w:r w:rsidRPr="00686C2A">
              <w:t>36</w:t>
            </w:r>
          </w:p>
        </w:tc>
        <w:tc>
          <w:tcPr>
            <w:tcW w:w="2400" w:type="dxa"/>
            <w:tcBorders>
              <w:bottom w:val="single" w:sz="2" w:space="0" w:color="auto"/>
            </w:tcBorders>
            <w:shd w:val="clear" w:color="auto" w:fill="auto"/>
          </w:tcPr>
          <w:p w:rsidR="0004467D" w:rsidRPr="00686C2A" w:rsidRDefault="0004467D" w:rsidP="001C38A0">
            <w:pPr>
              <w:pStyle w:val="Tabletext"/>
            </w:pPr>
            <w:proofErr w:type="spellStart"/>
            <w:r w:rsidRPr="00686C2A">
              <w:t>Subregulation</w:t>
            </w:r>
            <w:proofErr w:type="spellEnd"/>
            <w:r w:rsidR="00686C2A" w:rsidRPr="00686C2A">
              <w:t> </w:t>
            </w:r>
            <w:r w:rsidRPr="00686C2A">
              <w:t>12.11(2)</w:t>
            </w:r>
          </w:p>
        </w:tc>
        <w:tc>
          <w:tcPr>
            <w:tcW w:w="1417" w:type="dxa"/>
            <w:tcBorders>
              <w:bottom w:val="single" w:sz="2" w:space="0" w:color="auto"/>
            </w:tcBorders>
            <w:shd w:val="clear" w:color="auto" w:fill="auto"/>
          </w:tcPr>
          <w:p w:rsidR="0004467D" w:rsidRPr="00686C2A" w:rsidRDefault="0004467D" w:rsidP="001C38A0">
            <w:pPr>
              <w:pStyle w:val="Tabletext"/>
            </w:pPr>
            <w:r w:rsidRPr="00686C2A">
              <w:t>an actuary</w:t>
            </w:r>
          </w:p>
        </w:tc>
        <w:tc>
          <w:tcPr>
            <w:tcW w:w="2555" w:type="dxa"/>
            <w:tcBorders>
              <w:bottom w:val="single" w:sz="2" w:space="0" w:color="auto"/>
            </w:tcBorders>
            <w:shd w:val="clear" w:color="auto" w:fill="auto"/>
          </w:tcPr>
          <w:p w:rsidR="0004467D" w:rsidRPr="00686C2A" w:rsidRDefault="0004467D" w:rsidP="001C38A0">
            <w:pPr>
              <w:pStyle w:val="Tabletext"/>
            </w:pPr>
            <w:r w:rsidRPr="00686C2A">
              <w:t>a superannuation actuary</w:t>
            </w:r>
          </w:p>
        </w:tc>
      </w:tr>
      <w:tr w:rsidR="00A415EF" w:rsidRPr="00686C2A" w:rsidTr="006928AF">
        <w:tc>
          <w:tcPr>
            <w:tcW w:w="714" w:type="dxa"/>
            <w:tcBorders>
              <w:bottom w:val="single" w:sz="12" w:space="0" w:color="auto"/>
            </w:tcBorders>
            <w:shd w:val="clear" w:color="auto" w:fill="auto"/>
          </w:tcPr>
          <w:p w:rsidR="0004467D" w:rsidRPr="00686C2A" w:rsidRDefault="0004467D" w:rsidP="001C38A0">
            <w:pPr>
              <w:pStyle w:val="Tabletext"/>
            </w:pPr>
            <w:r w:rsidRPr="00686C2A">
              <w:t>37</w:t>
            </w:r>
          </w:p>
        </w:tc>
        <w:tc>
          <w:tcPr>
            <w:tcW w:w="2400" w:type="dxa"/>
            <w:tcBorders>
              <w:bottom w:val="single" w:sz="12" w:space="0" w:color="auto"/>
            </w:tcBorders>
            <w:shd w:val="clear" w:color="auto" w:fill="auto"/>
          </w:tcPr>
          <w:p w:rsidR="0004467D" w:rsidRPr="00686C2A" w:rsidRDefault="0004467D" w:rsidP="001C38A0">
            <w:pPr>
              <w:pStyle w:val="Tabletext"/>
            </w:pPr>
            <w:r w:rsidRPr="00686C2A">
              <w:t>Regulations</w:t>
            </w:r>
            <w:r w:rsidR="00686C2A" w:rsidRPr="00686C2A">
              <w:t> </w:t>
            </w:r>
            <w:r w:rsidRPr="00686C2A">
              <w:t>12.15 and 12.19</w:t>
            </w:r>
          </w:p>
        </w:tc>
        <w:tc>
          <w:tcPr>
            <w:tcW w:w="1417" w:type="dxa"/>
            <w:tcBorders>
              <w:bottom w:val="single" w:sz="12" w:space="0" w:color="auto"/>
            </w:tcBorders>
            <w:shd w:val="clear" w:color="auto" w:fill="auto"/>
          </w:tcPr>
          <w:p w:rsidR="0004467D" w:rsidRPr="00686C2A" w:rsidRDefault="0004467D" w:rsidP="001C38A0">
            <w:pPr>
              <w:pStyle w:val="Tabletext"/>
            </w:pPr>
            <w:r w:rsidRPr="00686C2A">
              <w:t>an actuary (wherever occurring)</w:t>
            </w:r>
          </w:p>
        </w:tc>
        <w:tc>
          <w:tcPr>
            <w:tcW w:w="2555" w:type="dxa"/>
            <w:tcBorders>
              <w:bottom w:val="single" w:sz="12" w:space="0" w:color="auto"/>
            </w:tcBorders>
            <w:shd w:val="clear" w:color="auto" w:fill="auto"/>
          </w:tcPr>
          <w:p w:rsidR="0004467D" w:rsidRPr="00686C2A" w:rsidRDefault="0004467D" w:rsidP="001C38A0">
            <w:pPr>
              <w:pStyle w:val="Tabletext"/>
            </w:pPr>
            <w:r w:rsidRPr="00686C2A">
              <w:t>a superannuation actuary</w:t>
            </w:r>
          </w:p>
        </w:tc>
      </w:tr>
    </w:tbl>
    <w:p w:rsidR="0004467D" w:rsidRPr="00686C2A" w:rsidRDefault="0004467D" w:rsidP="0004467D">
      <w:pPr>
        <w:pStyle w:val="Tabletext"/>
      </w:pPr>
    </w:p>
    <w:p w:rsidR="00104BD6" w:rsidRPr="00686C2A" w:rsidRDefault="006928AF" w:rsidP="006928AF">
      <w:pPr>
        <w:pStyle w:val="ActHead6"/>
        <w:pageBreakBefore/>
      </w:pPr>
      <w:bookmarkStart w:id="99" w:name="_Toc359591592"/>
      <w:bookmarkStart w:id="100" w:name="opcCurrentFind"/>
      <w:r w:rsidRPr="00686C2A">
        <w:rPr>
          <w:rStyle w:val="CharAmSchNo"/>
        </w:rPr>
        <w:lastRenderedPageBreak/>
        <w:t>Schedule</w:t>
      </w:r>
      <w:r w:rsidR="00686C2A" w:rsidRPr="00686C2A">
        <w:rPr>
          <w:rStyle w:val="CharAmSchNo"/>
        </w:rPr>
        <w:t> </w:t>
      </w:r>
      <w:r w:rsidRPr="00686C2A">
        <w:rPr>
          <w:rStyle w:val="CharAmSchNo"/>
        </w:rPr>
        <w:t>3</w:t>
      </w:r>
      <w:r w:rsidRPr="00686C2A">
        <w:t>—</w:t>
      </w:r>
      <w:r w:rsidRPr="00686C2A">
        <w:rPr>
          <w:rStyle w:val="CharAmSchText"/>
        </w:rPr>
        <w:t xml:space="preserve">Amendments </w:t>
      </w:r>
      <w:r w:rsidR="00CF6558" w:rsidRPr="00686C2A">
        <w:rPr>
          <w:rStyle w:val="CharAmSchText"/>
        </w:rPr>
        <w:t xml:space="preserve">relating to </w:t>
      </w:r>
      <w:proofErr w:type="spellStart"/>
      <w:r w:rsidR="00CF6558" w:rsidRPr="00686C2A">
        <w:rPr>
          <w:rStyle w:val="CharAmSchText"/>
        </w:rPr>
        <w:t>MySuper</w:t>
      </w:r>
      <w:proofErr w:type="spellEnd"/>
      <w:r w:rsidR="00CF6558" w:rsidRPr="00686C2A">
        <w:rPr>
          <w:rStyle w:val="CharAmSchText"/>
        </w:rPr>
        <w:t xml:space="preserve"> </w:t>
      </w:r>
      <w:r w:rsidR="003E7C27" w:rsidRPr="00686C2A">
        <w:rPr>
          <w:rStyle w:val="CharAmSchText"/>
        </w:rPr>
        <w:t>product dashboard transitional provisions</w:t>
      </w:r>
      <w:bookmarkEnd w:id="99"/>
    </w:p>
    <w:bookmarkEnd w:id="100"/>
    <w:p w:rsidR="005038B6" w:rsidRPr="00686C2A" w:rsidRDefault="005038B6" w:rsidP="005038B6">
      <w:pPr>
        <w:pStyle w:val="Header"/>
      </w:pPr>
      <w:r w:rsidRPr="00686C2A">
        <w:rPr>
          <w:rStyle w:val="CharAmPartNo"/>
        </w:rPr>
        <w:t xml:space="preserve"> </w:t>
      </w:r>
      <w:r w:rsidRPr="00686C2A">
        <w:rPr>
          <w:rStyle w:val="CharAmPartText"/>
        </w:rPr>
        <w:t xml:space="preserve"> </w:t>
      </w:r>
    </w:p>
    <w:p w:rsidR="00EA393E" w:rsidRPr="00686C2A" w:rsidRDefault="00EA393E" w:rsidP="00EA393E">
      <w:pPr>
        <w:pStyle w:val="ActHead9"/>
      </w:pPr>
      <w:bookmarkStart w:id="101" w:name="_Toc359591593"/>
      <w:r w:rsidRPr="00686C2A">
        <w:t>Corporations Regulations</w:t>
      </w:r>
      <w:r w:rsidR="00686C2A" w:rsidRPr="00686C2A">
        <w:t> </w:t>
      </w:r>
      <w:r w:rsidRPr="00686C2A">
        <w:t>2001</w:t>
      </w:r>
      <w:bookmarkEnd w:id="101"/>
    </w:p>
    <w:p w:rsidR="00396325" w:rsidRPr="00686C2A" w:rsidRDefault="00821B56" w:rsidP="00396325">
      <w:pPr>
        <w:pStyle w:val="ItemHead"/>
      </w:pPr>
      <w:r w:rsidRPr="00686C2A">
        <w:t>1</w:t>
      </w:r>
      <w:r w:rsidR="00396325" w:rsidRPr="00686C2A">
        <w:t xml:space="preserve">  A</w:t>
      </w:r>
      <w:r w:rsidR="003E7C27" w:rsidRPr="00686C2A">
        <w:t xml:space="preserve">t the end of </w:t>
      </w:r>
      <w:r w:rsidR="00396325" w:rsidRPr="00686C2A">
        <w:t>Part</w:t>
      </w:r>
      <w:r w:rsidR="00686C2A" w:rsidRPr="00686C2A">
        <w:t> </w:t>
      </w:r>
      <w:r w:rsidR="00396325" w:rsidRPr="00686C2A">
        <w:t>6</w:t>
      </w:r>
      <w:r w:rsidR="003E7C27" w:rsidRPr="00686C2A">
        <w:t>A</w:t>
      </w:r>
      <w:r w:rsidR="00396325" w:rsidRPr="00686C2A">
        <w:t xml:space="preserve"> of Schedule</w:t>
      </w:r>
      <w:r w:rsidR="00686C2A" w:rsidRPr="00686C2A">
        <w:t> </w:t>
      </w:r>
      <w:r w:rsidR="00396325" w:rsidRPr="00686C2A">
        <w:t>10A</w:t>
      </w:r>
    </w:p>
    <w:p w:rsidR="00396325" w:rsidRPr="00686C2A" w:rsidRDefault="00396325" w:rsidP="00396325">
      <w:pPr>
        <w:pStyle w:val="Item"/>
      </w:pPr>
      <w:r w:rsidRPr="00686C2A">
        <w:t>Add:</w:t>
      </w:r>
    </w:p>
    <w:p w:rsidR="00B83B5D" w:rsidRPr="00686C2A" w:rsidRDefault="00514BFA" w:rsidP="004623A5">
      <w:pPr>
        <w:pStyle w:val="ItemHead"/>
      </w:pPr>
      <w:r w:rsidRPr="00686C2A">
        <w:t>6A.</w:t>
      </w:r>
      <w:r w:rsidR="003E7C27" w:rsidRPr="00686C2A">
        <w:t>2</w:t>
      </w:r>
      <w:r w:rsidR="00B83B5D" w:rsidRPr="00686C2A">
        <w:t xml:space="preserve">  Paragraph 1017BA(1)(c)</w:t>
      </w:r>
    </w:p>
    <w:p w:rsidR="00B83B5D" w:rsidRPr="00686C2A" w:rsidRDefault="00B83B5D" w:rsidP="00B83B5D">
      <w:pPr>
        <w:pStyle w:val="Item"/>
      </w:pPr>
      <w:r w:rsidRPr="00686C2A">
        <w:t>Repeal the paragraph, substitute:</w:t>
      </w:r>
    </w:p>
    <w:p w:rsidR="00B83B5D" w:rsidRPr="00686C2A" w:rsidRDefault="00B83B5D" w:rsidP="00B83B5D">
      <w:pPr>
        <w:pStyle w:val="paragraph"/>
      </w:pPr>
      <w:r w:rsidRPr="00686C2A">
        <w:tab/>
        <w:t>(c)</w:t>
      </w:r>
      <w:r w:rsidRPr="00686C2A">
        <w:tab/>
        <w:t>that the information set out in each product dashboard abo</w:t>
      </w:r>
      <w:r w:rsidR="00C17529" w:rsidRPr="00686C2A">
        <w:t>ut</w:t>
      </w:r>
      <w:r w:rsidRPr="00686C2A">
        <w:t xml:space="preserve"> fees and other costs is updated in accordance with </w:t>
      </w:r>
      <w:r w:rsidR="003E7C27" w:rsidRPr="00686C2A">
        <w:t>sub</w:t>
      </w:r>
      <w:r w:rsidR="00C17529" w:rsidRPr="00686C2A">
        <w:t>section</w:t>
      </w:r>
      <w:r w:rsidR="00686C2A" w:rsidRPr="00686C2A">
        <w:t> </w:t>
      </w:r>
      <w:r w:rsidR="00C17529" w:rsidRPr="00686C2A">
        <w:t>1017GA</w:t>
      </w:r>
      <w:r w:rsidR="003E7C27" w:rsidRPr="00686C2A">
        <w:t>I(4);</w:t>
      </w:r>
      <w:r w:rsidR="00372318" w:rsidRPr="00686C2A">
        <w:t xml:space="preserve"> and</w:t>
      </w:r>
    </w:p>
    <w:p w:rsidR="00372318" w:rsidRPr="00686C2A" w:rsidRDefault="003E7C27" w:rsidP="004623A5">
      <w:pPr>
        <w:pStyle w:val="ItemHead"/>
      </w:pPr>
      <w:r w:rsidRPr="00686C2A">
        <w:t>6A.3</w:t>
      </w:r>
      <w:r w:rsidR="00372318" w:rsidRPr="00686C2A">
        <w:t xml:space="preserve">  Paragraph 1017BA(1)(e)</w:t>
      </w:r>
    </w:p>
    <w:p w:rsidR="003E7C27" w:rsidRPr="00686C2A" w:rsidRDefault="004623A5" w:rsidP="00372318">
      <w:pPr>
        <w:pStyle w:val="Item"/>
      </w:pPr>
      <w:r w:rsidRPr="00686C2A">
        <w:t>Repeal the paragraph.</w:t>
      </w:r>
    </w:p>
    <w:p w:rsidR="00B83B5D" w:rsidRPr="00686C2A" w:rsidRDefault="00514BFA" w:rsidP="004623A5">
      <w:pPr>
        <w:pStyle w:val="ItemHead"/>
      </w:pPr>
      <w:r w:rsidRPr="00686C2A">
        <w:t>6A.</w:t>
      </w:r>
      <w:r w:rsidR="004623A5" w:rsidRPr="00686C2A">
        <w:t>4</w:t>
      </w:r>
      <w:r w:rsidR="00B83B5D" w:rsidRPr="00686C2A">
        <w:t xml:space="preserve">  Subsection</w:t>
      </w:r>
      <w:r w:rsidR="00686C2A" w:rsidRPr="00686C2A">
        <w:t> </w:t>
      </w:r>
      <w:r w:rsidR="00B83B5D" w:rsidRPr="00686C2A">
        <w:t>1017BA(2)</w:t>
      </w:r>
    </w:p>
    <w:p w:rsidR="005729BD" w:rsidRPr="00686C2A" w:rsidRDefault="005729BD" w:rsidP="00B83B5D">
      <w:pPr>
        <w:pStyle w:val="Item"/>
      </w:pPr>
      <w:r w:rsidRPr="00686C2A">
        <w:t>Repeal the subsection, substitute:</w:t>
      </w:r>
    </w:p>
    <w:p w:rsidR="00AE5C67" w:rsidRPr="00686C2A" w:rsidRDefault="005729BD" w:rsidP="00AE5C67">
      <w:pPr>
        <w:pStyle w:val="subsection"/>
      </w:pPr>
      <w:r w:rsidRPr="00686C2A">
        <w:tab/>
        <w:t>(2)</w:t>
      </w:r>
      <w:r w:rsidRPr="00686C2A">
        <w:tab/>
        <w:t xml:space="preserve">The product dashboard for a </w:t>
      </w:r>
      <w:proofErr w:type="spellStart"/>
      <w:r w:rsidRPr="00686C2A">
        <w:t>MySuper</w:t>
      </w:r>
      <w:proofErr w:type="spellEnd"/>
      <w:r w:rsidRPr="00686C2A">
        <w:t xml:space="preserve"> product must set out</w:t>
      </w:r>
      <w:r w:rsidR="00AE5C67" w:rsidRPr="00686C2A">
        <w:t xml:space="preserve"> and work out the following information in accordance with Division</w:t>
      </w:r>
      <w:r w:rsidR="00686C2A" w:rsidRPr="00686C2A">
        <w:t> </w:t>
      </w:r>
      <w:r w:rsidR="00AE5C67" w:rsidRPr="00686C2A">
        <w:t>3AA:</w:t>
      </w:r>
    </w:p>
    <w:p w:rsidR="00AE5C67" w:rsidRPr="00686C2A" w:rsidRDefault="00AE5C67" w:rsidP="00AE5C67">
      <w:pPr>
        <w:pStyle w:val="paragraph"/>
      </w:pPr>
      <w:r w:rsidRPr="00686C2A">
        <w:tab/>
        <w:t>(a)</w:t>
      </w:r>
      <w:r w:rsidRPr="00686C2A">
        <w:tab/>
        <w:t>a return target or return targets for the product;</w:t>
      </w:r>
    </w:p>
    <w:p w:rsidR="00AE5C67" w:rsidRPr="00686C2A" w:rsidRDefault="00AE5C67" w:rsidP="00AE5C67">
      <w:pPr>
        <w:pStyle w:val="paragraph"/>
      </w:pPr>
      <w:r w:rsidRPr="00686C2A">
        <w:tab/>
        <w:t>(b)</w:t>
      </w:r>
      <w:r w:rsidRPr="00686C2A">
        <w:tab/>
        <w:t>a return or returns for the product;</w:t>
      </w:r>
    </w:p>
    <w:p w:rsidR="00AE5C67" w:rsidRPr="00686C2A" w:rsidRDefault="00AE5C67" w:rsidP="00AE5C67">
      <w:pPr>
        <w:pStyle w:val="paragraph"/>
      </w:pPr>
      <w:r w:rsidRPr="00686C2A">
        <w:tab/>
        <w:t>(c)</w:t>
      </w:r>
      <w:r w:rsidRPr="00686C2A">
        <w:tab/>
        <w:t>a comparison or comparisons between return targets and returns for the product;</w:t>
      </w:r>
    </w:p>
    <w:p w:rsidR="00AE5C67" w:rsidRPr="00686C2A" w:rsidRDefault="00AE5C67" w:rsidP="00AE5C67">
      <w:pPr>
        <w:pStyle w:val="paragraph"/>
      </w:pPr>
      <w:r w:rsidRPr="00686C2A">
        <w:tab/>
        <w:t>(d)</w:t>
      </w:r>
      <w:r w:rsidRPr="00686C2A">
        <w:tab/>
        <w:t>the level of investment return that applies to the product;</w:t>
      </w:r>
    </w:p>
    <w:p w:rsidR="00AE5C67" w:rsidRPr="00686C2A" w:rsidRDefault="00AE5C67" w:rsidP="00AE5C67">
      <w:pPr>
        <w:pStyle w:val="paragraph"/>
      </w:pPr>
      <w:r w:rsidRPr="00686C2A">
        <w:tab/>
        <w:t>(e)</w:t>
      </w:r>
      <w:r w:rsidRPr="00686C2A">
        <w:tab/>
        <w:t>a statement of fees and other co</w:t>
      </w:r>
      <w:r w:rsidR="005038B6" w:rsidRPr="00686C2A">
        <w:t>sts in relation to the product.</w:t>
      </w:r>
    </w:p>
    <w:p w:rsidR="00B72F0F" w:rsidRPr="00686C2A" w:rsidRDefault="00514BFA" w:rsidP="004623A5">
      <w:pPr>
        <w:pStyle w:val="ItemHead"/>
      </w:pPr>
      <w:r w:rsidRPr="00686C2A">
        <w:t>6A.</w:t>
      </w:r>
      <w:r w:rsidR="004623A5" w:rsidRPr="00686C2A">
        <w:t>5</w:t>
      </w:r>
      <w:r w:rsidR="00B72F0F" w:rsidRPr="00686C2A">
        <w:t xml:space="preserve">  After Division</w:t>
      </w:r>
      <w:r w:rsidR="00686C2A" w:rsidRPr="00686C2A">
        <w:t> </w:t>
      </w:r>
      <w:r w:rsidR="00B72F0F" w:rsidRPr="00686C2A">
        <w:t>3</w:t>
      </w:r>
    </w:p>
    <w:p w:rsidR="00B72F0F" w:rsidRPr="00686C2A" w:rsidRDefault="00B72F0F" w:rsidP="00B72F0F">
      <w:pPr>
        <w:pStyle w:val="Item"/>
      </w:pPr>
      <w:r w:rsidRPr="00686C2A">
        <w:t>Insert:</w:t>
      </w:r>
    </w:p>
    <w:p w:rsidR="00B72F0F" w:rsidRPr="00686C2A" w:rsidRDefault="00B72F0F" w:rsidP="00B72F0F">
      <w:pPr>
        <w:pStyle w:val="ActHead3"/>
      </w:pPr>
      <w:bookmarkStart w:id="102" w:name="_Toc359591594"/>
      <w:r w:rsidRPr="00686C2A">
        <w:rPr>
          <w:rStyle w:val="CharDivNo"/>
        </w:rPr>
        <w:lastRenderedPageBreak/>
        <w:t>Division</w:t>
      </w:r>
      <w:r w:rsidR="00686C2A" w:rsidRPr="00686C2A">
        <w:rPr>
          <w:rStyle w:val="CharDivNo"/>
        </w:rPr>
        <w:t> </w:t>
      </w:r>
      <w:r w:rsidRPr="00686C2A">
        <w:rPr>
          <w:rStyle w:val="CharDivNo"/>
        </w:rPr>
        <w:t>3A</w:t>
      </w:r>
      <w:r w:rsidR="00CD5F4E" w:rsidRPr="00686C2A">
        <w:rPr>
          <w:rStyle w:val="CharDivNo"/>
        </w:rPr>
        <w:t>A</w:t>
      </w:r>
      <w:r w:rsidRPr="00686C2A">
        <w:t>—</w:t>
      </w:r>
      <w:r w:rsidRPr="00686C2A">
        <w:rPr>
          <w:rStyle w:val="CharDivText"/>
        </w:rPr>
        <w:t>Obligation to make product dashboard publicly available</w:t>
      </w:r>
      <w:bookmarkEnd w:id="102"/>
    </w:p>
    <w:p w:rsidR="00EA393E" w:rsidRPr="00686C2A" w:rsidRDefault="00B72F0F" w:rsidP="00EA393E">
      <w:pPr>
        <w:pStyle w:val="ActHead5"/>
      </w:pPr>
      <w:bookmarkStart w:id="103" w:name="_Toc359591595"/>
      <w:r w:rsidRPr="00686C2A">
        <w:rPr>
          <w:rStyle w:val="CharSectno"/>
        </w:rPr>
        <w:t>1017</w:t>
      </w:r>
      <w:r w:rsidR="00CD5F4E" w:rsidRPr="00686C2A">
        <w:rPr>
          <w:rStyle w:val="CharSectno"/>
        </w:rPr>
        <w:t>G</w:t>
      </w:r>
      <w:r w:rsidRPr="00686C2A">
        <w:rPr>
          <w:rStyle w:val="CharSectno"/>
        </w:rPr>
        <w:t>A</w:t>
      </w:r>
      <w:r w:rsidR="00CD5F4E" w:rsidRPr="00686C2A">
        <w:rPr>
          <w:rStyle w:val="CharSectno"/>
        </w:rPr>
        <w:t>A</w:t>
      </w:r>
      <w:r w:rsidR="00EA393E" w:rsidRPr="00686C2A">
        <w:t xml:space="preserve">  Definitions</w:t>
      </w:r>
      <w:bookmarkEnd w:id="103"/>
    </w:p>
    <w:p w:rsidR="00EA393E" w:rsidRPr="00686C2A" w:rsidRDefault="00EA393E" w:rsidP="00EA393E">
      <w:pPr>
        <w:pStyle w:val="subsection"/>
      </w:pPr>
      <w:r w:rsidRPr="00686C2A">
        <w:tab/>
      </w:r>
      <w:r w:rsidRPr="00686C2A">
        <w:tab/>
        <w:t xml:space="preserve">In this </w:t>
      </w:r>
      <w:r w:rsidR="00B72F0F" w:rsidRPr="00686C2A">
        <w:t>Division</w:t>
      </w:r>
      <w:r w:rsidRPr="00686C2A">
        <w:t>:</w:t>
      </w:r>
    </w:p>
    <w:p w:rsidR="00EA393E" w:rsidRPr="00686C2A" w:rsidRDefault="00EA393E" w:rsidP="00EA393E">
      <w:pPr>
        <w:pStyle w:val="Definition"/>
      </w:pPr>
      <w:r w:rsidRPr="00686C2A">
        <w:rPr>
          <w:b/>
          <w:i/>
        </w:rPr>
        <w:t>lifecycle exception</w:t>
      </w:r>
      <w:r w:rsidRPr="00686C2A">
        <w:t xml:space="preserve"> has the meaning given by subsection</w:t>
      </w:r>
      <w:r w:rsidR="00686C2A" w:rsidRPr="00686C2A">
        <w:t> </w:t>
      </w:r>
      <w:r w:rsidRPr="00686C2A">
        <w:t>29TC(2) of the SIS Act.</w:t>
      </w:r>
    </w:p>
    <w:p w:rsidR="00EA393E" w:rsidRPr="00686C2A" w:rsidRDefault="00EA393E" w:rsidP="00EA393E">
      <w:pPr>
        <w:pStyle w:val="Definition"/>
        <w:rPr>
          <w:szCs w:val="22"/>
        </w:rPr>
      </w:pPr>
      <w:r w:rsidRPr="00686C2A">
        <w:rPr>
          <w:b/>
          <w:i/>
        </w:rPr>
        <w:t xml:space="preserve">lifecycle </w:t>
      </w:r>
      <w:proofErr w:type="spellStart"/>
      <w:r w:rsidRPr="00686C2A">
        <w:rPr>
          <w:b/>
          <w:i/>
        </w:rPr>
        <w:t>MySuper</w:t>
      </w:r>
      <w:proofErr w:type="spellEnd"/>
      <w:r w:rsidRPr="00686C2A">
        <w:rPr>
          <w:b/>
          <w:i/>
        </w:rPr>
        <w:t xml:space="preserve"> product</w:t>
      </w:r>
      <w:r w:rsidRPr="00686C2A">
        <w:t xml:space="preserve"> means a </w:t>
      </w:r>
      <w:proofErr w:type="spellStart"/>
      <w:r w:rsidRPr="00686C2A">
        <w:t>MySuper</w:t>
      </w:r>
      <w:proofErr w:type="spellEnd"/>
      <w:r w:rsidRPr="00686C2A">
        <w:t xml:space="preserve"> product to which a lifecycle exception </w:t>
      </w:r>
      <w:r w:rsidRPr="00686C2A">
        <w:rPr>
          <w:iCs/>
          <w:szCs w:val="22"/>
        </w:rPr>
        <w:t>applies.</w:t>
      </w:r>
    </w:p>
    <w:p w:rsidR="00EA393E" w:rsidRPr="00686C2A" w:rsidRDefault="00EA393E" w:rsidP="00EA393E">
      <w:pPr>
        <w:pStyle w:val="Definition"/>
      </w:pPr>
      <w:r w:rsidRPr="00686C2A">
        <w:rPr>
          <w:b/>
          <w:i/>
        </w:rPr>
        <w:t>lifecycle stage</w:t>
      </w:r>
      <w:r w:rsidRPr="00686C2A">
        <w:t xml:space="preserve">, of a </w:t>
      </w:r>
      <w:proofErr w:type="spellStart"/>
      <w:r w:rsidRPr="00686C2A">
        <w:t>MySuper</w:t>
      </w:r>
      <w:proofErr w:type="spellEnd"/>
      <w:r w:rsidRPr="00686C2A">
        <w:t xml:space="preserve"> product offered by a regulated superannuation fund, means a subclass of members of the fund who hold the </w:t>
      </w:r>
      <w:proofErr w:type="spellStart"/>
      <w:r w:rsidRPr="00686C2A">
        <w:t>MySuper</w:t>
      </w:r>
      <w:proofErr w:type="spellEnd"/>
      <w:r w:rsidRPr="00686C2A">
        <w:t xml:space="preserve"> product, determined on the basis of:</w:t>
      </w:r>
    </w:p>
    <w:p w:rsidR="00EA393E" w:rsidRPr="00686C2A" w:rsidRDefault="00EA393E" w:rsidP="00EA393E">
      <w:pPr>
        <w:pStyle w:val="paragraph"/>
      </w:pPr>
      <w:r w:rsidRPr="00686C2A">
        <w:tab/>
        <w:t>(a)</w:t>
      </w:r>
      <w:r w:rsidRPr="00686C2A">
        <w:tab/>
        <w:t>age; or</w:t>
      </w:r>
    </w:p>
    <w:p w:rsidR="00EA393E" w:rsidRPr="00686C2A" w:rsidRDefault="00EA393E" w:rsidP="00EA393E">
      <w:pPr>
        <w:pStyle w:val="paragraph"/>
      </w:pPr>
      <w:r w:rsidRPr="00686C2A">
        <w:tab/>
        <w:t>(b)</w:t>
      </w:r>
      <w:r w:rsidRPr="00686C2A">
        <w:tab/>
        <w:t>age and the factors mentioned in regulation</w:t>
      </w:r>
      <w:r w:rsidR="00686C2A" w:rsidRPr="00686C2A">
        <w:t> </w:t>
      </w:r>
      <w:r w:rsidRPr="00686C2A">
        <w:t>9.47 of the SIS Regulations.</w:t>
      </w:r>
    </w:p>
    <w:p w:rsidR="00EA393E" w:rsidRPr="00686C2A" w:rsidRDefault="00EA393E" w:rsidP="00EA393E">
      <w:pPr>
        <w:pStyle w:val="Definition"/>
      </w:pPr>
      <w:r w:rsidRPr="00686C2A">
        <w:rPr>
          <w:b/>
          <w:i/>
        </w:rPr>
        <w:t>offering period</w:t>
      </w:r>
      <w:r w:rsidRPr="00686C2A">
        <w:t xml:space="preserve"> means:</w:t>
      </w:r>
    </w:p>
    <w:p w:rsidR="00EA393E" w:rsidRPr="00686C2A" w:rsidRDefault="00EA393E" w:rsidP="00EA393E">
      <w:pPr>
        <w:pStyle w:val="paragraph"/>
      </w:pPr>
      <w:r w:rsidRPr="00686C2A">
        <w:tab/>
        <w:t>(a)</w:t>
      </w:r>
      <w:r w:rsidRPr="00686C2A">
        <w:tab/>
        <w:t xml:space="preserve">for a </w:t>
      </w:r>
      <w:proofErr w:type="spellStart"/>
      <w:r w:rsidRPr="00686C2A">
        <w:t>MySuper</w:t>
      </w:r>
      <w:proofErr w:type="spellEnd"/>
      <w:r w:rsidRPr="00686C2A">
        <w:t xml:space="preserve"> product other th</w:t>
      </w:r>
      <w:r w:rsidR="005038B6" w:rsidRPr="00686C2A">
        <w:t xml:space="preserve">an a lifecycle </w:t>
      </w:r>
      <w:proofErr w:type="spellStart"/>
      <w:r w:rsidR="005038B6" w:rsidRPr="00686C2A">
        <w:t>MySuper</w:t>
      </w:r>
      <w:proofErr w:type="spellEnd"/>
      <w:r w:rsidR="005038B6" w:rsidRPr="00686C2A">
        <w:t xml:space="preserve"> product:</w:t>
      </w:r>
    </w:p>
    <w:p w:rsidR="00EA393E" w:rsidRPr="00686C2A" w:rsidRDefault="00EA393E" w:rsidP="00EA393E">
      <w:pPr>
        <w:pStyle w:val="paragraphsub"/>
      </w:pPr>
      <w:r w:rsidRPr="00686C2A">
        <w:tab/>
        <w:t>(</w:t>
      </w:r>
      <w:proofErr w:type="spellStart"/>
      <w:r w:rsidRPr="00686C2A">
        <w:t>i</w:t>
      </w:r>
      <w:proofErr w:type="spellEnd"/>
      <w:r w:rsidRPr="00686C2A">
        <w:t>)</w:t>
      </w:r>
      <w:r w:rsidRPr="00686C2A">
        <w:tab/>
        <w:t xml:space="preserve">if the </w:t>
      </w:r>
      <w:proofErr w:type="spellStart"/>
      <w:r w:rsidRPr="00686C2A">
        <w:t>MySuper</w:t>
      </w:r>
      <w:proofErr w:type="spellEnd"/>
      <w:r w:rsidRPr="00686C2A">
        <w:t xml:space="preserve"> product has been offered for less than 10 financial years and there is no predecessor product—the number of whole financial years for which the product has been offered; or</w:t>
      </w:r>
    </w:p>
    <w:p w:rsidR="00EA393E" w:rsidRPr="00686C2A" w:rsidRDefault="00EA393E" w:rsidP="00EA393E">
      <w:pPr>
        <w:pStyle w:val="paragraphsub"/>
      </w:pPr>
      <w:r w:rsidRPr="00686C2A">
        <w:tab/>
        <w:t>(ii)</w:t>
      </w:r>
      <w:r w:rsidRPr="00686C2A">
        <w:tab/>
        <w:t xml:space="preserve">if the </w:t>
      </w:r>
      <w:proofErr w:type="spellStart"/>
      <w:r w:rsidRPr="00686C2A">
        <w:t>MySuper</w:t>
      </w:r>
      <w:proofErr w:type="spellEnd"/>
      <w:r w:rsidRPr="00686C2A">
        <w:t xml:space="preserve"> product and a predecessor product have been offered for a total of less than 10 financial years—the number of whole financial years for which the products have been offered; or</w:t>
      </w:r>
    </w:p>
    <w:p w:rsidR="00EA393E" w:rsidRPr="00686C2A" w:rsidRDefault="00EA393E" w:rsidP="00EA393E">
      <w:pPr>
        <w:pStyle w:val="paragraph"/>
      </w:pPr>
      <w:r w:rsidRPr="00686C2A">
        <w:tab/>
        <w:t>(b)</w:t>
      </w:r>
      <w:r w:rsidRPr="00686C2A">
        <w:tab/>
        <w:t xml:space="preserve">for a lifecycle stage of a lifecycle </w:t>
      </w:r>
      <w:proofErr w:type="spellStart"/>
      <w:r w:rsidRPr="00686C2A">
        <w:t>MySuper</w:t>
      </w:r>
      <w:proofErr w:type="spellEnd"/>
      <w:r w:rsidRPr="00686C2A">
        <w:t xml:space="preserve"> product:</w:t>
      </w:r>
    </w:p>
    <w:p w:rsidR="00EA393E" w:rsidRPr="00686C2A" w:rsidRDefault="00EA393E" w:rsidP="00EA393E">
      <w:pPr>
        <w:pStyle w:val="paragraphsub"/>
      </w:pPr>
      <w:r w:rsidRPr="00686C2A">
        <w:tab/>
        <w:t>(</w:t>
      </w:r>
      <w:proofErr w:type="spellStart"/>
      <w:r w:rsidRPr="00686C2A">
        <w:t>i</w:t>
      </w:r>
      <w:proofErr w:type="spellEnd"/>
      <w:r w:rsidRPr="00686C2A">
        <w:t>)</w:t>
      </w:r>
      <w:r w:rsidRPr="00686C2A">
        <w:tab/>
        <w:t xml:space="preserve">if the lifecycle stage of the </w:t>
      </w:r>
      <w:proofErr w:type="spellStart"/>
      <w:r w:rsidRPr="00686C2A">
        <w:t>MySuper</w:t>
      </w:r>
      <w:proofErr w:type="spellEnd"/>
      <w:r w:rsidRPr="00686C2A">
        <w:t xml:space="preserve"> product has been offered for less than 10 financial years and there is no equivalent lifecycle stage of a predecessor product—the number of whole financial years for which the lifecycle stage has been offered; or</w:t>
      </w:r>
    </w:p>
    <w:p w:rsidR="00EA393E" w:rsidRPr="00686C2A" w:rsidRDefault="00EA393E" w:rsidP="00EA393E">
      <w:pPr>
        <w:pStyle w:val="paragraphsub"/>
      </w:pPr>
      <w:r w:rsidRPr="00686C2A">
        <w:tab/>
        <w:t>(ii)</w:t>
      </w:r>
      <w:r w:rsidRPr="00686C2A">
        <w:tab/>
        <w:t xml:space="preserve">if the lifecycle stage of the </w:t>
      </w:r>
      <w:proofErr w:type="spellStart"/>
      <w:r w:rsidRPr="00686C2A">
        <w:t>MySuper</w:t>
      </w:r>
      <w:proofErr w:type="spellEnd"/>
      <w:r w:rsidRPr="00686C2A">
        <w:t xml:space="preserve"> product and an equivalent lifecycle stage of a predecessor product have </w:t>
      </w:r>
      <w:r w:rsidRPr="00686C2A">
        <w:lastRenderedPageBreak/>
        <w:t xml:space="preserve">been offered for a total of less than 10 financial years—the number of whole financial years for which the lifecycle stage of the </w:t>
      </w:r>
      <w:proofErr w:type="spellStart"/>
      <w:r w:rsidRPr="00686C2A">
        <w:t>MySuper</w:t>
      </w:r>
      <w:proofErr w:type="spellEnd"/>
      <w:r w:rsidRPr="00686C2A">
        <w:t xml:space="preserve"> product and the predecessor product have been offered.</w:t>
      </w:r>
    </w:p>
    <w:p w:rsidR="00EA393E" w:rsidRPr="00686C2A" w:rsidRDefault="00EA393E" w:rsidP="00EA393E">
      <w:pPr>
        <w:pStyle w:val="subsection"/>
      </w:pPr>
      <w:r w:rsidRPr="00686C2A">
        <w:rPr>
          <w:b/>
          <w:bCs/>
          <w:i/>
          <w:iCs/>
        </w:rPr>
        <w:tab/>
      </w:r>
      <w:r w:rsidRPr="00686C2A">
        <w:rPr>
          <w:b/>
          <w:bCs/>
          <w:i/>
          <w:iCs/>
        </w:rPr>
        <w:tab/>
        <w:t>predecessor product</w:t>
      </w:r>
      <w:r w:rsidRPr="00686C2A">
        <w:rPr>
          <w:bCs/>
          <w:iCs/>
        </w:rPr>
        <w:t xml:space="preserve">, in relation to a </w:t>
      </w:r>
      <w:proofErr w:type="spellStart"/>
      <w:r w:rsidRPr="00686C2A">
        <w:rPr>
          <w:bCs/>
          <w:iCs/>
        </w:rPr>
        <w:t>MySuper</w:t>
      </w:r>
      <w:proofErr w:type="spellEnd"/>
      <w:r w:rsidRPr="00686C2A">
        <w:rPr>
          <w:bCs/>
          <w:iCs/>
        </w:rPr>
        <w:t xml:space="preserve"> product,</w:t>
      </w:r>
      <w:r w:rsidRPr="00686C2A">
        <w:t xml:space="preserve"> means a default investment option in existence on 30</w:t>
      </w:r>
      <w:r w:rsidR="00686C2A" w:rsidRPr="00686C2A">
        <w:t> </w:t>
      </w:r>
      <w:r w:rsidRPr="00686C2A">
        <w:t xml:space="preserve">June 2013 in relation to which, if a member’s accrued default amount were attributed to the </w:t>
      </w:r>
      <w:proofErr w:type="spellStart"/>
      <w:r w:rsidRPr="00686C2A">
        <w:t>MySuper</w:t>
      </w:r>
      <w:proofErr w:type="spellEnd"/>
      <w:r w:rsidRPr="00686C2A">
        <w:t xml:space="preserve"> product, the </w:t>
      </w:r>
      <w:proofErr w:type="spellStart"/>
      <w:r w:rsidRPr="00686C2A">
        <w:t>RSE</w:t>
      </w:r>
      <w:proofErr w:type="spellEnd"/>
      <w:r w:rsidRPr="00686C2A">
        <w:t xml:space="preserve"> </w:t>
      </w:r>
      <w:r w:rsidR="005A2F39" w:rsidRPr="00686C2A">
        <w:t>licensee</w:t>
      </w:r>
      <w:r w:rsidRPr="00686C2A">
        <w:t xml:space="preserve"> would be exempted from disclosure requirements under </w:t>
      </w:r>
      <w:proofErr w:type="spellStart"/>
      <w:r w:rsidRPr="00686C2A">
        <w:t>subregulation</w:t>
      </w:r>
      <w:proofErr w:type="spellEnd"/>
      <w:r w:rsidR="00686C2A" w:rsidRPr="00686C2A">
        <w:t> </w:t>
      </w:r>
      <w:r w:rsidRPr="00686C2A">
        <w:t>9.46(2) of the SIS Regulations.</w:t>
      </w:r>
    </w:p>
    <w:p w:rsidR="00EA393E" w:rsidRPr="00686C2A" w:rsidRDefault="00EA393E" w:rsidP="00EA393E">
      <w:pPr>
        <w:pStyle w:val="subsection"/>
      </w:pPr>
      <w:r w:rsidRPr="00686C2A">
        <w:tab/>
      </w:r>
      <w:r w:rsidRPr="00686C2A">
        <w:tab/>
      </w:r>
      <w:r w:rsidRPr="00686C2A">
        <w:rPr>
          <w:b/>
          <w:i/>
        </w:rPr>
        <w:t>reporting standard</w:t>
      </w:r>
      <w:r w:rsidRPr="00686C2A">
        <w:t xml:space="preserve"> means a reporting standard determined by APRA under subsection</w:t>
      </w:r>
      <w:r w:rsidR="00686C2A" w:rsidRPr="00686C2A">
        <w:t> </w:t>
      </w:r>
      <w:r w:rsidRPr="00686C2A">
        <w:t xml:space="preserve">13(1) of the </w:t>
      </w:r>
      <w:r w:rsidRPr="00686C2A">
        <w:rPr>
          <w:i/>
        </w:rPr>
        <w:t>Financial Sector (Collection of Data) Act 2001</w:t>
      </w:r>
      <w:r w:rsidRPr="00686C2A">
        <w:t>, as in force from time to time.</w:t>
      </w:r>
    </w:p>
    <w:p w:rsidR="00EA393E" w:rsidRPr="00686C2A" w:rsidRDefault="007343D1" w:rsidP="00EA393E">
      <w:pPr>
        <w:pStyle w:val="ActHead5"/>
        <w:rPr>
          <w:i/>
        </w:rPr>
      </w:pPr>
      <w:bookmarkStart w:id="104" w:name="_Toc359591596"/>
      <w:r w:rsidRPr="00686C2A">
        <w:rPr>
          <w:rStyle w:val="CharSectno"/>
        </w:rPr>
        <w:t>1017</w:t>
      </w:r>
      <w:r w:rsidR="00CD5F4E" w:rsidRPr="00686C2A">
        <w:rPr>
          <w:rStyle w:val="CharSectno"/>
        </w:rPr>
        <w:t>G</w:t>
      </w:r>
      <w:r w:rsidR="00A77F09" w:rsidRPr="00686C2A">
        <w:rPr>
          <w:rStyle w:val="CharSectno"/>
        </w:rPr>
        <w:t>A</w:t>
      </w:r>
      <w:r w:rsidRPr="00686C2A">
        <w:rPr>
          <w:rStyle w:val="CharSectno"/>
        </w:rPr>
        <w:t>B</w:t>
      </w:r>
      <w:r w:rsidRPr="00686C2A">
        <w:t xml:space="preserve">  </w:t>
      </w:r>
      <w:r w:rsidR="00EA393E" w:rsidRPr="00686C2A">
        <w:t xml:space="preserve">Meaning of </w:t>
      </w:r>
      <w:proofErr w:type="spellStart"/>
      <w:r w:rsidR="00EA393E" w:rsidRPr="00686C2A">
        <w:rPr>
          <w:i/>
        </w:rPr>
        <w:t>MySuper</w:t>
      </w:r>
      <w:proofErr w:type="spellEnd"/>
      <w:r w:rsidR="00EA393E" w:rsidRPr="00686C2A">
        <w:rPr>
          <w:i/>
        </w:rPr>
        <w:t xml:space="preserve"> product dashboard reporting standards</w:t>
      </w:r>
      <w:bookmarkEnd w:id="104"/>
    </w:p>
    <w:p w:rsidR="00EA393E" w:rsidRPr="00686C2A" w:rsidRDefault="00EA393E" w:rsidP="00EA393E">
      <w:pPr>
        <w:pStyle w:val="subsection"/>
      </w:pPr>
      <w:r w:rsidRPr="00686C2A">
        <w:tab/>
      </w:r>
      <w:r w:rsidRPr="00686C2A">
        <w:tab/>
        <w:t xml:space="preserve">For this </w:t>
      </w:r>
      <w:r w:rsidR="004623A5" w:rsidRPr="00686C2A">
        <w:t>D</w:t>
      </w:r>
      <w:r w:rsidRPr="00686C2A">
        <w:t xml:space="preserve">ivision, a reporting standard is a </w:t>
      </w:r>
      <w:proofErr w:type="spellStart"/>
      <w:r w:rsidRPr="00686C2A">
        <w:rPr>
          <w:b/>
          <w:i/>
        </w:rPr>
        <w:t>MySuper</w:t>
      </w:r>
      <w:proofErr w:type="spellEnd"/>
      <w:r w:rsidRPr="00686C2A">
        <w:rPr>
          <w:b/>
          <w:i/>
        </w:rPr>
        <w:t xml:space="preserve"> product dashboard reporting standard</w:t>
      </w:r>
      <w:r w:rsidRPr="00686C2A">
        <w:t xml:space="preserve"> if the reporting standard contains a clause stating that it relates to information that will be included in a product dashboard for a </w:t>
      </w:r>
      <w:proofErr w:type="spellStart"/>
      <w:r w:rsidRPr="00686C2A">
        <w:t>MySuper</w:t>
      </w:r>
      <w:proofErr w:type="spellEnd"/>
      <w:r w:rsidRPr="00686C2A">
        <w:t xml:space="preserve"> product.</w:t>
      </w:r>
    </w:p>
    <w:p w:rsidR="00EA393E" w:rsidRPr="00686C2A" w:rsidRDefault="007343D1" w:rsidP="00EA393E">
      <w:pPr>
        <w:pStyle w:val="ActHead5"/>
      </w:pPr>
      <w:bookmarkStart w:id="105" w:name="_Toc359591597"/>
      <w:r w:rsidRPr="00686C2A">
        <w:rPr>
          <w:rStyle w:val="CharSectno"/>
        </w:rPr>
        <w:t>1017</w:t>
      </w:r>
      <w:r w:rsidR="00CD5F4E" w:rsidRPr="00686C2A">
        <w:rPr>
          <w:rStyle w:val="CharSectno"/>
        </w:rPr>
        <w:t>G</w:t>
      </w:r>
      <w:r w:rsidR="00A77F09" w:rsidRPr="00686C2A">
        <w:rPr>
          <w:rStyle w:val="CharSectno"/>
        </w:rPr>
        <w:t>A</w:t>
      </w:r>
      <w:r w:rsidRPr="00686C2A">
        <w:rPr>
          <w:rStyle w:val="CharSectno"/>
        </w:rPr>
        <w:t>C</w:t>
      </w:r>
      <w:r w:rsidRPr="00686C2A">
        <w:t xml:space="preserve">  </w:t>
      </w:r>
      <w:r w:rsidR="00EA393E" w:rsidRPr="00686C2A">
        <w:t>Product dashboard—how information must be set out</w:t>
      </w:r>
      <w:bookmarkEnd w:id="105"/>
    </w:p>
    <w:p w:rsidR="00EA393E" w:rsidRPr="00686C2A" w:rsidRDefault="00EA393E" w:rsidP="00EA393E">
      <w:pPr>
        <w:pStyle w:val="subsection"/>
      </w:pPr>
      <w:r w:rsidRPr="00686C2A">
        <w:tab/>
        <w:t>(1)</w:t>
      </w:r>
      <w:r w:rsidRPr="00686C2A">
        <w:tab/>
        <w:t xml:space="preserve">Information for a </w:t>
      </w:r>
      <w:proofErr w:type="spellStart"/>
      <w:r w:rsidRPr="00686C2A">
        <w:t>MySuper</w:t>
      </w:r>
      <w:proofErr w:type="spellEnd"/>
      <w:r w:rsidRPr="00686C2A">
        <w:t xml:space="preserve"> product must be set out in a product dashboard as follows (including the headings):</w:t>
      </w:r>
    </w:p>
    <w:p w:rsidR="00C35C28" w:rsidRPr="00686C2A" w:rsidRDefault="00C35C28" w:rsidP="00C35C28">
      <w:pPr>
        <w:pStyle w:val="Tabletext"/>
      </w:pPr>
    </w:p>
    <w:tbl>
      <w:tblPr>
        <w:tblW w:w="0" w:type="auto"/>
        <w:tblInd w:w="39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85"/>
        <w:gridCol w:w="2977"/>
      </w:tblGrid>
      <w:tr w:rsidR="00C35C28" w:rsidRPr="00686C2A" w:rsidTr="00863DD1">
        <w:trPr>
          <w:tblHeader/>
        </w:trPr>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5C28" w:rsidRPr="00686C2A" w:rsidRDefault="00C35C28" w:rsidP="002D780D">
            <w:r w:rsidRPr="00686C2A">
              <w:rPr>
                <w:b/>
              </w:rPr>
              <w:t>PRODUCT DASHBOARD</w:t>
            </w:r>
          </w:p>
        </w:tc>
      </w:tr>
      <w:tr w:rsidR="00C35C28" w:rsidRPr="00686C2A" w:rsidTr="00863DD1">
        <w:tc>
          <w:tcPr>
            <w:tcW w:w="3685" w:type="dxa"/>
            <w:tcBorders>
              <w:top w:val="single" w:sz="4" w:space="0" w:color="auto"/>
              <w:left w:val="single" w:sz="4" w:space="0" w:color="auto"/>
              <w:bottom w:val="single" w:sz="4" w:space="0" w:color="auto"/>
              <w:right w:val="single" w:sz="4" w:space="0" w:color="auto"/>
            </w:tcBorders>
            <w:shd w:val="clear" w:color="auto" w:fill="auto"/>
          </w:tcPr>
          <w:p w:rsidR="00C35C28" w:rsidRPr="00686C2A" w:rsidRDefault="00C35C28" w:rsidP="002D780D">
            <w:pPr>
              <w:spacing w:line="240" w:lineRule="auto"/>
              <w:rPr>
                <w:b/>
              </w:rPr>
            </w:pPr>
            <w:r w:rsidRPr="00686C2A">
              <w:rPr>
                <w:b/>
              </w:rPr>
              <w:t>Return target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35C28" w:rsidRPr="00686C2A" w:rsidRDefault="00C35C28" w:rsidP="002D780D"/>
          <w:p w:rsidR="00C35C28" w:rsidRPr="00686C2A" w:rsidRDefault="00C35C28" w:rsidP="002D780D"/>
        </w:tc>
      </w:tr>
      <w:tr w:rsidR="00C35C28" w:rsidRPr="00686C2A" w:rsidTr="00863DD1">
        <w:tc>
          <w:tcPr>
            <w:tcW w:w="3685" w:type="dxa"/>
            <w:tcBorders>
              <w:top w:val="single" w:sz="4" w:space="0" w:color="auto"/>
              <w:left w:val="single" w:sz="4" w:space="0" w:color="auto"/>
              <w:bottom w:val="single" w:sz="4" w:space="0" w:color="auto"/>
              <w:right w:val="single" w:sz="4" w:space="0" w:color="auto"/>
            </w:tcBorders>
            <w:shd w:val="clear" w:color="auto" w:fill="auto"/>
          </w:tcPr>
          <w:p w:rsidR="00C35C28" w:rsidRPr="00686C2A" w:rsidRDefault="00C35C28" w:rsidP="002D780D">
            <w:pPr>
              <w:spacing w:line="240" w:lineRule="auto"/>
              <w:rPr>
                <w:b/>
              </w:rPr>
            </w:pPr>
            <w:r w:rsidRPr="00686C2A">
              <w:rPr>
                <w:b/>
              </w:rPr>
              <w:t>Return</w:t>
            </w:r>
          </w:p>
        </w:tc>
        <w:tc>
          <w:tcPr>
            <w:tcW w:w="2977" w:type="dxa"/>
            <w:tcBorders>
              <w:top w:val="single" w:sz="4" w:space="0" w:color="auto"/>
              <w:left w:val="single" w:sz="4" w:space="0" w:color="auto"/>
              <w:right w:val="single" w:sz="4" w:space="0" w:color="auto"/>
            </w:tcBorders>
            <w:shd w:val="clear" w:color="auto" w:fill="auto"/>
          </w:tcPr>
          <w:p w:rsidR="00C35C28" w:rsidRPr="00686C2A" w:rsidRDefault="00C35C28" w:rsidP="002D780D"/>
          <w:p w:rsidR="00C35C28" w:rsidRPr="00686C2A" w:rsidRDefault="00C35C28" w:rsidP="002D780D"/>
        </w:tc>
      </w:tr>
      <w:tr w:rsidR="00C35C28" w:rsidRPr="00686C2A" w:rsidTr="00FC217B">
        <w:tc>
          <w:tcPr>
            <w:tcW w:w="3685" w:type="dxa"/>
            <w:tcBorders>
              <w:left w:val="single" w:sz="4" w:space="0" w:color="auto"/>
              <w:bottom w:val="single" w:sz="4" w:space="0" w:color="auto"/>
              <w:right w:val="single" w:sz="4" w:space="0" w:color="auto"/>
            </w:tcBorders>
            <w:shd w:val="clear" w:color="auto" w:fill="auto"/>
          </w:tcPr>
          <w:p w:rsidR="00C35C28" w:rsidRPr="00686C2A" w:rsidRDefault="00C35C28" w:rsidP="002D780D">
            <w:pPr>
              <w:spacing w:line="240" w:lineRule="auto"/>
              <w:rPr>
                <w:b/>
              </w:rPr>
            </w:pPr>
            <w:r w:rsidRPr="00686C2A">
              <w:rPr>
                <w:b/>
              </w:rPr>
              <w:t>Comparison between return target and return</w:t>
            </w:r>
          </w:p>
        </w:tc>
        <w:tc>
          <w:tcPr>
            <w:tcW w:w="2977" w:type="dxa"/>
            <w:tcBorders>
              <w:left w:val="single" w:sz="4" w:space="0" w:color="auto"/>
              <w:right w:val="single" w:sz="4" w:space="0" w:color="auto"/>
            </w:tcBorders>
            <w:shd w:val="clear" w:color="auto" w:fill="auto"/>
          </w:tcPr>
          <w:p w:rsidR="00C35C28" w:rsidRPr="00686C2A" w:rsidRDefault="00C35C28" w:rsidP="002D780D"/>
          <w:p w:rsidR="00C35C28" w:rsidRPr="00686C2A" w:rsidRDefault="00C35C28" w:rsidP="002D780D"/>
          <w:p w:rsidR="00C35C28" w:rsidRPr="00686C2A" w:rsidRDefault="00C35C28" w:rsidP="002D780D"/>
          <w:p w:rsidR="00C35C28" w:rsidRPr="00686C2A" w:rsidRDefault="00C35C28" w:rsidP="002D780D"/>
        </w:tc>
      </w:tr>
      <w:tr w:rsidR="00E01851" w:rsidRPr="00686C2A" w:rsidTr="00FC217B">
        <w:tc>
          <w:tcPr>
            <w:tcW w:w="3685" w:type="dxa"/>
            <w:tcBorders>
              <w:left w:val="single" w:sz="4" w:space="0" w:color="auto"/>
              <w:bottom w:val="single" w:sz="4" w:space="0" w:color="auto"/>
              <w:right w:val="single" w:sz="4" w:space="0" w:color="auto"/>
            </w:tcBorders>
            <w:shd w:val="clear" w:color="auto" w:fill="auto"/>
          </w:tcPr>
          <w:p w:rsidR="00C35C28" w:rsidRPr="00686C2A" w:rsidRDefault="00C35C28" w:rsidP="002D780D">
            <w:pPr>
              <w:spacing w:line="240" w:lineRule="auto"/>
              <w:rPr>
                <w:b/>
              </w:rPr>
            </w:pPr>
            <w:r w:rsidRPr="00686C2A">
              <w:rPr>
                <w:b/>
              </w:rPr>
              <w:t>Level of investment risk</w:t>
            </w:r>
          </w:p>
        </w:tc>
        <w:tc>
          <w:tcPr>
            <w:tcW w:w="2977" w:type="dxa"/>
            <w:tcBorders>
              <w:left w:val="single" w:sz="4" w:space="0" w:color="auto"/>
              <w:bottom w:val="single" w:sz="4" w:space="0" w:color="auto"/>
              <w:right w:val="single" w:sz="4" w:space="0" w:color="auto"/>
            </w:tcBorders>
            <w:shd w:val="clear" w:color="auto" w:fill="auto"/>
          </w:tcPr>
          <w:p w:rsidR="00C35C28" w:rsidRPr="00686C2A" w:rsidRDefault="00C35C28" w:rsidP="002D780D"/>
          <w:p w:rsidR="00C35C28" w:rsidRPr="00686C2A" w:rsidRDefault="00C35C28" w:rsidP="002D780D"/>
        </w:tc>
      </w:tr>
      <w:tr w:rsidR="00E01851" w:rsidRPr="00686C2A" w:rsidTr="00FC217B">
        <w:tc>
          <w:tcPr>
            <w:tcW w:w="3685" w:type="dxa"/>
            <w:tcBorders>
              <w:left w:val="single" w:sz="4" w:space="0" w:color="auto"/>
              <w:bottom w:val="single" w:sz="4" w:space="0" w:color="auto"/>
              <w:right w:val="single" w:sz="4" w:space="0" w:color="auto"/>
            </w:tcBorders>
            <w:shd w:val="clear" w:color="auto" w:fill="auto"/>
          </w:tcPr>
          <w:p w:rsidR="00C35C28" w:rsidRPr="00686C2A" w:rsidRDefault="00C35C28" w:rsidP="002D780D">
            <w:pPr>
              <w:spacing w:line="240" w:lineRule="auto"/>
              <w:rPr>
                <w:b/>
              </w:rPr>
            </w:pPr>
            <w:r w:rsidRPr="00686C2A">
              <w:rPr>
                <w:b/>
              </w:rPr>
              <w:lastRenderedPageBreak/>
              <w:t>Statement of fees and other costs</w:t>
            </w:r>
          </w:p>
        </w:tc>
        <w:tc>
          <w:tcPr>
            <w:tcW w:w="2977" w:type="dxa"/>
            <w:tcBorders>
              <w:left w:val="single" w:sz="4" w:space="0" w:color="auto"/>
              <w:bottom w:val="single" w:sz="4" w:space="0" w:color="auto"/>
              <w:right w:val="single" w:sz="4" w:space="0" w:color="auto"/>
            </w:tcBorders>
            <w:shd w:val="clear" w:color="auto" w:fill="auto"/>
          </w:tcPr>
          <w:p w:rsidR="00C35C28" w:rsidRPr="00686C2A" w:rsidRDefault="00C35C28" w:rsidP="002D780D"/>
          <w:p w:rsidR="00C35C28" w:rsidRPr="00686C2A" w:rsidRDefault="00C35C28" w:rsidP="002D780D"/>
        </w:tc>
      </w:tr>
    </w:tbl>
    <w:p w:rsidR="00EA393E" w:rsidRPr="00686C2A" w:rsidRDefault="00EA393E" w:rsidP="00EA393E">
      <w:pPr>
        <w:pStyle w:val="subsection"/>
      </w:pPr>
      <w:r w:rsidRPr="00686C2A">
        <w:tab/>
        <w:t>(2)</w:t>
      </w:r>
      <w:r w:rsidRPr="00686C2A">
        <w:tab/>
        <w:t xml:space="preserve">For a lifecycle </w:t>
      </w:r>
      <w:proofErr w:type="spellStart"/>
      <w:r w:rsidRPr="00686C2A">
        <w:t>MySuper</w:t>
      </w:r>
      <w:proofErr w:type="spellEnd"/>
      <w:r w:rsidRPr="00686C2A">
        <w:t xml:space="preserve"> product, the information mentioned in each item of the table must be set out in relation to each lifecycle stage of the product.</w:t>
      </w:r>
    </w:p>
    <w:p w:rsidR="00EA393E" w:rsidRPr="00686C2A" w:rsidRDefault="007343D1" w:rsidP="00EA393E">
      <w:pPr>
        <w:pStyle w:val="ActHead5"/>
      </w:pPr>
      <w:bookmarkStart w:id="106" w:name="_Toc359591598"/>
      <w:r w:rsidRPr="00686C2A">
        <w:rPr>
          <w:rStyle w:val="CharSectno"/>
        </w:rPr>
        <w:t>1017</w:t>
      </w:r>
      <w:r w:rsidR="00CD5F4E" w:rsidRPr="00686C2A">
        <w:rPr>
          <w:rStyle w:val="CharSectno"/>
        </w:rPr>
        <w:t>G</w:t>
      </w:r>
      <w:r w:rsidR="00A77F09" w:rsidRPr="00686C2A">
        <w:rPr>
          <w:rStyle w:val="CharSectno"/>
        </w:rPr>
        <w:t>A</w:t>
      </w:r>
      <w:r w:rsidRPr="00686C2A">
        <w:rPr>
          <w:rStyle w:val="CharSectno"/>
        </w:rPr>
        <w:t>D</w:t>
      </w:r>
      <w:r w:rsidRPr="00686C2A">
        <w:t xml:space="preserve">  </w:t>
      </w:r>
      <w:r w:rsidR="00EA393E" w:rsidRPr="00686C2A">
        <w:t>Product dashboard—return target</w:t>
      </w:r>
      <w:bookmarkEnd w:id="106"/>
    </w:p>
    <w:p w:rsidR="00EA393E" w:rsidRPr="00686C2A" w:rsidRDefault="00EA393E" w:rsidP="00EA393E">
      <w:pPr>
        <w:pStyle w:val="subsection"/>
      </w:pPr>
      <w:r w:rsidRPr="00686C2A">
        <w:tab/>
        <w:t>(1)</w:t>
      </w:r>
      <w:r w:rsidRPr="00686C2A">
        <w:tab/>
        <w:t xml:space="preserve">The return target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(2)</w:t>
      </w:r>
      <w:r w:rsidRPr="00686C2A">
        <w:tab/>
        <w:t xml:space="preserve">The return target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(3)</w:t>
      </w:r>
      <w:r w:rsidRPr="00686C2A">
        <w:tab/>
        <w:t>The period in relation to which the return target must be worked out is the period of 10 years starting at the beginning of the current financial year.</w:t>
      </w:r>
    </w:p>
    <w:p w:rsidR="00EA393E" w:rsidRPr="00686C2A" w:rsidRDefault="007343D1" w:rsidP="00091AAF">
      <w:pPr>
        <w:pStyle w:val="ActHead5"/>
      </w:pPr>
      <w:bookmarkStart w:id="107" w:name="_Toc359591599"/>
      <w:r w:rsidRPr="00686C2A">
        <w:rPr>
          <w:rStyle w:val="CharSectno"/>
        </w:rPr>
        <w:t>1017</w:t>
      </w:r>
      <w:r w:rsidR="00CD5F4E" w:rsidRPr="00686C2A">
        <w:rPr>
          <w:rStyle w:val="CharSectno"/>
        </w:rPr>
        <w:t>G</w:t>
      </w:r>
      <w:r w:rsidR="00A77F09" w:rsidRPr="00686C2A">
        <w:rPr>
          <w:rStyle w:val="CharSectno"/>
        </w:rPr>
        <w:t>A</w:t>
      </w:r>
      <w:r w:rsidRPr="00686C2A">
        <w:rPr>
          <w:rStyle w:val="CharSectno"/>
        </w:rPr>
        <w:t>E</w:t>
      </w:r>
      <w:r w:rsidRPr="00686C2A">
        <w:t xml:space="preserve">  </w:t>
      </w:r>
      <w:r w:rsidR="00EA393E" w:rsidRPr="00686C2A">
        <w:t>Product dashboard—return</w:t>
      </w:r>
      <w:bookmarkEnd w:id="107"/>
    </w:p>
    <w:p w:rsidR="00EA393E" w:rsidRPr="00686C2A" w:rsidRDefault="00EA393E" w:rsidP="00EA393E">
      <w:pPr>
        <w:pStyle w:val="SubsectionHead"/>
      </w:pPr>
      <w:proofErr w:type="spellStart"/>
      <w:r w:rsidRPr="00686C2A">
        <w:t>MySuper</w:t>
      </w:r>
      <w:proofErr w:type="spellEnd"/>
      <w:r w:rsidRPr="00686C2A">
        <w:t xml:space="preserve"> product other</w:t>
      </w:r>
      <w:r w:rsidR="005038B6" w:rsidRPr="00686C2A">
        <w:t xml:space="preserve"> than lifecycle </w:t>
      </w:r>
      <w:proofErr w:type="spellStart"/>
      <w:r w:rsidR="005038B6" w:rsidRPr="00686C2A">
        <w:t>MySuper</w:t>
      </w:r>
      <w:proofErr w:type="spellEnd"/>
      <w:r w:rsidR="005038B6" w:rsidRPr="00686C2A">
        <w:t xml:space="preserve"> product</w:t>
      </w:r>
    </w:p>
    <w:p w:rsidR="00EA393E" w:rsidRPr="00686C2A" w:rsidRDefault="00EA393E" w:rsidP="00EA393E">
      <w:pPr>
        <w:pStyle w:val="subsection"/>
      </w:pPr>
      <w:r w:rsidRPr="00686C2A">
        <w:tab/>
        <w:t>(1)</w:t>
      </w:r>
      <w:r w:rsidRPr="00686C2A">
        <w:tab/>
        <w:t xml:space="preserve">The return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(2)</w:t>
      </w:r>
      <w:r w:rsidRPr="00686C2A">
        <w:tab/>
        <w:t>The period in relation to which the return must be worked out is:</w:t>
      </w:r>
    </w:p>
    <w:p w:rsidR="00EA393E" w:rsidRPr="00686C2A" w:rsidRDefault="00EA393E" w:rsidP="00EA393E">
      <w:pPr>
        <w:pStyle w:val="paragraph"/>
      </w:pPr>
      <w:r w:rsidRPr="00686C2A">
        <w:tab/>
        <w:t>(a)</w:t>
      </w:r>
      <w:r w:rsidRPr="00686C2A">
        <w:tab/>
        <w:t>the last 10 whole financial years, if:</w:t>
      </w:r>
    </w:p>
    <w:p w:rsidR="00EA393E" w:rsidRPr="00686C2A" w:rsidRDefault="00EA393E" w:rsidP="00EA393E">
      <w:pPr>
        <w:pStyle w:val="paragraphsub"/>
      </w:pPr>
      <w:r w:rsidRPr="00686C2A">
        <w:tab/>
        <w:t>(</w:t>
      </w:r>
      <w:proofErr w:type="spellStart"/>
      <w:r w:rsidRPr="00686C2A">
        <w:t>i</w:t>
      </w:r>
      <w:proofErr w:type="spellEnd"/>
      <w:r w:rsidRPr="00686C2A">
        <w:t>)</w:t>
      </w:r>
      <w:r w:rsidRPr="00686C2A">
        <w:tab/>
        <w:t xml:space="preserve">the </w:t>
      </w:r>
      <w:proofErr w:type="spellStart"/>
      <w:r w:rsidRPr="00686C2A">
        <w:t>MySuper</w:t>
      </w:r>
      <w:proofErr w:type="spellEnd"/>
      <w:r w:rsidRPr="00686C2A">
        <w:t xml:space="preserve"> product has been offered for at least 10 financial years; or</w:t>
      </w:r>
    </w:p>
    <w:p w:rsidR="00EA393E" w:rsidRPr="00686C2A" w:rsidRDefault="00EA393E" w:rsidP="00EA393E">
      <w:pPr>
        <w:pStyle w:val="paragraphsub"/>
      </w:pPr>
      <w:r w:rsidRPr="00686C2A">
        <w:tab/>
        <w:t>(ii)</w:t>
      </w:r>
      <w:r w:rsidRPr="00686C2A">
        <w:tab/>
        <w:t xml:space="preserve">the </w:t>
      </w:r>
      <w:proofErr w:type="spellStart"/>
      <w:r w:rsidRPr="00686C2A">
        <w:t>MySuper</w:t>
      </w:r>
      <w:proofErr w:type="spellEnd"/>
      <w:r w:rsidRPr="00686C2A">
        <w:t xml:space="preserve"> product and a predecessor product have been offered for a total of at least 10 financial years; or</w:t>
      </w:r>
    </w:p>
    <w:p w:rsidR="00EA393E" w:rsidRPr="00686C2A" w:rsidRDefault="00EA393E" w:rsidP="00EA393E">
      <w:pPr>
        <w:pStyle w:val="paragraph"/>
      </w:pPr>
      <w:r w:rsidRPr="00686C2A">
        <w:tab/>
        <w:t>(b)</w:t>
      </w:r>
      <w:r w:rsidRPr="00686C2A">
        <w:tab/>
        <w:t>the offering period.</w:t>
      </w:r>
    </w:p>
    <w:p w:rsidR="00EA393E" w:rsidRPr="00686C2A" w:rsidRDefault="00EA393E" w:rsidP="00EA393E">
      <w:pPr>
        <w:pStyle w:val="SubsectionHead"/>
      </w:pPr>
      <w:r w:rsidRPr="00686C2A">
        <w:lastRenderedPageBreak/>
        <w:t xml:space="preserve">Lifecycle </w:t>
      </w:r>
      <w:proofErr w:type="spellStart"/>
      <w:r w:rsidRPr="00686C2A">
        <w:t>MySuper</w:t>
      </w:r>
      <w:proofErr w:type="spellEnd"/>
      <w:r w:rsidRPr="00686C2A">
        <w:t xml:space="preserve"> product</w:t>
      </w:r>
    </w:p>
    <w:p w:rsidR="00EA393E" w:rsidRPr="00686C2A" w:rsidRDefault="00EA393E" w:rsidP="00EA393E">
      <w:pPr>
        <w:pStyle w:val="subsection"/>
      </w:pPr>
      <w:r w:rsidRPr="00686C2A">
        <w:tab/>
        <w:t>(3)</w:t>
      </w:r>
      <w:r w:rsidRPr="00686C2A">
        <w:tab/>
        <w:t xml:space="preserve">The return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(4)</w:t>
      </w:r>
      <w:r w:rsidRPr="00686C2A">
        <w:tab/>
        <w:t xml:space="preserve">The period in relation to which the return in relation to a lifecycle stage of a lifecycle </w:t>
      </w:r>
      <w:proofErr w:type="spellStart"/>
      <w:r w:rsidRPr="00686C2A">
        <w:t>MySuper</w:t>
      </w:r>
      <w:proofErr w:type="spellEnd"/>
      <w:r w:rsidRPr="00686C2A">
        <w:t xml:space="preserve"> product must be worked out is:</w:t>
      </w:r>
    </w:p>
    <w:p w:rsidR="00EA393E" w:rsidRPr="00686C2A" w:rsidRDefault="00EA393E" w:rsidP="00EA393E">
      <w:pPr>
        <w:pStyle w:val="paragraph"/>
      </w:pPr>
      <w:r w:rsidRPr="00686C2A">
        <w:tab/>
        <w:t>(a)</w:t>
      </w:r>
      <w:r w:rsidRPr="00686C2A">
        <w:tab/>
        <w:t>the last 10 whole financial years, if:</w:t>
      </w:r>
    </w:p>
    <w:p w:rsidR="00EA393E" w:rsidRPr="00686C2A" w:rsidRDefault="00EA393E" w:rsidP="00EA393E">
      <w:pPr>
        <w:pStyle w:val="paragraphsub"/>
      </w:pPr>
      <w:r w:rsidRPr="00686C2A">
        <w:tab/>
        <w:t>(</w:t>
      </w:r>
      <w:proofErr w:type="spellStart"/>
      <w:r w:rsidRPr="00686C2A">
        <w:t>i</w:t>
      </w:r>
      <w:proofErr w:type="spellEnd"/>
      <w:r w:rsidRPr="00686C2A">
        <w:t>)</w:t>
      </w:r>
      <w:r w:rsidRPr="00686C2A">
        <w:tab/>
        <w:t xml:space="preserve">the lifecycle stage of the </w:t>
      </w:r>
      <w:proofErr w:type="spellStart"/>
      <w:r w:rsidRPr="00686C2A">
        <w:t>MySuper</w:t>
      </w:r>
      <w:proofErr w:type="spellEnd"/>
      <w:r w:rsidRPr="00686C2A">
        <w:t xml:space="preserve"> product has been offered for at least 10 financial years; or</w:t>
      </w:r>
    </w:p>
    <w:p w:rsidR="00EA393E" w:rsidRPr="00686C2A" w:rsidRDefault="00EA393E" w:rsidP="00EA393E">
      <w:pPr>
        <w:pStyle w:val="paragraphsub"/>
      </w:pPr>
      <w:r w:rsidRPr="00686C2A">
        <w:tab/>
        <w:t>(ii)</w:t>
      </w:r>
      <w:r w:rsidRPr="00686C2A">
        <w:tab/>
        <w:t xml:space="preserve">the lifecycle stage of the </w:t>
      </w:r>
      <w:proofErr w:type="spellStart"/>
      <w:r w:rsidRPr="00686C2A">
        <w:t>MySuper</w:t>
      </w:r>
      <w:proofErr w:type="spellEnd"/>
      <w:r w:rsidRPr="00686C2A">
        <w:t xml:space="preserve"> product and an equivalent stage of a predecessor product have been offered for a total of at least 10 financial years; or</w:t>
      </w:r>
    </w:p>
    <w:p w:rsidR="00EA393E" w:rsidRPr="00686C2A" w:rsidRDefault="00EA393E" w:rsidP="00EA393E">
      <w:pPr>
        <w:pStyle w:val="paragraph"/>
      </w:pPr>
      <w:r w:rsidRPr="00686C2A">
        <w:tab/>
        <w:t>(b)</w:t>
      </w:r>
      <w:r w:rsidRPr="00686C2A">
        <w:tab/>
        <w:t>the offering period.</w:t>
      </w:r>
    </w:p>
    <w:p w:rsidR="00EA393E" w:rsidRPr="00686C2A" w:rsidRDefault="007343D1" w:rsidP="00091AAF">
      <w:pPr>
        <w:pStyle w:val="ActHead5"/>
      </w:pPr>
      <w:bookmarkStart w:id="108" w:name="_Toc359591600"/>
      <w:r w:rsidRPr="00686C2A">
        <w:rPr>
          <w:rStyle w:val="CharSectno"/>
        </w:rPr>
        <w:t>1</w:t>
      </w:r>
      <w:r w:rsidR="00EA393E" w:rsidRPr="00686C2A">
        <w:rPr>
          <w:rStyle w:val="CharSectno"/>
        </w:rPr>
        <w:t>0</w:t>
      </w:r>
      <w:r w:rsidRPr="00686C2A">
        <w:rPr>
          <w:rStyle w:val="CharSectno"/>
        </w:rPr>
        <w:t>1</w:t>
      </w:r>
      <w:r w:rsidR="00EA393E" w:rsidRPr="00686C2A">
        <w:rPr>
          <w:rStyle w:val="CharSectno"/>
        </w:rPr>
        <w:t>7</w:t>
      </w:r>
      <w:r w:rsidR="00CD5F4E" w:rsidRPr="00686C2A">
        <w:rPr>
          <w:rStyle w:val="CharSectno"/>
        </w:rPr>
        <w:t>G</w:t>
      </w:r>
      <w:r w:rsidR="00A77F09" w:rsidRPr="00686C2A">
        <w:rPr>
          <w:rStyle w:val="CharSectno"/>
        </w:rPr>
        <w:t>A</w:t>
      </w:r>
      <w:r w:rsidRPr="00686C2A">
        <w:rPr>
          <w:rStyle w:val="CharSectno"/>
        </w:rPr>
        <w:t>F</w:t>
      </w:r>
      <w:r w:rsidRPr="00686C2A">
        <w:t xml:space="preserve">  </w:t>
      </w:r>
      <w:r w:rsidR="00EA393E" w:rsidRPr="00686C2A">
        <w:t>Product dashboard—comparison between return target and return</w:t>
      </w:r>
      <w:bookmarkEnd w:id="108"/>
    </w:p>
    <w:p w:rsidR="00EA393E" w:rsidRPr="00686C2A" w:rsidRDefault="00EA393E" w:rsidP="00EA393E">
      <w:pPr>
        <w:pStyle w:val="SubsectionHead"/>
      </w:pPr>
      <w:proofErr w:type="spellStart"/>
      <w:r w:rsidRPr="00686C2A">
        <w:t>MySuper</w:t>
      </w:r>
      <w:proofErr w:type="spellEnd"/>
      <w:r w:rsidRPr="00686C2A">
        <w:t xml:space="preserve"> product other</w:t>
      </w:r>
      <w:r w:rsidR="005038B6" w:rsidRPr="00686C2A">
        <w:t xml:space="preserve"> than lifecycle </w:t>
      </w:r>
      <w:proofErr w:type="spellStart"/>
      <w:r w:rsidR="005038B6" w:rsidRPr="00686C2A">
        <w:t>MySuper</w:t>
      </w:r>
      <w:proofErr w:type="spellEnd"/>
      <w:r w:rsidR="005038B6" w:rsidRPr="00686C2A">
        <w:t xml:space="preserve"> product</w:t>
      </w:r>
    </w:p>
    <w:p w:rsidR="00EA393E" w:rsidRPr="00686C2A" w:rsidRDefault="00EA393E" w:rsidP="00EA393E">
      <w:pPr>
        <w:pStyle w:val="subsection"/>
      </w:pPr>
      <w:r w:rsidRPr="00686C2A">
        <w:tab/>
        <w:t>(1)</w:t>
      </w:r>
      <w:r w:rsidRPr="00686C2A">
        <w:tab/>
        <w:t xml:space="preserve">The comparison between the return target and the return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(2)</w:t>
      </w:r>
      <w:r w:rsidRPr="00686C2A">
        <w:tab/>
        <w:t>The period in relation to which the comparison must be worked out is:</w:t>
      </w:r>
    </w:p>
    <w:p w:rsidR="00EA393E" w:rsidRPr="00686C2A" w:rsidRDefault="00EA393E" w:rsidP="00EA393E">
      <w:pPr>
        <w:pStyle w:val="paragraph"/>
      </w:pPr>
      <w:r w:rsidRPr="00686C2A">
        <w:tab/>
        <w:t>(a)</w:t>
      </w:r>
      <w:r w:rsidRPr="00686C2A">
        <w:tab/>
        <w:t>the last 10 whole financial years, if:</w:t>
      </w:r>
    </w:p>
    <w:p w:rsidR="00EA393E" w:rsidRPr="00686C2A" w:rsidRDefault="00EA393E" w:rsidP="00EA393E">
      <w:pPr>
        <w:pStyle w:val="paragraphsub"/>
      </w:pPr>
      <w:r w:rsidRPr="00686C2A">
        <w:tab/>
        <w:t>(</w:t>
      </w:r>
      <w:proofErr w:type="spellStart"/>
      <w:r w:rsidRPr="00686C2A">
        <w:t>i</w:t>
      </w:r>
      <w:proofErr w:type="spellEnd"/>
      <w:r w:rsidRPr="00686C2A">
        <w:t>)</w:t>
      </w:r>
      <w:r w:rsidRPr="00686C2A">
        <w:tab/>
        <w:t xml:space="preserve">the </w:t>
      </w:r>
      <w:proofErr w:type="spellStart"/>
      <w:r w:rsidRPr="00686C2A">
        <w:t>MySuper</w:t>
      </w:r>
      <w:proofErr w:type="spellEnd"/>
      <w:r w:rsidRPr="00686C2A">
        <w:t xml:space="preserve"> product has been offered for at least 10 financial years; or</w:t>
      </w:r>
    </w:p>
    <w:p w:rsidR="00EA393E" w:rsidRPr="00686C2A" w:rsidRDefault="00EA393E" w:rsidP="00EA393E">
      <w:pPr>
        <w:pStyle w:val="paragraphsub"/>
      </w:pPr>
      <w:r w:rsidRPr="00686C2A">
        <w:tab/>
        <w:t>(ii)</w:t>
      </w:r>
      <w:r w:rsidRPr="00686C2A">
        <w:tab/>
        <w:t xml:space="preserve">the </w:t>
      </w:r>
      <w:proofErr w:type="spellStart"/>
      <w:r w:rsidRPr="00686C2A">
        <w:t>MySuper</w:t>
      </w:r>
      <w:proofErr w:type="spellEnd"/>
      <w:r w:rsidRPr="00686C2A">
        <w:t xml:space="preserve"> product and a predecessor product, or a lifecycle stage have been offered for a total of at least 10 financial years; or</w:t>
      </w:r>
    </w:p>
    <w:p w:rsidR="00EA393E" w:rsidRPr="00686C2A" w:rsidRDefault="00EA393E" w:rsidP="00EA393E">
      <w:pPr>
        <w:pStyle w:val="paragraph"/>
      </w:pPr>
      <w:r w:rsidRPr="00686C2A">
        <w:tab/>
        <w:t>(b)</w:t>
      </w:r>
      <w:r w:rsidRPr="00686C2A">
        <w:tab/>
        <w:t>the offering period.</w:t>
      </w:r>
    </w:p>
    <w:p w:rsidR="00EA393E" w:rsidRPr="00686C2A" w:rsidRDefault="005038B6" w:rsidP="00EA393E">
      <w:pPr>
        <w:pStyle w:val="SubsectionHead"/>
      </w:pPr>
      <w:r w:rsidRPr="00686C2A">
        <w:t xml:space="preserve">Lifecycle </w:t>
      </w:r>
      <w:proofErr w:type="spellStart"/>
      <w:r w:rsidRPr="00686C2A">
        <w:t>MySuper</w:t>
      </w:r>
      <w:proofErr w:type="spellEnd"/>
      <w:r w:rsidRPr="00686C2A">
        <w:t xml:space="preserve"> product</w:t>
      </w:r>
    </w:p>
    <w:p w:rsidR="00EA393E" w:rsidRPr="00686C2A" w:rsidRDefault="00EA393E" w:rsidP="00EA393E">
      <w:pPr>
        <w:pStyle w:val="subsection"/>
      </w:pPr>
      <w:r w:rsidRPr="00686C2A">
        <w:tab/>
        <w:t>(3)</w:t>
      </w:r>
      <w:r w:rsidRPr="00686C2A">
        <w:tab/>
        <w:t xml:space="preserve">The comparison between the return target and the return for a lifecycle </w:t>
      </w:r>
      <w:proofErr w:type="spellStart"/>
      <w:r w:rsidRPr="00686C2A">
        <w:t>MySuper</w:t>
      </w:r>
      <w:proofErr w:type="spellEnd"/>
      <w:r w:rsidRPr="00686C2A">
        <w:t xml:space="preserve"> product must be worked out in relation to each </w:t>
      </w:r>
      <w:r w:rsidRPr="00686C2A">
        <w:lastRenderedPageBreak/>
        <w:t xml:space="preserve">lifecycle stage of the product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(4)</w:t>
      </w:r>
      <w:r w:rsidRPr="00686C2A">
        <w:tab/>
        <w:t xml:space="preserve">The period in relation to which the comparison in relation to a lifecycle stage of a </w:t>
      </w:r>
      <w:proofErr w:type="spellStart"/>
      <w:r w:rsidRPr="00686C2A">
        <w:t>MySuper</w:t>
      </w:r>
      <w:proofErr w:type="spellEnd"/>
      <w:r w:rsidRPr="00686C2A">
        <w:t xml:space="preserve"> product must be worked out is:</w:t>
      </w:r>
    </w:p>
    <w:p w:rsidR="00EA393E" w:rsidRPr="00686C2A" w:rsidRDefault="00EA393E" w:rsidP="00EA393E">
      <w:pPr>
        <w:pStyle w:val="paragraph"/>
      </w:pPr>
      <w:r w:rsidRPr="00686C2A">
        <w:tab/>
        <w:t>(a)</w:t>
      </w:r>
      <w:r w:rsidRPr="00686C2A">
        <w:tab/>
        <w:t>the last 10 whole financial years, if:</w:t>
      </w:r>
    </w:p>
    <w:p w:rsidR="00EA393E" w:rsidRPr="00686C2A" w:rsidRDefault="00EA393E" w:rsidP="00EA393E">
      <w:pPr>
        <w:pStyle w:val="paragraphsub"/>
      </w:pPr>
      <w:r w:rsidRPr="00686C2A">
        <w:tab/>
        <w:t>(</w:t>
      </w:r>
      <w:proofErr w:type="spellStart"/>
      <w:r w:rsidRPr="00686C2A">
        <w:t>i</w:t>
      </w:r>
      <w:proofErr w:type="spellEnd"/>
      <w:r w:rsidRPr="00686C2A">
        <w:t>)</w:t>
      </w:r>
      <w:r w:rsidRPr="00686C2A">
        <w:tab/>
        <w:t xml:space="preserve">the lifecycle stage of the </w:t>
      </w:r>
      <w:proofErr w:type="spellStart"/>
      <w:r w:rsidRPr="00686C2A">
        <w:t>MySuper</w:t>
      </w:r>
      <w:proofErr w:type="spellEnd"/>
      <w:r w:rsidRPr="00686C2A">
        <w:t xml:space="preserve"> product has been offered for at least 10 financial years; or</w:t>
      </w:r>
    </w:p>
    <w:p w:rsidR="00EA393E" w:rsidRPr="00686C2A" w:rsidRDefault="00EA393E" w:rsidP="00EA393E">
      <w:pPr>
        <w:pStyle w:val="paragraphsub"/>
      </w:pPr>
      <w:r w:rsidRPr="00686C2A">
        <w:tab/>
        <w:t>(ii)</w:t>
      </w:r>
      <w:r w:rsidRPr="00686C2A">
        <w:tab/>
        <w:t xml:space="preserve">the lifecycle stage of the </w:t>
      </w:r>
      <w:proofErr w:type="spellStart"/>
      <w:r w:rsidRPr="00686C2A">
        <w:t>MySuper</w:t>
      </w:r>
      <w:proofErr w:type="spellEnd"/>
      <w:r w:rsidRPr="00686C2A">
        <w:t xml:space="preserve"> product and an equivalent stage of a predecessor product have been offered for a total of at least 10 financial years; or</w:t>
      </w:r>
    </w:p>
    <w:p w:rsidR="00EA393E" w:rsidRPr="00686C2A" w:rsidRDefault="00EA393E" w:rsidP="00EA393E">
      <w:pPr>
        <w:pStyle w:val="paragraph"/>
      </w:pPr>
      <w:r w:rsidRPr="00686C2A">
        <w:tab/>
        <w:t>(b)</w:t>
      </w:r>
      <w:r w:rsidRPr="00686C2A">
        <w:tab/>
        <w:t>the offering period.</w:t>
      </w:r>
    </w:p>
    <w:p w:rsidR="00EA393E" w:rsidRPr="00686C2A" w:rsidRDefault="007343D1" w:rsidP="00EA393E">
      <w:pPr>
        <w:pStyle w:val="ActHead5"/>
      </w:pPr>
      <w:bookmarkStart w:id="109" w:name="_Toc359591601"/>
      <w:r w:rsidRPr="00686C2A">
        <w:rPr>
          <w:rStyle w:val="CharSectno"/>
        </w:rPr>
        <w:t>1017G</w:t>
      </w:r>
      <w:r w:rsidR="00A77F09" w:rsidRPr="00686C2A">
        <w:rPr>
          <w:rStyle w:val="CharSectno"/>
        </w:rPr>
        <w:t>AG</w:t>
      </w:r>
      <w:r w:rsidRPr="00686C2A">
        <w:t xml:space="preserve">  </w:t>
      </w:r>
      <w:r w:rsidR="00EA393E" w:rsidRPr="00686C2A">
        <w:t>Comparison to be set out as a graph</w:t>
      </w:r>
      <w:bookmarkEnd w:id="109"/>
    </w:p>
    <w:p w:rsidR="00EA393E" w:rsidRPr="00686C2A" w:rsidRDefault="00EA393E" w:rsidP="00EA393E">
      <w:pPr>
        <w:pStyle w:val="subsection"/>
      </w:pPr>
      <w:r w:rsidRPr="00686C2A">
        <w:tab/>
        <w:t>(1)</w:t>
      </w:r>
      <w:r w:rsidRPr="00686C2A">
        <w:tab/>
        <w:t xml:space="preserve">A product dashboard must set out a comparison mentioned in </w:t>
      </w:r>
      <w:r w:rsidR="006A7342" w:rsidRPr="00686C2A">
        <w:t>section</w:t>
      </w:r>
      <w:r w:rsidR="00686C2A" w:rsidRPr="00686C2A">
        <w:t> </w:t>
      </w:r>
      <w:r w:rsidR="006A7342" w:rsidRPr="00686C2A">
        <w:t>1017GA</w:t>
      </w:r>
      <w:r w:rsidR="004623A5" w:rsidRPr="00686C2A">
        <w:t>F</w:t>
      </w:r>
      <w:r w:rsidRPr="00686C2A">
        <w:t xml:space="preserve"> as a graph.</w:t>
      </w:r>
    </w:p>
    <w:p w:rsidR="00EA393E" w:rsidRPr="00686C2A" w:rsidRDefault="00EA393E" w:rsidP="00EA393E">
      <w:pPr>
        <w:pStyle w:val="subsection"/>
      </w:pPr>
      <w:r w:rsidRPr="00686C2A">
        <w:tab/>
        <w:t>(2)</w:t>
      </w:r>
      <w:r w:rsidRPr="00686C2A">
        <w:tab/>
        <w:t>The graph must contain:</w:t>
      </w:r>
    </w:p>
    <w:p w:rsidR="00EA393E" w:rsidRPr="00686C2A" w:rsidRDefault="00EA393E" w:rsidP="00EA393E">
      <w:pPr>
        <w:pStyle w:val="paragraph"/>
      </w:pPr>
      <w:r w:rsidRPr="00686C2A">
        <w:t xml:space="preserve"> </w:t>
      </w:r>
      <w:r w:rsidRPr="00686C2A">
        <w:tab/>
        <w:t>(a)</w:t>
      </w:r>
      <w:r w:rsidRPr="00686C2A">
        <w:tab/>
        <w:t>a column representing the return for each year in the comparison period; and</w:t>
      </w:r>
    </w:p>
    <w:p w:rsidR="00EA393E" w:rsidRPr="00686C2A" w:rsidRDefault="00EA393E" w:rsidP="00EA393E">
      <w:pPr>
        <w:pStyle w:val="paragraph"/>
      </w:pPr>
      <w:r w:rsidRPr="00686C2A">
        <w:tab/>
        <w:t>(b)</w:t>
      </w:r>
      <w:r w:rsidRPr="00686C2A">
        <w:tab/>
        <w:t>a line representing the moving average return target for the comparison period; and</w:t>
      </w:r>
    </w:p>
    <w:p w:rsidR="00EA393E" w:rsidRPr="00686C2A" w:rsidRDefault="00EA393E" w:rsidP="00EA393E">
      <w:pPr>
        <w:pStyle w:val="paragraph"/>
      </w:pPr>
      <w:r w:rsidRPr="00686C2A">
        <w:tab/>
        <w:t>(c)</w:t>
      </w:r>
      <w:r w:rsidRPr="00686C2A">
        <w:tab/>
        <w:t>a line representing the moving average return for the comparison period.</w:t>
      </w:r>
    </w:p>
    <w:p w:rsidR="00EA393E" w:rsidRPr="00686C2A" w:rsidRDefault="00EA393E" w:rsidP="00EA393E">
      <w:pPr>
        <w:pStyle w:val="subsection"/>
      </w:pPr>
      <w:r w:rsidRPr="00686C2A">
        <w:tab/>
        <w:t>(3)</w:t>
      </w:r>
      <w:r w:rsidRPr="00686C2A">
        <w:tab/>
        <w:t xml:space="preserve">The column and the lines mentioned in </w:t>
      </w:r>
      <w:r w:rsidR="00686C2A" w:rsidRPr="00686C2A">
        <w:t>subsection (</w:t>
      </w:r>
      <w:r w:rsidRPr="00686C2A">
        <w:t xml:space="preserve">2) must be identified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(4)</w:t>
      </w:r>
      <w:r w:rsidRPr="00686C2A">
        <w:tab/>
        <w:t xml:space="preserve">In this </w:t>
      </w:r>
      <w:r w:rsidR="008878C3" w:rsidRPr="00686C2A">
        <w:t>section</w:t>
      </w:r>
      <w:r w:rsidRPr="00686C2A">
        <w:t>:</w:t>
      </w:r>
    </w:p>
    <w:p w:rsidR="00EA393E" w:rsidRPr="00686C2A" w:rsidRDefault="00EA393E" w:rsidP="00EA393E">
      <w:pPr>
        <w:pStyle w:val="Definition"/>
      </w:pPr>
      <w:r w:rsidRPr="00686C2A">
        <w:rPr>
          <w:b/>
          <w:i/>
        </w:rPr>
        <w:t>comparison period</w:t>
      </w:r>
      <w:r w:rsidRPr="00686C2A">
        <w:t xml:space="preserve"> means the period mentioned in sub</w:t>
      </w:r>
      <w:r w:rsidR="006A7342" w:rsidRPr="00686C2A">
        <w:t>section</w:t>
      </w:r>
      <w:r w:rsidR="00686C2A" w:rsidRPr="00686C2A">
        <w:t> </w:t>
      </w:r>
      <w:r w:rsidR="006A7342" w:rsidRPr="00686C2A">
        <w:t>1017GAF(2) or (4)</w:t>
      </w:r>
      <w:r w:rsidRPr="00686C2A">
        <w:t xml:space="preserve"> that is applicable in the circumstances.</w:t>
      </w:r>
    </w:p>
    <w:p w:rsidR="00EA393E" w:rsidRPr="00686C2A" w:rsidRDefault="00EA393E" w:rsidP="00EA393E">
      <w:pPr>
        <w:pStyle w:val="Definition"/>
      </w:pPr>
      <w:r w:rsidRPr="00686C2A">
        <w:rPr>
          <w:b/>
          <w:i/>
        </w:rPr>
        <w:t>moving average return</w:t>
      </w:r>
      <w:r w:rsidRPr="00686C2A">
        <w:t xml:space="preserve"> has the meaning given by the </w:t>
      </w:r>
      <w:proofErr w:type="spellStart"/>
      <w:r w:rsidRPr="00686C2A">
        <w:t>MySuper</w:t>
      </w:r>
      <w:proofErr w:type="spellEnd"/>
      <w:r w:rsidRPr="00686C2A">
        <w:t xml:space="preserve"> product </w:t>
      </w:r>
      <w:r w:rsidR="0004023D" w:rsidRPr="00686C2A">
        <w:t xml:space="preserve">dashboard </w:t>
      </w:r>
      <w:r w:rsidRPr="00686C2A">
        <w:t>reporting standards.</w:t>
      </w:r>
    </w:p>
    <w:p w:rsidR="00EA393E" w:rsidRPr="00686C2A" w:rsidRDefault="00EA393E" w:rsidP="00EA393E">
      <w:pPr>
        <w:pStyle w:val="Definition"/>
      </w:pPr>
      <w:r w:rsidRPr="00686C2A">
        <w:rPr>
          <w:b/>
          <w:i/>
        </w:rPr>
        <w:t>moving average return target</w:t>
      </w:r>
      <w:r w:rsidRPr="00686C2A">
        <w:t xml:space="preserve"> has the meaning given by the </w:t>
      </w:r>
      <w:proofErr w:type="spellStart"/>
      <w:r w:rsidRPr="00686C2A">
        <w:t>MySuper</w:t>
      </w:r>
      <w:proofErr w:type="spellEnd"/>
      <w:r w:rsidRPr="00686C2A">
        <w:t xml:space="preserve"> product </w:t>
      </w:r>
      <w:r w:rsidR="0004023D" w:rsidRPr="00686C2A">
        <w:t xml:space="preserve">dashboard </w:t>
      </w:r>
      <w:r w:rsidRPr="00686C2A">
        <w:t>reporting standards.</w:t>
      </w:r>
    </w:p>
    <w:p w:rsidR="00EA393E" w:rsidRPr="00686C2A" w:rsidRDefault="007343D1" w:rsidP="00EA393E">
      <w:pPr>
        <w:pStyle w:val="ActHead5"/>
      </w:pPr>
      <w:bookmarkStart w:id="110" w:name="_Toc359591602"/>
      <w:r w:rsidRPr="00686C2A">
        <w:rPr>
          <w:rStyle w:val="CharSectno"/>
        </w:rPr>
        <w:lastRenderedPageBreak/>
        <w:t>1017</w:t>
      </w:r>
      <w:r w:rsidR="00A77F09" w:rsidRPr="00686C2A">
        <w:rPr>
          <w:rStyle w:val="CharSectno"/>
        </w:rPr>
        <w:t>GA</w:t>
      </w:r>
      <w:r w:rsidRPr="00686C2A">
        <w:rPr>
          <w:rStyle w:val="CharSectno"/>
        </w:rPr>
        <w:t>H</w:t>
      </w:r>
      <w:r w:rsidRPr="00686C2A">
        <w:t xml:space="preserve">  </w:t>
      </w:r>
      <w:r w:rsidR="00EA393E" w:rsidRPr="00686C2A">
        <w:t>Product dashboard—level of investment risk</w:t>
      </w:r>
      <w:bookmarkEnd w:id="110"/>
    </w:p>
    <w:p w:rsidR="00EA393E" w:rsidRPr="00686C2A" w:rsidRDefault="00EA393E" w:rsidP="00EA393E">
      <w:pPr>
        <w:pStyle w:val="subsection"/>
      </w:pPr>
      <w:r w:rsidRPr="00686C2A">
        <w:tab/>
        <w:t>(1)</w:t>
      </w:r>
      <w:r w:rsidRPr="00686C2A">
        <w:tab/>
        <w:t xml:space="preserve">The level of investment risk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(2)</w:t>
      </w:r>
      <w:r w:rsidRPr="00686C2A">
        <w:tab/>
        <w:t xml:space="preserve">The level of investment risk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(3)</w:t>
      </w:r>
      <w:r w:rsidRPr="00686C2A">
        <w:tab/>
        <w:t xml:space="preserve">The level of investment risk must be expressed using the relevant risk label set out in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(4)</w:t>
      </w:r>
      <w:r w:rsidRPr="00686C2A">
        <w:tab/>
        <w:t>The period in relation to which the level of investment risk must be worked out is the current financial year.</w:t>
      </w:r>
    </w:p>
    <w:p w:rsidR="00EA393E" w:rsidRPr="00686C2A" w:rsidRDefault="007343D1" w:rsidP="00EA393E">
      <w:pPr>
        <w:pStyle w:val="ActHead5"/>
      </w:pPr>
      <w:bookmarkStart w:id="111" w:name="_Toc359591603"/>
      <w:r w:rsidRPr="00686C2A">
        <w:rPr>
          <w:rStyle w:val="CharSectno"/>
        </w:rPr>
        <w:t>1017</w:t>
      </w:r>
      <w:r w:rsidR="00A77F09" w:rsidRPr="00686C2A">
        <w:rPr>
          <w:rStyle w:val="CharSectno"/>
        </w:rPr>
        <w:t>GA</w:t>
      </w:r>
      <w:r w:rsidR="004623A5" w:rsidRPr="00686C2A">
        <w:rPr>
          <w:rStyle w:val="CharSectno"/>
        </w:rPr>
        <w:t>I</w:t>
      </w:r>
      <w:r w:rsidRPr="00686C2A">
        <w:t xml:space="preserve">  </w:t>
      </w:r>
      <w:r w:rsidR="00EA393E" w:rsidRPr="00686C2A">
        <w:t>Product dashboard—statement of fees and other costs</w:t>
      </w:r>
      <w:bookmarkEnd w:id="111"/>
    </w:p>
    <w:p w:rsidR="00EA393E" w:rsidRPr="00686C2A" w:rsidRDefault="00EA393E" w:rsidP="00EA393E">
      <w:pPr>
        <w:pStyle w:val="subsection"/>
      </w:pPr>
      <w:r w:rsidRPr="00686C2A">
        <w:tab/>
        <w:t>(1)</w:t>
      </w:r>
      <w:r w:rsidRPr="00686C2A">
        <w:tab/>
        <w:t xml:space="preserve">The statement of fees and other costs for a </w:t>
      </w:r>
      <w:proofErr w:type="spellStart"/>
      <w:r w:rsidRPr="00686C2A">
        <w:t>MySuper</w:t>
      </w:r>
      <w:proofErr w:type="spellEnd"/>
      <w:r w:rsidRPr="00686C2A">
        <w:t xml:space="preserve"> product other than a lifecycle </w:t>
      </w:r>
      <w:proofErr w:type="spellStart"/>
      <w:r w:rsidRPr="00686C2A">
        <w:t>MySuper</w:t>
      </w:r>
      <w:proofErr w:type="spellEnd"/>
      <w:r w:rsidRPr="00686C2A">
        <w:t xml:space="preserve"> product must be worked out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(2)</w:t>
      </w:r>
      <w:r w:rsidRPr="00686C2A">
        <w:tab/>
        <w:t xml:space="preserve">The statement of fees and other costs for a lifecycle </w:t>
      </w:r>
      <w:proofErr w:type="spellStart"/>
      <w:r w:rsidRPr="00686C2A">
        <w:t>MySuper</w:t>
      </w:r>
      <w:proofErr w:type="spellEnd"/>
      <w:r w:rsidRPr="00686C2A">
        <w:t xml:space="preserve"> product must be worked out in relation to each lifecycle stage of the product in accordance with the </w:t>
      </w:r>
      <w:proofErr w:type="spellStart"/>
      <w:r w:rsidRPr="00686C2A">
        <w:t>MySuper</w:t>
      </w:r>
      <w:proofErr w:type="spellEnd"/>
      <w:r w:rsidRPr="00686C2A">
        <w:t xml:space="preserve"> product dashboard reporting standards.</w:t>
      </w:r>
    </w:p>
    <w:p w:rsidR="00EA393E" w:rsidRPr="00686C2A" w:rsidRDefault="00EA393E" w:rsidP="00EA393E">
      <w:pPr>
        <w:pStyle w:val="subsection"/>
      </w:pPr>
      <w:r w:rsidRPr="00686C2A">
        <w:tab/>
        <w:t>(3)</w:t>
      </w:r>
      <w:r w:rsidRPr="00686C2A">
        <w:tab/>
        <w:t>The period in relation to which the statement of fees and other costs must be worked out is the current financial year.</w:t>
      </w:r>
    </w:p>
    <w:p w:rsidR="00EA393E" w:rsidRPr="00686C2A" w:rsidRDefault="00EA393E" w:rsidP="00EA393E">
      <w:pPr>
        <w:pStyle w:val="subsection"/>
      </w:pPr>
      <w:r w:rsidRPr="00686C2A">
        <w:tab/>
        <w:t>(4)</w:t>
      </w:r>
      <w:r w:rsidRPr="00686C2A">
        <w:tab/>
      </w:r>
      <w:r w:rsidR="007343D1" w:rsidRPr="00686C2A">
        <w:t xml:space="preserve">Information set out in a product dashboard about fees and other costs must be updated </w:t>
      </w:r>
      <w:r w:rsidR="00CD5F4E" w:rsidRPr="00686C2A">
        <w:t xml:space="preserve">within </w:t>
      </w:r>
      <w:r w:rsidR="007343D1" w:rsidRPr="00686C2A">
        <w:t xml:space="preserve">28 </w:t>
      </w:r>
      <w:r w:rsidRPr="00686C2A">
        <w:t>days after a change to the fees or other costs.</w:t>
      </w:r>
    </w:p>
    <w:p w:rsidR="008878C3" w:rsidRPr="00686C2A" w:rsidRDefault="00821B56" w:rsidP="004623A5">
      <w:pPr>
        <w:pStyle w:val="ItemHead"/>
      </w:pPr>
      <w:r w:rsidRPr="00686C2A">
        <w:t>2</w:t>
      </w:r>
      <w:r w:rsidR="008878C3" w:rsidRPr="00686C2A">
        <w:t xml:space="preserve">  Repeal</w:t>
      </w:r>
    </w:p>
    <w:p w:rsidR="00E66446" w:rsidRPr="00686C2A" w:rsidRDefault="008878C3" w:rsidP="004623A5">
      <w:pPr>
        <w:pStyle w:val="Item"/>
        <w:sectPr w:rsidR="00E66446" w:rsidRPr="00686C2A" w:rsidSect="00CE35D5">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3" w:left="2410" w:header="720" w:footer="3412" w:gutter="0"/>
          <w:pgNumType w:start="1"/>
          <w:cols w:space="720"/>
          <w:docGrid w:linePitch="299"/>
        </w:sectPr>
      </w:pPr>
      <w:r w:rsidRPr="00686C2A">
        <w:t xml:space="preserve">The amendments made by </w:t>
      </w:r>
      <w:r w:rsidR="004623A5" w:rsidRPr="00686C2A">
        <w:t>item</w:t>
      </w:r>
      <w:r w:rsidR="00686C2A" w:rsidRPr="00686C2A">
        <w:t> </w:t>
      </w:r>
      <w:r w:rsidR="00821B56" w:rsidRPr="00686C2A">
        <w:t>1</w:t>
      </w:r>
      <w:r w:rsidR="007B615A" w:rsidRPr="00686C2A">
        <w:t xml:space="preserve"> </w:t>
      </w:r>
      <w:r w:rsidRPr="00686C2A">
        <w:t xml:space="preserve">of this Schedule are repealed. </w:t>
      </w:r>
    </w:p>
    <w:bookmarkEnd w:id="70"/>
    <w:p w:rsidR="00B24418" w:rsidRPr="00686C2A" w:rsidRDefault="00B24418" w:rsidP="00B24418"/>
    <w:sectPr w:rsidR="00B24418" w:rsidRPr="00686C2A" w:rsidSect="00CE35D5">
      <w:headerReference w:type="even" r:id="rId27"/>
      <w:headerReference w:type="default" r:id="rId28"/>
      <w:footerReference w:type="even" r:id="rId29"/>
      <w:footerReference w:type="default" r:id="rId30"/>
      <w:footerReference w:type="first" r:id="rId31"/>
      <w:type w:val="continuous"/>
      <w:pgSz w:w="11907" w:h="16839" w:code="9"/>
      <w:pgMar w:top="2381" w:right="2409" w:bottom="4252" w:left="2409" w:header="720" w:footer="3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A3" w:rsidRDefault="001B3BA3">
      <w:r>
        <w:separator/>
      </w:r>
    </w:p>
  </w:endnote>
  <w:endnote w:type="continuationSeparator" w:id="0">
    <w:p w:rsidR="001B3BA3" w:rsidRDefault="001B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D5" w:rsidRPr="00CE35D5" w:rsidRDefault="00CE35D5" w:rsidP="00CE35D5">
    <w:pPr>
      <w:pStyle w:val="Footer"/>
      <w:rPr>
        <w:sz w:val="18"/>
      </w:rPr>
    </w:pPr>
    <w:r>
      <w:rPr>
        <w:sz w:val="18"/>
      </w:rPr>
      <w:t>OPC50381</w:t>
    </w:r>
    <w:r w:rsidRPr="00CE35D5">
      <w:rPr>
        <w:sz w:val="18"/>
      </w:rPr>
      <w:t xml:space="preserve">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E33C1C" w:rsidRDefault="001B3BA3" w:rsidP="00492FD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B3BA3" w:rsidTr="00D86E5D">
      <w:tc>
        <w:tcPr>
          <w:tcW w:w="1383" w:type="dxa"/>
          <w:tcBorders>
            <w:top w:val="nil"/>
            <w:left w:val="nil"/>
            <w:bottom w:val="nil"/>
            <w:right w:val="nil"/>
          </w:tcBorders>
        </w:tcPr>
        <w:p w:rsidR="001B3BA3" w:rsidRDefault="001B3BA3" w:rsidP="00D86E5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913C6">
            <w:rPr>
              <w:i/>
              <w:sz w:val="18"/>
            </w:rPr>
            <w:t>No. 156, 2013</w:t>
          </w:r>
          <w:r w:rsidRPr="007A1328">
            <w:rPr>
              <w:i/>
              <w:sz w:val="18"/>
            </w:rPr>
            <w:fldChar w:fldCharType="end"/>
          </w:r>
        </w:p>
      </w:tc>
      <w:tc>
        <w:tcPr>
          <w:tcW w:w="5387" w:type="dxa"/>
          <w:tcBorders>
            <w:top w:val="nil"/>
            <w:left w:val="nil"/>
            <w:bottom w:val="nil"/>
            <w:right w:val="nil"/>
          </w:tcBorders>
        </w:tcPr>
        <w:p w:rsidR="001B3BA3" w:rsidRDefault="001B3BA3" w:rsidP="00D86E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13C6">
            <w:rPr>
              <w:i/>
              <w:sz w:val="18"/>
            </w:rPr>
            <w:t>Superannuation Legislation Amendment (</w:t>
          </w:r>
          <w:proofErr w:type="spellStart"/>
          <w:r w:rsidR="003913C6">
            <w:rPr>
              <w:i/>
              <w:sz w:val="18"/>
            </w:rPr>
            <w:t>MySuper</w:t>
          </w:r>
          <w:proofErr w:type="spellEnd"/>
          <w:r w:rsidR="003913C6">
            <w:rPr>
              <w:i/>
              <w:sz w:val="18"/>
            </w:rPr>
            <w:t xml:space="preserve"> Measures) Regulation 2013</w:t>
          </w:r>
          <w:r w:rsidRPr="007A1328">
            <w:rPr>
              <w:i/>
              <w:sz w:val="18"/>
            </w:rPr>
            <w:fldChar w:fldCharType="end"/>
          </w:r>
        </w:p>
      </w:tc>
      <w:tc>
        <w:tcPr>
          <w:tcW w:w="533" w:type="dxa"/>
          <w:tcBorders>
            <w:top w:val="nil"/>
            <w:left w:val="nil"/>
            <w:bottom w:val="nil"/>
            <w:right w:val="nil"/>
          </w:tcBorders>
        </w:tcPr>
        <w:p w:rsidR="001B3BA3" w:rsidRDefault="001B3BA3" w:rsidP="00D86E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3903">
            <w:rPr>
              <w:i/>
              <w:noProof/>
              <w:sz w:val="18"/>
            </w:rPr>
            <w:t>79</w:t>
          </w:r>
          <w:r w:rsidRPr="00ED79B6">
            <w:rPr>
              <w:i/>
              <w:sz w:val="18"/>
            </w:rPr>
            <w:fldChar w:fldCharType="end"/>
          </w:r>
        </w:p>
      </w:tc>
    </w:tr>
    <w:tr w:rsidR="001B3BA3" w:rsidTr="00D86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1B3BA3" w:rsidRDefault="001B3BA3" w:rsidP="00D86E5D">
          <w:pPr>
            <w:rPr>
              <w:sz w:val="18"/>
            </w:rPr>
          </w:pPr>
        </w:p>
      </w:tc>
    </w:tr>
  </w:tbl>
  <w:p w:rsidR="001B3BA3" w:rsidRPr="00ED79B6" w:rsidRDefault="00CE35D5" w:rsidP="00CE35D5">
    <w:pPr>
      <w:rPr>
        <w:i/>
        <w:sz w:val="18"/>
      </w:rPr>
    </w:pPr>
    <w:r>
      <w:rPr>
        <w:i/>
        <w:sz w:val="18"/>
      </w:rPr>
      <w:t>OPC50381</w:t>
    </w:r>
    <w:r w:rsidRPr="00CE35D5">
      <w:rPr>
        <w:rFonts w:cs="Times New Roman"/>
        <w:i/>
        <w:sz w:val="18"/>
      </w:rPr>
      <w:t xml:space="preserve">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E33C1C" w:rsidRDefault="001B3BA3" w:rsidP="00492FD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B3BA3" w:rsidTr="00D86E5D">
      <w:tc>
        <w:tcPr>
          <w:tcW w:w="1383" w:type="dxa"/>
          <w:tcBorders>
            <w:top w:val="nil"/>
            <w:left w:val="nil"/>
            <w:bottom w:val="nil"/>
            <w:right w:val="nil"/>
          </w:tcBorders>
        </w:tcPr>
        <w:p w:rsidR="001B3BA3" w:rsidRDefault="001B3BA3" w:rsidP="00D86E5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913C6">
            <w:rPr>
              <w:i/>
              <w:sz w:val="18"/>
            </w:rPr>
            <w:t>No. 156, 2013</w:t>
          </w:r>
          <w:r w:rsidRPr="007A1328">
            <w:rPr>
              <w:i/>
              <w:sz w:val="18"/>
            </w:rPr>
            <w:fldChar w:fldCharType="end"/>
          </w:r>
        </w:p>
      </w:tc>
      <w:tc>
        <w:tcPr>
          <w:tcW w:w="5387" w:type="dxa"/>
          <w:tcBorders>
            <w:top w:val="nil"/>
            <w:left w:val="nil"/>
            <w:bottom w:val="nil"/>
            <w:right w:val="nil"/>
          </w:tcBorders>
        </w:tcPr>
        <w:p w:rsidR="001B3BA3" w:rsidRDefault="001B3BA3" w:rsidP="00D86E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13C6">
            <w:rPr>
              <w:i/>
              <w:sz w:val="18"/>
            </w:rPr>
            <w:t>Superannuation Legislation Amendment (</w:t>
          </w:r>
          <w:proofErr w:type="spellStart"/>
          <w:r w:rsidR="003913C6">
            <w:rPr>
              <w:i/>
              <w:sz w:val="18"/>
            </w:rPr>
            <w:t>MySuper</w:t>
          </w:r>
          <w:proofErr w:type="spellEnd"/>
          <w:r w:rsidR="003913C6">
            <w:rPr>
              <w:i/>
              <w:sz w:val="18"/>
            </w:rPr>
            <w:t xml:space="preserve"> Measures) Regulation 2013</w:t>
          </w:r>
          <w:r w:rsidRPr="007A1328">
            <w:rPr>
              <w:i/>
              <w:sz w:val="18"/>
            </w:rPr>
            <w:fldChar w:fldCharType="end"/>
          </w:r>
        </w:p>
      </w:tc>
      <w:tc>
        <w:tcPr>
          <w:tcW w:w="533" w:type="dxa"/>
          <w:tcBorders>
            <w:top w:val="nil"/>
            <w:left w:val="nil"/>
            <w:bottom w:val="nil"/>
            <w:right w:val="nil"/>
          </w:tcBorders>
        </w:tcPr>
        <w:p w:rsidR="001B3BA3" w:rsidRDefault="001B3BA3" w:rsidP="00D86E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3903">
            <w:rPr>
              <w:i/>
              <w:noProof/>
              <w:sz w:val="18"/>
            </w:rPr>
            <w:t>79</w:t>
          </w:r>
          <w:r w:rsidRPr="00ED79B6">
            <w:rPr>
              <w:i/>
              <w:sz w:val="18"/>
            </w:rPr>
            <w:fldChar w:fldCharType="end"/>
          </w:r>
        </w:p>
      </w:tc>
    </w:tr>
    <w:tr w:rsidR="001B3BA3" w:rsidTr="00D86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1B3BA3" w:rsidRDefault="001B3BA3" w:rsidP="00D86E5D">
          <w:pPr>
            <w:rPr>
              <w:sz w:val="18"/>
            </w:rPr>
          </w:pPr>
        </w:p>
      </w:tc>
    </w:tr>
  </w:tbl>
  <w:p w:rsidR="001B3BA3" w:rsidRPr="00ED79B6" w:rsidRDefault="001B3BA3" w:rsidP="00492FDC">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1B3BA3" w:rsidTr="00401561">
      <w:tc>
        <w:tcPr>
          <w:tcW w:w="7303" w:type="dxa"/>
        </w:tcPr>
        <w:p w:rsidR="001B3BA3" w:rsidRDefault="001B3BA3" w:rsidP="00401561">
          <w:pPr>
            <w:rPr>
              <w:sz w:val="18"/>
            </w:rPr>
          </w:pPr>
        </w:p>
      </w:tc>
    </w:tr>
  </w:tbl>
  <w:p w:rsidR="001B3BA3" w:rsidRPr="006D3667" w:rsidRDefault="00CE35D5" w:rsidP="00CE35D5">
    <w:pPr>
      <w:pStyle w:val="Footer"/>
    </w:pPr>
    <w:r>
      <w:t>OPC50381</w:t>
    </w:r>
    <w:r w:rsidRPr="00CE35D5">
      <w:rPr>
        <w:sz w:val="18"/>
      </w:rPr>
      <w:t xml:space="preserve">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D5" w:rsidRPr="00CE35D5" w:rsidRDefault="00CE35D5" w:rsidP="00CE35D5">
    <w:pPr>
      <w:pStyle w:val="Footer"/>
      <w:rPr>
        <w:sz w:val="18"/>
      </w:rPr>
    </w:pPr>
    <w:r>
      <w:rPr>
        <w:sz w:val="18"/>
      </w:rPr>
      <w:t>OPC50381</w:t>
    </w:r>
    <w:r w:rsidRPr="00CE35D5">
      <w:rPr>
        <w:sz w:val="18"/>
      </w:rPr>
      <w:t xml:space="preserve">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CE35D5" w:rsidRDefault="001B3BA3" w:rsidP="005E210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56"/>
      <w:gridCol w:w="5368"/>
      <w:gridCol w:w="1379"/>
    </w:tblGrid>
    <w:tr w:rsidR="001B3BA3" w:rsidRPr="00CE35D5" w:rsidTr="00401561">
      <w:tc>
        <w:tcPr>
          <w:tcW w:w="533" w:type="dxa"/>
          <w:tcBorders>
            <w:top w:val="nil"/>
            <w:left w:val="nil"/>
            <w:bottom w:val="nil"/>
            <w:right w:val="nil"/>
          </w:tcBorders>
        </w:tcPr>
        <w:p w:rsidR="001B3BA3" w:rsidRPr="00CE35D5" w:rsidRDefault="001B3BA3" w:rsidP="00401561">
          <w:pPr>
            <w:spacing w:line="0" w:lineRule="atLeast"/>
            <w:rPr>
              <w:rFonts w:cs="Times New Roman"/>
              <w:sz w:val="18"/>
            </w:rPr>
          </w:pPr>
          <w:r w:rsidRPr="00CE35D5">
            <w:rPr>
              <w:rFonts w:cs="Times New Roman"/>
              <w:i/>
              <w:sz w:val="18"/>
            </w:rPr>
            <w:fldChar w:fldCharType="begin"/>
          </w:r>
          <w:r w:rsidRPr="00CE35D5">
            <w:rPr>
              <w:rFonts w:cs="Times New Roman"/>
              <w:i/>
              <w:sz w:val="18"/>
            </w:rPr>
            <w:instrText xml:space="preserve"> PAGE </w:instrText>
          </w:r>
          <w:r w:rsidRPr="00CE35D5">
            <w:rPr>
              <w:rFonts w:cs="Times New Roman"/>
              <w:i/>
              <w:sz w:val="18"/>
            </w:rPr>
            <w:fldChar w:fldCharType="separate"/>
          </w:r>
          <w:r w:rsidR="00C13903">
            <w:rPr>
              <w:rFonts w:cs="Times New Roman"/>
              <w:i/>
              <w:noProof/>
              <w:sz w:val="18"/>
            </w:rPr>
            <w:t>lxxix</w:t>
          </w:r>
          <w:r w:rsidRPr="00CE35D5">
            <w:rPr>
              <w:rFonts w:cs="Times New Roman"/>
              <w:i/>
              <w:sz w:val="18"/>
            </w:rPr>
            <w:fldChar w:fldCharType="end"/>
          </w:r>
        </w:p>
      </w:tc>
      <w:tc>
        <w:tcPr>
          <w:tcW w:w="5387" w:type="dxa"/>
          <w:tcBorders>
            <w:top w:val="nil"/>
            <w:left w:val="nil"/>
            <w:bottom w:val="nil"/>
            <w:right w:val="nil"/>
          </w:tcBorders>
        </w:tcPr>
        <w:p w:rsidR="001B3BA3" w:rsidRPr="00CE35D5" w:rsidRDefault="001B3BA3" w:rsidP="00401561">
          <w:pPr>
            <w:spacing w:line="0" w:lineRule="atLeast"/>
            <w:jc w:val="center"/>
            <w:rPr>
              <w:rFonts w:cs="Times New Roman"/>
              <w:sz w:val="18"/>
            </w:rPr>
          </w:pPr>
          <w:r w:rsidRPr="00CE35D5">
            <w:rPr>
              <w:rFonts w:cs="Times New Roman"/>
              <w:i/>
              <w:sz w:val="18"/>
            </w:rPr>
            <w:fldChar w:fldCharType="begin"/>
          </w:r>
          <w:r w:rsidRPr="00CE35D5">
            <w:rPr>
              <w:rFonts w:cs="Times New Roman"/>
              <w:i/>
              <w:sz w:val="18"/>
            </w:rPr>
            <w:instrText xml:space="preserve"> DOCPROPERTY ShortT </w:instrText>
          </w:r>
          <w:r w:rsidRPr="00CE35D5">
            <w:rPr>
              <w:rFonts w:cs="Times New Roman"/>
              <w:i/>
              <w:sz w:val="18"/>
            </w:rPr>
            <w:fldChar w:fldCharType="separate"/>
          </w:r>
          <w:r w:rsidR="003913C6">
            <w:rPr>
              <w:rFonts w:cs="Times New Roman"/>
              <w:i/>
              <w:sz w:val="18"/>
            </w:rPr>
            <w:t>Superannuation Legislation Amendment (</w:t>
          </w:r>
          <w:proofErr w:type="spellStart"/>
          <w:r w:rsidR="003913C6">
            <w:rPr>
              <w:rFonts w:cs="Times New Roman"/>
              <w:i/>
              <w:sz w:val="18"/>
            </w:rPr>
            <w:t>MySuper</w:t>
          </w:r>
          <w:proofErr w:type="spellEnd"/>
          <w:r w:rsidR="003913C6">
            <w:rPr>
              <w:rFonts w:cs="Times New Roman"/>
              <w:i/>
              <w:sz w:val="18"/>
            </w:rPr>
            <w:t xml:space="preserve"> Measures) Regulation 2013</w:t>
          </w:r>
          <w:r w:rsidRPr="00CE35D5">
            <w:rPr>
              <w:rFonts w:cs="Times New Roman"/>
              <w:i/>
              <w:sz w:val="18"/>
            </w:rPr>
            <w:fldChar w:fldCharType="end"/>
          </w:r>
        </w:p>
      </w:tc>
      <w:tc>
        <w:tcPr>
          <w:tcW w:w="1383" w:type="dxa"/>
          <w:tcBorders>
            <w:top w:val="nil"/>
            <w:left w:val="nil"/>
            <w:bottom w:val="nil"/>
            <w:right w:val="nil"/>
          </w:tcBorders>
        </w:tcPr>
        <w:p w:rsidR="001B3BA3" w:rsidRPr="00CE35D5" w:rsidRDefault="001B3BA3" w:rsidP="00401561">
          <w:pPr>
            <w:spacing w:line="0" w:lineRule="atLeast"/>
            <w:jc w:val="right"/>
            <w:rPr>
              <w:rFonts w:cs="Times New Roman"/>
              <w:sz w:val="18"/>
            </w:rPr>
          </w:pPr>
          <w:r w:rsidRPr="00CE35D5">
            <w:rPr>
              <w:rFonts w:cs="Times New Roman"/>
              <w:i/>
              <w:sz w:val="18"/>
            </w:rPr>
            <w:fldChar w:fldCharType="begin"/>
          </w:r>
          <w:r w:rsidRPr="00CE35D5">
            <w:rPr>
              <w:rFonts w:cs="Times New Roman"/>
              <w:i/>
              <w:sz w:val="18"/>
            </w:rPr>
            <w:instrText xml:space="preserve"> DOCPROPERTY ActNo </w:instrText>
          </w:r>
          <w:r w:rsidRPr="00CE35D5">
            <w:rPr>
              <w:rFonts w:cs="Times New Roman"/>
              <w:i/>
              <w:sz w:val="18"/>
            </w:rPr>
            <w:fldChar w:fldCharType="separate"/>
          </w:r>
          <w:r w:rsidR="003913C6">
            <w:rPr>
              <w:rFonts w:cs="Times New Roman"/>
              <w:i/>
              <w:sz w:val="18"/>
            </w:rPr>
            <w:t>No. 156, 2013</w:t>
          </w:r>
          <w:r w:rsidRPr="00CE35D5">
            <w:rPr>
              <w:rFonts w:cs="Times New Roman"/>
              <w:i/>
              <w:sz w:val="18"/>
            </w:rPr>
            <w:fldChar w:fldCharType="end"/>
          </w:r>
        </w:p>
      </w:tc>
    </w:tr>
    <w:tr w:rsidR="001B3BA3" w:rsidRPr="00CE35D5" w:rsidTr="004015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1B3BA3" w:rsidRPr="00CE35D5" w:rsidRDefault="001B3BA3" w:rsidP="00401561">
          <w:pPr>
            <w:jc w:val="right"/>
            <w:rPr>
              <w:rFonts w:cs="Times New Roman"/>
              <w:sz w:val="18"/>
            </w:rPr>
          </w:pPr>
        </w:p>
      </w:tc>
    </w:tr>
  </w:tbl>
  <w:p w:rsidR="001B3BA3" w:rsidRPr="00CE35D5" w:rsidRDefault="00CE35D5" w:rsidP="00CE35D5">
    <w:pPr>
      <w:rPr>
        <w:rFonts w:cs="Times New Roman"/>
        <w:i/>
        <w:sz w:val="18"/>
      </w:rPr>
    </w:pPr>
    <w:r>
      <w:rPr>
        <w:rFonts w:cs="Times New Roman"/>
        <w:i/>
        <w:sz w:val="18"/>
      </w:rPr>
      <w:t>OPC50381</w:t>
    </w:r>
    <w:r w:rsidRPr="00CE35D5">
      <w:rPr>
        <w:rFonts w:cs="Times New Roman"/>
        <w:i/>
        <w:sz w:val="18"/>
      </w:rPr>
      <w:t xml:space="preserve">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E33C1C" w:rsidRDefault="001B3BA3" w:rsidP="005E210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B3BA3" w:rsidTr="00401561">
      <w:tc>
        <w:tcPr>
          <w:tcW w:w="1383" w:type="dxa"/>
          <w:tcBorders>
            <w:top w:val="nil"/>
            <w:left w:val="nil"/>
            <w:bottom w:val="nil"/>
            <w:right w:val="nil"/>
          </w:tcBorders>
        </w:tcPr>
        <w:p w:rsidR="001B3BA3" w:rsidRDefault="00501FFC" w:rsidP="00401561">
          <w:pPr>
            <w:spacing w:line="0" w:lineRule="atLeast"/>
            <w:rPr>
              <w:sz w:val="18"/>
            </w:rPr>
          </w:pPr>
          <w:r>
            <w:rPr>
              <w:i/>
              <w:sz w:val="18"/>
            </w:rPr>
            <w:t>No. 155</w:t>
          </w:r>
          <w:r w:rsidR="003913C6">
            <w:rPr>
              <w:i/>
              <w:sz w:val="18"/>
            </w:rPr>
            <w:t>, 2013</w:t>
          </w:r>
        </w:p>
      </w:tc>
      <w:tc>
        <w:tcPr>
          <w:tcW w:w="5387" w:type="dxa"/>
          <w:tcBorders>
            <w:top w:val="nil"/>
            <w:left w:val="nil"/>
            <w:bottom w:val="nil"/>
            <w:right w:val="nil"/>
          </w:tcBorders>
        </w:tcPr>
        <w:p w:rsidR="001B3BA3" w:rsidRDefault="001B3BA3" w:rsidP="00401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13C6">
            <w:rPr>
              <w:i/>
              <w:sz w:val="18"/>
            </w:rPr>
            <w:t>Superannuation Legislation Amendment (</w:t>
          </w:r>
          <w:proofErr w:type="spellStart"/>
          <w:r w:rsidR="003913C6">
            <w:rPr>
              <w:i/>
              <w:sz w:val="18"/>
            </w:rPr>
            <w:t>MySuper</w:t>
          </w:r>
          <w:proofErr w:type="spellEnd"/>
          <w:r w:rsidR="003913C6">
            <w:rPr>
              <w:i/>
              <w:sz w:val="18"/>
            </w:rPr>
            <w:t xml:space="preserve"> Measures) Regulation 2013</w:t>
          </w:r>
          <w:r w:rsidRPr="007A1328">
            <w:rPr>
              <w:i/>
              <w:sz w:val="18"/>
            </w:rPr>
            <w:fldChar w:fldCharType="end"/>
          </w:r>
        </w:p>
      </w:tc>
      <w:tc>
        <w:tcPr>
          <w:tcW w:w="533" w:type="dxa"/>
          <w:tcBorders>
            <w:top w:val="nil"/>
            <w:left w:val="nil"/>
            <w:bottom w:val="nil"/>
            <w:right w:val="nil"/>
          </w:tcBorders>
        </w:tcPr>
        <w:p w:rsidR="001B3BA3" w:rsidRDefault="001B3BA3" w:rsidP="00401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1FFC">
            <w:rPr>
              <w:i/>
              <w:noProof/>
              <w:sz w:val="18"/>
            </w:rPr>
            <w:t>i</w:t>
          </w:r>
          <w:r w:rsidRPr="00ED79B6">
            <w:rPr>
              <w:i/>
              <w:sz w:val="18"/>
            </w:rPr>
            <w:fldChar w:fldCharType="end"/>
          </w:r>
        </w:p>
      </w:tc>
    </w:tr>
    <w:tr w:rsidR="001B3BA3" w:rsidTr="004015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1B3BA3" w:rsidRDefault="001B3BA3" w:rsidP="00401561">
          <w:pPr>
            <w:rPr>
              <w:sz w:val="18"/>
            </w:rPr>
          </w:pPr>
        </w:p>
      </w:tc>
    </w:tr>
  </w:tbl>
  <w:p w:rsidR="001B3BA3" w:rsidRPr="00ED79B6" w:rsidRDefault="00CE35D5" w:rsidP="00CE35D5">
    <w:pPr>
      <w:rPr>
        <w:i/>
        <w:sz w:val="18"/>
      </w:rPr>
    </w:pPr>
    <w:r>
      <w:rPr>
        <w:i/>
        <w:sz w:val="18"/>
      </w:rPr>
      <w:t>OPC50381</w:t>
    </w:r>
    <w:r w:rsidRPr="00CE35D5">
      <w:rPr>
        <w:rFonts w:cs="Times New Roman"/>
        <w:i/>
        <w:sz w:val="18"/>
      </w:rPr>
      <w:t xml:space="preserve">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CE35D5" w:rsidRDefault="001B3BA3" w:rsidP="005E210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1B3BA3" w:rsidRPr="00CE35D5" w:rsidTr="00401561">
      <w:tc>
        <w:tcPr>
          <w:tcW w:w="533" w:type="dxa"/>
          <w:tcBorders>
            <w:top w:val="nil"/>
            <w:left w:val="nil"/>
            <w:bottom w:val="nil"/>
            <w:right w:val="nil"/>
          </w:tcBorders>
        </w:tcPr>
        <w:p w:rsidR="001B3BA3" w:rsidRPr="00CE35D5" w:rsidRDefault="001B3BA3" w:rsidP="00401561">
          <w:pPr>
            <w:spacing w:line="0" w:lineRule="atLeast"/>
            <w:rPr>
              <w:rFonts w:cs="Times New Roman"/>
              <w:sz w:val="18"/>
            </w:rPr>
          </w:pPr>
          <w:r w:rsidRPr="00CE35D5">
            <w:rPr>
              <w:rFonts w:cs="Times New Roman"/>
              <w:i/>
              <w:sz w:val="18"/>
            </w:rPr>
            <w:fldChar w:fldCharType="begin"/>
          </w:r>
          <w:r w:rsidRPr="00CE35D5">
            <w:rPr>
              <w:rFonts w:cs="Times New Roman"/>
              <w:i/>
              <w:sz w:val="18"/>
            </w:rPr>
            <w:instrText xml:space="preserve"> PAGE </w:instrText>
          </w:r>
          <w:r w:rsidRPr="00CE35D5">
            <w:rPr>
              <w:rFonts w:cs="Times New Roman"/>
              <w:i/>
              <w:sz w:val="18"/>
            </w:rPr>
            <w:fldChar w:fldCharType="separate"/>
          </w:r>
          <w:r w:rsidR="00501FFC">
            <w:rPr>
              <w:rFonts w:cs="Times New Roman"/>
              <w:i/>
              <w:noProof/>
              <w:sz w:val="18"/>
            </w:rPr>
            <w:t>2</w:t>
          </w:r>
          <w:r w:rsidRPr="00CE35D5">
            <w:rPr>
              <w:rFonts w:cs="Times New Roman"/>
              <w:i/>
              <w:sz w:val="18"/>
            </w:rPr>
            <w:fldChar w:fldCharType="end"/>
          </w:r>
        </w:p>
      </w:tc>
      <w:tc>
        <w:tcPr>
          <w:tcW w:w="5387" w:type="dxa"/>
          <w:tcBorders>
            <w:top w:val="nil"/>
            <w:left w:val="nil"/>
            <w:bottom w:val="nil"/>
            <w:right w:val="nil"/>
          </w:tcBorders>
        </w:tcPr>
        <w:p w:rsidR="001B3BA3" w:rsidRPr="00CE35D5" w:rsidRDefault="001B3BA3" w:rsidP="00401561">
          <w:pPr>
            <w:spacing w:line="0" w:lineRule="atLeast"/>
            <w:jc w:val="center"/>
            <w:rPr>
              <w:rFonts w:cs="Times New Roman"/>
              <w:sz w:val="18"/>
            </w:rPr>
          </w:pPr>
          <w:r w:rsidRPr="00CE35D5">
            <w:rPr>
              <w:rFonts w:cs="Times New Roman"/>
              <w:i/>
              <w:sz w:val="18"/>
            </w:rPr>
            <w:fldChar w:fldCharType="begin"/>
          </w:r>
          <w:r w:rsidRPr="00CE35D5">
            <w:rPr>
              <w:rFonts w:cs="Times New Roman"/>
              <w:i/>
              <w:sz w:val="18"/>
            </w:rPr>
            <w:instrText xml:space="preserve"> DOCPROPERTY ShortT </w:instrText>
          </w:r>
          <w:r w:rsidRPr="00CE35D5">
            <w:rPr>
              <w:rFonts w:cs="Times New Roman"/>
              <w:i/>
              <w:sz w:val="18"/>
            </w:rPr>
            <w:fldChar w:fldCharType="separate"/>
          </w:r>
          <w:r w:rsidR="003913C6">
            <w:rPr>
              <w:rFonts w:cs="Times New Roman"/>
              <w:i/>
              <w:sz w:val="18"/>
            </w:rPr>
            <w:t>Superannuation Legislation Amendment (</w:t>
          </w:r>
          <w:proofErr w:type="spellStart"/>
          <w:r w:rsidR="003913C6">
            <w:rPr>
              <w:rFonts w:cs="Times New Roman"/>
              <w:i/>
              <w:sz w:val="18"/>
            </w:rPr>
            <w:t>MySuper</w:t>
          </w:r>
          <w:proofErr w:type="spellEnd"/>
          <w:r w:rsidR="003913C6">
            <w:rPr>
              <w:rFonts w:cs="Times New Roman"/>
              <w:i/>
              <w:sz w:val="18"/>
            </w:rPr>
            <w:t xml:space="preserve"> Measures) Regulation 2013</w:t>
          </w:r>
          <w:r w:rsidRPr="00CE35D5">
            <w:rPr>
              <w:rFonts w:cs="Times New Roman"/>
              <w:i/>
              <w:sz w:val="18"/>
            </w:rPr>
            <w:fldChar w:fldCharType="end"/>
          </w:r>
        </w:p>
      </w:tc>
      <w:tc>
        <w:tcPr>
          <w:tcW w:w="1383" w:type="dxa"/>
          <w:tcBorders>
            <w:top w:val="nil"/>
            <w:left w:val="nil"/>
            <w:bottom w:val="nil"/>
            <w:right w:val="nil"/>
          </w:tcBorders>
        </w:tcPr>
        <w:p w:rsidR="001B3BA3" w:rsidRPr="00CE35D5" w:rsidRDefault="00501FFC" w:rsidP="00401561">
          <w:pPr>
            <w:spacing w:line="0" w:lineRule="atLeast"/>
            <w:jc w:val="right"/>
            <w:rPr>
              <w:rFonts w:cs="Times New Roman"/>
              <w:sz w:val="18"/>
            </w:rPr>
          </w:pPr>
          <w:r>
            <w:rPr>
              <w:rFonts w:cs="Times New Roman"/>
              <w:i/>
              <w:sz w:val="18"/>
            </w:rPr>
            <w:t>No. 155</w:t>
          </w:r>
          <w:r w:rsidR="003913C6">
            <w:rPr>
              <w:rFonts w:cs="Times New Roman"/>
              <w:i/>
              <w:sz w:val="18"/>
            </w:rPr>
            <w:t>, 2013</w:t>
          </w:r>
        </w:p>
      </w:tc>
    </w:tr>
    <w:tr w:rsidR="001B3BA3" w:rsidRPr="00CE35D5" w:rsidTr="004015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1B3BA3" w:rsidRPr="00CE35D5" w:rsidRDefault="001B3BA3" w:rsidP="00401561">
          <w:pPr>
            <w:jc w:val="right"/>
            <w:rPr>
              <w:rFonts w:cs="Times New Roman"/>
              <w:sz w:val="18"/>
            </w:rPr>
          </w:pPr>
        </w:p>
      </w:tc>
    </w:tr>
  </w:tbl>
  <w:p w:rsidR="001B3BA3" w:rsidRPr="00CE35D5" w:rsidRDefault="00CE35D5" w:rsidP="00CE35D5">
    <w:pPr>
      <w:rPr>
        <w:rFonts w:cs="Times New Roman"/>
        <w:i/>
        <w:sz w:val="18"/>
      </w:rPr>
    </w:pPr>
    <w:r>
      <w:rPr>
        <w:rFonts w:cs="Times New Roman"/>
        <w:i/>
        <w:sz w:val="18"/>
      </w:rPr>
      <w:t>OPC50381</w:t>
    </w:r>
    <w:r w:rsidRPr="00CE35D5">
      <w:rPr>
        <w:rFonts w:cs="Times New Roman"/>
        <w:i/>
        <w:sz w:val="18"/>
      </w:rPr>
      <w:t xml:space="preserve">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E33C1C" w:rsidRDefault="001B3BA3" w:rsidP="005E210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B3BA3" w:rsidTr="00401561">
      <w:tc>
        <w:tcPr>
          <w:tcW w:w="1383" w:type="dxa"/>
          <w:tcBorders>
            <w:top w:val="nil"/>
            <w:left w:val="nil"/>
            <w:bottom w:val="nil"/>
            <w:right w:val="nil"/>
          </w:tcBorders>
        </w:tcPr>
        <w:p w:rsidR="001B3BA3" w:rsidRDefault="00501FFC" w:rsidP="00401561">
          <w:pPr>
            <w:spacing w:line="0" w:lineRule="atLeast"/>
            <w:rPr>
              <w:sz w:val="18"/>
            </w:rPr>
          </w:pPr>
          <w:r>
            <w:rPr>
              <w:i/>
              <w:sz w:val="18"/>
            </w:rPr>
            <w:t>No. 155</w:t>
          </w:r>
          <w:r w:rsidR="003913C6">
            <w:rPr>
              <w:i/>
              <w:sz w:val="18"/>
            </w:rPr>
            <w:t>, 2013</w:t>
          </w:r>
        </w:p>
      </w:tc>
      <w:tc>
        <w:tcPr>
          <w:tcW w:w="5387" w:type="dxa"/>
          <w:tcBorders>
            <w:top w:val="nil"/>
            <w:left w:val="nil"/>
            <w:bottom w:val="nil"/>
            <w:right w:val="nil"/>
          </w:tcBorders>
        </w:tcPr>
        <w:p w:rsidR="001B3BA3" w:rsidRDefault="001B3BA3" w:rsidP="00401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13C6">
            <w:rPr>
              <w:i/>
              <w:sz w:val="18"/>
            </w:rPr>
            <w:t>Superannuation Legislation Amendment (</w:t>
          </w:r>
          <w:proofErr w:type="spellStart"/>
          <w:r w:rsidR="003913C6">
            <w:rPr>
              <w:i/>
              <w:sz w:val="18"/>
            </w:rPr>
            <w:t>MySuper</w:t>
          </w:r>
          <w:proofErr w:type="spellEnd"/>
          <w:r w:rsidR="003913C6">
            <w:rPr>
              <w:i/>
              <w:sz w:val="18"/>
            </w:rPr>
            <w:t xml:space="preserve"> Measures) Regulation 2013</w:t>
          </w:r>
          <w:r w:rsidRPr="007A1328">
            <w:rPr>
              <w:i/>
              <w:sz w:val="18"/>
            </w:rPr>
            <w:fldChar w:fldCharType="end"/>
          </w:r>
        </w:p>
      </w:tc>
      <w:tc>
        <w:tcPr>
          <w:tcW w:w="533" w:type="dxa"/>
          <w:tcBorders>
            <w:top w:val="nil"/>
            <w:left w:val="nil"/>
            <w:bottom w:val="nil"/>
            <w:right w:val="nil"/>
          </w:tcBorders>
        </w:tcPr>
        <w:p w:rsidR="001B3BA3" w:rsidRDefault="001B3BA3" w:rsidP="00401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01FFC">
            <w:rPr>
              <w:i/>
              <w:noProof/>
              <w:sz w:val="18"/>
            </w:rPr>
            <w:t>1</w:t>
          </w:r>
          <w:r w:rsidRPr="00ED79B6">
            <w:rPr>
              <w:i/>
              <w:sz w:val="18"/>
            </w:rPr>
            <w:fldChar w:fldCharType="end"/>
          </w:r>
        </w:p>
      </w:tc>
    </w:tr>
    <w:tr w:rsidR="001B3BA3" w:rsidTr="004015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1B3BA3" w:rsidRDefault="001B3BA3" w:rsidP="00401561">
          <w:pPr>
            <w:rPr>
              <w:sz w:val="18"/>
            </w:rPr>
          </w:pPr>
        </w:p>
      </w:tc>
    </w:tr>
  </w:tbl>
  <w:p w:rsidR="001B3BA3" w:rsidRPr="00ED79B6" w:rsidRDefault="00CE35D5" w:rsidP="00CE35D5">
    <w:pPr>
      <w:rPr>
        <w:i/>
        <w:sz w:val="18"/>
      </w:rPr>
    </w:pPr>
    <w:r>
      <w:rPr>
        <w:i/>
        <w:sz w:val="18"/>
      </w:rPr>
      <w:t>OPC50381</w:t>
    </w:r>
    <w:r w:rsidRPr="00CE35D5">
      <w:rPr>
        <w:rFonts w:cs="Times New Roman"/>
        <w:i/>
        <w:sz w:val="18"/>
      </w:rPr>
      <w:t xml:space="preserve">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E33C1C" w:rsidRDefault="001B3BA3" w:rsidP="005E210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B3BA3" w:rsidTr="00401561">
      <w:tc>
        <w:tcPr>
          <w:tcW w:w="1383" w:type="dxa"/>
          <w:tcBorders>
            <w:top w:val="nil"/>
            <w:left w:val="nil"/>
            <w:bottom w:val="nil"/>
            <w:right w:val="nil"/>
          </w:tcBorders>
        </w:tcPr>
        <w:p w:rsidR="001B3BA3" w:rsidRDefault="001B3BA3" w:rsidP="0040156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913C6">
            <w:rPr>
              <w:i/>
              <w:sz w:val="18"/>
            </w:rPr>
            <w:t>No. 156, 2013</w:t>
          </w:r>
          <w:r w:rsidRPr="007A1328">
            <w:rPr>
              <w:i/>
              <w:sz w:val="18"/>
            </w:rPr>
            <w:fldChar w:fldCharType="end"/>
          </w:r>
        </w:p>
      </w:tc>
      <w:tc>
        <w:tcPr>
          <w:tcW w:w="5387" w:type="dxa"/>
          <w:tcBorders>
            <w:top w:val="nil"/>
            <w:left w:val="nil"/>
            <w:bottom w:val="nil"/>
            <w:right w:val="nil"/>
          </w:tcBorders>
        </w:tcPr>
        <w:p w:rsidR="001B3BA3" w:rsidRDefault="001B3BA3" w:rsidP="004015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13C6">
            <w:rPr>
              <w:i/>
              <w:sz w:val="18"/>
            </w:rPr>
            <w:t>Superannuation Legislation Amendment (</w:t>
          </w:r>
          <w:proofErr w:type="spellStart"/>
          <w:r w:rsidR="003913C6">
            <w:rPr>
              <w:i/>
              <w:sz w:val="18"/>
            </w:rPr>
            <w:t>MySuper</w:t>
          </w:r>
          <w:proofErr w:type="spellEnd"/>
          <w:r w:rsidR="003913C6">
            <w:rPr>
              <w:i/>
              <w:sz w:val="18"/>
            </w:rPr>
            <w:t xml:space="preserve"> Measures) Regulation 2013</w:t>
          </w:r>
          <w:r w:rsidRPr="007A1328">
            <w:rPr>
              <w:i/>
              <w:sz w:val="18"/>
            </w:rPr>
            <w:fldChar w:fldCharType="end"/>
          </w:r>
        </w:p>
      </w:tc>
      <w:tc>
        <w:tcPr>
          <w:tcW w:w="533" w:type="dxa"/>
          <w:tcBorders>
            <w:top w:val="nil"/>
            <w:left w:val="nil"/>
            <w:bottom w:val="nil"/>
            <w:right w:val="nil"/>
          </w:tcBorders>
        </w:tcPr>
        <w:p w:rsidR="001B3BA3" w:rsidRDefault="001B3BA3" w:rsidP="004015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3903">
            <w:rPr>
              <w:i/>
              <w:noProof/>
              <w:sz w:val="18"/>
            </w:rPr>
            <w:t>79</w:t>
          </w:r>
          <w:r w:rsidRPr="00ED79B6">
            <w:rPr>
              <w:i/>
              <w:sz w:val="18"/>
            </w:rPr>
            <w:fldChar w:fldCharType="end"/>
          </w:r>
        </w:p>
      </w:tc>
    </w:tr>
    <w:tr w:rsidR="001B3BA3" w:rsidTr="004015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1B3BA3" w:rsidRDefault="001B3BA3" w:rsidP="00401561">
          <w:pPr>
            <w:rPr>
              <w:sz w:val="18"/>
            </w:rPr>
          </w:pPr>
        </w:p>
      </w:tc>
    </w:tr>
  </w:tbl>
  <w:p w:rsidR="001B3BA3" w:rsidRPr="00ED79B6" w:rsidRDefault="001B3BA3" w:rsidP="005E210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CE35D5" w:rsidRDefault="001B3BA3" w:rsidP="00492FDC">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1B3BA3" w:rsidRPr="00CE35D5" w:rsidTr="00D86E5D">
      <w:tc>
        <w:tcPr>
          <w:tcW w:w="533" w:type="dxa"/>
          <w:tcBorders>
            <w:top w:val="nil"/>
            <w:left w:val="nil"/>
            <w:bottom w:val="nil"/>
            <w:right w:val="nil"/>
          </w:tcBorders>
        </w:tcPr>
        <w:p w:rsidR="001B3BA3" w:rsidRPr="00CE35D5" w:rsidRDefault="001B3BA3" w:rsidP="00D86E5D">
          <w:pPr>
            <w:spacing w:line="0" w:lineRule="atLeast"/>
            <w:rPr>
              <w:rFonts w:cs="Times New Roman"/>
              <w:sz w:val="18"/>
            </w:rPr>
          </w:pPr>
          <w:r w:rsidRPr="00CE35D5">
            <w:rPr>
              <w:rFonts w:cs="Times New Roman"/>
              <w:i/>
              <w:sz w:val="18"/>
            </w:rPr>
            <w:fldChar w:fldCharType="begin"/>
          </w:r>
          <w:r w:rsidRPr="00CE35D5">
            <w:rPr>
              <w:rFonts w:cs="Times New Roman"/>
              <w:i/>
              <w:sz w:val="18"/>
            </w:rPr>
            <w:instrText xml:space="preserve"> PAGE </w:instrText>
          </w:r>
          <w:r w:rsidRPr="00CE35D5">
            <w:rPr>
              <w:rFonts w:cs="Times New Roman"/>
              <w:i/>
              <w:sz w:val="18"/>
            </w:rPr>
            <w:fldChar w:fldCharType="separate"/>
          </w:r>
          <w:r w:rsidR="00C13903">
            <w:rPr>
              <w:rFonts w:cs="Times New Roman"/>
              <w:i/>
              <w:noProof/>
              <w:sz w:val="18"/>
            </w:rPr>
            <w:t>79</w:t>
          </w:r>
          <w:r w:rsidRPr="00CE35D5">
            <w:rPr>
              <w:rFonts w:cs="Times New Roman"/>
              <w:i/>
              <w:sz w:val="18"/>
            </w:rPr>
            <w:fldChar w:fldCharType="end"/>
          </w:r>
        </w:p>
      </w:tc>
      <w:tc>
        <w:tcPr>
          <w:tcW w:w="5387" w:type="dxa"/>
          <w:tcBorders>
            <w:top w:val="nil"/>
            <w:left w:val="nil"/>
            <w:bottom w:val="nil"/>
            <w:right w:val="nil"/>
          </w:tcBorders>
        </w:tcPr>
        <w:p w:rsidR="001B3BA3" w:rsidRPr="00CE35D5" w:rsidRDefault="001B3BA3" w:rsidP="00D86E5D">
          <w:pPr>
            <w:spacing w:line="0" w:lineRule="atLeast"/>
            <w:jc w:val="center"/>
            <w:rPr>
              <w:rFonts w:cs="Times New Roman"/>
              <w:sz w:val="18"/>
            </w:rPr>
          </w:pPr>
          <w:r w:rsidRPr="00CE35D5">
            <w:rPr>
              <w:rFonts w:cs="Times New Roman"/>
              <w:i/>
              <w:sz w:val="18"/>
            </w:rPr>
            <w:fldChar w:fldCharType="begin"/>
          </w:r>
          <w:r w:rsidRPr="00CE35D5">
            <w:rPr>
              <w:rFonts w:cs="Times New Roman"/>
              <w:i/>
              <w:sz w:val="18"/>
            </w:rPr>
            <w:instrText xml:space="preserve"> DOCPROPERTY ShortT </w:instrText>
          </w:r>
          <w:r w:rsidRPr="00CE35D5">
            <w:rPr>
              <w:rFonts w:cs="Times New Roman"/>
              <w:i/>
              <w:sz w:val="18"/>
            </w:rPr>
            <w:fldChar w:fldCharType="separate"/>
          </w:r>
          <w:r w:rsidR="003913C6">
            <w:rPr>
              <w:rFonts w:cs="Times New Roman"/>
              <w:i/>
              <w:sz w:val="18"/>
            </w:rPr>
            <w:t>Superannuation Legislation Amendment (</w:t>
          </w:r>
          <w:proofErr w:type="spellStart"/>
          <w:r w:rsidR="003913C6">
            <w:rPr>
              <w:rFonts w:cs="Times New Roman"/>
              <w:i/>
              <w:sz w:val="18"/>
            </w:rPr>
            <w:t>MySuper</w:t>
          </w:r>
          <w:proofErr w:type="spellEnd"/>
          <w:r w:rsidR="003913C6">
            <w:rPr>
              <w:rFonts w:cs="Times New Roman"/>
              <w:i/>
              <w:sz w:val="18"/>
            </w:rPr>
            <w:t xml:space="preserve"> Measures) Regulation 2013</w:t>
          </w:r>
          <w:r w:rsidRPr="00CE35D5">
            <w:rPr>
              <w:rFonts w:cs="Times New Roman"/>
              <w:i/>
              <w:sz w:val="18"/>
            </w:rPr>
            <w:fldChar w:fldCharType="end"/>
          </w:r>
        </w:p>
      </w:tc>
      <w:tc>
        <w:tcPr>
          <w:tcW w:w="1383" w:type="dxa"/>
          <w:tcBorders>
            <w:top w:val="nil"/>
            <w:left w:val="nil"/>
            <w:bottom w:val="nil"/>
            <w:right w:val="nil"/>
          </w:tcBorders>
        </w:tcPr>
        <w:p w:rsidR="001B3BA3" w:rsidRPr="00CE35D5" w:rsidRDefault="001B3BA3" w:rsidP="00D86E5D">
          <w:pPr>
            <w:spacing w:line="0" w:lineRule="atLeast"/>
            <w:jc w:val="right"/>
            <w:rPr>
              <w:rFonts w:cs="Times New Roman"/>
              <w:sz w:val="18"/>
            </w:rPr>
          </w:pPr>
          <w:r w:rsidRPr="00CE35D5">
            <w:rPr>
              <w:rFonts w:cs="Times New Roman"/>
              <w:i/>
              <w:sz w:val="18"/>
            </w:rPr>
            <w:fldChar w:fldCharType="begin"/>
          </w:r>
          <w:r w:rsidRPr="00CE35D5">
            <w:rPr>
              <w:rFonts w:cs="Times New Roman"/>
              <w:i/>
              <w:sz w:val="18"/>
            </w:rPr>
            <w:instrText xml:space="preserve"> DOCPROPERTY ActNo </w:instrText>
          </w:r>
          <w:r w:rsidRPr="00CE35D5">
            <w:rPr>
              <w:rFonts w:cs="Times New Roman"/>
              <w:i/>
              <w:sz w:val="18"/>
            </w:rPr>
            <w:fldChar w:fldCharType="separate"/>
          </w:r>
          <w:r w:rsidR="003913C6">
            <w:rPr>
              <w:rFonts w:cs="Times New Roman"/>
              <w:i/>
              <w:sz w:val="18"/>
            </w:rPr>
            <w:t>No. 156, 2013</w:t>
          </w:r>
          <w:r w:rsidRPr="00CE35D5">
            <w:rPr>
              <w:rFonts w:cs="Times New Roman"/>
              <w:i/>
              <w:sz w:val="18"/>
            </w:rPr>
            <w:fldChar w:fldCharType="end"/>
          </w:r>
        </w:p>
      </w:tc>
    </w:tr>
    <w:tr w:rsidR="001B3BA3" w:rsidRPr="00CE35D5" w:rsidTr="00D86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1B3BA3" w:rsidRPr="00CE35D5" w:rsidRDefault="001B3BA3" w:rsidP="00D86E5D">
          <w:pPr>
            <w:jc w:val="right"/>
            <w:rPr>
              <w:rFonts w:cs="Times New Roman"/>
              <w:sz w:val="18"/>
            </w:rPr>
          </w:pPr>
        </w:p>
      </w:tc>
    </w:tr>
  </w:tbl>
  <w:p w:rsidR="001B3BA3" w:rsidRPr="00CE35D5" w:rsidRDefault="00CE35D5" w:rsidP="00CE35D5">
    <w:pPr>
      <w:rPr>
        <w:rFonts w:cs="Times New Roman"/>
        <w:i/>
        <w:sz w:val="18"/>
      </w:rPr>
    </w:pPr>
    <w:r>
      <w:rPr>
        <w:rFonts w:cs="Times New Roman"/>
        <w:i/>
        <w:sz w:val="18"/>
      </w:rPr>
      <w:t>OPC50381</w:t>
    </w:r>
    <w:r w:rsidRPr="00CE35D5">
      <w:rPr>
        <w:rFonts w:cs="Times New Roman"/>
        <w:i/>
        <w:sz w:val="18"/>
      </w:rPr>
      <w:t xml:space="preserve">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A3" w:rsidRDefault="001B3BA3">
      <w:r>
        <w:separator/>
      </w:r>
    </w:p>
  </w:footnote>
  <w:footnote w:type="continuationSeparator" w:id="0">
    <w:p w:rsidR="001B3BA3" w:rsidRDefault="001B3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5F1388" w:rsidRDefault="001B3BA3" w:rsidP="005E2109">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Default="001B3BA3">
    <w:pPr>
      <w:rPr>
        <w:sz w:val="20"/>
      </w:rPr>
    </w:pPr>
    <w:r>
      <w:rPr>
        <w:b/>
        <w:sz w:val="20"/>
      </w:rPr>
      <w:fldChar w:fldCharType="begin"/>
    </w:r>
    <w:r>
      <w:rPr>
        <w:b/>
        <w:sz w:val="20"/>
      </w:rPr>
      <w:instrText xml:space="preserve"> STYLEREF CharAmSchNo </w:instrText>
    </w:r>
    <w:r>
      <w:rPr>
        <w:b/>
        <w:sz w:val="20"/>
      </w:rPr>
      <w:fldChar w:fldCharType="separate"/>
    </w:r>
    <w:r w:rsidR="003913C6">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913C6">
      <w:rPr>
        <w:noProof/>
        <w:sz w:val="20"/>
      </w:rPr>
      <w:t>Amendments relating to MySuper product dashboard transitional provisions</w:t>
    </w:r>
    <w:r>
      <w:rPr>
        <w:sz w:val="20"/>
      </w:rPr>
      <w:fldChar w:fldCharType="end"/>
    </w:r>
  </w:p>
  <w:p w:rsidR="001B3BA3" w:rsidRDefault="001B3BA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1B3BA3" w:rsidRDefault="001B3BA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Default="001B3BA3">
    <w:pPr>
      <w:jc w:val="right"/>
      <w:rPr>
        <w:sz w:val="20"/>
      </w:rPr>
    </w:pPr>
    <w:r>
      <w:rPr>
        <w:sz w:val="20"/>
      </w:rPr>
      <w:fldChar w:fldCharType="begin"/>
    </w:r>
    <w:r>
      <w:rPr>
        <w:sz w:val="20"/>
      </w:rPr>
      <w:instrText xml:space="preserve"> STYLEREF CharAmSchText </w:instrText>
    </w:r>
    <w:r>
      <w:rPr>
        <w:sz w:val="20"/>
      </w:rPr>
      <w:fldChar w:fldCharType="separate"/>
    </w:r>
    <w:r w:rsidR="003913C6">
      <w:rPr>
        <w:noProof/>
        <w:sz w:val="20"/>
      </w:rPr>
      <w:t>Amendments relating to MySuper product dashboard transitional provisions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913C6">
      <w:rPr>
        <w:b/>
        <w:noProof/>
        <w:sz w:val="20"/>
      </w:rPr>
      <w:t>Schedule 3</w:t>
    </w:r>
    <w:r>
      <w:rPr>
        <w:b/>
        <w:sz w:val="20"/>
      </w:rPr>
      <w:fldChar w:fldCharType="end"/>
    </w:r>
  </w:p>
  <w:p w:rsidR="001B3BA3" w:rsidRDefault="001B3BA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1B3BA3" w:rsidRDefault="001B3BA3">
    <w:pPr>
      <w:pBdr>
        <w:bottom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5F1388" w:rsidRDefault="001B3BA3" w:rsidP="005E2109">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5F1388" w:rsidRDefault="001B3BA3" w:rsidP="005E210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ED79B6" w:rsidRDefault="001B3BA3" w:rsidP="005E21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ED79B6" w:rsidRDefault="001B3BA3" w:rsidP="005E21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ED79B6" w:rsidRDefault="001B3BA3" w:rsidP="005E210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A961C4" w:rsidRDefault="001B3BA3" w:rsidP="005E2109">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1B3BA3" w:rsidRPr="00A961C4" w:rsidRDefault="001B3BA3" w:rsidP="005E2109">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B3BA3" w:rsidRPr="00A961C4" w:rsidRDefault="001B3BA3" w:rsidP="005E2109">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A961C4" w:rsidRDefault="001B3BA3" w:rsidP="005E2109">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B3BA3" w:rsidRPr="00A961C4" w:rsidRDefault="001B3BA3" w:rsidP="005E210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B3BA3" w:rsidRPr="00A961C4" w:rsidRDefault="001B3BA3" w:rsidP="005E2109">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BA3" w:rsidRPr="00A961C4" w:rsidRDefault="001B3BA3" w:rsidP="005E21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86364E4"/>
    <w:multiLevelType w:val="hybridMultilevel"/>
    <w:tmpl w:val="797C0832"/>
    <w:lvl w:ilvl="0" w:tplc="0C090001">
      <w:start w:val="1"/>
      <w:numFmt w:val="bullet"/>
      <w:lvlText w:val=""/>
      <w:lvlJc w:val="left"/>
      <w:pPr>
        <w:ind w:left="1822" w:hanging="360"/>
      </w:pPr>
      <w:rPr>
        <w:rFonts w:ascii="Symbol" w:hAnsi="Symbol" w:hint="default"/>
      </w:rPr>
    </w:lvl>
    <w:lvl w:ilvl="1" w:tplc="0C090003">
      <w:start w:val="1"/>
      <w:numFmt w:val="bullet"/>
      <w:lvlText w:val="o"/>
      <w:lvlJc w:val="left"/>
      <w:pPr>
        <w:ind w:left="2542" w:hanging="360"/>
      </w:pPr>
      <w:rPr>
        <w:rFonts w:ascii="Courier New" w:hAnsi="Courier New" w:cs="Courier New"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14">
    <w:nsid w:val="08FF626F"/>
    <w:multiLevelType w:val="multilevel"/>
    <w:tmpl w:val="8D0CA2E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5">
    <w:nsid w:val="0E755EB0"/>
    <w:multiLevelType w:val="multilevel"/>
    <w:tmpl w:val="0686929E"/>
    <w:lvl w:ilvl="0">
      <w:start w:val="1"/>
      <w:numFmt w:val="bullet"/>
      <w:lvlText w:val=""/>
      <w:lvlJc w:val="left"/>
      <w:pPr>
        <w:tabs>
          <w:tab w:val="num" w:pos="944"/>
        </w:tabs>
        <w:ind w:left="944" w:hanging="472"/>
      </w:pPr>
      <w:rPr>
        <w:rFonts w:ascii="Symbol" w:hAnsi="Symbol" w:hint="default"/>
        <w:b w:val="0"/>
        <w:i w:val="0"/>
        <w:color w:val="000000"/>
      </w:rPr>
    </w:lvl>
    <w:lvl w:ilvl="1">
      <w:start w:val="1"/>
      <w:numFmt w:val="bullet"/>
      <w:lvlText w:val="–"/>
      <w:lvlJc w:val="left"/>
      <w:pPr>
        <w:tabs>
          <w:tab w:val="num" w:pos="1416"/>
        </w:tabs>
        <w:ind w:left="1416" w:hanging="472"/>
      </w:pPr>
      <w:rPr>
        <w:rFonts w:ascii="Times New Roman" w:hAnsi="Times New Roman" w:cs="Times New Roman"/>
      </w:rPr>
    </w:lvl>
    <w:lvl w:ilvl="2">
      <w:start w:val="1"/>
      <w:numFmt w:val="bullet"/>
      <w:lvlText w:val=":"/>
      <w:lvlJc w:val="left"/>
      <w:pPr>
        <w:tabs>
          <w:tab w:val="num" w:pos="1888"/>
        </w:tabs>
        <w:ind w:left="1888" w:hanging="472"/>
      </w:pPr>
      <w:rPr>
        <w:rFonts w:ascii="Times New Roman" w:hAnsi="Times New Roman" w:cs="Times New Roman"/>
      </w:rPr>
    </w:lvl>
    <w:lvl w:ilvl="3">
      <w:start w:val="1"/>
      <w:numFmt w:val="decimal"/>
      <w:lvlText w:val="(%4)"/>
      <w:lvlJc w:val="left"/>
      <w:pPr>
        <w:ind w:left="1912" w:hanging="360"/>
      </w:pPr>
    </w:lvl>
    <w:lvl w:ilvl="4">
      <w:start w:val="1"/>
      <w:numFmt w:val="lowerLetter"/>
      <w:lvlText w:val="(%5)"/>
      <w:lvlJc w:val="left"/>
      <w:pPr>
        <w:ind w:left="2272" w:hanging="360"/>
      </w:pPr>
    </w:lvl>
    <w:lvl w:ilvl="5">
      <w:start w:val="1"/>
      <w:numFmt w:val="lowerRoman"/>
      <w:lvlText w:val="(%6)"/>
      <w:lvlJc w:val="left"/>
      <w:pPr>
        <w:ind w:left="2632" w:hanging="360"/>
      </w:pPr>
    </w:lvl>
    <w:lvl w:ilvl="6">
      <w:start w:val="1"/>
      <w:numFmt w:val="decimal"/>
      <w:lvlText w:val="%7."/>
      <w:lvlJc w:val="left"/>
      <w:pPr>
        <w:ind w:left="2992" w:hanging="360"/>
      </w:pPr>
    </w:lvl>
    <w:lvl w:ilvl="7">
      <w:start w:val="1"/>
      <w:numFmt w:val="lowerLetter"/>
      <w:lvlText w:val="%8."/>
      <w:lvlJc w:val="left"/>
      <w:pPr>
        <w:ind w:left="3352" w:hanging="360"/>
      </w:pPr>
    </w:lvl>
    <w:lvl w:ilvl="8">
      <w:start w:val="1"/>
      <w:numFmt w:val="lowerRoman"/>
      <w:lvlText w:val="%9."/>
      <w:lvlJc w:val="left"/>
      <w:pPr>
        <w:ind w:left="3712" w:hanging="360"/>
      </w:pPr>
    </w:lvl>
  </w:abstractNum>
  <w:abstractNum w:abstractNumId="16">
    <w:nsid w:val="14D15921"/>
    <w:multiLevelType w:val="hybridMultilevel"/>
    <w:tmpl w:val="27149A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1C718D8"/>
    <w:multiLevelType w:val="hybridMultilevel"/>
    <w:tmpl w:val="8474BB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3AA21243"/>
    <w:multiLevelType w:val="hybridMultilevel"/>
    <w:tmpl w:val="75E44E64"/>
    <w:lvl w:ilvl="0" w:tplc="D368C40E">
      <w:start w:val="1"/>
      <w:numFmt w:val="lowerRoman"/>
      <w:lvlText w:val="(%1)"/>
      <w:lvlJc w:val="left"/>
      <w:pPr>
        <w:ind w:left="1822" w:hanging="360"/>
      </w:pPr>
      <w:rPr>
        <w:rFonts w:ascii="Times New Roman" w:eastAsia="Times New Roman" w:hAnsi="Times New Roman" w:cs="Times New Roman"/>
      </w:rPr>
    </w:lvl>
    <w:lvl w:ilvl="1" w:tplc="0C090019" w:tentative="1">
      <w:start w:val="1"/>
      <w:numFmt w:val="lowerLetter"/>
      <w:lvlText w:val="%2."/>
      <w:lvlJc w:val="left"/>
      <w:pPr>
        <w:ind w:left="2542" w:hanging="360"/>
      </w:pPr>
    </w:lvl>
    <w:lvl w:ilvl="2" w:tplc="0C09001B" w:tentative="1">
      <w:start w:val="1"/>
      <w:numFmt w:val="lowerRoman"/>
      <w:lvlText w:val="%3."/>
      <w:lvlJc w:val="right"/>
      <w:pPr>
        <w:ind w:left="3262" w:hanging="180"/>
      </w:pPr>
    </w:lvl>
    <w:lvl w:ilvl="3" w:tplc="0C09000F" w:tentative="1">
      <w:start w:val="1"/>
      <w:numFmt w:val="decimal"/>
      <w:lvlText w:val="%4."/>
      <w:lvlJc w:val="left"/>
      <w:pPr>
        <w:ind w:left="3982" w:hanging="360"/>
      </w:pPr>
    </w:lvl>
    <w:lvl w:ilvl="4" w:tplc="0C090019" w:tentative="1">
      <w:start w:val="1"/>
      <w:numFmt w:val="lowerLetter"/>
      <w:lvlText w:val="%5."/>
      <w:lvlJc w:val="left"/>
      <w:pPr>
        <w:ind w:left="4702" w:hanging="360"/>
      </w:pPr>
    </w:lvl>
    <w:lvl w:ilvl="5" w:tplc="0C09001B" w:tentative="1">
      <w:start w:val="1"/>
      <w:numFmt w:val="lowerRoman"/>
      <w:lvlText w:val="%6."/>
      <w:lvlJc w:val="right"/>
      <w:pPr>
        <w:ind w:left="5422" w:hanging="180"/>
      </w:pPr>
    </w:lvl>
    <w:lvl w:ilvl="6" w:tplc="0C09000F" w:tentative="1">
      <w:start w:val="1"/>
      <w:numFmt w:val="decimal"/>
      <w:lvlText w:val="%7."/>
      <w:lvlJc w:val="left"/>
      <w:pPr>
        <w:ind w:left="6142" w:hanging="360"/>
      </w:pPr>
    </w:lvl>
    <w:lvl w:ilvl="7" w:tplc="0C090019" w:tentative="1">
      <w:start w:val="1"/>
      <w:numFmt w:val="lowerLetter"/>
      <w:lvlText w:val="%8."/>
      <w:lvlJc w:val="left"/>
      <w:pPr>
        <w:ind w:left="6862" w:hanging="360"/>
      </w:pPr>
    </w:lvl>
    <w:lvl w:ilvl="8" w:tplc="0C09001B" w:tentative="1">
      <w:start w:val="1"/>
      <w:numFmt w:val="lowerRoman"/>
      <w:lvlText w:val="%9."/>
      <w:lvlJc w:val="right"/>
      <w:pPr>
        <w:ind w:left="7582"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27A5A17"/>
    <w:multiLevelType w:val="hybridMultilevel"/>
    <w:tmpl w:val="1DAE1F98"/>
    <w:lvl w:ilvl="0" w:tplc="0C090001">
      <w:start w:val="1"/>
      <w:numFmt w:val="bullet"/>
      <w:lvlText w:val=""/>
      <w:lvlJc w:val="left"/>
      <w:pPr>
        <w:ind w:left="1146" w:hanging="360"/>
      </w:pPr>
      <w:rPr>
        <w:rFonts w:ascii="Symbol" w:hAnsi="Symbol"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45A0A6E"/>
    <w:multiLevelType w:val="hybridMultilevel"/>
    <w:tmpl w:val="4E406D62"/>
    <w:lvl w:ilvl="0" w:tplc="B2B8DC34">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6">
    <w:nsid w:val="68537396"/>
    <w:multiLevelType w:val="hybridMultilevel"/>
    <w:tmpl w:val="91B8B14A"/>
    <w:lvl w:ilvl="0" w:tplc="000C1E2C">
      <w:start w:val="1"/>
      <w:numFmt w:val="decimal"/>
      <w:lvlText w:val="%1."/>
      <w:lvlJc w:val="left"/>
      <w:pPr>
        <w:ind w:left="360" w:hanging="360"/>
      </w:pPr>
      <w:rPr>
        <w:rFonts w:hint="default"/>
      </w:rPr>
    </w:lvl>
    <w:lvl w:ilvl="1" w:tplc="EF367B0A">
      <w:start w:val="1"/>
      <w:numFmt w:val="lowerLetter"/>
      <w:lvlText w:val="%2."/>
      <w:lvlJc w:val="left"/>
      <w:pPr>
        <w:ind w:left="1080" w:hanging="360"/>
      </w:pPr>
    </w:lvl>
    <w:lvl w:ilvl="2" w:tplc="ABD48D42">
      <w:start w:val="1"/>
      <w:numFmt w:val="lowerRoman"/>
      <w:lvlText w:val="%3."/>
      <w:lvlJc w:val="right"/>
      <w:pPr>
        <w:ind w:left="1800" w:hanging="180"/>
      </w:pPr>
    </w:lvl>
    <w:lvl w:ilvl="3" w:tplc="9D207288" w:tentative="1">
      <w:start w:val="1"/>
      <w:numFmt w:val="decimal"/>
      <w:lvlText w:val="%4."/>
      <w:lvlJc w:val="left"/>
      <w:pPr>
        <w:ind w:left="2520" w:hanging="360"/>
      </w:pPr>
    </w:lvl>
    <w:lvl w:ilvl="4" w:tplc="2B407F74" w:tentative="1">
      <w:start w:val="1"/>
      <w:numFmt w:val="lowerLetter"/>
      <w:lvlText w:val="%5."/>
      <w:lvlJc w:val="left"/>
      <w:pPr>
        <w:ind w:left="3240" w:hanging="360"/>
      </w:pPr>
    </w:lvl>
    <w:lvl w:ilvl="5" w:tplc="168C3894" w:tentative="1">
      <w:start w:val="1"/>
      <w:numFmt w:val="lowerRoman"/>
      <w:lvlText w:val="%6."/>
      <w:lvlJc w:val="right"/>
      <w:pPr>
        <w:ind w:left="3960" w:hanging="180"/>
      </w:pPr>
    </w:lvl>
    <w:lvl w:ilvl="6" w:tplc="DD8E3C0A" w:tentative="1">
      <w:start w:val="1"/>
      <w:numFmt w:val="decimal"/>
      <w:lvlText w:val="%7."/>
      <w:lvlJc w:val="left"/>
      <w:pPr>
        <w:ind w:left="4680" w:hanging="360"/>
      </w:pPr>
    </w:lvl>
    <w:lvl w:ilvl="7" w:tplc="CD00F1CE" w:tentative="1">
      <w:start w:val="1"/>
      <w:numFmt w:val="lowerLetter"/>
      <w:lvlText w:val="%8."/>
      <w:lvlJc w:val="left"/>
      <w:pPr>
        <w:ind w:left="5400" w:hanging="360"/>
      </w:pPr>
    </w:lvl>
    <w:lvl w:ilvl="8" w:tplc="31A8532C" w:tentative="1">
      <w:start w:val="1"/>
      <w:numFmt w:val="lowerRoman"/>
      <w:lvlText w:val="%9."/>
      <w:lvlJc w:val="right"/>
      <w:pPr>
        <w:ind w:left="6120" w:hanging="180"/>
      </w:pPr>
    </w:lvl>
  </w:abstractNum>
  <w:abstractNum w:abstractNumId="27">
    <w:nsid w:val="6F8D4A4A"/>
    <w:multiLevelType w:val="hybridMultilevel"/>
    <w:tmpl w:val="DBDC447A"/>
    <w:lvl w:ilvl="0" w:tplc="D146217C">
      <w:start w:val="1"/>
      <w:numFmt w:val="lowerLetter"/>
      <w:lvlText w:val="(%1)"/>
      <w:lvlJc w:val="left"/>
      <w:pPr>
        <w:ind w:left="2226" w:hanging="360"/>
      </w:pPr>
      <w:rPr>
        <w:rFonts w:hint="default"/>
      </w:rPr>
    </w:lvl>
    <w:lvl w:ilvl="1" w:tplc="0C090019" w:tentative="1">
      <w:start w:val="1"/>
      <w:numFmt w:val="lowerLetter"/>
      <w:lvlText w:val="%2."/>
      <w:lvlJc w:val="left"/>
      <w:pPr>
        <w:ind w:left="2946" w:hanging="360"/>
      </w:pPr>
    </w:lvl>
    <w:lvl w:ilvl="2" w:tplc="0C09001B" w:tentative="1">
      <w:start w:val="1"/>
      <w:numFmt w:val="lowerRoman"/>
      <w:lvlText w:val="%3."/>
      <w:lvlJc w:val="right"/>
      <w:pPr>
        <w:ind w:left="3666" w:hanging="180"/>
      </w:pPr>
    </w:lvl>
    <w:lvl w:ilvl="3" w:tplc="0C09000F" w:tentative="1">
      <w:start w:val="1"/>
      <w:numFmt w:val="decimal"/>
      <w:lvlText w:val="%4."/>
      <w:lvlJc w:val="left"/>
      <w:pPr>
        <w:ind w:left="4386" w:hanging="360"/>
      </w:pPr>
    </w:lvl>
    <w:lvl w:ilvl="4" w:tplc="0C090019" w:tentative="1">
      <w:start w:val="1"/>
      <w:numFmt w:val="lowerLetter"/>
      <w:lvlText w:val="%5."/>
      <w:lvlJc w:val="left"/>
      <w:pPr>
        <w:ind w:left="5106" w:hanging="360"/>
      </w:pPr>
    </w:lvl>
    <w:lvl w:ilvl="5" w:tplc="0C09001B" w:tentative="1">
      <w:start w:val="1"/>
      <w:numFmt w:val="lowerRoman"/>
      <w:lvlText w:val="%6."/>
      <w:lvlJc w:val="right"/>
      <w:pPr>
        <w:ind w:left="5826" w:hanging="180"/>
      </w:pPr>
    </w:lvl>
    <w:lvl w:ilvl="6" w:tplc="0C09000F" w:tentative="1">
      <w:start w:val="1"/>
      <w:numFmt w:val="decimal"/>
      <w:lvlText w:val="%7."/>
      <w:lvlJc w:val="left"/>
      <w:pPr>
        <w:ind w:left="6546" w:hanging="360"/>
      </w:pPr>
    </w:lvl>
    <w:lvl w:ilvl="7" w:tplc="0C090019" w:tentative="1">
      <w:start w:val="1"/>
      <w:numFmt w:val="lowerLetter"/>
      <w:lvlText w:val="%8."/>
      <w:lvlJc w:val="left"/>
      <w:pPr>
        <w:ind w:left="7266" w:hanging="360"/>
      </w:pPr>
    </w:lvl>
    <w:lvl w:ilvl="8" w:tplc="0C09001B" w:tentative="1">
      <w:start w:val="1"/>
      <w:numFmt w:val="lowerRoman"/>
      <w:lvlText w:val="%9."/>
      <w:lvlJc w:val="right"/>
      <w:pPr>
        <w:ind w:left="7986" w:hanging="180"/>
      </w:pPr>
    </w:lvl>
  </w:abstractNum>
  <w:abstractNum w:abstractNumId="28">
    <w:nsid w:val="7FD55F77"/>
    <w:multiLevelType w:val="hybridMultilevel"/>
    <w:tmpl w:val="2AA0ACC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num w:numId="1">
    <w:abstractNumId w:val="11"/>
  </w:num>
  <w:num w:numId="2">
    <w:abstractNumId w:val="18"/>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5"/>
  </w:num>
  <w:num w:numId="16">
    <w:abstractNumId w:val="14"/>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7"/>
  </w:num>
  <w:num w:numId="20">
    <w:abstractNumId w:val="13"/>
  </w:num>
  <w:num w:numId="21">
    <w:abstractNumId w:val="25"/>
  </w:num>
  <w:num w:numId="22">
    <w:abstractNumId w:val="23"/>
  </w:num>
  <w:num w:numId="23">
    <w:abstractNumId w:val="21"/>
  </w:num>
  <w:num w:numId="24">
    <w:abstractNumId w:val="24"/>
  </w:num>
  <w:num w:numId="25">
    <w:abstractNumId w:val="17"/>
  </w:num>
  <w:num w:numId="26">
    <w:abstractNumId w:val="12"/>
  </w:num>
  <w:num w:numId="27">
    <w:abstractNumId w:val="16"/>
  </w:num>
  <w:num w:numId="28">
    <w:abstractNumId w:val="10"/>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8D"/>
    <w:rsid w:val="000005CA"/>
    <w:rsid w:val="00000AC2"/>
    <w:rsid w:val="00001264"/>
    <w:rsid w:val="00002328"/>
    <w:rsid w:val="00002715"/>
    <w:rsid w:val="000029B3"/>
    <w:rsid w:val="0000310D"/>
    <w:rsid w:val="000043C3"/>
    <w:rsid w:val="000044A4"/>
    <w:rsid w:val="000045E8"/>
    <w:rsid w:val="000047FD"/>
    <w:rsid w:val="000056EE"/>
    <w:rsid w:val="00005A18"/>
    <w:rsid w:val="00005A98"/>
    <w:rsid w:val="00005DE0"/>
    <w:rsid w:val="00005E81"/>
    <w:rsid w:val="00005EFE"/>
    <w:rsid w:val="00006F6B"/>
    <w:rsid w:val="00007268"/>
    <w:rsid w:val="00007819"/>
    <w:rsid w:val="00007B8B"/>
    <w:rsid w:val="00007D12"/>
    <w:rsid w:val="00007DED"/>
    <w:rsid w:val="00010203"/>
    <w:rsid w:val="00010406"/>
    <w:rsid w:val="000126AC"/>
    <w:rsid w:val="00012A4E"/>
    <w:rsid w:val="00013567"/>
    <w:rsid w:val="00013A38"/>
    <w:rsid w:val="00016567"/>
    <w:rsid w:val="0001739E"/>
    <w:rsid w:val="00017851"/>
    <w:rsid w:val="00017BF3"/>
    <w:rsid w:val="00020180"/>
    <w:rsid w:val="000204A9"/>
    <w:rsid w:val="00020904"/>
    <w:rsid w:val="00020DCB"/>
    <w:rsid w:val="00020ED0"/>
    <w:rsid w:val="00021391"/>
    <w:rsid w:val="0002202A"/>
    <w:rsid w:val="000220E0"/>
    <w:rsid w:val="00023056"/>
    <w:rsid w:val="00023BF7"/>
    <w:rsid w:val="00023FD2"/>
    <w:rsid w:val="000249DB"/>
    <w:rsid w:val="0002500E"/>
    <w:rsid w:val="0002584B"/>
    <w:rsid w:val="0002628F"/>
    <w:rsid w:val="00026A95"/>
    <w:rsid w:val="00026C04"/>
    <w:rsid w:val="000307F1"/>
    <w:rsid w:val="0003094A"/>
    <w:rsid w:val="00030FCF"/>
    <w:rsid w:val="00031167"/>
    <w:rsid w:val="0003178B"/>
    <w:rsid w:val="00032EAF"/>
    <w:rsid w:val="000337D7"/>
    <w:rsid w:val="00033818"/>
    <w:rsid w:val="000338B6"/>
    <w:rsid w:val="00033CF8"/>
    <w:rsid w:val="0003434D"/>
    <w:rsid w:val="0003498B"/>
    <w:rsid w:val="000353E1"/>
    <w:rsid w:val="00035432"/>
    <w:rsid w:val="000355CF"/>
    <w:rsid w:val="00035E66"/>
    <w:rsid w:val="00036202"/>
    <w:rsid w:val="00036222"/>
    <w:rsid w:val="000362A3"/>
    <w:rsid w:val="0003686B"/>
    <w:rsid w:val="00036B9D"/>
    <w:rsid w:val="00037BBA"/>
    <w:rsid w:val="00037FB4"/>
    <w:rsid w:val="0004023D"/>
    <w:rsid w:val="0004081D"/>
    <w:rsid w:val="00041868"/>
    <w:rsid w:val="00041931"/>
    <w:rsid w:val="00041C4F"/>
    <w:rsid w:val="000423B1"/>
    <w:rsid w:val="00043B50"/>
    <w:rsid w:val="0004467D"/>
    <w:rsid w:val="00044C0D"/>
    <w:rsid w:val="000455DE"/>
    <w:rsid w:val="00045A3B"/>
    <w:rsid w:val="00046370"/>
    <w:rsid w:val="00046798"/>
    <w:rsid w:val="000472C2"/>
    <w:rsid w:val="0004799B"/>
    <w:rsid w:val="00047AF3"/>
    <w:rsid w:val="00047C41"/>
    <w:rsid w:val="00047D78"/>
    <w:rsid w:val="000510B9"/>
    <w:rsid w:val="00051B93"/>
    <w:rsid w:val="00051C4D"/>
    <w:rsid w:val="00051C9B"/>
    <w:rsid w:val="00051F09"/>
    <w:rsid w:val="00052C8C"/>
    <w:rsid w:val="00052F0D"/>
    <w:rsid w:val="000534E9"/>
    <w:rsid w:val="00053B7C"/>
    <w:rsid w:val="00053D50"/>
    <w:rsid w:val="000551A3"/>
    <w:rsid w:val="00055BB9"/>
    <w:rsid w:val="00055E25"/>
    <w:rsid w:val="00055F65"/>
    <w:rsid w:val="00056646"/>
    <w:rsid w:val="000567DA"/>
    <w:rsid w:val="00056D9D"/>
    <w:rsid w:val="000573E3"/>
    <w:rsid w:val="0005756F"/>
    <w:rsid w:val="000578DE"/>
    <w:rsid w:val="0006026C"/>
    <w:rsid w:val="0006090C"/>
    <w:rsid w:val="000615E0"/>
    <w:rsid w:val="000617D8"/>
    <w:rsid w:val="000626E6"/>
    <w:rsid w:val="0006382A"/>
    <w:rsid w:val="00064D2F"/>
    <w:rsid w:val="00064E4B"/>
    <w:rsid w:val="0006502A"/>
    <w:rsid w:val="000659AC"/>
    <w:rsid w:val="00065A0E"/>
    <w:rsid w:val="00066836"/>
    <w:rsid w:val="00067055"/>
    <w:rsid w:val="000670D4"/>
    <w:rsid w:val="0006722F"/>
    <w:rsid w:val="00071791"/>
    <w:rsid w:val="000721B0"/>
    <w:rsid w:val="00072436"/>
    <w:rsid w:val="0007260C"/>
    <w:rsid w:val="00072777"/>
    <w:rsid w:val="00073B2B"/>
    <w:rsid w:val="00073C0A"/>
    <w:rsid w:val="00073D45"/>
    <w:rsid w:val="00073DE9"/>
    <w:rsid w:val="00073FAE"/>
    <w:rsid w:val="00074656"/>
    <w:rsid w:val="00074DE1"/>
    <w:rsid w:val="0007521B"/>
    <w:rsid w:val="000753EE"/>
    <w:rsid w:val="0007552D"/>
    <w:rsid w:val="00075B3D"/>
    <w:rsid w:val="000763C4"/>
    <w:rsid w:val="00076B35"/>
    <w:rsid w:val="000773D3"/>
    <w:rsid w:val="0008019A"/>
    <w:rsid w:val="000806C0"/>
    <w:rsid w:val="00081394"/>
    <w:rsid w:val="0008159F"/>
    <w:rsid w:val="0008164A"/>
    <w:rsid w:val="00081D75"/>
    <w:rsid w:val="00082D9D"/>
    <w:rsid w:val="0008308A"/>
    <w:rsid w:val="00083CCB"/>
    <w:rsid w:val="000842F0"/>
    <w:rsid w:val="000848EF"/>
    <w:rsid w:val="00085066"/>
    <w:rsid w:val="00085434"/>
    <w:rsid w:val="000854C8"/>
    <w:rsid w:val="00085673"/>
    <w:rsid w:val="00085877"/>
    <w:rsid w:val="00085CB2"/>
    <w:rsid w:val="00086090"/>
    <w:rsid w:val="00086232"/>
    <w:rsid w:val="00086E1D"/>
    <w:rsid w:val="00087492"/>
    <w:rsid w:val="00087824"/>
    <w:rsid w:val="00087950"/>
    <w:rsid w:val="00087A2F"/>
    <w:rsid w:val="00090792"/>
    <w:rsid w:val="000914C9"/>
    <w:rsid w:val="0009196B"/>
    <w:rsid w:val="00091AAF"/>
    <w:rsid w:val="00091B40"/>
    <w:rsid w:val="00091FCB"/>
    <w:rsid w:val="0009263F"/>
    <w:rsid w:val="00092802"/>
    <w:rsid w:val="00093EEB"/>
    <w:rsid w:val="00094684"/>
    <w:rsid w:val="00094C41"/>
    <w:rsid w:val="00095CC4"/>
    <w:rsid w:val="00096ACE"/>
    <w:rsid w:val="00096D6B"/>
    <w:rsid w:val="00097670"/>
    <w:rsid w:val="000A032C"/>
    <w:rsid w:val="000A08D0"/>
    <w:rsid w:val="000A0A9A"/>
    <w:rsid w:val="000A0B07"/>
    <w:rsid w:val="000A11BB"/>
    <w:rsid w:val="000A1EE0"/>
    <w:rsid w:val="000A1F65"/>
    <w:rsid w:val="000A23AE"/>
    <w:rsid w:val="000A299C"/>
    <w:rsid w:val="000A30EF"/>
    <w:rsid w:val="000A3324"/>
    <w:rsid w:val="000A38D5"/>
    <w:rsid w:val="000A3924"/>
    <w:rsid w:val="000A39B9"/>
    <w:rsid w:val="000A3C52"/>
    <w:rsid w:val="000A3D95"/>
    <w:rsid w:val="000A4C65"/>
    <w:rsid w:val="000A5135"/>
    <w:rsid w:val="000A5970"/>
    <w:rsid w:val="000A5D14"/>
    <w:rsid w:val="000A69D4"/>
    <w:rsid w:val="000A70D1"/>
    <w:rsid w:val="000A71F7"/>
    <w:rsid w:val="000A74F0"/>
    <w:rsid w:val="000A75D6"/>
    <w:rsid w:val="000A76E3"/>
    <w:rsid w:val="000A792D"/>
    <w:rsid w:val="000B09B3"/>
    <w:rsid w:val="000B0A20"/>
    <w:rsid w:val="000B17DF"/>
    <w:rsid w:val="000B1854"/>
    <w:rsid w:val="000B226E"/>
    <w:rsid w:val="000B26C3"/>
    <w:rsid w:val="000B2C56"/>
    <w:rsid w:val="000B3052"/>
    <w:rsid w:val="000B363F"/>
    <w:rsid w:val="000B3644"/>
    <w:rsid w:val="000B3871"/>
    <w:rsid w:val="000B3B33"/>
    <w:rsid w:val="000B3CCE"/>
    <w:rsid w:val="000B478B"/>
    <w:rsid w:val="000B4C7A"/>
    <w:rsid w:val="000B52E4"/>
    <w:rsid w:val="000B52F3"/>
    <w:rsid w:val="000B67E3"/>
    <w:rsid w:val="000B67F3"/>
    <w:rsid w:val="000B68A5"/>
    <w:rsid w:val="000B736D"/>
    <w:rsid w:val="000C2AB1"/>
    <w:rsid w:val="000C2DFE"/>
    <w:rsid w:val="000C3B30"/>
    <w:rsid w:val="000C3EBA"/>
    <w:rsid w:val="000C420A"/>
    <w:rsid w:val="000C50B8"/>
    <w:rsid w:val="000C56FE"/>
    <w:rsid w:val="000C5B5C"/>
    <w:rsid w:val="000C5DFD"/>
    <w:rsid w:val="000C5E42"/>
    <w:rsid w:val="000C68EC"/>
    <w:rsid w:val="000C78B5"/>
    <w:rsid w:val="000C7BEC"/>
    <w:rsid w:val="000C7EBE"/>
    <w:rsid w:val="000D0055"/>
    <w:rsid w:val="000D01FB"/>
    <w:rsid w:val="000D0C1E"/>
    <w:rsid w:val="000D112D"/>
    <w:rsid w:val="000D3045"/>
    <w:rsid w:val="000D3211"/>
    <w:rsid w:val="000D34CB"/>
    <w:rsid w:val="000D35F5"/>
    <w:rsid w:val="000D363E"/>
    <w:rsid w:val="000D3A23"/>
    <w:rsid w:val="000D443F"/>
    <w:rsid w:val="000D4951"/>
    <w:rsid w:val="000D53DF"/>
    <w:rsid w:val="000D597C"/>
    <w:rsid w:val="000D59B9"/>
    <w:rsid w:val="000D6138"/>
    <w:rsid w:val="000D6794"/>
    <w:rsid w:val="000D6915"/>
    <w:rsid w:val="000D7167"/>
    <w:rsid w:val="000D736B"/>
    <w:rsid w:val="000D7A87"/>
    <w:rsid w:val="000D7BA1"/>
    <w:rsid w:val="000E03D2"/>
    <w:rsid w:val="000E081D"/>
    <w:rsid w:val="000E1637"/>
    <w:rsid w:val="000E242C"/>
    <w:rsid w:val="000E29F4"/>
    <w:rsid w:val="000E2AD8"/>
    <w:rsid w:val="000E2ECD"/>
    <w:rsid w:val="000E3138"/>
    <w:rsid w:val="000E34F4"/>
    <w:rsid w:val="000E3ECB"/>
    <w:rsid w:val="000E470D"/>
    <w:rsid w:val="000E4ADA"/>
    <w:rsid w:val="000E4CE3"/>
    <w:rsid w:val="000E4E76"/>
    <w:rsid w:val="000E5A09"/>
    <w:rsid w:val="000E5A21"/>
    <w:rsid w:val="000E6123"/>
    <w:rsid w:val="000E69AE"/>
    <w:rsid w:val="000E7238"/>
    <w:rsid w:val="000F0195"/>
    <w:rsid w:val="000F0276"/>
    <w:rsid w:val="000F0810"/>
    <w:rsid w:val="000F0CA8"/>
    <w:rsid w:val="000F10AF"/>
    <w:rsid w:val="000F132F"/>
    <w:rsid w:val="000F140F"/>
    <w:rsid w:val="000F184C"/>
    <w:rsid w:val="000F18EF"/>
    <w:rsid w:val="000F2784"/>
    <w:rsid w:val="000F34B8"/>
    <w:rsid w:val="000F36A1"/>
    <w:rsid w:val="000F3758"/>
    <w:rsid w:val="000F4488"/>
    <w:rsid w:val="000F4797"/>
    <w:rsid w:val="000F5A0E"/>
    <w:rsid w:val="000F6B09"/>
    <w:rsid w:val="000F6C68"/>
    <w:rsid w:val="00100F44"/>
    <w:rsid w:val="001014A4"/>
    <w:rsid w:val="00101821"/>
    <w:rsid w:val="001018C0"/>
    <w:rsid w:val="00101B5D"/>
    <w:rsid w:val="00102347"/>
    <w:rsid w:val="00103E2F"/>
    <w:rsid w:val="00104BD6"/>
    <w:rsid w:val="00104F4C"/>
    <w:rsid w:val="00105117"/>
    <w:rsid w:val="00105C0A"/>
    <w:rsid w:val="0010743F"/>
    <w:rsid w:val="0010759D"/>
    <w:rsid w:val="001077EA"/>
    <w:rsid w:val="0011019C"/>
    <w:rsid w:val="00110F98"/>
    <w:rsid w:val="0011161E"/>
    <w:rsid w:val="0011172E"/>
    <w:rsid w:val="00111E48"/>
    <w:rsid w:val="0011314E"/>
    <w:rsid w:val="00113800"/>
    <w:rsid w:val="00114279"/>
    <w:rsid w:val="00114286"/>
    <w:rsid w:val="0011437B"/>
    <w:rsid w:val="00114A52"/>
    <w:rsid w:val="00114AE6"/>
    <w:rsid w:val="00115895"/>
    <w:rsid w:val="00115E03"/>
    <w:rsid w:val="00115E39"/>
    <w:rsid w:val="00116F55"/>
    <w:rsid w:val="00117290"/>
    <w:rsid w:val="00120606"/>
    <w:rsid w:val="001206FD"/>
    <w:rsid w:val="001207AE"/>
    <w:rsid w:val="00120956"/>
    <w:rsid w:val="001215DA"/>
    <w:rsid w:val="00121B18"/>
    <w:rsid w:val="00121EAE"/>
    <w:rsid w:val="00122139"/>
    <w:rsid w:val="00122CA1"/>
    <w:rsid w:val="001243B1"/>
    <w:rsid w:val="00124471"/>
    <w:rsid w:val="00124BDE"/>
    <w:rsid w:val="001250D8"/>
    <w:rsid w:val="0012560F"/>
    <w:rsid w:val="0012569A"/>
    <w:rsid w:val="00126429"/>
    <w:rsid w:val="001265D5"/>
    <w:rsid w:val="00126D00"/>
    <w:rsid w:val="00127F33"/>
    <w:rsid w:val="00127FB9"/>
    <w:rsid w:val="00127FF3"/>
    <w:rsid w:val="00130329"/>
    <w:rsid w:val="00130E52"/>
    <w:rsid w:val="00131146"/>
    <w:rsid w:val="001312DA"/>
    <w:rsid w:val="00131A2A"/>
    <w:rsid w:val="00131CCB"/>
    <w:rsid w:val="001326A4"/>
    <w:rsid w:val="00132E71"/>
    <w:rsid w:val="00133035"/>
    <w:rsid w:val="00133273"/>
    <w:rsid w:val="00133419"/>
    <w:rsid w:val="00134204"/>
    <w:rsid w:val="0013498E"/>
    <w:rsid w:val="00134F88"/>
    <w:rsid w:val="001356A1"/>
    <w:rsid w:val="0013598E"/>
    <w:rsid w:val="00135BF4"/>
    <w:rsid w:val="00135CB3"/>
    <w:rsid w:val="00136156"/>
    <w:rsid w:val="001363F5"/>
    <w:rsid w:val="00137EF4"/>
    <w:rsid w:val="00137F59"/>
    <w:rsid w:val="00141ACD"/>
    <w:rsid w:val="00142C00"/>
    <w:rsid w:val="00143246"/>
    <w:rsid w:val="00143259"/>
    <w:rsid w:val="00143C47"/>
    <w:rsid w:val="0014428B"/>
    <w:rsid w:val="001443E2"/>
    <w:rsid w:val="00144965"/>
    <w:rsid w:val="001456E3"/>
    <w:rsid w:val="00145C33"/>
    <w:rsid w:val="00145E73"/>
    <w:rsid w:val="00146377"/>
    <w:rsid w:val="0014660D"/>
    <w:rsid w:val="00146625"/>
    <w:rsid w:val="00146AA2"/>
    <w:rsid w:val="001509A9"/>
    <w:rsid w:val="00150A21"/>
    <w:rsid w:val="00150B84"/>
    <w:rsid w:val="001510F9"/>
    <w:rsid w:val="001521AC"/>
    <w:rsid w:val="0015227C"/>
    <w:rsid w:val="00152824"/>
    <w:rsid w:val="00152D94"/>
    <w:rsid w:val="00153593"/>
    <w:rsid w:val="001544DD"/>
    <w:rsid w:val="00154927"/>
    <w:rsid w:val="001564BF"/>
    <w:rsid w:val="00156A5A"/>
    <w:rsid w:val="00156DE5"/>
    <w:rsid w:val="00157119"/>
    <w:rsid w:val="0015749C"/>
    <w:rsid w:val="00157E82"/>
    <w:rsid w:val="00157F4E"/>
    <w:rsid w:val="001602AF"/>
    <w:rsid w:val="001603EA"/>
    <w:rsid w:val="00160F6E"/>
    <w:rsid w:val="001616FF"/>
    <w:rsid w:val="0016182A"/>
    <w:rsid w:val="00161D0A"/>
    <w:rsid w:val="0016238C"/>
    <w:rsid w:val="00162892"/>
    <w:rsid w:val="00162D18"/>
    <w:rsid w:val="00163388"/>
    <w:rsid w:val="001633F5"/>
    <w:rsid w:val="00164830"/>
    <w:rsid w:val="00164CA7"/>
    <w:rsid w:val="00164CCD"/>
    <w:rsid w:val="0016541B"/>
    <w:rsid w:val="0016552E"/>
    <w:rsid w:val="001656B6"/>
    <w:rsid w:val="00165D33"/>
    <w:rsid w:val="001661B3"/>
    <w:rsid w:val="0016625F"/>
    <w:rsid w:val="001664DF"/>
    <w:rsid w:val="00166A00"/>
    <w:rsid w:val="00166EEE"/>
    <w:rsid w:val="001708AB"/>
    <w:rsid w:val="00171216"/>
    <w:rsid w:val="00171739"/>
    <w:rsid w:val="00171A0A"/>
    <w:rsid w:val="001728E0"/>
    <w:rsid w:val="00172B7A"/>
    <w:rsid w:val="00173225"/>
    <w:rsid w:val="001734A0"/>
    <w:rsid w:val="0017420C"/>
    <w:rsid w:val="00174751"/>
    <w:rsid w:val="00174A3C"/>
    <w:rsid w:val="0017614D"/>
    <w:rsid w:val="00176457"/>
    <w:rsid w:val="0017669E"/>
    <w:rsid w:val="00176BCE"/>
    <w:rsid w:val="00176E03"/>
    <w:rsid w:val="00176E4B"/>
    <w:rsid w:val="0018037A"/>
    <w:rsid w:val="00180A2F"/>
    <w:rsid w:val="00180CD3"/>
    <w:rsid w:val="00180F61"/>
    <w:rsid w:val="0018263A"/>
    <w:rsid w:val="00182CD9"/>
    <w:rsid w:val="00183B73"/>
    <w:rsid w:val="001840EA"/>
    <w:rsid w:val="0018451A"/>
    <w:rsid w:val="0018528F"/>
    <w:rsid w:val="00185EBC"/>
    <w:rsid w:val="0018626A"/>
    <w:rsid w:val="00186D93"/>
    <w:rsid w:val="001871E7"/>
    <w:rsid w:val="00187796"/>
    <w:rsid w:val="00190C8D"/>
    <w:rsid w:val="00190D22"/>
    <w:rsid w:val="001911C3"/>
    <w:rsid w:val="00191B57"/>
    <w:rsid w:val="00191D03"/>
    <w:rsid w:val="00191D72"/>
    <w:rsid w:val="00193DB0"/>
    <w:rsid w:val="0019464D"/>
    <w:rsid w:val="0019469E"/>
    <w:rsid w:val="0019517D"/>
    <w:rsid w:val="001952F0"/>
    <w:rsid w:val="00195B78"/>
    <w:rsid w:val="00195BA3"/>
    <w:rsid w:val="0019605D"/>
    <w:rsid w:val="00196B2A"/>
    <w:rsid w:val="00196B7C"/>
    <w:rsid w:val="001973F8"/>
    <w:rsid w:val="001975D8"/>
    <w:rsid w:val="00197785"/>
    <w:rsid w:val="00197E10"/>
    <w:rsid w:val="00197FBA"/>
    <w:rsid w:val="001A04C0"/>
    <w:rsid w:val="001A062E"/>
    <w:rsid w:val="001A1714"/>
    <w:rsid w:val="001A1C7D"/>
    <w:rsid w:val="001A1E1F"/>
    <w:rsid w:val="001A1FD5"/>
    <w:rsid w:val="001A25BD"/>
    <w:rsid w:val="001A2921"/>
    <w:rsid w:val="001A2B82"/>
    <w:rsid w:val="001A2FE4"/>
    <w:rsid w:val="001A3D3D"/>
    <w:rsid w:val="001A3D58"/>
    <w:rsid w:val="001A3EFE"/>
    <w:rsid w:val="001A44B2"/>
    <w:rsid w:val="001A4663"/>
    <w:rsid w:val="001A4D9E"/>
    <w:rsid w:val="001A54E9"/>
    <w:rsid w:val="001A6152"/>
    <w:rsid w:val="001A7121"/>
    <w:rsid w:val="001A726F"/>
    <w:rsid w:val="001A745A"/>
    <w:rsid w:val="001A7E9B"/>
    <w:rsid w:val="001B0CDB"/>
    <w:rsid w:val="001B0F0B"/>
    <w:rsid w:val="001B13C8"/>
    <w:rsid w:val="001B13E6"/>
    <w:rsid w:val="001B1647"/>
    <w:rsid w:val="001B2C07"/>
    <w:rsid w:val="001B3090"/>
    <w:rsid w:val="001B3100"/>
    <w:rsid w:val="001B34DB"/>
    <w:rsid w:val="001B3BA3"/>
    <w:rsid w:val="001B4168"/>
    <w:rsid w:val="001B4FE6"/>
    <w:rsid w:val="001B51D9"/>
    <w:rsid w:val="001B67C1"/>
    <w:rsid w:val="001B680B"/>
    <w:rsid w:val="001B6C3F"/>
    <w:rsid w:val="001B6D5F"/>
    <w:rsid w:val="001B750D"/>
    <w:rsid w:val="001C0032"/>
    <w:rsid w:val="001C151C"/>
    <w:rsid w:val="001C16CF"/>
    <w:rsid w:val="001C171C"/>
    <w:rsid w:val="001C18DC"/>
    <w:rsid w:val="001C1C7E"/>
    <w:rsid w:val="001C1C86"/>
    <w:rsid w:val="001C20AA"/>
    <w:rsid w:val="001C22AA"/>
    <w:rsid w:val="001C2417"/>
    <w:rsid w:val="001C2D2D"/>
    <w:rsid w:val="001C33B9"/>
    <w:rsid w:val="001C38A0"/>
    <w:rsid w:val="001C3B69"/>
    <w:rsid w:val="001C3B86"/>
    <w:rsid w:val="001C3CFC"/>
    <w:rsid w:val="001C48B6"/>
    <w:rsid w:val="001C4A59"/>
    <w:rsid w:val="001C52FA"/>
    <w:rsid w:val="001C5D7A"/>
    <w:rsid w:val="001C613B"/>
    <w:rsid w:val="001C6C78"/>
    <w:rsid w:val="001C6E23"/>
    <w:rsid w:val="001C7AD6"/>
    <w:rsid w:val="001D0E0E"/>
    <w:rsid w:val="001D15BF"/>
    <w:rsid w:val="001D1730"/>
    <w:rsid w:val="001D2891"/>
    <w:rsid w:val="001D2C72"/>
    <w:rsid w:val="001D2DE7"/>
    <w:rsid w:val="001D3394"/>
    <w:rsid w:val="001D35C0"/>
    <w:rsid w:val="001D38A0"/>
    <w:rsid w:val="001D49E7"/>
    <w:rsid w:val="001D55C3"/>
    <w:rsid w:val="001D5AC4"/>
    <w:rsid w:val="001D75C0"/>
    <w:rsid w:val="001D7900"/>
    <w:rsid w:val="001D7B64"/>
    <w:rsid w:val="001D7D08"/>
    <w:rsid w:val="001D7DD2"/>
    <w:rsid w:val="001D7EEB"/>
    <w:rsid w:val="001E06B0"/>
    <w:rsid w:val="001E0960"/>
    <w:rsid w:val="001E19D1"/>
    <w:rsid w:val="001E1FF9"/>
    <w:rsid w:val="001E2457"/>
    <w:rsid w:val="001E2AE1"/>
    <w:rsid w:val="001E2FED"/>
    <w:rsid w:val="001E413C"/>
    <w:rsid w:val="001E414C"/>
    <w:rsid w:val="001E41EB"/>
    <w:rsid w:val="001E421A"/>
    <w:rsid w:val="001E4B25"/>
    <w:rsid w:val="001E4E36"/>
    <w:rsid w:val="001E551F"/>
    <w:rsid w:val="001E5AE3"/>
    <w:rsid w:val="001F0325"/>
    <w:rsid w:val="001F04C4"/>
    <w:rsid w:val="001F04D9"/>
    <w:rsid w:val="001F0C39"/>
    <w:rsid w:val="001F0F35"/>
    <w:rsid w:val="001F1819"/>
    <w:rsid w:val="001F204C"/>
    <w:rsid w:val="001F24CF"/>
    <w:rsid w:val="001F2931"/>
    <w:rsid w:val="001F37AF"/>
    <w:rsid w:val="001F3861"/>
    <w:rsid w:val="001F3AAB"/>
    <w:rsid w:val="001F3CEF"/>
    <w:rsid w:val="001F3D0A"/>
    <w:rsid w:val="001F425F"/>
    <w:rsid w:val="001F56F6"/>
    <w:rsid w:val="001F6A4A"/>
    <w:rsid w:val="001F6A8B"/>
    <w:rsid w:val="001F6C07"/>
    <w:rsid w:val="001F75EC"/>
    <w:rsid w:val="001F795D"/>
    <w:rsid w:val="001F7CB1"/>
    <w:rsid w:val="0020044C"/>
    <w:rsid w:val="00200850"/>
    <w:rsid w:val="00200CAD"/>
    <w:rsid w:val="00201807"/>
    <w:rsid w:val="00201E22"/>
    <w:rsid w:val="002021E4"/>
    <w:rsid w:val="0020253A"/>
    <w:rsid w:val="00202C93"/>
    <w:rsid w:val="0020305C"/>
    <w:rsid w:val="002031FF"/>
    <w:rsid w:val="002039EE"/>
    <w:rsid w:val="00203F1C"/>
    <w:rsid w:val="0020430F"/>
    <w:rsid w:val="002043F4"/>
    <w:rsid w:val="0020488A"/>
    <w:rsid w:val="00204E8A"/>
    <w:rsid w:val="00205372"/>
    <w:rsid w:val="00206207"/>
    <w:rsid w:val="0020650F"/>
    <w:rsid w:val="00207440"/>
    <w:rsid w:val="00207873"/>
    <w:rsid w:val="0021082F"/>
    <w:rsid w:val="0021090E"/>
    <w:rsid w:val="00210A92"/>
    <w:rsid w:val="00211242"/>
    <w:rsid w:val="002119C4"/>
    <w:rsid w:val="002121F9"/>
    <w:rsid w:val="002123B8"/>
    <w:rsid w:val="002125DA"/>
    <w:rsid w:val="00212730"/>
    <w:rsid w:val="00212AA5"/>
    <w:rsid w:val="00212BD5"/>
    <w:rsid w:val="002131E1"/>
    <w:rsid w:val="00213B2E"/>
    <w:rsid w:val="00213B41"/>
    <w:rsid w:val="00214347"/>
    <w:rsid w:val="00214C4B"/>
    <w:rsid w:val="002155E4"/>
    <w:rsid w:val="00215DB5"/>
    <w:rsid w:val="00215DE5"/>
    <w:rsid w:val="002166EE"/>
    <w:rsid w:val="00216B87"/>
    <w:rsid w:val="00217E7D"/>
    <w:rsid w:val="00220EDA"/>
    <w:rsid w:val="00220F1B"/>
    <w:rsid w:val="002210A8"/>
    <w:rsid w:val="002217FE"/>
    <w:rsid w:val="0022195A"/>
    <w:rsid w:val="00221B47"/>
    <w:rsid w:val="00222401"/>
    <w:rsid w:val="002225D2"/>
    <w:rsid w:val="002228FA"/>
    <w:rsid w:val="00222916"/>
    <w:rsid w:val="00222DA1"/>
    <w:rsid w:val="00223A7F"/>
    <w:rsid w:val="00223DAB"/>
    <w:rsid w:val="00223EEE"/>
    <w:rsid w:val="002250FB"/>
    <w:rsid w:val="00225638"/>
    <w:rsid w:val="00225767"/>
    <w:rsid w:val="00225D83"/>
    <w:rsid w:val="0022648B"/>
    <w:rsid w:val="0022690C"/>
    <w:rsid w:val="00226DE3"/>
    <w:rsid w:val="002271DC"/>
    <w:rsid w:val="00227F1E"/>
    <w:rsid w:val="00230352"/>
    <w:rsid w:val="00232023"/>
    <w:rsid w:val="00233B71"/>
    <w:rsid w:val="00233C5A"/>
    <w:rsid w:val="00234024"/>
    <w:rsid w:val="002341F8"/>
    <w:rsid w:val="0023431D"/>
    <w:rsid w:val="0023437B"/>
    <w:rsid w:val="00235D5A"/>
    <w:rsid w:val="00236036"/>
    <w:rsid w:val="002364F7"/>
    <w:rsid w:val="00236609"/>
    <w:rsid w:val="00236B0C"/>
    <w:rsid w:val="00237646"/>
    <w:rsid w:val="002402C8"/>
    <w:rsid w:val="00240386"/>
    <w:rsid w:val="00240CD1"/>
    <w:rsid w:val="00240DFB"/>
    <w:rsid w:val="00241610"/>
    <w:rsid w:val="00241922"/>
    <w:rsid w:val="00241946"/>
    <w:rsid w:val="00243B66"/>
    <w:rsid w:val="00244068"/>
    <w:rsid w:val="002443ED"/>
    <w:rsid w:val="00244546"/>
    <w:rsid w:val="0024462F"/>
    <w:rsid w:val="00244AD6"/>
    <w:rsid w:val="00244CD5"/>
    <w:rsid w:val="002455A7"/>
    <w:rsid w:val="00245718"/>
    <w:rsid w:val="0024607C"/>
    <w:rsid w:val="00247262"/>
    <w:rsid w:val="00250420"/>
    <w:rsid w:val="00250831"/>
    <w:rsid w:val="00251256"/>
    <w:rsid w:val="002512F8"/>
    <w:rsid w:val="00251B4B"/>
    <w:rsid w:val="00251EDF"/>
    <w:rsid w:val="002524E9"/>
    <w:rsid w:val="00253120"/>
    <w:rsid w:val="00253349"/>
    <w:rsid w:val="00253EE7"/>
    <w:rsid w:val="002543A8"/>
    <w:rsid w:val="00254B2F"/>
    <w:rsid w:val="00254C12"/>
    <w:rsid w:val="00254EA3"/>
    <w:rsid w:val="002570B2"/>
    <w:rsid w:val="00257288"/>
    <w:rsid w:val="002577B3"/>
    <w:rsid w:val="00257DB0"/>
    <w:rsid w:val="002603B8"/>
    <w:rsid w:val="00260641"/>
    <w:rsid w:val="002614D6"/>
    <w:rsid w:val="00261E98"/>
    <w:rsid w:val="00262431"/>
    <w:rsid w:val="00262513"/>
    <w:rsid w:val="0026262A"/>
    <w:rsid w:val="00262B39"/>
    <w:rsid w:val="00263BFF"/>
    <w:rsid w:val="002644C0"/>
    <w:rsid w:val="002647B4"/>
    <w:rsid w:val="00264A9C"/>
    <w:rsid w:val="0026591B"/>
    <w:rsid w:val="00265E15"/>
    <w:rsid w:val="00265ED0"/>
    <w:rsid w:val="00265F01"/>
    <w:rsid w:val="002673BD"/>
    <w:rsid w:val="00267456"/>
    <w:rsid w:val="00267A1B"/>
    <w:rsid w:val="00267CAF"/>
    <w:rsid w:val="00270811"/>
    <w:rsid w:val="00270826"/>
    <w:rsid w:val="00270B32"/>
    <w:rsid w:val="0027106F"/>
    <w:rsid w:val="0027189B"/>
    <w:rsid w:val="00271920"/>
    <w:rsid w:val="00271B60"/>
    <w:rsid w:val="0027236F"/>
    <w:rsid w:val="002723B1"/>
    <w:rsid w:val="002725EC"/>
    <w:rsid w:val="0027273C"/>
    <w:rsid w:val="002728EB"/>
    <w:rsid w:val="00272ACC"/>
    <w:rsid w:val="002732A7"/>
    <w:rsid w:val="00273379"/>
    <w:rsid w:val="00273C67"/>
    <w:rsid w:val="00274927"/>
    <w:rsid w:val="002750BD"/>
    <w:rsid w:val="002751A1"/>
    <w:rsid w:val="002757D6"/>
    <w:rsid w:val="00276A61"/>
    <w:rsid w:val="00276E41"/>
    <w:rsid w:val="002772E1"/>
    <w:rsid w:val="002778D3"/>
    <w:rsid w:val="00281C9D"/>
    <w:rsid w:val="00282110"/>
    <w:rsid w:val="002822C8"/>
    <w:rsid w:val="0028248D"/>
    <w:rsid w:val="002831B5"/>
    <w:rsid w:val="002842CB"/>
    <w:rsid w:val="002847FF"/>
    <w:rsid w:val="00284DFB"/>
    <w:rsid w:val="00284F19"/>
    <w:rsid w:val="0028545A"/>
    <w:rsid w:val="00285D3E"/>
    <w:rsid w:val="00286D4C"/>
    <w:rsid w:val="0028700E"/>
    <w:rsid w:val="002870C2"/>
    <w:rsid w:val="002903CD"/>
    <w:rsid w:val="00290911"/>
    <w:rsid w:val="00290AA9"/>
    <w:rsid w:val="002910F4"/>
    <w:rsid w:val="002937F9"/>
    <w:rsid w:val="00293C63"/>
    <w:rsid w:val="00293CDC"/>
    <w:rsid w:val="00293D28"/>
    <w:rsid w:val="00294E52"/>
    <w:rsid w:val="00294ECF"/>
    <w:rsid w:val="0029514B"/>
    <w:rsid w:val="002957A9"/>
    <w:rsid w:val="002959EA"/>
    <w:rsid w:val="00295C04"/>
    <w:rsid w:val="0029627B"/>
    <w:rsid w:val="00296435"/>
    <w:rsid w:val="0029646C"/>
    <w:rsid w:val="00296B44"/>
    <w:rsid w:val="00296E69"/>
    <w:rsid w:val="00297C98"/>
    <w:rsid w:val="002A14E2"/>
    <w:rsid w:val="002A1709"/>
    <w:rsid w:val="002A1875"/>
    <w:rsid w:val="002A1966"/>
    <w:rsid w:val="002A28C8"/>
    <w:rsid w:val="002A29BC"/>
    <w:rsid w:val="002A39BD"/>
    <w:rsid w:val="002A3ADF"/>
    <w:rsid w:val="002A46CD"/>
    <w:rsid w:val="002A484E"/>
    <w:rsid w:val="002A4A0F"/>
    <w:rsid w:val="002A5407"/>
    <w:rsid w:val="002A54D1"/>
    <w:rsid w:val="002A57A4"/>
    <w:rsid w:val="002A5A86"/>
    <w:rsid w:val="002A64ED"/>
    <w:rsid w:val="002A69A7"/>
    <w:rsid w:val="002A6CE1"/>
    <w:rsid w:val="002B0C4C"/>
    <w:rsid w:val="002B0DAB"/>
    <w:rsid w:val="002B0E0B"/>
    <w:rsid w:val="002B1337"/>
    <w:rsid w:val="002B1633"/>
    <w:rsid w:val="002B2A9A"/>
    <w:rsid w:val="002B3432"/>
    <w:rsid w:val="002B4924"/>
    <w:rsid w:val="002B49ED"/>
    <w:rsid w:val="002B4F41"/>
    <w:rsid w:val="002B52D2"/>
    <w:rsid w:val="002B5C41"/>
    <w:rsid w:val="002B71BB"/>
    <w:rsid w:val="002B7525"/>
    <w:rsid w:val="002B786A"/>
    <w:rsid w:val="002B7AFB"/>
    <w:rsid w:val="002B7CE9"/>
    <w:rsid w:val="002C0290"/>
    <w:rsid w:val="002C0E89"/>
    <w:rsid w:val="002C1D2E"/>
    <w:rsid w:val="002C21B8"/>
    <w:rsid w:val="002C327B"/>
    <w:rsid w:val="002C3DA4"/>
    <w:rsid w:val="002C3DF7"/>
    <w:rsid w:val="002C42F1"/>
    <w:rsid w:val="002C4469"/>
    <w:rsid w:val="002C5078"/>
    <w:rsid w:val="002C5545"/>
    <w:rsid w:val="002C62BF"/>
    <w:rsid w:val="002C67D5"/>
    <w:rsid w:val="002C6A3E"/>
    <w:rsid w:val="002C7384"/>
    <w:rsid w:val="002C77BC"/>
    <w:rsid w:val="002C79E4"/>
    <w:rsid w:val="002C7F8D"/>
    <w:rsid w:val="002D00DF"/>
    <w:rsid w:val="002D0439"/>
    <w:rsid w:val="002D0966"/>
    <w:rsid w:val="002D0BFA"/>
    <w:rsid w:val="002D1027"/>
    <w:rsid w:val="002D11D9"/>
    <w:rsid w:val="002D214E"/>
    <w:rsid w:val="002D2855"/>
    <w:rsid w:val="002D2909"/>
    <w:rsid w:val="002D2A86"/>
    <w:rsid w:val="002D2CE4"/>
    <w:rsid w:val="002D3083"/>
    <w:rsid w:val="002D35D3"/>
    <w:rsid w:val="002D3985"/>
    <w:rsid w:val="002D50FD"/>
    <w:rsid w:val="002D5359"/>
    <w:rsid w:val="002D658C"/>
    <w:rsid w:val="002D6836"/>
    <w:rsid w:val="002D76B9"/>
    <w:rsid w:val="002D7700"/>
    <w:rsid w:val="002D7806"/>
    <w:rsid w:val="002E01BF"/>
    <w:rsid w:val="002E02FF"/>
    <w:rsid w:val="002E05B2"/>
    <w:rsid w:val="002E165D"/>
    <w:rsid w:val="002E26DF"/>
    <w:rsid w:val="002E2A49"/>
    <w:rsid w:val="002E38B5"/>
    <w:rsid w:val="002E3FCD"/>
    <w:rsid w:val="002E417E"/>
    <w:rsid w:val="002E4402"/>
    <w:rsid w:val="002E4B80"/>
    <w:rsid w:val="002E4D94"/>
    <w:rsid w:val="002E4D9B"/>
    <w:rsid w:val="002E572B"/>
    <w:rsid w:val="002E5911"/>
    <w:rsid w:val="002E5D60"/>
    <w:rsid w:val="002E5F86"/>
    <w:rsid w:val="002E63B7"/>
    <w:rsid w:val="002E6C00"/>
    <w:rsid w:val="002E70A9"/>
    <w:rsid w:val="002F013F"/>
    <w:rsid w:val="002F05DB"/>
    <w:rsid w:val="002F0C2F"/>
    <w:rsid w:val="002F11AE"/>
    <w:rsid w:val="002F149C"/>
    <w:rsid w:val="002F2CD7"/>
    <w:rsid w:val="002F38D8"/>
    <w:rsid w:val="002F39E0"/>
    <w:rsid w:val="002F4416"/>
    <w:rsid w:val="002F4892"/>
    <w:rsid w:val="002F502E"/>
    <w:rsid w:val="002F5E59"/>
    <w:rsid w:val="002F7469"/>
    <w:rsid w:val="002F7D90"/>
    <w:rsid w:val="002F7F66"/>
    <w:rsid w:val="0030045B"/>
    <w:rsid w:val="0030055E"/>
    <w:rsid w:val="0030119D"/>
    <w:rsid w:val="00301D42"/>
    <w:rsid w:val="00302034"/>
    <w:rsid w:val="0030240B"/>
    <w:rsid w:val="00302996"/>
    <w:rsid w:val="00302A1F"/>
    <w:rsid w:val="00302D1D"/>
    <w:rsid w:val="00303006"/>
    <w:rsid w:val="003038EE"/>
    <w:rsid w:val="00303A00"/>
    <w:rsid w:val="00303B94"/>
    <w:rsid w:val="00304C51"/>
    <w:rsid w:val="00304D56"/>
    <w:rsid w:val="00304F86"/>
    <w:rsid w:val="00305A4F"/>
    <w:rsid w:val="0030627F"/>
    <w:rsid w:val="003064BA"/>
    <w:rsid w:val="00306EAD"/>
    <w:rsid w:val="00307011"/>
    <w:rsid w:val="00307269"/>
    <w:rsid w:val="00307BB4"/>
    <w:rsid w:val="00307E13"/>
    <w:rsid w:val="0031056A"/>
    <w:rsid w:val="00310E2B"/>
    <w:rsid w:val="0031157C"/>
    <w:rsid w:val="00311B33"/>
    <w:rsid w:val="00312324"/>
    <w:rsid w:val="003128BA"/>
    <w:rsid w:val="00312BF2"/>
    <w:rsid w:val="00313263"/>
    <w:rsid w:val="0031343A"/>
    <w:rsid w:val="00314458"/>
    <w:rsid w:val="003149BA"/>
    <w:rsid w:val="003149BC"/>
    <w:rsid w:val="00314CD1"/>
    <w:rsid w:val="00315843"/>
    <w:rsid w:val="0031621D"/>
    <w:rsid w:val="0031720D"/>
    <w:rsid w:val="00317F29"/>
    <w:rsid w:val="00320C52"/>
    <w:rsid w:val="003229AA"/>
    <w:rsid w:val="00322F9B"/>
    <w:rsid w:val="003232B8"/>
    <w:rsid w:val="00323901"/>
    <w:rsid w:val="00323E67"/>
    <w:rsid w:val="00323F75"/>
    <w:rsid w:val="003242D2"/>
    <w:rsid w:val="003258A6"/>
    <w:rsid w:val="00325C10"/>
    <w:rsid w:val="00325CE9"/>
    <w:rsid w:val="003269CD"/>
    <w:rsid w:val="00326E87"/>
    <w:rsid w:val="003278B3"/>
    <w:rsid w:val="00327AAB"/>
    <w:rsid w:val="00330683"/>
    <w:rsid w:val="00330CB4"/>
    <w:rsid w:val="00330F66"/>
    <w:rsid w:val="0033106A"/>
    <w:rsid w:val="00332345"/>
    <w:rsid w:val="003328BD"/>
    <w:rsid w:val="00332CA2"/>
    <w:rsid w:val="003332AF"/>
    <w:rsid w:val="0033378A"/>
    <w:rsid w:val="00333897"/>
    <w:rsid w:val="00333B75"/>
    <w:rsid w:val="0033471E"/>
    <w:rsid w:val="00335F22"/>
    <w:rsid w:val="00336220"/>
    <w:rsid w:val="00336768"/>
    <w:rsid w:val="0033686F"/>
    <w:rsid w:val="00336D8A"/>
    <w:rsid w:val="00336E26"/>
    <w:rsid w:val="00337BF0"/>
    <w:rsid w:val="00340399"/>
    <w:rsid w:val="00340D44"/>
    <w:rsid w:val="003412DC"/>
    <w:rsid w:val="00343A1B"/>
    <w:rsid w:val="00343EA6"/>
    <w:rsid w:val="003441D3"/>
    <w:rsid w:val="003450BD"/>
    <w:rsid w:val="00347380"/>
    <w:rsid w:val="0034796D"/>
    <w:rsid w:val="00347ABE"/>
    <w:rsid w:val="00347C27"/>
    <w:rsid w:val="0035033D"/>
    <w:rsid w:val="00350965"/>
    <w:rsid w:val="003515AA"/>
    <w:rsid w:val="00351600"/>
    <w:rsid w:val="00351E2C"/>
    <w:rsid w:val="003526D3"/>
    <w:rsid w:val="00353214"/>
    <w:rsid w:val="003539C6"/>
    <w:rsid w:val="00353AB6"/>
    <w:rsid w:val="00354ED4"/>
    <w:rsid w:val="00354F1B"/>
    <w:rsid w:val="00355C39"/>
    <w:rsid w:val="00355C92"/>
    <w:rsid w:val="003567D5"/>
    <w:rsid w:val="003570F6"/>
    <w:rsid w:val="00357307"/>
    <w:rsid w:val="00357346"/>
    <w:rsid w:val="0035745D"/>
    <w:rsid w:val="00357691"/>
    <w:rsid w:val="003577EC"/>
    <w:rsid w:val="003603BA"/>
    <w:rsid w:val="00361424"/>
    <w:rsid w:val="00361427"/>
    <w:rsid w:val="00362AF9"/>
    <w:rsid w:val="0036301A"/>
    <w:rsid w:val="00363033"/>
    <w:rsid w:val="00363435"/>
    <w:rsid w:val="00363C3E"/>
    <w:rsid w:val="00363CD8"/>
    <w:rsid w:val="00363DA6"/>
    <w:rsid w:val="00363E16"/>
    <w:rsid w:val="00364530"/>
    <w:rsid w:val="0036457D"/>
    <w:rsid w:val="003645DE"/>
    <w:rsid w:val="0036497C"/>
    <w:rsid w:val="00364A55"/>
    <w:rsid w:val="00364DB8"/>
    <w:rsid w:val="00365485"/>
    <w:rsid w:val="00365707"/>
    <w:rsid w:val="00365773"/>
    <w:rsid w:val="00366209"/>
    <w:rsid w:val="00366B01"/>
    <w:rsid w:val="00366B32"/>
    <w:rsid w:val="003670E3"/>
    <w:rsid w:val="003673FA"/>
    <w:rsid w:val="00367E92"/>
    <w:rsid w:val="00367EAD"/>
    <w:rsid w:val="00370A01"/>
    <w:rsid w:val="00370DA1"/>
    <w:rsid w:val="00370E1F"/>
    <w:rsid w:val="00371754"/>
    <w:rsid w:val="003717DE"/>
    <w:rsid w:val="003721D5"/>
    <w:rsid w:val="003721F5"/>
    <w:rsid w:val="003722D5"/>
    <w:rsid w:val="00372318"/>
    <w:rsid w:val="003724B0"/>
    <w:rsid w:val="00372934"/>
    <w:rsid w:val="0037314F"/>
    <w:rsid w:val="00373353"/>
    <w:rsid w:val="00374022"/>
    <w:rsid w:val="00374182"/>
    <w:rsid w:val="00374DBE"/>
    <w:rsid w:val="00375A06"/>
    <w:rsid w:val="00375A77"/>
    <w:rsid w:val="00375E0F"/>
    <w:rsid w:val="00376910"/>
    <w:rsid w:val="003769A3"/>
    <w:rsid w:val="00376AE2"/>
    <w:rsid w:val="00376DCB"/>
    <w:rsid w:val="00377858"/>
    <w:rsid w:val="00377B8E"/>
    <w:rsid w:val="00377C91"/>
    <w:rsid w:val="00377E12"/>
    <w:rsid w:val="00381772"/>
    <w:rsid w:val="00381B3B"/>
    <w:rsid w:val="003820FA"/>
    <w:rsid w:val="0038295A"/>
    <w:rsid w:val="00383565"/>
    <w:rsid w:val="003838E5"/>
    <w:rsid w:val="00383CD7"/>
    <w:rsid w:val="00385C2F"/>
    <w:rsid w:val="00385DC9"/>
    <w:rsid w:val="00385DF8"/>
    <w:rsid w:val="0038622A"/>
    <w:rsid w:val="003868A5"/>
    <w:rsid w:val="00386C53"/>
    <w:rsid w:val="0038715C"/>
    <w:rsid w:val="003871D3"/>
    <w:rsid w:val="003874EB"/>
    <w:rsid w:val="00387B82"/>
    <w:rsid w:val="00387E79"/>
    <w:rsid w:val="003903C8"/>
    <w:rsid w:val="003905AE"/>
    <w:rsid w:val="00390657"/>
    <w:rsid w:val="00390E65"/>
    <w:rsid w:val="003913C6"/>
    <w:rsid w:val="003918BE"/>
    <w:rsid w:val="00391922"/>
    <w:rsid w:val="00391A02"/>
    <w:rsid w:val="00391C42"/>
    <w:rsid w:val="0039200D"/>
    <w:rsid w:val="00393798"/>
    <w:rsid w:val="00393A96"/>
    <w:rsid w:val="00393B6E"/>
    <w:rsid w:val="00393CF8"/>
    <w:rsid w:val="003946AA"/>
    <w:rsid w:val="00395FAC"/>
    <w:rsid w:val="00396325"/>
    <w:rsid w:val="003966D2"/>
    <w:rsid w:val="00396732"/>
    <w:rsid w:val="00396ED3"/>
    <w:rsid w:val="00397349"/>
    <w:rsid w:val="003A0BE5"/>
    <w:rsid w:val="003A0C0D"/>
    <w:rsid w:val="003A0C38"/>
    <w:rsid w:val="003A1D5E"/>
    <w:rsid w:val="003A2241"/>
    <w:rsid w:val="003A271A"/>
    <w:rsid w:val="003A2A86"/>
    <w:rsid w:val="003A2C65"/>
    <w:rsid w:val="003A3291"/>
    <w:rsid w:val="003A358A"/>
    <w:rsid w:val="003A38CB"/>
    <w:rsid w:val="003A3951"/>
    <w:rsid w:val="003A3999"/>
    <w:rsid w:val="003A4075"/>
    <w:rsid w:val="003A44F4"/>
    <w:rsid w:val="003A4632"/>
    <w:rsid w:val="003A4C15"/>
    <w:rsid w:val="003A5AF1"/>
    <w:rsid w:val="003A5B78"/>
    <w:rsid w:val="003A5CD2"/>
    <w:rsid w:val="003A79E2"/>
    <w:rsid w:val="003A7C97"/>
    <w:rsid w:val="003B1058"/>
    <w:rsid w:val="003B1B6D"/>
    <w:rsid w:val="003B219F"/>
    <w:rsid w:val="003B2E61"/>
    <w:rsid w:val="003B3096"/>
    <w:rsid w:val="003B375B"/>
    <w:rsid w:val="003B3802"/>
    <w:rsid w:val="003B4150"/>
    <w:rsid w:val="003B4560"/>
    <w:rsid w:val="003B55ED"/>
    <w:rsid w:val="003B5B7C"/>
    <w:rsid w:val="003B6690"/>
    <w:rsid w:val="003B7450"/>
    <w:rsid w:val="003B75A7"/>
    <w:rsid w:val="003C0491"/>
    <w:rsid w:val="003C0F9A"/>
    <w:rsid w:val="003C1016"/>
    <w:rsid w:val="003C1C0F"/>
    <w:rsid w:val="003C1F43"/>
    <w:rsid w:val="003C2D01"/>
    <w:rsid w:val="003C3D66"/>
    <w:rsid w:val="003C41F2"/>
    <w:rsid w:val="003C4234"/>
    <w:rsid w:val="003C56A1"/>
    <w:rsid w:val="003C5E3F"/>
    <w:rsid w:val="003C60F4"/>
    <w:rsid w:val="003C61D4"/>
    <w:rsid w:val="003C6D45"/>
    <w:rsid w:val="003C700C"/>
    <w:rsid w:val="003C75E2"/>
    <w:rsid w:val="003D08AD"/>
    <w:rsid w:val="003D0A16"/>
    <w:rsid w:val="003D187E"/>
    <w:rsid w:val="003D1F25"/>
    <w:rsid w:val="003D20DD"/>
    <w:rsid w:val="003D3457"/>
    <w:rsid w:val="003D365F"/>
    <w:rsid w:val="003D4317"/>
    <w:rsid w:val="003D49F2"/>
    <w:rsid w:val="003D5228"/>
    <w:rsid w:val="003D58E1"/>
    <w:rsid w:val="003D5B35"/>
    <w:rsid w:val="003D638F"/>
    <w:rsid w:val="003D6947"/>
    <w:rsid w:val="003D7224"/>
    <w:rsid w:val="003D7866"/>
    <w:rsid w:val="003D79A2"/>
    <w:rsid w:val="003D7C88"/>
    <w:rsid w:val="003D7D4D"/>
    <w:rsid w:val="003E0478"/>
    <w:rsid w:val="003E07E0"/>
    <w:rsid w:val="003E12B2"/>
    <w:rsid w:val="003E1311"/>
    <w:rsid w:val="003E1418"/>
    <w:rsid w:val="003E177A"/>
    <w:rsid w:val="003E1F97"/>
    <w:rsid w:val="003E26FD"/>
    <w:rsid w:val="003E34B7"/>
    <w:rsid w:val="003E37B7"/>
    <w:rsid w:val="003E4E09"/>
    <w:rsid w:val="003E5662"/>
    <w:rsid w:val="003E572C"/>
    <w:rsid w:val="003E5845"/>
    <w:rsid w:val="003E5C3C"/>
    <w:rsid w:val="003E6136"/>
    <w:rsid w:val="003E64C5"/>
    <w:rsid w:val="003E7C27"/>
    <w:rsid w:val="003F0783"/>
    <w:rsid w:val="003F18D4"/>
    <w:rsid w:val="003F1A97"/>
    <w:rsid w:val="003F1AF9"/>
    <w:rsid w:val="003F20E6"/>
    <w:rsid w:val="003F2575"/>
    <w:rsid w:val="003F2949"/>
    <w:rsid w:val="003F422B"/>
    <w:rsid w:val="003F4B05"/>
    <w:rsid w:val="003F4D67"/>
    <w:rsid w:val="003F5806"/>
    <w:rsid w:val="003F5DFC"/>
    <w:rsid w:val="003F710E"/>
    <w:rsid w:val="003F72D2"/>
    <w:rsid w:val="00401077"/>
    <w:rsid w:val="004012C0"/>
    <w:rsid w:val="00401561"/>
    <w:rsid w:val="0040198A"/>
    <w:rsid w:val="00401FA9"/>
    <w:rsid w:val="0040229F"/>
    <w:rsid w:val="004028B9"/>
    <w:rsid w:val="00402E52"/>
    <w:rsid w:val="0040330F"/>
    <w:rsid w:val="00403373"/>
    <w:rsid w:val="00403981"/>
    <w:rsid w:val="00403AE4"/>
    <w:rsid w:val="00403F57"/>
    <w:rsid w:val="00403FDE"/>
    <w:rsid w:val="004041DF"/>
    <w:rsid w:val="00404514"/>
    <w:rsid w:val="00404D9C"/>
    <w:rsid w:val="0040581C"/>
    <w:rsid w:val="00405D85"/>
    <w:rsid w:val="00405F64"/>
    <w:rsid w:val="004062C3"/>
    <w:rsid w:val="00406A94"/>
    <w:rsid w:val="00406D50"/>
    <w:rsid w:val="00406F9A"/>
    <w:rsid w:val="004070A9"/>
    <w:rsid w:val="004073F1"/>
    <w:rsid w:val="004101ED"/>
    <w:rsid w:val="004108CB"/>
    <w:rsid w:val="00410DD1"/>
    <w:rsid w:val="004110C1"/>
    <w:rsid w:val="00411455"/>
    <w:rsid w:val="0041175B"/>
    <w:rsid w:val="004120B2"/>
    <w:rsid w:val="004125B5"/>
    <w:rsid w:val="00412615"/>
    <w:rsid w:val="00413040"/>
    <w:rsid w:val="00414260"/>
    <w:rsid w:val="0041447A"/>
    <w:rsid w:val="00414629"/>
    <w:rsid w:val="0041477E"/>
    <w:rsid w:val="00416A06"/>
    <w:rsid w:val="0041788C"/>
    <w:rsid w:val="00417B74"/>
    <w:rsid w:val="00417F35"/>
    <w:rsid w:val="004203D2"/>
    <w:rsid w:val="0042066B"/>
    <w:rsid w:val="004207D7"/>
    <w:rsid w:val="00420E93"/>
    <w:rsid w:val="00421A4A"/>
    <w:rsid w:val="00422178"/>
    <w:rsid w:val="00422F14"/>
    <w:rsid w:val="00422FBA"/>
    <w:rsid w:val="0042300F"/>
    <w:rsid w:val="00423095"/>
    <w:rsid w:val="004240F4"/>
    <w:rsid w:val="00424431"/>
    <w:rsid w:val="0042492B"/>
    <w:rsid w:val="0042494D"/>
    <w:rsid w:val="0042496B"/>
    <w:rsid w:val="004254E1"/>
    <w:rsid w:val="00425581"/>
    <w:rsid w:val="00425704"/>
    <w:rsid w:val="0042722E"/>
    <w:rsid w:val="00427249"/>
    <w:rsid w:val="0043092E"/>
    <w:rsid w:val="00430E86"/>
    <w:rsid w:val="0043109C"/>
    <w:rsid w:val="004313DD"/>
    <w:rsid w:val="0043168C"/>
    <w:rsid w:val="0043169F"/>
    <w:rsid w:val="00432201"/>
    <w:rsid w:val="00432A56"/>
    <w:rsid w:val="0043312A"/>
    <w:rsid w:val="0043357B"/>
    <w:rsid w:val="004336AA"/>
    <w:rsid w:val="00433755"/>
    <w:rsid w:val="00434F41"/>
    <w:rsid w:val="00434F9E"/>
    <w:rsid w:val="00436156"/>
    <w:rsid w:val="00436325"/>
    <w:rsid w:val="0043642B"/>
    <w:rsid w:val="00436B09"/>
    <w:rsid w:val="00436F4B"/>
    <w:rsid w:val="0043799A"/>
    <w:rsid w:val="0044092A"/>
    <w:rsid w:val="00440DE0"/>
    <w:rsid w:val="0044123C"/>
    <w:rsid w:val="00441257"/>
    <w:rsid w:val="0044156B"/>
    <w:rsid w:val="00441D11"/>
    <w:rsid w:val="004420B5"/>
    <w:rsid w:val="00442444"/>
    <w:rsid w:val="00442BFF"/>
    <w:rsid w:val="0044309B"/>
    <w:rsid w:val="00443835"/>
    <w:rsid w:val="00444F01"/>
    <w:rsid w:val="00444FF1"/>
    <w:rsid w:val="004454CF"/>
    <w:rsid w:val="004458F8"/>
    <w:rsid w:val="00445CA2"/>
    <w:rsid w:val="00447130"/>
    <w:rsid w:val="00447184"/>
    <w:rsid w:val="00447209"/>
    <w:rsid w:val="0044728E"/>
    <w:rsid w:val="0044758A"/>
    <w:rsid w:val="00447737"/>
    <w:rsid w:val="0044783C"/>
    <w:rsid w:val="00447BA5"/>
    <w:rsid w:val="00447FB3"/>
    <w:rsid w:val="00447FF1"/>
    <w:rsid w:val="0045063A"/>
    <w:rsid w:val="004510DD"/>
    <w:rsid w:val="00451C64"/>
    <w:rsid w:val="00452A0A"/>
    <w:rsid w:val="00452F59"/>
    <w:rsid w:val="004538B7"/>
    <w:rsid w:val="00453B0E"/>
    <w:rsid w:val="00454AD1"/>
    <w:rsid w:val="00454D0B"/>
    <w:rsid w:val="00455D79"/>
    <w:rsid w:val="0045630F"/>
    <w:rsid w:val="00456454"/>
    <w:rsid w:val="0045674D"/>
    <w:rsid w:val="004569DC"/>
    <w:rsid w:val="004573B1"/>
    <w:rsid w:val="00460633"/>
    <w:rsid w:val="004609C1"/>
    <w:rsid w:val="004623A5"/>
    <w:rsid w:val="0046315C"/>
    <w:rsid w:val="004633F1"/>
    <w:rsid w:val="00463833"/>
    <w:rsid w:val="00463A3C"/>
    <w:rsid w:val="00465007"/>
    <w:rsid w:val="004662CC"/>
    <w:rsid w:val="004666FD"/>
    <w:rsid w:val="00466B77"/>
    <w:rsid w:val="00467C4B"/>
    <w:rsid w:val="004705BC"/>
    <w:rsid w:val="00471121"/>
    <w:rsid w:val="00471344"/>
    <w:rsid w:val="00472090"/>
    <w:rsid w:val="004720DE"/>
    <w:rsid w:val="0047221D"/>
    <w:rsid w:val="00472C5C"/>
    <w:rsid w:val="00472EFE"/>
    <w:rsid w:val="00473D01"/>
    <w:rsid w:val="004742DF"/>
    <w:rsid w:val="00474E83"/>
    <w:rsid w:val="004757C2"/>
    <w:rsid w:val="004768EC"/>
    <w:rsid w:val="00476CE5"/>
    <w:rsid w:val="00477B83"/>
    <w:rsid w:val="004804F9"/>
    <w:rsid w:val="0048059C"/>
    <w:rsid w:val="00480BB9"/>
    <w:rsid w:val="00480C90"/>
    <w:rsid w:val="004825F7"/>
    <w:rsid w:val="00482B0A"/>
    <w:rsid w:val="00482D9F"/>
    <w:rsid w:val="00482F07"/>
    <w:rsid w:val="00486673"/>
    <w:rsid w:val="00487A4B"/>
    <w:rsid w:val="00487C48"/>
    <w:rsid w:val="004905C0"/>
    <w:rsid w:val="00490DBE"/>
    <w:rsid w:val="004911FC"/>
    <w:rsid w:val="004917DD"/>
    <w:rsid w:val="0049262F"/>
    <w:rsid w:val="004927A7"/>
    <w:rsid w:val="00492A42"/>
    <w:rsid w:val="00492AF6"/>
    <w:rsid w:val="00492FDC"/>
    <w:rsid w:val="00493D0D"/>
    <w:rsid w:val="00495040"/>
    <w:rsid w:val="00495EBA"/>
    <w:rsid w:val="00495FD3"/>
    <w:rsid w:val="004974BE"/>
    <w:rsid w:val="00497C01"/>
    <w:rsid w:val="00497DA1"/>
    <w:rsid w:val="004A0241"/>
    <w:rsid w:val="004A0931"/>
    <w:rsid w:val="004A0D96"/>
    <w:rsid w:val="004A0FCE"/>
    <w:rsid w:val="004A11B7"/>
    <w:rsid w:val="004A120E"/>
    <w:rsid w:val="004A1D43"/>
    <w:rsid w:val="004A2EBD"/>
    <w:rsid w:val="004A2EC6"/>
    <w:rsid w:val="004A46AA"/>
    <w:rsid w:val="004A51A0"/>
    <w:rsid w:val="004A6CEA"/>
    <w:rsid w:val="004A7524"/>
    <w:rsid w:val="004A7B84"/>
    <w:rsid w:val="004B088C"/>
    <w:rsid w:val="004B098A"/>
    <w:rsid w:val="004B0996"/>
    <w:rsid w:val="004B09AE"/>
    <w:rsid w:val="004B0F7D"/>
    <w:rsid w:val="004B10FE"/>
    <w:rsid w:val="004B1326"/>
    <w:rsid w:val="004B14A0"/>
    <w:rsid w:val="004B1C48"/>
    <w:rsid w:val="004B1E60"/>
    <w:rsid w:val="004B2177"/>
    <w:rsid w:val="004B2600"/>
    <w:rsid w:val="004B26A4"/>
    <w:rsid w:val="004B29C7"/>
    <w:rsid w:val="004B3187"/>
    <w:rsid w:val="004B3683"/>
    <w:rsid w:val="004B3AAC"/>
    <w:rsid w:val="004B3DA1"/>
    <w:rsid w:val="004B4784"/>
    <w:rsid w:val="004B4AB7"/>
    <w:rsid w:val="004B530B"/>
    <w:rsid w:val="004B5336"/>
    <w:rsid w:val="004B5597"/>
    <w:rsid w:val="004B56E4"/>
    <w:rsid w:val="004B59F0"/>
    <w:rsid w:val="004B6952"/>
    <w:rsid w:val="004B717C"/>
    <w:rsid w:val="004B732E"/>
    <w:rsid w:val="004B77EE"/>
    <w:rsid w:val="004B781C"/>
    <w:rsid w:val="004B7B99"/>
    <w:rsid w:val="004B7E99"/>
    <w:rsid w:val="004C0190"/>
    <w:rsid w:val="004C0C01"/>
    <w:rsid w:val="004C0EF8"/>
    <w:rsid w:val="004C0FF5"/>
    <w:rsid w:val="004C1874"/>
    <w:rsid w:val="004C2955"/>
    <w:rsid w:val="004C2E10"/>
    <w:rsid w:val="004C2E52"/>
    <w:rsid w:val="004C3A75"/>
    <w:rsid w:val="004C3AF3"/>
    <w:rsid w:val="004C3B57"/>
    <w:rsid w:val="004C45B8"/>
    <w:rsid w:val="004C4778"/>
    <w:rsid w:val="004C48A5"/>
    <w:rsid w:val="004C4F20"/>
    <w:rsid w:val="004C58D9"/>
    <w:rsid w:val="004C5969"/>
    <w:rsid w:val="004C6D83"/>
    <w:rsid w:val="004C7C2A"/>
    <w:rsid w:val="004C7C5A"/>
    <w:rsid w:val="004D0BC5"/>
    <w:rsid w:val="004D23BA"/>
    <w:rsid w:val="004D25B2"/>
    <w:rsid w:val="004D26B4"/>
    <w:rsid w:val="004D2872"/>
    <w:rsid w:val="004D2A52"/>
    <w:rsid w:val="004D2CCB"/>
    <w:rsid w:val="004D3317"/>
    <w:rsid w:val="004D33E3"/>
    <w:rsid w:val="004D361A"/>
    <w:rsid w:val="004D3B4A"/>
    <w:rsid w:val="004D45F0"/>
    <w:rsid w:val="004D460F"/>
    <w:rsid w:val="004D54FE"/>
    <w:rsid w:val="004D6829"/>
    <w:rsid w:val="004D7309"/>
    <w:rsid w:val="004E01BE"/>
    <w:rsid w:val="004E07D8"/>
    <w:rsid w:val="004E09B8"/>
    <w:rsid w:val="004E0E5A"/>
    <w:rsid w:val="004E11AD"/>
    <w:rsid w:val="004E12CA"/>
    <w:rsid w:val="004E12E2"/>
    <w:rsid w:val="004E13A2"/>
    <w:rsid w:val="004E1500"/>
    <w:rsid w:val="004E1679"/>
    <w:rsid w:val="004E24D5"/>
    <w:rsid w:val="004E2805"/>
    <w:rsid w:val="004E2C00"/>
    <w:rsid w:val="004E2F17"/>
    <w:rsid w:val="004E3375"/>
    <w:rsid w:val="004E3516"/>
    <w:rsid w:val="004E6533"/>
    <w:rsid w:val="004E6672"/>
    <w:rsid w:val="004E70BA"/>
    <w:rsid w:val="004E7529"/>
    <w:rsid w:val="004E758C"/>
    <w:rsid w:val="004F0A32"/>
    <w:rsid w:val="004F0C8A"/>
    <w:rsid w:val="004F0E36"/>
    <w:rsid w:val="004F26D2"/>
    <w:rsid w:val="004F27C8"/>
    <w:rsid w:val="004F2B27"/>
    <w:rsid w:val="004F38AD"/>
    <w:rsid w:val="004F5429"/>
    <w:rsid w:val="004F586F"/>
    <w:rsid w:val="004F5CF4"/>
    <w:rsid w:val="004F69CB"/>
    <w:rsid w:val="004F6F63"/>
    <w:rsid w:val="004F7092"/>
    <w:rsid w:val="004F77AA"/>
    <w:rsid w:val="005000BF"/>
    <w:rsid w:val="00501C3B"/>
    <w:rsid w:val="00501D32"/>
    <w:rsid w:val="00501F95"/>
    <w:rsid w:val="00501FFC"/>
    <w:rsid w:val="00502DF3"/>
    <w:rsid w:val="00503193"/>
    <w:rsid w:val="005038B6"/>
    <w:rsid w:val="00503F57"/>
    <w:rsid w:val="0050402E"/>
    <w:rsid w:val="005043BF"/>
    <w:rsid w:val="00505373"/>
    <w:rsid w:val="00505FE8"/>
    <w:rsid w:val="00506659"/>
    <w:rsid w:val="005069EE"/>
    <w:rsid w:val="00507386"/>
    <w:rsid w:val="00507C08"/>
    <w:rsid w:val="00510268"/>
    <w:rsid w:val="00510BC3"/>
    <w:rsid w:val="0051140B"/>
    <w:rsid w:val="0051193C"/>
    <w:rsid w:val="005122A4"/>
    <w:rsid w:val="00512C3B"/>
    <w:rsid w:val="0051370B"/>
    <w:rsid w:val="005140B0"/>
    <w:rsid w:val="005144A4"/>
    <w:rsid w:val="00514BE9"/>
    <w:rsid w:val="00514BFA"/>
    <w:rsid w:val="0051543A"/>
    <w:rsid w:val="00515752"/>
    <w:rsid w:val="0051578E"/>
    <w:rsid w:val="00515A1E"/>
    <w:rsid w:val="00515B39"/>
    <w:rsid w:val="005164B3"/>
    <w:rsid w:val="00516893"/>
    <w:rsid w:val="00516F53"/>
    <w:rsid w:val="00517023"/>
    <w:rsid w:val="005173A8"/>
    <w:rsid w:val="00517B3B"/>
    <w:rsid w:val="00517E9B"/>
    <w:rsid w:val="00521274"/>
    <w:rsid w:val="0052196C"/>
    <w:rsid w:val="00521B96"/>
    <w:rsid w:val="00522FC0"/>
    <w:rsid w:val="005230D1"/>
    <w:rsid w:val="005230EA"/>
    <w:rsid w:val="00523A00"/>
    <w:rsid w:val="00524B2F"/>
    <w:rsid w:val="00524B51"/>
    <w:rsid w:val="00524BE1"/>
    <w:rsid w:val="00524C2B"/>
    <w:rsid w:val="00524DE0"/>
    <w:rsid w:val="00524E49"/>
    <w:rsid w:val="0052552F"/>
    <w:rsid w:val="00525B43"/>
    <w:rsid w:val="0052625C"/>
    <w:rsid w:val="00526920"/>
    <w:rsid w:val="00526DFA"/>
    <w:rsid w:val="00526F59"/>
    <w:rsid w:val="00526F93"/>
    <w:rsid w:val="0052732A"/>
    <w:rsid w:val="00527B0D"/>
    <w:rsid w:val="0053081E"/>
    <w:rsid w:val="005329AB"/>
    <w:rsid w:val="00533347"/>
    <w:rsid w:val="00533462"/>
    <w:rsid w:val="005335F6"/>
    <w:rsid w:val="00533A37"/>
    <w:rsid w:val="00534643"/>
    <w:rsid w:val="0053544F"/>
    <w:rsid w:val="00535BFA"/>
    <w:rsid w:val="00535E1D"/>
    <w:rsid w:val="005373D4"/>
    <w:rsid w:val="0053745F"/>
    <w:rsid w:val="00537A39"/>
    <w:rsid w:val="0054002B"/>
    <w:rsid w:val="005400B6"/>
    <w:rsid w:val="0054021D"/>
    <w:rsid w:val="005403AF"/>
    <w:rsid w:val="00540692"/>
    <w:rsid w:val="00540CDB"/>
    <w:rsid w:val="00540E41"/>
    <w:rsid w:val="005417F1"/>
    <w:rsid w:val="005424E8"/>
    <w:rsid w:val="00542543"/>
    <w:rsid w:val="00542B68"/>
    <w:rsid w:val="00542DF3"/>
    <w:rsid w:val="005430FE"/>
    <w:rsid w:val="00543ABD"/>
    <w:rsid w:val="00543AF6"/>
    <w:rsid w:val="00543C02"/>
    <w:rsid w:val="00543CD4"/>
    <w:rsid w:val="00543EE1"/>
    <w:rsid w:val="00544A4E"/>
    <w:rsid w:val="00544A98"/>
    <w:rsid w:val="005466C7"/>
    <w:rsid w:val="005467CC"/>
    <w:rsid w:val="00546AD5"/>
    <w:rsid w:val="0054700E"/>
    <w:rsid w:val="005473F4"/>
    <w:rsid w:val="00547CA2"/>
    <w:rsid w:val="005502DD"/>
    <w:rsid w:val="0055036A"/>
    <w:rsid w:val="0055058D"/>
    <w:rsid w:val="0055208F"/>
    <w:rsid w:val="00552745"/>
    <w:rsid w:val="00553662"/>
    <w:rsid w:val="00553BBD"/>
    <w:rsid w:val="00553CCE"/>
    <w:rsid w:val="005547EB"/>
    <w:rsid w:val="005548F9"/>
    <w:rsid w:val="00555098"/>
    <w:rsid w:val="00556C80"/>
    <w:rsid w:val="00557B11"/>
    <w:rsid w:val="00557D02"/>
    <w:rsid w:val="00557EE1"/>
    <w:rsid w:val="005608BF"/>
    <w:rsid w:val="00560D28"/>
    <w:rsid w:val="00561296"/>
    <w:rsid w:val="005613B4"/>
    <w:rsid w:val="00561460"/>
    <w:rsid w:val="00563161"/>
    <w:rsid w:val="00563E67"/>
    <w:rsid w:val="00564001"/>
    <w:rsid w:val="00564233"/>
    <w:rsid w:val="005645E8"/>
    <w:rsid w:val="0056495E"/>
    <w:rsid w:val="00564B5A"/>
    <w:rsid w:val="00565402"/>
    <w:rsid w:val="0056559C"/>
    <w:rsid w:val="00565D83"/>
    <w:rsid w:val="00565F00"/>
    <w:rsid w:val="005664B2"/>
    <w:rsid w:val="005665B2"/>
    <w:rsid w:val="00566F6A"/>
    <w:rsid w:val="00570975"/>
    <w:rsid w:val="00570E22"/>
    <w:rsid w:val="00571C00"/>
    <w:rsid w:val="00571C73"/>
    <w:rsid w:val="00571FCD"/>
    <w:rsid w:val="00572032"/>
    <w:rsid w:val="00572141"/>
    <w:rsid w:val="005725BA"/>
    <w:rsid w:val="005727CD"/>
    <w:rsid w:val="005729BD"/>
    <w:rsid w:val="005732A7"/>
    <w:rsid w:val="00573628"/>
    <w:rsid w:val="00573951"/>
    <w:rsid w:val="00573D71"/>
    <w:rsid w:val="00574108"/>
    <w:rsid w:val="00574643"/>
    <w:rsid w:val="00574A09"/>
    <w:rsid w:val="00574CAE"/>
    <w:rsid w:val="00574FFE"/>
    <w:rsid w:val="005771FD"/>
    <w:rsid w:val="00577475"/>
    <w:rsid w:val="0057799A"/>
    <w:rsid w:val="00580E49"/>
    <w:rsid w:val="00581365"/>
    <w:rsid w:val="0058154A"/>
    <w:rsid w:val="005818B9"/>
    <w:rsid w:val="00583537"/>
    <w:rsid w:val="005845AB"/>
    <w:rsid w:val="00584A71"/>
    <w:rsid w:val="00584BB2"/>
    <w:rsid w:val="005853C6"/>
    <w:rsid w:val="005858CA"/>
    <w:rsid w:val="00585B69"/>
    <w:rsid w:val="0058674A"/>
    <w:rsid w:val="005867F2"/>
    <w:rsid w:val="005870C9"/>
    <w:rsid w:val="00587503"/>
    <w:rsid w:val="00587564"/>
    <w:rsid w:val="00587586"/>
    <w:rsid w:val="00587877"/>
    <w:rsid w:val="00587C2B"/>
    <w:rsid w:val="00590212"/>
    <w:rsid w:val="0059076B"/>
    <w:rsid w:val="00590B66"/>
    <w:rsid w:val="00590C47"/>
    <w:rsid w:val="00591024"/>
    <w:rsid w:val="00591422"/>
    <w:rsid w:val="005914FF"/>
    <w:rsid w:val="00591926"/>
    <w:rsid w:val="00591F2F"/>
    <w:rsid w:val="00592152"/>
    <w:rsid w:val="0059230C"/>
    <w:rsid w:val="00592B25"/>
    <w:rsid w:val="00592B60"/>
    <w:rsid w:val="0059329E"/>
    <w:rsid w:val="00593505"/>
    <w:rsid w:val="00594D51"/>
    <w:rsid w:val="00594F35"/>
    <w:rsid w:val="00594F6A"/>
    <w:rsid w:val="0059546B"/>
    <w:rsid w:val="00595AD5"/>
    <w:rsid w:val="00596139"/>
    <w:rsid w:val="0059620A"/>
    <w:rsid w:val="00596794"/>
    <w:rsid w:val="00596A0B"/>
    <w:rsid w:val="00596B78"/>
    <w:rsid w:val="00597882"/>
    <w:rsid w:val="00597D59"/>
    <w:rsid w:val="005A04A5"/>
    <w:rsid w:val="005A07BC"/>
    <w:rsid w:val="005A0D0F"/>
    <w:rsid w:val="005A0E75"/>
    <w:rsid w:val="005A0F53"/>
    <w:rsid w:val="005A14C8"/>
    <w:rsid w:val="005A1C12"/>
    <w:rsid w:val="005A1D2D"/>
    <w:rsid w:val="005A207C"/>
    <w:rsid w:val="005A292D"/>
    <w:rsid w:val="005A29CD"/>
    <w:rsid w:val="005A2A56"/>
    <w:rsid w:val="005A2F39"/>
    <w:rsid w:val="005A2F5B"/>
    <w:rsid w:val="005A2F74"/>
    <w:rsid w:val="005A365A"/>
    <w:rsid w:val="005A388A"/>
    <w:rsid w:val="005A477C"/>
    <w:rsid w:val="005A5E49"/>
    <w:rsid w:val="005A5F77"/>
    <w:rsid w:val="005A771E"/>
    <w:rsid w:val="005B073A"/>
    <w:rsid w:val="005B0F91"/>
    <w:rsid w:val="005B1058"/>
    <w:rsid w:val="005B188A"/>
    <w:rsid w:val="005B190F"/>
    <w:rsid w:val="005B19A9"/>
    <w:rsid w:val="005B20D9"/>
    <w:rsid w:val="005B23FD"/>
    <w:rsid w:val="005B258E"/>
    <w:rsid w:val="005B2816"/>
    <w:rsid w:val="005B3621"/>
    <w:rsid w:val="005B42A5"/>
    <w:rsid w:val="005B43A0"/>
    <w:rsid w:val="005B4637"/>
    <w:rsid w:val="005B4E87"/>
    <w:rsid w:val="005B4FE3"/>
    <w:rsid w:val="005B5542"/>
    <w:rsid w:val="005B5622"/>
    <w:rsid w:val="005B58A6"/>
    <w:rsid w:val="005B62E1"/>
    <w:rsid w:val="005B6A89"/>
    <w:rsid w:val="005B6F49"/>
    <w:rsid w:val="005B74C7"/>
    <w:rsid w:val="005B74E1"/>
    <w:rsid w:val="005B7A8B"/>
    <w:rsid w:val="005C16F3"/>
    <w:rsid w:val="005C179E"/>
    <w:rsid w:val="005C1846"/>
    <w:rsid w:val="005C20BB"/>
    <w:rsid w:val="005C3553"/>
    <w:rsid w:val="005C4ACE"/>
    <w:rsid w:val="005C4B16"/>
    <w:rsid w:val="005C54C1"/>
    <w:rsid w:val="005C5586"/>
    <w:rsid w:val="005C55AF"/>
    <w:rsid w:val="005C70B1"/>
    <w:rsid w:val="005C713B"/>
    <w:rsid w:val="005C732F"/>
    <w:rsid w:val="005C7760"/>
    <w:rsid w:val="005C7BB8"/>
    <w:rsid w:val="005D0F8F"/>
    <w:rsid w:val="005D1305"/>
    <w:rsid w:val="005D2839"/>
    <w:rsid w:val="005D3890"/>
    <w:rsid w:val="005D398F"/>
    <w:rsid w:val="005D40F1"/>
    <w:rsid w:val="005D45AF"/>
    <w:rsid w:val="005D4732"/>
    <w:rsid w:val="005D491C"/>
    <w:rsid w:val="005D5323"/>
    <w:rsid w:val="005D5651"/>
    <w:rsid w:val="005D5D7F"/>
    <w:rsid w:val="005D60A3"/>
    <w:rsid w:val="005D68FA"/>
    <w:rsid w:val="005D6DA4"/>
    <w:rsid w:val="005D6F22"/>
    <w:rsid w:val="005D71E4"/>
    <w:rsid w:val="005D7663"/>
    <w:rsid w:val="005E07B3"/>
    <w:rsid w:val="005E2109"/>
    <w:rsid w:val="005E225F"/>
    <w:rsid w:val="005E2280"/>
    <w:rsid w:val="005E2DF6"/>
    <w:rsid w:val="005E310F"/>
    <w:rsid w:val="005E3127"/>
    <w:rsid w:val="005E3433"/>
    <w:rsid w:val="005E3BE1"/>
    <w:rsid w:val="005E3C9E"/>
    <w:rsid w:val="005E42DE"/>
    <w:rsid w:val="005E4840"/>
    <w:rsid w:val="005E4A73"/>
    <w:rsid w:val="005E4E8F"/>
    <w:rsid w:val="005E5309"/>
    <w:rsid w:val="005E5BF6"/>
    <w:rsid w:val="005E6990"/>
    <w:rsid w:val="005E6BD6"/>
    <w:rsid w:val="005E6CAB"/>
    <w:rsid w:val="005E6CB1"/>
    <w:rsid w:val="005E6D7C"/>
    <w:rsid w:val="005E724B"/>
    <w:rsid w:val="005F022E"/>
    <w:rsid w:val="005F086F"/>
    <w:rsid w:val="005F09BE"/>
    <w:rsid w:val="005F0CDC"/>
    <w:rsid w:val="005F17D7"/>
    <w:rsid w:val="005F2F34"/>
    <w:rsid w:val="005F31FE"/>
    <w:rsid w:val="005F40E8"/>
    <w:rsid w:val="005F4E1A"/>
    <w:rsid w:val="005F5365"/>
    <w:rsid w:val="005F5C3F"/>
    <w:rsid w:val="005F63FB"/>
    <w:rsid w:val="005F667E"/>
    <w:rsid w:val="005F77D5"/>
    <w:rsid w:val="006009DF"/>
    <w:rsid w:val="00600A4E"/>
    <w:rsid w:val="00600D36"/>
    <w:rsid w:val="00601F5E"/>
    <w:rsid w:val="00602003"/>
    <w:rsid w:val="0060212A"/>
    <w:rsid w:val="00602301"/>
    <w:rsid w:val="00602CC9"/>
    <w:rsid w:val="00602F23"/>
    <w:rsid w:val="00603E72"/>
    <w:rsid w:val="00603FC4"/>
    <w:rsid w:val="0060426F"/>
    <w:rsid w:val="0060471F"/>
    <w:rsid w:val="0060499E"/>
    <w:rsid w:val="00605308"/>
    <w:rsid w:val="00605349"/>
    <w:rsid w:val="006053C7"/>
    <w:rsid w:val="006058EA"/>
    <w:rsid w:val="00605B42"/>
    <w:rsid w:val="00605F89"/>
    <w:rsid w:val="0060671B"/>
    <w:rsid w:val="00610496"/>
    <w:rsid w:val="00610C0F"/>
    <w:rsid w:val="00610CB1"/>
    <w:rsid w:val="0061102D"/>
    <w:rsid w:val="006113EC"/>
    <w:rsid w:val="00611AD0"/>
    <w:rsid w:val="0061230D"/>
    <w:rsid w:val="00612688"/>
    <w:rsid w:val="0061271B"/>
    <w:rsid w:val="00612B66"/>
    <w:rsid w:val="006133D2"/>
    <w:rsid w:val="00613EF2"/>
    <w:rsid w:val="00614CA0"/>
    <w:rsid w:val="00615F5D"/>
    <w:rsid w:val="00615FAC"/>
    <w:rsid w:val="00616D3A"/>
    <w:rsid w:val="00617A6F"/>
    <w:rsid w:val="00617DC4"/>
    <w:rsid w:val="00621057"/>
    <w:rsid w:val="0062109B"/>
    <w:rsid w:val="0062120C"/>
    <w:rsid w:val="0062259A"/>
    <w:rsid w:val="006228F8"/>
    <w:rsid w:val="006230FB"/>
    <w:rsid w:val="00623AF0"/>
    <w:rsid w:val="00623F05"/>
    <w:rsid w:val="00624F7C"/>
    <w:rsid w:val="006256D0"/>
    <w:rsid w:val="00625764"/>
    <w:rsid w:val="00625EBE"/>
    <w:rsid w:val="00626972"/>
    <w:rsid w:val="00627470"/>
    <w:rsid w:val="00627F92"/>
    <w:rsid w:val="00630924"/>
    <w:rsid w:val="00630C62"/>
    <w:rsid w:val="006310D8"/>
    <w:rsid w:val="006312DD"/>
    <w:rsid w:val="006334F8"/>
    <w:rsid w:val="00633D77"/>
    <w:rsid w:val="00633E30"/>
    <w:rsid w:val="00634586"/>
    <w:rsid w:val="006348C3"/>
    <w:rsid w:val="00634A69"/>
    <w:rsid w:val="00640632"/>
    <w:rsid w:val="006408FE"/>
    <w:rsid w:val="0064146A"/>
    <w:rsid w:val="00641CB9"/>
    <w:rsid w:val="00642014"/>
    <w:rsid w:val="0064244C"/>
    <w:rsid w:val="00642529"/>
    <w:rsid w:val="0064258F"/>
    <w:rsid w:val="00642A86"/>
    <w:rsid w:val="00642CB8"/>
    <w:rsid w:val="0064304E"/>
    <w:rsid w:val="0064366A"/>
    <w:rsid w:val="00645165"/>
    <w:rsid w:val="00645A49"/>
    <w:rsid w:val="00646EE7"/>
    <w:rsid w:val="00647421"/>
    <w:rsid w:val="006478B3"/>
    <w:rsid w:val="006503AC"/>
    <w:rsid w:val="0065051F"/>
    <w:rsid w:val="0065074F"/>
    <w:rsid w:val="00650D2F"/>
    <w:rsid w:val="00651950"/>
    <w:rsid w:val="00651A97"/>
    <w:rsid w:val="00651D01"/>
    <w:rsid w:val="00651FD9"/>
    <w:rsid w:val="006526A7"/>
    <w:rsid w:val="006528B2"/>
    <w:rsid w:val="00653022"/>
    <w:rsid w:val="0065389E"/>
    <w:rsid w:val="00654031"/>
    <w:rsid w:val="006548E6"/>
    <w:rsid w:val="00654DF5"/>
    <w:rsid w:val="00655797"/>
    <w:rsid w:val="00656349"/>
    <w:rsid w:val="00656470"/>
    <w:rsid w:val="00657009"/>
    <w:rsid w:val="00657047"/>
    <w:rsid w:val="0065794A"/>
    <w:rsid w:val="006608E7"/>
    <w:rsid w:val="0066129B"/>
    <w:rsid w:val="0066130B"/>
    <w:rsid w:val="00661545"/>
    <w:rsid w:val="00661D54"/>
    <w:rsid w:val="00662DC9"/>
    <w:rsid w:val="00662EC0"/>
    <w:rsid w:val="00663105"/>
    <w:rsid w:val="00663CB8"/>
    <w:rsid w:val="00663DA9"/>
    <w:rsid w:val="0066484C"/>
    <w:rsid w:val="00664D9C"/>
    <w:rsid w:val="00666109"/>
    <w:rsid w:val="00666944"/>
    <w:rsid w:val="00666C56"/>
    <w:rsid w:val="00666D0B"/>
    <w:rsid w:val="006671F5"/>
    <w:rsid w:val="00667AF1"/>
    <w:rsid w:val="0067179F"/>
    <w:rsid w:val="00672003"/>
    <w:rsid w:val="006727D3"/>
    <w:rsid w:val="00672979"/>
    <w:rsid w:val="00673437"/>
    <w:rsid w:val="00673663"/>
    <w:rsid w:val="006738C5"/>
    <w:rsid w:val="00673940"/>
    <w:rsid w:val="00674108"/>
    <w:rsid w:val="00674E7E"/>
    <w:rsid w:val="00675286"/>
    <w:rsid w:val="00675602"/>
    <w:rsid w:val="006757C5"/>
    <w:rsid w:val="00675B3A"/>
    <w:rsid w:val="00675DB2"/>
    <w:rsid w:val="006768C7"/>
    <w:rsid w:val="00676D22"/>
    <w:rsid w:val="00677318"/>
    <w:rsid w:val="006778C2"/>
    <w:rsid w:val="00677C36"/>
    <w:rsid w:val="00677F4A"/>
    <w:rsid w:val="00680DF0"/>
    <w:rsid w:val="00681435"/>
    <w:rsid w:val="00681496"/>
    <w:rsid w:val="006826FA"/>
    <w:rsid w:val="00682709"/>
    <w:rsid w:val="00683823"/>
    <w:rsid w:val="00683A52"/>
    <w:rsid w:val="00683CD9"/>
    <w:rsid w:val="0068434A"/>
    <w:rsid w:val="00684511"/>
    <w:rsid w:val="00684999"/>
    <w:rsid w:val="00684C04"/>
    <w:rsid w:val="00684FAC"/>
    <w:rsid w:val="00685B51"/>
    <w:rsid w:val="00686146"/>
    <w:rsid w:val="00686152"/>
    <w:rsid w:val="00686485"/>
    <w:rsid w:val="00686881"/>
    <w:rsid w:val="0068695E"/>
    <w:rsid w:val="00686BC3"/>
    <w:rsid w:val="00686C2A"/>
    <w:rsid w:val="00686E87"/>
    <w:rsid w:val="006876AD"/>
    <w:rsid w:val="00687F9F"/>
    <w:rsid w:val="0069007E"/>
    <w:rsid w:val="00691728"/>
    <w:rsid w:val="00691AD5"/>
    <w:rsid w:val="00691D96"/>
    <w:rsid w:val="0069249B"/>
    <w:rsid w:val="006928AF"/>
    <w:rsid w:val="00692963"/>
    <w:rsid w:val="00693ADB"/>
    <w:rsid w:val="00693E17"/>
    <w:rsid w:val="006947F0"/>
    <w:rsid w:val="00694DA6"/>
    <w:rsid w:val="00695525"/>
    <w:rsid w:val="00696C0E"/>
    <w:rsid w:val="00696D97"/>
    <w:rsid w:val="00696E1C"/>
    <w:rsid w:val="00696F1F"/>
    <w:rsid w:val="0069716B"/>
    <w:rsid w:val="00697E69"/>
    <w:rsid w:val="006A0888"/>
    <w:rsid w:val="006A1546"/>
    <w:rsid w:val="006A19FD"/>
    <w:rsid w:val="006A1BED"/>
    <w:rsid w:val="006A1C50"/>
    <w:rsid w:val="006A2096"/>
    <w:rsid w:val="006A2129"/>
    <w:rsid w:val="006A4638"/>
    <w:rsid w:val="006A4BA5"/>
    <w:rsid w:val="006A56BD"/>
    <w:rsid w:val="006A5FA4"/>
    <w:rsid w:val="006A609C"/>
    <w:rsid w:val="006A6510"/>
    <w:rsid w:val="006A69BD"/>
    <w:rsid w:val="006A7342"/>
    <w:rsid w:val="006A7D2C"/>
    <w:rsid w:val="006A7FB4"/>
    <w:rsid w:val="006B1313"/>
    <w:rsid w:val="006B141F"/>
    <w:rsid w:val="006B175E"/>
    <w:rsid w:val="006B243F"/>
    <w:rsid w:val="006B28EE"/>
    <w:rsid w:val="006B2FD4"/>
    <w:rsid w:val="006B315B"/>
    <w:rsid w:val="006B3390"/>
    <w:rsid w:val="006B3A92"/>
    <w:rsid w:val="006B3F9E"/>
    <w:rsid w:val="006B4DBB"/>
    <w:rsid w:val="006B5833"/>
    <w:rsid w:val="006B5F10"/>
    <w:rsid w:val="006B624A"/>
    <w:rsid w:val="006B63BF"/>
    <w:rsid w:val="006B6BA3"/>
    <w:rsid w:val="006B6FE0"/>
    <w:rsid w:val="006B7181"/>
    <w:rsid w:val="006B7DD3"/>
    <w:rsid w:val="006C031B"/>
    <w:rsid w:val="006C09A0"/>
    <w:rsid w:val="006C0C92"/>
    <w:rsid w:val="006C0CB1"/>
    <w:rsid w:val="006C1611"/>
    <w:rsid w:val="006C1DAB"/>
    <w:rsid w:val="006C243C"/>
    <w:rsid w:val="006C2908"/>
    <w:rsid w:val="006C31CA"/>
    <w:rsid w:val="006C39A6"/>
    <w:rsid w:val="006C3C1B"/>
    <w:rsid w:val="006C466F"/>
    <w:rsid w:val="006C494B"/>
    <w:rsid w:val="006C4BED"/>
    <w:rsid w:val="006C50F3"/>
    <w:rsid w:val="006C529F"/>
    <w:rsid w:val="006C53D2"/>
    <w:rsid w:val="006C6223"/>
    <w:rsid w:val="006C795D"/>
    <w:rsid w:val="006C7CBF"/>
    <w:rsid w:val="006C7FA9"/>
    <w:rsid w:val="006D0603"/>
    <w:rsid w:val="006D09F6"/>
    <w:rsid w:val="006D0FDD"/>
    <w:rsid w:val="006D18DE"/>
    <w:rsid w:val="006D1AD6"/>
    <w:rsid w:val="006D24AD"/>
    <w:rsid w:val="006D2CC9"/>
    <w:rsid w:val="006D2E05"/>
    <w:rsid w:val="006D3BDB"/>
    <w:rsid w:val="006D4F71"/>
    <w:rsid w:val="006D4FE1"/>
    <w:rsid w:val="006D5640"/>
    <w:rsid w:val="006D5F6B"/>
    <w:rsid w:val="006D64B9"/>
    <w:rsid w:val="006D678B"/>
    <w:rsid w:val="006D729F"/>
    <w:rsid w:val="006D734A"/>
    <w:rsid w:val="006D7922"/>
    <w:rsid w:val="006D7D0D"/>
    <w:rsid w:val="006E1FDF"/>
    <w:rsid w:val="006E213E"/>
    <w:rsid w:val="006E23CD"/>
    <w:rsid w:val="006E2F25"/>
    <w:rsid w:val="006E4735"/>
    <w:rsid w:val="006E4E89"/>
    <w:rsid w:val="006E5573"/>
    <w:rsid w:val="006E654D"/>
    <w:rsid w:val="006E6AF8"/>
    <w:rsid w:val="006E6D44"/>
    <w:rsid w:val="006E7268"/>
    <w:rsid w:val="006E7333"/>
    <w:rsid w:val="006E7E79"/>
    <w:rsid w:val="006E7EAB"/>
    <w:rsid w:val="006F0002"/>
    <w:rsid w:val="006F0A36"/>
    <w:rsid w:val="006F18D7"/>
    <w:rsid w:val="006F1A14"/>
    <w:rsid w:val="006F2504"/>
    <w:rsid w:val="006F2699"/>
    <w:rsid w:val="006F4850"/>
    <w:rsid w:val="006F4911"/>
    <w:rsid w:val="006F4D9B"/>
    <w:rsid w:val="006F523D"/>
    <w:rsid w:val="006F531C"/>
    <w:rsid w:val="006F5653"/>
    <w:rsid w:val="006F5B37"/>
    <w:rsid w:val="006F5DED"/>
    <w:rsid w:val="006F63B3"/>
    <w:rsid w:val="006F6435"/>
    <w:rsid w:val="006F6C6F"/>
    <w:rsid w:val="006F7433"/>
    <w:rsid w:val="00700071"/>
    <w:rsid w:val="007000F6"/>
    <w:rsid w:val="0070033D"/>
    <w:rsid w:val="00700340"/>
    <w:rsid w:val="00700656"/>
    <w:rsid w:val="007014F3"/>
    <w:rsid w:val="00701885"/>
    <w:rsid w:val="007021DF"/>
    <w:rsid w:val="00702343"/>
    <w:rsid w:val="0070264A"/>
    <w:rsid w:val="00702CD6"/>
    <w:rsid w:val="007037DD"/>
    <w:rsid w:val="007038F4"/>
    <w:rsid w:val="007038FB"/>
    <w:rsid w:val="00703C05"/>
    <w:rsid w:val="0070464A"/>
    <w:rsid w:val="00704DF4"/>
    <w:rsid w:val="007052BD"/>
    <w:rsid w:val="00705570"/>
    <w:rsid w:val="007101EF"/>
    <w:rsid w:val="007102F4"/>
    <w:rsid w:val="00710455"/>
    <w:rsid w:val="007109D6"/>
    <w:rsid w:val="00710AA5"/>
    <w:rsid w:val="00711719"/>
    <w:rsid w:val="00711982"/>
    <w:rsid w:val="0071203A"/>
    <w:rsid w:val="007123C5"/>
    <w:rsid w:val="0071278D"/>
    <w:rsid w:val="00713B99"/>
    <w:rsid w:val="00713D7F"/>
    <w:rsid w:val="0071403C"/>
    <w:rsid w:val="00714226"/>
    <w:rsid w:val="00714984"/>
    <w:rsid w:val="00715B04"/>
    <w:rsid w:val="00715B3E"/>
    <w:rsid w:val="00716F59"/>
    <w:rsid w:val="00717563"/>
    <w:rsid w:val="00717A30"/>
    <w:rsid w:val="00717C5A"/>
    <w:rsid w:val="00720A5A"/>
    <w:rsid w:val="007210A7"/>
    <w:rsid w:val="007214EC"/>
    <w:rsid w:val="007215C9"/>
    <w:rsid w:val="0072183E"/>
    <w:rsid w:val="00722A2B"/>
    <w:rsid w:val="007235CF"/>
    <w:rsid w:val="00723C4E"/>
    <w:rsid w:val="00723DE1"/>
    <w:rsid w:val="00723FCB"/>
    <w:rsid w:val="0072470F"/>
    <w:rsid w:val="00724723"/>
    <w:rsid w:val="00724CCB"/>
    <w:rsid w:val="00724D18"/>
    <w:rsid w:val="00724F06"/>
    <w:rsid w:val="00725A68"/>
    <w:rsid w:val="00726BF9"/>
    <w:rsid w:val="00727294"/>
    <w:rsid w:val="007273B3"/>
    <w:rsid w:val="0072795F"/>
    <w:rsid w:val="00727DF0"/>
    <w:rsid w:val="00730AB3"/>
    <w:rsid w:val="00730EAE"/>
    <w:rsid w:val="00731B64"/>
    <w:rsid w:val="007322E7"/>
    <w:rsid w:val="00732425"/>
    <w:rsid w:val="00733186"/>
    <w:rsid w:val="007332D4"/>
    <w:rsid w:val="00733D1E"/>
    <w:rsid w:val="00733ED9"/>
    <w:rsid w:val="007343D1"/>
    <w:rsid w:val="00734DA4"/>
    <w:rsid w:val="00734E62"/>
    <w:rsid w:val="0073521A"/>
    <w:rsid w:val="007352EF"/>
    <w:rsid w:val="00735B24"/>
    <w:rsid w:val="00735D6C"/>
    <w:rsid w:val="007366F7"/>
    <w:rsid w:val="0073685C"/>
    <w:rsid w:val="00736C40"/>
    <w:rsid w:val="007375E3"/>
    <w:rsid w:val="0073761F"/>
    <w:rsid w:val="00737BF0"/>
    <w:rsid w:val="00737F7E"/>
    <w:rsid w:val="007400ED"/>
    <w:rsid w:val="007401D4"/>
    <w:rsid w:val="00740E17"/>
    <w:rsid w:val="0074129A"/>
    <w:rsid w:val="00741706"/>
    <w:rsid w:val="00742B12"/>
    <w:rsid w:val="00742BE4"/>
    <w:rsid w:val="00743DE7"/>
    <w:rsid w:val="00744A89"/>
    <w:rsid w:val="00744D38"/>
    <w:rsid w:val="0074530F"/>
    <w:rsid w:val="007463D0"/>
    <w:rsid w:val="0074677C"/>
    <w:rsid w:val="00746A31"/>
    <w:rsid w:val="007477B2"/>
    <w:rsid w:val="00747A2B"/>
    <w:rsid w:val="00747B8F"/>
    <w:rsid w:val="007507CB"/>
    <w:rsid w:val="00750A5B"/>
    <w:rsid w:val="00750F54"/>
    <w:rsid w:val="007513C3"/>
    <w:rsid w:val="00751FC1"/>
    <w:rsid w:val="007533B1"/>
    <w:rsid w:val="00753954"/>
    <w:rsid w:val="00753BD7"/>
    <w:rsid w:val="00753CEF"/>
    <w:rsid w:val="00754BFB"/>
    <w:rsid w:val="007557D0"/>
    <w:rsid w:val="0075593D"/>
    <w:rsid w:val="007559D5"/>
    <w:rsid w:val="007576E3"/>
    <w:rsid w:val="00757D9D"/>
    <w:rsid w:val="007600AC"/>
    <w:rsid w:val="0076024E"/>
    <w:rsid w:val="00760C97"/>
    <w:rsid w:val="0076138D"/>
    <w:rsid w:val="007613F5"/>
    <w:rsid w:val="00761E10"/>
    <w:rsid w:val="00763D66"/>
    <w:rsid w:val="007640FB"/>
    <w:rsid w:val="00764668"/>
    <w:rsid w:val="00765305"/>
    <w:rsid w:val="0076532B"/>
    <w:rsid w:val="007653A2"/>
    <w:rsid w:val="00765F93"/>
    <w:rsid w:val="00766701"/>
    <w:rsid w:val="007667DA"/>
    <w:rsid w:val="00767136"/>
    <w:rsid w:val="00767850"/>
    <w:rsid w:val="00767C49"/>
    <w:rsid w:val="00770615"/>
    <w:rsid w:val="00770EBD"/>
    <w:rsid w:val="00770FC6"/>
    <w:rsid w:val="0077182B"/>
    <w:rsid w:val="00771932"/>
    <w:rsid w:val="007724DD"/>
    <w:rsid w:val="00772F15"/>
    <w:rsid w:val="007730C5"/>
    <w:rsid w:val="00773E43"/>
    <w:rsid w:val="007750D8"/>
    <w:rsid w:val="0077523E"/>
    <w:rsid w:val="007755B6"/>
    <w:rsid w:val="0077581F"/>
    <w:rsid w:val="00776570"/>
    <w:rsid w:val="00776B87"/>
    <w:rsid w:val="0077765E"/>
    <w:rsid w:val="00780002"/>
    <w:rsid w:val="007800DD"/>
    <w:rsid w:val="0078010E"/>
    <w:rsid w:val="007803FF"/>
    <w:rsid w:val="007812E7"/>
    <w:rsid w:val="0078168A"/>
    <w:rsid w:val="00781897"/>
    <w:rsid w:val="00781B42"/>
    <w:rsid w:val="00782068"/>
    <w:rsid w:val="00782821"/>
    <w:rsid w:val="00782B35"/>
    <w:rsid w:val="0078324E"/>
    <w:rsid w:val="00783743"/>
    <w:rsid w:val="00783A57"/>
    <w:rsid w:val="00783C34"/>
    <w:rsid w:val="0078408D"/>
    <w:rsid w:val="00784374"/>
    <w:rsid w:val="007844A5"/>
    <w:rsid w:val="00784C03"/>
    <w:rsid w:val="00785DFE"/>
    <w:rsid w:val="00786FD7"/>
    <w:rsid w:val="007871B3"/>
    <w:rsid w:val="00787D5F"/>
    <w:rsid w:val="00787E97"/>
    <w:rsid w:val="00790749"/>
    <w:rsid w:val="00790ED8"/>
    <w:rsid w:val="007916FB"/>
    <w:rsid w:val="00791B38"/>
    <w:rsid w:val="00791E68"/>
    <w:rsid w:val="00792486"/>
    <w:rsid w:val="0079294E"/>
    <w:rsid w:val="00792C57"/>
    <w:rsid w:val="00792D08"/>
    <w:rsid w:val="00792F91"/>
    <w:rsid w:val="007932AB"/>
    <w:rsid w:val="0079336A"/>
    <w:rsid w:val="00793DD1"/>
    <w:rsid w:val="007952D3"/>
    <w:rsid w:val="007954DA"/>
    <w:rsid w:val="00795F12"/>
    <w:rsid w:val="0079643C"/>
    <w:rsid w:val="0079710F"/>
    <w:rsid w:val="00797C09"/>
    <w:rsid w:val="007A0273"/>
    <w:rsid w:val="007A0563"/>
    <w:rsid w:val="007A0AEB"/>
    <w:rsid w:val="007A12C4"/>
    <w:rsid w:val="007A12C6"/>
    <w:rsid w:val="007A1349"/>
    <w:rsid w:val="007A18FD"/>
    <w:rsid w:val="007A234D"/>
    <w:rsid w:val="007A2CED"/>
    <w:rsid w:val="007A3567"/>
    <w:rsid w:val="007A3762"/>
    <w:rsid w:val="007A461D"/>
    <w:rsid w:val="007A54A0"/>
    <w:rsid w:val="007A71CF"/>
    <w:rsid w:val="007A7554"/>
    <w:rsid w:val="007A7801"/>
    <w:rsid w:val="007A7D48"/>
    <w:rsid w:val="007B0E83"/>
    <w:rsid w:val="007B1202"/>
    <w:rsid w:val="007B143C"/>
    <w:rsid w:val="007B24BD"/>
    <w:rsid w:val="007B3556"/>
    <w:rsid w:val="007B3A68"/>
    <w:rsid w:val="007B3C76"/>
    <w:rsid w:val="007B51CA"/>
    <w:rsid w:val="007B5948"/>
    <w:rsid w:val="007B5BE5"/>
    <w:rsid w:val="007B5F94"/>
    <w:rsid w:val="007B6016"/>
    <w:rsid w:val="007B6130"/>
    <w:rsid w:val="007B615A"/>
    <w:rsid w:val="007B6B72"/>
    <w:rsid w:val="007B6D74"/>
    <w:rsid w:val="007B7DC4"/>
    <w:rsid w:val="007C012A"/>
    <w:rsid w:val="007C0378"/>
    <w:rsid w:val="007C12A6"/>
    <w:rsid w:val="007C18C3"/>
    <w:rsid w:val="007C1907"/>
    <w:rsid w:val="007C192C"/>
    <w:rsid w:val="007C23A0"/>
    <w:rsid w:val="007C27A1"/>
    <w:rsid w:val="007C2B74"/>
    <w:rsid w:val="007C2F79"/>
    <w:rsid w:val="007C378E"/>
    <w:rsid w:val="007C4287"/>
    <w:rsid w:val="007C439B"/>
    <w:rsid w:val="007C43EA"/>
    <w:rsid w:val="007C46BF"/>
    <w:rsid w:val="007C4868"/>
    <w:rsid w:val="007C4875"/>
    <w:rsid w:val="007C49D9"/>
    <w:rsid w:val="007C4C5E"/>
    <w:rsid w:val="007C4F55"/>
    <w:rsid w:val="007C521A"/>
    <w:rsid w:val="007C63EA"/>
    <w:rsid w:val="007C6490"/>
    <w:rsid w:val="007C6776"/>
    <w:rsid w:val="007C7A88"/>
    <w:rsid w:val="007C7ED2"/>
    <w:rsid w:val="007D003A"/>
    <w:rsid w:val="007D0BC3"/>
    <w:rsid w:val="007D0E34"/>
    <w:rsid w:val="007D1730"/>
    <w:rsid w:val="007D1922"/>
    <w:rsid w:val="007D1A3D"/>
    <w:rsid w:val="007D1E44"/>
    <w:rsid w:val="007D2042"/>
    <w:rsid w:val="007D4230"/>
    <w:rsid w:val="007D45B0"/>
    <w:rsid w:val="007D489B"/>
    <w:rsid w:val="007D4D7B"/>
    <w:rsid w:val="007D7263"/>
    <w:rsid w:val="007D775D"/>
    <w:rsid w:val="007E0D2D"/>
    <w:rsid w:val="007E1330"/>
    <w:rsid w:val="007E18F1"/>
    <w:rsid w:val="007E1E95"/>
    <w:rsid w:val="007E2028"/>
    <w:rsid w:val="007E21C3"/>
    <w:rsid w:val="007E21FA"/>
    <w:rsid w:val="007E2857"/>
    <w:rsid w:val="007E2CE6"/>
    <w:rsid w:val="007E2DFE"/>
    <w:rsid w:val="007E317E"/>
    <w:rsid w:val="007E37E0"/>
    <w:rsid w:val="007E3B1D"/>
    <w:rsid w:val="007E3BE6"/>
    <w:rsid w:val="007E684E"/>
    <w:rsid w:val="007F0B9C"/>
    <w:rsid w:val="007F14CD"/>
    <w:rsid w:val="007F20DA"/>
    <w:rsid w:val="007F2120"/>
    <w:rsid w:val="007F26EB"/>
    <w:rsid w:val="007F2DF5"/>
    <w:rsid w:val="007F3E42"/>
    <w:rsid w:val="007F4526"/>
    <w:rsid w:val="007F474D"/>
    <w:rsid w:val="007F478F"/>
    <w:rsid w:val="007F4E51"/>
    <w:rsid w:val="007F53E2"/>
    <w:rsid w:val="007F5E2C"/>
    <w:rsid w:val="007F6065"/>
    <w:rsid w:val="007F618B"/>
    <w:rsid w:val="007F6B43"/>
    <w:rsid w:val="007F6E3B"/>
    <w:rsid w:val="007F781C"/>
    <w:rsid w:val="007F7C86"/>
    <w:rsid w:val="007F7E9C"/>
    <w:rsid w:val="008007EE"/>
    <w:rsid w:val="00800EE9"/>
    <w:rsid w:val="008015CB"/>
    <w:rsid w:val="0080169F"/>
    <w:rsid w:val="00801D4B"/>
    <w:rsid w:val="00802693"/>
    <w:rsid w:val="00802FCA"/>
    <w:rsid w:val="0080311B"/>
    <w:rsid w:val="008038D2"/>
    <w:rsid w:val="00803A1E"/>
    <w:rsid w:val="0080440E"/>
    <w:rsid w:val="00804686"/>
    <w:rsid w:val="00805112"/>
    <w:rsid w:val="00805B1D"/>
    <w:rsid w:val="0080667B"/>
    <w:rsid w:val="00807BCA"/>
    <w:rsid w:val="00807F1B"/>
    <w:rsid w:val="0081040F"/>
    <w:rsid w:val="00810B6D"/>
    <w:rsid w:val="00810D20"/>
    <w:rsid w:val="008113D8"/>
    <w:rsid w:val="008119D9"/>
    <w:rsid w:val="0081265F"/>
    <w:rsid w:val="00812E73"/>
    <w:rsid w:val="00813143"/>
    <w:rsid w:val="008141EF"/>
    <w:rsid w:val="00814276"/>
    <w:rsid w:val="0081545C"/>
    <w:rsid w:val="0081656D"/>
    <w:rsid w:val="00816CAB"/>
    <w:rsid w:val="00816EC9"/>
    <w:rsid w:val="0081760C"/>
    <w:rsid w:val="008178A6"/>
    <w:rsid w:val="00817B9B"/>
    <w:rsid w:val="008200F1"/>
    <w:rsid w:val="00820E6A"/>
    <w:rsid w:val="008211AE"/>
    <w:rsid w:val="00821B56"/>
    <w:rsid w:val="00821F09"/>
    <w:rsid w:val="00822026"/>
    <w:rsid w:val="00823236"/>
    <w:rsid w:val="0082493E"/>
    <w:rsid w:val="00825507"/>
    <w:rsid w:val="008255CD"/>
    <w:rsid w:val="008256AA"/>
    <w:rsid w:val="00825CD9"/>
    <w:rsid w:val="00826442"/>
    <w:rsid w:val="0082659F"/>
    <w:rsid w:val="0082681D"/>
    <w:rsid w:val="00826D3D"/>
    <w:rsid w:val="00826ECB"/>
    <w:rsid w:val="00827357"/>
    <w:rsid w:val="00827A97"/>
    <w:rsid w:val="008306F2"/>
    <w:rsid w:val="00831E45"/>
    <w:rsid w:val="0083232E"/>
    <w:rsid w:val="008327D6"/>
    <w:rsid w:val="00832A7C"/>
    <w:rsid w:val="008332A6"/>
    <w:rsid w:val="00833881"/>
    <w:rsid w:val="00833A50"/>
    <w:rsid w:val="00833A6D"/>
    <w:rsid w:val="00834026"/>
    <w:rsid w:val="0083406E"/>
    <w:rsid w:val="00834401"/>
    <w:rsid w:val="00834A02"/>
    <w:rsid w:val="00834C07"/>
    <w:rsid w:val="008359E7"/>
    <w:rsid w:val="00835D05"/>
    <w:rsid w:val="00835FC7"/>
    <w:rsid w:val="00836589"/>
    <w:rsid w:val="00836F81"/>
    <w:rsid w:val="0083712E"/>
    <w:rsid w:val="008373D1"/>
    <w:rsid w:val="00837950"/>
    <w:rsid w:val="00837C32"/>
    <w:rsid w:val="00840543"/>
    <w:rsid w:val="008405E8"/>
    <w:rsid w:val="008412F5"/>
    <w:rsid w:val="0084146B"/>
    <w:rsid w:val="00841939"/>
    <w:rsid w:val="00841A1B"/>
    <w:rsid w:val="00841C06"/>
    <w:rsid w:val="00841DD9"/>
    <w:rsid w:val="008421EA"/>
    <w:rsid w:val="00842617"/>
    <w:rsid w:val="00842D5D"/>
    <w:rsid w:val="0084304E"/>
    <w:rsid w:val="008437A1"/>
    <w:rsid w:val="00844D55"/>
    <w:rsid w:val="008453BB"/>
    <w:rsid w:val="008453BF"/>
    <w:rsid w:val="00846525"/>
    <w:rsid w:val="008467B5"/>
    <w:rsid w:val="00847A97"/>
    <w:rsid w:val="00850185"/>
    <w:rsid w:val="00850E90"/>
    <w:rsid w:val="008511A6"/>
    <w:rsid w:val="00851C8C"/>
    <w:rsid w:val="0085233D"/>
    <w:rsid w:val="008529D0"/>
    <w:rsid w:val="00852C45"/>
    <w:rsid w:val="00852C88"/>
    <w:rsid w:val="00852C96"/>
    <w:rsid w:val="00853967"/>
    <w:rsid w:val="00853B1C"/>
    <w:rsid w:val="00854779"/>
    <w:rsid w:val="00854A07"/>
    <w:rsid w:val="0085544A"/>
    <w:rsid w:val="00855642"/>
    <w:rsid w:val="00855B7C"/>
    <w:rsid w:val="00856125"/>
    <w:rsid w:val="008567FA"/>
    <w:rsid w:val="00856C67"/>
    <w:rsid w:val="00857098"/>
    <w:rsid w:val="008576A4"/>
    <w:rsid w:val="00857701"/>
    <w:rsid w:val="0085772C"/>
    <w:rsid w:val="00860846"/>
    <w:rsid w:val="0086091A"/>
    <w:rsid w:val="00860A3F"/>
    <w:rsid w:val="008614FA"/>
    <w:rsid w:val="0086206E"/>
    <w:rsid w:val="008621D6"/>
    <w:rsid w:val="0086257D"/>
    <w:rsid w:val="00863DD1"/>
    <w:rsid w:val="0086414D"/>
    <w:rsid w:val="00864CCB"/>
    <w:rsid w:val="00867687"/>
    <w:rsid w:val="008711D0"/>
    <w:rsid w:val="00871BD1"/>
    <w:rsid w:val="00871FC7"/>
    <w:rsid w:val="00872D79"/>
    <w:rsid w:val="00873060"/>
    <w:rsid w:val="008737E0"/>
    <w:rsid w:val="00875786"/>
    <w:rsid w:val="008762D0"/>
    <w:rsid w:val="00876565"/>
    <w:rsid w:val="008770F2"/>
    <w:rsid w:val="008778D4"/>
    <w:rsid w:val="008800E2"/>
    <w:rsid w:val="00880302"/>
    <w:rsid w:val="008807C9"/>
    <w:rsid w:val="008809D7"/>
    <w:rsid w:val="008814E5"/>
    <w:rsid w:val="0088168B"/>
    <w:rsid w:val="00881807"/>
    <w:rsid w:val="00884177"/>
    <w:rsid w:val="00884739"/>
    <w:rsid w:val="00884A03"/>
    <w:rsid w:val="00884A91"/>
    <w:rsid w:val="00884AF0"/>
    <w:rsid w:val="00885A66"/>
    <w:rsid w:val="008869D2"/>
    <w:rsid w:val="008878C3"/>
    <w:rsid w:val="00887AC5"/>
    <w:rsid w:val="00890489"/>
    <w:rsid w:val="00890A16"/>
    <w:rsid w:val="008911A6"/>
    <w:rsid w:val="008911FE"/>
    <w:rsid w:val="00891907"/>
    <w:rsid w:val="008933A9"/>
    <w:rsid w:val="00893839"/>
    <w:rsid w:val="00893858"/>
    <w:rsid w:val="00893E3F"/>
    <w:rsid w:val="00894CF1"/>
    <w:rsid w:val="00895C9D"/>
    <w:rsid w:val="00895E1E"/>
    <w:rsid w:val="0089615A"/>
    <w:rsid w:val="0089776F"/>
    <w:rsid w:val="008978B7"/>
    <w:rsid w:val="008A0220"/>
    <w:rsid w:val="008A0A9E"/>
    <w:rsid w:val="008A0CAF"/>
    <w:rsid w:val="008A0D3A"/>
    <w:rsid w:val="008A0EF2"/>
    <w:rsid w:val="008A1233"/>
    <w:rsid w:val="008A1B60"/>
    <w:rsid w:val="008A1BD5"/>
    <w:rsid w:val="008A26EC"/>
    <w:rsid w:val="008A2939"/>
    <w:rsid w:val="008A2C25"/>
    <w:rsid w:val="008A3D32"/>
    <w:rsid w:val="008A3FDF"/>
    <w:rsid w:val="008A421C"/>
    <w:rsid w:val="008A4844"/>
    <w:rsid w:val="008A555B"/>
    <w:rsid w:val="008A56CD"/>
    <w:rsid w:val="008A5870"/>
    <w:rsid w:val="008A5AD6"/>
    <w:rsid w:val="008A5DD5"/>
    <w:rsid w:val="008A5F55"/>
    <w:rsid w:val="008A7003"/>
    <w:rsid w:val="008A7219"/>
    <w:rsid w:val="008A73AD"/>
    <w:rsid w:val="008A7541"/>
    <w:rsid w:val="008A7AEF"/>
    <w:rsid w:val="008B02F9"/>
    <w:rsid w:val="008B0474"/>
    <w:rsid w:val="008B09DB"/>
    <w:rsid w:val="008B282D"/>
    <w:rsid w:val="008B2A83"/>
    <w:rsid w:val="008B569F"/>
    <w:rsid w:val="008B7DD7"/>
    <w:rsid w:val="008C07A7"/>
    <w:rsid w:val="008C117F"/>
    <w:rsid w:val="008C15A7"/>
    <w:rsid w:val="008C1D70"/>
    <w:rsid w:val="008C2387"/>
    <w:rsid w:val="008C27BA"/>
    <w:rsid w:val="008C2B87"/>
    <w:rsid w:val="008C2C3C"/>
    <w:rsid w:val="008C3050"/>
    <w:rsid w:val="008C3743"/>
    <w:rsid w:val="008C38FE"/>
    <w:rsid w:val="008C449F"/>
    <w:rsid w:val="008C4FF1"/>
    <w:rsid w:val="008C61C0"/>
    <w:rsid w:val="008C628F"/>
    <w:rsid w:val="008C63E4"/>
    <w:rsid w:val="008C640D"/>
    <w:rsid w:val="008C6FFC"/>
    <w:rsid w:val="008C7344"/>
    <w:rsid w:val="008C764D"/>
    <w:rsid w:val="008C7EB3"/>
    <w:rsid w:val="008D027A"/>
    <w:rsid w:val="008D0E53"/>
    <w:rsid w:val="008D1ACA"/>
    <w:rsid w:val="008D2C3B"/>
    <w:rsid w:val="008D2F4A"/>
    <w:rsid w:val="008D35CA"/>
    <w:rsid w:val="008D3896"/>
    <w:rsid w:val="008D3D13"/>
    <w:rsid w:val="008D3F44"/>
    <w:rsid w:val="008D3FB6"/>
    <w:rsid w:val="008D4416"/>
    <w:rsid w:val="008D44FA"/>
    <w:rsid w:val="008D5E36"/>
    <w:rsid w:val="008D64ED"/>
    <w:rsid w:val="008D6CB9"/>
    <w:rsid w:val="008D71A0"/>
    <w:rsid w:val="008D74AD"/>
    <w:rsid w:val="008E02E5"/>
    <w:rsid w:val="008E0B2D"/>
    <w:rsid w:val="008E1131"/>
    <w:rsid w:val="008E1165"/>
    <w:rsid w:val="008E1931"/>
    <w:rsid w:val="008E2E75"/>
    <w:rsid w:val="008E363F"/>
    <w:rsid w:val="008E3E79"/>
    <w:rsid w:val="008E45F9"/>
    <w:rsid w:val="008E655A"/>
    <w:rsid w:val="008E6C0D"/>
    <w:rsid w:val="008E74ED"/>
    <w:rsid w:val="008E7D39"/>
    <w:rsid w:val="008F032C"/>
    <w:rsid w:val="008F0C4E"/>
    <w:rsid w:val="008F0E8B"/>
    <w:rsid w:val="008F103F"/>
    <w:rsid w:val="008F254A"/>
    <w:rsid w:val="008F328E"/>
    <w:rsid w:val="008F34D4"/>
    <w:rsid w:val="008F354C"/>
    <w:rsid w:val="008F4AFA"/>
    <w:rsid w:val="008F4D97"/>
    <w:rsid w:val="008F537F"/>
    <w:rsid w:val="008F5601"/>
    <w:rsid w:val="008F5896"/>
    <w:rsid w:val="008F5C89"/>
    <w:rsid w:val="008F5EC2"/>
    <w:rsid w:val="008F67F2"/>
    <w:rsid w:val="008F6F15"/>
    <w:rsid w:val="008F75E5"/>
    <w:rsid w:val="008F77A1"/>
    <w:rsid w:val="008F7B31"/>
    <w:rsid w:val="0090047F"/>
    <w:rsid w:val="00900665"/>
    <w:rsid w:val="00900ED0"/>
    <w:rsid w:val="00901C2E"/>
    <w:rsid w:val="00901DA5"/>
    <w:rsid w:val="00901F94"/>
    <w:rsid w:val="0090218E"/>
    <w:rsid w:val="00902B96"/>
    <w:rsid w:val="00902E86"/>
    <w:rsid w:val="00902FB5"/>
    <w:rsid w:val="00902FF8"/>
    <w:rsid w:val="0090335E"/>
    <w:rsid w:val="009042F5"/>
    <w:rsid w:val="00904363"/>
    <w:rsid w:val="00905807"/>
    <w:rsid w:val="00905A06"/>
    <w:rsid w:val="00905BC1"/>
    <w:rsid w:val="009060B1"/>
    <w:rsid w:val="00906B9C"/>
    <w:rsid w:val="00906D49"/>
    <w:rsid w:val="009070F5"/>
    <w:rsid w:val="00910D31"/>
    <w:rsid w:val="009112B6"/>
    <w:rsid w:val="00911A2F"/>
    <w:rsid w:val="00911B0F"/>
    <w:rsid w:val="00911C1D"/>
    <w:rsid w:val="009121E3"/>
    <w:rsid w:val="009123E3"/>
    <w:rsid w:val="009125B8"/>
    <w:rsid w:val="00912726"/>
    <w:rsid w:val="00913707"/>
    <w:rsid w:val="00913ECD"/>
    <w:rsid w:val="00914038"/>
    <w:rsid w:val="009149F1"/>
    <w:rsid w:val="00914A57"/>
    <w:rsid w:val="00914CC9"/>
    <w:rsid w:val="00914E88"/>
    <w:rsid w:val="0091505D"/>
    <w:rsid w:val="00915994"/>
    <w:rsid w:val="00916DF1"/>
    <w:rsid w:val="00917017"/>
    <w:rsid w:val="009171DF"/>
    <w:rsid w:val="00917535"/>
    <w:rsid w:val="00917591"/>
    <w:rsid w:val="00917A47"/>
    <w:rsid w:val="00917E00"/>
    <w:rsid w:val="00917EF7"/>
    <w:rsid w:val="009206DD"/>
    <w:rsid w:val="00920B26"/>
    <w:rsid w:val="0092148E"/>
    <w:rsid w:val="00922335"/>
    <w:rsid w:val="0092252E"/>
    <w:rsid w:val="00922B34"/>
    <w:rsid w:val="00923176"/>
    <w:rsid w:val="00923493"/>
    <w:rsid w:val="00923A4D"/>
    <w:rsid w:val="00924C24"/>
    <w:rsid w:val="0092533E"/>
    <w:rsid w:val="00925937"/>
    <w:rsid w:val="00925977"/>
    <w:rsid w:val="0093033C"/>
    <w:rsid w:val="009305BA"/>
    <w:rsid w:val="00930C1D"/>
    <w:rsid w:val="00931392"/>
    <w:rsid w:val="00931ACE"/>
    <w:rsid w:val="00931FB9"/>
    <w:rsid w:val="0093236B"/>
    <w:rsid w:val="00932977"/>
    <w:rsid w:val="00932A6E"/>
    <w:rsid w:val="00933041"/>
    <w:rsid w:val="0093356A"/>
    <w:rsid w:val="00933E3F"/>
    <w:rsid w:val="00933EA9"/>
    <w:rsid w:val="00934192"/>
    <w:rsid w:val="0093467D"/>
    <w:rsid w:val="00935232"/>
    <w:rsid w:val="009352F8"/>
    <w:rsid w:val="00935391"/>
    <w:rsid w:val="009356C5"/>
    <w:rsid w:val="00935786"/>
    <w:rsid w:val="009360BD"/>
    <w:rsid w:val="00936A55"/>
    <w:rsid w:val="00936A66"/>
    <w:rsid w:val="00937487"/>
    <w:rsid w:val="00937DC0"/>
    <w:rsid w:val="00940B96"/>
    <w:rsid w:val="00941834"/>
    <w:rsid w:val="00941892"/>
    <w:rsid w:val="00941C2F"/>
    <w:rsid w:val="00942C0F"/>
    <w:rsid w:val="00942D65"/>
    <w:rsid w:val="009437DF"/>
    <w:rsid w:val="0094439D"/>
    <w:rsid w:val="00944599"/>
    <w:rsid w:val="00944A98"/>
    <w:rsid w:val="00944B81"/>
    <w:rsid w:val="00945328"/>
    <w:rsid w:val="009457F3"/>
    <w:rsid w:val="00946AE0"/>
    <w:rsid w:val="00947188"/>
    <w:rsid w:val="0094799D"/>
    <w:rsid w:val="009505B4"/>
    <w:rsid w:val="009506C9"/>
    <w:rsid w:val="009509A7"/>
    <w:rsid w:val="00950B11"/>
    <w:rsid w:val="00951402"/>
    <w:rsid w:val="00951629"/>
    <w:rsid w:val="00952170"/>
    <w:rsid w:val="0095227E"/>
    <w:rsid w:val="00952D99"/>
    <w:rsid w:val="0095322A"/>
    <w:rsid w:val="0095356E"/>
    <w:rsid w:val="00953C4E"/>
    <w:rsid w:val="00953E4E"/>
    <w:rsid w:val="00954C43"/>
    <w:rsid w:val="00954C4B"/>
    <w:rsid w:val="009553F5"/>
    <w:rsid w:val="00955540"/>
    <w:rsid w:val="009558B6"/>
    <w:rsid w:val="00955CC1"/>
    <w:rsid w:val="00955EBB"/>
    <w:rsid w:val="00957DB7"/>
    <w:rsid w:val="0096005D"/>
    <w:rsid w:val="009601C3"/>
    <w:rsid w:val="009607F6"/>
    <w:rsid w:val="00960D86"/>
    <w:rsid w:val="00960E91"/>
    <w:rsid w:val="00961949"/>
    <w:rsid w:val="00961F52"/>
    <w:rsid w:val="00962211"/>
    <w:rsid w:val="009624BE"/>
    <w:rsid w:val="00962C38"/>
    <w:rsid w:val="00963258"/>
    <w:rsid w:val="00963FDC"/>
    <w:rsid w:val="00964829"/>
    <w:rsid w:val="00965C04"/>
    <w:rsid w:val="00965D90"/>
    <w:rsid w:val="00965FDE"/>
    <w:rsid w:val="009662F7"/>
    <w:rsid w:val="00966987"/>
    <w:rsid w:val="009669B2"/>
    <w:rsid w:val="00966B51"/>
    <w:rsid w:val="00966D2A"/>
    <w:rsid w:val="009673E9"/>
    <w:rsid w:val="0096760A"/>
    <w:rsid w:val="009676B9"/>
    <w:rsid w:val="00967EDE"/>
    <w:rsid w:val="009706DC"/>
    <w:rsid w:val="00970917"/>
    <w:rsid w:val="00970DE9"/>
    <w:rsid w:val="00970E23"/>
    <w:rsid w:val="00971135"/>
    <w:rsid w:val="009711BB"/>
    <w:rsid w:val="00971448"/>
    <w:rsid w:val="009728B5"/>
    <w:rsid w:val="00973ADC"/>
    <w:rsid w:val="00974192"/>
    <w:rsid w:val="009746D4"/>
    <w:rsid w:val="00975C07"/>
    <w:rsid w:val="00976190"/>
    <w:rsid w:val="00976F57"/>
    <w:rsid w:val="009801DA"/>
    <w:rsid w:val="009802C2"/>
    <w:rsid w:val="00982D73"/>
    <w:rsid w:val="00982FFF"/>
    <w:rsid w:val="009838E0"/>
    <w:rsid w:val="00983F35"/>
    <w:rsid w:val="00983F5A"/>
    <w:rsid w:val="009841B9"/>
    <w:rsid w:val="00984420"/>
    <w:rsid w:val="00984450"/>
    <w:rsid w:val="00984CB4"/>
    <w:rsid w:val="00984E38"/>
    <w:rsid w:val="00985838"/>
    <w:rsid w:val="0098590A"/>
    <w:rsid w:val="00985B59"/>
    <w:rsid w:val="00985CA0"/>
    <w:rsid w:val="00986A7C"/>
    <w:rsid w:val="00987DF2"/>
    <w:rsid w:val="00987E67"/>
    <w:rsid w:val="009901D6"/>
    <w:rsid w:val="00991239"/>
    <w:rsid w:val="009917DA"/>
    <w:rsid w:val="009918D8"/>
    <w:rsid w:val="00991918"/>
    <w:rsid w:val="00991BD2"/>
    <w:rsid w:val="00992087"/>
    <w:rsid w:val="00992710"/>
    <w:rsid w:val="00994A79"/>
    <w:rsid w:val="00994D38"/>
    <w:rsid w:val="0099532B"/>
    <w:rsid w:val="009953F2"/>
    <w:rsid w:val="009955A7"/>
    <w:rsid w:val="009956A0"/>
    <w:rsid w:val="00996416"/>
    <w:rsid w:val="00996652"/>
    <w:rsid w:val="00996B0A"/>
    <w:rsid w:val="00996BBB"/>
    <w:rsid w:val="00996C71"/>
    <w:rsid w:val="009A0AD3"/>
    <w:rsid w:val="009A1601"/>
    <w:rsid w:val="009A3810"/>
    <w:rsid w:val="009A3825"/>
    <w:rsid w:val="009A4AED"/>
    <w:rsid w:val="009A4BDC"/>
    <w:rsid w:val="009A55FF"/>
    <w:rsid w:val="009A5635"/>
    <w:rsid w:val="009A595E"/>
    <w:rsid w:val="009A5D5A"/>
    <w:rsid w:val="009A66E5"/>
    <w:rsid w:val="009A73CD"/>
    <w:rsid w:val="009A7EA5"/>
    <w:rsid w:val="009B09FA"/>
    <w:rsid w:val="009B10B3"/>
    <w:rsid w:val="009B15A6"/>
    <w:rsid w:val="009B1689"/>
    <w:rsid w:val="009B1796"/>
    <w:rsid w:val="009B1F76"/>
    <w:rsid w:val="009B2109"/>
    <w:rsid w:val="009B242B"/>
    <w:rsid w:val="009B252C"/>
    <w:rsid w:val="009B28FA"/>
    <w:rsid w:val="009B3011"/>
    <w:rsid w:val="009B3CC2"/>
    <w:rsid w:val="009B40EE"/>
    <w:rsid w:val="009B4E9D"/>
    <w:rsid w:val="009B5AE2"/>
    <w:rsid w:val="009B5BE0"/>
    <w:rsid w:val="009B6E1D"/>
    <w:rsid w:val="009B72E1"/>
    <w:rsid w:val="009B7734"/>
    <w:rsid w:val="009B7DB2"/>
    <w:rsid w:val="009C047A"/>
    <w:rsid w:val="009C0A32"/>
    <w:rsid w:val="009C0AFB"/>
    <w:rsid w:val="009C1196"/>
    <w:rsid w:val="009C1591"/>
    <w:rsid w:val="009C1903"/>
    <w:rsid w:val="009C1AEC"/>
    <w:rsid w:val="009C1B9C"/>
    <w:rsid w:val="009C1DC4"/>
    <w:rsid w:val="009C26BF"/>
    <w:rsid w:val="009C30CE"/>
    <w:rsid w:val="009C3592"/>
    <w:rsid w:val="009C37AB"/>
    <w:rsid w:val="009C4594"/>
    <w:rsid w:val="009C4624"/>
    <w:rsid w:val="009C4730"/>
    <w:rsid w:val="009C486B"/>
    <w:rsid w:val="009C60D2"/>
    <w:rsid w:val="009D00AE"/>
    <w:rsid w:val="009D058C"/>
    <w:rsid w:val="009D163C"/>
    <w:rsid w:val="009D1889"/>
    <w:rsid w:val="009D1A41"/>
    <w:rsid w:val="009D2B6C"/>
    <w:rsid w:val="009D3230"/>
    <w:rsid w:val="009D35EE"/>
    <w:rsid w:val="009D364A"/>
    <w:rsid w:val="009D44CD"/>
    <w:rsid w:val="009D48B1"/>
    <w:rsid w:val="009D4CA1"/>
    <w:rsid w:val="009D4FEC"/>
    <w:rsid w:val="009D5065"/>
    <w:rsid w:val="009D5CEB"/>
    <w:rsid w:val="009D5EE4"/>
    <w:rsid w:val="009D7138"/>
    <w:rsid w:val="009E0060"/>
    <w:rsid w:val="009E0C29"/>
    <w:rsid w:val="009E0F56"/>
    <w:rsid w:val="009E1E4D"/>
    <w:rsid w:val="009E247B"/>
    <w:rsid w:val="009E2539"/>
    <w:rsid w:val="009E29A4"/>
    <w:rsid w:val="009E3171"/>
    <w:rsid w:val="009E31A8"/>
    <w:rsid w:val="009E381A"/>
    <w:rsid w:val="009E39CE"/>
    <w:rsid w:val="009E5188"/>
    <w:rsid w:val="009E5220"/>
    <w:rsid w:val="009E5EDC"/>
    <w:rsid w:val="009E63C0"/>
    <w:rsid w:val="009E6F97"/>
    <w:rsid w:val="009E6FF4"/>
    <w:rsid w:val="009E72E4"/>
    <w:rsid w:val="009E74F4"/>
    <w:rsid w:val="009E75A2"/>
    <w:rsid w:val="009E7E09"/>
    <w:rsid w:val="009F01EE"/>
    <w:rsid w:val="009F1541"/>
    <w:rsid w:val="009F1F4D"/>
    <w:rsid w:val="009F31D1"/>
    <w:rsid w:val="009F3211"/>
    <w:rsid w:val="009F32D7"/>
    <w:rsid w:val="009F3EBA"/>
    <w:rsid w:val="009F3ED5"/>
    <w:rsid w:val="009F3F34"/>
    <w:rsid w:val="009F46E7"/>
    <w:rsid w:val="009F4987"/>
    <w:rsid w:val="009F55E4"/>
    <w:rsid w:val="009F62BA"/>
    <w:rsid w:val="009F6698"/>
    <w:rsid w:val="009F7A33"/>
    <w:rsid w:val="009F7AD6"/>
    <w:rsid w:val="009F7C7A"/>
    <w:rsid w:val="00A00907"/>
    <w:rsid w:val="00A00E4E"/>
    <w:rsid w:val="00A01333"/>
    <w:rsid w:val="00A01CEF"/>
    <w:rsid w:val="00A01FB2"/>
    <w:rsid w:val="00A02633"/>
    <w:rsid w:val="00A0277D"/>
    <w:rsid w:val="00A028A4"/>
    <w:rsid w:val="00A02AA8"/>
    <w:rsid w:val="00A02ED9"/>
    <w:rsid w:val="00A03056"/>
    <w:rsid w:val="00A0456B"/>
    <w:rsid w:val="00A04616"/>
    <w:rsid w:val="00A04DC9"/>
    <w:rsid w:val="00A05EA3"/>
    <w:rsid w:val="00A06099"/>
    <w:rsid w:val="00A061BA"/>
    <w:rsid w:val="00A06EF4"/>
    <w:rsid w:val="00A07733"/>
    <w:rsid w:val="00A10C3B"/>
    <w:rsid w:val="00A1181E"/>
    <w:rsid w:val="00A12816"/>
    <w:rsid w:val="00A1281A"/>
    <w:rsid w:val="00A128B3"/>
    <w:rsid w:val="00A12B40"/>
    <w:rsid w:val="00A138BC"/>
    <w:rsid w:val="00A15DF0"/>
    <w:rsid w:val="00A162E6"/>
    <w:rsid w:val="00A16431"/>
    <w:rsid w:val="00A16D58"/>
    <w:rsid w:val="00A174ED"/>
    <w:rsid w:val="00A17D1D"/>
    <w:rsid w:val="00A20316"/>
    <w:rsid w:val="00A20966"/>
    <w:rsid w:val="00A20A37"/>
    <w:rsid w:val="00A2158C"/>
    <w:rsid w:val="00A21EDD"/>
    <w:rsid w:val="00A220ED"/>
    <w:rsid w:val="00A23D75"/>
    <w:rsid w:val="00A240E5"/>
    <w:rsid w:val="00A25240"/>
    <w:rsid w:val="00A25478"/>
    <w:rsid w:val="00A25707"/>
    <w:rsid w:val="00A2630D"/>
    <w:rsid w:val="00A26517"/>
    <w:rsid w:val="00A2655E"/>
    <w:rsid w:val="00A26ADE"/>
    <w:rsid w:val="00A26EC4"/>
    <w:rsid w:val="00A26FC7"/>
    <w:rsid w:val="00A27659"/>
    <w:rsid w:val="00A30306"/>
    <w:rsid w:val="00A30844"/>
    <w:rsid w:val="00A30A15"/>
    <w:rsid w:val="00A30A8F"/>
    <w:rsid w:val="00A30AC1"/>
    <w:rsid w:val="00A31BE9"/>
    <w:rsid w:val="00A320A4"/>
    <w:rsid w:val="00A324BF"/>
    <w:rsid w:val="00A33BCC"/>
    <w:rsid w:val="00A33BF6"/>
    <w:rsid w:val="00A33C53"/>
    <w:rsid w:val="00A3491E"/>
    <w:rsid w:val="00A34BEC"/>
    <w:rsid w:val="00A3536E"/>
    <w:rsid w:val="00A35381"/>
    <w:rsid w:val="00A35928"/>
    <w:rsid w:val="00A35C8A"/>
    <w:rsid w:val="00A360B0"/>
    <w:rsid w:val="00A360F4"/>
    <w:rsid w:val="00A36A2A"/>
    <w:rsid w:val="00A36E28"/>
    <w:rsid w:val="00A36FBE"/>
    <w:rsid w:val="00A37724"/>
    <w:rsid w:val="00A37D7C"/>
    <w:rsid w:val="00A37E7E"/>
    <w:rsid w:val="00A40509"/>
    <w:rsid w:val="00A40746"/>
    <w:rsid w:val="00A40923"/>
    <w:rsid w:val="00A40E31"/>
    <w:rsid w:val="00A41406"/>
    <w:rsid w:val="00A41463"/>
    <w:rsid w:val="00A415EF"/>
    <w:rsid w:val="00A41806"/>
    <w:rsid w:val="00A41CE6"/>
    <w:rsid w:val="00A428C2"/>
    <w:rsid w:val="00A42921"/>
    <w:rsid w:val="00A42925"/>
    <w:rsid w:val="00A4305A"/>
    <w:rsid w:val="00A43AF6"/>
    <w:rsid w:val="00A43DE1"/>
    <w:rsid w:val="00A44C79"/>
    <w:rsid w:val="00A44DE3"/>
    <w:rsid w:val="00A45B99"/>
    <w:rsid w:val="00A45C77"/>
    <w:rsid w:val="00A461B0"/>
    <w:rsid w:val="00A46205"/>
    <w:rsid w:val="00A468ED"/>
    <w:rsid w:val="00A47039"/>
    <w:rsid w:val="00A4716C"/>
    <w:rsid w:val="00A474C4"/>
    <w:rsid w:val="00A475B7"/>
    <w:rsid w:val="00A479B1"/>
    <w:rsid w:val="00A50256"/>
    <w:rsid w:val="00A5087E"/>
    <w:rsid w:val="00A50DAA"/>
    <w:rsid w:val="00A50E6D"/>
    <w:rsid w:val="00A51F40"/>
    <w:rsid w:val="00A5274A"/>
    <w:rsid w:val="00A53CD1"/>
    <w:rsid w:val="00A5407C"/>
    <w:rsid w:val="00A54647"/>
    <w:rsid w:val="00A5468C"/>
    <w:rsid w:val="00A55040"/>
    <w:rsid w:val="00A5526C"/>
    <w:rsid w:val="00A569EF"/>
    <w:rsid w:val="00A56B12"/>
    <w:rsid w:val="00A5794C"/>
    <w:rsid w:val="00A60ACE"/>
    <w:rsid w:val="00A60B79"/>
    <w:rsid w:val="00A611D5"/>
    <w:rsid w:val="00A618E4"/>
    <w:rsid w:val="00A62090"/>
    <w:rsid w:val="00A622E5"/>
    <w:rsid w:val="00A633E3"/>
    <w:rsid w:val="00A63D13"/>
    <w:rsid w:val="00A64319"/>
    <w:rsid w:val="00A64421"/>
    <w:rsid w:val="00A64515"/>
    <w:rsid w:val="00A64D50"/>
    <w:rsid w:val="00A650BA"/>
    <w:rsid w:val="00A657A7"/>
    <w:rsid w:val="00A65851"/>
    <w:rsid w:val="00A65E59"/>
    <w:rsid w:val="00A661F2"/>
    <w:rsid w:val="00A66318"/>
    <w:rsid w:val="00A66C41"/>
    <w:rsid w:val="00A670A9"/>
    <w:rsid w:val="00A6715D"/>
    <w:rsid w:val="00A67535"/>
    <w:rsid w:val="00A678D9"/>
    <w:rsid w:val="00A67927"/>
    <w:rsid w:val="00A70FD8"/>
    <w:rsid w:val="00A715A3"/>
    <w:rsid w:val="00A71BEB"/>
    <w:rsid w:val="00A7238F"/>
    <w:rsid w:val="00A725A4"/>
    <w:rsid w:val="00A728F6"/>
    <w:rsid w:val="00A729C3"/>
    <w:rsid w:val="00A72A09"/>
    <w:rsid w:val="00A73605"/>
    <w:rsid w:val="00A73D93"/>
    <w:rsid w:val="00A75B3F"/>
    <w:rsid w:val="00A76008"/>
    <w:rsid w:val="00A76BAC"/>
    <w:rsid w:val="00A7784B"/>
    <w:rsid w:val="00A77F09"/>
    <w:rsid w:val="00A80233"/>
    <w:rsid w:val="00A80C1F"/>
    <w:rsid w:val="00A80EF7"/>
    <w:rsid w:val="00A82522"/>
    <w:rsid w:val="00A8274D"/>
    <w:rsid w:val="00A82DC9"/>
    <w:rsid w:val="00A83142"/>
    <w:rsid w:val="00A837DC"/>
    <w:rsid w:val="00A8388B"/>
    <w:rsid w:val="00A8419A"/>
    <w:rsid w:val="00A84B6B"/>
    <w:rsid w:val="00A84B92"/>
    <w:rsid w:val="00A85631"/>
    <w:rsid w:val="00A85ADF"/>
    <w:rsid w:val="00A86034"/>
    <w:rsid w:val="00A861F3"/>
    <w:rsid w:val="00A86A25"/>
    <w:rsid w:val="00A87851"/>
    <w:rsid w:val="00A878B0"/>
    <w:rsid w:val="00A87B4C"/>
    <w:rsid w:val="00A905BE"/>
    <w:rsid w:val="00A905C0"/>
    <w:rsid w:val="00A90E39"/>
    <w:rsid w:val="00A91238"/>
    <w:rsid w:val="00A9190F"/>
    <w:rsid w:val="00A91F48"/>
    <w:rsid w:val="00A923CC"/>
    <w:rsid w:val="00A927AA"/>
    <w:rsid w:val="00A92DCF"/>
    <w:rsid w:val="00A939BC"/>
    <w:rsid w:val="00A93A8A"/>
    <w:rsid w:val="00A9492D"/>
    <w:rsid w:val="00A95164"/>
    <w:rsid w:val="00A955A5"/>
    <w:rsid w:val="00A955D9"/>
    <w:rsid w:val="00A9575A"/>
    <w:rsid w:val="00A9585A"/>
    <w:rsid w:val="00A95D98"/>
    <w:rsid w:val="00A961A3"/>
    <w:rsid w:val="00A96626"/>
    <w:rsid w:val="00A97634"/>
    <w:rsid w:val="00A97FC6"/>
    <w:rsid w:val="00AA04DF"/>
    <w:rsid w:val="00AA1B1F"/>
    <w:rsid w:val="00AA1B58"/>
    <w:rsid w:val="00AA1DDE"/>
    <w:rsid w:val="00AA31EC"/>
    <w:rsid w:val="00AA32AF"/>
    <w:rsid w:val="00AA3DAA"/>
    <w:rsid w:val="00AA43E4"/>
    <w:rsid w:val="00AA64FB"/>
    <w:rsid w:val="00AA7704"/>
    <w:rsid w:val="00AA7E18"/>
    <w:rsid w:val="00AB0406"/>
    <w:rsid w:val="00AB0423"/>
    <w:rsid w:val="00AB099A"/>
    <w:rsid w:val="00AB0AE5"/>
    <w:rsid w:val="00AB1427"/>
    <w:rsid w:val="00AB1DEE"/>
    <w:rsid w:val="00AB21B9"/>
    <w:rsid w:val="00AB28FF"/>
    <w:rsid w:val="00AB3442"/>
    <w:rsid w:val="00AB3647"/>
    <w:rsid w:val="00AB370F"/>
    <w:rsid w:val="00AB39E4"/>
    <w:rsid w:val="00AB3AB7"/>
    <w:rsid w:val="00AB46E1"/>
    <w:rsid w:val="00AB47E4"/>
    <w:rsid w:val="00AB492E"/>
    <w:rsid w:val="00AB539C"/>
    <w:rsid w:val="00AB5B22"/>
    <w:rsid w:val="00AB5BD0"/>
    <w:rsid w:val="00AB5E50"/>
    <w:rsid w:val="00AB62DF"/>
    <w:rsid w:val="00AB720C"/>
    <w:rsid w:val="00AB73C1"/>
    <w:rsid w:val="00AB7F0D"/>
    <w:rsid w:val="00AC020F"/>
    <w:rsid w:val="00AC0714"/>
    <w:rsid w:val="00AC153F"/>
    <w:rsid w:val="00AC2749"/>
    <w:rsid w:val="00AC3328"/>
    <w:rsid w:val="00AC39DC"/>
    <w:rsid w:val="00AC4206"/>
    <w:rsid w:val="00AC45C3"/>
    <w:rsid w:val="00AC5561"/>
    <w:rsid w:val="00AC5AF7"/>
    <w:rsid w:val="00AC5E35"/>
    <w:rsid w:val="00AC69A8"/>
    <w:rsid w:val="00AC6B1D"/>
    <w:rsid w:val="00AC720B"/>
    <w:rsid w:val="00AC7545"/>
    <w:rsid w:val="00AC7AD4"/>
    <w:rsid w:val="00AC7CC2"/>
    <w:rsid w:val="00AD0FF7"/>
    <w:rsid w:val="00AD26AB"/>
    <w:rsid w:val="00AD2FDA"/>
    <w:rsid w:val="00AD3862"/>
    <w:rsid w:val="00AD407E"/>
    <w:rsid w:val="00AD447B"/>
    <w:rsid w:val="00AD4C82"/>
    <w:rsid w:val="00AD56FF"/>
    <w:rsid w:val="00AD6369"/>
    <w:rsid w:val="00AD66E6"/>
    <w:rsid w:val="00AD7490"/>
    <w:rsid w:val="00AE081B"/>
    <w:rsid w:val="00AE1144"/>
    <w:rsid w:val="00AE1715"/>
    <w:rsid w:val="00AE19A5"/>
    <w:rsid w:val="00AE25C2"/>
    <w:rsid w:val="00AE268D"/>
    <w:rsid w:val="00AE2CDB"/>
    <w:rsid w:val="00AE302B"/>
    <w:rsid w:val="00AE3BDB"/>
    <w:rsid w:val="00AE44D3"/>
    <w:rsid w:val="00AE4D9F"/>
    <w:rsid w:val="00AE4FD2"/>
    <w:rsid w:val="00AE52B5"/>
    <w:rsid w:val="00AE5360"/>
    <w:rsid w:val="00AE5552"/>
    <w:rsid w:val="00AE5649"/>
    <w:rsid w:val="00AE5C67"/>
    <w:rsid w:val="00AE5FEC"/>
    <w:rsid w:val="00AE6413"/>
    <w:rsid w:val="00AE6AD8"/>
    <w:rsid w:val="00AF018D"/>
    <w:rsid w:val="00AF0A33"/>
    <w:rsid w:val="00AF1064"/>
    <w:rsid w:val="00AF14F0"/>
    <w:rsid w:val="00AF1516"/>
    <w:rsid w:val="00AF19CA"/>
    <w:rsid w:val="00AF1E31"/>
    <w:rsid w:val="00AF22D1"/>
    <w:rsid w:val="00AF2C51"/>
    <w:rsid w:val="00AF319F"/>
    <w:rsid w:val="00AF352A"/>
    <w:rsid w:val="00AF3B86"/>
    <w:rsid w:val="00AF5D1F"/>
    <w:rsid w:val="00AF6A30"/>
    <w:rsid w:val="00AF6D56"/>
    <w:rsid w:val="00AF77CA"/>
    <w:rsid w:val="00B011A0"/>
    <w:rsid w:val="00B01562"/>
    <w:rsid w:val="00B01624"/>
    <w:rsid w:val="00B01B40"/>
    <w:rsid w:val="00B022E4"/>
    <w:rsid w:val="00B02301"/>
    <w:rsid w:val="00B02802"/>
    <w:rsid w:val="00B033ED"/>
    <w:rsid w:val="00B0347E"/>
    <w:rsid w:val="00B03A5C"/>
    <w:rsid w:val="00B0402B"/>
    <w:rsid w:val="00B0434A"/>
    <w:rsid w:val="00B043D1"/>
    <w:rsid w:val="00B046F8"/>
    <w:rsid w:val="00B04D82"/>
    <w:rsid w:val="00B06881"/>
    <w:rsid w:val="00B06895"/>
    <w:rsid w:val="00B068A5"/>
    <w:rsid w:val="00B07D2B"/>
    <w:rsid w:val="00B10522"/>
    <w:rsid w:val="00B10AC7"/>
    <w:rsid w:val="00B11079"/>
    <w:rsid w:val="00B11FF4"/>
    <w:rsid w:val="00B12313"/>
    <w:rsid w:val="00B1270A"/>
    <w:rsid w:val="00B12ACE"/>
    <w:rsid w:val="00B13388"/>
    <w:rsid w:val="00B144F8"/>
    <w:rsid w:val="00B1478A"/>
    <w:rsid w:val="00B14FB9"/>
    <w:rsid w:val="00B151F6"/>
    <w:rsid w:val="00B15265"/>
    <w:rsid w:val="00B15A4E"/>
    <w:rsid w:val="00B15A58"/>
    <w:rsid w:val="00B15E9F"/>
    <w:rsid w:val="00B16577"/>
    <w:rsid w:val="00B1732E"/>
    <w:rsid w:val="00B1749F"/>
    <w:rsid w:val="00B20DCA"/>
    <w:rsid w:val="00B2200E"/>
    <w:rsid w:val="00B220E1"/>
    <w:rsid w:val="00B22292"/>
    <w:rsid w:val="00B222ED"/>
    <w:rsid w:val="00B22678"/>
    <w:rsid w:val="00B22C24"/>
    <w:rsid w:val="00B23214"/>
    <w:rsid w:val="00B2397A"/>
    <w:rsid w:val="00B23D22"/>
    <w:rsid w:val="00B24418"/>
    <w:rsid w:val="00B24BA2"/>
    <w:rsid w:val="00B25263"/>
    <w:rsid w:val="00B25FEA"/>
    <w:rsid w:val="00B264E5"/>
    <w:rsid w:val="00B267A3"/>
    <w:rsid w:val="00B26A91"/>
    <w:rsid w:val="00B26E34"/>
    <w:rsid w:val="00B2730F"/>
    <w:rsid w:val="00B27DE0"/>
    <w:rsid w:val="00B30277"/>
    <w:rsid w:val="00B30CA1"/>
    <w:rsid w:val="00B312AC"/>
    <w:rsid w:val="00B32109"/>
    <w:rsid w:val="00B32A79"/>
    <w:rsid w:val="00B3349C"/>
    <w:rsid w:val="00B33B0A"/>
    <w:rsid w:val="00B33D27"/>
    <w:rsid w:val="00B33D8F"/>
    <w:rsid w:val="00B33F11"/>
    <w:rsid w:val="00B341D7"/>
    <w:rsid w:val="00B341F1"/>
    <w:rsid w:val="00B3421A"/>
    <w:rsid w:val="00B343B5"/>
    <w:rsid w:val="00B346C4"/>
    <w:rsid w:val="00B34ACB"/>
    <w:rsid w:val="00B34C5B"/>
    <w:rsid w:val="00B35329"/>
    <w:rsid w:val="00B35F06"/>
    <w:rsid w:val="00B365BA"/>
    <w:rsid w:val="00B36929"/>
    <w:rsid w:val="00B36A60"/>
    <w:rsid w:val="00B372C9"/>
    <w:rsid w:val="00B376F5"/>
    <w:rsid w:val="00B37AE4"/>
    <w:rsid w:val="00B40300"/>
    <w:rsid w:val="00B4067E"/>
    <w:rsid w:val="00B40A42"/>
    <w:rsid w:val="00B41A08"/>
    <w:rsid w:val="00B41F9B"/>
    <w:rsid w:val="00B42094"/>
    <w:rsid w:val="00B425A5"/>
    <w:rsid w:val="00B42806"/>
    <w:rsid w:val="00B42C0E"/>
    <w:rsid w:val="00B4350C"/>
    <w:rsid w:val="00B4372D"/>
    <w:rsid w:val="00B440EB"/>
    <w:rsid w:val="00B44566"/>
    <w:rsid w:val="00B44A30"/>
    <w:rsid w:val="00B45FE6"/>
    <w:rsid w:val="00B467F9"/>
    <w:rsid w:val="00B46905"/>
    <w:rsid w:val="00B46D0E"/>
    <w:rsid w:val="00B47C9C"/>
    <w:rsid w:val="00B50339"/>
    <w:rsid w:val="00B50B2D"/>
    <w:rsid w:val="00B50C07"/>
    <w:rsid w:val="00B50EEC"/>
    <w:rsid w:val="00B51795"/>
    <w:rsid w:val="00B519CB"/>
    <w:rsid w:val="00B5238C"/>
    <w:rsid w:val="00B5324F"/>
    <w:rsid w:val="00B53907"/>
    <w:rsid w:val="00B54684"/>
    <w:rsid w:val="00B54AB7"/>
    <w:rsid w:val="00B54C18"/>
    <w:rsid w:val="00B55A5B"/>
    <w:rsid w:val="00B564FE"/>
    <w:rsid w:val="00B56623"/>
    <w:rsid w:val="00B56B8D"/>
    <w:rsid w:val="00B56E53"/>
    <w:rsid w:val="00B57633"/>
    <w:rsid w:val="00B57934"/>
    <w:rsid w:val="00B57EAC"/>
    <w:rsid w:val="00B602AB"/>
    <w:rsid w:val="00B60744"/>
    <w:rsid w:val="00B610F4"/>
    <w:rsid w:val="00B61209"/>
    <w:rsid w:val="00B6155E"/>
    <w:rsid w:val="00B6241A"/>
    <w:rsid w:val="00B62566"/>
    <w:rsid w:val="00B63B85"/>
    <w:rsid w:val="00B64636"/>
    <w:rsid w:val="00B64B37"/>
    <w:rsid w:val="00B64D46"/>
    <w:rsid w:val="00B65921"/>
    <w:rsid w:val="00B65B18"/>
    <w:rsid w:val="00B65D30"/>
    <w:rsid w:val="00B65E23"/>
    <w:rsid w:val="00B65E55"/>
    <w:rsid w:val="00B66024"/>
    <w:rsid w:val="00B6604D"/>
    <w:rsid w:val="00B664EF"/>
    <w:rsid w:val="00B666E2"/>
    <w:rsid w:val="00B66B28"/>
    <w:rsid w:val="00B66D16"/>
    <w:rsid w:val="00B6702B"/>
    <w:rsid w:val="00B6712B"/>
    <w:rsid w:val="00B675EF"/>
    <w:rsid w:val="00B67B49"/>
    <w:rsid w:val="00B705ED"/>
    <w:rsid w:val="00B70DE3"/>
    <w:rsid w:val="00B71EC1"/>
    <w:rsid w:val="00B7223A"/>
    <w:rsid w:val="00B72A00"/>
    <w:rsid w:val="00B72F0F"/>
    <w:rsid w:val="00B735D3"/>
    <w:rsid w:val="00B7399C"/>
    <w:rsid w:val="00B73E6B"/>
    <w:rsid w:val="00B74053"/>
    <w:rsid w:val="00B74CB9"/>
    <w:rsid w:val="00B74EBD"/>
    <w:rsid w:val="00B750D0"/>
    <w:rsid w:val="00B750E2"/>
    <w:rsid w:val="00B75420"/>
    <w:rsid w:val="00B75D7B"/>
    <w:rsid w:val="00B7685A"/>
    <w:rsid w:val="00B76ECE"/>
    <w:rsid w:val="00B76F60"/>
    <w:rsid w:val="00B7758C"/>
    <w:rsid w:val="00B7798F"/>
    <w:rsid w:val="00B779A9"/>
    <w:rsid w:val="00B77B75"/>
    <w:rsid w:val="00B77C93"/>
    <w:rsid w:val="00B801B7"/>
    <w:rsid w:val="00B80A72"/>
    <w:rsid w:val="00B80B32"/>
    <w:rsid w:val="00B812D1"/>
    <w:rsid w:val="00B8164B"/>
    <w:rsid w:val="00B81BC3"/>
    <w:rsid w:val="00B822D2"/>
    <w:rsid w:val="00B82DB1"/>
    <w:rsid w:val="00B82EAA"/>
    <w:rsid w:val="00B830A1"/>
    <w:rsid w:val="00B83283"/>
    <w:rsid w:val="00B83763"/>
    <w:rsid w:val="00B8376A"/>
    <w:rsid w:val="00B83923"/>
    <w:rsid w:val="00B83997"/>
    <w:rsid w:val="00B839A0"/>
    <w:rsid w:val="00B83B5D"/>
    <w:rsid w:val="00B841F9"/>
    <w:rsid w:val="00B8437C"/>
    <w:rsid w:val="00B843CD"/>
    <w:rsid w:val="00B849EE"/>
    <w:rsid w:val="00B850EA"/>
    <w:rsid w:val="00B860D7"/>
    <w:rsid w:val="00B86148"/>
    <w:rsid w:val="00B86A41"/>
    <w:rsid w:val="00B86AA8"/>
    <w:rsid w:val="00B86D87"/>
    <w:rsid w:val="00B87590"/>
    <w:rsid w:val="00B901EB"/>
    <w:rsid w:val="00B90360"/>
    <w:rsid w:val="00B90368"/>
    <w:rsid w:val="00B90A45"/>
    <w:rsid w:val="00B90B94"/>
    <w:rsid w:val="00B91742"/>
    <w:rsid w:val="00B918F6"/>
    <w:rsid w:val="00B91BFB"/>
    <w:rsid w:val="00B91CB5"/>
    <w:rsid w:val="00B91E69"/>
    <w:rsid w:val="00B922ED"/>
    <w:rsid w:val="00B92FB5"/>
    <w:rsid w:val="00B92FD5"/>
    <w:rsid w:val="00B9318B"/>
    <w:rsid w:val="00B934C7"/>
    <w:rsid w:val="00B93515"/>
    <w:rsid w:val="00B947B5"/>
    <w:rsid w:val="00B94967"/>
    <w:rsid w:val="00B94995"/>
    <w:rsid w:val="00B94FAA"/>
    <w:rsid w:val="00B968A5"/>
    <w:rsid w:val="00B96F48"/>
    <w:rsid w:val="00B97B57"/>
    <w:rsid w:val="00B97DFB"/>
    <w:rsid w:val="00BA1539"/>
    <w:rsid w:val="00BA1D1F"/>
    <w:rsid w:val="00BA204B"/>
    <w:rsid w:val="00BA2240"/>
    <w:rsid w:val="00BA2EAA"/>
    <w:rsid w:val="00BA3AA3"/>
    <w:rsid w:val="00BA4300"/>
    <w:rsid w:val="00BA4481"/>
    <w:rsid w:val="00BA454E"/>
    <w:rsid w:val="00BA4CD6"/>
    <w:rsid w:val="00BA4E2C"/>
    <w:rsid w:val="00BA56DA"/>
    <w:rsid w:val="00BA57B5"/>
    <w:rsid w:val="00BA5A9A"/>
    <w:rsid w:val="00BA5C1B"/>
    <w:rsid w:val="00BA5FC6"/>
    <w:rsid w:val="00BA61EE"/>
    <w:rsid w:val="00BA6CA8"/>
    <w:rsid w:val="00BA6F30"/>
    <w:rsid w:val="00BA6F68"/>
    <w:rsid w:val="00BA7068"/>
    <w:rsid w:val="00BA761C"/>
    <w:rsid w:val="00BA77AF"/>
    <w:rsid w:val="00BB01B6"/>
    <w:rsid w:val="00BB02F1"/>
    <w:rsid w:val="00BB0BF5"/>
    <w:rsid w:val="00BB1329"/>
    <w:rsid w:val="00BB2792"/>
    <w:rsid w:val="00BB29FA"/>
    <w:rsid w:val="00BB2BA6"/>
    <w:rsid w:val="00BB39E9"/>
    <w:rsid w:val="00BB40B6"/>
    <w:rsid w:val="00BB4831"/>
    <w:rsid w:val="00BB4AFF"/>
    <w:rsid w:val="00BB5A87"/>
    <w:rsid w:val="00BB5D9B"/>
    <w:rsid w:val="00BB5DED"/>
    <w:rsid w:val="00BB5F44"/>
    <w:rsid w:val="00BB626D"/>
    <w:rsid w:val="00BC22D4"/>
    <w:rsid w:val="00BC348C"/>
    <w:rsid w:val="00BC3A2C"/>
    <w:rsid w:val="00BC3D9E"/>
    <w:rsid w:val="00BC4E39"/>
    <w:rsid w:val="00BC4EEE"/>
    <w:rsid w:val="00BC51D6"/>
    <w:rsid w:val="00BC5A51"/>
    <w:rsid w:val="00BC5AD8"/>
    <w:rsid w:val="00BC5DFB"/>
    <w:rsid w:val="00BC5E87"/>
    <w:rsid w:val="00BC6190"/>
    <w:rsid w:val="00BC62EB"/>
    <w:rsid w:val="00BC63F3"/>
    <w:rsid w:val="00BC644B"/>
    <w:rsid w:val="00BC6AA2"/>
    <w:rsid w:val="00BC725D"/>
    <w:rsid w:val="00BC7E78"/>
    <w:rsid w:val="00BD0739"/>
    <w:rsid w:val="00BD0848"/>
    <w:rsid w:val="00BD08A5"/>
    <w:rsid w:val="00BD12AB"/>
    <w:rsid w:val="00BD1A10"/>
    <w:rsid w:val="00BD1C35"/>
    <w:rsid w:val="00BD22BA"/>
    <w:rsid w:val="00BD2E07"/>
    <w:rsid w:val="00BD3F1E"/>
    <w:rsid w:val="00BD4349"/>
    <w:rsid w:val="00BD4BF4"/>
    <w:rsid w:val="00BD5179"/>
    <w:rsid w:val="00BD5236"/>
    <w:rsid w:val="00BD58B4"/>
    <w:rsid w:val="00BD59B6"/>
    <w:rsid w:val="00BD5C1E"/>
    <w:rsid w:val="00BD614F"/>
    <w:rsid w:val="00BD6E94"/>
    <w:rsid w:val="00BD6EC3"/>
    <w:rsid w:val="00BD6ECA"/>
    <w:rsid w:val="00BD7D03"/>
    <w:rsid w:val="00BE0058"/>
    <w:rsid w:val="00BE102C"/>
    <w:rsid w:val="00BE1331"/>
    <w:rsid w:val="00BE1988"/>
    <w:rsid w:val="00BE1CEE"/>
    <w:rsid w:val="00BE264A"/>
    <w:rsid w:val="00BE29A2"/>
    <w:rsid w:val="00BE51E0"/>
    <w:rsid w:val="00BE5E7D"/>
    <w:rsid w:val="00BE5F5A"/>
    <w:rsid w:val="00BE6155"/>
    <w:rsid w:val="00BE6393"/>
    <w:rsid w:val="00BE639F"/>
    <w:rsid w:val="00BE63CA"/>
    <w:rsid w:val="00BE6838"/>
    <w:rsid w:val="00BE69C6"/>
    <w:rsid w:val="00BE7DC8"/>
    <w:rsid w:val="00BF006B"/>
    <w:rsid w:val="00BF039D"/>
    <w:rsid w:val="00BF04AF"/>
    <w:rsid w:val="00BF12B8"/>
    <w:rsid w:val="00BF1597"/>
    <w:rsid w:val="00BF16FD"/>
    <w:rsid w:val="00BF203C"/>
    <w:rsid w:val="00BF2920"/>
    <w:rsid w:val="00BF2FEC"/>
    <w:rsid w:val="00BF3112"/>
    <w:rsid w:val="00BF322B"/>
    <w:rsid w:val="00BF3C9A"/>
    <w:rsid w:val="00BF45FB"/>
    <w:rsid w:val="00BF46C5"/>
    <w:rsid w:val="00BF4A39"/>
    <w:rsid w:val="00BF4EDA"/>
    <w:rsid w:val="00BF4F39"/>
    <w:rsid w:val="00BF5475"/>
    <w:rsid w:val="00BF5763"/>
    <w:rsid w:val="00BF6407"/>
    <w:rsid w:val="00BF65E6"/>
    <w:rsid w:val="00BF69BA"/>
    <w:rsid w:val="00BF6AD2"/>
    <w:rsid w:val="00BF6D49"/>
    <w:rsid w:val="00BF79FA"/>
    <w:rsid w:val="00C0020C"/>
    <w:rsid w:val="00C002E2"/>
    <w:rsid w:val="00C00A9A"/>
    <w:rsid w:val="00C00BD1"/>
    <w:rsid w:val="00C00E04"/>
    <w:rsid w:val="00C016FF"/>
    <w:rsid w:val="00C01793"/>
    <w:rsid w:val="00C01E41"/>
    <w:rsid w:val="00C02DBF"/>
    <w:rsid w:val="00C03332"/>
    <w:rsid w:val="00C03AD8"/>
    <w:rsid w:val="00C0430D"/>
    <w:rsid w:val="00C04464"/>
    <w:rsid w:val="00C04480"/>
    <w:rsid w:val="00C06014"/>
    <w:rsid w:val="00C071C9"/>
    <w:rsid w:val="00C07E62"/>
    <w:rsid w:val="00C07F77"/>
    <w:rsid w:val="00C10A9B"/>
    <w:rsid w:val="00C11255"/>
    <w:rsid w:val="00C11B80"/>
    <w:rsid w:val="00C11C49"/>
    <w:rsid w:val="00C1352F"/>
    <w:rsid w:val="00C13903"/>
    <w:rsid w:val="00C13C8E"/>
    <w:rsid w:val="00C13FDD"/>
    <w:rsid w:val="00C143E8"/>
    <w:rsid w:val="00C147C4"/>
    <w:rsid w:val="00C14ECB"/>
    <w:rsid w:val="00C15D0A"/>
    <w:rsid w:val="00C1614F"/>
    <w:rsid w:val="00C17529"/>
    <w:rsid w:val="00C17668"/>
    <w:rsid w:val="00C178F7"/>
    <w:rsid w:val="00C20EDF"/>
    <w:rsid w:val="00C21428"/>
    <w:rsid w:val="00C21B4B"/>
    <w:rsid w:val="00C21D8C"/>
    <w:rsid w:val="00C2212F"/>
    <w:rsid w:val="00C22800"/>
    <w:rsid w:val="00C23122"/>
    <w:rsid w:val="00C2371C"/>
    <w:rsid w:val="00C238F6"/>
    <w:rsid w:val="00C2434B"/>
    <w:rsid w:val="00C248F9"/>
    <w:rsid w:val="00C24D82"/>
    <w:rsid w:val="00C24FA1"/>
    <w:rsid w:val="00C254EE"/>
    <w:rsid w:val="00C25BCC"/>
    <w:rsid w:val="00C25E5C"/>
    <w:rsid w:val="00C25FD8"/>
    <w:rsid w:val="00C26338"/>
    <w:rsid w:val="00C2651E"/>
    <w:rsid w:val="00C275E4"/>
    <w:rsid w:val="00C3077A"/>
    <w:rsid w:val="00C3157F"/>
    <w:rsid w:val="00C315F7"/>
    <w:rsid w:val="00C3194D"/>
    <w:rsid w:val="00C31BBD"/>
    <w:rsid w:val="00C32193"/>
    <w:rsid w:val="00C321EA"/>
    <w:rsid w:val="00C32B47"/>
    <w:rsid w:val="00C33891"/>
    <w:rsid w:val="00C33E69"/>
    <w:rsid w:val="00C341A2"/>
    <w:rsid w:val="00C34B2A"/>
    <w:rsid w:val="00C35646"/>
    <w:rsid w:val="00C35AA1"/>
    <w:rsid w:val="00C35C28"/>
    <w:rsid w:val="00C364B5"/>
    <w:rsid w:val="00C36E9D"/>
    <w:rsid w:val="00C3746B"/>
    <w:rsid w:val="00C41B99"/>
    <w:rsid w:val="00C41CF6"/>
    <w:rsid w:val="00C42F2E"/>
    <w:rsid w:val="00C4371D"/>
    <w:rsid w:val="00C43AD0"/>
    <w:rsid w:val="00C4436A"/>
    <w:rsid w:val="00C458DF"/>
    <w:rsid w:val="00C46189"/>
    <w:rsid w:val="00C46282"/>
    <w:rsid w:val="00C47091"/>
    <w:rsid w:val="00C47B70"/>
    <w:rsid w:val="00C503EF"/>
    <w:rsid w:val="00C505B9"/>
    <w:rsid w:val="00C50FB8"/>
    <w:rsid w:val="00C5123D"/>
    <w:rsid w:val="00C512FA"/>
    <w:rsid w:val="00C51F4D"/>
    <w:rsid w:val="00C51FF3"/>
    <w:rsid w:val="00C534C8"/>
    <w:rsid w:val="00C537C1"/>
    <w:rsid w:val="00C5386A"/>
    <w:rsid w:val="00C54244"/>
    <w:rsid w:val="00C5685E"/>
    <w:rsid w:val="00C56BCE"/>
    <w:rsid w:val="00C56C15"/>
    <w:rsid w:val="00C56CC2"/>
    <w:rsid w:val="00C5706A"/>
    <w:rsid w:val="00C57416"/>
    <w:rsid w:val="00C60580"/>
    <w:rsid w:val="00C60F64"/>
    <w:rsid w:val="00C617E9"/>
    <w:rsid w:val="00C61FC7"/>
    <w:rsid w:val="00C62361"/>
    <w:rsid w:val="00C6278B"/>
    <w:rsid w:val="00C62B82"/>
    <w:rsid w:val="00C63475"/>
    <w:rsid w:val="00C63851"/>
    <w:rsid w:val="00C63BD4"/>
    <w:rsid w:val="00C65016"/>
    <w:rsid w:val="00C657C4"/>
    <w:rsid w:val="00C65A63"/>
    <w:rsid w:val="00C65D77"/>
    <w:rsid w:val="00C66DEC"/>
    <w:rsid w:val="00C66FA3"/>
    <w:rsid w:val="00C708FE"/>
    <w:rsid w:val="00C70AEF"/>
    <w:rsid w:val="00C70FAF"/>
    <w:rsid w:val="00C71649"/>
    <w:rsid w:val="00C7209D"/>
    <w:rsid w:val="00C722EB"/>
    <w:rsid w:val="00C72CF3"/>
    <w:rsid w:val="00C73492"/>
    <w:rsid w:val="00C735E5"/>
    <w:rsid w:val="00C73929"/>
    <w:rsid w:val="00C73E98"/>
    <w:rsid w:val="00C7410E"/>
    <w:rsid w:val="00C7536D"/>
    <w:rsid w:val="00C757B2"/>
    <w:rsid w:val="00C7662F"/>
    <w:rsid w:val="00C76AB8"/>
    <w:rsid w:val="00C77407"/>
    <w:rsid w:val="00C80228"/>
    <w:rsid w:val="00C80DDE"/>
    <w:rsid w:val="00C810C4"/>
    <w:rsid w:val="00C817E9"/>
    <w:rsid w:val="00C826E2"/>
    <w:rsid w:val="00C82B39"/>
    <w:rsid w:val="00C82D38"/>
    <w:rsid w:val="00C833AE"/>
    <w:rsid w:val="00C8365D"/>
    <w:rsid w:val="00C839E5"/>
    <w:rsid w:val="00C83B25"/>
    <w:rsid w:val="00C83FC3"/>
    <w:rsid w:val="00C84977"/>
    <w:rsid w:val="00C84B48"/>
    <w:rsid w:val="00C84C11"/>
    <w:rsid w:val="00C85260"/>
    <w:rsid w:val="00C861D2"/>
    <w:rsid w:val="00C86289"/>
    <w:rsid w:val="00C864E1"/>
    <w:rsid w:val="00C86566"/>
    <w:rsid w:val="00C902C4"/>
    <w:rsid w:val="00C9084C"/>
    <w:rsid w:val="00C90A7B"/>
    <w:rsid w:val="00C90B65"/>
    <w:rsid w:val="00C90EF2"/>
    <w:rsid w:val="00C91408"/>
    <w:rsid w:val="00C91537"/>
    <w:rsid w:val="00C919D2"/>
    <w:rsid w:val="00C91D1A"/>
    <w:rsid w:val="00C92281"/>
    <w:rsid w:val="00C929BA"/>
    <w:rsid w:val="00C92CDA"/>
    <w:rsid w:val="00C93A7B"/>
    <w:rsid w:val="00C94090"/>
    <w:rsid w:val="00C942D4"/>
    <w:rsid w:val="00C9472B"/>
    <w:rsid w:val="00C94839"/>
    <w:rsid w:val="00C94C1F"/>
    <w:rsid w:val="00C95787"/>
    <w:rsid w:val="00C95A4E"/>
    <w:rsid w:val="00C95D57"/>
    <w:rsid w:val="00C96597"/>
    <w:rsid w:val="00C9694F"/>
    <w:rsid w:val="00C969F3"/>
    <w:rsid w:val="00C96DF2"/>
    <w:rsid w:val="00C97211"/>
    <w:rsid w:val="00C97AD1"/>
    <w:rsid w:val="00C97CA2"/>
    <w:rsid w:val="00CA0DBF"/>
    <w:rsid w:val="00CA0EA5"/>
    <w:rsid w:val="00CA12A7"/>
    <w:rsid w:val="00CA1EB2"/>
    <w:rsid w:val="00CA2196"/>
    <w:rsid w:val="00CA229C"/>
    <w:rsid w:val="00CA2450"/>
    <w:rsid w:val="00CA2653"/>
    <w:rsid w:val="00CA351B"/>
    <w:rsid w:val="00CA3B24"/>
    <w:rsid w:val="00CA3C88"/>
    <w:rsid w:val="00CA3FFE"/>
    <w:rsid w:val="00CA43D9"/>
    <w:rsid w:val="00CA4542"/>
    <w:rsid w:val="00CA616F"/>
    <w:rsid w:val="00CA66C8"/>
    <w:rsid w:val="00CA6F0D"/>
    <w:rsid w:val="00CA72C5"/>
    <w:rsid w:val="00CA7FEC"/>
    <w:rsid w:val="00CB04AC"/>
    <w:rsid w:val="00CB0883"/>
    <w:rsid w:val="00CB0968"/>
    <w:rsid w:val="00CB0A52"/>
    <w:rsid w:val="00CB2099"/>
    <w:rsid w:val="00CB20B1"/>
    <w:rsid w:val="00CB20F6"/>
    <w:rsid w:val="00CB33FA"/>
    <w:rsid w:val="00CB37BA"/>
    <w:rsid w:val="00CB398A"/>
    <w:rsid w:val="00CB3D6D"/>
    <w:rsid w:val="00CB418B"/>
    <w:rsid w:val="00CB59DB"/>
    <w:rsid w:val="00CB5A26"/>
    <w:rsid w:val="00CB68E6"/>
    <w:rsid w:val="00CB6DF8"/>
    <w:rsid w:val="00CB73C4"/>
    <w:rsid w:val="00CB7BB1"/>
    <w:rsid w:val="00CC0028"/>
    <w:rsid w:val="00CC040F"/>
    <w:rsid w:val="00CC0973"/>
    <w:rsid w:val="00CC0C23"/>
    <w:rsid w:val="00CC1069"/>
    <w:rsid w:val="00CC1418"/>
    <w:rsid w:val="00CC1A2F"/>
    <w:rsid w:val="00CC1A4A"/>
    <w:rsid w:val="00CC24CD"/>
    <w:rsid w:val="00CC3D7C"/>
    <w:rsid w:val="00CC3FB4"/>
    <w:rsid w:val="00CC47E5"/>
    <w:rsid w:val="00CC4B12"/>
    <w:rsid w:val="00CC4EF4"/>
    <w:rsid w:val="00CC51C3"/>
    <w:rsid w:val="00CC5842"/>
    <w:rsid w:val="00CC5A7E"/>
    <w:rsid w:val="00CC60E7"/>
    <w:rsid w:val="00CC6123"/>
    <w:rsid w:val="00CC6675"/>
    <w:rsid w:val="00CC7603"/>
    <w:rsid w:val="00CC7753"/>
    <w:rsid w:val="00CC7DE8"/>
    <w:rsid w:val="00CD03FF"/>
    <w:rsid w:val="00CD0607"/>
    <w:rsid w:val="00CD0A3E"/>
    <w:rsid w:val="00CD0C0E"/>
    <w:rsid w:val="00CD10BD"/>
    <w:rsid w:val="00CD11C3"/>
    <w:rsid w:val="00CD1BE4"/>
    <w:rsid w:val="00CD2143"/>
    <w:rsid w:val="00CD22C1"/>
    <w:rsid w:val="00CD2F47"/>
    <w:rsid w:val="00CD3154"/>
    <w:rsid w:val="00CD3E5B"/>
    <w:rsid w:val="00CD3F30"/>
    <w:rsid w:val="00CD5046"/>
    <w:rsid w:val="00CD5936"/>
    <w:rsid w:val="00CD5C01"/>
    <w:rsid w:val="00CD5F4E"/>
    <w:rsid w:val="00CD73B1"/>
    <w:rsid w:val="00CD7675"/>
    <w:rsid w:val="00CD76ED"/>
    <w:rsid w:val="00CD78CD"/>
    <w:rsid w:val="00CE0335"/>
    <w:rsid w:val="00CE0D37"/>
    <w:rsid w:val="00CE0EF5"/>
    <w:rsid w:val="00CE11C0"/>
    <w:rsid w:val="00CE133A"/>
    <w:rsid w:val="00CE233A"/>
    <w:rsid w:val="00CE240F"/>
    <w:rsid w:val="00CE281B"/>
    <w:rsid w:val="00CE2DF5"/>
    <w:rsid w:val="00CE35D5"/>
    <w:rsid w:val="00CE4A35"/>
    <w:rsid w:val="00CE4AED"/>
    <w:rsid w:val="00CE4B17"/>
    <w:rsid w:val="00CE52CE"/>
    <w:rsid w:val="00CE5561"/>
    <w:rsid w:val="00CE5F60"/>
    <w:rsid w:val="00CE6454"/>
    <w:rsid w:val="00CE6B6C"/>
    <w:rsid w:val="00CE6C1F"/>
    <w:rsid w:val="00CE788B"/>
    <w:rsid w:val="00CF27E0"/>
    <w:rsid w:val="00CF2FE5"/>
    <w:rsid w:val="00CF3B91"/>
    <w:rsid w:val="00CF3BCE"/>
    <w:rsid w:val="00CF40C6"/>
    <w:rsid w:val="00CF525B"/>
    <w:rsid w:val="00CF5C15"/>
    <w:rsid w:val="00CF5D99"/>
    <w:rsid w:val="00CF5FA4"/>
    <w:rsid w:val="00CF60F8"/>
    <w:rsid w:val="00CF6558"/>
    <w:rsid w:val="00CF66D6"/>
    <w:rsid w:val="00CF7230"/>
    <w:rsid w:val="00D00DE7"/>
    <w:rsid w:val="00D010CA"/>
    <w:rsid w:val="00D010ED"/>
    <w:rsid w:val="00D0155B"/>
    <w:rsid w:val="00D01B5B"/>
    <w:rsid w:val="00D02619"/>
    <w:rsid w:val="00D02C8C"/>
    <w:rsid w:val="00D035FA"/>
    <w:rsid w:val="00D0433F"/>
    <w:rsid w:val="00D04889"/>
    <w:rsid w:val="00D048FD"/>
    <w:rsid w:val="00D04C2F"/>
    <w:rsid w:val="00D05033"/>
    <w:rsid w:val="00D051A4"/>
    <w:rsid w:val="00D0578B"/>
    <w:rsid w:val="00D05FAB"/>
    <w:rsid w:val="00D0619F"/>
    <w:rsid w:val="00D063F6"/>
    <w:rsid w:val="00D079F9"/>
    <w:rsid w:val="00D07A0F"/>
    <w:rsid w:val="00D10353"/>
    <w:rsid w:val="00D10555"/>
    <w:rsid w:val="00D11988"/>
    <w:rsid w:val="00D11C50"/>
    <w:rsid w:val="00D1206A"/>
    <w:rsid w:val="00D1283C"/>
    <w:rsid w:val="00D12C61"/>
    <w:rsid w:val="00D12E0E"/>
    <w:rsid w:val="00D130A7"/>
    <w:rsid w:val="00D135CA"/>
    <w:rsid w:val="00D137E1"/>
    <w:rsid w:val="00D13C9C"/>
    <w:rsid w:val="00D1425F"/>
    <w:rsid w:val="00D14A87"/>
    <w:rsid w:val="00D15073"/>
    <w:rsid w:val="00D15211"/>
    <w:rsid w:val="00D1583D"/>
    <w:rsid w:val="00D15925"/>
    <w:rsid w:val="00D1793D"/>
    <w:rsid w:val="00D20B96"/>
    <w:rsid w:val="00D216AB"/>
    <w:rsid w:val="00D216D0"/>
    <w:rsid w:val="00D21DB8"/>
    <w:rsid w:val="00D222D8"/>
    <w:rsid w:val="00D22498"/>
    <w:rsid w:val="00D234B6"/>
    <w:rsid w:val="00D23976"/>
    <w:rsid w:val="00D24B36"/>
    <w:rsid w:val="00D262A2"/>
    <w:rsid w:val="00D27827"/>
    <w:rsid w:val="00D27EAA"/>
    <w:rsid w:val="00D30298"/>
    <w:rsid w:val="00D304D1"/>
    <w:rsid w:val="00D30AB9"/>
    <w:rsid w:val="00D30EAC"/>
    <w:rsid w:val="00D31E44"/>
    <w:rsid w:val="00D326A4"/>
    <w:rsid w:val="00D33916"/>
    <w:rsid w:val="00D33C6B"/>
    <w:rsid w:val="00D33DA9"/>
    <w:rsid w:val="00D345D8"/>
    <w:rsid w:val="00D34AE1"/>
    <w:rsid w:val="00D34D9F"/>
    <w:rsid w:val="00D34DD3"/>
    <w:rsid w:val="00D36966"/>
    <w:rsid w:val="00D36C61"/>
    <w:rsid w:val="00D36DE9"/>
    <w:rsid w:val="00D37AA3"/>
    <w:rsid w:val="00D37C15"/>
    <w:rsid w:val="00D37F5E"/>
    <w:rsid w:val="00D403C4"/>
    <w:rsid w:val="00D406ED"/>
    <w:rsid w:val="00D40E4E"/>
    <w:rsid w:val="00D41208"/>
    <w:rsid w:val="00D42102"/>
    <w:rsid w:val="00D428B8"/>
    <w:rsid w:val="00D42A91"/>
    <w:rsid w:val="00D4327E"/>
    <w:rsid w:val="00D43582"/>
    <w:rsid w:val="00D43665"/>
    <w:rsid w:val="00D436C1"/>
    <w:rsid w:val="00D43C47"/>
    <w:rsid w:val="00D444ED"/>
    <w:rsid w:val="00D446B1"/>
    <w:rsid w:val="00D44890"/>
    <w:rsid w:val="00D44A37"/>
    <w:rsid w:val="00D4502B"/>
    <w:rsid w:val="00D46037"/>
    <w:rsid w:val="00D46090"/>
    <w:rsid w:val="00D47B25"/>
    <w:rsid w:val="00D47DE5"/>
    <w:rsid w:val="00D50A88"/>
    <w:rsid w:val="00D50AA7"/>
    <w:rsid w:val="00D50D04"/>
    <w:rsid w:val="00D51176"/>
    <w:rsid w:val="00D51A6A"/>
    <w:rsid w:val="00D52833"/>
    <w:rsid w:val="00D53FCA"/>
    <w:rsid w:val="00D546F7"/>
    <w:rsid w:val="00D55A57"/>
    <w:rsid w:val="00D55C30"/>
    <w:rsid w:val="00D55E40"/>
    <w:rsid w:val="00D55F22"/>
    <w:rsid w:val="00D56837"/>
    <w:rsid w:val="00D56A5F"/>
    <w:rsid w:val="00D56B5D"/>
    <w:rsid w:val="00D5714E"/>
    <w:rsid w:val="00D57BDA"/>
    <w:rsid w:val="00D608D7"/>
    <w:rsid w:val="00D6092A"/>
    <w:rsid w:val="00D60DC2"/>
    <w:rsid w:val="00D6121E"/>
    <w:rsid w:val="00D6152B"/>
    <w:rsid w:val="00D61966"/>
    <w:rsid w:val="00D61B34"/>
    <w:rsid w:val="00D61C41"/>
    <w:rsid w:val="00D62311"/>
    <w:rsid w:val="00D62666"/>
    <w:rsid w:val="00D6268E"/>
    <w:rsid w:val="00D62BB9"/>
    <w:rsid w:val="00D62C8A"/>
    <w:rsid w:val="00D639B3"/>
    <w:rsid w:val="00D647EA"/>
    <w:rsid w:val="00D64CE8"/>
    <w:rsid w:val="00D653A6"/>
    <w:rsid w:val="00D656FF"/>
    <w:rsid w:val="00D65E43"/>
    <w:rsid w:val="00D6618D"/>
    <w:rsid w:val="00D662E2"/>
    <w:rsid w:val="00D66FDB"/>
    <w:rsid w:val="00D6727F"/>
    <w:rsid w:val="00D70883"/>
    <w:rsid w:val="00D70A45"/>
    <w:rsid w:val="00D71275"/>
    <w:rsid w:val="00D71456"/>
    <w:rsid w:val="00D71A19"/>
    <w:rsid w:val="00D71AA3"/>
    <w:rsid w:val="00D71E81"/>
    <w:rsid w:val="00D721DC"/>
    <w:rsid w:val="00D72203"/>
    <w:rsid w:val="00D72235"/>
    <w:rsid w:val="00D72818"/>
    <w:rsid w:val="00D72D29"/>
    <w:rsid w:val="00D73E5F"/>
    <w:rsid w:val="00D74245"/>
    <w:rsid w:val="00D756D0"/>
    <w:rsid w:val="00D7640C"/>
    <w:rsid w:val="00D7659F"/>
    <w:rsid w:val="00D76640"/>
    <w:rsid w:val="00D76838"/>
    <w:rsid w:val="00D77293"/>
    <w:rsid w:val="00D77525"/>
    <w:rsid w:val="00D77C51"/>
    <w:rsid w:val="00D804FD"/>
    <w:rsid w:val="00D806F5"/>
    <w:rsid w:val="00D80813"/>
    <w:rsid w:val="00D819DD"/>
    <w:rsid w:val="00D81B26"/>
    <w:rsid w:val="00D81D67"/>
    <w:rsid w:val="00D81E8A"/>
    <w:rsid w:val="00D8291C"/>
    <w:rsid w:val="00D82F54"/>
    <w:rsid w:val="00D831B1"/>
    <w:rsid w:val="00D83BC4"/>
    <w:rsid w:val="00D85266"/>
    <w:rsid w:val="00D85FC1"/>
    <w:rsid w:val="00D861D5"/>
    <w:rsid w:val="00D86E5D"/>
    <w:rsid w:val="00D873E7"/>
    <w:rsid w:val="00D87926"/>
    <w:rsid w:val="00D87C4B"/>
    <w:rsid w:val="00D87D5D"/>
    <w:rsid w:val="00D90D70"/>
    <w:rsid w:val="00D92293"/>
    <w:rsid w:val="00D92E45"/>
    <w:rsid w:val="00D93093"/>
    <w:rsid w:val="00D930E6"/>
    <w:rsid w:val="00D93293"/>
    <w:rsid w:val="00D93361"/>
    <w:rsid w:val="00D93829"/>
    <w:rsid w:val="00D9415C"/>
    <w:rsid w:val="00D9464A"/>
    <w:rsid w:val="00D9574F"/>
    <w:rsid w:val="00D95E66"/>
    <w:rsid w:val="00D96034"/>
    <w:rsid w:val="00D96726"/>
    <w:rsid w:val="00D96A12"/>
    <w:rsid w:val="00D96FAA"/>
    <w:rsid w:val="00D97C6A"/>
    <w:rsid w:val="00D97F3C"/>
    <w:rsid w:val="00DA00A8"/>
    <w:rsid w:val="00DA028D"/>
    <w:rsid w:val="00DA0CBD"/>
    <w:rsid w:val="00DA0EB8"/>
    <w:rsid w:val="00DA1B2F"/>
    <w:rsid w:val="00DA20CE"/>
    <w:rsid w:val="00DA2737"/>
    <w:rsid w:val="00DA39B1"/>
    <w:rsid w:val="00DA3A45"/>
    <w:rsid w:val="00DA427A"/>
    <w:rsid w:val="00DA4F32"/>
    <w:rsid w:val="00DA53BB"/>
    <w:rsid w:val="00DA6114"/>
    <w:rsid w:val="00DA7B36"/>
    <w:rsid w:val="00DB01A2"/>
    <w:rsid w:val="00DB0619"/>
    <w:rsid w:val="00DB1C6D"/>
    <w:rsid w:val="00DB240D"/>
    <w:rsid w:val="00DB245E"/>
    <w:rsid w:val="00DB2833"/>
    <w:rsid w:val="00DB2A87"/>
    <w:rsid w:val="00DB2E3E"/>
    <w:rsid w:val="00DB2F45"/>
    <w:rsid w:val="00DB36EB"/>
    <w:rsid w:val="00DB3C32"/>
    <w:rsid w:val="00DB4B0D"/>
    <w:rsid w:val="00DB5420"/>
    <w:rsid w:val="00DB5D7F"/>
    <w:rsid w:val="00DB6AD2"/>
    <w:rsid w:val="00DB6ECE"/>
    <w:rsid w:val="00DB6EFB"/>
    <w:rsid w:val="00DB72A9"/>
    <w:rsid w:val="00DB78AA"/>
    <w:rsid w:val="00DB7978"/>
    <w:rsid w:val="00DC0B7A"/>
    <w:rsid w:val="00DC13C7"/>
    <w:rsid w:val="00DC15D6"/>
    <w:rsid w:val="00DC1EC4"/>
    <w:rsid w:val="00DC27DF"/>
    <w:rsid w:val="00DC2850"/>
    <w:rsid w:val="00DC2C75"/>
    <w:rsid w:val="00DC31E4"/>
    <w:rsid w:val="00DC3784"/>
    <w:rsid w:val="00DC397C"/>
    <w:rsid w:val="00DC39AA"/>
    <w:rsid w:val="00DC3BAF"/>
    <w:rsid w:val="00DC4AB9"/>
    <w:rsid w:val="00DC4E06"/>
    <w:rsid w:val="00DC5457"/>
    <w:rsid w:val="00DC64E0"/>
    <w:rsid w:val="00DC686D"/>
    <w:rsid w:val="00DC6D5C"/>
    <w:rsid w:val="00DC6DC5"/>
    <w:rsid w:val="00DC73DC"/>
    <w:rsid w:val="00DC73F9"/>
    <w:rsid w:val="00DC749C"/>
    <w:rsid w:val="00DC7F31"/>
    <w:rsid w:val="00DC7FCE"/>
    <w:rsid w:val="00DD0B5C"/>
    <w:rsid w:val="00DD19CA"/>
    <w:rsid w:val="00DD2165"/>
    <w:rsid w:val="00DD2315"/>
    <w:rsid w:val="00DD2CF5"/>
    <w:rsid w:val="00DD2E01"/>
    <w:rsid w:val="00DD32B1"/>
    <w:rsid w:val="00DD3616"/>
    <w:rsid w:val="00DD38FE"/>
    <w:rsid w:val="00DD4089"/>
    <w:rsid w:val="00DD4505"/>
    <w:rsid w:val="00DD462E"/>
    <w:rsid w:val="00DD47B9"/>
    <w:rsid w:val="00DD493A"/>
    <w:rsid w:val="00DD4E5E"/>
    <w:rsid w:val="00DD538C"/>
    <w:rsid w:val="00DD6BAD"/>
    <w:rsid w:val="00DD6C41"/>
    <w:rsid w:val="00DD6C59"/>
    <w:rsid w:val="00DD74BE"/>
    <w:rsid w:val="00DE0383"/>
    <w:rsid w:val="00DE04BD"/>
    <w:rsid w:val="00DE0A50"/>
    <w:rsid w:val="00DE0B13"/>
    <w:rsid w:val="00DE1154"/>
    <w:rsid w:val="00DE148B"/>
    <w:rsid w:val="00DE15F7"/>
    <w:rsid w:val="00DE216C"/>
    <w:rsid w:val="00DE2A58"/>
    <w:rsid w:val="00DE3491"/>
    <w:rsid w:val="00DE4A90"/>
    <w:rsid w:val="00DE4B1D"/>
    <w:rsid w:val="00DE4B75"/>
    <w:rsid w:val="00DE4E08"/>
    <w:rsid w:val="00DE753D"/>
    <w:rsid w:val="00DE7D78"/>
    <w:rsid w:val="00DE7F25"/>
    <w:rsid w:val="00DF0361"/>
    <w:rsid w:val="00DF0FF6"/>
    <w:rsid w:val="00DF1368"/>
    <w:rsid w:val="00DF156A"/>
    <w:rsid w:val="00DF2249"/>
    <w:rsid w:val="00DF2281"/>
    <w:rsid w:val="00DF3007"/>
    <w:rsid w:val="00DF36B0"/>
    <w:rsid w:val="00DF4F60"/>
    <w:rsid w:val="00DF55E8"/>
    <w:rsid w:val="00DF657A"/>
    <w:rsid w:val="00DF6910"/>
    <w:rsid w:val="00DF6E8E"/>
    <w:rsid w:val="00DF712C"/>
    <w:rsid w:val="00DF7849"/>
    <w:rsid w:val="00DF7A67"/>
    <w:rsid w:val="00E00494"/>
    <w:rsid w:val="00E00DCC"/>
    <w:rsid w:val="00E0170F"/>
    <w:rsid w:val="00E01851"/>
    <w:rsid w:val="00E01972"/>
    <w:rsid w:val="00E01974"/>
    <w:rsid w:val="00E01A9A"/>
    <w:rsid w:val="00E01C23"/>
    <w:rsid w:val="00E024E5"/>
    <w:rsid w:val="00E0251C"/>
    <w:rsid w:val="00E040F4"/>
    <w:rsid w:val="00E04290"/>
    <w:rsid w:val="00E046CD"/>
    <w:rsid w:val="00E056FE"/>
    <w:rsid w:val="00E06384"/>
    <w:rsid w:val="00E06AF0"/>
    <w:rsid w:val="00E072B4"/>
    <w:rsid w:val="00E07974"/>
    <w:rsid w:val="00E10C0A"/>
    <w:rsid w:val="00E115EE"/>
    <w:rsid w:val="00E117BE"/>
    <w:rsid w:val="00E118C3"/>
    <w:rsid w:val="00E11EC1"/>
    <w:rsid w:val="00E12845"/>
    <w:rsid w:val="00E12980"/>
    <w:rsid w:val="00E135D0"/>
    <w:rsid w:val="00E13C9D"/>
    <w:rsid w:val="00E147C5"/>
    <w:rsid w:val="00E14C28"/>
    <w:rsid w:val="00E159FF"/>
    <w:rsid w:val="00E168C9"/>
    <w:rsid w:val="00E1722D"/>
    <w:rsid w:val="00E20733"/>
    <w:rsid w:val="00E212D0"/>
    <w:rsid w:val="00E21C9C"/>
    <w:rsid w:val="00E21CDE"/>
    <w:rsid w:val="00E22161"/>
    <w:rsid w:val="00E23562"/>
    <w:rsid w:val="00E2378E"/>
    <w:rsid w:val="00E237BB"/>
    <w:rsid w:val="00E247F3"/>
    <w:rsid w:val="00E249EE"/>
    <w:rsid w:val="00E24EC0"/>
    <w:rsid w:val="00E26033"/>
    <w:rsid w:val="00E26440"/>
    <w:rsid w:val="00E26570"/>
    <w:rsid w:val="00E26706"/>
    <w:rsid w:val="00E26CDE"/>
    <w:rsid w:val="00E26FF8"/>
    <w:rsid w:val="00E27F71"/>
    <w:rsid w:val="00E3021A"/>
    <w:rsid w:val="00E3090D"/>
    <w:rsid w:val="00E30BFD"/>
    <w:rsid w:val="00E30F92"/>
    <w:rsid w:val="00E316A5"/>
    <w:rsid w:val="00E323BC"/>
    <w:rsid w:val="00E326F4"/>
    <w:rsid w:val="00E3288B"/>
    <w:rsid w:val="00E331E1"/>
    <w:rsid w:val="00E33526"/>
    <w:rsid w:val="00E33974"/>
    <w:rsid w:val="00E33F6B"/>
    <w:rsid w:val="00E34338"/>
    <w:rsid w:val="00E34AAF"/>
    <w:rsid w:val="00E34B83"/>
    <w:rsid w:val="00E34B93"/>
    <w:rsid w:val="00E34F0D"/>
    <w:rsid w:val="00E35442"/>
    <w:rsid w:val="00E355FC"/>
    <w:rsid w:val="00E35C03"/>
    <w:rsid w:val="00E35C31"/>
    <w:rsid w:val="00E35C48"/>
    <w:rsid w:val="00E36C3B"/>
    <w:rsid w:val="00E36DF4"/>
    <w:rsid w:val="00E371BB"/>
    <w:rsid w:val="00E37532"/>
    <w:rsid w:val="00E37DAA"/>
    <w:rsid w:val="00E400BD"/>
    <w:rsid w:val="00E4048E"/>
    <w:rsid w:val="00E407A4"/>
    <w:rsid w:val="00E40E4A"/>
    <w:rsid w:val="00E40FC2"/>
    <w:rsid w:val="00E413EF"/>
    <w:rsid w:val="00E417B3"/>
    <w:rsid w:val="00E42DB0"/>
    <w:rsid w:val="00E436BC"/>
    <w:rsid w:val="00E442C2"/>
    <w:rsid w:val="00E442CE"/>
    <w:rsid w:val="00E44A34"/>
    <w:rsid w:val="00E451DB"/>
    <w:rsid w:val="00E45546"/>
    <w:rsid w:val="00E455D3"/>
    <w:rsid w:val="00E457B0"/>
    <w:rsid w:val="00E459A0"/>
    <w:rsid w:val="00E4642A"/>
    <w:rsid w:val="00E4666A"/>
    <w:rsid w:val="00E468DD"/>
    <w:rsid w:val="00E470CC"/>
    <w:rsid w:val="00E476B6"/>
    <w:rsid w:val="00E47A67"/>
    <w:rsid w:val="00E47FBB"/>
    <w:rsid w:val="00E50086"/>
    <w:rsid w:val="00E50352"/>
    <w:rsid w:val="00E50ADF"/>
    <w:rsid w:val="00E50C47"/>
    <w:rsid w:val="00E50D58"/>
    <w:rsid w:val="00E51A5E"/>
    <w:rsid w:val="00E51B0C"/>
    <w:rsid w:val="00E51FF8"/>
    <w:rsid w:val="00E524F5"/>
    <w:rsid w:val="00E529BC"/>
    <w:rsid w:val="00E52FD1"/>
    <w:rsid w:val="00E537B4"/>
    <w:rsid w:val="00E53EBD"/>
    <w:rsid w:val="00E5411D"/>
    <w:rsid w:val="00E54885"/>
    <w:rsid w:val="00E55018"/>
    <w:rsid w:val="00E55738"/>
    <w:rsid w:val="00E55824"/>
    <w:rsid w:val="00E55E35"/>
    <w:rsid w:val="00E57D1F"/>
    <w:rsid w:val="00E57E1D"/>
    <w:rsid w:val="00E61DD6"/>
    <w:rsid w:val="00E6234C"/>
    <w:rsid w:val="00E6234F"/>
    <w:rsid w:val="00E62456"/>
    <w:rsid w:val="00E628CE"/>
    <w:rsid w:val="00E62BED"/>
    <w:rsid w:val="00E62F32"/>
    <w:rsid w:val="00E639AB"/>
    <w:rsid w:val="00E642F7"/>
    <w:rsid w:val="00E643A0"/>
    <w:rsid w:val="00E64510"/>
    <w:rsid w:val="00E64E1F"/>
    <w:rsid w:val="00E66446"/>
    <w:rsid w:val="00E66C9B"/>
    <w:rsid w:val="00E672A1"/>
    <w:rsid w:val="00E67E4C"/>
    <w:rsid w:val="00E70326"/>
    <w:rsid w:val="00E70B19"/>
    <w:rsid w:val="00E71003"/>
    <w:rsid w:val="00E73414"/>
    <w:rsid w:val="00E7382F"/>
    <w:rsid w:val="00E73A1B"/>
    <w:rsid w:val="00E73A2E"/>
    <w:rsid w:val="00E73DFD"/>
    <w:rsid w:val="00E75855"/>
    <w:rsid w:val="00E76129"/>
    <w:rsid w:val="00E76310"/>
    <w:rsid w:val="00E763A7"/>
    <w:rsid w:val="00E7672E"/>
    <w:rsid w:val="00E773F8"/>
    <w:rsid w:val="00E82A80"/>
    <w:rsid w:val="00E82DD9"/>
    <w:rsid w:val="00E83837"/>
    <w:rsid w:val="00E83CB5"/>
    <w:rsid w:val="00E84A48"/>
    <w:rsid w:val="00E85258"/>
    <w:rsid w:val="00E8556C"/>
    <w:rsid w:val="00E85625"/>
    <w:rsid w:val="00E8600E"/>
    <w:rsid w:val="00E869C9"/>
    <w:rsid w:val="00E86F56"/>
    <w:rsid w:val="00E876A1"/>
    <w:rsid w:val="00E87B86"/>
    <w:rsid w:val="00E90215"/>
    <w:rsid w:val="00E9170E"/>
    <w:rsid w:val="00E91A76"/>
    <w:rsid w:val="00E92463"/>
    <w:rsid w:val="00E924EE"/>
    <w:rsid w:val="00E92AD0"/>
    <w:rsid w:val="00E92B50"/>
    <w:rsid w:val="00E93B66"/>
    <w:rsid w:val="00E93D2E"/>
    <w:rsid w:val="00E94218"/>
    <w:rsid w:val="00E946BB"/>
    <w:rsid w:val="00E94A35"/>
    <w:rsid w:val="00E94FEE"/>
    <w:rsid w:val="00E9539E"/>
    <w:rsid w:val="00E95A6B"/>
    <w:rsid w:val="00E95E17"/>
    <w:rsid w:val="00E966C6"/>
    <w:rsid w:val="00E968F1"/>
    <w:rsid w:val="00E9702E"/>
    <w:rsid w:val="00E97774"/>
    <w:rsid w:val="00E97846"/>
    <w:rsid w:val="00E97C41"/>
    <w:rsid w:val="00E97C8E"/>
    <w:rsid w:val="00EA0056"/>
    <w:rsid w:val="00EA0497"/>
    <w:rsid w:val="00EA12C6"/>
    <w:rsid w:val="00EA1397"/>
    <w:rsid w:val="00EA1414"/>
    <w:rsid w:val="00EA14B9"/>
    <w:rsid w:val="00EA1975"/>
    <w:rsid w:val="00EA1B30"/>
    <w:rsid w:val="00EA1D6E"/>
    <w:rsid w:val="00EA2215"/>
    <w:rsid w:val="00EA2DD7"/>
    <w:rsid w:val="00EA2E94"/>
    <w:rsid w:val="00EA393E"/>
    <w:rsid w:val="00EA4535"/>
    <w:rsid w:val="00EA52B3"/>
    <w:rsid w:val="00EA57F6"/>
    <w:rsid w:val="00EA6944"/>
    <w:rsid w:val="00EA6C8F"/>
    <w:rsid w:val="00EA7071"/>
    <w:rsid w:val="00EA756F"/>
    <w:rsid w:val="00EA7BE0"/>
    <w:rsid w:val="00EB00FD"/>
    <w:rsid w:val="00EB0254"/>
    <w:rsid w:val="00EB02AC"/>
    <w:rsid w:val="00EB0922"/>
    <w:rsid w:val="00EB10E6"/>
    <w:rsid w:val="00EB187A"/>
    <w:rsid w:val="00EB1A55"/>
    <w:rsid w:val="00EB1BD3"/>
    <w:rsid w:val="00EB31CA"/>
    <w:rsid w:val="00EB32DF"/>
    <w:rsid w:val="00EB3849"/>
    <w:rsid w:val="00EB3B30"/>
    <w:rsid w:val="00EB4262"/>
    <w:rsid w:val="00EB4708"/>
    <w:rsid w:val="00EB528C"/>
    <w:rsid w:val="00EB5D22"/>
    <w:rsid w:val="00EB676B"/>
    <w:rsid w:val="00EB6D71"/>
    <w:rsid w:val="00EB6F23"/>
    <w:rsid w:val="00EB73AD"/>
    <w:rsid w:val="00EB7BDE"/>
    <w:rsid w:val="00EB7D6D"/>
    <w:rsid w:val="00EC084F"/>
    <w:rsid w:val="00EC0C5E"/>
    <w:rsid w:val="00EC1470"/>
    <w:rsid w:val="00EC18DC"/>
    <w:rsid w:val="00EC1C85"/>
    <w:rsid w:val="00EC1EAD"/>
    <w:rsid w:val="00EC2ADA"/>
    <w:rsid w:val="00EC3AA7"/>
    <w:rsid w:val="00EC3DAB"/>
    <w:rsid w:val="00EC421A"/>
    <w:rsid w:val="00EC4BDE"/>
    <w:rsid w:val="00EC50DD"/>
    <w:rsid w:val="00EC5883"/>
    <w:rsid w:val="00EC5980"/>
    <w:rsid w:val="00EC5BA4"/>
    <w:rsid w:val="00EC64AB"/>
    <w:rsid w:val="00EC6938"/>
    <w:rsid w:val="00EC7C4E"/>
    <w:rsid w:val="00ED148F"/>
    <w:rsid w:val="00ED153A"/>
    <w:rsid w:val="00ED1568"/>
    <w:rsid w:val="00ED1F75"/>
    <w:rsid w:val="00ED2336"/>
    <w:rsid w:val="00ED2AD0"/>
    <w:rsid w:val="00ED310D"/>
    <w:rsid w:val="00ED3249"/>
    <w:rsid w:val="00ED3B34"/>
    <w:rsid w:val="00ED3B47"/>
    <w:rsid w:val="00ED3BB6"/>
    <w:rsid w:val="00ED612E"/>
    <w:rsid w:val="00EE027D"/>
    <w:rsid w:val="00EE0A57"/>
    <w:rsid w:val="00EE1259"/>
    <w:rsid w:val="00EE18C9"/>
    <w:rsid w:val="00EE1ECF"/>
    <w:rsid w:val="00EE20B1"/>
    <w:rsid w:val="00EE289E"/>
    <w:rsid w:val="00EE3200"/>
    <w:rsid w:val="00EE50DC"/>
    <w:rsid w:val="00EE54A3"/>
    <w:rsid w:val="00EE6130"/>
    <w:rsid w:val="00EE656F"/>
    <w:rsid w:val="00EE68AB"/>
    <w:rsid w:val="00EE6A58"/>
    <w:rsid w:val="00EE7017"/>
    <w:rsid w:val="00EE7282"/>
    <w:rsid w:val="00EE7651"/>
    <w:rsid w:val="00EE7EA0"/>
    <w:rsid w:val="00EE7F59"/>
    <w:rsid w:val="00EE7FEC"/>
    <w:rsid w:val="00EF0539"/>
    <w:rsid w:val="00EF06B5"/>
    <w:rsid w:val="00EF0FF2"/>
    <w:rsid w:val="00EF18B6"/>
    <w:rsid w:val="00EF2571"/>
    <w:rsid w:val="00EF2A15"/>
    <w:rsid w:val="00EF2D42"/>
    <w:rsid w:val="00EF2F9D"/>
    <w:rsid w:val="00EF33D9"/>
    <w:rsid w:val="00EF3C4E"/>
    <w:rsid w:val="00EF40C5"/>
    <w:rsid w:val="00EF4880"/>
    <w:rsid w:val="00EF4A38"/>
    <w:rsid w:val="00EF4F03"/>
    <w:rsid w:val="00EF54E6"/>
    <w:rsid w:val="00EF5B4E"/>
    <w:rsid w:val="00EF6371"/>
    <w:rsid w:val="00EF6D6A"/>
    <w:rsid w:val="00EF6E56"/>
    <w:rsid w:val="00EF70FB"/>
    <w:rsid w:val="00EF7CAF"/>
    <w:rsid w:val="00F00A0D"/>
    <w:rsid w:val="00F00C4C"/>
    <w:rsid w:val="00F00F50"/>
    <w:rsid w:val="00F02AC1"/>
    <w:rsid w:val="00F02FB6"/>
    <w:rsid w:val="00F0334C"/>
    <w:rsid w:val="00F03894"/>
    <w:rsid w:val="00F03BA0"/>
    <w:rsid w:val="00F03F9E"/>
    <w:rsid w:val="00F04553"/>
    <w:rsid w:val="00F05601"/>
    <w:rsid w:val="00F057F6"/>
    <w:rsid w:val="00F05A79"/>
    <w:rsid w:val="00F05C3C"/>
    <w:rsid w:val="00F06221"/>
    <w:rsid w:val="00F06A89"/>
    <w:rsid w:val="00F06EF9"/>
    <w:rsid w:val="00F070DF"/>
    <w:rsid w:val="00F07689"/>
    <w:rsid w:val="00F101E2"/>
    <w:rsid w:val="00F1028A"/>
    <w:rsid w:val="00F10548"/>
    <w:rsid w:val="00F1093B"/>
    <w:rsid w:val="00F1115D"/>
    <w:rsid w:val="00F11172"/>
    <w:rsid w:val="00F11A69"/>
    <w:rsid w:val="00F11CE8"/>
    <w:rsid w:val="00F12105"/>
    <w:rsid w:val="00F126D4"/>
    <w:rsid w:val="00F12845"/>
    <w:rsid w:val="00F129F4"/>
    <w:rsid w:val="00F1343A"/>
    <w:rsid w:val="00F137FC"/>
    <w:rsid w:val="00F13B15"/>
    <w:rsid w:val="00F1449F"/>
    <w:rsid w:val="00F14588"/>
    <w:rsid w:val="00F14D68"/>
    <w:rsid w:val="00F153E6"/>
    <w:rsid w:val="00F16D01"/>
    <w:rsid w:val="00F170AA"/>
    <w:rsid w:val="00F17C96"/>
    <w:rsid w:val="00F207A9"/>
    <w:rsid w:val="00F20FE9"/>
    <w:rsid w:val="00F21027"/>
    <w:rsid w:val="00F21069"/>
    <w:rsid w:val="00F21A85"/>
    <w:rsid w:val="00F21F31"/>
    <w:rsid w:val="00F221E6"/>
    <w:rsid w:val="00F22341"/>
    <w:rsid w:val="00F22942"/>
    <w:rsid w:val="00F22ED9"/>
    <w:rsid w:val="00F24443"/>
    <w:rsid w:val="00F246F0"/>
    <w:rsid w:val="00F24A7F"/>
    <w:rsid w:val="00F24A9F"/>
    <w:rsid w:val="00F25F29"/>
    <w:rsid w:val="00F26424"/>
    <w:rsid w:val="00F264A1"/>
    <w:rsid w:val="00F26E14"/>
    <w:rsid w:val="00F27436"/>
    <w:rsid w:val="00F274CF"/>
    <w:rsid w:val="00F278E4"/>
    <w:rsid w:val="00F27E4D"/>
    <w:rsid w:val="00F30535"/>
    <w:rsid w:val="00F3058D"/>
    <w:rsid w:val="00F31E92"/>
    <w:rsid w:val="00F32294"/>
    <w:rsid w:val="00F3285B"/>
    <w:rsid w:val="00F333E8"/>
    <w:rsid w:val="00F33606"/>
    <w:rsid w:val="00F33BFE"/>
    <w:rsid w:val="00F33EC0"/>
    <w:rsid w:val="00F349D2"/>
    <w:rsid w:val="00F35903"/>
    <w:rsid w:val="00F35CD8"/>
    <w:rsid w:val="00F35FF4"/>
    <w:rsid w:val="00F3623A"/>
    <w:rsid w:val="00F373A4"/>
    <w:rsid w:val="00F3797F"/>
    <w:rsid w:val="00F40483"/>
    <w:rsid w:val="00F40747"/>
    <w:rsid w:val="00F40DAB"/>
    <w:rsid w:val="00F41873"/>
    <w:rsid w:val="00F41D9A"/>
    <w:rsid w:val="00F41EA3"/>
    <w:rsid w:val="00F4218E"/>
    <w:rsid w:val="00F428A3"/>
    <w:rsid w:val="00F432BB"/>
    <w:rsid w:val="00F4407F"/>
    <w:rsid w:val="00F4441D"/>
    <w:rsid w:val="00F44857"/>
    <w:rsid w:val="00F451C9"/>
    <w:rsid w:val="00F45886"/>
    <w:rsid w:val="00F4594E"/>
    <w:rsid w:val="00F45D78"/>
    <w:rsid w:val="00F46A61"/>
    <w:rsid w:val="00F46BE6"/>
    <w:rsid w:val="00F473B1"/>
    <w:rsid w:val="00F473EF"/>
    <w:rsid w:val="00F4771F"/>
    <w:rsid w:val="00F47B1E"/>
    <w:rsid w:val="00F504C6"/>
    <w:rsid w:val="00F50BD3"/>
    <w:rsid w:val="00F51574"/>
    <w:rsid w:val="00F517A9"/>
    <w:rsid w:val="00F51CB6"/>
    <w:rsid w:val="00F522E0"/>
    <w:rsid w:val="00F52476"/>
    <w:rsid w:val="00F52769"/>
    <w:rsid w:val="00F528E2"/>
    <w:rsid w:val="00F52EA1"/>
    <w:rsid w:val="00F53156"/>
    <w:rsid w:val="00F5332E"/>
    <w:rsid w:val="00F53837"/>
    <w:rsid w:val="00F53AA1"/>
    <w:rsid w:val="00F54B0B"/>
    <w:rsid w:val="00F54EC9"/>
    <w:rsid w:val="00F55371"/>
    <w:rsid w:val="00F5547C"/>
    <w:rsid w:val="00F55507"/>
    <w:rsid w:val="00F5578C"/>
    <w:rsid w:val="00F55DD5"/>
    <w:rsid w:val="00F56891"/>
    <w:rsid w:val="00F56D21"/>
    <w:rsid w:val="00F56DD9"/>
    <w:rsid w:val="00F574B6"/>
    <w:rsid w:val="00F57858"/>
    <w:rsid w:val="00F578E2"/>
    <w:rsid w:val="00F578EF"/>
    <w:rsid w:val="00F60524"/>
    <w:rsid w:val="00F605F1"/>
    <w:rsid w:val="00F606CA"/>
    <w:rsid w:val="00F60AAA"/>
    <w:rsid w:val="00F60AB0"/>
    <w:rsid w:val="00F61562"/>
    <w:rsid w:val="00F61577"/>
    <w:rsid w:val="00F61953"/>
    <w:rsid w:val="00F62E89"/>
    <w:rsid w:val="00F64593"/>
    <w:rsid w:val="00F64A23"/>
    <w:rsid w:val="00F655ED"/>
    <w:rsid w:val="00F6628E"/>
    <w:rsid w:val="00F663ED"/>
    <w:rsid w:val="00F66650"/>
    <w:rsid w:val="00F6689F"/>
    <w:rsid w:val="00F71849"/>
    <w:rsid w:val="00F72363"/>
    <w:rsid w:val="00F72662"/>
    <w:rsid w:val="00F73251"/>
    <w:rsid w:val="00F73283"/>
    <w:rsid w:val="00F736B2"/>
    <w:rsid w:val="00F74B62"/>
    <w:rsid w:val="00F752F2"/>
    <w:rsid w:val="00F7544B"/>
    <w:rsid w:val="00F7671B"/>
    <w:rsid w:val="00F76C7B"/>
    <w:rsid w:val="00F76E11"/>
    <w:rsid w:val="00F77753"/>
    <w:rsid w:val="00F8004D"/>
    <w:rsid w:val="00F802D5"/>
    <w:rsid w:val="00F80AF7"/>
    <w:rsid w:val="00F80DCB"/>
    <w:rsid w:val="00F815E8"/>
    <w:rsid w:val="00F81BE7"/>
    <w:rsid w:val="00F8283D"/>
    <w:rsid w:val="00F82FD6"/>
    <w:rsid w:val="00F8432B"/>
    <w:rsid w:val="00F84478"/>
    <w:rsid w:val="00F8464C"/>
    <w:rsid w:val="00F847C6"/>
    <w:rsid w:val="00F85736"/>
    <w:rsid w:val="00F8632C"/>
    <w:rsid w:val="00F87181"/>
    <w:rsid w:val="00F874D8"/>
    <w:rsid w:val="00F8764D"/>
    <w:rsid w:val="00F87B42"/>
    <w:rsid w:val="00F902DD"/>
    <w:rsid w:val="00F903E4"/>
    <w:rsid w:val="00F909FF"/>
    <w:rsid w:val="00F90AAA"/>
    <w:rsid w:val="00F90C8F"/>
    <w:rsid w:val="00F91037"/>
    <w:rsid w:val="00F92744"/>
    <w:rsid w:val="00F92A26"/>
    <w:rsid w:val="00F92B59"/>
    <w:rsid w:val="00F9343A"/>
    <w:rsid w:val="00F93818"/>
    <w:rsid w:val="00F94354"/>
    <w:rsid w:val="00F94F72"/>
    <w:rsid w:val="00F960AF"/>
    <w:rsid w:val="00F96701"/>
    <w:rsid w:val="00FA010B"/>
    <w:rsid w:val="00FA0224"/>
    <w:rsid w:val="00FA0BB5"/>
    <w:rsid w:val="00FA12D1"/>
    <w:rsid w:val="00FA199D"/>
    <w:rsid w:val="00FA1C43"/>
    <w:rsid w:val="00FA1CFF"/>
    <w:rsid w:val="00FA212E"/>
    <w:rsid w:val="00FA21A2"/>
    <w:rsid w:val="00FA2260"/>
    <w:rsid w:val="00FA2267"/>
    <w:rsid w:val="00FA2CC0"/>
    <w:rsid w:val="00FA2FC1"/>
    <w:rsid w:val="00FA33E4"/>
    <w:rsid w:val="00FA3597"/>
    <w:rsid w:val="00FA3665"/>
    <w:rsid w:val="00FA3EFD"/>
    <w:rsid w:val="00FA58CA"/>
    <w:rsid w:val="00FA61AA"/>
    <w:rsid w:val="00FA6DE7"/>
    <w:rsid w:val="00FB03B0"/>
    <w:rsid w:val="00FB0815"/>
    <w:rsid w:val="00FB27AB"/>
    <w:rsid w:val="00FB2814"/>
    <w:rsid w:val="00FB2A3E"/>
    <w:rsid w:val="00FB3593"/>
    <w:rsid w:val="00FB3FB8"/>
    <w:rsid w:val="00FB43CA"/>
    <w:rsid w:val="00FB478B"/>
    <w:rsid w:val="00FB515C"/>
    <w:rsid w:val="00FB535B"/>
    <w:rsid w:val="00FB6D4B"/>
    <w:rsid w:val="00FB6D4F"/>
    <w:rsid w:val="00FB716C"/>
    <w:rsid w:val="00FB7E8F"/>
    <w:rsid w:val="00FC0ACE"/>
    <w:rsid w:val="00FC0F9B"/>
    <w:rsid w:val="00FC15ED"/>
    <w:rsid w:val="00FC1A96"/>
    <w:rsid w:val="00FC1CF1"/>
    <w:rsid w:val="00FC217B"/>
    <w:rsid w:val="00FC2443"/>
    <w:rsid w:val="00FC4145"/>
    <w:rsid w:val="00FC44E6"/>
    <w:rsid w:val="00FC469B"/>
    <w:rsid w:val="00FC4B55"/>
    <w:rsid w:val="00FC57FE"/>
    <w:rsid w:val="00FC6088"/>
    <w:rsid w:val="00FC6EA8"/>
    <w:rsid w:val="00FD0E8A"/>
    <w:rsid w:val="00FD0F20"/>
    <w:rsid w:val="00FD1848"/>
    <w:rsid w:val="00FD189C"/>
    <w:rsid w:val="00FD1F87"/>
    <w:rsid w:val="00FD212A"/>
    <w:rsid w:val="00FD2A80"/>
    <w:rsid w:val="00FD41B2"/>
    <w:rsid w:val="00FD431E"/>
    <w:rsid w:val="00FD4915"/>
    <w:rsid w:val="00FD4B3A"/>
    <w:rsid w:val="00FD4C92"/>
    <w:rsid w:val="00FD59B9"/>
    <w:rsid w:val="00FD6027"/>
    <w:rsid w:val="00FE032C"/>
    <w:rsid w:val="00FE048D"/>
    <w:rsid w:val="00FE0CFF"/>
    <w:rsid w:val="00FE135F"/>
    <w:rsid w:val="00FE2AAD"/>
    <w:rsid w:val="00FE39C1"/>
    <w:rsid w:val="00FE3AA9"/>
    <w:rsid w:val="00FE45FC"/>
    <w:rsid w:val="00FE60AD"/>
    <w:rsid w:val="00FE6284"/>
    <w:rsid w:val="00FE6499"/>
    <w:rsid w:val="00FE6694"/>
    <w:rsid w:val="00FE7C82"/>
    <w:rsid w:val="00FE7EC6"/>
    <w:rsid w:val="00FF08A6"/>
    <w:rsid w:val="00FF0AE2"/>
    <w:rsid w:val="00FF0C88"/>
    <w:rsid w:val="00FF100B"/>
    <w:rsid w:val="00FF1068"/>
    <w:rsid w:val="00FF1BA1"/>
    <w:rsid w:val="00FF1EC9"/>
    <w:rsid w:val="00FF1F94"/>
    <w:rsid w:val="00FF20D1"/>
    <w:rsid w:val="00FF49FC"/>
    <w:rsid w:val="00FF4AEB"/>
    <w:rsid w:val="00FF4DA1"/>
    <w:rsid w:val="00FF5B0A"/>
    <w:rsid w:val="00FF640E"/>
    <w:rsid w:val="00FF6433"/>
    <w:rsid w:val="00FF6C4A"/>
    <w:rsid w:val="00FF7B32"/>
    <w:rsid w:val="00FF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C2A"/>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2F15"/>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qFormat/>
    <w:rsid w:val="00772F15"/>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772F15"/>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686C2A"/>
    <w:pPr>
      <w:keepNext/>
      <w:spacing w:before="60" w:line="240" w:lineRule="atLeast"/>
    </w:pPr>
    <w:rPr>
      <w:b/>
      <w:sz w:val="20"/>
    </w:rPr>
  </w:style>
  <w:style w:type="paragraph" w:customStyle="1" w:styleId="ENotesHeading1">
    <w:name w:val="ENotesHeading 1"/>
    <w:aliases w:val="Enh1"/>
    <w:basedOn w:val="OPCParaBase"/>
    <w:next w:val="Normal"/>
    <w:rsid w:val="00686C2A"/>
    <w:pPr>
      <w:spacing w:before="120"/>
      <w:outlineLvl w:val="1"/>
    </w:pPr>
    <w:rPr>
      <w:b/>
      <w:sz w:val="28"/>
      <w:szCs w:val="28"/>
    </w:rPr>
  </w:style>
  <w:style w:type="paragraph" w:styleId="Footer">
    <w:name w:val="footer"/>
    <w:link w:val="FooterChar"/>
    <w:rsid w:val="00686C2A"/>
    <w:pPr>
      <w:tabs>
        <w:tab w:val="center" w:pos="4153"/>
        <w:tab w:val="right" w:pos="8306"/>
      </w:tabs>
    </w:pPr>
    <w:rPr>
      <w:sz w:val="22"/>
      <w:szCs w:val="24"/>
    </w:rPr>
  </w:style>
  <w:style w:type="paragraph" w:customStyle="1" w:styleId="ENotesHeading2">
    <w:name w:val="ENotesHeading 2"/>
    <w:aliases w:val="Enh2"/>
    <w:basedOn w:val="OPCParaBase"/>
    <w:next w:val="Normal"/>
    <w:rsid w:val="00686C2A"/>
    <w:pPr>
      <w:spacing w:before="120" w:after="120"/>
      <w:outlineLvl w:val="2"/>
    </w:pPr>
    <w:rPr>
      <w:b/>
      <w:sz w:val="24"/>
      <w:szCs w:val="28"/>
    </w:rPr>
  </w:style>
  <w:style w:type="paragraph" w:customStyle="1" w:styleId="ENotesHeading3">
    <w:name w:val="ENotesHeading 3"/>
    <w:aliases w:val="Enh3"/>
    <w:basedOn w:val="OPCParaBase"/>
    <w:next w:val="Normal"/>
    <w:rsid w:val="00686C2A"/>
    <w:pPr>
      <w:keepNext/>
      <w:spacing w:before="120" w:line="240" w:lineRule="auto"/>
      <w:outlineLvl w:val="4"/>
    </w:pPr>
    <w:rPr>
      <w:b/>
      <w:szCs w:val="24"/>
    </w:rPr>
  </w:style>
  <w:style w:type="paragraph" w:customStyle="1" w:styleId="ENotesText">
    <w:name w:val="ENotesText"/>
    <w:basedOn w:val="OPCParaBase"/>
    <w:next w:val="Normal"/>
    <w:rsid w:val="00686C2A"/>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uiPriority w:val="20"/>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86C2A"/>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686C2A"/>
    <w:rPr>
      <w:color w:val="0000FF"/>
      <w:u w:val="single"/>
    </w:rPr>
  </w:style>
  <w:style w:type="character" w:styleId="LineNumber">
    <w:name w:val="line number"/>
    <w:basedOn w:val="OPCCharBase"/>
    <w:uiPriority w:val="99"/>
    <w:unhideWhenUsed/>
    <w:rsid w:val="00686C2A"/>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C503EF"/>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6C2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686C2A"/>
  </w:style>
  <w:style w:type="character" w:customStyle="1" w:styleId="CharAmSchText">
    <w:name w:val="CharAmSchText"/>
    <w:basedOn w:val="OPCCharBase"/>
    <w:qFormat/>
    <w:rsid w:val="00686C2A"/>
  </w:style>
  <w:style w:type="character" w:customStyle="1" w:styleId="CharChapNo">
    <w:name w:val="CharChapNo"/>
    <w:basedOn w:val="OPCCharBase"/>
    <w:uiPriority w:val="1"/>
    <w:qFormat/>
    <w:rsid w:val="00686C2A"/>
  </w:style>
  <w:style w:type="character" w:customStyle="1" w:styleId="CharChapText">
    <w:name w:val="CharChapText"/>
    <w:basedOn w:val="OPCCharBase"/>
    <w:uiPriority w:val="1"/>
    <w:qFormat/>
    <w:rsid w:val="00686C2A"/>
  </w:style>
  <w:style w:type="character" w:customStyle="1" w:styleId="CharDivNo">
    <w:name w:val="CharDivNo"/>
    <w:basedOn w:val="OPCCharBase"/>
    <w:uiPriority w:val="1"/>
    <w:qFormat/>
    <w:rsid w:val="00686C2A"/>
  </w:style>
  <w:style w:type="character" w:customStyle="1" w:styleId="CharDivText">
    <w:name w:val="CharDivText"/>
    <w:basedOn w:val="OPCCharBase"/>
    <w:uiPriority w:val="1"/>
    <w:qFormat/>
    <w:rsid w:val="00686C2A"/>
  </w:style>
  <w:style w:type="character" w:customStyle="1" w:styleId="CharPartNo">
    <w:name w:val="CharPartNo"/>
    <w:basedOn w:val="OPCCharBase"/>
    <w:uiPriority w:val="1"/>
    <w:qFormat/>
    <w:rsid w:val="00686C2A"/>
  </w:style>
  <w:style w:type="character" w:customStyle="1" w:styleId="CharPartText">
    <w:name w:val="CharPartText"/>
    <w:basedOn w:val="OPCCharBase"/>
    <w:uiPriority w:val="1"/>
    <w:qFormat/>
    <w:rsid w:val="00686C2A"/>
  </w:style>
  <w:style w:type="character" w:customStyle="1" w:styleId="OPCCharBase">
    <w:name w:val="OPCCharBase"/>
    <w:uiPriority w:val="1"/>
    <w:qFormat/>
    <w:rsid w:val="00686C2A"/>
  </w:style>
  <w:style w:type="paragraph" w:customStyle="1" w:styleId="OPCParaBase">
    <w:name w:val="OPCParaBase"/>
    <w:qFormat/>
    <w:rsid w:val="00686C2A"/>
    <w:pPr>
      <w:spacing w:line="260" w:lineRule="atLeast"/>
    </w:pPr>
    <w:rPr>
      <w:sz w:val="22"/>
    </w:rPr>
  </w:style>
  <w:style w:type="character" w:customStyle="1" w:styleId="CharSectno">
    <w:name w:val="CharSectno"/>
    <w:basedOn w:val="OPCCharBase"/>
    <w:qFormat/>
    <w:rsid w:val="00686C2A"/>
  </w:style>
  <w:style w:type="character" w:styleId="EndnoteReference">
    <w:name w:val="endnote reference"/>
    <w:basedOn w:val="DefaultParagraphFont"/>
    <w:uiPriority w:val="99"/>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uiPriority w:val="99"/>
    <w:rsid w:val="00772F15"/>
    <w:rPr>
      <w:rFonts w:ascii="Times New Roman" w:hAnsi="Times New Roman"/>
      <w:sz w:val="20"/>
      <w:vertAlign w:val="superscript"/>
    </w:rPr>
  </w:style>
  <w:style w:type="paragraph" w:styleId="FootnoteText">
    <w:name w:val="footnote text"/>
    <w:basedOn w:val="Normal"/>
    <w:link w:val="FootnoteTextChar"/>
    <w:uiPriority w:val="99"/>
    <w:rsid w:val="00772F15"/>
    <w:rPr>
      <w:sz w:val="20"/>
    </w:rPr>
  </w:style>
  <w:style w:type="paragraph" w:customStyle="1" w:styleId="Formula">
    <w:name w:val="Formula"/>
    <w:basedOn w:val="OPCParaBase"/>
    <w:rsid w:val="00686C2A"/>
    <w:pPr>
      <w:spacing w:line="240" w:lineRule="auto"/>
      <w:ind w:left="1134"/>
    </w:pPr>
    <w:rPr>
      <w:sz w:val="20"/>
    </w:rPr>
  </w:style>
  <w:style w:type="paragraph" w:customStyle="1" w:styleId="ShortT">
    <w:name w:val="ShortT"/>
    <w:basedOn w:val="OPCParaBase"/>
    <w:next w:val="Normal"/>
    <w:qFormat/>
    <w:rsid w:val="00686C2A"/>
    <w:pPr>
      <w:spacing w:line="240" w:lineRule="auto"/>
    </w:pPr>
    <w:rPr>
      <w:b/>
      <w:sz w:val="40"/>
    </w:rPr>
  </w:style>
  <w:style w:type="paragraph" w:customStyle="1" w:styleId="Penalty">
    <w:name w:val="Penalty"/>
    <w:basedOn w:val="OPCParaBase"/>
    <w:rsid w:val="00686C2A"/>
    <w:pPr>
      <w:tabs>
        <w:tab w:val="left" w:pos="2977"/>
      </w:tabs>
      <w:spacing w:before="180" w:line="240" w:lineRule="auto"/>
      <w:ind w:left="1985" w:hanging="851"/>
    </w:pPr>
  </w:style>
  <w:style w:type="paragraph" w:customStyle="1" w:styleId="ActHead1">
    <w:name w:val="ActHead 1"/>
    <w:aliases w:val="c"/>
    <w:basedOn w:val="OPCParaBase"/>
    <w:next w:val="Normal"/>
    <w:qFormat/>
    <w:rsid w:val="00686C2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86C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6C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6C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6C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6C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6C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6C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6C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6C2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86C2A"/>
    <w:pPr>
      <w:spacing w:line="240" w:lineRule="auto"/>
    </w:pPr>
    <w:rPr>
      <w:sz w:val="20"/>
    </w:rPr>
  </w:style>
  <w:style w:type="paragraph" w:customStyle="1" w:styleId="ActHead2">
    <w:name w:val="ActHead 2"/>
    <w:aliases w:val="p"/>
    <w:basedOn w:val="OPCParaBase"/>
    <w:next w:val="ActHead3"/>
    <w:qFormat/>
    <w:rsid w:val="00686C2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86C2A"/>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paragraph">
    <w:name w:val="paragraph"/>
    <w:aliases w:val="a"/>
    <w:basedOn w:val="OPCParaBase"/>
    <w:link w:val="paragraphChar"/>
    <w:rsid w:val="00686C2A"/>
    <w:pPr>
      <w:tabs>
        <w:tab w:val="right" w:pos="1531"/>
      </w:tabs>
      <w:spacing w:before="40" w:line="240" w:lineRule="auto"/>
      <w:ind w:left="1644" w:hanging="1644"/>
    </w:pPr>
  </w:style>
  <w:style w:type="character" w:customStyle="1" w:styleId="paragraphChar">
    <w:name w:val="paragraph Char"/>
    <w:aliases w:val="a Char"/>
    <w:link w:val="paragraph"/>
    <w:rsid w:val="00146625"/>
    <w:rPr>
      <w:sz w:val="22"/>
    </w:rPr>
  </w:style>
  <w:style w:type="character" w:customStyle="1" w:styleId="Heading2Char">
    <w:name w:val="Heading 2 Char"/>
    <w:basedOn w:val="DefaultParagraphFont"/>
    <w:link w:val="Heading2"/>
    <w:rsid w:val="00AE5552"/>
    <w:rPr>
      <w:rFonts w:ascii="Arial" w:hAnsi="Arial" w:cs="Arial"/>
      <w:b/>
      <w:bCs/>
      <w:i/>
      <w:iCs/>
      <w:sz w:val="28"/>
      <w:szCs w:val="28"/>
    </w:rPr>
  </w:style>
  <w:style w:type="character" w:customStyle="1" w:styleId="Heading4Char">
    <w:name w:val="Heading 4 Char"/>
    <w:basedOn w:val="DefaultParagraphFont"/>
    <w:link w:val="Heading4"/>
    <w:rsid w:val="00AE5552"/>
    <w:rPr>
      <w:b/>
      <w:bCs/>
      <w:sz w:val="28"/>
      <w:szCs w:val="28"/>
    </w:rPr>
  </w:style>
  <w:style w:type="paragraph" w:customStyle="1" w:styleId="subsection">
    <w:name w:val="subsection"/>
    <w:aliases w:val="ss"/>
    <w:basedOn w:val="OPCParaBase"/>
    <w:link w:val="subsectionChar"/>
    <w:rsid w:val="00686C2A"/>
    <w:pPr>
      <w:tabs>
        <w:tab w:val="right" w:pos="1021"/>
      </w:tabs>
      <w:spacing w:before="180" w:line="240" w:lineRule="auto"/>
      <w:ind w:left="1134" w:hanging="1134"/>
    </w:pPr>
  </w:style>
  <w:style w:type="paragraph" w:customStyle="1" w:styleId="notetext">
    <w:name w:val="note(text)"/>
    <w:aliases w:val="n"/>
    <w:basedOn w:val="OPCParaBase"/>
    <w:rsid w:val="00686C2A"/>
    <w:pPr>
      <w:spacing w:before="122" w:line="198" w:lineRule="exact"/>
      <w:ind w:left="1985" w:hanging="851"/>
    </w:pPr>
    <w:rPr>
      <w:sz w:val="18"/>
    </w:rPr>
  </w:style>
  <w:style w:type="character" w:customStyle="1" w:styleId="subsectionChar">
    <w:name w:val="subsection Char"/>
    <w:aliases w:val="ss Char"/>
    <w:link w:val="subsection"/>
    <w:rsid w:val="00AE5552"/>
    <w:rPr>
      <w:sz w:val="22"/>
    </w:rPr>
  </w:style>
  <w:style w:type="character" w:customStyle="1" w:styleId="Heading3Char">
    <w:name w:val="Heading 3 Char"/>
    <w:basedOn w:val="DefaultParagraphFont"/>
    <w:link w:val="Heading3"/>
    <w:uiPriority w:val="9"/>
    <w:rsid w:val="002F4416"/>
    <w:rPr>
      <w:rFonts w:ascii="Arial" w:hAnsi="Arial" w:cs="Arial"/>
      <w:b/>
      <w:bCs/>
      <w:sz w:val="26"/>
      <w:szCs w:val="26"/>
    </w:rPr>
  </w:style>
  <w:style w:type="paragraph" w:customStyle="1" w:styleId="subsection2">
    <w:name w:val="subsection2"/>
    <w:aliases w:val="ss2"/>
    <w:basedOn w:val="OPCParaBase"/>
    <w:next w:val="subsection"/>
    <w:rsid w:val="00686C2A"/>
    <w:pPr>
      <w:spacing w:before="40" w:line="240" w:lineRule="auto"/>
      <w:ind w:left="1134"/>
    </w:pPr>
  </w:style>
  <w:style w:type="paragraph" w:customStyle="1" w:styleId="ActHead5">
    <w:name w:val="ActHead 5"/>
    <w:aliases w:val="s"/>
    <w:basedOn w:val="OPCParaBase"/>
    <w:next w:val="subsection"/>
    <w:qFormat/>
    <w:rsid w:val="00686C2A"/>
    <w:pPr>
      <w:keepNext/>
      <w:keepLines/>
      <w:spacing w:before="280" w:line="240" w:lineRule="auto"/>
      <w:ind w:left="1134" w:hanging="1134"/>
      <w:outlineLvl w:val="4"/>
    </w:pPr>
    <w:rPr>
      <w:b/>
      <w:kern w:val="28"/>
      <w:sz w:val="24"/>
    </w:rPr>
  </w:style>
  <w:style w:type="paragraph" w:customStyle="1" w:styleId="paragraphsub">
    <w:name w:val="paragraph(sub)"/>
    <w:aliases w:val="aa"/>
    <w:basedOn w:val="OPCParaBase"/>
    <w:rsid w:val="00686C2A"/>
    <w:pPr>
      <w:tabs>
        <w:tab w:val="right" w:pos="1985"/>
      </w:tabs>
      <w:spacing w:before="40" w:line="240" w:lineRule="auto"/>
      <w:ind w:left="2098" w:hanging="2098"/>
    </w:pPr>
  </w:style>
  <w:style w:type="table" w:styleId="LightGrid-Accent5">
    <w:name w:val="Light Grid Accent 5"/>
    <w:basedOn w:val="TableNormal"/>
    <w:uiPriority w:val="62"/>
    <w:rsid w:val="00696D97"/>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Spacing">
    <w:name w:val="No Spacing"/>
    <w:uiPriority w:val="1"/>
    <w:qFormat/>
    <w:rsid w:val="00696D97"/>
    <w:rPr>
      <w:rFonts w:ascii="Calibri" w:eastAsia="Calibri" w:hAnsi="Calibri" w:cs="Calibri"/>
      <w:sz w:val="22"/>
      <w:szCs w:val="22"/>
      <w:lang w:eastAsia="en-US"/>
    </w:rPr>
  </w:style>
  <w:style w:type="character" w:customStyle="1" w:styleId="FootnoteTextChar">
    <w:name w:val="Footnote Text Char"/>
    <w:basedOn w:val="DefaultParagraphFont"/>
    <w:link w:val="FootnoteText"/>
    <w:uiPriority w:val="99"/>
    <w:rsid w:val="00696D97"/>
    <w:rPr>
      <w:lang w:eastAsia="en-US"/>
    </w:rPr>
  </w:style>
  <w:style w:type="paragraph" w:customStyle="1" w:styleId="ActHead3">
    <w:name w:val="ActHead 3"/>
    <w:aliases w:val="d"/>
    <w:basedOn w:val="OPCParaBase"/>
    <w:next w:val="ActHead4"/>
    <w:qFormat/>
    <w:rsid w:val="00686C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6C2A"/>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686C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6C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6C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6C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6C2A"/>
  </w:style>
  <w:style w:type="paragraph" w:customStyle="1" w:styleId="Blocks">
    <w:name w:val="Blocks"/>
    <w:aliases w:val="bb"/>
    <w:basedOn w:val="OPCParaBase"/>
    <w:qFormat/>
    <w:rsid w:val="00686C2A"/>
    <w:pPr>
      <w:spacing w:line="240" w:lineRule="auto"/>
    </w:pPr>
    <w:rPr>
      <w:sz w:val="24"/>
    </w:rPr>
  </w:style>
  <w:style w:type="paragraph" w:customStyle="1" w:styleId="BoxText">
    <w:name w:val="BoxText"/>
    <w:aliases w:val="bt"/>
    <w:basedOn w:val="OPCParaBase"/>
    <w:qFormat/>
    <w:rsid w:val="00686C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6C2A"/>
    <w:rPr>
      <w:b/>
    </w:rPr>
  </w:style>
  <w:style w:type="paragraph" w:customStyle="1" w:styleId="BoxHeadItalic">
    <w:name w:val="BoxHeadItalic"/>
    <w:aliases w:val="bhi"/>
    <w:basedOn w:val="BoxText"/>
    <w:next w:val="BoxStep"/>
    <w:qFormat/>
    <w:rsid w:val="00686C2A"/>
    <w:rPr>
      <w:i/>
    </w:rPr>
  </w:style>
  <w:style w:type="paragraph" w:customStyle="1" w:styleId="BoxList">
    <w:name w:val="BoxList"/>
    <w:aliases w:val="bl"/>
    <w:basedOn w:val="BoxText"/>
    <w:qFormat/>
    <w:rsid w:val="00686C2A"/>
    <w:pPr>
      <w:ind w:left="1559" w:hanging="425"/>
    </w:pPr>
  </w:style>
  <w:style w:type="paragraph" w:customStyle="1" w:styleId="BoxNote">
    <w:name w:val="BoxNote"/>
    <w:aliases w:val="bn"/>
    <w:basedOn w:val="BoxText"/>
    <w:qFormat/>
    <w:rsid w:val="00686C2A"/>
    <w:pPr>
      <w:tabs>
        <w:tab w:val="left" w:pos="1985"/>
      </w:tabs>
      <w:spacing w:before="122" w:line="198" w:lineRule="exact"/>
      <w:ind w:left="2948" w:hanging="1814"/>
    </w:pPr>
    <w:rPr>
      <w:sz w:val="18"/>
    </w:rPr>
  </w:style>
  <w:style w:type="paragraph" w:customStyle="1" w:styleId="BoxPara">
    <w:name w:val="BoxPara"/>
    <w:aliases w:val="bp"/>
    <w:basedOn w:val="BoxText"/>
    <w:qFormat/>
    <w:rsid w:val="00686C2A"/>
    <w:pPr>
      <w:tabs>
        <w:tab w:val="right" w:pos="2268"/>
      </w:tabs>
      <w:ind w:left="2552" w:hanging="1418"/>
    </w:pPr>
  </w:style>
  <w:style w:type="paragraph" w:customStyle="1" w:styleId="BoxStep">
    <w:name w:val="BoxStep"/>
    <w:aliases w:val="bs"/>
    <w:basedOn w:val="BoxText"/>
    <w:qFormat/>
    <w:rsid w:val="00686C2A"/>
    <w:pPr>
      <w:ind w:left="1985" w:hanging="851"/>
    </w:pPr>
  </w:style>
  <w:style w:type="character" w:customStyle="1" w:styleId="CharAmPartNo">
    <w:name w:val="CharAmPartNo"/>
    <w:basedOn w:val="OPCCharBase"/>
    <w:qFormat/>
    <w:rsid w:val="00686C2A"/>
  </w:style>
  <w:style w:type="character" w:customStyle="1" w:styleId="CharAmPartText">
    <w:name w:val="CharAmPartText"/>
    <w:basedOn w:val="OPCCharBase"/>
    <w:qFormat/>
    <w:rsid w:val="00686C2A"/>
  </w:style>
  <w:style w:type="character" w:customStyle="1" w:styleId="CharBoldItalic">
    <w:name w:val="CharBoldItalic"/>
    <w:basedOn w:val="OPCCharBase"/>
    <w:uiPriority w:val="1"/>
    <w:qFormat/>
    <w:rsid w:val="00686C2A"/>
    <w:rPr>
      <w:b/>
      <w:i/>
    </w:rPr>
  </w:style>
  <w:style w:type="character" w:customStyle="1" w:styleId="CharItalic">
    <w:name w:val="CharItalic"/>
    <w:basedOn w:val="OPCCharBase"/>
    <w:uiPriority w:val="1"/>
    <w:qFormat/>
    <w:rsid w:val="00686C2A"/>
    <w:rPr>
      <w:i/>
    </w:rPr>
  </w:style>
  <w:style w:type="character" w:customStyle="1" w:styleId="CharSubdNo">
    <w:name w:val="CharSubdNo"/>
    <w:basedOn w:val="OPCCharBase"/>
    <w:uiPriority w:val="1"/>
    <w:qFormat/>
    <w:rsid w:val="00686C2A"/>
  </w:style>
  <w:style w:type="character" w:customStyle="1" w:styleId="CharSubdText">
    <w:name w:val="CharSubdText"/>
    <w:basedOn w:val="OPCCharBase"/>
    <w:uiPriority w:val="1"/>
    <w:qFormat/>
    <w:rsid w:val="00686C2A"/>
  </w:style>
  <w:style w:type="paragraph" w:customStyle="1" w:styleId="CTA--">
    <w:name w:val="CTA --"/>
    <w:basedOn w:val="OPCParaBase"/>
    <w:next w:val="Normal"/>
    <w:rsid w:val="00686C2A"/>
    <w:pPr>
      <w:spacing w:before="60" w:line="240" w:lineRule="atLeast"/>
      <w:ind w:left="142" w:hanging="142"/>
    </w:pPr>
    <w:rPr>
      <w:sz w:val="20"/>
    </w:rPr>
  </w:style>
  <w:style w:type="paragraph" w:customStyle="1" w:styleId="CTA-">
    <w:name w:val="CTA -"/>
    <w:basedOn w:val="OPCParaBase"/>
    <w:rsid w:val="00686C2A"/>
    <w:pPr>
      <w:spacing w:before="60" w:line="240" w:lineRule="atLeast"/>
      <w:ind w:left="85" w:hanging="85"/>
    </w:pPr>
    <w:rPr>
      <w:sz w:val="20"/>
    </w:rPr>
  </w:style>
  <w:style w:type="paragraph" w:customStyle="1" w:styleId="CTA---">
    <w:name w:val="CTA ---"/>
    <w:basedOn w:val="OPCParaBase"/>
    <w:next w:val="Normal"/>
    <w:rsid w:val="00686C2A"/>
    <w:pPr>
      <w:spacing w:before="60" w:line="240" w:lineRule="atLeast"/>
      <w:ind w:left="198" w:hanging="198"/>
    </w:pPr>
    <w:rPr>
      <w:sz w:val="20"/>
    </w:rPr>
  </w:style>
  <w:style w:type="paragraph" w:customStyle="1" w:styleId="CTA----">
    <w:name w:val="CTA ----"/>
    <w:basedOn w:val="OPCParaBase"/>
    <w:next w:val="Normal"/>
    <w:rsid w:val="00686C2A"/>
    <w:pPr>
      <w:spacing w:before="60" w:line="240" w:lineRule="atLeast"/>
      <w:ind w:left="255" w:hanging="255"/>
    </w:pPr>
    <w:rPr>
      <w:sz w:val="20"/>
    </w:rPr>
  </w:style>
  <w:style w:type="paragraph" w:customStyle="1" w:styleId="CTA1a">
    <w:name w:val="CTA 1(a)"/>
    <w:basedOn w:val="OPCParaBase"/>
    <w:rsid w:val="00686C2A"/>
    <w:pPr>
      <w:tabs>
        <w:tab w:val="right" w:pos="414"/>
      </w:tabs>
      <w:spacing w:before="40" w:line="240" w:lineRule="atLeast"/>
      <w:ind w:left="675" w:hanging="675"/>
    </w:pPr>
    <w:rPr>
      <w:sz w:val="20"/>
    </w:rPr>
  </w:style>
  <w:style w:type="paragraph" w:customStyle="1" w:styleId="CTA1ai">
    <w:name w:val="CTA 1(a)(i)"/>
    <w:basedOn w:val="OPCParaBase"/>
    <w:rsid w:val="00686C2A"/>
    <w:pPr>
      <w:tabs>
        <w:tab w:val="right" w:pos="1004"/>
      </w:tabs>
      <w:spacing w:before="40" w:line="240" w:lineRule="atLeast"/>
      <w:ind w:left="1253" w:hanging="1253"/>
    </w:pPr>
    <w:rPr>
      <w:sz w:val="20"/>
    </w:rPr>
  </w:style>
  <w:style w:type="paragraph" w:customStyle="1" w:styleId="CTA2a">
    <w:name w:val="CTA 2(a)"/>
    <w:basedOn w:val="OPCParaBase"/>
    <w:rsid w:val="00686C2A"/>
    <w:pPr>
      <w:tabs>
        <w:tab w:val="right" w:pos="482"/>
      </w:tabs>
      <w:spacing w:before="40" w:line="240" w:lineRule="atLeast"/>
      <w:ind w:left="748" w:hanging="748"/>
    </w:pPr>
    <w:rPr>
      <w:sz w:val="20"/>
    </w:rPr>
  </w:style>
  <w:style w:type="paragraph" w:customStyle="1" w:styleId="CTA2ai">
    <w:name w:val="CTA 2(a)(i)"/>
    <w:basedOn w:val="OPCParaBase"/>
    <w:rsid w:val="00686C2A"/>
    <w:pPr>
      <w:tabs>
        <w:tab w:val="right" w:pos="1089"/>
      </w:tabs>
      <w:spacing w:before="40" w:line="240" w:lineRule="atLeast"/>
      <w:ind w:left="1327" w:hanging="1327"/>
    </w:pPr>
    <w:rPr>
      <w:sz w:val="20"/>
    </w:rPr>
  </w:style>
  <w:style w:type="paragraph" w:customStyle="1" w:styleId="CTA3a">
    <w:name w:val="CTA 3(a)"/>
    <w:basedOn w:val="OPCParaBase"/>
    <w:rsid w:val="00686C2A"/>
    <w:pPr>
      <w:tabs>
        <w:tab w:val="right" w:pos="556"/>
      </w:tabs>
      <w:spacing w:before="40" w:line="240" w:lineRule="atLeast"/>
      <w:ind w:left="805" w:hanging="805"/>
    </w:pPr>
    <w:rPr>
      <w:sz w:val="20"/>
    </w:rPr>
  </w:style>
  <w:style w:type="paragraph" w:customStyle="1" w:styleId="CTA3ai">
    <w:name w:val="CTA 3(a)(i)"/>
    <w:basedOn w:val="OPCParaBase"/>
    <w:rsid w:val="00686C2A"/>
    <w:pPr>
      <w:tabs>
        <w:tab w:val="right" w:pos="1140"/>
      </w:tabs>
      <w:spacing w:before="40" w:line="240" w:lineRule="atLeast"/>
      <w:ind w:left="1361" w:hanging="1361"/>
    </w:pPr>
    <w:rPr>
      <w:sz w:val="20"/>
    </w:rPr>
  </w:style>
  <w:style w:type="paragraph" w:customStyle="1" w:styleId="CTA4a">
    <w:name w:val="CTA 4(a)"/>
    <w:basedOn w:val="OPCParaBase"/>
    <w:rsid w:val="00686C2A"/>
    <w:pPr>
      <w:tabs>
        <w:tab w:val="right" w:pos="624"/>
      </w:tabs>
      <w:spacing w:before="40" w:line="240" w:lineRule="atLeast"/>
      <w:ind w:left="873" w:hanging="873"/>
    </w:pPr>
    <w:rPr>
      <w:sz w:val="20"/>
    </w:rPr>
  </w:style>
  <w:style w:type="paragraph" w:customStyle="1" w:styleId="CTA4ai">
    <w:name w:val="CTA 4(a)(i)"/>
    <w:basedOn w:val="OPCParaBase"/>
    <w:rsid w:val="00686C2A"/>
    <w:pPr>
      <w:tabs>
        <w:tab w:val="right" w:pos="1213"/>
      </w:tabs>
      <w:spacing w:before="40" w:line="240" w:lineRule="atLeast"/>
      <w:ind w:left="1452" w:hanging="1452"/>
    </w:pPr>
    <w:rPr>
      <w:sz w:val="20"/>
    </w:rPr>
  </w:style>
  <w:style w:type="paragraph" w:customStyle="1" w:styleId="CTACAPS">
    <w:name w:val="CTA CAPS"/>
    <w:basedOn w:val="OPCParaBase"/>
    <w:rsid w:val="00686C2A"/>
    <w:pPr>
      <w:spacing w:before="60" w:line="240" w:lineRule="atLeast"/>
    </w:pPr>
    <w:rPr>
      <w:sz w:val="20"/>
    </w:rPr>
  </w:style>
  <w:style w:type="paragraph" w:customStyle="1" w:styleId="CTAright">
    <w:name w:val="CTA right"/>
    <w:basedOn w:val="OPCParaBase"/>
    <w:rsid w:val="00686C2A"/>
    <w:pPr>
      <w:spacing w:before="60" w:line="240" w:lineRule="auto"/>
      <w:jc w:val="right"/>
    </w:pPr>
    <w:rPr>
      <w:sz w:val="20"/>
    </w:rPr>
  </w:style>
  <w:style w:type="paragraph" w:customStyle="1" w:styleId="Definition">
    <w:name w:val="Definition"/>
    <w:aliases w:val="dd"/>
    <w:basedOn w:val="OPCParaBase"/>
    <w:rsid w:val="00686C2A"/>
    <w:pPr>
      <w:spacing w:before="180" w:line="240" w:lineRule="auto"/>
      <w:ind w:left="1134"/>
    </w:pPr>
  </w:style>
  <w:style w:type="paragraph" w:customStyle="1" w:styleId="ETAsubitem">
    <w:name w:val="ETA(subitem)"/>
    <w:basedOn w:val="OPCParaBase"/>
    <w:rsid w:val="00686C2A"/>
    <w:pPr>
      <w:tabs>
        <w:tab w:val="right" w:pos="340"/>
      </w:tabs>
      <w:spacing w:before="60" w:line="240" w:lineRule="auto"/>
      <w:ind w:left="454" w:hanging="454"/>
    </w:pPr>
    <w:rPr>
      <w:sz w:val="20"/>
    </w:rPr>
  </w:style>
  <w:style w:type="paragraph" w:customStyle="1" w:styleId="ETApara">
    <w:name w:val="ETA(para)"/>
    <w:basedOn w:val="OPCParaBase"/>
    <w:rsid w:val="00686C2A"/>
    <w:pPr>
      <w:tabs>
        <w:tab w:val="right" w:pos="754"/>
      </w:tabs>
      <w:spacing w:before="60" w:line="240" w:lineRule="auto"/>
      <w:ind w:left="828" w:hanging="828"/>
    </w:pPr>
    <w:rPr>
      <w:sz w:val="20"/>
    </w:rPr>
  </w:style>
  <w:style w:type="paragraph" w:customStyle="1" w:styleId="ETAsubpara">
    <w:name w:val="ETA(subpara)"/>
    <w:basedOn w:val="OPCParaBase"/>
    <w:rsid w:val="00686C2A"/>
    <w:pPr>
      <w:tabs>
        <w:tab w:val="right" w:pos="1083"/>
      </w:tabs>
      <w:spacing w:before="60" w:line="240" w:lineRule="auto"/>
      <w:ind w:left="1191" w:hanging="1191"/>
    </w:pPr>
    <w:rPr>
      <w:sz w:val="20"/>
    </w:rPr>
  </w:style>
  <w:style w:type="paragraph" w:customStyle="1" w:styleId="ETAsub-subpara">
    <w:name w:val="ETA(sub-subpara)"/>
    <w:basedOn w:val="OPCParaBase"/>
    <w:rsid w:val="00686C2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86C2A"/>
    <w:rPr>
      <w:sz w:val="16"/>
    </w:rPr>
  </w:style>
  <w:style w:type="paragraph" w:customStyle="1" w:styleId="House">
    <w:name w:val="House"/>
    <w:basedOn w:val="OPCParaBase"/>
    <w:rsid w:val="00686C2A"/>
    <w:pPr>
      <w:spacing w:line="240" w:lineRule="auto"/>
    </w:pPr>
    <w:rPr>
      <w:sz w:val="28"/>
    </w:rPr>
  </w:style>
  <w:style w:type="paragraph" w:customStyle="1" w:styleId="Item">
    <w:name w:val="Item"/>
    <w:aliases w:val="i"/>
    <w:basedOn w:val="OPCParaBase"/>
    <w:next w:val="ItemHead"/>
    <w:rsid w:val="00686C2A"/>
    <w:pPr>
      <w:keepLines/>
      <w:spacing w:before="80" w:line="240" w:lineRule="auto"/>
      <w:ind w:left="709"/>
    </w:pPr>
  </w:style>
  <w:style w:type="paragraph" w:customStyle="1" w:styleId="ItemHead">
    <w:name w:val="ItemHead"/>
    <w:aliases w:val="ih"/>
    <w:basedOn w:val="OPCParaBase"/>
    <w:next w:val="Item"/>
    <w:rsid w:val="00686C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6C2A"/>
    <w:pPr>
      <w:spacing w:line="240" w:lineRule="auto"/>
    </w:pPr>
    <w:rPr>
      <w:b/>
      <w:sz w:val="32"/>
    </w:rPr>
  </w:style>
  <w:style w:type="paragraph" w:customStyle="1" w:styleId="notedraft">
    <w:name w:val="note(draft)"/>
    <w:aliases w:val="nd"/>
    <w:basedOn w:val="OPCParaBase"/>
    <w:rsid w:val="00686C2A"/>
    <w:pPr>
      <w:spacing w:before="240" w:line="240" w:lineRule="auto"/>
      <w:ind w:left="284" w:hanging="284"/>
    </w:pPr>
    <w:rPr>
      <w:i/>
      <w:sz w:val="24"/>
    </w:rPr>
  </w:style>
  <w:style w:type="paragraph" w:customStyle="1" w:styleId="notemargin">
    <w:name w:val="note(margin)"/>
    <w:aliases w:val="nm"/>
    <w:basedOn w:val="OPCParaBase"/>
    <w:rsid w:val="00686C2A"/>
    <w:pPr>
      <w:tabs>
        <w:tab w:val="left" w:pos="709"/>
      </w:tabs>
      <w:spacing w:before="122" w:line="198" w:lineRule="exact"/>
      <w:ind w:left="709" w:hanging="709"/>
    </w:pPr>
    <w:rPr>
      <w:sz w:val="18"/>
    </w:rPr>
  </w:style>
  <w:style w:type="paragraph" w:customStyle="1" w:styleId="notepara">
    <w:name w:val="note(para)"/>
    <w:aliases w:val="na"/>
    <w:basedOn w:val="OPCParaBase"/>
    <w:rsid w:val="00686C2A"/>
    <w:pPr>
      <w:spacing w:before="40" w:line="198" w:lineRule="exact"/>
      <w:ind w:left="2354" w:hanging="369"/>
    </w:pPr>
    <w:rPr>
      <w:sz w:val="18"/>
    </w:rPr>
  </w:style>
  <w:style w:type="paragraph" w:customStyle="1" w:styleId="noteParlAmend">
    <w:name w:val="note(ParlAmend)"/>
    <w:aliases w:val="npp"/>
    <w:basedOn w:val="OPCParaBase"/>
    <w:next w:val="ParlAmend"/>
    <w:rsid w:val="00686C2A"/>
    <w:pPr>
      <w:spacing w:line="240" w:lineRule="auto"/>
      <w:jc w:val="right"/>
    </w:pPr>
    <w:rPr>
      <w:rFonts w:ascii="Arial" w:hAnsi="Arial"/>
      <w:b/>
      <w:i/>
    </w:rPr>
  </w:style>
  <w:style w:type="paragraph" w:customStyle="1" w:styleId="Page1">
    <w:name w:val="Page1"/>
    <w:basedOn w:val="OPCParaBase"/>
    <w:rsid w:val="00686C2A"/>
    <w:pPr>
      <w:spacing w:before="5600" w:line="240" w:lineRule="auto"/>
    </w:pPr>
    <w:rPr>
      <w:b/>
      <w:sz w:val="32"/>
    </w:rPr>
  </w:style>
  <w:style w:type="paragraph" w:customStyle="1" w:styleId="paragraphsub-sub">
    <w:name w:val="paragraph(sub-sub)"/>
    <w:aliases w:val="aaa"/>
    <w:basedOn w:val="OPCParaBase"/>
    <w:rsid w:val="00686C2A"/>
    <w:pPr>
      <w:tabs>
        <w:tab w:val="right" w:pos="2722"/>
      </w:tabs>
      <w:spacing w:before="40" w:line="240" w:lineRule="auto"/>
      <w:ind w:left="2835" w:hanging="2835"/>
    </w:pPr>
  </w:style>
  <w:style w:type="paragraph" w:customStyle="1" w:styleId="ParlAmend">
    <w:name w:val="ParlAmend"/>
    <w:aliases w:val="pp"/>
    <w:basedOn w:val="OPCParaBase"/>
    <w:rsid w:val="00686C2A"/>
    <w:pPr>
      <w:spacing w:before="240" w:line="240" w:lineRule="atLeast"/>
      <w:ind w:hanging="567"/>
    </w:pPr>
    <w:rPr>
      <w:sz w:val="24"/>
    </w:rPr>
  </w:style>
  <w:style w:type="paragraph" w:customStyle="1" w:styleId="Portfolio">
    <w:name w:val="Portfolio"/>
    <w:basedOn w:val="OPCParaBase"/>
    <w:rsid w:val="00686C2A"/>
    <w:pPr>
      <w:spacing w:line="240" w:lineRule="auto"/>
    </w:pPr>
    <w:rPr>
      <w:i/>
      <w:sz w:val="20"/>
    </w:rPr>
  </w:style>
  <w:style w:type="paragraph" w:customStyle="1" w:styleId="Preamble">
    <w:name w:val="Preamble"/>
    <w:basedOn w:val="OPCParaBase"/>
    <w:next w:val="Normal"/>
    <w:rsid w:val="00686C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6C2A"/>
    <w:pPr>
      <w:spacing w:line="240" w:lineRule="auto"/>
    </w:pPr>
    <w:rPr>
      <w:i/>
      <w:sz w:val="20"/>
    </w:rPr>
  </w:style>
  <w:style w:type="paragraph" w:customStyle="1" w:styleId="Session">
    <w:name w:val="Session"/>
    <w:basedOn w:val="OPCParaBase"/>
    <w:rsid w:val="00686C2A"/>
    <w:pPr>
      <w:spacing w:line="240" w:lineRule="auto"/>
    </w:pPr>
    <w:rPr>
      <w:sz w:val="28"/>
    </w:rPr>
  </w:style>
  <w:style w:type="paragraph" w:customStyle="1" w:styleId="Sponsor">
    <w:name w:val="Sponsor"/>
    <w:basedOn w:val="OPCParaBase"/>
    <w:rsid w:val="00686C2A"/>
    <w:pPr>
      <w:spacing w:line="240" w:lineRule="auto"/>
    </w:pPr>
    <w:rPr>
      <w:i/>
    </w:rPr>
  </w:style>
  <w:style w:type="paragraph" w:customStyle="1" w:styleId="Subitem">
    <w:name w:val="Subitem"/>
    <w:aliases w:val="iss"/>
    <w:basedOn w:val="OPCParaBase"/>
    <w:rsid w:val="00686C2A"/>
    <w:pPr>
      <w:spacing w:before="180" w:line="240" w:lineRule="auto"/>
      <w:ind w:left="709" w:hanging="709"/>
    </w:pPr>
  </w:style>
  <w:style w:type="paragraph" w:customStyle="1" w:styleId="SubitemHead">
    <w:name w:val="SubitemHead"/>
    <w:aliases w:val="issh"/>
    <w:basedOn w:val="OPCParaBase"/>
    <w:rsid w:val="00686C2A"/>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686C2A"/>
    <w:pPr>
      <w:keepNext/>
      <w:keepLines/>
      <w:spacing w:before="240" w:line="240" w:lineRule="auto"/>
      <w:ind w:left="1134"/>
    </w:pPr>
    <w:rPr>
      <w:i/>
    </w:rPr>
  </w:style>
  <w:style w:type="paragraph" w:customStyle="1" w:styleId="Tablea">
    <w:name w:val="Table(a)"/>
    <w:aliases w:val="ta"/>
    <w:basedOn w:val="OPCParaBase"/>
    <w:rsid w:val="00686C2A"/>
    <w:pPr>
      <w:spacing w:before="60" w:line="240" w:lineRule="auto"/>
      <w:ind w:left="284" w:hanging="284"/>
    </w:pPr>
    <w:rPr>
      <w:sz w:val="20"/>
    </w:rPr>
  </w:style>
  <w:style w:type="paragraph" w:customStyle="1" w:styleId="TableAA">
    <w:name w:val="Table(AA)"/>
    <w:aliases w:val="taaa"/>
    <w:basedOn w:val="OPCParaBase"/>
    <w:rsid w:val="00686C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6C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6C2A"/>
    <w:pPr>
      <w:spacing w:before="60" w:line="240" w:lineRule="atLeast"/>
    </w:pPr>
    <w:rPr>
      <w:sz w:val="20"/>
    </w:rPr>
  </w:style>
  <w:style w:type="paragraph" w:customStyle="1" w:styleId="TLPBoxTextnote">
    <w:name w:val="TLPBoxText(note"/>
    <w:aliases w:val="right)"/>
    <w:basedOn w:val="OPCParaBase"/>
    <w:rsid w:val="00686C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6C2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6C2A"/>
    <w:pPr>
      <w:spacing w:before="122" w:line="198" w:lineRule="exact"/>
      <w:ind w:left="1985" w:hanging="851"/>
      <w:jc w:val="right"/>
    </w:pPr>
    <w:rPr>
      <w:sz w:val="18"/>
    </w:rPr>
  </w:style>
  <w:style w:type="paragraph" w:customStyle="1" w:styleId="TLPTableBullet">
    <w:name w:val="TLPTableBullet"/>
    <w:aliases w:val="ttb"/>
    <w:basedOn w:val="OPCParaBase"/>
    <w:rsid w:val="00686C2A"/>
    <w:pPr>
      <w:spacing w:line="240" w:lineRule="exact"/>
      <w:ind w:left="284" w:hanging="284"/>
    </w:pPr>
    <w:rPr>
      <w:sz w:val="20"/>
    </w:rPr>
  </w:style>
  <w:style w:type="paragraph" w:customStyle="1" w:styleId="TofSectsGroupHeading">
    <w:name w:val="TofSects(GroupHeading)"/>
    <w:basedOn w:val="OPCParaBase"/>
    <w:next w:val="TofSectsSection"/>
    <w:rsid w:val="00686C2A"/>
    <w:pPr>
      <w:keepLines/>
      <w:spacing w:before="240" w:after="120" w:line="240" w:lineRule="auto"/>
      <w:ind w:left="794"/>
    </w:pPr>
    <w:rPr>
      <w:b/>
      <w:kern w:val="28"/>
      <w:sz w:val="20"/>
    </w:rPr>
  </w:style>
  <w:style w:type="paragraph" w:customStyle="1" w:styleId="TofSectsHeading">
    <w:name w:val="TofSects(Heading)"/>
    <w:basedOn w:val="OPCParaBase"/>
    <w:rsid w:val="00686C2A"/>
    <w:pPr>
      <w:spacing w:before="240" w:after="120" w:line="240" w:lineRule="auto"/>
    </w:pPr>
    <w:rPr>
      <w:b/>
      <w:sz w:val="24"/>
    </w:rPr>
  </w:style>
  <w:style w:type="paragraph" w:customStyle="1" w:styleId="TofSectsSection">
    <w:name w:val="TofSects(Section)"/>
    <w:basedOn w:val="OPCParaBase"/>
    <w:rsid w:val="00686C2A"/>
    <w:pPr>
      <w:keepLines/>
      <w:spacing w:before="40" w:line="240" w:lineRule="auto"/>
      <w:ind w:left="1588" w:hanging="794"/>
    </w:pPr>
    <w:rPr>
      <w:kern w:val="28"/>
      <w:sz w:val="18"/>
    </w:rPr>
  </w:style>
  <w:style w:type="paragraph" w:customStyle="1" w:styleId="TofSectsSubdiv">
    <w:name w:val="TofSects(Subdiv)"/>
    <w:basedOn w:val="OPCParaBase"/>
    <w:rsid w:val="00686C2A"/>
    <w:pPr>
      <w:keepLines/>
      <w:spacing w:before="80" w:line="240" w:lineRule="auto"/>
      <w:ind w:left="1588" w:hanging="794"/>
    </w:pPr>
    <w:rPr>
      <w:kern w:val="28"/>
    </w:rPr>
  </w:style>
  <w:style w:type="paragraph" w:customStyle="1" w:styleId="WRStyle">
    <w:name w:val="WR Style"/>
    <w:aliases w:val="WR"/>
    <w:basedOn w:val="OPCParaBase"/>
    <w:rsid w:val="00686C2A"/>
    <w:pPr>
      <w:spacing w:before="240" w:line="240" w:lineRule="auto"/>
      <w:ind w:left="284" w:hanging="284"/>
    </w:pPr>
    <w:rPr>
      <w:b/>
      <w:i/>
      <w:kern w:val="28"/>
      <w:sz w:val="24"/>
    </w:rPr>
  </w:style>
  <w:style w:type="numbering" w:customStyle="1" w:styleId="OPCBodyList">
    <w:name w:val="OPCBodyList"/>
    <w:uiPriority w:val="99"/>
    <w:rsid w:val="00C503EF"/>
    <w:pPr>
      <w:numPr>
        <w:numId w:val="25"/>
      </w:numPr>
    </w:pPr>
  </w:style>
  <w:style w:type="paragraph" w:customStyle="1" w:styleId="noteToPara">
    <w:name w:val="noteToPara"/>
    <w:aliases w:val="ntp"/>
    <w:basedOn w:val="OPCParaBase"/>
    <w:rsid w:val="00686C2A"/>
    <w:pPr>
      <w:spacing w:before="122" w:line="198" w:lineRule="exact"/>
      <w:ind w:left="2353" w:hanging="709"/>
    </w:pPr>
    <w:rPr>
      <w:sz w:val="18"/>
    </w:rPr>
  </w:style>
  <w:style w:type="character" w:customStyle="1" w:styleId="FooterChar">
    <w:name w:val="Footer Char"/>
    <w:basedOn w:val="DefaultParagraphFont"/>
    <w:link w:val="Footer"/>
    <w:rsid w:val="00686C2A"/>
    <w:rPr>
      <w:sz w:val="22"/>
      <w:szCs w:val="24"/>
    </w:rPr>
  </w:style>
  <w:style w:type="character" w:customStyle="1" w:styleId="BalloonTextChar">
    <w:name w:val="Balloon Text Char"/>
    <w:basedOn w:val="DefaultParagraphFont"/>
    <w:link w:val="BalloonText"/>
    <w:uiPriority w:val="99"/>
    <w:rsid w:val="00686C2A"/>
    <w:rPr>
      <w:rFonts w:ascii="Tahoma" w:eastAsiaTheme="minorHAnsi" w:hAnsi="Tahoma" w:cs="Tahoma"/>
      <w:sz w:val="16"/>
      <w:szCs w:val="16"/>
      <w:lang w:eastAsia="en-US"/>
    </w:rPr>
  </w:style>
  <w:style w:type="table" w:customStyle="1" w:styleId="CFlag">
    <w:name w:val="CFlag"/>
    <w:basedOn w:val="TableNormal"/>
    <w:uiPriority w:val="99"/>
    <w:rsid w:val="00686C2A"/>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686C2A"/>
    <w:pPr>
      <w:keepNext/>
      <w:keepLines/>
      <w:spacing w:before="280"/>
      <w:outlineLvl w:val="1"/>
    </w:pPr>
    <w:rPr>
      <w:b/>
      <w:kern w:val="28"/>
      <w:sz w:val="32"/>
    </w:rPr>
  </w:style>
  <w:style w:type="paragraph" w:customStyle="1" w:styleId="CompiledActNo">
    <w:name w:val="CompiledActNo"/>
    <w:basedOn w:val="OPCParaBase"/>
    <w:next w:val="Normal"/>
    <w:rsid w:val="00686C2A"/>
    <w:rPr>
      <w:b/>
      <w:sz w:val="24"/>
      <w:szCs w:val="24"/>
    </w:rPr>
  </w:style>
  <w:style w:type="paragraph" w:customStyle="1" w:styleId="CompiledMadeUnder">
    <w:name w:val="CompiledMadeUnder"/>
    <w:basedOn w:val="OPCParaBase"/>
    <w:next w:val="Normal"/>
    <w:rsid w:val="00686C2A"/>
    <w:rPr>
      <w:i/>
      <w:sz w:val="24"/>
      <w:szCs w:val="24"/>
    </w:rPr>
  </w:style>
  <w:style w:type="paragraph" w:customStyle="1" w:styleId="Paragraphsub-sub-sub">
    <w:name w:val="Paragraph(sub-sub-sub)"/>
    <w:aliases w:val="aaaa"/>
    <w:basedOn w:val="OPCParaBase"/>
    <w:rsid w:val="00686C2A"/>
    <w:pPr>
      <w:tabs>
        <w:tab w:val="right" w:pos="3402"/>
      </w:tabs>
      <w:spacing w:before="40" w:line="240" w:lineRule="auto"/>
      <w:ind w:left="3402" w:hanging="3402"/>
    </w:pPr>
  </w:style>
  <w:style w:type="paragraph" w:customStyle="1" w:styleId="InstNo">
    <w:name w:val="InstNo"/>
    <w:basedOn w:val="OPCParaBase"/>
    <w:next w:val="Normal"/>
    <w:rsid w:val="00686C2A"/>
    <w:rPr>
      <w:b/>
      <w:sz w:val="28"/>
      <w:szCs w:val="32"/>
    </w:rPr>
  </w:style>
  <w:style w:type="paragraph" w:customStyle="1" w:styleId="TerritoryT">
    <w:name w:val="TerritoryT"/>
    <w:basedOn w:val="OPCParaBase"/>
    <w:next w:val="Normal"/>
    <w:rsid w:val="00686C2A"/>
    <w:rPr>
      <w:b/>
      <w:sz w:val="32"/>
    </w:rPr>
  </w:style>
  <w:style w:type="paragraph" w:customStyle="1" w:styleId="LegislationMadeUnder">
    <w:name w:val="LegislationMadeUnder"/>
    <w:basedOn w:val="OPCParaBase"/>
    <w:next w:val="Normal"/>
    <w:rsid w:val="00686C2A"/>
    <w:rPr>
      <w:i/>
      <w:sz w:val="32"/>
      <w:szCs w:val="32"/>
    </w:rPr>
  </w:style>
  <w:style w:type="paragraph" w:customStyle="1" w:styleId="SignCoverPageEnd">
    <w:name w:val="SignCoverPageEnd"/>
    <w:basedOn w:val="OPCParaBase"/>
    <w:next w:val="Normal"/>
    <w:rsid w:val="00686C2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86C2A"/>
    <w:pPr>
      <w:pBdr>
        <w:top w:val="single" w:sz="4" w:space="1" w:color="auto"/>
      </w:pBdr>
      <w:spacing w:before="360"/>
      <w:ind w:right="397"/>
      <w:jc w:val="both"/>
    </w:pPr>
  </w:style>
  <w:style w:type="paragraph" w:customStyle="1" w:styleId="NotesHeading1">
    <w:name w:val="NotesHeading 1"/>
    <w:basedOn w:val="OPCParaBase"/>
    <w:next w:val="Normal"/>
    <w:rsid w:val="00686C2A"/>
    <w:rPr>
      <w:b/>
      <w:sz w:val="28"/>
      <w:szCs w:val="28"/>
    </w:rPr>
  </w:style>
  <w:style w:type="paragraph" w:customStyle="1" w:styleId="NotesHeading2">
    <w:name w:val="NotesHeading 2"/>
    <w:basedOn w:val="OPCParaBase"/>
    <w:next w:val="Normal"/>
    <w:rsid w:val="00686C2A"/>
    <w:rPr>
      <w:b/>
      <w:sz w:val="28"/>
      <w:szCs w:val="28"/>
    </w:rPr>
  </w:style>
  <w:style w:type="paragraph" w:customStyle="1" w:styleId="NoteToSubpara">
    <w:name w:val="NoteToSubpara"/>
    <w:aliases w:val="nts"/>
    <w:basedOn w:val="OPCParaBase"/>
    <w:rsid w:val="00686C2A"/>
    <w:pPr>
      <w:spacing w:before="40" w:line="198" w:lineRule="exact"/>
      <w:ind w:left="2835" w:hanging="709"/>
    </w:pPr>
    <w:rPr>
      <w:sz w:val="18"/>
    </w:rPr>
  </w:style>
  <w:style w:type="paragraph" w:customStyle="1" w:styleId="EndNotespara">
    <w:name w:val="EndNotes(para)"/>
    <w:aliases w:val="eta"/>
    <w:basedOn w:val="OPCParaBase"/>
    <w:next w:val="Normal"/>
    <w:rsid w:val="00686C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6C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86C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6C2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86C2A"/>
    <w:pPr>
      <w:keepNext/>
      <w:spacing w:before="60" w:line="240" w:lineRule="atLeast"/>
    </w:pPr>
    <w:rPr>
      <w:rFonts w:ascii="Arial" w:hAnsi="Arial"/>
      <w:b/>
      <w:sz w:val="16"/>
    </w:rPr>
  </w:style>
  <w:style w:type="paragraph" w:customStyle="1" w:styleId="ENoteTTi">
    <w:name w:val="ENoteTTi"/>
    <w:aliases w:val="entti"/>
    <w:basedOn w:val="OPCParaBase"/>
    <w:rsid w:val="00686C2A"/>
    <w:pPr>
      <w:keepNext/>
      <w:spacing w:before="60" w:line="240" w:lineRule="atLeast"/>
      <w:ind w:left="170"/>
    </w:pPr>
    <w:rPr>
      <w:sz w:val="16"/>
    </w:rPr>
  </w:style>
  <w:style w:type="paragraph" w:customStyle="1" w:styleId="ENoteTTIndentHeading">
    <w:name w:val="ENoteTTIndentHeading"/>
    <w:aliases w:val="enTTHi"/>
    <w:basedOn w:val="OPCParaBase"/>
    <w:rsid w:val="00686C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6C2A"/>
    <w:pPr>
      <w:spacing w:before="60" w:line="240" w:lineRule="atLeast"/>
    </w:pPr>
    <w:rPr>
      <w:sz w:val="16"/>
    </w:rPr>
  </w:style>
  <w:style w:type="paragraph" w:customStyle="1" w:styleId="MadeunderText">
    <w:name w:val="MadeunderText"/>
    <w:basedOn w:val="OPCParaBase"/>
    <w:next w:val="CompiledMadeUnder"/>
    <w:rsid w:val="00686C2A"/>
    <w:pPr>
      <w:spacing w:before="240"/>
    </w:pPr>
    <w:rPr>
      <w:sz w:val="24"/>
      <w:szCs w:val="24"/>
    </w:rPr>
  </w:style>
  <w:style w:type="character" w:customStyle="1" w:styleId="CharSubPartTextCASA">
    <w:name w:val="CharSubPartText(CASA)"/>
    <w:basedOn w:val="OPCCharBase"/>
    <w:uiPriority w:val="1"/>
    <w:rsid w:val="00686C2A"/>
  </w:style>
  <w:style w:type="character" w:customStyle="1" w:styleId="CharSubPartNoCASA">
    <w:name w:val="CharSubPartNo(CASA)"/>
    <w:basedOn w:val="OPCCharBase"/>
    <w:uiPriority w:val="1"/>
    <w:rsid w:val="00686C2A"/>
  </w:style>
  <w:style w:type="paragraph" w:customStyle="1" w:styleId="ENoteTTIndentHeadingSub">
    <w:name w:val="ENoteTTIndentHeadingSub"/>
    <w:aliases w:val="enTTHis"/>
    <w:basedOn w:val="OPCParaBase"/>
    <w:rsid w:val="00686C2A"/>
    <w:pPr>
      <w:keepNext/>
      <w:spacing w:before="60" w:line="240" w:lineRule="atLeast"/>
      <w:ind w:left="340"/>
    </w:pPr>
    <w:rPr>
      <w:b/>
      <w:sz w:val="16"/>
    </w:rPr>
  </w:style>
  <w:style w:type="paragraph" w:customStyle="1" w:styleId="ENoteTTiSub">
    <w:name w:val="ENoteTTiSub"/>
    <w:aliases w:val="enttis"/>
    <w:basedOn w:val="OPCParaBase"/>
    <w:rsid w:val="00686C2A"/>
    <w:pPr>
      <w:keepNext/>
      <w:spacing w:before="60" w:line="240" w:lineRule="atLeast"/>
      <w:ind w:left="340"/>
    </w:pPr>
    <w:rPr>
      <w:sz w:val="16"/>
    </w:rPr>
  </w:style>
  <w:style w:type="paragraph" w:customStyle="1" w:styleId="SubDivisionMigration">
    <w:name w:val="SubDivisionMigration"/>
    <w:aliases w:val="sdm"/>
    <w:basedOn w:val="OPCParaBase"/>
    <w:rsid w:val="00686C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6C2A"/>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6C2A"/>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2F15"/>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qFormat/>
    <w:rsid w:val="00772F15"/>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772F15"/>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686C2A"/>
    <w:pPr>
      <w:keepNext/>
      <w:spacing w:before="60" w:line="240" w:lineRule="atLeast"/>
    </w:pPr>
    <w:rPr>
      <w:b/>
      <w:sz w:val="20"/>
    </w:rPr>
  </w:style>
  <w:style w:type="paragraph" w:customStyle="1" w:styleId="ENotesHeading1">
    <w:name w:val="ENotesHeading 1"/>
    <w:aliases w:val="Enh1"/>
    <w:basedOn w:val="OPCParaBase"/>
    <w:next w:val="Normal"/>
    <w:rsid w:val="00686C2A"/>
    <w:pPr>
      <w:spacing w:before="120"/>
      <w:outlineLvl w:val="1"/>
    </w:pPr>
    <w:rPr>
      <w:b/>
      <w:sz w:val="28"/>
      <w:szCs w:val="28"/>
    </w:rPr>
  </w:style>
  <w:style w:type="paragraph" w:styleId="Footer">
    <w:name w:val="footer"/>
    <w:link w:val="FooterChar"/>
    <w:rsid w:val="00686C2A"/>
    <w:pPr>
      <w:tabs>
        <w:tab w:val="center" w:pos="4153"/>
        <w:tab w:val="right" w:pos="8306"/>
      </w:tabs>
    </w:pPr>
    <w:rPr>
      <w:sz w:val="22"/>
      <w:szCs w:val="24"/>
    </w:rPr>
  </w:style>
  <w:style w:type="paragraph" w:customStyle="1" w:styleId="ENotesHeading2">
    <w:name w:val="ENotesHeading 2"/>
    <w:aliases w:val="Enh2"/>
    <w:basedOn w:val="OPCParaBase"/>
    <w:next w:val="Normal"/>
    <w:rsid w:val="00686C2A"/>
    <w:pPr>
      <w:spacing w:before="120" w:after="120"/>
      <w:outlineLvl w:val="2"/>
    </w:pPr>
    <w:rPr>
      <w:b/>
      <w:sz w:val="24"/>
      <w:szCs w:val="28"/>
    </w:rPr>
  </w:style>
  <w:style w:type="paragraph" w:customStyle="1" w:styleId="ENotesHeading3">
    <w:name w:val="ENotesHeading 3"/>
    <w:aliases w:val="Enh3"/>
    <w:basedOn w:val="OPCParaBase"/>
    <w:next w:val="Normal"/>
    <w:rsid w:val="00686C2A"/>
    <w:pPr>
      <w:keepNext/>
      <w:spacing w:before="120" w:line="240" w:lineRule="auto"/>
      <w:outlineLvl w:val="4"/>
    </w:pPr>
    <w:rPr>
      <w:b/>
      <w:szCs w:val="24"/>
    </w:rPr>
  </w:style>
  <w:style w:type="paragraph" w:customStyle="1" w:styleId="ENotesText">
    <w:name w:val="ENotesText"/>
    <w:basedOn w:val="OPCParaBase"/>
    <w:next w:val="Normal"/>
    <w:rsid w:val="00686C2A"/>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uiPriority w:val="20"/>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86C2A"/>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686C2A"/>
    <w:rPr>
      <w:color w:val="0000FF"/>
      <w:u w:val="single"/>
    </w:rPr>
  </w:style>
  <w:style w:type="character" w:styleId="LineNumber">
    <w:name w:val="line number"/>
    <w:basedOn w:val="OPCCharBase"/>
    <w:uiPriority w:val="99"/>
    <w:unhideWhenUsed/>
    <w:rsid w:val="00686C2A"/>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C503EF"/>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6C2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686C2A"/>
  </w:style>
  <w:style w:type="character" w:customStyle="1" w:styleId="CharAmSchText">
    <w:name w:val="CharAmSchText"/>
    <w:basedOn w:val="OPCCharBase"/>
    <w:qFormat/>
    <w:rsid w:val="00686C2A"/>
  </w:style>
  <w:style w:type="character" w:customStyle="1" w:styleId="CharChapNo">
    <w:name w:val="CharChapNo"/>
    <w:basedOn w:val="OPCCharBase"/>
    <w:uiPriority w:val="1"/>
    <w:qFormat/>
    <w:rsid w:val="00686C2A"/>
  </w:style>
  <w:style w:type="character" w:customStyle="1" w:styleId="CharChapText">
    <w:name w:val="CharChapText"/>
    <w:basedOn w:val="OPCCharBase"/>
    <w:uiPriority w:val="1"/>
    <w:qFormat/>
    <w:rsid w:val="00686C2A"/>
  </w:style>
  <w:style w:type="character" w:customStyle="1" w:styleId="CharDivNo">
    <w:name w:val="CharDivNo"/>
    <w:basedOn w:val="OPCCharBase"/>
    <w:uiPriority w:val="1"/>
    <w:qFormat/>
    <w:rsid w:val="00686C2A"/>
  </w:style>
  <w:style w:type="character" w:customStyle="1" w:styleId="CharDivText">
    <w:name w:val="CharDivText"/>
    <w:basedOn w:val="OPCCharBase"/>
    <w:uiPriority w:val="1"/>
    <w:qFormat/>
    <w:rsid w:val="00686C2A"/>
  </w:style>
  <w:style w:type="character" w:customStyle="1" w:styleId="CharPartNo">
    <w:name w:val="CharPartNo"/>
    <w:basedOn w:val="OPCCharBase"/>
    <w:uiPriority w:val="1"/>
    <w:qFormat/>
    <w:rsid w:val="00686C2A"/>
  </w:style>
  <w:style w:type="character" w:customStyle="1" w:styleId="CharPartText">
    <w:name w:val="CharPartText"/>
    <w:basedOn w:val="OPCCharBase"/>
    <w:uiPriority w:val="1"/>
    <w:qFormat/>
    <w:rsid w:val="00686C2A"/>
  </w:style>
  <w:style w:type="character" w:customStyle="1" w:styleId="OPCCharBase">
    <w:name w:val="OPCCharBase"/>
    <w:uiPriority w:val="1"/>
    <w:qFormat/>
    <w:rsid w:val="00686C2A"/>
  </w:style>
  <w:style w:type="paragraph" w:customStyle="1" w:styleId="OPCParaBase">
    <w:name w:val="OPCParaBase"/>
    <w:qFormat/>
    <w:rsid w:val="00686C2A"/>
    <w:pPr>
      <w:spacing w:line="260" w:lineRule="atLeast"/>
    </w:pPr>
    <w:rPr>
      <w:sz w:val="22"/>
    </w:rPr>
  </w:style>
  <w:style w:type="character" w:customStyle="1" w:styleId="CharSectno">
    <w:name w:val="CharSectno"/>
    <w:basedOn w:val="OPCCharBase"/>
    <w:qFormat/>
    <w:rsid w:val="00686C2A"/>
  </w:style>
  <w:style w:type="character" w:styleId="EndnoteReference">
    <w:name w:val="endnote reference"/>
    <w:basedOn w:val="DefaultParagraphFont"/>
    <w:uiPriority w:val="99"/>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uiPriority w:val="99"/>
    <w:rsid w:val="00772F15"/>
    <w:rPr>
      <w:rFonts w:ascii="Times New Roman" w:hAnsi="Times New Roman"/>
      <w:sz w:val="20"/>
      <w:vertAlign w:val="superscript"/>
    </w:rPr>
  </w:style>
  <w:style w:type="paragraph" w:styleId="FootnoteText">
    <w:name w:val="footnote text"/>
    <w:basedOn w:val="Normal"/>
    <w:link w:val="FootnoteTextChar"/>
    <w:uiPriority w:val="99"/>
    <w:rsid w:val="00772F15"/>
    <w:rPr>
      <w:sz w:val="20"/>
    </w:rPr>
  </w:style>
  <w:style w:type="paragraph" w:customStyle="1" w:styleId="Formula">
    <w:name w:val="Formula"/>
    <w:basedOn w:val="OPCParaBase"/>
    <w:rsid w:val="00686C2A"/>
    <w:pPr>
      <w:spacing w:line="240" w:lineRule="auto"/>
      <w:ind w:left="1134"/>
    </w:pPr>
    <w:rPr>
      <w:sz w:val="20"/>
    </w:rPr>
  </w:style>
  <w:style w:type="paragraph" w:customStyle="1" w:styleId="ShortT">
    <w:name w:val="ShortT"/>
    <w:basedOn w:val="OPCParaBase"/>
    <w:next w:val="Normal"/>
    <w:qFormat/>
    <w:rsid w:val="00686C2A"/>
    <w:pPr>
      <w:spacing w:line="240" w:lineRule="auto"/>
    </w:pPr>
    <w:rPr>
      <w:b/>
      <w:sz w:val="40"/>
    </w:rPr>
  </w:style>
  <w:style w:type="paragraph" w:customStyle="1" w:styleId="Penalty">
    <w:name w:val="Penalty"/>
    <w:basedOn w:val="OPCParaBase"/>
    <w:rsid w:val="00686C2A"/>
    <w:pPr>
      <w:tabs>
        <w:tab w:val="left" w:pos="2977"/>
      </w:tabs>
      <w:spacing w:before="180" w:line="240" w:lineRule="auto"/>
      <w:ind w:left="1985" w:hanging="851"/>
    </w:pPr>
  </w:style>
  <w:style w:type="paragraph" w:customStyle="1" w:styleId="ActHead1">
    <w:name w:val="ActHead 1"/>
    <w:aliases w:val="c"/>
    <w:basedOn w:val="OPCParaBase"/>
    <w:next w:val="Normal"/>
    <w:qFormat/>
    <w:rsid w:val="00686C2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86C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6C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6C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6C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6C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6C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6C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6C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6C2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86C2A"/>
    <w:pPr>
      <w:spacing w:line="240" w:lineRule="auto"/>
    </w:pPr>
    <w:rPr>
      <w:sz w:val="20"/>
    </w:rPr>
  </w:style>
  <w:style w:type="paragraph" w:customStyle="1" w:styleId="ActHead2">
    <w:name w:val="ActHead 2"/>
    <w:aliases w:val="p"/>
    <w:basedOn w:val="OPCParaBase"/>
    <w:next w:val="ActHead3"/>
    <w:qFormat/>
    <w:rsid w:val="00686C2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86C2A"/>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paragraph">
    <w:name w:val="paragraph"/>
    <w:aliases w:val="a"/>
    <w:basedOn w:val="OPCParaBase"/>
    <w:link w:val="paragraphChar"/>
    <w:rsid w:val="00686C2A"/>
    <w:pPr>
      <w:tabs>
        <w:tab w:val="right" w:pos="1531"/>
      </w:tabs>
      <w:spacing w:before="40" w:line="240" w:lineRule="auto"/>
      <w:ind w:left="1644" w:hanging="1644"/>
    </w:pPr>
  </w:style>
  <w:style w:type="character" w:customStyle="1" w:styleId="paragraphChar">
    <w:name w:val="paragraph Char"/>
    <w:aliases w:val="a Char"/>
    <w:link w:val="paragraph"/>
    <w:rsid w:val="00146625"/>
    <w:rPr>
      <w:sz w:val="22"/>
    </w:rPr>
  </w:style>
  <w:style w:type="character" w:customStyle="1" w:styleId="Heading2Char">
    <w:name w:val="Heading 2 Char"/>
    <w:basedOn w:val="DefaultParagraphFont"/>
    <w:link w:val="Heading2"/>
    <w:rsid w:val="00AE5552"/>
    <w:rPr>
      <w:rFonts w:ascii="Arial" w:hAnsi="Arial" w:cs="Arial"/>
      <w:b/>
      <w:bCs/>
      <w:i/>
      <w:iCs/>
      <w:sz w:val="28"/>
      <w:szCs w:val="28"/>
    </w:rPr>
  </w:style>
  <w:style w:type="character" w:customStyle="1" w:styleId="Heading4Char">
    <w:name w:val="Heading 4 Char"/>
    <w:basedOn w:val="DefaultParagraphFont"/>
    <w:link w:val="Heading4"/>
    <w:rsid w:val="00AE5552"/>
    <w:rPr>
      <w:b/>
      <w:bCs/>
      <w:sz w:val="28"/>
      <w:szCs w:val="28"/>
    </w:rPr>
  </w:style>
  <w:style w:type="paragraph" w:customStyle="1" w:styleId="subsection">
    <w:name w:val="subsection"/>
    <w:aliases w:val="ss"/>
    <w:basedOn w:val="OPCParaBase"/>
    <w:link w:val="subsectionChar"/>
    <w:rsid w:val="00686C2A"/>
    <w:pPr>
      <w:tabs>
        <w:tab w:val="right" w:pos="1021"/>
      </w:tabs>
      <w:spacing w:before="180" w:line="240" w:lineRule="auto"/>
      <w:ind w:left="1134" w:hanging="1134"/>
    </w:pPr>
  </w:style>
  <w:style w:type="paragraph" w:customStyle="1" w:styleId="notetext">
    <w:name w:val="note(text)"/>
    <w:aliases w:val="n"/>
    <w:basedOn w:val="OPCParaBase"/>
    <w:rsid w:val="00686C2A"/>
    <w:pPr>
      <w:spacing w:before="122" w:line="198" w:lineRule="exact"/>
      <w:ind w:left="1985" w:hanging="851"/>
    </w:pPr>
    <w:rPr>
      <w:sz w:val="18"/>
    </w:rPr>
  </w:style>
  <w:style w:type="character" w:customStyle="1" w:styleId="subsectionChar">
    <w:name w:val="subsection Char"/>
    <w:aliases w:val="ss Char"/>
    <w:link w:val="subsection"/>
    <w:rsid w:val="00AE5552"/>
    <w:rPr>
      <w:sz w:val="22"/>
    </w:rPr>
  </w:style>
  <w:style w:type="character" w:customStyle="1" w:styleId="Heading3Char">
    <w:name w:val="Heading 3 Char"/>
    <w:basedOn w:val="DefaultParagraphFont"/>
    <w:link w:val="Heading3"/>
    <w:uiPriority w:val="9"/>
    <w:rsid w:val="002F4416"/>
    <w:rPr>
      <w:rFonts w:ascii="Arial" w:hAnsi="Arial" w:cs="Arial"/>
      <w:b/>
      <w:bCs/>
      <w:sz w:val="26"/>
      <w:szCs w:val="26"/>
    </w:rPr>
  </w:style>
  <w:style w:type="paragraph" w:customStyle="1" w:styleId="subsection2">
    <w:name w:val="subsection2"/>
    <w:aliases w:val="ss2"/>
    <w:basedOn w:val="OPCParaBase"/>
    <w:next w:val="subsection"/>
    <w:rsid w:val="00686C2A"/>
    <w:pPr>
      <w:spacing w:before="40" w:line="240" w:lineRule="auto"/>
      <w:ind w:left="1134"/>
    </w:pPr>
  </w:style>
  <w:style w:type="paragraph" w:customStyle="1" w:styleId="ActHead5">
    <w:name w:val="ActHead 5"/>
    <w:aliases w:val="s"/>
    <w:basedOn w:val="OPCParaBase"/>
    <w:next w:val="subsection"/>
    <w:qFormat/>
    <w:rsid w:val="00686C2A"/>
    <w:pPr>
      <w:keepNext/>
      <w:keepLines/>
      <w:spacing w:before="280" w:line="240" w:lineRule="auto"/>
      <w:ind w:left="1134" w:hanging="1134"/>
      <w:outlineLvl w:val="4"/>
    </w:pPr>
    <w:rPr>
      <w:b/>
      <w:kern w:val="28"/>
      <w:sz w:val="24"/>
    </w:rPr>
  </w:style>
  <w:style w:type="paragraph" w:customStyle="1" w:styleId="paragraphsub">
    <w:name w:val="paragraph(sub)"/>
    <w:aliases w:val="aa"/>
    <w:basedOn w:val="OPCParaBase"/>
    <w:rsid w:val="00686C2A"/>
    <w:pPr>
      <w:tabs>
        <w:tab w:val="right" w:pos="1985"/>
      </w:tabs>
      <w:spacing w:before="40" w:line="240" w:lineRule="auto"/>
      <w:ind w:left="2098" w:hanging="2098"/>
    </w:pPr>
  </w:style>
  <w:style w:type="table" w:styleId="LightGrid-Accent5">
    <w:name w:val="Light Grid Accent 5"/>
    <w:basedOn w:val="TableNormal"/>
    <w:uiPriority w:val="62"/>
    <w:rsid w:val="00696D97"/>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Spacing">
    <w:name w:val="No Spacing"/>
    <w:uiPriority w:val="1"/>
    <w:qFormat/>
    <w:rsid w:val="00696D97"/>
    <w:rPr>
      <w:rFonts w:ascii="Calibri" w:eastAsia="Calibri" w:hAnsi="Calibri" w:cs="Calibri"/>
      <w:sz w:val="22"/>
      <w:szCs w:val="22"/>
      <w:lang w:eastAsia="en-US"/>
    </w:rPr>
  </w:style>
  <w:style w:type="character" w:customStyle="1" w:styleId="FootnoteTextChar">
    <w:name w:val="Footnote Text Char"/>
    <w:basedOn w:val="DefaultParagraphFont"/>
    <w:link w:val="FootnoteText"/>
    <w:uiPriority w:val="99"/>
    <w:rsid w:val="00696D97"/>
    <w:rPr>
      <w:lang w:eastAsia="en-US"/>
    </w:rPr>
  </w:style>
  <w:style w:type="paragraph" w:customStyle="1" w:styleId="ActHead3">
    <w:name w:val="ActHead 3"/>
    <w:aliases w:val="d"/>
    <w:basedOn w:val="OPCParaBase"/>
    <w:next w:val="ActHead4"/>
    <w:qFormat/>
    <w:rsid w:val="00686C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6C2A"/>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686C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6C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6C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6C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6C2A"/>
  </w:style>
  <w:style w:type="paragraph" w:customStyle="1" w:styleId="Blocks">
    <w:name w:val="Blocks"/>
    <w:aliases w:val="bb"/>
    <w:basedOn w:val="OPCParaBase"/>
    <w:qFormat/>
    <w:rsid w:val="00686C2A"/>
    <w:pPr>
      <w:spacing w:line="240" w:lineRule="auto"/>
    </w:pPr>
    <w:rPr>
      <w:sz w:val="24"/>
    </w:rPr>
  </w:style>
  <w:style w:type="paragraph" w:customStyle="1" w:styleId="BoxText">
    <w:name w:val="BoxText"/>
    <w:aliases w:val="bt"/>
    <w:basedOn w:val="OPCParaBase"/>
    <w:qFormat/>
    <w:rsid w:val="00686C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6C2A"/>
    <w:rPr>
      <w:b/>
    </w:rPr>
  </w:style>
  <w:style w:type="paragraph" w:customStyle="1" w:styleId="BoxHeadItalic">
    <w:name w:val="BoxHeadItalic"/>
    <w:aliases w:val="bhi"/>
    <w:basedOn w:val="BoxText"/>
    <w:next w:val="BoxStep"/>
    <w:qFormat/>
    <w:rsid w:val="00686C2A"/>
    <w:rPr>
      <w:i/>
    </w:rPr>
  </w:style>
  <w:style w:type="paragraph" w:customStyle="1" w:styleId="BoxList">
    <w:name w:val="BoxList"/>
    <w:aliases w:val="bl"/>
    <w:basedOn w:val="BoxText"/>
    <w:qFormat/>
    <w:rsid w:val="00686C2A"/>
    <w:pPr>
      <w:ind w:left="1559" w:hanging="425"/>
    </w:pPr>
  </w:style>
  <w:style w:type="paragraph" w:customStyle="1" w:styleId="BoxNote">
    <w:name w:val="BoxNote"/>
    <w:aliases w:val="bn"/>
    <w:basedOn w:val="BoxText"/>
    <w:qFormat/>
    <w:rsid w:val="00686C2A"/>
    <w:pPr>
      <w:tabs>
        <w:tab w:val="left" w:pos="1985"/>
      </w:tabs>
      <w:spacing w:before="122" w:line="198" w:lineRule="exact"/>
      <w:ind w:left="2948" w:hanging="1814"/>
    </w:pPr>
    <w:rPr>
      <w:sz w:val="18"/>
    </w:rPr>
  </w:style>
  <w:style w:type="paragraph" w:customStyle="1" w:styleId="BoxPara">
    <w:name w:val="BoxPara"/>
    <w:aliases w:val="bp"/>
    <w:basedOn w:val="BoxText"/>
    <w:qFormat/>
    <w:rsid w:val="00686C2A"/>
    <w:pPr>
      <w:tabs>
        <w:tab w:val="right" w:pos="2268"/>
      </w:tabs>
      <w:ind w:left="2552" w:hanging="1418"/>
    </w:pPr>
  </w:style>
  <w:style w:type="paragraph" w:customStyle="1" w:styleId="BoxStep">
    <w:name w:val="BoxStep"/>
    <w:aliases w:val="bs"/>
    <w:basedOn w:val="BoxText"/>
    <w:qFormat/>
    <w:rsid w:val="00686C2A"/>
    <w:pPr>
      <w:ind w:left="1985" w:hanging="851"/>
    </w:pPr>
  </w:style>
  <w:style w:type="character" w:customStyle="1" w:styleId="CharAmPartNo">
    <w:name w:val="CharAmPartNo"/>
    <w:basedOn w:val="OPCCharBase"/>
    <w:qFormat/>
    <w:rsid w:val="00686C2A"/>
  </w:style>
  <w:style w:type="character" w:customStyle="1" w:styleId="CharAmPartText">
    <w:name w:val="CharAmPartText"/>
    <w:basedOn w:val="OPCCharBase"/>
    <w:qFormat/>
    <w:rsid w:val="00686C2A"/>
  </w:style>
  <w:style w:type="character" w:customStyle="1" w:styleId="CharBoldItalic">
    <w:name w:val="CharBoldItalic"/>
    <w:basedOn w:val="OPCCharBase"/>
    <w:uiPriority w:val="1"/>
    <w:qFormat/>
    <w:rsid w:val="00686C2A"/>
    <w:rPr>
      <w:b/>
      <w:i/>
    </w:rPr>
  </w:style>
  <w:style w:type="character" w:customStyle="1" w:styleId="CharItalic">
    <w:name w:val="CharItalic"/>
    <w:basedOn w:val="OPCCharBase"/>
    <w:uiPriority w:val="1"/>
    <w:qFormat/>
    <w:rsid w:val="00686C2A"/>
    <w:rPr>
      <w:i/>
    </w:rPr>
  </w:style>
  <w:style w:type="character" w:customStyle="1" w:styleId="CharSubdNo">
    <w:name w:val="CharSubdNo"/>
    <w:basedOn w:val="OPCCharBase"/>
    <w:uiPriority w:val="1"/>
    <w:qFormat/>
    <w:rsid w:val="00686C2A"/>
  </w:style>
  <w:style w:type="character" w:customStyle="1" w:styleId="CharSubdText">
    <w:name w:val="CharSubdText"/>
    <w:basedOn w:val="OPCCharBase"/>
    <w:uiPriority w:val="1"/>
    <w:qFormat/>
    <w:rsid w:val="00686C2A"/>
  </w:style>
  <w:style w:type="paragraph" w:customStyle="1" w:styleId="CTA--">
    <w:name w:val="CTA --"/>
    <w:basedOn w:val="OPCParaBase"/>
    <w:next w:val="Normal"/>
    <w:rsid w:val="00686C2A"/>
    <w:pPr>
      <w:spacing w:before="60" w:line="240" w:lineRule="atLeast"/>
      <w:ind w:left="142" w:hanging="142"/>
    </w:pPr>
    <w:rPr>
      <w:sz w:val="20"/>
    </w:rPr>
  </w:style>
  <w:style w:type="paragraph" w:customStyle="1" w:styleId="CTA-">
    <w:name w:val="CTA -"/>
    <w:basedOn w:val="OPCParaBase"/>
    <w:rsid w:val="00686C2A"/>
    <w:pPr>
      <w:spacing w:before="60" w:line="240" w:lineRule="atLeast"/>
      <w:ind w:left="85" w:hanging="85"/>
    </w:pPr>
    <w:rPr>
      <w:sz w:val="20"/>
    </w:rPr>
  </w:style>
  <w:style w:type="paragraph" w:customStyle="1" w:styleId="CTA---">
    <w:name w:val="CTA ---"/>
    <w:basedOn w:val="OPCParaBase"/>
    <w:next w:val="Normal"/>
    <w:rsid w:val="00686C2A"/>
    <w:pPr>
      <w:spacing w:before="60" w:line="240" w:lineRule="atLeast"/>
      <w:ind w:left="198" w:hanging="198"/>
    </w:pPr>
    <w:rPr>
      <w:sz w:val="20"/>
    </w:rPr>
  </w:style>
  <w:style w:type="paragraph" w:customStyle="1" w:styleId="CTA----">
    <w:name w:val="CTA ----"/>
    <w:basedOn w:val="OPCParaBase"/>
    <w:next w:val="Normal"/>
    <w:rsid w:val="00686C2A"/>
    <w:pPr>
      <w:spacing w:before="60" w:line="240" w:lineRule="atLeast"/>
      <w:ind w:left="255" w:hanging="255"/>
    </w:pPr>
    <w:rPr>
      <w:sz w:val="20"/>
    </w:rPr>
  </w:style>
  <w:style w:type="paragraph" w:customStyle="1" w:styleId="CTA1a">
    <w:name w:val="CTA 1(a)"/>
    <w:basedOn w:val="OPCParaBase"/>
    <w:rsid w:val="00686C2A"/>
    <w:pPr>
      <w:tabs>
        <w:tab w:val="right" w:pos="414"/>
      </w:tabs>
      <w:spacing w:before="40" w:line="240" w:lineRule="atLeast"/>
      <w:ind w:left="675" w:hanging="675"/>
    </w:pPr>
    <w:rPr>
      <w:sz w:val="20"/>
    </w:rPr>
  </w:style>
  <w:style w:type="paragraph" w:customStyle="1" w:styleId="CTA1ai">
    <w:name w:val="CTA 1(a)(i)"/>
    <w:basedOn w:val="OPCParaBase"/>
    <w:rsid w:val="00686C2A"/>
    <w:pPr>
      <w:tabs>
        <w:tab w:val="right" w:pos="1004"/>
      </w:tabs>
      <w:spacing w:before="40" w:line="240" w:lineRule="atLeast"/>
      <w:ind w:left="1253" w:hanging="1253"/>
    </w:pPr>
    <w:rPr>
      <w:sz w:val="20"/>
    </w:rPr>
  </w:style>
  <w:style w:type="paragraph" w:customStyle="1" w:styleId="CTA2a">
    <w:name w:val="CTA 2(a)"/>
    <w:basedOn w:val="OPCParaBase"/>
    <w:rsid w:val="00686C2A"/>
    <w:pPr>
      <w:tabs>
        <w:tab w:val="right" w:pos="482"/>
      </w:tabs>
      <w:spacing w:before="40" w:line="240" w:lineRule="atLeast"/>
      <w:ind w:left="748" w:hanging="748"/>
    </w:pPr>
    <w:rPr>
      <w:sz w:val="20"/>
    </w:rPr>
  </w:style>
  <w:style w:type="paragraph" w:customStyle="1" w:styleId="CTA2ai">
    <w:name w:val="CTA 2(a)(i)"/>
    <w:basedOn w:val="OPCParaBase"/>
    <w:rsid w:val="00686C2A"/>
    <w:pPr>
      <w:tabs>
        <w:tab w:val="right" w:pos="1089"/>
      </w:tabs>
      <w:spacing w:before="40" w:line="240" w:lineRule="atLeast"/>
      <w:ind w:left="1327" w:hanging="1327"/>
    </w:pPr>
    <w:rPr>
      <w:sz w:val="20"/>
    </w:rPr>
  </w:style>
  <w:style w:type="paragraph" w:customStyle="1" w:styleId="CTA3a">
    <w:name w:val="CTA 3(a)"/>
    <w:basedOn w:val="OPCParaBase"/>
    <w:rsid w:val="00686C2A"/>
    <w:pPr>
      <w:tabs>
        <w:tab w:val="right" w:pos="556"/>
      </w:tabs>
      <w:spacing w:before="40" w:line="240" w:lineRule="atLeast"/>
      <w:ind w:left="805" w:hanging="805"/>
    </w:pPr>
    <w:rPr>
      <w:sz w:val="20"/>
    </w:rPr>
  </w:style>
  <w:style w:type="paragraph" w:customStyle="1" w:styleId="CTA3ai">
    <w:name w:val="CTA 3(a)(i)"/>
    <w:basedOn w:val="OPCParaBase"/>
    <w:rsid w:val="00686C2A"/>
    <w:pPr>
      <w:tabs>
        <w:tab w:val="right" w:pos="1140"/>
      </w:tabs>
      <w:spacing w:before="40" w:line="240" w:lineRule="atLeast"/>
      <w:ind w:left="1361" w:hanging="1361"/>
    </w:pPr>
    <w:rPr>
      <w:sz w:val="20"/>
    </w:rPr>
  </w:style>
  <w:style w:type="paragraph" w:customStyle="1" w:styleId="CTA4a">
    <w:name w:val="CTA 4(a)"/>
    <w:basedOn w:val="OPCParaBase"/>
    <w:rsid w:val="00686C2A"/>
    <w:pPr>
      <w:tabs>
        <w:tab w:val="right" w:pos="624"/>
      </w:tabs>
      <w:spacing w:before="40" w:line="240" w:lineRule="atLeast"/>
      <w:ind w:left="873" w:hanging="873"/>
    </w:pPr>
    <w:rPr>
      <w:sz w:val="20"/>
    </w:rPr>
  </w:style>
  <w:style w:type="paragraph" w:customStyle="1" w:styleId="CTA4ai">
    <w:name w:val="CTA 4(a)(i)"/>
    <w:basedOn w:val="OPCParaBase"/>
    <w:rsid w:val="00686C2A"/>
    <w:pPr>
      <w:tabs>
        <w:tab w:val="right" w:pos="1213"/>
      </w:tabs>
      <w:spacing w:before="40" w:line="240" w:lineRule="atLeast"/>
      <w:ind w:left="1452" w:hanging="1452"/>
    </w:pPr>
    <w:rPr>
      <w:sz w:val="20"/>
    </w:rPr>
  </w:style>
  <w:style w:type="paragraph" w:customStyle="1" w:styleId="CTACAPS">
    <w:name w:val="CTA CAPS"/>
    <w:basedOn w:val="OPCParaBase"/>
    <w:rsid w:val="00686C2A"/>
    <w:pPr>
      <w:spacing w:before="60" w:line="240" w:lineRule="atLeast"/>
    </w:pPr>
    <w:rPr>
      <w:sz w:val="20"/>
    </w:rPr>
  </w:style>
  <w:style w:type="paragraph" w:customStyle="1" w:styleId="CTAright">
    <w:name w:val="CTA right"/>
    <w:basedOn w:val="OPCParaBase"/>
    <w:rsid w:val="00686C2A"/>
    <w:pPr>
      <w:spacing w:before="60" w:line="240" w:lineRule="auto"/>
      <w:jc w:val="right"/>
    </w:pPr>
    <w:rPr>
      <w:sz w:val="20"/>
    </w:rPr>
  </w:style>
  <w:style w:type="paragraph" w:customStyle="1" w:styleId="Definition">
    <w:name w:val="Definition"/>
    <w:aliases w:val="dd"/>
    <w:basedOn w:val="OPCParaBase"/>
    <w:rsid w:val="00686C2A"/>
    <w:pPr>
      <w:spacing w:before="180" w:line="240" w:lineRule="auto"/>
      <w:ind w:left="1134"/>
    </w:pPr>
  </w:style>
  <w:style w:type="paragraph" w:customStyle="1" w:styleId="ETAsubitem">
    <w:name w:val="ETA(subitem)"/>
    <w:basedOn w:val="OPCParaBase"/>
    <w:rsid w:val="00686C2A"/>
    <w:pPr>
      <w:tabs>
        <w:tab w:val="right" w:pos="340"/>
      </w:tabs>
      <w:spacing w:before="60" w:line="240" w:lineRule="auto"/>
      <w:ind w:left="454" w:hanging="454"/>
    </w:pPr>
    <w:rPr>
      <w:sz w:val="20"/>
    </w:rPr>
  </w:style>
  <w:style w:type="paragraph" w:customStyle="1" w:styleId="ETApara">
    <w:name w:val="ETA(para)"/>
    <w:basedOn w:val="OPCParaBase"/>
    <w:rsid w:val="00686C2A"/>
    <w:pPr>
      <w:tabs>
        <w:tab w:val="right" w:pos="754"/>
      </w:tabs>
      <w:spacing w:before="60" w:line="240" w:lineRule="auto"/>
      <w:ind w:left="828" w:hanging="828"/>
    </w:pPr>
    <w:rPr>
      <w:sz w:val="20"/>
    </w:rPr>
  </w:style>
  <w:style w:type="paragraph" w:customStyle="1" w:styleId="ETAsubpara">
    <w:name w:val="ETA(subpara)"/>
    <w:basedOn w:val="OPCParaBase"/>
    <w:rsid w:val="00686C2A"/>
    <w:pPr>
      <w:tabs>
        <w:tab w:val="right" w:pos="1083"/>
      </w:tabs>
      <w:spacing w:before="60" w:line="240" w:lineRule="auto"/>
      <w:ind w:left="1191" w:hanging="1191"/>
    </w:pPr>
    <w:rPr>
      <w:sz w:val="20"/>
    </w:rPr>
  </w:style>
  <w:style w:type="paragraph" w:customStyle="1" w:styleId="ETAsub-subpara">
    <w:name w:val="ETA(sub-subpara)"/>
    <w:basedOn w:val="OPCParaBase"/>
    <w:rsid w:val="00686C2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86C2A"/>
    <w:rPr>
      <w:sz w:val="16"/>
    </w:rPr>
  </w:style>
  <w:style w:type="paragraph" w:customStyle="1" w:styleId="House">
    <w:name w:val="House"/>
    <w:basedOn w:val="OPCParaBase"/>
    <w:rsid w:val="00686C2A"/>
    <w:pPr>
      <w:spacing w:line="240" w:lineRule="auto"/>
    </w:pPr>
    <w:rPr>
      <w:sz w:val="28"/>
    </w:rPr>
  </w:style>
  <w:style w:type="paragraph" w:customStyle="1" w:styleId="Item">
    <w:name w:val="Item"/>
    <w:aliases w:val="i"/>
    <w:basedOn w:val="OPCParaBase"/>
    <w:next w:val="ItemHead"/>
    <w:rsid w:val="00686C2A"/>
    <w:pPr>
      <w:keepLines/>
      <w:spacing w:before="80" w:line="240" w:lineRule="auto"/>
      <w:ind w:left="709"/>
    </w:pPr>
  </w:style>
  <w:style w:type="paragraph" w:customStyle="1" w:styleId="ItemHead">
    <w:name w:val="ItemHead"/>
    <w:aliases w:val="ih"/>
    <w:basedOn w:val="OPCParaBase"/>
    <w:next w:val="Item"/>
    <w:rsid w:val="00686C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6C2A"/>
    <w:pPr>
      <w:spacing w:line="240" w:lineRule="auto"/>
    </w:pPr>
    <w:rPr>
      <w:b/>
      <w:sz w:val="32"/>
    </w:rPr>
  </w:style>
  <w:style w:type="paragraph" w:customStyle="1" w:styleId="notedraft">
    <w:name w:val="note(draft)"/>
    <w:aliases w:val="nd"/>
    <w:basedOn w:val="OPCParaBase"/>
    <w:rsid w:val="00686C2A"/>
    <w:pPr>
      <w:spacing w:before="240" w:line="240" w:lineRule="auto"/>
      <w:ind w:left="284" w:hanging="284"/>
    </w:pPr>
    <w:rPr>
      <w:i/>
      <w:sz w:val="24"/>
    </w:rPr>
  </w:style>
  <w:style w:type="paragraph" w:customStyle="1" w:styleId="notemargin">
    <w:name w:val="note(margin)"/>
    <w:aliases w:val="nm"/>
    <w:basedOn w:val="OPCParaBase"/>
    <w:rsid w:val="00686C2A"/>
    <w:pPr>
      <w:tabs>
        <w:tab w:val="left" w:pos="709"/>
      </w:tabs>
      <w:spacing w:before="122" w:line="198" w:lineRule="exact"/>
      <w:ind w:left="709" w:hanging="709"/>
    </w:pPr>
    <w:rPr>
      <w:sz w:val="18"/>
    </w:rPr>
  </w:style>
  <w:style w:type="paragraph" w:customStyle="1" w:styleId="notepara">
    <w:name w:val="note(para)"/>
    <w:aliases w:val="na"/>
    <w:basedOn w:val="OPCParaBase"/>
    <w:rsid w:val="00686C2A"/>
    <w:pPr>
      <w:spacing w:before="40" w:line="198" w:lineRule="exact"/>
      <w:ind w:left="2354" w:hanging="369"/>
    </w:pPr>
    <w:rPr>
      <w:sz w:val="18"/>
    </w:rPr>
  </w:style>
  <w:style w:type="paragraph" w:customStyle="1" w:styleId="noteParlAmend">
    <w:name w:val="note(ParlAmend)"/>
    <w:aliases w:val="npp"/>
    <w:basedOn w:val="OPCParaBase"/>
    <w:next w:val="ParlAmend"/>
    <w:rsid w:val="00686C2A"/>
    <w:pPr>
      <w:spacing w:line="240" w:lineRule="auto"/>
      <w:jc w:val="right"/>
    </w:pPr>
    <w:rPr>
      <w:rFonts w:ascii="Arial" w:hAnsi="Arial"/>
      <w:b/>
      <w:i/>
    </w:rPr>
  </w:style>
  <w:style w:type="paragraph" w:customStyle="1" w:styleId="Page1">
    <w:name w:val="Page1"/>
    <w:basedOn w:val="OPCParaBase"/>
    <w:rsid w:val="00686C2A"/>
    <w:pPr>
      <w:spacing w:before="5600" w:line="240" w:lineRule="auto"/>
    </w:pPr>
    <w:rPr>
      <w:b/>
      <w:sz w:val="32"/>
    </w:rPr>
  </w:style>
  <w:style w:type="paragraph" w:customStyle="1" w:styleId="paragraphsub-sub">
    <w:name w:val="paragraph(sub-sub)"/>
    <w:aliases w:val="aaa"/>
    <w:basedOn w:val="OPCParaBase"/>
    <w:rsid w:val="00686C2A"/>
    <w:pPr>
      <w:tabs>
        <w:tab w:val="right" w:pos="2722"/>
      </w:tabs>
      <w:spacing w:before="40" w:line="240" w:lineRule="auto"/>
      <w:ind w:left="2835" w:hanging="2835"/>
    </w:pPr>
  </w:style>
  <w:style w:type="paragraph" w:customStyle="1" w:styleId="ParlAmend">
    <w:name w:val="ParlAmend"/>
    <w:aliases w:val="pp"/>
    <w:basedOn w:val="OPCParaBase"/>
    <w:rsid w:val="00686C2A"/>
    <w:pPr>
      <w:spacing w:before="240" w:line="240" w:lineRule="atLeast"/>
      <w:ind w:hanging="567"/>
    </w:pPr>
    <w:rPr>
      <w:sz w:val="24"/>
    </w:rPr>
  </w:style>
  <w:style w:type="paragraph" w:customStyle="1" w:styleId="Portfolio">
    <w:name w:val="Portfolio"/>
    <w:basedOn w:val="OPCParaBase"/>
    <w:rsid w:val="00686C2A"/>
    <w:pPr>
      <w:spacing w:line="240" w:lineRule="auto"/>
    </w:pPr>
    <w:rPr>
      <w:i/>
      <w:sz w:val="20"/>
    </w:rPr>
  </w:style>
  <w:style w:type="paragraph" w:customStyle="1" w:styleId="Preamble">
    <w:name w:val="Preamble"/>
    <w:basedOn w:val="OPCParaBase"/>
    <w:next w:val="Normal"/>
    <w:rsid w:val="00686C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6C2A"/>
    <w:pPr>
      <w:spacing w:line="240" w:lineRule="auto"/>
    </w:pPr>
    <w:rPr>
      <w:i/>
      <w:sz w:val="20"/>
    </w:rPr>
  </w:style>
  <w:style w:type="paragraph" w:customStyle="1" w:styleId="Session">
    <w:name w:val="Session"/>
    <w:basedOn w:val="OPCParaBase"/>
    <w:rsid w:val="00686C2A"/>
    <w:pPr>
      <w:spacing w:line="240" w:lineRule="auto"/>
    </w:pPr>
    <w:rPr>
      <w:sz w:val="28"/>
    </w:rPr>
  </w:style>
  <w:style w:type="paragraph" w:customStyle="1" w:styleId="Sponsor">
    <w:name w:val="Sponsor"/>
    <w:basedOn w:val="OPCParaBase"/>
    <w:rsid w:val="00686C2A"/>
    <w:pPr>
      <w:spacing w:line="240" w:lineRule="auto"/>
    </w:pPr>
    <w:rPr>
      <w:i/>
    </w:rPr>
  </w:style>
  <w:style w:type="paragraph" w:customStyle="1" w:styleId="Subitem">
    <w:name w:val="Subitem"/>
    <w:aliases w:val="iss"/>
    <w:basedOn w:val="OPCParaBase"/>
    <w:rsid w:val="00686C2A"/>
    <w:pPr>
      <w:spacing w:before="180" w:line="240" w:lineRule="auto"/>
      <w:ind w:left="709" w:hanging="709"/>
    </w:pPr>
  </w:style>
  <w:style w:type="paragraph" w:customStyle="1" w:styleId="SubitemHead">
    <w:name w:val="SubitemHead"/>
    <w:aliases w:val="issh"/>
    <w:basedOn w:val="OPCParaBase"/>
    <w:rsid w:val="00686C2A"/>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686C2A"/>
    <w:pPr>
      <w:keepNext/>
      <w:keepLines/>
      <w:spacing w:before="240" w:line="240" w:lineRule="auto"/>
      <w:ind w:left="1134"/>
    </w:pPr>
    <w:rPr>
      <w:i/>
    </w:rPr>
  </w:style>
  <w:style w:type="paragraph" w:customStyle="1" w:styleId="Tablea">
    <w:name w:val="Table(a)"/>
    <w:aliases w:val="ta"/>
    <w:basedOn w:val="OPCParaBase"/>
    <w:rsid w:val="00686C2A"/>
    <w:pPr>
      <w:spacing w:before="60" w:line="240" w:lineRule="auto"/>
      <w:ind w:left="284" w:hanging="284"/>
    </w:pPr>
    <w:rPr>
      <w:sz w:val="20"/>
    </w:rPr>
  </w:style>
  <w:style w:type="paragraph" w:customStyle="1" w:styleId="TableAA">
    <w:name w:val="Table(AA)"/>
    <w:aliases w:val="taaa"/>
    <w:basedOn w:val="OPCParaBase"/>
    <w:rsid w:val="00686C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6C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6C2A"/>
    <w:pPr>
      <w:spacing w:before="60" w:line="240" w:lineRule="atLeast"/>
    </w:pPr>
    <w:rPr>
      <w:sz w:val="20"/>
    </w:rPr>
  </w:style>
  <w:style w:type="paragraph" w:customStyle="1" w:styleId="TLPBoxTextnote">
    <w:name w:val="TLPBoxText(note"/>
    <w:aliases w:val="right)"/>
    <w:basedOn w:val="OPCParaBase"/>
    <w:rsid w:val="00686C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6C2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6C2A"/>
    <w:pPr>
      <w:spacing w:before="122" w:line="198" w:lineRule="exact"/>
      <w:ind w:left="1985" w:hanging="851"/>
      <w:jc w:val="right"/>
    </w:pPr>
    <w:rPr>
      <w:sz w:val="18"/>
    </w:rPr>
  </w:style>
  <w:style w:type="paragraph" w:customStyle="1" w:styleId="TLPTableBullet">
    <w:name w:val="TLPTableBullet"/>
    <w:aliases w:val="ttb"/>
    <w:basedOn w:val="OPCParaBase"/>
    <w:rsid w:val="00686C2A"/>
    <w:pPr>
      <w:spacing w:line="240" w:lineRule="exact"/>
      <w:ind w:left="284" w:hanging="284"/>
    </w:pPr>
    <w:rPr>
      <w:sz w:val="20"/>
    </w:rPr>
  </w:style>
  <w:style w:type="paragraph" w:customStyle="1" w:styleId="TofSectsGroupHeading">
    <w:name w:val="TofSects(GroupHeading)"/>
    <w:basedOn w:val="OPCParaBase"/>
    <w:next w:val="TofSectsSection"/>
    <w:rsid w:val="00686C2A"/>
    <w:pPr>
      <w:keepLines/>
      <w:spacing w:before="240" w:after="120" w:line="240" w:lineRule="auto"/>
      <w:ind w:left="794"/>
    </w:pPr>
    <w:rPr>
      <w:b/>
      <w:kern w:val="28"/>
      <w:sz w:val="20"/>
    </w:rPr>
  </w:style>
  <w:style w:type="paragraph" w:customStyle="1" w:styleId="TofSectsHeading">
    <w:name w:val="TofSects(Heading)"/>
    <w:basedOn w:val="OPCParaBase"/>
    <w:rsid w:val="00686C2A"/>
    <w:pPr>
      <w:spacing w:before="240" w:after="120" w:line="240" w:lineRule="auto"/>
    </w:pPr>
    <w:rPr>
      <w:b/>
      <w:sz w:val="24"/>
    </w:rPr>
  </w:style>
  <w:style w:type="paragraph" w:customStyle="1" w:styleId="TofSectsSection">
    <w:name w:val="TofSects(Section)"/>
    <w:basedOn w:val="OPCParaBase"/>
    <w:rsid w:val="00686C2A"/>
    <w:pPr>
      <w:keepLines/>
      <w:spacing w:before="40" w:line="240" w:lineRule="auto"/>
      <w:ind w:left="1588" w:hanging="794"/>
    </w:pPr>
    <w:rPr>
      <w:kern w:val="28"/>
      <w:sz w:val="18"/>
    </w:rPr>
  </w:style>
  <w:style w:type="paragraph" w:customStyle="1" w:styleId="TofSectsSubdiv">
    <w:name w:val="TofSects(Subdiv)"/>
    <w:basedOn w:val="OPCParaBase"/>
    <w:rsid w:val="00686C2A"/>
    <w:pPr>
      <w:keepLines/>
      <w:spacing w:before="80" w:line="240" w:lineRule="auto"/>
      <w:ind w:left="1588" w:hanging="794"/>
    </w:pPr>
    <w:rPr>
      <w:kern w:val="28"/>
    </w:rPr>
  </w:style>
  <w:style w:type="paragraph" w:customStyle="1" w:styleId="WRStyle">
    <w:name w:val="WR Style"/>
    <w:aliases w:val="WR"/>
    <w:basedOn w:val="OPCParaBase"/>
    <w:rsid w:val="00686C2A"/>
    <w:pPr>
      <w:spacing w:before="240" w:line="240" w:lineRule="auto"/>
      <w:ind w:left="284" w:hanging="284"/>
    </w:pPr>
    <w:rPr>
      <w:b/>
      <w:i/>
      <w:kern w:val="28"/>
      <w:sz w:val="24"/>
    </w:rPr>
  </w:style>
  <w:style w:type="numbering" w:customStyle="1" w:styleId="OPCBodyList">
    <w:name w:val="OPCBodyList"/>
    <w:uiPriority w:val="99"/>
    <w:rsid w:val="00C503EF"/>
    <w:pPr>
      <w:numPr>
        <w:numId w:val="25"/>
      </w:numPr>
    </w:pPr>
  </w:style>
  <w:style w:type="paragraph" w:customStyle="1" w:styleId="noteToPara">
    <w:name w:val="noteToPara"/>
    <w:aliases w:val="ntp"/>
    <w:basedOn w:val="OPCParaBase"/>
    <w:rsid w:val="00686C2A"/>
    <w:pPr>
      <w:spacing w:before="122" w:line="198" w:lineRule="exact"/>
      <w:ind w:left="2353" w:hanging="709"/>
    </w:pPr>
    <w:rPr>
      <w:sz w:val="18"/>
    </w:rPr>
  </w:style>
  <w:style w:type="character" w:customStyle="1" w:styleId="FooterChar">
    <w:name w:val="Footer Char"/>
    <w:basedOn w:val="DefaultParagraphFont"/>
    <w:link w:val="Footer"/>
    <w:rsid w:val="00686C2A"/>
    <w:rPr>
      <w:sz w:val="22"/>
      <w:szCs w:val="24"/>
    </w:rPr>
  </w:style>
  <w:style w:type="character" w:customStyle="1" w:styleId="BalloonTextChar">
    <w:name w:val="Balloon Text Char"/>
    <w:basedOn w:val="DefaultParagraphFont"/>
    <w:link w:val="BalloonText"/>
    <w:uiPriority w:val="99"/>
    <w:rsid w:val="00686C2A"/>
    <w:rPr>
      <w:rFonts w:ascii="Tahoma" w:eastAsiaTheme="minorHAnsi" w:hAnsi="Tahoma" w:cs="Tahoma"/>
      <w:sz w:val="16"/>
      <w:szCs w:val="16"/>
      <w:lang w:eastAsia="en-US"/>
    </w:rPr>
  </w:style>
  <w:style w:type="table" w:customStyle="1" w:styleId="CFlag">
    <w:name w:val="CFlag"/>
    <w:basedOn w:val="TableNormal"/>
    <w:uiPriority w:val="99"/>
    <w:rsid w:val="00686C2A"/>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686C2A"/>
    <w:pPr>
      <w:keepNext/>
      <w:keepLines/>
      <w:spacing w:before="280"/>
      <w:outlineLvl w:val="1"/>
    </w:pPr>
    <w:rPr>
      <w:b/>
      <w:kern w:val="28"/>
      <w:sz w:val="32"/>
    </w:rPr>
  </w:style>
  <w:style w:type="paragraph" w:customStyle="1" w:styleId="CompiledActNo">
    <w:name w:val="CompiledActNo"/>
    <w:basedOn w:val="OPCParaBase"/>
    <w:next w:val="Normal"/>
    <w:rsid w:val="00686C2A"/>
    <w:rPr>
      <w:b/>
      <w:sz w:val="24"/>
      <w:szCs w:val="24"/>
    </w:rPr>
  </w:style>
  <w:style w:type="paragraph" w:customStyle="1" w:styleId="CompiledMadeUnder">
    <w:name w:val="CompiledMadeUnder"/>
    <w:basedOn w:val="OPCParaBase"/>
    <w:next w:val="Normal"/>
    <w:rsid w:val="00686C2A"/>
    <w:rPr>
      <w:i/>
      <w:sz w:val="24"/>
      <w:szCs w:val="24"/>
    </w:rPr>
  </w:style>
  <w:style w:type="paragraph" w:customStyle="1" w:styleId="Paragraphsub-sub-sub">
    <w:name w:val="Paragraph(sub-sub-sub)"/>
    <w:aliases w:val="aaaa"/>
    <w:basedOn w:val="OPCParaBase"/>
    <w:rsid w:val="00686C2A"/>
    <w:pPr>
      <w:tabs>
        <w:tab w:val="right" w:pos="3402"/>
      </w:tabs>
      <w:spacing w:before="40" w:line="240" w:lineRule="auto"/>
      <w:ind w:left="3402" w:hanging="3402"/>
    </w:pPr>
  </w:style>
  <w:style w:type="paragraph" w:customStyle="1" w:styleId="InstNo">
    <w:name w:val="InstNo"/>
    <w:basedOn w:val="OPCParaBase"/>
    <w:next w:val="Normal"/>
    <w:rsid w:val="00686C2A"/>
    <w:rPr>
      <w:b/>
      <w:sz w:val="28"/>
      <w:szCs w:val="32"/>
    </w:rPr>
  </w:style>
  <w:style w:type="paragraph" w:customStyle="1" w:styleId="TerritoryT">
    <w:name w:val="TerritoryT"/>
    <w:basedOn w:val="OPCParaBase"/>
    <w:next w:val="Normal"/>
    <w:rsid w:val="00686C2A"/>
    <w:rPr>
      <w:b/>
      <w:sz w:val="32"/>
    </w:rPr>
  </w:style>
  <w:style w:type="paragraph" w:customStyle="1" w:styleId="LegislationMadeUnder">
    <w:name w:val="LegislationMadeUnder"/>
    <w:basedOn w:val="OPCParaBase"/>
    <w:next w:val="Normal"/>
    <w:rsid w:val="00686C2A"/>
    <w:rPr>
      <w:i/>
      <w:sz w:val="32"/>
      <w:szCs w:val="32"/>
    </w:rPr>
  </w:style>
  <w:style w:type="paragraph" w:customStyle="1" w:styleId="SignCoverPageEnd">
    <w:name w:val="SignCoverPageEnd"/>
    <w:basedOn w:val="OPCParaBase"/>
    <w:next w:val="Normal"/>
    <w:rsid w:val="00686C2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86C2A"/>
    <w:pPr>
      <w:pBdr>
        <w:top w:val="single" w:sz="4" w:space="1" w:color="auto"/>
      </w:pBdr>
      <w:spacing w:before="360"/>
      <w:ind w:right="397"/>
      <w:jc w:val="both"/>
    </w:pPr>
  </w:style>
  <w:style w:type="paragraph" w:customStyle="1" w:styleId="NotesHeading1">
    <w:name w:val="NotesHeading 1"/>
    <w:basedOn w:val="OPCParaBase"/>
    <w:next w:val="Normal"/>
    <w:rsid w:val="00686C2A"/>
    <w:rPr>
      <w:b/>
      <w:sz w:val="28"/>
      <w:szCs w:val="28"/>
    </w:rPr>
  </w:style>
  <w:style w:type="paragraph" w:customStyle="1" w:styleId="NotesHeading2">
    <w:name w:val="NotesHeading 2"/>
    <w:basedOn w:val="OPCParaBase"/>
    <w:next w:val="Normal"/>
    <w:rsid w:val="00686C2A"/>
    <w:rPr>
      <w:b/>
      <w:sz w:val="28"/>
      <w:szCs w:val="28"/>
    </w:rPr>
  </w:style>
  <w:style w:type="paragraph" w:customStyle="1" w:styleId="NoteToSubpara">
    <w:name w:val="NoteToSubpara"/>
    <w:aliases w:val="nts"/>
    <w:basedOn w:val="OPCParaBase"/>
    <w:rsid w:val="00686C2A"/>
    <w:pPr>
      <w:spacing w:before="40" w:line="198" w:lineRule="exact"/>
      <w:ind w:left="2835" w:hanging="709"/>
    </w:pPr>
    <w:rPr>
      <w:sz w:val="18"/>
    </w:rPr>
  </w:style>
  <w:style w:type="paragraph" w:customStyle="1" w:styleId="EndNotespara">
    <w:name w:val="EndNotes(para)"/>
    <w:aliases w:val="eta"/>
    <w:basedOn w:val="OPCParaBase"/>
    <w:next w:val="Normal"/>
    <w:rsid w:val="00686C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6C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86C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6C2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86C2A"/>
    <w:pPr>
      <w:keepNext/>
      <w:spacing w:before="60" w:line="240" w:lineRule="atLeast"/>
    </w:pPr>
    <w:rPr>
      <w:rFonts w:ascii="Arial" w:hAnsi="Arial"/>
      <w:b/>
      <w:sz w:val="16"/>
    </w:rPr>
  </w:style>
  <w:style w:type="paragraph" w:customStyle="1" w:styleId="ENoteTTi">
    <w:name w:val="ENoteTTi"/>
    <w:aliases w:val="entti"/>
    <w:basedOn w:val="OPCParaBase"/>
    <w:rsid w:val="00686C2A"/>
    <w:pPr>
      <w:keepNext/>
      <w:spacing w:before="60" w:line="240" w:lineRule="atLeast"/>
      <w:ind w:left="170"/>
    </w:pPr>
    <w:rPr>
      <w:sz w:val="16"/>
    </w:rPr>
  </w:style>
  <w:style w:type="paragraph" w:customStyle="1" w:styleId="ENoteTTIndentHeading">
    <w:name w:val="ENoteTTIndentHeading"/>
    <w:aliases w:val="enTTHi"/>
    <w:basedOn w:val="OPCParaBase"/>
    <w:rsid w:val="00686C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6C2A"/>
    <w:pPr>
      <w:spacing w:before="60" w:line="240" w:lineRule="atLeast"/>
    </w:pPr>
    <w:rPr>
      <w:sz w:val="16"/>
    </w:rPr>
  </w:style>
  <w:style w:type="paragraph" w:customStyle="1" w:styleId="MadeunderText">
    <w:name w:val="MadeunderText"/>
    <w:basedOn w:val="OPCParaBase"/>
    <w:next w:val="CompiledMadeUnder"/>
    <w:rsid w:val="00686C2A"/>
    <w:pPr>
      <w:spacing w:before="240"/>
    </w:pPr>
    <w:rPr>
      <w:sz w:val="24"/>
      <w:szCs w:val="24"/>
    </w:rPr>
  </w:style>
  <w:style w:type="character" w:customStyle="1" w:styleId="CharSubPartTextCASA">
    <w:name w:val="CharSubPartText(CASA)"/>
    <w:basedOn w:val="OPCCharBase"/>
    <w:uiPriority w:val="1"/>
    <w:rsid w:val="00686C2A"/>
  </w:style>
  <w:style w:type="character" w:customStyle="1" w:styleId="CharSubPartNoCASA">
    <w:name w:val="CharSubPartNo(CASA)"/>
    <w:basedOn w:val="OPCCharBase"/>
    <w:uiPriority w:val="1"/>
    <w:rsid w:val="00686C2A"/>
  </w:style>
  <w:style w:type="paragraph" w:customStyle="1" w:styleId="ENoteTTIndentHeadingSub">
    <w:name w:val="ENoteTTIndentHeadingSub"/>
    <w:aliases w:val="enTTHis"/>
    <w:basedOn w:val="OPCParaBase"/>
    <w:rsid w:val="00686C2A"/>
    <w:pPr>
      <w:keepNext/>
      <w:spacing w:before="60" w:line="240" w:lineRule="atLeast"/>
      <w:ind w:left="340"/>
    </w:pPr>
    <w:rPr>
      <w:b/>
      <w:sz w:val="16"/>
    </w:rPr>
  </w:style>
  <w:style w:type="paragraph" w:customStyle="1" w:styleId="ENoteTTiSub">
    <w:name w:val="ENoteTTiSub"/>
    <w:aliases w:val="enttis"/>
    <w:basedOn w:val="OPCParaBase"/>
    <w:rsid w:val="00686C2A"/>
    <w:pPr>
      <w:keepNext/>
      <w:spacing w:before="60" w:line="240" w:lineRule="atLeast"/>
      <w:ind w:left="340"/>
    </w:pPr>
    <w:rPr>
      <w:sz w:val="16"/>
    </w:rPr>
  </w:style>
  <w:style w:type="paragraph" w:customStyle="1" w:styleId="SubDivisionMigration">
    <w:name w:val="SubDivisionMigration"/>
    <w:aliases w:val="sdm"/>
    <w:basedOn w:val="OPCParaBase"/>
    <w:rsid w:val="00686C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6C2A"/>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495">
      <w:bodyDiv w:val="1"/>
      <w:marLeft w:val="0"/>
      <w:marRight w:val="0"/>
      <w:marTop w:val="0"/>
      <w:marBottom w:val="0"/>
      <w:divBdr>
        <w:top w:val="none" w:sz="0" w:space="0" w:color="auto"/>
        <w:left w:val="none" w:sz="0" w:space="0" w:color="auto"/>
        <w:bottom w:val="none" w:sz="0" w:space="0" w:color="auto"/>
        <w:right w:val="none" w:sz="0" w:space="0" w:color="auto"/>
      </w:divBdr>
      <w:divsChild>
        <w:div w:id="634335175">
          <w:marLeft w:val="0"/>
          <w:marRight w:val="0"/>
          <w:marTop w:val="0"/>
          <w:marBottom w:val="0"/>
          <w:divBdr>
            <w:top w:val="none" w:sz="0" w:space="0" w:color="auto"/>
            <w:left w:val="none" w:sz="0" w:space="0" w:color="auto"/>
            <w:bottom w:val="none" w:sz="0" w:space="0" w:color="auto"/>
            <w:right w:val="none" w:sz="0" w:space="0" w:color="auto"/>
          </w:divBdr>
          <w:divsChild>
            <w:div w:id="1182084253">
              <w:marLeft w:val="0"/>
              <w:marRight w:val="0"/>
              <w:marTop w:val="0"/>
              <w:marBottom w:val="0"/>
              <w:divBdr>
                <w:top w:val="none" w:sz="0" w:space="0" w:color="auto"/>
                <w:left w:val="none" w:sz="0" w:space="0" w:color="auto"/>
                <w:bottom w:val="none" w:sz="0" w:space="0" w:color="auto"/>
                <w:right w:val="none" w:sz="0" w:space="0" w:color="auto"/>
              </w:divBdr>
              <w:divsChild>
                <w:div w:id="1114788251">
                  <w:marLeft w:val="0"/>
                  <w:marRight w:val="0"/>
                  <w:marTop w:val="0"/>
                  <w:marBottom w:val="0"/>
                  <w:divBdr>
                    <w:top w:val="none" w:sz="0" w:space="0" w:color="auto"/>
                    <w:left w:val="none" w:sz="0" w:space="0" w:color="auto"/>
                    <w:bottom w:val="none" w:sz="0" w:space="0" w:color="auto"/>
                    <w:right w:val="none" w:sz="0" w:space="0" w:color="auto"/>
                  </w:divBdr>
                  <w:divsChild>
                    <w:div w:id="1369799994">
                      <w:marLeft w:val="0"/>
                      <w:marRight w:val="0"/>
                      <w:marTop w:val="0"/>
                      <w:marBottom w:val="0"/>
                      <w:divBdr>
                        <w:top w:val="none" w:sz="0" w:space="0" w:color="auto"/>
                        <w:left w:val="none" w:sz="0" w:space="0" w:color="auto"/>
                        <w:bottom w:val="none" w:sz="0" w:space="0" w:color="auto"/>
                        <w:right w:val="none" w:sz="0" w:space="0" w:color="auto"/>
                      </w:divBdr>
                      <w:divsChild>
                        <w:div w:id="664626535">
                          <w:marLeft w:val="0"/>
                          <w:marRight w:val="0"/>
                          <w:marTop w:val="0"/>
                          <w:marBottom w:val="0"/>
                          <w:divBdr>
                            <w:top w:val="single" w:sz="6" w:space="0" w:color="828282"/>
                            <w:left w:val="single" w:sz="6" w:space="0" w:color="828282"/>
                            <w:bottom w:val="single" w:sz="6" w:space="0" w:color="828282"/>
                            <w:right w:val="single" w:sz="6" w:space="0" w:color="828282"/>
                          </w:divBdr>
                          <w:divsChild>
                            <w:div w:id="1391537393">
                              <w:marLeft w:val="0"/>
                              <w:marRight w:val="0"/>
                              <w:marTop w:val="0"/>
                              <w:marBottom w:val="0"/>
                              <w:divBdr>
                                <w:top w:val="none" w:sz="0" w:space="0" w:color="auto"/>
                                <w:left w:val="none" w:sz="0" w:space="0" w:color="auto"/>
                                <w:bottom w:val="none" w:sz="0" w:space="0" w:color="auto"/>
                                <w:right w:val="none" w:sz="0" w:space="0" w:color="auto"/>
                              </w:divBdr>
                              <w:divsChild>
                                <w:div w:id="749500967">
                                  <w:marLeft w:val="0"/>
                                  <w:marRight w:val="0"/>
                                  <w:marTop w:val="0"/>
                                  <w:marBottom w:val="0"/>
                                  <w:divBdr>
                                    <w:top w:val="none" w:sz="0" w:space="0" w:color="auto"/>
                                    <w:left w:val="none" w:sz="0" w:space="0" w:color="auto"/>
                                    <w:bottom w:val="none" w:sz="0" w:space="0" w:color="auto"/>
                                    <w:right w:val="none" w:sz="0" w:space="0" w:color="auto"/>
                                  </w:divBdr>
                                  <w:divsChild>
                                    <w:div w:id="844444917">
                                      <w:marLeft w:val="0"/>
                                      <w:marRight w:val="0"/>
                                      <w:marTop w:val="0"/>
                                      <w:marBottom w:val="0"/>
                                      <w:divBdr>
                                        <w:top w:val="none" w:sz="0" w:space="0" w:color="auto"/>
                                        <w:left w:val="none" w:sz="0" w:space="0" w:color="auto"/>
                                        <w:bottom w:val="none" w:sz="0" w:space="0" w:color="auto"/>
                                        <w:right w:val="none" w:sz="0" w:space="0" w:color="auto"/>
                                      </w:divBdr>
                                      <w:divsChild>
                                        <w:div w:id="1205097032">
                                          <w:marLeft w:val="0"/>
                                          <w:marRight w:val="0"/>
                                          <w:marTop w:val="0"/>
                                          <w:marBottom w:val="0"/>
                                          <w:divBdr>
                                            <w:top w:val="none" w:sz="0" w:space="0" w:color="auto"/>
                                            <w:left w:val="none" w:sz="0" w:space="0" w:color="auto"/>
                                            <w:bottom w:val="none" w:sz="0" w:space="0" w:color="auto"/>
                                            <w:right w:val="none" w:sz="0" w:space="0" w:color="auto"/>
                                          </w:divBdr>
                                          <w:divsChild>
                                            <w:div w:id="1668092447">
                                              <w:marLeft w:val="0"/>
                                              <w:marRight w:val="0"/>
                                              <w:marTop w:val="0"/>
                                              <w:marBottom w:val="0"/>
                                              <w:divBdr>
                                                <w:top w:val="none" w:sz="0" w:space="0" w:color="auto"/>
                                                <w:left w:val="none" w:sz="0" w:space="0" w:color="auto"/>
                                                <w:bottom w:val="none" w:sz="0" w:space="0" w:color="auto"/>
                                                <w:right w:val="none" w:sz="0" w:space="0" w:color="auto"/>
                                              </w:divBdr>
                                              <w:divsChild>
                                                <w:div w:id="12215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68445">
      <w:bodyDiv w:val="1"/>
      <w:marLeft w:val="0"/>
      <w:marRight w:val="0"/>
      <w:marTop w:val="0"/>
      <w:marBottom w:val="0"/>
      <w:divBdr>
        <w:top w:val="none" w:sz="0" w:space="0" w:color="auto"/>
        <w:left w:val="none" w:sz="0" w:space="0" w:color="auto"/>
        <w:bottom w:val="none" w:sz="0" w:space="0" w:color="auto"/>
        <w:right w:val="none" w:sz="0" w:space="0" w:color="auto"/>
      </w:divBdr>
    </w:div>
    <w:div w:id="147209868">
      <w:bodyDiv w:val="1"/>
      <w:marLeft w:val="0"/>
      <w:marRight w:val="0"/>
      <w:marTop w:val="0"/>
      <w:marBottom w:val="0"/>
      <w:divBdr>
        <w:top w:val="none" w:sz="0" w:space="0" w:color="auto"/>
        <w:left w:val="none" w:sz="0" w:space="0" w:color="auto"/>
        <w:bottom w:val="none" w:sz="0" w:space="0" w:color="auto"/>
        <w:right w:val="none" w:sz="0" w:space="0" w:color="auto"/>
      </w:divBdr>
    </w:div>
    <w:div w:id="592933866">
      <w:bodyDiv w:val="1"/>
      <w:marLeft w:val="0"/>
      <w:marRight w:val="0"/>
      <w:marTop w:val="0"/>
      <w:marBottom w:val="0"/>
      <w:divBdr>
        <w:top w:val="none" w:sz="0" w:space="0" w:color="auto"/>
        <w:left w:val="none" w:sz="0" w:space="0" w:color="auto"/>
        <w:bottom w:val="none" w:sz="0" w:space="0" w:color="auto"/>
        <w:right w:val="none" w:sz="0" w:space="0" w:color="auto"/>
      </w:divBdr>
    </w:div>
    <w:div w:id="652107014">
      <w:bodyDiv w:val="1"/>
      <w:marLeft w:val="0"/>
      <w:marRight w:val="0"/>
      <w:marTop w:val="0"/>
      <w:marBottom w:val="0"/>
      <w:divBdr>
        <w:top w:val="none" w:sz="0" w:space="0" w:color="auto"/>
        <w:left w:val="none" w:sz="0" w:space="0" w:color="auto"/>
        <w:bottom w:val="none" w:sz="0" w:space="0" w:color="auto"/>
        <w:right w:val="none" w:sz="0" w:space="0" w:color="auto"/>
      </w:divBdr>
    </w:div>
    <w:div w:id="870342394">
      <w:bodyDiv w:val="1"/>
      <w:marLeft w:val="0"/>
      <w:marRight w:val="0"/>
      <w:marTop w:val="0"/>
      <w:marBottom w:val="0"/>
      <w:divBdr>
        <w:top w:val="none" w:sz="0" w:space="0" w:color="auto"/>
        <w:left w:val="none" w:sz="0" w:space="0" w:color="auto"/>
        <w:bottom w:val="none" w:sz="0" w:space="0" w:color="auto"/>
        <w:right w:val="none" w:sz="0" w:space="0" w:color="auto"/>
      </w:divBdr>
    </w:div>
    <w:div w:id="1098913878">
      <w:bodyDiv w:val="1"/>
      <w:marLeft w:val="0"/>
      <w:marRight w:val="0"/>
      <w:marTop w:val="0"/>
      <w:marBottom w:val="0"/>
      <w:divBdr>
        <w:top w:val="none" w:sz="0" w:space="0" w:color="auto"/>
        <w:left w:val="none" w:sz="0" w:space="0" w:color="auto"/>
        <w:bottom w:val="none" w:sz="0" w:space="0" w:color="auto"/>
        <w:right w:val="none" w:sz="0" w:space="0" w:color="auto"/>
      </w:divBdr>
    </w:div>
    <w:div w:id="1148934692">
      <w:bodyDiv w:val="1"/>
      <w:marLeft w:val="0"/>
      <w:marRight w:val="0"/>
      <w:marTop w:val="0"/>
      <w:marBottom w:val="0"/>
      <w:divBdr>
        <w:top w:val="none" w:sz="0" w:space="0" w:color="auto"/>
        <w:left w:val="none" w:sz="0" w:space="0" w:color="auto"/>
        <w:bottom w:val="none" w:sz="0" w:space="0" w:color="auto"/>
        <w:right w:val="none" w:sz="0" w:space="0" w:color="auto"/>
      </w:divBdr>
    </w:div>
    <w:div w:id="1155491586">
      <w:bodyDiv w:val="1"/>
      <w:marLeft w:val="0"/>
      <w:marRight w:val="0"/>
      <w:marTop w:val="0"/>
      <w:marBottom w:val="0"/>
      <w:divBdr>
        <w:top w:val="none" w:sz="0" w:space="0" w:color="auto"/>
        <w:left w:val="none" w:sz="0" w:space="0" w:color="auto"/>
        <w:bottom w:val="none" w:sz="0" w:space="0" w:color="auto"/>
        <w:right w:val="none" w:sz="0" w:space="0" w:color="auto"/>
      </w:divBdr>
    </w:div>
    <w:div w:id="1425225228">
      <w:bodyDiv w:val="1"/>
      <w:marLeft w:val="0"/>
      <w:marRight w:val="0"/>
      <w:marTop w:val="0"/>
      <w:marBottom w:val="0"/>
      <w:divBdr>
        <w:top w:val="none" w:sz="0" w:space="0" w:color="auto"/>
        <w:left w:val="none" w:sz="0" w:space="0" w:color="auto"/>
        <w:bottom w:val="none" w:sz="0" w:space="0" w:color="auto"/>
        <w:right w:val="none" w:sz="0" w:space="0" w:color="auto"/>
      </w:divBdr>
    </w:div>
    <w:div w:id="1566917595">
      <w:bodyDiv w:val="1"/>
      <w:marLeft w:val="0"/>
      <w:marRight w:val="0"/>
      <w:marTop w:val="0"/>
      <w:marBottom w:val="0"/>
      <w:divBdr>
        <w:top w:val="none" w:sz="0" w:space="0" w:color="auto"/>
        <w:left w:val="none" w:sz="0" w:space="0" w:color="auto"/>
        <w:bottom w:val="none" w:sz="0" w:space="0" w:color="auto"/>
        <w:right w:val="none" w:sz="0" w:space="0" w:color="auto"/>
      </w:divBdr>
    </w:div>
    <w:div w:id="1911957681">
      <w:bodyDiv w:val="1"/>
      <w:marLeft w:val="0"/>
      <w:marRight w:val="0"/>
      <w:marTop w:val="0"/>
      <w:marBottom w:val="0"/>
      <w:divBdr>
        <w:top w:val="none" w:sz="0" w:space="0" w:color="auto"/>
        <w:left w:val="none" w:sz="0" w:space="0" w:color="auto"/>
        <w:bottom w:val="none" w:sz="0" w:space="0" w:color="auto"/>
        <w:right w:val="none" w:sz="0" w:space="0" w:color="auto"/>
      </w:divBdr>
    </w:div>
    <w:div w:id="2027710708">
      <w:bodyDiv w:val="1"/>
      <w:marLeft w:val="0"/>
      <w:marRight w:val="0"/>
      <w:marTop w:val="0"/>
      <w:marBottom w:val="0"/>
      <w:divBdr>
        <w:top w:val="none" w:sz="0" w:space="0" w:color="auto"/>
        <w:left w:val="none" w:sz="0" w:space="0" w:color="auto"/>
        <w:bottom w:val="none" w:sz="0" w:space="0" w:color="auto"/>
        <w:right w:val="none" w:sz="0" w:space="0" w:color="auto"/>
      </w:divBdr>
    </w:div>
    <w:div w:id="21221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668A-D198-49F0-94AE-F24E101E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89</Pages>
  <Words>18698</Words>
  <Characters>97741</Characters>
  <Application>Microsoft Office Word</Application>
  <DocSecurity>0</DocSecurity>
  <PresentationFormat/>
  <Lines>814</Lines>
  <Paragraphs>232</Paragraphs>
  <ScaleCrop>false</ScaleCrop>
  <HeadingPairs>
    <vt:vector size="2" baseType="variant">
      <vt:variant>
        <vt:lpstr>Title</vt:lpstr>
      </vt:variant>
      <vt:variant>
        <vt:i4>1</vt:i4>
      </vt:variant>
    </vt:vector>
  </HeadingPairs>
  <TitlesOfParts>
    <vt:vector size="1" baseType="lpstr">
      <vt:lpstr>Superannuation Legislation Amendment (MySuper Measures) Regulation 2013</vt:lpstr>
    </vt:vector>
  </TitlesOfParts>
  <Manager/>
  <Company/>
  <LinksUpToDate>false</LinksUpToDate>
  <CharactersWithSpaces>116207</CharactersWithSpaces>
  <SharedDoc>false</SharedDoc>
  <HyperlinkBase/>
  <HLinks>
    <vt:vector size="12" baseType="variant">
      <vt:variant>
        <vt:i4>6160468</vt:i4>
      </vt:variant>
      <vt:variant>
        <vt:i4>150</vt:i4>
      </vt:variant>
      <vt:variant>
        <vt:i4>0</vt:i4>
      </vt:variant>
      <vt:variant>
        <vt:i4>5</vt:i4>
      </vt:variant>
      <vt:variant>
        <vt:lpwstr>http://www.comlaw.gov.au/</vt:lpwstr>
      </vt:variant>
      <vt:variant>
        <vt:lpwstr/>
      </vt:variant>
      <vt:variant>
        <vt:i4>7471176</vt:i4>
      </vt:variant>
      <vt:variant>
        <vt:i4>66</vt:i4>
      </vt:variant>
      <vt:variant>
        <vt:i4>0</vt:i4>
      </vt:variant>
      <vt:variant>
        <vt:i4>5</vt:i4>
      </vt:variant>
      <vt:variant>
        <vt:lpwstr>http://www.austlii.edu.au/au/legis/cth/consol_reg/cr2001281/s1.0.02.html</vt:lpwstr>
      </vt:variant>
      <vt:variant>
        <vt:lpwstr>form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2013-06-21T05:03:00Z</cp:lastPrinted>
  <dcterms:created xsi:type="dcterms:W3CDTF">2013-06-27T04:58:00Z</dcterms:created>
  <dcterms:modified xsi:type="dcterms:W3CDTF">2013-06-28T00:32:00Z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1071</vt:lpwstr>
  </property>
  <property fmtid="{D5CDD505-2E9C-101B-9397-08002B2CF9AE}" pid="3" name="IndexMatter">
    <vt:lpwstr>1205284AF</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No. 156, 2013</vt:lpwstr>
  </property>
  <property fmtid="{D5CDD505-2E9C-101B-9397-08002B2CF9AE}" pid="8" name="ShortT">
    <vt:lpwstr>Superannuation Legislation Amendment (MySuper Measures) Regulation 2013</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AMD</vt:lpwstr>
  </property>
  <property fmtid="{D5CDD505-2E9C-101B-9397-08002B2CF9AE}" pid="12" name="Exco">
    <vt:lpwstr>Yes</vt:lpwstr>
  </property>
  <property fmtid="{D5CDD505-2E9C-101B-9397-08002B2CF9AE}" pid="13" name="Authority">
    <vt:lpwstr/>
  </property>
  <property fmtid="{D5CDD505-2E9C-101B-9397-08002B2CF9AE}" pid="14" name="DateMade">
    <vt:lpwstr>28 June 2013</vt:lpwstr>
  </property>
  <property fmtid="{D5CDD505-2E9C-101B-9397-08002B2CF9AE}" pid="15" name="DoNotAsk">
    <vt:lpwstr>0</vt:lpwstr>
  </property>
  <property fmtid="{D5CDD505-2E9C-101B-9397-08002B2CF9AE}" pid="16" name="ChangedTitle">
    <vt:lpwstr/>
  </property>
  <property fmtid="{D5CDD505-2E9C-101B-9397-08002B2CF9AE}" pid="17" name="ID">
    <vt:lpwstr>OPC50381</vt:lpwstr>
  </property>
  <property fmtid="{D5CDD505-2E9C-101B-9397-08002B2CF9AE}" pid="18" name="CounterSign">
    <vt:lpwstr/>
  </property>
  <property fmtid="{D5CDD505-2E9C-101B-9397-08002B2CF9AE}" pid="19" name="ExcoDate">
    <vt:lpwstr>28 June 2013</vt:lpwstr>
  </property>
</Properties>
</file>