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06F6D" w14:textId="77777777" w:rsidR="00172557" w:rsidRDefault="00172557" w:rsidP="0048036F">
      <w:pPr>
        <w:keepNext/>
        <w:spacing w:before="240" w:after="60"/>
        <w:jc w:val="center"/>
        <w:outlineLvl w:val="0"/>
        <w:rPr>
          <w:rFonts w:ascii="Arial Bold" w:hAnsi="Arial Bold"/>
          <w:b/>
          <w:kern w:val="28"/>
          <w:sz w:val="28"/>
          <w:u w:val="single"/>
        </w:rPr>
      </w:pPr>
      <w:r w:rsidRPr="009429A7">
        <w:rPr>
          <w:rFonts w:ascii="Arial Bold" w:hAnsi="Arial Bold"/>
          <w:b/>
          <w:kern w:val="28"/>
          <w:sz w:val="28"/>
          <w:u w:val="single"/>
        </w:rPr>
        <w:t>EXPLANATORY STATEMENT</w:t>
      </w:r>
    </w:p>
    <w:p w14:paraId="38EB84F3" w14:textId="7FC1C4F7" w:rsidR="0048036F" w:rsidRDefault="0048036F" w:rsidP="0048036F">
      <w:pPr>
        <w:keepNext/>
        <w:spacing w:before="240" w:after="60"/>
        <w:jc w:val="center"/>
        <w:outlineLvl w:val="1"/>
        <w:rPr>
          <w:b/>
          <w:szCs w:val="24"/>
          <w:u w:val="single"/>
        </w:rPr>
      </w:pPr>
      <w:r>
        <w:rPr>
          <w:b/>
          <w:szCs w:val="24"/>
          <w:u w:val="single"/>
        </w:rPr>
        <w:t>Select Leg</w:t>
      </w:r>
      <w:r w:rsidR="0008606E">
        <w:rPr>
          <w:b/>
          <w:szCs w:val="24"/>
          <w:u w:val="single"/>
        </w:rPr>
        <w:t>islative Instrument 2013 No. 154</w:t>
      </w:r>
      <w:bookmarkStart w:id="0" w:name="_GoBack"/>
      <w:bookmarkEnd w:id="0"/>
    </w:p>
    <w:p w14:paraId="1B906F6E" w14:textId="77777777" w:rsidR="00172557" w:rsidRPr="0048036F" w:rsidRDefault="00172557" w:rsidP="00172557">
      <w:pPr>
        <w:keepNext/>
        <w:spacing w:before="240" w:after="60"/>
        <w:outlineLvl w:val="1"/>
        <w:rPr>
          <w:b/>
          <w:szCs w:val="24"/>
          <w:u w:val="single"/>
        </w:rPr>
      </w:pPr>
      <w:r w:rsidRPr="0048036F">
        <w:rPr>
          <w:b/>
          <w:szCs w:val="24"/>
          <w:u w:val="single"/>
        </w:rPr>
        <w:t>Issued by authority of the Assistant Treasurer</w:t>
      </w:r>
    </w:p>
    <w:p w14:paraId="1B906F6F" w14:textId="77777777" w:rsidR="005C315B" w:rsidRPr="00370E92" w:rsidRDefault="005C315B">
      <w:pPr>
        <w:tabs>
          <w:tab w:val="right" w:pos="9072"/>
        </w:tabs>
        <w:ind w:right="91"/>
        <w:rPr>
          <w:sz w:val="20"/>
        </w:rPr>
      </w:pPr>
    </w:p>
    <w:p w14:paraId="1B906F70" w14:textId="77777777" w:rsidR="005C315B" w:rsidRDefault="00AA0EEB" w:rsidP="0074777B">
      <w:pPr>
        <w:tabs>
          <w:tab w:val="left" w:pos="1418"/>
          <w:tab w:val="right" w:pos="9072"/>
        </w:tabs>
        <w:ind w:right="91"/>
        <w:rPr>
          <w:i/>
        </w:rPr>
      </w:pPr>
      <w:r>
        <w:tab/>
      </w:r>
      <w:r w:rsidR="0091448B">
        <w:rPr>
          <w:i/>
        </w:rPr>
        <w:t>Petroleum Resource Rent Tax Assessment Act 1987</w:t>
      </w:r>
    </w:p>
    <w:p w14:paraId="1B906F71" w14:textId="77777777" w:rsidR="005C315B" w:rsidRPr="00370E92" w:rsidRDefault="005C315B" w:rsidP="00750B34">
      <w:pPr>
        <w:tabs>
          <w:tab w:val="left" w:pos="1418"/>
          <w:tab w:val="right" w:pos="9072"/>
        </w:tabs>
        <w:ind w:left="1418" w:right="91" w:hanging="851"/>
        <w:rPr>
          <w:sz w:val="20"/>
        </w:rPr>
      </w:pPr>
    </w:p>
    <w:p w14:paraId="1B906F72" w14:textId="76F779A4" w:rsidR="005C315B" w:rsidRPr="0091448B" w:rsidRDefault="00750B34" w:rsidP="00750B34">
      <w:pPr>
        <w:tabs>
          <w:tab w:val="left" w:pos="1418"/>
          <w:tab w:val="right" w:pos="9072"/>
        </w:tabs>
        <w:ind w:left="1418" w:right="91" w:hanging="851"/>
        <w:rPr>
          <w:i/>
        </w:rPr>
      </w:pPr>
      <w:r>
        <w:rPr>
          <w:i/>
        </w:rPr>
        <w:tab/>
      </w:r>
      <w:r w:rsidR="0091448B">
        <w:rPr>
          <w:i/>
        </w:rPr>
        <w:t xml:space="preserve">Petroleum Resource Rent Tax Assessment </w:t>
      </w:r>
      <w:r w:rsidR="007B4B69">
        <w:rPr>
          <w:i/>
        </w:rPr>
        <w:t>Amendment Regulation</w:t>
      </w:r>
      <w:r w:rsidR="006E2E20">
        <w:rPr>
          <w:i/>
        </w:rPr>
        <w:t> 2013</w:t>
      </w:r>
      <w:r w:rsidR="0048036F">
        <w:rPr>
          <w:i/>
        </w:rPr>
        <w:t xml:space="preserve"> </w:t>
      </w:r>
      <w:r w:rsidR="00293F42">
        <w:rPr>
          <w:i/>
        </w:rPr>
        <w:t xml:space="preserve">(No. </w:t>
      </w:r>
      <w:r w:rsidR="0048036F">
        <w:rPr>
          <w:i/>
        </w:rPr>
        <w:t>1</w:t>
      </w:r>
      <w:r w:rsidR="00293F42">
        <w:rPr>
          <w:i/>
        </w:rPr>
        <w:t>)</w:t>
      </w:r>
    </w:p>
    <w:p w14:paraId="1B906F73" w14:textId="77777777" w:rsidR="005C315B" w:rsidRPr="00370E92" w:rsidRDefault="00E82905" w:rsidP="00750B34">
      <w:pPr>
        <w:tabs>
          <w:tab w:val="right" w:pos="9072"/>
        </w:tabs>
        <w:ind w:right="91" w:hanging="851"/>
        <w:rPr>
          <w:sz w:val="20"/>
        </w:rPr>
      </w:pPr>
      <w:r>
        <w:rPr>
          <w:sz w:val="20"/>
        </w:rPr>
        <w:t xml:space="preserve"> </w:t>
      </w:r>
    </w:p>
    <w:p w14:paraId="1B906F74" w14:textId="77777777" w:rsidR="00750B34" w:rsidRDefault="0091448B" w:rsidP="00750B34">
      <w:pPr>
        <w:tabs>
          <w:tab w:val="left" w:pos="1701"/>
          <w:tab w:val="right" w:pos="9072"/>
        </w:tabs>
        <w:ind w:right="91"/>
        <w:rPr>
          <w:szCs w:val="24"/>
        </w:rPr>
      </w:pPr>
      <w:r>
        <w:t xml:space="preserve">Section 114 of the </w:t>
      </w:r>
      <w:r>
        <w:rPr>
          <w:i/>
        </w:rPr>
        <w:t xml:space="preserve">Petroleum Resource Rent Tax Assessment Act 1987 </w:t>
      </w:r>
      <w:r>
        <w:t>(the Act) provides that the Governor-General may make regulations prescribing matters required or permitted by the Act to be prescribed, or necessary or convenient to be prescribed</w:t>
      </w:r>
      <w:r w:rsidR="00507B7D">
        <w:t xml:space="preserve"> for carrying out or giving effect to the Act.</w:t>
      </w:r>
      <w:r w:rsidR="00F8296E">
        <w:rPr>
          <w:szCs w:val="24"/>
        </w:rPr>
        <w:t xml:space="preserve"> </w:t>
      </w:r>
    </w:p>
    <w:p w14:paraId="1B906F75" w14:textId="77777777" w:rsidR="00750B34" w:rsidRDefault="00750B34" w:rsidP="00750B34">
      <w:pPr>
        <w:tabs>
          <w:tab w:val="left" w:pos="1701"/>
          <w:tab w:val="right" w:pos="9072"/>
        </w:tabs>
        <w:ind w:right="91"/>
        <w:rPr>
          <w:szCs w:val="24"/>
        </w:rPr>
      </w:pPr>
    </w:p>
    <w:p w14:paraId="1B906F76" w14:textId="77777777" w:rsidR="00F8296E" w:rsidRDefault="00750B34" w:rsidP="00750B34">
      <w:pPr>
        <w:tabs>
          <w:tab w:val="left" w:pos="1701"/>
          <w:tab w:val="right" w:pos="9072"/>
        </w:tabs>
        <w:ind w:right="91"/>
        <w:rPr>
          <w:szCs w:val="24"/>
        </w:rPr>
      </w:pPr>
      <w:r>
        <w:rPr>
          <w:szCs w:val="24"/>
        </w:rPr>
        <w:t>S</w:t>
      </w:r>
      <w:r w:rsidR="00F8296E">
        <w:rPr>
          <w:szCs w:val="24"/>
        </w:rPr>
        <w:t>ection 24 of the Act</w:t>
      </w:r>
      <w:r>
        <w:rPr>
          <w:szCs w:val="24"/>
        </w:rPr>
        <w:t xml:space="preserve"> </w:t>
      </w:r>
      <w:r w:rsidR="00F8296E">
        <w:rPr>
          <w:szCs w:val="24"/>
        </w:rPr>
        <w:t xml:space="preserve">provides </w:t>
      </w:r>
      <w:r>
        <w:rPr>
          <w:szCs w:val="24"/>
        </w:rPr>
        <w:t>that</w:t>
      </w:r>
      <w:r w:rsidR="00F8296E">
        <w:rPr>
          <w:szCs w:val="24"/>
        </w:rPr>
        <w:t xml:space="preserve"> re</w:t>
      </w:r>
      <w:r w:rsidR="004112DB">
        <w:rPr>
          <w:szCs w:val="24"/>
        </w:rPr>
        <w:t xml:space="preserve">gulations </w:t>
      </w:r>
      <w:r>
        <w:rPr>
          <w:szCs w:val="24"/>
        </w:rPr>
        <w:t xml:space="preserve">may specify the calculation method </w:t>
      </w:r>
      <w:r w:rsidR="004112DB">
        <w:rPr>
          <w:szCs w:val="24"/>
        </w:rPr>
        <w:t xml:space="preserve">to determine the assessable petroleum receipts arising from </w:t>
      </w:r>
      <w:r w:rsidR="00004106">
        <w:rPr>
          <w:szCs w:val="24"/>
        </w:rPr>
        <w:t xml:space="preserve">sales </w:t>
      </w:r>
      <w:r w:rsidR="00F8296E">
        <w:rPr>
          <w:szCs w:val="24"/>
        </w:rPr>
        <w:t xml:space="preserve">gas </w:t>
      </w:r>
      <w:r w:rsidR="00004106" w:rsidRPr="00750B34">
        <w:rPr>
          <w:szCs w:val="24"/>
        </w:rPr>
        <w:t>in relation to a petroleum project</w:t>
      </w:r>
      <w:r w:rsidR="004112DB">
        <w:rPr>
          <w:szCs w:val="24"/>
        </w:rPr>
        <w:t>.</w:t>
      </w:r>
      <w:r w:rsidR="00004106">
        <w:rPr>
          <w:szCs w:val="24"/>
        </w:rPr>
        <w:t xml:space="preserve"> ‘Sales gas’ has a technical meaning as defined in the Act but essentially </w:t>
      </w:r>
      <w:r w:rsidR="00271E31">
        <w:rPr>
          <w:szCs w:val="24"/>
        </w:rPr>
        <w:t>refer</w:t>
      </w:r>
      <w:r w:rsidR="00004106">
        <w:rPr>
          <w:szCs w:val="24"/>
        </w:rPr>
        <w:t>s</w:t>
      </w:r>
      <w:r w:rsidR="00271E31">
        <w:rPr>
          <w:szCs w:val="24"/>
        </w:rPr>
        <w:t xml:space="preserve"> to</w:t>
      </w:r>
      <w:r w:rsidR="00004106">
        <w:rPr>
          <w:szCs w:val="24"/>
        </w:rPr>
        <w:t xml:space="preserve"> natural gas that has </w:t>
      </w:r>
      <w:r w:rsidR="006A2EC4">
        <w:rPr>
          <w:szCs w:val="24"/>
        </w:rPr>
        <w:t>had</w:t>
      </w:r>
      <w:r w:rsidR="00E64020">
        <w:rPr>
          <w:szCs w:val="24"/>
        </w:rPr>
        <w:t xml:space="preserve"> its</w:t>
      </w:r>
      <w:r w:rsidR="006A2EC4">
        <w:rPr>
          <w:szCs w:val="24"/>
        </w:rPr>
        <w:t xml:space="preserve"> impurities removed and </w:t>
      </w:r>
      <w:r w:rsidR="00E64020">
        <w:rPr>
          <w:szCs w:val="24"/>
        </w:rPr>
        <w:t xml:space="preserve">has been </w:t>
      </w:r>
      <w:r w:rsidR="006A2EC4">
        <w:rPr>
          <w:szCs w:val="24"/>
        </w:rPr>
        <w:t>sufficient</w:t>
      </w:r>
      <w:r w:rsidR="00E64020">
        <w:rPr>
          <w:szCs w:val="24"/>
        </w:rPr>
        <w:t>ly</w:t>
      </w:r>
      <w:r w:rsidR="006A2EC4">
        <w:rPr>
          <w:szCs w:val="24"/>
        </w:rPr>
        <w:t xml:space="preserve"> </w:t>
      </w:r>
      <w:r w:rsidR="00004106">
        <w:rPr>
          <w:szCs w:val="24"/>
        </w:rPr>
        <w:t>process</w:t>
      </w:r>
      <w:r w:rsidR="00E64020">
        <w:rPr>
          <w:szCs w:val="24"/>
        </w:rPr>
        <w:t>ed</w:t>
      </w:r>
      <w:r w:rsidR="006A2EC4">
        <w:rPr>
          <w:szCs w:val="24"/>
        </w:rPr>
        <w:t xml:space="preserve"> </w:t>
      </w:r>
      <w:r w:rsidR="00271E31">
        <w:rPr>
          <w:szCs w:val="24"/>
        </w:rPr>
        <w:t>to be</w:t>
      </w:r>
      <w:r w:rsidR="00E64020">
        <w:rPr>
          <w:szCs w:val="24"/>
        </w:rPr>
        <w:t xml:space="preserve"> suitable for its intended purpose, </w:t>
      </w:r>
      <w:r w:rsidR="00271E31">
        <w:rPr>
          <w:szCs w:val="24"/>
        </w:rPr>
        <w:t>which could be for</w:t>
      </w:r>
      <w:r w:rsidR="00E64020">
        <w:rPr>
          <w:szCs w:val="24"/>
        </w:rPr>
        <w:t xml:space="preserve"> sale i</w:t>
      </w:r>
      <w:r w:rsidR="00466C5D">
        <w:rPr>
          <w:szCs w:val="24"/>
        </w:rPr>
        <w:t>nto domestic</w:t>
      </w:r>
      <w:r w:rsidR="00271E31">
        <w:rPr>
          <w:szCs w:val="24"/>
        </w:rPr>
        <w:t xml:space="preserve"> gas</w:t>
      </w:r>
      <w:r w:rsidR="00466C5D">
        <w:rPr>
          <w:szCs w:val="24"/>
        </w:rPr>
        <w:t xml:space="preserve"> m</w:t>
      </w:r>
      <w:r w:rsidR="006A2EC4">
        <w:rPr>
          <w:szCs w:val="24"/>
        </w:rPr>
        <w:t>a</w:t>
      </w:r>
      <w:r w:rsidR="00466C5D">
        <w:rPr>
          <w:szCs w:val="24"/>
        </w:rPr>
        <w:t>rkets</w:t>
      </w:r>
      <w:r w:rsidR="00022A94">
        <w:rPr>
          <w:szCs w:val="24"/>
        </w:rPr>
        <w:t>,</w:t>
      </w:r>
      <w:r w:rsidR="00E64020">
        <w:rPr>
          <w:szCs w:val="24"/>
        </w:rPr>
        <w:t xml:space="preserve"> </w:t>
      </w:r>
      <w:r w:rsidR="00271E31">
        <w:rPr>
          <w:szCs w:val="24"/>
        </w:rPr>
        <w:t xml:space="preserve">for </w:t>
      </w:r>
      <w:r w:rsidR="00466C5D">
        <w:rPr>
          <w:szCs w:val="24"/>
        </w:rPr>
        <w:t>use</w:t>
      </w:r>
      <w:r w:rsidR="00E64020">
        <w:rPr>
          <w:szCs w:val="24"/>
        </w:rPr>
        <w:t xml:space="preserve"> as</w:t>
      </w:r>
      <w:r w:rsidR="00466C5D">
        <w:rPr>
          <w:szCs w:val="24"/>
        </w:rPr>
        <w:t xml:space="preserve"> </w:t>
      </w:r>
      <w:r w:rsidR="00E64020">
        <w:rPr>
          <w:szCs w:val="24"/>
        </w:rPr>
        <w:t>raw material</w:t>
      </w:r>
      <w:r w:rsidR="00466C5D">
        <w:rPr>
          <w:szCs w:val="24"/>
        </w:rPr>
        <w:t xml:space="preserve"> fo</w:t>
      </w:r>
      <w:r w:rsidR="00E64020">
        <w:rPr>
          <w:szCs w:val="24"/>
        </w:rPr>
        <w:t>r conversion to another product</w:t>
      </w:r>
      <w:r w:rsidR="00022A94">
        <w:rPr>
          <w:szCs w:val="24"/>
        </w:rPr>
        <w:t>,</w:t>
      </w:r>
      <w:r w:rsidR="00466C5D">
        <w:rPr>
          <w:szCs w:val="24"/>
        </w:rPr>
        <w:t xml:space="preserve"> or </w:t>
      </w:r>
      <w:r w:rsidR="00271E31">
        <w:rPr>
          <w:szCs w:val="24"/>
        </w:rPr>
        <w:t xml:space="preserve">for </w:t>
      </w:r>
      <w:r w:rsidR="006A2EC4">
        <w:rPr>
          <w:szCs w:val="24"/>
        </w:rPr>
        <w:t>direct consum</w:t>
      </w:r>
      <w:r w:rsidR="00E64020">
        <w:rPr>
          <w:szCs w:val="24"/>
        </w:rPr>
        <w:t>ption</w:t>
      </w:r>
      <w:r w:rsidR="006A2EC4">
        <w:rPr>
          <w:szCs w:val="24"/>
        </w:rPr>
        <w:t xml:space="preserve"> as e</w:t>
      </w:r>
      <w:r w:rsidR="00466C5D">
        <w:rPr>
          <w:szCs w:val="24"/>
        </w:rPr>
        <w:t>nergy</w:t>
      </w:r>
      <w:r w:rsidR="00004106">
        <w:rPr>
          <w:szCs w:val="24"/>
        </w:rPr>
        <w:t xml:space="preserve">. </w:t>
      </w:r>
    </w:p>
    <w:p w14:paraId="1B906F77" w14:textId="77777777" w:rsidR="00F8296E" w:rsidRDefault="00F8296E">
      <w:pPr>
        <w:tabs>
          <w:tab w:val="right" w:pos="9072"/>
        </w:tabs>
        <w:ind w:right="91"/>
        <w:rPr>
          <w:szCs w:val="24"/>
        </w:rPr>
      </w:pPr>
    </w:p>
    <w:p w14:paraId="1B906F78" w14:textId="77777777" w:rsidR="00E64020" w:rsidRDefault="002D711E">
      <w:pPr>
        <w:tabs>
          <w:tab w:val="right" w:pos="9072"/>
        </w:tabs>
        <w:ind w:right="91"/>
        <w:rPr>
          <w:szCs w:val="24"/>
        </w:rPr>
      </w:pPr>
      <w:r>
        <w:rPr>
          <w:szCs w:val="24"/>
        </w:rPr>
        <w:t xml:space="preserve">The </w:t>
      </w:r>
      <w:r w:rsidRPr="00276988">
        <w:rPr>
          <w:i/>
          <w:szCs w:val="24"/>
        </w:rPr>
        <w:t>Petroleum Resource Rent Tax Assessment Regulations 2005</w:t>
      </w:r>
      <w:r>
        <w:rPr>
          <w:szCs w:val="24"/>
        </w:rPr>
        <w:t xml:space="preserve"> </w:t>
      </w:r>
      <w:r w:rsidR="00004106">
        <w:rPr>
          <w:szCs w:val="24"/>
        </w:rPr>
        <w:t xml:space="preserve">(the Principal Regulation) </w:t>
      </w:r>
      <w:r>
        <w:rPr>
          <w:szCs w:val="24"/>
        </w:rPr>
        <w:t>provide</w:t>
      </w:r>
      <w:r w:rsidR="00004106">
        <w:rPr>
          <w:szCs w:val="24"/>
        </w:rPr>
        <w:t>s</w:t>
      </w:r>
      <w:r>
        <w:rPr>
          <w:szCs w:val="24"/>
        </w:rPr>
        <w:t xml:space="preserve"> a framework </w:t>
      </w:r>
      <w:r w:rsidR="00A96A0F">
        <w:rPr>
          <w:szCs w:val="24"/>
        </w:rPr>
        <w:t>for</w:t>
      </w:r>
      <w:r>
        <w:rPr>
          <w:szCs w:val="24"/>
        </w:rPr>
        <w:t xml:space="preserve"> determin</w:t>
      </w:r>
      <w:r w:rsidR="00A96A0F">
        <w:rPr>
          <w:szCs w:val="24"/>
        </w:rPr>
        <w:t xml:space="preserve">ing the </w:t>
      </w:r>
      <w:r w:rsidR="004112DB">
        <w:rPr>
          <w:szCs w:val="24"/>
        </w:rPr>
        <w:t>value</w:t>
      </w:r>
      <w:r w:rsidR="00A96A0F">
        <w:rPr>
          <w:szCs w:val="24"/>
        </w:rPr>
        <w:t xml:space="preserve"> of sales gas </w:t>
      </w:r>
      <w:r w:rsidR="00F9364B">
        <w:rPr>
          <w:szCs w:val="24"/>
        </w:rPr>
        <w:t xml:space="preserve">where it is </w:t>
      </w:r>
      <w:r w:rsidR="00A96A0F">
        <w:rPr>
          <w:szCs w:val="24"/>
        </w:rPr>
        <w:t xml:space="preserve">used as </w:t>
      </w:r>
      <w:r w:rsidR="00ED1C49">
        <w:rPr>
          <w:szCs w:val="24"/>
        </w:rPr>
        <w:t xml:space="preserve">raw material for use </w:t>
      </w:r>
      <w:r w:rsidR="00A96A0F">
        <w:rPr>
          <w:szCs w:val="24"/>
        </w:rPr>
        <w:t xml:space="preserve">in an integrated </w:t>
      </w:r>
      <w:r>
        <w:rPr>
          <w:szCs w:val="24"/>
        </w:rPr>
        <w:t>gas-to-liquid (GTL)</w:t>
      </w:r>
      <w:r w:rsidR="00022A94">
        <w:rPr>
          <w:szCs w:val="24"/>
        </w:rPr>
        <w:t xml:space="preserve"> operation</w:t>
      </w:r>
      <w:r w:rsidR="00E64020">
        <w:rPr>
          <w:szCs w:val="24"/>
        </w:rPr>
        <w:t xml:space="preserve">. </w:t>
      </w:r>
      <w:r w:rsidR="00ED1C49">
        <w:rPr>
          <w:szCs w:val="24"/>
        </w:rPr>
        <w:t>An integrated GTL operat</w:t>
      </w:r>
      <w:r w:rsidR="006002DA">
        <w:rPr>
          <w:szCs w:val="24"/>
        </w:rPr>
        <w:t>ion is</w:t>
      </w:r>
      <w:r w:rsidR="00E64020">
        <w:rPr>
          <w:szCs w:val="24"/>
        </w:rPr>
        <w:t xml:space="preserve"> </w:t>
      </w:r>
      <w:r w:rsidR="00ED1C49">
        <w:rPr>
          <w:szCs w:val="24"/>
        </w:rPr>
        <w:t>a</w:t>
      </w:r>
      <w:r w:rsidR="00E64020">
        <w:rPr>
          <w:szCs w:val="24"/>
        </w:rPr>
        <w:t xml:space="preserve"> coordinated</w:t>
      </w:r>
      <w:r w:rsidR="00ED1C49">
        <w:rPr>
          <w:szCs w:val="24"/>
        </w:rPr>
        <w:t xml:space="preserve"> operation </w:t>
      </w:r>
      <w:r w:rsidR="00022A94">
        <w:rPr>
          <w:szCs w:val="24"/>
        </w:rPr>
        <w:t xml:space="preserve">involving the recovery of </w:t>
      </w:r>
      <w:r w:rsidR="00ED1C49">
        <w:rPr>
          <w:szCs w:val="24"/>
        </w:rPr>
        <w:t>natural gas</w:t>
      </w:r>
      <w:r w:rsidR="00022A94">
        <w:rPr>
          <w:szCs w:val="24"/>
        </w:rPr>
        <w:t xml:space="preserve"> from a</w:t>
      </w:r>
      <w:r w:rsidR="00ED1C49">
        <w:rPr>
          <w:szCs w:val="24"/>
        </w:rPr>
        <w:t xml:space="preserve"> sit</w:t>
      </w:r>
      <w:r w:rsidR="00022A94">
        <w:rPr>
          <w:szCs w:val="24"/>
        </w:rPr>
        <w:t xml:space="preserve">e which is </w:t>
      </w:r>
      <w:r w:rsidR="00ED1C49">
        <w:rPr>
          <w:szCs w:val="24"/>
        </w:rPr>
        <w:t>processed into sales gas</w:t>
      </w:r>
      <w:r w:rsidR="00022A94">
        <w:rPr>
          <w:szCs w:val="24"/>
        </w:rPr>
        <w:t>,</w:t>
      </w:r>
      <w:r w:rsidR="006002DA">
        <w:rPr>
          <w:szCs w:val="24"/>
        </w:rPr>
        <w:t xml:space="preserve"> where </w:t>
      </w:r>
      <w:r w:rsidR="00ED1C49">
        <w:rPr>
          <w:szCs w:val="24"/>
        </w:rPr>
        <w:t>that sales gas is</w:t>
      </w:r>
      <w:r w:rsidR="00E64020">
        <w:rPr>
          <w:szCs w:val="24"/>
        </w:rPr>
        <w:t xml:space="preserve"> then</w:t>
      </w:r>
      <w:r w:rsidR="00ED1C49">
        <w:rPr>
          <w:szCs w:val="24"/>
        </w:rPr>
        <w:t xml:space="preserve"> further processed into a liquefied product</w:t>
      </w:r>
      <w:r w:rsidR="00022A94">
        <w:rPr>
          <w:szCs w:val="24"/>
        </w:rPr>
        <w:t>,</w:t>
      </w:r>
      <w:r w:rsidR="00E64020">
        <w:rPr>
          <w:szCs w:val="24"/>
        </w:rPr>
        <w:t xml:space="preserve"> such as liquefied natural gas</w:t>
      </w:r>
      <w:r w:rsidR="00022A94">
        <w:rPr>
          <w:szCs w:val="24"/>
        </w:rPr>
        <w:t xml:space="preserve"> (LNG)</w:t>
      </w:r>
      <w:r w:rsidR="00ED1C49">
        <w:rPr>
          <w:szCs w:val="24"/>
        </w:rPr>
        <w:t>.</w:t>
      </w:r>
      <w:r w:rsidR="004B3D7C">
        <w:rPr>
          <w:szCs w:val="24"/>
        </w:rPr>
        <w:t xml:space="preserve"> </w:t>
      </w:r>
    </w:p>
    <w:p w14:paraId="1B906F79" w14:textId="77777777" w:rsidR="00E64020" w:rsidRDefault="00E64020">
      <w:pPr>
        <w:tabs>
          <w:tab w:val="right" w:pos="9072"/>
        </w:tabs>
        <w:ind w:right="91"/>
        <w:rPr>
          <w:szCs w:val="24"/>
        </w:rPr>
      </w:pPr>
    </w:p>
    <w:p w14:paraId="1B906F7A" w14:textId="77777777" w:rsidR="002D711E" w:rsidRDefault="00ED1C49">
      <w:pPr>
        <w:tabs>
          <w:tab w:val="right" w:pos="9072"/>
        </w:tabs>
        <w:ind w:right="91"/>
        <w:rPr>
          <w:szCs w:val="24"/>
        </w:rPr>
      </w:pPr>
      <w:r>
        <w:rPr>
          <w:szCs w:val="24"/>
        </w:rPr>
        <w:t>The framework in the Principal Regulation for d</w:t>
      </w:r>
      <w:r w:rsidR="00A96A0F">
        <w:rPr>
          <w:szCs w:val="24"/>
        </w:rPr>
        <w:t xml:space="preserve">etermining the </w:t>
      </w:r>
      <w:r>
        <w:rPr>
          <w:szCs w:val="24"/>
        </w:rPr>
        <w:t xml:space="preserve">value </w:t>
      </w:r>
      <w:r w:rsidR="00A96A0F">
        <w:rPr>
          <w:szCs w:val="24"/>
        </w:rPr>
        <w:t xml:space="preserve">of </w:t>
      </w:r>
      <w:r>
        <w:rPr>
          <w:szCs w:val="24"/>
        </w:rPr>
        <w:t xml:space="preserve">sales </w:t>
      </w:r>
      <w:r w:rsidR="00A96A0F">
        <w:rPr>
          <w:szCs w:val="24"/>
        </w:rPr>
        <w:t>gas</w:t>
      </w:r>
      <w:r w:rsidR="00022A94">
        <w:rPr>
          <w:szCs w:val="24"/>
        </w:rPr>
        <w:t xml:space="preserve"> </w:t>
      </w:r>
      <w:r w:rsidR="00A96A0F">
        <w:rPr>
          <w:szCs w:val="24"/>
        </w:rPr>
        <w:t>is required</w:t>
      </w:r>
      <w:r w:rsidR="00022A94">
        <w:rPr>
          <w:szCs w:val="24"/>
        </w:rPr>
        <w:t xml:space="preserve"> because there is</w:t>
      </w:r>
      <w:r w:rsidR="00271E31">
        <w:rPr>
          <w:szCs w:val="24"/>
        </w:rPr>
        <w:t xml:space="preserve"> often</w:t>
      </w:r>
      <w:r w:rsidR="00022A94">
        <w:rPr>
          <w:szCs w:val="24"/>
        </w:rPr>
        <w:t xml:space="preserve"> no observ</w:t>
      </w:r>
      <w:r w:rsidR="00271E31">
        <w:rPr>
          <w:szCs w:val="24"/>
        </w:rPr>
        <w:t xml:space="preserve">able </w:t>
      </w:r>
      <w:r w:rsidR="00022A94">
        <w:rPr>
          <w:szCs w:val="24"/>
        </w:rPr>
        <w:t>market value</w:t>
      </w:r>
      <w:r w:rsidR="00271E31">
        <w:rPr>
          <w:szCs w:val="24"/>
        </w:rPr>
        <w:t xml:space="preserve"> for that gas prior to it being further processed into a liquefied product</w:t>
      </w:r>
      <w:r w:rsidR="00022A94">
        <w:rPr>
          <w:szCs w:val="24"/>
        </w:rPr>
        <w:t xml:space="preserve">. </w:t>
      </w:r>
      <w:r w:rsidR="00A96A0F">
        <w:rPr>
          <w:szCs w:val="24"/>
        </w:rPr>
        <w:t xml:space="preserve"> </w:t>
      </w:r>
      <w:r w:rsidR="00022A94">
        <w:rPr>
          <w:szCs w:val="24"/>
        </w:rPr>
        <w:t>The value</w:t>
      </w:r>
      <w:r w:rsidR="00EE2281">
        <w:rPr>
          <w:szCs w:val="24"/>
        </w:rPr>
        <w:t>, or ‘price’,</w:t>
      </w:r>
      <w:r w:rsidR="00022A94">
        <w:rPr>
          <w:szCs w:val="24"/>
        </w:rPr>
        <w:t xml:space="preserve"> of sales gas is required </w:t>
      </w:r>
      <w:r>
        <w:rPr>
          <w:szCs w:val="24"/>
        </w:rPr>
        <w:t xml:space="preserve">in order </w:t>
      </w:r>
      <w:r w:rsidR="00A96A0F">
        <w:rPr>
          <w:szCs w:val="24"/>
        </w:rPr>
        <w:t xml:space="preserve">to determine the assessable petroleum receipts associated with the </w:t>
      </w:r>
      <w:r w:rsidR="00F9364B">
        <w:rPr>
          <w:szCs w:val="24"/>
        </w:rPr>
        <w:t xml:space="preserve">integrated </w:t>
      </w:r>
      <w:r w:rsidR="00A96A0F">
        <w:rPr>
          <w:szCs w:val="24"/>
        </w:rPr>
        <w:t xml:space="preserve">operation for </w:t>
      </w:r>
      <w:r w:rsidR="00A90ED2">
        <w:rPr>
          <w:szCs w:val="24"/>
        </w:rPr>
        <w:t>Petroleum Resource Rent Tax (</w:t>
      </w:r>
      <w:r w:rsidR="00A96A0F">
        <w:rPr>
          <w:szCs w:val="24"/>
        </w:rPr>
        <w:t>PRRT</w:t>
      </w:r>
      <w:r w:rsidR="00A90ED2">
        <w:rPr>
          <w:szCs w:val="24"/>
        </w:rPr>
        <w:t>)</w:t>
      </w:r>
      <w:r w:rsidR="00A96A0F">
        <w:rPr>
          <w:szCs w:val="24"/>
        </w:rPr>
        <w:t xml:space="preserve"> purposes</w:t>
      </w:r>
      <w:r w:rsidR="002D711E">
        <w:rPr>
          <w:szCs w:val="24"/>
        </w:rPr>
        <w:t xml:space="preserve">. </w:t>
      </w:r>
      <w:r w:rsidR="00271E31">
        <w:rPr>
          <w:szCs w:val="24"/>
        </w:rPr>
        <w:t>It is the profit resulting from the production of sales gas that is taxed under the PRRT.</w:t>
      </w:r>
    </w:p>
    <w:p w14:paraId="1B906F7B" w14:textId="77777777" w:rsidR="00022A94" w:rsidRDefault="00022A94" w:rsidP="00022A94">
      <w:pPr>
        <w:tabs>
          <w:tab w:val="right" w:pos="9072"/>
        </w:tabs>
        <w:ind w:right="91"/>
        <w:rPr>
          <w:szCs w:val="24"/>
        </w:rPr>
      </w:pPr>
    </w:p>
    <w:p w14:paraId="1B906F7C" w14:textId="77777777" w:rsidR="004112DB" w:rsidRDefault="00ED1C49">
      <w:pPr>
        <w:tabs>
          <w:tab w:val="right" w:pos="9072"/>
        </w:tabs>
        <w:ind w:right="91"/>
        <w:rPr>
          <w:szCs w:val="24"/>
        </w:rPr>
      </w:pPr>
      <w:r>
        <w:rPr>
          <w:szCs w:val="24"/>
        </w:rPr>
        <w:t xml:space="preserve">Following the passage of the </w:t>
      </w:r>
      <w:r>
        <w:rPr>
          <w:i/>
          <w:szCs w:val="24"/>
        </w:rPr>
        <w:t xml:space="preserve">Petroleum Resource Rent Tax Assessment (Amendment) Act </w:t>
      </w:r>
      <w:r w:rsidRPr="00022A94">
        <w:rPr>
          <w:i/>
          <w:szCs w:val="24"/>
        </w:rPr>
        <w:t>2012</w:t>
      </w:r>
      <w:r>
        <w:rPr>
          <w:szCs w:val="24"/>
        </w:rPr>
        <w:t>, t</w:t>
      </w:r>
      <w:r w:rsidR="0034739C" w:rsidRPr="00ED1C49">
        <w:rPr>
          <w:szCs w:val="24"/>
        </w:rPr>
        <w:t>he</w:t>
      </w:r>
      <w:r w:rsidR="0034739C">
        <w:rPr>
          <w:szCs w:val="24"/>
        </w:rPr>
        <w:t xml:space="preserve"> application of the Act was extended </w:t>
      </w:r>
      <w:r>
        <w:rPr>
          <w:szCs w:val="24"/>
        </w:rPr>
        <w:t xml:space="preserve">from offshore petroleum projects </w:t>
      </w:r>
      <w:r w:rsidR="0034739C">
        <w:rPr>
          <w:szCs w:val="24"/>
        </w:rPr>
        <w:t>to</w:t>
      </w:r>
      <w:r>
        <w:rPr>
          <w:szCs w:val="24"/>
        </w:rPr>
        <w:t xml:space="preserve"> </w:t>
      </w:r>
      <w:r w:rsidR="0034739C">
        <w:rPr>
          <w:szCs w:val="24"/>
        </w:rPr>
        <w:t>onshore petroleum projects</w:t>
      </w:r>
      <w:r w:rsidR="00271E31">
        <w:rPr>
          <w:szCs w:val="24"/>
        </w:rPr>
        <w:t>,</w:t>
      </w:r>
      <w:r w:rsidR="0034739C">
        <w:rPr>
          <w:szCs w:val="24"/>
        </w:rPr>
        <w:t xml:space="preserve"> </w:t>
      </w:r>
      <w:r>
        <w:rPr>
          <w:szCs w:val="24"/>
        </w:rPr>
        <w:t>a</w:t>
      </w:r>
      <w:r w:rsidR="00022A94">
        <w:rPr>
          <w:szCs w:val="24"/>
        </w:rPr>
        <w:t>s well as t</w:t>
      </w:r>
      <w:r>
        <w:rPr>
          <w:szCs w:val="24"/>
        </w:rPr>
        <w:t>he</w:t>
      </w:r>
      <w:r w:rsidR="0034739C">
        <w:rPr>
          <w:szCs w:val="24"/>
        </w:rPr>
        <w:t xml:space="preserve"> North West Shelf</w:t>
      </w:r>
      <w:r w:rsidRPr="00ED1C49">
        <w:t xml:space="preserve"> </w:t>
      </w:r>
      <w:r w:rsidR="00022A94">
        <w:t xml:space="preserve">LNG </w:t>
      </w:r>
      <w:r w:rsidR="00AA0EEB">
        <w:t>project</w:t>
      </w:r>
      <w:r w:rsidR="00161814">
        <w:t xml:space="preserve"> located off Western Australia</w:t>
      </w:r>
      <w:r w:rsidR="00271E31">
        <w:t>,</w:t>
      </w:r>
      <w:r w:rsidR="00022A94">
        <w:t xml:space="preserve"> </w:t>
      </w:r>
      <w:r w:rsidR="0034739C">
        <w:rPr>
          <w:szCs w:val="24"/>
        </w:rPr>
        <w:t>from</w:t>
      </w:r>
      <w:r w:rsidR="00161814">
        <w:rPr>
          <w:szCs w:val="24"/>
        </w:rPr>
        <w:t xml:space="preserve"> </w:t>
      </w:r>
      <w:r w:rsidR="0034739C">
        <w:rPr>
          <w:szCs w:val="24"/>
        </w:rPr>
        <w:t>1 July 2012.</w:t>
      </w:r>
    </w:p>
    <w:p w14:paraId="1B906F7D" w14:textId="77777777" w:rsidR="004112DB" w:rsidRDefault="004112DB">
      <w:pPr>
        <w:tabs>
          <w:tab w:val="right" w:pos="9072"/>
        </w:tabs>
        <w:ind w:right="91"/>
        <w:rPr>
          <w:szCs w:val="24"/>
        </w:rPr>
      </w:pPr>
    </w:p>
    <w:p w14:paraId="1B906F7E" w14:textId="77777777" w:rsidR="004B3D7C" w:rsidRDefault="0034739C">
      <w:pPr>
        <w:tabs>
          <w:tab w:val="right" w:pos="9072"/>
        </w:tabs>
        <w:ind w:right="91"/>
        <w:rPr>
          <w:szCs w:val="24"/>
        </w:rPr>
      </w:pPr>
      <w:r>
        <w:rPr>
          <w:szCs w:val="24"/>
        </w:rPr>
        <w:t xml:space="preserve">The </w:t>
      </w:r>
      <w:r w:rsidR="00EC49B0">
        <w:rPr>
          <w:szCs w:val="24"/>
        </w:rPr>
        <w:t>purpose of the</w:t>
      </w:r>
      <w:r w:rsidR="00AA0EEB">
        <w:rPr>
          <w:szCs w:val="24"/>
        </w:rPr>
        <w:t xml:space="preserve"> </w:t>
      </w:r>
      <w:r w:rsidR="00B139F2">
        <w:rPr>
          <w:szCs w:val="24"/>
        </w:rPr>
        <w:t>R</w:t>
      </w:r>
      <w:r>
        <w:rPr>
          <w:szCs w:val="24"/>
        </w:rPr>
        <w:t xml:space="preserve">egulation is to </w:t>
      </w:r>
      <w:r w:rsidR="002D711E" w:rsidRPr="00276988">
        <w:rPr>
          <w:szCs w:val="24"/>
        </w:rPr>
        <w:t>adapt and extend the existing</w:t>
      </w:r>
      <w:r w:rsidR="00271E31">
        <w:rPr>
          <w:szCs w:val="24"/>
        </w:rPr>
        <w:t xml:space="preserve"> </w:t>
      </w:r>
      <w:r w:rsidR="00F9364B">
        <w:rPr>
          <w:szCs w:val="24"/>
        </w:rPr>
        <w:t>framework</w:t>
      </w:r>
      <w:r w:rsidR="00EC49B0">
        <w:rPr>
          <w:szCs w:val="24"/>
        </w:rPr>
        <w:t xml:space="preserve"> </w:t>
      </w:r>
      <w:r>
        <w:rPr>
          <w:szCs w:val="24"/>
        </w:rPr>
        <w:t xml:space="preserve">set out in </w:t>
      </w:r>
      <w:r w:rsidR="00ED1C49">
        <w:rPr>
          <w:szCs w:val="24"/>
        </w:rPr>
        <w:t>the Principal Regulation</w:t>
      </w:r>
      <w:r>
        <w:rPr>
          <w:szCs w:val="24"/>
        </w:rPr>
        <w:t xml:space="preserve"> so that it can </w:t>
      </w:r>
      <w:r w:rsidR="00B139F2">
        <w:rPr>
          <w:szCs w:val="24"/>
        </w:rPr>
        <w:t xml:space="preserve">be appropriately applied to </w:t>
      </w:r>
      <w:r w:rsidR="002D711E">
        <w:rPr>
          <w:szCs w:val="24"/>
        </w:rPr>
        <w:t xml:space="preserve">onshore </w:t>
      </w:r>
      <w:r>
        <w:rPr>
          <w:szCs w:val="24"/>
        </w:rPr>
        <w:t xml:space="preserve">integrated </w:t>
      </w:r>
      <w:r w:rsidR="002D711E">
        <w:rPr>
          <w:szCs w:val="24"/>
        </w:rPr>
        <w:t xml:space="preserve">GTL operations </w:t>
      </w:r>
      <w:r>
        <w:rPr>
          <w:szCs w:val="24"/>
        </w:rPr>
        <w:t xml:space="preserve">and </w:t>
      </w:r>
      <w:r w:rsidR="002D711E">
        <w:rPr>
          <w:szCs w:val="24"/>
        </w:rPr>
        <w:t>the North West Shelf</w:t>
      </w:r>
      <w:r w:rsidR="000766DC">
        <w:rPr>
          <w:szCs w:val="24"/>
        </w:rPr>
        <w:t xml:space="preserve"> LNG project</w:t>
      </w:r>
      <w:r>
        <w:rPr>
          <w:szCs w:val="24"/>
        </w:rPr>
        <w:t>,</w:t>
      </w:r>
      <w:r w:rsidR="002D711E">
        <w:rPr>
          <w:szCs w:val="24"/>
        </w:rPr>
        <w:t xml:space="preserve"> as well as </w:t>
      </w:r>
      <w:r>
        <w:rPr>
          <w:szCs w:val="24"/>
        </w:rPr>
        <w:t xml:space="preserve">to </w:t>
      </w:r>
      <w:r w:rsidR="002D711E">
        <w:rPr>
          <w:szCs w:val="24"/>
        </w:rPr>
        <w:t xml:space="preserve">integrated gas-to-electricity </w:t>
      </w:r>
      <w:r w:rsidR="004B3D7C">
        <w:rPr>
          <w:szCs w:val="24"/>
        </w:rPr>
        <w:t xml:space="preserve">(GTE) </w:t>
      </w:r>
      <w:r w:rsidR="002D711E">
        <w:rPr>
          <w:szCs w:val="24"/>
        </w:rPr>
        <w:t>operations</w:t>
      </w:r>
      <w:r w:rsidR="00C07867">
        <w:rPr>
          <w:szCs w:val="24"/>
        </w:rPr>
        <w:t>,</w:t>
      </w:r>
      <w:r>
        <w:rPr>
          <w:szCs w:val="24"/>
        </w:rPr>
        <w:t xml:space="preserve"> following the extension of the </w:t>
      </w:r>
      <w:r w:rsidR="006002DA">
        <w:rPr>
          <w:szCs w:val="24"/>
        </w:rPr>
        <w:t xml:space="preserve">scope of the </w:t>
      </w:r>
      <w:r>
        <w:rPr>
          <w:szCs w:val="24"/>
        </w:rPr>
        <w:t>Act</w:t>
      </w:r>
      <w:r w:rsidR="004B3D7C">
        <w:rPr>
          <w:szCs w:val="24"/>
        </w:rPr>
        <w:t xml:space="preserve"> in 2012</w:t>
      </w:r>
      <w:r>
        <w:rPr>
          <w:szCs w:val="24"/>
        </w:rPr>
        <w:t>.</w:t>
      </w:r>
      <w:r w:rsidR="002D711E">
        <w:rPr>
          <w:szCs w:val="24"/>
        </w:rPr>
        <w:t xml:space="preserve"> </w:t>
      </w:r>
    </w:p>
    <w:p w14:paraId="1B906F7F" w14:textId="77777777" w:rsidR="004B3D7C" w:rsidRDefault="004B3D7C">
      <w:pPr>
        <w:tabs>
          <w:tab w:val="right" w:pos="9072"/>
        </w:tabs>
        <w:ind w:right="91"/>
        <w:rPr>
          <w:szCs w:val="24"/>
        </w:rPr>
      </w:pPr>
    </w:p>
    <w:p w14:paraId="1B906F80" w14:textId="77777777" w:rsidR="004B3D7C" w:rsidRDefault="004B3D7C">
      <w:pPr>
        <w:tabs>
          <w:tab w:val="right" w:pos="9072"/>
        </w:tabs>
        <w:ind w:right="91"/>
        <w:rPr>
          <w:szCs w:val="24"/>
        </w:rPr>
      </w:pPr>
      <w:r>
        <w:rPr>
          <w:szCs w:val="24"/>
        </w:rPr>
        <w:t xml:space="preserve">In particular, the Regulation takes account of differences in the structure and operations of </w:t>
      </w:r>
      <w:r w:rsidR="00161814">
        <w:rPr>
          <w:szCs w:val="24"/>
        </w:rPr>
        <w:t xml:space="preserve">onshore </w:t>
      </w:r>
      <w:r>
        <w:rPr>
          <w:szCs w:val="24"/>
        </w:rPr>
        <w:t xml:space="preserve">integrated GTL and GTE operations relative to traditional </w:t>
      </w:r>
      <w:r>
        <w:rPr>
          <w:szCs w:val="24"/>
        </w:rPr>
        <w:lastRenderedPageBreak/>
        <w:t xml:space="preserve">offshore </w:t>
      </w:r>
      <w:r w:rsidR="00161814">
        <w:rPr>
          <w:szCs w:val="24"/>
        </w:rPr>
        <w:t xml:space="preserve">integrated </w:t>
      </w:r>
      <w:r>
        <w:rPr>
          <w:szCs w:val="24"/>
        </w:rPr>
        <w:t>operations upon which the existing framework in the Principal Regulation was based.</w:t>
      </w:r>
      <w:r w:rsidR="00161814">
        <w:rPr>
          <w:szCs w:val="24"/>
        </w:rPr>
        <w:t xml:space="preserve"> </w:t>
      </w:r>
    </w:p>
    <w:p w14:paraId="1B906F81" w14:textId="77777777" w:rsidR="00055996" w:rsidRDefault="00055996">
      <w:pPr>
        <w:tabs>
          <w:tab w:val="right" w:pos="9072"/>
        </w:tabs>
        <w:ind w:right="91"/>
        <w:rPr>
          <w:szCs w:val="24"/>
        </w:rPr>
      </w:pPr>
    </w:p>
    <w:p w14:paraId="1B906F82" w14:textId="77777777" w:rsidR="002D711E" w:rsidRDefault="004B3D7C">
      <w:pPr>
        <w:tabs>
          <w:tab w:val="right" w:pos="9072"/>
        </w:tabs>
        <w:ind w:right="91"/>
        <w:rPr>
          <w:szCs w:val="24"/>
        </w:rPr>
      </w:pPr>
      <w:r>
        <w:rPr>
          <w:szCs w:val="24"/>
        </w:rPr>
        <w:t>T</w:t>
      </w:r>
      <w:r w:rsidR="00C523DF">
        <w:rPr>
          <w:szCs w:val="24"/>
        </w:rPr>
        <w:t>he Regulation</w:t>
      </w:r>
      <w:r w:rsidR="00AA0EEB">
        <w:rPr>
          <w:szCs w:val="24"/>
        </w:rPr>
        <w:t xml:space="preserve"> amends the Principal regulation to</w:t>
      </w:r>
      <w:r w:rsidR="00F9364B">
        <w:rPr>
          <w:szCs w:val="24"/>
        </w:rPr>
        <w:t>:</w:t>
      </w:r>
      <w:r w:rsidR="00C523DF">
        <w:rPr>
          <w:szCs w:val="24"/>
        </w:rPr>
        <w:t xml:space="preserve"> </w:t>
      </w:r>
      <w:r>
        <w:rPr>
          <w:szCs w:val="24"/>
        </w:rPr>
        <w:br/>
      </w:r>
    </w:p>
    <w:p w14:paraId="1B906F83" w14:textId="77777777" w:rsidR="00C523DF" w:rsidRDefault="00F9364B" w:rsidP="00B712BD">
      <w:pPr>
        <w:pStyle w:val="Bullet"/>
        <w:spacing w:after="120"/>
      </w:pPr>
      <w:r>
        <w:t>e</w:t>
      </w:r>
      <w:r w:rsidR="002D711E">
        <w:t>nsure</w:t>
      </w:r>
      <w:r w:rsidR="00C523DF">
        <w:t xml:space="preserve"> </w:t>
      </w:r>
      <w:r w:rsidR="00055996">
        <w:t xml:space="preserve">that </w:t>
      </w:r>
      <w:r w:rsidR="00C523DF">
        <w:t xml:space="preserve">the </w:t>
      </w:r>
      <w:r w:rsidR="002D711E">
        <w:t>framework</w:t>
      </w:r>
      <w:r w:rsidR="00055996">
        <w:t xml:space="preserve"> in the Principal Regulation</w:t>
      </w:r>
      <w:r w:rsidR="002D711E">
        <w:t xml:space="preserve"> </w:t>
      </w:r>
      <w:r w:rsidR="00C523DF">
        <w:t xml:space="preserve">for </w:t>
      </w:r>
      <w:r w:rsidR="002D711E">
        <w:t xml:space="preserve">determining assessable petroleum receipts in </w:t>
      </w:r>
      <w:r w:rsidR="007056DF">
        <w:t xml:space="preserve">relation to </w:t>
      </w:r>
      <w:r w:rsidR="002D711E">
        <w:t xml:space="preserve">an integrated GTL operation </w:t>
      </w:r>
      <w:r w:rsidR="00161814">
        <w:t xml:space="preserve">applies to </w:t>
      </w:r>
      <w:r w:rsidR="002D711E">
        <w:t>onshore GTL operations, including those utilising coal seam gas</w:t>
      </w:r>
      <w:r w:rsidR="00F1042C">
        <w:t>,</w:t>
      </w:r>
      <w:r w:rsidR="00055996">
        <w:t xml:space="preserve"> a</w:t>
      </w:r>
      <w:r w:rsidR="00F1042C">
        <w:t>s well as</w:t>
      </w:r>
      <w:r w:rsidR="00055996">
        <w:t xml:space="preserve"> </w:t>
      </w:r>
      <w:r w:rsidR="00161814">
        <w:t xml:space="preserve">the </w:t>
      </w:r>
      <w:r w:rsidR="00055996">
        <w:t>North West Shelf</w:t>
      </w:r>
      <w:r w:rsidR="00055996" w:rsidRPr="00ED1C49">
        <w:t xml:space="preserve"> </w:t>
      </w:r>
      <w:r w:rsidR="00161814">
        <w:t xml:space="preserve">LNG </w:t>
      </w:r>
      <w:r w:rsidR="00AA0EEB">
        <w:t>project</w:t>
      </w:r>
      <w:r w:rsidR="002D711E">
        <w:t>;</w:t>
      </w:r>
    </w:p>
    <w:p w14:paraId="1B906F84" w14:textId="77777777" w:rsidR="002D711E" w:rsidRDefault="00055996" w:rsidP="00B712BD">
      <w:pPr>
        <w:pStyle w:val="Bullet"/>
        <w:spacing w:after="120"/>
      </w:pPr>
      <w:r>
        <w:t>e</w:t>
      </w:r>
      <w:r w:rsidR="006002DA">
        <w:t>nsure that the</w:t>
      </w:r>
      <w:r w:rsidR="002D711E">
        <w:t xml:space="preserve"> framework</w:t>
      </w:r>
      <w:r>
        <w:t xml:space="preserve"> in the Principal Regulation for determining assessable petroleum receipts in relation to an integrated GTL operation is a</w:t>
      </w:r>
      <w:r w:rsidR="006002DA">
        <w:t xml:space="preserve">ble to appropriately </w:t>
      </w:r>
      <w:r w:rsidR="00AA0EEB">
        <w:t>appl</w:t>
      </w:r>
      <w:r w:rsidR="006002DA">
        <w:t>y</w:t>
      </w:r>
      <w:r w:rsidR="00AA0EEB">
        <w:t xml:space="preserve"> to </w:t>
      </w:r>
      <w:r w:rsidR="00161BB1">
        <w:t xml:space="preserve">integrated </w:t>
      </w:r>
      <w:r w:rsidR="00527101">
        <w:t>GTE</w:t>
      </w:r>
      <w:r w:rsidR="00161BB1">
        <w:t xml:space="preserve"> projects</w:t>
      </w:r>
      <w:r w:rsidR="002D711E">
        <w:t xml:space="preserve">; </w:t>
      </w:r>
    </w:p>
    <w:p w14:paraId="1B906F85" w14:textId="77777777" w:rsidR="00C523DF" w:rsidRDefault="007056DF" w:rsidP="00B712BD">
      <w:pPr>
        <w:pStyle w:val="Bullet"/>
        <w:spacing w:after="120"/>
      </w:pPr>
      <w:r>
        <w:t xml:space="preserve">allow </w:t>
      </w:r>
      <w:r w:rsidR="00E16313">
        <w:t xml:space="preserve">taxpayers to make </w:t>
      </w:r>
      <w:r w:rsidR="004B3D7C">
        <w:t xml:space="preserve">an election </w:t>
      </w:r>
      <w:r w:rsidR="00E16313">
        <w:t>to apply</w:t>
      </w:r>
      <w:r w:rsidR="004B3D7C">
        <w:t xml:space="preserve"> </w:t>
      </w:r>
      <w:r>
        <w:t xml:space="preserve">the </w:t>
      </w:r>
      <w:r w:rsidR="00C523DF">
        <w:t>R</w:t>
      </w:r>
      <w:r w:rsidR="002D711E">
        <w:t xml:space="preserve">esidual </w:t>
      </w:r>
      <w:r w:rsidR="00371434">
        <w:t xml:space="preserve">Pricing </w:t>
      </w:r>
      <w:r w:rsidR="00C523DF">
        <w:t>M</w:t>
      </w:r>
      <w:r w:rsidR="002D711E">
        <w:t xml:space="preserve">ethod (RPM) </w:t>
      </w:r>
      <w:r>
        <w:t xml:space="preserve">in relation to onshore integrated GTL projects </w:t>
      </w:r>
      <w:r w:rsidR="00C523DF">
        <w:t xml:space="preserve">as </w:t>
      </w:r>
      <w:r w:rsidR="002D711E">
        <w:t>the</w:t>
      </w:r>
      <w:r w:rsidR="00C523DF">
        <w:t xml:space="preserve"> default method for </w:t>
      </w:r>
      <w:r w:rsidR="002D711E">
        <w:t>determining assessable petroleum receipts</w:t>
      </w:r>
      <w:r w:rsidR="00C523DF">
        <w:t>;</w:t>
      </w:r>
    </w:p>
    <w:p w14:paraId="1B906F86" w14:textId="77777777" w:rsidR="002D711E" w:rsidRDefault="002115BD" w:rsidP="00B712BD">
      <w:pPr>
        <w:pStyle w:val="Bullet"/>
        <w:spacing w:after="120"/>
      </w:pPr>
      <w:r>
        <w:t>give</w:t>
      </w:r>
      <w:r w:rsidR="002D711E">
        <w:t xml:space="preserve"> </w:t>
      </w:r>
      <w:r w:rsidR="00E16313" w:rsidRPr="002115BD">
        <w:t>taxpayers</w:t>
      </w:r>
      <w:r w:rsidR="00E16313">
        <w:t xml:space="preserve"> </w:t>
      </w:r>
      <w:r w:rsidR="002D711E">
        <w:t>the option of using mass rather than volume measurements</w:t>
      </w:r>
      <w:r w:rsidR="00EE2281">
        <w:t xml:space="preserve"> for project products</w:t>
      </w:r>
      <w:r w:rsidR="002D711E">
        <w:t xml:space="preserve"> </w:t>
      </w:r>
      <w:r w:rsidR="007056DF">
        <w:t xml:space="preserve">to </w:t>
      </w:r>
      <w:r w:rsidR="00F9364B">
        <w:t>determin</w:t>
      </w:r>
      <w:r w:rsidR="007056DF">
        <w:t>e</w:t>
      </w:r>
      <w:r w:rsidR="00F9364B">
        <w:t xml:space="preserve"> an RPM price</w:t>
      </w:r>
      <w:r w:rsidR="00AA0EEB">
        <w:t>,</w:t>
      </w:r>
      <w:r w:rsidR="007056DF">
        <w:t xml:space="preserve"> in order</w:t>
      </w:r>
      <w:r w:rsidR="00F9364B">
        <w:t xml:space="preserve"> </w:t>
      </w:r>
      <w:r w:rsidR="002D711E">
        <w:t>to</w:t>
      </w:r>
      <w:r w:rsidR="00F9364B">
        <w:t xml:space="preserve"> reduce compliance </w:t>
      </w:r>
      <w:r w:rsidR="005F5C60">
        <w:t xml:space="preserve">costs </w:t>
      </w:r>
      <w:r w:rsidR="00F9364B">
        <w:t>for i</w:t>
      </w:r>
      <w:r w:rsidR="00C10171">
        <w:t>ntegrated operations who measure by mass</w:t>
      </w:r>
      <w:r w:rsidR="00371434">
        <w:t>;</w:t>
      </w:r>
      <w:r w:rsidR="00F9364B">
        <w:t xml:space="preserve"> and</w:t>
      </w:r>
    </w:p>
    <w:p w14:paraId="1B906F87" w14:textId="77777777" w:rsidR="00C523DF" w:rsidRDefault="00F9364B" w:rsidP="00C523DF">
      <w:pPr>
        <w:pStyle w:val="Bullet"/>
      </w:pPr>
      <w:r>
        <w:t xml:space="preserve">provide </w:t>
      </w:r>
      <w:r w:rsidR="00C523DF">
        <w:t xml:space="preserve">taxpayers </w:t>
      </w:r>
      <w:r w:rsidR="00C07867">
        <w:t>holding an</w:t>
      </w:r>
      <w:r>
        <w:t xml:space="preserve"> interest in </w:t>
      </w:r>
      <w:r w:rsidR="00C07867">
        <w:t xml:space="preserve">an </w:t>
      </w:r>
      <w:r w:rsidR="00C523DF">
        <w:t xml:space="preserve">integrated </w:t>
      </w:r>
      <w:r w:rsidR="00B139F2">
        <w:t>GTL</w:t>
      </w:r>
      <w:r w:rsidR="00C523DF">
        <w:t xml:space="preserve"> project</w:t>
      </w:r>
      <w:r w:rsidR="00EE2281">
        <w:t xml:space="preserve"> </w:t>
      </w:r>
      <w:r w:rsidR="005045CD">
        <w:t xml:space="preserve">that existed prior to 2 May 2010 </w:t>
      </w:r>
      <w:r w:rsidR="00EE2281">
        <w:t>(that is, the North West Shelf</w:t>
      </w:r>
      <w:r w:rsidR="00AA0EEB">
        <w:t xml:space="preserve"> project</w:t>
      </w:r>
      <w:r w:rsidR="00EE2281">
        <w:t>)</w:t>
      </w:r>
      <w:r w:rsidR="002D711E">
        <w:t xml:space="preserve"> with </w:t>
      </w:r>
      <w:r w:rsidR="00C523DF">
        <w:t>a simplified</w:t>
      </w:r>
      <w:r w:rsidR="002D711E">
        <w:t xml:space="preserve"> </w:t>
      </w:r>
      <w:r w:rsidR="00C523DF">
        <w:t xml:space="preserve">RPM </w:t>
      </w:r>
      <w:r w:rsidR="004B3D7C">
        <w:t xml:space="preserve">for determining </w:t>
      </w:r>
      <w:r w:rsidR="00EE2281">
        <w:t>the value of project sales gas.</w:t>
      </w:r>
    </w:p>
    <w:p w14:paraId="1B906F88" w14:textId="77777777" w:rsidR="00527FE6" w:rsidRDefault="00527FE6" w:rsidP="00527FE6">
      <w:pPr>
        <w:pStyle w:val="Bullet"/>
        <w:numPr>
          <w:ilvl w:val="0"/>
          <w:numId w:val="0"/>
        </w:numPr>
        <w:ind w:left="567"/>
      </w:pPr>
    </w:p>
    <w:p w14:paraId="1B906F89" w14:textId="77777777" w:rsidR="00172557" w:rsidRDefault="004B3D7C" w:rsidP="00172557">
      <w:pPr>
        <w:tabs>
          <w:tab w:val="right" w:pos="9072"/>
        </w:tabs>
        <w:ind w:right="91"/>
        <w:rPr>
          <w:szCs w:val="24"/>
        </w:rPr>
      </w:pPr>
      <w:r>
        <w:rPr>
          <w:szCs w:val="24"/>
        </w:rPr>
        <w:t>The</w:t>
      </w:r>
      <w:r w:rsidRPr="0034739C">
        <w:rPr>
          <w:szCs w:val="24"/>
        </w:rPr>
        <w:t xml:space="preserve"> </w:t>
      </w:r>
      <w:r>
        <w:rPr>
          <w:szCs w:val="24"/>
        </w:rPr>
        <w:t>Regulation provide</w:t>
      </w:r>
      <w:r w:rsidR="00AA0EEB">
        <w:rPr>
          <w:szCs w:val="24"/>
        </w:rPr>
        <w:t>s</w:t>
      </w:r>
      <w:r>
        <w:rPr>
          <w:szCs w:val="24"/>
        </w:rPr>
        <w:t xml:space="preserve"> the petroleum industry</w:t>
      </w:r>
      <w:r w:rsidRPr="004B3D7C">
        <w:rPr>
          <w:szCs w:val="24"/>
        </w:rPr>
        <w:t xml:space="preserve"> </w:t>
      </w:r>
      <w:r>
        <w:rPr>
          <w:szCs w:val="24"/>
        </w:rPr>
        <w:t>with certainty regarding the applicatio</w:t>
      </w:r>
      <w:r w:rsidR="00AA0EEB">
        <w:rPr>
          <w:szCs w:val="24"/>
        </w:rPr>
        <w:t>n of the Act to such operations, i</w:t>
      </w:r>
      <w:r>
        <w:rPr>
          <w:szCs w:val="24"/>
        </w:rPr>
        <w:t>n particular</w:t>
      </w:r>
      <w:r w:rsidR="00AA0EEB">
        <w:rPr>
          <w:szCs w:val="24"/>
        </w:rPr>
        <w:t xml:space="preserve"> </w:t>
      </w:r>
      <w:r>
        <w:rPr>
          <w:szCs w:val="24"/>
        </w:rPr>
        <w:t xml:space="preserve">to those taxpayers holding an interest in projects that are in the process of transitioning to the PRRT following the extension of the Act in 2012. </w:t>
      </w:r>
      <w:r w:rsidR="00172557">
        <w:rPr>
          <w:szCs w:val="24"/>
        </w:rPr>
        <w:t xml:space="preserve">The petroleum industry was consulted </w:t>
      </w:r>
      <w:r w:rsidR="001D141D">
        <w:rPr>
          <w:szCs w:val="24"/>
        </w:rPr>
        <w:t>during the development of</w:t>
      </w:r>
      <w:r w:rsidR="00172557">
        <w:rPr>
          <w:szCs w:val="24"/>
        </w:rPr>
        <w:t xml:space="preserve"> the Regulation.   </w:t>
      </w:r>
    </w:p>
    <w:p w14:paraId="1B906F8A" w14:textId="77777777" w:rsidR="004B3D7C" w:rsidRDefault="004B3D7C" w:rsidP="004B3D7C">
      <w:pPr>
        <w:tabs>
          <w:tab w:val="right" w:pos="9072"/>
        </w:tabs>
        <w:ind w:right="91"/>
        <w:rPr>
          <w:szCs w:val="24"/>
        </w:rPr>
      </w:pPr>
    </w:p>
    <w:p w14:paraId="1B906F8B" w14:textId="77777777" w:rsidR="004B3D7C" w:rsidRDefault="004B3D7C" w:rsidP="00F1042C">
      <w:pPr>
        <w:tabs>
          <w:tab w:val="right" w:pos="9072"/>
        </w:tabs>
        <w:ind w:right="91"/>
        <w:rPr>
          <w:szCs w:val="24"/>
        </w:rPr>
      </w:pPr>
      <w:r>
        <w:rPr>
          <w:szCs w:val="24"/>
        </w:rPr>
        <w:t>The Regulation is consistent with the recommendations of the Policy Transition Group regarding the extension of the PRRT</w:t>
      </w:r>
      <w:r w:rsidR="001D141D">
        <w:rPr>
          <w:szCs w:val="24"/>
        </w:rPr>
        <w:t xml:space="preserve"> which followed extensive consultation with industry</w:t>
      </w:r>
      <w:r>
        <w:rPr>
          <w:szCs w:val="24"/>
        </w:rPr>
        <w:t>,</w:t>
      </w:r>
      <w:r w:rsidR="001D141D">
        <w:rPr>
          <w:szCs w:val="24"/>
        </w:rPr>
        <w:t xml:space="preserve"> and</w:t>
      </w:r>
      <w:r>
        <w:rPr>
          <w:szCs w:val="24"/>
        </w:rPr>
        <w:t xml:space="preserve"> which were accepted by Government on 24 March 2011. </w:t>
      </w:r>
    </w:p>
    <w:p w14:paraId="1B906F8C" w14:textId="77777777" w:rsidR="004B3D7C" w:rsidRDefault="004B3D7C">
      <w:pPr>
        <w:tabs>
          <w:tab w:val="left" w:pos="1701"/>
          <w:tab w:val="right" w:pos="9072"/>
        </w:tabs>
        <w:spacing w:line="240" w:lineRule="exact"/>
        <w:ind w:right="91"/>
        <w:rPr>
          <w:szCs w:val="24"/>
        </w:rPr>
      </w:pPr>
    </w:p>
    <w:p w14:paraId="1B906F8D" w14:textId="77777777" w:rsidR="004F4719" w:rsidRDefault="004F4719">
      <w:pPr>
        <w:tabs>
          <w:tab w:val="left" w:pos="1701"/>
          <w:tab w:val="right" w:pos="9072"/>
        </w:tabs>
        <w:spacing w:line="240" w:lineRule="exact"/>
        <w:ind w:right="91"/>
      </w:pPr>
      <w:r>
        <w:t xml:space="preserve">Details of </w:t>
      </w:r>
      <w:r w:rsidR="00750B34">
        <w:t xml:space="preserve">the </w:t>
      </w:r>
      <w:r w:rsidR="00C2221A">
        <w:t xml:space="preserve">Regulation are set out in </w:t>
      </w:r>
      <w:r>
        <w:rPr>
          <w:u w:val="single"/>
        </w:rPr>
        <w:t>Attachment</w:t>
      </w:r>
      <w:r w:rsidR="00C2221A">
        <w:rPr>
          <w:u w:val="single"/>
        </w:rPr>
        <w:t xml:space="preserve"> A</w:t>
      </w:r>
      <w:r w:rsidRPr="0074777B">
        <w:t>.</w:t>
      </w:r>
    </w:p>
    <w:p w14:paraId="1B906F8E" w14:textId="77777777" w:rsidR="00172557" w:rsidRDefault="00172557">
      <w:pPr>
        <w:tabs>
          <w:tab w:val="left" w:pos="1701"/>
          <w:tab w:val="right" w:pos="9072"/>
        </w:tabs>
        <w:spacing w:line="240" w:lineRule="exact"/>
        <w:ind w:right="91"/>
      </w:pPr>
    </w:p>
    <w:p w14:paraId="1B906F8F" w14:textId="77777777" w:rsidR="00172557" w:rsidRPr="009429A7" w:rsidRDefault="00172557" w:rsidP="00172557">
      <w:pPr>
        <w:tabs>
          <w:tab w:val="left" w:pos="1701"/>
          <w:tab w:val="right" w:pos="9072"/>
        </w:tabs>
        <w:spacing w:line="240" w:lineRule="exact"/>
        <w:ind w:right="91"/>
        <w:rPr>
          <w:u w:val="single"/>
        </w:rPr>
      </w:pPr>
      <w:r>
        <w:t xml:space="preserve">A Statement of Compatibility with Human Rights has been completed for the Regulation, in accordance with the </w:t>
      </w:r>
      <w:r>
        <w:rPr>
          <w:i/>
        </w:rPr>
        <w:t>Human Rights (Parliamentary Scrutiny) Act 2011</w:t>
      </w:r>
      <w:r>
        <w:t xml:space="preserve">. The Statement’s assessment is that the measures in the Regulation are compatible with human rights. A copy of the Statement is at </w:t>
      </w:r>
      <w:r>
        <w:rPr>
          <w:u w:val="single"/>
        </w:rPr>
        <w:t>Attachment B</w:t>
      </w:r>
      <w:r w:rsidRPr="0083250C">
        <w:t>.</w:t>
      </w:r>
    </w:p>
    <w:p w14:paraId="1B906F90" w14:textId="77777777" w:rsidR="00172557" w:rsidRDefault="00172557">
      <w:pPr>
        <w:tabs>
          <w:tab w:val="left" w:pos="1701"/>
          <w:tab w:val="right" w:pos="9072"/>
        </w:tabs>
        <w:spacing w:line="240" w:lineRule="exact"/>
        <w:ind w:right="91"/>
        <w:rPr>
          <w:u w:val="single"/>
        </w:rPr>
      </w:pPr>
    </w:p>
    <w:p w14:paraId="1B906F91" w14:textId="77777777" w:rsidR="00F44E4A" w:rsidRDefault="00F44E4A">
      <w:pPr>
        <w:tabs>
          <w:tab w:val="left" w:pos="1701"/>
          <w:tab w:val="right" w:pos="9072"/>
        </w:tabs>
        <w:spacing w:line="240" w:lineRule="exact"/>
        <w:ind w:right="91"/>
        <w:rPr>
          <w:u w:val="single"/>
        </w:rPr>
      </w:pPr>
    </w:p>
    <w:p w14:paraId="1B906F92" w14:textId="6C4BB9D7" w:rsidR="00B07873" w:rsidRDefault="00B07873">
      <w:pPr>
        <w:tabs>
          <w:tab w:val="left" w:pos="1701"/>
          <w:tab w:val="right" w:pos="9072"/>
        </w:tabs>
        <w:spacing w:line="240" w:lineRule="exact"/>
        <w:ind w:right="91"/>
      </w:pPr>
      <w:r w:rsidRPr="00593AF3">
        <w:t xml:space="preserve">The </w:t>
      </w:r>
      <w:r>
        <w:t>Regulation commence</w:t>
      </w:r>
      <w:r w:rsidR="00AA0EEB">
        <w:t>d</w:t>
      </w:r>
      <w:r>
        <w:t xml:space="preserve"> on</w:t>
      </w:r>
      <w:r w:rsidR="0048036F">
        <w:t xml:space="preserve"> the day after</w:t>
      </w:r>
      <w:r w:rsidR="00AA0EEB">
        <w:t xml:space="preserve"> registration.</w:t>
      </w:r>
    </w:p>
    <w:p w14:paraId="1B906F93" w14:textId="77777777" w:rsidR="00F44E4A" w:rsidRDefault="00F44E4A">
      <w:pPr>
        <w:tabs>
          <w:tab w:val="left" w:pos="1701"/>
          <w:tab w:val="right" w:pos="9072"/>
        </w:tabs>
        <w:spacing w:line="240" w:lineRule="exact"/>
        <w:ind w:right="91"/>
      </w:pPr>
    </w:p>
    <w:p w14:paraId="1B906F94" w14:textId="77777777" w:rsidR="009F4A38" w:rsidRDefault="009F4A38">
      <w:pPr>
        <w:tabs>
          <w:tab w:val="left" w:pos="1701"/>
          <w:tab w:val="right" w:pos="9072"/>
        </w:tabs>
        <w:spacing w:line="240" w:lineRule="exact"/>
        <w:ind w:right="91"/>
      </w:pPr>
    </w:p>
    <w:tbl>
      <w:tblPr>
        <w:tblStyle w:val="TableGrid"/>
        <w:tblW w:w="4111" w:type="dxa"/>
        <w:jc w:val="right"/>
        <w:tblInd w:w="4231"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1276"/>
        <w:gridCol w:w="2835"/>
      </w:tblGrid>
      <w:tr w:rsidR="00750B34" w14:paraId="1B906F97" w14:textId="77777777" w:rsidTr="00750B34">
        <w:trPr>
          <w:jc w:val="right"/>
        </w:trPr>
        <w:tc>
          <w:tcPr>
            <w:tcW w:w="1276" w:type="dxa"/>
            <w:hideMark/>
          </w:tcPr>
          <w:p w14:paraId="1B906F95" w14:textId="77777777" w:rsidR="00750B34" w:rsidRDefault="00750B34" w:rsidP="00750B34">
            <w:pPr>
              <w:spacing w:before="120" w:after="120"/>
              <w:rPr>
                <w:u w:val="single"/>
              </w:rPr>
            </w:pPr>
            <w:r>
              <w:rPr>
                <w:u w:val="single"/>
              </w:rPr>
              <w:t>Authority:</w:t>
            </w:r>
          </w:p>
        </w:tc>
        <w:tc>
          <w:tcPr>
            <w:tcW w:w="2835" w:type="dxa"/>
            <w:hideMark/>
          </w:tcPr>
          <w:p w14:paraId="1B906F96" w14:textId="77777777" w:rsidR="00750B34" w:rsidRDefault="00750B34" w:rsidP="00004106">
            <w:pPr>
              <w:spacing w:before="120" w:after="120"/>
            </w:pPr>
            <w:r w:rsidRPr="00750B34">
              <w:t xml:space="preserve">Section </w:t>
            </w:r>
            <w:r>
              <w:t>114</w:t>
            </w:r>
            <w:r w:rsidRPr="00750B34">
              <w:t xml:space="preserve"> of the </w:t>
            </w:r>
            <w:r w:rsidRPr="0074777B">
              <w:rPr>
                <w:i/>
              </w:rPr>
              <w:t>Petroleum Resource Rent Tax Assessment Act 1987</w:t>
            </w:r>
          </w:p>
        </w:tc>
      </w:tr>
    </w:tbl>
    <w:p w14:paraId="1B906F98" w14:textId="77777777" w:rsidR="005C315B" w:rsidRDefault="005C315B">
      <w:pPr>
        <w:tabs>
          <w:tab w:val="right" w:pos="9072"/>
        </w:tabs>
        <w:ind w:right="91"/>
        <w:rPr>
          <w:sz w:val="20"/>
        </w:rPr>
      </w:pPr>
    </w:p>
    <w:p w14:paraId="1B906F99" w14:textId="77777777" w:rsidR="00E25871" w:rsidRDefault="00E25871">
      <w:pPr>
        <w:tabs>
          <w:tab w:val="right" w:pos="9072"/>
        </w:tabs>
        <w:ind w:right="91"/>
        <w:rPr>
          <w:sz w:val="20"/>
        </w:rPr>
        <w:sectPr w:rsidR="00E25871" w:rsidSect="0074777B">
          <w:pgSz w:w="11906" w:h="16838" w:code="9"/>
          <w:pgMar w:top="1134" w:right="1797" w:bottom="1134" w:left="1797" w:header="720" w:footer="720" w:gutter="0"/>
          <w:pgNumType w:start="1"/>
          <w:cols w:space="708"/>
          <w:titlePg/>
          <w:docGrid w:linePitch="360"/>
        </w:sectPr>
      </w:pPr>
    </w:p>
    <w:p w14:paraId="1B906F9A" w14:textId="77777777" w:rsidR="00E25871" w:rsidRPr="00370E92" w:rsidRDefault="00E25871">
      <w:pPr>
        <w:tabs>
          <w:tab w:val="right" w:pos="9072"/>
        </w:tabs>
        <w:ind w:right="91"/>
        <w:rPr>
          <w:sz w:val="20"/>
        </w:rPr>
      </w:pPr>
    </w:p>
    <w:p w14:paraId="1B906F9B" w14:textId="77777777" w:rsidR="00DC3443" w:rsidRDefault="00DC3443" w:rsidP="00DC3443">
      <w:pPr>
        <w:pStyle w:val="exampletext"/>
        <w:ind w:left="0"/>
        <w:jc w:val="right"/>
        <w:rPr>
          <w:b/>
          <w:sz w:val="24"/>
          <w:szCs w:val="24"/>
          <w:u w:val="single"/>
        </w:rPr>
      </w:pPr>
      <w:r>
        <w:rPr>
          <w:b/>
          <w:sz w:val="24"/>
          <w:szCs w:val="24"/>
          <w:u w:val="single"/>
        </w:rPr>
        <w:t>ATTACHMENT</w:t>
      </w:r>
      <w:r w:rsidR="00172557">
        <w:rPr>
          <w:b/>
          <w:sz w:val="24"/>
          <w:szCs w:val="24"/>
          <w:u w:val="single"/>
        </w:rPr>
        <w:t xml:space="preserve"> A</w:t>
      </w:r>
    </w:p>
    <w:p w14:paraId="1B906F9C" w14:textId="77777777" w:rsidR="00DC3443" w:rsidRDefault="00DC3443">
      <w:pPr>
        <w:rPr>
          <w:b/>
          <w:u w:val="single"/>
        </w:rPr>
      </w:pPr>
    </w:p>
    <w:p w14:paraId="1B906F9D" w14:textId="3C9553C2" w:rsidR="00D05C99" w:rsidRPr="0074777B" w:rsidRDefault="00D05C99" w:rsidP="00EB4710">
      <w:pPr>
        <w:rPr>
          <w:b/>
          <w:u w:val="single"/>
        </w:rPr>
      </w:pPr>
      <w:r w:rsidRPr="0074777B">
        <w:rPr>
          <w:b/>
          <w:u w:val="single"/>
        </w:rPr>
        <w:t xml:space="preserve">Details of the </w:t>
      </w:r>
      <w:r w:rsidRPr="0074777B">
        <w:rPr>
          <w:b/>
          <w:i/>
          <w:u w:val="single"/>
        </w:rPr>
        <w:t xml:space="preserve">Petroleum Resource Rent Tax </w:t>
      </w:r>
      <w:r w:rsidR="00765242">
        <w:rPr>
          <w:b/>
          <w:i/>
          <w:u w:val="single"/>
        </w:rPr>
        <w:t>Assessment Amendment Regulation</w:t>
      </w:r>
      <w:r w:rsidRPr="0074777B">
        <w:rPr>
          <w:b/>
          <w:i/>
          <w:u w:val="single"/>
        </w:rPr>
        <w:t xml:space="preserve"> 2013 (No.</w:t>
      </w:r>
      <w:r w:rsidR="0048036F">
        <w:rPr>
          <w:i/>
          <w:u w:val="single"/>
        </w:rPr>
        <w:t xml:space="preserve"> 1</w:t>
      </w:r>
      <w:r w:rsidRPr="0074777B">
        <w:rPr>
          <w:b/>
          <w:i/>
          <w:u w:val="single"/>
        </w:rPr>
        <w:t>)</w:t>
      </w:r>
    </w:p>
    <w:p w14:paraId="1B906F9E" w14:textId="77777777" w:rsidR="002A39CC" w:rsidRPr="000B19A4" w:rsidRDefault="00EB4710" w:rsidP="0074777B">
      <w:pPr>
        <w:pStyle w:val="Heading2"/>
        <w:spacing w:before="0" w:after="240"/>
        <w:rPr>
          <w:szCs w:val="24"/>
        </w:rPr>
      </w:pPr>
      <w:r>
        <w:br/>
      </w:r>
      <w:r w:rsidR="00E25871" w:rsidRPr="000B19A4">
        <w:rPr>
          <w:szCs w:val="24"/>
        </w:rPr>
        <w:t xml:space="preserve">Part 1 </w:t>
      </w:r>
      <w:r w:rsidRPr="000B19A4">
        <w:rPr>
          <w:szCs w:val="24"/>
        </w:rPr>
        <w:t>–</w:t>
      </w:r>
      <w:r w:rsidR="00E25871" w:rsidRPr="000B19A4">
        <w:rPr>
          <w:szCs w:val="24"/>
        </w:rPr>
        <w:t xml:space="preserve"> Preliminary</w:t>
      </w:r>
    </w:p>
    <w:p w14:paraId="1B906F9F" w14:textId="77777777" w:rsidR="00D05C99" w:rsidRPr="00D05C99" w:rsidRDefault="00D05C99" w:rsidP="0074777B">
      <w:pPr>
        <w:pStyle w:val="Heading3"/>
        <w:spacing w:before="0" w:after="240"/>
      </w:pPr>
      <w:r w:rsidRPr="00D05C99">
        <w:t>Section 1 – Name of Regulation</w:t>
      </w:r>
    </w:p>
    <w:p w14:paraId="1B906FA0" w14:textId="47BB0215" w:rsidR="00D05C99" w:rsidRPr="00D05C99" w:rsidRDefault="000E7FC9" w:rsidP="0074777B">
      <w:pPr>
        <w:pStyle w:val="EMpara"/>
        <w:spacing w:before="0" w:after="240"/>
        <w:rPr>
          <w:i/>
        </w:rPr>
      </w:pPr>
      <w:r>
        <w:t xml:space="preserve">This section </w:t>
      </w:r>
      <w:r w:rsidR="00D05C99" w:rsidRPr="00D05C99">
        <w:t>name</w:t>
      </w:r>
      <w:r>
        <w:t>s</w:t>
      </w:r>
      <w:r w:rsidR="00D05C99" w:rsidRPr="00D05C99">
        <w:t xml:space="preserve"> the Regulation the </w:t>
      </w:r>
      <w:r w:rsidR="00D05C99" w:rsidRPr="00D05C99">
        <w:rPr>
          <w:i/>
        </w:rPr>
        <w:t>Petroleum Resource Rent Tax Assessment Amendment Regulation 2013 (No.</w:t>
      </w:r>
      <w:r w:rsidR="00E25871">
        <w:rPr>
          <w:i/>
        </w:rPr>
        <w:t xml:space="preserve"> </w:t>
      </w:r>
      <w:r w:rsidR="0048036F">
        <w:rPr>
          <w:i/>
        </w:rPr>
        <w:t>1</w:t>
      </w:r>
      <w:r w:rsidR="00D05C99" w:rsidRPr="00D05C99">
        <w:rPr>
          <w:i/>
        </w:rPr>
        <w:t>)</w:t>
      </w:r>
      <w:r w:rsidR="004E374B">
        <w:rPr>
          <w:i/>
        </w:rPr>
        <w:t xml:space="preserve"> </w:t>
      </w:r>
      <w:r w:rsidR="00D05C99" w:rsidRPr="00D05C99">
        <w:t>(the</w:t>
      </w:r>
      <w:r w:rsidR="00EB4710">
        <w:t> </w:t>
      </w:r>
      <w:r w:rsidR="00D05C99" w:rsidRPr="00D05C99">
        <w:t>Regulation)</w:t>
      </w:r>
      <w:r w:rsidR="00D05C99" w:rsidRPr="00D05C99">
        <w:rPr>
          <w:i/>
        </w:rPr>
        <w:t>.</w:t>
      </w:r>
    </w:p>
    <w:p w14:paraId="1B906FA1" w14:textId="77777777" w:rsidR="00D05C99" w:rsidRPr="00D05C99" w:rsidRDefault="00D05C99" w:rsidP="0074777B">
      <w:pPr>
        <w:pStyle w:val="Heading3"/>
        <w:spacing w:before="0" w:after="240"/>
      </w:pPr>
      <w:r w:rsidRPr="00D05C99">
        <w:t xml:space="preserve">Section 2 </w:t>
      </w:r>
      <w:r w:rsidR="00DD52C7" w:rsidRPr="00D05C99">
        <w:t>–</w:t>
      </w:r>
      <w:r w:rsidRPr="00D05C99">
        <w:t xml:space="preserve"> Commencement</w:t>
      </w:r>
    </w:p>
    <w:p w14:paraId="1B906FA2" w14:textId="77777777" w:rsidR="00D05C99" w:rsidRPr="00D05C99" w:rsidRDefault="000E7FC9" w:rsidP="0074777B">
      <w:pPr>
        <w:pStyle w:val="EMpara"/>
        <w:spacing w:before="0" w:after="240"/>
      </w:pPr>
      <w:r>
        <w:t>Section 2 provides that</w:t>
      </w:r>
      <w:r w:rsidR="00D05C99" w:rsidRPr="00D05C99">
        <w:t xml:space="preserve"> the Regulation</w:t>
      </w:r>
      <w:r>
        <w:t xml:space="preserve"> </w:t>
      </w:r>
      <w:r w:rsidR="00D05C99" w:rsidRPr="00D05C99">
        <w:t>commence</w:t>
      </w:r>
      <w:r>
        <w:t>s</w:t>
      </w:r>
      <w:r w:rsidR="00D05C99" w:rsidRPr="00D05C99">
        <w:t xml:space="preserve"> on </w:t>
      </w:r>
      <w:r w:rsidR="00D05C99" w:rsidRPr="0074777B">
        <w:t xml:space="preserve">the day after </w:t>
      </w:r>
      <w:r w:rsidR="00E25871">
        <w:t>it is registered</w:t>
      </w:r>
      <w:r w:rsidR="00E25871" w:rsidRPr="00D05C99">
        <w:t xml:space="preserve"> </w:t>
      </w:r>
      <w:r w:rsidR="00D05C99" w:rsidRPr="00D05C99">
        <w:t>on the Federal Register of Legislative Instruments.</w:t>
      </w:r>
    </w:p>
    <w:p w14:paraId="1B906FA3" w14:textId="77777777" w:rsidR="00D05C99" w:rsidRDefault="00D05C99" w:rsidP="0074777B">
      <w:pPr>
        <w:pStyle w:val="Heading3"/>
        <w:spacing w:before="0" w:after="240"/>
      </w:pPr>
      <w:r w:rsidRPr="00D05C99">
        <w:t xml:space="preserve">Section 3 – </w:t>
      </w:r>
      <w:r w:rsidR="00EB4710">
        <w:t>Authority</w:t>
      </w:r>
    </w:p>
    <w:p w14:paraId="1B906FA4" w14:textId="77777777" w:rsidR="00EB4710" w:rsidRPr="00EB4710" w:rsidRDefault="00EB4710" w:rsidP="0074777B">
      <w:pPr>
        <w:spacing w:after="240"/>
      </w:pPr>
      <w:r w:rsidRPr="00EB4710">
        <w:t xml:space="preserve">This section </w:t>
      </w:r>
      <w:r w:rsidR="000E7FC9">
        <w:t xml:space="preserve">notes </w:t>
      </w:r>
      <w:r w:rsidRPr="00EB4710">
        <w:t>that the Regulation is made under the</w:t>
      </w:r>
      <w:r>
        <w:t xml:space="preserve"> </w:t>
      </w:r>
      <w:r>
        <w:rPr>
          <w:i/>
        </w:rPr>
        <w:t xml:space="preserve">Petroleum Resource Rent Tax Assessment Act 1987 </w:t>
      </w:r>
      <w:r>
        <w:t>(the Act)</w:t>
      </w:r>
      <w:r w:rsidR="000E7FC9">
        <w:t>.</w:t>
      </w:r>
    </w:p>
    <w:p w14:paraId="1B906FA5" w14:textId="77777777" w:rsidR="00D05C99" w:rsidRDefault="00D05C99" w:rsidP="0074777B">
      <w:pPr>
        <w:pStyle w:val="Heading3"/>
        <w:spacing w:before="0" w:after="240"/>
      </w:pPr>
      <w:r w:rsidRPr="00D05C99">
        <w:t>Schedule</w:t>
      </w:r>
      <w:r w:rsidR="00DD52C7">
        <w:t xml:space="preserve"> </w:t>
      </w:r>
      <w:r w:rsidR="00DD52C7" w:rsidRPr="00D05C99">
        <w:t>–</w:t>
      </w:r>
      <w:r w:rsidRPr="00D05C99">
        <w:t xml:space="preserve"> Amendments</w:t>
      </w:r>
    </w:p>
    <w:p w14:paraId="1B906FA6" w14:textId="77777777" w:rsidR="00EB4710" w:rsidRPr="003C149C" w:rsidRDefault="00EB4710" w:rsidP="0074777B">
      <w:pPr>
        <w:spacing w:after="240"/>
        <w:rPr>
          <w:rStyle w:val="Font30point"/>
          <w:rFonts w:ascii="Helvetica" w:hAnsi="Helvetica"/>
          <w:b/>
          <w:i/>
          <w:sz w:val="24"/>
        </w:rPr>
      </w:pPr>
      <w:r w:rsidRPr="00D05C99">
        <w:t>This section provides that the</w:t>
      </w:r>
      <w:r>
        <w:t xml:space="preserve"> amendments in Schedule 1 amend the</w:t>
      </w:r>
      <w:r w:rsidRPr="00D05C99">
        <w:t xml:space="preserve"> </w:t>
      </w:r>
      <w:r w:rsidRPr="00D05C99">
        <w:rPr>
          <w:i/>
        </w:rPr>
        <w:t xml:space="preserve">Petroleum Resource Rent Tax Regulations 2005 </w:t>
      </w:r>
      <w:r w:rsidR="00223B65">
        <w:t>(the Principal Regulation</w:t>
      </w:r>
      <w:r w:rsidRPr="00D05C99">
        <w:t>)</w:t>
      </w:r>
      <w:r w:rsidR="004E374B">
        <w:t>.</w:t>
      </w:r>
    </w:p>
    <w:p w14:paraId="1B906FA7" w14:textId="77777777" w:rsidR="00E40CF2" w:rsidRPr="000B19A4" w:rsidRDefault="00EB4710" w:rsidP="0074777B">
      <w:pPr>
        <w:pStyle w:val="Heading2"/>
        <w:spacing w:before="0" w:after="240"/>
        <w:rPr>
          <w:szCs w:val="24"/>
        </w:rPr>
      </w:pPr>
      <w:r w:rsidRPr="000B19A4">
        <w:rPr>
          <w:szCs w:val="24"/>
        </w:rPr>
        <w:t xml:space="preserve">Part 2 </w:t>
      </w:r>
      <w:r w:rsidR="00B5292A">
        <w:t>–</w:t>
      </w:r>
      <w:r w:rsidRPr="000B19A4">
        <w:rPr>
          <w:szCs w:val="24"/>
        </w:rPr>
        <w:t xml:space="preserve"> Background and Overview of</w:t>
      </w:r>
      <w:r w:rsidR="00DE2379" w:rsidRPr="000B19A4">
        <w:rPr>
          <w:szCs w:val="24"/>
        </w:rPr>
        <w:t xml:space="preserve"> the</w:t>
      </w:r>
      <w:r w:rsidRPr="000B19A4">
        <w:rPr>
          <w:szCs w:val="24"/>
        </w:rPr>
        <w:t xml:space="preserve"> Regulation</w:t>
      </w:r>
    </w:p>
    <w:p w14:paraId="1B906FA8" w14:textId="77777777" w:rsidR="00EB4710" w:rsidRDefault="00EB4710" w:rsidP="0074777B">
      <w:pPr>
        <w:pStyle w:val="Heading3"/>
        <w:spacing w:before="0" w:after="240"/>
      </w:pPr>
      <w:r>
        <w:t>Background</w:t>
      </w:r>
    </w:p>
    <w:p w14:paraId="1B906FA9" w14:textId="77777777" w:rsidR="00E40CF2" w:rsidRPr="0074777B" w:rsidRDefault="009218E4" w:rsidP="0074777B">
      <w:pPr>
        <w:pStyle w:val="Heading4"/>
        <w:spacing w:after="240"/>
        <w:rPr>
          <w:sz w:val="24"/>
        </w:rPr>
      </w:pPr>
      <w:r w:rsidRPr="0074777B">
        <w:rPr>
          <w:sz w:val="24"/>
        </w:rPr>
        <w:t xml:space="preserve">The </w:t>
      </w:r>
      <w:r w:rsidR="00E40CF2" w:rsidRPr="0074777B">
        <w:rPr>
          <w:sz w:val="24"/>
        </w:rPr>
        <w:t>P</w:t>
      </w:r>
      <w:r w:rsidR="00D518C3" w:rsidRPr="0074777B">
        <w:rPr>
          <w:sz w:val="24"/>
        </w:rPr>
        <w:t xml:space="preserve">etroleum Resource Rent Tax </w:t>
      </w:r>
    </w:p>
    <w:p w14:paraId="1B906FAA" w14:textId="77777777" w:rsidR="00FF12EB" w:rsidRPr="00FF12EB" w:rsidRDefault="00E40CF2" w:rsidP="0074777B">
      <w:pPr>
        <w:pStyle w:val="EMpara"/>
        <w:spacing w:before="0" w:after="240"/>
      </w:pPr>
      <w:r w:rsidRPr="00FF12EB">
        <w:t>The P</w:t>
      </w:r>
      <w:r w:rsidR="00C676D0" w:rsidRPr="00FF12EB">
        <w:t xml:space="preserve">etroleum </w:t>
      </w:r>
      <w:r w:rsidRPr="00FF12EB">
        <w:t>R</w:t>
      </w:r>
      <w:r w:rsidR="00C676D0" w:rsidRPr="00FF12EB">
        <w:t xml:space="preserve">esource </w:t>
      </w:r>
      <w:r w:rsidRPr="00FF12EB">
        <w:t>R</w:t>
      </w:r>
      <w:r w:rsidR="00C676D0" w:rsidRPr="00FF12EB">
        <w:t xml:space="preserve">ent </w:t>
      </w:r>
      <w:r w:rsidRPr="00FF12EB">
        <w:t>T</w:t>
      </w:r>
      <w:r w:rsidR="00C676D0" w:rsidRPr="00FF12EB">
        <w:t>ax (PRRT) was enacted in 1987</w:t>
      </w:r>
      <w:r w:rsidRPr="00FF12EB">
        <w:t xml:space="preserve"> through the </w:t>
      </w:r>
      <w:r w:rsidRPr="00FF12EB">
        <w:rPr>
          <w:i/>
        </w:rPr>
        <w:t>Petroleum Resource Rent Tax</w:t>
      </w:r>
      <w:r w:rsidR="0067627A" w:rsidRPr="00FF12EB">
        <w:rPr>
          <w:i/>
        </w:rPr>
        <w:t xml:space="preserve"> Act 1987</w:t>
      </w:r>
      <w:r w:rsidR="0067627A" w:rsidRPr="00FF12EB">
        <w:t xml:space="preserve"> and the </w:t>
      </w:r>
      <w:r w:rsidR="0067627A" w:rsidRPr="00FF12EB">
        <w:rPr>
          <w:i/>
        </w:rPr>
        <w:t xml:space="preserve">Petroleum Resource Rent Tax </w:t>
      </w:r>
      <w:r w:rsidRPr="00FF12EB">
        <w:rPr>
          <w:i/>
        </w:rPr>
        <w:t xml:space="preserve">Assessment Act 1987 </w:t>
      </w:r>
      <w:r w:rsidRPr="00FF12EB">
        <w:t xml:space="preserve">(the </w:t>
      </w:r>
      <w:r w:rsidR="009218E4" w:rsidRPr="00FF12EB">
        <w:t>PRRTAA</w:t>
      </w:r>
      <w:r w:rsidR="00FF12EB" w:rsidRPr="00FF12EB">
        <w:t xml:space="preserve">), and </w:t>
      </w:r>
      <w:r w:rsidRPr="00FF12EB">
        <w:t>is a profits</w:t>
      </w:r>
      <w:r w:rsidR="00252906" w:rsidRPr="00FF12EB">
        <w:t>-</w:t>
      </w:r>
      <w:r w:rsidRPr="00FF12EB">
        <w:t>based tax applied to petroleum production</w:t>
      </w:r>
      <w:r w:rsidR="00FF12EB">
        <w:t xml:space="preserve"> from petroleum projects</w:t>
      </w:r>
      <w:r w:rsidRPr="00FF12EB">
        <w:t xml:space="preserve">.  </w:t>
      </w:r>
    </w:p>
    <w:p w14:paraId="1B906FAB" w14:textId="77777777" w:rsidR="00E40CF2" w:rsidRPr="00FF12EB" w:rsidRDefault="00FF12EB" w:rsidP="0074777B">
      <w:pPr>
        <w:pStyle w:val="EMpara"/>
        <w:spacing w:before="0" w:after="240"/>
      </w:pPr>
      <w:r>
        <w:t>The PRRT</w:t>
      </w:r>
      <w:r w:rsidR="00E40CF2" w:rsidRPr="00FF12EB">
        <w:t xml:space="preserve"> is applied at a rate of 40 per cent on the </w:t>
      </w:r>
      <w:r w:rsidR="00365139" w:rsidRPr="00FF12EB">
        <w:t>‘</w:t>
      </w:r>
      <w:r w:rsidR="00E40CF2" w:rsidRPr="00FF12EB">
        <w:t>taxable profit</w:t>
      </w:r>
      <w:r w:rsidR="00365139" w:rsidRPr="00FF12EB">
        <w:t>’</w:t>
      </w:r>
      <w:r w:rsidR="00E40CF2" w:rsidRPr="00FF12EB">
        <w:t xml:space="preserve"> of a project</w:t>
      </w:r>
      <w:r w:rsidR="00365139" w:rsidRPr="00FF12EB">
        <w:t xml:space="preserve">, calculated as </w:t>
      </w:r>
      <w:r w:rsidR="00E40CF2" w:rsidRPr="00FF12EB">
        <w:t>assessable receipts less project related expenditures</w:t>
      </w:r>
      <w:r w:rsidR="00365139" w:rsidRPr="00FF12EB">
        <w:t>,</w:t>
      </w:r>
      <w:r w:rsidR="00E40CF2" w:rsidRPr="00FF12EB">
        <w:t xml:space="preserve"> including eligible exploration expenditures.  </w:t>
      </w:r>
      <w:r w:rsidR="0067627A" w:rsidRPr="00FF12EB">
        <w:t>Where</w:t>
      </w:r>
      <w:r w:rsidR="00E40CF2" w:rsidRPr="00FF12EB">
        <w:t xml:space="preserve"> </w:t>
      </w:r>
      <w:r w:rsidR="00252906" w:rsidRPr="00FF12EB">
        <w:t xml:space="preserve">project related </w:t>
      </w:r>
      <w:r w:rsidR="00E40CF2" w:rsidRPr="00FF12EB">
        <w:t>expenditure</w:t>
      </w:r>
      <w:r w:rsidR="00252906" w:rsidRPr="00FF12EB">
        <w:t xml:space="preserve"> is not able to be </w:t>
      </w:r>
      <w:r w:rsidR="00E40CF2" w:rsidRPr="00FF12EB">
        <w:t xml:space="preserve">immediately deducted </w:t>
      </w:r>
      <w:r w:rsidR="0067627A" w:rsidRPr="00FF12EB">
        <w:t xml:space="preserve">in the year incurred </w:t>
      </w:r>
      <w:r w:rsidR="00E40CF2" w:rsidRPr="00FF12EB">
        <w:t xml:space="preserve">(due to expenditures being greater than receipts), </w:t>
      </w:r>
      <w:r w:rsidR="00252906" w:rsidRPr="00FF12EB">
        <w:t>it is</w:t>
      </w:r>
      <w:r w:rsidR="00E40CF2" w:rsidRPr="00FF12EB">
        <w:t xml:space="preserve"> carried forward and augmented by s</w:t>
      </w:r>
      <w:r w:rsidR="00365139" w:rsidRPr="00FF12EB">
        <w:t>pecific</w:t>
      </w:r>
      <w:r w:rsidR="00E40CF2" w:rsidRPr="00FF12EB">
        <w:t xml:space="preserve"> amounts depend</w:t>
      </w:r>
      <w:r w:rsidR="00365139" w:rsidRPr="00FF12EB">
        <w:t xml:space="preserve">ent on </w:t>
      </w:r>
      <w:r w:rsidR="00E40CF2" w:rsidRPr="00FF12EB">
        <w:t>the kind of expenditure</w:t>
      </w:r>
      <w:r w:rsidR="00365139" w:rsidRPr="00FF12EB">
        <w:t xml:space="preserve">, </w:t>
      </w:r>
      <w:r w:rsidR="004E374B">
        <w:t xml:space="preserve">and is able to </w:t>
      </w:r>
      <w:r w:rsidR="00365139" w:rsidRPr="00FF12EB">
        <w:t xml:space="preserve">be deducted </w:t>
      </w:r>
      <w:r w:rsidR="004E374B">
        <w:t xml:space="preserve">against receipts </w:t>
      </w:r>
      <w:r w:rsidR="00365139" w:rsidRPr="00FF12EB">
        <w:t>in future years</w:t>
      </w:r>
      <w:r w:rsidR="00E40CF2" w:rsidRPr="00FF12EB">
        <w:t>.</w:t>
      </w:r>
      <w:r w:rsidR="00365139" w:rsidRPr="00FF12EB">
        <w:t xml:space="preserve"> PRRT payments are income tax deductible.</w:t>
      </w:r>
    </w:p>
    <w:p w14:paraId="1B906FAC" w14:textId="77777777" w:rsidR="009218E4" w:rsidRPr="00FF12EB" w:rsidRDefault="00E40CF2" w:rsidP="0074777B">
      <w:pPr>
        <w:pStyle w:val="EMpara"/>
        <w:spacing w:before="0" w:after="240"/>
      </w:pPr>
      <w:r w:rsidRPr="00FF12EB">
        <w:t xml:space="preserve">Under the PRRTAA, assessable petroleum receipts are </w:t>
      </w:r>
      <w:r w:rsidR="003C095E" w:rsidRPr="00FF12EB">
        <w:t xml:space="preserve">usually </w:t>
      </w:r>
      <w:r w:rsidRPr="00FF12EB">
        <w:t xml:space="preserve">determined at the </w:t>
      </w:r>
      <w:r w:rsidR="00FF12EB">
        <w:t>point</w:t>
      </w:r>
      <w:r w:rsidR="00DA0BF9" w:rsidRPr="00FF12EB">
        <w:t xml:space="preserve"> </w:t>
      </w:r>
      <w:r w:rsidRPr="00FF12EB">
        <w:t>where a marketable petroleum commodit</w:t>
      </w:r>
      <w:r w:rsidR="00FF12EB">
        <w:t>y (MPC) becomes an excluded commodity</w:t>
      </w:r>
      <w:r w:rsidRPr="00FF12EB">
        <w:t xml:space="preserve">. </w:t>
      </w:r>
      <w:r w:rsidR="003C149C">
        <w:t>An MPC</w:t>
      </w:r>
      <w:r w:rsidR="0067627A" w:rsidRPr="00FF12EB">
        <w:t xml:space="preserve">, which </w:t>
      </w:r>
      <w:r w:rsidR="003C149C">
        <w:t>is</w:t>
      </w:r>
      <w:r w:rsidR="003C149C" w:rsidRPr="00FF12EB">
        <w:t xml:space="preserve"> </w:t>
      </w:r>
      <w:r w:rsidRPr="00FF12EB">
        <w:t>defined as including stabilised crude oil, condensate, LPG</w:t>
      </w:r>
      <w:r w:rsidR="003C149C">
        <w:t>, shale oil, ethane</w:t>
      </w:r>
      <w:r w:rsidRPr="00FF12EB">
        <w:t>, and sales gas</w:t>
      </w:r>
      <w:r w:rsidR="0067627A" w:rsidRPr="00FF12EB">
        <w:t xml:space="preserve">, </w:t>
      </w:r>
      <w:r w:rsidRPr="00FF12EB">
        <w:t>become</w:t>
      </w:r>
      <w:r w:rsidR="003C149C">
        <w:t>s an</w:t>
      </w:r>
      <w:r w:rsidRPr="00FF12EB">
        <w:t xml:space="preserve"> excluded </w:t>
      </w:r>
      <w:r w:rsidR="003C149C" w:rsidRPr="00FF12EB">
        <w:t>commod</w:t>
      </w:r>
      <w:r w:rsidR="003C149C">
        <w:t>ity</w:t>
      </w:r>
      <w:r w:rsidR="003C149C" w:rsidRPr="00FF12EB">
        <w:t xml:space="preserve"> </w:t>
      </w:r>
      <w:r w:rsidRPr="00FF12EB">
        <w:t>either by being sold, or by being further processed</w:t>
      </w:r>
      <w:r w:rsidR="0067627A" w:rsidRPr="00FF12EB">
        <w:t>,</w:t>
      </w:r>
      <w:r w:rsidRPr="00FF12EB">
        <w:t xml:space="preserve"> or moved away from its place of production</w:t>
      </w:r>
      <w:r w:rsidR="003C095E" w:rsidRPr="00FF12EB">
        <w:t>.</w:t>
      </w:r>
      <w:r w:rsidRPr="00FF12EB">
        <w:t xml:space="preserve"> </w:t>
      </w:r>
    </w:p>
    <w:p w14:paraId="1B906FAD" w14:textId="77777777" w:rsidR="00E40CF2" w:rsidRPr="00FF12EB" w:rsidRDefault="00FF12EB" w:rsidP="0074777B">
      <w:pPr>
        <w:pStyle w:val="EMpara"/>
        <w:spacing w:before="0" w:after="240"/>
      </w:pPr>
      <w:r>
        <w:lastRenderedPageBreak/>
        <w:t>In most cases</w:t>
      </w:r>
      <w:r w:rsidR="00E40CF2" w:rsidRPr="00FF12EB">
        <w:t xml:space="preserve"> assessable petroleum receipts </w:t>
      </w:r>
      <w:r w:rsidR="00365139" w:rsidRPr="00FF12EB">
        <w:t xml:space="preserve">will </w:t>
      </w:r>
      <w:r w:rsidR="00E40CF2" w:rsidRPr="00FF12EB">
        <w:t xml:space="preserve">reflect the consideration received from the sale of the </w:t>
      </w:r>
      <w:r w:rsidR="003C149C">
        <w:t>MPC</w:t>
      </w:r>
      <w:r w:rsidR="00E40CF2" w:rsidRPr="00FF12EB">
        <w:t xml:space="preserve">. However, in some cases, </w:t>
      </w:r>
      <w:r w:rsidR="003C149C">
        <w:t>an</w:t>
      </w:r>
      <w:r w:rsidR="00E40CF2" w:rsidRPr="00FF12EB">
        <w:t xml:space="preserve"> </w:t>
      </w:r>
      <w:r>
        <w:t>MPC</w:t>
      </w:r>
      <w:r w:rsidR="00E40CF2" w:rsidRPr="00FF12EB">
        <w:t xml:space="preserve"> </w:t>
      </w:r>
      <w:r w:rsidR="009218E4" w:rsidRPr="00FF12EB">
        <w:t>does not become</w:t>
      </w:r>
      <w:r>
        <w:t xml:space="preserve"> an excluded commodity via </w:t>
      </w:r>
      <w:r w:rsidR="003C149C">
        <w:t xml:space="preserve">a </w:t>
      </w:r>
      <w:r>
        <w:t>sale</w:t>
      </w:r>
      <w:r w:rsidR="009218E4" w:rsidRPr="00FF12EB">
        <w:t xml:space="preserve"> but </w:t>
      </w:r>
      <w:r w:rsidR="003C149C">
        <w:t xml:space="preserve">rather </w:t>
      </w:r>
      <w:r w:rsidR="00E40CF2" w:rsidRPr="00FF12EB">
        <w:t>undergoes further processing</w:t>
      </w:r>
      <w:r w:rsidR="00F27E79">
        <w:t xml:space="preserve"> to another product</w:t>
      </w:r>
      <w:r w:rsidR="00E40CF2" w:rsidRPr="00FF12EB">
        <w:t xml:space="preserve"> as part of an integrated process</w:t>
      </w:r>
      <w:r w:rsidR="003C149C">
        <w:t>.  In that situation</w:t>
      </w:r>
      <w:r w:rsidR="00E40CF2" w:rsidRPr="00FF12EB">
        <w:t xml:space="preserve"> there is no observable </w:t>
      </w:r>
      <w:r w:rsidR="000B19A4">
        <w:br/>
      </w:r>
      <w:r w:rsidR="00E40CF2" w:rsidRPr="00FF12EB">
        <w:t>arm</w:t>
      </w:r>
      <w:r w:rsidR="00810771">
        <w:t>’</w:t>
      </w:r>
      <w:r w:rsidR="00E40CF2" w:rsidRPr="00FF12EB">
        <w:t xml:space="preserve">s-length price for the MPC from which assessable petroleum receipts can be derived. </w:t>
      </w:r>
      <w:r w:rsidR="003C149C">
        <w:t>Consequently</w:t>
      </w:r>
      <w:r w:rsidR="00E40CF2" w:rsidRPr="00FF12EB">
        <w:t xml:space="preserve">, the PRRTAA </w:t>
      </w:r>
      <w:r>
        <w:t>normall</w:t>
      </w:r>
      <w:r w:rsidR="003C095E" w:rsidRPr="00FF12EB">
        <w:t xml:space="preserve">y </w:t>
      </w:r>
      <w:r>
        <w:t xml:space="preserve">requires that </w:t>
      </w:r>
      <w:r w:rsidR="00E40CF2" w:rsidRPr="00FF12EB">
        <w:t xml:space="preserve">assessable receipts be based on the market value of the MPC. </w:t>
      </w:r>
    </w:p>
    <w:p w14:paraId="1B906FAE" w14:textId="77777777" w:rsidR="00E40CF2" w:rsidRPr="00FF12EB" w:rsidRDefault="003C149C" w:rsidP="0074777B">
      <w:pPr>
        <w:pStyle w:val="EMpara"/>
        <w:spacing w:before="0" w:after="240"/>
      </w:pPr>
      <w:r>
        <w:t>However, t</w:t>
      </w:r>
      <w:r w:rsidR="003C095E" w:rsidRPr="00FF12EB">
        <w:t>h</w:t>
      </w:r>
      <w:r>
        <w:t>is ‘market value’ method does not apply to</w:t>
      </w:r>
      <w:r w:rsidR="00F27E79">
        <w:t xml:space="preserve"> the MPC,</w:t>
      </w:r>
      <w:r>
        <w:t xml:space="preserve"> </w:t>
      </w:r>
      <w:r w:rsidR="00F1042C">
        <w:t xml:space="preserve">‘sales </w:t>
      </w:r>
      <w:r w:rsidR="00E40CF2" w:rsidRPr="00FF12EB">
        <w:t>gas’</w:t>
      </w:r>
      <w:r w:rsidR="00F1042C">
        <w:t xml:space="preserve"> in situations where it</w:t>
      </w:r>
      <w:r w:rsidR="00D76550">
        <w:t xml:space="preserve"> is</w:t>
      </w:r>
      <w:r w:rsidR="00F1042C">
        <w:t xml:space="preserve"> used as</w:t>
      </w:r>
      <w:r w:rsidR="00D76550">
        <w:t xml:space="preserve"> feedstock in an integrated GTL operation</w:t>
      </w:r>
      <w:r w:rsidR="00F1042C">
        <w:t xml:space="preserve">, and becomes </w:t>
      </w:r>
      <w:r w:rsidR="00F1042C" w:rsidRPr="00FF12EB">
        <w:t>an excluded commodity other than by sale</w:t>
      </w:r>
      <w:r w:rsidR="00F1042C">
        <w:t>,</w:t>
      </w:r>
      <w:r w:rsidR="00F1042C" w:rsidRPr="00FF12EB">
        <w:t xml:space="preserve"> </w:t>
      </w:r>
      <w:r w:rsidR="00F1042C">
        <w:t xml:space="preserve">or </w:t>
      </w:r>
      <w:r w:rsidR="00F1042C" w:rsidRPr="00FF12EB">
        <w:t>where it becomes an excluded commodity via a non-arm’s length transaction</w:t>
      </w:r>
      <w:r>
        <w:t>. Instead,</w:t>
      </w:r>
      <w:r w:rsidR="00E40CF2" w:rsidRPr="00FF12EB">
        <w:t xml:space="preserve"> </w:t>
      </w:r>
      <w:r>
        <w:t>the</w:t>
      </w:r>
      <w:r w:rsidR="00E40CF2" w:rsidRPr="00FF12EB">
        <w:t xml:space="preserve"> assessable receipts</w:t>
      </w:r>
      <w:r w:rsidR="00D76550">
        <w:t xml:space="preserve"> for the sales gas</w:t>
      </w:r>
      <w:r w:rsidR="00E40CF2" w:rsidRPr="00FF12EB">
        <w:t xml:space="preserve"> are calculated in accordance with the </w:t>
      </w:r>
      <w:r>
        <w:t>framework set out in the Principal Regulation</w:t>
      </w:r>
      <w:r w:rsidR="00E40CF2" w:rsidRPr="00FF12EB">
        <w:t>.</w:t>
      </w:r>
    </w:p>
    <w:p w14:paraId="1B906FAF" w14:textId="77777777" w:rsidR="00E40CF2" w:rsidRPr="0074777B" w:rsidRDefault="00842BCE" w:rsidP="0074777B">
      <w:pPr>
        <w:pStyle w:val="Heading4"/>
        <w:spacing w:after="240"/>
        <w:rPr>
          <w:sz w:val="24"/>
        </w:rPr>
      </w:pPr>
      <w:r>
        <w:rPr>
          <w:sz w:val="24"/>
        </w:rPr>
        <w:t>Working out the value of sales gas under t</w:t>
      </w:r>
      <w:r w:rsidR="00FF12EB" w:rsidRPr="0074777B">
        <w:rPr>
          <w:sz w:val="24"/>
        </w:rPr>
        <w:t xml:space="preserve">he </w:t>
      </w:r>
      <w:r w:rsidR="003C149C">
        <w:rPr>
          <w:sz w:val="24"/>
        </w:rPr>
        <w:t>Principal Regulation</w:t>
      </w:r>
    </w:p>
    <w:p w14:paraId="1B906FB0" w14:textId="77777777" w:rsidR="00E40CF2" w:rsidRDefault="00E40CF2" w:rsidP="0074777B">
      <w:pPr>
        <w:pStyle w:val="EMpara"/>
        <w:spacing w:before="0" w:after="240"/>
      </w:pPr>
      <w:r w:rsidRPr="0010538C">
        <w:t xml:space="preserve">The </w:t>
      </w:r>
      <w:r w:rsidR="003C149C">
        <w:t xml:space="preserve">Principal Regulation </w:t>
      </w:r>
      <w:r>
        <w:t>provide</w:t>
      </w:r>
      <w:r w:rsidR="003C149C">
        <w:t>s</w:t>
      </w:r>
      <w:r>
        <w:t xml:space="preserve"> a framework for determining a price for sales gas </w:t>
      </w:r>
      <w:r w:rsidR="00365139">
        <w:t xml:space="preserve">where it is </w:t>
      </w:r>
      <w:r>
        <w:t xml:space="preserve">used as feedstock in an </w:t>
      </w:r>
      <w:r w:rsidRPr="0010538C">
        <w:t>integrated Gas-to-Liquid (GTL) operation</w:t>
      </w:r>
      <w:r w:rsidR="002B78A7">
        <w:t xml:space="preserve"> and </w:t>
      </w:r>
      <w:r>
        <w:t xml:space="preserve">where there is </w:t>
      </w:r>
      <w:r w:rsidR="00F1042C">
        <w:t xml:space="preserve">no price, or </w:t>
      </w:r>
      <w:r w:rsidR="006219F4">
        <w:t xml:space="preserve">a </w:t>
      </w:r>
      <w:r>
        <w:t>no</w:t>
      </w:r>
      <w:r w:rsidR="006219F4">
        <w:t>n-</w:t>
      </w:r>
      <w:r>
        <w:t>arm</w:t>
      </w:r>
      <w:r w:rsidR="00810771">
        <w:t>’</w:t>
      </w:r>
      <w:r>
        <w:t>s</w:t>
      </w:r>
      <w:r w:rsidR="003C149C">
        <w:t xml:space="preserve"> </w:t>
      </w:r>
      <w:r>
        <w:t>length price</w:t>
      </w:r>
      <w:r w:rsidR="00F1042C">
        <w:t>,</w:t>
      </w:r>
      <w:r w:rsidR="002B78A7">
        <w:t xml:space="preserve"> for the gas</w:t>
      </w:r>
      <w:r>
        <w:t>.</w:t>
      </w:r>
    </w:p>
    <w:p w14:paraId="1B906FB1" w14:textId="77777777" w:rsidR="00E40CF2" w:rsidRPr="00593AF3" w:rsidRDefault="006E4361" w:rsidP="0074777B">
      <w:pPr>
        <w:pStyle w:val="EMpara"/>
        <w:spacing w:before="0" w:after="240"/>
      </w:pPr>
      <w:r>
        <w:t>Re</w:t>
      </w:r>
      <w:r w:rsidR="00365139">
        <w:t xml:space="preserve">gulation 4 </w:t>
      </w:r>
      <w:r w:rsidR="003C149C">
        <w:t xml:space="preserve">of the Principal Regulation </w:t>
      </w:r>
      <w:r w:rsidR="00365139">
        <w:t>defines a</w:t>
      </w:r>
      <w:r w:rsidR="00487328" w:rsidRPr="00593AF3">
        <w:t>n integrated GTL operation as an operation in which</w:t>
      </w:r>
      <w:r w:rsidR="00E40CF2" w:rsidRPr="00593AF3">
        <w:t>:</w:t>
      </w:r>
    </w:p>
    <w:p w14:paraId="1B906FB2" w14:textId="77777777" w:rsidR="00E40CF2" w:rsidRPr="00593AF3" w:rsidRDefault="00E40CF2" w:rsidP="0074777B">
      <w:pPr>
        <w:pStyle w:val="paraindent"/>
        <w:numPr>
          <w:ilvl w:val="4"/>
          <w:numId w:val="20"/>
        </w:numPr>
        <w:tabs>
          <w:tab w:val="left" w:pos="993"/>
        </w:tabs>
        <w:spacing w:before="0" w:after="240"/>
        <w:ind w:left="1418" w:hanging="851"/>
        <w:rPr>
          <w:sz w:val="24"/>
          <w:szCs w:val="24"/>
        </w:rPr>
      </w:pPr>
      <w:r w:rsidRPr="00593AF3">
        <w:rPr>
          <w:sz w:val="24"/>
          <w:szCs w:val="24"/>
        </w:rPr>
        <w:t>petroleum is, or will be, recovered from a petroleum project; and</w:t>
      </w:r>
    </w:p>
    <w:p w14:paraId="1B906FB3" w14:textId="77777777" w:rsidR="00E40CF2" w:rsidRPr="00593AF3" w:rsidRDefault="00E40CF2" w:rsidP="0074777B">
      <w:pPr>
        <w:pStyle w:val="paraindent"/>
        <w:numPr>
          <w:ilvl w:val="4"/>
          <w:numId w:val="20"/>
        </w:numPr>
        <w:tabs>
          <w:tab w:val="left" w:pos="993"/>
        </w:tabs>
        <w:spacing w:before="0" w:after="240"/>
        <w:ind w:left="1418" w:hanging="851"/>
        <w:rPr>
          <w:sz w:val="24"/>
          <w:szCs w:val="24"/>
        </w:rPr>
      </w:pPr>
      <w:r w:rsidRPr="00593AF3">
        <w:rPr>
          <w:sz w:val="24"/>
          <w:szCs w:val="24"/>
        </w:rPr>
        <w:t>sales gas is, or will be, produced from some or all of the petroleum; and</w:t>
      </w:r>
    </w:p>
    <w:p w14:paraId="1B906FB4" w14:textId="77777777" w:rsidR="00E40CF2" w:rsidRPr="00593AF3" w:rsidRDefault="00E40CF2" w:rsidP="0074777B">
      <w:pPr>
        <w:pStyle w:val="paraindent"/>
        <w:numPr>
          <w:ilvl w:val="4"/>
          <w:numId w:val="20"/>
        </w:numPr>
        <w:tabs>
          <w:tab w:val="left" w:pos="993"/>
        </w:tabs>
        <w:spacing w:before="0" w:after="240"/>
        <w:ind w:left="1418" w:hanging="851"/>
        <w:rPr>
          <w:sz w:val="24"/>
          <w:szCs w:val="24"/>
        </w:rPr>
      </w:pPr>
      <w:r w:rsidRPr="00593AF3">
        <w:rPr>
          <w:sz w:val="24"/>
          <w:szCs w:val="24"/>
        </w:rPr>
        <w:t xml:space="preserve">some or all of the sales gas is, or will be, processed into a liquefied product. </w:t>
      </w:r>
    </w:p>
    <w:p w14:paraId="1B906FB5" w14:textId="77777777" w:rsidR="005F567E" w:rsidRPr="005F567E" w:rsidRDefault="005F567E" w:rsidP="0074777B">
      <w:pPr>
        <w:spacing w:after="240"/>
        <w:rPr>
          <w:szCs w:val="24"/>
        </w:rPr>
      </w:pPr>
      <w:r w:rsidRPr="005F567E">
        <w:rPr>
          <w:szCs w:val="24"/>
        </w:rPr>
        <w:t xml:space="preserve">The sales gas which is produced and </w:t>
      </w:r>
      <w:r w:rsidR="00F27E79">
        <w:rPr>
          <w:szCs w:val="24"/>
        </w:rPr>
        <w:t xml:space="preserve">then </w:t>
      </w:r>
      <w:r w:rsidRPr="005F567E">
        <w:rPr>
          <w:szCs w:val="24"/>
        </w:rPr>
        <w:t xml:space="preserve">processed into a liquefied product is referred to in the Regulations as </w:t>
      </w:r>
      <w:r w:rsidRPr="00F1042C">
        <w:rPr>
          <w:i/>
          <w:szCs w:val="24"/>
        </w:rPr>
        <w:t>project sales gas</w:t>
      </w:r>
      <w:r w:rsidRPr="005F567E">
        <w:rPr>
          <w:szCs w:val="24"/>
        </w:rPr>
        <w:t>.</w:t>
      </w:r>
    </w:p>
    <w:p w14:paraId="1B906FB6" w14:textId="77777777" w:rsidR="00E40CF2" w:rsidRPr="00FF12EB" w:rsidRDefault="00E40CF2" w:rsidP="0074777B">
      <w:pPr>
        <w:pStyle w:val="EMpara"/>
        <w:spacing w:before="0" w:after="240"/>
      </w:pPr>
      <w:r w:rsidRPr="00FF12EB">
        <w:t xml:space="preserve">The elements comprising an integrated GTL operation are </w:t>
      </w:r>
      <w:r w:rsidR="00F22B8F" w:rsidRPr="00FF12EB">
        <w:t>also</w:t>
      </w:r>
      <w:r w:rsidR="00FF12EB">
        <w:t xml:space="preserve"> defined </w:t>
      </w:r>
      <w:r w:rsidR="002B78A7" w:rsidRPr="00FF12EB">
        <w:t xml:space="preserve">and </w:t>
      </w:r>
      <w:r w:rsidRPr="00FF12EB">
        <w:t>divide</w:t>
      </w:r>
      <w:r w:rsidR="002B78A7" w:rsidRPr="00FF12EB">
        <w:t>d</w:t>
      </w:r>
      <w:r w:rsidRPr="00FF12EB">
        <w:t xml:space="preserve"> </w:t>
      </w:r>
      <w:r w:rsidR="002B78A7" w:rsidRPr="00FF12EB">
        <w:t xml:space="preserve">into </w:t>
      </w:r>
      <w:r w:rsidRPr="00FF12EB">
        <w:t>two stages, specifically:</w:t>
      </w:r>
    </w:p>
    <w:p w14:paraId="1B906FB7" w14:textId="77777777" w:rsidR="00842BCE" w:rsidRPr="0074777B" w:rsidRDefault="00E16313" w:rsidP="0074777B">
      <w:pPr>
        <w:pStyle w:val="dotpoint"/>
        <w:numPr>
          <w:ilvl w:val="0"/>
          <w:numId w:val="2"/>
        </w:numPr>
        <w:spacing w:before="0" w:after="240"/>
        <w:ind w:hanging="544"/>
        <w:rPr>
          <w:sz w:val="24"/>
          <w:szCs w:val="24"/>
        </w:rPr>
      </w:pPr>
      <w:r>
        <w:rPr>
          <w:sz w:val="24"/>
          <w:szCs w:val="24"/>
        </w:rPr>
        <w:t>the</w:t>
      </w:r>
      <w:r w:rsidR="00E40CF2" w:rsidRPr="0010538C">
        <w:rPr>
          <w:sz w:val="24"/>
          <w:szCs w:val="24"/>
        </w:rPr>
        <w:t xml:space="preserve"> </w:t>
      </w:r>
      <w:r w:rsidR="00E40CF2" w:rsidRPr="003C095E">
        <w:rPr>
          <w:i/>
          <w:sz w:val="24"/>
          <w:szCs w:val="24"/>
        </w:rPr>
        <w:t>upstream stage</w:t>
      </w:r>
      <w:r w:rsidR="00F27E79">
        <w:rPr>
          <w:sz w:val="24"/>
          <w:szCs w:val="24"/>
        </w:rPr>
        <w:t>.</w:t>
      </w:r>
    </w:p>
    <w:p w14:paraId="1B906FB8" w14:textId="77777777" w:rsidR="00E40CF2" w:rsidRPr="0010538C" w:rsidRDefault="00842BCE" w:rsidP="0074777B">
      <w:pPr>
        <w:pStyle w:val="dotpoint"/>
        <w:numPr>
          <w:ilvl w:val="1"/>
          <w:numId w:val="2"/>
        </w:numPr>
        <w:spacing w:before="0" w:after="240"/>
        <w:rPr>
          <w:sz w:val="24"/>
          <w:szCs w:val="24"/>
        </w:rPr>
      </w:pPr>
      <w:r>
        <w:rPr>
          <w:sz w:val="24"/>
          <w:szCs w:val="24"/>
        </w:rPr>
        <w:t>This stage</w:t>
      </w:r>
      <w:r w:rsidR="00E40CF2" w:rsidRPr="0010538C">
        <w:rPr>
          <w:sz w:val="24"/>
          <w:szCs w:val="24"/>
        </w:rPr>
        <w:t xml:space="preserve"> commences with the recovery of project natural gas (that is, the natural gas from which </w:t>
      </w:r>
      <w:r w:rsidR="002B78A7">
        <w:rPr>
          <w:sz w:val="24"/>
          <w:szCs w:val="24"/>
        </w:rPr>
        <w:t xml:space="preserve">project </w:t>
      </w:r>
      <w:r w:rsidR="00E40CF2" w:rsidRPr="0010538C">
        <w:rPr>
          <w:sz w:val="24"/>
          <w:szCs w:val="24"/>
        </w:rPr>
        <w:t>sales gas will be produced and liquefied within the operation) and ends with the production of project sales gas; and</w:t>
      </w:r>
    </w:p>
    <w:p w14:paraId="1B906FB9" w14:textId="77777777" w:rsidR="00842BCE" w:rsidRPr="0074777B" w:rsidRDefault="00E16313" w:rsidP="0074777B">
      <w:pPr>
        <w:pStyle w:val="dotpoint"/>
        <w:numPr>
          <w:ilvl w:val="0"/>
          <w:numId w:val="2"/>
        </w:numPr>
        <w:spacing w:before="0" w:after="240"/>
        <w:ind w:hanging="544"/>
        <w:rPr>
          <w:sz w:val="24"/>
          <w:szCs w:val="24"/>
        </w:rPr>
      </w:pPr>
      <w:r>
        <w:rPr>
          <w:sz w:val="24"/>
          <w:szCs w:val="24"/>
        </w:rPr>
        <w:t>the</w:t>
      </w:r>
      <w:r w:rsidR="00E40CF2" w:rsidRPr="0010538C">
        <w:rPr>
          <w:sz w:val="24"/>
          <w:szCs w:val="24"/>
        </w:rPr>
        <w:t xml:space="preserve"> </w:t>
      </w:r>
      <w:r w:rsidR="00E40CF2" w:rsidRPr="003C095E">
        <w:rPr>
          <w:i/>
          <w:sz w:val="24"/>
          <w:szCs w:val="24"/>
        </w:rPr>
        <w:t>downstream stage</w:t>
      </w:r>
      <w:r w:rsidR="00842BCE">
        <w:rPr>
          <w:i/>
          <w:sz w:val="24"/>
          <w:szCs w:val="24"/>
        </w:rPr>
        <w:t>.</w:t>
      </w:r>
    </w:p>
    <w:p w14:paraId="1B906FBA" w14:textId="77777777" w:rsidR="00E40CF2" w:rsidRDefault="00842BCE" w:rsidP="0074777B">
      <w:pPr>
        <w:pStyle w:val="dotpoint"/>
        <w:numPr>
          <w:ilvl w:val="1"/>
          <w:numId w:val="2"/>
        </w:numPr>
        <w:spacing w:before="0" w:after="240"/>
        <w:rPr>
          <w:sz w:val="24"/>
          <w:szCs w:val="24"/>
        </w:rPr>
      </w:pPr>
      <w:r>
        <w:rPr>
          <w:sz w:val="24"/>
          <w:szCs w:val="24"/>
        </w:rPr>
        <w:t>This stage</w:t>
      </w:r>
      <w:r w:rsidR="00E40CF2" w:rsidRPr="0010538C">
        <w:rPr>
          <w:sz w:val="24"/>
          <w:szCs w:val="24"/>
        </w:rPr>
        <w:t xml:space="preserve"> commences with the transportation of project sales gas from the upstream stage for processing into project liquid and </w:t>
      </w:r>
      <w:r w:rsidR="002B78A7">
        <w:rPr>
          <w:sz w:val="24"/>
          <w:szCs w:val="24"/>
        </w:rPr>
        <w:t xml:space="preserve">ends with </w:t>
      </w:r>
      <w:r w:rsidR="00E40CF2" w:rsidRPr="0010538C">
        <w:rPr>
          <w:sz w:val="24"/>
          <w:szCs w:val="24"/>
        </w:rPr>
        <w:t>the storage o</w:t>
      </w:r>
      <w:r w:rsidR="002B78A7">
        <w:rPr>
          <w:sz w:val="24"/>
          <w:szCs w:val="24"/>
        </w:rPr>
        <w:t>r</w:t>
      </w:r>
      <w:r w:rsidR="00E40CF2" w:rsidRPr="0010538C">
        <w:rPr>
          <w:sz w:val="24"/>
          <w:szCs w:val="24"/>
        </w:rPr>
        <w:t xml:space="preserve"> loading of project liquid at an adjacent facility.</w:t>
      </w:r>
    </w:p>
    <w:p w14:paraId="1B906FBB" w14:textId="77777777" w:rsidR="000C3903" w:rsidRPr="00FF12EB" w:rsidRDefault="000C3903" w:rsidP="0074777B">
      <w:pPr>
        <w:pStyle w:val="EMpara"/>
        <w:spacing w:before="0" w:after="240"/>
      </w:pPr>
      <w:r w:rsidRPr="00FF12EB">
        <w:t>Where an integr</w:t>
      </w:r>
      <w:r w:rsidR="00FF12EB">
        <w:t xml:space="preserve">ated GTL operation exists, the </w:t>
      </w:r>
      <w:r w:rsidR="00842BCE">
        <w:t>Principal Regulation</w:t>
      </w:r>
      <w:r w:rsidR="00842BCE" w:rsidRPr="00FF12EB">
        <w:t xml:space="preserve"> </w:t>
      </w:r>
      <w:r w:rsidRPr="00FF12EB">
        <w:t>specif</w:t>
      </w:r>
      <w:r w:rsidR="00842BCE">
        <w:t>ies</w:t>
      </w:r>
      <w:r w:rsidRPr="00FF12EB">
        <w:t xml:space="preserve"> </w:t>
      </w:r>
      <w:r w:rsidR="002038FB" w:rsidRPr="00FF12EB">
        <w:t>that the</w:t>
      </w:r>
      <w:r w:rsidRPr="00FF12EB">
        <w:t xml:space="preserve"> gas transfer price</w:t>
      </w:r>
      <w:r w:rsidR="00F22B8F" w:rsidRPr="00FF12EB">
        <w:t xml:space="preserve"> (that is, the ‘price’ </w:t>
      </w:r>
      <w:r w:rsidR="00946E28">
        <w:t xml:space="preserve">of the project sales gas </w:t>
      </w:r>
      <w:r w:rsidR="00F22B8F" w:rsidRPr="00FF12EB">
        <w:t xml:space="preserve">used </w:t>
      </w:r>
      <w:r w:rsidR="002038FB" w:rsidRPr="00FF12EB">
        <w:t>to</w:t>
      </w:r>
      <w:r w:rsidR="00F22B8F" w:rsidRPr="00FF12EB">
        <w:t xml:space="preserve"> determin</w:t>
      </w:r>
      <w:r w:rsidR="002038FB" w:rsidRPr="00FF12EB">
        <w:t>e</w:t>
      </w:r>
      <w:r w:rsidR="00F22B8F" w:rsidRPr="00FF12EB">
        <w:t xml:space="preserve"> assessable receipts</w:t>
      </w:r>
      <w:r w:rsidR="003C095E" w:rsidRPr="00FF12EB">
        <w:t xml:space="preserve"> for the purposes of the PRRTAA</w:t>
      </w:r>
      <w:r w:rsidR="00F22B8F" w:rsidRPr="00FF12EB">
        <w:t>) i</w:t>
      </w:r>
      <w:r w:rsidRPr="00FF12EB">
        <w:t>s to be determined via the following hierarchy:</w:t>
      </w:r>
    </w:p>
    <w:p w14:paraId="1B906FBC" w14:textId="77777777" w:rsidR="000C3903" w:rsidRDefault="000C3903" w:rsidP="0074777B">
      <w:pPr>
        <w:pStyle w:val="OutlineNumbered1"/>
        <w:spacing w:after="240" w:line="240" w:lineRule="auto"/>
      </w:pPr>
      <w:r w:rsidRPr="0010538C">
        <w:lastRenderedPageBreak/>
        <w:t>If an Advance Pricing Arrangement (APA) has been agreed between the taxpayer and the Commissioner, the amount calculated in accordance with the arrangement;</w:t>
      </w:r>
    </w:p>
    <w:p w14:paraId="1B906FBD" w14:textId="77777777" w:rsidR="00842BCE" w:rsidRDefault="000B19A4" w:rsidP="0074777B">
      <w:pPr>
        <w:pStyle w:val="dotpoint"/>
        <w:numPr>
          <w:ilvl w:val="0"/>
          <w:numId w:val="2"/>
        </w:numPr>
        <w:tabs>
          <w:tab w:val="clear" w:pos="1088"/>
          <w:tab w:val="num" w:pos="1701"/>
        </w:tabs>
        <w:spacing w:before="0" w:after="240"/>
        <w:ind w:left="1701" w:hanging="567"/>
        <w:rPr>
          <w:sz w:val="24"/>
          <w:szCs w:val="24"/>
        </w:rPr>
      </w:pPr>
      <w:r>
        <w:rPr>
          <w:sz w:val="24"/>
          <w:szCs w:val="24"/>
        </w:rPr>
        <w:t>APA’s</w:t>
      </w:r>
      <w:r w:rsidR="00842BCE" w:rsidRPr="00842BCE">
        <w:rPr>
          <w:sz w:val="24"/>
          <w:szCs w:val="24"/>
        </w:rPr>
        <w:t xml:space="preserve"> are a well-established feature of Australian income tax administration of transfer pricing issues between related parties. </w:t>
      </w:r>
    </w:p>
    <w:p w14:paraId="1B906FBE" w14:textId="77777777" w:rsidR="00842BCE" w:rsidRPr="0010538C" w:rsidRDefault="00842BCE" w:rsidP="0074777B">
      <w:pPr>
        <w:pStyle w:val="dotpoint"/>
        <w:numPr>
          <w:ilvl w:val="0"/>
          <w:numId w:val="2"/>
        </w:numPr>
        <w:tabs>
          <w:tab w:val="clear" w:pos="1088"/>
          <w:tab w:val="num" w:pos="1701"/>
        </w:tabs>
        <w:spacing w:before="0" w:after="240"/>
        <w:ind w:left="1701" w:hanging="567"/>
        <w:rPr>
          <w:sz w:val="24"/>
          <w:szCs w:val="24"/>
        </w:rPr>
      </w:pPr>
      <w:r w:rsidRPr="00842BCE">
        <w:rPr>
          <w:sz w:val="24"/>
          <w:szCs w:val="24"/>
        </w:rPr>
        <w:t xml:space="preserve">The </w:t>
      </w:r>
      <w:r>
        <w:rPr>
          <w:sz w:val="24"/>
          <w:szCs w:val="24"/>
        </w:rPr>
        <w:t xml:space="preserve">Principal Regulation </w:t>
      </w:r>
      <w:r w:rsidRPr="00842BCE">
        <w:rPr>
          <w:sz w:val="24"/>
          <w:szCs w:val="24"/>
        </w:rPr>
        <w:t>allow</w:t>
      </w:r>
      <w:r>
        <w:rPr>
          <w:sz w:val="24"/>
          <w:szCs w:val="24"/>
        </w:rPr>
        <w:t>s</w:t>
      </w:r>
      <w:r w:rsidRPr="00842BCE">
        <w:rPr>
          <w:sz w:val="24"/>
          <w:szCs w:val="24"/>
        </w:rPr>
        <w:t xml:space="preserve"> for the Commissioner, at the request of the taxpayer, to enter into an </w:t>
      </w:r>
      <w:r>
        <w:rPr>
          <w:sz w:val="24"/>
          <w:szCs w:val="24"/>
        </w:rPr>
        <w:t>APA</w:t>
      </w:r>
      <w:r w:rsidRPr="00842BCE">
        <w:rPr>
          <w:sz w:val="24"/>
          <w:szCs w:val="24"/>
        </w:rPr>
        <w:t xml:space="preserve"> specifying how the assessable receipts of the taxpayer will be determined. Any taxpayer may apply for an APA.</w:t>
      </w:r>
    </w:p>
    <w:p w14:paraId="1B906FBF" w14:textId="77777777" w:rsidR="000C3903" w:rsidRDefault="000C3903" w:rsidP="0074777B">
      <w:pPr>
        <w:pStyle w:val="OutlineNumbered1"/>
        <w:spacing w:after="240" w:line="240" w:lineRule="auto"/>
      </w:pPr>
      <w:r w:rsidRPr="0010538C">
        <w:t xml:space="preserve">If there is no APA, but a comparable </w:t>
      </w:r>
      <w:r w:rsidR="00092F1B" w:rsidRPr="0010538C">
        <w:t>uncontroll</w:t>
      </w:r>
      <w:r w:rsidR="00092F1B">
        <w:t>ed</w:t>
      </w:r>
      <w:r w:rsidR="00092F1B" w:rsidRPr="0010538C">
        <w:t xml:space="preserve"> </w:t>
      </w:r>
      <w:r w:rsidRPr="0010538C">
        <w:t>price (CUP) exists for</w:t>
      </w:r>
      <w:r w:rsidR="00F1042C">
        <w:t xml:space="preserve"> the </w:t>
      </w:r>
      <w:r w:rsidR="000D7BBF">
        <w:t>project sales gas</w:t>
      </w:r>
      <w:r w:rsidR="00F1042C">
        <w:t>, the CUP;</w:t>
      </w:r>
    </w:p>
    <w:p w14:paraId="1B906FC0" w14:textId="77777777" w:rsidR="00842BCE" w:rsidRDefault="00842BCE" w:rsidP="0074777B">
      <w:pPr>
        <w:pStyle w:val="dotpoint"/>
        <w:numPr>
          <w:ilvl w:val="0"/>
          <w:numId w:val="2"/>
        </w:numPr>
        <w:tabs>
          <w:tab w:val="clear" w:pos="1088"/>
          <w:tab w:val="num" w:pos="1701"/>
        </w:tabs>
        <w:spacing w:before="0" w:after="240"/>
        <w:ind w:left="1701" w:hanging="567"/>
        <w:rPr>
          <w:sz w:val="24"/>
          <w:szCs w:val="24"/>
        </w:rPr>
      </w:pPr>
      <w:r w:rsidRPr="00842BCE">
        <w:rPr>
          <w:sz w:val="24"/>
          <w:szCs w:val="24"/>
        </w:rPr>
        <w:t xml:space="preserve">A CUP refers to a price that can be observed in a relevant market place for the sale of the relevant commodity. </w:t>
      </w:r>
    </w:p>
    <w:p w14:paraId="1B906FC1" w14:textId="77777777" w:rsidR="00842BCE" w:rsidRPr="0010538C" w:rsidRDefault="00842BCE" w:rsidP="0074777B">
      <w:pPr>
        <w:pStyle w:val="dotpoint"/>
        <w:numPr>
          <w:ilvl w:val="0"/>
          <w:numId w:val="2"/>
        </w:numPr>
        <w:tabs>
          <w:tab w:val="clear" w:pos="1088"/>
          <w:tab w:val="num" w:pos="1701"/>
        </w:tabs>
        <w:spacing w:before="0" w:after="240"/>
        <w:ind w:left="1701" w:hanging="567"/>
        <w:rPr>
          <w:sz w:val="24"/>
          <w:szCs w:val="24"/>
        </w:rPr>
      </w:pPr>
      <w:r>
        <w:rPr>
          <w:sz w:val="24"/>
          <w:szCs w:val="24"/>
        </w:rPr>
        <w:t xml:space="preserve">Regulation 19 of the </w:t>
      </w:r>
      <w:r w:rsidRPr="00842BCE">
        <w:rPr>
          <w:sz w:val="24"/>
          <w:szCs w:val="24"/>
        </w:rPr>
        <w:t>Principal Regulation defines CUP’s for the purposes of the regulations and the conditions under which a CUP can be observed.</w:t>
      </w:r>
    </w:p>
    <w:p w14:paraId="1B906FC2" w14:textId="77777777" w:rsidR="000C3903" w:rsidRDefault="000C3903" w:rsidP="0074777B">
      <w:pPr>
        <w:pStyle w:val="OutlineNumbered1"/>
        <w:spacing w:after="240" w:line="240" w:lineRule="auto"/>
      </w:pPr>
      <w:r w:rsidRPr="0010538C">
        <w:t xml:space="preserve">If there is no APA and no </w:t>
      </w:r>
      <w:r w:rsidR="00715A0B">
        <w:t>CUP</w:t>
      </w:r>
      <w:r w:rsidRPr="0010538C">
        <w:t xml:space="preserve"> </w:t>
      </w:r>
      <w:r w:rsidR="00055996" w:rsidRPr="0010538C">
        <w:t>exist</w:t>
      </w:r>
      <w:r w:rsidR="00055996">
        <w:t>s</w:t>
      </w:r>
      <w:r w:rsidR="00055996" w:rsidRPr="0010538C">
        <w:t xml:space="preserve"> </w:t>
      </w:r>
      <w:r w:rsidRPr="0010538C">
        <w:t xml:space="preserve">for the </w:t>
      </w:r>
      <w:r w:rsidR="000D7BBF">
        <w:t>project sales gas</w:t>
      </w:r>
      <w:r w:rsidRPr="0010538C">
        <w:t xml:space="preserve">, the price </w:t>
      </w:r>
      <w:r w:rsidR="000B19A4">
        <w:t xml:space="preserve">is </w:t>
      </w:r>
      <w:r w:rsidRPr="0010538C">
        <w:t xml:space="preserve">determined in accordance with the </w:t>
      </w:r>
      <w:r w:rsidRPr="0074777B">
        <w:t>Residual Pricing Method</w:t>
      </w:r>
      <w:r w:rsidRPr="00055996">
        <w:t>,</w:t>
      </w:r>
      <w:r w:rsidR="00B24E2C">
        <w:t xml:space="preserve"> which is set out in the Principal R</w:t>
      </w:r>
      <w:r>
        <w:t>egulations.</w:t>
      </w:r>
    </w:p>
    <w:p w14:paraId="1B906FC3" w14:textId="77777777" w:rsidR="00E40CF2" w:rsidRPr="0074777B" w:rsidRDefault="00E40CF2" w:rsidP="0074777B">
      <w:pPr>
        <w:pStyle w:val="EMsubeading2"/>
        <w:spacing w:after="240"/>
        <w:rPr>
          <w:b w:val="0"/>
        </w:rPr>
      </w:pPr>
      <w:r w:rsidRPr="0074777B">
        <w:rPr>
          <w:b w:val="0"/>
        </w:rPr>
        <w:t>The Residual Pricing Method</w:t>
      </w:r>
    </w:p>
    <w:p w14:paraId="1B906FC4" w14:textId="77777777" w:rsidR="00842BCE" w:rsidRDefault="00E40CF2" w:rsidP="0074777B">
      <w:pPr>
        <w:pStyle w:val="EMpara"/>
        <w:spacing w:before="0" w:after="240"/>
      </w:pPr>
      <w:r>
        <w:t xml:space="preserve">The </w:t>
      </w:r>
      <w:r w:rsidR="000C3903">
        <w:t>R</w:t>
      </w:r>
      <w:r w:rsidR="00F1042C">
        <w:t xml:space="preserve">esidual </w:t>
      </w:r>
      <w:r w:rsidR="000C3903">
        <w:t>P</w:t>
      </w:r>
      <w:r w:rsidR="00F1042C">
        <w:t xml:space="preserve">ricing </w:t>
      </w:r>
      <w:r w:rsidR="000C3903">
        <w:t>M</w:t>
      </w:r>
      <w:r w:rsidR="00F1042C">
        <w:t>ethod (RPM)</w:t>
      </w:r>
      <w:r w:rsidR="00E10CCD">
        <w:t xml:space="preserve"> </w:t>
      </w:r>
      <w:r w:rsidR="000C3903">
        <w:t>notionally treat</w:t>
      </w:r>
      <w:r w:rsidR="008A711A">
        <w:t>s</w:t>
      </w:r>
      <w:r w:rsidR="000C3903">
        <w:t xml:space="preserve"> the upstream and downstream stages of </w:t>
      </w:r>
      <w:r w:rsidR="00431774">
        <w:t>an</w:t>
      </w:r>
      <w:r w:rsidR="000C3903">
        <w:t xml:space="preserve"> integrated operation as separate arm</w:t>
      </w:r>
      <w:r w:rsidR="00810771">
        <w:t>’</w:t>
      </w:r>
      <w:r w:rsidR="000C3903">
        <w:t>s-length businesses</w:t>
      </w:r>
      <w:r w:rsidR="002038FB">
        <w:t xml:space="preserve"> </w:t>
      </w:r>
      <w:r w:rsidR="000C3903">
        <w:t>buying and selling the project sales gas</w:t>
      </w:r>
      <w:r w:rsidR="00F22B8F">
        <w:t xml:space="preserve"> in order to determine a gas transfer price</w:t>
      </w:r>
      <w:r w:rsidR="002038FB">
        <w:t xml:space="preserve">. </w:t>
      </w:r>
    </w:p>
    <w:p w14:paraId="1B906FC5" w14:textId="77777777" w:rsidR="000C3903" w:rsidRDefault="002038FB" w:rsidP="0074777B">
      <w:pPr>
        <w:pStyle w:val="EMpara"/>
        <w:spacing w:before="0" w:after="240"/>
      </w:pPr>
      <w:r>
        <w:t xml:space="preserve">The gas transfer price </w:t>
      </w:r>
      <w:r w:rsidR="00842BCE">
        <w:t xml:space="preserve">(for the purposes of the PRRTAA) that is </w:t>
      </w:r>
      <w:r>
        <w:t>determined via this method is</w:t>
      </w:r>
      <w:r w:rsidR="00F22B8F">
        <w:t xml:space="preserve"> referred to as the </w:t>
      </w:r>
      <w:r w:rsidR="00B24E2C">
        <w:t>‘</w:t>
      </w:r>
      <w:r w:rsidR="00F22B8F">
        <w:t>RPM price</w:t>
      </w:r>
      <w:r w:rsidR="00B24E2C">
        <w:t>’</w:t>
      </w:r>
      <w:r w:rsidR="00F22B8F">
        <w:t xml:space="preserve">. </w:t>
      </w:r>
    </w:p>
    <w:p w14:paraId="1B906FC6" w14:textId="77777777" w:rsidR="00B333C7" w:rsidRDefault="002038FB" w:rsidP="0074777B">
      <w:pPr>
        <w:pStyle w:val="EMpara"/>
        <w:spacing w:before="0" w:after="240"/>
      </w:pPr>
      <w:r>
        <w:t>T</w:t>
      </w:r>
      <w:r w:rsidR="000C3903">
        <w:t xml:space="preserve">he RPM </w:t>
      </w:r>
      <w:r w:rsidR="00E40CF2">
        <w:t xml:space="preserve">incorporates </w:t>
      </w:r>
      <w:r w:rsidR="000C3903">
        <w:t xml:space="preserve">both </w:t>
      </w:r>
      <w:r w:rsidR="00E40CF2">
        <w:t xml:space="preserve">a </w:t>
      </w:r>
      <w:r w:rsidR="00F22B8F">
        <w:t>‘</w:t>
      </w:r>
      <w:r w:rsidR="00E40CF2">
        <w:t>cost-plus</w:t>
      </w:r>
      <w:r w:rsidR="00F22B8F">
        <w:t>’</w:t>
      </w:r>
      <w:r w:rsidR="00E40CF2">
        <w:t xml:space="preserve"> </w:t>
      </w:r>
      <w:r w:rsidR="00842BCE">
        <w:t xml:space="preserve">and ‘netback’ </w:t>
      </w:r>
      <w:r w:rsidR="00E40CF2">
        <w:t>calculation.</w:t>
      </w:r>
      <w:r w:rsidR="00F22B8F">
        <w:t xml:space="preserve"> </w:t>
      </w:r>
    </w:p>
    <w:p w14:paraId="1B906FC7" w14:textId="77777777" w:rsidR="00E40CF2" w:rsidRPr="0040184D" w:rsidRDefault="00E40CF2" w:rsidP="0040184D">
      <w:pPr>
        <w:pStyle w:val="dotpoint"/>
        <w:numPr>
          <w:ilvl w:val="0"/>
          <w:numId w:val="2"/>
        </w:numPr>
        <w:spacing w:before="0" w:after="240"/>
        <w:ind w:hanging="544"/>
        <w:rPr>
          <w:sz w:val="24"/>
          <w:szCs w:val="24"/>
        </w:rPr>
      </w:pPr>
      <w:r w:rsidRPr="0040184D">
        <w:rPr>
          <w:sz w:val="24"/>
          <w:szCs w:val="24"/>
        </w:rPr>
        <w:t>The cost-plus calculation</w:t>
      </w:r>
      <w:r w:rsidR="00F22B8F" w:rsidRPr="0040184D">
        <w:rPr>
          <w:sz w:val="24"/>
          <w:szCs w:val="24"/>
        </w:rPr>
        <w:t xml:space="preserve"> </w:t>
      </w:r>
      <w:r w:rsidRPr="0040184D">
        <w:rPr>
          <w:sz w:val="24"/>
          <w:szCs w:val="24"/>
        </w:rPr>
        <w:t xml:space="preserve">is applied to the upstream stage to determine a </w:t>
      </w:r>
      <w:r w:rsidR="00D76550" w:rsidRPr="0040184D">
        <w:rPr>
          <w:sz w:val="24"/>
          <w:szCs w:val="24"/>
        </w:rPr>
        <w:t>‘</w:t>
      </w:r>
      <w:r w:rsidRPr="0040184D">
        <w:rPr>
          <w:sz w:val="24"/>
          <w:szCs w:val="24"/>
        </w:rPr>
        <w:t>cost</w:t>
      </w:r>
      <w:r w:rsidR="00B333C7" w:rsidRPr="0040184D">
        <w:rPr>
          <w:sz w:val="24"/>
          <w:szCs w:val="24"/>
        </w:rPr>
        <w:noBreakHyphen/>
      </w:r>
      <w:r w:rsidRPr="0040184D">
        <w:rPr>
          <w:sz w:val="24"/>
          <w:szCs w:val="24"/>
        </w:rPr>
        <w:t>plus price</w:t>
      </w:r>
      <w:r w:rsidR="00D76550" w:rsidRPr="0040184D">
        <w:rPr>
          <w:sz w:val="24"/>
          <w:szCs w:val="24"/>
        </w:rPr>
        <w:t>’</w:t>
      </w:r>
      <w:r w:rsidRPr="0040184D">
        <w:rPr>
          <w:sz w:val="24"/>
          <w:szCs w:val="24"/>
        </w:rPr>
        <w:t xml:space="preserve"> for the project sales gas. The cost-plus price reflects the minimum price at which the upstream </w:t>
      </w:r>
      <w:r w:rsidR="002038FB" w:rsidRPr="0040184D">
        <w:rPr>
          <w:sz w:val="24"/>
          <w:szCs w:val="24"/>
        </w:rPr>
        <w:t>stage</w:t>
      </w:r>
      <w:r w:rsidRPr="0040184D">
        <w:rPr>
          <w:sz w:val="24"/>
          <w:szCs w:val="24"/>
        </w:rPr>
        <w:t xml:space="preserve"> of the integrated operation would </w:t>
      </w:r>
      <w:r w:rsidR="00F22B8F" w:rsidRPr="0040184D">
        <w:rPr>
          <w:sz w:val="24"/>
          <w:szCs w:val="24"/>
        </w:rPr>
        <w:t>need</w:t>
      </w:r>
      <w:r w:rsidRPr="0040184D">
        <w:rPr>
          <w:sz w:val="24"/>
          <w:szCs w:val="24"/>
        </w:rPr>
        <w:t xml:space="preserve"> to sell the project sales gas produced in order to cover its costs (including an allowance for capital investment). </w:t>
      </w:r>
    </w:p>
    <w:p w14:paraId="1B906FC8" w14:textId="77777777" w:rsidR="00E40CF2" w:rsidRPr="0040184D" w:rsidRDefault="00B333C7" w:rsidP="0040184D">
      <w:pPr>
        <w:pStyle w:val="dotpoint"/>
        <w:numPr>
          <w:ilvl w:val="0"/>
          <w:numId w:val="2"/>
        </w:numPr>
        <w:spacing w:before="0" w:after="240"/>
        <w:ind w:hanging="544"/>
        <w:rPr>
          <w:sz w:val="24"/>
          <w:szCs w:val="24"/>
        </w:rPr>
      </w:pPr>
      <w:r w:rsidRPr="0040184D">
        <w:rPr>
          <w:sz w:val="24"/>
          <w:szCs w:val="24"/>
        </w:rPr>
        <w:t>T</w:t>
      </w:r>
      <w:r w:rsidR="00E40CF2" w:rsidRPr="0040184D">
        <w:rPr>
          <w:sz w:val="24"/>
          <w:szCs w:val="24"/>
        </w:rPr>
        <w:t xml:space="preserve">he netback calculation is applied to the downstream stage (netting </w:t>
      </w:r>
      <w:r w:rsidR="00D76550" w:rsidRPr="0040184D">
        <w:rPr>
          <w:sz w:val="24"/>
          <w:szCs w:val="24"/>
        </w:rPr>
        <w:t xml:space="preserve">off </w:t>
      </w:r>
      <w:r w:rsidR="00E40CF2" w:rsidRPr="0040184D">
        <w:rPr>
          <w:sz w:val="24"/>
          <w:szCs w:val="24"/>
        </w:rPr>
        <w:t xml:space="preserve">the downstream costs from the value of the </w:t>
      </w:r>
      <w:r w:rsidR="00C17D3E" w:rsidRPr="0040184D">
        <w:rPr>
          <w:sz w:val="24"/>
          <w:szCs w:val="24"/>
        </w:rPr>
        <w:t xml:space="preserve">final </w:t>
      </w:r>
      <w:r w:rsidR="00E40CF2" w:rsidRPr="0040184D">
        <w:rPr>
          <w:sz w:val="24"/>
          <w:szCs w:val="24"/>
        </w:rPr>
        <w:t xml:space="preserve">liquefied product) to determine </w:t>
      </w:r>
      <w:r w:rsidR="00D76550" w:rsidRPr="0040184D">
        <w:rPr>
          <w:sz w:val="24"/>
          <w:szCs w:val="24"/>
        </w:rPr>
        <w:t>a ‘</w:t>
      </w:r>
      <w:r w:rsidR="00E40CF2" w:rsidRPr="0040184D">
        <w:rPr>
          <w:sz w:val="24"/>
          <w:szCs w:val="24"/>
        </w:rPr>
        <w:t>netback price</w:t>
      </w:r>
      <w:r w:rsidR="00D76550" w:rsidRPr="0040184D">
        <w:rPr>
          <w:sz w:val="24"/>
          <w:szCs w:val="24"/>
        </w:rPr>
        <w:t>’</w:t>
      </w:r>
      <w:r w:rsidR="00E40CF2" w:rsidRPr="0040184D">
        <w:rPr>
          <w:sz w:val="24"/>
          <w:szCs w:val="24"/>
        </w:rPr>
        <w:t xml:space="preserve"> </w:t>
      </w:r>
      <w:r w:rsidR="00D76550" w:rsidRPr="0040184D">
        <w:rPr>
          <w:sz w:val="24"/>
          <w:szCs w:val="24"/>
        </w:rPr>
        <w:t>for the</w:t>
      </w:r>
      <w:r w:rsidR="00E40CF2" w:rsidRPr="0040184D">
        <w:rPr>
          <w:sz w:val="24"/>
          <w:szCs w:val="24"/>
        </w:rPr>
        <w:t xml:space="preserve"> project sales gas. The netback price reflects the maximum price </w:t>
      </w:r>
      <w:r w:rsidR="00E10CCD" w:rsidRPr="0040184D">
        <w:rPr>
          <w:sz w:val="24"/>
          <w:szCs w:val="24"/>
        </w:rPr>
        <w:t>for</w:t>
      </w:r>
      <w:r w:rsidR="00E40CF2" w:rsidRPr="0040184D">
        <w:rPr>
          <w:sz w:val="24"/>
          <w:szCs w:val="24"/>
        </w:rPr>
        <w:t xml:space="preserve"> project sales gas that would allow the downstream stage to recover its costs (including an allowance for capital investment) for a given sale price for the project liquid.</w:t>
      </w:r>
    </w:p>
    <w:p w14:paraId="1B906FC9" w14:textId="77777777" w:rsidR="00E40CF2" w:rsidRDefault="00E40CF2" w:rsidP="0074777B">
      <w:pPr>
        <w:pStyle w:val="EMpara"/>
        <w:spacing w:before="0" w:after="240"/>
      </w:pPr>
      <w:r>
        <w:t>The ‘gap’ between the cost-plus and netback prices reflects the residual, or ‘excess’ profit of the integrated operation as a whole. Thi</w:t>
      </w:r>
      <w:r w:rsidR="00D93196">
        <w:t>s</w:t>
      </w:r>
      <w:r>
        <w:t xml:space="preserve"> residual profit is divided equally between the upstream and downstream stages of the operation (implying an equal </w:t>
      </w:r>
      <w:r>
        <w:lastRenderedPageBreak/>
        <w:t>share of rents between the upstream and downstream stages</w:t>
      </w:r>
      <w:r w:rsidR="00E10CCD">
        <w:t xml:space="preserve"> of the operation</w:t>
      </w:r>
      <w:r>
        <w:t xml:space="preserve">) to determine the RPM price. </w:t>
      </w:r>
    </w:p>
    <w:p w14:paraId="1B906FCA" w14:textId="77777777" w:rsidR="00E40CF2" w:rsidRDefault="00E40CF2" w:rsidP="0074777B">
      <w:pPr>
        <w:pStyle w:val="base-text-paragraph"/>
        <w:numPr>
          <w:ilvl w:val="0"/>
          <w:numId w:val="0"/>
        </w:numPr>
        <w:spacing w:before="0" w:after="240"/>
        <w:rPr>
          <w:sz w:val="24"/>
          <w:szCs w:val="24"/>
        </w:rPr>
      </w:pPr>
      <w:r w:rsidRPr="00593AF3">
        <w:rPr>
          <w:sz w:val="24"/>
          <w:szCs w:val="24"/>
        </w:rPr>
        <w:t>The operation of the RPM is graphically illustrated</w:t>
      </w:r>
      <w:r w:rsidR="006E4361">
        <w:rPr>
          <w:sz w:val="24"/>
          <w:szCs w:val="24"/>
        </w:rPr>
        <w:t xml:space="preserve"> in </w:t>
      </w:r>
      <w:r w:rsidR="006E4361" w:rsidRPr="0074777B">
        <w:rPr>
          <w:sz w:val="24"/>
          <w:szCs w:val="24"/>
        </w:rPr>
        <w:t>Figure 1</w:t>
      </w:r>
      <w:r w:rsidRPr="00445A8C">
        <w:rPr>
          <w:sz w:val="24"/>
          <w:szCs w:val="24"/>
        </w:rPr>
        <w:t>.</w:t>
      </w:r>
    </w:p>
    <w:p w14:paraId="1B906FCB" w14:textId="77777777" w:rsidR="006E4361" w:rsidRPr="00593AF3" w:rsidRDefault="006E4361" w:rsidP="0074777B">
      <w:pPr>
        <w:pStyle w:val="base-text-paragraph"/>
        <w:numPr>
          <w:ilvl w:val="0"/>
          <w:numId w:val="0"/>
        </w:numPr>
        <w:spacing w:before="0" w:after="240"/>
        <w:rPr>
          <w:b/>
          <w:sz w:val="24"/>
          <w:szCs w:val="24"/>
        </w:rPr>
      </w:pPr>
      <w:r>
        <w:rPr>
          <w:b/>
          <w:sz w:val="24"/>
          <w:szCs w:val="24"/>
        </w:rPr>
        <w:t>Figure 1: Stylised representation of the RPM</w:t>
      </w:r>
    </w:p>
    <w:p w14:paraId="1B906FCC" w14:textId="77777777" w:rsidR="00E40CF2" w:rsidRDefault="00E40CF2" w:rsidP="0074777B">
      <w:pPr>
        <w:pStyle w:val="Step"/>
        <w:spacing w:before="0" w:after="240"/>
      </w:pPr>
      <w:r>
        <w:rPr>
          <w:noProof/>
        </w:rPr>
        <w:drawing>
          <wp:inline distT="0" distB="0" distL="0" distR="0" wp14:anchorId="1B90715E" wp14:editId="1B90715F">
            <wp:extent cx="3781425" cy="2476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81425" cy="2476500"/>
                    </a:xfrm>
                    <a:prstGeom prst="rect">
                      <a:avLst/>
                    </a:prstGeom>
                    <a:noFill/>
                    <a:ln>
                      <a:noFill/>
                    </a:ln>
                  </pic:spPr>
                </pic:pic>
              </a:graphicData>
            </a:graphic>
          </wp:inline>
        </w:drawing>
      </w:r>
    </w:p>
    <w:p w14:paraId="1B906FCD" w14:textId="77777777" w:rsidR="00F0005C" w:rsidRDefault="00F0005C" w:rsidP="0074777B">
      <w:pPr>
        <w:pStyle w:val="Heading2"/>
        <w:spacing w:before="0" w:after="240"/>
        <w:rPr>
          <w:rStyle w:val="Hyperlink"/>
          <w:b w:val="0"/>
          <w:caps w:val="0"/>
          <w:szCs w:val="24"/>
        </w:rPr>
      </w:pPr>
      <w:r>
        <w:rPr>
          <w:rStyle w:val="Hyperlink"/>
          <w:b w:val="0"/>
          <w:caps w:val="0"/>
          <w:szCs w:val="24"/>
        </w:rPr>
        <w:t xml:space="preserve">The </w:t>
      </w:r>
      <w:r w:rsidR="00E10CCD">
        <w:rPr>
          <w:rStyle w:val="Hyperlink"/>
          <w:b w:val="0"/>
          <w:caps w:val="0"/>
          <w:szCs w:val="24"/>
        </w:rPr>
        <w:t xml:space="preserve">steps </w:t>
      </w:r>
      <w:r>
        <w:rPr>
          <w:rStyle w:val="Hyperlink"/>
          <w:b w:val="0"/>
          <w:caps w:val="0"/>
          <w:szCs w:val="24"/>
        </w:rPr>
        <w:t xml:space="preserve">for determining the RPM price in relation to project sales gas of an integrated GTL operation </w:t>
      </w:r>
      <w:r w:rsidR="00B078A1">
        <w:rPr>
          <w:rStyle w:val="Hyperlink"/>
          <w:b w:val="0"/>
          <w:caps w:val="0"/>
          <w:szCs w:val="24"/>
        </w:rPr>
        <w:t>are</w:t>
      </w:r>
      <w:r>
        <w:rPr>
          <w:rStyle w:val="Hyperlink"/>
          <w:b w:val="0"/>
          <w:caps w:val="0"/>
          <w:szCs w:val="24"/>
        </w:rPr>
        <w:t xml:space="preserve"> set out in</w:t>
      </w:r>
      <w:r w:rsidR="00B333C7">
        <w:rPr>
          <w:rStyle w:val="Hyperlink"/>
          <w:b w:val="0"/>
          <w:caps w:val="0"/>
          <w:szCs w:val="24"/>
        </w:rPr>
        <w:t xml:space="preserve"> Regulation 25 of the</w:t>
      </w:r>
      <w:r w:rsidR="004943AF">
        <w:rPr>
          <w:rStyle w:val="Hyperlink"/>
          <w:b w:val="0"/>
          <w:caps w:val="0"/>
          <w:szCs w:val="24"/>
        </w:rPr>
        <w:t xml:space="preserve"> </w:t>
      </w:r>
      <w:r w:rsidR="00B24E2C">
        <w:rPr>
          <w:rStyle w:val="Hyperlink"/>
          <w:b w:val="0"/>
          <w:caps w:val="0"/>
          <w:szCs w:val="24"/>
        </w:rPr>
        <w:t>P</w:t>
      </w:r>
      <w:r w:rsidR="00E10CCD">
        <w:rPr>
          <w:rStyle w:val="Hyperlink"/>
          <w:b w:val="0"/>
          <w:caps w:val="0"/>
          <w:szCs w:val="24"/>
        </w:rPr>
        <w:t xml:space="preserve">rincipal </w:t>
      </w:r>
      <w:r w:rsidR="00092F1B">
        <w:rPr>
          <w:rStyle w:val="Hyperlink"/>
          <w:b w:val="0"/>
          <w:caps w:val="0"/>
          <w:szCs w:val="24"/>
        </w:rPr>
        <w:t>Regulation</w:t>
      </w:r>
      <w:r w:rsidR="004943AF">
        <w:rPr>
          <w:rStyle w:val="Hyperlink"/>
          <w:b w:val="0"/>
          <w:caps w:val="0"/>
          <w:szCs w:val="24"/>
        </w:rPr>
        <w:t>.</w:t>
      </w:r>
    </w:p>
    <w:p w14:paraId="1B906FCE" w14:textId="77777777" w:rsidR="0067627A" w:rsidRPr="0074777B" w:rsidRDefault="00D93196" w:rsidP="0074777B">
      <w:pPr>
        <w:pStyle w:val="Heading4"/>
        <w:spacing w:after="240"/>
        <w:rPr>
          <w:sz w:val="24"/>
        </w:rPr>
      </w:pPr>
      <w:r w:rsidRPr="0074777B">
        <w:rPr>
          <w:sz w:val="24"/>
        </w:rPr>
        <w:t xml:space="preserve">The </w:t>
      </w:r>
      <w:r w:rsidR="0067627A" w:rsidRPr="0074777B">
        <w:rPr>
          <w:sz w:val="24"/>
        </w:rPr>
        <w:t>P</w:t>
      </w:r>
      <w:r w:rsidRPr="0074777B">
        <w:rPr>
          <w:sz w:val="24"/>
        </w:rPr>
        <w:t xml:space="preserve">olicy </w:t>
      </w:r>
      <w:r w:rsidR="0067627A" w:rsidRPr="0074777B">
        <w:rPr>
          <w:sz w:val="24"/>
        </w:rPr>
        <w:t>T</w:t>
      </w:r>
      <w:r w:rsidRPr="0074777B">
        <w:rPr>
          <w:sz w:val="24"/>
        </w:rPr>
        <w:t xml:space="preserve">ransition </w:t>
      </w:r>
      <w:r w:rsidR="0067627A" w:rsidRPr="0074777B">
        <w:rPr>
          <w:sz w:val="24"/>
        </w:rPr>
        <w:t>G</w:t>
      </w:r>
      <w:r w:rsidRPr="0074777B">
        <w:rPr>
          <w:sz w:val="24"/>
        </w:rPr>
        <w:t>roup</w:t>
      </w:r>
      <w:r w:rsidR="0067627A" w:rsidRPr="0074777B">
        <w:rPr>
          <w:sz w:val="24"/>
        </w:rPr>
        <w:t xml:space="preserve"> </w:t>
      </w:r>
      <w:r w:rsidR="00B05776">
        <w:rPr>
          <w:sz w:val="24"/>
        </w:rPr>
        <w:t>r</w:t>
      </w:r>
      <w:r w:rsidR="0067627A" w:rsidRPr="0074777B">
        <w:rPr>
          <w:sz w:val="24"/>
        </w:rPr>
        <w:t>ecommendations</w:t>
      </w:r>
      <w:r w:rsidR="00EF02A4" w:rsidRPr="0074777B">
        <w:rPr>
          <w:sz w:val="24"/>
        </w:rPr>
        <w:t xml:space="preserve"> regarding the</w:t>
      </w:r>
      <w:r w:rsidRPr="0074777B">
        <w:rPr>
          <w:sz w:val="24"/>
        </w:rPr>
        <w:t xml:space="preserve"> PRRT extension</w:t>
      </w:r>
    </w:p>
    <w:p w14:paraId="1B906FCF" w14:textId="77777777" w:rsidR="0067627A" w:rsidRDefault="00B333C7" w:rsidP="0074777B">
      <w:pPr>
        <w:pStyle w:val="EMpara"/>
        <w:spacing w:before="0" w:after="240"/>
      </w:pPr>
      <w:r>
        <w:t>On 2 July 2010, t</w:t>
      </w:r>
      <w:r w:rsidR="0067627A">
        <w:t>he Government announced the extension of the Petroleum Resource Rent Tax to onshore projects and the North West Shelf</w:t>
      </w:r>
      <w:r w:rsidR="009524D6">
        <w:t xml:space="preserve"> project,</w:t>
      </w:r>
      <w:r w:rsidR="00DB2D17">
        <w:t xml:space="preserve"> and established the </w:t>
      </w:r>
      <w:r w:rsidR="0067627A">
        <w:t>P</w:t>
      </w:r>
      <w:r w:rsidR="00D93196">
        <w:t xml:space="preserve">olicy </w:t>
      </w:r>
      <w:r w:rsidR="0067627A">
        <w:t>T</w:t>
      </w:r>
      <w:r w:rsidR="00D93196">
        <w:t>ransition Group</w:t>
      </w:r>
      <w:r w:rsidR="00B24E2C">
        <w:t xml:space="preserve"> (PTG)</w:t>
      </w:r>
      <w:r w:rsidR="0067627A">
        <w:t xml:space="preserve"> to </w:t>
      </w:r>
      <w:r w:rsidR="00593AF3">
        <w:t xml:space="preserve">provide advice regarding </w:t>
      </w:r>
      <w:r w:rsidR="0067627A">
        <w:t xml:space="preserve">the details of the new arrangements.  </w:t>
      </w:r>
    </w:p>
    <w:p w14:paraId="1B906FD0" w14:textId="77777777" w:rsidR="0067627A" w:rsidRDefault="0067627A" w:rsidP="0074777B">
      <w:pPr>
        <w:pStyle w:val="EMpara"/>
        <w:spacing w:before="0" w:after="240"/>
      </w:pPr>
      <w:r>
        <w:t xml:space="preserve">The </w:t>
      </w:r>
      <w:r w:rsidR="00DB2D17">
        <w:t xml:space="preserve">recommendations of the </w:t>
      </w:r>
      <w:r>
        <w:t>PTG</w:t>
      </w:r>
      <w:r w:rsidR="00DB2D17">
        <w:t>, which</w:t>
      </w:r>
      <w:r>
        <w:t xml:space="preserve"> were accepted by Government on 24</w:t>
      </w:r>
      <w:r w:rsidR="00B333C7">
        <w:t> </w:t>
      </w:r>
      <w:r>
        <w:t>March</w:t>
      </w:r>
      <w:r w:rsidR="00B333C7">
        <w:t> </w:t>
      </w:r>
      <w:r>
        <w:t>2011</w:t>
      </w:r>
      <w:r w:rsidR="00DB2D17">
        <w:t xml:space="preserve">, included </w:t>
      </w:r>
      <w:r w:rsidR="006E4361">
        <w:t>several</w:t>
      </w:r>
      <w:r w:rsidR="00DB2D17">
        <w:t xml:space="preserve"> </w:t>
      </w:r>
      <w:r w:rsidR="00B333C7">
        <w:t xml:space="preserve">recommendations </w:t>
      </w:r>
      <w:r w:rsidR="00DB2D17">
        <w:t xml:space="preserve">related to the </w:t>
      </w:r>
      <w:r w:rsidR="00B333C7">
        <w:t>Principal Regulation</w:t>
      </w:r>
      <w:r w:rsidR="00DB2D17">
        <w:t xml:space="preserve">. Specifically, the PTG recommended that the existing PRRT provisions for valuing </w:t>
      </w:r>
      <w:r w:rsidR="00DA0BF9">
        <w:t xml:space="preserve">gas </w:t>
      </w:r>
      <w:r w:rsidR="00DB2D17">
        <w:t xml:space="preserve">at the taxing point should be applied to </w:t>
      </w:r>
      <w:r w:rsidR="00843D01">
        <w:t xml:space="preserve">those </w:t>
      </w:r>
      <w:r w:rsidR="00DB2D17">
        <w:t>projects transitioning into the PRRT, but</w:t>
      </w:r>
      <w:r w:rsidR="00B24E2C">
        <w:t xml:space="preserve"> that</w:t>
      </w:r>
      <w:r w:rsidR="00DB2D17">
        <w:t>:</w:t>
      </w:r>
    </w:p>
    <w:p w14:paraId="1B906FD1" w14:textId="77777777" w:rsidR="0067627A" w:rsidRPr="00593AF3" w:rsidRDefault="0067627A" w:rsidP="0074777B">
      <w:pPr>
        <w:pStyle w:val="dotpoint"/>
        <w:numPr>
          <w:ilvl w:val="0"/>
          <w:numId w:val="2"/>
        </w:numPr>
        <w:spacing w:before="0" w:after="240"/>
        <w:ind w:hanging="544"/>
        <w:rPr>
          <w:sz w:val="24"/>
          <w:szCs w:val="24"/>
        </w:rPr>
      </w:pPr>
      <w:r w:rsidRPr="00593AF3">
        <w:rPr>
          <w:sz w:val="24"/>
          <w:szCs w:val="24"/>
        </w:rPr>
        <w:t xml:space="preserve">taxpayers developing onshore gas resources within an integrated </w:t>
      </w:r>
      <w:r w:rsidR="00B333C7">
        <w:rPr>
          <w:sz w:val="24"/>
          <w:szCs w:val="24"/>
        </w:rPr>
        <w:t>GTL</w:t>
      </w:r>
      <w:r w:rsidRPr="00593AF3">
        <w:rPr>
          <w:sz w:val="24"/>
          <w:szCs w:val="24"/>
        </w:rPr>
        <w:t xml:space="preserve"> project, such as liquefied natural gas, should have the option of using the existing RPM as a default methodology for calculating the value of the resource at the taxing point;</w:t>
      </w:r>
    </w:p>
    <w:p w14:paraId="1B906FD2" w14:textId="77777777" w:rsidR="0067627A" w:rsidRPr="00593AF3" w:rsidRDefault="0067627A" w:rsidP="0074777B">
      <w:pPr>
        <w:pStyle w:val="dotpoint"/>
        <w:numPr>
          <w:ilvl w:val="0"/>
          <w:numId w:val="2"/>
        </w:numPr>
        <w:spacing w:before="0" w:after="240"/>
        <w:ind w:hanging="544"/>
        <w:rPr>
          <w:sz w:val="24"/>
          <w:szCs w:val="24"/>
        </w:rPr>
      </w:pPr>
      <w:r w:rsidRPr="00593AF3">
        <w:rPr>
          <w:sz w:val="24"/>
          <w:szCs w:val="24"/>
        </w:rPr>
        <w:t xml:space="preserve">taxpayers with existing integrated </w:t>
      </w:r>
      <w:r w:rsidR="00B333C7">
        <w:rPr>
          <w:sz w:val="24"/>
          <w:szCs w:val="24"/>
        </w:rPr>
        <w:t>GTL</w:t>
      </w:r>
      <w:r w:rsidRPr="00593AF3">
        <w:rPr>
          <w:sz w:val="24"/>
          <w:szCs w:val="24"/>
        </w:rPr>
        <w:t xml:space="preserve"> projects, such as liquefied natural gas, at 1 May 2010 that are to transition to the PRRT should have access to a simplified RPM as a default methodology.  This should provide a single agreed phase point and capital base determined by an agreed valuation methodology for existing assets; and</w:t>
      </w:r>
    </w:p>
    <w:p w14:paraId="1B906FD3" w14:textId="77777777" w:rsidR="0067627A" w:rsidRPr="00593AF3" w:rsidRDefault="00DB2D17" w:rsidP="0074777B">
      <w:pPr>
        <w:pStyle w:val="dotpoint"/>
        <w:numPr>
          <w:ilvl w:val="0"/>
          <w:numId w:val="2"/>
        </w:numPr>
        <w:spacing w:before="0" w:after="240"/>
        <w:ind w:hanging="544"/>
        <w:rPr>
          <w:sz w:val="24"/>
          <w:szCs w:val="24"/>
        </w:rPr>
      </w:pPr>
      <w:r>
        <w:rPr>
          <w:sz w:val="24"/>
          <w:szCs w:val="24"/>
        </w:rPr>
        <w:t xml:space="preserve">the </w:t>
      </w:r>
      <w:r w:rsidR="0067627A" w:rsidRPr="00593AF3">
        <w:rPr>
          <w:sz w:val="24"/>
          <w:szCs w:val="24"/>
        </w:rPr>
        <w:t xml:space="preserve">existing RPM provisions within the PRRT should be amended to provide for integrated </w:t>
      </w:r>
      <w:r w:rsidR="00B333C7">
        <w:rPr>
          <w:sz w:val="24"/>
          <w:szCs w:val="24"/>
        </w:rPr>
        <w:t>GTE</w:t>
      </w:r>
      <w:r w:rsidR="0067627A" w:rsidRPr="00593AF3">
        <w:rPr>
          <w:sz w:val="24"/>
          <w:szCs w:val="24"/>
        </w:rPr>
        <w:t xml:space="preserve"> projects.  </w:t>
      </w:r>
    </w:p>
    <w:p w14:paraId="1B906FD4" w14:textId="77777777" w:rsidR="000D7A97" w:rsidRPr="00E30B31" w:rsidRDefault="00B333C7" w:rsidP="0074777B">
      <w:pPr>
        <w:pStyle w:val="Heading3"/>
        <w:spacing w:before="0" w:after="240"/>
      </w:pPr>
      <w:r>
        <w:lastRenderedPageBreak/>
        <w:t>Overview of the Regulation</w:t>
      </w:r>
    </w:p>
    <w:p w14:paraId="1B906FD5" w14:textId="77777777" w:rsidR="00E30B31" w:rsidRDefault="00EC09A6" w:rsidP="0074777B">
      <w:pPr>
        <w:pStyle w:val="EMpara"/>
        <w:spacing w:before="0" w:after="240"/>
      </w:pPr>
      <w:r>
        <w:t>The</w:t>
      </w:r>
      <w:r w:rsidR="00E30B31" w:rsidRPr="00593AF3">
        <w:rPr>
          <w:color w:val="00B050"/>
        </w:rPr>
        <w:t xml:space="preserve"> </w:t>
      </w:r>
      <w:r w:rsidR="00B333C7">
        <w:t>Regulation is</w:t>
      </w:r>
      <w:r w:rsidR="00E30B31">
        <w:t xml:space="preserve"> consistent with the recommendations of the </w:t>
      </w:r>
      <w:r w:rsidR="00B333C7">
        <w:t xml:space="preserve">PTG </w:t>
      </w:r>
      <w:r w:rsidR="00E30B31">
        <w:t xml:space="preserve">regarding the extension of the </w:t>
      </w:r>
      <w:r w:rsidR="00B333C7">
        <w:t>PRRT and</w:t>
      </w:r>
      <w:r w:rsidR="00E30B31">
        <w:t xml:space="preserve"> take</w:t>
      </w:r>
      <w:r w:rsidR="00B333C7">
        <w:t>s</w:t>
      </w:r>
      <w:r w:rsidR="00E30B31">
        <w:t xml:space="preserve"> account of differences in the structure and operations of integrated onshore GTL and GTE operations relative to traditional offshore op</w:t>
      </w:r>
      <w:r>
        <w:t>erations upon which the 2005</w:t>
      </w:r>
      <w:r w:rsidR="00E30B31">
        <w:t xml:space="preserve"> regulatory framework </w:t>
      </w:r>
      <w:r>
        <w:t>wa</w:t>
      </w:r>
      <w:r w:rsidR="00B333C7">
        <w:t xml:space="preserve">s </w:t>
      </w:r>
      <w:r w:rsidR="00E30B31">
        <w:t>based.</w:t>
      </w:r>
    </w:p>
    <w:p w14:paraId="1B906FD6" w14:textId="77777777" w:rsidR="00E30B31" w:rsidRDefault="00E30B31" w:rsidP="0074777B">
      <w:pPr>
        <w:pStyle w:val="EMpara"/>
        <w:spacing w:before="0" w:after="240"/>
      </w:pPr>
      <w:r>
        <w:t xml:space="preserve">The </w:t>
      </w:r>
      <w:r w:rsidR="00EC09A6">
        <w:t>Regulation</w:t>
      </w:r>
      <w:r>
        <w:t xml:space="preserve">: </w:t>
      </w:r>
    </w:p>
    <w:p w14:paraId="1B906FD7" w14:textId="77777777" w:rsidR="00E16313" w:rsidRPr="0040184D" w:rsidRDefault="00E16313" w:rsidP="0040184D">
      <w:pPr>
        <w:pStyle w:val="dotpoint"/>
        <w:numPr>
          <w:ilvl w:val="0"/>
          <w:numId w:val="2"/>
        </w:numPr>
        <w:spacing w:before="0" w:after="240"/>
        <w:ind w:hanging="544"/>
        <w:rPr>
          <w:sz w:val="24"/>
          <w:szCs w:val="24"/>
        </w:rPr>
      </w:pPr>
      <w:r w:rsidRPr="0040184D">
        <w:rPr>
          <w:sz w:val="24"/>
          <w:szCs w:val="24"/>
        </w:rPr>
        <w:t>ensure</w:t>
      </w:r>
      <w:r w:rsidR="00EC09A6">
        <w:rPr>
          <w:sz w:val="24"/>
          <w:szCs w:val="24"/>
        </w:rPr>
        <w:t>s</w:t>
      </w:r>
      <w:r w:rsidRPr="0040184D">
        <w:rPr>
          <w:sz w:val="24"/>
          <w:szCs w:val="24"/>
        </w:rPr>
        <w:t xml:space="preserve"> that the framework in the Principal Regulation for determining assessable petroleum receipts in relation to an integrated GTL operation is adapted and extended to onshore GTL operations including those utilising coal seam gas</w:t>
      </w:r>
      <w:r w:rsidR="00B05776" w:rsidRPr="0040184D">
        <w:rPr>
          <w:sz w:val="24"/>
          <w:szCs w:val="24"/>
        </w:rPr>
        <w:t>,</w:t>
      </w:r>
      <w:r w:rsidRPr="0040184D">
        <w:rPr>
          <w:sz w:val="24"/>
          <w:szCs w:val="24"/>
        </w:rPr>
        <w:t xml:space="preserve"> and </w:t>
      </w:r>
      <w:r w:rsidR="00B05776" w:rsidRPr="0040184D">
        <w:rPr>
          <w:sz w:val="24"/>
          <w:szCs w:val="24"/>
        </w:rPr>
        <w:t xml:space="preserve">the </w:t>
      </w:r>
      <w:r w:rsidRPr="0040184D">
        <w:rPr>
          <w:sz w:val="24"/>
          <w:szCs w:val="24"/>
        </w:rPr>
        <w:t>North West Shelf</w:t>
      </w:r>
      <w:r w:rsidR="00B05776" w:rsidRPr="0040184D">
        <w:rPr>
          <w:sz w:val="24"/>
          <w:szCs w:val="24"/>
        </w:rPr>
        <w:t xml:space="preserve"> LNG operation</w:t>
      </w:r>
      <w:r w:rsidRPr="0040184D">
        <w:rPr>
          <w:sz w:val="24"/>
          <w:szCs w:val="24"/>
        </w:rPr>
        <w:t>;</w:t>
      </w:r>
    </w:p>
    <w:p w14:paraId="1B906FD8" w14:textId="77777777" w:rsidR="00E16313" w:rsidRPr="0040184D" w:rsidRDefault="00E16313" w:rsidP="0040184D">
      <w:pPr>
        <w:pStyle w:val="dotpoint"/>
        <w:numPr>
          <w:ilvl w:val="0"/>
          <w:numId w:val="2"/>
        </w:numPr>
        <w:spacing w:before="0" w:after="240"/>
        <w:ind w:hanging="544"/>
        <w:rPr>
          <w:sz w:val="24"/>
          <w:szCs w:val="24"/>
        </w:rPr>
      </w:pPr>
      <w:r w:rsidRPr="0040184D">
        <w:rPr>
          <w:sz w:val="24"/>
          <w:szCs w:val="24"/>
        </w:rPr>
        <w:t>ensure</w:t>
      </w:r>
      <w:r w:rsidR="00EC09A6">
        <w:rPr>
          <w:sz w:val="24"/>
          <w:szCs w:val="24"/>
        </w:rPr>
        <w:t>s</w:t>
      </w:r>
      <w:r w:rsidRPr="0040184D">
        <w:rPr>
          <w:sz w:val="24"/>
          <w:szCs w:val="24"/>
        </w:rPr>
        <w:t xml:space="preserve"> that the framework in the Principal Regulation for determining assessable petroleum receipts in relation to an integrated GTL op</w:t>
      </w:r>
      <w:r w:rsidR="00EC09A6">
        <w:rPr>
          <w:sz w:val="24"/>
          <w:szCs w:val="24"/>
        </w:rPr>
        <w:t xml:space="preserve">eration can be applied in the context of </w:t>
      </w:r>
      <w:r w:rsidRPr="0040184D">
        <w:rPr>
          <w:sz w:val="24"/>
          <w:szCs w:val="24"/>
        </w:rPr>
        <w:t xml:space="preserve">integrated GTE projects; </w:t>
      </w:r>
    </w:p>
    <w:p w14:paraId="1B906FD9" w14:textId="77777777" w:rsidR="00E16313" w:rsidRPr="0040184D" w:rsidRDefault="00E16313" w:rsidP="0040184D">
      <w:pPr>
        <w:pStyle w:val="dotpoint"/>
        <w:numPr>
          <w:ilvl w:val="0"/>
          <w:numId w:val="2"/>
        </w:numPr>
        <w:spacing w:before="0" w:after="240"/>
        <w:ind w:hanging="544"/>
        <w:rPr>
          <w:sz w:val="24"/>
          <w:szCs w:val="24"/>
        </w:rPr>
      </w:pPr>
      <w:r w:rsidRPr="0040184D">
        <w:rPr>
          <w:sz w:val="24"/>
          <w:szCs w:val="24"/>
        </w:rPr>
        <w:t>allow</w:t>
      </w:r>
      <w:r w:rsidR="00EC09A6">
        <w:rPr>
          <w:sz w:val="24"/>
          <w:szCs w:val="24"/>
        </w:rPr>
        <w:t>s</w:t>
      </w:r>
      <w:r w:rsidRPr="0040184D">
        <w:rPr>
          <w:sz w:val="24"/>
          <w:szCs w:val="24"/>
        </w:rPr>
        <w:t xml:space="preserve"> taxpayers to make an election to apply the Residual Pricing Method (RPM) in relation to onshore integrated GTL projects as the default metho</w:t>
      </w:r>
      <w:r w:rsidR="004C2120" w:rsidRPr="0040184D">
        <w:rPr>
          <w:sz w:val="24"/>
          <w:szCs w:val="24"/>
        </w:rPr>
        <w:t>d</w:t>
      </w:r>
      <w:r w:rsidRPr="0040184D">
        <w:rPr>
          <w:sz w:val="24"/>
          <w:szCs w:val="24"/>
        </w:rPr>
        <w:t xml:space="preserve"> for determining assessable petroleum receipts;</w:t>
      </w:r>
    </w:p>
    <w:p w14:paraId="1B906FDA" w14:textId="77777777" w:rsidR="00E16313" w:rsidRPr="0040184D" w:rsidRDefault="00D11C1A" w:rsidP="0040184D">
      <w:pPr>
        <w:pStyle w:val="dotpoint"/>
        <w:numPr>
          <w:ilvl w:val="0"/>
          <w:numId w:val="2"/>
        </w:numPr>
        <w:spacing w:before="0" w:after="240"/>
        <w:ind w:hanging="544"/>
        <w:rPr>
          <w:sz w:val="24"/>
          <w:szCs w:val="24"/>
        </w:rPr>
      </w:pPr>
      <w:r w:rsidRPr="0040184D">
        <w:rPr>
          <w:sz w:val="24"/>
          <w:szCs w:val="24"/>
        </w:rPr>
        <w:t>give</w:t>
      </w:r>
      <w:r w:rsidR="00EC09A6">
        <w:rPr>
          <w:sz w:val="24"/>
          <w:szCs w:val="24"/>
        </w:rPr>
        <w:t>s</w:t>
      </w:r>
      <w:r w:rsidR="00E16313" w:rsidRPr="0040184D">
        <w:rPr>
          <w:sz w:val="24"/>
          <w:szCs w:val="24"/>
        </w:rPr>
        <w:t xml:space="preserve"> taxpayers the option of using mass rather than volume measurements</w:t>
      </w:r>
      <w:r w:rsidR="00B05776" w:rsidRPr="0040184D">
        <w:rPr>
          <w:sz w:val="24"/>
          <w:szCs w:val="24"/>
        </w:rPr>
        <w:t xml:space="preserve"> of project products</w:t>
      </w:r>
      <w:r w:rsidR="00E16313" w:rsidRPr="0040184D">
        <w:rPr>
          <w:sz w:val="24"/>
          <w:szCs w:val="24"/>
        </w:rPr>
        <w:t xml:space="preserve"> to determine an RPM price</w:t>
      </w:r>
      <w:r w:rsidR="004C2120" w:rsidRPr="0040184D">
        <w:rPr>
          <w:sz w:val="24"/>
          <w:szCs w:val="24"/>
        </w:rPr>
        <w:t>,</w:t>
      </w:r>
      <w:r w:rsidR="00E16313" w:rsidRPr="0040184D">
        <w:rPr>
          <w:sz w:val="24"/>
          <w:szCs w:val="24"/>
        </w:rPr>
        <w:t xml:space="preserve"> in order to reduce compliance costs for integrated operations who measure by mass; and</w:t>
      </w:r>
    </w:p>
    <w:p w14:paraId="1B906FDB" w14:textId="77777777" w:rsidR="00E16313" w:rsidRPr="0040184D" w:rsidRDefault="00E16313" w:rsidP="0040184D">
      <w:pPr>
        <w:pStyle w:val="dotpoint"/>
        <w:numPr>
          <w:ilvl w:val="0"/>
          <w:numId w:val="2"/>
        </w:numPr>
        <w:spacing w:before="0" w:after="240"/>
        <w:ind w:hanging="544"/>
        <w:rPr>
          <w:sz w:val="24"/>
          <w:szCs w:val="24"/>
        </w:rPr>
      </w:pPr>
      <w:r w:rsidRPr="0040184D">
        <w:rPr>
          <w:sz w:val="24"/>
          <w:szCs w:val="24"/>
        </w:rPr>
        <w:t>provide</w:t>
      </w:r>
      <w:r w:rsidR="00EC09A6">
        <w:rPr>
          <w:sz w:val="24"/>
          <w:szCs w:val="24"/>
        </w:rPr>
        <w:t>s</w:t>
      </w:r>
      <w:r w:rsidRPr="0040184D">
        <w:rPr>
          <w:sz w:val="24"/>
          <w:szCs w:val="24"/>
        </w:rPr>
        <w:t xml:space="preserve"> those taxpayers holding an interest in an integrated GTL project which existed prior to 2 May 2010 with a simplified RPM as the default methodology for determining pricing, incorporating a single phase point and prescribed valuation method for determining the value of existing assets.</w:t>
      </w:r>
    </w:p>
    <w:p w14:paraId="1B906FDC" w14:textId="77777777" w:rsidR="004F07E5" w:rsidRPr="00593AF3" w:rsidRDefault="00B333C7" w:rsidP="0074777B">
      <w:pPr>
        <w:pStyle w:val="Heading2"/>
        <w:spacing w:before="0" w:after="240"/>
      </w:pPr>
      <w:bookmarkStart w:id="1" w:name="_Toc355023798"/>
      <w:bookmarkStart w:id="2" w:name="_Toc356480350"/>
      <w:r>
        <w:t xml:space="preserve">PART 3 </w:t>
      </w:r>
      <w:r w:rsidR="0074777B">
        <w:t>– CHANGES</w:t>
      </w:r>
      <w:r>
        <w:t xml:space="preserve"> to the Concepts and </w:t>
      </w:r>
      <w:r w:rsidR="004F07E5" w:rsidRPr="00593AF3">
        <w:t>Definition</w:t>
      </w:r>
      <w:r w:rsidR="004B449B" w:rsidRPr="00593AF3">
        <w:t>s</w:t>
      </w:r>
      <w:r>
        <w:t xml:space="preserve"> Used in the existing Framework</w:t>
      </w:r>
      <w:bookmarkEnd w:id="1"/>
      <w:bookmarkEnd w:id="2"/>
    </w:p>
    <w:p w14:paraId="1B906FDD" w14:textId="77777777" w:rsidR="00B333C7" w:rsidRDefault="00EC09A6" w:rsidP="0074777B">
      <w:pPr>
        <w:spacing w:after="240"/>
      </w:pPr>
      <w:r>
        <w:t>T</w:t>
      </w:r>
      <w:r w:rsidR="00F92D5A">
        <w:t xml:space="preserve">o facilitate the extension of the existing framework in the Principal Regulation to onshore </w:t>
      </w:r>
      <w:r w:rsidR="00EB2B55">
        <w:t>GTL and GTE</w:t>
      </w:r>
      <w:r w:rsidR="00F92D5A">
        <w:t xml:space="preserve"> operations, a n</w:t>
      </w:r>
      <w:r>
        <w:t>umber of amendments are made</w:t>
      </w:r>
      <w:r w:rsidR="00F92D5A">
        <w:t xml:space="preserve"> to the Principal Regulation to adjust the concepts and definitions used throughout the Regulation.</w:t>
      </w:r>
    </w:p>
    <w:p w14:paraId="1B906FDE" w14:textId="77777777" w:rsidR="0023627D" w:rsidRPr="00593AF3" w:rsidRDefault="00F92D5A" w:rsidP="0074777B">
      <w:pPr>
        <w:pStyle w:val="Heading3"/>
        <w:spacing w:before="0" w:after="240"/>
      </w:pPr>
      <w:r>
        <w:t>Changes to certain core definitions</w:t>
      </w:r>
    </w:p>
    <w:p w14:paraId="1B906FDF" w14:textId="77777777" w:rsidR="005927DB" w:rsidRDefault="00397881" w:rsidP="0074777B">
      <w:pPr>
        <w:pStyle w:val="EMpara"/>
        <w:spacing w:before="0" w:after="240"/>
      </w:pPr>
      <w:r w:rsidRPr="00BF2F99">
        <w:t xml:space="preserve">Regulation 3 </w:t>
      </w:r>
      <w:r w:rsidR="008F6879" w:rsidRPr="00BF2F99">
        <w:t>of the Principal Regulation</w:t>
      </w:r>
      <w:r w:rsidR="008F6879" w:rsidRPr="008F48C6">
        <w:t xml:space="preserve"> </w:t>
      </w:r>
      <w:r w:rsidR="00F92D5A">
        <w:t>defines a number of terms that are specific to the Principal Regulation and apply in addition to the terms defined in the PRRTAA.</w:t>
      </w:r>
    </w:p>
    <w:p w14:paraId="1B906FE0" w14:textId="77777777" w:rsidR="00BD61E3" w:rsidRDefault="00F92D5A" w:rsidP="0074777B">
      <w:pPr>
        <w:pStyle w:val="EMpara"/>
        <w:spacing w:before="0" w:after="240"/>
      </w:pPr>
      <w:r>
        <w:t>I</w:t>
      </w:r>
      <w:r w:rsidR="00397881">
        <w:t xml:space="preserve">tems 1 to 26 </w:t>
      </w:r>
      <w:r w:rsidR="00937082">
        <w:t xml:space="preserve">of the Regulation </w:t>
      </w:r>
      <w:r w:rsidR="008F6879">
        <w:t xml:space="preserve">amend </w:t>
      </w:r>
      <w:r>
        <w:t>r</w:t>
      </w:r>
      <w:r w:rsidR="008F6879">
        <w:t xml:space="preserve">egulation 3 </w:t>
      </w:r>
      <w:r>
        <w:t xml:space="preserve">of the Principal Regulation </w:t>
      </w:r>
      <w:r w:rsidR="00937082">
        <w:t xml:space="preserve">to incorporate </w:t>
      </w:r>
      <w:r w:rsidR="00397881">
        <w:t xml:space="preserve">new and </w:t>
      </w:r>
      <w:r w:rsidR="00937082">
        <w:t xml:space="preserve">amended </w:t>
      </w:r>
      <w:r w:rsidR="00397881">
        <w:t xml:space="preserve">definitions </w:t>
      </w:r>
      <w:r w:rsidR="00BD61E3">
        <w:t xml:space="preserve">required </w:t>
      </w:r>
      <w:r w:rsidR="004F58B0">
        <w:t>to</w:t>
      </w:r>
      <w:r w:rsidR="00BD61E3">
        <w:t xml:space="preserve"> exten</w:t>
      </w:r>
      <w:r w:rsidR="004F58B0">
        <w:t>d</w:t>
      </w:r>
      <w:r w:rsidR="00BD61E3">
        <w:t xml:space="preserve"> the regulatory framework to onshore integrated GTL and GTE operations. </w:t>
      </w:r>
    </w:p>
    <w:p w14:paraId="1B906FE1" w14:textId="77777777" w:rsidR="00BD61E3" w:rsidRDefault="00BD61E3" w:rsidP="0074777B">
      <w:pPr>
        <w:pStyle w:val="EMpara"/>
        <w:spacing w:before="0" w:after="240"/>
      </w:pPr>
      <w:r>
        <w:t xml:space="preserve">New </w:t>
      </w:r>
      <w:r w:rsidR="002A5BF3">
        <w:t xml:space="preserve">or amended </w:t>
      </w:r>
      <w:r w:rsidR="005927DB">
        <w:t>definitions within</w:t>
      </w:r>
      <w:r>
        <w:t xml:space="preserve"> </w:t>
      </w:r>
      <w:r w:rsidR="00F92D5A">
        <w:t>r</w:t>
      </w:r>
      <w:r>
        <w:t xml:space="preserve">egulation 3 include: </w:t>
      </w:r>
    </w:p>
    <w:p w14:paraId="1B906FE2" w14:textId="77777777" w:rsidR="00251B52" w:rsidRPr="00593AF3" w:rsidRDefault="00251B52" w:rsidP="0074777B">
      <w:pPr>
        <w:spacing w:after="240"/>
        <w:rPr>
          <w:szCs w:val="24"/>
        </w:rPr>
      </w:pPr>
      <w:r w:rsidRPr="002C02B5">
        <w:rPr>
          <w:rStyle w:val="EMparaChar"/>
          <w:b/>
          <w:i/>
        </w:rPr>
        <w:t>I</w:t>
      </w:r>
      <w:r w:rsidR="00BD61E3" w:rsidRPr="002C02B5">
        <w:rPr>
          <w:rStyle w:val="EMparaChar"/>
          <w:b/>
          <w:i/>
        </w:rPr>
        <w:t>ntegrated operation</w:t>
      </w:r>
      <w:r w:rsidR="00BD61E3" w:rsidRPr="002C02B5">
        <w:rPr>
          <w:rStyle w:val="EMparaChar"/>
        </w:rPr>
        <w:t xml:space="preserve"> </w:t>
      </w:r>
      <w:r w:rsidR="004F58B0">
        <w:rPr>
          <w:rStyle w:val="EMparaChar"/>
        </w:rPr>
        <w:t xml:space="preserve">is </w:t>
      </w:r>
      <w:r w:rsidR="00F16495" w:rsidRPr="002C02B5">
        <w:rPr>
          <w:rStyle w:val="EMparaChar"/>
        </w:rPr>
        <w:t>defined as mean</w:t>
      </w:r>
      <w:r w:rsidR="002C02B5">
        <w:rPr>
          <w:rStyle w:val="EMparaChar"/>
        </w:rPr>
        <w:t xml:space="preserve">ing both integrated </w:t>
      </w:r>
      <w:r w:rsidR="00BD61E3" w:rsidRPr="002C02B5">
        <w:rPr>
          <w:rStyle w:val="EMparaChar"/>
        </w:rPr>
        <w:t>GTL and GTE operations</w:t>
      </w:r>
      <w:r w:rsidR="00F16495" w:rsidRPr="002C02B5">
        <w:rPr>
          <w:rStyle w:val="EMparaChar"/>
        </w:rPr>
        <w:t xml:space="preserve">. Defining this term allows for it to be used to apply the regulatory framework to both </w:t>
      </w:r>
      <w:r w:rsidR="00BD61E3" w:rsidRPr="002C02B5">
        <w:rPr>
          <w:rStyle w:val="EMparaChar"/>
        </w:rPr>
        <w:t>integrated GT</w:t>
      </w:r>
      <w:r w:rsidR="00F92D5A">
        <w:rPr>
          <w:rStyle w:val="EMparaChar"/>
        </w:rPr>
        <w:t>L</w:t>
      </w:r>
      <w:r w:rsidR="00BD61E3" w:rsidRPr="002C02B5">
        <w:rPr>
          <w:rStyle w:val="EMparaChar"/>
        </w:rPr>
        <w:t xml:space="preserve"> </w:t>
      </w:r>
      <w:r w:rsidR="00F16495" w:rsidRPr="002C02B5">
        <w:rPr>
          <w:rStyle w:val="EMparaChar"/>
        </w:rPr>
        <w:t xml:space="preserve">and </w:t>
      </w:r>
      <w:r w:rsidR="00BD61E3" w:rsidRPr="002C02B5">
        <w:rPr>
          <w:rStyle w:val="EMparaChar"/>
        </w:rPr>
        <w:t>GT</w:t>
      </w:r>
      <w:r w:rsidR="00F92D5A">
        <w:rPr>
          <w:rStyle w:val="EMparaChar"/>
        </w:rPr>
        <w:t>E</w:t>
      </w:r>
      <w:r w:rsidR="00BD61E3" w:rsidRPr="002C02B5">
        <w:rPr>
          <w:rStyle w:val="EMparaChar"/>
        </w:rPr>
        <w:t xml:space="preserve"> operation</w:t>
      </w:r>
      <w:r w:rsidR="00F16495" w:rsidRPr="002C02B5">
        <w:rPr>
          <w:rStyle w:val="EMparaChar"/>
        </w:rPr>
        <w:t>s</w:t>
      </w:r>
      <w:r w:rsidR="00BD61E3" w:rsidRPr="00593AF3">
        <w:t>.</w:t>
      </w:r>
      <w:r w:rsidR="00BD61E3" w:rsidRPr="00593AF3">
        <w:rPr>
          <w:szCs w:val="24"/>
        </w:rPr>
        <w:t xml:space="preserve"> </w:t>
      </w:r>
    </w:p>
    <w:p w14:paraId="1B906FE3" w14:textId="77777777" w:rsidR="002C02B5" w:rsidRPr="00593AF3" w:rsidRDefault="002C02B5" w:rsidP="0074777B">
      <w:pPr>
        <w:pStyle w:val="EMpara"/>
        <w:spacing w:before="0" w:after="240"/>
        <w:rPr>
          <w:b/>
          <w:i/>
        </w:rPr>
      </w:pPr>
      <w:r w:rsidRPr="00593AF3">
        <w:rPr>
          <w:b/>
          <w:i/>
        </w:rPr>
        <w:lastRenderedPageBreak/>
        <w:t xml:space="preserve">Assessable gas </w:t>
      </w:r>
      <w:r w:rsidR="004F58B0">
        <w:t>is</w:t>
      </w:r>
      <w:r>
        <w:t xml:space="preserve"> </w:t>
      </w:r>
      <w:r w:rsidRPr="00593AF3">
        <w:t>defined as meaning</w:t>
      </w:r>
      <w:r>
        <w:rPr>
          <w:b/>
        </w:rPr>
        <w:t xml:space="preserve"> </w:t>
      </w:r>
      <w:r w:rsidRPr="00593AF3">
        <w:t>either:</w:t>
      </w:r>
    </w:p>
    <w:p w14:paraId="1B906FE4" w14:textId="77777777" w:rsidR="00F92D5A" w:rsidRPr="0040184D" w:rsidRDefault="00F92D5A" w:rsidP="0040184D">
      <w:pPr>
        <w:pStyle w:val="dotpoint"/>
        <w:numPr>
          <w:ilvl w:val="0"/>
          <w:numId w:val="2"/>
        </w:numPr>
        <w:spacing w:before="0" w:after="240"/>
        <w:ind w:hanging="544"/>
        <w:rPr>
          <w:sz w:val="24"/>
          <w:szCs w:val="24"/>
        </w:rPr>
      </w:pPr>
      <w:r w:rsidRPr="0040184D">
        <w:rPr>
          <w:sz w:val="24"/>
          <w:szCs w:val="24"/>
        </w:rPr>
        <w:t xml:space="preserve">in relation to calculating assessable petroleum receipts relating to sales gas </w:t>
      </w:r>
      <w:r w:rsidR="009C5CB2" w:rsidRPr="0040184D">
        <w:rPr>
          <w:sz w:val="24"/>
          <w:szCs w:val="24"/>
        </w:rPr>
        <w:t>–</w:t>
      </w:r>
      <w:r w:rsidRPr="0040184D">
        <w:rPr>
          <w:sz w:val="24"/>
          <w:szCs w:val="24"/>
        </w:rPr>
        <w:t xml:space="preserve">  project sales gas; and</w:t>
      </w:r>
    </w:p>
    <w:p w14:paraId="1B906FE5" w14:textId="77777777" w:rsidR="00F92D5A" w:rsidRPr="0040184D" w:rsidRDefault="00F92D5A" w:rsidP="0040184D">
      <w:pPr>
        <w:pStyle w:val="dotpoint"/>
        <w:numPr>
          <w:ilvl w:val="0"/>
          <w:numId w:val="2"/>
        </w:numPr>
        <w:spacing w:before="0" w:after="240"/>
        <w:ind w:hanging="544"/>
        <w:rPr>
          <w:sz w:val="24"/>
          <w:szCs w:val="24"/>
        </w:rPr>
      </w:pPr>
      <w:r w:rsidRPr="0040184D">
        <w:rPr>
          <w:sz w:val="24"/>
          <w:szCs w:val="24"/>
        </w:rPr>
        <w:t>in relation to calculating assessable petroleum receipts relating to natural gas – project natural gas.</w:t>
      </w:r>
    </w:p>
    <w:p w14:paraId="1B906FE6" w14:textId="77777777" w:rsidR="002C02B5" w:rsidRDefault="002C02B5" w:rsidP="0074777B">
      <w:pPr>
        <w:pStyle w:val="EMpara"/>
        <w:spacing w:before="0" w:after="240"/>
      </w:pPr>
      <w:r>
        <w:t xml:space="preserve">The term is used throughout the </w:t>
      </w:r>
      <w:r w:rsidR="00F92D5A">
        <w:t xml:space="preserve">Principal Regulation </w:t>
      </w:r>
      <w:r>
        <w:t xml:space="preserve">in cases where the relevant provision may apply to the determination of assessable receipts in relation to either </w:t>
      </w:r>
      <w:r w:rsidR="00196747">
        <w:t xml:space="preserve">project </w:t>
      </w:r>
      <w:r>
        <w:t xml:space="preserve">sales gas or project natural gas </w:t>
      </w:r>
      <w:r w:rsidR="004F58B0">
        <w:t xml:space="preserve">of </w:t>
      </w:r>
      <w:r>
        <w:t xml:space="preserve">an integrated operation.  </w:t>
      </w:r>
    </w:p>
    <w:p w14:paraId="1B906FE7" w14:textId="77777777" w:rsidR="00F92D5A" w:rsidRDefault="00251B52" w:rsidP="0074777B">
      <w:pPr>
        <w:pStyle w:val="EMpara"/>
        <w:spacing w:before="0" w:after="240"/>
        <w:rPr>
          <w:rStyle w:val="Referencingstyle"/>
        </w:rPr>
      </w:pPr>
      <w:r w:rsidRPr="002C02B5">
        <w:rPr>
          <w:b/>
          <w:i/>
        </w:rPr>
        <w:t>T</w:t>
      </w:r>
      <w:r w:rsidR="00F16495" w:rsidRPr="002C02B5">
        <w:rPr>
          <w:b/>
          <w:i/>
        </w:rPr>
        <w:t>axpayer</w:t>
      </w:r>
      <w:r w:rsidR="00F16495" w:rsidRPr="002C02B5">
        <w:t xml:space="preserve"> </w:t>
      </w:r>
      <w:r w:rsidR="004F58B0">
        <w:t>is</w:t>
      </w:r>
      <w:r w:rsidR="00F16495" w:rsidRPr="002C02B5">
        <w:t xml:space="preserve"> </w:t>
      </w:r>
      <w:r w:rsidRPr="002C02B5">
        <w:t xml:space="preserve">more broadly </w:t>
      </w:r>
      <w:r w:rsidR="00F16495" w:rsidRPr="002C02B5">
        <w:t xml:space="preserve">defined as meaning </w:t>
      </w:r>
      <w:r w:rsidR="00F92D5A">
        <w:t>an entity</w:t>
      </w:r>
      <w:r w:rsidR="00F16495" w:rsidRPr="002C02B5">
        <w:t xml:space="preserve"> </w:t>
      </w:r>
      <w:r w:rsidR="00F92D5A">
        <w:t>that</w:t>
      </w:r>
      <w:r w:rsidR="00F92D5A" w:rsidRPr="002C02B5">
        <w:t xml:space="preserve"> </w:t>
      </w:r>
      <w:r w:rsidR="00F16495" w:rsidRPr="002C02B5">
        <w:t>is a participant in an integrated operation and whose assessable petroleum receipts in relation to</w:t>
      </w:r>
      <w:r w:rsidRPr="002C02B5">
        <w:t xml:space="preserve"> either</w:t>
      </w:r>
      <w:r w:rsidR="00F16495" w:rsidRPr="002C02B5">
        <w:t xml:space="preserve"> sales gas or natural gas from that operation </w:t>
      </w:r>
      <w:r w:rsidR="002C02B5" w:rsidRPr="002C02B5">
        <w:t xml:space="preserve">are to be worked out under the </w:t>
      </w:r>
      <w:r w:rsidR="00F92D5A">
        <w:t xml:space="preserve">Principal </w:t>
      </w:r>
      <w:r w:rsidR="002C02B5" w:rsidRPr="002C02B5">
        <w:t xml:space="preserve">Regulation because of </w:t>
      </w:r>
      <w:r w:rsidR="00F92D5A">
        <w:t>r</w:t>
      </w:r>
      <w:r w:rsidR="00F16495" w:rsidRPr="002C02B5">
        <w:t>egulation</w:t>
      </w:r>
      <w:r w:rsidR="00F92D5A">
        <w:t>s</w:t>
      </w:r>
      <w:r w:rsidR="00F16495" w:rsidRPr="002C02B5">
        <w:t xml:space="preserve"> 14</w:t>
      </w:r>
      <w:r w:rsidR="00593AF3" w:rsidRPr="002C02B5">
        <w:t>, 15</w:t>
      </w:r>
      <w:r w:rsidR="00F16495" w:rsidRPr="002C02B5">
        <w:t xml:space="preserve"> or 16</w:t>
      </w:r>
      <w:r w:rsidR="00F16495" w:rsidRPr="002C02B5">
        <w:rPr>
          <w:rStyle w:val="Referencingstyle"/>
          <w:b w:val="0"/>
          <w:i w:val="0"/>
          <w:sz w:val="24"/>
        </w:rPr>
        <w:t xml:space="preserve"> </w:t>
      </w:r>
      <w:r w:rsidR="00F92D5A">
        <w:rPr>
          <w:rStyle w:val="Referencingstyle"/>
          <w:b w:val="0"/>
          <w:i w:val="0"/>
          <w:sz w:val="24"/>
        </w:rPr>
        <w:t>of the Principal Regulation</w:t>
      </w:r>
      <w:r w:rsidR="00F16495" w:rsidRPr="002C02B5">
        <w:rPr>
          <w:rStyle w:val="Referencingstyle"/>
        </w:rPr>
        <w:t>.</w:t>
      </w:r>
    </w:p>
    <w:p w14:paraId="1B906FE8" w14:textId="77777777" w:rsidR="00F16495" w:rsidRPr="002C02B5" w:rsidRDefault="00F16495" w:rsidP="0074777B">
      <w:pPr>
        <w:pStyle w:val="EMpara"/>
        <w:spacing w:before="0" w:after="240"/>
      </w:pPr>
      <w:r w:rsidRPr="002C02B5">
        <w:t>Reg</w:t>
      </w:r>
      <w:r w:rsidR="00251B52" w:rsidRPr="002C02B5">
        <w:t>ulation</w:t>
      </w:r>
      <w:r w:rsidR="00933183">
        <w:t xml:space="preserve">s </w:t>
      </w:r>
      <w:r w:rsidRPr="002C02B5">
        <w:t>14, 15 and 16</w:t>
      </w:r>
      <w:r w:rsidR="00F92D5A">
        <w:t xml:space="preserve"> of the Principal Regulation</w:t>
      </w:r>
      <w:r w:rsidRPr="002C02B5">
        <w:t xml:space="preserve"> set </w:t>
      </w:r>
      <w:r w:rsidR="0010380F" w:rsidRPr="002C02B5">
        <w:t>out t</w:t>
      </w:r>
      <w:r w:rsidR="005927DB" w:rsidRPr="002C02B5">
        <w:t>he circumstances under which a</w:t>
      </w:r>
      <w:r w:rsidR="0010380F" w:rsidRPr="002C02B5">
        <w:t xml:space="preserve"> taxpayer’s assessable petroleum receipts in relation to assessable gas are to be determined under the regulations. </w:t>
      </w:r>
    </w:p>
    <w:p w14:paraId="1B906FE9" w14:textId="77777777" w:rsidR="00397881" w:rsidRDefault="009A3063" w:rsidP="0074777B">
      <w:pPr>
        <w:pStyle w:val="EMpara"/>
        <w:spacing w:before="0" w:after="240"/>
        <w:rPr>
          <w:rStyle w:val="Referencingstyle"/>
          <w:i w:val="0"/>
        </w:rPr>
      </w:pPr>
      <w:r w:rsidRPr="002C02B5">
        <w:rPr>
          <w:rStyle w:val="EMparaChar"/>
        </w:rPr>
        <w:t xml:space="preserve">Both </w:t>
      </w:r>
      <w:r w:rsidRPr="002C02B5">
        <w:rPr>
          <w:rStyle w:val="EMparaChar"/>
          <w:b/>
          <w:i/>
        </w:rPr>
        <w:t>a</w:t>
      </w:r>
      <w:r w:rsidR="00397881" w:rsidRPr="002C02B5">
        <w:rPr>
          <w:rStyle w:val="EMparaChar"/>
          <w:b/>
          <w:i/>
        </w:rPr>
        <w:t>ctual mass of</w:t>
      </w:r>
      <w:r w:rsidR="00397881" w:rsidRPr="002C02B5">
        <w:rPr>
          <w:rStyle w:val="EMparaChar"/>
        </w:rPr>
        <w:t xml:space="preserve"> </w:t>
      </w:r>
      <w:r w:rsidR="00397881" w:rsidRPr="002C02B5">
        <w:rPr>
          <w:rStyle w:val="EMparaChar"/>
          <w:b/>
          <w:i/>
        </w:rPr>
        <w:t xml:space="preserve">project natural </w:t>
      </w:r>
      <w:r w:rsidR="00593AF3" w:rsidRPr="002C02B5">
        <w:rPr>
          <w:rStyle w:val="EMparaChar"/>
          <w:b/>
          <w:i/>
        </w:rPr>
        <w:t>gas</w:t>
      </w:r>
      <w:r w:rsidRPr="002C02B5">
        <w:rPr>
          <w:rStyle w:val="EMparaChar"/>
        </w:rPr>
        <w:t xml:space="preserve"> and </w:t>
      </w:r>
      <w:r w:rsidRPr="002C02B5">
        <w:rPr>
          <w:rStyle w:val="EMparaChar"/>
          <w:b/>
          <w:i/>
        </w:rPr>
        <w:t>actual volume of project natural gas</w:t>
      </w:r>
      <w:r>
        <w:t xml:space="preserve"> </w:t>
      </w:r>
      <w:r w:rsidR="004F58B0">
        <w:rPr>
          <w:rStyle w:val="EMparaChar"/>
        </w:rPr>
        <w:t>are</w:t>
      </w:r>
      <w:r w:rsidRPr="002C02B5">
        <w:rPr>
          <w:rStyle w:val="EMparaChar"/>
        </w:rPr>
        <w:t xml:space="preserve"> defined in relation to an integrated </w:t>
      </w:r>
      <w:r w:rsidR="00397881" w:rsidRPr="002C02B5">
        <w:rPr>
          <w:rStyle w:val="EMparaChar"/>
        </w:rPr>
        <w:t>operation and a year of tax</w:t>
      </w:r>
      <w:r w:rsidRPr="002C02B5">
        <w:rPr>
          <w:rStyle w:val="EMparaChar"/>
        </w:rPr>
        <w:t xml:space="preserve">. They mean </w:t>
      </w:r>
      <w:r w:rsidR="00397881" w:rsidRPr="002C02B5">
        <w:rPr>
          <w:rStyle w:val="EMparaChar"/>
        </w:rPr>
        <w:t>the mass o</w:t>
      </w:r>
      <w:r w:rsidR="00BD61E3" w:rsidRPr="002C02B5">
        <w:rPr>
          <w:rStyle w:val="EMparaChar"/>
        </w:rPr>
        <w:t xml:space="preserve">f </w:t>
      </w:r>
      <w:r w:rsidR="00397881" w:rsidRPr="002C02B5">
        <w:rPr>
          <w:rStyle w:val="EMparaChar"/>
        </w:rPr>
        <w:t>project natural gas</w:t>
      </w:r>
      <w:r w:rsidRPr="002C02B5">
        <w:rPr>
          <w:rStyle w:val="EMparaChar"/>
        </w:rPr>
        <w:t>, or the volume of project natural gas,</w:t>
      </w:r>
      <w:r w:rsidR="00397881" w:rsidRPr="002C02B5">
        <w:rPr>
          <w:rStyle w:val="EMparaChar"/>
        </w:rPr>
        <w:t xml:space="preserve"> that was used to produce project liquid or project electricity.</w:t>
      </w:r>
      <w:r w:rsidR="00F16495" w:rsidRPr="00593AF3">
        <w:rPr>
          <w:rStyle w:val="Referencingstyle"/>
        </w:rPr>
        <w:t xml:space="preserve"> </w:t>
      </w:r>
    </w:p>
    <w:p w14:paraId="1B906FEA" w14:textId="77777777" w:rsidR="009A3063" w:rsidRDefault="002C02B5" w:rsidP="0074777B">
      <w:pPr>
        <w:pStyle w:val="EMpara"/>
        <w:spacing w:before="0" w:after="240"/>
      </w:pPr>
      <w:r>
        <w:t xml:space="preserve">The </w:t>
      </w:r>
      <w:r w:rsidR="009A3063" w:rsidRPr="00593AF3">
        <w:t xml:space="preserve">terms </w:t>
      </w:r>
      <w:r>
        <w:t xml:space="preserve">are used in </w:t>
      </w:r>
      <w:r w:rsidR="00F92D5A">
        <w:t>r</w:t>
      </w:r>
      <w:r w:rsidR="009A3063" w:rsidRPr="00593AF3">
        <w:t>egulation 10</w:t>
      </w:r>
      <w:r>
        <w:t xml:space="preserve"> </w:t>
      </w:r>
      <w:r w:rsidR="004F58B0">
        <w:t xml:space="preserve">and regulation 10A </w:t>
      </w:r>
      <w:r w:rsidR="009A3063" w:rsidRPr="00593AF3">
        <w:t>for calculating the volume coefficient</w:t>
      </w:r>
      <w:r>
        <w:t xml:space="preserve"> or mass coefficient respectively</w:t>
      </w:r>
      <w:r w:rsidR="009A3063" w:rsidRPr="00593AF3">
        <w:t>.</w:t>
      </w:r>
      <w:r w:rsidR="009A3063">
        <w:t xml:space="preserve"> </w:t>
      </w:r>
      <w:r w:rsidR="009A3063" w:rsidRPr="00593AF3">
        <w:t>The</w:t>
      </w:r>
      <w:r w:rsidR="009A3063">
        <w:t xml:space="preserve"> </w:t>
      </w:r>
      <w:r>
        <w:t xml:space="preserve">relevant quantity </w:t>
      </w:r>
      <w:r w:rsidR="009A3063" w:rsidRPr="00593AF3">
        <w:t>coefficient</w:t>
      </w:r>
      <w:r>
        <w:t xml:space="preserve"> is used in </w:t>
      </w:r>
      <w:r w:rsidR="00F92D5A">
        <w:t>r</w:t>
      </w:r>
      <w:r w:rsidR="009A3063" w:rsidRPr="00593AF3">
        <w:t xml:space="preserve">egulations 22 and 23 </w:t>
      </w:r>
      <w:r w:rsidR="00F92D5A">
        <w:t xml:space="preserve">of the Principal Regulation </w:t>
      </w:r>
      <w:r w:rsidR="009A3063" w:rsidRPr="00593AF3">
        <w:t>to adjust the share of capital costs used in calculati</w:t>
      </w:r>
      <w:r w:rsidR="00573171">
        <w:t>ng the netback and cost-plus price in a year,</w:t>
      </w:r>
      <w:r w:rsidR="009A3063" w:rsidRPr="00593AF3">
        <w:t xml:space="preserve"> according to the ratio of that year’s </w:t>
      </w:r>
      <w:r w:rsidR="00573171">
        <w:t xml:space="preserve">actual </w:t>
      </w:r>
      <w:r w:rsidR="009A3063" w:rsidRPr="00593AF3">
        <w:t xml:space="preserve">gas </w:t>
      </w:r>
      <w:r w:rsidR="009A3063">
        <w:t xml:space="preserve">mass or </w:t>
      </w:r>
      <w:r w:rsidR="00573171">
        <w:t>volume and the estimated average volume</w:t>
      </w:r>
      <w:r w:rsidR="009A3063" w:rsidRPr="00593AF3">
        <w:t>, or</w:t>
      </w:r>
      <w:r w:rsidR="00573171">
        <w:t>,</w:t>
      </w:r>
      <w:r w:rsidR="009A3063" w:rsidRPr="00593AF3">
        <w:t xml:space="preserve"> once actual annual </w:t>
      </w:r>
      <w:r w:rsidR="009A3063">
        <w:t xml:space="preserve">mass or </w:t>
      </w:r>
      <w:r w:rsidR="00573171">
        <w:t>volume has exceeded the estimated average</w:t>
      </w:r>
      <w:r w:rsidR="009A3063" w:rsidRPr="00593AF3">
        <w:t xml:space="preserve">, </w:t>
      </w:r>
      <w:r w:rsidR="00573171">
        <w:t xml:space="preserve">the </w:t>
      </w:r>
      <w:r w:rsidR="009A3063" w:rsidRPr="00593AF3">
        <w:t xml:space="preserve">average gas </w:t>
      </w:r>
      <w:r w:rsidR="009A3063">
        <w:t xml:space="preserve">mass or </w:t>
      </w:r>
      <w:r w:rsidR="009A3063" w:rsidRPr="00593AF3">
        <w:t>volume.</w:t>
      </w:r>
    </w:p>
    <w:p w14:paraId="1B906FEB" w14:textId="77777777" w:rsidR="00F92D5A" w:rsidRPr="00593AF3" w:rsidRDefault="00F92D5A" w:rsidP="00F92D5A">
      <w:pPr>
        <w:pStyle w:val="Heading3"/>
        <w:spacing w:before="0" w:after="240"/>
      </w:pPr>
      <w:r>
        <w:t>Changes to other definitions in the Principal Regulation</w:t>
      </w:r>
    </w:p>
    <w:p w14:paraId="1B906FEC" w14:textId="77777777" w:rsidR="00EB2B55" w:rsidRDefault="00EF4BE4" w:rsidP="0074777B">
      <w:pPr>
        <w:spacing w:after="240"/>
        <w:rPr>
          <w:rStyle w:val="EMparaChar"/>
          <w:b/>
          <w:i/>
        </w:rPr>
      </w:pPr>
      <w:r>
        <w:rPr>
          <w:rStyle w:val="EMparaChar"/>
        </w:rPr>
        <w:t>There are also</w:t>
      </w:r>
      <w:r w:rsidR="00397881" w:rsidRPr="002C02B5">
        <w:rPr>
          <w:rStyle w:val="EMparaChar"/>
        </w:rPr>
        <w:t xml:space="preserve"> </w:t>
      </w:r>
      <w:r w:rsidR="004B449B" w:rsidRPr="002C02B5">
        <w:rPr>
          <w:rStyle w:val="EMparaChar"/>
        </w:rPr>
        <w:t xml:space="preserve">other </w:t>
      </w:r>
      <w:r w:rsidR="00397881" w:rsidRPr="002C02B5">
        <w:rPr>
          <w:rStyle w:val="EMparaChar"/>
        </w:rPr>
        <w:t xml:space="preserve">terms of specific use </w:t>
      </w:r>
      <w:r w:rsidR="00483227" w:rsidRPr="002C02B5">
        <w:rPr>
          <w:rStyle w:val="EMparaChar"/>
        </w:rPr>
        <w:t xml:space="preserve">that </w:t>
      </w:r>
      <w:r w:rsidR="00E140E9">
        <w:rPr>
          <w:rStyle w:val="EMparaChar"/>
        </w:rPr>
        <w:t>are</w:t>
      </w:r>
      <w:r w:rsidR="00483227" w:rsidRPr="002C02B5">
        <w:rPr>
          <w:rStyle w:val="EMparaChar"/>
        </w:rPr>
        <w:t xml:space="preserve"> included or amended by</w:t>
      </w:r>
      <w:r w:rsidR="00E140E9">
        <w:rPr>
          <w:rStyle w:val="EMparaChar"/>
        </w:rPr>
        <w:t xml:space="preserve"> the</w:t>
      </w:r>
      <w:r w:rsidR="00F92D5A">
        <w:rPr>
          <w:rStyle w:val="EMparaChar"/>
        </w:rPr>
        <w:t xml:space="preserve"> </w:t>
      </w:r>
      <w:r w:rsidR="00397881" w:rsidRPr="002C02B5">
        <w:rPr>
          <w:rStyle w:val="EMparaChar"/>
        </w:rPr>
        <w:t>Regulation</w:t>
      </w:r>
      <w:r>
        <w:rPr>
          <w:rStyle w:val="EMparaChar"/>
        </w:rPr>
        <w:t xml:space="preserve"> and are discussed in further detail in the relevant section</w:t>
      </w:r>
      <w:r w:rsidR="008E525A">
        <w:rPr>
          <w:rStyle w:val="EMparaChar"/>
        </w:rPr>
        <w:t>s</w:t>
      </w:r>
      <w:r>
        <w:rPr>
          <w:rStyle w:val="EMparaChar"/>
        </w:rPr>
        <w:t xml:space="preserve"> below</w:t>
      </w:r>
      <w:r w:rsidR="00EB2B55">
        <w:rPr>
          <w:rStyle w:val="EMparaChar"/>
        </w:rPr>
        <w:t xml:space="preserve">. The amendments made are minor and </w:t>
      </w:r>
      <w:r w:rsidR="00E140E9">
        <w:rPr>
          <w:rStyle w:val="EMparaChar"/>
        </w:rPr>
        <w:t>are required</w:t>
      </w:r>
      <w:r w:rsidR="00EB2B55">
        <w:rPr>
          <w:rStyle w:val="EMparaChar"/>
        </w:rPr>
        <w:t xml:space="preserve"> to adjust the terms to reflect the extension of the framework in the Principal Regulation to onshore integrated GTL and GTE operations.</w:t>
      </w:r>
      <w:r w:rsidR="00397881" w:rsidRPr="004822F7">
        <w:br/>
      </w:r>
      <w:r w:rsidR="00397881">
        <w:rPr>
          <w:b/>
        </w:rPr>
        <w:br/>
      </w:r>
      <w:r w:rsidR="00B146C6">
        <w:rPr>
          <w:rStyle w:val="EMparaChar"/>
        </w:rPr>
        <w:t>A note is</w:t>
      </w:r>
      <w:r w:rsidR="00CF0B1B" w:rsidRPr="002C02B5">
        <w:rPr>
          <w:rStyle w:val="EMparaChar"/>
        </w:rPr>
        <w:t xml:space="preserve"> </w:t>
      </w:r>
      <w:r w:rsidR="007D6465" w:rsidRPr="002C02B5">
        <w:rPr>
          <w:rStyle w:val="EMparaChar"/>
        </w:rPr>
        <w:t xml:space="preserve">also </w:t>
      </w:r>
      <w:r w:rsidR="00CF0B1B" w:rsidRPr="002C02B5">
        <w:rPr>
          <w:rStyle w:val="EMparaChar"/>
        </w:rPr>
        <w:t xml:space="preserve">be inserted </w:t>
      </w:r>
      <w:r w:rsidR="00397881" w:rsidRPr="002C02B5">
        <w:rPr>
          <w:rStyle w:val="EMparaChar"/>
        </w:rPr>
        <w:t xml:space="preserve">at the end of </w:t>
      </w:r>
      <w:r w:rsidR="00EB2B55">
        <w:rPr>
          <w:rStyle w:val="EMparaChar"/>
        </w:rPr>
        <w:t>r</w:t>
      </w:r>
      <w:r w:rsidR="00397881" w:rsidRPr="002C02B5">
        <w:rPr>
          <w:rStyle w:val="EMparaChar"/>
        </w:rPr>
        <w:t xml:space="preserve">egulation 3 </w:t>
      </w:r>
      <w:r w:rsidR="00EB2B55">
        <w:rPr>
          <w:rStyle w:val="EMparaChar"/>
        </w:rPr>
        <w:t xml:space="preserve">of the Principal Regulation </w:t>
      </w:r>
      <w:r w:rsidR="00CF0B1B" w:rsidRPr="002C02B5">
        <w:rPr>
          <w:rStyle w:val="EMparaChar"/>
        </w:rPr>
        <w:t>detailing those terms used wh</w:t>
      </w:r>
      <w:r w:rsidR="007D6465" w:rsidRPr="002C02B5">
        <w:rPr>
          <w:rStyle w:val="EMparaChar"/>
        </w:rPr>
        <w:t>ich are</w:t>
      </w:r>
      <w:r w:rsidR="00CF0B1B" w:rsidRPr="002C02B5">
        <w:rPr>
          <w:rStyle w:val="EMparaChar"/>
        </w:rPr>
        <w:t xml:space="preserve"> defined in section 2 of the PRRTAA</w:t>
      </w:r>
      <w:r w:rsidR="004E4CA2" w:rsidRPr="002C02B5">
        <w:rPr>
          <w:rStyle w:val="EMparaChar"/>
        </w:rPr>
        <w:t xml:space="preserve">. </w:t>
      </w:r>
    </w:p>
    <w:p w14:paraId="1B906FED" w14:textId="77777777" w:rsidR="00951F8C" w:rsidRPr="00593AF3" w:rsidRDefault="00EB2B55" w:rsidP="0074777B">
      <w:pPr>
        <w:pStyle w:val="Heading2"/>
        <w:spacing w:before="0" w:after="240"/>
      </w:pPr>
      <w:bookmarkStart w:id="3" w:name="_Toc355018918"/>
      <w:bookmarkStart w:id="4" w:name="_Toc355023799"/>
      <w:bookmarkStart w:id="5" w:name="_Toc356480351"/>
      <w:r>
        <w:t>PART</w:t>
      </w:r>
      <w:r w:rsidR="00593AF3" w:rsidRPr="00593AF3">
        <w:t xml:space="preserve"> </w:t>
      </w:r>
      <w:bookmarkEnd w:id="3"/>
      <w:bookmarkEnd w:id="4"/>
      <w:r>
        <w:t xml:space="preserve">4 </w:t>
      </w:r>
      <w:r w:rsidR="00B5292A">
        <w:t>–</w:t>
      </w:r>
      <w:r>
        <w:t xml:space="preserve"> </w:t>
      </w:r>
      <w:r w:rsidR="003D066F">
        <w:t>U</w:t>
      </w:r>
      <w:r w:rsidR="00593AF3" w:rsidRPr="00593AF3">
        <w:t>se of mass measurement</w:t>
      </w:r>
      <w:bookmarkEnd w:id="5"/>
    </w:p>
    <w:p w14:paraId="1B906FEE" w14:textId="77777777" w:rsidR="00056C66" w:rsidRDefault="007D6465" w:rsidP="0074777B">
      <w:pPr>
        <w:pStyle w:val="base-text-paragraph"/>
        <w:numPr>
          <w:ilvl w:val="0"/>
          <w:numId w:val="0"/>
        </w:numPr>
        <w:spacing w:before="0" w:after="240"/>
        <w:rPr>
          <w:sz w:val="24"/>
          <w:szCs w:val="24"/>
        </w:rPr>
      </w:pPr>
      <w:r w:rsidRPr="0095654C">
        <w:rPr>
          <w:rStyle w:val="EMparaChar"/>
        </w:rPr>
        <w:t xml:space="preserve">This </w:t>
      </w:r>
      <w:r w:rsidR="00EB2B55">
        <w:rPr>
          <w:rStyle w:val="EMparaChar"/>
        </w:rPr>
        <w:t>Part</w:t>
      </w:r>
      <w:r w:rsidR="00EB2B55" w:rsidRPr="0095654C">
        <w:rPr>
          <w:rStyle w:val="EMparaChar"/>
        </w:rPr>
        <w:t xml:space="preserve"> </w:t>
      </w:r>
      <w:r w:rsidRPr="0095654C">
        <w:rPr>
          <w:rStyle w:val="EMparaChar"/>
        </w:rPr>
        <w:t xml:space="preserve">explains </w:t>
      </w:r>
      <w:r w:rsidR="00B146C6">
        <w:rPr>
          <w:rStyle w:val="EMparaChar"/>
        </w:rPr>
        <w:t>the amendments in the</w:t>
      </w:r>
      <w:r w:rsidR="00EB2B55">
        <w:rPr>
          <w:rStyle w:val="EMparaChar"/>
        </w:rPr>
        <w:t xml:space="preserve"> Regulation</w:t>
      </w:r>
      <w:r w:rsidR="004C107E" w:rsidRPr="0095654C">
        <w:rPr>
          <w:rStyle w:val="EMparaChar"/>
        </w:rPr>
        <w:t xml:space="preserve"> </w:t>
      </w:r>
      <w:r w:rsidR="00EB2B55">
        <w:rPr>
          <w:rStyle w:val="EMparaChar"/>
        </w:rPr>
        <w:t xml:space="preserve">that </w:t>
      </w:r>
      <w:r w:rsidR="002810FA" w:rsidRPr="0095654C">
        <w:rPr>
          <w:rStyle w:val="EMparaChar"/>
        </w:rPr>
        <w:t>ensure</w:t>
      </w:r>
      <w:r w:rsidR="004C107E" w:rsidRPr="0095654C">
        <w:rPr>
          <w:rStyle w:val="EMparaChar"/>
        </w:rPr>
        <w:t xml:space="preserve"> that</w:t>
      </w:r>
      <w:r w:rsidR="008E525A">
        <w:rPr>
          <w:rStyle w:val="EMparaChar"/>
        </w:rPr>
        <w:t>,</w:t>
      </w:r>
      <w:r w:rsidR="00056C66">
        <w:rPr>
          <w:sz w:val="24"/>
          <w:szCs w:val="24"/>
        </w:rPr>
        <w:t xml:space="preserve"> </w:t>
      </w:r>
      <w:r w:rsidR="008E525A">
        <w:rPr>
          <w:sz w:val="24"/>
          <w:szCs w:val="24"/>
        </w:rPr>
        <w:t>when</w:t>
      </w:r>
      <w:r w:rsidR="00CA5739" w:rsidRPr="00593AF3">
        <w:rPr>
          <w:sz w:val="24"/>
          <w:szCs w:val="24"/>
        </w:rPr>
        <w:t xml:space="preserve"> applying the RPM, a taxpayer may use the mass of petroleum products rather than their volume in determining the RPM price, noting that </w:t>
      </w:r>
      <w:r w:rsidR="0095654C">
        <w:rPr>
          <w:sz w:val="24"/>
          <w:szCs w:val="24"/>
        </w:rPr>
        <w:t xml:space="preserve">it delivers an identical </w:t>
      </w:r>
      <w:r w:rsidR="00580E36">
        <w:rPr>
          <w:sz w:val="24"/>
          <w:szCs w:val="24"/>
        </w:rPr>
        <w:t>RPM price outcome</w:t>
      </w:r>
      <w:r w:rsidR="00056C66">
        <w:rPr>
          <w:sz w:val="24"/>
          <w:szCs w:val="24"/>
        </w:rPr>
        <w:t>.</w:t>
      </w:r>
    </w:p>
    <w:p w14:paraId="1B906FEF" w14:textId="77777777" w:rsidR="009F3229" w:rsidRPr="00593AF3" w:rsidRDefault="009F3229" w:rsidP="0074777B">
      <w:pPr>
        <w:pStyle w:val="Heading3"/>
        <w:spacing w:before="0" w:after="240"/>
      </w:pPr>
      <w:r w:rsidRPr="00593AF3">
        <w:lastRenderedPageBreak/>
        <w:t>Use of mass measurement</w:t>
      </w:r>
    </w:p>
    <w:p w14:paraId="1B906FF0" w14:textId="77777777" w:rsidR="00442060" w:rsidRDefault="00CA5739" w:rsidP="0074777B">
      <w:pPr>
        <w:pStyle w:val="EMpara"/>
        <w:spacing w:before="0" w:after="240"/>
      </w:pPr>
      <w:r w:rsidRPr="0095654C">
        <w:t>The volume of project natural gas and project sales gas are used in the Principal Regulation to determine the volume coefficient</w:t>
      </w:r>
      <w:r w:rsidR="00BF2F99" w:rsidRPr="0095654C">
        <w:t>, which is</w:t>
      </w:r>
      <w:r w:rsidRPr="0095654C">
        <w:t xml:space="preserve"> used to weigh</w:t>
      </w:r>
      <w:r w:rsidR="008E525A">
        <w:t>t</w:t>
      </w:r>
      <w:r w:rsidR="00BF2F99" w:rsidRPr="0095654C">
        <w:t xml:space="preserve"> </w:t>
      </w:r>
      <w:r w:rsidR="0017346C" w:rsidRPr="0095654C">
        <w:t xml:space="preserve">upstream and downstream </w:t>
      </w:r>
      <w:r w:rsidRPr="0095654C">
        <w:t xml:space="preserve">capital costs </w:t>
      </w:r>
      <w:r w:rsidR="0095654C">
        <w:t xml:space="preserve">(under regulations 22 and 23) </w:t>
      </w:r>
      <w:r w:rsidR="0017346C" w:rsidRPr="0095654C">
        <w:t>to ensure that capital costs are spread across years according to the volume of gas produced in each year</w:t>
      </w:r>
      <w:r w:rsidR="001319B6" w:rsidRPr="0095654C">
        <w:t xml:space="preserve"> of tax</w:t>
      </w:r>
      <w:r w:rsidR="0017346C" w:rsidRPr="0095654C">
        <w:t xml:space="preserve">. </w:t>
      </w:r>
    </w:p>
    <w:p w14:paraId="1B906FF1" w14:textId="77777777" w:rsidR="00CA5739" w:rsidRPr="0095654C" w:rsidRDefault="0017346C" w:rsidP="0074777B">
      <w:pPr>
        <w:pStyle w:val="EMpara"/>
        <w:spacing w:before="0" w:after="240"/>
      </w:pPr>
      <w:r w:rsidRPr="003D066F">
        <w:t xml:space="preserve">This ensures that </w:t>
      </w:r>
      <w:r w:rsidR="0032733A" w:rsidRPr="003D066F">
        <w:t xml:space="preserve">an appropriate </w:t>
      </w:r>
      <w:r w:rsidR="00CA5739" w:rsidRPr="003D066F">
        <w:t xml:space="preserve">RPM price </w:t>
      </w:r>
      <w:r w:rsidR="0032733A" w:rsidRPr="003D066F">
        <w:t xml:space="preserve">for the operation </w:t>
      </w:r>
      <w:r w:rsidR="003D066F" w:rsidRPr="003D066F">
        <w:t xml:space="preserve">is determined </w:t>
      </w:r>
      <w:r w:rsidR="0032733A" w:rsidRPr="003D066F">
        <w:t xml:space="preserve">during </w:t>
      </w:r>
      <w:r w:rsidR="0095654C" w:rsidRPr="003D066F">
        <w:t>each year</w:t>
      </w:r>
      <w:r w:rsidR="00B146C6">
        <w:t>,</w:t>
      </w:r>
      <w:r w:rsidRPr="003D066F">
        <w:t xml:space="preserve"> which is not distorted by high or low production volumes in a given year of tax</w:t>
      </w:r>
      <w:r w:rsidR="00CA5739" w:rsidRPr="003D066F">
        <w:t>.</w:t>
      </w:r>
      <w:r w:rsidR="00CA5739" w:rsidRPr="0095654C">
        <w:t xml:space="preserve">  </w:t>
      </w:r>
    </w:p>
    <w:p w14:paraId="1B906FF2" w14:textId="77777777" w:rsidR="00442060" w:rsidRDefault="00C539F1" w:rsidP="0074777B">
      <w:pPr>
        <w:pStyle w:val="EMpara"/>
        <w:spacing w:before="0" w:after="240"/>
        <w:rPr>
          <w:rStyle w:val="EMparaChar"/>
        </w:rPr>
      </w:pPr>
      <w:r w:rsidRPr="003D066F">
        <w:rPr>
          <w:rStyle w:val="EMparaChar"/>
        </w:rPr>
        <w:t xml:space="preserve">In practice, </w:t>
      </w:r>
      <w:r w:rsidR="009F3229" w:rsidRPr="003D066F">
        <w:rPr>
          <w:rStyle w:val="EMparaChar"/>
        </w:rPr>
        <w:t>participants in</w:t>
      </w:r>
      <w:r w:rsidRPr="003D066F">
        <w:rPr>
          <w:rStyle w:val="EMparaChar"/>
        </w:rPr>
        <w:t xml:space="preserve"> an integrated operation may measure</w:t>
      </w:r>
      <w:r w:rsidR="008E525A">
        <w:rPr>
          <w:rStyle w:val="EMparaChar"/>
        </w:rPr>
        <w:t xml:space="preserve"> project product</w:t>
      </w:r>
      <w:r w:rsidRPr="003D066F">
        <w:rPr>
          <w:rStyle w:val="EMparaChar"/>
        </w:rPr>
        <w:t xml:space="preserve"> by volume</w:t>
      </w:r>
      <w:r w:rsidR="001B6A25">
        <w:rPr>
          <w:rStyle w:val="EMparaChar"/>
        </w:rPr>
        <w:t xml:space="preserve"> or by mass</w:t>
      </w:r>
      <w:r w:rsidRPr="003D066F">
        <w:rPr>
          <w:rStyle w:val="EMparaChar"/>
        </w:rPr>
        <w:t xml:space="preserve">.  Whether project product is measured by volume or by mass has no effect </w:t>
      </w:r>
      <w:r w:rsidR="003D066F">
        <w:rPr>
          <w:rStyle w:val="EMparaChar"/>
        </w:rPr>
        <w:t xml:space="preserve">on the calculations within the </w:t>
      </w:r>
      <w:r w:rsidR="00442060">
        <w:rPr>
          <w:rStyle w:val="EMparaChar"/>
        </w:rPr>
        <w:t>Principal Regulation</w:t>
      </w:r>
      <w:r w:rsidR="00442060" w:rsidRPr="003D066F">
        <w:rPr>
          <w:rStyle w:val="EMparaChar"/>
        </w:rPr>
        <w:t xml:space="preserve"> </w:t>
      </w:r>
      <w:r w:rsidRPr="003D066F">
        <w:rPr>
          <w:rStyle w:val="EMparaChar"/>
        </w:rPr>
        <w:t xml:space="preserve">provided that the same measure is used for all parts of each separate calculation.  </w:t>
      </w:r>
    </w:p>
    <w:p w14:paraId="1B906FF3" w14:textId="77777777" w:rsidR="009F3229" w:rsidRPr="00233847" w:rsidRDefault="00C539F1" w:rsidP="0074777B">
      <w:pPr>
        <w:pStyle w:val="EMpara"/>
        <w:spacing w:before="0" w:after="240"/>
      </w:pPr>
      <w:r w:rsidRPr="003D066F">
        <w:rPr>
          <w:rStyle w:val="EMparaChar"/>
        </w:rPr>
        <w:t xml:space="preserve">The </w:t>
      </w:r>
      <w:r w:rsidR="00442060">
        <w:rPr>
          <w:rStyle w:val="EMparaChar"/>
        </w:rPr>
        <w:t xml:space="preserve">Regulation </w:t>
      </w:r>
      <w:r w:rsidRPr="003D066F">
        <w:rPr>
          <w:rStyle w:val="EMparaChar"/>
        </w:rPr>
        <w:t>allow</w:t>
      </w:r>
      <w:r w:rsidR="00395F86">
        <w:rPr>
          <w:rStyle w:val="EMparaChar"/>
        </w:rPr>
        <w:t>s</w:t>
      </w:r>
      <w:r w:rsidRPr="003D066F">
        <w:rPr>
          <w:rStyle w:val="EMparaChar"/>
        </w:rPr>
        <w:t xml:space="preserve"> participants the option of using mass instead of volume </w:t>
      </w:r>
      <w:r w:rsidR="009F3229" w:rsidRPr="003D066F">
        <w:rPr>
          <w:rStyle w:val="EMparaChar"/>
        </w:rPr>
        <w:t xml:space="preserve">by </w:t>
      </w:r>
      <w:r w:rsidR="00442060">
        <w:rPr>
          <w:rStyle w:val="EMparaChar"/>
        </w:rPr>
        <w:t xml:space="preserve">amending the Principal Regulation so that it </w:t>
      </w:r>
      <w:r w:rsidR="009F3229" w:rsidRPr="003D066F">
        <w:rPr>
          <w:rStyle w:val="EMparaChar"/>
        </w:rPr>
        <w:t>accounts for both mass and volume measurement</w:t>
      </w:r>
      <w:r w:rsidRPr="003D066F">
        <w:rPr>
          <w:rStyle w:val="EMparaChar"/>
        </w:rPr>
        <w:t>.</w:t>
      </w:r>
    </w:p>
    <w:p w14:paraId="1B906FF4" w14:textId="77777777" w:rsidR="00C539F1" w:rsidRPr="00580E36" w:rsidRDefault="009F3229" w:rsidP="0074777B">
      <w:pPr>
        <w:pStyle w:val="EMpara"/>
        <w:spacing w:before="0" w:after="240"/>
      </w:pPr>
      <w:r>
        <w:t xml:space="preserve">In relation to mass measurement, </w:t>
      </w:r>
      <w:r w:rsidR="0017346C">
        <w:t xml:space="preserve">and </w:t>
      </w:r>
      <w:r>
        <w:t xml:space="preserve">consistent with the approach to volume measurement, the </w:t>
      </w:r>
      <w:r w:rsidR="00442060">
        <w:t>Regulation</w:t>
      </w:r>
      <w:r w:rsidR="00C539F1" w:rsidRPr="00580E36">
        <w:t>:</w:t>
      </w:r>
    </w:p>
    <w:p w14:paraId="1B906FF5" w14:textId="77777777" w:rsidR="00C539F1" w:rsidRPr="00233847" w:rsidRDefault="00442060" w:rsidP="0074777B">
      <w:pPr>
        <w:pStyle w:val="Bullet"/>
        <w:tabs>
          <w:tab w:val="clear" w:pos="567"/>
          <w:tab w:val="num" w:pos="1134"/>
        </w:tabs>
        <w:spacing w:after="240"/>
        <w:ind w:left="1134"/>
      </w:pPr>
      <w:r>
        <w:t>r</w:t>
      </w:r>
      <w:r w:rsidR="00C539F1" w:rsidRPr="009F3229">
        <w:t>equir</w:t>
      </w:r>
      <w:r w:rsidR="009F3229" w:rsidRPr="00593AF3">
        <w:t>e</w:t>
      </w:r>
      <w:r w:rsidR="001E68B9">
        <w:t>s</w:t>
      </w:r>
      <w:r w:rsidR="00C539F1" w:rsidRPr="009F3229">
        <w:t xml:space="preserve"> participants in an integrated operation who measure by mass to give the Commissioner estimates of the total mass of project natural gas to be recovered during the life of the operation</w:t>
      </w:r>
      <w:r>
        <w:t>; and</w:t>
      </w:r>
    </w:p>
    <w:p w14:paraId="1B906FF6" w14:textId="77777777" w:rsidR="00C539F1" w:rsidRPr="00DC34F9" w:rsidRDefault="00442060" w:rsidP="0074777B">
      <w:pPr>
        <w:pStyle w:val="Bullet"/>
        <w:tabs>
          <w:tab w:val="clear" w:pos="567"/>
          <w:tab w:val="num" w:pos="1134"/>
        </w:tabs>
        <w:spacing w:after="240"/>
        <w:ind w:left="1134"/>
        <w:rPr>
          <w:rStyle w:val="Referencingstyle"/>
          <w:szCs w:val="20"/>
        </w:rPr>
      </w:pPr>
      <w:r>
        <w:t>p</w:t>
      </w:r>
      <w:r w:rsidR="00C539F1" w:rsidRPr="009F3229">
        <w:t>rovid</w:t>
      </w:r>
      <w:r w:rsidR="009F3229" w:rsidRPr="00593AF3">
        <w:t>e</w:t>
      </w:r>
      <w:r w:rsidR="001E68B9">
        <w:t>s</w:t>
      </w:r>
      <w:r w:rsidR="00C539F1" w:rsidRPr="009F3229">
        <w:t xml:space="preserve"> the formula for calculating the </w:t>
      </w:r>
      <w:r w:rsidR="00C539F1" w:rsidRPr="0074777B">
        <w:rPr>
          <w:i/>
        </w:rPr>
        <w:t>estimated average annual mass of project natural gas</w:t>
      </w:r>
      <w:r w:rsidR="00C539F1" w:rsidRPr="00593AF3">
        <w:t xml:space="preserve"> for an integrated operation in which natural gas will be measured by mass (using the estimates notified by the Commissioner</w:t>
      </w:r>
      <w:r w:rsidR="00C539F1" w:rsidRPr="00DC34F9">
        <w:rPr>
          <w:rStyle w:val="Referencingstyle"/>
        </w:rPr>
        <w:t>)</w:t>
      </w:r>
      <w:r>
        <w:rPr>
          <w:rStyle w:val="Referencingstyle"/>
        </w:rPr>
        <w:t>.</w:t>
      </w:r>
      <w:r w:rsidRPr="00DC34F9" w:rsidDel="00442060">
        <w:rPr>
          <w:rStyle w:val="Referencingstyle"/>
        </w:rPr>
        <w:t xml:space="preserve"> </w:t>
      </w:r>
    </w:p>
    <w:p w14:paraId="1B906FF7" w14:textId="77777777" w:rsidR="00442060" w:rsidRDefault="00495175" w:rsidP="0074777B">
      <w:pPr>
        <w:pStyle w:val="EMpara"/>
        <w:spacing w:before="0" w:after="240"/>
      </w:pPr>
      <w:r>
        <w:t xml:space="preserve">All participants in an integrated operation must use the same measure (whether it </w:t>
      </w:r>
      <w:r w:rsidR="00593AF3">
        <w:t>is</w:t>
      </w:r>
      <w:r>
        <w:t xml:space="preserve"> mass or volume).  Where participants have chosen to measure by mass, they will need to give the Commissioner estimates of the total mass of project product to be recovered during the </w:t>
      </w:r>
      <w:r w:rsidR="003D066F">
        <w:t xml:space="preserve">life of the operation, and </w:t>
      </w:r>
      <w:r>
        <w:t xml:space="preserve">must continue to measure by mass. </w:t>
      </w:r>
    </w:p>
    <w:p w14:paraId="1B906FF8" w14:textId="77777777" w:rsidR="00495175" w:rsidRDefault="00495175" w:rsidP="0074777B">
      <w:pPr>
        <w:pStyle w:val="EMpara"/>
        <w:spacing w:before="0" w:after="240"/>
      </w:pPr>
      <w:r>
        <w:t>It is not possible to switch from volume to mass and vice-versa.  Where a taxpayer has customers</w:t>
      </w:r>
      <w:r w:rsidR="008A14F6">
        <w:t>,</w:t>
      </w:r>
      <w:r>
        <w:t xml:space="preserve"> some of whom buy by mass and some whom buy by volume, all quantities need to be converted to the measure that is being used by all participants in the integrated operation, being the same measure used in the estimates provided to the Commissioner.</w:t>
      </w:r>
    </w:p>
    <w:p w14:paraId="1B906FF9" w14:textId="77777777" w:rsidR="0017346C" w:rsidRDefault="00442060" w:rsidP="0074777B">
      <w:pPr>
        <w:pStyle w:val="EMpara"/>
        <w:spacing w:before="0" w:after="240"/>
      </w:pPr>
      <w:r>
        <w:t xml:space="preserve">Regulation 10 of the </w:t>
      </w:r>
      <w:r w:rsidR="0017346C" w:rsidRPr="00593AF3">
        <w:t>Principal Regulation</w:t>
      </w:r>
      <w:r>
        <w:t xml:space="preserve"> </w:t>
      </w:r>
      <w:r w:rsidR="0017346C">
        <w:t>defines</w:t>
      </w:r>
      <w:r w:rsidR="0017346C" w:rsidRPr="00593AF3">
        <w:t xml:space="preserve"> the base year</w:t>
      </w:r>
      <w:r w:rsidR="0017346C">
        <w:t xml:space="preserve"> for an integrated</w:t>
      </w:r>
      <w:r w:rsidR="0017346C" w:rsidRPr="00593AF3">
        <w:t xml:space="preserve"> operation and provides the formula for calculating the volume coefficient for a year of tax. </w:t>
      </w:r>
      <w:r w:rsidR="001319B6">
        <w:t xml:space="preserve">The base year means the year of tax in which the actual volume of project natural gas first exceeds the estimated average volume of project natural gas for the integrated GTL operation. </w:t>
      </w:r>
    </w:p>
    <w:p w14:paraId="1B906FFA" w14:textId="77777777" w:rsidR="00F36DC7" w:rsidRPr="00DC7548" w:rsidRDefault="001E68B9" w:rsidP="0074777B">
      <w:pPr>
        <w:pStyle w:val="EMpara"/>
        <w:spacing w:before="0" w:after="240"/>
        <w:rPr>
          <w:b/>
          <w:i/>
        </w:rPr>
      </w:pPr>
      <w:r>
        <w:t xml:space="preserve">The </w:t>
      </w:r>
      <w:r w:rsidR="00442060">
        <w:t>Regulation make</w:t>
      </w:r>
      <w:r>
        <w:t>s</w:t>
      </w:r>
      <w:r w:rsidR="00442060">
        <w:t xml:space="preserve"> m</w:t>
      </w:r>
      <w:r w:rsidR="00F36DC7">
        <w:t xml:space="preserve">inor amendments </w:t>
      </w:r>
      <w:r w:rsidR="00F36DC7" w:rsidRPr="00593AF3">
        <w:t>to the definitio</w:t>
      </w:r>
      <w:r w:rsidR="00F36DC7">
        <w:t>ns</w:t>
      </w:r>
      <w:r w:rsidR="00F36DC7" w:rsidRPr="00593AF3">
        <w:t xml:space="preserve"> in the formula for calculating the volume coefficient where the current year is after the base year.  The </w:t>
      </w:r>
      <w:r w:rsidR="00442060">
        <w:t xml:space="preserve">Regulation </w:t>
      </w:r>
      <w:r w:rsidR="00F36DC7" w:rsidRPr="00593AF3">
        <w:t>clarif</w:t>
      </w:r>
      <w:r>
        <w:t>ies</w:t>
      </w:r>
      <w:r w:rsidR="00F36DC7" w:rsidRPr="00593AF3">
        <w:t xml:space="preserve"> that</w:t>
      </w:r>
      <w:r w:rsidR="00F36DC7">
        <w:t xml:space="preserve"> the calculation only applies in relation to integrated </w:t>
      </w:r>
      <w:r w:rsidR="00F36DC7">
        <w:lastRenderedPageBreak/>
        <w:t>operations measuring by volume; and that</w:t>
      </w:r>
      <w:r w:rsidR="00F36DC7" w:rsidRPr="005C208F">
        <w:t xml:space="preserve"> </w:t>
      </w:r>
      <w:r w:rsidR="00F36DC7" w:rsidRPr="00DC7548">
        <w:t>n</w:t>
      </w:r>
      <w:r w:rsidR="00F36DC7" w:rsidRPr="005C208F">
        <w:t xml:space="preserve"> r</w:t>
      </w:r>
      <w:r w:rsidR="00F36DC7">
        <w:t xml:space="preserve">epresents a year of tax where the </w:t>
      </w:r>
      <w:r w:rsidR="00F36DC7" w:rsidRPr="00593AF3">
        <w:t xml:space="preserve">base year </w:t>
      </w:r>
      <w:r w:rsidR="00F36DC7">
        <w:t xml:space="preserve">is </w:t>
      </w:r>
      <w:r w:rsidR="00F36DC7" w:rsidRPr="00593AF3">
        <w:t>year 1.</w:t>
      </w:r>
    </w:p>
    <w:p w14:paraId="1B906FFB" w14:textId="77777777" w:rsidR="0017346C" w:rsidRDefault="001E68B9" w:rsidP="0074777B">
      <w:pPr>
        <w:pStyle w:val="EMpara"/>
        <w:spacing w:before="0" w:after="240"/>
        <w:rPr>
          <w:rStyle w:val="Referencingstyle"/>
        </w:rPr>
      </w:pPr>
      <w:r>
        <w:t xml:space="preserve">The </w:t>
      </w:r>
      <w:r w:rsidR="005D3050">
        <w:t>Regulation also insert</w:t>
      </w:r>
      <w:r>
        <w:t>s</w:t>
      </w:r>
      <w:r w:rsidR="005D3050">
        <w:t xml:space="preserve"> an additional</w:t>
      </w:r>
      <w:r w:rsidR="0017346C" w:rsidRPr="008F48C6">
        <w:t xml:space="preserve"> formula for calculating the </w:t>
      </w:r>
      <w:r w:rsidR="0017346C" w:rsidRPr="00F36DC7">
        <w:rPr>
          <w:b/>
          <w:i/>
        </w:rPr>
        <w:t>mass coefficient</w:t>
      </w:r>
      <w:r w:rsidR="00F36DC7">
        <w:t xml:space="preserve"> for those integrated operations that measure project product by mass rather than volume. The </w:t>
      </w:r>
      <w:r w:rsidR="005D3050">
        <w:t>new formula mirror</w:t>
      </w:r>
      <w:r>
        <w:t>s</w:t>
      </w:r>
      <w:r w:rsidR="005D3050">
        <w:t xml:space="preserve"> the existing formula in the Principal Regulation</w:t>
      </w:r>
      <w:r w:rsidR="0017346C" w:rsidRPr="008F48C6">
        <w:t xml:space="preserve">, except that all references to volume are replaced with references to mass. </w:t>
      </w:r>
    </w:p>
    <w:p w14:paraId="1B906FFC" w14:textId="77777777" w:rsidR="00C9764B" w:rsidRDefault="001E68B9" w:rsidP="0074777B">
      <w:pPr>
        <w:pStyle w:val="EMpara"/>
        <w:spacing w:before="0" w:after="240"/>
      </w:pPr>
      <w:r>
        <w:t xml:space="preserve">The </w:t>
      </w:r>
      <w:r w:rsidR="005D3050">
        <w:t>Regulation also make</w:t>
      </w:r>
      <w:r>
        <w:t>s</w:t>
      </w:r>
      <w:r w:rsidR="005D3050">
        <w:t xml:space="preserve"> minor amendments to</w:t>
      </w:r>
      <w:r w:rsidR="00C9764B">
        <w:t xml:space="preserve"> </w:t>
      </w:r>
      <w:r w:rsidR="005D3050">
        <w:t xml:space="preserve">the </w:t>
      </w:r>
      <w:r w:rsidR="000B1332">
        <w:t xml:space="preserve">provisions of the </w:t>
      </w:r>
      <w:r w:rsidR="005D3050">
        <w:t>Principal Regulation wh</w:t>
      </w:r>
      <w:r w:rsidR="000B1332">
        <w:t>ich define</w:t>
      </w:r>
      <w:r w:rsidR="00B117B1">
        <w:t xml:space="preserve"> where a </w:t>
      </w:r>
      <w:r w:rsidR="00C9764B">
        <w:t>CUP</w:t>
      </w:r>
      <w:r w:rsidR="00B117B1">
        <w:t xml:space="preserve"> may exist</w:t>
      </w:r>
      <w:r w:rsidR="00F36DC7">
        <w:t xml:space="preserve">, so that it can apply regardless of whether an operation measures project product by </w:t>
      </w:r>
      <w:r w:rsidR="00C9764B">
        <w:t xml:space="preserve">mass </w:t>
      </w:r>
      <w:r w:rsidR="00F36DC7">
        <w:t xml:space="preserve">or </w:t>
      </w:r>
      <w:r w:rsidR="00C9764B">
        <w:t>volume</w:t>
      </w:r>
      <w:r w:rsidR="005D3050">
        <w:t>.</w:t>
      </w:r>
    </w:p>
    <w:p w14:paraId="1B906FFD" w14:textId="77777777" w:rsidR="00056C66" w:rsidRDefault="00056C66" w:rsidP="0074777B">
      <w:pPr>
        <w:pStyle w:val="Heading2"/>
        <w:spacing w:before="0" w:after="240"/>
      </w:pPr>
      <w:r>
        <w:t xml:space="preserve">Part 5 </w:t>
      </w:r>
      <w:r w:rsidR="00B5292A">
        <w:t>–</w:t>
      </w:r>
      <w:r>
        <w:t xml:space="preserve"> Extension to </w:t>
      </w:r>
      <w:r w:rsidR="003E714A">
        <w:t xml:space="preserve">INTEGRATED </w:t>
      </w:r>
      <w:r>
        <w:t>GTE operations</w:t>
      </w:r>
    </w:p>
    <w:p w14:paraId="1B906FFE" w14:textId="77777777" w:rsidR="00056C66" w:rsidRDefault="00056C66" w:rsidP="0074777B">
      <w:pPr>
        <w:pStyle w:val="base-text-paragraph"/>
        <w:numPr>
          <w:ilvl w:val="0"/>
          <w:numId w:val="0"/>
        </w:numPr>
        <w:spacing w:before="0" w:after="240"/>
        <w:rPr>
          <w:sz w:val="24"/>
          <w:szCs w:val="24"/>
        </w:rPr>
      </w:pPr>
      <w:r w:rsidRPr="0095654C">
        <w:rPr>
          <w:rStyle w:val="EMparaChar"/>
        </w:rPr>
        <w:t xml:space="preserve">This </w:t>
      </w:r>
      <w:r>
        <w:rPr>
          <w:rStyle w:val="EMparaChar"/>
        </w:rPr>
        <w:t>Part</w:t>
      </w:r>
      <w:r w:rsidRPr="0095654C">
        <w:rPr>
          <w:rStyle w:val="EMparaChar"/>
        </w:rPr>
        <w:t xml:space="preserve"> </w:t>
      </w:r>
      <w:r w:rsidR="001B6A25">
        <w:rPr>
          <w:rStyle w:val="EMparaChar"/>
        </w:rPr>
        <w:t>details</w:t>
      </w:r>
      <w:r w:rsidRPr="0095654C">
        <w:rPr>
          <w:rStyle w:val="EMparaChar"/>
        </w:rPr>
        <w:t xml:space="preserve"> </w:t>
      </w:r>
      <w:r w:rsidR="00830190">
        <w:rPr>
          <w:rStyle w:val="EMparaChar"/>
        </w:rPr>
        <w:t>the amendments in the</w:t>
      </w:r>
      <w:r>
        <w:rPr>
          <w:rStyle w:val="EMparaChar"/>
        </w:rPr>
        <w:t xml:space="preserve"> Regulation</w:t>
      </w:r>
      <w:r w:rsidRPr="0095654C">
        <w:rPr>
          <w:rStyle w:val="EMparaChar"/>
        </w:rPr>
        <w:t xml:space="preserve"> </w:t>
      </w:r>
      <w:r>
        <w:rPr>
          <w:rStyle w:val="EMparaChar"/>
        </w:rPr>
        <w:t>that</w:t>
      </w:r>
      <w:r w:rsidR="001B6A25">
        <w:rPr>
          <w:sz w:val="24"/>
          <w:szCs w:val="24"/>
        </w:rPr>
        <w:t xml:space="preserve"> adjust existing concepts and provisions that apply to integrated GTL operations to</w:t>
      </w:r>
      <w:r>
        <w:rPr>
          <w:rStyle w:val="EMparaChar"/>
        </w:rPr>
        <w:t xml:space="preserve"> </w:t>
      </w:r>
      <w:r w:rsidRPr="0095654C">
        <w:rPr>
          <w:rStyle w:val="EMparaChar"/>
        </w:rPr>
        <w:t>ensure that</w:t>
      </w:r>
      <w:r>
        <w:rPr>
          <w:sz w:val="24"/>
          <w:szCs w:val="24"/>
        </w:rPr>
        <w:t xml:space="preserve"> </w:t>
      </w:r>
      <w:r w:rsidRPr="00593AF3">
        <w:rPr>
          <w:sz w:val="24"/>
          <w:szCs w:val="24"/>
        </w:rPr>
        <w:t>where an integrated GTE operation exists</w:t>
      </w:r>
      <w:r>
        <w:rPr>
          <w:sz w:val="24"/>
          <w:szCs w:val="24"/>
        </w:rPr>
        <w:t>,</w:t>
      </w:r>
      <w:r w:rsidRPr="00593AF3">
        <w:rPr>
          <w:sz w:val="24"/>
          <w:szCs w:val="24"/>
        </w:rPr>
        <w:t xml:space="preserve"> the </w:t>
      </w:r>
      <w:r>
        <w:rPr>
          <w:sz w:val="24"/>
          <w:szCs w:val="24"/>
        </w:rPr>
        <w:t>Principal Regulation</w:t>
      </w:r>
      <w:r w:rsidRPr="00593AF3">
        <w:rPr>
          <w:sz w:val="24"/>
          <w:szCs w:val="24"/>
        </w:rPr>
        <w:t>, and in particular the RPM, will apply in a manner consistent with that applied to GTL operations</w:t>
      </w:r>
      <w:r>
        <w:rPr>
          <w:sz w:val="24"/>
          <w:szCs w:val="24"/>
        </w:rPr>
        <w:t>.</w:t>
      </w:r>
    </w:p>
    <w:p w14:paraId="1B906FFF" w14:textId="77777777" w:rsidR="00C539F1" w:rsidRPr="00EB12FB" w:rsidRDefault="0017346C" w:rsidP="0074777B">
      <w:pPr>
        <w:pStyle w:val="Heading3"/>
        <w:spacing w:before="0" w:after="240"/>
        <w:rPr>
          <w:szCs w:val="24"/>
        </w:rPr>
      </w:pPr>
      <w:r>
        <w:t>Extension to GTE</w:t>
      </w:r>
      <w:r w:rsidRPr="00593AF3">
        <w:t xml:space="preserve"> operations</w:t>
      </w:r>
    </w:p>
    <w:p w14:paraId="1B907000" w14:textId="77777777" w:rsidR="005D3050" w:rsidRDefault="00F36DC7" w:rsidP="0074777B">
      <w:pPr>
        <w:pStyle w:val="EMpara"/>
        <w:spacing w:before="0" w:after="240"/>
      </w:pPr>
      <w:r>
        <w:t xml:space="preserve">The </w:t>
      </w:r>
      <w:r w:rsidR="001B6A25">
        <w:t>generation</w:t>
      </w:r>
      <w:r w:rsidR="00BB4108" w:rsidRPr="00593AF3">
        <w:t xml:space="preserve"> of electricity generation from gas resources</w:t>
      </w:r>
      <w:r>
        <w:t xml:space="preserve"> </w:t>
      </w:r>
      <w:r w:rsidR="001B6A25">
        <w:t xml:space="preserve">via an integrated </w:t>
      </w:r>
      <w:r w:rsidR="00FE1321" w:rsidRPr="00593AF3">
        <w:t xml:space="preserve">operation </w:t>
      </w:r>
      <w:r>
        <w:t xml:space="preserve">can </w:t>
      </w:r>
      <w:r w:rsidR="002810FA" w:rsidRPr="00593AF3">
        <w:t>encounter</w:t>
      </w:r>
      <w:r>
        <w:t xml:space="preserve"> similar issues to integrated GTL operations </w:t>
      </w:r>
      <w:r w:rsidR="00FE1321" w:rsidRPr="00593AF3">
        <w:t xml:space="preserve">in determining an appropriate price for </w:t>
      </w:r>
      <w:r w:rsidR="001B6A25">
        <w:t xml:space="preserve">the </w:t>
      </w:r>
      <w:r w:rsidR="00FE1321" w:rsidRPr="00593AF3">
        <w:t>gas feedstock</w:t>
      </w:r>
      <w:r w:rsidR="0017346C">
        <w:t xml:space="preserve"> </w:t>
      </w:r>
      <w:r w:rsidR="001B6A25">
        <w:t xml:space="preserve">in circumstances </w:t>
      </w:r>
      <w:r w:rsidR="00FE1321" w:rsidRPr="00593AF3">
        <w:t>where no arm</w:t>
      </w:r>
      <w:r w:rsidR="00933183">
        <w:t>’</w:t>
      </w:r>
      <w:r w:rsidR="00FE1321" w:rsidRPr="00593AF3">
        <w:t xml:space="preserve">s-length price exists. </w:t>
      </w:r>
    </w:p>
    <w:p w14:paraId="1B907001" w14:textId="77777777" w:rsidR="001D1574" w:rsidRPr="00593AF3" w:rsidRDefault="00BB4108" w:rsidP="0074777B">
      <w:pPr>
        <w:pStyle w:val="EMpara"/>
        <w:spacing w:before="0" w:after="240"/>
      </w:pPr>
      <w:r w:rsidRPr="00593AF3">
        <w:t>T</w:t>
      </w:r>
      <w:r w:rsidR="00FE1321" w:rsidRPr="00593AF3">
        <w:t xml:space="preserve">o provide tax certainty, the </w:t>
      </w:r>
      <w:r w:rsidR="005D3050">
        <w:t>Regulation amend</w:t>
      </w:r>
      <w:r w:rsidR="00DC7548">
        <w:t>s the Principal Regulation,</w:t>
      </w:r>
      <w:r w:rsidR="006E7DF5">
        <w:t xml:space="preserve"> consistent</w:t>
      </w:r>
      <w:r w:rsidR="005D3050">
        <w:t xml:space="preserve"> with the </w:t>
      </w:r>
      <w:r w:rsidR="00FE1321" w:rsidRPr="00593AF3">
        <w:t>PTG</w:t>
      </w:r>
      <w:r w:rsidRPr="00593AF3">
        <w:t xml:space="preserve"> </w:t>
      </w:r>
      <w:r w:rsidR="005D3050" w:rsidRPr="00593AF3">
        <w:t>recommend</w:t>
      </w:r>
      <w:r w:rsidR="005D3050">
        <w:t>ation</w:t>
      </w:r>
      <w:r w:rsidR="00DC7548">
        <w:t xml:space="preserve">, to ensure </w:t>
      </w:r>
      <w:r w:rsidRPr="00593AF3">
        <w:t xml:space="preserve">that the </w:t>
      </w:r>
      <w:r w:rsidR="005D3050">
        <w:t>Principal Regulation</w:t>
      </w:r>
      <w:r w:rsidR="002810FA" w:rsidRPr="00593AF3">
        <w:t xml:space="preserve">, including the </w:t>
      </w:r>
      <w:r w:rsidRPr="00593AF3">
        <w:t>RPM</w:t>
      </w:r>
      <w:r w:rsidR="002810FA" w:rsidRPr="00593AF3">
        <w:t>,</w:t>
      </w:r>
      <w:r w:rsidRPr="00593AF3">
        <w:t xml:space="preserve"> </w:t>
      </w:r>
      <w:r w:rsidR="00DC7548">
        <w:t xml:space="preserve">is extended to also apply to </w:t>
      </w:r>
      <w:r w:rsidRPr="00593AF3">
        <w:t xml:space="preserve">integrated </w:t>
      </w:r>
      <w:r w:rsidR="00933183">
        <w:t>GTE</w:t>
      </w:r>
      <w:r w:rsidRPr="00593AF3">
        <w:t xml:space="preserve"> </w:t>
      </w:r>
      <w:r w:rsidR="00FE1321" w:rsidRPr="00593AF3">
        <w:t>operations</w:t>
      </w:r>
      <w:r w:rsidRPr="00593AF3">
        <w:t>.</w:t>
      </w:r>
    </w:p>
    <w:p w14:paraId="1B907002" w14:textId="77777777" w:rsidR="00FD305D" w:rsidRPr="00055996" w:rsidRDefault="00F36DC7" w:rsidP="0074777B">
      <w:pPr>
        <w:pStyle w:val="Heading3"/>
        <w:spacing w:before="0" w:after="240"/>
      </w:pPr>
      <w:r w:rsidRPr="00EB12FB">
        <w:t>When</w:t>
      </w:r>
      <w:r w:rsidR="00FD305D" w:rsidRPr="00445A8C">
        <w:t xml:space="preserve"> an integrated GTE operation</w:t>
      </w:r>
      <w:r w:rsidRPr="00715A0B">
        <w:t xml:space="preserve"> exists</w:t>
      </w:r>
    </w:p>
    <w:p w14:paraId="1B907003" w14:textId="77777777" w:rsidR="00FD305D" w:rsidRPr="00593AF3" w:rsidRDefault="005D3050" w:rsidP="0074777B">
      <w:pPr>
        <w:pStyle w:val="EMpara"/>
        <w:spacing w:before="0" w:after="240"/>
      </w:pPr>
      <w:r>
        <w:t xml:space="preserve">Regulation 4 of the </w:t>
      </w:r>
      <w:r w:rsidR="00F90855">
        <w:t xml:space="preserve">Principal </w:t>
      </w:r>
      <w:r w:rsidR="00FD305D" w:rsidRPr="00593AF3">
        <w:t>Regulation</w:t>
      </w:r>
      <w:r>
        <w:t xml:space="preserve"> </w:t>
      </w:r>
      <w:r w:rsidR="00FD305D" w:rsidRPr="00593AF3">
        <w:t xml:space="preserve">defines when an integrated GTL operation exists, </w:t>
      </w:r>
      <w:r w:rsidR="00FB4B3D" w:rsidRPr="00593AF3">
        <w:t xml:space="preserve">as well </w:t>
      </w:r>
      <w:r w:rsidR="00FD305D" w:rsidRPr="00593AF3">
        <w:t>a</w:t>
      </w:r>
      <w:r w:rsidR="00FB4B3D" w:rsidRPr="00593AF3">
        <w:t>s</w:t>
      </w:r>
      <w:r w:rsidR="00FD305D" w:rsidRPr="00593AF3">
        <w:t xml:space="preserve"> </w:t>
      </w:r>
      <w:r w:rsidR="00F90855">
        <w:t xml:space="preserve">detailing </w:t>
      </w:r>
      <w:r w:rsidR="00FD305D" w:rsidRPr="00593AF3">
        <w:t xml:space="preserve">relevant aspects of such an operation. </w:t>
      </w:r>
    </w:p>
    <w:p w14:paraId="1B907004" w14:textId="77777777" w:rsidR="005D3050" w:rsidRDefault="00DC7548" w:rsidP="0074777B">
      <w:pPr>
        <w:pStyle w:val="EMpara"/>
        <w:spacing w:before="0" w:after="240"/>
        <w:rPr>
          <w:b/>
        </w:rPr>
      </w:pPr>
      <w:r>
        <w:t>The</w:t>
      </w:r>
      <w:r w:rsidR="005D3050">
        <w:t xml:space="preserve"> Regulation insert</w:t>
      </w:r>
      <w:r>
        <w:t>s</w:t>
      </w:r>
      <w:r w:rsidR="005D3050">
        <w:t xml:space="preserve"> regulation 4A into the Principal Regulation</w:t>
      </w:r>
      <w:r w:rsidR="006E7DF5">
        <w:t>,</w:t>
      </w:r>
      <w:r>
        <w:t xml:space="preserve"> which </w:t>
      </w:r>
      <w:r w:rsidR="006B7162" w:rsidRPr="00593AF3">
        <w:t>define</w:t>
      </w:r>
      <w:r>
        <w:t>s</w:t>
      </w:r>
      <w:r w:rsidR="006B7162" w:rsidRPr="00593AF3">
        <w:t xml:space="preserve"> when </w:t>
      </w:r>
      <w:r w:rsidR="00FD305D" w:rsidRPr="00593AF3">
        <w:t>an</w:t>
      </w:r>
      <w:r w:rsidR="00FD305D" w:rsidRPr="00593AF3">
        <w:rPr>
          <w:b/>
          <w:i/>
        </w:rPr>
        <w:t xml:space="preserve"> </w:t>
      </w:r>
      <w:r w:rsidR="00FD305D" w:rsidRPr="0074777B">
        <w:t>integrated GTE operation</w:t>
      </w:r>
      <w:r w:rsidR="00933183" w:rsidRPr="0074777B">
        <w:t xml:space="preserve"> exists</w:t>
      </w:r>
      <w:r w:rsidR="00FD305D" w:rsidRPr="0074777B">
        <w:t>.</w:t>
      </w:r>
      <w:r w:rsidR="00497DC5" w:rsidRPr="0074777B">
        <w:t xml:space="preserve"> </w:t>
      </w:r>
    </w:p>
    <w:p w14:paraId="1B907005" w14:textId="77777777" w:rsidR="00497DC5" w:rsidRPr="00EF4BE4" w:rsidRDefault="005D3050" w:rsidP="0074777B">
      <w:pPr>
        <w:pStyle w:val="EMpara"/>
        <w:spacing w:before="0" w:after="240"/>
      </w:pPr>
      <w:r w:rsidRPr="0074777B">
        <w:t xml:space="preserve">Regulation </w:t>
      </w:r>
      <w:r w:rsidR="00DC7548">
        <w:t>4A</w:t>
      </w:r>
      <w:r w:rsidRPr="0074777B">
        <w:t xml:space="preserve"> provide</w:t>
      </w:r>
      <w:r w:rsidR="00DC7548">
        <w:t>s</w:t>
      </w:r>
      <w:r w:rsidRPr="0074777B">
        <w:t xml:space="preserve"> that </w:t>
      </w:r>
      <w:r w:rsidRPr="00EF4BE4">
        <w:t>a</w:t>
      </w:r>
      <w:r w:rsidR="00497DC5" w:rsidRPr="00EF4BE4">
        <w:t>n integrated GTE operation is an operation in which:</w:t>
      </w:r>
    </w:p>
    <w:p w14:paraId="1B907006" w14:textId="77777777" w:rsidR="00497DC5" w:rsidRPr="0040184D" w:rsidRDefault="00497DC5" w:rsidP="0040184D">
      <w:pPr>
        <w:pStyle w:val="paraindent"/>
        <w:numPr>
          <w:ilvl w:val="0"/>
          <w:numId w:val="31"/>
        </w:numPr>
        <w:tabs>
          <w:tab w:val="left" w:pos="993"/>
        </w:tabs>
        <w:spacing w:before="0" w:after="240"/>
        <w:rPr>
          <w:sz w:val="24"/>
          <w:szCs w:val="24"/>
        </w:rPr>
      </w:pPr>
      <w:r w:rsidRPr="0040184D">
        <w:rPr>
          <w:sz w:val="24"/>
          <w:szCs w:val="24"/>
        </w:rPr>
        <w:t>petroleum is, or will be, recovered from a petroleum project; and</w:t>
      </w:r>
    </w:p>
    <w:p w14:paraId="1B907007" w14:textId="77777777" w:rsidR="00497DC5" w:rsidRPr="0040184D" w:rsidRDefault="00497DC5" w:rsidP="0040184D">
      <w:pPr>
        <w:pStyle w:val="paraindent"/>
        <w:numPr>
          <w:ilvl w:val="0"/>
          <w:numId w:val="31"/>
        </w:numPr>
        <w:tabs>
          <w:tab w:val="left" w:pos="993"/>
        </w:tabs>
        <w:spacing w:before="0" w:after="240"/>
        <w:rPr>
          <w:sz w:val="24"/>
          <w:szCs w:val="24"/>
        </w:rPr>
      </w:pPr>
      <w:r w:rsidRPr="0040184D">
        <w:rPr>
          <w:sz w:val="24"/>
          <w:szCs w:val="24"/>
        </w:rPr>
        <w:t>sales gas is, or will be, produced from some or all of the petroleum; and</w:t>
      </w:r>
    </w:p>
    <w:p w14:paraId="1B907008" w14:textId="77777777" w:rsidR="00992C69" w:rsidRPr="0040184D" w:rsidRDefault="00497DC5" w:rsidP="0040184D">
      <w:pPr>
        <w:pStyle w:val="paraindent"/>
        <w:numPr>
          <w:ilvl w:val="0"/>
          <w:numId w:val="31"/>
        </w:numPr>
        <w:tabs>
          <w:tab w:val="left" w:pos="993"/>
        </w:tabs>
        <w:spacing w:before="0" w:after="240"/>
        <w:ind w:left="993" w:hanging="633"/>
        <w:rPr>
          <w:sz w:val="24"/>
          <w:szCs w:val="24"/>
        </w:rPr>
      </w:pPr>
      <w:r w:rsidRPr="0040184D">
        <w:rPr>
          <w:sz w:val="24"/>
          <w:szCs w:val="24"/>
        </w:rPr>
        <w:t xml:space="preserve">some or all of the sales gas is, or will be, consumed in the commercial production of electricity. </w:t>
      </w:r>
    </w:p>
    <w:p w14:paraId="1B907009" w14:textId="77777777" w:rsidR="005D3050" w:rsidRDefault="008C69FC" w:rsidP="0074777B">
      <w:pPr>
        <w:pStyle w:val="EMpara"/>
        <w:spacing w:before="0" w:after="240"/>
      </w:pPr>
      <w:r>
        <w:t>The requirement in</w:t>
      </w:r>
      <w:r w:rsidR="005D3050">
        <w:t xml:space="preserve"> p</w:t>
      </w:r>
      <w:r w:rsidR="00992C69" w:rsidRPr="00593AF3">
        <w:t>aragraph 4</w:t>
      </w:r>
      <w:r w:rsidR="00992C69">
        <w:t>A</w:t>
      </w:r>
      <w:r w:rsidR="00992C69" w:rsidRPr="00593AF3">
        <w:t xml:space="preserve">(1)(c) refers to an integrated </w:t>
      </w:r>
      <w:r w:rsidR="00992C69">
        <w:t xml:space="preserve">GTE </w:t>
      </w:r>
      <w:r w:rsidR="00992C69" w:rsidRPr="00593AF3">
        <w:t>operation existing where, in addition to the requirements of</w:t>
      </w:r>
      <w:r w:rsidR="005D3050">
        <w:t xml:space="preserve"> the paragraphs</w:t>
      </w:r>
      <w:r w:rsidR="00992C69" w:rsidRPr="00593AF3">
        <w:t xml:space="preserve"> 4</w:t>
      </w:r>
      <w:r w:rsidR="005D3050">
        <w:t>A</w:t>
      </w:r>
      <w:r w:rsidR="00992C69" w:rsidRPr="00593AF3">
        <w:t>(1)(a) and 4</w:t>
      </w:r>
      <w:r w:rsidR="005D3050">
        <w:t>A</w:t>
      </w:r>
      <w:r w:rsidR="00992C69" w:rsidRPr="00593AF3">
        <w:t>(1)(b)</w:t>
      </w:r>
      <w:r w:rsidR="00497DC5">
        <w:t xml:space="preserve"> being met</w:t>
      </w:r>
      <w:r w:rsidR="00992C69" w:rsidRPr="00593AF3">
        <w:t>, some or all of the sales gas is, or will be</w:t>
      </w:r>
      <w:r w:rsidR="00992C69">
        <w:t>,</w:t>
      </w:r>
      <w:r w:rsidR="00992C69" w:rsidRPr="00593AF3">
        <w:t xml:space="preserve"> consumed in the commercial production of electricity.  </w:t>
      </w:r>
    </w:p>
    <w:p w14:paraId="1B90700A" w14:textId="77777777" w:rsidR="00084AC8" w:rsidRDefault="00992C69" w:rsidP="0074777B">
      <w:pPr>
        <w:pStyle w:val="EMpara"/>
        <w:spacing w:before="0" w:after="240"/>
      </w:pPr>
      <w:r w:rsidRPr="00593AF3">
        <w:lastRenderedPageBreak/>
        <w:t>The term ‘commercial production of electricity’ is not defined, but refers to the production of electricity</w:t>
      </w:r>
      <w:r w:rsidR="00815D4B">
        <w:t xml:space="preserve"> for a commercial purpose</w:t>
      </w:r>
      <w:r w:rsidR="006E7DF5">
        <w:t>, and would not include</w:t>
      </w:r>
      <w:r w:rsidRPr="00593AF3">
        <w:t xml:space="preserve"> electricity that is use</w:t>
      </w:r>
      <w:r w:rsidR="00B13229">
        <w:t>d for project purposes within a petroleum project</w:t>
      </w:r>
      <w:r w:rsidR="006E7DF5">
        <w:t>, for instance</w:t>
      </w:r>
      <w:r w:rsidRPr="00593AF3">
        <w:t>.</w:t>
      </w:r>
    </w:p>
    <w:p w14:paraId="1B90700B" w14:textId="77777777" w:rsidR="00992C69" w:rsidRDefault="00992C69" w:rsidP="0074777B">
      <w:pPr>
        <w:pStyle w:val="ExampleHeading"/>
        <w:spacing w:before="0" w:after="240"/>
        <w:ind w:left="720"/>
      </w:pPr>
      <w:r>
        <w:t xml:space="preserve">Example </w:t>
      </w:r>
      <w:r w:rsidR="00BB5FB3">
        <w:t>1</w:t>
      </w:r>
      <w:r>
        <w:t>: Electricity used for commercial purposes</w:t>
      </w:r>
    </w:p>
    <w:p w14:paraId="1B90700C" w14:textId="77777777" w:rsidR="00992C69" w:rsidRPr="00593AF3" w:rsidRDefault="00992C69" w:rsidP="0074777B">
      <w:pPr>
        <w:pStyle w:val="exampletext"/>
        <w:spacing w:before="0" w:after="240"/>
        <w:ind w:left="720"/>
      </w:pPr>
      <w:r w:rsidRPr="00593AF3">
        <w:t>Plensue Petroleum Limited operates an integrated operation.  The sales gas produced by the operation is consumed in the production of electricity.  The majority of the electricity produced is sold to the national electricity market</w:t>
      </w:r>
      <w:r>
        <w:t>, with a</w:t>
      </w:r>
      <w:r w:rsidRPr="00593AF3">
        <w:t xml:space="preserve"> small proportion of the electricity generated used to run the operation including employee accommodation and other amenities.</w:t>
      </w:r>
    </w:p>
    <w:p w14:paraId="1B90700D" w14:textId="77777777" w:rsidR="00992C69" w:rsidRPr="00593AF3" w:rsidRDefault="00992C69" w:rsidP="0074777B">
      <w:pPr>
        <w:pStyle w:val="exampletext"/>
        <w:spacing w:before="0" w:after="240"/>
        <w:ind w:left="720"/>
      </w:pPr>
      <w:r w:rsidRPr="00593AF3">
        <w:t xml:space="preserve">Plensue Petroleum Limited would be consuming sales gas in the commercial production of electricity </w:t>
      </w:r>
      <w:r>
        <w:t>for the purposes of</w:t>
      </w:r>
      <w:r w:rsidRPr="00593AF3">
        <w:t xml:space="preserve"> paragraph 4A(1)(c).</w:t>
      </w:r>
    </w:p>
    <w:p w14:paraId="1B90700E" w14:textId="77777777" w:rsidR="00992C69" w:rsidRPr="00593AF3" w:rsidRDefault="00992C69" w:rsidP="0074777B">
      <w:pPr>
        <w:pStyle w:val="ExampleHeading"/>
        <w:spacing w:before="0" w:after="240"/>
        <w:ind w:left="720"/>
      </w:pPr>
      <w:r w:rsidRPr="00593AF3">
        <w:t xml:space="preserve">Example </w:t>
      </w:r>
      <w:r w:rsidR="00BB5FB3">
        <w:t>2</w:t>
      </w:r>
      <w:r w:rsidRPr="00593AF3">
        <w:t>: Electricity not used for commercial purposes, no assessable incidental receipts arising</w:t>
      </w:r>
    </w:p>
    <w:p w14:paraId="1B90700F" w14:textId="77777777" w:rsidR="00992C69" w:rsidRPr="00593AF3" w:rsidRDefault="00992C69" w:rsidP="0074777B">
      <w:pPr>
        <w:pStyle w:val="exampletext"/>
        <w:spacing w:before="0" w:after="240"/>
        <w:ind w:left="720"/>
      </w:pPr>
      <w:r w:rsidRPr="00593AF3">
        <w:t>Field Petroleum Limited operates an integrated GTL operation.  Some sales gas produced by the integrated GTL operation is used to generate electricity in an in</w:t>
      </w:r>
      <w:r w:rsidRPr="00593AF3">
        <w:noBreakHyphen/>
        <w:t>house plant.  All of the electricity produced is used to run the entire operation including employee accommodation and other amenities.</w:t>
      </w:r>
    </w:p>
    <w:p w14:paraId="1B907010" w14:textId="77777777" w:rsidR="00992C69" w:rsidRPr="00593AF3" w:rsidRDefault="00992C69" w:rsidP="0074777B">
      <w:pPr>
        <w:pStyle w:val="exampletext"/>
        <w:spacing w:before="0" w:after="240"/>
        <w:ind w:left="720"/>
      </w:pPr>
      <w:r w:rsidRPr="00593AF3">
        <w:t xml:space="preserve">Field Petroleum Limited would not be consuming sales gas in the commercial production of electricity </w:t>
      </w:r>
      <w:r>
        <w:t xml:space="preserve">for the purposes of </w:t>
      </w:r>
      <w:r w:rsidRPr="00593AF3">
        <w:t>paragraph 4A(1)(c).</w:t>
      </w:r>
    </w:p>
    <w:p w14:paraId="1B907011" w14:textId="77777777" w:rsidR="00992C69" w:rsidRPr="00593AF3" w:rsidRDefault="00992C69" w:rsidP="0074777B">
      <w:pPr>
        <w:pStyle w:val="ExampleHeading"/>
        <w:spacing w:before="0" w:after="240"/>
        <w:ind w:left="720"/>
      </w:pPr>
      <w:r w:rsidRPr="00593AF3">
        <w:t xml:space="preserve">Example </w:t>
      </w:r>
      <w:r w:rsidR="00BB5FB3">
        <w:t>3</w:t>
      </w:r>
      <w:r w:rsidRPr="00593AF3">
        <w:t>: Electricity not used for commercial purposes, assessable incidental receipts arising</w:t>
      </w:r>
    </w:p>
    <w:p w14:paraId="1B907012" w14:textId="77777777" w:rsidR="00992C69" w:rsidRPr="00593AF3" w:rsidRDefault="00992C69" w:rsidP="0074777B">
      <w:pPr>
        <w:pStyle w:val="exampletext"/>
        <w:spacing w:before="0" w:after="240"/>
        <w:ind w:left="720"/>
        <w:rPr>
          <w:rFonts w:eastAsiaTheme="minorHAnsi"/>
          <w:szCs w:val="22"/>
        </w:rPr>
      </w:pPr>
      <w:r w:rsidRPr="00593AF3">
        <w:t>Nicolex Petroleum Limited operates an integrated GTL operation.  Nicolex Petroleum Limited has installed as part of the integrated GTL operation some electricity generation capacity that uses sales gas from the project</w:t>
      </w:r>
      <w:r w:rsidR="002A2D7F">
        <w:t xml:space="preserve"> as fuel</w:t>
      </w:r>
      <w:r w:rsidRPr="00593AF3">
        <w:t xml:space="preserve">.  While the electricity is generated for use by the operations and facilities of the petroleum project, at times excess electricity is produced to maintain security of supply because of fluctuating demand.  Any excess electricity produced is sold to the national electricity market and a local uranium mine operated by Annekene Limited.  </w:t>
      </w:r>
    </w:p>
    <w:p w14:paraId="1B907013" w14:textId="77777777" w:rsidR="00992C69" w:rsidRPr="00593AF3" w:rsidRDefault="002A2D7F" w:rsidP="0074777B">
      <w:pPr>
        <w:pStyle w:val="exampletext"/>
        <w:spacing w:before="0" w:after="240"/>
        <w:ind w:left="720"/>
      </w:pPr>
      <w:r w:rsidRPr="001C4C98">
        <w:t xml:space="preserve">The sale of excess electricity does not represent the commercial production of electricity </w:t>
      </w:r>
      <w:r>
        <w:t xml:space="preserve">for the purposes of </w:t>
      </w:r>
      <w:r w:rsidRPr="001C4C98">
        <w:t xml:space="preserve">paragraph 4A(1)(c).  </w:t>
      </w:r>
      <w:r>
        <w:t>However, t</w:t>
      </w:r>
      <w:r w:rsidR="00992C69" w:rsidRPr="00593AF3">
        <w:t xml:space="preserve">he consideration received by Nicolex Petroleum Limited from the sale of the excess electricity would </w:t>
      </w:r>
      <w:r>
        <w:t>constitute</w:t>
      </w:r>
      <w:r w:rsidR="00992C69" w:rsidRPr="00593AF3">
        <w:t xml:space="preserve"> assessable incidental production receipts under the PRRTAA.  </w:t>
      </w:r>
    </w:p>
    <w:p w14:paraId="1B907014" w14:textId="77777777" w:rsidR="005D3050" w:rsidRPr="00445A8C" w:rsidRDefault="00EF4BE4" w:rsidP="0074777B">
      <w:pPr>
        <w:pStyle w:val="Heading3"/>
        <w:spacing w:before="0" w:after="240"/>
      </w:pPr>
      <w:r w:rsidRPr="00EB12FB">
        <w:t>Changes to defined terms relating to GTE operations</w:t>
      </w:r>
    </w:p>
    <w:p w14:paraId="1B907015" w14:textId="77777777" w:rsidR="00FD305D" w:rsidRDefault="008C69FC" w:rsidP="0074777B">
      <w:pPr>
        <w:pStyle w:val="exampletext"/>
        <w:spacing w:before="0" w:after="240"/>
        <w:ind w:left="0"/>
      </w:pPr>
      <w:r>
        <w:rPr>
          <w:sz w:val="24"/>
          <w:szCs w:val="24"/>
        </w:rPr>
        <w:t>R</w:t>
      </w:r>
      <w:r w:rsidR="00FD305D" w:rsidRPr="00593AF3">
        <w:rPr>
          <w:sz w:val="24"/>
          <w:szCs w:val="24"/>
        </w:rPr>
        <w:t>egulation</w:t>
      </w:r>
      <w:r w:rsidR="00497DC5">
        <w:rPr>
          <w:sz w:val="24"/>
          <w:szCs w:val="24"/>
        </w:rPr>
        <w:t xml:space="preserve"> 4A</w:t>
      </w:r>
      <w:r w:rsidR="006B7162" w:rsidRPr="00593AF3">
        <w:rPr>
          <w:sz w:val="24"/>
          <w:szCs w:val="24"/>
        </w:rPr>
        <w:t xml:space="preserve"> </w:t>
      </w:r>
      <w:r w:rsidR="00FD305D" w:rsidRPr="00593AF3">
        <w:rPr>
          <w:sz w:val="24"/>
          <w:szCs w:val="24"/>
        </w:rPr>
        <w:t>also define</w:t>
      </w:r>
      <w:r>
        <w:rPr>
          <w:sz w:val="24"/>
          <w:szCs w:val="24"/>
        </w:rPr>
        <w:t>s</w:t>
      </w:r>
      <w:r w:rsidR="00FD305D" w:rsidRPr="00593AF3">
        <w:rPr>
          <w:sz w:val="24"/>
          <w:szCs w:val="24"/>
        </w:rPr>
        <w:t xml:space="preserve"> a number of terms relevant to an integrated GTE operation</w:t>
      </w:r>
      <w:r w:rsidR="00992C69">
        <w:rPr>
          <w:sz w:val="24"/>
          <w:szCs w:val="24"/>
        </w:rPr>
        <w:t>.</w:t>
      </w:r>
      <w:r w:rsidR="00FB4B3D" w:rsidRPr="00593AF3">
        <w:rPr>
          <w:b/>
          <w:i/>
          <w:sz w:val="24"/>
          <w:szCs w:val="24"/>
        </w:rPr>
        <w:t xml:space="preserve"> </w:t>
      </w:r>
      <w:r w:rsidR="00FB4B3D" w:rsidRPr="00593AF3">
        <w:rPr>
          <w:sz w:val="24"/>
          <w:szCs w:val="24"/>
        </w:rPr>
        <w:t>T</w:t>
      </w:r>
      <w:r w:rsidR="00FD305D" w:rsidRPr="00593AF3">
        <w:rPr>
          <w:sz w:val="24"/>
          <w:szCs w:val="24"/>
        </w:rPr>
        <w:t xml:space="preserve">he definitions and </w:t>
      </w:r>
      <w:r w:rsidR="00497DC5">
        <w:rPr>
          <w:sz w:val="24"/>
          <w:szCs w:val="24"/>
        </w:rPr>
        <w:t xml:space="preserve">their </w:t>
      </w:r>
      <w:r w:rsidR="00FD305D" w:rsidRPr="00593AF3">
        <w:rPr>
          <w:sz w:val="24"/>
          <w:szCs w:val="24"/>
        </w:rPr>
        <w:t xml:space="preserve">applications are similar to those for GTL operations </w:t>
      </w:r>
      <w:r w:rsidR="006B7162" w:rsidRPr="00593AF3">
        <w:rPr>
          <w:sz w:val="24"/>
          <w:szCs w:val="24"/>
        </w:rPr>
        <w:t xml:space="preserve">under </w:t>
      </w:r>
      <w:r w:rsidR="005D3050">
        <w:rPr>
          <w:sz w:val="24"/>
          <w:szCs w:val="24"/>
        </w:rPr>
        <w:t xml:space="preserve">regulation 4 of the </w:t>
      </w:r>
      <w:r w:rsidR="001319B6">
        <w:rPr>
          <w:sz w:val="24"/>
          <w:szCs w:val="24"/>
        </w:rPr>
        <w:t>Principal R</w:t>
      </w:r>
      <w:r w:rsidR="006B7162" w:rsidRPr="00593AF3">
        <w:rPr>
          <w:sz w:val="24"/>
          <w:szCs w:val="24"/>
        </w:rPr>
        <w:t xml:space="preserve">egulation, </w:t>
      </w:r>
      <w:r w:rsidR="00FD305D" w:rsidRPr="00593AF3">
        <w:rPr>
          <w:sz w:val="24"/>
          <w:szCs w:val="24"/>
        </w:rPr>
        <w:t>except that they relate to project electricity, rather than pro</w:t>
      </w:r>
      <w:r w:rsidR="001319B6">
        <w:rPr>
          <w:sz w:val="24"/>
          <w:szCs w:val="24"/>
        </w:rPr>
        <w:t>je</w:t>
      </w:r>
      <w:r w:rsidR="00FD305D" w:rsidRPr="00593AF3">
        <w:rPr>
          <w:sz w:val="24"/>
          <w:szCs w:val="24"/>
        </w:rPr>
        <w:t>ct</w:t>
      </w:r>
      <w:r w:rsidR="00615577">
        <w:rPr>
          <w:sz w:val="24"/>
          <w:szCs w:val="24"/>
        </w:rPr>
        <w:t xml:space="preserve"> liquid</w:t>
      </w:r>
      <w:r w:rsidR="00FD305D" w:rsidRPr="00F851C4">
        <w:t>.</w:t>
      </w:r>
    </w:p>
    <w:p w14:paraId="1B907016" w14:textId="77777777" w:rsidR="00EF4BE4" w:rsidRPr="00EF4BE4" w:rsidRDefault="00EF4BE4" w:rsidP="0074777B">
      <w:pPr>
        <w:pStyle w:val="Heading6"/>
        <w:spacing w:before="0" w:after="240"/>
      </w:pPr>
      <w:r>
        <w:t>P</w:t>
      </w:r>
      <w:r w:rsidRPr="0074777B">
        <w:t>roject natural gas</w:t>
      </w:r>
    </w:p>
    <w:p w14:paraId="1B907017" w14:textId="77777777" w:rsidR="00FD305D" w:rsidRPr="00810869" w:rsidRDefault="00FD305D" w:rsidP="0074777B">
      <w:pPr>
        <w:pStyle w:val="exampletext"/>
        <w:spacing w:before="0" w:after="240"/>
        <w:ind w:left="0"/>
        <w:rPr>
          <w:i/>
        </w:rPr>
      </w:pPr>
      <w:r w:rsidRPr="00593AF3">
        <w:rPr>
          <w:sz w:val="24"/>
          <w:szCs w:val="24"/>
        </w:rPr>
        <w:t>The</w:t>
      </w:r>
      <w:r w:rsidRPr="00593AF3">
        <w:rPr>
          <w:b/>
          <w:sz w:val="24"/>
          <w:szCs w:val="24"/>
        </w:rPr>
        <w:t xml:space="preserve"> </w:t>
      </w:r>
      <w:r w:rsidRPr="0074777B">
        <w:rPr>
          <w:i/>
          <w:sz w:val="24"/>
          <w:szCs w:val="24"/>
        </w:rPr>
        <w:t>project natural gas</w:t>
      </w:r>
      <w:r w:rsidR="00820E1F">
        <w:rPr>
          <w:b/>
          <w:sz w:val="24"/>
          <w:szCs w:val="24"/>
        </w:rPr>
        <w:t xml:space="preserve"> </w:t>
      </w:r>
      <w:r w:rsidR="00820E1F">
        <w:rPr>
          <w:sz w:val="24"/>
          <w:szCs w:val="24"/>
        </w:rPr>
        <w:t>of an integrated GTE operation</w:t>
      </w:r>
      <w:r w:rsidRPr="00593AF3">
        <w:rPr>
          <w:sz w:val="24"/>
          <w:szCs w:val="24"/>
        </w:rPr>
        <w:t xml:space="preserve"> is</w:t>
      </w:r>
      <w:r w:rsidR="00820E1F">
        <w:rPr>
          <w:sz w:val="24"/>
          <w:szCs w:val="24"/>
        </w:rPr>
        <w:t xml:space="preserve"> the petroleum from which sales gas will be produced and consumed to produce electricity. The term is primarily used</w:t>
      </w:r>
      <w:r w:rsidRPr="00593AF3">
        <w:rPr>
          <w:sz w:val="24"/>
          <w:szCs w:val="24"/>
        </w:rPr>
        <w:t xml:space="preserve"> </w:t>
      </w:r>
      <w:r w:rsidR="00820E1F">
        <w:rPr>
          <w:sz w:val="24"/>
          <w:szCs w:val="24"/>
        </w:rPr>
        <w:t xml:space="preserve">in determining </w:t>
      </w:r>
      <w:r w:rsidRPr="00593AF3">
        <w:rPr>
          <w:sz w:val="24"/>
          <w:szCs w:val="24"/>
        </w:rPr>
        <w:t xml:space="preserve">average volume or mass </w:t>
      </w:r>
      <w:r w:rsidR="00820E1F">
        <w:rPr>
          <w:sz w:val="24"/>
          <w:szCs w:val="24"/>
        </w:rPr>
        <w:t xml:space="preserve">coefficient of an integrated GTE operation under </w:t>
      </w:r>
      <w:r w:rsidR="00EF4BE4">
        <w:rPr>
          <w:sz w:val="24"/>
          <w:szCs w:val="24"/>
        </w:rPr>
        <w:t>r</w:t>
      </w:r>
      <w:r w:rsidRPr="00593AF3">
        <w:rPr>
          <w:sz w:val="24"/>
          <w:szCs w:val="24"/>
        </w:rPr>
        <w:t>egulations 9, 10 and 10A.</w:t>
      </w:r>
      <w:r w:rsidRPr="00F851C4">
        <w:t xml:space="preserve"> </w:t>
      </w:r>
    </w:p>
    <w:p w14:paraId="1B907018" w14:textId="77777777" w:rsidR="00EF4BE4" w:rsidRDefault="00EF4BE4" w:rsidP="0074777B">
      <w:pPr>
        <w:pStyle w:val="Heading6"/>
        <w:spacing w:before="0" w:after="240"/>
      </w:pPr>
      <w:r>
        <w:lastRenderedPageBreak/>
        <w:t>P</w:t>
      </w:r>
      <w:r w:rsidRPr="00EF4BE4">
        <w:t>roject sales gas</w:t>
      </w:r>
    </w:p>
    <w:p w14:paraId="1B907019" w14:textId="77777777" w:rsidR="00FD305D" w:rsidRPr="00DC34F9" w:rsidRDefault="00820E1F" w:rsidP="0074777B">
      <w:pPr>
        <w:pStyle w:val="exampletext"/>
        <w:spacing w:before="0" w:after="240"/>
        <w:ind w:left="0"/>
        <w:rPr>
          <w:rStyle w:val="Referencingstyle"/>
        </w:rPr>
      </w:pPr>
      <w:r w:rsidRPr="00593AF3">
        <w:rPr>
          <w:sz w:val="24"/>
          <w:szCs w:val="24"/>
        </w:rPr>
        <w:t xml:space="preserve">The </w:t>
      </w:r>
      <w:r w:rsidRPr="0074777B">
        <w:rPr>
          <w:i/>
          <w:sz w:val="24"/>
          <w:szCs w:val="24"/>
        </w:rPr>
        <w:t>p</w:t>
      </w:r>
      <w:r w:rsidR="00FD305D" w:rsidRPr="0074777B">
        <w:rPr>
          <w:i/>
          <w:sz w:val="24"/>
          <w:szCs w:val="24"/>
        </w:rPr>
        <w:t>roject sales gas</w:t>
      </w:r>
      <w:r w:rsidR="00FD305D" w:rsidRPr="00EF4BE4">
        <w:rPr>
          <w:sz w:val="24"/>
          <w:szCs w:val="24"/>
        </w:rPr>
        <w:t xml:space="preserve"> for an integrated</w:t>
      </w:r>
      <w:r w:rsidR="00FD305D" w:rsidRPr="00593AF3">
        <w:rPr>
          <w:sz w:val="24"/>
          <w:szCs w:val="24"/>
        </w:rPr>
        <w:t xml:space="preserve"> GTE operation</w:t>
      </w:r>
      <w:r w:rsidR="00FB4B3D" w:rsidRPr="00593AF3">
        <w:rPr>
          <w:sz w:val="24"/>
          <w:szCs w:val="24"/>
        </w:rPr>
        <w:t xml:space="preserve"> </w:t>
      </w:r>
      <w:r w:rsidR="007A7CD4">
        <w:rPr>
          <w:sz w:val="24"/>
          <w:szCs w:val="24"/>
        </w:rPr>
        <w:t>is</w:t>
      </w:r>
      <w:r>
        <w:rPr>
          <w:sz w:val="24"/>
          <w:szCs w:val="24"/>
        </w:rPr>
        <w:t xml:space="preserve"> defined as</w:t>
      </w:r>
      <w:r w:rsidR="00FB4B3D" w:rsidRPr="00593AF3">
        <w:rPr>
          <w:sz w:val="24"/>
          <w:szCs w:val="24"/>
        </w:rPr>
        <w:t xml:space="preserve"> that sales gas which is</w:t>
      </w:r>
      <w:r w:rsidR="00FD305D" w:rsidRPr="00593AF3">
        <w:rPr>
          <w:sz w:val="24"/>
          <w:szCs w:val="24"/>
        </w:rPr>
        <w:t xml:space="preserve"> </w:t>
      </w:r>
      <w:r w:rsidR="00B13229">
        <w:rPr>
          <w:sz w:val="24"/>
          <w:szCs w:val="24"/>
        </w:rPr>
        <w:t xml:space="preserve">produced from project natural gas and is </w:t>
      </w:r>
      <w:r w:rsidR="00FD305D" w:rsidRPr="00593AF3">
        <w:rPr>
          <w:sz w:val="24"/>
          <w:szCs w:val="24"/>
        </w:rPr>
        <w:t>consumed</w:t>
      </w:r>
      <w:r w:rsidR="00FB4B3D" w:rsidRPr="00593AF3">
        <w:rPr>
          <w:sz w:val="24"/>
          <w:szCs w:val="24"/>
        </w:rPr>
        <w:t xml:space="preserve"> by, </w:t>
      </w:r>
      <w:r w:rsidR="00FD305D" w:rsidRPr="00593AF3">
        <w:rPr>
          <w:sz w:val="24"/>
          <w:szCs w:val="24"/>
        </w:rPr>
        <w:t xml:space="preserve">or used </w:t>
      </w:r>
      <w:r w:rsidR="00FB4B3D" w:rsidRPr="00593AF3">
        <w:rPr>
          <w:sz w:val="24"/>
          <w:szCs w:val="24"/>
        </w:rPr>
        <w:t>in</w:t>
      </w:r>
      <w:r w:rsidR="00FD305D" w:rsidRPr="00593AF3">
        <w:rPr>
          <w:sz w:val="24"/>
          <w:szCs w:val="24"/>
        </w:rPr>
        <w:t xml:space="preserve"> the production of electricity</w:t>
      </w:r>
      <w:r w:rsidR="00FB4B3D" w:rsidRPr="00593AF3">
        <w:rPr>
          <w:sz w:val="24"/>
          <w:szCs w:val="24"/>
        </w:rPr>
        <w:t xml:space="preserve"> by</w:t>
      </w:r>
      <w:r w:rsidR="00FD305D" w:rsidRPr="00593AF3">
        <w:rPr>
          <w:sz w:val="24"/>
          <w:szCs w:val="24"/>
        </w:rPr>
        <w:t xml:space="preserve"> the integrated GTE operation.  Project sales gas is the marketable petroleum commodity which is normally being </w:t>
      </w:r>
      <w:r>
        <w:rPr>
          <w:sz w:val="24"/>
          <w:szCs w:val="24"/>
        </w:rPr>
        <w:t>valued</w:t>
      </w:r>
      <w:r w:rsidR="00FD305D" w:rsidRPr="00593AF3">
        <w:rPr>
          <w:sz w:val="24"/>
          <w:szCs w:val="24"/>
        </w:rPr>
        <w:t xml:space="preserve"> under the framework set out in the </w:t>
      </w:r>
      <w:r w:rsidR="00EF4BE4">
        <w:rPr>
          <w:sz w:val="24"/>
          <w:szCs w:val="24"/>
        </w:rPr>
        <w:t>Principal R</w:t>
      </w:r>
      <w:r w:rsidR="00FD305D" w:rsidRPr="00593AF3">
        <w:rPr>
          <w:sz w:val="24"/>
          <w:szCs w:val="24"/>
        </w:rPr>
        <w:t>egulation</w:t>
      </w:r>
      <w:r>
        <w:rPr>
          <w:sz w:val="24"/>
          <w:szCs w:val="24"/>
        </w:rPr>
        <w:t>.</w:t>
      </w:r>
      <w:r w:rsidR="00FD305D" w:rsidRPr="0011398A">
        <w:rPr>
          <w:i/>
        </w:rPr>
        <w:t xml:space="preserve"> </w:t>
      </w:r>
    </w:p>
    <w:p w14:paraId="1B90701A" w14:textId="77777777" w:rsidR="00EF4BE4" w:rsidRDefault="00EF4BE4" w:rsidP="0074777B">
      <w:pPr>
        <w:pStyle w:val="Heading6"/>
        <w:spacing w:before="0" w:after="240"/>
      </w:pPr>
      <w:r w:rsidRPr="00593AF3">
        <w:t xml:space="preserve">Project electricity </w:t>
      </w:r>
    </w:p>
    <w:p w14:paraId="1B90701B" w14:textId="77777777" w:rsidR="00EF4BE4" w:rsidRDefault="00FD305D" w:rsidP="0074777B">
      <w:pPr>
        <w:pStyle w:val="Heading6"/>
        <w:spacing w:before="0" w:after="240"/>
      </w:pPr>
      <w:r w:rsidRPr="0074777B">
        <w:rPr>
          <w:i/>
          <w:u w:val="none"/>
        </w:rPr>
        <w:t>Project electricity</w:t>
      </w:r>
      <w:r w:rsidRPr="0074777B">
        <w:rPr>
          <w:u w:val="none"/>
        </w:rPr>
        <w:t xml:space="preserve"> is the electricity produced through the consumption of project sales gas. The value of project electricity (normally determined by sale) is </w:t>
      </w:r>
      <w:r w:rsidR="00FE6CCD" w:rsidRPr="0074777B">
        <w:rPr>
          <w:u w:val="none"/>
        </w:rPr>
        <w:t xml:space="preserve">primarily </w:t>
      </w:r>
      <w:r w:rsidRPr="0074777B">
        <w:rPr>
          <w:u w:val="none"/>
        </w:rPr>
        <w:t xml:space="preserve">used to determine the netback price </w:t>
      </w:r>
      <w:r w:rsidR="002426E9" w:rsidRPr="0074777B">
        <w:rPr>
          <w:u w:val="none"/>
        </w:rPr>
        <w:t xml:space="preserve">under </w:t>
      </w:r>
      <w:r w:rsidR="00191C0D">
        <w:rPr>
          <w:u w:val="none"/>
        </w:rPr>
        <w:t>r</w:t>
      </w:r>
      <w:r w:rsidR="00FE6CCD" w:rsidRPr="0074777B">
        <w:rPr>
          <w:u w:val="none"/>
        </w:rPr>
        <w:t>egulation 23</w:t>
      </w:r>
      <w:r w:rsidR="00191C0D">
        <w:rPr>
          <w:u w:val="none"/>
        </w:rPr>
        <w:t xml:space="preserve"> of the Principal Regulation</w:t>
      </w:r>
      <w:r w:rsidR="00FE6CCD" w:rsidRPr="007A7CD4">
        <w:rPr>
          <w:u w:val="none"/>
        </w:rPr>
        <w:t>.</w:t>
      </w:r>
      <w:r w:rsidRPr="007A7CD4">
        <w:rPr>
          <w:u w:val="none"/>
        </w:rPr>
        <w:t xml:space="preserve"> </w:t>
      </w:r>
      <w:r w:rsidRPr="0074777B">
        <w:br/>
      </w:r>
      <w:r w:rsidRPr="00EF4BE4">
        <w:br/>
      </w:r>
      <w:r w:rsidR="00EF4BE4">
        <w:t>Project product and production year</w:t>
      </w:r>
    </w:p>
    <w:p w14:paraId="1B90701C" w14:textId="77777777" w:rsidR="00EF4BE4" w:rsidRDefault="00FD305D" w:rsidP="0074777B">
      <w:pPr>
        <w:pStyle w:val="Heading6"/>
        <w:spacing w:before="0" w:after="240"/>
      </w:pPr>
      <w:r w:rsidRPr="0074777B">
        <w:rPr>
          <w:u w:val="none"/>
        </w:rPr>
        <w:t>The definition</w:t>
      </w:r>
      <w:r w:rsidR="00FE6CCD" w:rsidRPr="0074777B">
        <w:rPr>
          <w:u w:val="none"/>
        </w:rPr>
        <w:t>s</w:t>
      </w:r>
      <w:r w:rsidRPr="0074777B">
        <w:rPr>
          <w:u w:val="none"/>
        </w:rPr>
        <w:t xml:space="preserve"> of </w:t>
      </w:r>
      <w:r w:rsidR="00FE6CCD" w:rsidRPr="0074777B">
        <w:rPr>
          <w:u w:val="none"/>
        </w:rPr>
        <w:t xml:space="preserve">both </w:t>
      </w:r>
      <w:r w:rsidRPr="0074777B">
        <w:rPr>
          <w:i/>
          <w:u w:val="none"/>
        </w:rPr>
        <w:t>project product</w:t>
      </w:r>
      <w:r w:rsidRPr="0074777B">
        <w:rPr>
          <w:u w:val="none"/>
        </w:rPr>
        <w:t xml:space="preserve"> </w:t>
      </w:r>
      <w:r w:rsidR="00FE6CCD" w:rsidRPr="0074777B">
        <w:rPr>
          <w:u w:val="none"/>
        </w:rPr>
        <w:t xml:space="preserve">and </w:t>
      </w:r>
      <w:r w:rsidR="00FE6CCD" w:rsidRPr="0074777B">
        <w:rPr>
          <w:i/>
          <w:u w:val="none"/>
        </w:rPr>
        <w:t>production year</w:t>
      </w:r>
      <w:r w:rsidR="00FE6CCD" w:rsidRPr="0074777B">
        <w:rPr>
          <w:u w:val="none"/>
        </w:rPr>
        <w:t xml:space="preserve"> in relation to an </w:t>
      </w:r>
      <w:r w:rsidRPr="0074777B">
        <w:rPr>
          <w:u w:val="none"/>
        </w:rPr>
        <w:t xml:space="preserve">integrated GTE operation </w:t>
      </w:r>
      <w:r w:rsidR="00FE6CCD" w:rsidRPr="0074777B">
        <w:rPr>
          <w:u w:val="none"/>
        </w:rPr>
        <w:t xml:space="preserve">mirror those </w:t>
      </w:r>
      <w:r w:rsidRPr="0074777B">
        <w:rPr>
          <w:u w:val="none"/>
        </w:rPr>
        <w:t>for an integrated GTL operation, except that the definition substitutes project electricity in the place of project liquid.</w:t>
      </w:r>
    </w:p>
    <w:p w14:paraId="1B90701D" w14:textId="77777777" w:rsidR="00EF4BE4" w:rsidRPr="00715A0B" w:rsidRDefault="00EF4BE4" w:rsidP="0074777B">
      <w:pPr>
        <w:pStyle w:val="Heading6"/>
        <w:spacing w:before="0" w:after="240"/>
      </w:pPr>
      <w:r>
        <w:t>Production date</w:t>
      </w:r>
    </w:p>
    <w:p w14:paraId="1B90701E" w14:textId="77777777" w:rsidR="00EF4BE4" w:rsidRDefault="00FD305D" w:rsidP="0074777B">
      <w:pPr>
        <w:pStyle w:val="exampletext"/>
        <w:spacing w:before="0" w:after="240"/>
        <w:ind w:left="0"/>
        <w:rPr>
          <w:sz w:val="24"/>
          <w:szCs w:val="24"/>
        </w:rPr>
      </w:pPr>
      <w:r w:rsidRPr="00EF4BE4">
        <w:rPr>
          <w:sz w:val="24"/>
          <w:szCs w:val="24"/>
        </w:rPr>
        <w:t xml:space="preserve">The </w:t>
      </w:r>
      <w:r w:rsidRPr="0074777B">
        <w:rPr>
          <w:i/>
          <w:sz w:val="24"/>
          <w:szCs w:val="24"/>
        </w:rPr>
        <w:t xml:space="preserve">production </w:t>
      </w:r>
      <w:r w:rsidR="00FE6CCD" w:rsidRPr="0074777B">
        <w:rPr>
          <w:i/>
          <w:sz w:val="24"/>
          <w:szCs w:val="24"/>
        </w:rPr>
        <w:t>date</w:t>
      </w:r>
      <w:r w:rsidRPr="00EF4BE4">
        <w:rPr>
          <w:sz w:val="24"/>
          <w:szCs w:val="24"/>
        </w:rPr>
        <w:t xml:space="preserve"> for an integrated GTE operation is 31 December of the</w:t>
      </w:r>
      <w:r w:rsidRPr="00593AF3">
        <w:rPr>
          <w:sz w:val="24"/>
          <w:szCs w:val="24"/>
        </w:rPr>
        <w:t xml:space="preserve"> production year</w:t>
      </w:r>
      <w:r w:rsidR="00FE6CCD" w:rsidRPr="00593AF3">
        <w:rPr>
          <w:sz w:val="24"/>
          <w:szCs w:val="24"/>
        </w:rPr>
        <w:t>, consistent with that for integrated GTL operations</w:t>
      </w:r>
      <w:r w:rsidR="00EF4BE4">
        <w:rPr>
          <w:sz w:val="24"/>
          <w:szCs w:val="24"/>
        </w:rPr>
        <w:t>.</w:t>
      </w:r>
      <w:r w:rsidR="00FE6CCD" w:rsidRPr="00593AF3">
        <w:rPr>
          <w:sz w:val="24"/>
          <w:szCs w:val="24"/>
        </w:rPr>
        <w:t xml:space="preserve"> </w:t>
      </w:r>
      <w:r w:rsidRPr="00593AF3">
        <w:rPr>
          <w:sz w:val="24"/>
          <w:szCs w:val="24"/>
        </w:rPr>
        <w:t xml:space="preserve"> </w:t>
      </w:r>
    </w:p>
    <w:p w14:paraId="1B90701F" w14:textId="77777777" w:rsidR="002426E9" w:rsidRDefault="00FB4B3D" w:rsidP="0074777B">
      <w:pPr>
        <w:pStyle w:val="exampletext"/>
        <w:spacing w:before="0" w:after="240"/>
        <w:ind w:left="0"/>
        <w:rPr>
          <w:b/>
          <w:i/>
          <w:color w:val="7030A0"/>
          <w:sz w:val="18"/>
          <w:szCs w:val="18"/>
        </w:rPr>
      </w:pPr>
      <w:r w:rsidRPr="00593AF3">
        <w:rPr>
          <w:sz w:val="24"/>
          <w:szCs w:val="24"/>
        </w:rPr>
        <w:t>Both t</w:t>
      </w:r>
      <w:r w:rsidR="00FD305D" w:rsidRPr="00593AF3">
        <w:rPr>
          <w:sz w:val="24"/>
          <w:szCs w:val="24"/>
        </w:rPr>
        <w:t>he production year and production date are used in relation to augmenting and reducing those costs incurred prior to the production year under Division 5.3 of the</w:t>
      </w:r>
      <w:r w:rsidR="00FE6CCD" w:rsidRPr="00593AF3">
        <w:rPr>
          <w:sz w:val="24"/>
          <w:szCs w:val="24"/>
        </w:rPr>
        <w:t xml:space="preserve"> </w:t>
      </w:r>
      <w:r w:rsidR="00191C0D">
        <w:rPr>
          <w:sz w:val="24"/>
          <w:szCs w:val="24"/>
        </w:rPr>
        <w:t xml:space="preserve">Principal </w:t>
      </w:r>
      <w:r w:rsidR="00FD305D" w:rsidRPr="00593AF3">
        <w:rPr>
          <w:sz w:val="24"/>
          <w:szCs w:val="24"/>
        </w:rPr>
        <w:t>Regulation.</w:t>
      </w:r>
      <w:r w:rsidR="00FD305D" w:rsidRPr="0011398A">
        <w:rPr>
          <w:b/>
          <w:i/>
          <w:color w:val="7030A0"/>
          <w:sz w:val="18"/>
          <w:szCs w:val="18"/>
        </w:rPr>
        <w:t xml:space="preserve"> </w:t>
      </w:r>
    </w:p>
    <w:p w14:paraId="1B907020" w14:textId="77777777" w:rsidR="00EF4BE4" w:rsidRDefault="00EF4BE4" w:rsidP="0074777B">
      <w:pPr>
        <w:pStyle w:val="Heading6"/>
        <w:spacing w:before="0" w:after="240"/>
      </w:pPr>
      <w:r>
        <w:t>Operating life</w:t>
      </w:r>
    </w:p>
    <w:p w14:paraId="1B907021" w14:textId="77777777" w:rsidR="004D7BE2" w:rsidRPr="00DC34F9" w:rsidRDefault="004D7BE2" w:rsidP="00EB12FB">
      <w:pPr>
        <w:spacing w:after="240"/>
        <w:ind w:right="-51"/>
        <w:rPr>
          <w:rStyle w:val="Referencingstyle"/>
        </w:rPr>
      </w:pPr>
      <w:r w:rsidRPr="00EF4BE4">
        <w:rPr>
          <w:szCs w:val="24"/>
        </w:rPr>
        <w:t xml:space="preserve">The </w:t>
      </w:r>
      <w:r w:rsidRPr="0074777B">
        <w:rPr>
          <w:i/>
          <w:szCs w:val="24"/>
        </w:rPr>
        <w:t>operating life</w:t>
      </w:r>
      <w:r w:rsidRPr="00EF4BE4">
        <w:rPr>
          <w:szCs w:val="24"/>
        </w:rPr>
        <w:t xml:space="preserve"> is a key concept in determining the estimated average and actual</w:t>
      </w:r>
      <w:r w:rsidRPr="008F48C6">
        <w:rPr>
          <w:szCs w:val="24"/>
        </w:rPr>
        <w:t xml:space="preserve"> annual volume or mass of project natural gas for the</w:t>
      </w:r>
      <w:r w:rsidR="007A7CD4">
        <w:rPr>
          <w:szCs w:val="24"/>
        </w:rPr>
        <w:t xml:space="preserve"> volume or mass coefficient under</w:t>
      </w:r>
      <w:r w:rsidRPr="008F48C6">
        <w:rPr>
          <w:szCs w:val="24"/>
        </w:rPr>
        <w:t xml:space="preserve"> regulations 9</w:t>
      </w:r>
      <w:r w:rsidR="009F1CBF">
        <w:rPr>
          <w:szCs w:val="24"/>
        </w:rPr>
        <w:t xml:space="preserve"> and </w:t>
      </w:r>
      <w:r w:rsidRPr="008F48C6">
        <w:rPr>
          <w:szCs w:val="24"/>
        </w:rPr>
        <w:t xml:space="preserve">10 </w:t>
      </w:r>
      <w:r w:rsidR="00191C0D">
        <w:rPr>
          <w:szCs w:val="24"/>
        </w:rPr>
        <w:t>of the Principal Regulation</w:t>
      </w:r>
      <w:r w:rsidR="009F1CBF">
        <w:rPr>
          <w:szCs w:val="24"/>
        </w:rPr>
        <w:t xml:space="preserve"> and regulation 10A</w:t>
      </w:r>
      <w:r w:rsidR="007A7CD4">
        <w:rPr>
          <w:szCs w:val="24"/>
        </w:rPr>
        <w:t>,</w:t>
      </w:r>
      <w:r w:rsidRPr="008F48C6">
        <w:rPr>
          <w:szCs w:val="24"/>
        </w:rPr>
        <w:t xml:space="preserve"> and is the basis of the estimated operating life for allocating direct capital costs across years of tax </w:t>
      </w:r>
      <w:r w:rsidR="00FE6CCD" w:rsidRPr="00593AF3">
        <w:rPr>
          <w:szCs w:val="24"/>
        </w:rPr>
        <w:t xml:space="preserve">under </w:t>
      </w:r>
      <w:r w:rsidR="00191C0D">
        <w:rPr>
          <w:szCs w:val="24"/>
        </w:rPr>
        <w:t>r</w:t>
      </w:r>
      <w:r w:rsidRPr="008F48C6">
        <w:rPr>
          <w:szCs w:val="24"/>
        </w:rPr>
        <w:t>egulation 36</w:t>
      </w:r>
      <w:r w:rsidR="00191C0D">
        <w:rPr>
          <w:szCs w:val="24"/>
        </w:rPr>
        <w:t xml:space="preserve"> of the Principal Regulation</w:t>
      </w:r>
      <w:r w:rsidRPr="00DC34F9">
        <w:rPr>
          <w:rStyle w:val="Referencingstyle"/>
        </w:rPr>
        <w:t xml:space="preserve">. </w:t>
      </w:r>
    </w:p>
    <w:p w14:paraId="1B907022" w14:textId="77777777" w:rsidR="00EF4BE4" w:rsidRDefault="00EF4BE4" w:rsidP="0074777B">
      <w:pPr>
        <w:pStyle w:val="Heading6"/>
        <w:spacing w:before="0" w:after="240"/>
      </w:pPr>
      <w:r>
        <w:t>MPC production year</w:t>
      </w:r>
    </w:p>
    <w:p w14:paraId="1B907023" w14:textId="77777777" w:rsidR="00191C0D" w:rsidRDefault="004D7BE2" w:rsidP="00EB12FB">
      <w:pPr>
        <w:spacing w:after="240"/>
        <w:ind w:right="-51"/>
        <w:rPr>
          <w:szCs w:val="24"/>
        </w:rPr>
      </w:pPr>
      <w:r w:rsidRPr="00EF4BE4">
        <w:rPr>
          <w:szCs w:val="24"/>
        </w:rPr>
        <w:t xml:space="preserve">The </w:t>
      </w:r>
      <w:r w:rsidRPr="0074777B">
        <w:rPr>
          <w:i/>
          <w:szCs w:val="24"/>
        </w:rPr>
        <w:t>MPC production year</w:t>
      </w:r>
      <w:r w:rsidR="00FE6CCD" w:rsidRPr="00EF4BE4">
        <w:rPr>
          <w:szCs w:val="24"/>
        </w:rPr>
        <w:t xml:space="preserve"> for an integrated </w:t>
      </w:r>
      <w:r w:rsidRPr="00EF4BE4">
        <w:rPr>
          <w:szCs w:val="24"/>
        </w:rPr>
        <w:t xml:space="preserve">GTE operation </w:t>
      </w:r>
      <w:r w:rsidR="00FE6CCD" w:rsidRPr="00EF4BE4">
        <w:rPr>
          <w:szCs w:val="24"/>
        </w:rPr>
        <w:t xml:space="preserve">is the same as that for </w:t>
      </w:r>
      <w:r w:rsidRPr="00EF4BE4">
        <w:rPr>
          <w:szCs w:val="24"/>
        </w:rPr>
        <w:t>a</w:t>
      </w:r>
      <w:r w:rsidRPr="00593AF3">
        <w:rPr>
          <w:szCs w:val="24"/>
        </w:rPr>
        <w:t xml:space="preserve"> GTL operation. </w:t>
      </w:r>
      <w:r w:rsidR="00FE6CCD">
        <w:rPr>
          <w:szCs w:val="24"/>
        </w:rPr>
        <w:t>It is defined as th</w:t>
      </w:r>
      <w:r w:rsidRPr="00593AF3">
        <w:rPr>
          <w:szCs w:val="24"/>
        </w:rPr>
        <w:t>e year of tax in which an MPC</w:t>
      </w:r>
      <w:r w:rsidR="00FE6CCD">
        <w:rPr>
          <w:szCs w:val="24"/>
        </w:rPr>
        <w:t>,</w:t>
      </w:r>
      <w:r w:rsidRPr="00593AF3">
        <w:rPr>
          <w:szCs w:val="24"/>
        </w:rPr>
        <w:t xml:space="preserve"> other than project sales gas</w:t>
      </w:r>
      <w:r w:rsidR="00FE6CCD">
        <w:rPr>
          <w:szCs w:val="24"/>
        </w:rPr>
        <w:t>,</w:t>
      </w:r>
      <w:r w:rsidRPr="00593AF3">
        <w:rPr>
          <w:szCs w:val="24"/>
        </w:rPr>
        <w:t xml:space="preserve"> is first produced.  </w:t>
      </w:r>
    </w:p>
    <w:p w14:paraId="1B907024" w14:textId="77777777" w:rsidR="004D7BE2" w:rsidRDefault="004D7BE2" w:rsidP="00445A8C">
      <w:pPr>
        <w:spacing w:after="240"/>
        <w:ind w:right="-51"/>
      </w:pPr>
      <w:r w:rsidRPr="00593AF3">
        <w:rPr>
          <w:szCs w:val="24"/>
        </w:rPr>
        <w:t xml:space="preserve">This definition has its main application where capital costs are augmented or reduced at Step 9 of the RPM, </w:t>
      </w:r>
      <w:r w:rsidR="00FE6CCD">
        <w:rPr>
          <w:szCs w:val="24"/>
        </w:rPr>
        <w:t>as set out in</w:t>
      </w:r>
      <w:r w:rsidRPr="00593AF3">
        <w:rPr>
          <w:szCs w:val="24"/>
        </w:rPr>
        <w:t xml:space="preserve"> Division 5.3 (see </w:t>
      </w:r>
      <w:r w:rsidR="00191C0D">
        <w:rPr>
          <w:szCs w:val="24"/>
        </w:rPr>
        <w:t>r</w:t>
      </w:r>
      <w:r w:rsidRPr="00593AF3">
        <w:rPr>
          <w:szCs w:val="24"/>
        </w:rPr>
        <w:t>egulations 34 and 35</w:t>
      </w:r>
      <w:r w:rsidR="00191C0D">
        <w:rPr>
          <w:szCs w:val="24"/>
        </w:rPr>
        <w:t xml:space="preserve"> of the Principal Regulation</w:t>
      </w:r>
      <w:r w:rsidRPr="00593AF3">
        <w:rPr>
          <w:szCs w:val="24"/>
        </w:rPr>
        <w:t>).</w:t>
      </w:r>
      <w:r w:rsidRPr="00593AF3">
        <w:rPr>
          <w:sz w:val="22"/>
        </w:rPr>
        <w:t xml:space="preserve"> </w:t>
      </w:r>
    </w:p>
    <w:p w14:paraId="1B907025" w14:textId="77777777" w:rsidR="00B623CC" w:rsidRPr="00593AF3" w:rsidRDefault="00B623CC" w:rsidP="0074777B">
      <w:pPr>
        <w:pStyle w:val="Heading6"/>
        <w:spacing w:before="0" w:after="240"/>
      </w:pPr>
      <w:r w:rsidRPr="00593AF3">
        <w:t>Upstream and downstream stages of integrated GTE operation</w:t>
      </w:r>
    </w:p>
    <w:p w14:paraId="1B907026" w14:textId="77777777" w:rsidR="00191C0D" w:rsidRDefault="00191C0D" w:rsidP="0074777B">
      <w:pPr>
        <w:pStyle w:val="EMpara"/>
        <w:spacing w:before="0" w:after="240"/>
      </w:pPr>
      <w:r>
        <w:t>As explained earlier, b</w:t>
      </w:r>
      <w:r w:rsidR="00B623CC" w:rsidRPr="00C008E7">
        <w:t xml:space="preserve">oth integrated GTL </w:t>
      </w:r>
      <w:r w:rsidR="00497DC5">
        <w:t>and GTE</w:t>
      </w:r>
      <w:r w:rsidR="00B623CC" w:rsidRPr="00C008E7">
        <w:t xml:space="preserve"> operations consist of an upstream stage and a downstream stage. The upstream stage</w:t>
      </w:r>
      <w:r w:rsidR="009574E2" w:rsidRPr="00593AF3">
        <w:t xml:space="preserve">, which </w:t>
      </w:r>
      <w:r w:rsidR="00850A25">
        <w:t xml:space="preserve">usually </w:t>
      </w:r>
      <w:r w:rsidR="009574E2" w:rsidRPr="00593AF3">
        <w:t>involves the production of the</w:t>
      </w:r>
      <w:r w:rsidR="00850A25">
        <w:t xml:space="preserve"> marketable petroleum commodity</w:t>
      </w:r>
      <w:r w:rsidR="009574E2" w:rsidRPr="00593AF3">
        <w:t xml:space="preserve"> ‘sales gas’, </w:t>
      </w:r>
      <w:r w:rsidR="00850A25">
        <w:t xml:space="preserve">is comprised of the same activities and elements </w:t>
      </w:r>
      <w:r w:rsidR="00B623CC" w:rsidRPr="00C008E7">
        <w:t xml:space="preserve">for both integrated GTL </w:t>
      </w:r>
      <w:r w:rsidR="009574E2" w:rsidRPr="00593AF3">
        <w:t xml:space="preserve">and GTE </w:t>
      </w:r>
      <w:r w:rsidR="00B623CC" w:rsidRPr="00C008E7">
        <w:t>operation</w:t>
      </w:r>
      <w:r w:rsidR="009574E2" w:rsidRPr="00593AF3">
        <w:t>s</w:t>
      </w:r>
      <w:r w:rsidR="00C008E7">
        <w:t xml:space="preserve">. </w:t>
      </w:r>
    </w:p>
    <w:p w14:paraId="1B907027" w14:textId="77777777" w:rsidR="00B623CC" w:rsidRPr="00C008E7" w:rsidRDefault="00C008E7" w:rsidP="0074777B">
      <w:pPr>
        <w:pStyle w:val="EMpara"/>
        <w:spacing w:before="0" w:after="240"/>
      </w:pPr>
      <w:r>
        <w:lastRenderedPageBreak/>
        <w:t>However,</w:t>
      </w:r>
      <w:r w:rsidR="00B623CC" w:rsidRPr="00C008E7">
        <w:t xml:space="preserve"> the downstream stage</w:t>
      </w:r>
      <w:r>
        <w:t xml:space="preserve"> will</w:t>
      </w:r>
      <w:r w:rsidR="00B623CC" w:rsidRPr="00C008E7">
        <w:t xml:space="preserve"> differ due to the different processes involved in the production of electricity as opposed to project liquid. </w:t>
      </w:r>
    </w:p>
    <w:p w14:paraId="1B907028" w14:textId="77777777" w:rsidR="00C42406" w:rsidRPr="00593AF3" w:rsidRDefault="00191C0D" w:rsidP="0074777B">
      <w:pPr>
        <w:pStyle w:val="EMpara"/>
        <w:spacing w:before="0" w:after="240"/>
      </w:pPr>
      <w:r>
        <w:t xml:space="preserve">Regulation 5 of the </w:t>
      </w:r>
      <w:r w:rsidR="00850A25">
        <w:t xml:space="preserve">Principal Regulation </w:t>
      </w:r>
      <w:r>
        <w:t xml:space="preserve">currently </w:t>
      </w:r>
      <w:r w:rsidR="00850A25">
        <w:t xml:space="preserve">defines the upstream and downstream stages of an integrated GTL operation. </w:t>
      </w:r>
      <w:r w:rsidR="007A7CD4">
        <w:t>The</w:t>
      </w:r>
      <w:r>
        <w:t xml:space="preserve"> Regulation amend</w:t>
      </w:r>
      <w:r w:rsidR="007A7CD4">
        <w:t>s</w:t>
      </w:r>
      <w:r>
        <w:t xml:space="preserve"> regulation 5</w:t>
      </w:r>
      <w:r w:rsidR="00850A25">
        <w:t xml:space="preserve"> </w:t>
      </w:r>
      <w:r w:rsidR="00C42406" w:rsidRPr="00593AF3">
        <w:t>so that it applies to both integrated GTL and GTE operations.</w:t>
      </w:r>
      <w:r w:rsidR="00850A25">
        <w:t xml:space="preserve"> </w:t>
      </w:r>
    </w:p>
    <w:p w14:paraId="1B907029" w14:textId="77777777" w:rsidR="00F5079E" w:rsidRPr="00850A25" w:rsidRDefault="00E57C54" w:rsidP="0074777B">
      <w:pPr>
        <w:pStyle w:val="EMpara"/>
        <w:spacing w:before="0" w:after="240"/>
        <w:rPr>
          <w:color w:val="00B050"/>
        </w:rPr>
      </w:pPr>
      <w:r>
        <w:t xml:space="preserve">What constitutes the </w:t>
      </w:r>
      <w:r w:rsidR="00B623CC" w:rsidRPr="00593AF3">
        <w:rPr>
          <w:i/>
        </w:rPr>
        <w:t>upstream stage</w:t>
      </w:r>
      <w:r w:rsidR="00B623CC" w:rsidRPr="00593AF3">
        <w:t xml:space="preserve"> of an integrated operation </w:t>
      </w:r>
      <w:r w:rsidR="00850A25">
        <w:t>remain</w:t>
      </w:r>
      <w:r w:rsidR="007A7CD4">
        <w:t>s</w:t>
      </w:r>
      <w:r w:rsidR="00850A25">
        <w:t xml:space="preserve"> the same as in the Principal Regulation, </w:t>
      </w:r>
      <w:r>
        <w:t>and includes</w:t>
      </w:r>
      <w:r w:rsidR="00B623CC" w:rsidRPr="00593AF3">
        <w:t xml:space="preserve"> those processes necessary </w:t>
      </w:r>
      <w:r>
        <w:t>f</w:t>
      </w:r>
      <w:r w:rsidR="00B623CC" w:rsidRPr="00593AF3">
        <w:t>o</w:t>
      </w:r>
      <w:r>
        <w:t>r</w:t>
      </w:r>
      <w:r w:rsidR="00B623CC" w:rsidRPr="00593AF3">
        <w:t xml:space="preserve"> the production</w:t>
      </w:r>
      <w:r>
        <w:t xml:space="preserve"> of project sales g</w:t>
      </w:r>
      <w:r w:rsidR="007A47BC">
        <w:t>as and storage of that gas at</w:t>
      </w:r>
      <w:r>
        <w:t xml:space="preserve"> or adjacent to the place it is produced</w:t>
      </w:r>
      <w:r w:rsidR="00B623CC" w:rsidRPr="00593AF3">
        <w:t xml:space="preserve">.  </w:t>
      </w:r>
      <w:r w:rsidR="00850A25" w:rsidRPr="00850A25">
        <w:t>Similarly, t</w:t>
      </w:r>
      <w:r w:rsidR="00B623CC" w:rsidRPr="00850A25">
        <w:t xml:space="preserve">he processes </w:t>
      </w:r>
      <w:r w:rsidR="00B623CC" w:rsidRPr="00593AF3">
        <w:t xml:space="preserve">comprising the downstream stage of an integrated GTL operation </w:t>
      </w:r>
      <w:r>
        <w:t xml:space="preserve">also </w:t>
      </w:r>
      <w:r w:rsidR="00B623CC" w:rsidRPr="00593AF3">
        <w:t xml:space="preserve">remain the same as </w:t>
      </w:r>
      <w:r w:rsidR="00F5079E" w:rsidRPr="00593AF3">
        <w:t xml:space="preserve">under </w:t>
      </w:r>
      <w:r w:rsidR="00B623CC" w:rsidRPr="00593AF3">
        <w:t>the Pri</w:t>
      </w:r>
      <w:r w:rsidR="00F5079E" w:rsidRPr="00593AF3">
        <w:t>ncipal</w:t>
      </w:r>
      <w:r w:rsidR="00B623CC" w:rsidRPr="00593AF3">
        <w:t xml:space="preserve"> Regulation.</w:t>
      </w:r>
      <w:r w:rsidR="00B623CC">
        <w:t xml:space="preserve"> </w:t>
      </w:r>
    </w:p>
    <w:p w14:paraId="1B90702A" w14:textId="77777777" w:rsidR="00191C0D" w:rsidRDefault="007A7CD4" w:rsidP="0074777B">
      <w:pPr>
        <w:pStyle w:val="EMpara"/>
        <w:spacing w:before="0" w:after="240"/>
      </w:pPr>
      <w:r>
        <w:t xml:space="preserve">However, the </w:t>
      </w:r>
      <w:r w:rsidR="00191C0D">
        <w:t xml:space="preserve">Regulation </w:t>
      </w:r>
      <w:r>
        <w:t>amends the Principal Regulation to</w:t>
      </w:r>
      <w:r w:rsidR="00191C0D">
        <w:t xml:space="preserve"> </w:t>
      </w:r>
      <w:r w:rsidR="00615577">
        <w:t xml:space="preserve">separately </w:t>
      </w:r>
      <w:r w:rsidR="00191C0D">
        <w:t>define t</w:t>
      </w:r>
      <w:r w:rsidR="00F5079E" w:rsidRPr="00593AF3">
        <w:t xml:space="preserve">he elements comprising </w:t>
      </w:r>
      <w:r w:rsidR="00850A25">
        <w:t xml:space="preserve">the </w:t>
      </w:r>
      <w:r w:rsidR="00850A25" w:rsidRPr="0074777B">
        <w:t>downstream stage</w:t>
      </w:r>
      <w:r w:rsidR="00850A25">
        <w:t xml:space="preserve"> of an integrated GTE operation</w:t>
      </w:r>
      <w:r w:rsidR="00B623CC" w:rsidRPr="00E57C54">
        <w:t xml:space="preserve">.  </w:t>
      </w:r>
    </w:p>
    <w:p w14:paraId="1B90702B" w14:textId="77777777" w:rsidR="00191C0D" w:rsidRDefault="00B623CC" w:rsidP="0074777B">
      <w:pPr>
        <w:pStyle w:val="EMpara"/>
        <w:spacing w:before="0" w:after="240"/>
      </w:pPr>
      <w:r w:rsidRPr="00E57C54">
        <w:t>Broadly, the</w:t>
      </w:r>
      <w:r w:rsidR="00191C0D">
        <w:t xml:space="preserve"> Regulation</w:t>
      </w:r>
      <w:r w:rsidR="007A7CD4">
        <w:t xml:space="preserve"> specifies</w:t>
      </w:r>
      <w:r w:rsidR="00191C0D">
        <w:t xml:space="preserve"> that the</w:t>
      </w:r>
      <w:r w:rsidRPr="00E57C54">
        <w:t xml:space="preserve"> downstream stage of an integrated GTE operation comprises those processes which occur after the production of project sales gas and continue up to the point where project electricity is generated and sold or alternatively committed to some other use. </w:t>
      </w:r>
    </w:p>
    <w:p w14:paraId="1B90702C" w14:textId="77777777" w:rsidR="00B623CC" w:rsidRPr="00257EB3" w:rsidRDefault="00B623CC" w:rsidP="0074777B">
      <w:pPr>
        <w:pStyle w:val="EMpara"/>
        <w:spacing w:before="0" w:after="240"/>
      </w:pPr>
      <w:r w:rsidRPr="00E57C54">
        <w:t xml:space="preserve">The costs </w:t>
      </w:r>
      <w:r w:rsidR="00185F4E">
        <w:t>o</w:t>
      </w:r>
      <w:r w:rsidRPr="00E57C54">
        <w:t xml:space="preserve">f infrastructure </w:t>
      </w:r>
      <w:r w:rsidR="007D0E3F">
        <w:t xml:space="preserve">after that point, such as those related to </w:t>
      </w:r>
      <w:r w:rsidRPr="00E57C54">
        <w:t>connecting the downstream electricity generator to the electricity grid, are outside the integrated GTE operation and are not considered part of the downstream stage</w:t>
      </w:r>
      <w:r w:rsidRPr="00593AF3">
        <w:t>.</w:t>
      </w:r>
      <w:r w:rsidRPr="00E141C2">
        <w:rPr>
          <w:b/>
          <w:i/>
          <w:sz w:val="18"/>
          <w:szCs w:val="18"/>
        </w:rPr>
        <w:t xml:space="preserve"> </w:t>
      </w:r>
    </w:p>
    <w:p w14:paraId="1B90702D" w14:textId="77777777" w:rsidR="00056C66" w:rsidRPr="00EB12FB" w:rsidRDefault="00056C66" w:rsidP="0074777B">
      <w:pPr>
        <w:pStyle w:val="Heading3"/>
        <w:spacing w:before="0" w:after="240"/>
      </w:pPr>
      <w:r w:rsidRPr="00EB12FB">
        <w:t xml:space="preserve">Changes to the core </w:t>
      </w:r>
      <w:r w:rsidRPr="0074777B">
        <w:t xml:space="preserve">concepts of </w:t>
      </w:r>
      <w:r w:rsidRPr="00EB12FB">
        <w:t>the Principal Regulation</w:t>
      </w:r>
    </w:p>
    <w:p w14:paraId="1B90702E" w14:textId="77777777" w:rsidR="004635F7" w:rsidRPr="00715A0B" w:rsidRDefault="004635F7" w:rsidP="0074777B">
      <w:pPr>
        <w:pStyle w:val="Heading4"/>
        <w:spacing w:after="240"/>
      </w:pPr>
      <w:r w:rsidRPr="0074777B">
        <w:rPr>
          <w:sz w:val="24"/>
        </w:rPr>
        <w:t xml:space="preserve">Assessable </w:t>
      </w:r>
      <w:r w:rsidR="008F48C6" w:rsidRPr="0074777B">
        <w:rPr>
          <w:sz w:val="24"/>
        </w:rPr>
        <w:t>p</w:t>
      </w:r>
      <w:r w:rsidRPr="0074777B">
        <w:rPr>
          <w:sz w:val="24"/>
        </w:rPr>
        <w:t xml:space="preserve">etroleum </w:t>
      </w:r>
      <w:r w:rsidR="00C9764B" w:rsidRPr="0074777B">
        <w:rPr>
          <w:sz w:val="24"/>
        </w:rPr>
        <w:t>r</w:t>
      </w:r>
      <w:r w:rsidRPr="0074777B">
        <w:rPr>
          <w:sz w:val="24"/>
        </w:rPr>
        <w:t>eceipts</w:t>
      </w:r>
      <w:r w:rsidR="008F48C6" w:rsidRPr="0074777B">
        <w:rPr>
          <w:sz w:val="24"/>
        </w:rPr>
        <w:t xml:space="preserve"> for sales gas </w:t>
      </w:r>
    </w:p>
    <w:p w14:paraId="1B90702F" w14:textId="77777777" w:rsidR="00E44558" w:rsidRPr="002615BF" w:rsidRDefault="00056C66" w:rsidP="0074777B">
      <w:pPr>
        <w:pStyle w:val="EMpara"/>
        <w:spacing w:before="0" w:after="240"/>
      </w:pPr>
      <w:r>
        <w:t xml:space="preserve">Regulations </w:t>
      </w:r>
      <w:r w:rsidRPr="008F48C6">
        <w:t>14 to 17</w:t>
      </w:r>
      <w:r>
        <w:t xml:space="preserve"> of the </w:t>
      </w:r>
      <w:r w:rsidR="0071738F">
        <w:t>Principal R</w:t>
      </w:r>
      <w:r w:rsidR="005045CD">
        <w:t>egulation</w:t>
      </w:r>
      <w:r w:rsidR="000D0BFF" w:rsidRPr="008F48C6">
        <w:t xml:space="preserve"> detail how assessable petroleum receipts for sales gas are to be worked out for an integrated GTL operation</w:t>
      </w:r>
      <w:r w:rsidR="00D2507C">
        <w:t xml:space="preserve"> where the sales gas becomes excluded other </w:t>
      </w:r>
      <w:r w:rsidR="0090787C">
        <w:t xml:space="preserve">than </w:t>
      </w:r>
      <w:r w:rsidR="00D2507C">
        <w:t xml:space="preserve">by sale, or </w:t>
      </w:r>
      <w:r w:rsidR="0090787C">
        <w:t xml:space="preserve">alternatively </w:t>
      </w:r>
      <w:r w:rsidR="00D2507C">
        <w:t>by non-</w:t>
      </w:r>
      <w:r w:rsidR="00593AF3">
        <w:t>arm’s length</w:t>
      </w:r>
      <w:r w:rsidR="00D2507C">
        <w:t xml:space="preserve"> sale</w:t>
      </w:r>
      <w:r w:rsidR="007A7CD4">
        <w:t xml:space="preserve">. The </w:t>
      </w:r>
      <w:r>
        <w:t>Regulation</w:t>
      </w:r>
      <w:r w:rsidR="0090787C">
        <w:t xml:space="preserve"> </w:t>
      </w:r>
      <w:r w:rsidR="00BD3068" w:rsidRPr="00593AF3">
        <w:t>consolidate</w:t>
      </w:r>
      <w:r w:rsidR="007A7CD4">
        <w:t>s</w:t>
      </w:r>
      <w:r w:rsidR="00BD3068" w:rsidRPr="00593AF3">
        <w:t xml:space="preserve"> t</w:t>
      </w:r>
      <w:r w:rsidR="0071738F">
        <w:t xml:space="preserve">he operations of </w:t>
      </w:r>
      <w:r w:rsidR="00E8302E">
        <w:t>those provisions</w:t>
      </w:r>
      <w:r w:rsidR="00593AF3">
        <w:t xml:space="preserve"> while</w:t>
      </w:r>
      <w:r w:rsidR="003F4453" w:rsidRPr="00593AF3">
        <w:t xml:space="preserve"> </w:t>
      </w:r>
      <w:r w:rsidR="0071738F">
        <w:t xml:space="preserve">also </w:t>
      </w:r>
      <w:r w:rsidR="003F4453" w:rsidRPr="00593AF3">
        <w:t>broaden</w:t>
      </w:r>
      <w:r w:rsidR="003A1E64">
        <w:t>ing</w:t>
      </w:r>
      <w:r w:rsidR="002615BF">
        <w:t xml:space="preserve"> their</w:t>
      </w:r>
      <w:r w:rsidR="003F4453" w:rsidRPr="00593AF3">
        <w:t xml:space="preserve"> scope to</w:t>
      </w:r>
      <w:r w:rsidR="00BD3068" w:rsidRPr="00593AF3">
        <w:t xml:space="preserve"> apply to </w:t>
      </w:r>
      <w:r w:rsidR="0090787C">
        <w:t>‘</w:t>
      </w:r>
      <w:r w:rsidR="00BD3068" w:rsidRPr="00593AF3">
        <w:t>integrated operations</w:t>
      </w:r>
      <w:r w:rsidR="0090787C">
        <w:t>’</w:t>
      </w:r>
      <w:r w:rsidR="00E8302E">
        <w:t xml:space="preserve"> (</w:t>
      </w:r>
      <w:r w:rsidR="0090787C">
        <w:t xml:space="preserve">that is, integrated </w:t>
      </w:r>
      <w:r w:rsidR="00E8302E">
        <w:t>GTL and GTE</w:t>
      </w:r>
      <w:r w:rsidR="0090787C">
        <w:t xml:space="preserve"> operations</w:t>
      </w:r>
      <w:r w:rsidR="00E8302E">
        <w:t>)</w:t>
      </w:r>
      <w:r w:rsidR="00BD3068" w:rsidRPr="00593AF3">
        <w:t xml:space="preserve"> rather than </w:t>
      </w:r>
      <w:r w:rsidR="003F4453" w:rsidRPr="00593AF3">
        <w:t xml:space="preserve">only </w:t>
      </w:r>
      <w:r w:rsidR="00BD3068" w:rsidRPr="00593AF3">
        <w:t>integrated GTL operations</w:t>
      </w:r>
      <w:r w:rsidR="00BD3068" w:rsidRPr="002615BF">
        <w:t xml:space="preserve">. </w:t>
      </w:r>
    </w:p>
    <w:p w14:paraId="1B907030" w14:textId="77777777" w:rsidR="00D05959" w:rsidRPr="00593AF3" w:rsidRDefault="007A7CD4" w:rsidP="0074777B">
      <w:pPr>
        <w:pStyle w:val="EMpara"/>
        <w:spacing w:before="0" w:after="240"/>
      </w:pPr>
      <w:r>
        <w:t>R</w:t>
      </w:r>
      <w:r w:rsidR="00E8302E">
        <w:t>egulation 14</w:t>
      </w:r>
      <w:r w:rsidR="00E44558" w:rsidRPr="00593AF3">
        <w:t xml:space="preserve"> </w:t>
      </w:r>
      <w:r>
        <w:t>applies</w:t>
      </w:r>
      <w:r w:rsidR="00E44558" w:rsidRPr="00593AF3">
        <w:t xml:space="preserve"> </w:t>
      </w:r>
      <w:r w:rsidR="005E58FD">
        <w:t>in relation to</w:t>
      </w:r>
      <w:r w:rsidR="000D0BFF" w:rsidRPr="00593AF3">
        <w:t xml:space="preserve"> cal</w:t>
      </w:r>
      <w:r w:rsidR="005E58FD">
        <w:t>culating</w:t>
      </w:r>
      <w:r w:rsidR="001B6568" w:rsidRPr="00593AF3">
        <w:t xml:space="preserve"> assessable petroleum receipts</w:t>
      </w:r>
      <w:r w:rsidR="00E44558" w:rsidRPr="00593AF3">
        <w:t xml:space="preserve"> </w:t>
      </w:r>
      <w:r w:rsidR="007912F4">
        <w:t xml:space="preserve">from project </w:t>
      </w:r>
      <w:r w:rsidR="002615BF">
        <w:t xml:space="preserve">sales gas </w:t>
      </w:r>
      <w:r w:rsidR="00E44558" w:rsidRPr="00593AF3">
        <w:t>in circumstances</w:t>
      </w:r>
      <w:r w:rsidR="001B6568" w:rsidRPr="00593AF3">
        <w:t xml:space="preserve"> where subparagraph 24(1)(d)(iii) of the </w:t>
      </w:r>
      <w:r w:rsidR="000D0BFF" w:rsidRPr="00593AF3">
        <w:t>PRRTA</w:t>
      </w:r>
      <w:r w:rsidR="001B6568" w:rsidRPr="00593AF3">
        <w:t xml:space="preserve">A applies – that is, where </w:t>
      </w:r>
      <w:r w:rsidR="00E44558" w:rsidRPr="00593AF3">
        <w:t xml:space="preserve">the </w:t>
      </w:r>
      <w:r w:rsidR="00593183" w:rsidRPr="00593AF3">
        <w:t xml:space="preserve">project sales gas </w:t>
      </w:r>
      <w:r w:rsidR="007912F4">
        <w:t xml:space="preserve">becomes an excluded commodity by virtue of being </w:t>
      </w:r>
      <w:r w:rsidR="00593183" w:rsidRPr="00593AF3">
        <w:t>sold</w:t>
      </w:r>
      <w:r w:rsidR="00E44558" w:rsidRPr="00593AF3">
        <w:t xml:space="preserve"> on a non-arm’s length basis</w:t>
      </w:r>
      <w:r w:rsidR="00593183" w:rsidRPr="00593AF3">
        <w:t>.</w:t>
      </w:r>
    </w:p>
    <w:p w14:paraId="1B907031" w14:textId="77777777" w:rsidR="004D4810" w:rsidRDefault="007A7CD4" w:rsidP="0074777B">
      <w:pPr>
        <w:pStyle w:val="EMpara"/>
        <w:spacing w:before="0" w:after="240"/>
      </w:pPr>
      <w:r>
        <w:t>S</w:t>
      </w:r>
      <w:r w:rsidR="004D4810" w:rsidRPr="00593AF3">
        <w:t xml:space="preserve">ubregulations 14(2) to 14(6) set out how a taxpayer </w:t>
      </w:r>
      <w:r w:rsidR="007912F4">
        <w:t xml:space="preserve">determines </w:t>
      </w:r>
      <w:r w:rsidR="004D4810" w:rsidRPr="00593AF3">
        <w:t>their assessable petroleum receipts depending on their circumstances</w:t>
      </w:r>
      <w:r>
        <w:t>, and</w:t>
      </w:r>
      <w:r w:rsidR="00E8302E">
        <w:t xml:space="preserve"> </w:t>
      </w:r>
      <w:r w:rsidR="005E58FD">
        <w:t>mirror</w:t>
      </w:r>
      <w:r>
        <w:t>s</w:t>
      </w:r>
      <w:r w:rsidR="005E58FD">
        <w:t xml:space="preserve"> the hierarchy detailed in </w:t>
      </w:r>
      <w:r w:rsidR="00E8302E">
        <w:t xml:space="preserve">regulation 16 of the </w:t>
      </w:r>
      <w:r w:rsidR="005E58FD">
        <w:t>Principal Regulation</w:t>
      </w:r>
      <w:r w:rsidR="007515A6">
        <w:t>. This is summarised in Table </w:t>
      </w:r>
      <w:r w:rsidR="00E8302E">
        <w:t>1</w:t>
      </w:r>
      <w:r w:rsidR="004D4810" w:rsidRPr="00593AF3">
        <w:t xml:space="preserve"> below.</w:t>
      </w:r>
    </w:p>
    <w:p w14:paraId="1B907032" w14:textId="77777777" w:rsidR="00BB5FB3" w:rsidRDefault="00BB5FB3" w:rsidP="0074777B">
      <w:pPr>
        <w:pStyle w:val="EMpara"/>
        <w:spacing w:before="0" w:after="240"/>
      </w:pPr>
    </w:p>
    <w:p w14:paraId="1B907033" w14:textId="77777777" w:rsidR="00BB5FB3" w:rsidRPr="00593AF3" w:rsidRDefault="00BB5FB3" w:rsidP="0074777B">
      <w:pPr>
        <w:pStyle w:val="EMpara"/>
        <w:spacing w:before="0" w:after="240"/>
      </w:pPr>
    </w:p>
    <w:p w14:paraId="1B907034" w14:textId="77777777" w:rsidR="003F4453" w:rsidRPr="00593AF3" w:rsidRDefault="003F4453" w:rsidP="007D5DEA">
      <w:pPr>
        <w:pStyle w:val="TableHeadingoutsidetable"/>
        <w:spacing w:before="0" w:after="0"/>
        <w:ind w:left="-119"/>
      </w:pPr>
      <w:r w:rsidRPr="00593AF3">
        <w:lastRenderedPageBreak/>
        <w:t>Table </w:t>
      </w:r>
      <w:r w:rsidR="00E8302E">
        <w:t>1</w:t>
      </w:r>
      <w:r w:rsidR="007515A6">
        <w:t>.</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4394"/>
        <w:gridCol w:w="1475"/>
      </w:tblGrid>
      <w:tr w:rsidR="003F4453" w:rsidRPr="000907CF" w14:paraId="1B907038" w14:textId="77777777" w:rsidTr="00593AF3">
        <w:tc>
          <w:tcPr>
            <w:tcW w:w="2660" w:type="dxa"/>
          </w:tcPr>
          <w:p w14:paraId="1B907035" w14:textId="77777777" w:rsidR="003F4453" w:rsidRPr="00593AF3" w:rsidRDefault="003F4453" w:rsidP="003809F5">
            <w:pPr>
              <w:pStyle w:val="tableheaderwithintable"/>
            </w:pPr>
            <w:r w:rsidRPr="00593AF3">
              <w:t>Circumstance</w:t>
            </w:r>
          </w:p>
        </w:tc>
        <w:tc>
          <w:tcPr>
            <w:tcW w:w="4394" w:type="dxa"/>
          </w:tcPr>
          <w:p w14:paraId="1B907036" w14:textId="77777777" w:rsidR="003F4453" w:rsidRPr="00593AF3" w:rsidRDefault="003F4453" w:rsidP="003809F5">
            <w:pPr>
              <w:pStyle w:val="tableheaderwithintable"/>
            </w:pPr>
            <w:r w:rsidRPr="00593AF3">
              <w:t>Amount to be included in assessable petroleum receipts</w:t>
            </w:r>
          </w:p>
        </w:tc>
        <w:tc>
          <w:tcPr>
            <w:tcW w:w="1475" w:type="dxa"/>
          </w:tcPr>
          <w:p w14:paraId="1B907037" w14:textId="77777777" w:rsidR="003F4453" w:rsidRPr="00593AF3" w:rsidRDefault="006000AB" w:rsidP="003809F5">
            <w:pPr>
              <w:pStyle w:val="tableheaderwithintable"/>
            </w:pPr>
            <w:r>
              <w:t>S</w:t>
            </w:r>
            <w:r w:rsidR="003F4453" w:rsidRPr="00593AF3">
              <w:t>ubregulation</w:t>
            </w:r>
          </w:p>
        </w:tc>
      </w:tr>
      <w:tr w:rsidR="003F4453" w:rsidRPr="000907CF" w14:paraId="1B90703C" w14:textId="77777777" w:rsidTr="00593AF3">
        <w:tc>
          <w:tcPr>
            <w:tcW w:w="2660" w:type="dxa"/>
          </w:tcPr>
          <w:p w14:paraId="1B907039" w14:textId="77777777" w:rsidR="003F4453" w:rsidRPr="00593AF3" w:rsidRDefault="003F4453" w:rsidP="00EB12FB">
            <w:pPr>
              <w:pStyle w:val="tabletext"/>
              <w:rPr>
                <w:sz w:val="20"/>
              </w:rPr>
            </w:pPr>
            <w:r w:rsidRPr="00593AF3">
              <w:rPr>
                <w:sz w:val="20"/>
              </w:rPr>
              <w:t xml:space="preserve">An </w:t>
            </w:r>
            <w:r w:rsidR="00E8302E">
              <w:rPr>
                <w:sz w:val="20"/>
              </w:rPr>
              <w:t xml:space="preserve">APA </w:t>
            </w:r>
            <w:r w:rsidRPr="00593AF3">
              <w:rPr>
                <w:sz w:val="20"/>
              </w:rPr>
              <w:t>applies</w:t>
            </w:r>
          </w:p>
        </w:tc>
        <w:tc>
          <w:tcPr>
            <w:tcW w:w="4394" w:type="dxa"/>
          </w:tcPr>
          <w:p w14:paraId="1B90703A" w14:textId="77777777" w:rsidR="003F4453" w:rsidRPr="00593AF3" w:rsidRDefault="003F4453" w:rsidP="00445A8C">
            <w:pPr>
              <w:pStyle w:val="tabletext"/>
              <w:numPr>
                <w:ilvl w:val="1"/>
                <w:numId w:val="0"/>
              </w:numPr>
              <w:tabs>
                <w:tab w:val="left" w:pos="1701"/>
                <w:tab w:val="right" w:pos="9072"/>
              </w:tabs>
              <w:spacing w:line="240" w:lineRule="exact"/>
              <w:ind w:right="91"/>
              <w:rPr>
                <w:sz w:val="20"/>
              </w:rPr>
            </w:pPr>
            <w:r w:rsidRPr="00593AF3">
              <w:rPr>
                <w:sz w:val="20"/>
              </w:rPr>
              <w:t xml:space="preserve">The amount of assessable petroleum receipts calculated in accordance with the </w:t>
            </w:r>
            <w:r w:rsidR="00E8302E">
              <w:rPr>
                <w:sz w:val="20"/>
              </w:rPr>
              <w:t>APA</w:t>
            </w:r>
          </w:p>
        </w:tc>
        <w:tc>
          <w:tcPr>
            <w:tcW w:w="1475" w:type="dxa"/>
          </w:tcPr>
          <w:p w14:paraId="1B90703B" w14:textId="77777777" w:rsidR="003F4453" w:rsidRPr="00593AF3" w:rsidRDefault="003F4453" w:rsidP="003809F5">
            <w:pPr>
              <w:pStyle w:val="tabletext"/>
              <w:numPr>
                <w:ilvl w:val="1"/>
                <w:numId w:val="0"/>
              </w:numPr>
              <w:tabs>
                <w:tab w:val="left" w:pos="1701"/>
                <w:tab w:val="right" w:pos="9072"/>
              </w:tabs>
              <w:spacing w:line="240" w:lineRule="exact"/>
              <w:ind w:right="91"/>
              <w:jc w:val="center"/>
              <w:rPr>
                <w:sz w:val="20"/>
              </w:rPr>
            </w:pPr>
            <w:r w:rsidRPr="00593AF3">
              <w:rPr>
                <w:sz w:val="20"/>
              </w:rPr>
              <w:t>14(2)</w:t>
            </w:r>
          </w:p>
        </w:tc>
      </w:tr>
      <w:tr w:rsidR="003F4453" w:rsidRPr="000907CF" w14:paraId="1B907044" w14:textId="77777777" w:rsidTr="00593AF3">
        <w:tc>
          <w:tcPr>
            <w:tcW w:w="2660" w:type="dxa"/>
          </w:tcPr>
          <w:p w14:paraId="1B90703D" w14:textId="77777777" w:rsidR="003F4453" w:rsidRPr="00593AF3" w:rsidRDefault="003F4453" w:rsidP="003F4453">
            <w:pPr>
              <w:pStyle w:val="tabletext"/>
              <w:rPr>
                <w:sz w:val="20"/>
              </w:rPr>
            </w:pPr>
            <w:r w:rsidRPr="00593AF3">
              <w:rPr>
                <w:sz w:val="20"/>
              </w:rPr>
              <w:t xml:space="preserve">An </w:t>
            </w:r>
            <w:r w:rsidR="00E8302E">
              <w:rPr>
                <w:sz w:val="20"/>
              </w:rPr>
              <w:t>APA</w:t>
            </w:r>
            <w:r w:rsidRPr="00593AF3">
              <w:rPr>
                <w:sz w:val="20"/>
              </w:rPr>
              <w:t xml:space="preserve"> does not apply and:</w:t>
            </w:r>
          </w:p>
          <w:p w14:paraId="1B90703E" w14:textId="77777777" w:rsidR="003F4453" w:rsidRPr="00593AF3" w:rsidRDefault="003F4453" w:rsidP="00593AF3">
            <w:pPr>
              <w:pStyle w:val="Bullet"/>
              <w:numPr>
                <w:ilvl w:val="0"/>
                <w:numId w:val="0"/>
              </w:numPr>
              <w:rPr>
                <w:sz w:val="20"/>
              </w:rPr>
            </w:pPr>
            <w:r w:rsidRPr="00593AF3">
              <w:rPr>
                <w:sz w:val="20"/>
                <w:szCs w:val="20"/>
              </w:rPr>
              <w:t>-  no election has been made under regulation 42 or 43</w:t>
            </w:r>
            <w:r w:rsidR="00E8302E">
              <w:rPr>
                <w:sz w:val="20"/>
                <w:szCs w:val="20"/>
              </w:rPr>
              <w:t xml:space="preserve"> of the Principal Regulation</w:t>
            </w:r>
            <w:r w:rsidRPr="00593AF3">
              <w:rPr>
                <w:sz w:val="20"/>
                <w:szCs w:val="20"/>
              </w:rPr>
              <w:t>; and</w:t>
            </w:r>
          </w:p>
          <w:p w14:paraId="1B90703F" w14:textId="77777777" w:rsidR="003F4453" w:rsidRPr="00593AF3" w:rsidRDefault="003F4453" w:rsidP="00EB12FB">
            <w:pPr>
              <w:pStyle w:val="tabletext"/>
              <w:rPr>
                <w:sz w:val="20"/>
              </w:rPr>
            </w:pPr>
            <w:r w:rsidRPr="00593AF3">
              <w:rPr>
                <w:sz w:val="20"/>
              </w:rPr>
              <w:t>- a CUP exists</w:t>
            </w:r>
          </w:p>
        </w:tc>
        <w:tc>
          <w:tcPr>
            <w:tcW w:w="4394" w:type="dxa"/>
          </w:tcPr>
          <w:p w14:paraId="1B907040" w14:textId="77777777" w:rsidR="003F4453" w:rsidRPr="00593AF3" w:rsidRDefault="003F4453" w:rsidP="00593AF3">
            <w:pPr>
              <w:pStyle w:val="Bullet"/>
              <w:numPr>
                <w:ilvl w:val="0"/>
                <w:numId w:val="0"/>
              </w:numPr>
              <w:ind w:left="567" w:hanging="567"/>
              <w:rPr>
                <w:sz w:val="20"/>
              </w:rPr>
            </w:pPr>
            <w:r w:rsidRPr="00593AF3">
              <w:rPr>
                <w:sz w:val="20"/>
                <w:szCs w:val="20"/>
              </w:rPr>
              <w:t>The higher of:</w:t>
            </w:r>
          </w:p>
          <w:p w14:paraId="1B907041" w14:textId="77777777" w:rsidR="003F4453" w:rsidRPr="00593AF3" w:rsidRDefault="004D4810" w:rsidP="00593AF3">
            <w:pPr>
              <w:pStyle w:val="Bullet"/>
              <w:spacing w:after="120"/>
              <w:rPr>
                <w:sz w:val="20"/>
              </w:rPr>
            </w:pPr>
            <w:r w:rsidRPr="00593AF3">
              <w:rPr>
                <w:sz w:val="20"/>
                <w:szCs w:val="20"/>
              </w:rPr>
              <w:t>t</w:t>
            </w:r>
            <w:r w:rsidR="003F4453" w:rsidRPr="00593AF3">
              <w:rPr>
                <w:sz w:val="20"/>
                <w:szCs w:val="20"/>
              </w:rPr>
              <w:t>he consideration received or receivable, less any expenses payable, by the taxpayer in relation to the sale;</w:t>
            </w:r>
          </w:p>
          <w:p w14:paraId="1B907042" w14:textId="77777777" w:rsidR="003F4453" w:rsidRPr="00593AF3" w:rsidRDefault="003F4453" w:rsidP="00593AF3">
            <w:pPr>
              <w:pStyle w:val="Bullet"/>
              <w:rPr>
                <w:sz w:val="20"/>
              </w:rPr>
            </w:pPr>
            <w:r w:rsidRPr="00593AF3">
              <w:rPr>
                <w:sz w:val="20"/>
                <w:szCs w:val="20"/>
              </w:rPr>
              <w:t xml:space="preserve">the CUP multiplied by the volume or mass of project sales gas sold. </w:t>
            </w:r>
          </w:p>
        </w:tc>
        <w:tc>
          <w:tcPr>
            <w:tcW w:w="1475" w:type="dxa"/>
          </w:tcPr>
          <w:p w14:paraId="1B907043" w14:textId="77777777" w:rsidR="003F4453" w:rsidRPr="00593AF3" w:rsidRDefault="003F4453" w:rsidP="003809F5">
            <w:pPr>
              <w:pStyle w:val="tabletext"/>
              <w:numPr>
                <w:ilvl w:val="1"/>
                <w:numId w:val="0"/>
              </w:numPr>
              <w:tabs>
                <w:tab w:val="left" w:pos="1701"/>
                <w:tab w:val="right" w:pos="9072"/>
              </w:tabs>
              <w:spacing w:line="240" w:lineRule="exact"/>
              <w:ind w:right="91"/>
              <w:jc w:val="center"/>
              <w:rPr>
                <w:sz w:val="20"/>
              </w:rPr>
            </w:pPr>
            <w:r w:rsidRPr="00593AF3">
              <w:rPr>
                <w:sz w:val="20"/>
              </w:rPr>
              <w:t>14(3), (4)</w:t>
            </w:r>
          </w:p>
        </w:tc>
      </w:tr>
      <w:tr w:rsidR="003F4453" w:rsidRPr="000907CF" w14:paraId="1B90704D" w14:textId="77777777" w:rsidTr="00593AF3">
        <w:tc>
          <w:tcPr>
            <w:tcW w:w="2660" w:type="dxa"/>
          </w:tcPr>
          <w:p w14:paraId="1B907045" w14:textId="77777777" w:rsidR="004D4810" w:rsidRPr="00593AF3" w:rsidRDefault="004D4810" w:rsidP="004D4810">
            <w:pPr>
              <w:pStyle w:val="tabletext"/>
              <w:rPr>
                <w:sz w:val="20"/>
              </w:rPr>
            </w:pPr>
            <w:r w:rsidRPr="00593AF3">
              <w:rPr>
                <w:sz w:val="20"/>
              </w:rPr>
              <w:t xml:space="preserve">An </w:t>
            </w:r>
            <w:r w:rsidR="00E8302E">
              <w:rPr>
                <w:sz w:val="20"/>
              </w:rPr>
              <w:t>APA</w:t>
            </w:r>
            <w:r w:rsidRPr="00593AF3">
              <w:rPr>
                <w:sz w:val="20"/>
              </w:rPr>
              <w:t xml:space="preserve"> does not apply and:</w:t>
            </w:r>
          </w:p>
          <w:p w14:paraId="1B907046" w14:textId="77777777" w:rsidR="004D4810" w:rsidRPr="00593AF3" w:rsidRDefault="004D4810" w:rsidP="004D4810">
            <w:pPr>
              <w:pStyle w:val="Bullet"/>
              <w:numPr>
                <w:ilvl w:val="0"/>
                <w:numId w:val="0"/>
              </w:numPr>
              <w:rPr>
                <w:sz w:val="20"/>
                <w:szCs w:val="20"/>
              </w:rPr>
            </w:pPr>
            <w:r w:rsidRPr="00593AF3">
              <w:rPr>
                <w:sz w:val="20"/>
                <w:szCs w:val="20"/>
              </w:rPr>
              <w:t>-  no election has been made under regulation 42 or 43</w:t>
            </w:r>
            <w:r w:rsidR="00E8302E">
              <w:rPr>
                <w:sz w:val="20"/>
                <w:szCs w:val="20"/>
              </w:rPr>
              <w:t xml:space="preserve"> of the Principal Regulation</w:t>
            </w:r>
            <w:r w:rsidRPr="00593AF3">
              <w:rPr>
                <w:sz w:val="20"/>
                <w:szCs w:val="20"/>
              </w:rPr>
              <w:t>; and</w:t>
            </w:r>
          </w:p>
          <w:p w14:paraId="1B907047" w14:textId="77777777" w:rsidR="003F4453" w:rsidRPr="00593AF3" w:rsidRDefault="004D4810" w:rsidP="00EB12FB">
            <w:pPr>
              <w:pStyle w:val="tabletext"/>
              <w:rPr>
                <w:sz w:val="20"/>
              </w:rPr>
            </w:pPr>
            <w:r w:rsidRPr="00593AF3">
              <w:rPr>
                <w:sz w:val="20"/>
              </w:rPr>
              <w:t xml:space="preserve">- a </w:t>
            </w:r>
            <w:r w:rsidR="00E8302E">
              <w:rPr>
                <w:sz w:val="20"/>
              </w:rPr>
              <w:t xml:space="preserve">CUP </w:t>
            </w:r>
            <w:r w:rsidRPr="00593AF3">
              <w:rPr>
                <w:sz w:val="20"/>
              </w:rPr>
              <w:t>does not exist</w:t>
            </w:r>
          </w:p>
        </w:tc>
        <w:tc>
          <w:tcPr>
            <w:tcW w:w="4394" w:type="dxa"/>
          </w:tcPr>
          <w:p w14:paraId="1B907048" w14:textId="77777777" w:rsidR="003F4453" w:rsidRPr="00593AF3" w:rsidRDefault="003F4453" w:rsidP="003809F5">
            <w:pPr>
              <w:pStyle w:val="tabletext"/>
              <w:numPr>
                <w:ilvl w:val="1"/>
                <w:numId w:val="0"/>
              </w:numPr>
              <w:tabs>
                <w:tab w:val="left" w:pos="1701"/>
                <w:tab w:val="right" w:pos="9072"/>
              </w:tabs>
              <w:spacing w:line="240" w:lineRule="exact"/>
              <w:ind w:right="91"/>
              <w:rPr>
                <w:sz w:val="20"/>
              </w:rPr>
            </w:pPr>
            <w:r w:rsidRPr="00593AF3">
              <w:rPr>
                <w:sz w:val="20"/>
              </w:rPr>
              <w:t>The higher of:</w:t>
            </w:r>
          </w:p>
          <w:p w14:paraId="1B907049" w14:textId="77777777" w:rsidR="004D4810" w:rsidRPr="00593AF3" w:rsidRDefault="004D4810" w:rsidP="00593AF3">
            <w:pPr>
              <w:pStyle w:val="Bullet"/>
              <w:spacing w:after="120"/>
              <w:rPr>
                <w:sz w:val="20"/>
              </w:rPr>
            </w:pPr>
            <w:r w:rsidRPr="00593AF3">
              <w:rPr>
                <w:sz w:val="20"/>
                <w:szCs w:val="20"/>
              </w:rPr>
              <w:t>the consideration received or receivable, less any expenses payable, by the taxpayer in relation to the sale;</w:t>
            </w:r>
          </w:p>
          <w:p w14:paraId="1B90704A" w14:textId="77777777" w:rsidR="004D4810" w:rsidRPr="00593AF3" w:rsidRDefault="004D4810" w:rsidP="00593AF3">
            <w:pPr>
              <w:pStyle w:val="Bullet"/>
              <w:rPr>
                <w:sz w:val="20"/>
              </w:rPr>
            </w:pPr>
            <w:r w:rsidRPr="00593AF3">
              <w:rPr>
                <w:sz w:val="20"/>
                <w:szCs w:val="20"/>
              </w:rPr>
              <w:t xml:space="preserve">the RPM price* of the project sales gas multiplied by the volume or mass of project sales gas sold.  </w:t>
            </w:r>
          </w:p>
          <w:p w14:paraId="1B90704B" w14:textId="77777777" w:rsidR="003F4453" w:rsidRPr="00593AF3" w:rsidRDefault="003F4453" w:rsidP="003809F5">
            <w:pPr>
              <w:pStyle w:val="tabletext"/>
              <w:rPr>
                <w:sz w:val="20"/>
              </w:rPr>
            </w:pPr>
          </w:p>
        </w:tc>
        <w:tc>
          <w:tcPr>
            <w:tcW w:w="1475" w:type="dxa"/>
          </w:tcPr>
          <w:p w14:paraId="1B90704C" w14:textId="77777777" w:rsidR="003F4453" w:rsidRPr="00593AF3" w:rsidRDefault="003F4453" w:rsidP="003809F5">
            <w:pPr>
              <w:pStyle w:val="tabletext"/>
              <w:numPr>
                <w:ilvl w:val="1"/>
                <w:numId w:val="0"/>
              </w:numPr>
              <w:tabs>
                <w:tab w:val="left" w:pos="1701"/>
                <w:tab w:val="right" w:pos="9072"/>
              </w:tabs>
              <w:spacing w:line="240" w:lineRule="exact"/>
              <w:ind w:right="91"/>
              <w:jc w:val="center"/>
              <w:rPr>
                <w:sz w:val="20"/>
              </w:rPr>
            </w:pPr>
            <w:r w:rsidRPr="00593AF3">
              <w:rPr>
                <w:sz w:val="20"/>
              </w:rPr>
              <w:t>1</w:t>
            </w:r>
            <w:r w:rsidR="004D4810" w:rsidRPr="00593AF3">
              <w:rPr>
                <w:sz w:val="20"/>
              </w:rPr>
              <w:t>4</w:t>
            </w:r>
            <w:r w:rsidRPr="00593AF3">
              <w:rPr>
                <w:sz w:val="20"/>
              </w:rPr>
              <w:t>(</w:t>
            </w:r>
            <w:r w:rsidR="004D4810" w:rsidRPr="00593AF3">
              <w:rPr>
                <w:sz w:val="20"/>
              </w:rPr>
              <w:t>5</w:t>
            </w:r>
            <w:r w:rsidRPr="00593AF3">
              <w:rPr>
                <w:sz w:val="20"/>
              </w:rPr>
              <w:t>)</w:t>
            </w:r>
            <w:r w:rsidR="004D4810" w:rsidRPr="00593AF3">
              <w:rPr>
                <w:sz w:val="20"/>
              </w:rPr>
              <w:t>,(6)</w:t>
            </w:r>
          </w:p>
        </w:tc>
      </w:tr>
    </w:tbl>
    <w:p w14:paraId="1B90704E" w14:textId="77777777" w:rsidR="003F4453" w:rsidRPr="00593AF3" w:rsidRDefault="003F4453" w:rsidP="003F4453">
      <w:pPr>
        <w:spacing w:after="240"/>
        <w:ind w:left="120" w:hanging="120"/>
        <w:rPr>
          <w:sz w:val="20"/>
        </w:rPr>
      </w:pPr>
      <w:r w:rsidRPr="00593AF3">
        <w:rPr>
          <w:sz w:val="20"/>
        </w:rPr>
        <w:t>*RPM price means the residual pricing method determined gas transfer price for the taxpayer in relation to the integrated operation in the year of tax in which the sale took place.</w:t>
      </w:r>
    </w:p>
    <w:p w14:paraId="1B90704F" w14:textId="77777777" w:rsidR="00E44558" w:rsidRPr="00593AF3" w:rsidRDefault="007A7CD4" w:rsidP="0074777B">
      <w:pPr>
        <w:pStyle w:val="EMpara"/>
        <w:spacing w:before="0" w:after="240"/>
      </w:pPr>
      <w:r>
        <w:t xml:space="preserve">Similarly, </w:t>
      </w:r>
      <w:r w:rsidR="00E8302E">
        <w:t>r</w:t>
      </w:r>
      <w:r w:rsidR="00E44558" w:rsidRPr="00593AF3">
        <w:t xml:space="preserve">egulation 15 </w:t>
      </w:r>
      <w:r w:rsidR="006D17B9" w:rsidRPr="006D17B9">
        <w:t>appl</w:t>
      </w:r>
      <w:r>
        <w:t>ies</w:t>
      </w:r>
      <w:r w:rsidR="006D17B9" w:rsidRPr="006D17B9">
        <w:t xml:space="preserve"> </w:t>
      </w:r>
      <w:r w:rsidR="006D17B9">
        <w:t>in relation to</w:t>
      </w:r>
      <w:r w:rsidR="00E44558" w:rsidRPr="00593AF3">
        <w:t xml:space="preserve"> </w:t>
      </w:r>
      <w:r w:rsidR="005E58FD">
        <w:t xml:space="preserve">calculating assessable petroleum receipts from </w:t>
      </w:r>
      <w:r w:rsidR="00E44558" w:rsidRPr="00593AF3">
        <w:t xml:space="preserve">project sales gas where paragraph 24(1)(e) </w:t>
      </w:r>
      <w:r w:rsidR="006D17B9">
        <w:t xml:space="preserve">of the PRRTAA </w:t>
      </w:r>
      <w:r w:rsidR="00E44558" w:rsidRPr="00593AF3">
        <w:t>applies – that is, where the project sales gas becomes an excluded commodity other than by being sold</w:t>
      </w:r>
      <w:r w:rsidR="004C3B66">
        <w:t xml:space="preserve">, such as where it is </w:t>
      </w:r>
      <w:r w:rsidR="00E44558" w:rsidRPr="00593AF3">
        <w:t>moved away fr</w:t>
      </w:r>
      <w:r w:rsidR="004C3B66">
        <w:t>om the place of its production for further processing as part of the integrated operation.</w:t>
      </w:r>
      <w:r w:rsidR="00E44558" w:rsidRPr="00593AF3">
        <w:t xml:space="preserve"> </w:t>
      </w:r>
    </w:p>
    <w:p w14:paraId="1B907050" w14:textId="77777777" w:rsidR="00444F76" w:rsidRPr="005E58FD" w:rsidRDefault="007A7CD4" w:rsidP="0074777B">
      <w:pPr>
        <w:pStyle w:val="EMpara"/>
        <w:spacing w:before="0" w:after="240"/>
        <w:rPr>
          <w:highlight w:val="yellow"/>
        </w:rPr>
      </w:pPr>
      <w:r>
        <w:t>S</w:t>
      </w:r>
      <w:r w:rsidR="004D4810" w:rsidRPr="00593AF3">
        <w:t>ubregulations 15(2), to 15(6) set out how a taxpayer calculates their assessable petroleum receipts depending on their circu</w:t>
      </w:r>
      <w:r w:rsidR="007515A6">
        <w:t>mstances and follows an identical hierarchy to that outlined above.</w:t>
      </w:r>
    </w:p>
    <w:p w14:paraId="1B907051" w14:textId="77777777" w:rsidR="004C3B66" w:rsidRDefault="004C3B66" w:rsidP="0074777B">
      <w:pPr>
        <w:pStyle w:val="EMpara"/>
        <w:spacing w:before="0" w:after="240"/>
      </w:pPr>
      <w:r>
        <w:t xml:space="preserve">Consistent with the Principal Regulation, </w:t>
      </w:r>
      <w:r w:rsidR="00E8302E">
        <w:t>r</w:t>
      </w:r>
      <w:r>
        <w:t xml:space="preserve">egulations 14 and 15 only apply to sales gas that is project sales gas of an integrated operation. </w:t>
      </w:r>
      <w:r w:rsidR="007515A6">
        <w:t xml:space="preserve">Where this is not the case, </w:t>
      </w:r>
      <w:r>
        <w:t>assessable petroleum receipts</w:t>
      </w:r>
      <w:r w:rsidR="007515A6">
        <w:t xml:space="preserve"> for the sales gas</w:t>
      </w:r>
      <w:r>
        <w:t xml:space="preserve"> will, depending on the circumstances, be determined under either p</w:t>
      </w:r>
      <w:r w:rsidRPr="001C4C98">
        <w:t xml:space="preserve">aragraph </w:t>
      </w:r>
      <w:r>
        <w:t xml:space="preserve">24(1)(b) or paragraph </w:t>
      </w:r>
      <w:r w:rsidRPr="001C4C98">
        <w:t xml:space="preserve">24(1)(c) of the </w:t>
      </w:r>
      <w:r>
        <w:t>PRRTA</w:t>
      </w:r>
      <w:r w:rsidRPr="001C4C98">
        <w:t xml:space="preserve">A.  </w:t>
      </w:r>
    </w:p>
    <w:p w14:paraId="1B907052" w14:textId="77777777" w:rsidR="000907CF" w:rsidRDefault="000907CF" w:rsidP="0074777B">
      <w:pPr>
        <w:pStyle w:val="EMpara"/>
        <w:spacing w:before="0" w:after="240"/>
      </w:pPr>
      <w:r w:rsidRPr="00593AF3">
        <w:t>The</w:t>
      </w:r>
      <w:r w:rsidR="004C3B66">
        <w:t xml:space="preserve"> </w:t>
      </w:r>
      <w:r w:rsidRPr="00593AF3">
        <w:t>Regulation</w:t>
      </w:r>
      <w:r w:rsidR="004C3B66">
        <w:t xml:space="preserve"> also insert</w:t>
      </w:r>
      <w:r w:rsidR="00E8302E">
        <w:t>s</w:t>
      </w:r>
      <w:r w:rsidR="004C3B66">
        <w:t xml:space="preserve"> </w:t>
      </w:r>
      <w:r w:rsidR="00E8302E">
        <w:t>r</w:t>
      </w:r>
      <w:r w:rsidR="004C3B66">
        <w:t>egulation</w:t>
      </w:r>
      <w:r w:rsidRPr="00593AF3">
        <w:t xml:space="preserve"> 16</w:t>
      </w:r>
      <w:r w:rsidR="004C3B66">
        <w:t>, which</w:t>
      </w:r>
      <w:r w:rsidRPr="00593AF3">
        <w:t xml:space="preserve"> </w:t>
      </w:r>
      <w:r w:rsidRPr="0080230A">
        <w:t>appl</w:t>
      </w:r>
      <w:r w:rsidR="00304287">
        <w:t>ies</w:t>
      </w:r>
      <w:r w:rsidRPr="0080230A">
        <w:t xml:space="preserve"> </w:t>
      </w:r>
      <w:r w:rsidR="007515A6">
        <w:t xml:space="preserve">to calculating assessable petroleum receipts from </w:t>
      </w:r>
      <w:r w:rsidR="007515A6" w:rsidRPr="0074777B">
        <w:t>project natural gas</w:t>
      </w:r>
      <w:r w:rsidR="007515A6">
        <w:t xml:space="preserve"> </w:t>
      </w:r>
      <w:r w:rsidR="006D17B9">
        <w:t xml:space="preserve">in </w:t>
      </w:r>
      <w:r w:rsidR="00C9764B">
        <w:t>cases</w:t>
      </w:r>
      <w:r w:rsidR="006D17B9">
        <w:t xml:space="preserve"> where paragraph 24(1)(f) of the PRRTAA applies – that is, </w:t>
      </w:r>
      <w:r w:rsidRPr="0080230A">
        <w:t xml:space="preserve">where project </w:t>
      </w:r>
      <w:r>
        <w:t>natural gas (</w:t>
      </w:r>
      <w:r w:rsidR="00BA5818">
        <w:t>i.e.</w:t>
      </w:r>
      <w:r>
        <w:t xml:space="preserve"> the natural gas of the integrated operation from which sales gas will be produced and processed into liquefied product or electricity) is subject to a non-arm</w:t>
      </w:r>
      <w:r w:rsidR="009D7CCF">
        <w:t>’</w:t>
      </w:r>
      <w:r w:rsidR="00304287">
        <w:t>s length sale prior to be</w:t>
      </w:r>
      <w:r>
        <w:t>ing</w:t>
      </w:r>
      <w:r w:rsidR="00304287">
        <w:t xml:space="preserve"> processed into project</w:t>
      </w:r>
      <w:r>
        <w:t xml:space="preserve"> sales gas</w:t>
      </w:r>
      <w:r w:rsidRPr="00DC2989">
        <w:t xml:space="preserve">. </w:t>
      </w:r>
      <w:r w:rsidR="007515A6">
        <w:t xml:space="preserve">This is discussed </w:t>
      </w:r>
      <w:r w:rsidR="006D17B9" w:rsidRPr="00DC2989">
        <w:t xml:space="preserve">further </w:t>
      </w:r>
      <w:r w:rsidR="00615577">
        <w:t>in Part 6, below</w:t>
      </w:r>
      <w:r w:rsidR="003809F5" w:rsidRPr="00DC2989">
        <w:t>.</w:t>
      </w:r>
    </w:p>
    <w:p w14:paraId="1B907053" w14:textId="77777777" w:rsidR="003A1E64" w:rsidRDefault="00304287" w:rsidP="0074777B">
      <w:pPr>
        <w:pStyle w:val="EMpara"/>
        <w:spacing w:before="0" w:after="240"/>
      </w:pPr>
      <w:r>
        <w:t xml:space="preserve">The </w:t>
      </w:r>
      <w:r w:rsidR="00E8302E">
        <w:t>Regulation also</w:t>
      </w:r>
      <w:r w:rsidR="003A1E64">
        <w:t xml:space="preserve"> make</w:t>
      </w:r>
      <w:r>
        <w:t>s</w:t>
      </w:r>
      <w:r w:rsidR="003A1E64">
        <w:t xml:space="preserve"> </w:t>
      </w:r>
      <w:r w:rsidR="00D36797">
        <w:t xml:space="preserve">consequential </w:t>
      </w:r>
      <w:r w:rsidR="003A1E64">
        <w:t>amendments to corr</w:t>
      </w:r>
      <w:r w:rsidR="00D36797">
        <w:t>ectly refer to the new regulation</w:t>
      </w:r>
      <w:r w:rsidR="00E8302E">
        <w:t>s</w:t>
      </w:r>
      <w:r w:rsidR="00D36797">
        <w:t>, involving substituting references to r</w:t>
      </w:r>
      <w:r w:rsidR="003A1E64">
        <w:t xml:space="preserve">egulations </w:t>
      </w:r>
      <w:r w:rsidR="00D36797">
        <w:t>‘</w:t>
      </w:r>
      <w:r w:rsidR="003A1E64">
        <w:t>14</w:t>
      </w:r>
      <w:r w:rsidR="007515A6">
        <w:t xml:space="preserve"> </w:t>
      </w:r>
      <w:r w:rsidR="00D36797">
        <w:t>or 15’ with references to r</w:t>
      </w:r>
      <w:r w:rsidR="003A1E64">
        <w:t xml:space="preserve">egulations </w:t>
      </w:r>
      <w:r w:rsidR="00D36797">
        <w:t>‘</w:t>
      </w:r>
      <w:r w:rsidR="003A1E64">
        <w:t>14, 15 or 16</w:t>
      </w:r>
      <w:r w:rsidR="00D36797">
        <w:t>’</w:t>
      </w:r>
      <w:r w:rsidR="003A1E64">
        <w:t>.</w:t>
      </w:r>
      <w:r w:rsidR="003A1E64" w:rsidRPr="00DC34F9">
        <w:rPr>
          <w:rStyle w:val="Referencingstyle"/>
        </w:rPr>
        <w:t xml:space="preserve"> </w:t>
      </w:r>
    </w:p>
    <w:p w14:paraId="1B907054" w14:textId="77777777" w:rsidR="00B21C9C" w:rsidRPr="00715A0B" w:rsidRDefault="00B21C9C" w:rsidP="0074777B">
      <w:pPr>
        <w:pStyle w:val="Heading4"/>
        <w:spacing w:after="240"/>
      </w:pPr>
      <w:r w:rsidRPr="0074777B">
        <w:rPr>
          <w:sz w:val="24"/>
        </w:rPr>
        <w:t xml:space="preserve">Cost-plus price </w:t>
      </w:r>
    </w:p>
    <w:p w14:paraId="1B907055" w14:textId="77777777" w:rsidR="00EB7F13" w:rsidRDefault="00E96910" w:rsidP="0074777B">
      <w:pPr>
        <w:pStyle w:val="EMpara"/>
        <w:spacing w:before="0" w:after="240"/>
      </w:pPr>
      <w:r>
        <w:t xml:space="preserve">Regulation 22 of the </w:t>
      </w:r>
      <w:r w:rsidR="00EB7F13" w:rsidRPr="00560D2D">
        <w:t>P</w:t>
      </w:r>
      <w:r w:rsidR="00EB7F13">
        <w:t>rincipal</w:t>
      </w:r>
      <w:r w:rsidR="00EB7F13" w:rsidRPr="00560D2D">
        <w:t xml:space="preserve"> Regulation</w:t>
      </w:r>
      <w:r>
        <w:t xml:space="preserve"> </w:t>
      </w:r>
      <w:r w:rsidR="00EB7F13" w:rsidRPr="00560D2D">
        <w:t xml:space="preserve">sets out the formula </w:t>
      </w:r>
      <w:r w:rsidR="003809F5">
        <w:t>for</w:t>
      </w:r>
      <w:r w:rsidR="00EB7F13" w:rsidRPr="00560D2D">
        <w:t xml:space="preserve"> determin</w:t>
      </w:r>
      <w:r w:rsidR="003809F5">
        <w:t>ing</w:t>
      </w:r>
      <w:r w:rsidR="00EB7F13" w:rsidRPr="00560D2D">
        <w:t xml:space="preserve"> the cost-plus price for </w:t>
      </w:r>
      <w:r w:rsidR="00B21C9C">
        <w:t>taxpayer</w:t>
      </w:r>
      <w:r w:rsidR="00EB7F13" w:rsidRPr="00560D2D">
        <w:t>s in an integrated</w:t>
      </w:r>
      <w:r w:rsidR="00EB7F13">
        <w:t xml:space="preserve"> GTL</w:t>
      </w:r>
      <w:r w:rsidR="00EB7F13" w:rsidRPr="00560D2D">
        <w:t xml:space="preserve"> operation</w:t>
      </w:r>
      <w:r w:rsidR="00A84AAC">
        <w:t xml:space="preserve">. The </w:t>
      </w:r>
      <w:r w:rsidR="00A84AAC" w:rsidRPr="006665E3">
        <w:t xml:space="preserve">formula calculates </w:t>
      </w:r>
      <w:r w:rsidR="00A84AAC">
        <w:t>the per unit price for s</w:t>
      </w:r>
      <w:r w:rsidR="00712D7D">
        <w:t xml:space="preserve">ales gas for the year of tax by </w:t>
      </w:r>
      <w:r w:rsidR="00A84AAC">
        <w:t>summ</w:t>
      </w:r>
      <w:r w:rsidR="00A84AAC" w:rsidRPr="006665E3">
        <w:t>ing</w:t>
      </w:r>
      <w:r w:rsidR="00EB7F13" w:rsidRPr="006665E3">
        <w:t xml:space="preserve"> the share of all </w:t>
      </w:r>
      <w:r w:rsidR="00EB7F13" w:rsidRPr="006665E3">
        <w:lastRenderedPageBreak/>
        <w:t xml:space="preserve">upstream capital costs allocated </w:t>
      </w:r>
      <w:r w:rsidR="00A84AAC">
        <w:t>in</w:t>
      </w:r>
      <w:r w:rsidR="00EB7F13" w:rsidRPr="006665E3">
        <w:t xml:space="preserve"> the year of tax</w:t>
      </w:r>
      <w:r w:rsidR="00A84AAC">
        <w:t xml:space="preserve"> (including a capital allowance)</w:t>
      </w:r>
      <w:r w:rsidR="00712D7D">
        <w:t xml:space="preserve"> with</w:t>
      </w:r>
      <w:r w:rsidR="00EB7F13" w:rsidRPr="006665E3">
        <w:t xml:space="preserve"> </w:t>
      </w:r>
      <w:r w:rsidR="00A84AAC">
        <w:t xml:space="preserve">the </w:t>
      </w:r>
      <w:r w:rsidR="00EB7F13" w:rsidRPr="006665E3">
        <w:t>upstream operating cost</w:t>
      </w:r>
      <w:r w:rsidR="00A84AAC">
        <w:t xml:space="preserve"> incurred,</w:t>
      </w:r>
      <w:r w:rsidR="00EB7F13" w:rsidRPr="006665E3">
        <w:t xml:space="preserve"> and dividing by the volume of project sales gas produced</w:t>
      </w:r>
      <w:r w:rsidR="00A84AAC">
        <w:t>.</w:t>
      </w:r>
      <w:r w:rsidR="00EB7F13" w:rsidRPr="006665E3">
        <w:t xml:space="preserve"> </w:t>
      </w:r>
    </w:p>
    <w:p w14:paraId="1B907056" w14:textId="77777777" w:rsidR="00D36797" w:rsidRDefault="00304287" w:rsidP="0074777B">
      <w:pPr>
        <w:pStyle w:val="EMpara"/>
        <w:spacing w:before="0" w:after="240"/>
        <w:rPr>
          <w:b/>
          <w:i/>
          <w:sz w:val="18"/>
          <w:szCs w:val="18"/>
        </w:rPr>
      </w:pPr>
      <w:r>
        <w:t xml:space="preserve">The </w:t>
      </w:r>
      <w:r w:rsidR="00E96910">
        <w:t xml:space="preserve">Regulation </w:t>
      </w:r>
      <w:r w:rsidR="00C84A89">
        <w:t>amend</w:t>
      </w:r>
      <w:r>
        <w:t>s</w:t>
      </w:r>
      <w:r w:rsidR="00C84A89">
        <w:t xml:space="preserve"> this provision so that it</w:t>
      </w:r>
      <w:r w:rsidR="00114AD6">
        <w:t xml:space="preserve"> operates in the same manner, </w:t>
      </w:r>
      <w:r w:rsidR="00712D7D">
        <w:t xml:space="preserve">but </w:t>
      </w:r>
      <w:r w:rsidR="007D4D52">
        <w:t>with an expanded scope to incorporate mass measurement and enable it to also apply to integrated GTE</w:t>
      </w:r>
      <w:r w:rsidR="00114AD6">
        <w:t xml:space="preserve"> operations</w:t>
      </w:r>
      <w:r w:rsidR="00B21C9C">
        <w:t xml:space="preserve"> and to project natural gas</w:t>
      </w:r>
      <w:r w:rsidR="00DC34F9">
        <w:t>.</w:t>
      </w:r>
      <w:r w:rsidR="00114AD6">
        <w:t xml:space="preserve"> </w:t>
      </w:r>
    </w:p>
    <w:p w14:paraId="1B907057" w14:textId="77777777" w:rsidR="007D4D52" w:rsidRPr="00593AF3" w:rsidRDefault="007D4D52" w:rsidP="0074777B">
      <w:pPr>
        <w:pStyle w:val="EMpara"/>
        <w:spacing w:before="0" w:after="240"/>
      </w:pPr>
      <w:r w:rsidRPr="00593AF3">
        <w:t>Specifically, the</w:t>
      </w:r>
      <w:r w:rsidR="00D36797">
        <w:t xml:space="preserve"> </w:t>
      </w:r>
      <w:r w:rsidR="00304287">
        <w:t>amended r</w:t>
      </w:r>
      <w:r w:rsidRPr="00593AF3">
        <w:t>egulation</w:t>
      </w:r>
      <w:r w:rsidR="00304287">
        <w:t xml:space="preserve"> 22</w:t>
      </w:r>
      <w:r w:rsidRPr="00593AF3">
        <w:t xml:space="preserve">: </w:t>
      </w:r>
    </w:p>
    <w:p w14:paraId="1B907058" w14:textId="77777777" w:rsidR="007D4D52" w:rsidRDefault="00B21C9C" w:rsidP="0074777B">
      <w:pPr>
        <w:pStyle w:val="Bullet"/>
        <w:tabs>
          <w:tab w:val="clear" w:pos="567"/>
          <w:tab w:val="num" w:pos="1134"/>
        </w:tabs>
        <w:spacing w:after="240"/>
        <w:ind w:left="1134"/>
      </w:pPr>
      <w:r>
        <w:t>refer</w:t>
      </w:r>
      <w:r w:rsidR="00304287">
        <w:t>s</w:t>
      </w:r>
      <w:r w:rsidR="00712D7D" w:rsidRPr="008D5CA8">
        <w:t xml:space="preserve"> to ‘</w:t>
      </w:r>
      <w:r w:rsidR="00712D7D" w:rsidRPr="00603A56">
        <w:t>integrated operations</w:t>
      </w:r>
      <w:r w:rsidR="00C84A89">
        <w:t xml:space="preserve">’ </w:t>
      </w:r>
      <w:r w:rsidR="00712D7D" w:rsidRPr="00593AF3">
        <w:t xml:space="preserve">to ensure </w:t>
      </w:r>
      <w:r w:rsidR="00D36797">
        <w:t xml:space="preserve">it </w:t>
      </w:r>
      <w:r w:rsidR="00712D7D" w:rsidRPr="00593AF3">
        <w:t>operates in relation to integrated GTE operations as we</w:t>
      </w:r>
      <w:r w:rsidR="00D36797">
        <w:t>ll a</w:t>
      </w:r>
      <w:r>
        <w:t xml:space="preserve">s integrated GTL operations; </w:t>
      </w:r>
    </w:p>
    <w:p w14:paraId="1B907059" w14:textId="77777777" w:rsidR="00B21C9C" w:rsidRDefault="00B21C9C" w:rsidP="0074777B">
      <w:pPr>
        <w:pStyle w:val="Bullet"/>
        <w:tabs>
          <w:tab w:val="clear" w:pos="567"/>
          <w:tab w:val="num" w:pos="1134"/>
        </w:tabs>
        <w:spacing w:after="240"/>
        <w:ind w:left="1134"/>
      </w:pPr>
      <w:r>
        <w:t>use</w:t>
      </w:r>
      <w:r w:rsidR="00304287">
        <w:t>s</w:t>
      </w:r>
      <w:r w:rsidR="00712D7D" w:rsidRPr="00593AF3">
        <w:t xml:space="preserve"> </w:t>
      </w:r>
      <w:r w:rsidR="00712D7D" w:rsidRPr="00B21C9C">
        <w:t>the</w:t>
      </w:r>
      <w:r>
        <w:rPr>
          <w:b/>
        </w:rPr>
        <w:t xml:space="preserve"> </w:t>
      </w:r>
      <w:r w:rsidRPr="00B21C9C">
        <w:t>term</w:t>
      </w:r>
      <w:r w:rsidR="00712D7D" w:rsidRPr="00B21C9C">
        <w:t xml:space="preserve"> </w:t>
      </w:r>
      <w:r w:rsidR="00712D7D" w:rsidRPr="0074777B">
        <w:rPr>
          <w:i/>
        </w:rPr>
        <w:t>quantity of assessable gas</w:t>
      </w:r>
      <w:r w:rsidR="00712D7D" w:rsidRPr="00593AF3">
        <w:t xml:space="preserve"> (QAG) </w:t>
      </w:r>
      <w:r>
        <w:t>rather than the ‘volume of project sales gas’, and note</w:t>
      </w:r>
      <w:r w:rsidR="00304287">
        <w:t>s</w:t>
      </w:r>
      <w:r>
        <w:t xml:space="preserve"> that quantity </w:t>
      </w:r>
      <w:r w:rsidR="00712D7D" w:rsidRPr="00593AF3">
        <w:t>can be me</w:t>
      </w:r>
      <w:r>
        <w:t>asured by either mass or volume; and</w:t>
      </w:r>
    </w:p>
    <w:p w14:paraId="1B90705A" w14:textId="77777777" w:rsidR="00615ABE" w:rsidRDefault="00B21C9C" w:rsidP="0074777B">
      <w:pPr>
        <w:pStyle w:val="Bullet"/>
        <w:tabs>
          <w:tab w:val="clear" w:pos="567"/>
          <w:tab w:val="num" w:pos="1134"/>
        </w:tabs>
        <w:spacing w:after="240"/>
        <w:ind w:left="1134"/>
      </w:pPr>
      <w:r>
        <w:t>refer</w:t>
      </w:r>
      <w:r w:rsidR="00304287">
        <w:t>s</w:t>
      </w:r>
      <w:r>
        <w:t xml:space="preserve"> to the term </w:t>
      </w:r>
      <w:r w:rsidR="00712D7D" w:rsidRPr="0074777B">
        <w:rPr>
          <w:i/>
        </w:rPr>
        <w:t>quantity coefficient</w:t>
      </w:r>
      <w:r>
        <w:rPr>
          <w:b/>
        </w:rPr>
        <w:t xml:space="preserve"> </w:t>
      </w:r>
      <w:r>
        <w:t xml:space="preserve">rather than volume coefficient, which is defined as either </w:t>
      </w:r>
      <w:r w:rsidR="00712D7D" w:rsidRPr="00593AF3">
        <w:t>a mass or volume coefficient depending on how project product is measured</w:t>
      </w:r>
      <w:r w:rsidR="00F87087">
        <w:t xml:space="preserve"> for the operation</w:t>
      </w:r>
      <w:r>
        <w:t>;</w:t>
      </w:r>
    </w:p>
    <w:p w14:paraId="1B90705B" w14:textId="77777777" w:rsidR="00615ABE" w:rsidRPr="00715A0B" w:rsidRDefault="00C84A89" w:rsidP="0074777B">
      <w:pPr>
        <w:pStyle w:val="Heading4"/>
        <w:spacing w:after="240"/>
      </w:pPr>
      <w:r w:rsidRPr="0074777B">
        <w:rPr>
          <w:sz w:val="24"/>
        </w:rPr>
        <w:t>N</w:t>
      </w:r>
      <w:r w:rsidR="00615ABE" w:rsidRPr="0074777B">
        <w:rPr>
          <w:sz w:val="24"/>
        </w:rPr>
        <w:t>etback price</w:t>
      </w:r>
    </w:p>
    <w:p w14:paraId="1B90705C" w14:textId="77777777" w:rsidR="00F10E05" w:rsidRPr="00C50540" w:rsidRDefault="00C84A89" w:rsidP="0074777B">
      <w:pPr>
        <w:pStyle w:val="EMpara"/>
        <w:spacing w:before="0" w:after="240"/>
      </w:pPr>
      <w:r>
        <w:t xml:space="preserve">Regulation 23 of the </w:t>
      </w:r>
      <w:r w:rsidR="00F10E05">
        <w:t>Principal R</w:t>
      </w:r>
      <w:r w:rsidR="00F10E05" w:rsidRPr="00C66402">
        <w:t>egulation sets out the formula for determining the netback price</w:t>
      </w:r>
      <w:r w:rsidR="00F10E05" w:rsidRPr="00C66402">
        <w:rPr>
          <w:b/>
          <w:i/>
        </w:rPr>
        <w:t xml:space="preserve"> </w:t>
      </w:r>
      <w:r w:rsidR="00B21C9C">
        <w:t>for taxpayer</w:t>
      </w:r>
      <w:r w:rsidR="00F87087">
        <w:t>s</w:t>
      </w:r>
      <w:r w:rsidR="00F10E05" w:rsidRPr="00C66402">
        <w:t xml:space="preserve"> in an integrated </w:t>
      </w:r>
      <w:r w:rsidR="001E2592">
        <w:t xml:space="preserve">GTL </w:t>
      </w:r>
      <w:r w:rsidR="00F10E05" w:rsidRPr="00C66402">
        <w:t>operation</w:t>
      </w:r>
      <w:r w:rsidR="00F10E05">
        <w:t>.</w:t>
      </w:r>
      <w:r w:rsidR="00197E58">
        <w:t xml:space="preserve"> </w:t>
      </w:r>
      <w:r w:rsidR="00615ABE">
        <w:t>T</w:t>
      </w:r>
      <w:r w:rsidR="00197E58">
        <w:t>his involves deducting from the market value of the project liquid produced</w:t>
      </w:r>
      <w:r w:rsidR="00D2674F">
        <w:t>,</w:t>
      </w:r>
      <w:r w:rsidR="00197E58">
        <w:t xml:space="preserve"> the </w:t>
      </w:r>
      <w:r w:rsidR="00D2674F">
        <w:t xml:space="preserve">sum of the </w:t>
      </w:r>
      <w:r w:rsidR="00197E58">
        <w:t>downstream capital costs allocated and downstream operating costs incurred in the year of tax and dividing it by the volume of project sales gas produced by the operation</w:t>
      </w:r>
      <w:r w:rsidR="00594F67">
        <w:t xml:space="preserve"> to determine a cost per unit for the project sales gas</w:t>
      </w:r>
      <w:r w:rsidR="00197E58">
        <w:t xml:space="preserve">. From this </w:t>
      </w:r>
      <w:r w:rsidR="00594F67">
        <w:t>a</w:t>
      </w:r>
      <w:r w:rsidR="00197E58">
        <w:t xml:space="preserve">mount, each participant is </w:t>
      </w:r>
      <w:r w:rsidR="00D2674F">
        <w:t xml:space="preserve">also </w:t>
      </w:r>
      <w:r w:rsidR="00197E58">
        <w:t xml:space="preserve">able to </w:t>
      </w:r>
      <w:r w:rsidR="00594F67">
        <w:t xml:space="preserve">deduct their per </w:t>
      </w:r>
      <w:r w:rsidR="00F10E05" w:rsidRPr="00C50540">
        <w:t>unit selling and marketing costs</w:t>
      </w:r>
      <w:r w:rsidR="00B049CF">
        <w:t xml:space="preserve"> (referred to as downstream personal costs)</w:t>
      </w:r>
      <w:r w:rsidR="00594F67">
        <w:t xml:space="preserve"> to arrive at the</w:t>
      </w:r>
      <w:r w:rsidR="00D2674F">
        <w:t>ir</w:t>
      </w:r>
      <w:r w:rsidR="00594F67">
        <w:t xml:space="preserve"> netback price. </w:t>
      </w:r>
    </w:p>
    <w:p w14:paraId="1B90705D" w14:textId="77777777" w:rsidR="00BE77D6" w:rsidRPr="00E7321C" w:rsidRDefault="00304287" w:rsidP="00445A8C">
      <w:pPr>
        <w:spacing w:after="240"/>
        <w:ind w:right="-51"/>
      </w:pPr>
      <w:r>
        <w:t xml:space="preserve">The </w:t>
      </w:r>
      <w:r w:rsidR="00C84A89">
        <w:t>Regulation amend</w:t>
      </w:r>
      <w:r>
        <w:t>s</w:t>
      </w:r>
      <w:r w:rsidR="00C84A89">
        <w:t xml:space="preserve"> this provision </w:t>
      </w:r>
      <w:r>
        <w:t>to</w:t>
      </w:r>
      <w:r>
        <w:rPr>
          <w:szCs w:val="24"/>
        </w:rPr>
        <w:t xml:space="preserve"> include</w:t>
      </w:r>
      <w:r w:rsidR="00D2674F">
        <w:rPr>
          <w:szCs w:val="24"/>
        </w:rPr>
        <w:t xml:space="preserve"> a revised netback formula to </w:t>
      </w:r>
      <w:r w:rsidR="00141807">
        <w:rPr>
          <w:szCs w:val="24"/>
        </w:rPr>
        <w:t xml:space="preserve">encompass </w:t>
      </w:r>
      <w:r w:rsidR="00E7321C">
        <w:rPr>
          <w:szCs w:val="24"/>
        </w:rPr>
        <w:t>integrated GTE operations</w:t>
      </w:r>
      <w:r w:rsidR="00141807">
        <w:rPr>
          <w:szCs w:val="24"/>
        </w:rPr>
        <w:t xml:space="preserve"> and allow for the use of mass measurement</w:t>
      </w:r>
      <w:r w:rsidR="00E7321C">
        <w:rPr>
          <w:szCs w:val="24"/>
        </w:rPr>
        <w:t>.</w:t>
      </w:r>
      <w:r w:rsidR="00EB12C8">
        <w:rPr>
          <w:szCs w:val="24"/>
        </w:rPr>
        <w:t xml:space="preserve"> </w:t>
      </w:r>
    </w:p>
    <w:p w14:paraId="1B90705E" w14:textId="77777777" w:rsidR="009943E0" w:rsidRPr="000F1D19" w:rsidRDefault="009943E0" w:rsidP="0074777B">
      <w:pPr>
        <w:pStyle w:val="EMpara"/>
        <w:spacing w:before="0" w:after="240"/>
      </w:pPr>
      <w:r w:rsidRPr="000F1D19">
        <w:t xml:space="preserve">The </w:t>
      </w:r>
      <w:r w:rsidR="00304287">
        <w:t>amended r</w:t>
      </w:r>
      <w:r w:rsidR="00C84A89">
        <w:t xml:space="preserve">egulation </w:t>
      </w:r>
      <w:r w:rsidR="00304287">
        <w:t>23</w:t>
      </w:r>
      <w:r w:rsidRPr="000F1D19">
        <w:t>:</w:t>
      </w:r>
    </w:p>
    <w:p w14:paraId="1B90705F" w14:textId="77777777" w:rsidR="009943E0" w:rsidRPr="000F1D19" w:rsidRDefault="009943E0" w:rsidP="0074777B">
      <w:pPr>
        <w:pStyle w:val="Bullet"/>
        <w:tabs>
          <w:tab w:val="clear" w:pos="567"/>
          <w:tab w:val="num" w:pos="1134"/>
        </w:tabs>
        <w:spacing w:after="240"/>
        <w:ind w:left="1134"/>
      </w:pPr>
      <w:r>
        <w:t>substitute</w:t>
      </w:r>
      <w:r w:rsidR="00304287">
        <w:t>s</w:t>
      </w:r>
      <w:r w:rsidRPr="000F1D19">
        <w:t xml:space="preserve"> </w:t>
      </w:r>
      <w:r w:rsidRPr="0074777B">
        <w:rPr>
          <w:i/>
        </w:rPr>
        <w:t xml:space="preserve">project liquid value </w:t>
      </w:r>
      <w:r w:rsidRPr="00EB12FB">
        <w:t xml:space="preserve">with </w:t>
      </w:r>
      <w:r w:rsidRPr="0074777B">
        <w:rPr>
          <w:i/>
        </w:rPr>
        <w:t xml:space="preserve">end product values </w:t>
      </w:r>
      <w:r w:rsidRPr="00EB12FB">
        <w:t>(</w:t>
      </w:r>
      <w:r w:rsidRPr="0074777B">
        <w:t>EPV</w:t>
      </w:r>
      <w:r w:rsidRPr="00EB12FB">
        <w:t xml:space="preserve">), </w:t>
      </w:r>
      <w:r w:rsidRPr="000F1D19">
        <w:t>as defined</w:t>
      </w:r>
      <w:r>
        <w:t>, reflecting that the end product may be either project liquid or project electricity depending on the nature of the integrated operation;</w:t>
      </w:r>
    </w:p>
    <w:p w14:paraId="1B907060" w14:textId="77777777" w:rsidR="009943E0" w:rsidRDefault="009943E0" w:rsidP="0074777B">
      <w:pPr>
        <w:pStyle w:val="Bullet"/>
        <w:tabs>
          <w:tab w:val="clear" w:pos="567"/>
          <w:tab w:val="num" w:pos="1134"/>
        </w:tabs>
        <w:spacing w:after="240"/>
        <w:ind w:left="1134"/>
        <w:rPr>
          <w:rStyle w:val="EMparaChar"/>
        </w:rPr>
      </w:pPr>
      <w:r>
        <w:rPr>
          <w:rStyle w:val="EMparaChar"/>
        </w:rPr>
        <w:t>use</w:t>
      </w:r>
      <w:r w:rsidR="00304287">
        <w:rPr>
          <w:rStyle w:val="EMparaChar"/>
        </w:rPr>
        <w:t>s</w:t>
      </w:r>
      <w:r>
        <w:rPr>
          <w:rStyle w:val="EMparaChar"/>
        </w:rPr>
        <w:t xml:space="preserve"> </w:t>
      </w:r>
      <w:r w:rsidRPr="0074777B">
        <w:rPr>
          <w:rStyle w:val="EMparaChar"/>
          <w:i/>
        </w:rPr>
        <w:t>quantity of taxpayer’s downstream gas</w:t>
      </w:r>
      <w:r w:rsidRPr="00B21C9C">
        <w:rPr>
          <w:rStyle w:val="EMparaChar"/>
        </w:rPr>
        <w:t xml:space="preserve"> (QTDG)</w:t>
      </w:r>
      <w:r>
        <w:rPr>
          <w:rStyle w:val="EMparaChar"/>
        </w:rPr>
        <w:t>, rather than the ‘volume of taxpayer’s downstream gas’</w:t>
      </w:r>
      <w:r w:rsidR="00304287">
        <w:rPr>
          <w:rStyle w:val="EMparaChar"/>
        </w:rPr>
        <w:t>;</w:t>
      </w:r>
    </w:p>
    <w:p w14:paraId="1B907061" w14:textId="77777777" w:rsidR="009943E0" w:rsidRDefault="009943E0" w:rsidP="0074777B">
      <w:pPr>
        <w:pStyle w:val="Dash"/>
        <w:tabs>
          <w:tab w:val="clear" w:pos="1134"/>
          <w:tab w:val="num" w:pos="1701"/>
        </w:tabs>
        <w:spacing w:after="240"/>
        <w:ind w:left="1701"/>
      </w:pPr>
      <w:r>
        <w:rPr>
          <w:rStyle w:val="EMparaChar"/>
        </w:rPr>
        <w:t xml:space="preserve">QTDG is defined </w:t>
      </w:r>
      <w:r w:rsidRPr="00B21C9C">
        <w:rPr>
          <w:rStyle w:val="EMparaChar"/>
        </w:rPr>
        <w:t xml:space="preserve">as being the quantity of assessable gas produced in the operation in the year of tax which was further processed into project liquid (in the case of an integrated GTL operation), or consumed in the production of project electricity (in the case of an integrated GTE operation) that the taxpayer was entitled to receive. </w:t>
      </w:r>
    </w:p>
    <w:p w14:paraId="1B907062" w14:textId="77777777" w:rsidR="009943E0" w:rsidRPr="000F1D19" w:rsidRDefault="00C84A89" w:rsidP="0074777B">
      <w:pPr>
        <w:pStyle w:val="Bullet"/>
        <w:tabs>
          <w:tab w:val="clear" w:pos="567"/>
          <w:tab w:val="num" w:pos="1134"/>
        </w:tabs>
        <w:spacing w:after="240"/>
        <w:ind w:left="1134"/>
      </w:pPr>
      <w:r>
        <w:t>r</w:t>
      </w:r>
      <w:r w:rsidR="009943E0" w:rsidRPr="000F1D19">
        <w:t>ecognise</w:t>
      </w:r>
      <w:r w:rsidR="00D32501">
        <w:t>s</w:t>
      </w:r>
      <w:r w:rsidR="009943E0" w:rsidRPr="000F1D19">
        <w:t xml:space="preserve"> that project sales gas within an integrated GTE operation is consumed in the production of project electricity in comparison to an </w:t>
      </w:r>
      <w:r w:rsidR="009943E0" w:rsidRPr="000F1D19">
        <w:lastRenderedPageBreak/>
        <w:t>integrated GTL operation where it is processed into project liquid, and provides for those differences within the definition</w:t>
      </w:r>
      <w:r>
        <w:t>.</w:t>
      </w:r>
    </w:p>
    <w:p w14:paraId="1B907063" w14:textId="77777777" w:rsidR="00266837" w:rsidRPr="004D2085" w:rsidRDefault="00266837" w:rsidP="0074777B">
      <w:pPr>
        <w:pStyle w:val="Bullet"/>
        <w:numPr>
          <w:ilvl w:val="0"/>
          <w:numId w:val="0"/>
        </w:numPr>
        <w:spacing w:after="240"/>
      </w:pPr>
      <w:r w:rsidRPr="004D2085">
        <w:t>Generally the value of project electricity will be the consideration received by the taxpayer for the electricity sold. Where the electricity is sold into the n</w:t>
      </w:r>
      <w:r w:rsidR="004D2085">
        <w:t>ational electricity market to meet</w:t>
      </w:r>
      <w:r w:rsidRPr="004D2085">
        <w:t xml:space="preserve"> a supply contract</w:t>
      </w:r>
      <w:r w:rsidR="004D2085">
        <w:t xml:space="preserve"> </w:t>
      </w:r>
      <w:r w:rsidR="00615143">
        <w:t xml:space="preserve">entered into </w:t>
      </w:r>
      <w:r w:rsidR="004D2085">
        <w:t>with a third part</w:t>
      </w:r>
      <w:r w:rsidR="00615143">
        <w:t>y</w:t>
      </w:r>
      <w:r w:rsidRPr="004D2085">
        <w:t xml:space="preserve">, the price received under the contract will be the end product value for the </w:t>
      </w:r>
      <w:r w:rsidR="004D2085">
        <w:t xml:space="preserve">project </w:t>
      </w:r>
      <w:r w:rsidRPr="004D2085">
        <w:t xml:space="preserve">electricity irrespective of the market spot price. </w:t>
      </w:r>
    </w:p>
    <w:p w14:paraId="1B907064" w14:textId="77777777" w:rsidR="00266837" w:rsidRPr="00593AF3" w:rsidRDefault="00266837" w:rsidP="00266837">
      <w:pPr>
        <w:pStyle w:val="ExampleHeading"/>
        <w:spacing w:before="0" w:after="240"/>
        <w:ind w:left="720"/>
      </w:pPr>
      <w:r w:rsidRPr="0074777B">
        <w:t xml:space="preserve"> </w:t>
      </w:r>
      <w:r w:rsidRPr="00593AF3">
        <w:t xml:space="preserve">Example </w:t>
      </w:r>
      <w:r w:rsidR="00BB5FB3">
        <w:t>4</w:t>
      </w:r>
      <w:r w:rsidRPr="00593AF3">
        <w:t xml:space="preserve">: </w:t>
      </w:r>
      <w:r w:rsidR="003B71C8">
        <w:t>End product value – project electricity</w:t>
      </w:r>
    </w:p>
    <w:p w14:paraId="1B907065" w14:textId="77777777" w:rsidR="00266837" w:rsidRPr="004D2085" w:rsidRDefault="003B71C8" w:rsidP="0074777B">
      <w:pPr>
        <w:pStyle w:val="Bullet"/>
        <w:numPr>
          <w:ilvl w:val="0"/>
          <w:numId w:val="0"/>
        </w:numPr>
        <w:spacing w:after="240"/>
        <w:ind w:left="720"/>
        <w:rPr>
          <w:sz w:val="22"/>
          <w:szCs w:val="20"/>
        </w:rPr>
      </w:pPr>
      <w:r w:rsidRPr="004D2085">
        <w:rPr>
          <w:sz w:val="22"/>
          <w:szCs w:val="20"/>
        </w:rPr>
        <w:t xml:space="preserve">Biggen Co is a taxpayer </w:t>
      </w:r>
      <w:r w:rsidR="00C03348" w:rsidRPr="004D2085">
        <w:rPr>
          <w:sz w:val="22"/>
          <w:szCs w:val="20"/>
        </w:rPr>
        <w:t xml:space="preserve">participant </w:t>
      </w:r>
      <w:r w:rsidRPr="004D2085">
        <w:rPr>
          <w:sz w:val="22"/>
          <w:szCs w:val="20"/>
        </w:rPr>
        <w:t xml:space="preserve">in an integrated GTE operation. Biggen Co enters into a contract with Ismeltit Co to supply 100 MWh of electricity at a price of $50 per MWh. To meet the contract, Biggen </w:t>
      </w:r>
      <w:r w:rsidR="00C03348" w:rsidRPr="004D2085">
        <w:rPr>
          <w:sz w:val="22"/>
          <w:szCs w:val="20"/>
        </w:rPr>
        <w:t>dispatches</w:t>
      </w:r>
      <w:r w:rsidRPr="004D2085">
        <w:rPr>
          <w:sz w:val="22"/>
          <w:szCs w:val="20"/>
        </w:rPr>
        <w:t xml:space="preserve"> 100 MWh into the National Electricity Market (NEM). Over the period the electricity is supplied, the NEM spot price averages $80 per MWh. </w:t>
      </w:r>
    </w:p>
    <w:p w14:paraId="1B907066" w14:textId="77777777" w:rsidR="003B71C8" w:rsidRPr="0074777B" w:rsidRDefault="003B71C8" w:rsidP="0074777B">
      <w:pPr>
        <w:pStyle w:val="Bullet"/>
        <w:numPr>
          <w:ilvl w:val="0"/>
          <w:numId w:val="0"/>
        </w:numPr>
        <w:spacing w:after="240"/>
        <w:ind w:left="720"/>
        <w:rPr>
          <w:sz w:val="22"/>
          <w:szCs w:val="20"/>
        </w:rPr>
      </w:pPr>
      <w:r w:rsidRPr="004D2085">
        <w:rPr>
          <w:sz w:val="22"/>
          <w:szCs w:val="20"/>
        </w:rPr>
        <w:t>Biggen Co’s end product value for the project electricity supplied will be $5,000 ($50 x 100).</w:t>
      </w:r>
    </w:p>
    <w:p w14:paraId="1B907067" w14:textId="77777777" w:rsidR="00A01560" w:rsidRDefault="00A01560" w:rsidP="00A01560">
      <w:pPr>
        <w:pStyle w:val="EMpara"/>
        <w:spacing w:before="0" w:after="240"/>
        <w:rPr>
          <w:rStyle w:val="EMparaChar"/>
        </w:rPr>
      </w:pPr>
      <w:r>
        <w:rPr>
          <w:rStyle w:val="EMparaChar"/>
        </w:rPr>
        <w:t xml:space="preserve">In relation to the value of project liquid, in cases where it is sold on a ‘delivered ex-ship’ or ‘delivered at terminal’ basis, the total amount received by the taxpayer will include not only the market value of the project liquid, but also an amount relating to shipping or delivery. In such cases the end product value will reflect the total amount received minus that portion that is reasonably attributable to the operations involved in delivering the project liquid.   </w:t>
      </w:r>
    </w:p>
    <w:p w14:paraId="1B907068" w14:textId="77777777" w:rsidR="00A01560" w:rsidRPr="004510A7" w:rsidRDefault="00A01560" w:rsidP="00A01560">
      <w:pPr>
        <w:pStyle w:val="EMpara"/>
        <w:spacing w:before="0" w:after="240"/>
        <w:rPr>
          <w:szCs w:val="20"/>
        </w:rPr>
      </w:pPr>
      <w:r>
        <w:rPr>
          <w:rStyle w:val="EMparaChar"/>
        </w:rPr>
        <w:t>The Regulation also makes a</w:t>
      </w:r>
      <w:r w:rsidRPr="00B21C9C">
        <w:rPr>
          <w:rStyle w:val="EMparaChar"/>
        </w:rPr>
        <w:t xml:space="preserve"> </w:t>
      </w:r>
      <w:r>
        <w:rPr>
          <w:rStyle w:val="EMparaChar"/>
        </w:rPr>
        <w:t xml:space="preserve">minor </w:t>
      </w:r>
      <w:r w:rsidRPr="00B21C9C">
        <w:rPr>
          <w:rStyle w:val="EMparaChar"/>
        </w:rPr>
        <w:t xml:space="preserve">amendment </w:t>
      </w:r>
      <w:r>
        <w:rPr>
          <w:rStyle w:val="EMparaChar"/>
        </w:rPr>
        <w:t xml:space="preserve">to </w:t>
      </w:r>
      <w:r w:rsidRPr="00B21C9C">
        <w:rPr>
          <w:rStyle w:val="EMparaChar"/>
        </w:rPr>
        <w:t>clarify that, where the value of QTDG is zero, the adjustment made to the netback cost to take account of personal costs is also zero. This ensures that the formula will not result in an infinity value where the downstream personal costs and</w:t>
      </w:r>
      <w:r>
        <w:rPr>
          <w:szCs w:val="20"/>
        </w:rPr>
        <w:t xml:space="preserve"> quantity of taxpayers’ downstream gas are both zero values</w:t>
      </w:r>
      <w:r w:rsidRPr="00233847" w:rsidDel="00141807">
        <w:rPr>
          <w:b/>
          <w:i/>
          <w:sz w:val="18"/>
          <w:szCs w:val="18"/>
        </w:rPr>
        <w:t>.</w:t>
      </w:r>
    </w:p>
    <w:p w14:paraId="1B907069" w14:textId="77777777" w:rsidR="00197BBB" w:rsidRPr="00715A0B" w:rsidRDefault="00C84A89" w:rsidP="0074777B">
      <w:pPr>
        <w:pStyle w:val="Heading4"/>
        <w:spacing w:after="240"/>
      </w:pPr>
      <w:r w:rsidRPr="0074777B">
        <w:rPr>
          <w:sz w:val="24"/>
        </w:rPr>
        <w:t>R</w:t>
      </w:r>
      <w:r w:rsidR="00C03348">
        <w:rPr>
          <w:sz w:val="24"/>
        </w:rPr>
        <w:t xml:space="preserve">esidual </w:t>
      </w:r>
      <w:r w:rsidRPr="0074777B">
        <w:rPr>
          <w:sz w:val="24"/>
        </w:rPr>
        <w:t>P</w:t>
      </w:r>
      <w:r w:rsidR="00C03348">
        <w:rPr>
          <w:sz w:val="24"/>
        </w:rPr>
        <w:t xml:space="preserve">ricing </w:t>
      </w:r>
      <w:r w:rsidRPr="0074777B">
        <w:rPr>
          <w:sz w:val="24"/>
        </w:rPr>
        <w:t>M</w:t>
      </w:r>
      <w:r w:rsidR="00C03348">
        <w:rPr>
          <w:sz w:val="24"/>
        </w:rPr>
        <w:t>ethod (RPM)</w:t>
      </w:r>
    </w:p>
    <w:p w14:paraId="1B90706A" w14:textId="77777777" w:rsidR="00A96514" w:rsidRDefault="00615ABE" w:rsidP="00445A8C">
      <w:pPr>
        <w:spacing w:after="240"/>
        <w:ind w:right="-51"/>
      </w:pPr>
      <w:r>
        <w:t xml:space="preserve">The </w:t>
      </w:r>
      <w:r w:rsidR="00A94FF2">
        <w:t xml:space="preserve">RPM </w:t>
      </w:r>
      <w:r>
        <w:t>is outlined in Par</w:t>
      </w:r>
      <w:r w:rsidR="00E468E2">
        <w:t>t 5 of the Principal Regulation</w:t>
      </w:r>
      <w:r w:rsidR="00C84A89">
        <w:t xml:space="preserve"> and in particular regulation 25 which </w:t>
      </w:r>
      <w:r w:rsidR="00A96514">
        <w:t>set</w:t>
      </w:r>
      <w:r w:rsidR="00C84A89">
        <w:t>s</w:t>
      </w:r>
      <w:r w:rsidR="00A96514">
        <w:t xml:space="preserve"> out the necessary steps for calculating </w:t>
      </w:r>
      <w:r w:rsidR="00591F20">
        <w:t>an</w:t>
      </w:r>
      <w:r w:rsidR="00A96514">
        <w:t xml:space="preserve"> RPM price</w:t>
      </w:r>
      <w:r w:rsidR="00A94FF2">
        <w:t xml:space="preserve"> in table form</w:t>
      </w:r>
      <w:r w:rsidR="00591F20">
        <w:t xml:space="preserve">. </w:t>
      </w:r>
      <w:r w:rsidR="00A96514">
        <w:t xml:space="preserve">There are a total of 14 steps to be carried out in determining </w:t>
      </w:r>
      <w:r w:rsidR="00591F20">
        <w:t>an</w:t>
      </w:r>
      <w:r w:rsidR="00A96514">
        <w:t xml:space="preserve"> RPM </w:t>
      </w:r>
      <w:r w:rsidR="0074777B">
        <w:t>price;</w:t>
      </w:r>
      <w:r w:rsidR="00C84A89">
        <w:t xml:space="preserve"> however t</w:t>
      </w:r>
      <w:r w:rsidR="00D84C44">
        <w:t>he Principal Regulation</w:t>
      </w:r>
      <w:r w:rsidR="00A94FF2">
        <w:t>s</w:t>
      </w:r>
      <w:r w:rsidR="00D84C44">
        <w:t xml:space="preserve"> appl</w:t>
      </w:r>
      <w:r w:rsidR="00591F20">
        <w:t>y</w:t>
      </w:r>
      <w:r w:rsidR="00D84C44">
        <w:t xml:space="preserve"> </w:t>
      </w:r>
      <w:r w:rsidR="000A0B04">
        <w:t xml:space="preserve">only </w:t>
      </w:r>
      <w:r w:rsidR="00D84C44">
        <w:t>to integrated GTL operations</w:t>
      </w:r>
      <w:r w:rsidR="00D77068">
        <w:t>.</w:t>
      </w:r>
    </w:p>
    <w:p w14:paraId="1B90706B" w14:textId="77777777" w:rsidR="007855DB" w:rsidRDefault="000A0B04">
      <w:pPr>
        <w:spacing w:after="240"/>
        <w:ind w:right="-51"/>
      </w:pPr>
      <w:r>
        <w:t>T</w:t>
      </w:r>
      <w:r w:rsidR="00D84C44">
        <w:t xml:space="preserve">he </w:t>
      </w:r>
      <w:r>
        <w:t>steps involved in determining a</w:t>
      </w:r>
      <w:r w:rsidR="00591F20">
        <w:t>n</w:t>
      </w:r>
      <w:r>
        <w:t xml:space="preserve"> RPM price</w:t>
      </w:r>
      <w:r w:rsidR="00D84C44">
        <w:t xml:space="preserve"> </w:t>
      </w:r>
      <w:r w:rsidR="007855DB">
        <w:t xml:space="preserve">for an integrated GTE operation </w:t>
      </w:r>
      <w:r w:rsidR="00D84C44">
        <w:t xml:space="preserve">are substantially the same as for an integrated GTL operation. </w:t>
      </w:r>
    </w:p>
    <w:p w14:paraId="1B90706C" w14:textId="77777777" w:rsidR="00A01560" w:rsidRDefault="00A01560" w:rsidP="00A01560">
      <w:pPr>
        <w:spacing w:after="240"/>
        <w:ind w:right="-51"/>
        <w:rPr>
          <w:b/>
          <w:i/>
          <w:sz w:val="18"/>
          <w:szCs w:val="18"/>
        </w:rPr>
      </w:pPr>
      <w:r>
        <w:rPr>
          <w:szCs w:val="24"/>
        </w:rPr>
        <w:t xml:space="preserve">The Regulation amends the wording of the final paragraph of the explanation of what the method does within regulation 25 of the Principal Regulation, so that it includes reference to “project electricity” in addition to “project liquid”.  This ensures that the costs of participants that are attributable to project electricity of an integrated GTE operation are included for the purposes of applying the RPM. </w:t>
      </w:r>
    </w:p>
    <w:p w14:paraId="1B90706D" w14:textId="77777777" w:rsidR="005204AE" w:rsidRPr="00715A0B" w:rsidRDefault="00C5322C" w:rsidP="0074777B">
      <w:pPr>
        <w:pStyle w:val="Heading4"/>
        <w:spacing w:after="240"/>
      </w:pPr>
      <w:r>
        <w:rPr>
          <w:sz w:val="24"/>
        </w:rPr>
        <w:t xml:space="preserve">Identifying, </w:t>
      </w:r>
      <w:r w:rsidR="007855DB" w:rsidRPr="0074777B">
        <w:rPr>
          <w:sz w:val="24"/>
        </w:rPr>
        <w:t xml:space="preserve">classifying and allocating </w:t>
      </w:r>
      <w:r w:rsidR="005204AE" w:rsidRPr="0074777B">
        <w:rPr>
          <w:sz w:val="24"/>
        </w:rPr>
        <w:t>costs</w:t>
      </w:r>
    </w:p>
    <w:p w14:paraId="1B90706E" w14:textId="77777777" w:rsidR="005204AE" w:rsidRDefault="007158D4" w:rsidP="0074777B">
      <w:pPr>
        <w:pStyle w:val="exampletext"/>
        <w:spacing w:before="0" w:after="240"/>
        <w:ind w:left="0"/>
        <w:rPr>
          <w:sz w:val="24"/>
          <w:szCs w:val="24"/>
        </w:rPr>
      </w:pPr>
      <w:r>
        <w:rPr>
          <w:sz w:val="24"/>
          <w:szCs w:val="24"/>
        </w:rPr>
        <w:t xml:space="preserve">Division 5.2 </w:t>
      </w:r>
      <w:r w:rsidR="00591F20">
        <w:rPr>
          <w:sz w:val="24"/>
          <w:szCs w:val="24"/>
        </w:rPr>
        <w:t>of</w:t>
      </w:r>
      <w:r>
        <w:rPr>
          <w:sz w:val="24"/>
          <w:szCs w:val="24"/>
        </w:rPr>
        <w:t xml:space="preserve"> the Principal Regulations </w:t>
      </w:r>
      <w:r w:rsidR="00F01CE0">
        <w:rPr>
          <w:sz w:val="24"/>
          <w:szCs w:val="24"/>
        </w:rPr>
        <w:t>provides for</w:t>
      </w:r>
      <w:r w:rsidR="007855DB">
        <w:rPr>
          <w:sz w:val="24"/>
          <w:szCs w:val="24"/>
        </w:rPr>
        <w:t xml:space="preserve"> </w:t>
      </w:r>
      <w:r>
        <w:rPr>
          <w:sz w:val="24"/>
          <w:szCs w:val="24"/>
        </w:rPr>
        <w:t>identif</w:t>
      </w:r>
      <w:r w:rsidR="007855DB">
        <w:rPr>
          <w:sz w:val="24"/>
          <w:szCs w:val="24"/>
        </w:rPr>
        <w:t xml:space="preserve">ying and </w:t>
      </w:r>
      <w:r>
        <w:rPr>
          <w:sz w:val="24"/>
          <w:szCs w:val="24"/>
        </w:rPr>
        <w:t>classif</w:t>
      </w:r>
      <w:r w:rsidR="007855DB">
        <w:rPr>
          <w:sz w:val="24"/>
          <w:szCs w:val="24"/>
        </w:rPr>
        <w:t>ying</w:t>
      </w:r>
      <w:r>
        <w:rPr>
          <w:sz w:val="24"/>
          <w:szCs w:val="24"/>
        </w:rPr>
        <w:t xml:space="preserve"> th</w:t>
      </w:r>
      <w:r w:rsidR="00591F20">
        <w:rPr>
          <w:sz w:val="24"/>
          <w:szCs w:val="24"/>
        </w:rPr>
        <w:t>e</w:t>
      </w:r>
      <w:r>
        <w:rPr>
          <w:sz w:val="24"/>
          <w:szCs w:val="24"/>
        </w:rPr>
        <w:t xml:space="preserve"> costs </w:t>
      </w:r>
      <w:r w:rsidR="00591F20">
        <w:rPr>
          <w:sz w:val="24"/>
          <w:szCs w:val="24"/>
        </w:rPr>
        <w:t>attributable t</w:t>
      </w:r>
      <w:r>
        <w:rPr>
          <w:sz w:val="24"/>
          <w:szCs w:val="24"/>
        </w:rPr>
        <w:t xml:space="preserve">o an integrated GTL operation </w:t>
      </w:r>
      <w:r w:rsidR="007855DB">
        <w:rPr>
          <w:sz w:val="24"/>
          <w:szCs w:val="24"/>
        </w:rPr>
        <w:t xml:space="preserve">which </w:t>
      </w:r>
      <w:r>
        <w:rPr>
          <w:sz w:val="24"/>
          <w:szCs w:val="24"/>
        </w:rPr>
        <w:t xml:space="preserve">are to be included </w:t>
      </w:r>
      <w:r w:rsidR="008B094E">
        <w:rPr>
          <w:sz w:val="24"/>
          <w:szCs w:val="24"/>
        </w:rPr>
        <w:t xml:space="preserve">(or excluded) </w:t>
      </w:r>
      <w:r w:rsidR="007855DB">
        <w:rPr>
          <w:sz w:val="24"/>
          <w:szCs w:val="24"/>
        </w:rPr>
        <w:t>in the RPM calculations by</w:t>
      </w:r>
      <w:r>
        <w:rPr>
          <w:sz w:val="24"/>
          <w:szCs w:val="24"/>
        </w:rPr>
        <w:t xml:space="preserve"> a </w:t>
      </w:r>
      <w:r w:rsidR="007855DB">
        <w:rPr>
          <w:sz w:val="24"/>
          <w:szCs w:val="24"/>
        </w:rPr>
        <w:t>taxpayer</w:t>
      </w:r>
      <w:r>
        <w:rPr>
          <w:sz w:val="24"/>
          <w:szCs w:val="24"/>
        </w:rPr>
        <w:t>.</w:t>
      </w:r>
    </w:p>
    <w:p w14:paraId="1B90706F" w14:textId="77777777" w:rsidR="00A01560" w:rsidRDefault="00A01560" w:rsidP="00A01560">
      <w:pPr>
        <w:pStyle w:val="exampletext"/>
        <w:spacing w:before="0" w:after="240"/>
        <w:ind w:left="0"/>
        <w:rPr>
          <w:sz w:val="24"/>
          <w:szCs w:val="24"/>
        </w:rPr>
      </w:pPr>
      <w:r>
        <w:rPr>
          <w:sz w:val="24"/>
          <w:szCs w:val="24"/>
        </w:rPr>
        <w:lastRenderedPageBreak/>
        <w:t>In order to ensure that this Division applies appropriately to integrated GTE operations the Regulation makes a number of minor amendments as follows:</w:t>
      </w:r>
    </w:p>
    <w:p w14:paraId="1B907070" w14:textId="77777777" w:rsidR="00A01560" w:rsidRPr="00611CB0" w:rsidRDefault="00A01560" w:rsidP="00A01560">
      <w:pPr>
        <w:pStyle w:val="Bullet"/>
        <w:tabs>
          <w:tab w:val="clear" w:pos="567"/>
          <w:tab w:val="num" w:pos="1134"/>
        </w:tabs>
        <w:spacing w:after="240"/>
        <w:ind w:left="1134"/>
        <w:rPr>
          <w:rStyle w:val="Referencingstyle"/>
          <w:szCs w:val="20"/>
        </w:rPr>
      </w:pPr>
      <w:r>
        <w:t>the heading for regulation 26 is amended to refer to types of costs associated with an integrated operation, rather than an integrated GTL operation;</w:t>
      </w:r>
      <w:r w:rsidDel="00F01CE0">
        <w:rPr>
          <w:b/>
        </w:rPr>
        <w:t xml:space="preserve"> </w:t>
      </w:r>
    </w:p>
    <w:p w14:paraId="1B907071" w14:textId="77777777" w:rsidR="00A01560" w:rsidRPr="007158D4" w:rsidRDefault="00A01560" w:rsidP="00A01560">
      <w:pPr>
        <w:pStyle w:val="Bullet"/>
        <w:tabs>
          <w:tab w:val="clear" w:pos="567"/>
          <w:tab w:val="num" w:pos="1134"/>
        </w:tabs>
        <w:spacing w:after="240"/>
        <w:ind w:left="1134"/>
      </w:pPr>
      <w:r>
        <w:t>the heading for regulation</w:t>
      </w:r>
      <w:r w:rsidR="009C4BAB">
        <w:t xml:space="preserve"> 27 is amended to refer to the </w:t>
      </w:r>
      <w:r>
        <w:t>exclusion of certain costs of an integrated operation; and</w:t>
      </w:r>
    </w:p>
    <w:p w14:paraId="1B907072" w14:textId="77777777" w:rsidR="00A01560" w:rsidRPr="007158D4" w:rsidRDefault="00A01560" w:rsidP="00A01560">
      <w:pPr>
        <w:pStyle w:val="Bullet"/>
        <w:tabs>
          <w:tab w:val="clear" w:pos="567"/>
          <w:tab w:val="num" w:pos="1134"/>
        </w:tabs>
        <w:spacing w:after="240"/>
        <w:ind w:left="1134"/>
      </w:pPr>
      <w:r>
        <w:t>the term “a integrated GTL” is omitted from subregulation 28(1) and replaced by “an integrated”.</w:t>
      </w:r>
    </w:p>
    <w:p w14:paraId="1B907073" w14:textId="77777777" w:rsidR="00775161" w:rsidRDefault="00F01CE0" w:rsidP="0074777B">
      <w:pPr>
        <w:pStyle w:val="exampletext"/>
        <w:spacing w:before="0" w:after="240"/>
        <w:ind w:left="0"/>
        <w:rPr>
          <w:sz w:val="24"/>
          <w:szCs w:val="24"/>
        </w:rPr>
      </w:pPr>
      <w:r>
        <w:rPr>
          <w:sz w:val="24"/>
          <w:szCs w:val="24"/>
        </w:rPr>
        <w:t>The Regulation also</w:t>
      </w:r>
      <w:r w:rsidR="00A01560">
        <w:rPr>
          <w:sz w:val="24"/>
          <w:szCs w:val="24"/>
        </w:rPr>
        <w:t xml:space="preserve"> </w:t>
      </w:r>
      <w:r w:rsidR="00EB10FF">
        <w:rPr>
          <w:sz w:val="24"/>
          <w:szCs w:val="24"/>
        </w:rPr>
        <w:t>amend</w:t>
      </w:r>
      <w:r w:rsidR="00A01560">
        <w:rPr>
          <w:sz w:val="24"/>
          <w:szCs w:val="24"/>
        </w:rPr>
        <w:t>s</w:t>
      </w:r>
      <w:r w:rsidR="00EB10FF">
        <w:rPr>
          <w:sz w:val="24"/>
          <w:szCs w:val="24"/>
        </w:rPr>
        <w:t xml:space="preserve"> to </w:t>
      </w:r>
      <w:r w:rsidR="00A01560">
        <w:rPr>
          <w:sz w:val="24"/>
          <w:szCs w:val="24"/>
        </w:rPr>
        <w:t>subregulation 35(3) to i</w:t>
      </w:r>
      <w:r w:rsidR="0078583A">
        <w:rPr>
          <w:sz w:val="24"/>
          <w:szCs w:val="24"/>
        </w:rPr>
        <w:t>nclude a reference to</w:t>
      </w:r>
      <w:r w:rsidR="0090384D">
        <w:rPr>
          <w:sz w:val="24"/>
          <w:szCs w:val="24"/>
        </w:rPr>
        <w:t xml:space="preserve"> </w:t>
      </w:r>
      <w:r w:rsidR="0078583A">
        <w:rPr>
          <w:sz w:val="24"/>
          <w:szCs w:val="24"/>
        </w:rPr>
        <w:t>the combustion of project sales gas to produce project electricity</w:t>
      </w:r>
      <w:r w:rsidR="00611CB0">
        <w:rPr>
          <w:sz w:val="24"/>
          <w:szCs w:val="24"/>
        </w:rPr>
        <w:t>.</w:t>
      </w:r>
    </w:p>
    <w:p w14:paraId="1B907074" w14:textId="77777777" w:rsidR="00D05959" w:rsidRPr="0074777B" w:rsidRDefault="001278E2" w:rsidP="0074777B">
      <w:pPr>
        <w:pStyle w:val="Heading4"/>
        <w:spacing w:after="240"/>
        <w:rPr>
          <w:sz w:val="24"/>
        </w:rPr>
      </w:pPr>
      <w:r w:rsidRPr="0074777B">
        <w:rPr>
          <w:sz w:val="24"/>
        </w:rPr>
        <w:t>Notional tax amount</w:t>
      </w:r>
      <w:r w:rsidR="00B3362F" w:rsidRPr="0074777B">
        <w:rPr>
          <w:sz w:val="24"/>
        </w:rPr>
        <w:t>s</w:t>
      </w:r>
    </w:p>
    <w:p w14:paraId="1B907075" w14:textId="77777777" w:rsidR="00B3362F" w:rsidRDefault="00B3362F" w:rsidP="0074777B">
      <w:pPr>
        <w:pStyle w:val="EMpara"/>
        <w:spacing w:before="0" w:after="240"/>
      </w:pPr>
      <w:r>
        <w:t xml:space="preserve">Division 2 of Part VIII of the PRRTAA contains rules for the collection of PRRT by instalments. Section 96 of the PRRTAA specifies the amount that is payable by a taxpayer as an instalment of tax in relation to an instalment period. The amount is referred to as a ‘notional tax amount’ and is ascertained under section 97 of the </w:t>
      </w:r>
      <w:r w:rsidR="00A87018">
        <w:t>PRRTA</w:t>
      </w:r>
      <w:r>
        <w:t xml:space="preserve">A. </w:t>
      </w:r>
    </w:p>
    <w:p w14:paraId="1B907076" w14:textId="77777777" w:rsidR="00A87018" w:rsidRDefault="00F01CE0" w:rsidP="0074777B">
      <w:pPr>
        <w:pStyle w:val="EMpara"/>
        <w:spacing w:before="0" w:after="240"/>
      </w:pPr>
      <w:r>
        <w:t xml:space="preserve">Regulation 38 of the </w:t>
      </w:r>
      <w:r w:rsidR="00A87018">
        <w:t xml:space="preserve">Principal Regulation applies in relation to determining the amount to be included in calculating a taxpayer’s current period liability under subsection 97(1A) </w:t>
      </w:r>
      <w:r>
        <w:t xml:space="preserve">of the PRRTAA </w:t>
      </w:r>
      <w:r w:rsidR="00A87018">
        <w:t xml:space="preserve">where the RPM is not used to determine assessable petroleum receipts.  </w:t>
      </w:r>
    </w:p>
    <w:p w14:paraId="1B907077" w14:textId="77777777" w:rsidR="00ED6283" w:rsidRDefault="00A87018" w:rsidP="0074777B">
      <w:pPr>
        <w:pStyle w:val="EMpara"/>
        <w:spacing w:before="0" w:after="240"/>
      </w:pPr>
      <w:r>
        <w:t>W</w:t>
      </w:r>
      <w:r w:rsidR="0026046A">
        <w:t xml:space="preserve">here a participant of an integrated </w:t>
      </w:r>
      <w:r w:rsidR="00623685">
        <w:t xml:space="preserve">GTL </w:t>
      </w:r>
      <w:r w:rsidR="0026046A">
        <w:t xml:space="preserve">operation uses an RPM price to determine their assessable petroleum receipts </w:t>
      </w:r>
      <w:r w:rsidR="0026046A" w:rsidRPr="00623685">
        <w:t>and they had</w:t>
      </w:r>
      <w:r w:rsidR="0026046A">
        <w:t xml:space="preserve"> an RPM pric</w:t>
      </w:r>
      <w:r>
        <w:t xml:space="preserve">e for the previous year of tax, </w:t>
      </w:r>
      <w:r w:rsidR="00F84095">
        <w:t>r</w:t>
      </w:r>
      <w:r w:rsidR="00F01CE0">
        <w:t xml:space="preserve">egulation 39 of the </w:t>
      </w:r>
      <w:r w:rsidRPr="00623685">
        <w:t xml:space="preserve">Principal </w:t>
      </w:r>
      <w:r>
        <w:t xml:space="preserve">Regulation applies. </w:t>
      </w:r>
      <w:r w:rsidR="00F01CE0">
        <w:t>Regulation 39</w:t>
      </w:r>
      <w:r>
        <w:t xml:space="preserve"> sets out a</w:t>
      </w:r>
      <w:r w:rsidR="00ED6283">
        <w:t xml:space="preserve"> formula for calculating the </w:t>
      </w:r>
      <w:r>
        <w:t xml:space="preserve">taxpayers </w:t>
      </w:r>
      <w:r w:rsidR="00ED6283">
        <w:t>current period liability under subsection 97(1A) of the PRRTAA</w:t>
      </w:r>
      <w:r>
        <w:t xml:space="preserve">, and takes </w:t>
      </w:r>
      <w:r w:rsidR="00B3362F">
        <w:t>account of the participant’s RPM price in the previous year, a</w:t>
      </w:r>
      <w:r>
        <w:t>s well as other</w:t>
      </w:r>
      <w:r w:rsidR="00B3362F">
        <w:t xml:space="preserve"> </w:t>
      </w:r>
      <w:r w:rsidR="00ED6283">
        <w:t xml:space="preserve">factors </w:t>
      </w:r>
      <w:r>
        <w:t>including changes</w:t>
      </w:r>
      <w:r w:rsidR="00ED6283">
        <w:t xml:space="preserve"> in the market value for projec</w:t>
      </w:r>
      <w:r>
        <w:t>t liquid and production levels</w:t>
      </w:r>
      <w:r w:rsidR="00ED6283">
        <w:t xml:space="preserve">, </w:t>
      </w:r>
      <w:r w:rsidR="00B3362F">
        <w:t>meaning the participant is not r</w:t>
      </w:r>
      <w:r w:rsidR="00ED6283">
        <w:t>equir</w:t>
      </w:r>
      <w:r w:rsidR="00B3362F">
        <w:t>ed to do a</w:t>
      </w:r>
      <w:r w:rsidR="00ED6283">
        <w:t xml:space="preserve"> full reassessment of the RPM.</w:t>
      </w:r>
    </w:p>
    <w:p w14:paraId="1B907078" w14:textId="77777777" w:rsidR="00F01CE0" w:rsidRDefault="00F84095" w:rsidP="0074777B">
      <w:pPr>
        <w:pStyle w:val="EMpara"/>
        <w:spacing w:before="0" w:after="240"/>
      </w:pPr>
      <w:r>
        <w:rPr>
          <w:rStyle w:val="EMparaChar"/>
        </w:rPr>
        <w:t xml:space="preserve">The </w:t>
      </w:r>
      <w:r w:rsidR="00F01CE0">
        <w:rPr>
          <w:rStyle w:val="EMparaChar"/>
        </w:rPr>
        <w:t xml:space="preserve">Regulation </w:t>
      </w:r>
      <w:r>
        <w:rPr>
          <w:rStyle w:val="EMparaChar"/>
        </w:rPr>
        <w:t>replaces</w:t>
      </w:r>
      <w:r w:rsidR="009943E0">
        <w:rPr>
          <w:rStyle w:val="EMparaChar"/>
        </w:rPr>
        <w:t xml:space="preserve"> </w:t>
      </w:r>
      <w:r w:rsidR="00F01CE0">
        <w:rPr>
          <w:rStyle w:val="EMparaChar"/>
        </w:rPr>
        <w:t xml:space="preserve">regulation 39 of the </w:t>
      </w:r>
      <w:r w:rsidR="00510E1C" w:rsidRPr="00A87018">
        <w:rPr>
          <w:rStyle w:val="EMparaChar"/>
        </w:rPr>
        <w:t xml:space="preserve">Principal </w:t>
      </w:r>
      <w:r w:rsidR="008D3373" w:rsidRPr="00A87018">
        <w:rPr>
          <w:rStyle w:val="EMparaChar"/>
        </w:rPr>
        <w:t xml:space="preserve">Regulation </w:t>
      </w:r>
      <w:r w:rsidR="009943E0">
        <w:rPr>
          <w:rStyle w:val="EMparaChar"/>
        </w:rPr>
        <w:t xml:space="preserve">with a new </w:t>
      </w:r>
      <w:r w:rsidR="00F01CE0">
        <w:rPr>
          <w:rStyle w:val="EMparaChar"/>
        </w:rPr>
        <w:t xml:space="preserve">provision </w:t>
      </w:r>
      <w:r w:rsidR="009943E0">
        <w:rPr>
          <w:rStyle w:val="EMparaChar"/>
        </w:rPr>
        <w:t>which includes</w:t>
      </w:r>
      <w:r w:rsidR="00510E1C" w:rsidRPr="00A87018">
        <w:rPr>
          <w:rStyle w:val="EMparaChar"/>
        </w:rPr>
        <w:t xml:space="preserve"> a </w:t>
      </w:r>
      <w:r w:rsidR="009943E0">
        <w:rPr>
          <w:rStyle w:val="EMparaChar"/>
        </w:rPr>
        <w:t>revised</w:t>
      </w:r>
      <w:r w:rsidR="00510E1C" w:rsidRPr="00A87018">
        <w:rPr>
          <w:rStyle w:val="EMparaChar"/>
        </w:rPr>
        <w:t xml:space="preserve"> formula and definitions to ensure that the </w:t>
      </w:r>
      <w:r w:rsidR="00F01CE0">
        <w:rPr>
          <w:rStyle w:val="EMparaChar"/>
        </w:rPr>
        <w:t>r</w:t>
      </w:r>
      <w:r w:rsidR="00510E1C" w:rsidRPr="00A87018">
        <w:rPr>
          <w:rStyle w:val="EMparaChar"/>
        </w:rPr>
        <w:t xml:space="preserve">egulation </w:t>
      </w:r>
      <w:r w:rsidR="00641B41" w:rsidRPr="00A87018">
        <w:rPr>
          <w:rStyle w:val="EMparaChar"/>
        </w:rPr>
        <w:t>appli</w:t>
      </w:r>
      <w:r w:rsidR="00510E1C" w:rsidRPr="00A87018">
        <w:rPr>
          <w:rStyle w:val="EMparaChar"/>
        </w:rPr>
        <w:t>es</w:t>
      </w:r>
      <w:r w:rsidR="00641B41" w:rsidRPr="00A87018">
        <w:rPr>
          <w:rStyle w:val="EMparaChar"/>
        </w:rPr>
        <w:t xml:space="preserve"> to integrated GTE operations and those operations measuring by mass.</w:t>
      </w:r>
      <w:r w:rsidR="00510E1C" w:rsidRPr="00510E1C">
        <w:t xml:space="preserve"> </w:t>
      </w:r>
    </w:p>
    <w:p w14:paraId="1B907079" w14:textId="77777777" w:rsidR="009943E0" w:rsidRDefault="009943E0" w:rsidP="0074777B">
      <w:pPr>
        <w:pStyle w:val="EMpara"/>
        <w:spacing w:before="0" w:after="240"/>
      </w:pPr>
      <w:r>
        <w:t xml:space="preserve">As with the formulas for determining netback and cost-plus prices, the new formula references the terms assessable gas, </w:t>
      </w:r>
      <w:r w:rsidRPr="0074777B">
        <w:t>QAG</w:t>
      </w:r>
      <w:r>
        <w:t xml:space="preserve"> and EPV </w:t>
      </w:r>
      <w:r w:rsidR="00EA3EAA">
        <w:t xml:space="preserve">so as to apply to </w:t>
      </w:r>
      <w:r w:rsidR="0074777B">
        <w:t>integrated</w:t>
      </w:r>
      <w:r>
        <w:t xml:space="preserve"> GTE and GTL operations</w:t>
      </w:r>
      <w:r w:rsidR="00EA3EAA">
        <w:t xml:space="preserve">, whether measuring </w:t>
      </w:r>
      <w:r w:rsidR="007053ED">
        <w:t xml:space="preserve">project </w:t>
      </w:r>
      <w:r w:rsidR="00EA3EAA">
        <w:t xml:space="preserve">product by mass or volume. </w:t>
      </w:r>
    </w:p>
    <w:p w14:paraId="1B90707A" w14:textId="77777777" w:rsidR="0024684A" w:rsidRPr="0024684A" w:rsidRDefault="00F84095" w:rsidP="0074777B">
      <w:pPr>
        <w:pStyle w:val="EMpara"/>
        <w:spacing w:before="0" w:after="240"/>
      </w:pPr>
      <w:r>
        <w:t xml:space="preserve">The </w:t>
      </w:r>
      <w:r w:rsidR="001308DF">
        <w:t xml:space="preserve">Regulation </w:t>
      </w:r>
      <w:r w:rsidR="00F01CE0">
        <w:t>also amend</w:t>
      </w:r>
      <w:r w:rsidR="00E7178C">
        <w:t>s</w:t>
      </w:r>
      <w:r w:rsidR="00F01CE0">
        <w:t xml:space="preserve"> s</w:t>
      </w:r>
      <w:r w:rsidR="00884498">
        <w:t>ubregulations 39(4) to 39(6)</w:t>
      </w:r>
      <w:r w:rsidR="00F01CE0">
        <w:t xml:space="preserve"> of the Principal Regulation</w:t>
      </w:r>
      <w:r w:rsidR="005646AF">
        <w:t>,</w:t>
      </w:r>
      <w:r w:rsidR="00A94560">
        <w:t xml:space="preserve"> w</w:t>
      </w:r>
      <w:r w:rsidR="00641B41">
        <w:t xml:space="preserve">hich </w:t>
      </w:r>
      <w:r w:rsidR="001868D5">
        <w:t xml:space="preserve">deal with </w:t>
      </w:r>
      <w:r w:rsidR="0099405A">
        <w:t>what is the</w:t>
      </w:r>
      <w:r w:rsidR="001868D5">
        <w:t xml:space="preserve"> appropriate end product value to be applied</w:t>
      </w:r>
      <w:r w:rsidR="005646AF">
        <w:t xml:space="preserve">, </w:t>
      </w:r>
      <w:r w:rsidR="00F01CE0">
        <w:t>in order</w:t>
      </w:r>
      <w:r w:rsidR="005646AF">
        <w:t xml:space="preserve"> to encompass both project liquid and project electricity</w:t>
      </w:r>
      <w:r w:rsidR="001868D5">
        <w:t>.</w:t>
      </w:r>
    </w:p>
    <w:p w14:paraId="1B90707B" w14:textId="77777777" w:rsidR="002A43A3" w:rsidRPr="00593AF3" w:rsidRDefault="00F01CE0" w:rsidP="0074777B">
      <w:pPr>
        <w:pStyle w:val="EMpara"/>
        <w:spacing w:before="0" w:after="240"/>
      </w:pPr>
      <w:r>
        <w:t xml:space="preserve">Regulation 40 of the </w:t>
      </w:r>
      <w:r w:rsidR="002A43A3" w:rsidRPr="00593AF3">
        <w:t xml:space="preserve">Principal Regulation applies </w:t>
      </w:r>
      <w:r w:rsidR="00F27136" w:rsidRPr="00593AF3">
        <w:t xml:space="preserve">in situations </w:t>
      </w:r>
      <w:r w:rsidR="002A43A3" w:rsidRPr="00593AF3">
        <w:t xml:space="preserve">where a </w:t>
      </w:r>
      <w:r w:rsidR="00F27136" w:rsidRPr="00593AF3">
        <w:t>taxpayer</w:t>
      </w:r>
      <w:r w:rsidR="002A43A3" w:rsidRPr="00593AF3">
        <w:t xml:space="preserve"> of an integrated </w:t>
      </w:r>
      <w:r w:rsidR="00976D59" w:rsidRPr="00593AF3">
        <w:t xml:space="preserve">GTL </w:t>
      </w:r>
      <w:r w:rsidR="002A43A3" w:rsidRPr="00593AF3">
        <w:t xml:space="preserve">operation uses the RPM price to determine their assessable petroleum </w:t>
      </w:r>
      <w:r w:rsidR="002A43A3" w:rsidRPr="00593AF3">
        <w:lastRenderedPageBreak/>
        <w:t>receipts, but they do not have an RPM price for the previous year of tax. This is likely to occur when a new participant enters into the integrated </w:t>
      </w:r>
      <w:r w:rsidR="00F42CD8" w:rsidRPr="00593AF3">
        <w:t xml:space="preserve">GTL </w:t>
      </w:r>
      <w:r w:rsidR="002A43A3" w:rsidRPr="00593AF3">
        <w:t>operation.</w:t>
      </w:r>
      <w:r w:rsidR="00275AC7" w:rsidRPr="00593AF3">
        <w:t xml:space="preserve">  </w:t>
      </w:r>
    </w:p>
    <w:p w14:paraId="1B90707C" w14:textId="77777777" w:rsidR="00974E8A" w:rsidRDefault="00E7178C" w:rsidP="0074777B">
      <w:pPr>
        <w:pStyle w:val="EMpara"/>
        <w:spacing w:before="0" w:after="240"/>
      </w:pPr>
      <w:r>
        <w:t xml:space="preserve">The </w:t>
      </w:r>
      <w:r w:rsidR="00F01CE0">
        <w:t xml:space="preserve">Regulation </w:t>
      </w:r>
      <w:r w:rsidR="00EA3EAA">
        <w:t>amend</w:t>
      </w:r>
      <w:r>
        <w:t>s</w:t>
      </w:r>
      <w:r w:rsidR="00EA3EAA">
        <w:t xml:space="preserve"> the</w:t>
      </w:r>
      <w:r w:rsidR="00C17A79" w:rsidRPr="008D3373">
        <w:t xml:space="preserve"> formula and definitions </w:t>
      </w:r>
      <w:r w:rsidR="00C17A79">
        <w:t xml:space="preserve">for </w:t>
      </w:r>
      <w:r w:rsidR="00F01CE0">
        <w:t>s</w:t>
      </w:r>
      <w:r w:rsidR="00C17A79">
        <w:t>ubregulation</w:t>
      </w:r>
      <w:r w:rsidR="00D542F3">
        <w:t>s</w:t>
      </w:r>
      <w:r w:rsidR="00C17A79">
        <w:t xml:space="preserve"> 40(2) </w:t>
      </w:r>
      <w:r w:rsidR="00D542F3">
        <w:t>and 40(3)</w:t>
      </w:r>
      <w:r w:rsidR="00F01CE0">
        <w:t xml:space="preserve"> of the Principal Regulation</w:t>
      </w:r>
      <w:r w:rsidR="00D542F3">
        <w:t xml:space="preserve"> </w:t>
      </w:r>
      <w:r w:rsidR="00C17A79" w:rsidRPr="008D3373">
        <w:t>to ensure that th</w:t>
      </w:r>
      <w:r w:rsidR="00D542F3">
        <w:t xml:space="preserve">ey </w:t>
      </w:r>
      <w:r w:rsidR="00C17A79" w:rsidRPr="008D3373">
        <w:t>appl</w:t>
      </w:r>
      <w:r w:rsidR="00D542F3">
        <w:t>y</w:t>
      </w:r>
      <w:r w:rsidR="00C17A79" w:rsidRPr="008D3373">
        <w:t xml:space="preserve"> to integrated GTE operations and to integrated operations that measure by mass as well </w:t>
      </w:r>
      <w:r w:rsidR="00EA3EAA">
        <w:t>as those that measure by vol</w:t>
      </w:r>
      <w:r>
        <w:t>ume, in a manner similar to the</w:t>
      </w:r>
      <w:r w:rsidR="00F01CE0">
        <w:t xml:space="preserve"> </w:t>
      </w:r>
      <w:r w:rsidR="00EA3EAA">
        <w:t xml:space="preserve">amendments to </w:t>
      </w:r>
      <w:r w:rsidR="00F01CE0">
        <w:t>r</w:t>
      </w:r>
      <w:r w:rsidR="00EA3EAA">
        <w:t>egulation 39.</w:t>
      </w:r>
      <w:r w:rsidR="00974E8A">
        <w:t xml:space="preserve"> </w:t>
      </w:r>
    </w:p>
    <w:p w14:paraId="1B90707D" w14:textId="77777777" w:rsidR="00F01CE0" w:rsidRDefault="00D542F3" w:rsidP="0074777B">
      <w:pPr>
        <w:pStyle w:val="EMpara"/>
        <w:spacing w:before="0" w:after="240"/>
      </w:pPr>
      <w:r>
        <w:t xml:space="preserve">Consistent with the operation of the </w:t>
      </w:r>
      <w:r w:rsidR="0099405A">
        <w:t>P</w:t>
      </w:r>
      <w:r>
        <w:t xml:space="preserve">rincipal </w:t>
      </w:r>
      <w:r w:rsidR="0099405A">
        <w:t>R</w:t>
      </w:r>
      <w:r>
        <w:t>egulation</w:t>
      </w:r>
      <w:r w:rsidR="00EA3EAA">
        <w:t>s</w:t>
      </w:r>
      <w:r>
        <w:t xml:space="preserve">, </w:t>
      </w:r>
      <w:r w:rsidR="00B7793D">
        <w:t xml:space="preserve">the </w:t>
      </w:r>
      <w:r>
        <w:t>amendment to</w:t>
      </w:r>
      <w:r w:rsidR="00F01CE0">
        <w:t xml:space="preserve"> subregulation</w:t>
      </w:r>
      <w:r>
        <w:t xml:space="preserve"> 40(2) will result in the </w:t>
      </w:r>
      <w:r w:rsidR="00B7793D">
        <w:t xml:space="preserve">amount to be included in calculating the current period liability under subsection 97(1A) of the </w:t>
      </w:r>
      <w:r w:rsidR="00F01CE0">
        <w:t xml:space="preserve">PRRTAA </w:t>
      </w:r>
      <w:r>
        <w:t>being that amount determined as</w:t>
      </w:r>
      <w:r w:rsidR="00974E8A">
        <w:t xml:space="preserve"> </w:t>
      </w:r>
      <w:r w:rsidR="00B7793D">
        <w:t xml:space="preserve">per the </w:t>
      </w:r>
      <w:r w:rsidR="00974E8A">
        <w:t xml:space="preserve">amended </w:t>
      </w:r>
      <w:r w:rsidR="00B7793D">
        <w:t>formula</w:t>
      </w:r>
      <w:r w:rsidR="00974E8A">
        <w:t>,</w:t>
      </w:r>
      <w:r>
        <w:t xml:space="preserve"> unless the taxpayer makes an election under </w:t>
      </w:r>
      <w:r w:rsidR="00F01CE0">
        <w:t>s</w:t>
      </w:r>
      <w:r w:rsidR="00EA3EAA">
        <w:t xml:space="preserve">ubregulation </w:t>
      </w:r>
      <w:r>
        <w:t>40(3)</w:t>
      </w:r>
      <w:r w:rsidR="00F01CE0">
        <w:t xml:space="preserve"> of the Principal Regulation</w:t>
      </w:r>
      <w:r>
        <w:t>.</w:t>
      </w:r>
      <w:r w:rsidR="00EA3EAA">
        <w:t xml:space="preserve"> </w:t>
      </w:r>
    </w:p>
    <w:p w14:paraId="1B90707E" w14:textId="77777777" w:rsidR="00F42CD8" w:rsidRPr="00611CB0" w:rsidRDefault="00EA3EAA" w:rsidP="0074777B">
      <w:pPr>
        <w:pStyle w:val="EMpara"/>
        <w:spacing w:before="0" w:after="240"/>
        <w:rPr>
          <w:rStyle w:val="Referencingstyle"/>
        </w:rPr>
      </w:pPr>
      <w:r>
        <w:t>Subregulation 40(3)</w:t>
      </w:r>
      <w:r w:rsidR="00F01CE0">
        <w:t xml:space="preserve"> of the Principal Regulation</w:t>
      </w:r>
      <w:r>
        <w:t xml:space="preserve"> applies where the taxpayer bec</w:t>
      </w:r>
      <w:r w:rsidR="00621425">
        <w:t>o</w:t>
      </w:r>
      <w:r>
        <w:t>me</w:t>
      </w:r>
      <w:r w:rsidR="00621425">
        <w:t>s</w:t>
      </w:r>
      <w:r>
        <w:t xml:space="preserve"> a participant in the assessment year due to a transfer of interest, and allows them the choice of applying the formula in </w:t>
      </w:r>
      <w:r w:rsidR="00621425">
        <w:t>r</w:t>
      </w:r>
      <w:r>
        <w:t>egulation 39 instead</w:t>
      </w:r>
      <w:r w:rsidR="00621425">
        <w:t xml:space="preserve"> of</w:t>
      </w:r>
      <w:r>
        <w:t xml:space="preserve"> using the previous participant’s outcomes in the previous year of tax</w:t>
      </w:r>
      <w:r w:rsidR="00611CB0">
        <w:t>.</w:t>
      </w:r>
    </w:p>
    <w:p w14:paraId="1B90707F" w14:textId="77777777" w:rsidR="00715F24" w:rsidRPr="00593AF3" w:rsidRDefault="00621425" w:rsidP="0074777B">
      <w:pPr>
        <w:pStyle w:val="Heading2"/>
        <w:spacing w:before="0" w:after="240"/>
      </w:pPr>
      <w:bookmarkStart w:id="6" w:name="_Toc356480352"/>
      <w:r>
        <w:t>Part</w:t>
      </w:r>
      <w:r w:rsidRPr="00593AF3">
        <w:t xml:space="preserve"> </w:t>
      </w:r>
      <w:r>
        <w:t xml:space="preserve">6 </w:t>
      </w:r>
      <w:r w:rsidR="00B5292A">
        <w:t>–</w:t>
      </w:r>
      <w:r>
        <w:t xml:space="preserve"> </w:t>
      </w:r>
      <w:r w:rsidR="00DC2989" w:rsidRPr="00593AF3">
        <w:t>Integrated o</w:t>
      </w:r>
      <w:r w:rsidR="00F832B2" w:rsidRPr="00593AF3">
        <w:t xml:space="preserve">nshore operations </w:t>
      </w:r>
      <w:r w:rsidR="00DC2989" w:rsidRPr="00593AF3">
        <w:t xml:space="preserve">and </w:t>
      </w:r>
      <w:r w:rsidR="00F832B2" w:rsidRPr="00593AF3">
        <w:t>RPM election</w:t>
      </w:r>
      <w:bookmarkEnd w:id="6"/>
    </w:p>
    <w:p w14:paraId="1B907080" w14:textId="77777777" w:rsidR="00715F24" w:rsidRPr="00593AF3" w:rsidRDefault="00621425" w:rsidP="0074777B">
      <w:pPr>
        <w:pStyle w:val="EMpara"/>
        <w:spacing w:before="0" w:after="240"/>
      </w:pPr>
      <w:r w:rsidRPr="0095654C">
        <w:rPr>
          <w:rStyle w:val="EMparaChar"/>
        </w:rPr>
        <w:t xml:space="preserve">This </w:t>
      </w:r>
      <w:r>
        <w:rPr>
          <w:rStyle w:val="EMparaChar"/>
        </w:rPr>
        <w:t>Part</w:t>
      </w:r>
      <w:r w:rsidRPr="0095654C">
        <w:rPr>
          <w:rStyle w:val="EMparaChar"/>
        </w:rPr>
        <w:t xml:space="preserve"> explains </w:t>
      </w:r>
      <w:r w:rsidR="002437F2">
        <w:rPr>
          <w:rStyle w:val="EMparaChar"/>
        </w:rPr>
        <w:t xml:space="preserve">the amendments in the </w:t>
      </w:r>
      <w:r>
        <w:rPr>
          <w:rStyle w:val="EMparaChar"/>
        </w:rPr>
        <w:t>Regulation</w:t>
      </w:r>
      <w:r w:rsidRPr="0095654C">
        <w:rPr>
          <w:rStyle w:val="EMparaChar"/>
        </w:rPr>
        <w:t xml:space="preserve"> </w:t>
      </w:r>
      <w:r w:rsidR="002437F2">
        <w:rPr>
          <w:rStyle w:val="EMparaChar"/>
        </w:rPr>
        <w:t xml:space="preserve">to </w:t>
      </w:r>
      <w:r w:rsidRPr="0095654C">
        <w:rPr>
          <w:rStyle w:val="EMparaChar"/>
        </w:rPr>
        <w:t>ensure that</w:t>
      </w:r>
      <w:r w:rsidR="00715F24" w:rsidRPr="00593AF3">
        <w:t>:</w:t>
      </w:r>
    </w:p>
    <w:p w14:paraId="1B907081" w14:textId="77777777" w:rsidR="00F832B2" w:rsidRDefault="00DC2989" w:rsidP="0074777B">
      <w:pPr>
        <w:pStyle w:val="Bullet"/>
        <w:tabs>
          <w:tab w:val="clear" w:pos="567"/>
          <w:tab w:val="num" w:pos="1134"/>
        </w:tabs>
        <w:spacing w:after="240"/>
        <w:ind w:left="1134"/>
      </w:pPr>
      <w:r>
        <w:t>t</w:t>
      </w:r>
      <w:r w:rsidR="00E54388">
        <w:t xml:space="preserve">axpayers with </w:t>
      </w:r>
      <w:r w:rsidR="00F832B2" w:rsidRPr="00757E60">
        <w:t>onshore</w:t>
      </w:r>
      <w:r w:rsidR="00715F24" w:rsidRPr="00757E60">
        <w:t xml:space="preserve"> integrated </w:t>
      </w:r>
      <w:r w:rsidR="00E54388">
        <w:t xml:space="preserve">GTL operations have the option </w:t>
      </w:r>
      <w:r w:rsidR="00715F24" w:rsidRPr="00757E60">
        <w:t>o</w:t>
      </w:r>
      <w:r w:rsidR="00E54388">
        <w:t>f</w:t>
      </w:r>
      <w:r w:rsidR="00715F24" w:rsidRPr="00757E60">
        <w:t xml:space="preserve"> </w:t>
      </w:r>
      <w:r w:rsidR="00E54388">
        <w:t>making</w:t>
      </w:r>
      <w:r w:rsidR="00F832B2" w:rsidRPr="00757E60">
        <w:t xml:space="preserve"> an irrevocable election</w:t>
      </w:r>
      <w:r w:rsidR="00715F24" w:rsidRPr="00757E60">
        <w:t xml:space="preserve"> to </w:t>
      </w:r>
      <w:r w:rsidR="00F832B2" w:rsidRPr="00757E60">
        <w:t>apply</w:t>
      </w:r>
      <w:r w:rsidR="00715F24" w:rsidRPr="00757E60">
        <w:t xml:space="preserve"> </w:t>
      </w:r>
      <w:r w:rsidR="00F832B2" w:rsidRPr="00757E60">
        <w:t xml:space="preserve">the </w:t>
      </w:r>
      <w:r w:rsidR="00715F24" w:rsidRPr="00757E60">
        <w:t>RPM</w:t>
      </w:r>
      <w:r w:rsidR="00025080">
        <w:t xml:space="preserve"> as a default methodology</w:t>
      </w:r>
      <w:r w:rsidR="00715F24" w:rsidRPr="00757E60">
        <w:t>;</w:t>
      </w:r>
      <w:r w:rsidR="00621425">
        <w:t xml:space="preserve"> and</w:t>
      </w:r>
    </w:p>
    <w:p w14:paraId="1B907082" w14:textId="77777777" w:rsidR="00D43ABB" w:rsidRPr="00F634C2" w:rsidRDefault="00D43ABB" w:rsidP="0074777B">
      <w:pPr>
        <w:pStyle w:val="Bullet"/>
        <w:tabs>
          <w:tab w:val="clear" w:pos="567"/>
          <w:tab w:val="num" w:pos="1134"/>
        </w:tabs>
        <w:spacing w:after="240"/>
        <w:ind w:left="1134"/>
      </w:pPr>
      <w:r>
        <w:t xml:space="preserve">the </w:t>
      </w:r>
      <w:r w:rsidR="00DC2989">
        <w:t>R</w:t>
      </w:r>
      <w:r w:rsidR="00025080">
        <w:t xml:space="preserve">PM method is able to be applied to determine an appropriate </w:t>
      </w:r>
      <w:r w:rsidR="00444F76">
        <w:t>RPM price</w:t>
      </w:r>
      <w:r>
        <w:t xml:space="preserve"> in situations</w:t>
      </w:r>
      <w:r w:rsidRPr="00F634C2">
        <w:t xml:space="preserve"> where project natural gas </w:t>
      </w:r>
      <w:r>
        <w:t xml:space="preserve">is sold by a participant via a non-arm’s length arrangement </w:t>
      </w:r>
      <w:r w:rsidRPr="00F634C2">
        <w:t>in the context of an integrated GTL operation</w:t>
      </w:r>
      <w:r>
        <w:t>.</w:t>
      </w:r>
    </w:p>
    <w:p w14:paraId="1B907083" w14:textId="77777777" w:rsidR="00DE4DEF" w:rsidRPr="00593AF3" w:rsidRDefault="00DE4DEF" w:rsidP="0074777B">
      <w:pPr>
        <w:pStyle w:val="Heading3"/>
        <w:spacing w:before="0" w:after="240"/>
      </w:pPr>
      <w:r w:rsidRPr="00593AF3">
        <w:t xml:space="preserve">Election to use </w:t>
      </w:r>
      <w:r w:rsidR="00B005A9">
        <w:t>RPM</w:t>
      </w:r>
      <w:r w:rsidRPr="00593AF3">
        <w:t xml:space="preserve"> – participant in onshore GTL operation</w:t>
      </w:r>
    </w:p>
    <w:p w14:paraId="1B907084" w14:textId="77777777" w:rsidR="001939F6" w:rsidRDefault="00444F76" w:rsidP="0074777B">
      <w:pPr>
        <w:pStyle w:val="EMpara"/>
        <w:spacing w:before="0" w:after="240"/>
      </w:pPr>
      <w:r>
        <w:t xml:space="preserve">As outlined in </w:t>
      </w:r>
      <w:r w:rsidR="00621425">
        <w:t>Part 5</w:t>
      </w:r>
      <w:r>
        <w:t xml:space="preserve">, </w:t>
      </w:r>
      <w:r w:rsidR="00621425">
        <w:t xml:space="preserve">the </w:t>
      </w:r>
      <w:r>
        <w:t>Regulation consolidate</w:t>
      </w:r>
      <w:r w:rsidR="002437F2">
        <w:t>s</w:t>
      </w:r>
      <w:r w:rsidR="00621425">
        <w:t xml:space="preserve"> regulations</w:t>
      </w:r>
      <w:r>
        <w:t xml:space="preserve"> </w:t>
      </w:r>
      <w:r w:rsidR="00621425">
        <w:t xml:space="preserve">14, 15, 16 and 17 of the </w:t>
      </w:r>
      <w:r w:rsidR="00DE4DEF">
        <w:t>Principal Regulation</w:t>
      </w:r>
      <w:r w:rsidR="002437F2">
        <w:t>. The new regulations 14, 15 and 16</w:t>
      </w:r>
      <w:r w:rsidR="00E54388">
        <w:t xml:space="preserve"> </w:t>
      </w:r>
      <w:r w:rsidR="00467C6D">
        <w:t xml:space="preserve">provide a hierarchy </w:t>
      </w:r>
      <w:r w:rsidR="001939F6">
        <w:t xml:space="preserve">of methods </w:t>
      </w:r>
      <w:r w:rsidR="00467C6D">
        <w:t xml:space="preserve">for determining the assessable petroleum receipts of a taxpayer </w:t>
      </w:r>
      <w:r w:rsidR="00E54388">
        <w:t>in an integrated operation</w:t>
      </w:r>
      <w:r w:rsidR="001939F6">
        <w:t xml:space="preserve"> in cases where </w:t>
      </w:r>
      <w:r w:rsidR="00C14761">
        <w:t xml:space="preserve">a non-arm’s length sale, or </w:t>
      </w:r>
      <w:r w:rsidR="001939F6">
        <w:t xml:space="preserve">alternatively </w:t>
      </w:r>
      <w:r w:rsidR="00C14761">
        <w:t xml:space="preserve">where no sale </w:t>
      </w:r>
      <w:r w:rsidR="001939F6">
        <w:t>occurs</w:t>
      </w:r>
      <w:r w:rsidR="002D54BB">
        <w:t>,</w:t>
      </w:r>
      <w:r w:rsidR="00513DC0">
        <w:t xml:space="preserve"> in relation to the</w:t>
      </w:r>
      <w:r w:rsidR="001939F6">
        <w:t xml:space="preserve"> project sales gas produced</w:t>
      </w:r>
      <w:r w:rsidR="00513DC0">
        <w:t xml:space="preserve"> in the operation</w:t>
      </w:r>
      <w:r w:rsidR="001939F6">
        <w:t xml:space="preserve">. </w:t>
      </w:r>
    </w:p>
    <w:p w14:paraId="1B907085" w14:textId="77777777" w:rsidR="00DE4DEF" w:rsidRDefault="00444F76" w:rsidP="0074777B">
      <w:pPr>
        <w:pStyle w:val="dotpoint"/>
        <w:spacing w:before="0" w:after="240"/>
        <w:rPr>
          <w:sz w:val="24"/>
          <w:szCs w:val="24"/>
        </w:rPr>
      </w:pPr>
      <w:r>
        <w:rPr>
          <w:sz w:val="24"/>
          <w:szCs w:val="24"/>
        </w:rPr>
        <w:t>As noted, t</w:t>
      </w:r>
      <w:r w:rsidR="001939F6">
        <w:rPr>
          <w:sz w:val="24"/>
          <w:szCs w:val="24"/>
        </w:rPr>
        <w:t>he hierarchy is as follows</w:t>
      </w:r>
      <w:r w:rsidR="00467C6D">
        <w:rPr>
          <w:sz w:val="24"/>
          <w:szCs w:val="24"/>
        </w:rPr>
        <w:t>:</w:t>
      </w:r>
    </w:p>
    <w:p w14:paraId="1B907086" w14:textId="77777777" w:rsidR="00467C6D" w:rsidRPr="00E54388" w:rsidRDefault="00467C6D" w:rsidP="0074777B">
      <w:pPr>
        <w:pStyle w:val="OutlineNumbered1"/>
        <w:numPr>
          <w:ilvl w:val="0"/>
          <w:numId w:val="22"/>
        </w:numPr>
        <w:spacing w:after="240" w:line="240" w:lineRule="auto"/>
      </w:pPr>
      <w:r w:rsidRPr="00E54388">
        <w:t xml:space="preserve">If an </w:t>
      </w:r>
      <w:r w:rsidR="00A11174" w:rsidRPr="00E54388">
        <w:t>APA</w:t>
      </w:r>
      <w:r w:rsidRPr="00E54388">
        <w:t xml:space="preserve"> applies</w:t>
      </w:r>
      <w:r w:rsidR="00A11174" w:rsidRPr="00E54388">
        <w:t>, the amount calculated in accordance with the arrangement; and</w:t>
      </w:r>
    </w:p>
    <w:p w14:paraId="1B907087" w14:textId="77777777" w:rsidR="00A11174" w:rsidRPr="00E54388" w:rsidRDefault="00A11174" w:rsidP="0074777B">
      <w:pPr>
        <w:pStyle w:val="OutlineNumbered1"/>
        <w:numPr>
          <w:ilvl w:val="0"/>
          <w:numId w:val="22"/>
        </w:numPr>
        <w:spacing w:after="240" w:line="240" w:lineRule="auto"/>
      </w:pPr>
      <w:r w:rsidRPr="00E54388">
        <w:t xml:space="preserve">If no </w:t>
      </w:r>
      <w:r w:rsidR="00621425">
        <w:t>APA</w:t>
      </w:r>
      <w:r w:rsidRPr="00E54388">
        <w:t xml:space="preserve"> applies to the sale, but a CUP exists for the sale – the CUP amount for the sale;</w:t>
      </w:r>
    </w:p>
    <w:p w14:paraId="1B907088" w14:textId="77777777" w:rsidR="00A94560" w:rsidRPr="00E54388" w:rsidRDefault="00A94560" w:rsidP="0074777B">
      <w:pPr>
        <w:pStyle w:val="OutlineNumbered1"/>
        <w:numPr>
          <w:ilvl w:val="0"/>
          <w:numId w:val="22"/>
        </w:numPr>
        <w:spacing w:after="240" w:line="240" w:lineRule="auto"/>
      </w:pPr>
      <w:r w:rsidRPr="00E54388">
        <w:t xml:space="preserve">If no </w:t>
      </w:r>
      <w:r w:rsidR="00621425">
        <w:t xml:space="preserve">APA </w:t>
      </w:r>
      <w:r w:rsidRPr="00E54388">
        <w:t xml:space="preserve">applies to the sale, and no </w:t>
      </w:r>
      <w:r w:rsidR="00621425">
        <w:t xml:space="preserve">CUP </w:t>
      </w:r>
      <w:r w:rsidRPr="00E54388">
        <w:t>exists for the sale – the RPM amount for the sale.</w:t>
      </w:r>
    </w:p>
    <w:p w14:paraId="1B907089" w14:textId="77777777" w:rsidR="00DE4DEF" w:rsidRDefault="002437F2" w:rsidP="0074777B">
      <w:pPr>
        <w:pStyle w:val="EMpara"/>
        <w:spacing w:before="0" w:after="240"/>
      </w:pPr>
      <w:r>
        <w:t>However, t</w:t>
      </w:r>
      <w:r w:rsidR="00DE4DEF">
        <w:t xml:space="preserve">he </w:t>
      </w:r>
      <w:r w:rsidR="002D54BB">
        <w:t>R</w:t>
      </w:r>
      <w:r w:rsidR="00DE4DEF">
        <w:t>egulation allow</w:t>
      </w:r>
      <w:r>
        <w:t>s</w:t>
      </w:r>
      <w:r w:rsidR="00DE4DEF">
        <w:t xml:space="preserve"> </w:t>
      </w:r>
      <w:r w:rsidR="00A94560">
        <w:t xml:space="preserve">those </w:t>
      </w:r>
      <w:r w:rsidR="00E54388">
        <w:t>taxpayers</w:t>
      </w:r>
      <w:r w:rsidR="00A94560">
        <w:t xml:space="preserve"> in an integr</w:t>
      </w:r>
      <w:r w:rsidR="002D54BB">
        <w:t>ated GTL operation that recover</w:t>
      </w:r>
      <w:r w:rsidR="00A94560">
        <w:t xml:space="preserve"> petroleum from an onshore petroleum project</w:t>
      </w:r>
      <w:r w:rsidR="007053ED">
        <w:t xml:space="preserve"> and whose project gas is subject </w:t>
      </w:r>
      <w:r w:rsidR="007053ED">
        <w:lastRenderedPageBreak/>
        <w:t xml:space="preserve">to a non-arm’s length sale, </w:t>
      </w:r>
      <w:r w:rsidR="00332980">
        <w:t>the option of using the</w:t>
      </w:r>
      <w:r w:rsidR="00DE4DEF">
        <w:t xml:space="preserve"> RPM as </w:t>
      </w:r>
      <w:r w:rsidR="000635C4">
        <w:t>the</w:t>
      </w:r>
      <w:r w:rsidR="00DE4DEF">
        <w:t xml:space="preserve"> default methodology for calculating the value of the resource at the taxing point.</w:t>
      </w:r>
    </w:p>
    <w:p w14:paraId="1B90708A" w14:textId="77777777" w:rsidR="00DE4DEF" w:rsidRPr="00DE4DEF" w:rsidRDefault="002437F2" w:rsidP="0074777B">
      <w:pPr>
        <w:pStyle w:val="EMpara"/>
        <w:spacing w:before="0" w:after="240"/>
      </w:pPr>
      <w:r>
        <w:t xml:space="preserve">The </w:t>
      </w:r>
      <w:r w:rsidR="008B55EC">
        <w:t xml:space="preserve">Regulation </w:t>
      </w:r>
      <w:r w:rsidR="008B55EC" w:rsidRPr="00593AF3">
        <w:t>insert</w:t>
      </w:r>
      <w:r>
        <w:t>s</w:t>
      </w:r>
      <w:r w:rsidR="008B55EC">
        <w:t xml:space="preserve"> r</w:t>
      </w:r>
      <w:r w:rsidR="008B55EC" w:rsidRPr="00593AF3">
        <w:t>egulation 4</w:t>
      </w:r>
      <w:r w:rsidR="008B55EC">
        <w:t xml:space="preserve">2 into the Principal Regulation </w:t>
      </w:r>
      <w:r w:rsidR="00621425">
        <w:t>to allow</w:t>
      </w:r>
      <w:r w:rsidR="00DE4DEF">
        <w:t xml:space="preserve"> a participant in an integrated GTL operation that recovers petroleum from an onshore petroleum project </w:t>
      </w:r>
      <w:r w:rsidR="007053ED">
        <w:t>to</w:t>
      </w:r>
      <w:r w:rsidR="00DE4DEF">
        <w:t xml:space="preserve"> make an irrevocable election to use the </w:t>
      </w:r>
      <w:r>
        <w:t>RPM</w:t>
      </w:r>
      <w:r w:rsidR="00DE4DEF">
        <w:t>.</w:t>
      </w:r>
    </w:p>
    <w:p w14:paraId="1B90708B" w14:textId="77777777" w:rsidR="00A11174" w:rsidRPr="00593AF3" w:rsidRDefault="00332980" w:rsidP="0074777B">
      <w:pPr>
        <w:pStyle w:val="EMpara"/>
        <w:spacing w:before="0" w:after="240"/>
        <w:rPr>
          <w:rStyle w:val="Referencingstyle"/>
        </w:rPr>
      </w:pPr>
      <w:r>
        <w:t>The</w:t>
      </w:r>
      <w:r w:rsidR="00A11174" w:rsidRPr="00593AF3">
        <w:t xml:space="preserve"> election</w:t>
      </w:r>
      <w:r w:rsidR="000635C4">
        <w:t xml:space="preserve"> to use the RPM as the default methodology </w:t>
      </w:r>
      <w:r w:rsidR="00A11174" w:rsidRPr="00593AF3">
        <w:t>must</w:t>
      </w:r>
      <w:r w:rsidR="000635C4">
        <w:t xml:space="preserve"> be</w:t>
      </w:r>
      <w:r w:rsidR="00926493">
        <w:t xml:space="preserve"> </w:t>
      </w:r>
      <w:r w:rsidR="00A11174" w:rsidRPr="00926493">
        <w:t>made in a fo</w:t>
      </w:r>
      <w:r>
        <w:t>rm approved by the Commissioner</w:t>
      </w:r>
      <w:r w:rsidR="00A11174" w:rsidRPr="00926493">
        <w:t xml:space="preserve"> and</w:t>
      </w:r>
      <w:r w:rsidR="00555BA7">
        <w:t xml:space="preserve"> </w:t>
      </w:r>
      <w:r w:rsidR="00A11174">
        <w:t>given to the Commissioner in the year of tax before the production year for the operation.</w:t>
      </w:r>
    </w:p>
    <w:p w14:paraId="1B90708C" w14:textId="77777777" w:rsidR="00621425" w:rsidRDefault="000635C4" w:rsidP="0074777B">
      <w:pPr>
        <w:pStyle w:val="EMpara"/>
        <w:spacing w:before="0" w:after="240"/>
      </w:pPr>
      <w:r>
        <w:t>The practical effect of a tax</w:t>
      </w:r>
      <w:r w:rsidR="002437F2">
        <w:t>payer making an election under</w:t>
      </w:r>
      <w:r w:rsidR="00332980">
        <w:t xml:space="preserve"> </w:t>
      </w:r>
      <w:r w:rsidR="00621425">
        <w:t>r</w:t>
      </w:r>
      <w:r>
        <w:t xml:space="preserve">egulation 42 </w:t>
      </w:r>
      <w:r w:rsidR="002437F2">
        <w:t>is</w:t>
      </w:r>
      <w:r w:rsidR="00BB175C">
        <w:t xml:space="preserve"> </w:t>
      </w:r>
      <w:r w:rsidR="00332980">
        <w:t>that the RPM</w:t>
      </w:r>
      <w:r>
        <w:t xml:space="preserve"> will be u</w:t>
      </w:r>
      <w:r w:rsidR="00332980">
        <w:t>sed to</w:t>
      </w:r>
      <w:r>
        <w:t xml:space="preserve"> determin</w:t>
      </w:r>
      <w:r w:rsidR="00332980">
        <w:t>e</w:t>
      </w:r>
      <w:r>
        <w:t xml:space="preserve"> the assessable petroleum receipts of the taxpayer </w:t>
      </w:r>
      <w:r w:rsidR="00332980">
        <w:t xml:space="preserve">in relation to project product, </w:t>
      </w:r>
      <w:r>
        <w:t>irrespective of whether a CUP ma</w:t>
      </w:r>
      <w:r w:rsidR="00332980">
        <w:t xml:space="preserve">y exist. </w:t>
      </w:r>
    </w:p>
    <w:p w14:paraId="1B90708D" w14:textId="77777777" w:rsidR="000635C4" w:rsidRDefault="007053ED" w:rsidP="0074777B">
      <w:pPr>
        <w:pStyle w:val="EMpara"/>
        <w:spacing w:before="0" w:after="240"/>
      </w:pPr>
      <w:r>
        <w:t>Consistent with the operation of the Principal Regulation, where an election has been made and the RPM used, t</w:t>
      </w:r>
      <w:r w:rsidR="000635C4">
        <w:t xml:space="preserve">he assessable receipts </w:t>
      </w:r>
      <w:r w:rsidR="00332980">
        <w:t xml:space="preserve">of a taxpayer </w:t>
      </w:r>
      <w:r w:rsidR="000635C4">
        <w:t>will be the higher of the consideration received, less any expenses payable in relation to the sale, and the RPM price multiplied by the volume or mass of the assessable gas sold.</w:t>
      </w:r>
    </w:p>
    <w:p w14:paraId="1B90708E" w14:textId="77777777" w:rsidR="00F832B2" w:rsidRPr="00603A56" w:rsidRDefault="00F832B2" w:rsidP="0074777B">
      <w:pPr>
        <w:pStyle w:val="Heading3"/>
        <w:spacing w:before="0" w:after="240"/>
      </w:pPr>
      <w:r w:rsidRPr="00593AF3">
        <w:t xml:space="preserve">Assessable </w:t>
      </w:r>
      <w:r w:rsidR="00BB175C">
        <w:t>r</w:t>
      </w:r>
      <w:r w:rsidRPr="00593AF3">
        <w:t xml:space="preserve">eceipts where </w:t>
      </w:r>
      <w:r w:rsidR="00BB175C">
        <w:t>project</w:t>
      </w:r>
      <w:r w:rsidRPr="00593AF3">
        <w:t xml:space="preserve"> </w:t>
      </w:r>
      <w:r w:rsidR="00BB175C">
        <w:t>natural g</w:t>
      </w:r>
      <w:r w:rsidRPr="00593AF3">
        <w:t xml:space="preserve">as </w:t>
      </w:r>
      <w:r w:rsidR="00BB175C">
        <w:t>i</w:t>
      </w:r>
      <w:r w:rsidRPr="00593AF3">
        <w:t xml:space="preserve">s </w:t>
      </w:r>
      <w:r w:rsidR="00BB175C">
        <w:t>subject to non-arm</w:t>
      </w:r>
      <w:r w:rsidR="00666816">
        <w:t>’</w:t>
      </w:r>
      <w:r w:rsidR="00BB175C">
        <w:t xml:space="preserve">s length sale </w:t>
      </w:r>
      <w:r w:rsidR="00593AF3">
        <w:t xml:space="preserve">prior </w:t>
      </w:r>
      <w:r w:rsidR="00593AF3" w:rsidRPr="00593AF3">
        <w:t>to</w:t>
      </w:r>
      <w:r w:rsidRPr="00593AF3">
        <w:t xml:space="preserve"> becoming </w:t>
      </w:r>
      <w:r w:rsidR="00BB175C">
        <w:t>s</w:t>
      </w:r>
      <w:r w:rsidRPr="00593AF3">
        <w:t xml:space="preserve">ales </w:t>
      </w:r>
      <w:r w:rsidR="00BB175C">
        <w:t>g</w:t>
      </w:r>
      <w:r w:rsidRPr="00593AF3">
        <w:t>as</w:t>
      </w:r>
    </w:p>
    <w:p w14:paraId="1B90708F" w14:textId="77777777" w:rsidR="005B6EA4" w:rsidRDefault="005B6EA4" w:rsidP="0074777B">
      <w:pPr>
        <w:pStyle w:val="EMpara"/>
        <w:spacing w:before="0" w:after="240"/>
      </w:pPr>
      <w:r>
        <w:t xml:space="preserve">The Principal Regulation </w:t>
      </w:r>
      <w:r w:rsidR="00B005A9">
        <w:t xml:space="preserve">was </w:t>
      </w:r>
      <w:r>
        <w:t>developed with traditional offshore integrated LNG operations in mind. Such operations are typically structured around one large natural gas project supplying gas to a liquefaction plant, with the majority of the project natural gas processed to project sales gas which is suitable for liquefaction.</w:t>
      </w:r>
    </w:p>
    <w:p w14:paraId="1B907090" w14:textId="77777777" w:rsidR="005B6EA4" w:rsidRDefault="005B6EA4" w:rsidP="0074777B">
      <w:pPr>
        <w:pStyle w:val="EMpara"/>
        <w:spacing w:before="0" w:after="240"/>
      </w:pPr>
      <w:r>
        <w:t xml:space="preserve">The onshore integrated GTL operations </w:t>
      </w:r>
      <w:r w:rsidR="00960FA6">
        <w:t xml:space="preserve">currently </w:t>
      </w:r>
      <w:r>
        <w:t xml:space="preserve">being developed in Australia differ in a number of respects from this traditional structure. In particular, the gas to be used as liquefaction feedstock for these integrated operations will typically be supplied by a number of coal seam gas (CSG) projects, rather than a large single natural gas project, due to them generally having smaller gas reserves. As a consequence, these integrated operations </w:t>
      </w:r>
      <w:r w:rsidR="00564D9E">
        <w:t>may adopt</w:t>
      </w:r>
      <w:r>
        <w:t xml:space="preserve"> a different structure to the traditional model. </w:t>
      </w:r>
    </w:p>
    <w:p w14:paraId="1B907091" w14:textId="77777777" w:rsidR="005B6EA4" w:rsidRPr="005B6EA4" w:rsidRDefault="005B6EA4" w:rsidP="0074777B">
      <w:pPr>
        <w:pStyle w:val="EMpara"/>
        <w:spacing w:before="0" w:after="240"/>
      </w:pPr>
      <w:r>
        <w:t>This structure involves, in the first instance, a number of petroleum projects selling (potentially at non-arm’s length) natural gas (normally coal seam gas) to a special purpose entity referred to as an ‘aggregator’. The purpose of the aggregator is to s</w:t>
      </w:r>
      <w:r w:rsidRPr="006A2C52">
        <w:t xml:space="preserve">ource and aggregate volumes of CSG from the various coal seam gas projects sufficient to supply the downstream </w:t>
      </w:r>
      <w:r>
        <w:t>liquefaction</w:t>
      </w:r>
      <w:r w:rsidRPr="006A2C52">
        <w:t xml:space="preserve"> facilities</w:t>
      </w:r>
      <w:r>
        <w:t xml:space="preserve">, </w:t>
      </w:r>
      <w:r w:rsidRPr="006A2C52">
        <w:t>a</w:t>
      </w:r>
      <w:r>
        <w:t xml:space="preserve">s well as </w:t>
      </w:r>
      <w:r w:rsidRPr="006A2C52">
        <w:t>streamline gas process</w:t>
      </w:r>
      <w:r>
        <w:t xml:space="preserve">ing services and transportation (see </w:t>
      </w:r>
      <w:r w:rsidRPr="0074777B">
        <w:t>Figure 2</w:t>
      </w:r>
      <w:r>
        <w:t>)</w:t>
      </w:r>
      <w:r w:rsidR="00B005A9">
        <w:t>.</w:t>
      </w:r>
    </w:p>
    <w:p w14:paraId="1B907092" w14:textId="77777777" w:rsidR="00BB5FB3" w:rsidRDefault="00BB5FB3" w:rsidP="0074777B">
      <w:pPr>
        <w:pStyle w:val="Step"/>
        <w:spacing w:before="0" w:after="240"/>
        <w:ind w:left="794"/>
        <w:rPr>
          <w:b/>
        </w:rPr>
      </w:pPr>
    </w:p>
    <w:p w14:paraId="1B907093" w14:textId="77777777" w:rsidR="00BB5FB3" w:rsidRDefault="00BB5FB3" w:rsidP="0074777B">
      <w:pPr>
        <w:pStyle w:val="Step"/>
        <w:spacing w:before="0" w:after="240"/>
        <w:ind w:left="794"/>
        <w:rPr>
          <w:b/>
        </w:rPr>
      </w:pPr>
    </w:p>
    <w:p w14:paraId="1B907094" w14:textId="77777777" w:rsidR="00BB5FB3" w:rsidRDefault="00BB5FB3" w:rsidP="0074777B">
      <w:pPr>
        <w:pStyle w:val="Step"/>
        <w:spacing w:before="0" w:after="240"/>
        <w:ind w:left="794"/>
        <w:rPr>
          <w:b/>
        </w:rPr>
      </w:pPr>
    </w:p>
    <w:p w14:paraId="1B907095" w14:textId="77777777" w:rsidR="00BB5FB3" w:rsidRDefault="00BB5FB3" w:rsidP="0074777B">
      <w:pPr>
        <w:pStyle w:val="Step"/>
        <w:spacing w:before="0" w:after="240"/>
        <w:ind w:left="794"/>
        <w:rPr>
          <w:b/>
        </w:rPr>
      </w:pPr>
    </w:p>
    <w:p w14:paraId="1B907096" w14:textId="77777777" w:rsidR="00BB5FB3" w:rsidRDefault="00BB5FB3" w:rsidP="0074777B">
      <w:pPr>
        <w:pStyle w:val="Step"/>
        <w:spacing w:before="0" w:after="240"/>
        <w:ind w:left="794"/>
        <w:rPr>
          <w:b/>
        </w:rPr>
      </w:pPr>
    </w:p>
    <w:p w14:paraId="1B907097" w14:textId="77777777" w:rsidR="00BB5FB3" w:rsidRDefault="00BB5FB3" w:rsidP="0074777B">
      <w:pPr>
        <w:pStyle w:val="Step"/>
        <w:spacing w:before="0" w:after="240"/>
        <w:ind w:left="794"/>
        <w:rPr>
          <w:b/>
        </w:rPr>
      </w:pPr>
    </w:p>
    <w:p w14:paraId="1B907098" w14:textId="77777777" w:rsidR="005B6EA4" w:rsidRPr="00444969" w:rsidRDefault="00C21DF0" w:rsidP="0074777B">
      <w:pPr>
        <w:pStyle w:val="Step"/>
        <w:spacing w:before="0" w:after="240"/>
        <w:ind w:left="794"/>
        <w:rPr>
          <w:b/>
        </w:rPr>
      </w:pPr>
      <w:r>
        <w:rPr>
          <w:noProof/>
        </w:rPr>
        <w:lastRenderedPageBreak/>
        <mc:AlternateContent>
          <mc:Choice Requires="wps">
            <w:drawing>
              <wp:anchor distT="0" distB="0" distL="114300" distR="114300" simplePos="0" relativeHeight="251659264" behindDoc="0" locked="0" layoutInCell="1" allowOverlap="1" wp14:anchorId="1B907160" wp14:editId="1B907161">
                <wp:simplePos x="0" y="0"/>
                <wp:positionH relativeFrom="column">
                  <wp:posOffset>363855</wp:posOffset>
                </wp:positionH>
                <wp:positionV relativeFrom="paragraph">
                  <wp:posOffset>263525</wp:posOffset>
                </wp:positionV>
                <wp:extent cx="4400550" cy="3543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400550" cy="35433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8.65pt;margin-top:20.75pt;width:346.5pt;height:2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" filled="f" strokecolor="black [3213]" strokeweight="1pt"/>
            </w:pict>
          </mc:Fallback>
        </mc:AlternateContent>
      </w:r>
      <w:r w:rsidR="005B6EA4">
        <w:rPr>
          <w:b/>
        </w:rPr>
        <w:t>Figure 2: Structure of onshore GTL operation</w:t>
      </w:r>
      <w:r>
        <w:rPr>
          <w:b/>
        </w:rPr>
        <w:t xml:space="preserve"> with an aggregator</w:t>
      </w:r>
    </w:p>
    <w:p w14:paraId="1B907099" w14:textId="77777777" w:rsidR="005B6EA4" w:rsidRPr="00BD7917" w:rsidRDefault="00C21DF0" w:rsidP="0074777B">
      <w:pPr>
        <w:pStyle w:val="Step"/>
        <w:spacing w:before="0" w:after="240"/>
      </w:pPr>
      <w:r w:rsidRPr="00C21DF0">
        <w:t xml:space="preserve"> </w:t>
      </w:r>
      <w:r w:rsidRPr="00C21DF0">
        <w:rPr>
          <w:noProof/>
        </w:rPr>
        <w:drawing>
          <wp:inline distT="0" distB="0" distL="0" distR="0" wp14:anchorId="1B907162" wp14:editId="1B907163">
            <wp:extent cx="3629025" cy="3448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9025" cy="3448050"/>
                    </a:xfrm>
                    <a:prstGeom prst="rect">
                      <a:avLst/>
                    </a:prstGeom>
                    <a:noFill/>
                    <a:ln>
                      <a:noFill/>
                    </a:ln>
                  </pic:spPr>
                </pic:pic>
              </a:graphicData>
            </a:graphic>
          </wp:inline>
        </w:drawing>
      </w:r>
    </w:p>
    <w:p w14:paraId="1B90709A" w14:textId="77777777" w:rsidR="001A5E2F" w:rsidRDefault="005B6EA4" w:rsidP="0074777B">
      <w:pPr>
        <w:pStyle w:val="EMpara"/>
        <w:spacing w:before="0" w:after="240"/>
      </w:pPr>
      <w:r>
        <w:t xml:space="preserve">Applying the existing RPM method to an onshore integrated GTL operation with an aggregator structure </w:t>
      </w:r>
      <w:r w:rsidR="00C87E16">
        <w:t xml:space="preserve">where </w:t>
      </w:r>
      <w:r>
        <w:t>non-arm’s length sale</w:t>
      </w:r>
      <w:r w:rsidR="000529BB">
        <w:t>s of project natural gas</w:t>
      </w:r>
      <w:r>
        <w:t xml:space="preserve"> </w:t>
      </w:r>
      <w:r w:rsidR="00C87E16">
        <w:t>occur</w:t>
      </w:r>
      <w:r w:rsidR="00B005A9">
        <w:t xml:space="preserve"> c</w:t>
      </w:r>
      <w:r>
        <w:t>ould result in a misalignment between PRRT assessable receipt</w:t>
      </w:r>
      <w:r w:rsidR="001A5E2F">
        <w:t xml:space="preserve">s and deductible expenditures. </w:t>
      </w:r>
      <w:r>
        <w:t xml:space="preserve">This is because at the point of sale, </w:t>
      </w:r>
      <w:r w:rsidRPr="00241DA4">
        <w:t>the gas has generally not bee</w:t>
      </w:r>
      <w:r>
        <w:t>n processed or refined to the stage of being</w:t>
      </w:r>
      <w:r w:rsidR="00960FA6">
        <w:t xml:space="preserve"> the marketable petroleum commodity</w:t>
      </w:r>
      <w:r>
        <w:t xml:space="preserve"> ‘sal</w:t>
      </w:r>
      <w:r w:rsidR="00960FA6">
        <w:t>es gas’ ready for liquefaction</w:t>
      </w:r>
      <w:r>
        <w:t>.</w:t>
      </w:r>
    </w:p>
    <w:p w14:paraId="1B90709B" w14:textId="77777777" w:rsidR="001A5E2F" w:rsidRDefault="001A5E2F" w:rsidP="0074777B">
      <w:pPr>
        <w:pStyle w:val="EMpara"/>
        <w:spacing w:before="0" w:after="240"/>
      </w:pPr>
      <w:r>
        <w:t xml:space="preserve">Section 24 of the PRRTAA makes clear that, in situations where petroleum is sold prior to a marketable petroleum commodity being produced from it, the point at which assessable petroleum receipts are to be determined (and the point up to which deductible expenditure can be incurred) is at the point of sale. </w:t>
      </w:r>
    </w:p>
    <w:p w14:paraId="1B90709C" w14:textId="77777777" w:rsidR="00C87E16" w:rsidRDefault="00C87E16" w:rsidP="0074777B">
      <w:pPr>
        <w:pStyle w:val="dotpoint"/>
        <w:spacing w:before="0" w:after="240"/>
        <w:rPr>
          <w:sz w:val="24"/>
          <w:szCs w:val="24"/>
        </w:rPr>
      </w:pPr>
      <w:r>
        <w:rPr>
          <w:sz w:val="24"/>
          <w:szCs w:val="24"/>
        </w:rPr>
        <w:t xml:space="preserve">Paragraph 24(1)(f) of the PRRTAA was inserted by </w:t>
      </w:r>
      <w:r>
        <w:rPr>
          <w:i/>
          <w:sz w:val="24"/>
          <w:szCs w:val="24"/>
        </w:rPr>
        <w:t xml:space="preserve">Petroleum Resource Rent Tax Assessment (Amendment) Act </w:t>
      </w:r>
      <w:r w:rsidRPr="009B62B0">
        <w:rPr>
          <w:i/>
          <w:sz w:val="24"/>
          <w:szCs w:val="24"/>
        </w:rPr>
        <w:t>201</w:t>
      </w:r>
      <w:r>
        <w:rPr>
          <w:i/>
          <w:sz w:val="24"/>
          <w:szCs w:val="24"/>
        </w:rPr>
        <w:t>2</w:t>
      </w:r>
      <w:r>
        <w:rPr>
          <w:sz w:val="24"/>
          <w:szCs w:val="24"/>
        </w:rPr>
        <w:t xml:space="preserve">. This paragraph </w:t>
      </w:r>
      <w:r w:rsidRPr="009B62B0">
        <w:rPr>
          <w:sz w:val="24"/>
          <w:szCs w:val="24"/>
        </w:rPr>
        <w:t>allows</w:t>
      </w:r>
      <w:r>
        <w:rPr>
          <w:sz w:val="24"/>
          <w:szCs w:val="24"/>
        </w:rPr>
        <w:t xml:space="preserve"> for the assessable receipts arising from the sale of project natural gas to be determined in accordance with the </w:t>
      </w:r>
      <w:r w:rsidR="00B005A9">
        <w:rPr>
          <w:sz w:val="24"/>
          <w:szCs w:val="24"/>
        </w:rPr>
        <w:t>r</w:t>
      </w:r>
      <w:r>
        <w:rPr>
          <w:sz w:val="24"/>
          <w:szCs w:val="24"/>
        </w:rPr>
        <w:t>egulations.</w:t>
      </w:r>
    </w:p>
    <w:p w14:paraId="1B90709D" w14:textId="77777777" w:rsidR="005B6EA4" w:rsidRDefault="00C87E16" w:rsidP="0074777B">
      <w:pPr>
        <w:pStyle w:val="EMpara"/>
        <w:spacing w:before="0" w:after="240"/>
      </w:pPr>
      <w:r>
        <w:t>However, as the Principal Regulation currently only operate</w:t>
      </w:r>
      <w:r w:rsidR="00B005A9">
        <w:t>s</w:t>
      </w:r>
      <w:r>
        <w:t xml:space="preserve"> to determine an RPM price for project sales gas</w:t>
      </w:r>
      <w:r w:rsidR="005B6EA4">
        <w:t xml:space="preserve">, </w:t>
      </w:r>
      <w:r>
        <w:t xml:space="preserve">applying them to integrated projects where project natural gas is subject to a non-arm’s length sale would result in the assessable receipts for the gas determined by the application of the RPM being too high. </w:t>
      </w:r>
    </w:p>
    <w:p w14:paraId="1B90709E" w14:textId="77777777" w:rsidR="00EB12FB" w:rsidRDefault="00960FA6" w:rsidP="0074777B">
      <w:pPr>
        <w:pStyle w:val="EMpara"/>
        <w:spacing w:before="0" w:after="240"/>
      </w:pPr>
      <w:r>
        <w:t>T</w:t>
      </w:r>
      <w:r w:rsidR="002E1CC7">
        <w:t xml:space="preserve">he </w:t>
      </w:r>
      <w:r w:rsidR="00B005A9">
        <w:t>Regulation amend</w:t>
      </w:r>
      <w:r w:rsidR="002E1CC7">
        <w:t>s</w:t>
      </w:r>
      <w:r w:rsidR="00B005A9">
        <w:t xml:space="preserve"> the Principal Regulation to ensure that it is</w:t>
      </w:r>
      <w:r w:rsidR="00BD57D5">
        <w:t xml:space="preserve"> able to apply, and </w:t>
      </w:r>
      <w:r w:rsidR="00694613">
        <w:t xml:space="preserve">that </w:t>
      </w:r>
      <w:r w:rsidR="00BD57D5">
        <w:t>the RPM will determine an appropriate RPM price</w:t>
      </w:r>
      <w:r>
        <w:t>,</w:t>
      </w:r>
      <w:r w:rsidR="00BD57D5" w:rsidRPr="00BD57D5">
        <w:t xml:space="preserve"> </w:t>
      </w:r>
      <w:r w:rsidR="00BD57D5">
        <w:t>in circumst</w:t>
      </w:r>
      <w:r>
        <w:t>ances where project natural gas,</w:t>
      </w:r>
      <w:r w:rsidR="00BD57D5">
        <w:t xml:space="preserve"> rather than project sales gas,</w:t>
      </w:r>
      <w:r>
        <w:t xml:space="preserve"> </w:t>
      </w:r>
      <w:r w:rsidR="00BD57D5">
        <w:t xml:space="preserve">is subject to a non-arm’s length sale within an integrated operation. </w:t>
      </w:r>
    </w:p>
    <w:p w14:paraId="1B90709F" w14:textId="77777777" w:rsidR="00BD57D5" w:rsidRDefault="00EB12FB" w:rsidP="0074777B">
      <w:pPr>
        <w:pStyle w:val="EMpara"/>
        <w:spacing w:before="0" w:after="240"/>
      </w:pPr>
      <w:r>
        <w:t xml:space="preserve">This </w:t>
      </w:r>
      <w:r w:rsidR="00C87E16">
        <w:t>primarily involve</w:t>
      </w:r>
      <w:r>
        <w:t>s</w:t>
      </w:r>
      <w:r w:rsidR="00C87E16">
        <w:t xml:space="preserve"> adjusting what constitutes the upstream and downstream stages of the integrated GTL operation in such situations for the purposes of applying the RPM</w:t>
      </w:r>
      <w:r w:rsidR="00C03348">
        <w:t xml:space="preserve">, as outlined below. </w:t>
      </w:r>
    </w:p>
    <w:p w14:paraId="1B9070A0" w14:textId="77777777" w:rsidR="00694613" w:rsidRPr="00715A0B" w:rsidRDefault="00694613" w:rsidP="0074777B">
      <w:pPr>
        <w:pStyle w:val="Heading4"/>
        <w:spacing w:after="240"/>
      </w:pPr>
      <w:r w:rsidRPr="0074777B">
        <w:rPr>
          <w:sz w:val="24"/>
        </w:rPr>
        <w:lastRenderedPageBreak/>
        <w:t>Non-arm’s length transactions</w:t>
      </w:r>
    </w:p>
    <w:p w14:paraId="1B9070A1" w14:textId="77777777" w:rsidR="00541980" w:rsidRDefault="002E1CC7" w:rsidP="0074777B">
      <w:pPr>
        <w:pStyle w:val="EMpara"/>
        <w:spacing w:before="0" w:after="240"/>
      </w:pPr>
      <w:r>
        <w:t>The</w:t>
      </w:r>
      <w:r w:rsidR="00EB12FB">
        <w:t xml:space="preserve"> Regulation</w:t>
      </w:r>
      <w:r w:rsidR="00604D15">
        <w:t xml:space="preserve"> </w:t>
      </w:r>
      <w:r w:rsidR="00AD66C5">
        <w:t>insert</w:t>
      </w:r>
      <w:r>
        <w:t>s</w:t>
      </w:r>
      <w:r w:rsidR="00AD66C5">
        <w:t xml:space="preserve"> </w:t>
      </w:r>
      <w:r w:rsidR="00EB12FB">
        <w:t>r</w:t>
      </w:r>
      <w:r w:rsidR="00F86ABA">
        <w:t xml:space="preserve">egulation 8A </w:t>
      </w:r>
      <w:r w:rsidR="00EB12FB">
        <w:t xml:space="preserve">into the Principal Regulation </w:t>
      </w:r>
      <w:r w:rsidR="00960FA6">
        <w:t>which</w:t>
      </w:r>
      <w:r w:rsidR="00AD66C5">
        <w:t xml:space="preserve"> defin</w:t>
      </w:r>
      <w:r w:rsidR="00541980">
        <w:t>e</w:t>
      </w:r>
      <w:r w:rsidR="00960FA6">
        <w:t>s</w:t>
      </w:r>
      <w:r w:rsidR="00541980">
        <w:t xml:space="preserve"> a</w:t>
      </w:r>
      <w:r w:rsidR="00AD66C5">
        <w:t xml:space="preserve"> </w:t>
      </w:r>
      <w:r w:rsidR="00541980" w:rsidRPr="0074777B">
        <w:t>n</w:t>
      </w:r>
      <w:r w:rsidR="00AD66C5" w:rsidRPr="0074777B">
        <w:t>on-arm’s length transaction</w:t>
      </w:r>
      <w:r w:rsidR="00F86ABA" w:rsidRPr="00F86ABA">
        <w:rPr>
          <w:i/>
        </w:rPr>
        <w:t>,</w:t>
      </w:r>
      <w:r w:rsidR="00AD66C5">
        <w:t xml:space="preserve"> </w:t>
      </w:r>
      <w:r w:rsidR="00541980">
        <w:t xml:space="preserve">in order </w:t>
      </w:r>
      <w:r w:rsidR="00AD66C5">
        <w:t xml:space="preserve">to clarify when a transaction is not considered to be at arm’s length </w:t>
      </w:r>
      <w:r w:rsidR="00604D15">
        <w:t xml:space="preserve">for the purposes of </w:t>
      </w:r>
      <w:r w:rsidR="00AD66C5">
        <w:t>determining assessable petroleum receipts</w:t>
      </w:r>
      <w:r w:rsidR="00F86ABA" w:rsidRPr="00611CB0">
        <w:rPr>
          <w:rStyle w:val="Referencingstyle"/>
        </w:rPr>
        <w:t>.</w:t>
      </w:r>
    </w:p>
    <w:p w14:paraId="1B9070A2" w14:textId="77777777" w:rsidR="00F86ABA" w:rsidRDefault="00F86ABA" w:rsidP="0074777B">
      <w:pPr>
        <w:pStyle w:val="EMpara"/>
        <w:spacing w:before="0" w:after="240"/>
      </w:pPr>
      <w:r>
        <w:t xml:space="preserve">A non-arm’s length transaction is defined as </w:t>
      </w:r>
      <w:r w:rsidR="00541980">
        <w:t xml:space="preserve">being </w:t>
      </w:r>
      <w:r>
        <w:t xml:space="preserve">one </w:t>
      </w:r>
      <w:r w:rsidR="00541980">
        <w:t>where the Commissioner, having regard to any connection between the parties to the transaction and any other relevant circumstances, is satisfied the parties are not dealing with each other at arm’s length</w:t>
      </w:r>
      <w:r>
        <w:t xml:space="preserve">; which mirrors section 57 of the PRRTAA. </w:t>
      </w:r>
    </w:p>
    <w:p w14:paraId="1B9070A3" w14:textId="77777777" w:rsidR="006C40BE" w:rsidRDefault="006C40BE" w:rsidP="00D617CA">
      <w:pPr>
        <w:pStyle w:val="EMpara"/>
        <w:spacing w:after="240"/>
      </w:pPr>
      <w:r w:rsidRPr="00960FA6">
        <w:t>In</w:t>
      </w:r>
      <w:r w:rsidR="00960FA6">
        <w:t xml:space="preserve"> this context</w:t>
      </w:r>
      <w:r w:rsidRPr="00960FA6">
        <w:t xml:space="preserve">, </w:t>
      </w:r>
      <w:r w:rsidR="00960FA6">
        <w:t xml:space="preserve">a </w:t>
      </w:r>
      <w:r w:rsidR="00D617CA" w:rsidRPr="00960FA6">
        <w:t xml:space="preserve">non-arm's length </w:t>
      </w:r>
      <w:r w:rsidR="00960FA6">
        <w:t>transaction</w:t>
      </w:r>
      <w:r w:rsidR="00D617CA" w:rsidRPr="00960FA6">
        <w:t xml:space="preserve"> </w:t>
      </w:r>
      <w:r w:rsidR="00960FA6">
        <w:t>normally</w:t>
      </w:r>
      <w:r w:rsidR="00D617CA" w:rsidRPr="00960FA6">
        <w:t xml:space="preserve"> involve</w:t>
      </w:r>
      <w:r w:rsidR="00960FA6">
        <w:t>s</w:t>
      </w:r>
      <w:r w:rsidR="00D617CA" w:rsidRPr="00960FA6">
        <w:t xml:space="preserve"> a special price being negotiated because of a relationship between the parties involved</w:t>
      </w:r>
      <w:r w:rsidRPr="00960FA6">
        <w:t>,</w:t>
      </w:r>
      <w:r w:rsidR="00D617CA" w:rsidRPr="00960FA6">
        <w:t xml:space="preserve"> which is</w:t>
      </w:r>
      <w:r w:rsidR="00750882">
        <w:t xml:space="preserve"> inconsistent with </w:t>
      </w:r>
      <w:r w:rsidR="00D617CA" w:rsidRPr="00960FA6">
        <w:t>that which could be reasonably expected had the parties been dealing with each other at arm’s length.</w:t>
      </w:r>
      <w:r w:rsidRPr="00960FA6">
        <w:t xml:space="preserve"> </w:t>
      </w:r>
      <w:r w:rsidR="00750882">
        <w:t>Whether parties are considered to be dealing with each other at arm’s length will depend on the facts and circumstances of the arrangements entered into</w:t>
      </w:r>
      <w:r w:rsidR="0044731F">
        <w:t xml:space="preserve">. The mere fact that parties to an agreement are associated or related will not necessarily </w:t>
      </w:r>
      <w:r w:rsidR="00D730B4">
        <w:t xml:space="preserve">be determinative in concluding that they are not dealing </w:t>
      </w:r>
      <w:r w:rsidR="001F1204">
        <w:t>at</w:t>
      </w:r>
      <w:r w:rsidR="00D730B4">
        <w:t xml:space="preserve"> arm’s length with each other. </w:t>
      </w:r>
      <w:r>
        <w:t xml:space="preserve"> </w:t>
      </w:r>
    </w:p>
    <w:p w14:paraId="1B9070A4" w14:textId="77777777" w:rsidR="00AD66C5" w:rsidRDefault="00694613" w:rsidP="0074777B">
      <w:pPr>
        <w:pStyle w:val="EMpara"/>
        <w:spacing w:before="0" w:after="240"/>
        <w:rPr>
          <w:b/>
          <w:i/>
          <w:sz w:val="18"/>
          <w:szCs w:val="18"/>
        </w:rPr>
      </w:pPr>
      <w:r>
        <w:t xml:space="preserve">The </w:t>
      </w:r>
      <w:r w:rsidR="00EE64CF">
        <w:t xml:space="preserve">decision of the Commissioner </w:t>
      </w:r>
      <w:r w:rsidR="00EB12FB">
        <w:t xml:space="preserve">that a transaction is a non-arm’s length transaction </w:t>
      </w:r>
      <w:r w:rsidR="00EE64CF">
        <w:t>is</w:t>
      </w:r>
      <w:r w:rsidR="00A97C10">
        <w:t xml:space="preserve"> </w:t>
      </w:r>
      <w:r>
        <w:t>reviewable</w:t>
      </w:r>
      <w:r w:rsidR="00A97C10">
        <w:t xml:space="preserve"> </w:t>
      </w:r>
      <w:r w:rsidR="00EE64CF">
        <w:t xml:space="preserve">under Part IVC of the </w:t>
      </w:r>
      <w:r w:rsidR="00EE64CF">
        <w:rPr>
          <w:i/>
        </w:rPr>
        <w:t xml:space="preserve">Tax Administration Act </w:t>
      </w:r>
      <w:r w:rsidR="00EE64CF" w:rsidRPr="00EE64CF">
        <w:t>1953</w:t>
      </w:r>
      <w:r w:rsidR="00EE64CF">
        <w:t xml:space="preserve">, as set out in </w:t>
      </w:r>
      <w:r w:rsidR="00EB12FB">
        <w:t>r</w:t>
      </w:r>
      <w:r w:rsidR="00EE64CF">
        <w:t>egulation 41</w:t>
      </w:r>
      <w:r w:rsidR="00EB12FB">
        <w:t xml:space="preserve"> of the Principal Regulation</w:t>
      </w:r>
      <w:r w:rsidR="00EE64CF">
        <w:t xml:space="preserve">. </w:t>
      </w:r>
      <w:r w:rsidR="00FA1301">
        <w:t>The Regulation make</w:t>
      </w:r>
      <w:r w:rsidR="001F1204">
        <w:t>s</w:t>
      </w:r>
      <w:r w:rsidR="00FA1301">
        <w:t xml:space="preserve"> a</w:t>
      </w:r>
      <w:r w:rsidR="0049778C">
        <w:t xml:space="preserve"> minor corresponding amendment to </w:t>
      </w:r>
      <w:r w:rsidR="00FA1301">
        <w:t>r</w:t>
      </w:r>
      <w:r w:rsidR="00EE64CF">
        <w:t xml:space="preserve">egulation 41 to </w:t>
      </w:r>
      <w:r w:rsidR="009C33F1">
        <w:t xml:space="preserve">correctly reference </w:t>
      </w:r>
      <w:r w:rsidR="00FA1301">
        <w:t>r</w:t>
      </w:r>
      <w:r>
        <w:t>egulation 8A</w:t>
      </w:r>
      <w:r w:rsidR="00A97C10">
        <w:t xml:space="preserve"> in this regard</w:t>
      </w:r>
      <w:r>
        <w:t>.</w:t>
      </w:r>
      <w:r w:rsidR="0049778C">
        <w:t xml:space="preserve"> </w:t>
      </w:r>
    </w:p>
    <w:p w14:paraId="1B9070A5" w14:textId="77777777" w:rsidR="00666816" w:rsidRPr="001C4C98" w:rsidRDefault="00A97C10" w:rsidP="0074777B">
      <w:pPr>
        <w:pStyle w:val="Heading3"/>
        <w:spacing w:before="0" w:after="240"/>
      </w:pPr>
      <w:r>
        <w:t>Determining a</w:t>
      </w:r>
      <w:r w:rsidR="00666816" w:rsidRPr="001C4C98">
        <w:t xml:space="preserve">ssessable petroleum receipts – </w:t>
      </w:r>
      <w:r w:rsidR="00C03348">
        <w:t xml:space="preserve">project </w:t>
      </w:r>
      <w:r w:rsidR="00666816" w:rsidRPr="001C4C98">
        <w:t>natural gas of onshore integrated operation with non-arm’s length sale</w:t>
      </w:r>
    </w:p>
    <w:p w14:paraId="1B9070A6" w14:textId="77777777" w:rsidR="00666816" w:rsidRPr="00636053" w:rsidRDefault="002E1CC7" w:rsidP="0074777B">
      <w:pPr>
        <w:pStyle w:val="EMpara"/>
        <w:spacing w:before="0" w:after="240"/>
        <w:rPr>
          <w:b/>
          <w:i/>
          <w:sz w:val="18"/>
          <w:szCs w:val="18"/>
        </w:rPr>
      </w:pPr>
      <w:r>
        <w:t xml:space="preserve">The </w:t>
      </w:r>
      <w:r w:rsidR="00FA1301">
        <w:t xml:space="preserve">Regulation </w:t>
      </w:r>
      <w:r w:rsidR="002B17E1">
        <w:t>substitutes a new</w:t>
      </w:r>
      <w:r w:rsidR="00A97C10">
        <w:t xml:space="preserve"> </w:t>
      </w:r>
      <w:r w:rsidR="00FA1301">
        <w:t>r</w:t>
      </w:r>
      <w:r w:rsidR="00A97C10">
        <w:t xml:space="preserve">egulation </w:t>
      </w:r>
      <w:r w:rsidR="00666816" w:rsidRPr="001C4C98">
        <w:t xml:space="preserve">16 </w:t>
      </w:r>
      <w:r w:rsidR="002B17E1">
        <w:t>into</w:t>
      </w:r>
      <w:r w:rsidR="00FA1301">
        <w:t xml:space="preserve"> the Principal Regulation </w:t>
      </w:r>
      <w:r w:rsidR="00A97C10">
        <w:t xml:space="preserve">which </w:t>
      </w:r>
      <w:r w:rsidR="00666816" w:rsidRPr="001C4C98">
        <w:t>provide</w:t>
      </w:r>
      <w:r w:rsidR="00A97C10">
        <w:t>s</w:t>
      </w:r>
      <w:r w:rsidR="00666816" w:rsidRPr="001C4C98">
        <w:t xml:space="preserve"> the hierarchy of methods for calculating assessable petroleum receipts</w:t>
      </w:r>
      <w:r w:rsidR="00A97C10">
        <w:t xml:space="preserve"> in cases wh</w:t>
      </w:r>
      <w:r w:rsidR="00666816" w:rsidRPr="001C4C98">
        <w:t xml:space="preserve">ere project natural gas produced </w:t>
      </w:r>
      <w:r w:rsidR="00666816">
        <w:t xml:space="preserve">from petroleum recovered from an onshore petroleum project </w:t>
      </w:r>
      <w:r w:rsidR="00666816" w:rsidRPr="001C4C98">
        <w:t>is sold via a non-arm’s length transaction</w:t>
      </w:r>
      <w:r w:rsidR="00666816" w:rsidRPr="001C4C98" w:rsidDel="0085120F">
        <w:t xml:space="preserve"> </w:t>
      </w:r>
      <w:r w:rsidR="00666816" w:rsidRPr="001C4C98">
        <w:t>for the purposes paragraph 24(1)(f) of the PRRTAA</w:t>
      </w:r>
      <w:r w:rsidR="00666816">
        <w:t>.</w:t>
      </w:r>
    </w:p>
    <w:p w14:paraId="1B9070A7" w14:textId="77777777" w:rsidR="00FA1301" w:rsidRDefault="00D47167" w:rsidP="0074777B">
      <w:pPr>
        <w:pStyle w:val="EMpara"/>
        <w:spacing w:before="0" w:after="240"/>
      </w:pPr>
      <w:r>
        <w:t>The hierarchy that</w:t>
      </w:r>
      <w:r w:rsidR="00666816">
        <w:t xml:space="preserve"> </w:t>
      </w:r>
      <w:r w:rsidR="00666816" w:rsidRPr="001C4C98">
        <w:t>appl</w:t>
      </w:r>
      <w:r>
        <w:t>ies</w:t>
      </w:r>
      <w:r w:rsidR="00666816">
        <w:t xml:space="preserve"> is</w:t>
      </w:r>
      <w:r w:rsidR="00666816" w:rsidRPr="001C4C98">
        <w:t xml:space="preserve"> the same as that which applies in in relation to project sales gas, </w:t>
      </w:r>
      <w:r w:rsidR="00666816">
        <w:t xml:space="preserve">unless </w:t>
      </w:r>
      <w:r w:rsidR="00666816" w:rsidRPr="001C4C98">
        <w:t>the participant</w:t>
      </w:r>
      <w:r w:rsidR="00666816">
        <w:t>s</w:t>
      </w:r>
      <w:r w:rsidR="00666816" w:rsidRPr="001C4C98">
        <w:t xml:space="preserve"> in the onshore integrated operation have made an election to use the RPM under </w:t>
      </w:r>
      <w:r w:rsidR="00FA1301">
        <w:t>r</w:t>
      </w:r>
      <w:r w:rsidR="00666816" w:rsidRPr="001C4C98">
        <w:t>egulation 42</w:t>
      </w:r>
      <w:r w:rsidR="00750882">
        <w:t>.</w:t>
      </w:r>
      <w:r w:rsidR="00666816" w:rsidRPr="001C4C98">
        <w:t xml:space="preserve"> </w:t>
      </w:r>
    </w:p>
    <w:p w14:paraId="1B9070A8" w14:textId="77777777" w:rsidR="00666816" w:rsidRPr="001C4C98" w:rsidRDefault="00FA1301" w:rsidP="0074777B">
      <w:pPr>
        <w:pStyle w:val="EMpara"/>
        <w:spacing w:before="0" w:after="240"/>
      </w:pPr>
      <w:r>
        <w:t>The hierarchy is</w:t>
      </w:r>
      <w:r w:rsidR="00666816">
        <w:t>:</w:t>
      </w:r>
    </w:p>
    <w:p w14:paraId="1B9070A9" w14:textId="77777777" w:rsidR="00666816" w:rsidRPr="00A97C10" w:rsidRDefault="00666816" w:rsidP="0074777B">
      <w:pPr>
        <w:pStyle w:val="OutlineNumbered1"/>
        <w:numPr>
          <w:ilvl w:val="0"/>
          <w:numId w:val="23"/>
        </w:numPr>
        <w:spacing w:after="240" w:line="240" w:lineRule="auto"/>
      </w:pPr>
      <w:r w:rsidRPr="00A97C10">
        <w:t>If an APA applies, the amount calculated in accordance with the arrangement;</w:t>
      </w:r>
    </w:p>
    <w:p w14:paraId="1B9070AA" w14:textId="77777777" w:rsidR="00666816" w:rsidRPr="00A97C10" w:rsidRDefault="00666816" w:rsidP="0074777B">
      <w:pPr>
        <w:pStyle w:val="OutlineNumbered1"/>
        <w:numPr>
          <w:ilvl w:val="0"/>
          <w:numId w:val="23"/>
        </w:numPr>
        <w:spacing w:after="240" w:line="240" w:lineRule="auto"/>
      </w:pPr>
      <w:r w:rsidRPr="00A97C10">
        <w:t xml:space="preserve">If no </w:t>
      </w:r>
      <w:r w:rsidR="00FA1301">
        <w:t>APA</w:t>
      </w:r>
      <w:r w:rsidRPr="00A97C10">
        <w:t xml:space="preserve"> applies to the sale, and no election to use the RPM or modified RPM has been made (under </w:t>
      </w:r>
      <w:r w:rsidR="00FA1301">
        <w:t>r</w:t>
      </w:r>
      <w:r w:rsidRPr="00A97C10">
        <w:t>egulation</w:t>
      </w:r>
      <w:r w:rsidR="00FA1301">
        <w:t>s</w:t>
      </w:r>
      <w:r w:rsidRPr="00A97C10">
        <w:t xml:space="preserve"> 42 or 43), but a CUP exists for the sale – the CUP amount for the sale;</w:t>
      </w:r>
      <w:r w:rsidR="00FA1301">
        <w:t xml:space="preserve"> and</w:t>
      </w:r>
    </w:p>
    <w:p w14:paraId="1B9070AB" w14:textId="77777777" w:rsidR="00666816" w:rsidRPr="00A97C10" w:rsidRDefault="00666816" w:rsidP="0074777B">
      <w:pPr>
        <w:pStyle w:val="OutlineNumbered1"/>
        <w:numPr>
          <w:ilvl w:val="0"/>
          <w:numId w:val="23"/>
        </w:numPr>
        <w:spacing w:after="240" w:line="240" w:lineRule="auto"/>
      </w:pPr>
      <w:r w:rsidRPr="00A97C10">
        <w:t xml:space="preserve">If no </w:t>
      </w:r>
      <w:r w:rsidR="00FA1301">
        <w:t>APA</w:t>
      </w:r>
      <w:r w:rsidRPr="00A97C10">
        <w:t xml:space="preserve"> applies to the sale, and </w:t>
      </w:r>
      <w:r w:rsidR="00092F1B">
        <w:t xml:space="preserve">either </w:t>
      </w:r>
      <w:r w:rsidRPr="00A97C10">
        <w:t xml:space="preserve">no </w:t>
      </w:r>
      <w:r w:rsidR="00FA1301">
        <w:t>CUP</w:t>
      </w:r>
      <w:r w:rsidRPr="00A97C10">
        <w:t xml:space="preserve"> exists for the sale</w:t>
      </w:r>
      <w:r w:rsidR="00092F1B">
        <w:t xml:space="preserve"> or</w:t>
      </w:r>
      <w:r w:rsidRPr="00A97C10">
        <w:t xml:space="preserve"> an election to use the RPM or modified RPM has been made (under </w:t>
      </w:r>
      <w:r w:rsidR="00FA1301">
        <w:t>r</w:t>
      </w:r>
      <w:r w:rsidRPr="00A97C10">
        <w:t>egulation</w:t>
      </w:r>
      <w:r w:rsidR="00FA1301">
        <w:t>s</w:t>
      </w:r>
      <w:r w:rsidRPr="00A97C10">
        <w:t xml:space="preserve"> 42 or 43) – the RPM amount for the sale.</w:t>
      </w:r>
    </w:p>
    <w:p w14:paraId="1B9070AC" w14:textId="77777777" w:rsidR="00DA5AA3" w:rsidRPr="001C4C98" w:rsidRDefault="00DA5AA3" w:rsidP="00445A8C">
      <w:pPr>
        <w:spacing w:after="240"/>
        <w:ind w:right="-51"/>
        <w:rPr>
          <w:szCs w:val="24"/>
        </w:rPr>
      </w:pPr>
      <w:r>
        <w:rPr>
          <w:szCs w:val="24"/>
        </w:rPr>
        <w:lastRenderedPageBreak/>
        <w:t>Consistent with this, t</w:t>
      </w:r>
      <w:r w:rsidR="009C1EDC">
        <w:rPr>
          <w:szCs w:val="24"/>
        </w:rPr>
        <w:t>he</w:t>
      </w:r>
      <w:r w:rsidRPr="001C4C98">
        <w:rPr>
          <w:szCs w:val="24"/>
        </w:rPr>
        <w:t xml:space="preserve"> </w:t>
      </w:r>
      <w:r>
        <w:rPr>
          <w:szCs w:val="24"/>
        </w:rPr>
        <w:t>Regulation</w:t>
      </w:r>
      <w:r w:rsidRPr="001C4C98">
        <w:rPr>
          <w:szCs w:val="24"/>
        </w:rPr>
        <w:t xml:space="preserve"> also make</w:t>
      </w:r>
      <w:r w:rsidR="009C1EDC">
        <w:rPr>
          <w:szCs w:val="24"/>
        </w:rPr>
        <w:t>s</w:t>
      </w:r>
      <w:r w:rsidRPr="001C4C98">
        <w:rPr>
          <w:szCs w:val="24"/>
        </w:rPr>
        <w:t xml:space="preserve"> additional minor amendments to </w:t>
      </w:r>
      <w:r w:rsidR="00FA1301">
        <w:rPr>
          <w:szCs w:val="24"/>
        </w:rPr>
        <w:t xml:space="preserve">regulations 18 and 19 of the </w:t>
      </w:r>
      <w:r w:rsidRPr="001C4C98">
        <w:rPr>
          <w:szCs w:val="24"/>
        </w:rPr>
        <w:t xml:space="preserve">Principal Regulations </w:t>
      </w:r>
      <w:r>
        <w:rPr>
          <w:szCs w:val="24"/>
        </w:rPr>
        <w:t>to:</w:t>
      </w:r>
    </w:p>
    <w:p w14:paraId="1B9070AD" w14:textId="77777777" w:rsidR="00DA5AA3" w:rsidRPr="00A97C10" w:rsidRDefault="00DA5AA3" w:rsidP="0074777B">
      <w:pPr>
        <w:pStyle w:val="Bullet"/>
        <w:tabs>
          <w:tab w:val="clear" w:pos="567"/>
          <w:tab w:val="num" w:pos="1134"/>
        </w:tabs>
        <w:spacing w:after="240"/>
        <w:ind w:left="1134"/>
      </w:pPr>
      <w:r w:rsidRPr="00A97C10">
        <w:t>allow the Commissioner to enter into an advance pricing arrangement at the request of a participant in relation to project natural gas as well as project sales ga</w:t>
      </w:r>
      <w:r w:rsidR="00C96830">
        <w:t xml:space="preserve">s; </w:t>
      </w:r>
      <w:r w:rsidRPr="00A97C10">
        <w:t>and</w:t>
      </w:r>
    </w:p>
    <w:p w14:paraId="1B9070AE" w14:textId="77777777" w:rsidR="00DA5AA3" w:rsidRPr="00A97C10" w:rsidRDefault="00DA5AA3" w:rsidP="0074777B">
      <w:pPr>
        <w:pStyle w:val="Bullet"/>
        <w:tabs>
          <w:tab w:val="clear" w:pos="567"/>
          <w:tab w:val="num" w:pos="1134"/>
        </w:tabs>
        <w:spacing w:after="240"/>
        <w:ind w:left="1134"/>
      </w:pPr>
      <w:r w:rsidRPr="00A97C10">
        <w:t>ensure that a CUP can be applied, where relevant, in r</w:t>
      </w:r>
      <w:r w:rsidR="00A97C10" w:rsidRPr="00A97C10">
        <w:t>elation to project natural gas.</w:t>
      </w:r>
      <w:r w:rsidRPr="00A97C10">
        <w:t xml:space="preserve"> </w:t>
      </w:r>
    </w:p>
    <w:p w14:paraId="1B9070AF" w14:textId="77777777" w:rsidR="00666816" w:rsidRDefault="00A97C10" w:rsidP="0074777B">
      <w:pPr>
        <w:pStyle w:val="Heading3"/>
        <w:spacing w:before="0" w:after="240"/>
      </w:pPr>
      <w:r>
        <w:t>U</w:t>
      </w:r>
      <w:r w:rsidR="00666816" w:rsidRPr="001C4C98">
        <w:t>pstream and downstream stages of an integrated operation</w:t>
      </w:r>
      <w:r>
        <w:t xml:space="preserve"> where project natural gas is subject to non-arm’s length sale</w:t>
      </w:r>
    </w:p>
    <w:p w14:paraId="1B9070B0" w14:textId="77777777" w:rsidR="00666816" w:rsidRPr="001C4C98" w:rsidRDefault="00C96830" w:rsidP="0074777B">
      <w:pPr>
        <w:pStyle w:val="EMpara"/>
        <w:spacing w:before="0" w:after="240"/>
      </w:pPr>
      <w:r>
        <w:t xml:space="preserve">Regulation 5 of the </w:t>
      </w:r>
      <w:r w:rsidR="00666816" w:rsidRPr="001C4C98">
        <w:t xml:space="preserve">Principal </w:t>
      </w:r>
      <w:r w:rsidR="00666816">
        <w:t>R</w:t>
      </w:r>
      <w:r w:rsidR="00666816" w:rsidRPr="001C4C98">
        <w:t xml:space="preserve">egulation defines the elements </w:t>
      </w:r>
      <w:r w:rsidR="00A97C10">
        <w:t>comprising</w:t>
      </w:r>
      <w:r w:rsidR="00666816">
        <w:t xml:space="preserve"> </w:t>
      </w:r>
      <w:r w:rsidR="00666816" w:rsidRPr="001C4C98">
        <w:t xml:space="preserve">both the upstream and downstream stages of an integrated GTL </w:t>
      </w:r>
      <w:r w:rsidR="00666816">
        <w:t xml:space="preserve">operation for the purposes of determining assessable petroleum receipts relating to project sales gas using the RPM. </w:t>
      </w:r>
    </w:p>
    <w:p w14:paraId="1B9070B1" w14:textId="77777777" w:rsidR="0094024C" w:rsidRDefault="0094024C" w:rsidP="0074777B">
      <w:pPr>
        <w:pStyle w:val="EMpara"/>
        <w:spacing w:before="0" w:after="240"/>
      </w:pPr>
      <w:r w:rsidRPr="001C4C98">
        <w:t>What constitutes the upstream and downstream stages o</w:t>
      </w:r>
      <w:r>
        <w:t>f an integrated operation determines</w:t>
      </w:r>
      <w:r w:rsidR="00750882">
        <w:t xml:space="preserve"> what costs are</w:t>
      </w:r>
      <w:r w:rsidRPr="001C4C98">
        <w:t xml:space="preserve"> taken into account in determining the cost-plus price (under </w:t>
      </w:r>
      <w:r w:rsidR="00C96830">
        <w:t>r</w:t>
      </w:r>
      <w:r w:rsidRPr="001C4C98">
        <w:t xml:space="preserve">egulation 22) and netback price (under </w:t>
      </w:r>
      <w:r w:rsidR="00C96830">
        <w:t>r</w:t>
      </w:r>
      <w:r w:rsidRPr="001C4C98">
        <w:t xml:space="preserve">egulation 23) of an integrated operation as part of the RPM calculation. </w:t>
      </w:r>
    </w:p>
    <w:p w14:paraId="1B9070B2" w14:textId="77777777" w:rsidR="00666816" w:rsidRDefault="009C1EDC" w:rsidP="0094024C">
      <w:pPr>
        <w:pStyle w:val="EMpara"/>
      </w:pPr>
      <w:r>
        <w:t xml:space="preserve">The </w:t>
      </w:r>
      <w:r w:rsidR="00C96830">
        <w:t>Regulation amend</w:t>
      </w:r>
      <w:r>
        <w:t>s</w:t>
      </w:r>
      <w:r w:rsidR="00C96830">
        <w:t xml:space="preserve"> r</w:t>
      </w:r>
      <w:r w:rsidR="00666816" w:rsidRPr="001C4C98">
        <w:t xml:space="preserve">egulation 5 </w:t>
      </w:r>
      <w:r w:rsidR="00C96830">
        <w:t>of the Principal Regulation in order to r</w:t>
      </w:r>
      <w:r w:rsidR="00666816" w:rsidRPr="001C4C98">
        <w:t>edefine</w:t>
      </w:r>
      <w:r w:rsidR="00A97C10">
        <w:t xml:space="preserve"> the</w:t>
      </w:r>
      <w:r w:rsidR="00666816" w:rsidRPr="001C4C98">
        <w:t xml:space="preserve"> scope of the up</w:t>
      </w:r>
      <w:r w:rsidR="0094024C">
        <w:t>stream and downstream stages of an</w:t>
      </w:r>
      <w:r w:rsidR="00666816" w:rsidRPr="001C4C98">
        <w:t xml:space="preserve"> </w:t>
      </w:r>
      <w:r w:rsidR="00666816">
        <w:t>integrated operation</w:t>
      </w:r>
      <w:r w:rsidR="00666816" w:rsidRPr="001C4C98">
        <w:t xml:space="preserve"> where the project natural gas is subject to </w:t>
      </w:r>
      <w:r w:rsidR="00666816">
        <w:t xml:space="preserve">a non-arm’s length </w:t>
      </w:r>
      <w:r w:rsidR="00666816" w:rsidRPr="001C4C98">
        <w:t xml:space="preserve">sale prior to project sales gas being produced. </w:t>
      </w:r>
    </w:p>
    <w:p w14:paraId="1B9070B3" w14:textId="77777777" w:rsidR="00666816" w:rsidRDefault="009C1EDC" w:rsidP="0094024C">
      <w:pPr>
        <w:pStyle w:val="EMpara"/>
        <w:rPr>
          <w:b/>
          <w:i/>
          <w:sz w:val="18"/>
          <w:szCs w:val="18"/>
        </w:rPr>
      </w:pPr>
      <w:r>
        <w:t xml:space="preserve">The </w:t>
      </w:r>
      <w:r w:rsidR="00C96830">
        <w:t>Regulation</w:t>
      </w:r>
      <w:r w:rsidR="00666816" w:rsidRPr="001C4C98">
        <w:t xml:space="preserve"> define</w:t>
      </w:r>
      <w:r>
        <w:t>s</w:t>
      </w:r>
      <w:r w:rsidR="00666816" w:rsidRPr="001C4C98">
        <w:t xml:space="preserve"> the</w:t>
      </w:r>
      <w:r w:rsidR="00666816" w:rsidRPr="001C4C98">
        <w:rPr>
          <w:b/>
        </w:rPr>
        <w:t xml:space="preserve"> </w:t>
      </w:r>
      <w:r w:rsidR="00666816" w:rsidRPr="0074777B">
        <w:t>upstream stage</w:t>
      </w:r>
      <w:r w:rsidR="00666816" w:rsidRPr="001C4C98">
        <w:t xml:space="preserve"> of an integrated operation </w:t>
      </w:r>
      <w:r w:rsidR="00666816">
        <w:t xml:space="preserve">involving the non-arm’s </w:t>
      </w:r>
      <w:r w:rsidR="00593AF3">
        <w:t>length sale</w:t>
      </w:r>
      <w:r w:rsidR="00666816">
        <w:t xml:space="preserve"> of project natural gas </w:t>
      </w:r>
      <w:r w:rsidR="00666816" w:rsidRPr="001C4C98">
        <w:t>as being comprised of those processes necessary to the production of project natural gas up to the point of sale.  These processes include the recovery of project natural gas from the reservoir</w:t>
      </w:r>
      <w:r w:rsidR="006458F0">
        <w:t>, and may, depending on the point at which it is sold, include the</w:t>
      </w:r>
      <w:r w:rsidR="00666816" w:rsidRPr="001C4C98">
        <w:t xml:space="preserve"> storage of project natural gas prior to use in the production of sales gas.</w:t>
      </w:r>
      <w:r w:rsidR="00666816" w:rsidRPr="00FF4E3D">
        <w:t xml:space="preserve"> </w:t>
      </w:r>
    </w:p>
    <w:p w14:paraId="1B9070B4" w14:textId="77777777" w:rsidR="00666816" w:rsidRPr="000E6D52" w:rsidRDefault="00666816" w:rsidP="0094024C">
      <w:pPr>
        <w:pStyle w:val="EMpara"/>
      </w:pPr>
      <w:r>
        <w:t>Similarly, t</w:t>
      </w:r>
      <w:r w:rsidRPr="001C4C98">
        <w:t xml:space="preserve">he processes comprising the </w:t>
      </w:r>
      <w:r w:rsidRPr="0074777B">
        <w:t>downstream stage</w:t>
      </w:r>
      <w:r w:rsidR="0094024C">
        <w:t xml:space="preserve"> of both</w:t>
      </w:r>
      <w:r w:rsidRPr="001C4C98">
        <w:t xml:space="preserve"> integrated GTL</w:t>
      </w:r>
      <w:r w:rsidR="0094024C">
        <w:t xml:space="preserve"> and GTE</w:t>
      </w:r>
      <w:r w:rsidRPr="001C4C98">
        <w:t xml:space="preserve"> operation</w:t>
      </w:r>
      <w:r w:rsidR="0094024C">
        <w:t>s</w:t>
      </w:r>
      <w:r w:rsidRPr="001C4C98">
        <w:t xml:space="preserve"> where the project natural gas is sold prior to project sales gas </w:t>
      </w:r>
      <w:r w:rsidR="00376D58">
        <w:t xml:space="preserve">being produced </w:t>
      </w:r>
      <w:r w:rsidR="00745025">
        <w:t>are</w:t>
      </w:r>
      <w:r w:rsidRPr="001C4C98">
        <w:t xml:space="preserve"> expanded to recognise that the production of sales gas and related transportation and storage of sales gas will form part of the downstream stage for the purposes of de</w:t>
      </w:r>
      <w:r w:rsidR="0094024C">
        <w:t>termining the RPM price in such</w:t>
      </w:r>
      <w:r w:rsidRPr="001C4C98">
        <w:t xml:space="preserve"> circumstances.</w:t>
      </w:r>
    </w:p>
    <w:p w14:paraId="1B9070B5" w14:textId="77777777" w:rsidR="00666816" w:rsidRDefault="0094024C" w:rsidP="000E6D52">
      <w:pPr>
        <w:pStyle w:val="EMpara"/>
      </w:pPr>
      <w:r w:rsidRPr="001C4C98">
        <w:t>Defining what constitutes the upstrea</w:t>
      </w:r>
      <w:r>
        <w:t xml:space="preserve">m and downstream stages of </w:t>
      </w:r>
      <w:r w:rsidRPr="001C4C98">
        <w:t xml:space="preserve">onshore integrated operations involving a non-arm’s length sale of project </w:t>
      </w:r>
      <w:r>
        <w:t>natural</w:t>
      </w:r>
      <w:r w:rsidRPr="001C4C98">
        <w:t xml:space="preserve"> gas </w:t>
      </w:r>
      <w:r w:rsidR="00745025">
        <w:t>as described</w:t>
      </w:r>
      <w:r w:rsidR="00022804">
        <w:t xml:space="preserve"> ensure</w:t>
      </w:r>
      <w:r w:rsidR="00745025">
        <w:t>s</w:t>
      </w:r>
      <w:r w:rsidRPr="001C4C98">
        <w:t xml:space="preserve"> that the</w:t>
      </w:r>
      <w:r>
        <w:t xml:space="preserve"> appropriate cost-plus and netback</w:t>
      </w:r>
      <w:r w:rsidRPr="001C4C98">
        <w:t xml:space="preserve"> prices, and consequently the RPM, can be determined for such operations. </w:t>
      </w:r>
      <w:r>
        <w:t>In effect, this tre</w:t>
      </w:r>
      <w:r w:rsidR="00666816">
        <w:t xml:space="preserve">atment </w:t>
      </w:r>
      <w:r w:rsidR="00022804">
        <w:t xml:space="preserve">will </w:t>
      </w:r>
      <w:r w:rsidR="006F2D00">
        <w:t xml:space="preserve">appropriately </w:t>
      </w:r>
      <w:r w:rsidR="00022804">
        <w:t>align</w:t>
      </w:r>
      <w:r w:rsidR="00666816">
        <w:t xml:space="preserve"> the point at which assessable receipts are determined using the RPM under paragraph 24(1)(f) of the PRRTAA, with the point up to which project expenditures can be deducted under the PRRTAA (</w:t>
      </w:r>
      <w:r w:rsidR="00593AF3">
        <w:t>i.e.</w:t>
      </w:r>
      <w:r w:rsidR="00666816">
        <w:t xml:space="preserve"> ‘the taxing point’).</w:t>
      </w:r>
    </w:p>
    <w:p w14:paraId="1B9070B6" w14:textId="77777777" w:rsidR="00FF2354" w:rsidRPr="00055996" w:rsidRDefault="00FF2354" w:rsidP="00FF2354">
      <w:pPr>
        <w:pStyle w:val="Heading3"/>
        <w:spacing w:before="0" w:after="240"/>
      </w:pPr>
      <w:r w:rsidRPr="00445A8C">
        <w:t>Amount and timing of included capital costs</w:t>
      </w:r>
    </w:p>
    <w:p w14:paraId="1B9070B7" w14:textId="77777777" w:rsidR="00FF2354" w:rsidRDefault="00FF2354" w:rsidP="00FF2354">
      <w:pPr>
        <w:pStyle w:val="EMpara"/>
        <w:spacing w:before="0" w:after="240"/>
      </w:pPr>
      <w:r>
        <w:t xml:space="preserve">Regulation 31 of the Principal Regulation defines what constitutes the capital costs and operating costs of an integrated operation for the purposes of a taxpayer determining the netback and cost-plus prices under the RPM. Depending on the time </w:t>
      </w:r>
      <w:r>
        <w:lastRenderedPageBreak/>
        <w:t>at which these costs are incurred, and the time at which project product is produced, the</w:t>
      </w:r>
      <w:r w:rsidR="00160432">
        <w:t xml:space="preserve">y may be augmented or reduced consistent with the rules outlined in Division 5.3 of the Principal Regulation. </w:t>
      </w:r>
      <w:r>
        <w:t xml:space="preserve"> </w:t>
      </w:r>
    </w:p>
    <w:p w14:paraId="1B9070B8" w14:textId="77777777" w:rsidR="0033101E" w:rsidRDefault="0033101E" w:rsidP="0033101E">
      <w:pPr>
        <w:pStyle w:val="EMpara"/>
        <w:spacing w:before="0" w:after="240"/>
      </w:pPr>
      <w:r>
        <w:t>The Regulation amends regulation 31 of the Principal Regulation to ensure that included capital costs which are associated with an integrated operation, but which do not form part of the cost of a depreciating asset, are treated as capital costs (and not operating costs) for the purposes of applying the RPM.</w:t>
      </w:r>
    </w:p>
    <w:p w14:paraId="1B9070B9" w14:textId="77777777" w:rsidR="00160432" w:rsidRDefault="00745025" w:rsidP="00FF2354">
      <w:pPr>
        <w:pStyle w:val="EMpara"/>
        <w:spacing w:before="0" w:after="240"/>
      </w:pPr>
      <w:r>
        <w:t xml:space="preserve">The Regulation </w:t>
      </w:r>
      <w:r w:rsidR="00194EE5">
        <w:t xml:space="preserve">also </w:t>
      </w:r>
      <w:r>
        <w:t>i</w:t>
      </w:r>
      <w:r w:rsidR="00FF2354" w:rsidRPr="009D7B26">
        <w:t>nsert</w:t>
      </w:r>
      <w:r>
        <w:t>s</w:t>
      </w:r>
      <w:r w:rsidR="00FF2354" w:rsidRPr="009D7B26">
        <w:t xml:space="preserve"> </w:t>
      </w:r>
      <w:r w:rsidR="00FF2354">
        <w:t>r</w:t>
      </w:r>
      <w:r w:rsidR="00FF2354" w:rsidRPr="00593AF3">
        <w:t xml:space="preserve">egulation </w:t>
      </w:r>
      <w:r w:rsidR="000E1235">
        <w:t>44</w:t>
      </w:r>
      <w:r w:rsidR="00160432">
        <w:t xml:space="preserve"> </w:t>
      </w:r>
      <w:r>
        <w:t xml:space="preserve">into the Principal Regulation </w:t>
      </w:r>
      <w:r w:rsidR="00160432">
        <w:t>which</w:t>
      </w:r>
      <w:r w:rsidR="00AC3320">
        <w:t xml:space="preserve"> </w:t>
      </w:r>
      <w:r w:rsidR="00160432">
        <w:t>provide</w:t>
      </w:r>
      <w:r>
        <w:t>s</w:t>
      </w:r>
      <w:r w:rsidR="00160432">
        <w:t xml:space="preserve"> </w:t>
      </w:r>
      <w:r w:rsidR="00D730B4">
        <w:t xml:space="preserve">that </w:t>
      </w:r>
      <w:r w:rsidR="00160432">
        <w:t xml:space="preserve">participants in an integrated onshore operation </w:t>
      </w:r>
      <w:r w:rsidR="00D730B4">
        <w:t xml:space="preserve">may elect </w:t>
      </w:r>
      <w:r w:rsidR="00160432">
        <w:t xml:space="preserve">to use the depreciated replacement cost method to determine the included cost of units of property </w:t>
      </w:r>
      <w:r w:rsidR="000E6D52">
        <w:t xml:space="preserve">of the operation </w:t>
      </w:r>
      <w:r w:rsidR="00160432">
        <w:t>that were completed prior to 2 May 2010. This recognises that integrated onshore operations currently being developed may incorporate petroleum</w:t>
      </w:r>
      <w:r w:rsidR="00D730B4">
        <w:t xml:space="preserve"> projects that</w:t>
      </w:r>
      <w:r w:rsidR="00160432">
        <w:t xml:space="preserve"> ha</w:t>
      </w:r>
      <w:r w:rsidR="00D730B4">
        <w:t>ve</w:t>
      </w:r>
      <w:r w:rsidR="00160432">
        <w:t xml:space="preserve"> been </w:t>
      </w:r>
      <w:r w:rsidR="00D730B4">
        <w:t>operating for a significant period of time</w:t>
      </w:r>
      <w:r w:rsidR="00160432">
        <w:t xml:space="preserve"> prior to</w:t>
      </w:r>
      <w:r w:rsidR="00D730B4">
        <w:t xml:space="preserve"> becoming part of the integrated operation</w:t>
      </w:r>
      <w:r w:rsidR="00160432">
        <w:t xml:space="preserve">, and for which </w:t>
      </w:r>
      <w:r w:rsidR="00D730B4">
        <w:t xml:space="preserve">there are </w:t>
      </w:r>
      <w:r w:rsidR="00160432">
        <w:t xml:space="preserve">insufficient records to verify historic costs </w:t>
      </w:r>
      <w:r w:rsidR="00D730B4">
        <w:t>incurred</w:t>
      </w:r>
      <w:r w:rsidR="00160432">
        <w:t xml:space="preserve">.  </w:t>
      </w:r>
    </w:p>
    <w:p w14:paraId="1B9070BA" w14:textId="77777777" w:rsidR="00FF2354" w:rsidRPr="001C4C98" w:rsidRDefault="00160432" w:rsidP="00FF2354">
      <w:pPr>
        <w:pStyle w:val="EMpara"/>
        <w:spacing w:before="0" w:after="240"/>
      </w:pPr>
      <w:r>
        <w:t xml:space="preserve">Where an election </w:t>
      </w:r>
      <w:r w:rsidR="000E1235">
        <w:t>ha</w:t>
      </w:r>
      <w:r w:rsidR="00745025">
        <w:t>s been made under regulation 44</w:t>
      </w:r>
      <w:r w:rsidR="000E1235">
        <w:t>,</w:t>
      </w:r>
      <w:r>
        <w:t xml:space="preserve"> regulation </w:t>
      </w:r>
      <w:r w:rsidR="00FF2354" w:rsidRPr="00593AF3">
        <w:t xml:space="preserve">31A </w:t>
      </w:r>
      <w:r>
        <w:t xml:space="preserve">will apply, </w:t>
      </w:r>
      <w:r w:rsidR="00FF2354" w:rsidRPr="00593AF3">
        <w:t>which provides for the amount</w:t>
      </w:r>
      <w:r w:rsidR="00D730B4">
        <w:t xml:space="preserve"> of included capital cost </w:t>
      </w:r>
      <w:r w:rsidR="00FF2354" w:rsidRPr="00593AF3">
        <w:t>relati</w:t>
      </w:r>
      <w:r w:rsidR="00D730B4">
        <w:t>ng to property completed prior to 2 May 2010 to be taken to be the depreciated replacement cost of the unit at</w:t>
      </w:r>
      <w:r w:rsidR="000E6D52">
        <w:br/>
      </w:r>
      <w:r w:rsidR="00D730B4">
        <w:t>1 July 2012.</w:t>
      </w:r>
      <w:r w:rsidR="000E1235">
        <w:t xml:space="preserve"> This is </w:t>
      </w:r>
      <w:r>
        <w:t>further</w:t>
      </w:r>
      <w:r w:rsidR="000E1235">
        <w:t xml:space="preserve"> discussed </w:t>
      </w:r>
      <w:r w:rsidR="00D730B4">
        <w:t>in P</w:t>
      </w:r>
      <w:r w:rsidR="000E1235">
        <w:t xml:space="preserve">art 7 below. </w:t>
      </w:r>
      <w:r>
        <w:t xml:space="preserve"> </w:t>
      </w:r>
    </w:p>
    <w:p w14:paraId="1B9070BB" w14:textId="77777777" w:rsidR="001101D0" w:rsidRPr="009B7E22" w:rsidRDefault="008B55EC" w:rsidP="0074777B">
      <w:pPr>
        <w:pStyle w:val="Heading2"/>
        <w:spacing w:before="0" w:after="240"/>
        <w:rPr>
          <w:szCs w:val="24"/>
        </w:rPr>
      </w:pPr>
      <w:bookmarkStart w:id="7" w:name="_Toc356480353"/>
      <w:r w:rsidRPr="009B7E22">
        <w:rPr>
          <w:szCs w:val="24"/>
        </w:rPr>
        <w:t xml:space="preserve">Part 7 </w:t>
      </w:r>
      <w:r w:rsidR="00B5292A">
        <w:t>–</w:t>
      </w:r>
      <w:r w:rsidRPr="009B7E22">
        <w:rPr>
          <w:szCs w:val="24"/>
        </w:rPr>
        <w:t xml:space="preserve"> </w:t>
      </w:r>
      <w:r w:rsidR="00397F8C" w:rsidRPr="009B7E22">
        <w:rPr>
          <w:szCs w:val="24"/>
        </w:rPr>
        <w:t xml:space="preserve">Arrangements for </w:t>
      </w:r>
      <w:r w:rsidR="0024348C" w:rsidRPr="009B7E22">
        <w:rPr>
          <w:szCs w:val="24"/>
        </w:rPr>
        <w:t xml:space="preserve">GTL operations existing </w:t>
      </w:r>
      <w:r w:rsidR="00397F8C" w:rsidRPr="009B7E22">
        <w:rPr>
          <w:szCs w:val="24"/>
        </w:rPr>
        <w:t>before 2</w:t>
      </w:r>
      <w:r w:rsidR="0024348C" w:rsidRPr="009B7E22">
        <w:rPr>
          <w:szCs w:val="24"/>
        </w:rPr>
        <w:t xml:space="preserve"> May 2010</w:t>
      </w:r>
      <w:bookmarkEnd w:id="7"/>
    </w:p>
    <w:p w14:paraId="1B9070BC" w14:textId="77777777" w:rsidR="006B2CCE" w:rsidRDefault="008B55EC" w:rsidP="0074777B">
      <w:pPr>
        <w:pStyle w:val="EMpara"/>
        <w:spacing w:before="0" w:after="240"/>
      </w:pPr>
      <w:r w:rsidRPr="0095654C">
        <w:rPr>
          <w:rStyle w:val="EMparaChar"/>
        </w:rPr>
        <w:t xml:space="preserve">This </w:t>
      </w:r>
      <w:r>
        <w:rPr>
          <w:rStyle w:val="EMparaChar"/>
        </w:rPr>
        <w:t>Part</w:t>
      </w:r>
      <w:r w:rsidRPr="0095654C">
        <w:rPr>
          <w:rStyle w:val="EMparaChar"/>
        </w:rPr>
        <w:t xml:space="preserve"> explains </w:t>
      </w:r>
      <w:r w:rsidR="00745025">
        <w:rPr>
          <w:rStyle w:val="EMparaChar"/>
        </w:rPr>
        <w:t xml:space="preserve">the amendments in the </w:t>
      </w:r>
      <w:r>
        <w:rPr>
          <w:rStyle w:val="EMparaChar"/>
        </w:rPr>
        <w:t>Regulation</w:t>
      </w:r>
      <w:r w:rsidRPr="0095654C">
        <w:rPr>
          <w:rStyle w:val="EMparaChar"/>
        </w:rPr>
        <w:t xml:space="preserve"> </w:t>
      </w:r>
      <w:r>
        <w:rPr>
          <w:rStyle w:val="EMparaChar"/>
        </w:rPr>
        <w:t>t</w:t>
      </w:r>
      <w:r w:rsidR="00745025">
        <w:rPr>
          <w:rStyle w:val="EMparaChar"/>
        </w:rPr>
        <w:t>o</w:t>
      </w:r>
      <w:r>
        <w:rPr>
          <w:rStyle w:val="EMparaChar"/>
        </w:rPr>
        <w:t xml:space="preserve"> </w:t>
      </w:r>
      <w:r w:rsidRPr="0095654C">
        <w:rPr>
          <w:rStyle w:val="EMparaChar"/>
        </w:rPr>
        <w:t>ensure that</w:t>
      </w:r>
      <w:r w:rsidRPr="00593AF3">
        <w:t>:</w:t>
      </w:r>
    </w:p>
    <w:p w14:paraId="1B9070BD" w14:textId="77777777" w:rsidR="001101D0" w:rsidRPr="007A3312" w:rsidRDefault="008B55EC" w:rsidP="0040184D">
      <w:pPr>
        <w:pStyle w:val="Bullet"/>
        <w:tabs>
          <w:tab w:val="clear" w:pos="567"/>
          <w:tab w:val="num" w:pos="1134"/>
        </w:tabs>
        <w:spacing w:after="240"/>
        <w:ind w:left="1134"/>
      </w:pPr>
      <w:r>
        <w:t>t</w:t>
      </w:r>
      <w:r w:rsidR="001101D0" w:rsidRPr="007A3312">
        <w:t>axpayers with integrated GTL operations existing</w:t>
      </w:r>
      <w:r w:rsidR="00EC5385" w:rsidRPr="007A3312">
        <w:t xml:space="preserve"> at </w:t>
      </w:r>
      <w:r w:rsidR="001101D0" w:rsidRPr="007A3312">
        <w:t xml:space="preserve">1 May 2010 have the option to elect to use a </w:t>
      </w:r>
      <w:r w:rsidR="00B945DC" w:rsidRPr="007A3312">
        <w:t>modified</w:t>
      </w:r>
      <w:r w:rsidR="001101D0" w:rsidRPr="007A3312">
        <w:t xml:space="preserve"> RPM;</w:t>
      </w:r>
      <w:r w:rsidR="006224EC" w:rsidRPr="007A3312">
        <w:t xml:space="preserve"> and</w:t>
      </w:r>
    </w:p>
    <w:p w14:paraId="1B9070BE" w14:textId="77777777" w:rsidR="001101D0" w:rsidRPr="007A3312" w:rsidRDefault="006224EC" w:rsidP="0040184D">
      <w:pPr>
        <w:pStyle w:val="Bullet"/>
        <w:tabs>
          <w:tab w:val="clear" w:pos="567"/>
          <w:tab w:val="num" w:pos="1134"/>
        </w:tabs>
        <w:spacing w:after="240"/>
        <w:ind w:left="1134"/>
      </w:pPr>
      <w:r w:rsidRPr="007A3312">
        <w:t>w</w:t>
      </w:r>
      <w:r w:rsidR="001101D0" w:rsidRPr="007A3312">
        <w:t xml:space="preserve">here an election to use the </w:t>
      </w:r>
      <w:r w:rsidR="00B945DC" w:rsidRPr="007A3312">
        <w:t>modified</w:t>
      </w:r>
      <w:r w:rsidR="007A3312" w:rsidRPr="007A3312">
        <w:t xml:space="preserve"> RPM </w:t>
      </w:r>
      <w:r w:rsidR="001101D0" w:rsidRPr="007A3312">
        <w:t>has been made:</w:t>
      </w:r>
    </w:p>
    <w:p w14:paraId="1B9070BF" w14:textId="77777777" w:rsidR="001101D0" w:rsidRPr="0040184D" w:rsidRDefault="001101D0" w:rsidP="0040184D">
      <w:pPr>
        <w:pStyle w:val="dotpoint"/>
        <w:numPr>
          <w:ilvl w:val="1"/>
          <w:numId w:val="2"/>
        </w:numPr>
        <w:spacing w:before="0" w:after="240"/>
        <w:rPr>
          <w:sz w:val="24"/>
          <w:szCs w:val="24"/>
        </w:rPr>
      </w:pPr>
      <w:r w:rsidRPr="0040184D">
        <w:rPr>
          <w:sz w:val="24"/>
          <w:szCs w:val="24"/>
        </w:rPr>
        <w:t>a single phase point will apply for those integrated GTL operations;</w:t>
      </w:r>
      <w:r w:rsidR="00516A93" w:rsidRPr="0040184D">
        <w:rPr>
          <w:sz w:val="24"/>
          <w:szCs w:val="24"/>
        </w:rPr>
        <w:t xml:space="preserve"> and</w:t>
      </w:r>
    </w:p>
    <w:p w14:paraId="1B9070C0" w14:textId="77777777" w:rsidR="001101D0" w:rsidRPr="0040184D" w:rsidRDefault="001101D0" w:rsidP="0040184D">
      <w:pPr>
        <w:pStyle w:val="dotpoint"/>
        <w:numPr>
          <w:ilvl w:val="1"/>
          <w:numId w:val="2"/>
        </w:numPr>
        <w:spacing w:before="0" w:after="240"/>
        <w:rPr>
          <w:sz w:val="24"/>
          <w:szCs w:val="24"/>
        </w:rPr>
      </w:pPr>
      <w:r w:rsidRPr="0040184D">
        <w:rPr>
          <w:sz w:val="24"/>
          <w:szCs w:val="24"/>
        </w:rPr>
        <w:t xml:space="preserve">capital assets existing </w:t>
      </w:r>
      <w:r w:rsidR="000E6D52">
        <w:rPr>
          <w:sz w:val="24"/>
          <w:szCs w:val="24"/>
        </w:rPr>
        <w:t>prior to</w:t>
      </w:r>
      <w:r w:rsidRPr="0040184D">
        <w:rPr>
          <w:sz w:val="24"/>
          <w:szCs w:val="24"/>
        </w:rPr>
        <w:t xml:space="preserve"> </w:t>
      </w:r>
      <w:r w:rsidR="000E6D52">
        <w:rPr>
          <w:sz w:val="24"/>
          <w:szCs w:val="24"/>
        </w:rPr>
        <w:t>2</w:t>
      </w:r>
      <w:r w:rsidRPr="0040184D">
        <w:rPr>
          <w:sz w:val="24"/>
          <w:szCs w:val="24"/>
        </w:rPr>
        <w:t xml:space="preserve"> May 2010 can be valued at depreciated replacement cost rather than on an historical cost basis</w:t>
      </w:r>
      <w:r w:rsidR="008B55EC" w:rsidRPr="0040184D">
        <w:rPr>
          <w:sz w:val="24"/>
          <w:szCs w:val="24"/>
        </w:rPr>
        <w:t>.</w:t>
      </w:r>
    </w:p>
    <w:p w14:paraId="1B9070C1" w14:textId="77777777" w:rsidR="00AD0275" w:rsidRPr="00593AF3" w:rsidRDefault="00AD0275" w:rsidP="0074777B">
      <w:pPr>
        <w:pStyle w:val="Heading3"/>
        <w:spacing w:before="0" w:after="240"/>
      </w:pPr>
      <w:r w:rsidRPr="00593AF3">
        <w:t xml:space="preserve">Election to use modified residual pricing method </w:t>
      </w:r>
    </w:p>
    <w:p w14:paraId="1B9070C2" w14:textId="77777777" w:rsidR="008B55EC" w:rsidRDefault="00EA3E85" w:rsidP="0074777B">
      <w:pPr>
        <w:pStyle w:val="EMpara"/>
        <w:spacing w:before="0" w:after="240"/>
      </w:pPr>
      <w:r w:rsidRPr="007A3312">
        <w:t xml:space="preserve">The PTG </w:t>
      </w:r>
      <w:r w:rsidR="00AD0275" w:rsidRPr="007A3312">
        <w:t>recommend</w:t>
      </w:r>
      <w:r w:rsidR="00BE6D87" w:rsidRPr="007A3312">
        <w:t>ed that taxpayers</w:t>
      </w:r>
      <w:r w:rsidR="007A3312" w:rsidRPr="007A3312">
        <w:t xml:space="preserve"> transitioning to the PRRT</w:t>
      </w:r>
      <w:r w:rsidR="00BE6D87" w:rsidRPr="007A3312">
        <w:t xml:space="preserve"> with existing integrated </w:t>
      </w:r>
      <w:r w:rsidR="006224EC" w:rsidRPr="007A3312">
        <w:t>GTL</w:t>
      </w:r>
      <w:r w:rsidR="00BE6D87" w:rsidRPr="007A3312">
        <w:t xml:space="preserve"> projects</w:t>
      </w:r>
      <w:r w:rsidR="00AD0275" w:rsidRPr="007A3312">
        <w:t xml:space="preserve"> as </w:t>
      </w:r>
      <w:r w:rsidR="00BE6D87" w:rsidRPr="007A3312">
        <w:t>at 1</w:t>
      </w:r>
      <w:r w:rsidR="00EC5385" w:rsidRPr="007A3312">
        <w:t> </w:t>
      </w:r>
      <w:r w:rsidR="00BE6D87" w:rsidRPr="007A3312">
        <w:t xml:space="preserve">May 2010 </w:t>
      </w:r>
      <w:r w:rsidR="007A3312" w:rsidRPr="007A3312">
        <w:t>s</w:t>
      </w:r>
      <w:r w:rsidR="00BE6D87" w:rsidRPr="007A3312">
        <w:t xml:space="preserve">hould have access to a </w:t>
      </w:r>
      <w:r w:rsidR="00EB62D7" w:rsidRPr="007A3312">
        <w:t>modified</w:t>
      </w:r>
      <w:r w:rsidR="00BE6D87" w:rsidRPr="007A3312">
        <w:t xml:space="preserve"> RPM as a default methodology</w:t>
      </w:r>
      <w:r w:rsidR="00EB62D7" w:rsidRPr="007A3312">
        <w:t xml:space="preserve"> to simplify the transition. </w:t>
      </w:r>
    </w:p>
    <w:p w14:paraId="1B9070C3" w14:textId="77777777" w:rsidR="00EA3E85" w:rsidRPr="007A3312" w:rsidRDefault="007A3312" w:rsidP="0074777B">
      <w:pPr>
        <w:pStyle w:val="EMpara"/>
        <w:spacing w:before="0" w:after="240"/>
      </w:pPr>
      <w:r w:rsidRPr="007A3312">
        <w:t xml:space="preserve">The modified </w:t>
      </w:r>
      <w:r w:rsidR="00BE6D87" w:rsidRPr="007A3312">
        <w:t xml:space="preserve">RPM </w:t>
      </w:r>
      <w:r w:rsidRPr="007A3312">
        <w:t xml:space="preserve">differs from the standard RPM method in two aspects. Firstly, the operation will be treated as having a </w:t>
      </w:r>
      <w:r w:rsidR="00BE6D87" w:rsidRPr="007A3312">
        <w:t>single phase point</w:t>
      </w:r>
      <w:r w:rsidR="00AD0275" w:rsidRPr="007A3312">
        <w:t xml:space="preserve"> </w:t>
      </w:r>
      <w:r w:rsidRPr="007A3312">
        <w:t xml:space="preserve">occurring </w:t>
      </w:r>
      <w:r w:rsidR="00AD0275" w:rsidRPr="007A3312">
        <w:t>between up</w:t>
      </w:r>
      <w:r w:rsidR="006224EC" w:rsidRPr="007A3312">
        <w:t>stream and downstream stages</w:t>
      </w:r>
      <w:r w:rsidRPr="007A3312">
        <w:t>; and secondly, that</w:t>
      </w:r>
      <w:r w:rsidR="00AD0275" w:rsidRPr="007A3312">
        <w:t xml:space="preserve"> the</w:t>
      </w:r>
      <w:r w:rsidR="00BE6D87" w:rsidRPr="007A3312">
        <w:t xml:space="preserve"> capital base</w:t>
      </w:r>
      <w:r w:rsidRPr="007A3312">
        <w:t>s</w:t>
      </w:r>
      <w:r w:rsidR="00BE6D87" w:rsidRPr="007A3312">
        <w:t xml:space="preserve"> </w:t>
      </w:r>
      <w:r w:rsidR="00AD0275" w:rsidRPr="007A3312">
        <w:t>used for determining the netback and cost</w:t>
      </w:r>
      <w:r w:rsidRPr="007A3312">
        <w:t>-plus prices of</w:t>
      </w:r>
      <w:r w:rsidR="006224EC" w:rsidRPr="007A3312">
        <w:t xml:space="preserve"> the operation, </w:t>
      </w:r>
      <w:r w:rsidR="00AD0275" w:rsidRPr="007A3312">
        <w:t xml:space="preserve">and consequently the RPM price, </w:t>
      </w:r>
      <w:r w:rsidRPr="007A3312">
        <w:t xml:space="preserve">will be </w:t>
      </w:r>
      <w:r w:rsidR="00BE6D87" w:rsidRPr="007A3312">
        <w:t xml:space="preserve">determined by </w:t>
      </w:r>
      <w:r w:rsidRPr="007A3312">
        <w:t xml:space="preserve">using the depreciated replacement cost of assets existing as at </w:t>
      </w:r>
      <w:r w:rsidR="0058342F">
        <w:br/>
      </w:r>
      <w:r w:rsidRPr="007A3312">
        <w:t>1 May 2010.</w:t>
      </w:r>
    </w:p>
    <w:p w14:paraId="1B9070C4" w14:textId="77777777" w:rsidR="008B55EC" w:rsidRDefault="00745025" w:rsidP="0074777B">
      <w:pPr>
        <w:pStyle w:val="EMpara"/>
        <w:spacing w:before="0" w:after="240"/>
      </w:pPr>
      <w:r>
        <w:lastRenderedPageBreak/>
        <w:t xml:space="preserve">The </w:t>
      </w:r>
      <w:r w:rsidR="008B55EC">
        <w:t>Regulation</w:t>
      </w:r>
      <w:r w:rsidR="00AD0275" w:rsidRPr="00593AF3">
        <w:t xml:space="preserve"> </w:t>
      </w:r>
      <w:r w:rsidR="00B945DC" w:rsidRPr="00593AF3">
        <w:t>insert</w:t>
      </w:r>
      <w:r>
        <w:t>s</w:t>
      </w:r>
      <w:r w:rsidR="007A3312">
        <w:t xml:space="preserve"> </w:t>
      </w:r>
      <w:r w:rsidR="008B55EC">
        <w:t>r</w:t>
      </w:r>
      <w:r w:rsidR="00B945DC" w:rsidRPr="00593AF3">
        <w:t>egulation</w:t>
      </w:r>
      <w:r w:rsidR="00AD0275" w:rsidRPr="00593AF3">
        <w:t xml:space="preserve"> 43</w:t>
      </w:r>
      <w:r w:rsidR="008B55EC">
        <w:t xml:space="preserve"> into the Principal Regulation</w:t>
      </w:r>
      <w:r w:rsidR="00AD0275" w:rsidRPr="00593AF3">
        <w:t xml:space="preserve">, which </w:t>
      </w:r>
      <w:r w:rsidR="00B945DC" w:rsidRPr="00593AF3">
        <w:t>allow</w:t>
      </w:r>
      <w:r>
        <w:t>s</w:t>
      </w:r>
      <w:r w:rsidR="00B945DC" w:rsidRPr="00593AF3">
        <w:t xml:space="preserve"> participants in an integrated GTL </w:t>
      </w:r>
      <w:r w:rsidR="00AD0275" w:rsidRPr="00593AF3">
        <w:t xml:space="preserve">that existed as at 1 May 2010 </w:t>
      </w:r>
      <w:r w:rsidR="00B945DC" w:rsidRPr="00593AF3">
        <w:t>to make an irrevocab</w:t>
      </w:r>
      <w:r w:rsidR="007A3312">
        <w:t xml:space="preserve">le election to use the </w:t>
      </w:r>
      <w:r w:rsidR="00B945DC" w:rsidRPr="00593AF3">
        <w:t xml:space="preserve">modified </w:t>
      </w:r>
      <w:r w:rsidR="007A3312">
        <w:t>RPM</w:t>
      </w:r>
      <w:r w:rsidR="00B945DC" w:rsidRPr="00593AF3">
        <w:t xml:space="preserve">. </w:t>
      </w:r>
    </w:p>
    <w:p w14:paraId="1B9070C5" w14:textId="77777777" w:rsidR="00EC5385" w:rsidRDefault="00E668A4" w:rsidP="0074777B">
      <w:pPr>
        <w:pStyle w:val="EMpara"/>
        <w:spacing w:before="0" w:after="240"/>
      </w:pPr>
      <w:r w:rsidRPr="00593AF3">
        <w:t xml:space="preserve">An integrated GTL operation will, for the purposes of the </w:t>
      </w:r>
      <w:r w:rsidR="008B55EC">
        <w:t>Principal Regulation</w:t>
      </w:r>
      <w:r w:rsidRPr="00593AF3">
        <w:t>, be considered to have existed as at 1 May 2010 if it first processed project sales gas into project liquid prior to 2 May 2010</w:t>
      </w:r>
      <w:r w:rsidR="007A3312">
        <w:t>.</w:t>
      </w:r>
      <w:r w:rsidR="009059D9" w:rsidRPr="009059D9">
        <w:t xml:space="preserve"> </w:t>
      </w:r>
      <w:r w:rsidR="00745025">
        <w:t>T</w:t>
      </w:r>
      <w:r w:rsidR="009059D9">
        <w:t>he North West Shelf LNG project in Western Australia was</w:t>
      </w:r>
      <w:r w:rsidR="009059D9" w:rsidRPr="009059D9">
        <w:t xml:space="preserve"> </w:t>
      </w:r>
      <w:r w:rsidR="009059D9">
        <w:t>the only integrated GTL operation that existed at that time.</w:t>
      </w:r>
    </w:p>
    <w:p w14:paraId="1B9070C6" w14:textId="77777777" w:rsidR="00B945DC" w:rsidRPr="00593AF3" w:rsidRDefault="00B945DC" w:rsidP="0074777B">
      <w:pPr>
        <w:pStyle w:val="exampletext"/>
        <w:spacing w:before="0" w:after="240"/>
        <w:ind w:left="0"/>
        <w:rPr>
          <w:sz w:val="24"/>
          <w:szCs w:val="24"/>
        </w:rPr>
      </w:pPr>
      <w:r w:rsidRPr="00593AF3">
        <w:rPr>
          <w:sz w:val="24"/>
          <w:szCs w:val="24"/>
        </w:rPr>
        <w:t>The</w:t>
      </w:r>
      <w:r w:rsidR="007A3312">
        <w:rPr>
          <w:sz w:val="24"/>
          <w:szCs w:val="24"/>
        </w:rPr>
        <w:t>re are a number of requirements governing an</w:t>
      </w:r>
      <w:r w:rsidRPr="00593AF3">
        <w:rPr>
          <w:sz w:val="24"/>
          <w:szCs w:val="24"/>
        </w:rPr>
        <w:t xml:space="preserve"> </w:t>
      </w:r>
      <w:r w:rsidR="007A3312">
        <w:rPr>
          <w:sz w:val="24"/>
          <w:szCs w:val="24"/>
        </w:rPr>
        <w:t>election to use the modified RPM. Specifically, it must</w:t>
      </w:r>
      <w:r w:rsidR="0012416C" w:rsidRPr="00593AF3">
        <w:rPr>
          <w:sz w:val="24"/>
          <w:szCs w:val="24"/>
        </w:rPr>
        <w:t>:</w:t>
      </w:r>
    </w:p>
    <w:p w14:paraId="1B9070C7" w14:textId="77777777" w:rsidR="0012416C" w:rsidRPr="007A3312" w:rsidRDefault="0012416C" w:rsidP="0040184D">
      <w:pPr>
        <w:pStyle w:val="Bullet"/>
        <w:tabs>
          <w:tab w:val="clear" w:pos="567"/>
          <w:tab w:val="num" w:pos="1134"/>
        </w:tabs>
        <w:spacing w:after="240"/>
        <w:ind w:left="1134"/>
      </w:pPr>
      <w:r w:rsidRPr="007A3312">
        <w:t>be made by all participants in the operation jointly;</w:t>
      </w:r>
    </w:p>
    <w:p w14:paraId="1B9070C8" w14:textId="77777777" w:rsidR="0012416C" w:rsidRPr="007A3312" w:rsidRDefault="0012416C" w:rsidP="0040184D">
      <w:pPr>
        <w:pStyle w:val="Bullet"/>
        <w:tabs>
          <w:tab w:val="clear" w:pos="567"/>
          <w:tab w:val="num" w:pos="1134"/>
        </w:tabs>
        <w:spacing w:after="240"/>
        <w:ind w:left="1134"/>
      </w:pPr>
      <w:r w:rsidRPr="007A3312">
        <w:t>be made in a form a</w:t>
      </w:r>
      <w:r w:rsidR="00AD66C5" w:rsidRPr="007A3312">
        <w:t>pproved by the Commissioner; and</w:t>
      </w:r>
    </w:p>
    <w:p w14:paraId="1B9070C9" w14:textId="77777777" w:rsidR="0012416C" w:rsidRPr="007A3312" w:rsidRDefault="0012416C" w:rsidP="000E1031">
      <w:pPr>
        <w:pStyle w:val="Bullet"/>
        <w:tabs>
          <w:tab w:val="clear" w:pos="567"/>
          <w:tab w:val="num" w:pos="1134"/>
        </w:tabs>
        <w:spacing w:after="240"/>
        <w:ind w:left="1134"/>
      </w:pPr>
      <w:r w:rsidRPr="007A3312">
        <w:t xml:space="preserve">be given to the Commissioner no later than </w:t>
      </w:r>
      <w:r w:rsidR="0033101E">
        <w:t xml:space="preserve">the day on which the participants are required to give the Commissioner a starting base return under Schedule 2 of the Act. </w:t>
      </w:r>
    </w:p>
    <w:p w14:paraId="1B9070CA" w14:textId="77777777" w:rsidR="002C0A74" w:rsidRDefault="007A3312" w:rsidP="0074777B">
      <w:pPr>
        <w:pStyle w:val="EMpara"/>
        <w:spacing w:before="0" w:after="240"/>
        <w:rPr>
          <w:b/>
          <w:i/>
        </w:rPr>
      </w:pPr>
      <w:r>
        <w:t>The effect of making an election u</w:t>
      </w:r>
      <w:r w:rsidR="00EA66DD" w:rsidRPr="00593AF3">
        <w:t>nder</w:t>
      </w:r>
      <w:r w:rsidR="008B55EC">
        <w:t xml:space="preserve"> </w:t>
      </w:r>
      <w:r w:rsidR="00EA66DD" w:rsidRPr="00593AF3">
        <w:t>regulation 43</w:t>
      </w:r>
      <w:r>
        <w:t xml:space="preserve"> is that the operation </w:t>
      </w:r>
      <w:r w:rsidR="00EA66DD" w:rsidRPr="00593AF3">
        <w:t xml:space="preserve">and/or application of a number </w:t>
      </w:r>
      <w:r w:rsidR="008B55EC">
        <w:t>aspects of the Principal Regulation</w:t>
      </w:r>
      <w:r>
        <w:t xml:space="preserve"> </w:t>
      </w:r>
      <w:r w:rsidR="008B55EC">
        <w:t>are</w:t>
      </w:r>
      <w:r>
        <w:t xml:space="preserve"> altered</w:t>
      </w:r>
      <w:r w:rsidR="00EA66DD" w:rsidRPr="00593AF3">
        <w:t>, including</w:t>
      </w:r>
      <w:r w:rsidR="00516A93">
        <w:t xml:space="preserve"> the production year; </w:t>
      </w:r>
      <w:r w:rsidR="00EA66DD" w:rsidRPr="00593AF3">
        <w:t>a redu</w:t>
      </w:r>
      <w:r w:rsidR="00611CB0">
        <w:t>ction in the number of phases</w:t>
      </w:r>
      <w:r w:rsidR="00516A93">
        <w:t>; and</w:t>
      </w:r>
      <w:r w:rsidR="00611CB0">
        <w:t xml:space="preserve"> rules about capital costs</w:t>
      </w:r>
      <w:r w:rsidR="00516A93" w:rsidRPr="001C4C98">
        <w:t>,</w:t>
      </w:r>
      <w:r w:rsidR="00516A93" w:rsidRPr="00516A93">
        <w:t xml:space="preserve"> </w:t>
      </w:r>
      <w:r w:rsidR="00516A93" w:rsidRPr="001C4C98">
        <w:t>as outlined below.</w:t>
      </w:r>
    </w:p>
    <w:p w14:paraId="1B9070CB" w14:textId="77777777" w:rsidR="002C0A74" w:rsidRPr="00593AF3" w:rsidRDefault="002C0A74" w:rsidP="0074777B">
      <w:pPr>
        <w:pStyle w:val="Heading3"/>
        <w:spacing w:before="0" w:after="240"/>
      </w:pPr>
      <w:r w:rsidRPr="00593AF3">
        <w:t xml:space="preserve">Production year for integrated GTL operations existing before </w:t>
      </w:r>
      <w:r w:rsidR="009B0110">
        <w:t>2</w:t>
      </w:r>
      <w:r w:rsidRPr="00593AF3">
        <w:t xml:space="preserve"> </w:t>
      </w:r>
      <w:r w:rsidR="009B0110">
        <w:t>May 2010</w:t>
      </w:r>
    </w:p>
    <w:p w14:paraId="1B9070CC" w14:textId="77777777" w:rsidR="002C0A74" w:rsidRPr="00593AF3" w:rsidRDefault="009B0110" w:rsidP="0074777B">
      <w:pPr>
        <w:pStyle w:val="EMpara"/>
        <w:spacing w:before="0" w:after="240"/>
      </w:pPr>
      <w:r>
        <w:t>S</w:t>
      </w:r>
      <w:r w:rsidR="002C0A74" w:rsidRPr="00593AF3">
        <w:t xml:space="preserve">ubregulation 4(6) </w:t>
      </w:r>
      <w:r w:rsidR="008B55EC">
        <w:t xml:space="preserve">of the Principal Regulation </w:t>
      </w:r>
      <w:r w:rsidR="002C0A74" w:rsidRPr="00593AF3">
        <w:t>defines the production year for an integrated GTL operation a</w:t>
      </w:r>
      <w:r w:rsidR="00EA66DD" w:rsidRPr="00593AF3">
        <w:t>s being</w:t>
      </w:r>
      <w:r w:rsidR="002C0A74" w:rsidRPr="00593AF3">
        <w:t xml:space="preserve"> the year of tax in which </w:t>
      </w:r>
      <w:r w:rsidR="00EA66DD" w:rsidRPr="00593AF3">
        <w:t xml:space="preserve">project </w:t>
      </w:r>
      <w:r w:rsidR="002C0A74" w:rsidRPr="00593AF3">
        <w:t>sales gas is first converted into project liquid.</w:t>
      </w:r>
      <w:r w:rsidR="00EA66DD" w:rsidRPr="00593AF3">
        <w:t xml:space="preserve"> The production year is used in the </w:t>
      </w:r>
      <w:r w:rsidR="008B55EC">
        <w:t>Principal Regulation</w:t>
      </w:r>
      <w:r w:rsidR="008B55EC" w:rsidRPr="00593AF3">
        <w:t xml:space="preserve"> </w:t>
      </w:r>
      <w:r w:rsidR="00EB62D7" w:rsidRPr="00593AF3">
        <w:t xml:space="preserve">in determining </w:t>
      </w:r>
      <w:r>
        <w:t xml:space="preserve">both the </w:t>
      </w:r>
      <w:r w:rsidR="00EB62D7" w:rsidRPr="00593AF3">
        <w:t>capital costs and the operating life of the project</w:t>
      </w:r>
      <w:r>
        <w:t>, which are used to determine the cost-plus and netbac</w:t>
      </w:r>
      <w:r w:rsidR="00611CB0">
        <w:t>k prices for the operation under</w:t>
      </w:r>
      <w:r>
        <w:t xml:space="preserve"> the RPM.</w:t>
      </w:r>
    </w:p>
    <w:p w14:paraId="1B9070CD" w14:textId="77777777" w:rsidR="008B55EC" w:rsidRDefault="009B0110" w:rsidP="0074777B">
      <w:pPr>
        <w:pStyle w:val="EMpara"/>
        <w:spacing w:before="0" w:after="240"/>
      </w:pPr>
      <w:r>
        <w:t xml:space="preserve">Where participants in an operation </w:t>
      </w:r>
      <w:r w:rsidR="003B09A4">
        <w:t xml:space="preserve">elect </w:t>
      </w:r>
      <w:r>
        <w:t xml:space="preserve">to use </w:t>
      </w:r>
      <w:r w:rsidR="003B09A4">
        <w:t xml:space="preserve">the </w:t>
      </w:r>
      <w:r>
        <w:t xml:space="preserve">modified RPM method under </w:t>
      </w:r>
      <w:r w:rsidR="008B55EC">
        <w:t>r</w:t>
      </w:r>
      <w:r>
        <w:t xml:space="preserve">egulation 43, the initial capital base for the upstream and downstream stages of their operation will be determined as at 2 May 2010. </w:t>
      </w:r>
    </w:p>
    <w:p w14:paraId="1B9070CE" w14:textId="77777777" w:rsidR="002C0A74" w:rsidRDefault="001773FA" w:rsidP="0074777B">
      <w:pPr>
        <w:pStyle w:val="EMpara"/>
        <w:spacing w:before="0" w:after="240"/>
        <w:rPr>
          <w:b/>
          <w:i/>
          <w:sz w:val="18"/>
          <w:szCs w:val="18"/>
        </w:rPr>
      </w:pPr>
      <w:r>
        <w:t xml:space="preserve">The </w:t>
      </w:r>
      <w:r w:rsidR="008B55EC">
        <w:t>Regulation amend</w:t>
      </w:r>
      <w:r>
        <w:t>s</w:t>
      </w:r>
      <w:r w:rsidR="008B55EC">
        <w:t xml:space="preserve"> subregulation 4(6) of the Principal Regulation to provide that were an election is made under regulation 43, </w:t>
      </w:r>
      <w:r w:rsidR="003B09A4">
        <w:t xml:space="preserve">the </w:t>
      </w:r>
      <w:r w:rsidR="002C0A74" w:rsidRPr="0074777B">
        <w:t>production year</w:t>
      </w:r>
      <w:r w:rsidR="003B09A4">
        <w:rPr>
          <w:b/>
        </w:rPr>
        <w:t xml:space="preserve"> </w:t>
      </w:r>
      <w:r w:rsidR="008B55EC">
        <w:t>will</w:t>
      </w:r>
      <w:r w:rsidR="003B09A4">
        <w:t xml:space="preserve"> be the 2012-13 year of tax</w:t>
      </w:r>
      <w:r w:rsidR="008B55EC">
        <w:t>.</w:t>
      </w:r>
      <w:r w:rsidR="003B09A4">
        <w:t xml:space="preserve"> </w:t>
      </w:r>
    </w:p>
    <w:p w14:paraId="1B9070CF" w14:textId="77777777" w:rsidR="002B5A99" w:rsidRPr="00055996" w:rsidRDefault="00516A93" w:rsidP="0074777B">
      <w:pPr>
        <w:pStyle w:val="Heading3"/>
        <w:spacing w:before="0" w:after="240"/>
      </w:pPr>
      <w:r w:rsidRPr="00055996">
        <w:t>A</w:t>
      </w:r>
      <w:r w:rsidR="002B5A99" w:rsidRPr="00055996">
        <w:t xml:space="preserve"> single phase point for integrated GTL operations existing before 2 May 2010</w:t>
      </w:r>
    </w:p>
    <w:p w14:paraId="1B9070D0" w14:textId="77777777" w:rsidR="002B5A99" w:rsidRPr="00593AF3" w:rsidRDefault="008B55EC" w:rsidP="0074777B">
      <w:pPr>
        <w:pStyle w:val="EMpara"/>
        <w:spacing w:before="0" w:after="240"/>
      </w:pPr>
      <w:r>
        <w:rPr>
          <w:rStyle w:val="EMparaChar"/>
        </w:rPr>
        <w:t xml:space="preserve">Regulation 6 of the </w:t>
      </w:r>
      <w:r w:rsidR="002B5A99" w:rsidRPr="00611CB0">
        <w:rPr>
          <w:rStyle w:val="EMparaChar"/>
        </w:rPr>
        <w:t>Principal Regulation defines the phase points of an integrated GTL operation.</w:t>
      </w:r>
      <w:r w:rsidR="00EB62D7" w:rsidRPr="00611CB0">
        <w:rPr>
          <w:rStyle w:val="EMparaChar"/>
        </w:rPr>
        <w:t xml:space="preserve"> P</w:t>
      </w:r>
      <w:r w:rsidR="002B5A99" w:rsidRPr="00611CB0">
        <w:rPr>
          <w:rStyle w:val="EMparaChar"/>
        </w:rPr>
        <w:t xml:space="preserve">hase points </w:t>
      </w:r>
      <w:r w:rsidR="00EB62D7" w:rsidRPr="00611CB0">
        <w:rPr>
          <w:rStyle w:val="EMparaChar"/>
        </w:rPr>
        <w:t>are used to</w:t>
      </w:r>
      <w:r w:rsidR="002B5A99" w:rsidRPr="00611CB0">
        <w:rPr>
          <w:rStyle w:val="EMparaChar"/>
        </w:rPr>
        <w:t xml:space="preserve"> divide the</w:t>
      </w:r>
      <w:r w:rsidR="00EB62D7" w:rsidRPr="00611CB0">
        <w:rPr>
          <w:rStyle w:val="EMparaChar"/>
        </w:rPr>
        <w:t xml:space="preserve"> integrated</w:t>
      </w:r>
      <w:r w:rsidR="002B5A99" w:rsidRPr="00611CB0">
        <w:rPr>
          <w:rStyle w:val="EMparaChar"/>
        </w:rPr>
        <w:t xml:space="preserve"> operation into a set of ‘phases’ which are used as a means of apportioning costs in cases where the multiple use of a phase occurs.</w:t>
      </w:r>
      <w:r w:rsidR="000A3B4F" w:rsidRPr="00611CB0">
        <w:rPr>
          <w:rStyle w:val="EMparaChar"/>
        </w:rPr>
        <w:t xml:space="preserve"> Under </w:t>
      </w:r>
      <w:r>
        <w:rPr>
          <w:rStyle w:val="EMparaChar"/>
        </w:rPr>
        <w:t>this provision</w:t>
      </w:r>
      <w:r w:rsidR="000A3B4F" w:rsidRPr="00611CB0">
        <w:rPr>
          <w:rStyle w:val="EMparaChar"/>
        </w:rPr>
        <w:t>, a</w:t>
      </w:r>
      <w:r w:rsidR="00EB62D7" w:rsidRPr="00611CB0">
        <w:rPr>
          <w:rStyle w:val="EMparaChar"/>
        </w:rPr>
        <w:t xml:space="preserve"> phase point always exist</w:t>
      </w:r>
      <w:r w:rsidR="000A3B4F" w:rsidRPr="00611CB0">
        <w:rPr>
          <w:rStyle w:val="EMparaChar"/>
        </w:rPr>
        <w:t>s</w:t>
      </w:r>
      <w:r w:rsidR="00EB62D7" w:rsidRPr="00611CB0">
        <w:rPr>
          <w:rStyle w:val="EMparaChar"/>
        </w:rPr>
        <w:t xml:space="preserve"> </w:t>
      </w:r>
      <w:r w:rsidR="00217BFA" w:rsidRPr="00611CB0">
        <w:rPr>
          <w:rStyle w:val="EMparaChar"/>
        </w:rPr>
        <w:t xml:space="preserve">at the point </w:t>
      </w:r>
      <w:r w:rsidR="00EB62D7" w:rsidRPr="00611CB0">
        <w:rPr>
          <w:rStyle w:val="EMparaChar"/>
        </w:rPr>
        <w:t>where the upstream stage of the integrated operation ends a</w:t>
      </w:r>
      <w:r w:rsidR="000A3B4F" w:rsidRPr="00611CB0">
        <w:rPr>
          <w:rStyle w:val="EMparaChar"/>
        </w:rPr>
        <w:t>nd the downstream stage begins, with</w:t>
      </w:r>
      <w:r w:rsidR="000A3B4F">
        <w:t xml:space="preserve"> </w:t>
      </w:r>
      <w:r w:rsidR="00EB62D7" w:rsidRPr="00593AF3">
        <w:t>additional phase points exist</w:t>
      </w:r>
      <w:r w:rsidR="000A3B4F">
        <w:t>ing</w:t>
      </w:r>
      <w:r w:rsidR="00EB62D7" w:rsidRPr="00593AF3">
        <w:t xml:space="preserve"> at any point where the ratio of project product (that is, project natural gas, project sales gas and project liquid) to t</w:t>
      </w:r>
      <w:r w:rsidR="000A3B4F" w:rsidRPr="00593AF3">
        <w:t>otal product from the operation</w:t>
      </w:r>
      <w:r w:rsidR="00EB62D7" w:rsidRPr="00593AF3">
        <w:t xml:space="preserve"> changes. </w:t>
      </w:r>
    </w:p>
    <w:p w14:paraId="1B9070D1" w14:textId="77777777" w:rsidR="008B55EC" w:rsidRDefault="001773FA" w:rsidP="0074777B">
      <w:pPr>
        <w:pStyle w:val="EMpara"/>
        <w:spacing w:before="0" w:after="240"/>
      </w:pPr>
      <w:r>
        <w:lastRenderedPageBreak/>
        <w:t xml:space="preserve">The </w:t>
      </w:r>
      <w:r w:rsidR="008B55EC">
        <w:t>Regulation amend</w:t>
      </w:r>
      <w:r>
        <w:t>s</w:t>
      </w:r>
      <w:r w:rsidR="008B55EC">
        <w:t xml:space="preserve"> regulation 6 of the Principal Regulation to</w:t>
      </w:r>
      <w:r w:rsidR="00AF79CA" w:rsidRPr="00593AF3">
        <w:t xml:space="preserve"> provide that</w:t>
      </w:r>
      <w:r w:rsidR="00EB62D7" w:rsidRPr="00593AF3">
        <w:t>,</w:t>
      </w:r>
      <w:r w:rsidR="00AF79CA" w:rsidRPr="00593AF3">
        <w:t xml:space="preserve"> where an election</w:t>
      </w:r>
      <w:r w:rsidR="00611CB0">
        <w:t xml:space="preserve"> to use</w:t>
      </w:r>
      <w:r w:rsidR="00611CB0" w:rsidRPr="00593AF3">
        <w:t xml:space="preserve"> the modified RPM</w:t>
      </w:r>
      <w:r w:rsidR="00AF79CA" w:rsidRPr="00593AF3">
        <w:t xml:space="preserve"> has been made </w:t>
      </w:r>
      <w:r w:rsidR="00EB62D7" w:rsidRPr="00593AF3">
        <w:t>under</w:t>
      </w:r>
      <w:r w:rsidR="008B55EC">
        <w:t xml:space="preserve"> </w:t>
      </w:r>
      <w:r w:rsidR="00EB62D7" w:rsidRPr="00593AF3">
        <w:t>regulation 43</w:t>
      </w:r>
      <w:r w:rsidR="00AF79CA" w:rsidRPr="00593AF3">
        <w:t xml:space="preserve">, the </w:t>
      </w:r>
      <w:r w:rsidR="00733B6D" w:rsidRPr="00593AF3">
        <w:t xml:space="preserve">integrated </w:t>
      </w:r>
      <w:r w:rsidR="00AF79CA" w:rsidRPr="00593AF3">
        <w:t>GTL operation will only have a single phase point</w:t>
      </w:r>
      <w:r w:rsidR="00EB62D7" w:rsidRPr="00593AF3">
        <w:t xml:space="preserve"> - that</w:t>
      </w:r>
      <w:r w:rsidR="00AF79CA" w:rsidRPr="00593AF3">
        <w:t xml:space="preserve"> being where the upstream stage ends and the downstream stage begins.</w:t>
      </w:r>
    </w:p>
    <w:p w14:paraId="1B9070D2" w14:textId="77777777" w:rsidR="00AF79CA" w:rsidRDefault="00AF79CA" w:rsidP="0074777B">
      <w:pPr>
        <w:pStyle w:val="EMpara"/>
        <w:spacing w:before="0" w:after="240"/>
        <w:rPr>
          <w:b/>
          <w:i/>
          <w:sz w:val="18"/>
          <w:szCs w:val="18"/>
        </w:rPr>
      </w:pPr>
      <w:r w:rsidRPr="00593AF3">
        <w:t>The Regulation also remove</w:t>
      </w:r>
      <w:r w:rsidR="001773FA">
        <w:t>s</w:t>
      </w:r>
      <w:r w:rsidRPr="00593AF3">
        <w:t xml:space="preserve"> the requirement under </w:t>
      </w:r>
      <w:r w:rsidR="008B55EC">
        <w:t>s</w:t>
      </w:r>
      <w:r w:rsidR="00733B6D" w:rsidRPr="00593AF3">
        <w:t>ubr</w:t>
      </w:r>
      <w:r w:rsidRPr="00593AF3">
        <w:t xml:space="preserve">egulation </w:t>
      </w:r>
      <w:r w:rsidR="00733B6D" w:rsidRPr="00593AF3">
        <w:t>6(</w:t>
      </w:r>
      <w:r w:rsidRPr="00593AF3">
        <w:t>3</w:t>
      </w:r>
      <w:r w:rsidR="00733B6D" w:rsidRPr="00593AF3">
        <w:t>)</w:t>
      </w:r>
      <w:r w:rsidRPr="00593AF3">
        <w:t xml:space="preserve"> </w:t>
      </w:r>
      <w:r w:rsidR="008B55EC">
        <w:t xml:space="preserve">of the Principal Regulation </w:t>
      </w:r>
      <w:r w:rsidRPr="00593AF3">
        <w:t>for participants to notify the Commissioner of the phase points of the operation</w:t>
      </w:r>
      <w:r w:rsidR="00733B6D" w:rsidRPr="00593AF3">
        <w:t xml:space="preserve"> where such an election is made, </w:t>
      </w:r>
      <w:r w:rsidRPr="00593AF3">
        <w:t>given that there will only be one phase point.</w:t>
      </w:r>
      <w:r w:rsidR="008B55EC" w:rsidDel="008B55EC">
        <w:t xml:space="preserve"> </w:t>
      </w:r>
    </w:p>
    <w:p w14:paraId="1B9070D3" w14:textId="77777777" w:rsidR="002C0A74" w:rsidRPr="00593AF3" w:rsidRDefault="002C0A74" w:rsidP="0074777B">
      <w:pPr>
        <w:pStyle w:val="Heading3"/>
        <w:spacing w:before="0" w:after="240"/>
      </w:pPr>
      <w:r w:rsidRPr="00593AF3">
        <w:t>Estimated average annual volume or mass of project natural gas</w:t>
      </w:r>
    </w:p>
    <w:p w14:paraId="1B9070D4" w14:textId="77777777" w:rsidR="002C0A74" w:rsidRPr="00593AF3" w:rsidRDefault="008B55EC" w:rsidP="0074777B">
      <w:pPr>
        <w:pStyle w:val="EMpara"/>
        <w:spacing w:before="0" w:after="240"/>
      </w:pPr>
      <w:r>
        <w:t xml:space="preserve">Regulation 9 of the </w:t>
      </w:r>
      <w:r w:rsidR="002C0A74" w:rsidRPr="00593AF3">
        <w:t>Principal Regulation sets out how the estimate</w:t>
      </w:r>
      <w:r w:rsidR="00733B6D" w:rsidRPr="00593AF3">
        <w:t>d</w:t>
      </w:r>
      <w:r w:rsidR="002C0A74" w:rsidRPr="00593AF3">
        <w:t xml:space="preserve"> average annual volume of project natural gas for an integrated GTL operation is calculated</w:t>
      </w:r>
      <w:r w:rsidR="00733B6D" w:rsidRPr="00593AF3">
        <w:t>, as well as</w:t>
      </w:r>
      <w:r w:rsidR="002C0A74" w:rsidRPr="00593AF3">
        <w:t xml:space="preserve"> the requirement</w:t>
      </w:r>
      <w:r w:rsidR="00731A80">
        <w:t xml:space="preserve"> that the Commissioner be provided with </w:t>
      </w:r>
      <w:r w:rsidR="002C0A74" w:rsidRPr="00593AF3">
        <w:t xml:space="preserve">estimates or revised estimates </w:t>
      </w:r>
      <w:r w:rsidR="00731A80">
        <w:t xml:space="preserve">for the operating life of the operation and the total volume of gas to be recovered, </w:t>
      </w:r>
      <w:r w:rsidR="002C0A74" w:rsidRPr="00593AF3">
        <w:t xml:space="preserve">which form the basis of the calculation.  This estimate is necessary for determining the volume coefficient calculated under </w:t>
      </w:r>
      <w:r>
        <w:t>r</w:t>
      </w:r>
      <w:r w:rsidR="002C0A74" w:rsidRPr="00593AF3">
        <w:t>egulation 10</w:t>
      </w:r>
      <w:r>
        <w:t xml:space="preserve"> of the Principal Regulation</w:t>
      </w:r>
      <w:r w:rsidR="002C0A74" w:rsidRPr="00593AF3">
        <w:t xml:space="preserve">.  </w:t>
      </w:r>
    </w:p>
    <w:p w14:paraId="1B9070D5" w14:textId="77777777" w:rsidR="002C0A74" w:rsidRDefault="00731A80" w:rsidP="0074777B">
      <w:pPr>
        <w:pStyle w:val="EMpara"/>
        <w:spacing w:before="0" w:after="240"/>
      </w:pPr>
      <w:r w:rsidRPr="00593AF3">
        <w:t xml:space="preserve">As </w:t>
      </w:r>
      <w:r w:rsidR="0033101E">
        <w:t xml:space="preserve">previously </w:t>
      </w:r>
      <w:r w:rsidR="00611CB0">
        <w:t>outlined</w:t>
      </w:r>
      <w:r w:rsidR="00733B6D" w:rsidRPr="00593AF3">
        <w:t xml:space="preserve">, </w:t>
      </w:r>
      <w:r w:rsidR="0033101E">
        <w:t xml:space="preserve">the Regulation replaces </w:t>
      </w:r>
      <w:r w:rsidR="003B18D1">
        <w:t>regulation 9 of the Principal Regulation</w:t>
      </w:r>
      <w:r w:rsidR="002C0A74" w:rsidRPr="00593AF3">
        <w:t xml:space="preserve"> </w:t>
      </w:r>
      <w:r w:rsidR="00611CB0">
        <w:t>with</w:t>
      </w:r>
      <w:r w:rsidR="00733B6D" w:rsidRPr="00593AF3">
        <w:t xml:space="preserve"> a new regulation to ensure it is applicable </w:t>
      </w:r>
      <w:r w:rsidR="002C0A74" w:rsidRPr="00593AF3">
        <w:t xml:space="preserve">to integrated </w:t>
      </w:r>
      <w:r w:rsidR="0033101E">
        <w:t xml:space="preserve">GTL and GTE </w:t>
      </w:r>
      <w:r w:rsidR="002C0A74" w:rsidRPr="00593AF3">
        <w:t xml:space="preserve">operations and covers measurement by mass as well as volume.  </w:t>
      </w:r>
      <w:r w:rsidR="00733B6D" w:rsidRPr="00593AF3">
        <w:t xml:space="preserve">In addition, </w:t>
      </w:r>
      <w:r w:rsidR="003B18D1">
        <w:t>s</w:t>
      </w:r>
      <w:r w:rsidR="002C0A74" w:rsidRPr="00593AF3">
        <w:t>ubregulation 9(2)</w:t>
      </w:r>
      <w:r>
        <w:t xml:space="preserve"> </w:t>
      </w:r>
      <w:r w:rsidR="002C0A74" w:rsidRPr="00593AF3">
        <w:t>provide</w:t>
      </w:r>
      <w:r w:rsidR="0033101E">
        <w:t>s</w:t>
      </w:r>
      <w:r w:rsidR="002C0A74" w:rsidRPr="00593AF3">
        <w:t xml:space="preserve"> for a revised timeframe in which estimates of the </w:t>
      </w:r>
      <w:r w:rsidR="00733B6D" w:rsidRPr="00593AF3">
        <w:t xml:space="preserve">operating life and </w:t>
      </w:r>
      <w:r w:rsidR="002C0A74" w:rsidRPr="00593AF3">
        <w:t>volume or mass of project natural gas</w:t>
      </w:r>
      <w:r w:rsidR="00733B6D" w:rsidRPr="00593AF3">
        <w:t xml:space="preserve"> to be recovered</w:t>
      </w:r>
      <w:r w:rsidR="002C0A74" w:rsidRPr="00593AF3">
        <w:t xml:space="preserve"> </w:t>
      </w:r>
      <w:r w:rsidR="000945B4" w:rsidRPr="00593AF3">
        <w:t>must</w:t>
      </w:r>
      <w:r w:rsidR="002C0A74" w:rsidRPr="00593AF3">
        <w:t xml:space="preserve"> be provided to the Commissioner in </w:t>
      </w:r>
      <w:r w:rsidR="00733B6D" w:rsidRPr="00593AF3">
        <w:t xml:space="preserve">circumstances where </w:t>
      </w:r>
      <w:r w:rsidR="00611CB0">
        <w:t xml:space="preserve">an election under </w:t>
      </w:r>
      <w:r w:rsidR="003B18D1">
        <w:t>r</w:t>
      </w:r>
      <w:r w:rsidR="002C0A74" w:rsidRPr="00593AF3">
        <w:t>egulation 43</w:t>
      </w:r>
      <w:r w:rsidR="00611CB0">
        <w:t xml:space="preserve"> has been made. In such cases, estimates must be provided to the Commissioner </w:t>
      </w:r>
      <w:r w:rsidR="00F72328">
        <w:t>no later than the date</w:t>
      </w:r>
      <w:r w:rsidR="006161CE">
        <w:t xml:space="preserve"> participants are required to provide their starting base return under Schedule 2 of the Act</w:t>
      </w:r>
      <w:r w:rsidR="00611CB0">
        <w:t>,</w:t>
      </w:r>
      <w:r w:rsidR="00733B6D" w:rsidRPr="00593AF3">
        <w:t xml:space="preserve"> or </w:t>
      </w:r>
      <w:r w:rsidR="00C66255" w:rsidRPr="00593AF3">
        <w:t xml:space="preserve">a later day agreed by the </w:t>
      </w:r>
      <w:r w:rsidR="00611CB0">
        <w:t>C</w:t>
      </w:r>
      <w:r w:rsidR="00C66255" w:rsidRPr="00593AF3">
        <w:t>ommissioner</w:t>
      </w:r>
      <w:r w:rsidR="002C0A74">
        <w:t>.</w:t>
      </w:r>
      <w:r w:rsidR="003B18D1" w:rsidRPr="00611CB0" w:rsidDel="003B18D1">
        <w:rPr>
          <w:rStyle w:val="Referencingstyle"/>
        </w:rPr>
        <w:t xml:space="preserve"> </w:t>
      </w:r>
    </w:p>
    <w:p w14:paraId="1B9070D6" w14:textId="77777777" w:rsidR="002C0A74" w:rsidRPr="00335FC0" w:rsidRDefault="0033101E" w:rsidP="0074777B">
      <w:pPr>
        <w:pStyle w:val="EMpara"/>
        <w:spacing w:before="0" w:after="240"/>
      </w:pPr>
      <w:r>
        <w:rPr>
          <w:rStyle w:val="EMparaChar"/>
        </w:rPr>
        <w:t xml:space="preserve">The </w:t>
      </w:r>
      <w:r w:rsidR="000945B4" w:rsidRPr="00DC34F9">
        <w:rPr>
          <w:rStyle w:val="EMparaChar"/>
        </w:rPr>
        <w:t>Regulation also replace</w:t>
      </w:r>
      <w:r>
        <w:rPr>
          <w:rStyle w:val="EMparaChar"/>
        </w:rPr>
        <w:t>s</w:t>
      </w:r>
      <w:r w:rsidR="000945B4" w:rsidRPr="00DC34F9">
        <w:rPr>
          <w:rStyle w:val="EMparaChar"/>
        </w:rPr>
        <w:t xml:space="preserve"> </w:t>
      </w:r>
      <w:r w:rsidR="003B18D1">
        <w:rPr>
          <w:rStyle w:val="EMparaChar"/>
        </w:rPr>
        <w:t>s</w:t>
      </w:r>
      <w:r w:rsidR="00335FC0" w:rsidRPr="00DC34F9">
        <w:rPr>
          <w:rStyle w:val="EMparaChar"/>
        </w:rPr>
        <w:t xml:space="preserve">ubregulation 10(1) </w:t>
      </w:r>
      <w:r w:rsidR="003B18D1">
        <w:rPr>
          <w:rStyle w:val="EMparaChar"/>
        </w:rPr>
        <w:t xml:space="preserve">of the Principal Regulation </w:t>
      </w:r>
      <w:r w:rsidR="000945B4" w:rsidRPr="00DC34F9">
        <w:rPr>
          <w:rStyle w:val="EMparaChar"/>
        </w:rPr>
        <w:t xml:space="preserve">to include </w:t>
      </w:r>
      <w:r w:rsidR="00335FC0" w:rsidRPr="00DC34F9">
        <w:rPr>
          <w:rStyle w:val="EMparaChar"/>
        </w:rPr>
        <w:t xml:space="preserve">a new definition of </w:t>
      </w:r>
      <w:r>
        <w:rPr>
          <w:rStyle w:val="EMparaChar"/>
        </w:rPr>
        <w:t>“</w:t>
      </w:r>
      <w:r w:rsidR="00335FC0" w:rsidRPr="00DC34F9">
        <w:rPr>
          <w:rStyle w:val="EMparaChar"/>
        </w:rPr>
        <w:t>base year</w:t>
      </w:r>
      <w:r>
        <w:rPr>
          <w:rStyle w:val="EMparaChar"/>
        </w:rPr>
        <w:t>”</w:t>
      </w:r>
      <w:r w:rsidR="00731A80" w:rsidRPr="00DC34F9">
        <w:rPr>
          <w:rStyle w:val="EMparaChar"/>
        </w:rPr>
        <w:t>,</w:t>
      </w:r>
      <w:r w:rsidR="000945B4" w:rsidRPr="00DC34F9">
        <w:rPr>
          <w:rStyle w:val="EMparaChar"/>
        </w:rPr>
        <w:t xml:space="preserve"> which is used in determining the volume coefficie</w:t>
      </w:r>
      <w:r w:rsidR="00731A80" w:rsidRPr="00DC34F9">
        <w:rPr>
          <w:rStyle w:val="EMparaChar"/>
        </w:rPr>
        <w:t>nt of an integrated operation</w:t>
      </w:r>
      <w:r w:rsidR="000945B4" w:rsidRPr="00DC34F9">
        <w:rPr>
          <w:rStyle w:val="EMparaChar"/>
        </w:rPr>
        <w:t xml:space="preserve">. The </w:t>
      </w:r>
      <w:r w:rsidR="003B18D1">
        <w:rPr>
          <w:rStyle w:val="EMparaChar"/>
        </w:rPr>
        <w:t>Regulation</w:t>
      </w:r>
      <w:r w:rsidR="000945B4" w:rsidRPr="00DC34F9">
        <w:rPr>
          <w:rStyle w:val="EMparaChar"/>
        </w:rPr>
        <w:t xml:space="preserve"> </w:t>
      </w:r>
      <w:r w:rsidR="003B18D1">
        <w:rPr>
          <w:rStyle w:val="EMparaChar"/>
        </w:rPr>
        <w:t>provide</w:t>
      </w:r>
      <w:r>
        <w:rPr>
          <w:rStyle w:val="EMparaChar"/>
        </w:rPr>
        <w:t>s</w:t>
      </w:r>
      <w:r w:rsidR="00D12E47" w:rsidRPr="00DC34F9">
        <w:rPr>
          <w:rStyle w:val="EMparaChar"/>
        </w:rPr>
        <w:t xml:space="preserve"> that</w:t>
      </w:r>
      <w:r w:rsidR="0055258A" w:rsidRPr="00DC34F9">
        <w:rPr>
          <w:rStyle w:val="EMparaChar"/>
        </w:rPr>
        <w:t>,</w:t>
      </w:r>
      <w:r w:rsidR="00D12E47" w:rsidRPr="00DC34F9">
        <w:rPr>
          <w:rStyle w:val="EMparaChar"/>
        </w:rPr>
        <w:t xml:space="preserve"> where an election has been made in relation to </w:t>
      </w:r>
      <w:r w:rsidR="000945B4" w:rsidRPr="00DC34F9">
        <w:rPr>
          <w:rStyle w:val="EMparaChar"/>
        </w:rPr>
        <w:t>an integrated</w:t>
      </w:r>
      <w:r w:rsidR="00D12E47" w:rsidRPr="00DC34F9">
        <w:rPr>
          <w:rStyle w:val="EMparaChar"/>
        </w:rPr>
        <w:t xml:space="preserve"> operation under </w:t>
      </w:r>
      <w:r w:rsidR="003B18D1">
        <w:rPr>
          <w:rStyle w:val="EMparaChar"/>
        </w:rPr>
        <w:t>r</w:t>
      </w:r>
      <w:r w:rsidR="00D12E47" w:rsidRPr="00DC34F9">
        <w:rPr>
          <w:rStyle w:val="EMparaChar"/>
        </w:rPr>
        <w:t>egulation 43, the base year is the 2012-13 year of tax</w:t>
      </w:r>
      <w:r w:rsidR="00731A80" w:rsidRPr="00DC34F9">
        <w:rPr>
          <w:rStyle w:val="EMparaChar"/>
        </w:rPr>
        <w:t>. Th</w:t>
      </w:r>
      <w:r w:rsidR="0055258A" w:rsidRPr="00DC34F9">
        <w:rPr>
          <w:rStyle w:val="EMparaChar"/>
        </w:rPr>
        <w:t xml:space="preserve">e base year arrangements are mirrored in the </w:t>
      </w:r>
      <w:r>
        <w:rPr>
          <w:rStyle w:val="EMparaChar"/>
        </w:rPr>
        <w:t>new</w:t>
      </w:r>
      <w:r w:rsidR="0055258A" w:rsidRPr="00DC34F9">
        <w:rPr>
          <w:rStyle w:val="EMparaChar"/>
        </w:rPr>
        <w:t xml:space="preserve"> </w:t>
      </w:r>
      <w:r w:rsidR="003B18D1">
        <w:rPr>
          <w:rStyle w:val="EMparaChar"/>
        </w:rPr>
        <w:t>r</w:t>
      </w:r>
      <w:r w:rsidR="0055258A" w:rsidRPr="00DC34F9">
        <w:rPr>
          <w:rStyle w:val="EMparaChar"/>
        </w:rPr>
        <w:t>egulation 10A</w:t>
      </w:r>
      <w:r w:rsidR="00731A80" w:rsidRPr="00DC34F9">
        <w:rPr>
          <w:rStyle w:val="EMparaChar"/>
        </w:rPr>
        <w:t xml:space="preserve"> </w:t>
      </w:r>
      <w:r w:rsidR="0055258A" w:rsidRPr="00DC34F9">
        <w:rPr>
          <w:rStyle w:val="EMparaChar"/>
        </w:rPr>
        <w:t xml:space="preserve">with regard to calculating </w:t>
      </w:r>
      <w:r w:rsidR="00731A80" w:rsidRPr="00DC34F9">
        <w:rPr>
          <w:rStyle w:val="EMparaChar"/>
        </w:rPr>
        <w:t xml:space="preserve">mass coefficients for </w:t>
      </w:r>
      <w:r w:rsidR="0055258A" w:rsidRPr="00DC34F9">
        <w:rPr>
          <w:rStyle w:val="EMparaChar"/>
        </w:rPr>
        <w:t>operations</w:t>
      </w:r>
      <w:r w:rsidR="00731A80" w:rsidRPr="00DC34F9">
        <w:rPr>
          <w:rStyle w:val="EMparaChar"/>
        </w:rPr>
        <w:t xml:space="preserve"> measuring by mass</w:t>
      </w:r>
      <w:r w:rsidR="00731A80" w:rsidRPr="00593AF3">
        <w:t>.</w:t>
      </w:r>
    </w:p>
    <w:p w14:paraId="1B9070D7" w14:textId="77777777" w:rsidR="00373E1B" w:rsidRPr="00055996" w:rsidRDefault="0071276D" w:rsidP="0074777B">
      <w:pPr>
        <w:pStyle w:val="Heading3"/>
        <w:spacing w:before="0" w:after="240"/>
      </w:pPr>
      <w:r w:rsidRPr="00445A8C">
        <w:t>Amount and timing of included capital costs</w:t>
      </w:r>
    </w:p>
    <w:p w14:paraId="1B9070D8" w14:textId="77777777" w:rsidR="003F4720" w:rsidRDefault="003B18D1" w:rsidP="0074777B">
      <w:pPr>
        <w:pStyle w:val="EMpara"/>
        <w:spacing w:before="0" w:after="240"/>
      </w:pPr>
      <w:r>
        <w:t xml:space="preserve">Regulation 31 of the </w:t>
      </w:r>
      <w:r w:rsidR="0055258A">
        <w:t xml:space="preserve">Principal Regulation </w:t>
      </w:r>
      <w:r w:rsidR="0024506A">
        <w:t xml:space="preserve">defines what constitutes the capital costs and operating </w:t>
      </w:r>
      <w:r w:rsidR="003F4720">
        <w:t xml:space="preserve">costs </w:t>
      </w:r>
      <w:r w:rsidR="0024506A">
        <w:t xml:space="preserve">of an integrated operation for the purposes of </w:t>
      </w:r>
      <w:r w:rsidR="00ED30B6">
        <w:t xml:space="preserve">a taxpayer </w:t>
      </w:r>
      <w:r w:rsidR="0024506A">
        <w:t>determining the netback</w:t>
      </w:r>
      <w:r w:rsidR="003F4720">
        <w:t xml:space="preserve"> and cost-</w:t>
      </w:r>
      <w:r w:rsidR="0024506A">
        <w:t>plus prices</w:t>
      </w:r>
      <w:r w:rsidR="00ED30B6">
        <w:t xml:space="preserve"> under the RPM.</w:t>
      </w:r>
    </w:p>
    <w:p w14:paraId="1B9070D9" w14:textId="77777777" w:rsidR="003B18D1" w:rsidRDefault="00FE23E8" w:rsidP="0074777B">
      <w:pPr>
        <w:pStyle w:val="EMpara"/>
        <w:spacing w:before="0" w:after="240"/>
      </w:pPr>
      <w:r>
        <w:t xml:space="preserve">The </w:t>
      </w:r>
      <w:r w:rsidR="003B18D1">
        <w:t xml:space="preserve">Regulation </w:t>
      </w:r>
      <w:r w:rsidR="004756B7" w:rsidRPr="00593AF3">
        <w:t>insert</w:t>
      </w:r>
      <w:r>
        <w:t>s</w:t>
      </w:r>
      <w:r w:rsidR="00373E1B" w:rsidRPr="00593AF3">
        <w:t xml:space="preserve"> </w:t>
      </w:r>
      <w:r w:rsidR="003B18D1">
        <w:t>s</w:t>
      </w:r>
      <w:r w:rsidR="00373E1B" w:rsidRPr="00593AF3">
        <w:t>ubregulation 31(1A)</w:t>
      </w:r>
      <w:r w:rsidR="003B18D1">
        <w:t xml:space="preserve"> into the Principal Regulation</w:t>
      </w:r>
      <w:r w:rsidR="0024506A">
        <w:t>,</w:t>
      </w:r>
      <w:r>
        <w:t xml:space="preserve"> which </w:t>
      </w:r>
      <w:r w:rsidR="003C0CDA" w:rsidRPr="00593AF3">
        <w:t>exclude</w:t>
      </w:r>
      <w:r>
        <w:t>s</w:t>
      </w:r>
      <w:r w:rsidR="003C0CDA" w:rsidRPr="00593AF3">
        <w:t xml:space="preserve"> </w:t>
      </w:r>
      <w:r w:rsidR="003F4720">
        <w:t xml:space="preserve">those </w:t>
      </w:r>
      <w:r w:rsidR="003C0CDA" w:rsidRPr="00593AF3">
        <w:t>costs inc</w:t>
      </w:r>
      <w:r>
        <w:t>urred before 1 July 2012</w:t>
      </w:r>
      <w:r w:rsidR="003C0CDA" w:rsidRPr="00593AF3">
        <w:t xml:space="preserve"> as being capital costs for </w:t>
      </w:r>
      <w:r w:rsidR="00373E1B" w:rsidRPr="00593AF3">
        <w:t>integrated GTL operations</w:t>
      </w:r>
      <w:r w:rsidR="003F4720">
        <w:t xml:space="preserve"> </w:t>
      </w:r>
      <w:r w:rsidR="003C0CDA" w:rsidRPr="00593AF3">
        <w:t>where an election has be</w:t>
      </w:r>
      <w:r w:rsidR="00ED30B6">
        <w:t>en made under</w:t>
      </w:r>
      <w:r w:rsidR="003B18D1">
        <w:t xml:space="preserve"> r</w:t>
      </w:r>
      <w:r w:rsidR="00ED30B6">
        <w:t>egulation</w:t>
      </w:r>
      <w:r w:rsidR="00714F6C">
        <w:t>s</w:t>
      </w:r>
      <w:r w:rsidR="00ED30B6">
        <w:t xml:space="preserve"> 43</w:t>
      </w:r>
      <w:r w:rsidR="00714F6C">
        <w:t xml:space="preserve"> or 44</w:t>
      </w:r>
      <w:r w:rsidR="00ED30B6">
        <w:t xml:space="preserve">. </w:t>
      </w:r>
    </w:p>
    <w:p w14:paraId="1B9070DA" w14:textId="77777777" w:rsidR="00EC5693" w:rsidRPr="00DC34F9" w:rsidRDefault="00ED30B6" w:rsidP="0074777B">
      <w:pPr>
        <w:pStyle w:val="EMpara"/>
        <w:spacing w:before="0" w:after="240"/>
        <w:rPr>
          <w:rStyle w:val="Referencingstyle"/>
        </w:rPr>
      </w:pPr>
      <w:r>
        <w:t>This</w:t>
      </w:r>
      <w:r w:rsidR="003C0CDA" w:rsidRPr="00593AF3">
        <w:t xml:space="preserve"> </w:t>
      </w:r>
      <w:r w:rsidR="003F4720">
        <w:t xml:space="preserve">is to prevent the double-counting of capital costs </w:t>
      </w:r>
      <w:r>
        <w:t xml:space="preserve">which could otherwise occur because, where </w:t>
      </w:r>
      <w:r w:rsidR="003C0CDA" w:rsidRPr="00593AF3">
        <w:t>an election is made</w:t>
      </w:r>
      <w:r>
        <w:t xml:space="preserve"> under </w:t>
      </w:r>
      <w:r w:rsidR="003B18D1">
        <w:t>r</w:t>
      </w:r>
      <w:r>
        <w:t>egulation</w:t>
      </w:r>
      <w:r w:rsidR="00714F6C">
        <w:t>s</w:t>
      </w:r>
      <w:r>
        <w:t xml:space="preserve"> 43</w:t>
      </w:r>
      <w:r w:rsidR="00714F6C">
        <w:t xml:space="preserve"> or 44</w:t>
      </w:r>
      <w:r w:rsidR="003C0CDA" w:rsidRPr="00593AF3">
        <w:t>, the capital costs</w:t>
      </w:r>
      <w:r w:rsidR="003F4720">
        <w:t xml:space="preserve"> incurred prior to the 2012-13 tax year</w:t>
      </w:r>
      <w:r w:rsidR="003C0CDA" w:rsidRPr="00593AF3">
        <w:t xml:space="preserve"> used in the netback and cost-plus formulas will</w:t>
      </w:r>
      <w:r w:rsidR="006149AA" w:rsidRPr="00593AF3">
        <w:t xml:space="preserve"> instead</w:t>
      </w:r>
      <w:r w:rsidR="003C0CDA" w:rsidRPr="00593AF3">
        <w:t xml:space="preserve"> be determined </w:t>
      </w:r>
      <w:r w:rsidR="006149AA" w:rsidRPr="00593AF3">
        <w:t xml:space="preserve">using the </w:t>
      </w:r>
      <w:r>
        <w:t xml:space="preserve">specified </w:t>
      </w:r>
      <w:r w:rsidR="006149AA" w:rsidRPr="00593AF3">
        <w:t>ap</w:t>
      </w:r>
      <w:r w:rsidR="00FE23E8">
        <w:t>p</w:t>
      </w:r>
      <w:r w:rsidR="006149AA" w:rsidRPr="00593AF3">
        <w:t>roach set out in regulation</w:t>
      </w:r>
      <w:r w:rsidR="009D7B26">
        <w:t> </w:t>
      </w:r>
      <w:r w:rsidR="006149AA" w:rsidRPr="00593AF3">
        <w:t>31A</w:t>
      </w:r>
      <w:r w:rsidR="00714F6C">
        <w:t xml:space="preserve"> as outlined below</w:t>
      </w:r>
      <w:r>
        <w:t>.</w:t>
      </w:r>
      <w:r w:rsidR="00373E1B" w:rsidRPr="00593AF3">
        <w:t xml:space="preserve"> </w:t>
      </w:r>
    </w:p>
    <w:p w14:paraId="1B9070DB" w14:textId="77777777" w:rsidR="00222436" w:rsidRDefault="009D7B26" w:rsidP="0074777B">
      <w:pPr>
        <w:pStyle w:val="EMpara"/>
        <w:spacing w:before="0" w:after="240"/>
      </w:pPr>
      <w:r w:rsidRPr="009D7B26">
        <w:lastRenderedPageBreak/>
        <w:t xml:space="preserve">The </w:t>
      </w:r>
      <w:r w:rsidR="00FE23E8">
        <w:t xml:space="preserve">Regulation </w:t>
      </w:r>
      <w:r w:rsidRPr="009D7B26">
        <w:t>insert</w:t>
      </w:r>
      <w:r w:rsidR="00FE23E8">
        <w:t>s</w:t>
      </w:r>
      <w:r w:rsidRPr="009D7B26">
        <w:t xml:space="preserve"> </w:t>
      </w:r>
      <w:r>
        <w:t>r</w:t>
      </w:r>
      <w:r w:rsidR="00ED30B6" w:rsidRPr="00593AF3">
        <w:t xml:space="preserve">egulation 31A </w:t>
      </w:r>
      <w:r>
        <w:t xml:space="preserve">into the Principal Regulation </w:t>
      </w:r>
      <w:r w:rsidR="00ED30B6" w:rsidRPr="00593AF3">
        <w:t>which provides for the amount and timing of included capital costs incurred before 1</w:t>
      </w:r>
      <w:r>
        <w:t> </w:t>
      </w:r>
      <w:r w:rsidR="00ED30B6" w:rsidRPr="00593AF3">
        <w:t>Jul</w:t>
      </w:r>
      <w:r>
        <w:t>y</w:t>
      </w:r>
      <w:r w:rsidR="00ED30B6" w:rsidRPr="00593AF3">
        <w:t xml:space="preserve"> 2012 in relation to</w:t>
      </w:r>
      <w:r w:rsidR="00222436">
        <w:t>:</w:t>
      </w:r>
    </w:p>
    <w:p w14:paraId="1B9070DC" w14:textId="77777777" w:rsidR="00222436" w:rsidRDefault="00ED30B6" w:rsidP="0074777B">
      <w:pPr>
        <w:pStyle w:val="Bullet"/>
        <w:spacing w:after="240"/>
      </w:pPr>
      <w:r w:rsidRPr="00593AF3">
        <w:t>integrated GTL operations which existed before 2</w:t>
      </w:r>
      <w:r w:rsidR="009D7B26">
        <w:t> </w:t>
      </w:r>
      <w:r w:rsidRPr="00593AF3">
        <w:t>May</w:t>
      </w:r>
      <w:r w:rsidR="009D7B26">
        <w:t> </w:t>
      </w:r>
      <w:r w:rsidRPr="00593AF3">
        <w:t xml:space="preserve">2010, and where an election has been made under </w:t>
      </w:r>
      <w:r w:rsidR="00FE23E8">
        <w:t>r</w:t>
      </w:r>
      <w:r w:rsidRPr="00593AF3">
        <w:t>egulation 43 to apply the modified RPM</w:t>
      </w:r>
      <w:r w:rsidR="00222436">
        <w:t>; and</w:t>
      </w:r>
    </w:p>
    <w:p w14:paraId="1B9070DD" w14:textId="77777777" w:rsidR="00ED30B6" w:rsidRDefault="00752222" w:rsidP="0074777B">
      <w:pPr>
        <w:pStyle w:val="Bullet"/>
        <w:spacing w:after="240"/>
      </w:pPr>
      <w:r>
        <w:t>i</w:t>
      </w:r>
      <w:r w:rsidR="00222436">
        <w:t>ntegrated onshore operations that made an election under regulation 44 to use the depreciated replacement cost method.</w:t>
      </w:r>
    </w:p>
    <w:p w14:paraId="1B9070DE" w14:textId="77777777" w:rsidR="00ED30B6" w:rsidRPr="00593AF3" w:rsidRDefault="00ED30B6" w:rsidP="0074777B">
      <w:pPr>
        <w:pStyle w:val="EMpara"/>
        <w:spacing w:before="0" w:after="240"/>
      </w:pPr>
      <w:r>
        <w:t>F</w:t>
      </w:r>
      <w:r w:rsidRPr="00593AF3">
        <w:t>or integrated operations that existed prior to 2 May 2010 where an election has been made to apply the modified RPM method</w:t>
      </w:r>
      <w:r w:rsidR="00222436">
        <w:t>, and for integrated onshore operations where an election has been made to apply the depreciated replacement cost method</w:t>
      </w:r>
      <w:r w:rsidR="0074777B">
        <w:t xml:space="preserve">, </w:t>
      </w:r>
      <w:r w:rsidR="009D7B26">
        <w:t>r</w:t>
      </w:r>
      <w:r>
        <w:t>egulation 31A specifies that</w:t>
      </w:r>
      <w:r w:rsidRPr="00593AF3">
        <w:t>:</w:t>
      </w:r>
    </w:p>
    <w:p w14:paraId="1B9070DF" w14:textId="77777777" w:rsidR="00ED30B6" w:rsidRPr="00593AF3" w:rsidRDefault="00ED30B6" w:rsidP="0074777B">
      <w:pPr>
        <w:pStyle w:val="Bullet"/>
        <w:spacing w:after="240"/>
        <w:rPr>
          <w:rStyle w:val="Referencingstyle"/>
          <w:szCs w:val="20"/>
        </w:rPr>
      </w:pPr>
      <w:r>
        <w:t>capital costs i</w:t>
      </w:r>
      <w:r w:rsidRPr="00593AF3">
        <w:t>ncurred prior to 1 July 2012 will be taken to have been incurred on</w:t>
      </w:r>
      <w:r>
        <w:t xml:space="preserve"> </w:t>
      </w:r>
      <w:r w:rsidRPr="00593AF3">
        <w:t>1 July 2012 and not when they were actually incurred.</w:t>
      </w:r>
    </w:p>
    <w:p w14:paraId="1B9070E0" w14:textId="77777777" w:rsidR="009D7B26" w:rsidRDefault="009D7B26" w:rsidP="0074777B">
      <w:pPr>
        <w:pStyle w:val="Bullet"/>
        <w:spacing w:after="240"/>
      </w:pPr>
      <w:r>
        <w:t>w</w:t>
      </w:r>
      <w:r w:rsidR="00ED30B6" w:rsidRPr="00593AF3">
        <w:t xml:space="preserve">here a capital cost </w:t>
      </w:r>
      <w:r w:rsidR="00ED30B6">
        <w:t>was</w:t>
      </w:r>
      <w:r w:rsidR="00ED30B6" w:rsidRPr="00593AF3">
        <w:t xml:space="preserve"> for a unit of property that was completed before </w:t>
      </w:r>
      <w:r w:rsidR="00ED30B6">
        <w:br/>
      </w:r>
      <w:r w:rsidR="00ED30B6" w:rsidRPr="00593AF3">
        <w:t xml:space="preserve">2 May 2010, the amount of the cost is taken to be the depreciated replacement cost of the unit as at 1 May 2010.  </w:t>
      </w:r>
    </w:p>
    <w:p w14:paraId="1B9070E1" w14:textId="77777777" w:rsidR="00ED30B6" w:rsidRPr="00593AF3" w:rsidRDefault="00ED30B6" w:rsidP="0074777B">
      <w:pPr>
        <w:pStyle w:val="Dash"/>
        <w:spacing w:after="240"/>
      </w:pPr>
      <w:r w:rsidRPr="00593AF3">
        <w:t xml:space="preserve">The depreciated replacement cost is given the same meaning as in Accounting Standard </w:t>
      </w:r>
      <w:r w:rsidRPr="0074777B">
        <w:rPr>
          <w:i/>
        </w:rPr>
        <w:t>AASB 136 Impairment of Assets</w:t>
      </w:r>
      <w:r w:rsidRPr="00593AF3">
        <w:t>.</w:t>
      </w:r>
      <w:r>
        <w:t xml:space="preserve"> </w:t>
      </w:r>
    </w:p>
    <w:p w14:paraId="1B9070E2" w14:textId="77777777" w:rsidR="009D7B26" w:rsidRDefault="00ED30B6" w:rsidP="0074777B">
      <w:pPr>
        <w:pStyle w:val="EMpara"/>
        <w:spacing w:before="0" w:after="240"/>
      </w:pPr>
      <w:r w:rsidRPr="00593AF3">
        <w:t xml:space="preserve">The </w:t>
      </w:r>
      <w:r>
        <w:t>t</w:t>
      </w:r>
      <w:r w:rsidRPr="00593AF3">
        <w:t xml:space="preserve">able in </w:t>
      </w:r>
      <w:r w:rsidR="009D7B26">
        <w:t>r</w:t>
      </w:r>
      <w:r w:rsidRPr="00593AF3">
        <w:t>egulation 25</w:t>
      </w:r>
      <w:r w:rsidR="009D7B26">
        <w:t xml:space="preserve"> of the Principal Regulation </w:t>
      </w:r>
      <w:r w:rsidRPr="00593AF3">
        <w:t>sets out when the RPM can be used, as well as what the RPM does, and the steps involved</w:t>
      </w:r>
      <w:r w:rsidR="00CA348D">
        <w:t xml:space="preserve"> in determining an RPM price</w:t>
      </w:r>
      <w:r w:rsidRPr="00593AF3">
        <w:t xml:space="preserve">. </w:t>
      </w:r>
    </w:p>
    <w:p w14:paraId="1B9070E3" w14:textId="77777777" w:rsidR="00ED30B6" w:rsidRDefault="009D7B26" w:rsidP="0074777B">
      <w:pPr>
        <w:pStyle w:val="EMpara"/>
        <w:spacing w:before="0" w:after="240"/>
        <w:rPr>
          <w:b/>
          <w:i/>
          <w:sz w:val="18"/>
          <w:szCs w:val="18"/>
        </w:rPr>
      </w:pPr>
      <w:r>
        <w:t xml:space="preserve">The </w:t>
      </w:r>
      <w:r w:rsidR="00EC1B25">
        <w:t xml:space="preserve">Regulation </w:t>
      </w:r>
      <w:r>
        <w:t>make</w:t>
      </w:r>
      <w:r w:rsidR="00EC1B25">
        <w:t>s</w:t>
      </w:r>
      <w:r>
        <w:t xml:space="preserve"> m</w:t>
      </w:r>
      <w:r w:rsidR="00ED30B6" w:rsidRPr="00593AF3">
        <w:t xml:space="preserve">inor amendments to </w:t>
      </w:r>
      <w:r w:rsidR="00EC1B25">
        <w:t xml:space="preserve">the table to </w:t>
      </w:r>
      <w:r w:rsidR="00ED30B6" w:rsidRPr="00593AF3">
        <w:t xml:space="preserve">clarify that, where an election </w:t>
      </w:r>
      <w:r w:rsidR="00CA348D">
        <w:t xml:space="preserve">has been </w:t>
      </w:r>
      <w:r w:rsidR="00ED30B6" w:rsidRPr="00593AF3">
        <w:t xml:space="preserve">made under </w:t>
      </w:r>
      <w:r>
        <w:t>r</w:t>
      </w:r>
      <w:r w:rsidR="00ED30B6" w:rsidRPr="00593AF3">
        <w:t>egulation</w:t>
      </w:r>
      <w:r w:rsidR="007053ED">
        <w:t>s</w:t>
      </w:r>
      <w:r w:rsidR="00ED30B6" w:rsidRPr="00593AF3">
        <w:t xml:space="preserve"> 43</w:t>
      </w:r>
      <w:r w:rsidR="007053ED">
        <w:t xml:space="preserve"> or 44</w:t>
      </w:r>
      <w:r w:rsidR="00ED30B6" w:rsidRPr="00593AF3">
        <w:t xml:space="preserve"> in relation to an integrated operation, less information is needed about capital costs incurred before</w:t>
      </w:r>
      <w:r w:rsidR="00705DA8">
        <w:br/>
      </w:r>
      <w:r w:rsidR="00ED30B6" w:rsidRPr="00593AF3">
        <w:t>2 May 2010 than would ordinarily be required for the RPM to be used. This is because of the modified method by which capital costs will be determined for such operations, as outlined above.</w:t>
      </w:r>
    </w:p>
    <w:p w14:paraId="1B9070E4" w14:textId="77777777" w:rsidR="0071276D" w:rsidRDefault="00EC1B25" w:rsidP="0074777B">
      <w:pPr>
        <w:pStyle w:val="EMpara"/>
        <w:spacing w:before="0" w:after="240"/>
      </w:pPr>
      <w:r>
        <w:t xml:space="preserve">The </w:t>
      </w:r>
      <w:r w:rsidR="009D7B26">
        <w:t xml:space="preserve">Regulation </w:t>
      </w:r>
      <w:r w:rsidR="007053ED">
        <w:t xml:space="preserve">also </w:t>
      </w:r>
      <w:r w:rsidR="009D7B26">
        <w:t>make</w:t>
      </w:r>
      <w:r>
        <w:t>s a</w:t>
      </w:r>
      <w:r w:rsidR="003C0CDA" w:rsidRPr="00593AF3">
        <w:t xml:space="preserve"> minor amendment to step 6 </w:t>
      </w:r>
      <w:r w:rsidR="0071276D" w:rsidRPr="00593AF3">
        <w:t>of the RPM method statement</w:t>
      </w:r>
      <w:r w:rsidR="00CA348D">
        <w:t xml:space="preserve"> </w:t>
      </w:r>
      <w:r w:rsidR="0071276D" w:rsidRPr="00593AF3">
        <w:t xml:space="preserve">in </w:t>
      </w:r>
      <w:r w:rsidR="009D7B26">
        <w:t xml:space="preserve">regulation 25 of the </w:t>
      </w:r>
      <w:r w:rsidR="00ED30B6">
        <w:t>P</w:t>
      </w:r>
      <w:r w:rsidR="0071276D" w:rsidRPr="00593AF3">
        <w:t xml:space="preserve">rincipal </w:t>
      </w:r>
      <w:r w:rsidR="00ED30B6">
        <w:t>R</w:t>
      </w:r>
      <w:r w:rsidR="0071276D" w:rsidRPr="00593AF3">
        <w:t>egulation</w:t>
      </w:r>
      <w:r w:rsidR="003C0CDA" w:rsidRPr="00593AF3">
        <w:t xml:space="preserve">, </w:t>
      </w:r>
      <w:r w:rsidR="00EC5693" w:rsidRPr="00593AF3">
        <w:t xml:space="preserve">to </w:t>
      </w:r>
      <w:r w:rsidR="003C0CDA" w:rsidRPr="00593AF3">
        <w:t>clarify that, in circumstances where an election had been made under regulation</w:t>
      </w:r>
      <w:r w:rsidR="007053ED">
        <w:t>s</w:t>
      </w:r>
      <w:r w:rsidR="003C0CDA" w:rsidRPr="00593AF3">
        <w:t xml:space="preserve"> 43</w:t>
      </w:r>
      <w:r w:rsidR="007053ED">
        <w:t xml:space="preserve"> or 44</w:t>
      </w:r>
      <w:r w:rsidR="003C0CDA" w:rsidRPr="00593AF3">
        <w:t xml:space="preserve">, </w:t>
      </w:r>
      <w:r w:rsidR="009D7B26">
        <w:t>re</w:t>
      </w:r>
      <w:r w:rsidR="00EC5693" w:rsidRPr="00593AF3">
        <w:t>gulation</w:t>
      </w:r>
      <w:r w:rsidR="009D7B26">
        <w:t> </w:t>
      </w:r>
      <w:r w:rsidR="00EC5693" w:rsidRPr="00593AF3">
        <w:t>31A is</w:t>
      </w:r>
      <w:r w:rsidR="003C0CDA" w:rsidRPr="00593AF3">
        <w:t xml:space="preserve"> to be</w:t>
      </w:r>
      <w:r w:rsidR="00EC5693" w:rsidRPr="00593AF3">
        <w:t xml:space="preserve"> applied to capital costs </w:t>
      </w:r>
      <w:r w:rsidR="003C0CDA" w:rsidRPr="00593AF3">
        <w:t xml:space="preserve">that were </w:t>
      </w:r>
      <w:r w:rsidR="00EC5693" w:rsidRPr="00593AF3">
        <w:t>incurred before the 2012-13 year of tax.</w:t>
      </w:r>
    </w:p>
    <w:p w14:paraId="1B9070E5" w14:textId="77777777" w:rsidR="00666816" w:rsidRDefault="009D7B26" w:rsidP="0074777B">
      <w:pPr>
        <w:pStyle w:val="Heading2"/>
        <w:spacing w:before="0" w:after="240"/>
      </w:pPr>
      <w:r>
        <w:t>Part 8</w:t>
      </w:r>
      <w:r w:rsidR="00B333C7">
        <w:t xml:space="preserve"> </w:t>
      </w:r>
      <w:r w:rsidR="00B5292A">
        <w:t>–</w:t>
      </w:r>
      <w:r w:rsidR="00B333C7">
        <w:t xml:space="preserve"> Technical Amendments</w:t>
      </w:r>
    </w:p>
    <w:p w14:paraId="1B9070E6" w14:textId="77777777" w:rsidR="006000AB" w:rsidRDefault="00B333C7" w:rsidP="0074777B">
      <w:pPr>
        <w:pStyle w:val="EMpara"/>
        <w:spacing w:before="0" w:after="240"/>
      </w:pPr>
      <w:r>
        <w:t>The Regulation make</w:t>
      </w:r>
      <w:r w:rsidR="00A0586E">
        <w:t>s</w:t>
      </w:r>
      <w:r>
        <w:t xml:space="preserve"> a number of minor technical amendme</w:t>
      </w:r>
      <w:r w:rsidR="00A0586E">
        <w:t>nts to the Principal Regulation</w:t>
      </w:r>
      <w:r>
        <w:t xml:space="preserve"> in order to improve consistency in the use of terminology and improve clarity in relation to their application</w:t>
      </w:r>
      <w:r w:rsidR="009D7B26">
        <w:t xml:space="preserve"> as a consequence of other </w:t>
      </w:r>
      <w:r w:rsidR="00A0586E">
        <w:t xml:space="preserve">amendments made in the </w:t>
      </w:r>
      <w:r w:rsidR="009D7B26">
        <w:t>Regulation</w:t>
      </w:r>
      <w:r>
        <w:t>.</w:t>
      </w:r>
    </w:p>
    <w:p w14:paraId="1B9070E7" w14:textId="77777777" w:rsidR="009D7B26" w:rsidRDefault="00781D54" w:rsidP="0074777B">
      <w:pPr>
        <w:pStyle w:val="Heading3"/>
        <w:spacing w:before="0" w:after="240"/>
      </w:pPr>
      <w:r>
        <w:t>‘Financial year’</w:t>
      </w:r>
    </w:p>
    <w:p w14:paraId="1B9070E8" w14:textId="77777777" w:rsidR="00B333C7" w:rsidRDefault="00705DA8" w:rsidP="0074777B">
      <w:pPr>
        <w:pStyle w:val="EMpara"/>
        <w:spacing w:before="0" w:after="240"/>
      </w:pPr>
      <w:r>
        <w:t>The terms, “year of tax”, and</w:t>
      </w:r>
      <w:r w:rsidR="00B333C7">
        <w:t xml:space="preserve"> “financial year”</w:t>
      </w:r>
      <w:r>
        <w:t>,</w:t>
      </w:r>
      <w:r w:rsidR="00B333C7">
        <w:t xml:space="preserve"> are used in various regulations. A “year of tax” is defined in section 2 of the PRRTAA as meaning the first and subsequent financial years in which assessable petroleum receipts are derived from the project. </w:t>
      </w:r>
    </w:p>
    <w:p w14:paraId="1B9070E9" w14:textId="77777777" w:rsidR="00B333C7" w:rsidRDefault="00B333C7" w:rsidP="0074777B">
      <w:pPr>
        <w:pStyle w:val="EMpara"/>
        <w:spacing w:before="0" w:after="240"/>
      </w:pPr>
      <w:r>
        <w:lastRenderedPageBreak/>
        <w:t xml:space="preserve">Within the Principal Regulation, the term, “year of tax”, is used in some contexts which could potentially be interpreted as limiting the scope of a regulation only to those years following the derivation of assessable petroleum receipts, resulting in costs incurred in a financial year prior to the year of tax not being taken into account contrary to the original policy intent. </w:t>
      </w:r>
    </w:p>
    <w:p w14:paraId="1B9070EA" w14:textId="77777777" w:rsidR="00B333C7" w:rsidRDefault="00B333C7" w:rsidP="0074777B">
      <w:pPr>
        <w:pStyle w:val="EMpara"/>
        <w:spacing w:before="0" w:after="240"/>
      </w:pPr>
      <w:r>
        <w:t xml:space="preserve">To address this ambiguity, </w:t>
      </w:r>
      <w:r w:rsidR="00A0586E">
        <w:t>the</w:t>
      </w:r>
      <w:r w:rsidR="00781D54">
        <w:t xml:space="preserve"> Regulation make</w:t>
      </w:r>
      <w:r w:rsidR="00A0586E">
        <w:t>s</w:t>
      </w:r>
      <w:r w:rsidR="00781D54">
        <w:t xml:space="preserve"> </w:t>
      </w:r>
      <w:r>
        <w:t xml:space="preserve">minor amendments to omit “year of tax” and substitute </w:t>
      </w:r>
      <w:r w:rsidR="00A0586E">
        <w:t>“financial year”, as detailed in Table 2 below.</w:t>
      </w:r>
    </w:p>
    <w:p w14:paraId="1B9070EB" w14:textId="77777777" w:rsidR="00B333C7" w:rsidRPr="00E30483" w:rsidRDefault="00B333C7" w:rsidP="00675039">
      <w:pPr>
        <w:pStyle w:val="exampletext"/>
        <w:spacing w:before="0" w:after="0"/>
        <w:ind w:left="0"/>
        <w:rPr>
          <w:b/>
          <w:sz w:val="24"/>
          <w:szCs w:val="24"/>
        </w:rPr>
      </w:pPr>
      <w:r>
        <w:rPr>
          <w:b/>
          <w:sz w:val="24"/>
          <w:szCs w:val="24"/>
        </w:rPr>
        <w:t>Table 2.</w:t>
      </w:r>
    </w:p>
    <w:tbl>
      <w:tblPr>
        <w:tblStyle w:val="TableGrid"/>
        <w:tblW w:w="0" w:type="auto"/>
        <w:tblLook w:val="04A0" w:firstRow="1" w:lastRow="0" w:firstColumn="1" w:lastColumn="0" w:noHBand="0" w:noVBand="1"/>
      </w:tblPr>
      <w:tblGrid>
        <w:gridCol w:w="4644"/>
        <w:gridCol w:w="3828"/>
      </w:tblGrid>
      <w:tr w:rsidR="00B333C7" w14:paraId="1B9070EE" w14:textId="77777777" w:rsidTr="00EF4BE4">
        <w:tc>
          <w:tcPr>
            <w:tcW w:w="4644" w:type="dxa"/>
          </w:tcPr>
          <w:p w14:paraId="1B9070EC" w14:textId="77777777" w:rsidR="00B333C7" w:rsidRPr="00C4672C" w:rsidRDefault="00B333C7" w:rsidP="00EF4BE4">
            <w:pPr>
              <w:pStyle w:val="exampletext"/>
              <w:ind w:left="0"/>
              <w:jc w:val="center"/>
              <w:rPr>
                <w:b/>
                <w:i/>
              </w:rPr>
            </w:pPr>
            <w:r>
              <w:rPr>
                <w:b/>
                <w:i/>
              </w:rPr>
              <w:t>Regulation</w:t>
            </w:r>
          </w:p>
        </w:tc>
        <w:tc>
          <w:tcPr>
            <w:tcW w:w="3828" w:type="dxa"/>
          </w:tcPr>
          <w:p w14:paraId="1B9070ED" w14:textId="77777777" w:rsidR="00B333C7" w:rsidRDefault="009C33F1" w:rsidP="00EF4BE4">
            <w:pPr>
              <w:pStyle w:val="exampletext"/>
              <w:ind w:left="0"/>
              <w:jc w:val="center"/>
              <w:rPr>
                <w:b/>
                <w:i/>
              </w:rPr>
            </w:pPr>
            <w:r>
              <w:rPr>
                <w:b/>
                <w:i/>
              </w:rPr>
              <w:t>A</w:t>
            </w:r>
            <w:r w:rsidR="00B333C7">
              <w:rPr>
                <w:b/>
                <w:i/>
              </w:rPr>
              <w:t>mendment</w:t>
            </w:r>
          </w:p>
        </w:tc>
      </w:tr>
      <w:tr w:rsidR="00B333C7" w14:paraId="1B9070F1" w14:textId="77777777" w:rsidTr="00EF4BE4">
        <w:tc>
          <w:tcPr>
            <w:tcW w:w="4644" w:type="dxa"/>
            <w:shd w:val="clear" w:color="auto" w:fill="auto"/>
          </w:tcPr>
          <w:p w14:paraId="1B9070EF" w14:textId="77777777" w:rsidR="00B333C7" w:rsidRPr="00593AF3" w:rsidRDefault="00B333C7" w:rsidP="00445A8C">
            <w:pPr>
              <w:pStyle w:val="exampletext"/>
              <w:ind w:left="0"/>
            </w:pPr>
            <w:r>
              <w:t xml:space="preserve">Regulation 3 (definition of </w:t>
            </w:r>
            <w:r>
              <w:rPr>
                <w:i/>
              </w:rPr>
              <w:t>capital allowance</w:t>
            </w:r>
            <w:r>
              <w:t xml:space="preserve">) </w:t>
            </w:r>
          </w:p>
        </w:tc>
        <w:tc>
          <w:tcPr>
            <w:tcW w:w="3828" w:type="dxa"/>
            <w:shd w:val="clear" w:color="auto" w:fill="auto"/>
          </w:tcPr>
          <w:p w14:paraId="1B9070F0" w14:textId="77777777" w:rsidR="00B333C7" w:rsidRDefault="00B333C7" w:rsidP="00EF4BE4">
            <w:pPr>
              <w:pStyle w:val="exampletext"/>
              <w:ind w:left="0"/>
            </w:pPr>
            <w:r>
              <w:t>Omit “year of tax”, substitute “financial year”</w:t>
            </w:r>
          </w:p>
        </w:tc>
      </w:tr>
      <w:tr w:rsidR="00B333C7" w14:paraId="1B9070F4" w14:textId="77777777" w:rsidTr="00EF4BE4">
        <w:tc>
          <w:tcPr>
            <w:tcW w:w="4644" w:type="dxa"/>
            <w:shd w:val="clear" w:color="auto" w:fill="auto"/>
          </w:tcPr>
          <w:p w14:paraId="1B9070F2" w14:textId="77777777" w:rsidR="00B333C7" w:rsidRPr="00593AF3" w:rsidRDefault="00B333C7" w:rsidP="00445A8C">
            <w:pPr>
              <w:pStyle w:val="exampletext"/>
              <w:ind w:left="0"/>
            </w:pPr>
            <w:r>
              <w:t xml:space="preserve">Regulation 3 (definition of </w:t>
            </w:r>
            <w:r>
              <w:rPr>
                <w:i/>
              </w:rPr>
              <w:t>start date</w:t>
            </w:r>
            <w:r>
              <w:t xml:space="preserve">)       </w:t>
            </w:r>
          </w:p>
        </w:tc>
        <w:tc>
          <w:tcPr>
            <w:tcW w:w="3828" w:type="dxa"/>
            <w:shd w:val="clear" w:color="auto" w:fill="auto"/>
          </w:tcPr>
          <w:p w14:paraId="1B9070F3" w14:textId="77777777" w:rsidR="00B333C7" w:rsidRDefault="00B333C7" w:rsidP="00EF4BE4">
            <w:pPr>
              <w:pStyle w:val="exampletext"/>
              <w:ind w:left="0"/>
            </w:pPr>
            <w:r>
              <w:t>Omit “year of tax”, substitute “financial year”</w:t>
            </w:r>
          </w:p>
        </w:tc>
      </w:tr>
      <w:tr w:rsidR="00B333C7" w14:paraId="1B9070F7" w14:textId="77777777" w:rsidTr="00EF4BE4">
        <w:tc>
          <w:tcPr>
            <w:tcW w:w="4644" w:type="dxa"/>
            <w:shd w:val="clear" w:color="auto" w:fill="auto"/>
          </w:tcPr>
          <w:p w14:paraId="1B9070F5" w14:textId="77777777" w:rsidR="00B333C7" w:rsidRDefault="00B333C7" w:rsidP="00445A8C">
            <w:pPr>
              <w:pStyle w:val="exampletext"/>
              <w:ind w:left="0"/>
            </w:pPr>
            <w:r>
              <w:t>Paragraph 6(3)(a)</w:t>
            </w:r>
            <w:r w:rsidRPr="00F851C4">
              <w:t xml:space="preserve"> </w:t>
            </w:r>
            <w:r>
              <w:br/>
            </w:r>
          </w:p>
        </w:tc>
        <w:tc>
          <w:tcPr>
            <w:tcW w:w="3828" w:type="dxa"/>
            <w:shd w:val="clear" w:color="auto" w:fill="auto"/>
          </w:tcPr>
          <w:p w14:paraId="1B9070F6" w14:textId="77777777" w:rsidR="00B333C7" w:rsidRDefault="00B333C7" w:rsidP="00EF4BE4">
            <w:pPr>
              <w:pStyle w:val="exampletext"/>
              <w:ind w:left="0"/>
            </w:pPr>
            <w:r>
              <w:t>Omit “year of tax”, substitute “financial year”</w:t>
            </w:r>
          </w:p>
        </w:tc>
      </w:tr>
      <w:tr w:rsidR="00B333C7" w14:paraId="1B9070FA" w14:textId="77777777" w:rsidTr="00EF4BE4">
        <w:tc>
          <w:tcPr>
            <w:tcW w:w="4644" w:type="dxa"/>
            <w:shd w:val="clear" w:color="auto" w:fill="auto"/>
          </w:tcPr>
          <w:p w14:paraId="1B9070F8" w14:textId="77777777" w:rsidR="00B333C7" w:rsidRPr="00DD5EE4" w:rsidRDefault="00B333C7" w:rsidP="00445A8C">
            <w:pPr>
              <w:pStyle w:val="exampletext"/>
              <w:ind w:left="0"/>
            </w:pPr>
            <w:r>
              <w:t>Regulation 16</w:t>
            </w:r>
            <w:r>
              <w:br/>
            </w:r>
          </w:p>
        </w:tc>
        <w:tc>
          <w:tcPr>
            <w:tcW w:w="3828" w:type="dxa"/>
            <w:shd w:val="clear" w:color="auto" w:fill="auto"/>
          </w:tcPr>
          <w:p w14:paraId="1B9070F9" w14:textId="77777777" w:rsidR="00B333C7" w:rsidRDefault="00B333C7" w:rsidP="00EF4BE4">
            <w:pPr>
              <w:pStyle w:val="exampletext"/>
              <w:ind w:left="0"/>
            </w:pPr>
            <w:r>
              <w:t>Omit “year of tax”, substitute “financial year”</w:t>
            </w:r>
          </w:p>
        </w:tc>
      </w:tr>
      <w:tr w:rsidR="00B333C7" w14:paraId="1B9070FD" w14:textId="77777777" w:rsidTr="00EF4BE4">
        <w:tc>
          <w:tcPr>
            <w:tcW w:w="4644" w:type="dxa"/>
            <w:shd w:val="clear" w:color="auto" w:fill="auto"/>
          </w:tcPr>
          <w:p w14:paraId="1B9070FB" w14:textId="77777777" w:rsidR="00B333C7" w:rsidRPr="00DD5EE4" w:rsidRDefault="00B333C7" w:rsidP="00445A8C">
            <w:pPr>
              <w:pStyle w:val="exampletext"/>
              <w:ind w:left="0"/>
            </w:pPr>
            <w:r>
              <w:t>Subregulation 31(3)</w:t>
            </w:r>
            <w:r>
              <w:br/>
            </w:r>
          </w:p>
        </w:tc>
        <w:tc>
          <w:tcPr>
            <w:tcW w:w="3828" w:type="dxa"/>
            <w:shd w:val="clear" w:color="auto" w:fill="auto"/>
          </w:tcPr>
          <w:p w14:paraId="1B9070FC" w14:textId="77777777" w:rsidR="00B333C7" w:rsidRDefault="00B333C7" w:rsidP="00EF4BE4">
            <w:pPr>
              <w:pStyle w:val="exampletext"/>
              <w:ind w:left="0"/>
            </w:pPr>
            <w:r>
              <w:t>Omit “the 1 January of the year of tax”, substitute “1 January in the financial year”</w:t>
            </w:r>
          </w:p>
        </w:tc>
      </w:tr>
      <w:tr w:rsidR="00B333C7" w14:paraId="1B907100" w14:textId="77777777" w:rsidTr="00EF4BE4">
        <w:tc>
          <w:tcPr>
            <w:tcW w:w="4644" w:type="dxa"/>
            <w:shd w:val="clear" w:color="auto" w:fill="auto"/>
          </w:tcPr>
          <w:p w14:paraId="1B9070FE" w14:textId="77777777" w:rsidR="00B333C7" w:rsidRPr="00DD5EE4" w:rsidRDefault="00B333C7" w:rsidP="00445A8C">
            <w:pPr>
              <w:pStyle w:val="exampletext"/>
              <w:ind w:left="0"/>
            </w:pPr>
            <w:r>
              <w:t>Subregulation 33(1)</w:t>
            </w:r>
            <w:r>
              <w:br/>
            </w:r>
          </w:p>
        </w:tc>
        <w:tc>
          <w:tcPr>
            <w:tcW w:w="3828" w:type="dxa"/>
            <w:shd w:val="clear" w:color="auto" w:fill="auto"/>
          </w:tcPr>
          <w:p w14:paraId="1B9070FF" w14:textId="77777777" w:rsidR="00B333C7" w:rsidRDefault="00B333C7" w:rsidP="00EF4BE4">
            <w:pPr>
              <w:pStyle w:val="exampletext"/>
              <w:ind w:left="0"/>
            </w:pPr>
            <w:r>
              <w:t>Omit “year of tax”, substitute “financial year”</w:t>
            </w:r>
          </w:p>
        </w:tc>
      </w:tr>
    </w:tbl>
    <w:p w14:paraId="1B907101" w14:textId="77777777" w:rsidR="00781D54" w:rsidRPr="00740A04" w:rsidRDefault="00B333C7" w:rsidP="0074777B">
      <w:pPr>
        <w:pStyle w:val="Heading3"/>
      </w:pPr>
      <w:r>
        <w:br/>
      </w:r>
      <w:r w:rsidR="00781D54">
        <w:t>‘</w:t>
      </w:r>
      <w:r w:rsidR="00781D54" w:rsidRPr="00740A04">
        <w:t>GTE operations</w:t>
      </w:r>
      <w:r w:rsidR="00781D54">
        <w:t>’</w:t>
      </w:r>
    </w:p>
    <w:p w14:paraId="1B907102" w14:textId="77777777" w:rsidR="00781D54" w:rsidRPr="00DC34F9" w:rsidRDefault="00A0586E" w:rsidP="00781D54">
      <w:pPr>
        <w:pStyle w:val="exampletext"/>
        <w:ind w:left="0"/>
        <w:rPr>
          <w:rStyle w:val="Referencingstyle"/>
        </w:rPr>
      </w:pPr>
      <w:r>
        <w:rPr>
          <w:rStyle w:val="EMparaChar"/>
        </w:rPr>
        <w:t xml:space="preserve">The </w:t>
      </w:r>
      <w:r w:rsidR="00781D54">
        <w:rPr>
          <w:rStyle w:val="EMparaChar"/>
        </w:rPr>
        <w:t xml:space="preserve">Regulation includes </w:t>
      </w:r>
      <w:r w:rsidR="00781D54" w:rsidRPr="007515A6">
        <w:rPr>
          <w:rStyle w:val="EMparaChar"/>
        </w:rPr>
        <w:t>a number of amendments t</w:t>
      </w:r>
      <w:r>
        <w:rPr>
          <w:rStyle w:val="EMparaChar"/>
        </w:rPr>
        <w:t xml:space="preserve">o replace or omit references </w:t>
      </w:r>
      <w:r w:rsidR="00781D54" w:rsidRPr="007515A6">
        <w:rPr>
          <w:rStyle w:val="EMparaChar"/>
        </w:rPr>
        <w:t xml:space="preserve">to ‘GTL’, wherever occurring </w:t>
      </w:r>
      <w:r w:rsidR="00781D54">
        <w:rPr>
          <w:rStyle w:val="EMparaChar"/>
        </w:rPr>
        <w:t>within the Principal Regulation</w:t>
      </w:r>
      <w:r w:rsidR="00781D54" w:rsidRPr="007515A6">
        <w:rPr>
          <w:rStyle w:val="EMparaChar"/>
        </w:rPr>
        <w:t xml:space="preserve"> in order to expand the application of the regulations to include integrated GTE operations.</w:t>
      </w:r>
      <w:r w:rsidR="00781D54">
        <w:t xml:space="preserve"> </w:t>
      </w:r>
    </w:p>
    <w:p w14:paraId="1B907103" w14:textId="77777777" w:rsidR="00781D54" w:rsidRPr="00593AF3" w:rsidRDefault="00781D54" w:rsidP="00781D54">
      <w:pPr>
        <w:pStyle w:val="exampletext"/>
        <w:ind w:left="0"/>
        <w:rPr>
          <w:sz w:val="24"/>
          <w:szCs w:val="24"/>
        </w:rPr>
      </w:pPr>
      <w:r w:rsidRPr="00593AF3">
        <w:rPr>
          <w:sz w:val="24"/>
          <w:szCs w:val="24"/>
        </w:rPr>
        <w:t xml:space="preserve">Similarly, </w:t>
      </w:r>
      <w:r>
        <w:rPr>
          <w:sz w:val="24"/>
          <w:szCs w:val="24"/>
        </w:rPr>
        <w:t>a</w:t>
      </w:r>
      <w:r w:rsidR="00A0586E">
        <w:rPr>
          <w:sz w:val="24"/>
          <w:szCs w:val="24"/>
        </w:rPr>
        <w:t xml:space="preserve"> number of minor amendments are</w:t>
      </w:r>
      <w:r>
        <w:rPr>
          <w:sz w:val="24"/>
          <w:szCs w:val="24"/>
        </w:rPr>
        <w:t xml:space="preserve"> made to</w:t>
      </w:r>
      <w:r w:rsidRPr="00593AF3">
        <w:rPr>
          <w:sz w:val="24"/>
          <w:szCs w:val="24"/>
        </w:rPr>
        <w:t xml:space="preserve"> a number of </w:t>
      </w:r>
      <w:r>
        <w:rPr>
          <w:sz w:val="24"/>
          <w:szCs w:val="24"/>
        </w:rPr>
        <w:t xml:space="preserve">regulations involving </w:t>
      </w:r>
      <w:r w:rsidRPr="00593AF3">
        <w:rPr>
          <w:sz w:val="24"/>
          <w:szCs w:val="24"/>
        </w:rPr>
        <w:t>insert</w:t>
      </w:r>
      <w:r>
        <w:rPr>
          <w:sz w:val="24"/>
          <w:szCs w:val="24"/>
        </w:rPr>
        <w:t>ing</w:t>
      </w:r>
      <w:r w:rsidRPr="00593AF3">
        <w:rPr>
          <w:sz w:val="24"/>
          <w:szCs w:val="24"/>
        </w:rPr>
        <w:t xml:space="preserve"> ‘electricity’ after ‘petroleum product', and ‘project electricity’ after </w:t>
      </w:r>
      <w:r>
        <w:rPr>
          <w:sz w:val="24"/>
          <w:szCs w:val="24"/>
        </w:rPr>
        <w:t>‘</w:t>
      </w:r>
      <w:r w:rsidRPr="00593AF3">
        <w:rPr>
          <w:sz w:val="24"/>
          <w:szCs w:val="24"/>
        </w:rPr>
        <w:t>project liquid</w:t>
      </w:r>
      <w:r w:rsidR="00A0586E">
        <w:rPr>
          <w:sz w:val="24"/>
          <w:szCs w:val="24"/>
        </w:rPr>
        <w:t>’, so that they</w:t>
      </w:r>
      <w:r>
        <w:rPr>
          <w:sz w:val="24"/>
          <w:szCs w:val="24"/>
        </w:rPr>
        <w:t xml:space="preserve"> also apply in the context of integrated GTE operations</w:t>
      </w:r>
      <w:r w:rsidRPr="00593AF3">
        <w:rPr>
          <w:sz w:val="24"/>
          <w:szCs w:val="24"/>
        </w:rPr>
        <w:t>. These amendments are summarised in Table 3.</w:t>
      </w:r>
    </w:p>
    <w:p w14:paraId="1B907104" w14:textId="77777777" w:rsidR="00781D54" w:rsidRPr="00DD613A" w:rsidRDefault="00781D54" w:rsidP="00097992">
      <w:pPr>
        <w:pStyle w:val="exampletext"/>
        <w:spacing w:after="0"/>
        <w:ind w:left="0"/>
        <w:rPr>
          <w:b/>
        </w:rPr>
      </w:pPr>
      <w:r w:rsidRPr="00A42F08">
        <w:rPr>
          <w:b/>
        </w:rPr>
        <w:t xml:space="preserve">Table </w:t>
      </w:r>
      <w:r>
        <w:rPr>
          <w:b/>
        </w:rPr>
        <w:t>3.</w:t>
      </w:r>
    </w:p>
    <w:tbl>
      <w:tblPr>
        <w:tblStyle w:val="TableGrid"/>
        <w:tblW w:w="0" w:type="auto"/>
        <w:tblLook w:val="04A0" w:firstRow="1" w:lastRow="0" w:firstColumn="1" w:lastColumn="0" w:noHBand="0" w:noVBand="1"/>
      </w:tblPr>
      <w:tblGrid>
        <w:gridCol w:w="4644"/>
        <w:gridCol w:w="3828"/>
      </w:tblGrid>
      <w:tr w:rsidR="00781D54" w14:paraId="1B907107" w14:textId="77777777" w:rsidTr="00715A0B">
        <w:tc>
          <w:tcPr>
            <w:tcW w:w="4644" w:type="dxa"/>
          </w:tcPr>
          <w:p w14:paraId="1B907105" w14:textId="77777777" w:rsidR="00781D54" w:rsidRPr="00C4672C" w:rsidRDefault="00781D54" w:rsidP="00715A0B">
            <w:pPr>
              <w:pStyle w:val="exampletext"/>
              <w:ind w:left="0"/>
              <w:jc w:val="center"/>
              <w:rPr>
                <w:b/>
                <w:i/>
              </w:rPr>
            </w:pPr>
            <w:r>
              <w:rPr>
                <w:b/>
                <w:i/>
              </w:rPr>
              <w:t>Regulation</w:t>
            </w:r>
          </w:p>
        </w:tc>
        <w:tc>
          <w:tcPr>
            <w:tcW w:w="3828" w:type="dxa"/>
          </w:tcPr>
          <w:p w14:paraId="1B907106" w14:textId="77777777" w:rsidR="00781D54" w:rsidRDefault="009C33F1" w:rsidP="00445A8C">
            <w:pPr>
              <w:pStyle w:val="exampletext"/>
              <w:ind w:left="0"/>
              <w:jc w:val="center"/>
              <w:rPr>
                <w:b/>
                <w:i/>
              </w:rPr>
            </w:pPr>
            <w:r>
              <w:rPr>
                <w:b/>
                <w:i/>
              </w:rPr>
              <w:t>A</w:t>
            </w:r>
            <w:r w:rsidR="00781D54">
              <w:rPr>
                <w:b/>
                <w:i/>
              </w:rPr>
              <w:t>mendment</w:t>
            </w:r>
          </w:p>
        </w:tc>
      </w:tr>
      <w:tr w:rsidR="00781D54" w14:paraId="1B90710B" w14:textId="77777777" w:rsidTr="00715A0B">
        <w:tc>
          <w:tcPr>
            <w:tcW w:w="4644" w:type="dxa"/>
            <w:shd w:val="clear" w:color="auto" w:fill="auto"/>
          </w:tcPr>
          <w:p w14:paraId="1B907108" w14:textId="77777777" w:rsidR="00781D54" w:rsidRDefault="00781D54" w:rsidP="00445A8C">
            <w:pPr>
              <w:pStyle w:val="exampletext"/>
              <w:ind w:left="0"/>
            </w:pPr>
            <w:r>
              <w:t>Regulation 8 (heading)</w:t>
            </w:r>
            <w:r>
              <w:br/>
            </w:r>
          </w:p>
        </w:tc>
        <w:tc>
          <w:tcPr>
            <w:tcW w:w="3828" w:type="dxa"/>
            <w:shd w:val="clear" w:color="auto" w:fill="auto"/>
          </w:tcPr>
          <w:p w14:paraId="1B907109" w14:textId="77777777" w:rsidR="00781D54" w:rsidRDefault="00781D54" w:rsidP="00715A0B">
            <w:pPr>
              <w:pStyle w:val="exampletext"/>
              <w:ind w:left="0"/>
            </w:pPr>
            <w:r>
              <w:t>Repeal the heading, substitute:</w:t>
            </w:r>
          </w:p>
          <w:p w14:paraId="1B90710A" w14:textId="77777777" w:rsidR="00781D54" w:rsidRPr="00593AF3" w:rsidRDefault="00781D54" w:rsidP="00715A0B">
            <w:pPr>
              <w:pStyle w:val="exampletext"/>
              <w:ind w:left="0"/>
              <w:rPr>
                <w:b/>
              </w:rPr>
            </w:pPr>
            <w:r>
              <w:rPr>
                <w:b/>
              </w:rPr>
              <w:t>8 Participants in integrated operation</w:t>
            </w:r>
          </w:p>
        </w:tc>
      </w:tr>
      <w:tr w:rsidR="00781D54" w14:paraId="1B90710E" w14:textId="77777777" w:rsidTr="00715A0B">
        <w:tc>
          <w:tcPr>
            <w:tcW w:w="4644" w:type="dxa"/>
            <w:shd w:val="clear" w:color="auto" w:fill="auto"/>
          </w:tcPr>
          <w:p w14:paraId="1B90710C" w14:textId="77777777" w:rsidR="00781D54" w:rsidRDefault="00781D54" w:rsidP="00445A8C">
            <w:pPr>
              <w:pStyle w:val="exampletext"/>
              <w:ind w:left="0"/>
            </w:pPr>
            <w:r>
              <w:t xml:space="preserve">Regulation 8 </w:t>
            </w:r>
            <w:r w:rsidRPr="00F851C4">
              <w:t xml:space="preserve"> </w:t>
            </w:r>
            <w:r>
              <w:br/>
            </w:r>
          </w:p>
        </w:tc>
        <w:tc>
          <w:tcPr>
            <w:tcW w:w="3828" w:type="dxa"/>
            <w:shd w:val="clear" w:color="auto" w:fill="auto"/>
          </w:tcPr>
          <w:p w14:paraId="1B90710D" w14:textId="77777777" w:rsidR="00781D54" w:rsidRDefault="00781D54" w:rsidP="00715A0B">
            <w:pPr>
              <w:pStyle w:val="exampletext"/>
              <w:ind w:left="0"/>
            </w:pPr>
            <w:r>
              <w:t>After “petroleum product”, insert “or electricity”</w:t>
            </w:r>
          </w:p>
        </w:tc>
      </w:tr>
      <w:tr w:rsidR="00781D54" w14:paraId="1B907111" w14:textId="77777777" w:rsidTr="00715A0B">
        <w:tc>
          <w:tcPr>
            <w:tcW w:w="4644" w:type="dxa"/>
            <w:shd w:val="clear" w:color="auto" w:fill="auto"/>
          </w:tcPr>
          <w:p w14:paraId="1B90710F" w14:textId="77777777" w:rsidR="00781D54" w:rsidRPr="00DD5EE4" w:rsidRDefault="00781D54" w:rsidP="00445A8C">
            <w:pPr>
              <w:pStyle w:val="exampletext"/>
              <w:ind w:left="0"/>
            </w:pPr>
            <w:r>
              <w:t>Subregulations 23(2), 23(3) and 23(4)</w:t>
            </w:r>
            <w:r>
              <w:br/>
            </w:r>
          </w:p>
        </w:tc>
        <w:tc>
          <w:tcPr>
            <w:tcW w:w="3828" w:type="dxa"/>
            <w:shd w:val="clear" w:color="auto" w:fill="auto"/>
          </w:tcPr>
          <w:p w14:paraId="1B907110" w14:textId="77777777" w:rsidR="00781D54" w:rsidRDefault="00781D54" w:rsidP="00715A0B">
            <w:pPr>
              <w:pStyle w:val="exampletext"/>
              <w:ind w:left="0"/>
            </w:pPr>
            <w:r w:rsidRPr="00331052">
              <w:lastRenderedPageBreak/>
              <w:t xml:space="preserve">After “project liquid” insert “or project </w:t>
            </w:r>
            <w:r w:rsidRPr="00331052">
              <w:lastRenderedPageBreak/>
              <w:t>electricity”</w:t>
            </w:r>
          </w:p>
        </w:tc>
      </w:tr>
      <w:tr w:rsidR="00781D54" w14:paraId="1B907114" w14:textId="77777777" w:rsidTr="00715A0B">
        <w:tc>
          <w:tcPr>
            <w:tcW w:w="4644" w:type="dxa"/>
            <w:shd w:val="clear" w:color="auto" w:fill="auto"/>
          </w:tcPr>
          <w:p w14:paraId="1B907112" w14:textId="77777777" w:rsidR="00781D54" w:rsidRPr="00DD5EE4" w:rsidRDefault="00781D54" w:rsidP="00445A8C">
            <w:pPr>
              <w:pStyle w:val="exampletext"/>
              <w:ind w:left="0"/>
            </w:pPr>
            <w:r>
              <w:lastRenderedPageBreak/>
              <w:t>Subregulation 28(6)</w:t>
            </w:r>
            <w:r>
              <w:br/>
            </w:r>
          </w:p>
        </w:tc>
        <w:tc>
          <w:tcPr>
            <w:tcW w:w="3828" w:type="dxa"/>
            <w:shd w:val="clear" w:color="auto" w:fill="auto"/>
          </w:tcPr>
          <w:p w14:paraId="1B907113" w14:textId="77777777" w:rsidR="00781D54" w:rsidRDefault="00781D54" w:rsidP="00715A0B">
            <w:pPr>
              <w:pStyle w:val="exampletext"/>
              <w:ind w:left="0"/>
            </w:pPr>
            <w:r w:rsidRPr="00331052">
              <w:t>After “project liquid” insert “or project electricity”</w:t>
            </w:r>
          </w:p>
        </w:tc>
      </w:tr>
      <w:tr w:rsidR="00781D54" w14:paraId="1B907117" w14:textId="77777777" w:rsidTr="00715A0B">
        <w:tc>
          <w:tcPr>
            <w:tcW w:w="4644" w:type="dxa"/>
            <w:shd w:val="clear" w:color="auto" w:fill="auto"/>
          </w:tcPr>
          <w:p w14:paraId="1B907115" w14:textId="77777777" w:rsidR="00781D54" w:rsidRPr="00DD5EE4" w:rsidRDefault="00781D54" w:rsidP="00445A8C">
            <w:pPr>
              <w:pStyle w:val="exampletext"/>
              <w:ind w:left="0"/>
            </w:pPr>
            <w:r>
              <w:t>Subregulations 39(4), 39(5) and 39(6)</w:t>
            </w:r>
            <w:r>
              <w:br/>
            </w:r>
          </w:p>
        </w:tc>
        <w:tc>
          <w:tcPr>
            <w:tcW w:w="3828" w:type="dxa"/>
            <w:shd w:val="clear" w:color="auto" w:fill="auto"/>
          </w:tcPr>
          <w:p w14:paraId="1B907116" w14:textId="77777777" w:rsidR="00781D54" w:rsidRDefault="00781D54" w:rsidP="00715A0B">
            <w:pPr>
              <w:pStyle w:val="exampletext"/>
              <w:ind w:left="0"/>
            </w:pPr>
            <w:r w:rsidRPr="00331052">
              <w:t>After “project liquid” insert “or project electricity”</w:t>
            </w:r>
          </w:p>
        </w:tc>
      </w:tr>
      <w:tr w:rsidR="00781D54" w14:paraId="1B90711A" w14:textId="77777777" w:rsidTr="00715A0B">
        <w:tc>
          <w:tcPr>
            <w:tcW w:w="4644" w:type="dxa"/>
            <w:shd w:val="clear" w:color="auto" w:fill="auto"/>
          </w:tcPr>
          <w:p w14:paraId="1B907118" w14:textId="77777777" w:rsidR="00781D54" w:rsidRPr="00DD5EE4" w:rsidRDefault="00781D54" w:rsidP="00445A8C">
            <w:pPr>
              <w:pStyle w:val="exampletext"/>
              <w:ind w:left="0"/>
            </w:pPr>
            <w:r>
              <w:t>Paragraph 41(e)</w:t>
            </w:r>
            <w:r>
              <w:br/>
            </w:r>
          </w:p>
        </w:tc>
        <w:tc>
          <w:tcPr>
            <w:tcW w:w="3828" w:type="dxa"/>
            <w:shd w:val="clear" w:color="auto" w:fill="auto"/>
          </w:tcPr>
          <w:p w14:paraId="1B907119" w14:textId="77777777" w:rsidR="00781D54" w:rsidRDefault="00781D54" w:rsidP="00715A0B">
            <w:pPr>
              <w:pStyle w:val="exampletext"/>
              <w:ind w:left="0"/>
            </w:pPr>
            <w:r w:rsidRPr="00331052">
              <w:t>After “project liquid” insert “or project electricity”</w:t>
            </w:r>
          </w:p>
        </w:tc>
      </w:tr>
    </w:tbl>
    <w:p w14:paraId="1B90711B" w14:textId="77777777" w:rsidR="00781D54" w:rsidRDefault="00781D54" w:rsidP="00781D54">
      <w:pPr>
        <w:pStyle w:val="EMpara"/>
      </w:pPr>
      <w:r>
        <w:t>Regulation 6 of the Principal Regulation</w:t>
      </w:r>
      <w:r w:rsidR="00933DB1">
        <w:t>,</w:t>
      </w:r>
      <w:r>
        <w:t xml:space="preserve"> which deals with phase points of integ</w:t>
      </w:r>
      <w:r w:rsidR="00967E81">
        <w:t>rated GTL operations</w:t>
      </w:r>
      <w:r w:rsidR="00933DB1">
        <w:t>,</w:t>
      </w:r>
      <w:r w:rsidR="00967E81">
        <w:t xml:space="preserve"> is also</w:t>
      </w:r>
      <w:r>
        <w:t xml:space="preserve"> </w:t>
      </w:r>
      <w:r w:rsidR="00967E81">
        <w:t>renamed</w:t>
      </w:r>
      <w:r>
        <w:t xml:space="preserve"> to refer to </w:t>
      </w:r>
      <w:r w:rsidRPr="008F48C6">
        <w:t>‘Phase points of integrated operation’</w:t>
      </w:r>
      <w:r>
        <w:t>, rather than only of ‘integrated GTL operation’</w:t>
      </w:r>
      <w:r w:rsidRPr="00DC34F9">
        <w:rPr>
          <w:rStyle w:val="Referencingstyle"/>
        </w:rPr>
        <w:t>.</w:t>
      </w:r>
    </w:p>
    <w:p w14:paraId="1B90711C" w14:textId="77777777" w:rsidR="00781D54" w:rsidRPr="00565E19" w:rsidRDefault="00781D54" w:rsidP="00781D54">
      <w:pPr>
        <w:pStyle w:val="EMpara"/>
        <w:rPr>
          <w:b/>
        </w:rPr>
      </w:pPr>
      <w:r>
        <w:t>Subr</w:t>
      </w:r>
      <w:r w:rsidRPr="0036466E">
        <w:t>egulation 7</w:t>
      </w:r>
      <w:r>
        <w:t>(3)</w:t>
      </w:r>
      <w:r w:rsidRPr="0036466E">
        <w:t xml:space="preserve"> </w:t>
      </w:r>
      <w:r w:rsidR="00D67935">
        <w:t xml:space="preserve">of the Principal Regulation </w:t>
      </w:r>
      <w:r>
        <w:t xml:space="preserve">outlines </w:t>
      </w:r>
      <w:r w:rsidR="00D67935">
        <w:t>the</w:t>
      </w:r>
      <w:r>
        <w:t xml:space="preserve"> circumstances</w:t>
      </w:r>
      <w:r w:rsidR="00D67935">
        <w:t xml:space="preserve"> where</w:t>
      </w:r>
      <w:r>
        <w:t xml:space="preserve"> there will be multiple use </w:t>
      </w:r>
      <w:r w:rsidRPr="0036466E">
        <w:t xml:space="preserve">of a phase </w:t>
      </w:r>
      <w:r>
        <w:t xml:space="preserve">in relation to the processing of project sales gas into project liquid in </w:t>
      </w:r>
      <w:r w:rsidRPr="0036466E">
        <w:t>an integrated GTL operation</w:t>
      </w:r>
      <w:r>
        <w:t xml:space="preserve">. </w:t>
      </w:r>
      <w:r w:rsidR="00D67935">
        <w:t>The Regulation</w:t>
      </w:r>
      <w:r>
        <w:t xml:space="preserve"> insert</w:t>
      </w:r>
      <w:r w:rsidR="00967E81">
        <w:t>s</w:t>
      </w:r>
      <w:r>
        <w:t xml:space="preserve"> </w:t>
      </w:r>
      <w:r w:rsidR="00D67935">
        <w:t>s</w:t>
      </w:r>
      <w:r>
        <w:t>ubregulation 7</w:t>
      </w:r>
      <w:r w:rsidRPr="0036466E">
        <w:t>(3A)</w:t>
      </w:r>
      <w:r w:rsidR="00D67935">
        <w:t xml:space="preserve"> into the Principal Regulation</w:t>
      </w:r>
      <w:r w:rsidRPr="0036466E">
        <w:t xml:space="preserve">, which </w:t>
      </w:r>
      <w:r>
        <w:t xml:space="preserve">indicates the </w:t>
      </w:r>
      <w:r w:rsidRPr="0036466E">
        <w:t>mult</w:t>
      </w:r>
      <w:r>
        <w:t xml:space="preserve">iple use of a phase in relation to </w:t>
      </w:r>
      <w:r w:rsidRPr="0036466E">
        <w:t xml:space="preserve">the production of electricity from the combustion of sales gas </w:t>
      </w:r>
      <w:r>
        <w:t xml:space="preserve">as part of an integrated GTE operation will occur when </w:t>
      </w:r>
      <w:r w:rsidRPr="0036466E">
        <w:t>sales gas produced outside the integrated operation is also combusted within the phase.</w:t>
      </w:r>
      <w:r w:rsidRPr="00A50944">
        <w:rPr>
          <w:b/>
          <w:i/>
          <w:sz w:val="18"/>
          <w:szCs w:val="18"/>
        </w:rPr>
        <w:t xml:space="preserve"> </w:t>
      </w:r>
    </w:p>
    <w:p w14:paraId="1B90711D" w14:textId="77777777" w:rsidR="00781D54" w:rsidRPr="00593AF3" w:rsidRDefault="00781D54" w:rsidP="0074777B">
      <w:pPr>
        <w:pStyle w:val="Heading3"/>
      </w:pPr>
      <w:r>
        <w:t>‘Natural gas’</w:t>
      </w:r>
    </w:p>
    <w:p w14:paraId="1B90711E" w14:textId="77777777" w:rsidR="00781D54" w:rsidRDefault="00781D54" w:rsidP="00781D54">
      <w:pPr>
        <w:pStyle w:val="EMpara"/>
      </w:pPr>
      <w:r>
        <w:t xml:space="preserve">To ensure that the </w:t>
      </w:r>
      <w:r w:rsidR="00D67935">
        <w:t xml:space="preserve">Principal </w:t>
      </w:r>
      <w:r>
        <w:t xml:space="preserve">Regulation can be applied to onshore project natural gas as well as sales gas, </w:t>
      </w:r>
      <w:r w:rsidR="00967E81">
        <w:t xml:space="preserve">the </w:t>
      </w:r>
      <w:r w:rsidR="00D67935">
        <w:t>Regulation make</w:t>
      </w:r>
      <w:r w:rsidR="00967E81">
        <w:t>s</w:t>
      </w:r>
      <w:r w:rsidR="00D67935">
        <w:t xml:space="preserve"> </w:t>
      </w:r>
      <w:r>
        <w:t xml:space="preserve">a number of minor technical amendments to refer to ‘natural gas’ in addition to ‘sales gas’; remove specific references to sales gas; or to refer to the new </w:t>
      </w:r>
      <w:r w:rsidR="00967E81">
        <w:t xml:space="preserve">defined </w:t>
      </w:r>
      <w:r>
        <w:t>term</w:t>
      </w:r>
      <w:r w:rsidR="00967E81">
        <w:t>,</w:t>
      </w:r>
      <w:r>
        <w:t xml:space="preserve"> ‘assessable gas’</w:t>
      </w:r>
      <w:r w:rsidR="00D67935">
        <w:t xml:space="preserve">. </w:t>
      </w:r>
      <w:r w:rsidRPr="00593AF3">
        <w:t xml:space="preserve">These amendments are summarised in Table </w:t>
      </w:r>
      <w:r w:rsidR="00445A8C">
        <w:t>4</w:t>
      </w:r>
      <w:r w:rsidRPr="00593AF3">
        <w:t>.</w:t>
      </w:r>
    </w:p>
    <w:p w14:paraId="1B90711F" w14:textId="77777777" w:rsidR="00781D54" w:rsidRPr="0015745A" w:rsidRDefault="00445A8C" w:rsidP="00712D34">
      <w:pPr>
        <w:pStyle w:val="exampletext"/>
        <w:spacing w:after="0"/>
        <w:ind w:left="0"/>
        <w:rPr>
          <w:b/>
          <w:i/>
          <w:sz w:val="18"/>
          <w:szCs w:val="18"/>
        </w:rPr>
      </w:pPr>
      <w:r>
        <w:rPr>
          <w:b/>
        </w:rPr>
        <w:t>Table 4</w:t>
      </w:r>
      <w:r w:rsidR="00781D54">
        <w:rPr>
          <w:b/>
        </w:rPr>
        <w:t>.</w:t>
      </w:r>
    </w:p>
    <w:tbl>
      <w:tblPr>
        <w:tblStyle w:val="TableGrid"/>
        <w:tblW w:w="0" w:type="auto"/>
        <w:tblLook w:val="04A0" w:firstRow="1" w:lastRow="0" w:firstColumn="1" w:lastColumn="0" w:noHBand="0" w:noVBand="1"/>
      </w:tblPr>
      <w:tblGrid>
        <w:gridCol w:w="4219"/>
        <w:gridCol w:w="4253"/>
      </w:tblGrid>
      <w:tr w:rsidR="00781D54" w14:paraId="1B907122" w14:textId="77777777" w:rsidTr="00715A0B">
        <w:tc>
          <w:tcPr>
            <w:tcW w:w="4219" w:type="dxa"/>
          </w:tcPr>
          <w:p w14:paraId="1B907120" w14:textId="77777777" w:rsidR="00781D54" w:rsidRPr="00C4672C" w:rsidRDefault="00781D54" w:rsidP="00715A0B">
            <w:pPr>
              <w:pStyle w:val="exampletext"/>
              <w:ind w:left="0"/>
              <w:jc w:val="center"/>
              <w:rPr>
                <w:b/>
                <w:i/>
              </w:rPr>
            </w:pPr>
            <w:r>
              <w:rPr>
                <w:b/>
                <w:i/>
              </w:rPr>
              <w:t>Regulation</w:t>
            </w:r>
          </w:p>
        </w:tc>
        <w:tc>
          <w:tcPr>
            <w:tcW w:w="4253" w:type="dxa"/>
          </w:tcPr>
          <w:p w14:paraId="1B907121" w14:textId="77777777" w:rsidR="00781D54" w:rsidRDefault="00D67935" w:rsidP="00715A0B">
            <w:pPr>
              <w:pStyle w:val="exampletext"/>
              <w:ind w:left="0"/>
              <w:jc w:val="center"/>
              <w:rPr>
                <w:b/>
                <w:i/>
              </w:rPr>
            </w:pPr>
            <w:r>
              <w:rPr>
                <w:b/>
                <w:i/>
              </w:rPr>
              <w:t>a</w:t>
            </w:r>
            <w:r w:rsidR="00781D54">
              <w:rPr>
                <w:b/>
                <w:i/>
              </w:rPr>
              <w:t>mendment</w:t>
            </w:r>
          </w:p>
        </w:tc>
      </w:tr>
      <w:tr w:rsidR="00781D54" w14:paraId="1B907125" w14:textId="77777777" w:rsidTr="00715A0B">
        <w:tc>
          <w:tcPr>
            <w:tcW w:w="4219" w:type="dxa"/>
            <w:shd w:val="clear" w:color="auto" w:fill="auto"/>
          </w:tcPr>
          <w:p w14:paraId="1B907123" w14:textId="77777777" w:rsidR="00781D54" w:rsidRDefault="00781D54" w:rsidP="00445A8C">
            <w:pPr>
              <w:pStyle w:val="exampletext"/>
              <w:ind w:left="0"/>
            </w:pPr>
            <w:r>
              <w:t>Part 3 (heading</w:t>
            </w:r>
            <w:r w:rsidRPr="00F851C4">
              <w:t xml:space="preserve"> </w:t>
            </w:r>
            <w:r>
              <w:t>)</w:t>
            </w:r>
            <w:r>
              <w:br/>
            </w:r>
          </w:p>
        </w:tc>
        <w:tc>
          <w:tcPr>
            <w:tcW w:w="4253" w:type="dxa"/>
            <w:shd w:val="clear" w:color="auto" w:fill="auto"/>
          </w:tcPr>
          <w:p w14:paraId="1B907124" w14:textId="77777777" w:rsidR="00781D54" w:rsidRDefault="00781D54" w:rsidP="00715A0B">
            <w:pPr>
              <w:pStyle w:val="exampletext"/>
              <w:ind w:left="0"/>
            </w:pPr>
            <w:r>
              <w:t>Omit “for sales gas”</w:t>
            </w:r>
          </w:p>
        </w:tc>
      </w:tr>
      <w:tr w:rsidR="00781D54" w14:paraId="1B907128" w14:textId="77777777" w:rsidTr="00715A0B">
        <w:tc>
          <w:tcPr>
            <w:tcW w:w="4219" w:type="dxa"/>
            <w:shd w:val="clear" w:color="auto" w:fill="auto"/>
          </w:tcPr>
          <w:p w14:paraId="1B907126" w14:textId="77777777" w:rsidR="00781D54" w:rsidRDefault="00781D54" w:rsidP="00445A8C">
            <w:pPr>
              <w:pStyle w:val="exampletext"/>
              <w:ind w:left="0"/>
            </w:pPr>
            <w:r>
              <w:t>Subregulation 4(1)</w:t>
            </w:r>
            <w:r>
              <w:br/>
            </w:r>
          </w:p>
        </w:tc>
        <w:tc>
          <w:tcPr>
            <w:tcW w:w="4253" w:type="dxa"/>
            <w:shd w:val="clear" w:color="auto" w:fill="auto"/>
          </w:tcPr>
          <w:p w14:paraId="1B907127" w14:textId="77777777" w:rsidR="00781D54" w:rsidRDefault="00781D54" w:rsidP="00715A0B">
            <w:pPr>
              <w:pStyle w:val="exampletext"/>
              <w:ind w:left="0"/>
            </w:pPr>
            <w:r>
              <w:t>Omit “, with the elements described in regulation 5,”.</w:t>
            </w:r>
          </w:p>
        </w:tc>
      </w:tr>
      <w:tr w:rsidR="00781D54" w14:paraId="1B90712B" w14:textId="77777777" w:rsidTr="00715A0B">
        <w:tc>
          <w:tcPr>
            <w:tcW w:w="4219" w:type="dxa"/>
            <w:shd w:val="clear" w:color="auto" w:fill="auto"/>
          </w:tcPr>
          <w:p w14:paraId="1B907129" w14:textId="77777777" w:rsidR="00781D54" w:rsidRPr="00DD5EE4" w:rsidRDefault="00781D54" w:rsidP="00445A8C">
            <w:pPr>
              <w:pStyle w:val="exampletext"/>
              <w:ind w:left="0"/>
            </w:pPr>
            <w:r>
              <w:t>Subregulation 18(1)</w:t>
            </w:r>
            <w:r>
              <w:br/>
            </w:r>
          </w:p>
        </w:tc>
        <w:tc>
          <w:tcPr>
            <w:tcW w:w="4253" w:type="dxa"/>
            <w:shd w:val="clear" w:color="auto" w:fill="auto"/>
          </w:tcPr>
          <w:p w14:paraId="1B90712A" w14:textId="77777777" w:rsidR="00781D54" w:rsidRDefault="00781D54" w:rsidP="00715A0B">
            <w:pPr>
              <w:pStyle w:val="exampletext"/>
              <w:ind w:left="0"/>
            </w:pPr>
            <w:r>
              <w:t>Omit all the words after “sales gas”, substitute “or project natural gas to which paragraph 24(1)(d), (e) or (f) of the Act applies”.</w:t>
            </w:r>
          </w:p>
        </w:tc>
      </w:tr>
      <w:tr w:rsidR="00781D54" w14:paraId="1B90712E" w14:textId="77777777" w:rsidTr="00715A0B">
        <w:tc>
          <w:tcPr>
            <w:tcW w:w="4219" w:type="dxa"/>
            <w:shd w:val="clear" w:color="auto" w:fill="auto"/>
          </w:tcPr>
          <w:p w14:paraId="1B90712C" w14:textId="77777777" w:rsidR="00781D54" w:rsidRPr="00DD5EE4" w:rsidRDefault="00781D54" w:rsidP="00445A8C">
            <w:pPr>
              <w:pStyle w:val="exampletext"/>
              <w:ind w:left="0"/>
            </w:pPr>
            <w:r>
              <w:t>Paragraphs 19(2)(a), (b) and (c)</w:t>
            </w:r>
            <w:r>
              <w:br/>
            </w:r>
          </w:p>
        </w:tc>
        <w:tc>
          <w:tcPr>
            <w:tcW w:w="4253" w:type="dxa"/>
            <w:shd w:val="clear" w:color="auto" w:fill="auto"/>
          </w:tcPr>
          <w:p w14:paraId="1B90712D" w14:textId="77777777" w:rsidR="00781D54" w:rsidRDefault="00781D54" w:rsidP="00715A0B">
            <w:pPr>
              <w:pStyle w:val="exampletext"/>
              <w:ind w:left="0"/>
            </w:pPr>
            <w:r>
              <w:t>After “sales gas”, insert “or natural gas”.</w:t>
            </w:r>
          </w:p>
        </w:tc>
      </w:tr>
      <w:tr w:rsidR="00781D54" w14:paraId="1B907131" w14:textId="77777777" w:rsidTr="00715A0B">
        <w:tc>
          <w:tcPr>
            <w:tcW w:w="4219" w:type="dxa"/>
            <w:shd w:val="clear" w:color="auto" w:fill="auto"/>
          </w:tcPr>
          <w:p w14:paraId="1B90712F" w14:textId="77777777" w:rsidR="00781D54" w:rsidRPr="00DD5EE4" w:rsidRDefault="00781D54" w:rsidP="00445A8C">
            <w:pPr>
              <w:pStyle w:val="exampletext"/>
              <w:ind w:left="0"/>
            </w:pPr>
            <w:r>
              <w:t>Regulation 20 (heading)</w:t>
            </w:r>
            <w:r>
              <w:br/>
            </w:r>
          </w:p>
        </w:tc>
        <w:tc>
          <w:tcPr>
            <w:tcW w:w="4253" w:type="dxa"/>
            <w:shd w:val="clear" w:color="auto" w:fill="auto"/>
          </w:tcPr>
          <w:p w14:paraId="1B907130" w14:textId="77777777" w:rsidR="00781D54" w:rsidRPr="00483AC9" w:rsidRDefault="00781D54" w:rsidP="00715A0B">
            <w:pPr>
              <w:pStyle w:val="exampletext"/>
              <w:ind w:left="0"/>
              <w:rPr>
                <w:b/>
              </w:rPr>
            </w:pPr>
            <w:r>
              <w:t xml:space="preserve">Repeal the heading, substitute </w:t>
            </w:r>
            <w:r>
              <w:rPr>
                <w:b/>
              </w:rPr>
              <w:t>RPM price (transfer price using the residual pricing method)</w:t>
            </w:r>
          </w:p>
        </w:tc>
      </w:tr>
      <w:tr w:rsidR="00781D54" w14:paraId="1B907134" w14:textId="77777777" w:rsidTr="00715A0B">
        <w:tc>
          <w:tcPr>
            <w:tcW w:w="4219" w:type="dxa"/>
            <w:shd w:val="clear" w:color="auto" w:fill="auto"/>
          </w:tcPr>
          <w:p w14:paraId="1B907132" w14:textId="77777777" w:rsidR="00781D54" w:rsidRPr="00DD5EE4" w:rsidRDefault="00781D54" w:rsidP="00445A8C">
            <w:pPr>
              <w:pStyle w:val="exampletext"/>
              <w:ind w:left="0"/>
            </w:pPr>
            <w:r>
              <w:t>Regulation 20</w:t>
            </w:r>
            <w:r>
              <w:br/>
            </w:r>
          </w:p>
        </w:tc>
        <w:tc>
          <w:tcPr>
            <w:tcW w:w="4253" w:type="dxa"/>
            <w:shd w:val="clear" w:color="auto" w:fill="auto"/>
          </w:tcPr>
          <w:p w14:paraId="1B907133" w14:textId="77777777" w:rsidR="00781D54" w:rsidRDefault="00781D54" w:rsidP="00715A0B">
            <w:pPr>
              <w:pStyle w:val="exampletext"/>
              <w:ind w:left="0"/>
            </w:pPr>
            <w:r>
              <w:t>Omit “for a taxpayer in a year of tax is a price for project sales gas that”</w:t>
            </w:r>
            <w:r w:rsidR="00445A8C">
              <w:t>, substitute</w:t>
            </w:r>
            <w:r>
              <w:t xml:space="preserve"> “of an assessable gas for a taxpayer in a year of </w:t>
            </w:r>
            <w:r>
              <w:lastRenderedPageBreak/>
              <w:t>tax”.</w:t>
            </w:r>
          </w:p>
        </w:tc>
      </w:tr>
      <w:tr w:rsidR="00781D54" w14:paraId="1B907137" w14:textId="77777777" w:rsidTr="00715A0B">
        <w:tc>
          <w:tcPr>
            <w:tcW w:w="4219" w:type="dxa"/>
            <w:shd w:val="clear" w:color="auto" w:fill="auto"/>
          </w:tcPr>
          <w:p w14:paraId="1B907135" w14:textId="77777777" w:rsidR="00781D54" w:rsidRPr="00DD5EE4" w:rsidRDefault="00781D54" w:rsidP="00445A8C">
            <w:pPr>
              <w:pStyle w:val="exampletext"/>
              <w:ind w:left="0"/>
            </w:pPr>
            <w:r>
              <w:lastRenderedPageBreak/>
              <w:t>Paragraph 20(a)</w:t>
            </w:r>
            <w:r>
              <w:br/>
            </w:r>
          </w:p>
        </w:tc>
        <w:tc>
          <w:tcPr>
            <w:tcW w:w="4253" w:type="dxa"/>
            <w:shd w:val="clear" w:color="auto" w:fill="auto"/>
          </w:tcPr>
          <w:p w14:paraId="1B907136" w14:textId="77777777" w:rsidR="00781D54" w:rsidRDefault="00781D54" w:rsidP="00715A0B">
            <w:pPr>
              <w:pStyle w:val="exampletext"/>
              <w:ind w:left="0"/>
            </w:pPr>
            <w:r>
              <w:t>After “cost-plus price”, insert “of the assessable gas”.</w:t>
            </w:r>
          </w:p>
        </w:tc>
      </w:tr>
      <w:tr w:rsidR="00781D54" w14:paraId="1B90713A" w14:textId="77777777" w:rsidTr="00715A0B">
        <w:tc>
          <w:tcPr>
            <w:tcW w:w="4219" w:type="dxa"/>
            <w:shd w:val="clear" w:color="auto" w:fill="auto"/>
          </w:tcPr>
          <w:p w14:paraId="1B907138" w14:textId="77777777" w:rsidR="00781D54" w:rsidRPr="00DD5EE4" w:rsidRDefault="00781D54" w:rsidP="00445A8C">
            <w:pPr>
              <w:pStyle w:val="exampletext"/>
              <w:ind w:left="0"/>
            </w:pPr>
            <w:r>
              <w:t>Regulation 20</w:t>
            </w:r>
            <w:r>
              <w:br/>
            </w:r>
          </w:p>
        </w:tc>
        <w:tc>
          <w:tcPr>
            <w:tcW w:w="4253" w:type="dxa"/>
            <w:shd w:val="clear" w:color="auto" w:fill="auto"/>
          </w:tcPr>
          <w:p w14:paraId="1B907139" w14:textId="77777777" w:rsidR="00781D54" w:rsidRDefault="00781D54" w:rsidP="00715A0B">
            <w:pPr>
              <w:pStyle w:val="exampletext"/>
              <w:ind w:left="0"/>
            </w:pPr>
            <w:r>
              <w:t>After “and the netback price”, insert “of the assessable gas”.</w:t>
            </w:r>
          </w:p>
        </w:tc>
      </w:tr>
      <w:tr w:rsidR="00781D54" w14:paraId="1B90713D" w14:textId="77777777" w:rsidTr="00715A0B">
        <w:tc>
          <w:tcPr>
            <w:tcW w:w="4219" w:type="dxa"/>
            <w:shd w:val="clear" w:color="auto" w:fill="auto"/>
          </w:tcPr>
          <w:p w14:paraId="1B90713B" w14:textId="77777777" w:rsidR="00781D54" w:rsidRPr="00DD5EE4" w:rsidRDefault="00781D54" w:rsidP="00445A8C">
            <w:pPr>
              <w:pStyle w:val="exampletext"/>
              <w:ind w:left="0"/>
            </w:pPr>
            <w:r>
              <w:t>Subregulation 21(1)</w:t>
            </w:r>
            <w:r>
              <w:br/>
            </w:r>
          </w:p>
        </w:tc>
        <w:tc>
          <w:tcPr>
            <w:tcW w:w="4253" w:type="dxa"/>
            <w:shd w:val="clear" w:color="auto" w:fill="auto"/>
          </w:tcPr>
          <w:p w14:paraId="1B90713C" w14:textId="77777777" w:rsidR="00781D54" w:rsidRDefault="00781D54" w:rsidP="00715A0B">
            <w:pPr>
              <w:pStyle w:val="exampletext"/>
              <w:ind w:left="0"/>
            </w:pPr>
            <w:r>
              <w:t>After “RPM price”, insert “for an assessable gas”.</w:t>
            </w:r>
          </w:p>
        </w:tc>
      </w:tr>
    </w:tbl>
    <w:p w14:paraId="1B90713E" w14:textId="77777777" w:rsidR="00781D54" w:rsidRDefault="00781D54" w:rsidP="0074777B">
      <w:pPr>
        <w:pStyle w:val="Heading3"/>
        <w:spacing w:before="240" w:after="240"/>
      </w:pPr>
      <w:r>
        <w:t>Other technical amendments</w:t>
      </w:r>
    </w:p>
    <w:p w14:paraId="1B90713F" w14:textId="77777777" w:rsidR="00B333C7" w:rsidRDefault="00284BD7" w:rsidP="0074777B">
      <w:pPr>
        <w:pStyle w:val="EMpara"/>
        <w:spacing w:before="0" w:after="240"/>
      </w:pPr>
      <w:r>
        <w:t xml:space="preserve">The </w:t>
      </w:r>
      <w:r w:rsidR="00D67935">
        <w:t>Regulation also make</w:t>
      </w:r>
      <w:r>
        <w:t>s</w:t>
      </w:r>
      <w:r w:rsidR="00D67935">
        <w:t xml:space="preserve"> a number of o</w:t>
      </w:r>
      <w:r w:rsidR="00B333C7">
        <w:t>ther minor technical amendments to</w:t>
      </w:r>
      <w:r w:rsidR="008D519F">
        <w:t xml:space="preserve"> the Principal Regulation to</w:t>
      </w:r>
      <w:r w:rsidR="00B333C7">
        <w:t xml:space="preserve"> correct or clarify terminology as follows:</w:t>
      </w:r>
    </w:p>
    <w:p w14:paraId="1B907140" w14:textId="77777777" w:rsidR="00B333C7" w:rsidRPr="004822F7" w:rsidRDefault="00B333C7" w:rsidP="0074777B">
      <w:pPr>
        <w:pStyle w:val="Bullet"/>
        <w:spacing w:after="240"/>
      </w:pPr>
      <w:r>
        <w:t>C</w:t>
      </w:r>
      <w:r w:rsidRPr="004822F7">
        <w:t>orrect</w:t>
      </w:r>
      <w:r>
        <w:t>ing</w:t>
      </w:r>
      <w:r w:rsidRPr="004822F7">
        <w:t xml:space="preserve"> the reference to ‘RPM amount’ in example 1 under </w:t>
      </w:r>
      <w:r w:rsidR="00D67935">
        <w:t>s</w:t>
      </w:r>
      <w:r w:rsidRPr="004822F7">
        <w:t>ubregulation 21(4)</w:t>
      </w:r>
      <w:r>
        <w:t>,</w:t>
      </w:r>
      <w:r w:rsidRPr="004822F7">
        <w:t xml:space="preserve"> pertaining to working out an RPM price where information is not available, by replacing it with ‘RPM price’. </w:t>
      </w:r>
    </w:p>
    <w:p w14:paraId="1B907141" w14:textId="77777777" w:rsidR="00B333C7" w:rsidRPr="004822F7" w:rsidRDefault="00B333C7" w:rsidP="0074777B">
      <w:pPr>
        <w:pStyle w:val="Bullet"/>
        <w:spacing w:after="240"/>
      </w:pPr>
      <w:r w:rsidRPr="004822F7">
        <w:t>Amend</w:t>
      </w:r>
      <w:r>
        <w:t>ing</w:t>
      </w:r>
      <w:r w:rsidRPr="004822F7">
        <w:t xml:space="preserve"> </w:t>
      </w:r>
      <w:r w:rsidR="00D67935">
        <w:t>s</w:t>
      </w:r>
      <w:r w:rsidRPr="004822F7">
        <w:t>ubregulation 35(6) by inserting “as reduced” to clarify that capital costs reduced for the purposes of RPM calculations are also taken to be incurred in the production year. This correctly reflect</w:t>
      </w:r>
      <w:r w:rsidR="008D519F">
        <w:t>s</w:t>
      </w:r>
      <w:r w:rsidRPr="004822F7">
        <w:t xml:space="preserve"> that capital costs incurred before the production year can, in addition to being augmented, also be reduced</w:t>
      </w:r>
      <w:r w:rsidR="008D519F">
        <w:t>,</w:t>
      </w:r>
      <w:r w:rsidRPr="004822F7">
        <w:t xml:space="preserve"> or augmented and then reduced under the RPM method.</w:t>
      </w:r>
      <w:r w:rsidRPr="0074777B">
        <w:t xml:space="preserve"> </w:t>
      </w:r>
    </w:p>
    <w:p w14:paraId="1B907142" w14:textId="77777777" w:rsidR="00B333C7" w:rsidRPr="0074777B" w:rsidRDefault="00B333C7" w:rsidP="0074777B">
      <w:pPr>
        <w:pStyle w:val="Bullet"/>
        <w:spacing w:after="240"/>
      </w:pPr>
      <w:r>
        <w:t>Amending</w:t>
      </w:r>
      <w:r w:rsidRPr="004822F7">
        <w:t xml:space="preserve"> </w:t>
      </w:r>
      <w:r w:rsidR="00D67935">
        <w:t>r</w:t>
      </w:r>
      <w:r w:rsidRPr="004822F7">
        <w:t>egulation</w:t>
      </w:r>
      <w:r>
        <w:t xml:space="preserve"> 41, which outlines reviewable decisions, to</w:t>
      </w:r>
      <w:r w:rsidRPr="004822F7">
        <w:t xml:space="preserve"> remove reference</w:t>
      </w:r>
      <w:r>
        <w:t>s</w:t>
      </w:r>
      <w:r w:rsidRPr="004822F7">
        <w:t xml:space="preserve"> to N or VNG as these acronyms </w:t>
      </w:r>
      <w:r>
        <w:t>will</w:t>
      </w:r>
      <w:r w:rsidRPr="004822F7">
        <w:t xml:space="preserve"> no longer referred to in the amended</w:t>
      </w:r>
      <w:r w:rsidRPr="002810FA">
        <w:t xml:space="preserve"> </w:t>
      </w:r>
      <w:r w:rsidR="00D67935">
        <w:t>s</w:t>
      </w:r>
      <w:r w:rsidRPr="007D6465">
        <w:t>ubregulation</w:t>
      </w:r>
      <w:r w:rsidRPr="002810FA">
        <w:t>.</w:t>
      </w:r>
      <w:r w:rsidR="00D67935" w:rsidRPr="002810FA" w:rsidDel="00D67935">
        <w:t xml:space="preserve"> </w:t>
      </w:r>
    </w:p>
    <w:p w14:paraId="1B907143" w14:textId="77777777" w:rsidR="00C96830" w:rsidRDefault="008D519F" w:rsidP="0074777B">
      <w:pPr>
        <w:rPr>
          <w:rStyle w:val="EMparaChar"/>
        </w:rPr>
      </w:pPr>
      <w:r>
        <w:rPr>
          <w:rStyle w:val="EMparaChar"/>
        </w:rPr>
        <w:t xml:space="preserve">The </w:t>
      </w:r>
      <w:r w:rsidR="00D67935">
        <w:rPr>
          <w:rStyle w:val="EMparaChar"/>
        </w:rPr>
        <w:t>Regulation also make</w:t>
      </w:r>
      <w:r>
        <w:rPr>
          <w:rStyle w:val="EMparaChar"/>
        </w:rPr>
        <w:t>s</w:t>
      </w:r>
      <w:r w:rsidR="00D67935">
        <w:rPr>
          <w:rStyle w:val="EMparaChar"/>
        </w:rPr>
        <w:t xml:space="preserve"> m</w:t>
      </w:r>
      <w:r w:rsidR="00B333C7" w:rsidRPr="00DC34F9">
        <w:rPr>
          <w:rStyle w:val="EMparaChar"/>
        </w:rPr>
        <w:t xml:space="preserve">inor amendments to </w:t>
      </w:r>
      <w:r>
        <w:rPr>
          <w:rStyle w:val="EMparaChar"/>
        </w:rPr>
        <w:t xml:space="preserve">the examples included under regulation 6 to clarify </w:t>
      </w:r>
      <w:r w:rsidR="00B333C7" w:rsidRPr="00DC34F9">
        <w:rPr>
          <w:rStyle w:val="EMparaChar"/>
        </w:rPr>
        <w:t>where a phase point occurs within an inte</w:t>
      </w:r>
      <w:r>
        <w:rPr>
          <w:rStyle w:val="EMparaChar"/>
        </w:rPr>
        <w:t>grated operation</w:t>
      </w:r>
      <w:r w:rsidR="00B333C7" w:rsidRPr="00DC34F9">
        <w:rPr>
          <w:rStyle w:val="EMparaChar"/>
        </w:rPr>
        <w:t>. Phase points divide an integrated operation into phases, allowing for the appropriate apportionment of costs where multiple use of a phase occurs. Only those costs that relate to the production and processing of project sales gas into project liquid are included in the RPM calculation.</w:t>
      </w:r>
    </w:p>
    <w:p w14:paraId="1B907144" w14:textId="77777777" w:rsidR="00172557" w:rsidRDefault="00172557" w:rsidP="0074777B">
      <w:pPr>
        <w:rPr>
          <w:rStyle w:val="EMparaChar"/>
        </w:rPr>
      </w:pPr>
    </w:p>
    <w:p w14:paraId="1B907145" w14:textId="77777777" w:rsidR="00172557" w:rsidRDefault="00172557" w:rsidP="0074777B">
      <w:pPr>
        <w:sectPr w:rsidR="00172557">
          <w:headerReference w:type="default" r:id="rId15"/>
          <w:footerReference w:type="default" r:id="rId16"/>
          <w:headerReference w:type="first" r:id="rId17"/>
          <w:pgSz w:w="11906" w:h="16838" w:code="9"/>
          <w:pgMar w:top="1134" w:right="1797" w:bottom="1134" w:left="1797" w:header="720" w:footer="720" w:gutter="0"/>
          <w:cols w:space="708"/>
          <w:titlePg/>
          <w:docGrid w:linePitch="360"/>
        </w:sectPr>
      </w:pPr>
    </w:p>
    <w:p w14:paraId="1B907146" w14:textId="77777777" w:rsidR="00172557" w:rsidRPr="0040622B" w:rsidRDefault="00172557" w:rsidP="00172557">
      <w:pPr>
        <w:tabs>
          <w:tab w:val="left" w:pos="3969"/>
          <w:tab w:val="left" w:pos="5245"/>
        </w:tabs>
        <w:ind w:right="91"/>
        <w:jc w:val="right"/>
        <w:rPr>
          <w:b/>
          <w:u w:val="single"/>
        </w:rPr>
      </w:pPr>
      <w:r w:rsidRPr="0040622B">
        <w:rPr>
          <w:b/>
          <w:u w:val="single"/>
        </w:rPr>
        <w:lastRenderedPageBreak/>
        <w:t>ATTACHMENT B</w:t>
      </w:r>
    </w:p>
    <w:p w14:paraId="1B907147" w14:textId="77777777" w:rsidR="00172557" w:rsidRPr="0040622B" w:rsidRDefault="00172557" w:rsidP="00172557">
      <w:pPr>
        <w:spacing w:before="120" w:after="120"/>
        <w:ind w:right="91"/>
        <w:jc w:val="right"/>
      </w:pPr>
    </w:p>
    <w:p w14:paraId="1B907148" w14:textId="77777777" w:rsidR="00172557" w:rsidRPr="0040622B" w:rsidRDefault="00172557" w:rsidP="00172557">
      <w:pPr>
        <w:keepNext/>
        <w:jc w:val="center"/>
        <w:outlineLvl w:val="2"/>
        <w:rPr>
          <w:b/>
          <w:sz w:val="28"/>
          <w:u w:val="single"/>
        </w:rPr>
      </w:pPr>
      <w:r w:rsidRPr="0040622B">
        <w:rPr>
          <w:b/>
          <w:sz w:val="28"/>
          <w:u w:val="single"/>
        </w:rPr>
        <w:t>Statement of Compatibility with Human Rights</w:t>
      </w:r>
    </w:p>
    <w:p w14:paraId="1B907149" w14:textId="77777777" w:rsidR="00172557" w:rsidRPr="0040622B" w:rsidRDefault="00172557" w:rsidP="00172557"/>
    <w:p w14:paraId="1B90714A" w14:textId="77777777" w:rsidR="00172557" w:rsidRPr="0040622B" w:rsidRDefault="00172557" w:rsidP="00172557">
      <w:pPr>
        <w:rPr>
          <w:i/>
        </w:rPr>
      </w:pPr>
      <w:r w:rsidRPr="0040622B">
        <w:t xml:space="preserve">Prepared in accordance with Part 3 of the </w:t>
      </w:r>
      <w:r w:rsidRPr="0040622B">
        <w:rPr>
          <w:i/>
        </w:rPr>
        <w:t>Human Rights (P</w:t>
      </w:r>
      <w:r w:rsidR="00D51E30">
        <w:rPr>
          <w:i/>
        </w:rPr>
        <w:t>arliamentary Scrutiny) Act 2011</w:t>
      </w:r>
    </w:p>
    <w:p w14:paraId="1B90714B" w14:textId="77777777" w:rsidR="00172557" w:rsidRPr="0040622B" w:rsidRDefault="00172557" w:rsidP="00172557"/>
    <w:p w14:paraId="1B90714C" w14:textId="3025619F" w:rsidR="00172557" w:rsidRPr="0040622B" w:rsidRDefault="00172557" w:rsidP="00172557">
      <w:pPr>
        <w:jc w:val="center"/>
        <w:rPr>
          <w:b/>
          <w:u w:val="single"/>
        </w:rPr>
      </w:pPr>
      <w:r w:rsidRPr="0040622B">
        <w:rPr>
          <w:b/>
          <w:u w:val="single"/>
        </w:rPr>
        <w:t xml:space="preserve">Petroleum Resource Rent Tax Assessment Amendment Regulations 2013 (No. </w:t>
      </w:r>
      <w:r w:rsidR="0048036F">
        <w:rPr>
          <w:b/>
          <w:u w:val="single"/>
        </w:rPr>
        <w:t>1</w:t>
      </w:r>
      <w:r w:rsidRPr="0040622B">
        <w:rPr>
          <w:b/>
          <w:u w:val="single"/>
        </w:rPr>
        <w:t>)</w:t>
      </w:r>
    </w:p>
    <w:p w14:paraId="1B90714D" w14:textId="77777777" w:rsidR="00172557" w:rsidRPr="0040622B" w:rsidRDefault="00172557" w:rsidP="00172557">
      <w:pPr>
        <w:jc w:val="center"/>
        <w:rPr>
          <w:b/>
          <w:u w:val="single"/>
        </w:rPr>
      </w:pPr>
    </w:p>
    <w:p w14:paraId="1B90714E" w14:textId="77777777" w:rsidR="00172557" w:rsidRPr="0040622B" w:rsidRDefault="00172557" w:rsidP="00172557">
      <w:pPr>
        <w:rPr>
          <w:szCs w:val="24"/>
        </w:rPr>
      </w:pPr>
      <w:r w:rsidRPr="0040622B">
        <w:rPr>
          <w:szCs w:val="24"/>
        </w:rPr>
        <w:t>This Legislative Instrument is compatible with the human rights and freedoms recognised or declared in the international instruments listed in section 3 of the Human Rights (Parliamentary Scrutiny) Act 2011.</w:t>
      </w:r>
    </w:p>
    <w:p w14:paraId="1B90714F" w14:textId="77777777" w:rsidR="00172557" w:rsidRPr="0040622B" w:rsidRDefault="00172557" w:rsidP="00172557">
      <w:pPr>
        <w:rPr>
          <w:szCs w:val="24"/>
        </w:rPr>
      </w:pPr>
    </w:p>
    <w:p w14:paraId="1B907150" w14:textId="77777777" w:rsidR="00172557" w:rsidRPr="0040622B" w:rsidRDefault="00172557" w:rsidP="00172557">
      <w:pPr>
        <w:rPr>
          <w:b/>
          <w:u w:val="single"/>
        </w:rPr>
      </w:pPr>
      <w:r w:rsidRPr="0040622B">
        <w:rPr>
          <w:b/>
          <w:u w:val="single"/>
        </w:rPr>
        <w:t>Overview</w:t>
      </w:r>
      <w:r w:rsidRPr="0040622B">
        <w:rPr>
          <w:b/>
          <w:u w:val="single"/>
        </w:rPr>
        <w:br/>
      </w:r>
    </w:p>
    <w:p w14:paraId="1B907151" w14:textId="77777777" w:rsidR="00D51E30" w:rsidRDefault="00172557" w:rsidP="00172557">
      <w:r w:rsidRPr="0040622B">
        <w:t xml:space="preserve">The </w:t>
      </w:r>
      <w:r w:rsidR="00D51E30">
        <w:t xml:space="preserve">Regulation amends the </w:t>
      </w:r>
      <w:r w:rsidR="00D51E30">
        <w:rPr>
          <w:i/>
        </w:rPr>
        <w:t xml:space="preserve">Petroleum Resource Rent Tax Assessment Regulations </w:t>
      </w:r>
      <w:r w:rsidR="00D51E30" w:rsidRPr="00D51E30">
        <w:t>2005</w:t>
      </w:r>
      <w:r w:rsidR="00D51E30">
        <w:t xml:space="preserve">, which provide a framework for determining the value of project gas for Petroleum Resource Rent Tax (PRRT) purposes, in cases where it is used as feedstock in an integrated gas-to-liquids (GTL) operation, and where no arm’s length price for the gas exists. </w:t>
      </w:r>
    </w:p>
    <w:p w14:paraId="1B907152" w14:textId="77777777" w:rsidR="00D51E30" w:rsidRDefault="00D51E30" w:rsidP="00172557"/>
    <w:p w14:paraId="1B907153" w14:textId="77777777" w:rsidR="00D51E30" w:rsidRDefault="00172557" w:rsidP="00172557">
      <w:r w:rsidRPr="0040622B">
        <w:t xml:space="preserve">The </w:t>
      </w:r>
      <w:r w:rsidR="00D51E30">
        <w:t xml:space="preserve">Regulation </w:t>
      </w:r>
      <w:r w:rsidR="000D33F5">
        <w:t>provides industry with certainty by extending</w:t>
      </w:r>
      <w:r w:rsidR="00D51E30">
        <w:t xml:space="preserve"> the regulatory framework so that it can </w:t>
      </w:r>
      <w:r w:rsidR="000D33F5">
        <w:t xml:space="preserve">also </w:t>
      </w:r>
      <w:r w:rsidR="00D51E30">
        <w:t xml:space="preserve">be appropriately applied in relation to </w:t>
      </w:r>
      <w:r w:rsidR="000D33F5">
        <w:t xml:space="preserve">gas used in </w:t>
      </w:r>
      <w:r w:rsidR="00D51E30">
        <w:t xml:space="preserve">onshore integrated GTL and gas-to-electricity </w:t>
      </w:r>
      <w:r w:rsidR="000D33F5">
        <w:t xml:space="preserve">(GTE) operations, as well as </w:t>
      </w:r>
      <w:r w:rsidR="00D51E30">
        <w:t xml:space="preserve">the North West Shelf project, following the </w:t>
      </w:r>
      <w:r w:rsidR="00F60D72">
        <w:t>application</w:t>
      </w:r>
      <w:r w:rsidR="000D33F5">
        <w:t xml:space="preserve"> of the </w:t>
      </w:r>
      <w:r w:rsidR="00D51E30">
        <w:t>PRRT</w:t>
      </w:r>
      <w:r w:rsidR="000D33F5">
        <w:t xml:space="preserve"> being extended</w:t>
      </w:r>
      <w:r w:rsidR="00D51E30">
        <w:t xml:space="preserve"> to onshore petroleum projects and the North West Shelf project from 1 July 2012. </w:t>
      </w:r>
    </w:p>
    <w:p w14:paraId="1B907154" w14:textId="77777777" w:rsidR="00172557" w:rsidRPr="0040622B" w:rsidRDefault="00172557" w:rsidP="00172557"/>
    <w:p w14:paraId="1B907155" w14:textId="77777777" w:rsidR="00172557" w:rsidRPr="0040622B" w:rsidRDefault="00172557" w:rsidP="00172557">
      <w:pPr>
        <w:rPr>
          <w:b/>
          <w:u w:val="single"/>
        </w:rPr>
      </w:pPr>
      <w:r w:rsidRPr="0040622B">
        <w:rPr>
          <w:b/>
          <w:u w:val="single"/>
        </w:rPr>
        <w:t>Human rights implications</w:t>
      </w:r>
      <w:r w:rsidRPr="0040622B">
        <w:rPr>
          <w:b/>
          <w:u w:val="single"/>
        </w:rPr>
        <w:br/>
      </w:r>
    </w:p>
    <w:p w14:paraId="1B907156" w14:textId="77777777" w:rsidR="00172557" w:rsidRPr="0040622B" w:rsidRDefault="00172557" w:rsidP="00172557">
      <w:r w:rsidRPr="0040622B">
        <w:t xml:space="preserve">This Legislative Instrument does not engage any of the applicable rights or freedoms.  </w:t>
      </w:r>
    </w:p>
    <w:p w14:paraId="1B907157" w14:textId="77777777" w:rsidR="00172557" w:rsidRPr="0040622B" w:rsidRDefault="00172557" w:rsidP="00172557"/>
    <w:p w14:paraId="1B907158" w14:textId="77777777" w:rsidR="00172557" w:rsidRPr="0040622B" w:rsidRDefault="00172557" w:rsidP="00172557">
      <w:pPr>
        <w:rPr>
          <w:b/>
          <w:u w:val="single"/>
        </w:rPr>
      </w:pPr>
      <w:r w:rsidRPr="0040622B">
        <w:rPr>
          <w:b/>
          <w:u w:val="single"/>
        </w:rPr>
        <w:t>Conclusion</w:t>
      </w:r>
      <w:r w:rsidRPr="0040622B">
        <w:rPr>
          <w:b/>
          <w:u w:val="single"/>
        </w:rPr>
        <w:br/>
      </w:r>
    </w:p>
    <w:p w14:paraId="1B907159" w14:textId="77777777" w:rsidR="00172557" w:rsidRPr="0040622B" w:rsidRDefault="00172557" w:rsidP="00172557">
      <w:r w:rsidRPr="0040622B">
        <w:t>This Legislative Instrument is compatible with human rights as it does not raise any human rights issues.</w:t>
      </w:r>
    </w:p>
    <w:p w14:paraId="1B90715A" w14:textId="77777777" w:rsidR="00172557" w:rsidRPr="0040622B" w:rsidRDefault="00172557" w:rsidP="00172557">
      <w:pPr>
        <w:keepNext/>
        <w:spacing w:after="60"/>
        <w:outlineLvl w:val="1"/>
        <w:rPr>
          <w:b/>
          <w:sz w:val="28"/>
          <w:u w:val="single"/>
        </w:rPr>
      </w:pPr>
    </w:p>
    <w:p w14:paraId="1B90715B" w14:textId="77777777" w:rsidR="00172557" w:rsidRPr="0040622B" w:rsidRDefault="00172557" w:rsidP="00172557">
      <w:pPr>
        <w:keepNext/>
        <w:spacing w:before="120"/>
        <w:outlineLvl w:val="1"/>
        <w:rPr>
          <w:rFonts w:cs="Helvetica"/>
          <w:b/>
          <w:caps/>
        </w:rPr>
      </w:pPr>
      <w:r w:rsidRPr="0040622B">
        <w:rPr>
          <w:rFonts w:cs="Helvetica"/>
          <w:b/>
          <w:caps/>
        </w:rPr>
        <w:t>Assistant Treasurer, Hon David Bradbury</w:t>
      </w:r>
    </w:p>
    <w:p w14:paraId="1B90715C" w14:textId="77777777" w:rsidR="00172557" w:rsidRPr="00EF4BE4" w:rsidRDefault="00172557" w:rsidP="00172557"/>
    <w:p w14:paraId="1B90715D" w14:textId="77777777" w:rsidR="00172557" w:rsidRPr="00EF4BE4" w:rsidRDefault="00172557" w:rsidP="0074777B"/>
    <w:sectPr w:rsidR="00172557" w:rsidRPr="00EF4BE4">
      <w:pgSz w:w="11906" w:h="16838" w:code="9"/>
      <w:pgMar w:top="1134" w:right="1797" w:bottom="1134"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907167" w14:textId="77777777" w:rsidR="00D51E30" w:rsidRDefault="00D51E30" w:rsidP="0010538C">
      <w:r>
        <w:separator/>
      </w:r>
    </w:p>
  </w:endnote>
  <w:endnote w:type="continuationSeparator" w:id="0">
    <w:p w14:paraId="1B907168" w14:textId="77777777" w:rsidR="00D51E30" w:rsidRDefault="00D51E30" w:rsidP="0010538C">
      <w:r>
        <w:continuationSeparator/>
      </w:r>
    </w:p>
  </w:endnote>
  <w:endnote w:type="continuationNotice" w:id="1">
    <w:p w14:paraId="1B907169" w14:textId="77777777" w:rsidR="00D51E30" w:rsidRDefault="00D51E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716C" w14:textId="77777777" w:rsidR="00D51E30" w:rsidRDefault="00D51E30">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07164" w14:textId="77777777" w:rsidR="00D51E30" w:rsidRDefault="00D51E30" w:rsidP="0010538C">
      <w:r>
        <w:separator/>
      </w:r>
    </w:p>
  </w:footnote>
  <w:footnote w:type="continuationSeparator" w:id="0">
    <w:p w14:paraId="1B907165" w14:textId="77777777" w:rsidR="00D51E30" w:rsidRDefault="00D51E30" w:rsidP="0010538C">
      <w:r>
        <w:continuationSeparator/>
      </w:r>
    </w:p>
  </w:footnote>
  <w:footnote w:type="continuationNotice" w:id="1">
    <w:p w14:paraId="1B907166" w14:textId="77777777" w:rsidR="00D51E30" w:rsidRDefault="00D51E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716A" w14:textId="77777777" w:rsidR="00D51E30" w:rsidRPr="0074777B" w:rsidRDefault="0008606E">
    <w:pPr>
      <w:pStyle w:val="Header"/>
      <w:jc w:val="center"/>
      <w:rPr>
        <w:sz w:val="24"/>
      </w:rPr>
    </w:pPr>
    <w:sdt>
      <w:sdtPr>
        <w:rPr>
          <w:sz w:val="24"/>
        </w:rPr>
        <w:id w:val="308904880"/>
        <w:docPartObj>
          <w:docPartGallery w:val="Page Numbers (Top of Page)"/>
          <w:docPartUnique/>
        </w:docPartObj>
      </w:sdtPr>
      <w:sdtEndPr>
        <w:rPr>
          <w:noProof/>
        </w:rPr>
      </w:sdtEndPr>
      <w:sdtContent>
        <w:r w:rsidR="00D51E30" w:rsidRPr="0074777B">
          <w:rPr>
            <w:sz w:val="24"/>
          </w:rPr>
          <w:fldChar w:fldCharType="begin"/>
        </w:r>
        <w:r w:rsidR="00D51E30" w:rsidRPr="0074777B">
          <w:rPr>
            <w:sz w:val="24"/>
          </w:rPr>
          <w:instrText xml:space="preserve"> PAGE   \* MERGEFORMAT </w:instrText>
        </w:r>
        <w:r w:rsidR="00D51E30" w:rsidRPr="0074777B">
          <w:rPr>
            <w:sz w:val="24"/>
          </w:rPr>
          <w:fldChar w:fldCharType="separate"/>
        </w:r>
        <w:r>
          <w:rPr>
            <w:noProof/>
            <w:sz w:val="24"/>
          </w:rPr>
          <w:t>29</w:t>
        </w:r>
        <w:r w:rsidR="00D51E30" w:rsidRPr="0074777B">
          <w:rPr>
            <w:noProof/>
            <w:sz w:val="24"/>
          </w:rPr>
          <w:fldChar w:fldCharType="end"/>
        </w:r>
      </w:sdtContent>
    </w:sdt>
    <w:r w:rsidR="00D51E30">
      <w:rPr>
        <w:noProof/>
        <w:sz w:val="24"/>
      </w:rPr>
      <w:t>.</w:t>
    </w:r>
  </w:p>
  <w:p w14:paraId="1B90716B" w14:textId="77777777" w:rsidR="00D51E30" w:rsidRDefault="00D51E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0716D" w14:textId="77777777" w:rsidR="00D51E30" w:rsidRDefault="00D51E30">
    <w:pPr>
      <w:pStyle w:val="Header"/>
      <w:jc w:val="center"/>
    </w:pPr>
  </w:p>
  <w:p w14:paraId="1B90716E" w14:textId="77777777" w:rsidR="00D51E30" w:rsidRDefault="00D51E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A683A"/>
    <w:multiLevelType w:val="hybridMultilevel"/>
    <w:tmpl w:val="67E0718A"/>
    <w:lvl w:ilvl="0" w:tplc="A19EBF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A19EBFE0">
      <w:start w:val="1"/>
      <w:numFmt w:val="lowerLetter"/>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4757F00"/>
    <w:multiLevelType w:val="hybridMultilevel"/>
    <w:tmpl w:val="0590DC5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5A05143"/>
    <w:multiLevelType w:val="multilevel"/>
    <w:tmpl w:val="3F0C40A4"/>
    <w:name w:val="StandardBulletedList"/>
    <w:lvl w:ilvl="0">
      <w:start w:val="1"/>
      <w:numFmt w:val="bullet"/>
      <w:pStyle w:val="Bullet"/>
      <w:lvlText w:val="•"/>
      <w:lvlJc w:val="left"/>
      <w:pPr>
        <w:tabs>
          <w:tab w:val="num" w:pos="567"/>
        </w:tabs>
        <w:ind w:left="567" w:hanging="567"/>
      </w:pPr>
      <w:rPr>
        <w:rFonts w:ascii="Times New Roman" w:hAnsi="Times New Roman" w:cs="Times New Roman"/>
        <w:sz w:val="22"/>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3">
    <w:nsid w:val="18547EAB"/>
    <w:multiLevelType w:val="hybridMultilevel"/>
    <w:tmpl w:val="5CCED754"/>
    <w:lvl w:ilvl="0" w:tplc="A19EBF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0" w:hanging="360"/>
      </w:pPr>
    </w:lvl>
    <w:lvl w:ilvl="4" w:tplc="0C090019" w:tentative="1">
      <w:start w:val="1"/>
      <w:numFmt w:val="lowerLetter"/>
      <w:lvlText w:val="%5."/>
      <w:lvlJc w:val="left"/>
      <w:pPr>
        <w:ind w:left="720" w:hanging="360"/>
      </w:pPr>
    </w:lvl>
    <w:lvl w:ilvl="5" w:tplc="0C09001B" w:tentative="1">
      <w:start w:val="1"/>
      <w:numFmt w:val="lowerRoman"/>
      <w:lvlText w:val="%6."/>
      <w:lvlJc w:val="right"/>
      <w:pPr>
        <w:ind w:left="1440" w:hanging="180"/>
      </w:pPr>
    </w:lvl>
    <w:lvl w:ilvl="6" w:tplc="0C09000F" w:tentative="1">
      <w:start w:val="1"/>
      <w:numFmt w:val="decimal"/>
      <w:lvlText w:val="%7."/>
      <w:lvlJc w:val="left"/>
      <w:pPr>
        <w:ind w:left="2160" w:hanging="360"/>
      </w:pPr>
    </w:lvl>
    <w:lvl w:ilvl="7" w:tplc="0C090019" w:tentative="1">
      <w:start w:val="1"/>
      <w:numFmt w:val="lowerLetter"/>
      <w:lvlText w:val="%8."/>
      <w:lvlJc w:val="left"/>
      <w:pPr>
        <w:ind w:left="2880" w:hanging="360"/>
      </w:pPr>
    </w:lvl>
    <w:lvl w:ilvl="8" w:tplc="0C09001B" w:tentative="1">
      <w:start w:val="1"/>
      <w:numFmt w:val="lowerRoman"/>
      <w:lvlText w:val="%9."/>
      <w:lvlJc w:val="right"/>
      <w:pPr>
        <w:ind w:left="3600" w:hanging="180"/>
      </w:pPr>
    </w:lvl>
  </w:abstractNum>
  <w:abstractNum w:abstractNumId="4">
    <w:nsid w:val="19B97FA1"/>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39D7675"/>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6897438"/>
    <w:multiLevelType w:val="singleLevel"/>
    <w:tmpl w:val="DDDAB53A"/>
    <w:lvl w:ilvl="0">
      <w:start w:val="1"/>
      <w:numFmt w:val="bullet"/>
      <w:pStyle w:val="notebullet"/>
      <w:lvlText w:val=""/>
      <w:lvlJc w:val="left"/>
      <w:pPr>
        <w:tabs>
          <w:tab w:val="num" w:pos="2118"/>
        </w:tabs>
        <w:ind w:left="360" w:firstLine="1398"/>
      </w:pPr>
      <w:rPr>
        <w:rFonts w:ascii="Symbol" w:hAnsi="Symbol" w:hint="default"/>
      </w:rPr>
    </w:lvl>
  </w:abstractNum>
  <w:abstractNum w:abstractNumId="7">
    <w:nsid w:val="36B85DB0"/>
    <w:multiLevelType w:val="hybridMultilevel"/>
    <w:tmpl w:val="B9FEB904"/>
    <w:lvl w:ilvl="0" w:tplc="40042FF2">
      <w:start w:val="1"/>
      <w:numFmt w:val="lowerLetter"/>
      <w:lvlText w:val="(%1)"/>
      <w:lvlJc w:val="left"/>
      <w:pPr>
        <w:ind w:left="720" w:hanging="360"/>
      </w:pPr>
      <w:rPr>
        <w:rFonts w:hint="default"/>
        <w:b w:val="0"/>
        <w:i w:val="0"/>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A836E0D"/>
    <w:multiLevelType w:val="multilevel"/>
    <w:tmpl w:val="1BB0922A"/>
    <w:name w:val="DotPointList"/>
    <w:lvl w:ilvl="0">
      <w:start w:val="1"/>
      <w:numFmt w:val="bullet"/>
      <w:lvlRestart w:val="0"/>
      <w:lvlText w:val="•"/>
      <w:lvlJc w:val="left"/>
      <w:pPr>
        <w:tabs>
          <w:tab w:val="num" w:pos="1088"/>
        </w:tabs>
        <w:ind w:left="1088" w:hanging="284"/>
      </w:pPr>
      <w:rPr>
        <w:b w:val="0"/>
        <w:i w:val="0"/>
        <w:color w:val="000000"/>
      </w:rPr>
    </w:lvl>
    <w:lvl w:ilvl="1">
      <w:start w:val="1"/>
      <w:numFmt w:val="bullet"/>
      <w:lvlText w:val="–"/>
      <w:lvlJc w:val="left"/>
      <w:pPr>
        <w:tabs>
          <w:tab w:val="num" w:pos="1445"/>
        </w:tabs>
        <w:ind w:left="1445" w:hanging="357"/>
      </w:pPr>
      <w:rPr>
        <w:b w:val="0"/>
        <w:i w:val="0"/>
        <w:color w:val="000000"/>
      </w:rPr>
    </w:lvl>
    <w:lvl w:ilvl="2">
      <w:start w:val="1"/>
      <w:numFmt w:val="decimal"/>
      <w:lvlText w:val="%3"/>
      <w:lvlJc w:val="left"/>
      <w:pPr>
        <w:tabs>
          <w:tab w:val="num" w:pos="521"/>
        </w:tabs>
        <w:ind w:left="521" w:hanging="567"/>
      </w:pPr>
      <w:rPr>
        <w:b w:val="0"/>
        <w:i w:val="0"/>
        <w:color w:val="000000"/>
      </w:rPr>
    </w:lvl>
    <w:lvl w:ilvl="3">
      <w:start w:val="1"/>
      <w:numFmt w:val="decimal"/>
      <w:lvlText w:val="%4"/>
      <w:lvlJc w:val="left"/>
      <w:pPr>
        <w:tabs>
          <w:tab w:val="num" w:pos="1088"/>
        </w:tabs>
        <w:ind w:left="1088" w:hanging="567"/>
      </w:pPr>
      <w:rPr>
        <w:b w:val="0"/>
        <w:i w:val="0"/>
        <w:color w:val="000000"/>
      </w:rPr>
    </w:lvl>
    <w:lvl w:ilvl="4">
      <w:start w:val="1"/>
      <w:numFmt w:val="decimal"/>
      <w:lvlText w:val="%5"/>
      <w:lvlJc w:val="left"/>
      <w:pPr>
        <w:tabs>
          <w:tab w:val="num" w:pos="1655"/>
        </w:tabs>
        <w:ind w:left="1655" w:hanging="567"/>
      </w:pPr>
      <w:rPr>
        <w:b w:val="0"/>
        <w:i w:val="0"/>
        <w:color w:val="000000"/>
      </w:rPr>
    </w:lvl>
    <w:lvl w:ilvl="5">
      <w:start w:val="1"/>
      <w:numFmt w:val="decimal"/>
      <w:lvlText w:val="%6"/>
      <w:lvlJc w:val="left"/>
      <w:pPr>
        <w:tabs>
          <w:tab w:val="num" w:pos="2222"/>
        </w:tabs>
        <w:ind w:left="2222" w:hanging="567"/>
      </w:pPr>
      <w:rPr>
        <w:b w:val="0"/>
        <w:i w:val="0"/>
        <w:color w:val="000000"/>
      </w:rPr>
    </w:lvl>
    <w:lvl w:ilvl="6">
      <w:start w:val="1"/>
      <w:numFmt w:val="decimal"/>
      <w:lvlText w:val="%7"/>
      <w:lvlJc w:val="left"/>
      <w:pPr>
        <w:tabs>
          <w:tab w:val="num" w:pos="2789"/>
        </w:tabs>
        <w:ind w:left="2789" w:hanging="567"/>
      </w:pPr>
      <w:rPr>
        <w:b w:val="0"/>
        <w:i w:val="0"/>
        <w:color w:val="000000"/>
      </w:rPr>
    </w:lvl>
    <w:lvl w:ilvl="7">
      <w:start w:val="1"/>
      <w:numFmt w:val="decimal"/>
      <w:lvlText w:val="%8"/>
      <w:lvlJc w:val="left"/>
      <w:pPr>
        <w:tabs>
          <w:tab w:val="num" w:pos="3356"/>
        </w:tabs>
        <w:ind w:left="3356" w:hanging="567"/>
      </w:pPr>
      <w:rPr>
        <w:b w:val="0"/>
        <w:i w:val="0"/>
        <w:color w:val="000000"/>
      </w:rPr>
    </w:lvl>
    <w:lvl w:ilvl="8">
      <w:start w:val="1"/>
      <w:numFmt w:val="decimal"/>
      <w:lvlText w:val="%9"/>
      <w:lvlJc w:val="left"/>
      <w:pPr>
        <w:tabs>
          <w:tab w:val="num" w:pos="3923"/>
        </w:tabs>
        <w:ind w:left="3923" w:hanging="567"/>
      </w:pPr>
      <w:rPr>
        <w:b w:val="0"/>
        <w:i w:val="0"/>
        <w:color w:val="000000"/>
      </w:rPr>
    </w:lvl>
  </w:abstractNum>
  <w:abstractNum w:abstractNumId="9">
    <w:nsid w:val="3D714D4B"/>
    <w:multiLevelType w:val="multilevel"/>
    <w:tmpl w:val="52F03600"/>
    <w:styleLink w:val="ChapterList"/>
    <w:lvl w:ilvl="0">
      <w:start w:val="1"/>
      <w:numFmt w:val="decimal"/>
      <w:lvlText w:val="Chapter %1"/>
      <w:lvlJc w:val="left"/>
      <w:pPr>
        <w:tabs>
          <w:tab w:val="num" w:pos="1134"/>
        </w:tabs>
        <w:ind w:left="0" w:firstLine="0"/>
      </w:pPr>
      <w:rPr>
        <w:rFonts w:cs="Times New Roman"/>
      </w:rPr>
    </w:lvl>
    <w:lvl w:ilvl="1">
      <w:start w:val="1"/>
      <w:numFmt w:val="decimal"/>
      <w:lvlText w:val="%1.%2"/>
      <w:lvlJc w:val="left"/>
      <w:pPr>
        <w:tabs>
          <w:tab w:val="num" w:pos="1985"/>
        </w:tabs>
        <w:ind w:left="1134" w:firstLine="0"/>
      </w:pPr>
      <w:rPr>
        <w:rFonts w:cs="Times New Roman"/>
      </w:rPr>
    </w:lvl>
    <w:lvl w:ilvl="2">
      <w:start w:val="1"/>
      <w:numFmt w:val="decimal"/>
      <w:lvlRestart w:val="0"/>
      <w:suff w:val="nothing"/>
      <w:lvlText w:val="Diagram %1.%3"/>
      <w:lvlJc w:val="left"/>
      <w:pPr>
        <w:ind w:left="1134" w:firstLine="0"/>
      </w:pPr>
      <w:rPr>
        <w:rFonts w:cs="Times New Roman"/>
      </w:rPr>
    </w:lvl>
    <w:lvl w:ilvl="3">
      <w:start w:val="1"/>
      <w:numFmt w:val="decimal"/>
      <w:lvlRestart w:val="0"/>
      <w:suff w:val="nothing"/>
      <w:lvlText w:val="Example %1.%4"/>
      <w:lvlJc w:val="left"/>
      <w:pPr>
        <w:ind w:left="1134" w:firstLine="0"/>
      </w:pPr>
      <w:rPr>
        <w:rFonts w:cs="Times New Roman"/>
      </w:rPr>
    </w:lvl>
    <w:lvl w:ilvl="4">
      <w:start w:val="1"/>
      <w:numFmt w:val="decimal"/>
      <w:lvlRestart w:val="0"/>
      <w:suff w:val="nothing"/>
      <w:lvlText w:val="Table %1.%5"/>
      <w:lvlJc w:val="left"/>
      <w:pPr>
        <w:ind w:left="1134" w:firstLine="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405823B2"/>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19665E4"/>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78D416D"/>
    <w:multiLevelType w:val="multilevel"/>
    <w:tmpl w:val="469EAFC0"/>
    <w:name w:val="ChapterList"/>
    <w:styleLink w:val="DotPointList"/>
    <w:lvl w:ilvl="0">
      <w:start w:val="1"/>
      <w:numFmt w:val="bullet"/>
      <w:lvlText w:val="•"/>
      <w:lvlJc w:val="left"/>
      <w:pPr>
        <w:tabs>
          <w:tab w:val="num" w:pos="2268"/>
        </w:tabs>
        <w:ind w:left="2268" w:hanging="283"/>
      </w:pPr>
      <w:rPr>
        <w:rFonts w:ascii="Times New Roman" w:hAnsi="Times New Roman" w:cs="Times New Roman" w:hint="default"/>
        <w:color w:val="000000"/>
      </w:rPr>
    </w:lvl>
    <w:lvl w:ilvl="1">
      <w:start w:val="1"/>
      <w:numFmt w:val="bullet"/>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48C567E5"/>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CA35CF5"/>
    <w:multiLevelType w:val="multilevel"/>
    <w:tmpl w:val="C21E6A44"/>
    <w:name w:val="StandardNumberedList"/>
    <w:lvl w:ilvl="0">
      <w:start w:val="1"/>
      <w:numFmt w:val="decimal"/>
      <w:pStyle w:val="OutlineNumbered1"/>
      <w:lvlText w:val="%1."/>
      <w:lvlJc w:val="left"/>
      <w:pPr>
        <w:tabs>
          <w:tab w:val="num" w:pos="1134"/>
        </w:tabs>
        <w:ind w:left="1134" w:hanging="567"/>
      </w:pPr>
      <w:rPr>
        <w:i w:val="0"/>
      </w:rPr>
    </w:lvl>
    <w:lvl w:ilvl="1">
      <w:start w:val="1"/>
      <w:numFmt w:val="decimal"/>
      <w:pStyle w:val="OutlineNumbered2"/>
      <w:lvlText w:val="%1.%2."/>
      <w:lvlJc w:val="left"/>
      <w:pPr>
        <w:tabs>
          <w:tab w:val="num" w:pos="1701"/>
        </w:tabs>
        <w:ind w:left="1701" w:hanging="567"/>
      </w:pPr>
    </w:lvl>
    <w:lvl w:ilvl="2">
      <w:start w:val="1"/>
      <w:numFmt w:val="decimal"/>
      <w:pStyle w:val="OutlineNumbered3"/>
      <w:lvlText w:val="%1.%2.%3."/>
      <w:lvlJc w:val="left"/>
      <w:pPr>
        <w:tabs>
          <w:tab w:val="num" w:pos="2268"/>
        </w:tabs>
        <w:ind w:left="2268" w:hanging="567"/>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15">
    <w:nsid w:val="51C64CAE"/>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86789A"/>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F3A77AB"/>
    <w:multiLevelType w:val="hybridMultilevel"/>
    <w:tmpl w:val="C2B4EA6A"/>
    <w:lvl w:ilvl="0" w:tplc="C3FC0BB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FBC7E8D"/>
    <w:multiLevelType w:val="singleLevel"/>
    <w:tmpl w:val="FFFCF7D0"/>
    <w:name w:val="BaseTextParagraphList"/>
    <w:lvl w:ilvl="0">
      <w:start w:val="1"/>
      <w:numFmt w:val="decimal"/>
      <w:lvlRestart w:val="0"/>
      <w:pStyle w:val="base-text-paragraph"/>
      <w:lvlText w:val="%1."/>
      <w:lvlJc w:val="left"/>
      <w:pPr>
        <w:tabs>
          <w:tab w:val="num" w:pos="1984"/>
        </w:tabs>
        <w:ind w:left="1140" w:firstLine="0"/>
      </w:pPr>
      <w:rPr>
        <w:b w:val="0"/>
        <w:i w:val="0"/>
        <w:color w:val="000000"/>
      </w:rPr>
    </w:lvl>
  </w:abstractNum>
  <w:abstractNum w:abstractNumId="19">
    <w:nsid w:val="70C048E9"/>
    <w:multiLevelType w:val="hybridMultilevel"/>
    <w:tmpl w:val="C2B4EA6A"/>
    <w:lvl w:ilvl="0" w:tplc="C3FC0B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9BD09D0"/>
    <w:multiLevelType w:val="hybridMultilevel"/>
    <w:tmpl w:val="38043D94"/>
    <w:lvl w:ilvl="0" w:tplc="A19EBF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8"/>
  </w:num>
  <w:num w:numId="3">
    <w:abstractNumId w:val="18"/>
  </w:num>
  <w:num w:numId="4">
    <w:abstractNumId w:val="9"/>
  </w:num>
  <w:num w:numId="5">
    <w:abstractNumId w:val="12"/>
  </w:num>
  <w:num w:numId="6">
    <w:abstractNumId w:val="6"/>
  </w:num>
  <w:num w:numId="7">
    <w:abstractNumId w:val="1"/>
  </w:num>
  <w:num w:numId="8">
    <w:abstractNumId w:val="19"/>
  </w:num>
  <w:num w:numId="9">
    <w:abstractNumId w:val="4"/>
  </w:num>
  <w:num w:numId="10">
    <w:abstractNumId w:val="10"/>
  </w:num>
  <w:num w:numId="11">
    <w:abstractNumId w:val="11"/>
  </w:num>
  <w:num w:numId="12">
    <w:abstractNumId w:val="17"/>
  </w:num>
  <w:num w:numId="13">
    <w:abstractNumId w:val="13"/>
  </w:num>
  <w:num w:numId="14">
    <w:abstractNumId w:val="15"/>
  </w:num>
  <w:num w:numId="15">
    <w:abstractNumId w:val="7"/>
  </w:num>
  <w:num w:numId="16">
    <w:abstractNumId w:val="5"/>
  </w:num>
  <w:num w:numId="17">
    <w:abstractNumId w:val="16"/>
  </w:num>
  <w:num w:numId="18">
    <w:abstractNumId w:val="14"/>
  </w:num>
  <w:num w:numId="19">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
  </w:num>
  <w:num w:numId="26">
    <w:abstractNumId w:val="2"/>
  </w:num>
  <w:num w:numId="27">
    <w:abstractNumId w:val="2"/>
  </w:num>
  <w:num w:numId="28">
    <w:abstractNumId w:val="2"/>
  </w:num>
  <w:num w:numId="29">
    <w:abstractNumId w:val="18"/>
  </w:num>
  <w:num w:numId="30">
    <w:abstractNumId w:val="18"/>
  </w:num>
  <w:num w:numId="31">
    <w:abstractNumId w:val="3"/>
  </w:num>
  <w:num w:numId="32">
    <w:abstractNumId w:val="2"/>
  </w:num>
  <w:num w:numId="33">
    <w:abstractNumId w:val="2"/>
  </w:num>
  <w:num w:numId="34">
    <w:abstractNumId w:val="2"/>
  </w:num>
  <w:num w:numId="35">
    <w:abstractNumId w:val="2"/>
  </w:num>
  <w:num w:numId="36">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48B"/>
    <w:rsid w:val="0000039A"/>
    <w:rsid w:val="00004106"/>
    <w:rsid w:val="00005ACD"/>
    <w:rsid w:val="00006C03"/>
    <w:rsid w:val="00011624"/>
    <w:rsid w:val="00011F11"/>
    <w:rsid w:val="00014342"/>
    <w:rsid w:val="00014A52"/>
    <w:rsid w:val="000170D9"/>
    <w:rsid w:val="00017EE4"/>
    <w:rsid w:val="00022804"/>
    <w:rsid w:val="00022A94"/>
    <w:rsid w:val="00025080"/>
    <w:rsid w:val="00025978"/>
    <w:rsid w:val="000310E4"/>
    <w:rsid w:val="000312B8"/>
    <w:rsid w:val="00034E09"/>
    <w:rsid w:val="0003585E"/>
    <w:rsid w:val="000371C5"/>
    <w:rsid w:val="000379AE"/>
    <w:rsid w:val="00037DEC"/>
    <w:rsid w:val="00040506"/>
    <w:rsid w:val="000529BB"/>
    <w:rsid w:val="00052F54"/>
    <w:rsid w:val="00053FB1"/>
    <w:rsid w:val="00055996"/>
    <w:rsid w:val="00056C66"/>
    <w:rsid w:val="00060634"/>
    <w:rsid w:val="00061E30"/>
    <w:rsid w:val="000635C4"/>
    <w:rsid w:val="000654EF"/>
    <w:rsid w:val="000708B7"/>
    <w:rsid w:val="00072951"/>
    <w:rsid w:val="000735A1"/>
    <w:rsid w:val="00075FFE"/>
    <w:rsid w:val="000766DC"/>
    <w:rsid w:val="00077156"/>
    <w:rsid w:val="000818E6"/>
    <w:rsid w:val="00084AC8"/>
    <w:rsid w:val="00084DFE"/>
    <w:rsid w:val="0008606E"/>
    <w:rsid w:val="000907CF"/>
    <w:rsid w:val="000917DE"/>
    <w:rsid w:val="00092F1B"/>
    <w:rsid w:val="00093BAD"/>
    <w:rsid w:val="000945B4"/>
    <w:rsid w:val="0009671B"/>
    <w:rsid w:val="00096CD8"/>
    <w:rsid w:val="00097992"/>
    <w:rsid w:val="000A0B04"/>
    <w:rsid w:val="000A0CB8"/>
    <w:rsid w:val="000A3B4F"/>
    <w:rsid w:val="000A656A"/>
    <w:rsid w:val="000A6E7F"/>
    <w:rsid w:val="000A76A2"/>
    <w:rsid w:val="000A7766"/>
    <w:rsid w:val="000B121A"/>
    <w:rsid w:val="000B1332"/>
    <w:rsid w:val="000B19A4"/>
    <w:rsid w:val="000B7CE6"/>
    <w:rsid w:val="000C3903"/>
    <w:rsid w:val="000C637C"/>
    <w:rsid w:val="000C649C"/>
    <w:rsid w:val="000D0BFF"/>
    <w:rsid w:val="000D33F5"/>
    <w:rsid w:val="000D5853"/>
    <w:rsid w:val="000D78D9"/>
    <w:rsid w:val="000D7A97"/>
    <w:rsid w:val="000D7BBF"/>
    <w:rsid w:val="000E03B5"/>
    <w:rsid w:val="000E1031"/>
    <w:rsid w:val="000E1235"/>
    <w:rsid w:val="000E5865"/>
    <w:rsid w:val="000E6109"/>
    <w:rsid w:val="000E6D52"/>
    <w:rsid w:val="000E7540"/>
    <w:rsid w:val="000E7BFB"/>
    <w:rsid w:val="000E7FC9"/>
    <w:rsid w:val="000F1D19"/>
    <w:rsid w:val="000F31D3"/>
    <w:rsid w:val="000F59F2"/>
    <w:rsid w:val="001012E8"/>
    <w:rsid w:val="001031A6"/>
    <w:rsid w:val="0010380F"/>
    <w:rsid w:val="00103B1A"/>
    <w:rsid w:val="00103E71"/>
    <w:rsid w:val="0010538C"/>
    <w:rsid w:val="0010603E"/>
    <w:rsid w:val="00106742"/>
    <w:rsid w:val="001101D0"/>
    <w:rsid w:val="001102BF"/>
    <w:rsid w:val="001127D5"/>
    <w:rsid w:val="001130D0"/>
    <w:rsid w:val="00113688"/>
    <w:rsid w:val="0011398A"/>
    <w:rsid w:val="00114A47"/>
    <w:rsid w:val="00114AD6"/>
    <w:rsid w:val="0011552F"/>
    <w:rsid w:val="0011589C"/>
    <w:rsid w:val="00115A4A"/>
    <w:rsid w:val="001165DB"/>
    <w:rsid w:val="00117927"/>
    <w:rsid w:val="001204B8"/>
    <w:rsid w:val="0012416C"/>
    <w:rsid w:val="001247F6"/>
    <w:rsid w:val="00125E76"/>
    <w:rsid w:val="001278E2"/>
    <w:rsid w:val="00127C45"/>
    <w:rsid w:val="001308DF"/>
    <w:rsid w:val="001319B6"/>
    <w:rsid w:val="00134FBE"/>
    <w:rsid w:val="0014127D"/>
    <w:rsid w:val="001416D6"/>
    <w:rsid w:val="00141807"/>
    <w:rsid w:val="001425AE"/>
    <w:rsid w:val="0014316E"/>
    <w:rsid w:val="00144712"/>
    <w:rsid w:val="00145C65"/>
    <w:rsid w:val="00147EF4"/>
    <w:rsid w:val="0015319B"/>
    <w:rsid w:val="0015319D"/>
    <w:rsid w:val="00153266"/>
    <w:rsid w:val="00153821"/>
    <w:rsid w:val="00154EE5"/>
    <w:rsid w:val="0015745A"/>
    <w:rsid w:val="00160432"/>
    <w:rsid w:val="00161814"/>
    <w:rsid w:val="00161BB1"/>
    <w:rsid w:val="00171359"/>
    <w:rsid w:val="00172557"/>
    <w:rsid w:val="0017346C"/>
    <w:rsid w:val="0017634E"/>
    <w:rsid w:val="00176569"/>
    <w:rsid w:val="00176F6A"/>
    <w:rsid w:val="001773FA"/>
    <w:rsid w:val="00180794"/>
    <w:rsid w:val="00180ED9"/>
    <w:rsid w:val="00185F4E"/>
    <w:rsid w:val="001863F9"/>
    <w:rsid w:val="001868D5"/>
    <w:rsid w:val="00187371"/>
    <w:rsid w:val="00191C0D"/>
    <w:rsid w:val="001939F6"/>
    <w:rsid w:val="00194EE5"/>
    <w:rsid w:val="00196747"/>
    <w:rsid w:val="001970B6"/>
    <w:rsid w:val="00197BBB"/>
    <w:rsid w:val="00197E58"/>
    <w:rsid w:val="001A0A49"/>
    <w:rsid w:val="001A1E25"/>
    <w:rsid w:val="001A4F9D"/>
    <w:rsid w:val="001A5E2F"/>
    <w:rsid w:val="001A60A0"/>
    <w:rsid w:val="001A6314"/>
    <w:rsid w:val="001A632C"/>
    <w:rsid w:val="001B0E3B"/>
    <w:rsid w:val="001B6568"/>
    <w:rsid w:val="001B6A25"/>
    <w:rsid w:val="001C2673"/>
    <w:rsid w:val="001C2714"/>
    <w:rsid w:val="001C3298"/>
    <w:rsid w:val="001C74A4"/>
    <w:rsid w:val="001D141D"/>
    <w:rsid w:val="001D1574"/>
    <w:rsid w:val="001D2A87"/>
    <w:rsid w:val="001D5ADA"/>
    <w:rsid w:val="001D777B"/>
    <w:rsid w:val="001E0249"/>
    <w:rsid w:val="001E0583"/>
    <w:rsid w:val="001E2592"/>
    <w:rsid w:val="001E44EF"/>
    <w:rsid w:val="001E5C70"/>
    <w:rsid w:val="001E68B9"/>
    <w:rsid w:val="001F1204"/>
    <w:rsid w:val="001F204F"/>
    <w:rsid w:val="002038FB"/>
    <w:rsid w:val="00210099"/>
    <w:rsid w:val="002115BD"/>
    <w:rsid w:val="00214C11"/>
    <w:rsid w:val="00216224"/>
    <w:rsid w:val="00217BFA"/>
    <w:rsid w:val="0022024B"/>
    <w:rsid w:val="0022198F"/>
    <w:rsid w:val="00222436"/>
    <w:rsid w:val="00223B65"/>
    <w:rsid w:val="00230120"/>
    <w:rsid w:val="00233847"/>
    <w:rsid w:val="0023528F"/>
    <w:rsid w:val="0023627D"/>
    <w:rsid w:val="0023738E"/>
    <w:rsid w:val="0024089F"/>
    <w:rsid w:val="002426E9"/>
    <w:rsid w:val="0024348C"/>
    <w:rsid w:val="00243793"/>
    <w:rsid w:val="002437F2"/>
    <w:rsid w:val="0024506A"/>
    <w:rsid w:val="0024684A"/>
    <w:rsid w:val="00250FB2"/>
    <w:rsid w:val="00251520"/>
    <w:rsid w:val="002519D3"/>
    <w:rsid w:val="00251B52"/>
    <w:rsid w:val="0025248D"/>
    <w:rsid w:val="00252906"/>
    <w:rsid w:val="00252E56"/>
    <w:rsid w:val="00257EB3"/>
    <w:rsid w:val="0026046A"/>
    <w:rsid w:val="002615BF"/>
    <w:rsid w:val="00266837"/>
    <w:rsid w:val="00266EE2"/>
    <w:rsid w:val="0027036D"/>
    <w:rsid w:val="00270A21"/>
    <w:rsid w:val="00271501"/>
    <w:rsid w:val="00271E31"/>
    <w:rsid w:val="00275AC7"/>
    <w:rsid w:val="00276988"/>
    <w:rsid w:val="00276C8F"/>
    <w:rsid w:val="002810FA"/>
    <w:rsid w:val="002818D5"/>
    <w:rsid w:val="0028413B"/>
    <w:rsid w:val="0028452D"/>
    <w:rsid w:val="00284BD7"/>
    <w:rsid w:val="00291590"/>
    <w:rsid w:val="002919CD"/>
    <w:rsid w:val="00293F42"/>
    <w:rsid w:val="00297E93"/>
    <w:rsid w:val="002A16EE"/>
    <w:rsid w:val="002A2C52"/>
    <w:rsid w:val="002A2D7F"/>
    <w:rsid w:val="002A39CC"/>
    <w:rsid w:val="002A43A3"/>
    <w:rsid w:val="002A5BF3"/>
    <w:rsid w:val="002B17E1"/>
    <w:rsid w:val="002B1AFA"/>
    <w:rsid w:val="002B412E"/>
    <w:rsid w:val="002B5A99"/>
    <w:rsid w:val="002B5C20"/>
    <w:rsid w:val="002B78A7"/>
    <w:rsid w:val="002C02B5"/>
    <w:rsid w:val="002C0A74"/>
    <w:rsid w:val="002D1033"/>
    <w:rsid w:val="002D1CDD"/>
    <w:rsid w:val="002D54BB"/>
    <w:rsid w:val="002D711E"/>
    <w:rsid w:val="002D7AC0"/>
    <w:rsid w:val="002E1CC7"/>
    <w:rsid w:val="002E38CE"/>
    <w:rsid w:val="002E5EA5"/>
    <w:rsid w:val="002F449F"/>
    <w:rsid w:val="002F493E"/>
    <w:rsid w:val="002F5592"/>
    <w:rsid w:val="002F5FC8"/>
    <w:rsid w:val="00302B64"/>
    <w:rsid w:val="00304287"/>
    <w:rsid w:val="00305F73"/>
    <w:rsid w:val="00310D77"/>
    <w:rsid w:val="00311B42"/>
    <w:rsid w:val="003121BD"/>
    <w:rsid w:val="00313EDE"/>
    <w:rsid w:val="00322C88"/>
    <w:rsid w:val="00325E8B"/>
    <w:rsid w:val="0032733A"/>
    <w:rsid w:val="0033101E"/>
    <w:rsid w:val="00332740"/>
    <w:rsid w:val="003328CC"/>
    <w:rsid w:val="00332980"/>
    <w:rsid w:val="003329C3"/>
    <w:rsid w:val="00335FC0"/>
    <w:rsid w:val="0033729D"/>
    <w:rsid w:val="00341881"/>
    <w:rsid w:val="00345B98"/>
    <w:rsid w:val="00345E30"/>
    <w:rsid w:val="0034632A"/>
    <w:rsid w:val="00347241"/>
    <w:rsid w:val="0034739C"/>
    <w:rsid w:val="00354FD6"/>
    <w:rsid w:val="00357244"/>
    <w:rsid w:val="0036059A"/>
    <w:rsid w:val="00363C93"/>
    <w:rsid w:val="00364C0C"/>
    <w:rsid w:val="00365139"/>
    <w:rsid w:val="00370BC4"/>
    <w:rsid w:val="00371434"/>
    <w:rsid w:val="00373522"/>
    <w:rsid w:val="00373E1B"/>
    <w:rsid w:val="00374BB0"/>
    <w:rsid w:val="00376D58"/>
    <w:rsid w:val="003809F5"/>
    <w:rsid w:val="003859A2"/>
    <w:rsid w:val="00395F86"/>
    <w:rsid w:val="00397881"/>
    <w:rsid w:val="00397F8C"/>
    <w:rsid w:val="003A1E64"/>
    <w:rsid w:val="003A734B"/>
    <w:rsid w:val="003B09A4"/>
    <w:rsid w:val="003B18D1"/>
    <w:rsid w:val="003B20A4"/>
    <w:rsid w:val="003B2283"/>
    <w:rsid w:val="003B385B"/>
    <w:rsid w:val="003B3BBD"/>
    <w:rsid w:val="003B5F16"/>
    <w:rsid w:val="003B71C8"/>
    <w:rsid w:val="003B73C0"/>
    <w:rsid w:val="003C095E"/>
    <w:rsid w:val="003C0CDA"/>
    <w:rsid w:val="003C149C"/>
    <w:rsid w:val="003C2D1A"/>
    <w:rsid w:val="003C3988"/>
    <w:rsid w:val="003C413C"/>
    <w:rsid w:val="003C4698"/>
    <w:rsid w:val="003C7BBD"/>
    <w:rsid w:val="003D066F"/>
    <w:rsid w:val="003D165C"/>
    <w:rsid w:val="003D1BCD"/>
    <w:rsid w:val="003D389A"/>
    <w:rsid w:val="003D4F17"/>
    <w:rsid w:val="003D4F45"/>
    <w:rsid w:val="003D5087"/>
    <w:rsid w:val="003E5BA0"/>
    <w:rsid w:val="003E714A"/>
    <w:rsid w:val="003F1DC8"/>
    <w:rsid w:val="003F38B6"/>
    <w:rsid w:val="003F4453"/>
    <w:rsid w:val="003F4720"/>
    <w:rsid w:val="003F481E"/>
    <w:rsid w:val="003F5336"/>
    <w:rsid w:val="0040184D"/>
    <w:rsid w:val="0040374C"/>
    <w:rsid w:val="00407519"/>
    <w:rsid w:val="0040773A"/>
    <w:rsid w:val="00407CF9"/>
    <w:rsid w:val="004112DB"/>
    <w:rsid w:val="0041213C"/>
    <w:rsid w:val="004153F1"/>
    <w:rsid w:val="00417C0E"/>
    <w:rsid w:val="00424E83"/>
    <w:rsid w:val="004270C6"/>
    <w:rsid w:val="00431774"/>
    <w:rsid w:val="00433D49"/>
    <w:rsid w:val="00437E24"/>
    <w:rsid w:val="00442060"/>
    <w:rsid w:val="00442546"/>
    <w:rsid w:val="00442EE6"/>
    <w:rsid w:val="004430DB"/>
    <w:rsid w:val="00444F76"/>
    <w:rsid w:val="00445A8C"/>
    <w:rsid w:val="0044731F"/>
    <w:rsid w:val="004507EC"/>
    <w:rsid w:val="004510A7"/>
    <w:rsid w:val="00456BF8"/>
    <w:rsid w:val="004573C5"/>
    <w:rsid w:val="0046200D"/>
    <w:rsid w:val="004635F7"/>
    <w:rsid w:val="00466C5D"/>
    <w:rsid w:val="00467C6D"/>
    <w:rsid w:val="004702E0"/>
    <w:rsid w:val="0047305C"/>
    <w:rsid w:val="0047514A"/>
    <w:rsid w:val="004756B7"/>
    <w:rsid w:val="00476208"/>
    <w:rsid w:val="0048036F"/>
    <w:rsid w:val="0048154B"/>
    <w:rsid w:val="004822F7"/>
    <w:rsid w:val="004824D9"/>
    <w:rsid w:val="00483227"/>
    <w:rsid w:val="00483AC9"/>
    <w:rsid w:val="00483B56"/>
    <w:rsid w:val="00487328"/>
    <w:rsid w:val="00487D43"/>
    <w:rsid w:val="00490FA5"/>
    <w:rsid w:val="00491A73"/>
    <w:rsid w:val="004943AF"/>
    <w:rsid w:val="00495175"/>
    <w:rsid w:val="00496561"/>
    <w:rsid w:val="0049778C"/>
    <w:rsid w:val="00497DC5"/>
    <w:rsid w:val="004A072F"/>
    <w:rsid w:val="004A1F3C"/>
    <w:rsid w:val="004A393C"/>
    <w:rsid w:val="004B0714"/>
    <w:rsid w:val="004B3356"/>
    <w:rsid w:val="004B3D7C"/>
    <w:rsid w:val="004B449B"/>
    <w:rsid w:val="004B69B0"/>
    <w:rsid w:val="004B75AC"/>
    <w:rsid w:val="004C107E"/>
    <w:rsid w:val="004C2120"/>
    <w:rsid w:val="004C3B66"/>
    <w:rsid w:val="004C71DD"/>
    <w:rsid w:val="004D2085"/>
    <w:rsid w:val="004D2724"/>
    <w:rsid w:val="004D2E11"/>
    <w:rsid w:val="004D3D0B"/>
    <w:rsid w:val="004D4810"/>
    <w:rsid w:val="004D7BE2"/>
    <w:rsid w:val="004E1E6F"/>
    <w:rsid w:val="004E374B"/>
    <w:rsid w:val="004E38BD"/>
    <w:rsid w:val="004E4CA2"/>
    <w:rsid w:val="004E6B30"/>
    <w:rsid w:val="004F07E5"/>
    <w:rsid w:val="004F2AB5"/>
    <w:rsid w:val="004F2C25"/>
    <w:rsid w:val="004F3ABB"/>
    <w:rsid w:val="004F4719"/>
    <w:rsid w:val="004F49F7"/>
    <w:rsid w:val="004F58B0"/>
    <w:rsid w:val="004F766C"/>
    <w:rsid w:val="00501948"/>
    <w:rsid w:val="00501DAB"/>
    <w:rsid w:val="00502116"/>
    <w:rsid w:val="005045CD"/>
    <w:rsid w:val="00504C46"/>
    <w:rsid w:val="00507B7D"/>
    <w:rsid w:val="00510E1C"/>
    <w:rsid w:val="005112BC"/>
    <w:rsid w:val="00513256"/>
    <w:rsid w:val="00513DC0"/>
    <w:rsid w:val="00516779"/>
    <w:rsid w:val="00516A93"/>
    <w:rsid w:val="0051724F"/>
    <w:rsid w:val="00517ADD"/>
    <w:rsid w:val="005204AE"/>
    <w:rsid w:val="0052132A"/>
    <w:rsid w:val="005270A5"/>
    <w:rsid w:val="00527101"/>
    <w:rsid w:val="0052715C"/>
    <w:rsid w:val="00527FE6"/>
    <w:rsid w:val="00534EA8"/>
    <w:rsid w:val="00537644"/>
    <w:rsid w:val="00541980"/>
    <w:rsid w:val="00543B43"/>
    <w:rsid w:val="00550F24"/>
    <w:rsid w:val="00551012"/>
    <w:rsid w:val="0055258A"/>
    <w:rsid w:val="00554ED6"/>
    <w:rsid w:val="00555BA7"/>
    <w:rsid w:val="00560D2D"/>
    <w:rsid w:val="005637AD"/>
    <w:rsid w:val="005646AF"/>
    <w:rsid w:val="00564D9E"/>
    <w:rsid w:val="00565E19"/>
    <w:rsid w:val="00572C4C"/>
    <w:rsid w:val="00573171"/>
    <w:rsid w:val="0057366C"/>
    <w:rsid w:val="005758F1"/>
    <w:rsid w:val="0057767F"/>
    <w:rsid w:val="00580E36"/>
    <w:rsid w:val="00581D59"/>
    <w:rsid w:val="00581FD9"/>
    <w:rsid w:val="0058342F"/>
    <w:rsid w:val="00585A04"/>
    <w:rsid w:val="005876FE"/>
    <w:rsid w:val="00591F20"/>
    <w:rsid w:val="005927DB"/>
    <w:rsid w:val="005928E4"/>
    <w:rsid w:val="00593183"/>
    <w:rsid w:val="0059338B"/>
    <w:rsid w:val="00593AF3"/>
    <w:rsid w:val="00594848"/>
    <w:rsid w:val="00594F67"/>
    <w:rsid w:val="00596C6A"/>
    <w:rsid w:val="005A34B7"/>
    <w:rsid w:val="005A362A"/>
    <w:rsid w:val="005A7852"/>
    <w:rsid w:val="005A7A6F"/>
    <w:rsid w:val="005B47D3"/>
    <w:rsid w:val="005B5163"/>
    <w:rsid w:val="005B5AB9"/>
    <w:rsid w:val="005B5B92"/>
    <w:rsid w:val="005B6EA4"/>
    <w:rsid w:val="005C0853"/>
    <w:rsid w:val="005C208F"/>
    <w:rsid w:val="005C315B"/>
    <w:rsid w:val="005C7E5A"/>
    <w:rsid w:val="005D1880"/>
    <w:rsid w:val="005D3050"/>
    <w:rsid w:val="005D601B"/>
    <w:rsid w:val="005D7708"/>
    <w:rsid w:val="005E289F"/>
    <w:rsid w:val="005E318B"/>
    <w:rsid w:val="005E53C0"/>
    <w:rsid w:val="005E58FD"/>
    <w:rsid w:val="005F3515"/>
    <w:rsid w:val="005F567E"/>
    <w:rsid w:val="005F5C60"/>
    <w:rsid w:val="005F6604"/>
    <w:rsid w:val="005F6658"/>
    <w:rsid w:val="006000AB"/>
    <w:rsid w:val="006002DA"/>
    <w:rsid w:val="00601AD7"/>
    <w:rsid w:val="00602B88"/>
    <w:rsid w:val="00603A56"/>
    <w:rsid w:val="006049E7"/>
    <w:rsid w:val="00604D15"/>
    <w:rsid w:val="00605044"/>
    <w:rsid w:val="00605ED5"/>
    <w:rsid w:val="00611CB0"/>
    <w:rsid w:val="00611FF9"/>
    <w:rsid w:val="006149AA"/>
    <w:rsid w:val="00615143"/>
    <w:rsid w:val="00615577"/>
    <w:rsid w:val="00615ABE"/>
    <w:rsid w:val="006161CE"/>
    <w:rsid w:val="006169B0"/>
    <w:rsid w:val="00621425"/>
    <w:rsid w:val="006219F4"/>
    <w:rsid w:val="006224EC"/>
    <w:rsid w:val="00623685"/>
    <w:rsid w:val="00626443"/>
    <w:rsid w:val="006269E9"/>
    <w:rsid w:val="006271F4"/>
    <w:rsid w:val="006346B0"/>
    <w:rsid w:val="006351B6"/>
    <w:rsid w:val="00635257"/>
    <w:rsid w:val="00636053"/>
    <w:rsid w:val="0063640F"/>
    <w:rsid w:val="00637922"/>
    <w:rsid w:val="00641B41"/>
    <w:rsid w:val="00645354"/>
    <w:rsid w:val="006458F0"/>
    <w:rsid w:val="0064761B"/>
    <w:rsid w:val="00647827"/>
    <w:rsid w:val="00647F7E"/>
    <w:rsid w:val="00655F7F"/>
    <w:rsid w:val="00656721"/>
    <w:rsid w:val="006665E3"/>
    <w:rsid w:val="00666816"/>
    <w:rsid w:val="00666BCF"/>
    <w:rsid w:val="006742EF"/>
    <w:rsid w:val="00675039"/>
    <w:rsid w:val="0067627A"/>
    <w:rsid w:val="0067699A"/>
    <w:rsid w:val="00676ED5"/>
    <w:rsid w:val="00682C77"/>
    <w:rsid w:val="006857E5"/>
    <w:rsid w:val="0068637E"/>
    <w:rsid w:val="00690AAF"/>
    <w:rsid w:val="00692B38"/>
    <w:rsid w:val="00694613"/>
    <w:rsid w:val="00694FDC"/>
    <w:rsid w:val="00695B38"/>
    <w:rsid w:val="00697BE2"/>
    <w:rsid w:val="006A0306"/>
    <w:rsid w:val="006A2C52"/>
    <w:rsid w:val="006A2EC4"/>
    <w:rsid w:val="006A5F67"/>
    <w:rsid w:val="006A6AD3"/>
    <w:rsid w:val="006B24E6"/>
    <w:rsid w:val="006B2CCE"/>
    <w:rsid w:val="006B5DD9"/>
    <w:rsid w:val="006B7162"/>
    <w:rsid w:val="006C1977"/>
    <w:rsid w:val="006C2085"/>
    <w:rsid w:val="006C344D"/>
    <w:rsid w:val="006C40BE"/>
    <w:rsid w:val="006C6276"/>
    <w:rsid w:val="006C6FE5"/>
    <w:rsid w:val="006D17B9"/>
    <w:rsid w:val="006E2698"/>
    <w:rsid w:val="006E2E20"/>
    <w:rsid w:val="006E4361"/>
    <w:rsid w:val="006E7DF5"/>
    <w:rsid w:val="006F0414"/>
    <w:rsid w:val="006F2B21"/>
    <w:rsid w:val="006F2D00"/>
    <w:rsid w:val="006F4BA0"/>
    <w:rsid w:val="006F77F8"/>
    <w:rsid w:val="007023FC"/>
    <w:rsid w:val="007026B1"/>
    <w:rsid w:val="007053ED"/>
    <w:rsid w:val="007056DF"/>
    <w:rsid w:val="0070594A"/>
    <w:rsid w:val="00705DA8"/>
    <w:rsid w:val="007069D7"/>
    <w:rsid w:val="0071276D"/>
    <w:rsid w:val="00712D34"/>
    <w:rsid w:val="00712D7D"/>
    <w:rsid w:val="00714B46"/>
    <w:rsid w:val="00714F6C"/>
    <w:rsid w:val="007158D4"/>
    <w:rsid w:val="00715A0B"/>
    <w:rsid w:val="00715F24"/>
    <w:rsid w:val="00717268"/>
    <w:rsid w:val="0071738F"/>
    <w:rsid w:val="00722730"/>
    <w:rsid w:val="0072694B"/>
    <w:rsid w:val="00731A80"/>
    <w:rsid w:val="00731D51"/>
    <w:rsid w:val="0073227F"/>
    <w:rsid w:val="00733B6D"/>
    <w:rsid w:val="00734187"/>
    <w:rsid w:val="007345DC"/>
    <w:rsid w:val="00735F0F"/>
    <w:rsid w:val="00744827"/>
    <w:rsid w:val="00745025"/>
    <w:rsid w:val="0074701C"/>
    <w:rsid w:val="0074777B"/>
    <w:rsid w:val="00750369"/>
    <w:rsid w:val="00750417"/>
    <w:rsid w:val="00750882"/>
    <w:rsid w:val="00750B34"/>
    <w:rsid w:val="007515A6"/>
    <w:rsid w:val="00751B24"/>
    <w:rsid w:val="00752222"/>
    <w:rsid w:val="007524E8"/>
    <w:rsid w:val="007550D4"/>
    <w:rsid w:val="007568A5"/>
    <w:rsid w:val="00756B5B"/>
    <w:rsid w:val="00757E60"/>
    <w:rsid w:val="00762BD1"/>
    <w:rsid w:val="007649D1"/>
    <w:rsid w:val="00765242"/>
    <w:rsid w:val="00765A85"/>
    <w:rsid w:val="007668EC"/>
    <w:rsid w:val="0077091E"/>
    <w:rsid w:val="00773960"/>
    <w:rsid w:val="00773B1B"/>
    <w:rsid w:val="00775161"/>
    <w:rsid w:val="00781D54"/>
    <w:rsid w:val="00783970"/>
    <w:rsid w:val="00783F1B"/>
    <w:rsid w:val="007855DB"/>
    <w:rsid w:val="0078583A"/>
    <w:rsid w:val="007912F4"/>
    <w:rsid w:val="007954E0"/>
    <w:rsid w:val="00796C3B"/>
    <w:rsid w:val="00796EA5"/>
    <w:rsid w:val="007A3312"/>
    <w:rsid w:val="007A3B70"/>
    <w:rsid w:val="007A47BC"/>
    <w:rsid w:val="007A7CD4"/>
    <w:rsid w:val="007B0652"/>
    <w:rsid w:val="007B105F"/>
    <w:rsid w:val="007B1ACD"/>
    <w:rsid w:val="007B47BC"/>
    <w:rsid w:val="007B4B69"/>
    <w:rsid w:val="007B5279"/>
    <w:rsid w:val="007B6D66"/>
    <w:rsid w:val="007C09CB"/>
    <w:rsid w:val="007C71B0"/>
    <w:rsid w:val="007C7621"/>
    <w:rsid w:val="007D0E3F"/>
    <w:rsid w:val="007D3E4D"/>
    <w:rsid w:val="007D4D52"/>
    <w:rsid w:val="007D5DEA"/>
    <w:rsid w:val="007D5F0C"/>
    <w:rsid w:val="007D6465"/>
    <w:rsid w:val="007E52BD"/>
    <w:rsid w:val="007E649D"/>
    <w:rsid w:val="007F0876"/>
    <w:rsid w:val="007F0AAD"/>
    <w:rsid w:val="007F1E4B"/>
    <w:rsid w:val="007F3634"/>
    <w:rsid w:val="007F3C11"/>
    <w:rsid w:val="007F5F50"/>
    <w:rsid w:val="007F7BFF"/>
    <w:rsid w:val="00803A8C"/>
    <w:rsid w:val="00803EAD"/>
    <w:rsid w:val="008060F3"/>
    <w:rsid w:val="00807D43"/>
    <w:rsid w:val="00810771"/>
    <w:rsid w:val="00810869"/>
    <w:rsid w:val="00813C74"/>
    <w:rsid w:val="008145A6"/>
    <w:rsid w:val="00814E34"/>
    <w:rsid w:val="00815D4B"/>
    <w:rsid w:val="00820E1F"/>
    <w:rsid w:val="00821134"/>
    <w:rsid w:val="008216DF"/>
    <w:rsid w:val="008239E9"/>
    <w:rsid w:val="00825834"/>
    <w:rsid w:val="00826B62"/>
    <w:rsid w:val="00830190"/>
    <w:rsid w:val="00833338"/>
    <w:rsid w:val="00837B79"/>
    <w:rsid w:val="00840148"/>
    <w:rsid w:val="008423BD"/>
    <w:rsid w:val="00842BCE"/>
    <w:rsid w:val="00843D01"/>
    <w:rsid w:val="00845E68"/>
    <w:rsid w:val="00846327"/>
    <w:rsid w:val="008501B5"/>
    <w:rsid w:val="00850A25"/>
    <w:rsid w:val="0085120F"/>
    <w:rsid w:val="00851803"/>
    <w:rsid w:val="00852CB4"/>
    <w:rsid w:val="00855978"/>
    <w:rsid w:val="008610BD"/>
    <w:rsid w:val="008621AD"/>
    <w:rsid w:val="00862732"/>
    <w:rsid w:val="0086511F"/>
    <w:rsid w:val="008747B4"/>
    <w:rsid w:val="0088109C"/>
    <w:rsid w:val="0088131B"/>
    <w:rsid w:val="00881B63"/>
    <w:rsid w:val="00884498"/>
    <w:rsid w:val="0088491B"/>
    <w:rsid w:val="008855D9"/>
    <w:rsid w:val="008857FE"/>
    <w:rsid w:val="00892505"/>
    <w:rsid w:val="00892748"/>
    <w:rsid w:val="00893267"/>
    <w:rsid w:val="008A12C1"/>
    <w:rsid w:val="008A14F6"/>
    <w:rsid w:val="008A20F3"/>
    <w:rsid w:val="008A313C"/>
    <w:rsid w:val="008A43C6"/>
    <w:rsid w:val="008A711A"/>
    <w:rsid w:val="008B094E"/>
    <w:rsid w:val="008B1130"/>
    <w:rsid w:val="008B17AD"/>
    <w:rsid w:val="008B415B"/>
    <w:rsid w:val="008B55EC"/>
    <w:rsid w:val="008B6B20"/>
    <w:rsid w:val="008C2045"/>
    <w:rsid w:val="008C3E4D"/>
    <w:rsid w:val="008C5551"/>
    <w:rsid w:val="008C69FC"/>
    <w:rsid w:val="008C7C3C"/>
    <w:rsid w:val="008D2726"/>
    <w:rsid w:val="008D2A21"/>
    <w:rsid w:val="008D3373"/>
    <w:rsid w:val="008D519F"/>
    <w:rsid w:val="008D5CA8"/>
    <w:rsid w:val="008D7862"/>
    <w:rsid w:val="008E267F"/>
    <w:rsid w:val="008E4281"/>
    <w:rsid w:val="008E43AC"/>
    <w:rsid w:val="008E525A"/>
    <w:rsid w:val="008E5306"/>
    <w:rsid w:val="008E5954"/>
    <w:rsid w:val="008E645C"/>
    <w:rsid w:val="008E6E98"/>
    <w:rsid w:val="008E7288"/>
    <w:rsid w:val="008F39D7"/>
    <w:rsid w:val="008F4115"/>
    <w:rsid w:val="008F4544"/>
    <w:rsid w:val="008F48C6"/>
    <w:rsid w:val="008F6879"/>
    <w:rsid w:val="008F72A4"/>
    <w:rsid w:val="008F72EA"/>
    <w:rsid w:val="008F759F"/>
    <w:rsid w:val="0090069E"/>
    <w:rsid w:val="0090384D"/>
    <w:rsid w:val="009057B0"/>
    <w:rsid w:val="0090583F"/>
    <w:rsid w:val="009059D9"/>
    <w:rsid w:val="009060B1"/>
    <w:rsid w:val="00907058"/>
    <w:rsid w:val="0090787C"/>
    <w:rsid w:val="00911D0D"/>
    <w:rsid w:val="009137A8"/>
    <w:rsid w:val="0091448B"/>
    <w:rsid w:val="00916C72"/>
    <w:rsid w:val="00920EF2"/>
    <w:rsid w:val="009218E4"/>
    <w:rsid w:val="00925BFB"/>
    <w:rsid w:val="00926493"/>
    <w:rsid w:val="00931560"/>
    <w:rsid w:val="00933183"/>
    <w:rsid w:val="00933DB1"/>
    <w:rsid w:val="0093691F"/>
    <w:rsid w:val="00937082"/>
    <w:rsid w:val="00937967"/>
    <w:rsid w:val="0094024C"/>
    <w:rsid w:val="00941A7F"/>
    <w:rsid w:val="009429BB"/>
    <w:rsid w:val="009433CA"/>
    <w:rsid w:val="00946E28"/>
    <w:rsid w:val="00950613"/>
    <w:rsid w:val="0095081E"/>
    <w:rsid w:val="00951F8C"/>
    <w:rsid w:val="009524D6"/>
    <w:rsid w:val="00953C4A"/>
    <w:rsid w:val="0095654C"/>
    <w:rsid w:val="0095716B"/>
    <w:rsid w:val="009574E2"/>
    <w:rsid w:val="00960FA6"/>
    <w:rsid w:val="00967742"/>
    <w:rsid w:val="00967E81"/>
    <w:rsid w:val="00970FA8"/>
    <w:rsid w:val="00971426"/>
    <w:rsid w:val="0097311E"/>
    <w:rsid w:val="00974E8A"/>
    <w:rsid w:val="00976D59"/>
    <w:rsid w:val="00977A6C"/>
    <w:rsid w:val="009877C5"/>
    <w:rsid w:val="009878DB"/>
    <w:rsid w:val="00987F89"/>
    <w:rsid w:val="009903AA"/>
    <w:rsid w:val="00992C69"/>
    <w:rsid w:val="0099405A"/>
    <w:rsid w:val="009943E0"/>
    <w:rsid w:val="009954D3"/>
    <w:rsid w:val="00996839"/>
    <w:rsid w:val="00997819"/>
    <w:rsid w:val="00997EF6"/>
    <w:rsid w:val="009A1C1F"/>
    <w:rsid w:val="009A24E0"/>
    <w:rsid w:val="009A3063"/>
    <w:rsid w:val="009A526B"/>
    <w:rsid w:val="009A74AA"/>
    <w:rsid w:val="009B0110"/>
    <w:rsid w:val="009B0593"/>
    <w:rsid w:val="009B24C6"/>
    <w:rsid w:val="009B3730"/>
    <w:rsid w:val="009B489D"/>
    <w:rsid w:val="009B4ED3"/>
    <w:rsid w:val="009B5315"/>
    <w:rsid w:val="009B5B0B"/>
    <w:rsid w:val="009B62B0"/>
    <w:rsid w:val="009B7E22"/>
    <w:rsid w:val="009C1EDC"/>
    <w:rsid w:val="009C33F1"/>
    <w:rsid w:val="009C3B82"/>
    <w:rsid w:val="009C4BAB"/>
    <w:rsid w:val="009C5AB6"/>
    <w:rsid w:val="009C5BDB"/>
    <w:rsid w:val="009C5CB2"/>
    <w:rsid w:val="009C6BB6"/>
    <w:rsid w:val="009C76A4"/>
    <w:rsid w:val="009C7EB8"/>
    <w:rsid w:val="009D3505"/>
    <w:rsid w:val="009D363B"/>
    <w:rsid w:val="009D5EE9"/>
    <w:rsid w:val="009D7B26"/>
    <w:rsid w:val="009D7CCF"/>
    <w:rsid w:val="009E13D7"/>
    <w:rsid w:val="009E47A5"/>
    <w:rsid w:val="009E5093"/>
    <w:rsid w:val="009E5C72"/>
    <w:rsid w:val="009E7E44"/>
    <w:rsid w:val="009F1B4D"/>
    <w:rsid w:val="009F1CBF"/>
    <w:rsid w:val="009F2CAB"/>
    <w:rsid w:val="009F3229"/>
    <w:rsid w:val="009F4A38"/>
    <w:rsid w:val="009F5169"/>
    <w:rsid w:val="009F7ED8"/>
    <w:rsid w:val="00A01560"/>
    <w:rsid w:val="00A04EAB"/>
    <w:rsid w:val="00A0586E"/>
    <w:rsid w:val="00A11174"/>
    <w:rsid w:val="00A15087"/>
    <w:rsid w:val="00A277FB"/>
    <w:rsid w:val="00A314C4"/>
    <w:rsid w:val="00A31C2B"/>
    <w:rsid w:val="00A32B49"/>
    <w:rsid w:val="00A3483F"/>
    <w:rsid w:val="00A42DD0"/>
    <w:rsid w:val="00A42F08"/>
    <w:rsid w:val="00A44ACC"/>
    <w:rsid w:val="00A47340"/>
    <w:rsid w:val="00A50944"/>
    <w:rsid w:val="00A53B73"/>
    <w:rsid w:val="00A55F88"/>
    <w:rsid w:val="00A56543"/>
    <w:rsid w:val="00A57DF0"/>
    <w:rsid w:val="00A60F84"/>
    <w:rsid w:val="00A63508"/>
    <w:rsid w:val="00A708A0"/>
    <w:rsid w:val="00A70BF9"/>
    <w:rsid w:val="00A76781"/>
    <w:rsid w:val="00A8168E"/>
    <w:rsid w:val="00A82C2E"/>
    <w:rsid w:val="00A84AAC"/>
    <w:rsid w:val="00A85ACC"/>
    <w:rsid w:val="00A87018"/>
    <w:rsid w:val="00A90ED2"/>
    <w:rsid w:val="00A93CA7"/>
    <w:rsid w:val="00A94503"/>
    <w:rsid w:val="00A94560"/>
    <w:rsid w:val="00A94FF2"/>
    <w:rsid w:val="00A96514"/>
    <w:rsid w:val="00A96A0F"/>
    <w:rsid w:val="00A97C10"/>
    <w:rsid w:val="00AA0089"/>
    <w:rsid w:val="00AA0EEB"/>
    <w:rsid w:val="00AA487B"/>
    <w:rsid w:val="00AA72F1"/>
    <w:rsid w:val="00AA7524"/>
    <w:rsid w:val="00AB2A1B"/>
    <w:rsid w:val="00AB32B8"/>
    <w:rsid w:val="00AB6A37"/>
    <w:rsid w:val="00AB70FA"/>
    <w:rsid w:val="00AB7705"/>
    <w:rsid w:val="00AB7F9C"/>
    <w:rsid w:val="00AC134E"/>
    <w:rsid w:val="00AC2A2D"/>
    <w:rsid w:val="00AC3320"/>
    <w:rsid w:val="00AC65F9"/>
    <w:rsid w:val="00AD0275"/>
    <w:rsid w:val="00AD0D67"/>
    <w:rsid w:val="00AD0E5F"/>
    <w:rsid w:val="00AD269C"/>
    <w:rsid w:val="00AD540C"/>
    <w:rsid w:val="00AD66C5"/>
    <w:rsid w:val="00AE392E"/>
    <w:rsid w:val="00AF0FEE"/>
    <w:rsid w:val="00AF1D86"/>
    <w:rsid w:val="00AF5A36"/>
    <w:rsid w:val="00AF6D41"/>
    <w:rsid w:val="00AF79CA"/>
    <w:rsid w:val="00B005A9"/>
    <w:rsid w:val="00B01E0B"/>
    <w:rsid w:val="00B0238B"/>
    <w:rsid w:val="00B030C0"/>
    <w:rsid w:val="00B04508"/>
    <w:rsid w:val="00B049CF"/>
    <w:rsid w:val="00B05776"/>
    <w:rsid w:val="00B07873"/>
    <w:rsid w:val="00B078A1"/>
    <w:rsid w:val="00B1036F"/>
    <w:rsid w:val="00B117B1"/>
    <w:rsid w:val="00B13229"/>
    <w:rsid w:val="00B139F2"/>
    <w:rsid w:val="00B14053"/>
    <w:rsid w:val="00B146C6"/>
    <w:rsid w:val="00B14A4D"/>
    <w:rsid w:val="00B14DAF"/>
    <w:rsid w:val="00B17B1D"/>
    <w:rsid w:val="00B17DB4"/>
    <w:rsid w:val="00B2197A"/>
    <w:rsid w:val="00B21C9C"/>
    <w:rsid w:val="00B24258"/>
    <w:rsid w:val="00B24E2C"/>
    <w:rsid w:val="00B27EDC"/>
    <w:rsid w:val="00B333C7"/>
    <w:rsid w:val="00B3362F"/>
    <w:rsid w:val="00B4179B"/>
    <w:rsid w:val="00B44FF4"/>
    <w:rsid w:val="00B5292A"/>
    <w:rsid w:val="00B571DD"/>
    <w:rsid w:val="00B623CC"/>
    <w:rsid w:val="00B669E6"/>
    <w:rsid w:val="00B712BD"/>
    <w:rsid w:val="00B714AE"/>
    <w:rsid w:val="00B73A5B"/>
    <w:rsid w:val="00B7793D"/>
    <w:rsid w:val="00B80C03"/>
    <w:rsid w:val="00B80D89"/>
    <w:rsid w:val="00B85385"/>
    <w:rsid w:val="00B86C2D"/>
    <w:rsid w:val="00B945DC"/>
    <w:rsid w:val="00BA0BD1"/>
    <w:rsid w:val="00BA5678"/>
    <w:rsid w:val="00BA5818"/>
    <w:rsid w:val="00BA71D4"/>
    <w:rsid w:val="00BB175C"/>
    <w:rsid w:val="00BB17A8"/>
    <w:rsid w:val="00BB19F5"/>
    <w:rsid w:val="00BB4108"/>
    <w:rsid w:val="00BB5FB3"/>
    <w:rsid w:val="00BB6AA7"/>
    <w:rsid w:val="00BC32CB"/>
    <w:rsid w:val="00BC40AD"/>
    <w:rsid w:val="00BC505B"/>
    <w:rsid w:val="00BC5614"/>
    <w:rsid w:val="00BC5DD9"/>
    <w:rsid w:val="00BC6C8F"/>
    <w:rsid w:val="00BD3068"/>
    <w:rsid w:val="00BD46D3"/>
    <w:rsid w:val="00BD4728"/>
    <w:rsid w:val="00BD57D5"/>
    <w:rsid w:val="00BD61E3"/>
    <w:rsid w:val="00BE3131"/>
    <w:rsid w:val="00BE6D87"/>
    <w:rsid w:val="00BE77D6"/>
    <w:rsid w:val="00BF29D0"/>
    <w:rsid w:val="00BF2D68"/>
    <w:rsid w:val="00BF2F99"/>
    <w:rsid w:val="00BF4D76"/>
    <w:rsid w:val="00BF5481"/>
    <w:rsid w:val="00BF65C8"/>
    <w:rsid w:val="00C008E7"/>
    <w:rsid w:val="00C03348"/>
    <w:rsid w:val="00C064A9"/>
    <w:rsid w:val="00C0727F"/>
    <w:rsid w:val="00C07867"/>
    <w:rsid w:val="00C0793C"/>
    <w:rsid w:val="00C10171"/>
    <w:rsid w:val="00C1038D"/>
    <w:rsid w:val="00C12AEC"/>
    <w:rsid w:val="00C12E22"/>
    <w:rsid w:val="00C14761"/>
    <w:rsid w:val="00C15218"/>
    <w:rsid w:val="00C155A0"/>
    <w:rsid w:val="00C170B5"/>
    <w:rsid w:val="00C17296"/>
    <w:rsid w:val="00C17A79"/>
    <w:rsid w:val="00C17D3E"/>
    <w:rsid w:val="00C21DF0"/>
    <w:rsid w:val="00C2221A"/>
    <w:rsid w:val="00C22500"/>
    <w:rsid w:val="00C22A4D"/>
    <w:rsid w:val="00C23DC2"/>
    <w:rsid w:val="00C26590"/>
    <w:rsid w:val="00C37758"/>
    <w:rsid w:val="00C42406"/>
    <w:rsid w:val="00C435C1"/>
    <w:rsid w:val="00C444A0"/>
    <w:rsid w:val="00C4567F"/>
    <w:rsid w:val="00C4672C"/>
    <w:rsid w:val="00C46AEE"/>
    <w:rsid w:val="00C50540"/>
    <w:rsid w:val="00C51A6C"/>
    <w:rsid w:val="00C523DF"/>
    <w:rsid w:val="00C52850"/>
    <w:rsid w:val="00C5322C"/>
    <w:rsid w:val="00C533D3"/>
    <w:rsid w:val="00C539F1"/>
    <w:rsid w:val="00C547D2"/>
    <w:rsid w:val="00C548BD"/>
    <w:rsid w:val="00C61582"/>
    <w:rsid w:val="00C63B5D"/>
    <w:rsid w:val="00C65C8E"/>
    <w:rsid w:val="00C66255"/>
    <w:rsid w:val="00C66402"/>
    <w:rsid w:val="00C676D0"/>
    <w:rsid w:val="00C7387A"/>
    <w:rsid w:val="00C76386"/>
    <w:rsid w:val="00C77600"/>
    <w:rsid w:val="00C84A08"/>
    <w:rsid w:val="00C84A89"/>
    <w:rsid w:val="00C87136"/>
    <w:rsid w:val="00C87E16"/>
    <w:rsid w:val="00C91EFC"/>
    <w:rsid w:val="00C95C63"/>
    <w:rsid w:val="00C96830"/>
    <w:rsid w:val="00C96F76"/>
    <w:rsid w:val="00C9764B"/>
    <w:rsid w:val="00CA2E51"/>
    <w:rsid w:val="00CA348D"/>
    <w:rsid w:val="00CA5739"/>
    <w:rsid w:val="00CA5C42"/>
    <w:rsid w:val="00CA78CC"/>
    <w:rsid w:val="00CB1FEE"/>
    <w:rsid w:val="00CB50B3"/>
    <w:rsid w:val="00CC0041"/>
    <w:rsid w:val="00CC068D"/>
    <w:rsid w:val="00CC13C7"/>
    <w:rsid w:val="00CC1686"/>
    <w:rsid w:val="00CD4276"/>
    <w:rsid w:val="00CD4576"/>
    <w:rsid w:val="00CE073B"/>
    <w:rsid w:val="00CE702C"/>
    <w:rsid w:val="00CE78BE"/>
    <w:rsid w:val="00CF0B1B"/>
    <w:rsid w:val="00CF56FA"/>
    <w:rsid w:val="00D04CD1"/>
    <w:rsid w:val="00D05959"/>
    <w:rsid w:val="00D05C99"/>
    <w:rsid w:val="00D076DB"/>
    <w:rsid w:val="00D11C1A"/>
    <w:rsid w:val="00D12142"/>
    <w:rsid w:val="00D12E47"/>
    <w:rsid w:val="00D16C99"/>
    <w:rsid w:val="00D2507C"/>
    <w:rsid w:val="00D2674F"/>
    <w:rsid w:val="00D26ECF"/>
    <w:rsid w:val="00D26F35"/>
    <w:rsid w:val="00D27637"/>
    <w:rsid w:val="00D3241E"/>
    <w:rsid w:val="00D32501"/>
    <w:rsid w:val="00D3638C"/>
    <w:rsid w:val="00D36797"/>
    <w:rsid w:val="00D427BD"/>
    <w:rsid w:val="00D4355B"/>
    <w:rsid w:val="00D43ABB"/>
    <w:rsid w:val="00D47167"/>
    <w:rsid w:val="00D47A9F"/>
    <w:rsid w:val="00D5028E"/>
    <w:rsid w:val="00D50971"/>
    <w:rsid w:val="00D518C3"/>
    <w:rsid w:val="00D51E30"/>
    <w:rsid w:val="00D520DC"/>
    <w:rsid w:val="00D535EC"/>
    <w:rsid w:val="00D542F3"/>
    <w:rsid w:val="00D55125"/>
    <w:rsid w:val="00D5771E"/>
    <w:rsid w:val="00D601AC"/>
    <w:rsid w:val="00D617CA"/>
    <w:rsid w:val="00D6198A"/>
    <w:rsid w:val="00D67935"/>
    <w:rsid w:val="00D730B4"/>
    <w:rsid w:val="00D75B79"/>
    <w:rsid w:val="00D763FD"/>
    <w:rsid w:val="00D76550"/>
    <w:rsid w:val="00D77068"/>
    <w:rsid w:val="00D77FD4"/>
    <w:rsid w:val="00D822F1"/>
    <w:rsid w:val="00D826A5"/>
    <w:rsid w:val="00D84852"/>
    <w:rsid w:val="00D84C44"/>
    <w:rsid w:val="00D900C9"/>
    <w:rsid w:val="00D90508"/>
    <w:rsid w:val="00D93196"/>
    <w:rsid w:val="00D950F4"/>
    <w:rsid w:val="00D95BFB"/>
    <w:rsid w:val="00D96D13"/>
    <w:rsid w:val="00DA0BF9"/>
    <w:rsid w:val="00DA5AA3"/>
    <w:rsid w:val="00DB2D17"/>
    <w:rsid w:val="00DC105A"/>
    <w:rsid w:val="00DC2989"/>
    <w:rsid w:val="00DC3443"/>
    <w:rsid w:val="00DC34F9"/>
    <w:rsid w:val="00DC3B92"/>
    <w:rsid w:val="00DC471F"/>
    <w:rsid w:val="00DC7548"/>
    <w:rsid w:val="00DD0695"/>
    <w:rsid w:val="00DD1C6C"/>
    <w:rsid w:val="00DD214A"/>
    <w:rsid w:val="00DD4191"/>
    <w:rsid w:val="00DD52C7"/>
    <w:rsid w:val="00DD5EE4"/>
    <w:rsid w:val="00DD613A"/>
    <w:rsid w:val="00DD771D"/>
    <w:rsid w:val="00DE2379"/>
    <w:rsid w:val="00DE24A6"/>
    <w:rsid w:val="00DE3342"/>
    <w:rsid w:val="00DE49DA"/>
    <w:rsid w:val="00DE4B82"/>
    <w:rsid w:val="00DE4DEF"/>
    <w:rsid w:val="00DE5E64"/>
    <w:rsid w:val="00DF38E3"/>
    <w:rsid w:val="00DF58BA"/>
    <w:rsid w:val="00DF746B"/>
    <w:rsid w:val="00E03788"/>
    <w:rsid w:val="00E07E15"/>
    <w:rsid w:val="00E10CCD"/>
    <w:rsid w:val="00E13F76"/>
    <w:rsid w:val="00E140E9"/>
    <w:rsid w:val="00E141C2"/>
    <w:rsid w:val="00E16313"/>
    <w:rsid w:val="00E16459"/>
    <w:rsid w:val="00E17C65"/>
    <w:rsid w:val="00E20DB9"/>
    <w:rsid w:val="00E25871"/>
    <w:rsid w:val="00E25D5C"/>
    <w:rsid w:val="00E26A62"/>
    <w:rsid w:val="00E30483"/>
    <w:rsid w:val="00E30B31"/>
    <w:rsid w:val="00E30E39"/>
    <w:rsid w:val="00E34864"/>
    <w:rsid w:val="00E362C2"/>
    <w:rsid w:val="00E3685B"/>
    <w:rsid w:val="00E36ABC"/>
    <w:rsid w:val="00E37C07"/>
    <w:rsid w:val="00E40563"/>
    <w:rsid w:val="00E40CF2"/>
    <w:rsid w:val="00E44109"/>
    <w:rsid w:val="00E44558"/>
    <w:rsid w:val="00E46115"/>
    <w:rsid w:val="00E468E2"/>
    <w:rsid w:val="00E507F1"/>
    <w:rsid w:val="00E54388"/>
    <w:rsid w:val="00E5443A"/>
    <w:rsid w:val="00E545A1"/>
    <w:rsid w:val="00E5535A"/>
    <w:rsid w:val="00E57C54"/>
    <w:rsid w:val="00E64020"/>
    <w:rsid w:val="00E64E67"/>
    <w:rsid w:val="00E668A4"/>
    <w:rsid w:val="00E7178C"/>
    <w:rsid w:val="00E72284"/>
    <w:rsid w:val="00E73078"/>
    <w:rsid w:val="00E7321C"/>
    <w:rsid w:val="00E73DE3"/>
    <w:rsid w:val="00E74F60"/>
    <w:rsid w:val="00E777A3"/>
    <w:rsid w:val="00E7780B"/>
    <w:rsid w:val="00E813AF"/>
    <w:rsid w:val="00E82905"/>
    <w:rsid w:val="00E8302E"/>
    <w:rsid w:val="00E83A20"/>
    <w:rsid w:val="00E85862"/>
    <w:rsid w:val="00E87B0C"/>
    <w:rsid w:val="00E94825"/>
    <w:rsid w:val="00E95154"/>
    <w:rsid w:val="00E955F7"/>
    <w:rsid w:val="00E95B31"/>
    <w:rsid w:val="00E96910"/>
    <w:rsid w:val="00E97FE7"/>
    <w:rsid w:val="00EA0F3D"/>
    <w:rsid w:val="00EA23C4"/>
    <w:rsid w:val="00EA3501"/>
    <w:rsid w:val="00EA3E85"/>
    <w:rsid w:val="00EA3EAA"/>
    <w:rsid w:val="00EA66DD"/>
    <w:rsid w:val="00EA7B6C"/>
    <w:rsid w:val="00EB10FF"/>
    <w:rsid w:val="00EB12C8"/>
    <w:rsid w:val="00EB12FB"/>
    <w:rsid w:val="00EB2B55"/>
    <w:rsid w:val="00EB2D1B"/>
    <w:rsid w:val="00EB46C3"/>
    <w:rsid w:val="00EB4710"/>
    <w:rsid w:val="00EB5C3B"/>
    <w:rsid w:val="00EB62D7"/>
    <w:rsid w:val="00EB68A3"/>
    <w:rsid w:val="00EB78C0"/>
    <w:rsid w:val="00EB7F13"/>
    <w:rsid w:val="00EC09A6"/>
    <w:rsid w:val="00EC0C24"/>
    <w:rsid w:val="00EC1B25"/>
    <w:rsid w:val="00EC49B0"/>
    <w:rsid w:val="00EC5385"/>
    <w:rsid w:val="00EC5693"/>
    <w:rsid w:val="00EC675C"/>
    <w:rsid w:val="00EC6A4F"/>
    <w:rsid w:val="00ED1C49"/>
    <w:rsid w:val="00ED30B6"/>
    <w:rsid w:val="00ED5A85"/>
    <w:rsid w:val="00ED6283"/>
    <w:rsid w:val="00EE1B4C"/>
    <w:rsid w:val="00EE2281"/>
    <w:rsid w:val="00EE3161"/>
    <w:rsid w:val="00EE64CF"/>
    <w:rsid w:val="00EE7D96"/>
    <w:rsid w:val="00EF02A4"/>
    <w:rsid w:val="00EF12A3"/>
    <w:rsid w:val="00EF29BC"/>
    <w:rsid w:val="00EF49AD"/>
    <w:rsid w:val="00EF4BE4"/>
    <w:rsid w:val="00EF5F89"/>
    <w:rsid w:val="00EF672F"/>
    <w:rsid w:val="00F0005C"/>
    <w:rsid w:val="00F0073C"/>
    <w:rsid w:val="00F013D7"/>
    <w:rsid w:val="00F01CE0"/>
    <w:rsid w:val="00F025B1"/>
    <w:rsid w:val="00F0369D"/>
    <w:rsid w:val="00F1042C"/>
    <w:rsid w:val="00F10E05"/>
    <w:rsid w:val="00F115B2"/>
    <w:rsid w:val="00F124C3"/>
    <w:rsid w:val="00F16495"/>
    <w:rsid w:val="00F17B51"/>
    <w:rsid w:val="00F17E9E"/>
    <w:rsid w:val="00F22B8F"/>
    <w:rsid w:val="00F23642"/>
    <w:rsid w:val="00F23F1E"/>
    <w:rsid w:val="00F23FB6"/>
    <w:rsid w:val="00F247EF"/>
    <w:rsid w:val="00F2559A"/>
    <w:rsid w:val="00F27136"/>
    <w:rsid w:val="00F27E79"/>
    <w:rsid w:val="00F3289A"/>
    <w:rsid w:val="00F33C6F"/>
    <w:rsid w:val="00F36DC7"/>
    <w:rsid w:val="00F36E75"/>
    <w:rsid w:val="00F378DF"/>
    <w:rsid w:val="00F418F0"/>
    <w:rsid w:val="00F41F3F"/>
    <w:rsid w:val="00F42778"/>
    <w:rsid w:val="00F42CD8"/>
    <w:rsid w:val="00F4329A"/>
    <w:rsid w:val="00F44E4A"/>
    <w:rsid w:val="00F4523E"/>
    <w:rsid w:val="00F45DE7"/>
    <w:rsid w:val="00F5057B"/>
    <w:rsid w:val="00F5079E"/>
    <w:rsid w:val="00F5222E"/>
    <w:rsid w:val="00F5445A"/>
    <w:rsid w:val="00F559FE"/>
    <w:rsid w:val="00F60264"/>
    <w:rsid w:val="00F605DD"/>
    <w:rsid w:val="00F60D72"/>
    <w:rsid w:val="00F6144A"/>
    <w:rsid w:val="00F62839"/>
    <w:rsid w:val="00F63076"/>
    <w:rsid w:val="00F634C2"/>
    <w:rsid w:val="00F6412E"/>
    <w:rsid w:val="00F66C5D"/>
    <w:rsid w:val="00F71658"/>
    <w:rsid w:val="00F71C48"/>
    <w:rsid w:val="00F71CC9"/>
    <w:rsid w:val="00F72328"/>
    <w:rsid w:val="00F8296E"/>
    <w:rsid w:val="00F832B2"/>
    <w:rsid w:val="00F84095"/>
    <w:rsid w:val="00F842EF"/>
    <w:rsid w:val="00F851C4"/>
    <w:rsid w:val="00F8529E"/>
    <w:rsid w:val="00F8559B"/>
    <w:rsid w:val="00F86ABA"/>
    <w:rsid w:val="00F86B01"/>
    <w:rsid w:val="00F87087"/>
    <w:rsid w:val="00F90855"/>
    <w:rsid w:val="00F92D5A"/>
    <w:rsid w:val="00F92E6A"/>
    <w:rsid w:val="00F9364B"/>
    <w:rsid w:val="00F939EA"/>
    <w:rsid w:val="00F94593"/>
    <w:rsid w:val="00F94D23"/>
    <w:rsid w:val="00F95D07"/>
    <w:rsid w:val="00FA1301"/>
    <w:rsid w:val="00FA3419"/>
    <w:rsid w:val="00FB4B3D"/>
    <w:rsid w:val="00FC0BE7"/>
    <w:rsid w:val="00FC3D60"/>
    <w:rsid w:val="00FD1F9A"/>
    <w:rsid w:val="00FD305D"/>
    <w:rsid w:val="00FD3867"/>
    <w:rsid w:val="00FE1321"/>
    <w:rsid w:val="00FE14DD"/>
    <w:rsid w:val="00FE23E8"/>
    <w:rsid w:val="00FE54BA"/>
    <w:rsid w:val="00FE6663"/>
    <w:rsid w:val="00FE6CCD"/>
    <w:rsid w:val="00FF12EB"/>
    <w:rsid w:val="00FF21FA"/>
    <w:rsid w:val="00FF2354"/>
    <w:rsid w:val="00FF281A"/>
    <w:rsid w:val="00FF441D"/>
    <w:rsid w:val="00FF4E3D"/>
    <w:rsid w:val="00FF7F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B90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F29D0"/>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link w:val="Heading4Char"/>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paragraph" w:styleId="Heading7">
    <w:name w:val="heading 7"/>
    <w:basedOn w:val="Normal"/>
    <w:next w:val="Normal"/>
    <w:link w:val="Heading7Char"/>
    <w:uiPriority w:val="9"/>
    <w:semiHidden/>
    <w:unhideWhenUsed/>
    <w:qFormat/>
    <w:rsid w:val="000654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Bullet">
    <w:name w:val="Bullet"/>
    <w:basedOn w:val="Normal"/>
    <w:link w:val="BulletChar"/>
    <w:rsid w:val="00C523DF"/>
    <w:pPr>
      <w:numPr>
        <w:numId w:val="1"/>
      </w:numPr>
      <w:tabs>
        <w:tab w:val="right" w:pos="9072"/>
      </w:tabs>
      <w:ind w:right="91"/>
    </w:pPr>
    <w:rPr>
      <w:szCs w:val="24"/>
    </w:rPr>
  </w:style>
  <w:style w:type="character" w:customStyle="1" w:styleId="BulletChar">
    <w:name w:val="Bullet Char"/>
    <w:basedOn w:val="DefaultParagraphFont"/>
    <w:link w:val="Bullet"/>
    <w:rsid w:val="00C523DF"/>
    <w:rPr>
      <w:sz w:val="24"/>
      <w:szCs w:val="24"/>
    </w:rPr>
  </w:style>
  <w:style w:type="paragraph" w:customStyle="1" w:styleId="Dash">
    <w:name w:val="Dash"/>
    <w:basedOn w:val="Normal"/>
    <w:link w:val="DashChar"/>
    <w:rsid w:val="00C523DF"/>
    <w:pPr>
      <w:numPr>
        <w:ilvl w:val="1"/>
        <w:numId w:val="1"/>
      </w:numPr>
      <w:tabs>
        <w:tab w:val="right" w:pos="9072"/>
      </w:tabs>
      <w:ind w:right="91"/>
    </w:pPr>
    <w:rPr>
      <w:szCs w:val="24"/>
    </w:rPr>
  </w:style>
  <w:style w:type="character" w:customStyle="1" w:styleId="DashChar">
    <w:name w:val="Dash Char"/>
    <w:basedOn w:val="DefaultParagraphFont"/>
    <w:link w:val="Dash"/>
    <w:rsid w:val="00C523DF"/>
    <w:rPr>
      <w:sz w:val="24"/>
      <w:szCs w:val="24"/>
    </w:rPr>
  </w:style>
  <w:style w:type="paragraph" w:customStyle="1" w:styleId="DoubleDot">
    <w:name w:val="Double Dot"/>
    <w:basedOn w:val="Normal"/>
    <w:link w:val="DoubleDotChar"/>
    <w:rsid w:val="00C523DF"/>
    <w:pPr>
      <w:numPr>
        <w:ilvl w:val="2"/>
        <w:numId w:val="1"/>
      </w:numPr>
      <w:tabs>
        <w:tab w:val="right" w:pos="9072"/>
      </w:tabs>
      <w:ind w:right="91"/>
    </w:pPr>
    <w:rPr>
      <w:szCs w:val="24"/>
    </w:rPr>
  </w:style>
  <w:style w:type="character" w:customStyle="1" w:styleId="DoubleDotChar">
    <w:name w:val="Double Dot Char"/>
    <w:basedOn w:val="DefaultParagraphFont"/>
    <w:link w:val="DoubleDot"/>
    <w:rsid w:val="00C523DF"/>
    <w:rPr>
      <w:sz w:val="24"/>
      <w:szCs w:val="24"/>
    </w:rPr>
  </w:style>
  <w:style w:type="paragraph" w:customStyle="1" w:styleId="dotpoint">
    <w:name w:val="dot point"/>
    <w:basedOn w:val="Normal"/>
    <w:rsid w:val="00BF5481"/>
    <w:pPr>
      <w:spacing w:before="120" w:after="120"/>
    </w:pPr>
    <w:rPr>
      <w:sz w:val="22"/>
    </w:rPr>
  </w:style>
  <w:style w:type="paragraph" w:customStyle="1" w:styleId="dotpoint2">
    <w:name w:val="dot point 2"/>
    <w:basedOn w:val="Normal"/>
    <w:rsid w:val="00BF5481"/>
    <w:pPr>
      <w:spacing w:before="120" w:after="120"/>
    </w:pPr>
    <w:rPr>
      <w:sz w:val="22"/>
    </w:rPr>
  </w:style>
  <w:style w:type="paragraph" w:customStyle="1" w:styleId="exampletext">
    <w:name w:val="example text"/>
    <w:basedOn w:val="Normal"/>
    <w:link w:val="exampletextChar"/>
    <w:rsid w:val="00BF5481"/>
    <w:pPr>
      <w:spacing w:before="120" w:after="120"/>
      <w:ind w:left="1985"/>
    </w:pPr>
    <w:rPr>
      <w:sz w:val="22"/>
    </w:rPr>
  </w:style>
  <w:style w:type="paragraph" w:customStyle="1" w:styleId="base-text-paragraph">
    <w:name w:val="base-text-paragraph"/>
    <w:link w:val="base-text-paragraphChar"/>
    <w:rsid w:val="0010538C"/>
    <w:pPr>
      <w:numPr>
        <w:numId w:val="3"/>
      </w:numPr>
      <w:spacing w:before="120" w:after="120"/>
    </w:pPr>
    <w:rPr>
      <w:sz w:val="22"/>
    </w:rPr>
  </w:style>
  <w:style w:type="character" w:styleId="FootnoteReference">
    <w:name w:val="footnote reference"/>
    <w:basedOn w:val="DefaultParagraphFont"/>
    <w:rsid w:val="0010538C"/>
    <w:rPr>
      <w:vertAlign w:val="superscript"/>
    </w:rPr>
  </w:style>
  <w:style w:type="paragraph" w:styleId="FootnoteText">
    <w:name w:val="footnote text"/>
    <w:basedOn w:val="Normal"/>
    <w:link w:val="FootnoteTextChar"/>
    <w:rsid w:val="0010538C"/>
    <w:pPr>
      <w:spacing w:before="40" w:after="40"/>
      <w:ind w:left="284" w:hanging="284"/>
    </w:pPr>
    <w:rPr>
      <w:sz w:val="20"/>
    </w:rPr>
  </w:style>
  <w:style w:type="character" w:customStyle="1" w:styleId="FootnoteTextChar">
    <w:name w:val="Footnote Text Char"/>
    <w:basedOn w:val="DefaultParagraphFont"/>
    <w:link w:val="FootnoteText"/>
    <w:rsid w:val="0010538C"/>
  </w:style>
  <w:style w:type="paragraph" w:customStyle="1" w:styleId="paraindent">
    <w:name w:val="para indent"/>
    <w:basedOn w:val="base-text-paragraph"/>
    <w:rsid w:val="0010538C"/>
  </w:style>
  <w:style w:type="paragraph" w:customStyle="1" w:styleId="Step">
    <w:name w:val="Step"/>
    <w:basedOn w:val="Normal"/>
    <w:rsid w:val="0010538C"/>
    <w:pPr>
      <w:spacing w:before="120" w:after="120"/>
      <w:ind w:left="1928" w:hanging="794"/>
    </w:pPr>
    <w:rPr>
      <w:sz w:val="22"/>
    </w:rPr>
  </w:style>
  <w:style w:type="character" w:styleId="Hyperlink">
    <w:name w:val="Hyperlink"/>
    <w:basedOn w:val="DefaultParagraphFont"/>
    <w:rsid w:val="0010538C"/>
    <w:rPr>
      <w:color w:val="000000"/>
      <w:u w:val="none"/>
    </w:rPr>
  </w:style>
  <w:style w:type="paragraph" w:styleId="BalloonText">
    <w:name w:val="Balloon Text"/>
    <w:basedOn w:val="Normal"/>
    <w:link w:val="BalloonTextChar"/>
    <w:uiPriority w:val="99"/>
    <w:semiHidden/>
    <w:unhideWhenUsed/>
    <w:rsid w:val="0010538C"/>
    <w:rPr>
      <w:rFonts w:ascii="Tahoma" w:hAnsi="Tahoma" w:cs="Tahoma"/>
      <w:sz w:val="16"/>
      <w:szCs w:val="16"/>
    </w:rPr>
  </w:style>
  <w:style w:type="character" w:customStyle="1" w:styleId="BalloonTextChar">
    <w:name w:val="Balloon Text Char"/>
    <w:basedOn w:val="DefaultParagraphFont"/>
    <w:link w:val="BalloonText"/>
    <w:uiPriority w:val="99"/>
    <w:semiHidden/>
    <w:rsid w:val="0010538C"/>
    <w:rPr>
      <w:rFonts w:ascii="Tahoma" w:hAnsi="Tahoma" w:cs="Tahoma"/>
      <w:sz w:val="16"/>
      <w:szCs w:val="16"/>
    </w:rPr>
  </w:style>
  <w:style w:type="paragraph" w:styleId="TOC2">
    <w:name w:val="toc 2"/>
    <w:basedOn w:val="TOC1"/>
    <w:next w:val="Normal"/>
    <w:autoRedefine/>
    <w:uiPriority w:val="39"/>
    <w:unhideWhenUsed/>
    <w:rsid w:val="00CD4276"/>
    <w:pPr>
      <w:ind w:left="0" w:firstLine="0"/>
    </w:pPr>
    <w:rPr>
      <w:rFonts w:ascii="Times New Roman" w:hAnsi="Times New Roman"/>
      <w:b w:val="0"/>
      <w:szCs w:val="24"/>
      <w:u w:val="single"/>
    </w:rPr>
  </w:style>
  <w:style w:type="paragraph" w:styleId="TOC1">
    <w:name w:val="toc 1"/>
    <w:basedOn w:val="Heading2"/>
    <w:next w:val="TOC2"/>
    <w:autoRedefine/>
    <w:uiPriority w:val="39"/>
    <w:unhideWhenUsed/>
    <w:rsid w:val="00951F8C"/>
    <w:pPr>
      <w:tabs>
        <w:tab w:val="right" w:leader="dot" w:pos="7711"/>
      </w:tabs>
      <w:spacing w:before="240" w:after="120"/>
      <w:ind w:left="1134" w:right="851" w:hanging="1134"/>
    </w:pPr>
    <w:rPr>
      <w:rFonts w:ascii="Helvetica" w:hAnsi="Helvetica"/>
      <w:caps w:val="0"/>
      <w:noProof/>
    </w:rPr>
  </w:style>
  <w:style w:type="paragraph" w:styleId="TOCHeading">
    <w:name w:val="TOC Heading"/>
    <w:basedOn w:val="Normal"/>
    <w:next w:val="Normal"/>
    <w:unhideWhenUsed/>
    <w:qFormat/>
    <w:rsid w:val="001D1574"/>
    <w:pPr>
      <w:pBdr>
        <w:top w:val="single" w:sz="4" w:space="1" w:color="auto"/>
        <w:bottom w:val="single" w:sz="4" w:space="1" w:color="auto"/>
      </w:pBdr>
      <w:spacing w:before="240" w:after="240" w:line="260" w:lineRule="atLeast"/>
    </w:pPr>
    <w:rPr>
      <w:rFonts w:ascii="Helvetica" w:hAnsi="Helvetica"/>
      <w:b/>
      <w:i/>
      <w:kern w:val="28"/>
      <w:sz w:val="38"/>
    </w:rPr>
  </w:style>
  <w:style w:type="paragraph" w:customStyle="1" w:styleId="ChapterHeading">
    <w:name w:val="Chapter Heading"/>
    <w:next w:val="Heading2"/>
    <w:rsid w:val="001D1574"/>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link w:val="TableHeadingoutsidetableChar"/>
    <w:rsid w:val="001D1574"/>
    <w:pPr>
      <w:tabs>
        <w:tab w:val="num" w:pos="360"/>
      </w:tabs>
      <w:spacing w:before="120" w:after="120"/>
    </w:pPr>
    <w:rPr>
      <w:b/>
      <w:i w:val="0"/>
      <w:sz w:val="22"/>
    </w:rPr>
  </w:style>
  <w:style w:type="character" w:customStyle="1" w:styleId="base-text-paragraphChar">
    <w:name w:val="base-text-paragraph Char"/>
    <w:basedOn w:val="DefaultParagraphFont"/>
    <w:link w:val="base-text-paragraph"/>
    <w:locked/>
    <w:rsid w:val="001D1574"/>
    <w:rPr>
      <w:sz w:val="22"/>
    </w:rPr>
  </w:style>
  <w:style w:type="paragraph" w:customStyle="1" w:styleId="ExampleHeading">
    <w:name w:val="Example Heading"/>
    <w:basedOn w:val="Normal"/>
    <w:next w:val="Normal"/>
    <w:rsid w:val="001D1574"/>
    <w:pPr>
      <w:keepNext/>
      <w:spacing w:before="120" w:after="120"/>
      <w:ind w:left="1134"/>
    </w:pPr>
    <w:rPr>
      <w:b/>
      <w:sz w:val="22"/>
    </w:rPr>
  </w:style>
  <w:style w:type="paragraph" w:customStyle="1" w:styleId="Diagram">
    <w:name w:val="Diagram"/>
    <w:basedOn w:val="Normal"/>
    <w:next w:val="Normal"/>
    <w:rsid w:val="001D1574"/>
    <w:pPr>
      <w:keepNext/>
      <w:ind w:left="1134"/>
    </w:pPr>
    <w:rPr>
      <w:b/>
      <w:sz w:val="22"/>
    </w:rPr>
  </w:style>
  <w:style w:type="character" w:customStyle="1" w:styleId="Font30point">
    <w:name w:val="Font 30 point"/>
    <w:basedOn w:val="DefaultParagraphFont"/>
    <w:rsid w:val="001D1574"/>
    <w:rPr>
      <w:rFonts w:ascii="Times New Roman" w:hAnsi="Times New Roman" w:cs="Times New Roman" w:hint="default"/>
      <w:sz w:val="60"/>
    </w:rPr>
  </w:style>
  <w:style w:type="numbering" w:customStyle="1" w:styleId="ChapterList">
    <w:name w:val="ChapterList"/>
    <w:uiPriority w:val="99"/>
    <w:rsid w:val="001D1574"/>
    <w:pPr>
      <w:numPr>
        <w:numId w:val="4"/>
      </w:numPr>
    </w:pPr>
  </w:style>
  <w:style w:type="paragraph" w:customStyle="1" w:styleId="BTPwithextraspacing">
    <w:name w:val="BTP with extra spacing"/>
    <w:basedOn w:val="Normal"/>
    <w:rsid w:val="001D1574"/>
    <w:pPr>
      <w:spacing w:before="360" w:after="360"/>
      <w:ind w:left="1134"/>
    </w:pPr>
    <w:rPr>
      <w:sz w:val="22"/>
    </w:rPr>
  </w:style>
  <w:style w:type="paragraph" w:customStyle="1" w:styleId="Chapterheadingsubdocument">
    <w:name w:val="Chapter heading subdocument"/>
    <w:basedOn w:val="Normal"/>
    <w:next w:val="Normal"/>
    <w:rsid w:val="001D1574"/>
    <w:pPr>
      <w:pBdr>
        <w:top w:val="single" w:sz="4" w:space="1" w:color="auto"/>
        <w:bottom w:val="single" w:sz="4" w:space="1" w:color="auto"/>
      </w:pBdr>
      <w:spacing w:before="240" w:line="260" w:lineRule="atLeast"/>
    </w:pPr>
    <w:rPr>
      <w:rFonts w:ascii="Helvetica" w:hAnsi="Helvetica"/>
      <w:b/>
      <w:i/>
      <w:sz w:val="38"/>
    </w:rPr>
  </w:style>
  <w:style w:type="paragraph" w:customStyle="1" w:styleId="tableheaderwithintable">
    <w:name w:val="table header (within table)"/>
    <w:basedOn w:val="Heading4"/>
    <w:rsid w:val="001D1574"/>
    <w:pPr>
      <w:spacing w:before="60" w:after="60"/>
      <w:jc w:val="center"/>
    </w:pPr>
    <w:rPr>
      <w:b/>
    </w:rPr>
  </w:style>
  <w:style w:type="numbering" w:customStyle="1" w:styleId="DotPointList">
    <w:name w:val="Dot Point List"/>
    <w:rsid w:val="001D1574"/>
    <w:pPr>
      <w:numPr>
        <w:numId w:val="5"/>
      </w:numPr>
    </w:pPr>
  </w:style>
  <w:style w:type="paragraph" w:customStyle="1" w:styleId="base-text-paragraphnonumbers">
    <w:name w:val="base-text-paragraph no numbers"/>
    <w:basedOn w:val="Normal"/>
    <w:rsid w:val="001D1574"/>
    <w:pPr>
      <w:spacing w:before="120" w:after="120"/>
      <w:ind w:left="1134"/>
    </w:pPr>
    <w:rPr>
      <w:sz w:val="22"/>
    </w:rPr>
  </w:style>
  <w:style w:type="character" w:customStyle="1" w:styleId="BoldItalic">
    <w:name w:val="BoldItalic"/>
    <w:basedOn w:val="DefaultParagraphFont"/>
    <w:rsid w:val="001D1574"/>
    <w:rPr>
      <w:rFonts w:ascii="Times New Roman" w:hAnsi="Times New Roman" w:cs="Times New Roman" w:hint="default"/>
      <w:b/>
      <w:bCs w:val="0"/>
      <w:i/>
      <w:iCs w:val="0"/>
    </w:rPr>
  </w:style>
  <w:style w:type="paragraph" w:customStyle="1" w:styleId="Hiddentext">
    <w:name w:val="Hiddentext"/>
    <w:basedOn w:val="Normal"/>
    <w:rsid w:val="001D1574"/>
    <w:pPr>
      <w:spacing w:before="120" w:after="120"/>
    </w:pPr>
    <w:rPr>
      <w:vanish/>
      <w:sz w:val="22"/>
    </w:rPr>
  </w:style>
  <w:style w:type="character" w:customStyle="1" w:styleId="Referencingstyle">
    <w:name w:val="Referencing style"/>
    <w:basedOn w:val="DefaultParagraphFont"/>
    <w:rsid w:val="001D1574"/>
    <w:rPr>
      <w:rFonts w:ascii="Times New Roman" w:hAnsi="Times New Roman" w:cs="Times New Roman" w:hint="default"/>
      <w:b/>
      <w:bCs w:val="0"/>
      <w:i/>
      <w:iCs w:val="0"/>
      <w:sz w:val="18"/>
    </w:rPr>
  </w:style>
  <w:style w:type="paragraph" w:styleId="ListParagraph">
    <w:name w:val="List Paragraph"/>
    <w:basedOn w:val="Normal"/>
    <w:uiPriority w:val="34"/>
    <w:qFormat/>
    <w:rsid w:val="00BB4108"/>
    <w:pPr>
      <w:ind w:left="720"/>
      <w:contextualSpacing/>
    </w:pPr>
  </w:style>
  <w:style w:type="table" w:styleId="TableGrid">
    <w:name w:val="Table Grid"/>
    <w:basedOn w:val="TableNormal"/>
    <w:rsid w:val="00C4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c">
    <w:name w:val="Rc"/>
    <w:aliases w:val="Rn continued"/>
    <w:basedOn w:val="Normal"/>
    <w:next w:val="Normal"/>
    <w:rsid w:val="00D076DB"/>
    <w:pPr>
      <w:spacing w:before="60" w:line="260" w:lineRule="exact"/>
      <w:ind w:left="964"/>
      <w:jc w:val="both"/>
    </w:pPr>
  </w:style>
  <w:style w:type="paragraph" w:customStyle="1" w:styleId="Formula">
    <w:name w:val="Formula"/>
    <w:basedOn w:val="Normal"/>
    <w:next w:val="Rc"/>
    <w:rsid w:val="00D076DB"/>
    <w:pPr>
      <w:spacing w:before="180" w:after="180"/>
      <w:jc w:val="center"/>
    </w:pPr>
  </w:style>
  <w:style w:type="paragraph" w:customStyle="1" w:styleId="notebullet">
    <w:name w:val="note(bullet)"/>
    <w:basedOn w:val="Normal"/>
    <w:rsid w:val="00D076DB"/>
    <w:pPr>
      <w:numPr>
        <w:numId w:val="6"/>
      </w:numPr>
    </w:pPr>
  </w:style>
  <w:style w:type="paragraph" w:customStyle="1" w:styleId="R2">
    <w:name w:val="R2"/>
    <w:aliases w:val="(2)"/>
    <w:basedOn w:val="Normal"/>
    <w:rsid w:val="000A0CB8"/>
    <w:pPr>
      <w:tabs>
        <w:tab w:val="right" w:pos="794"/>
        <w:tab w:val="left" w:pos="964"/>
      </w:tabs>
      <w:spacing w:before="180" w:line="260" w:lineRule="exact"/>
      <w:ind w:left="964" w:hanging="964"/>
      <w:jc w:val="both"/>
    </w:pPr>
  </w:style>
  <w:style w:type="paragraph" w:customStyle="1" w:styleId="ZP1">
    <w:name w:val="ZP1"/>
    <w:basedOn w:val="Normal"/>
    <w:rsid w:val="000A0CB8"/>
    <w:pPr>
      <w:keepNext/>
      <w:tabs>
        <w:tab w:val="right" w:pos="1191"/>
      </w:tabs>
      <w:spacing w:before="60" w:line="260" w:lineRule="exact"/>
      <w:ind w:left="1418" w:hanging="1418"/>
      <w:jc w:val="both"/>
    </w:pPr>
  </w:style>
  <w:style w:type="paragraph" w:customStyle="1" w:styleId="ZRcN">
    <w:name w:val="ZRcN"/>
    <w:basedOn w:val="Rc"/>
    <w:rsid w:val="000A0CB8"/>
    <w:pPr>
      <w:keepNext/>
    </w:pPr>
  </w:style>
  <w:style w:type="character" w:customStyle="1" w:styleId="Heading7Char">
    <w:name w:val="Heading 7 Char"/>
    <w:basedOn w:val="DefaultParagraphFont"/>
    <w:link w:val="Heading7"/>
    <w:uiPriority w:val="9"/>
    <w:semiHidden/>
    <w:rsid w:val="000654EF"/>
    <w:rPr>
      <w:rFonts w:asciiTheme="majorHAnsi" w:eastAsiaTheme="majorEastAsia" w:hAnsiTheme="majorHAnsi" w:cstheme="majorBidi"/>
      <w:i/>
      <w:iCs/>
      <w:color w:val="404040" w:themeColor="text1" w:themeTint="BF"/>
      <w:sz w:val="24"/>
    </w:rPr>
  </w:style>
  <w:style w:type="paragraph" w:customStyle="1" w:styleId="tabletext">
    <w:name w:val="table text"/>
    <w:basedOn w:val="base-text-paragraph"/>
    <w:rsid w:val="000654EF"/>
    <w:pPr>
      <w:numPr>
        <w:numId w:val="0"/>
      </w:numPr>
      <w:tabs>
        <w:tab w:val="left" w:pos="1987"/>
      </w:tabs>
      <w:spacing w:before="40" w:after="40"/>
    </w:pPr>
  </w:style>
  <w:style w:type="character" w:customStyle="1" w:styleId="TableHeadingoutsidetableChar">
    <w:name w:val="Table Heading (outside table) Char"/>
    <w:basedOn w:val="DefaultParagraphFont"/>
    <w:link w:val="TableHeadingoutsidetable"/>
    <w:rsid w:val="000654EF"/>
    <w:rPr>
      <w:b/>
      <w:sz w:val="22"/>
    </w:rPr>
  </w:style>
  <w:style w:type="paragraph" w:customStyle="1" w:styleId="ZR2">
    <w:name w:val="ZR2"/>
    <w:basedOn w:val="R2"/>
    <w:rsid w:val="0026046A"/>
    <w:pPr>
      <w:keepNext/>
    </w:pPr>
  </w:style>
  <w:style w:type="paragraph" w:customStyle="1" w:styleId="R1">
    <w:name w:val="R1"/>
    <w:aliases w:val="1. or 1.(1)"/>
    <w:basedOn w:val="Normal"/>
    <w:next w:val="R2"/>
    <w:rsid w:val="00501948"/>
    <w:pPr>
      <w:tabs>
        <w:tab w:val="right" w:pos="794"/>
        <w:tab w:val="left" w:pos="964"/>
      </w:tabs>
      <w:spacing w:before="120" w:line="260" w:lineRule="exact"/>
      <w:ind w:left="964" w:hanging="964"/>
      <w:jc w:val="both"/>
    </w:pPr>
  </w:style>
  <w:style w:type="paragraph" w:customStyle="1" w:styleId="definition">
    <w:name w:val="definition"/>
    <w:basedOn w:val="Normal"/>
    <w:rsid w:val="00501948"/>
    <w:pPr>
      <w:spacing w:before="80" w:line="260" w:lineRule="exact"/>
      <w:ind w:left="964"/>
      <w:jc w:val="both"/>
    </w:pPr>
  </w:style>
  <w:style w:type="paragraph" w:styleId="Header">
    <w:name w:val="header"/>
    <w:basedOn w:val="Normal"/>
    <w:link w:val="HeaderChar"/>
    <w:uiPriority w:val="99"/>
    <w:rsid w:val="00833338"/>
    <w:pPr>
      <w:tabs>
        <w:tab w:val="center" w:pos="4153"/>
        <w:tab w:val="right" w:pos="8306"/>
      </w:tabs>
    </w:pPr>
    <w:rPr>
      <w:sz w:val="20"/>
      <w:lang w:val="en-US" w:eastAsia="en-US"/>
    </w:rPr>
  </w:style>
  <w:style w:type="character" w:customStyle="1" w:styleId="HeaderChar">
    <w:name w:val="Header Char"/>
    <w:basedOn w:val="DefaultParagraphFont"/>
    <w:link w:val="Header"/>
    <w:uiPriority w:val="99"/>
    <w:rsid w:val="00833338"/>
    <w:rPr>
      <w:lang w:val="en-US" w:eastAsia="en-US"/>
    </w:rPr>
  </w:style>
  <w:style w:type="character" w:styleId="PlaceholderText">
    <w:name w:val="Placeholder Text"/>
    <w:basedOn w:val="DefaultParagraphFont"/>
    <w:uiPriority w:val="99"/>
    <w:semiHidden/>
    <w:rsid w:val="004635F7"/>
    <w:rPr>
      <w:color w:val="808080"/>
    </w:rPr>
  </w:style>
  <w:style w:type="character" w:styleId="CommentReference">
    <w:name w:val="annotation reference"/>
    <w:basedOn w:val="DefaultParagraphFont"/>
    <w:uiPriority w:val="99"/>
    <w:semiHidden/>
    <w:unhideWhenUsed/>
    <w:rsid w:val="009218E4"/>
    <w:rPr>
      <w:sz w:val="16"/>
      <w:szCs w:val="16"/>
    </w:rPr>
  </w:style>
  <w:style w:type="paragraph" w:styleId="CommentText">
    <w:name w:val="annotation text"/>
    <w:basedOn w:val="Normal"/>
    <w:link w:val="CommentTextChar"/>
    <w:uiPriority w:val="99"/>
    <w:semiHidden/>
    <w:unhideWhenUsed/>
    <w:rsid w:val="009218E4"/>
    <w:rPr>
      <w:sz w:val="20"/>
    </w:rPr>
  </w:style>
  <w:style w:type="character" w:customStyle="1" w:styleId="CommentTextChar">
    <w:name w:val="Comment Text Char"/>
    <w:basedOn w:val="DefaultParagraphFont"/>
    <w:link w:val="CommentText"/>
    <w:uiPriority w:val="99"/>
    <w:semiHidden/>
    <w:rsid w:val="009218E4"/>
  </w:style>
  <w:style w:type="paragraph" w:styleId="CommentSubject">
    <w:name w:val="annotation subject"/>
    <w:basedOn w:val="CommentText"/>
    <w:next w:val="CommentText"/>
    <w:link w:val="CommentSubjectChar"/>
    <w:uiPriority w:val="99"/>
    <w:semiHidden/>
    <w:unhideWhenUsed/>
    <w:rsid w:val="009218E4"/>
    <w:rPr>
      <w:b/>
      <w:bCs/>
    </w:rPr>
  </w:style>
  <w:style w:type="character" w:customStyle="1" w:styleId="CommentSubjectChar">
    <w:name w:val="Comment Subject Char"/>
    <w:basedOn w:val="CommentTextChar"/>
    <w:link w:val="CommentSubject"/>
    <w:uiPriority w:val="99"/>
    <w:semiHidden/>
    <w:rsid w:val="009218E4"/>
    <w:rPr>
      <w:b/>
      <w:bCs/>
    </w:rPr>
  </w:style>
  <w:style w:type="paragraph" w:styleId="Revision">
    <w:name w:val="Revision"/>
    <w:hidden/>
    <w:uiPriority w:val="99"/>
    <w:semiHidden/>
    <w:rsid w:val="001247F6"/>
    <w:rPr>
      <w:sz w:val="24"/>
    </w:rPr>
  </w:style>
  <w:style w:type="paragraph" w:customStyle="1" w:styleId="OutlineNumbered1">
    <w:name w:val="Outline Numbered 1"/>
    <w:basedOn w:val="Normal"/>
    <w:link w:val="OutlineNumbered1Char"/>
    <w:rsid w:val="00106742"/>
    <w:pPr>
      <w:numPr>
        <w:numId w:val="18"/>
      </w:numPr>
      <w:tabs>
        <w:tab w:val="left" w:pos="1701"/>
        <w:tab w:val="right" w:pos="9072"/>
      </w:tabs>
      <w:spacing w:line="240" w:lineRule="exact"/>
      <w:ind w:right="91"/>
    </w:pPr>
  </w:style>
  <w:style w:type="character" w:customStyle="1" w:styleId="OutlineNumbered1Char">
    <w:name w:val="Outline Numbered 1 Char"/>
    <w:basedOn w:val="DefaultParagraphFont"/>
    <w:link w:val="OutlineNumbered1"/>
    <w:rsid w:val="00106742"/>
    <w:rPr>
      <w:sz w:val="24"/>
    </w:rPr>
  </w:style>
  <w:style w:type="paragraph" w:customStyle="1" w:styleId="OutlineNumbered2">
    <w:name w:val="Outline Numbered 2"/>
    <w:basedOn w:val="Normal"/>
    <w:link w:val="OutlineNumbered2Char"/>
    <w:rsid w:val="00106742"/>
    <w:pPr>
      <w:numPr>
        <w:ilvl w:val="1"/>
        <w:numId w:val="18"/>
      </w:numPr>
      <w:tabs>
        <w:tab w:val="left" w:pos="1701"/>
        <w:tab w:val="right" w:pos="9072"/>
      </w:tabs>
      <w:spacing w:line="240" w:lineRule="exact"/>
      <w:ind w:right="91"/>
    </w:pPr>
  </w:style>
  <w:style w:type="character" w:customStyle="1" w:styleId="OutlineNumbered2Char">
    <w:name w:val="Outline Numbered 2 Char"/>
    <w:basedOn w:val="DefaultParagraphFont"/>
    <w:link w:val="OutlineNumbered2"/>
    <w:rsid w:val="00106742"/>
    <w:rPr>
      <w:sz w:val="24"/>
    </w:rPr>
  </w:style>
  <w:style w:type="paragraph" w:customStyle="1" w:styleId="OutlineNumbered3">
    <w:name w:val="Outline Numbered 3"/>
    <w:basedOn w:val="Normal"/>
    <w:link w:val="OutlineNumbered3Char"/>
    <w:rsid w:val="00106742"/>
    <w:pPr>
      <w:numPr>
        <w:ilvl w:val="2"/>
        <w:numId w:val="18"/>
      </w:numPr>
      <w:tabs>
        <w:tab w:val="right" w:pos="9072"/>
      </w:tabs>
      <w:spacing w:line="240" w:lineRule="exact"/>
      <w:ind w:right="91"/>
    </w:pPr>
  </w:style>
  <w:style w:type="character" w:customStyle="1" w:styleId="OutlineNumbered3Char">
    <w:name w:val="Outline Numbered 3 Char"/>
    <w:basedOn w:val="DefaultParagraphFont"/>
    <w:link w:val="OutlineNumbered3"/>
    <w:rsid w:val="00106742"/>
    <w:rPr>
      <w:sz w:val="24"/>
    </w:rPr>
  </w:style>
  <w:style w:type="character" w:customStyle="1" w:styleId="exampletextChar">
    <w:name w:val="example text Char"/>
    <w:basedOn w:val="DefaultParagraphFont"/>
    <w:link w:val="exampletext"/>
    <w:locked/>
    <w:rsid w:val="007056DF"/>
    <w:rPr>
      <w:sz w:val="22"/>
    </w:rPr>
  </w:style>
  <w:style w:type="paragraph" w:styleId="Footer">
    <w:name w:val="footer"/>
    <w:basedOn w:val="Normal"/>
    <w:link w:val="FooterChar"/>
    <w:uiPriority w:val="99"/>
    <w:unhideWhenUsed/>
    <w:rsid w:val="009A526B"/>
    <w:pPr>
      <w:tabs>
        <w:tab w:val="center" w:pos="4513"/>
        <w:tab w:val="right" w:pos="9026"/>
      </w:tabs>
    </w:pPr>
  </w:style>
  <w:style w:type="character" w:customStyle="1" w:styleId="FooterChar">
    <w:name w:val="Footer Char"/>
    <w:basedOn w:val="DefaultParagraphFont"/>
    <w:link w:val="Footer"/>
    <w:uiPriority w:val="99"/>
    <w:rsid w:val="009A526B"/>
    <w:rPr>
      <w:sz w:val="24"/>
    </w:rPr>
  </w:style>
  <w:style w:type="paragraph" w:customStyle="1" w:styleId="EMsubheading">
    <w:name w:val="EM subheading"/>
    <w:basedOn w:val="base-text-paragraph"/>
    <w:link w:val="EMsubheadingChar"/>
    <w:qFormat/>
    <w:rsid w:val="00FF12EB"/>
    <w:pPr>
      <w:numPr>
        <w:numId w:val="0"/>
      </w:numPr>
    </w:pPr>
    <w:rPr>
      <w:rFonts w:ascii="Helvetica" w:hAnsi="Helvetica" w:cs="Helvetica"/>
      <w:b/>
    </w:rPr>
  </w:style>
  <w:style w:type="paragraph" w:customStyle="1" w:styleId="EMpara">
    <w:name w:val="EM para"/>
    <w:basedOn w:val="Normal"/>
    <w:link w:val="EMparaChar"/>
    <w:qFormat/>
    <w:rsid w:val="00FF12EB"/>
    <w:pPr>
      <w:spacing w:before="120" w:after="120"/>
    </w:pPr>
    <w:rPr>
      <w:szCs w:val="24"/>
    </w:rPr>
  </w:style>
  <w:style w:type="character" w:customStyle="1" w:styleId="EMsubheadingChar">
    <w:name w:val="EM subheading Char"/>
    <w:basedOn w:val="base-text-paragraphChar"/>
    <w:link w:val="EMsubheading"/>
    <w:rsid w:val="00FF12EB"/>
    <w:rPr>
      <w:rFonts w:ascii="Helvetica" w:hAnsi="Helvetica" w:cs="Helvetica"/>
      <w:b/>
      <w:sz w:val="22"/>
    </w:rPr>
  </w:style>
  <w:style w:type="paragraph" w:customStyle="1" w:styleId="EMsubeading2">
    <w:name w:val="EM subeading 2"/>
    <w:basedOn w:val="Heading4"/>
    <w:link w:val="EMsubeading2Char"/>
    <w:qFormat/>
    <w:rsid w:val="00B24E2C"/>
    <w:rPr>
      <w:b/>
      <w:sz w:val="24"/>
      <w:szCs w:val="24"/>
    </w:rPr>
  </w:style>
  <w:style w:type="character" w:customStyle="1" w:styleId="EMparaChar">
    <w:name w:val="EM para Char"/>
    <w:basedOn w:val="DefaultParagraphFont"/>
    <w:link w:val="EMpara"/>
    <w:rsid w:val="00FF12EB"/>
    <w:rPr>
      <w:sz w:val="24"/>
      <w:szCs w:val="24"/>
    </w:rPr>
  </w:style>
  <w:style w:type="character" w:customStyle="1" w:styleId="Heading4Char">
    <w:name w:val="Heading 4 Char"/>
    <w:basedOn w:val="DefaultParagraphFont"/>
    <w:link w:val="Heading4"/>
    <w:rsid w:val="00B24E2C"/>
    <w:rPr>
      <w:i/>
    </w:rPr>
  </w:style>
  <w:style w:type="character" w:customStyle="1" w:styleId="EMsubeading2Char">
    <w:name w:val="EM subeading 2 Char"/>
    <w:basedOn w:val="Heading4Char"/>
    <w:link w:val="EMsubeading2"/>
    <w:rsid w:val="00B24E2C"/>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BF29D0"/>
    <w:rPr>
      <w:sz w:val="24"/>
    </w:rPr>
  </w:style>
  <w:style w:type="paragraph" w:styleId="Heading1">
    <w:name w:val="heading 1"/>
    <w:basedOn w:val="Normal"/>
    <w:next w:val="Normal"/>
    <w:qFormat/>
    <w:pPr>
      <w:keepNext/>
      <w:spacing w:before="240" w:after="360"/>
      <w:outlineLvl w:val="0"/>
    </w:pPr>
    <w:rPr>
      <w:b/>
      <w:caps/>
      <w:sz w:val="28"/>
    </w:rPr>
  </w:style>
  <w:style w:type="paragraph" w:styleId="Heading2">
    <w:name w:val="heading 2"/>
    <w:basedOn w:val="Normal"/>
    <w:next w:val="Normal"/>
    <w:qFormat/>
    <w:pPr>
      <w:keepNext/>
      <w:spacing w:before="120"/>
      <w:outlineLvl w:val="1"/>
    </w:pPr>
    <w:rPr>
      <w:b/>
      <w:caps/>
    </w:rPr>
  </w:style>
  <w:style w:type="paragraph" w:styleId="Heading3">
    <w:name w:val="heading 3"/>
    <w:basedOn w:val="Normal"/>
    <w:next w:val="Normal"/>
    <w:qFormat/>
    <w:pPr>
      <w:keepNext/>
      <w:spacing w:before="60"/>
      <w:outlineLvl w:val="2"/>
    </w:pPr>
    <w:rPr>
      <w:b/>
    </w:rPr>
  </w:style>
  <w:style w:type="paragraph" w:styleId="Heading4">
    <w:name w:val="heading 4"/>
    <w:basedOn w:val="Normal"/>
    <w:next w:val="Normal"/>
    <w:link w:val="Heading4Char"/>
    <w:qFormat/>
    <w:pPr>
      <w:keepNext/>
      <w:outlineLvl w:val="3"/>
    </w:pPr>
    <w:rPr>
      <w:i/>
      <w:sz w:val="20"/>
    </w:rPr>
  </w:style>
  <w:style w:type="paragraph" w:styleId="Heading6">
    <w:name w:val="heading 6"/>
    <w:basedOn w:val="Normal"/>
    <w:next w:val="Normal"/>
    <w:qFormat/>
    <w:pPr>
      <w:keepNext/>
      <w:spacing w:before="240"/>
      <w:ind w:right="91"/>
      <w:outlineLvl w:val="5"/>
    </w:pPr>
    <w:rPr>
      <w:u w:val="single"/>
    </w:rPr>
  </w:style>
  <w:style w:type="paragraph" w:styleId="Heading7">
    <w:name w:val="heading 7"/>
    <w:basedOn w:val="Normal"/>
    <w:next w:val="Normal"/>
    <w:link w:val="Heading7Char"/>
    <w:uiPriority w:val="9"/>
    <w:semiHidden/>
    <w:unhideWhenUsed/>
    <w:qFormat/>
    <w:rsid w:val="000654E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style>
  <w:style w:type="paragraph" w:customStyle="1" w:styleId="ChartMainHeading">
    <w:name w:val="Chart Main Heading"/>
    <w:basedOn w:val="SingleParagraph"/>
    <w:next w:val="Normal"/>
    <w:pPr>
      <w:jc w:val="center"/>
    </w:pPr>
    <w:rPr>
      <w:b/>
      <w:caps/>
    </w:rPr>
  </w:style>
  <w:style w:type="paragraph" w:customStyle="1" w:styleId="ChartSecondHeading">
    <w:name w:val="Chart Second Heading"/>
    <w:basedOn w:val="SingleParagraph"/>
    <w:next w:val="Normal"/>
    <w:pPr>
      <w:jc w:val="center"/>
    </w:pPr>
    <w:rPr>
      <w:b/>
    </w:rPr>
  </w:style>
  <w:style w:type="paragraph" w:customStyle="1" w:styleId="TableMainHeading">
    <w:name w:val="Table Main Heading"/>
    <w:basedOn w:val="Heading2"/>
    <w:next w:val="Normal"/>
    <w:pPr>
      <w:spacing w:before="240"/>
      <w:outlineLvl w:val="9"/>
    </w:pPr>
    <w:rPr>
      <w:rFonts w:ascii="Helvetica" w:hAnsi="Helvetica"/>
      <w:b w:val="0"/>
      <w:caps w:val="0"/>
      <w:spacing w:val="30"/>
      <w:sz w:val="22"/>
    </w:rPr>
  </w:style>
  <w:style w:type="paragraph" w:customStyle="1" w:styleId="Bullet">
    <w:name w:val="Bullet"/>
    <w:basedOn w:val="Normal"/>
    <w:link w:val="BulletChar"/>
    <w:rsid w:val="00C523DF"/>
    <w:pPr>
      <w:numPr>
        <w:numId w:val="1"/>
      </w:numPr>
      <w:tabs>
        <w:tab w:val="right" w:pos="9072"/>
      </w:tabs>
      <w:ind w:right="91"/>
    </w:pPr>
    <w:rPr>
      <w:szCs w:val="24"/>
    </w:rPr>
  </w:style>
  <w:style w:type="character" w:customStyle="1" w:styleId="BulletChar">
    <w:name w:val="Bullet Char"/>
    <w:basedOn w:val="DefaultParagraphFont"/>
    <w:link w:val="Bullet"/>
    <w:rsid w:val="00C523DF"/>
    <w:rPr>
      <w:sz w:val="24"/>
      <w:szCs w:val="24"/>
    </w:rPr>
  </w:style>
  <w:style w:type="paragraph" w:customStyle="1" w:styleId="Dash">
    <w:name w:val="Dash"/>
    <w:basedOn w:val="Normal"/>
    <w:link w:val="DashChar"/>
    <w:rsid w:val="00C523DF"/>
    <w:pPr>
      <w:numPr>
        <w:ilvl w:val="1"/>
        <w:numId w:val="1"/>
      </w:numPr>
      <w:tabs>
        <w:tab w:val="right" w:pos="9072"/>
      </w:tabs>
      <w:ind w:right="91"/>
    </w:pPr>
    <w:rPr>
      <w:szCs w:val="24"/>
    </w:rPr>
  </w:style>
  <w:style w:type="character" w:customStyle="1" w:styleId="DashChar">
    <w:name w:val="Dash Char"/>
    <w:basedOn w:val="DefaultParagraphFont"/>
    <w:link w:val="Dash"/>
    <w:rsid w:val="00C523DF"/>
    <w:rPr>
      <w:sz w:val="24"/>
      <w:szCs w:val="24"/>
    </w:rPr>
  </w:style>
  <w:style w:type="paragraph" w:customStyle="1" w:styleId="DoubleDot">
    <w:name w:val="Double Dot"/>
    <w:basedOn w:val="Normal"/>
    <w:link w:val="DoubleDotChar"/>
    <w:rsid w:val="00C523DF"/>
    <w:pPr>
      <w:numPr>
        <w:ilvl w:val="2"/>
        <w:numId w:val="1"/>
      </w:numPr>
      <w:tabs>
        <w:tab w:val="right" w:pos="9072"/>
      </w:tabs>
      <w:ind w:right="91"/>
    </w:pPr>
    <w:rPr>
      <w:szCs w:val="24"/>
    </w:rPr>
  </w:style>
  <w:style w:type="character" w:customStyle="1" w:styleId="DoubleDotChar">
    <w:name w:val="Double Dot Char"/>
    <w:basedOn w:val="DefaultParagraphFont"/>
    <w:link w:val="DoubleDot"/>
    <w:rsid w:val="00C523DF"/>
    <w:rPr>
      <w:sz w:val="24"/>
      <w:szCs w:val="24"/>
    </w:rPr>
  </w:style>
  <w:style w:type="paragraph" w:customStyle="1" w:styleId="dotpoint">
    <w:name w:val="dot point"/>
    <w:basedOn w:val="Normal"/>
    <w:rsid w:val="00BF5481"/>
    <w:pPr>
      <w:spacing w:before="120" w:after="120"/>
    </w:pPr>
    <w:rPr>
      <w:sz w:val="22"/>
    </w:rPr>
  </w:style>
  <w:style w:type="paragraph" w:customStyle="1" w:styleId="dotpoint2">
    <w:name w:val="dot point 2"/>
    <w:basedOn w:val="Normal"/>
    <w:rsid w:val="00BF5481"/>
    <w:pPr>
      <w:spacing w:before="120" w:after="120"/>
    </w:pPr>
    <w:rPr>
      <w:sz w:val="22"/>
    </w:rPr>
  </w:style>
  <w:style w:type="paragraph" w:customStyle="1" w:styleId="exampletext">
    <w:name w:val="example text"/>
    <w:basedOn w:val="Normal"/>
    <w:link w:val="exampletextChar"/>
    <w:rsid w:val="00BF5481"/>
    <w:pPr>
      <w:spacing w:before="120" w:after="120"/>
      <w:ind w:left="1985"/>
    </w:pPr>
    <w:rPr>
      <w:sz w:val="22"/>
    </w:rPr>
  </w:style>
  <w:style w:type="paragraph" w:customStyle="1" w:styleId="base-text-paragraph">
    <w:name w:val="base-text-paragraph"/>
    <w:link w:val="base-text-paragraphChar"/>
    <w:rsid w:val="0010538C"/>
    <w:pPr>
      <w:numPr>
        <w:numId w:val="3"/>
      </w:numPr>
      <w:spacing w:before="120" w:after="120"/>
    </w:pPr>
    <w:rPr>
      <w:sz w:val="22"/>
    </w:rPr>
  </w:style>
  <w:style w:type="character" w:styleId="FootnoteReference">
    <w:name w:val="footnote reference"/>
    <w:basedOn w:val="DefaultParagraphFont"/>
    <w:rsid w:val="0010538C"/>
    <w:rPr>
      <w:vertAlign w:val="superscript"/>
    </w:rPr>
  </w:style>
  <w:style w:type="paragraph" w:styleId="FootnoteText">
    <w:name w:val="footnote text"/>
    <w:basedOn w:val="Normal"/>
    <w:link w:val="FootnoteTextChar"/>
    <w:rsid w:val="0010538C"/>
    <w:pPr>
      <w:spacing w:before="40" w:after="40"/>
      <w:ind w:left="284" w:hanging="284"/>
    </w:pPr>
    <w:rPr>
      <w:sz w:val="20"/>
    </w:rPr>
  </w:style>
  <w:style w:type="character" w:customStyle="1" w:styleId="FootnoteTextChar">
    <w:name w:val="Footnote Text Char"/>
    <w:basedOn w:val="DefaultParagraphFont"/>
    <w:link w:val="FootnoteText"/>
    <w:rsid w:val="0010538C"/>
  </w:style>
  <w:style w:type="paragraph" w:customStyle="1" w:styleId="paraindent">
    <w:name w:val="para indent"/>
    <w:basedOn w:val="base-text-paragraph"/>
    <w:rsid w:val="0010538C"/>
  </w:style>
  <w:style w:type="paragraph" w:customStyle="1" w:styleId="Step">
    <w:name w:val="Step"/>
    <w:basedOn w:val="Normal"/>
    <w:rsid w:val="0010538C"/>
    <w:pPr>
      <w:spacing w:before="120" w:after="120"/>
      <w:ind w:left="1928" w:hanging="794"/>
    </w:pPr>
    <w:rPr>
      <w:sz w:val="22"/>
    </w:rPr>
  </w:style>
  <w:style w:type="character" w:styleId="Hyperlink">
    <w:name w:val="Hyperlink"/>
    <w:basedOn w:val="DefaultParagraphFont"/>
    <w:rsid w:val="0010538C"/>
    <w:rPr>
      <w:color w:val="000000"/>
      <w:u w:val="none"/>
    </w:rPr>
  </w:style>
  <w:style w:type="paragraph" w:styleId="BalloonText">
    <w:name w:val="Balloon Text"/>
    <w:basedOn w:val="Normal"/>
    <w:link w:val="BalloonTextChar"/>
    <w:uiPriority w:val="99"/>
    <w:semiHidden/>
    <w:unhideWhenUsed/>
    <w:rsid w:val="0010538C"/>
    <w:rPr>
      <w:rFonts w:ascii="Tahoma" w:hAnsi="Tahoma" w:cs="Tahoma"/>
      <w:sz w:val="16"/>
      <w:szCs w:val="16"/>
    </w:rPr>
  </w:style>
  <w:style w:type="character" w:customStyle="1" w:styleId="BalloonTextChar">
    <w:name w:val="Balloon Text Char"/>
    <w:basedOn w:val="DefaultParagraphFont"/>
    <w:link w:val="BalloonText"/>
    <w:uiPriority w:val="99"/>
    <w:semiHidden/>
    <w:rsid w:val="0010538C"/>
    <w:rPr>
      <w:rFonts w:ascii="Tahoma" w:hAnsi="Tahoma" w:cs="Tahoma"/>
      <w:sz w:val="16"/>
      <w:szCs w:val="16"/>
    </w:rPr>
  </w:style>
  <w:style w:type="paragraph" w:styleId="TOC2">
    <w:name w:val="toc 2"/>
    <w:basedOn w:val="TOC1"/>
    <w:next w:val="Normal"/>
    <w:autoRedefine/>
    <w:uiPriority w:val="39"/>
    <w:unhideWhenUsed/>
    <w:rsid w:val="00CD4276"/>
    <w:pPr>
      <w:ind w:left="0" w:firstLine="0"/>
    </w:pPr>
    <w:rPr>
      <w:rFonts w:ascii="Times New Roman" w:hAnsi="Times New Roman"/>
      <w:b w:val="0"/>
      <w:szCs w:val="24"/>
      <w:u w:val="single"/>
    </w:rPr>
  </w:style>
  <w:style w:type="paragraph" w:styleId="TOC1">
    <w:name w:val="toc 1"/>
    <w:basedOn w:val="Heading2"/>
    <w:next w:val="TOC2"/>
    <w:autoRedefine/>
    <w:uiPriority w:val="39"/>
    <w:unhideWhenUsed/>
    <w:rsid w:val="00951F8C"/>
    <w:pPr>
      <w:tabs>
        <w:tab w:val="right" w:leader="dot" w:pos="7711"/>
      </w:tabs>
      <w:spacing w:before="240" w:after="120"/>
      <w:ind w:left="1134" w:right="851" w:hanging="1134"/>
    </w:pPr>
    <w:rPr>
      <w:rFonts w:ascii="Helvetica" w:hAnsi="Helvetica"/>
      <w:caps w:val="0"/>
      <w:noProof/>
    </w:rPr>
  </w:style>
  <w:style w:type="paragraph" w:styleId="TOCHeading">
    <w:name w:val="TOC Heading"/>
    <w:basedOn w:val="Normal"/>
    <w:next w:val="Normal"/>
    <w:unhideWhenUsed/>
    <w:qFormat/>
    <w:rsid w:val="001D1574"/>
    <w:pPr>
      <w:pBdr>
        <w:top w:val="single" w:sz="4" w:space="1" w:color="auto"/>
        <w:bottom w:val="single" w:sz="4" w:space="1" w:color="auto"/>
      </w:pBdr>
      <w:spacing w:before="240" w:after="240" w:line="260" w:lineRule="atLeast"/>
    </w:pPr>
    <w:rPr>
      <w:rFonts w:ascii="Helvetica" w:hAnsi="Helvetica"/>
      <w:b/>
      <w:i/>
      <w:kern w:val="28"/>
      <w:sz w:val="38"/>
    </w:rPr>
  </w:style>
  <w:style w:type="paragraph" w:customStyle="1" w:styleId="ChapterHeading">
    <w:name w:val="Chapter Heading"/>
    <w:next w:val="Heading2"/>
    <w:rsid w:val="001D1574"/>
    <w:pPr>
      <w:pBdr>
        <w:top w:val="single" w:sz="4" w:space="1" w:color="auto"/>
        <w:bottom w:val="single" w:sz="4" w:space="1" w:color="auto"/>
      </w:pBdr>
      <w:tabs>
        <w:tab w:val="num" w:pos="1134"/>
      </w:tabs>
      <w:spacing w:before="240" w:line="260" w:lineRule="atLeast"/>
    </w:pPr>
    <w:rPr>
      <w:rFonts w:ascii="Helvetica" w:hAnsi="Helvetica"/>
      <w:b/>
      <w:i/>
      <w:sz w:val="38"/>
    </w:rPr>
  </w:style>
  <w:style w:type="paragraph" w:customStyle="1" w:styleId="TableHeadingoutsidetable">
    <w:name w:val="Table Heading (outside table)"/>
    <w:basedOn w:val="Heading4"/>
    <w:link w:val="TableHeadingoutsidetableChar"/>
    <w:rsid w:val="001D1574"/>
    <w:pPr>
      <w:tabs>
        <w:tab w:val="num" w:pos="360"/>
      </w:tabs>
      <w:spacing w:before="120" w:after="120"/>
    </w:pPr>
    <w:rPr>
      <w:b/>
      <w:i w:val="0"/>
      <w:sz w:val="22"/>
    </w:rPr>
  </w:style>
  <w:style w:type="character" w:customStyle="1" w:styleId="base-text-paragraphChar">
    <w:name w:val="base-text-paragraph Char"/>
    <w:basedOn w:val="DefaultParagraphFont"/>
    <w:link w:val="base-text-paragraph"/>
    <w:locked/>
    <w:rsid w:val="001D1574"/>
    <w:rPr>
      <w:sz w:val="22"/>
    </w:rPr>
  </w:style>
  <w:style w:type="paragraph" w:customStyle="1" w:styleId="ExampleHeading">
    <w:name w:val="Example Heading"/>
    <w:basedOn w:val="Normal"/>
    <w:next w:val="Normal"/>
    <w:rsid w:val="001D1574"/>
    <w:pPr>
      <w:keepNext/>
      <w:spacing w:before="120" w:after="120"/>
      <w:ind w:left="1134"/>
    </w:pPr>
    <w:rPr>
      <w:b/>
      <w:sz w:val="22"/>
    </w:rPr>
  </w:style>
  <w:style w:type="paragraph" w:customStyle="1" w:styleId="Diagram">
    <w:name w:val="Diagram"/>
    <w:basedOn w:val="Normal"/>
    <w:next w:val="Normal"/>
    <w:rsid w:val="001D1574"/>
    <w:pPr>
      <w:keepNext/>
      <w:ind w:left="1134"/>
    </w:pPr>
    <w:rPr>
      <w:b/>
      <w:sz w:val="22"/>
    </w:rPr>
  </w:style>
  <w:style w:type="character" w:customStyle="1" w:styleId="Font30point">
    <w:name w:val="Font 30 point"/>
    <w:basedOn w:val="DefaultParagraphFont"/>
    <w:rsid w:val="001D1574"/>
    <w:rPr>
      <w:rFonts w:ascii="Times New Roman" w:hAnsi="Times New Roman" w:cs="Times New Roman" w:hint="default"/>
      <w:sz w:val="60"/>
    </w:rPr>
  </w:style>
  <w:style w:type="numbering" w:customStyle="1" w:styleId="ChapterList">
    <w:name w:val="ChapterList"/>
    <w:uiPriority w:val="99"/>
    <w:rsid w:val="001D1574"/>
    <w:pPr>
      <w:numPr>
        <w:numId w:val="4"/>
      </w:numPr>
    </w:pPr>
  </w:style>
  <w:style w:type="paragraph" w:customStyle="1" w:styleId="BTPwithextraspacing">
    <w:name w:val="BTP with extra spacing"/>
    <w:basedOn w:val="Normal"/>
    <w:rsid w:val="001D1574"/>
    <w:pPr>
      <w:spacing w:before="360" w:after="360"/>
      <w:ind w:left="1134"/>
    </w:pPr>
    <w:rPr>
      <w:sz w:val="22"/>
    </w:rPr>
  </w:style>
  <w:style w:type="paragraph" w:customStyle="1" w:styleId="Chapterheadingsubdocument">
    <w:name w:val="Chapter heading subdocument"/>
    <w:basedOn w:val="Normal"/>
    <w:next w:val="Normal"/>
    <w:rsid w:val="001D1574"/>
    <w:pPr>
      <w:pBdr>
        <w:top w:val="single" w:sz="4" w:space="1" w:color="auto"/>
        <w:bottom w:val="single" w:sz="4" w:space="1" w:color="auto"/>
      </w:pBdr>
      <w:spacing w:before="240" w:line="260" w:lineRule="atLeast"/>
    </w:pPr>
    <w:rPr>
      <w:rFonts w:ascii="Helvetica" w:hAnsi="Helvetica"/>
      <w:b/>
      <w:i/>
      <w:sz w:val="38"/>
    </w:rPr>
  </w:style>
  <w:style w:type="paragraph" w:customStyle="1" w:styleId="tableheaderwithintable">
    <w:name w:val="table header (within table)"/>
    <w:basedOn w:val="Heading4"/>
    <w:rsid w:val="001D1574"/>
    <w:pPr>
      <w:spacing w:before="60" w:after="60"/>
      <w:jc w:val="center"/>
    </w:pPr>
    <w:rPr>
      <w:b/>
    </w:rPr>
  </w:style>
  <w:style w:type="numbering" w:customStyle="1" w:styleId="DotPointList">
    <w:name w:val="Dot Point List"/>
    <w:rsid w:val="001D1574"/>
    <w:pPr>
      <w:numPr>
        <w:numId w:val="5"/>
      </w:numPr>
    </w:pPr>
  </w:style>
  <w:style w:type="paragraph" w:customStyle="1" w:styleId="base-text-paragraphnonumbers">
    <w:name w:val="base-text-paragraph no numbers"/>
    <w:basedOn w:val="Normal"/>
    <w:rsid w:val="001D1574"/>
    <w:pPr>
      <w:spacing w:before="120" w:after="120"/>
      <w:ind w:left="1134"/>
    </w:pPr>
    <w:rPr>
      <w:sz w:val="22"/>
    </w:rPr>
  </w:style>
  <w:style w:type="character" w:customStyle="1" w:styleId="BoldItalic">
    <w:name w:val="BoldItalic"/>
    <w:basedOn w:val="DefaultParagraphFont"/>
    <w:rsid w:val="001D1574"/>
    <w:rPr>
      <w:rFonts w:ascii="Times New Roman" w:hAnsi="Times New Roman" w:cs="Times New Roman" w:hint="default"/>
      <w:b/>
      <w:bCs w:val="0"/>
      <w:i/>
      <w:iCs w:val="0"/>
    </w:rPr>
  </w:style>
  <w:style w:type="paragraph" w:customStyle="1" w:styleId="Hiddentext">
    <w:name w:val="Hiddentext"/>
    <w:basedOn w:val="Normal"/>
    <w:rsid w:val="001D1574"/>
    <w:pPr>
      <w:spacing w:before="120" w:after="120"/>
    </w:pPr>
    <w:rPr>
      <w:vanish/>
      <w:sz w:val="22"/>
    </w:rPr>
  </w:style>
  <w:style w:type="character" w:customStyle="1" w:styleId="Referencingstyle">
    <w:name w:val="Referencing style"/>
    <w:basedOn w:val="DefaultParagraphFont"/>
    <w:rsid w:val="001D1574"/>
    <w:rPr>
      <w:rFonts w:ascii="Times New Roman" w:hAnsi="Times New Roman" w:cs="Times New Roman" w:hint="default"/>
      <w:b/>
      <w:bCs w:val="0"/>
      <w:i/>
      <w:iCs w:val="0"/>
      <w:sz w:val="18"/>
    </w:rPr>
  </w:style>
  <w:style w:type="paragraph" w:styleId="ListParagraph">
    <w:name w:val="List Paragraph"/>
    <w:basedOn w:val="Normal"/>
    <w:uiPriority w:val="34"/>
    <w:qFormat/>
    <w:rsid w:val="00BB4108"/>
    <w:pPr>
      <w:ind w:left="720"/>
      <w:contextualSpacing/>
    </w:pPr>
  </w:style>
  <w:style w:type="table" w:styleId="TableGrid">
    <w:name w:val="Table Grid"/>
    <w:basedOn w:val="TableNormal"/>
    <w:rsid w:val="00C4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c">
    <w:name w:val="Rc"/>
    <w:aliases w:val="Rn continued"/>
    <w:basedOn w:val="Normal"/>
    <w:next w:val="Normal"/>
    <w:rsid w:val="00D076DB"/>
    <w:pPr>
      <w:spacing w:before="60" w:line="260" w:lineRule="exact"/>
      <w:ind w:left="964"/>
      <w:jc w:val="both"/>
    </w:pPr>
  </w:style>
  <w:style w:type="paragraph" w:customStyle="1" w:styleId="Formula">
    <w:name w:val="Formula"/>
    <w:basedOn w:val="Normal"/>
    <w:next w:val="Rc"/>
    <w:rsid w:val="00D076DB"/>
    <w:pPr>
      <w:spacing w:before="180" w:after="180"/>
      <w:jc w:val="center"/>
    </w:pPr>
  </w:style>
  <w:style w:type="paragraph" w:customStyle="1" w:styleId="notebullet">
    <w:name w:val="note(bullet)"/>
    <w:basedOn w:val="Normal"/>
    <w:rsid w:val="00D076DB"/>
    <w:pPr>
      <w:numPr>
        <w:numId w:val="6"/>
      </w:numPr>
    </w:pPr>
  </w:style>
  <w:style w:type="paragraph" w:customStyle="1" w:styleId="R2">
    <w:name w:val="R2"/>
    <w:aliases w:val="(2)"/>
    <w:basedOn w:val="Normal"/>
    <w:rsid w:val="000A0CB8"/>
    <w:pPr>
      <w:tabs>
        <w:tab w:val="right" w:pos="794"/>
        <w:tab w:val="left" w:pos="964"/>
      </w:tabs>
      <w:spacing w:before="180" w:line="260" w:lineRule="exact"/>
      <w:ind w:left="964" w:hanging="964"/>
      <w:jc w:val="both"/>
    </w:pPr>
  </w:style>
  <w:style w:type="paragraph" w:customStyle="1" w:styleId="ZP1">
    <w:name w:val="ZP1"/>
    <w:basedOn w:val="Normal"/>
    <w:rsid w:val="000A0CB8"/>
    <w:pPr>
      <w:keepNext/>
      <w:tabs>
        <w:tab w:val="right" w:pos="1191"/>
      </w:tabs>
      <w:spacing w:before="60" w:line="260" w:lineRule="exact"/>
      <w:ind w:left="1418" w:hanging="1418"/>
      <w:jc w:val="both"/>
    </w:pPr>
  </w:style>
  <w:style w:type="paragraph" w:customStyle="1" w:styleId="ZRcN">
    <w:name w:val="ZRcN"/>
    <w:basedOn w:val="Rc"/>
    <w:rsid w:val="000A0CB8"/>
    <w:pPr>
      <w:keepNext/>
    </w:pPr>
  </w:style>
  <w:style w:type="character" w:customStyle="1" w:styleId="Heading7Char">
    <w:name w:val="Heading 7 Char"/>
    <w:basedOn w:val="DefaultParagraphFont"/>
    <w:link w:val="Heading7"/>
    <w:uiPriority w:val="9"/>
    <w:semiHidden/>
    <w:rsid w:val="000654EF"/>
    <w:rPr>
      <w:rFonts w:asciiTheme="majorHAnsi" w:eastAsiaTheme="majorEastAsia" w:hAnsiTheme="majorHAnsi" w:cstheme="majorBidi"/>
      <w:i/>
      <w:iCs/>
      <w:color w:val="404040" w:themeColor="text1" w:themeTint="BF"/>
      <w:sz w:val="24"/>
    </w:rPr>
  </w:style>
  <w:style w:type="paragraph" w:customStyle="1" w:styleId="tabletext">
    <w:name w:val="table text"/>
    <w:basedOn w:val="base-text-paragraph"/>
    <w:rsid w:val="000654EF"/>
    <w:pPr>
      <w:numPr>
        <w:numId w:val="0"/>
      </w:numPr>
      <w:tabs>
        <w:tab w:val="left" w:pos="1987"/>
      </w:tabs>
      <w:spacing w:before="40" w:after="40"/>
    </w:pPr>
  </w:style>
  <w:style w:type="character" w:customStyle="1" w:styleId="TableHeadingoutsidetableChar">
    <w:name w:val="Table Heading (outside table) Char"/>
    <w:basedOn w:val="DefaultParagraphFont"/>
    <w:link w:val="TableHeadingoutsidetable"/>
    <w:rsid w:val="000654EF"/>
    <w:rPr>
      <w:b/>
      <w:sz w:val="22"/>
    </w:rPr>
  </w:style>
  <w:style w:type="paragraph" w:customStyle="1" w:styleId="ZR2">
    <w:name w:val="ZR2"/>
    <w:basedOn w:val="R2"/>
    <w:rsid w:val="0026046A"/>
    <w:pPr>
      <w:keepNext/>
    </w:pPr>
  </w:style>
  <w:style w:type="paragraph" w:customStyle="1" w:styleId="R1">
    <w:name w:val="R1"/>
    <w:aliases w:val="1. or 1.(1)"/>
    <w:basedOn w:val="Normal"/>
    <w:next w:val="R2"/>
    <w:rsid w:val="00501948"/>
    <w:pPr>
      <w:tabs>
        <w:tab w:val="right" w:pos="794"/>
        <w:tab w:val="left" w:pos="964"/>
      </w:tabs>
      <w:spacing w:before="120" w:line="260" w:lineRule="exact"/>
      <w:ind w:left="964" w:hanging="964"/>
      <w:jc w:val="both"/>
    </w:pPr>
  </w:style>
  <w:style w:type="paragraph" w:customStyle="1" w:styleId="definition">
    <w:name w:val="definition"/>
    <w:basedOn w:val="Normal"/>
    <w:rsid w:val="00501948"/>
    <w:pPr>
      <w:spacing w:before="80" w:line="260" w:lineRule="exact"/>
      <w:ind w:left="964"/>
      <w:jc w:val="both"/>
    </w:pPr>
  </w:style>
  <w:style w:type="paragraph" w:styleId="Header">
    <w:name w:val="header"/>
    <w:basedOn w:val="Normal"/>
    <w:link w:val="HeaderChar"/>
    <w:uiPriority w:val="99"/>
    <w:rsid w:val="00833338"/>
    <w:pPr>
      <w:tabs>
        <w:tab w:val="center" w:pos="4153"/>
        <w:tab w:val="right" w:pos="8306"/>
      </w:tabs>
    </w:pPr>
    <w:rPr>
      <w:sz w:val="20"/>
      <w:lang w:val="en-US" w:eastAsia="en-US"/>
    </w:rPr>
  </w:style>
  <w:style w:type="character" w:customStyle="1" w:styleId="HeaderChar">
    <w:name w:val="Header Char"/>
    <w:basedOn w:val="DefaultParagraphFont"/>
    <w:link w:val="Header"/>
    <w:uiPriority w:val="99"/>
    <w:rsid w:val="00833338"/>
    <w:rPr>
      <w:lang w:val="en-US" w:eastAsia="en-US"/>
    </w:rPr>
  </w:style>
  <w:style w:type="character" w:styleId="PlaceholderText">
    <w:name w:val="Placeholder Text"/>
    <w:basedOn w:val="DefaultParagraphFont"/>
    <w:uiPriority w:val="99"/>
    <w:semiHidden/>
    <w:rsid w:val="004635F7"/>
    <w:rPr>
      <w:color w:val="808080"/>
    </w:rPr>
  </w:style>
  <w:style w:type="character" w:styleId="CommentReference">
    <w:name w:val="annotation reference"/>
    <w:basedOn w:val="DefaultParagraphFont"/>
    <w:uiPriority w:val="99"/>
    <w:semiHidden/>
    <w:unhideWhenUsed/>
    <w:rsid w:val="009218E4"/>
    <w:rPr>
      <w:sz w:val="16"/>
      <w:szCs w:val="16"/>
    </w:rPr>
  </w:style>
  <w:style w:type="paragraph" w:styleId="CommentText">
    <w:name w:val="annotation text"/>
    <w:basedOn w:val="Normal"/>
    <w:link w:val="CommentTextChar"/>
    <w:uiPriority w:val="99"/>
    <w:semiHidden/>
    <w:unhideWhenUsed/>
    <w:rsid w:val="009218E4"/>
    <w:rPr>
      <w:sz w:val="20"/>
    </w:rPr>
  </w:style>
  <w:style w:type="character" w:customStyle="1" w:styleId="CommentTextChar">
    <w:name w:val="Comment Text Char"/>
    <w:basedOn w:val="DefaultParagraphFont"/>
    <w:link w:val="CommentText"/>
    <w:uiPriority w:val="99"/>
    <w:semiHidden/>
    <w:rsid w:val="009218E4"/>
  </w:style>
  <w:style w:type="paragraph" w:styleId="CommentSubject">
    <w:name w:val="annotation subject"/>
    <w:basedOn w:val="CommentText"/>
    <w:next w:val="CommentText"/>
    <w:link w:val="CommentSubjectChar"/>
    <w:uiPriority w:val="99"/>
    <w:semiHidden/>
    <w:unhideWhenUsed/>
    <w:rsid w:val="009218E4"/>
    <w:rPr>
      <w:b/>
      <w:bCs/>
    </w:rPr>
  </w:style>
  <w:style w:type="character" w:customStyle="1" w:styleId="CommentSubjectChar">
    <w:name w:val="Comment Subject Char"/>
    <w:basedOn w:val="CommentTextChar"/>
    <w:link w:val="CommentSubject"/>
    <w:uiPriority w:val="99"/>
    <w:semiHidden/>
    <w:rsid w:val="009218E4"/>
    <w:rPr>
      <w:b/>
      <w:bCs/>
    </w:rPr>
  </w:style>
  <w:style w:type="paragraph" w:styleId="Revision">
    <w:name w:val="Revision"/>
    <w:hidden/>
    <w:uiPriority w:val="99"/>
    <w:semiHidden/>
    <w:rsid w:val="001247F6"/>
    <w:rPr>
      <w:sz w:val="24"/>
    </w:rPr>
  </w:style>
  <w:style w:type="paragraph" w:customStyle="1" w:styleId="OutlineNumbered1">
    <w:name w:val="Outline Numbered 1"/>
    <w:basedOn w:val="Normal"/>
    <w:link w:val="OutlineNumbered1Char"/>
    <w:rsid w:val="00106742"/>
    <w:pPr>
      <w:numPr>
        <w:numId w:val="18"/>
      </w:numPr>
      <w:tabs>
        <w:tab w:val="left" w:pos="1701"/>
        <w:tab w:val="right" w:pos="9072"/>
      </w:tabs>
      <w:spacing w:line="240" w:lineRule="exact"/>
      <w:ind w:right="91"/>
    </w:pPr>
  </w:style>
  <w:style w:type="character" w:customStyle="1" w:styleId="OutlineNumbered1Char">
    <w:name w:val="Outline Numbered 1 Char"/>
    <w:basedOn w:val="DefaultParagraphFont"/>
    <w:link w:val="OutlineNumbered1"/>
    <w:rsid w:val="00106742"/>
    <w:rPr>
      <w:sz w:val="24"/>
    </w:rPr>
  </w:style>
  <w:style w:type="paragraph" w:customStyle="1" w:styleId="OutlineNumbered2">
    <w:name w:val="Outline Numbered 2"/>
    <w:basedOn w:val="Normal"/>
    <w:link w:val="OutlineNumbered2Char"/>
    <w:rsid w:val="00106742"/>
    <w:pPr>
      <w:numPr>
        <w:ilvl w:val="1"/>
        <w:numId w:val="18"/>
      </w:numPr>
      <w:tabs>
        <w:tab w:val="left" w:pos="1701"/>
        <w:tab w:val="right" w:pos="9072"/>
      </w:tabs>
      <w:spacing w:line="240" w:lineRule="exact"/>
      <w:ind w:right="91"/>
    </w:pPr>
  </w:style>
  <w:style w:type="character" w:customStyle="1" w:styleId="OutlineNumbered2Char">
    <w:name w:val="Outline Numbered 2 Char"/>
    <w:basedOn w:val="DefaultParagraphFont"/>
    <w:link w:val="OutlineNumbered2"/>
    <w:rsid w:val="00106742"/>
    <w:rPr>
      <w:sz w:val="24"/>
    </w:rPr>
  </w:style>
  <w:style w:type="paragraph" w:customStyle="1" w:styleId="OutlineNumbered3">
    <w:name w:val="Outline Numbered 3"/>
    <w:basedOn w:val="Normal"/>
    <w:link w:val="OutlineNumbered3Char"/>
    <w:rsid w:val="00106742"/>
    <w:pPr>
      <w:numPr>
        <w:ilvl w:val="2"/>
        <w:numId w:val="18"/>
      </w:numPr>
      <w:tabs>
        <w:tab w:val="right" w:pos="9072"/>
      </w:tabs>
      <w:spacing w:line="240" w:lineRule="exact"/>
      <w:ind w:right="91"/>
    </w:pPr>
  </w:style>
  <w:style w:type="character" w:customStyle="1" w:styleId="OutlineNumbered3Char">
    <w:name w:val="Outline Numbered 3 Char"/>
    <w:basedOn w:val="DefaultParagraphFont"/>
    <w:link w:val="OutlineNumbered3"/>
    <w:rsid w:val="00106742"/>
    <w:rPr>
      <w:sz w:val="24"/>
    </w:rPr>
  </w:style>
  <w:style w:type="character" w:customStyle="1" w:styleId="exampletextChar">
    <w:name w:val="example text Char"/>
    <w:basedOn w:val="DefaultParagraphFont"/>
    <w:link w:val="exampletext"/>
    <w:locked/>
    <w:rsid w:val="007056DF"/>
    <w:rPr>
      <w:sz w:val="22"/>
    </w:rPr>
  </w:style>
  <w:style w:type="paragraph" w:styleId="Footer">
    <w:name w:val="footer"/>
    <w:basedOn w:val="Normal"/>
    <w:link w:val="FooterChar"/>
    <w:uiPriority w:val="99"/>
    <w:unhideWhenUsed/>
    <w:rsid w:val="009A526B"/>
    <w:pPr>
      <w:tabs>
        <w:tab w:val="center" w:pos="4513"/>
        <w:tab w:val="right" w:pos="9026"/>
      </w:tabs>
    </w:pPr>
  </w:style>
  <w:style w:type="character" w:customStyle="1" w:styleId="FooterChar">
    <w:name w:val="Footer Char"/>
    <w:basedOn w:val="DefaultParagraphFont"/>
    <w:link w:val="Footer"/>
    <w:uiPriority w:val="99"/>
    <w:rsid w:val="009A526B"/>
    <w:rPr>
      <w:sz w:val="24"/>
    </w:rPr>
  </w:style>
  <w:style w:type="paragraph" w:customStyle="1" w:styleId="EMsubheading">
    <w:name w:val="EM subheading"/>
    <w:basedOn w:val="base-text-paragraph"/>
    <w:link w:val="EMsubheadingChar"/>
    <w:qFormat/>
    <w:rsid w:val="00FF12EB"/>
    <w:pPr>
      <w:numPr>
        <w:numId w:val="0"/>
      </w:numPr>
    </w:pPr>
    <w:rPr>
      <w:rFonts w:ascii="Helvetica" w:hAnsi="Helvetica" w:cs="Helvetica"/>
      <w:b/>
    </w:rPr>
  </w:style>
  <w:style w:type="paragraph" w:customStyle="1" w:styleId="EMpara">
    <w:name w:val="EM para"/>
    <w:basedOn w:val="Normal"/>
    <w:link w:val="EMparaChar"/>
    <w:qFormat/>
    <w:rsid w:val="00FF12EB"/>
    <w:pPr>
      <w:spacing w:before="120" w:after="120"/>
    </w:pPr>
    <w:rPr>
      <w:szCs w:val="24"/>
    </w:rPr>
  </w:style>
  <w:style w:type="character" w:customStyle="1" w:styleId="EMsubheadingChar">
    <w:name w:val="EM subheading Char"/>
    <w:basedOn w:val="base-text-paragraphChar"/>
    <w:link w:val="EMsubheading"/>
    <w:rsid w:val="00FF12EB"/>
    <w:rPr>
      <w:rFonts w:ascii="Helvetica" w:hAnsi="Helvetica" w:cs="Helvetica"/>
      <w:b/>
      <w:sz w:val="22"/>
    </w:rPr>
  </w:style>
  <w:style w:type="paragraph" w:customStyle="1" w:styleId="EMsubeading2">
    <w:name w:val="EM subeading 2"/>
    <w:basedOn w:val="Heading4"/>
    <w:link w:val="EMsubeading2Char"/>
    <w:qFormat/>
    <w:rsid w:val="00B24E2C"/>
    <w:rPr>
      <w:b/>
      <w:sz w:val="24"/>
      <w:szCs w:val="24"/>
    </w:rPr>
  </w:style>
  <w:style w:type="character" w:customStyle="1" w:styleId="EMparaChar">
    <w:name w:val="EM para Char"/>
    <w:basedOn w:val="DefaultParagraphFont"/>
    <w:link w:val="EMpara"/>
    <w:rsid w:val="00FF12EB"/>
    <w:rPr>
      <w:sz w:val="24"/>
      <w:szCs w:val="24"/>
    </w:rPr>
  </w:style>
  <w:style w:type="character" w:customStyle="1" w:styleId="Heading4Char">
    <w:name w:val="Heading 4 Char"/>
    <w:basedOn w:val="DefaultParagraphFont"/>
    <w:link w:val="Heading4"/>
    <w:rsid w:val="00B24E2C"/>
    <w:rPr>
      <w:i/>
    </w:rPr>
  </w:style>
  <w:style w:type="character" w:customStyle="1" w:styleId="EMsubeading2Char">
    <w:name w:val="EM subeading 2 Char"/>
    <w:basedOn w:val="Heading4Char"/>
    <w:link w:val="EMsubeading2"/>
    <w:rsid w:val="00B24E2C"/>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366964">
      <w:bodyDiv w:val="1"/>
      <w:marLeft w:val="0"/>
      <w:marRight w:val="0"/>
      <w:marTop w:val="0"/>
      <w:marBottom w:val="0"/>
      <w:divBdr>
        <w:top w:val="none" w:sz="0" w:space="0" w:color="auto"/>
        <w:left w:val="none" w:sz="0" w:space="0" w:color="auto"/>
        <w:bottom w:val="none" w:sz="0" w:space="0" w:color="auto"/>
        <w:right w:val="none" w:sz="0" w:space="0" w:color="auto"/>
      </w:divBdr>
    </w:div>
    <w:div w:id="892622380">
      <w:bodyDiv w:val="1"/>
      <w:marLeft w:val="0"/>
      <w:marRight w:val="0"/>
      <w:marTop w:val="0"/>
      <w:marBottom w:val="0"/>
      <w:divBdr>
        <w:top w:val="none" w:sz="0" w:space="0" w:color="auto"/>
        <w:left w:val="none" w:sz="0" w:space="0" w:color="auto"/>
        <w:bottom w:val="none" w:sz="0" w:space="0" w:color="auto"/>
        <w:right w:val="none" w:sz="0" w:space="0" w:color="auto"/>
      </w:divBdr>
    </w:div>
    <w:div w:id="1664505702">
      <w:bodyDiv w:val="1"/>
      <w:marLeft w:val="0"/>
      <w:marRight w:val="0"/>
      <w:marTop w:val="0"/>
      <w:marBottom w:val="0"/>
      <w:divBdr>
        <w:top w:val="none" w:sz="0" w:space="0" w:color="auto"/>
        <w:left w:val="none" w:sz="0" w:space="0" w:color="auto"/>
        <w:bottom w:val="none" w:sz="0" w:space="0" w:color="auto"/>
        <w:right w:val="none" w:sz="0" w:space="0" w:color="auto"/>
      </w:divBdr>
    </w:div>
    <w:div w:id="2111510210">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Parliamentary\XCo%20Explanatory%20Memorandum%20-%20Gener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78b04f6-f261-4499-b462-41ddd755ff66">2013RG-26-575</_dlc_DocId>
    <_dlc_DocIdUrl xmlns="378b04f6-f261-4499-b462-41ddd755ff66">
      <Url>http://tweb/sites/rg/ldp/_layouts/DocIdRedir.aspx?ID=2013RG-26-575</Url>
      <Description>2013RG-26-575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General Content" ma:contentTypeID="0x010100E726210826AA43828690450C811EB923009CA11FFD1E014DF4B1FA162D0F61129800080350834F0B46469CE5D2ECAC346F75" ma:contentTypeVersion="23" ma:contentTypeDescription="If you are creating a Word, PowerPoint or Excel document use the options available in the drop down list; for all other documents leave the content type as General Content." ma:contentTypeScope="" ma:versionID="53dc7e552d959ada8d97302801dbabe7">
  <xsd:schema xmlns:xsd="http://www.w3.org/2001/XMLSchema" xmlns:xs="http://www.w3.org/2001/XMLSchema" xmlns:p="http://schemas.microsoft.com/office/2006/metadata/properties" xmlns:ns2="378b04f6-f261-4499-b462-41ddd755ff66" targetNamespace="http://schemas.microsoft.com/office/2006/metadata/properties" ma:root="true" ma:fieldsID="8b996ababbe5a57890161772b35c4b0b" ns2:_="">
    <xsd:import namespace="378b04f6-f261-4499-b462-41ddd755ff66"/>
    <xsd:element name="properties">
      <xsd:complexType>
        <xsd:sequence>
          <xsd:element name="documentManagement">
            <xsd:complexType>
              <xsd:all>
                <xsd:element ref="ns2:_dlc_DocId" minOccurs="0"/>
                <xsd:element ref="ns2:_dlc_DocIdPersistId" minOccurs="0"/>
                <xsd:element ref="ns2: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b04f6-f261-4499-b462-41ddd755ff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 Audit Policy</p:Name>
  <p:Description/>
  <p:Statement/>
  <p:PolicyItems>
    <p:PolicyItem featureId="Microsoft.Office.RecordsManagement.PolicyFeatures.PolicyAudit" staticId="0x010100E726210826AA43828690450C811EB923|1757814118" UniqueId="cd6ee51b-74b3-452a-9d55-03bd9a48be8f">
      <p:Name>Auditing</p:Name>
      <p:Description>Audits user actions on documents and list items to the Audit Log.</p:Description>
      <p:CustomData>
        <Audit>
          <Update/>
          <CheckInOut/>
          <MoveCopy/>
          <DeleteRestore/>
        </Audit>
      </p:CustomData>
    </p:PolicyItem>
  </p:PolicyItems>
</p:Policy>
</file>

<file path=customXml/item5.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77C35FE-EE18-4B74-922D-8ABB7AF2C253}">
  <ds:schemaRefs>
    <ds:schemaRef ds:uri="http://schemas.microsoft.com/sharepoint/v3/contenttype/forms"/>
  </ds:schemaRefs>
</ds:datastoreItem>
</file>

<file path=customXml/itemProps2.xml><?xml version="1.0" encoding="utf-8"?>
<ds:datastoreItem xmlns:ds="http://schemas.openxmlformats.org/officeDocument/2006/customXml" ds:itemID="{253F7381-8D1E-435C-908D-B072B380999E}">
  <ds:schemaRefs>
    <ds:schemaRef ds:uri="http://purl.org/dc/dcmitype/"/>
    <ds:schemaRef ds:uri="http://schemas.microsoft.com/office/2006/metadata/properties"/>
    <ds:schemaRef ds:uri="http://www.w3.org/XML/1998/namespace"/>
    <ds:schemaRef ds:uri="http://schemas.microsoft.com/office/infopath/2007/PartnerControls"/>
    <ds:schemaRef ds:uri="378b04f6-f261-4499-b462-41ddd755ff66"/>
    <ds:schemaRef ds:uri="http://purl.org/dc/elements/1.1/"/>
    <ds:schemaRef ds:uri="http://purl.org/dc/terms/"/>
    <ds:schemaRef ds:uri="http://schemas.microsoft.com/office/2006/documentManagement/types"/>
    <ds:schemaRef ds:uri="http://schemas.openxmlformats.org/package/2006/metadata/core-properties"/>
  </ds:schemaRefs>
</ds:datastoreItem>
</file>

<file path=customXml/itemProps3.xml><?xml version="1.0" encoding="utf-8"?>
<ds:datastoreItem xmlns:ds="http://schemas.openxmlformats.org/officeDocument/2006/customXml" ds:itemID="{91E383C2-1BBF-47A2-BC26-42FC782B7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b04f6-f261-4499-b462-41ddd755f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93BE41-2411-432F-B63A-3C66013378F2}">
  <ds:schemaRefs>
    <ds:schemaRef ds:uri="office.server.policy"/>
  </ds:schemaRefs>
</ds:datastoreItem>
</file>

<file path=customXml/itemProps5.xml><?xml version="1.0" encoding="utf-8"?>
<ds:datastoreItem xmlns:ds="http://schemas.openxmlformats.org/officeDocument/2006/customXml" ds:itemID="{310712CD-5DA6-461D-BF98-00D331CA1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XCo Explanatory Memorandum - General.dotx</Template>
  <TotalTime>1</TotalTime>
  <Pages>30</Pages>
  <Words>11190</Words>
  <Characters>63787</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The Treasury</Company>
  <LinksUpToDate>false</LinksUpToDate>
  <CharactersWithSpaces>74828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Jaspers, Liz</dc:creator>
  <cp:lastModifiedBy>Hilhorst, Matt</cp:lastModifiedBy>
  <cp:revision>3</cp:revision>
  <cp:lastPrinted>2013-06-20T05:36:00Z</cp:lastPrinted>
  <dcterms:created xsi:type="dcterms:W3CDTF">2013-06-26T03:00:00Z</dcterms:created>
  <dcterms:modified xsi:type="dcterms:W3CDTF">2013-06-28T00:25:00Z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0x010100E726210826AA43828690450C811EB923009CA11FFD1E014DF4B1FA162D0F61129800080350834F0B46469CE5D2ECAC346F75</vt:lpwstr>
  </property>
  <property fmtid="{D5CDD505-2E9C-101B-9397-08002B2CF9AE}" pid="3" name="_dlc_DocIdItemGuid">
    <vt:lpwstr>76cf255c-f9ae-4a7a-a28e-65f873efe8f8</vt:lpwstr>
  </property>
  <property fmtid="{D5CDD505-2E9C-101B-9397-08002B2CF9AE}" pid="4" name="_AdHocReviewCycleID">
    <vt:i4>-663742712</vt:i4>
  </property>
  <property fmtid="{D5CDD505-2E9C-101B-9397-08002B2CF9AE}" pid="5" name="_NewReviewCycle">
    <vt:lpwstr/>
  </property>
  <property fmtid="{D5CDD505-2E9C-101B-9397-08002B2CF9AE}" pid="6" name="_EmailSubject">
    <vt:lpwstr>Exco Regs [SEC=UNCLASSIFIED]</vt:lpwstr>
  </property>
  <property fmtid="{D5CDD505-2E9C-101B-9397-08002B2CF9AE}" pid="7" name="_AuthorEmail">
    <vt:lpwstr>James.O'Toole@TREASURY.GOV.AU</vt:lpwstr>
  </property>
  <property fmtid="{D5CDD505-2E9C-101B-9397-08002B2CF9AE}" pid="8" name="_AuthorEmailDisplayName">
    <vt:lpwstr>O'Toole, James</vt:lpwstr>
  </property>
  <property fmtid="{D5CDD505-2E9C-101B-9397-08002B2CF9AE}" pid="9" name="_ReviewingToolsShownOnce">
    <vt:lpwstr/>
  </property>
</Properties>
</file>