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D0" w:rsidRDefault="008E50D0" w:rsidP="008E50D0">
      <w:pPr>
        <w:jc w:val="center"/>
        <w:rPr>
          <w:b/>
          <w:bCs/>
        </w:rPr>
      </w:pPr>
      <w:r w:rsidRPr="00C84F5E">
        <w:rPr>
          <w:b/>
          <w:bCs/>
        </w:rPr>
        <w:t>EXPLANATORY STATEMENT</w:t>
      </w:r>
    </w:p>
    <w:p w:rsidR="006B4088" w:rsidRDefault="006B4088" w:rsidP="006B4088">
      <w:pPr>
        <w:tabs>
          <w:tab w:val="left" w:pos="720"/>
        </w:tabs>
        <w:jc w:val="center"/>
        <w:rPr>
          <w:b/>
        </w:rPr>
      </w:pPr>
    </w:p>
    <w:p w:rsidR="006B4088" w:rsidRDefault="006B4088" w:rsidP="006B4088">
      <w:pPr>
        <w:jc w:val="center"/>
        <w:rPr>
          <w:b/>
          <w:bCs/>
        </w:rPr>
      </w:pPr>
      <w:r>
        <w:rPr>
          <w:b/>
          <w:bCs/>
        </w:rPr>
        <w:t xml:space="preserve">Issued by the authority of the Minister for </w:t>
      </w:r>
      <w:r w:rsidR="00675A0E">
        <w:rPr>
          <w:b/>
          <w:bCs/>
        </w:rPr>
        <w:t xml:space="preserve">Mental Health and </w:t>
      </w:r>
      <w:r>
        <w:rPr>
          <w:b/>
          <w:bCs/>
        </w:rPr>
        <w:t>Ageing</w:t>
      </w:r>
    </w:p>
    <w:p w:rsidR="006B4088" w:rsidRPr="00FB7C25" w:rsidRDefault="006B4088" w:rsidP="006B4088">
      <w:pPr>
        <w:jc w:val="center"/>
        <w:rPr>
          <w:b/>
          <w:bCs/>
        </w:rPr>
      </w:pPr>
    </w:p>
    <w:p w:rsidR="006B4088" w:rsidRDefault="006B4088" w:rsidP="006B4088">
      <w:pPr>
        <w:jc w:val="center"/>
        <w:rPr>
          <w:b/>
          <w:bCs/>
          <w:i/>
          <w:iCs/>
        </w:rPr>
      </w:pPr>
      <w:r w:rsidRPr="003163A7">
        <w:rPr>
          <w:b/>
          <w:bCs/>
          <w:i/>
          <w:iCs/>
        </w:rPr>
        <w:t xml:space="preserve">Aged Care </w:t>
      </w:r>
      <w:r>
        <w:rPr>
          <w:b/>
          <w:bCs/>
          <w:i/>
          <w:iCs/>
        </w:rPr>
        <w:t>Act 1997</w:t>
      </w:r>
    </w:p>
    <w:p w:rsidR="005E5E01" w:rsidRDefault="005E5E01" w:rsidP="00CE3E6A">
      <w:pPr>
        <w:jc w:val="center"/>
        <w:rPr>
          <w:b/>
          <w:bCs/>
          <w:i/>
          <w:iCs/>
        </w:rPr>
      </w:pPr>
    </w:p>
    <w:p w:rsidR="00510751" w:rsidRDefault="005E5E01" w:rsidP="00CE3E6A">
      <w:pPr>
        <w:jc w:val="center"/>
        <w:rPr>
          <w:b/>
          <w:i/>
        </w:rPr>
      </w:pPr>
      <w:r w:rsidRPr="005E5E01">
        <w:rPr>
          <w:b/>
          <w:i/>
        </w:rPr>
        <w:t>Aged Care (Residential Care Subsidy</w:t>
      </w:r>
      <w:r w:rsidR="000039F1">
        <w:rPr>
          <w:b/>
          <w:i/>
        </w:rPr>
        <w:t xml:space="preserve"> –</w:t>
      </w:r>
      <w:r w:rsidRPr="005E5E01">
        <w:rPr>
          <w:b/>
          <w:i/>
        </w:rPr>
        <w:t xml:space="preserve"> </w:t>
      </w:r>
      <w:r w:rsidR="00266104">
        <w:rPr>
          <w:b/>
          <w:i/>
        </w:rPr>
        <w:t>A</w:t>
      </w:r>
      <w:r w:rsidRPr="005E5E01">
        <w:rPr>
          <w:b/>
          <w:i/>
        </w:rPr>
        <w:t xml:space="preserve">mount </w:t>
      </w:r>
      <w:r w:rsidR="0065397F">
        <w:rPr>
          <w:b/>
          <w:i/>
        </w:rPr>
        <w:t>o</w:t>
      </w:r>
      <w:r w:rsidRPr="005E5E01">
        <w:rPr>
          <w:b/>
          <w:i/>
        </w:rPr>
        <w:t xml:space="preserve">f </w:t>
      </w:r>
      <w:r w:rsidR="00266104">
        <w:rPr>
          <w:b/>
          <w:i/>
        </w:rPr>
        <w:t>V</w:t>
      </w:r>
      <w:r w:rsidRPr="005E5E01">
        <w:rPr>
          <w:b/>
          <w:i/>
        </w:rPr>
        <w:t xml:space="preserve">iability </w:t>
      </w:r>
      <w:r w:rsidR="00266104">
        <w:rPr>
          <w:b/>
          <w:i/>
        </w:rPr>
        <w:t>S</w:t>
      </w:r>
      <w:r w:rsidRPr="005E5E01">
        <w:rPr>
          <w:b/>
          <w:i/>
        </w:rPr>
        <w:t xml:space="preserve">upplement) </w:t>
      </w:r>
    </w:p>
    <w:p w:rsidR="00CE3E6A" w:rsidRDefault="005E5E01" w:rsidP="00CE3E6A">
      <w:pPr>
        <w:jc w:val="center"/>
        <w:rPr>
          <w:b/>
          <w:bCs/>
          <w:sz w:val="18"/>
          <w:szCs w:val="18"/>
        </w:rPr>
      </w:pPr>
      <w:r>
        <w:rPr>
          <w:b/>
          <w:i/>
        </w:rPr>
        <w:t>Determination 20</w:t>
      </w:r>
      <w:r w:rsidR="00BE315B">
        <w:rPr>
          <w:b/>
          <w:i/>
        </w:rPr>
        <w:t>1</w:t>
      </w:r>
      <w:r w:rsidR="002C3476">
        <w:rPr>
          <w:b/>
          <w:i/>
        </w:rPr>
        <w:t>3</w:t>
      </w:r>
      <w:r>
        <w:rPr>
          <w:b/>
          <w:i/>
        </w:rPr>
        <w:t xml:space="preserve"> (No.</w:t>
      </w:r>
      <w:r w:rsidR="0065397F">
        <w:rPr>
          <w:b/>
          <w:i/>
        </w:rPr>
        <w:t xml:space="preserve"> </w:t>
      </w:r>
      <w:r>
        <w:rPr>
          <w:b/>
          <w:i/>
        </w:rPr>
        <w:t>1)</w:t>
      </w:r>
      <w:r w:rsidR="00BE315B">
        <w:rPr>
          <w:b/>
          <w:i/>
        </w:rPr>
        <w:t xml:space="preserve"> </w:t>
      </w:r>
    </w:p>
    <w:p w:rsidR="002E3103" w:rsidRPr="00CE3E6A" w:rsidRDefault="002E3103" w:rsidP="00CE3E6A">
      <w:pPr>
        <w:jc w:val="center"/>
        <w:rPr>
          <w:b/>
          <w:bCs/>
          <w:sz w:val="18"/>
          <w:szCs w:val="18"/>
        </w:rPr>
      </w:pPr>
    </w:p>
    <w:p w:rsidR="008E50D0" w:rsidRDefault="008E50D0" w:rsidP="008E50D0">
      <w:r>
        <w:t xml:space="preserve">The </w:t>
      </w:r>
      <w:r w:rsidRPr="00A70D11">
        <w:rPr>
          <w:i/>
          <w:iCs/>
        </w:rPr>
        <w:t>Aged Care Act 1997</w:t>
      </w:r>
      <w:r>
        <w:t xml:space="preserve"> (the Act) provides for the </w:t>
      </w:r>
      <w:r w:rsidR="00675A0E">
        <w:t xml:space="preserve">regulation and </w:t>
      </w:r>
      <w:r>
        <w:t xml:space="preserve">funding of aged care services.  </w:t>
      </w:r>
      <w:r w:rsidR="001121D3">
        <w:t>Persons</w:t>
      </w:r>
      <w:r>
        <w:t xml:space="preserve"> who are approved under the Act to provide residential aged care services</w:t>
      </w:r>
      <w:r w:rsidR="002E6D33">
        <w:t xml:space="preserve"> (approved providers)</w:t>
      </w:r>
      <w:r>
        <w:t xml:space="preserve"> can be eligible to receive residential care subsidy payments in respect of the care they provide to approved care recipients.  </w:t>
      </w:r>
    </w:p>
    <w:p w:rsidR="005C7023" w:rsidRDefault="005C7023" w:rsidP="008E50D0"/>
    <w:p w:rsidR="001121D3" w:rsidRPr="00FE005C" w:rsidRDefault="001121D3" w:rsidP="001121D3">
      <w:r>
        <w:t xml:space="preserve">The residential care subsidy which is payable in a particular case includes a basic amount and can also include various supplements, which are intended to deal with particular circumstances.  One such supplement is the viability supplement, which is available to eligible providers of aged care services </w:t>
      </w:r>
      <w:r w:rsidRPr="00A73A11">
        <w:t>i</w:t>
      </w:r>
      <w:r w:rsidRPr="00FE005C">
        <w:t xml:space="preserve">n recognition of </w:t>
      </w:r>
      <w:r w:rsidR="0034274F" w:rsidRPr="00867EE3">
        <w:rPr>
          <w:iCs/>
        </w:rPr>
        <w:t>the particular difficulties faced by such services as a result of their isolation, small size, characteristics of the majority of their residents, and consequentially higher cost structures.</w:t>
      </w:r>
      <w:r w:rsidRPr="00FE005C">
        <w:t xml:space="preserve">  The </w:t>
      </w:r>
      <w:r>
        <w:t>v</w:t>
      </w:r>
      <w:r w:rsidRPr="00FE005C">
        <w:t xml:space="preserve">iability </w:t>
      </w:r>
      <w:r>
        <w:t>s</w:t>
      </w:r>
      <w:r w:rsidRPr="00FE005C">
        <w:t xml:space="preserve">upplement </w:t>
      </w:r>
      <w:r>
        <w:t xml:space="preserve">primarily </w:t>
      </w:r>
      <w:r w:rsidRPr="00FE005C">
        <w:t xml:space="preserve">benefits small services operating in </w:t>
      </w:r>
      <w:r>
        <w:t xml:space="preserve">rural, </w:t>
      </w:r>
      <w:r w:rsidRPr="00FE005C">
        <w:t>remote and isolated areas.</w:t>
      </w:r>
    </w:p>
    <w:p w:rsidR="008E50D0" w:rsidRDefault="008E50D0" w:rsidP="008E50D0"/>
    <w:p w:rsidR="002E6D33" w:rsidRDefault="002E6D33" w:rsidP="002E6D33">
      <w:r>
        <w:t>Subsection 44-29(8) of the Act provides that the viability supplement for a particular day is the amount determined by the Minister by legislative instrument or worked out in accordance with a method determined by the Minister by legislative instrument.  Subsection 44-29(9) of the Act provides that the Minister may determine different amounts or methods based upon certain matters, including the number of places in services, the degree of isolation of the services, and any other matters determined by the Minister by legislative instrument.</w:t>
      </w:r>
    </w:p>
    <w:p w:rsidR="002E6D33" w:rsidRDefault="002E6D33" w:rsidP="004B4B96"/>
    <w:p w:rsidR="00867EE3" w:rsidRDefault="00867EE3" w:rsidP="008E50D0">
      <w:r w:rsidRPr="00867EE3">
        <w:rPr>
          <w:iCs/>
        </w:rPr>
        <w:t>In essence, there are three viability supplement schemes</w:t>
      </w:r>
      <w:r w:rsidR="00CE3E6A">
        <w:rPr>
          <w:iCs/>
        </w:rPr>
        <w:t xml:space="preserve"> – </w:t>
      </w:r>
      <w:r w:rsidRPr="00867EE3">
        <w:rPr>
          <w:iCs/>
        </w:rPr>
        <w:t>the 1997 scheme</w:t>
      </w:r>
      <w:r w:rsidR="00F4467C">
        <w:rPr>
          <w:iCs/>
        </w:rPr>
        <w:t xml:space="preserve"> (which was put in place when the Act commenced operation)</w:t>
      </w:r>
      <w:r w:rsidR="00CE3E6A">
        <w:rPr>
          <w:iCs/>
        </w:rPr>
        <w:t>;</w:t>
      </w:r>
      <w:r w:rsidRPr="00867EE3">
        <w:rPr>
          <w:iCs/>
        </w:rPr>
        <w:t xml:space="preserve"> </w:t>
      </w:r>
      <w:r w:rsidR="00F4467C">
        <w:rPr>
          <w:iCs/>
        </w:rPr>
        <w:t xml:space="preserve">a modified scheme which was put in place in </w:t>
      </w:r>
      <w:r w:rsidRPr="00867EE3">
        <w:rPr>
          <w:iCs/>
        </w:rPr>
        <w:t>2001</w:t>
      </w:r>
      <w:r w:rsidR="00CE3E6A">
        <w:rPr>
          <w:iCs/>
        </w:rPr>
        <w:t>;</w:t>
      </w:r>
      <w:r w:rsidRPr="00867EE3">
        <w:rPr>
          <w:iCs/>
        </w:rPr>
        <w:t xml:space="preserve"> </w:t>
      </w:r>
      <w:r w:rsidR="00F4467C">
        <w:rPr>
          <w:iCs/>
        </w:rPr>
        <w:t>a</w:t>
      </w:r>
      <w:r w:rsidRPr="00867EE3">
        <w:rPr>
          <w:iCs/>
        </w:rPr>
        <w:t xml:space="preserve">nd </w:t>
      </w:r>
      <w:r w:rsidR="00F4467C">
        <w:rPr>
          <w:iCs/>
        </w:rPr>
        <w:t>a scheme which commenced operation on 1 January</w:t>
      </w:r>
      <w:r w:rsidRPr="00867EE3">
        <w:rPr>
          <w:iCs/>
        </w:rPr>
        <w:t xml:space="preserve"> 2005</w:t>
      </w:r>
      <w:r w:rsidR="00CE3E6A">
        <w:rPr>
          <w:iCs/>
        </w:rPr>
        <w:t xml:space="preserve"> – </w:t>
      </w:r>
      <w:r w:rsidRPr="00867EE3">
        <w:rPr>
          <w:iCs/>
        </w:rPr>
        <w:t>which run in parallel.  Each scheme has its own criteria for payment and each pays different amounts of viability supplement, depending on the circumstances of the residential care service.  For example, the 2005 scheme provides increased assistance to the more rural and remote residential care services.</w:t>
      </w:r>
    </w:p>
    <w:p w:rsidR="002E6D33" w:rsidRDefault="002E6D33" w:rsidP="006B5F29">
      <w:pPr>
        <w:autoSpaceDE w:val="0"/>
        <w:autoSpaceDN w:val="0"/>
        <w:adjustRightInd w:val="0"/>
      </w:pPr>
    </w:p>
    <w:p w:rsidR="00DC4FA7" w:rsidRPr="00E15234" w:rsidRDefault="002E6D33" w:rsidP="006B5F29">
      <w:pPr>
        <w:autoSpaceDE w:val="0"/>
        <w:autoSpaceDN w:val="0"/>
        <w:adjustRightInd w:val="0"/>
        <w:rPr>
          <w:color w:val="000000"/>
        </w:rPr>
      </w:pPr>
      <w:r>
        <w:t xml:space="preserve">The purpose of the </w:t>
      </w:r>
      <w:r w:rsidRPr="002E6D33">
        <w:rPr>
          <w:i/>
        </w:rPr>
        <w:t xml:space="preserve">Aged Care (Residential </w:t>
      </w:r>
      <w:r w:rsidR="00266104">
        <w:rPr>
          <w:i/>
        </w:rPr>
        <w:t>C</w:t>
      </w:r>
      <w:r w:rsidRPr="002E6D33">
        <w:rPr>
          <w:i/>
        </w:rPr>
        <w:t xml:space="preserve">are Subsidy – </w:t>
      </w:r>
      <w:r w:rsidR="00266104">
        <w:rPr>
          <w:i/>
        </w:rPr>
        <w:t>A</w:t>
      </w:r>
      <w:r w:rsidRPr="002E6D33">
        <w:rPr>
          <w:i/>
        </w:rPr>
        <w:t xml:space="preserve">mount of </w:t>
      </w:r>
      <w:r w:rsidR="00266104">
        <w:rPr>
          <w:i/>
        </w:rPr>
        <w:t>V</w:t>
      </w:r>
      <w:r w:rsidRPr="002E6D33">
        <w:rPr>
          <w:i/>
        </w:rPr>
        <w:t xml:space="preserve">iability </w:t>
      </w:r>
      <w:r w:rsidR="00266104">
        <w:rPr>
          <w:i/>
        </w:rPr>
        <w:t>S</w:t>
      </w:r>
      <w:r w:rsidRPr="002E6D33">
        <w:rPr>
          <w:i/>
        </w:rPr>
        <w:t>upplement) Determination 201</w:t>
      </w:r>
      <w:r w:rsidR="002C3476">
        <w:rPr>
          <w:i/>
        </w:rPr>
        <w:t>3</w:t>
      </w:r>
      <w:r w:rsidRPr="002E6D33">
        <w:rPr>
          <w:i/>
        </w:rPr>
        <w:t xml:space="preserve"> (No. 1)</w:t>
      </w:r>
      <w:r>
        <w:t xml:space="preserve"> (the Determination) </w:t>
      </w:r>
      <w:r w:rsidR="009E54E1">
        <w:t xml:space="preserve">sets </w:t>
      </w:r>
      <w:r w:rsidR="00867136">
        <w:t>the amount of the viability supplement</w:t>
      </w:r>
      <w:r w:rsidR="001802AD">
        <w:t xml:space="preserve"> payable</w:t>
      </w:r>
      <w:r w:rsidR="00867136">
        <w:t xml:space="preserve"> </w:t>
      </w:r>
      <w:r w:rsidR="001802AD">
        <w:t xml:space="preserve">under each of the three schemes, </w:t>
      </w:r>
      <w:r>
        <w:t xml:space="preserve">with </w:t>
      </w:r>
      <w:r w:rsidR="00DC4FA7">
        <w:t xml:space="preserve">rates </w:t>
      </w:r>
      <w:r>
        <w:t>effect</w:t>
      </w:r>
      <w:r w:rsidR="00DC4FA7">
        <w:t>ive</w:t>
      </w:r>
      <w:r>
        <w:t xml:space="preserve"> 1 July 201</w:t>
      </w:r>
      <w:r w:rsidR="002C3476">
        <w:t>3</w:t>
      </w:r>
      <w:r w:rsidR="00F4467C">
        <w:t>.</w:t>
      </w:r>
      <w:r w:rsidR="00CE3E6A">
        <w:rPr>
          <w:color w:val="000000"/>
        </w:rPr>
        <w:t xml:space="preserve">  </w:t>
      </w:r>
      <w:r w:rsidR="00DC4FA7">
        <w:rPr>
          <w:color w:val="000000"/>
        </w:rPr>
        <w:t>This Determination also revokes</w:t>
      </w:r>
      <w:r w:rsidR="009E54E1">
        <w:rPr>
          <w:color w:val="000000"/>
        </w:rPr>
        <w:t xml:space="preserve"> the</w:t>
      </w:r>
      <w:r w:rsidR="00DC4FA7">
        <w:rPr>
          <w:color w:val="000000"/>
        </w:rPr>
        <w:t xml:space="preserve"> </w:t>
      </w:r>
      <w:r w:rsidR="00DC4FA7" w:rsidRPr="00DC4FA7">
        <w:rPr>
          <w:i/>
          <w:color w:val="000000"/>
        </w:rPr>
        <w:t xml:space="preserve">Aged Care (Residential </w:t>
      </w:r>
      <w:r w:rsidR="00675A0E">
        <w:rPr>
          <w:i/>
          <w:color w:val="000000"/>
        </w:rPr>
        <w:t>C</w:t>
      </w:r>
      <w:r w:rsidR="00DC4FA7" w:rsidRPr="00DC4FA7">
        <w:rPr>
          <w:i/>
          <w:color w:val="000000"/>
        </w:rPr>
        <w:t xml:space="preserve">are </w:t>
      </w:r>
      <w:r w:rsidR="00675A0E">
        <w:rPr>
          <w:i/>
          <w:color w:val="000000"/>
        </w:rPr>
        <w:t>S</w:t>
      </w:r>
      <w:r w:rsidR="00DC4FA7" w:rsidRPr="00DC4FA7">
        <w:rPr>
          <w:i/>
          <w:color w:val="000000"/>
        </w:rPr>
        <w:t xml:space="preserve">ubsidy – </w:t>
      </w:r>
      <w:r w:rsidR="00675A0E">
        <w:rPr>
          <w:i/>
          <w:color w:val="000000"/>
        </w:rPr>
        <w:t>A</w:t>
      </w:r>
      <w:r w:rsidR="00DC4FA7" w:rsidRPr="00DC4FA7">
        <w:rPr>
          <w:i/>
          <w:color w:val="000000"/>
        </w:rPr>
        <w:t>mount of</w:t>
      </w:r>
      <w:r w:rsidR="00675A0E">
        <w:rPr>
          <w:i/>
          <w:color w:val="000000"/>
        </w:rPr>
        <w:t xml:space="preserve"> V</w:t>
      </w:r>
      <w:r w:rsidR="00DC4FA7" w:rsidRPr="00DC4FA7">
        <w:rPr>
          <w:i/>
          <w:color w:val="000000"/>
        </w:rPr>
        <w:t xml:space="preserve">iability </w:t>
      </w:r>
      <w:r w:rsidR="00675A0E">
        <w:rPr>
          <w:i/>
          <w:color w:val="000000"/>
        </w:rPr>
        <w:t>S</w:t>
      </w:r>
      <w:r w:rsidR="00DC4FA7" w:rsidRPr="00DC4FA7">
        <w:rPr>
          <w:i/>
          <w:color w:val="000000"/>
        </w:rPr>
        <w:t>upplement) Determination 20</w:t>
      </w:r>
      <w:r w:rsidR="00675A0E">
        <w:rPr>
          <w:i/>
          <w:color w:val="000000"/>
        </w:rPr>
        <w:t>1</w:t>
      </w:r>
      <w:r w:rsidR="002C3476">
        <w:rPr>
          <w:i/>
          <w:color w:val="000000"/>
        </w:rPr>
        <w:t>2</w:t>
      </w:r>
      <w:r w:rsidR="00DC4FA7" w:rsidRPr="00DC4FA7">
        <w:rPr>
          <w:i/>
          <w:color w:val="000000"/>
        </w:rPr>
        <w:t xml:space="preserve"> (No. </w:t>
      </w:r>
      <w:r w:rsidR="00675A0E">
        <w:rPr>
          <w:i/>
          <w:color w:val="000000"/>
        </w:rPr>
        <w:t>1</w:t>
      </w:r>
      <w:r w:rsidR="00DC4FA7" w:rsidRPr="00DC4FA7">
        <w:rPr>
          <w:i/>
          <w:color w:val="000000"/>
        </w:rPr>
        <w:t>).</w:t>
      </w:r>
      <w:r w:rsidR="00E15234">
        <w:rPr>
          <w:color w:val="000000"/>
        </w:rPr>
        <w:t xml:space="preserve">  </w:t>
      </w:r>
    </w:p>
    <w:p w:rsidR="00C312D3" w:rsidRDefault="003D4BFE" w:rsidP="003E095E">
      <w:pPr>
        <w:spacing w:before="100" w:beforeAutospacing="1" w:after="100" w:afterAutospacing="1"/>
      </w:pPr>
      <w:bookmarkStart w:id="0" w:name="_GoBack"/>
      <w:bookmarkEnd w:id="0"/>
      <w:r>
        <w:t xml:space="preserve">The difference between the Determinations is that the daily amount of viability supplement has been increased in accordance with </w:t>
      </w:r>
      <w:r w:rsidR="00977A66">
        <w:t>standard indexation arrang</w:t>
      </w:r>
      <w:r w:rsidR="00674454">
        <w:t>e</w:t>
      </w:r>
      <w:r w:rsidR="00977A66">
        <w:t>ments</w:t>
      </w:r>
      <w:r w:rsidR="00674454" w:rsidRPr="005F059C" w:rsidDel="00674454">
        <w:t xml:space="preserve"> </w:t>
      </w:r>
    </w:p>
    <w:p w:rsidR="003E095E" w:rsidRDefault="003E095E" w:rsidP="006314D7">
      <w:pPr>
        <w:tabs>
          <w:tab w:val="left" w:pos="720"/>
        </w:tabs>
        <w:rPr>
          <w:b/>
        </w:rPr>
      </w:pPr>
      <w:r>
        <w:rPr>
          <w:b/>
        </w:rPr>
        <w:br w:type="page"/>
      </w:r>
    </w:p>
    <w:p w:rsidR="006314D7" w:rsidRDefault="006314D7" w:rsidP="006314D7">
      <w:pPr>
        <w:tabs>
          <w:tab w:val="left" w:pos="720"/>
        </w:tabs>
        <w:rPr>
          <w:b/>
        </w:rPr>
      </w:pPr>
      <w:r w:rsidRPr="00E04764">
        <w:rPr>
          <w:b/>
        </w:rPr>
        <w:lastRenderedPageBreak/>
        <w:t>Consultation</w:t>
      </w:r>
    </w:p>
    <w:p w:rsidR="003F6A6A" w:rsidRDefault="00383C5A" w:rsidP="003F6A6A">
      <w:r>
        <w:t>R</w:t>
      </w:r>
      <w:r w:rsidR="00F83937">
        <w:t>outine i</w:t>
      </w:r>
      <w:r w:rsidR="00246A63">
        <w:t xml:space="preserve">ndexation of the supplement uses </w:t>
      </w:r>
      <w:r w:rsidR="00071514">
        <w:t xml:space="preserve">a </w:t>
      </w:r>
      <w:r w:rsidR="00246A63">
        <w:t>well</w:t>
      </w:r>
      <w:r w:rsidR="00007733">
        <w:t>-</w:t>
      </w:r>
      <w:r w:rsidR="00246A63">
        <w:t>es</w:t>
      </w:r>
      <w:r w:rsidR="002C3476">
        <w:t>tablished formula based on the c</w:t>
      </w:r>
      <w:r w:rsidR="00977A66">
        <w:t xml:space="preserve">onsumer </w:t>
      </w:r>
      <w:r w:rsidR="002C3476">
        <w:t>p</w:t>
      </w:r>
      <w:r w:rsidR="00977A66">
        <w:t xml:space="preserve">rice </w:t>
      </w:r>
      <w:r w:rsidR="002C3476">
        <w:t>i</w:t>
      </w:r>
      <w:r w:rsidR="00977A66">
        <w:t>ndex</w:t>
      </w:r>
      <w:r w:rsidR="002C3476">
        <w:t xml:space="preserve"> (CPI)</w:t>
      </w:r>
      <w:r w:rsidR="00246A63">
        <w:t xml:space="preserve"> as a measure of the movements in the non-labour costs of providers and the decisions of Fair Work </w:t>
      </w:r>
      <w:r w:rsidR="003E095E">
        <w:t>Commission</w:t>
      </w:r>
      <w:r w:rsidR="00246A63">
        <w:t xml:space="preserve"> as a measure of non-productivity based movements of the wage costs of providers. </w:t>
      </w:r>
      <w:r w:rsidR="00B4638B">
        <w:t xml:space="preserve"> </w:t>
      </w:r>
      <w:r w:rsidR="00246A63">
        <w:t xml:space="preserve">As this is in accordance </w:t>
      </w:r>
      <w:r w:rsidR="003F6A6A">
        <w:t xml:space="preserve">with policy upon which extensive consultation was undertaken, no specific consultation was undertaken with respect to this </w:t>
      </w:r>
      <w:r w:rsidR="00265911">
        <w:t>indexation</w:t>
      </w:r>
      <w:r w:rsidR="003F6A6A">
        <w:t>.</w:t>
      </w:r>
    </w:p>
    <w:p w:rsidR="003F6A6A" w:rsidRDefault="003F6A6A" w:rsidP="003F6A6A"/>
    <w:p w:rsidR="003F6A6A" w:rsidRDefault="003F6A6A" w:rsidP="003F6A6A">
      <w:r>
        <w:t>Information about the increase in the amount of the supplement will be disseminated via electronic media to approved providers.</w:t>
      </w:r>
    </w:p>
    <w:p w:rsidR="00675A0E" w:rsidRDefault="00675A0E" w:rsidP="003F6A6A"/>
    <w:p w:rsidR="00675A0E" w:rsidRDefault="00675A0E" w:rsidP="00675A0E">
      <w:pPr>
        <w:autoSpaceDE w:val="0"/>
        <w:autoSpaceDN w:val="0"/>
        <w:adjustRightInd w:val="0"/>
        <w:rPr>
          <w:color w:val="000000"/>
        </w:rPr>
      </w:pPr>
      <w:r>
        <w:rPr>
          <w:color w:val="000000"/>
        </w:rPr>
        <w:t>This Determination commences on 1 July 201</w:t>
      </w:r>
      <w:r w:rsidR="002C3476">
        <w:rPr>
          <w:color w:val="000000"/>
        </w:rPr>
        <w:t>3</w:t>
      </w:r>
      <w:r>
        <w:rPr>
          <w:color w:val="000000"/>
        </w:rPr>
        <w:t>.</w:t>
      </w:r>
    </w:p>
    <w:p w:rsidR="00675A0E" w:rsidRDefault="00675A0E" w:rsidP="00675A0E">
      <w:pPr>
        <w:autoSpaceDE w:val="0"/>
        <w:autoSpaceDN w:val="0"/>
        <w:adjustRightInd w:val="0"/>
        <w:rPr>
          <w:color w:val="000000"/>
        </w:rPr>
      </w:pPr>
    </w:p>
    <w:p w:rsidR="00675A0E" w:rsidRPr="001660C7" w:rsidRDefault="00675A0E" w:rsidP="00675A0E">
      <w:pPr>
        <w:autoSpaceDE w:val="0"/>
        <w:autoSpaceDN w:val="0"/>
        <w:adjustRightInd w:val="0"/>
        <w:rPr>
          <w:i/>
          <w:color w:val="000000"/>
        </w:rPr>
      </w:pPr>
      <w:r>
        <w:rPr>
          <w:color w:val="000000"/>
        </w:rPr>
        <w:t xml:space="preserve">The Determination is a legislative instrument for the purposes of the </w:t>
      </w:r>
      <w:r w:rsidRPr="001660C7">
        <w:rPr>
          <w:i/>
          <w:color w:val="000000"/>
        </w:rPr>
        <w:t>Legislative Instruments Act 2003.</w:t>
      </w:r>
    </w:p>
    <w:p w:rsidR="00675A0E" w:rsidRDefault="00675A0E" w:rsidP="00675A0E">
      <w:pPr>
        <w:tabs>
          <w:tab w:val="left" w:pos="720"/>
        </w:tabs>
        <w:rPr>
          <w:b/>
        </w:rPr>
      </w:pPr>
    </w:p>
    <w:p w:rsidR="00675A0E" w:rsidRDefault="00675A0E" w:rsidP="003F6A6A"/>
    <w:p w:rsidR="004E7519" w:rsidRDefault="004E7519" w:rsidP="003F6A6A"/>
    <w:p w:rsidR="00961509" w:rsidRPr="00E4135E" w:rsidRDefault="004E7519" w:rsidP="00961509">
      <w:pPr>
        <w:spacing w:before="360" w:after="120"/>
        <w:jc w:val="center"/>
        <w:rPr>
          <w:b/>
          <w:sz w:val="28"/>
          <w:szCs w:val="28"/>
        </w:rPr>
      </w:pPr>
      <w:r>
        <w:br w:type="page"/>
      </w:r>
      <w:r w:rsidR="00510751" w:rsidDel="00510751">
        <w:rPr>
          <w:b/>
          <w:bCs/>
        </w:rPr>
        <w:lastRenderedPageBreak/>
        <w:t xml:space="preserve"> </w:t>
      </w:r>
      <w:r w:rsidR="00961509" w:rsidRPr="00E4135E">
        <w:rPr>
          <w:b/>
          <w:sz w:val="28"/>
          <w:szCs w:val="28"/>
        </w:rPr>
        <w:t>Statement of Compatibility with Human Rights</w:t>
      </w:r>
    </w:p>
    <w:p w:rsidR="00961509" w:rsidRPr="00E4135E" w:rsidRDefault="00961509" w:rsidP="00961509">
      <w:pPr>
        <w:spacing w:before="120" w:after="120"/>
        <w:jc w:val="center"/>
      </w:pPr>
      <w:r w:rsidRPr="00E4135E">
        <w:rPr>
          <w:i/>
        </w:rPr>
        <w:t>Prepared in accordance with Part 3 of the Human Rights (Parliamentary Scrutiny) Act 2011</w:t>
      </w:r>
    </w:p>
    <w:p w:rsidR="007B685C" w:rsidRDefault="007B685C" w:rsidP="00961509">
      <w:pPr>
        <w:jc w:val="center"/>
        <w:rPr>
          <w:b/>
        </w:rPr>
      </w:pPr>
    </w:p>
    <w:p w:rsidR="00961509" w:rsidRPr="002C3476" w:rsidRDefault="00961509" w:rsidP="00961509">
      <w:pPr>
        <w:jc w:val="center"/>
        <w:rPr>
          <w:b/>
        </w:rPr>
      </w:pPr>
      <w:r w:rsidRPr="002C3476">
        <w:rPr>
          <w:b/>
        </w:rPr>
        <w:t xml:space="preserve">Aged Care (Residential Care Subsidy – Amount of Viability Supplement) </w:t>
      </w:r>
      <w:r w:rsidR="002C3476">
        <w:rPr>
          <w:b/>
        </w:rPr>
        <w:t>Determination 2013</w:t>
      </w:r>
      <w:r w:rsidRPr="002C3476">
        <w:rPr>
          <w:b/>
        </w:rPr>
        <w:t xml:space="preserve"> (No. 1) </w:t>
      </w:r>
    </w:p>
    <w:p w:rsidR="00961509" w:rsidRPr="00E4135E" w:rsidRDefault="00961509" w:rsidP="00961509">
      <w:pPr>
        <w:spacing w:before="120" w:after="120"/>
        <w:jc w:val="center"/>
      </w:pPr>
      <w:r>
        <w:t xml:space="preserve">This </w:t>
      </w:r>
      <w:r w:rsidRPr="00E4135E">
        <w:t xml:space="preserve">Legislative Instrument is compatible with the human rights and freedoms recognised or declared in the international instruments listed in section 3 of the </w:t>
      </w:r>
      <w:r w:rsidRPr="00E4135E">
        <w:rPr>
          <w:i/>
        </w:rPr>
        <w:t>Human Rights (Parliamentary Scrutiny) Act 2011</w:t>
      </w:r>
      <w:r w:rsidRPr="00E4135E">
        <w:t>.</w:t>
      </w:r>
    </w:p>
    <w:p w:rsidR="00961509" w:rsidRPr="00E4135E" w:rsidRDefault="00961509" w:rsidP="00961509">
      <w:pPr>
        <w:spacing w:before="120" w:after="120"/>
        <w:jc w:val="both"/>
        <w:rPr>
          <w:b/>
        </w:rPr>
      </w:pPr>
      <w:r>
        <w:rPr>
          <w:b/>
        </w:rPr>
        <w:t xml:space="preserve">Overview of </w:t>
      </w:r>
      <w:r w:rsidRPr="00E4135E">
        <w:rPr>
          <w:b/>
        </w:rPr>
        <w:t>Legislative Instrument</w:t>
      </w:r>
    </w:p>
    <w:p w:rsidR="00961509" w:rsidRPr="006177C0" w:rsidRDefault="00961509" w:rsidP="00961509">
      <w:pPr>
        <w:autoSpaceDE w:val="0"/>
        <w:autoSpaceDN w:val="0"/>
        <w:adjustRightInd w:val="0"/>
        <w:rPr>
          <w:color w:val="000000"/>
        </w:rPr>
      </w:pPr>
      <w:r w:rsidRPr="006177C0">
        <w:t xml:space="preserve">The purpose of the </w:t>
      </w:r>
      <w:r w:rsidRPr="006177C0">
        <w:rPr>
          <w:i/>
        </w:rPr>
        <w:t>Aged Care (Residential Care Subsidy – Amount of Viabilit</w:t>
      </w:r>
      <w:r w:rsidR="002C3476">
        <w:rPr>
          <w:i/>
        </w:rPr>
        <w:t>y Supplement) Determination 2013</w:t>
      </w:r>
      <w:r w:rsidRPr="006177C0">
        <w:rPr>
          <w:i/>
        </w:rPr>
        <w:t xml:space="preserve"> (No. 1)</w:t>
      </w:r>
      <w:r w:rsidRPr="006177C0">
        <w:t xml:space="preserve"> (the Determination) is to set</w:t>
      </w:r>
      <w:r w:rsidRPr="006177C0" w:rsidDel="002E6D33">
        <w:t xml:space="preserve"> </w:t>
      </w:r>
      <w:r w:rsidRPr="006177C0">
        <w:t xml:space="preserve">the amount of the viability supplement payable under each of the three schemes, </w:t>
      </w:r>
      <w:r w:rsidR="002C3476">
        <w:t>with rates effective 1 July 2013</w:t>
      </w:r>
      <w:r w:rsidRPr="006177C0">
        <w:t>.</w:t>
      </w:r>
      <w:r w:rsidRPr="006177C0">
        <w:rPr>
          <w:color w:val="000000"/>
        </w:rPr>
        <w:t xml:space="preserve">  This Determination also revokes </w:t>
      </w:r>
      <w:r w:rsidRPr="006177C0">
        <w:rPr>
          <w:i/>
          <w:color w:val="000000"/>
        </w:rPr>
        <w:t>Aged Care (Residential Care Subsidy – Amount of Viabilit</w:t>
      </w:r>
      <w:r w:rsidR="002C3476">
        <w:rPr>
          <w:i/>
          <w:color w:val="000000"/>
        </w:rPr>
        <w:t>y Supplement) Determination 2012</w:t>
      </w:r>
      <w:r w:rsidRPr="006177C0">
        <w:rPr>
          <w:i/>
          <w:color w:val="000000"/>
        </w:rPr>
        <w:t xml:space="preserve"> (No. 1).</w:t>
      </w:r>
      <w:r w:rsidRPr="006177C0">
        <w:rPr>
          <w:color w:val="000000"/>
        </w:rPr>
        <w:t xml:space="preserve">  </w:t>
      </w:r>
    </w:p>
    <w:p w:rsidR="00961509" w:rsidRDefault="002C3476" w:rsidP="00961509">
      <w:pPr>
        <w:spacing w:before="120" w:after="120"/>
        <w:rPr>
          <w:b/>
        </w:rPr>
      </w:pPr>
      <w:r>
        <w:rPr>
          <w:b/>
        </w:rPr>
        <w:t>Human Rights I</w:t>
      </w:r>
      <w:r w:rsidR="00961509" w:rsidRPr="00E4135E">
        <w:rPr>
          <w:b/>
        </w:rPr>
        <w:t>mplications</w:t>
      </w:r>
    </w:p>
    <w:p w:rsidR="002C3476" w:rsidRPr="002C3476" w:rsidRDefault="002C3476" w:rsidP="002C3476">
      <w:pPr>
        <w:widowControl w:val="0"/>
        <w:spacing w:before="120" w:after="120"/>
        <w:rPr>
          <w:snapToGrid w:val="0"/>
          <w:lang w:val="en-US" w:eastAsia="en-US"/>
        </w:rPr>
      </w:pPr>
      <w:r w:rsidRPr="002C3476">
        <w:rPr>
          <w:snapToGrid w:val="0"/>
          <w:lang w:val="en-US" w:eastAsia="en-US"/>
        </w:rPr>
        <w:t xml:space="preserve">This Legislative Instrument promotes the human right to health contained in article 12 of the International Covenant on Economic Social and Cultural Rights.  The legislative instrument engages the right of everyone to the enjoyment of the highest attainable standard of physical and mental health by ensuring </w:t>
      </w:r>
      <w:r>
        <w:rPr>
          <w:snapToGrid w:val="0"/>
          <w:lang w:val="en-US" w:eastAsia="en-US"/>
        </w:rPr>
        <w:t>that the amount of viability supplement</w:t>
      </w:r>
      <w:r w:rsidRPr="002C3476">
        <w:rPr>
          <w:snapToGrid w:val="0"/>
          <w:lang w:val="en-US" w:eastAsia="en-US"/>
        </w:rPr>
        <w:t xml:space="preserve"> payable to approved providers of residential aged care services</w:t>
      </w:r>
      <w:r w:rsidR="00347761">
        <w:rPr>
          <w:snapToGrid w:val="0"/>
          <w:lang w:val="en-US" w:eastAsia="en-US"/>
        </w:rPr>
        <w:t xml:space="preserve">, </w:t>
      </w:r>
      <w:r>
        <w:rPr>
          <w:snapToGrid w:val="0"/>
          <w:lang w:val="en-US" w:eastAsia="en-US"/>
        </w:rPr>
        <w:t>under each of the three schemes,</w:t>
      </w:r>
      <w:r w:rsidRPr="002C3476">
        <w:rPr>
          <w:snapToGrid w:val="0"/>
          <w:lang w:val="en-US" w:eastAsia="en-US"/>
        </w:rPr>
        <w:t xml:space="preserve"> is increased in line with the increase in the non-labour costs of providers</w:t>
      </w:r>
      <w:r w:rsidR="007B685C" w:rsidRPr="007B685C">
        <w:t xml:space="preserve"> </w:t>
      </w:r>
      <w:r w:rsidR="007B685C">
        <w:t xml:space="preserve">and the decisions of Fair Work </w:t>
      </w:r>
      <w:r w:rsidR="003E095E">
        <w:t>Commission</w:t>
      </w:r>
      <w:r w:rsidR="007B685C">
        <w:t xml:space="preserve"> as a measure of non-productivity based movements of the wage costs of providers</w:t>
      </w:r>
      <w:r w:rsidRPr="002C3476">
        <w:rPr>
          <w:snapToGrid w:val="0"/>
          <w:lang w:val="en-US" w:eastAsia="en-US"/>
        </w:rPr>
        <w:t>.  This helps to ensure that the standard of care and services provided to recipients of residential aged care services is maintained.</w:t>
      </w:r>
    </w:p>
    <w:p w:rsidR="00961509" w:rsidRPr="00E4135E" w:rsidRDefault="00961509" w:rsidP="00961509">
      <w:pPr>
        <w:spacing w:before="120" w:after="120"/>
        <w:rPr>
          <w:b/>
        </w:rPr>
      </w:pPr>
      <w:r w:rsidRPr="00E4135E">
        <w:rPr>
          <w:b/>
        </w:rPr>
        <w:t>Conclusion</w:t>
      </w:r>
    </w:p>
    <w:p w:rsidR="00961509" w:rsidRDefault="00961509" w:rsidP="00961509">
      <w:pPr>
        <w:spacing w:before="120" w:after="120"/>
      </w:pPr>
      <w:r>
        <w:t xml:space="preserve">This </w:t>
      </w:r>
      <w:r w:rsidRPr="00E4135E">
        <w:t>Legislative Instrument is compatible with human rights</w:t>
      </w:r>
      <w:r w:rsidR="00CB7868">
        <w:t xml:space="preserve"> because it enhances the protection of human rights. </w:t>
      </w:r>
    </w:p>
    <w:p w:rsidR="002C3476" w:rsidRDefault="002C3476" w:rsidP="00961509">
      <w:pPr>
        <w:spacing w:before="120" w:after="120"/>
      </w:pPr>
    </w:p>
    <w:p w:rsidR="002C3476" w:rsidRPr="00E4135E" w:rsidRDefault="002C3476" w:rsidP="003E095E">
      <w:pPr>
        <w:spacing w:before="120" w:after="120"/>
        <w:jc w:val="center"/>
      </w:pPr>
      <w:r w:rsidRPr="00740528">
        <w:rPr>
          <w:b/>
        </w:rPr>
        <w:t>The Hon. Mark Butler MP, Minister for Mental Health and Ageing</w:t>
      </w:r>
    </w:p>
    <w:p w:rsidR="00961509" w:rsidRPr="00E4135E" w:rsidRDefault="00961509" w:rsidP="00961509">
      <w:pPr>
        <w:spacing w:before="120" w:after="120"/>
        <w:jc w:val="center"/>
      </w:pPr>
    </w:p>
    <w:p w:rsidR="00F54883" w:rsidRDefault="00F54883" w:rsidP="00246A63"/>
    <w:sectPr w:rsidR="00F54883" w:rsidSect="00F9679E">
      <w:footerReference w:type="default" r:id="rId8"/>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E1" w:rsidRDefault="009E54E1">
      <w:r>
        <w:separator/>
      </w:r>
    </w:p>
  </w:endnote>
  <w:endnote w:type="continuationSeparator" w:id="0">
    <w:p w:rsidR="009E54E1" w:rsidRDefault="009E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E1" w:rsidRDefault="009E54E1" w:rsidP="00CE3E6A">
    <w:pPr>
      <w:pStyle w:val="Footer"/>
      <w:jc w:val="center"/>
    </w:pPr>
    <w:r>
      <w:rPr>
        <w:rStyle w:val="PageNumber"/>
      </w:rPr>
      <w:fldChar w:fldCharType="begin"/>
    </w:r>
    <w:r>
      <w:rPr>
        <w:rStyle w:val="PageNumber"/>
      </w:rPr>
      <w:instrText xml:space="preserve"> PAGE </w:instrText>
    </w:r>
    <w:r>
      <w:rPr>
        <w:rStyle w:val="PageNumber"/>
      </w:rPr>
      <w:fldChar w:fldCharType="separate"/>
    </w:r>
    <w:r w:rsidR="003E095E">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E1" w:rsidRDefault="009E54E1">
      <w:r>
        <w:separator/>
      </w:r>
    </w:p>
  </w:footnote>
  <w:footnote w:type="continuationSeparator" w:id="0">
    <w:p w:rsidR="009E54E1" w:rsidRDefault="009E5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5126"/>
    <w:multiLevelType w:val="multilevel"/>
    <w:tmpl w:val="A5485F4C"/>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
    <w:nsid w:val="389C7504"/>
    <w:multiLevelType w:val="hybridMultilevel"/>
    <w:tmpl w:val="FDBA6A68"/>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
    <w:nsid w:val="43E57384"/>
    <w:multiLevelType w:val="hybridMultilevel"/>
    <w:tmpl w:val="A5485F4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4D0D314F"/>
    <w:multiLevelType w:val="hybridMultilevel"/>
    <w:tmpl w:val="A7FE37DE"/>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4">
    <w:nsid w:val="5DC506EC"/>
    <w:multiLevelType w:val="hybridMultilevel"/>
    <w:tmpl w:val="7D0255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67266D19"/>
    <w:multiLevelType w:val="hybridMultilevel"/>
    <w:tmpl w:val="41C69AE4"/>
    <w:lvl w:ilvl="0" w:tplc="67D0154E">
      <w:start w:val="1"/>
      <w:numFmt w:val="bullet"/>
      <w:lvlText w:val=""/>
      <w:lvlJc w:val="left"/>
      <w:pPr>
        <w:tabs>
          <w:tab w:val="num" w:pos="687"/>
        </w:tabs>
        <w:ind w:left="687" w:hanging="567"/>
      </w:pPr>
      <w:rPr>
        <w:rFonts w:ascii="Wingdings" w:hAnsi="Wingdings" w:hint="default"/>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6">
    <w:nsid w:val="746338A1"/>
    <w:multiLevelType w:val="hybridMultilevel"/>
    <w:tmpl w:val="846EE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0137D0"/>
    <w:multiLevelType w:val="hybridMultilevel"/>
    <w:tmpl w:val="AE9C4414"/>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1"/>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A5"/>
    <w:rsid w:val="000039F1"/>
    <w:rsid w:val="00007733"/>
    <w:rsid w:val="000126A8"/>
    <w:rsid w:val="000229AC"/>
    <w:rsid w:val="000336C4"/>
    <w:rsid w:val="00035287"/>
    <w:rsid w:val="00040625"/>
    <w:rsid w:val="00042CF3"/>
    <w:rsid w:val="00047BC7"/>
    <w:rsid w:val="000552BD"/>
    <w:rsid w:val="0005757C"/>
    <w:rsid w:val="00071514"/>
    <w:rsid w:val="0008006C"/>
    <w:rsid w:val="00093FFA"/>
    <w:rsid w:val="00094714"/>
    <w:rsid w:val="000A528F"/>
    <w:rsid w:val="000C0E71"/>
    <w:rsid w:val="000D0D42"/>
    <w:rsid w:val="000D3F59"/>
    <w:rsid w:val="000D4DA9"/>
    <w:rsid w:val="000E2A46"/>
    <w:rsid w:val="000F7B72"/>
    <w:rsid w:val="000F7D9D"/>
    <w:rsid w:val="001121D3"/>
    <w:rsid w:val="00121E47"/>
    <w:rsid w:val="00140015"/>
    <w:rsid w:val="00172400"/>
    <w:rsid w:val="001802AD"/>
    <w:rsid w:val="00184E6A"/>
    <w:rsid w:val="00195480"/>
    <w:rsid w:val="00196E96"/>
    <w:rsid w:val="001A181E"/>
    <w:rsid w:val="001B4F48"/>
    <w:rsid w:val="001B5B12"/>
    <w:rsid w:val="001B6120"/>
    <w:rsid w:val="001D183B"/>
    <w:rsid w:val="001D6C7E"/>
    <w:rsid w:val="001F57A5"/>
    <w:rsid w:val="00201648"/>
    <w:rsid w:val="00204883"/>
    <w:rsid w:val="002429AA"/>
    <w:rsid w:val="00246A63"/>
    <w:rsid w:val="00265911"/>
    <w:rsid w:val="00266104"/>
    <w:rsid w:val="002704D2"/>
    <w:rsid w:val="00273479"/>
    <w:rsid w:val="00274762"/>
    <w:rsid w:val="002812D9"/>
    <w:rsid w:val="00295100"/>
    <w:rsid w:val="002A11AC"/>
    <w:rsid w:val="002A7D64"/>
    <w:rsid w:val="002B2DCF"/>
    <w:rsid w:val="002C3476"/>
    <w:rsid w:val="002C59BE"/>
    <w:rsid w:val="002D031F"/>
    <w:rsid w:val="002E3103"/>
    <w:rsid w:val="002E5B1C"/>
    <w:rsid w:val="002E6D33"/>
    <w:rsid w:val="002E7A76"/>
    <w:rsid w:val="002F56CF"/>
    <w:rsid w:val="00321BB5"/>
    <w:rsid w:val="0034176F"/>
    <w:rsid w:val="0034274F"/>
    <w:rsid w:val="00347761"/>
    <w:rsid w:val="00353606"/>
    <w:rsid w:val="00367E93"/>
    <w:rsid w:val="00375D09"/>
    <w:rsid w:val="00383C5A"/>
    <w:rsid w:val="00384040"/>
    <w:rsid w:val="00386AA7"/>
    <w:rsid w:val="00393F51"/>
    <w:rsid w:val="003B63AA"/>
    <w:rsid w:val="003C51D5"/>
    <w:rsid w:val="003D4BFE"/>
    <w:rsid w:val="003D5CF3"/>
    <w:rsid w:val="003E095E"/>
    <w:rsid w:val="003F6665"/>
    <w:rsid w:val="003F6A6A"/>
    <w:rsid w:val="00416D95"/>
    <w:rsid w:val="00417455"/>
    <w:rsid w:val="00436060"/>
    <w:rsid w:val="00441B4A"/>
    <w:rsid w:val="00442D37"/>
    <w:rsid w:val="0044641C"/>
    <w:rsid w:val="00474083"/>
    <w:rsid w:val="00480CA8"/>
    <w:rsid w:val="004810ED"/>
    <w:rsid w:val="00482958"/>
    <w:rsid w:val="00485853"/>
    <w:rsid w:val="004905F4"/>
    <w:rsid w:val="004A4B18"/>
    <w:rsid w:val="004B3C8C"/>
    <w:rsid w:val="004B4B96"/>
    <w:rsid w:val="004B61B1"/>
    <w:rsid w:val="004C5E2A"/>
    <w:rsid w:val="004E7519"/>
    <w:rsid w:val="004F3928"/>
    <w:rsid w:val="004F5E97"/>
    <w:rsid w:val="004F68E5"/>
    <w:rsid w:val="00510751"/>
    <w:rsid w:val="00524572"/>
    <w:rsid w:val="00527D8D"/>
    <w:rsid w:val="00542F65"/>
    <w:rsid w:val="005578CC"/>
    <w:rsid w:val="005706DE"/>
    <w:rsid w:val="00575EEC"/>
    <w:rsid w:val="00587791"/>
    <w:rsid w:val="00591C6A"/>
    <w:rsid w:val="00597087"/>
    <w:rsid w:val="005A0511"/>
    <w:rsid w:val="005A5BE4"/>
    <w:rsid w:val="005C33A0"/>
    <w:rsid w:val="005C7023"/>
    <w:rsid w:val="005C7510"/>
    <w:rsid w:val="005D7263"/>
    <w:rsid w:val="005E5E01"/>
    <w:rsid w:val="006124E3"/>
    <w:rsid w:val="006146E6"/>
    <w:rsid w:val="006314D7"/>
    <w:rsid w:val="006538A9"/>
    <w:rsid w:val="0065397F"/>
    <w:rsid w:val="0066481D"/>
    <w:rsid w:val="00664943"/>
    <w:rsid w:val="00674454"/>
    <w:rsid w:val="00675A0E"/>
    <w:rsid w:val="0067765C"/>
    <w:rsid w:val="006823E9"/>
    <w:rsid w:val="0068454E"/>
    <w:rsid w:val="006A0574"/>
    <w:rsid w:val="006A5732"/>
    <w:rsid w:val="006B1949"/>
    <w:rsid w:val="006B4088"/>
    <w:rsid w:val="006B5F29"/>
    <w:rsid w:val="006C1125"/>
    <w:rsid w:val="006D1640"/>
    <w:rsid w:val="006E1FA3"/>
    <w:rsid w:val="006F5BB5"/>
    <w:rsid w:val="00707B1E"/>
    <w:rsid w:val="007508E0"/>
    <w:rsid w:val="00772D03"/>
    <w:rsid w:val="007775FF"/>
    <w:rsid w:val="00796341"/>
    <w:rsid w:val="007971D3"/>
    <w:rsid w:val="007B685C"/>
    <w:rsid w:val="007C2052"/>
    <w:rsid w:val="007D0346"/>
    <w:rsid w:val="007D218F"/>
    <w:rsid w:val="007D6304"/>
    <w:rsid w:val="007D79B6"/>
    <w:rsid w:val="007E033A"/>
    <w:rsid w:val="007E4DAA"/>
    <w:rsid w:val="007F4E4C"/>
    <w:rsid w:val="007F4EFF"/>
    <w:rsid w:val="0080588F"/>
    <w:rsid w:val="008161E8"/>
    <w:rsid w:val="00832D87"/>
    <w:rsid w:val="008350F6"/>
    <w:rsid w:val="00835CE7"/>
    <w:rsid w:val="008526EC"/>
    <w:rsid w:val="00861CD9"/>
    <w:rsid w:val="00867136"/>
    <w:rsid w:val="00867EE3"/>
    <w:rsid w:val="00873294"/>
    <w:rsid w:val="00880F4F"/>
    <w:rsid w:val="00892009"/>
    <w:rsid w:val="008A4BEE"/>
    <w:rsid w:val="008B2BA3"/>
    <w:rsid w:val="008B54C0"/>
    <w:rsid w:val="008B7AAD"/>
    <w:rsid w:val="008C7175"/>
    <w:rsid w:val="008E361C"/>
    <w:rsid w:val="008E50D0"/>
    <w:rsid w:val="008F081D"/>
    <w:rsid w:val="008F2033"/>
    <w:rsid w:val="008F3317"/>
    <w:rsid w:val="00900677"/>
    <w:rsid w:val="009234C7"/>
    <w:rsid w:val="0092575F"/>
    <w:rsid w:val="009348CF"/>
    <w:rsid w:val="00950052"/>
    <w:rsid w:val="009508F2"/>
    <w:rsid w:val="00961509"/>
    <w:rsid w:val="0097664D"/>
    <w:rsid w:val="00977A66"/>
    <w:rsid w:val="0098324D"/>
    <w:rsid w:val="00983B60"/>
    <w:rsid w:val="00983DF8"/>
    <w:rsid w:val="00984CDC"/>
    <w:rsid w:val="009867A5"/>
    <w:rsid w:val="009D220C"/>
    <w:rsid w:val="009E54E1"/>
    <w:rsid w:val="00A17B30"/>
    <w:rsid w:val="00A242C7"/>
    <w:rsid w:val="00A243B7"/>
    <w:rsid w:val="00A56075"/>
    <w:rsid w:val="00A603C9"/>
    <w:rsid w:val="00A70C78"/>
    <w:rsid w:val="00A70D11"/>
    <w:rsid w:val="00A7238C"/>
    <w:rsid w:val="00A7265F"/>
    <w:rsid w:val="00A73A11"/>
    <w:rsid w:val="00A77C5A"/>
    <w:rsid w:val="00A8146D"/>
    <w:rsid w:val="00A85A82"/>
    <w:rsid w:val="00AC00FB"/>
    <w:rsid w:val="00AD216A"/>
    <w:rsid w:val="00AE3A6C"/>
    <w:rsid w:val="00AE4593"/>
    <w:rsid w:val="00B05802"/>
    <w:rsid w:val="00B06FFC"/>
    <w:rsid w:val="00B16540"/>
    <w:rsid w:val="00B35FBD"/>
    <w:rsid w:val="00B4638B"/>
    <w:rsid w:val="00B60DD6"/>
    <w:rsid w:val="00B633DA"/>
    <w:rsid w:val="00B6408E"/>
    <w:rsid w:val="00B85A4A"/>
    <w:rsid w:val="00B93C6C"/>
    <w:rsid w:val="00BA1934"/>
    <w:rsid w:val="00BA5002"/>
    <w:rsid w:val="00BB0639"/>
    <w:rsid w:val="00BB3906"/>
    <w:rsid w:val="00BB5ACF"/>
    <w:rsid w:val="00BD6D1A"/>
    <w:rsid w:val="00BD6F52"/>
    <w:rsid w:val="00BE315B"/>
    <w:rsid w:val="00BF169F"/>
    <w:rsid w:val="00C107CF"/>
    <w:rsid w:val="00C312D3"/>
    <w:rsid w:val="00C373BE"/>
    <w:rsid w:val="00C42118"/>
    <w:rsid w:val="00C46AFB"/>
    <w:rsid w:val="00C73086"/>
    <w:rsid w:val="00C84F5E"/>
    <w:rsid w:val="00CA1E6D"/>
    <w:rsid w:val="00CA23E0"/>
    <w:rsid w:val="00CA4B6E"/>
    <w:rsid w:val="00CB7868"/>
    <w:rsid w:val="00CD1E13"/>
    <w:rsid w:val="00CD69E5"/>
    <w:rsid w:val="00CE3E6A"/>
    <w:rsid w:val="00D004FF"/>
    <w:rsid w:val="00D064C2"/>
    <w:rsid w:val="00D237E5"/>
    <w:rsid w:val="00D352D0"/>
    <w:rsid w:val="00D41EAD"/>
    <w:rsid w:val="00D502F5"/>
    <w:rsid w:val="00D61451"/>
    <w:rsid w:val="00D67DA0"/>
    <w:rsid w:val="00D73B33"/>
    <w:rsid w:val="00D765CF"/>
    <w:rsid w:val="00DB19AE"/>
    <w:rsid w:val="00DB5D91"/>
    <w:rsid w:val="00DC4FA7"/>
    <w:rsid w:val="00DD08CE"/>
    <w:rsid w:val="00DD3811"/>
    <w:rsid w:val="00DF7A87"/>
    <w:rsid w:val="00E00AE5"/>
    <w:rsid w:val="00E02A0E"/>
    <w:rsid w:val="00E04D01"/>
    <w:rsid w:val="00E05334"/>
    <w:rsid w:val="00E11A25"/>
    <w:rsid w:val="00E15234"/>
    <w:rsid w:val="00E23D7F"/>
    <w:rsid w:val="00E24373"/>
    <w:rsid w:val="00E336C3"/>
    <w:rsid w:val="00E6205A"/>
    <w:rsid w:val="00E66751"/>
    <w:rsid w:val="00E6763A"/>
    <w:rsid w:val="00E87B72"/>
    <w:rsid w:val="00EA492D"/>
    <w:rsid w:val="00EE0122"/>
    <w:rsid w:val="00EE7CB4"/>
    <w:rsid w:val="00EF5785"/>
    <w:rsid w:val="00F10579"/>
    <w:rsid w:val="00F227D5"/>
    <w:rsid w:val="00F261D5"/>
    <w:rsid w:val="00F32428"/>
    <w:rsid w:val="00F401EE"/>
    <w:rsid w:val="00F4467C"/>
    <w:rsid w:val="00F5066A"/>
    <w:rsid w:val="00F51979"/>
    <w:rsid w:val="00F533FC"/>
    <w:rsid w:val="00F54883"/>
    <w:rsid w:val="00F56062"/>
    <w:rsid w:val="00F666F7"/>
    <w:rsid w:val="00F70CFA"/>
    <w:rsid w:val="00F83937"/>
    <w:rsid w:val="00F9679E"/>
    <w:rsid w:val="00FA4B2F"/>
    <w:rsid w:val="00FB5C5F"/>
    <w:rsid w:val="00FC640D"/>
    <w:rsid w:val="00FD2F99"/>
    <w:rsid w:val="00FD3178"/>
    <w:rsid w:val="00FD4691"/>
    <w:rsid w:val="00FD567B"/>
    <w:rsid w:val="00FE005C"/>
    <w:rsid w:val="00FE271F"/>
    <w:rsid w:val="00FE4A5F"/>
    <w:rsid w:val="00FE5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0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66F7"/>
    <w:rPr>
      <w:rFonts w:ascii="Tahoma" w:hAnsi="Tahoma" w:cs="Tahoma"/>
      <w:sz w:val="16"/>
      <w:szCs w:val="16"/>
    </w:rPr>
  </w:style>
  <w:style w:type="paragraph" w:styleId="Header">
    <w:name w:val="header"/>
    <w:basedOn w:val="Normal"/>
    <w:link w:val="HeaderChar"/>
    <w:rsid w:val="00AE3A6C"/>
    <w:pPr>
      <w:tabs>
        <w:tab w:val="center" w:pos="4153"/>
        <w:tab w:val="right" w:pos="8306"/>
      </w:tabs>
    </w:pPr>
  </w:style>
  <w:style w:type="paragraph" w:styleId="Footer">
    <w:name w:val="footer"/>
    <w:basedOn w:val="Normal"/>
    <w:rsid w:val="00AE3A6C"/>
    <w:pPr>
      <w:tabs>
        <w:tab w:val="center" w:pos="4153"/>
        <w:tab w:val="right" w:pos="8306"/>
      </w:tabs>
    </w:pPr>
  </w:style>
  <w:style w:type="character" w:styleId="PageNumber">
    <w:name w:val="page number"/>
    <w:basedOn w:val="DefaultParagraphFont"/>
    <w:rsid w:val="00CE3E6A"/>
  </w:style>
  <w:style w:type="paragraph" w:customStyle="1" w:styleId="CharCharCharCharCharCharChar">
    <w:name w:val="Char Char Char Char Char Char Char"/>
    <w:basedOn w:val="Normal"/>
    <w:rsid w:val="00CE3E6A"/>
    <w:pPr>
      <w:spacing w:after="160" w:line="240" w:lineRule="exact"/>
    </w:pPr>
    <w:rPr>
      <w:rFonts w:ascii="Verdana" w:hAnsi="Verdana" w:cs="Verdana"/>
      <w:sz w:val="20"/>
      <w:szCs w:val="20"/>
      <w:lang w:val="en-US" w:eastAsia="en-US"/>
    </w:rPr>
  </w:style>
  <w:style w:type="paragraph" w:customStyle="1" w:styleId="Char">
    <w:name w:val="Char"/>
    <w:basedOn w:val="Normal"/>
    <w:rsid w:val="006B4088"/>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semiHidden/>
    <w:rsid w:val="00DC4FA7"/>
    <w:rPr>
      <w:sz w:val="16"/>
      <w:szCs w:val="16"/>
    </w:rPr>
  </w:style>
  <w:style w:type="paragraph" w:styleId="CommentText">
    <w:name w:val="annotation text"/>
    <w:basedOn w:val="Normal"/>
    <w:semiHidden/>
    <w:rsid w:val="00DC4FA7"/>
    <w:rPr>
      <w:sz w:val="20"/>
      <w:szCs w:val="20"/>
    </w:rPr>
  </w:style>
  <w:style w:type="paragraph" w:styleId="CommentSubject">
    <w:name w:val="annotation subject"/>
    <w:basedOn w:val="CommentText"/>
    <w:next w:val="CommentText"/>
    <w:semiHidden/>
    <w:rsid w:val="00DC4FA7"/>
    <w:rPr>
      <w:b/>
      <w:bCs/>
    </w:rPr>
  </w:style>
  <w:style w:type="character" w:customStyle="1" w:styleId="HeaderChar">
    <w:name w:val="Header Char"/>
    <w:basedOn w:val="DefaultParagraphFont"/>
    <w:link w:val="Header"/>
    <w:rsid w:val="00F54883"/>
    <w:rPr>
      <w:sz w:val="24"/>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0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66F7"/>
    <w:rPr>
      <w:rFonts w:ascii="Tahoma" w:hAnsi="Tahoma" w:cs="Tahoma"/>
      <w:sz w:val="16"/>
      <w:szCs w:val="16"/>
    </w:rPr>
  </w:style>
  <w:style w:type="paragraph" w:styleId="Header">
    <w:name w:val="header"/>
    <w:basedOn w:val="Normal"/>
    <w:link w:val="HeaderChar"/>
    <w:rsid w:val="00AE3A6C"/>
    <w:pPr>
      <w:tabs>
        <w:tab w:val="center" w:pos="4153"/>
        <w:tab w:val="right" w:pos="8306"/>
      </w:tabs>
    </w:pPr>
  </w:style>
  <w:style w:type="paragraph" w:styleId="Footer">
    <w:name w:val="footer"/>
    <w:basedOn w:val="Normal"/>
    <w:rsid w:val="00AE3A6C"/>
    <w:pPr>
      <w:tabs>
        <w:tab w:val="center" w:pos="4153"/>
        <w:tab w:val="right" w:pos="8306"/>
      </w:tabs>
    </w:pPr>
  </w:style>
  <w:style w:type="character" w:styleId="PageNumber">
    <w:name w:val="page number"/>
    <w:basedOn w:val="DefaultParagraphFont"/>
    <w:rsid w:val="00CE3E6A"/>
  </w:style>
  <w:style w:type="paragraph" w:customStyle="1" w:styleId="CharCharCharCharCharCharChar">
    <w:name w:val="Char Char Char Char Char Char Char"/>
    <w:basedOn w:val="Normal"/>
    <w:rsid w:val="00CE3E6A"/>
    <w:pPr>
      <w:spacing w:after="160" w:line="240" w:lineRule="exact"/>
    </w:pPr>
    <w:rPr>
      <w:rFonts w:ascii="Verdana" w:hAnsi="Verdana" w:cs="Verdana"/>
      <w:sz w:val="20"/>
      <w:szCs w:val="20"/>
      <w:lang w:val="en-US" w:eastAsia="en-US"/>
    </w:rPr>
  </w:style>
  <w:style w:type="paragraph" w:customStyle="1" w:styleId="Char">
    <w:name w:val="Char"/>
    <w:basedOn w:val="Normal"/>
    <w:rsid w:val="006B4088"/>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semiHidden/>
    <w:rsid w:val="00DC4FA7"/>
    <w:rPr>
      <w:sz w:val="16"/>
      <w:szCs w:val="16"/>
    </w:rPr>
  </w:style>
  <w:style w:type="paragraph" w:styleId="CommentText">
    <w:name w:val="annotation text"/>
    <w:basedOn w:val="Normal"/>
    <w:semiHidden/>
    <w:rsid w:val="00DC4FA7"/>
    <w:rPr>
      <w:sz w:val="20"/>
      <w:szCs w:val="20"/>
    </w:rPr>
  </w:style>
  <w:style w:type="paragraph" w:styleId="CommentSubject">
    <w:name w:val="annotation subject"/>
    <w:basedOn w:val="CommentText"/>
    <w:next w:val="CommentText"/>
    <w:semiHidden/>
    <w:rsid w:val="00DC4FA7"/>
    <w:rPr>
      <w:b/>
      <w:bCs/>
    </w:rPr>
  </w:style>
  <w:style w:type="character" w:customStyle="1" w:styleId="HeaderChar">
    <w:name w:val="Header Char"/>
    <w:basedOn w:val="DefaultParagraphFont"/>
    <w:link w:val="Header"/>
    <w:rsid w:val="00F54883"/>
    <w:rPr>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09856">
      <w:bodyDiv w:val="1"/>
      <w:marLeft w:val="0"/>
      <w:marRight w:val="0"/>
      <w:marTop w:val="0"/>
      <w:marBottom w:val="0"/>
      <w:divBdr>
        <w:top w:val="none" w:sz="0" w:space="0" w:color="auto"/>
        <w:left w:val="none" w:sz="0" w:space="0" w:color="auto"/>
        <w:bottom w:val="none" w:sz="0" w:space="0" w:color="auto"/>
        <w:right w:val="none" w:sz="0" w:space="0" w:color="auto"/>
      </w:divBdr>
      <w:divsChild>
        <w:div w:id="2056003137">
          <w:marLeft w:val="0"/>
          <w:marRight w:val="0"/>
          <w:marTop w:val="0"/>
          <w:marBottom w:val="0"/>
          <w:divBdr>
            <w:top w:val="none" w:sz="0" w:space="0" w:color="auto"/>
            <w:left w:val="none" w:sz="0" w:space="0" w:color="auto"/>
            <w:bottom w:val="none" w:sz="0" w:space="0" w:color="auto"/>
            <w:right w:val="none" w:sz="0" w:space="0" w:color="auto"/>
          </w:divBdr>
          <w:divsChild>
            <w:div w:id="1038704907">
              <w:marLeft w:val="0"/>
              <w:marRight w:val="0"/>
              <w:marTop w:val="0"/>
              <w:marBottom w:val="0"/>
              <w:divBdr>
                <w:top w:val="none" w:sz="0" w:space="0" w:color="auto"/>
                <w:left w:val="none" w:sz="0" w:space="0" w:color="auto"/>
                <w:bottom w:val="none" w:sz="0" w:space="0" w:color="auto"/>
                <w:right w:val="none" w:sz="0" w:space="0" w:color="auto"/>
              </w:divBdr>
              <w:divsChild>
                <w:div w:id="273250878">
                  <w:marLeft w:val="0"/>
                  <w:marRight w:val="0"/>
                  <w:marTop w:val="0"/>
                  <w:marBottom w:val="0"/>
                  <w:divBdr>
                    <w:top w:val="none" w:sz="0" w:space="0" w:color="auto"/>
                    <w:left w:val="none" w:sz="0" w:space="0" w:color="auto"/>
                    <w:bottom w:val="none" w:sz="0" w:space="0" w:color="auto"/>
                    <w:right w:val="none" w:sz="0" w:space="0" w:color="auto"/>
                  </w:divBdr>
                  <w:divsChild>
                    <w:div w:id="1712876168">
                      <w:marLeft w:val="0"/>
                      <w:marRight w:val="0"/>
                      <w:marTop w:val="0"/>
                      <w:marBottom w:val="0"/>
                      <w:divBdr>
                        <w:top w:val="none" w:sz="0" w:space="0" w:color="auto"/>
                        <w:left w:val="none" w:sz="0" w:space="0" w:color="auto"/>
                        <w:bottom w:val="none" w:sz="0" w:space="0" w:color="auto"/>
                        <w:right w:val="none" w:sz="0" w:space="0" w:color="auto"/>
                      </w:divBdr>
                      <w:divsChild>
                        <w:div w:id="663245289">
                          <w:marLeft w:val="0"/>
                          <w:marRight w:val="0"/>
                          <w:marTop w:val="0"/>
                          <w:marBottom w:val="0"/>
                          <w:divBdr>
                            <w:top w:val="single" w:sz="6" w:space="0" w:color="828282"/>
                            <w:left w:val="single" w:sz="6" w:space="0" w:color="828282"/>
                            <w:bottom w:val="single" w:sz="6" w:space="0" w:color="828282"/>
                            <w:right w:val="single" w:sz="6" w:space="0" w:color="828282"/>
                          </w:divBdr>
                          <w:divsChild>
                            <w:div w:id="201407513">
                              <w:marLeft w:val="0"/>
                              <w:marRight w:val="0"/>
                              <w:marTop w:val="0"/>
                              <w:marBottom w:val="0"/>
                              <w:divBdr>
                                <w:top w:val="none" w:sz="0" w:space="0" w:color="auto"/>
                                <w:left w:val="none" w:sz="0" w:space="0" w:color="auto"/>
                                <w:bottom w:val="none" w:sz="0" w:space="0" w:color="auto"/>
                                <w:right w:val="none" w:sz="0" w:space="0" w:color="auto"/>
                              </w:divBdr>
                              <w:divsChild>
                                <w:div w:id="385033939">
                                  <w:marLeft w:val="0"/>
                                  <w:marRight w:val="0"/>
                                  <w:marTop w:val="0"/>
                                  <w:marBottom w:val="0"/>
                                  <w:divBdr>
                                    <w:top w:val="none" w:sz="0" w:space="0" w:color="auto"/>
                                    <w:left w:val="none" w:sz="0" w:space="0" w:color="auto"/>
                                    <w:bottom w:val="none" w:sz="0" w:space="0" w:color="auto"/>
                                    <w:right w:val="none" w:sz="0" w:space="0" w:color="auto"/>
                                  </w:divBdr>
                                  <w:divsChild>
                                    <w:div w:id="1646818152">
                                      <w:marLeft w:val="0"/>
                                      <w:marRight w:val="0"/>
                                      <w:marTop w:val="0"/>
                                      <w:marBottom w:val="0"/>
                                      <w:divBdr>
                                        <w:top w:val="none" w:sz="0" w:space="0" w:color="auto"/>
                                        <w:left w:val="none" w:sz="0" w:space="0" w:color="auto"/>
                                        <w:bottom w:val="none" w:sz="0" w:space="0" w:color="auto"/>
                                        <w:right w:val="none" w:sz="0" w:space="0" w:color="auto"/>
                                      </w:divBdr>
                                      <w:divsChild>
                                        <w:div w:id="1337345602">
                                          <w:marLeft w:val="0"/>
                                          <w:marRight w:val="0"/>
                                          <w:marTop w:val="0"/>
                                          <w:marBottom w:val="0"/>
                                          <w:divBdr>
                                            <w:top w:val="none" w:sz="0" w:space="0" w:color="auto"/>
                                            <w:left w:val="none" w:sz="0" w:space="0" w:color="auto"/>
                                            <w:bottom w:val="none" w:sz="0" w:space="0" w:color="auto"/>
                                            <w:right w:val="none" w:sz="0" w:space="0" w:color="auto"/>
                                          </w:divBdr>
                                          <w:divsChild>
                                            <w:div w:id="1570000817">
                                              <w:marLeft w:val="0"/>
                                              <w:marRight w:val="0"/>
                                              <w:marTop w:val="0"/>
                                              <w:marBottom w:val="0"/>
                                              <w:divBdr>
                                                <w:top w:val="none" w:sz="0" w:space="0" w:color="auto"/>
                                                <w:left w:val="none" w:sz="0" w:space="0" w:color="auto"/>
                                                <w:bottom w:val="none" w:sz="0" w:space="0" w:color="auto"/>
                                                <w:right w:val="none" w:sz="0" w:space="0" w:color="auto"/>
                                              </w:divBdr>
                                              <w:divsChild>
                                                <w:div w:id="19689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DRAFT</vt:lpstr>
    </vt:vector>
  </TitlesOfParts>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
  <cp:lastModifiedBy/>
  <cp:revision>1</cp:revision>
  <cp:lastPrinted>2012-06-06T04:07:00Z</cp:lastPrinted>
  <dcterms:created xsi:type="dcterms:W3CDTF">2013-06-20T23:09:00Z</dcterms:created>
  <dcterms:modified xsi:type="dcterms:W3CDTF">2013-06-20T23:09:00Z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