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D" w:rsidRPr="00DB3825" w:rsidRDefault="00BB5A3D">
      <w:pPr>
        <w:pStyle w:val="Title"/>
        <w:spacing w:after="240"/>
        <w:rPr>
          <w:b/>
          <w:bCs/>
          <w:szCs w:val="24"/>
        </w:rPr>
      </w:pPr>
      <w:r w:rsidRPr="00DB3825">
        <w:rPr>
          <w:b/>
          <w:bCs/>
          <w:szCs w:val="24"/>
        </w:rPr>
        <w:t>EXPLANATORY STATEMENT</w:t>
      </w:r>
    </w:p>
    <w:p w:rsidR="00BB5A3D" w:rsidRPr="00DB3825" w:rsidRDefault="00BB5A3D" w:rsidP="00C74A16">
      <w:pPr>
        <w:spacing w:before="120" w:after="120"/>
        <w:jc w:val="center"/>
        <w:rPr>
          <w:sz w:val="24"/>
          <w:szCs w:val="24"/>
        </w:rPr>
      </w:pPr>
      <w:r w:rsidRPr="00DB3825">
        <w:rPr>
          <w:sz w:val="24"/>
          <w:szCs w:val="24"/>
        </w:rPr>
        <w:t>Issued by the authority of the Minister for Finance and Deregulation</w:t>
      </w:r>
    </w:p>
    <w:p w:rsidR="00BB5A3D" w:rsidRPr="00581AF3" w:rsidRDefault="00BB5A3D" w:rsidP="00C74A16">
      <w:pPr>
        <w:spacing w:before="120" w:after="120"/>
        <w:jc w:val="center"/>
        <w:rPr>
          <w:sz w:val="24"/>
          <w:szCs w:val="24"/>
        </w:rPr>
      </w:pPr>
    </w:p>
    <w:p w:rsidR="00BB5A3D" w:rsidRPr="00DB3825" w:rsidRDefault="00BB5A3D" w:rsidP="007272F2">
      <w:pPr>
        <w:pStyle w:val="Heading3"/>
        <w:rPr>
          <w:szCs w:val="24"/>
        </w:rPr>
      </w:pPr>
      <w:r>
        <w:rPr>
          <w:szCs w:val="24"/>
        </w:rPr>
        <w:t xml:space="preserve">The Determination to which this </w:t>
      </w:r>
      <w:r w:rsidRPr="00C72D9E">
        <w:rPr>
          <w:szCs w:val="24"/>
        </w:rPr>
        <w:t>Explanatory Statement relates</w:t>
      </w:r>
    </w:p>
    <w:p w:rsidR="00BB5A3D" w:rsidRDefault="00BB5A3D" w:rsidP="0043508F">
      <w:pPr>
        <w:spacing w:before="120" w:after="120"/>
        <w:rPr>
          <w:sz w:val="24"/>
          <w:szCs w:val="24"/>
        </w:rPr>
      </w:pPr>
      <w:r w:rsidRPr="00C72D9E">
        <w:rPr>
          <w:sz w:val="24"/>
          <w:szCs w:val="24"/>
        </w:rPr>
        <w:t xml:space="preserve">This Explanatory Statement relates to </w:t>
      </w:r>
      <w:r>
        <w:rPr>
          <w:sz w:val="24"/>
          <w:szCs w:val="24"/>
        </w:rPr>
        <w:t xml:space="preserve">the </w:t>
      </w:r>
      <w:r w:rsidRPr="00C72D9E">
        <w:rPr>
          <w:sz w:val="24"/>
          <w:szCs w:val="24"/>
        </w:rPr>
        <w:t xml:space="preserve">determination </w:t>
      </w:r>
      <w:r>
        <w:rPr>
          <w:sz w:val="24"/>
          <w:szCs w:val="24"/>
        </w:rPr>
        <w:t xml:space="preserve">named </w:t>
      </w:r>
      <w:r w:rsidRPr="00C20CC1">
        <w:rPr>
          <w:i/>
          <w:sz w:val="24"/>
          <w:szCs w:val="24"/>
        </w:rPr>
        <w:t xml:space="preserve">ARENA Act </w:t>
      </w:r>
      <w:r>
        <w:rPr>
          <w:i/>
          <w:sz w:val="24"/>
          <w:szCs w:val="24"/>
        </w:rPr>
        <w:t>S</w:t>
      </w:r>
      <w:r w:rsidR="00AD0A5A">
        <w:rPr>
          <w:i/>
          <w:sz w:val="24"/>
          <w:szCs w:val="24"/>
        </w:rPr>
        <w:t>ubsection 64</w:t>
      </w:r>
      <w:r w:rsidRPr="00C20CC1">
        <w:rPr>
          <w:i/>
          <w:sz w:val="24"/>
          <w:szCs w:val="24"/>
        </w:rPr>
        <w:t xml:space="preserve">(3) Determination 2013/01. </w:t>
      </w:r>
      <w:r>
        <w:rPr>
          <w:i/>
          <w:sz w:val="24"/>
          <w:szCs w:val="24"/>
        </w:rPr>
        <w:t xml:space="preserve"> </w:t>
      </w:r>
      <w:r w:rsidRPr="0043508F">
        <w:rPr>
          <w:sz w:val="24"/>
        </w:rPr>
        <w:t>Th</w:t>
      </w:r>
      <w:r>
        <w:rPr>
          <w:sz w:val="24"/>
        </w:rPr>
        <w:t>e determination is made under s</w:t>
      </w:r>
      <w:r w:rsidRPr="00B80EF0">
        <w:rPr>
          <w:sz w:val="24"/>
          <w:szCs w:val="24"/>
        </w:rPr>
        <w:t>ubsect</w:t>
      </w:r>
      <w:r>
        <w:rPr>
          <w:sz w:val="24"/>
          <w:szCs w:val="24"/>
        </w:rPr>
        <w:t xml:space="preserve">ion 64(3) of the </w:t>
      </w:r>
      <w:r>
        <w:rPr>
          <w:i/>
          <w:sz w:val="24"/>
          <w:szCs w:val="24"/>
        </w:rPr>
        <w:t>Australian Renewable Energy Agency Act 2011</w:t>
      </w:r>
      <w:r>
        <w:rPr>
          <w:sz w:val="24"/>
          <w:szCs w:val="24"/>
        </w:rPr>
        <w:t xml:space="preserve"> (ARENA Act).</w:t>
      </w:r>
    </w:p>
    <w:p w:rsidR="00BB5A3D" w:rsidRDefault="00AD0A5A" w:rsidP="00AF781F">
      <w:pPr>
        <w:spacing w:before="120" w:after="120"/>
        <w:ind w:right="-113"/>
        <w:rPr>
          <w:sz w:val="24"/>
          <w:szCs w:val="24"/>
        </w:rPr>
      </w:pPr>
      <w:r>
        <w:rPr>
          <w:sz w:val="24"/>
          <w:szCs w:val="24"/>
        </w:rPr>
        <w:t>Subsection 64</w:t>
      </w:r>
      <w:r w:rsidR="00BB5A3D">
        <w:rPr>
          <w:sz w:val="24"/>
          <w:szCs w:val="24"/>
        </w:rPr>
        <w:t xml:space="preserve">(3) of the ARENA Act </w:t>
      </w:r>
      <w:r w:rsidR="00BB5A3D" w:rsidRPr="00B80EF0">
        <w:rPr>
          <w:sz w:val="24"/>
          <w:szCs w:val="24"/>
        </w:rPr>
        <w:t>provides</w:t>
      </w:r>
      <w:r w:rsidR="00BB5A3D">
        <w:rPr>
          <w:sz w:val="24"/>
          <w:szCs w:val="24"/>
        </w:rPr>
        <w:t xml:space="preserve"> that the Finance Minister may </w:t>
      </w:r>
      <w:r w:rsidR="00BB5A3D" w:rsidRPr="00B80EF0">
        <w:rPr>
          <w:sz w:val="24"/>
          <w:szCs w:val="24"/>
        </w:rPr>
        <w:t>determine by legislative instrument</w:t>
      </w:r>
      <w:r w:rsidR="00BB5A3D">
        <w:rPr>
          <w:sz w:val="24"/>
          <w:szCs w:val="24"/>
        </w:rPr>
        <w:t xml:space="preserve">, </w:t>
      </w:r>
      <w:r w:rsidR="00BB5A3D" w:rsidRPr="00B80EF0">
        <w:rPr>
          <w:sz w:val="24"/>
          <w:szCs w:val="24"/>
        </w:rPr>
        <w:t>in the 2012-2013 financial year, an amount</w:t>
      </w:r>
      <w:r w:rsidR="00BB5A3D">
        <w:rPr>
          <w:sz w:val="24"/>
          <w:szCs w:val="24"/>
        </w:rPr>
        <w:t xml:space="preserve">. 'Finance Minister' is defined in section 4 of the ARENA Act to be the Minister who administers the </w:t>
      </w:r>
      <w:r w:rsidR="00542775" w:rsidRPr="00542775">
        <w:rPr>
          <w:i/>
          <w:sz w:val="24"/>
          <w:szCs w:val="24"/>
        </w:rPr>
        <w:t>Financial Management and Accountability Act 1997</w:t>
      </w:r>
      <w:r w:rsidR="00BB5A3D">
        <w:rPr>
          <w:sz w:val="24"/>
          <w:szCs w:val="24"/>
        </w:rPr>
        <w:t xml:space="preserve">, being the Minister for Finance and Deregulation. Subsection 64(4) of the ARENA Act provides that the amount determined by the Finance Minister under subsection 64(3) is </w:t>
      </w:r>
      <w:r w:rsidR="00BB5A3D" w:rsidRPr="00DD195E">
        <w:rPr>
          <w:sz w:val="24"/>
          <w:szCs w:val="24"/>
        </w:rPr>
        <w:t xml:space="preserve">debited from </w:t>
      </w:r>
      <w:r w:rsidR="00BB5A3D" w:rsidRPr="00B80EF0">
        <w:rPr>
          <w:sz w:val="24"/>
          <w:szCs w:val="24"/>
        </w:rPr>
        <w:t>the Clean Energy Initiative</w:t>
      </w:r>
      <w:r w:rsidR="00BB5A3D">
        <w:rPr>
          <w:sz w:val="24"/>
          <w:szCs w:val="24"/>
        </w:rPr>
        <w:t xml:space="preserve"> </w:t>
      </w:r>
      <w:r w:rsidR="00BB5A3D" w:rsidRPr="00B80EF0">
        <w:rPr>
          <w:sz w:val="24"/>
          <w:szCs w:val="24"/>
        </w:rPr>
        <w:t>Special Account</w:t>
      </w:r>
      <w:r w:rsidR="00BB5A3D">
        <w:rPr>
          <w:sz w:val="24"/>
          <w:szCs w:val="24"/>
        </w:rPr>
        <w:t xml:space="preserve"> (CEI Special Account) and that the table in subsection 64(1) has effect as if the amount for</w:t>
      </w:r>
      <w:r w:rsidR="002C5B00">
        <w:rPr>
          <w:sz w:val="24"/>
          <w:szCs w:val="24"/>
        </w:rPr>
        <w:t xml:space="preserve"> the 2012-2013 financial year w</w:t>
      </w:r>
      <w:r w:rsidR="00BB5A3D">
        <w:rPr>
          <w:sz w:val="24"/>
          <w:szCs w:val="24"/>
        </w:rPr>
        <w:t xml:space="preserve">ere increased (or further increased) by the amount determined. </w:t>
      </w:r>
    </w:p>
    <w:p w:rsidR="00BB5A3D" w:rsidRDefault="00BB5A3D" w:rsidP="00AF781F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determination is for the amount of </w:t>
      </w:r>
      <w:r w:rsidR="004C731D">
        <w:rPr>
          <w:sz w:val="24"/>
          <w:szCs w:val="24"/>
        </w:rPr>
        <w:t>$278,892,619.29</w:t>
      </w:r>
      <w:r>
        <w:rPr>
          <w:sz w:val="24"/>
          <w:szCs w:val="24"/>
        </w:rPr>
        <w:t xml:space="preserve">. </w:t>
      </w:r>
      <w:r w:rsidR="004F0A97">
        <w:rPr>
          <w:sz w:val="24"/>
          <w:szCs w:val="24"/>
        </w:rPr>
        <w:t xml:space="preserve"> At the time of making the determination, t</w:t>
      </w:r>
      <w:r>
        <w:rPr>
          <w:sz w:val="24"/>
          <w:szCs w:val="24"/>
        </w:rPr>
        <w:t>his amount does not exceed the balance of the CEI Special Account.</w:t>
      </w:r>
    </w:p>
    <w:p w:rsidR="00BB5A3D" w:rsidRDefault="00BB5A3D" w:rsidP="0049118F">
      <w:pPr>
        <w:pStyle w:val="Heading3"/>
        <w:rPr>
          <w:szCs w:val="24"/>
        </w:rPr>
      </w:pPr>
      <w:r>
        <w:rPr>
          <w:szCs w:val="24"/>
        </w:rPr>
        <w:t>Purpose and operation of the Determination</w:t>
      </w:r>
    </w:p>
    <w:p w:rsidR="004F0A97" w:rsidRDefault="004F0A97" w:rsidP="00DD195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determination will enable the amount available to ARENA during the 2012-2013 financial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, under subsection 64(1) of the ARENA Act, to be increased by </w:t>
      </w:r>
      <w:r w:rsidRPr="005B1D18">
        <w:rPr>
          <w:sz w:val="24"/>
          <w:szCs w:val="24"/>
        </w:rPr>
        <w:t>$278,892,619.29</w:t>
      </w:r>
      <w:r>
        <w:rPr>
          <w:sz w:val="24"/>
          <w:szCs w:val="24"/>
        </w:rPr>
        <w:t>.  Amounts available for payment to ARENA are set out in the table in subsection 64(1) of the ARENA Act.</w:t>
      </w:r>
    </w:p>
    <w:p w:rsidR="004F0A97" w:rsidRPr="00581AF3" w:rsidRDefault="004F0A97" w:rsidP="004F0A97">
      <w:pPr>
        <w:pStyle w:val="Heading3"/>
        <w:keepNext w:val="0"/>
        <w:rPr>
          <w:b w:val="0"/>
          <w:bCs w:val="0"/>
          <w:szCs w:val="24"/>
        </w:rPr>
      </w:pPr>
      <w:r w:rsidRPr="00581AF3">
        <w:rPr>
          <w:b w:val="0"/>
          <w:bCs w:val="0"/>
          <w:szCs w:val="24"/>
        </w:rPr>
        <w:t xml:space="preserve">The </w:t>
      </w:r>
      <w:r>
        <w:rPr>
          <w:b w:val="0"/>
          <w:bCs w:val="0"/>
          <w:szCs w:val="24"/>
        </w:rPr>
        <w:t>d</w:t>
      </w:r>
      <w:r w:rsidRPr="00581AF3">
        <w:rPr>
          <w:b w:val="0"/>
          <w:bCs w:val="0"/>
          <w:szCs w:val="24"/>
        </w:rPr>
        <w:t>etermination is a legislative instrument subject to section 42 (disallowance) and Part 6 (</w:t>
      </w:r>
      <w:proofErr w:type="spellStart"/>
      <w:r w:rsidRPr="00581AF3">
        <w:rPr>
          <w:b w:val="0"/>
          <w:bCs w:val="0"/>
          <w:szCs w:val="24"/>
        </w:rPr>
        <w:t>sunsetting</w:t>
      </w:r>
      <w:proofErr w:type="spellEnd"/>
      <w:r w:rsidRPr="00581AF3">
        <w:rPr>
          <w:b w:val="0"/>
          <w:bCs w:val="0"/>
          <w:szCs w:val="24"/>
        </w:rPr>
        <w:t xml:space="preserve">) of the </w:t>
      </w:r>
      <w:r w:rsidRPr="00F33282">
        <w:rPr>
          <w:b w:val="0"/>
          <w:bCs w:val="0"/>
          <w:i/>
          <w:szCs w:val="24"/>
        </w:rPr>
        <w:t>Legislative Instruments Act 2003</w:t>
      </w:r>
      <w:r w:rsidRPr="00581AF3">
        <w:rPr>
          <w:b w:val="0"/>
          <w:bCs w:val="0"/>
          <w:szCs w:val="24"/>
        </w:rPr>
        <w:t>. </w:t>
      </w:r>
    </w:p>
    <w:p w:rsidR="00BB5A3D" w:rsidRDefault="00BB5A3D" w:rsidP="00AC241E">
      <w:pPr>
        <w:spacing w:before="120" w:after="120"/>
        <w:rPr>
          <w:sz w:val="24"/>
          <w:szCs w:val="24"/>
        </w:rPr>
      </w:pPr>
      <w:r w:rsidRPr="00AC241E">
        <w:rPr>
          <w:sz w:val="24"/>
          <w:szCs w:val="24"/>
        </w:rPr>
        <w:t>ARENA</w:t>
      </w:r>
      <w:r>
        <w:rPr>
          <w:sz w:val="24"/>
          <w:szCs w:val="24"/>
        </w:rPr>
        <w:t xml:space="preserve"> was established on 1 July 2012 as </w:t>
      </w:r>
      <w:r w:rsidRPr="00AC241E">
        <w:rPr>
          <w:sz w:val="24"/>
          <w:szCs w:val="24"/>
        </w:rPr>
        <w:t>a Commonwealth authority</w:t>
      </w:r>
      <w:r>
        <w:rPr>
          <w:sz w:val="24"/>
          <w:szCs w:val="24"/>
        </w:rPr>
        <w:t xml:space="preserve"> to support</w:t>
      </w:r>
      <w:r w:rsidRPr="00AC241E">
        <w:rPr>
          <w:sz w:val="24"/>
          <w:szCs w:val="24"/>
        </w:rPr>
        <w:t xml:space="preserve"> innovations that improve the competitiveness of renewable energy technologies and increase the supply of renewable energy in Australia.</w:t>
      </w:r>
    </w:p>
    <w:p w:rsidR="004F0A97" w:rsidRPr="00861474" w:rsidRDefault="004F0A97" w:rsidP="004F0A97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The CEI Special Account was established under section 20 of the </w:t>
      </w:r>
      <w:r>
        <w:rPr>
          <w:i/>
          <w:sz w:val="24"/>
          <w:szCs w:val="24"/>
        </w:rPr>
        <w:t xml:space="preserve">Financial Management and Accountability Act 1997.  </w:t>
      </w:r>
      <w:r>
        <w:rPr>
          <w:sz w:val="24"/>
          <w:szCs w:val="24"/>
        </w:rPr>
        <w:t xml:space="preserve">The purposes of the Special Account are to </w:t>
      </w:r>
      <w:r w:rsidRPr="00861474">
        <w:rPr>
          <w:sz w:val="24"/>
          <w:szCs w:val="24"/>
        </w:rPr>
        <w:t>meet expenses related to initiatives that support the growth of clean energy generation</w:t>
      </w:r>
      <w:r>
        <w:rPr>
          <w:sz w:val="24"/>
          <w:szCs w:val="24"/>
        </w:rPr>
        <w:t xml:space="preserve">, the growth of related </w:t>
      </w:r>
      <w:r w:rsidRPr="00861474">
        <w:rPr>
          <w:sz w:val="24"/>
          <w:szCs w:val="24"/>
        </w:rPr>
        <w:t xml:space="preserve">new </w:t>
      </w:r>
      <w:r>
        <w:rPr>
          <w:sz w:val="24"/>
          <w:szCs w:val="24"/>
        </w:rPr>
        <w:t>technologies and the reduction of carbon emissions.</w:t>
      </w:r>
    </w:p>
    <w:p w:rsidR="00BB5A3D" w:rsidRDefault="00BB5A3D" w:rsidP="00581AF3">
      <w:pPr>
        <w:pStyle w:val="Heading3"/>
        <w:spacing w:before="0"/>
        <w:jc w:val="both"/>
      </w:pPr>
      <w:r>
        <w:t>Statement of Compatibility with Human Rights</w:t>
      </w:r>
    </w:p>
    <w:p w:rsidR="00594848" w:rsidRDefault="00BB5A3D" w:rsidP="00665BE4">
      <w:pPr>
        <w:spacing w:before="120"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Legislative instruments provided for under the ARE</w:t>
      </w:r>
      <w:r w:rsidR="00665BE4">
        <w:rPr>
          <w:sz w:val="24"/>
          <w:szCs w:val="24"/>
        </w:rPr>
        <w:t xml:space="preserve">NA Act by the Finance Minister </w:t>
      </w:r>
      <w:r>
        <w:rPr>
          <w:sz w:val="24"/>
          <w:szCs w:val="24"/>
        </w:rPr>
        <w:t xml:space="preserve">are subject to the rights or freedoms relevant to the </w:t>
      </w:r>
      <w:r>
        <w:rPr>
          <w:i/>
          <w:iCs/>
          <w:sz w:val="24"/>
          <w:szCs w:val="24"/>
        </w:rPr>
        <w:t>Human Rights (Parliamentary Scrutiny) Act 2011</w:t>
      </w:r>
      <w:r>
        <w:rPr>
          <w:sz w:val="24"/>
          <w:szCs w:val="24"/>
        </w:rPr>
        <w:t xml:space="preserve"> and </w:t>
      </w:r>
      <w:r w:rsidRPr="00DF7C9C">
        <w:rPr>
          <w:sz w:val="24"/>
          <w:szCs w:val="24"/>
        </w:rPr>
        <w:t>require a Statement of Compatibility with Human Rights</w:t>
      </w:r>
      <w:r w:rsidR="00665BE4">
        <w:rPr>
          <w:sz w:val="24"/>
          <w:szCs w:val="24"/>
        </w:rPr>
        <w:t xml:space="preserve">.  That Act applies to </w:t>
      </w:r>
      <w:r w:rsidRPr="00DF7C9C">
        <w:rPr>
          <w:sz w:val="24"/>
          <w:szCs w:val="24"/>
        </w:rPr>
        <w:t>legislative instruments</w:t>
      </w:r>
      <w:r w:rsidR="00B56BAB">
        <w:rPr>
          <w:sz w:val="24"/>
          <w:szCs w:val="24"/>
        </w:rPr>
        <w:t xml:space="preserve"> </w:t>
      </w:r>
      <w:r w:rsidR="00665BE4">
        <w:rPr>
          <w:sz w:val="24"/>
          <w:szCs w:val="24"/>
        </w:rPr>
        <w:t xml:space="preserve">that are </w:t>
      </w:r>
      <w:r w:rsidRPr="00DF7C9C">
        <w:rPr>
          <w:sz w:val="24"/>
          <w:szCs w:val="24"/>
        </w:rPr>
        <w:t>subject to disallowance under section 42 of the</w:t>
      </w:r>
      <w:r w:rsidRPr="00DF7C9C">
        <w:rPr>
          <w:i/>
          <w:iCs/>
          <w:sz w:val="24"/>
          <w:szCs w:val="24"/>
        </w:rPr>
        <w:t xml:space="preserve"> Legislative Instruments Act 200</w:t>
      </w:r>
      <w:r>
        <w:rPr>
          <w:i/>
          <w:iCs/>
          <w:sz w:val="24"/>
          <w:szCs w:val="24"/>
        </w:rPr>
        <w:t>3</w:t>
      </w:r>
      <w:r w:rsidR="00665BE4">
        <w:rPr>
          <w:i/>
          <w:iCs/>
          <w:sz w:val="24"/>
          <w:szCs w:val="24"/>
        </w:rPr>
        <w:t>.</w:t>
      </w:r>
    </w:p>
    <w:p w:rsidR="00594848" w:rsidRDefault="00F53BF5" w:rsidP="00665BE4">
      <w:pPr>
        <w:pStyle w:val="paragraph"/>
        <w:spacing w:before="120" w:beforeAutospacing="0" w:after="120" w:afterAutospacing="0"/>
      </w:pPr>
      <w:r>
        <w:rPr>
          <w:iCs/>
        </w:rPr>
        <w:t>The main object of the ARENA Act is to improve th</w:t>
      </w:r>
      <w:r w:rsidR="00C837F5">
        <w:rPr>
          <w:iCs/>
        </w:rPr>
        <w:t xml:space="preserve">e competitiveness of renewable energy technologies </w:t>
      </w:r>
      <w:r w:rsidRPr="00C837F5">
        <w:rPr>
          <w:iCs/>
        </w:rPr>
        <w:t>and</w:t>
      </w:r>
      <w:r w:rsidR="00C837F5">
        <w:rPr>
          <w:iCs/>
        </w:rPr>
        <w:t xml:space="preserve"> </w:t>
      </w:r>
      <w:r w:rsidRPr="00C837F5">
        <w:rPr>
          <w:iCs/>
        </w:rPr>
        <w:t>increase the supply of renewable energy in Australia.</w:t>
      </w:r>
      <w:r w:rsidR="00C837F5">
        <w:rPr>
          <w:iCs/>
        </w:rPr>
        <w:t xml:space="preserve"> </w:t>
      </w:r>
      <w:r w:rsidR="00594848">
        <w:rPr>
          <w:iCs/>
        </w:rPr>
        <w:t>This legislative instrument</w:t>
      </w:r>
      <w:r w:rsidR="00665BE4">
        <w:rPr>
          <w:iCs/>
        </w:rPr>
        <w:t xml:space="preserve">, however, only deals with the movement of an appropriation.  Accordingly, it </w:t>
      </w:r>
      <w:r w:rsidR="00594848">
        <w:rPr>
          <w:iCs/>
        </w:rPr>
        <w:t xml:space="preserve">is not seen as </w:t>
      </w:r>
      <w:r w:rsidR="00594848">
        <w:t xml:space="preserve">engaging, or otherwise affecting, the rights or freedoms relevant to the </w:t>
      </w:r>
      <w:r w:rsidR="00594848">
        <w:rPr>
          <w:i/>
          <w:iCs/>
        </w:rPr>
        <w:t>Human Rights (Parliamentary Scrutiny) Act 2011</w:t>
      </w:r>
      <w:r w:rsidR="00594848">
        <w:t xml:space="preserve">. </w:t>
      </w:r>
    </w:p>
    <w:p w:rsidR="00BB5A3D" w:rsidRDefault="00BB5A3D" w:rsidP="0049118F">
      <w:pPr>
        <w:pStyle w:val="Heading3"/>
        <w:spacing w:before="0"/>
        <w:rPr>
          <w:rFonts w:ascii="Helvetica Neue" w:hAnsi="Helvetica Neue"/>
          <w:sz w:val="27"/>
          <w:szCs w:val="27"/>
        </w:rPr>
      </w:pPr>
      <w:r>
        <w:rPr>
          <w:rFonts w:ascii="Helvetica Neue" w:hAnsi="Helvetica Neue"/>
        </w:rPr>
        <w:t>Consultation</w:t>
      </w:r>
    </w:p>
    <w:p w:rsidR="00BB5A3D" w:rsidRPr="00581AF3" w:rsidRDefault="00BB5A3D" w:rsidP="0049118F">
      <w:pPr>
        <w:pStyle w:val="BodyText"/>
        <w:spacing w:before="120" w:after="120"/>
        <w:rPr>
          <w:i/>
        </w:rPr>
      </w:pPr>
      <w:r>
        <w:t xml:space="preserve">The </w:t>
      </w:r>
      <w:hyperlink r:id="rId8" w:tooltip="Department of Resources, Energy and Tourism" w:history="1">
        <w:r w:rsidRPr="00AC241E">
          <w:rPr>
            <w:szCs w:val="24"/>
          </w:rPr>
          <w:t>Department of Resources, Energy and Tourism</w:t>
        </w:r>
      </w:hyperlink>
      <w:r>
        <w:t xml:space="preserve"> </w:t>
      </w:r>
      <w:r w:rsidR="002C5B00">
        <w:t>was consulted in the preparation of this determination</w:t>
      </w:r>
      <w:r w:rsidR="00A1579E">
        <w:t>.</w:t>
      </w:r>
    </w:p>
    <w:sectPr w:rsidR="00BB5A3D" w:rsidRPr="00581AF3" w:rsidSect="00AF781F">
      <w:headerReference w:type="default" r:id="rId9"/>
      <w:footerReference w:type="default" r:id="rId10"/>
      <w:type w:val="continuous"/>
      <w:pgSz w:w="11906" w:h="16838" w:code="9"/>
      <w:pgMar w:top="1134" w:right="1418" w:bottom="1134" w:left="1418" w:header="720" w:footer="56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01" w:rsidRDefault="00C76A01">
      <w:r>
        <w:separator/>
      </w:r>
    </w:p>
  </w:endnote>
  <w:endnote w:type="continuationSeparator" w:id="0">
    <w:p w:rsidR="00C76A01" w:rsidRDefault="00C7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01" w:rsidRPr="00991C0C" w:rsidRDefault="00C76A01" w:rsidP="00FA638A">
    <w:pPr>
      <w:pStyle w:val="Header"/>
      <w:jc w:val="center"/>
      <w:rPr>
        <w:i/>
      </w:rPr>
    </w:pPr>
    <w:r w:rsidRPr="002B54B1">
      <w:rPr>
        <w:i/>
      </w:rPr>
      <w:t>____________________________________________________________________________________</w:t>
    </w:r>
    <w:r>
      <w:rPr>
        <w:i/>
      </w:rPr>
      <w:t xml:space="preserve">Explanatory Statement – Australian Renewable Energy Agency </w:t>
    </w:r>
    <w:r w:rsidRPr="00991C0C">
      <w:rPr>
        <w:i/>
      </w:rPr>
      <w:t>Determination 20</w:t>
    </w:r>
    <w:r>
      <w:rPr>
        <w:i/>
      </w:rPr>
      <w:t>13/01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01" w:rsidRDefault="00C76A01">
      <w:r>
        <w:separator/>
      </w:r>
    </w:p>
  </w:footnote>
  <w:footnote w:type="continuationSeparator" w:id="0">
    <w:p w:rsidR="00C76A01" w:rsidRDefault="00C7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01" w:rsidRDefault="00C76A01">
    <w:pPr>
      <w:pStyle w:val="Header"/>
      <w:jc w:val="right"/>
    </w:pPr>
    <w:fldSimple w:instr=" PAGE   \* MERGEFORMAT ">
      <w:r w:rsidR="004F0A97">
        <w:rPr>
          <w:noProof/>
        </w:rPr>
        <w:t>2</w:t>
      </w:r>
    </w:fldSimple>
  </w:p>
  <w:p w:rsidR="00C76A01" w:rsidRDefault="00C76A01" w:rsidP="00FA638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C98"/>
    <w:multiLevelType w:val="singleLevel"/>
    <w:tmpl w:val="9772789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BCE643B"/>
    <w:multiLevelType w:val="hybridMultilevel"/>
    <w:tmpl w:val="F838110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A6D69"/>
    <w:multiLevelType w:val="multilevel"/>
    <w:tmpl w:val="C4F6A8E2"/>
    <w:lvl w:ilvl="0">
      <w:start w:val="2"/>
      <w:numFmt w:val="decimal"/>
      <w:lvlText w:val="%1."/>
      <w:lvlJc w:val="left"/>
      <w:pPr>
        <w:tabs>
          <w:tab w:val="num" w:pos="425"/>
        </w:tabs>
      </w:pPr>
      <w:rPr>
        <w:rFonts w:cs="Times New Roman" w:hint="default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39" w:hanging="539"/>
      </w:pPr>
      <w:rPr>
        <w:rFonts w:cs="Times New Roman"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077" w:hanging="226"/>
      </w:pPr>
      <w:rPr>
        <w:rFonts w:cs="Times New Roman" w:hint="default"/>
        <w:color w:val="auto"/>
      </w:rPr>
    </w:lvl>
    <w:lvl w:ilvl="3">
      <w:start w:val="1"/>
      <w:numFmt w:val="none"/>
      <w:lvlText w:val="-"/>
      <w:lvlJc w:val="left"/>
      <w:pPr>
        <w:tabs>
          <w:tab w:val="num" w:pos="1134"/>
        </w:tabs>
        <w:ind w:left="1077" w:hanging="226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29944F95"/>
    <w:multiLevelType w:val="hybridMultilevel"/>
    <w:tmpl w:val="BCA81AC6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C151A"/>
    <w:multiLevelType w:val="hybridMultilevel"/>
    <w:tmpl w:val="4F0CE7E8"/>
    <w:lvl w:ilvl="0" w:tplc="3150157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01B29"/>
    <w:multiLevelType w:val="hybridMultilevel"/>
    <w:tmpl w:val="3140E60A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8F4BB0"/>
    <w:multiLevelType w:val="hybridMultilevel"/>
    <w:tmpl w:val="BB32E4BA"/>
    <w:lvl w:ilvl="0" w:tplc="F33CDBF4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41C252B"/>
    <w:multiLevelType w:val="hybridMultilevel"/>
    <w:tmpl w:val="51185EA6"/>
    <w:lvl w:ilvl="0" w:tplc="CDD4D1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447931"/>
    <w:multiLevelType w:val="hybridMultilevel"/>
    <w:tmpl w:val="4C98D618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976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A450B4"/>
    <w:multiLevelType w:val="multilevel"/>
    <w:tmpl w:val="B764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78436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/>
      </w:pPr>
      <w:rPr>
        <w:rFonts w:cs="Times New Roman"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cs="Times New Roman" w:hint="default"/>
      </w:rPr>
    </w:lvl>
  </w:abstractNum>
  <w:abstractNum w:abstractNumId="13">
    <w:nsid w:val="5EE52F36"/>
    <w:multiLevelType w:val="hybridMultilevel"/>
    <w:tmpl w:val="B9323D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72422F"/>
    <w:multiLevelType w:val="hybridMultilevel"/>
    <w:tmpl w:val="6D9EB5F2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CB3C08"/>
    <w:multiLevelType w:val="hybridMultilevel"/>
    <w:tmpl w:val="78B09828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139F0"/>
    <w:multiLevelType w:val="hybridMultilevel"/>
    <w:tmpl w:val="FB56CE5E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744BE0"/>
    <w:multiLevelType w:val="hybridMultilevel"/>
    <w:tmpl w:val="6FBC1F6C"/>
    <w:lvl w:ilvl="0" w:tplc="03866C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8E64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812C7E"/>
    <w:multiLevelType w:val="hybridMultilevel"/>
    <w:tmpl w:val="3274DF54"/>
    <w:lvl w:ilvl="0" w:tplc="CA8E64D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0A58D2"/>
    <w:multiLevelType w:val="hybridMultilevel"/>
    <w:tmpl w:val="67E417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F92EC1"/>
    <w:multiLevelType w:val="hybridMultilevel"/>
    <w:tmpl w:val="B0C86362"/>
    <w:lvl w:ilvl="0" w:tplc="4740BF2C">
      <w:start w:val="1"/>
      <w:numFmt w:val="decimal"/>
      <w:lvlText w:val="(%1)"/>
      <w:lvlJc w:val="left"/>
      <w:pPr>
        <w:tabs>
          <w:tab w:val="num" w:pos="1386"/>
        </w:tabs>
        <w:ind w:left="13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  <w:rPr>
        <w:rFonts w:cs="Times New Roman"/>
      </w:rPr>
    </w:lvl>
  </w:abstractNum>
  <w:abstractNum w:abstractNumId="21">
    <w:nsid w:val="79CD05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4E2084"/>
    <w:multiLevelType w:val="hybridMultilevel"/>
    <w:tmpl w:val="8D186D1E"/>
    <w:lvl w:ilvl="0" w:tplc="B83AF96E">
      <w:start w:val="1"/>
      <w:numFmt w:val="lowerRoman"/>
      <w:lvlText w:val="(%1)"/>
      <w:lvlJc w:val="left"/>
      <w:pPr>
        <w:tabs>
          <w:tab w:val="num" w:pos="1635"/>
        </w:tabs>
        <w:ind w:left="163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C6A42F0"/>
    <w:multiLevelType w:val="hybridMultilevel"/>
    <w:tmpl w:val="7D76A01E"/>
    <w:lvl w:ilvl="0" w:tplc="19843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9"/>
  </w:num>
  <w:num w:numId="5">
    <w:abstractNumId w:val="13"/>
  </w:num>
  <w:num w:numId="6">
    <w:abstractNumId w:val="1"/>
  </w:num>
  <w:num w:numId="7">
    <w:abstractNumId w:val="15"/>
  </w:num>
  <w:num w:numId="8">
    <w:abstractNumId w:val="22"/>
  </w:num>
  <w:num w:numId="9">
    <w:abstractNumId w:val="14"/>
  </w:num>
  <w:num w:numId="10">
    <w:abstractNumId w:val="23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  <w:num w:numId="19">
    <w:abstractNumId w:val="18"/>
  </w:num>
  <w:num w:numId="20">
    <w:abstractNumId w:val="20"/>
  </w:num>
  <w:num w:numId="21">
    <w:abstractNumId w:val="19"/>
  </w:num>
  <w:num w:numId="22">
    <w:abstractNumId w:val="4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E1F95"/>
    <w:rsid w:val="00000063"/>
    <w:rsid w:val="00007BA2"/>
    <w:rsid w:val="00021FD4"/>
    <w:rsid w:val="000277BB"/>
    <w:rsid w:val="000333B0"/>
    <w:rsid w:val="0003594A"/>
    <w:rsid w:val="00035C26"/>
    <w:rsid w:val="000518E0"/>
    <w:rsid w:val="00053666"/>
    <w:rsid w:val="000564D8"/>
    <w:rsid w:val="00063E56"/>
    <w:rsid w:val="00074864"/>
    <w:rsid w:val="0009123D"/>
    <w:rsid w:val="0009155A"/>
    <w:rsid w:val="00095051"/>
    <w:rsid w:val="000A459A"/>
    <w:rsid w:val="000B0164"/>
    <w:rsid w:val="000B0E9C"/>
    <w:rsid w:val="000B2E09"/>
    <w:rsid w:val="000B5290"/>
    <w:rsid w:val="000C61A9"/>
    <w:rsid w:val="000C7006"/>
    <w:rsid w:val="000C7204"/>
    <w:rsid w:val="00100667"/>
    <w:rsid w:val="00103659"/>
    <w:rsid w:val="00104D2F"/>
    <w:rsid w:val="00112E58"/>
    <w:rsid w:val="001238AF"/>
    <w:rsid w:val="00124404"/>
    <w:rsid w:val="001248A4"/>
    <w:rsid w:val="00124DFD"/>
    <w:rsid w:val="001642DC"/>
    <w:rsid w:val="0016540B"/>
    <w:rsid w:val="0018276C"/>
    <w:rsid w:val="001861B5"/>
    <w:rsid w:val="001A0A45"/>
    <w:rsid w:val="001A3C03"/>
    <w:rsid w:val="001A3E6B"/>
    <w:rsid w:val="001B2BA0"/>
    <w:rsid w:val="001B3D6B"/>
    <w:rsid w:val="001B4B53"/>
    <w:rsid w:val="001B7CB7"/>
    <w:rsid w:val="001C6324"/>
    <w:rsid w:val="001E1FEC"/>
    <w:rsid w:val="001E3E9B"/>
    <w:rsid w:val="001E6DF8"/>
    <w:rsid w:val="00212F15"/>
    <w:rsid w:val="00214CB9"/>
    <w:rsid w:val="00221E7A"/>
    <w:rsid w:val="002312D9"/>
    <w:rsid w:val="00242978"/>
    <w:rsid w:val="00252155"/>
    <w:rsid w:val="00270610"/>
    <w:rsid w:val="00271770"/>
    <w:rsid w:val="00273E35"/>
    <w:rsid w:val="002760F1"/>
    <w:rsid w:val="00282B66"/>
    <w:rsid w:val="00291B0B"/>
    <w:rsid w:val="002A68B1"/>
    <w:rsid w:val="002A6983"/>
    <w:rsid w:val="002B2473"/>
    <w:rsid w:val="002B54B1"/>
    <w:rsid w:val="002C5B00"/>
    <w:rsid w:val="002D544E"/>
    <w:rsid w:val="002E72A1"/>
    <w:rsid w:val="002F41D2"/>
    <w:rsid w:val="002F4627"/>
    <w:rsid w:val="002F6A68"/>
    <w:rsid w:val="00303702"/>
    <w:rsid w:val="0030497B"/>
    <w:rsid w:val="00305EDF"/>
    <w:rsid w:val="00316DC1"/>
    <w:rsid w:val="0031738C"/>
    <w:rsid w:val="003173CA"/>
    <w:rsid w:val="00330E52"/>
    <w:rsid w:val="003521E0"/>
    <w:rsid w:val="003678BC"/>
    <w:rsid w:val="003811B3"/>
    <w:rsid w:val="003A0497"/>
    <w:rsid w:val="003A04BD"/>
    <w:rsid w:val="003B1194"/>
    <w:rsid w:val="003C5A55"/>
    <w:rsid w:val="003C6CDE"/>
    <w:rsid w:val="003E2FE1"/>
    <w:rsid w:val="003F6F38"/>
    <w:rsid w:val="003F713A"/>
    <w:rsid w:val="004201BB"/>
    <w:rsid w:val="00421DE2"/>
    <w:rsid w:val="004260F8"/>
    <w:rsid w:val="0043508F"/>
    <w:rsid w:val="004379C6"/>
    <w:rsid w:val="004535BF"/>
    <w:rsid w:val="004539ED"/>
    <w:rsid w:val="00456AC4"/>
    <w:rsid w:val="004762BA"/>
    <w:rsid w:val="0048239C"/>
    <w:rsid w:val="00484C4C"/>
    <w:rsid w:val="0048706C"/>
    <w:rsid w:val="0049118F"/>
    <w:rsid w:val="004916A1"/>
    <w:rsid w:val="00495B29"/>
    <w:rsid w:val="00496834"/>
    <w:rsid w:val="004B26CB"/>
    <w:rsid w:val="004C599B"/>
    <w:rsid w:val="004C731D"/>
    <w:rsid w:val="004D795E"/>
    <w:rsid w:val="004D7E45"/>
    <w:rsid w:val="004F0A97"/>
    <w:rsid w:val="00503D92"/>
    <w:rsid w:val="005107F2"/>
    <w:rsid w:val="0051414D"/>
    <w:rsid w:val="00515E28"/>
    <w:rsid w:val="00521CB2"/>
    <w:rsid w:val="00526AE3"/>
    <w:rsid w:val="005304E9"/>
    <w:rsid w:val="005311B5"/>
    <w:rsid w:val="00542775"/>
    <w:rsid w:val="005506BB"/>
    <w:rsid w:val="0055799E"/>
    <w:rsid w:val="00561E25"/>
    <w:rsid w:val="00565FB7"/>
    <w:rsid w:val="0057018D"/>
    <w:rsid w:val="0057640E"/>
    <w:rsid w:val="00581AF3"/>
    <w:rsid w:val="005820FF"/>
    <w:rsid w:val="00593A9F"/>
    <w:rsid w:val="00594848"/>
    <w:rsid w:val="005A4FB3"/>
    <w:rsid w:val="005A660F"/>
    <w:rsid w:val="005B1D18"/>
    <w:rsid w:val="005B2B12"/>
    <w:rsid w:val="005D1AF5"/>
    <w:rsid w:val="005D6039"/>
    <w:rsid w:val="005F75EB"/>
    <w:rsid w:val="00621160"/>
    <w:rsid w:val="00633F46"/>
    <w:rsid w:val="006340D1"/>
    <w:rsid w:val="0064163D"/>
    <w:rsid w:val="00645F5E"/>
    <w:rsid w:val="0065452A"/>
    <w:rsid w:val="00661E85"/>
    <w:rsid w:val="00663E50"/>
    <w:rsid w:val="00665BE4"/>
    <w:rsid w:val="00666583"/>
    <w:rsid w:val="00670A86"/>
    <w:rsid w:val="00681B01"/>
    <w:rsid w:val="00692964"/>
    <w:rsid w:val="0069728B"/>
    <w:rsid w:val="006B2496"/>
    <w:rsid w:val="006B5D40"/>
    <w:rsid w:val="006C5CC0"/>
    <w:rsid w:val="006E1D77"/>
    <w:rsid w:val="006F2902"/>
    <w:rsid w:val="006F4138"/>
    <w:rsid w:val="007035C4"/>
    <w:rsid w:val="00704AB6"/>
    <w:rsid w:val="00704E27"/>
    <w:rsid w:val="00710F9F"/>
    <w:rsid w:val="007172A0"/>
    <w:rsid w:val="007272F2"/>
    <w:rsid w:val="00730074"/>
    <w:rsid w:val="00734178"/>
    <w:rsid w:val="00745B88"/>
    <w:rsid w:val="007478E4"/>
    <w:rsid w:val="007518CB"/>
    <w:rsid w:val="0075255C"/>
    <w:rsid w:val="00767AF8"/>
    <w:rsid w:val="00772A5B"/>
    <w:rsid w:val="007925D0"/>
    <w:rsid w:val="007A6E74"/>
    <w:rsid w:val="007A73B9"/>
    <w:rsid w:val="007A78A9"/>
    <w:rsid w:val="007B4295"/>
    <w:rsid w:val="007B541F"/>
    <w:rsid w:val="007D4D34"/>
    <w:rsid w:val="007F29C6"/>
    <w:rsid w:val="007F7099"/>
    <w:rsid w:val="00801548"/>
    <w:rsid w:val="008027C0"/>
    <w:rsid w:val="0080343C"/>
    <w:rsid w:val="00807A67"/>
    <w:rsid w:val="0081057D"/>
    <w:rsid w:val="00825308"/>
    <w:rsid w:val="00836CA4"/>
    <w:rsid w:val="00846C7A"/>
    <w:rsid w:val="00856695"/>
    <w:rsid w:val="00861474"/>
    <w:rsid w:val="00874186"/>
    <w:rsid w:val="00875604"/>
    <w:rsid w:val="00880322"/>
    <w:rsid w:val="00885BAC"/>
    <w:rsid w:val="0088745B"/>
    <w:rsid w:val="00896D1B"/>
    <w:rsid w:val="008A2EE3"/>
    <w:rsid w:val="008A6A3B"/>
    <w:rsid w:val="008D23ED"/>
    <w:rsid w:val="008F0A3F"/>
    <w:rsid w:val="0091777C"/>
    <w:rsid w:val="00932A8E"/>
    <w:rsid w:val="00940B65"/>
    <w:rsid w:val="0094580B"/>
    <w:rsid w:val="00946EF7"/>
    <w:rsid w:val="00955FA5"/>
    <w:rsid w:val="00957A4C"/>
    <w:rsid w:val="00960B9E"/>
    <w:rsid w:val="00963518"/>
    <w:rsid w:val="00973AE0"/>
    <w:rsid w:val="009875E9"/>
    <w:rsid w:val="00987F3B"/>
    <w:rsid w:val="00990148"/>
    <w:rsid w:val="00991C0C"/>
    <w:rsid w:val="009943E8"/>
    <w:rsid w:val="009953CE"/>
    <w:rsid w:val="009A3739"/>
    <w:rsid w:val="009C4CF1"/>
    <w:rsid w:val="009D061B"/>
    <w:rsid w:val="009D5612"/>
    <w:rsid w:val="009E46CC"/>
    <w:rsid w:val="00A02740"/>
    <w:rsid w:val="00A13142"/>
    <w:rsid w:val="00A1579E"/>
    <w:rsid w:val="00A24369"/>
    <w:rsid w:val="00A24ADC"/>
    <w:rsid w:val="00A2768B"/>
    <w:rsid w:val="00A351EB"/>
    <w:rsid w:val="00A35C0B"/>
    <w:rsid w:val="00A369D5"/>
    <w:rsid w:val="00A41F61"/>
    <w:rsid w:val="00A43C4D"/>
    <w:rsid w:val="00A47645"/>
    <w:rsid w:val="00A6116E"/>
    <w:rsid w:val="00A61B48"/>
    <w:rsid w:val="00A65EC0"/>
    <w:rsid w:val="00A71320"/>
    <w:rsid w:val="00A75951"/>
    <w:rsid w:val="00A77B09"/>
    <w:rsid w:val="00A854D6"/>
    <w:rsid w:val="00A92C56"/>
    <w:rsid w:val="00A958C3"/>
    <w:rsid w:val="00AB1328"/>
    <w:rsid w:val="00AB55DD"/>
    <w:rsid w:val="00AC241E"/>
    <w:rsid w:val="00AD07C6"/>
    <w:rsid w:val="00AD0A5A"/>
    <w:rsid w:val="00AD336A"/>
    <w:rsid w:val="00AD388F"/>
    <w:rsid w:val="00AD68A7"/>
    <w:rsid w:val="00AE5DF2"/>
    <w:rsid w:val="00AF654A"/>
    <w:rsid w:val="00AF781F"/>
    <w:rsid w:val="00B43A09"/>
    <w:rsid w:val="00B5219F"/>
    <w:rsid w:val="00B56BAB"/>
    <w:rsid w:val="00B80EF0"/>
    <w:rsid w:val="00B8562B"/>
    <w:rsid w:val="00B948DF"/>
    <w:rsid w:val="00BB3704"/>
    <w:rsid w:val="00BB5A3D"/>
    <w:rsid w:val="00BB73CB"/>
    <w:rsid w:val="00BC367C"/>
    <w:rsid w:val="00BD4D3B"/>
    <w:rsid w:val="00BD66C3"/>
    <w:rsid w:val="00BF2411"/>
    <w:rsid w:val="00C07C4D"/>
    <w:rsid w:val="00C133EA"/>
    <w:rsid w:val="00C20CC1"/>
    <w:rsid w:val="00C23031"/>
    <w:rsid w:val="00C52A2D"/>
    <w:rsid w:val="00C558C6"/>
    <w:rsid w:val="00C562EB"/>
    <w:rsid w:val="00C655A3"/>
    <w:rsid w:val="00C72D9E"/>
    <w:rsid w:val="00C73650"/>
    <w:rsid w:val="00C74A16"/>
    <w:rsid w:val="00C76A01"/>
    <w:rsid w:val="00C775C5"/>
    <w:rsid w:val="00C8296F"/>
    <w:rsid w:val="00C837F5"/>
    <w:rsid w:val="00C8582B"/>
    <w:rsid w:val="00C95AAD"/>
    <w:rsid w:val="00CA076F"/>
    <w:rsid w:val="00CA3BF8"/>
    <w:rsid w:val="00CA3EF5"/>
    <w:rsid w:val="00CB0645"/>
    <w:rsid w:val="00CB3E92"/>
    <w:rsid w:val="00CB4087"/>
    <w:rsid w:val="00CC26B1"/>
    <w:rsid w:val="00CC7C63"/>
    <w:rsid w:val="00CE1F95"/>
    <w:rsid w:val="00CE25AA"/>
    <w:rsid w:val="00CE330A"/>
    <w:rsid w:val="00D03651"/>
    <w:rsid w:val="00D06F77"/>
    <w:rsid w:val="00D1572B"/>
    <w:rsid w:val="00D16D8D"/>
    <w:rsid w:val="00D2250F"/>
    <w:rsid w:val="00D24DEB"/>
    <w:rsid w:val="00D30D1A"/>
    <w:rsid w:val="00DA3F69"/>
    <w:rsid w:val="00DA4D78"/>
    <w:rsid w:val="00DB3825"/>
    <w:rsid w:val="00DB6132"/>
    <w:rsid w:val="00DD195E"/>
    <w:rsid w:val="00DD2F36"/>
    <w:rsid w:val="00DE6E16"/>
    <w:rsid w:val="00DF141D"/>
    <w:rsid w:val="00DF4EF1"/>
    <w:rsid w:val="00DF6691"/>
    <w:rsid w:val="00DF7C9C"/>
    <w:rsid w:val="00E04D11"/>
    <w:rsid w:val="00E11BD4"/>
    <w:rsid w:val="00E35E61"/>
    <w:rsid w:val="00E44AD3"/>
    <w:rsid w:val="00E764D3"/>
    <w:rsid w:val="00E86F73"/>
    <w:rsid w:val="00EA3858"/>
    <w:rsid w:val="00EB22DC"/>
    <w:rsid w:val="00EB55C2"/>
    <w:rsid w:val="00ED3548"/>
    <w:rsid w:val="00EE40F4"/>
    <w:rsid w:val="00EF6C7D"/>
    <w:rsid w:val="00EF73D0"/>
    <w:rsid w:val="00F03831"/>
    <w:rsid w:val="00F0661B"/>
    <w:rsid w:val="00F076B6"/>
    <w:rsid w:val="00F1222A"/>
    <w:rsid w:val="00F15F3B"/>
    <w:rsid w:val="00F1610C"/>
    <w:rsid w:val="00F2553B"/>
    <w:rsid w:val="00F33282"/>
    <w:rsid w:val="00F42471"/>
    <w:rsid w:val="00F42A54"/>
    <w:rsid w:val="00F43930"/>
    <w:rsid w:val="00F44DDD"/>
    <w:rsid w:val="00F51CA7"/>
    <w:rsid w:val="00F53BF5"/>
    <w:rsid w:val="00F57643"/>
    <w:rsid w:val="00F71026"/>
    <w:rsid w:val="00F73517"/>
    <w:rsid w:val="00F74650"/>
    <w:rsid w:val="00FA638A"/>
    <w:rsid w:val="00FB6A7C"/>
    <w:rsid w:val="00FD7AC3"/>
    <w:rsid w:val="00FF268F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1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61B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61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61B"/>
    <w:pPr>
      <w:keepNext/>
      <w:spacing w:before="120" w:after="1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61B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61B"/>
    <w:pPr>
      <w:keepNext/>
      <w:outlineLvl w:val="4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B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B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6AE3"/>
    <w:rPr>
      <w:rFonts w:cs="Times New Roman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BC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BC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9D061B"/>
    <w:pPr>
      <w:jc w:val="center"/>
    </w:pPr>
    <w:rPr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B1BC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D061B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1BC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E0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D0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A16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D061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6AE3"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9D061B"/>
    <w:rPr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1BCA"/>
    <w:rPr>
      <w:sz w:val="20"/>
      <w:szCs w:val="20"/>
      <w:lang w:eastAsia="en-US"/>
    </w:rPr>
  </w:style>
  <w:style w:type="paragraph" w:customStyle="1" w:styleId="StyleAfter6pt">
    <w:name w:val="Style After:  6 pt"/>
    <w:basedOn w:val="Normal"/>
    <w:uiPriority w:val="99"/>
    <w:rsid w:val="00C74A16"/>
    <w:pPr>
      <w:spacing w:before="120" w:after="1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45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CA"/>
    <w:rPr>
      <w:sz w:val="0"/>
      <w:szCs w:val="0"/>
      <w:lang w:eastAsia="en-US"/>
    </w:rPr>
  </w:style>
  <w:style w:type="paragraph" w:customStyle="1" w:styleId="StyleLeft1cm">
    <w:name w:val="Style Left:  1 cm"/>
    <w:basedOn w:val="Normal"/>
    <w:uiPriority w:val="99"/>
    <w:rsid w:val="00C74A16"/>
    <w:pPr>
      <w:ind w:left="56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rsid w:val="009458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58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BC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BCA"/>
    <w:rPr>
      <w:b/>
      <w:bCs/>
    </w:rPr>
  </w:style>
  <w:style w:type="paragraph" w:styleId="NormalWeb">
    <w:name w:val="Normal (Web)"/>
    <w:basedOn w:val="Normal"/>
    <w:uiPriority w:val="99"/>
    <w:rsid w:val="00621160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A43C4D"/>
    <w:rPr>
      <w:rFonts w:cs="Times New Roman"/>
      <w:color w:val="0000FF"/>
      <w:u w:val="single"/>
    </w:rPr>
  </w:style>
  <w:style w:type="paragraph" w:customStyle="1" w:styleId="NumberList">
    <w:name w:val="Number List"/>
    <w:basedOn w:val="Normal"/>
    <w:uiPriority w:val="99"/>
    <w:rsid w:val="00861474"/>
    <w:pPr>
      <w:numPr>
        <w:numId w:val="23"/>
      </w:numPr>
      <w:tabs>
        <w:tab w:val="left" w:pos="1985"/>
      </w:tabs>
      <w:spacing w:before="240" w:line="240" w:lineRule="atLeast"/>
    </w:pPr>
    <w:rPr>
      <w:sz w:val="24"/>
      <w:szCs w:val="24"/>
    </w:rPr>
  </w:style>
  <w:style w:type="paragraph" w:customStyle="1" w:styleId="NumberListSub">
    <w:name w:val="Number List Sub"/>
    <w:basedOn w:val="NumberList"/>
    <w:uiPriority w:val="99"/>
    <w:rsid w:val="00861474"/>
    <w:pPr>
      <w:numPr>
        <w:ilvl w:val="1"/>
      </w:numPr>
      <w:tabs>
        <w:tab w:val="left" w:pos="2552"/>
      </w:tabs>
    </w:pPr>
  </w:style>
  <w:style w:type="paragraph" w:customStyle="1" w:styleId="paragraph">
    <w:name w:val="paragraph"/>
    <w:basedOn w:val="Normal"/>
    <w:rsid w:val="00F53BF5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6895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689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689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952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15689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4529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94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BBA58-9E7A-47EB-8E72-E9BF9A0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- Establish</vt:lpstr>
    </vt:vector>
  </TitlesOfParts>
  <Company>Finance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- Establish</dc:title>
  <dc:creator>Carl Fitzpatrick</dc:creator>
  <cp:lastModifiedBy>Sisson</cp:lastModifiedBy>
  <cp:revision>18</cp:revision>
  <cp:lastPrinted>2013-06-24T01:30:00Z</cp:lastPrinted>
  <dcterms:created xsi:type="dcterms:W3CDTF">2013-06-07T05:57:00Z</dcterms:created>
  <dcterms:modified xsi:type="dcterms:W3CDTF">2013-06-24T04:44:00Z</dcterms:modified>
</cp:coreProperties>
</file>