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AEF" w:rsidRDefault="00E14AEF" w:rsidP="00E14AEF">
      <w:pPr>
        <w:pStyle w:val="NoSpacing"/>
        <w:jc w:val="center"/>
        <w:rPr>
          <w:rFonts w:ascii="Times New Roman" w:hAnsi="Times New Roman" w:cs="Times New Roman"/>
          <w:b/>
          <w:sz w:val="24"/>
          <w:szCs w:val="24"/>
        </w:rPr>
      </w:pPr>
    </w:p>
    <w:p w:rsidR="00E14AEF" w:rsidRDefault="00E14AEF" w:rsidP="00E14AEF">
      <w:pPr>
        <w:pStyle w:val="NoSpacing"/>
        <w:jc w:val="center"/>
        <w:rPr>
          <w:rFonts w:ascii="Times New Roman" w:hAnsi="Times New Roman" w:cs="Times New Roman"/>
          <w:b/>
          <w:sz w:val="24"/>
          <w:szCs w:val="24"/>
        </w:rPr>
      </w:pPr>
    </w:p>
    <w:p w:rsidR="00E14AEF" w:rsidRPr="00765464" w:rsidRDefault="00E14AEF" w:rsidP="00E14AEF">
      <w:pPr>
        <w:pStyle w:val="NoSpacing"/>
        <w:jc w:val="center"/>
        <w:rPr>
          <w:rFonts w:ascii="Times New Roman" w:hAnsi="Times New Roman" w:cs="Times New Roman"/>
          <w:b/>
          <w:sz w:val="24"/>
          <w:szCs w:val="24"/>
        </w:rPr>
      </w:pPr>
      <w:r>
        <w:rPr>
          <w:rFonts w:ascii="Times New Roman" w:hAnsi="Times New Roman" w:cs="Times New Roman"/>
          <w:b/>
          <w:sz w:val="24"/>
          <w:szCs w:val="24"/>
        </w:rPr>
        <w:t>E</w:t>
      </w:r>
      <w:r w:rsidRPr="00765464">
        <w:rPr>
          <w:rFonts w:ascii="Times New Roman" w:hAnsi="Times New Roman" w:cs="Times New Roman"/>
          <w:b/>
          <w:sz w:val="24"/>
          <w:szCs w:val="24"/>
        </w:rPr>
        <w:t>XPLANATORY STATEMENT</w:t>
      </w:r>
    </w:p>
    <w:p w:rsidR="00E14AEF" w:rsidRPr="00765464" w:rsidRDefault="00E14AEF" w:rsidP="00E14AEF">
      <w:pPr>
        <w:pStyle w:val="NoSpacing"/>
        <w:jc w:val="center"/>
        <w:rPr>
          <w:rFonts w:ascii="Times New Roman" w:hAnsi="Times New Roman" w:cs="Times New Roman"/>
          <w:b/>
          <w:sz w:val="24"/>
          <w:szCs w:val="24"/>
        </w:rPr>
      </w:pPr>
    </w:p>
    <w:p w:rsidR="00E14AEF" w:rsidRPr="00765464" w:rsidRDefault="00362D34" w:rsidP="00E14AEF">
      <w:pPr>
        <w:pStyle w:val="NoSpacing"/>
        <w:jc w:val="center"/>
        <w:rPr>
          <w:rFonts w:ascii="Times New Roman" w:hAnsi="Times New Roman" w:cs="Times New Roman"/>
          <w:b/>
          <w:sz w:val="24"/>
          <w:szCs w:val="24"/>
        </w:rPr>
      </w:pPr>
      <w:r>
        <w:rPr>
          <w:rFonts w:ascii="Times New Roman" w:hAnsi="Times New Roman" w:cs="Times New Roman"/>
          <w:sz w:val="24"/>
          <w:szCs w:val="24"/>
        </w:rPr>
        <w:t>Prepared by</w:t>
      </w:r>
      <w:r w:rsidR="00E14AEF" w:rsidRPr="00765464">
        <w:rPr>
          <w:rFonts w:ascii="Times New Roman" w:hAnsi="Times New Roman" w:cs="Times New Roman"/>
          <w:sz w:val="24"/>
          <w:szCs w:val="24"/>
        </w:rPr>
        <w:t xml:space="preserve"> the </w:t>
      </w:r>
      <w:r w:rsidR="00E14AEF" w:rsidRPr="0074080A">
        <w:rPr>
          <w:rFonts w:ascii="Times New Roman" w:hAnsi="Times New Roman" w:cs="Times New Roman"/>
          <w:sz w:val="24"/>
          <w:szCs w:val="24"/>
        </w:rPr>
        <w:t>Australian Communications and Media Authority</w:t>
      </w:r>
    </w:p>
    <w:p w:rsidR="00E14AEF" w:rsidRPr="00765464" w:rsidRDefault="00E14AEF" w:rsidP="00E14AEF">
      <w:pPr>
        <w:pStyle w:val="NoSpacing"/>
        <w:jc w:val="center"/>
        <w:rPr>
          <w:rFonts w:ascii="Times New Roman" w:hAnsi="Times New Roman" w:cs="Times New Roman"/>
          <w:b/>
          <w:sz w:val="24"/>
          <w:szCs w:val="24"/>
        </w:rPr>
      </w:pPr>
    </w:p>
    <w:p w:rsidR="00E14AEF" w:rsidRPr="00765464" w:rsidRDefault="00E14AEF" w:rsidP="00E14AEF">
      <w:pPr>
        <w:pStyle w:val="NoSpacing"/>
        <w:jc w:val="center"/>
        <w:rPr>
          <w:rFonts w:ascii="Times New Roman" w:hAnsi="Times New Roman" w:cs="Times New Roman"/>
          <w:i/>
          <w:sz w:val="24"/>
          <w:szCs w:val="24"/>
        </w:rPr>
      </w:pPr>
      <w:r w:rsidRPr="00765464">
        <w:rPr>
          <w:rFonts w:ascii="Times New Roman" w:hAnsi="Times New Roman" w:cs="Times New Roman"/>
          <w:i/>
          <w:sz w:val="24"/>
          <w:szCs w:val="24"/>
        </w:rPr>
        <w:t>Telecommunications (Consumer Protection and Service Standards) Act 1999</w:t>
      </w:r>
    </w:p>
    <w:p w:rsidR="00E14AEF" w:rsidRPr="00765464" w:rsidRDefault="00E14AEF" w:rsidP="00E14AEF">
      <w:pPr>
        <w:pStyle w:val="NoSpacing"/>
        <w:jc w:val="center"/>
        <w:rPr>
          <w:rFonts w:ascii="Times New Roman" w:hAnsi="Times New Roman" w:cs="Times New Roman"/>
          <w:b/>
          <w:sz w:val="24"/>
          <w:szCs w:val="24"/>
        </w:rPr>
      </w:pPr>
    </w:p>
    <w:p w:rsidR="00E14AEF" w:rsidRPr="00765464" w:rsidRDefault="00E14AEF" w:rsidP="00E14AEF">
      <w:pPr>
        <w:pStyle w:val="NoSpacing"/>
        <w:jc w:val="center"/>
        <w:rPr>
          <w:rFonts w:ascii="Times New Roman" w:hAnsi="Times New Roman" w:cs="Times New Roman"/>
          <w:sz w:val="24"/>
          <w:szCs w:val="24"/>
        </w:rPr>
      </w:pPr>
      <w:r w:rsidRPr="00765464">
        <w:rPr>
          <w:rFonts w:ascii="Times New Roman" w:hAnsi="Times New Roman" w:cs="Times New Roman"/>
          <w:b/>
          <w:sz w:val="24"/>
          <w:szCs w:val="24"/>
        </w:rPr>
        <w:t xml:space="preserve">TELECOMMUNICATIONS (EMERGENCY CALL SERVICE) AMENDMENT DETERMINATION </w:t>
      </w:r>
      <w:r w:rsidRPr="009A17F8">
        <w:rPr>
          <w:rFonts w:ascii="Times New Roman" w:hAnsi="Times New Roman" w:cs="Times New Roman"/>
          <w:b/>
          <w:sz w:val="24"/>
          <w:szCs w:val="24"/>
        </w:rPr>
        <w:t>201</w:t>
      </w:r>
      <w:r>
        <w:rPr>
          <w:rFonts w:ascii="Times New Roman" w:hAnsi="Times New Roman" w:cs="Times New Roman"/>
          <w:b/>
          <w:sz w:val="24"/>
          <w:szCs w:val="24"/>
        </w:rPr>
        <w:t>3</w:t>
      </w:r>
    </w:p>
    <w:p w:rsidR="00E14AEF" w:rsidRPr="00765464" w:rsidRDefault="00E14AEF" w:rsidP="00E14AEF">
      <w:pPr>
        <w:pStyle w:val="NoSpacing"/>
        <w:rPr>
          <w:rFonts w:ascii="Times New Roman" w:hAnsi="Times New Roman" w:cs="Times New Roman"/>
          <w:b/>
          <w:sz w:val="24"/>
          <w:szCs w:val="24"/>
        </w:rPr>
      </w:pPr>
    </w:p>
    <w:p w:rsidR="00E14AEF" w:rsidRPr="00765464" w:rsidRDefault="00E14AEF" w:rsidP="00E14AEF">
      <w:pPr>
        <w:pStyle w:val="NoSpacing"/>
        <w:rPr>
          <w:rFonts w:ascii="Times New Roman" w:hAnsi="Times New Roman" w:cs="Times New Roman"/>
          <w:b/>
          <w:sz w:val="24"/>
          <w:szCs w:val="24"/>
        </w:rPr>
      </w:pPr>
      <w:r w:rsidRPr="00765464">
        <w:rPr>
          <w:rFonts w:ascii="Times New Roman" w:hAnsi="Times New Roman" w:cs="Times New Roman"/>
          <w:b/>
          <w:sz w:val="24"/>
          <w:szCs w:val="24"/>
        </w:rPr>
        <w:t>Outline</w:t>
      </w:r>
      <w:r w:rsidR="009B2B58">
        <w:rPr>
          <w:rFonts w:ascii="Times New Roman" w:hAnsi="Times New Roman" w:cs="Times New Roman"/>
          <w:b/>
          <w:sz w:val="24"/>
          <w:szCs w:val="24"/>
        </w:rPr>
        <w:t xml:space="preserve"> </w:t>
      </w:r>
    </w:p>
    <w:p w:rsidR="00E14AEF" w:rsidRPr="00765464" w:rsidRDefault="00E14AEF" w:rsidP="00E14AEF">
      <w:pPr>
        <w:pStyle w:val="NoSpacing"/>
        <w:rPr>
          <w:rFonts w:ascii="Times New Roman" w:hAnsi="Times New Roman" w:cs="Times New Roman"/>
          <w:b/>
          <w:sz w:val="24"/>
          <w:szCs w:val="24"/>
        </w:rPr>
      </w:pPr>
    </w:p>
    <w:p w:rsidR="008607AD" w:rsidRDefault="008607AD" w:rsidP="00E14AEF">
      <w:pPr>
        <w:pStyle w:val="NoSpacing"/>
        <w:rPr>
          <w:rFonts w:ascii="Times New Roman" w:hAnsi="Times New Roman" w:cs="Times New Roman"/>
          <w:sz w:val="24"/>
          <w:szCs w:val="24"/>
        </w:rPr>
      </w:pPr>
      <w:r>
        <w:rPr>
          <w:rFonts w:ascii="Times New Roman" w:hAnsi="Times New Roman" w:cs="Times New Roman"/>
          <w:sz w:val="24"/>
          <w:szCs w:val="24"/>
        </w:rPr>
        <w:t>The Australian Communications and Media Authority (</w:t>
      </w:r>
      <w:r w:rsidRPr="0002112F">
        <w:rPr>
          <w:rFonts w:ascii="Times New Roman" w:hAnsi="Times New Roman" w:cs="Times New Roman"/>
          <w:sz w:val="24"/>
          <w:szCs w:val="24"/>
        </w:rPr>
        <w:t>the</w:t>
      </w:r>
      <w:r w:rsidRPr="0002112F">
        <w:rPr>
          <w:rFonts w:ascii="Times New Roman" w:hAnsi="Times New Roman" w:cs="Times New Roman"/>
          <w:b/>
          <w:sz w:val="24"/>
          <w:szCs w:val="24"/>
        </w:rPr>
        <w:t xml:space="preserve"> ACMA</w:t>
      </w:r>
      <w:r>
        <w:rPr>
          <w:rFonts w:ascii="Times New Roman" w:hAnsi="Times New Roman" w:cs="Times New Roman"/>
          <w:sz w:val="24"/>
          <w:szCs w:val="24"/>
        </w:rPr>
        <w:t xml:space="preserve">) makes the </w:t>
      </w:r>
      <w:r w:rsidRPr="0002112F">
        <w:rPr>
          <w:rFonts w:ascii="Times New Roman" w:hAnsi="Times New Roman" w:cs="Times New Roman"/>
          <w:i/>
          <w:sz w:val="24"/>
          <w:szCs w:val="24"/>
        </w:rPr>
        <w:t>Telecommunications (Emergency Call Service) Amendment Determination 2013</w:t>
      </w:r>
      <w:r>
        <w:rPr>
          <w:rFonts w:ascii="Times New Roman" w:hAnsi="Times New Roman" w:cs="Times New Roman"/>
          <w:sz w:val="24"/>
          <w:szCs w:val="24"/>
        </w:rPr>
        <w:t xml:space="preserve"> (</w:t>
      </w:r>
      <w:r w:rsidRPr="0002112F">
        <w:rPr>
          <w:rFonts w:ascii="Times New Roman" w:hAnsi="Times New Roman" w:cs="Times New Roman"/>
          <w:sz w:val="24"/>
          <w:szCs w:val="24"/>
        </w:rPr>
        <w:t>the</w:t>
      </w:r>
      <w:r w:rsidRPr="0002112F">
        <w:rPr>
          <w:rFonts w:ascii="Times New Roman" w:hAnsi="Times New Roman" w:cs="Times New Roman"/>
          <w:b/>
          <w:sz w:val="24"/>
          <w:szCs w:val="24"/>
        </w:rPr>
        <w:t xml:space="preserve"> Amendment Determination</w:t>
      </w:r>
      <w:r>
        <w:rPr>
          <w:rFonts w:ascii="Times New Roman" w:hAnsi="Times New Roman" w:cs="Times New Roman"/>
          <w:sz w:val="24"/>
          <w:szCs w:val="24"/>
        </w:rPr>
        <w:t>)</w:t>
      </w:r>
      <w:r w:rsidR="005A0266">
        <w:rPr>
          <w:rFonts w:ascii="Times New Roman" w:hAnsi="Times New Roman" w:cs="Times New Roman"/>
          <w:sz w:val="24"/>
          <w:szCs w:val="24"/>
        </w:rPr>
        <w:t xml:space="preserve"> under subsection 147(1) of the </w:t>
      </w:r>
      <w:r w:rsidR="005A0266" w:rsidRPr="0002112F">
        <w:rPr>
          <w:rFonts w:ascii="Times New Roman" w:hAnsi="Times New Roman" w:cs="Times New Roman"/>
          <w:i/>
          <w:sz w:val="24"/>
          <w:szCs w:val="24"/>
        </w:rPr>
        <w:t>Telecommunications (Consumer Protection and Service Standards) Act 1999</w:t>
      </w:r>
      <w:r w:rsidR="005A0266">
        <w:rPr>
          <w:rFonts w:ascii="Times New Roman" w:hAnsi="Times New Roman" w:cs="Times New Roman"/>
          <w:sz w:val="24"/>
          <w:szCs w:val="24"/>
        </w:rPr>
        <w:t xml:space="preserve"> (</w:t>
      </w:r>
      <w:r w:rsidR="005A0266" w:rsidRPr="0002112F">
        <w:rPr>
          <w:rFonts w:ascii="Times New Roman" w:hAnsi="Times New Roman" w:cs="Times New Roman"/>
          <w:sz w:val="24"/>
          <w:szCs w:val="24"/>
        </w:rPr>
        <w:t>the</w:t>
      </w:r>
      <w:r w:rsidR="005A0266" w:rsidRPr="0002112F">
        <w:rPr>
          <w:rFonts w:ascii="Times New Roman" w:hAnsi="Times New Roman" w:cs="Times New Roman"/>
          <w:b/>
          <w:sz w:val="24"/>
          <w:szCs w:val="24"/>
        </w:rPr>
        <w:t xml:space="preserve"> Act</w:t>
      </w:r>
      <w:r w:rsidR="005A0266">
        <w:rPr>
          <w:rFonts w:ascii="Times New Roman" w:hAnsi="Times New Roman" w:cs="Times New Roman"/>
          <w:sz w:val="24"/>
          <w:szCs w:val="24"/>
        </w:rPr>
        <w:t>).</w:t>
      </w:r>
    </w:p>
    <w:p w:rsidR="005A0266" w:rsidRDefault="005A0266" w:rsidP="00E14AEF">
      <w:pPr>
        <w:pStyle w:val="NoSpacing"/>
        <w:rPr>
          <w:rFonts w:ascii="Times New Roman" w:hAnsi="Times New Roman" w:cs="Times New Roman"/>
          <w:sz w:val="24"/>
          <w:szCs w:val="24"/>
        </w:rPr>
      </w:pPr>
    </w:p>
    <w:p w:rsidR="005A0266" w:rsidRDefault="00A07D46" w:rsidP="00E14AEF">
      <w:pPr>
        <w:pStyle w:val="NoSpacing"/>
        <w:rPr>
          <w:rFonts w:ascii="Times New Roman" w:hAnsi="Times New Roman" w:cs="Times New Roman"/>
          <w:sz w:val="24"/>
          <w:szCs w:val="24"/>
        </w:rPr>
      </w:pPr>
      <w:r w:rsidRPr="0002112F">
        <w:rPr>
          <w:rFonts w:ascii="Times New Roman" w:hAnsi="Times New Roman" w:cs="Times New Roman"/>
          <w:sz w:val="24"/>
          <w:szCs w:val="24"/>
        </w:rPr>
        <w:t xml:space="preserve">Subsection 147(1) </w:t>
      </w:r>
      <w:r w:rsidR="0002112F">
        <w:rPr>
          <w:rFonts w:ascii="Times New Roman" w:hAnsi="Times New Roman" w:cs="Times New Roman"/>
          <w:sz w:val="24"/>
          <w:szCs w:val="24"/>
        </w:rPr>
        <w:t xml:space="preserve">of the Act </w:t>
      </w:r>
      <w:r w:rsidRPr="0002112F">
        <w:rPr>
          <w:rFonts w:ascii="Times New Roman" w:hAnsi="Times New Roman" w:cs="Times New Roman"/>
          <w:sz w:val="24"/>
          <w:szCs w:val="24"/>
        </w:rPr>
        <w:t>provides that the ACMA must make a written determination imposing requirements on carriers, carriage service providers</w:t>
      </w:r>
      <w:r w:rsidR="00272738">
        <w:rPr>
          <w:rFonts w:ascii="Times New Roman" w:hAnsi="Times New Roman" w:cs="Times New Roman"/>
          <w:sz w:val="24"/>
          <w:szCs w:val="24"/>
        </w:rPr>
        <w:t xml:space="preserve"> (</w:t>
      </w:r>
      <w:r w:rsidR="00272738" w:rsidRPr="00272738">
        <w:rPr>
          <w:rFonts w:ascii="Times New Roman" w:hAnsi="Times New Roman" w:cs="Times New Roman"/>
          <w:b/>
          <w:sz w:val="24"/>
          <w:szCs w:val="24"/>
        </w:rPr>
        <w:t>CSPs</w:t>
      </w:r>
      <w:r w:rsidR="00272738">
        <w:rPr>
          <w:rFonts w:ascii="Times New Roman" w:hAnsi="Times New Roman" w:cs="Times New Roman"/>
          <w:sz w:val="24"/>
          <w:szCs w:val="24"/>
        </w:rPr>
        <w:t>)</w:t>
      </w:r>
      <w:r w:rsidRPr="0002112F">
        <w:rPr>
          <w:rFonts w:ascii="Times New Roman" w:hAnsi="Times New Roman" w:cs="Times New Roman"/>
          <w:sz w:val="24"/>
          <w:szCs w:val="24"/>
        </w:rPr>
        <w:t xml:space="preserve"> and/or emergency call persons in relation to emergency call services</w:t>
      </w:r>
      <w:r w:rsidR="00272738">
        <w:rPr>
          <w:rFonts w:ascii="Times New Roman" w:hAnsi="Times New Roman" w:cs="Times New Roman"/>
          <w:sz w:val="24"/>
          <w:szCs w:val="24"/>
        </w:rPr>
        <w:t xml:space="preserve"> (</w:t>
      </w:r>
      <w:r w:rsidR="00272738" w:rsidRPr="00272738">
        <w:rPr>
          <w:rFonts w:ascii="Times New Roman" w:hAnsi="Times New Roman" w:cs="Times New Roman"/>
          <w:b/>
          <w:sz w:val="24"/>
          <w:szCs w:val="24"/>
        </w:rPr>
        <w:t>ECS</w:t>
      </w:r>
      <w:r w:rsidR="00272738">
        <w:rPr>
          <w:rFonts w:ascii="Times New Roman" w:hAnsi="Times New Roman" w:cs="Times New Roman"/>
          <w:sz w:val="24"/>
          <w:szCs w:val="24"/>
        </w:rPr>
        <w:t>)</w:t>
      </w:r>
      <w:r w:rsidR="004335AA">
        <w:rPr>
          <w:rFonts w:ascii="Times New Roman" w:hAnsi="Times New Roman" w:cs="Times New Roman"/>
          <w:sz w:val="24"/>
          <w:szCs w:val="24"/>
        </w:rPr>
        <w:t xml:space="preserve">. </w:t>
      </w:r>
      <w:r w:rsidR="0002112F">
        <w:rPr>
          <w:rFonts w:ascii="Times New Roman" w:hAnsi="Times New Roman" w:cs="Times New Roman"/>
          <w:sz w:val="24"/>
          <w:szCs w:val="24"/>
        </w:rPr>
        <w:t>In accordance with subsection 147(1), t</w:t>
      </w:r>
      <w:r w:rsidRPr="0002112F">
        <w:rPr>
          <w:rFonts w:ascii="Times New Roman" w:hAnsi="Times New Roman" w:cs="Times New Roman"/>
          <w:sz w:val="24"/>
          <w:szCs w:val="24"/>
        </w:rPr>
        <w:t xml:space="preserve">he ACMA made the </w:t>
      </w:r>
      <w:r w:rsidRPr="0002112F">
        <w:rPr>
          <w:rFonts w:ascii="Times New Roman" w:hAnsi="Times New Roman" w:cs="Times New Roman"/>
          <w:i/>
          <w:sz w:val="24"/>
          <w:szCs w:val="24"/>
        </w:rPr>
        <w:t>Telecommunications (E</w:t>
      </w:r>
      <w:r w:rsidR="0002112F" w:rsidRPr="0002112F">
        <w:rPr>
          <w:rFonts w:ascii="Times New Roman" w:hAnsi="Times New Roman" w:cs="Times New Roman"/>
          <w:i/>
          <w:sz w:val="24"/>
          <w:szCs w:val="24"/>
        </w:rPr>
        <w:t>mergency Call Service) Determination 2009</w:t>
      </w:r>
      <w:r w:rsidR="0002112F">
        <w:rPr>
          <w:rFonts w:ascii="Times New Roman" w:hAnsi="Times New Roman" w:cs="Times New Roman"/>
          <w:sz w:val="24"/>
          <w:szCs w:val="24"/>
        </w:rPr>
        <w:t xml:space="preserve"> (</w:t>
      </w:r>
      <w:r w:rsidR="0002112F" w:rsidRPr="0002112F">
        <w:rPr>
          <w:rFonts w:ascii="Times New Roman" w:hAnsi="Times New Roman" w:cs="Times New Roman"/>
          <w:sz w:val="24"/>
          <w:szCs w:val="24"/>
        </w:rPr>
        <w:t>the</w:t>
      </w:r>
      <w:r w:rsidR="0002112F" w:rsidRPr="0002112F">
        <w:rPr>
          <w:rFonts w:ascii="Times New Roman" w:hAnsi="Times New Roman" w:cs="Times New Roman"/>
          <w:b/>
          <w:sz w:val="24"/>
          <w:szCs w:val="24"/>
        </w:rPr>
        <w:t xml:space="preserve"> ECS Determination</w:t>
      </w:r>
      <w:r w:rsidR="0002112F">
        <w:rPr>
          <w:rFonts w:ascii="Times New Roman" w:hAnsi="Times New Roman" w:cs="Times New Roman"/>
          <w:sz w:val="24"/>
          <w:szCs w:val="24"/>
        </w:rPr>
        <w:t>).</w:t>
      </w:r>
    </w:p>
    <w:p w:rsidR="0002112F" w:rsidRDefault="0002112F" w:rsidP="00E14AEF">
      <w:pPr>
        <w:pStyle w:val="NoSpacing"/>
        <w:rPr>
          <w:rFonts w:ascii="Times New Roman" w:hAnsi="Times New Roman" w:cs="Times New Roman"/>
          <w:sz w:val="24"/>
          <w:szCs w:val="24"/>
        </w:rPr>
      </w:pPr>
    </w:p>
    <w:p w:rsidR="00E14AEF" w:rsidRPr="00765464" w:rsidRDefault="005D2E73" w:rsidP="00E14AEF">
      <w:pPr>
        <w:pStyle w:val="NoSpacing"/>
        <w:rPr>
          <w:rFonts w:ascii="Times New Roman" w:hAnsi="Times New Roman" w:cs="Times New Roman"/>
          <w:sz w:val="24"/>
          <w:szCs w:val="24"/>
        </w:rPr>
      </w:pPr>
      <w:r>
        <w:rPr>
          <w:rFonts w:ascii="Times New Roman" w:hAnsi="Times New Roman" w:cs="Times New Roman"/>
          <w:sz w:val="24"/>
          <w:szCs w:val="24"/>
        </w:rPr>
        <w:t xml:space="preserve">The ECS Determination imposed emergency call service requirements in relation to a satellite phone service only if </w:t>
      </w:r>
      <w:r w:rsidR="007D07EE">
        <w:rPr>
          <w:rFonts w:ascii="Times New Roman" w:hAnsi="Times New Roman" w:cs="Times New Roman"/>
          <w:sz w:val="24"/>
          <w:szCs w:val="24"/>
        </w:rPr>
        <w:t>a</w:t>
      </w:r>
      <w:r>
        <w:rPr>
          <w:rFonts w:ascii="Times New Roman" w:hAnsi="Times New Roman" w:cs="Times New Roman"/>
          <w:sz w:val="24"/>
          <w:szCs w:val="24"/>
        </w:rPr>
        <w:t xml:space="preserve"> call</w:t>
      </w:r>
      <w:r w:rsidR="007D07EE">
        <w:rPr>
          <w:rFonts w:ascii="Times New Roman" w:hAnsi="Times New Roman" w:cs="Times New Roman"/>
          <w:sz w:val="24"/>
          <w:szCs w:val="24"/>
        </w:rPr>
        <w:t xml:space="preserve"> using that service and made to an emergency call person </w:t>
      </w:r>
      <w:r>
        <w:rPr>
          <w:rFonts w:ascii="Times New Roman" w:hAnsi="Times New Roman" w:cs="Times New Roman"/>
          <w:sz w:val="24"/>
          <w:szCs w:val="24"/>
        </w:rPr>
        <w:t>was transferred to an Australi</w:t>
      </w:r>
      <w:r w:rsidR="009819F2">
        <w:rPr>
          <w:rFonts w:ascii="Times New Roman" w:hAnsi="Times New Roman" w:cs="Times New Roman"/>
          <w:sz w:val="24"/>
          <w:szCs w:val="24"/>
        </w:rPr>
        <w:t xml:space="preserve">an-based terrestrial network. </w:t>
      </w:r>
      <w:r w:rsidR="00E14AEF" w:rsidRPr="00765464">
        <w:rPr>
          <w:rFonts w:ascii="Times New Roman" w:hAnsi="Times New Roman" w:cs="Times New Roman"/>
          <w:sz w:val="24"/>
          <w:szCs w:val="24"/>
        </w:rPr>
        <w:t xml:space="preserve">The </w:t>
      </w:r>
      <w:r w:rsidR="00FD28FE">
        <w:rPr>
          <w:rFonts w:ascii="Times New Roman" w:hAnsi="Times New Roman" w:cs="Times New Roman"/>
          <w:sz w:val="24"/>
          <w:szCs w:val="24"/>
        </w:rPr>
        <w:t xml:space="preserve">Amendment </w:t>
      </w:r>
      <w:r w:rsidR="00E14AEF" w:rsidRPr="00765464">
        <w:rPr>
          <w:rFonts w:ascii="Times New Roman" w:hAnsi="Times New Roman" w:cs="Times New Roman"/>
          <w:sz w:val="24"/>
          <w:szCs w:val="24"/>
        </w:rPr>
        <w:t xml:space="preserve">Determination amends the </w:t>
      </w:r>
      <w:r w:rsidR="00411E11">
        <w:rPr>
          <w:rFonts w:ascii="Times New Roman" w:hAnsi="Times New Roman" w:cs="Times New Roman"/>
          <w:sz w:val="24"/>
          <w:szCs w:val="24"/>
        </w:rPr>
        <w:t>ECS</w:t>
      </w:r>
      <w:r w:rsidR="00411E11" w:rsidRPr="00C64E83">
        <w:rPr>
          <w:rFonts w:ascii="Times New Roman" w:hAnsi="Times New Roman" w:cs="Times New Roman"/>
          <w:sz w:val="24"/>
          <w:szCs w:val="24"/>
        </w:rPr>
        <w:t xml:space="preserve"> </w:t>
      </w:r>
      <w:r w:rsidR="00E14AEF" w:rsidRPr="00C64E83">
        <w:rPr>
          <w:rFonts w:ascii="Times New Roman" w:hAnsi="Times New Roman" w:cs="Times New Roman"/>
          <w:sz w:val="24"/>
          <w:szCs w:val="24"/>
        </w:rPr>
        <w:t>Determination</w:t>
      </w:r>
      <w:r w:rsidR="008D4764">
        <w:rPr>
          <w:rFonts w:ascii="Times New Roman" w:hAnsi="Times New Roman" w:cs="Times New Roman"/>
          <w:sz w:val="24"/>
          <w:szCs w:val="24"/>
        </w:rPr>
        <w:t xml:space="preserve"> </w:t>
      </w:r>
      <w:r w:rsidR="0002112F">
        <w:rPr>
          <w:rFonts w:ascii="Times New Roman" w:hAnsi="Times New Roman" w:cs="Times New Roman"/>
          <w:sz w:val="24"/>
          <w:szCs w:val="24"/>
        </w:rPr>
        <w:t>in order to impose</w:t>
      </w:r>
      <w:r w:rsidR="00411E11">
        <w:rPr>
          <w:rFonts w:ascii="Times New Roman" w:hAnsi="Times New Roman" w:cs="Times New Roman"/>
          <w:sz w:val="24"/>
          <w:szCs w:val="24"/>
        </w:rPr>
        <w:t xml:space="preserve"> </w:t>
      </w:r>
      <w:r w:rsidR="008D4764">
        <w:rPr>
          <w:rFonts w:ascii="Times New Roman" w:hAnsi="Times New Roman" w:cs="Times New Roman"/>
          <w:sz w:val="24"/>
          <w:szCs w:val="24"/>
        </w:rPr>
        <w:t xml:space="preserve">emergency call service requirements </w:t>
      </w:r>
      <w:r w:rsidR="0002112F">
        <w:rPr>
          <w:rFonts w:ascii="Times New Roman" w:hAnsi="Times New Roman" w:cs="Times New Roman"/>
          <w:sz w:val="24"/>
          <w:szCs w:val="24"/>
        </w:rPr>
        <w:t xml:space="preserve">in relation </w:t>
      </w:r>
      <w:r w:rsidR="008D4764">
        <w:rPr>
          <w:rFonts w:ascii="Times New Roman" w:hAnsi="Times New Roman" w:cs="Times New Roman"/>
          <w:sz w:val="24"/>
          <w:szCs w:val="24"/>
        </w:rPr>
        <w:t xml:space="preserve">to </w:t>
      </w:r>
      <w:r w:rsidR="0002112F">
        <w:rPr>
          <w:rFonts w:ascii="Times New Roman" w:hAnsi="Times New Roman" w:cs="Times New Roman"/>
          <w:sz w:val="24"/>
          <w:szCs w:val="24"/>
        </w:rPr>
        <w:t xml:space="preserve">a wider range of </w:t>
      </w:r>
      <w:r w:rsidR="008D4764">
        <w:rPr>
          <w:rFonts w:ascii="Times New Roman" w:hAnsi="Times New Roman" w:cs="Times New Roman"/>
          <w:sz w:val="24"/>
          <w:szCs w:val="24"/>
        </w:rPr>
        <w:t xml:space="preserve">satellite </w:t>
      </w:r>
      <w:r w:rsidR="0002112F">
        <w:rPr>
          <w:rFonts w:ascii="Times New Roman" w:hAnsi="Times New Roman" w:cs="Times New Roman"/>
          <w:sz w:val="24"/>
          <w:szCs w:val="24"/>
        </w:rPr>
        <w:t xml:space="preserve">phone </w:t>
      </w:r>
      <w:r w:rsidR="008D4764">
        <w:rPr>
          <w:rFonts w:ascii="Times New Roman" w:hAnsi="Times New Roman" w:cs="Times New Roman"/>
          <w:sz w:val="24"/>
          <w:szCs w:val="24"/>
        </w:rPr>
        <w:t>services</w:t>
      </w:r>
      <w:r w:rsidR="00E14AEF">
        <w:rPr>
          <w:rFonts w:ascii="Times New Roman" w:hAnsi="Times New Roman" w:cs="Times New Roman"/>
          <w:sz w:val="24"/>
          <w:szCs w:val="24"/>
        </w:rPr>
        <w:t>.</w:t>
      </w:r>
      <w:r w:rsidR="003514E2">
        <w:rPr>
          <w:rFonts w:ascii="Times New Roman" w:hAnsi="Times New Roman" w:cs="Times New Roman"/>
          <w:sz w:val="24"/>
          <w:szCs w:val="24"/>
        </w:rPr>
        <w:t xml:space="preserve">  </w:t>
      </w:r>
    </w:p>
    <w:p w:rsidR="00E14AEF" w:rsidRPr="00765464" w:rsidRDefault="00E14AEF" w:rsidP="00E14AEF">
      <w:pPr>
        <w:pStyle w:val="NoSpacing"/>
        <w:rPr>
          <w:rFonts w:ascii="Times New Roman" w:hAnsi="Times New Roman" w:cs="Times New Roman"/>
          <w:sz w:val="24"/>
          <w:szCs w:val="24"/>
        </w:rPr>
      </w:pPr>
    </w:p>
    <w:p w:rsidR="00E14AEF" w:rsidRPr="003B63DC" w:rsidRDefault="00E14AEF" w:rsidP="00E14AEF">
      <w:pPr>
        <w:pStyle w:val="NoSpacing"/>
        <w:rPr>
          <w:rFonts w:ascii="Times New Roman" w:hAnsi="Times New Roman" w:cs="Times New Roman"/>
          <w:sz w:val="8"/>
          <w:szCs w:val="24"/>
        </w:rPr>
      </w:pPr>
    </w:p>
    <w:p w:rsidR="00E14AEF" w:rsidRPr="00765464" w:rsidRDefault="00E14AEF" w:rsidP="00E14AEF">
      <w:pPr>
        <w:pStyle w:val="NoSpacing"/>
        <w:rPr>
          <w:rFonts w:ascii="Times New Roman" w:hAnsi="Times New Roman" w:cs="Times New Roman"/>
          <w:b/>
          <w:sz w:val="24"/>
          <w:szCs w:val="24"/>
        </w:rPr>
      </w:pPr>
      <w:r w:rsidRPr="00765464">
        <w:rPr>
          <w:rFonts w:ascii="Times New Roman" w:hAnsi="Times New Roman" w:cs="Times New Roman"/>
          <w:b/>
          <w:sz w:val="24"/>
          <w:szCs w:val="24"/>
        </w:rPr>
        <w:t>Background</w:t>
      </w:r>
    </w:p>
    <w:p w:rsidR="00E14AEF" w:rsidRPr="00765464" w:rsidRDefault="00E14AEF" w:rsidP="00E14AEF">
      <w:pPr>
        <w:pStyle w:val="NoSpacing"/>
        <w:rPr>
          <w:rFonts w:ascii="Times New Roman" w:hAnsi="Times New Roman" w:cs="Times New Roman"/>
          <w:sz w:val="24"/>
          <w:szCs w:val="24"/>
        </w:rPr>
      </w:pPr>
    </w:p>
    <w:p w:rsidR="0062152F" w:rsidRDefault="0062152F" w:rsidP="0062152F">
      <w:pPr>
        <w:rPr>
          <w:rFonts w:cs="Arial"/>
          <w:color w:val="000000"/>
        </w:rPr>
      </w:pPr>
      <w:r w:rsidRPr="00CC57D0">
        <w:rPr>
          <w:rFonts w:cs="Arial"/>
          <w:color w:val="000000"/>
        </w:rPr>
        <w:t>The Amendment Determination address</w:t>
      </w:r>
      <w:r w:rsidR="00411E11">
        <w:rPr>
          <w:rFonts w:cs="Arial"/>
          <w:color w:val="000000"/>
        </w:rPr>
        <w:t>es</w:t>
      </w:r>
      <w:r w:rsidRPr="00CC57D0">
        <w:rPr>
          <w:rFonts w:cs="Arial"/>
          <w:color w:val="000000"/>
        </w:rPr>
        <w:t xml:space="preserve"> concerns raised in the Report of the 2011-12 Regional Telecommunications Review Committee </w:t>
      </w:r>
      <w:r w:rsidR="00234C1E">
        <w:rPr>
          <w:rFonts w:cs="Arial"/>
          <w:color w:val="000000"/>
        </w:rPr>
        <w:t xml:space="preserve"> (the </w:t>
      </w:r>
      <w:r w:rsidR="00234C1E" w:rsidRPr="00234C1E">
        <w:rPr>
          <w:rFonts w:cs="Arial"/>
          <w:b/>
          <w:color w:val="000000"/>
        </w:rPr>
        <w:t>Report</w:t>
      </w:r>
      <w:r w:rsidR="00234C1E">
        <w:rPr>
          <w:rFonts w:cs="Arial"/>
          <w:color w:val="000000"/>
        </w:rPr>
        <w:t xml:space="preserve">) </w:t>
      </w:r>
      <w:r w:rsidRPr="00CC57D0">
        <w:rPr>
          <w:rFonts w:cs="Arial"/>
          <w:color w:val="000000"/>
        </w:rPr>
        <w:t>about ECS access from satellite phone</w:t>
      </w:r>
      <w:r w:rsidR="00FF491B">
        <w:rPr>
          <w:rFonts w:cs="Arial"/>
          <w:color w:val="000000"/>
        </w:rPr>
        <w:t>s</w:t>
      </w:r>
      <w:r w:rsidRPr="00CC57D0">
        <w:rPr>
          <w:rFonts w:cs="Arial"/>
          <w:color w:val="000000"/>
        </w:rPr>
        <w:t xml:space="preserve">.  </w:t>
      </w:r>
    </w:p>
    <w:p w:rsidR="005D7D04" w:rsidRDefault="005D7D04" w:rsidP="0062152F">
      <w:pPr>
        <w:rPr>
          <w:rFonts w:cs="Arial"/>
          <w:color w:val="000000"/>
        </w:rPr>
      </w:pPr>
    </w:p>
    <w:p w:rsidR="005D7D04" w:rsidRPr="00CC57D0" w:rsidRDefault="005D7D04" w:rsidP="0062152F">
      <w:pPr>
        <w:rPr>
          <w:rFonts w:cs="Arial"/>
          <w:color w:val="000000"/>
        </w:rPr>
      </w:pPr>
      <w:r>
        <w:rPr>
          <w:rFonts w:cs="Arial"/>
          <w:color w:val="000000"/>
        </w:rPr>
        <w:t xml:space="preserve">The Report </w:t>
      </w:r>
      <w:r w:rsidRPr="005D7D04">
        <w:t xml:space="preserve">expressed concerns that people might not be able to access the ECS from their satellite phones during emergencies. As satellite phones are commonly used as emergency devices in remote areas, the Report </w:t>
      </w:r>
      <w:r w:rsidR="0077132B">
        <w:t>recommended that the ACMA explore the feasibility of making ECS access a condition of a satellite carrier obtaining and/or maintaining its carrier licence</w:t>
      </w:r>
      <w:r>
        <w:t>.</w:t>
      </w:r>
    </w:p>
    <w:p w:rsidR="0062152F" w:rsidRPr="005D7D04" w:rsidRDefault="0062152F" w:rsidP="0062152F">
      <w:pPr>
        <w:contextualSpacing/>
      </w:pPr>
    </w:p>
    <w:p w:rsidR="0062152F" w:rsidRDefault="0062152F" w:rsidP="0062152F">
      <w:pPr>
        <w:contextualSpacing/>
      </w:pPr>
      <w:r w:rsidRPr="005D7D04">
        <w:t>On 23 August 2012 the Government responded to the recommendation</w:t>
      </w:r>
      <w:r w:rsidR="00234C1E" w:rsidRPr="005D7D04">
        <w:t xml:space="preserve"> made in the Report</w:t>
      </w:r>
      <w:r w:rsidRPr="005D7D04">
        <w:t>, advising that the ACMA would investigate the feasibility of requiring the provision by CSPs of ECS access to all satellite phone</w:t>
      </w:r>
      <w:r w:rsidR="0071123E" w:rsidRPr="005D7D04">
        <w:t>s</w:t>
      </w:r>
      <w:r w:rsidRPr="005D7D04">
        <w:t xml:space="preserve"> through the </w:t>
      </w:r>
      <w:r w:rsidR="0077132B">
        <w:t xml:space="preserve">ECS </w:t>
      </w:r>
      <w:r w:rsidRPr="005D7D04">
        <w:t>Determination</w:t>
      </w:r>
      <w:r w:rsidR="0077132B">
        <w:t xml:space="preserve"> rather than through the imposition of additional conditions on the relevant carriers’ licences</w:t>
      </w:r>
      <w:r w:rsidR="0072721D" w:rsidRPr="005D7D04">
        <w:t>.</w:t>
      </w:r>
    </w:p>
    <w:p w:rsidR="00121D43" w:rsidRDefault="00121D43" w:rsidP="003514E2">
      <w:pPr>
        <w:tabs>
          <w:tab w:val="left" w:pos="4678"/>
        </w:tabs>
      </w:pPr>
    </w:p>
    <w:p w:rsidR="00B931FC" w:rsidRDefault="003514E2" w:rsidP="006C1AE8">
      <w:pPr>
        <w:contextualSpacing/>
      </w:pPr>
      <w:r w:rsidRPr="00272738">
        <w:t xml:space="preserve">Under </w:t>
      </w:r>
      <w:r w:rsidR="00AE0378" w:rsidRPr="00272738">
        <w:t>t</w:t>
      </w:r>
      <w:r w:rsidRPr="00272738">
        <w:t>he</w:t>
      </w:r>
      <w:r w:rsidR="00AE0378" w:rsidRPr="00272738">
        <w:t xml:space="preserve"> </w:t>
      </w:r>
      <w:r w:rsidR="0072721D" w:rsidRPr="00272738">
        <w:t xml:space="preserve">ECS </w:t>
      </w:r>
      <w:r w:rsidRPr="00272738">
        <w:t xml:space="preserve">Determination, a </w:t>
      </w:r>
      <w:r w:rsidR="009819F2">
        <w:t>CSP</w:t>
      </w:r>
      <w:r w:rsidRPr="00272738">
        <w:t xml:space="preserve"> supplying satellite telephone services must give an end-user access to</w:t>
      </w:r>
      <w:r w:rsidR="0062152F" w:rsidRPr="00272738">
        <w:t xml:space="preserve"> the ECS</w:t>
      </w:r>
      <w:r w:rsidRPr="00272738">
        <w:t>, unless the call is transferred to a network other than an Austra</w:t>
      </w:r>
      <w:r w:rsidR="00FD42BE">
        <w:t>lian-based terrestri</w:t>
      </w:r>
      <w:r w:rsidR="009819F2">
        <w:t xml:space="preserve">al network. </w:t>
      </w:r>
      <w:r w:rsidR="00FD42BE">
        <w:t xml:space="preserve">At the time the ECS Determination was made, it was recognised </w:t>
      </w:r>
      <w:r w:rsidR="00FD42BE">
        <w:lastRenderedPageBreak/>
        <w:t xml:space="preserve">that there were technical limitations inherent in the way some global satellite systems were configured to transfer calls to networks outside Australia that prevented access to the ECS. However, most satellite services that are routed through ground stations in countries other than Australia do now support access to the ECS. Those technical advances have made it possible to impose new ECS requirements in relation to satellite phone </w:t>
      </w:r>
      <w:r w:rsidR="009819F2">
        <w:t xml:space="preserve">services. </w:t>
      </w:r>
      <w:r w:rsidR="00FD42BE">
        <w:t>In addition, developments in the market</w:t>
      </w:r>
      <w:r w:rsidR="003B63DC">
        <w:t xml:space="preserve"> </w:t>
      </w:r>
      <w:r w:rsidR="00AA6113" w:rsidRPr="00272738">
        <w:t>have made it necessary to</w:t>
      </w:r>
      <w:r w:rsidR="00FD42BE">
        <w:t xml:space="preserve"> </w:t>
      </w:r>
      <w:r w:rsidR="00B931FC" w:rsidRPr="003514E2">
        <w:t xml:space="preserve">better protect the small number of consumers who use handheld satellite phones that do not support </w:t>
      </w:r>
      <w:r w:rsidR="0062152F">
        <w:t>ECS</w:t>
      </w:r>
      <w:r w:rsidR="00B931FC" w:rsidRPr="003514E2">
        <w:t xml:space="preserve"> access</w:t>
      </w:r>
      <w:r w:rsidR="00AA6113">
        <w:t>.</w:t>
      </w:r>
      <w:r w:rsidR="00B931FC">
        <w:t xml:space="preserve"> </w:t>
      </w:r>
    </w:p>
    <w:p w:rsidR="006941A0" w:rsidRDefault="006941A0" w:rsidP="003514E2"/>
    <w:p w:rsidR="008607AD" w:rsidRPr="00234C1E" w:rsidRDefault="008607AD" w:rsidP="003514E2">
      <w:pPr>
        <w:rPr>
          <w:b/>
        </w:rPr>
      </w:pPr>
      <w:r w:rsidRPr="00234C1E">
        <w:rPr>
          <w:b/>
        </w:rPr>
        <w:t>Operation</w:t>
      </w:r>
      <w:r w:rsidR="00234C1E" w:rsidRPr="00234C1E">
        <w:rPr>
          <w:b/>
        </w:rPr>
        <w:t xml:space="preserve"> of the Amendment Determination</w:t>
      </w:r>
    </w:p>
    <w:p w:rsidR="008607AD" w:rsidRDefault="008607AD" w:rsidP="003514E2"/>
    <w:p w:rsidR="00384B38" w:rsidRDefault="00FD28FE" w:rsidP="003514E2">
      <w:r>
        <w:t>The Amendment Determination</w:t>
      </w:r>
      <w:r w:rsidR="009C3F48">
        <w:t xml:space="preserve"> </w:t>
      </w:r>
      <w:r w:rsidR="00272738">
        <w:t xml:space="preserve">will amend the ECS Determination so that a </w:t>
      </w:r>
      <w:r w:rsidR="00F71A43">
        <w:t>CSP</w:t>
      </w:r>
      <w:r w:rsidR="00272738">
        <w:t xml:space="preserve"> that supplies a satellite service must give an end-user access to the </w:t>
      </w:r>
      <w:r w:rsidR="00384B38">
        <w:t xml:space="preserve">emergency call person unless, in the case </w:t>
      </w:r>
      <w:r w:rsidR="00996C3D">
        <w:t>of the emergency service number</w:t>
      </w:r>
      <w:r w:rsidR="004D5E8E">
        <w:t>s</w:t>
      </w:r>
      <w:r w:rsidR="00384B38">
        <w:t xml:space="preserve"> 000 and </w:t>
      </w:r>
      <w:r w:rsidR="009E3B8C">
        <w:t xml:space="preserve"> (where the customer equipment used to supply the service is capable of being used to access a public mobile telecommunications service</w:t>
      </w:r>
      <w:r w:rsidR="004D5E8E">
        <w:t xml:space="preserve"> that uses GSM technology</w:t>
      </w:r>
      <w:r w:rsidR="009E3B8C">
        <w:t>)</w:t>
      </w:r>
      <w:r w:rsidR="004D5E8E">
        <w:t xml:space="preserve"> 112</w:t>
      </w:r>
      <w:r w:rsidR="00384B38">
        <w:t>, the service is an “exempt satellite service” or, in the case of the emergency service number 106, the service is not technically capable of carr</w:t>
      </w:r>
      <w:r w:rsidR="009819F2">
        <w:t xml:space="preserve">ying a call using that number. </w:t>
      </w:r>
      <w:r w:rsidR="009441BA">
        <w:t xml:space="preserve">Whether or not a call is transferred to an Australian-based terrestrial network will no longer be determinative of whether a CSP is required to provide ECS access from a satellite phone service. </w:t>
      </w:r>
    </w:p>
    <w:p w:rsidR="00384B38" w:rsidRDefault="00384B38" w:rsidP="003514E2"/>
    <w:p w:rsidR="00D77C4F" w:rsidRDefault="00384B38" w:rsidP="003514E2">
      <w:r>
        <w:t xml:space="preserve">A definition of the term “exempt satellite service” will be inserted in the </w:t>
      </w:r>
      <w:r w:rsidR="00784907">
        <w:t xml:space="preserve">dictionary at the end of the ECS Determination (the </w:t>
      </w:r>
      <w:r w:rsidRPr="00784907">
        <w:rPr>
          <w:b/>
        </w:rPr>
        <w:t>Dictionary</w:t>
      </w:r>
      <w:r w:rsidR="00784907">
        <w:t>)</w:t>
      </w:r>
      <w:r w:rsidR="009819F2">
        <w:t xml:space="preserve">. </w:t>
      </w:r>
      <w:r>
        <w:t>In order to fall within that definition, a satellite service must be supplied to a “non-handheld satellite device”</w:t>
      </w:r>
      <w:r w:rsidR="00F71A43">
        <w:t xml:space="preserve"> (which will also be defined in the Dictionary)</w:t>
      </w:r>
      <w:r>
        <w:t>, must be of a kind specified in new Schedule 1, and must not be supplied in fulfilment of the</w:t>
      </w:r>
      <w:r w:rsidR="009819F2">
        <w:t xml:space="preserve"> universal service obligation. </w:t>
      </w:r>
      <w:r w:rsidR="00193112">
        <w:t xml:space="preserve">New Schedule 1 </w:t>
      </w:r>
      <w:r w:rsidR="00B94FD8">
        <w:t xml:space="preserve">presently </w:t>
      </w:r>
      <w:r w:rsidR="00193112">
        <w:t>specifies only one kind of satellite service, namely a satellite service supplied by means of a satellite owned, controlled or operated by Inmarsat Global Limited (</w:t>
      </w:r>
      <w:r w:rsidR="00193112" w:rsidRPr="00193112">
        <w:rPr>
          <w:b/>
        </w:rPr>
        <w:t>Inmarsat satellite</w:t>
      </w:r>
      <w:r w:rsidR="0021792D">
        <w:rPr>
          <w:b/>
        </w:rPr>
        <w:t>s</w:t>
      </w:r>
      <w:r w:rsidR="00193112">
        <w:t>).</w:t>
      </w:r>
      <w:r w:rsidR="006E4B06">
        <w:t xml:space="preserve">  </w:t>
      </w:r>
    </w:p>
    <w:p w:rsidR="00D77C4F" w:rsidRDefault="00D77C4F" w:rsidP="003514E2"/>
    <w:p w:rsidR="00384B38" w:rsidRPr="00D77C4F" w:rsidRDefault="00D77C4F" w:rsidP="003514E2">
      <w:pPr>
        <w:rPr>
          <w:b/>
        </w:rPr>
      </w:pPr>
      <w:r w:rsidRPr="00D77C4F">
        <w:rPr>
          <w:b/>
        </w:rPr>
        <w:t>Purpose of the Amendment Determination</w:t>
      </w:r>
      <w:r w:rsidR="005D2E73" w:rsidRPr="00D77C4F">
        <w:rPr>
          <w:b/>
        </w:rPr>
        <w:t xml:space="preserve"> </w:t>
      </w:r>
      <w:r w:rsidR="00384B38" w:rsidRPr="00D77C4F">
        <w:rPr>
          <w:b/>
        </w:rPr>
        <w:t xml:space="preserve">    </w:t>
      </w:r>
    </w:p>
    <w:p w:rsidR="00384B38" w:rsidRDefault="00384B38" w:rsidP="003514E2"/>
    <w:p w:rsidR="005F0FCA" w:rsidRPr="009E3B8C" w:rsidRDefault="00E8653A" w:rsidP="003514E2">
      <w:r>
        <w:t xml:space="preserve">The purpose of </w:t>
      </w:r>
      <w:r w:rsidR="00744B75">
        <w:t>the</w:t>
      </w:r>
      <w:r>
        <w:t xml:space="preserve"> </w:t>
      </w:r>
      <w:r w:rsidR="00744B75">
        <w:t>Amendment Determination</w:t>
      </w:r>
      <w:r>
        <w:t xml:space="preserve"> is to ensure that</w:t>
      </w:r>
      <w:r w:rsidR="0070338A">
        <w:t>, from 1 July 2013,</w:t>
      </w:r>
      <w:r w:rsidR="00CC47F9">
        <w:t xml:space="preserve"> all satellite phone services</w:t>
      </w:r>
      <w:r w:rsidR="00BC3C63">
        <w:t xml:space="preserve">, other than </w:t>
      </w:r>
      <w:r w:rsidR="0021792D">
        <w:t>a particular kind of satellite service supplied to particular kinds of devices</w:t>
      </w:r>
      <w:r w:rsidR="00BC3C63">
        <w:t>,</w:t>
      </w:r>
      <w:r w:rsidR="00CC47F9">
        <w:t xml:space="preserve"> will be capable of accessing </w:t>
      </w:r>
      <w:r w:rsidR="0070338A">
        <w:t xml:space="preserve">the emergency service numbers 000 and </w:t>
      </w:r>
      <w:r w:rsidR="009E3B8C">
        <w:t>(where the customer equipment used to supply the service is capable of being used to access a public mobile telecommunications service</w:t>
      </w:r>
      <w:r w:rsidR="00B94FD8">
        <w:t xml:space="preserve"> that uses GSM technology</w:t>
      </w:r>
      <w:r w:rsidR="009E3B8C">
        <w:t>)</w:t>
      </w:r>
      <w:r w:rsidR="00B94FD8">
        <w:t xml:space="preserve"> 112</w:t>
      </w:r>
      <w:r w:rsidR="009E3B8C">
        <w:t xml:space="preserve"> </w:t>
      </w:r>
      <w:r w:rsidR="0070338A">
        <w:t>and that all satellite phone services that are technically capable of carrying a call to the emergency service number 106</w:t>
      </w:r>
      <w:r w:rsidR="000A4F08">
        <w:t>,</w:t>
      </w:r>
      <w:r w:rsidR="0070338A">
        <w:t xml:space="preserve"> will do so</w:t>
      </w:r>
      <w:r w:rsidR="00BC3C63">
        <w:t xml:space="preserve">.  The </w:t>
      </w:r>
      <w:r w:rsidR="0021792D">
        <w:t>kind of satellite phone service that will be exempt from the ECS requirements are</w:t>
      </w:r>
      <w:r w:rsidR="00301716">
        <w:t xml:space="preserve"> niche satellite services </w:t>
      </w:r>
      <w:r w:rsidR="0021792D">
        <w:t xml:space="preserve">generally only </w:t>
      </w:r>
      <w:r w:rsidR="00301716">
        <w:t xml:space="preserve">used by those in the maritime, aeronautical, mining, </w:t>
      </w:r>
      <w:r w:rsidR="0021792D">
        <w:t xml:space="preserve">exploration, </w:t>
      </w:r>
      <w:r w:rsidR="00301716">
        <w:t>disast</w:t>
      </w:r>
      <w:r w:rsidR="009819F2">
        <w:t xml:space="preserve">er relief or media industries. </w:t>
      </w:r>
      <w:r w:rsidR="00301716">
        <w:t>Services of this kind are supplied</w:t>
      </w:r>
      <w:r w:rsidR="00113B0B">
        <w:t xml:space="preserve"> </w:t>
      </w:r>
      <w:r w:rsidR="00301716">
        <w:t xml:space="preserve">by means of </w:t>
      </w:r>
      <w:r w:rsidR="00113B0B">
        <w:t>Inmarsat satellites</w:t>
      </w:r>
      <w:r w:rsidR="00301716">
        <w:t xml:space="preserve"> </w:t>
      </w:r>
      <w:r w:rsidR="00113B0B">
        <w:t xml:space="preserve">to devices that </w:t>
      </w:r>
      <w:r w:rsidR="0021792D">
        <w:t>only function when connected</w:t>
      </w:r>
      <w:r w:rsidR="00113B0B">
        <w:t xml:space="preserve"> to other customer equipment (other than a SIM).</w:t>
      </w:r>
      <w:r w:rsidR="009819F2">
        <w:t xml:space="preserve"> </w:t>
      </w:r>
      <w:r w:rsidR="00193DD6">
        <w:t>As a consequence of this functional limitation</w:t>
      </w:r>
      <w:r w:rsidR="0021792D" w:rsidRPr="00193DD6">
        <w:t>, these kinds of de</w:t>
      </w:r>
      <w:r w:rsidR="00744B75" w:rsidRPr="00193DD6">
        <w:t>vices are</w:t>
      </w:r>
      <w:r w:rsidR="0021792D" w:rsidRPr="00193DD6">
        <w:t xml:space="preserve"> not</w:t>
      </w:r>
      <w:r w:rsidR="00193DD6">
        <w:t xml:space="preserve"> routinely u</w:t>
      </w:r>
      <w:r w:rsidR="000A3C9A">
        <w:t xml:space="preserve">sed by the general population. </w:t>
      </w:r>
      <w:r w:rsidR="00193DD6">
        <w:t xml:space="preserve">Rather, </w:t>
      </w:r>
      <w:r w:rsidR="00F03BBC">
        <w:t xml:space="preserve">members of the general population who wish to use a satellite phone service tend to use portable standalone devices akin to a mobile phone.  Satellite phone services supplied to devices of that kind will now be subject to the ECS requirements. </w:t>
      </w:r>
      <w:r w:rsidR="00193DD6">
        <w:t xml:space="preserve"> </w:t>
      </w:r>
      <w:r w:rsidR="0021792D">
        <w:t xml:space="preserve">  </w:t>
      </w:r>
      <w:r w:rsidR="00BC3C63">
        <w:t xml:space="preserve">  </w:t>
      </w:r>
      <w:r w:rsidR="00CC47F9">
        <w:t xml:space="preserve"> </w:t>
      </w:r>
      <w:r w:rsidR="007A631A">
        <w:t xml:space="preserve"> </w:t>
      </w:r>
    </w:p>
    <w:p w:rsidR="005F0FCA" w:rsidRDefault="005F0FCA" w:rsidP="003514E2">
      <w:pPr>
        <w:rPr>
          <w:b/>
        </w:rPr>
      </w:pPr>
    </w:p>
    <w:p w:rsidR="00812AFA" w:rsidRPr="00812AFA" w:rsidRDefault="00812AFA" w:rsidP="003514E2">
      <w:pPr>
        <w:rPr>
          <w:b/>
        </w:rPr>
      </w:pPr>
      <w:r w:rsidRPr="00812AFA">
        <w:rPr>
          <w:b/>
        </w:rPr>
        <w:t>Statement of Compatibility with Human Rights</w:t>
      </w:r>
    </w:p>
    <w:p w:rsidR="00812AFA" w:rsidRDefault="00812AFA" w:rsidP="003514E2"/>
    <w:p w:rsidR="00812AFA" w:rsidRDefault="00812AFA" w:rsidP="003514E2">
      <w:pPr>
        <w:rPr>
          <w:rFonts w:eastAsiaTheme="minorHAnsi"/>
          <w:lang w:eastAsia="en-US"/>
        </w:rPr>
      </w:pPr>
      <w:r>
        <w:rPr>
          <w:rFonts w:eastAsiaTheme="minorHAnsi"/>
          <w:lang w:eastAsia="en-US"/>
        </w:rPr>
        <w:t xml:space="preserve">A statement of compatibility with human rights for the purposes of Part 3 of the </w:t>
      </w:r>
      <w:r w:rsidRPr="00812AFA">
        <w:rPr>
          <w:rFonts w:eastAsiaTheme="minorHAnsi"/>
          <w:i/>
          <w:lang w:eastAsia="en-US"/>
        </w:rPr>
        <w:t>Human Rights (Parliamentary Scrutiny) Act 2011</w:t>
      </w:r>
      <w:r>
        <w:rPr>
          <w:rFonts w:eastAsiaTheme="minorHAnsi"/>
          <w:lang w:eastAsia="en-US"/>
        </w:rPr>
        <w:t xml:space="preserve"> is set out in </w:t>
      </w:r>
      <w:r w:rsidRPr="00D91C80">
        <w:rPr>
          <w:rFonts w:eastAsiaTheme="minorHAnsi"/>
          <w:b/>
          <w:lang w:eastAsia="en-US"/>
        </w:rPr>
        <w:t>Attachment</w:t>
      </w:r>
      <w:r w:rsidR="00D91C80" w:rsidRPr="00D91C80">
        <w:rPr>
          <w:rFonts w:eastAsiaTheme="minorHAnsi"/>
          <w:b/>
          <w:lang w:eastAsia="en-US"/>
        </w:rPr>
        <w:t xml:space="preserve"> A</w:t>
      </w:r>
      <w:r>
        <w:rPr>
          <w:rFonts w:eastAsiaTheme="minorHAnsi"/>
          <w:lang w:eastAsia="en-US"/>
        </w:rPr>
        <w:t>.</w:t>
      </w:r>
    </w:p>
    <w:p w:rsidR="00E14AEF" w:rsidRPr="00765464" w:rsidRDefault="00E14AEF" w:rsidP="00E14AEF">
      <w:pPr>
        <w:pStyle w:val="NoSpacing"/>
        <w:rPr>
          <w:rFonts w:ascii="Times New Roman" w:hAnsi="Times New Roman" w:cs="Times New Roman"/>
          <w:sz w:val="24"/>
          <w:szCs w:val="24"/>
        </w:rPr>
      </w:pPr>
    </w:p>
    <w:p w:rsidR="00AC0547" w:rsidRDefault="00AC0547" w:rsidP="00540CD7">
      <w:pPr>
        <w:pStyle w:val="NoSpacing"/>
        <w:rPr>
          <w:rFonts w:ascii="Times New Roman" w:hAnsi="Times New Roman" w:cs="Times New Roman"/>
          <w:b/>
          <w:sz w:val="24"/>
          <w:szCs w:val="24"/>
        </w:rPr>
      </w:pPr>
    </w:p>
    <w:p w:rsidR="00540CD7" w:rsidRDefault="00540CD7" w:rsidP="00540CD7">
      <w:pPr>
        <w:pStyle w:val="NoSpacing"/>
        <w:rPr>
          <w:rFonts w:ascii="Times New Roman" w:hAnsi="Times New Roman" w:cs="Times New Roman"/>
          <w:b/>
          <w:sz w:val="24"/>
          <w:szCs w:val="24"/>
        </w:rPr>
      </w:pPr>
      <w:r>
        <w:rPr>
          <w:rFonts w:ascii="Times New Roman" w:hAnsi="Times New Roman" w:cs="Times New Roman"/>
          <w:b/>
          <w:sz w:val="24"/>
          <w:szCs w:val="24"/>
        </w:rPr>
        <w:t>Regulation Impact</w:t>
      </w:r>
      <w:r w:rsidR="00677B65">
        <w:rPr>
          <w:rFonts w:ascii="Times New Roman" w:hAnsi="Times New Roman" w:cs="Times New Roman"/>
          <w:b/>
          <w:sz w:val="24"/>
          <w:szCs w:val="24"/>
        </w:rPr>
        <w:t xml:space="preserve"> Statement</w:t>
      </w:r>
    </w:p>
    <w:p w:rsidR="00540CD7" w:rsidRDefault="00540CD7" w:rsidP="00540CD7">
      <w:pPr>
        <w:pStyle w:val="NoSpacing"/>
        <w:rPr>
          <w:rFonts w:ascii="Times New Roman" w:hAnsi="Times New Roman" w:cs="Times New Roman"/>
          <w:b/>
          <w:sz w:val="24"/>
          <w:szCs w:val="24"/>
        </w:rPr>
      </w:pPr>
    </w:p>
    <w:p w:rsidR="00540CD7" w:rsidRDefault="00540CD7" w:rsidP="00540CD7">
      <w:r w:rsidRPr="00C60525">
        <w:t xml:space="preserve">The Office of Best Practice Regulation </w:t>
      </w:r>
      <w:r w:rsidR="00BA4572">
        <w:t>(</w:t>
      </w:r>
      <w:r w:rsidR="00BA4572" w:rsidRPr="00BA4572">
        <w:rPr>
          <w:b/>
        </w:rPr>
        <w:t>OBPR</w:t>
      </w:r>
      <w:r w:rsidR="00BA4572">
        <w:t xml:space="preserve">) </w:t>
      </w:r>
      <w:r w:rsidRPr="00C60525">
        <w:t>has advised that a Regulation Impact Statement is not required for the Amendme</w:t>
      </w:r>
      <w:r w:rsidR="00F62C05">
        <w:t>nt Determination</w:t>
      </w:r>
      <w:r w:rsidR="00361182">
        <w:t xml:space="preserve">. </w:t>
      </w:r>
      <w:r w:rsidR="00BA4572">
        <w:t>The</w:t>
      </w:r>
      <w:r w:rsidR="00F62C05">
        <w:t xml:space="preserve"> OBPR </w:t>
      </w:r>
      <w:r w:rsidR="00BA4572">
        <w:t xml:space="preserve">reference number is </w:t>
      </w:r>
      <w:r w:rsidR="00F62C05">
        <w:t>ID 14478</w:t>
      </w:r>
      <w:r w:rsidRPr="00C60525">
        <w:t>.</w:t>
      </w:r>
      <w:r>
        <w:t xml:space="preserve"> </w:t>
      </w:r>
    </w:p>
    <w:p w:rsidR="00540CD7" w:rsidRDefault="00540CD7" w:rsidP="00E14AEF">
      <w:pPr>
        <w:pStyle w:val="NoSpacing"/>
        <w:rPr>
          <w:rFonts w:ascii="Times New Roman" w:hAnsi="Times New Roman" w:cs="Times New Roman"/>
          <w:b/>
          <w:sz w:val="24"/>
          <w:szCs w:val="24"/>
        </w:rPr>
      </w:pPr>
    </w:p>
    <w:p w:rsidR="00E14AEF" w:rsidRPr="00765464" w:rsidRDefault="00E14AEF" w:rsidP="00E14AEF">
      <w:pPr>
        <w:pStyle w:val="NoSpacing"/>
        <w:rPr>
          <w:rFonts w:ascii="Times New Roman" w:hAnsi="Times New Roman" w:cs="Times New Roman"/>
          <w:b/>
          <w:sz w:val="24"/>
          <w:szCs w:val="24"/>
        </w:rPr>
      </w:pPr>
      <w:r w:rsidRPr="00765464">
        <w:rPr>
          <w:rFonts w:ascii="Times New Roman" w:hAnsi="Times New Roman" w:cs="Times New Roman"/>
          <w:b/>
          <w:sz w:val="24"/>
          <w:szCs w:val="24"/>
        </w:rPr>
        <w:t>Public consultation</w:t>
      </w:r>
    </w:p>
    <w:p w:rsidR="00E14AEF" w:rsidRDefault="00E14AEF" w:rsidP="00E14AEF">
      <w:pPr>
        <w:ind w:right="34"/>
        <w:rPr>
          <w:rFonts w:eastAsiaTheme="minorHAnsi"/>
          <w:lang w:eastAsia="en-US"/>
        </w:rPr>
      </w:pPr>
    </w:p>
    <w:p w:rsidR="00E14AEF" w:rsidRDefault="00E14AEF" w:rsidP="00E14AEF">
      <w:pPr>
        <w:ind w:right="34"/>
      </w:pPr>
      <w:r>
        <w:rPr>
          <w:rFonts w:eastAsiaTheme="minorHAnsi"/>
          <w:lang w:eastAsia="en-US"/>
        </w:rPr>
        <w:t xml:space="preserve">On </w:t>
      </w:r>
      <w:r w:rsidR="00B931FC">
        <w:rPr>
          <w:rFonts w:eastAsiaTheme="minorHAnsi"/>
          <w:lang w:eastAsia="en-US"/>
        </w:rPr>
        <w:t>21</w:t>
      </w:r>
      <w:r>
        <w:rPr>
          <w:rFonts w:eastAsiaTheme="minorHAnsi"/>
          <w:lang w:eastAsia="en-US"/>
        </w:rPr>
        <w:t xml:space="preserve"> </w:t>
      </w:r>
      <w:r w:rsidR="00B931FC">
        <w:rPr>
          <w:rFonts w:eastAsiaTheme="minorHAnsi"/>
          <w:lang w:eastAsia="en-US"/>
        </w:rPr>
        <w:t>February 2013</w:t>
      </w:r>
      <w:r>
        <w:rPr>
          <w:rFonts w:eastAsiaTheme="minorHAnsi"/>
          <w:lang w:eastAsia="en-US"/>
        </w:rPr>
        <w:t xml:space="preserve"> the ACMA released a </w:t>
      </w:r>
      <w:r w:rsidR="0079506E">
        <w:rPr>
          <w:rFonts w:eastAsiaTheme="minorHAnsi"/>
          <w:lang w:eastAsia="en-US"/>
        </w:rPr>
        <w:t xml:space="preserve">consultation paper attaching a </w:t>
      </w:r>
      <w:r>
        <w:rPr>
          <w:rFonts w:eastAsiaTheme="minorHAnsi"/>
          <w:lang w:eastAsia="en-US"/>
        </w:rPr>
        <w:t xml:space="preserve">draft version of the </w:t>
      </w:r>
      <w:r w:rsidRPr="00DF2A8D">
        <w:rPr>
          <w:rFonts w:eastAsiaTheme="minorHAnsi"/>
          <w:i/>
          <w:lang w:eastAsia="en-US"/>
        </w:rPr>
        <w:t>Telecommunications (Emergency Call Service) Amendment Determina</w:t>
      </w:r>
      <w:r w:rsidR="00B931FC">
        <w:rPr>
          <w:rFonts w:eastAsiaTheme="minorHAnsi"/>
          <w:i/>
          <w:lang w:eastAsia="en-US"/>
        </w:rPr>
        <w:t>tion 2013</w:t>
      </w:r>
      <w:r>
        <w:rPr>
          <w:rFonts w:eastAsiaTheme="minorHAnsi"/>
          <w:i/>
          <w:lang w:eastAsia="en-US"/>
        </w:rPr>
        <w:t xml:space="preserve"> </w:t>
      </w:r>
      <w:r w:rsidR="00361182">
        <w:rPr>
          <w:rFonts w:eastAsiaTheme="minorHAnsi"/>
          <w:lang w:eastAsia="en-US"/>
        </w:rPr>
        <w:t xml:space="preserve">for public comment. </w:t>
      </w:r>
      <w:r w:rsidR="0079506E">
        <w:rPr>
          <w:rFonts w:eastAsiaTheme="minorHAnsi"/>
          <w:lang w:eastAsia="en-US"/>
        </w:rPr>
        <w:t xml:space="preserve">In particular, the ACMA sought information from </w:t>
      </w:r>
      <w:r w:rsidR="009819F2">
        <w:rPr>
          <w:rFonts w:eastAsiaTheme="minorHAnsi"/>
          <w:lang w:eastAsia="en-US"/>
        </w:rPr>
        <w:t>CSPs</w:t>
      </w:r>
      <w:r w:rsidR="0079506E">
        <w:rPr>
          <w:rFonts w:eastAsiaTheme="minorHAnsi"/>
          <w:lang w:eastAsia="en-US"/>
        </w:rPr>
        <w:t xml:space="preserve"> about any satellite phone services that they consider</w:t>
      </w:r>
      <w:r w:rsidR="009F1DE0">
        <w:rPr>
          <w:rFonts w:eastAsiaTheme="minorHAnsi"/>
          <w:lang w:eastAsia="en-US"/>
        </w:rPr>
        <w:t>ed</w:t>
      </w:r>
      <w:r w:rsidR="0079506E">
        <w:rPr>
          <w:rFonts w:eastAsiaTheme="minorHAnsi"/>
          <w:lang w:eastAsia="en-US"/>
        </w:rPr>
        <w:t xml:space="preserve"> should be exempt from the ECS requirements. </w:t>
      </w:r>
    </w:p>
    <w:p w:rsidR="00BE3215" w:rsidRDefault="00BE3215" w:rsidP="00E14AEF">
      <w:pPr>
        <w:ind w:right="34"/>
      </w:pPr>
    </w:p>
    <w:p w:rsidR="00AE332D" w:rsidRPr="0014071B" w:rsidRDefault="00FE0CE7" w:rsidP="0014071B">
      <w:pPr>
        <w:ind w:right="34"/>
        <w:rPr>
          <w:szCs w:val="22"/>
        </w:rPr>
      </w:pPr>
      <w:r w:rsidRPr="00FE0CE7">
        <w:rPr>
          <w:rFonts w:eastAsiaTheme="minorHAnsi"/>
          <w:lang w:eastAsia="en-US"/>
        </w:rPr>
        <w:t xml:space="preserve">The ACMA also discussed the proposed amendments with </w:t>
      </w:r>
      <w:r w:rsidRPr="00FE0CE7">
        <w:rPr>
          <w:szCs w:val="22"/>
        </w:rPr>
        <w:t xml:space="preserve">the </w:t>
      </w:r>
      <w:r w:rsidRPr="00FE0CE7">
        <w:t>Communications</w:t>
      </w:r>
      <w:r w:rsidRPr="00FE0CE7">
        <w:rPr>
          <w:szCs w:val="22"/>
        </w:rPr>
        <w:t xml:space="preserve"> Alliance Satellite Services Working Group, which represents many of Australia’s leading satellite service providers.  </w:t>
      </w:r>
    </w:p>
    <w:p w:rsidR="00AE332D" w:rsidRDefault="00AE332D" w:rsidP="00AE332D">
      <w:pPr>
        <w:rPr>
          <w:rFonts w:eastAsiaTheme="minorHAnsi"/>
        </w:rPr>
      </w:pPr>
    </w:p>
    <w:p w:rsidR="00AE332D" w:rsidRDefault="004F383F" w:rsidP="00AE332D">
      <w:pPr>
        <w:rPr>
          <w:rFonts w:eastAsiaTheme="minorHAnsi"/>
        </w:rPr>
      </w:pPr>
      <w:r>
        <w:rPr>
          <w:rFonts w:eastAsiaTheme="minorHAnsi"/>
        </w:rPr>
        <w:t xml:space="preserve">The ACMA received </w:t>
      </w:r>
      <w:r w:rsidR="00140CC5" w:rsidRPr="00E276B1">
        <w:rPr>
          <w:rFonts w:eastAsiaTheme="minorHAnsi"/>
        </w:rPr>
        <w:t>submissions from the emergency services sector</w:t>
      </w:r>
      <w:r w:rsidR="000C55DE">
        <w:rPr>
          <w:rFonts w:eastAsiaTheme="minorHAnsi"/>
        </w:rPr>
        <w:t>, industry participants (including providers of satellite services) and</w:t>
      </w:r>
      <w:r w:rsidR="00BE3215">
        <w:rPr>
          <w:rFonts w:eastAsiaTheme="minorHAnsi"/>
        </w:rPr>
        <w:t xml:space="preserve"> the</w:t>
      </w:r>
      <w:r w:rsidR="00140CC5" w:rsidRPr="00E276B1">
        <w:rPr>
          <w:rFonts w:eastAsiaTheme="minorHAnsi"/>
        </w:rPr>
        <w:t xml:space="preserve"> </w:t>
      </w:r>
      <w:r>
        <w:rPr>
          <w:rFonts w:eastAsiaTheme="minorHAnsi"/>
        </w:rPr>
        <w:t>Telecommunications Universal Service Management Agency</w:t>
      </w:r>
      <w:r w:rsidR="00361182">
        <w:rPr>
          <w:rFonts w:eastAsiaTheme="minorHAnsi"/>
        </w:rPr>
        <w:t xml:space="preserve">. </w:t>
      </w:r>
      <w:r w:rsidR="00BE7951">
        <w:rPr>
          <w:rFonts w:eastAsiaTheme="minorHAnsi"/>
        </w:rPr>
        <w:t>Based on the feedback received, there is support for the imposition of ECS requirements in relation to satellite phone services</w:t>
      </w:r>
      <w:r w:rsidR="001F0241">
        <w:rPr>
          <w:rFonts w:eastAsiaTheme="minorHAnsi"/>
        </w:rPr>
        <w:t xml:space="preserve"> aside from those particular kinds of services where ECS access is either not technologically feasible or not of a kind from which users would expect ECS access to be available.  </w:t>
      </w:r>
      <w:r w:rsidR="00BE7951">
        <w:rPr>
          <w:rFonts w:eastAsiaTheme="minorHAnsi"/>
        </w:rPr>
        <w:t xml:space="preserve">  </w:t>
      </w:r>
    </w:p>
    <w:p w:rsidR="00401BFB" w:rsidRDefault="00401BFB" w:rsidP="00E14AEF">
      <w:pPr>
        <w:ind w:right="34"/>
        <w:rPr>
          <w:rFonts w:eastAsiaTheme="minorHAnsi"/>
          <w:lang w:eastAsia="en-US"/>
        </w:rPr>
      </w:pPr>
    </w:p>
    <w:p w:rsidR="00A16346" w:rsidRDefault="00B83AAD" w:rsidP="00E14AEF">
      <w:pPr>
        <w:ind w:right="34"/>
        <w:rPr>
          <w:rFonts w:eastAsiaTheme="minorHAnsi"/>
          <w:lang w:eastAsia="en-US"/>
        </w:rPr>
      </w:pPr>
      <w:r>
        <w:rPr>
          <w:rFonts w:eastAsiaTheme="minorHAnsi"/>
          <w:lang w:eastAsia="en-US"/>
        </w:rPr>
        <w:t xml:space="preserve">Inmarsat </w:t>
      </w:r>
      <w:r w:rsidR="00976E9E">
        <w:rPr>
          <w:rFonts w:eastAsiaTheme="minorHAnsi"/>
          <w:lang w:eastAsia="en-US"/>
        </w:rPr>
        <w:t>Global Limited (</w:t>
      </w:r>
      <w:r w:rsidR="00976E9E" w:rsidRPr="00976E9E">
        <w:rPr>
          <w:rFonts w:eastAsiaTheme="minorHAnsi"/>
          <w:b/>
          <w:lang w:eastAsia="en-US"/>
        </w:rPr>
        <w:t>Inmarsat</w:t>
      </w:r>
      <w:r w:rsidR="00976E9E">
        <w:rPr>
          <w:rFonts w:eastAsiaTheme="minorHAnsi"/>
          <w:lang w:eastAsia="en-US"/>
        </w:rPr>
        <w:t xml:space="preserve">) </w:t>
      </w:r>
      <w:r w:rsidR="00712D34">
        <w:rPr>
          <w:rFonts w:eastAsiaTheme="minorHAnsi"/>
          <w:lang w:eastAsia="en-US"/>
        </w:rPr>
        <w:t>was</w:t>
      </w:r>
      <w:r>
        <w:rPr>
          <w:rFonts w:eastAsiaTheme="minorHAnsi"/>
          <w:lang w:eastAsia="en-US"/>
        </w:rPr>
        <w:t xml:space="preserve"> the only satellite provider to </w:t>
      </w:r>
      <w:r w:rsidR="002B4986">
        <w:rPr>
          <w:rFonts w:eastAsiaTheme="minorHAnsi"/>
          <w:lang w:eastAsia="en-US"/>
        </w:rPr>
        <w:t>propose</w:t>
      </w:r>
      <w:r w:rsidR="0073555B">
        <w:rPr>
          <w:rFonts w:eastAsiaTheme="minorHAnsi"/>
          <w:lang w:eastAsia="en-US"/>
        </w:rPr>
        <w:t xml:space="preserve"> that some of its satellite phone services be</w:t>
      </w:r>
      <w:r w:rsidR="002B4986">
        <w:rPr>
          <w:rFonts w:eastAsiaTheme="minorHAnsi"/>
          <w:lang w:eastAsia="en-US"/>
        </w:rPr>
        <w:t xml:space="preserve"> </w:t>
      </w:r>
      <w:r>
        <w:rPr>
          <w:rFonts w:eastAsiaTheme="minorHAnsi"/>
          <w:lang w:eastAsia="en-US"/>
        </w:rPr>
        <w:t>exempt</w:t>
      </w:r>
      <w:r w:rsidR="00712D34">
        <w:rPr>
          <w:rFonts w:eastAsiaTheme="minorHAnsi"/>
          <w:lang w:eastAsia="en-US"/>
        </w:rPr>
        <w:t xml:space="preserve"> from the </w:t>
      </w:r>
      <w:r w:rsidR="0073555B">
        <w:rPr>
          <w:rFonts w:eastAsiaTheme="minorHAnsi"/>
          <w:lang w:eastAsia="en-US"/>
        </w:rPr>
        <w:t xml:space="preserve">ECS </w:t>
      </w:r>
      <w:r w:rsidR="00712D34">
        <w:rPr>
          <w:rFonts w:eastAsiaTheme="minorHAnsi"/>
          <w:lang w:eastAsia="en-US"/>
        </w:rPr>
        <w:t>requirement</w:t>
      </w:r>
      <w:r w:rsidR="0073555B">
        <w:rPr>
          <w:rFonts w:eastAsiaTheme="minorHAnsi"/>
          <w:lang w:eastAsia="en-US"/>
        </w:rPr>
        <w:t>s.</w:t>
      </w:r>
      <w:r w:rsidR="00361182">
        <w:rPr>
          <w:rFonts w:eastAsiaTheme="minorHAnsi"/>
          <w:lang w:eastAsia="en-US"/>
        </w:rPr>
        <w:t xml:space="preserve"> </w:t>
      </w:r>
      <w:r w:rsidR="00A16346">
        <w:rPr>
          <w:rFonts w:eastAsiaTheme="minorHAnsi"/>
          <w:lang w:eastAsia="en-US"/>
        </w:rPr>
        <w:t xml:space="preserve">Inmarsat </w:t>
      </w:r>
      <w:r w:rsidR="0073555B">
        <w:rPr>
          <w:rFonts w:eastAsiaTheme="minorHAnsi"/>
          <w:lang w:eastAsia="en-US"/>
        </w:rPr>
        <w:t xml:space="preserve">submitted to the ACMA that satellite services provided through its existing and evolved networks or its Broadband Global Area Network </w:t>
      </w:r>
      <w:r w:rsidR="00401BFB">
        <w:rPr>
          <w:rFonts w:eastAsiaTheme="minorHAnsi"/>
          <w:lang w:eastAsia="en-US"/>
        </w:rPr>
        <w:t>are designed to service a niche market of professional users in the international shipping, aeronautical, mining and exploration industries as well as in disaster recovery and media.</w:t>
      </w:r>
      <w:r w:rsidR="0073555B">
        <w:rPr>
          <w:rFonts w:eastAsiaTheme="minorHAnsi"/>
          <w:lang w:eastAsia="en-US"/>
        </w:rPr>
        <w:t xml:space="preserve"> </w:t>
      </w:r>
      <w:r w:rsidR="00F76CBA">
        <w:rPr>
          <w:rFonts w:eastAsiaTheme="minorHAnsi"/>
          <w:lang w:eastAsia="en-US"/>
        </w:rPr>
        <w:t xml:space="preserve">The circumstances in which those services are supplied, it was submitted, are such that access to the emergency service numbers 000, 112 or 106 are not warranted.   </w:t>
      </w:r>
    </w:p>
    <w:p w:rsidR="00E276B1" w:rsidRDefault="00E276B1" w:rsidP="00E14AEF">
      <w:pPr>
        <w:ind w:right="34"/>
        <w:rPr>
          <w:rFonts w:eastAsiaTheme="minorHAnsi"/>
          <w:lang w:eastAsia="en-US"/>
        </w:rPr>
      </w:pPr>
    </w:p>
    <w:p w:rsidR="00401BFB" w:rsidRPr="00401BFB" w:rsidRDefault="00F107C9" w:rsidP="00401BFB">
      <w:pPr>
        <w:pStyle w:val="ACMABodyText"/>
        <w:rPr>
          <w:b/>
          <w:szCs w:val="24"/>
        </w:rPr>
      </w:pPr>
      <w:r>
        <w:rPr>
          <w:snapToGrid/>
          <w:szCs w:val="24"/>
        </w:rPr>
        <w:t>The ACMA</w:t>
      </w:r>
      <w:r w:rsidR="00401BFB" w:rsidRPr="00401BFB">
        <w:rPr>
          <w:snapToGrid/>
          <w:szCs w:val="24"/>
        </w:rPr>
        <w:t xml:space="preserve"> consider</w:t>
      </w:r>
      <w:r>
        <w:rPr>
          <w:snapToGrid/>
          <w:szCs w:val="24"/>
        </w:rPr>
        <w:t>ed</w:t>
      </w:r>
      <w:r w:rsidR="00401BFB" w:rsidRPr="00401BFB">
        <w:rPr>
          <w:snapToGrid/>
          <w:szCs w:val="24"/>
        </w:rPr>
        <w:t xml:space="preserve"> Inmarsat’s </w:t>
      </w:r>
      <w:r w:rsidR="0073555B">
        <w:rPr>
          <w:snapToGrid/>
          <w:szCs w:val="24"/>
        </w:rPr>
        <w:t>submission and drew the following conclusions.</w:t>
      </w:r>
    </w:p>
    <w:p w:rsidR="00401BFB" w:rsidRPr="00401BFB" w:rsidRDefault="00FD0C9B" w:rsidP="00401BFB">
      <w:pPr>
        <w:pStyle w:val="ACMABodyText"/>
        <w:numPr>
          <w:ilvl w:val="0"/>
          <w:numId w:val="14"/>
        </w:numPr>
        <w:tabs>
          <w:tab w:val="clear" w:pos="1080"/>
          <w:tab w:val="num" w:pos="709"/>
        </w:tabs>
        <w:ind w:left="709" w:hanging="283"/>
        <w:rPr>
          <w:snapToGrid/>
          <w:szCs w:val="24"/>
        </w:rPr>
      </w:pPr>
      <w:r>
        <w:rPr>
          <w:snapToGrid/>
          <w:szCs w:val="24"/>
        </w:rPr>
        <w:t>The e</w:t>
      </w:r>
      <w:r w:rsidR="00401BFB" w:rsidRPr="00401BFB">
        <w:rPr>
          <w:snapToGrid/>
          <w:szCs w:val="24"/>
        </w:rPr>
        <w:t xml:space="preserve">nd-users </w:t>
      </w:r>
      <w:r>
        <w:rPr>
          <w:snapToGrid/>
          <w:szCs w:val="24"/>
        </w:rPr>
        <w:t xml:space="preserve">of these niche services </w:t>
      </w:r>
      <w:r w:rsidR="00401BFB" w:rsidRPr="00401BFB">
        <w:rPr>
          <w:snapToGrid/>
          <w:szCs w:val="24"/>
        </w:rPr>
        <w:t>are likely to have little or no expectation of accessing the ECS from th</w:t>
      </w:r>
      <w:r>
        <w:rPr>
          <w:snapToGrid/>
          <w:szCs w:val="24"/>
        </w:rPr>
        <w:t>es</w:t>
      </w:r>
      <w:r w:rsidR="00401BFB" w:rsidRPr="00401BFB">
        <w:rPr>
          <w:snapToGrid/>
          <w:szCs w:val="24"/>
        </w:rPr>
        <w:t xml:space="preserve">e services. The </w:t>
      </w:r>
      <w:r w:rsidR="00B850F5">
        <w:rPr>
          <w:snapToGrid/>
          <w:szCs w:val="24"/>
        </w:rPr>
        <w:t xml:space="preserve">devices to which these </w:t>
      </w:r>
      <w:r w:rsidR="00401BFB" w:rsidRPr="00401BFB">
        <w:rPr>
          <w:snapToGrid/>
          <w:szCs w:val="24"/>
        </w:rPr>
        <w:t xml:space="preserve">services </w:t>
      </w:r>
      <w:r w:rsidR="00B850F5">
        <w:rPr>
          <w:snapToGrid/>
          <w:szCs w:val="24"/>
        </w:rPr>
        <w:t xml:space="preserve">are supplied </w:t>
      </w:r>
      <w:r w:rsidR="00401BFB" w:rsidRPr="00401BFB">
        <w:rPr>
          <w:snapToGrid/>
          <w:szCs w:val="24"/>
        </w:rPr>
        <w:t xml:space="preserve">are not available from general retail shops </w:t>
      </w:r>
      <w:r w:rsidR="00B850F5">
        <w:rPr>
          <w:snapToGrid/>
          <w:szCs w:val="24"/>
        </w:rPr>
        <w:t>and are usually purchased</w:t>
      </w:r>
      <w:r w:rsidR="00B850F5" w:rsidRPr="00401BFB">
        <w:rPr>
          <w:snapToGrid/>
          <w:szCs w:val="24"/>
        </w:rPr>
        <w:t xml:space="preserve"> </w:t>
      </w:r>
      <w:r w:rsidR="00401BFB" w:rsidRPr="00401BFB">
        <w:rPr>
          <w:snapToGrid/>
          <w:szCs w:val="24"/>
        </w:rPr>
        <w:t xml:space="preserve">by companies as part of </w:t>
      </w:r>
      <w:r w:rsidR="00B850F5">
        <w:rPr>
          <w:snapToGrid/>
          <w:szCs w:val="24"/>
        </w:rPr>
        <w:t xml:space="preserve">a </w:t>
      </w:r>
      <w:r w:rsidR="00401BFB" w:rsidRPr="00401BFB">
        <w:rPr>
          <w:snapToGrid/>
          <w:szCs w:val="24"/>
        </w:rPr>
        <w:t xml:space="preserve">high-end </w:t>
      </w:r>
      <w:r w:rsidR="00B850F5">
        <w:rPr>
          <w:snapToGrid/>
          <w:szCs w:val="24"/>
        </w:rPr>
        <w:t xml:space="preserve">remote-communications </w:t>
      </w:r>
      <w:r w:rsidR="00401BFB" w:rsidRPr="00401BFB">
        <w:rPr>
          <w:snapToGrid/>
          <w:szCs w:val="24"/>
        </w:rPr>
        <w:t>solution package.</w:t>
      </w:r>
    </w:p>
    <w:p w:rsidR="00401BFB" w:rsidRPr="00401BFB" w:rsidRDefault="00401BFB" w:rsidP="00401BFB">
      <w:pPr>
        <w:pStyle w:val="ACMABodyText"/>
        <w:numPr>
          <w:ilvl w:val="0"/>
          <w:numId w:val="14"/>
        </w:numPr>
        <w:tabs>
          <w:tab w:val="clear" w:pos="1080"/>
          <w:tab w:val="num" w:pos="709"/>
        </w:tabs>
        <w:ind w:left="709" w:hanging="283"/>
        <w:rPr>
          <w:snapToGrid/>
          <w:szCs w:val="24"/>
        </w:rPr>
      </w:pPr>
      <w:r w:rsidRPr="00401BFB">
        <w:rPr>
          <w:snapToGrid/>
          <w:szCs w:val="24"/>
        </w:rPr>
        <w:t xml:space="preserve">There are special arrangements </w:t>
      </w:r>
      <w:r w:rsidR="00E60798">
        <w:rPr>
          <w:snapToGrid/>
          <w:szCs w:val="24"/>
        </w:rPr>
        <w:t xml:space="preserve">in place </w:t>
      </w:r>
      <w:r w:rsidRPr="00401BFB">
        <w:rPr>
          <w:snapToGrid/>
          <w:szCs w:val="24"/>
        </w:rPr>
        <w:t xml:space="preserve">for </w:t>
      </w:r>
      <w:r w:rsidR="00E60798">
        <w:rPr>
          <w:snapToGrid/>
          <w:szCs w:val="24"/>
        </w:rPr>
        <w:t xml:space="preserve">end-users of </w:t>
      </w:r>
      <w:r w:rsidRPr="00401BFB">
        <w:rPr>
          <w:snapToGrid/>
          <w:szCs w:val="24"/>
        </w:rPr>
        <w:t>Inmarsat’s maritime and aeronautical satellite services</w:t>
      </w:r>
      <w:r w:rsidR="00E60798">
        <w:rPr>
          <w:snapToGrid/>
          <w:szCs w:val="24"/>
        </w:rPr>
        <w:t xml:space="preserve"> to access assistance in the event of an emergency</w:t>
      </w:r>
      <w:r w:rsidRPr="00401BFB">
        <w:rPr>
          <w:snapToGrid/>
          <w:szCs w:val="24"/>
        </w:rPr>
        <w:t xml:space="preserve">. These services make up the majority of the services provided on the Inmarsat satellites. There are also other telephone numbers that could be called in an emergency (such as the numbers of the Rescue Coordination Centre run by the Australian Maritime Safety Authority, or </w:t>
      </w:r>
      <w:r w:rsidR="00E65120">
        <w:rPr>
          <w:snapToGrid/>
          <w:szCs w:val="24"/>
        </w:rPr>
        <w:t>local numbers for police</w:t>
      </w:r>
      <w:r w:rsidRPr="00401BFB">
        <w:rPr>
          <w:snapToGrid/>
          <w:szCs w:val="24"/>
        </w:rPr>
        <w:t>).</w:t>
      </w:r>
      <w:r w:rsidR="001E45A4">
        <w:rPr>
          <w:snapToGrid/>
          <w:szCs w:val="24"/>
        </w:rPr>
        <w:t xml:space="preserve">  In any event, the customer notification requirements proposed in new section 14A</w:t>
      </w:r>
      <w:r w:rsidR="007426CE">
        <w:rPr>
          <w:snapToGrid/>
          <w:szCs w:val="24"/>
        </w:rPr>
        <w:t xml:space="preserve"> </w:t>
      </w:r>
      <w:r w:rsidR="001E45A4">
        <w:rPr>
          <w:snapToGrid/>
          <w:szCs w:val="24"/>
        </w:rPr>
        <w:t xml:space="preserve">will ensure that customers </w:t>
      </w:r>
      <w:r w:rsidR="007426CE">
        <w:rPr>
          <w:snapToGrid/>
          <w:szCs w:val="24"/>
        </w:rPr>
        <w:t xml:space="preserve">of these niche services </w:t>
      </w:r>
      <w:r w:rsidR="001E45A4">
        <w:rPr>
          <w:snapToGrid/>
          <w:szCs w:val="24"/>
        </w:rPr>
        <w:t>are notified that emergency calls cannot be made using those services</w:t>
      </w:r>
      <w:r w:rsidR="007426CE">
        <w:rPr>
          <w:snapToGrid/>
          <w:szCs w:val="24"/>
        </w:rPr>
        <w:t xml:space="preserve"> (see item 3 of Schedule 1 to the Amendment Determination)</w:t>
      </w:r>
      <w:r w:rsidR="001E45A4">
        <w:rPr>
          <w:snapToGrid/>
          <w:szCs w:val="24"/>
        </w:rPr>
        <w:t xml:space="preserve">. </w:t>
      </w:r>
    </w:p>
    <w:p w:rsidR="00401BFB" w:rsidRPr="00401BFB" w:rsidRDefault="00401BFB" w:rsidP="00401BFB">
      <w:pPr>
        <w:pStyle w:val="ACMABodyText"/>
        <w:numPr>
          <w:ilvl w:val="0"/>
          <w:numId w:val="14"/>
        </w:numPr>
        <w:tabs>
          <w:tab w:val="clear" w:pos="1080"/>
          <w:tab w:val="num" w:pos="709"/>
        </w:tabs>
        <w:ind w:left="709" w:hanging="283"/>
        <w:rPr>
          <w:snapToGrid/>
          <w:szCs w:val="24"/>
        </w:rPr>
      </w:pPr>
      <w:r w:rsidRPr="00401BFB">
        <w:rPr>
          <w:snapToGrid/>
          <w:szCs w:val="24"/>
        </w:rPr>
        <w:lastRenderedPageBreak/>
        <w:t>The</w:t>
      </w:r>
      <w:r w:rsidR="00D760AA">
        <w:rPr>
          <w:snapToGrid/>
          <w:szCs w:val="24"/>
        </w:rPr>
        <w:t>re would be a great</w:t>
      </w:r>
      <w:r w:rsidRPr="00401BFB">
        <w:rPr>
          <w:snapToGrid/>
          <w:szCs w:val="24"/>
        </w:rPr>
        <w:t xml:space="preserve"> cost associated with overhauling the Inmarsat networks to support ECS </w:t>
      </w:r>
      <w:r w:rsidR="00E91930">
        <w:rPr>
          <w:snapToGrid/>
          <w:szCs w:val="24"/>
        </w:rPr>
        <w:t xml:space="preserve">access </w:t>
      </w:r>
      <w:r w:rsidRPr="00401BFB">
        <w:rPr>
          <w:snapToGrid/>
          <w:szCs w:val="24"/>
        </w:rPr>
        <w:t>on all non-handheld services and</w:t>
      </w:r>
      <w:r w:rsidR="00D760AA">
        <w:rPr>
          <w:snapToGrid/>
          <w:szCs w:val="24"/>
        </w:rPr>
        <w:t xml:space="preserve">, in light of end-users’ expectations about ECS access and the availability of alternative emergency assistance as mentioned above, </w:t>
      </w:r>
      <w:r w:rsidR="00E91930">
        <w:rPr>
          <w:snapToGrid/>
          <w:szCs w:val="24"/>
        </w:rPr>
        <w:t xml:space="preserve">that </w:t>
      </w:r>
      <w:r w:rsidR="00D760AA">
        <w:rPr>
          <w:snapToGrid/>
          <w:szCs w:val="24"/>
        </w:rPr>
        <w:t>cost</w:t>
      </w:r>
      <w:r w:rsidRPr="00401BFB">
        <w:rPr>
          <w:snapToGrid/>
          <w:szCs w:val="24"/>
        </w:rPr>
        <w:t xml:space="preserve"> </w:t>
      </w:r>
      <w:r w:rsidR="00E91930">
        <w:rPr>
          <w:snapToGrid/>
          <w:szCs w:val="24"/>
        </w:rPr>
        <w:t>was</w:t>
      </w:r>
      <w:r w:rsidR="00E91930" w:rsidRPr="00401BFB">
        <w:rPr>
          <w:snapToGrid/>
          <w:szCs w:val="24"/>
        </w:rPr>
        <w:t xml:space="preserve"> </w:t>
      </w:r>
      <w:r w:rsidRPr="00401BFB">
        <w:rPr>
          <w:snapToGrid/>
          <w:szCs w:val="24"/>
        </w:rPr>
        <w:t xml:space="preserve">not commensurate with need. </w:t>
      </w:r>
    </w:p>
    <w:p w:rsidR="00FF3A01" w:rsidRDefault="00FF3A01" w:rsidP="00E14AEF">
      <w:pPr>
        <w:ind w:right="34"/>
        <w:rPr>
          <w:rFonts w:eastAsiaTheme="minorHAnsi"/>
        </w:rPr>
      </w:pPr>
    </w:p>
    <w:p w:rsidR="00E14AEF" w:rsidRPr="00765464" w:rsidRDefault="00E14AEF" w:rsidP="00E14AEF">
      <w:pPr>
        <w:pStyle w:val="NoSpacing"/>
        <w:rPr>
          <w:rFonts w:ascii="Times New Roman" w:hAnsi="Times New Roman" w:cs="Times New Roman"/>
          <w:b/>
          <w:sz w:val="24"/>
          <w:szCs w:val="24"/>
        </w:rPr>
      </w:pPr>
      <w:r>
        <w:rPr>
          <w:rFonts w:ascii="Times New Roman" w:hAnsi="Times New Roman" w:cs="Times New Roman"/>
          <w:b/>
          <w:sz w:val="24"/>
          <w:szCs w:val="24"/>
        </w:rPr>
        <w:t>Description of</w:t>
      </w:r>
      <w:r w:rsidRPr="00765464">
        <w:rPr>
          <w:rFonts w:ascii="Times New Roman" w:hAnsi="Times New Roman" w:cs="Times New Roman"/>
          <w:b/>
          <w:sz w:val="24"/>
          <w:szCs w:val="24"/>
        </w:rPr>
        <w:t xml:space="preserve"> </w:t>
      </w:r>
      <w:r>
        <w:rPr>
          <w:rFonts w:ascii="Times New Roman" w:hAnsi="Times New Roman" w:cs="Times New Roman"/>
          <w:b/>
          <w:sz w:val="24"/>
          <w:szCs w:val="24"/>
        </w:rPr>
        <w:t>the provisions in the Determination</w:t>
      </w:r>
    </w:p>
    <w:p w:rsidR="00E14AEF" w:rsidRPr="00765464" w:rsidRDefault="00E14AEF" w:rsidP="00E14AEF">
      <w:pPr>
        <w:pStyle w:val="NoSpacing"/>
        <w:rPr>
          <w:rFonts w:ascii="Times New Roman" w:hAnsi="Times New Roman" w:cs="Times New Roman"/>
          <w:sz w:val="24"/>
          <w:szCs w:val="24"/>
        </w:rPr>
      </w:pPr>
    </w:p>
    <w:p w:rsidR="00E14AEF" w:rsidRPr="00765464" w:rsidRDefault="00E14AEF" w:rsidP="00E14AEF">
      <w:pPr>
        <w:pStyle w:val="NoSpacing"/>
        <w:rPr>
          <w:rFonts w:ascii="Times New Roman" w:hAnsi="Times New Roman" w:cs="Times New Roman"/>
          <w:b/>
          <w:i/>
          <w:sz w:val="24"/>
          <w:szCs w:val="24"/>
        </w:rPr>
      </w:pPr>
      <w:r w:rsidRPr="00765464">
        <w:rPr>
          <w:rFonts w:ascii="Times New Roman" w:hAnsi="Times New Roman" w:cs="Times New Roman"/>
          <w:b/>
          <w:i/>
          <w:sz w:val="24"/>
          <w:szCs w:val="24"/>
        </w:rPr>
        <w:t>Section 1 - Name of Determination</w:t>
      </w:r>
    </w:p>
    <w:p w:rsidR="00E14AEF" w:rsidRPr="00765464" w:rsidRDefault="00E14AEF" w:rsidP="00E14AEF">
      <w:pPr>
        <w:pStyle w:val="NoSpacing"/>
        <w:rPr>
          <w:rFonts w:ascii="Times New Roman" w:hAnsi="Times New Roman" w:cs="Times New Roman"/>
          <w:i/>
          <w:sz w:val="24"/>
          <w:szCs w:val="24"/>
        </w:rPr>
      </w:pPr>
    </w:p>
    <w:p w:rsidR="00E14AEF" w:rsidRPr="00765464" w:rsidRDefault="00E14AEF" w:rsidP="00E14AEF">
      <w:pPr>
        <w:pStyle w:val="NoSpacing"/>
        <w:rPr>
          <w:rFonts w:ascii="Times New Roman" w:hAnsi="Times New Roman" w:cs="Times New Roman"/>
          <w:sz w:val="24"/>
          <w:szCs w:val="24"/>
        </w:rPr>
      </w:pPr>
      <w:r w:rsidRPr="00765464">
        <w:rPr>
          <w:rFonts w:ascii="Times New Roman" w:hAnsi="Times New Roman" w:cs="Times New Roman"/>
          <w:sz w:val="24"/>
          <w:szCs w:val="24"/>
        </w:rPr>
        <w:t xml:space="preserve">Section 1 provides that the </w:t>
      </w:r>
      <w:r w:rsidR="00E91930">
        <w:rPr>
          <w:rFonts w:ascii="Times New Roman" w:hAnsi="Times New Roman" w:cs="Times New Roman"/>
          <w:sz w:val="24"/>
          <w:szCs w:val="24"/>
        </w:rPr>
        <w:t xml:space="preserve">Amendment </w:t>
      </w:r>
      <w:r w:rsidRPr="00765464">
        <w:rPr>
          <w:rFonts w:ascii="Times New Roman" w:hAnsi="Times New Roman" w:cs="Times New Roman"/>
          <w:sz w:val="24"/>
          <w:szCs w:val="24"/>
        </w:rPr>
        <w:t xml:space="preserve">Determination is the </w:t>
      </w:r>
      <w:r w:rsidRPr="00765464">
        <w:rPr>
          <w:rFonts w:ascii="Times New Roman" w:hAnsi="Times New Roman" w:cs="Times New Roman"/>
          <w:i/>
          <w:sz w:val="24"/>
          <w:szCs w:val="24"/>
        </w:rPr>
        <w:t xml:space="preserve">Telecommunications (Emergency Call Service) </w:t>
      </w:r>
      <w:r w:rsidR="00DF4962">
        <w:rPr>
          <w:rFonts w:ascii="Times New Roman" w:hAnsi="Times New Roman" w:cs="Times New Roman"/>
          <w:i/>
          <w:sz w:val="24"/>
          <w:szCs w:val="24"/>
        </w:rPr>
        <w:t xml:space="preserve">Amendment </w:t>
      </w:r>
      <w:r w:rsidRPr="00765464">
        <w:rPr>
          <w:rFonts w:ascii="Times New Roman" w:hAnsi="Times New Roman" w:cs="Times New Roman"/>
          <w:i/>
          <w:sz w:val="24"/>
          <w:szCs w:val="24"/>
        </w:rPr>
        <w:t>Determination 20</w:t>
      </w:r>
      <w:r w:rsidR="00034539">
        <w:rPr>
          <w:rFonts w:ascii="Times New Roman" w:hAnsi="Times New Roman" w:cs="Times New Roman"/>
          <w:i/>
          <w:sz w:val="24"/>
          <w:szCs w:val="24"/>
        </w:rPr>
        <w:t>13</w:t>
      </w:r>
      <w:r w:rsidRPr="00765464">
        <w:rPr>
          <w:rFonts w:ascii="Times New Roman" w:hAnsi="Times New Roman" w:cs="Times New Roman"/>
          <w:sz w:val="24"/>
          <w:szCs w:val="24"/>
        </w:rPr>
        <w:t>.</w:t>
      </w:r>
    </w:p>
    <w:p w:rsidR="00E14AEF" w:rsidRPr="00765464" w:rsidRDefault="00E14AEF" w:rsidP="00E14AEF">
      <w:pPr>
        <w:pStyle w:val="NoSpacing"/>
        <w:rPr>
          <w:rFonts w:ascii="Times New Roman" w:hAnsi="Times New Roman" w:cs="Times New Roman"/>
          <w:sz w:val="24"/>
          <w:szCs w:val="24"/>
        </w:rPr>
      </w:pPr>
    </w:p>
    <w:p w:rsidR="00E14AEF" w:rsidRPr="00765464" w:rsidRDefault="00E14AEF" w:rsidP="00E14AEF">
      <w:pPr>
        <w:pStyle w:val="NoSpacing"/>
        <w:rPr>
          <w:rFonts w:ascii="Times New Roman" w:hAnsi="Times New Roman" w:cs="Times New Roman"/>
          <w:b/>
          <w:i/>
          <w:sz w:val="24"/>
          <w:szCs w:val="24"/>
        </w:rPr>
      </w:pPr>
      <w:r w:rsidRPr="00765464">
        <w:rPr>
          <w:rFonts w:ascii="Times New Roman" w:hAnsi="Times New Roman" w:cs="Times New Roman"/>
          <w:b/>
          <w:i/>
          <w:sz w:val="24"/>
          <w:szCs w:val="24"/>
        </w:rPr>
        <w:t>Section 2 - Commencement</w:t>
      </w:r>
    </w:p>
    <w:p w:rsidR="00E14AEF" w:rsidRPr="00765464" w:rsidRDefault="00E14AEF" w:rsidP="00E14AEF">
      <w:pPr>
        <w:pStyle w:val="NoSpacing"/>
        <w:rPr>
          <w:rFonts w:ascii="Times New Roman" w:hAnsi="Times New Roman" w:cs="Times New Roman"/>
          <w:sz w:val="24"/>
          <w:szCs w:val="24"/>
        </w:rPr>
      </w:pPr>
    </w:p>
    <w:p w:rsidR="00E14AEF" w:rsidRPr="00765464" w:rsidRDefault="00E14AEF" w:rsidP="00E14AEF">
      <w:pPr>
        <w:pStyle w:val="NoSpacing"/>
        <w:rPr>
          <w:rFonts w:ascii="Times New Roman" w:hAnsi="Times New Roman" w:cs="Times New Roman"/>
          <w:sz w:val="24"/>
          <w:szCs w:val="24"/>
        </w:rPr>
      </w:pPr>
      <w:r w:rsidRPr="00765464">
        <w:rPr>
          <w:rFonts w:ascii="Times New Roman" w:hAnsi="Times New Roman" w:cs="Times New Roman"/>
          <w:sz w:val="24"/>
          <w:szCs w:val="24"/>
        </w:rPr>
        <w:t xml:space="preserve">Section 2 provides that the </w:t>
      </w:r>
      <w:r w:rsidR="00E91930">
        <w:rPr>
          <w:rFonts w:ascii="Times New Roman" w:hAnsi="Times New Roman" w:cs="Times New Roman"/>
          <w:sz w:val="24"/>
          <w:szCs w:val="24"/>
        </w:rPr>
        <w:t xml:space="preserve">Amendment </w:t>
      </w:r>
      <w:r w:rsidRPr="00765464">
        <w:rPr>
          <w:rFonts w:ascii="Times New Roman" w:hAnsi="Times New Roman" w:cs="Times New Roman"/>
          <w:sz w:val="24"/>
          <w:szCs w:val="24"/>
        </w:rPr>
        <w:t xml:space="preserve">Determination commences on </w:t>
      </w:r>
      <w:r w:rsidR="00034539">
        <w:rPr>
          <w:rFonts w:ascii="Times New Roman" w:hAnsi="Times New Roman" w:cs="Times New Roman"/>
          <w:sz w:val="24"/>
          <w:szCs w:val="24"/>
        </w:rPr>
        <w:t>1 July 2013</w:t>
      </w:r>
      <w:r w:rsidRPr="00765464">
        <w:rPr>
          <w:rFonts w:ascii="Times New Roman" w:hAnsi="Times New Roman" w:cs="Times New Roman"/>
          <w:sz w:val="24"/>
          <w:szCs w:val="24"/>
        </w:rPr>
        <w:t>.</w:t>
      </w:r>
    </w:p>
    <w:p w:rsidR="00E14AEF" w:rsidRPr="00765464" w:rsidRDefault="00E14AEF" w:rsidP="00E14AEF">
      <w:pPr>
        <w:pStyle w:val="NoSpacing"/>
        <w:rPr>
          <w:rFonts w:ascii="Times New Roman" w:hAnsi="Times New Roman" w:cs="Times New Roman"/>
          <w:sz w:val="24"/>
          <w:szCs w:val="24"/>
        </w:rPr>
      </w:pPr>
    </w:p>
    <w:p w:rsidR="00E14AEF" w:rsidRPr="00765464" w:rsidRDefault="00E14AEF" w:rsidP="00E14AEF">
      <w:pPr>
        <w:pStyle w:val="NoSpacing"/>
        <w:rPr>
          <w:rFonts w:ascii="Times New Roman" w:hAnsi="Times New Roman" w:cs="Times New Roman"/>
          <w:b/>
          <w:i/>
          <w:sz w:val="24"/>
          <w:szCs w:val="24"/>
        </w:rPr>
      </w:pPr>
      <w:r w:rsidRPr="00765464">
        <w:rPr>
          <w:rFonts w:ascii="Times New Roman" w:hAnsi="Times New Roman" w:cs="Times New Roman"/>
          <w:b/>
          <w:i/>
          <w:sz w:val="24"/>
          <w:szCs w:val="24"/>
        </w:rPr>
        <w:t>Section 3 - Amendment of the Telecommunications (Emergency Call Service) Determination 2009</w:t>
      </w:r>
    </w:p>
    <w:p w:rsidR="00E14AEF" w:rsidRPr="00765464" w:rsidRDefault="00E14AEF" w:rsidP="00E14AEF">
      <w:pPr>
        <w:pStyle w:val="NoSpacing"/>
        <w:rPr>
          <w:rFonts w:ascii="Times New Roman" w:hAnsi="Times New Roman" w:cs="Times New Roman"/>
          <w:sz w:val="24"/>
          <w:szCs w:val="24"/>
        </w:rPr>
      </w:pPr>
    </w:p>
    <w:p w:rsidR="00E14AEF" w:rsidRPr="00765464" w:rsidRDefault="00E14AEF" w:rsidP="00E14AEF">
      <w:pPr>
        <w:pStyle w:val="NoSpacing"/>
        <w:rPr>
          <w:rFonts w:ascii="Times New Roman" w:hAnsi="Times New Roman" w:cs="Times New Roman"/>
          <w:b/>
          <w:i/>
          <w:sz w:val="24"/>
          <w:szCs w:val="24"/>
        </w:rPr>
      </w:pPr>
      <w:r w:rsidRPr="00765464">
        <w:rPr>
          <w:rFonts w:ascii="Times New Roman" w:hAnsi="Times New Roman" w:cs="Times New Roman"/>
          <w:sz w:val="24"/>
          <w:szCs w:val="24"/>
        </w:rPr>
        <w:t xml:space="preserve">Section 3 provides that Schedule 1 of the </w:t>
      </w:r>
      <w:r w:rsidR="00E91930">
        <w:rPr>
          <w:rFonts w:ascii="Times New Roman" w:hAnsi="Times New Roman" w:cs="Times New Roman"/>
          <w:sz w:val="24"/>
          <w:szCs w:val="24"/>
        </w:rPr>
        <w:t xml:space="preserve">Amendment </w:t>
      </w:r>
      <w:r w:rsidRPr="00765464">
        <w:rPr>
          <w:rFonts w:ascii="Times New Roman" w:hAnsi="Times New Roman" w:cs="Times New Roman"/>
          <w:sz w:val="24"/>
          <w:szCs w:val="24"/>
        </w:rPr>
        <w:t xml:space="preserve">Determination amends the </w:t>
      </w:r>
      <w:r w:rsidRPr="00765464">
        <w:rPr>
          <w:rFonts w:ascii="Times New Roman" w:hAnsi="Times New Roman" w:cs="Times New Roman"/>
          <w:i/>
          <w:sz w:val="24"/>
          <w:szCs w:val="24"/>
        </w:rPr>
        <w:t>Telecommunications (Emergency Call Service) Determination 2009.</w:t>
      </w:r>
    </w:p>
    <w:p w:rsidR="00E14AEF" w:rsidRPr="00765464" w:rsidRDefault="00E14AEF" w:rsidP="00E14AEF">
      <w:pPr>
        <w:pStyle w:val="NoSpacing"/>
        <w:rPr>
          <w:rFonts w:ascii="Times New Roman" w:hAnsi="Times New Roman" w:cs="Times New Roman"/>
          <w:sz w:val="24"/>
          <w:szCs w:val="24"/>
        </w:rPr>
      </w:pPr>
    </w:p>
    <w:p w:rsidR="00E14AEF" w:rsidRPr="00765464" w:rsidRDefault="00E14AEF" w:rsidP="00E14AEF">
      <w:pPr>
        <w:pStyle w:val="NoSpacing"/>
        <w:rPr>
          <w:rFonts w:ascii="Times New Roman" w:hAnsi="Times New Roman" w:cs="Times New Roman"/>
          <w:b/>
          <w:i/>
          <w:sz w:val="24"/>
          <w:szCs w:val="24"/>
        </w:rPr>
      </w:pPr>
      <w:r w:rsidRPr="00765464">
        <w:rPr>
          <w:rFonts w:ascii="Times New Roman" w:hAnsi="Times New Roman" w:cs="Times New Roman"/>
          <w:b/>
          <w:i/>
          <w:sz w:val="24"/>
          <w:szCs w:val="24"/>
        </w:rPr>
        <w:t>Schedule 1 Amendment</w:t>
      </w:r>
      <w:r w:rsidR="00DF4962">
        <w:rPr>
          <w:rFonts w:ascii="Times New Roman" w:hAnsi="Times New Roman" w:cs="Times New Roman"/>
          <w:b/>
          <w:i/>
          <w:sz w:val="24"/>
          <w:szCs w:val="24"/>
        </w:rPr>
        <w:t>s</w:t>
      </w:r>
    </w:p>
    <w:p w:rsidR="00E14AEF" w:rsidRPr="005F0FCA" w:rsidRDefault="00E14AEF" w:rsidP="00E14AEF">
      <w:pPr>
        <w:pStyle w:val="NoSpacing"/>
        <w:rPr>
          <w:rFonts w:ascii="Times New Roman" w:hAnsi="Times New Roman" w:cs="Times New Roman"/>
          <w:b/>
          <w:sz w:val="12"/>
          <w:szCs w:val="24"/>
        </w:rPr>
      </w:pPr>
    </w:p>
    <w:p w:rsidR="00E14AEF" w:rsidRPr="00765464" w:rsidRDefault="00E14AEF" w:rsidP="00E14AEF">
      <w:pPr>
        <w:pStyle w:val="NoSpacing"/>
        <w:rPr>
          <w:rFonts w:ascii="Times New Roman" w:hAnsi="Times New Roman" w:cs="Times New Roman"/>
          <w:b/>
          <w:i/>
          <w:sz w:val="24"/>
          <w:szCs w:val="24"/>
        </w:rPr>
      </w:pPr>
    </w:p>
    <w:p w:rsidR="00E14AEF" w:rsidRPr="008F66A8" w:rsidRDefault="0098136B" w:rsidP="00E14AEF">
      <w:pPr>
        <w:pStyle w:val="NoSpacing"/>
        <w:rPr>
          <w:rFonts w:ascii="Times New Roman" w:hAnsi="Times New Roman" w:cs="Times New Roman"/>
          <w:b/>
          <w:sz w:val="24"/>
          <w:szCs w:val="24"/>
        </w:rPr>
      </w:pPr>
      <w:r>
        <w:rPr>
          <w:rFonts w:ascii="Times New Roman" w:hAnsi="Times New Roman" w:cs="Times New Roman"/>
          <w:b/>
          <w:sz w:val="24"/>
          <w:szCs w:val="24"/>
        </w:rPr>
        <w:t>Item 1</w:t>
      </w:r>
    </w:p>
    <w:p w:rsidR="00E5363C" w:rsidRDefault="00E5363C" w:rsidP="00E14AEF">
      <w:pPr>
        <w:pStyle w:val="NoSpacing"/>
        <w:rPr>
          <w:rFonts w:ascii="Times New Roman" w:hAnsi="Times New Roman" w:cs="Times New Roman"/>
          <w:b/>
          <w:sz w:val="24"/>
          <w:szCs w:val="24"/>
        </w:rPr>
      </w:pPr>
    </w:p>
    <w:p w:rsidR="00E5363C" w:rsidRDefault="0098136B" w:rsidP="00E5363C">
      <w:pPr>
        <w:pStyle w:val="ACMANumberedList"/>
        <w:numPr>
          <w:ilvl w:val="0"/>
          <w:numId w:val="0"/>
        </w:numPr>
        <w:spacing w:before="0" w:after="120"/>
      </w:pPr>
      <w:r>
        <w:rPr>
          <w:szCs w:val="24"/>
        </w:rPr>
        <w:t xml:space="preserve">Item 1 amends example 4 </w:t>
      </w:r>
      <w:r w:rsidR="00DF4962">
        <w:rPr>
          <w:szCs w:val="24"/>
        </w:rPr>
        <w:t xml:space="preserve">beneath </w:t>
      </w:r>
      <w:r>
        <w:rPr>
          <w:szCs w:val="24"/>
        </w:rPr>
        <w:t xml:space="preserve">subsection 7(1) to reflect </w:t>
      </w:r>
      <w:r w:rsidR="00E5363C">
        <w:rPr>
          <w:szCs w:val="24"/>
        </w:rPr>
        <w:t xml:space="preserve">the new requirement that calls made to the emergency call service from a satellite service must be delivered to the emergency call person, except if the service used to make the call is an exempt satellite service.  </w:t>
      </w:r>
    </w:p>
    <w:p w:rsidR="00E5363C" w:rsidRPr="008F66A8" w:rsidRDefault="00E5363C" w:rsidP="00E5363C">
      <w:pPr>
        <w:pStyle w:val="NoSpacing"/>
        <w:rPr>
          <w:rFonts w:ascii="Times New Roman" w:hAnsi="Times New Roman" w:cs="Times New Roman"/>
          <w:b/>
          <w:sz w:val="24"/>
          <w:szCs w:val="24"/>
        </w:rPr>
      </w:pPr>
      <w:r>
        <w:rPr>
          <w:rFonts w:ascii="Times New Roman" w:hAnsi="Times New Roman" w:cs="Times New Roman"/>
          <w:b/>
          <w:sz w:val="24"/>
          <w:szCs w:val="24"/>
        </w:rPr>
        <w:t>Item 2</w:t>
      </w:r>
    </w:p>
    <w:p w:rsidR="00E5363C" w:rsidRDefault="00E5363C" w:rsidP="00E5363C">
      <w:pPr>
        <w:pStyle w:val="NoSpacing"/>
        <w:rPr>
          <w:rFonts w:ascii="Times New Roman" w:hAnsi="Times New Roman" w:cs="Times New Roman"/>
          <w:b/>
          <w:sz w:val="24"/>
          <w:szCs w:val="24"/>
        </w:rPr>
      </w:pPr>
    </w:p>
    <w:p w:rsidR="00E5363C" w:rsidRDefault="00FE76F3" w:rsidP="00E5363C">
      <w:pPr>
        <w:pStyle w:val="NoSpacing"/>
        <w:rPr>
          <w:rFonts w:ascii="Times New Roman" w:hAnsi="Times New Roman" w:cs="Times New Roman"/>
          <w:sz w:val="24"/>
          <w:szCs w:val="24"/>
        </w:rPr>
      </w:pPr>
      <w:r>
        <w:rPr>
          <w:rFonts w:ascii="Times New Roman" w:hAnsi="Times New Roman" w:cs="Times New Roman"/>
          <w:sz w:val="24"/>
          <w:szCs w:val="24"/>
        </w:rPr>
        <w:t xml:space="preserve">Item 2 substitutes </w:t>
      </w:r>
      <w:r w:rsidR="00E91930">
        <w:rPr>
          <w:rFonts w:ascii="Times New Roman" w:hAnsi="Times New Roman" w:cs="Times New Roman"/>
          <w:sz w:val="24"/>
          <w:szCs w:val="24"/>
        </w:rPr>
        <w:t xml:space="preserve">paragraph </w:t>
      </w:r>
      <w:r>
        <w:rPr>
          <w:rFonts w:ascii="Times New Roman" w:hAnsi="Times New Roman" w:cs="Times New Roman"/>
          <w:sz w:val="24"/>
          <w:szCs w:val="24"/>
        </w:rPr>
        <w:t xml:space="preserve">13(2)(b) </w:t>
      </w:r>
      <w:r w:rsidR="00D83519">
        <w:rPr>
          <w:rFonts w:ascii="Times New Roman" w:hAnsi="Times New Roman" w:cs="Times New Roman"/>
          <w:sz w:val="24"/>
          <w:szCs w:val="24"/>
        </w:rPr>
        <w:t xml:space="preserve">so that CSPs will be required to give an end-user access to the emergency service number 000 from a satellite phone service </w:t>
      </w:r>
      <w:r w:rsidR="00DB57B0">
        <w:rPr>
          <w:rFonts w:ascii="Times New Roman" w:hAnsi="Times New Roman" w:cs="Times New Roman"/>
          <w:sz w:val="24"/>
          <w:szCs w:val="24"/>
        </w:rPr>
        <w:t xml:space="preserve">unless the service is an </w:t>
      </w:r>
      <w:r w:rsidR="00882926">
        <w:rPr>
          <w:rFonts w:ascii="Times New Roman" w:hAnsi="Times New Roman" w:cs="Times New Roman"/>
          <w:sz w:val="24"/>
          <w:szCs w:val="24"/>
        </w:rPr>
        <w:t>“</w:t>
      </w:r>
      <w:r w:rsidR="00DB57B0">
        <w:rPr>
          <w:rFonts w:ascii="Times New Roman" w:hAnsi="Times New Roman" w:cs="Times New Roman"/>
          <w:sz w:val="24"/>
          <w:szCs w:val="24"/>
        </w:rPr>
        <w:t>exempt satellite service</w:t>
      </w:r>
      <w:r w:rsidR="00882926">
        <w:rPr>
          <w:rFonts w:ascii="Times New Roman" w:hAnsi="Times New Roman" w:cs="Times New Roman"/>
          <w:sz w:val="24"/>
          <w:szCs w:val="24"/>
        </w:rPr>
        <w:t>” as defined in the Dictionary</w:t>
      </w:r>
      <w:r w:rsidR="00DB57B0">
        <w:rPr>
          <w:rFonts w:ascii="Times New Roman" w:hAnsi="Times New Roman" w:cs="Times New Roman"/>
          <w:sz w:val="24"/>
          <w:szCs w:val="24"/>
        </w:rPr>
        <w:t>.</w:t>
      </w:r>
      <w:r w:rsidR="00D83519">
        <w:rPr>
          <w:rFonts w:ascii="Times New Roman" w:hAnsi="Times New Roman" w:cs="Times New Roman"/>
          <w:sz w:val="24"/>
          <w:szCs w:val="24"/>
        </w:rPr>
        <w:t xml:space="preserve"> </w:t>
      </w:r>
      <w:r w:rsidR="00882926">
        <w:rPr>
          <w:rFonts w:ascii="Times New Roman" w:hAnsi="Times New Roman" w:cs="Times New Roman"/>
          <w:sz w:val="24"/>
          <w:szCs w:val="24"/>
        </w:rPr>
        <w:t>The exception originally in paragraph 13(2)(b), which applied to satellite services transferred to a network other than an Australian-based terrestrial network, will no longer be available.</w:t>
      </w:r>
    </w:p>
    <w:p w:rsidR="00ED3D29" w:rsidRDefault="00ED3D29" w:rsidP="00E5363C">
      <w:pPr>
        <w:pStyle w:val="NoSpacing"/>
        <w:rPr>
          <w:rFonts w:ascii="Times New Roman" w:hAnsi="Times New Roman" w:cs="Times New Roman"/>
          <w:sz w:val="24"/>
          <w:szCs w:val="24"/>
        </w:rPr>
      </w:pPr>
    </w:p>
    <w:p w:rsidR="00A572F0" w:rsidRPr="008F66A8" w:rsidRDefault="00A572F0" w:rsidP="00A572F0">
      <w:pPr>
        <w:pStyle w:val="NoSpacing"/>
        <w:rPr>
          <w:rFonts w:ascii="Times New Roman" w:hAnsi="Times New Roman" w:cs="Times New Roman"/>
          <w:b/>
          <w:sz w:val="24"/>
          <w:szCs w:val="24"/>
        </w:rPr>
      </w:pPr>
      <w:r>
        <w:rPr>
          <w:rFonts w:ascii="Times New Roman" w:hAnsi="Times New Roman" w:cs="Times New Roman"/>
          <w:b/>
          <w:sz w:val="24"/>
          <w:szCs w:val="24"/>
        </w:rPr>
        <w:t>Item 3</w:t>
      </w:r>
    </w:p>
    <w:p w:rsidR="00A572F0" w:rsidRDefault="00A572F0" w:rsidP="00A572F0">
      <w:pPr>
        <w:pStyle w:val="NoSpacing"/>
        <w:rPr>
          <w:rFonts w:ascii="Times New Roman" w:hAnsi="Times New Roman" w:cs="Times New Roman"/>
          <w:b/>
          <w:sz w:val="24"/>
          <w:szCs w:val="24"/>
        </w:rPr>
      </w:pPr>
    </w:p>
    <w:p w:rsidR="00E5363C" w:rsidRDefault="00A572F0" w:rsidP="00A572F0">
      <w:pPr>
        <w:pStyle w:val="NoSpacing"/>
        <w:rPr>
          <w:rFonts w:ascii="Times New Roman" w:hAnsi="Times New Roman" w:cs="Times New Roman"/>
          <w:sz w:val="24"/>
          <w:szCs w:val="24"/>
        </w:rPr>
      </w:pPr>
      <w:r>
        <w:rPr>
          <w:rFonts w:ascii="Times New Roman" w:hAnsi="Times New Roman" w:cs="Times New Roman"/>
          <w:sz w:val="24"/>
          <w:szCs w:val="24"/>
        </w:rPr>
        <w:t xml:space="preserve">Item 3 adds a new section 14A that sets </w:t>
      </w:r>
      <w:r w:rsidR="00362009">
        <w:rPr>
          <w:rFonts w:ascii="Times New Roman" w:hAnsi="Times New Roman" w:cs="Times New Roman"/>
          <w:sz w:val="24"/>
          <w:szCs w:val="24"/>
        </w:rPr>
        <w:t xml:space="preserve">out customer </w:t>
      </w:r>
      <w:r>
        <w:rPr>
          <w:rFonts w:ascii="Times New Roman" w:hAnsi="Times New Roman" w:cs="Times New Roman"/>
          <w:sz w:val="24"/>
          <w:szCs w:val="24"/>
        </w:rPr>
        <w:t>notification requirements for CSPs supplying exempt satellite services.</w:t>
      </w:r>
      <w:r w:rsidR="00361182">
        <w:rPr>
          <w:rFonts w:ascii="Times New Roman" w:hAnsi="Times New Roman" w:cs="Times New Roman"/>
          <w:sz w:val="24"/>
          <w:szCs w:val="24"/>
        </w:rPr>
        <w:t xml:space="preserve"> </w:t>
      </w:r>
      <w:r w:rsidR="005A6999">
        <w:rPr>
          <w:rFonts w:ascii="Times New Roman" w:hAnsi="Times New Roman" w:cs="Times New Roman"/>
          <w:sz w:val="24"/>
          <w:szCs w:val="24"/>
        </w:rPr>
        <w:t xml:space="preserve">Section 14A, which has been included as a safeguard measure, should ensure that </w:t>
      </w:r>
      <w:r w:rsidR="00AE2074">
        <w:rPr>
          <w:rFonts w:ascii="Times New Roman" w:hAnsi="Times New Roman" w:cs="Times New Roman"/>
          <w:sz w:val="24"/>
          <w:szCs w:val="24"/>
        </w:rPr>
        <w:t>customers</w:t>
      </w:r>
      <w:r w:rsidR="005A6999">
        <w:rPr>
          <w:rFonts w:ascii="Times New Roman" w:hAnsi="Times New Roman" w:cs="Times New Roman"/>
          <w:sz w:val="24"/>
          <w:szCs w:val="24"/>
        </w:rPr>
        <w:t xml:space="preserve"> are fully informed of the ECS limitation associated with an exempt satellite service before an emergency arises.</w:t>
      </w:r>
    </w:p>
    <w:p w:rsidR="00362009" w:rsidRDefault="00362009" w:rsidP="00A572F0">
      <w:pPr>
        <w:pStyle w:val="NoSpacing"/>
        <w:rPr>
          <w:rFonts w:ascii="Times New Roman" w:hAnsi="Times New Roman" w:cs="Times New Roman"/>
          <w:sz w:val="24"/>
          <w:szCs w:val="24"/>
        </w:rPr>
      </w:pPr>
    </w:p>
    <w:p w:rsidR="00A572F0" w:rsidRDefault="00362009" w:rsidP="00A572F0">
      <w:pPr>
        <w:pStyle w:val="NoSpacing"/>
        <w:rPr>
          <w:rFonts w:ascii="Times New Roman" w:hAnsi="Times New Roman" w:cs="Times New Roman"/>
          <w:sz w:val="24"/>
          <w:szCs w:val="24"/>
        </w:rPr>
      </w:pPr>
      <w:r>
        <w:rPr>
          <w:rFonts w:ascii="Times New Roman" w:hAnsi="Times New Roman" w:cs="Times New Roman"/>
          <w:sz w:val="24"/>
          <w:szCs w:val="24"/>
        </w:rPr>
        <w:t>Subsection</w:t>
      </w:r>
      <w:r w:rsidR="00ED3D29">
        <w:rPr>
          <w:rFonts w:ascii="Times New Roman" w:hAnsi="Times New Roman" w:cs="Times New Roman"/>
          <w:sz w:val="24"/>
          <w:szCs w:val="24"/>
        </w:rPr>
        <w:t xml:space="preserve"> 14A(1) stipulates that if a CSP</w:t>
      </w:r>
      <w:r>
        <w:rPr>
          <w:rFonts w:ascii="Times New Roman" w:hAnsi="Times New Roman" w:cs="Times New Roman"/>
          <w:sz w:val="24"/>
          <w:szCs w:val="24"/>
        </w:rPr>
        <w:t xml:space="preserve"> commences </w:t>
      </w:r>
      <w:r w:rsidR="00B741B5">
        <w:rPr>
          <w:rFonts w:ascii="Times New Roman" w:hAnsi="Times New Roman" w:cs="Times New Roman"/>
          <w:sz w:val="24"/>
          <w:szCs w:val="24"/>
        </w:rPr>
        <w:t>supply</w:t>
      </w:r>
      <w:r>
        <w:rPr>
          <w:rFonts w:ascii="Times New Roman" w:hAnsi="Times New Roman" w:cs="Times New Roman"/>
          <w:sz w:val="24"/>
          <w:szCs w:val="24"/>
        </w:rPr>
        <w:t xml:space="preserve"> of an exempt satellite service</w:t>
      </w:r>
      <w:r w:rsidR="002D6DA0">
        <w:rPr>
          <w:rFonts w:ascii="Times New Roman" w:hAnsi="Times New Roman" w:cs="Times New Roman"/>
          <w:sz w:val="24"/>
          <w:szCs w:val="24"/>
        </w:rPr>
        <w:t xml:space="preserve"> to </w:t>
      </w:r>
      <w:r w:rsidR="00E77853">
        <w:rPr>
          <w:rFonts w:ascii="Times New Roman" w:hAnsi="Times New Roman" w:cs="Times New Roman"/>
          <w:sz w:val="24"/>
          <w:szCs w:val="24"/>
        </w:rPr>
        <w:t>a</w:t>
      </w:r>
      <w:r w:rsidR="002D6DA0">
        <w:rPr>
          <w:rFonts w:ascii="Times New Roman" w:hAnsi="Times New Roman" w:cs="Times New Roman"/>
          <w:sz w:val="24"/>
          <w:szCs w:val="24"/>
        </w:rPr>
        <w:t xml:space="preserve"> customer</w:t>
      </w:r>
      <w:r>
        <w:rPr>
          <w:rFonts w:ascii="Times New Roman" w:hAnsi="Times New Roman" w:cs="Times New Roman"/>
          <w:sz w:val="24"/>
          <w:szCs w:val="24"/>
        </w:rPr>
        <w:t xml:space="preserve"> on or after 1 July 20</w:t>
      </w:r>
      <w:r w:rsidR="00DD79B8">
        <w:rPr>
          <w:rFonts w:ascii="Times New Roman" w:hAnsi="Times New Roman" w:cs="Times New Roman"/>
          <w:sz w:val="24"/>
          <w:szCs w:val="24"/>
        </w:rPr>
        <w:t>13, the provider must notify</w:t>
      </w:r>
      <w:r>
        <w:rPr>
          <w:rFonts w:ascii="Times New Roman" w:hAnsi="Times New Roman" w:cs="Times New Roman"/>
          <w:sz w:val="24"/>
          <w:szCs w:val="24"/>
        </w:rPr>
        <w:t xml:space="preserve"> </w:t>
      </w:r>
      <w:r w:rsidR="00B741B5">
        <w:rPr>
          <w:rFonts w:ascii="Times New Roman" w:hAnsi="Times New Roman" w:cs="Times New Roman"/>
          <w:sz w:val="24"/>
          <w:szCs w:val="24"/>
        </w:rPr>
        <w:t>the</w:t>
      </w:r>
      <w:r>
        <w:rPr>
          <w:rFonts w:ascii="Times New Roman" w:hAnsi="Times New Roman" w:cs="Times New Roman"/>
          <w:sz w:val="24"/>
          <w:szCs w:val="24"/>
        </w:rPr>
        <w:t xml:space="preserve"> customer in writing that the service cannot be used to make a</w:t>
      </w:r>
      <w:r w:rsidR="00E77853">
        <w:rPr>
          <w:rFonts w:ascii="Times New Roman" w:hAnsi="Times New Roman" w:cs="Times New Roman"/>
          <w:sz w:val="24"/>
          <w:szCs w:val="24"/>
        </w:rPr>
        <w:t>n emergency</w:t>
      </w:r>
      <w:r>
        <w:rPr>
          <w:rFonts w:ascii="Times New Roman" w:hAnsi="Times New Roman" w:cs="Times New Roman"/>
          <w:sz w:val="24"/>
          <w:szCs w:val="24"/>
        </w:rPr>
        <w:t xml:space="preserve"> call.</w:t>
      </w:r>
    </w:p>
    <w:p w:rsidR="00362009" w:rsidRDefault="00362009" w:rsidP="00A572F0">
      <w:pPr>
        <w:pStyle w:val="NoSpacing"/>
        <w:rPr>
          <w:rFonts w:ascii="Times New Roman" w:hAnsi="Times New Roman" w:cs="Times New Roman"/>
          <w:sz w:val="24"/>
          <w:szCs w:val="24"/>
        </w:rPr>
      </w:pPr>
    </w:p>
    <w:p w:rsidR="00362009" w:rsidRDefault="00362009" w:rsidP="00A572F0">
      <w:pPr>
        <w:pStyle w:val="NoSpacing"/>
        <w:rPr>
          <w:rFonts w:ascii="Times New Roman" w:hAnsi="Times New Roman" w:cs="Times New Roman"/>
          <w:sz w:val="24"/>
          <w:szCs w:val="24"/>
        </w:rPr>
      </w:pPr>
      <w:r>
        <w:rPr>
          <w:rFonts w:ascii="Times New Roman" w:hAnsi="Times New Roman" w:cs="Times New Roman"/>
          <w:sz w:val="24"/>
          <w:szCs w:val="24"/>
        </w:rPr>
        <w:t>Subsection 14A(2) requires a CSP to retain a copy of the customer notification for at least 3 years from when it was given.</w:t>
      </w:r>
    </w:p>
    <w:p w:rsidR="00362009" w:rsidRDefault="00362009" w:rsidP="00A572F0">
      <w:pPr>
        <w:pStyle w:val="NoSpacing"/>
        <w:rPr>
          <w:rFonts w:ascii="Times New Roman" w:hAnsi="Times New Roman" w:cs="Times New Roman"/>
          <w:sz w:val="24"/>
          <w:szCs w:val="24"/>
        </w:rPr>
      </w:pPr>
    </w:p>
    <w:p w:rsidR="00362009" w:rsidRDefault="00362009" w:rsidP="00A572F0">
      <w:pPr>
        <w:pStyle w:val="NoSpacing"/>
        <w:rPr>
          <w:rFonts w:ascii="Times New Roman" w:hAnsi="Times New Roman" w:cs="Times New Roman"/>
          <w:sz w:val="24"/>
          <w:szCs w:val="24"/>
        </w:rPr>
      </w:pPr>
      <w:r>
        <w:rPr>
          <w:rFonts w:ascii="Times New Roman" w:hAnsi="Times New Roman" w:cs="Times New Roman"/>
          <w:sz w:val="24"/>
          <w:szCs w:val="24"/>
        </w:rPr>
        <w:t xml:space="preserve">Subsection 14A(3) provides for the ACMA to request a </w:t>
      </w:r>
      <w:r w:rsidR="00B741B5">
        <w:rPr>
          <w:rFonts w:ascii="Times New Roman" w:hAnsi="Times New Roman" w:cs="Times New Roman"/>
          <w:sz w:val="24"/>
          <w:szCs w:val="24"/>
        </w:rPr>
        <w:t>copy of a customer notification</w:t>
      </w:r>
      <w:r>
        <w:rPr>
          <w:rFonts w:ascii="Times New Roman" w:hAnsi="Times New Roman" w:cs="Times New Roman"/>
          <w:sz w:val="24"/>
          <w:szCs w:val="24"/>
        </w:rPr>
        <w:t xml:space="preserve"> and for the CSP to provide it within </w:t>
      </w:r>
      <w:r w:rsidR="00F20571">
        <w:rPr>
          <w:rFonts w:ascii="Times New Roman" w:hAnsi="Times New Roman" w:cs="Times New Roman"/>
          <w:sz w:val="24"/>
          <w:szCs w:val="24"/>
        </w:rPr>
        <w:t>21</w:t>
      </w:r>
      <w:r>
        <w:rPr>
          <w:rFonts w:ascii="Times New Roman" w:hAnsi="Times New Roman" w:cs="Times New Roman"/>
          <w:sz w:val="24"/>
          <w:szCs w:val="24"/>
        </w:rPr>
        <w:t xml:space="preserve"> days of such a request.</w:t>
      </w:r>
    </w:p>
    <w:p w:rsidR="00A572F0" w:rsidRDefault="00A572F0" w:rsidP="00A572F0">
      <w:pPr>
        <w:pStyle w:val="NoSpacing"/>
        <w:rPr>
          <w:rFonts w:ascii="Times New Roman" w:hAnsi="Times New Roman" w:cs="Times New Roman"/>
          <w:sz w:val="24"/>
          <w:szCs w:val="24"/>
        </w:rPr>
      </w:pPr>
    </w:p>
    <w:p w:rsidR="00362009" w:rsidRPr="008F66A8" w:rsidRDefault="00362009" w:rsidP="00362009">
      <w:pPr>
        <w:pStyle w:val="NoSpacing"/>
        <w:rPr>
          <w:rFonts w:ascii="Times New Roman" w:hAnsi="Times New Roman" w:cs="Times New Roman"/>
          <w:b/>
          <w:sz w:val="24"/>
          <w:szCs w:val="24"/>
        </w:rPr>
      </w:pPr>
      <w:r>
        <w:rPr>
          <w:rFonts w:ascii="Times New Roman" w:hAnsi="Times New Roman" w:cs="Times New Roman"/>
          <w:b/>
          <w:sz w:val="24"/>
          <w:szCs w:val="24"/>
        </w:rPr>
        <w:t>Item 4</w:t>
      </w:r>
    </w:p>
    <w:p w:rsidR="00362009" w:rsidRDefault="00362009" w:rsidP="00362009">
      <w:pPr>
        <w:pStyle w:val="NoSpacing"/>
        <w:rPr>
          <w:rFonts w:ascii="Times New Roman" w:hAnsi="Times New Roman" w:cs="Times New Roman"/>
          <w:b/>
          <w:sz w:val="24"/>
          <w:szCs w:val="24"/>
        </w:rPr>
      </w:pPr>
    </w:p>
    <w:p w:rsidR="00F95B8C" w:rsidRDefault="00362009" w:rsidP="00F95B8C">
      <w:pPr>
        <w:pStyle w:val="NoSpacing"/>
        <w:rPr>
          <w:rFonts w:ascii="Times New Roman" w:hAnsi="Times New Roman" w:cs="Times New Roman"/>
          <w:sz w:val="24"/>
          <w:szCs w:val="24"/>
        </w:rPr>
      </w:pPr>
      <w:r>
        <w:rPr>
          <w:rFonts w:ascii="Times New Roman" w:hAnsi="Times New Roman" w:cs="Times New Roman"/>
          <w:sz w:val="24"/>
          <w:szCs w:val="24"/>
        </w:rPr>
        <w:t>Item 4 substitutes paragraph 16(1)(c)</w:t>
      </w:r>
      <w:r w:rsidR="00F95B8C">
        <w:rPr>
          <w:rFonts w:ascii="Times New Roman" w:hAnsi="Times New Roman" w:cs="Times New Roman"/>
          <w:sz w:val="24"/>
          <w:szCs w:val="24"/>
        </w:rPr>
        <w:t xml:space="preserve"> so that </w:t>
      </w:r>
      <w:r w:rsidR="001D7029">
        <w:rPr>
          <w:rFonts w:ascii="Times New Roman" w:hAnsi="Times New Roman" w:cs="Times New Roman"/>
          <w:sz w:val="24"/>
          <w:szCs w:val="24"/>
        </w:rPr>
        <w:t>CSPs will be required to give an end-user access to the emergency service number 112 from a satellite phone service</w:t>
      </w:r>
      <w:r w:rsidR="00AC0547">
        <w:rPr>
          <w:rFonts w:ascii="Times New Roman" w:hAnsi="Times New Roman" w:cs="Times New Roman"/>
          <w:sz w:val="24"/>
          <w:szCs w:val="24"/>
        </w:rPr>
        <w:t>,</w:t>
      </w:r>
      <w:r w:rsidR="001D7029">
        <w:rPr>
          <w:rFonts w:ascii="Times New Roman" w:hAnsi="Times New Roman" w:cs="Times New Roman"/>
          <w:sz w:val="24"/>
          <w:szCs w:val="24"/>
        </w:rPr>
        <w:t xml:space="preserve"> </w:t>
      </w:r>
      <w:r w:rsidR="000F4A04">
        <w:rPr>
          <w:rFonts w:ascii="Times New Roman" w:hAnsi="Times New Roman" w:cs="Times New Roman"/>
          <w:sz w:val="24"/>
          <w:szCs w:val="24"/>
        </w:rPr>
        <w:t xml:space="preserve">where the customer equipment used </w:t>
      </w:r>
      <w:r w:rsidR="00AC0547">
        <w:rPr>
          <w:rFonts w:ascii="Times New Roman" w:hAnsi="Times New Roman" w:cs="Times New Roman"/>
          <w:sz w:val="24"/>
          <w:szCs w:val="24"/>
        </w:rPr>
        <w:t>to supply the satellite service</w:t>
      </w:r>
      <w:r w:rsidR="000F4A04">
        <w:rPr>
          <w:rFonts w:ascii="Times New Roman" w:hAnsi="Times New Roman" w:cs="Times New Roman"/>
          <w:sz w:val="24"/>
          <w:szCs w:val="24"/>
        </w:rPr>
        <w:t xml:space="preserve"> is capable of being used to access a public mobile telecommunications service, </w:t>
      </w:r>
      <w:r w:rsidR="001D7029">
        <w:rPr>
          <w:rFonts w:ascii="Times New Roman" w:hAnsi="Times New Roman" w:cs="Times New Roman"/>
          <w:sz w:val="24"/>
          <w:szCs w:val="24"/>
        </w:rPr>
        <w:t xml:space="preserve">unless the service is an </w:t>
      </w:r>
      <w:r w:rsidR="00E56C44">
        <w:rPr>
          <w:rFonts w:ascii="Times New Roman" w:hAnsi="Times New Roman" w:cs="Times New Roman"/>
          <w:sz w:val="24"/>
          <w:szCs w:val="24"/>
        </w:rPr>
        <w:t>“</w:t>
      </w:r>
      <w:r w:rsidR="001D7029">
        <w:rPr>
          <w:rFonts w:ascii="Times New Roman" w:hAnsi="Times New Roman" w:cs="Times New Roman"/>
          <w:sz w:val="24"/>
          <w:szCs w:val="24"/>
        </w:rPr>
        <w:t>exempt satellite service</w:t>
      </w:r>
      <w:r w:rsidR="00E56C44">
        <w:rPr>
          <w:rFonts w:ascii="Times New Roman" w:hAnsi="Times New Roman" w:cs="Times New Roman"/>
          <w:sz w:val="24"/>
          <w:szCs w:val="24"/>
        </w:rPr>
        <w:t>” as defined in the Dictionary</w:t>
      </w:r>
      <w:r w:rsidR="001D7029">
        <w:rPr>
          <w:rFonts w:ascii="Times New Roman" w:hAnsi="Times New Roman" w:cs="Times New Roman"/>
          <w:sz w:val="24"/>
          <w:szCs w:val="24"/>
        </w:rPr>
        <w:t>.</w:t>
      </w:r>
      <w:r w:rsidR="00361182">
        <w:rPr>
          <w:rFonts w:ascii="Times New Roman" w:hAnsi="Times New Roman" w:cs="Times New Roman"/>
          <w:sz w:val="24"/>
          <w:szCs w:val="24"/>
        </w:rPr>
        <w:t xml:space="preserve"> </w:t>
      </w:r>
      <w:r w:rsidR="00E56C44">
        <w:rPr>
          <w:rFonts w:ascii="Times New Roman" w:hAnsi="Times New Roman" w:cs="Times New Roman"/>
          <w:sz w:val="24"/>
          <w:szCs w:val="24"/>
        </w:rPr>
        <w:t>The exception that previously operated by virtue of paragraph 16(1)(c), which covered satellite services transferred to a network other than an Australian-based terrestrial network, will no longer be available.</w:t>
      </w:r>
    </w:p>
    <w:p w:rsidR="00F95B8C" w:rsidRDefault="00F95B8C" w:rsidP="00F95B8C">
      <w:pPr>
        <w:pStyle w:val="NoSpacing"/>
        <w:rPr>
          <w:rFonts w:ascii="Times New Roman" w:hAnsi="Times New Roman" w:cs="Times New Roman"/>
          <w:sz w:val="24"/>
          <w:szCs w:val="24"/>
        </w:rPr>
      </w:pPr>
    </w:p>
    <w:p w:rsidR="00F95B8C" w:rsidRPr="00F95B8C" w:rsidRDefault="00F95B8C" w:rsidP="00F95B8C">
      <w:pPr>
        <w:pStyle w:val="NoSpacing"/>
        <w:rPr>
          <w:rFonts w:ascii="Times New Roman" w:hAnsi="Times New Roman" w:cs="Times New Roman"/>
          <w:sz w:val="24"/>
          <w:szCs w:val="24"/>
        </w:rPr>
      </w:pPr>
      <w:r>
        <w:rPr>
          <w:rFonts w:ascii="Times New Roman" w:hAnsi="Times New Roman" w:cs="Times New Roman"/>
          <w:b/>
          <w:sz w:val="24"/>
          <w:szCs w:val="24"/>
        </w:rPr>
        <w:t xml:space="preserve">Item </w:t>
      </w:r>
      <w:r w:rsidR="00ED3D29">
        <w:rPr>
          <w:rFonts w:ascii="Times New Roman" w:hAnsi="Times New Roman" w:cs="Times New Roman"/>
          <w:b/>
          <w:sz w:val="24"/>
          <w:szCs w:val="24"/>
        </w:rPr>
        <w:t>5</w:t>
      </w:r>
    </w:p>
    <w:p w:rsidR="00F95B8C" w:rsidRDefault="00F95B8C" w:rsidP="00F95B8C">
      <w:pPr>
        <w:pStyle w:val="NoSpacing"/>
        <w:rPr>
          <w:rFonts w:ascii="Times New Roman" w:hAnsi="Times New Roman" w:cs="Times New Roman"/>
          <w:b/>
          <w:sz w:val="24"/>
          <w:szCs w:val="24"/>
        </w:rPr>
      </w:pPr>
    </w:p>
    <w:p w:rsidR="00A572F0" w:rsidRDefault="00ED3D29" w:rsidP="00F95B8C">
      <w:pPr>
        <w:pStyle w:val="NoSpacing"/>
        <w:rPr>
          <w:rFonts w:ascii="Times New Roman" w:hAnsi="Times New Roman" w:cs="Times New Roman"/>
          <w:sz w:val="24"/>
          <w:szCs w:val="24"/>
        </w:rPr>
      </w:pPr>
      <w:r>
        <w:rPr>
          <w:rFonts w:ascii="Times New Roman" w:hAnsi="Times New Roman" w:cs="Times New Roman"/>
          <w:sz w:val="24"/>
          <w:szCs w:val="24"/>
        </w:rPr>
        <w:t xml:space="preserve">Item 5 substitutes subsection 18(1) </w:t>
      </w:r>
      <w:r w:rsidR="00067DBA">
        <w:rPr>
          <w:rFonts w:ascii="Times New Roman" w:hAnsi="Times New Roman" w:cs="Times New Roman"/>
          <w:sz w:val="24"/>
          <w:szCs w:val="24"/>
        </w:rPr>
        <w:t>so that</w:t>
      </w:r>
      <w:r>
        <w:rPr>
          <w:rFonts w:ascii="Times New Roman" w:hAnsi="Times New Roman" w:cs="Times New Roman"/>
          <w:sz w:val="24"/>
          <w:szCs w:val="24"/>
        </w:rPr>
        <w:t xml:space="preserve"> CSPs</w:t>
      </w:r>
      <w:r w:rsidR="003C671D">
        <w:rPr>
          <w:rFonts w:ascii="Times New Roman" w:hAnsi="Times New Roman" w:cs="Times New Roman"/>
          <w:sz w:val="24"/>
          <w:szCs w:val="24"/>
        </w:rPr>
        <w:t xml:space="preserve"> are required</w:t>
      </w:r>
      <w:r>
        <w:rPr>
          <w:rFonts w:ascii="Times New Roman" w:hAnsi="Times New Roman" w:cs="Times New Roman"/>
          <w:sz w:val="24"/>
          <w:szCs w:val="24"/>
        </w:rPr>
        <w:t xml:space="preserve"> to provide access to the </w:t>
      </w:r>
      <w:r w:rsidR="003C671D">
        <w:rPr>
          <w:rFonts w:ascii="Times New Roman" w:hAnsi="Times New Roman" w:cs="Times New Roman"/>
          <w:sz w:val="24"/>
          <w:szCs w:val="24"/>
        </w:rPr>
        <w:t xml:space="preserve">emergency service number </w:t>
      </w:r>
      <w:r>
        <w:rPr>
          <w:rFonts w:ascii="Times New Roman" w:hAnsi="Times New Roman" w:cs="Times New Roman"/>
          <w:sz w:val="24"/>
          <w:szCs w:val="24"/>
        </w:rPr>
        <w:t xml:space="preserve">106 </w:t>
      </w:r>
      <w:r w:rsidR="00067DBA">
        <w:rPr>
          <w:rFonts w:ascii="Times New Roman" w:hAnsi="Times New Roman" w:cs="Times New Roman"/>
          <w:sz w:val="24"/>
          <w:szCs w:val="24"/>
        </w:rPr>
        <w:t>if an end-user calls 106</w:t>
      </w:r>
      <w:r>
        <w:rPr>
          <w:rFonts w:ascii="Times New Roman" w:hAnsi="Times New Roman" w:cs="Times New Roman"/>
          <w:sz w:val="24"/>
          <w:szCs w:val="24"/>
        </w:rPr>
        <w:t xml:space="preserve"> on a satellite service</w:t>
      </w:r>
      <w:r w:rsidR="00067DBA">
        <w:rPr>
          <w:rFonts w:ascii="Times New Roman" w:hAnsi="Times New Roman" w:cs="Times New Roman"/>
          <w:sz w:val="24"/>
          <w:szCs w:val="24"/>
        </w:rPr>
        <w:t xml:space="preserve"> that is technically capable of carrying a call</w:t>
      </w:r>
      <w:r w:rsidR="00361182">
        <w:rPr>
          <w:rFonts w:ascii="Times New Roman" w:hAnsi="Times New Roman" w:cs="Times New Roman"/>
          <w:sz w:val="24"/>
          <w:szCs w:val="24"/>
        </w:rPr>
        <w:t xml:space="preserve">. </w:t>
      </w:r>
      <w:r w:rsidR="003C671D">
        <w:rPr>
          <w:rFonts w:ascii="Times New Roman" w:hAnsi="Times New Roman" w:cs="Times New Roman"/>
          <w:sz w:val="24"/>
          <w:szCs w:val="24"/>
        </w:rPr>
        <w:t>The exception that previously applied if a call was transferred to a network other than an Australian-based terrestrial network will no longer be available.</w:t>
      </w:r>
    </w:p>
    <w:p w:rsidR="00067DBA" w:rsidRDefault="00067DBA" w:rsidP="00067DBA">
      <w:pPr>
        <w:pStyle w:val="NoSpacing"/>
        <w:rPr>
          <w:rFonts w:ascii="Times New Roman" w:hAnsi="Times New Roman" w:cs="Times New Roman"/>
          <w:b/>
          <w:sz w:val="24"/>
          <w:szCs w:val="24"/>
        </w:rPr>
      </w:pPr>
    </w:p>
    <w:p w:rsidR="00067DBA" w:rsidRPr="00F95B8C" w:rsidRDefault="00067DBA" w:rsidP="00067DBA">
      <w:pPr>
        <w:pStyle w:val="NoSpacing"/>
        <w:rPr>
          <w:rFonts w:ascii="Times New Roman" w:hAnsi="Times New Roman" w:cs="Times New Roman"/>
          <w:sz w:val="24"/>
          <w:szCs w:val="24"/>
        </w:rPr>
      </w:pPr>
      <w:r>
        <w:rPr>
          <w:rFonts w:ascii="Times New Roman" w:hAnsi="Times New Roman" w:cs="Times New Roman"/>
          <w:b/>
          <w:sz w:val="24"/>
          <w:szCs w:val="24"/>
        </w:rPr>
        <w:t>Item 6</w:t>
      </w:r>
    </w:p>
    <w:p w:rsidR="00067DBA" w:rsidRDefault="00067DBA" w:rsidP="00067DBA">
      <w:pPr>
        <w:pStyle w:val="NoSpacing"/>
        <w:rPr>
          <w:rFonts w:ascii="Times New Roman" w:hAnsi="Times New Roman" w:cs="Times New Roman"/>
          <w:b/>
          <w:sz w:val="24"/>
          <w:szCs w:val="24"/>
        </w:rPr>
      </w:pPr>
    </w:p>
    <w:p w:rsidR="00067DBA" w:rsidRDefault="00386AD9" w:rsidP="00067DBA">
      <w:pPr>
        <w:pStyle w:val="NoSpacing"/>
        <w:rPr>
          <w:rFonts w:ascii="Times New Roman" w:hAnsi="Times New Roman" w:cs="Times New Roman"/>
          <w:sz w:val="24"/>
          <w:szCs w:val="24"/>
        </w:rPr>
      </w:pPr>
      <w:r>
        <w:rPr>
          <w:rFonts w:ascii="Times New Roman" w:hAnsi="Times New Roman" w:cs="Times New Roman"/>
          <w:sz w:val="24"/>
          <w:szCs w:val="24"/>
        </w:rPr>
        <w:t>New</w:t>
      </w:r>
      <w:r w:rsidR="00015109">
        <w:rPr>
          <w:rFonts w:ascii="Times New Roman" w:hAnsi="Times New Roman" w:cs="Times New Roman"/>
          <w:sz w:val="24"/>
          <w:szCs w:val="24"/>
        </w:rPr>
        <w:t xml:space="preserve"> </w:t>
      </w:r>
      <w:r w:rsidR="00E91930">
        <w:rPr>
          <w:rFonts w:ascii="Times New Roman" w:hAnsi="Times New Roman" w:cs="Times New Roman"/>
          <w:sz w:val="24"/>
          <w:szCs w:val="24"/>
        </w:rPr>
        <w:t xml:space="preserve">paragraph </w:t>
      </w:r>
      <w:r w:rsidR="00015109">
        <w:rPr>
          <w:rFonts w:ascii="Times New Roman" w:hAnsi="Times New Roman" w:cs="Times New Roman"/>
          <w:sz w:val="24"/>
          <w:szCs w:val="24"/>
        </w:rPr>
        <w:t>19(c) add</w:t>
      </w:r>
      <w:r>
        <w:rPr>
          <w:rFonts w:ascii="Times New Roman" w:hAnsi="Times New Roman" w:cs="Times New Roman"/>
          <w:sz w:val="24"/>
          <w:szCs w:val="24"/>
        </w:rPr>
        <w:t>s an</w:t>
      </w:r>
      <w:r w:rsidR="00015109">
        <w:rPr>
          <w:rFonts w:ascii="Times New Roman" w:hAnsi="Times New Roman" w:cs="Times New Roman"/>
          <w:sz w:val="24"/>
          <w:szCs w:val="24"/>
        </w:rPr>
        <w:t xml:space="preserve"> exception </w:t>
      </w:r>
      <w:r>
        <w:rPr>
          <w:rFonts w:ascii="Times New Roman" w:hAnsi="Times New Roman" w:cs="Times New Roman"/>
          <w:sz w:val="24"/>
          <w:szCs w:val="24"/>
        </w:rPr>
        <w:t xml:space="preserve">to the requirement </w:t>
      </w:r>
      <w:r w:rsidR="00015109">
        <w:rPr>
          <w:rFonts w:ascii="Times New Roman" w:hAnsi="Times New Roman" w:cs="Times New Roman"/>
          <w:sz w:val="24"/>
          <w:szCs w:val="24"/>
        </w:rPr>
        <w:t xml:space="preserve">that </w:t>
      </w:r>
      <w:r>
        <w:rPr>
          <w:rFonts w:ascii="Times New Roman" w:hAnsi="Times New Roman" w:cs="Times New Roman"/>
          <w:sz w:val="24"/>
          <w:szCs w:val="24"/>
        </w:rPr>
        <w:t>a CSP ensure its controlled networks and controlled facilities give an end-user access to ECS, whether or not a number is cur</w:t>
      </w:r>
      <w:r w:rsidR="00361182">
        <w:rPr>
          <w:rFonts w:ascii="Times New Roman" w:hAnsi="Times New Roman" w:cs="Times New Roman"/>
          <w:sz w:val="24"/>
          <w:szCs w:val="24"/>
        </w:rPr>
        <w:t xml:space="preserve">rently issued to the end-user. </w:t>
      </w:r>
      <w:r>
        <w:rPr>
          <w:rFonts w:ascii="Times New Roman" w:hAnsi="Times New Roman" w:cs="Times New Roman"/>
          <w:sz w:val="24"/>
          <w:szCs w:val="24"/>
        </w:rPr>
        <w:t xml:space="preserve">The new exception applies </w:t>
      </w:r>
      <w:r w:rsidR="00015109">
        <w:rPr>
          <w:rFonts w:ascii="Times New Roman" w:hAnsi="Times New Roman" w:cs="Times New Roman"/>
          <w:sz w:val="24"/>
          <w:szCs w:val="24"/>
        </w:rPr>
        <w:t>if the service used to make the call is an exempt satellite service.</w:t>
      </w:r>
    </w:p>
    <w:p w:rsidR="00015109" w:rsidRDefault="00015109" w:rsidP="00067DBA">
      <w:pPr>
        <w:pStyle w:val="NoSpacing"/>
        <w:rPr>
          <w:rFonts w:ascii="Times New Roman" w:hAnsi="Times New Roman" w:cs="Times New Roman"/>
          <w:sz w:val="24"/>
          <w:szCs w:val="24"/>
        </w:rPr>
      </w:pPr>
    </w:p>
    <w:p w:rsidR="00015109" w:rsidRPr="00F95B8C" w:rsidRDefault="00015109" w:rsidP="00015109">
      <w:pPr>
        <w:pStyle w:val="NoSpacing"/>
        <w:rPr>
          <w:rFonts w:ascii="Times New Roman" w:hAnsi="Times New Roman" w:cs="Times New Roman"/>
          <w:sz w:val="24"/>
          <w:szCs w:val="24"/>
        </w:rPr>
      </w:pPr>
      <w:r>
        <w:rPr>
          <w:rFonts w:ascii="Times New Roman" w:hAnsi="Times New Roman" w:cs="Times New Roman"/>
          <w:b/>
          <w:sz w:val="24"/>
          <w:szCs w:val="24"/>
        </w:rPr>
        <w:t>Item 7</w:t>
      </w:r>
    </w:p>
    <w:p w:rsidR="00015109" w:rsidRDefault="00015109" w:rsidP="00015109">
      <w:pPr>
        <w:pStyle w:val="NoSpacing"/>
        <w:rPr>
          <w:rFonts w:ascii="Times New Roman" w:hAnsi="Times New Roman" w:cs="Times New Roman"/>
          <w:b/>
          <w:sz w:val="24"/>
          <w:szCs w:val="24"/>
        </w:rPr>
      </w:pPr>
    </w:p>
    <w:p w:rsidR="00015109" w:rsidRDefault="00015109" w:rsidP="00015109">
      <w:pPr>
        <w:pStyle w:val="NoSpacing"/>
        <w:rPr>
          <w:rFonts w:ascii="Times New Roman" w:hAnsi="Times New Roman" w:cs="Times New Roman"/>
          <w:sz w:val="24"/>
          <w:szCs w:val="24"/>
        </w:rPr>
      </w:pPr>
      <w:r>
        <w:rPr>
          <w:rFonts w:ascii="Times New Roman" w:hAnsi="Times New Roman" w:cs="Times New Roman"/>
          <w:sz w:val="24"/>
          <w:szCs w:val="24"/>
        </w:rPr>
        <w:t>Item 7 changes th</w:t>
      </w:r>
      <w:r w:rsidR="00124309">
        <w:rPr>
          <w:rFonts w:ascii="Times New Roman" w:hAnsi="Times New Roman" w:cs="Times New Roman"/>
          <w:sz w:val="24"/>
          <w:szCs w:val="24"/>
        </w:rPr>
        <w:t xml:space="preserve">e heading </w:t>
      </w:r>
      <w:r w:rsidR="00647284">
        <w:rPr>
          <w:rFonts w:ascii="Times New Roman" w:hAnsi="Times New Roman" w:cs="Times New Roman"/>
          <w:sz w:val="24"/>
          <w:szCs w:val="24"/>
        </w:rPr>
        <w:t xml:space="preserve">to </w:t>
      </w:r>
      <w:r w:rsidR="00124309">
        <w:rPr>
          <w:rFonts w:ascii="Times New Roman" w:hAnsi="Times New Roman" w:cs="Times New Roman"/>
          <w:sz w:val="24"/>
          <w:szCs w:val="24"/>
        </w:rPr>
        <w:t xml:space="preserve">section 22 to </w:t>
      </w:r>
      <w:r w:rsidR="004C5FC8">
        <w:rPr>
          <w:rFonts w:ascii="Times New Roman" w:hAnsi="Times New Roman" w:cs="Times New Roman"/>
          <w:sz w:val="24"/>
          <w:szCs w:val="24"/>
        </w:rPr>
        <w:t xml:space="preserve">reflect the amendments made to section 22 by item 8 below. </w:t>
      </w:r>
    </w:p>
    <w:p w:rsidR="00124309" w:rsidRDefault="00124309" w:rsidP="00015109">
      <w:pPr>
        <w:pStyle w:val="NoSpacing"/>
        <w:rPr>
          <w:rFonts w:ascii="Times New Roman" w:hAnsi="Times New Roman" w:cs="Times New Roman"/>
          <w:sz w:val="24"/>
          <w:szCs w:val="24"/>
        </w:rPr>
      </w:pPr>
    </w:p>
    <w:p w:rsidR="00124309" w:rsidRPr="00F95B8C" w:rsidRDefault="00124309" w:rsidP="00124309">
      <w:pPr>
        <w:pStyle w:val="NoSpacing"/>
        <w:rPr>
          <w:rFonts w:ascii="Times New Roman" w:hAnsi="Times New Roman" w:cs="Times New Roman"/>
          <w:sz w:val="24"/>
          <w:szCs w:val="24"/>
        </w:rPr>
      </w:pPr>
      <w:r>
        <w:rPr>
          <w:rFonts w:ascii="Times New Roman" w:hAnsi="Times New Roman" w:cs="Times New Roman"/>
          <w:b/>
          <w:sz w:val="24"/>
          <w:szCs w:val="24"/>
        </w:rPr>
        <w:t>Item 8</w:t>
      </w:r>
    </w:p>
    <w:p w:rsidR="00124309" w:rsidRDefault="00124309" w:rsidP="00124309">
      <w:pPr>
        <w:pStyle w:val="NoSpacing"/>
        <w:rPr>
          <w:rFonts w:ascii="Times New Roman" w:hAnsi="Times New Roman" w:cs="Times New Roman"/>
          <w:b/>
          <w:sz w:val="24"/>
          <w:szCs w:val="24"/>
        </w:rPr>
      </w:pPr>
    </w:p>
    <w:p w:rsidR="00124309" w:rsidRDefault="00A50E06" w:rsidP="00124309">
      <w:pPr>
        <w:pStyle w:val="NoSpacing"/>
        <w:rPr>
          <w:rFonts w:ascii="Times New Roman" w:hAnsi="Times New Roman" w:cs="Times New Roman"/>
          <w:sz w:val="24"/>
          <w:szCs w:val="24"/>
        </w:rPr>
      </w:pPr>
      <w:r>
        <w:rPr>
          <w:rFonts w:ascii="Times New Roman" w:hAnsi="Times New Roman" w:cs="Times New Roman"/>
          <w:sz w:val="24"/>
          <w:szCs w:val="24"/>
        </w:rPr>
        <w:t xml:space="preserve">Item 8 amends section 22 so that </w:t>
      </w:r>
      <w:r w:rsidR="007C5969">
        <w:rPr>
          <w:rFonts w:ascii="Times New Roman" w:hAnsi="Times New Roman" w:cs="Times New Roman"/>
          <w:sz w:val="24"/>
          <w:szCs w:val="24"/>
        </w:rPr>
        <w:t>CSPs are required to carry an emergency call made using a satellite service unless the service is an exempt satellite service.</w:t>
      </w:r>
    </w:p>
    <w:p w:rsidR="00A50E06" w:rsidRDefault="00A50E06" w:rsidP="00124309">
      <w:pPr>
        <w:pStyle w:val="NoSpacing"/>
        <w:rPr>
          <w:rFonts w:ascii="Times New Roman" w:hAnsi="Times New Roman" w:cs="Times New Roman"/>
          <w:sz w:val="24"/>
          <w:szCs w:val="24"/>
        </w:rPr>
      </w:pPr>
    </w:p>
    <w:p w:rsidR="00A50E06" w:rsidRPr="00F95B8C" w:rsidRDefault="00A50E06" w:rsidP="00A50E06">
      <w:pPr>
        <w:pStyle w:val="NoSpacing"/>
        <w:rPr>
          <w:rFonts w:ascii="Times New Roman" w:hAnsi="Times New Roman" w:cs="Times New Roman"/>
          <w:sz w:val="24"/>
          <w:szCs w:val="24"/>
        </w:rPr>
      </w:pPr>
      <w:r>
        <w:rPr>
          <w:rFonts w:ascii="Times New Roman" w:hAnsi="Times New Roman" w:cs="Times New Roman"/>
          <w:b/>
          <w:sz w:val="24"/>
          <w:szCs w:val="24"/>
        </w:rPr>
        <w:t>Item 9</w:t>
      </w:r>
    </w:p>
    <w:p w:rsidR="00A50E06" w:rsidRDefault="00A50E06" w:rsidP="00A50E06">
      <w:pPr>
        <w:pStyle w:val="NoSpacing"/>
        <w:rPr>
          <w:rFonts w:ascii="Times New Roman" w:hAnsi="Times New Roman" w:cs="Times New Roman"/>
          <w:b/>
          <w:sz w:val="24"/>
          <w:szCs w:val="24"/>
        </w:rPr>
      </w:pPr>
    </w:p>
    <w:p w:rsidR="005F0FCA" w:rsidRPr="00FF59A0" w:rsidRDefault="00A50E06" w:rsidP="009C15C6">
      <w:pPr>
        <w:pStyle w:val="NoSpacing"/>
        <w:rPr>
          <w:rFonts w:ascii="Times New Roman" w:hAnsi="Times New Roman" w:cs="Times New Roman"/>
          <w:sz w:val="24"/>
          <w:szCs w:val="24"/>
        </w:rPr>
      </w:pPr>
      <w:r>
        <w:rPr>
          <w:rFonts w:ascii="Times New Roman" w:hAnsi="Times New Roman" w:cs="Times New Roman"/>
          <w:sz w:val="24"/>
          <w:szCs w:val="24"/>
        </w:rPr>
        <w:t>Item 9 omits section</w:t>
      </w:r>
      <w:r w:rsidR="009C15C6">
        <w:rPr>
          <w:rFonts w:ascii="Times New Roman" w:hAnsi="Times New Roman" w:cs="Times New Roman"/>
          <w:sz w:val="24"/>
          <w:szCs w:val="24"/>
        </w:rPr>
        <w:t xml:space="preserve"> 23 </w:t>
      </w:r>
      <w:r w:rsidR="00F244AA">
        <w:rPr>
          <w:rFonts w:ascii="Times New Roman" w:hAnsi="Times New Roman" w:cs="Times New Roman"/>
          <w:sz w:val="24"/>
          <w:szCs w:val="24"/>
        </w:rPr>
        <w:t xml:space="preserve">because, </w:t>
      </w:r>
      <w:r w:rsidR="009C15C6">
        <w:rPr>
          <w:rFonts w:ascii="Times New Roman" w:hAnsi="Times New Roman" w:cs="Times New Roman"/>
          <w:sz w:val="24"/>
          <w:szCs w:val="24"/>
        </w:rPr>
        <w:t>as</w:t>
      </w:r>
      <w:r w:rsidR="00F244AA">
        <w:rPr>
          <w:rFonts w:ascii="Times New Roman" w:hAnsi="Times New Roman" w:cs="Times New Roman"/>
          <w:sz w:val="24"/>
          <w:szCs w:val="24"/>
        </w:rPr>
        <w:t xml:space="preserve"> a result of</w:t>
      </w:r>
      <w:r w:rsidR="009C15C6">
        <w:rPr>
          <w:rFonts w:ascii="Times New Roman" w:hAnsi="Times New Roman" w:cs="Times New Roman"/>
          <w:sz w:val="24"/>
          <w:szCs w:val="24"/>
        </w:rPr>
        <w:t xml:space="preserve"> the amendments </w:t>
      </w:r>
      <w:r w:rsidR="00F244AA">
        <w:rPr>
          <w:rFonts w:ascii="Times New Roman" w:hAnsi="Times New Roman" w:cs="Times New Roman"/>
          <w:sz w:val="24"/>
          <w:szCs w:val="24"/>
        </w:rPr>
        <w:t xml:space="preserve">made by item 8 above, </w:t>
      </w:r>
      <w:r w:rsidR="009C15C6">
        <w:rPr>
          <w:rFonts w:ascii="Times New Roman" w:hAnsi="Times New Roman" w:cs="Times New Roman"/>
          <w:sz w:val="24"/>
          <w:szCs w:val="24"/>
        </w:rPr>
        <w:t xml:space="preserve"> section 22 </w:t>
      </w:r>
      <w:r w:rsidR="00F244AA">
        <w:rPr>
          <w:rFonts w:ascii="Times New Roman" w:hAnsi="Times New Roman" w:cs="Times New Roman"/>
          <w:sz w:val="24"/>
          <w:szCs w:val="24"/>
        </w:rPr>
        <w:t xml:space="preserve">now deals with satellite services, thereby making </w:t>
      </w:r>
      <w:r w:rsidR="009C15C6">
        <w:rPr>
          <w:rFonts w:ascii="Times New Roman" w:hAnsi="Times New Roman" w:cs="Times New Roman"/>
          <w:sz w:val="24"/>
          <w:szCs w:val="24"/>
        </w:rPr>
        <w:t>section</w:t>
      </w:r>
      <w:r w:rsidR="00F244AA">
        <w:rPr>
          <w:rFonts w:ascii="Times New Roman" w:hAnsi="Times New Roman" w:cs="Times New Roman"/>
          <w:sz w:val="24"/>
          <w:szCs w:val="24"/>
        </w:rPr>
        <w:t xml:space="preserve"> 23</w:t>
      </w:r>
      <w:r w:rsidR="009C15C6">
        <w:rPr>
          <w:rFonts w:ascii="Times New Roman" w:hAnsi="Times New Roman" w:cs="Times New Roman"/>
          <w:sz w:val="24"/>
          <w:szCs w:val="24"/>
        </w:rPr>
        <w:t xml:space="preserve"> superfluous.</w:t>
      </w:r>
    </w:p>
    <w:p w:rsidR="005F0FCA" w:rsidRDefault="005F0FCA" w:rsidP="009C15C6">
      <w:pPr>
        <w:pStyle w:val="NoSpacing"/>
        <w:rPr>
          <w:rFonts w:ascii="Times New Roman" w:hAnsi="Times New Roman" w:cs="Times New Roman"/>
          <w:b/>
          <w:sz w:val="24"/>
          <w:szCs w:val="24"/>
        </w:rPr>
      </w:pPr>
    </w:p>
    <w:p w:rsidR="009C15C6" w:rsidRPr="00F95B8C" w:rsidRDefault="009C15C6" w:rsidP="009C15C6">
      <w:pPr>
        <w:pStyle w:val="NoSpacing"/>
        <w:rPr>
          <w:rFonts w:ascii="Times New Roman" w:hAnsi="Times New Roman" w:cs="Times New Roman"/>
          <w:sz w:val="24"/>
          <w:szCs w:val="24"/>
        </w:rPr>
      </w:pPr>
      <w:r>
        <w:rPr>
          <w:rFonts w:ascii="Times New Roman" w:hAnsi="Times New Roman" w:cs="Times New Roman"/>
          <w:b/>
          <w:sz w:val="24"/>
          <w:szCs w:val="24"/>
        </w:rPr>
        <w:t>Item 10</w:t>
      </w:r>
    </w:p>
    <w:p w:rsidR="009C15C6" w:rsidRDefault="009C15C6" w:rsidP="009C15C6">
      <w:pPr>
        <w:pStyle w:val="NoSpacing"/>
        <w:rPr>
          <w:rFonts w:ascii="Times New Roman" w:hAnsi="Times New Roman" w:cs="Times New Roman"/>
          <w:b/>
          <w:sz w:val="24"/>
          <w:szCs w:val="24"/>
        </w:rPr>
      </w:pPr>
    </w:p>
    <w:p w:rsidR="009C15C6" w:rsidRDefault="009C15C6" w:rsidP="009C15C6">
      <w:pPr>
        <w:pStyle w:val="NoSpacing"/>
        <w:rPr>
          <w:rFonts w:ascii="Times New Roman" w:hAnsi="Times New Roman" w:cs="Times New Roman"/>
          <w:sz w:val="24"/>
          <w:szCs w:val="24"/>
        </w:rPr>
      </w:pPr>
      <w:r>
        <w:rPr>
          <w:rFonts w:ascii="Times New Roman" w:hAnsi="Times New Roman" w:cs="Times New Roman"/>
          <w:sz w:val="24"/>
          <w:szCs w:val="24"/>
        </w:rPr>
        <w:t xml:space="preserve">Item 10 corrects </w:t>
      </w:r>
      <w:r w:rsidR="00E36AEE">
        <w:rPr>
          <w:rFonts w:ascii="Times New Roman" w:hAnsi="Times New Roman" w:cs="Times New Roman"/>
          <w:sz w:val="24"/>
          <w:szCs w:val="24"/>
        </w:rPr>
        <w:t xml:space="preserve">a typographical error in </w:t>
      </w:r>
      <w:r>
        <w:rPr>
          <w:rFonts w:ascii="Times New Roman" w:hAnsi="Times New Roman" w:cs="Times New Roman"/>
          <w:sz w:val="24"/>
          <w:szCs w:val="24"/>
        </w:rPr>
        <w:t xml:space="preserve">subsection 49(4) by removing </w:t>
      </w:r>
      <w:r w:rsidR="00E36AEE">
        <w:rPr>
          <w:rFonts w:ascii="Times New Roman" w:hAnsi="Times New Roman" w:cs="Times New Roman"/>
          <w:sz w:val="24"/>
          <w:szCs w:val="24"/>
        </w:rPr>
        <w:t xml:space="preserve">a </w:t>
      </w:r>
      <w:r>
        <w:rPr>
          <w:rFonts w:ascii="Times New Roman" w:hAnsi="Times New Roman" w:cs="Times New Roman"/>
          <w:sz w:val="24"/>
          <w:szCs w:val="24"/>
        </w:rPr>
        <w:t xml:space="preserve">reference to </w:t>
      </w:r>
      <w:r w:rsidR="00E36AEE">
        <w:rPr>
          <w:rFonts w:ascii="Times New Roman" w:hAnsi="Times New Roman" w:cs="Times New Roman"/>
          <w:sz w:val="24"/>
          <w:szCs w:val="24"/>
        </w:rPr>
        <w:t>the emergency service number</w:t>
      </w:r>
      <w:r w:rsidR="00DD79B8">
        <w:rPr>
          <w:rFonts w:ascii="Times New Roman" w:hAnsi="Times New Roman" w:cs="Times New Roman"/>
          <w:sz w:val="24"/>
          <w:szCs w:val="24"/>
        </w:rPr>
        <w:t xml:space="preserve"> </w:t>
      </w:r>
      <w:r w:rsidR="00361182">
        <w:rPr>
          <w:rFonts w:ascii="Times New Roman" w:hAnsi="Times New Roman" w:cs="Times New Roman"/>
          <w:sz w:val="24"/>
          <w:szCs w:val="24"/>
        </w:rPr>
        <w:t xml:space="preserve">112. </w:t>
      </w:r>
      <w:r>
        <w:rPr>
          <w:rFonts w:ascii="Times New Roman" w:hAnsi="Times New Roman" w:cs="Times New Roman"/>
          <w:sz w:val="24"/>
          <w:szCs w:val="24"/>
        </w:rPr>
        <w:t>A call to 112 cannot be made from a fixed local service.</w:t>
      </w:r>
    </w:p>
    <w:p w:rsidR="003F4E7F" w:rsidRDefault="003F4E7F" w:rsidP="009C15C6">
      <w:pPr>
        <w:pStyle w:val="NoSpacing"/>
        <w:rPr>
          <w:rFonts w:ascii="Times New Roman" w:hAnsi="Times New Roman" w:cs="Times New Roman"/>
          <w:b/>
          <w:sz w:val="24"/>
          <w:szCs w:val="24"/>
        </w:rPr>
      </w:pPr>
    </w:p>
    <w:p w:rsidR="009C15C6" w:rsidRPr="00F95B8C" w:rsidRDefault="009C15C6" w:rsidP="009C15C6">
      <w:pPr>
        <w:pStyle w:val="NoSpacing"/>
        <w:rPr>
          <w:rFonts w:ascii="Times New Roman" w:hAnsi="Times New Roman" w:cs="Times New Roman"/>
          <w:sz w:val="24"/>
          <w:szCs w:val="24"/>
        </w:rPr>
      </w:pPr>
      <w:r>
        <w:rPr>
          <w:rFonts w:ascii="Times New Roman" w:hAnsi="Times New Roman" w:cs="Times New Roman"/>
          <w:b/>
          <w:sz w:val="24"/>
          <w:szCs w:val="24"/>
        </w:rPr>
        <w:t>Item 11</w:t>
      </w:r>
    </w:p>
    <w:p w:rsidR="009C15C6" w:rsidRDefault="009C15C6" w:rsidP="009C15C6">
      <w:pPr>
        <w:pStyle w:val="NoSpacing"/>
        <w:rPr>
          <w:rFonts w:ascii="Times New Roman" w:hAnsi="Times New Roman" w:cs="Times New Roman"/>
          <w:b/>
          <w:sz w:val="24"/>
          <w:szCs w:val="24"/>
        </w:rPr>
      </w:pPr>
    </w:p>
    <w:p w:rsidR="009C15C6" w:rsidRDefault="009C15C6" w:rsidP="009C15C6">
      <w:pPr>
        <w:pStyle w:val="NoSpacing"/>
        <w:rPr>
          <w:rFonts w:ascii="Times New Roman" w:hAnsi="Times New Roman" w:cs="Times New Roman"/>
          <w:sz w:val="24"/>
          <w:szCs w:val="24"/>
        </w:rPr>
      </w:pPr>
      <w:r>
        <w:rPr>
          <w:rFonts w:ascii="Times New Roman" w:hAnsi="Times New Roman" w:cs="Times New Roman"/>
          <w:sz w:val="24"/>
          <w:szCs w:val="24"/>
        </w:rPr>
        <w:t xml:space="preserve">Item 11 </w:t>
      </w:r>
      <w:r w:rsidR="00E2193B">
        <w:rPr>
          <w:rFonts w:ascii="Times New Roman" w:hAnsi="Times New Roman" w:cs="Times New Roman"/>
          <w:sz w:val="24"/>
          <w:szCs w:val="24"/>
        </w:rPr>
        <w:t>corrects a typographical error in the</w:t>
      </w:r>
      <w:r w:rsidR="0085597D">
        <w:rPr>
          <w:rFonts w:ascii="Times New Roman" w:hAnsi="Times New Roman" w:cs="Times New Roman"/>
          <w:sz w:val="24"/>
          <w:szCs w:val="24"/>
        </w:rPr>
        <w:t xml:space="preserve"> heading</w:t>
      </w:r>
      <w:r w:rsidR="00E2193B">
        <w:rPr>
          <w:rFonts w:ascii="Times New Roman" w:hAnsi="Times New Roman" w:cs="Times New Roman"/>
          <w:sz w:val="24"/>
          <w:szCs w:val="24"/>
        </w:rPr>
        <w:t xml:space="preserve"> to section 52A</w:t>
      </w:r>
      <w:r w:rsidR="0085597D">
        <w:rPr>
          <w:rFonts w:ascii="Times New Roman" w:hAnsi="Times New Roman" w:cs="Times New Roman"/>
          <w:sz w:val="24"/>
          <w:szCs w:val="24"/>
        </w:rPr>
        <w:t>.</w:t>
      </w:r>
    </w:p>
    <w:p w:rsidR="0085597D" w:rsidRDefault="0085597D" w:rsidP="009C15C6">
      <w:pPr>
        <w:pStyle w:val="NoSpacing"/>
        <w:rPr>
          <w:rFonts w:ascii="Times New Roman" w:hAnsi="Times New Roman" w:cs="Times New Roman"/>
          <w:sz w:val="24"/>
          <w:szCs w:val="24"/>
        </w:rPr>
      </w:pPr>
    </w:p>
    <w:p w:rsidR="0085597D" w:rsidRPr="00F95B8C" w:rsidRDefault="0085597D" w:rsidP="0085597D">
      <w:pPr>
        <w:pStyle w:val="NoSpacing"/>
        <w:rPr>
          <w:rFonts w:ascii="Times New Roman" w:hAnsi="Times New Roman" w:cs="Times New Roman"/>
          <w:sz w:val="24"/>
          <w:szCs w:val="24"/>
        </w:rPr>
      </w:pPr>
      <w:r>
        <w:rPr>
          <w:rFonts w:ascii="Times New Roman" w:hAnsi="Times New Roman" w:cs="Times New Roman"/>
          <w:b/>
          <w:sz w:val="24"/>
          <w:szCs w:val="24"/>
        </w:rPr>
        <w:t>Item 12</w:t>
      </w:r>
    </w:p>
    <w:p w:rsidR="0085597D" w:rsidRDefault="0085597D" w:rsidP="0085597D">
      <w:pPr>
        <w:pStyle w:val="NoSpacing"/>
        <w:rPr>
          <w:rFonts w:ascii="Times New Roman" w:hAnsi="Times New Roman" w:cs="Times New Roman"/>
          <w:b/>
          <w:sz w:val="24"/>
          <w:szCs w:val="24"/>
        </w:rPr>
      </w:pPr>
    </w:p>
    <w:p w:rsidR="0061213C" w:rsidRDefault="0085597D" w:rsidP="0085597D">
      <w:pPr>
        <w:pStyle w:val="NoSpacing"/>
        <w:rPr>
          <w:rFonts w:ascii="Times New Roman" w:hAnsi="Times New Roman" w:cs="Times New Roman"/>
          <w:sz w:val="24"/>
          <w:szCs w:val="24"/>
        </w:rPr>
      </w:pPr>
      <w:r>
        <w:rPr>
          <w:rFonts w:ascii="Times New Roman" w:hAnsi="Times New Roman" w:cs="Times New Roman"/>
          <w:sz w:val="24"/>
          <w:szCs w:val="24"/>
        </w:rPr>
        <w:t xml:space="preserve">Item 12 </w:t>
      </w:r>
      <w:r w:rsidR="00C111E9">
        <w:rPr>
          <w:rFonts w:ascii="Times New Roman" w:hAnsi="Times New Roman" w:cs="Times New Roman"/>
          <w:sz w:val="24"/>
          <w:szCs w:val="24"/>
        </w:rPr>
        <w:t xml:space="preserve">inserts </w:t>
      </w:r>
      <w:r w:rsidR="00F107C9">
        <w:rPr>
          <w:rFonts w:ascii="Times New Roman" w:hAnsi="Times New Roman" w:cs="Times New Roman"/>
          <w:sz w:val="24"/>
          <w:szCs w:val="24"/>
        </w:rPr>
        <w:t xml:space="preserve">a new Schedule </w:t>
      </w:r>
      <w:r w:rsidR="0061213C">
        <w:rPr>
          <w:rFonts w:ascii="Times New Roman" w:hAnsi="Times New Roman" w:cs="Times New Roman"/>
          <w:sz w:val="24"/>
          <w:szCs w:val="24"/>
        </w:rPr>
        <w:t xml:space="preserve">1 </w:t>
      </w:r>
      <w:r w:rsidR="00C111E9">
        <w:rPr>
          <w:rFonts w:ascii="Times New Roman" w:hAnsi="Times New Roman" w:cs="Times New Roman"/>
          <w:sz w:val="24"/>
          <w:szCs w:val="24"/>
        </w:rPr>
        <w:t xml:space="preserve">in the ECS Determination </w:t>
      </w:r>
      <w:r w:rsidR="00F107C9">
        <w:rPr>
          <w:rFonts w:ascii="Times New Roman" w:hAnsi="Times New Roman" w:cs="Times New Roman"/>
          <w:sz w:val="24"/>
          <w:szCs w:val="24"/>
        </w:rPr>
        <w:t xml:space="preserve">that </w:t>
      </w:r>
      <w:r w:rsidR="0061213C">
        <w:rPr>
          <w:rFonts w:ascii="Times New Roman" w:hAnsi="Times New Roman" w:cs="Times New Roman"/>
          <w:sz w:val="24"/>
          <w:szCs w:val="24"/>
        </w:rPr>
        <w:t>specifies</w:t>
      </w:r>
      <w:r w:rsidR="00F107C9">
        <w:rPr>
          <w:rFonts w:ascii="Times New Roman" w:hAnsi="Times New Roman" w:cs="Times New Roman"/>
          <w:sz w:val="24"/>
          <w:szCs w:val="24"/>
        </w:rPr>
        <w:t xml:space="preserve"> satellite services</w:t>
      </w:r>
      <w:r w:rsidR="0061213C">
        <w:rPr>
          <w:rFonts w:ascii="Times New Roman" w:hAnsi="Times New Roman" w:cs="Times New Roman"/>
          <w:sz w:val="24"/>
          <w:szCs w:val="24"/>
        </w:rPr>
        <w:t xml:space="preserve"> for the purposes of paragraph (b) </w:t>
      </w:r>
      <w:r w:rsidR="00C111E9">
        <w:rPr>
          <w:rFonts w:ascii="Times New Roman" w:hAnsi="Times New Roman" w:cs="Times New Roman"/>
          <w:sz w:val="24"/>
          <w:szCs w:val="24"/>
        </w:rPr>
        <w:t>of</w:t>
      </w:r>
      <w:r w:rsidR="0061213C">
        <w:rPr>
          <w:rFonts w:ascii="Times New Roman" w:hAnsi="Times New Roman" w:cs="Times New Roman"/>
          <w:sz w:val="24"/>
          <w:szCs w:val="24"/>
        </w:rPr>
        <w:t xml:space="preserve"> the new definition of “exempt satellite services” in the Dictionary</w:t>
      </w:r>
      <w:r w:rsidR="00F107C9">
        <w:rPr>
          <w:rFonts w:ascii="Times New Roman" w:hAnsi="Times New Roman" w:cs="Times New Roman"/>
          <w:sz w:val="24"/>
          <w:szCs w:val="24"/>
        </w:rPr>
        <w:t xml:space="preserve">.    </w:t>
      </w:r>
    </w:p>
    <w:p w:rsidR="009C39DC" w:rsidRDefault="009C39DC" w:rsidP="0085597D">
      <w:pPr>
        <w:pStyle w:val="NoSpacing"/>
        <w:rPr>
          <w:rFonts w:ascii="Times New Roman" w:hAnsi="Times New Roman" w:cs="Times New Roman"/>
          <w:sz w:val="24"/>
          <w:szCs w:val="24"/>
        </w:rPr>
      </w:pPr>
    </w:p>
    <w:p w:rsidR="0061213C" w:rsidRDefault="0061213C" w:rsidP="0085597D">
      <w:pPr>
        <w:pStyle w:val="NoSpacing"/>
        <w:rPr>
          <w:rFonts w:ascii="Times New Roman" w:hAnsi="Times New Roman" w:cs="Times New Roman"/>
          <w:sz w:val="24"/>
          <w:szCs w:val="24"/>
        </w:rPr>
      </w:pPr>
      <w:r>
        <w:rPr>
          <w:rFonts w:ascii="Times New Roman" w:hAnsi="Times New Roman" w:cs="Times New Roman"/>
          <w:sz w:val="24"/>
          <w:szCs w:val="24"/>
        </w:rPr>
        <w:t xml:space="preserve">Only one kind of satellite service is specified in </w:t>
      </w:r>
      <w:r w:rsidR="00F107C9">
        <w:rPr>
          <w:rFonts w:ascii="Times New Roman" w:hAnsi="Times New Roman" w:cs="Times New Roman"/>
          <w:sz w:val="24"/>
          <w:szCs w:val="24"/>
        </w:rPr>
        <w:t>Schedule 1</w:t>
      </w:r>
      <w:r>
        <w:rPr>
          <w:rFonts w:ascii="Times New Roman" w:hAnsi="Times New Roman" w:cs="Times New Roman"/>
          <w:sz w:val="24"/>
          <w:szCs w:val="24"/>
        </w:rPr>
        <w:t>, namely</w:t>
      </w:r>
      <w:r w:rsidR="00F107C9">
        <w:rPr>
          <w:rFonts w:ascii="Times New Roman" w:hAnsi="Times New Roman" w:cs="Times New Roman"/>
          <w:sz w:val="24"/>
          <w:szCs w:val="24"/>
        </w:rPr>
        <w:t xml:space="preserve"> </w:t>
      </w:r>
      <w:r>
        <w:rPr>
          <w:rFonts w:ascii="Times New Roman" w:hAnsi="Times New Roman" w:cs="Times New Roman"/>
          <w:sz w:val="24"/>
          <w:szCs w:val="24"/>
        </w:rPr>
        <w:t xml:space="preserve">a </w:t>
      </w:r>
      <w:r w:rsidR="00F107C9">
        <w:rPr>
          <w:rFonts w:ascii="Times New Roman" w:hAnsi="Times New Roman" w:cs="Times New Roman"/>
          <w:sz w:val="24"/>
          <w:szCs w:val="24"/>
        </w:rPr>
        <w:t xml:space="preserve">satellite service supplied by </w:t>
      </w:r>
      <w:r w:rsidR="00C111E9">
        <w:rPr>
          <w:rFonts w:ascii="Times New Roman" w:hAnsi="Times New Roman" w:cs="Times New Roman"/>
          <w:sz w:val="24"/>
          <w:szCs w:val="24"/>
        </w:rPr>
        <w:t xml:space="preserve">means of </w:t>
      </w:r>
      <w:r w:rsidR="00361182">
        <w:rPr>
          <w:rFonts w:ascii="Times New Roman" w:hAnsi="Times New Roman" w:cs="Times New Roman"/>
          <w:sz w:val="24"/>
          <w:szCs w:val="24"/>
        </w:rPr>
        <w:t xml:space="preserve">Inmarsat satellites. </w:t>
      </w:r>
      <w:r>
        <w:rPr>
          <w:rFonts w:ascii="Times New Roman" w:hAnsi="Times New Roman" w:cs="Times New Roman"/>
          <w:sz w:val="24"/>
          <w:szCs w:val="24"/>
        </w:rPr>
        <w:t xml:space="preserve">(The reasons for specifying this kind of service in Schedule are elaborated on page </w:t>
      </w:r>
      <w:r w:rsidR="000F201D">
        <w:rPr>
          <w:rFonts w:ascii="Times New Roman" w:hAnsi="Times New Roman" w:cs="Times New Roman"/>
          <w:sz w:val="24"/>
          <w:szCs w:val="24"/>
        </w:rPr>
        <w:t>3</w:t>
      </w:r>
      <w:r>
        <w:rPr>
          <w:rFonts w:ascii="Times New Roman" w:hAnsi="Times New Roman" w:cs="Times New Roman"/>
          <w:sz w:val="24"/>
          <w:szCs w:val="24"/>
        </w:rPr>
        <w:t xml:space="preserve"> o</w:t>
      </w:r>
      <w:r w:rsidR="00361182">
        <w:rPr>
          <w:rFonts w:ascii="Times New Roman" w:hAnsi="Times New Roman" w:cs="Times New Roman"/>
          <w:sz w:val="24"/>
          <w:szCs w:val="24"/>
        </w:rPr>
        <w:t xml:space="preserve">f this Explanatory Statement.) </w:t>
      </w:r>
      <w:r>
        <w:rPr>
          <w:rFonts w:ascii="Times New Roman" w:hAnsi="Times New Roman" w:cs="Times New Roman"/>
          <w:sz w:val="24"/>
          <w:szCs w:val="24"/>
        </w:rPr>
        <w:t xml:space="preserve">This does not, however, mean that every satellite service supplied by </w:t>
      </w:r>
      <w:r w:rsidR="00C111E9">
        <w:rPr>
          <w:rFonts w:ascii="Times New Roman" w:hAnsi="Times New Roman" w:cs="Times New Roman"/>
          <w:sz w:val="24"/>
          <w:szCs w:val="24"/>
        </w:rPr>
        <w:t xml:space="preserve">means of </w:t>
      </w:r>
      <w:r>
        <w:rPr>
          <w:rFonts w:ascii="Times New Roman" w:hAnsi="Times New Roman" w:cs="Times New Roman"/>
          <w:sz w:val="24"/>
          <w:szCs w:val="24"/>
        </w:rPr>
        <w:t>an Inmarsat satellite will be ex</w:t>
      </w:r>
      <w:r w:rsidR="00361182">
        <w:rPr>
          <w:rFonts w:ascii="Times New Roman" w:hAnsi="Times New Roman" w:cs="Times New Roman"/>
          <w:sz w:val="24"/>
          <w:szCs w:val="24"/>
        </w:rPr>
        <w:t xml:space="preserve">empt from the ECS requirement. </w:t>
      </w:r>
      <w:r>
        <w:rPr>
          <w:rFonts w:ascii="Times New Roman" w:hAnsi="Times New Roman" w:cs="Times New Roman"/>
          <w:sz w:val="24"/>
          <w:szCs w:val="24"/>
        </w:rPr>
        <w:t xml:space="preserve">Only those </w:t>
      </w:r>
      <w:r w:rsidR="00C111E9">
        <w:rPr>
          <w:rFonts w:ascii="Times New Roman" w:hAnsi="Times New Roman" w:cs="Times New Roman"/>
          <w:sz w:val="24"/>
          <w:szCs w:val="24"/>
        </w:rPr>
        <w:t xml:space="preserve">Inmarsat </w:t>
      </w:r>
      <w:r>
        <w:rPr>
          <w:rFonts w:ascii="Times New Roman" w:hAnsi="Times New Roman" w:cs="Times New Roman"/>
          <w:sz w:val="24"/>
          <w:szCs w:val="24"/>
        </w:rPr>
        <w:t>satellites services that are supplied to a “non-handheld satellite device”, as defined in the Dictionary, and not supplied in fulfilment of the universal service obligation will fall within the definition of “exempt satellite service” and thereby be exempt from the ECS requirements.</w:t>
      </w:r>
    </w:p>
    <w:p w:rsidR="0085597D" w:rsidRDefault="0085597D" w:rsidP="0085597D">
      <w:pPr>
        <w:pStyle w:val="NoSpacing"/>
        <w:rPr>
          <w:rFonts w:ascii="Times New Roman" w:hAnsi="Times New Roman" w:cs="Times New Roman"/>
          <w:sz w:val="24"/>
          <w:szCs w:val="24"/>
        </w:rPr>
      </w:pPr>
    </w:p>
    <w:p w:rsidR="0085597D" w:rsidRPr="00F95B8C" w:rsidRDefault="0085597D" w:rsidP="0085597D">
      <w:pPr>
        <w:pStyle w:val="NoSpacing"/>
        <w:rPr>
          <w:rFonts w:ascii="Times New Roman" w:hAnsi="Times New Roman" w:cs="Times New Roman"/>
          <w:sz w:val="24"/>
          <w:szCs w:val="24"/>
        </w:rPr>
      </w:pPr>
      <w:r>
        <w:rPr>
          <w:rFonts w:ascii="Times New Roman" w:hAnsi="Times New Roman" w:cs="Times New Roman"/>
          <w:b/>
          <w:sz w:val="24"/>
          <w:szCs w:val="24"/>
        </w:rPr>
        <w:t>Item 13</w:t>
      </w:r>
    </w:p>
    <w:p w:rsidR="0085597D" w:rsidRDefault="0085597D" w:rsidP="0085597D">
      <w:pPr>
        <w:pStyle w:val="NoSpacing"/>
        <w:rPr>
          <w:rFonts w:ascii="Times New Roman" w:hAnsi="Times New Roman" w:cs="Times New Roman"/>
          <w:b/>
          <w:sz w:val="24"/>
          <w:szCs w:val="24"/>
        </w:rPr>
      </w:pPr>
    </w:p>
    <w:p w:rsidR="0085597D" w:rsidRDefault="0085597D" w:rsidP="0085597D">
      <w:pPr>
        <w:pStyle w:val="NoSpacing"/>
        <w:rPr>
          <w:rFonts w:ascii="Times New Roman" w:hAnsi="Times New Roman" w:cs="Times New Roman"/>
          <w:sz w:val="24"/>
          <w:szCs w:val="24"/>
        </w:rPr>
      </w:pPr>
      <w:r>
        <w:rPr>
          <w:rFonts w:ascii="Times New Roman" w:hAnsi="Times New Roman" w:cs="Times New Roman"/>
          <w:sz w:val="24"/>
          <w:szCs w:val="24"/>
        </w:rPr>
        <w:t xml:space="preserve">Item 13 removes the definition of </w:t>
      </w:r>
      <w:r w:rsidRPr="0085597D">
        <w:rPr>
          <w:rFonts w:ascii="Times New Roman" w:hAnsi="Times New Roman" w:cs="Times New Roman"/>
          <w:i/>
          <w:sz w:val="24"/>
          <w:szCs w:val="24"/>
        </w:rPr>
        <w:t>Australian-based terrestrial network</w:t>
      </w:r>
      <w:r>
        <w:rPr>
          <w:rFonts w:ascii="Times New Roman" w:hAnsi="Times New Roman" w:cs="Times New Roman"/>
          <w:sz w:val="24"/>
          <w:szCs w:val="24"/>
        </w:rPr>
        <w:t xml:space="preserve"> from the Dictionary</w:t>
      </w:r>
      <w:r w:rsidR="00707C38">
        <w:rPr>
          <w:rFonts w:ascii="Times New Roman" w:hAnsi="Times New Roman" w:cs="Times New Roman"/>
          <w:sz w:val="24"/>
          <w:szCs w:val="24"/>
        </w:rPr>
        <w:t xml:space="preserve"> as this term will no longer appear in the ECS Determination</w:t>
      </w:r>
      <w:r>
        <w:rPr>
          <w:rFonts w:ascii="Times New Roman" w:hAnsi="Times New Roman" w:cs="Times New Roman"/>
          <w:sz w:val="24"/>
          <w:szCs w:val="24"/>
        </w:rPr>
        <w:t>.</w:t>
      </w:r>
    </w:p>
    <w:p w:rsidR="0085597D" w:rsidRDefault="0085597D" w:rsidP="0085597D">
      <w:pPr>
        <w:pStyle w:val="NoSpacing"/>
        <w:rPr>
          <w:rFonts w:ascii="Times New Roman" w:hAnsi="Times New Roman" w:cs="Times New Roman"/>
          <w:sz w:val="24"/>
          <w:szCs w:val="24"/>
        </w:rPr>
      </w:pPr>
    </w:p>
    <w:p w:rsidR="0085597D" w:rsidRPr="00F95B8C" w:rsidRDefault="0085597D" w:rsidP="0085597D">
      <w:pPr>
        <w:pStyle w:val="NoSpacing"/>
        <w:rPr>
          <w:rFonts w:ascii="Times New Roman" w:hAnsi="Times New Roman" w:cs="Times New Roman"/>
          <w:sz w:val="24"/>
          <w:szCs w:val="24"/>
        </w:rPr>
      </w:pPr>
      <w:r>
        <w:rPr>
          <w:rFonts w:ascii="Times New Roman" w:hAnsi="Times New Roman" w:cs="Times New Roman"/>
          <w:b/>
          <w:sz w:val="24"/>
          <w:szCs w:val="24"/>
        </w:rPr>
        <w:t>Item 14</w:t>
      </w:r>
    </w:p>
    <w:p w:rsidR="0085597D" w:rsidRDefault="0085597D" w:rsidP="0085597D">
      <w:pPr>
        <w:pStyle w:val="NoSpacing"/>
        <w:rPr>
          <w:rFonts w:ascii="Times New Roman" w:hAnsi="Times New Roman" w:cs="Times New Roman"/>
          <w:b/>
          <w:sz w:val="24"/>
          <w:szCs w:val="24"/>
        </w:rPr>
      </w:pPr>
    </w:p>
    <w:p w:rsidR="0085597D" w:rsidRDefault="0085597D" w:rsidP="0085597D">
      <w:pPr>
        <w:pStyle w:val="NoSpacing"/>
        <w:rPr>
          <w:rFonts w:ascii="Times New Roman" w:hAnsi="Times New Roman" w:cs="Times New Roman"/>
          <w:sz w:val="24"/>
          <w:szCs w:val="24"/>
        </w:rPr>
      </w:pPr>
      <w:r>
        <w:rPr>
          <w:rFonts w:ascii="Times New Roman" w:hAnsi="Times New Roman" w:cs="Times New Roman"/>
          <w:sz w:val="24"/>
          <w:szCs w:val="24"/>
        </w:rPr>
        <w:t xml:space="preserve">Item 14 inserts the definition of </w:t>
      </w:r>
      <w:r w:rsidRPr="0085597D">
        <w:rPr>
          <w:rFonts w:ascii="Times New Roman" w:hAnsi="Times New Roman" w:cs="Times New Roman"/>
          <w:i/>
          <w:sz w:val="24"/>
          <w:szCs w:val="24"/>
        </w:rPr>
        <w:t>exempt satellite service</w:t>
      </w:r>
      <w:r>
        <w:rPr>
          <w:rFonts w:ascii="Times New Roman" w:hAnsi="Times New Roman" w:cs="Times New Roman"/>
          <w:sz w:val="24"/>
          <w:szCs w:val="24"/>
        </w:rPr>
        <w:t xml:space="preserve"> in the Dictionary.</w:t>
      </w:r>
      <w:r w:rsidR="00361182">
        <w:rPr>
          <w:rFonts w:ascii="Times New Roman" w:hAnsi="Times New Roman" w:cs="Times New Roman"/>
          <w:sz w:val="24"/>
          <w:szCs w:val="24"/>
        </w:rPr>
        <w:t xml:space="preserve"> </w:t>
      </w:r>
      <w:r w:rsidR="00D0181C">
        <w:rPr>
          <w:rFonts w:ascii="Times New Roman" w:hAnsi="Times New Roman" w:cs="Times New Roman"/>
          <w:sz w:val="24"/>
          <w:szCs w:val="24"/>
        </w:rPr>
        <w:t>All three</w:t>
      </w:r>
      <w:r w:rsidR="000541E2">
        <w:rPr>
          <w:rFonts w:ascii="Times New Roman" w:hAnsi="Times New Roman" w:cs="Times New Roman"/>
          <w:sz w:val="24"/>
          <w:szCs w:val="24"/>
        </w:rPr>
        <w:t xml:space="preserve"> of the</w:t>
      </w:r>
      <w:r w:rsidR="00D0181C">
        <w:rPr>
          <w:rFonts w:ascii="Times New Roman" w:hAnsi="Times New Roman" w:cs="Times New Roman"/>
          <w:sz w:val="24"/>
          <w:szCs w:val="24"/>
        </w:rPr>
        <w:t xml:space="preserve"> listed requirements must be met </w:t>
      </w:r>
      <w:r w:rsidR="000B7426">
        <w:rPr>
          <w:rFonts w:ascii="Times New Roman" w:hAnsi="Times New Roman" w:cs="Times New Roman"/>
          <w:sz w:val="24"/>
          <w:szCs w:val="24"/>
        </w:rPr>
        <w:t xml:space="preserve">in order </w:t>
      </w:r>
      <w:r w:rsidR="00D0181C">
        <w:rPr>
          <w:rFonts w:ascii="Times New Roman" w:hAnsi="Times New Roman" w:cs="Times New Roman"/>
          <w:sz w:val="24"/>
          <w:szCs w:val="24"/>
        </w:rPr>
        <w:t xml:space="preserve">for a satellite service to be exempt from </w:t>
      </w:r>
      <w:r w:rsidR="000541E2">
        <w:rPr>
          <w:rFonts w:ascii="Times New Roman" w:hAnsi="Times New Roman" w:cs="Times New Roman"/>
          <w:sz w:val="24"/>
          <w:szCs w:val="24"/>
        </w:rPr>
        <w:t xml:space="preserve">the </w:t>
      </w:r>
      <w:r w:rsidR="000B7426">
        <w:rPr>
          <w:rFonts w:ascii="Times New Roman" w:hAnsi="Times New Roman" w:cs="Times New Roman"/>
          <w:sz w:val="24"/>
          <w:szCs w:val="24"/>
        </w:rPr>
        <w:t>ECS requirements</w:t>
      </w:r>
      <w:r w:rsidR="00D0181C">
        <w:rPr>
          <w:rFonts w:ascii="Times New Roman" w:hAnsi="Times New Roman" w:cs="Times New Roman"/>
          <w:sz w:val="24"/>
          <w:szCs w:val="24"/>
        </w:rPr>
        <w:t>.</w:t>
      </w:r>
      <w:r w:rsidR="00361182">
        <w:rPr>
          <w:rFonts w:ascii="Times New Roman" w:hAnsi="Times New Roman" w:cs="Times New Roman"/>
          <w:sz w:val="24"/>
          <w:szCs w:val="24"/>
        </w:rPr>
        <w:t xml:space="preserve"> </w:t>
      </w:r>
      <w:r w:rsidR="000B7426">
        <w:rPr>
          <w:rFonts w:ascii="Times New Roman" w:hAnsi="Times New Roman" w:cs="Times New Roman"/>
          <w:sz w:val="24"/>
          <w:szCs w:val="24"/>
        </w:rPr>
        <w:t>The purpose</w:t>
      </w:r>
      <w:r w:rsidR="00DE7E8F">
        <w:rPr>
          <w:rFonts w:ascii="Times New Roman" w:hAnsi="Times New Roman" w:cs="Times New Roman"/>
          <w:sz w:val="24"/>
          <w:szCs w:val="24"/>
        </w:rPr>
        <w:t>s</w:t>
      </w:r>
      <w:r w:rsidR="000B7426">
        <w:rPr>
          <w:rFonts w:ascii="Times New Roman" w:hAnsi="Times New Roman" w:cs="Times New Roman"/>
          <w:sz w:val="24"/>
          <w:szCs w:val="24"/>
        </w:rPr>
        <w:t xml:space="preserve"> behind the requirements in paragraphs (a) and (b) are explained in this Explanatory Statement under items 15 and 12 res</w:t>
      </w:r>
      <w:r w:rsidR="00361182">
        <w:rPr>
          <w:rFonts w:ascii="Times New Roman" w:hAnsi="Times New Roman" w:cs="Times New Roman"/>
          <w:sz w:val="24"/>
          <w:szCs w:val="24"/>
        </w:rPr>
        <w:t xml:space="preserve">pectively. </w:t>
      </w:r>
      <w:r w:rsidR="000B7426">
        <w:rPr>
          <w:rFonts w:ascii="Times New Roman" w:hAnsi="Times New Roman" w:cs="Times New Roman"/>
          <w:sz w:val="24"/>
          <w:szCs w:val="24"/>
        </w:rPr>
        <w:t xml:space="preserve">The purpose behind the requirement in paragraph (c) is to ensure that ECS access </w:t>
      </w:r>
      <w:r w:rsidR="00E14B28">
        <w:rPr>
          <w:rFonts w:ascii="Times New Roman" w:hAnsi="Times New Roman" w:cs="Times New Roman"/>
          <w:sz w:val="24"/>
          <w:szCs w:val="24"/>
        </w:rPr>
        <w:t>would</w:t>
      </w:r>
      <w:r w:rsidR="000B7426">
        <w:rPr>
          <w:rFonts w:ascii="Times New Roman" w:hAnsi="Times New Roman" w:cs="Times New Roman"/>
          <w:sz w:val="24"/>
          <w:szCs w:val="24"/>
        </w:rPr>
        <w:t xml:space="preserve"> be available if a satellite phone service were to</w:t>
      </w:r>
      <w:r w:rsidR="00E14B28">
        <w:rPr>
          <w:rFonts w:ascii="Times New Roman" w:hAnsi="Times New Roman" w:cs="Times New Roman"/>
          <w:sz w:val="24"/>
          <w:szCs w:val="24"/>
        </w:rPr>
        <w:t xml:space="preserve"> </w:t>
      </w:r>
      <w:r w:rsidR="000B7426">
        <w:rPr>
          <w:rFonts w:ascii="Times New Roman" w:hAnsi="Times New Roman" w:cs="Times New Roman"/>
          <w:sz w:val="24"/>
          <w:szCs w:val="24"/>
        </w:rPr>
        <w:t>be supplied utilising an Inmarsat satellite</w:t>
      </w:r>
      <w:r w:rsidR="00C716FB">
        <w:rPr>
          <w:rFonts w:ascii="Times New Roman" w:hAnsi="Times New Roman" w:cs="Times New Roman"/>
          <w:sz w:val="24"/>
          <w:szCs w:val="24"/>
        </w:rPr>
        <w:t xml:space="preserve"> (or any other satellite service that may in the future be specified in Schedule 1)</w:t>
      </w:r>
      <w:r w:rsidR="000B7426">
        <w:rPr>
          <w:rFonts w:ascii="Times New Roman" w:hAnsi="Times New Roman" w:cs="Times New Roman"/>
          <w:sz w:val="24"/>
          <w:szCs w:val="24"/>
        </w:rPr>
        <w:t xml:space="preserve"> in fulfilment of the universal service obligation.</w:t>
      </w:r>
      <w:r w:rsidR="00361182">
        <w:rPr>
          <w:rFonts w:ascii="Times New Roman" w:hAnsi="Times New Roman" w:cs="Times New Roman"/>
          <w:sz w:val="24"/>
          <w:szCs w:val="24"/>
        </w:rPr>
        <w:t xml:space="preserve"> </w:t>
      </w:r>
      <w:r w:rsidR="006D2D17">
        <w:rPr>
          <w:rFonts w:ascii="Times New Roman" w:hAnsi="Times New Roman" w:cs="Times New Roman"/>
          <w:sz w:val="24"/>
          <w:szCs w:val="24"/>
        </w:rPr>
        <w:t xml:space="preserve">That is, a satellite phone service supplied in the fulfilment of the universal service obligation must provide ECS access.   </w:t>
      </w:r>
    </w:p>
    <w:p w:rsidR="0085597D" w:rsidRDefault="0085597D" w:rsidP="0085597D">
      <w:pPr>
        <w:pStyle w:val="NoSpacing"/>
        <w:rPr>
          <w:rFonts w:ascii="Times New Roman" w:hAnsi="Times New Roman" w:cs="Times New Roman"/>
          <w:sz w:val="24"/>
          <w:szCs w:val="24"/>
        </w:rPr>
      </w:pPr>
    </w:p>
    <w:p w:rsidR="0085597D" w:rsidRPr="00F95B8C" w:rsidRDefault="0085597D" w:rsidP="0085597D">
      <w:pPr>
        <w:pStyle w:val="NoSpacing"/>
        <w:rPr>
          <w:rFonts w:ascii="Times New Roman" w:hAnsi="Times New Roman" w:cs="Times New Roman"/>
          <w:sz w:val="24"/>
          <w:szCs w:val="24"/>
        </w:rPr>
      </w:pPr>
      <w:r>
        <w:rPr>
          <w:rFonts w:ascii="Times New Roman" w:hAnsi="Times New Roman" w:cs="Times New Roman"/>
          <w:b/>
          <w:sz w:val="24"/>
          <w:szCs w:val="24"/>
        </w:rPr>
        <w:t>Item 15</w:t>
      </w:r>
    </w:p>
    <w:p w:rsidR="0085597D" w:rsidRDefault="0085597D" w:rsidP="0085597D">
      <w:pPr>
        <w:pStyle w:val="NoSpacing"/>
        <w:rPr>
          <w:rFonts w:ascii="Times New Roman" w:hAnsi="Times New Roman" w:cs="Times New Roman"/>
          <w:b/>
          <w:sz w:val="24"/>
          <w:szCs w:val="24"/>
        </w:rPr>
      </w:pPr>
    </w:p>
    <w:p w:rsidR="0085597D" w:rsidRDefault="0085597D" w:rsidP="0085597D">
      <w:pPr>
        <w:pStyle w:val="NoSpacing"/>
        <w:rPr>
          <w:rFonts w:ascii="Times New Roman" w:hAnsi="Times New Roman" w:cs="Times New Roman"/>
          <w:sz w:val="24"/>
          <w:szCs w:val="24"/>
        </w:rPr>
      </w:pPr>
      <w:r>
        <w:rPr>
          <w:rFonts w:ascii="Times New Roman" w:hAnsi="Times New Roman" w:cs="Times New Roman"/>
          <w:sz w:val="24"/>
          <w:szCs w:val="24"/>
        </w:rPr>
        <w:t xml:space="preserve">Item 15 inserts the definition of </w:t>
      </w:r>
      <w:r w:rsidRPr="0085597D">
        <w:rPr>
          <w:rFonts w:ascii="Times New Roman" w:hAnsi="Times New Roman" w:cs="Times New Roman"/>
          <w:i/>
          <w:sz w:val="24"/>
          <w:szCs w:val="24"/>
        </w:rPr>
        <w:t>non-handheld satellite device</w:t>
      </w:r>
      <w:r>
        <w:rPr>
          <w:rFonts w:ascii="Times New Roman" w:hAnsi="Times New Roman" w:cs="Times New Roman"/>
          <w:sz w:val="24"/>
          <w:szCs w:val="24"/>
        </w:rPr>
        <w:t xml:space="preserve"> in the Dictionary.</w:t>
      </w:r>
      <w:r w:rsidR="00D0181C">
        <w:rPr>
          <w:rFonts w:ascii="Times New Roman" w:hAnsi="Times New Roman" w:cs="Times New Roman"/>
          <w:sz w:val="24"/>
          <w:szCs w:val="24"/>
        </w:rPr>
        <w:t xml:space="preserve"> </w:t>
      </w:r>
      <w:r w:rsidR="00AF5AE3">
        <w:rPr>
          <w:rFonts w:ascii="Times New Roman" w:hAnsi="Times New Roman" w:cs="Times New Roman"/>
          <w:sz w:val="24"/>
          <w:szCs w:val="24"/>
        </w:rPr>
        <w:t xml:space="preserve">Both of the listed requirements must be met in order for a satellite device </w:t>
      </w:r>
      <w:r w:rsidR="00110FD5">
        <w:rPr>
          <w:rFonts w:ascii="Times New Roman" w:hAnsi="Times New Roman" w:cs="Times New Roman"/>
          <w:sz w:val="24"/>
          <w:szCs w:val="24"/>
        </w:rPr>
        <w:t xml:space="preserve">to be considered non-handheld. </w:t>
      </w:r>
      <w:r w:rsidR="003F4E7F">
        <w:rPr>
          <w:rFonts w:ascii="Times New Roman" w:hAnsi="Times New Roman" w:cs="Times New Roman"/>
          <w:sz w:val="24"/>
          <w:szCs w:val="24"/>
        </w:rPr>
        <w:t xml:space="preserve"> </w:t>
      </w:r>
      <w:r w:rsidR="00A27CA1">
        <w:rPr>
          <w:rFonts w:ascii="Times New Roman" w:hAnsi="Times New Roman" w:cs="Times New Roman"/>
          <w:sz w:val="24"/>
          <w:szCs w:val="24"/>
        </w:rPr>
        <w:t xml:space="preserve">The requirement in paragraph (b) is that for </w:t>
      </w:r>
      <w:r w:rsidR="00D73217">
        <w:rPr>
          <w:rFonts w:ascii="Times New Roman" w:hAnsi="Times New Roman" w:cs="Times New Roman"/>
          <w:sz w:val="24"/>
          <w:szCs w:val="24"/>
        </w:rPr>
        <w:t>“</w:t>
      </w:r>
      <w:r w:rsidR="00A27CA1">
        <w:rPr>
          <w:rFonts w:ascii="Times New Roman" w:hAnsi="Times New Roman" w:cs="Times New Roman"/>
          <w:sz w:val="24"/>
          <w:szCs w:val="24"/>
        </w:rPr>
        <w:t>customer equipment</w:t>
      </w:r>
      <w:r w:rsidR="00D73217">
        <w:rPr>
          <w:rFonts w:ascii="Times New Roman" w:hAnsi="Times New Roman" w:cs="Times New Roman"/>
          <w:sz w:val="24"/>
          <w:szCs w:val="24"/>
        </w:rPr>
        <w:t>”</w:t>
      </w:r>
      <w:r w:rsidR="00A27CA1">
        <w:rPr>
          <w:rFonts w:ascii="Times New Roman" w:hAnsi="Times New Roman" w:cs="Times New Roman"/>
          <w:sz w:val="24"/>
          <w:szCs w:val="24"/>
        </w:rPr>
        <w:t xml:space="preserve"> to be considered </w:t>
      </w:r>
      <w:r w:rsidR="003F4E7F" w:rsidRPr="00A27CA1">
        <w:rPr>
          <w:rFonts w:ascii="Times New Roman" w:hAnsi="Times New Roman" w:cs="Times New Roman"/>
          <w:sz w:val="24"/>
          <w:szCs w:val="24"/>
        </w:rPr>
        <w:t>non-handheld</w:t>
      </w:r>
      <w:r w:rsidR="003F4E7F" w:rsidRPr="0085597D">
        <w:rPr>
          <w:rFonts w:ascii="Times New Roman" w:hAnsi="Times New Roman" w:cs="Times New Roman"/>
          <w:i/>
          <w:sz w:val="24"/>
          <w:szCs w:val="24"/>
        </w:rPr>
        <w:t xml:space="preserve"> </w:t>
      </w:r>
      <w:r w:rsidR="00A27CA1">
        <w:rPr>
          <w:rFonts w:ascii="Times New Roman" w:hAnsi="Times New Roman" w:cs="Times New Roman"/>
          <w:sz w:val="24"/>
          <w:szCs w:val="24"/>
        </w:rPr>
        <w:t>it must be capable of operating only when connected to other customer equipment, other than a SIM. The purpose behind this requirement is to ensure that the kind of satellite services that can be exempted from providing ECS access is limited to high-end niche satellite services</w:t>
      </w:r>
      <w:r w:rsidR="00D73217">
        <w:rPr>
          <w:rFonts w:ascii="Times New Roman" w:hAnsi="Times New Roman" w:cs="Times New Roman"/>
          <w:sz w:val="24"/>
          <w:szCs w:val="24"/>
        </w:rPr>
        <w:t xml:space="preserve"> not routinely used by the general public</w:t>
      </w:r>
      <w:r w:rsidR="00A27CA1">
        <w:rPr>
          <w:rFonts w:ascii="Times New Roman" w:hAnsi="Times New Roman" w:cs="Times New Roman"/>
          <w:sz w:val="24"/>
          <w:szCs w:val="24"/>
        </w:rPr>
        <w:t xml:space="preserve">, where there is likely to be little or no expectation of accessing the ECS. These satellite services are in contrast to conventional handheld satellite </w:t>
      </w:r>
      <w:r w:rsidR="00DE7E8F">
        <w:rPr>
          <w:rFonts w:ascii="Times New Roman" w:hAnsi="Times New Roman" w:cs="Times New Roman"/>
          <w:sz w:val="24"/>
          <w:szCs w:val="24"/>
        </w:rPr>
        <w:t xml:space="preserve">services </w:t>
      </w:r>
      <w:r w:rsidR="00A27CA1">
        <w:rPr>
          <w:rFonts w:ascii="Times New Roman" w:hAnsi="Times New Roman" w:cs="Times New Roman"/>
          <w:sz w:val="24"/>
          <w:szCs w:val="24"/>
        </w:rPr>
        <w:t xml:space="preserve">supplied to standalone devices akin to a mobile phone, where end-user expectation of ECS access is high and exemption from the requirement to provide ECS </w:t>
      </w:r>
      <w:r w:rsidR="0077604B">
        <w:rPr>
          <w:rFonts w:ascii="Times New Roman" w:hAnsi="Times New Roman" w:cs="Times New Roman"/>
          <w:sz w:val="24"/>
          <w:szCs w:val="24"/>
        </w:rPr>
        <w:t xml:space="preserve">access </w:t>
      </w:r>
      <w:r w:rsidR="00A27CA1">
        <w:rPr>
          <w:rFonts w:ascii="Times New Roman" w:hAnsi="Times New Roman" w:cs="Times New Roman"/>
          <w:sz w:val="24"/>
          <w:szCs w:val="24"/>
        </w:rPr>
        <w:t>is not appropriate.</w:t>
      </w:r>
      <w:r w:rsidR="00F562A7">
        <w:rPr>
          <w:rFonts w:ascii="Times New Roman" w:hAnsi="Times New Roman" w:cs="Times New Roman"/>
          <w:sz w:val="24"/>
          <w:szCs w:val="24"/>
        </w:rPr>
        <w:t xml:space="preserve"> </w:t>
      </w:r>
      <w:r w:rsidR="000B1914">
        <w:rPr>
          <w:rFonts w:ascii="Times New Roman" w:hAnsi="Times New Roman" w:cs="Times New Roman"/>
          <w:sz w:val="24"/>
          <w:szCs w:val="24"/>
        </w:rPr>
        <w:t>The</w:t>
      </w:r>
      <w:r w:rsidR="008119E8">
        <w:rPr>
          <w:rFonts w:ascii="Times New Roman" w:hAnsi="Times New Roman" w:cs="Times New Roman"/>
          <w:sz w:val="24"/>
          <w:szCs w:val="24"/>
        </w:rPr>
        <w:t xml:space="preserve"> </w:t>
      </w:r>
      <w:r w:rsidR="00D0181C">
        <w:rPr>
          <w:rFonts w:ascii="Times New Roman" w:hAnsi="Times New Roman" w:cs="Times New Roman"/>
          <w:sz w:val="24"/>
          <w:szCs w:val="24"/>
        </w:rPr>
        <w:t xml:space="preserve">term </w:t>
      </w:r>
      <w:r w:rsidR="000B1914">
        <w:rPr>
          <w:rFonts w:ascii="Times New Roman" w:hAnsi="Times New Roman" w:cs="Times New Roman"/>
          <w:sz w:val="24"/>
          <w:szCs w:val="24"/>
        </w:rPr>
        <w:t>“</w:t>
      </w:r>
      <w:r w:rsidR="00D0181C">
        <w:rPr>
          <w:rFonts w:ascii="Times New Roman" w:hAnsi="Times New Roman" w:cs="Times New Roman"/>
          <w:sz w:val="24"/>
          <w:szCs w:val="24"/>
        </w:rPr>
        <w:t>customer equipment</w:t>
      </w:r>
      <w:r w:rsidR="000B1914">
        <w:rPr>
          <w:rFonts w:ascii="Times New Roman" w:hAnsi="Times New Roman" w:cs="Times New Roman"/>
          <w:sz w:val="24"/>
          <w:szCs w:val="24"/>
        </w:rPr>
        <w:t>”</w:t>
      </w:r>
      <w:r w:rsidR="00D0181C">
        <w:rPr>
          <w:rFonts w:ascii="Times New Roman" w:hAnsi="Times New Roman" w:cs="Times New Roman"/>
          <w:sz w:val="24"/>
          <w:szCs w:val="24"/>
        </w:rPr>
        <w:t xml:space="preserve"> </w:t>
      </w:r>
      <w:r w:rsidR="000B1914">
        <w:rPr>
          <w:rFonts w:ascii="Times New Roman" w:hAnsi="Times New Roman" w:cs="Times New Roman"/>
          <w:sz w:val="24"/>
          <w:szCs w:val="24"/>
        </w:rPr>
        <w:t>has the meaning given by</w:t>
      </w:r>
      <w:r w:rsidR="00D0181C">
        <w:rPr>
          <w:rFonts w:ascii="Times New Roman" w:hAnsi="Times New Roman" w:cs="Times New Roman"/>
          <w:sz w:val="24"/>
          <w:szCs w:val="24"/>
        </w:rPr>
        <w:t xml:space="preserve"> section 21 of the</w:t>
      </w:r>
      <w:r w:rsidR="00D61E0A">
        <w:rPr>
          <w:rFonts w:ascii="Times New Roman" w:hAnsi="Times New Roman" w:cs="Times New Roman"/>
          <w:sz w:val="24"/>
          <w:szCs w:val="24"/>
        </w:rPr>
        <w:t xml:space="preserve"> </w:t>
      </w:r>
      <w:r w:rsidR="00D61E0A" w:rsidRPr="00D61E0A">
        <w:rPr>
          <w:rFonts w:ascii="Times New Roman" w:hAnsi="Times New Roman" w:cs="Times New Roman"/>
          <w:i/>
          <w:sz w:val="24"/>
          <w:szCs w:val="24"/>
        </w:rPr>
        <w:t>Telecommunications</w:t>
      </w:r>
      <w:r w:rsidR="00D0181C" w:rsidRPr="00D61E0A">
        <w:rPr>
          <w:rFonts w:ascii="Times New Roman" w:hAnsi="Times New Roman" w:cs="Times New Roman"/>
          <w:i/>
          <w:sz w:val="24"/>
          <w:szCs w:val="24"/>
        </w:rPr>
        <w:t xml:space="preserve"> Act</w:t>
      </w:r>
      <w:r w:rsidR="00D61E0A" w:rsidRPr="00D61E0A">
        <w:rPr>
          <w:rFonts w:ascii="Times New Roman" w:hAnsi="Times New Roman" w:cs="Times New Roman"/>
          <w:i/>
          <w:sz w:val="24"/>
          <w:szCs w:val="24"/>
        </w:rPr>
        <w:t xml:space="preserve"> 1997</w:t>
      </w:r>
      <w:r w:rsidR="00D0181C">
        <w:rPr>
          <w:rFonts w:ascii="Times New Roman" w:hAnsi="Times New Roman" w:cs="Times New Roman"/>
          <w:sz w:val="24"/>
          <w:szCs w:val="24"/>
        </w:rPr>
        <w:t>.</w:t>
      </w:r>
    </w:p>
    <w:p w:rsidR="00AE40EC" w:rsidRDefault="00AE40EC" w:rsidP="0085597D">
      <w:pPr>
        <w:pStyle w:val="NoSpacing"/>
        <w:rPr>
          <w:rFonts w:ascii="Times New Roman" w:hAnsi="Times New Roman" w:cs="Times New Roman"/>
          <w:b/>
          <w:sz w:val="24"/>
          <w:szCs w:val="24"/>
        </w:rPr>
      </w:pPr>
    </w:p>
    <w:p w:rsidR="0085597D" w:rsidRPr="00F95B8C" w:rsidRDefault="0085597D" w:rsidP="0085597D">
      <w:pPr>
        <w:pStyle w:val="NoSpacing"/>
        <w:rPr>
          <w:rFonts w:ascii="Times New Roman" w:hAnsi="Times New Roman" w:cs="Times New Roman"/>
          <w:sz w:val="24"/>
          <w:szCs w:val="24"/>
        </w:rPr>
      </w:pPr>
      <w:r>
        <w:rPr>
          <w:rFonts w:ascii="Times New Roman" w:hAnsi="Times New Roman" w:cs="Times New Roman"/>
          <w:b/>
          <w:sz w:val="24"/>
          <w:szCs w:val="24"/>
        </w:rPr>
        <w:t>Item 16</w:t>
      </w:r>
    </w:p>
    <w:p w:rsidR="0085597D" w:rsidRDefault="0085597D" w:rsidP="0085597D">
      <w:pPr>
        <w:pStyle w:val="NoSpacing"/>
        <w:rPr>
          <w:rFonts w:ascii="Times New Roman" w:hAnsi="Times New Roman" w:cs="Times New Roman"/>
          <w:b/>
          <w:sz w:val="24"/>
          <w:szCs w:val="24"/>
        </w:rPr>
      </w:pPr>
    </w:p>
    <w:p w:rsidR="0085597D" w:rsidRDefault="0085597D" w:rsidP="0085597D">
      <w:pPr>
        <w:pStyle w:val="NoSpacing"/>
        <w:rPr>
          <w:rFonts w:ascii="Times New Roman" w:hAnsi="Times New Roman" w:cs="Times New Roman"/>
          <w:sz w:val="24"/>
          <w:szCs w:val="24"/>
        </w:rPr>
      </w:pPr>
      <w:r>
        <w:rPr>
          <w:rFonts w:ascii="Times New Roman" w:hAnsi="Times New Roman" w:cs="Times New Roman"/>
          <w:sz w:val="24"/>
          <w:szCs w:val="24"/>
        </w:rPr>
        <w:t xml:space="preserve">Item 16 inserts the definition of </w:t>
      </w:r>
      <w:r w:rsidRPr="0085597D">
        <w:rPr>
          <w:rFonts w:ascii="Times New Roman" w:hAnsi="Times New Roman" w:cs="Times New Roman"/>
          <w:i/>
          <w:sz w:val="24"/>
          <w:szCs w:val="24"/>
        </w:rPr>
        <w:t>SIM</w:t>
      </w:r>
      <w:r>
        <w:rPr>
          <w:rFonts w:ascii="Times New Roman" w:hAnsi="Times New Roman" w:cs="Times New Roman"/>
          <w:sz w:val="24"/>
          <w:szCs w:val="24"/>
        </w:rPr>
        <w:t xml:space="preserve"> in the Dictionary</w:t>
      </w:r>
      <w:r w:rsidR="00F23A9F">
        <w:rPr>
          <w:rFonts w:ascii="Times New Roman" w:hAnsi="Times New Roman" w:cs="Times New Roman"/>
          <w:sz w:val="24"/>
          <w:szCs w:val="24"/>
        </w:rPr>
        <w:t>, which appears in the definition</w:t>
      </w:r>
      <w:r w:rsidR="0053678C">
        <w:rPr>
          <w:rFonts w:ascii="Times New Roman" w:hAnsi="Times New Roman" w:cs="Times New Roman"/>
          <w:sz w:val="24"/>
          <w:szCs w:val="24"/>
        </w:rPr>
        <w:t xml:space="preserve"> </w:t>
      </w:r>
      <w:r w:rsidR="00F23A9F">
        <w:rPr>
          <w:rFonts w:ascii="Times New Roman" w:hAnsi="Times New Roman" w:cs="Times New Roman"/>
          <w:sz w:val="24"/>
          <w:szCs w:val="24"/>
        </w:rPr>
        <w:t>of “non-handheld satellite device”</w:t>
      </w:r>
      <w:r w:rsidR="00DE7E8F">
        <w:rPr>
          <w:rFonts w:ascii="Times New Roman" w:hAnsi="Times New Roman" w:cs="Times New Roman"/>
          <w:sz w:val="24"/>
          <w:szCs w:val="24"/>
        </w:rPr>
        <w:t>.</w:t>
      </w:r>
      <w:r w:rsidR="00F23A9F">
        <w:rPr>
          <w:rFonts w:ascii="Times New Roman" w:hAnsi="Times New Roman" w:cs="Times New Roman"/>
          <w:sz w:val="24"/>
          <w:szCs w:val="24"/>
        </w:rPr>
        <w:t xml:space="preserve"> </w:t>
      </w:r>
    </w:p>
    <w:p w:rsidR="00067DBA" w:rsidRDefault="00067DBA" w:rsidP="00F95B8C">
      <w:pPr>
        <w:pStyle w:val="NoSpacing"/>
        <w:rPr>
          <w:rFonts w:ascii="Times New Roman" w:hAnsi="Times New Roman" w:cs="Times New Roman"/>
          <w:sz w:val="24"/>
          <w:szCs w:val="24"/>
        </w:rPr>
      </w:pPr>
    </w:p>
    <w:p w:rsidR="0085597D" w:rsidRPr="00F95B8C" w:rsidRDefault="0085597D" w:rsidP="0085597D">
      <w:pPr>
        <w:pStyle w:val="NoSpacing"/>
        <w:rPr>
          <w:rFonts w:ascii="Times New Roman" w:hAnsi="Times New Roman" w:cs="Times New Roman"/>
          <w:sz w:val="24"/>
          <w:szCs w:val="24"/>
        </w:rPr>
      </w:pPr>
      <w:r>
        <w:rPr>
          <w:rFonts w:ascii="Times New Roman" w:hAnsi="Times New Roman" w:cs="Times New Roman"/>
          <w:b/>
          <w:sz w:val="24"/>
          <w:szCs w:val="24"/>
        </w:rPr>
        <w:t>Item 17</w:t>
      </w:r>
    </w:p>
    <w:p w:rsidR="0085597D" w:rsidRDefault="0085597D" w:rsidP="0085597D">
      <w:pPr>
        <w:pStyle w:val="NoSpacing"/>
        <w:rPr>
          <w:rFonts w:ascii="Times New Roman" w:hAnsi="Times New Roman" w:cs="Times New Roman"/>
          <w:b/>
          <w:sz w:val="24"/>
          <w:szCs w:val="24"/>
        </w:rPr>
      </w:pPr>
    </w:p>
    <w:p w:rsidR="0085597D" w:rsidRDefault="0085597D" w:rsidP="0085597D">
      <w:pPr>
        <w:pStyle w:val="NoSpacing"/>
        <w:rPr>
          <w:rFonts w:ascii="Times New Roman" w:hAnsi="Times New Roman" w:cs="Times New Roman"/>
          <w:sz w:val="24"/>
          <w:szCs w:val="24"/>
        </w:rPr>
      </w:pPr>
      <w:r>
        <w:rPr>
          <w:rFonts w:ascii="Times New Roman" w:hAnsi="Times New Roman" w:cs="Times New Roman"/>
          <w:sz w:val="24"/>
          <w:szCs w:val="24"/>
        </w:rPr>
        <w:t xml:space="preserve">Item 17 </w:t>
      </w:r>
      <w:r w:rsidR="00E80EF3">
        <w:rPr>
          <w:rFonts w:ascii="Times New Roman" w:hAnsi="Times New Roman" w:cs="Times New Roman"/>
          <w:sz w:val="24"/>
          <w:szCs w:val="24"/>
        </w:rPr>
        <w:t>amends</w:t>
      </w:r>
      <w:r>
        <w:rPr>
          <w:rFonts w:ascii="Times New Roman" w:hAnsi="Times New Roman" w:cs="Times New Roman"/>
          <w:sz w:val="24"/>
          <w:szCs w:val="24"/>
        </w:rPr>
        <w:t xml:space="preserve"> the note </w:t>
      </w:r>
      <w:r w:rsidR="00E80EF3">
        <w:rPr>
          <w:rFonts w:ascii="Times New Roman" w:hAnsi="Times New Roman" w:cs="Times New Roman"/>
          <w:sz w:val="24"/>
          <w:szCs w:val="24"/>
        </w:rPr>
        <w:t xml:space="preserve">that appears at the end of </w:t>
      </w:r>
      <w:r>
        <w:rPr>
          <w:rFonts w:ascii="Times New Roman" w:hAnsi="Times New Roman" w:cs="Times New Roman"/>
          <w:sz w:val="24"/>
          <w:szCs w:val="24"/>
        </w:rPr>
        <w:t>the Dictionary</w:t>
      </w:r>
      <w:r w:rsidR="00656362">
        <w:rPr>
          <w:rFonts w:ascii="Times New Roman" w:hAnsi="Times New Roman" w:cs="Times New Roman"/>
          <w:sz w:val="24"/>
          <w:szCs w:val="24"/>
        </w:rPr>
        <w:t xml:space="preserve">, so that readers </w:t>
      </w:r>
      <w:r w:rsidR="00E80EF3">
        <w:rPr>
          <w:rFonts w:ascii="Times New Roman" w:hAnsi="Times New Roman" w:cs="Times New Roman"/>
          <w:sz w:val="24"/>
          <w:szCs w:val="24"/>
        </w:rPr>
        <w:t xml:space="preserve">are directed to the </w:t>
      </w:r>
      <w:r w:rsidR="00E80EF3" w:rsidRPr="00E80EF3">
        <w:rPr>
          <w:rFonts w:ascii="Times New Roman" w:hAnsi="Times New Roman" w:cs="Times New Roman"/>
          <w:i/>
          <w:sz w:val="24"/>
          <w:szCs w:val="24"/>
        </w:rPr>
        <w:t>Telecommunications Act 1997</w:t>
      </w:r>
      <w:r w:rsidR="00E80EF3">
        <w:rPr>
          <w:rFonts w:ascii="Times New Roman" w:hAnsi="Times New Roman" w:cs="Times New Roman"/>
          <w:sz w:val="24"/>
          <w:szCs w:val="24"/>
        </w:rPr>
        <w:t xml:space="preserve"> for a definition of the term “customer equipment”.</w:t>
      </w:r>
      <w:r w:rsidR="00656362">
        <w:rPr>
          <w:rFonts w:ascii="Times New Roman" w:hAnsi="Times New Roman" w:cs="Times New Roman"/>
          <w:sz w:val="24"/>
          <w:szCs w:val="24"/>
        </w:rPr>
        <w:t xml:space="preserve"> </w:t>
      </w:r>
    </w:p>
    <w:p w:rsidR="0085597D" w:rsidRDefault="0085597D" w:rsidP="00F95B8C">
      <w:pPr>
        <w:pStyle w:val="NoSpacing"/>
        <w:rPr>
          <w:rFonts w:ascii="Times New Roman" w:hAnsi="Times New Roman" w:cs="Times New Roman"/>
          <w:sz w:val="24"/>
          <w:szCs w:val="24"/>
        </w:rPr>
      </w:pPr>
    </w:p>
    <w:p w:rsidR="00557242" w:rsidRDefault="00557242">
      <w:pPr>
        <w:spacing w:after="200" w:line="276" w:lineRule="auto"/>
        <w:rPr>
          <w:rFonts w:eastAsiaTheme="minorHAnsi"/>
          <w:lang w:eastAsia="en-US"/>
        </w:rPr>
      </w:pPr>
      <w:r>
        <w:br w:type="page"/>
      </w:r>
    </w:p>
    <w:p w:rsidR="00796534" w:rsidRPr="00191C18" w:rsidRDefault="00796534" w:rsidP="00796534">
      <w:pPr>
        <w:ind w:left="7200"/>
        <w:rPr>
          <w:b/>
        </w:rPr>
      </w:pPr>
      <w:r w:rsidRPr="00191C18">
        <w:rPr>
          <w:b/>
        </w:rPr>
        <w:t xml:space="preserve">Attachment </w:t>
      </w:r>
      <w:r>
        <w:rPr>
          <w:b/>
        </w:rPr>
        <w:t>A</w:t>
      </w:r>
    </w:p>
    <w:p w:rsidR="00796534" w:rsidRPr="00191C18" w:rsidRDefault="00796534" w:rsidP="00796534"/>
    <w:p w:rsidR="00796534" w:rsidRDefault="00796534" w:rsidP="00796534">
      <w:pPr>
        <w:jc w:val="center"/>
        <w:rPr>
          <w:b/>
          <w:sz w:val="28"/>
          <w:szCs w:val="28"/>
        </w:rPr>
      </w:pPr>
    </w:p>
    <w:p w:rsidR="00DB5465" w:rsidRPr="00F6467C" w:rsidRDefault="00DB5465" w:rsidP="00DB5465">
      <w:pPr>
        <w:jc w:val="center"/>
        <w:rPr>
          <w:b/>
          <w:sz w:val="28"/>
          <w:szCs w:val="28"/>
        </w:rPr>
      </w:pPr>
      <w:r w:rsidRPr="00F6467C">
        <w:rPr>
          <w:b/>
          <w:sz w:val="28"/>
          <w:szCs w:val="28"/>
        </w:rPr>
        <w:t>Statement of Compatibility with Human Rights</w:t>
      </w:r>
      <w:r>
        <w:rPr>
          <w:b/>
          <w:sz w:val="28"/>
          <w:szCs w:val="28"/>
        </w:rPr>
        <w:t xml:space="preserve"> </w:t>
      </w:r>
    </w:p>
    <w:p w:rsidR="00DB5465" w:rsidRPr="00F21540" w:rsidRDefault="00DB5465" w:rsidP="00DB5465">
      <w:pPr>
        <w:spacing w:before="120" w:after="120"/>
        <w:jc w:val="center"/>
        <w:rPr>
          <w:i/>
        </w:rPr>
      </w:pPr>
      <w:r w:rsidRPr="00F21540">
        <w:t xml:space="preserve">Prepared in accordance with Part 3 of the </w:t>
      </w:r>
      <w:r w:rsidRPr="00F21540">
        <w:rPr>
          <w:i/>
        </w:rPr>
        <w:t>Human Rights (Parliamentary Scrutiny) Act 2011</w:t>
      </w:r>
    </w:p>
    <w:p w:rsidR="00DB5465" w:rsidRPr="0066349C" w:rsidRDefault="00DB5465" w:rsidP="00DB5465">
      <w:pPr>
        <w:spacing w:before="120" w:after="120"/>
        <w:jc w:val="center"/>
        <w:rPr>
          <w:rFonts w:ascii="Arial" w:hAnsi="Arial" w:cs="Arial"/>
          <w:sz w:val="14"/>
        </w:rPr>
      </w:pPr>
    </w:p>
    <w:p w:rsidR="00DB5465" w:rsidRPr="00F6467C" w:rsidRDefault="00DB5465" w:rsidP="00DB5465">
      <w:pPr>
        <w:pStyle w:val="NoSpacing"/>
        <w:jc w:val="center"/>
        <w:rPr>
          <w:rFonts w:ascii="Times New Roman" w:hAnsi="Times New Roman" w:cs="Times New Roman"/>
          <w:i/>
          <w:sz w:val="28"/>
          <w:szCs w:val="28"/>
        </w:rPr>
      </w:pPr>
      <w:r w:rsidRPr="00F6467C">
        <w:rPr>
          <w:rFonts w:ascii="Times New Roman" w:hAnsi="Times New Roman" w:cs="Times New Roman"/>
          <w:b/>
          <w:i/>
          <w:sz w:val="28"/>
          <w:szCs w:val="28"/>
        </w:rPr>
        <w:t>Telecommunications (Emergency Call S</w:t>
      </w:r>
      <w:r>
        <w:rPr>
          <w:rFonts w:ascii="Times New Roman" w:hAnsi="Times New Roman" w:cs="Times New Roman"/>
          <w:b/>
          <w:i/>
          <w:sz w:val="28"/>
          <w:szCs w:val="28"/>
        </w:rPr>
        <w:t>ervice) Amendment Determination </w:t>
      </w:r>
      <w:r w:rsidRPr="00F6467C">
        <w:rPr>
          <w:rFonts w:ascii="Times New Roman" w:hAnsi="Times New Roman" w:cs="Times New Roman"/>
          <w:b/>
          <w:i/>
          <w:sz w:val="28"/>
          <w:szCs w:val="28"/>
        </w:rPr>
        <w:t>2013</w:t>
      </w:r>
    </w:p>
    <w:p w:rsidR="00DB5465" w:rsidRDefault="00DB5465" w:rsidP="00DB5465">
      <w:pPr>
        <w:spacing w:before="120" w:after="120"/>
        <w:rPr>
          <w:szCs w:val="20"/>
        </w:rPr>
      </w:pPr>
    </w:p>
    <w:p w:rsidR="00DB5465" w:rsidRPr="00F21540" w:rsidRDefault="00DB5465" w:rsidP="00DB5465">
      <w:pPr>
        <w:spacing w:before="120" w:after="120"/>
        <w:rPr>
          <w:szCs w:val="20"/>
        </w:rPr>
      </w:pPr>
      <w:r>
        <w:rPr>
          <w:szCs w:val="20"/>
        </w:rPr>
        <w:t xml:space="preserve">The </w:t>
      </w:r>
      <w:r w:rsidRPr="00110F31">
        <w:rPr>
          <w:i/>
          <w:szCs w:val="20"/>
        </w:rPr>
        <w:t>Telecommunications (Emergency Call Service) Amendment Determination 2013</w:t>
      </w:r>
      <w:r>
        <w:rPr>
          <w:szCs w:val="20"/>
        </w:rPr>
        <w:t xml:space="preserve"> (the </w:t>
      </w:r>
      <w:r w:rsidRPr="00110F31">
        <w:rPr>
          <w:b/>
          <w:szCs w:val="20"/>
        </w:rPr>
        <w:t>Amendment Determination</w:t>
      </w:r>
      <w:r>
        <w:rPr>
          <w:szCs w:val="20"/>
        </w:rPr>
        <w:t>)</w:t>
      </w:r>
      <w:r w:rsidRPr="00F21540">
        <w:rPr>
          <w:szCs w:val="20"/>
        </w:rPr>
        <w:t xml:space="preserve"> is compatible with the human rights and freedoms recognised or declared in the international instruments listed in section 3 of the </w:t>
      </w:r>
      <w:r w:rsidRPr="00F21540">
        <w:rPr>
          <w:i/>
          <w:szCs w:val="20"/>
        </w:rPr>
        <w:t>Human Rights (Parliamentary Scrutiny) Act 2011.</w:t>
      </w:r>
    </w:p>
    <w:p w:rsidR="00DB5465" w:rsidRPr="00BF03C1" w:rsidRDefault="00DB5465" w:rsidP="00DB5465">
      <w:pPr>
        <w:spacing w:before="240" w:after="120"/>
        <w:jc w:val="both"/>
        <w:rPr>
          <w:b/>
        </w:rPr>
      </w:pPr>
      <w:r w:rsidRPr="00BF03C1">
        <w:rPr>
          <w:b/>
        </w:rPr>
        <w:t>Overview of the Amendment Determination</w:t>
      </w:r>
    </w:p>
    <w:p w:rsidR="00DB5465" w:rsidRDefault="00DB5465" w:rsidP="00DB5465">
      <w:pPr>
        <w:pStyle w:val="NoSpacing"/>
        <w:rPr>
          <w:rFonts w:ascii="Times New Roman" w:hAnsi="Times New Roman" w:cs="Times New Roman"/>
          <w:sz w:val="24"/>
          <w:szCs w:val="24"/>
        </w:rPr>
      </w:pPr>
      <w:r>
        <w:rPr>
          <w:rFonts w:ascii="Times New Roman" w:hAnsi="Times New Roman" w:cs="Times New Roman"/>
          <w:sz w:val="24"/>
          <w:szCs w:val="24"/>
        </w:rPr>
        <w:t xml:space="preserve">The Amendment Determination </w:t>
      </w:r>
      <w:r w:rsidRPr="00765464">
        <w:rPr>
          <w:rFonts w:ascii="Times New Roman" w:hAnsi="Times New Roman" w:cs="Times New Roman"/>
          <w:sz w:val="24"/>
          <w:szCs w:val="24"/>
        </w:rPr>
        <w:t xml:space="preserve">amends the </w:t>
      </w:r>
      <w:r w:rsidRPr="00765464">
        <w:rPr>
          <w:rFonts w:ascii="Times New Roman" w:hAnsi="Times New Roman" w:cs="Times New Roman"/>
          <w:i/>
          <w:sz w:val="24"/>
          <w:szCs w:val="24"/>
        </w:rPr>
        <w:t>Telecommunications (Emergency Call Service) Determination 2009</w:t>
      </w:r>
      <w:r>
        <w:rPr>
          <w:rFonts w:ascii="Times New Roman" w:hAnsi="Times New Roman" w:cs="Times New Roman"/>
          <w:i/>
          <w:sz w:val="24"/>
          <w:szCs w:val="24"/>
        </w:rPr>
        <w:t xml:space="preserve"> </w:t>
      </w:r>
      <w:r w:rsidRPr="00C64E83">
        <w:rPr>
          <w:rFonts w:ascii="Times New Roman" w:hAnsi="Times New Roman" w:cs="Times New Roman"/>
          <w:sz w:val="24"/>
          <w:szCs w:val="24"/>
        </w:rPr>
        <w:t xml:space="preserve">(the </w:t>
      </w:r>
      <w:r w:rsidRPr="003B158B">
        <w:rPr>
          <w:rFonts w:ascii="Times New Roman" w:hAnsi="Times New Roman" w:cs="Times New Roman"/>
          <w:b/>
          <w:sz w:val="24"/>
          <w:szCs w:val="24"/>
        </w:rPr>
        <w:t>ECS Determination</w:t>
      </w:r>
      <w:r w:rsidRPr="00C64E83">
        <w:rPr>
          <w:rFonts w:ascii="Times New Roman" w:hAnsi="Times New Roman" w:cs="Times New Roman"/>
          <w:sz w:val="24"/>
          <w:szCs w:val="24"/>
        </w:rPr>
        <w:t>)</w:t>
      </w:r>
      <w:r>
        <w:rPr>
          <w:rFonts w:ascii="Times New Roman" w:hAnsi="Times New Roman" w:cs="Times New Roman"/>
          <w:sz w:val="24"/>
          <w:szCs w:val="24"/>
        </w:rPr>
        <w:t xml:space="preserve">, which is made under subsection 147(1) of the </w:t>
      </w:r>
      <w:r w:rsidRPr="003B158B">
        <w:rPr>
          <w:rFonts w:ascii="Times New Roman" w:hAnsi="Times New Roman" w:cs="Times New Roman"/>
          <w:i/>
          <w:sz w:val="24"/>
          <w:szCs w:val="24"/>
        </w:rPr>
        <w:t>Telecommunications (Consumer Protection and Service Standards) Act 1999</w:t>
      </w:r>
      <w:r>
        <w:rPr>
          <w:rFonts w:ascii="Times New Roman" w:hAnsi="Times New Roman" w:cs="Times New Roman"/>
          <w:i/>
          <w:sz w:val="24"/>
          <w:szCs w:val="24"/>
        </w:rPr>
        <w:t xml:space="preserve"> </w:t>
      </w:r>
      <w:r>
        <w:rPr>
          <w:rFonts w:ascii="Times New Roman" w:hAnsi="Times New Roman" w:cs="Times New Roman"/>
          <w:sz w:val="24"/>
          <w:szCs w:val="24"/>
        </w:rPr>
        <w:t xml:space="preserve">(the </w:t>
      </w:r>
      <w:r w:rsidRPr="00405433">
        <w:rPr>
          <w:rFonts w:ascii="Times New Roman" w:hAnsi="Times New Roman" w:cs="Times New Roman"/>
          <w:b/>
          <w:sz w:val="24"/>
          <w:szCs w:val="24"/>
        </w:rPr>
        <w:t>Act</w:t>
      </w:r>
      <w:r>
        <w:rPr>
          <w:rFonts w:ascii="Times New Roman" w:hAnsi="Times New Roman" w:cs="Times New Roman"/>
          <w:sz w:val="24"/>
          <w:szCs w:val="24"/>
        </w:rPr>
        <w:t>)</w:t>
      </w:r>
      <w:r w:rsidRPr="00C64E83">
        <w:rPr>
          <w:rFonts w:ascii="Times New Roman" w:hAnsi="Times New Roman" w:cs="Times New Roman"/>
          <w:sz w:val="24"/>
          <w:szCs w:val="24"/>
        </w:rPr>
        <w:t>.</w:t>
      </w:r>
      <w:r w:rsidRPr="00765464">
        <w:rPr>
          <w:rFonts w:ascii="Times New Roman" w:hAnsi="Times New Roman" w:cs="Times New Roman"/>
          <w:sz w:val="24"/>
          <w:szCs w:val="24"/>
        </w:rPr>
        <w:t xml:space="preserve">  </w:t>
      </w:r>
    </w:p>
    <w:p w:rsidR="00DB5465" w:rsidRDefault="00DB5465" w:rsidP="00DB5465">
      <w:pPr>
        <w:pStyle w:val="NoSpacing"/>
        <w:rPr>
          <w:rFonts w:ascii="Times New Roman" w:hAnsi="Times New Roman" w:cs="Times New Roman"/>
          <w:sz w:val="24"/>
          <w:szCs w:val="24"/>
        </w:rPr>
      </w:pPr>
    </w:p>
    <w:p w:rsidR="00DB5465" w:rsidRDefault="00DB5465" w:rsidP="00DB5465">
      <w:pPr>
        <w:pStyle w:val="NoSpacing"/>
        <w:rPr>
          <w:rFonts w:ascii="Times New Roman" w:hAnsi="Times New Roman" w:cs="Times New Roman"/>
          <w:sz w:val="24"/>
          <w:szCs w:val="24"/>
        </w:rPr>
      </w:pPr>
      <w:r>
        <w:rPr>
          <w:rFonts w:ascii="Times New Roman" w:hAnsi="Times New Roman" w:cs="Times New Roman"/>
          <w:sz w:val="24"/>
          <w:szCs w:val="24"/>
        </w:rPr>
        <w:t xml:space="preserve">Sections 13, 16 and 18 of the ECS Determination impose certain requirements upon carriage service providers in relation to the carriage of emergency calls to the emergency service numbers 000, 112 and 106 respectively.  However, the ECS Determination does not require a satellite phone service to provide access to those emergency service numbers if the satellite service is not transferred to an Australian-based terrestrial network.  The Amendment Determination will remove that broad exemption so that, subject to certain other exceptions, satellite phone services must provide access to the emergency service numbers 000, 112 and 106.  </w:t>
      </w:r>
    </w:p>
    <w:p w:rsidR="00DB5465" w:rsidRDefault="00DB5465" w:rsidP="00DB5465">
      <w:pPr>
        <w:pStyle w:val="NoSpacing"/>
        <w:rPr>
          <w:rFonts w:ascii="Times New Roman" w:hAnsi="Times New Roman" w:cs="Times New Roman"/>
          <w:sz w:val="24"/>
          <w:szCs w:val="24"/>
        </w:rPr>
      </w:pPr>
    </w:p>
    <w:p w:rsidR="00DB5465" w:rsidRDefault="00DB5465" w:rsidP="00DB5465">
      <w:pPr>
        <w:pStyle w:val="NoSpacing"/>
        <w:rPr>
          <w:rFonts w:ascii="Times New Roman" w:hAnsi="Times New Roman" w:cs="Times New Roman"/>
          <w:sz w:val="24"/>
          <w:szCs w:val="24"/>
        </w:rPr>
      </w:pPr>
      <w:r>
        <w:rPr>
          <w:rFonts w:ascii="Times New Roman" w:hAnsi="Times New Roman" w:cs="Times New Roman"/>
          <w:sz w:val="24"/>
          <w:szCs w:val="24"/>
        </w:rPr>
        <w:t>Items 2 and 4 of Schedule 1 to the Amendment Determination amend, respectively, sections 13 and 16 of the ECS Determination so that carriage service providers will be required to provide access to the emergency service numbers 000 and (provided the customer equipment used to supply the service is capable of being used to access a public mobile telecommunications service that uses GSM technology) 112 from a satellite phone service unless the service is an “exempt satellite service”.  The term “exempt satellite service”, will be defined to cover niche satellite services that are only operable when connected to customer equipment (other than a SIM) and are specified in a Schedule to the ECS Determination.  The only such niche services presently so specified are those supplied by means of a satellite owned, controlled or operated by Inmarsat Global Limited.</w:t>
      </w:r>
      <w:r w:rsidR="006E556D">
        <w:rPr>
          <w:rFonts w:ascii="Times New Roman" w:hAnsi="Times New Roman" w:cs="Times New Roman"/>
          <w:sz w:val="24"/>
          <w:szCs w:val="24"/>
        </w:rPr>
        <w:t xml:space="preserve">  </w:t>
      </w:r>
      <w:r>
        <w:rPr>
          <w:rFonts w:ascii="Times New Roman" w:hAnsi="Times New Roman" w:cs="Times New Roman"/>
          <w:sz w:val="24"/>
          <w:szCs w:val="24"/>
        </w:rPr>
        <w:t xml:space="preserve">Customers of those services must be notified that emergency calls cannot be made using those services (see item 3 of Schedule 1 to the Amendment Determination).  </w:t>
      </w:r>
    </w:p>
    <w:p w:rsidR="00DB5465" w:rsidRDefault="00DB5465" w:rsidP="00DB5465">
      <w:pPr>
        <w:pStyle w:val="NoSpacing"/>
        <w:rPr>
          <w:rFonts w:ascii="Times New Roman" w:hAnsi="Times New Roman" w:cs="Times New Roman"/>
          <w:sz w:val="24"/>
          <w:szCs w:val="24"/>
        </w:rPr>
      </w:pPr>
    </w:p>
    <w:p w:rsidR="00DB5465" w:rsidRDefault="00DB5465" w:rsidP="00DB5465">
      <w:pPr>
        <w:pStyle w:val="NoSpacing"/>
        <w:rPr>
          <w:rFonts w:ascii="Times New Roman" w:hAnsi="Times New Roman" w:cs="Times New Roman"/>
          <w:i/>
          <w:sz w:val="24"/>
          <w:szCs w:val="24"/>
        </w:rPr>
      </w:pPr>
      <w:r>
        <w:rPr>
          <w:rFonts w:ascii="Times New Roman" w:hAnsi="Times New Roman" w:cs="Times New Roman"/>
          <w:sz w:val="24"/>
          <w:szCs w:val="24"/>
        </w:rPr>
        <w:t>Item 5 of Schedule 1 to the Amendment Determination amends section 18 of the ECS Determination.  That section deals with the emergency service number 106 which is available for those who are deaf, hearing impaired or speech impaired and who have access to a teletypewriter or similar technology (</w:t>
      </w:r>
      <w:r>
        <w:rPr>
          <w:rFonts w:ascii="Times New Roman" w:hAnsi="Times New Roman" w:cs="Times New Roman"/>
          <w:b/>
          <w:sz w:val="24"/>
          <w:szCs w:val="24"/>
        </w:rPr>
        <w:t>TTY</w:t>
      </w:r>
      <w:r>
        <w:rPr>
          <w:rFonts w:ascii="Times New Roman" w:hAnsi="Times New Roman" w:cs="Times New Roman"/>
          <w:sz w:val="24"/>
          <w:szCs w:val="24"/>
        </w:rPr>
        <w:t xml:space="preserve">).  The ACMA understands that the emergency service number 106 is rarely, if ever, accessed from a TTY satellite service.  Nevertheless, section 18 of the ECS Determination addresses accessibility measures of the kind described in Article 9 of the </w:t>
      </w:r>
      <w:r>
        <w:rPr>
          <w:rFonts w:ascii="Times New Roman" w:hAnsi="Times New Roman" w:cs="Times New Roman"/>
          <w:i/>
          <w:sz w:val="24"/>
          <w:szCs w:val="24"/>
        </w:rPr>
        <w:t>Convention on the Rights of Persons with Disabilities.</w:t>
      </w:r>
    </w:p>
    <w:p w:rsidR="00DB5465" w:rsidRDefault="00DB5465" w:rsidP="00DB5465">
      <w:pPr>
        <w:pStyle w:val="NoSpacing"/>
        <w:rPr>
          <w:rFonts w:ascii="Times New Roman" w:hAnsi="Times New Roman" w:cs="Times New Roman"/>
          <w:i/>
          <w:sz w:val="24"/>
          <w:szCs w:val="24"/>
        </w:rPr>
      </w:pPr>
    </w:p>
    <w:p w:rsidR="00DB5465" w:rsidRDefault="00DB5465" w:rsidP="00DB5465">
      <w:pPr>
        <w:pStyle w:val="NoSpacing"/>
        <w:rPr>
          <w:rFonts w:ascii="Times New Roman" w:hAnsi="Times New Roman" w:cs="Times New Roman"/>
          <w:sz w:val="24"/>
          <w:szCs w:val="24"/>
        </w:rPr>
      </w:pPr>
      <w:r>
        <w:rPr>
          <w:rFonts w:ascii="Times New Roman" w:hAnsi="Times New Roman" w:cs="Times New Roman"/>
          <w:sz w:val="24"/>
          <w:szCs w:val="24"/>
        </w:rPr>
        <w:t xml:space="preserve">The ECS Determination in its current form requires carriage service providers to provide access from a satellite phone service to the emergency service number 106 if the service is technically capable of carrying a call using that number </w:t>
      </w:r>
      <w:r>
        <w:rPr>
          <w:rFonts w:ascii="Times New Roman" w:hAnsi="Times New Roman" w:cs="Times New Roman"/>
          <w:i/>
          <w:sz w:val="24"/>
          <w:szCs w:val="24"/>
        </w:rPr>
        <w:t>and</w:t>
      </w:r>
      <w:r>
        <w:rPr>
          <w:rFonts w:ascii="Times New Roman" w:hAnsi="Times New Roman" w:cs="Times New Roman"/>
          <w:sz w:val="24"/>
          <w:szCs w:val="24"/>
        </w:rPr>
        <w:t xml:space="preserve"> the call is transferred to an Australian-based terrestrial net</w:t>
      </w:r>
      <w:r w:rsidR="006E556D">
        <w:rPr>
          <w:rFonts w:ascii="Times New Roman" w:hAnsi="Times New Roman" w:cs="Times New Roman"/>
          <w:sz w:val="24"/>
          <w:szCs w:val="24"/>
        </w:rPr>
        <w:t xml:space="preserve">work.  </w:t>
      </w:r>
      <w:r>
        <w:rPr>
          <w:rFonts w:ascii="Times New Roman" w:hAnsi="Times New Roman" w:cs="Times New Roman"/>
          <w:sz w:val="24"/>
          <w:szCs w:val="24"/>
        </w:rPr>
        <w:t>The Amendment Determination will remove the latter requirement</w:t>
      </w:r>
      <w:r w:rsidR="006E556D">
        <w:rPr>
          <w:rFonts w:ascii="Times New Roman" w:hAnsi="Times New Roman" w:cs="Times New Roman"/>
          <w:sz w:val="24"/>
          <w:szCs w:val="24"/>
        </w:rPr>
        <w:t xml:space="preserve">.  </w:t>
      </w:r>
      <w:r>
        <w:rPr>
          <w:rFonts w:ascii="Times New Roman" w:hAnsi="Times New Roman" w:cs="Times New Roman"/>
          <w:sz w:val="24"/>
          <w:szCs w:val="24"/>
        </w:rPr>
        <w:t>Accordingly, as a result of the amendment, if a TTY satellite service is technically capable of carrying a call to 106, the carriage service provider must give the TTY user access to 106.</w:t>
      </w:r>
    </w:p>
    <w:p w:rsidR="00DB5465" w:rsidRDefault="00DB5465" w:rsidP="00DB5465">
      <w:pPr>
        <w:pStyle w:val="NoSpacing"/>
        <w:rPr>
          <w:rFonts w:ascii="Times New Roman" w:hAnsi="Times New Roman" w:cs="Times New Roman"/>
          <w:sz w:val="24"/>
          <w:szCs w:val="24"/>
        </w:rPr>
      </w:pPr>
    </w:p>
    <w:p w:rsidR="00DB5465" w:rsidRDefault="00DB5465" w:rsidP="00DB5465">
      <w:pPr>
        <w:pStyle w:val="NoSpacing"/>
        <w:rPr>
          <w:rFonts w:ascii="Times New Roman" w:hAnsi="Times New Roman" w:cs="Times New Roman"/>
          <w:sz w:val="24"/>
          <w:szCs w:val="24"/>
        </w:rPr>
      </w:pPr>
      <w:r>
        <w:rPr>
          <w:rFonts w:ascii="Times New Roman" w:hAnsi="Times New Roman" w:cs="Times New Roman"/>
          <w:sz w:val="24"/>
          <w:szCs w:val="24"/>
        </w:rPr>
        <w:t xml:space="preserve">Deaf, hearing impaired and speech impaired persons will also continue to have access to the emergency service number 106 from a TTY using a carriage service that is a “standard telephone service” under subparagraph 6(1)(b)(ii) of the Act (as provided in section 17 of the ECS Determination) and may also have other means of accessing an emergency service number (such as through the internet relay service).  </w:t>
      </w:r>
    </w:p>
    <w:p w:rsidR="00DB5465" w:rsidRPr="00BF03C1" w:rsidRDefault="00DB5465" w:rsidP="00DB5465">
      <w:pPr>
        <w:spacing w:before="240" w:after="120"/>
        <w:jc w:val="both"/>
        <w:rPr>
          <w:b/>
        </w:rPr>
      </w:pPr>
      <w:r w:rsidRPr="00BF03C1">
        <w:rPr>
          <w:b/>
        </w:rPr>
        <w:t>Human rights implications</w:t>
      </w:r>
    </w:p>
    <w:p w:rsidR="00DB5465" w:rsidRDefault="00DB5465" w:rsidP="00DB5465">
      <w:pPr>
        <w:spacing w:before="120" w:after="120"/>
        <w:rPr>
          <w:szCs w:val="20"/>
        </w:rPr>
      </w:pPr>
      <w:r>
        <w:t>The Amendment Determination</w:t>
      </w:r>
      <w:r w:rsidRPr="00F21540">
        <w:t xml:space="preserve"> does not engage any of the applicable rights or freedoms</w:t>
      </w:r>
      <w:r>
        <w:t xml:space="preserve"> other than in relation to the amendment made to section 18 of the ECS Determination as discussed above</w:t>
      </w:r>
      <w:r w:rsidRPr="00F21540">
        <w:t>.</w:t>
      </w:r>
    </w:p>
    <w:p w:rsidR="00DB5465" w:rsidRPr="00BF03C1" w:rsidRDefault="00DB5465" w:rsidP="00DB5465">
      <w:pPr>
        <w:spacing w:before="240" w:after="120"/>
        <w:jc w:val="both"/>
        <w:rPr>
          <w:b/>
        </w:rPr>
      </w:pPr>
      <w:r w:rsidRPr="00BF03C1">
        <w:rPr>
          <w:b/>
        </w:rPr>
        <w:t>Conclusion</w:t>
      </w:r>
    </w:p>
    <w:p w:rsidR="00DB5465" w:rsidRDefault="00DB5465" w:rsidP="00DB5465">
      <w:pPr>
        <w:spacing w:before="120" w:after="120"/>
      </w:pPr>
      <w:r>
        <w:t>The Amendment Determination</w:t>
      </w:r>
      <w:r w:rsidRPr="00F21540">
        <w:t xml:space="preserve"> is compatible with human rights.</w:t>
      </w:r>
    </w:p>
    <w:p w:rsidR="00DB5465" w:rsidRDefault="00DB5465" w:rsidP="00DB5465">
      <w:pPr>
        <w:spacing w:before="120" w:after="120"/>
      </w:pPr>
    </w:p>
    <w:p w:rsidR="00DB5465" w:rsidRPr="00E62853" w:rsidRDefault="00DB5465" w:rsidP="00DB5465">
      <w:pPr>
        <w:spacing w:before="120" w:after="120"/>
        <w:rPr>
          <w:b/>
        </w:rPr>
      </w:pPr>
      <w:r w:rsidRPr="00E62853">
        <w:rPr>
          <w:b/>
        </w:rPr>
        <w:t>Australian Communications and Media Authority</w:t>
      </w:r>
    </w:p>
    <w:p w:rsidR="00796534" w:rsidRDefault="00796534" w:rsidP="00796534">
      <w:pPr>
        <w:spacing w:before="120" w:after="120"/>
        <w:rPr>
          <w:szCs w:val="20"/>
        </w:rPr>
      </w:pPr>
    </w:p>
    <w:p w:rsidR="00F6467C" w:rsidRPr="005F0FCA" w:rsidRDefault="00F6467C" w:rsidP="00796534">
      <w:pPr>
        <w:jc w:val="right"/>
      </w:pPr>
    </w:p>
    <w:sectPr w:rsidR="00F6467C" w:rsidRPr="005F0FCA" w:rsidSect="008D4764">
      <w:headerReference w:type="default" r:id="rId13"/>
      <w:footerReference w:type="default" r:id="rId14"/>
      <w:headerReference w:type="first" r:id="rId15"/>
      <w:pgSz w:w="11906" w:h="16838"/>
      <w:pgMar w:top="1418"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593" w:rsidRDefault="00A27593" w:rsidP="00EE0159">
      <w:r>
        <w:separator/>
      </w:r>
    </w:p>
  </w:endnote>
  <w:endnote w:type="continuationSeparator" w:id="0">
    <w:p w:rsidR="00A27593" w:rsidRDefault="00A27593" w:rsidP="00EE0159">
      <w:r>
        <w:continuationSeparator/>
      </w:r>
    </w:p>
  </w:endnote>
</w:endnotes>
</file>

<file path=word/fontTable.xml><?xml version="1.0" encoding="utf-8"?>
<w:fonts xmlns:r="http://schemas.openxmlformats.org/officeDocument/2006/relationships" xmlns:w="http://schemas.openxmlformats.org/wordprocessingml/2006/main">
  <w:font w:name="HelveticaNeueLT Std Lt">
    <w:altName w:val="Malgun Gothic"/>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46497"/>
      <w:docPartObj>
        <w:docPartGallery w:val="Page Numbers (Bottom of Page)"/>
        <w:docPartUnique/>
      </w:docPartObj>
    </w:sdtPr>
    <w:sdtContent>
      <w:p w:rsidR="00DB31D7" w:rsidRDefault="00616FE2">
        <w:pPr>
          <w:pStyle w:val="Footer"/>
          <w:jc w:val="center"/>
        </w:pPr>
        <w:fldSimple w:instr=" PAGE   \* MERGEFORMAT ">
          <w:r w:rsidR="006B6A81">
            <w:rPr>
              <w:noProof/>
            </w:rPr>
            <w:t>9</w:t>
          </w:r>
        </w:fldSimple>
      </w:p>
    </w:sdtContent>
  </w:sdt>
  <w:p w:rsidR="00DB31D7" w:rsidRDefault="00DB31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593" w:rsidRDefault="00A27593" w:rsidP="00EE0159">
      <w:r>
        <w:separator/>
      </w:r>
    </w:p>
  </w:footnote>
  <w:footnote w:type="continuationSeparator" w:id="0">
    <w:p w:rsidR="00A27593" w:rsidRDefault="00A27593" w:rsidP="00EE01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1D7" w:rsidRDefault="00DB31D7" w:rsidP="008D4764">
    <w:pPr>
      <w:pStyle w:val="NoSpacing"/>
      <w:jc w:val="center"/>
      <w:rPr>
        <w:rFonts w:ascii="Times New Roman" w:hAnsi="Times New Roman" w:cs="Times New Roman"/>
        <w:b/>
      </w:rPr>
    </w:pPr>
  </w:p>
  <w:p w:rsidR="00DB31D7" w:rsidRPr="00E12805" w:rsidRDefault="00DB31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1D7" w:rsidRPr="008119E8" w:rsidRDefault="00DB31D7" w:rsidP="008119E8">
    <w:pPr>
      <w:pStyle w:val="Header"/>
      <w:jc w:val="right"/>
      <w:rPr>
        <w:rFonts w:ascii="Arial" w:hAnsi="Arial" w:cs="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0E0E06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nsid w:val="246D3104"/>
    <w:multiLevelType w:val="hybridMultilevel"/>
    <w:tmpl w:val="31108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E520C2"/>
    <w:multiLevelType w:val="hybridMultilevel"/>
    <w:tmpl w:val="D1C02F78"/>
    <w:lvl w:ilvl="0" w:tplc="0C090001">
      <w:start w:val="1"/>
      <w:numFmt w:val="bullet"/>
      <w:lvlText w:val=""/>
      <w:lvlJc w:val="left"/>
      <w:pPr>
        <w:tabs>
          <w:tab w:val="num" w:pos="1080"/>
        </w:tabs>
        <w:ind w:left="1080" w:hanging="360"/>
      </w:pPr>
      <w:rPr>
        <w:rFonts w:ascii="Symbol" w:hAnsi="Symbol" w:hint="default"/>
        <w:b w:val="0"/>
        <w:i w:val="0"/>
        <w:sz w:val="22"/>
        <w:szCs w:val="22"/>
      </w:rPr>
    </w:lvl>
    <w:lvl w:ilvl="1" w:tplc="0C090001">
      <w:start w:val="1"/>
      <w:numFmt w:val="bullet"/>
      <w:lvlText w:val=""/>
      <w:lvlJc w:val="left"/>
      <w:pPr>
        <w:tabs>
          <w:tab w:val="num" w:pos="1620"/>
        </w:tabs>
        <w:ind w:left="1620" w:hanging="360"/>
      </w:pPr>
      <w:rPr>
        <w:rFonts w:ascii="Symbol" w:hAnsi="Symbol" w:hint="default"/>
      </w:rPr>
    </w:lvl>
    <w:lvl w:ilvl="2" w:tplc="0C09001B">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4">
    <w:nsid w:val="2DB0750E"/>
    <w:multiLevelType w:val="hybridMultilevel"/>
    <w:tmpl w:val="D264DA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1525DD9"/>
    <w:multiLevelType w:val="hybridMultilevel"/>
    <w:tmpl w:val="4E94FC5C"/>
    <w:lvl w:ilvl="0" w:tplc="34D2A76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5E1393A"/>
    <w:multiLevelType w:val="hybridMultilevel"/>
    <w:tmpl w:val="341C9C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37F90072"/>
    <w:multiLevelType w:val="hybridMultilevel"/>
    <w:tmpl w:val="73DA0B4C"/>
    <w:lvl w:ilvl="0" w:tplc="A53C7C9E">
      <w:start w:val="1"/>
      <w:numFmt w:val="decimal"/>
      <w:lvlText w:val="%1."/>
      <w:lvlJc w:val="left"/>
      <w:pPr>
        <w:tabs>
          <w:tab w:val="num" w:pos="540"/>
        </w:tabs>
        <w:ind w:left="540" w:hanging="360"/>
      </w:pPr>
      <w:rPr>
        <w:rFonts w:ascii="Arial" w:hAnsi="Arial" w:cs="Arial" w:hint="default"/>
        <w:b w:val="0"/>
        <w:i w:val="0"/>
        <w:sz w:val="22"/>
        <w:szCs w:val="22"/>
      </w:rPr>
    </w:lvl>
    <w:lvl w:ilvl="1" w:tplc="0C090001">
      <w:start w:val="1"/>
      <w:numFmt w:val="bullet"/>
      <w:lvlText w:val=""/>
      <w:lvlJc w:val="left"/>
      <w:pPr>
        <w:tabs>
          <w:tab w:val="num" w:pos="1080"/>
        </w:tabs>
        <w:ind w:left="1080" w:hanging="360"/>
      </w:pPr>
      <w:rPr>
        <w:rFonts w:ascii="Symbol" w:hAnsi="Symbol"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nsid w:val="39825CA9"/>
    <w:multiLevelType w:val="hybridMultilevel"/>
    <w:tmpl w:val="12A6B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FCD5E33"/>
    <w:multiLevelType w:val="hybridMultilevel"/>
    <w:tmpl w:val="3BFA3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9362838"/>
    <w:multiLevelType w:val="hybridMultilevel"/>
    <w:tmpl w:val="2FEE254C"/>
    <w:lvl w:ilvl="0" w:tplc="0C090001">
      <w:start w:val="1"/>
      <w:numFmt w:val="bullet"/>
      <w:lvlText w:val=""/>
      <w:lvlJc w:val="left"/>
      <w:pPr>
        <w:tabs>
          <w:tab w:val="num" w:pos="-540"/>
        </w:tabs>
        <w:ind w:left="-540" w:hanging="360"/>
      </w:pPr>
      <w:rPr>
        <w:rFonts w:ascii="Symbol" w:hAnsi="Symbol" w:hint="default"/>
        <w:b w:val="0"/>
        <w:i w:val="0"/>
        <w:sz w:val="22"/>
        <w:szCs w:val="22"/>
      </w:rPr>
    </w:lvl>
    <w:lvl w:ilvl="1" w:tplc="0C090001">
      <w:start w:val="1"/>
      <w:numFmt w:val="bullet"/>
      <w:lvlText w:val=""/>
      <w:lvlJc w:val="left"/>
      <w:pPr>
        <w:tabs>
          <w:tab w:val="num" w:pos="0"/>
        </w:tabs>
        <w:ind w:left="0" w:hanging="360"/>
      </w:pPr>
      <w:rPr>
        <w:rFonts w:ascii="Symbol" w:hAnsi="Symbol" w:hint="default"/>
      </w:rPr>
    </w:lvl>
    <w:lvl w:ilvl="2" w:tplc="0C09001B">
      <w:start w:val="1"/>
      <w:numFmt w:val="lowerRoman"/>
      <w:lvlText w:val="%3."/>
      <w:lvlJc w:val="right"/>
      <w:pPr>
        <w:tabs>
          <w:tab w:val="num" w:pos="720"/>
        </w:tabs>
        <w:ind w:left="720" w:hanging="180"/>
      </w:pPr>
    </w:lvl>
    <w:lvl w:ilvl="3" w:tplc="0C09000F" w:tentative="1">
      <w:start w:val="1"/>
      <w:numFmt w:val="decimal"/>
      <w:lvlText w:val="%4."/>
      <w:lvlJc w:val="left"/>
      <w:pPr>
        <w:tabs>
          <w:tab w:val="num" w:pos="1440"/>
        </w:tabs>
        <w:ind w:left="1440" w:hanging="360"/>
      </w:pPr>
    </w:lvl>
    <w:lvl w:ilvl="4" w:tplc="0C090019" w:tentative="1">
      <w:start w:val="1"/>
      <w:numFmt w:val="lowerLetter"/>
      <w:lvlText w:val="%5."/>
      <w:lvlJc w:val="left"/>
      <w:pPr>
        <w:tabs>
          <w:tab w:val="num" w:pos="2160"/>
        </w:tabs>
        <w:ind w:left="2160" w:hanging="360"/>
      </w:pPr>
    </w:lvl>
    <w:lvl w:ilvl="5" w:tplc="0C09001B" w:tentative="1">
      <w:start w:val="1"/>
      <w:numFmt w:val="lowerRoman"/>
      <w:lvlText w:val="%6."/>
      <w:lvlJc w:val="right"/>
      <w:pPr>
        <w:tabs>
          <w:tab w:val="num" w:pos="2880"/>
        </w:tabs>
        <w:ind w:left="2880" w:hanging="180"/>
      </w:pPr>
    </w:lvl>
    <w:lvl w:ilvl="6" w:tplc="0C09000F" w:tentative="1">
      <w:start w:val="1"/>
      <w:numFmt w:val="decimal"/>
      <w:lvlText w:val="%7."/>
      <w:lvlJc w:val="left"/>
      <w:pPr>
        <w:tabs>
          <w:tab w:val="num" w:pos="3600"/>
        </w:tabs>
        <w:ind w:left="3600" w:hanging="360"/>
      </w:pPr>
    </w:lvl>
    <w:lvl w:ilvl="7" w:tplc="0C090019" w:tentative="1">
      <w:start w:val="1"/>
      <w:numFmt w:val="lowerLetter"/>
      <w:lvlText w:val="%8."/>
      <w:lvlJc w:val="left"/>
      <w:pPr>
        <w:tabs>
          <w:tab w:val="num" w:pos="4320"/>
        </w:tabs>
        <w:ind w:left="4320" w:hanging="360"/>
      </w:pPr>
    </w:lvl>
    <w:lvl w:ilvl="8" w:tplc="0C09001B" w:tentative="1">
      <w:start w:val="1"/>
      <w:numFmt w:val="lowerRoman"/>
      <w:lvlText w:val="%9."/>
      <w:lvlJc w:val="right"/>
      <w:pPr>
        <w:tabs>
          <w:tab w:val="num" w:pos="5040"/>
        </w:tabs>
        <w:ind w:left="5040" w:hanging="180"/>
      </w:pPr>
    </w:lvl>
  </w:abstractNum>
  <w:abstractNum w:abstractNumId="11">
    <w:nsid w:val="628F582A"/>
    <w:multiLevelType w:val="hybridMultilevel"/>
    <w:tmpl w:val="FC26C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C2C2696"/>
    <w:multiLevelType w:val="hybridMultilevel"/>
    <w:tmpl w:val="0CB4A1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742A4C32"/>
    <w:multiLevelType w:val="hybridMultilevel"/>
    <w:tmpl w:val="B5D8B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12"/>
  </w:num>
  <w:num w:numId="5">
    <w:abstractNumId w:val="5"/>
  </w:num>
  <w:num w:numId="6">
    <w:abstractNumId w:val="4"/>
  </w:num>
  <w:num w:numId="7">
    <w:abstractNumId w:val="2"/>
  </w:num>
  <w:num w:numId="8">
    <w:abstractNumId w:val="13"/>
  </w:num>
  <w:num w:numId="9">
    <w:abstractNumId w:val="8"/>
  </w:num>
  <w:num w:numId="10">
    <w:abstractNumId w:val="1"/>
  </w:num>
  <w:num w:numId="11">
    <w:abstractNumId w:val="11"/>
  </w:num>
  <w:num w:numId="12">
    <w:abstractNumId w:val="7"/>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14AEF"/>
    <w:rsid w:val="000066DD"/>
    <w:rsid w:val="00015109"/>
    <w:rsid w:val="0002112F"/>
    <w:rsid w:val="00034539"/>
    <w:rsid w:val="000541E2"/>
    <w:rsid w:val="00062F52"/>
    <w:rsid w:val="00063EE4"/>
    <w:rsid w:val="00067DBA"/>
    <w:rsid w:val="00093332"/>
    <w:rsid w:val="000A3C9A"/>
    <w:rsid w:val="000A4F08"/>
    <w:rsid w:val="000B1914"/>
    <w:rsid w:val="000B4F7E"/>
    <w:rsid w:val="000B7426"/>
    <w:rsid w:val="000C3135"/>
    <w:rsid w:val="000C55DE"/>
    <w:rsid w:val="000C5E61"/>
    <w:rsid w:val="000F201D"/>
    <w:rsid w:val="000F4A04"/>
    <w:rsid w:val="001012B6"/>
    <w:rsid w:val="00104BE5"/>
    <w:rsid w:val="00110FD5"/>
    <w:rsid w:val="00113B0B"/>
    <w:rsid w:val="00121D43"/>
    <w:rsid w:val="00124309"/>
    <w:rsid w:val="00136B7D"/>
    <w:rsid w:val="0014071B"/>
    <w:rsid w:val="00140CC5"/>
    <w:rsid w:val="001527EF"/>
    <w:rsid w:val="00154AEB"/>
    <w:rsid w:val="00172628"/>
    <w:rsid w:val="00172669"/>
    <w:rsid w:val="00193112"/>
    <w:rsid w:val="00193DD6"/>
    <w:rsid w:val="001A0B35"/>
    <w:rsid w:val="001A7366"/>
    <w:rsid w:val="001D7029"/>
    <w:rsid w:val="001E2AC8"/>
    <w:rsid w:val="001E45A4"/>
    <w:rsid w:val="001F0241"/>
    <w:rsid w:val="0021792D"/>
    <w:rsid w:val="00225AD9"/>
    <w:rsid w:val="002327A3"/>
    <w:rsid w:val="00234C1E"/>
    <w:rsid w:val="00272738"/>
    <w:rsid w:val="00286D74"/>
    <w:rsid w:val="002B4986"/>
    <w:rsid w:val="002D4EF0"/>
    <w:rsid w:val="002D6DA0"/>
    <w:rsid w:val="00301716"/>
    <w:rsid w:val="0030232D"/>
    <w:rsid w:val="00304328"/>
    <w:rsid w:val="00315149"/>
    <w:rsid w:val="00323B83"/>
    <w:rsid w:val="00340EB5"/>
    <w:rsid w:val="003514E2"/>
    <w:rsid w:val="0035239E"/>
    <w:rsid w:val="00361182"/>
    <w:rsid w:val="00362009"/>
    <w:rsid w:val="00362D34"/>
    <w:rsid w:val="00363332"/>
    <w:rsid w:val="00384B38"/>
    <w:rsid w:val="00386AD9"/>
    <w:rsid w:val="003A58DA"/>
    <w:rsid w:val="003A77BF"/>
    <w:rsid w:val="003B63DC"/>
    <w:rsid w:val="003C671D"/>
    <w:rsid w:val="003D5B36"/>
    <w:rsid w:val="003F2EB5"/>
    <w:rsid w:val="003F4E7F"/>
    <w:rsid w:val="00401BFB"/>
    <w:rsid w:val="00411E11"/>
    <w:rsid w:val="004256F5"/>
    <w:rsid w:val="004335AA"/>
    <w:rsid w:val="00446BE6"/>
    <w:rsid w:val="00496FA0"/>
    <w:rsid w:val="004A3039"/>
    <w:rsid w:val="004A50C0"/>
    <w:rsid w:val="004C5FC8"/>
    <w:rsid w:val="004C7D76"/>
    <w:rsid w:val="004D5E8E"/>
    <w:rsid w:val="004F383F"/>
    <w:rsid w:val="00502226"/>
    <w:rsid w:val="005147F0"/>
    <w:rsid w:val="005319F9"/>
    <w:rsid w:val="0053678C"/>
    <w:rsid w:val="00540CD7"/>
    <w:rsid w:val="00555D84"/>
    <w:rsid w:val="00557242"/>
    <w:rsid w:val="00571942"/>
    <w:rsid w:val="005975D5"/>
    <w:rsid w:val="005A0266"/>
    <w:rsid w:val="005A6999"/>
    <w:rsid w:val="005C2C91"/>
    <w:rsid w:val="005D2E73"/>
    <w:rsid w:val="005D7D04"/>
    <w:rsid w:val="005F0FCA"/>
    <w:rsid w:val="006007FD"/>
    <w:rsid w:val="0061213C"/>
    <w:rsid w:val="00616FE2"/>
    <w:rsid w:val="0062152F"/>
    <w:rsid w:val="00647284"/>
    <w:rsid w:val="00656362"/>
    <w:rsid w:val="0066298B"/>
    <w:rsid w:val="00677B65"/>
    <w:rsid w:val="00693303"/>
    <w:rsid w:val="006941A0"/>
    <w:rsid w:val="006A2FCE"/>
    <w:rsid w:val="006A411B"/>
    <w:rsid w:val="006A71E4"/>
    <w:rsid w:val="006B6A81"/>
    <w:rsid w:val="006C1AE8"/>
    <w:rsid w:val="006D2D17"/>
    <w:rsid w:val="006E4B06"/>
    <w:rsid w:val="006E556D"/>
    <w:rsid w:val="006F05A4"/>
    <w:rsid w:val="006F726E"/>
    <w:rsid w:val="0070338A"/>
    <w:rsid w:val="00707C38"/>
    <w:rsid w:val="0071123E"/>
    <w:rsid w:val="00712D34"/>
    <w:rsid w:val="007219C1"/>
    <w:rsid w:val="00725265"/>
    <w:rsid w:val="0072721D"/>
    <w:rsid w:val="0073555B"/>
    <w:rsid w:val="0074080A"/>
    <w:rsid w:val="007426CE"/>
    <w:rsid w:val="00744B75"/>
    <w:rsid w:val="00754D29"/>
    <w:rsid w:val="0075562D"/>
    <w:rsid w:val="0077132B"/>
    <w:rsid w:val="0077604B"/>
    <w:rsid w:val="00784907"/>
    <w:rsid w:val="0079506E"/>
    <w:rsid w:val="00796534"/>
    <w:rsid w:val="007A631A"/>
    <w:rsid w:val="007C21A5"/>
    <w:rsid w:val="007C5969"/>
    <w:rsid w:val="007D07EE"/>
    <w:rsid w:val="007D5212"/>
    <w:rsid w:val="008117AC"/>
    <w:rsid w:val="008119E8"/>
    <w:rsid w:val="00812AFA"/>
    <w:rsid w:val="0083648F"/>
    <w:rsid w:val="0085597D"/>
    <w:rsid w:val="008570D8"/>
    <w:rsid w:val="008607AD"/>
    <w:rsid w:val="00882926"/>
    <w:rsid w:val="0089172E"/>
    <w:rsid w:val="008B1067"/>
    <w:rsid w:val="008C138F"/>
    <w:rsid w:val="008D241E"/>
    <w:rsid w:val="008D4764"/>
    <w:rsid w:val="008E180B"/>
    <w:rsid w:val="00901F5C"/>
    <w:rsid w:val="0093190F"/>
    <w:rsid w:val="00932CA6"/>
    <w:rsid w:val="00934871"/>
    <w:rsid w:val="00941AF7"/>
    <w:rsid w:val="009441BA"/>
    <w:rsid w:val="009604C9"/>
    <w:rsid w:val="00976E9E"/>
    <w:rsid w:val="0098136B"/>
    <w:rsid w:val="009819F2"/>
    <w:rsid w:val="00986C80"/>
    <w:rsid w:val="00987AA3"/>
    <w:rsid w:val="00996C3D"/>
    <w:rsid w:val="009B2B58"/>
    <w:rsid w:val="009C15C6"/>
    <w:rsid w:val="009C39DC"/>
    <w:rsid w:val="009C3F48"/>
    <w:rsid w:val="009D2AE8"/>
    <w:rsid w:val="009E3B8C"/>
    <w:rsid w:val="009E6E7D"/>
    <w:rsid w:val="009F1DE0"/>
    <w:rsid w:val="009F7479"/>
    <w:rsid w:val="00A07D46"/>
    <w:rsid w:val="00A16346"/>
    <w:rsid w:val="00A22C47"/>
    <w:rsid w:val="00A27593"/>
    <w:rsid w:val="00A27CA1"/>
    <w:rsid w:val="00A31EB9"/>
    <w:rsid w:val="00A50E06"/>
    <w:rsid w:val="00A56629"/>
    <w:rsid w:val="00A572F0"/>
    <w:rsid w:val="00A70705"/>
    <w:rsid w:val="00AA6113"/>
    <w:rsid w:val="00AC0547"/>
    <w:rsid w:val="00AE0378"/>
    <w:rsid w:val="00AE2074"/>
    <w:rsid w:val="00AE332D"/>
    <w:rsid w:val="00AE40EC"/>
    <w:rsid w:val="00AF5AE3"/>
    <w:rsid w:val="00B00CFB"/>
    <w:rsid w:val="00B07FA6"/>
    <w:rsid w:val="00B2778D"/>
    <w:rsid w:val="00B3425E"/>
    <w:rsid w:val="00B375B8"/>
    <w:rsid w:val="00B46292"/>
    <w:rsid w:val="00B741B5"/>
    <w:rsid w:val="00B83AAD"/>
    <w:rsid w:val="00B850F5"/>
    <w:rsid w:val="00B931FC"/>
    <w:rsid w:val="00B94FD8"/>
    <w:rsid w:val="00BA0FCC"/>
    <w:rsid w:val="00BA4572"/>
    <w:rsid w:val="00BC3C63"/>
    <w:rsid w:val="00BE3215"/>
    <w:rsid w:val="00BE7951"/>
    <w:rsid w:val="00BF6C60"/>
    <w:rsid w:val="00C111E9"/>
    <w:rsid w:val="00C23EB5"/>
    <w:rsid w:val="00C40706"/>
    <w:rsid w:val="00C54A9E"/>
    <w:rsid w:val="00C57346"/>
    <w:rsid w:val="00C716FB"/>
    <w:rsid w:val="00C83C10"/>
    <w:rsid w:val="00C900D3"/>
    <w:rsid w:val="00CC47F9"/>
    <w:rsid w:val="00CC4EBA"/>
    <w:rsid w:val="00CC57D0"/>
    <w:rsid w:val="00CC58A8"/>
    <w:rsid w:val="00D0181C"/>
    <w:rsid w:val="00D44CF6"/>
    <w:rsid w:val="00D46AC1"/>
    <w:rsid w:val="00D61E0A"/>
    <w:rsid w:val="00D73217"/>
    <w:rsid w:val="00D760AA"/>
    <w:rsid w:val="00D77BE8"/>
    <w:rsid w:val="00D77C4F"/>
    <w:rsid w:val="00D81CF1"/>
    <w:rsid w:val="00D83519"/>
    <w:rsid w:val="00D8529C"/>
    <w:rsid w:val="00D91C80"/>
    <w:rsid w:val="00DB31D7"/>
    <w:rsid w:val="00DB494A"/>
    <w:rsid w:val="00DB5465"/>
    <w:rsid w:val="00DB57B0"/>
    <w:rsid w:val="00DD0D2E"/>
    <w:rsid w:val="00DD4083"/>
    <w:rsid w:val="00DD79B8"/>
    <w:rsid w:val="00DE7E8F"/>
    <w:rsid w:val="00DF4962"/>
    <w:rsid w:val="00DF746A"/>
    <w:rsid w:val="00E14AEF"/>
    <w:rsid w:val="00E14B28"/>
    <w:rsid w:val="00E2193B"/>
    <w:rsid w:val="00E276B1"/>
    <w:rsid w:val="00E36AEE"/>
    <w:rsid w:val="00E5363C"/>
    <w:rsid w:val="00E56C44"/>
    <w:rsid w:val="00E60798"/>
    <w:rsid w:val="00E62D7E"/>
    <w:rsid w:val="00E63C32"/>
    <w:rsid w:val="00E65120"/>
    <w:rsid w:val="00E73663"/>
    <w:rsid w:val="00E77853"/>
    <w:rsid w:val="00E80EF3"/>
    <w:rsid w:val="00E8653A"/>
    <w:rsid w:val="00E91930"/>
    <w:rsid w:val="00EA6228"/>
    <w:rsid w:val="00EB51F7"/>
    <w:rsid w:val="00ED3D29"/>
    <w:rsid w:val="00EE0159"/>
    <w:rsid w:val="00EF3B82"/>
    <w:rsid w:val="00F03BBC"/>
    <w:rsid w:val="00F107C9"/>
    <w:rsid w:val="00F20571"/>
    <w:rsid w:val="00F2292B"/>
    <w:rsid w:val="00F2309F"/>
    <w:rsid w:val="00F23325"/>
    <w:rsid w:val="00F23A9F"/>
    <w:rsid w:val="00F244AA"/>
    <w:rsid w:val="00F244B5"/>
    <w:rsid w:val="00F31E5F"/>
    <w:rsid w:val="00F320D8"/>
    <w:rsid w:val="00F4246B"/>
    <w:rsid w:val="00F46371"/>
    <w:rsid w:val="00F53821"/>
    <w:rsid w:val="00F562A7"/>
    <w:rsid w:val="00F62C05"/>
    <w:rsid w:val="00F6467C"/>
    <w:rsid w:val="00F71A43"/>
    <w:rsid w:val="00F76CBA"/>
    <w:rsid w:val="00F8576B"/>
    <w:rsid w:val="00F95B8C"/>
    <w:rsid w:val="00FB2B1B"/>
    <w:rsid w:val="00FD0C9B"/>
    <w:rsid w:val="00FD28FE"/>
    <w:rsid w:val="00FD42BE"/>
    <w:rsid w:val="00FD6D53"/>
    <w:rsid w:val="00FE0CE7"/>
    <w:rsid w:val="00FE76F3"/>
    <w:rsid w:val="00FF3A01"/>
    <w:rsid w:val="00FF491B"/>
    <w:rsid w:val="00FF4E3F"/>
    <w:rsid w:val="00FF59A0"/>
    <w:rsid w:val="00FF6C2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479"/>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4AEF"/>
    <w:pPr>
      <w:spacing w:after="0" w:line="240" w:lineRule="auto"/>
    </w:pPr>
  </w:style>
  <w:style w:type="paragraph" w:styleId="Header">
    <w:name w:val="header"/>
    <w:basedOn w:val="Normal"/>
    <w:link w:val="HeaderChar"/>
    <w:uiPriority w:val="99"/>
    <w:semiHidden/>
    <w:unhideWhenUsed/>
    <w:rsid w:val="00E14AEF"/>
    <w:pPr>
      <w:tabs>
        <w:tab w:val="center" w:pos="4513"/>
        <w:tab w:val="right" w:pos="9026"/>
      </w:tabs>
    </w:pPr>
  </w:style>
  <w:style w:type="character" w:customStyle="1" w:styleId="HeaderChar">
    <w:name w:val="Header Char"/>
    <w:basedOn w:val="DefaultParagraphFont"/>
    <w:link w:val="Header"/>
    <w:uiPriority w:val="99"/>
    <w:semiHidden/>
    <w:rsid w:val="00E14AE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E14AEF"/>
    <w:pPr>
      <w:tabs>
        <w:tab w:val="center" w:pos="4513"/>
        <w:tab w:val="right" w:pos="9026"/>
      </w:tabs>
    </w:pPr>
  </w:style>
  <w:style w:type="character" w:customStyle="1" w:styleId="FooterChar">
    <w:name w:val="Footer Char"/>
    <w:basedOn w:val="DefaultParagraphFont"/>
    <w:link w:val="Footer"/>
    <w:uiPriority w:val="99"/>
    <w:rsid w:val="00E14AEF"/>
    <w:rPr>
      <w:rFonts w:ascii="Times New Roman" w:eastAsia="Times New Roman" w:hAnsi="Times New Roman" w:cs="Times New Roman"/>
      <w:sz w:val="24"/>
      <w:szCs w:val="24"/>
      <w:lang w:eastAsia="en-AU"/>
    </w:rPr>
  </w:style>
  <w:style w:type="paragraph" w:customStyle="1" w:styleId="ACMABodyText">
    <w:name w:val="ACMA Body Text"/>
    <w:link w:val="ACMABodyTextChar"/>
    <w:rsid w:val="00E14AEF"/>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rsid w:val="00E14AEF"/>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E14AEF"/>
    <w:pPr>
      <w:ind w:left="720"/>
    </w:pPr>
    <w:rPr>
      <w:rFonts w:ascii="Calibri" w:eastAsia="Calibri" w:hAnsi="Calibri" w:cs="Calibri"/>
      <w:sz w:val="22"/>
      <w:szCs w:val="22"/>
    </w:rPr>
  </w:style>
  <w:style w:type="paragraph" w:styleId="ListBullet">
    <w:name w:val="List Bullet"/>
    <w:basedOn w:val="Normal"/>
    <w:rsid w:val="003514E2"/>
    <w:pPr>
      <w:numPr>
        <w:numId w:val="3"/>
      </w:numPr>
      <w:spacing w:after="80" w:line="240" w:lineRule="atLeast"/>
    </w:pPr>
    <w:rPr>
      <w:rFonts w:ascii="HelveticaNeueLT Std Lt" w:hAnsi="HelveticaNeueLT Std Lt"/>
      <w:sz w:val="20"/>
    </w:rPr>
  </w:style>
  <w:style w:type="paragraph" w:customStyle="1" w:styleId="ACMANumberedList">
    <w:name w:val="ACMA Numbered List"/>
    <w:rsid w:val="00E5363C"/>
    <w:pPr>
      <w:numPr>
        <w:numId w:val="7"/>
      </w:numPr>
      <w:spacing w:before="20" w:after="20" w:line="240" w:lineRule="auto"/>
    </w:pPr>
    <w:rPr>
      <w:rFonts w:ascii="Times New Roman" w:eastAsia="Times New Roman" w:hAnsi="Times New Roman" w:cs="Times New Roman"/>
      <w:sz w:val="24"/>
      <w:szCs w:val="20"/>
    </w:rPr>
  </w:style>
  <w:style w:type="character" w:customStyle="1" w:styleId="ACMABodyTextChar1">
    <w:name w:val="ACMA Body Text Char1"/>
    <w:rsid w:val="00F6467C"/>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semiHidden/>
    <w:unhideWhenUsed/>
    <w:rsid w:val="002D6DA0"/>
    <w:rPr>
      <w:sz w:val="16"/>
      <w:szCs w:val="16"/>
    </w:rPr>
  </w:style>
  <w:style w:type="paragraph" w:styleId="CommentText">
    <w:name w:val="annotation text"/>
    <w:basedOn w:val="Normal"/>
    <w:link w:val="CommentTextChar"/>
    <w:uiPriority w:val="99"/>
    <w:semiHidden/>
    <w:unhideWhenUsed/>
    <w:rsid w:val="002D6DA0"/>
    <w:rPr>
      <w:sz w:val="20"/>
      <w:szCs w:val="20"/>
    </w:rPr>
  </w:style>
  <w:style w:type="character" w:customStyle="1" w:styleId="CommentTextChar">
    <w:name w:val="Comment Text Char"/>
    <w:basedOn w:val="DefaultParagraphFont"/>
    <w:link w:val="CommentText"/>
    <w:uiPriority w:val="99"/>
    <w:semiHidden/>
    <w:rsid w:val="002D6DA0"/>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D6DA0"/>
    <w:rPr>
      <w:b/>
      <w:bCs/>
    </w:rPr>
  </w:style>
  <w:style w:type="character" w:customStyle="1" w:styleId="CommentSubjectChar">
    <w:name w:val="Comment Subject Char"/>
    <w:basedOn w:val="CommentTextChar"/>
    <w:link w:val="CommentSubject"/>
    <w:uiPriority w:val="99"/>
    <w:semiHidden/>
    <w:rsid w:val="002D6DA0"/>
    <w:rPr>
      <w:b/>
      <w:bCs/>
    </w:rPr>
  </w:style>
  <w:style w:type="paragraph" w:styleId="BalloonText">
    <w:name w:val="Balloon Text"/>
    <w:basedOn w:val="Normal"/>
    <w:link w:val="BalloonTextChar"/>
    <w:uiPriority w:val="99"/>
    <w:semiHidden/>
    <w:unhideWhenUsed/>
    <w:rsid w:val="002D6DA0"/>
    <w:rPr>
      <w:rFonts w:ascii="Tahoma" w:hAnsi="Tahoma" w:cs="Tahoma"/>
      <w:sz w:val="16"/>
      <w:szCs w:val="16"/>
    </w:rPr>
  </w:style>
  <w:style w:type="character" w:customStyle="1" w:styleId="BalloonTextChar">
    <w:name w:val="Balloon Text Char"/>
    <w:basedOn w:val="DefaultParagraphFont"/>
    <w:link w:val="BalloonText"/>
    <w:uiPriority w:val="99"/>
    <w:semiHidden/>
    <w:rsid w:val="002D6DA0"/>
    <w:rPr>
      <w:rFonts w:ascii="Tahoma" w:eastAsia="Times New Roman" w:hAnsi="Tahoma" w:cs="Tahoma"/>
      <w:sz w:val="16"/>
      <w:szCs w:val="16"/>
      <w:lang w:eastAsia="en-AU"/>
    </w:rPr>
  </w:style>
  <w:style w:type="character" w:styleId="FootnoteReference">
    <w:name w:val="footnote reference"/>
    <w:aliases w:val="(NECG) Footnote Reference,(NECG) Footnote Reference1,(NECG) Footnote Reference2,o"/>
    <w:basedOn w:val="DefaultParagraphFont"/>
    <w:rsid w:val="00121D43"/>
    <w:rPr>
      <w:rFonts w:ascii="Arial" w:hAnsi="Arial"/>
      <w:vertAlign w:val="superscript"/>
    </w:rPr>
  </w:style>
  <w:style w:type="paragraph" w:styleId="FootnoteText">
    <w:name w:val="footnote text"/>
    <w:aliases w:val="ACMA Footnote Text,ALTS FOOTNOTE,(NECG) Footnote Text,Footnote text,AR Footnote Text,AR Footnote Text Char Char Char Char Char,Footnote Text Char2,Footnote Text Char1 Char Char,Footnote Text Char Char Char Char,Footnote Text Char1 Char"/>
    <w:basedOn w:val="Normal"/>
    <w:link w:val="FootnoteTextChar"/>
    <w:rsid w:val="00121D43"/>
    <w:pPr>
      <w:spacing w:line="240" w:lineRule="atLeast"/>
    </w:pPr>
    <w:rPr>
      <w:rFonts w:ascii="HelveticaNeueLT Std Lt" w:hAnsi="HelveticaNeueLT Std Lt"/>
      <w:sz w:val="16"/>
      <w:szCs w:val="16"/>
    </w:rPr>
  </w:style>
  <w:style w:type="character" w:customStyle="1" w:styleId="FootnoteTextChar">
    <w:name w:val="Footnote Text Char"/>
    <w:aliases w:val="ACMA Footnote Text Char,ALTS FOOTNOTE Char,(NECG) Footnote Text Char,Footnote text Char,AR Footnote Text Char,AR Footnote Text Char Char Char Char Char Char,Footnote Text Char2 Char,Footnote Text Char1 Char Char Char"/>
    <w:basedOn w:val="DefaultParagraphFont"/>
    <w:link w:val="FootnoteText"/>
    <w:rsid w:val="00121D43"/>
    <w:rPr>
      <w:rFonts w:ascii="HelveticaNeueLT Std Lt" w:eastAsia="Times New Roman" w:hAnsi="HelveticaNeueLT Std Lt" w:cs="Times New Roman"/>
      <w:sz w:val="16"/>
      <w:szCs w:val="16"/>
      <w:lang w:eastAsia="en-AU"/>
    </w:rPr>
  </w:style>
</w:styles>
</file>

<file path=word/webSettings.xml><?xml version="1.0" encoding="utf-8"?>
<w:webSettings xmlns:r="http://schemas.openxmlformats.org/officeDocument/2006/relationships" xmlns:w="http://schemas.openxmlformats.org/wordprocessingml/2006/main">
  <w:divs>
    <w:div w:id="186944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cord_x0020_Number xmlns="83630db1-6fc2-4dfd-b3fe-d61d34e1440c">ER2013/024352</Record_x0020_Number>
    <Legacy_x0020_Record_x0020_Number xmlns="83630db1-6fc2-4dfd-b3fe-d61d34e1440c" xsi:nil="true"/>
    <IconOverlay xmlns="http://schemas.microsoft.com/sharepoint/v4" xsi:nil="true"/>
    <Category xmlns="5e268b55-9e20-462b-aba6-694451a37717">(none)</Category>
    <_dlc_DocId xmlns="6db8f3c6-01a1-4322-b043-a3b2a190f7a8">KNAH4PPFC442-1945-567</_dlc_DocId>
    <_dlc_DocIdUrl xmlns="6db8f3c6-01a1-4322-b043-a3b2a190f7a8">
      <Url>http://collaboration/organisation/Auth/Chair/Auth/_layouts/DocIdRedir.aspx?ID=KNAH4PPFC442-1945-567</Url>
      <Description>KNAH4PPFC442-1945-567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Record" ma:contentTypeID="0x01010070E27D6A746B5B48ADF22C2128054D5500020C07817F1F68498B2166EE12B17A57" ma:contentTypeVersion="35" ma:contentTypeDescription="A document enhanced so that it is automatically captured by RecordPoint." ma:contentTypeScope="" ma:versionID="e7e4629d89fad1c8ff1348d29791285f">
  <xsd:schema xmlns:xsd="http://www.w3.org/2001/XMLSchema" xmlns:xs="http://www.w3.org/2001/XMLSchema" xmlns:p="http://schemas.microsoft.com/office/2006/metadata/properties" xmlns:ns2="83630db1-6fc2-4dfd-b3fe-d61d34e1440c" xmlns:ns3="6db8f3c6-01a1-4322-b043-a3b2a190f7a8" xmlns:ns4="5e268b55-9e20-462b-aba6-694451a37717" xmlns:ns5="http://schemas.microsoft.com/sharepoint/v4" targetNamespace="http://schemas.microsoft.com/office/2006/metadata/properties" ma:root="true" ma:fieldsID="d30610679a7f49b9b50f4c260411420f" ns2:_="" ns3:_="" ns4:_="" ns5:_="">
    <xsd:import namespace="83630db1-6fc2-4dfd-b3fe-d61d34e1440c"/>
    <xsd:import namespace="6db8f3c6-01a1-4322-b043-a3b2a190f7a8"/>
    <xsd:import namespace="5e268b55-9e20-462b-aba6-694451a37717"/>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3"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033047a-93aa-421b-8aef-52cbfb63cf36" ContentTypeId="0x01010070E27D6A746B5B48ADF22C2128054D55"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4F5757-E9EE-4DD2-9B49-F25DB60A6B3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E86B412F-DFA3-4517-8E52-E6C001E42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70EC34-0122-4A1C-A37A-5E68A6F5045A}">
  <ds:schemaRefs>
    <ds:schemaRef ds:uri="Microsoft.SharePoint.Taxonomy.ContentTypeSync"/>
  </ds:schemaRefs>
</ds:datastoreItem>
</file>

<file path=customXml/itemProps4.xml><?xml version="1.0" encoding="utf-8"?>
<ds:datastoreItem xmlns:ds="http://schemas.openxmlformats.org/officeDocument/2006/customXml" ds:itemID="{AB5D7BBF-4475-44BC-88A9-51259AD26290}">
  <ds:schemaRefs>
    <ds:schemaRef ds:uri="http://schemas.microsoft.com/sharepoint/events"/>
  </ds:schemaRefs>
</ds:datastoreItem>
</file>

<file path=customXml/itemProps5.xml><?xml version="1.0" encoding="utf-8"?>
<ds:datastoreItem xmlns:ds="http://schemas.openxmlformats.org/officeDocument/2006/customXml" ds:itemID="{8BBC6112-A70B-46BA-85CF-370C974850E4}">
  <ds:schemaRefs>
    <ds:schemaRef ds:uri="http://schemas.microsoft.com/sharepoint/v3/contenttype/forms"/>
  </ds:schemaRefs>
</ds:datastoreItem>
</file>

<file path=customXml/itemProps6.xml><?xml version="1.0" encoding="utf-8"?>
<ds:datastoreItem xmlns:ds="http://schemas.openxmlformats.org/officeDocument/2006/customXml" ds:itemID="{FA389E0E-8554-42A6-AEB9-3A56DDA31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3190</Words>
  <Characters>18185</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jsteele</dc:creator>
  <cp:lastModifiedBy>Helen Turnbull</cp:lastModifiedBy>
  <cp:revision>2</cp:revision>
  <cp:lastPrinted>2013-06-17T01:01:00Z</cp:lastPrinted>
  <dcterms:created xsi:type="dcterms:W3CDTF">2013-06-21T00:55:00Z</dcterms:created>
  <dcterms:modified xsi:type="dcterms:W3CDTF">2013-06-21T00:55:00Z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0x01010070E27D6A746B5B48ADF22C2128054D5500020C07817F1F68498B2166EE12B17A57</vt:lpwstr>
  </property>
  <property fmtid="{D5CDD505-2E9C-101B-9397-08002B2CF9AE}" pid="3" name="_dlc_DocIdItemGuid">
    <vt:lpwstr>b5812a87-5d48-4e0f-bb32-233f04fa2a3d</vt:lpwstr>
  </property>
  <property fmtid="{D5CDD505-2E9C-101B-9397-08002B2CF9AE}" pid="4" name="RecordPoint_SubmissionDate">
    <vt:lpwstr/>
  </property>
  <property fmtid="{D5CDD505-2E9C-101B-9397-08002B2CF9AE}" pid="5" name="RecordPoint_ActiveItemSiteId">
    <vt:lpwstr>{7ba5f3c1-1ab9-4cc3-a7c0-334d2b0aec73}</vt:lpwstr>
  </property>
  <property fmtid="{D5CDD505-2E9C-101B-9397-08002B2CF9AE}" pid="6" name="RecordPoint_ActiveItemListId">
    <vt:lpwstr>{12ea2e24-8e38-48f0-8667-2a35c1c96989}</vt:lpwstr>
  </property>
  <property fmtid="{D5CDD505-2E9C-101B-9397-08002B2CF9AE}" pid="7" name="RecordPoint_ActiveItemMoved">
    <vt:lpwstr/>
  </property>
  <property fmtid="{D5CDD505-2E9C-101B-9397-08002B2CF9AE}" pid="8" name="RecordPoint_SubmissionCompleted">
    <vt:lpwstr>2013-06-18T10:23:34.1727122+10:00</vt:lpwstr>
  </property>
  <property fmtid="{D5CDD505-2E9C-101B-9397-08002B2CF9AE}" pid="9" name="RecordPoint_ActiveItemUniqueId">
    <vt:lpwstr>{b5812a87-5d48-4e0f-bb32-233f04fa2a3d}</vt:lpwstr>
  </property>
  <property fmtid="{D5CDD505-2E9C-101B-9397-08002B2CF9AE}" pid="10" name="RecordPoint_RecordFormat">
    <vt:lpwstr/>
  </property>
  <property fmtid="{D5CDD505-2E9C-101B-9397-08002B2CF9AE}" pid="11" name="RecordPoint_ActiveItemWebId">
    <vt:lpwstr>{e61cc4da-a431-400f-9f48-bf2ba12a7e9a}</vt:lpwstr>
  </property>
  <property fmtid="{D5CDD505-2E9C-101B-9397-08002B2CF9AE}" pid="12" name="RecordPoint_WorkflowType">
    <vt:lpwstr>ActiveSubmitStub</vt:lpwstr>
  </property>
</Properties>
</file>