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2F" w:rsidRDefault="00AA4E2F">
      <w:pPr>
        <w:rPr>
          <w:lang w:val="en-US"/>
        </w:rPr>
      </w:pPr>
    </w:p>
    <w:p w:rsidR="00AA4E2F" w:rsidRDefault="00AA4E2F" w:rsidP="00AA4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t>ustralian Securities and Investments Commission</w:t>
      </w: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br/>
        <w:t>Corporations Act 2001 – Sections 655A and 673 – Declaration</w:t>
      </w:r>
    </w:p>
    <w:p w:rsidR="00AA4E2F" w:rsidRPr="00674DBD" w:rsidRDefault="00AA4E2F" w:rsidP="00AA4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4E2F" w:rsidRDefault="00AA4E2F" w:rsidP="00AA4E2F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t>Enabling legislation</w:t>
      </w:r>
    </w:p>
    <w:p w:rsidR="00AA4E2F" w:rsidRPr="00674DBD" w:rsidRDefault="00AA4E2F" w:rsidP="00AA4E2F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075" w:rsidRDefault="00AA4E2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The Australian Securities and Investments Commission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makes this instrument </w:t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under sections 655A and 673 of the </w:t>
      </w:r>
      <w:r w:rsidRPr="00497825">
        <w:rPr>
          <w:rFonts w:ascii="Times New Roman" w:hAnsi="Times New Roman" w:cs="Times New Roman"/>
          <w:i/>
          <w:sz w:val="24"/>
          <w:szCs w:val="24"/>
          <w:lang w:val="en-US"/>
        </w:rPr>
        <w:t>Corporations Act 2001</w:t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the </w:t>
      </w:r>
      <w:r w:rsidRPr="00AA4E2F">
        <w:rPr>
          <w:rFonts w:ascii="Times New Roman" w:hAnsi="Times New Roman" w:cs="Times New Roman"/>
          <w:b/>
          <w:i/>
          <w:sz w:val="24"/>
          <w:szCs w:val="24"/>
          <w:lang w:val="en-US"/>
        </w:rPr>
        <w:t>Act</w:t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71F18" w:rsidRDefault="00E71F18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A4E2F" w:rsidRDefault="00AA4E2F" w:rsidP="00AA4E2F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266C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</w:p>
    <w:p w:rsidR="00AA4E2F" w:rsidRDefault="00AA4E2F" w:rsidP="00AA4E2F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4E2F" w:rsidRPr="00497825" w:rsidRDefault="00AA4E2F" w:rsidP="00E71F18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This instrument is ASIC Class Order </w:t>
      </w:r>
      <w:r w:rsidRPr="00BD6ED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71F18">
        <w:rPr>
          <w:rFonts w:ascii="Times New Roman" w:hAnsi="Times New Roman" w:cs="Times New Roman"/>
          <w:sz w:val="24"/>
          <w:szCs w:val="24"/>
          <w:lang w:val="en-US"/>
        </w:rPr>
        <w:t xml:space="preserve">CO </w:t>
      </w:r>
      <w:r w:rsidR="00A33ABC">
        <w:rPr>
          <w:rFonts w:ascii="Times New Roman" w:hAnsi="Times New Roman" w:cs="Times New Roman"/>
          <w:sz w:val="24"/>
          <w:szCs w:val="24"/>
          <w:lang w:val="en-US"/>
        </w:rPr>
        <w:t>13/</w:t>
      </w:r>
      <w:r w:rsidR="00E71F18">
        <w:rPr>
          <w:rFonts w:ascii="Times New Roman" w:hAnsi="Times New Roman" w:cs="Times New Roman"/>
          <w:sz w:val="24"/>
          <w:szCs w:val="24"/>
          <w:lang w:val="en-US"/>
        </w:rPr>
        <w:t>526</w:t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AA4E2F" w:rsidRDefault="00AA4E2F" w:rsidP="00AA4E2F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4E2F" w:rsidRDefault="00AA4E2F" w:rsidP="00AA4E2F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266C">
        <w:rPr>
          <w:rFonts w:ascii="Times New Roman" w:hAnsi="Times New Roman" w:cs="Times New Roman"/>
          <w:b/>
          <w:sz w:val="24"/>
          <w:szCs w:val="24"/>
          <w:lang w:val="en-US"/>
        </w:rPr>
        <w:t>Commencement</w:t>
      </w:r>
    </w:p>
    <w:p w:rsidR="00AA4E2F" w:rsidRDefault="00AA4E2F" w:rsidP="00AA4E2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A4E2F" w:rsidRDefault="00AA4E2F" w:rsidP="00AA4E2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This instrument commences on the day it is registered under the </w:t>
      </w:r>
      <w:r w:rsidRPr="00497825">
        <w:rPr>
          <w:rFonts w:ascii="Times New Roman" w:hAnsi="Times New Roman" w:cs="Times New Roman"/>
          <w:i/>
          <w:sz w:val="24"/>
          <w:szCs w:val="24"/>
          <w:lang w:val="en-US"/>
        </w:rPr>
        <w:t>Legislative Instruments Act 2003</w:t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3ABC" w:rsidRPr="00497825" w:rsidRDefault="00A33ABC" w:rsidP="00AA4E2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A4E2F" w:rsidRDefault="00AA4E2F" w:rsidP="00AA4E2F">
      <w:pPr>
        <w:tabs>
          <w:tab w:val="left" w:pos="567"/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ab/>
      </w:r>
      <w:r w:rsidRPr="008A7470">
        <w:rPr>
          <w:rFonts w:ascii="Times New Roman" w:hAnsi="Times New Roman"/>
          <w:sz w:val="18"/>
          <w:szCs w:val="18"/>
          <w:lang w:val="en-US"/>
        </w:rPr>
        <w:t>Note:</w:t>
      </w:r>
      <w:r w:rsidRPr="008A7470">
        <w:rPr>
          <w:rFonts w:ascii="Times New Roman" w:hAnsi="Times New Roman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8A7470">
        <w:rPr>
          <w:rFonts w:ascii="Times New Roman" w:hAnsi="Times New Roman"/>
          <w:i/>
          <w:sz w:val="18"/>
          <w:szCs w:val="18"/>
          <w:lang w:val="en-US"/>
        </w:rPr>
        <w:t>(</w:t>
      </w:r>
      <w:r w:rsidRPr="008A7470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Pr="008A7470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Pr="008A7470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Pr="008A7470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Pr="008A7470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Pr="008A7470">
        <w:rPr>
          <w:rFonts w:ascii="Times New Roman" w:hAnsi="Times New Roman"/>
          <w:sz w:val="18"/>
          <w:szCs w:val="18"/>
          <w:lang w:val="en-US"/>
        </w:rPr>
        <w:t xml:space="preserve">, section 4 (definition of </w:t>
      </w:r>
      <w:r w:rsidRPr="008A7470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Pr="008A7470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6" w:history="1">
        <w:r w:rsidRPr="008A7470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Pr="008A7470">
        <w:rPr>
          <w:rFonts w:ascii="Times New Roman" w:hAnsi="Times New Roman"/>
          <w:sz w:val="18"/>
          <w:szCs w:val="18"/>
          <w:lang w:val="en-US"/>
        </w:rPr>
        <w:t>.</w:t>
      </w:r>
    </w:p>
    <w:p w:rsidR="00A33ABC" w:rsidRPr="008A7470" w:rsidRDefault="00A33ABC" w:rsidP="00AA4E2F">
      <w:pPr>
        <w:tabs>
          <w:tab w:val="left" w:pos="567"/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b/>
          <w:sz w:val="18"/>
          <w:szCs w:val="18"/>
          <w:lang w:val="en-US"/>
        </w:rPr>
      </w:pPr>
    </w:p>
    <w:p w:rsidR="00AA4E2F" w:rsidRDefault="00AA4E2F" w:rsidP="00AA4E2F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687B">
        <w:rPr>
          <w:rFonts w:ascii="Times New Roman" w:hAnsi="Times New Roman" w:cs="Times New Roman"/>
          <w:b/>
          <w:sz w:val="24"/>
          <w:szCs w:val="24"/>
          <w:lang w:val="en-US"/>
        </w:rPr>
        <w:t>Declaration</w:t>
      </w:r>
    </w:p>
    <w:p w:rsidR="00A33ABC" w:rsidRDefault="00A33ABC" w:rsidP="00AA4E2F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682D" w:rsidRDefault="000D682D" w:rsidP="00A2197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A219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Chapters 6 and 6C of the Act apply to all persons as 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following provisions </w:t>
      </w:r>
      <w:r w:rsidR="00A21972">
        <w:rPr>
          <w:rFonts w:ascii="Times New Roman" w:hAnsi="Times New Roman" w:cs="Times New Roman"/>
          <w:sz w:val="24"/>
          <w:szCs w:val="24"/>
          <w:lang w:val="en-US"/>
        </w:rPr>
        <w:t>were modified or varied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682D" w:rsidRDefault="000D682D" w:rsidP="00A2197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12075" w:rsidRDefault="000D682D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0D682D">
        <w:rPr>
          <w:rFonts w:ascii="Times New Roman" w:hAnsi="Times New Roman" w:cs="Times New Roman"/>
          <w:sz w:val="24"/>
          <w:szCs w:val="24"/>
          <w:lang w:val="en-US"/>
        </w:rPr>
        <w:t xml:space="preserve">subsection 12(1)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D682D">
        <w:rPr>
          <w:rFonts w:ascii="Times New Roman" w:hAnsi="Times New Roman" w:cs="Times New Roman"/>
          <w:sz w:val="24"/>
          <w:szCs w:val="24"/>
          <w:lang w:val="en-US"/>
        </w:rPr>
        <w:t>mit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“Subject to subsection 16(1),”, substitute “Subject to subsections 16(1) and (1A),”</w:t>
      </w:r>
      <w:r w:rsidR="00B9454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1972" w:rsidRDefault="00A21972" w:rsidP="00A2197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12075" w:rsidRDefault="000D682D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after subsection 16(1) insert:</w:t>
      </w:r>
    </w:p>
    <w:p w:rsidR="00A12075" w:rsidRDefault="00A12075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12075" w:rsidRDefault="000D682D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94547">
        <w:rPr>
          <w:rFonts w:ascii="Times New Roman" w:hAnsi="Times New Roman" w:cs="Times New Roman"/>
          <w:sz w:val="24"/>
          <w:szCs w:val="24"/>
          <w:lang w:val="en-US"/>
        </w:rPr>
        <w:t>(1A)</w:t>
      </w:r>
      <w:r w:rsidR="00B945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627C">
        <w:rPr>
          <w:rFonts w:ascii="Times New Roman" w:hAnsi="Times New Roman" w:cs="Times New Roman"/>
          <w:sz w:val="24"/>
          <w:szCs w:val="24"/>
          <w:lang w:val="en-US"/>
        </w:rPr>
        <w:t xml:space="preserve">An issuer </w:t>
      </w:r>
      <w:r w:rsidR="00A21972">
        <w:rPr>
          <w:rFonts w:ascii="Times New Roman" w:hAnsi="Times New Roman" w:cs="Times New Roman"/>
          <w:sz w:val="24"/>
          <w:szCs w:val="24"/>
          <w:lang w:val="en-US"/>
        </w:rPr>
        <w:t xml:space="preserve">of a warrant </w:t>
      </w:r>
      <w:r w:rsidR="00B34A73">
        <w:rPr>
          <w:rFonts w:ascii="Times New Roman" w:hAnsi="Times New Roman" w:cs="Times New Roman"/>
          <w:sz w:val="24"/>
          <w:szCs w:val="24"/>
          <w:lang w:val="en-US"/>
        </w:rPr>
        <w:t>and a holder</w:t>
      </w:r>
      <w:r w:rsidR="00A21972">
        <w:rPr>
          <w:rFonts w:ascii="Times New Roman" w:hAnsi="Times New Roman" w:cs="Times New Roman"/>
          <w:sz w:val="24"/>
          <w:szCs w:val="24"/>
          <w:lang w:val="en-US"/>
        </w:rPr>
        <w:t xml:space="preserve"> of the warrant </w:t>
      </w:r>
      <w:r w:rsidR="00B34A73">
        <w:rPr>
          <w:rFonts w:ascii="Times New Roman" w:hAnsi="Times New Roman" w:cs="Times New Roman"/>
          <w:sz w:val="24"/>
          <w:szCs w:val="24"/>
          <w:lang w:val="en-US"/>
        </w:rPr>
        <w:t xml:space="preserve">are not associates of each other </w:t>
      </w:r>
      <w:r w:rsidR="00A21972">
        <w:rPr>
          <w:rFonts w:ascii="Times New Roman" w:hAnsi="Times New Roman" w:cs="Times New Roman"/>
          <w:sz w:val="24"/>
          <w:szCs w:val="24"/>
          <w:lang w:val="en-US"/>
        </w:rPr>
        <w:t>merely because</w:t>
      </w:r>
      <w:r w:rsidR="00414D58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7F0FB9">
        <w:rPr>
          <w:rFonts w:ascii="Times New Roman" w:hAnsi="Times New Roman" w:cs="Times New Roman"/>
          <w:sz w:val="24"/>
          <w:szCs w:val="24"/>
          <w:lang w:val="en-US"/>
        </w:rPr>
        <w:t xml:space="preserve">terms of the </w:t>
      </w:r>
      <w:r w:rsidR="00414D58"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="007F0F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2075" w:rsidRDefault="00A12075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12075" w:rsidRDefault="00B9454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purposes of this subsection, </w:t>
      </w:r>
      <w:r w:rsidR="00966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1B6" w:rsidRPr="00A701B6">
        <w:rPr>
          <w:rFonts w:ascii="Times New Roman" w:hAnsi="Times New Roman" w:cs="Times New Roman"/>
          <w:b/>
          <w:i/>
          <w:sz w:val="24"/>
          <w:szCs w:val="24"/>
          <w:lang w:val="en-US"/>
        </w:rPr>
        <w:t>warrant</w:t>
      </w:r>
      <w:r w:rsidR="0096627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701B6" w:rsidRPr="00A701B6">
        <w:rPr>
          <w:rFonts w:ascii="Times New Roman" w:hAnsi="Times New Roman" w:cs="Times New Roman"/>
          <w:b/>
          <w:i/>
          <w:sz w:val="24"/>
          <w:szCs w:val="24"/>
          <w:lang w:val="en-US"/>
        </w:rPr>
        <w:t>holder</w:t>
      </w:r>
      <w:r w:rsidR="0096627C">
        <w:rPr>
          <w:rFonts w:ascii="Times New Roman" w:hAnsi="Times New Roman" w:cs="Times New Roman"/>
          <w:sz w:val="24"/>
          <w:szCs w:val="24"/>
          <w:lang w:val="en-US"/>
        </w:rPr>
        <w:t xml:space="preserve"> have the respective meanings given </w:t>
      </w:r>
      <w:r w:rsidR="00075B6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6627C">
        <w:rPr>
          <w:rFonts w:ascii="Times New Roman" w:hAnsi="Times New Roman" w:cs="Times New Roman"/>
          <w:sz w:val="24"/>
          <w:szCs w:val="24"/>
          <w:lang w:val="en-US"/>
        </w:rPr>
        <w:t xml:space="preserve"> subsection 609(6</w:t>
      </w:r>
      <w:r w:rsidR="00C8034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6627C">
        <w:rPr>
          <w:rFonts w:ascii="Times New Roman" w:hAnsi="Times New Roman" w:cs="Times New Roman"/>
          <w:sz w:val="24"/>
          <w:szCs w:val="24"/>
          <w:lang w:val="en-US"/>
        </w:rPr>
        <w:t>).”.</w:t>
      </w:r>
    </w:p>
    <w:p w:rsidR="00A12075" w:rsidRDefault="00A1207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B94547" w:rsidP="001604D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A4E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4E2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Chapters 6 and 6C of the Act apply to </w:t>
      </w:r>
      <w:r w:rsidR="007F5BBE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AA4E2F">
        <w:rPr>
          <w:rFonts w:ascii="Times New Roman" w:hAnsi="Times New Roman" w:cs="Times New Roman"/>
          <w:sz w:val="24"/>
          <w:szCs w:val="24"/>
          <w:lang w:val="en-US"/>
        </w:rPr>
        <w:t xml:space="preserve"> person</w:t>
      </w:r>
      <w:r w:rsidR="00AF43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A4E2F">
        <w:rPr>
          <w:rFonts w:ascii="Times New Roman" w:hAnsi="Times New Roman" w:cs="Times New Roman"/>
          <w:sz w:val="24"/>
          <w:szCs w:val="24"/>
          <w:lang w:val="en-US"/>
        </w:rPr>
        <w:t xml:space="preserve"> as if section 609 were modified or varied by</w:t>
      </w:r>
      <w:r w:rsidR="007F5BBE">
        <w:rPr>
          <w:rFonts w:ascii="Times New Roman" w:hAnsi="Times New Roman" w:cs="Times New Roman"/>
          <w:sz w:val="24"/>
          <w:szCs w:val="24"/>
          <w:lang w:val="en-US"/>
        </w:rPr>
        <w:t xml:space="preserve"> as follows</w:t>
      </w:r>
      <w:r w:rsidR="00AA4E2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71F18" w:rsidRDefault="00E71F18" w:rsidP="001604D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7F5BBE" w:rsidP="001604D6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AA4E2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A4E2F">
        <w:rPr>
          <w:rFonts w:ascii="Times New Roman" w:hAnsi="Times New Roman" w:cs="Times New Roman"/>
          <w:sz w:val="24"/>
          <w:szCs w:val="24"/>
          <w:lang w:val="en-US"/>
        </w:rPr>
        <w:t>mit subsection (6)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(including the heading</w:t>
      </w:r>
      <w:r w:rsidR="003740A3">
        <w:rPr>
          <w:rFonts w:ascii="Times New Roman" w:hAnsi="Times New Roman" w:cs="Times New Roman"/>
          <w:sz w:val="24"/>
          <w:szCs w:val="24"/>
          <w:lang w:val="en-US"/>
        </w:rPr>
        <w:t xml:space="preserve"> but excluding the note</w:t>
      </w:r>
      <w:r>
        <w:rPr>
          <w:rFonts w:ascii="Times New Roman" w:hAnsi="Times New Roman" w:cs="Times New Roman"/>
          <w:sz w:val="24"/>
          <w:szCs w:val="24"/>
          <w:lang w:val="en-US"/>
        </w:rPr>
        <w:t>), substitute</w:t>
      </w:r>
      <w:r w:rsidR="00AA4E2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F5BBE" w:rsidRDefault="007F5BBE" w:rsidP="007F5BBE">
      <w:pPr>
        <w:spacing w:after="0" w:line="240" w:lineRule="auto"/>
        <w:ind w:left="2160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F5BBE" w:rsidRDefault="00AA4E2F" w:rsidP="007F5BB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604D6" w:rsidRPr="001604D6">
        <w:rPr>
          <w:rFonts w:ascii="Times New Roman" w:hAnsi="Times New Roman" w:cs="Times New Roman"/>
          <w:i/>
          <w:sz w:val="24"/>
          <w:szCs w:val="24"/>
          <w:lang w:val="en-US"/>
        </w:rPr>
        <w:t>Market traded options, derivatives and warrants</w:t>
      </w:r>
    </w:p>
    <w:p w:rsidR="007F5BBE" w:rsidRDefault="007F5BBE" w:rsidP="007F5BB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A4E2F" w:rsidRDefault="00AA4E2F" w:rsidP="007F5BB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</w:t>
      </w:r>
      <w:r w:rsidR="007F5BBE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person does not have a relevant interest in securities merely </w:t>
      </w:r>
      <w:r w:rsidR="007F5BB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ecause of:</w:t>
      </w:r>
    </w:p>
    <w:p w:rsidR="007F5BBE" w:rsidRDefault="007F5BBE" w:rsidP="007F5BB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A4E2F" w:rsidRDefault="00AA4E2F" w:rsidP="007F5BBE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 market traded option over the securities;</w:t>
      </w:r>
      <w:r w:rsidR="003740A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</w:p>
    <w:p w:rsidR="007F5BBE" w:rsidRDefault="007F5BBE" w:rsidP="007F5BBE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F5BBE" w:rsidRDefault="007F5BBE" w:rsidP="007F5BBE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E2F">
        <w:rPr>
          <w:rFonts w:ascii="Times New Roman" w:hAnsi="Times New Roman" w:cs="Times New Roman"/>
          <w:sz w:val="24"/>
          <w:szCs w:val="24"/>
          <w:lang w:val="en-US"/>
        </w:rPr>
        <w:t>a right to acquire the securities by a derivative; or</w:t>
      </w:r>
    </w:p>
    <w:p w:rsidR="007F5BBE" w:rsidRDefault="007F5BBE" w:rsidP="007F5BB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740A3" w:rsidRDefault="00AA4E2F" w:rsidP="007F5BBE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</w:t>
      </w:r>
      <w:r w:rsidR="007F5BB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5624">
        <w:rPr>
          <w:rFonts w:ascii="Times New Roman" w:hAnsi="Times New Roman" w:cs="Times New Roman"/>
          <w:sz w:val="24"/>
          <w:szCs w:val="24"/>
          <w:lang w:val="en-US"/>
        </w:rPr>
        <w:t xml:space="preserve">a right </w:t>
      </w:r>
      <w:r w:rsidR="003740A3">
        <w:rPr>
          <w:rFonts w:ascii="Times New Roman" w:hAnsi="Times New Roman" w:cs="Times New Roman"/>
          <w:sz w:val="24"/>
          <w:szCs w:val="24"/>
          <w:lang w:val="en-US"/>
        </w:rPr>
        <w:t>under a call warrant:</w:t>
      </w:r>
    </w:p>
    <w:p w:rsidR="003740A3" w:rsidRDefault="003740A3" w:rsidP="007F5BBE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3740A3" w:rsidP="001604D6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E2F" w:rsidRPr="004F5624">
        <w:rPr>
          <w:rFonts w:ascii="Times New Roman" w:hAnsi="Times New Roman" w:cs="Times New Roman"/>
          <w:sz w:val="24"/>
          <w:szCs w:val="24"/>
          <w:lang w:val="en-US"/>
        </w:rPr>
        <w:t>to acquire the securities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A4E2F" w:rsidRPr="004F562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</w:p>
    <w:p w:rsidR="001604D6" w:rsidRDefault="001604D6" w:rsidP="001604D6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3740A3" w:rsidP="001604D6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E2F" w:rsidRPr="004F5624">
        <w:rPr>
          <w:rFonts w:ascii="Times New Roman" w:hAnsi="Times New Roman" w:cs="Times New Roman"/>
          <w:sz w:val="24"/>
          <w:szCs w:val="24"/>
          <w:lang w:val="en-US"/>
        </w:rPr>
        <w:t xml:space="preserve">to require the securities </w:t>
      </w:r>
      <w:r w:rsidR="00EC711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4E2F" w:rsidRPr="004F562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AA4E2F" w:rsidRPr="004F5624">
        <w:rPr>
          <w:rFonts w:ascii="Times New Roman" w:hAnsi="Times New Roman" w:cs="Times New Roman"/>
          <w:sz w:val="24"/>
          <w:szCs w:val="24"/>
          <w:lang w:val="en-US"/>
        </w:rPr>
        <w:t xml:space="preserve"> in trust.</w:t>
      </w:r>
    </w:p>
    <w:p w:rsidR="007F5BBE" w:rsidRDefault="007F5BBE" w:rsidP="007F5BBE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AA4E2F" w:rsidP="001604D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subsection stops applying to the relevant interest when the obligation to make or take delivery of the securities arises.</w:t>
      </w:r>
    </w:p>
    <w:p w:rsidR="001604D6" w:rsidRDefault="001604D6" w:rsidP="001604D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3C3C8E" w:rsidRPr="003C3C8E" w:rsidRDefault="00A701B6" w:rsidP="001604D6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701B6">
        <w:rPr>
          <w:rFonts w:ascii="Times New Roman" w:hAnsi="Times New Roman" w:cs="Times New Roman"/>
          <w:i/>
          <w:sz w:val="24"/>
          <w:szCs w:val="24"/>
          <w:lang w:val="en-US"/>
        </w:rPr>
        <w:t>Issuers of call warrants</w:t>
      </w:r>
    </w:p>
    <w:p w:rsidR="003C3C8E" w:rsidRDefault="003C3C8E" w:rsidP="001604D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1963F1" w:rsidP="001604D6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963F1">
        <w:rPr>
          <w:rFonts w:ascii="Times New Roman" w:hAnsi="Times New Roman" w:cs="Times New Roman"/>
          <w:sz w:val="24"/>
          <w:szCs w:val="24"/>
          <w:lang w:val="en-US"/>
        </w:rPr>
        <w:t>(6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 xml:space="preserve"> issuer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 call warrant 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 xml:space="preserve">does not have a relevant interest in </w:t>
      </w:r>
      <w:r w:rsidR="00FE1F44">
        <w:rPr>
          <w:rFonts w:ascii="Times New Roman" w:hAnsi="Times New Roman" w:cs="Times New Roman"/>
          <w:sz w:val="24"/>
          <w:szCs w:val="24"/>
          <w:lang w:val="en-US"/>
        </w:rPr>
        <w:t>securit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2010E9">
        <w:rPr>
          <w:rFonts w:ascii="Times New Roman" w:hAnsi="Times New Roman" w:cs="Times New Roman"/>
          <w:sz w:val="24"/>
          <w:szCs w:val="24"/>
          <w:lang w:val="en-US"/>
        </w:rPr>
        <w:t xml:space="preserve"> to which the warrant relates merely because the securities are 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 xml:space="preserve"> held in trust under the terms of the </w:t>
      </w:r>
      <w:r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="002010E9">
        <w:rPr>
          <w:rFonts w:ascii="Times New Roman" w:hAnsi="Times New Roman" w:cs="Times New Roman"/>
          <w:sz w:val="24"/>
          <w:szCs w:val="24"/>
          <w:lang w:val="en-US"/>
        </w:rPr>
        <w:t>, provided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 xml:space="preserve"> the issuer has no power to control the voting or disposal of the securit</w:t>
      </w:r>
      <w:r w:rsidR="00FE1F44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 xml:space="preserve"> (other than to enforce the terms of the trust or to retain ownership </w:t>
      </w:r>
      <w:r w:rsidR="00FE1F44">
        <w:rPr>
          <w:rFonts w:ascii="Times New Roman" w:hAnsi="Times New Roman" w:cs="Times New Roman"/>
          <w:sz w:val="24"/>
          <w:szCs w:val="24"/>
          <w:lang w:val="en-US"/>
        </w:rPr>
        <w:t xml:space="preserve">of the securities 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 xml:space="preserve">if the </w:t>
      </w:r>
      <w:r w:rsidR="00FE1F44"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 xml:space="preserve"> expires unexercised or the holder </w:t>
      </w:r>
      <w:r w:rsidR="00FE1F44">
        <w:rPr>
          <w:rFonts w:ascii="Times New Roman" w:hAnsi="Times New Roman" w:cs="Times New Roman"/>
          <w:sz w:val="24"/>
          <w:szCs w:val="24"/>
          <w:lang w:val="en-US"/>
        </w:rPr>
        <w:t xml:space="preserve">of the warrant 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 xml:space="preserve">defaults) unless and until the </w:t>
      </w:r>
      <w:r w:rsidR="00FE1F44"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Pr="001963F1">
        <w:rPr>
          <w:rFonts w:ascii="Times New Roman" w:hAnsi="Times New Roman" w:cs="Times New Roman"/>
          <w:sz w:val="24"/>
          <w:szCs w:val="24"/>
          <w:lang w:val="en-US"/>
        </w:rPr>
        <w:t xml:space="preserve"> expires.</w:t>
      </w:r>
    </w:p>
    <w:p w:rsidR="003C3C8E" w:rsidRDefault="003C3C8E" w:rsidP="001604D6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B94547" w:rsidRDefault="003C3C8E" w:rsidP="001604D6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If an</w:t>
      </w:r>
      <w:r w:rsidR="00C449C7">
        <w:rPr>
          <w:rFonts w:ascii="Times New Roman" w:hAnsi="Times New Roman" w:cs="Times New Roman"/>
          <w:sz w:val="24"/>
          <w:szCs w:val="24"/>
          <w:lang w:val="en-US"/>
        </w:rPr>
        <w:t xml:space="preserve"> issuer of a call warrant has a relevant interest in securities because subsection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(6A) </w:t>
      </w:r>
      <w:r w:rsidR="00C449C7">
        <w:rPr>
          <w:rFonts w:ascii="Times New Roman" w:hAnsi="Times New Roman" w:cs="Times New Roman"/>
          <w:sz w:val="24"/>
          <w:szCs w:val="24"/>
          <w:lang w:val="en-US"/>
        </w:rPr>
        <w:t>ceases to apply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issuer </w:t>
      </w:r>
      <w:r w:rsidR="00C449C7">
        <w:rPr>
          <w:rFonts w:ascii="Times New Roman" w:hAnsi="Times New Roman" w:cs="Times New Roman"/>
          <w:sz w:val="24"/>
          <w:szCs w:val="24"/>
          <w:lang w:val="en-US"/>
        </w:rPr>
        <w:t>is taken to acquire a relevant interest in the securities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that time</w:t>
      </w:r>
      <w:r w:rsidR="00C449C7">
        <w:rPr>
          <w:rFonts w:ascii="Times New Roman" w:hAnsi="Times New Roman" w:cs="Times New Roman"/>
          <w:sz w:val="24"/>
          <w:szCs w:val="24"/>
          <w:lang w:val="en-US"/>
        </w:rPr>
        <w:t>, by a transaction in relation to the securities.</w:t>
      </w:r>
    </w:p>
    <w:p w:rsidR="00E71F18" w:rsidRDefault="00E71F18" w:rsidP="001604D6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C3C8E" w:rsidRPr="003C3C8E" w:rsidRDefault="003C3C8E" w:rsidP="003C3C8E">
      <w:pPr>
        <w:spacing w:after="0" w:line="240" w:lineRule="auto"/>
        <w:ind w:left="170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3C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Issuers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put </w:t>
      </w:r>
      <w:r w:rsidRPr="003C3C8E">
        <w:rPr>
          <w:rFonts w:ascii="Times New Roman" w:hAnsi="Times New Roman" w:cs="Times New Roman"/>
          <w:i/>
          <w:sz w:val="24"/>
          <w:szCs w:val="24"/>
          <w:lang w:val="en-US"/>
        </w:rPr>
        <w:t>warrants</w:t>
      </w:r>
    </w:p>
    <w:p w:rsidR="003C3C8E" w:rsidRDefault="003C3C8E" w:rsidP="001604D6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F0FB9" w:rsidRDefault="007F0FB9" w:rsidP="007F0FB9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F0FB9"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3C3C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 xml:space="preserve"> issuer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 put warrant 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 xml:space="preserve">does not have a relevant interest in </w:t>
      </w:r>
      <w:r>
        <w:rPr>
          <w:rFonts w:ascii="Times New Roman" w:hAnsi="Times New Roman" w:cs="Times New Roman"/>
          <w:sz w:val="24"/>
          <w:szCs w:val="24"/>
          <w:lang w:val="en-US"/>
        </w:rPr>
        <w:t>securities to which the warrant relates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 xml:space="preserve"> merely because:</w:t>
      </w:r>
    </w:p>
    <w:p w:rsidR="007F0FB9" w:rsidRPr="007F0FB9" w:rsidRDefault="007F0FB9" w:rsidP="007F0FB9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10158" w:rsidRDefault="007F0FB9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F0FB9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holder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warrant 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 xml:space="preserve">has an option, under the terms of the </w:t>
      </w:r>
      <w:r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>, to require the issuer to acquire the securit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>; or</w:t>
      </w:r>
    </w:p>
    <w:p w:rsidR="00010158" w:rsidRDefault="00010158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10158" w:rsidRDefault="007F0FB9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F0FB9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under the </w:t>
      </w:r>
      <w:r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 xml:space="preserve"> or a trust securing the obligations of the issuer or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 xml:space="preserve"> holder under the </w:t>
      </w:r>
      <w:r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>, the issuer can exercise power to control the voting or disposal of the security</w:t>
      </w:r>
      <w:r w:rsidR="00C54938">
        <w:rPr>
          <w:rFonts w:ascii="Times New Roman" w:hAnsi="Times New Roman" w:cs="Times New Roman"/>
          <w:sz w:val="24"/>
          <w:szCs w:val="24"/>
          <w:lang w:val="en-US"/>
        </w:rPr>
        <w:t>, provided the power can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 xml:space="preserve"> only </w:t>
      </w:r>
      <w:r w:rsidR="00C54938">
        <w:rPr>
          <w:rFonts w:ascii="Times New Roman" w:hAnsi="Times New Roman" w:cs="Times New Roman"/>
          <w:sz w:val="24"/>
          <w:szCs w:val="24"/>
          <w:lang w:val="en-US"/>
        </w:rPr>
        <w:t xml:space="preserve">be exercised 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>where:</w:t>
      </w:r>
    </w:p>
    <w:p w:rsidR="00010158" w:rsidRDefault="00010158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10158" w:rsidRDefault="007F0FB9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F0FB9">
        <w:rPr>
          <w:rFonts w:ascii="Times New Roman" w:hAnsi="Times New Roman" w:cs="Times New Roman"/>
          <w:sz w:val="24"/>
          <w:szCs w:val="24"/>
          <w:lang w:val="en-US"/>
        </w:rPr>
        <w:t>(i)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option under the </w:t>
      </w:r>
      <w:r w:rsidR="00C54938"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 xml:space="preserve"> is exercised; or</w:t>
      </w:r>
    </w:p>
    <w:p w:rsidR="00010158" w:rsidRDefault="00010158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10158" w:rsidRDefault="007F0FB9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F0FB9">
        <w:rPr>
          <w:rFonts w:ascii="Times New Roman" w:hAnsi="Times New Roman" w:cs="Times New Roman"/>
          <w:sz w:val="24"/>
          <w:szCs w:val="24"/>
          <w:lang w:val="en-US"/>
        </w:rPr>
        <w:t>(ii)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option under the </w:t>
      </w:r>
      <w:r w:rsidR="00C54938"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 xml:space="preserve"> expires unexercised; or</w:t>
      </w:r>
    </w:p>
    <w:p w:rsidR="00010158" w:rsidRDefault="00010158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10158" w:rsidRDefault="007F0FB9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F0FB9">
        <w:rPr>
          <w:rFonts w:ascii="Times New Roman" w:hAnsi="Times New Roman" w:cs="Times New Roman"/>
          <w:sz w:val="24"/>
          <w:szCs w:val="24"/>
          <w:lang w:val="en-US"/>
        </w:rPr>
        <w:t>(iii)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ab/>
        <w:t>the issuer enforces the terms of the trust; or</w:t>
      </w:r>
    </w:p>
    <w:p w:rsidR="00010158" w:rsidRDefault="00010158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10158" w:rsidRDefault="007F0FB9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F0FB9">
        <w:rPr>
          <w:rFonts w:ascii="Times New Roman" w:hAnsi="Times New Roman" w:cs="Times New Roman"/>
          <w:sz w:val="24"/>
          <w:szCs w:val="24"/>
          <w:lang w:val="en-US"/>
        </w:rPr>
        <w:t>(iv)</w:t>
      </w:r>
      <w:r w:rsidRPr="007F0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holder defaults under the </w:t>
      </w:r>
      <w:r w:rsidR="00C54938"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0158" w:rsidRDefault="00010158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12075" w:rsidRDefault="00E8408A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8408A">
        <w:rPr>
          <w:rFonts w:ascii="Times New Roman" w:hAnsi="Times New Roman" w:cs="Times New Roman"/>
          <w:sz w:val="24"/>
          <w:szCs w:val="24"/>
          <w:lang w:val="en-US"/>
        </w:rPr>
        <w:t>(6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408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8408A">
        <w:rPr>
          <w:rFonts w:ascii="Times New Roman" w:hAnsi="Times New Roman" w:cs="Times New Roman"/>
          <w:sz w:val="24"/>
          <w:szCs w:val="24"/>
          <w:lang w:val="en-US"/>
        </w:rPr>
        <w:tab/>
        <w:t xml:space="preserve">If an issuer of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put </w:t>
      </w:r>
      <w:r w:rsidRPr="00E8408A">
        <w:rPr>
          <w:rFonts w:ascii="Times New Roman" w:hAnsi="Times New Roman" w:cs="Times New Roman"/>
          <w:sz w:val="24"/>
          <w:szCs w:val="24"/>
          <w:lang w:val="en-US"/>
        </w:rPr>
        <w:t>warrant has a relevant interest in securities because subsection (6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408A">
        <w:rPr>
          <w:rFonts w:ascii="Times New Roman" w:hAnsi="Times New Roman" w:cs="Times New Roman"/>
          <w:sz w:val="24"/>
          <w:szCs w:val="24"/>
          <w:lang w:val="en-US"/>
        </w:rPr>
        <w:t xml:space="preserve">) ceases to apply, the issuer is taken to </w:t>
      </w:r>
      <w:r w:rsidRPr="00E8408A">
        <w:rPr>
          <w:rFonts w:ascii="Times New Roman" w:hAnsi="Times New Roman" w:cs="Times New Roman"/>
          <w:sz w:val="24"/>
          <w:szCs w:val="24"/>
          <w:lang w:val="en-US"/>
        </w:rPr>
        <w:lastRenderedPageBreak/>
        <w:t>acquire a relevant interest in the securities at that time, by a transaction in relation to the securities.</w:t>
      </w:r>
    </w:p>
    <w:p w:rsidR="00A12075" w:rsidRDefault="00A12075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8408A" w:rsidRPr="00E8408A" w:rsidRDefault="00A701B6" w:rsidP="006F4B1E">
      <w:pPr>
        <w:spacing w:after="0" w:line="240" w:lineRule="auto"/>
        <w:ind w:left="170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701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Warrant trustees </w:t>
      </w:r>
    </w:p>
    <w:p w:rsidR="00E8408A" w:rsidRDefault="00E8408A" w:rsidP="006F4B1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F4B1E" w:rsidRDefault="006F4B1E" w:rsidP="006F4B1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E8408A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Subsection (2) applies to 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 xml:space="preserve">a person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(the </w:t>
      </w:r>
      <w:r w:rsidR="001604D6" w:rsidRPr="001604D6">
        <w:rPr>
          <w:rFonts w:ascii="Times New Roman" w:hAnsi="Times New Roman" w:cs="Times New Roman"/>
          <w:b/>
          <w:i/>
          <w:sz w:val="24"/>
          <w:szCs w:val="24"/>
          <w:lang w:val="en-US"/>
        </w:rPr>
        <w:t>trustee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356D47" w:rsidRPr="00356D47">
        <w:rPr>
          <w:rFonts w:ascii="Times New Roman" w:hAnsi="Times New Roman" w:cs="Times New Roman"/>
          <w:sz w:val="24"/>
          <w:szCs w:val="24"/>
          <w:lang w:val="en-US"/>
        </w:rPr>
        <w:t xml:space="preserve"> would otherwise have a relevant interest in securities as a trustee under a trust for the purpose of satisfying rights or obligations of the issuer or holder of </w:t>
      </w:r>
      <w:r w:rsidR="00E146F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56D47" w:rsidRPr="00356D47">
        <w:rPr>
          <w:rFonts w:ascii="Times New Roman" w:hAnsi="Times New Roman" w:cs="Times New Roman"/>
          <w:sz w:val="24"/>
          <w:szCs w:val="24"/>
          <w:lang w:val="en-US"/>
        </w:rPr>
        <w:t>warrant</w:t>
      </w:r>
      <w:r w:rsidR="00E146FF">
        <w:rPr>
          <w:rFonts w:ascii="Times New Roman" w:hAnsi="Times New Roman" w:cs="Times New Roman"/>
          <w:sz w:val="24"/>
          <w:szCs w:val="24"/>
          <w:lang w:val="en-US"/>
        </w:rPr>
        <w:t xml:space="preserve"> to which the securities relate because the trustee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F4B1E" w:rsidRDefault="006F4B1E" w:rsidP="006F4B1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6F4B1E" w:rsidP="001604D6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 xml:space="preserve">holds </w:t>
      </w:r>
      <w:r w:rsidR="00E146F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>securities; or</w:t>
      </w:r>
    </w:p>
    <w:p w:rsidR="001604D6" w:rsidRDefault="001604D6" w:rsidP="001604D6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6F4B1E" w:rsidP="001604D6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 xml:space="preserve">would so hold such securities on trust but for </w:t>
      </w:r>
      <w:r w:rsidR="00010158">
        <w:rPr>
          <w:rFonts w:ascii="Times New Roman" w:hAnsi="Times New Roman" w:cs="Times New Roman"/>
          <w:sz w:val="24"/>
          <w:szCs w:val="24"/>
          <w:lang w:val="en-US"/>
        </w:rPr>
        <w:t>dealing in the securities under a securities lending arrangement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the terms of the trust deed on ordinary commercial terms:</w:t>
      </w:r>
    </w:p>
    <w:p w:rsidR="00356D47" w:rsidRDefault="00356D47" w:rsidP="006F4B1E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146FF" w:rsidRDefault="00E146FF" w:rsidP="006F4B1E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despite: </w:t>
      </w:r>
    </w:p>
    <w:p w:rsidR="00356D47" w:rsidRPr="006F4B1E" w:rsidRDefault="00356D47" w:rsidP="006F4B1E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F4B1E" w:rsidRDefault="006F4B1E" w:rsidP="00FC26D3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F4B1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trustee having any of the following discretions 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 xml:space="preserve">which, 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>under the terms of the trust deed relating to the warrant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 xml:space="preserve">, may only be exercised </w:t>
      </w:r>
      <w:r w:rsidR="00FC26D3" w:rsidRPr="00FC26D3">
        <w:rPr>
          <w:rFonts w:ascii="Times New Roman" w:hAnsi="Times New Roman" w:cs="Times New Roman"/>
          <w:sz w:val="24"/>
          <w:szCs w:val="24"/>
          <w:lang w:val="en-US"/>
        </w:rPr>
        <w:t>on ordinary commercial terms or in an ordinary commercial manner as the case requires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F4B1E" w:rsidRPr="006F4B1E" w:rsidRDefault="006F4B1E" w:rsidP="006F4B1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F4B1E" w:rsidRDefault="006F4B1E" w:rsidP="00FC26D3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F4B1E">
        <w:rPr>
          <w:rFonts w:ascii="Times New Roman" w:hAnsi="Times New Roman" w:cs="Times New Roman"/>
          <w:sz w:val="24"/>
          <w:szCs w:val="24"/>
          <w:lang w:val="en-US"/>
        </w:rPr>
        <w:t>(i)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ab/>
        <w:t>discretions where the issuer or holder of the warrant becomes insolvent or breaches a term of the warrant;</w:t>
      </w:r>
    </w:p>
    <w:p w:rsidR="006F4B1E" w:rsidRPr="006F4B1E" w:rsidRDefault="006F4B1E" w:rsidP="00FC26D3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F4B1E" w:rsidRDefault="006F4B1E" w:rsidP="00FC26D3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F4B1E">
        <w:rPr>
          <w:rFonts w:ascii="Times New Roman" w:hAnsi="Times New Roman" w:cs="Times New Roman"/>
          <w:sz w:val="24"/>
          <w:szCs w:val="24"/>
          <w:lang w:val="en-US"/>
        </w:rPr>
        <w:t>(ii)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ab/>
        <w:t>discretions in relation to bonus issues, rights issues, returns of capital, security splits, security consolidations or other reconstructions of capital affecting the securities; or</w:t>
      </w:r>
    </w:p>
    <w:p w:rsidR="006F4B1E" w:rsidRPr="006F4B1E" w:rsidRDefault="006F4B1E" w:rsidP="00FC26D3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F4B1E" w:rsidRDefault="006F4B1E" w:rsidP="00FC26D3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F4B1E">
        <w:rPr>
          <w:rFonts w:ascii="Times New Roman" w:hAnsi="Times New Roman" w:cs="Times New Roman"/>
          <w:sz w:val="24"/>
          <w:szCs w:val="24"/>
          <w:lang w:val="en-US"/>
        </w:rPr>
        <w:t>(iii)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discretions in relation to a takeover bid for or a 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>compromise or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 xml:space="preserve"> arrangement 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>under Part 5.1 a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>ffecting the issuer of the securities but not in relation to voting or disposal of the securities; or</w:t>
      </w:r>
    </w:p>
    <w:p w:rsidR="006F4B1E" w:rsidRPr="006F4B1E" w:rsidRDefault="006F4B1E" w:rsidP="00FC26D3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F4B1E" w:rsidRDefault="006F4B1E" w:rsidP="00FC26D3">
      <w:pPr>
        <w:spacing w:after="0" w:line="240" w:lineRule="auto"/>
        <w:ind w:left="283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F4B1E">
        <w:rPr>
          <w:rFonts w:ascii="Times New Roman" w:hAnsi="Times New Roman" w:cs="Times New Roman"/>
          <w:sz w:val="24"/>
          <w:szCs w:val="24"/>
          <w:lang w:val="en-US"/>
        </w:rPr>
        <w:t>(iv)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discretions to </w:t>
      </w:r>
      <w:r w:rsidR="00010158">
        <w:rPr>
          <w:rFonts w:ascii="Times New Roman" w:hAnsi="Times New Roman" w:cs="Times New Roman"/>
          <w:sz w:val="24"/>
          <w:szCs w:val="24"/>
          <w:lang w:val="en-US"/>
        </w:rPr>
        <w:t>deal in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 xml:space="preserve"> the securities</w:t>
      </w:r>
      <w:r w:rsidR="00010158" w:rsidRPr="00010158">
        <w:rPr>
          <w:rFonts w:ascii="Times New Roman" w:hAnsi="Times New Roman" w:cs="Times New Roman"/>
          <w:sz w:val="24"/>
          <w:szCs w:val="24"/>
          <w:lang w:val="en-US"/>
        </w:rPr>
        <w:t xml:space="preserve"> under a securities lending arrangement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>; or</w:t>
      </w:r>
    </w:p>
    <w:p w:rsidR="006F4B1E" w:rsidRPr="006F4B1E" w:rsidRDefault="006F4B1E" w:rsidP="006F4B1E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FC26D3" w:rsidRDefault="006F4B1E" w:rsidP="00FC26D3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F4B1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ab/>
        <w:t>the holder of the warrant not having a presently enforceable or unconditional right of the kind referred to in subsection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B1E">
        <w:rPr>
          <w:rFonts w:ascii="Times New Roman" w:hAnsi="Times New Roman" w:cs="Times New Roman"/>
          <w:sz w:val="24"/>
          <w:szCs w:val="24"/>
          <w:lang w:val="en-US"/>
        </w:rPr>
        <w:t>608(8)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04D6" w:rsidRDefault="001604D6" w:rsidP="001604D6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AA4E2F" w:rsidP="001604D6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E8408A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914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4B1E"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r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B033C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604D6" w:rsidRDefault="001604D6" w:rsidP="001604D6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1604D6" w:rsidP="001604D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 w:rsidRPr="001604D6">
        <w:rPr>
          <w:rFonts w:ascii="Times New Roman" w:hAnsi="Times New Roman" w:cs="Times New Roman"/>
          <w:b/>
          <w:i/>
          <w:sz w:val="24"/>
          <w:szCs w:val="24"/>
          <w:lang w:val="en-US"/>
        </w:rPr>
        <w:t>call warrant</w:t>
      </w:r>
      <w:r w:rsidR="007268B3">
        <w:rPr>
          <w:rFonts w:ascii="Times New Roman" w:hAnsi="Times New Roman" w:cs="Times New Roman"/>
          <w:sz w:val="24"/>
          <w:szCs w:val="24"/>
          <w:lang w:val="en-US"/>
        </w:rPr>
        <w:t xml:space="preserve"> means a security </w:t>
      </w:r>
      <w:r w:rsidR="0089147F">
        <w:rPr>
          <w:rFonts w:ascii="Times New Roman" w:hAnsi="Times New Roman" w:cs="Times New Roman"/>
          <w:sz w:val="24"/>
          <w:szCs w:val="24"/>
          <w:lang w:val="en-US"/>
        </w:rPr>
        <w:t>or derivative</w:t>
      </w:r>
      <w:r w:rsidR="001963F1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2010E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604D6" w:rsidRDefault="001604D6" w:rsidP="001604D6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B033CD" w:rsidP="001604D6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63F1">
        <w:rPr>
          <w:rFonts w:ascii="Times New Roman" w:hAnsi="Times New Roman" w:cs="Times New Roman"/>
          <w:sz w:val="24"/>
          <w:szCs w:val="24"/>
          <w:lang w:val="en-US"/>
        </w:rPr>
        <w:t xml:space="preserve">confers on the holder </w:t>
      </w:r>
      <w:r w:rsidR="0089147F">
        <w:rPr>
          <w:rFonts w:ascii="Times New Roman" w:hAnsi="Times New Roman" w:cs="Times New Roman"/>
          <w:sz w:val="24"/>
          <w:szCs w:val="24"/>
          <w:lang w:val="en-US"/>
        </w:rPr>
        <w:t>a right</w:t>
      </w:r>
      <w:r w:rsidR="008871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147F">
        <w:rPr>
          <w:rFonts w:ascii="Times New Roman" w:hAnsi="Times New Roman" w:cs="Times New Roman"/>
          <w:sz w:val="24"/>
          <w:szCs w:val="24"/>
          <w:lang w:val="en-US"/>
        </w:rPr>
        <w:t xml:space="preserve"> but not the obligation</w:t>
      </w:r>
      <w:r w:rsidR="008871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147F">
        <w:rPr>
          <w:rFonts w:ascii="Times New Roman" w:hAnsi="Times New Roman" w:cs="Times New Roman"/>
          <w:sz w:val="24"/>
          <w:szCs w:val="24"/>
          <w:lang w:val="en-US"/>
        </w:rPr>
        <w:t xml:space="preserve"> to acquire</w:t>
      </w:r>
      <w:r w:rsidR="0088711E">
        <w:rPr>
          <w:rFonts w:ascii="Times New Roman" w:hAnsi="Times New Roman" w:cs="Times New Roman"/>
          <w:sz w:val="24"/>
          <w:szCs w:val="24"/>
          <w:lang w:val="en-US"/>
        </w:rPr>
        <w:t xml:space="preserve"> securities by way of transfer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010E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</w:p>
    <w:p w:rsidR="001604D6" w:rsidRDefault="001604D6" w:rsidP="001604D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89147F" w:rsidRDefault="0089147F" w:rsidP="0089147F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914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963F1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914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63F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89147F">
        <w:rPr>
          <w:rFonts w:ascii="Times New Roman" w:hAnsi="Times New Roman" w:cs="Times New Roman"/>
          <w:sz w:val="24"/>
          <w:szCs w:val="24"/>
          <w:lang w:val="en-US"/>
        </w:rPr>
        <w:t>issued under a Product Disclosure Statement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010E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</w:p>
    <w:p w:rsidR="0089147F" w:rsidRPr="0089147F" w:rsidRDefault="0089147F" w:rsidP="0089147F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10158" w:rsidRDefault="007268B3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1F44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33C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admitted to quotation on </w:t>
      </w:r>
      <w:r w:rsidR="00B033CD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D773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033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33D">
        <w:rPr>
          <w:rFonts w:ascii="Times New Roman" w:hAnsi="Times New Roman" w:cs="Times New Roman"/>
          <w:sz w:val="24"/>
          <w:szCs w:val="24"/>
          <w:lang w:val="en-US"/>
        </w:rPr>
        <w:t>financial market operated by ASX Limited</w:t>
      </w:r>
      <w:r w:rsidR="008914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0158" w:rsidRDefault="00010158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04D6" w:rsidRDefault="001604D6" w:rsidP="001604D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 w:rsidRPr="001604D6">
        <w:rPr>
          <w:rFonts w:ascii="Times New Roman" w:hAnsi="Times New Roman" w:cs="Times New Roman"/>
          <w:b/>
          <w:i/>
          <w:sz w:val="24"/>
          <w:szCs w:val="24"/>
          <w:lang w:val="en-US"/>
        </w:rPr>
        <w:t>holder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 xml:space="preserve">, in relation to a warrant, means a person who </w:t>
      </w:r>
      <w:r w:rsidR="00E05B6D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>a legal or equitable interest in the warrant.</w:t>
      </w:r>
    </w:p>
    <w:p w:rsidR="001604D6" w:rsidRDefault="001604D6" w:rsidP="001604D6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E1694" w:rsidRPr="009E1694" w:rsidRDefault="009E1694" w:rsidP="009E1694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put</w:t>
      </w:r>
      <w:r w:rsidRPr="009E169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warrant</w:t>
      </w:r>
      <w:r w:rsidRPr="009E1694">
        <w:rPr>
          <w:rFonts w:ascii="Times New Roman" w:hAnsi="Times New Roman" w:cs="Times New Roman"/>
          <w:sz w:val="24"/>
          <w:szCs w:val="24"/>
          <w:lang w:val="en-US"/>
        </w:rPr>
        <w:t xml:space="preserve"> means a security or derivative that:</w:t>
      </w:r>
    </w:p>
    <w:p w:rsidR="009E1694" w:rsidRPr="009E1694" w:rsidRDefault="009E1694" w:rsidP="009E1694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E1694" w:rsidRPr="009E1694" w:rsidRDefault="009E1694" w:rsidP="009E1694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E1694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9E1694">
        <w:rPr>
          <w:rFonts w:ascii="Times New Roman" w:hAnsi="Times New Roman" w:cs="Times New Roman"/>
          <w:sz w:val="24"/>
          <w:szCs w:val="24"/>
          <w:lang w:val="en-US"/>
        </w:rPr>
        <w:tab/>
        <w:t>confers on the holder a right</w:t>
      </w:r>
      <w:r w:rsidR="008871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E1694">
        <w:rPr>
          <w:rFonts w:ascii="Times New Roman" w:hAnsi="Times New Roman" w:cs="Times New Roman"/>
          <w:sz w:val="24"/>
          <w:szCs w:val="24"/>
          <w:lang w:val="en-US"/>
        </w:rPr>
        <w:t xml:space="preserve"> but not the obligation</w:t>
      </w:r>
      <w:r w:rsidR="008871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E169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8711E">
        <w:rPr>
          <w:rFonts w:ascii="Times New Roman" w:hAnsi="Times New Roman" w:cs="Times New Roman"/>
          <w:sz w:val="24"/>
          <w:szCs w:val="24"/>
          <w:lang w:val="en-US"/>
        </w:rPr>
        <w:t>sell securities by way of transfer</w:t>
      </w:r>
      <w:r w:rsidRPr="009E1694">
        <w:rPr>
          <w:rFonts w:ascii="Times New Roman" w:hAnsi="Times New Roman" w:cs="Times New Roman"/>
          <w:sz w:val="24"/>
          <w:szCs w:val="24"/>
          <w:lang w:val="en-US"/>
        </w:rPr>
        <w:t>; and</w:t>
      </w:r>
    </w:p>
    <w:p w:rsidR="009E1694" w:rsidRPr="009E1694" w:rsidRDefault="009E1694" w:rsidP="009E1694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E1694" w:rsidRPr="009E1694" w:rsidRDefault="009E1694" w:rsidP="009E1694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E1694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Pr="009E1694">
        <w:rPr>
          <w:rFonts w:ascii="Times New Roman" w:hAnsi="Times New Roman" w:cs="Times New Roman"/>
          <w:sz w:val="24"/>
          <w:szCs w:val="24"/>
          <w:lang w:val="en-US"/>
        </w:rPr>
        <w:tab/>
        <w:t>is issued under a Product Disclosure Statement; and</w:t>
      </w:r>
    </w:p>
    <w:p w:rsidR="009E1694" w:rsidRPr="009E1694" w:rsidRDefault="009E1694" w:rsidP="009E1694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E1694" w:rsidRDefault="009E1694" w:rsidP="009E1694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E1694">
        <w:rPr>
          <w:rFonts w:ascii="Times New Roman" w:hAnsi="Times New Roman" w:cs="Times New Roman"/>
          <w:sz w:val="24"/>
          <w:szCs w:val="24"/>
          <w:lang w:val="en-US"/>
        </w:rPr>
        <w:t>(c)</w:t>
      </w:r>
      <w:r w:rsidRPr="009E16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is admitted to quotation on </w:t>
      </w:r>
      <w:r w:rsidR="00D773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733D" w:rsidRPr="00D7733D">
        <w:rPr>
          <w:rFonts w:ascii="Times New Roman" w:hAnsi="Times New Roman" w:cs="Times New Roman"/>
          <w:sz w:val="24"/>
          <w:szCs w:val="24"/>
          <w:lang w:val="en-US"/>
        </w:rPr>
        <w:t>financial market operated by ASX Limited</w:t>
      </w:r>
      <w:r w:rsidRPr="009E16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0158" w:rsidRDefault="00010158" w:rsidP="009E1694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12075" w:rsidRDefault="00A701B6">
      <w:pPr>
        <w:pStyle w:val="ListParagraph"/>
        <w:ind w:left="1985" w:hanging="284"/>
        <w:rPr>
          <w:lang w:val="en-US"/>
        </w:rPr>
      </w:pPr>
      <w:r w:rsidRPr="00A701B6">
        <w:rPr>
          <w:b/>
          <w:i/>
          <w:lang w:val="en-US"/>
        </w:rPr>
        <w:t>securities lending arrangement</w:t>
      </w:r>
      <w:r w:rsidR="00010158">
        <w:rPr>
          <w:lang w:val="en-US"/>
        </w:rPr>
        <w:t xml:space="preserve"> </w:t>
      </w:r>
      <w:r w:rsidR="00DE38FC">
        <w:rPr>
          <w:lang w:val="en-US"/>
        </w:rPr>
        <w:t>means:</w:t>
      </w:r>
    </w:p>
    <w:p w:rsidR="00DE38FC" w:rsidRDefault="00DE38FC" w:rsidP="00DE38FC">
      <w:pPr>
        <w:pStyle w:val="ListParagraph"/>
        <w:ind w:left="1985" w:hanging="567"/>
        <w:rPr>
          <w:lang w:val="en-US"/>
        </w:rPr>
      </w:pPr>
    </w:p>
    <w:p w:rsidR="00A12075" w:rsidRDefault="00DE38FC">
      <w:pPr>
        <w:pStyle w:val="ListParagraph"/>
        <w:ind w:left="2268" w:hanging="567"/>
        <w:rPr>
          <w:lang w:val="en-US"/>
        </w:rPr>
      </w:pPr>
      <w:r>
        <w:rPr>
          <w:lang w:val="en-US"/>
        </w:rPr>
        <w:t>(a)</w:t>
      </w:r>
      <w:r>
        <w:rPr>
          <w:lang w:val="en-US"/>
        </w:rPr>
        <w:tab/>
      </w:r>
      <w:r w:rsidRPr="00DE38FC">
        <w:rPr>
          <w:lang w:val="en-US"/>
        </w:rPr>
        <w:t>an arrangement under which:</w:t>
      </w:r>
    </w:p>
    <w:p w:rsidR="00DE38FC" w:rsidRPr="00DE38FC" w:rsidRDefault="00DE38FC" w:rsidP="00DE38FC">
      <w:pPr>
        <w:spacing w:after="0" w:line="240" w:lineRule="auto"/>
        <w:ind w:left="1985" w:hanging="284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2075" w:rsidRDefault="00DE38FC">
      <w:pPr>
        <w:spacing w:after="0" w:line="240" w:lineRule="auto"/>
        <w:ind w:left="2835" w:hanging="567"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 xml:space="preserve">one entity (the </w:t>
      </w:r>
      <w:r w:rsidRPr="00DE38FC">
        <w:rPr>
          <w:rFonts w:ascii="Times New Roman" w:eastAsia="Times New Roman" w:hAnsi="Times New Roman" w:cs="Times New Roman"/>
          <w:b/>
          <w:i/>
          <w:sz w:val="24"/>
          <w:szCs w:val="24"/>
        </w:rPr>
        <w:t>lender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>) agrees that it will:</w:t>
      </w:r>
    </w:p>
    <w:p w:rsidR="00DE38FC" w:rsidRPr="00DE38FC" w:rsidRDefault="00DE38FC" w:rsidP="00DE38FC">
      <w:pPr>
        <w:spacing w:after="0" w:line="240" w:lineRule="auto"/>
        <w:ind w:left="297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DE38FC" w:rsidRPr="00DE38FC" w:rsidRDefault="00DE38FC" w:rsidP="00DE38FC">
      <w:pPr>
        <w:spacing w:after="0" w:line="240" w:lineRule="auto"/>
        <w:ind w:left="3402" w:hanging="567"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deliver the securities to another entity (the</w:t>
      </w:r>
      <w:r w:rsidR="00F002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38FC">
        <w:rPr>
          <w:rFonts w:ascii="Times New Roman" w:eastAsia="Times New Roman" w:hAnsi="Times New Roman" w:cs="Times New Roman"/>
          <w:b/>
          <w:i/>
          <w:sz w:val="24"/>
          <w:szCs w:val="24"/>
        </w:rPr>
        <w:t>borrower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>) or to an entity nominated by the borrower; and</w:t>
      </w:r>
    </w:p>
    <w:p w:rsidR="00DE38FC" w:rsidRPr="00DE38FC" w:rsidRDefault="00DE38FC" w:rsidP="00DE38FC">
      <w:pPr>
        <w:spacing w:after="0" w:line="240" w:lineRule="auto"/>
        <w:ind w:left="3402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DE38FC" w:rsidRPr="00DE38FC" w:rsidRDefault="00DE38FC" w:rsidP="00DE38FC">
      <w:pPr>
        <w:spacing w:after="0" w:line="240" w:lineRule="auto"/>
        <w:ind w:left="3402" w:hanging="567"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vest title in those securities in the entity to which they are delivered; and</w:t>
      </w:r>
    </w:p>
    <w:p w:rsidR="00DE38FC" w:rsidRPr="00DE38FC" w:rsidRDefault="00DE38FC" w:rsidP="00DE38FC">
      <w:pPr>
        <w:spacing w:after="0" w:line="240" w:lineRule="auto"/>
        <w:ind w:left="2552" w:hanging="567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DE38FC" w:rsidRPr="00DE38FC" w:rsidRDefault="00DE38FC" w:rsidP="00DE38FC">
      <w:pPr>
        <w:spacing w:after="0" w:line="240" w:lineRule="auto"/>
        <w:ind w:left="2835" w:hanging="567"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the borrower agrees that it will, after the lender does the things mentioned in subparagraph (i):</w:t>
      </w:r>
    </w:p>
    <w:p w:rsidR="00DE38FC" w:rsidRPr="00DE38FC" w:rsidRDefault="00DE38FC" w:rsidP="00DE38FC">
      <w:pPr>
        <w:spacing w:after="0" w:line="240" w:lineRule="auto"/>
        <w:ind w:left="2835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DE38FC" w:rsidRPr="00DE38FC" w:rsidRDefault="00DE38FC" w:rsidP="00DE38FC">
      <w:pPr>
        <w:spacing w:after="0" w:line="240" w:lineRule="auto"/>
        <w:ind w:left="3402" w:hanging="567"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deliver the securities (or equivalent securities) to the lender or to an entity nominated by the lender; and</w:t>
      </w:r>
    </w:p>
    <w:p w:rsidR="00DE38FC" w:rsidRPr="00DE38FC" w:rsidRDefault="00DE38FC" w:rsidP="00DE38FC">
      <w:pPr>
        <w:spacing w:after="0" w:line="240" w:lineRule="auto"/>
        <w:ind w:left="3402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DE38FC" w:rsidRPr="00DE38FC" w:rsidRDefault="00DE38FC" w:rsidP="00DE38FC">
      <w:pPr>
        <w:spacing w:after="0" w:line="240" w:lineRule="auto"/>
        <w:ind w:left="3402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vest title in those securities (or those equivalent securities) in the entity to which they are delivered; or</w:t>
      </w:r>
    </w:p>
    <w:p w:rsidR="00DE38FC" w:rsidRPr="00DE38FC" w:rsidRDefault="00DE38FC" w:rsidP="00DE38FC">
      <w:pPr>
        <w:spacing w:after="0" w:line="240" w:lineRule="auto"/>
        <w:ind w:left="2127" w:hanging="15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2075" w:rsidRDefault="00DE38FC">
      <w:pPr>
        <w:spacing w:after="0" w:line="240" w:lineRule="auto"/>
        <w:ind w:left="2268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an arrangement under which:</w:t>
      </w:r>
    </w:p>
    <w:p w:rsidR="00DE38FC" w:rsidRPr="00DE38FC" w:rsidRDefault="00DE38FC" w:rsidP="00DE38FC">
      <w:pPr>
        <w:spacing w:after="0" w:line="240" w:lineRule="auto"/>
        <w:ind w:left="1985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075" w:rsidRDefault="00DE38FC">
      <w:pPr>
        <w:spacing w:after="0" w:line="240" w:lineRule="auto"/>
        <w:ind w:left="2835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 xml:space="preserve">the securities are held by one entity (the </w:t>
      </w:r>
      <w:r w:rsidRPr="00DE38FC">
        <w:rPr>
          <w:rFonts w:ascii="Times New Roman" w:eastAsia="Times New Roman" w:hAnsi="Times New Roman" w:cs="Times New Roman"/>
          <w:b/>
          <w:i/>
          <w:sz w:val="24"/>
          <w:szCs w:val="24"/>
        </w:rPr>
        <w:t>borrower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>) or an entity nominated by the borrower, on behalf of another entity (the </w:t>
      </w:r>
      <w:r w:rsidRPr="00DE38FC">
        <w:rPr>
          <w:rFonts w:ascii="Times New Roman" w:eastAsia="Times New Roman" w:hAnsi="Times New Roman" w:cs="Times New Roman"/>
          <w:b/>
          <w:i/>
          <w:sz w:val="24"/>
          <w:szCs w:val="24"/>
        </w:rPr>
        <w:t>lender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>); and</w:t>
      </w:r>
    </w:p>
    <w:p w:rsidR="00DE38FC" w:rsidRPr="00DE38FC" w:rsidRDefault="00DE38FC" w:rsidP="00DE38FC">
      <w:pPr>
        <w:spacing w:after="0" w:line="240" w:lineRule="auto"/>
        <w:ind w:left="2552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075" w:rsidRDefault="00DE38FC">
      <w:pPr>
        <w:spacing w:after="0" w:line="240" w:lineRule="auto"/>
        <w:ind w:left="2835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the lender agrees that the borrower may deal in the securities on its own behalf or on behalf of a person;</w:t>
      </w:r>
    </w:p>
    <w:p w:rsidR="00DE38FC" w:rsidRPr="00DE38FC" w:rsidRDefault="00DE38FC" w:rsidP="00DE38FC">
      <w:pPr>
        <w:spacing w:after="0" w:line="240" w:lineRule="auto"/>
        <w:ind w:left="2127" w:hanging="15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38FC" w:rsidRPr="00DE38FC" w:rsidRDefault="00DE38FC" w:rsidP="00DE38FC">
      <w:pPr>
        <w:spacing w:after="0" w:line="240" w:lineRule="auto"/>
        <w:ind w:left="2835" w:hanging="567"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the borrower agrees that it will at some future time:</w:t>
      </w:r>
    </w:p>
    <w:p w:rsidR="00DE38FC" w:rsidRPr="00DE38FC" w:rsidRDefault="00DE38FC" w:rsidP="00DE38FC">
      <w:pPr>
        <w:spacing w:after="0" w:line="240" w:lineRule="auto"/>
        <w:ind w:left="2835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DE38FC" w:rsidRPr="00DE38FC" w:rsidRDefault="00DE38FC" w:rsidP="00DE38FC">
      <w:pPr>
        <w:spacing w:after="0" w:line="240" w:lineRule="auto"/>
        <w:ind w:left="3402" w:hanging="567"/>
        <w:rPr>
          <w:rFonts w:ascii="Times New Roman" w:eastAsia="Times New Roman" w:hAnsi="Times New Roman" w:cs="Times New Roman"/>
          <w:sz w:val="24"/>
          <w:szCs w:val="24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deliver the securities (or equivalent securities) to the lender or to an entity nominated by the lender; and</w:t>
      </w:r>
    </w:p>
    <w:p w:rsidR="00DE38FC" w:rsidRPr="00DE38FC" w:rsidRDefault="00DE38FC" w:rsidP="00DE38FC">
      <w:pPr>
        <w:spacing w:after="0" w:line="240" w:lineRule="auto"/>
        <w:ind w:left="3402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A12075" w:rsidRDefault="00DE38FC">
      <w:pPr>
        <w:spacing w:after="0" w:line="240" w:lineRule="auto"/>
        <w:ind w:left="3402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E38FC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DE38FC">
        <w:rPr>
          <w:rFonts w:ascii="Times New Roman" w:eastAsia="Times New Roman" w:hAnsi="Times New Roman" w:cs="Times New Roman"/>
          <w:sz w:val="24"/>
          <w:szCs w:val="24"/>
        </w:rPr>
        <w:tab/>
        <w:t>vest title in those securities (or those equivalent securities) in the entity to which they are delivered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6D3" w:rsidRDefault="00FC26D3" w:rsidP="009E1694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10158" w:rsidRDefault="001604D6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604D6">
        <w:rPr>
          <w:rFonts w:ascii="Times New Roman" w:hAnsi="Times New Roman" w:cs="Times New Roman"/>
          <w:b/>
          <w:i/>
          <w:sz w:val="24"/>
          <w:szCs w:val="24"/>
          <w:lang w:val="en-US"/>
        </w:rPr>
        <w:t>warrant</w:t>
      </w:r>
      <w:r w:rsidR="00FC26D3">
        <w:rPr>
          <w:rFonts w:ascii="Times New Roman" w:hAnsi="Times New Roman" w:cs="Times New Roman"/>
          <w:sz w:val="24"/>
          <w:szCs w:val="24"/>
          <w:lang w:val="en-US"/>
        </w:rPr>
        <w:t xml:space="preserve"> means a call warrant or a put warrant.”.</w:t>
      </w:r>
    </w:p>
    <w:p w:rsidR="00B94547" w:rsidRDefault="00B94547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DE38FC" w:rsidRDefault="00DE38FC">
      <w:pPr>
        <w:spacing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A4E2F" w:rsidRDefault="00AA4E2F" w:rsidP="00AA4E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A4E2F" w:rsidRDefault="00AA4E2F" w:rsidP="00AA4E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Dated this </w:t>
      </w:r>
      <w:r w:rsidR="00E71F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67FC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1F18">
        <w:rPr>
          <w:rFonts w:ascii="Times New Roman" w:hAnsi="Times New Roman" w:cs="Times New Roman"/>
          <w:sz w:val="24"/>
          <w:szCs w:val="24"/>
          <w:lang w:val="en-US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day of </w:t>
      </w:r>
      <w:r w:rsidR="00E71F18">
        <w:rPr>
          <w:rFonts w:ascii="Times New Roman" w:hAnsi="Times New Roman" w:cs="Times New Roman"/>
          <w:sz w:val="24"/>
          <w:szCs w:val="24"/>
          <w:lang w:val="en-US"/>
        </w:rPr>
        <w:t>June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</w:p>
    <w:p w:rsidR="00E71F18" w:rsidRDefault="00E71F18" w:rsidP="00AA4E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71F18" w:rsidRDefault="00E71F18" w:rsidP="00AA4E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A4E2F" w:rsidRDefault="00AA4E2F" w:rsidP="00AA4E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A4E2F" w:rsidRDefault="00AA4E2F" w:rsidP="00AA4E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Signed by</w:t>
      </w:r>
      <w:r w:rsidR="006F4B1E">
        <w:rPr>
          <w:rFonts w:ascii="Times New Roman" w:hAnsi="Times New Roman" w:cs="Times New Roman"/>
          <w:sz w:val="24"/>
          <w:szCs w:val="24"/>
          <w:lang w:val="en-US"/>
        </w:rPr>
        <w:t xml:space="preserve"> Grant Moodie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A4E2F" w:rsidRPr="00F23BA6" w:rsidRDefault="00AA4E2F" w:rsidP="00AA4E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 delegate of the Australian Securities and Investments Commission</w:t>
      </w:r>
    </w:p>
    <w:p w:rsidR="00AA4E2F" w:rsidRDefault="00AA4E2F">
      <w:pPr>
        <w:rPr>
          <w:lang w:val="en-US"/>
        </w:rPr>
      </w:pPr>
    </w:p>
    <w:p w:rsidR="00AA4E2F" w:rsidRDefault="00AA4E2F">
      <w:pPr>
        <w:rPr>
          <w:lang w:val="en-US"/>
        </w:rPr>
      </w:pPr>
    </w:p>
    <w:p w:rsidR="00AA4E2F" w:rsidRDefault="00AA4E2F">
      <w:pPr>
        <w:rPr>
          <w:lang w:val="en-US"/>
        </w:rPr>
      </w:pPr>
    </w:p>
    <w:p w:rsidR="00AA4E2F" w:rsidRDefault="00AA4E2F">
      <w:pPr>
        <w:rPr>
          <w:lang w:val="en-US"/>
        </w:rPr>
      </w:pPr>
    </w:p>
    <w:p w:rsidR="00AA4E2F" w:rsidRDefault="00AA4E2F">
      <w:pPr>
        <w:rPr>
          <w:lang w:val="en-US"/>
        </w:rPr>
      </w:pPr>
    </w:p>
    <w:p w:rsidR="00AA4E2F" w:rsidRDefault="00AA4E2F">
      <w:pPr>
        <w:rPr>
          <w:lang w:val="en-US"/>
        </w:rPr>
      </w:pPr>
    </w:p>
    <w:p w:rsidR="00AA4E2F" w:rsidRDefault="00AA4E2F">
      <w:pPr>
        <w:rPr>
          <w:lang w:val="en-US"/>
        </w:rPr>
      </w:pPr>
    </w:p>
    <w:p w:rsidR="00AA4E2F" w:rsidRDefault="00AA4E2F">
      <w:pPr>
        <w:rPr>
          <w:lang w:val="en-US"/>
        </w:rPr>
      </w:pPr>
    </w:p>
    <w:p w:rsidR="00AA4E2F" w:rsidRDefault="00AA4E2F">
      <w:pPr>
        <w:rPr>
          <w:lang w:val="en-US"/>
        </w:rPr>
      </w:pPr>
    </w:p>
    <w:p w:rsidR="00AA4E2F" w:rsidRDefault="00AA4E2F">
      <w:pPr>
        <w:rPr>
          <w:lang w:val="en-US"/>
        </w:rPr>
      </w:pPr>
    </w:p>
    <w:p w:rsidR="00AA4E2F" w:rsidRPr="00AA4E2F" w:rsidRDefault="00AA4E2F">
      <w:pPr>
        <w:rPr>
          <w:lang w:val="en-US"/>
        </w:rPr>
      </w:pPr>
    </w:p>
    <w:sectPr w:rsidR="00AA4E2F" w:rsidRPr="00AA4E2F" w:rsidSect="00075B6C">
      <w:headerReference w:type="default" r:id="rId7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5E" w:rsidRDefault="005D7A5E" w:rsidP="00B41D94">
      <w:pPr>
        <w:spacing w:after="0" w:line="240" w:lineRule="auto"/>
      </w:pPr>
      <w:r>
        <w:separator/>
      </w:r>
    </w:p>
  </w:endnote>
  <w:endnote w:type="continuationSeparator" w:id="0">
    <w:p w:rsidR="005D7A5E" w:rsidRDefault="005D7A5E" w:rsidP="00B4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5E" w:rsidRDefault="005D7A5E" w:rsidP="00B41D94">
      <w:pPr>
        <w:spacing w:after="0" w:line="240" w:lineRule="auto"/>
      </w:pPr>
      <w:r>
        <w:separator/>
      </w:r>
    </w:p>
  </w:footnote>
  <w:footnote w:type="continuationSeparator" w:id="0">
    <w:p w:rsidR="005D7A5E" w:rsidRDefault="005D7A5E" w:rsidP="00B4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94284"/>
      <w:docPartObj>
        <w:docPartGallery w:val="Page Numbers (Top of Page)"/>
        <w:docPartUnique/>
      </w:docPartObj>
    </w:sdtPr>
    <w:sdtContent>
      <w:p w:rsidR="00010158" w:rsidRDefault="003E0142">
        <w:pPr>
          <w:pStyle w:val="Header"/>
          <w:jc w:val="center"/>
        </w:pPr>
        <w:fldSimple w:instr=" PAGE   \* MERGEFORMAT ">
          <w:r w:rsidR="00C8034C">
            <w:rPr>
              <w:noProof/>
            </w:rPr>
            <w:t>2</w:t>
          </w:r>
        </w:fldSimple>
      </w:p>
    </w:sdtContent>
  </w:sdt>
  <w:p w:rsidR="00010158" w:rsidRDefault="000101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E2F"/>
    <w:rsid w:val="00002801"/>
    <w:rsid w:val="00010158"/>
    <w:rsid w:val="00075B6C"/>
    <w:rsid w:val="000D682D"/>
    <w:rsid w:val="001604D6"/>
    <w:rsid w:val="00167FC6"/>
    <w:rsid w:val="001963F1"/>
    <w:rsid w:val="002010E9"/>
    <w:rsid w:val="00322281"/>
    <w:rsid w:val="00356D47"/>
    <w:rsid w:val="003740A3"/>
    <w:rsid w:val="003A2E41"/>
    <w:rsid w:val="003C3C8E"/>
    <w:rsid w:val="003E0142"/>
    <w:rsid w:val="00414D58"/>
    <w:rsid w:val="004711C3"/>
    <w:rsid w:val="00484D87"/>
    <w:rsid w:val="00504BA4"/>
    <w:rsid w:val="005D7A5E"/>
    <w:rsid w:val="00600AF9"/>
    <w:rsid w:val="006308A7"/>
    <w:rsid w:val="00664A83"/>
    <w:rsid w:val="006D2462"/>
    <w:rsid w:val="006F4B1E"/>
    <w:rsid w:val="007268B3"/>
    <w:rsid w:val="007D742B"/>
    <w:rsid w:val="007F0FB9"/>
    <w:rsid w:val="007F5BBE"/>
    <w:rsid w:val="00862DDF"/>
    <w:rsid w:val="008649B5"/>
    <w:rsid w:val="0088711E"/>
    <w:rsid w:val="0089147F"/>
    <w:rsid w:val="008940B5"/>
    <w:rsid w:val="00925CF4"/>
    <w:rsid w:val="0096627C"/>
    <w:rsid w:val="00991F2D"/>
    <w:rsid w:val="009E1694"/>
    <w:rsid w:val="00A12075"/>
    <w:rsid w:val="00A21972"/>
    <w:rsid w:val="00A33ABC"/>
    <w:rsid w:val="00A556EA"/>
    <w:rsid w:val="00A60AD0"/>
    <w:rsid w:val="00A701B6"/>
    <w:rsid w:val="00A754AC"/>
    <w:rsid w:val="00AA4E2F"/>
    <w:rsid w:val="00AB4173"/>
    <w:rsid w:val="00AF4328"/>
    <w:rsid w:val="00B033CD"/>
    <w:rsid w:val="00B34A73"/>
    <w:rsid w:val="00B41D94"/>
    <w:rsid w:val="00B56529"/>
    <w:rsid w:val="00B80033"/>
    <w:rsid w:val="00B82FA3"/>
    <w:rsid w:val="00B94547"/>
    <w:rsid w:val="00BB3701"/>
    <w:rsid w:val="00BC4C93"/>
    <w:rsid w:val="00C449C7"/>
    <w:rsid w:val="00C54938"/>
    <w:rsid w:val="00C8034C"/>
    <w:rsid w:val="00CE41F6"/>
    <w:rsid w:val="00D05A13"/>
    <w:rsid w:val="00D513D2"/>
    <w:rsid w:val="00D7733D"/>
    <w:rsid w:val="00DE38FC"/>
    <w:rsid w:val="00E05B6D"/>
    <w:rsid w:val="00E146FF"/>
    <w:rsid w:val="00E179EC"/>
    <w:rsid w:val="00E323DD"/>
    <w:rsid w:val="00E71F18"/>
    <w:rsid w:val="00E8408A"/>
    <w:rsid w:val="00E8421A"/>
    <w:rsid w:val="00EA14A5"/>
    <w:rsid w:val="00EC711B"/>
    <w:rsid w:val="00F002F4"/>
    <w:rsid w:val="00F007D5"/>
    <w:rsid w:val="00F663C7"/>
    <w:rsid w:val="00F902DF"/>
    <w:rsid w:val="00FC26D3"/>
    <w:rsid w:val="00FE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D9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D9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EC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E3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li.gov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Grant Moodie</cp:lastModifiedBy>
  <cp:revision>23</cp:revision>
  <dcterms:created xsi:type="dcterms:W3CDTF">2013-01-14T03:43:00Z</dcterms:created>
  <dcterms:modified xsi:type="dcterms:W3CDTF">2013-06-17T11:29:00Z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A3728011</vt:lpwstr>
  </property>
  <property fmtid="{D5CDD505-2E9C-101B-9397-08002B2CF9AE}" pid="4" name="Objective-Title">
    <vt:lpwstr>Class Order CO 13-526</vt:lpwstr>
  </property>
  <property fmtid="{D5CDD505-2E9C-101B-9397-08002B2CF9AE}" pid="5" name="Objective-Comment">
    <vt:lpwstr/>
  </property>
  <property fmtid="{D5CDD505-2E9C-101B-9397-08002B2CF9AE}" pid="6" name="Objective-CreationStamp">
    <vt:filetime>2013-01-14T07:11:06Z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2013-06-17T11:37:24Z</vt:filetime>
  </property>
  <property fmtid="{D5CDD505-2E9C-101B-9397-08002B2CF9AE}" pid="10" name="Objective-ModificationStamp">
    <vt:filetime>2013-06-17T11:37:24Z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15</vt:i4>
  </property>
  <property fmtid="{D5CDD505-2E9C-101B-9397-08002B2CF9AE}" pid="17" name="Objective-VersionComment">
    <vt:lpwstr/>
  </property>
  <property fmtid="{D5CDD505-2E9C-101B-9397-08002B2CF9AE}" pid="18" name="Objective-FileNumber">
    <vt:lpwstr>2012 - 006258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