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AF3" w:rsidRPr="001A6FD9" w:rsidRDefault="00A33AF3" w:rsidP="00C460FC">
      <w:pPr>
        <w:spacing w:after="200" w:line="276" w:lineRule="auto"/>
        <w:jc w:val="center"/>
        <w:rPr>
          <w:rFonts w:ascii="Arial" w:hAnsi="Arial" w:cs="Arial"/>
          <w:b/>
          <w:u w:val="single"/>
        </w:rPr>
      </w:pPr>
      <w:r w:rsidRPr="001A6FD9">
        <w:rPr>
          <w:rFonts w:ascii="Arial" w:hAnsi="Arial" w:cs="Arial"/>
          <w:b/>
          <w:u w:val="single"/>
        </w:rPr>
        <w:t>EXPLANATORY STATEMENT</w:t>
      </w:r>
    </w:p>
    <w:p w:rsidR="00A33AF3" w:rsidRPr="001A6FD9" w:rsidRDefault="00A33AF3" w:rsidP="00C460FC">
      <w:pPr>
        <w:spacing w:after="200" w:line="276" w:lineRule="auto"/>
        <w:jc w:val="center"/>
        <w:rPr>
          <w:rFonts w:ascii="Arial" w:hAnsi="Arial" w:cs="Arial"/>
        </w:rPr>
      </w:pPr>
      <w:r w:rsidRPr="001A6FD9">
        <w:rPr>
          <w:rFonts w:ascii="Arial" w:hAnsi="Arial" w:cs="Arial"/>
        </w:rPr>
        <w:t xml:space="preserve">Issued by </w:t>
      </w:r>
      <w:r w:rsidR="00C460FC" w:rsidRPr="001A6FD9">
        <w:rPr>
          <w:rFonts w:ascii="Arial" w:hAnsi="Arial" w:cs="Arial"/>
        </w:rPr>
        <w:t xml:space="preserve">the authority of </w:t>
      </w:r>
      <w:r w:rsidRPr="001A6FD9">
        <w:rPr>
          <w:rFonts w:ascii="Arial" w:hAnsi="Arial" w:cs="Arial"/>
        </w:rPr>
        <w:t>the Australian Communications and Media Authority</w:t>
      </w:r>
    </w:p>
    <w:p w:rsidR="00C52899" w:rsidRPr="001A6FD9" w:rsidRDefault="00E215C8" w:rsidP="00C52899">
      <w:pPr>
        <w:spacing w:after="200" w:line="276" w:lineRule="auto"/>
        <w:jc w:val="center"/>
        <w:rPr>
          <w:rFonts w:ascii="Arial" w:hAnsi="Arial" w:cs="Arial"/>
          <w:b/>
          <w:i/>
        </w:rPr>
      </w:pPr>
      <w:r w:rsidRPr="00E215C8">
        <w:rPr>
          <w:rFonts w:ascii="Arial" w:hAnsi="Arial" w:cs="Arial"/>
          <w:b/>
          <w:i/>
        </w:rPr>
        <w:t>Telecommunications Labelling (Customer Equipment and Customer Cabling) Amendment Notice 2013 (No. 2)</w:t>
      </w:r>
    </w:p>
    <w:p w:rsidR="00C460FC" w:rsidRPr="001A6FD9" w:rsidRDefault="00C460FC" w:rsidP="00C460FC">
      <w:pPr>
        <w:spacing w:after="200" w:line="276" w:lineRule="auto"/>
        <w:jc w:val="center"/>
        <w:rPr>
          <w:rFonts w:ascii="Arial" w:hAnsi="Arial" w:cs="Arial"/>
          <w:b/>
          <w:i/>
        </w:rPr>
      </w:pPr>
      <w:r w:rsidRPr="001A6FD9">
        <w:rPr>
          <w:rFonts w:ascii="Arial" w:hAnsi="Arial" w:cs="Arial"/>
          <w:b/>
          <w:i/>
        </w:rPr>
        <w:t>Telecommunications Act 1997</w:t>
      </w:r>
    </w:p>
    <w:p w:rsidR="00A33AF3" w:rsidRPr="001A6FD9" w:rsidRDefault="00A33AF3" w:rsidP="00C460FC">
      <w:pPr>
        <w:spacing w:before="240" w:after="120" w:line="240" w:lineRule="atLeast"/>
        <w:jc w:val="both"/>
        <w:rPr>
          <w:rFonts w:ascii="Arial" w:hAnsi="Arial" w:cs="Arial"/>
          <w:b/>
        </w:rPr>
      </w:pPr>
      <w:r w:rsidRPr="001A6FD9">
        <w:rPr>
          <w:rFonts w:ascii="Arial" w:hAnsi="Arial" w:cs="Arial"/>
          <w:b/>
        </w:rPr>
        <w:t>Purpose</w:t>
      </w:r>
    </w:p>
    <w:p w:rsidR="007E0CDA" w:rsidRDefault="00A33AF3" w:rsidP="00C460FC">
      <w:pPr>
        <w:spacing w:after="200" w:line="240" w:lineRule="atLeast"/>
        <w:jc w:val="both"/>
        <w:rPr>
          <w:rFonts w:ascii="Arial" w:hAnsi="Arial" w:cs="Arial"/>
        </w:rPr>
      </w:pPr>
      <w:r w:rsidRPr="001A6FD9">
        <w:rPr>
          <w:rFonts w:ascii="Arial" w:hAnsi="Arial" w:cs="Arial"/>
        </w:rPr>
        <w:t xml:space="preserve">The purpose of the </w:t>
      </w:r>
      <w:r w:rsidR="00E215C8" w:rsidRPr="00E215C8">
        <w:rPr>
          <w:rFonts w:ascii="Arial" w:hAnsi="Arial" w:cs="Arial"/>
          <w:i/>
        </w:rPr>
        <w:t xml:space="preserve">Telecommunications Labelling (Customer Equipment and Customer Cabling) Amendment Notice 2013 (No. 2) </w:t>
      </w:r>
      <w:r w:rsidRPr="001A6FD9">
        <w:rPr>
          <w:rFonts w:ascii="Arial" w:hAnsi="Arial" w:cs="Arial"/>
        </w:rPr>
        <w:t>(</w:t>
      </w:r>
      <w:r w:rsidRPr="001A6FD9">
        <w:rPr>
          <w:rFonts w:ascii="Arial" w:hAnsi="Arial" w:cs="Arial"/>
          <w:b/>
        </w:rPr>
        <w:t>the Amendment Notice</w:t>
      </w:r>
      <w:r w:rsidRPr="001A6FD9">
        <w:rPr>
          <w:rFonts w:ascii="Arial" w:hAnsi="Arial" w:cs="Arial"/>
        </w:rPr>
        <w:t xml:space="preserve">) is to amend the </w:t>
      </w:r>
      <w:r w:rsidRPr="001A6FD9">
        <w:rPr>
          <w:rFonts w:ascii="Arial" w:hAnsi="Arial" w:cs="Arial"/>
          <w:i/>
        </w:rPr>
        <w:t xml:space="preserve">Telecommunications Labelling (Customer Equipment and Customer Cabling) Notice 2001 </w:t>
      </w:r>
      <w:r w:rsidRPr="001A6FD9">
        <w:rPr>
          <w:rFonts w:ascii="Arial" w:hAnsi="Arial" w:cs="Arial"/>
        </w:rPr>
        <w:t>(</w:t>
      </w:r>
      <w:r w:rsidRPr="001A6FD9">
        <w:rPr>
          <w:rFonts w:ascii="Arial" w:hAnsi="Arial" w:cs="Arial"/>
          <w:b/>
        </w:rPr>
        <w:t>the Labelling Notice</w:t>
      </w:r>
      <w:r w:rsidRPr="001A6FD9">
        <w:rPr>
          <w:rFonts w:ascii="Arial" w:hAnsi="Arial" w:cs="Arial"/>
        </w:rPr>
        <w:t xml:space="preserve">). The Amendment Notice </w:t>
      </w:r>
      <w:r w:rsidR="00833145" w:rsidRPr="001A6FD9">
        <w:rPr>
          <w:rFonts w:ascii="Arial" w:hAnsi="Arial" w:cs="Arial"/>
        </w:rPr>
        <w:t>brings</w:t>
      </w:r>
      <w:r w:rsidR="00605ADF" w:rsidRPr="001A6FD9">
        <w:rPr>
          <w:rFonts w:ascii="Arial" w:hAnsi="Arial" w:cs="Arial"/>
        </w:rPr>
        <w:t xml:space="preserve"> the </w:t>
      </w:r>
      <w:r w:rsidR="00885532" w:rsidRPr="0085626C">
        <w:rPr>
          <w:rFonts w:ascii="Arial" w:hAnsi="Arial" w:cs="Arial"/>
          <w:i/>
          <w:color w:val="000000"/>
        </w:rPr>
        <w:t xml:space="preserve">Telecommunications Technical Standard (Voice frequency performance requirements for Customer Equipment) 2013 </w:t>
      </w:r>
      <w:r w:rsidR="00605ADF" w:rsidRPr="001A6FD9">
        <w:rPr>
          <w:rFonts w:ascii="Arial" w:hAnsi="Arial" w:cs="Arial"/>
        </w:rPr>
        <w:t>(</w:t>
      </w:r>
      <w:r w:rsidR="00605ADF" w:rsidRPr="001A6FD9">
        <w:rPr>
          <w:rFonts w:ascii="Arial" w:hAnsi="Arial" w:cs="Arial"/>
          <w:b/>
        </w:rPr>
        <w:t>the</w:t>
      </w:r>
      <w:r w:rsidR="00523533">
        <w:rPr>
          <w:rFonts w:ascii="Arial" w:hAnsi="Arial" w:cs="Arial"/>
          <w:b/>
        </w:rPr>
        <w:t xml:space="preserve"> new</w:t>
      </w:r>
      <w:r w:rsidR="00605ADF" w:rsidRPr="001A6FD9">
        <w:rPr>
          <w:rFonts w:ascii="Arial" w:hAnsi="Arial" w:cs="Arial"/>
          <w:b/>
        </w:rPr>
        <w:t xml:space="preserve"> ACMA Standard</w:t>
      </w:r>
      <w:r w:rsidR="00605ADF" w:rsidRPr="001A6FD9">
        <w:rPr>
          <w:rFonts w:ascii="Arial" w:hAnsi="Arial" w:cs="Arial"/>
        </w:rPr>
        <w:t>)</w:t>
      </w:r>
      <w:r w:rsidR="00605ADF" w:rsidRPr="001A6FD9">
        <w:rPr>
          <w:rFonts w:ascii="Arial" w:hAnsi="Arial" w:cs="Arial"/>
          <w:i/>
        </w:rPr>
        <w:t xml:space="preserve">, </w:t>
      </w:r>
      <w:r w:rsidR="001F1CA9" w:rsidRPr="001F1CA9">
        <w:rPr>
          <w:rFonts w:ascii="Arial" w:hAnsi="Arial" w:cs="Arial"/>
        </w:rPr>
        <w:t>a technical standard</w:t>
      </w:r>
      <w:r w:rsidR="007400C6">
        <w:rPr>
          <w:rFonts w:ascii="Arial" w:hAnsi="Arial" w:cs="Arial"/>
          <w:i/>
        </w:rPr>
        <w:t xml:space="preserve"> </w:t>
      </w:r>
      <w:r w:rsidR="00605ADF" w:rsidRPr="001A6FD9">
        <w:rPr>
          <w:rFonts w:ascii="Arial" w:hAnsi="Arial" w:cs="Arial"/>
        </w:rPr>
        <w:t>made</w:t>
      </w:r>
      <w:r w:rsidR="00605ADF" w:rsidRPr="001A6FD9">
        <w:rPr>
          <w:rFonts w:ascii="Arial" w:hAnsi="Arial" w:cs="Arial"/>
          <w:i/>
        </w:rPr>
        <w:t xml:space="preserve"> </w:t>
      </w:r>
      <w:r w:rsidR="00B734DC" w:rsidRPr="001A6FD9">
        <w:rPr>
          <w:rFonts w:ascii="Arial" w:hAnsi="Arial" w:cs="Arial"/>
        </w:rPr>
        <w:t xml:space="preserve">under section 376 of the </w:t>
      </w:r>
      <w:r w:rsidR="008318FB" w:rsidRPr="001A6FD9">
        <w:rPr>
          <w:rFonts w:ascii="Arial" w:hAnsi="Arial" w:cs="Arial"/>
          <w:i/>
        </w:rPr>
        <w:t>Telecommunications Act 1997</w:t>
      </w:r>
      <w:r w:rsidR="00B734DC" w:rsidRPr="001A6FD9">
        <w:rPr>
          <w:rFonts w:ascii="Arial" w:hAnsi="Arial" w:cs="Arial"/>
        </w:rPr>
        <w:t xml:space="preserve"> (</w:t>
      </w:r>
      <w:r w:rsidR="00B734DC" w:rsidRPr="001A6FD9">
        <w:rPr>
          <w:rFonts w:ascii="Arial" w:hAnsi="Arial" w:cs="Arial"/>
          <w:b/>
        </w:rPr>
        <w:t>the Act</w:t>
      </w:r>
      <w:r w:rsidR="00B734DC" w:rsidRPr="001A6FD9">
        <w:rPr>
          <w:rFonts w:ascii="Arial" w:hAnsi="Arial" w:cs="Arial"/>
        </w:rPr>
        <w:t>)</w:t>
      </w:r>
      <w:r w:rsidR="00833145" w:rsidRPr="001A6FD9">
        <w:rPr>
          <w:rFonts w:ascii="Arial" w:hAnsi="Arial" w:cs="Arial"/>
        </w:rPr>
        <w:t>, within the compliance labelling regime,</w:t>
      </w:r>
      <w:r w:rsidR="002726AB" w:rsidRPr="001A6FD9">
        <w:rPr>
          <w:rFonts w:ascii="Arial" w:hAnsi="Arial" w:cs="Arial"/>
        </w:rPr>
        <w:t xml:space="preserve"> by </w:t>
      </w:r>
      <w:r w:rsidR="00EA30B7" w:rsidRPr="001A6FD9">
        <w:rPr>
          <w:rFonts w:ascii="Arial" w:hAnsi="Arial" w:cs="Arial"/>
        </w:rPr>
        <w:t>referencing</w:t>
      </w:r>
      <w:r w:rsidR="002726AB" w:rsidRPr="001A6FD9">
        <w:rPr>
          <w:rFonts w:ascii="Arial" w:hAnsi="Arial" w:cs="Arial"/>
        </w:rPr>
        <w:t xml:space="preserve"> </w:t>
      </w:r>
      <w:r w:rsidR="00640482">
        <w:rPr>
          <w:rFonts w:ascii="Arial" w:hAnsi="Arial" w:cs="Arial"/>
        </w:rPr>
        <w:t>it</w:t>
      </w:r>
      <w:r w:rsidR="002726AB" w:rsidRPr="001A6FD9">
        <w:rPr>
          <w:rFonts w:ascii="Arial" w:hAnsi="Arial" w:cs="Arial"/>
        </w:rPr>
        <w:t xml:space="preserve"> in Sch</w:t>
      </w:r>
      <w:r w:rsidR="000F3AA1">
        <w:rPr>
          <w:rFonts w:ascii="Arial" w:hAnsi="Arial" w:cs="Arial"/>
        </w:rPr>
        <w:t>edule 1 of the Labelling Notice.</w:t>
      </w:r>
    </w:p>
    <w:p w:rsidR="00087D37" w:rsidRPr="001A6FD9" w:rsidRDefault="00087D37" w:rsidP="00C460FC">
      <w:pPr>
        <w:spacing w:after="200" w:line="240" w:lineRule="atLeast"/>
        <w:jc w:val="both"/>
        <w:rPr>
          <w:rFonts w:ascii="Arial" w:hAnsi="Arial" w:cs="Arial"/>
        </w:rPr>
      </w:pPr>
    </w:p>
    <w:p w:rsidR="005D705C" w:rsidRPr="001A6FD9" w:rsidRDefault="005D705C" w:rsidP="00C460FC">
      <w:pPr>
        <w:spacing w:before="240" w:after="120" w:line="240" w:lineRule="atLeast"/>
        <w:jc w:val="both"/>
        <w:rPr>
          <w:rFonts w:ascii="Arial" w:hAnsi="Arial" w:cs="Arial"/>
          <w:b/>
        </w:rPr>
      </w:pPr>
      <w:r w:rsidRPr="001A6FD9">
        <w:rPr>
          <w:rFonts w:ascii="Arial" w:hAnsi="Arial" w:cs="Arial"/>
          <w:b/>
        </w:rPr>
        <w:t>Legislative provisions</w:t>
      </w:r>
    </w:p>
    <w:p w:rsidR="005D705C" w:rsidRPr="001A6FD9" w:rsidRDefault="005D705C" w:rsidP="00C460FC">
      <w:pPr>
        <w:spacing w:after="200" w:line="240" w:lineRule="atLeast"/>
        <w:jc w:val="both"/>
        <w:rPr>
          <w:rFonts w:ascii="Arial" w:hAnsi="Arial" w:cs="Arial"/>
        </w:rPr>
      </w:pPr>
      <w:r w:rsidRPr="001A6FD9">
        <w:rPr>
          <w:rFonts w:ascii="Arial" w:hAnsi="Arial" w:cs="Arial"/>
        </w:rPr>
        <w:t xml:space="preserve">Subsection 407(1) of the </w:t>
      </w:r>
      <w:r w:rsidR="00B734DC" w:rsidRPr="001A6FD9">
        <w:rPr>
          <w:rFonts w:ascii="Arial" w:hAnsi="Arial" w:cs="Arial"/>
        </w:rPr>
        <w:t>Act</w:t>
      </w:r>
      <w:r w:rsidRPr="001A6FD9">
        <w:rPr>
          <w:rFonts w:ascii="Arial" w:hAnsi="Arial" w:cs="Arial"/>
        </w:rPr>
        <w:t xml:space="preserve"> provides that the Australian Communications and Media Authority (</w:t>
      </w:r>
      <w:r w:rsidRPr="001A6FD9">
        <w:rPr>
          <w:rFonts w:ascii="Arial" w:hAnsi="Arial" w:cs="Arial"/>
          <w:b/>
        </w:rPr>
        <w:t>the ACMA</w:t>
      </w:r>
      <w:r w:rsidRPr="001A6FD9">
        <w:rPr>
          <w:rFonts w:ascii="Arial" w:hAnsi="Arial" w:cs="Arial"/>
        </w:rPr>
        <w:t xml:space="preserve">) may by </w:t>
      </w:r>
      <w:r w:rsidR="00C55CAE" w:rsidRPr="001A6FD9">
        <w:rPr>
          <w:rFonts w:ascii="Arial" w:hAnsi="Arial" w:cs="Arial"/>
        </w:rPr>
        <w:t xml:space="preserve">written instrument </w:t>
      </w:r>
      <w:r w:rsidRPr="001A6FD9">
        <w:rPr>
          <w:rFonts w:ascii="Arial" w:hAnsi="Arial" w:cs="Arial"/>
        </w:rPr>
        <w:t xml:space="preserve">require any person who is a manufacturer or importer of specified customer equipment </w:t>
      </w:r>
      <w:r w:rsidR="00833145" w:rsidRPr="001A6FD9">
        <w:rPr>
          <w:rFonts w:ascii="Arial" w:hAnsi="Arial" w:cs="Arial"/>
        </w:rPr>
        <w:t>(</w:t>
      </w:r>
      <w:r w:rsidR="00A1136B" w:rsidRPr="001A6FD9">
        <w:rPr>
          <w:rFonts w:ascii="Arial" w:hAnsi="Arial" w:cs="Arial"/>
          <w:b/>
        </w:rPr>
        <w:t>CE</w:t>
      </w:r>
      <w:r w:rsidR="00833145" w:rsidRPr="001A6FD9">
        <w:rPr>
          <w:rFonts w:ascii="Arial" w:hAnsi="Arial" w:cs="Arial"/>
        </w:rPr>
        <w:t xml:space="preserve">) </w:t>
      </w:r>
      <w:r w:rsidRPr="001A6FD9">
        <w:rPr>
          <w:rFonts w:ascii="Arial" w:hAnsi="Arial" w:cs="Arial"/>
        </w:rPr>
        <w:t xml:space="preserve">or customer cabling </w:t>
      </w:r>
      <w:r w:rsidR="00833145" w:rsidRPr="001A6FD9">
        <w:rPr>
          <w:rFonts w:ascii="Arial" w:hAnsi="Arial" w:cs="Arial"/>
        </w:rPr>
        <w:t>(</w:t>
      </w:r>
      <w:r w:rsidR="00A1136B" w:rsidRPr="001A6FD9">
        <w:rPr>
          <w:rFonts w:ascii="Arial" w:hAnsi="Arial" w:cs="Arial"/>
          <w:b/>
        </w:rPr>
        <w:t>CC</w:t>
      </w:r>
      <w:r w:rsidR="00833145" w:rsidRPr="001A6FD9">
        <w:rPr>
          <w:rFonts w:ascii="Arial" w:hAnsi="Arial" w:cs="Arial"/>
        </w:rPr>
        <w:t xml:space="preserve">) </w:t>
      </w:r>
      <w:r w:rsidRPr="001A6FD9">
        <w:rPr>
          <w:rFonts w:ascii="Arial" w:hAnsi="Arial" w:cs="Arial"/>
        </w:rPr>
        <w:t xml:space="preserve">to apply to the equipment or cabling a label to indicate whether the </w:t>
      </w:r>
      <w:r w:rsidR="007400C6">
        <w:rPr>
          <w:rFonts w:ascii="Arial" w:hAnsi="Arial" w:cs="Arial"/>
        </w:rPr>
        <w:t>item</w:t>
      </w:r>
      <w:r w:rsidRPr="001A6FD9">
        <w:rPr>
          <w:rFonts w:ascii="Arial" w:hAnsi="Arial" w:cs="Arial"/>
        </w:rPr>
        <w:t xml:space="preserve"> complies with the</w:t>
      </w:r>
      <w:r w:rsidR="00E909D2" w:rsidRPr="001A6FD9">
        <w:rPr>
          <w:rFonts w:ascii="Arial" w:hAnsi="Arial" w:cs="Arial"/>
        </w:rPr>
        <w:t xml:space="preserve"> technical</w:t>
      </w:r>
      <w:r w:rsidRPr="001A6FD9">
        <w:rPr>
          <w:rFonts w:ascii="Arial" w:hAnsi="Arial" w:cs="Arial"/>
        </w:rPr>
        <w:t xml:space="preserve"> standards </w:t>
      </w:r>
      <w:r w:rsidR="00E909D2" w:rsidRPr="001A6FD9">
        <w:rPr>
          <w:rFonts w:ascii="Arial" w:hAnsi="Arial" w:cs="Arial"/>
        </w:rPr>
        <w:t xml:space="preserve">made </w:t>
      </w:r>
      <w:r w:rsidRPr="001A6FD9">
        <w:rPr>
          <w:rFonts w:ascii="Arial" w:hAnsi="Arial" w:cs="Arial"/>
        </w:rPr>
        <w:t>by the ACMA under section 376 of the Act</w:t>
      </w:r>
      <w:r w:rsidR="00833145" w:rsidRPr="001A6FD9">
        <w:rPr>
          <w:rFonts w:ascii="Arial" w:hAnsi="Arial" w:cs="Arial"/>
        </w:rPr>
        <w:t xml:space="preserve"> and specified in the instrument</w:t>
      </w:r>
      <w:r w:rsidRPr="001A6FD9">
        <w:rPr>
          <w:rFonts w:ascii="Arial" w:hAnsi="Arial" w:cs="Arial"/>
        </w:rPr>
        <w:t>.</w:t>
      </w:r>
    </w:p>
    <w:p w:rsidR="005D705C" w:rsidRPr="001A6FD9" w:rsidRDefault="005D705C" w:rsidP="00C460FC">
      <w:pPr>
        <w:spacing w:after="200" w:line="240" w:lineRule="atLeast"/>
        <w:jc w:val="both"/>
        <w:rPr>
          <w:rFonts w:ascii="Arial" w:hAnsi="Arial" w:cs="Arial"/>
        </w:rPr>
      </w:pPr>
      <w:r w:rsidRPr="001A6FD9">
        <w:rPr>
          <w:rFonts w:ascii="Arial" w:hAnsi="Arial" w:cs="Arial"/>
        </w:rPr>
        <w:t>A</w:t>
      </w:r>
      <w:r w:rsidR="00833145" w:rsidRPr="001A6FD9">
        <w:rPr>
          <w:rFonts w:ascii="Arial" w:hAnsi="Arial" w:cs="Arial"/>
        </w:rPr>
        <w:t xml:space="preserve">n instrument </w:t>
      </w:r>
      <w:r w:rsidRPr="001A6FD9">
        <w:rPr>
          <w:rFonts w:ascii="Arial" w:hAnsi="Arial" w:cs="Arial"/>
        </w:rPr>
        <w:t xml:space="preserve">made under section 407 of the Act is a legislative instrument for the purposes of the </w:t>
      </w:r>
      <w:r w:rsidRPr="001A6FD9">
        <w:rPr>
          <w:rFonts w:ascii="Arial" w:hAnsi="Arial" w:cs="Arial"/>
          <w:i/>
        </w:rPr>
        <w:t xml:space="preserve">Legislative Instruments Act 2003 </w:t>
      </w:r>
      <w:r w:rsidRPr="001A6FD9">
        <w:rPr>
          <w:rFonts w:ascii="Arial" w:hAnsi="Arial" w:cs="Arial"/>
        </w:rPr>
        <w:t>(</w:t>
      </w:r>
      <w:r w:rsidRPr="001A6FD9">
        <w:rPr>
          <w:rFonts w:ascii="Arial" w:hAnsi="Arial" w:cs="Arial"/>
          <w:b/>
        </w:rPr>
        <w:t>LIA</w:t>
      </w:r>
      <w:r w:rsidRPr="001A6FD9">
        <w:rPr>
          <w:rFonts w:ascii="Arial" w:hAnsi="Arial" w:cs="Arial"/>
        </w:rPr>
        <w:t>).</w:t>
      </w:r>
    </w:p>
    <w:p w:rsidR="005D705C" w:rsidRDefault="00CA547D" w:rsidP="00C460FC">
      <w:pPr>
        <w:spacing w:after="200" w:line="240" w:lineRule="atLeast"/>
        <w:jc w:val="both"/>
        <w:rPr>
          <w:rFonts w:ascii="Arial" w:hAnsi="Arial" w:cs="Arial"/>
        </w:rPr>
      </w:pPr>
      <w:r w:rsidRPr="001A6FD9">
        <w:rPr>
          <w:rFonts w:ascii="Arial" w:hAnsi="Arial" w:cs="Arial"/>
        </w:rPr>
        <w:t>Division 7 of Part 21 of the Act, together with the</w:t>
      </w:r>
      <w:r w:rsidR="005D705C" w:rsidRPr="001A6FD9">
        <w:rPr>
          <w:rFonts w:ascii="Arial" w:hAnsi="Arial" w:cs="Arial"/>
        </w:rPr>
        <w:t xml:space="preserve"> Labelling Notice and the standards made under section 376 of the Act operate to specify the relevant Australian telecommunications regulatory </w:t>
      </w:r>
      <w:r w:rsidR="001D6A08" w:rsidRPr="001A6FD9">
        <w:rPr>
          <w:rFonts w:ascii="Arial" w:hAnsi="Arial" w:cs="Arial"/>
        </w:rPr>
        <w:t>obligations in relation to</w:t>
      </w:r>
      <w:r w:rsidR="000B5B8D" w:rsidRPr="001A6FD9">
        <w:rPr>
          <w:rFonts w:ascii="Arial" w:hAnsi="Arial" w:cs="Arial"/>
        </w:rPr>
        <w:t xml:space="preserve"> the labelling of</w:t>
      </w:r>
      <w:r w:rsidR="001D6A08" w:rsidRPr="001A6FD9">
        <w:rPr>
          <w:rFonts w:ascii="Arial" w:hAnsi="Arial" w:cs="Arial"/>
        </w:rPr>
        <w:t xml:space="preserve"> specified </w:t>
      </w:r>
      <w:r w:rsidRPr="001A6FD9">
        <w:rPr>
          <w:rFonts w:ascii="Arial" w:hAnsi="Arial" w:cs="Arial"/>
        </w:rPr>
        <w:t>CE</w:t>
      </w:r>
      <w:r w:rsidR="001D6A08" w:rsidRPr="001A6FD9">
        <w:rPr>
          <w:rFonts w:ascii="Arial" w:hAnsi="Arial" w:cs="Arial"/>
        </w:rPr>
        <w:t xml:space="preserve"> or </w:t>
      </w:r>
      <w:r w:rsidRPr="001A6FD9">
        <w:rPr>
          <w:rFonts w:ascii="Arial" w:hAnsi="Arial" w:cs="Arial"/>
        </w:rPr>
        <w:t>CC</w:t>
      </w:r>
      <w:r w:rsidR="005D705C" w:rsidRPr="001A6FD9">
        <w:rPr>
          <w:rFonts w:ascii="Arial" w:hAnsi="Arial" w:cs="Arial"/>
        </w:rPr>
        <w:t>.</w:t>
      </w:r>
    </w:p>
    <w:p w:rsidR="00087D37" w:rsidRPr="001A6FD9" w:rsidRDefault="00087D37" w:rsidP="00C460FC">
      <w:pPr>
        <w:spacing w:after="200" w:line="240" w:lineRule="atLeast"/>
        <w:jc w:val="both"/>
        <w:rPr>
          <w:rFonts w:ascii="Arial" w:hAnsi="Arial" w:cs="Arial"/>
        </w:rPr>
      </w:pPr>
    </w:p>
    <w:p w:rsidR="005D705C" w:rsidRPr="001A6FD9" w:rsidRDefault="005D705C" w:rsidP="00C460FC">
      <w:pPr>
        <w:spacing w:before="240" w:after="120" w:line="240" w:lineRule="atLeast"/>
        <w:jc w:val="both"/>
        <w:rPr>
          <w:rFonts w:ascii="Arial" w:hAnsi="Arial" w:cs="Arial"/>
          <w:b/>
        </w:rPr>
      </w:pPr>
      <w:r w:rsidRPr="001A6FD9">
        <w:rPr>
          <w:rFonts w:ascii="Arial" w:hAnsi="Arial" w:cs="Arial"/>
          <w:b/>
        </w:rPr>
        <w:t>Background</w:t>
      </w:r>
    </w:p>
    <w:p w:rsidR="005D705C" w:rsidRPr="001A6FD9" w:rsidRDefault="005D705C" w:rsidP="00C460FC">
      <w:pPr>
        <w:spacing w:after="200" w:line="240" w:lineRule="atLeast"/>
        <w:jc w:val="both"/>
        <w:rPr>
          <w:rFonts w:ascii="Arial" w:hAnsi="Arial" w:cs="Arial"/>
        </w:rPr>
      </w:pPr>
      <w:r w:rsidRPr="001A6FD9">
        <w:rPr>
          <w:rFonts w:ascii="Arial" w:hAnsi="Arial" w:cs="Arial"/>
        </w:rPr>
        <w:t xml:space="preserve">The ACMA has responsibility for the regulation of </w:t>
      </w:r>
      <w:r w:rsidR="00CA547D" w:rsidRPr="001A6FD9">
        <w:rPr>
          <w:rFonts w:ascii="Arial" w:hAnsi="Arial" w:cs="Arial"/>
        </w:rPr>
        <w:t xml:space="preserve">CE and CC </w:t>
      </w:r>
      <w:r w:rsidRPr="001A6FD9">
        <w:rPr>
          <w:rFonts w:ascii="Arial" w:hAnsi="Arial" w:cs="Arial"/>
        </w:rPr>
        <w:t xml:space="preserve">in Australia under the Act and the </w:t>
      </w:r>
      <w:r w:rsidRPr="001A6FD9">
        <w:rPr>
          <w:rFonts w:ascii="Arial" w:hAnsi="Arial" w:cs="Arial"/>
          <w:i/>
        </w:rPr>
        <w:t>Radiocommunications Act 1992</w:t>
      </w:r>
      <w:r w:rsidRPr="001A6FD9">
        <w:rPr>
          <w:rFonts w:ascii="Arial" w:hAnsi="Arial" w:cs="Arial"/>
        </w:rPr>
        <w:t xml:space="preserve">. These regimes cover aspects of </w:t>
      </w:r>
      <w:r w:rsidR="00CA547D" w:rsidRPr="001A6FD9">
        <w:rPr>
          <w:rFonts w:ascii="Arial" w:hAnsi="Arial" w:cs="Arial"/>
        </w:rPr>
        <w:t xml:space="preserve">CE and CC </w:t>
      </w:r>
      <w:r w:rsidRPr="001A6FD9">
        <w:rPr>
          <w:rFonts w:ascii="Arial" w:hAnsi="Arial" w:cs="Arial"/>
        </w:rPr>
        <w:t xml:space="preserve">related to the telecommunications, radiocommunications, electromagnetic energy and electromagnetic compatibility functions of the </w:t>
      </w:r>
      <w:r w:rsidR="00CA547D" w:rsidRPr="001A6FD9">
        <w:rPr>
          <w:rFonts w:ascii="Arial" w:hAnsi="Arial" w:cs="Arial"/>
        </w:rPr>
        <w:t>items</w:t>
      </w:r>
      <w:r w:rsidRPr="001A6FD9">
        <w:rPr>
          <w:rFonts w:ascii="Arial" w:hAnsi="Arial" w:cs="Arial"/>
        </w:rPr>
        <w:t>.</w:t>
      </w:r>
    </w:p>
    <w:p w:rsidR="005D705C" w:rsidRPr="001A6FD9" w:rsidRDefault="005D705C" w:rsidP="00C460FC">
      <w:pPr>
        <w:spacing w:after="200" w:line="240" w:lineRule="atLeast"/>
        <w:jc w:val="both"/>
        <w:rPr>
          <w:rFonts w:ascii="Arial" w:hAnsi="Arial" w:cs="Arial"/>
        </w:rPr>
      </w:pPr>
      <w:r w:rsidRPr="001A6FD9">
        <w:rPr>
          <w:rFonts w:ascii="Arial" w:hAnsi="Arial" w:cs="Arial"/>
        </w:rPr>
        <w:t xml:space="preserve">The telecommunications regulatory </w:t>
      </w:r>
      <w:r w:rsidR="001D6A08" w:rsidRPr="001A6FD9">
        <w:rPr>
          <w:rFonts w:ascii="Arial" w:hAnsi="Arial" w:cs="Arial"/>
        </w:rPr>
        <w:t xml:space="preserve">framework </w:t>
      </w:r>
      <w:r w:rsidRPr="001A6FD9">
        <w:rPr>
          <w:rFonts w:ascii="Arial" w:hAnsi="Arial" w:cs="Arial"/>
        </w:rPr>
        <w:t>aim</w:t>
      </w:r>
      <w:r w:rsidR="000B5B8D" w:rsidRPr="001A6FD9">
        <w:rPr>
          <w:rFonts w:ascii="Arial" w:hAnsi="Arial" w:cs="Arial"/>
        </w:rPr>
        <w:t>s</w:t>
      </w:r>
      <w:r w:rsidRPr="001A6FD9">
        <w:rPr>
          <w:rFonts w:ascii="Arial" w:hAnsi="Arial" w:cs="Arial"/>
        </w:rPr>
        <w:t xml:space="preserve"> to ensure that </w:t>
      </w:r>
      <w:r w:rsidR="00CA547D" w:rsidRPr="001A6FD9">
        <w:rPr>
          <w:rFonts w:ascii="Arial" w:hAnsi="Arial" w:cs="Arial"/>
        </w:rPr>
        <w:t>CE</w:t>
      </w:r>
      <w:r w:rsidRPr="001A6FD9">
        <w:rPr>
          <w:rFonts w:ascii="Arial" w:hAnsi="Arial" w:cs="Arial"/>
        </w:rPr>
        <w:t xml:space="preserve"> and </w:t>
      </w:r>
      <w:r w:rsidR="004F09EC" w:rsidRPr="001A6FD9">
        <w:rPr>
          <w:rFonts w:ascii="Arial" w:hAnsi="Arial" w:cs="Arial"/>
        </w:rPr>
        <w:t>CC</w:t>
      </w:r>
      <w:r w:rsidRPr="001A6FD9">
        <w:rPr>
          <w:rFonts w:ascii="Arial" w:hAnsi="Arial" w:cs="Arial"/>
        </w:rPr>
        <w:t xml:space="preserve"> meet technical standards and are appropriately labelled prior to connection to the telecommunications network.</w:t>
      </w:r>
    </w:p>
    <w:p w:rsidR="005D705C" w:rsidRPr="001A6FD9" w:rsidRDefault="005D705C" w:rsidP="00C460FC">
      <w:pPr>
        <w:spacing w:after="200" w:line="240" w:lineRule="atLeast"/>
        <w:jc w:val="both"/>
        <w:rPr>
          <w:rFonts w:ascii="Arial" w:hAnsi="Arial" w:cs="Arial"/>
        </w:rPr>
      </w:pPr>
      <w:r w:rsidRPr="001A6FD9">
        <w:rPr>
          <w:rFonts w:ascii="Arial" w:hAnsi="Arial" w:cs="Arial"/>
        </w:rPr>
        <w:lastRenderedPageBreak/>
        <w:t xml:space="preserve">By imposing requirements on suppliers of </w:t>
      </w:r>
      <w:r w:rsidR="00CA547D" w:rsidRPr="001A6FD9">
        <w:rPr>
          <w:rFonts w:ascii="Arial" w:hAnsi="Arial" w:cs="Arial"/>
        </w:rPr>
        <w:t>CE</w:t>
      </w:r>
      <w:r w:rsidRPr="001A6FD9">
        <w:rPr>
          <w:rFonts w:ascii="Arial" w:hAnsi="Arial" w:cs="Arial"/>
        </w:rPr>
        <w:t xml:space="preserve"> and </w:t>
      </w:r>
      <w:r w:rsidR="004F09EC" w:rsidRPr="001A6FD9">
        <w:rPr>
          <w:rFonts w:ascii="Arial" w:hAnsi="Arial" w:cs="Arial"/>
        </w:rPr>
        <w:t>CC</w:t>
      </w:r>
      <w:r w:rsidRPr="001A6FD9">
        <w:rPr>
          <w:rFonts w:ascii="Arial" w:hAnsi="Arial" w:cs="Arial"/>
        </w:rPr>
        <w:t xml:space="preserve">, the Labelling </w:t>
      </w:r>
      <w:r w:rsidR="001506AD" w:rsidRPr="001A6FD9">
        <w:rPr>
          <w:rFonts w:ascii="Arial" w:hAnsi="Arial" w:cs="Arial"/>
        </w:rPr>
        <w:t>Notice assists</w:t>
      </w:r>
      <w:r w:rsidR="00491948" w:rsidRPr="001A6FD9">
        <w:rPr>
          <w:rFonts w:ascii="Arial" w:hAnsi="Arial" w:cs="Arial"/>
        </w:rPr>
        <w:t xml:space="preserve"> in protecting</w:t>
      </w:r>
      <w:r w:rsidR="000B5B8D" w:rsidRPr="001A6FD9">
        <w:rPr>
          <w:rFonts w:ascii="Arial" w:hAnsi="Arial" w:cs="Arial"/>
        </w:rPr>
        <w:t xml:space="preserve"> </w:t>
      </w:r>
      <w:r w:rsidRPr="001A6FD9">
        <w:rPr>
          <w:rFonts w:ascii="Arial" w:hAnsi="Arial" w:cs="Arial"/>
        </w:rPr>
        <w:t>the health and safety of users of the telecommunications network, protecting the integrity and interoperability of the telecommunications network and ensuring access to emergency call services.</w:t>
      </w:r>
    </w:p>
    <w:p w:rsidR="001A6FD9" w:rsidRDefault="001A6FD9" w:rsidP="00C460FC">
      <w:pPr>
        <w:spacing w:before="120" w:after="240" w:line="240" w:lineRule="atLeast"/>
        <w:jc w:val="both"/>
        <w:rPr>
          <w:rFonts w:ascii="Arial" w:hAnsi="Arial" w:cs="Arial"/>
          <w:b/>
        </w:rPr>
      </w:pPr>
    </w:p>
    <w:p w:rsidR="00E849FB" w:rsidRPr="001A6FD9" w:rsidRDefault="00E849FB" w:rsidP="00C460FC">
      <w:pPr>
        <w:spacing w:before="120" w:after="240" w:line="240" w:lineRule="atLeast"/>
        <w:jc w:val="both"/>
        <w:rPr>
          <w:rFonts w:ascii="Arial" w:hAnsi="Arial" w:cs="Arial"/>
          <w:b/>
        </w:rPr>
      </w:pPr>
      <w:r w:rsidRPr="001A6FD9">
        <w:rPr>
          <w:rFonts w:ascii="Arial" w:hAnsi="Arial" w:cs="Arial"/>
          <w:b/>
        </w:rPr>
        <w:t>Operation</w:t>
      </w:r>
    </w:p>
    <w:p w:rsidR="00FE1030" w:rsidRPr="001A6FD9" w:rsidRDefault="00FE1030" w:rsidP="00C460FC">
      <w:pPr>
        <w:spacing w:after="200" w:line="240" w:lineRule="atLeast"/>
        <w:jc w:val="both"/>
        <w:rPr>
          <w:rFonts w:ascii="Arial" w:hAnsi="Arial" w:cs="Arial"/>
        </w:rPr>
      </w:pPr>
      <w:r w:rsidRPr="001A6FD9">
        <w:rPr>
          <w:rFonts w:ascii="Arial" w:hAnsi="Arial" w:cs="Arial"/>
        </w:rPr>
        <w:t xml:space="preserve">The Amendment Notice </w:t>
      </w:r>
      <w:r w:rsidR="00C910EB">
        <w:rPr>
          <w:rFonts w:ascii="Arial" w:hAnsi="Arial" w:cs="Arial"/>
        </w:rPr>
        <w:t xml:space="preserve">inserts a reference to </w:t>
      </w:r>
      <w:r w:rsidR="00805665" w:rsidRPr="001A6FD9">
        <w:rPr>
          <w:rFonts w:ascii="Arial" w:hAnsi="Arial" w:cs="Arial"/>
        </w:rPr>
        <w:t>th</w:t>
      </w:r>
      <w:r w:rsidRPr="001A6FD9">
        <w:rPr>
          <w:rFonts w:ascii="Arial" w:hAnsi="Arial" w:cs="Arial"/>
        </w:rPr>
        <w:t xml:space="preserve">e </w:t>
      </w:r>
      <w:r w:rsidR="00523533">
        <w:rPr>
          <w:rFonts w:ascii="Arial" w:hAnsi="Arial" w:cs="Arial"/>
        </w:rPr>
        <w:t xml:space="preserve">new </w:t>
      </w:r>
      <w:r w:rsidR="00885532">
        <w:rPr>
          <w:rFonts w:ascii="Arial" w:hAnsi="Arial" w:cs="Arial"/>
        </w:rPr>
        <w:t>ACMA Standard</w:t>
      </w:r>
      <w:r w:rsidRPr="001A6FD9">
        <w:rPr>
          <w:rFonts w:ascii="Arial" w:hAnsi="Arial" w:cs="Arial"/>
        </w:rPr>
        <w:t xml:space="preserve"> in Schedule 1 of the Labelling Notice</w:t>
      </w:r>
      <w:r w:rsidR="00CA547D" w:rsidRPr="001A6FD9">
        <w:rPr>
          <w:rFonts w:ascii="Arial" w:hAnsi="Arial" w:cs="Arial"/>
        </w:rPr>
        <w:t xml:space="preserve">, thereby requiring suppliers </w:t>
      </w:r>
      <w:r w:rsidR="006A6264">
        <w:rPr>
          <w:rFonts w:ascii="Arial" w:hAnsi="Arial" w:cs="Arial"/>
        </w:rPr>
        <w:t xml:space="preserve">of </w:t>
      </w:r>
      <w:r w:rsidR="00CA547D" w:rsidRPr="001A6FD9">
        <w:rPr>
          <w:rFonts w:ascii="Arial" w:hAnsi="Arial" w:cs="Arial"/>
        </w:rPr>
        <w:t xml:space="preserve">an item of CE or CC to apply a label to that item indicating whether </w:t>
      </w:r>
      <w:r w:rsidR="006A6264">
        <w:rPr>
          <w:rFonts w:ascii="Arial" w:hAnsi="Arial" w:cs="Arial"/>
        </w:rPr>
        <w:t>it</w:t>
      </w:r>
      <w:r w:rsidR="00CA547D" w:rsidRPr="001A6FD9">
        <w:rPr>
          <w:rFonts w:ascii="Arial" w:hAnsi="Arial" w:cs="Arial"/>
        </w:rPr>
        <w:t xml:space="preserve"> </w:t>
      </w:r>
      <w:r w:rsidR="00B81A2D">
        <w:rPr>
          <w:rFonts w:ascii="Arial" w:hAnsi="Arial" w:cs="Arial"/>
        </w:rPr>
        <w:t xml:space="preserve">is </w:t>
      </w:r>
      <w:r w:rsidR="00CA547D" w:rsidRPr="001A6FD9">
        <w:rPr>
          <w:rFonts w:ascii="Arial" w:hAnsi="Arial" w:cs="Arial"/>
        </w:rPr>
        <w:t>compli</w:t>
      </w:r>
      <w:r w:rsidR="00B81A2D">
        <w:rPr>
          <w:rFonts w:ascii="Arial" w:hAnsi="Arial" w:cs="Arial"/>
        </w:rPr>
        <w:t>ant</w:t>
      </w:r>
      <w:r w:rsidR="00CA547D" w:rsidRPr="001A6FD9">
        <w:rPr>
          <w:rFonts w:ascii="Arial" w:hAnsi="Arial" w:cs="Arial"/>
        </w:rPr>
        <w:t>.</w:t>
      </w:r>
    </w:p>
    <w:p w:rsidR="00FE1030" w:rsidRPr="001A6FD9" w:rsidRDefault="006A6264" w:rsidP="00605ADF">
      <w:pPr>
        <w:spacing w:after="200" w:line="240" w:lineRule="atLeast"/>
        <w:jc w:val="both"/>
        <w:rPr>
          <w:rFonts w:ascii="Arial" w:hAnsi="Arial" w:cs="Arial"/>
        </w:rPr>
      </w:pPr>
      <w:r>
        <w:rPr>
          <w:rFonts w:ascii="Arial" w:hAnsi="Arial" w:cs="Arial"/>
        </w:rPr>
        <w:t>S</w:t>
      </w:r>
      <w:r w:rsidR="00E909D2" w:rsidRPr="001A6FD9">
        <w:rPr>
          <w:rFonts w:ascii="Arial" w:hAnsi="Arial" w:cs="Arial"/>
        </w:rPr>
        <w:t>ection 377</w:t>
      </w:r>
      <w:r>
        <w:rPr>
          <w:rFonts w:ascii="Arial" w:hAnsi="Arial" w:cs="Arial"/>
        </w:rPr>
        <w:t xml:space="preserve"> of the Act provides</w:t>
      </w:r>
      <w:r w:rsidR="00E909D2" w:rsidRPr="001A6FD9">
        <w:rPr>
          <w:rFonts w:ascii="Arial" w:hAnsi="Arial" w:cs="Arial"/>
        </w:rPr>
        <w:t xml:space="preserve"> that in making a technical standard under section 376, the ACMA may apply, adopt or incorporate (with or without modification) any matter contained in a standard proposed or approved</w:t>
      </w:r>
      <w:r w:rsidR="00C910EB">
        <w:rPr>
          <w:rFonts w:ascii="Arial" w:hAnsi="Arial" w:cs="Arial"/>
        </w:rPr>
        <w:t xml:space="preserve"> by various bodies, including </w:t>
      </w:r>
      <w:r w:rsidR="00E909D2" w:rsidRPr="001A6FD9">
        <w:rPr>
          <w:rFonts w:ascii="Arial" w:hAnsi="Arial" w:cs="Arial"/>
        </w:rPr>
        <w:t>Communications Alliance (</w:t>
      </w:r>
      <w:r w:rsidR="00E909D2" w:rsidRPr="001A6FD9">
        <w:rPr>
          <w:rFonts w:ascii="Arial" w:hAnsi="Arial" w:cs="Arial"/>
          <w:b/>
        </w:rPr>
        <w:t>CA</w:t>
      </w:r>
      <w:r w:rsidR="00E909D2" w:rsidRPr="001A6FD9">
        <w:rPr>
          <w:rFonts w:ascii="Arial" w:hAnsi="Arial" w:cs="Arial"/>
        </w:rPr>
        <w:t xml:space="preserve">). </w:t>
      </w:r>
      <w:r w:rsidR="00805665" w:rsidRPr="001A6FD9">
        <w:rPr>
          <w:rFonts w:ascii="Arial" w:hAnsi="Arial" w:cs="Arial"/>
        </w:rPr>
        <w:t>T</w:t>
      </w:r>
      <w:r w:rsidR="00FE1030" w:rsidRPr="001A6FD9">
        <w:rPr>
          <w:rFonts w:ascii="Arial" w:hAnsi="Arial" w:cs="Arial"/>
        </w:rPr>
        <w:t xml:space="preserve">he </w:t>
      </w:r>
      <w:r w:rsidR="00523533">
        <w:rPr>
          <w:rFonts w:ascii="Arial" w:hAnsi="Arial" w:cs="Arial"/>
        </w:rPr>
        <w:t xml:space="preserve">new </w:t>
      </w:r>
      <w:r w:rsidR="00FE1030" w:rsidRPr="001A6FD9">
        <w:rPr>
          <w:rFonts w:ascii="Arial" w:hAnsi="Arial" w:cs="Arial"/>
        </w:rPr>
        <w:t>ACMA Standard</w:t>
      </w:r>
      <w:r w:rsidR="00605ADF" w:rsidRPr="001A6FD9">
        <w:rPr>
          <w:rFonts w:ascii="Arial" w:hAnsi="Arial" w:cs="Arial"/>
        </w:rPr>
        <w:t xml:space="preserve"> </w:t>
      </w:r>
      <w:r w:rsidR="007400C6">
        <w:rPr>
          <w:rFonts w:ascii="Arial" w:hAnsi="Arial" w:cs="Arial"/>
        </w:rPr>
        <w:t>incorporates</w:t>
      </w:r>
      <w:r w:rsidR="007400C6" w:rsidRPr="001A6FD9">
        <w:rPr>
          <w:rFonts w:ascii="Arial" w:hAnsi="Arial" w:cs="Arial"/>
        </w:rPr>
        <w:t xml:space="preserve"> </w:t>
      </w:r>
      <w:r w:rsidR="00FE1030" w:rsidRPr="001A6FD9">
        <w:rPr>
          <w:rFonts w:ascii="Arial" w:hAnsi="Arial" w:cs="Arial"/>
        </w:rPr>
        <w:t xml:space="preserve">the </w:t>
      </w:r>
      <w:r w:rsidR="00605ADF" w:rsidRPr="001A6FD9">
        <w:rPr>
          <w:rFonts w:ascii="Arial" w:hAnsi="Arial" w:cs="Arial"/>
          <w:color w:val="000000"/>
        </w:rPr>
        <w:t xml:space="preserve">Australian Standard </w:t>
      </w:r>
      <w:r w:rsidR="00605ADF" w:rsidRPr="001A6FD9">
        <w:rPr>
          <w:rFonts w:ascii="Arial" w:hAnsi="Arial" w:cs="Arial"/>
          <w:i/>
          <w:color w:val="000000"/>
        </w:rPr>
        <w:t xml:space="preserve">AS/CA S004:2013 Voice performance requirements for Customer Equipment </w:t>
      </w:r>
      <w:r w:rsidR="00605ADF" w:rsidRPr="001A6FD9">
        <w:rPr>
          <w:rFonts w:ascii="Arial" w:hAnsi="Arial" w:cs="Arial"/>
          <w:color w:val="000000"/>
        </w:rPr>
        <w:t>(</w:t>
      </w:r>
      <w:r w:rsidR="001F1CA9" w:rsidRPr="001F1CA9">
        <w:rPr>
          <w:rFonts w:ascii="Arial" w:hAnsi="Arial" w:cs="Arial"/>
          <w:b/>
          <w:color w:val="000000"/>
        </w:rPr>
        <w:t>AS/CA S004:2013</w:t>
      </w:r>
      <w:r w:rsidR="007400C6">
        <w:rPr>
          <w:rFonts w:ascii="Arial" w:hAnsi="Arial" w:cs="Arial"/>
          <w:b/>
          <w:color w:val="000000"/>
        </w:rPr>
        <w:t xml:space="preserve"> industry standard</w:t>
      </w:r>
      <w:r w:rsidR="00442B63">
        <w:rPr>
          <w:rFonts w:ascii="Arial" w:hAnsi="Arial" w:cs="Arial"/>
          <w:color w:val="000000"/>
        </w:rPr>
        <w:t>)</w:t>
      </w:r>
      <w:r w:rsidR="007400C6">
        <w:rPr>
          <w:rFonts w:ascii="Arial" w:hAnsi="Arial" w:cs="Arial"/>
          <w:color w:val="000000"/>
        </w:rPr>
        <w:t>, an industry standard</w:t>
      </w:r>
      <w:r w:rsidR="00442B63">
        <w:rPr>
          <w:rFonts w:ascii="Arial" w:hAnsi="Arial" w:cs="Arial"/>
          <w:color w:val="000000"/>
        </w:rPr>
        <w:t xml:space="preserve"> </w:t>
      </w:r>
      <w:r w:rsidR="00605ADF" w:rsidRPr="001A6FD9">
        <w:rPr>
          <w:rFonts w:ascii="Arial" w:hAnsi="Arial" w:cs="Arial"/>
          <w:color w:val="000000"/>
        </w:rPr>
        <w:t>made by CA</w:t>
      </w:r>
      <w:r w:rsidR="007400C6">
        <w:rPr>
          <w:rFonts w:ascii="Arial" w:hAnsi="Arial" w:cs="Arial"/>
          <w:color w:val="000000"/>
        </w:rPr>
        <w:t>,</w:t>
      </w:r>
      <w:r w:rsidR="00605ADF" w:rsidRPr="001A6FD9">
        <w:rPr>
          <w:rFonts w:ascii="Arial" w:hAnsi="Arial" w:cs="Arial"/>
          <w:color w:val="000000"/>
        </w:rPr>
        <w:t xml:space="preserve"> </w:t>
      </w:r>
      <w:r w:rsidR="00CA547D" w:rsidRPr="001A6FD9">
        <w:rPr>
          <w:rFonts w:ascii="Arial" w:hAnsi="Arial" w:cs="Arial"/>
        </w:rPr>
        <w:t>as</w:t>
      </w:r>
      <w:r w:rsidR="00605ADF" w:rsidRPr="001A6FD9">
        <w:rPr>
          <w:rFonts w:ascii="Arial" w:hAnsi="Arial" w:cs="Arial"/>
        </w:rPr>
        <w:t xml:space="preserve"> a</w:t>
      </w:r>
      <w:r w:rsidR="00CA547D" w:rsidRPr="001A6FD9">
        <w:rPr>
          <w:rFonts w:ascii="Arial" w:hAnsi="Arial" w:cs="Arial"/>
        </w:rPr>
        <w:t xml:space="preserve"> technical standard made </w:t>
      </w:r>
      <w:r w:rsidR="00FE1030" w:rsidRPr="001A6FD9">
        <w:rPr>
          <w:rFonts w:ascii="Arial" w:hAnsi="Arial" w:cs="Arial"/>
        </w:rPr>
        <w:t>under section 376 of the Act</w:t>
      </w:r>
      <w:r w:rsidR="00605ADF" w:rsidRPr="001A6FD9">
        <w:rPr>
          <w:rFonts w:ascii="Arial" w:hAnsi="Arial" w:cs="Arial"/>
        </w:rPr>
        <w:t>.</w:t>
      </w:r>
      <w:r w:rsidR="00087D37">
        <w:rPr>
          <w:rFonts w:ascii="Arial" w:hAnsi="Arial" w:cs="Arial"/>
        </w:rPr>
        <w:t xml:space="preserve"> The new ACMA Standard also provides for a two year overlap period between the </w:t>
      </w:r>
      <w:r w:rsidR="00C910EB">
        <w:rPr>
          <w:rFonts w:ascii="Arial" w:hAnsi="Arial" w:cs="Arial"/>
        </w:rPr>
        <w:t>former</w:t>
      </w:r>
      <w:r w:rsidR="00087D37">
        <w:rPr>
          <w:rFonts w:ascii="Arial" w:hAnsi="Arial" w:cs="Arial"/>
        </w:rPr>
        <w:t xml:space="preserve"> industry standard and </w:t>
      </w:r>
      <w:r w:rsidR="00C910EB">
        <w:rPr>
          <w:rFonts w:ascii="Arial" w:hAnsi="Arial" w:cs="Arial"/>
        </w:rPr>
        <w:t>AS/CA S004:2013 industry standard</w:t>
      </w:r>
      <w:r w:rsidR="00087D37">
        <w:rPr>
          <w:rFonts w:ascii="Arial" w:hAnsi="Arial" w:cs="Arial"/>
        </w:rPr>
        <w:t xml:space="preserve"> from the commencement of the new ACMA standard.  </w:t>
      </w:r>
    </w:p>
    <w:p w:rsidR="001A6FD9" w:rsidRDefault="001A6FD9" w:rsidP="00C460FC">
      <w:pPr>
        <w:spacing w:before="240" w:after="120" w:line="240" w:lineRule="atLeast"/>
        <w:jc w:val="both"/>
        <w:rPr>
          <w:rFonts w:ascii="Arial" w:hAnsi="Arial" w:cs="Arial"/>
          <w:b/>
        </w:rPr>
      </w:pPr>
    </w:p>
    <w:p w:rsidR="00165062" w:rsidRPr="004371B0" w:rsidRDefault="00165062" w:rsidP="00C460FC">
      <w:pPr>
        <w:spacing w:before="240" w:after="120" w:line="240" w:lineRule="atLeast"/>
        <w:jc w:val="both"/>
        <w:rPr>
          <w:rFonts w:ascii="Arial" w:hAnsi="Arial" w:cs="Arial"/>
        </w:rPr>
      </w:pPr>
      <w:r w:rsidRPr="004371B0">
        <w:rPr>
          <w:rFonts w:ascii="Arial" w:hAnsi="Arial" w:cs="Arial"/>
          <w:b/>
        </w:rPr>
        <w:t>Consultation</w:t>
      </w:r>
    </w:p>
    <w:p w:rsidR="001A6FD9" w:rsidRPr="004371B0" w:rsidRDefault="001F1CA9" w:rsidP="001A6FD9">
      <w:pPr>
        <w:rPr>
          <w:rFonts w:ascii="Arial" w:hAnsi="Arial" w:cs="Arial"/>
          <w:snapToGrid w:val="0"/>
        </w:rPr>
      </w:pPr>
      <w:r w:rsidRPr="004371B0">
        <w:rPr>
          <w:rFonts w:ascii="Arial" w:hAnsi="Arial" w:cs="Arial"/>
          <w:snapToGrid w:val="0"/>
        </w:rPr>
        <w:t>Subsection 378(1) of the Act requires that before the ACMA makes a standard the ACMA must, so far as is practicable, try to ensure that interested parties have had an adequate opportunity to comment on the proposed standard and that due consideration has been given to any comments made. This provision also applies when the ACMA is amending a standard made under section 376.</w:t>
      </w:r>
    </w:p>
    <w:p w:rsidR="00885532" w:rsidRPr="004371B0" w:rsidRDefault="00885532" w:rsidP="001A6FD9">
      <w:pPr>
        <w:rPr>
          <w:rFonts w:ascii="Arial" w:hAnsi="Arial" w:cs="Arial"/>
          <w:snapToGrid w:val="0"/>
        </w:rPr>
      </w:pPr>
    </w:p>
    <w:p w:rsidR="001A6FD9" w:rsidRPr="004371B0" w:rsidRDefault="001F1CA9" w:rsidP="001A6FD9">
      <w:pPr>
        <w:shd w:val="clear" w:color="auto" w:fill="FFFFFF" w:themeFill="background1"/>
        <w:rPr>
          <w:rFonts w:ascii="Arial" w:hAnsi="Arial" w:cs="Arial"/>
        </w:rPr>
      </w:pPr>
      <w:r w:rsidRPr="004371B0">
        <w:rPr>
          <w:rFonts w:ascii="Arial" w:hAnsi="Arial" w:cs="Arial"/>
        </w:rPr>
        <w:t xml:space="preserve">Subsection 378(2) of the Act allows the ACMA to make an arrangement with Standards Australia, or a body or association approved in writing by Standards Australia (or a body specified in a written determination by the ACMA) under which the body or association prepares, publishes, consults publicly and reports to the ACMA on the results of the public consultation process. CA is a body approved in writing by Standards Australia. </w:t>
      </w:r>
    </w:p>
    <w:p w:rsidR="00885532" w:rsidRPr="004371B0" w:rsidRDefault="00885532" w:rsidP="001A6FD9">
      <w:pPr>
        <w:shd w:val="clear" w:color="auto" w:fill="FFFFFF" w:themeFill="background1"/>
        <w:rPr>
          <w:rFonts w:ascii="Arial" w:hAnsi="Arial" w:cs="Arial"/>
        </w:rPr>
      </w:pPr>
    </w:p>
    <w:p w:rsidR="004371B0" w:rsidRPr="004371B0" w:rsidRDefault="001F1CA9" w:rsidP="00B93B56">
      <w:pPr>
        <w:pStyle w:val="ACMANumberedList"/>
        <w:numPr>
          <w:ilvl w:val="0"/>
          <w:numId w:val="0"/>
        </w:numPr>
        <w:spacing w:afterLines="120"/>
        <w:rPr>
          <w:rFonts w:ascii="Arial" w:hAnsi="Arial" w:cs="Arial"/>
          <w:szCs w:val="24"/>
        </w:rPr>
      </w:pPr>
      <w:r w:rsidRPr="004371B0">
        <w:rPr>
          <w:rFonts w:ascii="Arial" w:hAnsi="Arial" w:cs="Arial"/>
          <w:szCs w:val="24"/>
        </w:rPr>
        <w:t>CA commenced a public consultation process of DR AS/CA S004:2012 (</w:t>
      </w:r>
      <w:r w:rsidRPr="004371B0">
        <w:rPr>
          <w:rFonts w:ascii="Arial" w:hAnsi="Arial" w:cs="Arial"/>
          <w:b/>
          <w:szCs w:val="24"/>
        </w:rPr>
        <w:t>the draft industry standard</w:t>
      </w:r>
      <w:r w:rsidRPr="004371B0">
        <w:rPr>
          <w:rFonts w:ascii="Arial" w:hAnsi="Arial" w:cs="Arial"/>
          <w:szCs w:val="24"/>
        </w:rPr>
        <w:t xml:space="preserve">) on 17 July 2012 for 63 days. </w:t>
      </w:r>
      <w:r w:rsidR="004371B0" w:rsidRPr="004371B0">
        <w:rPr>
          <w:rFonts w:ascii="Arial" w:hAnsi="Arial" w:cs="Arial"/>
          <w:szCs w:val="24"/>
        </w:rPr>
        <w:t>During this period, public comment was also sought on recommendations made by CA on how the proposed revision to the industry standard should be applied in the TLN.</w:t>
      </w:r>
    </w:p>
    <w:p w:rsidR="004371B0" w:rsidRPr="006B0B1D" w:rsidRDefault="00087D37" w:rsidP="00B93B56">
      <w:pPr>
        <w:pStyle w:val="ACMANumberedList"/>
        <w:numPr>
          <w:ilvl w:val="0"/>
          <w:numId w:val="0"/>
        </w:numPr>
        <w:spacing w:afterLines="120" w:line="276" w:lineRule="auto"/>
        <w:rPr>
          <w:rFonts w:ascii="Arial" w:hAnsi="Arial" w:cs="Arial"/>
          <w:szCs w:val="24"/>
        </w:rPr>
      </w:pPr>
      <w:r w:rsidRPr="004371B0">
        <w:rPr>
          <w:rFonts w:ascii="Arial" w:hAnsi="Arial" w:cs="Arial"/>
          <w:szCs w:val="24"/>
        </w:rPr>
        <w:t>The ACMA is satisfied that</w:t>
      </w:r>
      <w:r w:rsidR="004371B0" w:rsidRPr="004371B0">
        <w:rPr>
          <w:rFonts w:ascii="Arial" w:hAnsi="Arial" w:cs="Arial"/>
          <w:szCs w:val="24"/>
        </w:rPr>
        <w:t xml:space="preserve"> appropriate public consultation was undertaken by CA </w:t>
      </w:r>
      <w:r w:rsidRPr="004371B0">
        <w:rPr>
          <w:rFonts w:ascii="Arial" w:hAnsi="Arial" w:cs="Arial"/>
          <w:szCs w:val="24"/>
        </w:rPr>
        <w:t>prior to submitting the revised industry standard</w:t>
      </w:r>
      <w:r w:rsidR="004371B0" w:rsidRPr="004371B0">
        <w:rPr>
          <w:rFonts w:ascii="Arial" w:hAnsi="Arial" w:cs="Arial"/>
          <w:szCs w:val="24"/>
        </w:rPr>
        <w:t xml:space="preserve"> and recommendation for amendment of the TLN</w:t>
      </w:r>
      <w:r w:rsidRPr="004371B0">
        <w:rPr>
          <w:rFonts w:ascii="Arial" w:hAnsi="Arial" w:cs="Arial"/>
          <w:szCs w:val="24"/>
        </w:rPr>
        <w:t xml:space="preserve"> </w:t>
      </w:r>
      <w:r w:rsidR="00C910EB">
        <w:rPr>
          <w:rFonts w:ascii="Arial" w:hAnsi="Arial" w:cs="Arial"/>
          <w:szCs w:val="24"/>
        </w:rPr>
        <w:t>to the ACMA</w:t>
      </w:r>
      <w:r w:rsidR="004371B0" w:rsidRPr="004371B0">
        <w:rPr>
          <w:rFonts w:ascii="Arial" w:hAnsi="Arial" w:cs="Arial"/>
          <w:szCs w:val="24"/>
        </w:rPr>
        <w:t>.</w:t>
      </w:r>
    </w:p>
    <w:p w:rsidR="001A6FD9" w:rsidRPr="006B0B1D" w:rsidRDefault="001A6FD9" w:rsidP="00B93B56">
      <w:pPr>
        <w:pStyle w:val="ACMANumberedList"/>
        <w:numPr>
          <w:ilvl w:val="0"/>
          <w:numId w:val="0"/>
        </w:numPr>
        <w:spacing w:afterLines="120"/>
        <w:rPr>
          <w:rFonts w:ascii="Arial" w:hAnsi="Arial" w:cs="Arial"/>
          <w:szCs w:val="24"/>
          <w:highlight w:val="yellow"/>
        </w:rPr>
      </w:pPr>
    </w:p>
    <w:p w:rsidR="001A6FD9" w:rsidRPr="006B0B1D" w:rsidRDefault="001A6FD9" w:rsidP="00087D37">
      <w:pPr>
        <w:spacing w:before="240" w:after="120" w:line="240" w:lineRule="atLeast"/>
        <w:jc w:val="both"/>
        <w:rPr>
          <w:rFonts w:ascii="Arial" w:hAnsi="Arial" w:cs="Arial"/>
          <w:highlight w:val="yellow"/>
        </w:rPr>
      </w:pPr>
    </w:p>
    <w:p w:rsidR="00252722" w:rsidRPr="00611AF4" w:rsidRDefault="001F1CA9" w:rsidP="00C460FC">
      <w:pPr>
        <w:spacing w:before="240" w:after="120" w:line="240" w:lineRule="atLeast"/>
        <w:jc w:val="both"/>
        <w:rPr>
          <w:rFonts w:ascii="Arial" w:hAnsi="Arial" w:cs="Arial"/>
          <w:b/>
        </w:rPr>
      </w:pPr>
      <w:r w:rsidRPr="00611AF4">
        <w:rPr>
          <w:rFonts w:ascii="Arial" w:hAnsi="Arial" w:cs="Arial"/>
          <w:b/>
        </w:rPr>
        <w:t>Regulation impact</w:t>
      </w:r>
    </w:p>
    <w:p w:rsidR="001A6FD9" w:rsidRPr="00611AF4" w:rsidRDefault="001F1CA9" w:rsidP="00B93B56">
      <w:pPr>
        <w:pStyle w:val="ACMANumberedList"/>
        <w:numPr>
          <w:ilvl w:val="0"/>
          <w:numId w:val="0"/>
        </w:numPr>
        <w:spacing w:afterLines="120"/>
        <w:rPr>
          <w:rFonts w:ascii="Arial" w:hAnsi="Arial" w:cs="Arial"/>
          <w:snapToGrid w:val="0"/>
        </w:rPr>
      </w:pPr>
      <w:r w:rsidRPr="00611AF4">
        <w:rPr>
          <w:rFonts w:ascii="Arial" w:hAnsi="Arial" w:cs="Arial"/>
          <w:snapToGrid w:val="0"/>
        </w:rPr>
        <w:t>The Office of Best Practice Regulation (</w:t>
      </w:r>
      <w:r w:rsidRPr="00611AF4">
        <w:rPr>
          <w:rFonts w:ascii="Arial" w:hAnsi="Arial" w:cs="Arial"/>
          <w:b/>
          <w:snapToGrid w:val="0"/>
        </w:rPr>
        <w:t>OBPR</w:t>
      </w:r>
      <w:r w:rsidRPr="00611AF4">
        <w:rPr>
          <w:rFonts w:ascii="Arial" w:hAnsi="Arial" w:cs="Arial"/>
          <w:snapToGrid w:val="0"/>
        </w:rPr>
        <w:t>) has considered the matter and formed the opinion</w:t>
      </w:r>
      <w:r w:rsidR="00611AF4" w:rsidRPr="00611AF4">
        <w:rPr>
          <w:rFonts w:ascii="Arial" w:hAnsi="Arial" w:cs="Arial"/>
          <w:snapToGrid w:val="0"/>
        </w:rPr>
        <w:t xml:space="preserve"> that the Amendment Notice</w:t>
      </w:r>
      <w:r w:rsidRPr="00611AF4">
        <w:rPr>
          <w:rFonts w:ascii="Arial" w:hAnsi="Arial" w:cs="Arial"/>
          <w:snapToGrid w:val="0"/>
        </w:rPr>
        <w:t xml:space="preserve"> </w:t>
      </w:r>
      <w:r w:rsidRPr="00611AF4">
        <w:rPr>
          <w:rFonts w:ascii="Arial" w:hAnsi="Arial" w:cs="Arial"/>
          <w:snapToGrid w:val="0"/>
          <w:szCs w:val="24"/>
        </w:rPr>
        <w:t xml:space="preserve">will have minor and machinery impact and </w:t>
      </w:r>
      <w:r w:rsidR="00611AF4" w:rsidRPr="00611AF4">
        <w:rPr>
          <w:rFonts w:ascii="Arial" w:hAnsi="Arial" w:cs="Arial"/>
          <w:snapToGrid w:val="0"/>
        </w:rPr>
        <w:t>will</w:t>
      </w:r>
      <w:r w:rsidRPr="00611AF4">
        <w:rPr>
          <w:rFonts w:ascii="Arial" w:hAnsi="Arial" w:cs="Arial"/>
          <w:snapToGrid w:val="0"/>
          <w:szCs w:val="24"/>
        </w:rPr>
        <w:t xml:space="preserve"> not impose any substantial additional regulatory burden on manufacturers or importers of </w:t>
      </w:r>
      <w:r w:rsidR="00763BAA">
        <w:rPr>
          <w:rFonts w:ascii="Arial" w:hAnsi="Arial" w:cs="Arial"/>
          <w:snapToGrid w:val="0"/>
          <w:szCs w:val="24"/>
        </w:rPr>
        <w:t>CE</w:t>
      </w:r>
      <w:r w:rsidR="00B90F3D">
        <w:rPr>
          <w:rFonts w:ascii="Arial" w:hAnsi="Arial" w:cs="Arial"/>
          <w:snapToGrid w:val="0"/>
          <w:szCs w:val="24"/>
        </w:rPr>
        <w:t xml:space="preserve"> </w:t>
      </w:r>
      <w:r w:rsidRPr="00611AF4">
        <w:rPr>
          <w:rFonts w:ascii="Arial" w:hAnsi="Arial" w:cs="Arial"/>
          <w:snapToGrid w:val="0"/>
          <w:szCs w:val="24"/>
        </w:rPr>
        <w:t>or on the economy. Accordingly, OBPR advised that a regulatory impact statement was not required.  The OBPR exemption number is ID 14900.</w:t>
      </w:r>
    </w:p>
    <w:p w:rsidR="001A6FD9" w:rsidRPr="001A6FD9" w:rsidRDefault="001A6FD9" w:rsidP="00087D37">
      <w:pPr>
        <w:spacing w:before="240" w:after="120" w:line="240" w:lineRule="atLeast"/>
        <w:jc w:val="both"/>
        <w:rPr>
          <w:rFonts w:ascii="Arial" w:hAnsi="Arial" w:cs="Arial"/>
          <w:b/>
          <w:snapToGrid w:val="0"/>
        </w:rPr>
      </w:pPr>
    </w:p>
    <w:p w:rsidR="001A6FD9" w:rsidRPr="001A6FD9" w:rsidRDefault="001A6FD9" w:rsidP="00087D37">
      <w:pPr>
        <w:spacing w:before="240" w:after="120" w:line="240" w:lineRule="atLeast"/>
        <w:jc w:val="both"/>
        <w:rPr>
          <w:rFonts w:ascii="Arial" w:hAnsi="Arial" w:cs="Arial"/>
          <w:b/>
          <w:snapToGrid w:val="0"/>
        </w:rPr>
      </w:pPr>
      <w:r w:rsidRPr="001A6FD9">
        <w:rPr>
          <w:rFonts w:ascii="Arial" w:hAnsi="Arial" w:cs="Arial"/>
          <w:b/>
          <w:snapToGrid w:val="0"/>
        </w:rPr>
        <w:t xml:space="preserve">Statement of Compatibility with Human Rights </w:t>
      </w:r>
    </w:p>
    <w:p w:rsidR="001A6FD9" w:rsidRPr="001A6FD9" w:rsidRDefault="001A6FD9" w:rsidP="00E215C8">
      <w:pPr>
        <w:rPr>
          <w:rFonts w:ascii="Arial" w:hAnsi="Arial" w:cs="Arial"/>
        </w:rPr>
      </w:pPr>
      <w:r w:rsidRPr="001A6FD9">
        <w:rPr>
          <w:rFonts w:ascii="Arial" w:hAnsi="Arial" w:cs="Arial"/>
        </w:rPr>
        <w:t xml:space="preserve">Subsection 9(1) of the </w:t>
      </w:r>
      <w:r w:rsidRPr="001A6FD9">
        <w:rPr>
          <w:rFonts w:ascii="Arial" w:hAnsi="Arial" w:cs="Arial"/>
          <w:i/>
        </w:rPr>
        <w:t>Human Rights (Parliamentary Scrutiny) Act 2011</w:t>
      </w:r>
      <w:r w:rsidRPr="001A6FD9">
        <w:rPr>
          <w:rFonts w:ascii="Arial" w:hAnsi="Arial" w:cs="Arial"/>
        </w:rPr>
        <w:t xml:space="preserve"> requires the rule maker in relation to a legislative instrument to which section 42 (disallowance) of the </w:t>
      </w:r>
      <w:r w:rsidRPr="001A6FD9">
        <w:rPr>
          <w:rFonts w:ascii="Arial" w:hAnsi="Arial" w:cs="Arial"/>
          <w:i/>
        </w:rPr>
        <w:t>Legislative Instruments Act 2003</w:t>
      </w:r>
      <w:r w:rsidRPr="001A6FD9">
        <w:rPr>
          <w:rFonts w:ascii="Arial" w:hAnsi="Arial" w:cs="Arial"/>
        </w:rPr>
        <w:t xml:space="preserve"> applies to cause a statement of compatibility to be prepared in respect of that legislative instrument. This statement is in </w:t>
      </w:r>
      <w:r w:rsidR="00E215C8" w:rsidRPr="00E215C8">
        <w:rPr>
          <w:rFonts w:ascii="Arial" w:hAnsi="Arial" w:cs="Arial"/>
          <w:b/>
          <w:u w:val="single"/>
        </w:rPr>
        <w:t>A</w:t>
      </w:r>
      <w:r w:rsidRPr="001A6FD9">
        <w:rPr>
          <w:rFonts w:ascii="Arial" w:hAnsi="Arial" w:cs="Arial"/>
          <w:b/>
          <w:u w:val="single"/>
        </w:rPr>
        <w:t>ttachment 2</w:t>
      </w:r>
      <w:r w:rsidRPr="001A6FD9">
        <w:rPr>
          <w:rFonts w:ascii="Arial" w:hAnsi="Arial" w:cs="Arial"/>
        </w:rPr>
        <w:t>.</w:t>
      </w:r>
    </w:p>
    <w:p w:rsidR="00C460FC" w:rsidRDefault="00B81A2D" w:rsidP="00C460FC">
      <w:pPr>
        <w:spacing w:before="80" w:after="120" w:line="240" w:lineRule="atLeast"/>
        <w:jc w:val="both"/>
        <w:rPr>
          <w:rFonts w:ascii="Arial" w:hAnsi="Arial" w:cs="Arial"/>
        </w:rPr>
      </w:pPr>
      <w:r>
        <w:rPr>
          <w:rFonts w:ascii="Arial" w:hAnsi="Arial" w:cs="Arial"/>
        </w:rPr>
        <w:br w:type="page"/>
      </w:r>
    </w:p>
    <w:p w:rsidR="00A2703B" w:rsidRPr="001A6FD9" w:rsidRDefault="00E12230" w:rsidP="005C3D44">
      <w:pPr>
        <w:spacing w:before="80" w:after="120" w:line="240" w:lineRule="atLeast"/>
        <w:jc w:val="both"/>
        <w:rPr>
          <w:rFonts w:ascii="Arial" w:hAnsi="Arial" w:cs="Arial"/>
          <w:b/>
        </w:rPr>
      </w:pPr>
      <w:r w:rsidRPr="00E12230">
        <w:rPr>
          <w:rFonts w:ascii="Arial" w:hAnsi="Arial" w:cs="Arial"/>
          <w:b/>
        </w:rPr>
        <w:t>Attachment 1</w:t>
      </w:r>
    </w:p>
    <w:p w:rsidR="00446B6D" w:rsidRPr="001A6FD9" w:rsidRDefault="00E12230" w:rsidP="0075342B">
      <w:pPr>
        <w:spacing w:after="200" w:line="240" w:lineRule="atLeast"/>
        <w:jc w:val="center"/>
        <w:rPr>
          <w:rFonts w:ascii="Arial" w:hAnsi="Arial" w:cs="Arial"/>
          <w:b/>
        </w:rPr>
      </w:pPr>
      <w:r>
        <w:rPr>
          <w:rFonts w:ascii="Arial" w:hAnsi="Arial" w:cs="Arial"/>
          <w:b/>
        </w:rPr>
        <w:t>Notes on the Amendment Notice</w:t>
      </w:r>
    </w:p>
    <w:p w:rsidR="007A15F7" w:rsidRPr="001A6FD9" w:rsidRDefault="007A15F7" w:rsidP="008F017F">
      <w:pPr>
        <w:spacing w:before="240" w:after="120" w:line="240" w:lineRule="atLeast"/>
        <w:jc w:val="both"/>
        <w:rPr>
          <w:rFonts w:ascii="Arial" w:hAnsi="Arial" w:cs="Arial"/>
          <w:b/>
        </w:rPr>
      </w:pPr>
      <w:r w:rsidRPr="001A6FD9">
        <w:rPr>
          <w:rFonts w:ascii="Arial" w:hAnsi="Arial" w:cs="Arial"/>
          <w:b/>
        </w:rPr>
        <w:t>Section 1</w:t>
      </w:r>
      <w:r w:rsidRPr="001A6FD9">
        <w:rPr>
          <w:rFonts w:ascii="Arial" w:hAnsi="Arial" w:cs="Arial"/>
          <w:b/>
        </w:rPr>
        <w:tab/>
        <w:t>Name of Notice</w:t>
      </w:r>
    </w:p>
    <w:p w:rsidR="007A15F7" w:rsidRPr="001A6FD9" w:rsidRDefault="007A15F7" w:rsidP="0075342B">
      <w:pPr>
        <w:spacing w:after="200" w:line="240" w:lineRule="atLeast"/>
        <w:jc w:val="both"/>
        <w:rPr>
          <w:rFonts w:ascii="Arial" w:hAnsi="Arial" w:cs="Arial"/>
        </w:rPr>
      </w:pPr>
      <w:r w:rsidRPr="001A6FD9">
        <w:rPr>
          <w:rFonts w:ascii="Arial" w:hAnsi="Arial" w:cs="Arial"/>
        </w:rPr>
        <w:t xml:space="preserve">Section 1 provides that the name of the Amendment Notice is the </w:t>
      </w:r>
      <w:r w:rsidRPr="001A6FD9">
        <w:rPr>
          <w:rFonts w:ascii="Arial" w:hAnsi="Arial" w:cs="Arial"/>
          <w:i/>
        </w:rPr>
        <w:t xml:space="preserve">Telecommunications Labelling </w:t>
      </w:r>
      <w:r w:rsidR="00F41577" w:rsidRPr="001A6FD9">
        <w:rPr>
          <w:rFonts w:ascii="Arial" w:hAnsi="Arial" w:cs="Arial"/>
          <w:i/>
        </w:rPr>
        <w:t>(Customer Equipment and Customer Cabling) Amendment Notice 201</w:t>
      </w:r>
      <w:r w:rsidR="00E12230">
        <w:rPr>
          <w:rFonts w:ascii="Arial" w:hAnsi="Arial" w:cs="Arial"/>
          <w:i/>
        </w:rPr>
        <w:t>3</w:t>
      </w:r>
      <w:r w:rsidR="00F41577" w:rsidRPr="001A6FD9">
        <w:rPr>
          <w:rFonts w:ascii="Arial" w:hAnsi="Arial" w:cs="Arial"/>
          <w:i/>
        </w:rPr>
        <w:t xml:space="preserve"> (No.</w:t>
      </w:r>
      <w:r w:rsidR="00885532">
        <w:rPr>
          <w:rFonts w:ascii="Arial" w:hAnsi="Arial" w:cs="Arial"/>
          <w:i/>
        </w:rPr>
        <w:t>2</w:t>
      </w:r>
      <w:r w:rsidR="00F41577" w:rsidRPr="001A6FD9">
        <w:rPr>
          <w:rFonts w:ascii="Arial" w:hAnsi="Arial" w:cs="Arial"/>
          <w:i/>
        </w:rPr>
        <w:t>)</w:t>
      </w:r>
      <w:r w:rsidR="00BC0E23" w:rsidRPr="001A6FD9">
        <w:rPr>
          <w:rFonts w:ascii="Arial" w:hAnsi="Arial" w:cs="Arial"/>
        </w:rPr>
        <w:t>.</w:t>
      </w:r>
    </w:p>
    <w:p w:rsidR="00F41577" w:rsidRPr="001A6FD9" w:rsidRDefault="00F41577" w:rsidP="008F017F">
      <w:pPr>
        <w:spacing w:before="240" w:after="120" w:line="240" w:lineRule="atLeast"/>
        <w:jc w:val="both"/>
        <w:rPr>
          <w:rFonts w:ascii="Arial" w:hAnsi="Arial" w:cs="Arial"/>
          <w:b/>
        </w:rPr>
      </w:pPr>
      <w:r w:rsidRPr="001A6FD9">
        <w:rPr>
          <w:rFonts w:ascii="Arial" w:hAnsi="Arial" w:cs="Arial"/>
          <w:b/>
        </w:rPr>
        <w:t>Section 2</w:t>
      </w:r>
      <w:r w:rsidRPr="001A6FD9">
        <w:rPr>
          <w:rFonts w:ascii="Arial" w:hAnsi="Arial" w:cs="Arial"/>
          <w:b/>
        </w:rPr>
        <w:tab/>
        <w:t xml:space="preserve">Commencement </w:t>
      </w:r>
    </w:p>
    <w:p w:rsidR="00F41577" w:rsidRDefault="00F41577" w:rsidP="0075342B">
      <w:pPr>
        <w:spacing w:after="200" w:line="240" w:lineRule="atLeast"/>
        <w:jc w:val="both"/>
        <w:rPr>
          <w:rFonts w:ascii="Arial" w:hAnsi="Arial" w:cs="Arial"/>
        </w:rPr>
      </w:pPr>
      <w:r w:rsidRPr="001A6FD9">
        <w:rPr>
          <w:rFonts w:ascii="Arial" w:hAnsi="Arial" w:cs="Arial"/>
        </w:rPr>
        <w:t xml:space="preserve">Section 2 provides that the Amendment Notice commences on the </w:t>
      </w:r>
      <w:r w:rsidR="00BC0E23" w:rsidRPr="001A6FD9">
        <w:rPr>
          <w:rFonts w:ascii="Arial" w:hAnsi="Arial" w:cs="Arial"/>
        </w:rPr>
        <w:t>day after it is registered</w:t>
      </w:r>
      <w:r w:rsidR="00E12230">
        <w:rPr>
          <w:rFonts w:ascii="Arial" w:hAnsi="Arial" w:cs="Arial"/>
        </w:rPr>
        <w:t xml:space="preserve"> on the Federal Register of Legislative Instruments</w:t>
      </w:r>
      <w:r w:rsidR="00BC0E23" w:rsidRPr="001A6FD9">
        <w:rPr>
          <w:rFonts w:ascii="Arial" w:hAnsi="Arial" w:cs="Arial"/>
        </w:rPr>
        <w:t>.</w:t>
      </w:r>
    </w:p>
    <w:p w:rsidR="00CC3F26" w:rsidRPr="001A6FD9" w:rsidRDefault="00CC3F26" w:rsidP="008F017F">
      <w:pPr>
        <w:spacing w:before="240" w:after="120" w:line="240" w:lineRule="atLeast"/>
        <w:ind w:left="1440" w:hanging="1440"/>
        <w:jc w:val="both"/>
        <w:rPr>
          <w:rFonts w:ascii="Arial" w:hAnsi="Arial" w:cs="Arial"/>
          <w:b/>
        </w:rPr>
      </w:pPr>
      <w:r w:rsidRPr="001A6FD9">
        <w:rPr>
          <w:rFonts w:ascii="Arial" w:hAnsi="Arial" w:cs="Arial"/>
          <w:b/>
        </w:rPr>
        <w:t>Section 3</w:t>
      </w:r>
      <w:r w:rsidRPr="001A6FD9">
        <w:rPr>
          <w:rFonts w:ascii="Arial" w:hAnsi="Arial" w:cs="Arial"/>
          <w:b/>
        </w:rPr>
        <w:tab/>
        <w:t xml:space="preserve">Amendment of </w:t>
      </w:r>
      <w:bookmarkStart w:id="0" w:name="OLE_LINK1"/>
      <w:bookmarkStart w:id="1" w:name="OLE_LINK2"/>
      <w:r w:rsidRPr="001A6FD9">
        <w:rPr>
          <w:rFonts w:ascii="Arial" w:hAnsi="Arial" w:cs="Arial"/>
          <w:b/>
          <w:i/>
        </w:rPr>
        <w:t>Telecommunications Labelling (Customer Equipment and Customer Cabling) Notice 2001</w:t>
      </w:r>
      <w:bookmarkEnd w:id="0"/>
      <w:bookmarkEnd w:id="1"/>
    </w:p>
    <w:p w:rsidR="00CC3F26" w:rsidRPr="001A6FD9" w:rsidRDefault="00CC3F26" w:rsidP="0075342B">
      <w:pPr>
        <w:spacing w:after="200" w:line="240" w:lineRule="atLeast"/>
        <w:jc w:val="both"/>
        <w:rPr>
          <w:rFonts w:ascii="Arial" w:hAnsi="Arial" w:cs="Arial"/>
          <w:i/>
        </w:rPr>
      </w:pPr>
      <w:r w:rsidRPr="001A6FD9">
        <w:rPr>
          <w:rFonts w:ascii="Arial" w:hAnsi="Arial" w:cs="Arial"/>
        </w:rPr>
        <w:t xml:space="preserve">Section 3 provides that Schedule 1 of the Amendment Notice amends the </w:t>
      </w:r>
      <w:r w:rsidRPr="001A6FD9">
        <w:rPr>
          <w:rFonts w:ascii="Arial" w:hAnsi="Arial" w:cs="Arial"/>
          <w:i/>
        </w:rPr>
        <w:t>Telecommunications Labelling (Customer Equipment and Customer Cabling) Notice 2001</w:t>
      </w:r>
      <w:r w:rsidR="009444A4" w:rsidRPr="001A6FD9">
        <w:rPr>
          <w:rFonts w:ascii="Arial" w:hAnsi="Arial" w:cs="Arial"/>
          <w:i/>
        </w:rPr>
        <w:t>.</w:t>
      </w:r>
    </w:p>
    <w:p w:rsidR="00715A1B" w:rsidRPr="001A6FD9" w:rsidRDefault="008318FB" w:rsidP="008F017F">
      <w:pPr>
        <w:spacing w:before="240" w:after="120" w:line="240" w:lineRule="atLeast"/>
        <w:jc w:val="both"/>
        <w:rPr>
          <w:rFonts w:ascii="Arial" w:hAnsi="Arial" w:cs="Arial"/>
          <w:b/>
        </w:rPr>
      </w:pPr>
      <w:r w:rsidRPr="001A6FD9">
        <w:rPr>
          <w:rFonts w:ascii="Arial" w:hAnsi="Arial" w:cs="Arial"/>
          <w:b/>
        </w:rPr>
        <w:t>Schedule 1 – Amendments</w:t>
      </w:r>
    </w:p>
    <w:p w:rsidR="00E12230" w:rsidRDefault="00E12230" w:rsidP="00E12230">
      <w:pPr>
        <w:spacing w:after="200" w:line="240" w:lineRule="atLeast"/>
        <w:jc w:val="both"/>
        <w:rPr>
          <w:rFonts w:ascii="Arial" w:hAnsi="Arial" w:cs="Arial"/>
        </w:rPr>
      </w:pPr>
      <w:r>
        <w:rPr>
          <w:rFonts w:ascii="Arial" w:hAnsi="Arial" w:cs="Arial"/>
          <w:b/>
        </w:rPr>
        <w:t>Item [1</w:t>
      </w:r>
      <w:r w:rsidR="00B025DD" w:rsidRPr="001A6FD9">
        <w:rPr>
          <w:rFonts w:ascii="Arial" w:hAnsi="Arial" w:cs="Arial"/>
          <w:b/>
        </w:rPr>
        <w:t>]</w:t>
      </w:r>
      <w:r w:rsidR="00B025DD" w:rsidRPr="001A6FD9">
        <w:rPr>
          <w:rFonts w:ascii="Arial" w:hAnsi="Arial" w:cs="Arial"/>
        </w:rPr>
        <w:t xml:space="preserve"> ame</w:t>
      </w:r>
      <w:r w:rsidR="004C5F25" w:rsidRPr="001A6FD9">
        <w:rPr>
          <w:rFonts w:ascii="Arial" w:hAnsi="Arial" w:cs="Arial"/>
        </w:rPr>
        <w:t xml:space="preserve">nds </w:t>
      </w:r>
      <w:r>
        <w:rPr>
          <w:rFonts w:ascii="Arial" w:hAnsi="Arial" w:cs="Arial"/>
        </w:rPr>
        <w:t>Schedule 1, Part 1, Table 1.1, item</w:t>
      </w:r>
      <w:r w:rsidR="00C910EB">
        <w:rPr>
          <w:rFonts w:ascii="Arial" w:hAnsi="Arial" w:cs="Arial"/>
        </w:rPr>
        <w:t xml:space="preserve"> beginning with AS/ACIF 2004 to</w:t>
      </w:r>
      <w:r w:rsidRPr="001A6FD9">
        <w:rPr>
          <w:rFonts w:ascii="Arial" w:hAnsi="Arial" w:cs="Arial"/>
        </w:rPr>
        <w:t xml:space="preserve"> provide an expiry date for </w:t>
      </w:r>
      <w:r>
        <w:rPr>
          <w:rFonts w:ascii="Arial" w:hAnsi="Arial" w:cs="Arial"/>
        </w:rPr>
        <w:t>the existing AS/ACIF S004</w:t>
      </w:r>
      <w:r w:rsidR="00442B63">
        <w:rPr>
          <w:rFonts w:ascii="Arial" w:hAnsi="Arial" w:cs="Arial"/>
        </w:rPr>
        <w:t xml:space="preserve"> -2008</w:t>
      </w:r>
      <w:r w:rsidRPr="001A6FD9">
        <w:rPr>
          <w:rFonts w:ascii="Arial" w:hAnsi="Arial" w:cs="Arial"/>
        </w:rPr>
        <w:t xml:space="preserve"> </w:t>
      </w:r>
      <w:r w:rsidR="007400C6">
        <w:rPr>
          <w:rFonts w:ascii="Arial" w:hAnsi="Arial" w:cs="Arial"/>
        </w:rPr>
        <w:t xml:space="preserve"> industry s</w:t>
      </w:r>
      <w:r w:rsidR="007400C6" w:rsidRPr="001A6FD9">
        <w:rPr>
          <w:rFonts w:ascii="Arial" w:hAnsi="Arial" w:cs="Arial"/>
        </w:rPr>
        <w:t>tandard</w:t>
      </w:r>
      <w:r w:rsidR="007400C6">
        <w:rPr>
          <w:rFonts w:ascii="Arial" w:hAnsi="Arial" w:cs="Arial"/>
        </w:rPr>
        <w:t xml:space="preserve"> </w:t>
      </w:r>
      <w:r w:rsidR="00442B63">
        <w:rPr>
          <w:rFonts w:ascii="Arial" w:hAnsi="Arial" w:cs="Arial"/>
        </w:rPr>
        <w:t>(</w:t>
      </w:r>
      <w:r w:rsidR="00442B63" w:rsidRPr="00442B63">
        <w:rPr>
          <w:rFonts w:ascii="Arial" w:hAnsi="Arial" w:cs="Arial"/>
        </w:rPr>
        <w:t xml:space="preserve">incorporated </w:t>
      </w:r>
      <w:r w:rsidR="00442B63">
        <w:rPr>
          <w:rFonts w:ascii="Arial" w:hAnsi="Arial" w:cs="Arial"/>
        </w:rPr>
        <w:t>into the</w:t>
      </w:r>
      <w:r w:rsidR="00442B63" w:rsidRPr="00442B63">
        <w:rPr>
          <w:rFonts w:ascii="Arial" w:hAnsi="Arial" w:cs="Arial"/>
        </w:rPr>
        <w:t xml:space="preserve"> </w:t>
      </w:r>
      <w:r w:rsidR="001F1CA9" w:rsidRPr="001F1CA9">
        <w:rPr>
          <w:rFonts w:ascii="Arial" w:hAnsi="Arial" w:cs="Arial"/>
          <w:i/>
          <w:color w:val="000000"/>
        </w:rPr>
        <w:t>Telecommunications Technical Standards (Voice frequency performance requirements for Customer Equipment AS/ACIF S004:2008) 2008</w:t>
      </w:r>
      <w:r w:rsidR="00C910EB" w:rsidRPr="00C910EB">
        <w:rPr>
          <w:rFonts w:ascii="Arial" w:hAnsi="Arial" w:cs="Arial"/>
          <w:color w:val="000000"/>
        </w:rPr>
        <w:t>).</w:t>
      </w:r>
      <w:r w:rsidRPr="001A6FD9">
        <w:rPr>
          <w:rFonts w:ascii="Arial" w:hAnsi="Arial" w:cs="Arial"/>
        </w:rPr>
        <w:t xml:space="preserve"> As a result of being replaced by the </w:t>
      </w:r>
      <w:r w:rsidR="001F1CA9" w:rsidRPr="001F1CA9">
        <w:rPr>
          <w:rFonts w:ascii="Arial" w:hAnsi="Arial" w:cs="Arial"/>
          <w:color w:val="000000"/>
        </w:rPr>
        <w:t>AS/CA S004:2013</w:t>
      </w:r>
      <w:r w:rsidR="00442B63" w:rsidRPr="00442B63">
        <w:rPr>
          <w:rFonts w:ascii="Arial" w:hAnsi="Arial" w:cs="Arial"/>
          <w:i/>
          <w:color w:val="000000"/>
        </w:rPr>
        <w:t xml:space="preserve"> </w:t>
      </w:r>
      <w:r w:rsidR="001F1CA9" w:rsidRPr="001F1CA9">
        <w:rPr>
          <w:rFonts w:ascii="Arial" w:hAnsi="Arial" w:cs="Arial"/>
          <w:color w:val="000000"/>
        </w:rPr>
        <w:t>industry</w:t>
      </w:r>
      <w:r w:rsidR="007400C6">
        <w:rPr>
          <w:rFonts w:ascii="Arial" w:hAnsi="Arial" w:cs="Arial"/>
          <w:i/>
          <w:color w:val="000000"/>
        </w:rPr>
        <w:t xml:space="preserve"> s</w:t>
      </w:r>
      <w:r w:rsidR="007400C6">
        <w:rPr>
          <w:rFonts w:ascii="Arial" w:hAnsi="Arial" w:cs="Arial"/>
          <w:color w:val="000000"/>
        </w:rPr>
        <w:t xml:space="preserve">tandard </w:t>
      </w:r>
      <w:r w:rsidR="00442B63">
        <w:rPr>
          <w:rFonts w:ascii="Arial" w:hAnsi="Arial" w:cs="Arial"/>
          <w:i/>
          <w:color w:val="000000"/>
        </w:rPr>
        <w:t>(</w:t>
      </w:r>
      <w:r w:rsidR="00442B63" w:rsidRPr="00442B63">
        <w:rPr>
          <w:rFonts w:ascii="Arial" w:hAnsi="Arial" w:cs="Arial"/>
          <w:color w:val="000000"/>
        </w:rPr>
        <w:t xml:space="preserve">incorporated into the </w:t>
      </w:r>
      <w:bookmarkStart w:id="2" w:name="OLE_LINK5"/>
      <w:bookmarkStart w:id="3" w:name="OLE_LINK6"/>
      <w:r w:rsidR="001F1CA9" w:rsidRPr="001F1CA9">
        <w:rPr>
          <w:rFonts w:ascii="Arial" w:hAnsi="Arial" w:cs="Arial"/>
          <w:i/>
        </w:rPr>
        <w:t>Telecommunications Technical Standard (Voice frequency performance requirements for Customer Equipment) 20</w:t>
      </w:r>
      <w:bookmarkEnd w:id="2"/>
      <w:bookmarkEnd w:id="3"/>
      <w:r w:rsidR="001F1CA9" w:rsidRPr="001F1CA9">
        <w:rPr>
          <w:rFonts w:ascii="Arial" w:hAnsi="Arial" w:cs="Arial"/>
          <w:i/>
        </w:rPr>
        <w:t>13</w:t>
      </w:r>
      <w:r w:rsidR="00442B63">
        <w:rPr>
          <w:rFonts w:ascii="Arial" w:hAnsi="Arial" w:cs="Arial"/>
        </w:rPr>
        <w:t>),</w:t>
      </w:r>
      <w:r w:rsidR="00442B63" w:rsidRPr="00442B63">
        <w:rPr>
          <w:rFonts w:ascii="Arial" w:hAnsi="Arial" w:cs="Arial"/>
          <w:color w:val="000000"/>
        </w:rPr>
        <w:t xml:space="preserve"> </w:t>
      </w:r>
      <w:r w:rsidR="00442B63">
        <w:rPr>
          <w:rFonts w:ascii="Arial" w:hAnsi="Arial" w:cs="Arial"/>
        </w:rPr>
        <w:t xml:space="preserve">the former </w:t>
      </w:r>
      <w:r w:rsidR="00F442EE">
        <w:rPr>
          <w:rFonts w:ascii="Arial" w:hAnsi="Arial" w:cs="Arial"/>
        </w:rPr>
        <w:t xml:space="preserve">2008 </w:t>
      </w:r>
      <w:r w:rsidR="00442B63">
        <w:rPr>
          <w:rFonts w:ascii="Arial" w:hAnsi="Arial" w:cs="Arial"/>
        </w:rPr>
        <w:t>standard</w:t>
      </w:r>
      <w:r w:rsidRPr="001A6FD9">
        <w:rPr>
          <w:rFonts w:ascii="Arial" w:hAnsi="Arial" w:cs="Arial"/>
        </w:rPr>
        <w:t xml:space="preserve"> will not apply for the purposes of the TLN after </w:t>
      </w:r>
      <w:r w:rsidR="00C910EB">
        <w:rPr>
          <w:rFonts w:ascii="Arial" w:hAnsi="Arial" w:cs="Arial"/>
        </w:rPr>
        <w:t>30 June</w:t>
      </w:r>
      <w:r w:rsidR="00B90F3D">
        <w:rPr>
          <w:rFonts w:ascii="Arial" w:hAnsi="Arial" w:cs="Arial"/>
        </w:rPr>
        <w:t xml:space="preserve"> 2015</w:t>
      </w:r>
      <w:r w:rsidR="00523533">
        <w:rPr>
          <w:rFonts w:ascii="Arial" w:hAnsi="Arial" w:cs="Arial"/>
        </w:rPr>
        <w:t>.</w:t>
      </w:r>
    </w:p>
    <w:p w:rsidR="000F3AA1" w:rsidRDefault="00E12230" w:rsidP="0075342B">
      <w:pPr>
        <w:spacing w:after="200" w:line="240" w:lineRule="atLeast"/>
        <w:jc w:val="both"/>
        <w:rPr>
          <w:rFonts w:ascii="Arial" w:hAnsi="Arial" w:cs="Arial"/>
        </w:rPr>
      </w:pPr>
      <w:r>
        <w:rPr>
          <w:rFonts w:ascii="Arial" w:hAnsi="Arial" w:cs="Arial"/>
          <w:b/>
        </w:rPr>
        <w:t>Item [2</w:t>
      </w:r>
      <w:r w:rsidRPr="001A6FD9">
        <w:rPr>
          <w:rFonts w:ascii="Arial" w:hAnsi="Arial" w:cs="Arial"/>
          <w:b/>
        </w:rPr>
        <w:t>]</w:t>
      </w:r>
      <w:r w:rsidRPr="001A6FD9">
        <w:rPr>
          <w:rFonts w:ascii="Arial" w:hAnsi="Arial" w:cs="Arial"/>
        </w:rPr>
        <w:t xml:space="preserve"> amends </w:t>
      </w:r>
      <w:r w:rsidR="000F3AA1" w:rsidRPr="000F3AA1">
        <w:rPr>
          <w:rFonts w:ascii="Arial" w:hAnsi="Arial" w:cs="Arial"/>
        </w:rPr>
        <w:t xml:space="preserve">Schedule 1, Part 1, Table 1.1, </w:t>
      </w:r>
      <w:r w:rsidR="00C910EB">
        <w:rPr>
          <w:rFonts w:ascii="Arial" w:hAnsi="Arial" w:cs="Arial"/>
        </w:rPr>
        <w:t>to</w:t>
      </w:r>
      <w:r w:rsidR="000F3AA1">
        <w:rPr>
          <w:rFonts w:ascii="Arial" w:hAnsi="Arial" w:cs="Arial"/>
        </w:rPr>
        <w:t xml:space="preserve"> </w:t>
      </w:r>
      <w:r w:rsidR="007400C6">
        <w:rPr>
          <w:rFonts w:ascii="Arial" w:hAnsi="Arial" w:cs="Arial"/>
        </w:rPr>
        <w:t>insert a new</w:t>
      </w:r>
      <w:r w:rsidR="008C7D2A">
        <w:rPr>
          <w:rFonts w:ascii="Arial" w:hAnsi="Arial" w:cs="Arial"/>
        </w:rPr>
        <w:t xml:space="preserve"> </w:t>
      </w:r>
      <w:r w:rsidR="000F3AA1">
        <w:rPr>
          <w:rFonts w:ascii="Arial" w:hAnsi="Arial" w:cs="Arial"/>
        </w:rPr>
        <w:t>AS/CA S004 Standard</w:t>
      </w:r>
      <w:r w:rsidR="007400C6">
        <w:rPr>
          <w:rFonts w:ascii="Arial" w:hAnsi="Arial" w:cs="Arial"/>
        </w:rPr>
        <w:t xml:space="preserve"> item which references the </w:t>
      </w:r>
      <w:r w:rsidR="007400C6" w:rsidRPr="007400C6">
        <w:rPr>
          <w:rFonts w:ascii="Arial" w:hAnsi="Arial" w:cs="Arial"/>
          <w:i/>
        </w:rPr>
        <w:t>Telecommunications Technical Standard (Voice frequency performance requirements for Customer Equipment) 2013</w:t>
      </w:r>
      <w:r w:rsidR="007400C6">
        <w:rPr>
          <w:rFonts w:ascii="Arial" w:hAnsi="Arial" w:cs="Arial"/>
        </w:rPr>
        <w:t xml:space="preserve"> </w:t>
      </w:r>
      <w:r w:rsidR="00F442EE">
        <w:rPr>
          <w:rFonts w:ascii="Arial" w:hAnsi="Arial" w:cs="Arial"/>
        </w:rPr>
        <w:t>incorporating</w:t>
      </w:r>
      <w:r w:rsidR="007400C6">
        <w:rPr>
          <w:rFonts w:ascii="Arial" w:hAnsi="Arial" w:cs="Arial"/>
        </w:rPr>
        <w:t xml:space="preserve"> the </w:t>
      </w:r>
      <w:r w:rsidR="007400C6" w:rsidRPr="00442B63">
        <w:rPr>
          <w:rFonts w:ascii="Arial" w:hAnsi="Arial" w:cs="Arial"/>
          <w:color w:val="000000"/>
        </w:rPr>
        <w:t>AS/CA S004:2013</w:t>
      </w:r>
      <w:r w:rsidR="00F442EE">
        <w:rPr>
          <w:rFonts w:ascii="Arial" w:hAnsi="Arial" w:cs="Arial"/>
          <w:i/>
          <w:color w:val="000000"/>
        </w:rPr>
        <w:t xml:space="preserve"> </w:t>
      </w:r>
      <w:r w:rsidR="001F1CA9" w:rsidRPr="001F1CA9">
        <w:rPr>
          <w:rFonts w:ascii="Arial" w:hAnsi="Arial" w:cs="Arial"/>
          <w:color w:val="000000"/>
        </w:rPr>
        <w:t>industry</w:t>
      </w:r>
      <w:r w:rsidR="00F442EE">
        <w:rPr>
          <w:rFonts w:ascii="Arial" w:hAnsi="Arial" w:cs="Arial"/>
          <w:i/>
          <w:color w:val="000000"/>
        </w:rPr>
        <w:t xml:space="preserve"> </w:t>
      </w:r>
      <w:r w:rsidR="007400C6">
        <w:rPr>
          <w:rFonts w:ascii="Arial" w:hAnsi="Arial" w:cs="Arial"/>
          <w:color w:val="000000"/>
        </w:rPr>
        <w:t>standard</w:t>
      </w:r>
      <w:r w:rsidR="000F3AA1">
        <w:rPr>
          <w:rFonts w:ascii="Arial" w:hAnsi="Arial" w:cs="Arial"/>
        </w:rPr>
        <w:t xml:space="preserve">. </w:t>
      </w:r>
      <w:r w:rsidRPr="001A6FD9">
        <w:rPr>
          <w:rFonts w:ascii="Arial" w:hAnsi="Arial" w:cs="Arial"/>
        </w:rPr>
        <w:t xml:space="preserve">As a result, suppliers </w:t>
      </w:r>
      <w:r w:rsidR="00442B63">
        <w:rPr>
          <w:rFonts w:ascii="Arial" w:hAnsi="Arial" w:cs="Arial"/>
        </w:rPr>
        <w:t xml:space="preserve">of </w:t>
      </w:r>
      <w:r w:rsidRPr="001A6FD9">
        <w:rPr>
          <w:rFonts w:ascii="Arial" w:hAnsi="Arial" w:cs="Arial"/>
        </w:rPr>
        <w:t xml:space="preserve">an item of CE to which </w:t>
      </w:r>
      <w:r w:rsidR="00C910EB">
        <w:rPr>
          <w:rFonts w:ascii="Arial" w:hAnsi="Arial" w:cs="Arial"/>
        </w:rPr>
        <w:t>that</w:t>
      </w:r>
      <w:r w:rsidRPr="001A6FD9">
        <w:rPr>
          <w:rFonts w:ascii="Arial" w:hAnsi="Arial" w:cs="Arial"/>
        </w:rPr>
        <w:t xml:space="preserve"> </w:t>
      </w:r>
      <w:r w:rsidR="007400C6">
        <w:rPr>
          <w:rFonts w:ascii="Arial" w:hAnsi="Arial" w:cs="Arial"/>
        </w:rPr>
        <w:t xml:space="preserve">technical </w:t>
      </w:r>
      <w:r w:rsidRPr="001A6FD9">
        <w:rPr>
          <w:rFonts w:ascii="Arial" w:hAnsi="Arial" w:cs="Arial"/>
        </w:rPr>
        <w:t>standard applies must affix a label to that item indicating whether the equipment or cabling complies with the standard.</w:t>
      </w:r>
    </w:p>
    <w:p w:rsidR="000F3AA1" w:rsidRPr="00824B0A" w:rsidRDefault="000F3AA1" w:rsidP="000F3AA1">
      <w:pPr>
        <w:rPr>
          <w:rFonts w:ascii="Arial" w:hAnsi="Arial" w:cs="Arial"/>
          <w:b/>
        </w:rPr>
      </w:pPr>
      <w:r>
        <w:rPr>
          <w:rFonts w:ascii="Arial" w:hAnsi="Arial" w:cs="Arial"/>
        </w:rPr>
        <w:br w:type="page"/>
      </w:r>
    </w:p>
    <w:p w:rsidR="000F3AA1" w:rsidRPr="00C63D15" w:rsidRDefault="000F3AA1" w:rsidP="000F3AA1">
      <w:pPr>
        <w:rPr>
          <w:rFonts w:ascii="Arial" w:hAnsi="Arial" w:cs="Arial"/>
          <w:b/>
        </w:rPr>
      </w:pPr>
      <w:r w:rsidRPr="00C63D15">
        <w:rPr>
          <w:rFonts w:ascii="Arial" w:hAnsi="Arial" w:cs="Arial"/>
          <w:b/>
        </w:rPr>
        <w:t xml:space="preserve">Attachment 2 </w:t>
      </w:r>
    </w:p>
    <w:p w:rsidR="000F3AA1" w:rsidRPr="009B77E8" w:rsidRDefault="000F3AA1" w:rsidP="000F3AA1">
      <w:pPr>
        <w:pBdr>
          <w:top w:val="thinThickThinSmallGap" w:sz="24" w:space="1" w:color="auto"/>
          <w:left w:val="thinThickThinSmallGap" w:sz="24" w:space="4" w:color="auto"/>
          <w:bottom w:val="thinThickThinSmallGap" w:sz="24" w:space="1" w:color="auto"/>
          <w:right w:val="thinThickThinSmallGap" w:sz="24" w:space="4" w:color="auto"/>
        </w:pBdr>
        <w:spacing w:before="360" w:after="120"/>
        <w:jc w:val="center"/>
        <w:rPr>
          <w:rFonts w:ascii="Arial" w:hAnsi="Arial" w:cs="Arial"/>
          <w:b/>
          <w:sz w:val="28"/>
          <w:szCs w:val="28"/>
        </w:rPr>
      </w:pPr>
    </w:p>
    <w:p w:rsidR="000F3AA1" w:rsidRPr="009B77E8" w:rsidRDefault="000F3AA1" w:rsidP="000F3AA1">
      <w:pPr>
        <w:pBdr>
          <w:top w:val="thinThickThinSmallGap" w:sz="24" w:space="1" w:color="auto"/>
          <w:left w:val="thinThickThinSmallGap" w:sz="24" w:space="4" w:color="auto"/>
          <w:bottom w:val="thinThickThinSmallGap" w:sz="24" w:space="1" w:color="auto"/>
          <w:right w:val="thinThickThinSmallGap" w:sz="24" w:space="4" w:color="auto"/>
        </w:pBdr>
        <w:spacing w:before="360" w:after="120"/>
        <w:jc w:val="center"/>
        <w:rPr>
          <w:rFonts w:ascii="Arial" w:hAnsi="Arial" w:cs="Arial"/>
          <w:b/>
          <w:sz w:val="28"/>
          <w:szCs w:val="28"/>
        </w:rPr>
      </w:pPr>
      <w:r w:rsidRPr="009B77E8">
        <w:rPr>
          <w:rFonts w:ascii="Arial" w:hAnsi="Arial" w:cs="Arial"/>
          <w:b/>
          <w:sz w:val="28"/>
          <w:szCs w:val="28"/>
        </w:rPr>
        <w:t>Statement of Compatibility with Human Rights</w:t>
      </w:r>
    </w:p>
    <w:p w:rsidR="000F3AA1" w:rsidRPr="009B77E8" w:rsidRDefault="000F3AA1" w:rsidP="000F3AA1">
      <w:pPr>
        <w:pBdr>
          <w:top w:val="thinThickThinSmallGap" w:sz="24" w:space="1" w:color="auto"/>
          <w:left w:val="thinThickThinSmallGap" w:sz="24" w:space="4" w:color="auto"/>
          <w:bottom w:val="thinThickThinSmallGap" w:sz="24" w:space="1" w:color="auto"/>
          <w:right w:val="thinThickThinSmallGap" w:sz="24" w:space="4" w:color="auto"/>
        </w:pBdr>
        <w:spacing w:before="120" w:after="120"/>
        <w:jc w:val="center"/>
        <w:rPr>
          <w:rFonts w:ascii="Arial" w:hAnsi="Arial" w:cs="Arial"/>
        </w:rPr>
      </w:pPr>
      <w:r w:rsidRPr="009B77E8">
        <w:rPr>
          <w:rFonts w:ascii="Arial" w:hAnsi="Arial" w:cs="Arial"/>
          <w:i/>
        </w:rPr>
        <w:t>Prepared in accordance with Part 3 of the Human Rights (Parliamentary Scrutiny) Act 2011</w:t>
      </w:r>
    </w:p>
    <w:p w:rsidR="000F3AA1" w:rsidRPr="004371B0" w:rsidRDefault="000F3AA1" w:rsidP="000F3AA1">
      <w:pPr>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jc w:val="center"/>
        <w:outlineLvl w:val="0"/>
        <w:rPr>
          <w:rFonts w:ascii="Arial" w:hAnsi="Arial" w:cs="Arial"/>
          <w:b/>
          <w:bCs/>
          <w:i/>
          <w:iCs/>
        </w:rPr>
      </w:pPr>
      <w:r w:rsidRPr="009B77E8">
        <w:rPr>
          <w:rFonts w:ascii="Arial" w:hAnsi="Arial" w:cs="Arial"/>
          <w:b/>
          <w:bCs/>
          <w:i/>
          <w:iCs/>
        </w:rPr>
        <w:br/>
      </w:r>
      <w:r w:rsidR="006B0B1D" w:rsidRPr="004371B0">
        <w:rPr>
          <w:rFonts w:ascii="Arial" w:hAnsi="Arial" w:cs="Arial"/>
          <w:b/>
          <w:i/>
        </w:rPr>
        <w:t>Telecommunications Labelling (Customer Equipment and Customer Cabling) Amendment Notice 2013 (No. 2)</w:t>
      </w:r>
    </w:p>
    <w:p w:rsidR="000F3AA1" w:rsidRPr="009B77E8" w:rsidRDefault="000F3AA1" w:rsidP="000F3AA1">
      <w:pPr>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jc w:val="both"/>
        <w:outlineLvl w:val="0"/>
        <w:rPr>
          <w:rFonts w:ascii="Arial" w:hAnsi="Arial" w:cs="Arial"/>
        </w:rPr>
      </w:pPr>
      <w:r w:rsidRPr="009B77E8">
        <w:rPr>
          <w:rFonts w:ascii="Arial" w:hAnsi="Arial" w:cs="Arial"/>
          <w:b/>
          <w:bCs/>
          <w:i/>
          <w:iCs/>
        </w:rPr>
        <w:br/>
      </w:r>
      <w:r w:rsidRPr="009B77E8">
        <w:rPr>
          <w:rFonts w:ascii="Arial" w:hAnsi="Arial" w:cs="Arial"/>
        </w:rPr>
        <w:t xml:space="preserve">This </w:t>
      </w:r>
      <w:r>
        <w:rPr>
          <w:rFonts w:ascii="Arial" w:hAnsi="Arial" w:cs="Arial"/>
        </w:rPr>
        <w:t>l</w:t>
      </w:r>
      <w:r w:rsidRPr="009B77E8">
        <w:rPr>
          <w:rFonts w:ascii="Arial" w:hAnsi="Arial" w:cs="Arial"/>
        </w:rPr>
        <w:t xml:space="preserve">egislative </w:t>
      </w:r>
      <w:r>
        <w:rPr>
          <w:rFonts w:ascii="Arial" w:hAnsi="Arial" w:cs="Arial"/>
        </w:rPr>
        <w:t>i</w:t>
      </w:r>
      <w:r w:rsidRPr="009B77E8">
        <w:rPr>
          <w:rFonts w:ascii="Arial" w:hAnsi="Arial" w:cs="Arial"/>
        </w:rPr>
        <w:t xml:space="preserve">nstrument is compatible with the human rights and freedoms recognised or declared in the international instruments listed in section 3 of the </w:t>
      </w:r>
      <w:r w:rsidRPr="009B77E8">
        <w:rPr>
          <w:rFonts w:ascii="Arial" w:hAnsi="Arial" w:cs="Arial"/>
          <w:i/>
        </w:rPr>
        <w:t>Human Rights (Parliamentary Scrutiny) Act 2011</w:t>
      </w:r>
      <w:r w:rsidRPr="009B77E8">
        <w:rPr>
          <w:rFonts w:ascii="Arial" w:hAnsi="Arial" w:cs="Arial"/>
        </w:rPr>
        <w:t>.</w:t>
      </w:r>
    </w:p>
    <w:p w:rsidR="000F3AA1" w:rsidRPr="009B77E8" w:rsidRDefault="000F3AA1" w:rsidP="000F3AA1">
      <w:pPr>
        <w:pBdr>
          <w:top w:val="thinThickThinSmallGap" w:sz="24" w:space="1" w:color="auto"/>
          <w:left w:val="thinThickThinSmallGap" w:sz="24" w:space="4" w:color="auto"/>
          <w:bottom w:val="thinThickThinSmallGap" w:sz="24" w:space="1" w:color="auto"/>
          <w:right w:val="thinThickThinSmallGap" w:sz="24" w:space="4" w:color="auto"/>
        </w:pBdr>
        <w:spacing w:before="120" w:after="120"/>
        <w:jc w:val="both"/>
        <w:rPr>
          <w:rFonts w:ascii="Arial" w:hAnsi="Arial" w:cs="Arial"/>
          <w:b/>
        </w:rPr>
      </w:pPr>
      <w:r w:rsidRPr="009B77E8">
        <w:rPr>
          <w:rFonts w:ascii="Arial" w:hAnsi="Arial" w:cs="Arial"/>
          <w:b/>
        </w:rPr>
        <w:br/>
        <w:t>Overview of the Legislative Instrument</w:t>
      </w:r>
    </w:p>
    <w:p w:rsidR="000F3AA1" w:rsidRPr="001A6FD9" w:rsidRDefault="006B0B1D" w:rsidP="000F3AA1">
      <w:pPr>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outlineLvl w:val="0"/>
        <w:rPr>
          <w:rFonts w:ascii="Arial" w:hAnsi="Arial" w:cs="Arial"/>
        </w:rPr>
      </w:pPr>
      <w:r w:rsidRPr="000F5A51">
        <w:rPr>
          <w:rFonts w:ascii="Arial" w:hAnsi="Arial" w:cs="Arial"/>
          <w:color w:val="000000" w:themeColor="text1"/>
        </w:rPr>
        <w:t>Th</w:t>
      </w:r>
      <w:r>
        <w:rPr>
          <w:rFonts w:ascii="Arial" w:hAnsi="Arial" w:cs="Arial"/>
          <w:color w:val="000000" w:themeColor="text1"/>
        </w:rPr>
        <w:t>is</w:t>
      </w:r>
      <w:r w:rsidRPr="000F5A51">
        <w:rPr>
          <w:rFonts w:ascii="Arial" w:hAnsi="Arial" w:cs="Arial"/>
          <w:color w:val="000000" w:themeColor="text1"/>
        </w:rPr>
        <w:t xml:space="preserve"> </w:t>
      </w:r>
      <w:r w:rsidR="000F3AA1" w:rsidRPr="000F5A51">
        <w:rPr>
          <w:rFonts w:ascii="Arial" w:hAnsi="Arial" w:cs="Arial"/>
          <w:color w:val="000000" w:themeColor="text1"/>
        </w:rPr>
        <w:t xml:space="preserve">legislative instrument amends the </w:t>
      </w:r>
      <w:r w:rsidR="000F3AA1" w:rsidRPr="00FE25C7">
        <w:rPr>
          <w:rFonts w:ascii="Arial" w:hAnsi="Arial" w:cs="Arial"/>
          <w:i/>
        </w:rPr>
        <w:t>Telecommunications</w:t>
      </w:r>
      <w:r w:rsidR="000F3AA1">
        <w:rPr>
          <w:rFonts w:ascii="Arial" w:hAnsi="Arial" w:cs="Arial"/>
          <w:i/>
        </w:rPr>
        <w:t xml:space="preserve"> Labelling (Customer Equipment and Customer Cabling) Notice 2001 </w:t>
      </w:r>
      <w:r w:rsidR="000F3AA1">
        <w:rPr>
          <w:rFonts w:ascii="Arial" w:hAnsi="Arial" w:cs="Arial"/>
          <w:b/>
        </w:rPr>
        <w:t>(the Labelling Notice)</w:t>
      </w:r>
      <w:r w:rsidR="000F3AA1" w:rsidRPr="00FE25C7">
        <w:rPr>
          <w:rFonts w:ascii="Arial" w:hAnsi="Arial" w:cs="Arial"/>
          <w:i/>
        </w:rPr>
        <w:t xml:space="preserve"> </w:t>
      </w:r>
      <w:r w:rsidR="000F3AA1" w:rsidRPr="000F5A51">
        <w:rPr>
          <w:rFonts w:ascii="Arial" w:hAnsi="Arial" w:cs="Arial"/>
          <w:bCs/>
          <w:iCs/>
          <w:color w:val="000000" w:themeColor="text1"/>
        </w:rPr>
        <w:t xml:space="preserve">made under </w:t>
      </w:r>
      <w:r w:rsidR="000F3AA1">
        <w:rPr>
          <w:rFonts w:ascii="Arial" w:hAnsi="Arial" w:cs="Arial"/>
          <w:bCs/>
          <w:iCs/>
          <w:color w:val="000000" w:themeColor="text1"/>
        </w:rPr>
        <w:t>s</w:t>
      </w:r>
      <w:r w:rsidR="00C910EB">
        <w:rPr>
          <w:rFonts w:ascii="Arial" w:hAnsi="Arial" w:cs="Arial"/>
        </w:rPr>
        <w:t>ubsection 407(1) of the</w:t>
      </w:r>
      <w:r w:rsidR="000F3AA1" w:rsidRPr="001A6FD9">
        <w:rPr>
          <w:rFonts w:ascii="Arial" w:hAnsi="Arial" w:cs="Arial"/>
        </w:rPr>
        <w:t xml:space="preserve"> </w:t>
      </w:r>
      <w:r w:rsidR="000F3AA1" w:rsidRPr="00AB770F">
        <w:rPr>
          <w:rFonts w:ascii="Arial" w:hAnsi="Arial" w:cs="Arial"/>
          <w:bCs/>
          <w:i/>
          <w:iCs/>
          <w:color w:val="000000" w:themeColor="text1"/>
        </w:rPr>
        <w:t>Telecommunications Act 1997</w:t>
      </w:r>
      <w:r w:rsidR="00C910EB">
        <w:rPr>
          <w:rFonts w:ascii="Arial" w:hAnsi="Arial" w:cs="Arial"/>
          <w:bCs/>
          <w:i/>
          <w:iCs/>
          <w:color w:val="000000" w:themeColor="text1"/>
        </w:rPr>
        <w:t xml:space="preserve"> </w:t>
      </w:r>
      <w:r w:rsidR="00C910EB">
        <w:rPr>
          <w:rFonts w:ascii="Arial" w:hAnsi="Arial" w:cs="Arial"/>
          <w:bCs/>
          <w:iCs/>
          <w:color w:val="000000" w:themeColor="text1"/>
        </w:rPr>
        <w:t>(the Act)</w:t>
      </w:r>
      <w:r w:rsidR="000F3AA1" w:rsidRPr="000F5A51">
        <w:rPr>
          <w:rFonts w:ascii="Arial" w:hAnsi="Arial" w:cs="Arial"/>
          <w:bCs/>
          <w:i/>
          <w:iCs/>
          <w:color w:val="000000" w:themeColor="text1"/>
        </w:rPr>
        <w:t>.</w:t>
      </w:r>
      <w:r w:rsidR="000F3AA1" w:rsidRPr="000F5A51">
        <w:rPr>
          <w:rFonts w:ascii="Arial" w:hAnsi="Arial" w:cs="Arial"/>
          <w:bCs/>
          <w:iCs/>
          <w:color w:val="000000" w:themeColor="text1"/>
        </w:rPr>
        <w:t xml:space="preserve"> </w:t>
      </w:r>
      <w:r>
        <w:rPr>
          <w:rFonts w:ascii="Arial" w:hAnsi="Arial" w:cs="Arial"/>
        </w:rPr>
        <w:t>This legislative instrument</w:t>
      </w:r>
      <w:r w:rsidR="000F3AA1" w:rsidRPr="001A6FD9">
        <w:rPr>
          <w:rFonts w:ascii="Arial" w:hAnsi="Arial" w:cs="Arial"/>
        </w:rPr>
        <w:t xml:space="preserve"> brings the </w:t>
      </w:r>
      <w:r w:rsidR="000F3AA1" w:rsidRPr="001A6FD9">
        <w:rPr>
          <w:rFonts w:ascii="Arial" w:hAnsi="Arial" w:cs="Arial"/>
          <w:i/>
        </w:rPr>
        <w:t xml:space="preserve">Telecommunications Technical Standard (Voice frequency performance requirements for Customer Equipment) 2013 </w:t>
      </w:r>
      <w:r w:rsidR="000F3AA1" w:rsidRPr="001A6FD9">
        <w:rPr>
          <w:rFonts w:ascii="Arial" w:hAnsi="Arial" w:cs="Arial"/>
        </w:rPr>
        <w:t>(</w:t>
      </w:r>
      <w:r w:rsidR="000F3AA1" w:rsidRPr="001A6FD9">
        <w:rPr>
          <w:rFonts w:ascii="Arial" w:hAnsi="Arial" w:cs="Arial"/>
          <w:b/>
        </w:rPr>
        <w:t xml:space="preserve">the </w:t>
      </w:r>
      <w:r w:rsidR="00523533">
        <w:rPr>
          <w:rFonts w:ascii="Arial" w:hAnsi="Arial" w:cs="Arial"/>
          <w:b/>
        </w:rPr>
        <w:t xml:space="preserve">new </w:t>
      </w:r>
      <w:r w:rsidR="000F3AA1" w:rsidRPr="001A6FD9">
        <w:rPr>
          <w:rFonts w:ascii="Arial" w:hAnsi="Arial" w:cs="Arial"/>
          <w:b/>
        </w:rPr>
        <w:t>ACMA Standard</w:t>
      </w:r>
      <w:r w:rsidR="000F3AA1" w:rsidRPr="001A6FD9">
        <w:rPr>
          <w:rFonts w:ascii="Arial" w:hAnsi="Arial" w:cs="Arial"/>
        </w:rPr>
        <w:t>)</w:t>
      </w:r>
      <w:r w:rsidR="000F3AA1" w:rsidRPr="001A6FD9">
        <w:rPr>
          <w:rFonts w:ascii="Arial" w:hAnsi="Arial" w:cs="Arial"/>
          <w:i/>
        </w:rPr>
        <w:t xml:space="preserve">, </w:t>
      </w:r>
      <w:r w:rsidR="000F3AA1" w:rsidRPr="001A6FD9">
        <w:rPr>
          <w:rFonts w:ascii="Arial" w:hAnsi="Arial" w:cs="Arial"/>
        </w:rPr>
        <w:t>made</w:t>
      </w:r>
      <w:r w:rsidR="000F3AA1" w:rsidRPr="001A6FD9">
        <w:rPr>
          <w:rFonts w:ascii="Arial" w:hAnsi="Arial" w:cs="Arial"/>
          <w:i/>
        </w:rPr>
        <w:t xml:space="preserve"> </w:t>
      </w:r>
      <w:r w:rsidR="000F3AA1" w:rsidRPr="001A6FD9">
        <w:rPr>
          <w:rFonts w:ascii="Arial" w:hAnsi="Arial" w:cs="Arial"/>
        </w:rPr>
        <w:t>under section 376 of the</w:t>
      </w:r>
      <w:r w:rsidR="00C910EB">
        <w:rPr>
          <w:rFonts w:ascii="Arial" w:hAnsi="Arial" w:cs="Arial"/>
        </w:rPr>
        <w:t xml:space="preserve"> Act</w:t>
      </w:r>
      <w:r w:rsidR="000F3AA1" w:rsidRPr="001A6FD9">
        <w:rPr>
          <w:rFonts w:ascii="Arial" w:hAnsi="Arial" w:cs="Arial"/>
        </w:rPr>
        <w:t>, within the compliance labelling regime, by referencing</w:t>
      </w:r>
      <w:r w:rsidR="000549C1">
        <w:rPr>
          <w:rFonts w:ascii="Arial" w:hAnsi="Arial" w:cs="Arial"/>
        </w:rPr>
        <w:t xml:space="preserve"> the </w:t>
      </w:r>
      <w:r>
        <w:rPr>
          <w:rFonts w:ascii="Arial" w:hAnsi="Arial" w:cs="Arial"/>
        </w:rPr>
        <w:t xml:space="preserve">new </w:t>
      </w:r>
      <w:r w:rsidR="000549C1">
        <w:rPr>
          <w:rFonts w:ascii="Arial" w:hAnsi="Arial" w:cs="Arial"/>
        </w:rPr>
        <w:t>ACMA Standard</w:t>
      </w:r>
      <w:r w:rsidR="000F3AA1" w:rsidRPr="001A6FD9">
        <w:rPr>
          <w:rFonts w:ascii="Arial" w:hAnsi="Arial" w:cs="Arial"/>
        </w:rPr>
        <w:t xml:space="preserve"> in Sch</w:t>
      </w:r>
      <w:r w:rsidR="000F3AA1">
        <w:rPr>
          <w:rFonts w:ascii="Arial" w:hAnsi="Arial" w:cs="Arial"/>
        </w:rPr>
        <w:t>edule 1 of the Labelling Notice.</w:t>
      </w:r>
      <w:r w:rsidR="000F3AA1" w:rsidRPr="001A6FD9">
        <w:rPr>
          <w:rFonts w:ascii="Arial" w:hAnsi="Arial" w:cs="Arial"/>
        </w:rPr>
        <w:t xml:space="preserve"> </w:t>
      </w:r>
    </w:p>
    <w:p w:rsidR="000F3AA1" w:rsidRDefault="000F3AA1" w:rsidP="000F3AA1">
      <w:pPr>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jc w:val="both"/>
        <w:outlineLvl w:val="0"/>
        <w:rPr>
          <w:rFonts w:ascii="Arial" w:hAnsi="Arial" w:cs="Arial"/>
        </w:rPr>
      </w:pPr>
    </w:p>
    <w:p w:rsidR="000F3AA1" w:rsidRPr="009B77E8" w:rsidRDefault="000F3AA1" w:rsidP="000F3AA1">
      <w:pPr>
        <w:pBdr>
          <w:top w:val="thinThickThinSmallGap" w:sz="24" w:space="1" w:color="auto"/>
          <w:left w:val="thinThickThinSmallGap" w:sz="24" w:space="4" w:color="auto"/>
          <w:bottom w:val="thinThickThinSmallGap" w:sz="24" w:space="1" w:color="auto"/>
          <w:right w:val="thinThickThinSmallGap" w:sz="24" w:space="4" w:color="auto"/>
        </w:pBdr>
        <w:spacing w:before="120" w:after="120"/>
        <w:rPr>
          <w:rFonts w:ascii="Arial" w:hAnsi="Arial" w:cs="Arial"/>
          <w:b/>
        </w:rPr>
      </w:pPr>
      <w:r w:rsidRPr="009B77E8">
        <w:rPr>
          <w:rFonts w:ascii="Arial" w:hAnsi="Arial" w:cs="Arial"/>
          <w:b/>
        </w:rPr>
        <w:t>Human rights implications</w:t>
      </w:r>
    </w:p>
    <w:p w:rsidR="000F3AA1" w:rsidRPr="009B77E8" w:rsidRDefault="000F3AA1" w:rsidP="000F3AA1">
      <w:pPr>
        <w:pBdr>
          <w:top w:val="thinThickThinSmallGap" w:sz="24" w:space="1" w:color="auto"/>
          <w:left w:val="thinThickThinSmallGap" w:sz="24" w:space="4" w:color="auto"/>
          <w:bottom w:val="thinThickThinSmallGap" w:sz="24" w:space="1" w:color="auto"/>
          <w:right w:val="thinThickThinSmallGap" w:sz="24" w:space="4" w:color="auto"/>
        </w:pBdr>
        <w:spacing w:before="120" w:after="120"/>
        <w:jc w:val="both"/>
        <w:rPr>
          <w:rFonts w:ascii="Arial" w:hAnsi="Arial" w:cs="Arial"/>
        </w:rPr>
      </w:pPr>
      <w:r w:rsidRPr="009B77E8">
        <w:rPr>
          <w:rFonts w:ascii="Arial" w:hAnsi="Arial" w:cs="Arial"/>
        </w:rPr>
        <w:t xml:space="preserve">This </w:t>
      </w:r>
      <w:r>
        <w:rPr>
          <w:rFonts w:ascii="Arial" w:hAnsi="Arial" w:cs="Arial"/>
        </w:rPr>
        <w:t>l</w:t>
      </w:r>
      <w:r w:rsidRPr="009B77E8">
        <w:rPr>
          <w:rFonts w:ascii="Arial" w:hAnsi="Arial" w:cs="Arial"/>
        </w:rPr>
        <w:t xml:space="preserve">egislative </w:t>
      </w:r>
      <w:r>
        <w:rPr>
          <w:rFonts w:ascii="Arial" w:hAnsi="Arial" w:cs="Arial"/>
        </w:rPr>
        <w:t>i</w:t>
      </w:r>
      <w:r w:rsidRPr="009B77E8">
        <w:rPr>
          <w:rFonts w:ascii="Arial" w:hAnsi="Arial" w:cs="Arial"/>
        </w:rPr>
        <w:t>nstrument does not engage any of the applicable rights or freedoms.</w:t>
      </w:r>
    </w:p>
    <w:p w:rsidR="000F3AA1" w:rsidRPr="009B77E8" w:rsidRDefault="000F3AA1" w:rsidP="000F3AA1">
      <w:pPr>
        <w:pBdr>
          <w:top w:val="thinThickThinSmallGap" w:sz="24" w:space="1" w:color="auto"/>
          <w:left w:val="thinThickThinSmallGap" w:sz="24" w:space="4" w:color="auto"/>
          <w:bottom w:val="thinThickThinSmallGap" w:sz="24" w:space="1" w:color="auto"/>
          <w:right w:val="thinThickThinSmallGap" w:sz="24" w:space="4" w:color="auto"/>
        </w:pBdr>
        <w:spacing w:before="120" w:after="120"/>
        <w:rPr>
          <w:rFonts w:ascii="Arial" w:hAnsi="Arial" w:cs="Arial"/>
          <w:b/>
        </w:rPr>
      </w:pPr>
      <w:r w:rsidRPr="009B77E8">
        <w:rPr>
          <w:rFonts w:ascii="Arial" w:hAnsi="Arial" w:cs="Arial"/>
          <w:b/>
        </w:rPr>
        <w:t>Conclusion</w:t>
      </w:r>
    </w:p>
    <w:p w:rsidR="000F3AA1" w:rsidRDefault="000F3AA1" w:rsidP="000F3AA1">
      <w:pPr>
        <w:pBdr>
          <w:top w:val="thinThickThinSmallGap" w:sz="24" w:space="1" w:color="auto"/>
          <w:left w:val="thinThickThinSmallGap" w:sz="24" w:space="4" w:color="auto"/>
          <w:bottom w:val="thinThickThinSmallGap" w:sz="24" w:space="1" w:color="auto"/>
          <w:right w:val="thinThickThinSmallGap" w:sz="24" w:space="4" w:color="auto"/>
        </w:pBdr>
        <w:spacing w:before="120" w:after="120"/>
        <w:rPr>
          <w:rFonts w:ascii="Arial" w:hAnsi="Arial" w:cs="Arial"/>
        </w:rPr>
      </w:pPr>
      <w:r w:rsidRPr="009B77E8">
        <w:rPr>
          <w:rFonts w:ascii="Arial" w:hAnsi="Arial" w:cs="Arial"/>
        </w:rPr>
        <w:t xml:space="preserve">This </w:t>
      </w:r>
      <w:r>
        <w:rPr>
          <w:rFonts w:ascii="Arial" w:hAnsi="Arial" w:cs="Arial"/>
        </w:rPr>
        <w:t>l</w:t>
      </w:r>
      <w:r w:rsidRPr="009B77E8">
        <w:rPr>
          <w:rFonts w:ascii="Arial" w:hAnsi="Arial" w:cs="Arial"/>
        </w:rPr>
        <w:t xml:space="preserve">egislative </w:t>
      </w:r>
      <w:r>
        <w:rPr>
          <w:rFonts w:ascii="Arial" w:hAnsi="Arial" w:cs="Arial"/>
        </w:rPr>
        <w:t>i</w:t>
      </w:r>
      <w:r w:rsidRPr="009B77E8">
        <w:rPr>
          <w:rFonts w:ascii="Arial" w:hAnsi="Arial" w:cs="Arial"/>
        </w:rPr>
        <w:t xml:space="preserve">nstrument is compatible with human rights as it </w:t>
      </w:r>
      <w:r>
        <w:rPr>
          <w:rFonts w:ascii="Arial" w:hAnsi="Arial" w:cs="Arial"/>
        </w:rPr>
        <w:t xml:space="preserve">does not raise any human rights </w:t>
      </w:r>
      <w:r w:rsidRPr="009B77E8">
        <w:rPr>
          <w:rFonts w:ascii="Arial" w:hAnsi="Arial" w:cs="Arial"/>
        </w:rPr>
        <w:t>issues.</w:t>
      </w:r>
      <w:r w:rsidRPr="009B77E8">
        <w:rPr>
          <w:rFonts w:ascii="Arial" w:hAnsi="Arial" w:cs="Arial"/>
        </w:rPr>
        <w:br/>
      </w:r>
    </w:p>
    <w:p w:rsidR="000F3AA1" w:rsidRDefault="000F3AA1" w:rsidP="000F3AA1">
      <w:pPr>
        <w:pBdr>
          <w:top w:val="thinThickThinSmallGap" w:sz="24" w:space="1" w:color="auto"/>
          <w:left w:val="thinThickThinSmallGap" w:sz="24" w:space="4" w:color="auto"/>
          <w:bottom w:val="thinThickThinSmallGap" w:sz="24" w:space="1" w:color="auto"/>
          <w:right w:val="thinThickThinSmallGap" w:sz="24" w:space="4" w:color="auto"/>
        </w:pBdr>
        <w:spacing w:before="120" w:after="120"/>
        <w:jc w:val="center"/>
        <w:rPr>
          <w:rFonts w:ascii="Arial" w:hAnsi="Arial" w:cs="Arial"/>
          <w:b/>
        </w:rPr>
      </w:pPr>
      <w:r>
        <w:rPr>
          <w:rFonts w:ascii="Arial" w:hAnsi="Arial" w:cs="Arial"/>
          <w:b/>
        </w:rPr>
        <w:t>Australian Communications and Media Authority</w:t>
      </w:r>
    </w:p>
    <w:p w:rsidR="000F3AA1" w:rsidRDefault="000F3AA1" w:rsidP="000F3AA1"/>
    <w:p w:rsidR="00E12230" w:rsidRPr="000F3AA1" w:rsidRDefault="00E12230" w:rsidP="0075342B">
      <w:pPr>
        <w:spacing w:after="200" w:line="240" w:lineRule="atLeast"/>
        <w:jc w:val="both"/>
        <w:rPr>
          <w:rFonts w:ascii="Arial" w:hAnsi="Arial" w:cs="Arial"/>
        </w:rPr>
      </w:pPr>
    </w:p>
    <w:sectPr w:rsidR="00E12230" w:rsidRPr="000F3AA1" w:rsidSect="00C460FC">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5BB" w:rsidRDefault="00A775BB" w:rsidP="0034736E">
      <w:r>
        <w:separator/>
      </w:r>
    </w:p>
  </w:endnote>
  <w:endnote w:type="continuationSeparator" w:id="0">
    <w:p w:rsidR="00A775BB" w:rsidRDefault="00A775BB" w:rsidP="0034736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D2A" w:rsidRDefault="007558C0">
    <w:pPr>
      <w:pStyle w:val="Footer"/>
      <w:jc w:val="right"/>
    </w:pPr>
    <w:fldSimple w:instr=" PAGE   \* MERGEFORMAT ">
      <w:r w:rsidR="00B93B56">
        <w:rPr>
          <w:noProof/>
        </w:rPr>
        <w:t>1</w:t>
      </w:r>
    </w:fldSimple>
  </w:p>
  <w:p w:rsidR="008C7D2A" w:rsidRDefault="008C7D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5BB" w:rsidRDefault="00A775BB" w:rsidP="0034736E">
      <w:r>
        <w:separator/>
      </w:r>
    </w:p>
  </w:footnote>
  <w:footnote w:type="continuationSeparator" w:id="0">
    <w:p w:rsidR="00A775BB" w:rsidRDefault="00A775BB" w:rsidP="003473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F5819"/>
    <w:multiLevelType w:val="hybridMultilevel"/>
    <w:tmpl w:val="1B1ED45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81D1869"/>
    <w:multiLevelType w:val="hybridMultilevel"/>
    <w:tmpl w:val="44CCDBB4"/>
    <w:lvl w:ilvl="0" w:tplc="B4DE576E">
      <w:start w:val="1"/>
      <w:numFmt w:val="decimal"/>
      <w:pStyle w:val="ACMANumbered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9D4562"/>
    <w:multiLevelType w:val="hybridMultilevel"/>
    <w:tmpl w:val="05B2013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4E51460"/>
    <w:multiLevelType w:val="hybridMultilevel"/>
    <w:tmpl w:val="A00A10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1"/>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TrackMoves/>
  <w:defaultTabStop w:val="720"/>
  <w:drawingGridHorizontalSpacing w:val="120"/>
  <w:displayHorizontalDrawingGridEvery w:val="2"/>
  <w:characterSpacingControl w:val="doNotCompress"/>
  <w:hdrShapeDefaults>
    <o:shapedefaults v:ext="edit" spidmax="6451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3AF3"/>
    <w:rsid w:val="00006043"/>
    <w:rsid w:val="00016DEE"/>
    <w:rsid w:val="000405C4"/>
    <w:rsid w:val="00043B89"/>
    <w:rsid w:val="0004608C"/>
    <w:rsid w:val="00046EE5"/>
    <w:rsid w:val="000549C1"/>
    <w:rsid w:val="00054D54"/>
    <w:rsid w:val="0005594D"/>
    <w:rsid w:val="00063D73"/>
    <w:rsid w:val="00066402"/>
    <w:rsid w:val="000672C4"/>
    <w:rsid w:val="000733A1"/>
    <w:rsid w:val="00081361"/>
    <w:rsid w:val="000853DE"/>
    <w:rsid w:val="00087D37"/>
    <w:rsid w:val="000A4970"/>
    <w:rsid w:val="000B4145"/>
    <w:rsid w:val="000B49B7"/>
    <w:rsid w:val="000B5B8D"/>
    <w:rsid w:val="000D464C"/>
    <w:rsid w:val="000D6FF2"/>
    <w:rsid w:val="000E4467"/>
    <w:rsid w:val="000E6133"/>
    <w:rsid w:val="000F0AB0"/>
    <w:rsid w:val="000F1FA0"/>
    <w:rsid w:val="000F3AA1"/>
    <w:rsid w:val="001051AB"/>
    <w:rsid w:val="00105E41"/>
    <w:rsid w:val="0010620D"/>
    <w:rsid w:val="00111958"/>
    <w:rsid w:val="0011537D"/>
    <w:rsid w:val="001176A0"/>
    <w:rsid w:val="00131FDB"/>
    <w:rsid w:val="0014596B"/>
    <w:rsid w:val="00147058"/>
    <w:rsid w:val="001506AD"/>
    <w:rsid w:val="00156A72"/>
    <w:rsid w:val="00157136"/>
    <w:rsid w:val="00165062"/>
    <w:rsid w:val="00176022"/>
    <w:rsid w:val="001A6FD9"/>
    <w:rsid w:val="001B7797"/>
    <w:rsid w:val="001D6A08"/>
    <w:rsid w:val="001F1CA9"/>
    <w:rsid w:val="001F3100"/>
    <w:rsid w:val="001F38A2"/>
    <w:rsid w:val="001F4658"/>
    <w:rsid w:val="001F6B87"/>
    <w:rsid w:val="00201ADB"/>
    <w:rsid w:val="00211383"/>
    <w:rsid w:val="0022326D"/>
    <w:rsid w:val="002300BE"/>
    <w:rsid w:val="0023154D"/>
    <w:rsid w:val="00245312"/>
    <w:rsid w:val="00252722"/>
    <w:rsid w:val="00254F5D"/>
    <w:rsid w:val="00255B22"/>
    <w:rsid w:val="00261063"/>
    <w:rsid w:val="002670BF"/>
    <w:rsid w:val="002706FA"/>
    <w:rsid w:val="002726AB"/>
    <w:rsid w:val="00280CB2"/>
    <w:rsid w:val="00281BB7"/>
    <w:rsid w:val="00286F29"/>
    <w:rsid w:val="0028743B"/>
    <w:rsid w:val="00294EAB"/>
    <w:rsid w:val="0029792A"/>
    <w:rsid w:val="002A0DFA"/>
    <w:rsid w:val="002A5764"/>
    <w:rsid w:val="002A72E1"/>
    <w:rsid w:val="002B3700"/>
    <w:rsid w:val="002C511F"/>
    <w:rsid w:val="002D4AA6"/>
    <w:rsid w:val="002E2068"/>
    <w:rsid w:val="002E3367"/>
    <w:rsid w:val="002E47A4"/>
    <w:rsid w:val="002E4F79"/>
    <w:rsid w:val="00304318"/>
    <w:rsid w:val="003119D8"/>
    <w:rsid w:val="0032497B"/>
    <w:rsid w:val="00327B9E"/>
    <w:rsid w:val="003335F9"/>
    <w:rsid w:val="00340A6B"/>
    <w:rsid w:val="0034351D"/>
    <w:rsid w:val="00343C5F"/>
    <w:rsid w:val="0034736E"/>
    <w:rsid w:val="0034759C"/>
    <w:rsid w:val="00355150"/>
    <w:rsid w:val="00363D34"/>
    <w:rsid w:val="003648D1"/>
    <w:rsid w:val="003707AE"/>
    <w:rsid w:val="00376AA7"/>
    <w:rsid w:val="00385EFE"/>
    <w:rsid w:val="00387A52"/>
    <w:rsid w:val="00391944"/>
    <w:rsid w:val="00391F72"/>
    <w:rsid w:val="00395F4B"/>
    <w:rsid w:val="003960A1"/>
    <w:rsid w:val="003A51F4"/>
    <w:rsid w:val="003B23A3"/>
    <w:rsid w:val="003B41CF"/>
    <w:rsid w:val="003C0FED"/>
    <w:rsid w:val="003C4779"/>
    <w:rsid w:val="003D22C7"/>
    <w:rsid w:val="003E1C65"/>
    <w:rsid w:val="003E2C54"/>
    <w:rsid w:val="003F0241"/>
    <w:rsid w:val="003F7079"/>
    <w:rsid w:val="00401350"/>
    <w:rsid w:val="004033E1"/>
    <w:rsid w:val="0040513E"/>
    <w:rsid w:val="00411290"/>
    <w:rsid w:val="00423F3D"/>
    <w:rsid w:val="00425513"/>
    <w:rsid w:val="004351AD"/>
    <w:rsid w:val="00435FF5"/>
    <w:rsid w:val="004371B0"/>
    <w:rsid w:val="00442B63"/>
    <w:rsid w:val="00444139"/>
    <w:rsid w:val="00446B6D"/>
    <w:rsid w:val="00447B7D"/>
    <w:rsid w:val="00452A20"/>
    <w:rsid w:val="00491133"/>
    <w:rsid w:val="00491948"/>
    <w:rsid w:val="004A18E2"/>
    <w:rsid w:val="004B1E07"/>
    <w:rsid w:val="004C5F25"/>
    <w:rsid w:val="004E11B6"/>
    <w:rsid w:val="004F09EC"/>
    <w:rsid w:val="004F296A"/>
    <w:rsid w:val="004F3060"/>
    <w:rsid w:val="005026D5"/>
    <w:rsid w:val="0050306F"/>
    <w:rsid w:val="00523533"/>
    <w:rsid w:val="00545732"/>
    <w:rsid w:val="0055085D"/>
    <w:rsid w:val="00551CF3"/>
    <w:rsid w:val="0056224C"/>
    <w:rsid w:val="005654DA"/>
    <w:rsid w:val="005737B9"/>
    <w:rsid w:val="00576F4C"/>
    <w:rsid w:val="005840F7"/>
    <w:rsid w:val="005B046C"/>
    <w:rsid w:val="005C3D44"/>
    <w:rsid w:val="005C64B9"/>
    <w:rsid w:val="005D1643"/>
    <w:rsid w:val="005D705C"/>
    <w:rsid w:val="006029FB"/>
    <w:rsid w:val="00605293"/>
    <w:rsid w:val="00605383"/>
    <w:rsid w:val="00605ADF"/>
    <w:rsid w:val="00611AF4"/>
    <w:rsid w:val="00615D0E"/>
    <w:rsid w:val="00622A27"/>
    <w:rsid w:val="00635BA4"/>
    <w:rsid w:val="00640482"/>
    <w:rsid w:val="00641F6E"/>
    <w:rsid w:val="006623CB"/>
    <w:rsid w:val="006763CD"/>
    <w:rsid w:val="0067654B"/>
    <w:rsid w:val="00680416"/>
    <w:rsid w:val="006A0A2C"/>
    <w:rsid w:val="006A44FB"/>
    <w:rsid w:val="006A6264"/>
    <w:rsid w:val="006B0B1D"/>
    <w:rsid w:val="006B1B10"/>
    <w:rsid w:val="006B59BC"/>
    <w:rsid w:val="006C5F76"/>
    <w:rsid w:val="006D1568"/>
    <w:rsid w:val="006E1B8F"/>
    <w:rsid w:val="006E6917"/>
    <w:rsid w:val="006F0740"/>
    <w:rsid w:val="00704209"/>
    <w:rsid w:val="00704DC7"/>
    <w:rsid w:val="00712353"/>
    <w:rsid w:val="00712608"/>
    <w:rsid w:val="00715A1B"/>
    <w:rsid w:val="00721808"/>
    <w:rsid w:val="00733DD3"/>
    <w:rsid w:val="007374FC"/>
    <w:rsid w:val="007400C6"/>
    <w:rsid w:val="0074245E"/>
    <w:rsid w:val="007501DF"/>
    <w:rsid w:val="0075073F"/>
    <w:rsid w:val="00751A93"/>
    <w:rsid w:val="00752276"/>
    <w:rsid w:val="0075342B"/>
    <w:rsid w:val="007558C0"/>
    <w:rsid w:val="007561CE"/>
    <w:rsid w:val="007609BF"/>
    <w:rsid w:val="0076132E"/>
    <w:rsid w:val="00763BAA"/>
    <w:rsid w:val="00770CDC"/>
    <w:rsid w:val="00775C97"/>
    <w:rsid w:val="00793A19"/>
    <w:rsid w:val="007A0E50"/>
    <w:rsid w:val="007A15CE"/>
    <w:rsid w:val="007A15F7"/>
    <w:rsid w:val="007A3319"/>
    <w:rsid w:val="007A64EE"/>
    <w:rsid w:val="007A6827"/>
    <w:rsid w:val="007B0C64"/>
    <w:rsid w:val="007C06E5"/>
    <w:rsid w:val="007E0CDA"/>
    <w:rsid w:val="007E14DC"/>
    <w:rsid w:val="007E4563"/>
    <w:rsid w:val="007F3020"/>
    <w:rsid w:val="00803957"/>
    <w:rsid w:val="00805665"/>
    <w:rsid w:val="00810348"/>
    <w:rsid w:val="00817B90"/>
    <w:rsid w:val="00821B1C"/>
    <w:rsid w:val="0082212C"/>
    <w:rsid w:val="00826C0A"/>
    <w:rsid w:val="0083109B"/>
    <w:rsid w:val="00831870"/>
    <w:rsid w:val="008318FB"/>
    <w:rsid w:val="00832E43"/>
    <w:rsid w:val="00833145"/>
    <w:rsid w:val="008469A0"/>
    <w:rsid w:val="00857B22"/>
    <w:rsid w:val="0086791A"/>
    <w:rsid w:val="00885532"/>
    <w:rsid w:val="008859AA"/>
    <w:rsid w:val="00890453"/>
    <w:rsid w:val="00891077"/>
    <w:rsid w:val="008936F3"/>
    <w:rsid w:val="0089386C"/>
    <w:rsid w:val="008B62FB"/>
    <w:rsid w:val="008C08C7"/>
    <w:rsid w:val="008C34AF"/>
    <w:rsid w:val="008C51ED"/>
    <w:rsid w:val="008C7D2A"/>
    <w:rsid w:val="008D78CD"/>
    <w:rsid w:val="008E302A"/>
    <w:rsid w:val="008E4146"/>
    <w:rsid w:val="008E62AB"/>
    <w:rsid w:val="008F017F"/>
    <w:rsid w:val="008F49FD"/>
    <w:rsid w:val="00911BC6"/>
    <w:rsid w:val="00916F73"/>
    <w:rsid w:val="0092503A"/>
    <w:rsid w:val="00930ED1"/>
    <w:rsid w:val="00941606"/>
    <w:rsid w:val="009426DC"/>
    <w:rsid w:val="0094299E"/>
    <w:rsid w:val="009444A4"/>
    <w:rsid w:val="00945303"/>
    <w:rsid w:val="00957C6D"/>
    <w:rsid w:val="00965885"/>
    <w:rsid w:val="00970B29"/>
    <w:rsid w:val="00985F4E"/>
    <w:rsid w:val="00995470"/>
    <w:rsid w:val="00997103"/>
    <w:rsid w:val="009A6CDC"/>
    <w:rsid w:val="009B0056"/>
    <w:rsid w:val="009B4CF7"/>
    <w:rsid w:val="009B5A53"/>
    <w:rsid w:val="009C44DD"/>
    <w:rsid w:val="009C4500"/>
    <w:rsid w:val="009C68F5"/>
    <w:rsid w:val="009C7C9E"/>
    <w:rsid w:val="009D7D36"/>
    <w:rsid w:val="009E3E85"/>
    <w:rsid w:val="009E6669"/>
    <w:rsid w:val="00A01A61"/>
    <w:rsid w:val="00A1136B"/>
    <w:rsid w:val="00A145DE"/>
    <w:rsid w:val="00A231E8"/>
    <w:rsid w:val="00A2703B"/>
    <w:rsid w:val="00A2741E"/>
    <w:rsid w:val="00A31288"/>
    <w:rsid w:val="00A31993"/>
    <w:rsid w:val="00A33AF3"/>
    <w:rsid w:val="00A539BE"/>
    <w:rsid w:val="00A55024"/>
    <w:rsid w:val="00A67E1E"/>
    <w:rsid w:val="00A70B74"/>
    <w:rsid w:val="00A74646"/>
    <w:rsid w:val="00A775BB"/>
    <w:rsid w:val="00A86FD0"/>
    <w:rsid w:val="00A9362C"/>
    <w:rsid w:val="00A97EDE"/>
    <w:rsid w:val="00AA025A"/>
    <w:rsid w:val="00AA6D09"/>
    <w:rsid w:val="00AB19C5"/>
    <w:rsid w:val="00AB28A7"/>
    <w:rsid w:val="00AD70F6"/>
    <w:rsid w:val="00AD76B4"/>
    <w:rsid w:val="00AE18E1"/>
    <w:rsid w:val="00AE1911"/>
    <w:rsid w:val="00AE776E"/>
    <w:rsid w:val="00AF7DC3"/>
    <w:rsid w:val="00B01640"/>
    <w:rsid w:val="00B025DD"/>
    <w:rsid w:val="00B066E1"/>
    <w:rsid w:val="00B125CF"/>
    <w:rsid w:val="00B12837"/>
    <w:rsid w:val="00B20F29"/>
    <w:rsid w:val="00B27B9C"/>
    <w:rsid w:val="00B330F3"/>
    <w:rsid w:val="00B45070"/>
    <w:rsid w:val="00B46B63"/>
    <w:rsid w:val="00B734DC"/>
    <w:rsid w:val="00B80573"/>
    <w:rsid w:val="00B81A2D"/>
    <w:rsid w:val="00B90F3D"/>
    <w:rsid w:val="00B92933"/>
    <w:rsid w:val="00B93B56"/>
    <w:rsid w:val="00B93CAA"/>
    <w:rsid w:val="00BC0E23"/>
    <w:rsid w:val="00BD4934"/>
    <w:rsid w:val="00BE4AEA"/>
    <w:rsid w:val="00BF33BA"/>
    <w:rsid w:val="00BF490D"/>
    <w:rsid w:val="00C0033C"/>
    <w:rsid w:val="00C009A6"/>
    <w:rsid w:val="00C21CF9"/>
    <w:rsid w:val="00C23061"/>
    <w:rsid w:val="00C31192"/>
    <w:rsid w:val="00C35E08"/>
    <w:rsid w:val="00C44332"/>
    <w:rsid w:val="00C446EA"/>
    <w:rsid w:val="00C460FC"/>
    <w:rsid w:val="00C52899"/>
    <w:rsid w:val="00C538E4"/>
    <w:rsid w:val="00C53BD3"/>
    <w:rsid w:val="00C550D8"/>
    <w:rsid w:val="00C55CAE"/>
    <w:rsid w:val="00C7357D"/>
    <w:rsid w:val="00C757E8"/>
    <w:rsid w:val="00C8327C"/>
    <w:rsid w:val="00C910EB"/>
    <w:rsid w:val="00CA547D"/>
    <w:rsid w:val="00CA6AAE"/>
    <w:rsid w:val="00CC3F26"/>
    <w:rsid w:val="00CD071D"/>
    <w:rsid w:val="00CD6372"/>
    <w:rsid w:val="00CD69CC"/>
    <w:rsid w:val="00D05BB3"/>
    <w:rsid w:val="00D07DB2"/>
    <w:rsid w:val="00D146A2"/>
    <w:rsid w:val="00D16736"/>
    <w:rsid w:val="00D17295"/>
    <w:rsid w:val="00D320F4"/>
    <w:rsid w:val="00D337BC"/>
    <w:rsid w:val="00D40810"/>
    <w:rsid w:val="00D44F20"/>
    <w:rsid w:val="00D456C2"/>
    <w:rsid w:val="00D56DAC"/>
    <w:rsid w:val="00D5748A"/>
    <w:rsid w:val="00D640EB"/>
    <w:rsid w:val="00D647CD"/>
    <w:rsid w:val="00D654A8"/>
    <w:rsid w:val="00D67043"/>
    <w:rsid w:val="00D8000E"/>
    <w:rsid w:val="00D82B5E"/>
    <w:rsid w:val="00D92DBF"/>
    <w:rsid w:val="00DB7122"/>
    <w:rsid w:val="00DD0D35"/>
    <w:rsid w:val="00DD5121"/>
    <w:rsid w:val="00DE1C51"/>
    <w:rsid w:val="00DE46A2"/>
    <w:rsid w:val="00E0129A"/>
    <w:rsid w:val="00E12230"/>
    <w:rsid w:val="00E12D2D"/>
    <w:rsid w:val="00E156C3"/>
    <w:rsid w:val="00E16E7A"/>
    <w:rsid w:val="00E215C8"/>
    <w:rsid w:val="00E23125"/>
    <w:rsid w:val="00E232D0"/>
    <w:rsid w:val="00E25027"/>
    <w:rsid w:val="00E27236"/>
    <w:rsid w:val="00E3671D"/>
    <w:rsid w:val="00E423AF"/>
    <w:rsid w:val="00E4241A"/>
    <w:rsid w:val="00E474CF"/>
    <w:rsid w:val="00E529ED"/>
    <w:rsid w:val="00E55ABE"/>
    <w:rsid w:val="00E56FE8"/>
    <w:rsid w:val="00E57068"/>
    <w:rsid w:val="00E60746"/>
    <w:rsid w:val="00E65C51"/>
    <w:rsid w:val="00E65DE6"/>
    <w:rsid w:val="00E849FB"/>
    <w:rsid w:val="00E84B81"/>
    <w:rsid w:val="00E909D2"/>
    <w:rsid w:val="00E92960"/>
    <w:rsid w:val="00E96132"/>
    <w:rsid w:val="00EA013D"/>
    <w:rsid w:val="00EA30B7"/>
    <w:rsid w:val="00EA41A0"/>
    <w:rsid w:val="00EB342D"/>
    <w:rsid w:val="00EB49DB"/>
    <w:rsid w:val="00ED49CB"/>
    <w:rsid w:val="00ED64B0"/>
    <w:rsid w:val="00ED7F1C"/>
    <w:rsid w:val="00EE28CA"/>
    <w:rsid w:val="00F01895"/>
    <w:rsid w:val="00F02A97"/>
    <w:rsid w:val="00F14D1C"/>
    <w:rsid w:val="00F17976"/>
    <w:rsid w:val="00F3325D"/>
    <w:rsid w:val="00F41577"/>
    <w:rsid w:val="00F43994"/>
    <w:rsid w:val="00F442EE"/>
    <w:rsid w:val="00F50058"/>
    <w:rsid w:val="00F57323"/>
    <w:rsid w:val="00F6013F"/>
    <w:rsid w:val="00F70A2B"/>
    <w:rsid w:val="00F716D8"/>
    <w:rsid w:val="00F717FE"/>
    <w:rsid w:val="00F87FD5"/>
    <w:rsid w:val="00F91CAD"/>
    <w:rsid w:val="00FD1D42"/>
    <w:rsid w:val="00FE1030"/>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C6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72C4"/>
    <w:rPr>
      <w:sz w:val="16"/>
      <w:szCs w:val="16"/>
    </w:rPr>
  </w:style>
  <w:style w:type="paragraph" w:styleId="CommentText">
    <w:name w:val="annotation text"/>
    <w:basedOn w:val="Normal"/>
    <w:link w:val="CommentTextChar"/>
    <w:uiPriority w:val="99"/>
    <w:semiHidden/>
    <w:unhideWhenUsed/>
    <w:rsid w:val="000672C4"/>
    <w:rPr>
      <w:sz w:val="20"/>
      <w:szCs w:val="20"/>
    </w:rPr>
  </w:style>
  <w:style w:type="character" w:customStyle="1" w:styleId="CommentTextChar">
    <w:name w:val="Comment Text Char"/>
    <w:basedOn w:val="DefaultParagraphFont"/>
    <w:link w:val="CommentText"/>
    <w:uiPriority w:val="99"/>
    <w:semiHidden/>
    <w:rsid w:val="000672C4"/>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672C4"/>
    <w:rPr>
      <w:b/>
      <w:bCs/>
    </w:rPr>
  </w:style>
  <w:style w:type="character" w:customStyle="1" w:styleId="CommentSubjectChar">
    <w:name w:val="Comment Subject Char"/>
    <w:basedOn w:val="CommentTextChar"/>
    <w:link w:val="CommentSubject"/>
    <w:uiPriority w:val="99"/>
    <w:semiHidden/>
    <w:rsid w:val="000672C4"/>
    <w:rPr>
      <w:b/>
      <w:bCs/>
    </w:rPr>
  </w:style>
  <w:style w:type="paragraph" w:styleId="BalloonText">
    <w:name w:val="Balloon Text"/>
    <w:basedOn w:val="Normal"/>
    <w:link w:val="BalloonTextChar"/>
    <w:uiPriority w:val="99"/>
    <w:semiHidden/>
    <w:unhideWhenUsed/>
    <w:rsid w:val="000672C4"/>
    <w:rPr>
      <w:rFonts w:ascii="Tahoma" w:hAnsi="Tahoma" w:cs="Tahoma"/>
      <w:sz w:val="16"/>
      <w:szCs w:val="16"/>
    </w:rPr>
  </w:style>
  <w:style w:type="character" w:customStyle="1" w:styleId="BalloonTextChar">
    <w:name w:val="Balloon Text Char"/>
    <w:basedOn w:val="DefaultParagraphFont"/>
    <w:link w:val="BalloonText"/>
    <w:uiPriority w:val="99"/>
    <w:semiHidden/>
    <w:rsid w:val="000672C4"/>
    <w:rPr>
      <w:rFonts w:ascii="Tahoma" w:eastAsia="Times New Roman" w:hAnsi="Tahoma" w:cs="Tahoma"/>
      <w:sz w:val="16"/>
      <w:szCs w:val="16"/>
      <w:lang w:eastAsia="en-AU"/>
    </w:rPr>
  </w:style>
  <w:style w:type="paragraph" w:styleId="ListParagraph">
    <w:name w:val="List Paragraph"/>
    <w:basedOn w:val="Normal"/>
    <w:uiPriority w:val="34"/>
    <w:qFormat/>
    <w:rsid w:val="002726AB"/>
    <w:pPr>
      <w:ind w:left="720"/>
      <w:contextualSpacing/>
    </w:pPr>
  </w:style>
  <w:style w:type="paragraph" w:customStyle="1" w:styleId="ACMAHeading3">
    <w:name w:val="ACMA Heading 3"/>
    <w:next w:val="Normal"/>
    <w:rsid w:val="002726AB"/>
    <w:pPr>
      <w:keepNext/>
      <w:suppressAutoHyphens/>
      <w:spacing w:before="240"/>
      <w:outlineLvl w:val="3"/>
    </w:pPr>
    <w:rPr>
      <w:rFonts w:ascii="Arial" w:eastAsia="Times New Roman" w:hAnsi="Arial"/>
      <w:b/>
      <w:sz w:val="24"/>
      <w:lang w:val="en-US" w:eastAsia="en-US"/>
    </w:rPr>
  </w:style>
  <w:style w:type="paragraph" w:styleId="Header">
    <w:name w:val="header"/>
    <w:basedOn w:val="Normal"/>
    <w:link w:val="HeaderChar"/>
    <w:uiPriority w:val="99"/>
    <w:semiHidden/>
    <w:unhideWhenUsed/>
    <w:rsid w:val="0034736E"/>
    <w:pPr>
      <w:tabs>
        <w:tab w:val="center" w:pos="4513"/>
        <w:tab w:val="right" w:pos="9026"/>
      </w:tabs>
    </w:pPr>
  </w:style>
  <w:style w:type="character" w:customStyle="1" w:styleId="HeaderChar">
    <w:name w:val="Header Char"/>
    <w:basedOn w:val="DefaultParagraphFont"/>
    <w:link w:val="Header"/>
    <w:uiPriority w:val="99"/>
    <w:semiHidden/>
    <w:rsid w:val="0034736E"/>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34736E"/>
    <w:pPr>
      <w:tabs>
        <w:tab w:val="center" w:pos="4513"/>
        <w:tab w:val="right" w:pos="9026"/>
      </w:tabs>
    </w:pPr>
  </w:style>
  <w:style w:type="character" w:customStyle="1" w:styleId="FooterChar">
    <w:name w:val="Footer Char"/>
    <w:basedOn w:val="DefaultParagraphFont"/>
    <w:link w:val="Footer"/>
    <w:uiPriority w:val="99"/>
    <w:rsid w:val="0034736E"/>
    <w:rPr>
      <w:rFonts w:ascii="Times New Roman" w:eastAsia="Times New Roman" w:hAnsi="Times New Roman" w:cs="Times New Roman"/>
      <w:sz w:val="24"/>
      <w:szCs w:val="24"/>
      <w:lang w:eastAsia="en-AU"/>
    </w:rPr>
  </w:style>
  <w:style w:type="paragraph" w:styleId="BodyText">
    <w:name w:val="Body Text"/>
    <w:basedOn w:val="Normal"/>
    <w:link w:val="BodyTextChar"/>
    <w:rsid w:val="00C7357D"/>
    <w:pPr>
      <w:spacing w:after="120"/>
    </w:pPr>
    <w:rPr>
      <w:szCs w:val="20"/>
    </w:rPr>
  </w:style>
  <w:style w:type="character" w:customStyle="1" w:styleId="BodyTextChar">
    <w:name w:val="Body Text Char"/>
    <w:basedOn w:val="DefaultParagraphFont"/>
    <w:link w:val="BodyText"/>
    <w:rsid w:val="00C7357D"/>
    <w:rPr>
      <w:rFonts w:ascii="Times New Roman" w:eastAsia="Times New Roman" w:hAnsi="Times New Roman"/>
      <w:sz w:val="24"/>
    </w:rPr>
  </w:style>
  <w:style w:type="paragraph" w:styleId="Revision">
    <w:name w:val="Revision"/>
    <w:hidden/>
    <w:uiPriority w:val="99"/>
    <w:semiHidden/>
    <w:rsid w:val="00B12837"/>
    <w:rPr>
      <w:rFonts w:ascii="Times New Roman" w:eastAsia="Times New Roman" w:hAnsi="Times New Roman"/>
      <w:sz w:val="24"/>
      <w:szCs w:val="24"/>
    </w:rPr>
  </w:style>
  <w:style w:type="paragraph" w:customStyle="1" w:styleId="ACMANumberedList">
    <w:name w:val="ACMA Numbered List"/>
    <w:rsid w:val="001A6FD9"/>
    <w:pPr>
      <w:numPr>
        <w:numId w:val="4"/>
      </w:numPr>
      <w:spacing w:before="20" w:after="20"/>
    </w:pPr>
    <w:rPr>
      <w:rFonts w:ascii="Times New Roman" w:eastAsia="Times New Roman" w:hAnsi="Times New Roman"/>
      <w:sz w:val="24"/>
      <w:lang w:eastAsia="en-US"/>
    </w:rPr>
  </w:style>
  <w:style w:type="character" w:styleId="Hyperlink">
    <w:name w:val="Hyperlink"/>
    <w:basedOn w:val="DefaultParagraphFont"/>
    <w:uiPriority w:val="99"/>
    <w:unhideWhenUsed/>
    <w:rsid w:val="001A6FD9"/>
    <w:rPr>
      <w:color w:val="0000FF"/>
      <w:u w:val="single"/>
    </w:rPr>
  </w:style>
  <w:style w:type="character" w:styleId="Emphasis">
    <w:name w:val="Emphasis"/>
    <w:basedOn w:val="DefaultParagraphFont"/>
    <w:uiPriority w:val="20"/>
    <w:qFormat/>
    <w:rsid w:val="000F3AA1"/>
    <w:rPr>
      <w:i/>
      <w:iCs/>
    </w:rPr>
  </w:style>
  <w:style w:type="character" w:customStyle="1" w:styleId="apple-converted-space">
    <w:name w:val="apple-converted-space"/>
    <w:basedOn w:val="DefaultParagraphFont"/>
    <w:rsid w:val="000F3A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033047a-93aa-421b-8aef-52cbfb63cf36" ContentTypeId="0x01010070E27D6A746B5B48ADF22C2128054D55" PreviousValue="false"/>
</file>

<file path=customXml/item2.xml><?xml version="1.0" encoding="utf-8"?>
<p:properties xmlns:p="http://schemas.microsoft.com/office/2006/metadata/properties" xmlns:xsi="http://www.w3.org/2001/XMLSchema-instance" xmlns:pc="http://schemas.microsoft.com/office/infopath/2007/PartnerControls">
  <documentManagement>
    <Record_x0020_Number xmlns="83630db1-6fc2-4dfd-b3fe-d61d34e1440c">ER2013/024357</Record_x0020_Number>
    <Legacy_x0020_Record_x0020_Number xmlns="83630db1-6fc2-4dfd-b3fe-d61d34e1440c" xsi:nil="true"/>
    <IconOverlay xmlns="http://schemas.microsoft.com/sharepoint/v4" xsi:nil="true"/>
    <_dlc_DocId xmlns="6db8f3c6-01a1-4322-b043-a3b2a190f7a8">KNAH4PPFC442-1945-572</_dlc_DocId>
    <_dlc_DocIdUrl xmlns="6db8f3c6-01a1-4322-b043-a3b2a190f7a8">
      <Url>http://collaboration/organisation/Auth/Chair/Auth/_layouts/DocIdRedir.aspx?ID=KNAH4PPFC442-1945-572</Url>
      <Description>KNAH4PPFC442-1945-572</Description>
    </_dlc_DocIdUrl>
    <Category xmlns="5e268b55-9e20-462b-aba6-694451a37717">(none)</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ecord" ma:contentTypeID="0x01010070E27D6A746B5B48ADF22C2128054D5500020C07817F1F68498B2166EE12B17A57" ma:contentTypeVersion="35" ma:contentTypeDescription="A document enhanced so that it is automatically captured by RecordPoint." ma:contentTypeScope="" ma:versionID="e7e4629d89fad1c8ff1348d29791285f">
  <xsd:schema xmlns:xsd="http://www.w3.org/2001/XMLSchema" xmlns:xs="http://www.w3.org/2001/XMLSchema" xmlns:p="http://schemas.microsoft.com/office/2006/metadata/properties" xmlns:ns2="83630db1-6fc2-4dfd-b3fe-d61d34e1440c" xmlns:ns3="6db8f3c6-01a1-4322-b043-a3b2a190f7a8" xmlns:ns4="5e268b55-9e20-462b-aba6-694451a37717" xmlns:ns5="http://schemas.microsoft.com/sharepoint/v4" targetNamespace="http://schemas.microsoft.com/office/2006/metadata/properties" ma:root="true" ma:fieldsID="d30610679a7f49b9b50f4c260411420f" ns2:_="" ns3:_="" ns4:_="" ns5:_="">
    <xsd:import namespace="83630db1-6fc2-4dfd-b3fe-d61d34e1440c"/>
    <xsd:import namespace="6db8f3c6-01a1-4322-b043-a3b2a190f7a8"/>
    <xsd:import namespace="5e268b55-9e20-462b-aba6-694451a37717"/>
    <xsd:import namespace="http://schemas.microsoft.com/sharepoint/v4"/>
    <xsd:element name="properties">
      <xsd:complexType>
        <xsd:sequence>
          <xsd:element name="documentManagement">
            <xsd:complexType>
              <xsd:all>
                <xsd:element ref="ns2:Legacy_x0020_Record_x0020_Number" minOccurs="0"/>
                <xsd:element ref="ns2:Record_x0020_Number" minOccurs="0"/>
                <xsd:element ref="ns3:_dlc_DocId" minOccurs="0"/>
                <xsd:element ref="ns3:_dlc_DocIdUrl" minOccurs="0"/>
                <xsd:element ref="ns3:_dlc_DocIdPersistId" minOccurs="0"/>
                <xsd:element ref="ns4:Category"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30db1-6fc2-4dfd-b3fe-d61d34e1440c" elementFormDefault="qualified">
    <xsd:import namespace="http://schemas.microsoft.com/office/2006/documentManagement/types"/>
    <xsd:import namespace="http://schemas.microsoft.com/office/infopath/2007/PartnerControls"/>
    <xsd:element name="Legacy_x0020_Record_x0020_Number" ma:index="8" nillable="true" ma:displayName="Legacy Record Number" ma:description="Captures legacy record numbers, eg from TRIM." ma:internalName="Legacy_x0020_Record_x0020_Number">
      <xsd:simpleType>
        <xsd:restriction base="dms:Text">
          <xsd:maxLength value="40"/>
        </xsd:restriction>
      </xsd:simpleType>
    </xsd:element>
    <xsd:element name="Record_x0020_Number" ma:index="9" nillable="true" ma:displayName="Record Number" ma:internalName="Record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b8f3c6-01a1-4322-b043-a3b2a190f7a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268b55-9e20-462b-aba6-694451a37717" elementFormDefault="qualified">
    <xsd:import namespace="http://schemas.microsoft.com/office/2006/documentManagement/types"/>
    <xsd:import namespace="http://schemas.microsoft.com/office/infopath/2007/PartnerControls"/>
    <xsd:element name="Category" ma:index="13" nillable="true" ma:displayName="Category" ma:default="(none)" ma:format="Dropdown" ma:internalName="Category">
      <xsd:simpleType>
        <xsd:restriction base="dms:Choice">
          <xsd:enumeration value="Authority Agenda"/>
          <xsd:enumeration value="Strategy Session Agenda"/>
          <xsd:enumeration value="(non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FD5E3-9502-4074-B1AE-8F12619C09B5}">
  <ds:schemaRefs>
    <ds:schemaRef ds:uri="Microsoft.SharePoint.Taxonomy.ContentTypeSync"/>
  </ds:schemaRefs>
</ds:datastoreItem>
</file>

<file path=customXml/itemProps2.xml><?xml version="1.0" encoding="utf-8"?>
<ds:datastoreItem xmlns:ds="http://schemas.openxmlformats.org/officeDocument/2006/customXml" ds:itemID="{045495A9-03C1-4B8D-BA68-4E6C94F5D35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83630db1-6fc2-4dfd-b3fe-d61d34e1440c"/>
    <ds:schemaRef ds:uri="6db8f3c6-01a1-4322-b043-a3b2a190f7a8"/>
    <ds:schemaRef ds:uri="5e268b55-9e20-462b-aba6-694451a37717"/>
    <ds:schemaRef ds:uri="http://schemas.microsoft.com/sharepoint/v4"/>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0E966307-8AD3-4F0E-9D88-93A38EAB7B8F}">
  <ds:schemaRefs>
    <ds:schemaRef ds:uri="http://schemas.microsoft.com/sharepoint/v3/contenttype/forms"/>
  </ds:schemaRefs>
</ds:datastoreItem>
</file>

<file path=customXml/itemProps4.xml><?xml version="1.0" encoding="utf-8"?>
<ds:datastoreItem xmlns:ds="http://schemas.openxmlformats.org/officeDocument/2006/customXml" ds:itemID="{E27006D8-1769-498B-9D4E-1BB60418458E}">
  <ds:schemaRefs>
    <ds:schemaRef ds:uri="http://schemas.microsoft.com/sharepoint/events"/>
  </ds:schemaRefs>
</ds:datastoreItem>
</file>

<file path=customXml/itemProps5.xml><?xml version="1.0" encoding="utf-8"?>
<ds:datastoreItem xmlns:ds="http://schemas.openxmlformats.org/officeDocument/2006/customXml" ds:itemID="{5A18D46D-F6D6-4648-9809-1A25BEC4F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30db1-6fc2-4dfd-b3fe-d61d34e1440c"/>
    <ds:schemaRef ds:uri="6db8f3c6-01a1-4322-b043-a3b2a190f7a8"/>
    <ds:schemaRef ds:uri="5e268b55-9e20-462b-aba6-694451a3771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88FA983-0374-4C8F-A7E6-D4C17352B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1290</Words>
  <Characters>7353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TLN Amendment ES</vt:lpstr>
    </vt:vector>
  </TitlesOfParts>
  <LinksUpToDate>false</LinksUpToDate>
  <CharactersWithSpaces>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2010-09-07T23:00:00Z</cp:lastPrinted>
  <dcterms:created xsi:type="dcterms:W3CDTF">2013-06-19T05:19:00Z</dcterms:created>
  <dcterms:modified xsi:type="dcterms:W3CDTF">2013-06-19T05:19:00Z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0x01010070E27D6A746B5B48ADF22C2128054D5500020C07817F1F68498B2166EE12B17A57</vt:lpwstr>
  </property>
  <property fmtid="{D5CDD505-2E9C-101B-9397-08002B2CF9AE}" pid="3" name="_dlc_DocIdItemGuid">
    <vt:lpwstr>ccb57322-65a6-41e1-8218-bd20fbb0b5bf</vt:lpwstr>
  </property>
  <property fmtid="{D5CDD505-2E9C-101B-9397-08002B2CF9AE}" pid="4" name="RecordPoint_SubmissionDate">
    <vt:lpwstr/>
  </property>
  <property fmtid="{D5CDD505-2E9C-101B-9397-08002B2CF9AE}" pid="5" name="RecordPoint_ActiveItemSiteId">
    <vt:lpwstr>{7ba5f3c1-1ab9-4cc3-a7c0-334d2b0aec73}</vt:lpwstr>
  </property>
  <property fmtid="{D5CDD505-2E9C-101B-9397-08002B2CF9AE}" pid="6" name="RecordPoint_ActiveItemListId">
    <vt:lpwstr>{12ea2e24-8e38-48f0-8667-2a35c1c96989}</vt:lpwstr>
  </property>
  <property fmtid="{D5CDD505-2E9C-101B-9397-08002B2CF9AE}" pid="7" name="RecordPoint_ActiveItemMoved">
    <vt:lpwstr/>
  </property>
  <property fmtid="{D5CDD505-2E9C-101B-9397-08002B2CF9AE}" pid="8" name="RecordPoint_ActiveItemUniqueId">
    <vt:lpwstr>{ccb57322-65a6-41e1-8218-bd20fbb0b5bf}</vt:lpwstr>
  </property>
  <property fmtid="{D5CDD505-2E9C-101B-9397-08002B2CF9AE}" pid="9" name="RecordPoint_SubmissionCompleted">
    <vt:lpwstr>2013-06-18T10:56:27.7940607+10:00</vt:lpwstr>
  </property>
  <property fmtid="{D5CDD505-2E9C-101B-9397-08002B2CF9AE}" pid="10" name="RecordPoint_RecordFormat">
    <vt:lpwstr/>
  </property>
  <property fmtid="{D5CDD505-2E9C-101B-9397-08002B2CF9AE}" pid="11" name="RecordPoint_ActiveItemWebId">
    <vt:lpwstr>{e61cc4da-a431-400f-9f48-bf2ba12a7e9a}</vt:lpwstr>
  </property>
  <property fmtid="{D5CDD505-2E9C-101B-9397-08002B2CF9AE}" pid="12" name="RecordPoint_WorkflowType">
    <vt:lpwstr>ActiveSubmitStub</vt:lpwstr>
  </property>
</Properties>
</file>