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F0" w:rsidRDefault="005E67E9" w:rsidP="00744E6B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Banking exemption </w:t>
      </w:r>
      <w:r w:rsidR="00F86DAE">
        <w:rPr>
          <w:rFonts w:ascii="Times New Roman" w:hAnsi="Times New Roman" w:cs="Times New Roman"/>
          <w:sz w:val="24"/>
          <w:szCs w:val="24"/>
        </w:rPr>
        <w:t>No</w:t>
      </w:r>
      <w:r w:rsidR="00B92BA9">
        <w:rPr>
          <w:rFonts w:ascii="Times New Roman" w:hAnsi="Times New Roman" w:cs="Times New Roman"/>
          <w:sz w:val="24"/>
          <w:szCs w:val="24"/>
        </w:rPr>
        <w:t>.</w:t>
      </w:r>
      <w:r w:rsidR="00F86DAE">
        <w:rPr>
          <w:rFonts w:ascii="Times New Roman" w:hAnsi="Times New Roman" w:cs="Times New Roman"/>
          <w:sz w:val="24"/>
          <w:szCs w:val="24"/>
        </w:rPr>
        <w:t xml:space="preserve"> </w:t>
      </w:r>
      <w:r w:rsidR="00C63AFF">
        <w:rPr>
          <w:rFonts w:ascii="Times New Roman" w:hAnsi="Times New Roman" w:cs="Times New Roman"/>
          <w:sz w:val="24"/>
          <w:szCs w:val="24"/>
        </w:rPr>
        <w:t>1</w:t>
      </w:r>
      <w:r w:rsidR="00F86DAE">
        <w:rPr>
          <w:rFonts w:ascii="Times New Roman" w:hAnsi="Times New Roman" w:cs="Times New Roman"/>
          <w:sz w:val="24"/>
          <w:szCs w:val="24"/>
        </w:rPr>
        <w:t xml:space="preserve"> of 20</w:t>
      </w:r>
      <w:r w:rsidR="00B331AE">
        <w:rPr>
          <w:rFonts w:ascii="Times New Roman" w:hAnsi="Times New Roman" w:cs="Times New Roman"/>
          <w:sz w:val="24"/>
          <w:szCs w:val="24"/>
        </w:rPr>
        <w:t>1</w:t>
      </w:r>
      <w:r w:rsidR="00D07DD9">
        <w:rPr>
          <w:rFonts w:ascii="Times New Roman" w:hAnsi="Times New Roman" w:cs="Times New Roman"/>
          <w:sz w:val="24"/>
          <w:szCs w:val="24"/>
        </w:rPr>
        <w:t>3</w:t>
      </w:r>
    </w:p>
    <w:p w:rsidR="005941E1" w:rsidRPr="008B7528" w:rsidRDefault="005941E1" w:rsidP="00D12FBD">
      <w:pPr>
        <w:pStyle w:val="Head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bkInstrumentSubTitle"/>
      <w:bookmarkStart w:id="2" w:name="bkStart"/>
      <w:bookmarkEnd w:id="1"/>
      <w:bookmarkEnd w:id="2"/>
      <w:r w:rsidRPr="008B7528">
        <w:rPr>
          <w:rFonts w:ascii="Times New Roman" w:hAnsi="Times New Roman" w:cs="Times New Roman"/>
          <w:sz w:val="24"/>
          <w:szCs w:val="24"/>
          <w:u w:val="single"/>
        </w:rPr>
        <w:t>EXPLANATORY STATEMENT</w:t>
      </w:r>
    </w:p>
    <w:p w:rsidR="00102F9E" w:rsidRDefault="005941E1" w:rsidP="005941E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by the Australian Prudential Regulation Authority</w:t>
      </w:r>
      <w:r w:rsidR="00102F9E">
        <w:rPr>
          <w:rFonts w:ascii="Times New Roman" w:hAnsi="Times New Roman" w:cs="Times New Roman"/>
          <w:sz w:val="24"/>
          <w:szCs w:val="24"/>
        </w:rPr>
        <w:t xml:space="preserve"> </w:t>
      </w:r>
      <w:r w:rsidR="005E67E9">
        <w:rPr>
          <w:rFonts w:ascii="Times New Roman" w:hAnsi="Times New Roman" w:cs="Times New Roman"/>
          <w:sz w:val="24"/>
          <w:szCs w:val="24"/>
        </w:rPr>
        <w:t>(APRA)</w:t>
      </w:r>
    </w:p>
    <w:p w:rsidR="005E67E9" w:rsidRPr="005E67E9" w:rsidRDefault="005E67E9" w:rsidP="00D12FB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E67E9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Banking Act 1959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67E9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Pr="005E67E9">
        <w:rPr>
          <w:rFonts w:ascii="Times New Roman" w:hAnsi="Times New Roman" w:cs="Times New Roman"/>
          <w:b w:val="0"/>
          <w:color w:val="000000"/>
          <w:sz w:val="24"/>
          <w:szCs w:val="24"/>
        </w:rPr>
        <w:t>subsection 11(</w:t>
      </w:r>
      <w:r w:rsidR="0045045E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Pr="005E67E9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5E67E9" w:rsidRPr="00BC7834" w:rsidRDefault="005E67E9" w:rsidP="001C001C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3" w:name="bkAct"/>
      <w:bookmarkStart w:id="4" w:name="bkExplanatory"/>
      <w:bookmarkEnd w:id="3"/>
      <w:bookmarkEnd w:id="4"/>
      <w:r w:rsidRPr="00BC7834">
        <w:rPr>
          <w:rFonts w:ascii="Times New Roman" w:hAnsi="Times New Roman" w:cs="Times New Roman"/>
          <w:b w:val="0"/>
          <w:sz w:val="24"/>
          <w:szCs w:val="24"/>
        </w:rPr>
        <w:t xml:space="preserve">Under subsection 11(1) of the </w:t>
      </w:r>
      <w:r w:rsidRPr="00BC7834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Banking Act 1959 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r w:rsidR="008B2323">
        <w:rPr>
          <w:rFonts w:ascii="Times New Roman" w:hAnsi="Times New Roman" w:cs="Times New Roman"/>
          <w:color w:val="000000"/>
          <w:sz w:val="24"/>
          <w:szCs w:val="24"/>
        </w:rPr>
        <w:t xml:space="preserve">Banking </w:t>
      </w:r>
      <w:r w:rsidRPr="00BC7834">
        <w:rPr>
          <w:rFonts w:ascii="Times New Roman" w:hAnsi="Times New Roman" w:cs="Times New Roman"/>
          <w:color w:val="000000"/>
          <w:sz w:val="24"/>
          <w:szCs w:val="24"/>
        </w:rPr>
        <w:t>Act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), APRA </w:t>
      </w:r>
      <w:r w:rsidR="00F70A13" w:rsidRPr="00145A8A">
        <w:rPr>
          <w:rFonts w:ascii="Times New Roman" w:hAnsi="Times New Roman" w:cs="Times New Roman"/>
          <w:b w:val="0"/>
          <w:sz w:val="24"/>
          <w:szCs w:val="24"/>
        </w:rPr>
        <w:t xml:space="preserve">may, in writing, determine that any or all of the provisions of the </w:t>
      </w:r>
      <w:r w:rsidR="008B2323">
        <w:rPr>
          <w:rFonts w:ascii="Times New Roman" w:hAnsi="Times New Roman" w:cs="Times New Roman"/>
          <w:b w:val="0"/>
          <w:sz w:val="24"/>
          <w:szCs w:val="24"/>
        </w:rPr>
        <w:t xml:space="preserve">Banking </w:t>
      </w:r>
      <w:r w:rsidR="00F70A13" w:rsidRPr="00145A8A">
        <w:rPr>
          <w:rFonts w:ascii="Times New Roman" w:hAnsi="Times New Roman" w:cs="Times New Roman"/>
          <w:b w:val="0"/>
          <w:sz w:val="24"/>
          <w:szCs w:val="24"/>
        </w:rPr>
        <w:t>Act referred to in paragraphs 11(1</w:t>
      </w:r>
      <w:proofErr w:type="gramStart"/>
      <w:r w:rsidR="00F70A13" w:rsidRPr="00145A8A">
        <w:rPr>
          <w:rFonts w:ascii="Times New Roman" w:hAnsi="Times New Roman" w:cs="Times New Roman"/>
          <w:b w:val="0"/>
          <w:sz w:val="24"/>
          <w:szCs w:val="24"/>
        </w:rPr>
        <w:t>)(</w:t>
      </w:r>
      <w:proofErr w:type="gramEnd"/>
      <w:r w:rsidR="00F70A13" w:rsidRPr="00145A8A">
        <w:rPr>
          <w:rFonts w:ascii="Times New Roman" w:hAnsi="Times New Roman" w:cs="Times New Roman"/>
          <w:b w:val="0"/>
          <w:sz w:val="24"/>
          <w:szCs w:val="24"/>
        </w:rPr>
        <w:t>a) to (e) do not apply to a person while the determination is in force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Under subsection 11(4) of the </w:t>
      </w:r>
      <w:r w:rsidR="008B232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Banking 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Act, APRA may, </w:t>
      </w:r>
      <w:r w:rsidR="002C3824">
        <w:rPr>
          <w:rFonts w:ascii="Times New Roman" w:hAnsi="Times New Roman" w:cs="Times New Roman"/>
          <w:b w:val="0"/>
          <w:color w:val="000000"/>
          <w:sz w:val="24"/>
          <w:szCs w:val="24"/>
        </w:rPr>
        <w:t>in writing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>, vary or revoke a</w:t>
      </w:r>
      <w:r w:rsidR="00126F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determination made under </w:t>
      </w:r>
      <w:r w:rsidR="00D100D6">
        <w:rPr>
          <w:rFonts w:ascii="Times New Roman" w:hAnsi="Times New Roman" w:cs="Times New Roman"/>
          <w:b w:val="0"/>
          <w:color w:val="000000"/>
          <w:sz w:val="24"/>
          <w:szCs w:val="24"/>
        </w:rPr>
        <w:t>sub</w:t>
      </w:r>
      <w:r w:rsidR="00126F51">
        <w:rPr>
          <w:rFonts w:ascii="Times New Roman" w:hAnsi="Times New Roman" w:cs="Times New Roman"/>
          <w:b w:val="0"/>
          <w:color w:val="000000"/>
          <w:sz w:val="24"/>
          <w:szCs w:val="24"/>
        </w:rPr>
        <w:t>section 11</w:t>
      </w:r>
      <w:r w:rsidR="00A9578D">
        <w:rPr>
          <w:rFonts w:ascii="Times New Roman" w:hAnsi="Times New Roman" w:cs="Times New Roman"/>
          <w:b w:val="0"/>
          <w:color w:val="000000"/>
          <w:sz w:val="24"/>
          <w:szCs w:val="24"/>
        </w:rPr>
        <w:t>(1)</w:t>
      </w:r>
      <w:r w:rsidRPr="00BC78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5E67E9" w:rsidRPr="00BC7834" w:rsidRDefault="005E67E9" w:rsidP="001C001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7834">
        <w:rPr>
          <w:rFonts w:ascii="Times New Roman" w:hAnsi="Times New Roman" w:cs="Times New Roman"/>
          <w:b w:val="0"/>
          <w:sz w:val="24"/>
          <w:szCs w:val="24"/>
        </w:rPr>
        <w:t xml:space="preserve">Banking exemption </w:t>
      </w:r>
      <w:r w:rsidR="00D12FBD" w:rsidRPr="00BC7834">
        <w:rPr>
          <w:rFonts w:ascii="Times New Roman" w:hAnsi="Times New Roman" w:cs="Times New Roman"/>
          <w:b w:val="0"/>
          <w:sz w:val="24"/>
          <w:szCs w:val="24"/>
        </w:rPr>
        <w:t>No</w:t>
      </w:r>
      <w:r w:rsidR="00E87CE6" w:rsidRPr="00BC783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1</w:t>
      </w:r>
      <w:r w:rsidR="00F86DAE" w:rsidRPr="00BC7834">
        <w:rPr>
          <w:rFonts w:ascii="Times New Roman" w:hAnsi="Times New Roman" w:cs="Times New Roman"/>
          <w:b w:val="0"/>
          <w:sz w:val="24"/>
          <w:szCs w:val="24"/>
        </w:rPr>
        <w:t xml:space="preserve"> of 20</w:t>
      </w:r>
      <w:r w:rsidR="00B331AE">
        <w:rPr>
          <w:rFonts w:ascii="Times New Roman" w:hAnsi="Times New Roman" w:cs="Times New Roman"/>
          <w:b w:val="0"/>
          <w:sz w:val="24"/>
          <w:szCs w:val="24"/>
        </w:rPr>
        <w:t>1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>3</w:t>
      </w:r>
      <w:r w:rsidRPr="00BC783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933AC" w:rsidRPr="001933AC">
        <w:rPr>
          <w:rFonts w:ascii="Times New Roman" w:hAnsi="Times New Roman" w:cs="Times New Roman"/>
          <w:sz w:val="24"/>
          <w:szCs w:val="24"/>
        </w:rPr>
        <w:t>2013</w:t>
      </w:r>
      <w:r w:rsidR="002D22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53C4">
        <w:rPr>
          <w:rFonts w:ascii="Times New Roman" w:hAnsi="Times New Roman" w:cs="Times New Roman"/>
          <w:sz w:val="24"/>
          <w:szCs w:val="24"/>
        </w:rPr>
        <w:t>Exemption</w:t>
      </w:r>
      <w:r w:rsidRPr="00BC7834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is a new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 xml:space="preserve">determination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>and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2AE1" w:rsidRPr="005E67E9">
        <w:rPr>
          <w:rFonts w:ascii="Times New Roman" w:hAnsi="Times New Roman" w:cs="Times New Roman"/>
          <w:b w:val="0"/>
          <w:sz w:val="24"/>
          <w:szCs w:val="24"/>
        </w:rPr>
        <w:t xml:space="preserve">will come into force 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>on</w:t>
      </w:r>
      <w:r w:rsidR="00A62AE1" w:rsidRPr="005E67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>2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7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 June 2013</w:t>
      </w:r>
      <w:r w:rsidR="001933AC" w:rsidRPr="001933A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941E1" w:rsidRPr="00BC7834" w:rsidRDefault="005941E1" w:rsidP="001C001C">
      <w:pPr>
        <w:pStyle w:val="Heading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834">
        <w:rPr>
          <w:rFonts w:ascii="Times New Roman" w:hAnsi="Times New Roman" w:cs="Times New Roman"/>
          <w:sz w:val="24"/>
          <w:szCs w:val="24"/>
        </w:rPr>
        <w:t>Background</w:t>
      </w:r>
    </w:p>
    <w:p w:rsidR="00A62AE1" w:rsidRDefault="00B000B9" w:rsidP="00A62AE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bkBackground"/>
      <w:bookmarkEnd w:id="5"/>
      <w:r w:rsidRPr="00B000B9">
        <w:rPr>
          <w:rFonts w:ascii="Times New Roman" w:hAnsi="Times New Roman" w:cs="Times New Roman"/>
          <w:b w:val="0"/>
          <w:sz w:val="24"/>
          <w:szCs w:val="24"/>
        </w:rPr>
        <w:t xml:space="preserve">Under section 7 of the Banking Act, it is an offence for a person who is not a body corporate to carry on banking business in Australia except where there is a determination in force under section 11 of the Banking Act that section 7 does not apply to the person.  Under section 8 of the Banking Act, it is an offence for a body corporate to carry on banking business in Australia if the body corporate is not an authorised deposit-taking institution or the Reserve Bank, except where there is a determination in force under section 11 of the Banking Act that section 8 does not apply to the body corporate.  </w:t>
      </w:r>
    </w:p>
    <w:p w:rsidR="00A62AE1" w:rsidRDefault="002D22F6" w:rsidP="00A62AE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Banking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53C4">
        <w:rPr>
          <w:rFonts w:ascii="Times New Roman" w:hAnsi="Times New Roman" w:cs="Times New Roman"/>
          <w:b w:val="0"/>
          <w:sz w:val="24"/>
          <w:szCs w:val="24"/>
        </w:rPr>
        <w:t xml:space="preserve">exemption 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No.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>1 of 2011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933AC" w:rsidRPr="001933AC">
        <w:rPr>
          <w:rFonts w:ascii="Times New Roman" w:hAnsi="Times New Roman" w:cs="Times New Roman"/>
          <w:sz w:val="24"/>
          <w:szCs w:val="24"/>
        </w:rPr>
        <w:t>2011 Exemption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 determined that the 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>R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eligious 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C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haritable 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D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evelopment 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F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unds listed in Schedule 1 of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that </w:t>
      </w:r>
      <w:r w:rsidR="00335F4E">
        <w:rPr>
          <w:rFonts w:ascii="Times New Roman" w:hAnsi="Times New Roman" w:cs="Times New Roman"/>
          <w:b w:val="0"/>
          <w:sz w:val="24"/>
          <w:szCs w:val="24"/>
        </w:rPr>
        <w:t>d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etermination are exempt </w:t>
      </w:r>
      <w:proofErr w:type="gramStart"/>
      <w:r w:rsidR="00A62AE1">
        <w:rPr>
          <w:rFonts w:ascii="Times New Roman" w:hAnsi="Times New Roman" w:cs="Times New Roman"/>
          <w:b w:val="0"/>
          <w:sz w:val="24"/>
          <w:szCs w:val="24"/>
        </w:rPr>
        <w:t>from</w:t>
      </w:r>
      <w:proofErr w:type="gramEnd"/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 the prohibition</w:t>
      </w:r>
      <w:r w:rsidR="00B000B9">
        <w:rPr>
          <w:rFonts w:ascii="Times New Roman" w:hAnsi="Times New Roman" w:cs="Times New Roman"/>
          <w:b w:val="0"/>
          <w:sz w:val="24"/>
          <w:szCs w:val="24"/>
        </w:rPr>
        <w:t>s in section 7 and 8 of the Banking Act,</w:t>
      </w:r>
      <w:r w:rsidR="00A62AE1">
        <w:rPr>
          <w:rFonts w:ascii="Times New Roman" w:hAnsi="Times New Roman" w:cs="Times New Roman"/>
          <w:b w:val="0"/>
          <w:sz w:val="24"/>
          <w:szCs w:val="24"/>
        </w:rPr>
        <w:t xml:space="preserve"> provided that they comply with the conditions specified in Schedule 2 of </w:t>
      </w:r>
      <w:r w:rsidR="00F845E2">
        <w:rPr>
          <w:rFonts w:ascii="Times New Roman" w:hAnsi="Times New Roman" w:cs="Times New Roman"/>
          <w:b w:val="0"/>
          <w:sz w:val="24"/>
          <w:szCs w:val="24"/>
        </w:rPr>
        <w:t xml:space="preserve">that </w:t>
      </w:r>
      <w:r w:rsidR="00335F4E">
        <w:rPr>
          <w:rFonts w:ascii="Times New Roman" w:hAnsi="Times New Roman" w:cs="Times New Roman"/>
          <w:b w:val="0"/>
          <w:sz w:val="24"/>
          <w:szCs w:val="24"/>
        </w:rPr>
        <w:t>d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etermination. </w:t>
      </w:r>
      <w:r>
        <w:rPr>
          <w:rFonts w:ascii="Times New Roman" w:hAnsi="Times New Roman" w:cs="Times New Roman"/>
          <w:b w:val="0"/>
          <w:sz w:val="24"/>
          <w:szCs w:val="24"/>
        </w:rPr>
        <w:t>The 2011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 xml:space="preserve">Exemption 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>will expire on 2</w:t>
      </w:r>
      <w:r w:rsidR="00054D89">
        <w:rPr>
          <w:rFonts w:ascii="Times New Roman" w:hAnsi="Times New Roman" w:cs="Times New Roman"/>
          <w:b w:val="0"/>
          <w:sz w:val="24"/>
          <w:szCs w:val="24"/>
        </w:rPr>
        <w:t>6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 June 2013.</w:t>
      </w:r>
    </w:p>
    <w:p w:rsidR="00FB4746" w:rsidRPr="00BC7834" w:rsidRDefault="00356B67" w:rsidP="00A62AE1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Religious Charitable Development Funds are funds </w:t>
      </w:r>
      <w:r w:rsidR="00FB4746">
        <w:rPr>
          <w:rFonts w:ascii="Times New Roman" w:hAnsi="Times New Roman" w:cs="Times New Roman"/>
          <w:b w:val="0"/>
          <w:sz w:val="24"/>
          <w:szCs w:val="24"/>
        </w:rPr>
        <w:t xml:space="preserve">that have been set up to borrow and use money for religious and charitable purposes. </w:t>
      </w:r>
      <w:proofErr w:type="gramStart"/>
      <w:r w:rsidR="00FB4746">
        <w:rPr>
          <w:rFonts w:ascii="Times New Roman" w:hAnsi="Times New Roman" w:cs="Times New Roman"/>
          <w:b w:val="0"/>
          <w:sz w:val="24"/>
          <w:szCs w:val="24"/>
        </w:rPr>
        <w:t xml:space="preserve">While the business of such entities has traditionally fallen within the definition of ‘banking business’ under </w:t>
      </w:r>
      <w:r w:rsidR="00C63AFF">
        <w:rPr>
          <w:rFonts w:ascii="Times New Roman" w:hAnsi="Times New Roman" w:cs="Times New Roman"/>
          <w:b w:val="0"/>
          <w:sz w:val="24"/>
          <w:szCs w:val="24"/>
        </w:rPr>
        <w:t>the Banking</w:t>
      </w:r>
      <w:r w:rsidR="008B23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4746">
        <w:rPr>
          <w:rFonts w:ascii="Times New Roman" w:hAnsi="Times New Roman" w:cs="Times New Roman"/>
          <w:b w:val="0"/>
          <w:sz w:val="24"/>
          <w:szCs w:val="24"/>
        </w:rPr>
        <w:t xml:space="preserve">Act, such entities have historically been exempt from the need to be authorised under the </w:t>
      </w:r>
      <w:r w:rsidR="008B2323">
        <w:rPr>
          <w:rFonts w:ascii="Times New Roman" w:hAnsi="Times New Roman" w:cs="Times New Roman"/>
          <w:b w:val="0"/>
          <w:sz w:val="24"/>
          <w:szCs w:val="24"/>
        </w:rPr>
        <w:t xml:space="preserve">Banking </w:t>
      </w:r>
      <w:r w:rsidR="00FB4746">
        <w:rPr>
          <w:rFonts w:ascii="Times New Roman" w:hAnsi="Times New Roman" w:cs="Times New Roman"/>
          <w:b w:val="0"/>
          <w:sz w:val="24"/>
          <w:szCs w:val="24"/>
        </w:rPr>
        <w:t>Act.</w:t>
      </w:r>
      <w:proofErr w:type="gramEnd"/>
      <w:r w:rsidR="00FB47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D22F6">
        <w:rPr>
          <w:rFonts w:ascii="Times New Roman" w:hAnsi="Times New Roman" w:cs="Times New Roman"/>
          <w:b w:val="0"/>
          <w:sz w:val="24"/>
          <w:szCs w:val="24"/>
        </w:rPr>
        <w:t xml:space="preserve"> The 2013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 xml:space="preserve">Exemption 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is intended to allow Religious Charitable Development Funds to operate under the same conditions as those currently attaching to </w:t>
      </w:r>
      <w:r w:rsidR="002D22F6">
        <w:rPr>
          <w:rFonts w:ascii="Times New Roman" w:hAnsi="Times New Roman" w:cs="Times New Roman"/>
          <w:b w:val="0"/>
          <w:sz w:val="24"/>
          <w:szCs w:val="24"/>
        </w:rPr>
        <w:t xml:space="preserve">the 2011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>Exemption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>.</w:t>
      </w:r>
      <w:r w:rsidR="009B34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APRA intends to make a new instrument with modified conditions on expiry of </w:t>
      </w:r>
      <w:r w:rsidR="002D22F6">
        <w:rPr>
          <w:rFonts w:ascii="Times New Roman" w:hAnsi="Times New Roman" w:cs="Times New Roman"/>
          <w:b w:val="0"/>
          <w:sz w:val="24"/>
          <w:szCs w:val="24"/>
        </w:rPr>
        <w:t xml:space="preserve">the 2013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>Exemption</w:t>
      </w:r>
      <w:r w:rsidR="0086018E">
        <w:rPr>
          <w:rFonts w:ascii="Times New Roman" w:hAnsi="Times New Roman" w:cs="Times New Roman"/>
          <w:b w:val="0"/>
          <w:sz w:val="24"/>
          <w:szCs w:val="24"/>
        </w:rPr>
        <w:t xml:space="preserve"> on 30 June 2014</w:t>
      </w:r>
      <w:r w:rsidR="00CD7865">
        <w:rPr>
          <w:rFonts w:ascii="Times New Roman" w:hAnsi="Times New Roman" w:cs="Times New Roman"/>
          <w:b w:val="0"/>
          <w:sz w:val="24"/>
          <w:szCs w:val="24"/>
        </w:rPr>
        <w:t>.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E67E9" w:rsidRPr="00BC7834" w:rsidRDefault="008B7528" w:rsidP="001C001C">
      <w:pPr>
        <w:pStyle w:val="Heading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7834">
        <w:rPr>
          <w:rFonts w:ascii="Times New Roman" w:hAnsi="Times New Roman" w:cs="Times New Roman"/>
          <w:sz w:val="24"/>
          <w:szCs w:val="24"/>
        </w:rPr>
        <w:t xml:space="preserve">Purpose of </w:t>
      </w:r>
      <w:r w:rsidR="00D07DD9">
        <w:rPr>
          <w:rFonts w:ascii="Times New Roman" w:hAnsi="Times New Roman" w:cs="Times New Roman"/>
          <w:sz w:val="24"/>
          <w:szCs w:val="24"/>
        </w:rPr>
        <w:t>making the</w:t>
      </w:r>
      <w:r w:rsidR="00ED1A15">
        <w:rPr>
          <w:rFonts w:ascii="Times New Roman" w:hAnsi="Times New Roman" w:cs="Times New Roman"/>
          <w:sz w:val="24"/>
          <w:szCs w:val="24"/>
        </w:rPr>
        <w:t xml:space="preserve"> </w:t>
      </w:r>
      <w:r w:rsidRPr="00BC7834">
        <w:rPr>
          <w:rFonts w:ascii="Times New Roman" w:hAnsi="Times New Roman" w:cs="Times New Roman"/>
          <w:sz w:val="24"/>
          <w:szCs w:val="24"/>
        </w:rPr>
        <w:t>instrument</w:t>
      </w:r>
      <w:bookmarkStart w:id="6" w:name="bkPurpose"/>
      <w:bookmarkStart w:id="7" w:name="bkoperation"/>
      <w:bookmarkStart w:id="8" w:name="bkConsultationNo"/>
      <w:bookmarkEnd w:id="6"/>
      <w:bookmarkEnd w:id="7"/>
      <w:bookmarkEnd w:id="8"/>
    </w:p>
    <w:p w:rsidR="00F24076" w:rsidRDefault="00A62AE1" w:rsidP="001933AC">
      <w:pPr>
        <w:pStyle w:val="Heading"/>
        <w:keepNext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The purpose of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>the 2013 Exemption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is to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continue to exempt </w:t>
      </w:r>
      <w:r w:rsidR="00612C58">
        <w:rPr>
          <w:rFonts w:ascii="Times New Roman" w:hAnsi="Times New Roman" w:cs="Times New Roman"/>
          <w:b w:val="0"/>
          <w:sz w:val="24"/>
          <w:szCs w:val="24"/>
        </w:rPr>
        <w:t>those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 Funds</w:t>
      </w:r>
      <w:r w:rsidR="00612C58">
        <w:rPr>
          <w:rFonts w:ascii="Times New Roman" w:hAnsi="Times New Roman" w:cs="Times New Roman"/>
          <w:b w:val="0"/>
          <w:sz w:val="24"/>
          <w:szCs w:val="24"/>
        </w:rPr>
        <w:t>, as applicable,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 xml:space="preserve"> listed in </w:t>
      </w:r>
      <w:r w:rsidR="00C71687">
        <w:rPr>
          <w:rFonts w:ascii="Times New Roman" w:hAnsi="Times New Roman" w:cs="Times New Roman"/>
          <w:b w:val="0"/>
          <w:sz w:val="24"/>
          <w:szCs w:val="24"/>
        </w:rPr>
        <w:t xml:space="preserve">the 2011 </w:t>
      </w:r>
      <w:r w:rsidR="00A0517E">
        <w:rPr>
          <w:rFonts w:ascii="Times New Roman" w:hAnsi="Times New Roman" w:cs="Times New Roman"/>
          <w:b w:val="0"/>
          <w:sz w:val="24"/>
          <w:szCs w:val="24"/>
        </w:rPr>
        <w:t xml:space="preserve">Exemption </w:t>
      </w:r>
      <w:r w:rsidR="00D07DD9">
        <w:rPr>
          <w:rFonts w:ascii="Times New Roman" w:hAnsi="Times New Roman" w:cs="Times New Roman"/>
          <w:b w:val="0"/>
          <w:sz w:val="24"/>
          <w:szCs w:val="24"/>
        </w:rPr>
        <w:t>from the prohibition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 xml:space="preserve">s in section 7 and 8 of the Banking Act </w:t>
      </w:r>
      <w:r w:rsidR="00612C58">
        <w:rPr>
          <w:rFonts w:ascii="Times New Roman" w:hAnsi="Times New Roman" w:cs="Times New Roman"/>
          <w:b w:val="0"/>
          <w:sz w:val="24"/>
          <w:szCs w:val="24"/>
        </w:rPr>
        <w:t>for a further period of one year</w:t>
      </w:r>
      <w:r w:rsidR="00B3638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03CDA">
        <w:rPr>
          <w:rFonts w:ascii="Times New Roman" w:hAnsi="Times New Roman" w:cs="Times New Roman"/>
          <w:b w:val="0"/>
          <w:sz w:val="24"/>
          <w:szCs w:val="24"/>
        </w:rPr>
        <w:t>The following</w:t>
      </w:r>
      <w:r w:rsidR="00B36389">
        <w:rPr>
          <w:rFonts w:ascii="Times New Roman" w:hAnsi="Times New Roman" w:cs="Times New Roman"/>
          <w:b w:val="0"/>
          <w:sz w:val="24"/>
          <w:szCs w:val="24"/>
        </w:rPr>
        <w:t xml:space="preserve"> funds</w:t>
      </w:r>
      <w:r w:rsidR="00F24076">
        <w:rPr>
          <w:rFonts w:ascii="Times New Roman" w:hAnsi="Times New Roman" w:cs="Times New Roman"/>
          <w:b w:val="0"/>
          <w:sz w:val="24"/>
          <w:szCs w:val="24"/>
        </w:rPr>
        <w:t xml:space="preserve"> listed in the 2011 Exemption have</w:t>
      </w:r>
      <w:r w:rsidR="00811BB6">
        <w:rPr>
          <w:rFonts w:ascii="Times New Roman" w:hAnsi="Times New Roman" w:cs="Times New Roman"/>
          <w:b w:val="0"/>
          <w:sz w:val="24"/>
          <w:szCs w:val="24"/>
        </w:rPr>
        <w:t xml:space="preserve"> since</w:t>
      </w:r>
      <w:r w:rsidR="00241EA0">
        <w:rPr>
          <w:rFonts w:ascii="Times New Roman" w:hAnsi="Times New Roman" w:cs="Times New Roman"/>
          <w:b w:val="0"/>
          <w:sz w:val="24"/>
          <w:szCs w:val="24"/>
        </w:rPr>
        <w:t xml:space="preserve"> ceased to operate</w:t>
      </w:r>
      <w:r w:rsidR="00F24076">
        <w:rPr>
          <w:rFonts w:ascii="Times New Roman" w:hAnsi="Times New Roman" w:cs="Times New Roman"/>
          <w:b w:val="0"/>
          <w:sz w:val="24"/>
          <w:szCs w:val="24"/>
        </w:rPr>
        <w:t xml:space="preserve">, and have been removed from the 2013 Exemption: </w:t>
      </w:r>
    </w:p>
    <w:p w:rsidR="00CC55EC" w:rsidRDefault="00F24076" w:rsidP="00CC55EC">
      <w:pPr>
        <w:pStyle w:val="Heading"/>
        <w:keepNext w:val="0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Murray Anglican Development Fund</w:t>
      </w:r>
      <w:r w:rsidR="00811BB6">
        <w:rPr>
          <w:rFonts w:ascii="Times New Roman" w:hAnsi="Times New Roman" w:cs="Times New Roman"/>
          <w:b w:val="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1BB6">
        <w:rPr>
          <w:rFonts w:ascii="Times New Roman" w:hAnsi="Times New Roman" w:cs="Times New Roman"/>
          <w:b w:val="0"/>
          <w:sz w:val="24"/>
          <w:szCs w:val="24"/>
        </w:rPr>
        <w:t>and</w:t>
      </w:r>
    </w:p>
    <w:p w:rsidR="00CC55EC" w:rsidRDefault="00F24076" w:rsidP="00CC55EC">
      <w:pPr>
        <w:pStyle w:val="Heading"/>
        <w:keepNext w:val="0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UCA </w:t>
      </w:r>
      <w:r w:rsidR="00811BB6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811BB6" w:rsidRPr="00F24076">
        <w:rPr>
          <w:rFonts w:ascii="Times New Roman" w:hAnsi="Times New Roman" w:cs="Times New Roman"/>
          <w:b w:val="0"/>
          <w:sz w:val="24"/>
          <w:szCs w:val="24"/>
        </w:rPr>
        <w:t>Investment</w:t>
      </w:r>
      <w:r w:rsidRPr="00F24076">
        <w:rPr>
          <w:rFonts w:ascii="Times New Roman" w:hAnsi="Times New Roman" w:cs="Times New Roman"/>
          <w:b w:val="0"/>
          <w:sz w:val="24"/>
          <w:szCs w:val="24"/>
        </w:rPr>
        <w:t xml:space="preserve"> Fund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(Presbytery of Canberra Region)</w:t>
      </w:r>
      <w:r w:rsidR="00811BB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54733F" w:rsidRDefault="00C318F5" w:rsidP="001933A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The 2013 Exemption has also been changed to reflect that the Anglican Development Fund Diocese of Canberra and Goulburn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changed its name to the Anglican Investment and Development Fund. </w:t>
      </w:r>
    </w:p>
    <w:p w:rsidR="001933AC" w:rsidRDefault="005E67E9" w:rsidP="001933AC">
      <w:pPr>
        <w:pStyle w:val="Heading"/>
        <w:jc w:val="both"/>
        <w:rPr>
          <w:rFonts w:ascii="Times New Roman" w:hAnsi="Times New Roman" w:cs="Times New Roman"/>
          <w:sz w:val="24"/>
          <w:szCs w:val="24"/>
        </w:rPr>
      </w:pPr>
      <w:r w:rsidRPr="00BC7834">
        <w:rPr>
          <w:rFonts w:ascii="Times New Roman" w:hAnsi="Times New Roman" w:cs="Times New Roman"/>
          <w:sz w:val="24"/>
          <w:szCs w:val="24"/>
        </w:rPr>
        <w:t>3</w:t>
      </w:r>
      <w:r w:rsidR="00056DFC" w:rsidRPr="00BC7834">
        <w:rPr>
          <w:rFonts w:ascii="Times New Roman" w:hAnsi="Times New Roman" w:cs="Times New Roman"/>
          <w:sz w:val="24"/>
          <w:szCs w:val="24"/>
        </w:rPr>
        <w:t>.</w:t>
      </w:r>
      <w:r w:rsidR="00056DFC" w:rsidRPr="00BC7834">
        <w:rPr>
          <w:rFonts w:ascii="Times New Roman" w:hAnsi="Times New Roman" w:cs="Times New Roman"/>
          <w:sz w:val="24"/>
          <w:szCs w:val="24"/>
        </w:rPr>
        <w:tab/>
      </w:r>
      <w:r w:rsidR="008B7528" w:rsidRPr="00BC7834">
        <w:rPr>
          <w:rFonts w:ascii="Times New Roman" w:hAnsi="Times New Roman" w:cs="Times New Roman"/>
          <w:sz w:val="24"/>
          <w:szCs w:val="24"/>
        </w:rPr>
        <w:t>Consultation</w:t>
      </w:r>
    </w:p>
    <w:p w:rsidR="001933AC" w:rsidRDefault="00A62AE1" w:rsidP="001933AC">
      <w:pPr>
        <w:pStyle w:val="Heading1"/>
        <w:keepNext w:val="0"/>
        <w:rPr>
          <w:rFonts w:ascii="Times New Roman" w:hAnsi="Times New Roman" w:cs="Times New Roman"/>
          <w:b w:val="0"/>
          <w:sz w:val="24"/>
          <w:szCs w:val="24"/>
        </w:rPr>
      </w:pPr>
      <w:bookmarkStart w:id="9" w:name="bkConsultation"/>
      <w:bookmarkStart w:id="10" w:name="bkRISNO"/>
      <w:bookmarkEnd w:id="9"/>
      <w:bookmarkEnd w:id="10"/>
      <w:r w:rsidRPr="005E083F">
        <w:rPr>
          <w:rFonts w:ascii="Times New Roman" w:hAnsi="Times New Roman" w:cs="Times New Roman"/>
          <w:b w:val="0"/>
          <w:sz w:val="24"/>
          <w:szCs w:val="24"/>
        </w:rPr>
        <w:t xml:space="preserve">APRA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has </w:t>
      </w:r>
      <w:r w:rsidRPr="005E083F">
        <w:rPr>
          <w:rFonts w:ascii="Times New Roman" w:hAnsi="Times New Roman" w:cs="Times New Roman"/>
          <w:b w:val="0"/>
          <w:sz w:val="24"/>
          <w:szCs w:val="24"/>
        </w:rPr>
        <w:t xml:space="preserve">consulted with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 xml:space="preserve">the 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Religious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C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haritable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D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 xml:space="preserve">evelopment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F</w:t>
      </w:r>
      <w:r w:rsidR="0007732A">
        <w:rPr>
          <w:rFonts w:ascii="Times New Roman" w:hAnsi="Times New Roman" w:cs="Times New Roman"/>
          <w:b w:val="0"/>
          <w:sz w:val="24"/>
          <w:szCs w:val="24"/>
        </w:rPr>
        <w:t>unds</w:t>
      </w:r>
      <w:r w:rsidR="00E82947">
        <w:rPr>
          <w:rFonts w:ascii="Times New Roman" w:hAnsi="Times New Roman" w:cs="Times New Roman"/>
          <w:b w:val="0"/>
          <w:sz w:val="24"/>
          <w:szCs w:val="24"/>
        </w:rPr>
        <w:t>, which have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 been advise</w:t>
      </w:r>
      <w:r w:rsidR="009D4A78">
        <w:rPr>
          <w:rFonts w:ascii="Times New Roman" w:hAnsi="Times New Roman" w:cs="Times New Roman"/>
          <w:b w:val="0"/>
          <w:sz w:val="24"/>
          <w:szCs w:val="24"/>
        </w:rPr>
        <w:t>d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 that APRA will seek to continue the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e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>xemption from the prohibition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s in section 7 and 8 of the Banking Act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 for a further year</w:t>
      </w:r>
      <w:r w:rsidR="009D4A78">
        <w:rPr>
          <w:rFonts w:ascii="Times New Roman" w:hAnsi="Times New Roman" w:cs="Times New Roman"/>
          <w:b w:val="0"/>
          <w:sz w:val="24"/>
          <w:szCs w:val="24"/>
        </w:rPr>
        <w:t>,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4A78">
        <w:rPr>
          <w:rFonts w:ascii="Times New Roman" w:hAnsi="Times New Roman" w:cs="Times New Roman"/>
          <w:b w:val="0"/>
          <w:sz w:val="24"/>
          <w:szCs w:val="24"/>
        </w:rPr>
        <w:t xml:space="preserve">at 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which time APRA will further consult with the Funds on a number of proposals as to the future operation of the </w:t>
      </w:r>
      <w:r w:rsidR="00DE4DA4">
        <w:rPr>
          <w:rFonts w:ascii="Times New Roman" w:hAnsi="Times New Roman" w:cs="Times New Roman"/>
          <w:b w:val="0"/>
          <w:sz w:val="24"/>
          <w:szCs w:val="24"/>
        </w:rPr>
        <w:t>e</w:t>
      </w:r>
      <w:r w:rsidR="006F671E">
        <w:rPr>
          <w:rFonts w:ascii="Times New Roman" w:hAnsi="Times New Roman" w:cs="Times New Roman"/>
          <w:b w:val="0"/>
          <w:sz w:val="24"/>
          <w:szCs w:val="24"/>
        </w:rPr>
        <w:t xml:space="preserve">xemption. </w:t>
      </w:r>
    </w:p>
    <w:p w:rsidR="001933AC" w:rsidRPr="001933AC" w:rsidRDefault="001933AC" w:rsidP="001933AC">
      <w:pPr>
        <w:pStyle w:val="Heading1"/>
        <w:numPr>
          <w:ilvl w:val="0"/>
          <w:numId w:val="10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1933AC">
        <w:rPr>
          <w:rFonts w:ascii="Times New Roman" w:hAnsi="Times New Roman" w:cs="Times New Roman"/>
          <w:sz w:val="24"/>
          <w:szCs w:val="24"/>
        </w:rPr>
        <w:t>Regulation Impact Statement</w:t>
      </w:r>
    </w:p>
    <w:p w:rsidR="001933AC" w:rsidRDefault="00A62AE1" w:rsidP="001933AC">
      <w:pPr>
        <w:pStyle w:val="Heading1"/>
        <w:keepNext w:val="0"/>
        <w:rPr>
          <w:rFonts w:ascii="Times New Roman" w:hAnsi="Times New Roman" w:cs="Times New Roman"/>
          <w:b w:val="0"/>
          <w:sz w:val="24"/>
          <w:szCs w:val="24"/>
        </w:rPr>
      </w:pPr>
      <w:r w:rsidRPr="005E083F">
        <w:rPr>
          <w:rFonts w:ascii="Times New Roman" w:hAnsi="Times New Roman" w:cs="Times New Roman"/>
          <w:b w:val="0"/>
          <w:sz w:val="24"/>
          <w:szCs w:val="24"/>
        </w:rPr>
        <w:t xml:space="preserve">The </w:t>
      </w:r>
      <w:r w:rsidR="009D4A78" w:rsidRPr="005E083F">
        <w:rPr>
          <w:rFonts w:ascii="Times New Roman" w:hAnsi="Times New Roman" w:cs="Times New Roman"/>
          <w:b w:val="0"/>
          <w:sz w:val="24"/>
          <w:szCs w:val="24"/>
        </w:rPr>
        <w:t xml:space="preserve">Office of Best Practice Regulation </w:t>
      </w:r>
      <w:r w:rsidR="001B0A82">
        <w:rPr>
          <w:rFonts w:ascii="Times New Roman" w:hAnsi="Times New Roman" w:cs="Times New Roman"/>
          <w:b w:val="0"/>
          <w:sz w:val="24"/>
          <w:szCs w:val="24"/>
        </w:rPr>
        <w:t xml:space="preserve">confirmed that no Regulation Impact Statement is required as the 2013 </w:t>
      </w:r>
      <w:r w:rsidR="00CD7865">
        <w:rPr>
          <w:rFonts w:ascii="Times New Roman" w:hAnsi="Times New Roman" w:cs="Times New Roman"/>
          <w:b w:val="0"/>
          <w:sz w:val="24"/>
          <w:szCs w:val="24"/>
        </w:rPr>
        <w:t>Exemption</w:t>
      </w:r>
      <w:r w:rsidR="001B0A82">
        <w:rPr>
          <w:rFonts w:ascii="Times New Roman" w:hAnsi="Times New Roman" w:cs="Times New Roman"/>
          <w:b w:val="0"/>
          <w:sz w:val="24"/>
          <w:szCs w:val="24"/>
        </w:rPr>
        <w:t xml:space="preserve"> represents a continuation of the existing policy position and is therefore machinery-of-government in nature.</w:t>
      </w:r>
    </w:p>
    <w:p w:rsidR="001B0A82" w:rsidRPr="008565C8" w:rsidRDefault="001B0A82" w:rsidP="008565C8"/>
    <w:p w:rsidR="00A9578D" w:rsidRDefault="00BC70D0" w:rsidP="00A9578D">
      <w:pPr>
        <w:pStyle w:val="BodyText"/>
        <w:spacing w:after="0"/>
        <w:ind w:left="720" w:hanging="720"/>
        <w:rPr>
          <w:b/>
          <w:i/>
        </w:rPr>
      </w:pPr>
      <w:r>
        <w:rPr>
          <w:b/>
          <w:szCs w:val="24"/>
        </w:rPr>
        <w:t>5</w:t>
      </w:r>
      <w:r w:rsidR="00A9578D" w:rsidRPr="00A9578D">
        <w:rPr>
          <w:b/>
          <w:szCs w:val="24"/>
        </w:rPr>
        <w:t>.</w:t>
      </w:r>
      <w:r w:rsidR="00A9578D" w:rsidRPr="00A9578D">
        <w:rPr>
          <w:b/>
          <w:szCs w:val="24"/>
        </w:rPr>
        <w:tab/>
      </w:r>
      <w:r w:rsidR="00A9578D" w:rsidRPr="000E529A">
        <w:rPr>
          <w:b/>
          <w:color w:val="000000"/>
          <w:szCs w:val="24"/>
        </w:rPr>
        <w:t>Statement</w:t>
      </w:r>
      <w:r w:rsidR="00A9578D" w:rsidRPr="000E529A">
        <w:rPr>
          <w:b/>
        </w:rPr>
        <w:t xml:space="preserve"> of compatibility prepared in accordance with Part 3 of the </w:t>
      </w:r>
      <w:r w:rsidR="00A9578D" w:rsidRPr="000E529A">
        <w:rPr>
          <w:b/>
          <w:i/>
        </w:rPr>
        <w:t>Human Rights (Parliamentary Scrutiny) Act 2011</w:t>
      </w:r>
    </w:p>
    <w:p w:rsidR="00A9578D" w:rsidRPr="000E529A" w:rsidRDefault="00A9578D" w:rsidP="00A9578D">
      <w:pPr>
        <w:pStyle w:val="BodyText"/>
        <w:spacing w:after="0"/>
        <w:rPr>
          <w:b/>
        </w:rPr>
      </w:pPr>
    </w:p>
    <w:p w:rsidR="004F3BA0" w:rsidRPr="00DE4DA4" w:rsidRDefault="004F3BA0" w:rsidP="004F3BA0">
      <w:pPr>
        <w:pStyle w:val="BodyText"/>
        <w:spacing w:after="0"/>
        <w:rPr>
          <w:bCs/>
          <w:kern w:val="32"/>
          <w:szCs w:val="24"/>
          <w:lang w:eastAsia="en-US"/>
        </w:rPr>
      </w:pPr>
      <w:r w:rsidRPr="00DE4DA4">
        <w:rPr>
          <w:bCs/>
          <w:kern w:val="32"/>
          <w:szCs w:val="24"/>
          <w:lang w:eastAsia="en-US"/>
        </w:rPr>
        <w:t>A Statement of Compatibility with Human Rights is Appendix A to this Explanatory Statement.</w:t>
      </w:r>
    </w:p>
    <w:p w:rsidR="00A9578D" w:rsidRDefault="00A9578D" w:rsidP="00A9578D"/>
    <w:p w:rsidR="00DE4DA4" w:rsidRDefault="00DE4DA4">
      <w:pPr>
        <w:rPr>
          <w:rFonts w:ascii="Times New Roman" w:hAnsi="Times New Roman"/>
          <w:b/>
          <w:sz w:val="24"/>
          <w:lang w:val="en-US" w:eastAsia="en-AU"/>
        </w:rPr>
      </w:pPr>
      <w:r>
        <w:br w:type="page"/>
      </w:r>
    </w:p>
    <w:p w:rsidR="004F3BA0" w:rsidRDefault="004F3BA0" w:rsidP="004F3BA0">
      <w:pPr>
        <w:pStyle w:val="Title"/>
        <w:jc w:val="left"/>
        <w:rPr>
          <w:szCs w:val="24"/>
        </w:rPr>
      </w:pPr>
      <w:r>
        <w:rPr>
          <w:szCs w:val="24"/>
        </w:rPr>
        <w:lastRenderedPageBreak/>
        <w:t>Appendix A</w:t>
      </w:r>
    </w:p>
    <w:p w:rsidR="004F3BA0" w:rsidRPr="00DA192B" w:rsidRDefault="004F3BA0" w:rsidP="004F3BA0">
      <w:pPr>
        <w:pStyle w:val="Title"/>
        <w:rPr>
          <w:szCs w:val="24"/>
        </w:rPr>
      </w:pPr>
    </w:p>
    <w:p w:rsidR="004F3BA0" w:rsidRPr="00DA192B" w:rsidRDefault="004F3BA0" w:rsidP="004F3B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DA192B">
        <w:rPr>
          <w:rFonts w:ascii="Times New Roman" w:hAnsi="Times New Roman"/>
          <w:b/>
          <w:sz w:val="24"/>
        </w:rPr>
        <w:t>Statement of Compatibility with Human Rights</w:t>
      </w:r>
    </w:p>
    <w:p w:rsidR="004F3BA0" w:rsidRPr="00DA192B" w:rsidRDefault="004F3BA0" w:rsidP="004F3B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:rsidR="004F3BA0" w:rsidRPr="00DA192B" w:rsidRDefault="004F3BA0" w:rsidP="004F3BA0">
      <w:pPr>
        <w:autoSpaceDE w:val="0"/>
        <w:autoSpaceDN w:val="0"/>
        <w:adjustRightInd w:val="0"/>
        <w:rPr>
          <w:rFonts w:ascii="Times New Roman" w:hAnsi="Times New Roman"/>
          <w:i/>
          <w:sz w:val="24"/>
        </w:rPr>
      </w:pPr>
      <w:r w:rsidRPr="00DA192B"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:rsidR="004F3BA0" w:rsidRPr="00DA192B" w:rsidRDefault="004F3BA0" w:rsidP="004F3BA0">
      <w:pPr>
        <w:pStyle w:val="Title"/>
        <w:jc w:val="left"/>
        <w:rPr>
          <w:szCs w:val="24"/>
        </w:rPr>
      </w:pPr>
    </w:p>
    <w:p w:rsidR="004F3BA0" w:rsidRPr="00DA192B" w:rsidRDefault="00DA192B" w:rsidP="004F3BA0">
      <w:pPr>
        <w:pStyle w:val="Title"/>
      </w:pPr>
      <w:r>
        <w:t xml:space="preserve">Banking </w:t>
      </w:r>
      <w:r w:rsidR="002750CE">
        <w:t xml:space="preserve">exemption No. 1 of </w:t>
      </w:r>
      <w:r w:rsidR="004F3BA0" w:rsidRPr="00DA192B">
        <w:t>2013</w:t>
      </w:r>
    </w:p>
    <w:p w:rsidR="004F3BA0" w:rsidRPr="00DA192B" w:rsidRDefault="004F3BA0" w:rsidP="004F3BA0">
      <w:pPr>
        <w:pStyle w:val="BodyText"/>
        <w:spacing w:after="0"/>
        <w:rPr>
          <w:szCs w:val="24"/>
        </w:rPr>
      </w:pPr>
    </w:p>
    <w:p w:rsidR="004F3BA0" w:rsidRPr="00DA192B" w:rsidRDefault="004F3BA0" w:rsidP="004F3BA0">
      <w:pPr>
        <w:pStyle w:val="BodyText"/>
        <w:spacing w:after="0"/>
        <w:rPr>
          <w:i/>
          <w:szCs w:val="24"/>
        </w:rPr>
      </w:pPr>
      <w:r w:rsidRPr="00DA192B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DA192B">
        <w:rPr>
          <w:i/>
          <w:szCs w:val="24"/>
        </w:rPr>
        <w:t>Human Rights (Parliamentary Scrutiny) Act 2011.</w:t>
      </w:r>
    </w:p>
    <w:p w:rsidR="004F3BA0" w:rsidRPr="00DA192B" w:rsidRDefault="004F3BA0" w:rsidP="004F3BA0">
      <w:pPr>
        <w:pStyle w:val="BodyText"/>
        <w:spacing w:after="0"/>
        <w:rPr>
          <w:i/>
          <w:szCs w:val="24"/>
        </w:rPr>
      </w:pPr>
    </w:p>
    <w:p w:rsidR="004F3BA0" w:rsidRDefault="004F3BA0" w:rsidP="004F3BA0">
      <w:pPr>
        <w:pStyle w:val="BodyText"/>
        <w:spacing w:after="0"/>
        <w:rPr>
          <w:b/>
          <w:szCs w:val="24"/>
        </w:rPr>
      </w:pPr>
      <w:r w:rsidRPr="00740541">
        <w:rPr>
          <w:b/>
          <w:szCs w:val="24"/>
        </w:rPr>
        <w:t>Overview of the Legislative Instrument</w:t>
      </w:r>
    </w:p>
    <w:p w:rsidR="004F3BA0" w:rsidRDefault="004F3BA0" w:rsidP="004F3BA0">
      <w:pPr>
        <w:pStyle w:val="BodyText"/>
        <w:spacing w:after="0"/>
        <w:rPr>
          <w:b/>
          <w:szCs w:val="24"/>
        </w:rPr>
      </w:pPr>
    </w:p>
    <w:p w:rsidR="00871F66" w:rsidRDefault="005D47AA" w:rsidP="004F3BA0">
      <w:pPr>
        <w:pStyle w:val="BodyText"/>
        <w:rPr>
          <w:szCs w:val="24"/>
        </w:rPr>
      </w:pPr>
      <w:r w:rsidRPr="005D47AA">
        <w:rPr>
          <w:szCs w:val="24"/>
        </w:rPr>
        <w:t xml:space="preserve">Under section 7 of the </w:t>
      </w:r>
      <w:r w:rsidR="00444292">
        <w:rPr>
          <w:i/>
          <w:szCs w:val="24"/>
        </w:rPr>
        <w:t xml:space="preserve">Banking Act 1959 </w:t>
      </w:r>
      <w:r w:rsidR="00444292" w:rsidRPr="00444292">
        <w:rPr>
          <w:szCs w:val="24"/>
        </w:rPr>
        <w:t>(</w:t>
      </w:r>
      <w:r w:rsidRPr="005D47AA">
        <w:rPr>
          <w:szCs w:val="24"/>
        </w:rPr>
        <w:t>Banking Act</w:t>
      </w:r>
      <w:r w:rsidR="00444292">
        <w:rPr>
          <w:szCs w:val="24"/>
        </w:rPr>
        <w:t>)</w:t>
      </w:r>
      <w:r w:rsidRPr="005D47AA">
        <w:rPr>
          <w:szCs w:val="24"/>
        </w:rPr>
        <w:t xml:space="preserve">, it is an offence for a person who is not a body corporate to carry on banking business in Australia except where there is a determination in force that section 7 does not apply to the person.  Under section 8 of the Banking Act, it is an offence for a body corporate to carry on banking business in Australia if the body corporate is not an authorised deposit-taking institution or the Reserve Bank, except where there is a determination in force that section 8 does not apply to the body corporate.  </w:t>
      </w:r>
    </w:p>
    <w:p w:rsidR="00871F66" w:rsidRDefault="00444292" w:rsidP="004F3BA0">
      <w:pPr>
        <w:pStyle w:val="BodyText"/>
      </w:pPr>
      <w:r>
        <w:t>This Legislative Instrument determines that sections 7 and 8 of the Banking Act do not apply to Religious Charitable Development Fund</w:t>
      </w:r>
      <w:r w:rsidR="00E041E4">
        <w:t>s</w:t>
      </w:r>
      <w:r>
        <w:t xml:space="preserve">, subject to conditions </w:t>
      </w:r>
      <w:r w:rsidR="009A33F0">
        <w:t xml:space="preserve">relating to the </w:t>
      </w:r>
      <w:r w:rsidR="00E01275">
        <w:t xml:space="preserve">facilities offered in connection with </w:t>
      </w:r>
      <w:r w:rsidR="00103EBB">
        <w:t xml:space="preserve">the </w:t>
      </w:r>
      <w:r w:rsidR="009A33F0">
        <w:t>financial products</w:t>
      </w:r>
      <w:r w:rsidR="00E01275">
        <w:t>, and any advertising or marketing in connection with the financial products</w:t>
      </w:r>
      <w:r w:rsidR="009A33F0">
        <w:t>.</w:t>
      </w:r>
      <w:r w:rsidR="00067A0E">
        <w:t xml:space="preserve">  Religious Charitable Development Funds are funds formed for religious and charitable purposes and operated on a not-for-profit basis.</w:t>
      </w:r>
    </w:p>
    <w:p w:rsidR="004F3BA0" w:rsidRDefault="004F3BA0" w:rsidP="004F3BA0">
      <w:pPr>
        <w:pStyle w:val="BodyText"/>
        <w:rPr>
          <w:b/>
        </w:rPr>
      </w:pPr>
      <w:r>
        <w:rPr>
          <w:b/>
        </w:rPr>
        <w:t>Human rights implications</w:t>
      </w:r>
    </w:p>
    <w:p w:rsidR="00E70F3A" w:rsidRDefault="004F3BA0" w:rsidP="004F3BA0">
      <w:pPr>
        <w:pStyle w:val="BodyText"/>
      </w:pPr>
      <w:r>
        <w:t xml:space="preserve">APRA has assessed this Legislative Instrument </w:t>
      </w:r>
      <w:r w:rsidR="00457E8C">
        <w:t xml:space="preserve">and is of the view that it does not engage any of the applicable rights or freedoms recognised or declared in </w:t>
      </w:r>
      <w:r>
        <w:t xml:space="preserve">the international instruments listed in section 3 of the </w:t>
      </w:r>
      <w:r w:rsidRPr="00792245">
        <w:rPr>
          <w:i/>
        </w:rPr>
        <w:t>Human Rights (Parliamentary Scrutiny) Act 2011</w:t>
      </w:r>
      <w:r w:rsidR="00457E8C">
        <w:t>.  Accordingly, in APRA’s assessment, the instrument is compatible with human rights.</w:t>
      </w:r>
      <w:r>
        <w:t xml:space="preserve"> </w:t>
      </w:r>
    </w:p>
    <w:p w:rsidR="004F3BA0" w:rsidRDefault="004F3BA0" w:rsidP="004F3BA0">
      <w:pPr>
        <w:pStyle w:val="BodyText"/>
        <w:rPr>
          <w:b/>
        </w:rPr>
      </w:pPr>
      <w:r>
        <w:rPr>
          <w:b/>
        </w:rPr>
        <w:t>Conclusion</w:t>
      </w:r>
    </w:p>
    <w:p w:rsidR="004F3BA0" w:rsidRPr="00740541" w:rsidRDefault="004F3BA0" w:rsidP="004F3BA0">
      <w:pPr>
        <w:pStyle w:val="BodyText"/>
        <w:rPr>
          <w:szCs w:val="24"/>
        </w:rPr>
      </w:pPr>
      <w:r>
        <w:t>This Legislative Instrument is compatible with human rights as it does not raise any human rights issues.</w:t>
      </w:r>
    </w:p>
    <w:p w:rsidR="004F3BA0" w:rsidRDefault="004F3BA0" w:rsidP="004F3BA0">
      <w:pPr>
        <w:autoSpaceDE w:val="0"/>
        <w:autoSpaceDN w:val="0"/>
        <w:adjustRightInd w:val="0"/>
        <w:jc w:val="both"/>
      </w:pPr>
    </w:p>
    <w:p w:rsidR="004F3BA0" w:rsidRDefault="004F3BA0" w:rsidP="004F3BA0">
      <w:pPr>
        <w:autoSpaceDE w:val="0"/>
        <w:autoSpaceDN w:val="0"/>
        <w:adjustRightInd w:val="0"/>
        <w:jc w:val="both"/>
      </w:pPr>
    </w:p>
    <w:p w:rsidR="004F3BA0" w:rsidRPr="00A9578D" w:rsidRDefault="004F3BA0" w:rsidP="00A9578D"/>
    <w:sectPr w:rsidR="004F3BA0" w:rsidRPr="00A9578D" w:rsidSect="002330A5"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B6" w:rsidRDefault="00811BB6">
      <w:r>
        <w:separator/>
      </w:r>
    </w:p>
  </w:endnote>
  <w:endnote w:type="continuationSeparator" w:id="0">
    <w:p w:rsidR="00811BB6" w:rsidRDefault="0081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B6" w:rsidRDefault="00967CDE" w:rsidP="00000A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1B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1237">
      <w:rPr>
        <w:rStyle w:val="PageNumber"/>
        <w:noProof/>
      </w:rPr>
      <w:t>2</w:t>
    </w:r>
    <w:r>
      <w:rPr>
        <w:rStyle w:val="PageNumber"/>
      </w:rPr>
      <w:fldChar w:fldCharType="end"/>
    </w:r>
  </w:p>
  <w:p w:rsidR="00811BB6" w:rsidRDefault="00811BB6" w:rsidP="00000A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B6" w:rsidRDefault="00811BB6" w:rsidP="00000A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B6" w:rsidRDefault="00811BB6">
      <w:r>
        <w:separator/>
      </w:r>
    </w:p>
  </w:footnote>
  <w:footnote w:type="continuationSeparator" w:id="0">
    <w:p w:rsidR="00811BB6" w:rsidRDefault="0081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249"/>
    <w:multiLevelType w:val="hybridMultilevel"/>
    <w:tmpl w:val="989038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658A7"/>
    <w:multiLevelType w:val="hybridMultilevel"/>
    <w:tmpl w:val="1EAE596A"/>
    <w:lvl w:ilvl="0" w:tplc="0C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">
    <w:nsid w:val="20691723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3317B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D5DB6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E0730"/>
    <w:multiLevelType w:val="hybridMultilevel"/>
    <w:tmpl w:val="E4B6A3A0"/>
    <w:lvl w:ilvl="0" w:tplc="0C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>
    <w:nsid w:val="3A9A72C6"/>
    <w:multiLevelType w:val="hybridMultilevel"/>
    <w:tmpl w:val="DD00FE2C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141AE5"/>
    <w:multiLevelType w:val="hybridMultilevel"/>
    <w:tmpl w:val="35905792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E4B7F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BD5C63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8C57F7"/>
    <w:multiLevelType w:val="multilevel"/>
    <w:tmpl w:val="98903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97"/>
    <w:rsid w:val="00000AE6"/>
    <w:rsid w:val="00012695"/>
    <w:rsid w:val="000201AE"/>
    <w:rsid w:val="000218B6"/>
    <w:rsid w:val="00026726"/>
    <w:rsid w:val="0002731C"/>
    <w:rsid w:val="00027386"/>
    <w:rsid w:val="00030BD8"/>
    <w:rsid w:val="000324C9"/>
    <w:rsid w:val="00032E46"/>
    <w:rsid w:val="00033B73"/>
    <w:rsid w:val="00043838"/>
    <w:rsid w:val="00054D89"/>
    <w:rsid w:val="00055C1B"/>
    <w:rsid w:val="00056C6C"/>
    <w:rsid w:val="00056DFC"/>
    <w:rsid w:val="000631DA"/>
    <w:rsid w:val="00063B11"/>
    <w:rsid w:val="00067A0E"/>
    <w:rsid w:val="00076969"/>
    <w:rsid w:val="0007732A"/>
    <w:rsid w:val="00080B55"/>
    <w:rsid w:val="0008324D"/>
    <w:rsid w:val="000A579A"/>
    <w:rsid w:val="000B22C3"/>
    <w:rsid w:val="000B244A"/>
    <w:rsid w:val="000B3626"/>
    <w:rsid w:val="000B5532"/>
    <w:rsid w:val="000B59FF"/>
    <w:rsid w:val="000C3A21"/>
    <w:rsid w:val="000C6F92"/>
    <w:rsid w:val="000D046E"/>
    <w:rsid w:val="000D6AC0"/>
    <w:rsid w:val="000E055A"/>
    <w:rsid w:val="000E17D8"/>
    <w:rsid w:val="000E71FC"/>
    <w:rsid w:val="000F0A45"/>
    <w:rsid w:val="000F2451"/>
    <w:rsid w:val="000F309E"/>
    <w:rsid w:val="000F3E1E"/>
    <w:rsid w:val="000F6592"/>
    <w:rsid w:val="00102F9E"/>
    <w:rsid w:val="00103EBB"/>
    <w:rsid w:val="0010495D"/>
    <w:rsid w:val="00105F5C"/>
    <w:rsid w:val="00110071"/>
    <w:rsid w:val="00112443"/>
    <w:rsid w:val="001155D1"/>
    <w:rsid w:val="0012491A"/>
    <w:rsid w:val="00124EE2"/>
    <w:rsid w:val="00126BDF"/>
    <w:rsid w:val="00126F51"/>
    <w:rsid w:val="001271A7"/>
    <w:rsid w:val="00134372"/>
    <w:rsid w:val="00145A8A"/>
    <w:rsid w:val="00146362"/>
    <w:rsid w:val="00147418"/>
    <w:rsid w:val="0016350A"/>
    <w:rsid w:val="001636BF"/>
    <w:rsid w:val="00163AE4"/>
    <w:rsid w:val="001735C0"/>
    <w:rsid w:val="001736CC"/>
    <w:rsid w:val="00176630"/>
    <w:rsid w:val="0018329E"/>
    <w:rsid w:val="00183A1C"/>
    <w:rsid w:val="00191382"/>
    <w:rsid w:val="001933AC"/>
    <w:rsid w:val="0019482E"/>
    <w:rsid w:val="001A0790"/>
    <w:rsid w:val="001B0A82"/>
    <w:rsid w:val="001B2E2A"/>
    <w:rsid w:val="001B5A23"/>
    <w:rsid w:val="001B6E91"/>
    <w:rsid w:val="001B7226"/>
    <w:rsid w:val="001B7668"/>
    <w:rsid w:val="001C001C"/>
    <w:rsid w:val="001C0BC5"/>
    <w:rsid w:val="001D16A9"/>
    <w:rsid w:val="001D1DC0"/>
    <w:rsid w:val="001D583A"/>
    <w:rsid w:val="001E06CB"/>
    <w:rsid w:val="001E2DB0"/>
    <w:rsid w:val="001E54DD"/>
    <w:rsid w:val="001E623B"/>
    <w:rsid w:val="001E6EA4"/>
    <w:rsid w:val="001E781D"/>
    <w:rsid w:val="001F4FB6"/>
    <w:rsid w:val="00203601"/>
    <w:rsid w:val="00210D96"/>
    <w:rsid w:val="002114F1"/>
    <w:rsid w:val="00217AF7"/>
    <w:rsid w:val="00223C69"/>
    <w:rsid w:val="00225921"/>
    <w:rsid w:val="002330A5"/>
    <w:rsid w:val="002341A1"/>
    <w:rsid w:val="00241EA0"/>
    <w:rsid w:val="002430F8"/>
    <w:rsid w:val="002504E2"/>
    <w:rsid w:val="002529DB"/>
    <w:rsid w:val="00254ED3"/>
    <w:rsid w:val="002642DC"/>
    <w:rsid w:val="00265913"/>
    <w:rsid w:val="002750CE"/>
    <w:rsid w:val="002773F5"/>
    <w:rsid w:val="00282B1D"/>
    <w:rsid w:val="00285041"/>
    <w:rsid w:val="002962EE"/>
    <w:rsid w:val="002A0F36"/>
    <w:rsid w:val="002A47FA"/>
    <w:rsid w:val="002B2A6A"/>
    <w:rsid w:val="002B6511"/>
    <w:rsid w:val="002B6780"/>
    <w:rsid w:val="002B6E99"/>
    <w:rsid w:val="002C3824"/>
    <w:rsid w:val="002C3F98"/>
    <w:rsid w:val="002C7D5C"/>
    <w:rsid w:val="002D003A"/>
    <w:rsid w:val="002D15B6"/>
    <w:rsid w:val="002D22F6"/>
    <w:rsid w:val="002D5680"/>
    <w:rsid w:val="002D628A"/>
    <w:rsid w:val="002D7440"/>
    <w:rsid w:val="002E68FA"/>
    <w:rsid w:val="002F7201"/>
    <w:rsid w:val="00300114"/>
    <w:rsid w:val="003033E4"/>
    <w:rsid w:val="00314F61"/>
    <w:rsid w:val="003168CC"/>
    <w:rsid w:val="00323DBD"/>
    <w:rsid w:val="00333ED4"/>
    <w:rsid w:val="00335F4E"/>
    <w:rsid w:val="00340EE0"/>
    <w:rsid w:val="0034386A"/>
    <w:rsid w:val="003450C8"/>
    <w:rsid w:val="00347FCC"/>
    <w:rsid w:val="00356B67"/>
    <w:rsid w:val="0036074D"/>
    <w:rsid w:val="00361A51"/>
    <w:rsid w:val="00363E46"/>
    <w:rsid w:val="003664C9"/>
    <w:rsid w:val="003671DF"/>
    <w:rsid w:val="00385EBA"/>
    <w:rsid w:val="003A0FB4"/>
    <w:rsid w:val="003A551B"/>
    <w:rsid w:val="003B047E"/>
    <w:rsid w:val="003B594A"/>
    <w:rsid w:val="003B6B84"/>
    <w:rsid w:val="003C1F4C"/>
    <w:rsid w:val="003C3568"/>
    <w:rsid w:val="003D14AA"/>
    <w:rsid w:val="003D671F"/>
    <w:rsid w:val="003E1487"/>
    <w:rsid w:val="003E2F84"/>
    <w:rsid w:val="003E399F"/>
    <w:rsid w:val="003E7F89"/>
    <w:rsid w:val="003F2D0E"/>
    <w:rsid w:val="00403CDA"/>
    <w:rsid w:val="00403EA8"/>
    <w:rsid w:val="0040568B"/>
    <w:rsid w:val="00414E21"/>
    <w:rsid w:val="00416296"/>
    <w:rsid w:val="00426F46"/>
    <w:rsid w:val="00427335"/>
    <w:rsid w:val="00436690"/>
    <w:rsid w:val="00440F06"/>
    <w:rsid w:val="00441281"/>
    <w:rsid w:val="00443B03"/>
    <w:rsid w:val="00444292"/>
    <w:rsid w:val="00446793"/>
    <w:rsid w:val="0045045E"/>
    <w:rsid w:val="00452BFF"/>
    <w:rsid w:val="00455CFD"/>
    <w:rsid w:val="00456B13"/>
    <w:rsid w:val="00457E8C"/>
    <w:rsid w:val="00463269"/>
    <w:rsid w:val="00466BE1"/>
    <w:rsid w:val="00480AB5"/>
    <w:rsid w:val="00485359"/>
    <w:rsid w:val="00485782"/>
    <w:rsid w:val="004913BF"/>
    <w:rsid w:val="00491AD1"/>
    <w:rsid w:val="004974E6"/>
    <w:rsid w:val="00497A10"/>
    <w:rsid w:val="004A7EF8"/>
    <w:rsid w:val="004B004C"/>
    <w:rsid w:val="004B0CCB"/>
    <w:rsid w:val="004B621D"/>
    <w:rsid w:val="004C12C3"/>
    <w:rsid w:val="004C79A4"/>
    <w:rsid w:val="004F0124"/>
    <w:rsid w:val="004F0E6C"/>
    <w:rsid w:val="004F2537"/>
    <w:rsid w:val="004F3053"/>
    <w:rsid w:val="004F3BA0"/>
    <w:rsid w:val="004F4CCA"/>
    <w:rsid w:val="004F5E3C"/>
    <w:rsid w:val="00505C2A"/>
    <w:rsid w:val="00514E54"/>
    <w:rsid w:val="0051573E"/>
    <w:rsid w:val="00523E14"/>
    <w:rsid w:val="005323E9"/>
    <w:rsid w:val="005378DF"/>
    <w:rsid w:val="00544186"/>
    <w:rsid w:val="00544768"/>
    <w:rsid w:val="0054724E"/>
    <w:rsid w:val="0054733F"/>
    <w:rsid w:val="00551507"/>
    <w:rsid w:val="00554D51"/>
    <w:rsid w:val="00561055"/>
    <w:rsid w:val="00562B07"/>
    <w:rsid w:val="00565315"/>
    <w:rsid w:val="00567A9A"/>
    <w:rsid w:val="005718A5"/>
    <w:rsid w:val="00574616"/>
    <w:rsid w:val="005748FE"/>
    <w:rsid w:val="00575F38"/>
    <w:rsid w:val="005833B9"/>
    <w:rsid w:val="00583E07"/>
    <w:rsid w:val="00587962"/>
    <w:rsid w:val="00591630"/>
    <w:rsid w:val="00592576"/>
    <w:rsid w:val="00593BF7"/>
    <w:rsid w:val="005941E1"/>
    <w:rsid w:val="005968DC"/>
    <w:rsid w:val="00597FDD"/>
    <w:rsid w:val="005A3ABE"/>
    <w:rsid w:val="005A743A"/>
    <w:rsid w:val="005C319A"/>
    <w:rsid w:val="005C37A6"/>
    <w:rsid w:val="005C3C75"/>
    <w:rsid w:val="005C701A"/>
    <w:rsid w:val="005C7AB3"/>
    <w:rsid w:val="005D0304"/>
    <w:rsid w:val="005D435B"/>
    <w:rsid w:val="005D47AA"/>
    <w:rsid w:val="005D7020"/>
    <w:rsid w:val="005E42E4"/>
    <w:rsid w:val="005E67E9"/>
    <w:rsid w:val="005E6DD0"/>
    <w:rsid w:val="005F0577"/>
    <w:rsid w:val="005F5DF4"/>
    <w:rsid w:val="005F6BAC"/>
    <w:rsid w:val="005F7292"/>
    <w:rsid w:val="00600846"/>
    <w:rsid w:val="00611A4D"/>
    <w:rsid w:val="0061258F"/>
    <w:rsid w:val="00612C58"/>
    <w:rsid w:val="0062024E"/>
    <w:rsid w:val="006208F9"/>
    <w:rsid w:val="006210C2"/>
    <w:rsid w:val="00624A78"/>
    <w:rsid w:val="00625D6C"/>
    <w:rsid w:val="00634354"/>
    <w:rsid w:val="00634FF0"/>
    <w:rsid w:val="00635A7C"/>
    <w:rsid w:val="00644F26"/>
    <w:rsid w:val="00645119"/>
    <w:rsid w:val="00647B94"/>
    <w:rsid w:val="00652397"/>
    <w:rsid w:val="006546E5"/>
    <w:rsid w:val="006549FC"/>
    <w:rsid w:val="00663C9A"/>
    <w:rsid w:val="00673E01"/>
    <w:rsid w:val="00685CF1"/>
    <w:rsid w:val="00694F60"/>
    <w:rsid w:val="006967C8"/>
    <w:rsid w:val="00696AEC"/>
    <w:rsid w:val="006A05FB"/>
    <w:rsid w:val="006A078D"/>
    <w:rsid w:val="006B4444"/>
    <w:rsid w:val="006B6285"/>
    <w:rsid w:val="006C0777"/>
    <w:rsid w:val="006C0888"/>
    <w:rsid w:val="006C6A19"/>
    <w:rsid w:val="006D1265"/>
    <w:rsid w:val="006E15EA"/>
    <w:rsid w:val="006E222F"/>
    <w:rsid w:val="006E5332"/>
    <w:rsid w:val="006F26DC"/>
    <w:rsid w:val="006F671E"/>
    <w:rsid w:val="006F6C05"/>
    <w:rsid w:val="0070194B"/>
    <w:rsid w:val="00702EF7"/>
    <w:rsid w:val="00704E26"/>
    <w:rsid w:val="007060F0"/>
    <w:rsid w:val="00707A6A"/>
    <w:rsid w:val="00712E3F"/>
    <w:rsid w:val="00717A79"/>
    <w:rsid w:val="00733B48"/>
    <w:rsid w:val="0074288C"/>
    <w:rsid w:val="00743617"/>
    <w:rsid w:val="00744E6B"/>
    <w:rsid w:val="00754B88"/>
    <w:rsid w:val="00760CF4"/>
    <w:rsid w:val="00770264"/>
    <w:rsid w:val="0078005E"/>
    <w:rsid w:val="00780C75"/>
    <w:rsid w:val="00785B77"/>
    <w:rsid w:val="00791C32"/>
    <w:rsid w:val="00796DE0"/>
    <w:rsid w:val="007B093E"/>
    <w:rsid w:val="007B2E50"/>
    <w:rsid w:val="007B49C0"/>
    <w:rsid w:val="007B4DD5"/>
    <w:rsid w:val="007C3113"/>
    <w:rsid w:val="007C3365"/>
    <w:rsid w:val="007C5B42"/>
    <w:rsid w:val="007D7456"/>
    <w:rsid w:val="007F3766"/>
    <w:rsid w:val="007F50A4"/>
    <w:rsid w:val="008015D2"/>
    <w:rsid w:val="0080552D"/>
    <w:rsid w:val="00806B31"/>
    <w:rsid w:val="00807B3F"/>
    <w:rsid w:val="00810CB3"/>
    <w:rsid w:val="00811972"/>
    <w:rsid w:val="00811BB6"/>
    <w:rsid w:val="008124F3"/>
    <w:rsid w:val="00816590"/>
    <w:rsid w:val="0082354F"/>
    <w:rsid w:val="00826B4E"/>
    <w:rsid w:val="00830C54"/>
    <w:rsid w:val="00830E90"/>
    <w:rsid w:val="0083482E"/>
    <w:rsid w:val="00837FB3"/>
    <w:rsid w:val="00844445"/>
    <w:rsid w:val="0084490C"/>
    <w:rsid w:val="0084495C"/>
    <w:rsid w:val="00853398"/>
    <w:rsid w:val="008539E3"/>
    <w:rsid w:val="008565C8"/>
    <w:rsid w:val="0086018E"/>
    <w:rsid w:val="00860DC0"/>
    <w:rsid w:val="008713A5"/>
    <w:rsid w:val="00871F66"/>
    <w:rsid w:val="00881B57"/>
    <w:rsid w:val="008825C2"/>
    <w:rsid w:val="0088539F"/>
    <w:rsid w:val="00885D7C"/>
    <w:rsid w:val="008922AE"/>
    <w:rsid w:val="00894E12"/>
    <w:rsid w:val="008A1A5F"/>
    <w:rsid w:val="008A2D7D"/>
    <w:rsid w:val="008A7848"/>
    <w:rsid w:val="008B1DD5"/>
    <w:rsid w:val="008B2323"/>
    <w:rsid w:val="008B5B9B"/>
    <w:rsid w:val="008B7528"/>
    <w:rsid w:val="008C0F09"/>
    <w:rsid w:val="008C228A"/>
    <w:rsid w:val="008D0E01"/>
    <w:rsid w:val="008E1237"/>
    <w:rsid w:val="008E1C9F"/>
    <w:rsid w:val="008E25C7"/>
    <w:rsid w:val="008E445F"/>
    <w:rsid w:val="008F07CE"/>
    <w:rsid w:val="008F6AA0"/>
    <w:rsid w:val="00910F17"/>
    <w:rsid w:val="00915A33"/>
    <w:rsid w:val="00922097"/>
    <w:rsid w:val="0092360F"/>
    <w:rsid w:val="00932D57"/>
    <w:rsid w:val="009403D0"/>
    <w:rsid w:val="00950CA8"/>
    <w:rsid w:val="00953841"/>
    <w:rsid w:val="00956A1C"/>
    <w:rsid w:val="00957450"/>
    <w:rsid w:val="00967CDE"/>
    <w:rsid w:val="0097061E"/>
    <w:rsid w:val="009732D4"/>
    <w:rsid w:val="009805E2"/>
    <w:rsid w:val="00985A96"/>
    <w:rsid w:val="00997B46"/>
    <w:rsid w:val="009A33F0"/>
    <w:rsid w:val="009B34C7"/>
    <w:rsid w:val="009B4656"/>
    <w:rsid w:val="009C19B4"/>
    <w:rsid w:val="009C54D9"/>
    <w:rsid w:val="009D3619"/>
    <w:rsid w:val="009D4A78"/>
    <w:rsid w:val="009E216B"/>
    <w:rsid w:val="009F2DFF"/>
    <w:rsid w:val="009F4669"/>
    <w:rsid w:val="00A03AB9"/>
    <w:rsid w:val="00A047B5"/>
    <w:rsid w:val="00A0517E"/>
    <w:rsid w:val="00A15209"/>
    <w:rsid w:val="00A17D9E"/>
    <w:rsid w:val="00A208EB"/>
    <w:rsid w:val="00A32B98"/>
    <w:rsid w:val="00A40D5C"/>
    <w:rsid w:val="00A43FF9"/>
    <w:rsid w:val="00A45662"/>
    <w:rsid w:val="00A51D19"/>
    <w:rsid w:val="00A55057"/>
    <w:rsid w:val="00A62AE1"/>
    <w:rsid w:val="00A66958"/>
    <w:rsid w:val="00A66DF3"/>
    <w:rsid w:val="00A74C60"/>
    <w:rsid w:val="00A81EBF"/>
    <w:rsid w:val="00A82561"/>
    <w:rsid w:val="00A9578D"/>
    <w:rsid w:val="00A96F6A"/>
    <w:rsid w:val="00AA08EC"/>
    <w:rsid w:val="00AA14B6"/>
    <w:rsid w:val="00AA2735"/>
    <w:rsid w:val="00AA2B95"/>
    <w:rsid w:val="00AA7013"/>
    <w:rsid w:val="00AB0A7D"/>
    <w:rsid w:val="00AB1F92"/>
    <w:rsid w:val="00AB3FCB"/>
    <w:rsid w:val="00AB533D"/>
    <w:rsid w:val="00AB53C4"/>
    <w:rsid w:val="00AC031B"/>
    <w:rsid w:val="00AC2996"/>
    <w:rsid w:val="00AC3F07"/>
    <w:rsid w:val="00AD31BC"/>
    <w:rsid w:val="00AD56A7"/>
    <w:rsid w:val="00AD62C5"/>
    <w:rsid w:val="00AE287A"/>
    <w:rsid w:val="00AE2AE2"/>
    <w:rsid w:val="00AE2D97"/>
    <w:rsid w:val="00AE7E64"/>
    <w:rsid w:val="00AF3144"/>
    <w:rsid w:val="00B000B9"/>
    <w:rsid w:val="00B02043"/>
    <w:rsid w:val="00B12376"/>
    <w:rsid w:val="00B27510"/>
    <w:rsid w:val="00B331AE"/>
    <w:rsid w:val="00B36389"/>
    <w:rsid w:val="00B458A3"/>
    <w:rsid w:val="00B46846"/>
    <w:rsid w:val="00B52C31"/>
    <w:rsid w:val="00B57341"/>
    <w:rsid w:val="00B71A97"/>
    <w:rsid w:val="00B77BD4"/>
    <w:rsid w:val="00B81E98"/>
    <w:rsid w:val="00B84194"/>
    <w:rsid w:val="00B92BA9"/>
    <w:rsid w:val="00B97B6E"/>
    <w:rsid w:val="00BA0BC1"/>
    <w:rsid w:val="00BA3189"/>
    <w:rsid w:val="00BB27C5"/>
    <w:rsid w:val="00BB3484"/>
    <w:rsid w:val="00BB387D"/>
    <w:rsid w:val="00BC2BFB"/>
    <w:rsid w:val="00BC6A8D"/>
    <w:rsid w:val="00BC70D0"/>
    <w:rsid w:val="00BC7834"/>
    <w:rsid w:val="00BE1348"/>
    <w:rsid w:val="00BE5E8E"/>
    <w:rsid w:val="00BE5F98"/>
    <w:rsid w:val="00BE6A5B"/>
    <w:rsid w:val="00C007F6"/>
    <w:rsid w:val="00C00826"/>
    <w:rsid w:val="00C03925"/>
    <w:rsid w:val="00C047E7"/>
    <w:rsid w:val="00C04A63"/>
    <w:rsid w:val="00C06282"/>
    <w:rsid w:val="00C16BD6"/>
    <w:rsid w:val="00C17ED3"/>
    <w:rsid w:val="00C2447B"/>
    <w:rsid w:val="00C318F5"/>
    <w:rsid w:val="00C3551A"/>
    <w:rsid w:val="00C41329"/>
    <w:rsid w:val="00C464F8"/>
    <w:rsid w:val="00C50BD7"/>
    <w:rsid w:val="00C57B96"/>
    <w:rsid w:val="00C62FA1"/>
    <w:rsid w:val="00C6378D"/>
    <w:rsid w:val="00C63AFF"/>
    <w:rsid w:val="00C66F5F"/>
    <w:rsid w:val="00C71687"/>
    <w:rsid w:val="00C72F5E"/>
    <w:rsid w:val="00C802C1"/>
    <w:rsid w:val="00C90010"/>
    <w:rsid w:val="00C92C03"/>
    <w:rsid w:val="00C94DCF"/>
    <w:rsid w:val="00C9694D"/>
    <w:rsid w:val="00C96E5E"/>
    <w:rsid w:val="00C97019"/>
    <w:rsid w:val="00CA29DB"/>
    <w:rsid w:val="00CA66AE"/>
    <w:rsid w:val="00CC1195"/>
    <w:rsid w:val="00CC4BE4"/>
    <w:rsid w:val="00CC55EC"/>
    <w:rsid w:val="00CC793B"/>
    <w:rsid w:val="00CD0116"/>
    <w:rsid w:val="00CD519A"/>
    <w:rsid w:val="00CD7865"/>
    <w:rsid w:val="00CD7E66"/>
    <w:rsid w:val="00CF6510"/>
    <w:rsid w:val="00CF7B05"/>
    <w:rsid w:val="00D04EA3"/>
    <w:rsid w:val="00D07DD9"/>
    <w:rsid w:val="00D100D6"/>
    <w:rsid w:val="00D11F1D"/>
    <w:rsid w:val="00D12FBD"/>
    <w:rsid w:val="00D161B4"/>
    <w:rsid w:val="00D16D75"/>
    <w:rsid w:val="00D2126B"/>
    <w:rsid w:val="00D22D14"/>
    <w:rsid w:val="00D27DE1"/>
    <w:rsid w:val="00D3515D"/>
    <w:rsid w:val="00D4290F"/>
    <w:rsid w:val="00D4387C"/>
    <w:rsid w:val="00D44DB1"/>
    <w:rsid w:val="00D56C0A"/>
    <w:rsid w:val="00D617D8"/>
    <w:rsid w:val="00D6328A"/>
    <w:rsid w:val="00D63690"/>
    <w:rsid w:val="00D6618B"/>
    <w:rsid w:val="00D66CB2"/>
    <w:rsid w:val="00D7240A"/>
    <w:rsid w:val="00D724D7"/>
    <w:rsid w:val="00D77584"/>
    <w:rsid w:val="00D80BBF"/>
    <w:rsid w:val="00D8796B"/>
    <w:rsid w:val="00D94F65"/>
    <w:rsid w:val="00D96744"/>
    <w:rsid w:val="00D96A48"/>
    <w:rsid w:val="00DA192B"/>
    <w:rsid w:val="00DA3F2E"/>
    <w:rsid w:val="00DA5D0D"/>
    <w:rsid w:val="00DB1E0C"/>
    <w:rsid w:val="00DB2DC5"/>
    <w:rsid w:val="00DC2B2A"/>
    <w:rsid w:val="00DD3416"/>
    <w:rsid w:val="00DE4DA4"/>
    <w:rsid w:val="00DE6BEB"/>
    <w:rsid w:val="00DF05AE"/>
    <w:rsid w:val="00DF194C"/>
    <w:rsid w:val="00DF6C34"/>
    <w:rsid w:val="00DF716C"/>
    <w:rsid w:val="00E01275"/>
    <w:rsid w:val="00E041E4"/>
    <w:rsid w:val="00E13541"/>
    <w:rsid w:val="00E14D72"/>
    <w:rsid w:val="00E14D9D"/>
    <w:rsid w:val="00E21E01"/>
    <w:rsid w:val="00E23EB3"/>
    <w:rsid w:val="00E313AF"/>
    <w:rsid w:val="00E53839"/>
    <w:rsid w:val="00E566E4"/>
    <w:rsid w:val="00E60B70"/>
    <w:rsid w:val="00E60C03"/>
    <w:rsid w:val="00E65CBA"/>
    <w:rsid w:val="00E67C6B"/>
    <w:rsid w:val="00E70F3A"/>
    <w:rsid w:val="00E8014D"/>
    <w:rsid w:val="00E82947"/>
    <w:rsid w:val="00E829A2"/>
    <w:rsid w:val="00E83ADE"/>
    <w:rsid w:val="00E854D2"/>
    <w:rsid w:val="00E866D6"/>
    <w:rsid w:val="00E87CE6"/>
    <w:rsid w:val="00E90876"/>
    <w:rsid w:val="00E9434C"/>
    <w:rsid w:val="00EA0357"/>
    <w:rsid w:val="00EA4787"/>
    <w:rsid w:val="00EA6BF0"/>
    <w:rsid w:val="00EB2024"/>
    <w:rsid w:val="00EB366B"/>
    <w:rsid w:val="00EC0016"/>
    <w:rsid w:val="00ED1A15"/>
    <w:rsid w:val="00ED64E9"/>
    <w:rsid w:val="00ED70BA"/>
    <w:rsid w:val="00EF264A"/>
    <w:rsid w:val="00EF4430"/>
    <w:rsid w:val="00EF6A2F"/>
    <w:rsid w:val="00F0354E"/>
    <w:rsid w:val="00F101EC"/>
    <w:rsid w:val="00F221C2"/>
    <w:rsid w:val="00F24076"/>
    <w:rsid w:val="00F4269A"/>
    <w:rsid w:val="00F4793D"/>
    <w:rsid w:val="00F53DE9"/>
    <w:rsid w:val="00F579EC"/>
    <w:rsid w:val="00F62BE0"/>
    <w:rsid w:val="00F62FDB"/>
    <w:rsid w:val="00F70A13"/>
    <w:rsid w:val="00F71B7F"/>
    <w:rsid w:val="00F80C0B"/>
    <w:rsid w:val="00F845E2"/>
    <w:rsid w:val="00F86DAE"/>
    <w:rsid w:val="00F921C8"/>
    <w:rsid w:val="00F977E1"/>
    <w:rsid w:val="00FA5216"/>
    <w:rsid w:val="00FB4746"/>
    <w:rsid w:val="00FC1DCC"/>
    <w:rsid w:val="00FD1524"/>
    <w:rsid w:val="00FD30EE"/>
    <w:rsid w:val="00FD5583"/>
    <w:rsid w:val="00FE0073"/>
    <w:rsid w:val="00FF19E9"/>
    <w:rsid w:val="00FF4047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41"/>
    <w:rPr>
      <w:rFonts w:ascii="Trebuchet MS" w:hAnsi="Trebuchet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73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73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57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ubHeading"/>
    <w:rsid w:val="00B57341"/>
    <w:rPr>
      <w:sz w:val="26"/>
    </w:rPr>
  </w:style>
  <w:style w:type="character" w:styleId="Hyperlink">
    <w:name w:val="Hyperlink"/>
    <w:basedOn w:val="DefaultParagraphFont"/>
    <w:rsid w:val="00076969"/>
    <w:rPr>
      <w:color w:val="0000FF"/>
      <w:u w:val="single"/>
    </w:rPr>
  </w:style>
  <w:style w:type="paragraph" w:styleId="FootnoteText">
    <w:name w:val="footnote text"/>
    <w:basedOn w:val="Normal"/>
    <w:semiHidden/>
    <w:rsid w:val="00611A4D"/>
    <w:rPr>
      <w:sz w:val="20"/>
      <w:szCs w:val="20"/>
    </w:rPr>
  </w:style>
  <w:style w:type="paragraph" w:customStyle="1" w:styleId="SubHeading">
    <w:name w:val="Sub Heading"/>
    <w:basedOn w:val="Normal"/>
    <w:next w:val="FootnoteText"/>
    <w:rsid w:val="00B57341"/>
    <w:pPr>
      <w:keepNext/>
      <w:spacing w:before="240" w:after="60"/>
      <w:outlineLvl w:val="0"/>
    </w:pPr>
    <w:rPr>
      <w:rFonts w:cs="Arial"/>
      <w:b/>
      <w:kern w:val="32"/>
      <w:szCs w:val="32"/>
    </w:rPr>
  </w:style>
  <w:style w:type="character" w:styleId="FootnoteReference">
    <w:name w:val="footnote reference"/>
    <w:basedOn w:val="DefaultParagraphFont"/>
    <w:semiHidden/>
    <w:rsid w:val="00611A4D"/>
    <w:rPr>
      <w:vertAlign w:val="superscript"/>
    </w:rPr>
  </w:style>
  <w:style w:type="paragraph" w:styleId="Header">
    <w:name w:val="header"/>
    <w:basedOn w:val="Normal"/>
    <w:rsid w:val="00807B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B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7B3F"/>
  </w:style>
  <w:style w:type="paragraph" w:styleId="BalloonText">
    <w:name w:val="Balloon Text"/>
    <w:basedOn w:val="Normal"/>
    <w:semiHidden/>
    <w:rsid w:val="00F86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92BA9"/>
    <w:pPr>
      <w:spacing w:before="240" w:after="240"/>
      <w:ind w:left="720"/>
      <w:jc w:val="both"/>
    </w:pPr>
    <w:rPr>
      <w:rFonts w:ascii="Garamond" w:hAnsi="Garamond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9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78D"/>
    <w:rPr>
      <w:rFonts w:ascii="Trebuchet MS" w:hAnsi="Trebuchet MS"/>
      <w:lang w:eastAsia="en-US"/>
    </w:rPr>
  </w:style>
  <w:style w:type="paragraph" w:styleId="BodyText">
    <w:name w:val="Body Text"/>
    <w:basedOn w:val="Normal"/>
    <w:link w:val="BodyTextChar"/>
    <w:rsid w:val="00A9578D"/>
    <w:pPr>
      <w:spacing w:after="240"/>
    </w:pPr>
    <w:rPr>
      <w:rFonts w:ascii="Times New Roman" w:hAnsi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A9578D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78D"/>
    <w:rPr>
      <w:rFonts w:ascii="Trebuchet MS" w:hAnsi="Trebuchet MS"/>
      <w:b/>
      <w:bCs/>
      <w:lang w:eastAsia="en-US"/>
    </w:rPr>
  </w:style>
  <w:style w:type="paragraph" w:styleId="Title">
    <w:name w:val="Title"/>
    <w:basedOn w:val="Normal"/>
    <w:link w:val="TitleChar"/>
    <w:qFormat/>
    <w:rsid w:val="004F3BA0"/>
    <w:pPr>
      <w:jc w:val="center"/>
    </w:pPr>
    <w:rPr>
      <w:rFonts w:ascii="Times New Roman" w:hAnsi="Times New Roman"/>
      <w:b/>
      <w:sz w:val="24"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rsid w:val="004F3BA0"/>
    <w:rPr>
      <w:b/>
      <w:sz w:val="24"/>
      <w:lang w:val="en-US" w:eastAsia="en-AU"/>
    </w:rPr>
  </w:style>
  <w:style w:type="paragraph" w:styleId="Revision">
    <w:name w:val="Revision"/>
    <w:hidden/>
    <w:uiPriority w:val="99"/>
    <w:semiHidden/>
    <w:rsid w:val="009D4A78"/>
    <w:rPr>
      <w:rFonts w:ascii="Trebuchet MS" w:hAnsi="Trebuchet MS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41"/>
    <w:rPr>
      <w:rFonts w:ascii="Trebuchet MS" w:hAnsi="Trebuchet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73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73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57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ubHeading"/>
    <w:rsid w:val="00B57341"/>
    <w:rPr>
      <w:sz w:val="26"/>
    </w:rPr>
  </w:style>
  <w:style w:type="character" w:styleId="Hyperlink">
    <w:name w:val="Hyperlink"/>
    <w:basedOn w:val="DefaultParagraphFont"/>
    <w:rsid w:val="00076969"/>
    <w:rPr>
      <w:color w:val="0000FF"/>
      <w:u w:val="single"/>
    </w:rPr>
  </w:style>
  <w:style w:type="paragraph" w:styleId="FootnoteText">
    <w:name w:val="footnote text"/>
    <w:basedOn w:val="Normal"/>
    <w:semiHidden/>
    <w:rsid w:val="00611A4D"/>
    <w:rPr>
      <w:sz w:val="20"/>
      <w:szCs w:val="20"/>
    </w:rPr>
  </w:style>
  <w:style w:type="paragraph" w:customStyle="1" w:styleId="SubHeading">
    <w:name w:val="Sub Heading"/>
    <w:basedOn w:val="Normal"/>
    <w:next w:val="FootnoteText"/>
    <w:rsid w:val="00B57341"/>
    <w:pPr>
      <w:keepNext/>
      <w:spacing w:before="240" w:after="60"/>
      <w:outlineLvl w:val="0"/>
    </w:pPr>
    <w:rPr>
      <w:rFonts w:cs="Arial"/>
      <w:b/>
      <w:kern w:val="32"/>
      <w:szCs w:val="32"/>
    </w:rPr>
  </w:style>
  <w:style w:type="character" w:styleId="FootnoteReference">
    <w:name w:val="footnote reference"/>
    <w:basedOn w:val="DefaultParagraphFont"/>
    <w:semiHidden/>
    <w:rsid w:val="00611A4D"/>
    <w:rPr>
      <w:vertAlign w:val="superscript"/>
    </w:rPr>
  </w:style>
  <w:style w:type="paragraph" w:styleId="Header">
    <w:name w:val="header"/>
    <w:basedOn w:val="Normal"/>
    <w:rsid w:val="00807B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B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7B3F"/>
  </w:style>
  <w:style w:type="paragraph" w:styleId="BalloonText">
    <w:name w:val="Balloon Text"/>
    <w:basedOn w:val="Normal"/>
    <w:semiHidden/>
    <w:rsid w:val="00F86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92BA9"/>
    <w:pPr>
      <w:spacing w:before="240" w:after="240"/>
      <w:ind w:left="720"/>
      <w:jc w:val="both"/>
    </w:pPr>
    <w:rPr>
      <w:rFonts w:ascii="Garamond" w:hAnsi="Garamond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95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78D"/>
    <w:rPr>
      <w:rFonts w:ascii="Trebuchet MS" w:hAnsi="Trebuchet MS"/>
      <w:lang w:eastAsia="en-US"/>
    </w:rPr>
  </w:style>
  <w:style w:type="paragraph" w:styleId="BodyText">
    <w:name w:val="Body Text"/>
    <w:basedOn w:val="Normal"/>
    <w:link w:val="BodyTextChar"/>
    <w:rsid w:val="00A9578D"/>
    <w:pPr>
      <w:spacing w:after="240"/>
    </w:pPr>
    <w:rPr>
      <w:rFonts w:ascii="Times New Roman" w:hAnsi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A9578D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78D"/>
    <w:rPr>
      <w:rFonts w:ascii="Trebuchet MS" w:hAnsi="Trebuchet MS"/>
      <w:b/>
      <w:bCs/>
      <w:lang w:eastAsia="en-US"/>
    </w:rPr>
  </w:style>
  <w:style w:type="paragraph" w:styleId="Title">
    <w:name w:val="Title"/>
    <w:basedOn w:val="Normal"/>
    <w:link w:val="TitleChar"/>
    <w:qFormat/>
    <w:rsid w:val="004F3BA0"/>
    <w:pPr>
      <w:jc w:val="center"/>
    </w:pPr>
    <w:rPr>
      <w:rFonts w:ascii="Times New Roman" w:hAnsi="Times New Roman"/>
      <w:b/>
      <w:sz w:val="24"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rsid w:val="004F3BA0"/>
    <w:rPr>
      <w:b/>
      <w:sz w:val="24"/>
      <w:lang w:val="en-US" w:eastAsia="en-AU"/>
    </w:rPr>
  </w:style>
  <w:style w:type="paragraph" w:styleId="Revision">
    <w:name w:val="Revision"/>
    <w:hidden/>
    <w:uiPriority w:val="99"/>
    <w:semiHidden/>
    <w:rsid w:val="009D4A78"/>
    <w:rPr>
      <w:rFonts w:ascii="Trebuchet MS" w:hAnsi="Trebuchet M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A0AA568-4F88-4F48-81B1-14F175EF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&lt;&lt;enter title of instrument, including subtitle (if any)&gt;&gt;</vt:lpstr>
    </vt:vector>
  </TitlesOfParts>
  <Company>APRA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&lt;&lt;enter title of instrument, including subtitle (if any)&gt;&gt;</dc:title>
  <dc:creator>dcsull</dc:creator>
  <cp:lastModifiedBy>Antonietta Discala</cp:lastModifiedBy>
  <cp:revision>2</cp:revision>
  <cp:lastPrinted>2013-06-16T23:31:00Z</cp:lastPrinted>
  <dcterms:created xsi:type="dcterms:W3CDTF">2013-06-18T02:48:00Z</dcterms:created>
  <dcterms:modified xsi:type="dcterms:W3CDTF">2013-06-18T02:48:00Z</dcterms:modified>
</cp:coreProperties>
</file>