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35" w:rsidRDefault="00273E35">
      <w:pPr>
        <w:pStyle w:val="Title"/>
        <w:spacing w:after="240"/>
        <w:rPr>
          <w:b/>
          <w:bCs/>
        </w:rPr>
      </w:pPr>
      <w:r>
        <w:rPr>
          <w:b/>
          <w:bCs/>
        </w:rPr>
        <w:t>EXPLANATORY STATEMENT</w:t>
      </w:r>
    </w:p>
    <w:p w:rsidR="00273E35" w:rsidRPr="00C74A16" w:rsidRDefault="00273E35" w:rsidP="00C74A16">
      <w:pPr>
        <w:spacing w:before="120" w:after="120"/>
        <w:jc w:val="center"/>
        <w:rPr>
          <w:sz w:val="24"/>
        </w:rPr>
      </w:pPr>
      <w:r w:rsidRPr="00C74A16">
        <w:rPr>
          <w:sz w:val="24"/>
        </w:rPr>
        <w:t xml:space="preserve">Issued by the authority of the Minister for Finance and </w:t>
      </w:r>
      <w:r w:rsidR="00095051" w:rsidRPr="00C74A16">
        <w:rPr>
          <w:sz w:val="24"/>
        </w:rPr>
        <w:t>Deregulation</w:t>
      </w:r>
    </w:p>
    <w:p w:rsidR="00C74A16" w:rsidRDefault="00273E35" w:rsidP="00C74A16">
      <w:pPr>
        <w:spacing w:before="120" w:after="120"/>
        <w:jc w:val="center"/>
        <w:rPr>
          <w:i/>
          <w:sz w:val="24"/>
        </w:rPr>
      </w:pPr>
      <w:r w:rsidRPr="00C74A16">
        <w:rPr>
          <w:i/>
          <w:sz w:val="24"/>
        </w:rPr>
        <w:t>Financial Management and Accountability Act 1997</w:t>
      </w:r>
    </w:p>
    <w:p w:rsidR="00273E35" w:rsidRPr="00B84E47" w:rsidRDefault="00D457E2" w:rsidP="00C74A16">
      <w:pPr>
        <w:spacing w:before="120" w:after="120"/>
        <w:jc w:val="center"/>
        <w:rPr>
          <w:i/>
          <w:sz w:val="24"/>
          <w:szCs w:val="24"/>
        </w:rPr>
      </w:pPr>
      <w:r>
        <w:rPr>
          <w:i/>
          <w:sz w:val="24"/>
          <w:szCs w:val="24"/>
        </w:rPr>
        <w:t>FMA Act</w:t>
      </w:r>
      <w:r w:rsidR="00B84E47" w:rsidRPr="00B84E47">
        <w:rPr>
          <w:i/>
          <w:sz w:val="24"/>
          <w:szCs w:val="24"/>
        </w:rPr>
        <w:t xml:space="preserve"> (</w:t>
      </w:r>
      <w:r w:rsidR="008F384B">
        <w:rPr>
          <w:i/>
          <w:sz w:val="24"/>
          <w:szCs w:val="24"/>
        </w:rPr>
        <w:t>Variation</w:t>
      </w:r>
      <w:r>
        <w:rPr>
          <w:i/>
          <w:sz w:val="24"/>
          <w:szCs w:val="24"/>
        </w:rPr>
        <w:t>s</w:t>
      </w:r>
      <w:r w:rsidR="008F384B">
        <w:rPr>
          <w:i/>
          <w:sz w:val="24"/>
          <w:szCs w:val="24"/>
        </w:rPr>
        <w:t xml:space="preserve"> and abolition</w:t>
      </w:r>
      <w:r>
        <w:rPr>
          <w:i/>
          <w:sz w:val="24"/>
          <w:szCs w:val="24"/>
        </w:rPr>
        <w:t>s</w:t>
      </w:r>
      <w:r w:rsidR="00DF7B0F">
        <w:rPr>
          <w:i/>
          <w:sz w:val="24"/>
          <w:szCs w:val="24"/>
        </w:rPr>
        <w:t xml:space="preserve"> of Special Accounts</w:t>
      </w:r>
      <w:r w:rsidR="00B84E47" w:rsidRPr="00B84E47">
        <w:rPr>
          <w:i/>
          <w:sz w:val="24"/>
          <w:szCs w:val="24"/>
        </w:rPr>
        <w:t>) Determination 2013/0</w:t>
      </w:r>
      <w:r>
        <w:rPr>
          <w:i/>
          <w:sz w:val="24"/>
          <w:szCs w:val="24"/>
        </w:rPr>
        <w:t>5</w:t>
      </w:r>
    </w:p>
    <w:p w:rsidR="00633F46" w:rsidRDefault="007F5434" w:rsidP="00F06A76">
      <w:pPr>
        <w:pStyle w:val="BodyText"/>
        <w:spacing w:after="120"/>
      </w:pPr>
      <w:r>
        <w:br/>
      </w:r>
      <w:r w:rsidR="00633F46">
        <w:t>Th</w:t>
      </w:r>
      <w:r w:rsidR="00CE00FE">
        <w:t xml:space="preserve">is </w:t>
      </w:r>
      <w:r w:rsidR="00DF7B0F">
        <w:t>d</w:t>
      </w:r>
      <w:r w:rsidR="00633F46">
        <w:t>etermination</w:t>
      </w:r>
      <w:r w:rsidR="006E53C2">
        <w:t xml:space="preserve"> </w:t>
      </w:r>
      <w:r w:rsidR="00DF7B0F">
        <w:t xml:space="preserve">(the Determination) </w:t>
      </w:r>
      <w:r w:rsidR="006E53C2">
        <w:t>is</w:t>
      </w:r>
      <w:r w:rsidR="00887A0A">
        <w:t xml:space="preserve"> made </w:t>
      </w:r>
      <w:r w:rsidR="00633F46">
        <w:t xml:space="preserve">under </w:t>
      </w:r>
      <w:r w:rsidR="00805FA7">
        <w:t>sub</w:t>
      </w:r>
      <w:r w:rsidR="00D92000">
        <w:t>section</w:t>
      </w:r>
      <w:r w:rsidR="00DF7B0F">
        <w:t>s 20</w:t>
      </w:r>
      <w:r w:rsidR="00B84E47">
        <w:t xml:space="preserve">(2) </w:t>
      </w:r>
      <w:r w:rsidR="005677A1">
        <w:t xml:space="preserve">and </w:t>
      </w:r>
      <w:r w:rsidR="00D92000">
        <w:t>20</w:t>
      </w:r>
      <w:r w:rsidR="00805FA7">
        <w:t>(3)</w:t>
      </w:r>
      <w:r w:rsidR="00633F46">
        <w:t xml:space="preserve"> of the </w:t>
      </w:r>
      <w:r w:rsidR="00633F46">
        <w:rPr>
          <w:i/>
          <w:iCs/>
        </w:rPr>
        <w:t>Financial Management and Accountability Act 1997</w:t>
      </w:r>
      <w:r w:rsidR="00633F46">
        <w:t xml:space="preserve"> (FMA Act)</w:t>
      </w:r>
      <w:r>
        <w:t>.</w:t>
      </w:r>
      <w:r w:rsidR="00CE00FE">
        <w:rPr>
          <w:noProof/>
        </w:rPr>
        <w:t xml:space="preserve">  </w:t>
      </w:r>
      <w:r w:rsidR="00BF4ED8">
        <w:rPr>
          <w:noProof/>
        </w:rPr>
        <w:t xml:space="preserve">The Determination varies and abolishes </w:t>
      </w:r>
      <w:r w:rsidR="00DF7B0F">
        <w:rPr>
          <w:noProof/>
        </w:rPr>
        <w:t>t</w:t>
      </w:r>
      <w:r w:rsidR="00C005A0">
        <w:rPr>
          <w:noProof/>
        </w:rPr>
        <w:t>wo</w:t>
      </w:r>
      <w:r w:rsidR="00DF7B0F">
        <w:rPr>
          <w:noProof/>
        </w:rPr>
        <w:t xml:space="preserve"> Special Accounts.  </w:t>
      </w:r>
      <w:r w:rsidR="0015775E">
        <w:rPr>
          <w:noProof/>
        </w:rPr>
        <w:t xml:space="preserve">Section 48A of the </w:t>
      </w:r>
      <w:r w:rsidR="0015775E" w:rsidRPr="0078297B">
        <w:rPr>
          <w:i/>
          <w:iCs/>
          <w:szCs w:val="24"/>
        </w:rPr>
        <w:t>Legislative Instruments Act 2003</w:t>
      </w:r>
      <w:r w:rsidR="0015775E">
        <w:rPr>
          <w:i/>
          <w:iCs/>
          <w:szCs w:val="24"/>
        </w:rPr>
        <w:t xml:space="preserve"> </w:t>
      </w:r>
      <w:r w:rsidR="00DF7B0F">
        <w:rPr>
          <w:iCs/>
          <w:szCs w:val="24"/>
        </w:rPr>
        <w:t>applies to the</w:t>
      </w:r>
      <w:r w:rsidR="002D62EF">
        <w:rPr>
          <w:noProof/>
        </w:rPr>
        <w:t xml:space="preserve"> </w:t>
      </w:r>
      <w:r w:rsidR="00CE00FE">
        <w:rPr>
          <w:noProof/>
        </w:rPr>
        <w:t>D</w:t>
      </w:r>
      <w:r w:rsidR="002D62EF">
        <w:rPr>
          <w:noProof/>
        </w:rPr>
        <w:t>etermination</w:t>
      </w:r>
      <w:r w:rsidR="0094150B" w:rsidRPr="00D92000">
        <w:rPr>
          <w:noProof/>
        </w:rPr>
        <w:t>.</w:t>
      </w:r>
    </w:p>
    <w:p w:rsidR="00273E35" w:rsidRDefault="00273E35" w:rsidP="003A69BE">
      <w:pPr>
        <w:pStyle w:val="Heading3"/>
        <w:spacing w:before="240"/>
        <w:rPr>
          <w:i/>
          <w:iCs/>
        </w:rPr>
      </w:pPr>
      <w:r>
        <w:rPr>
          <w:i/>
          <w:iCs/>
        </w:rPr>
        <w:t xml:space="preserve">Special Accounts </w:t>
      </w:r>
      <w:r w:rsidR="007A6E74">
        <w:rPr>
          <w:i/>
          <w:iCs/>
        </w:rPr>
        <w:t>g</w:t>
      </w:r>
      <w:r>
        <w:rPr>
          <w:i/>
          <w:iCs/>
        </w:rPr>
        <w:t>enerally</w:t>
      </w:r>
    </w:p>
    <w:p w:rsidR="00804384" w:rsidRPr="0078297B" w:rsidRDefault="00804384" w:rsidP="00804384">
      <w:pPr>
        <w:pStyle w:val="BodyText"/>
        <w:spacing w:before="120" w:after="120"/>
        <w:jc w:val="both"/>
      </w:pPr>
      <w:r>
        <w:t xml:space="preserve">In accordance with the Constitution, all revenues or moneys raised or received by the Government of the Commonwealth form one Consolidated Revenue Fund (CRF) and may not be spent unless under an appropriation by the Parliament for the purposes of the Commonwealth.  A Special Account may be established by a determination that sets out the amounts that may be credited and the purposes for which it may be debited.  Special Accounts established by determination </w:t>
      </w:r>
      <w:r w:rsidRPr="0078297B">
        <w:t>are supported by an appropriation under section 20 of the FMA Act.  In effect, Special Accounts allow amounts from the CRF to be spent on the purposes specified in the determination.</w:t>
      </w:r>
    </w:p>
    <w:p w:rsidR="00804384" w:rsidRPr="0078297B" w:rsidRDefault="00804384" w:rsidP="00804384">
      <w:pPr>
        <w:spacing w:before="120" w:after="120"/>
        <w:jc w:val="both"/>
        <w:rPr>
          <w:sz w:val="24"/>
          <w:szCs w:val="24"/>
        </w:rPr>
      </w:pPr>
      <w:r w:rsidRPr="0078297B">
        <w:rPr>
          <w:sz w:val="24"/>
          <w:szCs w:val="24"/>
        </w:rPr>
        <w:t>Determinations that establish Special Accounts under subsection 20(1) of the FMA Act or vary Special Accounts under subsection 20(2) of the FMA Act are subject to the tabling and disallowance procedures in section 22 of the FMA Act.  Section 22 of the FMA Act requires the Finance Minister to table a copy of the determination in each House of the Parliament.  Either House may pass a resolution disallowing a determination within five sitting days of tabling.  If the determination is not disallowed, it comes into effect on the day immediately after the last day on which it could have been disallowed.</w:t>
      </w:r>
    </w:p>
    <w:p w:rsidR="00804384" w:rsidRPr="0078297B" w:rsidRDefault="00804384" w:rsidP="00804384">
      <w:pPr>
        <w:spacing w:before="120" w:after="120"/>
        <w:jc w:val="both"/>
        <w:rPr>
          <w:sz w:val="24"/>
          <w:szCs w:val="24"/>
        </w:rPr>
      </w:pPr>
      <w:r w:rsidRPr="0078297B">
        <w:rPr>
          <w:sz w:val="24"/>
          <w:szCs w:val="24"/>
        </w:rPr>
        <w:t>Subsection 20(6) of the FMA Act exempts determinations that establish Special Accounts under subsection 20(1) of the FMA Act or vary Special Accounts under subsection 20(2) of the FMA Act from the operation of Part 6 (</w:t>
      </w:r>
      <w:proofErr w:type="spellStart"/>
      <w:r w:rsidRPr="0078297B">
        <w:rPr>
          <w:sz w:val="24"/>
          <w:szCs w:val="24"/>
        </w:rPr>
        <w:t>sunsetting</w:t>
      </w:r>
      <w:proofErr w:type="spellEnd"/>
      <w:r w:rsidRPr="0078297B">
        <w:rPr>
          <w:sz w:val="24"/>
          <w:szCs w:val="24"/>
        </w:rPr>
        <w:t xml:space="preserve">) of the </w:t>
      </w:r>
      <w:r w:rsidRPr="0078297B">
        <w:rPr>
          <w:i/>
          <w:iCs/>
          <w:sz w:val="24"/>
          <w:szCs w:val="24"/>
        </w:rPr>
        <w:t>Legislative Instruments Act 2003</w:t>
      </w:r>
      <w:r w:rsidRPr="0078297B">
        <w:rPr>
          <w:sz w:val="24"/>
          <w:szCs w:val="24"/>
        </w:rPr>
        <w:t>.</w:t>
      </w:r>
    </w:p>
    <w:p w:rsidR="00804384" w:rsidRDefault="00804384" w:rsidP="00804384">
      <w:pPr>
        <w:pStyle w:val="Heading3"/>
        <w:keepNext w:val="0"/>
        <w:jc w:val="both"/>
        <w:rPr>
          <w:b w:val="0"/>
          <w:szCs w:val="24"/>
        </w:rPr>
      </w:pPr>
      <w:r w:rsidRPr="0078297B">
        <w:rPr>
          <w:b w:val="0"/>
          <w:szCs w:val="24"/>
        </w:rPr>
        <w:t>Subsection 20(7) of the FMA Act exempts determinations that abolish Special Accounts under subsection 20(3) of the FMA Act from the operation of sec</w:t>
      </w:r>
      <w:r>
        <w:rPr>
          <w:b w:val="0"/>
          <w:szCs w:val="24"/>
        </w:rPr>
        <w:t>tion 42 (disallowance) and Part </w:t>
      </w:r>
      <w:r w:rsidRPr="0078297B">
        <w:rPr>
          <w:b w:val="0"/>
          <w:szCs w:val="24"/>
        </w:rPr>
        <w:t>6 (</w:t>
      </w:r>
      <w:proofErr w:type="spellStart"/>
      <w:r w:rsidRPr="0078297B">
        <w:rPr>
          <w:b w:val="0"/>
          <w:szCs w:val="24"/>
        </w:rPr>
        <w:t>sunsetting</w:t>
      </w:r>
      <w:proofErr w:type="spellEnd"/>
      <w:r w:rsidRPr="0078297B">
        <w:rPr>
          <w:b w:val="0"/>
          <w:szCs w:val="24"/>
        </w:rPr>
        <w:t xml:space="preserve">) of the </w:t>
      </w:r>
      <w:r w:rsidRPr="0078297B">
        <w:rPr>
          <w:b w:val="0"/>
          <w:i/>
          <w:iCs/>
          <w:szCs w:val="24"/>
        </w:rPr>
        <w:t>Legislative Instruments Act 2003</w:t>
      </w:r>
      <w:r w:rsidRPr="0078297B">
        <w:rPr>
          <w:b w:val="0"/>
          <w:szCs w:val="24"/>
        </w:rPr>
        <w:t>.</w:t>
      </w:r>
    </w:p>
    <w:p w:rsidR="00D457E2" w:rsidRDefault="009F7258" w:rsidP="00D457E2">
      <w:pPr>
        <w:pStyle w:val="Heading3"/>
        <w:spacing w:before="240"/>
        <w:rPr>
          <w:i/>
          <w:iCs/>
        </w:rPr>
      </w:pPr>
      <w:r>
        <w:rPr>
          <w:i/>
          <w:iCs/>
        </w:rPr>
        <w:t xml:space="preserve">Exemption from Statement of Compatibility with </w:t>
      </w:r>
      <w:r w:rsidR="00D457E2">
        <w:rPr>
          <w:i/>
          <w:iCs/>
        </w:rPr>
        <w:t>Human Rights</w:t>
      </w:r>
    </w:p>
    <w:p w:rsidR="008F384B" w:rsidRDefault="00804384" w:rsidP="009F7258">
      <w:pPr>
        <w:jc w:val="both"/>
        <w:rPr>
          <w:b/>
          <w:bCs/>
          <w:sz w:val="24"/>
          <w:szCs w:val="24"/>
        </w:rPr>
      </w:pPr>
      <w:r>
        <w:rPr>
          <w:sz w:val="24"/>
          <w:szCs w:val="24"/>
        </w:rPr>
        <w:t>A Statement of Compatibility with Human Rights is not required for this determination.  Subsection 9(1) of the</w:t>
      </w:r>
      <w:r>
        <w:rPr>
          <w:i/>
          <w:iCs/>
          <w:sz w:val="24"/>
          <w:szCs w:val="24"/>
        </w:rPr>
        <w:t xml:space="preserve"> Human Rights (Parliamentary Scrutiny) Act 2011 </w:t>
      </w:r>
      <w:r>
        <w:rPr>
          <w:sz w:val="24"/>
          <w:szCs w:val="24"/>
        </w:rPr>
        <w:t>requires a Statement of Compatibility with Human Rights for all legislative instruments subject to disallowance under section 42 of the</w:t>
      </w:r>
      <w:r>
        <w:rPr>
          <w:i/>
          <w:iCs/>
          <w:sz w:val="24"/>
          <w:szCs w:val="24"/>
        </w:rPr>
        <w:t xml:space="preserve"> Legislative Instruments Act 2003.  </w:t>
      </w:r>
      <w:r>
        <w:rPr>
          <w:sz w:val="24"/>
          <w:szCs w:val="24"/>
        </w:rPr>
        <w:t>While determinations made or varied under subsections 20(1) or 20(2) of the FMA Act are subject to disallowance under section 22 of the FMA Act</w:t>
      </w:r>
      <w:r>
        <w:rPr>
          <w:i/>
          <w:iCs/>
          <w:sz w:val="24"/>
          <w:szCs w:val="24"/>
        </w:rPr>
        <w:t xml:space="preserve"> </w:t>
      </w:r>
      <w:r>
        <w:rPr>
          <w:sz w:val="24"/>
          <w:szCs w:val="24"/>
        </w:rPr>
        <w:t>they are not subject to disallowance under section 42 of the</w:t>
      </w:r>
      <w:r>
        <w:rPr>
          <w:i/>
          <w:iCs/>
          <w:sz w:val="24"/>
          <w:szCs w:val="24"/>
        </w:rPr>
        <w:t xml:space="preserve"> Legislative Instruments Act 2003</w:t>
      </w:r>
      <w:r>
        <w:rPr>
          <w:sz w:val="24"/>
          <w:szCs w:val="24"/>
        </w:rPr>
        <w:t xml:space="preserve">.  Determinations made under subsection 20(3) of the FMA Act are exempt from disallowance under subsection 20(7) of the FMA </w:t>
      </w:r>
      <w:proofErr w:type="gramStart"/>
      <w:r>
        <w:rPr>
          <w:sz w:val="24"/>
          <w:szCs w:val="24"/>
        </w:rPr>
        <w:t>Act,</w:t>
      </w:r>
      <w:proofErr w:type="gramEnd"/>
      <w:r>
        <w:rPr>
          <w:sz w:val="24"/>
          <w:szCs w:val="24"/>
        </w:rPr>
        <w:t xml:space="preserve"> as such a Statement of Compatibility with Human Rights is not required.</w:t>
      </w:r>
      <w:r w:rsidR="008F384B">
        <w:rPr>
          <w:szCs w:val="24"/>
        </w:rPr>
        <w:br w:type="page"/>
      </w:r>
    </w:p>
    <w:p w:rsidR="00273E35" w:rsidRPr="00E66E00" w:rsidRDefault="007F5434" w:rsidP="00E66E00">
      <w:pPr>
        <w:pStyle w:val="Heading3"/>
        <w:keepNext w:val="0"/>
        <w:spacing w:before="240"/>
        <w:rPr>
          <w:i/>
          <w:szCs w:val="24"/>
        </w:rPr>
      </w:pPr>
      <w:r w:rsidRPr="00E66E00">
        <w:rPr>
          <w:i/>
          <w:szCs w:val="24"/>
        </w:rPr>
        <w:lastRenderedPageBreak/>
        <w:t>Purposes</w:t>
      </w:r>
      <w:r w:rsidR="00273E35" w:rsidRPr="00E66E00">
        <w:rPr>
          <w:i/>
          <w:szCs w:val="24"/>
        </w:rPr>
        <w:t xml:space="preserve"> of </w:t>
      </w:r>
      <w:r w:rsidR="00C2613A" w:rsidRPr="00E66E00">
        <w:rPr>
          <w:i/>
          <w:szCs w:val="24"/>
        </w:rPr>
        <w:t xml:space="preserve">this </w:t>
      </w:r>
      <w:r w:rsidR="00273E35" w:rsidRPr="00E66E00">
        <w:rPr>
          <w:i/>
          <w:szCs w:val="24"/>
        </w:rPr>
        <w:t xml:space="preserve">Determination </w:t>
      </w:r>
    </w:p>
    <w:p w:rsidR="00182AD2" w:rsidRDefault="001F2C32" w:rsidP="00E66E00">
      <w:pPr>
        <w:spacing w:before="120" w:after="120"/>
        <w:rPr>
          <w:sz w:val="24"/>
          <w:szCs w:val="24"/>
        </w:rPr>
      </w:pPr>
      <w:r w:rsidRPr="00E66E00">
        <w:rPr>
          <w:sz w:val="24"/>
          <w:szCs w:val="24"/>
        </w:rPr>
        <w:t>Th</w:t>
      </w:r>
      <w:r w:rsidR="003A69BE" w:rsidRPr="00E66E00">
        <w:rPr>
          <w:sz w:val="24"/>
          <w:szCs w:val="24"/>
        </w:rPr>
        <w:t>e</w:t>
      </w:r>
      <w:r w:rsidRPr="00E66E00">
        <w:rPr>
          <w:sz w:val="24"/>
          <w:szCs w:val="24"/>
        </w:rPr>
        <w:t xml:space="preserve"> </w:t>
      </w:r>
      <w:r w:rsidRPr="00C005A0">
        <w:rPr>
          <w:sz w:val="24"/>
          <w:szCs w:val="24"/>
        </w:rPr>
        <w:t xml:space="preserve">Determination </w:t>
      </w:r>
      <w:r w:rsidR="00A50D15" w:rsidRPr="00C005A0">
        <w:rPr>
          <w:sz w:val="24"/>
          <w:szCs w:val="24"/>
        </w:rPr>
        <w:t xml:space="preserve">varies the </w:t>
      </w:r>
      <w:r w:rsidR="00C005A0" w:rsidRPr="00C005A0">
        <w:rPr>
          <w:i/>
          <w:sz w:val="24"/>
          <w:szCs w:val="24"/>
        </w:rPr>
        <w:t>Family Court of Australia Litigants’ Fund Special Account</w:t>
      </w:r>
      <w:r w:rsidR="00C005A0" w:rsidRPr="00C005A0">
        <w:rPr>
          <w:sz w:val="24"/>
          <w:szCs w:val="24"/>
        </w:rPr>
        <w:t xml:space="preserve"> </w:t>
      </w:r>
      <w:r w:rsidR="00C005A0">
        <w:rPr>
          <w:sz w:val="24"/>
          <w:szCs w:val="24"/>
        </w:rPr>
        <w:t xml:space="preserve">and the </w:t>
      </w:r>
      <w:r w:rsidR="00C005A0" w:rsidRPr="00C005A0">
        <w:rPr>
          <w:i/>
          <w:sz w:val="24"/>
          <w:szCs w:val="24"/>
        </w:rPr>
        <w:t>Federal Magistrates Court Litigants’ Fund Special Account</w:t>
      </w:r>
      <w:r w:rsidR="00C005A0" w:rsidRPr="00C005A0">
        <w:rPr>
          <w:sz w:val="24"/>
          <w:szCs w:val="24"/>
        </w:rPr>
        <w:t xml:space="preserve"> </w:t>
      </w:r>
      <w:r w:rsidR="00182AD2" w:rsidRPr="00C005A0">
        <w:rPr>
          <w:sz w:val="24"/>
          <w:szCs w:val="24"/>
        </w:rPr>
        <w:t>(the Special Account</w:t>
      </w:r>
      <w:r w:rsidR="00C005A0">
        <w:rPr>
          <w:sz w:val="24"/>
          <w:szCs w:val="24"/>
        </w:rPr>
        <w:t>s</w:t>
      </w:r>
      <w:r w:rsidR="00182AD2" w:rsidRPr="00C005A0">
        <w:rPr>
          <w:sz w:val="24"/>
          <w:szCs w:val="24"/>
        </w:rPr>
        <w:t>) t</w:t>
      </w:r>
      <w:r w:rsidR="00A50D15" w:rsidRPr="00C005A0">
        <w:rPr>
          <w:sz w:val="24"/>
          <w:szCs w:val="24"/>
        </w:rPr>
        <w:t>o</w:t>
      </w:r>
      <w:r w:rsidR="00A50D15">
        <w:rPr>
          <w:sz w:val="24"/>
          <w:szCs w:val="24"/>
        </w:rPr>
        <w:t xml:space="preserve"> allow the </w:t>
      </w:r>
      <w:r w:rsidR="00C005A0">
        <w:rPr>
          <w:sz w:val="24"/>
          <w:szCs w:val="24"/>
        </w:rPr>
        <w:t xml:space="preserve">new </w:t>
      </w:r>
      <w:r w:rsidR="00C005A0" w:rsidRPr="00C005A0">
        <w:rPr>
          <w:rStyle w:val="HelpText"/>
          <w:i/>
          <w:color w:val="auto"/>
          <w:sz w:val="24"/>
          <w:szCs w:val="24"/>
        </w:rPr>
        <w:t xml:space="preserve">Family Court and Federal Circuit Court of Australia </w:t>
      </w:r>
      <w:r w:rsidR="00C005A0" w:rsidRPr="00C005A0">
        <w:rPr>
          <w:rStyle w:val="HelpText"/>
          <w:color w:val="auto"/>
          <w:sz w:val="24"/>
          <w:szCs w:val="24"/>
        </w:rPr>
        <w:t>Agency</w:t>
      </w:r>
      <w:r w:rsidR="00C005A0" w:rsidRPr="00C005A0">
        <w:rPr>
          <w:sz w:val="24"/>
          <w:szCs w:val="24"/>
        </w:rPr>
        <w:t xml:space="preserve"> </w:t>
      </w:r>
      <w:r w:rsidR="00C005A0">
        <w:rPr>
          <w:sz w:val="24"/>
          <w:szCs w:val="24"/>
        </w:rPr>
        <w:t xml:space="preserve">(the Agency) </w:t>
      </w:r>
      <w:r w:rsidR="00A50D15" w:rsidRPr="00C005A0">
        <w:rPr>
          <w:sz w:val="24"/>
          <w:szCs w:val="24"/>
        </w:rPr>
        <w:t xml:space="preserve">to </w:t>
      </w:r>
      <w:r w:rsidR="00182AD2" w:rsidRPr="00C005A0">
        <w:rPr>
          <w:sz w:val="24"/>
          <w:szCs w:val="24"/>
        </w:rPr>
        <w:t>be</w:t>
      </w:r>
      <w:r w:rsidR="00182AD2">
        <w:rPr>
          <w:sz w:val="24"/>
          <w:szCs w:val="24"/>
        </w:rPr>
        <w:t xml:space="preserve"> able to pay amounts </w:t>
      </w:r>
      <w:r w:rsidR="00C005A0">
        <w:rPr>
          <w:sz w:val="24"/>
          <w:szCs w:val="24"/>
        </w:rPr>
        <w:t xml:space="preserve">from the </w:t>
      </w:r>
      <w:r w:rsidR="00182AD2">
        <w:rPr>
          <w:sz w:val="24"/>
          <w:szCs w:val="24"/>
        </w:rPr>
        <w:t>Special Account</w:t>
      </w:r>
      <w:r w:rsidR="00C005A0">
        <w:rPr>
          <w:sz w:val="24"/>
          <w:szCs w:val="24"/>
        </w:rPr>
        <w:t>s to another Special Account with a similar purpose</w:t>
      </w:r>
      <w:r w:rsidR="00182AD2">
        <w:rPr>
          <w:sz w:val="24"/>
          <w:szCs w:val="24"/>
        </w:rPr>
        <w:t xml:space="preserve">.  </w:t>
      </w:r>
    </w:p>
    <w:p w:rsidR="00E66E00" w:rsidRPr="00403411" w:rsidRDefault="00182AD2" w:rsidP="00403411">
      <w:pPr>
        <w:spacing w:before="120" w:after="120"/>
        <w:rPr>
          <w:sz w:val="24"/>
          <w:szCs w:val="24"/>
        </w:rPr>
      </w:pPr>
      <w:r w:rsidRPr="00C005A0">
        <w:rPr>
          <w:sz w:val="24"/>
          <w:szCs w:val="24"/>
        </w:rPr>
        <w:t xml:space="preserve">Should the </w:t>
      </w:r>
      <w:r w:rsidR="00C005A0" w:rsidRPr="00C005A0">
        <w:rPr>
          <w:rStyle w:val="HelpText"/>
          <w:i/>
          <w:color w:val="auto"/>
          <w:sz w:val="24"/>
          <w:szCs w:val="24"/>
        </w:rPr>
        <w:t>Litigants' Fund Special Account</w:t>
      </w:r>
      <w:r w:rsidR="00C005A0" w:rsidRPr="00C005A0">
        <w:rPr>
          <w:sz w:val="24"/>
          <w:szCs w:val="24"/>
        </w:rPr>
        <w:t xml:space="preserve"> </w:t>
      </w:r>
      <w:r w:rsidRPr="00C005A0">
        <w:rPr>
          <w:sz w:val="24"/>
          <w:szCs w:val="24"/>
        </w:rPr>
        <w:t>determination</w:t>
      </w:r>
      <w:r>
        <w:rPr>
          <w:sz w:val="24"/>
          <w:szCs w:val="24"/>
        </w:rPr>
        <w:t xml:space="preserve"> </w:t>
      </w:r>
      <w:r w:rsidR="00154383">
        <w:rPr>
          <w:sz w:val="24"/>
          <w:szCs w:val="24"/>
        </w:rPr>
        <w:t xml:space="preserve">(2013/06) </w:t>
      </w:r>
      <w:r>
        <w:rPr>
          <w:sz w:val="24"/>
          <w:szCs w:val="24"/>
        </w:rPr>
        <w:t>not be disallowed</w:t>
      </w:r>
      <w:r w:rsidR="00C005A0">
        <w:rPr>
          <w:sz w:val="24"/>
          <w:szCs w:val="24"/>
        </w:rPr>
        <w:t xml:space="preserve"> by </w:t>
      </w:r>
      <w:r w:rsidR="008F384B">
        <w:rPr>
          <w:sz w:val="24"/>
          <w:szCs w:val="24"/>
        </w:rPr>
        <w:t xml:space="preserve">the </w:t>
      </w:r>
      <w:r w:rsidR="00C005A0">
        <w:rPr>
          <w:sz w:val="24"/>
          <w:szCs w:val="24"/>
        </w:rPr>
        <w:t>Parliament</w:t>
      </w:r>
      <w:r>
        <w:rPr>
          <w:sz w:val="24"/>
          <w:szCs w:val="24"/>
        </w:rPr>
        <w:t>, it is expected that the</w:t>
      </w:r>
      <w:r w:rsidR="00C005A0">
        <w:rPr>
          <w:sz w:val="24"/>
          <w:szCs w:val="24"/>
        </w:rPr>
        <w:t xml:space="preserve"> Agency </w:t>
      </w:r>
      <w:r>
        <w:rPr>
          <w:sz w:val="24"/>
          <w:szCs w:val="24"/>
        </w:rPr>
        <w:t>would transfer</w:t>
      </w:r>
      <w:r w:rsidR="00C354C5">
        <w:rPr>
          <w:sz w:val="24"/>
          <w:szCs w:val="24"/>
        </w:rPr>
        <w:t xml:space="preserve"> to it</w:t>
      </w:r>
      <w:r>
        <w:rPr>
          <w:sz w:val="24"/>
          <w:szCs w:val="24"/>
        </w:rPr>
        <w:t xml:space="preserve"> the entire balance </w:t>
      </w:r>
      <w:r w:rsidR="00C354C5">
        <w:rPr>
          <w:sz w:val="24"/>
          <w:szCs w:val="24"/>
        </w:rPr>
        <w:t>of the Special Account</w:t>
      </w:r>
      <w:r w:rsidR="00C005A0">
        <w:rPr>
          <w:sz w:val="24"/>
          <w:szCs w:val="24"/>
        </w:rPr>
        <w:t>s</w:t>
      </w:r>
      <w:r w:rsidR="00C354C5">
        <w:rPr>
          <w:sz w:val="24"/>
          <w:szCs w:val="24"/>
        </w:rPr>
        <w:t>, and manage all future</w:t>
      </w:r>
      <w:r w:rsidR="00C005A0">
        <w:rPr>
          <w:sz w:val="24"/>
          <w:szCs w:val="24"/>
        </w:rPr>
        <w:t xml:space="preserve"> amounts relating to litigation in the courts that it manages through the </w:t>
      </w:r>
      <w:r w:rsidR="00C005A0" w:rsidRPr="00C005A0">
        <w:rPr>
          <w:rStyle w:val="HelpText"/>
          <w:i/>
          <w:color w:val="auto"/>
          <w:sz w:val="24"/>
          <w:szCs w:val="24"/>
        </w:rPr>
        <w:t>Litigants' Fund Special Account</w:t>
      </w:r>
      <w:r>
        <w:rPr>
          <w:sz w:val="24"/>
          <w:szCs w:val="24"/>
        </w:rPr>
        <w:t xml:space="preserve">.  The Determination provides that the </w:t>
      </w:r>
      <w:r w:rsidRPr="00182AD2">
        <w:rPr>
          <w:sz w:val="24"/>
          <w:szCs w:val="24"/>
        </w:rPr>
        <w:t>Special Account</w:t>
      </w:r>
      <w:r w:rsidR="00C005A0">
        <w:rPr>
          <w:sz w:val="24"/>
          <w:szCs w:val="24"/>
        </w:rPr>
        <w:t>s are</w:t>
      </w:r>
      <w:r>
        <w:rPr>
          <w:sz w:val="24"/>
          <w:szCs w:val="24"/>
        </w:rPr>
        <w:t xml:space="preserve"> abolished either on the day the balance reaches zero, or 31 December 2013. </w:t>
      </w:r>
    </w:p>
    <w:p w:rsidR="007F5434" w:rsidRPr="007F5434" w:rsidRDefault="007F5434" w:rsidP="003A69BE">
      <w:pPr>
        <w:pStyle w:val="Heading3"/>
        <w:spacing w:before="240"/>
        <w:jc w:val="both"/>
        <w:rPr>
          <w:i/>
        </w:rPr>
      </w:pPr>
      <w:r w:rsidRPr="007F5434">
        <w:rPr>
          <w:i/>
        </w:rPr>
        <w:t>Consultation</w:t>
      </w:r>
    </w:p>
    <w:p w:rsidR="00DF7B0F" w:rsidRDefault="00DF7B0F" w:rsidP="00DF7B0F">
      <w:pPr>
        <w:pStyle w:val="BodyText"/>
        <w:spacing w:after="120"/>
        <w:jc w:val="both"/>
      </w:pPr>
      <w:r>
        <w:t xml:space="preserve">The </w:t>
      </w:r>
      <w:r w:rsidR="009F7258">
        <w:t xml:space="preserve">Family Court of Australia, Federal Circuit Court of Australia and Attorney-General’s Department </w:t>
      </w:r>
      <w:r>
        <w:t xml:space="preserve">were consulted.  As the instrument is for internal machinery of government purposes only, no consultation was necessary with other persons outside the Commonwealth (see sections 17 and 18 of the </w:t>
      </w:r>
      <w:r>
        <w:rPr>
          <w:i/>
          <w:iCs/>
        </w:rPr>
        <w:t>Legislative Instruments Act 2003</w:t>
      </w:r>
      <w:r>
        <w:t>).</w:t>
      </w:r>
    </w:p>
    <w:p w:rsidR="007F5434" w:rsidRPr="002E0459" w:rsidRDefault="007F5434" w:rsidP="003A69BE">
      <w:pPr>
        <w:pStyle w:val="Heading3"/>
        <w:spacing w:before="240"/>
        <w:jc w:val="both"/>
        <w:rPr>
          <w:i/>
        </w:rPr>
      </w:pPr>
      <w:r w:rsidRPr="002E0459">
        <w:rPr>
          <w:i/>
        </w:rPr>
        <w:t xml:space="preserve">Table of Balances and Transactions </w:t>
      </w:r>
    </w:p>
    <w:p w:rsidR="007F5434" w:rsidRDefault="00DF7B0F" w:rsidP="007F5434">
      <w:pPr>
        <w:pStyle w:val="BodyText"/>
        <w:spacing w:after="120"/>
        <w:jc w:val="both"/>
        <w:rPr>
          <w:noProof/>
        </w:rPr>
      </w:pPr>
      <w:r>
        <w:rPr>
          <w:noProof/>
        </w:rPr>
        <w:t xml:space="preserve">The table below outlines the financial implications of the Determination.  There is no net change to the Commonwealth’s fiscal and underlying cash balances. </w:t>
      </w:r>
    </w:p>
    <w:p w:rsidR="007F5434" w:rsidRPr="0046426E" w:rsidRDefault="007F5434" w:rsidP="007F5434">
      <w:pPr>
        <w:rPr>
          <w:sz w:val="4"/>
          <w:szCs w:val="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275"/>
        <w:gridCol w:w="1276"/>
        <w:gridCol w:w="1276"/>
        <w:gridCol w:w="1276"/>
      </w:tblGrid>
      <w:tr w:rsidR="007F5434" w:rsidRPr="00E45003" w:rsidTr="00804384">
        <w:trPr>
          <w:trHeight w:val="309"/>
        </w:trPr>
        <w:tc>
          <w:tcPr>
            <w:tcW w:w="3969" w:type="dxa"/>
            <w:vMerge w:val="restart"/>
            <w:tcBorders>
              <w:top w:val="single" w:sz="4" w:space="0" w:color="auto"/>
            </w:tcBorders>
          </w:tcPr>
          <w:p w:rsidR="007F5434" w:rsidRDefault="007F5434" w:rsidP="00804384">
            <w:pPr>
              <w:jc w:val="center"/>
              <w:rPr>
                <w:b/>
              </w:rPr>
            </w:pPr>
          </w:p>
          <w:p w:rsidR="007F5434" w:rsidRPr="00E45003" w:rsidRDefault="007F5434" w:rsidP="00804384">
            <w:pPr>
              <w:jc w:val="center"/>
              <w:rPr>
                <w:b/>
              </w:rPr>
            </w:pPr>
            <w:r>
              <w:rPr>
                <w:b/>
              </w:rPr>
              <w:t>Special Account</w:t>
            </w:r>
          </w:p>
        </w:tc>
        <w:tc>
          <w:tcPr>
            <w:tcW w:w="5103" w:type="dxa"/>
            <w:gridSpan w:val="4"/>
            <w:tcBorders>
              <w:top w:val="single" w:sz="4" w:space="0" w:color="auto"/>
              <w:bottom w:val="single" w:sz="4" w:space="0" w:color="auto"/>
            </w:tcBorders>
            <w:vAlign w:val="center"/>
          </w:tcPr>
          <w:p w:rsidR="007F5434" w:rsidRPr="00E45003" w:rsidRDefault="007F5434" w:rsidP="00804384">
            <w:pPr>
              <w:jc w:val="center"/>
              <w:rPr>
                <w:b/>
              </w:rPr>
            </w:pPr>
            <w:r>
              <w:rPr>
                <w:b/>
              </w:rPr>
              <w:t xml:space="preserve">2013-2014 </w:t>
            </w:r>
            <w:r w:rsidRPr="00E45003">
              <w:rPr>
                <w:b/>
              </w:rPr>
              <w:t>($’000)</w:t>
            </w:r>
          </w:p>
        </w:tc>
      </w:tr>
      <w:tr w:rsidR="007F5434" w:rsidRPr="00E45003" w:rsidTr="00804384">
        <w:trPr>
          <w:trHeight w:val="161"/>
        </w:trPr>
        <w:tc>
          <w:tcPr>
            <w:tcW w:w="3969" w:type="dxa"/>
            <w:vMerge/>
            <w:tcBorders>
              <w:bottom w:val="single" w:sz="4" w:space="0" w:color="auto"/>
            </w:tcBorders>
          </w:tcPr>
          <w:p w:rsidR="007F5434" w:rsidRPr="00E45003" w:rsidRDefault="007F5434" w:rsidP="00804384">
            <w:pPr>
              <w:jc w:val="center"/>
              <w:rPr>
                <w:b/>
              </w:rPr>
            </w:pPr>
          </w:p>
        </w:tc>
        <w:tc>
          <w:tcPr>
            <w:tcW w:w="1275" w:type="dxa"/>
            <w:tcBorders>
              <w:bottom w:val="single" w:sz="4" w:space="0" w:color="auto"/>
              <w:right w:val="nil"/>
            </w:tcBorders>
            <w:vAlign w:val="center"/>
          </w:tcPr>
          <w:p w:rsidR="007F5434" w:rsidRPr="00E45003" w:rsidRDefault="007F5434" w:rsidP="00804384">
            <w:pPr>
              <w:jc w:val="right"/>
              <w:rPr>
                <w:b/>
              </w:rPr>
            </w:pPr>
            <w:r w:rsidRPr="00E45003">
              <w:rPr>
                <w:b/>
              </w:rPr>
              <w:t>Opening Balance</w:t>
            </w:r>
          </w:p>
        </w:tc>
        <w:tc>
          <w:tcPr>
            <w:tcW w:w="1276" w:type="dxa"/>
            <w:tcBorders>
              <w:left w:val="nil"/>
              <w:bottom w:val="single" w:sz="4" w:space="0" w:color="auto"/>
              <w:right w:val="nil"/>
            </w:tcBorders>
            <w:vAlign w:val="center"/>
          </w:tcPr>
          <w:p w:rsidR="007F5434" w:rsidRPr="00D52CAE" w:rsidRDefault="007F5434" w:rsidP="00804384">
            <w:pPr>
              <w:jc w:val="right"/>
              <w:rPr>
                <w:b/>
                <w:vertAlign w:val="superscript"/>
              </w:rPr>
            </w:pPr>
            <w:r w:rsidRPr="00E45003">
              <w:rPr>
                <w:b/>
              </w:rPr>
              <w:t>Credit</w:t>
            </w:r>
            <w:r w:rsidR="008F384B">
              <w:rPr>
                <w:b/>
              </w:rPr>
              <w:t>s</w:t>
            </w:r>
          </w:p>
        </w:tc>
        <w:tc>
          <w:tcPr>
            <w:tcW w:w="1276" w:type="dxa"/>
            <w:tcBorders>
              <w:left w:val="nil"/>
              <w:bottom w:val="single" w:sz="4" w:space="0" w:color="auto"/>
              <w:right w:val="nil"/>
            </w:tcBorders>
            <w:vAlign w:val="center"/>
          </w:tcPr>
          <w:p w:rsidR="007F5434" w:rsidRPr="00E45003" w:rsidRDefault="007F5434" w:rsidP="00804384">
            <w:pPr>
              <w:jc w:val="right"/>
              <w:rPr>
                <w:b/>
              </w:rPr>
            </w:pPr>
            <w:r w:rsidRPr="00E45003">
              <w:rPr>
                <w:b/>
              </w:rPr>
              <w:t>Debits</w:t>
            </w:r>
          </w:p>
        </w:tc>
        <w:tc>
          <w:tcPr>
            <w:tcW w:w="1276" w:type="dxa"/>
            <w:tcBorders>
              <w:left w:val="nil"/>
              <w:bottom w:val="single" w:sz="4" w:space="0" w:color="auto"/>
            </w:tcBorders>
            <w:vAlign w:val="center"/>
          </w:tcPr>
          <w:p w:rsidR="007F5434" w:rsidRPr="00E45003" w:rsidRDefault="007F5434" w:rsidP="00804384">
            <w:pPr>
              <w:jc w:val="right"/>
              <w:rPr>
                <w:b/>
              </w:rPr>
            </w:pPr>
            <w:r w:rsidRPr="00E45003">
              <w:rPr>
                <w:b/>
              </w:rPr>
              <w:t>Closing Balance</w:t>
            </w:r>
          </w:p>
        </w:tc>
      </w:tr>
      <w:tr w:rsidR="007F5434" w:rsidRPr="00E45003" w:rsidTr="00804384">
        <w:trPr>
          <w:trHeight w:val="567"/>
        </w:trPr>
        <w:tc>
          <w:tcPr>
            <w:tcW w:w="3969" w:type="dxa"/>
            <w:tcBorders>
              <w:top w:val="single" w:sz="4" w:space="0" w:color="auto"/>
              <w:left w:val="single" w:sz="4" w:space="0" w:color="auto"/>
              <w:bottom w:val="single" w:sz="4" w:space="0" w:color="auto"/>
              <w:right w:val="single" w:sz="4" w:space="0" w:color="auto"/>
            </w:tcBorders>
            <w:vAlign w:val="center"/>
          </w:tcPr>
          <w:p w:rsidR="007F5434" w:rsidRDefault="007F5434" w:rsidP="00804384">
            <w:pPr>
              <w:rPr>
                <w:i/>
                <w:iCs/>
              </w:rPr>
            </w:pPr>
          </w:p>
          <w:p w:rsidR="007F5434" w:rsidRDefault="008F384B" w:rsidP="00804384">
            <w:pPr>
              <w:rPr>
                <w:i/>
                <w:iCs/>
              </w:rPr>
            </w:pPr>
            <w:r w:rsidRPr="00D17B3D">
              <w:rPr>
                <w:i/>
              </w:rPr>
              <w:t>Federal Magistrates Court Litigants’ Fund Special Account</w:t>
            </w:r>
            <w:r w:rsidRPr="00421747">
              <w:rPr>
                <w:i/>
                <w:iCs/>
              </w:rPr>
              <w:t xml:space="preserve"> </w:t>
            </w:r>
          </w:p>
          <w:p w:rsidR="008F384B" w:rsidRPr="00421747" w:rsidRDefault="008F384B" w:rsidP="00804384">
            <w:pPr>
              <w:rPr>
                <w:i/>
                <w:iCs/>
              </w:rPr>
            </w:pPr>
          </w:p>
        </w:tc>
        <w:tc>
          <w:tcPr>
            <w:tcW w:w="1275" w:type="dxa"/>
            <w:tcBorders>
              <w:top w:val="single" w:sz="4" w:space="0" w:color="auto"/>
              <w:left w:val="single" w:sz="4" w:space="0" w:color="auto"/>
              <w:bottom w:val="single" w:sz="4" w:space="0" w:color="auto"/>
              <w:right w:val="nil"/>
            </w:tcBorders>
            <w:vAlign w:val="center"/>
          </w:tcPr>
          <w:p w:rsidR="007F5434" w:rsidRPr="00657510" w:rsidRDefault="008F384B" w:rsidP="00804384">
            <w:pPr>
              <w:jc w:val="center"/>
            </w:pPr>
            <w:r>
              <w:t>844</w:t>
            </w:r>
          </w:p>
        </w:tc>
        <w:tc>
          <w:tcPr>
            <w:tcW w:w="1276" w:type="dxa"/>
            <w:tcBorders>
              <w:top w:val="single" w:sz="4" w:space="0" w:color="auto"/>
              <w:left w:val="nil"/>
              <w:bottom w:val="single" w:sz="4" w:space="0" w:color="auto"/>
              <w:right w:val="nil"/>
            </w:tcBorders>
            <w:vAlign w:val="center"/>
          </w:tcPr>
          <w:p w:rsidR="007F5434" w:rsidRPr="00657510" w:rsidRDefault="005677A1" w:rsidP="00804384">
            <w:pPr>
              <w:jc w:val="center"/>
            </w:pPr>
            <w:r>
              <w:t>0</w:t>
            </w:r>
          </w:p>
        </w:tc>
        <w:tc>
          <w:tcPr>
            <w:tcW w:w="1276" w:type="dxa"/>
            <w:tcBorders>
              <w:top w:val="single" w:sz="4" w:space="0" w:color="auto"/>
              <w:left w:val="nil"/>
              <w:bottom w:val="single" w:sz="4" w:space="0" w:color="auto"/>
              <w:right w:val="nil"/>
            </w:tcBorders>
            <w:vAlign w:val="center"/>
          </w:tcPr>
          <w:p w:rsidR="007F5434" w:rsidRPr="00657510" w:rsidRDefault="008F384B" w:rsidP="00804384">
            <w:pPr>
              <w:jc w:val="center"/>
            </w:pPr>
            <w:r>
              <w:t>-844</w:t>
            </w:r>
          </w:p>
        </w:tc>
        <w:tc>
          <w:tcPr>
            <w:tcW w:w="1276" w:type="dxa"/>
            <w:tcBorders>
              <w:top w:val="single" w:sz="4" w:space="0" w:color="auto"/>
              <w:left w:val="nil"/>
              <w:bottom w:val="single" w:sz="4" w:space="0" w:color="auto"/>
              <w:right w:val="single" w:sz="4" w:space="0" w:color="auto"/>
            </w:tcBorders>
            <w:vAlign w:val="center"/>
          </w:tcPr>
          <w:p w:rsidR="007F5434" w:rsidRPr="00657510" w:rsidRDefault="005677A1" w:rsidP="00804384">
            <w:pPr>
              <w:jc w:val="center"/>
            </w:pPr>
            <w:r>
              <w:t>0</w:t>
            </w:r>
          </w:p>
        </w:tc>
      </w:tr>
      <w:tr w:rsidR="00804384" w:rsidRPr="00E45003" w:rsidTr="00804384">
        <w:trPr>
          <w:trHeight w:val="567"/>
        </w:trPr>
        <w:tc>
          <w:tcPr>
            <w:tcW w:w="3969" w:type="dxa"/>
            <w:tcBorders>
              <w:top w:val="single" w:sz="4" w:space="0" w:color="auto"/>
              <w:left w:val="single" w:sz="4" w:space="0" w:color="auto"/>
              <w:bottom w:val="single" w:sz="4" w:space="0" w:color="auto"/>
              <w:right w:val="single" w:sz="4" w:space="0" w:color="auto"/>
            </w:tcBorders>
            <w:vAlign w:val="center"/>
          </w:tcPr>
          <w:p w:rsidR="00804384" w:rsidRDefault="00804384" w:rsidP="00804384">
            <w:pPr>
              <w:rPr>
                <w:i/>
                <w:iCs/>
              </w:rPr>
            </w:pPr>
          </w:p>
          <w:p w:rsidR="00804384" w:rsidRDefault="008F384B" w:rsidP="00804384">
            <w:pPr>
              <w:rPr>
                <w:i/>
                <w:iCs/>
              </w:rPr>
            </w:pPr>
            <w:r w:rsidRPr="00D17B3D">
              <w:rPr>
                <w:i/>
              </w:rPr>
              <w:t>Family Court of Australia Litigants’ Fund Special Account</w:t>
            </w:r>
            <w:r w:rsidR="005677A1" w:rsidRPr="005677A1">
              <w:rPr>
                <w:i/>
                <w:iCs/>
              </w:rPr>
              <w:t xml:space="preserve"> </w:t>
            </w:r>
          </w:p>
          <w:p w:rsidR="005677A1" w:rsidRPr="00804384" w:rsidRDefault="005677A1" w:rsidP="00804384">
            <w:pPr>
              <w:rPr>
                <w:i/>
                <w:iCs/>
              </w:rPr>
            </w:pPr>
          </w:p>
        </w:tc>
        <w:tc>
          <w:tcPr>
            <w:tcW w:w="1275" w:type="dxa"/>
            <w:tcBorders>
              <w:top w:val="single" w:sz="4" w:space="0" w:color="auto"/>
              <w:left w:val="single" w:sz="4" w:space="0" w:color="auto"/>
              <w:bottom w:val="single" w:sz="4" w:space="0" w:color="auto"/>
              <w:right w:val="nil"/>
            </w:tcBorders>
            <w:vAlign w:val="center"/>
          </w:tcPr>
          <w:p w:rsidR="00804384" w:rsidRPr="00657510" w:rsidRDefault="008F384B" w:rsidP="00804384">
            <w:pPr>
              <w:jc w:val="center"/>
            </w:pPr>
            <w:r>
              <w:t>647</w:t>
            </w:r>
          </w:p>
        </w:tc>
        <w:tc>
          <w:tcPr>
            <w:tcW w:w="1276" w:type="dxa"/>
            <w:tcBorders>
              <w:top w:val="single" w:sz="4" w:space="0" w:color="auto"/>
              <w:left w:val="nil"/>
              <w:bottom w:val="single" w:sz="4" w:space="0" w:color="auto"/>
              <w:right w:val="nil"/>
            </w:tcBorders>
            <w:vAlign w:val="center"/>
          </w:tcPr>
          <w:p w:rsidR="00804384" w:rsidRPr="00657510" w:rsidRDefault="00804384" w:rsidP="00804384">
            <w:pPr>
              <w:jc w:val="center"/>
            </w:pPr>
            <w:r>
              <w:t>0</w:t>
            </w:r>
          </w:p>
        </w:tc>
        <w:tc>
          <w:tcPr>
            <w:tcW w:w="1276" w:type="dxa"/>
            <w:tcBorders>
              <w:top w:val="single" w:sz="4" w:space="0" w:color="auto"/>
              <w:left w:val="nil"/>
              <w:bottom w:val="single" w:sz="4" w:space="0" w:color="auto"/>
              <w:right w:val="nil"/>
            </w:tcBorders>
            <w:vAlign w:val="center"/>
          </w:tcPr>
          <w:p w:rsidR="00804384" w:rsidRPr="00657510" w:rsidRDefault="008F384B" w:rsidP="00804384">
            <w:pPr>
              <w:jc w:val="center"/>
            </w:pPr>
            <w:r>
              <w:t>-647</w:t>
            </w:r>
          </w:p>
        </w:tc>
        <w:tc>
          <w:tcPr>
            <w:tcW w:w="1276" w:type="dxa"/>
            <w:tcBorders>
              <w:top w:val="single" w:sz="4" w:space="0" w:color="auto"/>
              <w:left w:val="nil"/>
              <w:bottom w:val="single" w:sz="4" w:space="0" w:color="auto"/>
              <w:right w:val="single" w:sz="4" w:space="0" w:color="auto"/>
            </w:tcBorders>
            <w:vAlign w:val="center"/>
          </w:tcPr>
          <w:p w:rsidR="00804384" w:rsidRPr="00657510" w:rsidRDefault="00804384" w:rsidP="00804384">
            <w:pPr>
              <w:jc w:val="center"/>
            </w:pPr>
            <w:r>
              <w:t>0</w:t>
            </w:r>
          </w:p>
        </w:tc>
      </w:tr>
    </w:tbl>
    <w:p w:rsidR="007F5434" w:rsidRDefault="007F5434" w:rsidP="003A69BE">
      <w:pPr>
        <w:pStyle w:val="BodyText"/>
        <w:spacing w:before="120" w:after="120"/>
        <w:ind w:left="567"/>
      </w:pPr>
      <w:r w:rsidRPr="00123EFB">
        <w:rPr>
          <w:sz w:val="20"/>
        </w:rPr>
        <w:t xml:space="preserve">Note: these figures are </w:t>
      </w:r>
      <w:r w:rsidR="00573D25">
        <w:rPr>
          <w:sz w:val="20"/>
        </w:rPr>
        <w:t>estimates that</w:t>
      </w:r>
      <w:r>
        <w:rPr>
          <w:sz w:val="20"/>
        </w:rPr>
        <w:t xml:space="preserve"> may vary from the Agencies’ </w:t>
      </w:r>
      <w:proofErr w:type="spellStart"/>
      <w:r>
        <w:rPr>
          <w:sz w:val="20"/>
        </w:rPr>
        <w:t>actuals</w:t>
      </w:r>
      <w:proofErr w:type="spellEnd"/>
      <w:r>
        <w:rPr>
          <w:sz w:val="20"/>
        </w:rPr>
        <w:t xml:space="preserve"> published in the Portfolio Budget Statements and Annual Reports</w:t>
      </w:r>
      <w:r w:rsidRPr="00123EFB">
        <w:rPr>
          <w:sz w:val="20"/>
        </w:rPr>
        <w:t>.</w:t>
      </w:r>
    </w:p>
    <w:p w:rsidR="00791256" w:rsidRDefault="00791256" w:rsidP="001F2C32">
      <w:pPr>
        <w:spacing w:before="120" w:after="120"/>
        <w:rPr>
          <w:sz w:val="24"/>
          <w:szCs w:val="24"/>
        </w:rPr>
      </w:pPr>
    </w:p>
    <w:sectPr w:rsidR="00791256" w:rsidSect="00403411">
      <w:footerReference w:type="default" r:id="rId8"/>
      <w:type w:val="continuous"/>
      <w:pgSz w:w="11906" w:h="16838"/>
      <w:pgMar w:top="993" w:right="1274" w:bottom="1560" w:left="1276" w:header="720" w:footer="40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ED8" w:rsidRDefault="00BF4ED8">
      <w:r>
        <w:separator/>
      </w:r>
    </w:p>
  </w:endnote>
  <w:endnote w:type="continuationSeparator" w:id="0">
    <w:p w:rsidR="00BF4ED8" w:rsidRDefault="00BF4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83" w:rsidRPr="00154383" w:rsidRDefault="00154383" w:rsidP="00154383">
    <w:pPr>
      <w:pStyle w:val="Footer"/>
      <w:pBdr>
        <w:top w:val="single" w:sz="4" w:space="1" w:color="auto"/>
      </w:pBdr>
      <w:jc w:val="center"/>
      <w:rPr>
        <w:sz w:val="10"/>
        <w:szCs w:val="10"/>
      </w:rPr>
    </w:pPr>
  </w:p>
  <w:p w:rsidR="00BF4ED8" w:rsidRDefault="00E36848" w:rsidP="00154383">
    <w:pPr>
      <w:pStyle w:val="Footer"/>
      <w:jc w:val="center"/>
    </w:pPr>
    <w:sdt>
      <w:sdtPr>
        <w:id w:val="276304219"/>
        <w:docPartObj>
          <w:docPartGallery w:val="Page Numbers (Bottom of Page)"/>
          <w:docPartUnique/>
        </w:docPartObj>
      </w:sdtPr>
      <w:sdtContent>
        <w:sdt>
          <w:sdtPr>
            <w:id w:val="565050477"/>
            <w:docPartObj>
              <w:docPartGallery w:val="Page Numbers (Top of Page)"/>
              <w:docPartUnique/>
            </w:docPartObj>
          </w:sdtPr>
          <w:sdtContent>
            <w:r w:rsidR="00154383">
              <w:t xml:space="preserve">Page </w:t>
            </w:r>
            <w:r>
              <w:rPr>
                <w:b/>
                <w:sz w:val="24"/>
                <w:szCs w:val="24"/>
              </w:rPr>
              <w:fldChar w:fldCharType="begin"/>
            </w:r>
            <w:r w:rsidR="00154383">
              <w:rPr>
                <w:b/>
              </w:rPr>
              <w:instrText xml:space="preserve"> PAGE </w:instrText>
            </w:r>
            <w:r>
              <w:rPr>
                <w:b/>
                <w:sz w:val="24"/>
                <w:szCs w:val="24"/>
              </w:rPr>
              <w:fldChar w:fldCharType="separate"/>
            </w:r>
            <w:r w:rsidR="0080724C">
              <w:rPr>
                <w:b/>
                <w:noProof/>
              </w:rPr>
              <w:t>2</w:t>
            </w:r>
            <w:r>
              <w:rPr>
                <w:b/>
                <w:sz w:val="24"/>
                <w:szCs w:val="24"/>
              </w:rPr>
              <w:fldChar w:fldCharType="end"/>
            </w:r>
            <w:r w:rsidR="00154383">
              <w:t xml:space="preserve"> of </w:t>
            </w:r>
            <w:r>
              <w:rPr>
                <w:b/>
                <w:sz w:val="24"/>
                <w:szCs w:val="24"/>
              </w:rPr>
              <w:fldChar w:fldCharType="begin"/>
            </w:r>
            <w:r w:rsidR="00154383">
              <w:rPr>
                <w:b/>
              </w:rPr>
              <w:instrText xml:space="preserve"> NUMPAGES  </w:instrText>
            </w:r>
            <w:r>
              <w:rPr>
                <w:b/>
                <w:sz w:val="24"/>
                <w:szCs w:val="24"/>
              </w:rPr>
              <w:fldChar w:fldCharType="separate"/>
            </w:r>
            <w:r w:rsidR="0080724C">
              <w:rPr>
                <w:b/>
                <w:noProof/>
              </w:rPr>
              <w:t>2</w:t>
            </w:r>
            <w:r>
              <w:rPr>
                <w:b/>
                <w:sz w:val="24"/>
                <w:szCs w:val="24"/>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ED8" w:rsidRDefault="00BF4ED8">
      <w:r>
        <w:separator/>
      </w:r>
    </w:p>
  </w:footnote>
  <w:footnote w:type="continuationSeparator" w:id="0">
    <w:p w:rsidR="00BF4ED8" w:rsidRDefault="00BF4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1">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669757A"/>
    <w:multiLevelType w:val="hybridMultilevel"/>
    <w:tmpl w:val="218A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4">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26">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6"/>
  </w:num>
  <w:num w:numId="4">
    <w:abstractNumId w:val="10"/>
  </w:num>
  <w:num w:numId="5">
    <w:abstractNumId w:val="15"/>
  </w:num>
  <w:num w:numId="6">
    <w:abstractNumId w:val="1"/>
  </w:num>
  <w:num w:numId="7">
    <w:abstractNumId w:val="17"/>
  </w:num>
  <w:num w:numId="8">
    <w:abstractNumId w:val="28"/>
  </w:num>
  <w:num w:numId="9">
    <w:abstractNumId w:val="16"/>
  </w:num>
  <w:num w:numId="10">
    <w:abstractNumId w:val="29"/>
  </w:num>
  <w:num w:numId="11">
    <w:abstractNumId w:val="7"/>
  </w:num>
  <w:num w:numId="12">
    <w:abstractNumId w:val="6"/>
  </w:num>
  <w:num w:numId="13">
    <w:abstractNumId w:val="11"/>
  </w:num>
  <w:num w:numId="14">
    <w:abstractNumId w:val="2"/>
  </w:num>
  <w:num w:numId="15">
    <w:abstractNumId w:val="20"/>
  </w:num>
  <w:num w:numId="16">
    <w:abstractNumId w:val="9"/>
  </w:num>
  <w:num w:numId="17">
    <w:abstractNumId w:val="18"/>
  </w:num>
  <w:num w:numId="18">
    <w:abstractNumId w:val="5"/>
  </w:num>
  <w:num w:numId="19">
    <w:abstractNumId w:val="21"/>
  </w:num>
  <w:num w:numId="20">
    <w:abstractNumId w:val="25"/>
  </w:num>
  <w:num w:numId="21">
    <w:abstractNumId w:val="24"/>
  </w:num>
  <w:num w:numId="22">
    <w:abstractNumId w:val="13"/>
  </w:num>
  <w:num w:numId="23">
    <w:abstractNumId w:val="22"/>
  </w:num>
  <w:num w:numId="24">
    <w:abstractNumId w:val="23"/>
  </w:num>
  <w:num w:numId="25">
    <w:abstractNumId w:val="19"/>
  </w:num>
  <w:num w:numId="26">
    <w:abstractNumId w:val="3"/>
  </w:num>
  <w:num w:numId="27">
    <w:abstractNumId w:val="27"/>
  </w:num>
  <w:num w:numId="28">
    <w:abstractNumId w:val="4"/>
  </w:num>
  <w:num w:numId="29">
    <w:abstractNumId w:val="14"/>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rsids>
    <w:rsidRoot w:val="0011280F"/>
    <w:rsid w:val="00000063"/>
    <w:rsid w:val="00002A89"/>
    <w:rsid w:val="00003968"/>
    <w:rsid w:val="00007BA2"/>
    <w:rsid w:val="00020BAA"/>
    <w:rsid w:val="000277BB"/>
    <w:rsid w:val="000333B0"/>
    <w:rsid w:val="000341FD"/>
    <w:rsid w:val="0003594A"/>
    <w:rsid w:val="00035C26"/>
    <w:rsid w:val="000518E0"/>
    <w:rsid w:val="000564D8"/>
    <w:rsid w:val="00057257"/>
    <w:rsid w:val="00063E56"/>
    <w:rsid w:val="000902DE"/>
    <w:rsid w:val="0009155A"/>
    <w:rsid w:val="00092275"/>
    <w:rsid w:val="00095051"/>
    <w:rsid w:val="000A6FF5"/>
    <w:rsid w:val="000B2BB3"/>
    <w:rsid w:val="000C38D9"/>
    <w:rsid w:val="000C4135"/>
    <w:rsid w:val="000C5287"/>
    <w:rsid w:val="000C61A9"/>
    <w:rsid w:val="000C7006"/>
    <w:rsid w:val="000F101F"/>
    <w:rsid w:val="000F29FA"/>
    <w:rsid w:val="00100667"/>
    <w:rsid w:val="001020E8"/>
    <w:rsid w:val="00104D2F"/>
    <w:rsid w:val="0010633F"/>
    <w:rsid w:val="0011280F"/>
    <w:rsid w:val="00123EFB"/>
    <w:rsid w:val="001248A4"/>
    <w:rsid w:val="00124DFD"/>
    <w:rsid w:val="00125C71"/>
    <w:rsid w:val="00153E56"/>
    <w:rsid w:val="00154383"/>
    <w:rsid w:val="0015775E"/>
    <w:rsid w:val="0017703D"/>
    <w:rsid w:val="00181305"/>
    <w:rsid w:val="0018276C"/>
    <w:rsid w:val="00182AD2"/>
    <w:rsid w:val="00196016"/>
    <w:rsid w:val="00197F7A"/>
    <w:rsid w:val="001A0A45"/>
    <w:rsid w:val="001A3E6B"/>
    <w:rsid w:val="001A5C39"/>
    <w:rsid w:val="001B2F6B"/>
    <w:rsid w:val="001B3D6B"/>
    <w:rsid w:val="001B721B"/>
    <w:rsid w:val="001B7CB7"/>
    <w:rsid w:val="001C2471"/>
    <w:rsid w:val="001C6DDB"/>
    <w:rsid w:val="001D5936"/>
    <w:rsid w:val="001E1FEC"/>
    <w:rsid w:val="001E3D16"/>
    <w:rsid w:val="001E6DF8"/>
    <w:rsid w:val="001F2C32"/>
    <w:rsid w:val="00210897"/>
    <w:rsid w:val="00221E7A"/>
    <w:rsid w:val="00224738"/>
    <w:rsid w:val="00226185"/>
    <w:rsid w:val="002356F3"/>
    <w:rsid w:val="00242CE4"/>
    <w:rsid w:val="00247C6B"/>
    <w:rsid w:val="00250380"/>
    <w:rsid w:val="00255E47"/>
    <w:rsid w:val="00270610"/>
    <w:rsid w:val="00271770"/>
    <w:rsid w:val="00273E35"/>
    <w:rsid w:val="00282B13"/>
    <w:rsid w:val="00282B66"/>
    <w:rsid w:val="00283985"/>
    <w:rsid w:val="00297A0E"/>
    <w:rsid w:val="002A2659"/>
    <w:rsid w:val="002B2473"/>
    <w:rsid w:val="002C23F4"/>
    <w:rsid w:val="002C2C9C"/>
    <w:rsid w:val="002C6468"/>
    <w:rsid w:val="002D518F"/>
    <w:rsid w:val="002D62EF"/>
    <w:rsid w:val="002E0459"/>
    <w:rsid w:val="002E17B0"/>
    <w:rsid w:val="002E7CD9"/>
    <w:rsid w:val="002F2EF0"/>
    <w:rsid w:val="002F3A18"/>
    <w:rsid w:val="002F6A68"/>
    <w:rsid w:val="002F71DB"/>
    <w:rsid w:val="00302F31"/>
    <w:rsid w:val="0030497B"/>
    <w:rsid w:val="00305EDF"/>
    <w:rsid w:val="0031738C"/>
    <w:rsid w:val="00320AEA"/>
    <w:rsid w:val="00320D91"/>
    <w:rsid w:val="003317F1"/>
    <w:rsid w:val="00364593"/>
    <w:rsid w:val="003811B3"/>
    <w:rsid w:val="00387EF7"/>
    <w:rsid w:val="0039731B"/>
    <w:rsid w:val="003A1D30"/>
    <w:rsid w:val="003A5972"/>
    <w:rsid w:val="003A5EAC"/>
    <w:rsid w:val="003A69BE"/>
    <w:rsid w:val="003B43D3"/>
    <w:rsid w:val="003B59BB"/>
    <w:rsid w:val="003C2C49"/>
    <w:rsid w:val="003C4DCE"/>
    <w:rsid w:val="003D3AE3"/>
    <w:rsid w:val="003D702D"/>
    <w:rsid w:val="003F6F38"/>
    <w:rsid w:val="0040171D"/>
    <w:rsid w:val="00402FD8"/>
    <w:rsid w:val="00403411"/>
    <w:rsid w:val="00421747"/>
    <w:rsid w:val="00421DE2"/>
    <w:rsid w:val="00423BAD"/>
    <w:rsid w:val="004260F8"/>
    <w:rsid w:val="00426532"/>
    <w:rsid w:val="00430105"/>
    <w:rsid w:val="00434B14"/>
    <w:rsid w:val="004459DA"/>
    <w:rsid w:val="0045109E"/>
    <w:rsid w:val="00453D35"/>
    <w:rsid w:val="0046173D"/>
    <w:rsid w:val="00463304"/>
    <w:rsid w:val="004641E6"/>
    <w:rsid w:val="0048239C"/>
    <w:rsid w:val="00486C03"/>
    <w:rsid w:val="00487551"/>
    <w:rsid w:val="004876C4"/>
    <w:rsid w:val="004903B3"/>
    <w:rsid w:val="004A04AF"/>
    <w:rsid w:val="004B379B"/>
    <w:rsid w:val="004C4218"/>
    <w:rsid w:val="004C599B"/>
    <w:rsid w:val="004C6029"/>
    <w:rsid w:val="004D5DE2"/>
    <w:rsid w:val="004D795E"/>
    <w:rsid w:val="004F2250"/>
    <w:rsid w:val="004F443E"/>
    <w:rsid w:val="005008DE"/>
    <w:rsid w:val="00504B6C"/>
    <w:rsid w:val="00505CD9"/>
    <w:rsid w:val="005107F2"/>
    <w:rsid w:val="0051082A"/>
    <w:rsid w:val="0051596E"/>
    <w:rsid w:val="00516E6A"/>
    <w:rsid w:val="005311B5"/>
    <w:rsid w:val="00536C1D"/>
    <w:rsid w:val="005508AE"/>
    <w:rsid w:val="00555475"/>
    <w:rsid w:val="00563690"/>
    <w:rsid w:val="00565773"/>
    <w:rsid w:val="00565E43"/>
    <w:rsid w:val="00565FB7"/>
    <w:rsid w:val="005677A1"/>
    <w:rsid w:val="005724A5"/>
    <w:rsid w:val="00573D25"/>
    <w:rsid w:val="005751EC"/>
    <w:rsid w:val="00576C63"/>
    <w:rsid w:val="00581F7F"/>
    <w:rsid w:val="005820FF"/>
    <w:rsid w:val="00582E59"/>
    <w:rsid w:val="005863CD"/>
    <w:rsid w:val="00593A9F"/>
    <w:rsid w:val="00597360"/>
    <w:rsid w:val="005A201A"/>
    <w:rsid w:val="005A660F"/>
    <w:rsid w:val="005C00BF"/>
    <w:rsid w:val="005C053E"/>
    <w:rsid w:val="005C1F47"/>
    <w:rsid w:val="005C40EB"/>
    <w:rsid w:val="005D586B"/>
    <w:rsid w:val="005D6039"/>
    <w:rsid w:val="00601B7F"/>
    <w:rsid w:val="00604E38"/>
    <w:rsid w:val="0060592C"/>
    <w:rsid w:val="00621160"/>
    <w:rsid w:val="0062221B"/>
    <w:rsid w:val="0062389F"/>
    <w:rsid w:val="006247ED"/>
    <w:rsid w:val="00633F46"/>
    <w:rsid w:val="006340D1"/>
    <w:rsid w:val="0063669E"/>
    <w:rsid w:val="00645F5E"/>
    <w:rsid w:val="00647AE9"/>
    <w:rsid w:val="00651AB3"/>
    <w:rsid w:val="00654FB2"/>
    <w:rsid w:val="00656522"/>
    <w:rsid w:val="00665555"/>
    <w:rsid w:val="00666583"/>
    <w:rsid w:val="00666D9E"/>
    <w:rsid w:val="00670A86"/>
    <w:rsid w:val="00683812"/>
    <w:rsid w:val="00693C5D"/>
    <w:rsid w:val="006B2496"/>
    <w:rsid w:val="006B5D40"/>
    <w:rsid w:val="006C6DA9"/>
    <w:rsid w:val="006C7818"/>
    <w:rsid w:val="006D2586"/>
    <w:rsid w:val="006D4876"/>
    <w:rsid w:val="006D790A"/>
    <w:rsid w:val="006E03CC"/>
    <w:rsid w:val="006E1D77"/>
    <w:rsid w:val="006E53C2"/>
    <w:rsid w:val="006E66E3"/>
    <w:rsid w:val="006E6A5B"/>
    <w:rsid w:val="006F1A8D"/>
    <w:rsid w:val="006F2902"/>
    <w:rsid w:val="00704AB6"/>
    <w:rsid w:val="00710F9F"/>
    <w:rsid w:val="00712340"/>
    <w:rsid w:val="007139A4"/>
    <w:rsid w:val="0071716E"/>
    <w:rsid w:val="00717259"/>
    <w:rsid w:val="007241F1"/>
    <w:rsid w:val="007272F2"/>
    <w:rsid w:val="007361ED"/>
    <w:rsid w:val="00745B88"/>
    <w:rsid w:val="00745D72"/>
    <w:rsid w:val="0075255C"/>
    <w:rsid w:val="007538B3"/>
    <w:rsid w:val="00760522"/>
    <w:rsid w:val="00761059"/>
    <w:rsid w:val="007645C5"/>
    <w:rsid w:val="0076491E"/>
    <w:rsid w:val="00767335"/>
    <w:rsid w:val="0076759A"/>
    <w:rsid w:val="00772A5B"/>
    <w:rsid w:val="00780275"/>
    <w:rsid w:val="0078288C"/>
    <w:rsid w:val="0078297B"/>
    <w:rsid w:val="00791256"/>
    <w:rsid w:val="007924AD"/>
    <w:rsid w:val="00794701"/>
    <w:rsid w:val="007A6E74"/>
    <w:rsid w:val="007A78A9"/>
    <w:rsid w:val="007B02F2"/>
    <w:rsid w:val="007B54F4"/>
    <w:rsid w:val="007B5E05"/>
    <w:rsid w:val="007C7BFD"/>
    <w:rsid w:val="007D18F8"/>
    <w:rsid w:val="007D4D34"/>
    <w:rsid w:val="007F1B1E"/>
    <w:rsid w:val="007F29C6"/>
    <w:rsid w:val="007F5313"/>
    <w:rsid w:val="007F5434"/>
    <w:rsid w:val="007F788A"/>
    <w:rsid w:val="0080100C"/>
    <w:rsid w:val="00801548"/>
    <w:rsid w:val="008027C0"/>
    <w:rsid w:val="00803E0A"/>
    <w:rsid w:val="00804384"/>
    <w:rsid w:val="00805FA7"/>
    <w:rsid w:val="0080724C"/>
    <w:rsid w:val="00807A67"/>
    <w:rsid w:val="00823883"/>
    <w:rsid w:val="0083578F"/>
    <w:rsid w:val="00842E36"/>
    <w:rsid w:val="00846C7A"/>
    <w:rsid w:val="008539B2"/>
    <w:rsid w:val="00856EB2"/>
    <w:rsid w:val="00864D07"/>
    <w:rsid w:val="0087100D"/>
    <w:rsid w:val="00874186"/>
    <w:rsid w:val="008755D2"/>
    <w:rsid w:val="00875604"/>
    <w:rsid w:val="00880322"/>
    <w:rsid w:val="00885BAC"/>
    <w:rsid w:val="0088745B"/>
    <w:rsid w:val="00887A0A"/>
    <w:rsid w:val="00892D0D"/>
    <w:rsid w:val="00896D11"/>
    <w:rsid w:val="008A7692"/>
    <w:rsid w:val="008B42FB"/>
    <w:rsid w:val="008C0696"/>
    <w:rsid w:val="008C5565"/>
    <w:rsid w:val="008D76FA"/>
    <w:rsid w:val="008F0A3F"/>
    <w:rsid w:val="008F3048"/>
    <w:rsid w:val="008F384B"/>
    <w:rsid w:val="00915142"/>
    <w:rsid w:val="0091777C"/>
    <w:rsid w:val="00920EEF"/>
    <w:rsid w:val="00927F60"/>
    <w:rsid w:val="009342B2"/>
    <w:rsid w:val="00940B65"/>
    <w:rsid w:val="0094150B"/>
    <w:rsid w:val="00944671"/>
    <w:rsid w:val="0094580B"/>
    <w:rsid w:val="00946EF7"/>
    <w:rsid w:val="00957738"/>
    <w:rsid w:val="00957A4C"/>
    <w:rsid w:val="00976513"/>
    <w:rsid w:val="00987F3B"/>
    <w:rsid w:val="00990148"/>
    <w:rsid w:val="00990DFE"/>
    <w:rsid w:val="009940C6"/>
    <w:rsid w:val="00994359"/>
    <w:rsid w:val="009943E8"/>
    <w:rsid w:val="009D061B"/>
    <w:rsid w:val="009D3C54"/>
    <w:rsid w:val="009D5289"/>
    <w:rsid w:val="009D5612"/>
    <w:rsid w:val="009E4274"/>
    <w:rsid w:val="009F7258"/>
    <w:rsid w:val="00A02740"/>
    <w:rsid w:val="00A03078"/>
    <w:rsid w:val="00A06A0C"/>
    <w:rsid w:val="00A121F2"/>
    <w:rsid w:val="00A13142"/>
    <w:rsid w:val="00A215BE"/>
    <w:rsid w:val="00A24ADC"/>
    <w:rsid w:val="00A35C0B"/>
    <w:rsid w:val="00A369D5"/>
    <w:rsid w:val="00A47645"/>
    <w:rsid w:val="00A50D15"/>
    <w:rsid w:val="00A5114A"/>
    <w:rsid w:val="00A51503"/>
    <w:rsid w:val="00A524C9"/>
    <w:rsid w:val="00A529EA"/>
    <w:rsid w:val="00A61B48"/>
    <w:rsid w:val="00A67C95"/>
    <w:rsid w:val="00A73E2E"/>
    <w:rsid w:val="00A74AE2"/>
    <w:rsid w:val="00A75951"/>
    <w:rsid w:val="00A819A9"/>
    <w:rsid w:val="00A81F6A"/>
    <w:rsid w:val="00A8563A"/>
    <w:rsid w:val="00A92F6F"/>
    <w:rsid w:val="00AA0A87"/>
    <w:rsid w:val="00AA2B1D"/>
    <w:rsid w:val="00AA3A07"/>
    <w:rsid w:val="00AB55DD"/>
    <w:rsid w:val="00AC4AE4"/>
    <w:rsid w:val="00AC59D0"/>
    <w:rsid w:val="00AD1F46"/>
    <w:rsid w:val="00AD336A"/>
    <w:rsid w:val="00AD68A7"/>
    <w:rsid w:val="00AE1351"/>
    <w:rsid w:val="00AF0B56"/>
    <w:rsid w:val="00AF654A"/>
    <w:rsid w:val="00AF78BA"/>
    <w:rsid w:val="00B13744"/>
    <w:rsid w:val="00B13E0F"/>
    <w:rsid w:val="00B1584D"/>
    <w:rsid w:val="00B23E57"/>
    <w:rsid w:val="00B2596B"/>
    <w:rsid w:val="00B41CA8"/>
    <w:rsid w:val="00B4613A"/>
    <w:rsid w:val="00B47A0D"/>
    <w:rsid w:val="00B53522"/>
    <w:rsid w:val="00B84E47"/>
    <w:rsid w:val="00B8562B"/>
    <w:rsid w:val="00B948DF"/>
    <w:rsid w:val="00BA0B8D"/>
    <w:rsid w:val="00BB3704"/>
    <w:rsid w:val="00BB62C6"/>
    <w:rsid w:val="00BB73CB"/>
    <w:rsid w:val="00BD174E"/>
    <w:rsid w:val="00BD376E"/>
    <w:rsid w:val="00BD66C3"/>
    <w:rsid w:val="00BE0A72"/>
    <w:rsid w:val="00BE1EEC"/>
    <w:rsid w:val="00BF2411"/>
    <w:rsid w:val="00BF4ED8"/>
    <w:rsid w:val="00C005A0"/>
    <w:rsid w:val="00C0116D"/>
    <w:rsid w:val="00C03EB1"/>
    <w:rsid w:val="00C120D3"/>
    <w:rsid w:val="00C1267C"/>
    <w:rsid w:val="00C133EA"/>
    <w:rsid w:val="00C1586E"/>
    <w:rsid w:val="00C20806"/>
    <w:rsid w:val="00C22DF4"/>
    <w:rsid w:val="00C2613A"/>
    <w:rsid w:val="00C34235"/>
    <w:rsid w:val="00C354C5"/>
    <w:rsid w:val="00C3697B"/>
    <w:rsid w:val="00C441D0"/>
    <w:rsid w:val="00C562EB"/>
    <w:rsid w:val="00C5672D"/>
    <w:rsid w:val="00C655A3"/>
    <w:rsid w:val="00C73650"/>
    <w:rsid w:val="00C74A16"/>
    <w:rsid w:val="00C775C5"/>
    <w:rsid w:val="00C84220"/>
    <w:rsid w:val="00C87F8E"/>
    <w:rsid w:val="00C92341"/>
    <w:rsid w:val="00C93D4D"/>
    <w:rsid w:val="00C95401"/>
    <w:rsid w:val="00CA138D"/>
    <w:rsid w:val="00CB0645"/>
    <w:rsid w:val="00CB3E92"/>
    <w:rsid w:val="00CB4087"/>
    <w:rsid w:val="00CC3BD5"/>
    <w:rsid w:val="00CD0D2F"/>
    <w:rsid w:val="00CD3B0E"/>
    <w:rsid w:val="00CD3E36"/>
    <w:rsid w:val="00CD60E6"/>
    <w:rsid w:val="00CE00FE"/>
    <w:rsid w:val="00CE25AA"/>
    <w:rsid w:val="00CE4471"/>
    <w:rsid w:val="00CE613A"/>
    <w:rsid w:val="00CE695B"/>
    <w:rsid w:val="00CF6C67"/>
    <w:rsid w:val="00D149EF"/>
    <w:rsid w:val="00D1572B"/>
    <w:rsid w:val="00D16FBB"/>
    <w:rsid w:val="00D22820"/>
    <w:rsid w:val="00D24DEB"/>
    <w:rsid w:val="00D27837"/>
    <w:rsid w:val="00D3235E"/>
    <w:rsid w:val="00D457E2"/>
    <w:rsid w:val="00D47B34"/>
    <w:rsid w:val="00D47FE4"/>
    <w:rsid w:val="00D50F0B"/>
    <w:rsid w:val="00D63E96"/>
    <w:rsid w:val="00D676E6"/>
    <w:rsid w:val="00D81DD0"/>
    <w:rsid w:val="00D83CF9"/>
    <w:rsid w:val="00D90778"/>
    <w:rsid w:val="00D919A6"/>
    <w:rsid w:val="00D92000"/>
    <w:rsid w:val="00D93386"/>
    <w:rsid w:val="00DA3F69"/>
    <w:rsid w:val="00DA4D78"/>
    <w:rsid w:val="00DA7583"/>
    <w:rsid w:val="00DC157D"/>
    <w:rsid w:val="00DD06F0"/>
    <w:rsid w:val="00DE10FE"/>
    <w:rsid w:val="00DE499E"/>
    <w:rsid w:val="00DE5602"/>
    <w:rsid w:val="00DF141D"/>
    <w:rsid w:val="00DF7B0F"/>
    <w:rsid w:val="00E1613C"/>
    <w:rsid w:val="00E36848"/>
    <w:rsid w:val="00E66E00"/>
    <w:rsid w:val="00E764D3"/>
    <w:rsid w:val="00E84816"/>
    <w:rsid w:val="00E97340"/>
    <w:rsid w:val="00EA2E8F"/>
    <w:rsid w:val="00EB0ADD"/>
    <w:rsid w:val="00EC1C0A"/>
    <w:rsid w:val="00EE1A1F"/>
    <w:rsid w:val="00EE53E0"/>
    <w:rsid w:val="00EF6C7D"/>
    <w:rsid w:val="00EF73D0"/>
    <w:rsid w:val="00F00DDB"/>
    <w:rsid w:val="00F02323"/>
    <w:rsid w:val="00F03831"/>
    <w:rsid w:val="00F0530A"/>
    <w:rsid w:val="00F05955"/>
    <w:rsid w:val="00F06A76"/>
    <w:rsid w:val="00F076B6"/>
    <w:rsid w:val="00F1222A"/>
    <w:rsid w:val="00F15F3B"/>
    <w:rsid w:val="00F1729C"/>
    <w:rsid w:val="00F3518E"/>
    <w:rsid w:val="00F41325"/>
    <w:rsid w:val="00F51CA7"/>
    <w:rsid w:val="00F53549"/>
    <w:rsid w:val="00F53752"/>
    <w:rsid w:val="00F567DF"/>
    <w:rsid w:val="00F57643"/>
    <w:rsid w:val="00F614ED"/>
    <w:rsid w:val="00F64C93"/>
    <w:rsid w:val="00F66253"/>
    <w:rsid w:val="00F71026"/>
    <w:rsid w:val="00F74650"/>
    <w:rsid w:val="00F74887"/>
    <w:rsid w:val="00F76553"/>
    <w:rsid w:val="00F82549"/>
    <w:rsid w:val="00F8778B"/>
    <w:rsid w:val="00F94443"/>
    <w:rsid w:val="00F94F71"/>
    <w:rsid w:val="00FA62D0"/>
    <w:rsid w:val="00FB3B80"/>
    <w:rsid w:val="00FB6A7C"/>
    <w:rsid w:val="00FB6D64"/>
    <w:rsid w:val="00FC195B"/>
    <w:rsid w:val="00FC5865"/>
    <w:rsid w:val="00FD5E7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rsid w:val="00C20806"/>
    <w:rPr>
      <w:b/>
      <w:bCs/>
      <w:sz w:val="24"/>
      <w:lang w:eastAsia="en-US"/>
    </w:rPr>
  </w:style>
  <w:style w:type="character" w:customStyle="1" w:styleId="BodyTextChar">
    <w:name w:val="Body Text Char"/>
    <w:basedOn w:val="DefaultParagraphFont"/>
    <w:link w:val="BodyText"/>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character" w:customStyle="1" w:styleId="HelpText">
    <w:name w:val="Help Text"/>
    <w:basedOn w:val="DefaultParagraphFont"/>
    <w:semiHidden/>
    <w:rsid w:val="00C005A0"/>
    <w:rPr>
      <w:color w:val="808080"/>
    </w:rPr>
  </w:style>
</w:styles>
</file>

<file path=word/webSettings.xml><?xml version="1.0" encoding="utf-8"?>
<w:webSettings xmlns:r="http://schemas.openxmlformats.org/officeDocument/2006/relationships" xmlns:w="http://schemas.openxmlformats.org/wordprocessingml/2006/main">
  <w:divs>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E6CD-0E3F-423E-9D5A-0AAFC42C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748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Dane Mair</cp:lastModifiedBy>
  <cp:revision>41</cp:revision>
  <cp:lastPrinted>2013-06-14T07:25:00Z</cp:lastPrinted>
  <dcterms:created xsi:type="dcterms:W3CDTF">2012-05-10T00:57:00Z</dcterms:created>
  <dcterms:modified xsi:type="dcterms:W3CDTF">2013-06-14T07:25:00Z</dcterms:modified>
</cp:coreProperties>
</file>