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5901F5" w14:textId="77777777" w:rsidR="005C315B" w:rsidRDefault="00A32B49">
      <w:pPr>
        <w:tabs>
          <w:tab w:val="right" w:pos="9072"/>
        </w:tabs>
        <w:ind w:right="91"/>
        <w:jc w:val="center"/>
        <w:rPr>
          <w:b/>
          <w:u w:val="single"/>
        </w:rPr>
      </w:pPr>
      <w:r>
        <w:rPr>
          <w:b/>
          <w:u w:val="single"/>
        </w:rPr>
        <w:t xml:space="preserve">EXPLANATORY </w:t>
      </w:r>
      <w:r w:rsidR="007B1467">
        <w:rPr>
          <w:b/>
          <w:u w:val="single"/>
        </w:rPr>
        <w:t>STATEMENT</w:t>
      </w:r>
    </w:p>
    <w:p w14:paraId="2B5901F6" w14:textId="77777777" w:rsidR="005C315B" w:rsidRDefault="005C315B">
      <w:pPr>
        <w:tabs>
          <w:tab w:val="right" w:pos="9072"/>
        </w:tabs>
        <w:ind w:right="91"/>
        <w:jc w:val="center"/>
        <w:rPr>
          <w:b/>
          <w:u w:val="single"/>
        </w:rPr>
      </w:pPr>
    </w:p>
    <w:p w14:paraId="5FE0A56A" w14:textId="77777777" w:rsidR="003C7837" w:rsidRDefault="003C7837" w:rsidP="003C7837">
      <w:pPr>
        <w:tabs>
          <w:tab w:val="right" w:pos="9072"/>
        </w:tabs>
        <w:ind w:right="91"/>
        <w:jc w:val="center"/>
        <w:rPr>
          <w:b/>
          <w:u w:val="single"/>
        </w:rPr>
      </w:pPr>
      <w:r>
        <w:rPr>
          <w:b/>
          <w:u w:val="single"/>
        </w:rPr>
        <w:t>Select Legislative Instrument 2013 No. 126</w:t>
      </w:r>
    </w:p>
    <w:p w14:paraId="58E200FA" w14:textId="77777777" w:rsidR="003C7837" w:rsidRDefault="003C7837">
      <w:pPr>
        <w:tabs>
          <w:tab w:val="right" w:pos="9072"/>
        </w:tabs>
        <w:ind w:right="91"/>
        <w:jc w:val="center"/>
        <w:rPr>
          <w:b/>
          <w:u w:val="single"/>
        </w:rPr>
      </w:pPr>
    </w:p>
    <w:p w14:paraId="2B5901F7" w14:textId="77777777" w:rsidR="005C315B" w:rsidRPr="003C7837" w:rsidRDefault="007B1467">
      <w:pPr>
        <w:pStyle w:val="Heading6"/>
        <w:tabs>
          <w:tab w:val="right" w:pos="9072"/>
        </w:tabs>
        <w:spacing w:before="0"/>
        <w:rPr>
          <w:b/>
          <w:szCs w:val="24"/>
        </w:rPr>
      </w:pPr>
      <w:r w:rsidRPr="003C7837">
        <w:rPr>
          <w:b/>
          <w:szCs w:val="24"/>
        </w:rPr>
        <w:t xml:space="preserve">Issued by authority of the Assistant Treasurer </w:t>
      </w:r>
    </w:p>
    <w:p w14:paraId="2B5901F8" w14:textId="77777777" w:rsidR="005C315B" w:rsidRPr="00370E92" w:rsidRDefault="005C315B">
      <w:pPr>
        <w:tabs>
          <w:tab w:val="right" w:pos="9072"/>
        </w:tabs>
        <w:ind w:right="91"/>
        <w:rPr>
          <w:sz w:val="20"/>
        </w:rPr>
      </w:pPr>
    </w:p>
    <w:p w14:paraId="2B5901F9" w14:textId="77777777" w:rsidR="00A01586" w:rsidRPr="00EB6E47" w:rsidRDefault="00A32B49" w:rsidP="00EB6E47">
      <w:pPr>
        <w:ind w:left="1418" w:hanging="1418"/>
      </w:pPr>
      <w:r>
        <w:t xml:space="preserve">Subject </w:t>
      </w:r>
      <w:r w:rsidR="00A01586">
        <w:t xml:space="preserve">– </w:t>
      </w:r>
      <w:r w:rsidR="00A01586">
        <w:tab/>
      </w:r>
      <w:r w:rsidR="00A01586" w:rsidRPr="001970F3">
        <w:rPr>
          <w:i/>
        </w:rPr>
        <w:t>A New Tax System (Goods and Services Tax) Act 1999</w:t>
      </w:r>
      <w:r w:rsidR="00A01586">
        <w:t xml:space="preserve"> </w:t>
      </w:r>
    </w:p>
    <w:p w14:paraId="2B5901FA" w14:textId="77777777" w:rsidR="00A01586" w:rsidRDefault="005A64C2" w:rsidP="00EB6E47">
      <w:pPr>
        <w:ind w:left="2836" w:hanging="1418"/>
        <w:rPr>
          <w:i/>
        </w:rPr>
      </w:pPr>
      <w:r w:rsidRPr="005C62C9">
        <w:rPr>
          <w:i/>
        </w:rPr>
        <w:t>Excise Act 1901</w:t>
      </w:r>
    </w:p>
    <w:p w14:paraId="2B5901FB" w14:textId="77777777" w:rsidR="00A01586" w:rsidRDefault="00A01586" w:rsidP="00A01586">
      <w:pPr>
        <w:ind w:left="2836" w:hanging="1418"/>
        <w:rPr>
          <w:i/>
        </w:rPr>
      </w:pPr>
      <w:r w:rsidRPr="00A01586">
        <w:rPr>
          <w:i/>
        </w:rPr>
        <w:t>Customs Act 1901</w:t>
      </w:r>
    </w:p>
    <w:p w14:paraId="2B5901FC" w14:textId="77777777" w:rsidR="00613E6A" w:rsidRDefault="00613E6A" w:rsidP="00A01586">
      <w:pPr>
        <w:ind w:left="2836" w:hanging="1418"/>
        <w:rPr>
          <w:i/>
        </w:rPr>
      </w:pPr>
    </w:p>
    <w:p w14:paraId="2B5901FD" w14:textId="77777777" w:rsidR="00613E6A" w:rsidRDefault="00613E6A" w:rsidP="00613E6A">
      <w:pPr>
        <w:ind w:left="1418"/>
        <w:rPr>
          <w:i/>
        </w:rPr>
      </w:pPr>
      <w:r>
        <w:rPr>
          <w:i/>
        </w:rPr>
        <w:t>Customs and Other Legislation Amendment (LAG and Other Measures) Regulation 2013</w:t>
      </w:r>
    </w:p>
    <w:p w14:paraId="2B5901FE" w14:textId="77777777" w:rsidR="00EB6E47" w:rsidRDefault="00EB6E47" w:rsidP="00A01586">
      <w:pPr>
        <w:ind w:left="1418"/>
        <w:rPr>
          <w:i/>
        </w:rPr>
      </w:pPr>
    </w:p>
    <w:p w14:paraId="2B5901FF" w14:textId="77777777" w:rsidR="002D1692" w:rsidRDefault="00A01586" w:rsidP="002D1692">
      <w:pPr>
        <w:tabs>
          <w:tab w:val="left" w:pos="1701"/>
          <w:tab w:val="right" w:pos="9072"/>
        </w:tabs>
        <w:spacing w:before="120" w:after="120"/>
        <w:ind w:right="91"/>
      </w:pPr>
      <w:r>
        <w:t xml:space="preserve">Section 177-15 of the </w:t>
      </w:r>
      <w:r w:rsidRPr="001970F3">
        <w:rPr>
          <w:i/>
        </w:rPr>
        <w:t>A New Tax System (Goods and Services Tax) Act 1999</w:t>
      </w:r>
      <w:r>
        <w:rPr>
          <w:i/>
        </w:rPr>
        <w:t>,</w:t>
      </w:r>
      <w:r>
        <w:t xml:space="preserve"> s</w:t>
      </w:r>
      <w:r w:rsidR="002D1692">
        <w:t xml:space="preserve">ection 164 of the </w:t>
      </w:r>
      <w:r w:rsidR="002D1692" w:rsidRPr="005C62C9">
        <w:rPr>
          <w:i/>
        </w:rPr>
        <w:t>Excise Act 1901</w:t>
      </w:r>
      <w:r w:rsidR="002D1692">
        <w:t xml:space="preserve"> </w:t>
      </w:r>
      <w:r>
        <w:t xml:space="preserve">and section 270 of the </w:t>
      </w:r>
      <w:r w:rsidRPr="00A01586">
        <w:rPr>
          <w:i/>
        </w:rPr>
        <w:t>Customs</w:t>
      </w:r>
      <w:r w:rsidRPr="005C62C9">
        <w:rPr>
          <w:i/>
        </w:rPr>
        <w:t xml:space="preserve"> Act 1901</w:t>
      </w:r>
      <w:r>
        <w:t xml:space="preserve"> </w:t>
      </w:r>
      <w:r w:rsidR="002D1692" w:rsidRPr="005C7927">
        <w:t>provide t</w:t>
      </w:r>
      <w:r w:rsidR="002D1692">
        <w:t>hat the Governor-General may make regulations prescribing matters required or permitted by the Act to be prescribed, or necessary or convenient to be prescribed for carrying out or giving effect to the Act.</w:t>
      </w:r>
    </w:p>
    <w:p w14:paraId="2B590200" w14:textId="72040937" w:rsidR="00721DB2" w:rsidRDefault="00721DB2" w:rsidP="00721DB2">
      <w:pPr>
        <w:tabs>
          <w:tab w:val="left" w:pos="1701"/>
          <w:tab w:val="right" w:pos="9072"/>
        </w:tabs>
        <w:spacing w:before="120" w:after="120"/>
        <w:ind w:right="91"/>
        <w:rPr>
          <w:iCs/>
          <w:szCs w:val="24"/>
        </w:rPr>
      </w:pPr>
      <w:r>
        <w:t xml:space="preserve">Schedule 1 </w:t>
      </w:r>
      <w:r w:rsidR="00A56EF5">
        <w:t>to</w:t>
      </w:r>
      <w:r>
        <w:t xml:space="preserve"> the Regulation makes minor technical amendments to </w:t>
      </w:r>
      <w:r w:rsidR="0030684F">
        <w:t xml:space="preserve">correct </w:t>
      </w:r>
      <w:r w:rsidR="00844F9F">
        <w:t xml:space="preserve">a </w:t>
      </w:r>
      <w:r w:rsidR="0030684F">
        <w:t xml:space="preserve">section number in </w:t>
      </w:r>
      <w:r>
        <w:t xml:space="preserve">the </w:t>
      </w:r>
      <w:r w:rsidRPr="001970F3">
        <w:rPr>
          <w:i/>
        </w:rPr>
        <w:t>A New Tax System (Goods and Services Tax) Regulations 1999</w:t>
      </w:r>
      <w:r w:rsidR="0030684F">
        <w:rPr>
          <w:i/>
        </w:rPr>
        <w:t xml:space="preserve"> </w:t>
      </w:r>
      <w:r w:rsidR="0030684F" w:rsidRPr="0030684F">
        <w:t xml:space="preserve">and insert </w:t>
      </w:r>
      <w:r w:rsidR="0030684F">
        <w:t xml:space="preserve">the </w:t>
      </w:r>
      <w:r w:rsidR="0030684F" w:rsidRPr="0030684F">
        <w:t xml:space="preserve">missing number in the </w:t>
      </w:r>
      <w:r w:rsidR="0030684F" w:rsidRPr="00844F9F">
        <w:t>heading of</w:t>
      </w:r>
      <w:r w:rsidR="0030684F" w:rsidRPr="00844F9F">
        <w:rPr>
          <w:i/>
          <w:iCs/>
          <w:szCs w:val="24"/>
        </w:rPr>
        <w:t xml:space="preserve"> Excise Regulation </w:t>
      </w:r>
      <w:r w:rsidR="00C5167F">
        <w:rPr>
          <w:i/>
          <w:iCs/>
          <w:szCs w:val="24"/>
        </w:rPr>
        <w:t>1925</w:t>
      </w:r>
      <w:r w:rsidR="00426509">
        <w:rPr>
          <w:i/>
          <w:iCs/>
          <w:szCs w:val="24"/>
        </w:rPr>
        <w:t xml:space="preserve"> </w:t>
      </w:r>
      <w:r w:rsidR="00426509" w:rsidRPr="00426509">
        <w:rPr>
          <w:iCs/>
          <w:szCs w:val="24"/>
        </w:rPr>
        <w:t>and</w:t>
      </w:r>
      <w:r w:rsidR="0030684F" w:rsidRPr="00426509">
        <w:rPr>
          <w:szCs w:val="24"/>
        </w:rPr>
        <w:t xml:space="preserve"> </w:t>
      </w:r>
      <w:r w:rsidR="0030684F" w:rsidRPr="00844F9F">
        <w:rPr>
          <w:szCs w:val="24"/>
        </w:rPr>
        <w:t xml:space="preserve">the </w:t>
      </w:r>
      <w:r w:rsidR="0030684F" w:rsidRPr="00844F9F">
        <w:rPr>
          <w:i/>
          <w:iCs/>
          <w:szCs w:val="24"/>
        </w:rPr>
        <w:t xml:space="preserve">Customs Regulation </w:t>
      </w:r>
      <w:r w:rsidR="00C5167F">
        <w:rPr>
          <w:i/>
          <w:iCs/>
          <w:szCs w:val="24"/>
        </w:rPr>
        <w:t>192</w:t>
      </w:r>
      <w:r w:rsidR="003A4324">
        <w:rPr>
          <w:i/>
          <w:iCs/>
          <w:szCs w:val="24"/>
        </w:rPr>
        <w:t>6</w:t>
      </w:r>
      <w:bookmarkStart w:id="0" w:name="_GoBack"/>
      <w:bookmarkEnd w:id="0"/>
      <w:r w:rsidR="00426509">
        <w:rPr>
          <w:szCs w:val="24"/>
        </w:rPr>
        <w:t>.</w:t>
      </w:r>
    </w:p>
    <w:p w14:paraId="2B590201" w14:textId="77777777" w:rsidR="00613E6A" w:rsidRDefault="00613E6A" w:rsidP="00613E6A"/>
    <w:p w14:paraId="2B590202" w14:textId="77777777" w:rsidR="00CF76E8" w:rsidRDefault="00721DB2" w:rsidP="00613E6A">
      <w:pPr>
        <w:tabs>
          <w:tab w:val="left" w:pos="1701"/>
          <w:tab w:val="right" w:pos="9072"/>
        </w:tabs>
        <w:ind w:right="91"/>
      </w:pPr>
      <w:r>
        <w:t xml:space="preserve">Schedule 2 </w:t>
      </w:r>
      <w:r w:rsidR="00A56EF5">
        <w:t>to</w:t>
      </w:r>
      <w:r>
        <w:t xml:space="preserve"> t</w:t>
      </w:r>
      <w:r w:rsidR="00DD2F30">
        <w:t xml:space="preserve">he </w:t>
      </w:r>
      <w:r w:rsidR="009B7816">
        <w:t>R</w:t>
      </w:r>
      <w:r w:rsidR="00EB6E47">
        <w:t>egulation</w:t>
      </w:r>
      <w:r w:rsidR="00DD2F30">
        <w:t xml:space="preserve"> amend</w:t>
      </w:r>
      <w:r w:rsidR="00EB6E47">
        <w:t>s</w:t>
      </w:r>
      <w:r w:rsidR="00DD2F30">
        <w:t xml:space="preserve"> the </w:t>
      </w:r>
      <w:r w:rsidR="00DD2F30" w:rsidRPr="001970F3">
        <w:rPr>
          <w:i/>
        </w:rPr>
        <w:t>A New Tax System (Goods and Services Tax) Regulations 1999</w:t>
      </w:r>
      <w:r w:rsidR="00DD2F30">
        <w:rPr>
          <w:i/>
        </w:rPr>
        <w:t xml:space="preserve">, </w:t>
      </w:r>
      <w:r w:rsidR="00DD2F30">
        <w:t xml:space="preserve">the </w:t>
      </w:r>
      <w:r w:rsidR="00CF76E8" w:rsidRPr="009E4566">
        <w:rPr>
          <w:i/>
        </w:rPr>
        <w:t>Excise Regulations 1925</w:t>
      </w:r>
      <w:r w:rsidR="00DD2F30">
        <w:rPr>
          <w:i/>
        </w:rPr>
        <w:t xml:space="preserve"> </w:t>
      </w:r>
      <w:r w:rsidR="00DD2F30" w:rsidRPr="00DD2F30">
        <w:t>and the</w:t>
      </w:r>
      <w:r w:rsidR="00DD2F30">
        <w:rPr>
          <w:i/>
        </w:rPr>
        <w:t xml:space="preserve"> Customs </w:t>
      </w:r>
      <w:r w:rsidR="00DD2F30" w:rsidRPr="009E4566">
        <w:rPr>
          <w:i/>
        </w:rPr>
        <w:t>Regulations 192</w:t>
      </w:r>
      <w:r w:rsidR="00DD2F30">
        <w:rPr>
          <w:i/>
        </w:rPr>
        <w:t xml:space="preserve">6 </w:t>
      </w:r>
      <w:r w:rsidR="00CF76E8">
        <w:t xml:space="preserve">to provide legislative authority for </w:t>
      </w:r>
      <w:r>
        <w:t>the</w:t>
      </w:r>
      <w:r w:rsidR="00CF76E8">
        <w:t xml:space="preserve"> arrangement that has been in place since 31 March 2007 for export verification procedures for liquids, aerosols, gels, creams and pastes (LAG products) purchased free of excise</w:t>
      </w:r>
      <w:r w:rsidR="0058392D">
        <w:t>, customs</w:t>
      </w:r>
      <w:r w:rsidR="00CF76E8">
        <w:t xml:space="preserve"> </w:t>
      </w:r>
      <w:r w:rsidR="0058392D" w:rsidRPr="004E069D">
        <w:t>duty</w:t>
      </w:r>
      <w:r w:rsidR="0058392D">
        <w:t>,</w:t>
      </w:r>
      <w:r w:rsidR="0058392D" w:rsidRPr="004E069D">
        <w:t xml:space="preserve"> </w:t>
      </w:r>
      <w:r w:rsidR="0058392D">
        <w:t>goods and services tax (</w:t>
      </w:r>
      <w:r w:rsidR="0058392D" w:rsidRPr="004E069D">
        <w:t>GST</w:t>
      </w:r>
      <w:r w:rsidR="0058392D">
        <w:t>)</w:t>
      </w:r>
      <w:r w:rsidR="0058392D" w:rsidRPr="004E069D">
        <w:t xml:space="preserve"> </w:t>
      </w:r>
      <w:r w:rsidR="0058392D">
        <w:t xml:space="preserve">and Wine Equalisation Tax (WET) </w:t>
      </w:r>
      <w:r w:rsidR="00CF76E8">
        <w:t xml:space="preserve"> under the sealed bag scheme (</w:t>
      </w:r>
      <w:proofErr w:type="spellStart"/>
      <w:r w:rsidR="00CF76E8">
        <w:t>SBS</w:t>
      </w:r>
      <w:proofErr w:type="spellEnd"/>
      <w:r w:rsidR="00CF76E8">
        <w:t xml:space="preserve">), by passengers </w:t>
      </w:r>
      <w:r>
        <w:t xml:space="preserve">departing Australia </w:t>
      </w:r>
      <w:r w:rsidR="00CF76E8">
        <w:t>on international flights</w:t>
      </w:r>
      <w:r>
        <w:t xml:space="preserve"> and voyages</w:t>
      </w:r>
      <w:r w:rsidR="00CF76E8">
        <w:t xml:space="preserve">. </w:t>
      </w:r>
    </w:p>
    <w:p w14:paraId="2B590203" w14:textId="77777777" w:rsidR="00CF76E8" w:rsidRDefault="00CF76E8" w:rsidP="00CF76E8">
      <w:pPr>
        <w:tabs>
          <w:tab w:val="left" w:pos="1701"/>
          <w:tab w:val="right" w:pos="9072"/>
        </w:tabs>
        <w:spacing w:before="120" w:after="120"/>
        <w:ind w:right="91"/>
      </w:pPr>
      <w:r>
        <w:t xml:space="preserve">Under the </w:t>
      </w:r>
      <w:proofErr w:type="spellStart"/>
      <w:r w:rsidR="006407D0">
        <w:t>SBS</w:t>
      </w:r>
      <w:proofErr w:type="spellEnd"/>
      <w:r>
        <w:t xml:space="preserve">, </w:t>
      </w:r>
      <w:r w:rsidRPr="004E069D">
        <w:t xml:space="preserve">travellers leaving Australia can purchase </w:t>
      </w:r>
      <w:r w:rsidR="0001095D">
        <w:t xml:space="preserve">goods </w:t>
      </w:r>
      <w:r>
        <w:t xml:space="preserve">free of </w:t>
      </w:r>
      <w:r w:rsidR="00BA5A2A">
        <w:t xml:space="preserve">excise, customs </w:t>
      </w:r>
      <w:r w:rsidRPr="004E069D">
        <w:t>duty</w:t>
      </w:r>
      <w:r>
        <w:t>,</w:t>
      </w:r>
      <w:r w:rsidRPr="004E069D">
        <w:t xml:space="preserve"> GST </w:t>
      </w:r>
      <w:r>
        <w:t xml:space="preserve">and </w:t>
      </w:r>
      <w:r w:rsidR="00721DB2">
        <w:t xml:space="preserve">WET </w:t>
      </w:r>
      <w:r w:rsidR="0001095D">
        <w:t xml:space="preserve">that are </w:t>
      </w:r>
      <w:r>
        <w:t xml:space="preserve">sold </w:t>
      </w:r>
      <w:r w:rsidRPr="004E069D">
        <w:t>at off</w:t>
      </w:r>
      <w:r>
        <w:noBreakHyphen/>
      </w:r>
      <w:r w:rsidRPr="004E069D">
        <w:t xml:space="preserve">airport duty free shops or </w:t>
      </w:r>
      <w:r>
        <w:t xml:space="preserve">certain </w:t>
      </w:r>
      <w:r w:rsidRPr="004E069D">
        <w:t>retailers, provided</w:t>
      </w:r>
      <w:r>
        <w:t xml:space="preserve"> proof of the export of such goods can be </w:t>
      </w:r>
      <w:r w:rsidR="00721DB2">
        <w:t>provided</w:t>
      </w:r>
      <w:r>
        <w:t xml:space="preserve">.  Prior to 31 March 2007, export of the goods was generally substantiated by the </w:t>
      </w:r>
      <w:proofErr w:type="spellStart"/>
      <w:r>
        <w:t>SBS</w:t>
      </w:r>
      <w:proofErr w:type="spellEnd"/>
      <w:r>
        <w:t xml:space="preserve"> bags being presented past the </w:t>
      </w:r>
      <w:r w:rsidR="00721DB2">
        <w:t xml:space="preserve">outwards control point </w:t>
      </w:r>
      <w:r>
        <w:t>to an airside agent of the retailer</w:t>
      </w:r>
      <w:r w:rsidR="0001095D">
        <w:t>.</w:t>
      </w:r>
    </w:p>
    <w:p w14:paraId="2B590204" w14:textId="77777777" w:rsidR="00CF76E8" w:rsidRDefault="00CF76E8" w:rsidP="00CF76E8">
      <w:pPr>
        <w:spacing w:before="120" w:after="120"/>
      </w:pPr>
      <w:r>
        <w:t xml:space="preserve">Since 31 March 2007 international security restrictions set out in the </w:t>
      </w:r>
      <w:r w:rsidRPr="005C7927">
        <w:rPr>
          <w:i/>
        </w:rPr>
        <w:t>Aviation Transport Security Regulations 2005</w:t>
      </w:r>
      <w:r>
        <w:t xml:space="preserve">, have prevented passengers from carrying LAG products onto international flights </w:t>
      </w:r>
      <w:r w:rsidR="00721DB2">
        <w:t xml:space="preserve">as cabin baggage </w:t>
      </w:r>
      <w:r>
        <w:t xml:space="preserve">unless the product is 100 millilitres or less and the products are sealed in one transparent, one litre plastic bag (or less).  </w:t>
      </w:r>
    </w:p>
    <w:p w14:paraId="2B590205" w14:textId="77777777" w:rsidR="00CF76E8" w:rsidRPr="00370E92" w:rsidRDefault="00CF76E8" w:rsidP="00CF76E8">
      <w:pPr>
        <w:spacing w:before="120" w:after="120"/>
        <w:rPr>
          <w:sz w:val="20"/>
        </w:rPr>
      </w:pPr>
      <w:r>
        <w:t>With the agreement of the Australian Taxation Office (</w:t>
      </w:r>
      <w:proofErr w:type="spellStart"/>
      <w:r>
        <w:t>ATO</w:t>
      </w:r>
      <w:proofErr w:type="spellEnd"/>
      <w:r>
        <w:t>) and the Australian Customs and Border Protection Service (Customs</w:t>
      </w:r>
      <w:r w:rsidRPr="00656A53">
        <w:t xml:space="preserve"> </w:t>
      </w:r>
      <w:r>
        <w:t>and Border Protection), off-airport duty,</w:t>
      </w:r>
      <w:r w:rsidR="00A56EF5">
        <w:t xml:space="preserve"> and </w:t>
      </w:r>
      <w:r>
        <w:t>GST and WET free retailers</w:t>
      </w:r>
      <w:r w:rsidR="002D2A1F">
        <w:t>,</w:t>
      </w:r>
      <w:r>
        <w:t xml:space="preserve"> sealed bag arrangements were implemented which are consistent with international airport security restrictions.  Under these arrangements, travellers remove the</w:t>
      </w:r>
      <w:r w:rsidR="00721DB2">
        <w:t xml:space="preserve"> invoice attached to the outside of the</w:t>
      </w:r>
      <w:r>
        <w:t xml:space="preserve"> sealed bag for LAG products greater than 100 millilitres prior to packing the LAG products in their luggage. </w:t>
      </w:r>
      <w:r w:rsidR="00721DB2">
        <w:t xml:space="preserve"> The passenger then presents the invoice to the airside agent of the retailer.</w:t>
      </w:r>
      <w:r w:rsidR="00A56EF5">
        <w:t xml:space="preserve"> The </w:t>
      </w:r>
      <w:proofErr w:type="spellStart"/>
      <w:r w:rsidR="00A56EF5">
        <w:t>SBS</w:t>
      </w:r>
      <w:proofErr w:type="spellEnd"/>
      <w:r w:rsidR="00A56EF5">
        <w:t xml:space="preserve"> rules in the </w:t>
      </w:r>
      <w:r w:rsidR="00A56EF5" w:rsidRPr="001970F3">
        <w:rPr>
          <w:i/>
        </w:rPr>
        <w:t xml:space="preserve">A New Tax System (Goods and Services Tax) </w:t>
      </w:r>
      <w:r w:rsidR="00A56EF5" w:rsidRPr="001970F3">
        <w:rPr>
          <w:i/>
        </w:rPr>
        <w:lastRenderedPageBreak/>
        <w:t>Regulations 1999</w:t>
      </w:r>
      <w:r w:rsidR="00A56EF5">
        <w:rPr>
          <w:i/>
        </w:rPr>
        <w:t xml:space="preserve">, </w:t>
      </w:r>
      <w:r w:rsidR="00A56EF5" w:rsidRPr="00B11FE7">
        <w:t>the</w:t>
      </w:r>
      <w:r w:rsidR="00A56EF5">
        <w:rPr>
          <w:i/>
        </w:rPr>
        <w:t xml:space="preserve"> </w:t>
      </w:r>
      <w:r w:rsidR="00A56EF5" w:rsidRPr="00A25D12">
        <w:rPr>
          <w:i/>
        </w:rPr>
        <w:t>Excise Regulations 1925</w:t>
      </w:r>
      <w:r w:rsidR="00A56EF5">
        <w:t xml:space="preserve"> and the </w:t>
      </w:r>
      <w:r w:rsidR="00A56EF5">
        <w:rPr>
          <w:i/>
        </w:rPr>
        <w:t>Customs</w:t>
      </w:r>
      <w:r w:rsidR="00A56EF5" w:rsidRPr="00A25D12">
        <w:rPr>
          <w:i/>
        </w:rPr>
        <w:t xml:space="preserve"> Regulations 192</w:t>
      </w:r>
      <w:r w:rsidR="00A56EF5">
        <w:rPr>
          <w:i/>
        </w:rPr>
        <w:t xml:space="preserve">6 </w:t>
      </w:r>
      <w:r w:rsidR="00A56EF5" w:rsidRPr="00A56EF5">
        <w:t>do not currently provide for this arrangement</w:t>
      </w:r>
      <w:r w:rsidR="00A56EF5">
        <w:rPr>
          <w:i/>
        </w:rPr>
        <w:t>.</w:t>
      </w:r>
    </w:p>
    <w:p w14:paraId="2B590206" w14:textId="77777777" w:rsidR="00CF76E8" w:rsidRDefault="00CF76E8" w:rsidP="00CF76E8">
      <w:r>
        <w:t xml:space="preserve">The </w:t>
      </w:r>
      <w:r w:rsidR="006407D0">
        <w:t>R</w:t>
      </w:r>
      <w:r>
        <w:t xml:space="preserve">egulation </w:t>
      </w:r>
      <w:r w:rsidR="00A56EF5">
        <w:t xml:space="preserve">provides legislative support for the arrangement put in place by the </w:t>
      </w:r>
      <w:proofErr w:type="spellStart"/>
      <w:r w:rsidR="00A56EF5">
        <w:t>ATO</w:t>
      </w:r>
      <w:proofErr w:type="spellEnd"/>
      <w:r w:rsidR="00A56EF5">
        <w:t xml:space="preserve"> and Customs and Border </w:t>
      </w:r>
      <w:r w:rsidR="00BA5A2A">
        <w:t>Protection</w:t>
      </w:r>
      <w:r w:rsidR="00A56EF5">
        <w:t xml:space="preserve">. It </w:t>
      </w:r>
      <w:r>
        <w:t>ensure</w:t>
      </w:r>
      <w:r w:rsidR="00EB6E47">
        <w:t>s</w:t>
      </w:r>
      <w:r>
        <w:t xml:space="preserve"> that</w:t>
      </w:r>
      <w:r w:rsidR="00A25D12">
        <w:t xml:space="preserve"> </w:t>
      </w:r>
      <w:r>
        <w:t>people who</w:t>
      </w:r>
      <w:r w:rsidR="00F3278E">
        <w:t xml:space="preserve">, on or after </w:t>
      </w:r>
      <w:r w:rsidR="00067D13">
        <w:t xml:space="preserve">     </w:t>
      </w:r>
      <w:r w:rsidR="00F3278E">
        <w:t xml:space="preserve">31 March 2007, </w:t>
      </w:r>
      <w:r>
        <w:t xml:space="preserve">have acted in accordance with the arrangement </w:t>
      </w:r>
      <w:r w:rsidR="00C621F8">
        <w:t xml:space="preserve">are taken to have complied with </w:t>
      </w:r>
      <w:r w:rsidRPr="00F36F8E">
        <w:t xml:space="preserve">the </w:t>
      </w:r>
      <w:proofErr w:type="spellStart"/>
      <w:r>
        <w:t>SBS</w:t>
      </w:r>
      <w:proofErr w:type="spellEnd"/>
      <w:r>
        <w:t xml:space="preserve"> </w:t>
      </w:r>
      <w:r w:rsidRPr="00F36F8E">
        <w:t>rules</w:t>
      </w:r>
      <w:r w:rsidR="00C621F8">
        <w:t xml:space="preserve"> set out in these three sets of regulations</w:t>
      </w:r>
      <w:r w:rsidR="00B11FE7">
        <w:t>.</w:t>
      </w:r>
    </w:p>
    <w:p w14:paraId="2B590207" w14:textId="77777777" w:rsidR="00CF76E8" w:rsidRDefault="00CF76E8" w:rsidP="00CF76E8"/>
    <w:p w14:paraId="2B590208" w14:textId="77777777" w:rsidR="00CF76E8" w:rsidRDefault="00CF76E8" w:rsidP="00CF76E8">
      <w:r>
        <w:t xml:space="preserve">It was originally intended that </w:t>
      </w:r>
      <w:r w:rsidR="00B35DA8">
        <w:t xml:space="preserve">these </w:t>
      </w:r>
      <w:r>
        <w:t>arrangement</w:t>
      </w:r>
      <w:r w:rsidR="00B35DA8">
        <w:t>s</w:t>
      </w:r>
      <w:r>
        <w:t xml:space="preserve"> be replaced by more rigorous arrangement</w:t>
      </w:r>
      <w:r w:rsidR="00B35DA8">
        <w:t>s</w:t>
      </w:r>
      <w:r>
        <w:t xml:space="preserve"> that would have required travellers to provide proof by way of a declaration on the goods dockets that would be handed to airside agents of the retailer. However, it is expected that in the near future</w:t>
      </w:r>
      <w:r w:rsidR="00C621F8">
        <w:t>,</w:t>
      </w:r>
      <w:r>
        <w:t xml:space="preserve"> new screening technology will allow LAG</w:t>
      </w:r>
      <w:r w:rsidR="00BA5A2A">
        <w:t xml:space="preserve"> products</w:t>
      </w:r>
      <w:r>
        <w:t xml:space="preserve"> to again </w:t>
      </w:r>
      <w:r w:rsidR="00C621F8">
        <w:t xml:space="preserve">be </w:t>
      </w:r>
      <w:r>
        <w:t xml:space="preserve">taken </w:t>
      </w:r>
      <w:r w:rsidR="00C621F8">
        <w:t xml:space="preserve">onto international flights </w:t>
      </w:r>
      <w:r>
        <w:t xml:space="preserve">as cabin baggage. </w:t>
      </w:r>
    </w:p>
    <w:p w14:paraId="2B590209" w14:textId="77777777" w:rsidR="00CF76E8" w:rsidRDefault="00CF76E8" w:rsidP="00CF76E8"/>
    <w:p w14:paraId="2B59020A" w14:textId="77777777" w:rsidR="00CF76E8" w:rsidRDefault="00CF76E8" w:rsidP="00CF76E8">
      <w:r>
        <w:t xml:space="preserve">The Government therefore decided that the existing </w:t>
      </w:r>
      <w:r w:rsidR="00C621F8">
        <w:t xml:space="preserve">sealed bag </w:t>
      </w:r>
      <w:r>
        <w:t xml:space="preserve">arrangement </w:t>
      </w:r>
      <w:r w:rsidR="002D2A1F">
        <w:t xml:space="preserve">will </w:t>
      </w:r>
      <w:r w:rsidR="00C621F8">
        <w:t xml:space="preserve">continue to </w:t>
      </w:r>
      <w:r w:rsidR="002D2A1F">
        <w:t xml:space="preserve">operate </w:t>
      </w:r>
      <w:r>
        <w:t>until the new screening technology is adopted.  This decision was made on the basis of additional compliance and administrative costs that would result from adopting the more rigorous arrangement</w:t>
      </w:r>
      <w:r w:rsidR="00B35DA8">
        <w:t>s</w:t>
      </w:r>
      <w:r>
        <w:t xml:space="preserve"> that would only have a limited life. </w:t>
      </w:r>
    </w:p>
    <w:p w14:paraId="2B59020B" w14:textId="77777777" w:rsidR="0026106C" w:rsidRDefault="0026106C" w:rsidP="00CF76E8"/>
    <w:p w14:paraId="2B59020C" w14:textId="77777777" w:rsidR="00BA5A2A" w:rsidRDefault="00A4231C" w:rsidP="00CF76E8">
      <w:r>
        <w:t xml:space="preserve">Schedule 1 commences on 16 February 2013. The amendments do not infringe Subsection 12(2) of the </w:t>
      </w:r>
      <w:r>
        <w:rPr>
          <w:i/>
        </w:rPr>
        <w:t xml:space="preserve">Legislative Instruments Act </w:t>
      </w:r>
      <w:r w:rsidRPr="00A56EF5">
        <w:rPr>
          <w:i/>
        </w:rPr>
        <w:t>2003</w:t>
      </w:r>
      <w:r>
        <w:t xml:space="preserve"> as they do not adversely affect the rights of any person as at the date of registration, or impose liabilities on a person in respect of anything done or not done before the date of registration</w:t>
      </w:r>
      <w:r w:rsidR="00BA5A2A">
        <w:t>.</w:t>
      </w:r>
    </w:p>
    <w:p w14:paraId="2B59020D" w14:textId="77777777" w:rsidR="00BA5A2A" w:rsidRDefault="00BA5A2A" w:rsidP="00CF76E8"/>
    <w:p w14:paraId="2B59020E" w14:textId="77777777" w:rsidR="00120368" w:rsidRDefault="00C621F8" w:rsidP="00CF76E8">
      <w:r>
        <w:t xml:space="preserve">Schedule 2 </w:t>
      </w:r>
      <w:r w:rsidR="00A4231C">
        <w:t>to</w:t>
      </w:r>
      <w:r>
        <w:t xml:space="preserve"> the Regulation </w:t>
      </w:r>
      <w:r w:rsidR="002D680C">
        <w:t xml:space="preserve">which commences on the day after the </w:t>
      </w:r>
      <w:r w:rsidR="00BA5A2A">
        <w:t xml:space="preserve">Regulation </w:t>
      </w:r>
      <w:r w:rsidR="002D680C">
        <w:t>is registered on the Federal Register of Legislative Instruments</w:t>
      </w:r>
      <w:r w:rsidR="00B35DA8">
        <w:t>.  The amendments in Schedule 2</w:t>
      </w:r>
      <w:r w:rsidR="002D680C">
        <w:t xml:space="preserve"> </w:t>
      </w:r>
      <w:r w:rsidR="00B35DA8">
        <w:t xml:space="preserve">apply </w:t>
      </w:r>
      <w:r>
        <w:t>to purchases made on or after 31 March 2007</w:t>
      </w:r>
      <w:r w:rsidR="008C3163">
        <w:t xml:space="preserve"> and provide legislative support for </w:t>
      </w:r>
      <w:r w:rsidR="00B35DA8">
        <w:t xml:space="preserve">the </w:t>
      </w:r>
      <w:r w:rsidR="008C3163">
        <w:t>arrangement</w:t>
      </w:r>
      <w:r w:rsidR="00B35DA8">
        <w:t>s</w:t>
      </w:r>
      <w:r w:rsidR="008C3163">
        <w:t xml:space="preserve"> that </w:t>
      </w:r>
      <w:r w:rsidR="00B35DA8">
        <w:t xml:space="preserve">have </w:t>
      </w:r>
      <w:r w:rsidR="008C3163">
        <w:t xml:space="preserve">been in place since that date.  </w:t>
      </w:r>
    </w:p>
    <w:p w14:paraId="2B59020F" w14:textId="77777777" w:rsidR="00120368" w:rsidRDefault="00120368" w:rsidP="00CF76E8"/>
    <w:p w14:paraId="2B590210" w14:textId="77777777" w:rsidR="00CF76E8" w:rsidRDefault="00404E9B" w:rsidP="00CF76E8">
      <w:r>
        <w:t>Public c</w:t>
      </w:r>
      <w:r w:rsidR="00A10B16">
        <w:t xml:space="preserve">onsultation with </w:t>
      </w:r>
      <w:r w:rsidR="00E4024A">
        <w:t xml:space="preserve">industry </w:t>
      </w:r>
      <w:r w:rsidR="00A10B16">
        <w:t xml:space="preserve">on the </w:t>
      </w:r>
      <w:r>
        <w:t xml:space="preserve">draft regulation and explanatory material </w:t>
      </w:r>
      <w:r w:rsidR="00CF76E8">
        <w:t>was conducted between 3 April 2011 and 29 April 2011.</w:t>
      </w:r>
      <w:r w:rsidR="00A10B16">
        <w:t xml:space="preserve"> </w:t>
      </w:r>
      <w:r w:rsidR="00CF76E8">
        <w:t xml:space="preserve">  A concern raised </w:t>
      </w:r>
      <w:r w:rsidR="00E4024A">
        <w:t xml:space="preserve">by the primary docket agency for the duty free industry </w:t>
      </w:r>
      <w:r>
        <w:t xml:space="preserve">is </w:t>
      </w:r>
      <w:r w:rsidR="00CF76E8">
        <w:t xml:space="preserve">the </w:t>
      </w:r>
      <w:r w:rsidR="002D2A1F">
        <w:t xml:space="preserve">compliance </w:t>
      </w:r>
      <w:r w:rsidR="00CF76E8">
        <w:t>cost</w:t>
      </w:r>
      <w:r w:rsidR="002D2A1F">
        <w:t xml:space="preserve">s </w:t>
      </w:r>
      <w:r w:rsidR="00CF76E8">
        <w:t xml:space="preserve">of replacing the </w:t>
      </w:r>
      <w:r w:rsidR="0078124D">
        <w:t xml:space="preserve">existing </w:t>
      </w:r>
      <w:r w:rsidR="00CF76E8">
        <w:t xml:space="preserve">arrangement with the </w:t>
      </w:r>
      <w:r w:rsidR="002D2A1F">
        <w:t xml:space="preserve">more rigorous </w:t>
      </w:r>
      <w:r w:rsidR="00CF76E8">
        <w:t>declaration</w:t>
      </w:r>
      <w:r w:rsidR="002D2A1F">
        <w:t xml:space="preserve"> requirement</w:t>
      </w:r>
      <w:r w:rsidR="00CF76E8">
        <w:t>.  However</w:t>
      </w:r>
      <w:r w:rsidR="0078124D">
        <w:t>,</w:t>
      </w:r>
      <w:r w:rsidR="00CF76E8">
        <w:t xml:space="preserve"> the </w:t>
      </w:r>
      <w:r w:rsidR="002D2A1F">
        <w:t xml:space="preserve">Government’s decision </w:t>
      </w:r>
      <w:r w:rsidR="0042300E">
        <w:t>to remove the</w:t>
      </w:r>
      <w:r w:rsidR="002D2A1F">
        <w:t xml:space="preserve"> </w:t>
      </w:r>
      <w:r w:rsidR="0042300E">
        <w:t xml:space="preserve">requirement for a declaration </w:t>
      </w:r>
      <w:r w:rsidR="00512109">
        <w:t xml:space="preserve">and use the </w:t>
      </w:r>
      <w:r w:rsidR="002D2A1F">
        <w:t xml:space="preserve">existing arrangement </w:t>
      </w:r>
      <w:r w:rsidR="00512109">
        <w:t>as</w:t>
      </w:r>
      <w:r w:rsidR="002D2A1F">
        <w:t xml:space="preserve"> </w:t>
      </w:r>
      <w:r w:rsidR="00BA5A2A">
        <w:t>the </w:t>
      </w:r>
      <w:r w:rsidR="002D2A1F">
        <w:t>on-going requirement has removed this concern.</w:t>
      </w:r>
      <w:r>
        <w:t xml:space="preserve">  No other issues were raised by industry.</w:t>
      </w:r>
    </w:p>
    <w:p w14:paraId="2B590211" w14:textId="77777777" w:rsidR="00A25D12" w:rsidRDefault="00A25D12" w:rsidP="00CF76E8"/>
    <w:p w14:paraId="2B590212" w14:textId="77777777" w:rsidR="00585121" w:rsidRDefault="00EB6E47" w:rsidP="00585121">
      <w:r>
        <w:t>The Regulation</w:t>
      </w:r>
      <w:r w:rsidR="00585121">
        <w:t xml:space="preserve"> </w:t>
      </w:r>
      <w:r>
        <w:t>is a</w:t>
      </w:r>
      <w:r w:rsidR="00585121">
        <w:t xml:space="preserve"> legislative instrument for the purpose of the </w:t>
      </w:r>
      <w:r w:rsidR="00585121" w:rsidRPr="00F559F0">
        <w:rPr>
          <w:i/>
        </w:rPr>
        <w:t>Legislative Instruments Act 2003</w:t>
      </w:r>
      <w:r w:rsidR="00585121">
        <w:t xml:space="preserve">. </w:t>
      </w:r>
    </w:p>
    <w:p w14:paraId="2B590213" w14:textId="77777777" w:rsidR="00585121" w:rsidRDefault="00585121" w:rsidP="002D1692">
      <w:pPr>
        <w:tabs>
          <w:tab w:val="right" w:pos="9072"/>
        </w:tabs>
        <w:ind w:right="91"/>
      </w:pPr>
    </w:p>
    <w:p w14:paraId="2B590214" w14:textId="77777777" w:rsidR="005C315B" w:rsidRDefault="005C315B">
      <w:pPr>
        <w:tabs>
          <w:tab w:val="left" w:pos="2835"/>
        </w:tabs>
        <w:ind w:right="91"/>
        <w:jc w:val="right"/>
      </w:pPr>
    </w:p>
    <w:p w14:paraId="2B590215" w14:textId="77777777" w:rsidR="005C315B" w:rsidRDefault="00A32B49">
      <w:pPr>
        <w:tabs>
          <w:tab w:val="right" w:pos="8222"/>
        </w:tabs>
        <w:ind w:right="91"/>
      </w:pPr>
      <w:r>
        <w:tab/>
      </w:r>
    </w:p>
    <w:p w14:paraId="2B590216" w14:textId="77777777" w:rsidR="00CF76E8" w:rsidRDefault="00CF76E8" w:rsidP="00CF76E8">
      <w:r>
        <w:rPr>
          <w:sz w:val="16"/>
        </w:rPr>
        <w:br w:type="column"/>
      </w:r>
    </w:p>
    <w:p w14:paraId="2B590217" w14:textId="77777777" w:rsidR="00CF76E8" w:rsidRPr="00E4135E" w:rsidRDefault="00CF76E8" w:rsidP="00CF76E8">
      <w:pPr>
        <w:spacing w:before="360"/>
        <w:jc w:val="center"/>
        <w:rPr>
          <w:b/>
          <w:sz w:val="28"/>
          <w:szCs w:val="28"/>
        </w:rPr>
      </w:pPr>
      <w:r w:rsidRPr="00E4135E">
        <w:rPr>
          <w:b/>
          <w:sz w:val="28"/>
          <w:szCs w:val="28"/>
        </w:rPr>
        <w:t>Statement of Compatibility with Human Rights</w:t>
      </w:r>
    </w:p>
    <w:p w14:paraId="2B590218" w14:textId="77777777" w:rsidR="00CF76E8" w:rsidRDefault="00CF76E8" w:rsidP="00CF76E8">
      <w:pPr>
        <w:jc w:val="center"/>
        <w:rPr>
          <w:i/>
          <w:szCs w:val="24"/>
        </w:rPr>
      </w:pPr>
    </w:p>
    <w:p w14:paraId="2B590219" w14:textId="77777777" w:rsidR="00CF76E8" w:rsidRPr="00E4135E" w:rsidRDefault="00CF76E8" w:rsidP="00CF76E8">
      <w:pPr>
        <w:jc w:val="center"/>
        <w:rPr>
          <w:szCs w:val="24"/>
        </w:rPr>
      </w:pPr>
      <w:r w:rsidRPr="00E4135E">
        <w:rPr>
          <w:i/>
          <w:szCs w:val="24"/>
        </w:rPr>
        <w:t>Prepared in accordance with Part 3 of the Human Rights (Parliamentary Scrutiny) Act 2011</w:t>
      </w:r>
    </w:p>
    <w:p w14:paraId="2B59021A" w14:textId="77777777" w:rsidR="006407D0" w:rsidRDefault="006407D0" w:rsidP="00CF76E8">
      <w:pPr>
        <w:jc w:val="center"/>
        <w:rPr>
          <w:b/>
          <w:szCs w:val="24"/>
        </w:rPr>
      </w:pPr>
    </w:p>
    <w:p w14:paraId="2B59021B" w14:textId="77777777" w:rsidR="006407D0" w:rsidRDefault="002D680C" w:rsidP="006407D0">
      <w:pPr>
        <w:jc w:val="center"/>
        <w:rPr>
          <w:b/>
          <w:szCs w:val="24"/>
        </w:rPr>
      </w:pPr>
      <w:r>
        <w:rPr>
          <w:b/>
          <w:szCs w:val="24"/>
        </w:rPr>
        <w:t>Customs and Other Legislation Amendment (LAG and Other Measures) Regulation 2013</w:t>
      </w:r>
      <w:r w:rsidR="006407D0">
        <w:rPr>
          <w:b/>
          <w:szCs w:val="24"/>
        </w:rPr>
        <w:t xml:space="preserve"> </w:t>
      </w:r>
    </w:p>
    <w:p w14:paraId="2B59021C" w14:textId="77777777" w:rsidR="006407D0" w:rsidRPr="00E4135E" w:rsidRDefault="006407D0" w:rsidP="00CF76E8">
      <w:pPr>
        <w:jc w:val="center"/>
        <w:rPr>
          <w:b/>
          <w:szCs w:val="24"/>
        </w:rPr>
      </w:pPr>
    </w:p>
    <w:p w14:paraId="2B59021D" w14:textId="77777777" w:rsidR="00CF76E8" w:rsidRDefault="00CF76E8" w:rsidP="00CF76E8">
      <w:pPr>
        <w:rPr>
          <w:szCs w:val="24"/>
        </w:rPr>
      </w:pPr>
    </w:p>
    <w:p w14:paraId="2B59021E" w14:textId="77777777" w:rsidR="00CF76E8" w:rsidRPr="00E4135E" w:rsidRDefault="009B7816" w:rsidP="00CF76E8">
      <w:pPr>
        <w:rPr>
          <w:szCs w:val="24"/>
        </w:rPr>
      </w:pPr>
      <w:r>
        <w:rPr>
          <w:szCs w:val="24"/>
        </w:rPr>
        <w:t>These</w:t>
      </w:r>
      <w:r w:rsidR="00CF76E8" w:rsidRPr="00E4135E">
        <w:rPr>
          <w:szCs w:val="24"/>
        </w:rPr>
        <w:t xml:space="preserve"> Legislative Instrument</w:t>
      </w:r>
      <w:r>
        <w:rPr>
          <w:szCs w:val="24"/>
        </w:rPr>
        <w:t>s are</w:t>
      </w:r>
      <w:r w:rsidR="00CF76E8" w:rsidRPr="00E4135E">
        <w:rPr>
          <w:szCs w:val="24"/>
        </w:rPr>
        <w:t xml:space="preserve"> compatible with the human rights and freedoms recognised or declared in the international instruments listed in section 3 of the </w:t>
      </w:r>
      <w:r w:rsidR="00CF76E8" w:rsidRPr="00E4135E">
        <w:rPr>
          <w:i/>
          <w:szCs w:val="24"/>
        </w:rPr>
        <w:t>Human Rights (Parliamentary Scrutiny) Act 2011</w:t>
      </w:r>
      <w:r w:rsidR="00CF76E8" w:rsidRPr="00E4135E">
        <w:rPr>
          <w:szCs w:val="24"/>
        </w:rPr>
        <w:t>.</w:t>
      </w:r>
    </w:p>
    <w:p w14:paraId="2B59021F" w14:textId="77777777" w:rsidR="00CF76E8" w:rsidRDefault="00CF76E8" w:rsidP="00CF76E8">
      <w:pPr>
        <w:jc w:val="both"/>
        <w:rPr>
          <w:b/>
          <w:szCs w:val="24"/>
        </w:rPr>
      </w:pPr>
    </w:p>
    <w:p w14:paraId="2B590220" w14:textId="77777777" w:rsidR="00CF76E8" w:rsidRPr="00E4135E" w:rsidRDefault="00CF76E8" w:rsidP="0030684F">
      <w:pPr>
        <w:jc w:val="both"/>
        <w:rPr>
          <w:b/>
          <w:szCs w:val="24"/>
        </w:rPr>
      </w:pPr>
      <w:r w:rsidRPr="00E4135E">
        <w:rPr>
          <w:b/>
          <w:szCs w:val="24"/>
        </w:rPr>
        <w:t>Overview of the Legislative Instrument</w:t>
      </w:r>
    </w:p>
    <w:p w14:paraId="2B590221" w14:textId="77777777" w:rsidR="0030684F" w:rsidRDefault="0030684F" w:rsidP="0030684F"/>
    <w:p w14:paraId="2B590222" w14:textId="77777777" w:rsidR="00CF76E8" w:rsidRDefault="00CF76E8" w:rsidP="0030684F">
      <w:r>
        <w:t>The purpose of the Legislative Instrument is to</w:t>
      </w:r>
      <w:r w:rsidR="001A0284">
        <w:t xml:space="preserve"> </w:t>
      </w:r>
      <w:r w:rsidR="0092173E">
        <w:t xml:space="preserve">make some minor technical amendments and also </w:t>
      </w:r>
      <w:r w:rsidR="001A0284">
        <w:t xml:space="preserve">provide legislative authority for an arrangement that has been in place since 31 March 2007 for export verification procedures for liquids, aerosols, gels, creams and pastes (LAG products) purchased free of </w:t>
      </w:r>
      <w:r w:rsidR="00BA5A2A">
        <w:t>excise, customs duty, goods and services tax and Wine Equalisation Tax</w:t>
      </w:r>
      <w:r w:rsidR="001A0284">
        <w:t>, under the sealed bag scheme</w:t>
      </w:r>
      <w:r w:rsidR="00BA5A2A">
        <w:t xml:space="preserve"> (</w:t>
      </w:r>
      <w:proofErr w:type="spellStart"/>
      <w:r w:rsidR="00BA5A2A">
        <w:t>SBS</w:t>
      </w:r>
      <w:proofErr w:type="spellEnd"/>
      <w:r w:rsidR="00BA5A2A">
        <w:t>)</w:t>
      </w:r>
      <w:r w:rsidR="001A0284">
        <w:t>, by passengers travelling on international flights</w:t>
      </w:r>
      <w:r w:rsidR="00BA5A2A">
        <w:t xml:space="preserve"> and voyages</w:t>
      </w:r>
      <w:r>
        <w:t>.</w:t>
      </w:r>
    </w:p>
    <w:p w14:paraId="2B590223" w14:textId="77777777" w:rsidR="0030684F" w:rsidRDefault="0030684F" w:rsidP="00CF76E8">
      <w:pPr>
        <w:rPr>
          <w:b/>
          <w:szCs w:val="24"/>
        </w:rPr>
      </w:pPr>
    </w:p>
    <w:p w14:paraId="2B590224" w14:textId="77777777" w:rsidR="00CF76E8" w:rsidRPr="00E4135E" w:rsidRDefault="00CF76E8" w:rsidP="00CF76E8">
      <w:pPr>
        <w:rPr>
          <w:b/>
          <w:szCs w:val="24"/>
        </w:rPr>
      </w:pPr>
      <w:r w:rsidRPr="00E4135E">
        <w:rPr>
          <w:b/>
          <w:szCs w:val="24"/>
        </w:rPr>
        <w:t>Human rights implications</w:t>
      </w:r>
    </w:p>
    <w:p w14:paraId="2B590225" w14:textId="77777777" w:rsidR="00CF76E8" w:rsidRDefault="00CF76E8" w:rsidP="00CF76E8"/>
    <w:p w14:paraId="2B590226" w14:textId="77777777" w:rsidR="0092173E" w:rsidRDefault="0092173E" w:rsidP="00CF76E8">
      <w:r>
        <w:t xml:space="preserve">Schedule 1 of the Regulation will commence </w:t>
      </w:r>
      <w:r w:rsidR="0030684F">
        <w:t xml:space="preserve">retrospectively </w:t>
      </w:r>
      <w:r>
        <w:t xml:space="preserve">from 16 February 2013. It makes some minor technical corrections which do not affect any person’s rights.  </w:t>
      </w:r>
    </w:p>
    <w:p w14:paraId="2B590227" w14:textId="77777777" w:rsidR="0092173E" w:rsidRDefault="0092173E" w:rsidP="00CF76E8"/>
    <w:p w14:paraId="2B590228" w14:textId="77777777" w:rsidR="00CF76E8" w:rsidRDefault="0092173E" w:rsidP="00CF76E8">
      <w:r>
        <w:t>Schedule 2 of t</w:t>
      </w:r>
      <w:r w:rsidR="00CF76E8">
        <w:t xml:space="preserve">he Regulation will apply </w:t>
      </w:r>
      <w:r w:rsidR="005E4229">
        <w:t xml:space="preserve">to purchases made on or after </w:t>
      </w:r>
      <w:r w:rsidR="00CF76E8">
        <w:t xml:space="preserve">31 March 2007 and will not adversely affect the rights of </w:t>
      </w:r>
      <w:r w:rsidR="0030684F">
        <w:t xml:space="preserve">international </w:t>
      </w:r>
      <w:r w:rsidR="00CF76E8">
        <w:t>travellers as the Regulation merely confirm</w:t>
      </w:r>
      <w:r w:rsidR="0030684F">
        <w:t>s</w:t>
      </w:r>
      <w:r w:rsidR="00CF76E8">
        <w:t xml:space="preserve"> </w:t>
      </w:r>
      <w:r w:rsidR="0030684F">
        <w:t>an existing arrangement</w:t>
      </w:r>
      <w:r w:rsidR="00CF76E8">
        <w:t xml:space="preserve">.  </w:t>
      </w:r>
      <w:r w:rsidR="00B9486F">
        <w:t xml:space="preserve">The arrangement </w:t>
      </w:r>
      <w:r w:rsidR="0030684F">
        <w:t xml:space="preserve">is </w:t>
      </w:r>
      <w:r w:rsidR="00F37155">
        <w:t xml:space="preserve">beneficial to travellers </w:t>
      </w:r>
      <w:r w:rsidR="0030684F">
        <w:t xml:space="preserve">as it allows them </w:t>
      </w:r>
      <w:r w:rsidR="00FE157C">
        <w:t xml:space="preserve">to carry LAG products </w:t>
      </w:r>
      <w:r w:rsidR="0030684F">
        <w:t xml:space="preserve">over 100 millilitres </w:t>
      </w:r>
      <w:r w:rsidR="00FE157C">
        <w:t xml:space="preserve">past the </w:t>
      </w:r>
      <w:r w:rsidR="0030684F">
        <w:t xml:space="preserve">outwards </w:t>
      </w:r>
      <w:r w:rsidR="00FE157C">
        <w:t xml:space="preserve">control point </w:t>
      </w:r>
      <w:r w:rsidR="0030684F">
        <w:t xml:space="preserve">at international airports </w:t>
      </w:r>
      <w:r w:rsidR="00FE157C">
        <w:t xml:space="preserve">without visual verification by the airside agent of the retailer.  It has avoided a serious impact on the business viability of off-airport duty free stores and other retail businesses utilising the </w:t>
      </w:r>
      <w:proofErr w:type="spellStart"/>
      <w:r w:rsidR="00FE157C">
        <w:t>SBS</w:t>
      </w:r>
      <w:proofErr w:type="spellEnd"/>
      <w:r w:rsidR="00FE157C">
        <w:t xml:space="preserve">. </w:t>
      </w:r>
    </w:p>
    <w:p w14:paraId="2B590229" w14:textId="77777777" w:rsidR="00CF76E8" w:rsidRDefault="00CF76E8" w:rsidP="00CF76E8">
      <w:pPr>
        <w:rPr>
          <w:szCs w:val="24"/>
        </w:rPr>
      </w:pPr>
    </w:p>
    <w:p w14:paraId="2B59022A" w14:textId="77777777" w:rsidR="00CF76E8" w:rsidRPr="00E4135E" w:rsidRDefault="00CF76E8" w:rsidP="00CF76E8">
      <w:pPr>
        <w:rPr>
          <w:szCs w:val="24"/>
        </w:rPr>
      </w:pPr>
      <w:r w:rsidRPr="00E4135E">
        <w:rPr>
          <w:szCs w:val="24"/>
        </w:rPr>
        <w:t>Th</w:t>
      </w:r>
      <w:r w:rsidR="009B7816">
        <w:rPr>
          <w:szCs w:val="24"/>
        </w:rPr>
        <w:t>e</w:t>
      </w:r>
      <w:r w:rsidRPr="00E4135E">
        <w:rPr>
          <w:szCs w:val="24"/>
        </w:rPr>
        <w:t xml:space="preserve"> Legislative Instrument </w:t>
      </w:r>
      <w:r>
        <w:rPr>
          <w:szCs w:val="24"/>
        </w:rPr>
        <w:t xml:space="preserve">therefore </w:t>
      </w:r>
      <w:r w:rsidRPr="00E4135E">
        <w:rPr>
          <w:szCs w:val="24"/>
        </w:rPr>
        <w:t>do</w:t>
      </w:r>
      <w:r w:rsidR="0092173E">
        <w:rPr>
          <w:szCs w:val="24"/>
        </w:rPr>
        <w:t>es</w:t>
      </w:r>
      <w:r w:rsidRPr="00E4135E">
        <w:rPr>
          <w:szCs w:val="24"/>
        </w:rPr>
        <w:t xml:space="preserve"> not engage any of the applicable rights or freedoms.</w:t>
      </w:r>
    </w:p>
    <w:p w14:paraId="2B59022B" w14:textId="77777777" w:rsidR="00CF76E8" w:rsidRDefault="00CF76E8" w:rsidP="00CF76E8">
      <w:pPr>
        <w:rPr>
          <w:b/>
          <w:szCs w:val="24"/>
        </w:rPr>
      </w:pPr>
    </w:p>
    <w:p w14:paraId="2B59022C" w14:textId="77777777" w:rsidR="00CF76E8" w:rsidRPr="00E4135E" w:rsidRDefault="00CF76E8" w:rsidP="00CF76E8">
      <w:pPr>
        <w:rPr>
          <w:b/>
          <w:szCs w:val="24"/>
        </w:rPr>
      </w:pPr>
      <w:r w:rsidRPr="00E4135E">
        <w:rPr>
          <w:b/>
          <w:szCs w:val="24"/>
        </w:rPr>
        <w:t>Conclusion</w:t>
      </w:r>
    </w:p>
    <w:p w14:paraId="2B59022D" w14:textId="77777777" w:rsidR="001A0284" w:rsidRDefault="001A0284" w:rsidP="00CF76E8">
      <w:pPr>
        <w:rPr>
          <w:szCs w:val="24"/>
        </w:rPr>
      </w:pPr>
    </w:p>
    <w:p w14:paraId="2B59022E" w14:textId="77777777" w:rsidR="00CF76E8" w:rsidRPr="00E4135E" w:rsidRDefault="00CF76E8" w:rsidP="00CF76E8">
      <w:pPr>
        <w:rPr>
          <w:szCs w:val="24"/>
        </w:rPr>
      </w:pPr>
      <w:r w:rsidRPr="00E4135E">
        <w:rPr>
          <w:szCs w:val="24"/>
        </w:rPr>
        <w:t>Th</w:t>
      </w:r>
      <w:r w:rsidR="009B7816">
        <w:rPr>
          <w:szCs w:val="24"/>
        </w:rPr>
        <w:t>e</w:t>
      </w:r>
      <w:r w:rsidRPr="00E4135E">
        <w:rPr>
          <w:szCs w:val="24"/>
        </w:rPr>
        <w:t xml:space="preserve"> Legislative </w:t>
      </w:r>
      <w:r w:rsidR="009B7816" w:rsidRPr="00E4135E">
        <w:rPr>
          <w:szCs w:val="24"/>
        </w:rPr>
        <w:t>Instrumen</w:t>
      </w:r>
      <w:r w:rsidR="009B7816">
        <w:rPr>
          <w:szCs w:val="24"/>
        </w:rPr>
        <w:t>t</w:t>
      </w:r>
      <w:r w:rsidRPr="00E4135E">
        <w:rPr>
          <w:szCs w:val="24"/>
        </w:rPr>
        <w:t xml:space="preserve"> </w:t>
      </w:r>
      <w:r w:rsidR="002D680C">
        <w:rPr>
          <w:szCs w:val="24"/>
        </w:rPr>
        <w:t>is</w:t>
      </w:r>
      <w:r w:rsidRPr="00E4135E">
        <w:rPr>
          <w:szCs w:val="24"/>
        </w:rPr>
        <w:t xml:space="preserve"> compatible with human rights as </w:t>
      </w:r>
      <w:r w:rsidR="009B7816">
        <w:rPr>
          <w:szCs w:val="24"/>
        </w:rPr>
        <w:t>they</w:t>
      </w:r>
      <w:r w:rsidRPr="00E4135E">
        <w:rPr>
          <w:szCs w:val="24"/>
        </w:rPr>
        <w:t xml:space="preserve"> do not raise any human rights issues.</w:t>
      </w:r>
    </w:p>
    <w:p w14:paraId="2B59022F" w14:textId="77777777" w:rsidR="00CF76E8" w:rsidRDefault="00CF76E8" w:rsidP="00CF76E8"/>
    <w:p w14:paraId="2B590230" w14:textId="77777777" w:rsidR="005A64C2" w:rsidRDefault="005A64C2" w:rsidP="005A64C2">
      <w:pPr>
        <w:tabs>
          <w:tab w:val="left" w:pos="1701"/>
          <w:tab w:val="right" w:pos="9072"/>
        </w:tabs>
        <w:ind w:right="91"/>
        <w:rPr>
          <w:sz w:val="16"/>
        </w:rPr>
      </w:pPr>
    </w:p>
    <w:sectPr w:rsidR="005A64C2" w:rsidSect="003B736A">
      <w:pgSz w:w="11906" w:h="16838" w:code="9"/>
      <w:pgMar w:top="1134" w:right="1797" w:bottom="1134" w:left="1797"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noTabHangInd/>
    <w:noColumnBalance/>
    <w:suppressBottomSpacing/>
    <w:suppressTopSpacing/>
    <w:suppressSpBfAfterPgBrk/>
    <w:noSpaceRaiseLower/>
    <w:doNotUseHTMLParagraphAutoSpacing/>
    <w:growAutofit/>
    <w:compatSetting w:name="compatibilityMode" w:uri="http://schemas.microsoft.com/office/word" w:val="12"/>
  </w:compat>
  <w:rsids>
    <w:rsidRoot w:val="002C21FD"/>
    <w:rsid w:val="0001095D"/>
    <w:rsid w:val="00067D13"/>
    <w:rsid w:val="00086363"/>
    <w:rsid w:val="0009218E"/>
    <w:rsid w:val="00120368"/>
    <w:rsid w:val="00123476"/>
    <w:rsid w:val="00197FD2"/>
    <w:rsid w:val="001A0284"/>
    <w:rsid w:val="001D4F98"/>
    <w:rsid w:val="002056A8"/>
    <w:rsid w:val="002350AB"/>
    <w:rsid w:val="00243CC6"/>
    <w:rsid w:val="0026106C"/>
    <w:rsid w:val="0029655D"/>
    <w:rsid w:val="002B557D"/>
    <w:rsid w:val="002C21FD"/>
    <w:rsid w:val="002C5C09"/>
    <w:rsid w:val="002D1692"/>
    <w:rsid w:val="002D2A1F"/>
    <w:rsid w:val="002D680C"/>
    <w:rsid w:val="003053FE"/>
    <w:rsid w:val="0030684F"/>
    <w:rsid w:val="003507FC"/>
    <w:rsid w:val="00391833"/>
    <w:rsid w:val="003A4324"/>
    <w:rsid w:val="003B736A"/>
    <w:rsid w:val="003C7837"/>
    <w:rsid w:val="003F38B6"/>
    <w:rsid w:val="004037A7"/>
    <w:rsid w:val="00404E9B"/>
    <w:rsid w:val="00415356"/>
    <w:rsid w:val="0042300E"/>
    <w:rsid w:val="00424090"/>
    <w:rsid w:val="00426509"/>
    <w:rsid w:val="00500E6E"/>
    <w:rsid w:val="00512109"/>
    <w:rsid w:val="00522961"/>
    <w:rsid w:val="005501E1"/>
    <w:rsid w:val="0057340F"/>
    <w:rsid w:val="00576A65"/>
    <w:rsid w:val="0058392D"/>
    <w:rsid w:val="00585121"/>
    <w:rsid w:val="005A64C2"/>
    <w:rsid w:val="005C315B"/>
    <w:rsid w:val="005C6BAF"/>
    <w:rsid w:val="005E4229"/>
    <w:rsid w:val="00613E6A"/>
    <w:rsid w:val="0063640F"/>
    <w:rsid w:val="006407D0"/>
    <w:rsid w:val="006808AF"/>
    <w:rsid w:val="00711ABC"/>
    <w:rsid w:val="00721DB2"/>
    <w:rsid w:val="0078124D"/>
    <w:rsid w:val="00787238"/>
    <w:rsid w:val="00792A82"/>
    <w:rsid w:val="007B1467"/>
    <w:rsid w:val="00834C90"/>
    <w:rsid w:val="00835EBE"/>
    <w:rsid w:val="00844F9F"/>
    <w:rsid w:val="00857A75"/>
    <w:rsid w:val="008B1403"/>
    <w:rsid w:val="008C3163"/>
    <w:rsid w:val="00920D87"/>
    <w:rsid w:val="0092173E"/>
    <w:rsid w:val="009517E8"/>
    <w:rsid w:val="009A14CE"/>
    <w:rsid w:val="009A24E0"/>
    <w:rsid w:val="009B7816"/>
    <w:rsid w:val="009D3E6E"/>
    <w:rsid w:val="009E4566"/>
    <w:rsid w:val="00A01586"/>
    <w:rsid w:val="00A10B16"/>
    <w:rsid w:val="00A25D12"/>
    <w:rsid w:val="00A32B49"/>
    <w:rsid w:val="00A4231C"/>
    <w:rsid w:val="00A56EF5"/>
    <w:rsid w:val="00A8282B"/>
    <w:rsid w:val="00A9072E"/>
    <w:rsid w:val="00AA65E0"/>
    <w:rsid w:val="00AA6F12"/>
    <w:rsid w:val="00B11FE7"/>
    <w:rsid w:val="00B35DA8"/>
    <w:rsid w:val="00B859C5"/>
    <w:rsid w:val="00B9486F"/>
    <w:rsid w:val="00BA5A2A"/>
    <w:rsid w:val="00BE2A66"/>
    <w:rsid w:val="00C5167F"/>
    <w:rsid w:val="00C621F8"/>
    <w:rsid w:val="00C64760"/>
    <w:rsid w:val="00C83C60"/>
    <w:rsid w:val="00CD72B4"/>
    <w:rsid w:val="00CF76E8"/>
    <w:rsid w:val="00DA21A2"/>
    <w:rsid w:val="00DC78CA"/>
    <w:rsid w:val="00DD2F30"/>
    <w:rsid w:val="00DE1DA2"/>
    <w:rsid w:val="00DE7153"/>
    <w:rsid w:val="00E31312"/>
    <w:rsid w:val="00E4024A"/>
    <w:rsid w:val="00E71175"/>
    <w:rsid w:val="00EA2957"/>
    <w:rsid w:val="00EB6E47"/>
    <w:rsid w:val="00F1670A"/>
    <w:rsid w:val="00F3278E"/>
    <w:rsid w:val="00F37155"/>
    <w:rsid w:val="00F559F0"/>
    <w:rsid w:val="00F7633D"/>
    <w:rsid w:val="00F76C08"/>
    <w:rsid w:val="00F8358D"/>
    <w:rsid w:val="00FE157C"/>
    <w:rsid w:val="00FE6E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9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36A"/>
    <w:rPr>
      <w:sz w:val="24"/>
    </w:rPr>
  </w:style>
  <w:style w:type="paragraph" w:styleId="Heading1">
    <w:name w:val="heading 1"/>
    <w:basedOn w:val="Normal"/>
    <w:next w:val="Normal"/>
    <w:qFormat/>
    <w:rsid w:val="003B736A"/>
    <w:pPr>
      <w:keepNext/>
      <w:spacing w:before="240" w:after="360"/>
      <w:outlineLvl w:val="0"/>
    </w:pPr>
    <w:rPr>
      <w:b/>
      <w:caps/>
      <w:sz w:val="28"/>
    </w:rPr>
  </w:style>
  <w:style w:type="paragraph" w:styleId="Heading2">
    <w:name w:val="heading 2"/>
    <w:basedOn w:val="Normal"/>
    <w:next w:val="Normal"/>
    <w:qFormat/>
    <w:rsid w:val="003B736A"/>
    <w:pPr>
      <w:keepNext/>
      <w:spacing w:before="120"/>
      <w:outlineLvl w:val="1"/>
    </w:pPr>
    <w:rPr>
      <w:b/>
      <w:caps/>
    </w:rPr>
  </w:style>
  <w:style w:type="paragraph" w:styleId="Heading3">
    <w:name w:val="heading 3"/>
    <w:basedOn w:val="Normal"/>
    <w:next w:val="Normal"/>
    <w:qFormat/>
    <w:rsid w:val="003B736A"/>
    <w:pPr>
      <w:keepNext/>
      <w:spacing w:before="60"/>
      <w:outlineLvl w:val="2"/>
    </w:pPr>
    <w:rPr>
      <w:b/>
    </w:rPr>
  </w:style>
  <w:style w:type="paragraph" w:styleId="Heading4">
    <w:name w:val="heading 4"/>
    <w:basedOn w:val="Normal"/>
    <w:next w:val="Normal"/>
    <w:qFormat/>
    <w:rsid w:val="003B736A"/>
    <w:pPr>
      <w:keepNext/>
      <w:outlineLvl w:val="3"/>
    </w:pPr>
    <w:rPr>
      <w:i/>
      <w:sz w:val="20"/>
    </w:rPr>
  </w:style>
  <w:style w:type="paragraph" w:styleId="Heading6">
    <w:name w:val="heading 6"/>
    <w:basedOn w:val="Normal"/>
    <w:next w:val="Normal"/>
    <w:qFormat/>
    <w:rsid w:val="003B736A"/>
    <w:pPr>
      <w:keepNext/>
      <w:spacing w:before="240"/>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3B736A"/>
  </w:style>
  <w:style w:type="paragraph" w:customStyle="1" w:styleId="ChartMainHeading">
    <w:name w:val="Chart Main Heading"/>
    <w:basedOn w:val="SingleParagraph"/>
    <w:next w:val="Normal"/>
    <w:rsid w:val="003B736A"/>
    <w:pPr>
      <w:jc w:val="center"/>
    </w:pPr>
    <w:rPr>
      <w:b/>
      <w:caps/>
    </w:rPr>
  </w:style>
  <w:style w:type="paragraph" w:customStyle="1" w:styleId="ChartSecondHeading">
    <w:name w:val="Chart Second Heading"/>
    <w:basedOn w:val="SingleParagraph"/>
    <w:next w:val="Normal"/>
    <w:rsid w:val="003B736A"/>
    <w:pPr>
      <w:jc w:val="center"/>
    </w:pPr>
    <w:rPr>
      <w:b/>
    </w:rPr>
  </w:style>
  <w:style w:type="paragraph" w:customStyle="1" w:styleId="TableMainHeading">
    <w:name w:val="Table Main Heading"/>
    <w:basedOn w:val="Heading2"/>
    <w:next w:val="Normal"/>
    <w:rsid w:val="003B736A"/>
    <w:pPr>
      <w:spacing w:before="240"/>
      <w:outlineLvl w:val="9"/>
    </w:pPr>
    <w:rPr>
      <w:rFonts w:ascii="Helvetica" w:hAnsi="Helvetica"/>
      <w:b w:val="0"/>
      <w:caps w:val="0"/>
      <w:spacing w:val="30"/>
      <w:sz w:val="22"/>
    </w:rPr>
  </w:style>
  <w:style w:type="paragraph" w:styleId="BalloonText">
    <w:name w:val="Balloon Text"/>
    <w:basedOn w:val="Normal"/>
    <w:link w:val="BalloonTextChar"/>
    <w:uiPriority w:val="99"/>
    <w:semiHidden/>
    <w:unhideWhenUsed/>
    <w:rsid w:val="00A8282B"/>
    <w:rPr>
      <w:rFonts w:ascii="Tahoma" w:hAnsi="Tahoma" w:cs="Tahoma"/>
      <w:sz w:val="16"/>
      <w:szCs w:val="16"/>
    </w:rPr>
  </w:style>
  <w:style w:type="character" w:customStyle="1" w:styleId="BalloonTextChar">
    <w:name w:val="Balloon Text Char"/>
    <w:basedOn w:val="DefaultParagraphFont"/>
    <w:link w:val="BalloonText"/>
    <w:uiPriority w:val="99"/>
    <w:semiHidden/>
    <w:rsid w:val="00A8282B"/>
    <w:rPr>
      <w:rFonts w:ascii="Tahoma" w:hAnsi="Tahoma" w:cs="Tahoma"/>
      <w:sz w:val="16"/>
      <w:szCs w:val="16"/>
    </w:rPr>
  </w:style>
  <w:style w:type="character" w:customStyle="1" w:styleId="CharAmSchNo">
    <w:name w:val="CharAmSchNo"/>
    <w:basedOn w:val="DefaultParagraphFont"/>
    <w:qFormat/>
    <w:rsid w:val="002610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arliamentary\XCo%20Explanatory%20Memorandum%20-%20Gener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General Content" ma:contentTypeID="0x010100E726210826AA43828690450C811EB923009CA11FFD1E014DF4B1FA162D0F61129800080350834F0B46469CE5D2ECAC346F75" ma:contentTypeVersion="23" ma:contentTypeDescription="If you are creating a Word, PowerPoint or Excel document use the options available in the drop down list; for all other documents leave the content type as General Content." ma:contentTypeScope="" ma:versionID="53dc7e552d959ada8d97302801dbabe7">
  <xsd:schema xmlns:xsd="http://www.w3.org/2001/XMLSchema" xmlns:xs="http://www.w3.org/2001/XMLSchema" xmlns:p="http://schemas.microsoft.com/office/2006/metadata/properties" xmlns:ns2="378b04f6-f261-4499-b462-41ddd755ff66" targetNamespace="http://schemas.microsoft.com/office/2006/metadata/properties" ma:root="true" ma:fieldsID="8b996ababbe5a57890161772b35c4b0b" ns2:_="">
    <xsd:import namespace="378b04f6-f261-4499-b462-41ddd755ff66"/>
    <xsd:element name="properties">
      <xsd:complexType>
        <xsd:sequence>
          <xsd:element name="documentManagement">
            <xsd:complexType>
              <xsd:all>
                <xsd:element ref="ns2:_dlc_DocId" minOccurs="0"/>
                <xsd:element ref="ns2:_dlc_DocIdPersistId"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b04f6-f261-4499-b462-41ddd755f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Treasury Document Audit Policy</p:Name>
  <p:Description/>
  <p:Statement/>
  <p:PolicyItems>
    <p:PolicyItem featureId="Microsoft.Office.RecordsManagement.PolicyFeatures.PolicyAudit" staticId="0x010100E726210826AA43828690450C811EB923|1757814118" UniqueId="cd6ee51b-74b3-452a-9d55-03bd9a48be8f">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34EAC-C9DF-4308-992D-B8903C34596D}">
  <ds:schemaRefs>
    <ds:schemaRef ds:uri="http://schemas.microsoft.com/office/2006/metadata/properties"/>
    <ds:schemaRef ds:uri="http://purl.org/dc/terms/"/>
    <ds:schemaRef ds:uri="http://www.w3.org/XML/1998/namespace"/>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378b04f6-f261-4499-b462-41ddd755ff66"/>
  </ds:schemaRefs>
</ds:datastoreItem>
</file>

<file path=customXml/itemProps2.xml><?xml version="1.0" encoding="utf-8"?>
<ds:datastoreItem xmlns:ds="http://schemas.openxmlformats.org/officeDocument/2006/customXml" ds:itemID="{8DA24504-E438-476D-8943-2DDBD39F7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b04f6-f261-4499-b462-41ddd755f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24F155-C6DE-4BC7-9498-B89101B23359}">
  <ds:schemaRefs>
    <ds:schemaRef ds:uri="office.server.policy"/>
  </ds:schemaRefs>
</ds:datastoreItem>
</file>

<file path=customXml/itemProps4.xml><?xml version="1.0" encoding="utf-8"?>
<ds:datastoreItem xmlns:ds="http://schemas.openxmlformats.org/officeDocument/2006/customXml" ds:itemID="{A2ED772F-9D48-431F-9741-F1208AF874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XCo Explanatory Memorandum - General.dotx</Template>
  <TotalTime>522</TotalTime>
  <Pages>3</Pages>
  <Words>1133</Words>
  <Characters>6164</Characters>
  <Application>Microsoft Office Word</Application>
  <DocSecurity>0</DocSecurity>
  <Lines>770</Lines>
  <Paragraphs>429</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The Treasury</Company>
  <LinksUpToDate>false</LinksUpToDate>
  <CharactersWithSpaces>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McKay, Brian</dc:creator>
  <cp:lastModifiedBy>Hilhorst, Matt</cp:lastModifiedBy>
  <cp:revision>28</cp:revision>
  <cp:lastPrinted>2013-05-20T05:12:00Z</cp:lastPrinted>
  <dcterms:created xsi:type="dcterms:W3CDTF">2013-01-09T23:28:00Z</dcterms:created>
  <dcterms:modified xsi:type="dcterms:W3CDTF">2013-06-17T03:53:00Z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-427784073</vt:i4>
  </property>
  <property fmtid="{D5CDD505-2E9C-101B-9397-08002B2CF9AE}" pid="3" name="_NewReviewCycle">
    <vt:lpwstr/>
  </property>
  <property fmtid="{D5CDD505-2E9C-101B-9397-08002B2CF9AE}" pid="4" name="_EmailSubject">
    <vt:lpwstr>Updated ES [SEC=UNCLASSIFIED]</vt:lpwstr>
  </property>
  <property fmtid="{D5CDD505-2E9C-101B-9397-08002B2CF9AE}" pid="5" name="_AuthorEmail">
    <vt:lpwstr>Kevin.Hogan@TREASURY.GOV.AU</vt:lpwstr>
  </property>
  <property fmtid="{D5CDD505-2E9C-101B-9397-08002B2CF9AE}" pid="6" name="_AuthorEmailDisplayName">
    <vt:lpwstr>Hogan, Kevin</vt:lpwstr>
  </property>
  <property fmtid="{D5CDD505-2E9C-101B-9397-08002B2CF9AE}" pid="7" name="ContentTypeId">
    <vt:lpwstr>0x010100E726210826AA43828690450C811EB923009CA11FFD1E014DF4B1FA162D0F61129800080350834F0B46469CE5D2ECAC346F75</vt:lpwstr>
  </property>
  <property fmtid="{D5CDD505-2E9C-101B-9397-08002B2CF9AE}" pid="8" name="_PreviousAdHocReviewCycleID">
    <vt:i4>-1897386199</vt:i4>
  </property>
  <property fmtid="{D5CDD505-2E9C-101B-9397-08002B2CF9AE}" pid="9" name="_ReviewingToolsShownOnce">
    <vt:lpwstr/>
  </property>
</Properties>
</file>